
<file path=[Content_Types].xml><?xml version="1.0" encoding="utf-8"?>
<Types xmlns="http://schemas.openxmlformats.org/package/2006/content-types">
  <Default Extension="rels" ContentType="application/vnd.openxmlformats-package.relationships+xml"/>
  <Default Extension="xml" ContentType="application/xml"/>
  <Override PartName="/docProps/core.xml" ContentType="application/vnd.openxmlformats-package.core-properties+xml"/>
  <Default Extension="jpeg" ContentType="image/jpeg"/>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word/footnotes.xml" ContentType="application/vnd.openxmlformats-officedocument.wordprocessingml.footnotes+xml"/>
  <Override PartName="/word/settings.xml" ContentType="application/vnd.openxmlformats-officedocument.wordprocessingml.setting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Types>
</file>

<file path=_rels/.rels>&#65279;<?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body>
    <w:p>
      <w:pPr>
        <w:pStyle w:val="Style5"/>
        <w:widowControl w:val="0"/>
        <w:keepNext w:val="0"/>
        <w:keepLines w:val="0"/>
        <w:shd w:val="clear" w:color="auto" w:fill="auto"/>
        <w:bidi w:val="0"/>
        <w:jc w:val="left"/>
        <w:spacing w:before="0" w:after="2374" w:line="340" w:lineRule="exact"/>
        <w:ind w:left="0" w:right="0" w:firstLine="0"/>
      </w:pPr>
      <w:r>
        <w:rPr>
          <w:lang w:val="ru-RU" w:eastAsia="ru-RU" w:bidi="ru-RU"/>
          <w:w w:val="100"/>
          <w:spacing w:val="0"/>
          <w:color w:val="000000"/>
          <w:position w:val="0"/>
        </w:rPr>
        <w:t>Ю.М.Белозеров</w:t>
      </w:r>
    </w:p>
    <w:p>
      <w:pPr>
        <w:pStyle w:val="Style7"/>
        <w:widowControl w:val="0"/>
        <w:keepNext w:val="0"/>
        <w:keepLines w:val="0"/>
        <w:shd w:val="clear" w:color="auto" w:fill="auto"/>
        <w:bidi w:val="0"/>
        <w:jc w:val="left"/>
        <w:spacing w:before="0" w:after="74" w:line="740" w:lineRule="exact"/>
        <w:ind w:left="0" w:right="0" w:firstLine="0"/>
      </w:pPr>
      <w:r>
        <w:rPr>
          <w:lang w:val="ru-RU" w:eastAsia="ru-RU" w:bidi="ru-RU"/>
          <w:w w:val="100"/>
          <w:color w:val="000000"/>
          <w:position w:val="0"/>
        </w:rPr>
        <w:t>ДЕТСКАЯ</w:t>
      </w:r>
    </w:p>
    <w:p>
      <w:pPr>
        <w:pStyle w:val="Style7"/>
        <w:widowControl w:val="0"/>
        <w:keepNext w:val="0"/>
        <w:keepLines w:val="0"/>
        <w:shd w:val="clear" w:color="auto" w:fill="auto"/>
        <w:bidi w:val="0"/>
        <w:jc w:val="left"/>
        <w:spacing w:before="0" w:after="7281" w:line="740" w:lineRule="exact"/>
        <w:ind w:left="0" w:right="0" w:firstLine="0"/>
      </w:pPr>
      <w:r>
        <w:rPr>
          <w:lang w:val="ru-RU" w:eastAsia="ru-RU" w:bidi="ru-RU"/>
          <w:w w:val="100"/>
          <w:color w:val="000000"/>
          <w:position w:val="0"/>
        </w:rPr>
        <w:t>КАРДИОЛОГИЯ</w:t>
      </w:r>
    </w:p>
    <w:p>
      <w:pPr>
        <w:pStyle w:val="Style9"/>
        <w:widowControl w:val="0"/>
        <w:keepNext w:val="0"/>
        <w:keepLines w:val="0"/>
        <w:shd w:val="clear" w:color="auto" w:fill="auto"/>
        <w:bidi w:val="0"/>
        <w:jc w:val="left"/>
        <w:spacing w:before="0" w:after="0" w:line="260" w:lineRule="exact"/>
        <w:ind w:left="0" w:right="0" w:firstLine="0"/>
      </w:pPr>
      <w:r>
        <w:rPr>
          <w:lang w:val="ru-RU" w:eastAsia="ru-RU" w:bidi="ru-RU"/>
          <w:w w:val="100"/>
          <w:spacing w:val="0"/>
          <w:color w:val="000000"/>
          <w:position w:val="0"/>
        </w:rPr>
        <w:t>Москва</w:t>
      </w:r>
    </w:p>
    <w:p>
      <w:pPr>
        <w:pStyle w:val="Style9"/>
        <w:widowControl w:val="0"/>
        <w:keepNext w:val="0"/>
        <w:keepLines w:val="0"/>
        <w:shd w:val="clear" w:color="auto" w:fill="auto"/>
        <w:bidi w:val="0"/>
        <w:jc w:val="left"/>
        <w:spacing w:before="0" w:after="8" w:line="260" w:lineRule="exact"/>
        <w:ind w:left="0" w:right="0" w:firstLine="0"/>
      </w:pPr>
      <w:r>
        <w:rPr>
          <w:lang w:val="ru-RU" w:eastAsia="ru-RU" w:bidi="ru-RU"/>
          <w:w w:val="100"/>
          <w:spacing w:val="0"/>
          <w:color w:val="000000"/>
          <w:position w:val="0"/>
        </w:rPr>
        <w:t>«МЕДпресс-информ» 2004</w:t>
      </w:r>
    </w:p>
    <w:p>
      <w:pPr>
        <w:framePr w:h="293" w:wrap="notBeside" w:vAnchor="text" w:hAnchor="text" w:y="1"/>
        <w:widowControl w:val="0"/>
        <w:jc w:val="left"/>
        <w:rPr>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width:210pt;height:15pt;">
            <v:imagedata r:id="rId5" r:href="rId6"/>
          </v:shape>
        </w:pict>
      </w:r>
    </w:p>
    <w:p>
      <w:pPr>
        <w:widowControl w:val="0"/>
        <w:rPr>
          <w:sz w:val="2"/>
          <w:szCs w:val="2"/>
        </w:rPr>
      </w:pPr>
    </w:p>
    <w:p>
      <w:pPr>
        <w:widowControl w:val="0"/>
        <w:rPr>
          <w:sz w:val="2"/>
          <w:szCs w:val="2"/>
        </w:rPr>
        <w:sectPr>
          <w:footnotePr>
            <w:pos w:val="pageBottom"/>
            <w:numFmt w:val="chicago"/>
            <w:numRestart w:val="eachPage"/>
          </w:footnotePr>
          <w:pgSz w:w="11900" w:h="16840"/>
          <w:pgMar w:top="1175" w:left="3744" w:right="1699" w:bottom="177" w:header="0" w:footer="3" w:gutter="0"/>
          <w:rtlGutter w:val="0"/>
          <w:cols w:space="720"/>
          <w:noEndnote/>
          <w:docGrid w:linePitch="360"/>
        </w:sectPr>
      </w:pPr>
    </w:p>
    <w:p>
      <w:pPr>
        <w:pStyle w:val="Style11"/>
        <w:widowControl w:val="0"/>
        <w:keepNext w:val="0"/>
        <w:keepLines w:val="0"/>
        <w:shd w:val="clear" w:color="auto" w:fill="auto"/>
        <w:bidi w:val="0"/>
        <w:spacing w:before="0" w:after="0" w:line="210" w:lineRule="exact"/>
        <w:ind w:left="440" w:right="0" w:firstLine="0"/>
      </w:pPr>
      <w:r>
        <w:rPr>
          <w:lang w:val="ru-RU" w:eastAsia="ru-RU" w:bidi="ru-RU"/>
          <w:w w:val="100"/>
          <w:spacing w:val="0"/>
          <w:color w:val="000000"/>
          <w:position w:val="0"/>
        </w:rPr>
        <w:t>УДК</w:t>
      </w:r>
    </w:p>
    <w:p>
      <w:pPr>
        <w:pStyle w:val="Style11"/>
        <w:widowControl w:val="0"/>
        <w:keepNext w:val="0"/>
        <w:keepLines w:val="0"/>
        <w:shd w:val="clear" w:color="auto" w:fill="auto"/>
        <w:bidi w:val="0"/>
        <w:spacing w:before="0" w:after="0" w:line="210" w:lineRule="exact"/>
        <w:ind w:left="440" w:right="0" w:firstLine="0"/>
      </w:pPr>
      <w:r>
        <w:rPr>
          <w:lang w:val="ru-RU" w:eastAsia="ru-RU" w:bidi="ru-RU"/>
          <w:w w:val="100"/>
          <w:spacing w:val="0"/>
          <w:color w:val="000000"/>
          <w:position w:val="0"/>
        </w:rPr>
        <w:t>ББК</w:t>
      </w:r>
    </w:p>
    <w:p>
      <w:pPr>
        <w:pStyle w:val="Style11"/>
        <w:widowControl w:val="0"/>
        <w:keepNext w:val="0"/>
        <w:keepLines w:val="0"/>
        <w:shd w:val="clear" w:color="auto" w:fill="auto"/>
        <w:bidi w:val="0"/>
        <w:jc w:val="left"/>
        <w:spacing w:before="0" w:after="344" w:line="210" w:lineRule="exact"/>
        <w:ind w:left="440" w:right="0" w:firstLine="260"/>
      </w:pPr>
      <w:r>
        <w:rPr>
          <w:lang w:val="ru-RU" w:eastAsia="ru-RU" w:bidi="ru-RU"/>
          <w:w w:val="100"/>
          <w:spacing w:val="0"/>
          <w:color w:val="000000"/>
          <w:position w:val="0"/>
        </w:rPr>
        <w:t>Б</w:t>
      </w:r>
    </w:p>
    <w:p>
      <w:pPr>
        <w:pStyle w:val="Style13"/>
        <w:widowControl w:val="0"/>
        <w:keepNext w:val="0"/>
        <w:keepLines w:val="0"/>
        <w:shd w:val="clear" w:color="auto" w:fill="auto"/>
        <w:bidi w:val="0"/>
        <w:jc w:val="left"/>
        <w:spacing w:before="0" w:after="0"/>
        <w:ind w:left="440" w:right="0"/>
      </w:pPr>
      <w:r>
        <w:rPr>
          <w:lang w:val="ru-RU" w:eastAsia="ru-RU" w:bidi="ru-RU"/>
          <w:w w:val="100"/>
          <w:spacing w:val="0"/>
          <w:color w:val="000000"/>
          <w:position w:val="0"/>
        </w:rPr>
        <w:t>Все права защищены. Никакая часть данной книги не может быть воспроизведена в любой форме и любыми средства</w:t>
        <w:softHyphen/>
        <w:t>ми без письменного разрешения владельцев авторских прав.</w:t>
      </w:r>
    </w:p>
    <w:p>
      <w:pPr>
        <w:pStyle w:val="Style13"/>
        <w:widowControl w:val="0"/>
        <w:keepNext w:val="0"/>
        <w:keepLines w:val="0"/>
        <w:shd w:val="clear" w:color="auto" w:fill="auto"/>
        <w:bidi w:val="0"/>
        <w:jc w:val="left"/>
        <w:spacing w:before="0" w:after="0"/>
        <w:ind w:left="440" w:right="0"/>
      </w:pPr>
      <w:r>
        <w:rPr>
          <w:lang w:val="ru-RU" w:eastAsia="ru-RU" w:bidi="ru-RU"/>
          <w:w w:val="100"/>
          <w:spacing w:val="0"/>
          <w:color w:val="000000"/>
          <w:position w:val="0"/>
        </w:rPr>
        <w:t>Авторы и издательство приложили все усилия, чтобы обеспечить точность приведенных в данной книге показаний, по</w:t>
        <w:softHyphen/>
        <w:t>бочных реакций, рекомендуемых доз лекарств. Однако эти сведения могут изменяться.</w:t>
      </w:r>
    </w:p>
    <w:p>
      <w:pPr>
        <w:pStyle w:val="Style13"/>
        <w:widowControl w:val="0"/>
        <w:keepNext w:val="0"/>
        <w:keepLines w:val="0"/>
        <w:shd w:val="clear" w:color="auto" w:fill="auto"/>
        <w:bidi w:val="0"/>
        <w:jc w:val="left"/>
        <w:spacing w:before="0" w:after="401"/>
        <w:ind w:left="440" w:right="0"/>
      </w:pPr>
      <w:r>
        <w:rPr>
          <w:lang w:val="ru-RU" w:eastAsia="ru-RU" w:bidi="ru-RU"/>
          <w:w w:val="100"/>
          <w:spacing w:val="0"/>
          <w:color w:val="000000"/>
          <w:position w:val="0"/>
        </w:rPr>
        <w:t>Внимательно изучайте сопроводительные инструкции изготовителя по применению лекарственных средств.</w:t>
      </w:r>
    </w:p>
    <w:p>
      <w:pPr>
        <w:pStyle w:val="Style11"/>
        <w:widowControl w:val="0"/>
        <w:keepNext w:val="0"/>
        <w:keepLines w:val="0"/>
        <w:shd w:val="clear" w:color="auto" w:fill="auto"/>
        <w:bidi w:val="0"/>
        <w:jc w:val="left"/>
        <w:spacing w:before="0" w:after="0" w:line="240" w:lineRule="exact"/>
        <w:ind w:left="1040" w:right="0" w:firstLine="0"/>
      </w:pPr>
      <w:r>
        <w:rPr>
          <w:lang w:val="ru-RU" w:eastAsia="ru-RU" w:bidi="ru-RU"/>
          <w:w w:val="100"/>
          <w:spacing w:val="0"/>
          <w:color w:val="000000"/>
          <w:position w:val="0"/>
        </w:rPr>
        <w:t>Белозеров Ю.М.</w:t>
      </w:r>
    </w:p>
    <w:p>
      <w:pPr>
        <w:pStyle w:val="Style11"/>
        <w:tabs>
          <w:tab w:leader="none" w:pos="931" w:val="left"/>
        </w:tabs>
        <w:widowControl w:val="0"/>
        <w:keepNext w:val="0"/>
        <w:keepLines w:val="0"/>
        <w:shd w:val="clear" w:color="auto" w:fill="auto"/>
        <w:bidi w:val="0"/>
        <w:spacing w:before="0" w:after="0" w:line="240" w:lineRule="exact"/>
        <w:ind w:left="0" w:right="0" w:firstLine="0"/>
      </w:pPr>
      <w:r>
        <w:rPr>
          <w:lang w:val="ru-RU" w:eastAsia="ru-RU" w:bidi="ru-RU"/>
          <w:w w:val="100"/>
          <w:spacing w:val="0"/>
          <w:color w:val="000000"/>
          <w:position w:val="0"/>
        </w:rPr>
        <w:t>Б</w:t>
        <w:tab/>
        <w:t>Детская кардиология / Ю.М. Белозеров — М.: МЕДпресс-информ, 2004. — 600 с., илл.</w:t>
      </w:r>
    </w:p>
    <w:p>
      <w:pPr>
        <w:pStyle w:val="Style11"/>
        <w:widowControl w:val="0"/>
        <w:keepNext w:val="0"/>
        <w:keepLines w:val="0"/>
        <w:shd w:val="clear" w:color="auto" w:fill="auto"/>
        <w:bidi w:val="0"/>
        <w:jc w:val="left"/>
        <w:spacing w:before="0" w:after="684" w:line="240" w:lineRule="exact"/>
        <w:ind w:left="1040" w:right="0" w:firstLine="0"/>
      </w:pPr>
      <w:r>
        <w:rPr>
          <w:lang w:val="en-US" w:eastAsia="en-US" w:bidi="en-US"/>
          <w:w w:val="100"/>
          <w:spacing w:val="0"/>
          <w:color w:val="000000"/>
          <w:position w:val="0"/>
        </w:rPr>
        <w:t>ISBN</w:t>
      </w:r>
    </w:p>
    <w:p>
      <w:pPr>
        <w:pStyle w:val="Style11"/>
        <w:widowControl w:val="0"/>
        <w:keepNext w:val="0"/>
        <w:keepLines w:val="0"/>
        <w:shd w:val="clear" w:color="auto" w:fill="auto"/>
        <w:bidi w:val="0"/>
        <w:jc w:val="left"/>
        <w:spacing w:before="0" w:after="0" w:line="210" w:lineRule="exact"/>
        <w:ind w:left="4400" w:right="0" w:firstLine="0"/>
      </w:pPr>
      <w:r>
        <w:rPr>
          <w:lang w:val="ru-RU" w:eastAsia="ru-RU" w:bidi="ru-RU"/>
          <w:w w:val="100"/>
          <w:spacing w:val="0"/>
          <w:color w:val="000000"/>
          <w:position w:val="0"/>
        </w:rPr>
        <w:t>УДК</w:t>
      </w:r>
    </w:p>
    <w:p>
      <w:pPr>
        <w:pStyle w:val="Style11"/>
        <w:widowControl w:val="0"/>
        <w:keepNext w:val="0"/>
        <w:keepLines w:val="0"/>
        <w:shd w:val="clear" w:color="auto" w:fill="auto"/>
        <w:bidi w:val="0"/>
        <w:jc w:val="left"/>
        <w:spacing w:before="0" w:after="4873" w:line="210" w:lineRule="exact"/>
        <w:ind w:left="4400" w:right="0" w:firstLine="0"/>
      </w:pPr>
      <w:r>
        <w:rPr>
          <w:lang w:val="ru-RU" w:eastAsia="ru-RU" w:bidi="ru-RU"/>
          <w:w w:val="100"/>
          <w:spacing w:val="0"/>
          <w:color w:val="000000"/>
          <w:position w:val="0"/>
        </w:rPr>
        <w:t>ББК</w:t>
      </w:r>
    </w:p>
    <w:p>
      <w:pPr>
        <w:pStyle w:val="Style11"/>
        <w:tabs>
          <w:tab w:leader="none" w:pos="3632" w:val="left"/>
        </w:tabs>
        <w:widowControl w:val="0"/>
        <w:keepNext w:val="0"/>
        <w:keepLines w:val="0"/>
        <w:shd w:val="clear" w:color="auto" w:fill="auto"/>
        <w:bidi w:val="0"/>
        <w:spacing w:before="0" w:after="0" w:line="240" w:lineRule="exact"/>
        <w:ind w:left="440" w:right="0" w:firstLine="0"/>
      </w:pPr>
      <w:r>
        <w:rPr>
          <w:lang w:val="en-US" w:eastAsia="en-US" w:bidi="en-US"/>
          <w:w w:val="100"/>
          <w:spacing w:val="0"/>
          <w:color w:val="000000"/>
          <w:position w:val="0"/>
        </w:rPr>
        <w:t>ISBN</w:t>
        <w:tab/>
      </w:r>
      <w:r>
        <w:rPr>
          <w:lang w:val="ru-RU" w:eastAsia="ru-RU" w:bidi="ru-RU"/>
          <w:w w:val="100"/>
          <w:spacing w:val="0"/>
          <w:color w:val="000000"/>
          <w:position w:val="0"/>
        </w:rPr>
        <w:t>© Белозеров Ю.М., 2004</w:t>
      </w:r>
    </w:p>
    <w:p>
      <w:pPr>
        <w:pStyle w:val="Style11"/>
        <w:widowControl w:val="0"/>
        <w:keepNext w:val="0"/>
        <w:keepLines w:val="0"/>
        <w:shd w:val="clear" w:color="auto" w:fill="auto"/>
        <w:bidi w:val="0"/>
        <w:jc w:val="left"/>
        <w:spacing w:before="0" w:after="4872" w:line="240" w:lineRule="exact"/>
        <w:ind w:left="3840" w:right="2340"/>
      </w:pPr>
      <w:r>
        <w:rPr>
          <w:lang w:val="ru-RU" w:eastAsia="ru-RU" w:bidi="ru-RU"/>
          <w:w w:val="100"/>
          <w:spacing w:val="0"/>
          <w:color w:val="000000"/>
          <w:position w:val="0"/>
        </w:rPr>
        <w:t>© Оформление, оригинал-макет. Издательство «МЕДпресс-информ», 2004</w:t>
      </w:r>
    </w:p>
    <w:p>
      <w:pPr>
        <w:framePr w:h="293" w:wrap="notBeside" w:vAnchor="text" w:hAnchor="text" w:xAlign="center" w:y="1"/>
        <w:widowControl w:val="0"/>
        <w:jc w:val="center"/>
        <w:rPr>
          <w:sz w:val="2"/>
          <w:szCs w:val="2"/>
        </w:rPr>
      </w:pPr>
      <w:r>
        <w:pict>
          <v:shape id="_x0000_s1027" type="#_x0000_t75" style="width:210pt;height:15pt;">
            <v:imagedata r:id="rId7" r:href="rId8"/>
          </v:shape>
        </w:pict>
      </w:r>
    </w:p>
    <w:p>
      <w:pPr>
        <w:widowControl w:val="0"/>
        <w:rPr>
          <w:sz w:val="2"/>
          <w:szCs w:val="2"/>
        </w:rPr>
      </w:pPr>
    </w:p>
    <w:p>
      <w:pPr>
        <w:pStyle w:val="Style15"/>
        <w:widowControl w:val="0"/>
        <w:keepNext/>
        <w:keepLines/>
        <w:shd w:val="clear" w:color="auto" w:fill="auto"/>
        <w:bidi w:val="0"/>
        <w:jc w:val="left"/>
        <w:spacing w:before="0" w:after="383" w:line="340" w:lineRule="exact"/>
        <w:ind w:left="2300" w:right="0" w:firstLine="0"/>
      </w:pPr>
      <w:bookmarkStart w:id="0" w:name="bookmark0"/>
      <w:r>
        <w:rPr>
          <w:lang w:val="ru-RU" w:eastAsia="ru-RU" w:bidi="ru-RU"/>
          <w:w w:val="100"/>
          <w:spacing w:val="0"/>
          <w:color w:val="000000"/>
          <w:position w:val="0"/>
        </w:rPr>
        <w:t>СОДЕРЖАНИЕ</w:t>
      </w:r>
      <w:bookmarkEnd w:id="0"/>
    </w:p>
    <w:p>
      <w:pPr>
        <w:pStyle w:val="TOC_1"/>
        <w:tabs>
          <w:tab w:leader="dot" w:pos="9814" w:val="right"/>
        </w:tabs>
        <w:widowControl w:val="0"/>
        <w:keepNext w:val="0"/>
        <w:keepLines w:val="0"/>
        <w:shd w:val="clear" w:color="auto" w:fill="auto"/>
        <w:bidi w:val="0"/>
        <w:spacing w:before="0" w:after="0"/>
        <w:ind w:left="0" w:right="0" w:firstLine="0"/>
      </w:pPr>
      <w:r>
        <w:fldChar w:fldCharType="begin"/>
        <w:instrText xml:space="preserve"> TOC \o "1-5" \h \z </w:instrText>
        <w:fldChar w:fldCharType="separate"/>
      </w:r>
      <w:hyperlink w:anchor="bookmark1" w:tooltip="Current Document">
        <w:r>
          <w:rPr>
            <w:lang w:val="ru-RU" w:eastAsia="ru-RU" w:bidi="ru-RU"/>
            <w:w w:val="100"/>
            <w:spacing w:val="0"/>
            <w:color w:val="000000"/>
            <w:position w:val="0"/>
          </w:rPr>
          <w:t>Глава I. Основы диагностики заболеваний сердца и сосудов</w:t>
          <w:tab/>
          <w:t>9</w:t>
        </w:r>
      </w:hyperlink>
    </w:p>
    <w:p>
      <w:pPr>
        <w:pStyle w:val="TOC_2"/>
        <w:tabs>
          <w:tab w:leader="dot" w:pos="9814" w:val="right"/>
        </w:tabs>
        <w:widowControl w:val="0"/>
        <w:keepNext w:val="0"/>
        <w:keepLines w:val="0"/>
        <w:shd w:val="clear" w:color="auto" w:fill="auto"/>
        <w:bidi w:val="0"/>
        <w:spacing w:before="0" w:after="0"/>
        <w:ind w:left="260" w:right="0" w:firstLine="0"/>
      </w:pPr>
      <w:hyperlink w:anchor="bookmark2" w:tooltip="Current Document">
        <w:r>
          <w:rPr>
            <w:rStyle w:val="CharStyle18"/>
          </w:rPr>
          <w:t>Эмбриология и анатомия сердца плода</w:t>
          <w:tab/>
          <w:t>9</w:t>
        </w:r>
      </w:hyperlink>
    </w:p>
    <w:p>
      <w:pPr>
        <w:pStyle w:val="TOC_3"/>
        <w:tabs>
          <w:tab w:leader="dot" w:pos="9814" w:val="right"/>
        </w:tabs>
        <w:widowControl w:val="0"/>
        <w:keepNext w:val="0"/>
        <w:keepLines w:val="0"/>
        <w:shd w:val="clear" w:color="auto" w:fill="auto"/>
        <w:bidi w:val="0"/>
        <w:spacing w:before="0" w:after="0"/>
        <w:ind w:left="480" w:right="0" w:firstLine="0"/>
      </w:pPr>
      <w:hyperlink w:anchor="bookmark3" w:tooltip="Current Document">
        <w:r>
          <w:rPr>
            <w:rStyle w:val="CharStyle18"/>
          </w:rPr>
          <w:t>Кровообращение плода</w:t>
          <w:tab/>
          <w:t>11</w:t>
        </w:r>
      </w:hyperlink>
    </w:p>
    <w:p>
      <w:pPr>
        <w:pStyle w:val="TOC_3"/>
        <w:tabs>
          <w:tab w:leader="dot" w:pos="9814" w:val="right"/>
        </w:tabs>
        <w:widowControl w:val="0"/>
        <w:keepNext w:val="0"/>
        <w:keepLines w:val="0"/>
        <w:shd w:val="clear" w:color="auto" w:fill="auto"/>
        <w:bidi w:val="0"/>
        <w:spacing w:before="0" w:after="0"/>
        <w:ind w:left="480" w:right="0" w:firstLine="0"/>
      </w:pPr>
      <w:hyperlink w:anchor="bookmark5" w:tooltip="Current Document">
        <w:r>
          <w:rPr>
            <w:rStyle w:val="CharStyle18"/>
          </w:rPr>
          <w:t>Морфометрические и гемодинамические показатели сердца плода</w:t>
          <w:tab/>
          <w:t>12</w:t>
        </w:r>
      </w:hyperlink>
    </w:p>
    <w:p>
      <w:pPr>
        <w:pStyle w:val="TOC_3"/>
        <w:tabs>
          <w:tab w:leader="dot" w:pos="9814" w:val="right"/>
        </w:tabs>
        <w:widowControl w:val="0"/>
        <w:keepNext w:val="0"/>
        <w:keepLines w:val="0"/>
        <w:shd w:val="clear" w:color="auto" w:fill="auto"/>
        <w:bidi w:val="0"/>
        <w:spacing w:before="0" w:after="0"/>
        <w:ind w:left="480" w:right="0" w:firstLine="0"/>
      </w:pPr>
      <w:hyperlink w:anchor="bookmark6" w:tooltip="Current Document">
        <w:r>
          <w:rPr>
            <w:rStyle w:val="CharStyle18"/>
          </w:rPr>
          <w:t>Кровообращение в переходный период</w:t>
          <w:tab/>
          <w:t>12</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7" w:tooltip="Current Document">
        <w:r>
          <w:rPr>
            <w:lang w:val="ru-RU" w:eastAsia="ru-RU" w:bidi="ru-RU"/>
            <w:w w:val="100"/>
            <w:color w:val="000000"/>
            <w:position w:val="0"/>
          </w:rPr>
          <w:t>Закрытие овального окна</w:t>
        </w:r>
        <w:r>
          <w:rPr>
            <w:rStyle w:val="CharStyle21"/>
            <w:i w:val="0"/>
            <w:iCs w:val="0"/>
          </w:rPr>
          <w:tab/>
          <w:t>13</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8" w:tooltip="Current Document">
        <w:r>
          <w:rPr>
            <w:lang w:val="ru-RU" w:eastAsia="ru-RU" w:bidi="ru-RU"/>
            <w:w w:val="100"/>
            <w:color w:val="000000"/>
            <w:position w:val="0"/>
          </w:rPr>
          <w:t>Закрытие артериального протока</w:t>
        </w:r>
        <w:r>
          <w:rPr>
            <w:rStyle w:val="CharStyle21"/>
            <w:i w:val="0"/>
            <w:iCs w:val="0"/>
          </w:rPr>
          <w:tab/>
          <w:t>13</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9" w:tooltip="Current Document">
        <w:r>
          <w:rPr>
            <w:lang w:val="ru-RU" w:eastAsia="ru-RU" w:bidi="ru-RU"/>
            <w:w w:val="100"/>
            <w:color w:val="000000"/>
            <w:position w:val="0"/>
          </w:rPr>
          <w:t>Другие изменения гемодинамики</w:t>
        </w:r>
        <w:r>
          <w:rPr>
            <w:rStyle w:val="CharStyle21"/>
            <w:i w:val="0"/>
            <w:iCs w:val="0"/>
          </w:rPr>
          <w:tab/>
          <w:t>13</w:t>
        </w:r>
      </w:hyperlink>
    </w:p>
    <w:p>
      <w:pPr>
        <w:pStyle w:val="TOC_3"/>
        <w:tabs>
          <w:tab w:leader="dot" w:pos="9814" w:val="right"/>
        </w:tabs>
        <w:widowControl w:val="0"/>
        <w:keepNext w:val="0"/>
        <w:keepLines w:val="0"/>
        <w:shd w:val="clear" w:color="auto" w:fill="auto"/>
        <w:bidi w:val="0"/>
        <w:spacing w:before="0" w:after="0"/>
        <w:ind w:left="480" w:right="0" w:firstLine="0"/>
      </w:pPr>
      <w:hyperlink w:anchor="bookmark10" w:tooltip="Current Document">
        <w:r>
          <w:rPr>
            <w:rStyle w:val="CharStyle18"/>
          </w:rPr>
          <w:t>Гемодинамические параметры переходной гемодинамики</w:t>
          <w:tab/>
          <w:t>14</w:t>
        </w:r>
      </w:hyperlink>
    </w:p>
    <w:p>
      <w:pPr>
        <w:pStyle w:val="TOC_1"/>
        <w:tabs>
          <w:tab w:leader="dot" w:pos="9814" w:val="right"/>
        </w:tabs>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Кровообращение новорожденных</w:t>
        <w:tab/>
        <w:t>15</w:t>
      </w:r>
    </w:p>
    <w:p>
      <w:pPr>
        <w:pStyle w:val="TOC_1"/>
        <w:tabs>
          <w:tab w:leader="dot" w:pos="9814" w:val="righ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Диагностика заболеваний органов кровообращения</w:t>
        <w:tab/>
        <w:t>15</w:t>
      </w:r>
    </w:p>
    <w:p>
      <w:pPr>
        <w:pStyle w:val="TOC_5"/>
        <w:tabs>
          <w:tab w:leader="dot" w:pos="9814" w:val="right"/>
        </w:tabs>
        <w:widowControl w:val="0"/>
        <w:keepNext w:val="0"/>
        <w:keepLines w:val="0"/>
        <w:shd w:val="clear" w:color="auto" w:fill="auto"/>
        <w:bidi w:val="0"/>
        <w:spacing w:before="0" w:after="0"/>
        <w:ind w:left="720" w:right="0" w:firstLine="0"/>
      </w:pPr>
      <w:hyperlink w:anchor="bookmark259" w:tooltip="Current Document">
        <w:r>
          <w:rPr>
            <w:rStyle w:val="CharStyle20"/>
            <w:i/>
            <w:iCs/>
          </w:rPr>
          <w:t>Введение</w:t>
        </w:r>
        <w:r>
          <w:rPr>
            <w:rStyle w:val="CharStyle21"/>
            <w:i w:val="0"/>
            <w:iCs w:val="0"/>
          </w:rPr>
          <w:tab/>
          <w:t>15</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11" w:tooltip="Current Document">
        <w:r>
          <w:rPr>
            <w:lang w:val="ru-RU" w:eastAsia="ru-RU" w:bidi="ru-RU"/>
            <w:w w:val="100"/>
            <w:color w:val="000000"/>
            <w:position w:val="0"/>
          </w:rPr>
          <w:t>Анамнез</w:t>
        </w:r>
        <w:r>
          <w:rPr>
            <w:rStyle w:val="CharStyle21"/>
            <w:i w:val="0"/>
            <w:iCs w:val="0"/>
          </w:rPr>
          <w:tab/>
          <w:t>16</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12" w:tooltip="Current Document">
        <w:r>
          <w:rPr>
            <w:lang w:val="ru-RU" w:eastAsia="ru-RU" w:bidi="ru-RU"/>
            <w:w w:val="100"/>
            <w:color w:val="000000"/>
            <w:position w:val="0"/>
          </w:rPr>
          <w:t>Основные симптомы болезней системы кровообращения</w:t>
        </w:r>
        <w:r>
          <w:rPr>
            <w:rStyle w:val="CharStyle21"/>
            <w:i w:val="0"/>
            <w:iCs w:val="0"/>
          </w:rPr>
          <w:tab/>
          <w:t>17</w:t>
        </w:r>
      </w:hyperlink>
    </w:p>
    <w:p>
      <w:pPr>
        <w:pStyle w:val="TOC_4"/>
        <w:tabs>
          <w:tab w:leader="dot" w:pos="9814" w:val="right"/>
        </w:tabs>
        <w:widowControl w:val="0"/>
        <w:keepNext w:val="0"/>
        <w:keepLines w:val="0"/>
        <w:shd w:val="clear" w:color="auto" w:fill="auto"/>
        <w:bidi w:val="0"/>
        <w:spacing w:before="0" w:after="0"/>
        <w:ind w:left="720" w:right="0" w:firstLine="0"/>
      </w:pPr>
      <w:r>
        <w:rPr>
          <w:lang w:val="ru-RU" w:eastAsia="ru-RU" w:bidi="ru-RU"/>
          <w:w w:val="100"/>
          <w:color w:val="000000"/>
          <w:position w:val="0"/>
        </w:rPr>
        <w:t>Физикальное обследование</w:t>
      </w:r>
      <w:r>
        <w:rPr>
          <w:rStyle w:val="CharStyle21"/>
          <w:i w:val="0"/>
          <w:iCs w:val="0"/>
        </w:rPr>
        <w:tab/>
        <w:t>19</w:t>
      </w:r>
    </w:p>
    <w:p>
      <w:pPr>
        <w:pStyle w:val="TOC_3"/>
        <w:tabs>
          <w:tab w:leader="dot" w:pos="9814" w:val="right"/>
        </w:tabs>
        <w:widowControl w:val="0"/>
        <w:keepNext w:val="0"/>
        <w:keepLines w:val="0"/>
        <w:shd w:val="clear" w:color="auto" w:fill="auto"/>
        <w:bidi w:val="0"/>
        <w:spacing w:before="0" w:after="0"/>
        <w:ind w:left="480" w:right="0" w:firstLine="0"/>
      </w:pPr>
      <w:hyperlink w:anchor="bookmark57" w:tooltip="Current Document">
        <w:r>
          <w:rPr>
            <w:rStyle w:val="CharStyle18"/>
          </w:rPr>
          <w:t>Электрокардиография</w:t>
          <w:tab/>
          <w:t>22</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58" w:tooltip="Current Document">
        <w:r>
          <w:rPr>
            <w:lang w:val="ru-RU" w:eastAsia="ru-RU" w:bidi="ru-RU"/>
            <w:w w:val="100"/>
            <w:color w:val="000000"/>
            <w:position w:val="0"/>
          </w:rPr>
          <w:t>Нормальная электрокардиограмма</w:t>
        </w:r>
        <w:r>
          <w:rPr>
            <w:rStyle w:val="CharStyle21"/>
            <w:i w:val="0"/>
            <w:iCs w:val="0"/>
          </w:rPr>
          <w:tab/>
          <w:t>22</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60" w:tooltip="Current Document">
        <w:r>
          <w:rPr>
            <w:lang w:val="ru-RU" w:eastAsia="ru-RU" w:bidi="ru-RU"/>
            <w:w w:val="100"/>
            <w:color w:val="000000"/>
            <w:position w:val="0"/>
          </w:rPr>
          <w:t>Электрокардиография в диагностике перегрузки (дилатации, гипертрофии) камер сердца</w:t>
        </w:r>
        <w:r>
          <w:rPr>
            <w:rStyle w:val="CharStyle21"/>
            <w:i w:val="0"/>
            <w:iCs w:val="0"/>
          </w:rPr>
          <w:tab/>
          <w:t>25</w:t>
        </w:r>
      </w:hyperlink>
    </w:p>
    <w:p>
      <w:pPr>
        <w:pStyle w:val="TOC_3"/>
        <w:tabs>
          <w:tab w:leader="dot" w:pos="9814" w:val="right"/>
        </w:tabs>
        <w:widowControl w:val="0"/>
        <w:keepNext w:val="0"/>
        <w:keepLines w:val="0"/>
        <w:shd w:val="clear" w:color="auto" w:fill="auto"/>
        <w:bidi w:val="0"/>
        <w:spacing w:before="0" w:after="0"/>
        <w:ind w:left="480" w:right="0" w:firstLine="0"/>
      </w:pPr>
      <w:hyperlink w:anchor="bookmark68" w:tooltip="Current Document">
        <w:r>
          <w:rPr>
            <w:rStyle w:val="CharStyle18"/>
          </w:rPr>
          <w:t>Определение терминов, связанных с сердечным ритмом</w:t>
          <w:tab/>
          <w:t>28</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69" w:tooltip="Current Document">
        <w:r>
          <w:rPr>
            <w:lang w:val="ru-RU" w:eastAsia="ru-RU" w:bidi="ru-RU"/>
            <w:w w:val="100"/>
            <w:color w:val="000000"/>
            <w:position w:val="0"/>
          </w:rPr>
          <w:t>Классификация нарушений ритма и проводимости</w:t>
        </w:r>
        <w:r>
          <w:rPr>
            <w:rStyle w:val="CharStyle21"/>
            <w:i w:val="0"/>
            <w:iCs w:val="0"/>
          </w:rPr>
          <w:tab/>
          <w:t>32</w:t>
        </w:r>
      </w:hyperlink>
    </w:p>
    <w:p>
      <w:pPr>
        <w:pStyle w:val="TOC_3"/>
        <w:tabs>
          <w:tab w:leader="dot" w:pos="9814" w:val="right"/>
        </w:tabs>
        <w:widowControl w:val="0"/>
        <w:keepNext w:val="0"/>
        <w:keepLines w:val="0"/>
        <w:shd w:val="clear" w:color="auto" w:fill="auto"/>
        <w:bidi w:val="0"/>
        <w:spacing w:before="0" w:after="0"/>
        <w:ind w:left="480" w:right="0" w:firstLine="0"/>
      </w:pPr>
      <w:hyperlink w:anchor="bookmark77" w:tooltip="Current Document">
        <w:r>
          <w:rPr>
            <w:rStyle w:val="CharStyle18"/>
          </w:rPr>
          <w:t>Рентгенографические симптомы и признаки</w:t>
          <w:tab/>
          <w:t>33</w:t>
        </w:r>
      </w:hyperlink>
    </w:p>
    <w:p>
      <w:pPr>
        <w:pStyle w:val="TOC_3"/>
        <w:tabs>
          <w:tab w:leader="dot" w:pos="9814" w:val="right"/>
        </w:tabs>
        <w:widowControl w:val="0"/>
        <w:keepNext w:val="0"/>
        <w:keepLines w:val="0"/>
        <w:shd w:val="clear" w:color="auto" w:fill="auto"/>
        <w:bidi w:val="0"/>
        <w:spacing w:before="0" w:after="0"/>
        <w:ind w:left="480" w:right="0" w:firstLine="0"/>
      </w:pPr>
      <w:hyperlink w:anchor="bookmark106" w:tooltip="Current Document">
        <w:r>
          <w:rPr>
            <w:rStyle w:val="CharStyle18"/>
          </w:rPr>
          <w:t>Эхокардиография</w:t>
          <w:tab/>
          <w:t>35</w:t>
        </w:r>
      </w:hyperlink>
    </w:p>
    <w:p>
      <w:pPr>
        <w:pStyle w:val="TOC_3"/>
        <w:tabs>
          <w:tab w:leader="dot" w:pos="9814" w:val="right"/>
        </w:tabs>
        <w:widowControl w:val="0"/>
        <w:keepNext w:val="0"/>
        <w:keepLines w:val="0"/>
        <w:shd w:val="clear" w:color="auto" w:fill="auto"/>
        <w:bidi w:val="0"/>
        <w:spacing w:before="0" w:after="60"/>
        <w:ind w:left="480" w:right="0" w:firstLine="0"/>
      </w:pPr>
      <w:hyperlink w:anchor="bookmark118" w:tooltip="Current Document">
        <w:r>
          <w:rPr>
            <w:rStyle w:val="CharStyle18"/>
          </w:rPr>
          <w:t>Семиотика в кардиологии</w:t>
          <w:tab/>
          <w:t>41</w:t>
        </w:r>
      </w:hyperlink>
    </w:p>
    <w:p>
      <w:pPr>
        <w:pStyle w:val="TOC_1"/>
        <w:tabs>
          <w:tab w:leader="dot" w:pos="9814" w:val="right"/>
        </w:tabs>
        <w:widowControl w:val="0"/>
        <w:keepNext w:val="0"/>
        <w:keepLines w:val="0"/>
        <w:shd w:val="clear" w:color="auto" w:fill="auto"/>
        <w:bidi w:val="0"/>
        <w:spacing w:before="0" w:after="0"/>
        <w:ind w:left="0" w:right="0" w:firstLine="0"/>
      </w:pPr>
      <w:hyperlink w:anchor="bookmark257" w:tooltip="Current Document">
        <w:r>
          <w:rPr>
            <w:lang w:val="ru-RU" w:eastAsia="ru-RU" w:bidi="ru-RU"/>
            <w:w w:val="100"/>
            <w:spacing w:val="0"/>
            <w:color w:val="000000"/>
            <w:position w:val="0"/>
          </w:rPr>
          <w:t>Глава II. Врожденные пороки сердца</w:t>
          <w:tab/>
          <w:t>54</w:t>
        </w:r>
      </w:hyperlink>
    </w:p>
    <w:p>
      <w:pPr>
        <w:pStyle w:val="TOC_2"/>
        <w:tabs>
          <w:tab w:leader="dot" w:pos="9814" w:val="right"/>
        </w:tabs>
        <w:widowControl w:val="0"/>
        <w:keepNext w:val="0"/>
        <w:keepLines w:val="0"/>
        <w:shd w:val="clear" w:color="auto" w:fill="auto"/>
        <w:bidi w:val="0"/>
        <w:spacing w:before="0" w:after="0"/>
        <w:ind w:left="260" w:right="0" w:firstLine="0"/>
      </w:pPr>
      <w:hyperlink w:anchor="bookmark258" w:tooltip="Current Document">
        <w:r>
          <w:rPr>
            <w:rStyle w:val="CharStyle18"/>
          </w:rPr>
          <w:t>Генетические и средовые аспекты врожденных пороков сердца</w:t>
          <w:tab/>
          <w:t>54</w:t>
        </w:r>
      </w:hyperlink>
    </w:p>
    <w:p>
      <w:pPr>
        <w:pStyle w:val="TOC_3"/>
        <w:tabs>
          <w:tab w:leader="dot" w:pos="9814" w:val="right"/>
        </w:tabs>
        <w:widowControl w:val="0"/>
        <w:keepNext w:val="0"/>
        <w:keepLines w:val="0"/>
        <w:shd w:val="clear" w:color="auto" w:fill="auto"/>
        <w:bidi w:val="0"/>
        <w:spacing w:before="0" w:after="0"/>
        <w:ind w:left="480" w:right="0" w:firstLine="0"/>
      </w:pPr>
      <w:hyperlink w:anchor="bookmark260" w:tooltip="Current Document">
        <w:r>
          <w:rPr>
            <w:rStyle w:val="CharStyle18"/>
          </w:rPr>
          <w:t>Распространенность врожденных пороков сердца</w:t>
          <w:tab/>
          <w:t>54</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61" w:tooltip="Current Document">
        <w:r>
          <w:rPr>
            <w:lang w:val="ru-RU" w:eastAsia="ru-RU" w:bidi="ru-RU"/>
            <w:w w:val="100"/>
            <w:color w:val="000000"/>
            <w:position w:val="0"/>
          </w:rPr>
          <w:t>Критические периоды морфогенеза сердца</w:t>
        </w:r>
        <w:r>
          <w:rPr>
            <w:rStyle w:val="CharStyle21"/>
            <w:i w:val="0"/>
            <w:iCs w:val="0"/>
          </w:rPr>
          <w:tab/>
          <w:t>55</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62" w:tooltip="Current Document">
        <w:r>
          <w:rPr>
            <w:lang w:val="ru-RU" w:eastAsia="ru-RU" w:bidi="ru-RU"/>
            <w:w w:val="100"/>
            <w:color w:val="000000"/>
            <w:position w:val="0"/>
          </w:rPr>
          <w:t>Патогенез врожденных пороков сердца</w:t>
        </w:r>
        <w:r>
          <w:rPr>
            <w:rStyle w:val="CharStyle21"/>
            <w:i w:val="0"/>
            <w:iCs w:val="0"/>
          </w:rPr>
          <w:tab/>
          <w:t>55</w:t>
        </w:r>
      </w:hyperlink>
    </w:p>
    <w:p>
      <w:pPr>
        <w:pStyle w:val="TOC_3"/>
        <w:tabs>
          <w:tab w:leader="dot" w:pos="9814" w:val="right"/>
        </w:tabs>
        <w:widowControl w:val="0"/>
        <w:keepNext w:val="0"/>
        <w:keepLines w:val="0"/>
        <w:shd w:val="clear" w:color="auto" w:fill="auto"/>
        <w:bidi w:val="0"/>
        <w:spacing w:before="0" w:after="0"/>
        <w:ind w:left="480" w:right="0" w:firstLine="0"/>
      </w:pPr>
      <w:hyperlink w:anchor="bookmark264" w:tooltip="Current Document">
        <w:r>
          <w:rPr>
            <w:rStyle w:val="CharStyle18"/>
          </w:rPr>
          <w:t>Генетические и средовые факторы возникновения врожденных пороков сердца</w:t>
          <w:tab/>
          <w:t>56</w:t>
        </w:r>
      </w:hyperlink>
    </w:p>
    <w:p>
      <w:pPr>
        <w:pStyle w:val="TOC_3"/>
        <w:tabs>
          <w:tab w:leader="dot" w:pos="9814" w:val="right"/>
        </w:tabs>
        <w:widowControl w:val="0"/>
        <w:keepNext w:val="0"/>
        <w:keepLines w:val="0"/>
        <w:shd w:val="clear" w:color="auto" w:fill="auto"/>
        <w:bidi w:val="0"/>
        <w:spacing w:before="0" w:after="0"/>
        <w:ind w:left="480" w:right="0" w:firstLine="0"/>
      </w:pPr>
      <w:hyperlink w:anchor="bookmark265" w:tooltip="Current Document">
        <w:r>
          <w:rPr>
            <w:rStyle w:val="CharStyle18"/>
          </w:rPr>
          <w:t>Принципы оценки риска возникновения врожденных пороков сердца</w:t>
          <w:tab/>
          <w:t>56</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66" w:tooltip="Current Document">
        <w:r>
          <w:rPr>
            <w:lang w:val="ru-RU" w:eastAsia="ru-RU" w:bidi="ru-RU"/>
            <w:w w:val="100"/>
            <w:color w:val="000000"/>
            <w:position w:val="0"/>
          </w:rPr>
          <w:t>Врожденные пороки сердца, обусловленные хромосомными аберрациями</w:t>
        </w:r>
        <w:r>
          <w:rPr>
            <w:rStyle w:val="CharStyle21"/>
            <w:i w:val="0"/>
            <w:iCs w:val="0"/>
          </w:rPr>
          <w:tab/>
          <w:t>57</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71" w:tooltip="Current Document">
        <w:r>
          <w:rPr>
            <w:lang w:val="ru-RU" w:eastAsia="ru-RU" w:bidi="ru-RU"/>
            <w:w w:val="100"/>
            <w:color w:val="000000"/>
            <w:position w:val="0"/>
          </w:rPr>
          <w:t>Пороки развития сердца, связанные с мутациями единичных генов</w:t>
        </w:r>
        <w:r>
          <w:rPr>
            <w:rStyle w:val="CharStyle21"/>
            <w:i w:val="0"/>
            <w:iCs w:val="0"/>
          </w:rPr>
          <w:tab/>
          <w:t>60</w:t>
        </w:r>
      </w:hyperlink>
    </w:p>
    <w:p>
      <w:pPr>
        <w:pStyle w:val="TOC_3"/>
        <w:tabs>
          <w:tab w:leader="dot" w:pos="9814" w:val="right"/>
        </w:tabs>
        <w:widowControl w:val="0"/>
        <w:keepNext w:val="0"/>
        <w:keepLines w:val="0"/>
        <w:shd w:val="clear" w:color="auto" w:fill="auto"/>
        <w:bidi w:val="0"/>
        <w:spacing w:before="0" w:after="0"/>
        <w:ind w:left="480" w:right="0" w:firstLine="0"/>
      </w:pPr>
      <w:hyperlink w:anchor="bookmark277" w:tooltip="Current Document">
        <w:r>
          <w:rPr>
            <w:rStyle w:val="CharStyle18"/>
          </w:rPr>
          <w:t>Генетика основных пороков сердца</w:t>
          <w:tab/>
          <w:t>63</w:t>
        </w:r>
      </w:hyperlink>
    </w:p>
    <w:p>
      <w:pPr>
        <w:pStyle w:val="TOC_1"/>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Тератогенное воздействие химических, физических и биологических факторов на формирование</w:t>
      </w:r>
    </w:p>
    <w:p>
      <w:pPr>
        <w:pStyle w:val="TOC_1"/>
        <w:tabs>
          <w:tab w:leader="dot" w:pos="9814" w:val="right"/>
        </w:tabs>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врожденных пороков сердца у детей</w:t>
        <w:tab/>
        <w:t>65</w:t>
      </w:r>
    </w:p>
    <w:p>
      <w:pPr>
        <w:pStyle w:val="TOC_4"/>
        <w:tabs>
          <w:tab w:leader="dot" w:pos="9814" w:val="right"/>
        </w:tabs>
        <w:widowControl w:val="0"/>
        <w:keepNext w:val="0"/>
        <w:keepLines w:val="0"/>
        <w:shd w:val="clear" w:color="auto" w:fill="auto"/>
        <w:bidi w:val="0"/>
        <w:spacing w:before="0" w:after="0"/>
        <w:ind w:left="720" w:right="0" w:firstLine="0"/>
      </w:pPr>
      <w:hyperlink w:anchor="bookmark278" w:tooltip="Current Document">
        <w:r>
          <w:rPr>
            <w:lang w:val="ru-RU" w:eastAsia="ru-RU" w:bidi="ru-RU"/>
            <w:w w:val="100"/>
            <w:color w:val="000000"/>
            <w:position w:val="0"/>
          </w:rPr>
          <w:t>Антиконвульсанты</w:t>
        </w:r>
        <w:r>
          <w:rPr>
            <w:rStyle w:val="CharStyle21"/>
            <w:i w:val="0"/>
            <w:iCs w:val="0"/>
          </w:rPr>
          <w:tab/>
          <w:t>65</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79" w:tooltip="Current Document">
        <w:r>
          <w:rPr>
            <w:lang w:val="ru-RU" w:eastAsia="ru-RU" w:bidi="ru-RU"/>
            <w:w w:val="100"/>
            <w:color w:val="000000"/>
            <w:position w:val="0"/>
          </w:rPr>
          <w:t>Талидомид</w:t>
        </w:r>
        <w:r>
          <w:rPr>
            <w:rStyle w:val="CharStyle21"/>
            <w:i w:val="0"/>
            <w:iCs w:val="0"/>
          </w:rPr>
          <w:tab/>
          <w:t>68</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80" w:tooltip="Current Document">
        <w:r>
          <w:rPr>
            <w:lang w:val="ru-RU" w:eastAsia="ru-RU" w:bidi="ru-RU"/>
            <w:w w:val="100"/>
            <w:color w:val="000000"/>
            <w:position w:val="0"/>
          </w:rPr>
          <w:t>Гормональные препараты</w:t>
        </w:r>
        <w:r>
          <w:rPr>
            <w:rStyle w:val="CharStyle21"/>
            <w:i w:val="0"/>
            <w:iCs w:val="0"/>
          </w:rPr>
          <w:tab/>
          <w:t>68</w:t>
        </w:r>
      </w:hyperlink>
    </w:p>
    <w:p>
      <w:pPr>
        <w:pStyle w:val="TOC_4"/>
        <w:tabs>
          <w:tab w:leader="dot" w:pos="9814" w:val="right"/>
        </w:tabs>
        <w:widowControl w:val="0"/>
        <w:keepNext w:val="0"/>
        <w:keepLines w:val="0"/>
        <w:shd w:val="clear" w:color="auto" w:fill="auto"/>
        <w:bidi w:val="0"/>
        <w:spacing w:before="0" w:after="0"/>
        <w:ind w:left="720" w:right="0" w:firstLine="0"/>
      </w:pPr>
      <w:r>
        <w:rPr>
          <w:lang w:val="ru-RU" w:eastAsia="ru-RU" w:bidi="ru-RU"/>
          <w:w w:val="100"/>
          <w:color w:val="000000"/>
          <w:position w:val="0"/>
        </w:rPr>
        <w:t>Ретиноловая кислота</w:t>
      </w:r>
      <w:r>
        <w:rPr>
          <w:rStyle w:val="CharStyle21"/>
          <w:i w:val="0"/>
          <w:iCs w:val="0"/>
        </w:rPr>
        <w:tab/>
        <w:t>69</w:t>
      </w:r>
    </w:p>
    <w:p>
      <w:pPr>
        <w:pStyle w:val="TOC_4"/>
        <w:tabs>
          <w:tab w:leader="dot" w:pos="9814" w:val="right"/>
        </w:tabs>
        <w:widowControl w:val="0"/>
        <w:keepNext w:val="0"/>
        <w:keepLines w:val="0"/>
        <w:shd w:val="clear" w:color="auto" w:fill="auto"/>
        <w:bidi w:val="0"/>
        <w:spacing w:before="0" w:after="0"/>
        <w:ind w:left="720" w:right="0" w:firstLine="0"/>
      </w:pPr>
      <w:hyperlink w:anchor="bookmark282" w:tooltip="Current Document">
        <w:r>
          <w:rPr>
            <w:lang w:val="ru-RU" w:eastAsia="ru-RU" w:bidi="ru-RU"/>
            <w:w w:val="100"/>
            <w:color w:val="000000"/>
            <w:position w:val="0"/>
          </w:rPr>
          <w:t>Варфарин</w:t>
        </w:r>
        <w:r>
          <w:rPr>
            <w:rStyle w:val="CharStyle21"/>
            <w:i w:val="0"/>
            <w:iCs w:val="0"/>
          </w:rPr>
          <w:tab/>
          <w:t>69</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83" w:tooltip="Current Document">
        <w:r>
          <w:rPr>
            <w:lang w:val="ru-RU" w:eastAsia="ru-RU" w:bidi="ru-RU"/>
            <w:w w:val="100"/>
            <w:color w:val="000000"/>
            <w:position w:val="0"/>
          </w:rPr>
          <w:t>Алкоголь</w:t>
        </w:r>
        <w:r>
          <w:rPr>
            <w:rStyle w:val="CharStyle21"/>
            <w:i w:val="0"/>
            <w:iCs w:val="0"/>
          </w:rPr>
          <w:tab/>
          <w:t>69</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84" w:tooltip="Current Document">
        <w:r>
          <w:rPr>
            <w:lang w:val="ru-RU" w:eastAsia="ru-RU" w:bidi="ru-RU"/>
            <w:w w:val="100"/>
            <w:color w:val="000000"/>
            <w:position w:val="0"/>
          </w:rPr>
          <w:t>Курение</w:t>
        </w:r>
        <w:r>
          <w:rPr>
            <w:rStyle w:val="CharStyle21"/>
            <w:i w:val="0"/>
            <w:iCs w:val="0"/>
          </w:rPr>
          <w:tab/>
          <w:t>70</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85" w:tooltip="Current Document">
        <w:r>
          <w:rPr>
            <w:lang w:val="ru-RU" w:eastAsia="ru-RU" w:bidi="ru-RU"/>
            <w:w w:val="100"/>
            <w:color w:val="000000"/>
            <w:position w:val="0"/>
          </w:rPr>
          <w:t>Кофеин</w:t>
        </w:r>
        <w:r>
          <w:rPr>
            <w:rStyle w:val="CharStyle21"/>
            <w:i w:val="0"/>
            <w:iCs w:val="0"/>
          </w:rPr>
          <w:tab/>
          <w:t>70</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86" w:tooltip="Current Document">
        <w:r>
          <w:rPr>
            <w:lang w:val="ru-RU" w:eastAsia="ru-RU" w:bidi="ru-RU"/>
            <w:w w:val="100"/>
            <w:color w:val="000000"/>
            <w:position w:val="0"/>
          </w:rPr>
          <w:t>Кокаин</w:t>
        </w:r>
        <w:r>
          <w:rPr>
            <w:rStyle w:val="CharStyle21"/>
            <w:i w:val="0"/>
            <w:iCs w:val="0"/>
          </w:rPr>
          <w:tab/>
          <w:t>70</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87" w:tooltip="Current Document">
        <w:r>
          <w:rPr>
            <w:lang w:val="ru-RU" w:eastAsia="ru-RU" w:bidi="ru-RU"/>
            <w:w w:val="100"/>
            <w:color w:val="000000"/>
            <w:position w:val="0"/>
          </w:rPr>
          <w:t>Химические вещества</w:t>
        </w:r>
        <w:r>
          <w:rPr>
            <w:rStyle w:val="CharStyle21"/>
            <w:i w:val="0"/>
            <w:iCs w:val="0"/>
          </w:rPr>
          <w:tab/>
          <w:t>70</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88" w:tooltip="Current Document">
        <w:r>
          <w:rPr>
            <w:lang w:val="ru-RU" w:eastAsia="ru-RU" w:bidi="ru-RU"/>
            <w:w w:val="100"/>
            <w:color w:val="000000"/>
            <w:position w:val="0"/>
          </w:rPr>
          <w:t>Индустриальные тератогены</w:t>
        </w:r>
        <w:r>
          <w:rPr>
            <w:rStyle w:val="CharStyle21"/>
            <w:i w:val="0"/>
            <w:iCs w:val="0"/>
          </w:rPr>
          <w:tab/>
          <w:t>70</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92" w:tooltip="Current Document">
        <w:r>
          <w:rPr>
            <w:lang w:val="ru-RU" w:eastAsia="ru-RU" w:bidi="ru-RU"/>
            <w:w w:val="100"/>
            <w:color w:val="000000"/>
            <w:position w:val="0"/>
          </w:rPr>
          <w:t>Физические факторы</w:t>
        </w:r>
        <w:r>
          <w:rPr>
            <w:rStyle w:val="CharStyle21"/>
            <w:i w:val="0"/>
            <w:iCs w:val="0"/>
          </w:rPr>
          <w:tab/>
          <w:t>71</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93" w:tooltip="Current Document">
        <w:r>
          <w:rPr>
            <w:lang w:val="ru-RU" w:eastAsia="ru-RU" w:bidi="ru-RU"/>
            <w:w w:val="100"/>
            <w:color w:val="000000"/>
            <w:position w:val="0"/>
          </w:rPr>
          <w:t>Радиация</w:t>
        </w:r>
        <w:r>
          <w:rPr>
            <w:rStyle w:val="CharStyle21"/>
            <w:i w:val="0"/>
            <w:iCs w:val="0"/>
          </w:rPr>
          <w:tab/>
          <w:t>71</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94" w:tooltip="Current Document">
        <w:r>
          <w:rPr>
            <w:lang w:val="ru-RU" w:eastAsia="ru-RU" w:bidi="ru-RU"/>
            <w:w w:val="100"/>
            <w:color w:val="000000"/>
            <w:position w:val="0"/>
          </w:rPr>
          <w:t>Влияние болезней матери</w:t>
        </w:r>
        <w:r>
          <w:rPr>
            <w:rStyle w:val="CharStyle21"/>
            <w:i w:val="0"/>
            <w:iCs w:val="0"/>
          </w:rPr>
          <w:tab/>
          <w:t>71</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299" w:tooltip="Current Document">
        <w:r>
          <w:rPr>
            <w:lang w:val="ru-RU" w:eastAsia="ru-RU" w:bidi="ru-RU"/>
            <w:w w:val="100"/>
            <w:color w:val="000000"/>
            <w:position w:val="0"/>
          </w:rPr>
          <w:t>Метаболические тератогены</w:t>
        </w:r>
        <w:r>
          <w:rPr>
            <w:rStyle w:val="CharStyle21"/>
            <w:i w:val="0"/>
            <w:iCs w:val="0"/>
          </w:rPr>
          <w:tab/>
          <w:t>73</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300" w:tooltip="Current Document">
        <w:r>
          <w:rPr>
            <w:lang w:val="ru-RU" w:eastAsia="ru-RU" w:bidi="ru-RU"/>
            <w:w w:val="100"/>
            <w:color w:val="000000"/>
            <w:position w:val="0"/>
          </w:rPr>
          <w:t>Токсоплазмоз</w:t>
        </w:r>
        <w:r>
          <w:rPr>
            <w:rStyle w:val="CharStyle21"/>
            <w:i w:val="0"/>
            <w:iCs w:val="0"/>
          </w:rPr>
          <w:tab/>
          <w:t>73</w:t>
        </w:r>
      </w:hyperlink>
    </w:p>
    <w:p>
      <w:pPr>
        <w:pStyle w:val="TOC_4"/>
        <w:tabs>
          <w:tab w:leader="dot" w:pos="9814" w:val="right"/>
        </w:tabs>
        <w:widowControl w:val="0"/>
        <w:keepNext w:val="0"/>
        <w:keepLines w:val="0"/>
        <w:shd w:val="clear" w:color="auto" w:fill="auto"/>
        <w:bidi w:val="0"/>
        <w:spacing w:before="0" w:after="0"/>
        <w:ind w:left="720" w:right="0" w:firstLine="0"/>
      </w:pPr>
      <w:hyperlink w:anchor="bookmark301" w:tooltip="Current Document">
        <w:r>
          <w:rPr>
            <w:lang w:val="ru-RU" w:eastAsia="ru-RU" w:bidi="ru-RU"/>
            <w:w w:val="100"/>
            <w:color w:val="000000"/>
            <w:position w:val="0"/>
          </w:rPr>
          <w:t>Сифилис</w:t>
        </w:r>
        <w:r>
          <w:rPr>
            <w:rStyle w:val="CharStyle21"/>
            <w:i w:val="0"/>
            <w:iCs w:val="0"/>
          </w:rPr>
          <w:tab/>
          <w:t>74</w:t>
        </w:r>
      </w:hyperlink>
    </w:p>
    <w:p>
      <w:pPr>
        <w:pStyle w:val="TOC_4"/>
        <w:tabs>
          <w:tab w:leader="dot" w:pos="9814" w:val="right"/>
        </w:tabs>
        <w:widowControl w:val="0"/>
        <w:keepNext w:val="0"/>
        <w:keepLines w:val="0"/>
        <w:shd w:val="clear" w:color="auto" w:fill="auto"/>
        <w:bidi w:val="0"/>
        <w:spacing w:before="0" w:after="1272"/>
        <w:ind w:left="720" w:right="0" w:firstLine="0"/>
      </w:pPr>
      <w:hyperlink w:anchor="bookmark302" w:tooltip="Current Document">
        <w:r>
          <w:rPr>
            <w:lang w:val="ru-RU" w:eastAsia="ru-RU" w:bidi="ru-RU"/>
            <w:w w:val="100"/>
            <w:color w:val="000000"/>
            <w:position w:val="0"/>
          </w:rPr>
          <w:t>Цитомегаловирус (ЦМВ)</w:t>
        </w:r>
        <w:r>
          <w:rPr>
            <w:rStyle w:val="CharStyle21"/>
            <w:i w:val="0"/>
            <w:iCs w:val="0"/>
          </w:rPr>
          <w:tab/>
          <w:t>74</w:t>
        </w:r>
      </w:hyperlink>
    </w:p>
    <w:p>
      <w:pPr>
        <w:framePr w:h="293" w:wrap="notBeside" w:vAnchor="text" w:hAnchor="text" w:xAlign="center" w:y="1"/>
        <w:widowControl w:val="0"/>
        <w:jc w:val="center"/>
        <w:rPr>
          <w:sz w:val="2"/>
          <w:szCs w:val="2"/>
        </w:rPr>
      </w:pPr>
      <w:r>
        <w:pict>
          <v:shape id="_x0000_s1028" type="#_x0000_t75" style="width:210pt;height:15pt;">
            <v:imagedata r:id="rId9" r:href="rId10"/>
          </v:shape>
        </w:pict>
      </w:r>
    </w:p>
    <w:p>
      <w:pPr>
        <w:widowControl w:val="0"/>
        <w:rPr>
          <w:sz w:val="2"/>
          <w:szCs w:val="2"/>
        </w:rPr>
      </w:pPr>
    </w:p>
    <w:p>
      <w:pPr>
        <w:pStyle w:val="TOC_4"/>
        <w:tabs>
          <w:tab w:leader="dot" w:pos="9829" w:val="right"/>
        </w:tabs>
        <w:widowControl w:val="0"/>
        <w:keepNext w:val="0"/>
        <w:keepLines w:val="0"/>
        <w:shd w:val="clear" w:color="auto" w:fill="auto"/>
        <w:bidi w:val="0"/>
        <w:spacing w:before="0" w:after="0"/>
        <w:ind w:left="740" w:right="0" w:firstLine="0"/>
      </w:pPr>
      <w:hyperlink w:anchor="bookmark303" w:tooltip="Current Document">
        <w:r>
          <w:rPr>
            <w:lang w:val="ru-RU" w:eastAsia="ru-RU" w:bidi="ru-RU"/>
            <w:w w:val="100"/>
            <w:color w:val="000000"/>
            <w:position w:val="0"/>
          </w:rPr>
          <w:t>Герпес</w:t>
        </w:r>
        <w:r>
          <w:rPr>
            <w:rStyle w:val="CharStyle21"/>
            <w:i w:val="0"/>
            <w:iCs w:val="0"/>
          </w:rPr>
          <w:tab/>
          <w:t>74</w:t>
        </w:r>
      </w:hyperlink>
    </w:p>
    <w:p>
      <w:pPr>
        <w:pStyle w:val="TOC_4"/>
        <w:tabs>
          <w:tab w:leader="dot" w:pos="9829" w:val="right"/>
        </w:tabs>
        <w:widowControl w:val="0"/>
        <w:keepNext w:val="0"/>
        <w:keepLines w:val="0"/>
        <w:shd w:val="clear" w:color="auto" w:fill="auto"/>
        <w:bidi w:val="0"/>
        <w:spacing w:before="0" w:after="0"/>
        <w:ind w:left="740" w:right="0" w:firstLine="0"/>
      </w:pPr>
      <w:hyperlink w:anchor="bookmark304" w:tooltip="Current Document">
        <w:r>
          <w:rPr>
            <w:lang w:val="ru-RU" w:eastAsia="ru-RU" w:bidi="ru-RU"/>
            <w:w w:val="100"/>
            <w:color w:val="000000"/>
            <w:position w:val="0"/>
          </w:rPr>
          <w:t>Природные тератогены</w:t>
        </w:r>
        <w:r>
          <w:rPr>
            <w:rStyle w:val="CharStyle21"/>
            <w:i w:val="0"/>
            <w:iCs w:val="0"/>
          </w:rPr>
          <w:tab/>
          <w:t>74</w:t>
        </w:r>
      </w:hyperlink>
    </w:p>
    <w:p>
      <w:pPr>
        <w:pStyle w:val="TOC_4"/>
        <w:tabs>
          <w:tab w:leader="dot" w:pos="9829" w:val="right"/>
        </w:tabs>
        <w:widowControl w:val="0"/>
        <w:keepNext w:val="0"/>
        <w:keepLines w:val="0"/>
        <w:shd w:val="clear" w:color="auto" w:fill="auto"/>
        <w:bidi w:val="0"/>
        <w:spacing w:before="0" w:after="0"/>
        <w:ind w:left="740" w:right="0" w:firstLine="0"/>
      </w:pPr>
      <w:hyperlink w:anchor="bookmark305" w:tooltip="Current Document">
        <w:r>
          <w:rPr>
            <w:lang w:val="ru-RU" w:eastAsia="ru-RU" w:bidi="ru-RU"/>
            <w:w w:val="100"/>
            <w:color w:val="000000"/>
            <w:position w:val="0"/>
          </w:rPr>
          <w:t>Растения</w:t>
        </w:r>
        <w:r>
          <w:rPr>
            <w:rStyle w:val="CharStyle21"/>
            <w:i w:val="0"/>
            <w:iCs w:val="0"/>
          </w:rPr>
          <w:tab/>
          <w:t>74</w:t>
        </w:r>
      </w:hyperlink>
    </w:p>
    <w:p>
      <w:pPr>
        <w:pStyle w:val="TOC_1"/>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Профилактические мероприятия, направленные на снижение риска возникновения врожденных</w:t>
      </w:r>
    </w:p>
    <w:p>
      <w:pPr>
        <w:pStyle w:val="TOC_1"/>
        <w:tabs>
          <w:tab w:leader="dot" w:pos="9829" w:val="righ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пороков сердца у детей</w:t>
        <w:tab/>
        <w:t>74</w:t>
      </w:r>
    </w:p>
    <w:p>
      <w:pPr>
        <w:pStyle w:val="TOC_4"/>
        <w:tabs>
          <w:tab w:leader="dot" w:pos="9829" w:val="right"/>
        </w:tabs>
        <w:widowControl w:val="0"/>
        <w:keepNext w:val="0"/>
        <w:keepLines w:val="0"/>
        <w:shd w:val="clear" w:color="auto" w:fill="auto"/>
        <w:bidi w:val="0"/>
        <w:spacing w:before="0" w:after="0"/>
        <w:ind w:left="740" w:right="0" w:firstLine="0"/>
      </w:pPr>
      <w:hyperlink w:anchor="bookmark306" w:tooltip="Current Document">
        <w:r>
          <w:rPr>
            <w:lang w:val="ru-RU" w:eastAsia="ru-RU" w:bidi="ru-RU"/>
            <w:w w:val="100"/>
            <w:color w:val="000000"/>
            <w:position w:val="0"/>
          </w:rPr>
          <w:t>Генетическая консультация</w:t>
        </w:r>
        <w:r>
          <w:rPr>
            <w:rStyle w:val="CharStyle21"/>
            <w:i w:val="0"/>
            <w:iCs w:val="0"/>
          </w:rPr>
          <w:tab/>
          <w:t>75</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07" w:tooltip="Current Document">
        <w:r>
          <w:rPr>
            <w:rStyle w:val="CharStyle18"/>
          </w:rPr>
          <w:t>Пренатальная диагностика врожденных пороков сердца</w:t>
          <w:tab/>
          <w:t>76</w:t>
        </w:r>
      </w:hyperlink>
    </w:p>
    <w:p>
      <w:pPr>
        <w:pStyle w:val="TOC_4"/>
        <w:tabs>
          <w:tab w:leader="dot" w:pos="9829" w:val="right"/>
        </w:tabs>
        <w:widowControl w:val="0"/>
        <w:keepNext w:val="0"/>
        <w:keepLines w:val="0"/>
        <w:shd w:val="clear" w:color="auto" w:fill="auto"/>
        <w:bidi w:val="0"/>
        <w:spacing w:before="0" w:after="0"/>
        <w:ind w:left="740" w:right="0" w:firstLine="0"/>
      </w:pPr>
      <w:hyperlink w:anchor="bookmark310" w:tooltip="Current Document">
        <w:r>
          <w:rPr>
            <w:lang w:val="ru-RU" w:eastAsia="ru-RU" w:bidi="ru-RU"/>
            <w:w w:val="100"/>
            <w:color w:val="000000"/>
            <w:position w:val="0"/>
          </w:rPr>
          <w:t>Показания к проведению пренатальной диагностики</w:t>
        </w:r>
        <w:r>
          <w:rPr>
            <w:rStyle w:val="CharStyle21"/>
            <w:i w:val="0"/>
            <w:iCs w:val="0"/>
          </w:rPr>
          <w:tab/>
          <w:t>76</w:t>
        </w:r>
      </w:hyperlink>
    </w:p>
    <w:p>
      <w:pPr>
        <w:pStyle w:val="TOC_4"/>
        <w:tabs>
          <w:tab w:leader="dot" w:pos="9829" w:val="right"/>
        </w:tabs>
        <w:widowControl w:val="0"/>
        <w:keepNext w:val="0"/>
        <w:keepLines w:val="0"/>
        <w:shd w:val="clear" w:color="auto" w:fill="auto"/>
        <w:bidi w:val="0"/>
        <w:spacing w:before="0" w:after="0"/>
        <w:ind w:left="740" w:right="0" w:firstLine="0"/>
      </w:pPr>
      <w:hyperlink w:anchor="bookmark311" w:tooltip="Current Document">
        <w:r>
          <w:rPr>
            <w:lang w:val="ru-RU" w:eastAsia="ru-RU" w:bidi="ru-RU"/>
            <w:w w:val="100"/>
            <w:color w:val="000000"/>
            <w:position w:val="0"/>
          </w:rPr>
          <w:t>Кариотипирование</w:t>
        </w:r>
        <w:r>
          <w:rPr>
            <w:rStyle w:val="CharStyle21"/>
            <w:i w:val="0"/>
            <w:iCs w:val="0"/>
          </w:rPr>
          <w:tab/>
          <w:t>77</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12" w:tooltip="Current Document">
        <w:r>
          <w:rPr>
            <w:rStyle w:val="CharStyle18"/>
          </w:rPr>
          <w:t>Дефект межжелудочковой перегородки</w:t>
          <w:tab/>
          <w:t>77</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15" w:tooltip="Current Document">
        <w:r>
          <w:rPr>
            <w:rStyle w:val="CharStyle18"/>
          </w:rPr>
          <w:t>Мышечный дефект межжелудочковой перегородки</w:t>
          <w:tab/>
          <w:t>83</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16" w:tooltip="Current Document">
        <w:r>
          <w:rPr>
            <w:rStyle w:val="CharStyle18"/>
          </w:rPr>
          <w:t>Перимембранозный дефект межжелудочковой перегородки</w:t>
          <w:tab/>
          <w:t>86</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17" w:tooltip="Current Document">
        <w:r>
          <w:rPr>
            <w:rStyle w:val="CharStyle18"/>
          </w:rPr>
          <w:t>Инфундибулярный (высокий) дефект межжелудочковой перегородки</w:t>
          <w:tab/>
          <w:t>89</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18" w:tooltip="Current Document">
        <w:r>
          <w:rPr>
            <w:rStyle w:val="CharStyle18"/>
          </w:rPr>
          <w:t>Дефект межпредсердной перегородки</w:t>
          <w:tab/>
          <w:t>90</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21" w:tooltip="Current Document">
        <w:r>
          <w:rPr>
            <w:rStyle w:val="CharStyle18"/>
          </w:rPr>
          <w:t>Дефект межпредсердной перегородки первичный</w:t>
          <w:tab/>
          <w:t>94</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23" w:tooltip="Current Document">
        <w:r>
          <w:rPr>
            <w:rStyle w:val="CharStyle18"/>
          </w:rPr>
          <w:t>Дефект межпредсердной перегородки вторичный</w:t>
          <w:tab/>
          <w:t>97</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26" w:tooltip="Current Document">
        <w:r>
          <w:rPr>
            <w:rStyle w:val="CharStyle18"/>
          </w:rPr>
          <w:t>Открытое овальное окно</w:t>
          <w:tab/>
          <w:t>100</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27" w:tooltip="Current Document">
        <w:r>
          <w:rPr>
            <w:rStyle w:val="CharStyle18"/>
          </w:rPr>
          <w:t>Дефект межпредсердной перегородки в области венозного синуса</w:t>
          <w:tab/>
          <w:t>101</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29" w:tooltip="Current Document">
        <w:r>
          <w:rPr>
            <w:rStyle w:val="CharStyle18"/>
          </w:rPr>
          <w:t>Дефект межпредсердной перегородки в области коронарного синуса</w:t>
          <w:tab/>
          <w:t>103</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30" w:tooltip="Current Document">
        <w:r>
          <w:rPr>
            <w:rStyle w:val="CharStyle18"/>
          </w:rPr>
          <w:t>Открытый атриовентрикулярный канал</w:t>
          <w:tab/>
          <w:t>107</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31" w:tooltip="Current Document">
        <w:r>
          <w:rPr>
            <w:rStyle w:val="CharStyle18"/>
          </w:rPr>
          <w:t>Частично открытый атриовентрикулярный канал</w:t>
          <w:tab/>
          <w:t>107</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34" w:tooltip="Current Document">
        <w:r>
          <w:rPr>
            <w:rStyle w:val="CharStyle18"/>
          </w:rPr>
          <w:t>Общий открытый атриовентрикулярный канал</w:t>
          <w:tab/>
          <w:t>109</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35" w:tooltip="Current Document">
        <w:r>
          <w:rPr>
            <w:rStyle w:val="CharStyle18"/>
          </w:rPr>
          <w:t>Открытый артериальный проток</w:t>
          <w:tab/>
          <w:t>110</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38" w:tooltip="Current Document">
        <w:r>
          <w:rPr>
            <w:rStyle w:val="CharStyle18"/>
          </w:rPr>
          <w:t>Дефект аортолегочной перегородки</w:t>
          <w:tab/>
          <w:t>113</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39" w:tooltip="Current Document">
        <w:r>
          <w:rPr>
            <w:rStyle w:val="CharStyle18"/>
          </w:rPr>
          <w:t>Атрезия трехстворчатого клапана</w:t>
          <w:tab/>
          <w:t>116</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40" w:tooltip="Current Document">
        <w:r>
          <w:rPr>
            <w:rStyle w:val="CharStyle18"/>
          </w:rPr>
          <w:t>Общий артериальный ствол</w:t>
          <w:tab/>
          <w:t>118</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44" w:tooltip="Current Document">
        <w:r>
          <w:rPr>
            <w:rStyle w:val="CharStyle18"/>
          </w:rPr>
          <w:t>Аномалия Эбштейна</w:t>
          <w:tab/>
          <w:t>121</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46" w:tooltip="Current Document">
        <w:r>
          <w:rPr>
            <w:rStyle w:val="CharStyle18"/>
          </w:rPr>
          <w:t>Аномальный дренаж легочных вен</w:t>
          <w:tab/>
          <w:t>124</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48" w:tooltip="Current Document">
        <w:r>
          <w:rPr>
            <w:rStyle w:val="CharStyle18"/>
          </w:rPr>
          <w:t>Полный (тотальный) аномальный дренаж легочных вен</w:t>
          <w:tab/>
          <w:t>125</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49" w:tooltip="Current Document">
        <w:r>
          <w:rPr>
            <w:rStyle w:val="CharStyle18"/>
          </w:rPr>
          <w:t>Частичный аномальный дренаж легочных вен</w:t>
          <w:tab/>
          <w:t>126</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50" w:tooltip="Current Document">
        <w:r>
          <w:rPr>
            <w:rStyle w:val="CharStyle18"/>
          </w:rPr>
          <w:t>Транспозиция магистральных сосудов</w:t>
          <w:tab/>
          <w:t>127</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52" w:tooltip="Current Document">
        <w:r>
          <w:rPr>
            <w:rStyle w:val="CharStyle18"/>
          </w:rPr>
          <w:t>Корригированная транспозиция магистральных сосудов</w:t>
          <w:tab/>
          <w:t>130</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54" w:tooltip="Current Document">
        <w:r>
          <w:rPr>
            <w:rStyle w:val="CharStyle18"/>
          </w:rPr>
          <w:t>Тетрада Фалло</w:t>
          <w:tab/>
          <w:t>131</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57" w:tooltip="Current Document">
        <w:r>
          <w:rPr>
            <w:rStyle w:val="CharStyle18"/>
          </w:rPr>
          <w:t>Двойное отхождение магистральных сосудов от правого желудочка</w:t>
          <w:tab/>
          <w:t>133</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59" w:tooltip="Current Document">
        <w:r>
          <w:rPr>
            <w:rStyle w:val="CharStyle18"/>
          </w:rPr>
          <w:t>Единственный желудочек</w:t>
          <w:tab/>
          <w:t>135</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61" w:tooltip="Current Document">
        <w:r>
          <w:rPr>
            <w:rStyle w:val="CharStyle18"/>
          </w:rPr>
          <w:t>Трехпредсердное сердце</w:t>
          <w:tab/>
          <w:t>137</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65" w:tooltip="Current Document">
        <w:r>
          <w:rPr>
            <w:rStyle w:val="CharStyle18"/>
          </w:rPr>
          <w:t>Синдром гипоплазии левого желудочка</w:t>
          <w:tab/>
          <w:t>139</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66" w:tooltip="Current Document">
        <w:r>
          <w:rPr>
            <w:rStyle w:val="CharStyle18"/>
          </w:rPr>
          <w:t>Надклапанный стеноз аорты</w:t>
          <w:tab/>
          <w:t>141</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71" w:tooltip="Current Document">
        <w:r>
          <w:rPr>
            <w:rStyle w:val="CharStyle18"/>
          </w:rPr>
          <w:t>Подклапанный стеноз аорты</w:t>
          <w:tab/>
          <w:t>144</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74" w:tooltip="Current Document">
        <w:r>
          <w:rPr>
            <w:rStyle w:val="CharStyle18"/>
          </w:rPr>
          <w:t xml:space="preserve">Коарктация аорты </w:t>
          <w:tab/>
          <w:t>147</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77" w:tooltip="Current Document">
        <w:r>
          <w:rPr>
            <w:rStyle w:val="CharStyle18"/>
          </w:rPr>
          <w:t>Перерыв дуги аорты</w:t>
          <w:tab/>
          <w:t>153</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80" w:tooltip="Current Document">
        <w:r>
          <w:rPr>
            <w:rStyle w:val="CharStyle18"/>
          </w:rPr>
          <w:t>Сосудистые кольца</w:t>
          <w:tab/>
          <w:t>155</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83" w:tooltip="Current Document">
        <w:r>
          <w:rPr>
            <w:rStyle w:val="CharStyle18"/>
          </w:rPr>
          <w:t>Стеноз легочной артерии</w:t>
          <w:tab/>
          <w:t>158</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86" w:tooltip="Current Document">
        <w:r>
          <w:rPr>
            <w:rStyle w:val="CharStyle18"/>
          </w:rPr>
          <w:t>Идиопатическая дилатация легочной артерии</w:t>
          <w:tab/>
          <w:t>161</w:t>
        </w:r>
      </w:hyperlink>
    </w:p>
    <w:p>
      <w:pPr>
        <w:pStyle w:val="TOC_2"/>
        <w:tabs>
          <w:tab w:leader="dot" w:pos="9829" w:val="right"/>
        </w:tabs>
        <w:widowControl w:val="0"/>
        <w:keepNext w:val="0"/>
        <w:keepLines w:val="0"/>
        <w:shd w:val="clear" w:color="auto" w:fill="auto"/>
        <w:bidi w:val="0"/>
        <w:spacing w:before="0" w:after="180"/>
        <w:ind w:left="260" w:right="0" w:firstLine="0"/>
      </w:pPr>
      <w:hyperlink w:anchor="bookmark391" w:tooltip="Current Document">
        <w:r>
          <w:rPr>
            <w:rStyle w:val="CharStyle18"/>
          </w:rPr>
          <w:t>Легочные артериовенозные мальформации (артериовенозные фистулы легких)</w:t>
          <w:tab/>
          <w:t>167</w:t>
        </w:r>
      </w:hyperlink>
    </w:p>
    <w:p>
      <w:pPr>
        <w:pStyle w:val="TOC_1"/>
        <w:tabs>
          <w:tab w:leader="dot" w:pos="9829" w:val="right"/>
        </w:tabs>
        <w:widowControl w:val="0"/>
        <w:keepNext w:val="0"/>
        <w:keepLines w:val="0"/>
        <w:shd w:val="clear" w:color="auto" w:fill="auto"/>
        <w:bidi w:val="0"/>
        <w:spacing w:before="0" w:after="0"/>
        <w:ind w:left="0" w:right="0" w:firstLine="0"/>
      </w:pPr>
      <w:hyperlink w:anchor="bookmark393" w:tooltip="Current Document">
        <w:r>
          <w:rPr>
            <w:lang w:val="ru-RU" w:eastAsia="ru-RU" w:bidi="ru-RU"/>
            <w:w w:val="100"/>
            <w:spacing w:val="0"/>
            <w:color w:val="000000"/>
            <w:position w:val="0"/>
          </w:rPr>
          <w:t>Глава III. Клапанные пороки сердца</w:t>
          <w:tab/>
          <w:t>172</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94" w:tooltip="Current Document">
        <w:r>
          <w:rPr>
            <w:rStyle w:val="CharStyle18"/>
          </w:rPr>
          <w:t>Пороки митрального клапана</w:t>
          <w:tab/>
          <w:t>172</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395" w:tooltip="Current Document">
        <w:r>
          <w:rPr>
            <w:rStyle w:val="CharStyle18"/>
          </w:rPr>
          <w:t>Эмбриология и нормальная функциональная анатомия митрального клапана</w:t>
          <w:tab/>
          <w:t>172</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96" w:tooltip="Current Document">
        <w:r>
          <w:rPr>
            <w:rStyle w:val="CharStyle18"/>
          </w:rPr>
          <w:t>Митральная недостаточность</w:t>
          <w:tab/>
          <w:t>173</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97" w:tooltip="Current Document">
        <w:r>
          <w:rPr>
            <w:rStyle w:val="CharStyle18"/>
          </w:rPr>
          <w:t>Митральный стеноз (стеноз левого атриовентрикулярного отверстия)</w:t>
          <w:tab/>
          <w:t>178</w:t>
        </w:r>
      </w:hyperlink>
    </w:p>
    <w:p>
      <w:pPr>
        <w:pStyle w:val="TOC_2"/>
        <w:tabs>
          <w:tab w:leader="dot" w:pos="9829" w:val="right"/>
        </w:tabs>
        <w:widowControl w:val="0"/>
        <w:keepNext w:val="0"/>
        <w:keepLines w:val="0"/>
        <w:shd w:val="clear" w:color="auto" w:fill="auto"/>
        <w:bidi w:val="0"/>
        <w:spacing w:before="0" w:after="0"/>
        <w:ind w:left="260" w:right="0" w:firstLine="0"/>
      </w:pPr>
      <w:hyperlink w:anchor="bookmark399" w:tooltip="Current Document">
        <w:r>
          <w:rPr>
            <w:rStyle w:val="CharStyle18"/>
          </w:rPr>
          <w:t>Пролапс митрального клапана</w:t>
          <w:tab/>
          <w:t>182</w:t>
        </w:r>
      </w:hyperlink>
    </w:p>
    <w:p>
      <w:pPr>
        <w:pStyle w:val="TOC_3"/>
        <w:tabs>
          <w:tab w:leader="dot" w:pos="9829" w:val="right"/>
        </w:tabs>
        <w:widowControl w:val="0"/>
        <w:keepNext w:val="0"/>
        <w:keepLines w:val="0"/>
        <w:shd w:val="clear" w:color="auto" w:fill="auto"/>
        <w:bidi w:val="0"/>
        <w:spacing w:before="0" w:after="0"/>
        <w:ind w:left="500" w:right="0" w:firstLine="0"/>
      </w:pPr>
      <w:hyperlink w:anchor="bookmark412" w:tooltip="Current Document">
        <w:r>
          <w:rPr>
            <w:rStyle w:val="CharStyle18"/>
          </w:rPr>
          <w:t>Вторичный пролапс митрального клапана</w:t>
          <w:tab/>
          <w:t>199</w:t>
        </w:r>
      </w:hyperlink>
    </w:p>
    <w:p>
      <w:pPr>
        <w:pStyle w:val="TOC_4"/>
        <w:tabs>
          <w:tab w:leader="dot" w:pos="9829" w:val="right"/>
        </w:tabs>
        <w:widowControl w:val="0"/>
        <w:keepNext w:val="0"/>
        <w:keepLines w:val="0"/>
        <w:shd w:val="clear" w:color="auto" w:fill="auto"/>
        <w:bidi w:val="0"/>
        <w:spacing w:before="0" w:after="0"/>
        <w:ind w:left="740" w:right="0" w:firstLine="0"/>
      </w:pPr>
      <w:hyperlink w:anchor="bookmark413" w:tooltip="Current Document">
        <w:r>
          <w:rPr>
            <w:lang w:val="ru-RU" w:eastAsia="ru-RU" w:bidi="ru-RU"/>
            <w:w w:val="100"/>
            <w:color w:val="000000"/>
            <w:position w:val="0"/>
          </w:rPr>
          <w:t>ПМКи дефект межпредсердной перегородки</w:t>
        </w:r>
        <w:r>
          <w:rPr>
            <w:rStyle w:val="CharStyle21"/>
            <w:i w:val="0"/>
            <w:iCs w:val="0"/>
          </w:rPr>
          <w:tab/>
          <w:t>199</w:t>
        </w:r>
      </w:hyperlink>
    </w:p>
    <w:p>
      <w:pPr>
        <w:pStyle w:val="TOC_4"/>
        <w:tabs>
          <w:tab w:leader="dot" w:pos="9829" w:val="right"/>
        </w:tabs>
        <w:widowControl w:val="0"/>
        <w:keepNext w:val="0"/>
        <w:keepLines w:val="0"/>
        <w:shd w:val="clear" w:color="auto" w:fill="auto"/>
        <w:bidi w:val="0"/>
        <w:spacing w:before="0" w:after="0"/>
        <w:ind w:left="740" w:right="0" w:firstLine="0"/>
      </w:pPr>
      <w:hyperlink w:anchor="bookmark414" w:tooltip="Current Document">
        <w:r>
          <w:rPr>
            <w:lang w:val="ru-RU" w:eastAsia="ru-RU" w:bidi="ru-RU"/>
            <w:w w:val="100"/>
            <w:color w:val="000000"/>
            <w:position w:val="0"/>
          </w:rPr>
          <w:t>ПМКи аномалия Эбштейна</w:t>
        </w:r>
        <w:r>
          <w:rPr>
            <w:rStyle w:val="CharStyle21"/>
            <w:i w:val="0"/>
            <w:iCs w:val="0"/>
          </w:rPr>
          <w:tab/>
          <w:t>199</w:t>
        </w:r>
      </w:hyperlink>
    </w:p>
    <w:p>
      <w:pPr>
        <w:pStyle w:val="TOC_4"/>
        <w:widowControl w:val="0"/>
        <w:keepNext w:val="0"/>
        <w:keepLines w:val="0"/>
        <w:shd w:val="clear" w:color="auto" w:fill="auto"/>
        <w:bidi w:val="0"/>
        <w:spacing w:before="0" w:after="0"/>
        <w:ind w:left="740" w:right="0" w:firstLine="0"/>
      </w:pPr>
      <w:r>
        <w:rPr>
          <w:lang w:val="ru-RU" w:eastAsia="ru-RU" w:bidi="ru-RU"/>
          <w:w w:val="100"/>
          <w:color w:val="000000"/>
          <w:position w:val="0"/>
        </w:rPr>
        <w:t>ПМКи аномальное отхождение левой коронарной артерии от легочной артерии</w:t>
      </w:r>
    </w:p>
    <w:p>
      <w:pPr>
        <w:pStyle w:val="TOC_4"/>
        <w:tabs>
          <w:tab w:leader="dot" w:pos="9829" w:val="right"/>
        </w:tabs>
        <w:widowControl w:val="0"/>
        <w:keepNext w:val="0"/>
        <w:keepLines w:val="0"/>
        <w:shd w:val="clear" w:color="auto" w:fill="auto"/>
        <w:bidi w:val="0"/>
        <w:spacing w:before="0" w:after="1392"/>
        <w:ind w:left="740" w:right="0" w:firstLine="0"/>
      </w:pPr>
      <w:r>
        <w:rPr>
          <w:lang w:val="ru-RU" w:eastAsia="ru-RU" w:bidi="ru-RU"/>
          <w:w w:val="100"/>
          <w:color w:val="000000"/>
          <w:position w:val="0"/>
        </w:rPr>
        <w:t>(синдром Бланта-Уайта-Гарленда)</w:t>
      </w:r>
      <w:r>
        <w:rPr>
          <w:rStyle w:val="CharStyle21"/>
          <w:i w:val="0"/>
          <w:iCs w:val="0"/>
        </w:rPr>
        <w:tab/>
        <w:t>200</w:t>
      </w:r>
    </w:p>
    <w:p>
      <w:pPr>
        <w:framePr w:h="293" w:wrap="notBeside" w:vAnchor="text" w:hAnchor="text" w:xAlign="center" w:y="1"/>
        <w:widowControl w:val="0"/>
        <w:jc w:val="center"/>
        <w:rPr>
          <w:sz w:val="2"/>
          <w:szCs w:val="2"/>
        </w:rPr>
      </w:pPr>
      <w:r>
        <w:pict>
          <v:shape id="_x0000_s1029" type="#_x0000_t75" style="width:210pt;height:15pt;">
            <v:imagedata r:id="rId11" r:href="rId12"/>
          </v:shape>
        </w:pict>
      </w:r>
    </w:p>
    <w:p>
      <w:pPr>
        <w:widowControl w:val="0"/>
        <w:rPr>
          <w:sz w:val="2"/>
          <w:szCs w:val="2"/>
        </w:rPr>
      </w:pPr>
    </w:p>
    <w:p>
      <w:pPr>
        <w:pStyle w:val="TOC_4"/>
        <w:tabs>
          <w:tab w:leader="dot" w:pos="9816" w:val="right"/>
        </w:tabs>
        <w:widowControl w:val="0"/>
        <w:keepNext w:val="0"/>
        <w:keepLines w:val="0"/>
        <w:shd w:val="clear" w:color="auto" w:fill="auto"/>
        <w:bidi w:val="0"/>
        <w:spacing w:before="0" w:after="0"/>
        <w:ind w:left="720" w:right="0" w:firstLine="0"/>
      </w:pPr>
      <w:hyperlink w:anchor="bookmark416" w:tooltip="Current Document">
        <w:r>
          <w:rPr>
            <w:lang w:val="ru-RU" w:eastAsia="ru-RU" w:bidi="ru-RU"/>
            <w:w w:val="100"/>
            <w:color w:val="000000"/>
            <w:position w:val="0"/>
          </w:rPr>
          <w:t>ПМКи гипертрофическая кардиомиопатия</w:t>
        </w:r>
        <w:r>
          <w:rPr>
            <w:rStyle w:val="CharStyle21"/>
            <w:i w:val="0"/>
            <w:iCs w:val="0"/>
          </w:rPr>
          <w:tab/>
          <w:t>200</w:t>
        </w:r>
      </w:hyperlink>
    </w:p>
    <w:p>
      <w:pPr>
        <w:pStyle w:val="TOC_4"/>
        <w:tabs>
          <w:tab w:leader="dot" w:pos="9816" w:val="right"/>
        </w:tabs>
        <w:widowControl w:val="0"/>
        <w:keepNext w:val="0"/>
        <w:keepLines w:val="0"/>
        <w:shd w:val="clear" w:color="auto" w:fill="auto"/>
        <w:bidi w:val="0"/>
        <w:spacing w:before="0" w:after="0"/>
        <w:ind w:left="720" w:right="0" w:firstLine="0"/>
      </w:pPr>
      <w:hyperlink w:anchor="bookmark417" w:tooltip="Current Document">
        <w:r>
          <w:rPr>
            <w:lang w:val="ru-RU" w:eastAsia="ru-RU" w:bidi="ru-RU"/>
            <w:w w:val="100"/>
            <w:color w:val="000000"/>
            <w:position w:val="0"/>
          </w:rPr>
          <w:t>ПМК и ревматизм</w:t>
        </w:r>
        <w:r>
          <w:rPr>
            <w:rStyle w:val="CharStyle21"/>
            <w:i w:val="0"/>
            <w:iCs w:val="0"/>
          </w:rPr>
          <w:tab/>
          <w:t>200</w:t>
        </w:r>
      </w:hyperlink>
    </w:p>
    <w:p>
      <w:pPr>
        <w:pStyle w:val="TOC_4"/>
        <w:tabs>
          <w:tab w:leader="dot" w:pos="9816" w:val="right"/>
        </w:tabs>
        <w:widowControl w:val="0"/>
        <w:keepNext w:val="0"/>
        <w:keepLines w:val="0"/>
        <w:shd w:val="clear" w:color="auto" w:fill="auto"/>
        <w:bidi w:val="0"/>
        <w:spacing w:before="0" w:after="0"/>
        <w:ind w:left="720" w:right="0" w:firstLine="0"/>
      </w:pPr>
      <w:hyperlink w:anchor="bookmark418" w:tooltip="Current Document">
        <w:r>
          <w:rPr>
            <w:lang w:val="ru-RU" w:eastAsia="ru-RU" w:bidi="ru-RU"/>
            <w:w w:val="100"/>
            <w:color w:val="000000"/>
            <w:position w:val="0"/>
          </w:rPr>
          <w:t>ПМК и ювенильный гипертиреоз</w:t>
        </w:r>
        <w:r>
          <w:rPr>
            <w:rStyle w:val="CharStyle21"/>
            <w:i w:val="0"/>
            <w:iCs w:val="0"/>
          </w:rPr>
          <w:tab/>
          <w:t>200</w:t>
        </w:r>
      </w:hyperlink>
    </w:p>
    <w:p>
      <w:pPr>
        <w:pStyle w:val="TOC_4"/>
        <w:tabs>
          <w:tab w:leader="dot" w:pos="9816" w:val="right"/>
        </w:tabs>
        <w:widowControl w:val="0"/>
        <w:keepNext w:val="0"/>
        <w:keepLines w:val="0"/>
        <w:shd w:val="clear" w:color="auto" w:fill="auto"/>
        <w:bidi w:val="0"/>
        <w:spacing w:before="0" w:after="0"/>
        <w:ind w:left="720" w:right="0" w:firstLine="0"/>
      </w:pPr>
      <w:hyperlink w:anchor="bookmark419" w:tooltip="Current Document">
        <w:r>
          <w:rPr>
            <w:lang w:val="ru-RU" w:eastAsia="ru-RU" w:bidi="ru-RU"/>
            <w:w w:val="100"/>
            <w:color w:val="000000"/>
            <w:position w:val="0"/>
          </w:rPr>
          <w:t>ПМК и инсульт</w:t>
        </w:r>
        <w:r>
          <w:rPr>
            <w:rStyle w:val="CharStyle21"/>
            <w:i w:val="0"/>
            <w:iCs w:val="0"/>
          </w:rPr>
          <w:tab/>
          <w:t>201</w:t>
        </w:r>
      </w:hyperlink>
    </w:p>
    <w:p>
      <w:pPr>
        <w:pStyle w:val="TOC_4"/>
        <w:tabs>
          <w:tab w:leader="dot" w:pos="9816" w:val="right"/>
        </w:tabs>
        <w:widowControl w:val="0"/>
        <w:keepNext w:val="0"/>
        <w:keepLines w:val="0"/>
        <w:shd w:val="clear" w:color="auto" w:fill="auto"/>
        <w:bidi w:val="0"/>
        <w:spacing w:before="0" w:after="0"/>
        <w:ind w:left="720" w:right="0" w:firstLine="0"/>
      </w:pPr>
      <w:hyperlink w:anchor="bookmark420" w:tooltip="Current Document">
        <w:r>
          <w:rPr>
            <w:lang w:val="ru-RU" w:eastAsia="ru-RU" w:bidi="ru-RU"/>
            <w:w w:val="100"/>
            <w:color w:val="000000"/>
            <w:position w:val="0"/>
          </w:rPr>
          <w:t>ПМК и нейроциркуляторная дистония</w:t>
        </w:r>
        <w:r>
          <w:rPr>
            <w:rStyle w:val="CharStyle21"/>
            <w:i w:val="0"/>
            <w:iCs w:val="0"/>
          </w:rPr>
          <w:tab/>
          <w:t>201</w:t>
        </w:r>
      </w:hyperlink>
    </w:p>
    <w:p>
      <w:pPr>
        <w:pStyle w:val="TOC_4"/>
        <w:tabs>
          <w:tab w:leader="dot" w:pos="9816" w:val="right"/>
        </w:tabs>
        <w:widowControl w:val="0"/>
        <w:keepNext w:val="0"/>
        <w:keepLines w:val="0"/>
        <w:shd w:val="clear" w:color="auto" w:fill="auto"/>
        <w:bidi w:val="0"/>
        <w:spacing w:before="0" w:after="0"/>
        <w:ind w:left="720" w:right="0" w:firstLine="0"/>
      </w:pPr>
      <w:hyperlink w:anchor="bookmark421" w:tooltip="Current Document">
        <w:r>
          <w:rPr>
            <w:lang w:val="ru-RU" w:eastAsia="ru-RU" w:bidi="ru-RU"/>
            <w:w w:val="100"/>
            <w:color w:val="000000"/>
            <w:position w:val="0"/>
          </w:rPr>
          <w:t>ПМК и наследственные синдромы</w:t>
        </w:r>
        <w:r>
          <w:rPr>
            <w:rStyle w:val="CharStyle21"/>
            <w:i w:val="0"/>
            <w:iCs w:val="0"/>
          </w:rPr>
          <w:tab/>
          <w:t>201</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422" w:tooltip="Current Document">
        <w:r>
          <w:rPr>
            <w:rStyle w:val="CharStyle18"/>
          </w:rPr>
          <w:t>Пороки аортального клапана</w:t>
          <w:tab/>
          <w:t>202</w:t>
        </w:r>
      </w:hyperlink>
    </w:p>
    <w:p>
      <w:pPr>
        <w:pStyle w:val="TOC_4"/>
        <w:tabs>
          <w:tab w:leader="dot" w:pos="9816" w:val="right"/>
        </w:tabs>
        <w:widowControl w:val="0"/>
        <w:keepNext w:val="0"/>
        <w:keepLines w:val="0"/>
        <w:shd w:val="clear" w:color="auto" w:fill="auto"/>
        <w:bidi w:val="0"/>
        <w:spacing w:before="0" w:after="0"/>
        <w:ind w:left="720" w:right="0" w:firstLine="0"/>
      </w:pPr>
      <w:hyperlink w:anchor="bookmark423" w:tooltip="Current Document">
        <w:r>
          <w:rPr>
            <w:lang w:val="ru-RU" w:eastAsia="ru-RU" w:bidi="ru-RU"/>
            <w:w w:val="100"/>
            <w:color w:val="000000"/>
            <w:position w:val="0"/>
          </w:rPr>
          <w:t>Эмбриология и анатомия аортального клапана</w:t>
        </w:r>
        <w:r>
          <w:rPr>
            <w:rStyle w:val="CharStyle21"/>
            <w:i w:val="0"/>
            <w:iCs w:val="0"/>
          </w:rPr>
          <w:tab/>
          <w:t>202</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424" w:tooltip="Current Document">
        <w:r>
          <w:rPr>
            <w:rStyle w:val="CharStyle18"/>
          </w:rPr>
          <w:t>Клапанный стеноз аорты</w:t>
          <w:tab/>
          <w:t>202</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426" w:tooltip="Current Document">
        <w:r>
          <w:rPr>
            <w:rStyle w:val="CharStyle18"/>
          </w:rPr>
          <w:t>Недостаточность аортального клапана</w:t>
          <w:tab/>
          <w:t>208</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433" w:tooltip="Current Document">
        <w:r>
          <w:rPr>
            <w:rStyle w:val="CharStyle18"/>
          </w:rPr>
          <w:t>Двустворчатый клапан аорты</w:t>
          <w:tab/>
          <w:t>212</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436" w:tooltip="Current Document">
        <w:r>
          <w:rPr>
            <w:rStyle w:val="CharStyle18"/>
          </w:rPr>
          <w:t>Недостаточность трехстворчатого клапана</w:t>
          <w:tab/>
          <w:t>215</w:t>
        </w:r>
      </w:hyperlink>
    </w:p>
    <w:p>
      <w:pPr>
        <w:pStyle w:val="TOC_2"/>
        <w:tabs>
          <w:tab w:leader="dot" w:pos="9816" w:val="right"/>
        </w:tabs>
        <w:widowControl w:val="0"/>
        <w:keepNext w:val="0"/>
        <w:keepLines w:val="0"/>
        <w:shd w:val="clear" w:color="auto" w:fill="auto"/>
        <w:bidi w:val="0"/>
        <w:spacing w:before="0" w:after="180"/>
        <w:ind w:left="260" w:right="0" w:firstLine="0"/>
      </w:pPr>
      <w:hyperlink w:anchor="bookmark438" w:tooltip="Current Document">
        <w:r>
          <w:rPr>
            <w:rStyle w:val="CharStyle18"/>
          </w:rPr>
          <w:t>Стеноз трикуспидального клапана</w:t>
          <w:tab/>
          <w:t>219</w:t>
        </w:r>
      </w:hyperlink>
    </w:p>
    <w:p>
      <w:pPr>
        <w:pStyle w:val="TOC_1"/>
        <w:tabs>
          <w:tab w:leader="dot" w:pos="9816" w:val="righ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Глава IV. Болезни миокарда</w:t>
        <w:tab/>
        <w:t>222</w:t>
      </w:r>
    </w:p>
    <w:p>
      <w:pPr>
        <w:pStyle w:val="TOC_2"/>
        <w:tabs>
          <w:tab w:leader="dot" w:pos="9816" w:val="right"/>
        </w:tabs>
        <w:widowControl w:val="0"/>
        <w:keepNext w:val="0"/>
        <w:keepLines w:val="0"/>
        <w:shd w:val="clear" w:color="auto" w:fill="auto"/>
        <w:bidi w:val="0"/>
        <w:spacing w:before="0" w:after="0"/>
        <w:ind w:left="260" w:right="0" w:firstLine="0"/>
      </w:pPr>
      <w:hyperlink w:anchor="bookmark440" w:tooltip="Current Document">
        <w:r>
          <w:rPr>
            <w:rStyle w:val="CharStyle18"/>
          </w:rPr>
          <w:t>Миокардиты (общие аспекты)</w:t>
          <w:tab/>
          <w:t>222</w:t>
        </w:r>
      </w:hyperlink>
    </w:p>
    <w:p>
      <w:pPr>
        <w:pStyle w:val="TOC_3"/>
        <w:tabs>
          <w:tab w:leader="dot" w:pos="9816" w:val="right"/>
        </w:tabs>
        <w:widowControl w:val="0"/>
        <w:keepNext w:val="0"/>
        <w:keepLines w:val="0"/>
        <w:shd w:val="clear" w:color="auto" w:fill="auto"/>
        <w:bidi w:val="0"/>
        <w:spacing w:before="0" w:after="0"/>
        <w:ind w:left="480" w:right="0" w:firstLine="0"/>
      </w:pPr>
      <w:hyperlink w:anchor="bookmark441" w:tooltip="Current Document">
        <w:r>
          <w:rPr>
            <w:rStyle w:val="CharStyle18"/>
          </w:rPr>
          <w:t>Вирусный миокардит</w:t>
          <w:tab/>
          <w:t>226</w:t>
        </w:r>
      </w:hyperlink>
    </w:p>
    <w:p>
      <w:pPr>
        <w:pStyle w:val="TOC_3"/>
        <w:tabs>
          <w:tab w:leader="dot" w:pos="9816" w:val="right"/>
        </w:tabs>
        <w:widowControl w:val="0"/>
        <w:keepNext w:val="0"/>
        <w:keepLines w:val="0"/>
        <w:shd w:val="clear" w:color="auto" w:fill="auto"/>
        <w:bidi w:val="0"/>
        <w:spacing w:before="0" w:after="0"/>
        <w:ind w:left="480" w:right="0" w:firstLine="0"/>
      </w:pPr>
      <w:hyperlink w:anchor="bookmark442" w:tooltip="Current Document">
        <w:r>
          <w:rPr>
            <w:rStyle w:val="CharStyle18"/>
          </w:rPr>
          <w:t>Миокардиты другой этиологии (невирусные миокардиты)</w:t>
          <w:tab/>
          <w:t>229</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444" w:tooltip="Current Document">
        <w:r>
          <w:rPr>
            <w:rStyle w:val="CharStyle18"/>
          </w:rPr>
          <w:t>Абсцесс миокарда</w:t>
          <w:tab/>
          <w:t>232</w:t>
        </w:r>
      </w:hyperlink>
    </w:p>
    <w:p>
      <w:pPr>
        <w:pStyle w:val="TOC_2"/>
        <w:tabs>
          <w:tab w:leader="dot" w:pos="9556" w:val="right"/>
        </w:tabs>
        <w:widowControl w:val="0"/>
        <w:keepNext w:val="0"/>
        <w:keepLines w:val="0"/>
        <w:shd w:val="clear" w:color="auto" w:fill="auto"/>
        <w:bidi w:val="0"/>
        <w:spacing w:before="0" w:after="0"/>
        <w:ind w:left="0" w:right="0" w:firstLine="0"/>
      </w:pPr>
      <w:hyperlink w:anchor="bookmark446" w:tooltip="Current Document">
        <w:r>
          <w:rPr>
            <w:rStyle w:val="CharStyle18"/>
          </w:rPr>
          <w:t>Кардиомиопатии</w:t>
          <w:tab/>
          <w:t>236</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448" w:tooltip="Current Document">
        <w:r>
          <w:rPr>
            <w:rStyle w:val="CharStyle18"/>
          </w:rPr>
          <w:t>Гипертрофическая кардиомиопатия</w:t>
          <w:tab/>
          <w:t>237</w:t>
        </w:r>
      </w:hyperlink>
    </w:p>
    <w:p>
      <w:pPr>
        <w:pStyle w:val="TOC_4"/>
        <w:tabs>
          <w:tab w:leader="dot" w:pos="9816" w:val="right"/>
        </w:tabs>
        <w:widowControl w:val="0"/>
        <w:keepNext w:val="0"/>
        <w:keepLines w:val="0"/>
        <w:shd w:val="clear" w:color="auto" w:fill="auto"/>
        <w:bidi w:val="0"/>
        <w:spacing w:before="0" w:after="0"/>
        <w:ind w:left="480" w:right="0" w:firstLine="0"/>
      </w:pPr>
      <w:hyperlink w:anchor="bookmark451" w:tooltip="Current Document">
        <w:r>
          <w:rPr>
            <w:lang w:val="ru-RU" w:eastAsia="ru-RU" w:bidi="ru-RU"/>
            <w:w w:val="100"/>
            <w:color w:val="000000"/>
            <w:position w:val="0"/>
          </w:rPr>
          <w:t>Вторичные формы гипертрофических кардиомиопатий</w:t>
        </w:r>
        <w:r>
          <w:rPr>
            <w:rStyle w:val="CharStyle21"/>
            <w:i w:val="0"/>
            <w:iCs w:val="0"/>
          </w:rPr>
          <w:tab/>
          <w:t>249</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452" w:tooltip="Current Document">
        <w:r>
          <w:rPr>
            <w:rStyle w:val="CharStyle18"/>
          </w:rPr>
          <w:t>Дилатационная кардиомиопатия</w:t>
          <w:tab/>
          <w:t>251</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456" w:tooltip="Current Document">
        <w:r>
          <w:rPr>
            <w:rStyle w:val="CharStyle18"/>
          </w:rPr>
          <w:t>Наследственные дилатационные кардиомиопатии</w:t>
          <w:tab/>
          <w:t>253</w:t>
        </w:r>
      </w:hyperlink>
    </w:p>
    <w:p>
      <w:pPr>
        <w:pStyle w:val="TOC_3"/>
        <w:tabs>
          <w:tab w:leader="dot" w:pos="9816" w:val="right"/>
        </w:tabs>
        <w:widowControl w:val="0"/>
        <w:keepNext w:val="0"/>
        <w:keepLines w:val="0"/>
        <w:shd w:val="clear" w:color="auto" w:fill="auto"/>
        <w:bidi w:val="0"/>
        <w:spacing w:before="0" w:after="0"/>
        <w:ind w:left="480" w:right="0" w:firstLine="0"/>
      </w:pPr>
      <w:hyperlink w:anchor="bookmark459" w:tooltip="Current Document">
        <w:r>
          <w:rPr>
            <w:rStyle w:val="CharStyle18"/>
          </w:rPr>
          <w:t>Карнитиновая кардиомиопатия</w:t>
          <w:tab/>
          <w:t>256</w:t>
        </w:r>
      </w:hyperlink>
    </w:p>
    <w:p>
      <w:pPr>
        <w:pStyle w:val="TOC_4"/>
        <w:tabs>
          <w:tab w:leader="dot" w:pos="9816" w:val="right"/>
        </w:tabs>
        <w:widowControl w:val="0"/>
        <w:keepNext w:val="0"/>
        <w:keepLines w:val="0"/>
        <w:shd w:val="clear" w:color="auto" w:fill="auto"/>
        <w:bidi w:val="0"/>
        <w:spacing w:before="0" w:after="0"/>
        <w:ind w:left="720" w:right="0" w:firstLine="0"/>
      </w:pPr>
      <w:hyperlink w:anchor="bookmark460" w:tooltip="Current Document">
        <w:r>
          <w:rPr>
            <w:lang w:val="ru-RU" w:eastAsia="ru-RU" w:bidi="ru-RU"/>
            <w:w w:val="100"/>
            <w:color w:val="000000"/>
            <w:position w:val="0"/>
          </w:rPr>
          <w:t>Вторичная карнитиновая недостаточность</w:t>
        </w:r>
        <w:r>
          <w:rPr>
            <w:rStyle w:val="CharStyle21"/>
            <w:i w:val="0"/>
            <w:iCs w:val="0"/>
          </w:rPr>
          <w:tab/>
          <w:t>257</w:t>
        </w:r>
      </w:hyperlink>
    </w:p>
    <w:p>
      <w:pPr>
        <w:pStyle w:val="TOC_3"/>
        <w:tabs>
          <w:tab w:leader="dot" w:pos="9816" w:val="right"/>
        </w:tabs>
        <w:widowControl w:val="0"/>
        <w:keepNext w:val="0"/>
        <w:keepLines w:val="0"/>
        <w:shd w:val="clear" w:color="auto" w:fill="auto"/>
        <w:bidi w:val="0"/>
        <w:spacing w:before="0" w:after="0"/>
        <w:ind w:left="480" w:right="0" w:firstLine="0"/>
      </w:pPr>
      <w:hyperlink w:anchor="bookmark464" w:tooltip="Current Document">
        <w:r>
          <w:rPr>
            <w:rStyle w:val="CharStyle18"/>
          </w:rPr>
          <w:t>Болезнь Кешана</w:t>
          <w:tab/>
          <w:t>259</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465" w:tooltip="Current Document">
        <w:r>
          <w:rPr>
            <w:rStyle w:val="CharStyle18"/>
          </w:rPr>
          <w:t>Рестриктивная кардиомиопатия</w:t>
          <w:tab/>
          <w:t>260</w:t>
        </w:r>
      </w:hyperlink>
    </w:p>
    <w:p>
      <w:pPr>
        <w:pStyle w:val="TOC_3"/>
        <w:tabs>
          <w:tab w:leader="dot" w:pos="9816" w:val="right"/>
        </w:tabs>
        <w:widowControl w:val="0"/>
        <w:keepNext w:val="0"/>
        <w:keepLines w:val="0"/>
        <w:shd w:val="clear" w:color="auto" w:fill="auto"/>
        <w:bidi w:val="0"/>
        <w:spacing w:before="0" w:after="0"/>
        <w:ind w:left="480" w:right="0" w:firstLine="0"/>
      </w:pPr>
      <w:hyperlink w:anchor="bookmark467" w:tooltip="Current Document">
        <w:r>
          <w:rPr>
            <w:rStyle w:val="CharStyle18"/>
          </w:rPr>
          <w:t>Идиопатическая семейная рестриктивная КМП</w:t>
          <w:tab/>
          <w:t>263</w:t>
        </w:r>
      </w:hyperlink>
    </w:p>
    <w:p>
      <w:pPr>
        <w:pStyle w:val="TOC_3"/>
        <w:tabs>
          <w:tab w:leader="dot" w:pos="9816" w:val="right"/>
        </w:tabs>
        <w:widowControl w:val="0"/>
        <w:keepNext w:val="0"/>
        <w:keepLines w:val="0"/>
        <w:shd w:val="clear" w:color="auto" w:fill="auto"/>
        <w:bidi w:val="0"/>
        <w:spacing w:before="0" w:after="0"/>
        <w:ind w:left="480" w:right="0" w:firstLine="0"/>
      </w:pPr>
      <w:hyperlink w:anchor="bookmark470" w:tooltip="Current Document">
        <w:r>
          <w:rPr>
            <w:rStyle w:val="CharStyle18"/>
          </w:rPr>
          <w:t>Эндомиокардиальный фиброз</w:t>
          <w:tab/>
          <w:t>264</w:t>
        </w:r>
      </w:hyperlink>
    </w:p>
    <w:p>
      <w:pPr>
        <w:pStyle w:val="TOC_3"/>
        <w:tabs>
          <w:tab w:leader="dot" w:pos="9816" w:val="right"/>
        </w:tabs>
        <w:widowControl w:val="0"/>
        <w:keepNext w:val="0"/>
        <w:keepLines w:val="0"/>
        <w:shd w:val="clear" w:color="auto" w:fill="auto"/>
        <w:bidi w:val="0"/>
        <w:spacing w:before="0" w:after="0"/>
        <w:ind w:left="480" w:right="0" w:firstLine="0"/>
      </w:pPr>
      <w:hyperlink w:anchor="bookmark472" w:tooltip="Current Document">
        <w:r>
          <w:rPr>
            <w:rStyle w:val="CharStyle18"/>
          </w:rPr>
          <w:t>Другие инфильтративные заболевания и болезни накопления</w:t>
          <w:tab/>
          <w:t>267</w:t>
        </w:r>
      </w:hyperlink>
    </w:p>
    <w:p>
      <w:pPr>
        <w:pStyle w:val="TOC_4"/>
        <w:tabs>
          <w:tab w:leader="dot" w:pos="9816" w:val="right"/>
        </w:tabs>
        <w:widowControl w:val="0"/>
        <w:keepNext w:val="0"/>
        <w:keepLines w:val="0"/>
        <w:shd w:val="clear" w:color="auto" w:fill="auto"/>
        <w:bidi w:val="0"/>
        <w:spacing w:before="0" w:after="0"/>
        <w:ind w:left="720" w:right="0" w:firstLine="0"/>
      </w:pPr>
      <w:hyperlink w:anchor="bookmark473" w:tooltip="Current Document">
        <w:r>
          <w:rPr>
            <w:lang w:val="ru-RU" w:eastAsia="ru-RU" w:bidi="ru-RU"/>
            <w:w w:val="100"/>
            <w:color w:val="000000"/>
            <w:position w:val="0"/>
          </w:rPr>
          <w:t>Амилоидоз</w:t>
        </w:r>
        <w:r>
          <w:rPr>
            <w:rStyle w:val="CharStyle21"/>
            <w:i w:val="0"/>
            <w:iCs w:val="0"/>
          </w:rPr>
          <w:tab/>
          <w:t>267</w:t>
        </w:r>
      </w:hyperlink>
    </w:p>
    <w:p>
      <w:pPr>
        <w:pStyle w:val="TOC_4"/>
        <w:tabs>
          <w:tab w:leader="dot" w:pos="9816" w:val="right"/>
        </w:tabs>
        <w:widowControl w:val="0"/>
        <w:keepNext w:val="0"/>
        <w:keepLines w:val="0"/>
        <w:shd w:val="clear" w:color="auto" w:fill="auto"/>
        <w:bidi w:val="0"/>
        <w:spacing w:before="0" w:after="0"/>
        <w:ind w:left="720" w:right="0" w:firstLine="0"/>
      </w:pPr>
      <w:hyperlink w:anchor="bookmark474" w:tooltip="Current Document">
        <w:r>
          <w:rPr>
            <w:lang w:val="ru-RU" w:eastAsia="ru-RU" w:bidi="ru-RU"/>
            <w:w w:val="100"/>
            <w:color w:val="000000"/>
            <w:position w:val="0"/>
          </w:rPr>
          <w:t>Болезнь Гоше</w:t>
        </w:r>
        <w:r>
          <w:rPr>
            <w:rStyle w:val="CharStyle21"/>
            <w:i w:val="0"/>
            <w:iCs w:val="0"/>
          </w:rPr>
          <w:tab/>
          <w:t>268</w:t>
        </w:r>
      </w:hyperlink>
    </w:p>
    <w:p>
      <w:pPr>
        <w:pStyle w:val="TOC_4"/>
        <w:tabs>
          <w:tab w:leader="dot" w:pos="9816" w:val="right"/>
        </w:tabs>
        <w:widowControl w:val="0"/>
        <w:keepNext w:val="0"/>
        <w:keepLines w:val="0"/>
        <w:shd w:val="clear" w:color="auto" w:fill="auto"/>
        <w:bidi w:val="0"/>
        <w:spacing w:before="0" w:after="0"/>
        <w:ind w:left="720" w:right="0" w:firstLine="0"/>
      </w:pPr>
      <w:hyperlink w:anchor="bookmark475" w:tooltip="Current Document">
        <w:r>
          <w:rPr>
            <w:lang w:val="ru-RU" w:eastAsia="ru-RU" w:bidi="ru-RU"/>
            <w:w w:val="100"/>
            <w:color w:val="000000"/>
            <w:position w:val="0"/>
          </w:rPr>
          <w:t>Болезнь Гурлера</w:t>
        </w:r>
        <w:r>
          <w:rPr>
            <w:rStyle w:val="CharStyle21"/>
            <w:i w:val="0"/>
            <w:iCs w:val="0"/>
          </w:rPr>
          <w:tab/>
          <w:t>268</w:t>
        </w:r>
      </w:hyperlink>
    </w:p>
    <w:p>
      <w:pPr>
        <w:pStyle w:val="TOC_4"/>
        <w:tabs>
          <w:tab w:leader="dot" w:pos="9816" w:val="right"/>
        </w:tabs>
        <w:widowControl w:val="0"/>
        <w:keepNext w:val="0"/>
        <w:keepLines w:val="0"/>
        <w:shd w:val="clear" w:color="auto" w:fill="auto"/>
        <w:bidi w:val="0"/>
        <w:spacing w:before="0" w:after="0"/>
        <w:ind w:left="720" w:right="0" w:firstLine="0"/>
      </w:pPr>
      <w:hyperlink w:anchor="bookmark476" w:tooltip="Current Document">
        <w:r>
          <w:rPr>
            <w:lang w:val="ru-RU" w:eastAsia="ru-RU" w:bidi="ru-RU"/>
            <w:w w:val="100"/>
            <w:color w:val="000000"/>
            <w:position w:val="0"/>
          </w:rPr>
          <w:t>Болезнь Фабри</w:t>
        </w:r>
        <w:r>
          <w:rPr>
            <w:rStyle w:val="CharStyle21"/>
            <w:i w:val="0"/>
            <w:iCs w:val="0"/>
          </w:rPr>
          <w:tab/>
          <w:t>268</w:t>
        </w:r>
      </w:hyperlink>
    </w:p>
    <w:p>
      <w:pPr>
        <w:pStyle w:val="TOC_4"/>
        <w:tabs>
          <w:tab w:leader="dot" w:pos="9816" w:val="right"/>
        </w:tabs>
        <w:widowControl w:val="0"/>
        <w:keepNext w:val="0"/>
        <w:keepLines w:val="0"/>
        <w:shd w:val="clear" w:color="auto" w:fill="auto"/>
        <w:bidi w:val="0"/>
        <w:spacing w:before="0" w:after="0"/>
        <w:ind w:left="720" w:right="0" w:firstLine="0"/>
      </w:pPr>
      <w:hyperlink w:anchor="bookmark477" w:tooltip="Current Document">
        <w:r>
          <w:rPr>
            <w:lang w:val="ru-RU" w:eastAsia="ru-RU" w:bidi="ru-RU"/>
            <w:w w:val="100"/>
            <w:color w:val="000000"/>
            <w:position w:val="0"/>
          </w:rPr>
          <w:t>Саркоидоз</w:t>
        </w:r>
        <w:r>
          <w:rPr>
            <w:rStyle w:val="CharStyle21"/>
            <w:i w:val="0"/>
            <w:iCs w:val="0"/>
          </w:rPr>
          <w:tab/>
          <w:t>268</w:t>
        </w:r>
      </w:hyperlink>
    </w:p>
    <w:p>
      <w:pPr>
        <w:pStyle w:val="TOC_4"/>
        <w:tabs>
          <w:tab w:leader="dot" w:pos="9816" w:val="right"/>
        </w:tabs>
        <w:widowControl w:val="0"/>
        <w:keepNext w:val="0"/>
        <w:keepLines w:val="0"/>
        <w:shd w:val="clear" w:color="auto" w:fill="auto"/>
        <w:bidi w:val="0"/>
        <w:spacing w:before="0" w:after="0"/>
        <w:ind w:left="720" w:right="0" w:firstLine="0"/>
      </w:pPr>
      <w:hyperlink w:anchor="bookmark479" w:tooltip="Current Document">
        <w:r>
          <w:rPr>
            <w:lang w:val="ru-RU" w:eastAsia="ru-RU" w:bidi="ru-RU"/>
            <w:w w:val="100"/>
            <w:color w:val="000000"/>
            <w:position w:val="0"/>
          </w:rPr>
          <w:t>Карциноидная болезнь сердца</w:t>
        </w:r>
        <w:r>
          <w:rPr>
            <w:rStyle w:val="CharStyle21"/>
            <w:i w:val="0"/>
            <w:iCs w:val="0"/>
          </w:rPr>
          <w:tab/>
          <w:t>268</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482" w:tooltip="Current Document">
        <w:r>
          <w:rPr>
            <w:rStyle w:val="CharStyle18"/>
          </w:rPr>
          <w:t>Аритмогенная дисплазия правого желудочка</w:t>
          <w:tab/>
          <w:t>268</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483" w:tooltip="Current Document">
        <w:r>
          <w:rPr>
            <w:rStyle w:val="CharStyle18"/>
          </w:rPr>
          <w:t>Наследственные кардиомиопатии детей</w:t>
          <w:tab/>
          <w:t>272</w:t>
        </w:r>
      </w:hyperlink>
    </w:p>
    <w:p>
      <w:pPr>
        <w:pStyle w:val="TOC_2"/>
        <w:tabs>
          <w:tab w:leader="dot" w:pos="9556" w:val="right"/>
        </w:tabs>
        <w:widowControl w:val="0"/>
        <w:keepNext w:val="0"/>
        <w:keepLines w:val="0"/>
        <w:shd w:val="clear" w:color="auto" w:fill="auto"/>
        <w:bidi w:val="0"/>
        <w:spacing w:before="0" w:after="176"/>
        <w:ind w:left="0" w:right="0" w:firstLine="0"/>
      </w:pPr>
      <w:hyperlink w:anchor="bookmark486" w:tooltip="Current Document">
        <w:r>
          <w:rPr>
            <w:rStyle w:val="CharStyle18"/>
          </w:rPr>
          <w:t>Ревматизм</w:t>
          <w:tab/>
          <w:t>274</w:t>
        </w:r>
      </w:hyperlink>
    </w:p>
    <w:p>
      <w:pPr>
        <w:pStyle w:val="TOC_1"/>
        <w:tabs>
          <w:tab w:leader="dot" w:pos="9816" w:val="right"/>
        </w:tabs>
        <w:widowControl w:val="0"/>
        <w:keepNext w:val="0"/>
        <w:keepLines w:val="0"/>
        <w:shd w:val="clear" w:color="auto" w:fill="auto"/>
        <w:bidi w:val="0"/>
        <w:spacing w:before="0" w:after="0" w:line="245" w:lineRule="exact"/>
        <w:ind w:left="0" w:right="0" w:firstLine="0"/>
      </w:pPr>
      <w:r>
        <w:rPr>
          <w:lang w:val="ru-RU" w:eastAsia="ru-RU" w:bidi="ru-RU"/>
          <w:w w:val="100"/>
          <w:spacing w:val="0"/>
          <w:color w:val="000000"/>
          <w:position w:val="0"/>
        </w:rPr>
        <w:t>Глава V. Болезни эндокарда</w:t>
        <w:tab/>
        <w:t>279</w:t>
      </w:r>
    </w:p>
    <w:p>
      <w:pPr>
        <w:pStyle w:val="TOC_2"/>
        <w:tabs>
          <w:tab w:leader="dot" w:pos="9816" w:val="right"/>
        </w:tabs>
        <w:widowControl w:val="0"/>
        <w:keepNext w:val="0"/>
        <w:keepLines w:val="0"/>
        <w:shd w:val="clear" w:color="auto" w:fill="auto"/>
        <w:bidi w:val="0"/>
        <w:spacing w:before="0" w:after="0" w:line="245" w:lineRule="exact"/>
        <w:ind w:left="260" w:right="0" w:firstLine="0"/>
      </w:pPr>
      <w:hyperlink w:anchor="bookmark489" w:tooltip="Current Document">
        <w:r>
          <w:rPr>
            <w:rStyle w:val="CharStyle18"/>
          </w:rPr>
          <w:t>Инфекционный эндокардит</w:t>
          <w:tab/>
          <w:t>279</w:t>
        </w:r>
      </w:hyperlink>
    </w:p>
    <w:p>
      <w:pPr>
        <w:pStyle w:val="TOC_2"/>
        <w:tabs>
          <w:tab w:leader="dot" w:pos="9816" w:val="right"/>
        </w:tabs>
        <w:widowControl w:val="0"/>
        <w:keepNext w:val="0"/>
        <w:keepLines w:val="0"/>
        <w:shd w:val="clear" w:color="auto" w:fill="auto"/>
        <w:bidi w:val="0"/>
        <w:spacing w:before="0" w:after="184" w:line="245" w:lineRule="exact"/>
        <w:ind w:left="260" w:right="0" w:firstLine="0"/>
      </w:pPr>
      <w:hyperlink w:anchor="bookmark497" w:tooltip="Current Document">
        <w:r>
          <w:rPr>
            <w:rStyle w:val="CharStyle18"/>
          </w:rPr>
          <w:t>Врожденный кардиосклероз</w:t>
          <w:tab/>
          <w:t>300</w:t>
        </w:r>
      </w:hyperlink>
    </w:p>
    <w:p>
      <w:pPr>
        <w:pStyle w:val="TOC_1"/>
        <w:tabs>
          <w:tab w:leader="dot" w:pos="9816" w:val="right"/>
        </w:tabs>
        <w:widowControl w:val="0"/>
        <w:keepNext w:val="0"/>
        <w:keepLines w:val="0"/>
        <w:shd w:val="clear" w:color="auto" w:fill="auto"/>
        <w:bidi w:val="0"/>
        <w:spacing w:before="0" w:after="0"/>
        <w:ind w:left="0" w:right="0" w:firstLine="0"/>
      </w:pPr>
      <w:hyperlink w:anchor="bookmark500" w:tooltip="Current Document">
        <w:r>
          <w:rPr>
            <w:lang w:val="ru-RU" w:eastAsia="ru-RU" w:bidi="ru-RU"/>
            <w:w w:val="100"/>
            <w:spacing w:val="0"/>
            <w:color w:val="000000"/>
            <w:position w:val="0"/>
          </w:rPr>
          <w:t>Глава VI. Патология перикарда у детей</w:t>
          <w:tab/>
          <w:t>303</w:t>
        </w:r>
      </w:hyperlink>
    </w:p>
    <w:p>
      <w:pPr>
        <w:pStyle w:val="TOC_3"/>
        <w:tabs>
          <w:tab w:leader="dot" w:pos="9816" w:val="right"/>
        </w:tabs>
        <w:widowControl w:val="0"/>
        <w:keepNext w:val="0"/>
        <w:keepLines w:val="0"/>
        <w:shd w:val="clear" w:color="auto" w:fill="auto"/>
        <w:bidi w:val="0"/>
        <w:spacing w:before="0" w:after="0"/>
        <w:ind w:left="480" w:right="0" w:firstLine="0"/>
      </w:pPr>
      <w:hyperlink w:anchor="bookmark501" w:tooltip="Current Document">
        <w:r>
          <w:rPr>
            <w:rStyle w:val="CharStyle18"/>
          </w:rPr>
          <w:t>Анатомия перикарда</w:t>
          <w:tab/>
          <w:t>303</w:t>
        </w:r>
      </w:hyperlink>
    </w:p>
    <w:p>
      <w:pPr>
        <w:pStyle w:val="TOC_2"/>
        <w:tabs>
          <w:tab w:leader="dot" w:pos="9556" w:val="right"/>
        </w:tabs>
        <w:widowControl w:val="0"/>
        <w:keepNext w:val="0"/>
        <w:keepLines w:val="0"/>
        <w:shd w:val="clear" w:color="auto" w:fill="auto"/>
        <w:bidi w:val="0"/>
        <w:spacing w:before="0" w:after="0"/>
        <w:ind w:left="0" w:right="0" w:firstLine="0"/>
      </w:pPr>
      <w:hyperlink w:anchor="bookmark502" w:tooltip="Current Document">
        <w:r>
          <w:rPr>
            <w:rStyle w:val="CharStyle18"/>
          </w:rPr>
          <w:t>Перикардиты</w:t>
          <w:tab/>
          <w:t>304</w:t>
        </w:r>
      </w:hyperlink>
    </w:p>
    <w:p>
      <w:pPr>
        <w:pStyle w:val="TOC_3"/>
        <w:tabs>
          <w:tab w:leader="dot" w:pos="9816" w:val="right"/>
        </w:tabs>
        <w:widowControl w:val="0"/>
        <w:keepNext w:val="0"/>
        <w:keepLines w:val="0"/>
        <w:shd w:val="clear" w:color="auto" w:fill="auto"/>
        <w:bidi w:val="0"/>
        <w:spacing w:before="0" w:after="0"/>
        <w:ind w:left="480" w:right="0" w:firstLine="0"/>
      </w:pPr>
      <w:hyperlink w:anchor="bookmark504" w:tooltip="Current Document">
        <w:r>
          <w:rPr>
            <w:rStyle w:val="CharStyle18"/>
          </w:rPr>
          <w:t>Сухой фибринозный перикардит</w:t>
          <w:tab/>
          <w:t>305</w:t>
        </w:r>
      </w:hyperlink>
    </w:p>
    <w:p>
      <w:pPr>
        <w:pStyle w:val="TOC_3"/>
        <w:tabs>
          <w:tab w:leader="dot" w:pos="9816" w:val="right"/>
        </w:tabs>
        <w:widowControl w:val="0"/>
        <w:keepNext w:val="0"/>
        <w:keepLines w:val="0"/>
        <w:shd w:val="clear" w:color="auto" w:fill="auto"/>
        <w:bidi w:val="0"/>
        <w:spacing w:before="0" w:after="0"/>
        <w:ind w:left="480" w:right="0" w:firstLine="0"/>
      </w:pPr>
      <w:hyperlink w:anchor="bookmark506" w:tooltip="Current Document">
        <w:r>
          <w:rPr>
            <w:rStyle w:val="CharStyle18"/>
          </w:rPr>
          <w:t>Экссудативный перикардит</w:t>
          <w:tab/>
          <w:t>307</w:t>
        </w:r>
      </w:hyperlink>
    </w:p>
    <w:p>
      <w:pPr>
        <w:pStyle w:val="TOC_3"/>
        <w:tabs>
          <w:tab w:leader="dot" w:pos="9816" w:val="right"/>
        </w:tabs>
        <w:widowControl w:val="0"/>
        <w:keepNext w:val="0"/>
        <w:keepLines w:val="0"/>
        <w:shd w:val="clear" w:color="auto" w:fill="auto"/>
        <w:bidi w:val="0"/>
        <w:spacing w:before="0" w:after="0"/>
        <w:ind w:left="480" w:right="0" w:firstLine="0"/>
      </w:pPr>
      <w:hyperlink w:anchor="bookmark507" w:tooltip="Current Document">
        <w:r>
          <w:rPr>
            <w:rStyle w:val="CharStyle18"/>
          </w:rPr>
          <w:t>Констриктивный перикардит</w:t>
          <w:tab/>
          <w:t>308</w:t>
        </w:r>
      </w:hyperlink>
    </w:p>
    <w:p>
      <w:pPr>
        <w:pStyle w:val="TOC_3"/>
        <w:tabs>
          <w:tab w:leader="dot" w:pos="9816" w:val="right"/>
        </w:tabs>
        <w:widowControl w:val="0"/>
        <w:keepNext w:val="0"/>
        <w:keepLines w:val="0"/>
        <w:shd w:val="clear" w:color="auto" w:fill="auto"/>
        <w:bidi w:val="0"/>
        <w:spacing w:before="0" w:after="0"/>
        <w:ind w:left="480" w:right="0" w:firstLine="0"/>
      </w:pPr>
      <w:hyperlink w:anchor="bookmark510" w:tooltip="Current Document">
        <w:r>
          <w:rPr>
            <w:rStyle w:val="CharStyle18"/>
          </w:rPr>
          <w:t>Отдельные формы перикардитов</w:t>
          <w:tab/>
          <w:t>312</w:t>
        </w:r>
      </w:hyperlink>
    </w:p>
    <w:p>
      <w:pPr>
        <w:pStyle w:val="TOC_3"/>
        <w:tabs>
          <w:tab w:leader="dot" w:pos="9816" w:val="right"/>
        </w:tabs>
        <w:widowControl w:val="0"/>
        <w:keepNext w:val="0"/>
        <w:keepLines w:val="0"/>
        <w:shd w:val="clear" w:color="auto" w:fill="auto"/>
        <w:bidi w:val="0"/>
        <w:spacing w:before="0" w:after="0"/>
        <w:ind w:left="480" w:right="0" w:firstLine="0"/>
      </w:pPr>
      <w:hyperlink w:anchor="bookmark511" w:tooltip="Current Document">
        <w:r>
          <w:rPr>
            <w:rStyle w:val="CharStyle18"/>
          </w:rPr>
          <w:t>Неинфекционные (асептические) перикардиты</w:t>
          <w:tab/>
          <w:t>316</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514" w:tooltip="Current Document">
        <w:r>
          <w:rPr>
            <w:rStyle w:val="CharStyle18"/>
          </w:rPr>
          <w:t>Опухоли перикарда</w:t>
          <w:tab/>
          <w:t>318</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516" w:tooltip="Current Document">
        <w:r>
          <w:rPr>
            <w:rStyle w:val="CharStyle18"/>
          </w:rPr>
          <w:t>Пороки развития перикарда</w:t>
          <w:tab/>
          <w:t>320</w:t>
        </w:r>
      </w:hyperlink>
    </w:p>
    <w:p>
      <w:pPr>
        <w:pStyle w:val="TOC_2"/>
        <w:tabs>
          <w:tab w:leader="dot" w:pos="9816" w:val="right"/>
        </w:tabs>
        <w:widowControl w:val="0"/>
        <w:keepNext w:val="0"/>
        <w:keepLines w:val="0"/>
        <w:shd w:val="clear" w:color="auto" w:fill="auto"/>
        <w:bidi w:val="0"/>
        <w:spacing w:before="0" w:after="0"/>
        <w:ind w:left="260" w:right="0" w:firstLine="0"/>
      </w:pPr>
      <w:hyperlink w:anchor="bookmark518" w:tooltip="Current Document">
        <w:r>
          <w:rPr>
            <w:rStyle w:val="CharStyle18"/>
          </w:rPr>
          <w:t>Наследственные болезни перикарда</w:t>
          <w:tab/>
          <w:t>321</w:t>
        </w:r>
      </w:hyperlink>
    </w:p>
    <w:p>
      <w:pPr>
        <w:pStyle w:val="TOC_2"/>
        <w:tabs>
          <w:tab w:leader="dot" w:pos="9816" w:val="right"/>
        </w:tabs>
        <w:widowControl w:val="0"/>
        <w:keepNext w:val="0"/>
        <w:keepLines w:val="0"/>
        <w:shd w:val="clear" w:color="auto" w:fill="auto"/>
        <w:bidi w:val="0"/>
        <w:spacing w:before="0" w:after="1332"/>
        <w:ind w:left="260" w:right="0" w:firstLine="0"/>
      </w:pPr>
      <w:hyperlink w:anchor="bookmark520" w:tooltip="Current Document">
        <w:r>
          <w:rPr>
            <w:rStyle w:val="CharStyle18"/>
          </w:rPr>
          <w:t>Тампонада сердца</w:t>
          <w:tab/>
          <w:t>321</w:t>
        </w:r>
      </w:hyperlink>
    </w:p>
    <w:p>
      <w:pPr>
        <w:framePr w:h="293" w:wrap="notBeside" w:vAnchor="text" w:hAnchor="text" w:xAlign="center" w:y="1"/>
        <w:widowControl w:val="0"/>
        <w:jc w:val="center"/>
        <w:rPr>
          <w:sz w:val="2"/>
          <w:szCs w:val="2"/>
        </w:rPr>
      </w:pPr>
      <w:r>
        <w:pict>
          <v:shape id="_x0000_s1030" type="#_x0000_t75" style="width:210pt;height:15pt;">
            <v:imagedata r:id="rId13" r:href="rId14"/>
          </v:shape>
        </w:pict>
      </w:r>
    </w:p>
    <w:p>
      <w:pPr>
        <w:widowControl w:val="0"/>
        <w:rPr>
          <w:sz w:val="2"/>
          <w:szCs w:val="2"/>
        </w:rPr>
      </w:pPr>
    </w:p>
    <w:p>
      <w:pPr>
        <w:pStyle w:val="TOC_1"/>
        <w:tabs>
          <w:tab w:leader="dot" w:pos="9821" w:val="right"/>
        </w:tabs>
        <w:widowControl w:val="0"/>
        <w:keepNext w:val="0"/>
        <w:keepLines w:val="0"/>
        <w:shd w:val="clear" w:color="auto" w:fill="auto"/>
        <w:bidi w:val="0"/>
        <w:spacing w:before="0" w:after="0"/>
        <w:ind w:left="0" w:right="0" w:firstLine="0"/>
      </w:pPr>
      <w:hyperlink w:anchor="bookmark521" w:tooltip="Current Document">
        <w:r>
          <w:rPr>
            <w:lang w:val="ru-RU" w:eastAsia="ru-RU" w:bidi="ru-RU"/>
            <w:w w:val="100"/>
            <w:spacing w:val="0"/>
            <w:color w:val="000000"/>
            <w:position w:val="0"/>
          </w:rPr>
          <w:t>Глава VII. Патология коронарного кровообращения</w:t>
          <w:tab/>
          <w:t>324</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523" w:tooltip="Current Document">
        <w:r>
          <w:rPr>
            <w:rStyle w:val="CharStyle18"/>
          </w:rPr>
          <w:t>Эмбриология и нормальная анатомия коронарного кровообращения</w:t>
          <w:tab/>
          <w:t>324</w:t>
        </w:r>
      </w:hyperlink>
    </w:p>
    <w:p>
      <w:pPr>
        <w:pStyle w:val="TOC_2"/>
        <w:tabs>
          <w:tab w:leader="dot" w:pos="9821" w:val="right"/>
        </w:tabs>
        <w:widowControl w:val="0"/>
        <w:keepNext w:val="0"/>
        <w:keepLines w:val="0"/>
        <w:shd w:val="clear" w:color="auto" w:fill="auto"/>
        <w:bidi w:val="0"/>
        <w:spacing w:before="0" w:after="0"/>
        <w:ind w:left="260" w:right="0" w:firstLine="0"/>
      </w:pPr>
      <w:hyperlink w:anchor="bookmark524" w:tooltip="Current Document">
        <w:r>
          <w:rPr>
            <w:rStyle w:val="CharStyle18"/>
          </w:rPr>
          <w:t>Инфаркт миокарда</w:t>
          <w:tab/>
          <w:t>326</w:t>
        </w:r>
      </w:hyperlink>
    </w:p>
    <w:p>
      <w:pPr>
        <w:pStyle w:val="TOC_2"/>
        <w:tabs>
          <w:tab w:leader="dot" w:pos="9821" w:val="right"/>
        </w:tabs>
        <w:widowControl w:val="0"/>
        <w:keepNext w:val="0"/>
        <w:keepLines w:val="0"/>
        <w:shd w:val="clear" w:color="auto" w:fill="auto"/>
        <w:bidi w:val="0"/>
        <w:spacing w:before="0" w:after="0"/>
        <w:ind w:left="260" w:right="0" w:firstLine="0"/>
      </w:pPr>
      <w:hyperlink w:anchor="bookmark530" w:tooltip="Current Document">
        <w:r>
          <w:rPr>
            <w:rStyle w:val="CharStyle18"/>
          </w:rPr>
          <w:t>Врожденные аномалии коронарных артерий</w:t>
          <w:tab/>
          <w:t>332</w:t>
        </w:r>
      </w:hyperlink>
    </w:p>
    <w:p>
      <w:pPr>
        <w:pStyle w:val="TOC_1"/>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Аномальное отхождение левой главной коронарной артерии от легочной артерии (АОЛКА от ЛА) 334</w:t>
      </w:r>
    </w:p>
    <w:p>
      <w:pPr>
        <w:pStyle w:val="TOC_3"/>
        <w:tabs>
          <w:tab w:leader="dot" w:pos="9480" w:val="left"/>
        </w:tabs>
        <w:widowControl w:val="0"/>
        <w:keepNext w:val="0"/>
        <w:keepLines w:val="0"/>
        <w:shd w:val="clear" w:color="auto" w:fill="auto"/>
        <w:bidi w:val="0"/>
        <w:spacing w:before="0" w:after="0"/>
        <w:ind w:left="480" w:right="0" w:firstLine="0"/>
      </w:pPr>
      <w:hyperlink w:anchor="bookmark537" w:tooltip="Current Document">
        <w:r>
          <w:rPr>
            <w:rStyle w:val="CharStyle18"/>
          </w:rPr>
          <w:t>Аномальное отхождение правой коронарной артерии от легочной артерии</w:t>
          <w:tab/>
          <w:t>337</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538" w:tooltip="Current Document">
        <w:r>
          <w:rPr>
            <w:rStyle w:val="CharStyle18"/>
          </w:rPr>
          <w:t>Аномальное отхождение обеих коронарных артерий от легочной артерии</w:t>
          <w:tab/>
          <w:t>337</w:t>
        </w:r>
      </w:hyperlink>
    </w:p>
    <w:p>
      <w:pPr>
        <w:pStyle w:val="TOC_1"/>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Аномальное отхождение левой коронарной артерии от правого или заднего (некоронарного)</w:t>
      </w:r>
    </w:p>
    <w:p>
      <w:pPr>
        <w:pStyle w:val="TOC_1"/>
        <w:tabs>
          <w:tab w:leader="dot" w:pos="9821" w:val="right"/>
        </w:tabs>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синуса Вальсальвы</w:t>
        <w:tab/>
        <w:t>337</w:t>
      </w:r>
    </w:p>
    <w:p>
      <w:pPr>
        <w:pStyle w:val="TOC_3"/>
        <w:tabs>
          <w:tab w:leader="dot" w:pos="9480" w:val="left"/>
        </w:tabs>
        <w:widowControl w:val="0"/>
        <w:keepNext w:val="0"/>
        <w:keepLines w:val="0"/>
        <w:shd w:val="clear" w:color="auto" w:fill="auto"/>
        <w:bidi w:val="0"/>
        <w:spacing w:before="0" w:after="0"/>
        <w:ind w:left="480" w:right="0" w:firstLine="0"/>
      </w:pPr>
      <w:hyperlink w:anchor="bookmark539" w:tooltip="Current Document">
        <w:r>
          <w:rPr>
            <w:rStyle w:val="CharStyle18"/>
          </w:rPr>
          <w:t>Аномальное отхождение правой коронарной артерии от левого коронарного синуса Вальсальвы</w:t>
          <w:tab/>
          <w:t>338</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541" w:tooltip="Current Document">
        <w:r>
          <w:rPr>
            <w:rStyle w:val="CharStyle18"/>
          </w:rPr>
          <w:t>Интрамуральный ход коронарных артерий («ныряющие» КА)</w:t>
          <w:tab/>
          <w:t>338</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542" w:tooltip="Current Document">
        <w:r>
          <w:rPr>
            <w:rStyle w:val="CharStyle18"/>
          </w:rPr>
          <w:t>Аномалии дистального соединения коронарных артерий (коронарные фистулы)</w:t>
          <w:tab/>
          <w:t>338</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544" w:tooltip="Current Document">
        <w:r>
          <w:rPr>
            <w:rStyle w:val="CharStyle18"/>
          </w:rPr>
          <w:t>Аномалии числа коронарных артерий</w:t>
          <w:tab/>
          <w:t>339</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545" w:tooltip="Current Document">
        <w:r>
          <w:rPr>
            <w:lang w:val="ru-RU" w:eastAsia="ru-RU" w:bidi="ru-RU"/>
            <w:w w:val="100"/>
            <w:color w:val="000000"/>
            <w:position w:val="0"/>
          </w:rPr>
          <w:t>Единственная коронарная артерия</w:t>
        </w:r>
        <w:r>
          <w:rPr>
            <w:rStyle w:val="CharStyle21"/>
            <w:i w:val="0"/>
            <w:iCs w:val="0"/>
          </w:rPr>
          <w:tab/>
          <w:t>339</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546" w:tooltip="Current Document">
        <w:r>
          <w:rPr>
            <w:lang w:val="ru-RU" w:eastAsia="ru-RU" w:bidi="ru-RU"/>
            <w:w w:val="100"/>
            <w:color w:val="000000"/>
            <w:position w:val="0"/>
          </w:rPr>
          <w:t>Гипоплазия коронарных артерий</w:t>
        </w:r>
        <w:r>
          <w:rPr>
            <w:rStyle w:val="CharStyle21"/>
            <w:i w:val="0"/>
            <w:iCs w:val="0"/>
          </w:rPr>
          <w:tab/>
          <w:t>339</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547" w:tooltip="Current Document">
        <w:r>
          <w:rPr>
            <w:lang w:val="ru-RU" w:eastAsia="ru-RU" w:bidi="ru-RU"/>
            <w:w w:val="100"/>
            <w:color w:val="000000"/>
            <w:position w:val="0"/>
          </w:rPr>
          <w:t>Аномалии коронарных артерий при врожденных пороках сердца</w:t>
        </w:r>
        <w:r>
          <w:rPr>
            <w:rStyle w:val="CharStyle21"/>
            <w:i w:val="0"/>
            <w:iCs w:val="0"/>
          </w:rPr>
          <w:tab/>
          <w:t>339</w:t>
        </w:r>
      </w:hyperlink>
    </w:p>
    <w:p>
      <w:pPr>
        <w:pStyle w:val="TOC_2"/>
        <w:tabs>
          <w:tab w:leader="dot" w:pos="9821" w:val="right"/>
        </w:tabs>
        <w:widowControl w:val="0"/>
        <w:keepNext w:val="0"/>
        <w:keepLines w:val="0"/>
        <w:shd w:val="clear" w:color="auto" w:fill="auto"/>
        <w:bidi w:val="0"/>
        <w:spacing w:before="0" w:after="180"/>
        <w:ind w:left="260" w:right="0" w:firstLine="0"/>
      </w:pPr>
      <w:hyperlink w:anchor="bookmark550" w:tooltip="Current Document">
        <w:r>
          <w:rPr>
            <w:rStyle w:val="CharStyle18"/>
          </w:rPr>
          <w:t>Болезнь Кавасаки</w:t>
          <w:tab/>
          <w:t>340</w:t>
        </w:r>
      </w:hyperlink>
    </w:p>
    <w:p>
      <w:pPr>
        <w:pStyle w:val="TOC_1"/>
        <w:tabs>
          <w:tab w:leader="dot" w:pos="9821" w:val="right"/>
        </w:tabs>
        <w:widowControl w:val="0"/>
        <w:keepNext w:val="0"/>
        <w:keepLines w:val="0"/>
        <w:shd w:val="clear" w:color="auto" w:fill="auto"/>
        <w:bidi w:val="0"/>
        <w:spacing w:before="0" w:after="0"/>
        <w:ind w:left="0" w:right="0" w:firstLine="0"/>
      </w:pPr>
      <w:hyperlink w:anchor="bookmark572" w:tooltip="Current Document">
        <w:r>
          <w:rPr>
            <w:lang w:val="ru-RU" w:eastAsia="ru-RU" w:bidi="ru-RU"/>
            <w:w w:val="100"/>
            <w:spacing w:val="0"/>
            <w:color w:val="000000"/>
            <w:position w:val="0"/>
          </w:rPr>
          <w:t>Глава VIII. Легочная гипертензия</w:t>
          <w:tab/>
          <w:t>350</w:t>
        </w:r>
      </w:hyperlink>
    </w:p>
    <w:p>
      <w:pPr>
        <w:pStyle w:val="TOC_2"/>
        <w:tabs>
          <w:tab w:leader="dot" w:pos="9821" w:val="right"/>
        </w:tabs>
        <w:widowControl w:val="0"/>
        <w:keepNext w:val="0"/>
        <w:keepLines w:val="0"/>
        <w:shd w:val="clear" w:color="auto" w:fill="auto"/>
        <w:bidi w:val="0"/>
        <w:spacing w:before="0" w:after="0"/>
        <w:ind w:left="260" w:right="0" w:firstLine="0"/>
      </w:pPr>
      <w:hyperlink w:anchor="bookmark555" w:tooltip="Current Document">
        <w:r>
          <w:rPr>
            <w:rStyle w:val="CharStyle18"/>
          </w:rPr>
          <w:t>Персистирующая легочная гипертензия новорожденных</w:t>
          <w:tab/>
          <w:t>352</w:t>
        </w:r>
      </w:hyperlink>
    </w:p>
    <w:p>
      <w:pPr>
        <w:pStyle w:val="TOC_2"/>
        <w:tabs>
          <w:tab w:leader="dot" w:pos="9821" w:val="right"/>
        </w:tabs>
        <w:widowControl w:val="0"/>
        <w:keepNext w:val="0"/>
        <w:keepLines w:val="0"/>
        <w:shd w:val="clear" w:color="auto" w:fill="auto"/>
        <w:bidi w:val="0"/>
        <w:spacing w:before="0" w:after="0"/>
        <w:ind w:left="260" w:right="0" w:firstLine="0"/>
      </w:pPr>
      <w:hyperlink w:anchor="bookmark565" w:tooltip="Current Document">
        <w:r>
          <w:rPr>
            <w:rStyle w:val="CharStyle18"/>
          </w:rPr>
          <w:t>Пограничная легочная гипертензия</w:t>
          <w:tab/>
          <w:t>356</w:t>
        </w:r>
      </w:hyperlink>
    </w:p>
    <w:p>
      <w:pPr>
        <w:pStyle w:val="TOC_2"/>
        <w:tabs>
          <w:tab w:leader="dot" w:pos="9821" w:val="right"/>
        </w:tabs>
        <w:widowControl w:val="0"/>
        <w:keepNext w:val="0"/>
        <w:keepLines w:val="0"/>
        <w:shd w:val="clear" w:color="auto" w:fill="auto"/>
        <w:bidi w:val="0"/>
        <w:spacing w:before="0" w:after="0"/>
        <w:ind w:left="260" w:right="0" w:firstLine="0"/>
      </w:pPr>
      <w:hyperlink w:anchor="bookmark567" w:tooltip="Current Document">
        <w:r>
          <w:rPr>
            <w:rStyle w:val="CharStyle18"/>
          </w:rPr>
          <w:t>Первичная легочная гипертензия</w:t>
          <w:tab/>
          <w:t>357</w:t>
        </w:r>
      </w:hyperlink>
    </w:p>
    <w:p>
      <w:pPr>
        <w:pStyle w:val="TOC_2"/>
        <w:tabs>
          <w:tab w:leader="dot" w:pos="9821" w:val="right"/>
        </w:tabs>
        <w:widowControl w:val="0"/>
        <w:keepNext w:val="0"/>
        <w:keepLines w:val="0"/>
        <w:shd w:val="clear" w:color="auto" w:fill="auto"/>
        <w:bidi w:val="0"/>
        <w:spacing w:before="0" w:after="0"/>
        <w:ind w:left="260" w:right="0" w:firstLine="0"/>
      </w:pPr>
      <w:hyperlink w:anchor="bookmark569" w:tooltip="Current Document">
        <w:r>
          <w:rPr>
            <w:rStyle w:val="CharStyle18"/>
          </w:rPr>
          <w:t>Вторичная легочная гипертензия</w:t>
          <w:tab/>
          <w:t>368</w:t>
        </w:r>
      </w:hyperlink>
    </w:p>
    <w:p>
      <w:pPr>
        <w:pStyle w:val="TOC_2"/>
        <w:tabs>
          <w:tab w:leader="dot" w:pos="9821" w:val="right"/>
        </w:tabs>
        <w:widowControl w:val="0"/>
        <w:keepNext w:val="0"/>
        <w:keepLines w:val="0"/>
        <w:shd w:val="clear" w:color="auto" w:fill="auto"/>
        <w:bidi w:val="0"/>
        <w:spacing w:before="0" w:after="0"/>
        <w:ind w:left="260" w:right="0" w:firstLine="0"/>
      </w:pPr>
      <w:hyperlink w:anchor="bookmark573" w:tooltip="Current Document">
        <w:r>
          <w:rPr>
            <w:rStyle w:val="CharStyle18"/>
          </w:rPr>
          <w:t>Синдром Эйзенменгера</w:t>
          <w:tab/>
          <w:t>373</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576" w:tooltip="Current Document">
        <w:r>
          <w:rPr>
            <w:rStyle w:val="CharStyle18"/>
          </w:rPr>
          <w:t>Легочная гипертензия при приобретенных пороках сердца</w:t>
          <w:tab/>
          <w:t>376</w:t>
        </w:r>
      </w:hyperlink>
    </w:p>
    <w:p>
      <w:pPr>
        <w:pStyle w:val="TOC_2"/>
        <w:tabs>
          <w:tab w:leader="dot" w:pos="9821" w:val="right"/>
        </w:tabs>
        <w:widowControl w:val="0"/>
        <w:keepNext w:val="0"/>
        <w:keepLines w:val="0"/>
        <w:shd w:val="clear" w:color="auto" w:fill="auto"/>
        <w:bidi w:val="0"/>
        <w:spacing w:before="0" w:after="0"/>
        <w:ind w:left="260" w:right="0" w:firstLine="0"/>
      </w:pPr>
      <w:hyperlink w:anchor="bookmark577" w:tooltip="Current Document">
        <w:r>
          <w:rPr>
            <w:rStyle w:val="CharStyle18"/>
          </w:rPr>
          <w:t xml:space="preserve">Легочное сердце </w:t>
        </w:r>
        <w:r>
          <w:rPr>
            <w:rStyle w:val="CharStyle18"/>
            <w:lang w:val="en-US" w:eastAsia="en-US" w:bidi="en-US"/>
          </w:rPr>
          <w:t>(cor pulmonale)</w:t>
        </w:r>
        <w:r>
          <w:rPr>
            <w:rStyle w:val="CharStyle18"/>
          </w:rPr>
          <w:tab/>
          <w:t>376</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581" w:tooltip="Current Document">
        <w:r>
          <w:rPr>
            <w:rStyle w:val="CharStyle18"/>
          </w:rPr>
          <w:t>Легочная гипертензия при рестриктивных нарушениях, не связанных с заболеванием легких</w:t>
          <w:tab/>
          <w:t>382</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582" w:tooltip="Current Document">
        <w:r>
          <w:rPr>
            <w:rStyle w:val="CharStyle18"/>
          </w:rPr>
          <w:t>Легочная гипертензия при заболеваниях миокарда</w:t>
          <w:tab/>
          <w:t>383</w:t>
        </w:r>
      </w:hyperlink>
    </w:p>
    <w:p>
      <w:pPr>
        <w:pStyle w:val="TOC_2"/>
        <w:tabs>
          <w:tab w:leader="dot" w:pos="9821" w:val="right"/>
        </w:tabs>
        <w:widowControl w:val="0"/>
        <w:keepNext w:val="0"/>
        <w:keepLines w:val="0"/>
        <w:shd w:val="clear" w:color="auto" w:fill="auto"/>
        <w:bidi w:val="0"/>
        <w:spacing w:before="0" w:after="0"/>
        <w:ind w:left="260" w:right="0" w:firstLine="0"/>
      </w:pPr>
      <w:hyperlink w:anchor="bookmark583" w:tooltip="Current Document">
        <w:r>
          <w:rPr>
            <w:rStyle w:val="CharStyle18"/>
          </w:rPr>
          <w:t xml:space="preserve">Веноокклюзивное заболевание легких </w:t>
        </w:r>
        <w:r>
          <w:rPr>
            <w:rStyle w:val="CharStyle18"/>
            <w:lang w:val="en-US" w:eastAsia="en-US" w:bidi="en-US"/>
          </w:rPr>
          <w:t>(Pulmonary venoocclusive disease)</w:t>
        </w:r>
        <w:r>
          <w:rPr>
            <w:rStyle w:val="CharStyle18"/>
          </w:rPr>
          <w:tab/>
          <w:t>384</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587" w:tooltip="Current Document">
        <w:r>
          <w:rPr>
            <w:rStyle w:val="CharStyle18"/>
          </w:rPr>
          <w:t>Хроническая постэмболическая легочная гипертензия</w:t>
          <w:tab/>
          <w:t>388</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589" w:tooltip="Current Document">
        <w:r>
          <w:rPr>
            <w:rStyle w:val="CharStyle18"/>
          </w:rPr>
          <w:t>Легочная гипертензия при наследственных формах тромбоэмболических заболеваний</w:t>
          <w:tab/>
          <w:t>389</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590" w:tooltip="Current Document">
        <w:r>
          <w:rPr>
            <w:lang w:val="ru-RU" w:eastAsia="ru-RU" w:bidi="ru-RU"/>
            <w:w w:val="100"/>
            <w:color w:val="000000"/>
            <w:position w:val="0"/>
          </w:rPr>
          <w:t xml:space="preserve">Дефицит протеина </w:t>
        </w:r>
        <w:r>
          <w:rPr>
            <w:lang w:val="en-US" w:eastAsia="en-US" w:bidi="en-US"/>
            <w:w w:val="100"/>
            <w:color w:val="000000"/>
            <w:position w:val="0"/>
          </w:rPr>
          <w:t>C</w:t>
        </w:r>
        <w:r>
          <w:rPr>
            <w:rStyle w:val="CharStyle21"/>
            <w:i w:val="0"/>
            <w:iCs w:val="0"/>
          </w:rPr>
          <w:tab/>
          <w:t>389</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591" w:tooltip="Current Document">
        <w:r>
          <w:rPr>
            <w:lang w:val="ru-RU" w:eastAsia="ru-RU" w:bidi="ru-RU"/>
            <w:w w:val="100"/>
            <w:color w:val="000000"/>
            <w:position w:val="0"/>
          </w:rPr>
          <w:t xml:space="preserve">Дефицит протеина </w:t>
        </w:r>
        <w:r>
          <w:rPr>
            <w:lang w:val="en-US" w:eastAsia="en-US" w:bidi="en-US"/>
            <w:w w:val="100"/>
            <w:color w:val="000000"/>
            <w:position w:val="0"/>
          </w:rPr>
          <w:t>S</w:t>
        </w:r>
        <w:r>
          <w:rPr>
            <w:rStyle w:val="CharStyle21"/>
            <w:i w:val="0"/>
            <w:iCs w:val="0"/>
          </w:rPr>
          <w:tab/>
          <w:t>390</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592" w:tooltip="Current Document">
        <w:r>
          <w:rPr>
            <w:lang w:val="ru-RU" w:eastAsia="ru-RU" w:bidi="ru-RU"/>
            <w:w w:val="100"/>
            <w:color w:val="000000"/>
            <w:position w:val="0"/>
          </w:rPr>
          <w:t>Дефицит антитромбина III</w:t>
        </w:r>
        <w:r>
          <w:rPr>
            <w:rStyle w:val="CharStyle21"/>
            <w:i w:val="0"/>
            <w:iCs w:val="0"/>
          </w:rPr>
          <w:tab/>
          <w:t>390</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593" w:tooltip="Current Document">
        <w:r>
          <w:rPr>
            <w:lang w:val="ru-RU" w:eastAsia="ru-RU" w:bidi="ru-RU"/>
            <w:w w:val="100"/>
            <w:color w:val="000000"/>
            <w:position w:val="0"/>
          </w:rPr>
          <w:t>Дефицит цистатионин синтетазы</w:t>
        </w:r>
        <w:r>
          <w:rPr>
            <w:rStyle w:val="CharStyle21"/>
            <w:i w:val="0"/>
            <w:iCs w:val="0"/>
          </w:rPr>
          <w:tab/>
          <w:t>390</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594" w:tooltip="Current Document">
        <w:r>
          <w:rPr>
            <w:lang w:val="ru-RU" w:eastAsia="ru-RU" w:bidi="ru-RU"/>
            <w:w w:val="100"/>
            <w:color w:val="000000"/>
            <w:position w:val="0"/>
          </w:rPr>
          <w:t>Семейная дисфибриногенемия</w:t>
        </w:r>
        <w:r>
          <w:rPr>
            <w:rStyle w:val="CharStyle21"/>
            <w:i w:val="0"/>
            <w:iCs w:val="0"/>
          </w:rPr>
          <w:tab/>
          <w:t>390</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596" w:tooltip="Current Document">
        <w:r>
          <w:rPr>
            <w:lang w:val="ru-RU" w:eastAsia="ru-RU" w:bidi="ru-RU"/>
            <w:w w:val="100"/>
            <w:color w:val="000000"/>
            <w:position w:val="0"/>
          </w:rPr>
          <w:t>Врожденная аномалия плазминогена</w:t>
        </w:r>
        <w:r>
          <w:rPr>
            <w:rStyle w:val="CharStyle21"/>
            <w:i w:val="0"/>
            <w:iCs w:val="0"/>
          </w:rPr>
          <w:tab/>
          <w:t>390</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598" w:tooltip="Current Document">
        <w:r>
          <w:rPr>
            <w:rStyle w:val="CharStyle18"/>
          </w:rPr>
          <w:t>Легочная гипертензия при артериовенозных свищах легких</w:t>
          <w:tab/>
          <w:t>390</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599" w:tooltip="Current Document">
        <w:r>
          <w:rPr>
            <w:rStyle w:val="CharStyle18"/>
          </w:rPr>
          <w:t>Легочная гипертензия при васкулитах</w:t>
          <w:tab/>
          <w:t>390</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600" w:tooltip="Current Document">
        <w:r>
          <w:rPr>
            <w:lang w:val="ru-RU" w:eastAsia="ru-RU" w:bidi="ru-RU"/>
            <w:w w:val="100"/>
            <w:color w:val="000000"/>
            <w:position w:val="0"/>
          </w:rPr>
          <w:t>Легочная гипертензия при системной красной волчанке</w:t>
        </w:r>
        <w:r>
          <w:rPr>
            <w:rStyle w:val="CharStyle21"/>
            <w:i w:val="0"/>
            <w:iCs w:val="0"/>
          </w:rPr>
          <w:tab/>
          <w:t>390</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601" w:tooltip="Current Document">
        <w:r>
          <w:rPr>
            <w:lang w:val="ru-RU" w:eastAsia="ru-RU" w:bidi="ru-RU"/>
            <w:w w:val="100"/>
            <w:color w:val="000000"/>
            <w:position w:val="0"/>
          </w:rPr>
          <w:t>Легочная гипертензия при болезни Такаясу</w:t>
        </w:r>
        <w:r>
          <w:rPr>
            <w:rStyle w:val="CharStyle21"/>
            <w:i w:val="0"/>
            <w:iCs w:val="0"/>
          </w:rPr>
          <w:tab/>
          <w:t>391</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602" w:tooltip="Current Document">
        <w:r>
          <w:rPr>
            <w:lang w:val="ru-RU" w:eastAsia="ru-RU" w:bidi="ru-RU"/>
            <w:w w:val="100"/>
            <w:color w:val="000000"/>
            <w:position w:val="0"/>
          </w:rPr>
          <w:t>Легочная гипертензия при болезни Вегенера</w:t>
        </w:r>
        <w:r>
          <w:rPr>
            <w:rStyle w:val="CharStyle21"/>
            <w:i w:val="0"/>
            <w:iCs w:val="0"/>
          </w:rPr>
          <w:tab/>
          <w:t>391</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603" w:tooltip="Current Document">
        <w:r>
          <w:rPr>
            <w:lang w:val="ru-RU" w:eastAsia="ru-RU" w:bidi="ru-RU"/>
            <w:w w:val="100"/>
            <w:color w:val="000000"/>
            <w:position w:val="0"/>
          </w:rPr>
          <w:t>Легочная гипертензия при болезни Кавасаки</w:t>
        </w:r>
        <w:r>
          <w:rPr>
            <w:rStyle w:val="CharStyle21"/>
            <w:i w:val="0"/>
            <w:iCs w:val="0"/>
          </w:rPr>
          <w:tab/>
          <w:t>392</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604" w:tooltip="Current Document">
        <w:r>
          <w:rPr>
            <w:lang w:val="ru-RU" w:eastAsia="ru-RU" w:bidi="ru-RU"/>
            <w:w w:val="100"/>
            <w:color w:val="000000"/>
            <w:position w:val="0"/>
          </w:rPr>
          <w:t>Легочная гипертензия при других редких формах васкулитов</w:t>
        </w:r>
        <w:r>
          <w:rPr>
            <w:rStyle w:val="CharStyle21"/>
            <w:i w:val="0"/>
            <w:iCs w:val="0"/>
          </w:rPr>
          <w:tab/>
          <w:t>393</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605" w:tooltip="Current Document">
        <w:r>
          <w:rPr>
            <w:lang w:val="ru-RU" w:eastAsia="ru-RU" w:bidi="ru-RU"/>
            <w:w w:val="100"/>
            <w:color w:val="000000"/>
            <w:position w:val="0"/>
          </w:rPr>
          <w:t>Эозинофильный легочный васкулит</w:t>
        </w:r>
        <w:r>
          <w:rPr>
            <w:rStyle w:val="CharStyle21"/>
            <w:i w:val="0"/>
            <w:iCs w:val="0"/>
          </w:rPr>
          <w:tab/>
          <w:t>393</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606" w:tooltip="Current Document">
        <w:r>
          <w:rPr>
            <w:rStyle w:val="CharStyle18"/>
          </w:rPr>
          <w:t>Легочная гипертензия при других заболеваниях и осложнениях</w:t>
          <w:tab/>
          <w:t>393</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607" w:tooltip="Current Document">
        <w:r>
          <w:rPr>
            <w:lang w:val="ru-RU" w:eastAsia="ru-RU" w:bidi="ru-RU"/>
            <w:w w:val="100"/>
            <w:color w:val="000000"/>
            <w:position w:val="0"/>
          </w:rPr>
          <w:t>Легочная гипертензия при серповидноклеточной анемии</w:t>
        </w:r>
        <w:r>
          <w:rPr>
            <w:rStyle w:val="CharStyle21"/>
            <w:i w:val="0"/>
            <w:iCs w:val="0"/>
          </w:rPr>
          <w:tab/>
          <w:t>393</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608" w:tooltip="Current Document">
        <w:r>
          <w:rPr>
            <w:lang w:val="ru-RU" w:eastAsia="ru-RU" w:bidi="ru-RU"/>
            <w:w w:val="100"/>
            <w:color w:val="000000"/>
            <w:position w:val="0"/>
          </w:rPr>
          <w:t>Легочная гипертензия при полицитемии</w:t>
        </w:r>
        <w:r>
          <w:rPr>
            <w:rStyle w:val="CharStyle21"/>
            <w:i w:val="0"/>
            <w:iCs w:val="0"/>
          </w:rPr>
          <w:tab/>
          <w:t>393</w:t>
        </w:r>
      </w:hyperlink>
    </w:p>
    <w:p>
      <w:pPr>
        <w:pStyle w:val="TOC_4"/>
        <w:tabs>
          <w:tab w:leader="dot" w:pos="9821" w:val="right"/>
        </w:tabs>
        <w:widowControl w:val="0"/>
        <w:keepNext w:val="0"/>
        <w:keepLines w:val="0"/>
        <w:shd w:val="clear" w:color="auto" w:fill="auto"/>
        <w:bidi w:val="0"/>
        <w:spacing w:before="0" w:after="0"/>
        <w:ind w:left="720" w:right="0" w:firstLine="0"/>
      </w:pPr>
      <w:hyperlink w:anchor="bookmark609" w:tooltip="Current Document">
        <w:r>
          <w:rPr>
            <w:lang w:val="ru-RU" w:eastAsia="ru-RU" w:bidi="ru-RU"/>
            <w:w w:val="100"/>
            <w:color w:val="000000"/>
            <w:position w:val="0"/>
          </w:rPr>
          <w:t>Легочная гипертензия при длительной искусственной вентиляции легких</w:t>
        </w:r>
        <w:r>
          <w:rPr>
            <w:rStyle w:val="CharStyle21"/>
            <w:i w:val="0"/>
            <w:iCs w:val="0"/>
          </w:rPr>
          <w:tab/>
          <w:t>394</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610" w:tooltip="Current Document">
        <w:r>
          <w:rPr>
            <w:rStyle w:val="CharStyle18"/>
          </w:rPr>
          <w:t>Легочная гипертензия при патологии дыхательного центра</w:t>
          <w:tab/>
          <w:t>394</w:t>
        </w:r>
      </w:hyperlink>
    </w:p>
    <w:p>
      <w:pPr>
        <w:pStyle w:val="TOC_4"/>
        <w:tabs>
          <w:tab w:leader="dot" w:pos="9821" w:val="right"/>
        </w:tabs>
        <w:widowControl w:val="0"/>
        <w:keepNext w:val="0"/>
        <w:keepLines w:val="0"/>
        <w:shd w:val="clear" w:color="auto" w:fill="auto"/>
        <w:bidi w:val="0"/>
        <w:spacing w:before="0" w:after="180"/>
        <w:ind w:left="720" w:right="0" w:firstLine="0"/>
      </w:pPr>
      <w:hyperlink w:anchor="bookmark611" w:tooltip="Current Document">
        <w:r>
          <w:rPr>
            <w:lang w:val="ru-RU" w:eastAsia="ru-RU" w:bidi="ru-RU"/>
            <w:w w:val="100"/>
            <w:color w:val="000000"/>
            <w:position w:val="0"/>
          </w:rPr>
          <w:t>Легочная гипертензия при ожирении</w:t>
        </w:r>
        <w:r>
          <w:rPr>
            <w:rStyle w:val="CharStyle21"/>
            <w:i w:val="0"/>
            <w:iCs w:val="0"/>
          </w:rPr>
          <w:tab/>
          <w:t>394</w:t>
        </w:r>
      </w:hyperlink>
    </w:p>
    <w:p>
      <w:pPr>
        <w:pStyle w:val="TOC_2"/>
        <w:tabs>
          <w:tab w:leader="dot" w:pos="9821" w:val="right"/>
        </w:tabs>
        <w:widowControl w:val="0"/>
        <w:keepNext w:val="0"/>
        <w:keepLines w:val="0"/>
        <w:shd w:val="clear" w:color="auto" w:fill="auto"/>
        <w:bidi w:val="0"/>
        <w:spacing w:before="0" w:after="0"/>
        <w:ind w:left="0" w:right="0" w:firstLine="0"/>
      </w:pPr>
      <w:hyperlink w:anchor="bookmark639" w:tooltip="Current Document">
        <w:r>
          <w:rPr>
            <w:rStyle w:val="CharStyle18"/>
          </w:rPr>
          <w:t>Глава IX. Поражение сердца при наследственных заболеваниях</w:t>
          <w:tab/>
          <w:t>395</w:t>
        </w:r>
      </w:hyperlink>
    </w:p>
    <w:p>
      <w:pPr>
        <w:pStyle w:val="TOC_2"/>
        <w:tabs>
          <w:tab w:leader="dot" w:pos="9821" w:val="right"/>
        </w:tabs>
        <w:widowControl w:val="0"/>
        <w:keepNext w:val="0"/>
        <w:keepLines w:val="0"/>
        <w:shd w:val="clear" w:color="auto" w:fill="auto"/>
        <w:bidi w:val="0"/>
        <w:spacing w:before="0" w:after="0"/>
        <w:ind w:left="260" w:right="0" w:firstLine="0"/>
      </w:pPr>
      <w:hyperlink w:anchor="bookmark614" w:tooltip="Current Document">
        <w:r>
          <w:rPr>
            <w:rStyle w:val="CharStyle18"/>
          </w:rPr>
          <w:t>Поражение сердца при наследственных нарушениях обмена веществ</w:t>
          <w:tab/>
          <w:t>395</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615" w:tooltip="Current Document">
        <w:r>
          <w:rPr>
            <w:rStyle w:val="CharStyle18"/>
          </w:rPr>
          <w:t>Гликогенозы</w:t>
          <w:tab/>
          <w:t>395</w:t>
        </w:r>
      </w:hyperlink>
    </w:p>
    <w:p>
      <w:pPr>
        <w:pStyle w:val="TOC_3"/>
        <w:tabs>
          <w:tab w:leader="dot" w:pos="9821" w:val="right"/>
        </w:tabs>
        <w:widowControl w:val="0"/>
        <w:keepNext w:val="0"/>
        <w:keepLines w:val="0"/>
        <w:shd w:val="clear" w:color="auto" w:fill="auto"/>
        <w:bidi w:val="0"/>
        <w:spacing w:before="0" w:after="0"/>
        <w:ind w:left="480" w:right="0" w:firstLine="0"/>
      </w:pPr>
      <w:hyperlink w:anchor="bookmark624" w:tooltip="Current Document">
        <w:r>
          <w:rPr>
            <w:rStyle w:val="CharStyle18"/>
          </w:rPr>
          <w:t>Мукополисахаридозы</w:t>
          <w:tab/>
          <w:t>398</w:t>
        </w:r>
      </w:hyperlink>
    </w:p>
    <w:p>
      <w:pPr>
        <w:pStyle w:val="TOC_3"/>
        <w:tabs>
          <w:tab w:leader="dot" w:pos="9821" w:val="right"/>
        </w:tabs>
        <w:widowControl w:val="0"/>
        <w:keepNext w:val="0"/>
        <w:keepLines w:val="0"/>
        <w:shd w:val="clear" w:color="auto" w:fill="auto"/>
        <w:bidi w:val="0"/>
        <w:spacing w:before="0" w:after="1332"/>
        <w:ind w:left="480" w:right="0" w:firstLine="0"/>
      </w:pPr>
      <w:hyperlink w:anchor="bookmark633" w:tooltip="Current Document">
        <w:r>
          <w:rPr>
            <w:rStyle w:val="CharStyle18"/>
          </w:rPr>
          <w:t>Ганглиозидозы</w:t>
          <w:tab/>
          <w:t>400</w:t>
        </w:r>
      </w:hyperlink>
    </w:p>
    <w:p>
      <w:pPr>
        <w:framePr w:h="293" w:wrap="notBeside" w:vAnchor="text" w:hAnchor="text" w:xAlign="center" w:y="1"/>
        <w:widowControl w:val="0"/>
        <w:jc w:val="center"/>
        <w:rPr>
          <w:sz w:val="2"/>
          <w:szCs w:val="2"/>
        </w:rPr>
      </w:pPr>
      <w:r>
        <w:pict>
          <v:shape id="_x0000_s1031" type="#_x0000_t75" style="width:210pt;height:15pt;">
            <v:imagedata r:id="rId15" r:href="rId16"/>
          </v:shape>
        </w:pict>
      </w:r>
    </w:p>
    <w:p>
      <w:pPr>
        <w:widowControl w:val="0"/>
        <w:rPr>
          <w:sz w:val="2"/>
          <w:szCs w:val="2"/>
        </w:rPr>
      </w:pPr>
    </w:p>
    <w:p>
      <w:pPr>
        <w:pStyle w:val="TOC_3"/>
        <w:tabs>
          <w:tab w:leader="dot" w:pos="9817" w:val="right"/>
        </w:tabs>
        <w:widowControl w:val="0"/>
        <w:keepNext w:val="0"/>
        <w:keepLines w:val="0"/>
        <w:shd w:val="clear" w:color="auto" w:fill="auto"/>
        <w:bidi w:val="0"/>
        <w:spacing w:before="0" w:after="0"/>
        <w:ind w:left="480" w:right="0" w:firstLine="0"/>
      </w:pPr>
      <w:hyperlink w:anchor="bookmark636" w:tooltip="Current Document">
        <w:r>
          <w:rPr>
            <w:rStyle w:val="CharStyle18"/>
          </w:rPr>
          <w:t>Муколипидозы</w:t>
          <w:tab/>
          <w:t>401</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637" w:tooltip="Current Document">
        <w:r>
          <w:rPr>
            <w:rStyle w:val="CharStyle18"/>
          </w:rPr>
          <w:t>Сфинголипидозы</w:t>
          <w:tab/>
          <w:t>401</w:t>
        </w:r>
      </w:hyperlink>
    </w:p>
    <w:p>
      <w:pPr>
        <w:pStyle w:val="TOC_1"/>
        <w:tabs>
          <w:tab w:leader="dot" w:pos="9817" w:val="righ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Поражение сердца при наследственных заболеваниях соединительной ткани</w:t>
        <w:tab/>
        <w:t>404</w:t>
      </w:r>
    </w:p>
    <w:p>
      <w:pPr>
        <w:pStyle w:val="TOC_3"/>
        <w:tabs>
          <w:tab w:leader="dot" w:pos="9817" w:val="right"/>
        </w:tabs>
        <w:widowControl w:val="0"/>
        <w:keepNext w:val="0"/>
        <w:keepLines w:val="0"/>
        <w:shd w:val="clear" w:color="auto" w:fill="auto"/>
        <w:bidi w:val="0"/>
        <w:spacing w:before="0" w:after="0"/>
        <w:ind w:left="480" w:right="0" w:firstLine="0"/>
      </w:pPr>
      <w:hyperlink w:anchor="bookmark640" w:tooltip="Current Document">
        <w:r>
          <w:rPr>
            <w:rStyle w:val="CharStyle18"/>
          </w:rPr>
          <w:t>Синдром Марфана</w:t>
          <w:tab/>
          <w:t>404</w:t>
        </w:r>
      </w:hyperlink>
    </w:p>
    <w:p>
      <w:pPr>
        <w:pStyle w:val="TOC_2"/>
        <w:tabs>
          <w:tab w:leader="dot" w:pos="9817" w:val="right"/>
        </w:tabs>
        <w:widowControl w:val="0"/>
        <w:keepNext w:val="0"/>
        <w:keepLines w:val="0"/>
        <w:shd w:val="clear" w:color="auto" w:fill="auto"/>
        <w:bidi w:val="0"/>
        <w:spacing w:before="0" w:after="0"/>
        <w:ind w:left="260" w:right="0" w:firstLine="0"/>
      </w:pPr>
      <w:hyperlink w:anchor="bookmark659" w:tooltip="Current Document">
        <w:r>
          <w:rPr>
            <w:rStyle w:val="CharStyle18"/>
          </w:rPr>
          <w:t>Хромосомные аномалии</w:t>
          <w:tab/>
          <w:t>409</w:t>
        </w:r>
      </w:hyperlink>
    </w:p>
    <w:p>
      <w:pPr>
        <w:pStyle w:val="TOC_2"/>
        <w:tabs>
          <w:tab w:leader="dot" w:pos="9817" w:val="right"/>
        </w:tabs>
        <w:widowControl w:val="0"/>
        <w:keepNext w:val="0"/>
        <w:keepLines w:val="0"/>
        <w:shd w:val="clear" w:color="auto" w:fill="auto"/>
        <w:bidi w:val="0"/>
        <w:spacing w:before="0" w:after="0"/>
        <w:ind w:left="260" w:right="0" w:firstLine="0"/>
      </w:pPr>
      <w:hyperlink w:anchor="bookmark684" w:tooltip="Current Document">
        <w:r>
          <w:rPr>
            <w:rStyle w:val="CharStyle18"/>
          </w:rPr>
          <w:t>Поражение миокарда при нервно-мышечных заболеваниях</w:t>
          <w:tab/>
          <w:t>416</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685" w:tooltip="Current Document">
        <w:r>
          <w:rPr>
            <w:rStyle w:val="CharStyle18"/>
          </w:rPr>
          <w:t>Прогрессирующая мышечная дистрофия Дюшенна-Беккера</w:t>
          <w:tab/>
          <w:t>419</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687" w:tooltip="Current Document">
        <w:r>
          <w:rPr>
            <w:rStyle w:val="CharStyle18"/>
          </w:rPr>
          <w:t>Прогрессирующая мышечная дистрофия Эмери-Дрейфусса</w:t>
          <w:tab/>
          <w:t>426</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688" w:tooltip="Current Document">
        <w:r>
          <w:rPr>
            <w:rStyle w:val="CharStyle18"/>
          </w:rPr>
          <w:t>Миотоническая дистрофия Россолимо-Куршманна-Штейнерта-Баттена</w:t>
          <w:tab/>
          <w:t>428</w:t>
        </w:r>
      </w:hyperlink>
    </w:p>
    <w:p>
      <w:pPr>
        <w:pStyle w:val="TOC_2"/>
        <w:tabs>
          <w:tab w:leader="dot" w:pos="9817" w:val="right"/>
        </w:tabs>
        <w:widowControl w:val="0"/>
        <w:keepNext w:val="0"/>
        <w:keepLines w:val="0"/>
        <w:shd w:val="clear" w:color="auto" w:fill="auto"/>
        <w:bidi w:val="0"/>
        <w:spacing w:before="0" w:after="0"/>
        <w:ind w:left="260" w:right="0" w:firstLine="0"/>
      </w:pPr>
      <w:hyperlink w:anchor="bookmark689" w:tooltip="Current Document">
        <w:r>
          <w:rPr>
            <w:rStyle w:val="CharStyle18"/>
          </w:rPr>
          <w:t>Болезни клеточной энергетики</w:t>
          <w:tab/>
          <w:t>429</w:t>
        </w:r>
      </w:hyperlink>
    </w:p>
    <w:p>
      <w:pPr>
        <w:pStyle w:val="TOC_1"/>
        <w:tabs>
          <w:tab w:leader="dot" w:pos="9817" w:val="right"/>
        </w:tabs>
        <w:widowControl w:val="0"/>
        <w:keepNext w:val="0"/>
        <w:keepLines w:val="0"/>
        <w:shd w:val="clear" w:color="auto" w:fill="auto"/>
        <w:bidi w:val="0"/>
        <w:spacing w:before="0" w:after="0"/>
        <w:ind w:left="480" w:right="0" w:firstLine="0"/>
      </w:pPr>
      <w:hyperlink w:anchor="bookmark690" w:tooltip="Current Document">
        <w:r>
          <w:rPr>
            <w:lang w:val="ru-RU" w:eastAsia="ru-RU" w:bidi="ru-RU"/>
            <w:w w:val="100"/>
            <w:spacing w:val="0"/>
            <w:color w:val="000000"/>
            <w:position w:val="0"/>
          </w:rPr>
          <w:t>Нарушение метаболизма пирувата</w:t>
          <w:tab/>
          <w:t>429</w:t>
        </w:r>
      </w:hyperlink>
    </w:p>
    <w:p>
      <w:pPr>
        <w:pStyle w:val="TOC_1"/>
        <w:tabs>
          <w:tab w:leader="dot" w:pos="9817" w:val="right"/>
        </w:tabs>
        <w:widowControl w:val="0"/>
        <w:keepNext w:val="0"/>
        <w:keepLines w:val="0"/>
        <w:shd w:val="clear" w:color="auto" w:fill="auto"/>
        <w:bidi w:val="0"/>
        <w:spacing w:before="0" w:after="0"/>
        <w:ind w:left="480" w:right="0" w:firstLine="0"/>
      </w:pPr>
      <w:hyperlink w:anchor="bookmark692" w:tooltip="Current Document">
        <w:r>
          <w:rPr>
            <w:lang w:val="ru-RU" w:eastAsia="ru-RU" w:bidi="ru-RU"/>
            <w:w w:val="100"/>
            <w:spacing w:val="0"/>
            <w:color w:val="000000"/>
            <w:position w:val="0"/>
          </w:rPr>
          <w:t>Нарушение окислительного фосфорилирования</w:t>
          <w:tab/>
          <w:t>429</w:t>
        </w:r>
      </w:hyperlink>
    </w:p>
    <w:p>
      <w:pPr>
        <w:pStyle w:val="TOC_1"/>
        <w:tabs>
          <w:tab w:leader="dot" w:pos="9817" w:val="right"/>
        </w:tabs>
        <w:widowControl w:val="0"/>
        <w:keepNext w:val="0"/>
        <w:keepLines w:val="0"/>
        <w:shd w:val="clear" w:color="auto" w:fill="auto"/>
        <w:bidi w:val="0"/>
        <w:spacing w:before="0" w:after="0"/>
        <w:ind w:left="480" w:right="0" w:firstLine="0"/>
      </w:pPr>
      <w:hyperlink w:anchor="bookmark693" w:tooltip="Current Document">
        <w:r>
          <w:rPr>
            <w:lang w:val="ru-RU" w:eastAsia="ru-RU" w:bidi="ru-RU"/>
            <w:w w:val="100"/>
            <w:spacing w:val="0"/>
            <w:color w:val="000000"/>
            <w:position w:val="0"/>
          </w:rPr>
          <w:t>Мутации митохондриального переносчика РНК</w:t>
          <w:tab/>
          <w:t>430</w:t>
        </w:r>
      </w:hyperlink>
    </w:p>
    <w:p>
      <w:pPr>
        <w:pStyle w:val="TOC_1"/>
        <w:tabs>
          <w:tab w:leader="dot" w:pos="9817" w:val="right"/>
        </w:tabs>
        <w:widowControl w:val="0"/>
        <w:keepNext w:val="0"/>
        <w:keepLines w:val="0"/>
        <w:shd w:val="clear" w:color="auto" w:fill="auto"/>
        <w:bidi w:val="0"/>
        <w:spacing w:before="0" w:after="180"/>
        <w:ind w:left="480" w:right="0" w:firstLine="0"/>
      </w:pPr>
      <w:hyperlink w:anchor="bookmark698" w:tooltip="Current Document">
        <w:r>
          <w:rPr>
            <w:lang w:val="ru-RU" w:eastAsia="ru-RU" w:bidi="ru-RU"/>
            <w:w w:val="100"/>
            <w:spacing w:val="0"/>
            <w:color w:val="000000"/>
            <w:position w:val="0"/>
          </w:rPr>
          <w:t>Нарушение метаболизма жирных кислот</w:t>
          <w:tab/>
          <w:t>431</w:t>
        </w:r>
      </w:hyperlink>
    </w:p>
    <w:p>
      <w:pPr>
        <w:pStyle w:val="TOC_1"/>
        <w:tabs>
          <w:tab w:leader="dot" w:pos="9817" w:val="righ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Глава X. Опухоли сердца</w:t>
        <w:tab/>
        <w:t>433</w:t>
      </w:r>
    </w:p>
    <w:p>
      <w:pPr>
        <w:pStyle w:val="TOC_2"/>
        <w:tabs>
          <w:tab w:leader="dot" w:pos="9817" w:val="right"/>
        </w:tabs>
        <w:widowControl w:val="0"/>
        <w:keepNext w:val="0"/>
        <w:keepLines w:val="0"/>
        <w:shd w:val="clear" w:color="auto" w:fill="auto"/>
        <w:bidi w:val="0"/>
        <w:spacing w:before="0" w:after="0"/>
        <w:ind w:left="260" w:right="0" w:firstLine="0"/>
      </w:pPr>
      <w:hyperlink w:anchor="bookmark707" w:tooltip="Current Document">
        <w:r>
          <w:rPr>
            <w:rStyle w:val="CharStyle18"/>
          </w:rPr>
          <w:t>Доброкачественные опухоли</w:t>
          <w:tab/>
          <w:t>434</w:t>
        </w:r>
      </w:hyperlink>
    </w:p>
    <w:p>
      <w:pPr>
        <w:pStyle w:val="TOC_1"/>
        <w:tabs>
          <w:tab w:leader="dot" w:pos="9817" w:val="right"/>
        </w:tabs>
        <w:widowControl w:val="0"/>
        <w:keepNext w:val="0"/>
        <w:keepLines w:val="0"/>
        <w:shd w:val="clear" w:color="auto" w:fill="auto"/>
        <w:bidi w:val="0"/>
        <w:spacing w:before="0" w:after="0"/>
        <w:ind w:left="480" w:right="0" w:firstLine="0"/>
      </w:pPr>
      <w:hyperlink w:anchor="bookmark713" w:tooltip="Current Document">
        <w:r>
          <w:rPr>
            <w:lang w:val="ru-RU" w:eastAsia="ru-RU" w:bidi="ru-RU"/>
            <w:w w:val="100"/>
            <w:spacing w:val="0"/>
            <w:color w:val="000000"/>
            <w:position w:val="0"/>
          </w:rPr>
          <w:t>Рабдомиома сердца</w:t>
          <w:tab/>
          <w:t>437</w:t>
        </w:r>
      </w:hyperlink>
    </w:p>
    <w:p>
      <w:pPr>
        <w:pStyle w:val="TOC_4"/>
        <w:tabs>
          <w:tab w:leader="dot" w:pos="9817" w:val="right"/>
        </w:tabs>
        <w:widowControl w:val="0"/>
        <w:keepNext w:val="0"/>
        <w:keepLines w:val="0"/>
        <w:shd w:val="clear" w:color="auto" w:fill="auto"/>
        <w:bidi w:val="0"/>
        <w:spacing w:before="0" w:after="0"/>
        <w:ind w:left="720" w:right="0" w:firstLine="0"/>
      </w:pPr>
      <w:hyperlink w:anchor="bookmark714" w:tooltip="Current Document">
        <w:r>
          <w:rPr>
            <w:lang w:val="ru-RU" w:eastAsia="ru-RU" w:bidi="ru-RU"/>
            <w:w w:val="100"/>
            <w:color w:val="000000"/>
            <w:position w:val="0"/>
          </w:rPr>
          <w:t>Рабдомиома при туберозном склерозе</w:t>
        </w:r>
        <w:r>
          <w:rPr>
            <w:rStyle w:val="CharStyle21"/>
            <w:i w:val="0"/>
            <w:iCs w:val="0"/>
          </w:rPr>
          <w:tab/>
          <w:t>439</w:t>
        </w:r>
      </w:hyperlink>
    </w:p>
    <w:p>
      <w:pPr>
        <w:pStyle w:val="TOC_2"/>
        <w:tabs>
          <w:tab w:leader="dot" w:pos="9817" w:val="right"/>
        </w:tabs>
        <w:widowControl w:val="0"/>
        <w:keepNext w:val="0"/>
        <w:keepLines w:val="0"/>
        <w:shd w:val="clear" w:color="auto" w:fill="auto"/>
        <w:bidi w:val="0"/>
        <w:spacing w:before="0" w:after="0"/>
        <w:ind w:left="260" w:right="0" w:firstLine="0"/>
      </w:pPr>
      <w:hyperlink w:anchor="bookmark715" w:tooltip="Current Document">
        <w:r>
          <w:rPr>
            <w:rStyle w:val="CharStyle18"/>
          </w:rPr>
          <w:t>Миксома сердца</w:t>
          <w:tab/>
          <w:t>440</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17" w:tooltip="Current Document">
        <w:r>
          <w:rPr>
            <w:rStyle w:val="CharStyle18"/>
          </w:rPr>
          <w:t>Комплекс Карней</w:t>
          <w:tab/>
          <w:t>442</w:t>
        </w:r>
      </w:hyperlink>
    </w:p>
    <w:p>
      <w:pPr>
        <w:pStyle w:val="TOC_2"/>
        <w:tabs>
          <w:tab w:leader="dot" w:pos="9817" w:val="right"/>
        </w:tabs>
        <w:widowControl w:val="0"/>
        <w:keepNext w:val="0"/>
        <w:keepLines w:val="0"/>
        <w:shd w:val="clear" w:color="auto" w:fill="auto"/>
        <w:bidi w:val="0"/>
        <w:spacing w:before="0" w:after="0"/>
        <w:ind w:left="260" w:right="0" w:firstLine="0"/>
      </w:pPr>
      <w:hyperlink w:anchor="bookmark720" w:tooltip="Current Document">
        <w:r>
          <w:rPr>
            <w:rStyle w:val="CharStyle18"/>
          </w:rPr>
          <w:t>Фибромы сердца</w:t>
          <w:tab/>
          <w:t>444</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23" w:tooltip="Current Document">
        <w:r>
          <w:rPr>
            <w:rStyle w:val="CharStyle18"/>
          </w:rPr>
          <w:t>Тератомы сердца</w:t>
          <w:tab/>
          <w:t>446</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24" w:tooltip="Current Document">
        <w:r>
          <w:rPr>
            <w:rStyle w:val="CharStyle18"/>
          </w:rPr>
          <w:t>Ангиомы</w:t>
          <w:tab/>
          <w:t>446</w:t>
        </w:r>
      </w:hyperlink>
    </w:p>
    <w:p>
      <w:pPr>
        <w:pStyle w:val="TOC_2"/>
        <w:tabs>
          <w:tab w:leader="dot" w:pos="9817" w:val="right"/>
        </w:tabs>
        <w:widowControl w:val="0"/>
        <w:keepNext w:val="0"/>
        <w:keepLines w:val="0"/>
        <w:shd w:val="clear" w:color="auto" w:fill="auto"/>
        <w:bidi w:val="0"/>
        <w:spacing w:before="0" w:after="0"/>
        <w:ind w:left="260" w:right="0" w:firstLine="0"/>
      </w:pPr>
      <w:hyperlink w:anchor="bookmark725" w:tooltip="Current Document">
        <w:r>
          <w:rPr>
            <w:rStyle w:val="CharStyle18"/>
          </w:rPr>
          <w:t>Первичные злокачественные опухоли сердца</w:t>
          <w:tab/>
          <w:t>446</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26" w:tooltip="Current Document">
        <w:r>
          <w:rPr>
            <w:rStyle w:val="CharStyle18"/>
          </w:rPr>
          <w:t>Ангиосаркома</w:t>
          <w:tab/>
          <w:t>447</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27" w:tooltip="Current Document">
        <w:r>
          <w:rPr>
            <w:rStyle w:val="CharStyle18"/>
          </w:rPr>
          <w:t>Рабдомиосаркома</w:t>
          <w:tab/>
          <w:t>447</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28" w:tooltip="Current Document">
        <w:r>
          <w:rPr>
            <w:rStyle w:val="CharStyle18"/>
          </w:rPr>
          <w:t>Мезотелиома</w:t>
          <w:tab/>
          <w:t>447</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29" w:tooltip="Current Document">
        <w:r>
          <w:rPr>
            <w:rStyle w:val="CharStyle18"/>
          </w:rPr>
          <w:t>Фибросаркома и злокачественная фиброзная гистиоцитома</w:t>
          <w:tab/>
          <w:t>447</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30" w:tooltip="Current Document">
        <w:r>
          <w:rPr>
            <w:rStyle w:val="CharStyle18"/>
          </w:rPr>
          <w:t>Злокачественная шваннома</w:t>
          <w:tab/>
          <w:t>447</w:t>
        </w:r>
      </w:hyperlink>
    </w:p>
    <w:p>
      <w:pPr>
        <w:pStyle w:val="TOC_3"/>
        <w:tabs>
          <w:tab w:leader="dot" w:pos="9817" w:val="right"/>
        </w:tabs>
        <w:widowControl w:val="0"/>
        <w:keepNext w:val="0"/>
        <w:keepLines w:val="0"/>
        <w:shd w:val="clear" w:color="auto" w:fill="auto"/>
        <w:bidi w:val="0"/>
        <w:spacing w:before="0" w:after="180"/>
        <w:ind w:left="480" w:right="0" w:firstLine="0"/>
      </w:pPr>
      <w:hyperlink w:anchor="bookmark731" w:tooltip="Current Document">
        <w:r>
          <w:rPr>
            <w:rStyle w:val="CharStyle18"/>
          </w:rPr>
          <w:t>Метастатические опухоли сердца</w:t>
          <w:tab/>
          <w:t>447</w:t>
        </w:r>
      </w:hyperlink>
    </w:p>
    <w:p>
      <w:pPr>
        <w:pStyle w:val="TOC_1"/>
        <w:tabs>
          <w:tab w:leader="dot" w:pos="9817" w:val="righ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Глава XI. Болезни сосудов</w:t>
        <w:tab/>
        <w:t>448</w:t>
      </w:r>
    </w:p>
    <w:p>
      <w:pPr>
        <w:pStyle w:val="TOC_2"/>
        <w:tabs>
          <w:tab w:leader="dot" w:pos="9817" w:val="right"/>
        </w:tabs>
        <w:widowControl w:val="0"/>
        <w:keepNext w:val="0"/>
        <w:keepLines w:val="0"/>
        <w:shd w:val="clear" w:color="auto" w:fill="auto"/>
        <w:bidi w:val="0"/>
        <w:spacing w:before="0" w:after="0"/>
        <w:ind w:left="260" w:right="0" w:firstLine="0"/>
      </w:pPr>
      <w:hyperlink w:anchor="bookmark733" w:tooltip="Current Document">
        <w:r>
          <w:rPr>
            <w:rStyle w:val="CharStyle18"/>
          </w:rPr>
          <w:t>Артериальная гипертензия</w:t>
          <w:tab/>
          <w:t>448</w:t>
        </w:r>
      </w:hyperlink>
    </w:p>
    <w:p>
      <w:pPr>
        <w:pStyle w:val="TOC_2"/>
        <w:tabs>
          <w:tab w:leader="dot" w:pos="9817" w:val="right"/>
        </w:tabs>
        <w:widowControl w:val="0"/>
        <w:keepNext w:val="0"/>
        <w:keepLines w:val="0"/>
        <w:shd w:val="clear" w:color="auto" w:fill="auto"/>
        <w:bidi w:val="0"/>
        <w:spacing w:before="0" w:after="0"/>
        <w:ind w:left="260" w:right="0" w:firstLine="0"/>
      </w:pPr>
      <w:hyperlink w:anchor="bookmark742" w:tooltip="Current Document">
        <w:r>
          <w:rPr>
            <w:rStyle w:val="CharStyle18"/>
          </w:rPr>
          <w:t>Вторичная артериальная гипертензия</w:t>
          <w:tab/>
          <w:t>455</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43" w:tooltip="Current Document">
        <w:r>
          <w:rPr>
            <w:rStyle w:val="CharStyle18"/>
          </w:rPr>
          <w:t>Вазоренальная артериальная гипертензия</w:t>
          <w:tab/>
          <w:t>457</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44" w:tooltip="Current Document">
        <w:r>
          <w:rPr>
            <w:rStyle w:val="CharStyle18"/>
          </w:rPr>
          <w:t>Артериальная гипертензия, обусловленная патологией сердца и магистральных сосудов</w:t>
          <w:tab/>
          <w:t>458</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45" w:tooltip="Current Document">
        <w:r>
          <w:rPr>
            <w:rStyle w:val="CharStyle18"/>
          </w:rPr>
          <w:t>Артериальная гипертензия, связанная с заболеваниями эндокринной системы</w:t>
          <w:tab/>
          <w:t>458</w:t>
        </w:r>
      </w:hyperlink>
    </w:p>
    <w:p>
      <w:pPr>
        <w:pStyle w:val="TOC_4"/>
        <w:tabs>
          <w:tab w:leader="dot" w:pos="9817" w:val="right"/>
        </w:tabs>
        <w:widowControl w:val="0"/>
        <w:keepNext w:val="0"/>
        <w:keepLines w:val="0"/>
        <w:shd w:val="clear" w:color="auto" w:fill="auto"/>
        <w:bidi w:val="0"/>
        <w:spacing w:before="0" w:after="0"/>
        <w:ind w:left="720" w:right="0" w:firstLine="0"/>
      </w:pPr>
      <w:hyperlink w:anchor="bookmark746" w:tooltip="Current Document">
        <w:r>
          <w:rPr>
            <w:lang w:val="ru-RU" w:eastAsia="ru-RU" w:bidi="ru-RU"/>
            <w:w w:val="100"/>
            <w:color w:val="000000"/>
            <w:position w:val="0"/>
          </w:rPr>
          <w:t>Феохромоцитома</w:t>
        </w:r>
        <w:r>
          <w:rPr>
            <w:rStyle w:val="CharStyle21"/>
            <w:i w:val="0"/>
            <w:iCs w:val="0"/>
          </w:rPr>
          <w:tab/>
          <w:t>458</w:t>
        </w:r>
      </w:hyperlink>
    </w:p>
    <w:p>
      <w:pPr>
        <w:pStyle w:val="TOC_4"/>
        <w:tabs>
          <w:tab w:leader="dot" w:pos="9817" w:val="right"/>
        </w:tabs>
        <w:widowControl w:val="0"/>
        <w:keepNext w:val="0"/>
        <w:keepLines w:val="0"/>
        <w:shd w:val="clear" w:color="auto" w:fill="auto"/>
        <w:bidi w:val="0"/>
        <w:spacing w:before="0" w:after="0"/>
        <w:ind w:left="720" w:right="0" w:firstLine="0"/>
      </w:pPr>
      <w:hyperlink w:anchor="bookmark749" w:tooltip="Current Document">
        <w:r>
          <w:rPr>
            <w:lang w:val="ru-RU" w:eastAsia="ru-RU" w:bidi="ru-RU"/>
            <w:w w:val="100"/>
            <w:color w:val="000000"/>
            <w:position w:val="0"/>
          </w:rPr>
          <w:t>Синдром артериальной гипертонии в сочетании с гиперальдостеронизмом</w:t>
        </w:r>
        <w:r>
          <w:rPr>
            <w:rStyle w:val="CharStyle21"/>
            <w:i w:val="0"/>
            <w:iCs w:val="0"/>
          </w:rPr>
          <w:tab/>
          <w:t>461</w:t>
        </w:r>
      </w:hyperlink>
    </w:p>
    <w:p>
      <w:pPr>
        <w:pStyle w:val="TOC_4"/>
        <w:tabs>
          <w:tab w:leader="dot" w:pos="9817" w:val="right"/>
        </w:tabs>
        <w:widowControl w:val="0"/>
        <w:keepNext w:val="0"/>
        <w:keepLines w:val="0"/>
        <w:shd w:val="clear" w:color="auto" w:fill="auto"/>
        <w:bidi w:val="0"/>
        <w:spacing w:before="0" w:after="0"/>
        <w:ind w:left="720" w:right="0" w:firstLine="0"/>
      </w:pPr>
      <w:hyperlink w:anchor="bookmark750" w:tooltip="Current Document">
        <w:r>
          <w:rPr>
            <w:lang w:val="ru-RU" w:eastAsia="ru-RU" w:bidi="ru-RU"/>
            <w:w w:val="100"/>
            <w:color w:val="000000"/>
            <w:position w:val="0"/>
          </w:rPr>
          <w:t>Первичный альдостеронизм</w:t>
        </w:r>
        <w:r>
          <w:rPr>
            <w:rStyle w:val="CharStyle21"/>
            <w:i w:val="0"/>
            <w:iCs w:val="0"/>
          </w:rPr>
          <w:tab/>
          <w:t>462</w:t>
        </w:r>
      </w:hyperlink>
    </w:p>
    <w:p>
      <w:pPr>
        <w:pStyle w:val="TOC_4"/>
        <w:tabs>
          <w:tab w:leader="dot" w:pos="9817" w:val="right"/>
        </w:tabs>
        <w:widowControl w:val="0"/>
        <w:keepNext w:val="0"/>
        <w:keepLines w:val="0"/>
        <w:shd w:val="clear" w:color="auto" w:fill="auto"/>
        <w:bidi w:val="0"/>
        <w:spacing w:before="0" w:after="0"/>
        <w:ind w:left="720" w:right="0" w:firstLine="0"/>
      </w:pPr>
      <w:hyperlink w:anchor="bookmark751" w:tooltip="Current Document">
        <w:r>
          <w:rPr>
            <w:lang w:val="ru-RU" w:eastAsia="ru-RU" w:bidi="ru-RU"/>
            <w:w w:val="100"/>
            <w:color w:val="000000"/>
            <w:position w:val="0"/>
          </w:rPr>
          <w:t>Гиперальдостеронизм при идиопатической гиперплазии коры надпочечников</w:t>
        </w:r>
        <w:r>
          <w:rPr>
            <w:rStyle w:val="CharStyle21"/>
            <w:i w:val="0"/>
            <w:iCs w:val="0"/>
          </w:rPr>
          <w:tab/>
          <w:t>462</w:t>
        </w:r>
      </w:hyperlink>
    </w:p>
    <w:p>
      <w:pPr>
        <w:pStyle w:val="TOC_4"/>
        <w:tabs>
          <w:tab w:leader="dot" w:pos="9817" w:val="right"/>
        </w:tabs>
        <w:widowControl w:val="0"/>
        <w:keepNext w:val="0"/>
        <w:keepLines w:val="0"/>
        <w:shd w:val="clear" w:color="auto" w:fill="auto"/>
        <w:bidi w:val="0"/>
        <w:spacing w:before="0" w:after="0"/>
        <w:ind w:left="720" w:right="0" w:firstLine="0"/>
      </w:pPr>
      <w:hyperlink w:anchor="bookmark752" w:tooltip="Current Document">
        <w:r>
          <w:rPr>
            <w:lang w:val="ru-RU" w:eastAsia="ru-RU" w:bidi="ru-RU"/>
            <w:w w:val="100"/>
            <w:color w:val="000000"/>
            <w:position w:val="0"/>
          </w:rPr>
          <w:t>Глюкокортикоидозависимый гиперальдостеронизм</w:t>
        </w:r>
        <w:r>
          <w:rPr>
            <w:rStyle w:val="CharStyle21"/>
            <w:i w:val="0"/>
            <w:iCs w:val="0"/>
          </w:rPr>
          <w:tab/>
          <w:t>463</w:t>
        </w:r>
      </w:hyperlink>
    </w:p>
    <w:p>
      <w:pPr>
        <w:pStyle w:val="TOC_4"/>
        <w:tabs>
          <w:tab w:leader="dot" w:pos="9817" w:val="right"/>
        </w:tabs>
        <w:widowControl w:val="0"/>
        <w:keepNext w:val="0"/>
        <w:keepLines w:val="0"/>
        <w:shd w:val="clear" w:color="auto" w:fill="auto"/>
        <w:bidi w:val="0"/>
        <w:spacing w:before="0" w:after="0"/>
        <w:ind w:left="720" w:right="0" w:firstLine="0"/>
      </w:pPr>
      <w:hyperlink w:anchor="bookmark753" w:tooltip="Current Document">
        <w:r>
          <w:rPr>
            <w:lang w:val="ru-RU" w:eastAsia="ru-RU" w:bidi="ru-RU"/>
            <w:w w:val="100"/>
            <w:color w:val="000000"/>
            <w:position w:val="0"/>
          </w:rPr>
          <w:t>Вторичный альдостеронизм</w:t>
        </w:r>
        <w:r>
          <w:rPr>
            <w:rStyle w:val="CharStyle21"/>
            <w:i w:val="0"/>
            <w:iCs w:val="0"/>
          </w:rPr>
          <w:tab/>
          <w:t>463</w:t>
        </w:r>
      </w:hyperlink>
    </w:p>
    <w:p>
      <w:pPr>
        <w:pStyle w:val="TOC_4"/>
        <w:tabs>
          <w:tab w:leader="dot" w:pos="9817" w:val="right"/>
        </w:tabs>
        <w:widowControl w:val="0"/>
        <w:keepNext w:val="0"/>
        <w:keepLines w:val="0"/>
        <w:shd w:val="clear" w:color="auto" w:fill="auto"/>
        <w:bidi w:val="0"/>
        <w:spacing w:before="0" w:after="0"/>
        <w:ind w:left="720" w:right="0" w:firstLine="0"/>
      </w:pPr>
      <w:hyperlink w:anchor="bookmark754" w:tooltip="Current Document">
        <w:r>
          <w:rPr>
            <w:lang w:val="ru-RU" w:eastAsia="ru-RU" w:bidi="ru-RU"/>
            <w:w w:val="100"/>
            <w:color w:val="000000"/>
            <w:position w:val="0"/>
          </w:rPr>
          <w:t>Вторичный альдостеронизм прирениноме</w:t>
        </w:r>
        <w:r>
          <w:rPr>
            <w:rStyle w:val="CharStyle21"/>
            <w:i w:val="0"/>
            <w:iCs w:val="0"/>
          </w:rPr>
          <w:tab/>
          <w:t>463</w:t>
        </w:r>
      </w:hyperlink>
    </w:p>
    <w:p>
      <w:pPr>
        <w:pStyle w:val="TOC_4"/>
        <w:tabs>
          <w:tab w:leader="dot" w:pos="9817" w:val="right"/>
        </w:tabs>
        <w:widowControl w:val="0"/>
        <w:keepNext w:val="0"/>
        <w:keepLines w:val="0"/>
        <w:shd w:val="clear" w:color="auto" w:fill="auto"/>
        <w:bidi w:val="0"/>
        <w:spacing w:before="0" w:after="0"/>
        <w:ind w:left="720" w:right="0" w:firstLine="0"/>
      </w:pPr>
      <w:hyperlink w:anchor="bookmark755" w:tooltip="Current Document">
        <w:r>
          <w:rPr>
            <w:lang w:val="ru-RU" w:eastAsia="ru-RU" w:bidi="ru-RU"/>
            <w:w w:val="100"/>
            <w:color w:val="000000"/>
            <w:position w:val="0"/>
          </w:rPr>
          <w:t>Адреногенитальный синдром</w:t>
        </w:r>
        <w:r>
          <w:rPr>
            <w:rStyle w:val="CharStyle21"/>
            <w:i w:val="0"/>
            <w:iCs w:val="0"/>
          </w:rPr>
          <w:tab/>
          <w:t>463</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56" w:tooltip="Current Document">
        <w:r>
          <w:rPr>
            <w:rStyle w:val="CharStyle18"/>
          </w:rPr>
          <w:t>Гипертонический криз</w:t>
          <w:tab/>
          <w:t>464</w:t>
        </w:r>
      </w:hyperlink>
    </w:p>
    <w:p>
      <w:pPr>
        <w:pStyle w:val="TOC_2"/>
        <w:tabs>
          <w:tab w:leader="dot" w:pos="9817" w:val="right"/>
        </w:tabs>
        <w:widowControl w:val="0"/>
        <w:keepNext w:val="0"/>
        <w:keepLines w:val="0"/>
        <w:shd w:val="clear" w:color="auto" w:fill="auto"/>
        <w:bidi w:val="0"/>
        <w:spacing w:before="0" w:after="0"/>
        <w:ind w:left="260" w:right="0" w:firstLine="0"/>
      </w:pPr>
      <w:hyperlink w:anchor="bookmark757" w:tooltip="Current Document">
        <w:r>
          <w:rPr>
            <w:rStyle w:val="CharStyle18"/>
          </w:rPr>
          <w:t>Артериальная гипотензия</w:t>
          <w:tab/>
          <w:t>465</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58" w:tooltip="Current Document">
        <w:r>
          <w:rPr>
            <w:rStyle w:val="CharStyle18"/>
          </w:rPr>
          <w:t>Первичная артериальная гипотензия</w:t>
          <w:tab/>
          <w:t>465</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62" w:tooltip="Current Document">
        <w:r>
          <w:rPr>
            <w:rStyle w:val="CharStyle18"/>
          </w:rPr>
          <w:t>Вторичная артериальная гипотензия</w:t>
          <w:tab/>
          <w:t>469</w:t>
        </w:r>
      </w:hyperlink>
    </w:p>
    <w:p>
      <w:pPr>
        <w:pStyle w:val="TOC_4"/>
        <w:tabs>
          <w:tab w:leader="dot" w:pos="9817" w:val="right"/>
        </w:tabs>
        <w:widowControl w:val="0"/>
        <w:keepNext w:val="0"/>
        <w:keepLines w:val="0"/>
        <w:shd w:val="clear" w:color="auto" w:fill="auto"/>
        <w:bidi w:val="0"/>
        <w:spacing w:before="0" w:after="0"/>
        <w:ind w:left="720" w:right="0" w:firstLine="0"/>
      </w:pPr>
      <w:hyperlink w:anchor="bookmark763" w:tooltip="Current Document">
        <w:r>
          <w:rPr>
            <w:lang w:val="ru-RU" w:eastAsia="ru-RU" w:bidi="ru-RU"/>
            <w:w w:val="100"/>
            <w:color w:val="000000"/>
            <w:position w:val="0"/>
          </w:rPr>
          <w:t>Вторичная артериальная гипотензия при надпочечниковой недостаточности</w:t>
        </w:r>
        <w:r>
          <w:rPr>
            <w:rStyle w:val="CharStyle21"/>
            <w:i w:val="0"/>
            <w:iCs w:val="0"/>
          </w:rPr>
          <w:tab/>
          <w:t>469</w:t>
        </w:r>
      </w:hyperlink>
    </w:p>
    <w:p>
      <w:pPr>
        <w:pStyle w:val="TOC_4"/>
        <w:tabs>
          <w:tab w:leader="dot" w:pos="9817" w:val="right"/>
        </w:tabs>
        <w:widowControl w:val="0"/>
        <w:keepNext w:val="0"/>
        <w:keepLines w:val="0"/>
        <w:shd w:val="clear" w:color="auto" w:fill="auto"/>
        <w:bidi w:val="0"/>
        <w:spacing w:before="0" w:after="0"/>
        <w:ind w:left="720" w:right="0" w:firstLine="0"/>
      </w:pPr>
      <w:hyperlink w:anchor="bookmark765" w:tooltip="Current Document">
        <w:r>
          <w:rPr>
            <w:lang w:val="ru-RU" w:eastAsia="ru-RU" w:bidi="ru-RU"/>
            <w:w w:val="100"/>
            <w:color w:val="000000"/>
            <w:position w:val="0"/>
          </w:rPr>
          <w:t>Артериальная гипотензия ортостатическая</w:t>
        </w:r>
        <w:r>
          <w:rPr>
            <w:rStyle w:val="CharStyle21"/>
            <w:i w:val="0"/>
            <w:iCs w:val="0"/>
          </w:rPr>
          <w:tab/>
          <w:t>469</w:t>
        </w:r>
      </w:hyperlink>
    </w:p>
    <w:p>
      <w:pPr>
        <w:pStyle w:val="TOC_2"/>
        <w:tabs>
          <w:tab w:leader="dot" w:pos="9817" w:val="right"/>
        </w:tabs>
        <w:widowControl w:val="0"/>
        <w:keepNext w:val="0"/>
        <w:keepLines w:val="0"/>
        <w:shd w:val="clear" w:color="auto" w:fill="auto"/>
        <w:bidi w:val="0"/>
        <w:spacing w:before="0" w:after="0"/>
        <w:ind w:left="260" w:right="0" w:firstLine="0"/>
      </w:pPr>
      <w:hyperlink w:anchor="bookmark767" w:tooltip="Current Document">
        <w:r>
          <w:rPr>
            <w:rStyle w:val="CharStyle18"/>
          </w:rPr>
          <w:t>Сосудистые обмороки</w:t>
          <w:tab/>
          <w:t>470</w:t>
        </w:r>
      </w:hyperlink>
    </w:p>
    <w:p>
      <w:pPr>
        <w:pStyle w:val="TOC_3"/>
        <w:tabs>
          <w:tab w:leader="dot" w:pos="9817" w:val="right"/>
        </w:tabs>
        <w:widowControl w:val="0"/>
        <w:keepNext w:val="0"/>
        <w:keepLines w:val="0"/>
        <w:shd w:val="clear" w:color="auto" w:fill="auto"/>
        <w:bidi w:val="0"/>
        <w:spacing w:before="0" w:after="0"/>
        <w:ind w:left="480" w:right="0" w:firstLine="0"/>
      </w:pPr>
      <w:hyperlink w:anchor="bookmark769" w:tooltip="Current Document">
        <w:r>
          <w:rPr>
            <w:rStyle w:val="CharStyle18"/>
          </w:rPr>
          <w:t>Синдром каротидного синуса</w:t>
          <w:tab/>
          <w:t>471</w:t>
        </w:r>
      </w:hyperlink>
    </w:p>
    <w:p>
      <w:pPr>
        <w:pStyle w:val="TOC_2"/>
        <w:tabs>
          <w:tab w:leader="dot" w:pos="9817" w:val="right"/>
        </w:tabs>
        <w:widowControl w:val="0"/>
        <w:keepNext w:val="0"/>
        <w:keepLines w:val="0"/>
        <w:shd w:val="clear" w:color="auto" w:fill="auto"/>
        <w:bidi w:val="0"/>
        <w:spacing w:before="0" w:after="0"/>
        <w:ind w:left="260" w:right="0" w:firstLine="0"/>
      </w:pPr>
      <w:hyperlink w:anchor="bookmark772" w:tooltip="Current Document">
        <w:r>
          <w:rPr>
            <w:rStyle w:val="CharStyle18"/>
          </w:rPr>
          <w:t>Острая сосудистая недостаточность (коллапс)</w:t>
          <w:tab/>
          <w:t>473</w:t>
        </w:r>
      </w:hyperlink>
    </w:p>
    <w:p>
      <w:pPr>
        <w:pStyle w:val="TOC_2"/>
        <w:tabs>
          <w:tab w:leader="dot" w:pos="9817" w:val="right"/>
        </w:tabs>
        <w:widowControl w:val="0"/>
        <w:keepNext w:val="0"/>
        <w:keepLines w:val="0"/>
        <w:shd w:val="clear" w:color="auto" w:fill="auto"/>
        <w:bidi w:val="0"/>
        <w:spacing w:before="0" w:after="0"/>
        <w:ind w:left="260" w:right="0" w:firstLine="0"/>
      </w:pPr>
      <w:hyperlink w:anchor="bookmark773" w:tooltip="Current Document">
        <w:r>
          <w:rPr>
            <w:rStyle w:val="CharStyle18"/>
          </w:rPr>
          <w:t>Артериит Такаясу</w:t>
          <w:tab/>
          <w:t>474</w:t>
        </w:r>
      </w:hyperlink>
    </w:p>
    <w:p>
      <w:pPr>
        <w:pStyle w:val="TOC_2"/>
        <w:tabs>
          <w:tab w:leader="dot" w:pos="9817" w:val="right"/>
        </w:tabs>
        <w:widowControl w:val="0"/>
        <w:keepNext w:val="0"/>
        <w:keepLines w:val="0"/>
        <w:shd w:val="clear" w:color="auto" w:fill="auto"/>
        <w:bidi w:val="0"/>
        <w:spacing w:before="0" w:after="1332"/>
        <w:ind w:left="260" w:right="0" w:firstLine="0"/>
      </w:pPr>
      <w:hyperlink w:anchor="bookmark776" w:tooltip="Current Document">
        <w:r>
          <w:rPr>
            <w:rStyle w:val="CharStyle18"/>
          </w:rPr>
          <w:t>Нейроциркуляторная дистония</w:t>
          <w:tab/>
          <w:t>476</w:t>
        </w:r>
      </w:hyperlink>
    </w:p>
    <w:p>
      <w:pPr>
        <w:framePr w:h="293" w:wrap="notBeside" w:vAnchor="text" w:hAnchor="text" w:xAlign="center" w:y="1"/>
        <w:widowControl w:val="0"/>
        <w:jc w:val="center"/>
        <w:rPr>
          <w:sz w:val="2"/>
          <w:szCs w:val="2"/>
        </w:rPr>
      </w:pPr>
      <w:r>
        <w:pict>
          <v:shape id="_x0000_s1032" type="#_x0000_t75" style="width:210pt;height:15pt;">
            <v:imagedata r:id="rId17" r:href="rId18"/>
          </v:shape>
        </w:pict>
      </w:r>
    </w:p>
    <w:p>
      <w:pPr>
        <w:widowControl w:val="0"/>
        <w:rPr>
          <w:sz w:val="2"/>
          <w:szCs w:val="2"/>
        </w:rPr>
      </w:pPr>
    </w:p>
    <w:p>
      <w:pPr>
        <w:pStyle w:val="TOC_1"/>
        <w:tabs>
          <w:tab w:leader="dot" w:pos="9818" w:val="righ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Глава XII. Нарушения ритма сердца</w:t>
        <w:tab/>
        <w:t>483</w:t>
      </w:r>
    </w:p>
    <w:p>
      <w:pPr>
        <w:pStyle w:val="TOC_2"/>
        <w:tabs>
          <w:tab w:leader="dot" w:pos="9818" w:val="right"/>
        </w:tabs>
        <w:widowControl w:val="0"/>
        <w:keepNext w:val="0"/>
        <w:keepLines w:val="0"/>
        <w:shd w:val="clear" w:color="auto" w:fill="auto"/>
        <w:bidi w:val="0"/>
        <w:spacing w:before="0" w:after="0"/>
        <w:ind w:left="260" w:right="0" w:firstLine="0"/>
      </w:pPr>
      <w:hyperlink w:anchor="bookmark785" w:tooltip="Current Document">
        <w:r>
          <w:rPr>
            <w:rStyle w:val="CharStyle18"/>
          </w:rPr>
          <w:t>Синусовая тахикардия</w:t>
          <w:tab/>
          <w:t>483</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787" w:tooltip="Current Document">
        <w:r>
          <w:rPr>
            <w:rStyle w:val="CharStyle18"/>
          </w:rPr>
          <w:t>Синусовая брадикардия</w:t>
          <w:tab/>
          <w:t>485</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789" w:tooltip="Current Document">
        <w:r>
          <w:rPr>
            <w:rStyle w:val="CharStyle18"/>
          </w:rPr>
          <w:t>Преждевременное сокращение желудочков (желудочковая экстрасистолия)</w:t>
          <w:tab/>
          <w:t>487</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791" w:tooltip="Current Document">
        <w:r>
          <w:rPr>
            <w:rStyle w:val="CharStyle18"/>
          </w:rPr>
          <w:t>Синдром слабости синусового узла (дисфункция синусового узла)</w:t>
          <w:tab/>
          <w:t>490</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793" w:tooltip="Current Document">
        <w:r>
          <w:rPr>
            <w:rStyle w:val="CharStyle18"/>
          </w:rPr>
          <w:t>Пароксизмальная наджелудочковая тахикардия</w:t>
          <w:tab/>
          <w:t>493</w:t>
        </w:r>
      </w:hyperlink>
    </w:p>
    <w:p>
      <w:pPr>
        <w:pStyle w:val="TOC_3"/>
        <w:tabs>
          <w:tab w:leader="dot" w:pos="9818" w:val="right"/>
        </w:tabs>
        <w:widowControl w:val="0"/>
        <w:keepNext w:val="0"/>
        <w:keepLines w:val="0"/>
        <w:shd w:val="clear" w:color="auto" w:fill="auto"/>
        <w:bidi w:val="0"/>
        <w:spacing w:before="0" w:after="0"/>
        <w:ind w:left="480" w:right="0" w:firstLine="0"/>
      </w:pPr>
      <w:hyperlink w:anchor="bookmark794" w:tooltip="Current Document">
        <w:r>
          <w:rPr>
            <w:rStyle w:val="CharStyle18"/>
          </w:rPr>
          <w:t>Предсердные тахиаритмии</w:t>
          <w:tab/>
          <w:t>493</w:t>
        </w:r>
      </w:hyperlink>
    </w:p>
    <w:p>
      <w:pPr>
        <w:pStyle w:val="TOC_3"/>
        <w:tabs>
          <w:tab w:leader="dot" w:pos="9818" w:val="right"/>
        </w:tabs>
        <w:widowControl w:val="0"/>
        <w:keepNext w:val="0"/>
        <w:keepLines w:val="0"/>
        <w:shd w:val="clear" w:color="auto" w:fill="auto"/>
        <w:bidi w:val="0"/>
        <w:spacing w:before="0" w:after="0"/>
        <w:ind w:left="480" w:right="0" w:firstLine="0"/>
      </w:pPr>
      <w:hyperlink w:anchor="bookmark796" w:tooltip="Current Document">
        <w:r>
          <w:rPr>
            <w:rStyle w:val="CharStyle18"/>
          </w:rPr>
          <w:t>Атриовентрикулярная тахиаритмия</w:t>
          <w:tab/>
          <w:t>494</w:t>
        </w:r>
      </w:hyperlink>
    </w:p>
    <w:p>
      <w:pPr>
        <w:pStyle w:val="TOC_3"/>
        <w:tabs>
          <w:tab w:leader="dot" w:pos="9818" w:val="right"/>
        </w:tabs>
        <w:widowControl w:val="0"/>
        <w:keepNext w:val="0"/>
        <w:keepLines w:val="0"/>
        <w:shd w:val="clear" w:color="auto" w:fill="auto"/>
        <w:bidi w:val="0"/>
        <w:spacing w:before="0" w:after="0"/>
        <w:ind w:left="480" w:right="0" w:firstLine="0"/>
      </w:pPr>
      <w:hyperlink w:anchor="bookmark800" w:tooltip="Current Document">
        <w:r>
          <w:rPr>
            <w:rStyle w:val="CharStyle18"/>
          </w:rPr>
          <w:t>Предсердная эктопическая тахикардия</w:t>
          <w:tab/>
          <w:t>498</w:t>
        </w:r>
      </w:hyperlink>
    </w:p>
    <w:p>
      <w:pPr>
        <w:pStyle w:val="TOC_3"/>
        <w:tabs>
          <w:tab w:leader="dot" w:pos="9818" w:val="right"/>
        </w:tabs>
        <w:widowControl w:val="0"/>
        <w:keepNext w:val="0"/>
        <w:keepLines w:val="0"/>
        <w:shd w:val="clear" w:color="auto" w:fill="auto"/>
        <w:bidi w:val="0"/>
        <w:spacing w:before="0" w:after="0"/>
        <w:ind w:left="480" w:right="0" w:firstLine="0"/>
      </w:pPr>
      <w:hyperlink w:anchor="bookmark801" w:tooltip="Current Document">
        <w:r>
          <w:rPr>
            <w:rStyle w:val="CharStyle18"/>
          </w:rPr>
          <w:t>Атриовентрикулярная узловая реципрокная наджелудочковая тахикардия</w:t>
          <w:tab/>
          <w:t>500</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804" w:tooltip="Current Document">
        <w:r>
          <w:rPr>
            <w:rStyle w:val="CharStyle18"/>
          </w:rPr>
          <w:t>Синдром Вольфа-Паркинсона-Уайта</w:t>
          <w:tab/>
          <w:t>502</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808" w:tooltip="Current Document">
        <w:r>
          <w:rPr>
            <w:rStyle w:val="CharStyle18"/>
          </w:rPr>
          <w:t>Ускоренный идиовентрикулярный ритм сердца</w:t>
          <w:tab/>
          <w:t>510</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810" w:tooltip="Current Document">
        <w:r>
          <w:rPr>
            <w:rStyle w:val="CharStyle18"/>
          </w:rPr>
          <w:t xml:space="preserve">Синдром удлиненного интервала </w:t>
        </w:r>
        <w:r>
          <w:rPr>
            <w:rStyle w:val="CharStyle18"/>
            <w:lang w:val="en-US" w:eastAsia="en-US" w:bidi="en-US"/>
          </w:rPr>
          <w:t>QТ</w:t>
        </w:r>
        <w:r>
          <w:rPr>
            <w:rStyle w:val="CharStyle18"/>
          </w:rPr>
          <w:tab/>
          <w:t>512</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812" w:tooltip="Current Document">
        <w:r>
          <w:rPr>
            <w:rStyle w:val="CharStyle18"/>
          </w:rPr>
          <w:t>Желудочковая тахикардия</w:t>
          <w:tab/>
          <w:t>514</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813" w:tooltip="Current Document">
        <w:r>
          <w:rPr>
            <w:rStyle w:val="CharStyle18"/>
          </w:rPr>
          <w:t>Желудочковая тахикардия типа «пируэт»</w:t>
          <w:tab/>
          <w:t>519</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815" w:tooltip="Current Document">
        <w:r>
          <w:rPr>
            <w:rStyle w:val="CharStyle18"/>
          </w:rPr>
          <w:t>Фибрилляция желудочков</w:t>
          <w:tab/>
          <w:t>522</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818" w:tooltip="Current Document">
        <w:r>
          <w:rPr>
            <w:rStyle w:val="CharStyle18"/>
          </w:rPr>
          <w:t>Атриовентрикулярная блокада I степени</w:t>
          <w:tab/>
          <w:t>525</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819" w:tooltip="Current Document">
        <w:r>
          <w:rPr>
            <w:rStyle w:val="CharStyle18"/>
          </w:rPr>
          <w:t>Атриовентрикулярная блокада II степени</w:t>
          <w:tab/>
          <w:t>527</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821" w:tooltip="Current Document">
        <w:r>
          <w:rPr>
            <w:rStyle w:val="CharStyle18"/>
          </w:rPr>
          <w:t>Полная атриовентрикулярная блокада</w:t>
          <w:tab/>
          <w:t>529</w:t>
        </w:r>
      </w:hyperlink>
    </w:p>
    <w:p>
      <w:pPr>
        <w:pStyle w:val="TOC_2"/>
        <w:tabs>
          <w:tab w:leader="dot" w:pos="9558" w:val="right"/>
        </w:tabs>
        <w:widowControl w:val="0"/>
        <w:keepNext w:val="0"/>
        <w:keepLines w:val="0"/>
        <w:shd w:val="clear" w:color="auto" w:fill="auto"/>
        <w:bidi w:val="0"/>
        <w:spacing w:before="0" w:after="0"/>
        <w:ind w:left="0" w:right="0" w:firstLine="0"/>
      </w:pPr>
      <w:hyperlink w:anchor="bookmark839" w:tooltip="Current Document">
        <w:r>
          <w:rPr>
            <w:rStyle w:val="CharStyle18"/>
          </w:rPr>
          <w:t>Асистолия</w:t>
          <w:tab/>
          <w:t>544</w:t>
        </w:r>
      </w:hyperlink>
    </w:p>
    <w:p>
      <w:pPr>
        <w:pStyle w:val="TOC_2"/>
        <w:tabs>
          <w:tab w:leader="dot" w:pos="9818" w:val="right"/>
        </w:tabs>
        <w:widowControl w:val="0"/>
        <w:keepNext w:val="0"/>
        <w:keepLines w:val="0"/>
        <w:shd w:val="clear" w:color="auto" w:fill="auto"/>
        <w:bidi w:val="0"/>
        <w:spacing w:before="0" w:after="240"/>
        <w:ind w:left="260" w:right="0" w:firstLine="0"/>
      </w:pPr>
      <w:hyperlink w:anchor="bookmark841" w:tooltip="Current Document">
        <w:r>
          <w:rPr>
            <w:rStyle w:val="CharStyle18"/>
          </w:rPr>
          <w:t>Кардиологические причины внезапной смерти</w:t>
          <w:tab/>
          <w:t>545</w:t>
        </w:r>
      </w:hyperlink>
    </w:p>
    <w:p>
      <w:pPr>
        <w:pStyle w:val="TOC_1"/>
        <w:tabs>
          <w:tab w:leader="dot" w:pos="9818" w:val="right"/>
        </w:tabs>
        <w:widowControl w:val="0"/>
        <w:keepNext w:val="0"/>
        <w:keepLines w:val="0"/>
        <w:shd w:val="clear" w:color="auto" w:fill="auto"/>
        <w:bidi w:val="0"/>
        <w:spacing w:before="0" w:after="0"/>
        <w:ind w:left="0" w:right="0" w:firstLine="0"/>
      </w:pPr>
      <w:hyperlink w:anchor="bookmark843" w:tooltip="Current Document">
        <w:r>
          <w:rPr>
            <w:lang w:val="ru-RU" w:eastAsia="ru-RU" w:bidi="ru-RU"/>
            <w:w w:val="100"/>
            <w:spacing w:val="0"/>
            <w:color w:val="000000"/>
            <w:position w:val="0"/>
          </w:rPr>
          <w:t>Глава XIII. Сердечная недостаточность</w:t>
          <w:tab/>
          <w:t>550</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845" w:tooltip="Current Document">
        <w:r>
          <w:rPr>
            <w:rStyle w:val="CharStyle18"/>
          </w:rPr>
          <w:t>Отек легких</w:t>
          <w:tab/>
          <w:t>559</w:t>
        </w:r>
      </w:hyperlink>
    </w:p>
    <w:p>
      <w:pPr>
        <w:pStyle w:val="TOC_2"/>
        <w:tabs>
          <w:tab w:leader="dot" w:pos="9818" w:val="right"/>
        </w:tabs>
        <w:widowControl w:val="0"/>
        <w:keepNext w:val="0"/>
        <w:keepLines w:val="0"/>
        <w:shd w:val="clear" w:color="auto" w:fill="auto"/>
        <w:bidi w:val="0"/>
        <w:spacing w:before="0" w:after="0"/>
        <w:ind w:left="260" w:right="0" w:firstLine="0"/>
      </w:pPr>
      <w:hyperlink w:anchor="bookmark846" w:tooltip="Current Document">
        <w:r>
          <w:rPr>
            <w:rStyle w:val="CharStyle18"/>
          </w:rPr>
          <w:t>Острая левожелудочковая сердечная недостаточность</w:t>
          <w:tab/>
          <w:t>560</w:t>
        </w:r>
      </w:hyperlink>
    </w:p>
    <w:p>
      <w:pPr>
        <w:pStyle w:val="TOC_2"/>
        <w:tabs>
          <w:tab w:leader="dot" w:pos="9818" w:val="right"/>
        </w:tabs>
        <w:widowControl w:val="0"/>
        <w:keepNext w:val="0"/>
        <w:keepLines w:val="0"/>
        <w:shd w:val="clear" w:color="auto" w:fill="auto"/>
        <w:bidi w:val="0"/>
        <w:spacing w:before="0" w:after="264"/>
        <w:ind w:left="260" w:right="0" w:firstLine="0"/>
      </w:pPr>
      <w:hyperlink w:anchor="bookmark847" w:tooltip="Current Document">
        <w:r>
          <w:rPr>
            <w:rStyle w:val="CharStyle18"/>
          </w:rPr>
          <w:t>Острая правожелудочковая сердечная недостаточность</w:t>
          <w:tab/>
          <w:t>561</w:t>
        </w:r>
      </w:hyperlink>
    </w:p>
    <w:p>
      <w:pPr>
        <w:pStyle w:val="TOC_1"/>
        <w:tabs>
          <w:tab w:leader="dot" w:pos="9818" w:val="right"/>
        </w:tabs>
        <w:widowControl w:val="0"/>
        <w:keepNext w:val="0"/>
        <w:keepLines w:val="0"/>
        <w:shd w:val="clear" w:color="auto" w:fill="auto"/>
        <w:bidi w:val="0"/>
        <w:spacing w:before="0" w:after="193" w:line="210" w:lineRule="exact"/>
        <w:ind w:left="0" w:right="0" w:firstLine="0"/>
      </w:pPr>
      <w:hyperlink w:anchor="bookmark848" w:tooltip="Current Document">
        <w:r>
          <w:rPr>
            <w:lang w:val="ru-RU" w:eastAsia="ru-RU" w:bidi="ru-RU"/>
            <w:w w:val="100"/>
            <w:spacing w:val="0"/>
            <w:color w:val="000000"/>
            <w:position w:val="0"/>
          </w:rPr>
          <w:t>Приложение</w:t>
          <w:tab/>
          <w:t>562</w:t>
        </w:r>
      </w:hyperlink>
    </w:p>
    <w:p>
      <w:pPr>
        <w:pStyle w:val="TOC_1"/>
        <w:tabs>
          <w:tab w:leader="dot" w:pos="9818" w:val="right"/>
        </w:tabs>
        <w:widowControl w:val="0"/>
        <w:keepNext w:val="0"/>
        <w:keepLines w:val="0"/>
        <w:shd w:val="clear" w:color="auto" w:fill="auto"/>
        <w:bidi w:val="0"/>
        <w:spacing w:before="0" w:after="7818" w:line="210" w:lineRule="exact"/>
        <w:ind w:left="0" w:right="0" w:firstLine="0"/>
      </w:pPr>
      <w:hyperlink w:anchor="bookmark850" w:tooltip="Current Document">
        <w:r>
          <w:rPr>
            <w:lang w:val="ru-RU" w:eastAsia="ru-RU" w:bidi="ru-RU"/>
            <w:w w:val="100"/>
            <w:spacing w:val="0"/>
            <w:color w:val="000000"/>
            <w:position w:val="0"/>
          </w:rPr>
          <w:t>Предметный указатель</w:t>
          <w:tab/>
          <w:t>590</w:t>
        </w:r>
      </w:hyperlink>
      <w:r>
        <w:fldChar w:fldCharType="end"/>
      </w:r>
    </w:p>
    <w:p>
      <w:pPr>
        <w:framePr w:h="293" w:wrap="notBeside" w:vAnchor="text" w:hAnchor="text" w:xAlign="center" w:y="1"/>
        <w:widowControl w:val="0"/>
        <w:jc w:val="center"/>
        <w:rPr>
          <w:sz w:val="2"/>
          <w:szCs w:val="2"/>
        </w:rPr>
      </w:pPr>
      <w:r>
        <w:pict>
          <v:shape id="_x0000_s1033" type="#_x0000_t75" style="width:210pt;height:15pt;">
            <v:imagedata r:id="rId19" r:href="rId20"/>
          </v:shape>
        </w:pict>
      </w:r>
    </w:p>
    <w:p>
      <w:pPr>
        <w:widowControl w:val="0"/>
        <w:rPr>
          <w:sz w:val="2"/>
          <w:szCs w:val="2"/>
        </w:rPr>
      </w:pPr>
    </w:p>
    <w:p>
      <w:pPr>
        <w:widowControl w:val="0"/>
        <w:rPr>
          <w:sz w:val="2"/>
          <w:szCs w:val="2"/>
        </w:rPr>
        <w:sectPr>
          <w:pgSz w:w="11900" w:h="16840"/>
          <w:pgMar w:top="1161" w:left="1033" w:right="994" w:bottom="177" w:header="0" w:footer="3" w:gutter="0"/>
          <w:rtlGutter w:val="0"/>
          <w:cols w:space="720"/>
          <w:noEndnote/>
          <w:docGrid w:linePitch="360"/>
        </w:sectPr>
      </w:pPr>
    </w:p>
    <w:p>
      <w:pPr>
        <w:pStyle w:val="Style22"/>
        <w:widowControl w:val="0"/>
        <w:keepNext w:val="0"/>
        <w:keepLines w:val="0"/>
        <w:shd w:val="clear" w:color="auto" w:fill="auto"/>
        <w:bidi w:val="0"/>
        <w:jc w:val="left"/>
        <w:spacing w:before="0" w:after="196" w:line="360" w:lineRule="exact"/>
        <w:ind w:left="2320" w:right="0" w:firstLine="0"/>
      </w:pPr>
      <w:r>
        <w:rPr>
          <w:lang w:val="ru-RU" w:eastAsia="ru-RU" w:bidi="ru-RU"/>
          <w:w w:val="100"/>
          <w:color w:val="000000"/>
          <w:position w:val="0"/>
        </w:rPr>
        <w:t>Глава I</w:t>
      </w:r>
    </w:p>
    <w:p>
      <w:pPr>
        <w:pStyle w:val="Style15"/>
        <w:widowControl w:val="0"/>
        <w:keepNext/>
        <w:keepLines/>
        <w:shd w:val="clear" w:color="auto" w:fill="auto"/>
        <w:bidi w:val="0"/>
        <w:jc w:val="left"/>
        <w:spacing w:before="0" w:after="0" w:line="432" w:lineRule="exact"/>
        <w:ind w:left="2320" w:right="1020" w:firstLine="0"/>
        <w:sectPr>
          <w:headerReference w:type="even" r:id="rId21"/>
          <w:headerReference w:type="default" r:id="rId22"/>
          <w:pgSz w:w="11900" w:h="16840"/>
          <w:pgMar w:top="1800" w:left="893" w:right="1123" w:bottom="206" w:header="0" w:footer="3" w:gutter="0"/>
          <w:rtlGutter w:val="0"/>
          <w:cols w:space="720"/>
          <w:noEndnote/>
          <w:docGrid w:linePitch="360"/>
        </w:sectPr>
      </w:pPr>
      <w:bookmarkStart w:id="1" w:name="bookmark1"/>
      <w:r>
        <w:rPr>
          <w:lang w:val="ru-RU" w:eastAsia="ru-RU" w:bidi="ru-RU"/>
          <w:w w:val="100"/>
          <w:spacing w:val="0"/>
          <w:color w:val="000000"/>
          <w:position w:val="0"/>
        </w:rPr>
        <w:t>ОСНОВЫ ДИАГНОСТИКИ ЗАБОЛЕВАНИЙ СЕРДЦА И СОСУДОВ</w:t>
      </w:r>
      <w:bookmarkEnd w:id="1"/>
    </w:p>
    <w:p>
      <w:pPr>
        <w:widowControl w:val="0"/>
        <w:spacing w:line="240" w:lineRule="exact"/>
        <w:rPr>
          <w:sz w:val="19"/>
          <w:szCs w:val="19"/>
        </w:rPr>
      </w:pPr>
    </w:p>
    <w:p>
      <w:pPr>
        <w:widowControl w:val="0"/>
        <w:spacing w:line="240" w:lineRule="exact"/>
        <w:rPr>
          <w:sz w:val="19"/>
          <w:szCs w:val="19"/>
        </w:rPr>
      </w:pPr>
    </w:p>
    <w:p>
      <w:pPr>
        <w:widowControl w:val="0"/>
        <w:spacing w:before="68" w:after="68" w:line="240" w:lineRule="exact"/>
        <w:rPr>
          <w:sz w:val="19"/>
          <w:szCs w:val="19"/>
        </w:rPr>
      </w:pPr>
    </w:p>
    <w:p>
      <w:pPr>
        <w:widowControl w:val="0"/>
        <w:rPr>
          <w:sz w:val="2"/>
          <w:szCs w:val="2"/>
        </w:rPr>
        <w:sectPr>
          <w:type w:val="continuous"/>
          <w:pgSz w:w="11900" w:h="16840"/>
          <w:pgMar w:top="1800" w:left="0" w:right="0" w:bottom="8966" w:header="0" w:footer="3" w:gutter="0"/>
          <w:rtlGutter w:val="0"/>
          <w:cols w:space="720"/>
          <w:noEndnote/>
          <w:docGrid w:linePitch="360"/>
        </w:sectPr>
      </w:pPr>
    </w:p>
    <w:p>
      <w:pPr>
        <w:pStyle w:val="Style28"/>
        <w:widowControl w:val="0"/>
        <w:keepNext/>
        <w:keepLines/>
        <w:shd w:val="clear" w:color="auto" w:fill="auto"/>
        <w:bidi w:val="0"/>
        <w:jc w:val="left"/>
        <w:spacing w:before="0" w:after="157" w:line="220" w:lineRule="exact"/>
        <w:ind w:left="0" w:right="0" w:firstLine="0"/>
      </w:pPr>
      <w:bookmarkStart w:id="2" w:name="bookmark2"/>
      <w:r>
        <w:rPr>
          <w:lang w:val="ru-RU" w:eastAsia="ru-RU" w:bidi="ru-RU"/>
          <w:w w:val="100"/>
          <w:spacing w:val="0"/>
          <w:color w:val="000000"/>
          <w:position w:val="0"/>
        </w:rPr>
        <w:t>Эмбриология и анатомия сердца плода</w:t>
      </w:r>
      <w:bookmarkEnd w:id="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Закладка сердца появляется у эмбриона в конце 2-й не</w:t>
        <w:softHyphen/>
        <w:t>дели развития из простой трубки (стадия трубчатого серд</w:t>
        <w:softHyphen/>
        <w:t>ца), через которую кровь переходит одним сплошным по</w:t>
        <w:softHyphen/>
        <w:t>током (рис. 1). В конце 3-й — начале 4-й недели у эмбрио</w:t>
        <w:softHyphen/>
        <w:t>на 2-3 мм длиной неравномерный рост сердечной трубки приводит к изменению и усложнению формы. Образуется сигмовидное сердце, в котором различают венозный си</w:t>
        <w:softHyphen/>
        <w:t>нус, следующий за ним венозный отдел, артериальный от</w:t>
        <w:softHyphen/>
        <w:t>дел (первичный желудочек) и затем артериальный ствол. В этот период сердце начинает сокращаться. В дальнейшие стадии развития венозный и артериальный отделы сердца разрастаются и между ними возникает глубокая перетяжка.</w:t>
      </w:r>
    </w:p>
    <w:p>
      <w:pPr>
        <w:pStyle w:val="Style30"/>
        <w:widowControl w:val="0"/>
        <w:keepNext w:val="0"/>
        <w:keepLines w:val="0"/>
        <w:shd w:val="clear" w:color="auto" w:fill="auto"/>
        <w:bidi w:val="0"/>
        <w:spacing w:before="0" w:after="0"/>
        <w:ind w:left="0" w:right="0" w:firstLine="280"/>
        <w:sectPr>
          <w:type w:val="continuous"/>
          <w:pgSz w:w="11900" w:h="16840"/>
          <w:pgMar w:top="1800" w:left="893" w:right="1123" w:bottom="8966" w:header="0" w:footer="3" w:gutter="0"/>
          <w:rtlGutter w:val="0"/>
          <w:cols w:num="2" w:space="187"/>
          <w:noEndnote/>
          <w:docGrid w:linePitch="360"/>
        </w:sectPr>
      </w:pPr>
      <w:r>
        <w:rPr>
          <w:lang w:val="ru-RU" w:eastAsia="ru-RU" w:bidi="ru-RU"/>
          <w:w w:val="100"/>
          <w:spacing w:val="0"/>
          <w:color w:val="000000"/>
          <w:position w:val="0"/>
        </w:rPr>
        <w:t>Из венозного отдела образуются два больших выроста, представляющих собой первичные ушки сердца. Оба коле</w:t>
        <w:softHyphen/>
        <w:t>на артериального отдела постепенно срастаются. Так фор</w:t>
        <w:softHyphen/>
        <w:br w:type="column"/>
        <w:t>мируется двухкамерное сердце эмбриона (4-я неделя разви</w:t>
        <w:softHyphen/>
        <w:t>тия). На этой стадии существует лишь большой круг крово</w:t>
        <w:softHyphen/>
        <w:t>обращения; малый круг складывается позже в связи с раз</w:t>
        <w:softHyphen/>
        <w:t>витием легких. Если развитие сердца останавливается на этой стадии, то ребенок рождается с двухкамерным серд</w:t>
        <w:softHyphen/>
        <w:t>цем. Дальнейшим этапом развития является образование межпредсердной перегородки (стадия трехкамерного серд</w:t>
        <w:softHyphen/>
        <w:t>ца), при этом предсердия сообщаются между собой посред</w:t>
        <w:softHyphen/>
        <w:t xml:space="preserve">ством овального окна. На </w:t>
      </w:r>
      <w:r>
        <w:rPr>
          <w:rStyle w:val="CharStyle32"/>
        </w:rPr>
        <w:t>6</w:t>
      </w:r>
      <w:r>
        <w:rPr>
          <w:lang w:val="ru-RU" w:eastAsia="ru-RU" w:bidi="ru-RU"/>
          <w:w w:val="100"/>
          <w:spacing w:val="0"/>
          <w:color w:val="000000"/>
          <w:position w:val="0"/>
        </w:rPr>
        <w:t>-й неделе развития эмбриона происходит разделение желудочковой камеры (стадия че</w:t>
        <w:softHyphen/>
        <w:t>тырехкамерного сердца), одновременно формируются ат</w:t>
        <w:softHyphen/>
        <w:t>риовентрикулярные клапаны и происходит разделение об</w:t>
        <w:softHyphen/>
        <w:t>щего артериального ствола на аорту и легочную артерию. Нарушение процесса развития сердца приводит к различ</w:t>
        <w:softHyphen/>
        <w:t>ного типа врожденным порокам. Ниже приведены основ</w:t>
        <w:softHyphen/>
        <w:t xml:space="preserve">ные этапы морфогенеза сердца (табл. </w:t>
      </w:r>
      <w:r>
        <w:rPr>
          <w:rStyle w:val="CharStyle32"/>
        </w:rPr>
        <w:t>1</w:t>
      </w:r>
      <w:r>
        <w:rPr>
          <w:lang w:val="ru-RU" w:eastAsia="ru-RU" w:bidi="ru-RU"/>
          <w:w w:val="100"/>
          <w:spacing w:val="0"/>
          <w:color w:val="000000"/>
          <w:position w:val="0"/>
        </w:rPr>
        <w:t>).</w:t>
      </w:r>
    </w:p>
    <w:p>
      <w:pPr>
        <w:widowControl w:val="0"/>
        <w:spacing w:before="99" w:after="99" w:line="240" w:lineRule="exact"/>
        <w:rPr>
          <w:sz w:val="19"/>
          <w:szCs w:val="19"/>
        </w:rPr>
      </w:pPr>
    </w:p>
    <w:p>
      <w:pPr>
        <w:widowControl w:val="0"/>
        <w:rPr>
          <w:sz w:val="2"/>
          <w:szCs w:val="2"/>
        </w:rPr>
        <w:sectPr>
          <w:type w:val="continuous"/>
          <w:pgSz w:w="11900" w:h="16840"/>
          <w:pgMar w:top="1477" w:left="0" w:right="0" w:bottom="191" w:header="0" w:footer="3" w:gutter="0"/>
          <w:rtlGutter w:val="0"/>
          <w:cols w:space="720"/>
          <w:noEndnote/>
          <w:docGrid w:linePitch="360"/>
        </w:sectPr>
      </w:pPr>
    </w:p>
    <w:p>
      <w:pPr>
        <w:widowControl w:val="0"/>
        <w:spacing w:line="360" w:lineRule="exact"/>
      </w:pPr>
      <w:r>
        <w:pict>
          <v:shape id="_x0000_s1036" type="#_x0000_t202" style="position:absolute;margin-left:72.05pt;margin-top:254.45pt;width:8.4pt;height:9.45pt;z-index:251657728;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160" w:lineRule="exact"/>
                    <w:ind w:left="0" w:right="0" w:firstLine="0"/>
                  </w:pPr>
                  <w:r>
                    <w:rPr>
                      <w:rStyle w:val="CharStyle34"/>
                    </w:rPr>
                    <w:t>А</w:t>
                  </w:r>
                </w:p>
              </w:txbxContent>
            </v:textbox>
            <w10:wrap anchorx="margin"/>
          </v:shape>
        </w:pict>
      </w:r>
      <w:r>
        <w:pict>
          <v:shape id="_x0000_s1037" type="#_x0000_t202" style="position:absolute;margin-left:252.5pt;margin-top:254.45pt;width:7.9pt;height:9.45pt;z-index:251657729;mso-wrap-distance-left:5.pt;mso-wrap-distance-right:5.pt;mso-position-horizontal-relative:margin" filled="f" stroked="f">
            <v:textbox style="mso-fit-shape-to-text:t" inset="0,0,0,0">
              <w:txbxContent>
                <w:p>
                  <w:pPr>
                    <w:pStyle w:val="Style35"/>
                    <w:widowControl w:val="0"/>
                    <w:keepNext w:val="0"/>
                    <w:keepLines w:val="0"/>
                    <w:shd w:val="clear" w:color="auto" w:fill="auto"/>
                    <w:bidi w:val="0"/>
                    <w:jc w:val="left"/>
                    <w:spacing w:before="0" w:after="0" w:line="160" w:lineRule="exact"/>
                    <w:ind w:left="0" w:right="0" w:firstLine="0"/>
                  </w:pPr>
                  <w:r>
                    <w:rPr>
                      <w:lang w:val="ru-RU" w:eastAsia="ru-RU" w:bidi="ru-RU"/>
                      <w:w w:val="100"/>
                      <w:spacing w:val="0"/>
                      <w:color w:val="000000"/>
                      <w:position w:val="0"/>
                    </w:rPr>
                    <w:t>Б</w:t>
                  </w:r>
                </w:p>
              </w:txbxContent>
            </v:textbox>
            <w10:wrap anchorx="margin"/>
          </v:shape>
        </w:pict>
      </w:r>
      <w:r>
        <w:pict>
          <v:shape id="_x0000_s1038" type="#_x0000_t202" style="position:absolute;margin-left:432.5pt;margin-top:254.45pt;width:7.9pt;height:9.45pt;z-index:251657730;mso-wrap-distance-left:5.pt;mso-wrap-distance-right:5.pt;mso-position-horizontal-relative:margin" filled="f" stroked="f">
            <v:textbox style="mso-fit-shape-to-text:t" inset="0,0,0,0">
              <w:txbxContent>
                <w:p>
                  <w:pPr>
                    <w:pStyle w:val="Style35"/>
                    <w:widowControl w:val="0"/>
                    <w:keepNext w:val="0"/>
                    <w:keepLines w:val="0"/>
                    <w:shd w:val="clear" w:color="auto" w:fill="auto"/>
                    <w:bidi w:val="0"/>
                    <w:jc w:val="left"/>
                    <w:spacing w:before="0" w:after="0" w:line="160" w:lineRule="exact"/>
                    <w:ind w:left="0" w:right="0" w:firstLine="0"/>
                  </w:pPr>
                  <w:r>
                    <w:rPr>
                      <w:lang w:val="ru-RU" w:eastAsia="ru-RU" w:bidi="ru-RU"/>
                      <w:w w:val="100"/>
                      <w:spacing w:val="0"/>
                      <w:color w:val="000000"/>
                      <w:position w:val="0"/>
                    </w:rPr>
                    <w:t>В</w:t>
                  </w:r>
                </w:p>
              </w:txbxContent>
            </v:textbox>
            <w10:wrap anchorx="margin"/>
          </v:shape>
        </w:pict>
      </w:r>
      <w:r>
        <w:pict>
          <v:shape id="_x0000_s1039" type="#_x0000_t202" style="position:absolute;margin-left:0.5pt;margin-top:270.95pt;width:493.9pt;height:50.85pt;z-index:251657731;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192" w:lineRule="exact"/>
                    <w:ind w:left="0" w:right="0" w:firstLine="0"/>
                  </w:pPr>
                  <w:r>
                    <w:rPr>
                      <w:rStyle w:val="CharStyle37"/>
                    </w:rPr>
                    <w:t xml:space="preserve">Рис. 1. </w:t>
                  </w:r>
                  <w:r>
                    <w:rPr>
                      <w:rStyle w:val="CharStyle34"/>
                    </w:rPr>
                    <w:t>Эмбриональное развитие сердца (схема). А — трубчатое сердце: 1 — венозный отдел (первичное предсердие), 2 — артериальный отдел (первичный желудочек), 3 — первичные аорты, 4 — перикард, 5 — венозный синус, 6 — желточная вена, 7 — пупочные вены; Б — сигмовидное сердце: 1 — венозный синус, 2 — артериальный отдел (первичный желудочек), 3 — артериальный ствол, 4 — перикард, 5 — венозный отдел, 6 — общие кардинальные вены; В — 3-камерное сердце: 1 — желудочек, 2 — правое предсердие, 3 — шестая артериаль</w:t>
                    <w:softHyphen/>
                    <w:t>ная дуга, 4 — восходящая часть аорты, 5 — артериальный конус, 6 — левое предсердие, 7 — перикард.</w:t>
                  </w:r>
                </w:p>
              </w:txbxContent>
            </v:textbox>
            <w10:wrap anchorx="margin"/>
          </v:shape>
        </w:pict>
      </w:r>
      <w:r>
        <w:pict>
          <v:shape id="_x0000_s1040" type="#_x0000_t75" style="position:absolute;margin-left:22.6pt;margin-top:0;width:468.5pt;height:239.05pt;z-index:-251658750;mso-wrap-distance-left:5.pt;mso-wrap-distance-right:5.pt;mso-position-horizontal-relative:margin" wrapcoords="0 0">
            <v:imagedata r:id="rId23" r:href="rId24"/>
            <w10:wrap anchorx="margin"/>
          </v:shape>
        </w:pict>
      </w:r>
      <w:r>
        <w:pict>
          <v:shape id="_x0000_s1041" type="#_x0000_t75" style="position:absolute;margin-left:148.1pt;margin-top:401.3pt;width:209.75pt;height:14.9pt;z-index:-251658749;mso-wrap-distance-left:5.pt;mso-wrap-distance-right:5.pt;mso-position-horizontal-relative:margin" wrapcoords="0 0">
            <v:imagedata r:id="rId25" r:href="rId26"/>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90" w:lineRule="exact"/>
      </w:pPr>
    </w:p>
    <w:p>
      <w:pPr>
        <w:widowControl w:val="0"/>
        <w:rPr>
          <w:sz w:val="2"/>
          <w:szCs w:val="2"/>
        </w:rPr>
        <w:sectPr>
          <w:type w:val="continuous"/>
          <w:pgSz w:w="11900" w:h="16840"/>
          <w:pgMar w:top="1477" w:left="893" w:right="1119" w:bottom="191" w:header="0" w:footer="3" w:gutter="0"/>
          <w:rtlGutter w:val="0"/>
          <w:cols w:space="720"/>
          <w:noEndnote/>
          <w:docGrid w:linePitch="360"/>
        </w:sectPr>
      </w:pPr>
    </w:p>
    <w:tbl>
      <w:tblPr>
        <w:tblOverlap w:val="never"/>
        <w:tblLayout w:type="fixed"/>
        <w:jc w:val="left"/>
      </w:tblPr>
      <w:tblGrid>
        <w:gridCol w:w="1334"/>
        <w:gridCol w:w="845"/>
        <w:gridCol w:w="7704"/>
      </w:tblGrid>
      <w:tr>
        <w:trPr>
          <w:trHeight w:val="485"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92" w:lineRule="exact"/>
              <w:ind w:left="0" w:right="0" w:firstLine="0"/>
            </w:pPr>
            <w:r>
              <w:rPr>
                <w:rStyle w:val="CharStyle38"/>
              </w:rPr>
              <w:t xml:space="preserve">Номер горизонта по </w:t>
            </w:r>
            <w:r>
              <w:rPr>
                <w:rStyle w:val="CharStyle38"/>
                <w:lang w:val="en-US" w:eastAsia="en-US" w:bidi="en-US"/>
              </w:rPr>
              <w:t>Streeter</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День</w:t>
            </w:r>
          </w:p>
        </w:tc>
        <w:tc>
          <w:tcPr>
            <w:shd w:val="clear" w:color="auto" w:fill="FFFFFF"/>
            <w:tcBorders>
              <w:left w:val="single" w:sz="4"/>
              <w:righ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Этап морфогенеза</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Х</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20-22</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Первое слияние эпимиокардиальных слоев билатеральных зачатков сердца</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Х</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20-22</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Завершение слияния зачатка сердечной луковицы и зачатка желудочков</w:t>
            </w:r>
          </w:p>
        </w:tc>
      </w:tr>
      <w:tr>
        <w:trPr>
          <w:trHeight w:val="254" w:hRule="exact"/>
        </w:trPr>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w:t>
            </w:r>
          </w:p>
        </w:tc>
        <w:tc>
          <w:tcPr>
            <w:shd w:val="clear" w:color="auto" w:fill="FFFFFF"/>
            <w:tcBorders>
              <w:left w:val="single" w:sz="4"/>
              <w:top w:val="single" w:sz="4"/>
            </w:tcBorders>
            <w:vAlign w:val="top"/>
          </w:tcPr>
          <w:p>
            <w:pPr>
              <w:framePr w:w="9883" w:h="12912" w:hSpace="9783" w:wrap="notBeside" w:vAnchor="text" w:hAnchor="text" w:y="519"/>
              <w:widowControl w:val="0"/>
              <w:rPr>
                <w:sz w:val="10"/>
                <w:szCs w:val="10"/>
              </w:rPr>
            </w:pPr>
          </w:p>
        </w:tc>
        <w:tc>
          <w:tcPr>
            <w:shd w:val="clear" w:color="auto" w:fill="FFFFFF"/>
            <w:tcBorders>
              <w:left w:val="single" w:sz="4"/>
              <w:righ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Первое появление миофибрилл в миокарде</w:t>
            </w:r>
          </w:p>
        </w:tc>
      </w:tr>
      <w:tr>
        <w:trPr>
          <w:trHeight w:val="250"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Х</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20-22</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Первое сокращение миокарда</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22-24</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Начинается ток крови через сердце</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Х</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20-22</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Появление наружных атриовентрикулярной и бульбовентрикулярной выемок (борозд)</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Х</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20-22</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Появление раннего сердечного изгиба</w:t>
            </w:r>
          </w:p>
        </w:tc>
      </w:tr>
      <w:tr>
        <w:trPr>
          <w:trHeight w:val="250"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22-24</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 xml:space="preserve">Достижение </w:t>
            </w:r>
            <w:r>
              <w:rPr>
                <w:rStyle w:val="CharStyle38"/>
                <w:lang w:val="en-US" w:eastAsia="en-US" w:bidi="en-US"/>
              </w:rPr>
              <w:t>S</w:t>
            </w:r>
            <w:r>
              <w:rPr>
                <w:rStyle w:val="CharStyle38"/>
              </w:rPr>
              <w:t>-образного изгиба</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lang w:val="en-US" w:eastAsia="en-US" w:bidi="en-US"/>
              </w:rPr>
              <w:t>XII-XVII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24-36</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Расширение и вентрикуломедиальная ротация зачатка правого желудочка</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XIV</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28-30</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Появление первичной межпредсердной перегородки</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XVI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32-34</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Впервые обнаруживается перфорация (вторичное отверстие) в межпредсердной перегородке</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XVI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32-34</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Впервые определяется вторичная межпредсердная перегородка</w:t>
            </w:r>
          </w:p>
        </w:tc>
      </w:tr>
      <w:tr>
        <w:trPr>
          <w:trHeight w:val="250"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lang w:val="en-US" w:eastAsia="en-US" w:bidi="en-US"/>
              </w:rPr>
              <w:t>XIII-XVI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26-34</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Центровка (выравнивание) полости правого предсердия и зачатка правого желудочка</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XIII</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26-28</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Первое обнаружение вентральной и дорсальной эндокардиальных подушек</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XVI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32-34</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Первичное отверстие закрывается из-за слияния первичной перегородки с эндокардиальной подушкой</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XVI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32-34</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Объединение вентральной и дорзальной эндокардиальных подушек</w:t>
            </w:r>
          </w:p>
        </w:tc>
      </w:tr>
      <w:tr>
        <w:trPr>
          <w:trHeight w:val="250"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XIII</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26-28</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Первое появление клеток в эндокардиальном желе</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24-26</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Первое определение трабекул в области желудочков</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XIV</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28-30</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Первое обнаружение мышечной межжелудочковой перегородки</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XV</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30-32</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Впервые обнаруживается аорто-легочная перегородка</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XVII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34-36</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Полное внутреннее разделение аортальной сумки аорто-легочной перегородкой</w:t>
            </w:r>
          </w:p>
        </w:tc>
      </w:tr>
      <w:tr>
        <w:trPr>
          <w:trHeight w:val="250"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lang w:val="en-US" w:eastAsia="en-US" w:bidi="en-US"/>
              </w:rPr>
              <w:t>XVI-XVII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32-36</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Ротация дистального сегмента луковицы сердца</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XIII</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26-28</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Первое обнаружение перегородки (гребня) луковицы сердца</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XV</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30-32</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Полное дистальное разделение луковицы сердца</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lang w:val="en-US" w:eastAsia="en-US" w:bidi="en-US"/>
              </w:rPr>
              <w:t>XVIII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36-38</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Полное проксимальное разделение луковицы с закрытием межжелудочкового отверстия</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XV</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30-32</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Появление вставочного роста припухлости, образующей полулунные клапаны</w:t>
            </w:r>
          </w:p>
        </w:tc>
      </w:tr>
      <w:tr>
        <w:trPr>
          <w:trHeight w:val="250" w:hRule="exact"/>
        </w:trPr>
        <w:tc>
          <w:tcPr>
            <w:shd w:val="clear" w:color="auto" w:fill="FFFFFF"/>
            <w:gridSpan w:val="2"/>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Длина эмбриона 40 мм</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Полулунные клапаны достигают правильной формы</w:t>
            </w:r>
          </w:p>
        </w:tc>
      </w:tr>
      <w:tr>
        <w:trPr>
          <w:trHeight w:val="254" w:hRule="exact"/>
        </w:trPr>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w:t>
            </w:r>
          </w:p>
        </w:tc>
        <w:tc>
          <w:tcPr>
            <w:shd w:val="clear" w:color="auto" w:fill="FFFFFF"/>
            <w:tcBorders>
              <w:left w:val="single" w:sz="4"/>
              <w:righ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Сформированы атриовентрикулярные клапаны</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Х</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20-22</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Сформированы дуги аорты I</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22-24</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«Сплавление» дорзальной аорты</w:t>
            </w:r>
          </w:p>
        </w:tc>
      </w:tr>
      <w:tr>
        <w:trPr>
          <w:trHeight w:val="250"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XIII</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26-28</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Дуги аорты I исчезают</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24-26</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Сформированы дуги аорты II</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XIV</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28-30</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Дуги аорты II исчезают</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XIII</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26-28</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Сформированы дуги аорты III</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XIII</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26-28</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Сформированы дуги аорты IV</w:t>
            </w:r>
          </w:p>
        </w:tc>
      </w:tr>
      <w:tr>
        <w:trPr>
          <w:trHeight w:val="250"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XVII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34-36</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Дорзальная аорта между дугами III и IV исчезает</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XVIII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28-30</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Дорзальная аорта (справа или слева) сформирована дистально от IV дуги</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XIV</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28-30</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Дуги аорты VI сформированы</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XVII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34-36</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Дорзальная порция одной (левой или правой) дуги аорты VI исчезает</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XIII</w:t>
            </w:r>
          </w:p>
        </w:tc>
        <w:tc>
          <w:tcPr>
            <w:shd w:val="clear" w:color="auto" w:fill="FFFFFF"/>
            <w:tcBorders>
              <w:lef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26-28</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Зачаток главной легочной вены «выступает» из предсердия</w:t>
            </w:r>
          </w:p>
        </w:tc>
      </w:tr>
      <w:tr>
        <w:trPr>
          <w:trHeight w:val="250"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XIV</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28-30</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Главная легочная вена соединяется с венозным сплетением легких</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w:t>
            </w:r>
          </w:p>
        </w:tc>
        <w:tc>
          <w:tcPr>
            <w:shd w:val="clear" w:color="auto" w:fill="FFFFFF"/>
            <w:tcBorders>
              <w:left w:val="single" w:sz="4"/>
              <w:right w:val="single" w:sz="4"/>
              <w:top w:val="single" w:sz="4"/>
            </w:tcBorders>
            <w:vAlign w:val="center"/>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Определяется зачаток коронарных вен в коронарном синусе</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XVIII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36-38</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Определяется зачаток коронарных артерий</w:t>
            </w:r>
          </w:p>
        </w:tc>
      </w:tr>
      <w:tr>
        <w:trPr>
          <w:trHeight w:val="254" w:hRule="exact"/>
        </w:trPr>
        <w:tc>
          <w:tcPr>
            <w:shd w:val="clear" w:color="auto" w:fill="FFFFFF"/>
            <w:gridSpan w:val="2"/>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Длина эмбриона 60 мм</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Левая передняя кардинальная вена облитерируется</w:t>
            </w:r>
          </w:p>
        </w:tc>
      </w:tr>
      <w:tr>
        <w:trPr>
          <w:trHeight w:val="250"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XX</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40-42</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Определяется мезентериальная часть нижней полой вены</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XVI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32-34</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Впервые гистологически определяется проводящая система</w:t>
            </w:r>
          </w:p>
        </w:tc>
      </w:tr>
      <w:tr>
        <w:trPr>
          <w:trHeight w:val="254" w:hRule="exact"/>
        </w:trPr>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XXIII</w:t>
            </w:r>
          </w:p>
        </w:tc>
        <w:tc>
          <w:tcPr>
            <w:shd w:val="clear" w:color="auto" w:fill="FFFFFF"/>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46-48</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Проводящая система сформирована в полном объеме</w:t>
            </w:r>
          </w:p>
        </w:tc>
      </w:tr>
      <w:tr>
        <w:trPr>
          <w:trHeight w:val="254" w:hRule="exact"/>
        </w:trPr>
        <w:tc>
          <w:tcPr>
            <w:shd w:val="clear" w:color="auto" w:fill="FFFFFF"/>
            <w:gridSpan w:val="2"/>
            <w:tcBorders>
              <w:lef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Длина эмбриона 60-100 мм</w:t>
            </w:r>
          </w:p>
        </w:tc>
        <w:tc>
          <w:tcPr>
            <w:shd w:val="clear" w:color="auto" w:fill="FFFFFF"/>
            <w:tcBorders>
              <w:left w:val="single" w:sz="4"/>
              <w:right w:val="single" w:sz="4"/>
              <w:top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Идентифицируется система волокон Пуркинье</w:t>
            </w:r>
          </w:p>
        </w:tc>
      </w:tr>
      <w:tr>
        <w:trPr>
          <w:trHeight w:val="264" w:hRule="exact"/>
        </w:trPr>
        <w:tc>
          <w:tcPr>
            <w:shd w:val="clear" w:color="auto" w:fill="FFFFFF"/>
            <w:tcBorders>
              <w:left w:val="single" w:sz="4"/>
              <w:top w:val="single" w:sz="4"/>
              <w:bottom w:val="single" w:sz="4"/>
            </w:tcBorders>
            <w:vAlign w:val="top"/>
          </w:tcPr>
          <w:p>
            <w:pPr>
              <w:pStyle w:val="Style30"/>
              <w:framePr w:w="9883" w:h="12912" w:hSpace="9783" w:wrap="notBeside" w:vAnchor="text" w:hAnchor="text" w:y="519"/>
              <w:widowControl w:val="0"/>
              <w:keepNext w:val="0"/>
              <w:keepLines w:val="0"/>
              <w:shd w:val="clear" w:color="auto" w:fill="auto"/>
              <w:bidi w:val="0"/>
              <w:jc w:val="center"/>
              <w:spacing w:before="0" w:after="0" w:line="160" w:lineRule="exact"/>
              <w:ind w:left="0" w:right="0" w:firstLine="0"/>
            </w:pPr>
            <w:r>
              <w:rPr>
                <w:rStyle w:val="CharStyle38"/>
              </w:rPr>
              <w:t>XIV</w:t>
            </w:r>
          </w:p>
        </w:tc>
        <w:tc>
          <w:tcPr>
            <w:shd w:val="clear" w:color="auto" w:fill="FFFFFF"/>
            <w:tcBorders>
              <w:left w:val="single" w:sz="4"/>
              <w:top w:val="single" w:sz="4"/>
              <w:bottom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240" w:right="0" w:firstLine="0"/>
            </w:pPr>
            <w:r>
              <w:rPr>
                <w:rStyle w:val="CharStyle38"/>
              </w:rPr>
              <w:t>28-30</w:t>
            </w:r>
          </w:p>
        </w:tc>
        <w:tc>
          <w:tcPr>
            <w:shd w:val="clear" w:color="auto" w:fill="FFFFFF"/>
            <w:tcBorders>
              <w:left w:val="single" w:sz="4"/>
              <w:right w:val="single" w:sz="4"/>
              <w:top w:val="single" w:sz="4"/>
              <w:bottom w:val="single" w:sz="4"/>
            </w:tcBorders>
            <w:vAlign w:val="top"/>
          </w:tcPr>
          <w:p>
            <w:pPr>
              <w:pStyle w:val="Style30"/>
              <w:framePr w:w="9883" w:h="12912" w:hSpace="9783" w:wrap="notBeside" w:vAnchor="text" w:hAnchor="text" w:y="519"/>
              <w:widowControl w:val="0"/>
              <w:keepNext w:val="0"/>
              <w:keepLines w:val="0"/>
              <w:shd w:val="clear" w:color="auto" w:fill="auto"/>
              <w:bidi w:val="0"/>
              <w:jc w:val="left"/>
              <w:spacing w:before="0" w:after="0" w:line="160" w:lineRule="exact"/>
              <w:ind w:left="0" w:right="0" w:firstLine="0"/>
            </w:pPr>
            <w:r>
              <w:rPr>
                <w:rStyle w:val="CharStyle38"/>
              </w:rPr>
              <w:t>Впервые в сердце и крупных сосудах гистологически определяется нервная ткань</w:t>
            </w:r>
          </w:p>
        </w:tc>
      </w:tr>
    </w:tbl>
    <w:p>
      <w:pPr>
        <w:pStyle w:val="Style39"/>
        <w:framePr w:w="1618" w:h="202" w:hSpace="1795" w:wrap="notBeside" w:vAnchor="text" w:hAnchor="text" w:x="8267" w:y="1"/>
        <w:widowControl w:val="0"/>
        <w:keepNext w:val="0"/>
        <w:keepLines w:val="0"/>
        <w:shd w:val="clear" w:color="auto" w:fill="auto"/>
        <w:bidi w:val="0"/>
        <w:spacing w:before="0" w:after="0" w:line="170" w:lineRule="exact"/>
        <w:ind w:left="0" w:right="0" w:firstLine="0"/>
      </w:pPr>
      <w:r>
        <w:rPr>
          <w:lang w:val="ru-RU" w:eastAsia="ru-RU" w:bidi="ru-RU"/>
          <w:w w:val="100"/>
          <w:spacing w:val="0"/>
          <w:color w:val="000000"/>
          <w:position w:val="0"/>
        </w:rPr>
        <w:t>Таблица 1</w:t>
      </w:r>
    </w:p>
    <w:p>
      <w:pPr>
        <w:pStyle w:val="Style41"/>
        <w:framePr w:w="2146" w:h="237" w:wrap="notBeside" w:vAnchor="text" w:hAnchor="text" w:x="3865" w:y="183"/>
        <w:widowControl w:val="0"/>
        <w:keepNext w:val="0"/>
        <w:keepLines w:val="0"/>
        <w:shd w:val="clear" w:color="auto" w:fill="auto"/>
        <w:bidi w:val="0"/>
        <w:jc w:val="left"/>
        <w:spacing w:before="0" w:after="0" w:line="180" w:lineRule="exact"/>
        <w:ind w:left="0" w:right="0" w:firstLine="0"/>
      </w:pPr>
      <w:r>
        <w:rPr>
          <w:lang w:val="ru-RU" w:eastAsia="ru-RU" w:bidi="ru-RU"/>
          <w:w w:val="100"/>
          <w:color w:val="000000"/>
          <w:position w:val="0"/>
        </w:rPr>
        <w:t>Этапы морфогенеза сердца</w:t>
      </w:r>
    </w:p>
    <w:p>
      <w:pPr>
        <w:widowControl w:val="0"/>
        <w:spacing w:line="1200" w:lineRule="exact"/>
        <w:rPr>
          <w:sz w:val="24"/>
          <w:szCs w:val="24"/>
        </w:rPr>
      </w:pPr>
    </w:p>
    <w:p>
      <w:pPr>
        <w:framePr w:h="293" w:wrap="notBeside" w:vAnchor="text" w:hAnchor="text" w:xAlign="center" w:y="1"/>
        <w:widowControl w:val="0"/>
        <w:jc w:val="center"/>
        <w:rPr>
          <w:sz w:val="2"/>
          <w:szCs w:val="2"/>
        </w:rPr>
      </w:pPr>
      <w:r>
        <w:pict>
          <v:shape id="_x0000_s1042" type="#_x0000_t75" style="width:210pt;height:15pt;">
            <v:imagedata r:id="rId27" r:href="rId28"/>
          </v:shape>
        </w:pict>
      </w:r>
    </w:p>
    <w:p>
      <w:pPr>
        <w:widowControl w:val="0"/>
        <w:rPr>
          <w:sz w:val="2"/>
          <w:szCs w:val="2"/>
        </w:rPr>
      </w:pPr>
    </w:p>
    <w:p>
      <w:pPr>
        <w:widowControl w:val="0"/>
        <w:rPr>
          <w:sz w:val="2"/>
          <w:szCs w:val="2"/>
        </w:rPr>
        <w:sectPr>
          <w:pgSz w:w="11900" w:h="16840"/>
          <w:pgMar w:top="2091" w:left="1128" w:right="888" w:bottom="161" w:header="0" w:footer="3" w:gutter="0"/>
          <w:rtlGutter w:val="0"/>
          <w:cols w:space="720"/>
          <w:noEndnote/>
          <w:docGrid w:linePitch="360"/>
        </w:sectPr>
      </w:pPr>
    </w:p>
    <w:p>
      <w:pPr>
        <w:widowControl w:val="0"/>
        <w:rPr>
          <w:sz w:val="2"/>
          <w:szCs w:val="2"/>
        </w:rPr>
      </w:pPr>
      <w:r>
        <w:pict>
          <v:shape id="_x0000_s1043" type="#_x0000_t75" style="position:absolute;margin-left:252.7pt;margin-top:354.pt;width:246.25pt;height:322.1pt;z-index:-125829376;mso-wrap-distance-left:5.pt;mso-wrap-distance-right:5.pt;mso-position-horizontal-relative:margin" wrapcoords="0 0 21600 0 21600 21600 0 21600 0 0">
            <v:imagedata r:id="rId29" r:href="rId30"/>
            <w10:wrap type="square" side="left" anchorx="margin"/>
          </v:shape>
        </w:pict>
      </w:r>
    </w:p>
    <w:p>
      <w:pPr>
        <w:pStyle w:val="Style30"/>
        <w:widowControl w:val="0"/>
        <w:keepNext w:val="0"/>
        <w:keepLines w:val="0"/>
        <w:shd w:val="clear" w:color="auto" w:fill="auto"/>
        <w:bidi w:val="0"/>
        <w:spacing w:before="0" w:after="0" w:line="221" w:lineRule="exact"/>
        <w:ind w:left="0" w:right="0" w:firstLine="280"/>
      </w:pPr>
      <w:r>
        <w:rPr>
          <w:rStyle w:val="CharStyle44"/>
        </w:rPr>
        <w:t xml:space="preserve">Макроскопически </w:t>
      </w:r>
      <w:r>
        <w:rPr>
          <w:lang w:val="ru-RU" w:eastAsia="ru-RU" w:bidi="ru-RU"/>
          <w:w w:val="100"/>
          <w:spacing w:val="0"/>
          <w:color w:val="000000"/>
          <w:position w:val="0"/>
        </w:rPr>
        <w:t>в сердце плода относительно толстые стенки миокарда и маленькая полость, большие относи</w:t>
        <w:softHyphen/>
        <w:t>тельные размеры предсердий по сравнению с другими воз</w:t>
        <w:softHyphen/>
        <w:t>растными периодами жизни. Это отражается на процессе наполнения сердца в диастолу и на особенностях систоли</w:t>
        <w:softHyphen/>
        <w:t>ческой функции — большой зависимости сердечного вы</w:t>
        <w:softHyphen/>
        <w:t>броса плода от частоты ритма, ограничением способности увеличивать сердечный выброс в условиях перегрузки или аритмии. Высокое легочное сосудистое сопротивление и низкое системное сосудистое сопротивление, а также значительный перевес минутного объема крови правого желудочка над левым (около 60% общего объема кровотока приходится на правый желудочек и только 30% — на левый) проявляется в преобладании массы миокарда правого же</w:t>
        <w:softHyphen/>
        <w:t>лудочка над левым.</w:t>
      </w:r>
    </w:p>
    <w:p>
      <w:pPr>
        <w:pStyle w:val="Style30"/>
        <w:widowControl w:val="0"/>
        <w:keepNext w:val="0"/>
        <w:keepLines w:val="0"/>
        <w:shd w:val="clear" w:color="auto" w:fill="auto"/>
        <w:bidi w:val="0"/>
        <w:spacing w:before="0" w:after="0" w:line="221" w:lineRule="exact"/>
        <w:ind w:left="0" w:right="0" w:firstLine="280"/>
      </w:pPr>
      <w:r>
        <w:rPr>
          <w:rStyle w:val="CharStyle44"/>
        </w:rPr>
        <w:t xml:space="preserve">Гистологически </w:t>
      </w:r>
      <w:r>
        <w:rPr>
          <w:lang w:val="ru-RU" w:eastAsia="ru-RU" w:bidi="ru-RU"/>
          <w:w w:val="100"/>
          <w:spacing w:val="0"/>
          <w:color w:val="000000"/>
          <w:position w:val="0"/>
        </w:rPr>
        <w:t>фетальный миокард содержит меньше сократительных миофибрилл, чем эластических элементов, и эти миокардиальные структуры имеют в основном хао</w:t>
        <w:softHyphen/>
        <w:t>тичное расположение, что не наблюдается в более старшем возрасте. Миокард плода характеризуется незрелостью межклеточных связей, что отражается на уменьшении ско</w:t>
        <w:softHyphen/>
        <w:t>рости распространения возбуждения и сокращения мио</w:t>
        <w:softHyphen/>
        <w:t>карда.</w:t>
      </w:r>
    </w:p>
    <w:p>
      <w:pPr>
        <w:pStyle w:val="Style30"/>
        <w:widowControl w:val="0"/>
        <w:keepNext w:val="0"/>
        <w:keepLines w:val="0"/>
        <w:shd w:val="clear" w:color="auto" w:fill="auto"/>
        <w:bidi w:val="0"/>
        <w:spacing w:before="0" w:after="4343" w:line="221" w:lineRule="exact"/>
        <w:ind w:left="0" w:right="0" w:firstLine="280"/>
      </w:pPr>
      <w:r>
        <w:rPr>
          <w:lang w:val="ru-RU" w:eastAsia="ru-RU" w:bidi="ru-RU"/>
          <w:w w:val="100"/>
          <w:spacing w:val="0"/>
          <w:color w:val="000000"/>
          <w:position w:val="0"/>
        </w:rPr>
        <w:t>Сердце плода в качестве основного источника энергии утилизирует глюкозу; использование миокардом жирных кислот практически отсутствует. Повышение функцио</w:t>
        <w:softHyphen/>
        <w:t>нальных возможностей миоцитов тесно связано со скорос</w:t>
        <w:softHyphen/>
        <w:t>тью созревания ферментных систем. Повышение активно</w:t>
        <w:softHyphen/>
        <w:t>сти митохондриального фермента цитохром — С оксидазы в сердце плода наблюдается с увеличением его гестацион</w:t>
        <w:softHyphen/>
        <w:t>ного возраста.</w:t>
      </w:r>
    </w:p>
    <w:p>
      <w:pPr>
        <w:pStyle w:val="Style45"/>
        <w:widowControl w:val="0"/>
        <w:keepNext w:val="0"/>
        <w:keepLines w:val="0"/>
        <w:shd w:val="clear" w:color="auto" w:fill="auto"/>
        <w:bidi w:val="0"/>
        <w:spacing w:before="0" w:after="0"/>
        <w:ind w:left="0" w:right="0" w:firstLine="0"/>
      </w:pPr>
      <w:r>
        <w:rPr>
          <w:rStyle w:val="CharStyle47"/>
        </w:rPr>
        <w:t xml:space="preserve">Рис. 2. </w:t>
      </w:r>
      <w:r>
        <w:rPr>
          <w:lang w:val="ru-RU" w:eastAsia="ru-RU" w:bidi="ru-RU"/>
          <w:w w:val="100"/>
          <w:spacing w:val="0"/>
          <w:color w:val="000000"/>
          <w:position w:val="0"/>
        </w:rPr>
        <w:t xml:space="preserve">Схема кровообращения плода. Верхний конец полой вены сообщается непосредственно с левым предсердием через овальное отверстие (см. вставку) и с правым предсердием (по </w:t>
      </w:r>
      <w:r>
        <w:rPr>
          <w:lang w:val="en-US" w:eastAsia="en-US" w:bidi="en-US"/>
          <w:w w:val="100"/>
          <w:spacing w:val="0"/>
          <w:color w:val="000000"/>
          <w:position w:val="0"/>
        </w:rPr>
        <w:t xml:space="preserve">Dawes J.S.). </w:t>
      </w:r>
      <w:r>
        <w:rPr>
          <w:lang w:val="ru-RU" w:eastAsia="ru-RU" w:bidi="ru-RU"/>
          <w:w w:val="100"/>
          <w:spacing w:val="0"/>
          <w:color w:val="000000"/>
          <w:position w:val="0"/>
        </w:rPr>
        <w:t>ПП и ПЖ — правые предсердие и желудочек; ЛП и ЛЖ — левые предсердие и желудочек; ВПВ — верхняя полая вена; НПВ — ниж</w:t>
        <w:softHyphen/>
        <w:t>няя полая вена; АП — артериальный проток; ВП — венозный про</w:t>
        <w:softHyphen/>
        <w:t>ток; ОО — овальное отверстие.</w:t>
      </w:r>
    </w:p>
    <w:p>
      <w:pPr>
        <w:pStyle w:val="Style48"/>
        <w:widowControl w:val="0"/>
        <w:keepNext/>
        <w:keepLines/>
        <w:shd w:val="clear" w:color="auto" w:fill="auto"/>
        <w:bidi w:val="0"/>
        <w:jc w:val="left"/>
        <w:spacing w:before="0" w:after="41" w:line="200" w:lineRule="exact"/>
        <w:ind w:left="0" w:right="0" w:firstLine="0"/>
      </w:pPr>
      <w:r>
        <w:br w:type="column"/>
      </w:r>
      <w:bookmarkStart w:id="3" w:name="bookmark3"/>
      <w:r>
        <w:rPr>
          <w:lang w:val="ru-RU" w:eastAsia="ru-RU" w:bidi="ru-RU"/>
          <w:w w:val="100"/>
          <w:spacing w:val="0"/>
          <w:color w:val="000000"/>
          <w:position w:val="0"/>
        </w:rPr>
        <w:t>Кровообращение плода</w:t>
      </w:r>
      <w:bookmarkEnd w:id="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Кровообращение в единой функциональной системе мать — плацента — плод является ведущим фактором, обес</w:t>
        <w:softHyphen/>
        <w:t>печивающим нормальное течение беременности, рост и развитие плода.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 конца второго месяца жизни у плода функционирует собственное кровообращение (рис. </w:t>
      </w:r>
      <w:r>
        <w:rPr>
          <w:rStyle w:val="CharStyle32"/>
        </w:rPr>
        <w:t>2</w:t>
      </w:r>
      <w:r>
        <w:rPr>
          <w:lang w:val="ru-RU" w:eastAsia="ru-RU" w:bidi="ru-RU"/>
          <w:w w:val="100"/>
          <w:spacing w:val="0"/>
          <w:color w:val="000000"/>
          <w:position w:val="0"/>
        </w:rPr>
        <w: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Поток оксигенированной крови из плаценты, через пу</w:t>
        <w:softHyphen/>
        <w:t>почную вену на поверхности печени распределяется в двух направлениях: один поступает в воротную вену, принося с собой 50% всей крови, другой — продолжая пупочную ве</w:t>
        <w:softHyphen/>
        <w:t>ну в виде аранциева протока, впадает в нижнюю полую ве</w:t>
        <w:softHyphen/>
        <w:t>ну, где плацентарная кровь смешивается с венозной кровью, поступающей от органов таза, печени, кишечника и нижних конечностей. Кровь, поступающая по полым венам в правое предсердие, разделяется на два русла. Основная масса крови (60%) из нижней полой вены, благодаря наличию клапано</w:t>
        <w:softHyphen/>
        <w:t>образной складки в правом предсердии (евстахиевой за</w:t>
        <w:softHyphen/>
        <w:t>слонки), поступает через овальное окно в левое предсердие, левый желудочек и аорту. Оставшаяся кровь из нижней по</w:t>
        <w:softHyphen/>
        <w:t>лой вены и кровь из верхней полой вены поступает через правое предсердие в правый желудочек и дальше в легочный ствол. Эта кровь через легочную артерию направляется в не</w:t>
        <w:softHyphen/>
        <w:t>функционирующие легкие и артериальный (боталлов) про</w:t>
        <w:softHyphen/>
        <w:t>ток, поступая в нисходящую часть аорты ниже места отхож</w:t>
        <w:softHyphen/>
        <w:t>дения сосудов, доставляющих кровь к мозгу.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Таким образом, для фетального кровообращения харак</w:t>
        <w:softHyphen/>
        <w:t>терно:</w:t>
      </w:r>
    </w:p>
    <w:p>
      <w:pPr>
        <w:pStyle w:val="Style30"/>
        <w:widowControl w:val="0"/>
        <w:keepNext w:val="0"/>
        <w:keepLines w:val="0"/>
        <w:shd w:val="clear" w:color="auto" w:fill="auto"/>
        <w:bidi w:val="0"/>
        <w:spacing w:before="0" w:after="0"/>
        <w:ind w:left="520" w:right="0" w:hanging="240"/>
        <w:sectPr>
          <w:pgSz w:w="11900" w:h="16840"/>
          <w:pgMar w:top="1579" w:left="893" w:right="1114" w:bottom="192" w:header="0" w:footer="3" w:gutter="0"/>
          <w:rtlGutter w:val="0"/>
          <w:cols w:num="2" w:space="168"/>
          <w:noEndnote/>
          <w:docGrid w:linePitch="360"/>
        </w:sectPr>
      </w:pPr>
      <w:r>
        <w:rPr>
          <w:lang w:val="ru-RU" w:eastAsia="ru-RU" w:bidi="ru-RU"/>
          <w:w w:val="100"/>
          <w:spacing w:val="0"/>
          <w:color w:val="000000"/>
          <w:position w:val="0"/>
        </w:rPr>
        <w:t>- оба желудочка сокращаются и нагнетают кровь в ма</w:t>
        <w:softHyphen/>
        <w:t>гистральные сосуды в большей степени параллельно и одновременно;</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3" w:after="3" w:line="240" w:lineRule="exact"/>
        <w:rPr>
          <w:sz w:val="19"/>
          <w:szCs w:val="19"/>
        </w:rPr>
      </w:pPr>
    </w:p>
    <w:p>
      <w:pPr>
        <w:widowControl w:val="0"/>
        <w:rPr>
          <w:sz w:val="2"/>
          <w:szCs w:val="2"/>
        </w:rPr>
        <w:sectPr>
          <w:type w:val="continuous"/>
          <w:pgSz w:w="11900" w:h="16840"/>
          <w:pgMar w:top="1477" w:left="0" w:right="0" w:bottom="191" w:header="0" w:footer="3" w:gutter="0"/>
          <w:rtlGutter w:val="0"/>
          <w:cols w:space="720"/>
          <w:noEndnote/>
          <w:docGrid w:linePitch="360"/>
        </w:sectPr>
      </w:pPr>
    </w:p>
    <w:p>
      <w:pPr>
        <w:widowControl w:val="0"/>
        <w:spacing w:line="645" w:lineRule="exact"/>
      </w:pPr>
      <w:r>
        <w:pict>
          <v:shape id="_x0000_s1044" type="#_x0000_t75" style="position:absolute;margin-left:148.1pt;margin-top:0;width:209.75pt;height:14.9pt;z-index:-251658748;mso-wrap-distance-left:5.pt;mso-wrap-distance-right:5.pt;mso-position-horizontal-relative:margin" wrapcoords="0 0">
            <v:imagedata r:id="rId31" r:href="rId32"/>
            <w10:wrap anchorx="margin"/>
          </v:shape>
        </w:pict>
      </w:r>
    </w:p>
    <w:p>
      <w:pPr>
        <w:widowControl w:val="0"/>
        <w:rPr>
          <w:sz w:val="2"/>
          <w:szCs w:val="2"/>
        </w:rPr>
        <w:sectPr>
          <w:type w:val="continuous"/>
          <w:pgSz w:w="11900" w:h="16840"/>
          <w:pgMar w:top="1477" w:left="893" w:right="1027" w:bottom="191" w:header="0" w:footer="3" w:gutter="0"/>
          <w:rtlGutter w:val="0"/>
          <w:cols w:space="720"/>
          <w:noEndnote/>
          <w:docGrid w:linePitch="360"/>
        </w:sectPr>
      </w:pPr>
    </w:p>
    <w:p>
      <w:pPr>
        <w:pStyle w:val="Style50"/>
        <w:widowControl w:val="0"/>
        <w:keepNext/>
        <w:keepLines/>
        <w:shd w:val="clear" w:color="auto" w:fill="auto"/>
        <w:bidi w:val="0"/>
        <w:spacing w:before="0" w:after="0"/>
        <w:ind w:left="0" w:right="0" w:firstLine="0"/>
      </w:pPr>
      <w:bookmarkStart w:id="4" w:name="bookmark4"/>
      <w:r>
        <w:rPr>
          <w:lang w:val="ru-RU" w:eastAsia="ru-RU" w:bidi="ru-RU"/>
          <w:w w:val="100"/>
          <w:color w:val="000000"/>
          <w:position w:val="0"/>
        </w:rPr>
        <w:t>Морфометрические показатели сердца плода в зависимости от срока беременности</w:t>
        <w:br/>
        <w:t>(по данным эхокардиографии) (Стрижаков А.Н. с соавт., 1991)</w:t>
      </w:r>
      <w:bookmarkEnd w:id="4"/>
    </w:p>
    <w:p>
      <w:pPr>
        <w:pStyle w:val="Style39"/>
        <w:framePr w:w="9869" w:wrap="notBeside" w:vAnchor="text" w:hAnchor="text" w:xAlign="center" w:y="1"/>
        <w:widowControl w:val="0"/>
        <w:keepNext w:val="0"/>
        <w:keepLines w:val="0"/>
        <w:shd w:val="clear" w:color="auto" w:fill="auto"/>
        <w:bidi w:val="0"/>
        <w:spacing w:before="0" w:after="0" w:line="170" w:lineRule="exact"/>
        <w:ind w:left="0" w:right="0" w:firstLine="0"/>
      </w:pPr>
      <w:r>
        <w:rPr>
          <w:lang w:val="ru-RU" w:eastAsia="ru-RU" w:bidi="ru-RU"/>
          <w:w w:val="100"/>
          <w:spacing w:val="0"/>
          <w:color w:val="000000"/>
          <w:position w:val="0"/>
        </w:rPr>
        <w:t>Таблица 2</w:t>
      </w:r>
    </w:p>
    <w:tbl>
      <w:tblPr>
        <w:tblOverlap w:val="never"/>
        <w:tblLayout w:type="fixed"/>
        <w:jc w:val="center"/>
      </w:tblPr>
      <w:tblGrid>
        <w:gridCol w:w="1646"/>
        <w:gridCol w:w="1646"/>
        <w:gridCol w:w="1642"/>
        <w:gridCol w:w="1642"/>
        <w:gridCol w:w="1642"/>
        <w:gridCol w:w="1651"/>
      </w:tblGrid>
      <w:tr>
        <w:trPr>
          <w:trHeight w:val="240" w:hRule="exact"/>
        </w:trPr>
        <w:tc>
          <w:tcPr>
            <w:shd w:val="clear" w:color="auto" w:fill="FFFFFF"/>
            <w:vMerge w:val="restart"/>
            <w:tcBorders>
              <w:left w:val="single" w:sz="4"/>
              <w:top w:val="single" w:sz="4"/>
            </w:tcBorders>
            <w:vAlign w:val="center"/>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Показатель</w:t>
            </w:r>
          </w:p>
        </w:tc>
        <w:tc>
          <w:tcPr>
            <w:shd w:val="clear" w:color="auto" w:fill="FFFFFF"/>
            <w:gridSpan w:val="5"/>
            <w:tcBorders>
              <w:left w:val="single" w:sz="4"/>
              <w:righ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Срок беременности, недели</w:t>
            </w:r>
          </w:p>
        </w:tc>
      </w:tr>
      <w:tr>
        <w:trPr>
          <w:trHeight w:val="240" w:hRule="exact"/>
        </w:trPr>
        <w:tc>
          <w:tcPr>
            <w:shd w:val="clear" w:color="auto" w:fill="FFFFFF"/>
            <w:vMerge/>
            <w:tcBorders>
              <w:left w:val="single" w:sz="4"/>
            </w:tcBorders>
            <w:vAlign w:val="center"/>
          </w:tcPr>
          <w:p>
            <w:pPr>
              <w:framePr w:w="9869" w:wrap="notBeside" w:vAnchor="text" w:hAnchor="text" w:xAlign="center" w:y="1"/>
            </w:pP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20-23</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24-27</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28-32</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33-37</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38-41</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КСР п/ж,см</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0,55+0,01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0,77+0,01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0,98+0,01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1,21+0,02</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1,36</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КСР л/ж, см</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0,35+0,01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0,51+0,01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0,65+0,01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0,83+0,01</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0,96+0,01</w:t>
            </w:r>
          </w:p>
        </w:tc>
      </w:tr>
      <w:tr>
        <w:trPr>
          <w:trHeight w:val="240"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КДР п/ж, см</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0,59+0,02</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0,84+0,02</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1,17+0,02</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1,41+0,02</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1,47+0,01</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КДР л/ж, см</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0,37+0,01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0,57+0,01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0,80+0,02</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0,98+0,01</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1,05+0,01</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Т л/ж, см</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0,19+0,01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0,21+0,01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0,22+0,01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0,32+0,01</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0,40+0,01</w:t>
            </w:r>
          </w:p>
        </w:tc>
      </w:tr>
      <w:tr>
        <w:trPr>
          <w:trHeight w:val="240"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Т п/ж, см</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0,19+0,01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0,21+0,01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0,24+0,01</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0,35+0,01</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0,44+0,01</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ММ л/ж, г</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0,65+0,03</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1,40+0,06</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2,16+0,10</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5,03+0,29</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8,41+0,31</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ММ п/ж, г</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0,74+0,04</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1,62+0,07</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3,26+0,15</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7,42+0,38</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10,5+0,29</w:t>
            </w:r>
          </w:p>
        </w:tc>
      </w:tr>
      <w:tr>
        <w:trPr>
          <w:trHeight w:val="250" w:hRule="exact"/>
        </w:trPr>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Дао мм</w:t>
            </w:r>
          </w:p>
        </w:tc>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3,82+0,07</w:t>
            </w:r>
          </w:p>
        </w:tc>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4,53+0,06</w:t>
            </w:r>
          </w:p>
        </w:tc>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5,14+0,7</w:t>
            </w:r>
          </w:p>
        </w:tc>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5,86+0,12</w:t>
            </w:r>
          </w:p>
        </w:tc>
        <w:tc>
          <w:tcPr>
            <w:shd w:val="clear" w:color="auto" w:fill="FFFFFF"/>
            <w:tcBorders>
              <w:left w:val="single" w:sz="4"/>
              <w:righ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38"/>
              </w:rPr>
              <w:t>6,74+0,07</w:t>
            </w:r>
          </w:p>
        </w:tc>
      </w:tr>
    </w:tbl>
    <w:p>
      <w:pPr>
        <w:framePr w:w="9869" w:wrap="notBeside" w:vAnchor="text" w:hAnchor="text" w:xAlign="center" w:y="1"/>
        <w:widowControl w:val="0"/>
        <w:rPr>
          <w:sz w:val="2"/>
          <w:szCs w:val="2"/>
        </w:rPr>
      </w:pPr>
    </w:p>
    <w:p>
      <w:pPr>
        <w:widowControl w:val="0"/>
        <w:rPr>
          <w:sz w:val="2"/>
          <w:szCs w:val="2"/>
        </w:rPr>
      </w:pPr>
    </w:p>
    <w:p>
      <w:pPr>
        <w:pStyle w:val="Style52"/>
        <w:widowControl w:val="0"/>
        <w:keepNext w:val="0"/>
        <w:keepLines w:val="0"/>
        <w:shd w:val="clear" w:color="auto" w:fill="auto"/>
        <w:bidi w:val="0"/>
        <w:spacing w:before="406" w:after="0" w:line="180" w:lineRule="exact"/>
        <w:ind w:left="0" w:right="0" w:firstLine="0"/>
      </w:pPr>
      <w:r>
        <w:rPr>
          <w:lang w:val="ru-RU" w:eastAsia="ru-RU" w:bidi="ru-RU"/>
          <w:w w:val="100"/>
          <w:color w:val="000000"/>
          <w:position w:val="0"/>
        </w:rPr>
        <w:t>Допплерографические показатели кровотока плода через клапаны (см/с) (Стрижаков А.Н. с соавт., 1991)</w:t>
      </w:r>
    </w:p>
    <w:p>
      <w:pPr>
        <w:pStyle w:val="Style39"/>
        <w:framePr w:w="9869" w:wrap="notBeside" w:vAnchor="text" w:hAnchor="text" w:xAlign="center" w:y="1"/>
        <w:widowControl w:val="0"/>
        <w:keepNext w:val="0"/>
        <w:keepLines w:val="0"/>
        <w:shd w:val="clear" w:color="auto" w:fill="auto"/>
        <w:bidi w:val="0"/>
        <w:spacing w:before="0" w:after="0" w:line="170" w:lineRule="exact"/>
        <w:ind w:left="0" w:right="0" w:firstLine="0"/>
      </w:pPr>
      <w:r>
        <w:rPr>
          <w:lang w:val="ru-RU" w:eastAsia="ru-RU" w:bidi="ru-RU"/>
          <w:w w:val="100"/>
          <w:spacing w:val="0"/>
          <w:color w:val="000000"/>
          <w:position w:val="0"/>
        </w:rPr>
        <w:t>Таблица 3</w:t>
      </w:r>
    </w:p>
    <w:tbl>
      <w:tblPr>
        <w:tblOverlap w:val="never"/>
        <w:tblLayout w:type="fixed"/>
        <w:jc w:val="center"/>
      </w:tblPr>
      <w:tblGrid>
        <w:gridCol w:w="2467"/>
        <w:gridCol w:w="2467"/>
        <w:gridCol w:w="2462"/>
        <w:gridCol w:w="2472"/>
      </w:tblGrid>
      <w:tr>
        <w:trPr>
          <w:trHeight w:val="240"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Клапан</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Срок беременности, недели</w:t>
            </w:r>
          </w:p>
        </w:tc>
        <w:tc>
          <w:tcPr>
            <w:shd w:val="clear" w:color="auto" w:fill="FFFFFF"/>
            <w:tcBorders>
              <w:left w:val="single" w:sz="4"/>
              <w:top w:val="single" w:sz="4"/>
            </w:tcBorders>
            <w:vAlign w:val="top"/>
          </w:tcPr>
          <w:p>
            <w:pPr>
              <w:framePr w:w="9869"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9869" w:wrap="notBeside" w:vAnchor="text" w:hAnchor="text" w:xAlign="center" w:y="1"/>
              <w:widowControl w:val="0"/>
              <w:rPr>
                <w:sz w:val="10"/>
                <w:szCs w:val="10"/>
              </w:rPr>
            </w:pPr>
          </w:p>
        </w:tc>
      </w:tr>
      <w:tr>
        <w:trPr>
          <w:trHeight w:val="235" w:hRule="exact"/>
        </w:trPr>
        <w:tc>
          <w:tcPr>
            <w:shd w:val="clear" w:color="auto" w:fill="FFFFFF"/>
            <w:tcBorders>
              <w:left w:val="single" w:sz="4"/>
              <w:top w:val="single" w:sz="4"/>
            </w:tcBorders>
            <w:vAlign w:val="top"/>
          </w:tcPr>
          <w:p>
            <w:pPr>
              <w:framePr w:w="9869"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28-32</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33-37</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38-41</w:t>
            </w:r>
          </w:p>
        </w:tc>
      </w:tr>
      <w:tr>
        <w:trPr>
          <w:trHeight w:val="240"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Аортальный клапан</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81,42+1,72</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87,64+1,34</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95,0+1,05</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Клапан легочной артерии</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70,0+2,23</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77,69+2,24</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84,58+1,0</w:t>
            </w:r>
          </w:p>
        </w:tc>
      </w:tr>
      <w:tr>
        <w:trPr>
          <w:trHeight w:val="235" w:hRule="exact"/>
        </w:trPr>
        <w:tc>
          <w:tcPr>
            <w:shd w:val="clear" w:color="auto" w:fill="FFFFFF"/>
            <w:tcBorders>
              <w:lef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Митральный клапан</w:t>
            </w:r>
          </w:p>
        </w:tc>
        <w:tc>
          <w:tcPr>
            <w:shd w:val="clear" w:color="auto" w:fill="FFFFFF"/>
            <w:tcBorders>
              <w:lef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44,75+0,65</w:t>
            </w:r>
          </w:p>
        </w:tc>
        <w:tc>
          <w:tcPr>
            <w:shd w:val="clear" w:color="auto" w:fill="FFFFFF"/>
            <w:tcBorders>
              <w:lef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44,57+0,78</w:t>
            </w:r>
          </w:p>
        </w:tc>
        <w:tc>
          <w:tcPr>
            <w:shd w:val="clear" w:color="auto" w:fill="FFFFFF"/>
            <w:tcBorders>
              <w:left w:val="single" w:sz="4"/>
              <w:righ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49,91+0,73</w:t>
            </w:r>
          </w:p>
        </w:tc>
      </w:tr>
      <w:tr>
        <w:trPr>
          <w:trHeight w:val="250" w:hRule="exact"/>
        </w:trPr>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Трикуспидальный клапан</w:t>
            </w:r>
          </w:p>
        </w:tc>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52,18+1,01</w:t>
            </w:r>
          </w:p>
        </w:tc>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54,21+0,90</w:t>
            </w:r>
          </w:p>
        </w:tc>
        <w:tc>
          <w:tcPr>
            <w:shd w:val="clear" w:color="auto" w:fill="FFFFFF"/>
            <w:tcBorders>
              <w:left w:val="single" w:sz="4"/>
              <w:righ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56,40+0,79</w:t>
            </w:r>
          </w:p>
        </w:tc>
      </w:tr>
    </w:tbl>
    <w:p>
      <w:pPr>
        <w:framePr w:w="9869" w:wrap="notBeside" w:vAnchor="text" w:hAnchor="text" w:xAlign="center" w:y="1"/>
        <w:widowControl w:val="0"/>
        <w:rPr>
          <w:sz w:val="2"/>
          <w:szCs w:val="2"/>
        </w:rPr>
      </w:pPr>
    </w:p>
    <w:p>
      <w:pPr>
        <w:widowControl w:val="0"/>
        <w:rPr>
          <w:sz w:val="2"/>
          <w:szCs w:val="2"/>
        </w:rPr>
      </w:pPr>
    </w:p>
    <w:p>
      <w:pPr>
        <w:widowControl w:val="0"/>
        <w:rPr>
          <w:sz w:val="2"/>
          <w:szCs w:val="2"/>
        </w:rPr>
        <w:sectPr>
          <w:pgSz w:w="11900" w:h="16840"/>
          <w:pgMar w:top="1735" w:left="1128" w:right="883" w:bottom="132" w:header="0" w:footer="3" w:gutter="0"/>
          <w:rtlGutter w:val="0"/>
          <w:cols w:space="720"/>
          <w:noEndnote/>
          <w:docGrid w:linePitch="360"/>
        </w:sectPr>
      </w:pPr>
    </w:p>
    <w:p>
      <w:pPr>
        <w:widowControl w:val="0"/>
        <w:spacing w:before="58" w:after="58" w:line="240" w:lineRule="exact"/>
        <w:rPr>
          <w:sz w:val="19"/>
          <w:szCs w:val="19"/>
        </w:rPr>
      </w:pPr>
    </w:p>
    <w:p>
      <w:pPr>
        <w:widowControl w:val="0"/>
        <w:rPr>
          <w:sz w:val="2"/>
          <w:szCs w:val="2"/>
        </w:rPr>
        <w:sectPr>
          <w:type w:val="continuous"/>
          <w:pgSz w:w="11900" w:h="16840"/>
          <w:pgMar w:top="1574" w:left="0" w:right="0" w:bottom="1896" w:header="0" w:footer="3" w:gutter="0"/>
          <w:rtlGutter w:val="0"/>
          <w:cols w:space="720"/>
          <w:noEndnote/>
          <w:docGrid w:linePitch="360"/>
        </w:sectPr>
      </w:pPr>
    </w:p>
    <w:p>
      <w:pPr>
        <w:widowControl w:val="0"/>
        <w:rPr>
          <w:sz w:val="2"/>
          <w:szCs w:val="2"/>
        </w:rPr>
      </w:pPr>
      <w:r>
        <w:pict>
          <v:shape id="_x0000_s1045" type="#_x0000_t75" style="position:absolute;margin-left:138.5pt;margin-top:440.15pt;width:209.75pt;height:14.9pt;z-index:-125829375;mso-wrap-distance-left:124.1pt;mso-wrap-distance-right:147.85pt;mso-wrap-distance-bottom:10.8pt;mso-position-horizontal-relative:margin" wrapcoords="0 0 21600 0 21600 21600 0 21600 0 0">
            <v:imagedata r:id="rId33" r:href="rId34"/>
            <w10:wrap type="topAndBottom" anchorx="margin"/>
          </v:shape>
        </w:pict>
      </w:r>
    </w:p>
    <w:p>
      <w:pPr>
        <w:pStyle w:val="Style30"/>
        <w:numPr>
          <w:ilvl w:val="0"/>
          <w:numId w:val="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правый желудочек нагнетает примерно 2/3 от общего сердечного выброса;</w:t>
      </w:r>
    </w:p>
    <w:p>
      <w:pPr>
        <w:pStyle w:val="Style30"/>
        <w:numPr>
          <w:ilvl w:val="0"/>
          <w:numId w:val="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правый желудочек нагнетает кровь против относи</w:t>
        <w:softHyphen/>
        <w:t>тельно большего нагрузочного давления;</w:t>
      </w:r>
    </w:p>
    <w:p>
      <w:pPr>
        <w:pStyle w:val="Style30"/>
        <w:numPr>
          <w:ilvl w:val="0"/>
          <w:numId w:val="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легочный кровоток снижен, составляет приблизи</w:t>
        <w:softHyphen/>
        <w:t>тельно 7% сердечного выброса (по 3,5% на каждое легкое соответственно);</w:t>
      </w:r>
    </w:p>
    <w:p>
      <w:pPr>
        <w:pStyle w:val="Style30"/>
        <w:numPr>
          <w:ilvl w:val="0"/>
          <w:numId w:val="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функционирование гемодинамически значимых шунтов:</w:t>
      </w:r>
    </w:p>
    <w:p>
      <w:pPr>
        <w:pStyle w:val="Style30"/>
        <w:numPr>
          <w:ilvl w:val="0"/>
          <w:numId w:val="9"/>
        </w:numPr>
        <w:tabs>
          <w:tab w:leader="none" w:pos="49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кровоток через артериальный проток, направле</w:t>
        <w:softHyphen/>
        <w:t>ние справа-налево, составляет 60% от общего сер</w:t>
        <w:softHyphen/>
        <w:t>дечного выброса;</w:t>
      </w:r>
    </w:p>
    <w:p>
      <w:pPr>
        <w:pStyle w:val="Style30"/>
        <w:numPr>
          <w:ilvl w:val="0"/>
          <w:numId w:val="9"/>
        </w:numPr>
        <w:tabs>
          <w:tab w:leader="none" w:pos="49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функционирование право-левого шунта, обуслов</w:t>
        <w:softHyphen/>
        <w:t>ленное более высокой резистентностью легочной артерии относительно аорты, несмотря на одина</w:t>
        <w:softHyphen/>
        <w:t>ковые значения давления (70/45 мм рт. ст.);</w:t>
      </w:r>
    </w:p>
    <w:p>
      <w:pPr>
        <w:pStyle w:val="Style30"/>
        <w:numPr>
          <w:ilvl w:val="0"/>
          <w:numId w:val="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давление в правом предсердии незначительно преоб</w:t>
        <w:softHyphen/>
        <w:t>ладает над давлением в левом предсердии;</w:t>
      </w:r>
    </w:p>
    <w:p>
      <w:pPr>
        <w:pStyle w:val="Style30"/>
        <w:numPr>
          <w:ilvl w:val="0"/>
          <w:numId w:val="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плацентарная кровь насыщена кислородом на 70% и имеет кислородное давление 28-30 мм рт. ст.;</w:t>
      </w:r>
    </w:p>
    <w:p>
      <w:pPr>
        <w:pStyle w:val="Style30"/>
        <w:numPr>
          <w:ilvl w:val="0"/>
          <w:numId w:val="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незначительные изменения свойств крови наблюда</w:t>
        <w:softHyphen/>
        <w:t>ются в левом предсердии: так, насыщение кислоро</w:t>
        <w:softHyphen/>
        <w:t>дом составляет 65%, то есть незначительно превы</w:t>
        <w:softHyphen/>
        <w:t>шает в правом предсердии — 55%. Давление кислоро</w:t>
        <w:softHyphen/>
        <w:t>да в левом предсердии — 26 мм рт. ст. в отличие от давления в правом предсердии — 16-18 мм рт. ст.;</w:t>
      </w:r>
    </w:p>
    <w:p>
      <w:pPr>
        <w:pStyle w:val="Style30"/>
        <w:numPr>
          <w:ilvl w:val="0"/>
          <w:numId w:val="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давление кислорода в головном мозге и миокарде от</w:t>
        <w:softHyphen/>
        <w:t>носительно выше;</w:t>
      </w:r>
    </w:p>
    <w:p>
      <w:pPr>
        <w:pStyle w:val="Style30"/>
        <w:numPr>
          <w:ilvl w:val="0"/>
          <w:numId w:val="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плацентарный кровоток делится на два потока:</w:t>
      </w:r>
    </w:p>
    <w:p>
      <w:pPr>
        <w:pStyle w:val="Style30"/>
        <w:numPr>
          <w:ilvl w:val="0"/>
          <w:numId w:val="9"/>
        </w:numPr>
        <w:tabs>
          <w:tab w:leader="none" w:pos="49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поток через венозный проток;</w:t>
      </w:r>
    </w:p>
    <w:p>
      <w:pPr>
        <w:pStyle w:val="Style30"/>
        <w:numPr>
          <w:ilvl w:val="0"/>
          <w:numId w:val="9"/>
        </w:numPr>
        <w:tabs>
          <w:tab w:leader="none" w:pos="49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поток через печень, преобладающий в левой доле;</w:t>
      </w:r>
    </w:p>
    <w:p>
      <w:pPr>
        <w:pStyle w:val="Style30"/>
        <w:numPr>
          <w:ilvl w:val="0"/>
          <w:numId w:val="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плацентарный кровоток характеризуется более высо - кой скоростью и низкой резистентностью сосудисто</w:t>
        <w:softHyphen/>
        <w:t>го русла, данный кровоток ответственен за обмен</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кислорода на углекислый газ, служит для доставки питательных веществ плоду. Таким образом, плацента является активным метаболическим органом;</w:t>
      </w:r>
    </w:p>
    <w:p>
      <w:pPr>
        <w:pStyle w:val="Style30"/>
        <w:numPr>
          <w:ilvl w:val="0"/>
          <w:numId w:val="9"/>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легкие являются целым органом, в них происходит извлечение кислорода, после рождения происходит изменение метаболических функций. Легкие на позд</w:t>
        <w:softHyphen/>
        <w:t>них сроках гестации секретируют внутриальвеоляр</w:t>
        <w:softHyphen/>
        <w:t>ную жидкость и производят сурфактант;</w:t>
      </w:r>
    </w:p>
    <w:p>
      <w:pPr>
        <w:pStyle w:val="Style30"/>
        <w:numPr>
          <w:ilvl w:val="0"/>
          <w:numId w:val="9"/>
        </w:numPr>
        <w:tabs>
          <w:tab w:leader="none" w:pos="51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имеет место снижение кровотока через сужение аорты;</w:t>
      </w:r>
    </w:p>
    <w:p>
      <w:pPr>
        <w:pStyle w:val="Style30"/>
        <w:numPr>
          <w:ilvl w:val="0"/>
          <w:numId w:val="9"/>
        </w:numPr>
        <w:tabs>
          <w:tab w:leader="none" w:pos="512" w:val="left"/>
        </w:tabs>
        <w:widowControl w:val="0"/>
        <w:keepNext w:val="0"/>
        <w:keepLines w:val="0"/>
        <w:shd w:val="clear" w:color="auto" w:fill="auto"/>
        <w:bidi w:val="0"/>
        <w:spacing w:before="0" w:after="161"/>
        <w:ind w:left="520" w:right="0" w:hanging="240"/>
      </w:pPr>
      <w:r>
        <w:rPr>
          <w:lang w:val="ru-RU" w:eastAsia="ru-RU" w:bidi="ru-RU"/>
          <w:w w:val="100"/>
          <w:spacing w:val="0"/>
          <w:color w:val="000000"/>
          <w:position w:val="0"/>
        </w:rPr>
        <w:t>попадание крови в правый желудочек и легочную ар - терию происходит через верхнюю полую вену и коро</w:t>
        <w:softHyphen/>
        <w:t>нарный синус.</w:t>
      </w:r>
    </w:p>
    <w:p>
      <w:pPr>
        <w:pStyle w:val="Style48"/>
        <w:widowControl w:val="0"/>
        <w:keepNext/>
        <w:keepLines/>
        <w:shd w:val="clear" w:color="auto" w:fill="auto"/>
        <w:bidi w:val="0"/>
        <w:jc w:val="left"/>
        <w:spacing w:before="0" w:after="79" w:line="240" w:lineRule="exact"/>
        <w:ind w:left="0" w:right="0" w:firstLine="0"/>
      </w:pPr>
      <w:bookmarkStart w:id="5" w:name="bookmark5"/>
      <w:r>
        <w:rPr>
          <w:lang w:val="ru-RU" w:eastAsia="ru-RU" w:bidi="ru-RU"/>
          <w:w w:val="100"/>
          <w:spacing w:val="0"/>
          <w:color w:val="000000"/>
          <w:position w:val="0"/>
        </w:rPr>
        <w:t>Морфометрические и гемодинамические показатели сердца плода</w:t>
      </w:r>
      <w:bookmarkEnd w:id="5"/>
    </w:p>
    <w:p>
      <w:pPr>
        <w:pStyle w:val="Style30"/>
        <w:widowControl w:val="0"/>
        <w:keepNext w:val="0"/>
        <w:keepLines w:val="0"/>
        <w:shd w:val="clear" w:color="auto" w:fill="auto"/>
        <w:bidi w:val="0"/>
        <w:spacing w:before="0" w:after="193"/>
        <w:ind w:left="0" w:right="0" w:firstLine="280"/>
      </w:pPr>
      <w:r>
        <w:rPr>
          <w:lang w:val="ru-RU" w:eastAsia="ru-RU" w:bidi="ru-RU"/>
          <w:w w:val="100"/>
          <w:spacing w:val="0"/>
          <w:color w:val="000000"/>
          <w:position w:val="0"/>
        </w:rPr>
        <w:t>Объективно оценить морфометрические и гемодинами</w:t>
        <w:softHyphen/>
        <w:t>ческие показатели сердца плода позволяет фетальная эхо</w:t>
        <w:softHyphen/>
        <w:t>кардиография (табл. 2, 3).</w:t>
      </w:r>
    </w:p>
    <w:p>
      <w:pPr>
        <w:pStyle w:val="Style48"/>
        <w:widowControl w:val="0"/>
        <w:keepNext/>
        <w:keepLines/>
        <w:shd w:val="clear" w:color="auto" w:fill="auto"/>
        <w:bidi w:val="0"/>
        <w:jc w:val="left"/>
        <w:spacing w:before="0" w:after="101" w:line="200" w:lineRule="exact"/>
        <w:ind w:left="0" w:right="0" w:firstLine="0"/>
      </w:pPr>
      <w:bookmarkStart w:id="6" w:name="bookmark6"/>
      <w:r>
        <w:rPr>
          <w:lang w:val="ru-RU" w:eastAsia="ru-RU" w:bidi="ru-RU"/>
          <w:w w:val="100"/>
          <w:spacing w:val="0"/>
          <w:color w:val="000000"/>
          <w:position w:val="0"/>
        </w:rPr>
        <w:t>Кровообращение в переходный период</w:t>
      </w:r>
      <w:bookmarkEnd w:id="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физиологии кровообращения плода при переходе от внутриутробной жизни к постнатальной остается еще мно</w:t>
        <w:softHyphen/>
        <w:t>го невыясненного. Особенности гемодинамики плода во второй половине неосложненной беременности дают осно</w:t>
        <w:softHyphen/>
        <w:t>вание говорить о том, что изменения после рождения не яв</w:t>
        <w:softHyphen/>
        <w:t>ляются только скачкообразной перестройкой функций, вы - полняемых различными отделами сердца. Выявленные особенности свидетельствуют о наличии у плода планомер</w:t>
        <w:softHyphen/>
        <w:t>ной подготовки гемодинамики к перестройке для внеут</w:t>
        <w:softHyphen/>
        <w:t>робной жизни, в которой начинает превалировать левый желудочек.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Существенные изменения кровообращения происходят в первые часы и дни после рождения ребенка:</w:t>
      </w:r>
      <w:r>
        <w:br w:type="page"/>
      </w:r>
    </w:p>
    <w:p>
      <w:pPr>
        <w:pStyle w:val="Style30"/>
        <w:numPr>
          <w:ilvl w:val="0"/>
          <w:numId w:val="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имеет место усиление кровотока в малом круге крово - обращения;</w:t>
      </w:r>
    </w:p>
    <w:p>
      <w:pPr>
        <w:pStyle w:val="Style30"/>
        <w:numPr>
          <w:ilvl w:val="0"/>
          <w:numId w:val="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закрытие венозного и артериального протоков, овального окна, устранение шунтирования крови че</w:t>
        <w:softHyphen/>
        <w:t>рез данные образования;</w:t>
      </w:r>
    </w:p>
    <w:p>
      <w:pPr>
        <w:pStyle w:val="Style30"/>
        <w:numPr>
          <w:ilvl w:val="0"/>
          <w:numId w:val="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устранено функционирование плаценты. Плацентар</w:t>
        <w:softHyphen/>
        <w:t>ная трансфузия прекращается во время перевязывания или наложения скрепки на пуповину после рождения;</w:t>
      </w:r>
    </w:p>
    <w:p>
      <w:pPr>
        <w:pStyle w:val="Style30"/>
        <w:numPr>
          <w:ilvl w:val="0"/>
          <w:numId w:val="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становление эффективного легочного обмена.</w:t>
      </w:r>
    </w:p>
    <w:p>
      <w:pPr>
        <w:pStyle w:val="Style30"/>
        <w:widowControl w:val="0"/>
        <w:keepNext w:val="0"/>
        <w:keepLines w:val="0"/>
        <w:shd w:val="clear" w:color="auto" w:fill="auto"/>
        <w:bidi w:val="0"/>
        <w:spacing w:before="0" w:after="125"/>
        <w:ind w:left="0" w:right="0" w:firstLine="280"/>
      </w:pPr>
      <w:r>
        <w:rPr>
          <w:lang w:val="ru-RU" w:eastAsia="ru-RU" w:bidi="ru-RU"/>
          <w:w w:val="100"/>
          <w:spacing w:val="0"/>
          <w:color w:val="000000"/>
          <w:position w:val="0"/>
        </w:rPr>
        <w:t>Многие факторы влияют во время переходной гемоди</w:t>
        <w:softHyphen/>
        <w:t>намической адаптации, основными из которых являются: зрелость сердечно-сосудистой системы, пренатальная и по</w:t>
        <w:softHyphen/>
        <w:t>стнатальная асфиксия, гестационные факторы, неблаго</w:t>
        <w:softHyphen/>
        <w:t>приятные случаи во время беременности, тип родов (ваги</w:t>
        <w:softHyphen/>
        <w:t>нальный или кесарево сечение).</w:t>
      </w:r>
    </w:p>
    <w:p>
      <w:pPr>
        <w:pStyle w:val="Style54"/>
        <w:widowControl w:val="0"/>
        <w:keepNext/>
        <w:keepLines/>
        <w:shd w:val="clear" w:color="auto" w:fill="auto"/>
        <w:bidi w:val="0"/>
        <w:jc w:val="left"/>
        <w:spacing w:before="0" w:after="39" w:line="210" w:lineRule="exact"/>
        <w:ind w:left="0" w:right="0" w:firstLine="0"/>
      </w:pPr>
      <w:bookmarkStart w:id="7" w:name="bookmark7"/>
      <w:r>
        <w:rPr>
          <w:lang w:val="ru-RU" w:eastAsia="ru-RU" w:bidi="ru-RU"/>
          <w:w w:val="100"/>
          <w:spacing w:val="0"/>
          <w:color w:val="000000"/>
          <w:position w:val="0"/>
        </w:rPr>
        <w:t>Закрытие овального окна</w:t>
      </w:r>
      <w:bookmarkEnd w:id="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Увеличение легочного кровотока вместе с первым вздо</w:t>
        <w:softHyphen/>
        <w:t>хом приводит к большому легочному венозному возврату, соответствующему растяжению левого предсердия. После</w:t>
        <w:softHyphen/>
        <w:t>дующее увеличение давления в левом предсердии при уве</w:t>
        <w:softHyphen/>
        <w:t>личении кровотока есть ответная реакция на нарастание ге</w:t>
        <w:softHyphen/>
        <w:t>модинамической нагрузки в левом желудочке из-за устра</w:t>
        <w:softHyphen/>
        <w:t>нения из кровообращения слаборезистентной плаценты. Прекращение умбиликального венозного тока приводит к уменьшению давления в правом предсердии в соответ</w:t>
        <w:softHyphen/>
        <w:t>ствии со степенью закрытия овального окна клапаном. Это закрытие не закончено и предусматривает потенциальное функционирование право-левого шунтирования, особенно в сочетании с обильным аорто-легочным сбросом крови че</w:t>
        <w:softHyphen/>
        <w:t>рез артериальный проток.</w:t>
      </w:r>
    </w:p>
    <w:p>
      <w:pPr>
        <w:pStyle w:val="Style30"/>
        <w:widowControl w:val="0"/>
        <w:keepNext w:val="0"/>
        <w:keepLines w:val="0"/>
        <w:shd w:val="clear" w:color="auto" w:fill="auto"/>
        <w:bidi w:val="0"/>
        <w:spacing w:before="0" w:after="125"/>
        <w:ind w:left="0" w:right="0" w:firstLine="280"/>
      </w:pPr>
      <w:r>
        <w:rPr>
          <w:lang w:val="ru-RU" w:eastAsia="ru-RU" w:bidi="ru-RU"/>
          <w:w w:val="100"/>
          <w:spacing w:val="0"/>
          <w:color w:val="000000"/>
          <w:position w:val="0"/>
        </w:rPr>
        <w:t xml:space="preserve">У 50% здоровых детей право-левое шунтирование через овальное окно эпизодически функционирует от </w:t>
      </w:r>
      <w:r>
        <w:rPr>
          <w:rStyle w:val="CharStyle32"/>
        </w:rPr>
        <w:t>8</w:t>
      </w:r>
      <w:r>
        <w:rPr>
          <w:lang w:val="ru-RU" w:eastAsia="ru-RU" w:bidi="ru-RU"/>
          <w:w w:val="100"/>
          <w:spacing w:val="0"/>
          <w:color w:val="000000"/>
          <w:position w:val="0"/>
        </w:rPr>
        <w:t xml:space="preserve"> дней до одного года жизни. У остальных 50% детей функциониро</w:t>
        <w:softHyphen/>
        <w:t>вание овального окна продолжается до 5 лет, у 25% из них открытое овальное окно сохраняется и во взрослом возрас</w:t>
        <w:softHyphen/>
        <w:t>те. В большинстве случаев открытое овальное окно наблю</w:t>
        <w:softHyphen/>
        <w:t>дается без гемодинамического функционирования, что по</w:t>
        <w:softHyphen/>
        <w:t>зволяет отнести данное анатомическое образование в груп</w:t>
        <w:softHyphen/>
        <w:t>пу малых аномалий развития.</w:t>
      </w:r>
    </w:p>
    <w:p>
      <w:pPr>
        <w:pStyle w:val="Style54"/>
        <w:widowControl w:val="0"/>
        <w:keepNext/>
        <w:keepLines/>
        <w:shd w:val="clear" w:color="auto" w:fill="auto"/>
        <w:bidi w:val="0"/>
        <w:jc w:val="left"/>
        <w:spacing w:before="0" w:after="39" w:line="210" w:lineRule="exact"/>
        <w:ind w:left="0" w:right="0" w:firstLine="0"/>
      </w:pPr>
      <w:bookmarkStart w:id="8" w:name="bookmark8"/>
      <w:r>
        <w:rPr>
          <w:lang w:val="ru-RU" w:eastAsia="ru-RU" w:bidi="ru-RU"/>
          <w:w w:val="100"/>
          <w:spacing w:val="0"/>
          <w:color w:val="000000"/>
          <w:position w:val="0"/>
        </w:rPr>
        <w:t>Закрытие артериального протока</w:t>
      </w:r>
      <w:bookmarkEnd w:id="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Закрытие артериального протока происходит под воз</w:t>
        <w:softHyphen/>
        <w:t>действием повышающегося уровня pО</w:t>
      </w:r>
      <w:r>
        <w:rPr>
          <w:rStyle w:val="CharStyle32"/>
        </w:rPr>
        <w:t>2</w:t>
      </w:r>
      <w:r>
        <w:rPr>
          <w:lang w:val="ru-RU" w:eastAsia="ru-RU" w:bidi="ru-RU"/>
          <w:w w:val="100"/>
          <w:spacing w:val="0"/>
          <w:color w:val="000000"/>
          <w:position w:val="0"/>
        </w:rPr>
        <w:t xml:space="preserve"> крови новорожден</w:t>
        <w:softHyphen/>
        <w:t>ного, относительно плода. Однако предлагаются другие ме</w:t>
        <w:softHyphen/>
        <w:t>ханизмы закрытия протока — это воздействие брадикини- нов, простагландинов и автономных неврологических эф</w:t>
        <w:softHyphen/>
        <w:t>фектов.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Несмотря на точный и выверенный механизм физиоло</w:t>
        <w:softHyphen/>
        <w:t>гичного закрытия артериального протока, имеются опреде</w:t>
        <w:softHyphen/>
        <w:t>ленные факторы, контролирующие данный процесс и со</w:t>
        <w:softHyphen/>
        <w:t>стояние легочных сосудов (резистентность малого круга кровообращения), фармакологическое состояние простаг- ландинов и неординарные клинические проявления.</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Закрытие артериального протока у новорожденных воз</w:t>
        <w:softHyphen/>
        <w:t>можно при применении индометацина, который блокирует синтез простагландинов, что подтверждено эксперимен</w:t>
        <w:softHyphen/>
        <w:t xml:space="preserve">тальными исследованиями. Для предупреждения закрытия протока производится внутривенное введение растворов простагландинов </w:t>
      </w:r>
      <w:r>
        <w:rPr>
          <w:lang w:val="en-US" w:eastAsia="en-US" w:bidi="en-US"/>
          <w:w w:val="100"/>
          <w:spacing w:val="0"/>
          <w:color w:val="000000"/>
          <w:position w:val="0"/>
        </w:rPr>
        <w:t xml:space="preserve">(PGE </w:t>
      </w:r>
      <w:r>
        <w:rPr>
          <w:lang w:val="ru-RU" w:eastAsia="ru-RU" w:bidi="ru-RU"/>
          <w:w w:val="100"/>
          <w:spacing w:val="0"/>
          <w:color w:val="000000"/>
          <w:position w:val="0"/>
        </w:rPr>
        <w:t>1). Появление эффекта от pО</w:t>
      </w:r>
      <w:r>
        <w:rPr>
          <w:rStyle w:val="CharStyle32"/>
        </w:rPr>
        <w:t xml:space="preserve">2 </w:t>
      </w:r>
      <w:r>
        <w:rPr>
          <w:lang w:val="ru-RU" w:eastAsia="ru-RU" w:bidi="ru-RU"/>
          <w:w w:val="100"/>
          <w:spacing w:val="0"/>
          <w:color w:val="000000"/>
          <w:position w:val="0"/>
        </w:rPr>
        <w:t>и простагландинов является возрастнозависимым факто</w:t>
        <w:softHyphen/>
        <w:br w:type="column"/>
        <w:t>ром и в основном происходит в поздние сроки гестации и ранние периоды внеутробной жизни.</w:t>
      </w:r>
    </w:p>
    <w:p>
      <w:pPr>
        <w:pStyle w:val="Style54"/>
        <w:widowControl w:val="0"/>
        <w:keepNext/>
        <w:keepLines/>
        <w:shd w:val="clear" w:color="auto" w:fill="auto"/>
        <w:bidi w:val="0"/>
        <w:jc w:val="both"/>
        <w:spacing w:before="0" w:after="39" w:line="210" w:lineRule="exact"/>
        <w:ind w:left="0" w:right="0" w:firstLine="0"/>
      </w:pPr>
      <w:bookmarkStart w:id="9" w:name="bookmark9"/>
      <w:r>
        <w:rPr>
          <w:lang w:val="ru-RU" w:eastAsia="ru-RU" w:bidi="ru-RU"/>
          <w:w w:val="100"/>
          <w:spacing w:val="0"/>
          <w:color w:val="000000"/>
          <w:position w:val="0"/>
        </w:rPr>
        <w:t>Другие изменения гемодинамики</w:t>
      </w:r>
      <w:bookmarkEnd w:id="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Пассивно происходит закрытие венозного протока, ко</w:t>
        <w:softHyphen/>
        <w:t>торый является открытым только в первые дни после рож</w:t>
        <w:softHyphen/>
        <w:t>дения. Большие изменения претерпевает портальная цир</w:t>
        <w:softHyphen/>
        <w:t>куляция, в которой происходит перераспределение крово</w:t>
        <w:softHyphen/>
        <w:t>тока. Прекращается кровоснабжение наиболее оксигени- зированной кровью левой доли печени, замещаясь на скуд</w:t>
        <w:softHyphen/>
        <w:t>но оксигенизированную портальную венозную кровь. Моз</w:t>
        <w:softHyphen/>
        <w:t>говой кровоток, пользующийся предпочтением у плода, увеличивается в периоде новорожденности для нивелиро</w:t>
        <w:softHyphen/>
        <w:t xml:space="preserve">вания послеродовой асфиксии и увеличенного уровня </w:t>
      </w:r>
      <w:r>
        <w:rPr>
          <w:lang w:val="en-US" w:eastAsia="en-US" w:bidi="en-US"/>
          <w:w w:val="100"/>
          <w:spacing w:val="0"/>
          <w:color w:val="000000"/>
          <w:position w:val="0"/>
        </w:rPr>
        <w:t>pm</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Церебральный неонатальный кровоток уменьшается после периода новорожденности с одновременным умень</w:t>
        <w:softHyphen/>
        <w:t>шением существующего выраженного лево-правого шун</w:t>
        <w:softHyphen/>
        <w:t>тирования через артериальный проток.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Кровоток в верхне-брыжеечной артерии, отходящей от чревного ствола, уменьшается в продолжение нормального периода новорожденности. Данный кровоток подвержен воздействию таких стрессов, как метаболический ацидоз, переполнение и растяжение желудка, геморрагии в желу- дочно -кишечном тракте, имеющие место у новорожденных с проявлениями некротического энтероколита.</w:t>
      </w:r>
    </w:p>
    <w:p>
      <w:pPr>
        <w:pStyle w:val="Style30"/>
        <w:widowControl w:val="0"/>
        <w:keepNext w:val="0"/>
        <w:keepLines w:val="0"/>
        <w:shd w:val="clear" w:color="auto" w:fill="auto"/>
        <w:bidi w:val="0"/>
        <w:spacing w:before="0" w:after="0"/>
        <w:ind w:left="0" w:right="0" w:firstLine="280"/>
      </w:pPr>
      <w:r>
        <w:rPr>
          <w:rStyle w:val="CharStyle56"/>
        </w:rPr>
        <w:t>Изменение параметров переходной гемодинамики с течени</w:t>
        <w:softHyphen/>
        <w:t>ем времени.</w:t>
      </w:r>
      <w:r>
        <w:rPr>
          <w:lang w:val="ru-RU" w:eastAsia="ru-RU" w:bidi="ru-RU"/>
          <w:w w:val="100"/>
          <w:spacing w:val="0"/>
          <w:color w:val="000000"/>
          <w:position w:val="0"/>
        </w:rPr>
        <w:t xml:space="preserve"> Параметры, свойственные для переходной цир</w:t>
        <w:softHyphen/>
        <w:t>куляции, испытывают на себе влияние многочисленных фак</w:t>
        <w:softHyphen/>
        <w:t>торов. В период новорожденности выраженное воздействие на качество переходного типа гемодинамики оказывает вре</w:t>
        <w:softHyphen/>
        <w:t>мя наложения акушерских скобок на пуповину. Продолжи</w:t>
        <w:softHyphen/>
        <w:t>тельность данного времени оказывает значительное воздей</w:t>
        <w:softHyphen/>
        <w:t>ствие на продолжительность переходного периода к нормаль</w:t>
        <w:softHyphen/>
        <w:t>ному функционированию собственной гемодинамики ново</w:t>
        <w:softHyphen/>
        <w:t xml:space="preserve">рожденного. В исследованиях </w:t>
      </w:r>
      <w:r>
        <w:rPr>
          <w:lang w:val="en-US" w:eastAsia="en-US" w:bidi="en-US"/>
          <w:w w:val="100"/>
          <w:spacing w:val="0"/>
          <w:color w:val="000000"/>
          <w:position w:val="0"/>
        </w:rPr>
        <w:t xml:space="preserve">Ya </w:t>
      </w:r>
      <w:r>
        <w:rPr>
          <w:lang w:val="ru-RU" w:eastAsia="ru-RU" w:bidi="ru-RU"/>
          <w:w w:val="100"/>
          <w:spacing w:val="0"/>
          <w:color w:val="000000"/>
          <w:position w:val="0"/>
        </w:rPr>
        <w:t>приводится сравнение ран</w:t>
        <w:softHyphen/>
        <w:t>него наложения скобок на пуповину (5-30 секунд после ро</w:t>
        <w:softHyphen/>
        <w:t>дов) с более поздним (больше 3 минут). Получено достовер</w:t>
        <w:softHyphen/>
        <w:t>ное различие по частоте уменьшения давления в легочной ар - терии и изменению ЭКГ-параметров. Трансфузия плаценты при более позднем наложении скобок на пуповину доставля</w:t>
        <w:softHyphen/>
        <w:t>ет новорожденному на 60% больше крови в его бассейн, чем при раннем наложении. Данный дополнительный объем кро</w:t>
        <w:softHyphen/>
        <w:t>ви обеспечивает как правое, так и левое предсердие дополни</w:t>
        <w:softHyphen/>
        <w:t>тельным объемом (так называемый «плюс»-объем), обуслов</w:t>
        <w:softHyphen/>
        <w:t>ливая более высокое среднее давление. Среднее предсердное давление, по результатам проведенного исследования, дости</w:t>
        <w:softHyphen/>
        <w:t>гает исходного уровня в течение 2-3 часов. При повышенной вязкости крови уменьшение дополнительного объема и нор</w:t>
        <w:softHyphen/>
        <w:t>мализация предсердного давления до исходного уровня, осо</w:t>
        <w:softHyphen/>
        <w:t>бенно у детей с более поздним наложением скобок на пупо</w:t>
        <w:softHyphen/>
        <w:t xml:space="preserve">вину, не достигает соответствующего уровня даже после </w:t>
      </w:r>
      <w:r>
        <w:rPr>
          <w:rStyle w:val="CharStyle32"/>
        </w:rPr>
        <w:t xml:space="preserve">10 </w:t>
      </w:r>
      <w:r>
        <w:rPr>
          <w:lang w:val="ru-RU" w:eastAsia="ru-RU" w:bidi="ru-RU"/>
          <w:w w:val="100"/>
          <w:spacing w:val="0"/>
          <w:color w:val="000000"/>
          <w:position w:val="0"/>
        </w:rPr>
        <w:t>часов после родов. Артериальное легочное давление норма</w:t>
        <w:softHyphen/>
        <w:t>лизуется своевременно.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Сердце выполняет большую работу по сравнению с ново</w:t>
        <w:softHyphen/>
        <w:t>рожденными, которым было произведено более раннее на</w:t>
        <w:softHyphen/>
        <w:t>ложение скобок на пуповину, так как сердце принимает на себя дополнительную гемодинамическую нагрузку по пере</w:t>
        <w:softHyphen/>
        <w:t>качиванию плацентарной крови. Данное состояние подтвер</w:t>
        <w:softHyphen/>
        <w:t>ждается различными изменениями электрокардиограммы:</w:t>
      </w:r>
    </w:p>
    <w:p>
      <w:pPr>
        <w:pStyle w:val="Style30"/>
        <w:numPr>
          <w:ilvl w:val="0"/>
          <w:numId w:val="9"/>
        </w:numPr>
        <w:tabs>
          <w:tab w:leader="none" w:pos="51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удлиняется интервал </w:t>
      </w:r>
      <w:r>
        <w:rPr>
          <w:lang w:val="en-US" w:eastAsia="en-US" w:bidi="en-US"/>
          <w:w w:val="100"/>
          <w:spacing w:val="0"/>
          <w:color w:val="000000"/>
          <w:position w:val="0"/>
        </w:rPr>
        <w:t>P-R;</w:t>
      </w:r>
    </w:p>
    <w:p>
      <w:pPr>
        <w:pStyle w:val="Style30"/>
        <w:numPr>
          <w:ilvl w:val="0"/>
          <w:numId w:val="9"/>
        </w:numPr>
        <w:tabs>
          <w:tab w:leader="none" w:pos="510" w:val="left"/>
        </w:tabs>
        <w:widowControl w:val="0"/>
        <w:keepNext w:val="0"/>
        <w:keepLines w:val="0"/>
        <w:shd w:val="clear" w:color="auto" w:fill="auto"/>
        <w:bidi w:val="0"/>
        <w:spacing w:before="0" w:after="0"/>
        <w:ind w:left="0" w:right="0" w:firstLine="280"/>
      </w:pPr>
      <w:r>
        <w:pict>
          <v:shape id="_x0000_s1046" type="#_x0000_t75" style="position:absolute;margin-left:148.1pt;margin-top:736.55pt;width:209.75pt;height:14.9pt;z-index:-125829374;mso-wrap-distance-left:148.1pt;mso-wrap-distance-right:136.8pt;mso-wrap-distance-bottom:10.8pt;mso-position-horizontal-relative:margin;mso-position-vertical-relative:margin" wrapcoords="0 0 21600 0 21600 21600 0 21600 0 0">
            <v:imagedata r:id="rId35" r:href="rId36"/>
            <w10:wrap type="topAndBottom" anchorx="margin" anchory="margin"/>
          </v:shape>
        </w:pict>
      </w:r>
      <w:r>
        <w:rPr>
          <w:lang w:val="ru-RU" w:eastAsia="ru-RU" w:bidi="ru-RU"/>
          <w:w w:val="100"/>
          <w:spacing w:val="0"/>
          <w:color w:val="000000"/>
          <w:position w:val="0"/>
        </w:rPr>
        <w:t xml:space="preserve">увеличивается амплитуда зубцов </w:t>
      </w:r>
      <w:r>
        <w:rPr>
          <w:lang w:val="en-US" w:eastAsia="en-US" w:bidi="en-US"/>
          <w:w w:val="100"/>
          <w:spacing w:val="0"/>
          <w:color w:val="000000"/>
          <w:position w:val="0"/>
        </w:rPr>
        <w:t>P, QRS;</w:t>
      </w:r>
      <w:r>
        <w:br w:type="page"/>
      </w:r>
    </w:p>
    <w:p>
      <w:pPr>
        <w:pStyle w:val="Style30"/>
        <w:numPr>
          <w:ilvl w:val="0"/>
          <w:numId w:val="9"/>
        </w:numPr>
        <w:tabs>
          <w:tab w:leader="none" w:pos="51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увеличивается продолжительность интервала </w:t>
      </w:r>
      <w:r>
        <w:rPr>
          <w:lang w:val="en-US" w:eastAsia="en-US" w:bidi="en-US"/>
          <w:w w:val="100"/>
          <w:spacing w:val="0"/>
          <w:color w:val="000000"/>
          <w:position w:val="0"/>
        </w:rPr>
        <w:t>QT;</w:t>
      </w:r>
    </w:p>
    <w:p>
      <w:pPr>
        <w:pStyle w:val="Style30"/>
        <w:numPr>
          <w:ilvl w:val="0"/>
          <w:numId w:val="9"/>
        </w:numPr>
        <w:tabs>
          <w:tab w:leader="none" w:pos="51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возрастает амплитуда зубца Т в </w:t>
      </w:r>
      <w:r>
        <w:rPr>
          <w:lang w:val="en-US" w:eastAsia="en-US" w:bidi="en-US"/>
          <w:w w:val="100"/>
          <w:spacing w:val="0"/>
          <w:color w:val="000000"/>
          <w:position w:val="0"/>
        </w:rPr>
        <w:t>Vi;</w:t>
      </w:r>
    </w:p>
    <w:p>
      <w:pPr>
        <w:pStyle w:val="Style30"/>
        <w:numPr>
          <w:ilvl w:val="0"/>
          <w:numId w:val="9"/>
        </w:numPr>
        <w:tabs>
          <w:tab w:leader="none" w:pos="51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увеличивается амплитуда Р во втором стандартном</w:t>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отведении;</w:t>
      </w:r>
    </w:p>
    <w:p>
      <w:pPr>
        <w:pStyle w:val="Style30"/>
        <w:numPr>
          <w:ilvl w:val="0"/>
          <w:numId w:val="9"/>
        </w:numPr>
        <w:tabs>
          <w:tab w:leader="none" w:pos="51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увеличивается амплитуда зубцов </w:t>
      </w:r>
      <w:r>
        <w:rPr>
          <w:lang w:val="en-US" w:eastAsia="en-US" w:bidi="en-US"/>
          <w:w w:val="100"/>
          <w:spacing w:val="0"/>
          <w:color w:val="000000"/>
          <w:position w:val="0"/>
        </w:rPr>
        <w:t xml:space="preserve">Q, R </w:t>
      </w:r>
      <w:r>
        <w:rPr>
          <w:lang w:val="ru-RU" w:eastAsia="ru-RU" w:bidi="ru-RU"/>
          <w:w w:val="100"/>
          <w:spacing w:val="0"/>
          <w:color w:val="000000"/>
          <w:position w:val="0"/>
        </w:rPr>
        <w:t xml:space="preserve">и </w:t>
      </w:r>
      <w:r>
        <w:rPr>
          <w:lang w:val="en-US" w:eastAsia="en-US" w:bidi="en-US"/>
          <w:w w:val="100"/>
          <w:spacing w:val="0"/>
          <w:color w:val="000000"/>
          <w:position w:val="0"/>
        </w:rPr>
        <w:t xml:space="preserve">S </w:t>
      </w:r>
      <w:r>
        <w:rPr>
          <w:lang w:val="ru-RU" w:eastAsia="ru-RU" w:bidi="ru-RU"/>
          <w:w w:val="100"/>
          <w:spacing w:val="0"/>
          <w:color w:val="000000"/>
          <w:position w:val="0"/>
        </w:rPr>
        <w:t xml:space="preserve">в </w:t>
      </w:r>
      <w:r>
        <w:rPr>
          <w:lang w:val="en-US" w:eastAsia="en-US" w:bidi="en-US"/>
          <w:w w:val="100"/>
          <w:spacing w:val="0"/>
          <w:color w:val="000000"/>
          <w:position w:val="0"/>
        </w:rPr>
        <w:t>V</w:t>
      </w:r>
      <w:r>
        <w:rPr>
          <w:rStyle w:val="CharStyle32"/>
          <w:lang w:val="en-US" w:eastAsia="en-US" w:bidi="en-US"/>
        </w:rPr>
        <w:t>6</w:t>
      </w:r>
      <w:r>
        <w:rPr>
          <w:lang w:val="en-US" w:eastAsia="en-US" w:bidi="en-US"/>
          <w:w w:val="100"/>
          <w:spacing w:val="0"/>
          <w:color w:val="000000"/>
          <w:position w:val="0"/>
        </w:rPr>
        <w: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Сгущение крови и увеличение вязкости крови, по дан</w:t>
        <w:softHyphen/>
        <w:t xml:space="preserve">ным </w:t>
      </w:r>
      <w:r>
        <w:rPr>
          <w:lang w:val="en-US" w:eastAsia="en-US" w:bidi="en-US"/>
          <w:w w:val="100"/>
          <w:spacing w:val="0"/>
          <w:color w:val="000000"/>
          <w:position w:val="0"/>
        </w:rPr>
        <w:t xml:space="preserve">Hamed H.S., Frantz E.G., </w:t>
      </w:r>
      <w:r>
        <w:rPr>
          <w:lang w:val="ru-RU" w:eastAsia="ru-RU" w:bidi="ru-RU"/>
          <w:w w:val="100"/>
          <w:spacing w:val="0"/>
          <w:color w:val="000000"/>
          <w:position w:val="0"/>
        </w:rPr>
        <w:t>способствует увеличению ре</w:t>
        <w:softHyphen/>
        <w:t>зистентности легочных сосудов. Уменьшение артериально</w:t>
        <w:softHyphen/>
        <w:t>го рО</w:t>
      </w:r>
      <w:r>
        <w:rPr>
          <w:rStyle w:val="CharStyle32"/>
          <w:vertAlign w:val="subscript"/>
        </w:rPr>
        <w:t>2</w:t>
      </w:r>
      <w:r>
        <w:rPr>
          <w:lang w:val="ru-RU" w:eastAsia="ru-RU" w:bidi="ru-RU"/>
          <w:w w:val="100"/>
          <w:spacing w:val="0"/>
          <w:color w:val="000000"/>
          <w:position w:val="0"/>
        </w:rPr>
        <w:t xml:space="preserve"> наблюдается при более позднем наложении скобок, то есть наблюдается зависимость от продолжительности данного временного интервала. Данное уменьшение про</w:t>
        <w:softHyphen/>
        <w:t>исходит совместно с увеличением вязкости крови, уровень рСО</w:t>
      </w:r>
      <w:r>
        <w:rPr>
          <w:rStyle w:val="CharStyle32"/>
          <w:vertAlign w:val="subscript"/>
        </w:rPr>
        <w:t>2</w:t>
      </w:r>
      <w:r>
        <w:rPr>
          <w:lang w:val="ru-RU" w:eastAsia="ru-RU" w:bidi="ru-RU"/>
          <w:w w:val="100"/>
          <w:spacing w:val="0"/>
          <w:color w:val="000000"/>
          <w:position w:val="0"/>
        </w:rPr>
        <w:t xml:space="preserve"> имеет более стабильное увеличение. Повышенная вязкость крови может происходить за счет плацентарной трансфузии или других факторов, возможно, имеет место неблагоприятное воздействие на функционирование сер</w:t>
        <w:softHyphen/>
        <w:t>дечно-сосудистой системы. Стрессорное увеличение сис</w:t>
        <w:softHyphen/>
        <w:t>темного артериального давления за счет воздействия на ле</w:t>
        <w:softHyphen/>
        <w:t>вый желудочек значительно увеличенной рабочей нагруз</w:t>
        <w:softHyphen/>
        <w:t>ки. Определение функционального состояния левого желу</w:t>
        <w:softHyphen/>
        <w:t>дочка производится по продолжительности его систолы и может быть уменьшено.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Интерстициальный отек легких обусловливает увеличе</w:t>
        <w:softHyphen/>
        <w:t>ние частоты дыхательных движений, резистентность сосу</w:t>
        <w:softHyphen/>
        <w:t>дов легких, уменьшение функционального остаточного ды</w:t>
        <w:softHyphen/>
        <w:t>хательного объема. Одышка может наблюдаться и в изоли</w:t>
        <w:softHyphen/>
        <w:t>рованном случае при повышении вязкости крови, которая в крайних случаях может обусловливать явления сердечной недостаточности.</w:t>
      </w:r>
    </w:p>
    <w:p>
      <w:pPr>
        <w:pStyle w:val="Style30"/>
        <w:widowControl w:val="0"/>
        <w:keepNext w:val="0"/>
        <w:keepLines w:val="0"/>
        <w:shd w:val="clear" w:color="auto" w:fill="auto"/>
        <w:bidi w:val="0"/>
        <w:spacing w:before="0" w:after="161"/>
        <w:ind w:left="0" w:right="0" w:firstLine="280"/>
      </w:pPr>
      <w:r>
        <w:rPr>
          <w:lang w:val="ru-RU" w:eastAsia="ru-RU" w:bidi="ru-RU"/>
          <w:w w:val="100"/>
          <w:spacing w:val="0"/>
          <w:color w:val="000000"/>
          <w:position w:val="0"/>
        </w:rPr>
        <w:t>В узком смысле слова «нормальное» временное регули</w:t>
        <w:softHyphen/>
        <w:t>рование плацентарной трансфузии возможно при патологи</w:t>
        <w:softHyphen/>
        <w:t>ческом состоянии, сопровождающемся повышенной вязко</w:t>
        <w:softHyphen/>
        <w:t>стью крови, путем уменьшения временного интервала и раннего механического прерывания плацентарной транс</w:t>
        <w:softHyphen/>
        <w:t>фузии. Рекомендуется раннее наложение скобок для унич</w:t>
        <w:softHyphen/>
        <w:t>тожения чрезмерной плацентарной трансфузии, не более 30 секунд. Наоборот, для избежания нежелательной гиповоле- мии, при подозрении на возникновение данного состояния новорожденному рекомендуется дополнительная плацен</w:t>
        <w:softHyphen/>
        <w:t>тарная трансфузия, то есть позднее наложение скобок.</w:t>
      </w:r>
    </w:p>
    <w:p>
      <w:pPr>
        <w:pStyle w:val="Style48"/>
        <w:widowControl w:val="0"/>
        <w:keepNext/>
        <w:keepLines/>
        <w:shd w:val="clear" w:color="auto" w:fill="auto"/>
        <w:bidi w:val="0"/>
        <w:jc w:val="left"/>
        <w:spacing w:before="0" w:after="0" w:line="240" w:lineRule="exact"/>
        <w:ind w:left="0" w:right="1720" w:firstLine="0"/>
      </w:pPr>
      <w:bookmarkStart w:id="10" w:name="bookmark10"/>
      <w:r>
        <w:rPr>
          <w:lang w:val="ru-RU" w:eastAsia="ru-RU" w:bidi="ru-RU"/>
          <w:w w:val="100"/>
          <w:spacing w:val="0"/>
          <w:color w:val="000000"/>
          <w:position w:val="0"/>
        </w:rPr>
        <w:t>Гемодинамические параметры переходной гемодинамики</w:t>
      </w:r>
      <w:bookmarkEnd w:id="1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ЛЕГОЧНАЯ ЦИРКУЛЯЦИЯ</w:t>
      </w:r>
    </w:p>
    <w:p>
      <w:pPr>
        <w:pStyle w:val="Style30"/>
        <w:numPr>
          <w:ilvl w:val="0"/>
          <w:numId w:val="11"/>
        </w:numPr>
        <w:tabs>
          <w:tab w:leader="none" w:pos="51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Давление в легочной артерии (ЛАд):</w:t>
      </w:r>
    </w:p>
    <w:p>
      <w:pPr>
        <w:pStyle w:val="Style30"/>
        <w:numPr>
          <w:ilvl w:val="0"/>
          <w:numId w:val="9"/>
        </w:numPr>
        <w:tabs>
          <w:tab w:leader="none" w:pos="750"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ЛАд=Сд (системное давление) в первые часы жиз</w:t>
        <w:softHyphen/>
        <w:t>ни;</w:t>
      </w:r>
    </w:p>
    <w:p>
      <w:pPr>
        <w:pStyle w:val="Style30"/>
        <w:numPr>
          <w:ilvl w:val="0"/>
          <w:numId w:val="9"/>
        </w:numPr>
        <w:tabs>
          <w:tab w:leader="none" w:pos="750"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ЛАд&lt;Сд первые 3 часа жизни вместе с перевязкой пуповины;</w:t>
      </w:r>
    </w:p>
    <w:p>
      <w:pPr>
        <w:pStyle w:val="Style30"/>
        <w:numPr>
          <w:ilvl w:val="0"/>
          <w:numId w:val="9"/>
        </w:numPr>
        <w:tabs>
          <w:tab w:leader="none" w:pos="750"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ЛАд=Сд в течение 10 часов жизни вместе с пере</w:t>
        <w:softHyphen/>
        <w:t>вязкой пуповины;</w:t>
      </w:r>
    </w:p>
    <w:p>
      <w:pPr>
        <w:pStyle w:val="Style30"/>
        <w:numPr>
          <w:ilvl w:val="0"/>
          <w:numId w:val="9"/>
        </w:numPr>
        <w:tabs>
          <w:tab w:leader="none" w:pos="750"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ЛАд=1/2Сд 24 часа, в пределах 48 часов ЛАд в сис</w:t>
        <w:softHyphen/>
        <w:t>толу примерно равняется 30 мм рт. ст.;</w:t>
      </w:r>
    </w:p>
    <w:p>
      <w:pPr>
        <w:pStyle w:val="Style30"/>
        <w:numPr>
          <w:ilvl w:val="0"/>
          <w:numId w:val="9"/>
        </w:numPr>
        <w:tabs>
          <w:tab w:leader="none" w:pos="750"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ЛАд на уровне взрослых через несколько недель жизни.</w:t>
      </w:r>
    </w:p>
    <w:p>
      <w:pPr>
        <w:pStyle w:val="Style30"/>
        <w:numPr>
          <w:ilvl w:val="0"/>
          <w:numId w:val="11"/>
        </w:numPr>
        <w:tabs>
          <w:tab w:leader="none" w:pos="51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Артериальный легочный кровоток (АЛК):</w:t>
      </w:r>
    </w:p>
    <w:p>
      <w:pPr>
        <w:pStyle w:val="Style30"/>
        <w:numPr>
          <w:ilvl w:val="0"/>
          <w:numId w:val="9"/>
        </w:numPr>
        <w:tabs>
          <w:tab w:leader="none" w:pos="750"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4 л/мин/кв. м в первые дни.</w:t>
      </w:r>
    </w:p>
    <w:p>
      <w:pPr>
        <w:pStyle w:val="Style30"/>
        <w:numPr>
          <w:ilvl w:val="0"/>
          <w:numId w:val="11"/>
        </w:numPr>
        <w:tabs>
          <w:tab w:leader="none" w:pos="51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Резистентность легочной артерии (РЛА):</w:t>
      </w:r>
    </w:p>
    <w:p>
      <w:pPr>
        <w:pStyle w:val="Style30"/>
        <w:numPr>
          <w:ilvl w:val="0"/>
          <w:numId w:val="9"/>
        </w:numPr>
        <w:tabs>
          <w:tab w:leader="none" w:pos="750"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быстрое непосредственное снижение резистент</w:t>
        <w:softHyphen/>
        <w:t>ности и увеличение уровня О</w:t>
      </w:r>
      <w:r>
        <w:rPr>
          <w:lang w:val="ru-RU" w:eastAsia="ru-RU" w:bidi="ru-RU"/>
          <w:vertAlign w:val="subscript"/>
          <w:w w:val="100"/>
          <w:spacing w:val="0"/>
          <w:color w:val="000000"/>
          <w:position w:val="0"/>
        </w:rPr>
        <w:t>2</w:t>
      </w:r>
      <w:r>
        <w:rPr>
          <w:lang w:val="ru-RU" w:eastAsia="ru-RU" w:bidi="ru-RU"/>
          <w:w w:val="100"/>
          <w:spacing w:val="0"/>
          <w:color w:val="000000"/>
          <w:position w:val="0"/>
        </w:rPr>
        <w:t>;</w:t>
      </w:r>
    </w:p>
    <w:p>
      <w:pPr>
        <w:pStyle w:val="Style30"/>
        <w:numPr>
          <w:ilvl w:val="0"/>
          <w:numId w:val="9"/>
        </w:numPr>
        <w:tabs>
          <w:tab w:leader="none" w:pos="752" w:val="left"/>
        </w:tabs>
        <w:widowControl w:val="0"/>
        <w:keepNext w:val="0"/>
        <w:keepLines w:val="0"/>
        <w:shd w:val="clear" w:color="auto" w:fill="auto"/>
        <w:bidi w:val="0"/>
        <w:spacing w:before="0" w:after="0"/>
        <w:ind w:left="740" w:right="0" w:hanging="220"/>
      </w:pPr>
      <w:r>
        <w:br w:type="column"/>
      </w:r>
      <w:r>
        <w:rPr>
          <w:lang w:val="ru-RU" w:eastAsia="ru-RU" w:bidi="ru-RU"/>
          <w:w w:val="100"/>
          <w:spacing w:val="0"/>
          <w:color w:val="000000"/>
          <w:position w:val="0"/>
        </w:rPr>
        <w:t>РЛА=1/2 системной резистентности первые 20 ча</w:t>
        <w:softHyphen/>
        <w:t>сов жизни;</w:t>
      </w:r>
    </w:p>
    <w:p>
      <w:pPr>
        <w:pStyle w:val="Style30"/>
        <w:numPr>
          <w:ilvl w:val="0"/>
          <w:numId w:val="9"/>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РЛА остается умеренно увеличенной (выше уров</w:t>
        <w:softHyphen/>
        <w:t xml:space="preserve">ня взрослого человека) первые </w:t>
      </w:r>
      <w:r>
        <w:rPr>
          <w:rStyle w:val="CharStyle32"/>
        </w:rPr>
        <w:t>2</w:t>
      </w:r>
      <w:r>
        <w:rPr>
          <w:lang w:val="ru-RU" w:eastAsia="ru-RU" w:bidi="ru-RU"/>
          <w:w w:val="100"/>
          <w:spacing w:val="0"/>
          <w:color w:val="000000"/>
          <w:position w:val="0"/>
        </w:rPr>
        <w:t xml:space="preserve"> месяца жизни;</w:t>
      </w:r>
    </w:p>
    <w:p>
      <w:pPr>
        <w:pStyle w:val="Style30"/>
        <w:numPr>
          <w:ilvl w:val="0"/>
          <w:numId w:val="9"/>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данное увеличение резистентности свойственно как для правой, так и для левой легочных артерий, продолжается в раннем детстве.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СИСТЕМНАЯ ЦИРКУЛЯЦИЯ</w:t>
      </w:r>
    </w:p>
    <w:p>
      <w:pPr>
        <w:pStyle w:val="Style30"/>
        <w:numPr>
          <w:ilvl w:val="0"/>
          <w:numId w:val="11"/>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системный кровоток (СК)=2,3-3,1 л/мин/кв. м вмес</w:t>
        <w:softHyphen/>
        <w:t>те с УО=4 мл после закрытия артериального протока;</w:t>
      </w:r>
    </w:p>
    <w:p>
      <w:pPr>
        <w:pStyle w:val="Style30"/>
        <w:numPr>
          <w:ilvl w:val="0"/>
          <w:numId w:val="11"/>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Сд=72/47 мм рт. ст., в ближайшее время после рожде</w:t>
        <w:softHyphen/>
        <w:t>ния увеличивается до 94/72 мм рт. ст.;</w:t>
      </w:r>
    </w:p>
    <w:p>
      <w:pPr>
        <w:pStyle w:val="Style30"/>
        <w:numPr>
          <w:ilvl w:val="0"/>
          <w:numId w:val="11"/>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системное рО</w:t>
      </w:r>
      <w:r>
        <w:rPr>
          <w:lang w:val="ru-RU" w:eastAsia="ru-RU" w:bidi="ru-RU"/>
          <w:vertAlign w:val="subscript"/>
          <w:w w:val="100"/>
          <w:spacing w:val="0"/>
          <w:color w:val="000000"/>
          <w:position w:val="0"/>
        </w:rPr>
        <w:t>2</w:t>
      </w:r>
      <w:r>
        <w:rPr>
          <w:lang w:val="ru-RU" w:eastAsia="ru-RU" w:bidi="ru-RU"/>
          <w:w w:val="100"/>
          <w:spacing w:val="0"/>
          <w:color w:val="000000"/>
          <w:position w:val="0"/>
        </w:rPr>
        <w:t>=30 мм рт. ст. за 10 минут, 60 мл за 15 минут, 80 мл за 1 час, 90 мл в течение первых 24 ча</w:t>
        <w:softHyphen/>
        <w:t>сов жизни;</w:t>
      </w:r>
    </w:p>
    <w:p>
      <w:pPr>
        <w:pStyle w:val="Style30"/>
        <w:numPr>
          <w:ilvl w:val="0"/>
          <w:numId w:val="11"/>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системное рСО</w:t>
      </w:r>
      <w:r>
        <w:rPr>
          <w:lang w:val="ru-RU" w:eastAsia="ru-RU" w:bidi="ru-RU"/>
          <w:vertAlign w:val="subscript"/>
          <w:w w:val="100"/>
          <w:spacing w:val="0"/>
          <w:color w:val="000000"/>
          <w:position w:val="0"/>
        </w:rPr>
        <w:t>2</w:t>
      </w:r>
      <w:r>
        <w:rPr>
          <w:lang w:val="ru-RU" w:eastAsia="ru-RU" w:bidi="ru-RU"/>
          <w:w w:val="100"/>
          <w:spacing w:val="0"/>
          <w:color w:val="000000"/>
          <w:position w:val="0"/>
        </w:rPr>
        <w:t xml:space="preserve">=60 мм рт. ст. при рождении (рН=7,28-7,30), достигая уровня взрослого человека на </w:t>
      </w:r>
      <w:r>
        <w:rPr>
          <w:rStyle w:val="CharStyle32"/>
        </w:rPr>
        <w:t>1-2</w:t>
      </w:r>
      <w:r>
        <w:rPr>
          <w:lang w:val="ru-RU" w:eastAsia="ru-RU" w:bidi="ru-RU"/>
          <w:w w:val="100"/>
          <w:spacing w:val="0"/>
          <w:color w:val="000000"/>
          <w:position w:val="0"/>
        </w:rPr>
        <w:t xml:space="preserve"> часу жизни.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ШУНТИРОВАНИЕ</w:t>
      </w:r>
    </w:p>
    <w:p>
      <w:pPr>
        <w:pStyle w:val="Style30"/>
        <w:numPr>
          <w:ilvl w:val="0"/>
          <w:numId w:val="11"/>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Общий веноартериальный проток существует первые 2 дня, равняется 15-20% сердечного выброса, превы</w:t>
        <w:softHyphen/>
        <w:t>шает шунтирование через овальное окно.</w:t>
      </w:r>
    </w:p>
    <w:p>
      <w:pPr>
        <w:pStyle w:val="Style30"/>
        <w:numPr>
          <w:ilvl w:val="0"/>
          <w:numId w:val="11"/>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Артериальный проток:</w:t>
      </w:r>
    </w:p>
    <w:p>
      <w:pPr>
        <w:pStyle w:val="Style30"/>
        <w:numPr>
          <w:ilvl w:val="0"/>
          <w:numId w:val="9"/>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право-левое шунтирование в первые </w:t>
      </w:r>
      <w:r>
        <w:rPr>
          <w:rStyle w:val="CharStyle32"/>
        </w:rPr>
        <w:t>1-2</w:t>
      </w:r>
      <w:r>
        <w:rPr>
          <w:lang w:val="ru-RU" w:eastAsia="ru-RU" w:bidi="ru-RU"/>
          <w:w w:val="100"/>
          <w:spacing w:val="0"/>
          <w:color w:val="000000"/>
          <w:position w:val="0"/>
        </w:rPr>
        <w:t xml:space="preserve"> часа;</w:t>
      </w:r>
    </w:p>
    <w:p>
      <w:pPr>
        <w:pStyle w:val="Style30"/>
        <w:numPr>
          <w:ilvl w:val="0"/>
          <w:numId w:val="9"/>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частичное закрытие через </w:t>
      </w:r>
      <w:r>
        <w:rPr>
          <w:rStyle w:val="CharStyle32"/>
        </w:rPr>
        <w:t>10-20</w:t>
      </w:r>
      <w:r>
        <w:rPr>
          <w:lang w:val="ru-RU" w:eastAsia="ru-RU" w:bidi="ru-RU"/>
          <w:w w:val="100"/>
          <w:spacing w:val="0"/>
          <w:color w:val="000000"/>
          <w:position w:val="0"/>
        </w:rPr>
        <w:t xml:space="preserve"> часов;</w:t>
      </w:r>
    </w:p>
    <w:p>
      <w:pPr>
        <w:pStyle w:val="Style30"/>
        <w:numPr>
          <w:ilvl w:val="0"/>
          <w:numId w:val="9"/>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лево-правое выраженное шунтирование, состав - ляя 30-50% левожелудочкового выброса;</w:t>
      </w:r>
    </w:p>
    <w:p>
      <w:pPr>
        <w:pStyle w:val="Style30"/>
        <w:numPr>
          <w:ilvl w:val="0"/>
          <w:numId w:val="9"/>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анатомическое закрытие начинается через не</w:t>
        <w:softHyphen/>
        <w:t>сколько недель, трансформируется в связку у 90% детей через 90 дней жизни.</w:t>
      </w:r>
    </w:p>
    <w:p>
      <w:pPr>
        <w:pStyle w:val="Style30"/>
        <w:numPr>
          <w:ilvl w:val="0"/>
          <w:numId w:val="11"/>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Овальное окно:</w:t>
      </w:r>
    </w:p>
    <w:p>
      <w:pPr>
        <w:pStyle w:val="Style30"/>
        <w:numPr>
          <w:ilvl w:val="0"/>
          <w:numId w:val="9"/>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право-левое шунтирование у 50% новорожденных после </w:t>
      </w:r>
      <w:r>
        <w:rPr>
          <w:rStyle w:val="CharStyle32"/>
        </w:rPr>
        <w:t>8</w:t>
      </w:r>
      <w:r>
        <w:rPr>
          <w:lang w:val="ru-RU" w:eastAsia="ru-RU" w:bidi="ru-RU"/>
          <w:w w:val="100"/>
          <w:spacing w:val="0"/>
          <w:color w:val="000000"/>
          <w:position w:val="0"/>
        </w:rPr>
        <w:t xml:space="preserve"> дней жизни, воздействие патологических состояний и выраженного родового стресса;</w:t>
      </w:r>
    </w:p>
    <w:p>
      <w:pPr>
        <w:pStyle w:val="Style30"/>
        <w:numPr>
          <w:ilvl w:val="0"/>
          <w:numId w:val="9"/>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явное наличие открытого овального окна (под</w:t>
        <w:softHyphen/>
        <w:t>тверждено при зондировании) в 5-летнем возрасте у 50% детей и 25% взрослых.</w:t>
      </w:r>
    </w:p>
    <w:p>
      <w:pPr>
        <w:pStyle w:val="Style30"/>
        <w:numPr>
          <w:ilvl w:val="0"/>
          <w:numId w:val="11"/>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Венозный проток:</w:t>
      </w:r>
    </w:p>
    <w:p>
      <w:pPr>
        <w:pStyle w:val="Style30"/>
        <w:numPr>
          <w:ilvl w:val="0"/>
          <w:numId w:val="9"/>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функциональное закрытие в течение минут, явное в </w:t>
      </w:r>
      <w:r>
        <w:rPr>
          <w:rStyle w:val="CharStyle32"/>
        </w:rPr>
        <w:t>1</w:t>
      </w:r>
      <w:r>
        <w:rPr>
          <w:lang w:val="ru-RU" w:eastAsia="ru-RU" w:bidi="ru-RU"/>
          <w:w w:val="100"/>
          <w:spacing w:val="0"/>
          <w:color w:val="000000"/>
          <w:position w:val="0"/>
        </w:rPr>
        <w:t xml:space="preserve"> сутки;</w:t>
      </w:r>
    </w:p>
    <w:p>
      <w:pPr>
        <w:pStyle w:val="Style30"/>
        <w:numPr>
          <w:ilvl w:val="0"/>
          <w:numId w:val="9"/>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возможно прохождение зондом в 3-5 день жизни;</w:t>
      </w:r>
    </w:p>
    <w:p>
      <w:pPr>
        <w:pStyle w:val="Style30"/>
        <w:numPr>
          <w:ilvl w:val="0"/>
          <w:numId w:val="9"/>
        </w:numPr>
        <w:tabs>
          <w:tab w:leader="none" w:pos="752" w:val="left"/>
        </w:tabs>
        <w:widowControl w:val="0"/>
        <w:keepNext w:val="0"/>
        <w:keepLines w:val="0"/>
        <w:shd w:val="clear" w:color="auto" w:fill="auto"/>
        <w:bidi w:val="0"/>
        <w:jc w:val="left"/>
        <w:spacing w:before="0" w:after="0"/>
        <w:ind w:left="280" w:right="0" w:firstLine="240"/>
      </w:pPr>
      <w:r>
        <w:rPr>
          <w:lang w:val="ru-RU" w:eastAsia="ru-RU" w:bidi="ru-RU"/>
          <w:w w:val="100"/>
          <w:spacing w:val="0"/>
          <w:color w:val="000000"/>
          <w:position w:val="0"/>
        </w:rPr>
        <w:t>полное анатомическое закрытие к 2-3 неделе. ПЛАЦЕНТАРНАЯ ЦИРКУЛЯЦИЯ:</w:t>
      </w:r>
    </w:p>
    <w:p>
      <w:pPr>
        <w:pStyle w:val="Style30"/>
        <w:numPr>
          <w:ilvl w:val="0"/>
          <w:numId w:val="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плацентарный артериальный кровоток прекращается к 45-60 секундам;</w:t>
      </w:r>
    </w:p>
    <w:p>
      <w:pPr>
        <w:pStyle w:val="Style30"/>
        <w:numPr>
          <w:ilvl w:val="0"/>
          <w:numId w:val="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плацентарный венозный кровоток первоначально на уровне 75 мл/кг/мин замедляется после 2 минут, по</w:t>
        <w:softHyphen/>
        <w:t>чти полностью прекращаясь около 3 минуты, незна</w:t>
        <w:softHyphen/>
        <w:t>чительный дренаж к 5 минуте.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ОБЪЕМ КРОВИ:</w:t>
      </w:r>
    </w:p>
    <w:p>
      <w:pPr>
        <w:pStyle w:val="Style30"/>
        <w:numPr>
          <w:ilvl w:val="0"/>
          <w:numId w:val="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поздняя перевязка плаценты увеличивает объем кро</w:t>
        <w:softHyphen/>
        <w:t>ви у новорожденного на 60%;</w:t>
      </w:r>
    </w:p>
    <w:p>
      <w:pPr>
        <w:pStyle w:val="Style30"/>
        <w:numPr>
          <w:ilvl w:val="0"/>
          <w:numId w:val="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объем крови составляет плюс около 33% после 8-15 минут и плюс 25% после 30 минут при сравнении с ранним наложением скобок;</w:t>
      </w:r>
    </w:p>
    <w:p>
      <w:pPr>
        <w:pStyle w:val="Style30"/>
        <w:numPr>
          <w:ilvl w:val="0"/>
          <w:numId w:val="9"/>
        </w:numPr>
        <w:tabs>
          <w:tab w:leader="none" w:pos="518"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масса эритроцитов больше на 40-50% при позднем наложении скобок.</w:t>
      </w:r>
    </w:p>
    <w:p>
      <w:pPr>
        <w:pStyle w:val="Style30"/>
        <w:widowControl w:val="0"/>
        <w:keepNext w:val="0"/>
        <w:keepLines w:val="0"/>
        <w:shd w:val="clear" w:color="auto" w:fill="auto"/>
        <w:bidi w:val="0"/>
        <w:spacing w:before="0" w:after="0"/>
        <w:ind w:left="0" w:right="0" w:firstLine="280"/>
        <w:sectPr>
          <w:type w:val="continuous"/>
          <w:pgSz w:w="11900" w:h="16840"/>
          <w:pgMar w:top="1574" w:left="1085" w:right="1023" w:bottom="1896" w:header="0" w:footer="3" w:gutter="0"/>
          <w:rtlGutter w:val="0"/>
          <w:cols w:num="2" w:space="102"/>
          <w:noEndnote/>
          <w:docGrid w:linePitch="360"/>
        </w:sectPr>
      </w:pPr>
      <w:r>
        <w:rPr>
          <w:lang w:val="ru-RU" w:eastAsia="ru-RU" w:bidi="ru-RU"/>
          <w:w w:val="100"/>
          <w:spacing w:val="0"/>
          <w:color w:val="000000"/>
          <w:position w:val="0"/>
        </w:rPr>
        <w:t>Данные гемодинамические изменения переходной цир</w:t>
        <w:softHyphen/>
        <w:t>куляции сопровождаются следующими клиническими про</w:t>
        <w:softHyphen/>
        <w:t>явлениями:</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41" w:after="41"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047" type="#_x0000_t75" style="position:absolute;margin-left:135.1pt;margin-top:0;width:209.75pt;height:14.9pt;z-index:-251658747;mso-wrap-distance-left:5.pt;mso-wrap-distance-right:5.pt;mso-position-horizontal-relative:margin" wrapcoords="0 0">
            <v:imagedata r:id="rId37" r:href="rId38"/>
            <w10:wrap anchorx="margin"/>
          </v:shape>
        </w:pict>
      </w:r>
    </w:p>
    <w:p>
      <w:pPr>
        <w:widowControl w:val="0"/>
        <w:rPr>
          <w:sz w:val="2"/>
          <w:szCs w:val="2"/>
        </w:rPr>
        <w:sectPr>
          <w:type w:val="continuous"/>
          <w:pgSz w:w="11900" w:h="16840"/>
          <w:pgMar w:top="1468" w:left="1119" w:right="893" w:bottom="192" w:header="0" w:footer="3" w:gutter="0"/>
          <w:rtlGutter w:val="0"/>
          <w:cols w:space="720"/>
          <w:noEndnote/>
          <w:docGrid w:linePitch="360"/>
        </w:sectPr>
      </w:pPr>
    </w:p>
    <w:p>
      <w:pPr>
        <w:pStyle w:val="Style52"/>
        <w:widowControl w:val="0"/>
        <w:keepNext w:val="0"/>
        <w:keepLines w:val="0"/>
        <w:shd w:val="clear" w:color="auto" w:fill="auto"/>
        <w:bidi w:val="0"/>
        <w:spacing w:before="0" w:after="0" w:line="180" w:lineRule="exact"/>
        <w:ind w:left="20" w:right="0" w:firstLine="0"/>
      </w:pPr>
      <w:r>
        <w:rPr>
          <w:lang w:val="ru-RU" w:eastAsia="ru-RU" w:bidi="ru-RU"/>
          <w:w w:val="100"/>
          <w:color w:val="000000"/>
          <w:position w:val="0"/>
        </w:rPr>
        <w:t>Морфометрические показатели сердца новорожденного</w:t>
      </w:r>
    </w:p>
    <w:p>
      <w:pPr>
        <w:pStyle w:val="Style39"/>
        <w:framePr w:w="9854" w:wrap="notBeside" w:vAnchor="text" w:hAnchor="text" w:xAlign="center" w:y="1"/>
        <w:widowControl w:val="0"/>
        <w:keepNext w:val="0"/>
        <w:keepLines w:val="0"/>
        <w:shd w:val="clear" w:color="auto" w:fill="auto"/>
        <w:bidi w:val="0"/>
        <w:spacing w:before="0" w:after="0" w:line="170" w:lineRule="exact"/>
        <w:ind w:left="0" w:right="0" w:firstLine="0"/>
      </w:pPr>
      <w:r>
        <w:rPr>
          <w:lang w:val="ru-RU" w:eastAsia="ru-RU" w:bidi="ru-RU"/>
          <w:w w:val="100"/>
          <w:spacing w:val="0"/>
          <w:color w:val="000000"/>
          <w:position w:val="0"/>
        </w:rPr>
        <w:t>Таблица 4</w:t>
      </w:r>
    </w:p>
    <w:tbl>
      <w:tblPr>
        <w:tblOverlap w:val="never"/>
        <w:tblLayout w:type="fixed"/>
        <w:jc w:val="center"/>
      </w:tblPr>
      <w:tblGrid>
        <w:gridCol w:w="4930"/>
        <w:gridCol w:w="4925"/>
      </w:tblGrid>
      <w:tr>
        <w:trPr>
          <w:trHeight w:val="240"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60" w:lineRule="exact"/>
              <w:ind w:left="0" w:right="0" w:firstLine="0"/>
            </w:pPr>
            <w:r>
              <w:rPr>
                <w:rStyle w:val="CharStyle57"/>
              </w:rPr>
              <w:t>Показатель</w:t>
            </w:r>
          </w:p>
        </w:tc>
        <w:tc>
          <w:tcPr>
            <w:shd w:val="clear" w:color="auto" w:fill="FFFFFF"/>
            <w:tcBorders>
              <w:left w:val="single" w:sz="4"/>
              <w:right w:val="single" w:sz="4"/>
              <w:top w:val="single" w:sz="4"/>
            </w:tcBorders>
            <w:vAlign w:val="top"/>
          </w:tcPr>
          <w:p>
            <w:pPr>
              <w:framePr w:w="9854" w:wrap="notBeside" w:vAnchor="text" w:hAnchor="text" w:xAlign="center" w:y="1"/>
              <w:widowControl w:val="0"/>
              <w:rPr>
                <w:sz w:val="10"/>
                <w:szCs w:val="10"/>
              </w:rPr>
            </w:pPr>
          </w:p>
        </w:tc>
      </w:tr>
      <w:tr>
        <w:trPr>
          <w:trHeight w:val="240" w:hRule="exact"/>
        </w:trPr>
        <w:tc>
          <w:tcPr>
            <w:shd w:val="clear" w:color="auto" w:fill="FFFFFF"/>
            <w:tcBorders>
              <w:left w:val="single" w:sz="4"/>
              <w:top w:val="single" w:sz="4"/>
            </w:tcBorders>
            <w:vAlign w:val="bottom"/>
          </w:tcPr>
          <w:p>
            <w:pPr>
              <w:pStyle w:val="Style30"/>
              <w:framePr w:w="9854" w:wrap="notBeside" w:vAnchor="text" w:hAnchor="text" w:xAlign="center" w:y="1"/>
              <w:widowControl w:val="0"/>
              <w:keepNext w:val="0"/>
              <w:keepLines w:val="0"/>
              <w:shd w:val="clear" w:color="auto" w:fill="auto"/>
              <w:bidi w:val="0"/>
              <w:spacing w:before="0" w:after="0" w:line="160" w:lineRule="exact"/>
              <w:ind w:left="0" w:right="0" w:firstLine="0"/>
            </w:pPr>
            <w:r>
              <w:rPr>
                <w:rStyle w:val="CharStyle38"/>
              </w:rPr>
              <w:t>Масса сердца</w:t>
            </w:r>
          </w:p>
        </w:tc>
        <w:tc>
          <w:tcPr>
            <w:shd w:val="clear" w:color="auto" w:fill="FFFFFF"/>
            <w:tcBorders>
              <w:left w:val="single" w:sz="4"/>
              <w:right w:val="single" w:sz="4"/>
              <w:top w:val="single" w:sz="4"/>
            </w:tcBorders>
            <w:vAlign w:val="bottom"/>
          </w:tcPr>
          <w:p>
            <w:pPr>
              <w:pStyle w:val="Style30"/>
              <w:framePr w:w="9854"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16-20 г</w:t>
            </w:r>
          </w:p>
        </w:tc>
      </w:tr>
      <w:tr>
        <w:trPr>
          <w:trHeight w:val="235"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60" w:lineRule="exact"/>
              <w:ind w:left="0" w:right="0" w:firstLine="0"/>
            </w:pPr>
            <w:r>
              <w:rPr>
                <w:rStyle w:val="CharStyle38"/>
              </w:rPr>
              <w:t>Масса правого желудочка</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6,14 г</w:t>
            </w:r>
          </w:p>
        </w:tc>
      </w:tr>
      <w:tr>
        <w:trPr>
          <w:trHeight w:val="235"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60" w:lineRule="exact"/>
              <w:ind w:left="0" w:right="0" w:firstLine="0"/>
            </w:pPr>
            <w:r>
              <w:rPr>
                <w:rStyle w:val="CharStyle38"/>
              </w:rPr>
              <w:t>Масса левого желудочка</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7,15 г</w:t>
            </w:r>
          </w:p>
        </w:tc>
      </w:tr>
      <w:tr>
        <w:trPr>
          <w:trHeight w:val="240" w:hRule="exact"/>
        </w:trPr>
        <w:tc>
          <w:tcPr>
            <w:shd w:val="clear" w:color="auto" w:fill="FFFFFF"/>
            <w:tcBorders>
              <w:left w:val="single" w:sz="4"/>
              <w:top w:val="single" w:sz="4"/>
            </w:tcBorders>
            <w:vAlign w:val="bottom"/>
          </w:tcPr>
          <w:p>
            <w:pPr>
              <w:pStyle w:val="Style30"/>
              <w:framePr w:w="9854" w:wrap="notBeside" w:vAnchor="text" w:hAnchor="text" w:xAlign="center" w:y="1"/>
              <w:widowControl w:val="0"/>
              <w:keepNext w:val="0"/>
              <w:keepLines w:val="0"/>
              <w:shd w:val="clear" w:color="auto" w:fill="auto"/>
              <w:bidi w:val="0"/>
              <w:spacing w:before="0" w:after="0" w:line="160" w:lineRule="exact"/>
              <w:ind w:left="0" w:right="0" w:firstLine="0"/>
            </w:pPr>
            <w:r>
              <w:rPr>
                <w:rStyle w:val="CharStyle38"/>
              </w:rPr>
              <w:t>Окружность аорты</w:t>
            </w:r>
          </w:p>
        </w:tc>
        <w:tc>
          <w:tcPr>
            <w:shd w:val="clear" w:color="auto" w:fill="FFFFFF"/>
            <w:tcBorders>
              <w:left w:val="single" w:sz="4"/>
              <w:right w:val="single" w:sz="4"/>
              <w:top w:val="single" w:sz="4"/>
            </w:tcBorders>
            <w:vAlign w:val="bottom"/>
          </w:tcPr>
          <w:p>
            <w:pPr>
              <w:pStyle w:val="Style30"/>
              <w:framePr w:w="9854"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2,0 см</w:t>
            </w:r>
          </w:p>
        </w:tc>
      </w:tr>
      <w:tr>
        <w:trPr>
          <w:trHeight w:val="235"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60" w:lineRule="exact"/>
              <w:ind w:left="0" w:right="0" w:firstLine="0"/>
            </w:pPr>
            <w:r>
              <w:rPr>
                <w:rStyle w:val="CharStyle38"/>
              </w:rPr>
              <w:t>Окружность легочной артерии</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2,7 см</w:t>
            </w:r>
          </w:p>
        </w:tc>
      </w:tr>
      <w:tr>
        <w:trPr>
          <w:trHeight w:val="235" w:hRule="exact"/>
        </w:trPr>
        <w:tc>
          <w:tcPr>
            <w:shd w:val="clear" w:color="auto" w:fill="FFFFFF"/>
            <w:tcBorders>
              <w:left w:val="single" w:sz="4"/>
              <w:top w:val="single" w:sz="4"/>
            </w:tcBorders>
            <w:vAlign w:val="bottom"/>
          </w:tcPr>
          <w:p>
            <w:pPr>
              <w:pStyle w:val="Style30"/>
              <w:framePr w:w="9854" w:wrap="notBeside" w:vAnchor="text" w:hAnchor="text" w:xAlign="center" w:y="1"/>
              <w:widowControl w:val="0"/>
              <w:keepNext w:val="0"/>
              <w:keepLines w:val="0"/>
              <w:shd w:val="clear" w:color="auto" w:fill="auto"/>
              <w:bidi w:val="0"/>
              <w:spacing w:before="0" w:after="0" w:line="160" w:lineRule="exact"/>
              <w:ind w:left="0" w:right="0" w:firstLine="0"/>
            </w:pPr>
            <w:r>
              <w:rPr>
                <w:rStyle w:val="CharStyle38"/>
              </w:rPr>
              <w:t>Окружность митрального отверстия</w:t>
            </w:r>
          </w:p>
        </w:tc>
        <w:tc>
          <w:tcPr>
            <w:shd w:val="clear" w:color="auto" w:fill="FFFFFF"/>
            <w:tcBorders>
              <w:left w:val="single" w:sz="4"/>
              <w:right w:val="single" w:sz="4"/>
              <w:top w:val="single" w:sz="4"/>
            </w:tcBorders>
            <w:vAlign w:val="bottom"/>
          </w:tcPr>
          <w:p>
            <w:pPr>
              <w:pStyle w:val="Style30"/>
              <w:framePr w:w="9854"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3,2 см</w:t>
            </w:r>
          </w:p>
        </w:tc>
      </w:tr>
      <w:tr>
        <w:trPr>
          <w:trHeight w:val="240"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60" w:lineRule="exact"/>
              <w:ind w:left="0" w:right="0" w:firstLine="0"/>
            </w:pPr>
            <w:r>
              <w:rPr>
                <w:rStyle w:val="CharStyle38"/>
              </w:rPr>
              <w:t>Окружность трикуспидального отверстия</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38"/>
              </w:rPr>
              <w:t>3,9 см</w:t>
            </w:r>
          </w:p>
        </w:tc>
      </w:tr>
      <w:tr>
        <w:trPr>
          <w:trHeight w:val="9034" w:hRule="exact"/>
        </w:trPr>
        <w:tc>
          <w:tcPr>
            <w:shd w:val="clear" w:color="auto" w:fill="FFFFFF"/>
            <w:tcBorders>
              <w:top w:val="single" w:sz="4"/>
            </w:tcBorders>
            <w:vAlign w:val="bottom"/>
          </w:tcPr>
          <w:p>
            <w:pPr>
              <w:pStyle w:val="Style30"/>
              <w:numPr>
                <w:ilvl w:val="0"/>
                <w:numId w:val="13"/>
              </w:numPr>
              <w:framePr w:w="9854" w:wrap="notBeside" w:vAnchor="text" w:hAnchor="text" w:xAlign="center" w:y="1"/>
              <w:tabs>
                <w:tab w:leader="none" w:pos="0" w:val="left"/>
              </w:tabs>
              <w:widowControl w:val="0"/>
              <w:keepNext w:val="0"/>
              <w:keepLines w:val="0"/>
              <w:shd w:val="clear" w:color="auto" w:fill="auto"/>
              <w:bidi w:val="0"/>
              <w:spacing w:before="0" w:after="0"/>
              <w:ind w:left="0" w:right="0" w:hanging="240"/>
            </w:pPr>
            <w:r>
              <w:rPr>
                <w:rStyle w:val="CharStyle58"/>
              </w:rPr>
              <w:t>Сердечные шумы выслушиваются у большинства но</w:t>
              <w:softHyphen/>
              <w:t>ворожденных — 85%. Эти шумы обусловлены времен</w:t>
              <w:softHyphen/>
              <w:t xml:space="preserve">ным функционированием в течение первых </w:t>
            </w:r>
            <w:r>
              <w:rPr>
                <w:rStyle w:val="CharStyle59"/>
                <w:lang w:val="ru-RU" w:eastAsia="ru-RU" w:bidi="ru-RU"/>
              </w:rPr>
              <w:t>8</w:t>
            </w:r>
            <w:r>
              <w:rPr>
                <w:rStyle w:val="CharStyle58"/>
              </w:rPr>
              <w:t xml:space="preserve"> часов у нормальных новорожденных — артериальный про</w:t>
              <w:softHyphen/>
              <w:t>ток с лево-правым шунтированием. Отдельные шумы возникают в раннюю и позднюю систолу, регистриру</w:t>
              <w:softHyphen/>
              <w:t>ются при аускультации и на фонокардиограмме.</w:t>
            </w:r>
          </w:p>
          <w:p>
            <w:pPr>
              <w:pStyle w:val="Style30"/>
              <w:numPr>
                <w:ilvl w:val="0"/>
                <w:numId w:val="13"/>
              </w:numPr>
              <w:framePr w:w="9854" w:wrap="notBeside" w:vAnchor="text" w:hAnchor="text" w:xAlign="center" w:y="1"/>
              <w:tabs>
                <w:tab w:leader="none" w:pos="0" w:val="left"/>
              </w:tabs>
              <w:widowControl w:val="0"/>
              <w:keepNext w:val="0"/>
              <w:keepLines w:val="0"/>
              <w:shd w:val="clear" w:color="auto" w:fill="auto"/>
              <w:bidi w:val="0"/>
              <w:spacing w:before="0" w:after="0"/>
              <w:ind w:left="0" w:right="0" w:hanging="240"/>
            </w:pPr>
            <w:r>
              <w:rPr>
                <w:rStyle w:val="CharStyle58"/>
              </w:rPr>
              <w:t xml:space="preserve">Изменения ЭКГ наблюдаются в продолжение первых 1/2-1 часа жизни, когда интервалы </w:t>
            </w:r>
            <w:r>
              <w:rPr>
                <w:rStyle w:val="CharStyle58"/>
                <w:lang w:val="en-US" w:eastAsia="en-US" w:bidi="en-US"/>
              </w:rPr>
              <w:t xml:space="preserve">P-R, QRS </w:t>
            </w:r>
            <w:r>
              <w:rPr>
                <w:rStyle w:val="CharStyle58"/>
              </w:rPr>
              <w:t>и зубец Т первично удлиняются, снова становясь короткими че</w:t>
              <w:softHyphen/>
              <w:t xml:space="preserve">рез несколько часов. Самое значительное изменение претерпевает зубец Т в </w:t>
            </w:r>
            <w:r>
              <w:rPr>
                <w:rStyle w:val="CharStyle58"/>
                <w:lang w:val="en-US" w:eastAsia="en-US" w:bidi="en-US"/>
              </w:rPr>
              <w:t>V</w:t>
            </w:r>
            <w:r>
              <w:rPr>
                <w:rStyle w:val="CharStyle59"/>
              </w:rPr>
              <w:t>1</w:t>
            </w:r>
            <w:r>
              <w:rPr>
                <w:rStyle w:val="CharStyle58"/>
                <w:lang w:val="en-US" w:eastAsia="en-US" w:bidi="en-US"/>
              </w:rPr>
              <w:t xml:space="preserve">, </w:t>
            </w:r>
            <w:r>
              <w:rPr>
                <w:rStyle w:val="CharStyle58"/>
              </w:rPr>
              <w:t xml:space="preserve">являясь положительным, предположительно за счет систолической перегрузки ПЖ, затем — более отрицательным после 24 часов жизни, в то время как зубец Т в </w:t>
            </w:r>
            <w:r>
              <w:rPr>
                <w:rStyle w:val="CharStyle58"/>
                <w:lang w:val="en-US" w:eastAsia="en-US" w:bidi="en-US"/>
              </w:rPr>
              <w:t>V</w:t>
            </w:r>
            <w:r>
              <w:rPr>
                <w:rStyle w:val="CharStyle59"/>
              </w:rPr>
              <w:t>6</w:t>
            </w:r>
            <w:r>
              <w:rPr>
                <w:rStyle w:val="CharStyle58"/>
                <w:lang w:val="en-US" w:eastAsia="en-US" w:bidi="en-US"/>
              </w:rPr>
              <w:t xml:space="preserve"> </w:t>
            </w:r>
            <w:r>
              <w:rPr>
                <w:rStyle w:val="CharStyle58"/>
              </w:rPr>
              <w:t>становится более положительным. Данные ЭКГ-изменения коррелиру</w:t>
              <w:softHyphen/>
              <w:t>ют со степенью артериального легочного давления. Постоянно положительный зубец Т в V в течение продолжительного времени периода новорожденнос- ти является критерием гипертрофии ПЖ.</w:t>
            </w:r>
          </w:p>
          <w:p>
            <w:pPr>
              <w:pStyle w:val="Style30"/>
              <w:numPr>
                <w:ilvl w:val="0"/>
                <w:numId w:val="13"/>
              </w:numPr>
              <w:framePr w:w="9854" w:wrap="notBeside" w:vAnchor="text" w:hAnchor="text" w:xAlign="center" w:y="1"/>
              <w:tabs>
                <w:tab w:leader="none" w:pos="0" w:val="left"/>
              </w:tabs>
              <w:widowControl w:val="0"/>
              <w:keepNext w:val="0"/>
              <w:keepLines w:val="0"/>
              <w:shd w:val="clear" w:color="auto" w:fill="auto"/>
              <w:bidi w:val="0"/>
              <w:spacing w:before="0" w:after="120"/>
              <w:ind w:left="0" w:right="0" w:hanging="240"/>
            </w:pPr>
            <w:r>
              <w:rPr>
                <w:rStyle w:val="CharStyle58"/>
              </w:rPr>
              <w:t>В обнаружении дополнительных информационных симптомов нормальной и измененной функции сер</w:t>
              <w:softHyphen/>
              <w:t>дечно-сосудистой системы у плода и новорожденно</w:t>
              <w:softHyphen/>
              <w:t>го играет большую роль эхокардиография, особенно в диагностике структурных аномалий перинатально</w:t>
              <w:softHyphen/>
              <w:t>го периода.</w:t>
            </w:r>
          </w:p>
          <w:p>
            <w:pPr>
              <w:pStyle w:val="Style30"/>
              <w:framePr w:w="9854" w:wrap="notBeside" w:vAnchor="text" w:hAnchor="text" w:xAlign="center" w:y="1"/>
              <w:widowControl w:val="0"/>
              <w:keepNext w:val="0"/>
              <w:keepLines w:val="0"/>
              <w:shd w:val="clear" w:color="auto" w:fill="auto"/>
              <w:bidi w:val="0"/>
              <w:spacing w:before="120" w:after="120" w:line="200" w:lineRule="exact"/>
              <w:ind w:left="0" w:right="0" w:firstLine="0"/>
            </w:pPr>
            <w:r>
              <w:rPr>
                <w:rStyle w:val="CharStyle60"/>
              </w:rPr>
              <w:t>Кровообращение новорожденных</w:t>
            </w:r>
          </w:p>
          <w:p>
            <w:pPr>
              <w:pStyle w:val="Style30"/>
              <w:framePr w:w="9854" w:wrap="notBeside" w:vAnchor="text" w:hAnchor="text" w:xAlign="center" w:y="1"/>
              <w:widowControl w:val="0"/>
              <w:keepNext w:val="0"/>
              <w:keepLines w:val="0"/>
              <w:shd w:val="clear" w:color="auto" w:fill="auto"/>
              <w:bidi w:val="0"/>
              <w:spacing w:before="120" w:after="0"/>
              <w:ind w:left="0" w:right="0" w:firstLine="260"/>
            </w:pPr>
            <w:r>
              <w:rPr>
                <w:rStyle w:val="CharStyle58"/>
              </w:rPr>
              <w:t>Сердце новорожденных имеет овальную форму, с преоб</w:t>
              <w:softHyphen/>
              <w:t>ладанием поперечных размеров. Желудочки примерно рав</w:t>
              <w:softHyphen/>
              <w:t>ны между собой. Размеры правого желудочка уменьшаются начиная со вторых суток жизни, к 5-7 дню размер составля</w:t>
              <w:softHyphen/>
              <w:t>ет 93% от показателя первых часов жизни, в месячный срок — 80%. Левый желудочек в первые сутки жизни имеет также тенденцию к уменьшению до 5-7 дня, после чего на</w:t>
              <w:softHyphen/>
              <w:t>блюдается увеличение его диаметра, к месяцу увеличение размера левого желудочка составляет 112%. Предсердия и магистральные сосуды у новорожденного имеют большие размеры по отношению к желудочкам. Диаметр легочной артерии преобладает над аортой на 5 мм. На 1 кг массы те-</w:t>
            </w:r>
          </w:p>
        </w:tc>
        <w:tc>
          <w:tcPr>
            <w:shd w:val="clear" w:color="auto" w:fill="FFFFFF"/>
            <w:tcBorders>
              <w:top w:val="single" w:sz="4"/>
            </w:tcBorders>
            <w:vAlign w:val="center"/>
          </w:tcPr>
          <w:p>
            <w:pPr>
              <w:pStyle w:val="Style30"/>
              <w:framePr w:w="9854" w:wrap="notBeside" w:vAnchor="text" w:hAnchor="text" w:xAlign="center" w:y="1"/>
              <w:widowControl w:val="0"/>
              <w:keepNext w:val="0"/>
              <w:keepLines w:val="0"/>
              <w:shd w:val="clear" w:color="auto" w:fill="auto"/>
              <w:bidi w:val="0"/>
              <w:jc w:val="left"/>
              <w:spacing w:before="0" w:after="0"/>
              <w:ind w:left="0" w:right="0" w:firstLine="0"/>
            </w:pPr>
            <w:r>
              <w:rPr>
                <w:rStyle w:val="CharStyle58"/>
              </w:rPr>
              <w:t>овальных ядер. Поперечная исчерченность отсутствует. Со</w:t>
              <w:softHyphen/>
              <w:t>единительная ткань только начинает появляться, эластичес</w:t>
              <w:softHyphen/>
              <w:t>ких элементов очень мало. Эндокард состоит из двух слоев, отличается рыхлым строением. Богато представлена капил</w:t>
              <w:softHyphen/>
              <w:t>лярная сеть с большим количеством анастомозов между пра</w:t>
              <w:softHyphen/>
              <w:t>вой и левой венечными артериями. К концу первого месяца жизни происходит постепенное утолщение миофибрилл, они делаются мощнее, грубеет соединительная ткань, уменьшает</w:t>
              <w:softHyphen/>
              <w:t>ся количество ядер, форма их становится палочкообразной.</w:t>
            </w:r>
          </w:p>
          <w:p>
            <w:pPr>
              <w:pStyle w:val="Style30"/>
              <w:framePr w:w="9854" w:wrap="notBeside" w:vAnchor="text" w:hAnchor="text" w:xAlign="center" w:y="1"/>
              <w:widowControl w:val="0"/>
              <w:keepNext w:val="0"/>
              <w:keepLines w:val="0"/>
              <w:shd w:val="clear" w:color="auto" w:fill="auto"/>
              <w:bidi w:val="0"/>
              <w:spacing w:before="0" w:after="0"/>
              <w:ind w:left="0" w:right="0" w:firstLine="360"/>
            </w:pPr>
            <w:r>
              <w:rPr>
                <w:rStyle w:val="CharStyle58"/>
              </w:rPr>
              <w:t>Важные изменения происходят в сосудистой стенке ле</w:t>
              <w:softHyphen/>
              <w:t>гочных артериол. Происходит постепенное увеличение просвета, уменьшение и истончение мышечного и инти- мального слоев. Такая инволюция легочных сосудов завер</w:t>
              <w:softHyphen/>
              <w:t>шается к 3-й неделе жизни.</w:t>
            </w:r>
          </w:p>
          <w:p>
            <w:pPr>
              <w:pStyle w:val="Style30"/>
              <w:framePr w:w="9854" w:wrap="notBeside" w:vAnchor="text" w:hAnchor="text" w:xAlign="center" w:y="1"/>
              <w:widowControl w:val="0"/>
              <w:keepNext w:val="0"/>
              <w:keepLines w:val="0"/>
              <w:shd w:val="clear" w:color="auto" w:fill="auto"/>
              <w:bidi w:val="0"/>
              <w:jc w:val="left"/>
              <w:spacing w:before="0" w:after="0"/>
              <w:ind w:left="0" w:right="0" w:firstLine="360"/>
            </w:pPr>
            <w:r>
              <w:rPr>
                <w:rStyle w:val="CharStyle58"/>
              </w:rPr>
              <w:t>Сосудистая система большого круга кровообращения у новорожденных подвержена энергичному росту. В этом возрасте хорошо выражена капиллярная сеть, особенно во внутренних органах. Вены более узкие и емкость венозного русла равна артериальному. Постепенно нарастает эластич</w:t>
              <w:softHyphen/>
              <w:t>ность магистральных сосудов.</w:t>
            </w:r>
          </w:p>
          <w:p>
            <w:pPr>
              <w:pStyle w:val="Style30"/>
              <w:framePr w:w="9854" w:wrap="notBeside" w:vAnchor="text" w:hAnchor="text" w:xAlign="center" w:y="1"/>
              <w:widowControl w:val="0"/>
              <w:keepNext w:val="0"/>
              <w:keepLines w:val="0"/>
              <w:shd w:val="clear" w:color="auto" w:fill="auto"/>
              <w:bidi w:val="0"/>
              <w:spacing w:before="0" w:after="0"/>
              <w:ind w:left="0" w:right="0" w:firstLine="360"/>
            </w:pPr>
            <w:r>
              <w:rPr>
                <w:rStyle w:val="CharStyle58"/>
              </w:rPr>
              <w:t>Основными характеристиками кровообращения ново</w:t>
              <w:softHyphen/>
              <w:t>рожденных являются:</w:t>
            </w:r>
          </w:p>
          <w:p>
            <w:pPr>
              <w:pStyle w:val="Style30"/>
              <w:numPr>
                <w:ilvl w:val="0"/>
                <w:numId w:val="15"/>
              </w:numPr>
              <w:framePr w:w="9854" w:wrap="notBeside" w:vAnchor="text" w:hAnchor="text" w:xAlign="center" w:y="1"/>
              <w:tabs>
                <w:tab w:leader="none" w:pos="0" w:val="left"/>
              </w:tabs>
              <w:widowControl w:val="0"/>
              <w:keepNext w:val="0"/>
              <w:keepLines w:val="0"/>
              <w:shd w:val="clear" w:color="auto" w:fill="auto"/>
              <w:bidi w:val="0"/>
              <w:spacing w:before="0" w:after="0"/>
              <w:ind w:left="0" w:right="0" w:hanging="240"/>
            </w:pPr>
            <w:r>
              <w:rPr>
                <w:rStyle w:val="CharStyle58"/>
              </w:rPr>
              <w:t>снижение резистентности легочного сосудистого рус</w:t>
              <w:softHyphen/>
              <w:t>ла, увеличение легочного кровотока;</w:t>
            </w:r>
          </w:p>
          <w:p>
            <w:pPr>
              <w:pStyle w:val="Style30"/>
              <w:numPr>
                <w:ilvl w:val="0"/>
                <w:numId w:val="15"/>
              </w:numPr>
              <w:framePr w:w="9854" w:wrap="notBeside" w:vAnchor="text" w:hAnchor="text" w:xAlign="center" w:y="1"/>
              <w:tabs>
                <w:tab w:leader="none" w:pos="-14" w:val="left"/>
              </w:tabs>
              <w:widowControl w:val="0"/>
              <w:keepNext w:val="0"/>
              <w:keepLines w:val="0"/>
              <w:shd w:val="clear" w:color="auto" w:fill="auto"/>
              <w:bidi w:val="0"/>
              <w:spacing w:before="0" w:after="0"/>
              <w:ind w:left="0" w:right="0" w:hanging="240"/>
            </w:pPr>
            <w:r>
              <w:rPr>
                <w:rStyle w:val="CharStyle58"/>
              </w:rPr>
              <w:t>легочное артериальное давление намного меньше, чем системное артериальное давление;</w:t>
            </w:r>
          </w:p>
          <w:p>
            <w:pPr>
              <w:pStyle w:val="Style30"/>
              <w:numPr>
                <w:ilvl w:val="0"/>
                <w:numId w:val="15"/>
              </w:numPr>
              <w:framePr w:w="9854" w:wrap="notBeside" w:vAnchor="text" w:hAnchor="text" w:xAlign="center" w:y="1"/>
              <w:tabs>
                <w:tab w:leader="none" w:pos="600" w:val="left"/>
              </w:tabs>
              <w:widowControl w:val="0"/>
              <w:keepNext w:val="0"/>
              <w:keepLines w:val="0"/>
              <w:shd w:val="clear" w:color="auto" w:fill="auto"/>
              <w:bidi w:val="0"/>
              <w:spacing w:before="0" w:after="0"/>
              <w:ind w:left="0" w:right="0" w:firstLine="360"/>
            </w:pPr>
            <w:r>
              <w:rPr>
                <w:rStyle w:val="CharStyle58"/>
              </w:rPr>
              <w:t>овальное окно закрыто;</w:t>
            </w:r>
          </w:p>
          <w:p>
            <w:pPr>
              <w:pStyle w:val="Style30"/>
              <w:numPr>
                <w:ilvl w:val="0"/>
                <w:numId w:val="15"/>
              </w:numPr>
              <w:framePr w:w="9854" w:wrap="notBeside" w:vAnchor="text" w:hAnchor="text" w:xAlign="center" w:y="1"/>
              <w:tabs>
                <w:tab w:leader="none" w:pos="595" w:val="left"/>
              </w:tabs>
              <w:widowControl w:val="0"/>
              <w:keepNext w:val="0"/>
              <w:keepLines w:val="0"/>
              <w:shd w:val="clear" w:color="auto" w:fill="auto"/>
              <w:bidi w:val="0"/>
              <w:spacing w:before="0" w:after="0"/>
              <w:ind w:left="0" w:right="0" w:firstLine="360"/>
            </w:pPr>
            <w:r>
              <w:rPr>
                <w:rStyle w:val="CharStyle58"/>
              </w:rPr>
              <w:t>артериальный проток закрыт;</w:t>
            </w:r>
          </w:p>
          <w:p>
            <w:pPr>
              <w:pStyle w:val="Style30"/>
              <w:numPr>
                <w:ilvl w:val="0"/>
                <w:numId w:val="15"/>
              </w:numPr>
              <w:framePr w:w="9854" w:wrap="notBeside" w:vAnchor="text" w:hAnchor="text" w:xAlign="center" w:y="1"/>
              <w:tabs>
                <w:tab w:leader="none" w:pos="-10" w:val="left"/>
              </w:tabs>
              <w:widowControl w:val="0"/>
              <w:keepNext w:val="0"/>
              <w:keepLines w:val="0"/>
              <w:shd w:val="clear" w:color="auto" w:fill="auto"/>
              <w:bidi w:val="0"/>
              <w:spacing w:before="0" w:after="0"/>
              <w:ind w:left="0" w:right="0" w:hanging="240"/>
            </w:pPr>
            <w:r>
              <w:rPr>
                <w:rStyle w:val="CharStyle58"/>
              </w:rPr>
              <w:t>устранение плацентарного кровотока, запустевание плацентарных коммуникаций;</w:t>
            </w:r>
          </w:p>
          <w:p>
            <w:pPr>
              <w:pStyle w:val="Style30"/>
              <w:numPr>
                <w:ilvl w:val="0"/>
                <w:numId w:val="15"/>
              </w:numPr>
              <w:framePr w:w="9854" w:wrap="notBeside" w:vAnchor="text" w:hAnchor="text" w:xAlign="center" w:y="1"/>
              <w:tabs>
                <w:tab w:leader="none" w:pos="0" w:val="left"/>
              </w:tabs>
              <w:widowControl w:val="0"/>
              <w:keepNext w:val="0"/>
              <w:keepLines w:val="0"/>
              <w:shd w:val="clear" w:color="auto" w:fill="auto"/>
              <w:bidi w:val="0"/>
              <w:spacing w:before="0" w:after="0"/>
              <w:ind w:left="0" w:right="0" w:hanging="240"/>
            </w:pPr>
            <w:r>
              <w:rPr>
                <w:rStyle w:val="CharStyle58"/>
              </w:rPr>
              <w:t>сердце начинает работать последовательно, весь ос</w:t>
              <w:softHyphen/>
              <w:t>новной выброс правого желудочка проходит через легкие (малый круг кровообращения), выброс левого желудочка — через большой круг кровообращения (каждый желудочек в отдельности накачивает 50% общего сердечного выброса);</w:t>
            </w:r>
          </w:p>
          <w:p>
            <w:pPr>
              <w:pStyle w:val="Style30"/>
              <w:numPr>
                <w:ilvl w:val="0"/>
                <w:numId w:val="15"/>
              </w:numPr>
              <w:framePr w:w="9854" w:wrap="notBeside" w:vAnchor="text" w:hAnchor="text" w:xAlign="center" w:y="1"/>
              <w:tabs>
                <w:tab w:leader="none" w:pos="0" w:val="left"/>
              </w:tabs>
              <w:widowControl w:val="0"/>
              <w:keepNext w:val="0"/>
              <w:keepLines w:val="0"/>
              <w:shd w:val="clear" w:color="auto" w:fill="auto"/>
              <w:bidi w:val="0"/>
              <w:spacing w:before="0" w:after="0"/>
              <w:ind w:left="0" w:right="0" w:hanging="240"/>
            </w:pPr>
            <w:r>
              <w:rPr>
                <w:rStyle w:val="CharStyle58"/>
              </w:rPr>
              <w:t>системное артериальное давление и периферическая резистентность сосудов большого круга кровообра</w:t>
              <w:softHyphen/>
              <w:t>щения имеют большее значение, чем давление в ле</w:t>
              <w:softHyphen/>
              <w:t>гочной артерии и резистентность легочных сосудов.</w:t>
            </w:r>
          </w:p>
        </w:tc>
      </w:tr>
      <w:tr>
        <w:trPr>
          <w:trHeight w:val="859" w:hRule="exact"/>
        </w:trPr>
        <w:tc>
          <w:tcPr>
            <w:shd w:val="clear" w:color="auto" w:fill="FFFFFF"/>
            <w:tcBorders/>
            <w:vAlign w:val="bottom"/>
          </w:tcPr>
          <w:p>
            <w:pPr>
              <w:pStyle w:val="Style30"/>
              <w:framePr w:w="9854" w:wrap="notBeside" w:vAnchor="text" w:hAnchor="text" w:xAlign="center" w:y="1"/>
              <w:widowControl w:val="0"/>
              <w:keepNext w:val="0"/>
              <w:keepLines w:val="0"/>
              <w:shd w:val="clear" w:color="auto" w:fill="auto"/>
              <w:bidi w:val="0"/>
              <w:spacing w:before="0" w:after="0"/>
              <w:ind w:left="0" w:right="0" w:firstLine="0"/>
            </w:pPr>
            <w:r>
              <w:rPr>
                <w:rStyle w:val="CharStyle58"/>
              </w:rPr>
              <w:t>ла новорожденного приходится около 5,5 г миокарда.</w:t>
            </w:r>
          </w:p>
          <w:p>
            <w:pPr>
              <w:pStyle w:val="Style30"/>
              <w:framePr w:w="9854" w:wrap="notBeside" w:vAnchor="text" w:hAnchor="text" w:xAlign="center" w:y="1"/>
              <w:widowControl w:val="0"/>
              <w:keepNext w:val="0"/>
              <w:keepLines w:val="0"/>
              <w:shd w:val="clear" w:color="auto" w:fill="auto"/>
              <w:bidi w:val="0"/>
              <w:spacing w:before="0" w:after="0"/>
              <w:ind w:left="0" w:right="0" w:firstLine="260"/>
            </w:pPr>
            <w:r>
              <w:rPr>
                <w:rStyle w:val="CharStyle58"/>
              </w:rPr>
              <w:t>Основные морфометрические показатели сердца ново</w:t>
              <w:softHyphen/>
              <w:t>рожденного представлены в табл. 4.</w:t>
            </w:r>
          </w:p>
          <w:p>
            <w:pPr>
              <w:pStyle w:val="Style30"/>
              <w:framePr w:w="9854" w:wrap="notBeside" w:vAnchor="text" w:hAnchor="text" w:xAlign="center" w:y="1"/>
              <w:widowControl w:val="0"/>
              <w:keepNext w:val="0"/>
              <w:keepLines w:val="0"/>
              <w:shd w:val="clear" w:color="auto" w:fill="auto"/>
              <w:bidi w:val="0"/>
              <w:spacing w:before="0" w:after="0"/>
              <w:ind w:left="0" w:right="0" w:firstLine="260"/>
            </w:pPr>
            <w:r>
              <w:rPr>
                <w:rStyle w:val="CharStyle58"/>
              </w:rPr>
              <w:t>У новорожденных сердце пока еще мало адаптировано</w:t>
            </w:r>
          </w:p>
        </w:tc>
        <w:tc>
          <w:tcPr>
            <w:shd w:val="clear" w:color="auto" w:fill="FFFFFF"/>
            <w:tcBorders/>
            <w:vAlign w:val="top"/>
          </w:tcPr>
          <w:p>
            <w:pPr>
              <w:pStyle w:val="Style30"/>
              <w:framePr w:w="9854" w:wrap="notBeside" w:vAnchor="text" w:hAnchor="text" w:xAlign="center" w:y="1"/>
              <w:widowControl w:val="0"/>
              <w:keepNext w:val="0"/>
              <w:keepLines w:val="0"/>
              <w:shd w:val="clear" w:color="auto" w:fill="auto"/>
              <w:bidi w:val="0"/>
              <w:jc w:val="left"/>
              <w:spacing w:before="0" w:after="0" w:line="288" w:lineRule="exact"/>
              <w:ind w:left="0" w:right="0" w:firstLine="0"/>
            </w:pPr>
            <w:r>
              <w:rPr>
                <w:rStyle w:val="CharStyle61"/>
              </w:rPr>
              <w:t>Диагностика заболеваний органов кровообращения</w:t>
            </w:r>
          </w:p>
        </w:tc>
      </w:tr>
      <w:tr>
        <w:trPr>
          <w:trHeight w:val="1094" w:hRule="exact"/>
        </w:trPr>
        <w:tc>
          <w:tcPr>
            <w:shd w:val="clear" w:color="auto" w:fill="FFFFFF"/>
            <w:tcBorders/>
            <w:vAlign w:val="bottom"/>
          </w:tcPr>
          <w:p>
            <w:pPr>
              <w:pStyle w:val="Style30"/>
              <w:framePr w:w="9854" w:wrap="notBeside" w:vAnchor="text" w:hAnchor="text" w:xAlign="center" w:y="1"/>
              <w:widowControl w:val="0"/>
              <w:keepNext w:val="0"/>
              <w:keepLines w:val="0"/>
              <w:shd w:val="clear" w:color="auto" w:fill="auto"/>
              <w:bidi w:val="0"/>
              <w:spacing w:before="0" w:after="0"/>
              <w:ind w:left="0" w:right="0" w:firstLine="0"/>
            </w:pPr>
            <w:r>
              <w:rPr>
                <w:rStyle w:val="CharStyle58"/>
              </w:rPr>
              <w:t>к увеличению как постнагрузки, так и преднагрузки, что свя</w:t>
              <w:softHyphen/>
              <w:t>зано со структурными особенностями миокарда и его метабо</w:t>
              <w:softHyphen/>
              <w:t>лизма. В неонатальном периоде сердечная мышца еще пред</w:t>
              <w:softHyphen/>
              <w:t>ставлена симпластом, состоящим из тонких, плохо разделен</w:t>
              <w:softHyphen/>
              <w:t>ных миофибрилл, которые содержат большое количество</w:t>
            </w:r>
          </w:p>
        </w:tc>
        <w:tc>
          <w:tcPr>
            <w:shd w:val="clear" w:color="auto" w:fill="FFFFFF"/>
            <w:tcBorders/>
            <w:vAlign w:val="top"/>
          </w:tcPr>
          <w:p>
            <w:pPr>
              <w:pStyle w:val="Style30"/>
              <w:framePr w:w="9854" w:wrap="notBeside" w:vAnchor="text" w:hAnchor="text" w:xAlign="center" w:y="1"/>
              <w:widowControl w:val="0"/>
              <w:keepNext w:val="0"/>
              <w:keepLines w:val="0"/>
              <w:shd w:val="clear" w:color="auto" w:fill="auto"/>
              <w:bidi w:val="0"/>
              <w:jc w:val="left"/>
              <w:spacing w:before="0" w:after="120" w:line="210" w:lineRule="exact"/>
              <w:ind w:left="0" w:right="0" w:firstLine="0"/>
            </w:pPr>
            <w:r>
              <w:rPr>
                <w:rStyle w:val="CharStyle62"/>
                <w:b/>
                <w:bCs/>
              </w:rPr>
              <w:t>Введение</w:t>
            </w:r>
          </w:p>
          <w:p>
            <w:pPr>
              <w:pStyle w:val="Style30"/>
              <w:framePr w:w="9854" w:wrap="notBeside" w:vAnchor="text" w:hAnchor="text" w:xAlign="center" w:y="1"/>
              <w:widowControl w:val="0"/>
              <w:keepNext w:val="0"/>
              <w:keepLines w:val="0"/>
              <w:shd w:val="clear" w:color="auto" w:fill="auto"/>
              <w:bidi w:val="0"/>
              <w:spacing w:before="120" w:after="0"/>
              <w:ind w:left="0" w:right="0" w:firstLine="360"/>
            </w:pPr>
            <w:r>
              <w:rPr>
                <w:rStyle w:val="CharStyle58"/>
              </w:rPr>
              <w:t>Важность своевременной диагностики болезней системы кровообращения заключается в первую очередь в том, что большинство болезней сердца у взрослых имеют свои истоки в детстве. Да и у детей частота болезней сердца среди хрони-</w:t>
            </w:r>
          </w:p>
        </w:tc>
      </w:tr>
    </w:tbl>
    <w:p>
      <w:pPr>
        <w:framePr w:w="9854" w:wrap="notBeside" w:vAnchor="text" w:hAnchor="text" w:xAlign="center" w:y="1"/>
        <w:widowControl w:val="0"/>
        <w:rPr>
          <w:sz w:val="2"/>
          <w:szCs w:val="2"/>
        </w:rPr>
      </w:pPr>
    </w:p>
    <w:p>
      <w:pPr>
        <w:widowControl w:val="0"/>
        <w:rPr>
          <w:sz w:val="2"/>
          <w:szCs w:val="2"/>
        </w:rPr>
      </w:pPr>
    </w:p>
    <w:p>
      <w:pPr>
        <w:widowControl w:val="0"/>
        <w:rPr>
          <w:sz w:val="2"/>
          <w:szCs w:val="2"/>
        </w:rPr>
        <w:sectPr>
          <w:pgSz w:w="11900" w:h="16840"/>
          <w:pgMar w:top="1799" w:left="908" w:right="1105" w:bottom="1789" w:header="0" w:footer="3" w:gutter="0"/>
          <w:rtlGutter w:val="0"/>
          <w:cols w:space="720"/>
          <w:noEndnote/>
          <w:docGrid w:linePitch="360"/>
        </w:sectPr>
      </w:pPr>
    </w:p>
    <w:p>
      <w:pPr>
        <w:widowControl w:val="0"/>
        <w:rPr>
          <w:sz w:val="2"/>
          <w:szCs w:val="2"/>
        </w:rPr>
      </w:pPr>
      <w:r>
        <w:pict>
          <v:shape id="_x0000_s1048" type="#_x0000_t75" style="position:absolute;margin-left:136.8pt;margin-top:736.1pt;width:209.75pt;height:14.9pt;z-index:-125829373;mso-wrap-distance-left:136.8pt;mso-wrap-distance-right:148.1pt;mso-wrap-distance-bottom:20.pt;mso-position-horizontal-relative:margin" wrapcoords="0 0 21600 0 21600 21600 0 21600 0 0">
            <v:imagedata r:id="rId39" r:href="rId40"/>
            <w10:wrap type="topAndBottom" anchorx="margin"/>
          </v:shape>
        </w:pic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ческой соматической патологии занимает одно из ведущих мест. Так, только врожденные пороки сердца и магистраль</w:t>
        <w:softHyphen/>
        <w:t xml:space="preserve">ных сосудов встречаются в </w:t>
      </w:r>
      <w:r>
        <w:rPr>
          <w:rStyle w:val="CharStyle32"/>
        </w:rPr>
        <w:t>6-10</w:t>
      </w:r>
      <w:r>
        <w:rPr>
          <w:lang w:val="ru-RU" w:eastAsia="ru-RU" w:bidi="ru-RU"/>
          <w:w w:val="100"/>
          <w:spacing w:val="0"/>
          <w:color w:val="000000"/>
          <w:position w:val="0"/>
        </w:rPr>
        <w:t xml:space="preserve"> случаях на </w:t>
      </w:r>
      <w:r>
        <w:rPr>
          <w:rStyle w:val="CharStyle32"/>
        </w:rPr>
        <w:t>1000</w:t>
      </w:r>
      <w:r>
        <w:rPr>
          <w:lang w:val="ru-RU" w:eastAsia="ru-RU" w:bidi="ru-RU"/>
          <w:w w:val="100"/>
          <w:spacing w:val="0"/>
          <w:color w:val="000000"/>
          <w:position w:val="0"/>
        </w:rPr>
        <w:t xml:space="preserve"> новорожден</w:t>
        <w:softHyphen/>
        <w:t>ных, причем этот показатель может быть существенно выше, так как не учитывается тот факт, что в большинстве случаев мертворождение и смерть ребенка в первые дни жизни свя</w:t>
        <w:softHyphen/>
        <w:t>заны с пороками сердца, не совместимыми с жизнью.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последние годы существенно изменился спектр сер</w:t>
        <w:softHyphen/>
        <w:t>дечно-сосудистых заболеваний. Если раньше в структуре заболеваемости сердца преобладал ревматизм, то в настоя</w:t>
        <w:softHyphen/>
        <w:t>щее время первенство занимают неинфекционная патоло</w:t>
        <w:softHyphen/>
        <w:t>гия сердца (функциональные кардиоваскулярные рас</w:t>
        <w:softHyphen/>
        <w:t>стройства), вирусные и наследственные болезни сердеч</w:t>
        <w:softHyphen/>
        <w:t>но-сосудистой системы. С успехами кардиохирургии тесно связана и другая проблема, касающаяся оперированного сердца, при этом возросла частота инфекционных ослож</w:t>
        <w:softHyphen/>
        <w:t>нений (инфекционный эндокардит).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изменение спектра сердечно-сосудистых заболева</w:t>
        <w:softHyphen/>
        <w:t>ний в детстве оказывают большое влияние экологические факторы. Так, если раньше болезнь Кешана относили к раз</w:t>
        <w:softHyphen/>
        <w:t>ряду редких идиопатических кардиомиопатий с неблаго</w:t>
        <w:softHyphen/>
        <w:t>приятным исходом, то в настоящее время установлено, что эта патология обусловлена нарушением обмена селена.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Большое влияние на возникновение патологии сердеч</w:t>
        <w:softHyphen/>
        <w:t>но-сосудистой системы оказывает фактор урбанизации. Не секрет, что такие распространенные у подростков расстрой</w:t>
        <w:softHyphen/>
        <w:t>ства, как артериальная гипер- и гипотензия, аритмии, встречаются в несколько раз чаще у городских жителей по сравнению с сельскими.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Определилась группа заболеваний, которые педиатры и кардиологи считали как казуистические. В первую оче</w:t>
        <w:softHyphen/>
        <w:t>редь это относится к болезни Кавасаки (слизисто-кож</w:t>
        <w:softHyphen/>
        <w:t>но-нодулярный синдром), которая в зарубежных странах является ведущей причиной приобретенных заболеваний сердца у детей. По данным Л.В.Брегель, эндемическая час</w:t>
        <w:softHyphen/>
        <w:t>тота заболевания в нашей стране составляет ориентировоч</w:t>
        <w:softHyphen/>
        <w:t>но 4,4 случая на 100 000 детского населения.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Трудности диагностического процесса в кардиологии за</w:t>
        <w:softHyphen/>
        <w:t>ключаются в том, что многие болезни сердца в детстве име</w:t>
        <w:softHyphen/>
        <w:t>ют малосимптомное начало, с другой стороны, могут проте</w:t>
        <w:softHyphen/>
        <w:t>кать под маской других заболеваний (например, астматиче</w:t>
        <w:softHyphen/>
        <w:t>ский бронхит при левожелудочковой недостаточности, боли в животе при аномалиях коронарного кровообращения). Ряд заболеваний обнаруживается поздно, на стадии деком</w:t>
        <w:softHyphen/>
        <w:t>пенсации, когда помощь ребенку становится малоэффек</w:t>
        <w:softHyphen/>
        <w:t>тивной. Например, обнаружение легочной гипертензии клинически (одышка, «малиновый» румянец щек) и по дру</w:t>
        <w:softHyphen/>
        <w:t>гим объективным симптомам (ЭКГ, рентгенография груд</w:t>
        <w:softHyphen/>
        <w:t>ной клетки) свидетельствует о декомпенсации, а не о на</w:t>
        <w:softHyphen/>
        <w:t>чальной стадии заболевания. Это связано с тем, что если для диагностики артериальной гипертензии врач имеет простой тест — измерение артериального давления, то постановка диагноза легочной гипертензии, особенно на ранней ста</w:t>
        <w:softHyphen/>
        <w:t>дии, требует проведения катетеризации правого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Детская кардиология не имела бы дальнейшего развития без современной диагностической аппаратуры. Так, ис</w:t>
        <w:softHyphen/>
        <w:t>пользование в клинической практике ультразвуковых мето - дов исследования, включая цветовую допплерэхокардио</w:t>
        <w:softHyphen/>
        <w:t>графию, позволило выявлять патологию сердца даже у пло</w:t>
        <w:softHyphen/>
        <w:t>да, заменяет катетеризацию и ангиографию. Однако, как бы ни были совершенны диагностические приборы, они не заменят клинического мышления врача.</w:t>
      </w:r>
    </w:p>
    <w:p>
      <w:pPr>
        <w:pStyle w:val="Style54"/>
        <w:widowControl w:val="0"/>
        <w:keepNext/>
        <w:keepLines/>
        <w:shd w:val="clear" w:color="auto" w:fill="auto"/>
        <w:bidi w:val="0"/>
        <w:jc w:val="left"/>
        <w:spacing w:before="0" w:after="39" w:line="210" w:lineRule="exact"/>
        <w:ind w:left="0" w:right="0" w:firstLine="0"/>
      </w:pPr>
      <w:r>
        <w:br w:type="column"/>
      </w:r>
      <w:bookmarkStart w:id="11" w:name="bookmark11"/>
      <w:r>
        <w:rPr>
          <w:lang w:val="ru-RU" w:eastAsia="ru-RU" w:bidi="ru-RU"/>
          <w:w w:val="100"/>
          <w:spacing w:val="0"/>
          <w:color w:val="000000"/>
          <w:position w:val="0"/>
        </w:rPr>
        <w:t>Анамнез</w:t>
      </w:r>
      <w:bookmarkEnd w:id="1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может дать информацию о природе и тяжести заболевания, позволяет установить роль психологических, семейных, экологических и социальных факторов. Данные анамнеза служат основой для выбора методов диагностиче</w:t>
        <w:softHyphen/>
        <w:t>ского исследования и определения возможных путей кор</w:t>
        <w:softHyphen/>
        <w:t>рекции.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каждом конкретном случае врач придерживается оп</w:t>
        <w:softHyphen/>
        <w:t>ределенного собственного плана сбора анамнеза, однако во всех случаях выясняется семейный анамнез, анамнез жизни и анамнез настоящего заболевания.</w:t>
      </w:r>
    </w:p>
    <w:p>
      <w:pPr>
        <w:pStyle w:val="Style30"/>
        <w:widowControl w:val="0"/>
        <w:keepNext w:val="0"/>
        <w:keepLines w:val="0"/>
        <w:shd w:val="clear" w:color="auto" w:fill="auto"/>
        <w:bidi w:val="0"/>
        <w:spacing w:before="0" w:after="0"/>
        <w:ind w:left="0" w:right="0" w:firstLine="280"/>
      </w:pPr>
      <w:r>
        <w:rPr>
          <w:rStyle w:val="CharStyle44"/>
        </w:rPr>
        <w:t xml:space="preserve">Семейный анамнез </w:t>
      </w:r>
      <w:r>
        <w:rPr>
          <w:lang w:val="ru-RU" w:eastAsia="ru-RU" w:bidi="ru-RU"/>
          <w:w w:val="100"/>
          <w:spacing w:val="0"/>
          <w:color w:val="000000"/>
          <w:position w:val="0"/>
        </w:rPr>
        <w:t>имеет первостепенное значение в си</w:t>
        <w:softHyphen/>
        <w:t>лу того, что большинство заболеваний сердца у детей в той или иной степени имеют наследственную основу. Наряду с этим семейный анамнез позволяет выявить причину по</w:t>
        <w:softHyphen/>
        <w:t>явившихся у ребенка некоторых симптомов, а также дать прогностическую информацию. Так, вегетативный гомео</w:t>
        <w:softHyphen/>
        <w:t>стаз ребенок повторяет таковой одного из родителей, чаще матери. Поэтому родители, страдающие такими психосо</w:t>
        <w:softHyphen/>
        <w:t>матическими заболеваниями, как бронхиальная астма, нейродермит, различными аллергическими проявлениями, язвенной болезнью желудка (т.е. заболеваниями трофо- тропного плана, реализуемыми через парасимпатическую систему), имеют детей с кардиалгиями, артериальной гипо</w:t>
        <w:softHyphen/>
        <w:t>тонией, различными нарушениями ритма сердца и прово</w:t>
        <w:softHyphen/>
        <w:t>димости. Если ребенок страдает артериальной гипертензи</w:t>
        <w:softHyphen/>
        <w:t>ей, пролапсом митрального клапана или имеет неспецифи</w:t>
        <w:softHyphen/>
        <w:t>ческие нарушения процесса реполяризации на электрокар</w:t>
        <w:softHyphen/>
        <w:t>диограмме, то в семейном анамнезе часто имеет место от- ягощенность такими психосоматическими заболеваниями, как гипертоническая болезнь, ишемическая болезнь серд</w:t>
        <w:softHyphen/>
        <w:t>ца, сахарный диабет, тиреотоксикоз, глаукома и др. Семей</w:t>
        <w:softHyphen/>
        <w:t>ный характер заболевания носят ревматизм, сосудистые ди</w:t>
        <w:softHyphen/>
        <w:t>стонии, многие варианты аритмий. Явно наследственный характер болезни сердца наблюдается при некоторых кар</w:t>
        <w:softHyphen/>
        <w:t>диомиопатиях, заболеваниях соединительной ткани.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 сборе </w:t>
      </w:r>
      <w:r>
        <w:rPr>
          <w:rStyle w:val="CharStyle44"/>
        </w:rPr>
        <w:t xml:space="preserve">анамнеза жизни </w:t>
      </w:r>
      <w:r>
        <w:rPr>
          <w:lang w:val="ru-RU" w:eastAsia="ru-RU" w:bidi="ru-RU"/>
          <w:w w:val="100"/>
          <w:spacing w:val="0"/>
          <w:color w:val="000000"/>
          <w:position w:val="0"/>
        </w:rPr>
        <w:t>необходимо обратить внима</w:t>
        <w:softHyphen/>
        <w:t>ние на течение анте- и перинатального периодов (патологи</w:t>
        <w:softHyphen/>
        <w:t>ческое течение беременности, заболевания и прием лекар</w:t>
        <w:softHyphen/>
        <w:t>ственных препаратов во время беременности), а также ос</w:t>
        <w:softHyphen/>
        <w:t>ложненное течение родов (асфиксия, длительный безвод</w:t>
        <w:softHyphen/>
        <w:t>ный период, слабость родовой деятельности, недоношен</w:t>
        <w:softHyphen/>
        <w:t>ность, крупный плод и др.). Так, краснуха, перенесенная ма</w:t>
        <w:softHyphen/>
        <w:t>терью в первые месяцы беременности, повинна в рождении ребенка с врожденным пороком сердца. Патологическое те</w:t>
        <w:softHyphen/>
        <w:t>чение родов может обусловить в дальнейшем формирование у детей нейровегетативных кардиоваскулярных расстройств (кардиалгии, сосудистые дистонии, аритмия).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Важно подробно выяснить особенности течения пери</w:t>
        <w:softHyphen/>
        <w:t xml:space="preserve">ода новорожденности и развития ребенка на </w:t>
      </w:r>
      <w:r>
        <w:rPr>
          <w:rStyle w:val="CharStyle32"/>
        </w:rPr>
        <w:t>1</w:t>
      </w:r>
      <w:r>
        <w:rPr>
          <w:lang w:val="ru-RU" w:eastAsia="ru-RU" w:bidi="ru-RU"/>
          <w:w w:val="100"/>
          <w:spacing w:val="0"/>
          <w:color w:val="000000"/>
          <w:position w:val="0"/>
        </w:rPr>
        <w:t>-м году жиз</w:t>
        <w:softHyphen/>
        <w:t>ни (динамика физического и психомоторного развития, пе</w:t>
        <w:softHyphen/>
        <w:t>ренесенные заболевания, неврологические отклонения). Затруднения при кормлении, отставание в весе, росте и мо</w:t>
        <w:softHyphen/>
        <w:t>торном развитии часто указывают на неблагополучие со стороны сердца у ребенка. Анализ развития ребенка в по</w:t>
        <w:softHyphen/>
        <w:t>следующие годы включает: выявление частоты простудных заболеваний, наличие сопутствующих заболеваний и хро</w:t>
        <w:softHyphen/>
        <w:t>нических очагов инфекции, психологическую обстановку в семье (неполная семья, алкоголизм родителей, непра</w:t>
        <w:softHyphen/>
        <w:t>вильный стиль воспитания и др.) и вне семьи (конфликт</w:t>
        <w:softHyphen/>
        <w:t>ные ситуации в школе и др.).</w:t>
      </w:r>
      <w:r>
        <w:br w:type="page"/>
      </w:r>
    </w:p>
    <w:p>
      <w:pPr>
        <w:pStyle w:val="Style54"/>
        <w:widowControl w:val="0"/>
        <w:keepNext/>
        <w:keepLines/>
        <w:shd w:val="clear" w:color="auto" w:fill="auto"/>
        <w:bidi w:val="0"/>
        <w:jc w:val="left"/>
        <w:spacing w:before="0" w:after="0" w:line="269" w:lineRule="exact"/>
        <w:ind w:left="0" w:right="0" w:firstLine="0"/>
      </w:pPr>
      <w:bookmarkStart w:id="12" w:name="bookmark12"/>
      <w:r>
        <w:rPr>
          <w:lang w:val="ru-RU" w:eastAsia="ru-RU" w:bidi="ru-RU"/>
          <w:w w:val="100"/>
          <w:spacing w:val="0"/>
          <w:color w:val="000000"/>
          <w:position w:val="0"/>
        </w:rPr>
        <w:t>Основные симптомы болезней системы кровообращения</w:t>
      </w:r>
      <w:bookmarkEnd w:id="12"/>
    </w:p>
    <w:p>
      <w:pPr>
        <w:pStyle w:val="Style30"/>
        <w:widowControl w:val="0"/>
        <w:keepNext w:val="0"/>
        <w:keepLines w:val="0"/>
        <w:shd w:val="clear" w:color="auto" w:fill="auto"/>
        <w:bidi w:val="0"/>
        <w:spacing w:before="0" w:after="0"/>
        <w:ind w:left="0" w:right="0" w:firstLine="280"/>
      </w:pPr>
      <w:r>
        <w:rPr>
          <w:rStyle w:val="CharStyle44"/>
        </w:rPr>
        <w:t xml:space="preserve">Одышка </w:t>
      </w:r>
      <w:r>
        <w:rPr>
          <w:lang w:val="ru-RU" w:eastAsia="ru-RU" w:bidi="ru-RU"/>
          <w:w w:val="100"/>
          <w:spacing w:val="0"/>
          <w:color w:val="000000"/>
          <w:position w:val="0"/>
        </w:rPr>
        <w:t xml:space="preserve">(диспноэ, </w:t>
      </w:r>
      <w:r>
        <w:rPr>
          <w:lang w:val="en-US" w:eastAsia="en-US" w:bidi="en-US"/>
          <w:w w:val="100"/>
          <w:spacing w:val="0"/>
          <w:color w:val="000000"/>
          <w:position w:val="0"/>
        </w:rPr>
        <w:t xml:space="preserve">dyspnoe) </w:t>
      </w:r>
      <w:r>
        <w:rPr>
          <w:lang w:val="ru-RU" w:eastAsia="ru-RU" w:bidi="ru-RU"/>
          <w:w w:val="100"/>
          <w:spacing w:val="0"/>
          <w:color w:val="000000"/>
          <w:position w:val="0"/>
        </w:rPr>
        <w:t>— признак, обусловленный сердечной недостаточностью, приводящей к застою крови в легких, снижению эластичности легочной ткани и уменьшению ее дыхательной поверхности. Одышка мо</w:t>
        <w:softHyphen/>
        <w:t>жет быть следствием как лево-, так и правожелудочковой недостаточности. При левожелудочковой недостаточнос</w:t>
        <w:softHyphen/>
        <w:t>ти одышка возникает, когда затруднен отток крови из ле</w:t>
        <w:softHyphen/>
        <w:t>гочных вен в левое предсердие (пороки митрального кла</w:t>
        <w:softHyphen/>
        <w:t>пана, кардиты, кардиомиопатии, констриктивный пери</w:t>
        <w:softHyphen/>
        <w:t>кардит). Вследствие правожелудочковой недостаточности одышка развивается при остром и хроническом легочном сердце, тромбоэмболии легочной артерии, легочной ги</w:t>
        <w:softHyphen/>
        <w:t>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Одышка проявляется нарушением частоты, ритма и глу</w:t>
        <w:softHyphen/>
        <w:t>бины дыхания, а также субъективными ощущениями недо</w:t>
        <w:softHyphen/>
        <w:t>статка воздуха. Обычно одышка появляется у детей на фоне или сразу после физической нагрузки и носит экспиратор</w:t>
        <w:softHyphen/>
        <w:t>ный или смешанный (инспираторный-экспираторный) ха</w:t>
        <w:softHyphen/>
        <w:t xml:space="preserve">рактер. Постоянная одышка в покое является признаком декомпенсации кровообращения. Разновидностью такой одышки является ортопноэ </w:t>
      </w:r>
      <w:r>
        <w:rPr>
          <w:lang w:val="en-US" w:eastAsia="en-US" w:bidi="en-US"/>
          <w:w w:val="100"/>
          <w:spacing w:val="0"/>
          <w:color w:val="000000"/>
          <w:position w:val="0"/>
        </w:rPr>
        <w:t xml:space="preserve">(orthopnoe) </w:t>
      </w:r>
      <w:r>
        <w:rPr>
          <w:lang w:val="ru-RU" w:eastAsia="ru-RU" w:bidi="ru-RU"/>
          <w:w w:val="100"/>
          <w:spacing w:val="0"/>
          <w:color w:val="000000"/>
          <w:position w:val="0"/>
        </w:rPr>
        <w:t>— вынужденное по</w:t>
        <w:softHyphen/>
        <w:t>ложение сидя, принимаемое больным для облегчения ды</w:t>
        <w:softHyphen/>
        <w:t>хания при выраженной одышке. Крайним проявлением не</w:t>
        <w:softHyphen/>
        <w:t>достаточного насыщения артериальной крови кислородом является одышечно-цианотический приступ — резкое уси</w:t>
        <w:softHyphen/>
        <w:t>ление одышки и цианоза у детей с врожденными пороками синего типа. Развитие приступа связано со спазмом выход</w:t>
        <w:softHyphen/>
        <w:t>ного отдела правого желудочка, в результате чего вся веноз</w:t>
        <w:softHyphen/>
        <w:t>ная кровь поступает в аорту и вызывает гипоксию ЦНС. Приступы чаще наблюдаются в возрасте 2-5 лет при тетраде Фалло, реже — при других сложных врожденных пороках сердца (ВПС), сочетающихся со стенозом легоч</w:t>
        <w:softHyphen/>
        <w:t>ной артерии. Провоцирующими факторами являются фи</w:t>
        <w:softHyphen/>
        <w:t>зическая активность, малые хирургические манипуляции (аденотонзиллэктомия, санация зубов), психоэмоциональ</w:t>
        <w:softHyphen/>
        <w:t>ное напряжение. Во время приступа ребенок принимает вынужденную позу: присаживается на корточки или лежит с приведенными к животу ногами. Приступы бывают раз</w:t>
        <w:softHyphen/>
        <w:t>нообразными по клиническим проявлениям. Короткие приступы не приводят к потере сознания, затяжной при</w:t>
        <w:softHyphen/>
        <w:t>ступ сопровождается коматозным состоянием, развитием нарушения мозгового кровообращения. Во время приступа возникают резкая слабость, цианоз видимых слизистых оболочек и кожных покровов, тахикардия, частое глубокое дыхание, исчезает шум стеноза легочной артерии, падает</w:t>
      </w:r>
    </w:p>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Одышка не всегда обусловлена нарушением кровообра</w:t>
        <w:softHyphen/>
        <w:t>щения и наблюдается при поражении других органов и си</w:t>
        <w:softHyphen/>
        <w:t>стем. Одышка может быть следствием легочных заболева</w:t>
        <w:softHyphen/>
        <w:t>ний, а также возникать при повышенной возбудимости ды</w:t>
        <w:softHyphen/>
        <w:t>хательного центра (дыхательный невроз) вследствие нару</w:t>
        <w:softHyphen/>
        <w:t>шенной функции вегетативной нервной системы.</w:t>
      </w:r>
    </w:p>
    <w:p>
      <w:pPr>
        <w:pStyle w:val="Style30"/>
        <w:widowControl w:val="0"/>
        <w:keepNext w:val="0"/>
        <w:keepLines w:val="0"/>
        <w:shd w:val="clear" w:color="auto" w:fill="auto"/>
        <w:bidi w:val="0"/>
        <w:spacing w:before="0" w:after="0"/>
        <w:ind w:left="0" w:right="0" w:firstLine="280"/>
      </w:pPr>
      <w:r>
        <w:rPr>
          <w:rStyle w:val="CharStyle44"/>
        </w:rPr>
        <w:t xml:space="preserve">Боли в области сердца </w:t>
      </w:r>
      <w:r>
        <w:rPr>
          <w:lang w:val="ru-RU" w:eastAsia="ru-RU" w:bidi="ru-RU"/>
          <w:w w:val="100"/>
          <w:spacing w:val="0"/>
          <w:color w:val="000000"/>
          <w:position w:val="0"/>
        </w:rPr>
        <w:t>(кардиалгии) являются одним из ча</w:t>
        <w:softHyphen/>
        <w:t>стых симптомов, обусловленных как заболеваниями самого сердца, так и рядом экстракардиальных процессов. Болевые ощущения в сердце порождают у ребенка серьезную тревогу и опасения за состояние здоровья и являются одной из са</w:t>
        <w:softHyphen/>
        <w:t>мых частых причин обращения к врачу. Характеризуя сенси</w:t>
        <w:softHyphen/>
        <w:t>тивные особенности кардиалгии, врач может составить суж</w:t>
        <w:softHyphen/>
        <w:br w:type="column"/>
        <w:t>дение об их происхождении. Для этого нужно уточнять их локализацию, время появления, постоянство или спорадич</w:t>
        <w:softHyphen/>
        <w:t>ность болезненных явлений, интенсивность, длительность, связь с физическим напряжением, приемом пищи, психоэ</w:t>
        <w:softHyphen/>
        <w:t>моциональными воздействиями и другими факторами.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Кардиалгии, связанные с поражением самого сердца, наблюдаются у детей редко и в основном бывают при ано</w:t>
        <w:softHyphen/>
        <w:t>мальном коронарном кровообращении, воспалении сер</w:t>
        <w:softHyphen/>
        <w:t>дечной сорочки, при резком расширении сердца или маги</w:t>
        <w:softHyphen/>
        <w:t>стральных сосудов. Так, при аномальном отхождении ле</w:t>
        <w:softHyphen/>
        <w:t xml:space="preserve">вой коронарной артерии от легочной (аномалия Бланта- Уайта-Гарленда) болевой синдром наблюдается только у </w:t>
      </w:r>
      <w:r>
        <w:rPr>
          <w:rStyle w:val="CharStyle32"/>
        </w:rPr>
        <w:t>10</w:t>
      </w:r>
      <w:r>
        <w:rPr>
          <w:lang w:val="ru-RU" w:eastAsia="ru-RU" w:bidi="ru-RU"/>
          <w:w w:val="100"/>
          <w:spacing w:val="0"/>
          <w:color w:val="000000"/>
          <w:position w:val="0"/>
        </w:rPr>
        <w:t>% детей с данной патологией, он продолжается от 30 мин до нескольких часов. Боль дети характеризуют как сдавливающую, сжимающую, тяжелую. Она локализуется за грудиной и ощущается равномерно как с левой, так и с правой стороны груди, может распространяться на шею, челюсть, плечи.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патологии сердечной сорочки боль в сердце обычно свидетельствует о сухом перикардите. Интенсивность боли варьирует от незначительной до резкой, боль усиливается при движении, глубоком вдохе.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Боли при неврозах обычно локализуются не за груди - ной, а в области самого сердца, в частности его верхушке, бывают колющего или ноющего характера, сопровождают</w:t>
        <w:softHyphen/>
        <w:t>ся рядом эмоциональных проявлений, в том числе двига</w:t>
        <w:softHyphen/>
        <w:t>тельным беспокойством.</w:t>
      </w:r>
    </w:p>
    <w:p>
      <w:pPr>
        <w:pStyle w:val="Style30"/>
        <w:widowControl w:val="0"/>
        <w:keepNext w:val="0"/>
        <w:keepLines w:val="0"/>
        <w:shd w:val="clear" w:color="auto" w:fill="auto"/>
        <w:bidi w:val="0"/>
        <w:spacing w:before="0" w:after="0"/>
        <w:ind w:left="0" w:right="0" w:firstLine="280"/>
      </w:pPr>
      <w:r>
        <w:rPr>
          <w:rStyle w:val="CharStyle44"/>
        </w:rPr>
        <w:t xml:space="preserve">Кашель </w:t>
      </w:r>
      <w:r>
        <w:rPr>
          <w:lang w:val="ru-RU" w:eastAsia="ru-RU" w:bidi="ru-RU"/>
          <w:w w:val="100"/>
          <w:spacing w:val="0"/>
          <w:color w:val="000000"/>
          <w:position w:val="0"/>
        </w:rPr>
        <w:t>при заболеваниях сердечно-сосудистой системы развивается при резко выраженном застое крови в малом круге кровообращения и обычно сочетается с одышкой. Ночной кашель может явиться одним из ранних симптомов начальной стадии недостаточности левого желудочка за</w:t>
        <w:softHyphen/>
        <w:t>стойного типа. Иногда кашель может быть ведущим симп</w:t>
        <w:softHyphen/>
        <w:t>томом, а одышка остается незамеченной. В отличие от каш</w:t>
        <w:softHyphen/>
        <w:t>ля, возникшего при воспалительных процессах в дыхатель</w:t>
        <w:softHyphen/>
        <w:t>ных путях, сердечный кашель обычно сухой, лишь иногда выделяется небольшое количество мокроты. Кашель с обильным выделением пенистой мокроты наблюдается лишь при остром отеке легких и при приступах сердечной астмы. Кашель при патологии сердца может носить реф</w:t>
        <w:softHyphen/>
        <w:t>лекторный характер вследствие раздражения ветвей блуж</w:t>
        <w:softHyphen/>
        <w:t>дающего нерва расширенным левым предсердием, дилати- рованной легочной артерией или аневризмой аорты.</w:t>
      </w:r>
    </w:p>
    <w:p>
      <w:pPr>
        <w:pStyle w:val="Style30"/>
        <w:widowControl w:val="0"/>
        <w:keepNext w:val="0"/>
        <w:keepLines w:val="0"/>
        <w:shd w:val="clear" w:color="auto" w:fill="auto"/>
        <w:bidi w:val="0"/>
        <w:spacing w:before="0" w:after="0"/>
        <w:ind w:left="0" w:right="0" w:firstLine="280"/>
      </w:pPr>
      <w:r>
        <w:rPr>
          <w:rStyle w:val="CharStyle44"/>
        </w:rPr>
        <w:t xml:space="preserve">Кровохарканье </w:t>
      </w:r>
      <w:r>
        <w:rPr>
          <w:lang w:val="ru-RU" w:eastAsia="ru-RU" w:bidi="ru-RU"/>
          <w:w w:val="100"/>
          <w:spacing w:val="0"/>
          <w:color w:val="000000"/>
          <w:position w:val="0"/>
        </w:rPr>
        <w:t>как симптом тяжелого поражения сердца редко наблюдается в детском возрасте и является прогнос</w:t>
        <w:softHyphen/>
        <w:t>тически неблагоприятным признаком. Возникновение кровохарканья может обусловить резко выраженная легоч</w:t>
        <w:softHyphen/>
        <w:t>ная гипертензия, выраженный застой крови в малом круге кровообращения, тромбоз ветвей легочной артерии.</w:t>
      </w:r>
    </w:p>
    <w:p>
      <w:pPr>
        <w:pStyle w:val="Style30"/>
        <w:widowControl w:val="0"/>
        <w:keepNext w:val="0"/>
        <w:keepLines w:val="0"/>
        <w:shd w:val="clear" w:color="auto" w:fill="auto"/>
        <w:bidi w:val="0"/>
        <w:spacing w:before="0" w:after="0"/>
        <w:ind w:left="0" w:right="0" w:firstLine="280"/>
      </w:pPr>
      <w:r>
        <w:rPr>
          <w:rStyle w:val="CharStyle44"/>
        </w:rPr>
        <w:t xml:space="preserve">Обморок </w:t>
      </w:r>
      <w:r>
        <w:rPr>
          <w:lang w:val="ru-RU" w:eastAsia="ru-RU" w:bidi="ru-RU"/>
          <w:w w:val="100"/>
          <w:spacing w:val="0"/>
          <w:color w:val="000000"/>
          <w:position w:val="0"/>
        </w:rPr>
        <w:t>— временная потеря сознания, наступающая в результате внезапной транзиторной и диффузной ишемии мозга. Обмороки могут быть обусловлены различными причинами: заболеваниями нервной системы, патологией сердечно-сосудистой системы, метаболическими наруше</w:t>
        <w:softHyphen/>
        <w:t>ниями и др. Примерно в 10% случаев среди детей, нуждаю</w:t>
        <w:softHyphen/>
        <w:t>щихся в неотложной помощи, обмороки связаны с так на</w:t>
        <w:softHyphen/>
        <w:t>зываемой вазомоторной нестабильностью — нарушением сосудистого тонуса, приводящим к неадекватной перфузии головного мозга. Специфическими компонентами вазодеп</w:t>
        <w:softHyphen/>
        <w:t>рессорного обморока являются:</w:t>
      </w:r>
    </w:p>
    <w:p>
      <w:pPr>
        <w:pStyle w:val="Style30"/>
        <w:numPr>
          <w:ilvl w:val="0"/>
          <w:numId w:val="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потеря сознания;</w:t>
      </w:r>
    </w:p>
    <w:p>
      <w:pPr>
        <w:pStyle w:val="Style30"/>
        <w:numPr>
          <w:ilvl w:val="0"/>
          <w:numId w:val="9"/>
        </w:numPr>
        <w:tabs>
          <w:tab w:leader="none" w:pos="515" w:val="left"/>
        </w:tabs>
        <w:widowControl w:val="0"/>
        <w:keepNext w:val="0"/>
        <w:keepLines w:val="0"/>
        <w:shd w:val="clear" w:color="auto" w:fill="auto"/>
        <w:bidi w:val="0"/>
        <w:spacing w:before="0" w:after="0"/>
        <w:ind w:left="0" w:right="0" w:firstLine="280"/>
      </w:pPr>
      <w:r>
        <w:pict>
          <v:shape id="_x0000_s1049" type="#_x0000_t75" style="position:absolute;margin-left:148.1pt;margin-top:739.95pt;width:209.75pt;height:14.9pt;z-index:-125829372;mso-wrap-distance-left:148.1pt;mso-wrap-distance-right:136.8pt;mso-wrap-distance-bottom:20.pt;mso-position-horizontal-relative:margin;mso-position-vertical-relative:margin" wrapcoords="0 0 21600 0 21600 21600 0 21600 0 0">
            <v:imagedata r:id="rId41" r:href="rId42"/>
            <w10:wrap type="topAndBottom" anchorx="margin" anchory="margin"/>
          </v:shape>
        </w:pict>
      </w:r>
      <w:r>
        <w:rPr>
          <w:lang w:val="ru-RU" w:eastAsia="ru-RU" w:bidi="ru-RU"/>
          <w:w w:val="100"/>
          <w:spacing w:val="0"/>
          <w:color w:val="000000"/>
          <w:position w:val="0"/>
        </w:rPr>
        <w:t>падение, происходящее при отсутствии поддержки;</w:t>
      </w:r>
      <w:r>
        <w:br w:type="page"/>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внезапное начало;</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кратковременность.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детской кардиологической практике наиболее часто встречаются следующие варианты вазодепрессорных обмо</w:t>
        <w:softHyphen/>
        <w:t>роков:</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вазовагальные;</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ортостатические;</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синокаротидные;</w:t>
      </w:r>
    </w:p>
    <w:p>
      <w:pPr>
        <w:pStyle w:val="Style30"/>
        <w:numPr>
          <w:ilvl w:val="0"/>
          <w:numId w:val="9"/>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обмороки, возникающие при мочеиспускании, дефе</w:t>
        <w:softHyphen/>
        <w:t>кации, кашле.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Дифференциальная диагностика вазодепрессорных об</w:t>
        <w:softHyphen/>
        <w:t>мороков проводится с истерией. Обмороки при истерии не сопровождаются ушибами и возникают всегда на людях. Истерические обмороки могут продолжаться до 1 часа, при этом пульс и артериальное давление остаются нормаль</w:t>
        <w:softHyphen/>
        <w:t>ными. В отличие от ортостатических или вазодепрессорных обмороков, при истерии состояние больного в положении лежа не улучшается. Характерным также является то, что при описании обморока больной истерией не проявляет тревоги и беспокойства.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Кардиальные обмороки являются грозным проявлением тяжелой болезни сердца и возникают при желудочковой та</w:t>
        <w:softHyphen/>
        <w:t xml:space="preserve">хикардии либо асистолии. Они наблюдаются при синдроме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аритмогенной дисплазии пра</w:t>
        <w:softHyphen/>
        <w:t>вого желудочка, идиопатической желудочковой тахикар</w:t>
        <w:softHyphen/>
        <w:t>дии, поперечной атриовентрикулярной блокаде. Обмороки чаще всего развиваются во время физической нагрузки (бег, катание на велосипеде, коньках, купание) или психоэмоци</w:t>
        <w:softHyphen/>
        <w:t>онального напряжения (ответ у доски в школе, звонок, ис</w:t>
        <w:softHyphen/>
        <w:t>пуг), т.е. при внезапном увеличении симпатической актив</w:t>
        <w:softHyphen/>
        <w:t>ности. У некоторых больных приступ возникает при вне</w:t>
        <w:softHyphen/>
        <w:t>запном пробуждении от ночного сна. Для каждого больно</w:t>
        <w:softHyphen/>
        <w:t>го провоцирующие факторы бывают настолько однотипны, что в дальнейшем он сознательно старается избегать подоб</w:t>
        <w:softHyphen/>
        <w:t>ных ситуаций.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ряде случаев приступу предшествует резкая головная боль, онемение рук, парестезия лица, потемнение в глазах. Данные признаки можно расценить как стадию предвест</w:t>
        <w:softHyphen/>
        <w:t>ников синкопе или пресинкопальное состояние. При по</w:t>
        <w:softHyphen/>
        <w:t>вторных приступах в этот период больные испытывают ос</w:t>
        <w:softHyphen/>
        <w:t>трое чувство тревоги, страха смерти. Собственно приступ сопровождается внезапной потерей сознания, арефлекси- ей, его продолжительность — от нескольких секунд до 10 мин. Возможны судороги клонико-тонического характе</w:t>
        <w:softHyphen/>
        <w:t>ра, непроизвольное мочеиспускание, реже — дефекация. Больной может быть сильно травмирован из-за падения во время синкопе.</w:t>
      </w:r>
    </w:p>
    <w:p>
      <w:pPr>
        <w:pStyle w:val="Style30"/>
        <w:widowControl w:val="0"/>
        <w:keepNext w:val="0"/>
        <w:keepLines w:val="0"/>
        <w:shd w:val="clear" w:color="auto" w:fill="auto"/>
        <w:bidi w:val="0"/>
        <w:spacing w:before="0" w:after="0"/>
        <w:ind w:left="0" w:right="0" w:firstLine="280"/>
      </w:pPr>
      <w:r>
        <w:rPr>
          <w:rStyle w:val="CharStyle44"/>
        </w:rPr>
        <w:t xml:space="preserve">Цианоз </w:t>
      </w:r>
      <w:r>
        <w:rPr>
          <w:lang w:val="ru-RU" w:eastAsia="ru-RU" w:bidi="ru-RU"/>
          <w:w w:val="100"/>
          <w:spacing w:val="0"/>
          <w:color w:val="000000"/>
          <w:position w:val="0"/>
        </w:rPr>
        <w:t>при патологии сердечно-сосудистой системы может быть центральным и периферическим (акроцианоз). Периферический цианоз обычно непостоянный и связан с низким сердечным выбросом или отражает замедленный кровоток в капиллярах. Часто периферический цианоз на</w:t>
        <w:softHyphen/>
        <w:t>блюдается у детей с вегетативной лабильностью, сосудис</w:t>
        <w:softHyphen/>
        <w:t>той дисфункцией и даже может быть у здоровых детей ран</w:t>
        <w:softHyphen/>
        <w:t>него возраста на холоде (проходит при согревании). Легкий периферический цианоз наблюдается при многих заболева</w:t>
        <w:softHyphen/>
        <w:t>ниях сердца, сопровождающихся снижением сердечного выброса: кардитах, кардиомиопатиях, ревматизме, токси- ко-инфекционных состояниях. Изолированный цианоз во</w:t>
        <w:softHyphen/>
        <w:t>круг рта, появляющийся при крике ребенка, обычно не яв</w:t>
        <w:softHyphen/>
        <w:t>ляется признаком гипоксемии и наблюдается у детей с по</w:t>
        <w:softHyphen/>
        <w:t>вышенной нервно-рефлекторной возбудимостью.</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Центральный цианоз имеет генерализованный характер и может носить различный оттенок от голубоватого до по</w:t>
        <w:softHyphen/>
        <w:t>чти черного (синдром Айерсы).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возникновения цианоза при ВПС необходимо на</w:t>
        <w:softHyphen/>
        <w:t>личие:</w:t>
      </w:r>
    </w:p>
    <w:p>
      <w:pPr>
        <w:pStyle w:val="Style30"/>
        <w:numPr>
          <w:ilvl w:val="0"/>
          <w:numId w:val="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право-левого (веноартериального) шунта, что бывает при внутрисердечном и внутридуктальном сообщении и стенозе легочной артерии (например, тетрада Фалло);</w:t>
      </w:r>
    </w:p>
    <w:p>
      <w:pPr>
        <w:pStyle w:val="Style30"/>
        <w:numPr>
          <w:ilvl w:val="0"/>
          <w:numId w:val="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единой камеры, в которой будет смешиваться систем</w:t>
        <w:softHyphen/>
        <w:t>ный и легочный кровоток (например, единственный желудочек);</w:t>
      </w:r>
    </w:p>
    <w:p>
      <w:pPr>
        <w:pStyle w:val="Style30"/>
        <w:numPr>
          <w:ilvl w:val="0"/>
          <w:numId w:val="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выраженного венозного застоя в легких при левожелу</w:t>
        <w:softHyphen/>
        <w:t>дочковой недостаточности из-за обструктивных поро</w:t>
        <w:softHyphen/>
        <w:t>ков левого сердца (митральный стеноз, стеноз аорты).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длительном существовании цианоза у ребенка фор - мируются барабанные пальцы. При сопутствующей анемии выявляемость цианоза уменьшается (невидимый цианоз), при этом окраска слизистых и кожных покровов становит</w:t>
        <w:softHyphen/>
        <w:t>ся бледно-серой.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Диффузный цианоз может быть связан с аномальными пигментами крови (метгемоглобином, сульфогемоглоби- ном), патологией легких и респираторного тракта (атрезия хоан, ателектаз легких, болезнь Хаммена-Рича, болезнь ги</w:t>
        <w:softHyphen/>
        <w:t>алиновых мембран у новорожденных).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ряде врожденных пороков сердца встречается дис</w:t>
        <w:softHyphen/>
        <w:t>кретный цианоз. Так, цианоз на ногах при нормальных кожных покровах на руках бывает при предуктальной ко- арктации аорты или гипоплазии левого желудочка. Нали</w:t>
        <w:softHyphen/>
        <w:t>чие цианоза на руках и его отсутствие на ногах характерно для транспозиции магистральных сосудов в сочетании с ги</w:t>
        <w:softHyphen/>
        <w:t>поплазией или перерывом дуги аорты.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Интермиттирующий цианоз наблюдается у больных с небольшим вено-артериальным сбросом крови только при физической нагрузке или других провоцирующих фак</w:t>
        <w:softHyphen/>
        <w:t>торах (холод).</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 xml:space="preserve">Появление цианоза в позднюю стадию заболевания (симптом </w:t>
      </w:r>
      <w:r>
        <w:rPr>
          <w:lang w:val="en-US" w:eastAsia="en-US" w:bidi="en-US"/>
          <w:w w:val="100"/>
          <w:spacing w:val="0"/>
          <w:color w:val="000000"/>
          <w:position w:val="0"/>
        </w:rPr>
        <w:t xml:space="preserve">Bard-Curtillet) </w:t>
      </w:r>
      <w:r>
        <w:rPr>
          <w:lang w:val="ru-RU" w:eastAsia="ru-RU" w:bidi="ru-RU"/>
          <w:w w:val="100"/>
          <w:spacing w:val="0"/>
          <w:color w:val="000000"/>
          <w:position w:val="0"/>
        </w:rPr>
        <w:t>наблюдается при синдроме Эйзен- менгера, когда развивается вено-артериальный сброс крови через септальный дефект (например, при дефекте межпред</w:t>
        <w:softHyphen/>
        <w:t>сердной перегородки).</w:t>
      </w:r>
    </w:p>
    <w:p>
      <w:pPr>
        <w:pStyle w:val="Style50"/>
        <w:widowControl w:val="0"/>
        <w:keepNext/>
        <w:keepLines/>
        <w:shd w:val="clear" w:color="auto" w:fill="auto"/>
        <w:bidi w:val="0"/>
        <w:jc w:val="both"/>
        <w:spacing w:before="0" w:after="0"/>
        <w:ind w:left="0" w:right="0" w:firstLine="280"/>
      </w:pPr>
      <w:bookmarkStart w:id="13" w:name="bookmark13"/>
      <w:r>
        <w:rPr>
          <w:lang w:val="ru-RU" w:eastAsia="ru-RU" w:bidi="ru-RU"/>
          <w:w w:val="100"/>
          <w:color w:val="000000"/>
          <w:position w:val="0"/>
        </w:rPr>
        <w:t>Другие изменения цвета кожных покровов</w:t>
      </w:r>
      <w:bookmarkEnd w:id="1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Временное побледнение кожных покровов наблюдает</w:t>
        <w:softHyphen/>
        <w:t>ся при состояниях, сопровождающихся вазоконстрикци- ей (обморок, испуг), постоянная бледность кожи свиде</w:t>
        <w:softHyphen/>
        <w:t>тельствует о наличии у больного анемии. Резкая блед</w:t>
        <w:softHyphen/>
        <w:t>ность лица наблюдается при тяжелой аортальной недо</w:t>
        <w:softHyphen/>
        <w:t>статочности. Бледность кожных покровов с яркой окрас</w:t>
        <w:softHyphen/>
        <w:t>кой щек, мочек ушей, кончиков пальцев, «малиновый» оттенок слизистых губ наблюдаются при легочной гипер</w:t>
        <w:softHyphen/>
        <w:t>тензии. Кирпично-красный цвет щек развивается при выраженной полицитемии. Желтушность кожных покро</w:t>
        <w:softHyphen/>
        <w:t>вов характерна для детей с хронической недостаточнос</w:t>
        <w:softHyphen/>
        <w:t>тью кровообращения, при пороках трехстворчатого кла</w:t>
        <w:softHyphen/>
        <w:t>пана.</w:t>
      </w:r>
    </w:p>
    <w:p>
      <w:pPr>
        <w:pStyle w:val="Style30"/>
        <w:widowControl w:val="0"/>
        <w:keepNext w:val="0"/>
        <w:keepLines w:val="0"/>
        <w:shd w:val="clear" w:color="auto" w:fill="auto"/>
        <w:bidi w:val="0"/>
        <w:spacing w:before="0" w:after="0"/>
        <w:ind w:left="0" w:right="0" w:firstLine="280"/>
        <w:sectPr>
          <w:pgSz w:w="11900" w:h="16840"/>
          <w:pgMar w:top="1353" w:left="1006" w:right="1006" w:bottom="1585" w:header="0" w:footer="3" w:gutter="0"/>
          <w:rtlGutter w:val="0"/>
          <w:cols w:num="2" w:space="173"/>
          <w:noEndnote/>
          <w:docGrid w:linePitch="360"/>
        </w:sectPr>
      </w:pPr>
      <w:r>
        <w:pict>
          <v:shape id="_x0000_s1050" type="#_x0000_t75" style="position:absolute;margin-left:136.8pt;margin-top:740.2pt;width:209.75pt;height:14.9pt;z-index:-125829371;mso-wrap-distance-left:136.8pt;mso-wrap-distance-right:148.1pt;mso-wrap-distance-bottom:20.pt;mso-position-horizontal-relative:margin;mso-position-vertical-relative:margin" wrapcoords="0 0 21600 0 21600 21600 0 21600 0 0">
            <v:imagedata r:id="rId43" r:href="rId44"/>
            <w10:wrap type="topAndBottom" anchorx="margin" anchory="margin"/>
          </v:shape>
        </w:pict>
      </w:r>
      <w:r>
        <w:rPr>
          <w:rStyle w:val="CharStyle44"/>
        </w:rPr>
        <w:t xml:space="preserve">Отеки </w:t>
      </w:r>
      <w:r>
        <w:rPr>
          <w:lang w:val="ru-RU" w:eastAsia="ru-RU" w:bidi="ru-RU"/>
          <w:w w:val="100"/>
          <w:spacing w:val="0"/>
          <w:color w:val="000000"/>
          <w:position w:val="0"/>
        </w:rPr>
        <w:t>при заболевании сердца прежде всего появляются на голенях и стопах, они имеют плотную консистенцию, кожа над ними холодная. При прогрессировании отечного синдрома появляется анасарка — распространенные отеки, асцит, выпот в сердечную сорочку, плевру. Отеки при болез</w:t>
        <w:softHyphen/>
        <w:t>нях сердца всегда сочетаются с одышкой и другими призна</w:t>
        <w:softHyphen/>
        <w:t>ками недостаточности кровообращения.</w:t>
      </w:r>
    </w:p>
    <w:p>
      <w:pPr>
        <w:pStyle w:val="Style63"/>
        <w:widowControl w:val="0"/>
        <w:keepNext w:val="0"/>
        <w:keepLines w:val="0"/>
        <w:shd w:val="clear" w:color="auto" w:fill="auto"/>
        <w:bidi w:val="0"/>
        <w:jc w:val="left"/>
        <w:spacing w:before="0" w:after="0"/>
        <w:ind w:left="0" w:right="0" w:firstLine="0"/>
      </w:pPr>
      <w:r>
        <w:rPr>
          <w:lang w:val="ru-RU" w:eastAsia="ru-RU" w:bidi="ru-RU"/>
          <w:rFonts w:ascii="Microsoft Sans Serif" w:eastAsia="Microsoft Sans Serif" w:hAnsi="Microsoft Sans Serif" w:cs="Microsoft Sans Serif"/>
          <w:w w:val="100"/>
          <w:spacing w:val="0"/>
          <w:color w:val="000000"/>
          <w:position w:val="0"/>
        </w:rPr>
        <w:t xml:space="preserve">Глава I. Основы диагностики заболеваний сердца и сосудов </w:t>
      </w:r>
      <w:r>
        <w:rPr>
          <w:rStyle w:val="CharStyle65"/>
        </w:rPr>
        <w:t>Физикальное обследование</w:t>
      </w:r>
    </w:p>
    <w:p>
      <w:pPr>
        <w:pStyle w:val="Style52"/>
        <w:widowControl w:val="0"/>
        <w:keepNext w:val="0"/>
        <w:keepLines w:val="0"/>
        <w:shd w:val="clear" w:color="auto" w:fill="auto"/>
        <w:bidi w:val="0"/>
        <w:jc w:val="both"/>
        <w:spacing w:before="0" w:after="0" w:line="216" w:lineRule="exact"/>
        <w:ind w:left="0" w:right="0" w:firstLine="280"/>
      </w:pPr>
      <w:r>
        <w:rPr>
          <w:lang w:val="ru-RU" w:eastAsia="ru-RU" w:bidi="ru-RU"/>
          <w:w w:val="100"/>
          <w:color w:val="000000"/>
          <w:position w:val="0"/>
        </w:rPr>
        <w:t>Осмотр</w:t>
      </w:r>
    </w:p>
    <w:p>
      <w:pPr>
        <w:pStyle w:val="Style52"/>
        <w:widowControl w:val="0"/>
        <w:keepNext w:val="0"/>
        <w:keepLines w:val="0"/>
        <w:shd w:val="clear" w:color="auto" w:fill="auto"/>
        <w:bidi w:val="0"/>
        <w:jc w:val="both"/>
        <w:spacing w:before="0" w:after="0" w:line="216" w:lineRule="exact"/>
        <w:ind w:left="0" w:right="0" w:firstLine="280"/>
      </w:pPr>
      <w:r>
        <w:rPr>
          <w:lang w:val="ru-RU" w:eastAsia="ru-RU" w:bidi="ru-RU"/>
          <w:w w:val="100"/>
          <w:color w:val="000000"/>
          <w:position w:val="0"/>
        </w:rPr>
        <w:t>Деформация грудной клетки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Частый признак патологии сердца, особенно у детей младшего возраста, — эластичные стенки грудной клетки легко поддаются смещению.</w:t>
      </w:r>
    </w:p>
    <w:p>
      <w:pPr>
        <w:pStyle w:val="Style30"/>
        <w:numPr>
          <w:ilvl w:val="0"/>
          <w:numId w:val="11"/>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Деформация грудной клетки в предсердечной облас</w:t>
        <w:softHyphen/>
        <w:t xml:space="preserve">ти </w:t>
      </w:r>
      <w:r>
        <w:rPr>
          <w:lang w:val="en-US" w:eastAsia="en-US" w:bidi="en-US"/>
          <w:w w:val="100"/>
          <w:spacing w:val="0"/>
          <w:color w:val="000000"/>
          <w:position w:val="0"/>
        </w:rPr>
        <w:t xml:space="preserve">(voussure) </w:t>
      </w:r>
      <w:r>
        <w:rPr>
          <w:lang w:val="ru-RU" w:eastAsia="ru-RU" w:bidi="ru-RU"/>
          <w:w w:val="100"/>
          <w:spacing w:val="0"/>
          <w:color w:val="000000"/>
          <w:position w:val="0"/>
        </w:rPr>
        <w:t>стойкая диффузная — выпячивание предсердечной области вследствие давления сердцем изнутри. Данный симптом характерен для врожден</w:t>
        <w:softHyphen/>
        <w:t>ных пороков сердца (см. горб сердечный).</w:t>
      </w:r>
    </w:p>
    <w:p>
      <w:pPr>
        <w:pStyle w:val="Style30"/>
        <w:numPr>
          <w:ilvl w:val="0"/>
          <w:numId w:val="11"/>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Деформация грудной клетки в правой подреберной области — см. Ауэнбруггера II симптом.</w:t>
      </w:r>
    </w:p>
    <w:p>
      <w:pPr>
        <w:pStyle w:val="Style30"/>
        <w:numPr>
          <w:ilvl w:val="0"/>
          <w:numId w:val="11"/>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Деформация грудной клетки в области рукоятки гру</w:t>
        <w:softHyphen/>
        <w:t>дины пульсирующая — признак аневризмы корня или восходящей аорты: выпячивание в области руко</w:t>
        <w:softHyphen/>
        <w:t>ятки грудины, иногда во втором и третьем межребер</w:t>
        <w:softHyphen/>
        <w:t>ных пространствах, сопровождаемое пульсацией, ощутимой при пальпации данной области.</w:t>
      </w:r>
    </w:p>
    <w:p>
      <w:pPr>
        <w:pStyle w:val="Style30"/>
        <w:numPr>
          <w:ilvl w:val="0"/>
          <w:numId w:val="11"/>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Деформация грудной клетки в предсердечной облас</w:t>
        <w:softHyphen/>
        <w:t xml:space="preserve">ти </w:t>
      </w:r>
      <w:r>
        <w:rPr>
          <w:lang w:val="en-US" w:eastAsia="en-US" w:bidi="en-US"/>
          <w:w w:val="100"/>
          <w:spacing w:val="0"/>
          <w:color w:val="000000"/>
          <w:position w:val="0"/>
        </w:rPr>
        <w:t xml:space="preserve">(voussure) </w:t>
      </w:r>
      <w:r>
        <w:rPr>
          <w:lang w:val="ru-RU" w:eastAsia="ru-RU" w:bidi="ru-RU"/>
          <w:w w:val="100"/>
          <w:spacing w:val="0"/>
          <w:color w:val="000000"/>
          <w:position w:val="0"/>
        </w:rPr>
        <w:t>диффузная временная — выпячивание предсердечной области, расширение и заполнение межреберных пространств при значительном накоп</w:t>
        <w:softHyphen/>
        <w:t>лении жидкости в перикардиальной сумке.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Сердечный горб </w:t>
      </w:r>
      <w:r>
        <w:rPr>
          <w:lang w:val="en-US" w:eastAsia="en-US" w:bidi="en-US"/>
          <w:w w:val="100"/>
          <w:spacing w:val="0"/>
          <w:color w:val="000000"/>
          <w:position w:val="0"/>
        </w:rPr>
        <w:t>(gibbus cardiacus)</w:t>
      </w:r>
    </w:p>
    <w:p>
      <w:pPr>
        <w:pStyle w:val="Style30"/>
        <w:numPr>
          <w:ilvl w:val="0"/>
          <w:numId w:val="11"/>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Признак значительного расширения и гипертрофии сердца, возникающий, как правило, в раннем дет</w:t>
        <w:softHyphen/>
        <w:t>ском возрасте, когда костный остов передней груд</w:t>
        <w:softHyphen/>
        <w:t>ной стенки еще податлив. Наблюдается при врожден</w:t>
        <w:softHyphen/>
        <w:t>ных пороках сердца, кардитах, кардиомиопатиях.</w:t>
      </w:r>
    </w:p>
    <w:p>
      <w:pPr>
        <w:pStyle w:val="Style30"/>
        <w:numPr>
          <w:ilvl w:val="0"/>
          <w:numId w:val="11"/>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Выбухание грудной клетки может быть парастерналь</w:t>
        <w:softHyphen/>
        <w:t>ным (при преимущественном увеличении правых от</w:t>
        <w:softHyphen/>
        <w:t>делов сердца) или левосторонним (при увеличении левых отделов сердца).</w:t>
      </w:r>
    </w:p>
    <w:p>
      <w:pPr>
        <w:pStyle w:val="Style30"/>
        <w:numPr>
          <w:ilvl w:val="0"/>
          <w:numId w:val="11"/>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Сердечный горб следует отличать от костных дефор</w:t>
        <w:softHyphen/>
        <w:t>маций, возникших при рахите, наследственных ано</w:t>
        <w:softHyphen/>
        <w:t>малиях, после травмы.</w:t>
      </w:r>
    </w:p>
    <w:p>
      <w:pPr>
        <w:pStyle w:val="Style30"/>
        <w:numPr>
          <w:ilvl w:val="0"/>
          <w:numId w:val="11"/>
        </w:numPr>
        <w:tabs>
          <w:tab w:leader="none" w:pos="513" w:val="left"/>
        </w:tabs>
        <w:widowControl w:val="0"/>
        <w:keepNext w:val="0"/>
        <w:keepLines w:val="0"/>
        <w:shd w:val="clear" w:color="auto" w:fill="auto"/>
        <w:bidi w:val="0"/>
        <w:spacing w:before="0" w:after="120"/>
        <w:ind w:left="520" w:right="0" w:hanging="240"/>
      </w:pPr>
      <w:r>
        <w:rPr>
          <w:lang w:val="ru-RU" w:eastAsia="ru-RU" w:bidi="ru-RU"/>
          <w:w w:val="100"/>
          <w:spacing w:val="0"/>
          <w:color w:val="000000"/>
          <w:position w:val="0"/>
        </w:rPr>
        <w:t>Выпячивание в области сердца без костных деформа</w:t>
        <w:softHyphen/>
        <w:t>ций может быть при хроническом выпотном пери</w:t>
        <w:softHyphen/>
        <w:t>кардите.</w:t>
      </w:r>
    </w:p>
    <w:p>
      <w:pPr>
        <w:pStyle w:val="Style50"/>
        <w:widowControl w:val="0"/>
        <w:keepNext/>
        <w:keepLines/>
        <w:shd w:val="clear" w:color="auto" w:fill="auto"/>
        <w:bidi w:val="0"/>
        <w:jc w:val="both"/>
        <w:spacing w:before="0" w:after="0"/>
        <w:ind w:left="0" w:right="0" w:firstLine="280"/>
      </w:pPr>
      <w:bookmarkStart w:id="14" w:name="bookmark14"/>
      <w:r>
        <w:rPr>
          <w:lang w:val="ru-RU" w:eastAsia="ru-RU" w:bidi="ru-RU"/>
          <w:w w:val="100"/>
          <w:color w:val="000000"/>
          <w:position w:val="0"/>
        </w:rPr>
        <w:t>Пальпация</w:t>
      </w:r>
      <w:bookmarkEnd w:id="14"/>
    </w:p>
    <w:p>
      <w:pPr>
        <w:pStyle w:val="Style52"/>
        <w:widowControl w:val="0"/>
        <w:keepNext w:val="0"/>
        <w:keepLines w:val="0"/>
        <w:shd w:val="clear" w:color="auto" w:fill="auto"/>
        <w:bidi w:val="0"/>
        <w:jc w:val="both"/>
        <w:spacing w:before="0" w:after="0" w:line="216" w:lineRule="exact"/>
        <w:ind w:left="0" w:right="0" w:firstLine="280"/>
      </w:pPr>
      <w:r>
        <w:rPr>
          <w:lang w:val="ru-RU" w:eastAsia="ru-RU" w:bidi="ru-RU"/>
          <w:w w:val="100"/>
          <w:color w:val="000000"/>
          <w:position w:val="0"/>
        </w:rPr>
        <w:t>Верхушечный (сердечный) толчок</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Во время систолы сердце совершает сложное движение: сзади наперед и слева направо. В силу этого сердце ударяет верхушкой о грудную стенку, что создает периодические ог</w:t>
        <w:softHyphen/>
        <w:t>раниченные ее выпячивания — пульсацию.</w:t>
      </w:r>
    </w:p>
    <w:p>
      <w:pPr>
        <w:pStyle w:val="Style50"/>
        <w:widowControl w:val="0"/>
        <w:keepNext/>
        <w:keepLines/>
        <w:shd w:val="clear" w:color="auto" w:fill="auto"/>
        <w:bidi w:val="0"/>
        <w:jc w:val="both"/>
        <w:spacing w:before="0" w:after="0"/>
        <w:ind w:left="0" w:right="0" w:firstLine="280"/>
      </w:pPr>
      <w:bookmarkStart w:id="15" w:name="bookmark15"/>
      <w:r>
        <w:rPr>
          <w:lang w:val="ru-RU" w:eastAsia="ru-RU" w:bidi="ru-RU"/>
          <w:w w:val="100"/>
          <w:color w:val="000000"/>
          <w:position w:val="0"/>
        </w:rPr>
        <w:t>Верхушечный толчок отрицательный</w:t>
      </w:r>
      <w:bookmarkEnd w:id="15"/>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сращения висцерального и париетального листков перикарда: втяжение грудной клетки в области верхушки вместо выпячивания.</w:t>
      </w:r>
    </w:p>
    <w:p>
      <w:pPr>
        <w:pStyle w:val="Style50"/>
        <w:widowControl w:val="0"/>
        <w:keepNext/>
        <w:keepLines/>
        <w:shd w:val="clear" w:color="auto" w:fill="auto"/>
        <w:bidi w:val="0"/>
        <w:jc w:val="both"/>
        <w:spacing w:before="0" w:after="0"/>
        <w:ind w:left="0" w:right="0" w:firstLine="280"/>
      </w:pPr>
      <w:bookmarkStart w:id="16" w:name="bookmark16"/>
      <w:r>
        <w:rPr>
          <w:lang w:val="ru-RU" w:eastAsia="ru-RU" w:bidi="ru-RU"/>
          <w:w w:val="100"/>
          <w:color w:val="000000"/>
          <w:position w:val="0"/>
        </w:rPr>
        <w:t>Верхушечный толчок-усиление</w:t>
      </w:r>
      <w:bookmarkEnd w:id="16"/>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Расширение области видимого и прощупываемого вер</w:t>
        <w:softHyphen/>
        <w:t>хушечного толчка; наблюдается при психическом возбуж</w:t>
        <w:softHyphen/>
        <w:t>дении, физическом напряжении, при повышении темпера</w:t>
        <w:softHyphen/>
        <w:t>туры, нейроциркуляторной астении, гипертиреозе и др.</w:t>
      </w:r>
    </w:p>
    <w:p>
      <w:pPr>
        <w:pStyle w:val="Style50"/>
        <w:widowControl w:val="0"/>
        <w:keepNext/>
        <w:keepLines/>
        <w:shd w:val="clear" w:color="auto" w:fill="auto"/>
        <w:bidi w:val="0"/>
        <w:jc w:val="both"/>
        <w:spacing w:before="0" w:after="0"/>
        <w:ind w:left="0" w:right="0" w:firstLine="280"/>
      </w:pPr>
      <w:bookmarkStart w:id="17" w:name="bookmark17"/>
      <w:r>
        <w:rPr>
          <w:lang w:val="ru-RU" w:eastAsia="ru-RU" w:bidi="ru-RU"/>
          <w:w w:val="100"/>
          <w:color w:val="000000"/>
          <w:position w:val="0"/>
        </w:rPr>
        <w:t>Верхушечный толчок приподнимающий</w:t>
      </w:r>
      <w:bookmarkEnd w:id="1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Вариант усиленного верхушечного толчка, когда палец исследуемого не преодолевает верхушечный толчок; на</w:t>
        <w:softHyphen/>
        <w:t>блюдается при гипертрофии левого желудочка.</w:t>
      </w:r>
    </w:p>
    <w:p>
      <w:pPr>
        <w:pStyle w:val="Style50"/>
        <w:widowControl w:val="0"/>
        <w:keepNext/>
        <w:keepLines/>
        <w:shd w:val="clear" w:color="auto" w:fill="auto"/>
        <w:bidi w:val="0"/>
        <w:jc w:val="both"/>
        <w:spacing w:before="0" w:after="0"/>
        <w:ind w:left="0" w:right="0" w:firstLine="280"/>
      </w:pPr>
      <w:r>
        <w:br w:type="column"/>
      </w:r>
      <w:bookmarkStart w:id="18" w:name="bookmark18"/>
      <w:r>
        <w:rPr>
          <w:lang w:val="ru-RU" w:eastAsia="ru-RU" w:bidi="ru-RU"/>
          <w:w w:val="100"/>
          <w:color w:val="000000"/>
          <w:position w:val="0"/>
        </w:rPr>
        <w:t>Верхушечный толчок-ослабление</w:t>
      </w:r>
      <w:bookmarkEnd w:id="18"/>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слабости сердечной мышцы, выпота в пери</w:t>
        <w:softHyphen/>
        <w:t>кард: верхушечный толчок разлитой, слабо прощупывается. Ослабление верхушечного толчка может быть обусловлено экстракардиальными факторами: ожирением, эмфиземой легких.</w:t>
      </w:r>
    </w:p>
    <w:p>
      <w:pPr>
        <w:pStyle w:val="Style50"/>
        <w:widowControl w:val="0"/>
        <w:keepNext/>
        <w:keepLines/>
        <w:shd w:val="clear" w:color="auto" w:fill="auto"/>
        <w:bidi w:val="0"/>
        <w:jc w:val="both"/>
        <w:spacing w:before="0" w:after="0"/>
        <w:ind w:left="0" w:right="0" w:firstLine="280"/>
      </w:pPr>
      <w:bookmarkStart w:id="19" w:name="bookmark19"/>
      <w:r>
        <w:rPr>
          <w:lang w:val="ru-RU" w:eastAsia="ru-RU" w:bidi="ru-RU"/>
          <w:w w:val="100"/>
          <w:color w:val="000000"/>
          <w:position w:val="0"/>
        </w:rPr>
        <w:t>Верхушечный толчок диастолический</w:t>
      </w:r>
      <w:bookmarkEnd w:id="19"/>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резкого ослабления сердечной мышцы (при за</w:t>
        <w:softHyphen/>
        <w:t>стойной сердечной недостаточности): легкий удар в облас</w:t>
        <w:softHyphen/>
        <w:t>ти верхушки сердца, совпадающий не с систолой, а с диас</w:t>
        <w:softHyphen/>
        <w:t>толой (аналогичен патологическому усилению III тона).</w:t>
      </w:r>
    </w:p>
    <w:p>
      <w:pPr>
        <w:pStyle w:val="Style50"/>
        <w:widowControl w:val="0"/>
        <w:keepNext/>
        <w:keepLines/>
        <w:shd w:val="clear" w:color="auto" w:fill="auto"/>
        <w:bidi w:val="0"/>
        <w:jc w:val="both"/>
        <w:spacing w:before="0" w:after="0"/>
        <w:ind w:left="0" w:right="0" w:firstLine="280"/>
      </w:pPr>
      <w:bookmarkStart w:id="20" w:name="bookmark20"/>
      <w:r>
        <w:rPr>
          <w:lang w:val="ru-RU" w:eastAsia="ru-RU" w:bidi="ru-RU"/>
          <w:w w:val="100"/>
          <w:color w:val="000000"/>
          <w:position w:val="0"/>
        </w:rPr>
        <w:t>Верхушечный толчок несмещаемый</w:t>
      </w:r>
      <w:bookmarkEnd w:id="2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плевро-перикардиальных сращений: отсут</w:t>
        <w:softHyphen/>
        <w:t>ствие смещаемости верхушечного толчка при перемене по</w:t>
        <w:softHyphen/>
        <w:t>ложения тела.</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В норме при положении на левом боку верхушечный толчок смещается на 2-3 см влево, а при повороте на пра</w:t>
        <w:softHyphen/>
        <w:t xml:space="preserve">вый бок — на </w:t>
      </w:r>
      <w:r>
        <w:rPr>
          <w:rStyle w:val="CharStyle32"/>
        </w:rPr>
        <w:t>1-2</w:t>
      </w:r>
      <w:r>
        <w:rPr>
          <w:lang w:val="ru-RU" w:eastAsia="ru-RU" w:bidi="ru-RU"/>
          <w:w w:val="100"/>
          <w:spacing w:val="0"/>
          <w:color w:val="000000"/>
          <w:position w:val="0"/>
        </w:rPr>
        <w:t xml:space="preserve"> см вправо или перестает прощупываться.</w:t>
      </w:r>
    </w:p>
    <w:p>
      <w:pPr>
        <w:pStyle w:val="Style50"/>
        <w:widowControl w:val="0"/>
        <w:keepNext/>
        <w:keepLines/>
        <w:shd w:val="clear" w:color="auto" w:fill="auto"/>
        <w:bidi w:val="0"/>
        <w:jc w:val="both"/>
        <w:spacing w:before="0" w:after="0"/>
        <w:ind w:left="0" w:right="0" w:firstLine="280"/>
      </w:pPr>
      <w:bookmarkStart w:id="21" w:name="bookmark21"/>
      <w:r>
        <w:rPr>
          <w:lang w:val="ru-RU" w:eastAsia="ru-RU" w:bidi="ru-RU"/>
          <w:w w:val="100"/>
          <w:color w:val="000000"/>
          <w:position w:val="0"/>
        </w:rPr>
        <w:t>Смещение верхушечного толчка влево и вниз</w:t>
      </w:r>
      <w:bookmarkEnd w:id="2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гипертрофии и/или дилатации левого желудоч</w:t>
        <w:softHyphen/>
        <w:t>ка или всего сердца.</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 гипертрофии (дилатации) правого желудочка левый желудочек отодвигается кзади, при этом не наблюдается смещения верхушечного толчка вниз.</w:t>
      </w:r>
    </w:p>
    <w:p>
      <w:pPr>
        <w:pStyle w:val="Style50"/>
        <w:widowControl w:val="0"/>
        <w:keepNext/>
        <w:keepLines/>
        <w:shd w:val="clear" w:color="auto" w:fill="auto"/>
        <w:bidi w:val="0"/>
        <w:jc w:val="both"/>
        <w:spacing w:before="0" w:after="0"/>
        <w:ind w:left="0" w:right="0" w:firstLine="280"/>
      </w:pPr>
      <w:bookmarkStart w:id="22" w:name="bookmark22"/>
      <w:r>
        <w:rPr>
          <w:lang w:val="ru-RU" w:eastAsia="ru-RU" w:bidi="ru-RU"/>
          <w:w w:val="100"/>
          <w:color w:val="000000"/>
          <w:position w:val="0"/>
        </w:rPr>
        <w:t>Пульсация легочной артерии</w:t>
      </w:r>
      <w:bookmarkEnd w:id="2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дилатации легочной артерии, может наблю</w:t>
        <w:softHyphen/>
        <w:t>даться при открытом артериальном протоке: систолический удар во втором межреберье, определяемый при пальпации.</w:t>
      </w:r>
    </w:p>
    <w:p>
      <w:pPr>
        <w:pStyle w:val="Style30"/>
        <w:widowControl w:val="0"/>
        <w:keepNext w:val="0"/>
        <w:keepLines w:val="0"/>
        <w:shd w:val="clear" w:color="auto" w:fill="auto"/>
        <w:bidi w:val="0"/>
        <w:spacing w:before="0" w:after="120"/>
        <w:ind w:left="0" w:right="0" w:firstLine="280"/>
      </w:pPr>
      <w:r>
        <w:rPr>
          <w:lang w:val="en-US" w:eastAsia="en-US" w:bidi="en-US"/>
          <w:w w:val="100"/>
          <w:spacing w:val="0"/>
          <w:color w:val="000000"/>
          <w:position w:val="0"/>
        </w:rPr>
        <w:t xml:space="preserve">NB. </w:t>
      </w:r>
      <w:r>
        <w:rPr>
          <w:lang w:val="ru-RU" w:eastAsia="ru-RU" w:bidi="ru-RU"/>
          <w:w w:val="100"/>
          <w:spacing w:val="0"/>
          <w:color w:val="000000"/>
          <w:position w:val="0"/>
        </w:rPr>
        <w:t>Систолическая пульсация нормальной легочной ар</w:t>
        <w:softHyphen/>
        <w:t>терии может определяться при ателектазе легкого, идиопа</w:t>
        <w:softHyphen/>
        <w:t>тической дилатации легочной артерии.</w:t>
      </w:r>
    </w:p>
    <w:p>
      <w:pPr>
        <w:pStyle w:val="Style50"/>
        <w:widowControl w:val="0"/>
        <w:keepNext/>
        <w:keepLines/>
        <w:shd w:val="clear" w:color="auto" w:fill="auto"/>
        <w:bidi w:val="0"/>
        <w:jc w:val="both"/>
        <w:spacing w:before="0" w:after="0"/>
        <w:ind w:left="0" w:right="0" w:firstLine="280"/>
      </w:pPr>
      <w:bookmarkStart w:id="23" w:name="bookmark23"/>
      <w:r>
        <w:rPr>
          <w:lang w:val="ru-RU" w:eastAsia="ru-RU" w:bidi="ru-RU"/>
          <w:w w:val="100"/>
          <w:color w:val="000000"/>
          <w:position w:val="0"/>
        </w:rPr>
        <w:t xml:space="preserve">Кошачье мурлыканье </w:t>
      </w:r>
      <w:r>
        <w:rPr>
          <w:lang w:val="en-US" w:eastAsia="en-US" w:bidi="en-US"/>
          <w:w w:val="100"/>
          <w:color w:val="000000"/>
          <w:position w:val="0"/>
        </w:rPr>
        <w:t>(fremissement cataire)</w:t>
      </w:r>
      <w:bookmarkEnd w:id="23"/>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некоторых пороков сердца: ощущение вибра</w:t>
        <w:softHyphen/>
        <w:t>ции при пальпации грудной стенки в результате турбулент</w:t>
        <w:softHyphen/>
        <w:t>ного тока крови через деформированные клапаны или су</w:t>
        <w:softHyphen/>
        <w:t>женные отверстия.</w:t>
      </w:r>
    </w:p>
    <w:p>
      <w:pPr>
        <w:pStyle w:val="Style50"/>
        <w:widowControl w:val="0"/>
        <w:keepNext/>
        <w:keepLines/>
        <w:shd w:val="clear" w:color="auto" w:fill="auto"/>
        <w:bidi w:val="0"/>
        <w:jc w:val="both"/>
        <w:spacing w:before="0" w:after="0"/>
        <w:ind w:left="0" w:right="0" w:firstLine="280"/>
      </w:pPr>
      <w:bookmarkStart w:id="24" w:name="bookmark24"/>
      <w:r>
        <w:rPr>
          <w:lang w:val="ru-RU" w:eastAsia="ru-RU" w:bidi="ru-RU"/>
          <w:w w:val="100"/>
          <w:color w:val="000000"/>
          <w:position w:val="0"/>
        </w:rPr>
        <w:t>Кошачье мурлыканье систолическое</w:t>
      </w:r>
      <w:bookmarkEnd w:id="24"/>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Дрожание, непосредственно следующее за верхушечным толчком. Наблюдается при сужении аорты, дефекте межже</w:t>
        <w:softHyphen/>
        <w:t>лудочковой перегородки, открытом артериальном протоке.</w:t>
      </w:r>
    </w:p>
    <w:p>
      <w:pPr>
        <w:pStyle w:val="Style50"/>
        <w:widowControl w:val="0"/>
        <w:keepNext/>
        <w:keepLines/>
        <w:shd w:val="clear" w:color="auto" w:fill="auto"/>
        <w:bidi w:val="0"/>
        <w:jc w:val="both"/>
        <w:spacing w:before="0" w:after="0"/>
        <w:ind w:left="0" w:right="0" w:firstLine="280"/>
      </w:pPr>
      <w:bookmarkStart w:id="25" w:name="bookmark25"/>
      <w:r>
        <w:rPr>
          <w:lang w:val="ru-RU" w:eastAsia="ru-RU" w:bidi="ru-RU"/>
          <w:w w:val="100"/>
          <w:color w:val="000000"/>
          <w:position w:val="0"/>
        </w:rPr>
        <w:t>Кошачье мурлыканье диастолическое (пресистолическое)</w:t>
      </w:r>
      <w:bookmarkEnd w:id="25"/>
    </w:p>
    <w:p>
      <w:pPr>
        <w:pStyle w:val="Style30"/>
        <w:widowControl w:val="0"/>
        <w:keepNext w:val="0"/>
        <w:keepLines w:val="0"/>
        <w:shd w:val="clear" w:color="auto" w:fill="auto"/>
        <w:bidi w:val="0"/>
        <w:spacing w:before="0" w:after="149"/>
        <w:ind w:left="0" w:right="0" w:firstLine="280"/>
      </w:pPr>
      <w:r>
        <w:rPr>
          <w:lang w:val="ru-RU" w:eastAsia="ru-RU" w:bidi="ru-RU"/>
          <w:w w:val="100"/>
          <w:spacing w:val="0"/>
          <w:color w:val="000000"/>
          <w:position w:val="0"/>
        </w:rPr>
        <w:t>Дрожание, предшествующее верхушечному толчку. На</w:t>
        <w:softHyphen/>
        <w:t>блюдается при сужении левого атриовентрикулярного от</w:t>
        <w:softHyphen/>
        <w:t>верстия.</w:t>
      </w:r>
    </w:p>
    <w:p>
      <w:pPr>
        <w:pStyle w:val="Style50"/>
        <w:widowControl w:val="0"/>
        <w:keepNext/>
        <w:keepLines/>
        <w:shd w:val="clear" w:color="auto" w:fill="auto"/>
        <w:bidi w:val="0"/>
        <w:jc w:val="both"/>
        <w:spacing w:before="0" w:after="190" w:line="180" w:lineRule="exact"/>
        <w:ind w:left="0" w:right="0" w:firstLine="280"/>
      </w:pPr>
      <w:bookmarkStart w:id="26" w:name="bookmark26"/>
      <w:r>
        <w:rPr>
          <w:lang w:val="ru-RU" w:eastAsia="ru-RU" w:bidi="ru-RU"/>
          <w:w w:val="100"/>
          <w:color w:val="000000"/>
          <w:position w:val="0"/>
        </w:rPr>
        <w:t>Аускультация сердца</w:t>
      </w:r>
      <w:bookmarkEnd w:id="26"/>
    </w:p>
    <w:p>
      <w:pPr>
        <w:pStyle w:val="Style50"/>
        <w:widowControl w:val="0"/>
        <w:keepNext/>
        <w:keepLines/>
        <w:shd w:val="clear" w:color="auto" w:fill="auto"/>
        <w:bidi w:val="0"/>
        <w:jc w:val="both"/>
        <w:spacing w:before="0" w:after="161" w:line="180" w:lineRule="exact"/>
        <w:ind w:left="0" w:right="0" w:firstLine="280"/>
      </w:pPr>
      <w:bookmarkStart w:id="27" w:name="bookmark27"/>
      <w:r>
        <w:rPr>
          <w:lang w:val="ru-RU" w:eastAsia="ru-RU" w:bidi="ru-RU"/>
          <w:w w:val="100"/>
          <w:color w:val="000000"/>
          <w:position w:val="0"/>
        </w:rPr>
        <w:t>Тоны сердца</w:t>
      </w:r>
      <w:bookmarkEnd w:id="27"/>
    </w:p>
    <w:p>
      <w:pPr>
        <w:pStyle w:val="Style50"/>
        <w:widowControl w:val="0"/>
        <w:keepNext/>
        <w:keepLines/>
        <w:shd w:val="clear" w:color="auto" w:fill="auto"/>
        <w:bidi w:val="0"/>
        <w:jc w:val="both"/>
        <w:spacing w:before="0" w:after="0"/>
        <w:ind w:left="0" w:right="0" w:firstLine="280"/>
      </w:pPr>
      <w:bookmarkStart w:id="28" w:name="bookmark28"/>
      <w:r>
        <w:rPr>
          <w:lang w:val="ru-RU" w:eastAsia="ru-RU" w:bidi="ru-RU"/>
          <w:w w:val="100"/>
          <w:color w:val="000000"/>
          <w:position w:val="0"/>
        </w:rPr>
        <w:t>Усиление I и II тона сердца</w:t>
      </w:r>
      <w:bookmarkEnd w:id="28"/>
    </w:p>
    <w:p>
      <w:pPr>
        <w:pStyle w:val="Style30"/>
        <w:widowControl w:val="0"/>
        <w:keepNext w:val="0"/>
        <w:keepLines w:val="0"/>
        <w:shd w:val="clear" w:color="auto" w:fill="auto"/>
        <w:bidi w:val="0"/>
        <w:spacing w:before="0" w:after="0"/>
        <w:ind w:left="0" w:right="0" w:firstLine="280"/>
        <w:sectPr>
          <w:headerReference w:type="even" r:id="rId45"/>
          <w:headerReference w:type="default" r:id="rId46"/>
          <w:headerReference w:type="first" r:id="rId47"/>
          <w:titlePg/>
          <w:pgSz w:w="11900" w:h="16840"/>
          <w:pgMar w:top="1353" w:left="1006" w:right="1006" w:bottom="1585" w:header="0" w:footer="3" w:gutter="0"/>
          <w:rtlGutter w:val="0"/>
          <w:cols w:num="2" w:space="173"/>
          <w:noEndnote/>
          <w:docGrid w:linePitch="360"/>
        </w:sectPr>
      </w:pPr>
      <w:r>
        <w:rPr>
          <w:lang w:val="ru-RU" w:eastAsia="ru-RU" w:bidi="ru-RU"/>
          <w:w w:val="100"/>
          <w:spacing w:val="0"/>
          <w:color w:val="000000"/>
          <w:position w:val="0"/>
        </w:rPr>
        <w:t>Основными экстракардиальными факторами являются: тонкая грудная клетка, лихорадка, анемия, нервное напря</w:t>
        <w:softHyphen/>
        <w:t>жение, тиреотоксикоз, прием препаратов, стимулирующих сердечную деятельность, опухоли заднего средостения. Кардиальными факторами являются усиленная сердечная деятельность при физической нагрузке, кардиосклероз.</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44" w:after="44" w:line="240" w:lineRule="exact"/>
        <w:rPr>
          <w:sz w:val="19"/>
          <w:szCs w:val="19"/>
        </w:rPr>
      </w:pPr>
    </w:p>
    <w:p>
      <w:pPr>
        <w:widowControl w:val="0"/>
        <w:rPr>
          <w:sz w:val="2"/>
          <w:szCs w:val="2"/>
        </w:rPr>
        <w:sectPr>
          <w:type w:val="continuous"/>
          <w:pgSz w:w="11900" w:h="16840"/>
          <w:pgMar w:top="1487" w:left="0" w:right="0" w:bottom="192" w:header="0" w:footer="3" w:gutter="0"/>
          <w:rtlGutter w:val="0"/>
          <w:cols w:space="720"/>
          <w:noEndnote/>
          <w:docGrid w:linePitch="360"/>
        </w:sectPr>
      </w:pPr>
    </w:p>
    <w:p>
      <w:pPr>
        <w:widowControl w:val="0"/>
        <w:spacing w:line="482" w:lineRule="exact"/>
      </w:pPr>
      <w:r>
        <w:pict>
          <v:shape id="_x0000_s1054" type="#_x0000_t75" style="position:absolute;margin-left:153.7pt;margin-top:0;width:209.75pt;height:14.9pt;z-index:-251658743;mso-wrap-distance-left:5.pt;mso-wrap-distance-right:5.pt;mso-position-horizontal-relative:margin" wrapcoords="0 0">
            <v:imagedata r:id="rId48" r:href="rId49"/>
            <w10:wrap anchorx="margin"/>
          </v:shape>
        </w:pict>
      </w:r>
    </w:p>
    <w:p>
      <w:pPr>
        <w:widowControl w:val="0"/>
        <w:rPr>
          <w:sz w:val="2"/>
          <w:szCs w:val="2"/>
        </w:rPr>
        <w:sectPr>
          <w:type w:val="continuous"/>
          <w:pgSz w:w="11900" w:h="16840"/>
          <w:pgMar w:top="1487" w:left="893" w:right="1119" w:bottom="192" w:header="0" w:footer="3" w:gutter="0"/>
          <w:rtlGutter w:val="0"/>
          <w:cols w:space="720"/>
          <w:noEndnote/>
          <w:docGrid w:linePitch="360"/>
        </w:sectPr>
      </w:pPr>
    </w:p>
    <w:p>
      <w:pPr>
        <w:widowControl w:val="0"/>
        <w:rPr>
          <w:sz w:val="2"/>
          <w:szCs w:val="2"/>
        </w:rPr>
      </w:pPr>
      <w:r>
        <w:pict>
          <v:shape id="_x0000_s1055" type="#_x0000_t75" style="position:absolute;margin-left:137.05pt;margin-top:736.3pt;width:209.75pt;height:14.9pt;z-index:-125829370;mso-wrap-distance-left:136.8pt;mso-wrap-distance-right:147.85pt;mso-wrap-distance-bottom:18.5pt;mso-position-horizontal-relative:margin" wrapcoords="0 0 21600 0 21600 21600 0 21600 0 0">
            <v:imagedata r:id="rId50" r:href="rId51"/>
            <w10:wrap type="topAndBottom" anchorx="margin"/>
          </v:shape>
        </w:pict>
      </w:r>
    </w:p>
    <w:p>
      <w:pPr>
        <w:pStyle w:val="Style50"/>
        <w:widowControl w:val="0"/>
        <w:keepNext/>
        <w:keepLines/>
        <w:shd w:val="clear" w:color="auto" w:fill="auto"/>
        <w:bidi w:val="0"/>
        <w:jc w:val="both"/>
        <w:spacing w:before="0" w:after="0"/>
        <w:ind w:left="0" w:right="0" w:firstLine="280"/>
      </w:pPr>
      <w:bookmarkStart w:id="29" w:name="bookmark29"/>
      <w:r>
        <w:rPr>
          <w:lang w:val="ru-RU" w:eastAsia="ru-RU" w:bidi="ru-RU"/>
          <w:w w:val="100"/>
          <w:color w:val="000000"/>
          <w:position w:val="0"/>
        </w:rPr>
        <w:t>Ослабление I и II тона сердца</w:t>
      </w:r>
      <w:bookmarkEnd w:id="29"/>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Может происходить по разным причинам. К основным экстракардиальным причинам относятся ожирение, разви</w:t>
        <w:softHyphen/>
        <w:t>тая мускулатура груди, опухоли передней грудной стенки, эмфизема легких, левосторонний выпотной плеврит. Кар</w:t>
        <w:softHyphen/>
        <w:t>диальными причинами могут быть обморок, коллапс, недо</w:t>
        <w:softHyphen/>
        <w:t>статочность кровообращения, инфаркт миокарда, миокар</w:t>
        <w:softHyphen/>
        <w:t>дит, выпотной перикардит.</w:t>
      </w:r>
    </w:p>
    <w:p>
      <w:pPr>
        <w:pStyle w:val="Style50"/>
        <w:widowControl w:val="0"/>
        <w:keepNext/>
        <w:keepLines/>
        <w:shd w:val="clear" w:color="auto" w:fill="auto"/>
        <w:bidi w:val="0"/>
        <w:jc w:val="both"/>
        <w:spacing w:before="0" w:after="0"/>
        <w:ind w:left="0" w:right="0" w:firstLine="280"/>
      </w:pPr>
      <w:bookmarkStart w:id="30" w:name="bookmark30"/>
      <w:r>
        <w:rPr>
          <w:lang w:val="ru-RU" w:eastAsia="ru-RU" w:bidi="ru-RU"/>
          <w:w w:val="100"/>
          <w:color w:val="000000"/>
          <w:position w:val="0"/>
        </w:rPr>
        <w:t>Усиление I тона</w:t>
      </w:r>
      <w:bookmarkEnd w:id="30"/>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Стеноз левого атриовентрикулярного отверстия (хлопа</w:t>
        <w:softHyphen/>
        <w:t>ющий первый тон — специфический признак), экстрасис- толия.</w:t>
      </w:r>
    </w:p>
    <w:p>
      <w:pPr>
        <w:pStyle w:val="Style50"/>
        <w:widowControl w:val="0"/>
        <w:keepNext/>
        <w:keepLines/>
        <w:shd w:val="clear" w:color="auto" w:fill="auto"/>
        <w:bidi w:val="0"/>
        <w:jc w:val="both"/>
        <w:spacing w:before="0" w:after="0"/>
        <w:ind w:left="0" w:right="0" w:firstLine="280"/>
      </w:pPr>
      <w:bookmarkStart w:id="31" w:name="bookmark31"/>
      <w:r>
        <w:rPr>
          <w:lang w:val="ru-RU" w:eastAsia="ru-RU" w:bidi="ru-RU"/>
          <w:w w:val="100"/>
          <w:color w:val="000000"/>
          <w:position w:val="0"/>
        </w:rPr>
        <w:t xml:space="preserve">Ослабление </w:t>
      </w:r>
      <w:r>
        <w:rPr>
          <w:lang w:val="en-US" w:eastAsia="en-US" w:bidi="en-US"/>
          <w:w w:val="100"/>
          <w:color w:val="000000"/>
          <w:position w:val="0"/>
        </w:rPr>
        <w:t xml:space="preserve">I </w:t>
      </w:r>
      <w:r>
        <w:rPr>
          <w:lang w:val="ru-RU" w:eastAsia="ru-RU" w:bidi="ru-RU"/>
          <w:w w:val="100"/>
          <w:color w:val="000000"/>
          <w:position w:val="0"/>
        </w:rPr>
        <w:t>тона</w:t>
      </w:r>
      <w:bookmarkEnd w:id="31"/>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Недостаточность митрального клапана, недостаточ</w:t>
        <w:softHyphen/>
        <w:t>ность аортального клапана, недостаточность трехстворча</w:t>
        <w:softHyphen/>
        <w:t>того клапана, недостаточность клапана легочной артерии.</w:t>
      </w:r>
    </w:p>
    <w:p>
      <w:pPr>
        <w:pStyle w:val="Style50"/>
        <w:widowControl w:val="0"/>
        <w:keepNext/>
        <w:keepLines/>
        <w:shd w:val="clear" w:color="auto" w:fill="auto"/>
        <w:bidi w:val="0"/>
        <w:jc w:val="both"/>
        <w:spacing w:before="0" w:after="0"/>
        <w:ind w:left="0" w:right="0" w:firstLine="280"/>
      </w:pPr>
      <w:bookmarkStart w:id="32" w:name="bookmark32"/>
      <w:r>
        <w:rPr>
          <w:lang w:val="ru-RU" w:eastAsia="ru-RU" w:bidi="ru-RU"/>
          <w:w w:val="100"/>
          <w:color w:val="000000"/>
          <w:position w:val="0"/>
        </w:rPr>
        <w:t>«Бархатный тон» (син. симптом Дмитриенко)</w:t>
      </w:r>
      <w:bookmarkEnd w:id="32"/>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первичного ревмокардита: особая мягкая бар</w:t>
        <w:softHyphen/>
        <w:t>хатистость I тона на 2-3, реже — 5-6 неделе заболевания. По своему тембру напоминает звук от удара барабанной па</w:t>
        <w:softHyphen/>
        <w:t>лочкой по туго натянутому бархату.</w:t>
      </w:r>
    </w:p>
    <w:p>
      <w:pPr>
        <w:pStyle w:val="Style50"/>
        <w:widowControl w:val="0"/>
        <w:keepNext/>
        <w:keepLines/>
        <w:shd w:val="clear" w:color="auto" w:fill="auto"/>
        <w:bidi w:val="0"/>
        <w:jc w:val="both"/>
        <w:spacing w:before="0" w:after="0"/>
        <w:ind w:left="0" w:right="0" w:firstLine="280"/>
      </w:pPr>
      <w:bookmarkStart w:id="33" w:name="bookmark33"/>
      <w:r>
        <w:rPr>
          <w:lang w:val="ru-RU" w:eastAsia="ru-RU" w:bidi="ru-RU"/>
          <w:w w:val="100"/>
          <w:color w:val="000000"/>
          <w:position w:val="0"/>
        </w:rPr>
        <w:t xml:space="preserve">Усиление </w:t>
      </w:r>
      <w:r>
        <w:rPr>
          <w:lang w:val="en-US" w:eastAsia="en-US" w:bidi="en-US"/>
          <w:w w:val="100"/>
          <w:color w:val="000000"/>
          <w:position w:val="0"/>
        </w:rPr>
        <w:t xml:space="preserve">II </w:t>
      </w:r>
      <w:r>
        <w:rPr>
          <w:lang w:val="ru-RU" w:eastAsia="ru-RU" w:bidi="ru-RU"/>
          <w:w w:val="100"/>
          <w:color w:val="000000"/>
          <w:position w:val="0"/>
        </w:rPr>
        <w:t>тона</w:t>
      </w:r>
      <w:bookmarkEnd w:id="33"/>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Артериальная гипертензия, легочная гипертензия (ме</w:t>
        <w:softHyphen/>
        <w:t>таллический акцент второго тона), корригированная транс</w:t>
        <w:softHyphen/>
        <w:t>позиция магистральных сосудов, открытый артериальный проток, коарктация аорты, трехпредсердное сердце.</w:t>
      </w:r>
    </w:p>
    <w:p>
      <w:pPr>
        <w:pStyle w:val="Style50"/>
        <w:widowControl w:val="0"/>
        <w:keepNext/>
        <w:keepLines/>
        <w:shd w:val="clear" w:color="auto" w:fill="auto"/>
        <w:bidi w:val="0"/>
        <w:jc w:val="both"/>
        <w:spacing w:before="0" w:after="0"/>
        <w:ind w:left="0" w:right="0" w:firstLine="280"/>
      </w:pPr>
      <w:bookmarkStart w:id="34" w:name="bookmark34"/>
      <w:r>
        <w:rPr>
          <w:lang w:val="ru-RU" w:eastAsia="ru-RU" w:bidi="ru-RU"/>
          <w:w w:val="100"/>
          <w:color w:val="000000"/>
          <w:position w:val="0"/>
        </w:rPr>
        <w:t>Акцент II тона</w:t>
      </w:r>
      <w:bookmarkEnd w:id="34"/>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 xml:space="preserve">Преобладание громкости </w:t>
      </w:r>
      <w:r>
        <w:rPr>
          <w:lang w:val="en-US" w:eastAsia="en-US" w:bidi="en-US"/>
          <w:w w:val="100"/>
          <w:spacing w:val="0"/>
          <w:color w:val="000000"/>
          <w:position w:val="0"/>
        </w:rPr>
        <w:t xml:space="preserve">II </w:t>
      </w:r>
      <w:r>
        <w:rPr>
          <w:lang w:val="ru-RU" w:eastAsia="ru-RU" w:bidi="ru-RU"/>
          <w:w w:val="100"/>
          <w:spacing w:val="0"/>
          <w:color w:val="000000"/>
          <w:position w:val="0"/>
        </w:rPr>
        <w:t>тона при сравнительной ау</w:t>
        <w:softHyphen/>
        <w:t>скультации аорты и легочной артерии.</w:t>
      </w:r>
    </w:p>
    <w:p>
      <w:pPr>
        <w:pStyle w:val="Style50"/>
        <w:widowControl w:val="0"/>
        <w:keepNext/>
        <w:keepLines/>
        <w:shd w:val="clear" w:color="auto" w:fill="auto"/>
        <w:bidi w:val="0"/>
        <w:jc w:val="both"/>
        <w:spacing w:before="0" w:after="0"/>
        <w:ind w:left="0" w:right="0" w:firstLine="280"/>
      </w:pPr>
      <w:bookmarkStart w:id="35" w:name="bookmark35"/>
      <w:r>
        <w:rPr>
          <w:lang w:val="ru-RU" w:eastAsia="ru-RU" w:bidi="ru-RU"/>
          <w:w w:val="100"/>
          <w:color w:val="000000"/>
          <w:position w:val="0"/>
        </w:rPr>
        <w:t xml:space="preserve">Ослабление </w:t>
      </w:r>
      <w:r>
        <w:rPr>
          <w:lang w:val="en-US" w:eastAsia="en-US" w:bidi="en-US"/>
          <w:w w:val="100"/>
          <w:color w:val="000000"/>
          <w:position w:val="0"/>
        </w:rPr>
        <w:t xml:space="preserve">II </w:t>
      </w:r>
      <w:r>
        <w:rPr>
          <w:lang w:val="ru-RU" w:eastAsia="ru-RU" w:bidi="ru-RU"/>
          <w:w w:val="100"/>
          <w:color w:val="000000"/>
          <w:position w:val="0"/>
        </w:rPr>
        <w:t>тона</w:t>
      </w:r>
      <w:bookmarkEnd w:id="35"/>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Недостаточность клапана аорты, недостаточность кла</w:t>
        <w:softHyphen/>
        <w:t>пана легочной артерии, тяжелый аортальный стеноз, стеноз левого атриовентрикулярного отверстия, недостаточность правого желудочка.</w:t>
      </w:r>
    </w:p>
    <w:p>
      <w:pPr>
        <w:pStyle w:val="Style50"/>
        <w:widowControl w:val="0"/>
        <w:keepNext/>
        <w:keepLines/>
        <w:shd w:val="clear" w:color="auto" w:fill="auto"/>
        <w:bidi w:val="0"/>
        <w:jc w:val="both"/>
        <w:spacing w:before="0" w:after="0"/>
        <w:ind w:left="0" w:right="0" w:firstLine="280"/>
      </w:pPr>
      <w:bookmarkStart w:id="36" w:name="bookmark36"/>
      <w:r>
        <w:rPr>
          <w:lang w:val="ru-RU" w:eastAsia="ru-RU" w:bidi="ru-RU"/>
          <w:w w:val="100"/>
          <w:color w:val="000000"/>
          <w:position w:val="0"/>
        </w:rPr>
        <w:t>Раздвоение (расщепление) первого тона</w:t>
      </w:r>
      <w:bookmarkEnd w:id="36"/>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Сердечный тон представляется как бы состоящим из двух коротких звуков, быстро следующих один за другим и вместе составляющих данный тон сердца. Наблюдается при всех ситуациях несинхронного сокращения желудоч</w:t>
        <w:softHyphen/>
        <w:t>ков сердца (аритмии, нарушение проводимости), разнице давления в большом и малом кругах кровообращения, арте</w:t>
        <w:softHyphen/>
        <w:t>риальной или легочной гипертензии.</w:t>
      </w:r>
    </w:p>
    <w:p>
      <w:pPr>
        <w:pStyle w:val="Style50"/>
        <w:widowControl w:val="0"/>
        <w:keepNext/>
        <w:keepLines/>
        <w:shd w:val="clear" w:color="auto" w:fill="auto"/>
        <w:bidi w:val="0"/>
        <w:jc w:val="both"/>
        <w:spacing w:before="0" w:after="0"/>
        <w:ind w:left="0" w:right="0" w:firstLine="280"/>
      </w:pPr>
      <w:bookmarkStart w:id="37" w:name="bookmark37"/>
      <w:r>
        <w:rPr>
          <w:lang w:val="ru-RU" w:eastAsia="ru-RU" w:bidi="ru-RU"/>
          <w:w w:val="100"/>
          <w:color w:val="000000"/>
          <w:position w:val="0"/>
        </w:rPr>
        <w:t xml:space="preserve">Расщепление (раздвоение) </w:t>
      </w:r>
      <w:r>
        <w:rPr>
          <w:lang w:val="en-US" w:eastAsia="en-US" w:bidi="en-US"/>
          <w:w w:val="100"/>
          <w:color w:val="000000"/>
          <w:position w:val="0"/>
        </w:rPr>
        <w:t xml:space="preserve">II </w:t>
      </w:r>
      <w:r>
        <w:rPr>
          <w:lang w:val="ru-RU" w:eastAsia="ru-RU" w:bidi="ru-RU"/>
          <w:w w:val="100"/>
          <w:color w:val="000000"/>
          <w:position w:val="0"/>
        </w:rPr>
        <w:t>тона</w:t>
      </w:r>
      <w:bookmarkEnd w:id="37"/>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Наблюдается как физиологическое расщепление у здо</w:t>
        <w:softHyphen/>
        <w:t>ровых детей, при артериальной гипертензии, пороках мит</w:t>
        <w:softHyphen/>
        <w:t>рального клапана.</w:t>
      </w:r>
    </w:p>
    <w:p>
      <w:pPr>
        <w:pStyle w:val="Style50"/>
        <w:widowControl w:val="0"/>
        <w:keepNext/>
        <w:keepLines/>
        <w:shd w:val="clear" w:color="auto" w:fill="auto"/>
        <w:bidi w:val="0"/>
        <w:jc w:val="both"/>
        <w:spacing w:before="0" w:after="0"/>
        <w:ind w:left="0" w:right="0" w:firstLine="280"/>
      </w:pPr>
      <w:bookmarkStart w:id="38" w:name="bookmark38"/>
      <w:r>
        <w:rPr>
          <w:lang w:val="ru-RU" w:eastAsia="ru-RU" w:bidi="ru-RU"/>
          <w:w w:val="100"/>
          <w:color w:val="000000"/>
          <w:position w:val="0"/>
        </w:rPr>
        <w:t>Тон изгнания</w:t>
      </w:r>
      <w:bookmarkEnd w:id="38"/>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Резкий высокочастотный звук, возникающий в начале систолы непосредственно после I тона сердца. Он развива</w:t>
        <w:softHyphen/>
        <w:t>ется при стенозе полулунных клапанов или же при состоя</w:t>
        <w:softHyphen/>
        <w:t>ниях, характеризующихся дилатацией аорты или легочной артерии. Аортальный тон изгнания лучше выслушивается на верхушке левого желудочка и во втором межреберье</w:t>
        <w:br w:type="column"/>
        <w:t>справа. Легочный тон изгнания лучше слышен на выдохе у верхнего края грудины.</w:t>
      </w:r>
    </w:p>
    <w:p>
      <w:pPr>
        <w:pStyle w:val="Style50"/>
        <w:widowControl w:val="0"/>
        <w:keepNext/>
        <w:keepLines/>
        <w:shd w:val="clear" w:color="auto" w:fill="auto"/>
        <w:bidi w:val="0"/>
        <w:jc w:val="both"/>
        <w:spacing w:before="0" w:after="0"/>
        <w:ind w:left="0" w:right="0" w:firstLine="280"/>
      </w:pPr>
      <w:bookmarkStart w:id="39" w:name="bookmark39"/>
      <w:r>
        <w:rPr>
          <w:lang w:val="ru-RU" w:eastAsia="ru-RU" w:bidi="ru-RU"/>
          <w:w w:val="100"/>
          <w:color w:val="000000"/>
          <w:position w:val="0"/>
        </w:rPr>
        <w:t>Щелчки (клики) систолические</w:t>
      </w:r>
      <w:bookmarkEnd w:id="39"/>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Не связаны с изгнанием крови (тоны изгнания), возни</w:t>
        <w:softHyphen/>
        <w:t>кают из-за натяжения хорд во время максимального проги</w:t>
        <w:softHyphen/>
        <w:t>бания створок в полость предсердия или внезапного выбу</w:t>
        <w:softHyphen/>
        <w:t>хания атриовентрикулярных створок. Щелчки наблюдают</w:t>
        <w:softHyphen/>
        <w:t>ся в мезосистолу либо в позднюю систолу. Обычно слышны при пролапсе митрального и трикуспидального клапанов, небольших аневризмах межпредсердной или межжелудоч</w:t>
        <w:softHyphen/>
        <w:t>ковой перегородок.</w:t>
      </w:r>
    </w:p>
    <w:p>
      <w:pPr>
        <w:pStyle w:val="Style50"/>
        <w:widowControl w:val="0"/>
        <w:keepNext/>
        <w:keepLines/>
        <w:shd w:val="clear" w:color="auto" w:fill="auto"/>
        <w:bidi w:val="0"/>
        <w:jc w:val="both"/>
        <w:spacing w:before="0" w:after="0"/>
        <w:ind w:left="0" w:right="0" w:firstLine="280"/>
      </w:pPr>
      <w:bookmarkStart w:id="40" w:name="bookmark40"/>
      <w:r>
        <w:rPr>
          <w:lang w:val="ru-RU" w:eastAsia="ru-RU" w:bidi="ru-RU"/>
          <w:w w:val="100"/>
          <w:color w:val="000000"/>
          <w:position w:val="0"/>
        </w:rPr>
        <w:t>Ритма галопа симптом</w:t>
      </w:r>
      <w:bookmarkEnd w:id="40"/>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Аускультативный феномен, заключающийся в наличии экстратона (или экстратонов) сердца. Свое название ритм га</w:t>
        <w:softHyphen/>
        <w:t>лопа получил от того, что напоминает звук, издаваемый от удара о мостовую копыт лошади, скачущей галопом. В зависи</w:t>
        <w:softHyphen/>
        <w:t>мости от времени возникновения экстратона различают ритм галопа диастолический, мезодиастолический, предсердный, пресистолический, протодиастолический и систолический.</w:t>
      </w:r>
    </w:p>
    <w:p>
      <w:pPr>
        <w:pStyle w:val="Style50"/>
        <w:widowControl w:val="0"/>
        <w:keepNext/>
        <w:keepLines/>
        <w:shd w:val="clear" w:color="auto" w:fill="auto"/>
        <w:bidi w:val="0"/>
        <w:jc w:val="both"/>
        <w:spacing w:before="0" w:after="0"/>
        <w:ind w:left="0" w:right="0" w:firstLine="280"/>
      </w:pPr>
      <w:bookmarkStart w:id="41" w:name="bookmark41"/>
      <w:r>
        <w:rPr>
          <w:lang w:val="ru-RU" w:eastAsia="ru-RU" w:bidi="ru-RU"/>
          <w:w w:val="100"/>
          <w:color w:val="000000"/>
          <w:position w:val="0"/>
        </w:rPr>
        <w:t>Систолический ритм галопа</w:t>
      </w:r>
      <w:bookmarkEnd w:id="41"/>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Возникает при неодновременном сокращении правого и левого желудочков, нарушениях проводимости одной из ножек пучка Гиса. Может наблюдаться при инфаркте мио</w:t>
        <w:softHyphen/>
        <w:t>карда из-за несинхронного сокращения желудочков.</w:t>
      </w:r>
    </w:p>
    <w:p>
      <w:pPr>
        <w:pStyle w:val="Style50"/>
        <w:widowControl w:val="0"/>
        <w:keepNext/>
        <w:keepLines/>
        <w:shd w:val="clear" w:color="auto" w:fill="auto"/>
        <w:bidi w:val="0"/>
        <w:jc w:val="both"/>
        <w:spacing w:before="0" w:after="0"/>
        <w:ind w:left="0" w:right="0" w:firstLine="280"/>
      </w:pPr>
      <w:bookmarkStart w:id="42" w:name="bookmark42"/>
      <w:r>
        <w:rPr>
          <w:lang w:val="ru-RU" w:eastAsia="ru-RU" w:bidi="ru-RU"/>
          <w:w w:val="100"/>
          <w:color w:val="000000"/>
          <w:position w:val="0"/>
        </w:rPr>
        <w:t>Диастолический ритм галопа</w:t>
      </w:r>
      <w:bookmarkEnd w:id="42"/>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Обусловлен расслаблением тонуса сердечной мышцы: миокардиты, кардиомиопатии, застойная сердечная недо</w:t>
        <w:softHyphen/>
        <w:t>статочность.</w:t>
      </w:r>
    </w:p>
    <w:p>
      <w:pPr>
        <w:pStyle w:val="Style50"/>
        <w:widowControl w:val="0"/>
        <w:keepNext/>
        <w:keepLines/>
        <w:shd w:val="clear" w:color="auto" w:fill="auto"/>
        <w:bidi w:val="0"/>
        <w:jc w:val="both"/>
        <w:spacing w:before="0" w:after="0"/>
        <w:ind w:left="0" w:right="0" w:firstLine="280"/>
      </w:pPr>
      <w:bookmarkStart w:id="43" w:name="bookmark43"/>
      <w:r>
        <w:rPr>
          <w:lang w:val="ru-RU" w:eastAsia="ru-RU" w:bidi="ru-RU"/>
          <w:w w:val="100"/>
          <w:color w:val="000000"/>
          <w:position w:val="0"/>
        </w:rPr>
        <w:t>Протодиастолический ритм галопа</w:t>
      </w:r>
      <w:bookmarkEnd w:id="43"/>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Наиболее частая разновидность диастолического галопа, обусловлен усилением третьего тона вследствие дряблости мускулатуры левого желудочка. Протодиастолический галоп наблюдается при тяжелых острых и хронических миокарди</w:t>
        <w:softHyphen/>
        <w:t>тах, кардиосклерозе, при тяжелых интоксикациях миокарда, инфарктах, у больных с клапанными пороками сердца, при далеко зашедшей сердечно-легочной недостаточности. Этот же ритм галопа может возникнуть при декомпенсации предварительно гипертрофированного левого желудочка.</w:t>
      </w:r>
    </w:p>
    <w:p>
      <w:pPr>
        <w:pStyle w:val="Style50"/>
        <w:widowControl w:val="0"/>
        <w:keepNext/>
        <w:keepLines/>
        <w:shd w:val="clear" w:color="auto" w:fill="auto"/>
        <w:bidi w:val="0"/>
        <w:jc w:val="both"/>
        <w:spacing w:before="0" w:after="0"/>
        <w:ind w:left="0" w:right="0" w:firstLine="280"/>
      </w:pPr>
      <w:bookmarkStart w:id="44" w:name="bookmark44"/>
      <w:r>
        <w:rPr>
          <w:lang w:val="ru-RU" w:eastAsia="ru-RU" w:bidi="ru-RU"/>
          <w:w w:val="100"/>
          <w:color w:val="000000"/>
          <w:position w:val="0"/>
        </w:rPr>
        <w:t>Шумы сердца</w:t>
      </w:r>
      <w:bookmarkEnd w:id="44"/>
    </w:p>
    <w:p>
      <w:pPr>
        <w:pStyle w:val="Style52"/>
        <w:widowControl w:val="0"/>
        <w:keepNext w:val="0"/>
        <w:keepLines w:val="0"/>
        <w:shd w:val="clear" w:color="auto" w:fill="auto"/>
        <w:bidi w:val="0"/>
        <w:jc w:val="both"/>
        <w:spacing w:before="0" w:after="0" w:line="216" w:lineRule="exact"/>
        <w:ind w:left="0" w:right="0" w:firstLine="280"/>
      </w:pPr>
      <w:r>
        <w:rPr>
          <w:lang w:val="ru-RU" w:eastAsia="ru-RU" w:bidi="ru-RU"/>
          <w:w w:val="100"/>
          <w:color w:val="000000"/>
          <w:position w:val="0"/>
        </w:rPr>
        <w:t>Левине интенсивность шумов:</w:t>
      </w:r>
    </w:p>
    <w:p>
      <w:pPr>
        <w:pStyle w:val="Style30"/>
        <w:numPr>
          <w:ilvl w:val="0"/>
          <w:numId w:val="17"/>
        </w:numPr>
        <w:tabs>
          <w:tab w:leader="none" w:pos="45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слабый шум, выслушиваемый при сосредо</w:t>
        <w:softHyphen/>
        <w:t>точенной аускультации;</w:t>
      </w:r>
    </w:p>
    <w:p>
      <w:pPr>
        <w:pStyle w:val="Style30"/>
        <w:numPr>
          <w:ilvl w:val="0"/>
          <w:numId w:val="17"/>
        </w:numPr>
        <w:tabs>
          <w:tab w:leader="none" w:pos="49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слабые шумы;</w:t>
      </w:r>
    </w:p>
    <w:p>
      <w:pPr>
        <w:pStyle w:val="Style30"/>
        <w:numPr>
          <w:ilvl w:val="0"/>
          <w:numId w:val="17"/>
        </w:numPr>
        <w:tabs>
          <w:tab w:leader="none" w:pos="49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шумы средней силы;</w:t>
      </w:r>
    </w:p>
    <w:p>
      <w:pPr>
        <w:pStyle w:val="Style30"/>
        <w:numPr>
          <w:ilvl w:val="0"/>
          <w:numId w:val="17"/>
        </w:numPr>
        <w:tabs>
          <w:tab w:leader="none" w:pos="50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громкие шумы;</w:t>
      </w:r>
    </w:p>
    <w:p>
      <w:pPr>
        <w:pStyle w:val="Style30"/>
        <w:numPr>
          <w:ilvl w:val="0"/>
          <w:numId w:val="17"/>
        </w:numPr>
        <w:tabs>
          <w:tab w:leader="none" w:pos="50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весьма громкие шумы;</w:t>
      </w:r>
    </w:p>
    <w:p>
      <w:pPr>
        <w:pStyle w:val="Style30"/>
        <w:numPr>
          <w:ilvl w:val="0"/>
          <w:numId w:val="17"/>
        </w:numPr>
        <w:tabs>
          <w:tab w:leader="none" w:pos="462" w:val="left"/>
        </w:tabs>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степень — шумы, выслушивающиеся на расстоянии (дистанционные шумы).</w:t>
      </w:r>
    </w:p>
    <w:p>
      <w:pPr>
        <w:pStyle w:val="Style50"/>
        <w:widowControl w:val="0"/>
        <w:keepNext/>
        <w:keepLines/>
        <w:shd w:val="clear" w:color="auto" w:fill="auto"/>
        <w:bidi w:val="0"/>
        <w:jc w:val="both"/>
        <w:spacing w:before="0" w:after="0"/>
        <w:ind w:left="0" w:right="0" w:firstLine="280"/>
      </w:pPr>
      <w:bookmarkStart w:id="45" w:name="bookmark45"/>
      <w:r>
        <w:rPr>
          <w:lang w:val="ru-RU" w:eastAsia="ru-RU" w:bidi="ru-RU"/>
          <w:w w:val="100"/>
          <w:color w:val="000000"/>
          <w:position w:val="0"/>
        </w:rPr>
        <w:t>Голосистолический (пансистолический) шум</w:t>
      </w:r>
      <w:bookmarkEnd w:id="4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Возникает, когда имеется сообщение между двумя поло</w:t>
        <w:softHyphen/>
        <w:t>стями, в которых на протяжении всей систолы сохраняется большая разница давлений. Основные причины:</w:t>
      </w:r>
    </w:p>
    <w:p>
      <w:pPr>
        <w:pStyle w:val="Style30"/>
        <w:numPr>
          <w:ilvl w:val="0"/>
          <w:numId w:val="9"/>
        </w:numPr>
        <w:tabs>
          <w:tab w:leader="none" w:pos="47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недостаточность митрального клапана;</w:t>
      </w:r>
    </w:p>
    <w:p>
      <w:pPr>
        <w:pStyle w:val="Style30"/>
        <w:numPr>
          <w:ilvl w:val="0"/>
          <w:numId w:val="9"/>
        </w:numPr>
        <w:tabs>
          <w:tab w:leader="none" w:pos="47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недостаточность трикуспидального клапана;</w:t>
      </w:r>
    </w:p>
    <w:p>
      <w:pPr>
        <w:pStyle w:val="Style30"/>
        <w:numPr>
          <w:ilvl w:val="0"/>
          <w:numId w:val="9"/>
        </w:numPr>
        <w:tabs>
          <w:tab w:leader="none" w:pos="47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дефект межжелудочковой перегородки;</w:t>
      </w:r>
    </w:p>
    <w:p>
      <w:pPr>
        <w:pStyle w:val="Style30"/>
        <w:numPr>
          <w:ilvl w:val="0"/>
          <w:numId w:val="9"/>
        </w:numPr>
        <w:tabs>
          <w:tab w:leader="none" w:pos="47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аортолегочные фистулы.</w:t>
      </w:r>
      <w:r>
        <w:br w:type="page"/>
      </w:r>
    </w:p>
    <w:p>
      <w:pPr>
        <w:pStyle w:val="Style50"/>
        <w:widowControl w:val="0"/>
        <w:keepNext/>
        <w:keepLines/>
        <w:shd w:val="clear" w:color="auto" w:fill="auto"/>
        <w:bidi w:val="0"/>
        <w:jc w:val="both"/>
        <w:spacing w:before="0" w:after="0"/>
        <w:ind w:left="0" w:right="0" w:firstLine="280"/>
      </w:pPr>
      <w:bookmarkStart w:id="46" w:name="bookmark46"/>
      <w:r>
        <w:rPr>
          <w:lang w:val="ru-RU" w:eastAsia="ru-RU" w:bidi="ru-RU"/>
          <w:w w:val="100"/>
          <w:color w:val="000000"/>
          <w:position w:val="0"/>
        </w:rPr>
        <w:t>Мезосистолический шум</w:t>
      </w:r>
      <w:bookmarkEnd w:id="4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Шум, имеющий восходяще (крещендо) — нисходящую (декрещендо) ромбовидную форму. Основные причины:</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стеноз устья аорты;</w:t>
      </w:r>
    </w:p>
    <w:p>
      <w:pPr>
        <w:pStyle w:val="Style30"/>
        <w:numPr>
          <w:ilvl w:val="0"/>
          <w:numId w:val="9"/>
        </w:numPr>
        <w:tabs>
          <w:tab w:leader="none" w:pos="518" w:val="left"/>
        </w:tabs>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стеноз легочной артерии.</w:t>
      </w:r>
    </w:p>
    <w:p>
      <w:pPr>
        <w:pStyle w:val="Style50"/>
        <w:widowControl w:val="0"/>
        <w:keepNext/>
        <w:keepLines/>
        <w:shd w:val="clear" w:color="auto" w:fill="auto"/>
        <w:bidi w:val="0"/>
        <w:jc w:val="both"/>
        <w:spacing w:before="0" w:after="0"/>
        <w:ind w:left="0" w:right="0" w:firstLine="280"/>
      </w:pPr>
      <w:bookmarkStart w:id="47" w:name="bookmark47"/>
      <w:r>
        <w:rPr>
          <w:lang w:val="ru-RU" w:eastAsia="ru-RU" w:bidi="ru-RU"/>
          <w:w w:val="100"/>
          <w:color w:val="000000"/>
          <w:position w:val="0"/>
        </w:rPr>
        <w:t>Ранний систолический шум</w:t>
      </w:r>
      <w:bookmarkEnd w:id="4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Шум, выслушиваемый только в начале систолы. Основ</w:t>
        <w:softHyphen/>
        <w:t>ные причины:</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небольшой дефект межжелудочковой перегородки;</w:t>
      </w:r>
    </w:p>
    <w:p>
      <w:pPr>
        <w:pStyle w:val="Style30"/>
        <w:numPr>
          <w:ilvl w:val="0"/>
          <w:numId w:val="9"/>
        </w:numPr>
        <w:tabs>
          <w:tab w:leader="none" w:pos="518" w:val="left"/>
        </w:tabs>
        <w:widowControl w:val="0"/>
        <w:keepNext w:val="0"/>
        <w:keepLines w:val="0"/>
        <w:shd w:val="clear" w:color="auto" w:fill="auto"/>
        <w:bidi w:val="0"/>
        <w:jc w:val="left"/>
        <w:spacing w:before="0" w:after="180"/>
        <w:ind w:left="520" w:right="0" w:hanging="240"/>
      </w:pPr>
      <w:r>
        <w:rPr>
          <w:lang w:val="ru-RU" w:eastAsia="ru-RU" w:bidi="ru-RU"/>
          <w:w w:val="100"/>
          <w:spacing w:val="0"/>
          <w:color w:val="000000"/>
          <w:position w:val="0"/>
        </w:rPr>
        <w:t>большой дефект межжелудочковой перегородки с ле</w:t>
        <w:softHyphen/>
        <w:t>гочной гипертензией.</w:t>
      </w:r>
    </w:p>
    <w:p>
      <w:pPr>
        <w:pStyle w:val="Style50"/>
        <w:widowControl w:val="0"/>
        <w:keepNext/>
        <w:keepLines/>
        <w:shd w:val="clear" w:color="auto" w:fill="auto"/>
        <w:bidi w:val="0"/>
        <w:jc w:val="both"/>
        <w:spacing w:before="0" w:after="0"/>
        <w:ind w:left="0" w:right="0" w:firstLine="280"/>
      </w:pPr>
      <w:bookmarkStart w:id="48" w:name="bookmark48"/>
      <w:r>
        <w:rPr>
          <w:lang w:val="ru-RU" w:eastAsia="ru-RU" w:bidi="ru-RU"/>
          <w:w w:val="100"/>
          <w:color w:val="000000"/>
          <w:position w:val="0"/>
        </w:rPr>
        <w:t>Поздний систолический шум</w:t>
      </w:r>
      <w:bookmarkEnd w:id="4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Шумы, выслушиваемые после изгнания крови и не сли</w:t>
        <w:softHyphen/>
        <w:t>вающиеся с тонами сердца. Основные причины:</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пролапс митрального клапана;</w:t>
      </w:r>
    </w:p>
    <w:p>
      <w:pPr>
        <w:pStyle w:val="Style30"/>
        <w:numPr>
          <w:ilvl w:val="0"/>
          <w:numId w:val="9"/>
        </w:numPr>
        <w:tabs>
          <w:tab w:leader="none" w:pos="518" w:val="left"/>
        </w:tabs>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подклапанный стеноз аорты.</w:t>
      </w:r>
    </w:p>
    <w:p>
      <w:pPr>
        <w:pStyle w:val="Style50"/>
        <w:widowControl w:val="0"/>
        <w:keepNext/>
        <w:keepLines/>
        <w:shd w:val="clear" w:color="auto" w:fill="auto"/>
        <w:bidi w:val="0"/>
        <w:jc w:val="both"/>
        <w:spacing w:before="0" w:after="0"/>
        <w:ind w:left="0" w:right="0" w:firstLine="280"/>
      </w:pPr>
      <w:bookmarkStart w:id="49" w:name="bookmark49"/>
      <w:r>
        <w:rPr>
          <w:lang w:val="ru-RU" w:eastAsia="ru-RU" w:bidi="ru-RU"/>
          <w:w w:val="100"/>
          <w:color w:val="000000"/>
          <w:position w:val="0"/>
        </w:rPr>
        <w:t xml:space="preserve">Вибраторный шум Стилла </w:t>
      </w:r>
      <w:r>
        <w:rPr>
          <w:lang w:val="en-US" w:eastAsia="en-US" w:bidi="en-US"/>
          <w:w w:val="100"/>
          <w:color w:val="000000"/>
          <w:position w:val="0"/>
        </w:rPr>
        <w:t>(Still's murmur)</w:t>
      </w:r>
      <w:bookmarkEnd w:id="49"/>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Наиболее характерный, не связанный с заболеванием сердца систолический шум, обусловлен вибрацией створок легочной артерии во время систолического изгнания, фи</w:t>
        <w:softHyphen/>
        <w:t>зиологической узостью выходного отдела правого желудоч</w:t>
        <w:softHyphen/>
        <w:t>ка, реже аномальными хордами правого желудочка. Выслу</w:t>
        <w:softHyphen/>
        <w:t xml:space="preserve">шивается обычно в возрасте </w:t>
      </w:r>
      <w:r>
        <w:rPr>
          <w:rStyle w:val="CharStyle32"/>
        </w:rPr>
        <w:t>2-6</w:t>
      </w:r>
      <w:r>
        <w:rPr>
          <w:lang w:val="ru-RU" w:eastAsia="ru-RU" w:bidi="ru-RU"/>
          <w:w w:val="100"/>
          <w:spacing w:val="0"/>
          <w:color w:val="000000"/>
          <w:position w:val="0"/>
        </w:rPr>
        <w:t xml:space="preserve"> лет.</w:t>
      </w:r>
    </w:p>
    <w:p>
      <w:pPr>
        <w:pStyle w:val="Style50"/>
        <w:widowControl w:val="0"/>
        <w:keepNext/>
        <w:keepLines/>
        <w:shd w:val="clear" w:color="auto" w:fill="auto"/>
        <w:bidi w:val="0"/>
        <w:jc w:val="both"/>
        <w:spacing w:before="0" w:after="0"/>
        <w:ind w:left="0" w:right="0" w:firstLine="280"/>
      </w:pPr>
      <w:bookmarkStart w:id="50" w:name="bookmark50"/>
      <w:r>
        <w:rPr>
          <w:lang w:val="ru-RU" w:eastAsia="ru-RU" w:bidi="ru-RU"/>
          <w:w w:val="100"/>
          <w:color w:val="000000"/>
          <w:position w:val="0"/>
        </w:rPr>
        <w:t>Ранний диастолический шум</w:t>
      </w:r>
      <w:bookmarkEnd w:id="5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Возникает сразу после II тона, когда давление в желу</w:t>
        <w:softHyphen/>
        <w:t>дочке становится ниже, чем в магистральных сосудах. Ос</w:t>
        <w:softHyphen/>
        <w:t>новные причины:</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недостаточность аортального клапана;</w:t>
      </w:r>
    </w:p>
    <w:p>
      <w:pPr>
        <w:pStyle w:val="Style30"/>
        <w:numPr>
          <w:ilvl w:val="0"/>
          <w:numId w:val="9"/>
        </w:numPr>
        <w:tabs>
          <w:tab w:leader="none" w:pos="518" w:val="left"/>
        </w:tabs>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недостаточность клапана легочной артерии.</w:t>
      </w:r>
    </w:p>
    <w:p>
      <w:pPr>
        <w:pStyle w:val="Style50"/>
        <w:widowControl w:val="0"/>
        <w:keepNext/>
        <w:keepLines/>
        <w:shd w:val="clear" w:color="auto" w:fill="auto"/>
        <w:bidi w:val="0"/>
        <w:jc w:val="both"/>
        <w:spacing w:before="0" w:after="0"/>
        <w:ind w:left="0" w:right="0" w:firstLine="280"/>
      </w:pPr>
      <w:bookmarkStart w:id="51" w:name="bookmark51"/>
      <w:r>
        <w:rPr>
          <w:lang w:val="ru-RU" w:eastAsia="ru-RU" w:bidi="ru-RU"/>
          <w:w w:val="100"/>
          <w:color w:val="000000"/>
          <w:position w:val="0"/>
        </w:rPr>
        <w:t>Средний диастолический шум</w:t>
      </w:r>
      <w:bookmarkEnd w:id="5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Возникает в период раннего наполнения желудочков из-за несоответствия просвета клапана и кровотока. Основ</w:t>
        <w:softHyphen/>
        <w:t>ные причины:</w:t>
      </w:r>
    </w:p>
    <w:p>
      <w:pPr>
        <w:pStyle w:val="Style30"/>
        <w:numPr>
          <w:ilvl w:val="0"/>
          <w:numId w:val="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относительный стеноз левого атриовентрикулярного отверстия при дефекте межжелудочковой перегород</w:t>
        <w:softHyphen/>
        <w:t>ки;</w:t>
      </w:r>
    </w:p>
    <w:p>
      <w:pPr>
        <w:pStyle w:val="Style30"/>
        <w:numPr>
          <w:ilvl w:val="0"/>
          <w:numId w:val="9"/>
        </w:numPr>
        <w:tabs>
          <w:tab w:leader="none" w:pos="518" w:val="left"/>
        </w:tabs>
        <w:widowControl w:val="0"/>
        <w:keepNext w:val="0"/>
        <w:keepLines w:val="0"/>
        <w:shd w:val="clear" w:color="auto" w:fill="auto"/>
        <w:bidi w:val="0"/>
        <w:jc w:val="left"/>
        <w:spacing w:before="0" w:after="180"/>
        <w:ind w:left="520" w:right="0" w:hanging="240"/>
      </w:pPr>
      <w:r>
        <w:rPr>
          <w:lang w:val="ru-RU" w:eastAsia="ru-RU" w:bidi="ru-RU"/>
          <w:w w:val="100"/>
          <w:spacing w:val="0"/>
          <w:color w:val="000000"/>
          <w:position w:val="0"/>
        </w:rPr>
        <w:t>относительный стеноз правого атриовентрикулярного клапана при дефекте межпредсердной перегородки.</w:t>
      </w:r>
    </w:p>
    <w:p>
      <w:pPr>
        <w:pStyle w:val="Style50"/>
        <w:widowControl w:val="0"/>
        <w:keepNext/>
        <w:keepLines/>
        <w:shd w:val="clear" w:color="auto" w:fill="auto"/>
        <w:bidi w:val="0"/>
        <w:jc w:val="both"/>
        <w:spacing w:before="0" w:after="0"/>
        <w:ind w:left="0" w:right="0" w:firstLine="280"/>
      </w:pPr>
      <w:bookmarkStart w:id="52" w:name="bookmark52"/>
      <w:r>
        <w:rPr>
          <w:lang w:val="ru-RU" w:eastAsia="ru-RU" w:bidi="ru-RU"/>
          <w:w w:val="100"/>
          <w:color w:val="000000"/>
          <w:position w:val="0"/>
        </w:rPr>
        <w:t>Шум Карей-Кумбса</w:t>
      </w:r>
      <w:bookmarkEnd w:id="52"/>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Разновидность среднедиастолического шума при острой ревматической лихорадке. Возникает из-за воспаления краев створок митрального клапана или избыточного на</w:t>
        <w:softHyphen/>
        <w:t>копления крови в левом предсердии вследствие митраль</w:t>
        <w:softHyphen/>
        <w:t>ной регургитации.</w:t>
      </w:r>
    </w:p>
    <w:p>
      <w:pPr>
        <w:pStyle w:val="Style50"/>
        <w:widowControl w:val="0"/>
        <w:keepNext/>
        <w:keepLines/>
        <w:shd w:val="clear" w:color="auto" w:fill="auto"/>
        <w:bidi w:val="0"/>
        <w:jc w:val="both"/>
        <w:spacing w:before="0" w:after="0"/>
        <w:ind w:left="0" w:right="0" w:firstLine="280"/>
      </w:pPr>
      <w:bookmarkStart w:id="53" w:name="bookmark53"/>
      <w:r>
        <w:rPr>
          <w:lang w:val="ru-RU" w:eastAsia="ru-RU" w:bidi="ru-RU"/>
          <w:w w:val="100"/>
          <w:color w:val="000000"/>
          <w:position w:val="0"/>
        </w:rPr>
        <w:t>Шум Флинта (Флинта симптом)</w:t>
      </w:r>
      <w:bookmarkEnd w:id="53"/>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Разновидность среднедиастолического шума при недо</w:t>
        <w:softHyphen/>
        <w:t>статочности аортального клапана. Шум возникает при по</w:t>
        <w:softHyphen/>
        <w:t>падании струи крови с аорты на переднюю створку мит</w:t>
        <w:softHyphen/>
        <w:t>рального клапана.</w:t>
      </w:r>
    </w:p>
    <w:p>
      <w:pPr>
        <w:pStyle w:val="Style50"/>
        <w:widowControl w:val="0"/>
        <w:keepNext/>
        <w:keepLines/>
        <w:shd w:val="clear" w:color="auto" w:fill="auto"/>
        <w:bidi w:val="0"/>
        <w:jc w:val="both"/>
        <w:spacing w:before="0" w:after="0"/>
        <w:ind w:left="0" w:right="0" w:firstLine="280"/>
      </w:pPr>
      <w:bookmarkStart w:id="54" w:name="bookmark54"/>
      <w:r>
        <w:rPr>
          <w:lang w:val="ru-RU" w:eastAsia="ru-RU" w:bidi="ru-RU"/>
          <w:w w:val="100"/>
          <w:color w:val="000000"/>
          <w:position w:val="0"/>
        </w:rPr>
        <w:t>Систоло-диастолический (постоянный) шум</w:t>
      </w:r>
      <w:bookmarkEnd w:id="5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Возникает при сохранении постоянного кровотока между отделами высокого и низкого давления. Основные причины:</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открытый артериальный проток;</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системные артериовенозные свищи;</w:t>
      </w:r>
    </w:p>
    <w:p>
      <w:pPr>
        <w:pStyle w:val="Style30"/>
        <w:numPr>
          <w:ilvl w:val="0"/>
          <w:numId w:val="9"/>
        </w:numPr>
        <w:tabs>
          <w:tab w:leader="none" w:pos="515" w:val="left"/>
        </w:tabs>
        <w:widowControl w:val="0"/>
        <w:keepNext w:val="0"/>
        <w:keepLines w:val="0"/>
        <w:shd w:val="clear" w:color="auto" w:fill="auto"/>
        <w:bidi w:val="0"/>
        <w:spacing w:before="0" w:after="14" w:line="180" w:lineRule="exact"/>
        <w:ind w:left="0" w:right="0" w:firstLine="280"/>
      </w:pPr>
      <w:r>
        <w:br w:type="column"/>
      </w:r>
      <w:r>
        <w:rPr>
          <w:lang w:val="ru-RU" w:eastAsia="ru-RU" w:bidi="ru-RU"/>
          <w:w w:val="100"/>
          <w:spacing w:val="0"/>
          <w:color w:val="000000"/>
          <w:position w:val="0"/>
        </w:rPr>
        <w:t>коарктация аорты;</w:t>
      </w:r>
    </w:p>
    <w:p>
      <w:pPr>
        <w:pStyle w:val="Style30"/>
        <w:numPr>
          <w:ilvl w:val="0"/>
          <w:numId w:val="9"/>
        </w:numPr>
        <w:tabs>
          <w:tab w:leader="none" w:pos="515" w:val="left"/>
        </w:tabs>
        <w:widowControl w:val="0"/>
        <w:keepNext w:val="0"/>
        <w:keepLines w:val="0"/>
        <w:shd w:val="clear" w:color="auto" w:fill="auto"/>
        <w:bidi w:val="0"/>
        <w:spacing w:before="0" w:after="161" w:line="180" w:lineRule="exact"/>
        <w:ind w:left="0" w:right="0" w:firstLine="280"/>
      </w:pPr>
      <w:r>
        <w:rPr>
          <w:lang w:val="ru-RU" w:eastAsia="ru-RU" w:bidi="ru-RU"/>
          <w:w w:val="100"/>
          <w:spacing w:val="0"/>
          <w:color w:val="000000"/>
          <w:position w:val="0"/>
        </w:rPr>
        <w:t>прорыв синуса Вальсальвы в правые отделы сердца.</w:t>
      </w:r>
    </w:p>
    <w:p>
      <w:pPr>
        <w:pStyle w:val="Style50"/>
        <w:widowControl w:val="0"/>
        <w:keepNext/>
        <w:keepLines/>
        <w:shd w:val="clear" w:color="auto" w:fill="auto"/>
        <w:bidi w:val="0"/>
        <w:jc w:val="both"/>
        <w:spacing w:before="0" w:after="0"/>
        <w:ind w:left="0" w:right="0" w:firstLine="280"/>
      </w:pPr>
      <w:bookmarkStart w:id="55" w:name="bookmark55"/>
      <w:r>
        <w:rPr>
          <w:lang w:val="ru-RU" w:eastAsia="ru-RU" w:bidi="ru-RU"/>
          <w:w w:val="100"/>
          <w:color w:val="000000"/>
          <w:position w:val="0"/>
        </w:rPr>
        <w:t>Пульс</w:t>
      </w:r>
      <w:bookmarkEnd w:id="5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Периодические, одновременно с систолой желудочков колебания стенок периферических артерий. Пульс чаще исследуют на лучевой артерии, которая расположена по</w:t>
        <w:softHyphen/>
        <w:t>верхностно, непосредственно под кожей между шиловид</w:t>
        <w:softHyphen/>
        <w:t>ным отростком левой лучевой кости и сухожилием внут</w:t>
        <w:softHyphen/>
        <w:t xml:space="preserve">ренней лучевой мышцы. В норме пульс регулярный </w:t>
      </w:r>
      <w:r>
        <w:rPr>
          <w:lang w:val="en-US" w:eastAsia="en-US" w:bidi="en-US"/>
          <w:w w:val="100"/>
          <w:spacing w:val="0"/>
          <w:color w:val="000000"/>
          <w:position w:val="0"/>
        </w:rPr>
        <w:t xml:space="preserve">(p.reg- ularis), </w:t>
      </w:r>
      <w:r>
        <w:rPr>
          <w:lang w:val="ru-RU" w:eastAsia="ru-RU" w:bidi="ru-RU"/>
          <w:w w:val="100"/>
          <w:spacing w:val="0"/>
          <w:color w:val="000000"/>
          <w:position w:val="0"/>
        </w:rPr>
        <w:t xml:space="preserve">полный, хорошего наполнения </w:t>
      </w:r>
      <w:r>
        <w:rPr>
          <w:lang w:val="en-US" w:eastAsia="en-US" w:bidi="en-US"/>
          <w:w w:val="100"/>
          <w:spacing w:val="0"/>
          <w:color w:val="000000"/>
          <w:position w:val="0"/>
        </w:rPr>
        <w:t xml:space="preserve">(p.plenus), </w:t>
      </w:r>
      <w:r>
        <w:rPr>
          <w:lang w:val="ru-RU" w:eastAsia="ru-RU" w:bidi="ru-RU"/>
          <w:w w:val="100"/>
          <w:spacing w:val="0"/>
          <w:color w:val="000000"/>
          <w:position w:val="0"/>
        </w:rPr>
        <w:t xml:space="preserve">пульсовые волны одинаковой силы </w:t>
      </w:r>
      <w:r>
        <w:rPr>
          <w:lang w:val="en-US" w:eastAsia="en-US" w:bidi="en-US"/>
          <w:w w:val="100"/>
          <w:spacing w:val="0"/>
          <w:color w:val="000000"/>
          <w:position w:val="0"/>
        </w:rPr>
        <w:t>(p.aequalis).</w:t>
      </w:r>
    </w:p>
    <w:p>
      <w:pPr>
        <w:pStyle w:val="Style52"/>
        <w:widowControl w:val="0"/>
        <w:keepNext w:val="0"/>
        <w:keepLines w:val="0"/>
        <w:shd w:val="clear" w:color="auto" w:fill="auto"/>
        <w:bidi w:val="0"/>
        <w:jc w:val="both"/>
        <w:spacing w:before="0" w:after="0" w:line="216" w:lineRule="exact"/>
        <w:ind w:left="0" w:right="0" w:firstLine="280"/>
      </w:pPr>
      <w:r>
        <w:rPr>
          <w:lang w:val="ru-RU" w:eastAsia="ru-RU" w:bidi="ru-RU"/>
          <w:w w:val="100"/>
          <w:color w:val="000000"/>
          <w:position w:val="0"/>
        </w:rPr>
        <w:t>Варианты нарушения пульса</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 alternans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Чередование сравнительно нормальных пульсовых волн со слабо ощущаемыми волнами. Наблюдается при сниже</w:t>
        <w:softHyphen/>
        <w:t>нии сократительной функции миокарда.</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P.arhytmicus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Неправильный, неритмичный пульс.</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 xml:space="preserve">P. bigeminus </w:t>
      </w:r>
      <w:r>
        <w:rPr>
          <w:lang w:val="ru-RU" w:eastAsia="ru-RU" w:bidi="ru-RU"/>
          <w:w w:val="100"/>
          <w:color w:val="000000"/>
          <w:position w:val="0"/>
        </w:rPr>
        <w:t>(син. пульс Траубе)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После каждых двух пульсовых ударов следует более дли - тельная пауза.</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 caprizans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Сверхдикротический пульс; ощущение двух подъемов пульса вместо одного, причем меньший как бы наскакива</w:t>
        <w:softHyphen/>
        <w:t>ет на основную волну.</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 xml:space="preserve">P.celer </w:t>
      </w:r>
      <w:r>
        <w:rPr>
          <w:lang w:val="ru-RU" w:eastAsia="ru-RU" w:bidi="ru-RU"/>
          <w:w w:val="100"/>
          <w:color w:val="000000"/>
          <w:position w:val="0"/>
        </w:rPr>
        <w:t>(син. Гризингера-Куссмауля пульс, Корригана пульс)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Скорый (скачущий) пульс; быстрый подъем и быстрое спадение пульсовой волны (например, при аортальной не</w:t>
        <w:softHyphen/>
        <w:t>достаточности).</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P.debilis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Слабый, легко сдавливаемый пульс.</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P.deficiens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Число пульсовых ударов, подсчитанных в 1 минуту на лучевой артерии, меньше, нежели число сердечных сокра</w:t>
        <w:softHyphen/>
        <w:t>щений, определяемых в эту же минуту путем аускультации сердца. Наблюдается при перикардитах, тампонаде пери</w:t>
        <w:softHyphen/>
        <w:t>карда, мерцательной аритмии.</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P.dicroticus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спадающей части пульсовой волны ощущается до</w:t>
        <w:softHyphen/>
        <w:t>полнительно еще маленький подъем. Наблюдается при ин</w:t>
        <w:softHyphen/>
        <w:t>фекционных заболеваниях, приводящих к расслаблению тонуса периферических сосудов.</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P.differens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Различной силы пульс в одноименных артериях обеих сторон (например, при аневризме аорты, коарктации аор</w:t>
        <w:softHyphen/>
        <w:t>ты, болезни Такаясу).</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P.durus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Твердый, трудно сдавливаемый пульс. Наблюдается при артериальной гипертензии.</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P.filoformus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Нитевидный, едва улавливаемый слабый пульс (напри</w:t>
        <w:softHyphen/>
        <w:t>мер, при сердечной слабости, коллапсе).</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P.fortis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Сильный пульс (например, при физиологическом спор</w:t>
        <w:softHyphen/>
        <w:t>тивном сердце).</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P.frequens</w:t>
      </w:r>
    </w:p>
    <w:p>
      <w:pPr>
        <w:pStyle w:val="Style30"/>
        <w:widowControl w:val="0"/>
        <w:keepNext w:val="0"/>
        <w:keepLines w:val="0"/>
        <w:shd w:val="clear" w:color="auto" w:fill="auto"/>
        <w:bidi w:val="0"/>
        <w:spacing w:before="0" w:after="0"/>
        <w:ind w:left="0" w:right="0" w:firstLine="280"/>
      </w:pPr>
      <w:r>
        <w:pict>
          <v:shape id="_x0000_s1056" type="#_x0000_t75" style="position:absolute;margin-left:148.2pt;margin-top:739.95pt;width:209.75pt;height:14.9pt;z-index:-125829369;mso-wrap-distance-left:148.1pt;mso-wrap-distance-right:136.8pt;mso-wrap-distance-bottom:19.pt;mso-position-horizontal-relative:margin;mso-position-vertical-relative:margin" wrapcoords="0 0 21600 0 21600 21600 0 21600 0 0">
            <v:imagedata r:id="rId52" r:href="rId53"/>
            <w10:wrap type="topAndBottom" anchorx="margin" anchory="margin"/>
          </v:shape>
        </w:pict>
      </w:r>
      <w:r>
        <w:rPr>
          <w:lang w:val="ru-RU" w:eastAsia="ru-RU" w:bidi="ru-RU"/>
          <w:w w:val="100"/>
          <w:spacing w:val="0"/>
          <w:color w:val="000000"/>
          <w:position w:val="0"/>
        </w:rPr>
        <w:t>Частый пульс (тахикардия). Наблюдается при многих физиологических и патологических состояниях кардиаль</w:t>
        <w:softHyphen/>
        <w:t>ного и экстракардиального генеза. Например, при физиче</w:t>
        <w:softHyphen/>
        <w:t>ском и эмоциональном напряжении, лихорадке, тиреоток-</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сикозе, анемиях. Основной кардиальной причиной частого пульса является сердечная недостаточность.</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P.inaequalis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Неравномерный пульс, при котором продолжитель</w:t>
        <w:softHyphen/>
        <w:t>ность и сила отдельных ударов неравномерны. Характерен для аритмии.</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P.inanis (P.vacuus)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Пустой пульс, слабое наполнение артерий.</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P.incidens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После нормального удара определяется несколько волн нарастающей силы.</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P.intercurrens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Тот или иной пульсовой удар слабее предыдущего и по</w:t>
        <w:softHyphen/>
        <w:t>следующего.</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P.intermittens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Пульс, при котором время от времени выпадает пульсо</w:t>
        <w:softHyphen/>
        <w:t>вая волна.</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P.irregularis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Неправильный и неравномерный пульс (различные пау</w:t>
        <w:softHyphen/>
        <w:t>зы, различная сила отдельных ударов). Наблюдается обыч</w:t>
        <w:softHyphen/>
        <w:t>но при аритмиях (экстрасистолия, мерцательная аритмия).</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P.irregularis perpetuus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Беспорядочная аритмия, при которой почти нет одина</w:t>
        <w:softHyphen/>
        <w:t>ковых пауз и пульсовых волн (например, при мерцательной аритмии).</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P.magnus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Большой пульс, хорошего наполнения и напряжения.</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P.mollis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Мягкий, легко сжимаемый пульс (исчезает под давлени</w:t>
        <w:softHyphen/>
        <w:t>ем пальца). Наблюдается при артериальной гипотензии, коллапсе, инфаркте миокарда.</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P.myurus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Ряд последовательно уменьшающихся пульсовых волн.</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P.myurus recurrens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Нарастание пульса после убывания его.</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P.oppressus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Твердый малый пульс.</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P.parvus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Малый пульс (слабого наполнения и напряжения).</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P.plenus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Полный пульс.</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 xml:space="preserve">P.paradoxus </w:t>
      </w:r>
      <w:r>
        <w:rPr>
          <w:lang w:val="ru-RU" w:eastAsia="ru-RU" w:bidi="ru-RU"/>
          <w:w w:val="100"/>
          <w:color w:val="000000"/>
          <w:position w:val="0"/>
        </w:rPr>
        <w:t>(пульс Кусмауля)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Пульс исчезающий или ослабевающий во время вдоха.</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P.parvus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Малый пульс.</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P.rarus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Редкий пульс (брадикардия). Наблюдается при многих состояниях: гипотиреозе, атриовентрикулярной блокаде, внутричерепной гипертензии.</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P.respiratorius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Пульс при дыхательной аритмии.</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P.saliens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Прыгающий пульс, высшая степень </w:t>
      </w:r>
      <w:r>
        <w:rPr>
          <w:lang w:val="en-US" w:eastAsia="en-US" w:bidi="en-US"/>
          <w:w w:val="100"/>
          <w:spacing w:val="0"/>
          <w:color w:val="000000"/>
          <w:position w:val="0"/>
        </w:rPr>
        <w:t>p.celer.</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P.tardus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Медленно нарастающая и спадающая пульсовая волна (противоположность </w:t>
      </w:r>
      <w:r>
        <w:rPr>
          <w:lang w:val="en-US" w:eastAsia="en-US" w:bidi="en-US"/>
          <w:w w:val="100"/>
          <w:spacing w:val="0"/>
          <w:color w:val="000000"/>
          <w:position w:val="0"/>
        </w:rPr>
        <w:t xml:space="preserve">p.celer). </w:t>
      </w:r>
      <w:r>
        <w:rPr>
          <w:lang w:val="ru-RU" w:eastAsia="ru-RU" w:bidi="ru-RU"/>
          <w:w w:val="100"/>
          <w:spacing w:val="0"/>
          <w:color w:val="000000"/>
          <w:position w:val="0"/>
        </w:rPr>
        <w:t>Характерен для аортального стеноза.</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P.tremulus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Настолько слабый пульс, что ощущается как дрожание.</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P.trigeminus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После каждых трех нормальных ударов следует более длительная пауза.</w:t>
      </w:r>
    </w:p>
    <w:p>
      <w:pPr>
        <w:pStyle w:val="Style50"/>
        <w:widowControl w:val="0"/>
        <w:keepNext/>
        <w:keepLines/>
        <w:shd w:val="clear" w:color="auto" w:fill="auto"/>
        <w:bidi w:val="0"/>
        <w:jc w:val="both"/>
        <w:spacing w:before="0" w:after="0"/>
        <w:ind w:left="0" w:right="0" w:firstLine="280"/>
      </w:pPr>
      <w:r>
        <w:br w:type="column"/>
      </w:r>
      <w:bookmarkStart w:id="56" w:name="bookmark56"/>
      <w:r>
        <w:rPr>
          <w:lang w:val="en-US" w:eastAsia="en-US" w:bidi="en-US"/>
          <w:w w:val="100"/>
          <w:color w:val="000000"/>
          <w:position w:val="0"/>
        </w:rPr>
        <w:t>P.undulans</w:t>
      </w:r>
      <w:bookmarkEnd w:id="5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Волнообразный пульс.</w:t>
      </w:r>
    </w:p>
    <w:p>
      <w:pPr>
        <w:pStyle w:val="Style52"/>
        <w:widowControl w:val="0"/>
        <w:keepNext w:val="0"/>
        <w:keepLines w:val="0"/>
        <w:shd w:val="clear" w:color="auto" w:fill="auto"/>
        <w:bidi w:val="0"/>
        <w:jc w:val="both"/>
        <w:spacing w:before="0" w:after="0" w:line="216" w:lineRule="exact"/>
        <w:ind w:left="0" w:right="0" w:firstLine="280"/>
      </w:pPr>
      <w:r>
        <w:rPr>
          <w:lang w:val="en-US" w:eastAsia="en-US" w:bidi="en-US"/>
          <w:w w:val="100"/>
          <w:color w:val="000000"/>
          <w:position w:val="0"/>
        </w:rPr>
        <w:t>P.vibrans</w:t>
      </w:r>
    </w:p>
    <w:p>
      <w:pPr>
        <w:pStyle w:val="Style30"/>
        <w:widowControl w:val="0"/>
        <w:keepNext w:val="0"/>
        <w:keepLines w:val="0"/>
        <w:shd w:val="clear" w:color="auto" w:fill="auto"/>
        <w:bidi w:val="0"/>
        <w:spacing w:before="0" w:after="253"/>
        <w:ind w:left="0" w:right="0" w:firstLine="280"/>
      </w:pPr>
      <w:r>
        <w:rPr>
          <w:lang w:val="ru-RU" w:eastAsia="ru-RU" w:bidi="ru-RU"/>
          <w:w w:val="100"/>
          <w:spacing w:val="0"/>
          <w:color w:val="000000"/>
          <w:position w:val="0"/>
        </w:rPr>
        <w:t>Дрожание, производимое кровью в сосудах, ощутимое как шум.</w:t>
      </w:r>
    </w:p>
    <w:p>
      <w:pPr>
        <w:pStyle w:val="Style48"/>
        <w:widowControl w:val="0"/>
        <w:keepNext/>
        <w:keepLines/>
        <w:shd w:val="clear" w:color="auto" w:fill="auto"/>
        <w:bidi w:val="0"/>
        <w:jc w:val="left"/>
        <w:spacing w:before="0" w:after="70" w:line="200" w:lineRule="exact"/>
        <w:ind w:left="0" w:right="0" w:firstLine="0"/>
      </w:pPr>
      <w:bookmarkStart w:id="57" w:name="bookmark57"/>
      <w:r>
        <w:rPr>
          <w:lang w:val="ru-RU" w:eastAsia="ru-RU" w:bidi="ru-RU"/>
          <w:w w:val="100"/>
          <w:spacing w:val="0"/>
          <w:color w:val="000000"/>
          <w:position w:val="0"/>
        </w:rPr>
        <w:t>Электрокардиография</w:t>
      </w:r>
      <w:bookmarkEnd w:id="57"/>
    </w:p>
    <w:p>
      <w:pPr>
        <w:pStyle w:val="Style54"/>
        <w:widowControl w:val="0"/>
        <w:keepNext/>
        <w:keepLines/>
        <w:shd w:val="clear" w:color="auto" w:fill="auto"/>
        <w:bidi w:val="0"/>
        <w:jc w:val="left"/>
        <w:spacing w:before="0" w:after="39" w:line="210" w:lineRule="exact"/>
        <w:ind w:left="0" w:right="0" w:firstLine="0"/>
      </w:pPr>
      <w:bookmarkStart w:id="58" w:name="bookmark58"/>
      <w:r>
        <w:rPr>
          <w:lang w:val="ru-RU" w:eastAsia="ru-RU" w:bidi="ru-RU"/>
          <w:w w:val="100"/>
          <w:spacing w:val="0"/>
          <w:color w:val="000000"/>
          <w:position w:val="0"/>
        </w:rPr>
        <w:t>Нормальная электрокардиограмма</w:t>
      </w:r>
      <w:bookmarkEnd w:id="5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Программа обычного электрокардиографического ис</w:t>
        <w:softHyphen/>
        <w:t xml:space="preserve">следования включает запись электрокардиограммы в </w:t>
      </w:r>
      <w:r>
        <w:rPr>
          <w:rStyle w:val="CharStyle32"/>
        </w:rPr>
        <w:t>12</w:t>
      </w:r>
      <w:r>
        <w:rPr>
          <w:lang w:val="ru-RU" w:eastAsia="ru-RU" w:bidi="ru-RU"/>
          <w:w w:val="100"/>
          <w:spacing w:val="0"/>
          <w:color w:val="000000"/>
          <w:position w:val="0"/>
        </w:rPr>
        <w:t xml:space="preserve"> от</w:t>
        <w:softHyphen/>
        <w:t xml:space="preserve">ведениях: трех стандартных </w:t>
      </w:r>
      <w:r>
        <w:rPr>
          <w:lang w:val="en-US" w:eastAsia="en-US" w:bidi="en-US"/>
          <w:w w:val="100"/>
          <w:spacing w:val="0"/>
          <w:color w:val="000000"/>
          <w:position w:val="0"/>
        </w:rPr>
        <w:t xml:space="preserve">(I, II, III), </w:t>
      </w:r>
      <w:r>
        <w:rPr>
          <w:lang w:val="ru-RU" w:eastAsia="ru-RU" w:bidi="ru-RU"/>
          <w:w w:val="100"/>
          <w:spacing w:val="0"/>
          <w:color w:val="000000"/>
          <w:position w:val="0"/>
        </w:rPr>
        <w:t xml:space="preserve">трех однополюсных от конечностей по Гольдбергеру (аУЯ, аУЪ, аУР) и шести прекардиальных </w:t>
      </w:r>
      <w:r>
        <w:rPr>
          <w:lang w:val="en-US" w:eastAsia="en-US" w:bidi="en-US"/>
          <w:w w:val="100"/>
          <w:spacing w:val="0"/>
          <w:color w:val="000000"/>
          <w:position w:val="0"/>
        </w:rPr>
        <w:t>(Vi</w:t>
      </w:r>
      <w:r>
        <w:rPr>
          <w:lang w:val="ru-RU" w:eastAsia="ru-RU" w:bidi="ru-RU"/>
          <w:w w:val="100"/>
          <w:spacing w:val="0"/>
          <w:color w:val="000000"/>
          <w:position w:val="0"/>
        </w:rPr>
        <w:t>-Уб).</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Специальные или дополнительные отведения использу</w:t>
        <w:softHyphen/>
        <w:t>ются для расширения и уточнения информации, получен</w:t>
        <w:softHyphen/>
        <w:t>ной при регистрации ЭКГ по общепринятой программе в 12-ти отведениях. К ним относят: крайние правые прекар</w:t>
        <w:softHyphen/>
        <w:t>диальные (У</w:t>
      </w:r>
      <w:r>
        <w:rPr>
          <w:rStyle w:val="CharStyle32"/>
          <w:vertAlign w:val="subscript"/>
        </w:rPr>
        <w:t>3</w:t>
      </w:r>
      <w:r>
        <w:rPr>
          <w:lang w:val="ru-RU" w:eastAsia="ru-RU" w:bidi="ru-RU"/>
          <w:vertAlign w:val="subscript"/>
          <w:w w:val="100"/>
          <w:spacing w:val="0"/>
          <w:color w:val="000000"/>
          <w:position w:val="0"/>
        </w:rPr>
        <w:t>г</w:t>
      </w:r>
      <w:r>
        <w:rPr>
          <w:lang w:val="ru-RU" w:eastAsia="ru-RU" w:bidi="ru-RU"/>
          <w:w w:val="100"/>
          <w:spacing w:val="0"/>
          <w:color w:val="000000"/>
          <w:position w:val="0"/>
        </w:rPr>
        <w:t>-Уб</w:t>
      </w:r>
      <w:r>
        <w:rPr>
          <w:lang w:val="ru-RU" w:eastAsia="ru-RU" w:bidi="ru-RU"/>
          <w:vertAlign w:val="subscript"/>
          <w:w w:val="100"/>
          <w:spacing w:val="0"/>
          <w:color w:val="000000"/>
          <w:position w:val="0"/>
        </w:rPr>
        <w:t>г</w:t>
      </w:r>
      <w:r>
        <w:rPr>
          <w:lang w:val="ru-RU" w:eastAsia="ru-RU" w:bidi="ru-RU"/>
          <w:w w:val="100"/>
          <w:spacing w:val="0"/>
          <w:color w:val="000000"/>
          <w:position w:val="0"/>
        </w:rPr>
        <w:t xml:space="preserve">), крайние левые прекардиальные </w:t>
      </w:r>
      <w:r>
        <w:rPr>
          <w:lang w:val="en-US" w:eastAsia="en-US" w:bidi="en-US"/>
          <w:w w:val="100"/>
          <w:spacing w:val="0"/>
          <w:color w:val="000000"/>
          <w:position w:val="0"/>
        </w:rPr>
        <w:t>(V</w:t>
      </w:r>
      <w:r>
        <w:rPr>
          <w:rStyle w:val="CharStyle32"/>
          <w:lang w:val="en-US" w:eastAsia="en-US" w:bidi="en-US"/>
        </w:rPr>
        <w:t>7</w:t>
      </w:r>
      <w:r>
        <w:rPr>
          <w:lang w:val="en-US" w:eastAsia="en-US" w:bidi="en-US"/>
          <w:w w:val="100"/>
          <w:spacing w:val="0"/>
          <w:color w:val="000000"/>
          <w:position w:val="0"/>
        </w:rPr>
        <w:t>-V</w:t>
      </w:r>
      <w:r>
        <w:rPr>
          <w:rStyle w:val="CharStyle32"/>
          <w:lang w:val="en-US" w:eastAsia="en-US" w:bidi="en-US"/>
        </w:rPr>
        <w:t>9</w:t>
      </w:r>
      <w:r>
        <w:rPr>
          <w:lang w:val="en-US" w:eastAsia="en-US" w:bidi="en-US"/>
          <w:w w:val="100"/>
          <w:spacing w:val="0"/>
          <w:color w:val="000000"/>
          <w:position w:val="0"/>
        </w:rPr>
        <w:t xml:space="preserve">), </w:t>
      </w:r>
      <w:r>
        <w:rPr>
          <w:lang w:val="ru-RU" w:eastAsia="ru-RU" w:bidi="ru-RU"/>
          <w:w w:val="100"/>
          <w:spacing w:val="0"/>
          <w:color w:val="000000"/>
          <w:position w:val="0"/>
        </w:rPr>
        <w:t>ортогональные отведения, отведения по Небу, пищеводные отведения и др.</w:t>
      </w:r>
    </w:p>
    <w:p>
      <w:pPr>
        <w:pStyle w:val="Style30"/>
        <w:widowControl w:val="0"/>
        <w:keepNext w:val="0"/>
        <w:keepLines w:val="0"/>
        <w:shd w:val="clear" w:color="auto" w:fill="auto"/>
        <w:bidi w:val="0"/>
        <w:spacing w:before="0" w:after="0"/>
        <w:ind w:left="0" w:right="0" w:firstLine="280"/>
      </w:pPr>
      <w:r>
        <w:rPr>
          <w:rStyle w:val="CharStyle44"/>
        </w:rPr>
        <w:t xml:space="preserve">Зубец Р </w:t>
      </w:r>
      <w:r>
        <w:rPr>
          <w:lang w:val="ru-RU" w:eastAsia="ru-RU" w:bidi="ru-RU"/>
          <w:w w:val="100"/>
          <w:spacing w:val="0"/>
          <w:color w:val="000000"/>
          <w:position w:val="0"/>
        </w:rPr>
        <w:t>— характеризует охват возбуждением мускула</w:t>
        <w:softHyphen/>
        <w:t xml:space="preserve">туры предсердий, форма зубца Р напоминает полуовал с гладкими контурами. Первым возбуждается миокард правого предсердия, а затем левого. В отведениях </w:t>
      </w:r>
      <w:r>
        <w:rPr>
          <w:lang w:val="en-US" w:eastAsia="en-US" w:bidi="en-US"/>
          <w:w w:val="100"/>
          <w:spacing w:val="0"/>
          <w:color w:val="000000"/>
          <w:position w:val="0"/>
        </w:rPr>
        <w:t xml:space="preserve">I, </w:t>
      </w:r>
      <w:r>
        <w:rPr>
          <w:lang w:val="ru-RU" w:eastAsia="ru-RU" w:bidi="ru-RU"/>
          <w:w w:val="100"/>
          <w:spacing w:val="0"/>
          <w:color w:val="000000"/>
          <w:position w:val="0"/>
        </w:rPr>
        <w:t>II, аУР, аУЬ, У</w:t>
      </w:r>
      <w:r>
        <w:rPr>
          <w:rStyle w:val="CharStyle32"/>
          <w:vertAlign w:val="subscript"/>
        </w:rPr>
        <w:t>2</w:t>
      </w:r>
      <w:r>
        <w:rPr>
          <w:lang w:val="ru-RU" w:eastAsia="ru-RU" w:bidi="ru-RU"/>
          <w:w w:val="100"/>
          <w:spacing w:val="0"/>
          <w:color w:val="000000"/>
          <w:position w:val="0"/>
        </w:rPr>
        <w:t>-Уб зубец Р положительный. Наибольшая ам</w:t>
        <w:softHyphen/>
        <w:t>плитуда зубца Р определяется во II стандартном отведе</w:t>
        <w:softHyphen/>
        <w:t>нии, но обычно не превышает 3 мм. В отведении аУЯ зу</w:t>
        <w:softHyphen/>
        <w:t>бец Р отрицательный, а в отведении У</w:t>
      </w:r>
      <w:r>
        <w:rPr>
          <w:rStyle w:val="CharStyle32"/>
        </w:rPr>
        <w:t>1</w:t>
      </w:r>
      <w:r>
        <w:rPr>
          <w:lang w:val="ru-RU" w:eastAsia="ru-RU" w:bidi="ru-RU"/>
          <w:w w:val="100"/>
          <w:spacing w:val="0"/>
          <w:color w:val="000000"/>
          <w:position w:val="0"/>
        </w:rPr>
        <w:t xml:space="preserve"> — двухфазный с первой положительной фазой и второй отрицательной (Р +/-). В III стандартном отведении зубец Р может быть отрицательным, двухфазным, изоэлектричным, положи - тельным, что определяется направлением электрической оси сердца.</w:t>
      </w:r>
    </w:p>
    <w:p>
      <w:pPr>
        <w:pStyle w:val="Style30"/>
        <w:widowControl w:val="0"/>
        <w:keepNext w:val="0"/>
        <w:keepLines w:val="0"/>
        <w:shd w:val="clear" w:color="auto" w:fill="auto"/>
        <w:bidi w:val="0"/>
        <w:spacing w:before="0" w:after="0"/>
        <w:ind w:left="0" w:right="0" w:firstLine="280"/>
      </w:pPr>
      <w:r>
        <w:rPr>
          <w:rStyle w:val="CharStyle44"/>
        </w:rPr>
        <w:t xml:space="preserve">3убцы </w:t>
      </w:r>
      <w:r>
        <w:rPr>
          <w:rStyle w:val="CharStyle44"/>
          <w:lang w:val="en-US" w:eastAsia="en-US" w:bidi="en-US"/>
        </w:rPr>
        <w:t xml:space="preserve">Q, R, S </w:t>
      </w:r>
      <w:r>
        <w:rPr>
          <w:lang w:val="ru-RU" w:eastAsia="ru-RU" w:bidi="ru-RU"/>
          <w:w w:val="100"/>
          <w:spacing w:val="0"/>
          <w:color w:val="000000"/>
          <w:position w:val="0"/>
        </w:rPr>
        <w:t xml:space="preserve">формируют желудочковый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и отражают процесс распространения возбуждения по мио - карду желудочков сердца.</w:t>
      </w:r>
    </w:p>
    <w:p>
      <w:pPr>
        <w:pStyle w:val="Style30"/>
        <w:widowControl w:val="0"/>
        <w:keepNext w:val="0"/>
        <w:keepLines w:val="0"/>
        <w:shd w:val="clear" w:color="auto" w:fill="auto"/>
        <w:bidi w:val="0"/>
        <w:spacing w:before="0" w:after="0"/>
        <w:ind w:left="0" w:right="0" w:firstLine="280"/>
      </w:pPr>
      <w:r>
        <w:rPr>
          <w:rStyle w:val="CharStyle44"/>
        </w:rPr>
        <w:t xml:space="preserve">Зубец </w:t>
      </w:r>
      <w:r>
        <w:rPr>
          <w:rStyle w:val="CharStyle44"/>
          <w:lang w:val="en-US" w:eastAsia="en-US" w:bidi="en-US"/>
        </w:rPr>
        <w:t xml:space="preserve">Q </w:t>
      </w:r>
      <w:r>
        <w:rPr>
          <w:lang w:val="ru-RU" w:eastAsia="ru-RU" w:bidi="ru-RU"/>
          <w:w w:val="100"/>
          <w:spacing w:val="0"/>
          <w:color w:val="000000"/>
          <w:position w:val="0"/>
        </w:rPr>
        <w:t>— первый отрицательный зубец желудочкового комплекса, обычно представлен не во всех отведениях; ча</w:t>
        <w:softHyphen/>
        <w:t>ще хорошо виден в III стандартном отведении и левых груд</w:t>
        <w:softHyphen/>
        <w:t>ных отведениях (У</w:t>
      </w:r>
      <w:r>
        <w:rPr>
          <w:rStyle w:val="CharStyle32"/>
          <w:vertAlign w:val="subscript"/>
        </w:rPr>
        <w:t>5</w:t>
      </w:r>
      <w:r>
        <w:rPr>
          <w:lang w:val="ru-RU" w:eastAsia="ru-RU" w:bidi="ru-RU"/>
          <w:w w:val="100"/>
          <w:spacing w:val="0"/>
          <w:color w:val="000000"/>
          <w:position w:val="0"/>
        </w:rPr>
        <w:t xml:space="preserve">-Уб), амплитуда его не превышает 1/4 зубца </w:t>
      </w:r>
      <w:r>
        <w:rPr>
          <w:lang w:val="en-US" w:eastAsia="en-US" w:bidi="en-US"/>
          <w:w w:val="100"/>
          <w:spacing w:val="0"/>
          <w:color w:val="000000"/>
          <w:position w:val="0"/>
        </w:rPr>
        <w:t>R.</w:t>
      </w:r>
    </w:p>
    <w:p>
      <w:pPr>
        <w:pStyle w:val="Style30"/>
        <w:widowControl w:val="0"/>
        <w:keepNext w:val="0"/>
        <w:keepLines w:val="0"/>
        <w:shd w:val="clear" w:color="auto" w:fill="auto"/>
        <w:bidi w:val="0"/>
        <w:spacing w:before="0" w:after="0"/>
        <w:ind w:left="0" w:right="0" w:firstLine="280"/>
      </w:pPr>
      <w:r>
        <w:rPr>
          <w:rStyle w:val="CharStyle44"/>
        </w:rPr>
        <w:t xml:space="preserve">Зубец </w:t>
      </w:r>
      <w:r>
        <w:rPr>
          <w:rStyle w:val="CharStyle44"/>
          <w:lang w:val="en-US" w:eastAsia="en-US" w:bidi="en-US"/>
        </w:rPr>
        <w:t xml:space="preserve">R </w:t>
      </w:r>
      <w:r>
        <w:rPr>
          <w:lang w:val="ru-RU" w:eastAsia="ru-RU" w:bidi="ru-RU"/>
          <w:w w:val="100"/>
          <w:spacing w:val="0"/>
          <w:color w:val="000000"/>
          <w:position w:val="0"/>
        </w:rPr>
        <w:t>— первый положительный зубец желудочкового комплекса. Амплитуда зубца в отведениях определяется на</w:t>
        <w:softHyphen/>
        <w:t>правлением электрической оси и электрогенераторной ак</w:t>
        <w:softHyphen/>
        <w:t xml:space="preserve">тивностью сердца. Наиболее высокие зубцы </w:t>
      </w:r>
      <w:r>
        <w:rPr>
          <w:lang w:val="en-US" w:eastAsia="en-US" w:bidi="en-US"/>
          <w:w w:val="100"/>
          <w:spacing w:val="0"/>
          <w:color w:val="000000"/>
          <w:position w:val="0"/>
        </w:rPr>
        <w:t xml:space="preserve">R </w:t>
      </w:r>
      <w:r>
        <w:rPr>
          <w:lang w:val="ru-RU" w:eastAsia="ru-RU" w:bidi="ru-RU"/>
          <w:w w:val="100"/>
          <w:spacing w:val="0"/>
          <w:color w:val="000000"/>
          <w:position w:val="0"/>
        </w:rPr>
        <w:t xml:space="preserve">бывают во II, </w:t>
      </w:r>
      <w:r>
        <w:rPr>
          <w:lang w:val="en-US" w:eastAsia="en-US" w:bidi="en-US"/>
          <w:w w:val="100"/>
          <w:spacing w:val="0"/>
          <w:color w:val="000000"/>
          <w:position w:val="0"/>
        </w:rPr>
        <w:t xml:space="preserve">III, </w:t>
      </w:r>
      <w:r>
        <w:rPr>
          <w:lang w:val="ru-RU" w:eastAsia="ru-RU" w:bidi="ru-RU"/>
          <w:w w:val="100"/>
          <w:spacing w:val="0"/>
          <w:color w:val="000000"/>
          <w:position w:val="0"/>
        </w:rPr>
        <w:t xml:space="preserve">аУР, левых грудных отведениях, низкоамплитудные — в аУЬ^-Уг, в отведении аУЯ зубец </w:t>
      </w:r>
      <w:r>
        <w:rPr>
          <w:lang w:val="en-US" w:eastAsia="en-US" w:bidi="en-US"/>
          <w:w w:val="100"/>
          <w:spacing w:val="0"/>
          <w:color w:val="000000"/>
          <w:position w:val="0"/>
        </w:rPr>
        <w:t xml:space="preserve">R </w:t>
      </w:r>
      <w:r>
        <w:rPr>
          <w:lang w:val="ru-RU" w:eastAsia="ru-RU" w:bidi="ru-RU"/>
          <w:w w:val="100"/>
          <w:spacing w:val="0"/>
          <w:color w:val="000000"/>
          <w:position w:val="0"/>
        </w:rPr>
        <w:t>не определяется.</w:t>
      </w:r>
    </w:p>
    <w:p>
      <w:pPr>
        <w:pStyle w:val="Style30"/>
        <w:widowControl w:val="0"/>
        <w:keepNext w:val="0"/>
        <w:keepLines w:val="0"/>
        <w:shd w:val="clear" w:color="auto" w:fill="auto"/>
        <w:bidi w:val="0"/>
        <w:spacing w:before="0" w:after="0"/>
        <w:ind w:left="0" w:right="0" w:firstLine="280"/>
      </w:pPr>
      <w:r>
        <w:rPr>
          <w:rStyle w:val="CharStyle44"/>
        </w:rPr>
        <w:t xml:space="preserve">3убец </w:t>
      </w:r>
      <w:r>
        <w:rPr>
          <w:rStyle w:val="CharStyle44"/>
          <w:lang w:val="en-US" w:eastAsia="en-US" w:bidi="en-US"/>
        </w:rPr>
        <w:t xml:space="preserve">S </w:t>
      </w:r>
      <w:r>
        <w:rPr>
          <w:lang w:val="ru-RU" w:eastAsia="ru-RU" w:bidi="ru-RU"/>
          <w:w w:val="100"/>
          <w:spacing w:val="0"/>
          <w:color w:val="000000"/>
          <w:position w:val="0"/>
        </w:rPr>
        <w:t>— всегда отрицательный, его амплитуда опреде</w:t>
        <w:softHyphen/>
        <w:t>ляется направлением электрической оси и электрогенера</w:t>
        <w:softHyphen/>
        <w:t xml:space="preserve">торной активностью сердца, наиболее глубокие зубцы </w:t>
      </w:r>
      <w:r>
        <w:rPr>
          <w:lang w:val="en-US" w:eastAsia="en-US" w:bidi="en-US"/>
          <w:w w:val="100"/>
          <w:spacing w:val="0"/>
          <w:color w:val="000000"/>
          <w:position w:val="0"/>
        </w:rPr>
        <w:t xml:space="preserve">S </w:t>
      </w:r>
      <w:r>
        <w:rPr>
          <w:lang w:val="ru-RU" w:eastAsia="ru-RU" w:bidi="ru-RU"/>
          <w:w w:val="100"/>
          <w:spacing w:val="0"/>
          <w:color w:val="000000"/>
          <w:position w:val="0"/>
        </w:rPr>
        <w:t>на</w:t>
        <w:softHyphen/>
        <w:t>блюдаются в правых грудных отведениях (V</w:t>
      </w:r>
      <w:r>
        <w:rPr>
          <w:rStyle w:val="CharStyle32"/>
          <w:vertAlign w:val="subscript"/>
        </w:rPr>
        <w:t>1</w:t>
      </w:r>
      <w:r>
        <w:rPr>
          <w:lang w:val="ru-RU" w:eastAsia="ru-RU" w:bidi="ru-RU"/>
          <w:w w:val="100"/>
          <w:spacing w:val="0"/>
          <w:color w:val="000000"/>
          <w:position w:val="0"/>
        </w:rPr>
        <w:t>-У</w:t>
      </w:r>
      <w:r>
        <w:rPr>
          <w:lang w:val="ru-RU" w:eastAsia="ru-RU" w:bidi="ru-RU"/>
          <w:vertAlign w:val="subscript"/>
          <w:w w:val="100"/>
          <w:spacing w:val="0"/>
          <w:color w:val="000000"/>
          <w:position w:val="0"/>
        </w:rPr>
        <w:t>3</w:t>
      </w:r>
      <w:r>
        <w:rPr>
          <w:lang w:val="ru-RU" w:eastAsia="ru-RU" w:bidi="ru-RU"/>
          <w:w w:val="100"/>
          <w:spacing w:val="0"/>
          <w:color w:val="000000"/>
          <w:position w:val="0"/>
        </w:rPr>
        <w:t>).</w:t>
      </w:r>
    </w:p>
    <w:p>
      <w:pPr>
        <w:pStyle w:val="Style30"/>
        <w:widowControl w:val="0"/>
        <w:keepNext w:val="0"/>
        <w:keepLines w:val="0"/>
        <w:shd w:val="clear" w:color="auto" w:fill="auto"/>
        <w:bidi w:val="0"/>
        <w:spacing w:before="0" w:after="0"/>
        <w:ind w:left="0" w:right="0" w:firstLine="280"/>
        <w:sectPr>
          <w:pgSz w:w="11900" w:h="16840"/>
          <w:pgMar w:top="1424" w:left="1019" w:right="987" w:bottom="1561" w:header="0" w:footer="3" w:gutter="0"/>
          <w:rtlGutter w:val="0"/>
          <w:cols w:num="2" w:space="170"/>
          <w:noEndnote/>
          <w:docGrid w:linePitch="360"/>
        </w:sectPr>
      </w:pPr>
      <w:r>
        <w:pict>
          <v:shape id="_x0000_s1057" type="#_x0000_t75" style="position:absolute;margin-left:136.9pt;margin-top:740.2pt;width:209.75pt;height:14.9pt;z-index:-125829368;mso-wrap-distance-left:136.8pt;mso-wrap-distance-right:148.1pt;mso-wrap-distance-bottom:18.5pt;mso-position-horizontal-relative:margin;mso-position-vertical-relative:margin" wrapcoords="0 0 21600 0 21600 21600 0 21600 0 0">
            <v:imagedata r:id="rId54" r:href="rId55"/>
            <w10:wrap type="topAndBottom" anchorx="margin" anchory="margin"/>
          </v:shape>
        </w:pict>
      </w:r>
      <w:r>
        <w:rPr>
          <w:rStyle w:val="CharStyle44"/>
        </w:rPr>
        <w:t xml:space="preserve">Комплекс </w:t>
      </w:r>
      <w:r>
        <w:rPr>
          <w:rStyle w:val="CharStyle44"/>
          <w:lang w:val="en-US" w:eastAsia="en-US" w:bidi="en-US"/>
        </w:rPr>
        <w:t xml:space="preserve">QRS </w:t>
      </w:r>
      <w:r>
        <w:rPr>
          <w:lang w:val="ru-RU" w:eastAsia="ru-RU" w:bidi="ru-RU"/>
          <w:w w:val="100"/>
          <w:spacing w:val="0"/>
          <w:color w:val="000000"/>
          <w:position w:val="0"/>
        </w:rPr>
        <w:t>может иметь различную конфигурацию в зависимости от величины амплитуды составляющих его элементов, в полифазных комплексах могут быть два и бо</w:t>
        <w:softHyphen/>
        <w:t xml:space="preserve">лее зубцов </w:t>
      </w:r>
      <w:r>
        <w:rPr>
          <w:lang w:val="en-US" w:eastAsia="en-US" w:bidi="en-US"/>
          <w:w w:val="100"/>
          <w:spacing w:val="0"/>
          <w:color w:val="000000"/>
          <w:position w:val="0"/>
        </w:rPr>
        <w:t xml:space="preserve">R </w:t>
      </w:r>
      <w:r>
        <w:rPr>
          <w:lang w:val="ru-RU" w:eastAsia="ru-RU" w:bidi="ru-RU"/>
          <w:w w:val="100"/>
          <w:spacing w:val="0"/>
          <w:color w:val="000000"/>
          <w:position w:val="0"/>
        </w:rPr>
        <w:t xml:space="preserve">и </w:t>
      </w:r>
      <w:r>
        <w:rPr>
          <w:lang w:val="en-US" w:eastAsia="en-US" w:bidi="en-US"/>
          <w:w w:val="100"/>
          <w:spacing w:val="0"/>
          <w:color w:val="000000"/>
          <w:position w:val="0"/>
        </w:rPr>
        <w:t xml:space="preserve">S. </w:t>
      </w:r>
      <w:r>
        <w:rPr>
          <w:lang w:val="ru-RU" w:eastAsia="ru-RU" w:bidi="ru-RU"/>
          <w:w w:val="100"/>
          <w:spacing w:val="0"/>
          <w:color w:val="000000"/>
          <w:position w:val="0"/>
        </w:rPr>
        <w:t>При этом зубец наибольшей амплитуды обозначается прописной буквой, а меньшей — строчными буквами. Если есть два зубца, то к обозначению второго до - бавляется штрих. Если желудочковый комплекс представ</w:t>
        <w:softHyphen/>
        <w:t>лен одним отрицательным зубцом, то его обозначают про</w:t>
        <w:softHyphen/>
        <w:t>писными буквами.</w:t>
      </w:r>
    </w:p>
    <w:p>
      <w:pPr>
        <w:pStyle w:val="Style30"/>
        <w:widowControl w:val="0"/>
        <w:keepNext w:val="0"/>
        <w:keepLines w:val="0"/>
        <w:shd w:val="clear" w:color="auto" w:fill="auto"/>
        <w:bidi w:val="0"/>
        <w:spacing w:before="0" w:after="0"/>
        <w:ind w:left="0" w:right="0" w:firstLine="280"/>
      </w:pPr>
      <w:r>
        <w:rPr>
          <w:rStyle w:val="CharStyle44"/>
        </w:rPr>
        <w:t xml:space="preserve">Зубец Т </w:t>
      </w:r>
      <w:r>
        <w:rPr>
          <w:lang w:val="ru-RU" w:eastAsia="ru-RU" w:bidi="ru-RU"/>
          <w:w w:val="100"/>
          <w:spacing w:val="0"/>
          <w:color w:val="000000"/>
          <w:position w:val="0"/>
        </w:rPr>
        <w:t>отражает процесс быстрой реполяризации желу</w:t>
        <w:softHyphen/>
        <w:t>дочков, окончание их возбуждения. Его амплитуда и поляр</w:t>
        <w:softHyphen/>
        <w:t xml:space="preserve">ность в отдельных отведениях у детей меняется с возрастом. В отведениях III, аУЬ, </w:t>
      </w:r>
      <w:r>
        <w:rPr>
          <w:lang w:val="en-US" w:eastAsia="en-US" w:bidi="en-US"/>
          <w:w w:val="100"/>
          <w:spacing w:val="0"/>
          <w:color w:val="000000"/>
          <w:position w:val="0"/>
        </w:rPr>
        <w:t>V</w:t>
      </w:r>
      <w:r>
        <w:rPr>
          <w:lang w:val="en-US" w:eastAsia="en-US" w:bidi="en-US"/>
          <w:vertAlign w:val="subscript"/>
          <w:w w:val="100"/>
          <w:spacing w:val="0"/>
          <w:color w:val="000000"/>
          <w:position w:val="0"/>
        </w:rPr>
        <w:t>1-2</w:t>
      </w:r>
      <w:r>
        <w:rPr>
          <w:lang w:val="en-US" w:eastAsia="en-US" w:bidi="en-US"/>
          <w:w w:val="100"/>
          <w:spacing w:val="0"/>
          <w:color w:val="000000"/>
          <w:position w:val="0"/>
        </w:rPr>
        <w:t xml:space="preserve"> </w:t>
      </w:r>
      <w:r>
        <w:rPr>
          <w:lang w:val="ru-RU" w:eastAsia="ru-RU" w:bidi="ru-RU"/>
          <w:w w:val="100"/>
          <w:spacing w:val="0"/>
          <w:color w:val="000000"/>
          <w:position w:val="0"/>
        </w:rPr>
        <w:t xml:space="preserve">он может быть отрицательным или двухфазным, в отведении а’УЕ. — всегда отрицательный. Обычно большему зубцу </w:t>
      </w:r>
      <w:r>
        <w:rPr>
          <w:lang w:val="en-US" w:eastAsia="en-US" w:bidi="en-US"/>
          <w:w w:val="100"/>
          <w:spacing w:val="0"/>
          <w:color w:val="000000"/>
          <w:position w:val="0"/>
        </w:rPr>
        <w:t xml:space="preserve">R </w:t>
      </w:r>
      <w:r>
        <w:rPr>
          <w:lang w:val="ru-RU" w:eastAsia="ru-RU" w:bidi="ru-RU"/>
          <w:w w:val="100"/>
          <w:spacing w:val="0"/>
          <w:color w:val="000000"/>
          <w:position w:val="0"/>
        </w:rPr>
        <w:t>соответствует большая амплиту</w:t>
        <w:softHyphen/>
        <w:t xml:space="preserve">да зубца Т, поэтому принято считать не столько истинную величину зубца Т, сколько его соотношение с зубцом </w:t>
      </w:r>
      <w:r>
        <w:rPr>
          <w:lang w:val="en-US" w:eastAsia="en-US" w:bidi="en-US"/>
          <w:w w:val="100"/>
          <w:spacing w:val="0"/>
          <w:color w:val="000000"/>
          <w:position w:val="0"/>
        </w:rPr>
        <w:t xml:space="preserve">R. </w:t>
      </w:r>
      <w:r>
        <w:rPr>
          <w:lang w:val="ru-RU" w:eastAsia="ru-RU" w:bidi="ru-RU"/>
          <w:w w:val="100"/>
          <w:spacing w:val="0"/>
          <w:color w:val="000000"/>
          <w:position w:val="0"/>
        </w:rPr>
        <w:t>В среднем оно составляет 1:4, 1:3.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Зубец </w:t>
      </w:r>
      <w:r>
        <w:rPr>
          <w:lang w:val="en-US" w:eastAsia="en-US" w:bidi="en-US"/>
          <w:w w:val="100"/>
          <w:spacing w:val="0"/>
          <w:color w:val="000000"/>
          <w:position w:val="0"/>
        </w:rPr>
        <w:t xml:space="preserve">U </w:t>
      </w:r>
      <w:r>
        <w:rPr>
          <w:lang w:val="ru-RU" w:eastAsia="ru-RU" w:bidi="ru-RU"/>
          <w:w w:val="100"/>
          <w:spacing w:val="0"/>
          <w:color w:val="000000"/>
          <w:position w:val="0"/>
        </w:rPr>
        <w:t>появляется спустя 0,01-0,03 с после зубца Т, мо</w:t>
        <w:softHyphen/>
        <w:t>жет вовсе не определяться. Как правило, зубец низкоам</w:t>
        <w:softHyphen/>
        <w:t>плитудный, не превышает 5 мм, положительный в отведе</w:t>
        <w:softHyphen/>
        <w:t xml:space="preserve">ниях </w:t>
      </w:r>
      <w:r>
        <w:rPr>
          <w:lang w:val="en-US" w:eastAsia="en-US" w:bidi="en-US"/>
          <w:w w:val="100"/>
          <w:spacing w:val="0"/>
          <w:color w:val="000000"/>
          <w:position w:val="0"/>
        </w:rPr>
        <w:t xml:space="preserve">I, </w:t>
      </w:r>
      <w:r>
        <w:rPr>
          <w:lang w:val="ru-RU" w:eastAsia="ru-RU" w:bidi="ru-RU"/>
          <w:w w:val="100"/>
          <w:spacing w:val="0"/>
          <w:color w:val="000000"/>
          <w:position w:val="0"/>
        </w:rPr>
        <w:t xml:space="preserve">II, </w:t>
      </w:r>
      <w:r>
        <w:rPr>
          <w:lang w:val="en-US" w:eastAsia="en-US" w:bidi="en-US"/>
          <w:w w:val="100"/>
          <w:spacing w:val="0"/>
          <w:color w:val="000000"/>
          <w:position w:val="0"/>
        </w:rPr>
        <w:t xml:space="preserve">аVR </w:t>
      </w:r>
      <w:r>
        <w:rPr>
          <w:lang w:val="ru-RU" w:eastAsia="ru-RU" w:bidi="ru-RU"/>
          <w:w w:val="100"/>
          <w:spacing w:val="0"/>
          <w:color w:val="000000"/>
          <w:position w:val="0"/>
        </w:rPr>
        <w:t xml:space="preserve">и левых грудных отведениях, может быть двухфазным. Обычно зубец </w:t>
      </w:r>
      <w:r>
        <w:rPr>
          <w:lang w:val="en-US" w:eastAsia="en-US" w:bidi="en-US"/>
          <w:w w:val="100"/>
          <w:spacing w:val="0"/>
          <w:color w:val="000000"/>
          <w:position w:val="0"/>
        </w:rPr>
        <w:t xml:space="preserve">U </w:t>
      </w:r>
      <w:r>
        <w:rPr>
          <w:lang w:val="ru-RU" w:eastAsia="ru-RU" w:bidi="ru-RU"/>
          <w:w w:val="100"/>
          <w:spacing w:val="0"/>
          <w:color w:val="000000"/>
          <w:position w:val="0"/>
        </w:rPr>
        <w:t>наиболее представлен в отве</w:t>
        <w:softHyphen/>
        <w:t xml:space="preserve">дениях </w:t>
      </w:r>
      <w:r>
        <w:rPr>
          <w:lang w:val="en-US" w:eastAsia="en-US" w:bidi="en-US"/>
          <w:w w:val="100"/>
          <w:spacing w:val="0"/>
          <w:color w:val="000000"/>
          <w:position w:val="0"/>
        </w:rPr>
        <w:t>V</w:t>
      </w:r>
      <w:r>
        <w:rPr>
          <w:lang w:val="en-US" w:eastAsia="en-US" w:bidi="en-US"/>
          <w:vertAlign w:val="subscript"/>
          <w:w w:val="100"/>
          <w:spacing w:val="0"/>
          <w:color w:val="000000"/>
          <w:position w:val="0"/>
        </w:rPr>
        <w:t>2-4</w:t>
      </w:r>
      <w:r>
        <w:rPr>
          <w:lang w:val="en-US" w:eastAsia="en-US" w:bidi="en-US"/>
          <w:w w:val="100"/>
          <w:spacing w:val="0"/>
          <w:color w:val="000000"/>
          <w:position w:val="0"/>
        </w:rPr>
        <w:t xml:space="preserve">. </w:t>
      </w:r>
      <w:r>
        <w:rPr>
          <w:lang w:val="ru-RU" w:eastAsia="ru-RU" w:bidi="ru-RU"/>
          <w:w w:val="100"/>
          <w:spacing w:val="0"/>
          <w:color w:val="000000"/>
          <w:position w:val="0"/>
        </w:rPr>
        <w:t xml:space="preserve">Происхождение зубца </w:t>
      </w:r>
      <w:r>
        <w:rPr>
          <w:lang w:val="en-US" w:eastAsia="en-US" w:bidi="en-US"/>
          <w:w w:val="100"/>
          <w:spacing w:val="0"/>
          <w:color w:val="000000"/>
          <w:position w:val="0"/>
        </w:rPr>
        <w:t xml:space="preserve">U </w:t>
      </w:r>
      <w:r>
        <w:rPr>
          <w:lang w:val="ru-RU" w:eastAsia="ru-RU" w:bidi="ru-RU"/>
          <w:w w:val="100"/>
          <w:spacing w:val="0"/>
          <w:color w:val="000000"/>
          <w:position w:val="0"/>
        </w:rPr>
        <w:t>остается неясным, возможно, он отражает конечную фазу реполяризации во</w:t>
        <w:softHyphen/>
        <w:t>локон Пуркинье.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Интервал Р</w:t>
      </w:r>
      <w:r>
        <w:rPr>
          <w:lang w:val="en-US" w:eastAsia="en-US" w:bidi="en-US"/>
          <w:w w:val="100"/>
          <w:spacing w:val="0"/>
          <w:color w:val="000000"/>
          <w:position w:val="0"/>
        </w:rPr>
        <w:t xml:space="preserve">-Q (P-R) </w:t>
      </w:r>
      <w:r>
        <w:rPr>
          <w:lang w:val="ru-RU" w:eastAsia="ru-RU" w:bidi="ru-RU"/>
          <w:w w:val="100"/>
          <w:spacing w:val="0"/>
          <w:color w:val="000000"/>
          <w:position w:val="0"/>
        </w:rPr>
        <w:t>соответствует времени прохожде</w:t>
        <w:softHyphen/>
        <w:t>ния импульса от начала возбуждения предсердий до начала возбуждения желудочков (время предсердно-желудочково</w:t>
        <w:softHyphen/>
        <w:t xml:space="preserve">го или атриовентрикулярного проведения). Он измеряется от начала зубца Р до начала зубца </w:t>
      </w:r>
      <w:r>
        <w:rPr>
          <w:lang w:val="en-US" w:eastAsia="en-US" w:bidi="en-US"/>
          <w:w w:val="100"/>
          <w:spacing w:val="0"/>
          <w:color w:val="000000"/>
          <w:position w:val="0"/>
        </w:rPr>
        <w:t xml:space="preserve">Q. </w:t>
      </w:r>
      <w:r>
        <w:rPr>
          <w:lang w:val="ru-RU" w:eastAsia="ru-RU" w:bidi="ru-RU"/>
          <w:w w:val="100"/>
          <w:spacing w:val="0"/>
          <w:color w:val="000000"/>
          <w:position w:val="0"/>
        </w:rPr>
        <w:t xml:space="preserve">Поскольку зубец </w:t>
      </w:r>
      <w:r>
        <w:rPr>
          <w:lang w:val="en-US" w:eastAsia="en-US" w:bidi="en-US"/>
          <w:w w:val="100"/>
          <w:spacing w:val="0"/>
          <w:color w:val="000000"/>
          <w:position w:val="0"/>
        </w:rPr>
        <w:t xml:space="preserve">Q </w:t>
      </w:r>
      <w:r>
        <w:rPr>
          <w:lang w:val="ru-RU" w:eastAsia="ru-RU" w:bidi="ru-RU"/>
          <w:w w:val="100"/>
          <w:spacing w:val="0"/>
          <w:color w:val="000000"/>
          <w:position w:val="0"/>
        </w:rPr>
        <w:t>мо</w:t>
        <w:softHyphen/>
        <w:t xml:space="preserve">жет отсутствовать, более правильно проводить измерение до начала зубца </w:t>
      </w:r>
      <w:r>
        <w:rPr>
          <w:lang w:val="en-US" w:eastAsia="en-US" w:bidi="en-US"/>
          <w:w w:val="100"/>
          <w:spacing w:val="0"/>
          <w:color w:val="000000"/>
          <w:position w:val="0"/>
        </w:rPr>
        <w:t xml:space="preserve">R. </w:t>
      </w:r>
      <w:r>
        <w:rPr>
          <w:lang w:val="ru-RU" w:eastAsia="ru-RU" w:bidi="ru-RU"/>
          <w:w w:val="100"/>
          <w:spacing w:val="0"/>
          <w:color w:val="000000"/>
          <w:position w:val="0"/>
        </w:rPr>
        <w:t>Продолжительность предсердно-желу</w:t>
        <w:softHyphen/>
        <w:t>дочкового проведения зависит от частоты сердечных сокра</w:t>
        <w:softHyphen/>
        <w:t>щений (ЧСС). Пределы нормальных колебаний интервала находятся между 0,11 си0,13 с. По интервалу от конца зуб</w:t>
        <w:softHyphen/>
        <w:t xml:space="preserve">ца Р до начала зубца </w:t>
      </w:r>
      <w:r>
        <w:rPr>
          <w:lang w:val="en-US" w:eastAsia="en-US" w:bidi="en-US"/>
          <w:w w:val="100"/>
          <w:spacing w:val="0"/>
          <w:color w:val="000000"/>
          <w:position w:val="0"/>
        </w:rPr>
        <w:t xml:space="preserve">Q </w:t>
      </w:r>
      <w:r>
        <w:rPr>
          <w:lang w:val="ru-RU" w:eastAsia="ru-RU" w:bidi="ru-RU"/>
          <w:w w:val="100"/>
          <w:spacing w:val="0"/>
          <w:color w:val="000000"/>
          <w:position w:val="0"/>
        </w:rPr>
        <w:t>определяют положение изоэлектри</w:t>
        <w:softHyphen/>
        <w:t>ческой линии.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Сегмент </w:t>
      </w:r>
      <w:r>
        <w:rPr>
          <w:lang w:val="en-US" w:eastAsia="en-US" w:bidi="en-US"/>
          <w:w w:val="100"/>
          <w:spacing w:val="0"/>
          <w:color w:val="000000"/>
          <w:position w:val="0"/>
        </w:rPr>
        <w:t xml:space="preserve">ST </w:t>
      </w:r>
      <w:r>
        <w:rPr>
          <w:lang w:val="ru-RU" w:eastAsia="ru-RU" w:bidi="ru-RU"/>
          <w:w w:val="100"/>
          <w:spacing w:val="0"/>
          <w:color w:val="000000"/>
          <w:position w:val="0"/>
        </w:rPr>
        <w:t xml:space="preserve">определяется от конца зубца </w:t>
      </w:r>
      <w:r>
        <w:rPr>
          <w:lang w:val="en-US" w:eastAsia="en-US" w:bidi="en-US"/>
          <w:w w:val="100"/>
          <w:spacing w:val="0"/>
          <w:color w:val="000000"/>
          <w:position w:val="0"/>
        </w:rPr>
        <w:t xml:space="preserve">S </w:t>
      </w:r>
      <w:r>
        <w:rPr>
          <w:lang w:val="ru-RU" w:eastAsia="ru-RU" w:bidi="ru-RU"/>
          <w:w w:val="100"/>
          <w:spacing w:val="0"/>
          <w:color w:val="000000"/>
          <w:position w:val="0"/>
        </w:rPr>
        <w:t>до начала зуб</w:t>
        <w:softHyphen/>
        <w:t xml:space="preserve">ца </w:t>
      </w:r>
      <w:r>
        <w:rPr>
          <w:lang w:val="en-US" w:eastAsia="en-US" w:bidi="en-US"/>
          <w:w w:val="100"/>
          <w:spacing w:val="0"/>
          <w:color w:val="000000"/>
          <w:position w:val="0"/>
        </w:rPr>
        <w:t xml:space="preserve">T, </w:t>
      </w:r>
      <w:r>
        <w:rPr>
          <w:lang w:val="ru-RU" w:eastAsia="ru-RU" w:bidi="ru-RU"/>
          <w:w w:val="100"/>
          <w:spacing w:val="0"/>
          <w:color w:val="000000"/>
          <w:position w:val="0"/>
        </w:rPr>
        <w:t xml:space="preserve">отражает период ранней реполяризации. Положение сегмента </w:t>
      </w:r>
      <w:r>
        <w:rPr>
          <w:lang w:val="en-US" w:eastAsia="en-US" w:bidi="en-US"/>
          <w:w w:val="100"/>
          <w:spacing w:val="0"/>
          <w:color w:val="000000"/>
          <w:position w:val="0"/>
        </w:rPr>
        <w:t xml:space="preserve">ST </w:t>
      </w:r>
      <w:r>
        <w:rPr>
          <w:lang w:val="ru-RU" w:eastAsia="ru-RU" w:bidi="ru-RU"/>
          <w:w w:val="100"/>
          <w:spacing w:val="0"/>
          <w:color w:val="000000"/>
          <w:position w:val="0"/>
        </w:rPr>
        <w:t xml:space="preserve">совпадает с изоэлектрической линией. В норме сегмент </w:t>
      </w:r>
      <w:r>
        <w:rPr>
          <w:lang w:val="en-US" w:eastAsia="en-US" w:bidi="en-US"/>
          <w:w w:val="100"/>
          <w:spacing w:val="0"/>
          <w:color w:val="000000"/>
          <w:position w:val="0"/>
        </w:rPr>
        <w:t xml:space="preserve">ST </w:t>
      </w:r>
      <w:r>
        <w:rPr>
          <w:lang w:val="ru-RU" w:eastAsia="ru-RU" w:bidi="ru-RU"/>
          <w:w w:val="100"/>
          <w:spacing w:val="0"/>
          <w:color w:val="000000"/>
          <w:position w:val="0"/>
        </w:rPr>
        <w:t xml:space="preserve">может незначительно смещаться вверх (на 1 мм) или вниз (на 0,5 мм) от изолинии при сохраненной форме зубца </w:t>
      </w:r>
      <w:r>
        <w:rPr>
          <w:lang w:val="en-US" w:eastAsia="en-US" w:bidi="en-US"/>
          <w:w w:val="100"/>
          <w:spacing w:val="0"/>
          <w:color w:val="000000"/>
          <w:position w:val="0"/>
        </w:rPr>
        <w:t xml:space="preserve">T. </w:t>
      </w:r>
      <w:r>
        <w:rPr>
          <w:lang w:val="ru-RU" w:eastAsia="ru-RU" w:bidi="ru-RU"/>
          <w:w w:val="100"/>
          <w:spacing w:val="0"/>
          <w:color w:val="000000"/>
          <w:position w:val="0"/>
        </w:rPr>
        <w:t xml:space="preserve">Место соединения сегмента </w:t>
      </w:r>
      <w:r>
        <w:rPr>
          <w:lang w:val="en-US" w:eastAsia="en-US" w:bidi="en-US"/>
          <w:w w:val="100"/>
          <w:spacing w:val="0"/>
          <w:color w:val="000000"/>
          <w:position w:val="0"/>
        </w:rPr>
        <w:t xml:space="preserve">ST </w:t>
      </w:r>
      <w:r>
        <w:rPr>
          <w:lang w:val="ru-RU" w:eastAsia="ru-RU" w:bidi="ru-RU"/>
          <w:w w:val="100"/>
          <w:spacing w:val="0"/>
          <w:color w:val="000000"/>
          <w:position w:val="0"/>
        </w:rPr>
        <w:t xml:space="preserve">с комплексом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обозначают точкой </w:t>
      </w:r>
      <w:r>
        <w:rPr>
          <w:lang w:val="en-US" w:eastAsia="en-US" w:bidi="en-US"/>
          <w:w w:val="100"/>
          <w:spacing w:val="0"/>
          <w:color w:val="000000"/>
          <w:position w:val="0"/>
        </w:rPr>
        <w:t>j.</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Интервал </w:t>
      </w:r>
      <w:r>
        <w:rPr>
          <w:lang w:val="en-US" w:eastAsia="en-US" w:bidi="en-US"/>
          <w:w w:val="100"/>
          <w:spacing w:val="0"/>
          <w:color w:val="000000"/>
          <w:position w:val="0"/>
        </w:rPr>
        <w:t xml:space="preserve">Q-T </w:t>
      </w:r>
      <w:r>
        <w:rPr>
          <w:lang w:val="ru-RU" w:eastAsia="ru-RU" w:bidi="ru-RU"/>
          <w:w w:val="100"/>
          <w:spacing w:val="0"/>
          <w:color w:val="000000"/>
          <w:position w:val="0"/>
        </w:rPr>
        <w:t>отражает электрическую систолу серд</w:t>
        <w:softHyphen/>
        <w:t>ца — деполяризацию и реполяризацию желудочков и зави</w:t>
        <w:softHyphen/>
        <w:t xml:space="preserve">сит от частоты сердечных сокращений. Для определения должного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при данной частоте сердечных со</w:t>
        <w:softHyphen/>
        <w:t>кращений предложен ряд математических формул.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Электрическая ось сердца является результирующим вектором </w:t>
      </w:r>
      <w:r>
        <w:rPr>
          <w:lang w:val="en-US" w:eastAsia="en-US" w:bidi="en-US"/>
          <w:w w:val="100"/>
          <w:spacing w:val="0"/>
          <w:color w:val="000000"/>
          <w:position w:val="0"/>
        </w:rPr>
        <w:t xml:space="preserve">QRS. </w:t>
      </w:r>
      <w:r>
        <w:rPr>
          <w:lang w:val="ru-RU" w:eastAsia="ru-RU" w:bidi="ru-RU"/>
          <w:w w:val="100"/>
          <w:spacing w:val="0"/>
          <w:color w:val="000000"/>
          <w:position w:val="0"/>
        </w:rPr>
        <w:t>Положение электрической оси во фрон</w:t>
        <w:softHyphen/>
        <w:t>тальной плоскости определяют по углу а. Нормальному по - ложению электрической оси сердца соответствует угол а, находящийся в секторе + 30° — + 69°, вертикальному — + 70° — + 90°, горизонтальному — + 29° — 0°. Отклонение электрической оси сердца вправо устанавливается по углу в секторе + 91° — + 120°, резкое (патологическое) отклоне</w:t>
        <w:softHyphen/>
        <w:t>ние оси вправо — более + 120°. Отклонение ЭОС влево ус</w:t>
        <w:softHyphen/>
        <w:t>танавливается по углу а в секторе 0° — 30°, резкое (патоло</w:t>
        <w:softHyphen/>
        <w:t>гическое) отклонение — угол а в секторе 30° — 90°.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Визуально направление электрической оси сердца может быть установлено по соотношению амплитуды зубцов в стан</w:t>
        <w:softHyphen/>
        <w:t xml:space="preserve">дартных отведениях. Если </w:t>
      </w:r>
      <w:r>
        <w:rPr>
          <w:lang w:val="en-US" w:eastAsia="en-US" w:bidi="en-US"/>
          <w:w w:val="100"/>
          <w:spacing w:val="0"/>
          <w:color w:val="000000"/>
          <w:position w:val="0"/>
        </w:rPr>
        <w:t xml:space="preserve">Rn&gt;Ri&gt;Rm </w:t>
      </w:r>
      <w:r>
        <w:rPr>
          <w:lang w:val="ru-RU" w:eastAsia="ru-RU" w:bidi="ru-RU"/>
          <w:w w:val="100"/>
          <w:spacing w:val="0"/>
          <w:color w:val="000000"/>
          <w:position w:val="0"/>
        </w:rPr>
        <w:t>— имеет место нор</w:t>
        <w:softHyphen/>
        <w:t xml:space="preserve">мальное положение ЭОС, при горизонтальном положении — </w:t>
      </w:r>
      <w:r>
        <w:rPr>
          <w:lang w:val="en-US" w:eastAsia="en-US" w:bidi="en-US"/>
          <w:w w:val="100"/>
          <w:spacing w:val="0"/>
          <w:color w:val="000000"/>
          <w:position w:val="0"/>
        </w:rPr>
        <w:t>R</w:t>
      </w:r>
      <w:r>
        <w:rPr>
          <w:lang w:val="en-US" w:eastAsia="en-US" w:bidi="en-US"/>
          <w:vertAlign w:val="subscript"/>
          <w:w w:val="100"/>
          <w:spacing w:val="0"/>
          <w:color w:val="000000"/>
          <w:position w:val="0"/>
        </w:rPr>
        <w:t>I</w:t>
      </w:r>
      <w:r>
        <w:rPr>
          <w:lang w:val="en-US" w:eastAsia="en-US" w:bidi="en-US"/>
          <w:w w:val="100"/>
          <w:spacing w:val="0"/>
          <w:color w:val="000000"/>
          <w:position w:val="0"/>
        </w:rPr>
        <w:t>&gt;R</w:t>
      </w:r>
      <w:r>
        <w:rPr>
          <w:lang w:val="en-US" w:eastAsia="en-US" w:bidi="en-US"/>
          <w:vertAlign w:val="subscript"/>
          <w:w w:val="100"/>
          <w:spacing w:val="0"/>
          <w:color w:val="000000"/>
          <w:position w:val="0"/>
        </w:rPr>
        <w:t>II</w:t>
      </w:r>
      <w:r>
        <w:rPr>
          <w:lang w:val="en-US" w:eastAsia="en-US" w:bidi="en-US"/>
          <w:w w:val="100"/>
          <w:spacing w:val="0"/>
          <w:color w:val="000000"/>
          <w:position w:val="0"/>
        </w:rPr>
        <w:t>&gt;R</w:t>
      </w:r>
      <w:r>
        <w:rPr>
          <w:lang w:val="en-US" w:eastAsia="en-US" w:bidi="en-US"/>
          <w:vertAlign w:val="subscript"/>
          <w:w w:val="100"/>
          <w:spacing w:val="0"/>
          <w:color w:val="000000"/>
          <w:position w:val="0"/>
        </w:rPr>
        <w:t>III</w:t>
      </w:r>
      <w:r>
        <w:rPr>
          <w:lang w:val="en-US" w:eastAsia="en-US" w:bidi="en-US"/>
          <w:w w:val="100"/>
          <w:spacing w:val="0"/>
          <w:color w:val="000000"/>
          <w:position w:val="0"/>
        </w:rPr>
        <w:t xml:space="preserve">, </w:t>
      </w:r>
      <w:r>
        <w:rPr>
          <w:lang w:val="ru-RU" w:eastAsia="ru-RU" w:bidi="ru-RU"/>
          <w:w w:val="100"/>
          <w:spacing w:val="0"/>
          <w:color w:val="000000"/>
          <w:position w:val="0"/>
        </w:rPr>
        <w:t xml:space="preserve">при вертикальном положении — </w:t>
      </w:r>
      <w:r>
        <w:rPr>
          <w:lang w:val="en-US" w:eastAsia="en-US" w:bidi="en-US"/>
          <w:w w:val="100"/>
          <w:spacing w:val="0"/>
          <w:color w:val="000000"/>
          <w:position w:val="0"/>
        </w:rPr>
        <w:t>R</w:t>
      </w:r>
      <w:r>
        <w:rPr>
          <w:lang w:val="en-US" w:eastAsia="en-US" w:bidi="en-US"/>
          <w:vertAlign w:val="subscript"/>
          <w:w w:val="100"/>
          <w:spacing w:val="0"/>
          <w:color w:val="000000"/>
          <w:position w:val="0"/>
        </w:rPr>
        <w:t>III</w:t>
      </w:r>
      <w:r>
        <w:rPr>
          <w:lang w:val="en-US" w:eastAsia="en-US" w:bidi="en-US"/>
          <w:w w:val="100"/>
          <w:spacing w:val="0"/>
          <w:color w:val="000000"/>
          <w:position w:val="0"/>
        </w:rPr>
        <w:t>&gt;R</w:t>
      </w:r>
      <w:r>
        <w:rPr>
          <w:lang w:val="en-US" w:eastAsia="en-US" w:bidi="en-US"/>
          <w:vertAlign w:val="subscript"/>
          <w:w w:val="100"/>
          <w:spacing w:val="0"/>
          <w:color w:val="000000"/>
          <w:position w:val="0"/>
        </w:rPr>
        <w:t>II</w:t>
      </w:r>
      <w:r>
        <w:rPr>
          <w:lang w:val="en-US" w:eastAsia="en-US" w:bidi="en-US"/>
          <w:w w:val="100"/>
          <w:spacing w:val="0"/>
          <w:color w:val="000000"/>
          <w:position w:val="0"/>
        </w:rPr>
        <w:t>&gt;R</w:t>
      </w:r>
      <w:r>
        <w:rPr>
          <w:lang w:val="en-US" w:eastAsia="en-US" w:bidi="en-US"/>
          <w:vertAlign w:val="subscript"/>
          <w:w w:val="100"/>
          <w:spacing w:val="0"/>
          <w:color w:val="000000"/>
          <w:position w:val="0"/>
        </w:rPr>
        <w:t>I</w:t>
      </w:r>
      <w:r>
        <w:rPr>
          <w:lang w:val="en-US" w:eastAsia="en-US" w:bidi="en-US"/>
          <w:w w:val="100"/>
          <w:spacing w:val="0"/>
          <w:color w:val="000000"/>
          <w:position w:val="0"/>
        </w:rPr>
        <w: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Направление электрической оси сердца зависит от мно</w:t>
        <w:softHyphen/>
        <w:t>гих факторов (возраст, телосложение, положение сердца в грудной клетке, гипертрофия отделов сердца, внутриже</w:t>
        <w:softHyphen/>
        <w:t>лудочковые блокады и т.д.).</w:t>
      </w:r>
    </w:p>
    <w:p>
      <w:pPr>
        <w:framePr w:h="5006" w:hSpace="5381" w:wrap="notBeside" w:vAnchor="text" w:hAnchor="text" w:x="5382" w:y="1"/>
        <w:widowControl w:val="0"/>
        <w:jc w:val="center"/>
        <w:rPr>
          <w:sz w:val="2"/>
          <w:szCs w:val="2"/>
        </w:rPr>
      </w:pPr>
      <w:r>
        <w:pict>
          <v:shape id="_x0000_s1058" type="#_x0000_t75" style="width:215pt;height:251pt;">
            <v:imagedata r:id="rId56" r:href="rId57"/>
          </v:shape>
        </w:pict>
      </w:r>
    </w:p>
    <w:p>
      <w:pPr>
        <w:pStyle w:val="Style33"/>
        <w:framePr w:h="5006" w:hSpace="5381" w:wrap="notBeside" w:vAnchor="text" w:hAnchor="text" w:x="5382" w:y="1"/>
        <w:widowControl w:val="0"/>
        <w:keepNext w:val="0"/>
        <w:keepLines w:val="0"/>
        <w:shd w:val="clear" w:color="auto" w:fill="auto"/>
        <w:bidi w:val="0"/>
        <w:jc w:val="both"/>
        <w:spacing w:before="0" w:after="0" w:line="192" w:lineRule="exact"/>
        <w:ind w:left="0" w:right="0" w:firstLine="0"/>
      </w:pPr>
      <w:r>
        <w:rPr>
          <w:rStyle w:val="CharStyle67"/>
        </w:rPr>
        <w:t xml:space="preserve">Рис. 3. </w:t>
      </w:r>
      <w:r>
        <w:rPr>
          <w:lang w:val="ru-RU" w:eastAsia="ru-RU" w:bidi="ru-RU"/>
          <w:w w:val="100"/>
          <w:spacing w:val="0"/>
          <w:color w:val="000000"/>
          <w:position w:val="0"/>
        </w:rPr>
        <w:t xml:space="preserve">Электрокардиограмма недоношенного новорожденного 5 дней (масса 1800 г): синусовый ритм 110 в мин, электрическая ось сердца отклонена вправо </w:t>
      </w:r>
      <w:r>
        <w:rPr>
          <w:lang w:val="en-US" w:eastAsia="en-US" w:bidi="en-US"/>
          <w:w w:val="100"/>
          <w:spacing w:val="0"/>
          <w:color w:val="000000"/>
          <w:position w:val="0"/>
        </w:rPr>
        <w:t xml:space="preserve">(aQRS </w:t>
      </w:r>
      <w:r>
        <w:rPr>
          <w:lang w:val="ru-RU" w:eastAsia="ru-RU" w:bidi="ru-RU"/>
          <w:w w:val="100"/>
          <w:spacing w:val="0"/>
          <w:color w:val="000000"/>
          <w:position w:val="0"/>
        </w:rPr>
        <w:t xml:space="preserve">+ 112°), низкий вольтаж зубцов ЭКГ, снижение процесса реполяризации, полифазный комплекс </w:t>
      </w:r>
      <w:r>
        <w:rPr>
          <w:lang w:val="en-US" w:eastAsia="en-US" w:bidi="en-US"/>
          <w:w w:val="100"/>
          <w:spacing w:val="0"/>
          <w:color w:val="000000"/>
          <w:position w:val="0"/>
        </w:rPr>
        <w:t>QRS V</w:t>
      </w:r>
      <w:r>
        <w:rPr>
          <w:rStyle w:val="CharStyle68"/>
        </w:rPr>
        <w:t>1</w:t>
      </w:r>
      <w:r>
        <w:rPr>
          <w:lang w:val="en-US" w:eastAsia="en-US" w:bidi="en-US"/>
          <w:w w:val="100"/>
          <w:spacing w:val="0"/>
          <w:color w:val="000000"/>
          <w:position w:val="0"/>
        </w:rPr>
        <w:t>-</w:t>
      </w:r>
      <w:r>
        <w:rPr>
          <w:rStyle w:val="CharStyle68"/>
        </w:rPr>
        <w:t>2</w:t>
      </w:r>
      <w:r>
        <w:rPr>
          <w:lang w:val="en-US" w:eastAsia="en-US" w:bidi="en-US"/>
          <w:w w:val="100"/>
          <w:spacing w:val="0"/>
          <w:color w:val="000000"/>
          <w:position w:val="0"/>
        </w:rPr>
        <w:t xml:space="preserve">, P-R </w:t>
      </w:r>
      <w:r>
        <w:rPr>
          <w:lang w:val="ru-RU" w:eastAsia="ru-RU" w:bidi="ru-RU"/>
          <w:w w:val="100"/>
          <w:spacing w:val="0"/>
          <w:color w:val="000000"/>
          <w:position w:val="0"/>
        </w:rPr>
        <w:t xml:space="preserve">— 0,11 </w:t>
      </w:r>
      <w:r>
        <w:rPr>
          <w:lang w:val="en-US" w:eastAsia="en-US" w:bidi="en-US"/>
          <w:w w:val="100"/>
          <w:spacing w:val="0"/>
          <w:color w:val="000000"/>
          <w:position w:val="0"/>
        </w:rPr>
        <w:t xml:space="preserve">c, QRS </w:t>
      </w:r>
      <w:r>
        <w:rPr>
          <w:lang w:val="ru-RU" w:eastAsia="ru-RU" w:bidi="ru-RU"/>
          <w:w w:val="100"/>
          <w:spacing w:val="0"/>
          <w:color w:val="000000"/>
          <w:position w:val="0"/>
        </w:rPr>
        <w:t xml:space="preserve">— 0,06 </w:t>
      </w:r>
      <w:r>
        <w:rPr>
          <w:lang w:val="en-US" w:eastAsia="en-US" w:bidi="en-US"/>
          <w:w w:val="100"/>
          <w:spacing w:val="0"/>
          <w:color w:val="000000"/>
          <w:position w:val="0"/>
        </w:rPr>
        <w:t xml:space="preserve">c, Q-T </w:t>
      </w:r>
      <w:r>
        <w:rPr>
          <w:lang w:val="ru-RU" w:eastAsia="ru-RU" w:bidi="ru-RU"/>
          <w:w w:val="100"/>
          <w:spacing w:val="0"/>
          <w:color w:val="000000"/>
          <w:position w:val="0"/>
        </w:rPr>
        <w:t xml:space="preserve">— 0,28 </w:t>
      </w:r>
      <w:r>
        <w:rPr>
          <w:lang w:val="en-US" w:eastAsia="en-US" w:bidi="en-US"/>
          <w:w w:val="100"/>
          <w:spacing w:val="0"/>
          <w:color w:val="000000"/>
          <w:position w:val="0"/>
        </w:rPr>
        <w:t xml:space="preserve">c (N </w:t>
      </w:r>
      <w:r>
        <w:rPr>
          <w:lang w:val="ru-RU" w:eastAsia="ru-RU" w:bidi="ru-RU"/>
          <w:w w:val="100"/>
          <w:spacing w:val="0"/>
          <w:color w:val="000000"/>
          <w:position w:val="0"/>
        </w:rPr>
        <w:t xml:space="preserve">— 0,27 </w:t>
      </w:r>
      <w:r>
        <w:rPr>
          <w:lang w:val="en-US" w:eastAsia="en-US" w:bidi="en-US"/>
          <w:w w:val="100"/>
          <w:spacing w:val="0"/>
          <w:color w:val="000000"/>
          <w:position w:val="0"/>
        </w:rPr>
        <w:t>c).</w:t>
      </w:r>
    </w:p>
    <w:p>
      <w:pPr>
        <w:widowControl w:val="0"/>
        <w:rPr>
          <w:sz w:val="2"/>
          <w:szCs w:val="2"/>
        </w:rPr>
      </w:pPr>
    </w:p>
    <w:p>
      <w:pPr>
        <w:pStyle w:val="Style50"/>
        <w:widowControl w:val="0"/>
        <w:keepNext/>
        <w:keepLines/>
        <w:shd w:val="clear" w:color="auto" w:fill="auto"/>
        <w:bidi w:val="0"/>
        <w:jc w:val="both"/>
        <w:spacing w:before="377" w:after="0"/>
        <w:ind w:left="0" w:right="0" w:firstLine="280"/>
      </w:pPr>
      <w:bookmarkStart w:id="59" w:name="bookmark59"/>
      <w:r>
        <w:rPr>
          <w:lang w:val="ru-RU" w:eastAsia="ru-RU" w:bidi="ru-RU"/>
          <w:w w:val="100"/>
          <w:color w:val="000000"/>
          <w:position w:val="0"/>
        </w:rPr>
        <w:t>Электрокардиограмма недоношенных новорожденных</w:t>
      </w:r>
      <w:bookmarkEnd w:id="59"/>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(рис. 3): ЧСС в первые 2 суток равна 180-200 в мин иурежа- ется в течение последующей недели до 120-140 в мин. В те</w:t>
        <w:softHyphen/>
        <w:t>чение 10-12 дней у недоношенных детей имеет место низ- ковольтажная ЭКГ. Наибольшая амплитуда зубца Р регист</w:t>
        <w:softHyphen/>
        <w:t xml:space="preserve">рируется во </w:t>
      </w:r>
      <w:r>
        <w:rPr>
          <w:lang w:val="en-US" w:eastAsia="en-US" w:bidi="en-US"/>
          <w:w w:val="100"/>
          <w:spacing w:val="0"/>
          <w:color w:val="000000"/>
          <w:position w:val="0"/>
        </w:rPr>
        <w:t xml:space="preserve">II </w:t>
      </w:r>
      <w:r>
        <w:rPr>
          <w:lang w:val="ru-RU" w:eastAsia="ru-RU" w:bidi="ru-RU"/>
          <w:w w:val="100"/>
          <w:spacing w:val="0"/>
          <w:color w:val="000000"/>
          <w:position w:val="0"/>
        </w:rPr>
        <w:t>стандартном отведении. Направление сум</w:t>
        <w:softHyphen/>
        <w:t>марного предсердного вектора во фронтальной плоскости находится в пределах сектора + 20°-+ 60°. Интервал Р</w:t>
      </w:r>
      <w:r>
        <w:rPr>
          <w:lang w:val="en-US" w:eastAsia="en-US" w:bidi="en-US"/>
          <w:w w:val="100"/>
          <w:spacing w:val="0"/>
          <w:color w:val="000000"/>
          <w:position w:val="0"/>
        </w:rPr>
        <w:t xml:space="preserve">-R </w:t>
      </w:r>
      <w:r>
        <w:rPr>
          <w:lang w:val="ru-RU" w:eastAsia="ru-RU" w:bidi="ru-RU"/>
          <w:w w:val="100"/>
          <w:spacing w:val="0"/>
          <w:color w:val="000000"/>
          <w:position w:val="0"/>
        </w:rPr>
        <w:t>(Р</w:t>
      </w:r>
      <w:r>
        <w:rPr>
          <w:lang w:val="en-US" w:eastAsia="en-US" w:bidi="en-US"/>
          <w:w w:val="100"/>
          <w:spacing w:val="0"/>
          <w:color w:val="000000"/>
          <w:position w:val="0"/>
        </w:rPr>
        <w:t xml:space="preserve">-Q) </w:t>
      </w:r>
      <w:r>
        <w:rPr>
          <w:lang w:val="ru-RU" w:eastAsia="ru-RU" w:bidi="ru-RU"/>
          <w:w w:val="100"/>
          <w:spacing w:val="0"/>
          <w:color w:val="000000"/>
          <w:position w:val="0"/>
        </w:rPr>
        <w:t>в первые сутки равен 0,10-0,11 с, в последующем он увеличивается до 0,11-0,12 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Ширина желудочкового комплекса составляет 0,04-0,07 с, при этом в первые сутки она имеет максимальное значение. Амплитуда зубца </w:t>
      </w:r>
      <w:r>
        <w:rPr>
          <w:lang w:val="en-US" w:eastAsia="en-US" w:bidi="en-US"/>
          <w:w w:val="100"/>
          <w:spacing w:val="0"/>
          <w:color w:val="000000"/>
          <w:position w:val="0"/>
        </w:rPr>
        <w:t xml:space="preserve">Q </w:t>
      </w:r>
      <w:r>
        <w:rPr>
          <w:lang w:val="ru-RU" w:eastAsia="ru-RU" w:bidi="ru-RU"/>
          <w:w w:val="100"/>
          <w:spacing w:val="0"/>
          <w:color w:val="000000"/>
          <w:position w:val="0"/>
        </w:rPr>
        <w:t>не превышает 3 мм, за исключением отве</w:t>
        <w:softHyphen/>
        <w:t xml:space="preserve">дения а~У^ где он может достигать 5-6 мм. Обычно зубец </w:t>
      </w:r>
      <w:r>
        <w:rPr>
          <w:lang w:val="en-US" w:eastAsia="en-US" w:bidi="en-US"/>
          <w:w w:val="100"/>
          <w:spacing w:val="0"/>
          <w:color w:val="000000"/>
          <w:position w:val="0"/>
        </w:rPr>
        <w:t xml:space="preserve">Q </w:t>
      </w:r>
      <w:r>
        <w:rPr>
          <w:lang w:val="ru-RU" w:eastAsia="ru-RU" w:bidi="ru-RU"/>
          <w:w w:val="100"/>
          <w:spacing w:val="0"/>
          <w:color w:val="000000"/>
          <w:position w:val="0"/>
        </w:rPr>
        <w:t xml:space="preserve">документируется в отведениях II, III, </w:t>
      </w:r>
      <w:r>
        <w:rPr>
          <w:lang w:val="en-US" w:eastAsia="en-US" w:bidi="en-US"/>
          <w:w w:val="100"/>
          <w:spacing w:val="0"/>
          <w:color w:val="000000"/>
          <w:position w:val="0"/>
        </w:rPr>
        <w:t xml:space="preserve">aVF. </w:t>
      </w:r>
      <w:r>
        <w:rPr>
          <w:lang w:val="ru-RU" w:eastAsia="ru-RU" w:bidi="ru-RU"/>
          <w:w w:val="100"/>
          <w:spacing w:val="0"/>
          <w:color w:val="000000"/>
          <w:position w:val="0"/>
        </w:rPr>
        <w:t xml:space="preserve">Зубец </w:t>
      </w:r>
      <w:r>
        <w:rPr>
          <w:lang w:val="en-US" w:eastAsia="en-US" w:bidi="en-US"/>
          <w:w w:val="100"/>
          <w:spacing w:val="0"/>
          <w:color w:val="000000"/>
          <w:position w:val="0"/>
        </w:rPr>
        <w:t xml:space="preserve">R </w:t>
      </w:r>
      <w:r>
        <w:rPr>
          <w:lang w:val="ru-RU" w:eastAsia="ru-RU" w:bidi="ru-RU"/>
          <w:w w:val="100"/>
          <w:spacing w:val="0"/>
          <w:color w:val="000000"/>
          <w:position w:val="0"/>
        </w:rPr>
        <w:t>низкоам</w:t>
        <w:softHyphen/>
        <w:t xml:space="preserve">плитудный, наибольшая его величина в отведениях </w:t>
      </w:r>
      <w:r>
        <w:rPr>
          <w:lang w:val="en-US" w:eastAsia="en-US" w:bidi="en-US"/>
          <w:w w:val="100"/>
          <w:spacing w:val="0"/>
          <w:color w:val="000000"/>
          <w:position w:val="0"/>
        </w:rPr>
        <w:t xml:space="preserve">II, III, aVF. </w:t>
      </w:r>
      <w:r>
        <w:rPr>
          <w:lang w:val="ru-RU" w:eastAsia="ru-RU" w:bidi="ru-RU"/>
          <w:w w:val="100"/>
          <w:spacing w:val="0"/>
          <w:color w:val="000000"/>
          <w:position w:val="0"/>
        </w:rPr>
        <w:t>У недоношенных детей часто регистрируется достаточ</w:t>
        <w:softHyphen/>
        <w:t xml:space="preserve">ной амплитуды зубец </w:t>
      </w:r>
      <w:r>
        <w:rPr>
          <w:lang w:val="en-US" w:eastAsia="en-US" w:bidi="en-US"/>
          <w:w w:val="100"/>
          <w:spacing w:val="0"/>
          <w:color w:val="000000"/>
          <w:position w:val="0"/>
        </w:rPr>
        <w:t xml:space="preserve">S </w:t>
      </w:r>
      <w:r>
        <w:rPr>
          <w:lang w:val="ru-RU" w:eastAsia="ru-RU" w:bidi="ru-RU"/>
          <w:w w:val="100"/>
          <w:spacing w:val="0"/>
          <w:color w:val="000000"/>
          <w:position w:val="0"/>
        </w:rPr>
        <w:t xml:space="preserve">в грудных отведениях начиная с </w:t>
      </w:r>
      <w:r>
        <w:rPr>
          <w:lang w:val="en-US" w:eastAsia="en-US" w:bidi="en-US"/>
          <w:w w:val="100"/>
          <w:spacing w:val="0"/>
          <w:color w:val="000000"/>
          <w:position w:val="0"/>
        </w:rPr>
        <w:t>V</w:t>
      </w:r>
      <w:r>
        <w:rPr>
          <w:rStyle w:val="CharStyle32"/>
          <w:lang w:val="en-US" w:eastAsia="en-US" w:bidi="en-US"/>
        </w:rPr>
        <w:t>2</w:t>
      </w:r>
      <w:r>
        <w:rPr>
          <w:lang w:val="en-US" w:eastAsia="en-US" w:bidi="en-US"/>
          <w:w w:val="100"/>
          <w:spacing w:val="0"/>
          <w:color w:val="000000"/>
          <w:position w:val="0"/>
        </w:rPr>
        <w:t xml:space="preserve">. </w:t>
      </w:r>
      <w:r>
        <w:rPr>
          <w:lang w:val="ru-RU" w:eastAsia="ru-RU" w:bidi="ru-RU"/>
          <w:w w:val="100"/>
          <w:spacing w:val="0"/>
          <w:color w:val="000000"/>
          <w:position w:val="0"/>
        </w:rPr>
        <w:t xml:space="preserve">Направление угла а в первые дни жизни соответствует + 90° — + 130°, иногда может достигать + 150°-+ 160°. У глубоко недоношенных детей может документироватьcя нормальное положение электрической оси сердца. Сегмент </w:t>
      </w:r>
      <w:r>
        <w:rPr>
          <w:lang w:val="en-US" w:eastAsia="en-US" w:bidi="en-US"/>
          <w:w w:val="100"/>
          <w:spacing w:val="0"/>
          <w:color w:val="000000"/>
          <w:position w:val="0"/>
        </w:rPr>
        <w:t xml:space="preserve">ST </w:t>
      </w:r>
      <w:r>
        <w:rPr>
          <w:lang w:val="ru-RU" w:eastAsia="ru-RU" w:bidi="ru-RU"/>
          <w:w w:val="100"/>
          <w:spacing w:val="0"/>
          <w:color w:val="000000"/>
          <w:position w:val="0"/>
        </w:rPr>
        <w:t>регистри</w:t>
        <w:softHyphen/>
        <w:t xml:space="preserve">руется на изолинии. Зубец </w:t>
      </w:r>
      <w:r>
        <w:rPr>
          <w:lang w:val="en-US" w:eastAsia="en-US" w:bidi="en-US"/>
          <w:w w:val="100"/>
          <w:spacing w:val="0"/>
          <w:color w:val="000000"/>
          <w:position w:val="0"/>
        </w:rPr>
        <w:t xml:space="preserve">T </w:t>
      </w:r>
      <w:r>
        <w:rPr>
          <w:lang w:val="ru-RU" w:eastAsia="ru-RU" w:bidi="ru-RU"/>
          <w:w w:val="100"/>
          <w:spacing w:val="0"/>
          <w:color w:val="000000"/>
          <w:position w:val="0"/>
        </w:rPr>
        <w:t>часто низкоамплитудный, изо- электричный, в последующие дни жизни увеличивается.</w:t>
      </w:r>
    </w:p>
    <w:p>
      <w:pPr>
        <w:pStyle w:val="Style30"/>
        <w:widowControl w:val="0"/>
        <w:keepNext w:val="0"/>
        <w:keepLines w:val="0"/>
        <w:shd w:val="clear" w:color="auto" w:fill="auto"/>
        <w:bidi w:val="0"/>
        <w:spacing w:before="0" w:after="0"/>
        <w:ind w:left="0" w:right="0" w:firstLine="280"/>
      </w:pPr>
      <w:r>
        <w:pict>
          <v:shape id="_x0000_s1059" type="#_x0000_t75" style="position:absolute;margin-left:148.1pt;margin-top:753.35pt;width:209.75pt;height:14.9pt;z-index:-125829367;mso-wrap-distance-left:148.1pt;mso-wrap-distance-right:137.05pt;mso-position-horizontal-relative:margin;mso-position-vertical-relative:margin" wrapcoords="0 0 21600 0 21600 21600 0 21600 0 0">
            <v:imagedata r:id="rId58" r:href="rId59"/>
            <w10:wrap type="topAndBottom" anchorx="margin" anchory="margin"/>
          </v:shape>
        </w:pict>
      </w:r>
      <w:r>
        <w:rPr>
          <w:rStyle w:val="CharStyle44"/>
        </w:rPr>
        <w:t xml:space="preserve">Электрокардиограмма доношенных новорожденных </w:t>
      </w:r>
      <w:r>
        <w:rPr>
          <w:lang w:val="ru-RU" w:eastAsia="ru-RU" w:bidi="ru-RU"/>
          <w:w w:val="100"/>
          <w:spacing w:val="0"/>
          <w:color w:val="000000"/>
          <w:position w:val="0"/>
        </w:rPr>
        <w:t>(рис. 4). ЭКГ в период новорожденности претерпевает ха</w:t>
        <w:softHyphen/>
        <w:t>рактерную динамику становления электрогенераторной ак</w:t>
        <w:softHyphen/>
        <w:t>тивности сердца, связанную с постнатальной перестройкой гемодинамики. В первые часы жизни отмечается синусо</w:t>
        <w:softHyphen/>
        <w:t>вый ритм от 100 до 120 в мин, затем ритм учащается, состав</w:t>
        <w:softHyphen/>
        <w:t>ляя в среднем 136 в мин. Наиболее выражены колебания ЧСС у детей первой недели жизни, затем ритм становится более стабильным.</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 рождении электрическая ось сердца отклонена вправо &lt;а </w:t>
      </w:r>
      <w:r>
        <w:rPr>
          <w:lang w:val="en-US" w:eastAsia="en-US" w:bidi="en-US"/>
          <w:w w:val="100"/>
          <w:spacing w:val="0"/>
          <w:color w:val="000000"/>
          <w:position w:val="0"/>
        </w:rPr>
        <w:t xml:space="preserve">QRS </w:t>
      </w:r>
      <w:r>
        <w:rPr>
          <w:lang w:val="ru-RU" w:eastAsia="ru-RU" w:bidi="ru-RU"/>
          <w:w w:val="100"/>
          <w:spacing w:val="0"/>
          <w:color w:val="000000"/>
          <w:position w:val="0"/>
        </w:rPr>
        <w:t>от + 90° до + 170°, в среднем + 132°; в даль</w:t>
        <w:softHyphen/>
        <w:t>нейшем угол постепенно уменьшается и в среднем состав</w:t>
        <w:softHyphen/>
        <w:t>ляет + 119°. Продолжительность зубца Р колеблется в пре</w:t>
        <w:softHyphen/>
        <w:t xml:space="preserve">делах 0,05-0,07 с, его вершина заострена в отведениях II, III, аУР, затем, начиная с 3 дня жизни, амплитуда зубца Р во всех отведениях становится заметно меньше, что связано с улучшением проводимости по миокарду предсердий и уменьшением внутрипредсердного давления, интервал </w:t>
      </w:r>
      <w:r>
        <w:rPr>
          <w:lang w:val="en-US" w:eastAsia="en-US" w:bidi="en-US"/>
          <w:w w:val="100"/>
          <w:spacing w:val="0"/>
          <w:color w:val="000000"/>
          <w:position w:val="0"/>
        </w:rPr>
        <w:t xml:space="preserve">P-Q </w:t>
      </w:r>
      <w:r>
        <w:rPr>
          <w:lang w:val="ru-RU" w:eastAsia="ru-RU" w:bidi="ru-RU"/>
          <w:w w:val="100"/>
          <w:spacing w:val="0"/>
          <w:color w:val="000000"/>
          <w:position w:val="0"/>
        </w:rPr>
        <w:t>колеблется от 0,08 до 0,13 с, в среднем составляет 0,1 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Анатомическое закрытие плодовых коммуникаций и на</w:t>
        <w:softHyphen/>
        <w:t>растание массы миокарда левого желудочка в период ново- рожденности лежат в основе динамики зубцов желудочко</w:t>
        <w:softHyphen/>
        <w:t xml:space="preserve">вого комплекса. На ЭКГ в первые дни жизни зубец </w:t>
      </w:r>
      <w:r>
        <w:rPr>
          <w:lang w:val="en-US" w:eastAsia="en-US" w:bidi="en-US"/>
          <w:w w:val="100"/>
          <w:spacing w:val="0"/>
          <w:color w:val="000000"/>
          <w:position w:val="0"/>
        </w:rPr>
        <w:t xml:space="preserve">Q </w:t>
      </w:r>
      <w:r>
        <w:rPr>
          <w:lang w:val="ru-RU" w:eastAsia="ru-RU" w:bidi="ru-RU"/>
          <w:w w:val="100"/>
          <w:spacing w:val="0"/>
          <w:color w:val="000000"/>
          <w:position w:val="0"/>
        </w:rPr>
        <w:t>отсут</w:t>
        <w:softHyphen/>
        <w:t xml:space="preserve">ствует в отведениях II, III, </w:t>
      </w:r>
      <w:r>
        <w:rPr>
          <w:lang w:val="en-US" w:eastAsia="en-US" w:bidi="en-US"/>
          <w:w w:val="100"/>
          <w:spacing w:val="0"/>
          <w:color w:val="000000"/>
          <w:position w:val="0"/>
        </w:rPr>
        <w:t xml:space="preserve">aVR, </w:t>
      </w:r>
      <w:r>
        <w:rPr>
          <w:lang w:val="ru-RU" w:eastAsia="ru-RU" w:bidi="ru-RU"/>
          <w:w w:val="100"/>
          <w:spacing w:val="0"/>
          <w:color w:val="000000"/>
          <w:position w:val="0"/>
        </w:rPr>
        <w:t>аУР, а также в левых груд</w:t>
        <w:softHyphen/>
        <w:t xml:space="preserve">ных отведениях. В последующие сутки жизни зубец </w:t>
      </w:r>
      <w:r>
        <w:rPr>
          <w:lang w:val="en-US" w:eastAsia="en-US" w:bidi="en-US"/>
          <w:w w:val="100"/>
          <w:spacing w:val="0"/>
          <w:color w:val="000000"/>
          <w:position w:val="0"/>
        </w:rPr>
        <w:t xml:space="preserve">Q </w:t>
      </w:r>
      <w:r>
        <w:rPr>
          <w:lang w:val="ru-RU" w:eastAsia="ru-RU" w:bidi="ru-RU"/>
          <w:w w:val="100"/>
          <w:spacing w:val="0"/>
          <w:color w:val="000000"/>
          <w:position w:val="0"/>
        </w:rPr>
        <w:t>уве</w:t>
        <w:softHyphen/>
        <w:t>личивается в левых грудных отведениях и может наблю</w:t>
        <w:softHyphen/>
        <w:t xml:space="preserve">даться в I и аУЬ отведениях. Особенностью зубца </w:t>
      </w:r>
      <w:r>
        <w:rPr>
          <w:lang w:val="en-US" w:eastAsia="en-US" w:bidi="en-US"/>
          <w:w w:val="100"/>
          <w:spacing w:val="0"/>
          <w:color w:val="000000"/>
          <w:position w:val="0"/>
        </w:rPr>
        <w:t xml:space="preserve">R </w:t>
      </w:r>
      <w:r>
        <w:rPr>
          <w:lang w:val="ru-RU" w:eastAsia="ru-RU" w:bidi="ru-RU"/>
          <w:w w:val="100"/>
          <w:spacing w:val="0"/>
          <w:color w:val="000000"/>
          <w:position w:val="0"/>
        </w:rPr>
        <w:t>ново</w:t>
        <w:softHyphen/>
        <w:t>рожденных следует считать постепенное уменьшение ам</w:t>
        <w:softHyphen/>
        <w:t>плитуды в правых прекардиальных отведениях и увеличе</w:t>
        <w:softHyphen/>
        <w:t xml:space="preserve">ние в левых. Зубец </w:t>
      </w:r>
      <w:r>
        <w:rPr>
          <w:lang w:val="en-US" w:eastAsia="en-US" w:bidi="en-US"/>
          <w:w w:val="100"/>
          <w:spacing w:val="0"/>
          <w:color w:val="000000"/>
          <w:position w:val="0"/>
        </w:rPr>
        <w:t xml:space="preserve">S </w:t>
      </w:r>
      <w:r>
        <w:rPr>
          <w:lang w:val="ru-RU" w:eastAsia="ru-RU" w:bidi="ru-RU"/>
          <w:w w:val="100"/>
          <w:spacing w:val="0"/>
          <w:color w:val="000000"/>
          <w:position w:val="0"/>
        </w:rPr>
        <w:t xml:space="preserve">имеет такую же, как и зубец </w:t>
      </w:r>
      <w:r>
        <w:rPr>
          <w:lang w:val="en-US" w:eastAsia="en-US" w:bidi="en-US"/>
          <w:w w:val="100"/>
          <w:spacing w:val="0"/>
          <w:color w:val="000000"/>
          <w:position w:val="0"/>
        </w:rPr>
        <w:t xml:space="preserve">R, </w:t>
      </w:r>
      <w:r>
        <w:rPr>
          <w:lang w:val="ru-RU" w:eastAsia="ru-RU" w:bidi="ru-RU"/>
          <w:w w:val="100"/>
          <w:spacing w:val="0"/>
          <w:color w:val="000000"/>
          <w:position w:val="0"/>
        </w:rPr>
        <w:t>но про</w:t>
        <w:softHyphen/>
        <w:t>тивоположную по знаку динамику. Низкая амплитуда зубца Т в отведениях от конечностей — одна из особенностей ЭКГ новорожденных. В правых грудных отведениях зубец Т отрицательный, в левых — положительный. Постепенно амплитудные значения зубца Т увеличиваются.</w:t>
      </w:r>
    </w:p>
    <w:p>
      <w:pPr>
        <w:pStyle w:val="Style30"/>
        <w:widowControl w:val="0"/>
        <w:keepNext w:val="0"/>
        <w:keepLines w:val="0"/>
        <w:shd w:val="clear" w:color="auto" w:fill="auto"/>
        <w:bidi w:val="0"/>
        <w:spacing w:before="0" w:after="0"/>
        <w:ind w:left="0" w:right="0" w:firstLine="280"/>
      </w:pPr>
      <w:r>
        <w:rPr>
          <w:rStyle w:val="CharStyle44"/>
        </w:rPr>
        <w:t xml:space="preserve">Электрокардиограмма детей в возрасте 1-12 мес </w:t>
      </w:r>
      <w:r>
        <w:rPr>
          <w:lang w:val="ru-RU" w:eastAsia="ru-RU" w:bidi="ru-RU"/>
          <w:w w:val="100"/>
          <w:spacing w:val="0"/>
          <w:color w:val="000000"/>
          <w:position w:val="0"/>
        </w:rPr>
        <w:t>(рис. 5). Нормальная ЭКГ детей грудного возраста существенно от</w:t>
        <w:softHyphen/>
        <w:t>личается от таковой у новорожденных. В этом периоде дет</w:t>
        <w:softHyphen/>
        <w:t>ства еще не встречается дыхательная аритмия, однако пульс легко учащается при беспокойстве ребенка; средняя ЧСС составляет 138 ± 14,9 в мин. Электрическая ось сердца час</w:t>
        <w:softHyphen/>
        <w:t xml:space="preserve">то находится в вертикальном секторе, угол </w:t>
      </w:r>
      <w:r>
        <w:rPr>
          <w:lang w:val="en-US" w:eastAsia="en-US" w:bidi="en-US"/>
          <w:w w:val="100"/>
          <w:spacing w:val="0"/>
          <w:color w:val="000000"/>
          <w:position w:val="0"/>
        </w:rPr>
        <w:t xml:space="preserve">a QRS </w:t>
      </w:r>
      <w:r>
        <w:rPr>
          <w:lang w:val="ru-RU" w:eastAsia="ru-RU" w:bidi="ru-RU"/>
          <w:w w:val="100"/>
          <w:spacing w:val="0"/>
          <w:color w:val="000000"/>
          <w:position w:val="0"/>
        </w:rPr>
        <w:t>в среднем составляет 64,3+22,0°. Зубец Р у детей первого года жизни достаточно хорошо выражен во всех отведениях. Продолжи</w:t>
        <w:softHyphen/>
        <w:t>тельность зубца Р в среднем равна 0,05+0,004 с. Амплитуда</w:t>
        <w:br w:type="column"/>
        <w:t>зубцов желудочкового комплекса определяется электричес</w:t>
        <w:softHyphen/>
        <w:t xml:space="preserve">кой осью сердца. Наиболее частое соотношение зубцов </w:t>
      </w:r>
      <w:r>
        <w:rPr>
          <w:lang w:val="en-US" w:eastAsia="en-US" w:bidi="en-US"/>
          <w:w w:val="100"/>
          <w:spacing w:val="0"/>
          <w:color w:val="000000"/>
          <w:position w:val="0"/>
        </w:rPr>
        <w:t xml:space="preserve">R </w:t>
      </w:r>
      <w:r>
        <w:rPr>
          <w:lang w:val="ru-RU" w:eastAsia="ru-RU" w:bidi="ru-RU"/>
          <w:w w:val="100"/>
          <w:spacing w:val="0"/>
          <w:color w:val="000000"/>
          <w:position w:val="0"/>
        </w:rPr>
        <w:t xml:space="preserve">в стандартных отведениях </w:t>
      </w:r>
      <w:r>
        <w:rPr>
          <w:lang w:val="en-US" w:eastAsia="en-US" w:bidi="en-US"/>
          <w:w w:val="100"/>
          <w:spacing w:val="0"/>
          <w:color w:val="000000"/>
          <w:position w:val="0"/>
        </w:rPr>
        <w:t xml:space="preserve">Rn&gt;Rm&gt;Ri </w:t>
      </w:r>
      <w:r>
        <w:rPr>
          <w:lang w:val="ru-RU" w:eastAsia="ru-RU" w:bidi="ru-RU"/>
          <w:w w:val="100"/>
          <w:spacing w:val="0"/>
          <w:color w:val="000000"/>
          <w:position w:val="0"/>
        </w:rPr>
        <w:t xml:space="preserve">(нормограмма). В этом возрасте возможно преобладание амплитуды зубца </w:t>
      </w:r>
      <w:r>
        <w:rPr>
          <w:lang w:val="en-US" w:eastAsia="en-US" w:bidi="en-US"/>
          <w:w w:val="100"/>
          <w:spacing w:val="0"/>
          <w:color w:val="000000"/>
          <w:position w:val="0"/>
        </w:rPr>
        <w:t>RV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над амплитудой зубца </w:t>
      </w:r>
      <w:r>
        <w:rPr>
          <w:lang w:val="en-US" w:eastAsia="en-US" w:bidi="en-US"/>
          <w:w w:val="100"/>
          <w:spacing w:val="0"/>
          <w:color w:val="000000"/>
          <w:position w:val="0"/>
        </w:rPr>
        <w:t>SV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Часто определяются ком</w:t>
        <w:softHyphen/>
        <w:t>плексы типа неполной блокады правой ножки пучка Гиса.</w:t>
      </w:r>
    </w:p>
    <w:p>
      <w:pPr>
        <w:pStyle w:val="Style30"/>
        <w:widowControl w:val="0"/>
        <w:keepNext w:val="0"/>
        <w:keepLines w:val="0"/>
        <w:shd w:val="clear" w:color="auto" w:fill="auto"/>
        <w:bidi w:val="0"/>
        <w:spacing w:before="0" w:after="0" w:line="221" w:lineRule="exact"/>
        <w:ind w:left="0" w:right="0" w:firstLine="280"/>
      </w:pPr>
      <w:r>
        <w:rPr>
          <w:rStyle w:val="CharStyle44"/>
        </w:rPr>
        <w:t xml:space="preserve">Электрокардиограмма детей 1-6-летнего возраста </w:t>
      </w:r>
      <w:r>
        <w:rPr>
          <w:lang w:val="ru-RU" w:eastAsia="ru-RU" w:bidi="ru-RU"/>
          <w:w w:val="100"/>
          <w:spacing w:val="0"/>
          <w:color w:val="000000"/>
          <w:position w:val="0"/>
        </w:rPr>
        <w:t xml:space="preserve">(рис. 6). В этот период происходит заметное урежение ЧСС (98 — 126 в мин), появляется синусовая аритмия. Угол </w:t>
      </w:r>
      <w:r>
        <w:rPr>
          <w:rStyle w:val="CharStyle56"/>
          <w:lang w:val="en-US" w:eastAsia="en-US" w:bidi="en-US"/>
        </w:rPr>
        <w:t>a</w:t>
      </w:r>
      <w:r>
        <w:rPr>
          <w:lang w:val="en-US" w:eastAsia="en-US" w:bidi="en-US"/>
          <w:w w:val="100"/>
          <w:spacing w:val="0"/>
          <w:color w:val="000000"/>
          <w:position w:val="0"/>
        </w:rPr>
        <w:t xml:space="preserve"> QRS </w:t>
      </w:r>
      <w:r>
        <w:rPr>
          <w:lang w:val="ru-RU" w:eastAsia="ru-RU" w:bidi="ru-RU"/>
          <w:w w:val="100"/>
          <w:spacing w:val="0"/>
          <w:color w:val="000000"/>
          <w:position w:val="0"/>
        </w:rPr>
        <w:t>сви</w:t>
        <w:softHyphen/>
        <w:t>детельствует о нормальном, вертикальном, реже горизон</w:t>
        <w:softHyphen/>
        <w:t>тальном положении электрической оси сердца. Зубец Р ста</w:t>
        <w:softHyphen/>
        <w:t>новится шире (0,05-0,075 с), а амплитудные его значения ниже, чем у грудных детей.</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Амплитуда зубца </w:t>
      </w:r>
      <w:r>
        <w:rPr>
          <w:lang w:val="en-US" w:eastAsia="en-US" w:bidi="en-US"/>
          <w:w w:val="100"/>
          <w:spacing w:val="0"/>
          <w:color w:val="000000"/>
          <w:position w:val="0"/>
        </w:rPr>
        <w:t xml:space="preserve">R </w:t>
      </w:r>
      <w:r>
        <w:rPr>
          <w:lang w:val="ru-RU" w:eastAsia="ru-RU" w:bidi="ru-RU"/>
          <w:w w:val="100"/>
          <w:spacing w:val="0"/>
          <w:color w:val="000000"/>
          <w:position w:val="0"/>
        </w:rPr>
        <w:t xml:space="preserve">в разных отведениях определяется направлением электрической оси сердца. По сравнению с детьми грудного возраста у дошкольников в большинстве случаев </w:t>
      </w:r>
      <w:r>
        <w:rPr>
          <w:lang w:val="en-US" w:eastAsia="en-US" w:bidi="en-US"/>
          <w:w w:val="100"/>
          <w:spacing w:val="0"/>
          <w:color w:val="000000"/>
          <w:position w:val="0"/>
        </w:rPr>
        <w:t>RV6&gt;RV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Сегмент </w:t>
      </w:r>
      <w:r>
        <w:rPr>
          <w:lang w:val="en-US" w:eastAsia="en-US" w:bidi="en-US"/>
          <w:w w:val="100"/>
          <w:spacing w:val="0"/>
          <w:color w:val="000000"/>
          <w:position w:val="0"/>
        </w:rPr>
        <w:t xml:space="preserve">ST </w:t>
      </w:r>
      <w:r>
        <w:rPr>
          <w:lang w:val="ru-RU" w:eastAsia="ru-RU" w:bidi="ru-RU"/>
          <w:w w:val="100"/>
          <w:spacing w:val="0"/>
          <w:color w:val="000000"/>
          <w:position w:val="0"/>
        </w:rPr>
        <w:t>в III стандартном отведении приблизительно в 20% случаев может быть отрицательным, реже — двухфазным или изоэлектричным. Зубцы Т сущес</w:t>
        <w:softHyphen/>
        <w:t xml:space="preserve">твенно выше, чем у новорожденных, сегмент </w:t>
      </w:r>
      <w:r>
        <w:rPr>
          <w:lang w:val="en-US" w:eastAsia="en-US" w:bidi="en-US"/>
          <w:w w:val="100"/>
          <w:spacing w:val="0"/>
          <w:color w:val="000000"/>
          <w:position w:val="0"/>
        </w:rPr>
        <w:t xml:space="preserve">ST </w:t>
      </w:r>
      <w:r>
        <w:rPr>
          <w:lang w:val="ru-RU" w:eastAsia="ru-RU" w:bidi="ru-RU"/>
          <w:w w:val="100"/>
          <w:spacing w:val="0"/>
          <w:color w:val="000000"/>
          <w:position w:val="0"/>
        </w:rPr>
        <w:t>находится на изоэлектрической линии.</w:t>
      </w:r>
    </w:p>
    <w:p>
      <w:pPr>
        <w:pStyle w:val="Style30"/>
        <w:widowControl w:val="0"/>
        <w:keepNext w:val="0"/>
        <w:keepLines w:val="0"/>
        <w:shd w:val="clear" w:color="auto" w:fill="auto"/>
        <w:bidi w:val="0"/>
        <w:spacing w:before="0" w:after="0" w:line="221" w:lineRule="exact"/>
        <w:ind w:left="0" w:right="0" w:firstLine="280"/>
      </w:pPr>
      <w:r>
        <w:pict>
          <v:shape id="_x0000_s1060" type="#_x0000_t202" style="position:absolute;margin-left:0.5pt;margin-top:418.1pt;width:235.9pt;height:198.25pt;z-index:-125829366;mso-wrap-distance-left:5.pt;mso-wrap-distance-right:5.pt;mso-wrap-distance-bottom:66.5pt;mso-position-horizontal-relative:margin;mso-position-vertical-relative:margin" wrapcoords="278 0 21425 0 21425 16749 21600 18169 21600 21600 0 21600 0 18169 278 16749 278 0" filled="f" stroked="f">
            <v:textbox style="mso-fit-shape-to-text:t" inset="0,0,0,0">
              <w:txbxContent>
                <w:p>
                  <w:pPr>
                    <w:framePr w:h="3965" w:hSpace="10" w:vSpace="1330" w:wrap="notBeside" w:hAnchor="margin" w:x="11" w:y="8363"/>
                    <w:widowControl w:val="0"/>
                    <w:jc w:val="center"/>
                    <w:rPr>
                      <w:sz w:val="2"/>
                      <w:szCs w:val="2"/>
                    </w:rPr>
                  </w:pPr>
                  <w:r>
                    <w:pict>
                      <v:shape id="_x0000_s1061" type="#_x0000_t75" style="width:236pt;height:198pt;">
                        <v:imagedata r:id="rId60" r:href="rId61"/>
                      </v:shape>
                    </w:pict>
                  </w:r>
                </w:p>
                <w:p>
                  <w:pPr>
                    <w:pStyle w:val="Style33"/>
                    <w:widowControl w:val="0"/>
                    <w:keepNext w:val="0"/>
                    <w:keepLines w:val="0"/>
                    <w:shd w:val="clear" w:color="auto" w:fill="auto"/>
                    <w:bidi w:val="0"/>
                    <w:jc w:val="both"/>
                    <w:spacing w:before="0" w:after="0" w:line="197" w:lineRule="exact"/>
                    <w:ind w:left="0" w:right="0" w:firstLine="0"/>
                  </w:pPr>
                  <w:r>
                    <w:rPr>
                      <w:rStyle w:val="CharStyle37"/>
                    </w:rPr>
                    <w:t xml:space="preserve">Рис. 4. </w:t>
                  </w:r>
                  <w:r>
                    <w:rPr>
                      <w:rStyle w:val="CharStyle34"/>
                    </w:rPr>
                    <w:t xml:space="preserve">Электрокардиограмма доношенного новорожденного 20 дней: синусовый ритм, вертикальное положение электрической оси сердца </w:t>
                  </w:r>
                  <w:r>
                    <w:rPr>
                      <w:rStyle w:val="CharStyle34"/>
                      <w:lang w:val="en-US" w:eastAsia="en-US" w:bidi="en-US"/>
                    </w:rPr>
                    <w:t xml:space="preserve">(a QRS </w:t>
                  </w:r>
                  <w:r>
                    <w:rPr>
                      <w:rStyle w:val="CharStyle34"/>
                    </w:rPr>
                    <w:t xml:space="preserve">+ 80°), </w:t>
                  </w:r>
                  <w:r>
                    <w:rPr>
                      <w:rStyle w:val="CharStyle34"/>
                      <w:lang w:val="en-US" w:eastAsia="en-US" w:bidi="en-US"/>
                    </w:rPr>
                    <w:t xml:space="preserve">P-R </w:t>
                  </w:r>
                  <w:r>
                    <w:rPr>
                      <w:rStyle w:val="CharStyle34"/>
                    </w:rPr>
                    <w:t xml:space="preserve">— 0,12 с, </w:t>
                  </w:r>
                  <w:r>
                    <w:rPr>
                      <w:rStyle w:val="CharStyle34"/>
                      <w:lang w:val="en-US" w:eastAsia="en-US" w:bidi="en-US"/>
                    </w:rPr>
                    <w:t xml:space="preserve">QRS </w:t>
                  </w:r>
                  <w:r>
                    <w:rPr>
                      <w:rStyle w:val="CharStyle34"/>
                    </w:rPr>
                    <w:t xml:space="preserve">— 0,08 </w:t>
                  </w:r>
                  <w:r>
                    <w:rPr>
                      <w:rStyle w:val="CharStyle34"/>
                      <w:lang w:val="en-US" w:eastAsia="en-US" w:bidi="en-US"/>
                    </w:rPr>
                    <w:t xml:space="preserve">c, Q-T </w:t>
                  </w:r>
                  <w:r>
                    <w:rPr>
                      <w:rStyle w:val="CharStyle34"/>
                    </w:rPr>
                    <w:t>— 0,26 с, полифазный комплекс У</w:t>
                  </w:r>
                  <w:r>
                    <w:rPr>
                      <w:rStyle w:val="CharStyle34"/>
                      <w:vertAlign w:val="subscript"/>
                    </w:rPr>
                    <w:t>1</w:t>
                  </w:r>
                  <w:r>
                    <w:rPr>
                      <w:rStyle w:val="CharStyle34"/>
                    </w:rPr>
                    <w:t>.</w:t>
                  </w:r>
                </w:p>
              </w:txbxContent>
            </v:textbox>
            <w10:wrap type="topAndBottom" anchorx="margin" anchory="margin"/>
          </v:shape>
        </w:pict>
      </w:r>
      <w:r>
        <w:pict>
          <v:shape id="_x0000_s1062" type="#_x0000_t202" style="position:absolute;margin-left:252.95pt;margin-top:407.1pt;width:227.05pt;height:222.5pt;z-index:-125829365;mso-wrap-distance-left:5.pt;mso-wrap-distance-right:5.pt;mso-wrap-distance-bottom:77.3pt;mso-position-horizontal-relative:margin;mso-position-vertical-relative:margin" wrapcoords="837 0 21153 0 21153 18784 21600 19088 21600 21600 0 21600 0 19088 837 18784 837 0" filled="f" stroked="f">
            <v:textbox style="mso-fit-shape-to-text:t" inset="0,0,0,0">
              <w:txbxContent>
                <w:p>
                  <w:pPr>
                    <w:framePr w:h="4450" w:hSpace="5" w:vSpace="1546" w:wrap="notBeside" w:hAnchor="margin" w:x="5060" w:y="8143"/>
                    <w:widowControl w:val="0"/>
                    <w:jc w:val="center"/>
                    <w:rPr>
                      <w:sz w:val="2"/>
                      <w:szCs w:val="2"/>
                    </w:rPr>
                  </w:pPr>
                  <w:r>
                    <w:pict>
                      <v:shape id="_x0000_s1063" type="#_x0000_t75" style="width:227pt;height:223pt;">
                        <v:imagedata r:id="rId62" r:href="rId63"/>
                      </v:shape>
                    </w:pict>
                  </w:r>
                </w:p>
                <w:p>
                  <w:pPr>
                    <w:pStyle w:val="Style33"/>
                    <w:widowControl w:val="0"/>
                    <w:keepNext w:val="0"/>
                    <w:keepLines w:val="0"/>
                    <w:shd w:val="clear" w:color="auto" w:fill="auto"/>
                    <w:bidi w:val="0"/>
                    <w:jc w:val="both"/>
                    <w:spacing w:before="0" w:after="0" w:line="192" w:lineRule="exact"/>
                    <w:ind w:left="0" w:right="0" w:firstLine="0"/>
                  </w:pPr>
                  <w:r>
                    <w:rPr>
                      <w:rStyle w:val="CharStyle37"/>
                    </w:rPr>
                    <w:t xml:space="preserve">Рис. 5. </w:t>
                  </w:r>
                  <w:r>
                    <w:rPr>
                      <w:rStyle w:val="CharStyle34"/>
                    </w:rPr>
                    <w:t>Электрокардиограмма ребенка грудного возраста: синусо</w:t>
                    <w:softHyphen/>
                    <w:t xml:space="preserve">вый ритм 120 в мин, вертикальная электрическая ось сердца </w:t>
                  </w:r>
                  <w:r>
                    <w:rPr>
                      <w:rStyle w:val="CharStyle34"/>
                      <w:lang w:val="en-US" w:eastAsia="en-US" w:bidi="en-US"/>
                    </w:rPr>
                    <w:t xml:space="preserve">(a QRS </w:t>
                  </w:r>
                  <w:r>
                    <w:rPr>
                      <w:rStyle w:val="CharStyle34"/>
                    </w:rPr>
                    <w:t xml:space="preserve">+ 79°), </w:t>
                  </w:r>
                  <w:r>
                    <w:rPr>
                      <w:rStyle w:val="CharStyle34"/>
                      <w:lang w:val="en-US" w:eastAsia="en-US" w:bidi="en-US"/>
                    </w:rPr>
                    <w:t xml:space="preserve">P-R </w:t>
                  </w:r>
                  <w:r>
                    <w:rPr>
                      <w:rStyle w:val="CharStyle34"/>
                    </w:rPr>
                    <w:t xml:space="preserve">— 0,13 с, </w:t>
                  </w:r>
                  <w:r>
                    <w:rPr>
                      <w:rStyle w:val="CharStyle34"/>
                      <w:lang w:val="en-US" w:eastAsia="en-US" w:bidi="en-US"/>
                    </w:rPr>
                    <w:t xml:space="preserve">QRS </w:t>
                  </w:r>
                  <w:r>
                    <w:rPr>
                      <w:rStyle w:val="CharStyle34"/>
                    </w:rPr>
                    <w:t xml:space="preserve">— 0,08 с, </w:t>
                  </w:r>
                  <w:r>
                    <w:rPr>
                      <w:rStyle w:val="CharStyle34"/>
                      <w:lang w:val="en-US" w:eastAsia="en-US" w:bidi="en-US"/>
                    </w:rPr>
                    <w:t xml:space="preserve">Q-T </w:t>
                  </w:r>
                  <w:r>
                    <w:rPr>
                      <w:rStyle w:val="CharStyle34"/>
                    </w:rPr>
                    <w:t>— 0,26 с.</w:t>
                  </w:r>
                </w:p>
              </w:txbxContent>
            </v:textbox>
            <w10:wrap type="topAndBottom" anchorx="margin" anchory="margin"/>
          </v:shape>
        </w:pict>
      </w:r>
      <w:r>
        <w:pict>
          <v:shape id="_x0000_s1064" type="#_x0000_t75" style="position:absolute;margin-left:136.8pt;margin-top:740.2pt;width:209.75pt;height:14.9pt;z-index:-125829364;mso-wrap-distance-left:136.8pt;mso-wrap-distance-right:148.3pt;mso-wrap-distance-bottom:18.5pt;mso-position-horizontal-relative:margin;mso-position-vertical-relative:margin" wrapcoords="0 0 21600 0 21600 21600 0 21600 0 0">
            <v:imagedata r:id="rId64" r:href="rId65"/>
            <w10:wrap type="topAndBottom" anchorx="margin" anchory="margin"/>
          </v:shape>
        </w:pict>
      </w:r>
      <w:r>
        <w:rPr>
          <w:rStyle w:val="CharStyle44"/>
        </w:rPr>
        <w:t xml:space="preserve">Электрокардиограмма детей 7-15 лет </w:t>
      </w:r>
      <w:r>
        <w:rPr>
          <w:lang w:val="ru-RU" w:eastAsia="ru-RU" w:bidi="ru-RU"/>
          <w:w w:val="100"/>
          <w:spacing w:val="0"/>
          <w:color w:val="000000"/>
          <w:position w:val="0"/>
        </w:rPr>
        <w:t>(рис. 7). ЧСС у школьников составляет от 65 до 90 в мин, часто представ</w:t>
        <w:softHyphen/>
        <w:t xml:space="preserve">лена дыхательная аритмия. Угол </w:t>
      </w:r>
      <w:r>
        <w:rPr>
          <w:rStyle w:val="CharStyle56"/>
          <w:lang w:val="en-US" w:eastAsia="en-US" w:bidi="en-US"/>
        </w:rPr>
        <w:t>a</w:t>
      </w:r>
      <w:r>
        <w:rPr>
          <w:lang w:val="en-US" w:eastAsia="en-US" w:bidi="en-US"/>
          <w:w w:val="100"/>
          <w:spacing w:val="0"/>
          <w:color w:val="000000"/>
          <w:position w:val="0"/>
        </w:rPr>
        <w:t xml:space="preserve"> QRS </w:t>
      </w:r>
      <w:r>
        <w:rPr>
          <w:lang w:val="ru-RU" w:eastAsia="ru-RU" w:bidi="ru-RU"/>
          <w:w w:val="100"/>
          <w:spacing w:val="0"/>
          <w:color w:val="000000"/>
          <w:position w:val="0"/>
        </w:rPr>
        <w:t>соответствует нор</w:t>
        <w:softHyphen/>
        <w:t>мальному горизонтальному либо вертикальному направле</w:t>
        <w:softHyphen/>
        <w:t>нию электрической оси сердца. Зубец Р по сравнению с де</w:t>
        <w:softHyphen/>
        <w:t>тьми младших возрастных групп имеет меньшие абсолют</w:t>
        <w:softHyphen/>
        <w:t xml:space="preserve">ные значения, но сохраняется аналогичное отношение к высоте зубца </w:t>
      </w:r>
      <w:r>
        <w:rPr>
          <w:lang w:val="en-US" w:eastAsia="en-US" w:bidi="en-US"/>
          <w:w w:val="100"/>
          <w:spacing w:val="0"/>
          <w:color w:val="000000"/>
          <w:position w:val="0"/>
        </w:rPr>
        <w:t xml:space="preserve">R. </w:t>
      </w:r>
      <w:r>
        <w:rPr>
          <w:lang w:val="ru-RU" w:eastAsia="ru-RU" w:bidi="ru-RU"/>
          <w:w w:val="100"/>
          <w:spacing w:val="0"/>
          <w:color w:val="000000"/>
          <w:position w:val="0"/>
        </w:rPr>
        <w:t>Продолжительность зубца Р может со</w:t>
        <w:softHyphen/>
        <w:t xml:space="preserve">ставлять от 0,07 до 0,095 с. В этом возрасте существенно уменьшается амплитуда зубцов </w:t>
      </w:r>
      <w:r>
        <w:rPr>
          <w:lang w:val="en-US" w:eastAsia="en-US" w:bidi="en-US"/>
          <w:w w:val="100"/>
          <w:spacing w:val="0"/>
          <w:color w:val="000000"/>
          <w:position w:val="0"/>
        </w:rPr>
        <w:t>RV</w:t>
      </w:r>
      <w:r>
        <w:rPr>
          <w:lang w:val="en-US" w:eastAsia="en-US" w:bidi="en-US"/>
          <w:vertAlign w:val="subscript"/>
          <w:w w:val="100"/>
          <w:spacing w:val="0"/>
          <w:color w:val="000000"/>
          <w:position w:val="0"/>
        </w:rPr>
        <w:t>1-2</w:t>
      </w:r>
      <w:r>
        <w:rPr>
          <w:lang w:val="en-US" w:eastAsia="en-US" w:bidi="en-US"/>
          <w:w w:val="100"/>
          <w:spacing w:val="0"/>
          <w:color w:val="000000"/>
          <w:position w:val="0"/>
        </w:rPr>
        <w:t xml:space="preserve">, </w:t>
      </w:r>
      <w:r>
        <w:rPr>
          <w:lang w:val="ru-RU" w:eastAsia="ru-RU" w:bidi="ru-RU"/>
          <w:w w:val="100"/>
          <w:spacing w:val="0"/>
          <w:color w:val="000000"/>
          <w:position w:val="0"/>
        </w:rPr>
        <w:t>вместе с тем ампли</w:t>
        <w:softHyphen/>
        <w:t xml:space="preserve">туда зубца </w:t>
      </w:r>
      <w:r>
        <w:rPr>
          <w:lang w:val="en-US" w:eastAsia="en-US" w:bidi="en-US"/>
          <w:w w:val="100"/>
          <w:spacing w:val="0"/>
          <w:color w:val="000000"/>
          <w:position w:val="0"/>
        </w:rPr>
        <w:t>RV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6 </w:t>
      </w:r>
      <w:r>
        <w:rPr>
          <w:lang w:val="ru-RU" w:eastAsia="ru-RU" w:bidi="ru-RU"/>
          <w:w w:val="100"/>
          <w:spacing w:val="0"/>
          <w:color w:val="000000"/>
          <w:position w:val="0"/>
        </w:rPr>
        <w:t xml:space="preserve">практически не меняется по сравнению с детьми дошкольного возраста. Зубец Т в </w:t>
      </w:r>
      <w:r>
        <w:rPr>
          <w:lang w:val="en-US" w:eastAsia="en-US" w:bidi="en-US"/>
          <w:w w:val="100"/>
          <w:spacing w:val="0"/>
          <w:color w:val="000000"/>
          <w:position w:val="0"/>
        </w:rPr>
        <w:t>V</w:t>
      </w:r>
      <w:r>
        <w:rPr>
          <w:lang w:val="en-US" w:eastAsia="en-US" w:bidi="en-US"/>
          <w:vertAlign w:val="subscript"/>
          <w:w w:val="100"/>
          <w:spacing w:val="0"/>
          <w:color w:val="000000"/>
          <w:position w:val="0"/>
        </w:rPr>
        <w:t>1-2</w:t>
      </w:r>
      <w:r>
        <w:rPr>
          <w:lang w:val="en-US" w:eastAsia="en-US" w:bidi="en-US"/>
          <w:w w:val="100"/>
          <w:spacing w:val="0"/>
          <w:color w:val="000000"/>
          <w:position w:val="0"/>
        </w:rPr>
        <w:t xml:space="preserve"> </w:t>
      </w:r>
      <w:r>
        <w:rPr>
          <w:lang w:val="ru-RU" w:eastAsia="ru-RU" w:bidi="ru-RU"/>
          <w:w w:val="100"/>
          <w:spacing w:val="0"/>
          <w:color w:val="000000"/>
          <w:position w:val="0"/>
        </w:rPr>
        <w:t>чаще отрица</w:t>
        <w:softHyphen/>
        <w:t>тельный (55%), может быть двухфазным (26%) и в 19% — положительным.</w:t>
      </w:r>
      <w:r>
        <w:br w:type="page"/>
      </w:r>
    </w:p>
    <w:p>
      <w:pPr>
        <w:pStyle w:val="Style54"/>
        <w:widowControl w:val="0"/>
        <w:keepNext/>
        <w:keepLines/>
        <w:shd w:val="clear" w:color="auto" w:fill="auto"/>
        <w:bidi w:val="0"/>
        <w:jc w:val="left"/>
        <w:spacing w:before="0" w:after="0" w:line="264" w:lineRule="exact"/>
        <w:ind w:left="0" w:right="0" w:firstLine="0"/>
      </w:pPr>
      <w:r>
        <w:pict>
          <v:shape id="_x0000_s1065" type="#_x0000_t202" style="position:absolute;margin-left:0.1pt;margin-top:4.1pt;width:247.45pt;height:174.7pt;z-index:-125829363;mso-wrap-distance-left:5.pt;mso-wrap-distance-right:5.pt;mso-position-horizontal-relative:margin;mso-position-vertical-relative:margin" wrapcoords="39 0 21600 0 21600 17017 21138 17884 21138 21600 0 21600 0 17884 39 17017 39 0" filled="f" stroked="f">
            <v:textbox style="mso-fit-shape-to-text:t" inset="0,0,0,0">
              <w:txbxContent>
                <w:p>
                  <w:pPr>
                    <w:framePr w:h="3494" w:wrap="notBeside" w:hAnchor="margin" w:x="3" w:y="83"/>
                    <w:widowControl w:val="0"/>
                    <w:jc w:val="center"/>
                    <w:rPr>
                      <w:sz w:val="2"/>
                      <w:szCs w:val="2"/>
                    </w:rPr>
                  </w:pPr>
                  <w:r>
                    <w:pict>
                      <v:shape id="_x0000_s1066" type="#_x0000_t75" style="width:248pt;height:175pt;">
                        <v:imagedata r:id="rId66" r:href="rId67"/>
                      </v:shape>
                    </w:pict>
                  </w:r>
                </w:p>
                <w:p>
                  <w:pPr>
                    <w:pStyle w:val="Style33"/>
                    <w:widowControl w:val="0"/>
                    <w:keepNext w:val="0"/>
                    <w:keepLines w:val="0"/>
                    <w:shd w:val="clear" w:color="auto" w:fill="auto"/>
                    <w:bidi w:val="0"/>
                    <w:jc w:val="both"/>
                    <w:spacing w:before="0" w:after="0" w:line="192" w:lineRule="exact"/>
                    <w:ind w:left="0" w:right="0" w:firstLine="0"/>
                  </w:pPr>
                  <w:r>
                    <w:rPr>
                      <w:rStyle w:val="CharStyle37"/>
                    </w:rPr>
                    <w:t xml:space="preserve">Рис. 6. </w:t>
                  </w:r>
                  <w:r>
                    <w:rPr>
                      <w:rStyle w:val="CharStyle34"/>
                    </w:rPr>
                    <w:t xml:space="preserve">ЭКГ здорового ребенка 4-х лет: синусовый ритм 83 в мин, вертикальное расположение электрической оси сердца </w:t>
                  </w:r>
                  <w:r>
                    <w:rPr>
                      <w:rStyle w:val="CharStyle34"/>
                      <w:lang w:val="en-US" w:eastAsia="en-US" w:bidi="en-US"/>
                    </w:rPr>
                    <w:t xml:space="preserve">(a QRS </w:t>
                  </w:r>
                  <w:r>
                    <w:rPr>
                      <w:rStyle w:val="CharStyle34"/>
                    </w:rPr>
                    <w:t xml:space="preserve">+ 74°), </w:t>
                  </w:r>
                  <w:r>
                    <w:rPr>
                      <w:rStyle w:val="CharStyle34"/>
                      <w:lang w:val="en-US" w:eastAsia="en-US" w:bidi="en-US"/>
                    </w:rPr>
                    <w:t xml:space="preserve">P-R </w:t>
                  </w:r>
                  <w:r>
                    <w:rPr>
                      <w:rStyle w:val="CharStyle34"/>
                    </w:rPr>
                    <w:t xml:space="preserve">— 0,12 </w:t>
                  </w:r>
                  <w:r>
                    <w:rPr>
                      <w:rStyle w:val="CharStyle34"/>
                      <w:lang w:val="en-US" w:eastAsia="en-US" w:bidi="en-US"/>
                    </w:rPr>
                    <w:t xml:space="preserve">c, QRS </w:t>
                  </w:r>
                  <w:r>
                    <w:rPr>
                      <w:rStyle w:val="CharStyle34"/>
                    </w:rPr>
                    <w:t xml:space="preserve">— 0,08 </w:t>
                  </w:r>
                  <w:r>
                    <w:rPr>
                      <w:rStyle w:val="CharStyle34"/>
                      <w:lang w:val="en-US" w:eastAsia="en-US" w:bidi="en-US"/>
                    </w:rPr>
                    <w:t xml:space="preserve">c, Q-T — 0,32 c, </w:t>
                  </w:r>
                  <w:r>
                    <w:rPr>
                      <w:rStyle w:val="CharStyle34"/>
                    </w:rPr>
                    <w:t>неполная блока</w:t>
                    <w:softHyphen/>
                    <w:t xml:space="preserve">да правой ножки пучка Гиса (зазубренность зубца </w:t>
                  </w:r>
                  <w:r>
                    <w:rPr>
                      <w:rStyle w:val="CharStyle34"/>
                      <w:lang w:val="en-US" w:eastAsia="en-US" w:bidi="en-US"/>
                    </w:rPr>
                    <w:t>S V</w:t>
                  </w:r>
                  <w:r>
                    <w:rPr>
                      <w:rStyle w:val="CharStyle34"/>
                      <w:lang w:val="en-US" w:eastAsia="en-US" w:bidi="en-US"/>
                      <w:vertAlign w:val="subscript"/>
                    </w:rPr>
                    <w:t>1</w:t>
                  </w:r>
                  <w:r>
                    <w:rPr>
                      <w:rStyle w:val="CharStyle34"/>
                      <w:lang w:val="en-US" w:eastAsia="en-US" w:bidi="en-US"/>
                    </w:rPr>
                    <w:t>).</w:t>
                  </w:r>
                </w:p>
              </w:txbxContent>
            </v:textbox>
            <w10:wrap type="topAndBottom" anchorx="margin" anchory="margin"/>
          </v:shape>
        </w:pict>
      </w:r>
      <w:r>
        <w:pict>
          <v:shape id="_x0000_s1067" type="#_x0000_t202" style="position:absolute;margin-left:252.85pt;margin-top:4.1pt;width:231.85pt;height:175.9pt;z-index:-125829362;mso-wrap-distance-left:5.pt;mso-wrap-distance-right:5.pt;mso-position-horizontal-relative:margin;mso-position-vertical-relative:margin" wrapcoords="752 0 21493 0 21493 17808 21600 18588 21600 21600 0 21600 0 18588 752 17808 752 0" filled="f" stroked="f">
            <v:textbox style="mso-fit-shape-to-text:t" inset="0,0,0,0">
              <w:txbxContent>
                <w:p>
                  <w:pPr>
                    <w:framePr w:h="3518" w:hSpace="5" w:wrap="notBeside" w:hAnchor="margin" w:x="5058" w:y="83"/>
                    <w:widowControl w:val="0"/>
                    <w:jc w:val="center"/>
                    <w:rPr>
                      <w:sz w:val="2"/>
                      <w:szCs w:val="2"/>
                    </w:rPr>
                  </w:pPr>
                  <w:r>
                    <w:pict>
                      <v:shape id="_x0000_s1068" type="#_x0000_t75" style="width:232pt;height:176pt;">
                        <v:imagedata r:id="rId68" r:href="rId69"/>
                      </v:shape>
                    </w:pict>
                  </w:r>
                </w:p>
                <w:p>
                  <w:pPr>
                    <w:pStyle w:val="Style33"/>
                    <w:widowControl w:val="0"/>
                    <w:keepNext w:val="0"/>
                    <w:keepLines w:val="0"/>
                    <w:shd w:val="clear" w:color="auto" w:fill="auto"/>
                    <w:bidi w:val="0"/>
                    <w:jc w:val="both"/>
                    <w:spacing w:before="0" w:after="0" w:line="192" w:lineRule="exact"/>
                    <w:ind w:left="0" w:right="0" w:firstLine="0"/>
                  </w:pPr>
                  <w:r>
                    <w:rPr>
                      <w:rStyle w:val="CharStyle37"/>
                    </w:rPr>
                    <w:t xml:space="preserve">Рис. 7. </w:t>
                  </w:r>
                  <w:r>
                    <w:rPr>
                      <w:rStyle w:val="CharStyle34"/>
                    </w:rPr>
                    <w:t>Электрокардиограмма здорового ребенка 12 лет: синусовый ритм 79 в мин, нормальное расположение электрической оси серд</w:t>
                    <w:softHyphen/>
                    <w:t xml:space="preserve">ца </w:t>
                  </w:r>
                  <w:r>
                    <w:rPr>
                      <w:rStyle w:val="CharStyle34"/>
                      <w:lang w:val="en-US" w:eastAsia="en-US" w:bidi="en-US"/>
                    </w:rPr>
                    <w:t xml:space="preserve">(a QRS </w:t>
                  </w:r>
                  <w:r>
                    <w:rPr>
                      <w:rStyle w:val="CharStyle34"/>
                    </w:rPr>
                    <w:t xml:space="preserve">+ 60°), </w:t>
                  </w:r>
                  <w:r>
                    <w:rPr>
                      <w:rStyle w:val="CharStyle34"/>
                      <w:lang w:val="en-US" w:eastAsia="en-US" w:bidi="en-US"/>
                    </w:rPr>
                    <w:t xml:space="preserve">P-R </w:t>
                  </w:r>
                  <w:r>
                    <w:rPr>
                      <w:rStyle w:val="CharStyle34"/>
                    </w:rPr>
                    <w:t xml:space="preserve">— 0,12 </w:t>
                  </w:r>
                  <w:r>
                    <w:rPr>
                      <w:rStyle w:val="CharStyle34"/>
                      <w:lang w:val="en-US" w:eastAsia="en-US" w:bidi="en-US"/>
                    </w:rPr>
                    <w:t xml:space="preserve">c, QRS </w:t>
                  </w:r>
                  <w:r>
                    <w:rPr>
                      <w:rStyle w:val="CharStyle34"/>
                    </w:rPr>
                    <w:t xml:space="preserve">— 0,09 </w:t>
                  </w:r>
                  <w:r>
                    <w:rPr>
                      <w:rStyle w:val="CharStyle34"/>
                      <w:lang w:val="en-US" w:eastAsia="en-US" w:bidi="en-US"/>
                    </w:rPr>
                    <w:t>c, Q-T — 0,33 c.</w:t>
                  </w:r>
                </w:p>
              </w:txbxContent>
            </v:textbox>
            <w10:wrap type="topAndBottom" anchorx="margin" anchory="margin"/>
          </v:shape>
        </w:pict>
      </w:r>
      <w:bookmarkStart w:id="60" w:name="bookmark60"/>
      <w:r>
        <w:rPr>
          <w:lang w:val="ru-RU" w:eastAsia="ru-RU" w:bidi="ru-RU"/>
          <w:w w:val="100"/>
          <w:spacing w:val="0"/>
          <w:color w:val="000000"/>
          <w:position w:val="0"/>
        </w:rPr>
        <w:t>Электрокардиография в диагностике перегрузки (дилатации, гипертрофии) камер сердца</w:t>
      </w:r>
      <w:bookmarkEnd w:id="6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Электрокардиограмма отражает величину биоэлектри</w:t>
        <w:softHyphen/>
        <w:t>ческих процессов, происходящих в миокарде отдельных ка</w:t>
        <w:softHyphen/>
        <w:t>мер сердца. Изменение электрических потенциалов при возникновении перегрузки (дилатации, гипертрофии) от</w:t>
        <w:softHyphen/>
        <w:t>дельных камер сердца связано со многими факторами, ос</w:t>
        <w:softHyphen/>
        <w:t>новными из которых являются:</w:t>
      </w:r>
    </w:p>
    <w:p>
      <w:pPr>
        <w:pStyle w:val="Style30"/>
        <w:numPr>
          <w:ilvl w:val="0"/>
          <w:numId w:val="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усиление биоэлектрических процессов в миокарде, обусловленное как абсолютным увеличением количес</w:t>
        <w:softHyphen/>
        <w:t>тва одновременно возбуждаемых волокон миокарда (истинная гипертрофия), так и относительным (в дила- тированной, перегруженной камере в работу включа</w:t>
        <w:softHyphen/>
        <w:t>ются все функционирующие сократительные клетки);</w:t>
      </w:r>
    </w:p>
    <w:p>
      <w:pPr>
        <w:pStyle w:val="Style30"/>
        <w:numPr>
          <w:ilvl w:val="0"/>
          <w:numId w:val="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отклонение вектора электродвижущих сил сердца, обусловленное изменением положения гипертрофи</w:t>
        <w:softHyphen/>
        <w:t>рованной, дилатированной камеры относительно других структур сердца и грудной клетки;</w:t>
      </w:r>
    </w:p>
    <w:p>
      <w:pPr>
        <w:pStyle w:val="Style30"/>
        <w:numPr>
          <w:ilvl w:val="0"/>
          <w:numId w:val="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замедление процесса возбуждения, связанное с уве</w:t>
        <w:softHyphen/>
        <w:t>личением массы миокарда при гипертрофии либо на</w:t>
        <w:softHyphen/>
        <w:t>рушением проведения импульса в пораженных мы</w:t>
        <w:softHyphen/>
        <w:t>шечных клетках;</w:t>
      </w:r>
    </w:p>
    <w:p>
      <w:pPr>
        <w:pStyle w:val="Style30"/>
        <w:numPr>
          <w:ilvl w:val="0"/>
          <w:numId w:val="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нарушение процесса реполяризации в результате электрохимических изменений в пораженной сердеч</w:t>
        <w:softHyphen/>
        <w:t>ной мышце или дефицита коронарного кровотока при гипертрофии.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На практике отличить по электрокардиограмме наличие дилатации и/или гипертрофии отдельных камер сердца не представляется возможным, поэтому обычно наблюдаемые изменения описывают как «электрокардиографический синдром гипертрофии миокарда», понимая, что анатоми</w:t>
        <w:softHyphen/>
        <w:t>ческой гипертрофии может и не быть.</w:t>
      </w:r>
    </w:p>
    <w:p>
      <w:pPr>
        <w:pStyle w:val="Style50"/>
        <w:widowControl w:val="0"/>
        <w:keepNext/>
        <w:keepLines/>
        <w:shd w:val="clear" w:color="auto" w:fill="auto"/>
        <w:bidi w:val="0"/>
        <w:jc w:val="both"/>
        <w:spacing w:before="0" w:after="0"/>
        <w:ind w:left="0" w:right="0" w:firstLine="280"/>
      </w:pPr>
      <w:bookmarkStart w:id="61" w:name="bookmark61"/>
      <w:r>
        <w:rPr>
          <w:lang w:val="ru-RU" w:eastAsia="ru-RU" w:bidi="ru-RU"/>
          <w:w w:val="100"/>
          <w:color w:val="000000"/>
          <w:position w:val="0"/>
        </w:rPr>
        <w:t>Гипертрофия левого предсердия</w:t>
      </w:r>
      <w:bookmarkEnd w:id="6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Перегрузка левого предсердия наблюдается при многих врожденных (врожденная недостаточность митрального клапана, коарктация аорты, синдром гипоплазии левого желудочка, открытый артериальный проток и др.) и приоб</w:t>
        <w:softHyphen/>
        <w:t>ретенных (стеноз и недостаточность митрального клапана)</w:t>
        <w:br w:type="column"/>
        <w:t>пороках сердца, миокардитах, кардиомиопатиях, опухолях предсердия, артериальной гипертензии и др. Диагностика гипертрофии левого предсердия основана на следующих электрокардиографических критериях (рис. 8):</w:t>
      </w:r>
    </w:p>
    <w:p>
      <w:pPr>
        <w:pStyle w:val="Style30"/>
        <w:numPr>
          <w:ilvl w:val="0"/>
          <w:numId w:val="9"/>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увеличение продолжительности зубца Р более 0,11 с в любом стандартном отведении;</w:t>
      </w:r>
    </w:p>
    <w:p>
      <w:pPr>
        <w:pStyle w:val="Style30"/>
        <w:numPr>
          <w:ilvl w:val="0"/>
          <w:numId w:val="9"/>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двугорбый зубец Р в любом стандартном отведении с длительностью между вершинами более 0,04 с;</w:t>
      </w:r>
    </w:p>
    <w:p>
      <w:pPr>
        <w:pStyle w:val="Style30"/>
        <w:numPr>
          <w:ilvl w:val="0"/>
          <w:numId w:val="9"/>
        </w:numPr>
        <w:tabs>
          <w:tab w:leader="none" w:pos="512" w:val="left"/>
        </w:tabs>
        <w:widowControl w:val="0"/>
        <w:keepNext w:val="0"/>
        <w:keepLines w:val="0"/>
        <w:shd w:val="clear" w:color="auto" w:fill="auto"/>
        <w:bidi w:val="0"/>
        <w:spacing w:before="0" w:after="0" w:line="235" w:lineRule="exact"/>
        <w:ind w:left="520" w:right="0" w:hanging="240"/>
      </w:pPr>
      <w:r>
        <w:rPr>
          <w:lang w:val="ru-RU" w:eastAsia="ru-RU" w:bidi="ru-RU"/>
          <w:w w:val="100"/>
          <w:spacing w:val="0"/>
          <w:color w:val="000000"/>
          <w:position w:val="0"/>
        </w:rPr>
        <w:t xml:space="preserve">длительность отрицательной фазы зубца Р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более 0,04 с;</w:t>
      </w:r>
    </w:p>
    <w:p>
      <w:pPr>
        <w:pStyle w:val="Style30"/>
        <w:numPr>
          <w:ilvl w:val="0"/>
          <w:numId w:val="9"/>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отношение общей длительности зубца Р к продолжи</w:t>
        <w:softHyphen/>
        <w:t xml:space="preserve">тельности интервала от конца зубца </w:t>
      </w:r>
      <w:r>
        <w:rPr>
          <w:lang w:val="en-US" w:eastAsia="en-US" w:bidi="en-US"/>
          <w:w w:val="100"/>
          <w:spacing w:val="0"/>
          <w:color w:val="000000"/>
          <w:position w:val="0"/>
        </w:rPr>
        <w:t xml:space="preserve">P </w:t>
      </w:r>
      <w:r>
        <w:rPr>
          <w:lang w:val="ru-RU" w:eastAsia="ru-RU" w:bidi="ru-RU"/>
          <w:w w:val="100"/>
          <w:spacing w:val="0"/>
          <w:color w:val="000000"/>
          <w:position w:val="0"/>
        </w:rPr>
        <w:t xml:space="preserve">до </w:t>
      </w:r>
      <w:r>
        <w:rPr>
          <w:lang w:val="en-US" w:eastAsia="en-US" w:bidi="en-US"/>
          <w:w w:val="100"/>
          <w:spacing w:val="0"/>
          <w:color w:val="000000"/>
          <w:position w:val="0"/>
        </w:rPr>
        <w:t xml:space="preserve">R </w:t>
      </w:r>
      <w:r>
        <w:rPr>
          <w:lang w:val="ru-RU" w:eastAsia="ru-RU" w:bidi="ru-RU"/>
          <w:w w:val="100"/>
          <w:spacing w:val="0"/>
          <w:color w:val="000000"/>
          <w:position w:val="0"/>
        </w:rPr>
        <w:t>(индекс Макруза) более 1,6;</w:t>
      </w:r>
    </w:p>
    <w:p>
      <w:pPr>
        <w:pStyle w:val="Style30"/>
        <w:numPr>
          <w:ilvl w:val="0"/>
          <w:numId w:val="9"/>
        </w:numPr>
        <w:tabs>
          <w:tab w:leader="none" w:pos="51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амплитуда отрицательной фазы зубца </w:t>
      </w:r>
      <w:r>
        <w:rPr>
          <w:lang w:val="en-US" w:eastAsia="en-US" w:bidi="en-US"/>
          <w:w w:val="100"/>
          <w:spacing w:val="0"/>
          <w:color w:val="000000"/>
          <w:position w:val="0"/>
        </w:rPr>
        <w:t>РV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более 1 мм;</w:t>
      </w:r>
    </w:p>
    <w:p>
      <w:pPr>
        <w:pStyle w:val="Style30"/>
        <w:numPr>
          <w:ilvl w:val="0"/>
          <w:numId w:val="9"/>
        </w:numPr>
        <w:tabs>
          <w:tab w:leader="none" w:pos="512"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площадь терминального отрицательного отклонения зубца Р более 0,04 мм/с.</w:t>
      </w:r>
    </w:p>
    <w:p>
      <w:pPr>
        <w:pStyle w:val="Style50"/>
        <w:widowControl w:val="0"/>
        <w:keepNext/>
        <w:keepLines/>
        <w:shd w:val="clear" w:color="auto" w:fill="auto"/>
        <w:bidi w:val="0"/>
        <w:jc w:val="both"/>
        <w:spacing w:before="0" w:after="0"/>
        <w:ind w:left="0" w:right="0" w:firstLine="280"/>
      </w:pPr>
      <w:bookmarkStart w:id="62" w:name="bookmark62"/>
      <w:r>
        <w:rPr>
          <w:lang w:val="ru-RU" w:eastAsia="ru-RU" w:bidi="ru-RU"/>
          <w:w w:val="100"/>
          <w:color w:val="000000"/>
          <w:position w:val="0"/>
        </w:rPr>
        <w:t>Гипертрофия правого предсердия</w:t>
      </w:r>
      <w:bookmarkEnd w:id="6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Дилатация и перегрузка правого предсердия наблюдается при врожденных пороках сердца (дефект межпредсердной перегородки, болезнь Эбштейна, стеноз легочной артерии и др.), заболеваниях бронхолегочной системы, легочной ги</w:t>
        <w:softHyphen/>
        <w:t>пертензии, трикуспидальной недостаточности, констрик- тивном перикардите и др. Диагностика гипертрофии право</w:t>
        <w:softHyphen/>
        <w:t>го предсердия основана на следующих критериях (рис. 9):</w:t>
      </w:r>
    </w:p>
    <w:p>
      <w:pPr>
        <w:pStyle w:val="Style30"/>
        <w:numPr>
          <w:ilvl w:val="0"/>
          <w:numId w:val="9"/>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увеличенный (более 2 мм) остроконечный зубец Р во II, III, </w:t>
      </w:r>
      <w:r>
        <w:rPr>
          <w:lang w:val="en-US" w:eastAsia="en-US" w:bidi="en-US"/>
          <w:w w:val="100"/>
          <w:spacing w:val="0"/>
          <w:color w:val="000000"/>
          <w:position w:val="0"/>
        </w:rPr>
        <w:t xml:space="preserve">aVF </w:t>
      </w:r>
      <w:r>
        <w:rPr>
          <w:lang w:val="ru-RU" w:eastAsia="ru-RU" w:bidi="ru-RU"/>
          <w:w w:val="100"/>
          <w:spacing w:val="0"/>
          <w:color w:val="000000"/>
          <w:position w:val="0"/>
        </w:rPr>
        <w:t xml:space="preserve">отведениях (так называемый </w:t>
      </w:r>
      <w:r>
        <w:rPr>
          <w:lang w:val="en-US" w:eastAsia="en-US" w:bidi="en-US"/>
          <w:w w:val="100"/>
          <w:spacing w:val="0"/>
          <w:color w:val="000000"/>
          <w:position w:val="0"/>
        </w:rPr>
        <w:t>«P-pul- monale»);</w:t>
      </w:r>
    </w:p>
    <w:p>
      <w:pPr>
        <w:pStyle w:val="Style30"/>
        <w:numPr>
          <w:ilvl w:val="0"/>
          <w:numId w:val="9"/>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увеличение более 1,5 мм первой положительной фазы зубца Р в отведениях </w:t>
      </w:r>
      <w:r>
        <w:rPr>
          <w:lang w:val="en-US" w:eastAsia="en-US" w:bidi="en-US"/>
          <w:w w:val="100"/>
          <w:spacing w:val="0"/>
          <w:color w:val="000000"/>
          <w:position w:val="0"/>
        </w:rPr>
        <w:t>V</w:t>
      </w:r>
      <w:r>
        <w:rPr>
          <w:lang w:val="en-US" w:eastAsia="en-US" w:bidi="en-US"/>
          <w:vertAlign w:val="subscript"/>
          <w:w w:val="100"/>
          <w:spacing w:val="0"/>
          <w:color w:val="000000"/>
          <w:position w:val="0"/>
        </w:rPr>
        <w:t>1-2-3</w:t>
      </w:r>
      <w:r>
        <w:rPr>
          <w:lang w:val="en-US" w:eastAsia="en-US" w:bidi="en-US"/>
          <w:w w:val="100"/>
          <w:spacing w:val="0"/>
          <w:color w:val="000000"/>
          <w:position w:val="0"/>
        </w:rPr>
        <w:t>;</w:t>
      </w:r>
    </w:p>
    <w:p>
      <w:pPr>
        <w:pStyle w:val="Style30"/>
        <w:numPr>
          <w:ilvl w:val="0"/>
          <w:numId w:val="9"/>
        </w:numPr>
        <w:tabs>
          <w:tab w:leader="none" w:pos="512"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вертикальная ось предсердий фронтальной плоскос</w:t>
        <w:softHyphen/>
        <w:t>ти (до + 75°).</w:t>
      </w:r>
    </w:p>
    <w:p>
      <w:pPr>
        <w:pStyle w:val="Style50"/>
        <w:widowControl w:val="0"/>
        <w:keepNext/>
        <w:keepLines/>
        <w:shd w:val="clear" w:color="auto" w:fill="auto"/>
        <w:bidi w:val="0"/>
        <w:jc w:val="both"/>
        <w:spacing w:before="0" w:after="0"/>
        <w:ind w:left="0" w:right="0" w:firstLine="280"/>
      </w:pPr>
      <w:bookmarkStart w:id="63" w:name="bookmark63"/>
      <w:r>
        <w:rPr>
          <w:lang w:val="ru-RU" w:eastAsia="ru-RU" w:bidi="ru-RU"/>
          <w:w w:val="100"/>
          <w:color w:val="000000"/>
          <w:position w:val="0"/>
        </w:rPr>
        <w:t>Гипертрофия обоих предсердий</w:t>
      </w:r>
      <w:bookmarkEnd w:id="63"/>
    </w:p>
    <w:p>
      <w:pPr>
        <w:pStyle w:val="Style30"/>
        <w:widowControl w:val="0"/>
        <w:keepNext w:val="0"/>
        <w:keepLines w:val="0"/>
        <w:shd w:val="clear" w:color="auto" w:fill="auto"/>
        <w:bidi w:val="0"/>
        <w:spacing w:before="0" w:after="0"/>
        <w:ind w:left="0" w:right="0" w:firstLine="280"/>
      </w:pPr>
      <w:r>
        <w:pict>
          <v:shape id="_x0000_s1069" type="#_x0000_t75" style="position:absolute;margin-left:148.2pt;margin-top:739.95pt;width:209.75pt;height:14.9pt;z-index:-125829361;mso-wrap-distance-left:148.1pt;mso-wrap-distance-right:136.8pt;mso-wrap-distance-bottom:19.pt;mso-position-horizontal-relative:margin;mso-position-vertical-relative:margin" wrapcoords="0 0 21600 0 21600 21600 0 21600 0 0">
            <v:imagedata r:id="rId70" r:href="rId71"/>
            <w10:wrap type="topAndBottom" anchorx="margin" anchory="margin"/>
          </v:shape>
        </w:pict>
      </w:r>
      <w:r>
        <w:rPr>
          <w:lang w:val="ru-RU" w:eastAsia="ru-RU" w:bidi="ru-RU"/>
          <w:w w:val="100"/>
          <w:spacing w:val="0"/>
          <w:color w:val="000000"/>
          <w:position w:val="0"/>
        </w:rPr>
        <w:t>Гипертрофия обоих предсердий у детей наблюдается при врожденных пороках сердца (дефект межпредсердной пере</w:t>
        <w:softHyphen/>
        <w:t>городки, атриовентрикулярная коммуникация, транспози</w:t>
        <w:softHyphen/>
        <w:t>ция магистральных сосудов с дефектом межпредсердной пе</w:t>
        <w:softHyphen/>
        <w:t>регородки), хронических кардитах с уменьшенной или нор-</w:t>
      </w:r>
      <w:r>
        <w:br w:type="page"/>
      </w:r>
    </w:p>
    <w:p>
      <w:pPr>
        <w:pStyle w:val="Style69"/>
        <w:widowControl w:val="0"/>
        <w:keepNext/>
        <w:keepLines/>
        <w:shd w:val="clear" w:color="auto" w:fill="auto"/>
        <w:bidi w:val="0"/>
        <w:jc w:val="left"/>
        <w:spacing w:before="0" w:after="0"/>
        <w:ind w:left="960" w:right="0" w:firstLine="0"/>
      </w:pPr>
      <w:r>
        <w:pict>
          <v:shape id="_x0000_s1070" type="#_x0000_t202" style="position:absolute;margin-left:0.85pt;margin-top:4.35pt;width:236.15pt;height:204.pt;z-index:-125829360;mso-wrap-distance-left:5.pt;mso-wrap-distance-right:5.pt;mso-position-horizontal-relative:margin;mso-position-vertical-relative:margin" wrapcoords="408 0 21578 0 21578 17372 21600 19067 21600 21600 0 21600 0 19067 408 17372 408 0" filled="f" stroked="f">
            <v:textbox style="mso-fit-shape-to-text:t" inset="0,0,0,0">
              <w:txbxContent>
                <w:p>
                  <w:pPr>
                    <w:framePr w:h="4080" w:hSpace="19" w:wrap="around" w:hAnchor="margin" w:x="18" w:y="88"/>
                    <w:widowControl w:val="0"/>
                    <w:jc w:val="center"/>
                    <w:rPr>
                      <w:sz w:val="2"/>
                      <w:szCs w:val="2"/>
                    </w:rPr>
                  </w:pPr>
                  <w:r>
                    <w:pict>
                      <v:shape id="_x0000_s1071" type="#_x0000_t75" style="width:236pt;height:204pt;">
                        <v:imagedata r:id="rId72" r:href="rId73"/>
                      </v:shape>
                    </w:pict>
                  </w:r>
                </w:p>
                <w:p>
                  <w:pPr>
                    <w:pStyle w:val="Style33"/>
                    <w:widowControl w:val="0"/>
                    <w:keepNext w:val="0"/>
                    <w:keepLines w:val="0"/>
                    <w:shd w:val="clear" w:color="auto" w:fill="auto"/>
                    <w:bidi w:val="0"/>
                    <w:jc w:val="both"/>
                    <w:spacing w:before="0" w:after="0" w:line="192" w:lineRule="exact"/>
                    <w:ind w:left="0" w:right="0" w:firstLine="0"/>
                  </w:pPr>
                  <w:r>
                    <w:rPr>
                      <w:rStyle w:val="CharStyle37"/>
                    </w:rPr>
                    <w:t xml:space="preserve">Рис. 8. </w:t>
                  </w:r>
                  <w:r>
                    <w:rPr>
                      <w:rStyle w:val="CharStyle34"/>
                    </w:rPr>
                    <w:t>Гипертрофия миокарда левого предсердия: зубец Р в боль</w:t>
                    <w:softHyphen/>
                    <w:t xml:space="preserve">шинстве отведений двухфазный </w:t>
                  </w:r>
                  <w:r>
                    <w:rPr>
                      <w:rStyle w:val="CharStyle34"/>
                      <w:lang w:val="en-US" w:eastAsia="en-US" w:bidi="en-US"/>
                    </w:rPr>
                    <w:t xml:space="preserve">(P-mitrale), </w:t>
                  </w:r>
                  <w:r>
                    <w:rPr>
                      <w:rStyle w:val="CharStyle34"/>
                    </w:rPr>
                    <w:t>уширен (0,16 с), глубо</w:t>
                    <w:softHyphen/>
                    <w:t xml:space="preserve">кая и широкая отрицательная фаза </w:t>
                  </w:r>
                  <w:r>
                    <w:rPr>
                      <w:rStyle w:val="CharStyle34"/>
                      <w:lang w:val="en-US" w:eastAsia="en-US" w:bidi="en-US"/>
                    </w:rPr>
                    <w:t xml:space="preserve">P Vj, </w:t>
                  </w:r>
                  <w:r>
                    <w:rPr>
                      <w:rStyle w:val="CharStyle34"/>
                    </w:rPr>
                    <w:t>индекс Макруза — 3,5.</w:t>
                  </w:r>
                </w:p>
              </w:txbxContent>
            </v:textbox>
            <w10:wrap type="square" side="right" anchorx="margin" anchory="margin"/>
          </v:shape>
        </w:pict>
      </w:r>
      <w:bookmarkStart w:id="64" w:name="bookmark64"/>
      <w:r>
        <w:rPr>
          <w:rStyle w:val="CharStyle71"/>
          <w:b w:val="0"/>
          <w:bCs w:val="0"/>
        </w:rPr>
        <w:t>г</w:t>
      </w:r>
      <w:r>
        <w:rPr>
          <w:rStyle w:val="CharStyle72"/>
          <w:b w:val="0"/>
          <w:bCs w:val="0"/>
        </w:rPr>
        <w:t xml:space="preserve">—— </w:t>
      </w:r>
      <w:r>
        <w:rPr>
          <w:rStyle w:val="CharStyle73"/>
          <w:b/>
          <w:bCs/>
        </w:rPr>
        <w:t xml:space="preserve">’ </w:t>
      </w:r>
      <w:r>
        <w:rPr>
          <w:rStyle w:val="CharStyle72"/>
          <w:b w:val="0"/>
          <w:bCs w:val="0"/>
        </w:rPr>
        <w:t xml:space="preserve">т </w:t>
      </w:r>
      <w:r>
        <w:rPr>
          <w:rStyle w:val="CharStyle73"/>
          <w:lang w:val="en-US" w:eastAsia="en-US" w:bidi="en-US"/>
          <w:b/>
          <w:bCs/>
        </w:rPr>
        <w:t>L</w:t>
      </w:r>
      <w:r>
        <w:rPr>
          <w:rStyle w:val="CharStyle72"/>
          <w:b w:val="0"/>
          <w:bCs w:val="0"/>
        </w:rPr>
        <w:t>——</w:t>
      </w:r>
      <w:r>
        <w:rPr>
          <w:rStyle w:val="CharStyle73"/>
          <w:b/>
          <w:bCs/>
        </w:rPr>
        <w:t>4</w:t>
      </w:r>
      <w:bookmarkEnd w:id="64"/>
    </w:p>
    <w:p>
      <w:pPr>
        <w:pStyle w:val="Style74"/>
        <w:widowControl w:val="0"/>
        <w:keepNext w:val="0"/>
        <w:keepLines w:val="0"/>
        <w:shd w:val="clear" w:color="auto" w:fill="auto"/>
        <w:bidi w:val="0"/>
        <w:jc w:val="left"/>
        <w:spacing w:before="0" w:after="384"/>
        <w:ind w:left="2540" w:right="1760" w:firstLine="0"/>
      </w:pPr>
      <w:r>
        <w:rPr>
          <w:rStyle w:val="CharStyle76"/>
        </w:rPr>
        <w:t>V</w:t>
        <w:softHyphen/>
      </w:r>
      <w:r>
        <w:rPr>
          <w:rStyle w:val="CharStyle77"/>
        </w:rPr>
        <w:t>/</w:t>
      </w:r>
      <w:r>
        <w:rPr>
          <w:rStyle w:val="CharStyle78"/>
        </w:rPr>
        <w:t xml:space="preserve"> </w:t>
      </w:r>
      <w:r>
        <w:rPr>
          <w:rStyle w:val="CharStyle79"/>
        </w:rPr>
        <w:t>'■-.Л,</w:t>
      </w:r>
    </w:p>
    <w:p>
      <w:pPr>
        <w:pStyle w:val="Style80"/>
        <w:widowControl w:val="0"/>
        <w:keepNext w:val="0"/>
        <w:keepLines w:val="0"/>
        <w:shd w:val="clear" w:color="auto" w:fill="auto"/>
        <w:bidi w:val="0"/>
        <w:spacing w:before="0" w:after="308" w:line="260" w:lineRule="exact"/>
        <w:ind w:left="260" w:right="0" w:firstLine="0"/>
      </w:pPr>
      <w:r>
        <w:rPr>
          <w:rStyle w:val="CharStyle82"/>
        </w:rPr>
        <w:t>I-</w:t>
      </w:r>
    </w:p>
    <w:p>
      <w:pPr>
        <w:pStyle w:val="Style83"/>
        <w:tabs>
          <w:tab w:leader="none" w:pos="4339" w:val="left"/>
        </w:tabs>
        <w:widowControl w:val="0"/>
        <w:keepNext w:val="0"/>
        <w:keepLines w:val="0"/>
        <w:shd w:val="clear" w:color="auto" w:fill="auto"/>
        <w:bidi w:val="0"/>
        <w:spacing w:before="0" w:after="0" w:line="300" w:lineRule="exact"/>
        <w:ind w:left="0" w:right="0" w:firstLine="0"/>
        <w:sectPr>
          <w:headerReference w:type="even" r:id="rId74"/>
          <w:headerReference w:type="default" r:id="rId75"/>
          <w:headerReference w:type="first" r:id="rId76"/>
          <w:titlePg/>
          <w:pgSz w:w="11900" w:h="16840"/>
          <w:pgMar w:top="1424" w:left="1019" w:right="987" w:bottom="1561" w:header="0" w:footer="3" w:gutter="0"/>
          <w:rtlGutter w:val="0"/>
          <w:cols w:num="2" w:space="170"/>
          <w:noEndnote/>
          <w:docGrid w:linePitch="360"/>
        </w:sectPr>
      </w:pPr>
      <w:r>
        <w:rPr>
          <w:rStyle w:val="CharStyle85"/>
        </w:rPr>
        <w:t xml:space="preserve">■■'Jr' </w:t>
      </w:r>
      <w:r>
        <w:rPr>
          <w:rStyle w:val="CharStyle85"/>
          <w:lang w:val="ru-RU" w:eastAsia="ru-RU" w:bidi="ru-RU"/>
        </w:rPr>
        <w:t>"4^</w:t>
        <w:tab/>
      </w:r>
      <w:r>
        <w:rPr>
          <w:rStyle w:val="CharStyle86"/>
        </w:rPr>
        <w:t>]У\</w:t>
      </w:r>
    </w:p>
    <w:p>
      <w:pPr>
        <w:pStyle w:val="Style45"/>
        <w:widowControl w:val="0"/>
        <w:keepNext w:val="0"/>
        <w:keepLines w:val="0"/>
        <w:shd w:val="clear" w:color="auto" w:fill="auto"/>
        <w:bidi w:val="0"/>
        <w:spacing w:before="0" w:after="0"/>
        <w:ind w:left="5100" w:right="0" w:firstLine="0"/>
        <w:sectPr>
          <w:type w:val="continuous"/>
          <w:pgSz w:w="11900" w:h="16840"/>
          <w:pgMar w:top="1604" w:left="1114" w:right="860" w:bottom="1892" w:header="0" w:footer="3" w:gutter="0"/>
          <w:rtlGutter w:val="0"/>
          <w:cols w:space="720"/>
          <w:noEndnote/>
          <w:docGrid w:linePitch="360"/>
        </w:sectPr>
      </w:pPr>
      <w:r>
        <w:pict>
          <v:shape id="_x0000_s1075" type="#_x0000_t75" style="position:absolute;margin-left:248.6pt;margin-top:-4.1pt;width:245.75pt;height:276.pt;z-index:-251658739;mso-wrap-distance-left:5.pt;mso-wrap-distance-right:5.pt;mso-position-horizontal-relative:margin;mso-position-vertical-relative:margin" wrapcoords="0 0">
            <v:imagedata r:id="rId77" r:href="rId78"/>
            <w10:wrap anchorx="margin" anchory="margin"/>
          </v:shape>
        </w:pict>
      </w:r>
      <w:r>
        <w:rPr>
          <w:rStyle w:val="CharStyle47"/>
        </w:rPr>
        <w:t xml:space="preserve">Рис. 9. </w:t>
      </w:r>
      <w:r>
        <w:rPr>
          <w:lang w:val="ru-RU" w:eastAsia="ru-RU" w:bidi="ru-RU"/>
          <w:w w:val="100"/>
          <w:spacing w:val="0"/>
          <w:color w:val="000000"/>
          <w:position w:val="0"/>
        </w:rPr>
        <w:t>Гипертрофия миокарда правого предсердия: зубец Р увели</w:t>
        <w:softHyphen/>
        <w:t xml:space="preserve">чен по амплитуде </w:t>
      </w:r>
      <w:r>
        <w:rPr>
          <w:lang w:val="en-US" w:eastAsia="en-US" w:bidi="en-US"/>
          <w:w w:val="100"/>
          <w:spacing w:val="0"/>
          <w:color w:val="000000"/>
          <w:position w:val="0"/>
        </w:rPr>
        <w:t xml:space="preserve">(PII </w:t>
      </w:r>
      <w:r>
        <w:rPr>
          <w:lang w:val="ru-RU" w:eastAsia="ru-RU" w:bidi="ru-RU"/>
          <w:w w:val="100"/>
          <w:spacing w:val="0"/>
          <w:color w:val="000000"/>
          <w:position w:val="0"/>
        </w:rPr>
        <w:t xml:space="preserve">— 7 мм), остроконечный </w:t>
      </w:r>
      <w:r>
        <w:rPr>
          <w:lang w:val="en-US" w:eastAsia="en-US" w:bidi="en-US"/>
          <w:w w:val="100"/>
          <w:spacing w:val="0"/>
          <w:color w:val="000000"/>
          <w:position w:val="0"/>
        </w:rPr>
        <w:t xml:space="preserve">(«P-pulmonale») </w:t>
      </w:r>
      <w:r>
        <w:rPr>
          <w:lang w:val="ru-RU" w:eastAsia="ru-RU" w:bidi="ru-RU"/>
          <w:w w:val="100"/>
          <w:spacing w:val="0"/>
          <w:color w:val="000000"/>
          <w:position w:val="0"/>
        </w:rPr>
        <w:t xml:space="preserve">в отведениях II, III, </w:t>
      </w:r>
      <w:r>
        <w:rPr>
          <w:lang w:val="en-US" w:eastAsia="en-US" w:bidi="en-US"/>
          <w:w w:val="100"/>
          <w:spacing w:val="0"/>
          <w:color w:val="000000"/>
          <w:position w:val="0"/>
        </w:rPr>
        <w:t>aVF, V</w:t>
      </w:r>
      <w:r>
        <w:rPr>
          <w:lang w:val="en-US" w:eastAsia="en-US" w:bidi="en-US"/>
          <w:vertAlign w:val="subscript"/>
          <w:w w:val="100"/>
          <w:spacing w:val="0"/>
          <w:color w:val="000000"/>
          <w:position w:val="0"/>
        </w:rPr>
        <w:t>1-3</w:t>
      </w:r>
      <w:r>
        <w:rPr>
          <w:lang w:val="en-US" w:eastAsia="en-US" w:bidi="en-US"/>
          <w:w w:val="100"/>
          <w:spacing w:val="0"/>
          <w:color w:val="000000"/>
          <w:position w:val="0"/>
        </w:rPr>
        <w:t>.</w:t>
      </w:r>
    </w:p>
    <w:p>
      <w:pPr>
        <w:widowControl w:val="0"/>
        <w:spacing w:before="68" w:after="68" w:line="240" w:lineRule="exact"/>
        <w:rPr>
          <w:sz w:val="19"/>
          <w:szCs w:val="19"/>
        </w:rPr>
      </w:pPr>
    </w:p>
    <w:p>
      <w:pPr>
        <w:widowControl w:val="0"/>
        <w:rPr>
          <w:sz w:val="2"/>
          <w:szCs w:val="2"/>
        </w:rPr>
        <w:sectPr>
          <w:type w:val="continuous"/>
          <w:pgSz w:w="11900" w:h="16840"/>
          <w:pgMar w:top="1574" w:left="0" w:right="0" w:bottom="1862" w:header="0" w:footer="3" w:gutter="0"/>
          <w:rtlGutter w:val="0"/>
          <w:cols w:space="720"/>
          <w:noEndnote/>
          <w:docGrid w:linePitch="360"/>
        </w:sectPr>
      </w:pP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мальной полостью левого желудочка, при одновременном поражении митрального и трикуспидального клапанов и др.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Электрокардиографическая диагностика складывается из следующих признаков (рис. 10):</w:t>
      </w:r>
    </w:p>
    <w:p>
      <w:pPr>
        <w:pStyle w:val="Style30"/>
        <w:numPr>
          <w:ilvl w:val="0"/>
          <w:numId w:val="9"/>
        </w:numPr>
        <w:tabs>
          <w:tab w:leader="none" w:pos="514" w:val="left"/>
        </w:tabs>
        <w:widowControl w:val="0"/>
        <w:keepNext w:val="0"/>
        <w:keepLines w:val="0"/>
        <w:shd w:val="clear" w:color="auto" w:fill="auto"/>
        <w:bidi w:val="0"/>
        <w:spacing w:before="0" w:after="0" w:line="235" w:lineRule="exact"/>
        <w:ind w:left="520" w:right="0" w:hanging="240"/>
      </w:pPr>
      <w:r>
        <w:rPr>
          <w:lang w:val="ru-RU" w:eastAsia="ru-RU" w:bidi="ru-RU"/>
          <w:w w:val="100"/>
          <w:spacing w:val="0"/>
          <w:color w:val="000000"/>
          <w:position w:val="0"/>
        </w:rPr>
        <w:t xml:space="preserve">двухфазный </w:t>
      </w:r>
      <w:r>
        <w:rPr>
          <w:lang w:val="en-US" w:eastAsia="en-US" w:bidi="en-US"/>
          <w:w w:val="100"/>
          <w:spacing w:val="0"/>
          <w:color w:val="000000"/>
          <w:position w:val="0"/>
        </w:rPr>
        <w:t>PV</w:t>
      </w:r>
      <w:r>
        <w:rPr>
          <w:rStyle w:val="CharStyle87"/>
          <w:vertAlign w:val="subscript"/>
        </w:rPr>
        <w:t>1</w:t>
      </w:r>
      <w:r>
        <w:rPr>
          <w:lang w:val="en-US" w:eastAsia="en-US" w:bidi="en-US"/>
          <w:w w:val="100"/>
          <w:spacing w:val="0"/>
          <w:color w:val="000000"/>
          <w:position w:val="0"/>
        </w:rPr>
        <w:t xml:space="preserve">. </w:t>
      </w:r>
      <w:r>
        <w:rPr>
          <w:lang w:val="ru-RU" w:eastAsia="ru-RU" w:bidi="ru-RU"/>
          <w:w w:val="100"/>
          <w:spacing w:val="0"/>
          <w:color w:val="000000"/>
          <w:position w:val="0"/>
        </w:rPr>
        <w:t>Амплитуда инициального отклоне</w:t>
        <w:softHyphen/>
        <w:t>ния более 1,5 мм, терминального — 1 мм и более;</w:t>
      </w:r>
    </w:p>
    <w:p>
      <w:pPr>
        <w:pStyle w:val="Style30"/>
        <w:numPr>
          <w:ilvl w:val="0"/>
          <w:numId w:val="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высокий уширенный и расщепленный зубец Р в отве - дениях от конечностей и прекардиальных. В отведе</w:t>
        <w:softHyphen/>
        <w:t xml:space="preserve">ниях II, </w:t>
      </w:r>
      <w:r>
        <w:rPr>
          <w:lang w:val="en-US" w:eastAsia="en-US" w:bidi="en-US"/>
          <w:w w:val="100"/>
          <w:spacing w:val="0"/>
          <w:color w:val="000000"/>
          <w:position w:val="0"/>
        </w:rPr>
        <w:t>aVF, V</w:t>
      </w:r>
      <w:r>
        <w:rPr>
          <w:rStyle w:val="CharStyle87"/>
          <w:vertAlign w:val="subscript"/>
        </w:rPr>
        <w:t>2-3</w:t>
      </w:r>
      <w:r>
        <w:rPr>
          <w:rStyle w:val="CharStyle87"/>
        </w:rPr>
        <w:t xml:space="preserve"> </w:t>
      </w:r>
      <w:r>
        <w:rPr>
          <w:lang w:val="ru-RU" w:eastAsia="ru-RU" w:bidi="ru-RU"/>
          <w:w w:val="100"/>
          <w:spacing w:val="0"/>
          <w:color w:val="000000"/>
          <w:position w:val="0"/>
        </w:rPr>
        <w:t>он остроконечный, высокий (отра</w:t>
        <w:softHyphen/>
        <w:t xml:space="preserve">жение активации правого предсердия), в отведениях I, II, </w:t>
      </w:r>
      <w:r>
        <w:rPr>
          <w:lang w:val="en-US" w:eastAsia="en-US" w:bidi="en-US"/>
          <w:w w:val="100"/>
          <w:spacing w:val="0"/>
          <w:color w:val="000000"/>
          <w:position w:val="0"/>
        </w:rPr>
        <w:t xml:space="preserve">aVL </w:t>
      </w:r>
      <w:r>
        <w:rPr>
          <w:lang w:val="ru-RU" w:eastAsia="ru-RU" w:bidi="ru-RU"/>
          <w:w w:val="100"/>
          <w:spacing w:val="0"/>
          <w:color w:val="000000"/>
          <w:position w:val="0"/>
        </w:rPr>
        <w:t>— уширенный и расщепленный (отражение активаций левого предсердия);</w:t>
      </w:r>
    </w:p>
    <w:p>
      <w:pPr>
        <w:pStyle w:val="Style30"/>
        <w:numPr>
          <w:ilvl w:val="0"/>
          <w:numId w:val="9"/>
        </w:numPr>
        <w:tabs>
          <w:tab w:leader="none" w:pos="514"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увеличенный (более 2 мм) и уширенный (до 0,12 с и более) зубец Р в стандартных отведениях.</w:t>
      </w:r>
    </w:p>
    <w:p>
      <w:pPr>
        <w:pStyle w:val="Style50"/>
        <w:widowControl w:val="0"/>
        <w:keepNext/>
        <w:keepLines/>
        <w:shd w:val="clear" w:color="auto" w:fill="auto"/>
        <w:bidi w:val="0"/>
        <w:jc w:val="both"/>
        <w:spacing w:before="0" w:after="0"/>
        <w:ind w:left="520" w:right="0"/>
      </w:pPr>
      <w:bookmarkStart w:id="65" w:name="bookmark65"/>
      <w:r>
        <w:rPr>
          <w:lang w:val="ru-RU" w:eastAsia="ru-RU" w:bidi="ru-RU"/>
          <w:w w:val="100"/>
          <w:color w:val="000000"/>
          <w:position w:val="0"/>
        </w:rPr>
        <w:t>Гипертрофия миокарда левого желудочка</w:t>
      </w:r>
      <w:bookmarkEnd w:id="6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Электрокардиографический синдром гипертрофии мио</w:t>
        <w:softHyphen/>
        <w:t>карда левого желудочка (рис. 11) встречается при артериаль</w:t>
        <w:softHyphen/>
        <w:t>ной гипертензии, врожденных (коарктация аорты, откры</w:t>
        <w:softHyphen/>
        <w:t>тый артериальный проток, дефект межжелудочковой перего</w:t>
        <w:softHyphen/>
        <w:t>родки, единственный желудочек, атрезия трехстворчатого клапана и др.) и приобретенных (стеноз и недостаточность аортального клапана) пороках сердца, врожденных и приоб</w:t>
        <w:softHyphen/>
        <w:t>ретенных кардитах, дистрофиях миокарда, идиопатическом гипертрофическом субаортальном стенозе и др. Критерии левожелудочковой гипертрофии на ЭКГ зависят от возраста. Физиологическое преобладание миокарда правого желудоч</w:t>
        <w:softHyphen/>
        <w:t>ка у новорожденных делает понятной трудность диагности</w:t>
        <w:softHyphen/>
        <w:t>ки гипертрофии миокарда левого желудочка в этом возрасте.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детей моложе 6 мес к ЭКГ-критериям гипертрофии левого желудочка относят:</w:t>
      </w:r>
    </w:p>
    <w:p>
      <w:pPr>
        <w:pStyle w:val="Style30"/>
        <w:numPr>
          <w:ilvl w:val="0"/>
          <w:numId w:val="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отсутствие соответственно возрасту отклонения элек</w:t>
        <w:softHyphen/>
        <w:t>трической оси сердца вправо;</w:t>
      </w:r>
    </w:p>
    <w:p>
      <w:pPr>
        <w:pStyle w:val="Style30"/>
        <w:numPr>
          <w:ilvl w:val="0"/>
          <w:numId w:val="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амплитуда </w:t>
      </w:r>
      <w:r>
        <w:rPr>
          <w:lang w:val="en-US" w:eastAsia="en-US" w:bidi="en-US"/>
          <w:w w:val="100"/>
          <w:spacing w:val="0"/>
          <w:color w:val="000000"/>
          <w:position w:val="0"/>
        </w:rPr>
        <w:t>R V</w:t>
      </w:r>
      <w:r>
        <w:rPr>
          <w:rStyle w:val="CharStyle87"/>
        </w:rPr>
        <w:t xml:space="preserve">6 </w:t>
      </w:r>
      <w:r>
        <w:rPr>
          <w:lang w:val="ru-RU" w:eastAsia="ru-RU" w:bidi="ru-RU"/>
          <w:w w:val="100"/>
          <w:spacing w:val="0"/>
          <w:color w:val="000000"/>
          <w:position w:val="0"/>
        </w:rPr>
        <w:t>больше 20 мм;</w:t>
      </w:r>
    </w:p>
    <w:p>
      <w:pPr>
        <w:pStyle w:val="Style30"/>
        <w:numPr>
          <w:ilvl w:val="0"/>
          <w:numId w:val="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амплитуда </w:t>
      </w:r>
      <w:r>
        <w:rPr>
          <w:lang w:val="en-US" w:eastAsia="en-US" w:bidi="en-US"/>
          <w:w w:val="100"/>
          <w:spacing w:val="0"/>
          <w:color w:val="000000"/>
          <w:position w:val="0"/>
        </w:rPr>
        <w:t xml:space="preserve">R aVL </w:t>
      </w:r>
      <w:r>
        <w:rPr>
          <w:lang w:val="ru-RU" w:eastAsia="ru-RU" w:bidi="ru-RU"/>
          <w:w w:val="100"/>
          <w:spacing w:val="0"/>
          <w:color w:val="000000"/>
          <w:position w:val="0"/>
        </w:rPr>
        <w:t>больше 7 мм;</w:t>
      </w:r>
    </w:p>
    <w:p>
      <w:pPr>
        <w:pStyle w:val="Style30"/>
        <w:numPr>
          <w:ilvl w:val="0"/>
          <w:numId w:val="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глубина </w:t>
      </w:r>
      <w:r>
        <w:rPr>
          <w:lang w:val="en-US" w:eastAsia="en-US" w:bidi="en-US"/>
          <w:w w:val="100"/>
          <w:spacing w:val="0"/>
          <w:color w:val="000000"/>
          <w:position w:val="0"/>
        </w:rPr>
        <w:t>Q V</w:t>
      </w:r>
      <w:r>
        <w:rPr>
          <w:rStyle w:val="CharStyle87"/>
          <w:vertAlign w:val="subscript"/>
        </w:rPr>
        <w:t>5-</w:t>
      </w:r>
      <w:r>
        <w:rPr>
          <w:rStyle w:val="CharStyle87"/>
        </w:rPr>
        <w:t xml:space="preserve">6 </w:t>
      </w:r>
      <w:r>
        <w:rPr>
          <w:lang w:val="ru-RU" w:eastAsia="ru-RU" w:bidi="ru-RU"/>
          <w:w w:val="100"/>
          <w:spacing w:val="0"/>
          <w:color w:val="000000"/>
          <w:position w:val="0"/>
        </w:rPr>
        <w:t>больше 3 мм;</w:t>
      </w:r>
    </w:p>
    <w:p>
      <w:pPr>
        <w:pStyle w:val="Style30"/>
        <w:numPr>
          <w:ilvl w:val="0"/>
          <w:numId w:val="9"/>
        </w:numPr>
        <w:tabs>
          <w:tab w:leader="none" w:pos="533" w:val="left"/>
        </w:tabs>
        <w:widowControl w:val="0"/>
        <w:keepNext w:val="0"/>
        <w:keepLines w:val="0"/>
        <w:shd w:val="clear" w:color="auto" w:fill="auto"/>
        <w:bidi w:val="0"/>
        <w:spacing w:before="0" w:after="0" w:line="180" w:lineRule="exact"/>
        <w:ind w:left="280" w:right="0" w:firstLine="0"/>
      </w:pPr>
      <w:r>
        <w:br w:type="column"/>
      </w:r>
      <w:r>
        <w:rPr>
          <w:lang w:val="ru-RU" w:eastAsia="ru-RU" w:bidi="ru-RU"/>
          <w:w w:val="100"/>
          <w:spacing w:val="0"/>
          <w:color w:val="000000"/>
          <w:position w:val="0"/>
        </w:rPr>
        <w:t xml:space="preserve">амплитуда </w:t>
      </w:r>
      <w:r>
        <w:rPr>
          <w:lang w:val="en-US" w:eastAsia="en-US" w:bidi="en-US"/>
          <w:w w:val="100"/>
          <w:spacing w:val="0"/>
          <w:color w:val="000000"/>
          <w:position w:val="0"/>
        </w:rPr>
        <w:t>SV</w:t>
      </w:r>
      <w:r>
        <w:rPr>
          <w:rStyle w:val="CharStyle87"/>
          <w:vertAlign w:val="subscript"/>
        </w:rPr>
        <w:t>1</w:t>
      </w:r>
      <w:r>
        <w:rPr>
          <w:rStyle w:val="CharStyle87"/>
        </w:rPr>
        <w:t xml:space="preserve"> </w:t>
      </w:r>
      <w:r>
        <w:rPr>
          <w:lang w:val="ru-RU" w:eastAsia="ru-RU" w:bidi="ru-RU"/>
          <w:w w:val="100"/>
          <w:spacing w:val="0"/>
          <w:color w:val="000000"/>
          <w:position w:val="0"/>
        </w:rPr>
        <w:t>больше 20 мм;</w:t>
      </w:r>
    </w:p>
    <w:p>
      <w:pPr>
        <w:pStyle w:val="Style30"/>
        <w:numPr>
          <w:ilvl w:val="0"/>
          <w:numId w:val="9"/>
        </w:numPr>
        <w:tabs>
          <w:tab w:leader="none" w:pos="533" w:val="left"/>
        </w:tabs>
        <w:widowControl w:val="0"/>
        <w:keepNext w:val="0"/>
        <w:keepLines w:val="0"/>
        <w:shd w:val="clear" w:color="auto" w:fill="auto"/>
        <w:bidi w:val="0"/>
        <w:spacing w:before="0" w:after="0" w:line="180" w:lineRule="exact"/>
        <w:ind w:left="280" w:right="0" w:firstLine="0"/>
      </w:pPr>
      <w:r>
        <w:rPr>
          <w:lang w:val="ru-RU" w:eastAsia="ru-RU" w:bidi="ru-RU"/>
          <w:w w:val="100"/>
          <w:spacing w:val="0"/>
          <w:color w:val="000000"/>
          <w:position w:val="0"/>
        </w:rPr>
        <w:t xml:space="preserve">время внутреннего отклонения в </w:t>
      </w:r>
      <w:r>
        <w:rPr>
          <w:lang w:val="en-US" w:eastAsia="en-US" w:bidi="en-US"/>
          <w:w w:val="100"/>
          <w:spacing w:val="0"/>
          <w:color w:val="000000"/>
          <w:position w:val="0"/>
        </w:rPr>
        <w:t>V</w:t>
      </w:r>
      <w:r>
        <w:rPr>
          <w:rStyle w:val="CharStyle87"/>
          <w:vertAlign w:val="subscript"/>
        </w:rPr>
        <w:t>5-</w:t>
      </w:r>
      <w:r>
        <w:rPr>
          <w:rStyle w:val="CharStyle87"/>
        </w:rPr>
        <w:t xml:space="preserve">6 </w:t>
      </w:r>
      <w:r>
        <w:rPr>
          <w:lang w:val="ru-RU" w:eastAsia="ru-RU" w:bidi="ru-RU"/>
          <w:w w:val="100"/>
          <w:spacing w:val="0"/>
          <w:color w:val="000000"/>
          <w:position w:val="0"/>
        </w:rPr>
        <w:t>больше 0,04 с.</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У детей 6 мес-2 лет ЭКГ-признаками гипертрофии лево</w:t>
        <w:softHyphen/>
        <w:t>го желудочка являются:</w:t>
      </w:r>
    </w:p>
    <w:p>
      <w:pPr>
        <w:pStyle w:val="Style30"/>
        <w:numPr>
          <w:ilvl w:val="0"/>
          <w:numId w:val="9"/>
        </w:numPr>
        <w:tabs>
          <w:tab w:leader="none" w:pos="533"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отсутствие соответствующего данному возрасту от</w:t>
        <w:softHyphen/>
        <w:t>клонения электрической оси сердца вправо;</w:t>
      </w:r>
    </w:p>
    <w:p>
      <w:pPr>
        <w:pStyle w:val="Style30"/>
        <w:numPr>
          <w:ilvl w:val="0"/>
          <w:numId w:val="9"/>
        </w:numPr>
        <w:tabs>
          <w:tab w:leader="none" w:pos="53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 xml:space="preserve">амплитуда </w:t>
      </w:r>
      <w:r>
        <w:rPr>
          <w:lang w:val="en-US" w:eastAsia="en-US" w:bidi="en-US"/>
          <w:w w:val="100"/>
          <w:spacing w:val="0"/>
          <w:color w:val="000000"/>
          <w:position w:val="0"/>
        </w:rPr>
        <w:t xml:space="preserve">R aVL </w:t>
      </w:r>
      <w:r>
        <w:rPr>
          <w:lang w:val="ru-RU" w:eastAsia="ru-RU" w:bidi="ru-RU"/>
          <w:w w:val="100"/>
          <w:spacing w:val="0"/>
          <w:color w:val="000000"/>
          <w:position w:val="0"/>
        </w:rPr>
        <w:t>больше 7 мм;</w:t>
      </w:r>
    </w:p>
    <w:p>
      <w:pPr>
        <w:pStyle w:val="Style30"/>
        <w:numPr>
          <w:ilvl w:val="0"/>
          <w:numId w:val="9"/>
        </w:numPr>
        <w:tabs>
          <w:tab w:leader="none" w:pos="53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 xml:space="preserve">амплитуда </w:t>
      </w:r>
      <w:r>
        <w:rPr>
          <w:lang w:val="en-US" w:eastAsia="en-US" w:bidi="en-US"/>
          <w:w w:val="100"/>
          <w:spacing w:val="0"/>
          <w:color w:val="000000"/>
          <w:position w:val="0"/>
        </w:rPr>
        <w:t>RV</w:t>
      </w:r>
      <w:r>
        <w:rPr>
          <w:rStyle w:val="CharStyle87"/>
        </w:rPr>
        <w:t xml:space="preserve">6 </w:t>
      </w:r>
      <w:r>
        <w:rPr>
          <w:lang w:val="ru-RU" w:eastAsia="ru-RU" w:bidi="ru-RU"/>
          <w:w w:val="100"/>
          <w:spacing w:val="0"/>
          <w:color w:val="000000"/>
          <w:position w:val="0"/>
        </w:rPr>
        <w:t>больше 22 мм;</w:t>
      </w:r>
    </w:p>
    <w:p>
      <w:pPr>
        <w:pStyle w:val="Style30"/>
        <w:numPr>
          <w:ilvl w:val="0"/>
          <w:numId w:val="9"/>
        </w:numPr>
        <w:tabs>
          <w:tab w:leader="none" w:pos="53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 xml:space="preserve">глубина </w:t>
      </w:r>
      <w:r>
        <w:rPr>
          <w:lang w:val="en-US" w:eastAsia="en-US" w:bidi="en-US"/>
          <w:w w:val="100"/>
          <w:spacing w:val="0"/>
          <w:color w:val="000000"/>
          <w:position w:val="0"/>
        </w:rPr>
        <w:t xml:space="preserve">Q </w:t>
      </w:r>
      <w:r>
        <w:rPr>
          <w:lang w:val="ru-RU" w:eastAsia="ru-RU" w:bidi="ru-RU"/>
          <w:w w:val="100"/>
          <w:spacing w:val="0"/>
          <w:color w:val="000000"/>
          <w:position w:val="0"/>
        </w:rPr>
        <w:t>больше 3 мм;</w:t>
      </w:r>
    </w:p>
    <w:p>
      <w:pPr>
        <w:pStyle w:val="Style30"/>
        <w:numPr>
          <w:ilvl w:val="0"/>
          <w:numId w:val="9"/>
        </w:numPr>
        <w:tabs>
          <w:tab w:leader="none" w:pos="53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 xml:space="preserve">глубина </w:t>
      </w:r>
      <w:r>
        <w:rPr>
          <w:lang w:val="en-US" w:eastAsia="en-US" w:bidi="en-US"/>
          <w:w w:val="100"/>
          <w:spacing w:val="0"/>
          <w:color w:val="000000"/>
          <w:position w:val="0"/>
        </w:rPr>
        <w:t>S V</w:t>
      </w:r>
      <w:r>
        <w:rPr>
          <w:rStyle w:val="CharStyle87"/>
        </w:rPr>
        <w:t xml:space="preserve">1 </w:t>
      </w:r>
      <w:r>
        <w:rPr>
          <w:lang w:val="ru-RU" w:eastAsia="ru-RU" w:bidi="ru-RU"/>
          <w:w w:val="100"/>
          <w:spacing w:val="0"/>
          <w:color w:val="000000"/>
          <w:position w:val="0"/>
        </w:rPr>
        <w:t>больше 24 мм;</w:t>
      </w:r>
    </w:p>
    <w:p>
      <w:pPr>
        <w:pStyle w:val="Style30"/>
        <w:numPr>
          <w:ilvl w:val="0"/>
          <w:numId w:val="9"/>
        </w:numPr>
        <w:tabs>
          <w:tab w:leader="none" w:pos="533" w:val="left"/>
        </w:tabs>
        <w:widowControl w:val="0"/>
        <w:keepNext w:val="0"/>
        <w:keepLines w:val="0"/>
        <w:shd w:val="clear" w:color="auto" w:fill="auto"/>
        <w:bidi w:val="0"/>
        <w:spacing w:before="0" w:after="444" w:line="180" w:lineRule="exact"/>
        <w:ind w:left="280" w:right="0" w:firstLine="0"/>
      </w:pPr>
      <w:r>
        <w:rPr>
          <w:lang w:val="ru-RU" w:eastAsia="ru-RU" w:bidi="ru-RU"/>
          <w:w w:val="100"/>
          <w:spacing w:val="0"/>
          <w:color w:val="000000"/>
          <w:position w:val="0"/>
        </w:rPr>
        <w:t xml:space="preserve">время внутреннего отклонения в </w:t>
      </w:r>
      <w:r>
        <w:rPr>
          <w:lang w:val="en-US" w:eastAsia="en-US" w:bidi="en-US"/>
          <w:w w:val="100"/>
          <w:spacing w:val="0"/>
          <w:color w:val="000000"/>
          <w:position w:val="0"/>
        </w:rPr>
        <w:t>V</w:t>
      </w:r>
      <w:r>
        <w:rPr>
          <w:rStyle w:val="CharStyle87"/>
          <w:vertAlign w:val="subscript"/>
        </w:rPr>
        <w:t>5-</w:t>
      </w:r>
      <w:r>
        <w:rPr>
          <w:rStyle w:val="CharStyle87"/>
        </w:rPr>
        <w:t xml:space="preserve">6 </w:t>
      </w:r>
      <w:r>
        <w:rPr>
          <w:lang w:val="ru-RU" w:eastAsia="ru-RU" w:bidi="ru-RU"/>
          <w:w w:val="100"/>
          <w:spacing w:val="0"/>
          <w:color w:val="000000"/>
          <w:position w:val="0"/>
        </w:rPr>
        <w:t>больше 0,04 с.</w:t>
      </w:r>
    </w:p>
    <w:p>
      <w:pPr>
        <w:framePr w:h="3470" w:wrap="notBeside" w:vAnchor="text" w:hAnchor="text" w:xAlign="center" w:y="1"/>
        <w:widowControl w:val="0"/>
        <w:jc w:val="center"/>
        <w:rPr>
          <w:sz w:val="2"/>
          <w:szCs w:val="2"/>
        </w:rPr>
      </w:pPr>
      <w:r>
        <w:pict>
          <v:shape id="_x0000_s1076" type="#_x0000_t75" style="width:238pt;height:174pt;">
            <v:imagedata r:id="rId79" r:href="rId80"/>
          </v:shape>
        </w:pict>
      </w:r>
    </w:p>
    <w:p>
      <w:pPr>
        <w:pStyle w:val="Style33"/>
        <w:framePr w:h="3470" w:wrap="notBeside" w:vAnchor="text" w:hAnchor="text" w:xAlign="center" w:y="1"/>
        <w:widowControl w:val="0"/>
        <w:keepNext w:val="0"/>
        <w:keepLines w:val="0"/>
        <w:shd w:val="clear" w:color="auto" w:fill="auto"/>
        <w:bidi w:val="0"/>
        <w:jc w:val="both"/>
        <w:spacing w:before="0" w:after="0" w:line="202" w:lineRule="exact"/>
        <w:ind w:left="0" w:right="0" w:firstLine="0"/>
      </w:pPr>
      <w:r>
        <w:rPr>
          <w:rStyle w:val="CharStyle67"/>
        </w:rPr>
        <w:t xml:space="preserve">Рис. 10. </w:t>
      </w:r>
      <w:r>
        <w:rPr>
          <w:lang w:val="ru-RU" w:eastAsia="ru-RU" w:bidi="ru-RU"/>
          <w:w w:val="100"/>
          <w:spacing w:val="0"/>
          <w:color w:val="000000"/>
          <w:position w:val="0"/>
        </w:rPr>
        <w:t>Гипертрофия миокарда обоих предсердий: зубец Р остро</w:t>
        <w:softHyphen/>
        <w:t xml:space="preserve">конечный, высокоамплитудный в отведениях </w:t>
      </w:r>
      <w:r>
        <w:rPr>
          <w:lang w:val="en-US" w:eastAsia="en-US" w:bidi="en-US"/>
          <w:w w:val="100"/>
          <w:spacing w:val="0"/>
          <w:color w:val="000000"/>
          <w:position w:val="0"/>
        </w:rPr>
        <w:t>I, II, III, V</w:t>
      </w:r>
      <w:r>
        <w:rPr>
          <w:rStyle w:val="CharStyle68"/>
        </w:rPr>
        <w:t>1-2</w:t>
      </w:r>
      <w:r>
        <w:rPr>
          <w:lang w:val="en-US" w:eastAsia="en-US" w:bidi="en-US"/>
          <w:w w:val="100"/>
          <w:spacing w:val="0"/>
          <w:color w:val="000000"/>
          <w:position w:val="0"/>
        </w:rPr>
        <w:t xml:space="preserve"> </w:t>
      </w:r>
      <w:r>
        <w:rPr>
          <w:lang w:val="ru-RU" w:eastAsia="ru-RU" w:bidi="ru-RU"/>
          <w:w w:val="100"/>
          <w:spacing w:val="0"/>
          <w:color w:val="000000"/>
          <w:position w:val="0"/>
        </w:rPr>
        <w:t>(при</w:t>
        <w:softHyphen/>
        <w:t xml:space="preserve">знаки перегрузки правого предсердия), зубец </w:t>
      </w:r>
      <w:r>
        <w:rPr>
          <w:lang w:val="en-US" w:eastAsia="en-US" w:bidi="en-US"/>
          <w:w w:val="100"/>
          <w:spacing w:val="0"/>
          <w:color w:val="000000"/>
          <w:position w:val="0"/>
        </w:rPr>
        <w:t>P II, V</w:t>
      </w:r>
      <w:r>
        <w:rPr>
          <w:rStyle w:val="CharStyle68"/>
        </w:rPr>
        <w:t>5-6</w:t>
      </w:r>
      <w:r>
        <w:rPr>
          <w:lang w:val="en-US" w:eastAsia="en-US" w:bidi="en-US"/>
          <w:w w:val="100"/>
          <w:spacing w:val="0"/>
          <w:color w:val="000000"/>
          <w:position w:val="0"/>
        </w:rPr>
        <w:t xml:space="preserve"> </w:t>
      </w:r>
      <w:r>
        <w:rPr>
          <w:lang w:val="ru-RU" w:eastAsia="ru-RU" w:bidi="ru-RU"/>
          <w:w w:val="100"/>
          <w:spacing w:val="0"/>
          <w:color w:val="000000"/>
          <w:position w:val="0"/>
        </w:rPr>
        <w:t xml:space="preserve">широкий (0,13 с), двухфазный в </w:t>
      </w:r>
      <w:r>
        <w:rPr>
          <w:lang w:val="en-US" w:eastAsia="en-US" w:bidi="en-US"/>
          <w:w w:val="100"/>
          <w:spacing w:val="0"/>
          <w:color w:val="000000"/>
          <w:position w:val="0"/>
        </w:rPr>
        <w:t xml:space="preserve">aVF, </w:t>
      </w:r>
      <w:r>
        <w:rPr>
          <w:lang w:val="ru-RU" w:eastAsia="ru-RU" w:bidi="ru-RU"/>
          <w:w w:val="100"/>
          <w:spacing w:val="0"/>
          <w:color w:val="000000"/>
          <w:position w:val="0"/>
        </w:rPr>
        <w:t xml:space="preserve">V </w:t>
      </w:r>
      <w:r>
        <w:rPr>
          <w:lang w:val="ru-RU" w:eastAsia="ru-RU" w:bidi="ru-RU"/>
          <w:vertAlign w:val="subscript"/>
          <w:w w:val="100"/>
          <w:spacing w:val="0"/>
          <w:color w:val="000000"/>
          <w:position w:val="0"/>
        </w:rPr>
        <w:t>5-</w:t>
      </w:r>
      <w:r>
        <w:rPr>
          <w:lang w:val="ru-RU" w:eastAsia="ru-RU" w:bidi="ru-RU"/>
          <w:w w:val="100"/>
          <w:spacing w:val="0"/>
          <w:color w:val="000000"/>
          <w:position w:val="0"/>
        </w:rPr>
        <w:t>6, глубокая отрицательная фаза зуб</w:t>
        <w:softHyphen/>
        <w:t xml:space="preserve">ца </w:t>
      </w:r>
      <w:r>
        <w:rPr>
          <w:lang w:val="en-US" w:eastAsia="en-US" w:bidi="en-US"/>
          <w:w w:val="100"/>
          <w:spacing w:val="0"/>
          <w:color w:val="000000"/>
          <w:position w:val="0"/>
        </w:rPr>
        <w:t>P V</w:t>
      </w:r>
      <w:r>
        <w:rPr>
          <w:rStyle w:val="CharStyle68"/>
        </w:rPr>
        <w:t>1</w:t>
      </w:r>
      <w:r>
        <w:rPr>
          <w:lang w:val="en-US" w:eastAsia="en-US" w:bidi="en-US"/>
          <w:w w:val="100"/>
          <w:spacing w:val="0"/>
          <w:color w:val="000000"/>
          <w:position w:val="0"/>
        </w:rPr>
        <w:t xml:space="preserve"> </w:t>
      </w:r>
      <w:r>
        <w:rPr>
          <w:lang w:val="ru-RU" w:eastAsia="ru-RU" w:bidi="ru-RU"/>
          <w:w w:val="100"/>
          <w:spacing w:val="0"/>
          <w:color w:val="000000"/>
          <w:position w:val="0"/>
        </w:rPr>
        <w:t>(признаки перегрузки левого предсердия).</w:t>
      </w:r>
    </w:p>
    <w:p>
      <w:pPr>
        <w:widowControl w:val="0"/>
        <w:rPr>
          <w:sz w:val="2"/>
          <w:szCs w:val="2"/>
        </w:rPr>
      </w:pPr>
    </w:p>
    <w:p>
      <w:pPr>
        <w:widowControl w:val="0"/>
        <w:rPr>
          <w:sz w:val="2"/>
          <w:szCs w:val="2"/>
        </w:rPr>
        <w:sectPr>
          <w:type w:val="continuous"/>
          <w:pgSz w:w="11900" w:h="16840"/>
          <w:pgMar w:top="1574" w:left="1119" w:right="903" w:bottom="1862" w:header="0" w:footer="3" w:gutter="0"/>
          <w:rtlGutter w:val="0"/>
          <w:cols w:num="2" w:space="187"/>
          <w:noEndnote/>
          <w:docGrid w:linePitch="360"/>
        </w:sect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94" w:after="94" w:line="240" w:lineRule="exact"/>
        <w:rPr>
          <w:sz w:val="19"/>
          <w:szCs w:val="19"/>
        </w:rPr>
      </w:pPr>
    </w:p>
    <w:p>
      <w:pPr>
        <w:widowControl w:val="0"/>
        <w:rPr>
          <w:sz w:val="2"/>
          <w:szCs w:val="2"/>
        </w:rPr>
        <w:sectPr>
          <w:type w:val="continuous"/>
          <w:pgSz w:w="11900" w:h="16840"/>
          <w:pgMar w:top="1492" w:left="0" w:right="0" w:bottom="192" w:header="0" w:footer="3" w:gutter="0"/>
          <w:rtlGutter w:val="0"/>
          <w:cols w:space="720"/>
          <w:noEndnote/>
          <w:docGrid w:linePitch="360"/>
        </w:sectPr>
      </w:pPr>
    </w:p>
    <w:p>
      <w:pPr>
        <w:widowControl w:val="0"/>
        <w:spacing w:line="645" w:lineRule="exact"/>
      </w:pPr>
      <w:r>
        <w:pict>
          <v:shape id="_x0000_s1077" type="#_x0000_t75" style="position:absolute;margin-left:132.45pt;margin-top:0;width:209.75pt;height:14.9pt;z-index:-251658738;mso-wrap-distance-left:5.pt;mso-wrap-distance-right:5.pt;mso-position-horizontal-relative:margin" wrapcoords="0 0">
            <v:imagedata r:id="rId81" r:href="rId82"/>
            <w10:wrap anchorx="margin"/>
          </v:shape>
        </w:pict>
      </w:r>
    </w:p>
    <w:p>
      <w:pPr>
        <w:widowControl w:val="0"/>
        <w:rPr>
          <w:sz w:val="2"/>
          <w:szCs w:val="2"/>
        </w:rPr>
        <w:sectPr>
          <w:type w:val="continuous"/>
          <w:pgSz w:w="11900" w:h="16840"/>
          <w:pgMar w:top="1492" w:left="1114" w:right="812" w:bottom="192" w:header="0" w:footer="3" w:gutter="0"/>
          <w:rtlGutter w:val="0"/>
          <w:cols w:space="720"/>
          <w:noEndnote/>
          <w:docGrid w:linePitch="360"/>
        </w:sectPr>
      </w:pPr>
    </w:p>
    <w:p>
      <w:pPr>
        <w:pStyle w:val="Style63"/>
        <w:widowControl w:val="0"/>
        <w:keepNext w:val="0"/>
        <w:keepLines w:val="0"/>
        <w:shd w:val="clear" w:color="auto" w:fill="auto"/>
        <w:bidi w:val="0"/>
        <w:jc w:val="left"/>
        <w:spacing w:before="0" w:after="0" w:line="150" w:lineRule="exact"/>
        <w:ind w:left="0" w:right="0" w:firstLine="0"/>
        <w:sectPr>
          <w:headerReference w:type="even" r:id="rId83"/>
          <w:headerReference w:type="default" r:id="rId84"/>
          <w:headerReference w:type="first" r:id="rId85"/>
          <w:titlePg/>
          <w:pgSz w:w="11900" w:h="16840"/>
          <w:pgMar w:top="1205" w:left="893" w:right="1119" w:bottom="207" w:header="0" w:footer="3" w:gutter="0"/>
          <w:rtlGutter w:val="0"/>
          <w:cols w:space="720"/>
          <w:noEndnote/>
          <w:docGrid w:linePitch="360"/>
        </w:sectPr>
      </w:pPr>
      <w:r>
        <w:pict>
          <v:shape id="_x0000_s1080" type="#_x0000_t202" style="position:absolute;margin-left:474.pt;margin-top:0;width:11.3pt;height:11.6pt;z-index:-125829359;mso-wrap-distance-left:5.pt;mso-wrap-distance-right:5.pt;mso-position-horizontal-relative:margin" filled="f" stroked="f">
            <v:textbox style="mso-fit-shape-to-text:t" inset="0,0,0,0">
              <w:txbxContent>
                <w:p>
                  <w:pPr>
                    <w:pStyle w:val="Style63"/>
                    <w:widowControl w:val="0"/>
                    <w:keepNext w:val="0"/>
                    <w:keepLines w:val="0"/>
                    <w:shd w:val="clear" w:color="auto" w:fill="000000"/>
                    <w:bidi w:val="0"/>
                    <w:jc w:val="left"/>
                    <w:spacing w:before="0" w:after="0" w:line="150" w:lineRule="exact"/>
                    <w:ind w:left="0" w:right="0" w:firstLine="0"/>
                  </w:pPr>
                  <w:r>
                    <w:rPr>
                      <w:rStyle w:val="CharStyle89"/>
                    </w:rPr>
                    <w:t>27</w:t>
                  </w:r>
                </w:p>
              </w:txbxContent>
            </v:textbox>
            <w10:wrap type="square" side="left" anchorx="margin"/>
          </v:shape>
        </w:pict>
      </w:r>
      <w:r>
        <w:rPr>
          <w:lang w:val="ru-RU" w:eastAsia="ru-RU" w:bidi="ru-RU"/>
          <w:rFonts w:ascii="Microsoft Sans Serif" w:eastAsia="Microsoft Sans Serif" w:hAnsi="Microsoft Sans Serif" w:cs="Microsoft Sans Serif"/>
          <w:w w:val="100"/>
          <w:spacing w:val="0"/>
          <w:color w:val="000000"/>
          <w:position w:val="0"/>
        </w:rPr>
        <w:t>Глава I. Основы диагностики заболеваний сердца и сосудов</w:t>
      </w:r>
    </w:p>
    <w:p>
      <w:pPr>
        <w:widowControl w:val="0"/>
        <w:spacing w:line="360" w:lineRule="exact"/>
      </w:pPr>
      <w:r>
        <w:pict>
          <v:shape id="_x0000_s1081" type="#_x0000_t202" style="position:absolute;margin-left:5.e-002pt;margin-top:0;width:151.2pt;height:224.65pt;z-index:251657732;mso-wrap-distance-left:5.pt;mso-wrap-distance-right:5.pt;mso-position-horizontal-relative:margin" wrapcoords="3695 0 17157 0 17157 17549 21600 17721 21600 21600 0 21600 0 17721 3695 17549 3695 0" filled="f" stroked="f">
            <v:textbox style="mso-fit-shape-to-text:t" inset="0,0,0,0">
              <w:txbxContent>
                <w:p>
                  <w:pPr>
                    <w:framePr w:h="4493" w:wrap="none" w:vAnchor="text" w:hAnchor="margin" w:x="2"/>
                    <w:widowControl w:val="0"/>
                    <w:jc w:val="center"/>
                    <w:rPr>
                      <w:sz w:val="2"/>
                      <w:szCs w:val="2"/>
                    </w:rPr>
                  </w:pPr>
                  <w:r>
                    <w:pict>
                      <v:shape id="_x0000_s1082" type="#_x0000_t75" style="width:151pt;height:225pt;">
                        <v:imagedata r:id="rId86" r:href="rId87"/>
                      </v:shape>
                    </w:pict>
                  </w:r>
                </w:p>
                <w:p>
                  <w:pPr>
                    <w:pStyle w:val="Style33"/>
                    <w:widowControl w:val="0"/>
                    <w:keepNext w:val="0"/>
                    <w:keepLines w:val="0"/>
                    <w:shd w:val="clear" w:color="auto" w:fill="auto"/>
                    <w:bidi w:val="0"/>
                    <w:jc w:val="both"/>
                    <w:spacing w:before="0" w:after="0" w:line="202" w:lineRule="exact"/>
                    <w:ind w:left="0" w:right="0" w:firstLine="0"/>
                  </w:pPr>
                  <w:r>
                    <w:rPr>
                      <w:rStyle w:val="CharStyle37"/>
                    </w:rPr>
                    <w:t xml:space="preserve">Рис. 11. </w:t>
                  </w:r>
                  <w:r>
                    <w:rPr>
                      <w:rStyle w:val="CharStyle34"/>
                    </w:rPr>
                    <w:t xml:space="preserve">Гипертрофия (перегрузка) миокарда левого желудочка: электрическая ось сердца отклонена влево </w:t>
                  </w:r>
                  <w:r>
                    <w:rPr>
                      <w:rStyle w:val="CharStyle34"/>
                      <w:lang w:val="en-US" w:eastAsia="en-US" w:bidi="en-US"/>
                    </w:rPr>
                    <w:t xml:space="preserve">(a QRS </w:t>
                  </w:r>
                  <w:r>
                    <w:rPr>
                      <w:rStyle w:val="CharStyle34"/>
                    </w:rPr>
                    <w:t xml:space="preserve">-7°) </w:t>
                  </w:r>
                  <w:r>
                    <w:rPr>
                      <w:rStyle w:val="CharStyle34"/>
                      <w:lang w:val="en-US" w:eastAsia="en-US" w:bidi="en-US"/>
                    </w:rPr>
                    <w:t>R</w:t>
                  </w:r>
                  <w:r>
                    <w:rPr>
                      <w:rStyle w:val="CharStyle34"/>
                      <w:lang w:val="en-US" w:eastAsia="en-US" w:bidi="en-US"/>
                      <w:vertAlign w:val="subscript"/>
                    </w:rPr>
                    <w:t>I</w:t>
                  </w:r>
                  <w:r>
                    <w:rPr>
                      <w:rStyle w:val="CharStyle34"/>
                      <w:lang w:val="en-US" w:eastAsia="en-US" w:bidi="en-US"/>
                    </w:rPr>
                    <w:t>&gt;R</w:t>
                  </w:r>
                  <w:r>
                    <w:rPr>
                      <w:rStyle w:val="CharStyle34"/>
                      <w:lang w:val="en-US" w:eastAsia="en-US" w:bidi="en-US"/>
                      <w:vertAlign w:val="subscript"/>
                    </w:rPr>
                    <w:t>II</w:t>
                  </w:r>
                  <w:r>
                    <w:rPr>
                      <w:rStyle w:val="CharStyle34"/>
                      <w:lang w:val="en-US" w:eastAsia="en-US" w:bidi="en-US"/>
                    </w:rPr>
                    <w:t>&gt;R</w:t>
                  </w:r>
                  <w:r>
                    <w:rPr>
                      <w:rStyle w:val="CharStyle34"/>
                      <w:lang w:val="en-US" w:eastAsia="en-US" w:bidi="en-US"/>
                      <w:vertAlign w:val="subscript"/>
                    </w:rPr>
                    <w:t>III</w:t>
                  </w:r>
                  <w:r>
                    <w:rPr>
                      <w:rStyle w:val="CharStyle34"/>
                      <w:lang w:val="en-US" w:eastAsia="en-US" w:bidi="en-US"/>
                    </w:rPr>
                    <w:t xml:space="preserve">, R avL </w:t>
                  </w:r>
                  <w:r>
                    <w:rPr>
                      <w:rStyle w:val="CharStyle34"/>
                    </w:rPr>
                    <w:t xml:space="preserve">— 9 мм, зубцы </w:t>
                  </w:r>
                  <w:r>
                    <w:rPr>
                      <w:rStyle w:val="CharStyle34"/>
                      <w:lang w:val="en-US" w:eastAsia="en-US" w:bidi="en-US"/>
                    </w:rPr>
                    <w:t>R V</w:t>
                  </w:r>
                  <w:r>
                    <w:rPr>
                      <w:rStyle w:val="CharStyle34"/>
                      <w:lang w:val="en-US" w:eastAsia="en-US" w:bidi="en-US"/>
                      <w:vertAlign w:val="subscript"/>
                    </w:rPr>
                    <w:t>5-</w:t>
                  </w:r>
                  <w:r>
                    <w:rPr>
                      <w:rStyle w:val="CharStyle34"/>
                      <w:lang w:val="en-US" w:eastAsia="en-US" w:bidi="en-US"/>
                    </w:rPr>
                    <w:t xml:space="preserve">6 </w:t>
                  </w:r>
                  <w:r>
                    <w:rPr>
                      <w:rStyle w:val="CharStyle34"/>
                    </w:rPr>
                    <w:t xml:space="preserve">высокоамплитудные, </w:t>
                  </w:r>
                  <w:r>
                    <w:rPr>
                      <w:rStyle w:val="CharStyle34"/>
                      <w:lang w:val="en-US" w:eastAsia="en-US" w:bidi="en-US"/>
                    </w:rPr>
                    <w:t>R V6&gt;RV</w:t>
                  </w:r>
                  <w:r>
                    <w:rPr>
                      <w:rStyle w:val="CharStyle34"/>
                      <w:lang w:val="en-US" w:eastAsia="en-US" w:bidi="en-US"/>
                      <w:vertAlign w:val="subscript"/>
                    </w:rPr>
                    <w:t>5</w:t>
                  </w:r>
                  <w:r>
                    <w:rPr>
                      <w:rStyle w:val="CharStyle34"/>
                      <w:lang w:val="en-US" w:eastAsia="en-US" w:bidi="en-US"/>
                    </w:rPr>
                    <w:t xml:space="preserve">, </w:t>
                  </w:r>
                  <w:r>
                    <w:rPr>
                      <w:rStyle w:val="CharStyle34"/>
                    </w:rPr>
                    <w:t>глубо</w:t>
                    <w:softHyphen/>
                    <w:t xml:space="preserve">кий </w:t>
                  </w:r>
                  <w:r>
                    <w:rPr>
                      <w:rStyle w:val="CharStyle34"/>
                      <w:lang w:val="en-US" w:eastAsia="en-US" w:bidi="en-US"/>
                    </w:rPr>
                    <w:t>Q V</w:t>
                  </w:r>
                  <w:r>
                    <w:rPr>
                      <w:rStyle w:val="CharStyle34"/>
                      <w:lang w:val="en-US" w:eastAsia="en-US" w:bidi="en-US"/>
                      <w:vertAlign w:val="subscript"/>
                    </w:rPr>
                    <w:t>5-</w:t>
                  </w:r>
                  <w:r>
                    <w:rPr>
                      <w:rStyle w:val="CharStyle34"/>
                      <w:lang w:val="en-US" w:eastAsia="en-US" w:bidi="en-US"/>
                    </w:rPr>
                    <w:t xml:space="preserve">6, </w:t>
                  </w:r>
                  <w:r>
                    <w:rPr>
                      <w:rStyle w:val="CharStyle34"/>
                    </w:rPr>
                    <w:t xml:space="preserve">зубец Т </w:t>
                  </w:r>
                  <w:r>
                    <w:rPr>
                      <w:rStyle w:val="CharStyle34"/>
                      <w:lang w:val="en-US" w:eastAsia="en-US" w:bidi="en-US"/>
                    </w:rPr>
                    <w:t>V</w:t>
                  </w:r>
                  <w:r>
                    <w:rPr>
                      <w:rStyle w:val="CharStyle34"/>
                      <w:lang w:val="en-US" w:eastAsia="en-US" w:bidi="en-US"/>
                      <w:vertAlign w:val="subscript"/>
                    </w:rPr>
                    <w:t>4-</w:t>
                  </w:r>
                  <w:r>
                    <w:rPr>
                      <w:rStyle w:val="CharStyle34"/>
                      <w:lang w:val="en-US" w:eastAsia="en-US" w:bidi="en-US"/>
                    </w:rPr>
                    <w:t xml:space="preserve">6 </w:t>
                  </w:r>
                  <w:r>
                    <w:rPr>
                      <w:rStyle w:val="CharStyle34"/>
                    </w:rPr>
                    <w:t xml:space="preserve">глубокий, отрицательный, сегмент </w:t>
                  </w:r>
                  <w:r>
                    <w:rPr>
                      <w:rStyle w:val="CharStyle34"/>
                      <w:lang w:val="en-US" w:eastAsia="en-US" w:bidi="en-US"/>
                    </w:rPr>
                    <w:t>ST V</w:t>
                  </w:r>
                  <w:r>
                    <w:rPr>
                      <w:rStyle w:val="CharStyle34"/>
                      <w:lang w:val="en-US" w:eastAsia="en-US" w:bidi="en-US"/>
                      <w:vertAlign w:val="subscript"/>
                    </w:rPr>
                    <w:t>2-</w:t>
                  </w:r>
                  <w:r>
                    <w:rPr>
                      <w:rStyle w:val="CharStyle34"/>
                      <w:lang w:val="en-US" w:eastAsia="en-US" w:bidi="en-US"/>
                    </w:rPr>
                    <w:t xml:space="preserve">6 </w:t>
                  </w:r>
                  <w:r>
                    <w:rPr>
                      <w:rStyle w:val="CharStyle34"/>
                    </w:rPr>
                    <w:t>смещен ниже изолинии; перегрузка левого предсердия.</w:t>
                  </w:r>
                </w:p>
              </w:txbxContent>
            </v:textbox>
            <w10:wrap anchorx="margin"/>
          </v:shape>
        </w:pict>
      </w:r>
      <w:r>
        <w:pict>
          <v:shape id="_x0000_s1083" type="#_x0000_t202" style="position:absolute;margin-left:252.95pt;margin-top:3.1pt;width:211.2pt;height:215.3pt;z-index:251657733;mso-wrap-distance-left:5.pt;mso-wrap-distance-right:5.pt;mso-position-horizontal-relative:margin" wrapcoords="1676 0 20609 0 20609 18312 21600 19027 21600 21600 0 21600 0 19027 1676 18312 1676 0" filled="f" stroked="f">
            <v:textbox style="mso-fit-shape-to-text:t" inset="0,0,0,0">
              <w:txbxContent>
                <w:p>
                  <w:pPr>
                    <w:framePr w:h="4306" w:wrap="none" w:vAnchor="text" w:hAnchor="margin" w:x="5060" w:y="63"/>
                    <w:widowControl w:val="0"/>
                    <w:jc w:val="center"/>
                    <w:rPr>
                      <w:sz w:val="2"/>
                      <w:szCs w:val="2"/>
                    </w:rPr>
                  </w:pPr>
                  <w:r>
                    <w:pict>
                      <v:shape id="_x0000_s1084" type="#_x0000_t75" style="width:211pt;height:216pt;">
                        <v:imagedata r:id="rId88" r:href="rId89"/>
                      </v:shape>
                    </w:pict>
                  </w:r>
                </w:p>
                <w:p>
                  <w:pPr>
                    <w:pStyle w:val="Style33"/>
                    <w:widowControl w:val="0"/>
                    <w:keepNext w:val="0"/>
                    <w:keepLines w:val="0"/>
                    <w:shd w:val="clear" w:color="auto" w:fill="auto"/>
                    <w:bidi w:val="0"/>
                    <w:jc w:val="both"/>
                    <w:spacing w:before="0" w:after="0" w:line="197" w:lineRule="exact"/>
                    <w:ind w:left="0" w:right="0" w:firstLine="0"/>
                  </w:pPr>
                  <w:r>
                    <w:rPr>
                      <w:rStyle w:val="CharStyle37"/>
                    </w:rPr>
                    <w:t xml:space="preserve">Рис. 12. </w:t>
                  </w:r>
                  <w:r>
                    <w:rPr>
                      <w:rStyle w:val="CharStyle34"/>
                    </w:rPr>
                    <w:t>Гипертрофия (перегрузка) правого желудочка: электричес</w:t>
                    <w:softHyphen/>
                    <w:t xml:space="preserve">кая ось сердца отклонена вправо </w:t>
                  </w:r>
                  <w:r>
                    <w:rPr>
                      <w:rStyle w:val="CharStyle34"/>
                      <w:lang w:val="en-US" w:eastAsia="en-US" w:bidi="en-US"/>
                    </w:rPr>
                    <w:t xml:space="preserve">(a QRS </w:t>
                  </w:r>
                  <w:r>
                    <w:rPr>
                      <w:rStyle w:val="CharStyle34"/>
                    </w:rPr>
                    <w:t xml:space="preserve">+ 138°), комплекс </w:t>
                  </w:r>
                  <w:r>
                    <w:rPr>
                      <w:rStyle w:val="CharStyle34"/>
                      <w:lang w:val="en-US" w:eastAsia="en-US" w:bidi="en-US"/>
                    </w:rPr>
                    <w:t>qR V</w:t>
                  </w:r>
                  <w:r>
                    <w:rPr>
                      <w:rStyle w:val="CharStyle34"/>
                      <w:lang w:val="en-US" w:eastAsia="en-US" w:bidi="en-US"/>
                      <w:vertAlign w:val="subscript"/>
                    </w:rPr>
                    <w:t>I</w:t>
                  </w:r>
                  <w:r>
                    <w:rPr>
                      <w:rStyle w:val="CharStyle34"/>
                      <w:lang w:val="en-US" w:eastAsia="en-US" w:bidi="en-US"/>
                    </w:rPr>
                    <w:t>, R V</w:t>
                  </w:r>
                  <w:r>
                    <w:rPr>
                      <w:rStyle w:val="CharStyle34"/>
                      <w:lang w:val="en-US" w:eastAsia="en-US" w:bidi="en-US"/>
                      <w:vertAlign w:val="subscript"/>
                    </w:rPr>
                    <w:t>1</w:t>
                  </w:r>
                  <w:r>
                    <w:rPr>
                      <w:rStyle w:val="CharStyle34"/>
                      <w:lang w:val="en-US" w:eastAsia="en-US" w:bidi="en-US"/>
                    </w:rPr>
                    <w:t xml:space="preserve"> = 14 </w:t>
                  </w:r>
                  <w:r>
                    <w:rPr>
                      <w:rStyle w:val="CharStyle34"/>
                    </w:rPr>
                    <w:t xml:space="preserve">мм, </w:t>
                  </w:r>
                  <w:r>
                    <w:rPr>
                      <w:rStyle w:val="CharStyle34"/>
                      <w:lang w:val="en-US" w:eastAsia="en-US" w:bidi="en-US"/>
                    </w:rPr>
                    <w:t xml:space="preserve">R aVR = 7 </w:t>
                  </w:r>
                  <w:r>
                    <w:rPr>
                      <w:rStyle w:val="CharStyle34"/>
                    </w:rPr>
                    <w:t xml:space="preserve">мм, глубокий </w:t>
                  </w:r>
                  <w:r>
                    <w:rPr>
                      <w:rStyle w:val="CharStyle34"/>
                      <w:lang w:val="en-US" w:eastAsia="en-US" w:bidi="en-US"/>
                    </w:rPr>
                    <w:t>S V</w:t>
                  </w:r>
                  <w:r>
                    <w:rPr>
                      <w:rStyle w:val="CharStyle34"/>
                      <w:lang w:val="en-US" w:eastAsia="en-US" w:bidi="en-US"/>
                      <w:vertAlign w:val="subscript"/>
                    </w:rPr>
                    <w:t>5-</w:t>
                  </w:r>
                  <w:r>
                    <w:rPr>
                      <w:rStyle w:val="CharStyle34"/>
                      <w:lang w:val="en-US" w:eastAsia="en-US" w:bidi="en-US"/>
                    </w:rPr>
                    <w:t>6.</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82" w:lineRule="exact"/>
      </w:pPr>
    </w:p>
    <w:p>
      <w:pPr>
        <w:widowControl w:val="0"/>
        <w:rPr>
          <w:sz w:val="2"/>
          <w:szCs w:val="2"/>
        </w:rPr>
        <w:sectPr>
          <w:type w:val="continuous"/>
          <w:pgSz w:w="11900" w:h="16840"/>
          <w:pgMar w:top="1190" w:left="893" w:right="1119" w:bottom="192" w:header="0" w:footer="3" w:gutter="0"/>
          <w:rtlGutter w:val="0"/>
          <w:cols w:space="720"/>
          <w:noEndnote/>
          <w:docGrid w:linePitch="360"/>
        </w:sectPr>
      </w:pPr>
    </w:p>
    <w:p>
      <w:pPr>
        <w:widowControl w:val="0"/>
        <w:spacing w:before="51" w:after="51" w:line="240" w:lineRule="exact"/>
        <w:rPr>
          <w:sz w:val="19"/>
          <w:szCs w:val="19"/>
        </w:rPr>
      </w:pPr>
    </w:p>
    <w:p>
      <w:pPr>
        <w:widowControl w:val="0"/>
        <w:rPr>
          <w:sz w:val="2"/>
          <w:szCs w:val="2"/>
        </w:rPr>
        <w:sectPr>
          <w:type w:val="continuous"/>
          <w:pgSz w:w="11900" w:h="16840"/>
          <w:pgMar w:top="1399" w:left="0" w:right="0" w:bottom="1543" w:header="0" w:footer="3" w:gutter="0"/>
          <w:rtlGutter w:val="0"/>
          <w:cols w:space="720"/>
          <w:noEndnote/>
          <w:docGrid w:linePitch="360"/>
        </w:sectPr>
      </w:pPr>
    </w:p>
    <w:p>
      <w:pPr>
        <w:widowControl w:val="0"/>
        <w:rPr>
          <w:sz w:val="2"/>
          <w:szCs w:val="2"/>
        </w:rPr>
      </w:pPr>
      <w:r>
        <w:pict>
          <v:shape id="_x0000_s1085" type="#_x0000_t75" style="position:absolute;margin-left:141.75pt;margin-top:443.3pt;width:209.75pt;height:14.9pt;z-index:-125829358;mso-wrap-distance-left:148.1pt;mso-wrap-distance-right:136.8pt;mso-wrap-distance-bottom:10.8pt;mso-position-horizontal-relative:margin" wrapcoords="0 0 21600 0 21600 21600 0 21600 0 0">
            <v:imagedata r:id="rId90" r:href="rId91"/>
            <w10:wrap type="topAndBottom" anchorx="margin"/>
          </v:shape>
        </w:pic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2-12 лет ЭКГ-критерии левожелудочковой ги</w:t>
        <w:softHyphen/>
        <w:t>пертрофии следующие:</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отклонение электрической оси сердца влево;</w:t>
      </w:r>
    </w:p>
    <w:p>
      <w:pPr>
        <w:pStyle w:val="Style30"/>
        <w:numPr>
          <w:ilvl w:val="0"/>
          <w:numId w:val="9"/>
        </w:numPr>
        <w:tabs>
          <w:tab w:leader="none" w:pos="518"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R aVL </w:t>
      </w:r>
      <w:r>
        <w:rPr>
          <w:lang w:val="ru-RU" w:eastAsia="ru-RU" w:bidi="ru-RU"/>
          <w:w w:val="100"/>
          <w:spacing w:val="0"/>
          <w:color w:val="000000"/>
          <w:position w:val="0"/>
        </w:rPr>
        <w:t xml:space="preserve">больше 8 мм (при горизонтальном положении электрической оси) и </w:t>
      </w:r>
      <w:r>
        <w:rPr>
          <w:lang w:val="en-US" w:eastAsia="en-US" w:bidi="en-US"/>
          <w:w w:val="100"/>
          <w:spacing w:val="0"/>
          <w:color w:val="000000"/>
          <w:position w:val="0"/>
        </w:rPr>
        <w:t xml:space="preserve">R aVF </w:t>
      </w:r>
      <w:r>
        <w:rPr>
          <w:lang w:val="ru-RU" w:eastAsia="ru-RU" w:bidi="ru-RU"/>
          <w:w w:val="100"/>
          <w:spacing w:val="0"/>
          <w:color w:val="000000"/>
          <w:position w:val="0"/>
        </w:rPr>
        <w:t>больше 8 мм (при верти</w:t>
        <w:softHyphen/>
        <w:t>кальном положении);</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амплитуда </w:t>
      </w:r>
      <w:r>
        <w:rPr>
          <w:lang w:val="en-US" w:eastAsia="en-US" w:bidi="en-US"/>
          <w:w w:val="100"/>
          <w:spacing w:val="0"/>
          <w:color w:val="000000"/>
          <w:position w:val="0"/>
        </w:rPr>
        <w:t xml:space="preserve">R </w:t>
      </w:r>
      <w:r>
        <w:rPr>
          <w:lang w:val="ru-RU" w:eastAsia="ru-RU" w:bidi="ru-RU"/>
          <w:w w:val="100"/>
          <w:spacing w:val="0"/>
          <w:color w:val="000000"/>
          <w:position w:val="0"/>
        </w:rPr>
        <w:t>Уб больше 25 мм;</w:t>
      </w:r>
    </w:p>
    <w:p>
      <w:pPr>
        <w:pStyle w:val="Style30"/>
        <w:numPr>
          <w:ilvl w:val="0"/>
          <w:numId w:val="9"/>
        </w:numPr>
        <w:widowControl w:val="0"/>
        <w:keepNext w:val="0"/>
        <w:keepLines w:val="0"/>
        <w:shd w:val="clear" w:color="auto" w:fill="auto"/>
        <w:bidi w:val="0"/>
        <w:jc w:val="left"/>
        <w:spacing w:before="0" w:after="0" w:line="221" w:lineRule="exact"/>
        <w:ind w:left="520" w:right="0" w:hanging="240"/>
      </w:pPr>
      <w:r>
        <w:rPr>
          <w:lang w:val="ru-RU" w:eastAsia="ru-RU" w:bidi="ru-RU"/>
          <w:w w:val="100"/>
          <w:spacing w:val="0"/>
          <w:color w:val="000000"/>
          <w:position w:val="0"/>
        </w:rPr>
        <w:t xml:space="preserve"> глубина </w:t>
      </w:r>
      <w:r>
        <w:rPr>
          <w:lang w:val="en-US" w:eastAsia="en-US" w:bidi="en-US"/>
          <w:w w:val="100"/>
          <w:spacing w:val="0"/>
          <w:color w:val="000000"/>
          <w:position w:val="0"/>
        </w:rPr>
        <w:t xml:space="preserve">Q </w:t>
      </w:r>
      <w:r>
        <w:rPr>
          <w:lang w:val="ru-RU" w:eastAsia="ru-RU" w:bidi="ru-RU"/>
          <w:w w:val="100"/>
          <w:spacing w:val="0"/>
          <w:color w:val="000000"/>
          <w:position w:val="0"/>
        </w:rPr>
        <w:t>У</w:t>
      </w:r>
      <w:r>
        <w:rPr>
          <w:lang w:val="ru-RU" w:eastAsia="ru-RU" w:bidi="ru-RU"/>
          <w:vertAlign w:val="subscript"/>
          <w:w w:val="100"/>
          <w:spacing w:val="0"/>
          <w:color w:val="000000"/>
          <w:position w:val="0"/>
        </w:rPr>
        <w:t>5-</w:t>
      </w:r>
      <w:r>
        <w:rPr>
          <w:lang w:val="ru-RU" w:eastAsia="ru-RU" w:bidi="ru-RU"/>
          <w:w w:val="100"/>
          <w:spacing w:val="0"/>
          <w:color w:val="000000"/>
          <w:position w:val="0"/>
        </w:rPr>
        <w:t xml:space="preserve">б больше 4 мм, при этом </w:t>
      </w:r>
      <w:r>
        <w:rPr>
          <w:lang w:val="en-US" w:eastAsia="en-US" w:bidi="en-US"/>
          <w:w w:val="100"/>
          <w:spacing w:val="0"/>
          <w:color w:val="000000"/>
          <w:position w:val="0"/>
        </w:rPr>
        <w:t xml:space="preserve">R </w:t>
      </w:r>
      <w:r>
        <w:rPr>
          <w:lang w:val="ru-RU" w:eastAsia="ru-RU" w:bidi="ru-RU"/>
          <w:w w:val="100"/>
          <w:spacing w:val="0"/>
          <w:color w:val="000000"/>
          <w:position w:val="0"/>
        </w:rPr>
        <w:t>У</w:t>
      </w:r>
      <w:r>
        <w:rPr>
          <w:lang w:val="ru-RU" w:eastAsia="ru-RU" w:bidi="ru-RU"/>
          <w:vertAlign w:val="subscript"/>
          <w:w w:val="100"/>
          <w:spacing w:val="0"/>
          <w:color w:val="000000"/>
          <w:position w:val="0"/>
        </w:rPr>
        <w:t>5</w:t>
      </w:r>
      <w:r>
        <w:rPr>
          <w:lang w:val="ru-RU" w:eastAsia="ru-RU" w:bidi="ru-RU"/>
          <w:w w:val="100"/>
          <w:spacing w:val="0"/>
          <w:color w:val="000000"/>
          <w:position w:val="0"/>
        </w:rPr>
        <w:t xml:space="preserve"> больше 20 мм;</w:t>
      </w:r>
    </w:p>
    <w:p>
      <w:pPr>
        <w:pStyle w:val="Style30"/>
        <w:numPr>
          <w:ilvl w:val="0"/>
          <w:numId w:val="9"/>
        </w:numPr>
        <w:tabs>
          <w:tab w:leader="none" w:pos="518" w:val="left"/>
        </w:tabs>
        <w:widowControl w:val="0"/>
        <w:keepNext w:val="0"/>
        <w:keepLines w:val="0"/>
        <w:shd w:val="clear" w:color="auto" w:fill="auto"/>
        <w:bidi w:val="0"/>
        <w:jc w:val="left"/>
        <w:spacing w:before="0" w:after="0" w:line="221" w:lineRule="exact"/>
        <w:ind w:left="520" w:right="0" w:hanging="240"/>
      </w:pPr>
      <w:r>
        <w:rPr>
          <w:lang w:val="ru-RU" w:eastAsia="ru-RU" w:bidi="ru-RU"/>
          <w:w w:val="100"/>
          <w:spacing w:val="0"/>
          <w:color w:val="000000"/>
          <w:position w:val="0"/>
        </w:rPr>
        <w:t>время внутреннего отклонения в левых грудных отве</w:t>
        <w:softHyphen/>
        <w:t>дениях больше 0,045 с;</w:t>
      </w:r>
    </w:p>
    <w:p>
      <w:pPr>
        <w:pStyle w:val="Style30"/>
        <w:numPr>
          <w:ilvl w:val="0"/>
          <w:numId w:val="9"/>
        </w:numPr>
        <w:tabs>
          <w:tab w:leader="none" w:pos="518" w:val="left"/>
        </w:tabs>
        <w:widowControl w:val="0"/>
        <w:keepNext w:val="0"/>
        <w:keepLines w:val="0"/>
        <w:shd w:val="clear" w:color="auto" w:fill="auto"/>
        <w:bidi w:val="0"/>
        <w:spacing w:before="0" w:after="184" w:line="221" w:lineRule="exact"/>
        <w:ind w:left="0" w:right="0" w:firstLine="280"/>
      </w:pPr>
      <w:r>
        <w:rPr>
          <w:lang w:val="ru-RU" w:eastAsia="ru-RU" w:bidi="ru-RU"/>
          <w:w w:val="100"/>
          <w:spacing w:val="0"/>
          <w:color w:val="000000"/>
          <w:position w:val="0"/>
        </w:rPr>
        <w:t>Т У</w:t>
      </w:r>
      <w:r>
        <w:rPr>
          <w:lang w:val="ru-RU" w:eastAsia="ru-RU" w:bidi="ru-RU"/>
          <w:vertAlign w:val="subscript"/>
          <w:w w:val="100"/>
          <w:spacing w:val="0"/>
          <w:color w:val="000000"/>
          <w:position w:val="0"/>
        </w:rPr>
        <w:t>5-</w:t>
      </w:r>
      <w:r>
        <w:rPr>
          <w:lang w:val="ru-RU" w:eastAsia="ru-RU" w:bidi="ru-RU"/>
          <w:w w:val="100"/>
          <w:spacing w:val="0"/>
          <w:color w:val="000000"/>
          <w:position w:val="0"/>
        </w:rPr>
        <w:t>б уплощен или отрицательный.</w:t>
      </w:r>
    </w:p>
    <w:p>
      <w:pPr>
        <w:pStyle w:val="Style50"/>
        <w:widowControl w:val="0"/>
        <w:keepNext/>
        <w:keepLines/>
        <w:shd w:val="clear" w:color="auto" w:fill="auto"/>
        <w:bidi w:val="0"/>
        <w:jc w:val="both"/>
        <w:spacing w:before="0" w:after="0"/>
        <w:ind w:left="0" w:right="0" w:firstLine="280"/>
      </w:pPr>
      <w:bookmarkStart w:id="66" w:name="bookmark66"/>
      <w:r>
        <w:rPr>
          <w:lang w:val="ru-RU" w:eastAsia="ru-RU" w:bidi="ru-RU"/>
          <w:w w:val="100"/>
          <w:color w:val="000000"/>
          <w:position w:val="0"/>
        </w:rPr>
        <w:t>Гипертрофия правого желудочка</w:t>
      </w:r>
      <w:bookmarkEnd w:id="6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гипертрофия миокарда правого желудочка (рис. 12) наблюдается при различных врожденных пороках сердца (тетрада Фалло, транспозиция магистральных сосу</w:t>
        <w:softHyphen/>
        <w:t>дов, стеноз легочной артерии и др.), легочной гипертензии, хронических кардитах.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до 6 мес критериями гипертрофии правого желу</w:t>
        <w:softHyphen/>
        <w:t>дочка являются:</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R aVR </w:t>
      </w:r>
      <w:r>
        <w:rPr>
          <w:lang w:val="ru-RU" w:eastAsia="ru-RU" w:bidi="ru-RU"/>
          <w:w w:val="100"/>
          <w:spacing w:val="0"/>
          <w:color w:val="000000"/>
          <w:position w:val="0"/>
        </w:rPr>
        <w:t>более 6 мм;</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R V4 </w:t>
      </w:r>
      <w:r>
        <w:rPr>
          <w:lang w:val="ru-RU" w:eastAsia="ru-RU" w:bidi="ru-RU"/>
          <w:w w:val="100"/>
          <w:spacing w:val="0"/>
          <w:color w:val="000000"/>
          <w:position w:val="0"/>
        </w:rPr>
        <w:t>более 8 мм;</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RVi +S</w:t>
      </w:r>
      <w:r>
        <w:rPr>
          <w:lang w:val="ru-RU" w:eastAsia="ru-RU" w:bidi="ru-RU"/>
          <w:w w:val="100"/>
          <w:spacing w:val="0"/>
          <w:color w:val="000000"/>
          <w:position w:val="0"/>
        </w:rPr>
        <w:t>У</w:t>
      </w:r>
      <w:r>
        <w:rPr>
          <w:lang w:val="ru-RU" w:eastAsia="ru-RU" w:bidi="ru-RU"/>
          <w:vertAlign w:val="subscript"/>
          <w:w w:val="100"/>
          <w:spacing w:val="0"/>
          <w:color w:val="000000"/>
          <w:position w:val="0"/>
        </w:rPr>
        <w:t>5</w:t>
      </w:r>
      <w:r>
        <w:rPr>
          <w:lang w:val="ru-RU" w:eastAsia="ru-RU" w:bidi="ru-RU"/>
          <w:w w:val="100"/>
          <w:spacing w:val="0"/>
          <w:color w:val="000000"/>
          <w:position w:val="0"/>
        </w:rPr>
        <w:t xml:space="preserve"> более 10 мм;</w:t>
      </w:r>
    </w:p>
    <w:p>
      <w:pPr>
        <w:pStyle w:val="Style30"/>
        <w:numPr>
          <w:ilvl w:val="0"/>
          <w:numId w:val="9"/>
        </w:numPr>
        <w:tabs>
          <w:tab w:leader="none" w:pos="518" w:val="left"/>
        </w:tabs>
        <w:widowControl w:val="0"/>
        <w:keepNext w:val="0"/>
        <w:keepLines w:val="0"/>
        <w:shd w:val="clear" w:color="auto" w:fill="auto"/>
        <w:bidi w:val="0"/>
        <w:spacing w:before="0" w:after="16" w:line="180" w:lineRule="exact"/>
        <w:ind w:left="0" w:right="0" w:firstLine="280"/>
      </w:pPr>
      <w:r>
        <w:rPr>
          <w:lang w:val="en-US" w:eastAsia="en-US" w:bidi="en-US"/>
          <w:w w:val="100"/>
          <w:spacing w:val="0"/>
          <w:color w:val="000000"/>
          <w:position w:val="0"/>
        </w:rPr>
        <w:t xml:space="preserve">R/S </w:t>
      </w:r>
      <w:r>
        <w:rPr>
          <w:lang w:val="ru-RU" w:eastAsia="ru-RU" w:bidi="ru-RU"/>
          <w:w w:val="100"/>
          <w:spacing w:val="0"/>
          <w:color w:val="000000"/>
          <w:position w:val="0"/>
        </w:rPr>
        <w:t>в У</w:t>
      </w:r>
      <w:r>
        <w:rPr>
          <w:lang w:val="ru-RU" w:eastAsia="ru-RU" w:bidi="ru-RU"/>
          <w:vertAlign w:val="subscript"/>
          <w:w w:val="100"/>
          <w:spacing w:val="0"/>
          <w:color w:val="000000"/>
          <w:position w:val="0"/>
        </w:rPr>
        <w:t>1</w:t>
      </w:r>
      <w:r>
        <w:rPr>
          <w:lang w:val="ru-RU" w:eastAsia="ru-RU" w:bidi="ru-RU"/>
          <w:w w:val="100"/>
          <w:spacing w:val="0"/>
          <w:color w:val="000000"/>
          <w:position w:val="0"/>
        </w:rPr>
        <w:t xml:space="preserve"> более 6;</w:t>
      </w:r>
    </w:p>
    <w:p>
      <w:pPr>
        <w:pStyle w:val="Style30"/>
        <w:numPr>
          <w:ilvl w:val="0"/>
          <w:numId w:val="9"/>
        </w:numPr>
        <w:tabs>
          <w:tab w:leader="none" w:pos="518" w:val="left"/>
        </w:tabs>
        <w:widowControl w:val="0"/>
        <w:keepNext w:val="0"/>
        <w:keepLines w:val="0"/>
        <w:shd w:val="clear" w:color="auto" w:fill="auto"/>
        <w:bidi w:val="0"/>
        <w:spacing w:before="0" w:after="17" w:line="190" w:lineRule="exact"/>
        <w:ind w:left="0" w:right="0" w:firstLine="280"/>
      </w:pPr>
      <w:r>
        <w:rPr>
          <w:lang w:val="en-US" w:eastAsia="en-US" w:bidi="en-US"/>
          <w:w w:val="100"/>
          <w:spacing w:val="0"/>
          <w:color w:val="000000"/>
          <w:position w:val="0"/>
        </w:rPr>
        <w:t xml:space="preserve">qR </w:t>
      </w:r>
      <w:r>
        <w:rPr>
          <w:lang w:val="ru-RU" w:eastAsia="ru-RU" w:bidi="ru-RU"/>
          <w:w w:val="100"/>
          <w:spacing w:val="0"/>
          <w:color w:val="000000"/>
          <w:position w:val="0"/>
        </w:rPr>
        <w:t>вУ</w:t>
      </w:r>
      <w:r>
        <w:rPr>
          <w:rStyle w:val="CharStyle32"/>
        </w:rPr>
        <w:t>1</w:t>
      </w:r>
      <w:r>
        <w:rPr>
          <w:lang w:val="ru-RU" w:eastAsia="ru-RU" w:bidi="ru-RU"/>
          <w:w w:val="100"/>
          <w:spacing w:val="0"/>
          <w:color w:val="000000"/>
          <w:position w:val="0"/>
        </w:rPr>
        <w:t>-</w:t>
      </w:r>
      <w:r>
        <w:rPr>
          <w:rStyle w:val="CharStyle32"/>
        </w:rPr>
        <w:t>2</w:t>
      </w:r>
      <w:r>
        <w:rPr>
          <w:lang w:val="ru-RU" w:eastAsia="ru-RU" w:bidi="ru-RU"/>
          <w:w w:val="100"/>
          <w:spacing w:val="0"/>
          <w:color w:val="000000"/>
          <w:position w:val="0"/>
        </w:rPr>
        <w:t>;</w:t>
      </w:r>
    </w:p>
    <w:p>
      <w:pPr>
        <w:pStyle w:val="Style30"/>
        <w:numPr>
          <w:ilvl w:val="0"/>
          <w:numId w:val="9"/>
        </w:numPr>
        <w:tabs>
          <w:tab w:leader="none" w:pos="518" w:val="left"/>
        </w:tabs>
        <w:widowControl w:val="0"/>
        <w:keepNext w:val="0"/>
        <w:keepLines w:val="0"/>
        <w:shd w:val="clear" w:color="auto" w:fill="auto"/>
        <w:bidi w:val="0"/>
        <w:spacing w:before="0" w:after="0" w:line="180" w:lineRule="exact"/>
        <w:ind w:left="0" w:right="0" w:firstLine="280"/>
      </w:pPr>
      <w:r>
        <w:rPr>
          <w:lang w:val="ru-RU" w:eastAsia="ru-RU" w:bidi="ru-RU"/>
          <w:w w:val="100"/>
          <w:spacing w:val="0"/>
          <w:color w:val="000000"/>
          <w:position w:val="0"/>
        </w:rPr>
        <w:t>время внутреннего отклонения в У</w:t>
      </w:r>
      <w:r>
        <w:rPr>
          <w:lang w:val="ru-RU" w:eastAsia="ru-RU" w:bidi="ru-RU"/>
          <w:vertAlign w:val="subscript"/>
          <w:w w:val="100"/>
          <w:spacing w:val="0"/>
          <w:color w:val="000000"/>
          <w:position w:val="0"/>
        </w:rPr>
        <w:t>1-2</w:t>
      </w:r>
      <w:r>
        <w:rPr>
          <w:lang w:val="ru-RU" w:eastAsia="ru-RU" w:bidi="ru-RU"/>
          <w:w w:val="100"/>
          <w:spacing w:val="0"/>
          <w:color w:val="000000"/>
          <w:position w:val="0"/>
        </w:rPr>
        <w:t xml:space="preserve"> более + 140°.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от 6 мес до 2 лет ЭКГ-критерии правожелудоч</w:t>
        <w:softHyphen/>
        <w:t>ковой гипертрофии следующие:</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зубец </w:t>
      </w:r>
      <w:r>
        <w:rPr>
          <w:lang w:val="en-US" w:eastAsia="en-US" w:bidi="en-US"/>
          <w:w w:val="100"/>
          <w:spacing w:val="0"/>
          <w:color w:val="000000"/>
          <w:position w:val="0"/>
        </w:rPr>
        <w:t xml:space="preserve">R aVR </w:t>
      </w:r>
      <w:r>
        <w:rPr>
          <w:lang w:val="ru-RU" w:eastAsia="ru-RU" w:bidi="ru-RU"/>
          <w:w w:val="100"/>
          <w:spacing w:val="0"/>
          <w:color w:val="000000"/>
          <w:position w:val="0"/>
        </w:rPr>
        <w:t>более 5 мм;</w:t>
      </w:r>
    </w:p>
    <w:p>
      <w:pPr>
        <w:pStyle w:val="Style30"/>
        <w:numPr>
          <w:ilvl w:val="0"/>
          <w:numId w:val="9"/>
        </w:numPr>
        <w:tabs>
          <w:tab w:leader="none" w:pos="518"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RV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+S </w:t>
      </w:r>
      <w:r>
        <w:rPr>
          <w:lang w:val="ru-RU" w:eastAsia="ru-RU" w:bidi="ru-RU"/>
          <w:w w:val="100"/>
          <w:spacing w:val="0"/>
          <w:color w:val="000000"/>
          <w:position w:val="0"/>
        </w:rPr>
        <w:t>У</w:t>
      </w:r>
      <w:r>
        <w:rPr>
          <w:lang w:val="ru-RU" w:eastAsia="ru-RU" w:bidi="ru-RU"/>
          <w:vertAlign w:val="subscript"/>
          <w:w w:val="100"/>
          <w:spacing w:val="0"/>
          <w:color w:val="000000"/>
          <w:position w:val="0"/>
        </w:rPr>
        <w:t>5</w:t>
      </w:r>
      <w:r>
        <w:rPr>
          <w:lang w:val="ru-RU" w:eastAsia="ru-RU" w:bidi="ru-RU"/>
          <w:w w:val="100"/>
          <w:spacing w:val="0"/>
          <w:color w:val="000000"/>
          <w:position w:val="0"/>
        </w:rPr>
        <w:t xml:space="preserve"> более 10 мм;</w:t>
      </w:r>
    </w:p>
    <w:p>
      <w:pPr>
        <w:pStyle w:val="Style30"/>
        <w:numPr>
          <w:ilvl w:val="0"/>
          <w:numId w:val="9"/>
        </w:numPr>
        <w:tabs>
          <w:tab w:leader="none" w:pos="518" w:val="left"/>
        </w:tabs>
        <w:widowControl w:val="0"/>
        <w:keepNext w:val="0"/>
        <w:keepLines w:val="0"/>
        <w:shd w:val="clear" w:color="auto" w:fill="auto"/>
        <w:bidi w:val="0"/>
        <w:spacing w:before="0" w:after="0" w:line="230" w:lineRule="exact"/>
        <w:ind w:left="0" w:right="0" w:firstLine="280"/>
      </w:pPr>
      <w:r>
        <w:rPr>
          <w:lang w:val="en-US" w:eastAsia="en-US" w:bidi="en-US"/>
          <w:w w:val="100"/>
          <w:spacing w:val="0"/>
          <w:color w:val="000000"/>
          <w:position w:val="0"/>
        </w:rPr>
        <w:t xml:space="preserve">R/S </w:t>
      </w:r>
      <w:r>
        <w:rPr>
          <w:lang w:val="ru-RU" w:eastAsia="ru-RU" w:bidi="ru-RU"/>
          <w:w w:val="100"/>
          <w:spacing w:val="0"/>
          <w:color w:val="000000"/>
          <w:position w:val="0"/>
        </w:rPr>
        <w:t xml:space="preserve">в </w:t>
      </w:r>
      <w:r>
        <w:rPr>
          <w:lang w:val="en-US" w:eastAsia="en-US" w:bidi="en-US"/>
          <w:w w:val="100"/>
          <w:spacing w:val="0"/>
          <w:color w:val="000000"/>
          <w:position w:val="0"/>
        </w:rPr>
        <w:t>V</w:t>
      </w:r>
      <w:r>
        <w:rPr>
          <w:rStyle w:val="CharStyle32"/>
          <w:lang w:val="en-US" w:eastAsia="en-US" w:bidi="en-US"/>
        </w:rPr>
        <w:t>1</w:t>
      </w:r>
      <w:r>
        <w:rPr>
          <w:lang w:val="en-US" w:eastAsia="en-US" w:bidi="en-US"/>
          <w:w w:val="100"/>
          <w:spacing w:val="0"/>
          <w:color w:val="000000"/>
          <w:position w:val="0"/>
        </w:rPr>
        <w:t xml:space="preserve"> </w:t>
      </w:r>
      <w:r>
        <w:rPr>
          <w:lang w:val="ru-RU" w:eastAsia="ru-RU" w:bidi="ru-RU"/>
          <w:w w:val="100"/>
          <w:spacing w:val="0"/>
          <w:color w:val="000000"/>
          <w:position w:val="0"/>
        </w:rPr>
        <w:t>более 5;</w:t>
      </w:r>
    </w:p>
    <w:p>
      <w:pPr>
        <w:pStyle w:val="Style30"/>
        <w:numPr>
          <w:ilvl w:val="0"/>
          <w:numId w:val="9"/>
        </w:numPr>
        <w:tabs>
          <w:tab w:leader="none" w:pos="518" w:val="left"/>
        </w:tabs>
        <w:widowControl w:val="0"/>
        <w:keepNext w:val="0"/>
        <w:keepLines w:val="0"/>
        <w:shd w:val="clear" w:color="auto" w:fill="auto"/>
        <w:bidi w:val="0"/>
        <w:spacing w:before="0" w:after="0" w:line="230" w:lineRule="exact"/>
        <w:ind w:left="0" w:right="0" w:firstLine="280"/>
      </w:pPr>
      <w:r>
        <w:rPr>
          <w:lang w:val="ru-RU" w:eastAsia="ru-RU" w:bidi="ru-RU"/>
          <w:w w:val="100"/>
          <w:spacing w:val="0"/>
          <w:color w:val="000000"/>
          <w:position w:val="0"/>
        </w:rPr>
        <w:t xml:space="preserve">форма </w:t>
      </w:r>
      <w:r>
        <w:rPr>
          <w:lang w:val="en-US" w:eastAsia="en-US" w:bidi="en-US"/>
          <w:w w:val="100"/>
          <w:spacing w:val="0"/>
          <w:color w:val="000000"/>
          <w:position w:val="0"/>
        </w:rPr>
        <w:t xml:space="preserve">qR </w:t>
      </w:r>
      <w:r>
        <w:rPr>
          <w:lang w:val="ru-RU" w:eastAsia="ru-RU" w:bidi="ru-RU"/>
          <w:w w:val="100"/>
          <w:spacing w:val="0"/>
          <w:color w:val="000000"/>
          <w:position w:val="0"/>
        </w:rPr>
        <w:t xml:space="preserve">в У </w:t>
      </w:r>
      <w:r>
        <w:rPr>
          <w:lang w:val="ru-RU" w:eastAsia="ru-RU" w:bidi="ru-RU"/>
          <w:vertAlign w:val="subscript"/>
          <w:w w:val="100"/>
          <w:spacing w:val="0"/>
          <w:color w:val="000000"/>
          <w:position w:val="0"/>
        </w:rPr>
        <w:t>1-2;</w:t>
      </w:r>
    </w:p>
    <w:p>
      <w:pPr>
        <w:pStyle w:val="Style30"/>
        <w:numPr>
          <w:ilvl w:val="0"/>
          <w:numId w:val="9"/>
        </w:numPr>
        <w:tabs>
          <w:tab w:leader="none" w:pos="518" w:val="left"/>
        </w:tabs>
        <w:widowControl w:val="0"/>
        <w:keepNext w:val="0"/>
        <w:keepLines w:val="0"/>
        <w:shd w:val="clear" w:color="auto" w:fill="auto"/>
        <w:bidi w:val="0"/>
        <w:spacing w:before="0" w:after="0" w:line="230" w:lineRule="exact"/>
        <w:ind w:left="0" w:right="0" w:firstLine="280"/>
      </w:pPr>
      <w:r>
        <w:rPr>
          <w:lang w:val="ru-RU" w:eastAsia="ru-RU" w:bidi="ru-RU"/>
          <w:w w:val="100"/>
          <w:spacing w:val="0"/>
          <w:color w:val="000000"/>
          <w:position w:val="0"/>
        </w:rPr>
        <w:t xml:space="preserve">время внутреннего отклонения в </w:t>
      </w:r>
      <w:r>
        <w:rPr>
          <w:lang w:val="en-US" w:eastAsia="en-US" w:bidi="en-US"/>
          <w:w w:val="100"/>
          <w:spacing w:val="0"/>
          <w:color w:val="000000"/>
          <w:position w:val="0"/>
        </w:rPr>
        <w:t>V</w:t>
      </w:r>
      <w:r>
        <w:rPr>
          <w:rStyle w:val="CharStyle32"/>
          <w:lang w:val="en-US" w:eastAsia="en-US" w:bidi="en-US"/>
        </w:rPr>
        <w:t>1-2</w:t>
      </w:r>
      <w:r>
        <w:rPr>
          <w:lang w:val="en-US" w:eastAsia="en-US" w:bidi="en-US"/>
          <w:w w:val="100"/>
          <w:spacing w:val="0"/>
          <w:color w:val="000000"/>
          <w:position w:val="0"/>
        </w:rPr>
        <w:t xml:space="preserve"> </w:t>
      </w:r>
      <w:r>
        <w:rPr>
          <w:lang w:val="ru-RU" w:eastAsia="ru-RU" w:bidi="ru-RU"/>
          <w:w w:val="100"/>
          <w:spacing w:val="0"/>
          <w:color w:val="000000"/>
          <w:position w:val="0"/>
        </w:rPr>
        <w:t>более 0,04;</w:t>
      </w:r>
    </w:p>
    <w:p>
      <w:pPr>
        <w:pStyle w:val="Style30"/>
        <w:numPr>
          <w:ilvl w:val="0"/>
          <w:numId w:val="9"/>
        </w:numPr>
        <w:tabs>
          <w:tab w:leader="none" w:pos="517" w:val="left"/>
        </w:tabs>
        <w:widowControl w:val="0"/>
        <w:keepNext w:val="0"/>
        <w:keepLines w:val="0"/>
        <w:shd w:val="clear" w:color="auto" w:fill="auto"/>
        <w:bidi w:val="0"/>
        <w:spacing w:before="0" w:after="0" w:line="221" w:lineRule="exact"/>
        <w:ind w:left="520" w:right="0" w:hanging="240"/>
      </w:pPr>
      <w:r>
        <w:br w:type="column"/>
      </w:r>
      <w:r>
        <w:rPr>
          <w:lang w:val="ru-RU" w:eastAsia="ru-RU" w:bidi="ru-RU"/>
          <w:w w:val="100"/>
          <w:spacing w:val="0"/>
          <w:color w:val="000000"/>
          <w:position w:val="0"/>
        </w:rPr>
        <w:t>отклонение электрической оси сердца вправо более + 140°.</w:t>
      </w:r>
    </w:p>
    <w:p>
      <w:pPr>
        <w:pStyle w:val="Style30"/>
        <w:widowControl w:val="0"/>
        <w:keepNext w:val="0"/>
        <w:keepLines w:val="0"/>
        <w:shd w:val="clear" w:color="auto" w:fill="auto"/>
        <w:bidi w:val="0"/>
        <w:spacing w:before="0" w:after="0" w:line="221" w:lineRule="exact"/>
        <w:ind w:left="520" w:right="0" w:hanging="240"/>
      </w:pPr>
      <w:r>
        <w:rPr>
          <w:lang w:val="ru-RU" w:eastAsia="ru-RU" w:bidi="ru-RU"/>
          <w:w w:val="100"/>
          <w:spacing w:val="0"/>
          <w:color w:val="000000"/>
          <w:position w:val="0"/>
        </w:rPr>
        <w:t>Для детей от 2 до 12 лет предложены следующие критерии:</w:t>
      </w:r>
    </w:p>
    <w:p>
      <w:pPr>
        <w:pStyle w:val="Style30"/>
        <w:numPr>
          <w:ilvl w:val="0"/>
          <w:numId w:val="9"/>
        </w:numPr>
        <w:tabs>
          <w:tab w:leader="none" w:pos="517" w:val="left"/>
        </w:tabs>
        <w:widowControl w:val="0"/>
        <w:keepNext w:val="0"/>
        <w:keepLines w:val="0"/>
        <w:shd w:val="clear" w:color="auto" w:fill="auto"/>
        <w:bidi w:val="0"/>
        <w:spacing w:before="0" w:after="0" w:line="221" w:lineRule="exact"/>
        <w:ind w:left="520" w:right="0" w:hanging="240"/>
      </w:pPr>
      <w:r>
        <w:rPr>
          <w:lang w:val="ru-RU" w:eastAsia="ru-RU" w:bidi="ru-RU"/>
          <w:w w:val="100"/>
          <w:spacing w:val="0"/>
          <w:color w:val="000000"/>
          <w:position w:val="0"/>
        </w:rPr>
        <w:t xml:space="preserve">зубец </w:t>
      </w:r>
      <w:r>
        <w:rPr>
          <w:lang w:val="en-US" w:eastAsia="en-US" w:bidi="en-US"/>
          <w:w w:val="100"/>
          <w:spacing w:val="0"/>
          <w:color w:val="000000"/>
          <w:position w:val="0"/>
        </w:rPr>
        <w:t xml:space="preserve">R aVR </w:t>
      </w:r>
      <w:r>
        <w:rPr>
          <w:lang w:val="ru-RU" w:eastAsia="ru-RU" w:bidi="ru-RU"/>
          <w:w w:val="100"/>
          <w:spacing w:val="0"/>
          <w:color w:val="000000"/>
          <w:position w:val="0"/>
        </w:rPr>
        <w:t>более 4 мм;</w:t>
      </w:r>
    </w:p>
    <w:p>
      <w:pPr>
        <w:pStyle w:val="Style30"/>
        <w:numPr>
          <w:ilvl w:val="0"/>
          <w:numId w:val="9"/>
        </w:numPr>
        <w:tabs>
          <w:tab w:leader="none" w:pos="517" w:val="left"/>
        </w:tabs>
        <w:widowControl w:val="0"/>
        <w:keepNext w:val="0"/>
        <w:keepLines w:val="0"/>
        <w:shd w:val="clear" w:color="auto" w:fill="auto"/>
        <w:bidi w:val="0"/>
        <w:spacing w:before="0" w:after="0" w:line="221" w:lineRule="exact"/>
        <w:ind w:left="520" w:right="0" w:hanging="240"/>
      </w:pPr>
      <w:r>
        <w:rPr>
          <w:lang w:val="ru-RU" w:eastAsia="ru-RU" w:bidi="ru-RU"/>
          <w:w w:val="100"/>
          <w:spacing w:val="0"/>
          <w:color w:val="000000"/>
          <w:position w:val="0"/>
        </w:rPr>
        <w:t xml:space="preserve">зубец </w:t>
      </w:r>
      <w:r>
        <w:rPr>
          <w:lang w:val="en-US" w:eastAsia="en-US" w:bidi="en-US"/>
          <w:w w:val="100"/>
          <w:spacing w:val="0"/>
          <w:color w:val="000000"/>
          <w:position w:val="0"/>
        </w:rPr>
        <w:t>R V</w:t>
      </w:r>
      <w:r>
        <w:rPr>
          <w:rStyle w:val="CharStyle87"/>
          <w:vertAlign w:val="subscript"/>
        </w:rPr>
        <w:t>1</w:t>
      </w:r>
      <w:r>
        <w:rPr>
          <w:rStyle w:val="CharStyle87"/>
        </w:rPr>
        <w:t xml:space="preserve"> </w:t>
      </w:r>
      <w:r>
        <w:rPr>
          <w:lang w:val="ru-RU" w:eastAsia="ru-RU" w:bidi="ru-RU"/>
          <w:w w:val="100"/>
          <w:spacing w:val="0"/>
          <w:color w:val="000000"/>
          <w:position w:val="0"/>
        </w:rPr>
        <w:t>более 17 мм;</w:t>
      </w:r>
    </w:p>
    <w:p>
      <w:pPr>
        <w:pStyle w:val="Style30"/>
        <w:numPr>
          <w:ilvl w:val="0"/>
          <w:numId w:val="9"/>
        </w:numPr>
        <w:tabs>
          <w:tab w:leader="none" w:pos="517" w:val="left"/>
        </w:tabs>
        <w:widowControl w:val="0"/>
        <w:keepNext w:val="0"/>
        <w:keepLines w:val="0"/>
        <w:shd w:val="clear" w:color="auto" w:fill="auto"/>
        <w:bidi w:val="0"/>
        <w:spacing w:before="0" w:after="0" w:line="221" w:lineRule="exact"/>
        <w:ind w:left="520" w:right="0" w:hanging="240"/>
      </w:pPr>
      <w:r>
        <w:rPr>
          <w:lang w:val="ru-RU" w:eastAsia="ru-RU" w:bidi="ru-RU"/>
          <w:w w:val="100"/>
          <w:spacing w:val="0"/>
          <w:color w:val="000000"/>
          <w:position w:val="0"/>
        </w:rPr>
        <w:t xml:space="preserve">отношение </w:t>
      </w:r>
      <w:r>
        <w:rPr>
          <w:lang w:val="en-US" w:eastAsia="en-US" w:bidi="en-US"/>
          <w:w w:val="100"/>
          <w:spacing w:val="0"/>
          <w:color w:val="000000"/>
          <w:position w:val="0"/>
        </w:rPr>
        <w:t xml:space="preserve">R/S </w:t>
      </w:r>
      <w:r>
        <w:rPr>
          <w:lang w:val="ru-RU" w:eastAsia="ru-RU" w:bidi="ru-RU"/>
          <w:w w:val="100"/>
          <w:spacing w:val="0"/>
          <w:color w:val="000000"/>
          <w:position w:val="0"/>
        </w:rPr>
        <w:t>более 4;</w:t>
      </w:r>
    </w:p>
    <w:p>
      <w:pPr>
        <w:pStyle w:val="Style30"/>
        <w:numPr>
          <w:ilvl w:val="0"/>
          <w:numId w:val="9"/>
        </w:numPr>
        <w:tabs>
          <w:tab w:leader="none" w:pos="517" w:val="left"/>
        </w:tabs>
        <w:widowControl w:val="0"/>
        <w:keepNext w:val="0"/>
        <w:keepLines w:val="0"/>
        <w:shd w:val="clear" w:color="auto" w:fill="auto"/>
        <w:bidi w:val="0"/>
        <w:spacing w:before="0" w:after="0" w:line="221" w:lineRule="exact"/>
        <w:ind w:left="520" w:right="0" w:hanging="240"/>
      </w:pPr>
      <w:r>
        <w:rPr>
          <w:lang w:val="ru-RU" w:eastAsia="ru-RU" w:bidi="ru-RU"/>
          <w:w w:val="100"/>
          <w:spacing w:val="0"/>
          <w:color w:val="000000"/>
          <w:position w:val="0"/>
        </w:rPr>
        <w:t xml:space="preserve">форма </w:t>
      </w:r>
      <w:r>
        <w:rPr>
          <w:lang w:val="en-US" w:eastAsia="en-US" w:bidi="en-US"/>
          <w:w w:val="100"/>
          <w:spacing w:val="0"/>
          <w:color w:val="000000"/>
          <w:position w:val="0"/>
        </w:rPr>
        <w:t xml:space="preserve">qR </w:t>
      </w:r>
      <w:r>
        <w:rPr>
          <w:lang w:val="ru-RU" w:eastAsia="ru-RU" w:bidi="ru-RU"/>
          <w:w w:val="100"/>
          <w:spacing w:val="0"/>
          <w:color w:val="000000"/>
          <w:position w:val="0"/>
        </w:rPr>
        <w:t xml:space="preserve">в </w:t>
      </w:r>
      <w:r>
        <w:rPr>
          <w:lang w:val="en-US" w:eastAsia="en-US" w:bidi="en-US"/>
          <w:w w:val="100"/>
          <w:spacing w:val="0"/>
          <w:color w:val="000000"/>
          <w:position w:val="0"/>
        </w:rPr>
        <w:t>V</w:t>
      </w:r>
      <w:r>
        <w:rPr>
          <w:rStyle w:val="CharStyle87"/>
          <w:vertAlign w:val="subscript"/>
        </w:rPr>
        <w:t>1-2;</w:t>
      </w:r>
    </w:p>
    <w:p>
      <w:pPr>
        <w:pStyle w:val="Style30"/>
        <w:numPr>
          <w:ilvl w:val="0"/>
          <w:numId w:val="9"/>
        </w:numPr>
        <w:tabs>
          <w:tab w:leader="none" w:pos="517" w:val="left"/>
        </w:tabs>
        <w:widowControl w:val="0"/>
        <w:keepNext w:val="0"/>
        <w:keepLines w:val="0"/>
        <w:shd w:val="clear" w:color="auto" w:fill="auto"/>
        <w:bidi w:val="0"/>
        <w:spacing w:before="0" w:after="0" w:line="226" w:lineRule="exact"/>
        <w:ind w:left="520" w:right="0" w:hanging="240"/>
      </w:pPr>
      <w:r>
        <w:rPr>
          <w:lang w:val="ru-RU" w:eastAsia="ru-RU" w:bidi="ru-RU"/>
          <w:w w:val="100"/>
          <w:spacing w:val="0"/>
          <w:color w:val="000000"/>
          <w:position w:val="0"/>
        </w:rPr>
        <w:t xml:space="preserve">время внутреннего отклонения в </w:t>
      </w:r>
      <w:r>
        <w:rPr>
          <w:lang w:val="en-US" w:eastAsia="en-US" w:bidi="en-US"/>
          <w:w w:val="100"/>
          <w:spacing w:val="0"/>
          <w:color w:val="000000"/>
          <w:position w:val="0"/>
        </w:rPr>
        <w:t>V</w:t>
      </w:r>
      <w:r>
        <w:rPr>
          <w:rStyle w:val="CharStyle87"/>
        </w:rPr>
        <w:t xml:space="preserve">1-2 </w:t>
      </w:r>
      <w:r>
        <w:rPr>
          <w:lang w:val="ru-RU" w:eastAsia="ru-RU" w:bidi="ru-RU"/>
          <w:w w:val="100"/>
          <w:spacing w:val="0"/>
          <w:color w:val="000000"/>
          <w:position w:val="0"/>
        </w:rPr>
        <w:t xml:space="preserve">более </w:t>
      </w:r>
      <w:r>
        <w:rPr>
          <w:lang w:val="en-US" w:eastAsia="en-US" w:bidi="en-US"/>
          <w:w w:val="100"/>
          <w:spacing w:val="0"/>
          <w:color w:val="000000"/>
          <w:position w:val="0"/>
        </w:rPr>
        <w:t xml:space="preserve">0,03 </w:t>
      </w:r>
      <w:r>
        <w:rPr>
          <w:lang w:val="ru-RU" w:eastAsia="ru-RU" w:bidi="ru-RU"/>
          <w:w w:val="100"/>
          <w:spacing w:val="0"/>
          <w:color w:val="000000"/>
          <w:position w:val="0"/>
        </w:rPr>
        <w:t>с;</w:t>
      </w:r>
    </w:p>
    <w:p>
      <w:pPr>
        <w:pStyle w:val="Style30"/>
        <w:numPr>
          <w:ilvl w:val="0"/>
          <w:numId w:val="9"/>
        </w:numPr>
        <w:tabs>
          <w:tab w:leader="none" w:pos="517" w:val="left"/>
        </w:tabs>
        <w:widowControl w:val="0"/>
        <w:keepNext w:val="0"/>
        <w:keepLines w:val="0"/>
        <w:shd w:val="clear" w:color="auto" w:fill="auto"/>
        <w:bidi w:val="0"/>
        <w:spacing w:before="0" w:after="184" w:line="226" w:lineRule="exact"/>
        <w:ind w:left="520" w:right="0" w:hanging="240"/>
      </w:pPr>
      <w:r>
        <w:rPr>
          <w:lang w:val="ru-RU" w:eastAsia="ru-RU" w:bidi="ru-RU"/>
          <w:w w:val="100"/>
          <w:spacing w:val="0"/>
          <w:color w:val="000000"/>
          <w:position w:val="0"/>
        </w:rPr>
        <w:t>отклонение электрической оси сердца вправо более + 110°.</w:t>
      </w:r>
    </w:p>
    <w:p>
      <w:pPr>
        <w:pStyle w:val="Style50"/>
        <w:widowControl w:val="0"/>
        <w:keepNext/>
        <w:keepLines/>
        <w:shd w:val="clear" w:color="auto" w:fill="auto"/>
        <w:bidi w:val="0"/>
        <w:jc w:val="both"/>
        <w:spacing w:before="0" w:after="0" w:line="221" w:lineRule="exact"/>
        <w:ind w:left="520" w:right="0"/>
      </w:pPr>
      <w:bookmarkStart w:id="67" w:name="bookmark67"/>
      <w:r>
        <w:rPr>
          <w:lang w:val="ru-RU" w:eastAsia="ru-RU" w:bidi="ru-RU"/>
          <w:w w:val="100"/>
          <w:color w:val="000000"/>
          <w:position w:val="0"/>
        </w:rPr>
        <w:t>Комбинированная гипертрофия миокарда желудочков</w:t>
      </w:r>
      <w:bookmarkEnd w:id="67"/>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Электрокардиографические признаки бивентрикуляр</w:t>
        <w:softHyphen/>
        <w:t>ной гипертрофии миокарда желудочков (рис. 13) у детей встречаются при врожденных пороках сердца (дефект меж</w:t>
        <w:softHyphen/>
        <w:t>желудочковой перегородки и открытый артериальный про</w:t>
        <w:softHyphen/>
        <w:t>ток, осложненные легочной гипертензией и др.), при кар</w:t>
        <w:softHyphen/>
        <w:t>дитах, кардиопатиях, приобретенных пороках сердца (мит</w:t>
        <w:softHyphen/>
        <w:t>ральная недостаточность с легочной гипертензией, аор</w:t>
        <w:softHyphen/>
        <w:t>тальный порок с митрализацией) и др.</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Для диагностики комбинированной гипертрофии мио</w:t>
        <w:softHyphen/>
        <w:t>карда желудочков у детей предложены различные критерии, основанные на принципе одновременного присутствия при</w:t>
        <w:softHyphen/>
        <w:t>знаков как лево-, так и правожелудочковой гипертрофии:</w:t>
      </w:r>
    </w:p>
    <w:p>
      <w:pPr>
        <w:pStyle w:val="Style30"/>
        <w:numPr>
          <w:ilvl w:val="0"/>
          <w:numId w:val="11"/>
        </w:numPr>
        <w:tabs>
          <w:tab w:leader="none" w:pos="517" w:val="left"/>
        </w:tabs>
        <w:widowControl w:val="0"/>
        <w:keepNext w:val="0"/>
        <w:keepLines w:val="0"/>
        <w:shd w:val="clear" w:color="auto" w:fill="auto"/>
        <w:bidi w:val="0"/>
        <w:spacing w:before="0" w:after="0" w:line="221" w:lineRule="exact"/>
        <w:ind w:left="520" w:right="0" w:hanging="240"/>
      </w:pPr>
      <w:r>
        <w:rPr>
          <w:lang w:val="ru-RU" w:eastAsia="ru-RU" w:bidi="ru-RU"/>
          <w:w w:val="100"/>
          <w:spacing w:val="0"/>
          <w:color w:val="000000"/>
          <w:position w:val="0"/>
        </w:rPr>
        <w:t xml:space="preserve">признаки гипертрофии миокарда правого желудочка и один из следующих признаков левожелудочковой гипертрофии: а) доминантные зубцы </w:t>
      </w:r>
      <w:r>
        <w:rPr>
          <w:lang w:val="en-US" w:eastAsia="en-US" w:bidi="en-US"/>
          <w:w w:val="100"/>
          <w:spacing w:val="0"/>
          <w:color w:val="000000"/>
          <w:position w:val="0"/>
        </w:rPr>
        <w:t>R V</w:t>
      </w:r>
      <w:r>
        <w:rPr>
          <w:rStyle w:val="CharStyle87"/>
        </w:rPr>
        <w:t>5-6</w:t>
      </w:r>
      <w:r>
        <w:rPr>
          <w:lang w:val="en-US" w:eastAsia="en-US" w:bidi="en-US"/>
          <w:w w:val="100"/>
          <w:spacing w:val="0"/>
          <w:color w:val="000000"/>
          <w:position w:val="0"/>
        </w:rPr>
        <w:t xml:space="preserve">; </w:t>
      </w:r>
      <w:r>
        <w:rPr>
          <w:lang w:val="ru-RU" w:eastAsia="ru-RU" w:bidi="ru-RU"/>
          <w:w w:val="100"/>
          <w:spacing w:val="0"/>
          <w:color w:val="000000"/>
          <w:position w:val="0"/>
        </w:rPr>
        <w:t xml:space="preserve">б) зубец </w:t>
      </w:r>
      <w:r>
        <w:rPr>
          <w:lang w:val="en-US" w:eastAsia="en-US" w:bidi="en-US"/>
          <w:w w:val="100"/>
          <w:spacing w:val="0"/>
          <w:color w:val="000000"/>
          <w:position w:val="0"/>
        </w:rPr>
        <w:t>Q V</w:t>
      </w:r>
      <w:r>
        <w:rPr>
          <w:rStyle w:val="CharStyle87"/>
        </w:rPr>
        <w:t xml:space="preserve">5-6 </w:t>
      </w:r>
      <w:r>
        <w:rPr>
          <w:lang w:val="ru-RU" w:eastAsia="ru-RU" w:bidi="ru-RU"/>
          <w:w w:val="100"/>
          <w:spacing w:val="0"/>
          <w:color w:val="000000"/>
          <w:position w:val="0"/>
        </w:rPr>
        <w:t>более 3 мм; в) отклонение электрической оси сердца влево;</w:t>
      </w:r>
    </w:p>
    <w:p>
      <w:pPr>
        <w:pStyle w:val="Style30"/>
        <w:numPr>
          <w:ilvl w:val="0"/>
          <w:numId w:val="11"/>
        </w:numPr>
        <w:tabs>
          <w:tab w:leader="none" w:pos="517" w:val="left"/>
        </w:tabs>
        <w:widowControl w:val="0"/>
        <w:keepNext w:val="0"/>
        <w:keepLines w:val="0"/>
        <w:shd w:val="clear" w:color="auto" w:fill="auto"/>
        <w:bidi w:val="0"/>
        <w:spacing w:before="0" w:after="0" w:line="221" w:lineRule="exact"/>
        <w:ind w:left="520" w:right="0" w:hanging="240"/>
      </w:pPr>
      <w:r>
        <w:rPr>
          <w:lang w:val="ru-RU" w:eastAsia="ru-RU" w:bidi="ru-RU"/>
          <w:w w:val="100"/>
          <w:spacing w:val="0"/>
          <w:color w:val="000000"/>
          <w:position w:val="0"/>
        </w:rPr>
        <w:t>признаки гипертрофии миокарда левого желудочка и наличие одного из следующих признаков правоже</w:t>
        <w:softHyphen/>
        <w:t xml:space="preserve">лудочковой гипертрофии: а) доминантные зубцы </w:t>
      </w:r>
      <w:r>
        <w:rPr>
          <w:lang w:val="en-US" w:eastAsia="en-US" w:bidi="en-US"/>
          <w:w w:val="100"/>
          <w:spacing w:val="0"/>
          <w:color w:val="000000"/>
          <w:position w:val="0"/>
        </w:rPr>
        <w:t xml:space="preserve">R </w:t>
      </w:r>
      <w:r>
        <w:rPr>
          <w:lang w:val="ru-RU" w:eastAsia="ru-RU" w:bidi="ru-RU"/>
          <w:w w:val="100"/>
          <w:spacing w:val="0"/>
          <w:color w:val="000000"/>
          <w:position w:val="0"/>
        </w:rPr>
        <w:t xml:space="preserve">в правых грудных отведениях (вольтаж может быть нормальным); б) </w:t>
      </w:r>
      <w:r>
        <w:rPr>
          <w:lang w:val="en-US" w:eastAsia="en-US" w:bidi="en-US"/>
          <w:w w:val="100"/>
          <w:spacing w:val="0"/>
          <w:color w:val="000000"/>
          <w:position w:val="0"/>
        </w:rPr>
        <w:t xml:space="preserve">R </w:t>
      </w:r>
      <w:r>
        <w:rPr>
          <w:lang w:val="ru-RU" w:eastAsia="ru-RU" w:bidi="ru-RU"/>
          <w:w w:val="100"/>
          <w:spacing w:val="0"/>
          <w:color w:val="000000"/>
          <w:position w:val="0"/>
        </w:rPr>
        <w:t xml:space="preserve">больше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w:t>
      </w:r>
      <w:r>
        <w:rPr>
          <w:lang w:val="en-US" w:eastAsia="en-US" w:bidi="en-US"/>
          <w:w w:val="100"/>
          <w:spacing w:val="0"/>
          <w:color w:val="000000"/>
          <w:position w:val="0"/>
        </w:rPr>
        <w:t xml:space="preserve">аУR; </w:t>
      </w:r>
      <w:r>
        <w:rPr>
          <w:lang w:val="ru-RU" w:eastAsia="ru-RU" w:bidi="ru-RU"/>
          <w:w w:val="100"/>
          <w:spacing w:val="0"/>
          <w:color w:val="000000"/>
          <w:position w:val="0"/>
        </w:rPr>
        <w:t xml:space="preserve">в) </w:t>
      </w:r>
      <w:r>
        <w:rPr>
          <w:lang w:val="en-US" w:eastAsia="en-US" w:bidi="en-US"/>
          <w:w w:val="100"/>
          <w:spacing w:val="0"/>
          <w:color w:val="000000"/>
          <w:position w:val="0"/>
        </w:rPr>
        <w:t xml:space="preserve">S </w:t>
      </w:r>
      <w:r>
        <w:rPr>
          <w:lang w:val="ru-RU" w:eastAsia="ru-RU" w:bidi="ru-RU"/>
          <w:w w:val="100"/>
          <w:spacing w:val="0"/>
          <w:color w:val="000000"/>
          <w:position w:val="0"/>
        </w:rPr>
        <w:t xml:space="preserve">больше </w:t>
      </w:r>
      <w:r>
        <w:rPr>
          <w:lang w:val="en-US" w:eastAsia="en-US" w:bidi="en-US"/>
          <w:w w:val="100"/>
          <w:spacing w:val="0"/>
          <w:color w:val="000000"/>
          <w:position w:val="0"/>
        </w:rPr>
        <w:t xml:space="preserve">R </w:t>
      </w:r>
      <w:r>
        <w:rPr>
          <w:lang w:val="ru-RU" w:eastAsia="ru-RU" w:bidi="ru-RU"/>
          <w:w w:val="100"/>
          <w:spacing w:val="0"/>
          <w:color w:val="000000"/>
          <w:position w:val="0"/>
        </w:rPr>
        <w:t xml:space="preserve">в </w:t>
      </w:r>
      <w:r>
        <w:rPr>
          <w:lang w:val="en-US" w:eastAsia="en-US" w:bidi="en-US"/>
          <w:w w:val="100"/>
          <w:spacing w:val="0"/>
          <w:color w:val="000000"/>
          <w:position w:val="0"/>
        </w:rPr>
        <w:t>V</w:t>
      </w:r>
      <w:r>
        <w:rPr>
          <w:rStyle w:val="CharStyle87"/>
        </w:rPr>
        <w:t>6</w:t>
      </w:r>
      <w:r>
        <w:rPr>
          <w:lang w:val="en-US" w:eastAsia="en-US" w:bidi="en-US"/>
          <w:w w:val="100"/>
          <w:spacing w:val="0"/>
          <w:color w:val="000000"/>
          <w:position w:val="0"/>
        </w:rPr>
        <w:t>.</w:t>
      </w:r>
      <w:r>
        <w:br w:type="page"/>
      </w:r>
    </w:p>
    <w:p>
      <w:pPr>
        <w:framePr w:w="4718" w:h="4714" w:hSpace="70" w:wrap="notBeside" w:vAnchor="text" w:hAnchor="text" w:x="143" w:y="1"/>
        <w:widowControl w:val="0"/>
        <w:rPr>
          <w:sz w:val="2"/>
          <w:szCs w:val="2"/>
        </w:rPr>
      </w:pPr>
      <w:r>
        <w:pict>
          <v:shape id="_x0000_s1086" type="#_x0000_t75" style="width:236pt;height:236pt;">
            <v:imagedata r:id="rId92" r:href="rId93"/>
          </v:shape>
        </w:pict>
      </w:r>
    </w:p>
    <w:p>
      <w:pPr>
        <w:pStyle w:val="Style33"/>
        <w:framePr w:w="4853" w:h="1027" w:hSpace="70" w:wrap="notBeside" w:vAnchor="text" w:hAnchor="text" w:x="71" w:y="4831"/>
        <w:widowControl w:val="0"/>
        <w:keepNext w:val="0"/>
        <w:keepLines w:val="0"/>
        <w:shd w:val="clear" w:color="auto" w:fill="auto"/>
        <w:bidi w:val="0"/>
        <w:jc w:val="both"/>
        <w:spacing w:before="0" w:after="0" w:line="197" w:lineRule="exact"/>
        <w:ind w:left="0" w:right="0" w:firstLine="0"/>
      </w:pPr>
      <w:r>
        <w:rPr>
          <w:rStyle w:val="CharStyle67"/>
        </w:rPr>
        <w:t xml:space="preserve">Рис. 13. </w:t>
      </w:r>
      <w:r>
        <w:rPr>
          <w:lang w:val="ru-RU" w:eastAsia="ru-RU" w:bidi="ru-RU"/>
          <w:w w:val="100"/>
          <w:spacing w:val="0"/>
          <w:color w:val="000000"/>
          <w:position w:val="0"/>
        </w:rPr>
        <w:t xml:space="preserve">Комбинированная гипертрофия (перегрузка) миокарда желудочков: электрическая ось сердца отклонена вправо </w:t>
      </w:r>
      <w:r>
        <w:rPr>
          <w:lang w:val="en-US" w:eastAsia="en-US" w:bidi="en-US"/>
          <w:w w:val="100"/>
          <w:spacing w:val="0"/>
          <w:color w:val="000000"/>
          <w:position w:val="0"/>
        </w:rPr>
        <w:t xml:space="preserve">(a QRS </w:t>
      </w:r>
      <w:r>
        <w:rPr>
          <w:lang w:val="ru-RU" w:eastAsia="ru-RU" w:bidi="ru-RU"/>
          <w:w w:val="100"/>
          <w:spacing w:val="0"/>
          <w:color w:val="000000"/>
          <w:position w:val="0"/>
        </w:rPr>
        <w:t xml:space="preserve">+ 112°), высокоамплитудные зубцы </w:t>
      </w:r>
      <w:r>
        <w:rPr>
          <w:lang w:val="en-US" w:eastAsia="en-US" w:bidi="en-US"/>
          <w:w w:val="100"/>
          <w:spacing w:val="0"/>
          <w:color w:val="000000"/>
          <w:position w:val="0"/>
        </w:rPr>
        <w:t>R V</w:t>
      </w:r>
      <w:r>
        <w:rPr>
          <w:lang w:val="en-US" w:eastAsia="en-US" w:bidi="en-US"/>
          <w:vertAlign w:val="subscript"/>
          <w:w w:val="100"/>
          <w:spacing w:val="0"/>
          <w:color w:val="000000"/>
          <w:position w:val="0"/>
        </w:rPr>
        <w:t>1-2</w:t>
      </w:r>
      <w:r>
        <w:rPr>
          <w:lang w:val="en-US" w:eastAsia="en-US" w:bidi="en-US"/>
          <w:w w:val="100"/>
          <w:spacing w:val="0"/>
          <w:color w:val="000000"/>
          <w:position w:val="0"/>
        </w:rPr>
        <w:t xml:space="preserve">, aVF </w:t>
      </w:r>
      <w:r>
        <w:rPr>
          <w:lang w:val="ru-RU" w:eastAsia="ru-RU" w:bidi="ru-RU"/>
          <w:w w:val="100"/>
          <w:spacing w:val="0"/>
          <w:color w:val="000000"/>
          <w:position w:val="0"/>
        </w:rPr>
        <w:t>(признаки гипер</w:t>
        <w:softHyphen/>
        <w:t xml:space="preserve">трофии правого желудочка); </w:t>
      </w:r>
      <w:r>
        <w:rPr>
          <w:lang w:val="en-US" w:eastAsia="en-US" w:bidi="en-US"/>
          <w:w w:val="100"/>
          <w:spacing w:val="0"/>
          <w:color w:val="000000"/>
          <w:position w:val="0"/>
        </w:rPr>
        <w:t>R V6&gt;R 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 </w:t>
      </w:r>
      <w:r>
        <w:rPr>
          <w:lang w:val="ru-RU" w:eastAsia="ru-RU" w:bidi="ru-RU"/>
          <w:w w:val="100"/>
          <w:spacing w:val="0"/>
          <w:color w:val="000000"/>
          <w:position w:val="0"/>
        </w:rPr>
        <w:t xml:space="preserve">глубокий </w:t>
      </w:r>
      <w:r>
        <w:rPr>
          <w:lang w:val="en-US" w:eastAsia="en-US" w:bidi="en-US"/>
          <w:w w:val="100"/>
          <w:spacing w:val="0"/>
          <w:color w:val="000000"/>
          <w:position w:val="0"/>
        </w:rPr>
        <w:t>Q V</w:t>
      </w:r>
      <w:r>
        <w:rPr>
          <w:lang w:val="en-US" w:eastAsia="en-US" w:bidi="en-US"/>
          <w:vertAlign w:val="subscript"/>
          <w:w w:val="100"/>
          <w:spacing w:val="0"/>
          <w:color w:val="000000"/>
          <w:position w:val="0"/>
        </w:rPr>
        <w:t>4-</w:t>
      </w:r>
      <w:r>
        <w:rPr>
          <w:lang w:val="en-US" w:eastAsia="en-US" w:bidi="en-US"/>
          <w:w w:val="100"/>
          <w:spacing w:val="0"/>
          <w:color w:val="000000"/>
          <w:position w:val="0"/>
        </w:rPr>
        <w:t xml:space="preserve">6 </w:t>
      </w:r>
      <w:r>
        <w:rPr>
          <w:lang w:val="ru-RU" w:eastAsia="ru-RU" w:bidi="ru-RU"/>
          <w:w w:val="100"/>
          <w:spacing w:val="0"/>
          <w:color w:val="000000"/>
          <w:position w:val="0"/>
        </w:rPr>
        <w:t>(признаки гипертрофии левого желудочка).</w:t>
      </w:r>
    </w:p>
    <w:p>
      <w:pPr>
        <w:widowControl w:val="0"/>
        <w:rPr>
          <w:sz w:val="2"/>
          <w:szCs w:val="2"/>
        </w:rPr>
      </w:pPr>
    </w:p>
    <w:p>
      <w:pPr>
        <w:pStyle w:val="Style48"/>
        <w:widowControl w:val="0"/>
        <w:keepNext/>
        <w:keepLines/>
        <w:shd w:val="clear" w:color="auto" w:fill="auto"/>
        <w:bidi w:val="0"/>
        <w:jc w:val="left"/>
        <w:spacing w:before="432" w:after="79" w:line="240" w:lineRule="exact"/>
        <w:ind w:left="0" w:right="1300" w:firstLine="0"/>
      </w:pPr>
      <w:bookmarkStart w:id="68" w:name="bookmark68"/>
      <w:r>
        <w:rPr>
          <w:lang w:val="ru-RU" w:eastAsia="ru-RU" w:bidi="ru-RU"/>
          <w:w w:val="100"/>
          <w:spacing w:val="0"/>
          <w:color w:val="000000"/>
          <w:position w:val="0"/>
        </w:rPr>
        <w:t>Определение терминов, связанных с сердечным ритмом</w:t>
      </w:r>
      <w:bookmarkEnd w:id="68"/>
    </w:p>
    <w:p>
      <w:pPr>
        <w:pStyle w:val="Style30"/>
        <w:widowControl w:val="0"/>
        <w:keepNext w:val="0"/>
        <w:keepLines w:val="0"/>
        <w:shd w:val="clear" w:color="auto" w:fill="auto"/>
        <w:bidi w:val="0"/>
        <w:spacing w:before="0" w:after="0"/>
        <w:ind w:left="0" w:right="0" w:firstLine="280"/>
      </w:pPr>
      <w:r>
        <w:rPr>
          <w:rStyle w:val="CharStyle44"/>
        </w:rPr>
        <w:t xml:space="preserve">Аберрантное проведение </w:t>
      </w:r>
      <w:r>
        <w:rPr>
          <w:lang w:val="ru-RU" w:eastAsia="ru-RU" w:bidi="ru-RU"/>
          <w:w w:val="100"/>
          <w:spacing w:val="0"/>
          <w:color w:val="000000"/>
          <w:position w:val="0"/>
        </w:rPr>
        <w:t>— нарушение распространения импульса через нормальный или предположительно нор</w:t>
        <w:softHyphen/>
        <w:t>мальный путь проведения, вызывающее изменение кривой ЭКГ. Аберрантное проведение может возникать в желудоч</w:t>
        <w:softHyphen/>
        <w:t>ках или предсердиях. В случаях нарушения внутрижелудоч</w:t>
        <w:softHyphen/>
        <w:t>кового проведения наджелудочковых импульсов предпо</w:t>
        <w:softHyphen/>
        <w:t>чтительно использовать именно этот термин для обозначе</w:t>
        <w:softHyphen/>
        <w:t>ния проведения по обычному пути, исключая таким обра</w:t>
        <w:softHyphen/>
        <w:t>зом проведение по дополнительным путям, как при фено</w:t>
        <w:softHyphen/>
        <w:t>мене Вольфа-Паркинсона-Уайта. Кроме того, использова</w:t>
        <w:softHyphen/>
        <w:t>ние термина «аберрантное проведение», вероятно, имеет смысл лишь в том случае, если изменение распространения возбуждения связано с частотой сердечных сокращений или каким-либо другим функциональным механизмом.</w:t>
      </w:r>
    </w:p>
    <w:p>
      <w:pPr>
        <w:pStyle w:val="Style52"/>
        <w:widowControl w:val="0"/>
        <w:keepNext w:val="0"/>
        <w:keepLines w:val="0"/>
        <w:shd w:val="clear" w:color="auto" w:fill="auto"/>
        <w:bidi w:val="0"/>
        <w:jc w:val="both"/>
        <w:spacing w:before="0" w:after="0" w:line="216" w:lineRule="exact"/>
        <w:ind w:left="0" w:right="0" w:firstLine="280"/>
      </w:pPr>
      <w:r>
        <w:rPr>
          <w:lang w:val="ru-RU" w:eastAsia="ru-RU" w:bidi="ru-RU"/>
          <w:w w:val="100"/>
          <w:color w:val="000000"/>
          <w:position w:val="0"/>
        </w:rPr>
        <w:t xml:space="preserve">Преждевременное риэнтри </w:t>
      </w:r>
      <w:r>
        <w:rPr>
          <w:rStyle w:val="CharStyle91"/>
          <w:b w:val="0"/>
          <w:bCs w:val="0"/>
        </w:rPr>
        <w:t>(см. «Риэнтри»).</w:t>
      </w:r>
    </w:p>
    <w:p>
      <w:pPr>
        <w:pStyle w:val="Style30"/>
        <w:widowControl w:val="0"/>
        <w:keepNext w:val="0"/>
        <w:keepLines w:val="0"/>
        <w:shd w:val="clear" w:color="auto" w:fill="auto"/>
        <w:bidi w:val="0"/>
        <w:spacing w:before="0" w:after="0"/>
        <w:ind w:left="0" w:right="0" w:firstLine="280"/>
      </w:pPr>
      <w:r>
        <w:rPr>
          <w:rStyle w:val="CharStyle44"/>
        </w:rPr>
        <w:t xml:space="preserve">Ускоренный ритм </w:t>
      </w:r>
      <w:r>
        <w:rPr>
          <w:lang w:val="ru-RU" w:eastAsia="ru-RU" w:bidi="ru-RU"/>
          <w:w w:val="100"/>
          <w:spacing w:val="0"/>
          <w:color w:val="000000"/>
          <w:position w:val="0"/>
        </w:rPr>
        <w:t>— три или более последовательно воз</w:t>
        <w:softHyphen/>
        <w:t>никающих импульса от одного эктопического водителя ритма при частоте менее 100 импульсов в минуту, но боль</w:t>
        <w:softHyphen/>
        <w:t>ше собственной частоты данного водителя ритма. В каждом случае следует указывать частоту и место образования им</w:t>
        <w:softHyphen/>
        <w:t>пульса (см. также «Собственная частота»).</w:t>
      </w:r>
    </w:p>
    <w:p>
      <w:pPr>
        <w:pStyle w:val="Style30"/>
        <w:widowControl w:val="0"/>
        <w:keepNext w:val="0"/>
        <w:keepLines w:val="0"/>
        <w:shd w:val="clear" w:color="auto" w:fill="auto"/>
        <w:bidi w:val="0"/>
        <w:spacing w:before="0" w:after="0"/>
        <w:ind w:left="0" w:right="0" w:firstLine="280"/>
      </w:pPr>
      <w:r>
        <w:rPr>
          <w:rStyle w:val="CharStyle44"/>
        </w:rPr>
        <w:t xml:space="preserve">Далеко зашедшая блокада </w:t>
      </w:r>
      <w:r>
        <w:rPr>
          <w:lang w:val="ru-RU" w:eastAsia="ru-RU" w:bidi="ru-RU"/>
          <w:w w:val="100"/>
          <w:spacing w:val="0"/>
          <w:color w:val="000000"/>
          <w:position w:val="0"/>
        </w:rPr>
        <w:t xml:space="preserve">(блокада II </w:t>
      </w:r>
      <w:r>
        <w:rPr>
          <w:lang w:val="en-US" w:eastAsia="en-US" w:bidi="en-US"/>
          <w:w w:val="100"/>
          <w:spacing w:val="0"/>
          <w:color w:val="000000"/>
          <w:position w:val="0"/>
        </w:rPr>
        <w:t xml:space="preserve">cx) </w:t>
      </w:r>
      <w:r>
        <w:rPr>
          <w:lang w:val="ru-RU" w:eastAsia="ru-RU" w:bidi="ru-RU"/>
          <w:w w:val="100"/>
          <w:spacing w:val="0"/>
          <w:color w:val="000000"/>
          <w:position w:val="0"/>
        </w:rPr>
        <w:t>— форма блока</w:t>
        <w:softHyphen/>
        <w:t xml:space="preserve">ды </w:t>
      </w:r>
      <w:r>
        <w:rPr>
          <w:lang w:val="en-US" w:eastAsia="en-US" w:bidi="en-US"/>
          <w:w w:val="100"/>
          <w:spacing w:val="0"/>
          <w:color w:val="000000"/>
          <w:position w:val="0"/>
        </w:rPr>
        <w:t xml:space="preserve">II </w:t>
      </w:r>
      <w:r>
        <w:rPr>
          <w:lang w:val="ru-RU" w:eastAsia="ru-RU" w:bidi="ru-RU"/>
          <w:w w:val="100"/>
          <w:spacing w:val="0"/>
          <w:color w:val="000000"/>
          <w:position w:val="0"/>
        </w:rPr>
        <w:t>степени при которой каждый второй или два и более последовательно возникающих импульса не проводятся. Далеко зашедшую блокаду можно представить как блокаду с отношением 2:1, 3:1, 4:1 и т.д. ^м. «Блокада II и III ст.»).</w:t>
      </w:r>
    </w:p>
    <w:p>
      <w:pPr>
        <w:pStyle w:val="Style30"/>
        <w:widowControl w:val="0"/>
        <w:keepNext w:val="0"/>
        <w:keepLines w:val="0"/>
        <w:shd w:val="clear" w:color="auto" w:fill="auto"/>
        <w:bidi w:val="0"/>
        <w:spacing w:before="0" w:after="0"/>
        <w:ind w:left="0" w:right="0" w:firstLine="280"/>
      </w:pPr>
      <w:r>
        <w:rPr>
          <w:rStyle w:val="CharStyle44"/>
        </w:rPr>
        <w:t xml:space="preserve">Переменные (альтернирующие) ритмы </w:t>
      </w:r>
      <w:r>
        <w:rPr>
          <w:lang w:val="ru-RU" w:eastAsia="ru-RU" w:bidi="ru-RU"/>
          <w:w w:val="100"/>
          <w:spacing w:val="0"/>
          <w:color w:val="000000"/>
          <w:position w:val="0"/>
        </w:rPr>
        <w:t>— образование импульса в двух или нескольких различных отделах серд</w:t>
        <w:softHyphen/>
        <w:t>ца, причем один ритм сменяется другим. Каждый ритм следует рассматривать отдельно: например, синусовый</w:t>
        <w:br w:type="column"/>
        <w:t>ритм, сменяющийся пароксизмальной фибрилляцией предсердий, или синусовый ритм, альтернирующий с эпи</w:t>
        <w:softHyphen/>
        <w:t>зодами ускоренного желудочкового ритма, при котором импульсы проводятся ретроградно в синоатриальный узел (см. также «Спаренный, многофокусный и множествен</w:t>
        <w:softHyphen/>
        <w:t>ный ритмы»).</w:t>
      </w:r>
    </w:p>
    <w:p>
      <w:pPr>
        <w:pStyle w:val="Style30"/>
        <w:widowControl w:val="0"/>
        <w:keepNext w:val="0"/>
        <w:keepLines w:val="0"/>
        <w:shd w:val="clear" w:color="auto" w:fill="auto"/>
        <w:bidi w:val="0"/>
        <w:spacing w:before="0" w:after="0"/>
        <w:ind w:left="0" w:right="0" w:firstLine="280"/>
      </w:pPr>
      <w:r>
        <w:rPr>
          <w:rStyle w:val="CharStyle44"/>
        </w:rPr>
        <w:t xml:space="preserve">Антероградное (ортоградное) проведение </w:t>
      </w:r>
      <w:r>
        <w:rPr>
          <w:lang w:val="ru-RU" w:eastAsia="ru-RU" w:bidi="ru-RU"/>
          <w:w w:val="100"/>
          <w:spacing w:val="0"/>
          <w:color w:val="000000"/>
          <w:position w:val="0"/>
        </w:rPr>
        <w:t>— проведение сердечного импульса в нормальном направлении, напри</w:t>
        <w:softHyphen/>
        <w:t>мер из предсердий или атриовентрикулярного соединения в желудочки. Слово «антероградный» указывает на направ</w:t>
        <w:softHyphen/>
        <w:t>ление движения, поэтому его предпочитают термину «анте- градный», в котором «анте» обозначает переднюю позицию (например, анатомическую; см. также «Ретроградное про</w:t>
        <w:softHyphen/>
        <w:t>ведение»).</w:t>
      </w:r>
    </w:p>
    <w:p>
      <w:pPr>
        <w:pStyle w:val="Style30"/>
        <w:widowControl w:val="0"/>
        <w:keepNext w:val="0"/>
        <w:keepLines w:val="0"/>
        <w:shd w:val="clear" w:color="auto" w:fill="auto"/>
        <w:bidi w:val="0"/>
        <w:spacing w:before="0" w:after="0"/>
        <w:ind w:left="0" w:right="0" w:firstLine="280"/>
      </w:pPr>
      <w:r>
        <w:rPr>
          <w:rStyle w:val="CharStyle44"/>
        </w:rPr>
        <w:t xml:space="preserve">Остановка сердца </w:t>
      </w:r>
      <w:r>
        <w:rPr>
          <w:lang w:val="ru-RU" w:eastAsia="ru-RU" w:bidi="ru-RU"/>
          <w:w w:val="100"/>
          <w:spacing w:val="0"/>
          <w:color w:val="000000"/>
          <w:position w:val="0"/>
        </w:rPr>
        <w:t>— прекращение электрической актив</w:t>
        <w:softHyphen/>
        <w:t>ности всего сердца или его части. Остановка сердца может быть вызвана различными электрофизиологическими ме</w:t>
        <w:softHyphen/>
        <w:t>ханизмами. Следует, хотя это не всегда возможно, отличать остановку сердца от паузы в электрической активности сердца, вызванной блокадой выхода.</w:t>
      </w:r>
    </w:p>
    <w:p>
      <w:pPr>
        <w:pStyle w:val="Style30"/>
        <w:widowControl w:val="0"/>
        <w:keepNext w:val="0"/>
        <w:keepLines w:val="0"/>
        <w:shd w:val="clear" w:color="auto" w:fill="auto"/>
        <w:bidi w:val="0"/>
        <w:spacing w:before="0" w:after="0"/>
        <w:ind w:left="0" w:right="0" w:firstLine="280"/>
      </w:pPr>
      <w:r>
        <w:rPr>
          <w:rStyle w:val="CharStyle44"/>
        </w:rPr>
        <w:t xml:space="preserve">Аритмия </w:t>
      </w:r>
      <w:r>
        <w:rPr>
          <w:lang w:val="ru-RU" w:eastAsia="ru-RU" w:bidi="ru-RU"/>
          <w:w w:val="100"/>
          <w:spacing w:val="0"/>
          <w:color w:val="000000"/>
          <w:position w:val="0"/>
        </w:rPr>
        <w:t>— любой сердечный ритм, отличающийся от нормального синусового. Такой ритм может быть либо си</w:t>
        <w:softHyphen/>
        <w:t>нусового, либо эктопического происхождения, регулярным или нерегулярным. Аритмия может быть вызвана наруше</w:t>
        <w:softHyphen/>
        <w:t>нием образования импульса или его проведения либо тем и другим механизмом. Желательно употреблять термин «аритмия» в общем смысле, а не в качестве синонима для обозначения нерегулярного образования импульса. Ис</w:t>
        <w:softHyphen/>
        <w:t>пользование термина «синусовая аритмия» не рекомендует</w:t>
        <w:softHyphen/>
        <w:t>ся. Для характеристики ритма целесообразнее использовать прилагательные «регулярный» или «нерегулярный». По аналогичным соображениям следует избегать примене</w:t>
        <w:softHyphen/>
        <w:t>ния термина «тахиаритмия».</w:t>
      </w:r>
    </w:p>
    <w:p>
      <w:pPr>
        <w:pStyle w:val="Style30"/>
        <w:widowControl w:val="0"/>
        <w:keepNext w:val="0"/>
        <w:keepLines w:val="0"/>
        <w:shd w:val="clear" w:color="auto" w:fill="auto"/>
        <w:bidi w:val="0"/>
        <w:spacing w:before="0" w:after="0"/>
        <w:ind w:left="0" w:right="0" w:firstLine="280"/>
      </w:pPr>
      <w:r>
        <w:rPr>
          <w:rStyle w:val="CharStyle44"/>
        </w:rPr>
        <w:t xml:space="preserve">Диссоциация предсердий </w:t>
      </w:r>
      <w:r>
        <w:rPr>
          <w:lang w:val="ru-RU" w:eastAsia="ru-RU" w:bidi="ru-RU"/>
          <w:w w:val="100"/>
          <w:spacing w:val="0"/>
          <w:color w:val="000000"/>
          <w:position w:val="0"/>
        </w:rPr>
        <w:t>— спаренный предсердный ритм, при котором два синхронно действующих водителя ритма взаимно не влияют на активность или ритмичность функционирования (см. также «Спаренный ритм»).</w:t>
      </w:r>
    </w:p>
    <w:p>
      <w:pPr>
        <w:pStyle w:val="Style30"/>
        <w:widowControl w:val="0"/>
        <w:keepNext w:val="0"/>
        <w:keepLines w:val="0"/>
        <w:shd w:val="clear" w:color="auto" w:fill="auto"/>
        <w:bidi w:val="0"/>
        <w:spacing w:before="0" w:after="0"/>
        <w:ind w:left="0" w:right="0" w:firstLine="280"/>
      </w:pPr>
      <w:r>
        <w:rPr>
          <w:rStyle w:val="CharStyle44"/>
        </w:rPr>
        <w:t xml:space="preserve">Атриовентрикулярная </w:t>
      </w:r>
      <w:r>
        <w:rPr>
          <w:rStyle w:val="CharStyle44"/>
          <w:lang w:val="en-US" w:eastAsia="en-US" w:bidi="en-US"/>
        </w:rPr>
        <w:t xml:space="preserve">(AB) </w:t>
      </w:r>
      <w:r>
        <w:rPr>
          <w:rStyle w:val="CharStyle44"/>
        </w:rPr>
        <w:t xml:space="preserve">блокада </w:t>
      </w:r>
      <w:r>
        <w:rPr>
          <w:lang w:val="ru-RU" w:eastAsia="ru-RU" w:bidi="ru-RU"/>
          <w:w w:val="100"/>
          <w:spacing w:val="0"/>
          <w:color w:val="000000"/>
          <w:position w:val="0"/>
        </w:rPr>
        <w:t>— задержка или не</w:t>
        <w:softHyphen/>
        <w:t>прохождение импульса из предсердий в желудочки (т.е. ан</w:t>
        <w:softHyphen/>
        <w:t>тероградного проведения).</w:t>
      </w:r>
    </w:p>
    <w:p>
      <w:pPr>
        <w:pStyle w:val="Style30"/>
        <w:widowControl w:val="0"/>
        <w:keepNext w:val="0"/>
        <w:keepLines w:val="0"/>
        <w:shd w:val="clear" w:color="auto" w:fill="auto"/>
        <w:bidi w:val="0"/>
        <w:spacing w:before="0" w:after="0"/>
        <w:ind w:left="0" w:right="0" w:firstLine="280"/>
      </w:pPr>
      <w:r>
        <w:rPr>
          <w:rStyle w:val="CharStyle44"/>
        </w:rPr>
        <w:t xml:space="preserve">Атриовентрикулярная диссоциация </w:t>
      </w:r>
      <w:r>
        <w:rPr>
          <w:lang w:val="ru-RU" w:eastAsia="ru-RU" w:bidi="ru-RU"/>
          <w:w w:val="100"/>
          <w:spacing w:val="0"/>
          <w:color w:val="000000"/>
          <w:position w:val="0"/>
        </w:rPr>
        <w:t>— независимая акти</w:t>
        <w:softHyphen/>
        <w:t>вация предсердий и желудочков импульсами различного происхождения. Активация предсердий может возникать из синоатриального узла, предсердий или атриовентрику</w:t>
        <w:softHyphen/>
        <w:t>лярного соединения, в то время как активация желудоч</w:t>
        <w:softHyphen/>
        <w:t>ков — из атриовентрикулярного соединения или самих же</w:t>
        <w:softHyphen/>
        <w:t>лудочков. Диссоциация может развиваться во время одной из активаций или более длительно. При наличии захвата диссоциация является неполной. Диссоциация считается полной при отсутствии захвата в момент регистрации. «Ат</w:t>
        <w:softHyphen/>
        <w:t>риовентрикулярная диссоциация» — описательный тер</w:t>
        <w:softHyphen/>
        <w:t>мин, который не устраняет необходимости поиска основ</w:t>
        <w:softHyphen/>
        <w:t>ного механизма (механизмов). Не следует применять этот термин в качестве синонима «полной атриовентрикуляр</w:t>
        <w:softHyphen/>
        <w:t>ной блокады», которая может лежать в основе атриовентри</w:t>
        <w:softHyphen/>
        <w:t>кулярной диссоциации (см. также «Спаренный, многофо</w:t>
        <w:softHyphen/>
        <w:t>кусный и множественный ритмы, парасистолия»).</w:t>
      </w:r>
    </w:p>
    <w:p>
      <w:pPr>
        <w:pStyle w:val="Style30"/>
        <w:widowControl w:val="0"/>
        <w:keepNext w:val="0"/>
        <w:keepLines w:val="0"/>
        <w:shd w:val="clear" w:color="auto" w:fill="auto"/>
        <w:bidi w:val="0"/>
        <w:spacing w:before="0" w:after="0"/>
        <w:ind w:left="0" w:right="0" w:firstLine="280"/>
      </w:pPr>
      <w:r>
        <w:pict>
          <v:shape id="_x0000_s1087" type="#_x0000_t75" style="position:absolute;margin-left:136.8pt;margin-top:740.2pt;width:209.75pt;height:14.9pt;z-index:-125829357;mso-wrap-distance-left:136.8pt;mso-wrap-distance-right:148.1pt;mso-wrap-distance-bottom:20.pt;mso-position-horizontal-relative:margin;mso-position-vertical-relative:margin" wrapcoords="0 0 21600 0 21600 21600 0 21600 0 0">
            <v:imagedata r:id="rId94" r:href="rId95"/>
            <w10:wrap type="topAndBottom" anchorx="margin" anchory="margin"/>
          </v:shape>
        </w:pict>
      </w:r>
      <w:r>
        <w:rPr>
          <w:rStyle w:val="CharStyle44"/>
        </w:rPr>
        <w:t xml:space="preserve">Атриовентрикулярное соединение </w:t>
      </w:r>
      <w:r>
        <w:rPr>
          <w:lang w:val="ru-RU" w:eastAsia="ru-RU" w:bidi="ru-RU"/>
          <w:w w:val="100"/>
          <w:spacing w:val="0"/>
          <w:color w:val="000000"/>
          <w:position w:val="0"/>
        </w:rPr>
        <w:t>— с электрокардиогра</w:t>
        <w:softHyphen/>
        <w:t>фической точки зрения определяют как область, включаю</w:t>
        <w:softHyphen/>
        <w:t>щую волокна, направляющиеся к атриовентрикулярному узлу, собственно атриовентрикулярный узел и неразветвля</w:t>
        <w:softHyphen/>
        <w:t>ющуюся часть пучка Гиса.</w:t>
      </w:r>
      <w:r>
        <w:br w:type="page"/>
      </w:r>
    </w:p>
    <w:p>
      <w:pPr>
        <w:pStyle w:val="Style30"/>
        <w:widowControl w:val="0"/>
        <w:keepNext w:val="0"/>
        <w:keepLines w:val="0"/>
        <w:shd w:val="clear" w:color="auto" w:fill="auto"/>
        <w:bidi w:val="0"/>
        <w:spacing w:before="0" w:after="0"/>
        <w:ind w:left="0" w:right="0" w:firstLine="280"/>
      </w:pPr>
      <w:r>
        <w:rPr>
          <w:rStyle w:val="CharStyle44"/>
        </w:rPr>
        <w:t xml:space="preserve">Бигеминия </w:t>
      </w:r>
      <w:r>
        <w:rPr>
          <w:lang w:val="ru-RU" w:eastAsia="ru-RU" w:bidi="ru-RU"/>
          <w:w w:val="100"/>
          <w:spacing w:val="0"/>
          <w:color w:val="000000"/>
          <w:position w:val="0"/>
        </w:rPr>
        <w:t>— повторное возникновение двух, относи</w:t>
        <w:softHyphen/>
        <w:t>тельно близко расположенных во времени импульсов, со</w:t>
        <w:softHyphen/>
        <w:t>провождающихся обычно последующим более длинным интервалом. Бигеминия вызывается наличием нескольких, возможно, специфических механизмов. В наиболее рас</w:t>
        <w:softHyphen/>
        <w:t>пространенной форме бигеминии вторым импульсом пары является экстрасистола (экстрасистолическая бигеминия; см. также «Тригеминия»).</w:t>
      </w:r>
    </w:p>
    <w:p>
      <w:pPr>
        <w:pStyle w:val="Style30"/>
        <w:widowControl w:val="0"/>
        <w:keepNext w:val="0"/>
        <w:keepLines w:val="0"/>
        <w:shd w:val="clear" w:color="auto" w:fill="auto"/>
        <w:bidi w:val="0"/>
        <w:spacing w:before="0" w:after="0"/>
        <w:ind w:left="0" w:right="0" w:firstLine="280"/>
      </w:pPr>
      <w:r>
        <w:rPr>
          <w:rStyle w:val="CharStyle44"/>
        </w:rPr>
        <w:t xml:space="preserve">Блокада </w:t>
      </w:r>
      <w:r>
        <w:rPr>
          <w:lang w:val="ru-RU" w:eastAsia="ru-RU" w:bidi="ru-RU"/>
          <w:w w:val="100"/>
          <w:spacing w:val="0"/>
          <w:color w:val="000000"/>
          <w:position w:val="0"/>
        </w:rPr>
        <w:t>— задержка прохождения импульса или его не</w:t>
        <w:softHyphen/>
        <w:t>прохождение. Нарушение проводимости различной степе</w:t>
        <w:softHyphen/>
        <w:t>ни может возникать в любом отделе сердца антероградно и ретроградно (см. также «Блокада входа и выхода», «Атри</w:t>
        <w:softHyphen/>
        <w:t>овентрикулярная и вентрикулоатриальная блокада, блока</w:t>
        <w:softHyphen/>
        <w:t xml:space="preserve">да </w:t>
      </w:r>
      <w:r>
        <w:rPr>
          <w:lang w:val="en-US" w:eastAsia="en-US" w:bidi="en-US"/>
          <w:w w:val="100"/>
          <w:spacing w:val="0"/>
          <w:color w:val="000000"/>
          <w:position w:val="0"/>
        </w:rPr>
        <w:t xml:space="preserve">I, </w:t>
      </w:r>
      <w:r>
        <w:rPr>
          <w:lang w:val="ru-RU" w:eastAsia="ru-RU" w:bidi="ru-RU"/>
          <w:w w:val="100"/>
          <w:spacing w:val="0"/>
          <w:color w:val="000000"/>
          <w:position w:val="0"/>
        </w:rPr>
        <w:t>II, III ст.»).</w:t>
      </w:r>
    </w:p>
    <w:p>
      <w:pPr>
        <w:pStyle w:val="Style30"/>
        <w:widowControl w:val="0"/>
        <w:keepNext w:val="0"/>
        <w:keepLines w:val="0"/>
        <w:shd w:val="clear" w:color="auto" w:fill="auto"/>
        <w:bidi w:val="0"/>
        <w:spacing w:before="0" w:after="0"/>
        <w:ind w:left="0" w:right="0" w:firstLine="280"/>
      </w:pPr>
      <w:r>
        <w:rPr>
          <w:rStyle w:val="CharStyle44"/>
        </w:rPr>
        <w:t xml:space="preserve">Брадикардия </w:t>
      </w:r>
      <w:r>
        <w:rPr>
          <w:lang w:val="ru-RU" w:eastAsia="ru-RU" w:bidi="ru-RU"/>
          <w:w w:val="100"/>
          <w:spacing w:val="0"/>
          <w:color w:val="000000"/>
          <w:position w:val="0"/>
        </w:rPr>
        <w:t>— три или более последовательно возника</w:t>
        <w:softHyphen/>
        <w:t>ющих импульса из одного и того же водителя ритма с часто</w:t>
        <w:softHyphen/>
        <w:t>той, не достигающей нижней границы присущей ему в нор</w:t>
        <w:softHyphen/>
        <w:t>ме частоты (см. также «Ускоренный ритм и тахикардия»).</w:t>
      </w:r>
    </w:p>
    <w:p>
      <w:pPr>
        <w:pStyle w:val="Style30"/>
        <w:widowControl w:val="0"/>
        <w:keepNext w:val="0"/>
        <w:keepLines w:val="0"/>
        <w:shd w:val="clear" w:color="auto" w:fill="auto"/>
        <w:bidi w:val="0"/>
        <w:spacing w:before="0" w:after="0"/>
        <w:ind w:left="0" w:right="0" w:firstLine="280"/>
      </w:pPr>
      <w:r>
        <w:rPr>
          <w:rStyle w:val="CharStyle44"/>
        </w:rPr>
        <w:t xml:space="preserve">Блокада ножки пучка Гиса (БНПГ) </w:t>
      </w:r>
      <w:r>
        <w:rPr>
          <w:lang w:val="ru-RU" w:eastAsia="ru-RU" w:bidi="ru-RU"/>
          <w:w w:val="100"/>
          <w:spacing w:val="0"/>
          <w:color w:val="000000"/>
          <w:position w:val="0"/>
        </w:rPr>
        <w:t>— задержка проведе</w:t>
        <w:softHyphen/>
        <w:t>ния импульса или его непрохождение внутри ножки пучка Гиса. Она может быть полной или неполной, постоянной или перемежающейся (непостоянной).</w:t>
      </w:r>
    </w:p>
    <w:p>
      <w:pPr>
        <w:pStyle w:val="Style30"/>
        <w:widowControl w:val="0"/>
        <w:keepNext w:val="0"/>
        <w:keepLines w:val="0"/>
        <w:shd w:val="clear" w:color="auto" w:fill="auto"/>
        <w:bidi w:val="0"/>
        <w:spacing w:before="0" w:after="0"/>
        <w:ind w:left="0" w:right="0" w:firstLine="280"/>
      </w:pPr>
      <w:r>
        <w:rPr>
          <w:rStyle w:val="CharStyle44"/>
        </w:rPr>
        <w:t xml:space="preserve">Блокада ножки пучка Гиса полная (БНПГП) </w:t>
      </w:r>
      <w:r>
        <w:rPr>
          <w:lang w:val="ru-RU" w:eastAsia="ru-RU" w:bidi="ru-RU"/>
          <w:w w:val="100"/>
          <w:spacing w:val="0"/>
          <w:color w:val="000000"/>
          <w:position w:val="0"/>
        </w:rPr>
        <w:t>— означает ли</w:t>
        <w:softHyphen/>
        <w:t>бо отсутствие проведения в одной из ножек пучка Гиса, либо такую степень задержки прохождения импульса, в результате которой желудочковая активация происходит в основном или исключительно через контралатеральный пучок; в ре</w:t>
        <w:softHyphen/>
        <w:t xml:space="preserve">зультате этого комплекс </w:t>
      </w:r>
      <w:r>
        <w:rPr>
          <w:lang w:val="en-US" w:eastAsia="en-US" w:bidi="en-US"/>
          <w:w w:val="100"/>
          <w:spacing w:val="0"/>
          <w:color w:val="000000"/>
          <w:position w:val="0"/>
        </w:rPr>
        <w:t xml:space="preserve">QRS </w:t>
      </w:r>
      <w:r>
        <w:rPr>
          <w:lang w:val="ru-RU" w:eastAsia="ru-RU" w:bidi="ru-RU"/>
          <w:w w:val="100"/>
          <w:spacing w:val="0"/>
          <w:color w:val="000000"/>
          <w:position w:val="0"/>
        </w:rPr>
        <w:t>уширяется до 0,12 с или более.</w:t>
      </w:r>
    </w:p>
    <w:p>
      <w:pPr>
        <w:pStyle w:val="Style30"/>
        <w:widowControl w:val="0"/>
        <w:keepNext w:val="0"/>
        <w:keepLines w:val="0"/>
        <w:shd w:val="clear" w:color="auto" w:fill="auto"/>
        <w:bidi w:val="0"/>
        <w:spacing w:before="0" w:after="0"/>
        <w:ind w:left="0" w:right="0" w:firstLine="280"/>
      </w:pPr>
      <w:r>
        <w:rPr>
          <w:rStyle w:val="CharStyle44"/>
        </w:rPr>
        <w:t xml:space="preserve">Блокада ножки пучка Гиса неполная (БНПГН) </w:t>
      </w:r>
      <w:r>
        <w:rPr>
          <w:lang w:val="ru-RU" w:eastAsia="ru-RU" w:bidi="ru-RU"/>
          <w:w w:val="100"/>
          <w:spacing w:val="0"/>
          <w:color w:val="000000"/>
          <w:position w:val="0"/>
        </w:rPr>
        <w:t>— задерж</w:t>
        <w:softHyphen/>
        <w:t>ка активации желудочка в результате задержки проведения по проходящей в нем ножке пучка Гиса. Этот желудочек мо - жет частично активироваться импульсом, исходящим из контралатеральной ножки пучка.</w:t>
      </w:r>
    </w:p>
    <w:p>
      <w:pPr>
        <w:pStyle w:val="Style30"/>
        <w:widowControl w:val="0"/>
        <w:keepNext w:val="0"/>
        <w:keepLines w:val="0"/>
        <w:shd w:val="clear" w:color="auto" w:fill="auto"/>
        <w:bidi w:val="0"/>
        <w:spacing w:before="0" w:after="0"/>
        <w:ind w:left="0" w:right="0" w:firstLine="280"/>
      </w:pPr>
      <w:r>
        <w:rPr>
          <w:rStyle w:val="CharStyle44"/>
        </w:rPr>
        <w:t xml:space="preserve">Блокада ножки пучка Гиса перемежающаяся </w:t>
      </w:r>
      <w:r>
        <w:rPr>
          <w:lang w:val="ru-RU" w:eastAsia="ru-RU" w:bidi="ru-RU"/>
          <w:w w:val="100"/>
          <w:spacing w:val="0"/>
          <w:color w:val="000000"/>
          <w:position w:val="0"/>
        </w:rPr>
        <w:t>(непостоян</w:t>
        <w:softHyphen/>
        <w:t>ная) — перемежающаяся с периодами нормального прове</w:t>
        <w:softHyphen/>
        <w:t>дения БНПГ (см. также «Аберрантное проведение и посто</w:t>
        <w:softHyphen/>
        <w:t>янная БНПГ»).</w:t>
      </w:r>
    </w:p>
    <w:p>
      <w:pPr>
        <w:pStyle w:val="Style30"/>
        <w:widowControl w:val="0"/>
        <w:keepNext w:val="0"/>
        <w:keepLines w:val="0"/>
        <w:shd w:val="clear" w:color="auto" w:fill="auto"/>
        <w:bidi w:val="0"/>
        <w:spacing w:before="0" w:after="0"/>
        <w:ind w:left="0" w:right="0" w:firstLine="280"/>
      </w:pPr>
      <w:r>
        <w:rPr>
          <w:rStyle w:val="CharStyle44"/>
        </w:rPr>
        <w:t xml:space="preserve">Блокада ножки пучка Гиса постоянная </w:t>
      </w:r>
      <w:r>
        <w:rPr>
          <w:lang w:val="ru-RU" w:eastAsia="ru-RU" w:bidi="ru-RU"/>
          <w:w w:val="100"/>
          <w:spacing w:val="0"/>
          <w:color w:val="000000"/>
          <w:position w:val="0"/>
        </w:rPr>
        <w:t>— постоянное на</w:t>
        <w:softHyphen/>
        <w:t>личие БНПГ в течение всего времени регистрации и при любой частоте сердечного ритма.</w:t>
      </w:r>
    </w:p>
    <w:p>
      <w:pPr>
        <w:pStyle w:val="Style30"/>
        <w:widowControl w:val="0"/>
        <w:keepNext w:val="0"/>
        <w:keepLines w:val="0"/>
        <w:shd w:val="clear" w:color="auto" w:fill="auto"/>
        <w:bidi w:val="0"/>
        <w:spacing w:before="0" w:after="0"/>
        <w:ind w:left="0" w:right="0" w:firstLine="280"/>
      </w:pPr>
      <w:r>
        <w:rPr>
          <w:rStyle w:val="CharStyle44"/>
        </w:rPr>
        <w:t xml:space="preserve">Захват импульса </w:t>
      </w:r>
      <w:r>
        <w:rPr>
          <w:lang w:val="ru-RU" w:eastAsia="ru-RU" w:bidi="ru-RU"/>
          <w:w w:val="100"/>
          <w:spacing w:val="0"/>
          <w:color w:val="000000"/>
          <w:position w:val="0"/>
        </w:rPr>
        <w:t>— обычно преждевременная активация либо предсердий (предсердный захват) ретроградно прове</w:t>
        <w:softHyphen/>
        <w:t>денным желудочковым импульсом или импульсом из атрио</w:t>
        <w:softHyphen/>
        <w:t>вентрикулярного соединения, либо желудочков (желудочко</w:t>
        <w:softHyphen/>
        <w:t>вый захват) антероградно проведенным наджелудочковым импульсом. Чаще всего захват наблюдается в период атрио</w:t>
        <w:softHyphen/>
        <w:t>вентрикулярной диссоциации. Его следует отличать от дру</w:t>
        <w:softHyphen/>
        <w:t>гих типов преждевременных импульсов (см. также «Экстра- систолия»). Возникновение захвата в тот момент, когда пред</w:t>
        <w:softHyphen/>
        <w:t>сердия или желудочки уже частично активированы импуль</w:t>
        <w:softHyphen/>
        <w:t>сом из другого водителя ритма, приводит к появлению сме</w:t>
        <w:softHyphen/>
        <w:t>шанного или сливного комплекса, называемого также час</w:t>
        <w:softHyphen/>
        <w:t>тичным или неполным захватом (см. «Сливной комплекс»).</w:t>
      </w:r>
    </w:p>
    <w:p>
      <w:pPr>
        <w:pStyle w:val="Style30"/>
        <w:widowControl w:val="0"/>
        <w:keepNext w:val="0"/>
        <w:keepLines w:val="0"/>
        <w:shd w:val="clear" w:color="auto" w:fill="auto"/>
        <w:bidi w:val="0"/>
        <w:spacing w:before="0" w:after="0"/>
        <w:ind w:left="0" w:right="0" w:firstLine="280"/>
      </w:pPr>
      <w:r>
        <w:rPr>
          <w:rStyle w:val="CharStyle44"/>
        </w:rPr>
        <w:t xml:space="preserve">Полная блокада </w:t>
      </w:r>
      <w:r>
        <w:rPr>
          <w:lang w:val="ru-RU" w:eastAsia="ru-RU" w:bidi="ru-RU"/>
          <w:w w:val="100"/>
          <w:spacing w:val="0"/>
          <w:color w:val="000000"/>
          <w:position w:val="0"/>
        </w:rPr>
        <w:t>— см. «Блокада III степени».</w:t>
      </w:r>
    </w:p>
    <w:p>
      <w:pPr>
        <w:pStyle w:val="Style30"/>
        <w:widowControl w:val="0"/>
        <w:keepNext w:val="0"/>
        <w:keepLines w:val="0"/>
        <w:shd w:val="clear" w:color="auto" w:fill="auto"/>
        <w:bidi w:val="0"/>
        <w:spacing w:before="0" w:after="0"/>
        <w:ind w:left="0" w:right="0" w:firstLine="280"/>
      </w:pPr>
      <w:r>
        <w:rPr>
          <w:rStyle w:val="CharStyle44"/>
        </w:rPr>
        <w:t xml:space="preserve">Скрытое проведение </w:t>
      </w:r>
      <w:r>
        <w:rPr>
          <w:lang w:val="ru-RU" w:eastAsia="ru-RU" w:bidi="ru-RU"/>
          <w:w w:val="100"/>
          <w:spacing w:val="0"/>
          <w:color w:val="000000"/>
          <w:position w:val="0"/>
        </w:rPr>
        <w:t>— частичное прохождение импульса в системе атриовентрикулярного проведения или в соеди</w:t>
        <w:softHyphen/>
        <w:t>нении водитель ритма — миокард, которое влияет на после</w:t>
        <w:softHyphen/>
        <w:t>дующее формирование импульса или его проведение либо на то и другое одновременно.</w:t>
      </w:r>
    </w:p>
    <w:p>
      <w:pPr>
        <w:pStyle w:val="Style30"/>
        <w:widowControl w:val="0"/>
        <w:keepNext w:val="0"/>
        <w:keepLines w:val="0"/>
        <w:shd w:val="clear" w:color="auto" w:fill="auto"/>
        <w:bidi w:val="0"/>
        <w:spacing w:before="0" w:after="0"/>
        <w:ind w:left="0" w:right="0" w:firstLine="280"/>
      </w:pPr>
      <w:r>
        <w:rPr>
          <w:rStyle w:val="CharStyle44"/>
        </w:rPr>
        <w:t xml:space="preserve">Отношение проведения </w:t>
      </w:r>
      <w:r>
        <w:rPr>
          <w:lang w:val="ru-RU" w:eastAsia="ru-RU" w:bidi="ru-RU"/>
          <w:w w:val="100"/>
          <w:spacing w:val="0"/>
          <w:color w:val="000000"/>
          <w:position w:val="0"/>
        </w:rPr>
        <w:t>— отношение числа образовав</w:t>
        <w:softHyphen/>
        <w:t>шихся импульсов к числу импульсов, которые полностью распространились. Это отношение может быть постоян</w:t>
        <w:softHyphen/>
        <w:br w:type="column"/>
        <w:t>ным в течение всей записи или меняющимся (переменное отношение проведения, указывающее на наличие различ</w:t>
        <w:softHyphen/>
        <w:t>ных степеней блокады). Отношение проведения следует классифицировать по возможности.</w:t>
      </w:r>
    </w:p>
    <w:p>
      <w:pPr>
        <w:pStyle w:val="Style30"/>
        <w:widowControl w:val="0"/>
        <w:keepNext w:val="0"/>
        <w:keepLines w:val="0"/>
        <w:shd w:val="clear" w:color="auto" w:fill="auto"/>
        <w:bidi w:val="0"/>
        <w:spacing w:before="0" w:after="0"/>
        <w:ind w:left="0" w:right="0" w:firstLine="280"/>
      </w:pPr>
      <w:r>
        <w:rPr>
          <w:rStyle w:val="CharStyle44"/>
        </w:rPr>
        <w:t xml:space="preserve">Интервал сцепления </w:t>
      </w:r>
      <w:r>
        <w:rPr>
          <w:lang w:val="ru-RU" w:eastAsia="ru-RU" w:bidi="ru-RU"/>
          <w:w w:val="100"/>
          <w:spacing w:val="0"/>
          <w:color w:val="000000"/>
          <w:position w:val="0"/>
        </w:rPr>
        <w:t>— временное соотношение между двумя определенными составляющими сердечного цикла, которые, вероятно, связаны (сцеплены) между собой. Это временное соотношение может быть фиксированным, по</w:t>
        <w:softHyphen/>
        <w:t>стоянным либо может меняться (переменное сцепление). Однако при наличии независимых ритмов, например, дли</w:t>
        <w:softHyphen/>
        <w:t>тельно регистрируемой парасистолии, исходящей из атрио</w:t>
        <w:softHyphen/>
        <w:t>вентрикулярного соединения или желудочка с ретроград</w:t>
        <w:softHyphen/>
        <w:t>ной блокадой парасистолических импульсов, когда актив</w:t>
        <w:softHyphen/>
        <w:t>ность одного водителя ритма не связана с активностью дру</w:t>
        <w:softHyphen/>
        <w:t>гого, термин «переменный интервал сцепления» не соот</w:t>
        <w:softHyphen/>
        <w:t>ветствует характеристике изменяющихся интервалов между активациями, исходящими из двух водителей ритма.</w:t>
      </w:r>
    </w:p>
    <w:p>
      <w:pPr>
        <w:pStyle w:val="Style52"/>
        <w:widowControl w:val="0"/>
        <w:keepNext w:val="0"/>
        <w:keepLines w:val="0"/>
        <w:shd w:val="clear" w:color="auto" w:fill="auto"/>
        <w:bidi w:val="0"/>
        <w:jc w:val="both"/>
        <w:spacing w:before="0" w:after="0" w:line="216" w:lineRule="exact"/>
        <w:ind w:left="0" w:right="0" w:firstLine="280"/>
      </w:pPr>
      <w:r>
        <w:rPr>
          <w:lang w:val="ru-RU" w:eastAsia="ru-RU" w:bidi="ru-RU"/>
          <w:w w:val="100"/>
          <w:color w:val="000000"/>
          <w:position w:val="0"/>
        </w:rPr>
        <w:t>Обозначения записи потенциалов на электрограмме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Запись потенциалов на ЭГС обозначается в соответствии с областью, из которой исходит электрическая активность.</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SAN </w:t>
      </w:r>
      <w:r>
        <w:rPr>
          <w:lang w:val="ru-RU" w:eastAsia="ru-RU" w:bidi="ru-RU"/>
          <w:w w:val="100"/>
          <w:spacing w:val="0"/>
          <w:color w:val="000000"/>
          <w:position w:val="0"/>
        </w:rPr>
        <w:t>(САУ) — запись потенциала синоатриального узла.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AVN </w:t>
      </w:r>
      <w:r>
        <w:rPr>
          <w:lang w:val="ru-RU" w:eastAsia="ru-RU" w:bidi="ru-RU"/>
          <w:w w:val="100"/>
          <w:spacing w:val="0"/>
          <w:color w:val="000000"/>
          <w:position w:val="0"/>
        </w:rPr>
        <w:t>(АВУ) — запись потенциала атриовентрикулярного узла.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 (ПС) — запись потенциала предсердия.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 (ПГ) — запись потенциала пучка Гиса.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V (Ж) — запись потенциала желудочков.</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RB </w:t>
      </w:r>
      <w:r>
        <w:rPr>
          <w:lang w:val="ru-RU" w:eastAsia="ru-RU" w:bidi="ru-RU"/>
          <w:w w:val="100"/>
          <w:spacing w:val="0"/>
          <w:color w:val="000000"/>
          <w:position w:val="0"/>
        </w:rPr>
        <w:t>(ПНПГ) — запись потенциала правой ножки пучка Гиса.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LB </w:t>
      </w:r>
      <w:r>
        <w:rPr>
          <w:lang w:val="ru-RU" w:eastAsia="ru-RU" w:bidi="ru-RU"/>
          <w:w w:val="100"/>
          <w:spacing w:val="0"/>
          <w:color w:val="000000"/>
          <w:position w:val="0"/>
        </w:rPr>
        <w:t>(ЛНПГ) — запись потенциала левой ножки пучка Гиса.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Регистрация активности синоатриального и атриовент</w:t>
        <w:softHyphen/>
        <w:t>рикулярного узлов не является общепризнанной.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Значение записи потенциалов на ЭКГ:</w:t>
      </w:r>
    </w:p>
    <w:p>
      <w:pPr>
        <w:pStyle w:val="Style30"/>
        <w:numPr>
          <w:ilvl w:val="0"/>
          <w:numId w:val="11"/>
        </w:numPr>
        <w:tabs>
          <w:tab w:leader="none" w:pos="52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 — активация предсердий;</w:t>
      </w:r>
    </w:p>
    <w:p>
      <w:pPr>
        <w:pStyle w:val="Style30"/>
        <w:numPr>
          <w:ilvl w:val="0"/>
          <w:numId w:val="11"/>
        </w:numPr>
        <w:tabs>
          <w:tab w:leader="none" w:pos="521"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QRS </w:t>
      </w:r>
      <w:r>
        <w:rPr>
          <w:lang w:val="ru-RU" w:eastAsia="ru-RU" w:bidi="ru-RU"/>
          <w:w w:val="100"/>
          <w:spacing w:val="0"/>
          <w:color w:val="000000"/>
          <w:position w:val="0"/>
        </w:rPr>
        <w:t>— активация желудочков;</w:t>
      </w:r>
    </w:p>
    <w:p>
      <w:pPr>
        <w:pStyle w:val="Style30"/>
        <w:numPr>
          <w:ilvl w:val="0"/>
          <w:numId w:val="11"/>
        </w:numPr>
        <w:tabs>
          <w:tab w:leader="none" w:pos="521"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ST-T </w:t>
      </w:r>
      <w:r>
        <w:rPr>
          <w:lang w:val="ru-RU" w:eastAsia="ru-RU" w:bidi="ru-RU"/>
          <w:w w:val="100"/>
          <w:spacing w:val="0"/>
          <w:color w:val="000000"/>
          <w:position w:val="0"/>
        </w:rPr>
        <w:t>— реполяризация желудочков;</w:t>
      </w:r>
    </w:p>
    <w:p>
      <w:pPr>
        <w:pStyle w:val="Style30"/>
        <w:numPr>
          <w:ilvl w:val="0"/>
          <w:numId w:val="11"/>
        </w:numPr>
        <w:tabs>
          <w:tab w:leader="none" w:pos="521" w:val="left"/>
        </w:tabs>
        <w:widowControl w:val="0"/>
        <w:keepNext w:val="0"/>
        <w:keepLines w:val="0"/>
        <w:shd w:val="clear" w:color="auto" w:fill="auto"/>
        <w:bidi w:val="0"/>
        <w:jc w:val="left"/>
        <w:spacing w:before="0" w:after="0"/>
        <w:ind w:left="520" w:right="0" w:hanging="240"/>
      </w:pPr>
      <w:r>
        <w:rPr>
          <w:lang w:val="en-US" w:eastAsia="en-US" w:bidi="en-US"/>
          <w:w w:val="100"/>
          <w:spacing w:val="0"/>
          <w:color w:val="000000"/>
          <w:position w:val="0"/>
        </w:rPr>
        <w:t xml:space="preserve">U </w:t>
      </w:r>
      <w:r>
        <w:rPr>
          <w:lang w:val="ru-RU" w:eastAsia="ru-RU" w:bidi="ru-RU"/>
          <w:w w:val="100"/>
          <w:spacing w:val="0"/>
          <w:color w:val="000000"/>
          <w:position w:val="0"/>
        </w:rPr>
        <w:t>— происхождение не ясно, возможно, конечная фаза реполяризации волокон Пуркинье.</w:t>
      </w:r>
    </w:p>
    <w:p>
      <w:pPr>
        <w:pStyle w:val="Style30"/>
        <w:widowControl w:val="0"/>
        <w:keepNext w:val="0"/>
        <w:keepLines w:val="0"/>
        <w:shd w:val="clear" w:color="auto" w:fill="auto"/>
        <w:bidi w:val="0"/>
        <w:spacing w:before="0" w:after="0"/>
        <w:ind w:left="0" w:right="0" w:firstLine="280"/>
      </w:pPr>
      <w:r>
        <w:rPr>
          <w:rStyle w:val="CharStyle44"/>
        </w:rPr>
        <w:t xml:space="preserve">Двойной (парный ритм) </w:t>
      </w:r>
      <w:r>
        <w:rPr>
          <w:lang w:val="ru-RU" w:eastAsia="ru-RU" w:bidi="ru-RU"/>
          <w:w w:val="100"/>
          <w:spacing w:val="0"/>
          <w:color w:val="000000"/>
          <w:position w:val="0"/>
        </w:rPr>
        <w:t>— одновременное и независимое существование двух ритмов. Наличие синхронной активно</w:t>
        <w:softHyphen/>
        <w:t>сти двух водителей ритма свидетельствует о том, что води</w:t>
        <w:softHyphen/>
        <w:t>тель ритма с более низкой частотой импульсации защищен от воздействия водителя ритма с более высокой частотой импульсации. Защита может быть локализована внутри со - единения водитель ритма — миокард (как при парасисто</w:t>
        <w:softHyphen/>
        <w:t>лии), внутри миокарда (как при предсердной диссоциации) или внутри системы атриовентрикулярного проведения (атриовентрикулярная диссоциация). Каждый ритм следует классифицировать отдельно (см. также «Переменный, мно</w:t>
        <w:softHyphen/>
        <w:t>гофокусный и множественный ритм»).</w:t>
      </w:r>
    </w:p>
    <w:p>
      <w:pPr>
        <w:pStyle w:val="Style30"/>
        <w:widowControl w:val="0"/>
        <w:keepNext w:val="0"/>
        <w:keepLines w:val="0"/>
        <w:shd w:val="clear" w:color="auto" w:fill="auto"/>
        <w:bidi w:val="0"/>
        <w:spacing w:before="0" w:after="0"/>
        <w:ind w:left="0" w:right="0" w:firstLine="280"/>
      </w:pPr>
      <w:r>
        <w:rPr>
          <w:rStyle w:val="CharStyle44"/>
        </w:rPr>
        <w:t xml:space="preserve">Эхо </w:t>
      </w:r>
      <w:r>
        <w:rPr>
          <w:lang w:val="ru-RU" w:eastAsia="ru-RU" w:bidi="ru-RU"/>
          <w:w w:val="100"/>
          <w:spacing w:val="0"/>
          <w:color w:val="000000"/>
          <w:position w:val="0"/>
        </w:rPr>
        <w:t>— возвращение импульса в область его образования, обозначается соответственно предсердное или желудочко</w:t>
        <w:softHyphen/>
        <w:t>вое эхо. Путь возвратного возбуждения может находиться как в той камере, в которой возник импульс, так и в других отделах сердца ^м. «Реципрокный импульс или возврат</w:t>
        <w:softHyphen/>
        <w:t>ный импульс»).</w:t>
      </w:r>
    </w:p>
    <w:p>
      <w:pPr>
        <w:pStyle w:val="Style30"/>
        <w:widowControl w:val="0"/>
        <w:keepNext w:val="0"/>
        <w:keepLines w:val="0"/>
        <w:shd w:val="clear" w:color="auto" w:fill="auto"/>
        <w:bidi w:val="0"/>
        <w:spacing w:before="0" w:after="0"/>
        <w:ind w:left="0" w:right="0" w:firstLine="280"/>
      </w:pPr>
      <w:r>
        <w:pict>
          <v:shape id="_x0000_s1088" type="#_x0000_t75" style="position:absolute;margin-left:148.1pt;margin-top:739.95pt;width:209.75pt;height:14.9pt;z-index:-125829356;mso-wrap-distance-left:148.1pt;mso-wrap-distance-right:136.8pt;mso-wrap-distance-bottom:20.pt;mso-position-horizontal-relative:margin;mso-position-vertical-relative:margin" wrapcoords="0 0 21600 0 21600 21600 0 21600 0 0">
            <v:imagedata r:id="rId96" r:href="rId97"/>
            <w10:wrap type="topAndBottom" anchorx="margin" anchory="margin"/>
          </v:shape>
        </w:pict>
      </w:r>
      <w:r>
        <w:rPr>
          <w:rStyle w:val="CharStyle44"/>
        </w:rPr>
        <w:t xml:space="preserve">Блокада входа </w:t>
      </w:r>
      <w:r>
        <w:rPr>
          <w:lang w:val="ru-RU" w:eastAsia="ru-RU" w:bidi="ru-RU"/>
          <w:w w:val="100"/>
          <w:spacing w:val="0"/>
          <w:color w:val="000000"/>
          <w:position w:val="0"/>
        </w:rPr>
        <w:t>— замедление или отсутствие вхождения импульса в область, где генерируется импульс водителя ритма. Когда импульс не проходит и не разрежает водителя ритма, последний считается защищенным. При задержке вхождения импульса или только нейрорегуляторной раз</w:t>
        <w:softHyphen/>
        <w:t>рядке водителя ритма защита является неполной (см. также «Блокада выхода»).</w:t>
      </w:r>
      <w:r>
        <w:br w:type="page"/>
      </w:r>
    </w:p>
    <w:p>
      <w:pPr>
        <w:pStyle w:val="Style30"/>
        <w:widowControl w:val="0"/>
        <w:keepNext w:val="0"/>
        <w:keepLines w:val="0"/>
        <w:shd w:val="clear" w:color="auto" w:fill="auto"/>
        <w:bidi w:val="0"/>
        <w:spacing w:before="0" w:after="0"/>
        <w:ind w:left="0" w:right="0" w:firstLine="280"/>
      </w:pPr>
      <w:r>
        <w:rPr>
          <w:rStyle w:val="CharStyle44"/>
        </w:rPr>
        <w:t xml:space="preserve">Выскакивание импульса или разряда </w:t>
      </w:r>
      <w:r>
        <w:rPr>
          <w:lang w:val="ru-RU" w:eastAsia="ru-RU" w:bidi="ru-RU"/>
          <w:w w:val="100"/>
          <w:spacing w:val="0"/>
          <w:color w:val="000000"/>
          <w:position w:val="0"/>
        </w:rPr>
        <w:t>— до двух последова</w:t>
        <w:softHyphen/>
        <w:t>тельно возникающих импульсов (синоатриальных, предсерд</w:t>
        <w:softHyphen/>
        <w:t>ных, атриовентрикулярного соединения или желудочковых) от одного и того же (а иногда и различных) водителя ритма как результат задержки образования или распространения ожидаемого импульса от основного водителя ритма (см. так</w:t>
        <w:softHyphen/>
        <w:t>же «Выскакивающий ритм и преждевременный импульс»).</w:t>
      </w:r>
    </w:p>
    <w:p>
      <w:pPr>
        <w:pStyle w:val="Style30"/>
        <w:widowControl w:val="0"/>
        <w:keepNext w:val="0"/>
        <w:keepLines w:val="0"/>
        <w:shd w:val="clear" w:color="auto" w:fill="auto"/>
        <w:bidi w:val="0"/>
        <w:spacing w:before="0" w:after="0"/>
        <w:ind w:left="0" w:right="0" w:firstLine="280"/>
      </w:pPr>
      <w:r>
        <w:rPr>
          <w:rStyle w:val="CharStyle44"/>
        </w:rPr>
        <w:t xml:space="preserve">Выскакивающий ритм </w:t>
      </w:r>
      <w:r>
        <w:rPr>
          <w:lang w:val="ru-RU" w:eastAsia="ru-RU" w:bidi="ru-RU"/>
          <w:w w:val="100"/>
          <w:spacing w:val="0"/>
          <w:color w:val="000000"/>
          <w:position w:val="0"/>
        </w:rPr>
        <w:t>— три или более последовательно выскакивающих импульса.</w:t>
      </w:r>
    </w:p>
    <w:p>
      <w:pPr>
        <w:pStyle w:val="Style30"/>
        <w:widowControl w:val="0"/>
        <w:keepNext w:val="0"/>
        <w:keepLines w:val="0"/>
        <w:shd w:val="clear" w:color="auto" w:fill="auto"/>
        <w:bidi w:val="0"/>
        <w:spacing w:before="0" w:after="0"/>
        <w:ind w:left="0" w:right="0" w:firstLine="280"/>
      </w:pPr>
      <w:r>
        <w:rPr>
          <w:rStyle w:val="CharStyle44"/>
        </w:rPr>
        <w:t xml:space="preserve">Блокада выхода </w:t>
      </w:r>
      <w:r>
        <w:rPr>
          <w:lang w:val="ru-RU" w:eastAsia="ru-RU" w:bidi="ru-RU"/>
          <w:w w:val="100"/>
          <w:spacing w:val="0"/>
          <w:color w:val="000000"/>
          <w:position w:val="0"/>
        </w:rPr>
        <w:t>— задержка прохождения импульса или его неспособность достигнуть или разрядить участок мио</w:t>
        <w:softHyphen/>
        <w:t>карда, окружающий водитель ритма. Это определение так</w:t>
        <w:softHyphen/>
        <w:t>же относится к синоатриальному проведению (см. также «Блокада входа»).</w:t>
      </w:r>
    </w:p>
    <w:p>
      <w:pPr>
        <w:pStyle w:val="Style30"/>
        <w:widowControl w:val="0"/>
        <w:keepNext w:val="0"/>
        <w:keepLines w:val="0"/>
        <w:shd w:val="clear" w:color="auto" w:fill="auto"/>
        <w:bidi w:val="0"/>
        <w:spacing w:before="0" w:after="0"/>
        <w:ind w:left="0" w:right="0" w:firstLine="280"/>
      </w:pPr>
      <w:r>
        <w:rPr>
          <w:rStyle w:val="CharStyle44"/>
        </w:rPr>
        <w:t xml:space="preserve">Экстрасистола </w:t>
      </w:r>
      <w:r>
        <w:rPr>
          <w:lang w:val="ru-RU" w:eastAsia="ru-RU" w:bidi="ru-RU"/>
          <w:w w:val="100"/>
          <w:spacing w:val="0"/>
          <w:color w:val="000000"/>
          <w:position w:val="0"/>
        </w:rPr>
        <w:t>— преждевременный импульс, который обычно свидетельствует о фиксированной и, возможно, при</w:t>
        <w:softHyphen/>
        <w:t>чинной связи с предыдущей активацией одной и той же ка</w:t>
        <w:softHyphen/>
        <w:t>меры сердца. Экстрасистолы могут также вызываться элек</w:t>
        <w:softHyphen/>
        <w:t>трическим или механическим путем. В таких случаях при</w:t>
        <w:softHyphen/>
        <w:t>чинная связь с предыдущей активацией обычно отсутствует (см. также «Захват, эхо и преждевременный импульс»).</w:t>
      </w:r>
    </w:p>
    <w:p>
      <w:pPr>
        <w:pStyle w:val="Style30"/>
        <w:widowControl w:val="0"/>
        <w:keepNext w:val="0"/>
        <w:keepLines w:val="0"/>
        <w:shd w:val="clear" w:color="auto" w:fill="auto"/>
        <w:bidi w:val="0"/>
        <w:spacing w:before="0" w:after="0"/>
        <w:ind w:left="0" w:right="0" w:firstLine="280"/>
      </w:pPr>
      <w:r>
        <w:rPr>
          <w:rStyle w:val="CharStyle44"/>
        </w:rPr>
        <w:t xml:space="preserve">Фасцикулярная блокада, или блокада ветви </w:t>
      </w:r>
      <w:r>
        <w:rPr>
          <w:lang w:val="ru-RU" w:eastAsia="ru-RU" w:bidi="ru-RU"/>
          <w:w w:val="100"/>
          <w:spacing w:val="0"/>
          <w:color w:val="000000"/>
          <w:position w:val="0"/>
        </w:rPr>
        <w:t>— это элек</w:t>
        <w:softHyphen/>
        <w:t>трокардиографическое (электрофизиологическое) поня</w:t>
        <w:softHyphen/>
        <w:t>тие, в основе которого лежит нарушение в одной из ветвей левой ножки пучка Гиса (см. «Блокада ветвей передней и задней ножек пучка Гиса»). До сих пор электрокардиогра</w:t>
        <w:softHyphen/>
        <w:t>фическая картина блокады септальной (средней) ветви ле</w:t>
        <w:softHyphen/>
        <w:t>вой ножки пучка Гиса недостаточно изучена. Несмотря на то что концепция фасцикулярной блокады очень полезна и широко используется, до сих пор не определены точные анатомические корреляции в отношении нее.</w:t>
      </w:r>
    </w:p>
    <w:p>
      <w:pPr>
        <w:pStyle w:val="Style30"/>
        <w:widowControl w:val="0"/>
        <w:keepNext w:val="0"/>
        <w:keepLines w:val="0"/>
        <w:shd w:val="clear" w:color="auto" w:fill="auto"/>
        <w:bidi w:val="0"/>
        <w:spacing w:before="0" w:after="0"/>
        <w:ind w:left="0" w:right="0" w:firstLine="280"/>
      </w:pPr>
      <w:r>
        <w:rPr>
          <w:rStyle w:val="CharStyle44"/>
        </w:rPr>
        <w:t xml:space="preserve">Блокада передней ветви левой ножки пучка Гиса </w:t>
      </w:r>
      <w:r>
        <w:rPr>
          <w:lang w:val="ru-RU" w:eastAsia="ru-RU" w:bidi="ru-RU"/>
          <w:w w:val="100"/>
          <w:spacing w:val="0"/>
          <w:color w:val="000000"/>
          <w:position w:val="0"/>
        </w:rPr>
        <w:t>— это электрокардиографическое понятие, в основе которого ле</w:t>
        <w:softHyphen/>
        <w:t>жит блокада передней ветви левой ножки пучка Гиса, обус</w:t>
        <w:softHyphen/>
        <w:t>ловливающая задержку активации переднебоковой стенки левого желудочка (см. также «Фасцикулярная блокада»).</w:t>
      </w:r>
    </w:p>
    <w:p>
      <w:pPr>
        <w:pStyle w:val="Style30"/>
        <w:widowControl w:val="0"/>
        <w:keepNext w:val="0"/>
        <w:keepLines w:val="0"/>
        <w:shd w:val="clear" w:color="auto" w:fill="auto"/>
        <w:bidi w:val="0"/>
        <w:spacing w:before="0" w:after="0"/>
        <w:ind w:left="0" w:right="0" w:firstLine="280"/>
      </w:pPr>
      <w:r>
        <w:rPr>
          <w:rStyle w:val="CharStyle44"/>
        </w:rPr>
        <w:t xml:space="preserve">Блокада задней ветви левой ножки </w:t>
      </w:r>
      <w:r>
        <w:rPr>
          <w:lang w:val="ru-RU" w:eastAsia="ru-RU" w:bidi="ru-RU"/>
          <w:w w:val="100"/>
          <w:spacing w:val="0"/>
          <w:color w:val="000000"/>
          <w:position w:val="0"/>
        </w:rPr>
        <w:t>— электрокардиогра</w:t>
        <w:softHyphen/>
        <w:t>фическое понятие, в основе которого лежит блокада задней ветви левой ножки, обусловливающая задержку активации задней стенки левого желудочка (см. также «Фасцикуляр</w:t>
        <w:softHyphen/>
        <w:t>ная блокада»).</w:t>
      </w:r>
    </w:p>
    <w:p>
      <w:pPr>
        <w:pStyle w:val="Style30"/>
        <w:widowControl w:val="0"/>
        <w:keepNext w:val="0"/>
        <w:keepLines w:val="0"/>
        <w:shd w:val="clear" w:color="auto" w:fill="auto"/>
        <w:bidi w:val="0"/>
        <w:spacing w:before="0" w:after="0"/>
        <w:ind w:left="0" w:right="0" w:firstLine="280"/>
      </w:pPr>
      <w:r>
        <w:rPr>
          <w:rStyle w:val="CharStyle44"/>
        </w:rPr>
        <w:t xml:space="preserve">Фибрилляция </w:t>
      </w:r>
      <w:r>
        <w:rPr>
          <w:lang w:val="ru-RU" w:eastAsia="ru-RU" w:bidi="ru-RU"/>
          <w:w w:val="100"/>
          <w:spacing w:val="0"/>
          <w:color w:val="000000"/>
          <w:position w:val="0"/>
        </w:rPr>
        <w:t>— нерегулярная, беспорядочная электриче</w:t>
        <w:softHyphen/>
        <w:t>ская активность предсердий или желудочков. При предсерд</w:t>
        <w:softHyphen/>
        <w:t>ной фибрилляции отсутствуют зубцы Р и кривая представля</w:t>
        <w:softHyphen/>
        <w:t>ет собой нерегулярные волны, которые непрерывно меняют</w:t>
        <w:softHyphen/>
        <w:t>ся по форме, длительности, амплитуде и направлению.</w:t>
      </w:r>
    </w:p>
    <w:p>
      <w:pPr>
        <w:pStyle w:val="Style30"/>
        <w:widowControl w:val="0"/>
        <w:keepNext w:val="0"/>
        <w:keepLines w:val="0"/>
        <w:shd w:val="clear" w:color="auto" w:fill="auto"/>
        <w:bidi w:val="0"/>
        <w:spacing w:before="0" w:after="0"/>
        <w:ind w:left="0" w:right="0" w:firstLine="280"/>
      </w:pPr>
      <w:r>
        <w:rPr>
          <w:rStyle w:val="CharStyle44"/>
        </w:rPr>
        <w:t xml:space="preserve">Блокада </w:t>
      </w:r>
      <w:r>
        <w:rPr>
          <w:rStyle w:val="CharStyle44"/>
          <w:lang w:val="en-US" w:eastAsia="en-US" w:bidi="en-US"/>
        </w:rPr>
        <w:t xml:space="preserve">I </w:t>
      </w:r>
      <w:r>
        <w:rPr>
          <w:rStyle w:val="CharStyle44"/>
        </w:rPr>
        <w:t xml:space="preserve">степени </w:t>
      </w:r>
      <w:r>
        <w:rPr>
          <w:lang w:val="ru-RU" w:eastAsia="ru-RU" w:bidi="ru-RU"/>
          <w:w w:val="100"/>
          <w:spacing w:val="0"/>
          <w:color w:val="000000"/>
          <w:position w:val="0"/>
        </w:rPr>
        <w:t>— задержка проведения при отноше</w:t>
        <w:softHyphen/>
        <w:t>нии 1:1. В каждом конкретном случае следует определить время проведения (см. также «Блокада II и III ст.»).</w:t>
      </w:r>
    </w:p>
    <w:p>
      <w:pPr>
        <w:pStyle w:val="Style30"/>
        <w:widowControl w:val="0"/>
        <w:keepNext w:val="0"/>
        <w:keepLines w:val="0"/>
        <w:shd w:val="clear" w:color="auto" w:fill="auto"/>
        <w:bidi w:val="0"/>
        <w:spacing w:before="0" w:after="0"/>
        <w:ind w:left="0" w:right="0" w:firstLine="280"/>
      </w:pPr>
      <w:r>
        <w:rPr>
          <w:rStyle w:val="CharStyle44"/>
        </w:rPr>
        <w:t xml:space="preserve">Трепетание </w:t>
      </w:r>
      <w:r>
        <w:rPr>
          <w:lang w:val="ru-RU" w:eastAsia="ru-RU" w:bidi="ru-RU"/>
          <w:w w:val="100"/>
          <w:spacing w:val="0"/>
          <w:color w:val="000000"/>
          <w:position w:val="0"/>
        </w:rPr>
        <w:t>— быстрая и регулярная электрическая актив</w:t>
        <w:softHyphen/>
        <w:t>ность предсердий или желудочков, которая характеризуется отсутствием (по крайней мере в одном отведении ЭКГ) изо</w:t>
        <w:softHyphen/>
        <w:t>электрической линии между предсердными или желудочко</w:t>
        <w:softHyphen/>
        <w:t>выми комплексами в зависимости от того, в каких отделах сердца имеется трепетание. При трепетании предсердий ча</w:t>
        <w:softHyphen/>
        <w:t>стота сокращения предсердий обычно составляет 200-350 в мин. Различают типичные и атипичные формы трепетания предсердий. При типичной форме во II и III от</w:t>
        <w:softHyphen/>
        <w:t>ведениях зубцы имеют пилообразную конфигурацию, в то время как при атипичной форме этого не отмечается. Не все</w:t>
        <w:softHyphen/>
        <w:t>гда представляется возможным отличить атипичную форму трепетания предсердий от предсердной тахикардии с высо</w:t>
        <w:softHyphen/>
        <w:br w:type="column"/>
        <w:t>кой частотой сердечных сокращений. При трепетании желу</w:t>
        <w:softHyphen/>
        <w:t xml:space="preserve">дочков ритм регулярный, частота сердечных сокращений обычно превышает 250 в минуту,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и зубец Т не могут быть идентифицированы или разделены.</w:t>
      </w:r>
    </w:p>
    <w:p>
      <w:pPr>
        <w:pStyle w:val="Style30"/>
        <w:widowControl w:val="0"/>
        <w:keepNext w:val="0"/>
        <w:keepLines w:val="0"/>
        <w:shd w:val="clear" w:color="auto" w:fill="auto"/>
        <w:bidi w:val="0"/>
        <w:spacing w:before="0" w:after="0"/>
        <w:ind w:left="0" w:right="0" w:firstLine="280"/>
      </w:pPr>
      <w:r>
        <w:rPr>
          <w:rStyle w:val="CharStyle44"/>
        </w:rPr>
        <w:t xml:space="preserve">Cливной (смешанный) комплекс </w:t>
      </w:r>
      <w:r>
        <w:rPr>
          <w:lang w:val="ru-RU" w:eastAsia="ru-RU" w:bidi="ru-RU"/>
          <w:w w:val="100"/>
          <w:spacing w:val="0"/>
          <w:color w:val="000000"/>
          <w:position w:val="0"/>
        </w:rPr>
        <w:t>— одновременная или почти одновременная активация либо предсердий, либо желудочков (предсердный или желудочковый сливной комплекс соответственно) импульсами, идущими с разных направлений. В результате этого регистрируется электро</w:t>
        <w:softHyphen/>
        <w:t>кардиографический комплекс, являющийся промежуточ</w:t>
        <w:softHyphen/>
        <w:t>ным (смешанным) по форме между отклонениями от изо</w:t>
        <w:softHyphen/>
        <w:t>электрической линии, вызванными активацией каждым отдельным импульсом (см. также «Захват»).</w:t>
      </w:r>
    </w:p>
    <w:p>
      <w:pPr>
        <w:pStyle w:val="Style30"/>
        <w:widowControl w:val="0"/>
        <w:keepNext w:val="0"/>
        <w:keepLines w:val="0"/>
        <w:shd w:val="clear" w:color="auto" w:fill="auto"/>
        <w:bidi w:val="0"/>
        <w:spacing w:before="0" w:after="0"/>
        <w:ind w:left="0" w:right="0" w:firstLine="280"/>
      </w:pPr>
      <w:r>
        <w:rPr>
          <w:rStyle w:val="CharStyle44"/>
        </w:rPr>
        <w:t xml:space="preserve">Выпадения проведения </w:t>
      </w:r>
      <w:r>
        <w:rPr>
          <w:lang w:val="ru-RU" w:eastAsia="ru-RU" w:bidi="ru-RU"/>
          <w:w w:val="100"/>
          <w:spacing w:val="0"/>
          <w:color w:val="000000"/>
          <w:position w:val="0"/>
        </w:rPr>
        <w:t>— период в сердечном цикле, на протяжении которого проведение отсутствует, хотя про</w:t>
        <w:softHyphen/>
        <w:t>ведение импульса, характеризующегося большей или мень</w:t>
        <w:softHyphen/>
        <w:t>шей степенью преждевременности, возможно. Выпадение проведения обычно наблюдается при антероградном атри</w:t>
        <w:softHyphen/>
        <w:t>овентрикулярном или ретроградном вентрикулоатриаль</w:t>
        <w:softHyphen/>
        <w:t>ном прохождении импульса, но, по-видимому, возможно и в других отделах сердца.</w:t>
      </w:r>
    </w:p>
    <w:p>
      <w:pPr>
        <w:pStyle w:val="Style30"/>
        <w:widowControl w:val="0"/>
        <w:keepNext w:val="0"/>
        <w:keepLines w:val="0"/>
        <w:shd w:val="clear" w:color="auto" w:fill="auto"/>
        <w:bidi w:val="0"/>
        <w:spacing w:before="0" w:after="0"/>
        <w:ind w:left="0" w:right="0" w:firstLine="280"/>
      </w:pPr>
      <w:r>
        <w:rPr>
          <w:rStyle w:val="CharStyle44"/>
        </w:rPr>
        <w:t xml:space="preserve">Неполная (частичная) блокада </w:t>
      </w:r>
      <w:r>
        <w:rPr>
          <w:lang w:val="ru-RU" w:eastAsia="ru-RU" w:bidi="ru-RU"/>
          <w:w w:val="100"/>
          <w:spacing w:val="0"/>
          <w:color w:val="000000"/>
          <w:position w:val="0"/>
        </w:rPr>
        <w:t>— общее понятие, вклю</w:t>
        <w:softHyphen/>
        <w:t>чающее блокаду I и II степени.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Характерная частота — частота образования импульса, характерная для водителя ритма определенной локализа</w:t>
        <w:softHyphen/>
        <w:t>ции. Она может быть различной в зависимости от возраста или других факторов. Для взрослых характерны следующие показатели: синоатриальный узел — 50-100 имп/мин, пред</w:t>
        <w:softHyphen/>
        <w:t>сердие — точно не известно, но, вероятно, 40-60 имп/мин, желудочек — 30-40 имп/мин.</w:t>
      </w:r>
    </w:p>
    <w:p>
      <w:pPr>
        <w:pStyle w:val="Style30"/>
        <w:widowControl w:val="0"/>
        <w:keepNext w:val="0"/>
        <w:keepLines w:val="0"/>
        <w:shd w:val="clear" w:color="auto" w:fill="auto"/>
        <w:bidi w:val="0"/>
        <w:spacing w:before="0" w:after="0"/>
        <w:ind w:left="0" w:right="0" w:firstLine="280"/>
      </w:pPr>
      <w:r>
        <w:rPr>
          <w:rStyle w:val="CharStyle44"/>
        </w:rPr>
        <w:t xml:space="preserve">Интерполяция </w:t>
      </w:r>
      <w:r>
        <w:rPr>
          <w:lang w:val="ru-RU" w:eastAsia="ru-RU" w:bidi="ru-RU"/>
          <w:w w:val="100"/>
          <w:spacing w:val="0"/>
          <w:color w:val="000000"/>
          <w:position w:val="0"/>
        </w:rPr>
        <w:t>— феномен, при котором преждевремен</w:t>
        <w:softHyphen/>
        <w:t>ный импульс (обычно эктопического происхождения) воз</w:t>
        <w:softHyphen/>
        <w:t>никает между двумя последовательными импульсами дру</w:t>
        <w:softHyphen/>
        <w:t>гого водителя ритма, которые проводятся к отделу сердца, где образуется преждевременный импульс. Время проведе</w:t>
        <w:softHyphen/>
        <w:t>ния импульса непосредственно после преждевременного разряда обычно удлинено за счет скрытого проведения преждевременного импульса.</w:t>
      </w:r>
    </w:p>
    <w:p>
      <w:pPr>
        <w:pStyle w:val="Style30"/>
        <w:widowControl w:val="0"/>
        <w:keepNext w:val="0"/>
        <w:keepLines w:val="0"/>
        <w:shd w:val="clear" w:color="auto" w:fill="auto"/>
        <w:bidi w:val="0"/>
        <w:spacing w:before="0" w:after="0"/>
        <w:ind w:left="0" w:right="0" w:firstLine="280"/>
      </w:pPr>
      <w:r>
        <w:rPr>
          <w:rStyle w:val="CharStyle44"/>
        </w:rPr>
        <w:t xml:space="preserve">Интервалы на электрограмме сердца </w:t>
      </w:r>
      <w:r>
        <w:rPr>
          <w:lang w:val="ru-RU" w:eastAsia="ru-RU" w:bidi="ru-RU"/>
          <w:w w:val="100"/>
          <w:spacing w:val="0"/>
          <w:color w:val="000000"/>
          <w:position w:val="0"/>
        </w:rPr>
        <w:t>(ЭГС). В связи с на</w:t>
        <w:softHyphen/>
        <w:t>личием различных способов регистрации ЭГС необходимо указать, какое отведение (одно- или двухполюсное) ис</w:t>
        <w:softHyphen/>
        <w:t>пользовалось при записи, какими были расстояние между электродами использованного частотного фильтра, частот</w:t>
        <w:softHyphen/>
        <w:t>ная характеристика регистрирующей аппаратуры, точки, в которых производились измерения интервалов. Если при наличии специфических обстоятельств учитывалось внут</w:t>
        <w:softHyphen/>
        <w:t>реннее отклонение при измерении интервалов на ЭГС, это должно быть точно указано. Нормальные показатели долж</w:t>
        <w:softHyphen/>
        <w:t>ны даваться каждой лабораторией.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 — от наиболее раннего момента появления зубца Р в любом из синхронно записанных отведений ЭКГ до появ</w:t>
        <w:softHyphen/>
        <w:t>ления А на ЭГС (ЭГПГ).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РН — от наиболее раннего момента появления зубца Р в любом из синхронно записанных отведений ЭКГ до появ</w:t>
        <w:softHyphen/>
        <w:t>ления Н на ЭГПГ.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 — от появления А до появления Н на ЭГПГ.</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HV </w:t>
      </w:r>
      <w:r>
        <w:rPr>
          <w:lang w:val="ru-RU" w:eastAsia="ru-RU" w:bidi="ru-RU"/>
          <w:w w:val="100"/>
          <w:spacing w:val="0"/>
          <w:color w:val="000000"/>
          <w:position w:val="0"/>
        </w:rPr>
        <w:t>— от появления Н до появления V на ЭГПГ.</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HQ, HR </w:t>
      </w:r>
      <w:r>
        <w:rPr>
          <w:lang w:val="ru-RU" w:eastAsia="ru-RU" w:bidi="ru-RU"/>
          <w:w w:val="100"/>
          <w:spacing w:val="0"/>
          <w:color w:val="000000"/>
          <w:position w:val="0"/>
        </w:rPr>
        <w:t>— от появления Н на ЭГПГ до наиболее ранне</w:t>
        <w:softHyphen/>
        <w:t xml:space="preserve">го появления зубца </w:t>
      </w:r>
      <w:r>
        <w:rPr>
          <w:lang w:val="en-US" w:eastAsia="en-US" w:bidi="en-US"/>
          <w:w w:val="100"/>
          <w:spacing w:val="0"/>
          <w:color w:val="000000"/>
          <w:position w:val="0"/>
        </w:rPr>
        <w:t xml:space="preserve">Q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R </w:t>
      </w:r>
      <w:r>
        <w:rPr>
          <w:lang w:val="ru-RU" w:eastAsia="ru-RU" w:bidi="ru-RU"/>
          <w:w w:val="100"/>
          <w:spacing w:val="0"/>
          <w:color w:val="000000"/>
          <w:position w:val="0"/>
        </w:rPr>
        <w:t>в любом из синхронно записан</w:t>
        <w:softHyphen/>
        <w:t>ных отведений ЭКГ.</w:t>
      </w:r>
    </w:p>
    <w:p>
      <w:pPr>
        <w:pStyle w:val="Style30"/>
        <w:widowControl w:val="0"/>
        <w:keepNext w:val="0"/>
        <w:keepLines w:val="0"/>
        <w:shd w:val="clear" w:color="auto" w:fill="auto"/>
        <w:bidi w:val="0"/>
        <w:spacing w:before="0" w:after="0"/>
        <w:ind w:left="0" w:right="0" w:firstLine="280"/>
      </w:pPr>
      <w:r>
        <w:pict>
          <v:shape id="_x0000_s1089" type="#_x0000_t75" style="position:absolute;margin-left:136.8pt;margin-top:740.2pt;width:209.75pt;height:14.9pt;z-index:-125829355;mso-wrap-distance-left:136.8pt;mso-wrap-distance-right:148.1pt;mso-wrap-distance-bottom:20.pt;mso-position-horizontal-relative:margin;mso-position-vertical-relative:margin" wrapcoords="0 0 21600 0 21600 21600 0 21600 0 0">
            <v:imagedata r:id="rId98" r:href="rId99"/>
            <w10:wrap type="topAndBottom" anchorx="margin" anchory="margin"/>
          </v:shape>
        </w:pict>
      </w:r>
      <w:r>
        <w:rPr>
          <w:lang w:val="en-US" w:eastAsia="en-US" w:bidi="en-US"/>
          <w:w w:val="100"/>
          <w:spacing w:val="0"/>
          <w:color w:val="000000"/>
          <w:position w:val="0"/>
        </w:rPr>
        <w:t xml:space="preserve">RB-V, RV-Q </w:t>
      </w:r>
      <w:r>
        <w:rPr>
          <w:lang w:val="ru-RU" w:eastAsia="ru-RU" w:bidi="ru-RU"/>
          <w:w w:val="100"/>
          <w:spacing w:val="0"/>
          <w:color w:val="000000"/>
          <w:position w:val="0"/>
        </w:rPr>
        <w:t xml:space="preserve">и </w:t>
      </w:r>
      <w:r>
        <w:rPr>
          <w:lang w:val="en-US" w:eastAsia="en-US" w:bidi="en-US"/>
          <w:w w:val="100"/>
          <w:spacing w:val="0"/>
          <w:color w:val="000000"/>
          <w:position w:val="0"/>
        </w:rPr>
        <w:t xml:space="preserve">LV-V, LB-Q </w:t>
      </w:r>
      <w:r>
        <w:rPr>
          <w:lang w:val="ru-RU" w:eastAsia="ru-RU" w:bidi="ru-RU"/>
          <w:w w:val="100"/>
          <w:spacing w:val="0"/>
          <w:color w:val="000000"/>
          <w:position w:val="0"/>
        </w:rPr>
        <w:t>определяются тем же спосо</w:t>
        <w:softHyphen/>
        <w:t xml:space="preserve">бом, что </w:t>
      </w:r>
      <w:r>
        <w:rPr>
          <w:lang w:val="en-US" w:eastAsia="en-US" w:bidi="en-US"/>
          <w:w w:val="100"/>
          <w:spacing w:val="0"/>
          <w:color w:val="000000"/>
          <w:position w:val="0"/>
        </w:rPr>
        <w:t xml:space="preserve">HV </w:t>
      </w:r>
      <w:r>
        <w:rPr>
          <w:lang w:val="ru-RU" w:eastAsia="ru-RU" w:bidi="ru-RU"/>
          <w:w w:val="100"/>
          <w:spacing w:val="0"/>
          <w:color w:val="000000"/>
          <w:position w:val="0"/>
        </w:rPr>
        <w:t xml:space="preserve">и </w:t>
      </w:r>
      <w:r>
        <w:rPr>
          <w:lang w:val="en-US" w:eastAsia="en-US" w:bidi="en-US"/>
          <w:w w:val="100"/>
          <w:spacing w:val="0"/>
          <w:color w:val="000000"/>
          <w:position w:val="0"/>
        </w:rPr>
        <w:t xml:space="preserve">HQ </w:t>
      </w:r>
      <w:r>
        <w:rPr>
          <w:lang w:val="ru-RU" w:eastAsia="ru-RU" w:bidi="ru-RU"/>
          <w:w w:val="100"/>
          <w:spacing w:val="0"/>
          <w:color w:val="000000"/>
          <w:position w:val="0"/>
        </w:rPr>
        <w:t>соответственно.</w:t>
      </w:r>
      <w:r>
        <w:br w:type="page"/>
      </w:r>
    </w:p>
    <w:p>
      <w:pPr>
        <w:pStyle w:val="Style30"/>
        <w:widowControl w:val="0"/>
        <w:keepNext w:val="0"/>
        <w:keepLines w:val="0"/>
        <w:shd w:val="clear" w:color="auto" w:fill="auto"/>
        <w:bidi w:val="0"/>
        <w:spacing w:before="0" w:after="0"/>
        <w:ind w:left="0" w:right="0" w:firstLine="280"/>
      </w:pPr>
      <w:r>
        <w:rPr>
          <w:rStyle w:val="CharStyle44"/>
        </w:rPr>
        <w:t xml:space="preserve">Задержка внутрипредсердного проведения </w:t>
      </w:r>
      <w:r>
        <w:rPr>
          <w:lang w:val="ru-RU" w:eastAsia="ru-RU" w:bidi="ru-RU"/>
          <w:w w:val="100"/>
          <w:spacing w:val="0"/>
          <w:color w:val="000000"/>
          <w:position w:val="0"/>
        </w:rPr>
        <w:t>— задержка проведения внутри предсердий, вызывающая аномальное расширение и (или) деформацию зубца Р на ЭКГ.</w:t>
      </w:r>
    </w:p>
    <w:p>
      <w:pPr>
        <w:pStyle w:val="Style30"/>
        <w:widowControl w:val="0"/>
        <w:keepNext w:val="0"/>
        <w:keepLines w:val="0"/>
        <w:shd w:val="clear" w:color="auto" w:fill="auto"/>
        <w:bidi w:val="0"/>
        <w:spacing w:before="0" w:after="0"/>
        <w:ind w:left="0" w:right="0" w:firstLine="280"/>
      </w:pPr>
      <w:r>
        <w:rPr>
          <w:rStyle w:val="CharStyle44"/>
        </w:rPr>
        <w:t xml:space="preserve">Продольная диссоциация </w:t>
      </w:r>
      <w:r>
        <w:rPr>
          <w:lang w:val="ru-RU" w:eastAsia="ru-RU" w:bidi="ru-RU"/>
          <w:w w:val="100"/>
          <w:spacing w:val="0"/>
          <w:color w:val="000000"/>
          <w:position w:val="0"/>
        </w:rPr>
        <w:t>— наличие неодинаковой спо</w:t>
        <w:softHyphen/>
        <w:t>собности к проведению и возбуждению в двойных проводя</w:t>
        <w:softHyphen/>
        <w:t>щих путях, имеющих проксимальные и дистальные соеди</w:t>
        <w:softHyphen/>
        <w:t>нения. Один путь (в) характеризуется удлиненным рефрак</w:t>
        <w:softHyphen/>
        <w:t>терным периодом и высокой скоростью проведения, дру</w:t>
        <w:softHyphen/>
        <w:t>гой (а) имеет обратные характеристики.</w:t>
      </w:r>
    </w:p>
    <w:p>
      <w:pPr>
        <w:pStyle w:val="Style30"/>
        <w:widowControl w:val="0"/>
        <w:keepNext w:val="0"/>
        <w:keepLines w:val="0"/>
        <w:shd w:val="clear" w:color="auto" w:fill="auto"/>
        <w:bidi w:val="0"/>
        <w:spacing w:before="0" w:after="0"/>
        <w:ind w:left="0" w:right="0" w:firstLine="280"/>
      </w:pPr>
      <w:r>
        <w:rPr>
          <w:rStyle w:val="CharStyle44"/>
        </w:rPr>
        <w:t xml:space="preserve">Блокада Мобитца I типа </w:t>
      </w:r>
      <w:r>
        <w:rPr>
          <w:lang w:val="ru-RU" w:eastAsia="ru-RU" w:bidi="ru-RU"/>
          <w:w w:val="100"/>
          <w:spacing w:val="0"/>
          <w:color w:val="000000"/>
          <w:position w:val="0"/>
        </w:rPr>
        <w:t>— см. «Блокада II ст., тип I».</w:t>
      </w:r>
    </w:p>
    <w:p>
      <w:pPr>
        <w:pStyle w:val="Style30"/>
        <w:widowControl w:val="0"/>
        <w:keepNext w:val="0"/>
        <w:keepLines w:val="0"/>
        <w:shd w:val="clear" w:color="auto" w:fill="auto"/>
        <w:bidi w:val="0"/>
        <w:spacing w:before="0" w:after="0"/>
        <w:ind w:left="0" w:right="0" w:firstLine="280"/>
      </w:pPr>
      <w:r>
        <w:rPr>
          <w:rStyle w:val="CharStyle44"/>
        </w:rPr>
        <w:t xml:space="preserve">Блокада Мобитца II типа </w:t>
      </w:r>
      <w:r>
        <w:rPr>
          <w:lang w:val="ru-RU" w:eastAsia="ru-RU" w:bidi="ru-RU"/>
          <w:w w:val="100"/>
          <w:spacing w:val="0"/>
          <w:color w:val="000000"/>
          <w:position w:val="0"/>
        </w:rPr>
        <w:t>— cм. «Блокада II ст., тип II».</w:t>
      </w:r>
    </w:p>
    <w:p>
      <w:pPr>
        <w:pStyle w:val="Style30"/>
        <w:widowControl w:val="0"/>
        <w:keepNext w:val="0"/>
        <w:keepLines w:val="0"/>
        <w:shd w:val="clear" w:color="auto" w:fill="auto"/>
        <w:bidi w:val="0"/>
        <w:spacing w:before="0" w:after="0"/>
        <w:ind w:left="0" w:right="0" w:firstLine="280"/>
      </w:pPr>
      <w:r>
        <w:rPr>
          <w:rStyle w:val="CharStyle44"/>
        </w:rPr>
        <w:t xml:space="preserve">Многофокусный (многоформный) ритм </w:t>
      </w:r>
      <w:r>
        <w:rPr>
          <w:lang w:val="ru-RU" w:eastAsia="ru-RU" w:bidi="ru-RU"/>
          <w:w w:val="100"/>
          <w:spacing w:val="0"/>
          <w:color w:val="000000"/>
          <w:position w:val="0"/>
        </w:rPr>
        <w:t>— наджелудочко</w:t>
        <w:softHyphen/>
        <w:t>вый или желудочковый ритм, характеризующийся различ</w:t>
        <w:softHyphen/>
        <w:t>ной длительностью циклов и морфологией зубцов (волн) активации. Такой ритм в дальнейшем следует определять в зависимости от частоты образования импульса. Много - формная конфигурация зубцов может указывать на много</w:t>
        <w:softHyphen/>
        <w:t>фокусное их происхождение, хотя это и не является непре</w:t>
        <w:softHyphen/>
        <w:t>менным условием (см. «Альтернирующий, парный и мно</w:t>
        <w:softHyphen/>
        <w:t>жественный ритмы», а также «Хаотический ритм и блужда</w:t>
        <w:softHyphen/>
        <w:t>ющий водитель ритма»).</w:t>
      </w:r>
    </w:p>
    <w:p>
      <w:pPr>
        <w:pStyle w:val="Style30"/>
        <w:widowControl w:val="0"/>
        <w:keepNext w:val="0"/>
        <w:keepLines w:val="0"/>
        <w:shd w:val="clear" w:color="auto" w:fill="auto"/>
        <w:bidi w:val="0"/>
        <w:spacing w:before="0" w:after="0"/>
        <w:ind w:left="0" w:right="0" w:firstLine="280"/>
      </w:pPr>
      <w:r>
        <w:rPr>
          <w:rStyle w:val="CharStyle44"/>
        </w:rPr>
        <w:t xml:space="preserve">Множественный ритм </w:t>
      </w:r>
      <w:r>
        <w:rPr>
          <w:lang w:val="ru-RU" w:eastAsia="ru-RU" w:bidi="ru-RU"/>
          <w:w w:val="100"/>
          <w:spacing w:val="0"/>
          <w:color w:val="000000"/>
          <w:position w:val="0"/>
        </w:rPr>
        <w:t>— одновременное и независимое существование двух или нескольких ритмов, например двойного (парного), тройного или четверного. Каждый из этих ритмов должен рассматриваться отдельно (см. также «Альтернирующий, парный и многофокусный ритмы»).</w:t>
      </w:r>
    </w:p>
    <w:p>
      <w:pPr>
        <w:pStyle w:val="Style30"/>
        <w:widowControl w:val="0"/>
        <w:keepNext w:val="0"/>
        <w:keepLines w:val="0"/>
        <w:shd w:val="clear" w:color="auto" w:fill="auto"/>
        <w:bidi w:val="0"/>
        <w:spacing w:before="0" w:after="0"/>
        <w:ind w:left="0" w:right="0" w:firstLine="280"/>
      </w:pPr>
      <w:r>
        <w:rPr>
          <w:rStyle w:val="CharStyle44"/>
        </w:rPr>
        <w:t xml:space="preserve">Неспецифическая внутрижелудочковая блокада </w:t>
      </w:r>
      <w:r>
        <w:rPr>
          <w:lang w:val="ru-RU" w:eastAsia="ru-RU" w:bidi="ru-RU"/>
          <w:w w:val="100"/>
          <w:spacing w:val="0"/>
          <w:color w:val="000000"/>
          <w:position w:val="0"/>
        </w:rPr>
        <w:t>— любой тип нарушения внутрижелудочковой проводимости, кото</w:t>
        <w:softHyphen/>
        <w:t>рый нельзя полностью объяснить наличием блокады в спе</w:t>
        <w:softHyphen/>
        <w:t>цифической проводящей системе (см. также «Арборизаци- онная блокада, нарушение интрамурального проведения, блокада в мышечных волокнах, пристеночная и периин- фарктная блокада»).</w:t>
      </w:r>
    </w:p>
    <w:p>
      <w:pPr>
        <w:pStyle w:val="Style30"/>
        <w:widowControl w:val="0"/>
        <w:keepNext w:val="0"/>
        <w:keepLines w:val="0"/>
        <w:shd w:val="clear" w:color="auto" w:fill="auto"/>
        <w:bidi w:val="0"/>
        <w:spacing w:before="0" w:after="0"/>
        <w:ind w:left="0" w:right="0" w:firstLine="280"/>
      </w:pPr>
      <w:r>
        <w:rPr>
          <w:rStyle w:val="CharStyle44"/>
        </w:rPr>
        <w:t xml:space="preserve">Ортоградное проведение </w:t>
      </w:r>
      <w:r>
        <w:rPr>
          <w:lang w:val="ru-RU" w:eastAsia="ru-RU" w:bidi="ru-RU"/>
          <w:w w:val="100"/>
          <w:spacing w:val="0"/>
          <w:color w:val="000000"/>
          <w:position w:val="0"/>
        </w:rPr>
        <w:t>— см. «Антероградное проведе</w:t>
        <w:softHyphen/>
        <w:t>ние».</w:t>
      </w:r>
    </w:p>
    <w:p>
      <w:pPr>
        <w:pStyle w:val="Style30"/>
        <w:widowControl w:val="0"/>
        <w:keepNext w:val="0"/>
        <w:keepLines w:val="0"/>
        <w:shd w:val="clear" w:color="auto" w:fill="auto"/>
        <w:bidi w:val="0"/>
        <w:spacing w:before="0" w:after="0"/>
        <w:ind w:left="0" w:right="0" w:firstLine="280"/>
      </w:pPr>
      <w:r>
        <w:rPr>
          <w:rStyle w:val="CharStyle44"/>
        </w:rPr>
        <w:t xml:space="preserve">Водитель ритма </w:t>
      </w:r>
      <w:r>
        <w:rPr>
          <w:lang w:val="ru-RU" w:eastAsia="ru-RU" w:bidi="ru-RU"/>
          <w:w w:val="100"/>
          <w:spacing w:val="0"/>
          <w:color w:val="000000"/>
          <w:position w:val="0"/>
        </w:rPr>
        <w:t>— группа сердечных мышечных воло</w:t>
        <w:softHyphen/>
        <w:t>кон, которые вызывают одну или несколько активаций. Данное определение не учитывает различных механизмов, которые могут участвовать в образовании сердечного им</w:t>
        <w:softHyphen/>
        <w:t>пульса. С точки зрения электрофизиологии, применение этого термина не ограничивается рамками какой-либо анатомически определенной группы клеток, в которых имеет место спонтанная четвертая фаза деполяризации: водитель ритма эктопический или вспомогательный лю</w:t>
        <w:softHyphen/>
        <w:t>бой водитель ритма, находящийся вне синоатриального (синусового) узла.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Такие термины, как «латентный» и «потенциальный» во - дитель ритма, относятся к неактивным («дремлющим») клеткам, обладающим свойствами водителя ритма, в то время как термин «вспомогательный» может относиться как к активным, так и к латентным эктопическим водите</w:t>
        <w:softHyphen/>
        <w:t>лям ритма. Латентный водитель ритма может находиться внутри самого синоатриального узла.</w:t>
      </w:r>
    </w:p>
    <w:p>
      <w:pPr>
        <w:pStyle w:val="Style30"/>
        <w:widowControl w:val="0"/>
        <w:keepNext w:val="0"/>
        <w:keepLines w:val="0"/>
        <w:shd w:val="clear" w:color="auto" w:fill="auto"/>
        <w:bidi w:val="0"/>
        <w:spacing w:before="0" w:after="0"/>
        <w:ind w:left="0" w:right="0" w:firstLine="280"/>
      </w:pPr>
      <w:r>
        <w:rPr>
          <w:rStyle w:val="CharStyle44"/>
        </w:rPr>
        <w:t xml:space="preserve">Парасистолия </w:t>
      </w:r>
      <w:r>
        <w:rPr>
          <w:lang w:val="ru-RU" w:eastAsia="ru-RU" w:bidi="ru-RU"/>
          <w:w w:val="100"/>
          <w:spacing w:val="0"/>
          <w:color w:val="000000"/>
          <w:position w:val="0"/>
        </w:rPr>
        <w:t>— ритм, представляющий собой парную активацию одной из камер сердца, в которой один из води</w:t>
        <w:softHyphen/>
        <w:t>телей ритма (парасистолический фокус) защищен от разря</w:t>
        <w:softHyphen/>
        <w:t>жающего действия другого водителя ритма. Последний обычно поддерживает преобладающий ритм. Иногда два или более парасистолических ритмов могут существовать (многофокусная парасистолия). При периодическом ос</w:t>
        <w:softHyphen/>
        <w:t>лаблении защиты парасистолический центр может разря</w:t>
        <w:softHyphen/>
        <w:t>жаться проникающим импульсом, образовавшимся в кри</w:t>
        <w:softHyphen/>
        <w:br w:type="column"/>
        <w:t>тический временной интервал, парасистолия в данном слу</w:t>
        <w:softHyphen/>
        <w:t>чае называется перемежающейся (см. также «Блокада входа и атриовентрикулярная диссоциация»).</w:t>
      </w:r>
    </w:p>
    <w:p>
      <w:pPr>
        <w:pStyle w:val="Style30"/>
        <w:widowControl w:val="0"/>
        <w:keepNext w:val="0"/>
        <w:keepLines w:val="0"/>
        <w:shd w:val="clear" w:color="auto" w:fill="auto"/>
        <w:bidi w:val="0"/>
        <w:spacing w:before="0" w:after="0"/>
        <w:ind w:left="0" w:right="0" w:firstLine="280"/>
      </w:pPr>
      <w:r>
        <w:rPr>
          <w:rStyle w:val="CharStyle44"/>
        </w:rPr>
        <w:t xml:space="preserve">Частичная блокада </w:t>
      </w:r>
      <w:r>
        <w:rPr>
          <w:lang w:val="ru-RU" w:eastAsia="ru-RU" w:bidi="ru-RU"/>
          <w:w w:val="100"/>
          <w:spacing w:val="0"/>
          <w:color w:val="000000"/>
          <w:position w:val="0"/>
        </w:rPr>
        <w:t>— см. «Неполная блокада».</w:t>
      </w:r>
    </w:p>
    <w:p>
      <w:pPr>
        <w:pStyle w:val="Style30"/>
        <w:widowControl w:val="0"/>
        <w:keepNext w:val="0"/>
        <w:keepLines w:val="0"/>
        <w:shd w:val="clear" w:color="auto" w:fill="auto"/>
        <w:bidi w:val="0"/>
        <w:spacing w:before="0" w:after="0"/>
        <w:ind w:left="0" w:right="0" w:firstLine="280"/>
      </w:pPr>
      <w:r>
        <w:rPr>
          <w:rStyle w:val="CharStyle44"/>
        </w:rPr>
        <w:t xml:space="preserve">Частичное риэнтри </w:t>
      </w:r>
      <w:r>
        <w:rPr>
          <w:lang w:val="ru-RU" w:eastAsia="ru-RU" w:bidi="ru-RU"/>
          <w:w w:val="100"/>
          <w:spacing w:val="0"/>
          <w:color w:val="000000"/>
          <w:position w:val="0"/>
        </w:rPr>
        <w:t>— возвратный ход возбуждения (см. «Риэнтри»).</w:t>
      </w:r>
    </w:p>
    <w:p>
      <w:pPr>
        <w:pStyle w:val="Style30"/>
        <w:widowControl w:val="0"/>
        <w:keepNext w:val="0"/>
        <w:keepLines w:val="0"/>
        <w:shd w:val="clear" w:color="auto" w:fill="auto"/>
        <w:bidi w:val="0"/>
        <w:spacing w:before="0" w:after="0"/>
        <w:ind w:left="0" w:right="0" w:firstLine="280"/>
      </w:pPr>
      <w:r>
        <w:rPr>
          <w:rStyle w:val="CharStyle44"/>
        </w:rPr>
        <w:t xml:space="preserve">Преждевременное возбуждение </w:t>
      </w:r>
      <w:r>
        <w:rPr>
          <w:lang w:val="ru-RU" w:eastAsia="ru-RU" w:bidi="ru-RU"/>
          <w:w w:val="100"/>
          <w:spacing w:val="0"/>
          <w:color w:val="000000"/>
          <w:position w:val="0"/>
        </w:rPr>
        <w:t>— возбуждение опреде</w:t>
        <w:softHyphen/>
        <w:t>ленной камеры сердца или ее части до распространения импульса, который проводится по нормальной проводящей системе. Морфология волны возбуждения может быть и нормальной. Антероградно преждевременно могут быть возбуждены желудочки, ретроградно — предсердия.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Термин «преждевременное возбуждение» может также использоваться для обозначения искусственно вызванного возбуждения, когда механическая или электрическая сти</w:t>
        <w:softHyphen/>
        <w:t>муляция имеет место до нормально проведенного импульса или одновременно с ним (см. также «Феномен и синдром Вольфа-Паркинсона-Уайта», а также «Синдром укорочен</w:t>
        <w:softHyphen/>
        <w:t xml:space="preserve">ного интервала </w:t>
      </w:r>
      <w:r>
        <w:rPr>
          <w:lang w:val="en-US" w:eastAsia="en-US" w:bidi="en-US"/>
          <w:w w:val="100"/>
          <w:spacing w:val="0"/>
          <w:color w:val="000000"/>
          <w:position w:val="0"/>
        </w:rPr>
        <w:t>PR»).</w:t>
      </w:r>
    </w:p>
    <w:p>
      <w:pPr>
        <w:pStyle w:val="Style30"/>
        <w:widowControl w:val="0"/>
        <w:keepNext w:val="0"/>
        <w:keepLines w:val="0"/>
        <w:shd w:val="clear" w:color="auto" w:fill="auto"/>
        <w:bidi w:val="0"/>
        <w:spacing w:before="0" w:after="0"/>
        <w:ind w:left="0" w:right="0" w:firstLine="280"/>
      </w:pPr>
      <w:r>
        <w:rPr>
          <w:rStyle w:val="CharStyle44"/>
        </w:rPr>
        <w:t xml:space="preserve">Преждевременный импульс </w:t>
      </w:r>
      <w:r>
        <w:rPr>
          <w:lang w:val="ru-RU" w:eastAsia="ru-RU" w:bidi="ru-RU"/>
          <w:w w:val="100"/>
          <w:spacing w:val="0"/>
          <w:color w:val="000000"/>
          <w:position w:val="0"/>
        </w:rPr>
        <w:t>(активация, комплекс или разряд) — активация, предшествующая ожидаемому разря</w:t>
        <w:softHyphen/>
        <w:t>ду из основного источника ритма. Этот термин относится к экстрасистолам, эхозахватам и манифестирующим акти</w:t>
        <w:softHyphen/>
        <w:t>вациям от парасистолического водителя ритма. Ранние ак</w:t>
        <w:softHyphen/>
        <w:t>тивации желудочков при фибрилляции, трепетании пред</w:t>
        <w:softHyphen/>
        <w:t>сердий не следует называть преждевременными, так как при этих видах аритмии преждевременность невозможно доказать.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Преждевременные импульсы могут возникать одиночно или парами (дуплетами). Когда три или более последова</w:t>
        <w:softHyphen/>
        <w:t>тельных импульса регистрируются при частоте больше 100 сокращений в минуту, говорят о наличии тахикардии.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Преждевременный импульс обычно имеет эктопичес</w:t>
        <w:softHyphen/>
        <w:t>кую природу.</w:t>
      </w:r>
    </w:p>
    <w:p>
      <w:pPr>
        <w:pStyle w:val="Style30"/>
        <w:widowControl w:val="0"/>
        <w:keepNext w:val="0"/>
        <w:keepLines w:val="0"/>
        <w:shd w:val="clear" w:color="auto" w:fill="auto"/>
        <w:bidi w:val="0"/>
        <w:spacing w:before="0" w:after="0"/>
        <w:ind w:left="0" w:right="0" w:firstLine="280"/>
      </w:pPr>
      <w:r>
        <w:rPr>
          <w:rStyle w:val="CharStyle44"/>
        </w:rPr>
        <w:t xml:space="preserve">Квадригеминия </w:t>
      </w:r>
      <w:r>
        <w:rPr>
          <w:lang w:val="ru-RU" w:eastAsia="ru-RU" w:bidi="ru-RU"/>
          <w:w w:val="100"/>
          <w:spacing w:val="0"/>
          <w:color w:val="000000"/>
          <w:position w:val="0"/>
        </w:rPr>
        <w:t>— в соответствии с определением триге- минии.</w:t>
      </w:r>
    </w:p>
    <w:p>
      <w:pPr>
        <w:pStyle w:val="Style30"/>
        <w:widowControl w:val="0"/>
        <w:keepNext w:val="0"/>
        <w:keepLines w:val="0"/>
        <w:shd w:val="clear" w:color="auto" w:fill="auto"/>
        <w:bidi w:val="0"/>
        <w:spacing w:before="0" w:after="0"/>
        <w:ind w:left="0" w:right="0" w:firstLine="280"/>
      </w:pPr>
      <w:r>
        <w:rPr>
          <w:rStyle w:val="CharStyle44"/>
        </w:rPr>
        <w:t xml:space="preserve">Реципрокный или возвратный импульс </w:t>
      </w:r>
      <w:r>
        <w:rPr>
          <w:lang w:val="ru-RU" w:eastAsia="ru-RU" w:bidi="ru-RU"/>
          <w:w w:val="100"/>
          <w:spacing w:val="0"/>
          <w:color w:val="000000"/>
          <w:position w:val="0"/>
        </w:rPr>
        <w:t>— одно возвратное распространение возбуждения (см. «Эхо, риэнтри и рецип- рокный ритм»).</w:t>
      </w:r>
    </w:p>
    <w:p>
      <w:pPr>
        <w:pStyle w:val="Style30"/>
        <w:widowControl w:val="0"/>
        <w:keepNext w:val="0"/>
        <w:keepLines w:val="0"/>
        <w:shd w:val="clear" w:color="auto" w:fill="auto"/>
        <w:bidi w:val="0"/>
        <w:spacing w:before="0" w:after="0"/>
        <w:ind w:left="0" w:right="0" w:firstLine="280"/>
      </w:pPr>
      <w:r>
        <w:rPr>
          <w:rStyle w:val="CharStyle44"/>
        </w:rPr>
        <w:t xml:space="preserve">Реципрокный ритм </w:t>
      </w:r>
      <w:r>
        <w:rPr>
          <w:lang w:val="ru-RU" w:eastAsia="ru-RU" w:bidi="ru-RU"/>
          <w:w w:val="100"/>
          <w:spacing w:val="0"/>
          <w:color w:val="000000"/>
          <w:position w:val="0"/>
        </w:rPr>
        <w:t>— круговое движение возбуждения, вызывающее ряд последовательных активаций какой-либо камеры сердца (см. «Риэнтри»).</w:t>
      </w:r>
    </w:p>
    <w:p>
      <w:pPr>
        <w:pStyle w:val="Style30"/>
        <w:widowControl w:val="0"/>
        <w:keepNext w:val="0"/>
        <w:keepLines w:val="0"/>
        <w:shd w:val="clear" w:color="auto" w:fill="auto"/>
        <w:bidi w:val="0"/>
        <w:spacing w:before="0" w:after="0"/>
        <w:ind w:left="0" w:right="0" w:firstLine="280"/>
      </w:pPr>
      <w:r>
        <w:rPr>
          <w:rStyle w:val="CharStyle44"/>
        </w:rPr>
        <w:t xml:space="preserve">Риэнтри </w:t>
      </w:r>
      <w:r>
        <w:rPr>
          <w:lang w:val="ru-RU" w:eastAsia="ru-RU" w:bidi="ru-RU"/>
          <w:w w:val="100"/>
          <w:spacing w:val="0"/>
          <w:color w:val="000000"/>
          <w:position w:val="0"/>
        </w:rPr>
        <w:t>(возвратный ход возбуждения) — феномен, при котором сердечный импульс совершает круговое дви</w:t>
        <w:softHyphen/>
        <w:t>жение и возвращается к области его возникновения или идет по направлению к ней. Риэнтри может вызывать одну или несколько активаций всего сердца или какого-либо его отдела либо оставаться скрытым. Последнее становит</w:t>
        <w:softHyphen/>
        <w:t>ся очевидным в связи с последействием на образование по - следующего импульса и (или) его проведение и поэтому называется скрытым, частичным или незавершившимся риэнтри.</w:t>
      </w:r>
    </w:p>
    <w:p>
      <w:pPr>
        <w:pStyle w:val="Style30"/>
        <w:widowControl w:val="0"/>
        <w:keepNext w:val="0"/>
        <w:keepLines w:val="0"/>
        <w:shd w:val="clear" w:color="auto" w:fill="auto"/>
        <w:bidi w:val="0"/>
        <w:spacing w:before="0" w:after="0"/>
        <w:ind w:left="0" w:right="0" w:firstLine="280"/>
      </w:pPr>
      <w:r>
        <w:rPr>
          <w:rStyle w:val="CharStyle44"/>
        </w:rPr>
        <w:t xml:space="preserve">Рефрактерный период </w:t>
      </w:r>
      <w:r>
        <w:rPr>
          <w:lang w:val="ru-RU" w:eastAsia="ru-RU" w:bidi="ru-RU"/>
          <w:w w:val="100"/>
          <w:spacing w:val="0"/>
          <w:color w:val="000000"/>
          <w:position w:val="0"/>
        </w:rPr>
        <w:t>— период в сердечном цикле, во время которого выявляется отсутствие или изменение реакции проводящей системы и миокарда на стимуляцию.</w:t>
      </w:r>
    </w:p>
    <w:p>
      <w:pPr>
        <w:pStyle w:val="Style30"/>
        <w:widowControl w:val="0"/>
        <w:keepNext w:val="0"/>
        <w:keepLines w:val="0"/>
        <w:shd w:val="clear" w:color="auto" w:fill="auto"/>
        <w:bidi w:val="0"/>
        <w:spacing w:before="0" w:after="0"/>
        <w:ind w:left="0" w:right="0" w:firstLine="280"/>
      </w:pPr>
      <w:r>
        <w:pict>
          <v:shape id="_x0000_s1090" type="#_x0000_t75" style="position:absolute;margin-left:148.1pt;margin-top:739.95pt;width:209.75pt;height:14.9pt;z-index:-125829354;mso-wrap-distance-left:148.1pt;mso-wrap-distance-right:136.8pt;mso-wrap-distance-bottom:20.pt;mso-position-horizontal-relative:margin;mso-position-vertical-relative:margin" wrapcoords="0 0 21600 0 21600 21600 0 21600 0 0">
            <v:imagedata r:id="rId100" r:href="rId101"/>
            <w10:wrap type="topAndBottom" anchorx="margin" anchory="margin"/>
          </v:shape>
        </w:pict>
      </w:r>
      <w:r>
        <w:rPr>
          <w:rStyle w:val="CharStyle44"/>
        </w:rPr>
        <w:t xml:space="preserve">Абсолютный рефрактерный период </w:t>
      </w:r>
      <w:r>
        <w:rPr>
          <w:lang w:val="ru-RU" w:eastAsia="ru-RU" w:bidi="ru-RU"/>
          <w:w w:val="100"/>
          <w:spacing w:val="0"/>
          <w:color w:val="000000"/>
          <w:position w:val="0"/>
        </w:rPr>
        <w:t>(АРП) — период в сер</w:t>
        <w:softHyphen/>
        <w:t>дечном цикле, во время которого сердце не поддается воз</w:t>
        <w:softHyphen/>
        <w:t>буждению. Локализованная, нераспространенная электри</w:t>
        <w:softHyphen/>
        <w:t>ческая активность может, тем не менее, регистрироваться на клеточном уровне. При записи отведений с поверхности тела или внутриполостных отведений АРП, вероятно, идентичен ЭРП.</w:t>
      </w:r>
      <w:r>
        <w:br w:type="page"/>
      </w:r>
    </w:p>
    <w:p>
      <w:pPr>
        <w:pStyle w:val="Style30"/>
        <w:widowControl w:val="0"/>
        <w:keepNext w:val="0"/>
        <w:keepLines w:val="0"/>
        <w:shd w:val="clear" w:color="auto" w:fill="auto"/>
        <w:bidi w:val="0"/>
        <w:spacing w:before="0" w:after="0"/>
        <w:ind w:left="0" w:right="0" w:firstLine="280"/>
      </w:pPr>
      <w:r>
        <w:rPr>
          <w:rStyle w:val="CharStyle44"/>
        </w:rPr>
        <w:t xml:space="preserve">Эффективный рефрактерный период </w:t>
      </w:r>
      <w:r>
        <w:rPr>
          <w:lang w:val="ru-RU" w:eastAsia="ru-RU" w:bidi="ru-RU"/>
          <w:w w:val="100"/>
          <w:spacing w:val="0"/>
          <w:color w:val="000000"/>
          <w:position w:val="0"/>
        </w:rPr>
        <w:t>(ЭРП) — период в сердечном цикле, во время которого импульс (преждевре</w:t>
        <w:softHyphen/>
        <w:t>менный или нормальный) не проводится.</w:t>
      </w:r>
    </w:p>
    <w:p>
      <w:pPr>
        <w:pStyle w:val="Style30"/>
        <w:widowControl w:val="0"/>
        <w:keepNext w:val="0"/>
        <w:keepLines w:val="0"/>
        <w:shd w:val="clear" w:color="auto" w:fill="auto"/>
        <w:bidi w:val="0"/>
        <w:spacing w:before="0" w:after="0"/>
        <w:ind w:left="0" w:right="0" w:firstLine="280"/>
      </w:pPr>
      <w:r>
        <w:rPr>
          <w:rStyle w:val="CharStyle44"/>
        </w:rPr>
        <w:t xml:space="preserve">Относительный рефрактерный период </w:t>
      </w:r>
      <w:r>
        <w:rPr>
          <w:lang w:val="ru-RU" w:eastAsia="ru-RU" w:bidi="ru-RU"/>
          <w:w w:val="100"/>
          <w:spacing w:val="0"/>
          <w:color w:val="000000"/>
          <w:position w:val="0"/>
        </w:rPr>
        <w:t>(ОРП) — интервал в сердечном цикле, во время которого преждевременный импульс проводится более медленно по сравнению с им</w:t>
        <w:softHyphen/>
        <w:t>пульсом, проводимым вне рефрактерного периода.</w:t>
      </w:r>
    </w:p>
    <w:p>
      <w:pPr>
        <w:pStyle w:val="Style30"/>
        <w:widowControl w:val="0"/>
        <w:keepNext w:val="0"/>
        <w:keepLines w:val="0"/>
        <w:shd w:val="clear" w:color="auto" w:fill="auto"/>
        <w:bidi w:val="0"/>
        <w:spacing w:before="0" w:after="0"/>
        <w:ind w:left="0" w:right="0" w:firstLine="280"/>
      </w:pPr>
      <w:r>
        <w:rPr>
          <w:rStyle w:val="CharStyle44"/>
        </w:rPr>
        <w:t xml:space="preserve">Функциональный рефрактерный период </w:t>
      </w:r>
      <w:r>
        <w:rPr>
          <w:lang w:val="ru-RU" w:eastAsia="ru-RU" w:bidi="ru-RU"/>
          <w:w w:val="100"/>
          <w:spacing w:val="0"/>
          <w:color w:val="000000"/>
          <w:position w:val="0"/>
        </w:rPr>
        <w:t>(ФРП) — крат</w:t>
        <w:softHyphen/>
        <w:t>чайший интервал соответственно между двумя последова</w:t>
        <w:softHyphen/>
        <w:t>тельно проведенными предсердными или желудочковыми импульсами.</w:t>
      </w:r>
    </w:p>
    <w:p>
      <w:pPr>
        <w:pStyle w:val="Style30"/>
        <w:widowControl w:val="0"/>
        <w:keepNext w:val="0"/>
        <w:keepLines w:val="0"/>
        <w:shd w:val="clear" w:color="auto" w:fill="auto"/>
        <w:bidi w:val="0"/>
        <w:spacing w:before="0" w:after="0"/>
        <w:ind w:left="0" w:right="0" w:firstLine="280"/>
      </w:pPr>
      <w:r>
        <w:rPr>
          <w:rStyle w:val="CharStyle44"/>
        </w:rPr>
        <w:t xml:space="preserve">Ретроградное проведение </w:t>
      </w:r>
      <w:r>
        <w:rPr>
          <w:lang w:val="ru-RU" w:eastAsia="ru-RU" w:bidi="ru-RU"/>
          <w:w w:val="100"/>
          <w:spacing w:val="0"/>
          <w:color w:val="000000"/>
          <w:position w:val="0"/>
        </w:rPr>
        <w:t>— проведение сердечного им</w:t>
        <w:softHyphen/>
        <w:t>пульса в противоположном нормальному направлении; этот обычно используют для характеристики вентрикулоатриаль</w:t>
        <w:softHyphen/>
        <w:t>ного проведения (см. также «Антероградное проведение»).</w:t>
      </w:r>
    </w:p>
    <w:p>
      <w:pPr>
        <w:pStyle w:val="Style30"/>
        <w:widowControl w:val="0"/>
        <w:keepNext w:val="0"/>
        <w:keepLines w:val="0"/>
        <w:shd w:val="clear" w:color="auto" w:fill="auto"/>
        <w:bidi w:val="0"/>
        <w:spacing w:before="0" w:after="0"/>
        <w:ind w:left="0" w:right="0" w:firstLine="280"/>
      </w:pPr>
      <w:r>
        <w:rPr>
          <w:rStyle w:val="CharStyle44"/>
        </w:rPr>
        <w:t xml:space="preserve">Блокада II степени </w:t>
      </w:r>
      <w:r>
        <w:rPr>
          <w:lang w:val="ru-RU" w:eastAsia="ru-RU" w:bidi="ru-RU"/>
          <w:w w:val="100"/>
          <w:spacing w:val="0"/>
          <w:color w:val="000000"/>
          <w:position w:val="0"/>
        </w:rPr>
        <w:t>— нарушение проводимости, в ре</w:t>
        <w:softHyphen/>
        <w:t>зультате которого не каждый импульс полностью распро</w:t>
        <w:softHyphen/>
        <w:t>страняется из места его возникновения. Этот термин следу</w:t>
        <w:softHyphen/>
        <w:t>ет применять лишь при постоянном формировании им</w:t>
        <w:softHyphen/>
        <w:t>пульсов. Так, например, не следует использовать его в слу</w:t>
        <w:softHyphen/>
        <w:t>чаях блокады преждевременных импульсов (см. также «От</w:t>
        <w:softHyphen/>
        <w:t>ношение проведения»).</w:t>
      </w:r>
    </w:p>
    <w:p>
      <w:pPr>
        <w:pStyle w:val="Style30"/>
        <w:widowControl w:val="0"/>
        <w:keepNext w:val="0"/>
        <w:keepLines w:val="0"/>
        <w:shd w:val="clear" w:color="auto" w:fill="auto"/>
        <w:bidi w:val="0"/>
        <w:spacing w:before="0" w:after="0"/>
        <w:ind w:left="0" w:right="0" w:firstLine="280"/>
      </w:pPr>
      <w:r>
        <w:rPr>
          <w:rStyle w:val="CharStyle44"/>
        </w:rPr>
        <w:t xml:space="preserve">Блокада II степени, тип I (Венкебаха) </w:t>
      </w:r>
      <w:r>
        <w:rPr>
          <w:lang w:val="ru-RU" w:eastAsia="ru-RU" w:bidi="ru-RU"/>
          <w:w w:val="100"/>
          <w:spacing w:val="0"/>
          <w:color w:val="000000"/>
          <w:position w:val="0"/>
        </w:rPr>
        <w:t>— перемежающееся нарушение проведения импульса, при котором блокирован</w:t>
        <w:softHyphen/>
        <w:t>ному импульсу предшествует удлинение времени проведе</w:t>
        <w:softHyphen/>
        <w:t>ния относительно времени проведения первого импульса.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типичном варианте удлинение времени проведения уменьшается, вызывая прогрессирующее укорочение ин</w:t>
        <w:softHyphen/>
        <w:t>тервала активации воспринимающей камеры сердца вплоть до появления блокированного импульса. Эта типичная структура встречается редко, но имеет важное значение при диагностике блокады выхода I типа. Большинство случаев блокады I типа характеризуется наличием атипичных вари</w:t>
        <w:softHyphen/>
        <w:t>антов, при которых удлинение времени проведения различ</w:t>
        <w:softHyphen/>
        <w:t xml:space="preserve">но, причем не обязательно второй импульс характеризуется наибольшим увеличением времени проведения (см. также «Блокада </w:t>
      </w:r>
      <w:r>
        <w:rPr>
          <w:lang w:val="en-US" w:eastAsia="en-US" w:bidi="en-US"/>
          <w:w w:val="100"/>
          <w:spacing w:val="0"/>
          <w:color w:val="000000"/>
          <w:position w:val="0"/>
        </w:rPr>
        <w:t xml:space="preserve">II </w:t>
      </w:r>
      <w:r>
        <w:rPr>
          <w:lang w:val="ru-RU" w:eastAsia="ru-RU" w:bidi="ru-RU"/>
          <w:w w:val="100"/>
          <w:spacing w:val="0"/>
          <w:color w:val="000000"/>
          <w:position w:val="0"/>
        </w:rPr>
        <w:t xml:space="preserve">степени, тип </w:t>
      </w:r>
      <w:r>
        <w:rPr>
          <w:lang w:val="en-US" w:eastAsia="en-US" w:bidi="en-US"/>
          <w:w w:val="100"/>
          <w:spacing w:val="0"/>
          <w:color w:val="000000"/>
          <w:position w:val="0"/>
        </w:rPr>
        <w:t xml:space="preserve">II </w:t>
      </w:r>
      <w:r>
        <w:rPr>
          <w:lang w:val="ru-RU" w:eastAsia="ru-RU" w:bidi="ru-RU"/>
          <w:w w:val="100"/>
          <w:spacing w:val="0"/>
          <w:color w:val="000000"/>
          <w:position w:val="0"/>
        </w:rPr>
        <w:t>и далеко зашедшая блокада»).</w:t>
      </w:r>
    </w:p>
    <w:p>
      <w:pPr>
        <w:pStyle w:val="Style30"/>
        <w:widowControl w:val="0"/>
        <w:keepNext w:val="0"/>
        <w:keepLines w:val="0"/>
        <w:shd w:val="clear" w:color="auto" w:fill="auto"/>
        <w:bidi w:val="0"/>
        <w:spacing w:before="0" w:after="0"/>
        <w:ind w:left="0" w:right="0" w:firstLine="280"/>
      </w:pPr>
      <w:r>
        <w:rPr>
          <w:rStyle w:val="CharStyle44"/>
        </w:rPr>
        <w:t xml:space="preserve">Блокада II степени, тип II (тип II Мобитца) </w:t>
      </w:r>
      <w:r>
        <w:rPr>
          <w:lang w:val="ru-RU" w:eastAsia="ru-RU" w:bidi="ru-RU"/>
          <w:w w:val="100"/>
          <w:spacing w:val="0"/>
          <w:color w:val="000000"/>
          <w:position w:val="0"/>
        </w:rPr>
        <w:t>— перемежа</w:t>
        <w:softHyphen/>
        <w:t>ющееся прекращение распространения импульса вслед за проведенными импульсами с постоянным временем прове</w:t>
        <w:softHyphen/>
        <w:t>дения. Диагностика блокады II типа подтверждается обна</w:t>
        <w:softHyphen/>
        <w:t>ружением аналогичного интервала при проведении следу</w:t>
        <w:softHyphen/>
        <w:t xml:space="preserve">ющего за блокированным импульса (см. также «Блокада </w:t>
      </w:r>
      <w:r>
        <w:rPr>
          <w:lang w:val="en-US" w:eastAsia="en-US" w:bidi="en-US"/>
          <w:w w:val="100"/>
          <w:spacing w:val="0"/>
          <w:color w:val="000000"/>
          <w:position w:val="0"/>
        </w:rPr>
        <w:t xml:space="preserve">II </w:t>
      </w:r>
      <w:r>
        <w:rPr>
          <w:lang w:val="ru-RU" w:eastAsia="ru-RU" w:bidi="ru-RU"/>
          <w:w w:val="100"/>
          <w:spacing w:val="0"/>
          <w:color w:val="000000"/>
          <w:position w:val="0"/>
        </w:rPr>
        <w:t xml:space="preserve">степени, тип </w:t>
      </w:r>
      <w:r>
        <w:rPr>
          <w:lang w:val="en-US" w:eastAsia="en-US" w:bidi="en-US"/>
          <w:w w:val="100"/>
          <w:spacing w:val="0"/>
          <w:color w:val="000000"/>
          <w:position w:val="0"/>
        </w:rPr>
        <w:t xml:space="preserve">I </w:t>
      </w:r>
      <w:r>
        <w:rPr>
          <w:lang w:val="ru-RU" w:eastAsia="ru-RU" w:bidi="ru-RU"/>
          <w:w w:val="100"/>
          <w:spacing w:val="0"/>
          <w:color w:val="000000"/>
          <w:position w:val="0"/>
        </w:rPr>
        <w:t>и далеко зашедшая блокада»).</w:t>
      </w:r>
    </w:p>
    <w:p>
      <w:pPr>
        <w:pStyle w:val="Style30"/>
        <w:widowControl w:val="0"/>
        <w:keepNext w:val="0"/>
        <w:keepLines w:val="0"/>
        <w:shd w:val="clear" w:color="auto" w:fill="auto"/>
        <w:bidi w:val="0"/>
        <w:spacing w:before="0" w:after="0"/>
        <w:ind w:left="0" w:right="0" w:firstLine="280"/>
      </w:pPr>
      <w:r>
        <w:rPr>
          <w:rStyle w:val="CharStyle44"/>
        </w:rPr>
        <w:t>Cин</w:t>
      </w:r>
      <w:r>
        <w:rPr>
          <w:rStyle w:val="CharStyle44"/>
          <w:vertAlign w:val="subscript"/>
        </w:rPr>
        <w:t>&gt;</w:t>
      </w:r>
      <w:r>
        <w:rPr>
          <w:rStyle w:val="CharStyle44"/>
        </w:rPr>
        <w:t xml:space="preserve">дром укороченного интервала </w:t>
      </w:r>
      <w:r>
        <w:rPr>
          <w:rStyle w:val="CharStyle44"/>
          <w:lang w:val="en-US" w:eastAsia="en-US" w:bidi="en-US"/>
        </w:rPr>
        <w:t xml:space="preserve">РR </w:t>
      </w:r>
      <w:r>
        <w:rPr>
          <w:lang w:val="ru-RU" w:eastAsia="ru-RU" w:bidi="ru-RU"/>
          <w:w w:val="100"/>
          <w:spacing w:val="0"/>
          <w:color w:val="000000"/>
          <w:position w:val="0"/>
        </w:rPr>
        <w:t>— форма преждевре</w:t>
        <w:softHyphen/>
        <w:t xml:space="preserve">менного возбуждения желудочков, при которой интервал </w:t>
      </w:r>
      <w:r>
        <w:rPr>
          <w:lang w:val="en-US" w:eastAsia="en-US" w:bidi="en-US"/>
          <w:w w:val="100"/>
          <w:spacing w:val="0"/>
          <w:color w:val="000000"/>
          <w:position w:val="0"/>
        </w:rPr>
        <w:t xml:space="preserve">PR </w:t>
      </w:r>
      <w:r>
        <w:rPr>
          <w:lang w:val="ru-RU" w:eastAsia="ru-RU" w:bidi="ru-RU"/>
          <w:w w:val="100"/>
          <w:spacing w:val="0"/>
          <w:color w:val="000000"/>
          <w:position w:val="0"/>
        </w:rPr>
        <w:t xml:space="preserve">составляет менее 0,12 сек., в то время как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обычно нормальный, т.е. имеет такую же конфигурацию, как при нормальном проведении синусового ритма. Следует от</w:t>
        <w:softHyphen/>
        <w:t xml:space="preserve">метить, что не во всех случаях укорочение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на ЭКГ служит признаком преждевременного возбуждения же</w:t>
        <w:softHyphen/>
        <w:t>лудочков. До установления такого диагноза следует убедить</w:t>
        <w:softHyphen/>
        <w:t>ся, что в конкретном случае имеются все критерии для рас</w:t>
        <w:softHyphen/>
        <w:t>познавания преждевременного возбуждения желудочков.</w:t>
      </w:r>
    </w:p>
    <w:p>
      <w:pPr>
        <w:pStyle w:val="Style30"/>
        <w:widowControl w:val="0"/>
        <w:keepNext w:val="0"/>
        <w:keepLines w:val="0"/>
        <w:shd w:val="clear" w:color="auto" w:fill="auto"/>
        <w:bidi w:val="0"/>
        <w:spacing w:before="0" w:after="0"/>
        <w:ind w:left="0" w:right="0" w:firstLine="280"/>
      </w:pPr>
      <w:r>
        <w:rPr>
          <w:rStyle w:val="CharStyle44"/>
        </w:rPr>
        <w:t xml:space="preserve">Cверхнормальная проводимость </w:t>
      </w:r>
      <w:r>
        <w:rPr>
          <w:lang w:val="ru-RU" w:eastAsia="ru-RU" w:bidi="ru-RU"/>
          <w:w w:val="100"/>
          <w:spacing w:val="0"/>
          <w:color w:val="000000"/>
          <w:position w:val="0"/>
        </w:rPr>
        <w:t>— проводимость менее аномальная, чем можно было предполагать, но не быстрее нормальной.</w:t>
      </w:r>
    </w:p>
    <w:p>
      <w:pPr>
        <w:pStyle w:val="Style30"/>
        <w:widowControl w:val="0"/>
        <w:keepNext w:val="0"/>
        <w:keepLines w:val="0"/>
        <w:shd w:val="clear" w:color="auto" w:fill="auto"/>
        <w:bidi w:val="0"/>
        <w:spacing w:before="0" w:after="0"/>
        <w:ind w:left="0" w:right="0" w:firstLine="280"/>
      </w:pPr>
      <w:r>
        <w:rPr>
          <w:rStyle w:val="CharStyle44"/>
        </w:rPr>
        <w:t xml:space="preserve">Cверхнормальная возбудимость </w:t>
      </w:r>
      <w:r>
        <w:rPr>
          <w:lang w:val="ru-RU" w:eastAsia="ru-RU" w:bidi="ru-RU"/>
          <w:w w:val="100"/>
          <w:spacing w:val="0"/>
          <w:color w:val="000000"/>
          <w:position w:val="0"/>
        </w:rPr>
        <w:t>— неожиданная актива</w:t>
        <w:softHyphen/>
        <w:t>ция, вызванная подпороговым стимулом. Сверхнормаль</w:t>
        <w:softHyphen/>
        <w:t>ная возбудимость наблюдается только в относительно уз</w:t>
        <w:softHyphen/>
        <w:t>ком интервале сердечного цикла. В другие периоды: сердеч</w:t>
        <w:softHyphen/>
        <w:t>ного цикла реакция на подпороговый стимул отсутствует.</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Тахикардия — три или более последовательных импульса, исходящих из одной камеры сердца с частотой, превышаю</w:t>
        <w:softHyphen/>
        <w:t>щей 100 сокращений в мин. (см. также «Ускоренный ритм»).</w:t>
      </w:r>
    </w:p>
    <w:p>
      <w:pPr>
        <w:pStyle w:val="Style30"/>
        <w:widowControl w:val="0"/>
        <w:keepNext w:val="0"/>
        <w:keepLines w:val="0"/>
        <w:shd w:val="clear" w:color="auto" w:fill="auto"/>
        <w:bidi w:val="0"/>
        <w:spacing w:before="0" w:after="0"/>
        <w:ind w:left="0" w:right="0" w:firstLine="280"/>
      </w:pPr>
      <w:r>
        <w:rPr>
          <w:rStyle w:val="CharStyle44"/>
        </w:rPr>
        <w:t xml:space="preserve">Блокада </w:t>
      </w:r>
      <w:r>
        <w:rPr>
          <w:rStyle w:val="CharStyle44"/>
          <w:lang w:val="en-US" w:eastAsia="en-US" w:bidi="en-US"/>
        </w:rPr>
        <w:t xml:space="preserve">III </w:t>
      </w:r>
      <w:r>
        <w:rPr>
          <w:rStyle w:val="CharStyle44"/>
        </w:rPr>
        <w:t xml:space="preserve">степени, или полная блокада </w:t>
      </w:r>
      <w:r>
        <w:rPr>
          <w:lang w:val="ru-RU" w:eastAsia="ru-RU" w:bidi="ru-RU"/>
          <w:w w:val="100"/>
          <w:spacing w:val="0"/>
          <w:color w:val="000000"/>
          <w:position w:val="0"/>
        </w:rPr>
        <w:t>— полное нару</w:t>
        <w:softHyphen/>
        <w:t>шение проведения импульса, обычно связанное с незави</w:t>
        <w:softHyphen/>
        <w:t>симой и замедленной активацией камеры сердца, находя - щейся дистальнее места блокады. Для диагностики полной блокады следует установить, что существует возможность для возникновения проведения, но его передача отсутству</w:t>
        <w:softHyphen/>
        <w:t>ет. Наличие полной блокады: в одном направлении не обя</w:t>
        <w:softHyphen/>
        <w:t>зательно означает ее наличие и в противоположном (см. также «Атриовентрикулярная диссоциация»).</w:t>
      </w:r>
    </w:p>
    <w:p>
      <w:pPr>
        <w:pStyle w:val="Style30"/>
        <w:widowControl w:val="0"/>
        <w:keepNext w:val="0"/>
        <w:keepLines w:val="0"/>
        <w:shd w:val="clear" w:color="auto" w:fill="auto"/>
        <w:bidi w:val="0"/>
        <w:spacing w:before="0" w:after="0"/>
        <w:ind w:left="0" w:right="0" w:firstLine="280"/>
      </w:pPr>
      <w:r>
        <w:rPr>
          <w:rStyle w:val="CharStyle44"/>
          <w:lang w:val="en-US" w:eastAsia="en-US" w:bidi="en-US"/>
        </w:rPr>
        <w:t xml:space="preserve">Torsade de pointes </w:t>
      </w:r>
      <w:r>
        <w:rPr>
          <w:rStyle w:val="CharStyle44"/>
        </w:rPr>
        <w:t xml:space="preserve">(пируэт) </w:t>
      </w:r>
      <w:r>
        <w:rPr>
          <w:lang w:val="ru-RU" w:eastAsia="ru-RU" w:bidi="ru-RU"/>
          <w:w w:val="100"/>
          <w:spacing w:val="0"/>
          <w:color w:val="000000"/>
          <w:position w:val="0"/>
        </w:rPr>
        <w:t>— желудочковая тахикардия, в развитии которой участвуют специфические этиологиче</w:t>
        <w:softHyphen/>
        <w:t xml:space="preserve">ские факторы и при которой во время каждого пароксизма ось </w:t>
      </w:r>
      <w:r>
        <w:rPr>
          <w:lang w:val="en-US" w:eastAsia="en-US" w:bidi="en-US"/>
          <w:w w:val="100"/>
          <w:spacing w:val="0"/>
          <w:color w:val="000000"/>
          <w:position w:val="0"/>
        </w:rPr>
        <w:t xml:space="preserve">QRS </w:t>
      </w:r>
      <w:r>
        <w:rPr>
          <w:lang w:val="ru-RU" w:eastAsia="ru-RU" w:bidi="ru-RU"/>
          <w:w w:val="100"/>
          <w:spacing w:val="0"/>
          <w:color w:val="000000"/>
          <w:position w:val="0"/>
        </w:rPr>
        <w:t>постепенно изменяется так, что желудочковый комплекс поворачивается в некоторых отведениях вокруг изоэлектрической линии.</w:t>
      </w:r>
    </w:p>
    <w:p>
      <w:pPr>
        <w:pStyle w:val="Style30"/>
        <w:widowControl w:val="0"/>
        <w:keepNext w:val="0"/>
        <w:keepLines w:val="0"/>
        <w:shd w:val="clear" w:color="auto" w:fill="auto"/>
        <w:bidi w:val="0"/>
        <w:spacing w:before="0" w:after="0"/>
        <w:ind w:left="0" w:right="0" w:firstLine="280"/>
      </w:pPr>
      <w:r>
        <w:rPr>
          <w:rStyle w:val="CharStyle44"/>
        </w:rPr>
        <w:t xml:space="preserve">Тригеминия </w:t>
      </w:r>
      <w:r>
        <w:rPr>
          <w:lang w:val="ru-RU" w:eastAsia="ru-RU" w:bidi="ru-RU"/>
          <w:w w:val="100"/>
          <w:spacing w:val="0"/>
          <w:color w:val="000000"/>
          <w:position w:val="0"/>
        </w:rPr>
        <w:t>— повторение трех относительно близких по времени активаций, обычно с последующим более длитель</w:t>
        <w:softHyphen/>
        <w:t>ным интервалом. В наиболее распространенной форме тригеминии третьим импульсом является экстрасистола (экстрасистолическая тригеминия). В редких случаях это может быть синусовый импульс, за которым следуют две экстрасистолы (называемые парными).</w:t>
      </w:r>
    </w:p>
    <w:p>
      <w:pPr>
        <w:pStyle w:val="Style30"/>
        <w:widowControl w:val="0"/>
        <w:keepNext w:val="0"/>
        <w:keepLines w:val="0"/>
        <w:shd w:val="clear" w:color="auto" w:fill="auto"/>
        <w:bidi w:val="0"/>
        <w:spacing w:before="0" w:after="0"/>
        <w:ind w:left="0" w:right="0" w:firstLine="280"/>
      </w:pPr>
      <w:r>
        <w:rPr>
          <w:rStyle w:val="CharStyle44"/>
        </w:rPr>
        <w:t xml:space="preserve">Желудочково-предсердная блокада </w:t>
      </w:r>
      <w:r>
        <w:rPr>
          <w:lang w:val="ru-RU" w:eastAsia="ru-RU" w:bidi="ru-RU"/>
          <w:w w:val="100"/>
          <w:spacing w:val="0"/>
          <w:color w:val="000000"/>
          <w:position w:val="0"/>
        </w:rPr>
        <w:t>— задержка проведе</w:t>
        <w:softHyphen/>
        <w:t>ния или непрохождение импульса из желудочка в предсер</w:t>
        <w:softHyphen/>
        <w:t>дие (см. также «Ретроградное проведение»).</w:t>
      </w:r>
    </w:p>
    <w:p>
      <w:pPr>
        <w:pStyle w:val="Style30"/>
        <w:widowControl w:val="0"/>
        <w:keepNext w:val="0"/>
        <w:keepLines w:val="0"/>
        <w:shd w:val="clear" w:color="auto" w:fill="auto"/>
        <w:bidi w:val="0"/>
        <w:spacing w:before="0" w:after="120"/>
        <w:ind w:left="0" w:right="0" w:firstLine="280"/>
      </w:pPr>
      <w:r>
        <w:rPr>
          <w:rStyle w:val="CharStyle44"/>
        </w:rPr>
        <w:t xml:space="preserve">Уязвимый период </w:t>
      </w:r>
      <w:r>
        <w:rPr>
          <w:lang w:val="ru-RU" w:eastAsia="ru-RU" w:bidi="ru-RU"/>
          <w:w w:val="100"/>
          <w:spacing w:val="0"/>
          <w:color w:val="000000"/>
          <w:position w:val="0"/>
        </w:rPr>
        <w:t>— относительно короткий период в предсердных или желудочковых циклах, во время которо - го активация вызывает повторное нарушение или фибрил</w:t>
        <w:softHyphen/>
        <w:t>ляцию. Уязвимая фаза в желудочковом цикле обычно соот</w:t>
        <w:softHyphen/>
        <w:t>ветствует восходящей и верхушечной части зубца Т.</w:t>
      </w:r>
    </w:p>
    <w:p>
      <w:pPr>
        <w:pStyle w:val="Style30"/>
        <w:widowControl w:val="0"/>
        <w:keepNext w:val="0"/>
        <w:keepLines w:val="0"/>
        <w:shd w:val="clear" w:color="auto" w:fill="auto"/>
        <w:bidi w:val="0"/>
        <w:spacing w:before="0" w:after="0"/>
        <w:ind w:left="0" w:right="0" w:firstLine="280"/>
      </w:pPr>
      <w:r>
        <w:rPr>
          <w:rStyle w:val="CharStyle44"/>
        </w:rPr>
        <w:t xml:space="preserve">Блокада Венкебаха </w:t>
      </w:r>
      <w:r>
        <w:rPr>
          <w:lang w:val="ru-RU" w:eastAsia="ru-RU" w:bidi="ru-RU"/>
          <w:w w:val="100"/>
          <w:spacing w:val="0"/>
          <w:color w:val="000000"/>
          <w:position w:val="0"/>
        </w:rPr>
        <w:t xml:space="preserve">— см. «Блокада </w:t>
      </w:r>
      <w:r>
        <w:rPr>
          <w:lang w:val="en-US" w:eastAsia="en-US" w:bidi="en-US"/>
          <w:w w:val="100"/>
          <w:spacing w:val="0"/>
          <w:color w:val="000000"/>
          <w:position w:val="0"/>
        </w:rPr>
        <w:t xml:space="preserve">II </w:t>
      </w:r>
      <w:r>
        <w:rPr>
          <w:lang w:val="ru-RU" w:eastAsia="ru-RU" w:bidi="ru-RU"/>
          <w:w w:val="100"/>
          <w:spacing w:val="0"/>
          <w:color w:val="000000"/>
          <w:position w:val="0"/>
        </w:rPr>
        <w:t xml:space="preserve">ст. тип </w:t>
      </w:r>
      <w:r>
        <w:rPr>
          <w:lang w:val="en-US" w:eastAsia="en-US" w:bidi="en-US"/>
          <w:w w:val="100"/>
          <w:spacing w:val="0"/>
          <w:color w:val="000000"/>
          <w:position w:val="0"/>
        </w:rPr>
        <w:t>I».</w:t>
      </w:r>
    </w:p>
    <w:p>
      <w:pPr>
        <w:pStyle w:val="Style30"/>
        <w:widowControl w:val="0"/>
        <w:keepNext w:val="0"/>
        <w:keepLines w:val="0"/>
        <w:shd w:val="clear" w:color="auto" w:fill="auto"/>
        <w:bidi w:val="0"/>
        <w:spacing w:before="0" w:after="0"/>
        <w:ind w:left="0" w:right="0" w:firstLine="280"/>
      </w:pPr>
      <w:r>
        <w:rPr>
          <w:rStyle w:val="CharStyle44"/>
        </w:rPr>
        <w:t xml:space="preserve">Феномен Вольфа-Паркинсона-Уайта </w:t>
      </w:r>
      <w:r>
        <w:rPr>
          <w:lang w:val="ru-RU" w:eastAsia="ru-RU" w:bidi="ru-RU"/>
          <w:w w:val="100"/>
          <w:spacing w:val="0"/>
          <w:color w:val="000000"/>
          <w:position w:val="0"/>
        </w:rPr>
        <w:t>(ВПУ) — прежде</w:t>
        <w:softHyphen/>
        <w:t>временное возбуждение желудочков через дополнительный и аномальный путь, соединяющий предсердия с желудоч</w:t>
        <w:softHyphen/>
        <w:t>ками. В подобный случаях возбуждение через дополнитель</w:t>
        <w:softHyphen/>
        <w:t xml:space="preserve">ный путь вызывает укорочение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 xml:space="preserve">появление дельта-зубцов и расширение комплекса </w:t>
      </w:r>
      <w:r>
        <w:rPr>
          <w:lang w:val="en-US" w:eastAsia="en-US" w:bidi="en-US"/>
          <w:w w:val="100"/>
          <w:spacing w:val="0"/>
          <w:color w:val="000000"/>
          <w:position w:val="0"/>
        </w:rPr>
        <w:t>QRS.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Результаты проведенных исследований свидетельствуют об изменчивости значений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 xml:space="preserve">дельта-зубцов и ширины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например, интервал </w:t>
      </w:r>
      <w:r>
        <w:rPr>
          <w:lang w:val="en-US" w:eastAsia="en-US" w:bidi="en-US"/>
          <w:w w:val="100"/>
          <w:spacing w:val="0"/>
          <w:color w:val="000000"/>
          <w:position w:val="0"/>
        </w:rPr>
        <w:t xml:space="preserve">P-R </w:t>
      </w:r>
      <w:r>
        <w:rPr>
          <w:lang w:val="ru-RU" w:eastAsia="ru-RU" w:bidi="ru-RU"/>
          <w:w w:val="100"/>
          <w:spacing w:val="0"/>
          <w:color w:val="000000"/>
          <w:position w:val="0"/>
        </w:rPr>
        <w:t xml:space="preserve">может быть длиннее </w:t>
      </w:r>
      <w:r>
        <w:rPr>
          <w:rStyle w:val="CharStyle32"/>
        </w:rPr>
        <w:t>0,12</w:t>
      </w:r>
      <w:r>
        <w:rPr>
          <w:lang w:val="ru-RU" w:eastAsia="ru-RU" w:bidi="ru-RU"/>
          <w:w w:val="100"/>
          <w:spacing w:val="0"/>
          <w:color w:val="000000"/>
          <w:position w:val="0"/>
        </w:rPr>
        <w:t xml:space="preserve"> с, а дельта-волны — маленькими и труд</w:t>
        <w:softHyphen/>
        <w:t>но распознаваемыми. Более того, электрокардиографичес</w:t>
        <w:softHyphen/>
        <w:t>кие изменения могут быть перемежающимися, и анатоми</w:t>
        <w:softHyphen/>
        <w:t>ческий субстрат этой формы тахикардии может действи</w:t>
        <w:softHyphen/>
        <w:t>тельно иметь место, хотя это может и не выявляться при ре</w:t>
        <w:softHyphen/>
        <w:t>гистрации ЭКГ с помощью обычных отведений с поверхно</w:t>
        <w:softHyphen/>
        <w:t xml:space="preserve">сти тела (см. «Преждевременное возбуждение, синдром укороченного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и синдром ВПУ»).</w:t>
      </w:r>
    </w:p>
    <w:p>
      <w:pPr>
        <w:pStyle w:val="Style30"/>
        <w:widowControl w:val="0"/>
        <w:keepNext w:val="0"/>
        <w:keepLines w:val="0"/>
        <w:shd w:val="clear" w:color="auto" w:fill="auto"/>
        <w:bidi w:val="0"/>
        <w:spacing w:before="0" w:after="125"/>
        <w:ind w:left="0" w:right="0" w:firstLine="280"/>
      </w:pPr>
      <w:r>
        <w:rPr>
          <w:rStyle w:val="CharStyle44"/>
        </w:rPr>
        <w:t>Синдром Вольфа-Паркинсона-У</w:t>
      </w:r>
      <w:r>
        <w:rPr>
          <w:lang w:val="ru-RU" w:eastAsia="ru-RU" w:bidi="ru-RU"/>
          <w:w w:val="100"/>
          <w:spacing w:val="0"/>
          <w:color w:val="000000"/>
          <w:position w:val="0"/>
        </w:rPr>
        <w:t>ш</w:t>
      </w:r>
      <w:r>
        <w:rPr>
          <w:rStyle w:val="CharStyle44"/>
        </w:rPr>
        <w:t xml:space="preserve">та </w:t>
      </w:r>
      <w:r>
        <w:rPr>
          <w:lang w:val="ru-RU" w:eastAsia="ru-RU" w:bidi="ru-RU"/>
          <w:w w:val="100"/>
          <w:spacing w:val="0"/>
          <w:color w:val="000000"/>
          <w:position w:val="0"/>
        </w:rPr>
        <w:t>(ВПУ) — возникно</w:t>
        <w:softHyphen/>
        <w:t>вение возвратным возбуждением наджелудочковой тахикар</w:t>
        <w:softHyphen/>
        <w:t>дии при наличии феномена ВПУ (см. также «Преждевремен</w:t>
        <w:softHyphen/>
        <w:t xml:space="preserve">ное возбуждение и синдром укороченного интервала </w:t>
      </w:r>
      <w:r>
        <w:rPr>
          <w:lang w:val="en-US" w:eastAsia="en-US" w:bidi="en-US"/>
          <w:w w:val="100"/>
          <w:spacing w:val="0"/>
          <w:color w:val="000000"/>
          <w:position w:val="0"/>
        </w:rPr>
        <w:t>P-R»).</w:t>
      </w:r>
    </w:p>
    <w:p>
      <w:pPr>
        <w:pStyle w:val="Style54"/>
        <w:widowControl w:val="0"/>
        <w:keepNext/>
        <w:keepLines/>
        <w:shd w:val="clear" w:color="auto" w:fill="auto"/>
        <w:bidi w:val="0"/>
        <w:jc w:val="left"/>
        <w:spacing w:before="0" w:after="35" w:line="210" w:lineRule="exact"/>
        <w:ind w:left="0" w:right="0" w:firstLine="0"/>
      </w:pPr>
      <w:bookmarkStart w:id="69" w:name="bookmark69"/>
      <w:r>
        <w:rPr>
          <w:lang w:val="ru-RU" w:eastAsia="ru-RU" w:bidi="ru-RU"/>
          <w:w w:val="100"/>
          <w:spacing w:val="0"/>
          <w:color w:val="000000"/>
          <w:position w:val="0"/>
        </w:rPr>
        <w:t>Классификация нарушений ритма и проводимости</w:t>
      </w:r>
      <w:bookmarkEnd w:id="69"/>
    </w:p>
    <w:p>
      <w:pPr>
        <w:pStyle w:val="Style50"/>
        <w:numPr>
          <w:ilvl w:val="0"/>
          <w:numId w:val="19"/>
        </w:numPr>
        <w:tabs>
          <w:tab w:leader="none" w:pos="546" w:val="left"/>
        </w:tabs>
        <w:widowControl w:val="0"/>
        <w:keepNext/>
        <w:keepLines/>
        <w:shd w:val="clear" w:color="auto" w:fill="auto"/>
        <w:bidi w:val="0"/>
        <w:jc w:val="both"/>
        <w:spacing w:before="0" w:after="0"/>
        <w:ind w:left="0" w:right="0" w:firstLine="280"/>
      </w:pPr>
      <w:bookmarkStart w:id="70" w:name="bookmark70"/>
      <w:r>
        <w:rPr>
          <w:lang w:val="ru-RU" w:eastAsia="ru-RU" w:bidi="ru-RU"/>
          <w:w w:val="100"/>
          <w:color w:val="000000"/>
          <w:position w:val="0"/>
        </w:rPr>
        <w:t>Нарушения функции синусового узла.</w:t>
      </w:r>
      <w:bookmarkEnd w:id="70"/>
    </w:p>
    <w:p>
      <w:pPr>
        <w:pStyle w:val="Style30"/>
        <w:numPr>
          <w:ilvl w:val="1"/>
          <w:numId w:val="19"/>
        </w:numPr>
        <w:tabs>
          <w:tab w:leader="none" w:pos="65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Синусовая тахикардия.</w:t>
      </w:r>
    </w:p>
    <w:p>
      <w:pPr>
        <w:pStyle w:val="Style30"/>
        <w:numPr>
          <w:ilvl w:val="1"/>
          <w:numId w:val="19"/>
        </w:numPr>
        <w:tabs>
          <w:tab w:leader="none" w:pos="65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Синусовая брадикардия.</w:t>
      </w:r>
    </w:p>
    <w:p>
      <w:pPr>
        <w:pStyle w:val="Style30"/>
        <w:numPr>
          <w:ilvl w:val="1"/>
          <w:numId w:val="19"/>
        </w:numPr>
        <w:tabs>
          <w:tab w:leader="none" w:pos="655" w:val="left"/>
        </w:tabs>
        <w:widowControl w:val="0"/>
        <w:keepNext w:val="0"/>
        <w:keepLines w:val="0"/>
        <w:shd w:val="clear" w:color="auto" w:fill="auto"/>
        <w:bidi w:val="0"/>
        <w:spacing w:before="0" w:after="0"/>
        <w:ind w:left="0" w:right="0" w:firstLine="280"/>
      </w:pPr>
      <w:r>
        <w:pict>
          <v:shape id="_x0000_s1091" type="#_x0000_t75" style="position:absolute;margin-left:136.9pt;margin-top:740.2pt;width:209.75pt;height:14.9pt;z-index:-125829353;mso-wrap-distance-left:136.8pt;mso-wrap-distance-right:147.85pt;mso-wrap-distance-bottom:20.pt;mso-position-horizontal-relative:margin;mso-position-vertical-relative:margin" wrapcoords="0 0 21600 0 21600 21600 0 21600 0 0">
            <v:imagedata r:id="rId102" r:href="rId103"/>
            <w10:wrap type="topAndBottom" anchorx="margin" anchory="margin"/>
          </v:shape>
        </w:pict>
      </w:r>
      <w:r>
        <w:rPr>
          <w:lang w:val="ru-RU" w:eastAsia="ru-RU" w:bidi="ru-RU"/>
          <w:w w:val="100"/>
          <w:spacing w:val="0"/>
          <w:color w:val="000000"/>
          <w:position w:val="0"/>
        </w:rPr>
        <w:t>Синусовая аритмия.</w:t>
      </w:r>
      <w:r>
        <w:br w:type="page"/>
      </w:r>
    </w:p>
    <w:p>
      <w:pPr>
        <w:pStyle w:val="Style30"/>
        <w:numPr>
          <w:ilvl w:val="0"/>
          <w:numId w:val="21"/>
        </w:numPr>
        <w:tabs>
          <w:tab w:leader="none" w:pos="710"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Остановка синусового узла.</w:t>
      </w:r>
    </w:p>
    <w:p>
      <w:pPr>
        <w:pStyle w:val="Style30"/>
        <w:numPr>
          <w:ilvl w:val="0"/>
          <w:numId w:val="21"/>
        </w:numPr>
        <w:tabs>
          <w:tab w:leader="none" w:pos="710"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Миграция суправентрикулярного водителя ритма.</w:t>
      </w:r>
    </w:p>
    <w:p>
      <w:pPr>
        <w:pStyle w:val="Style30"/>
        <w:numPr>
          <w:ilvl w:val="0"/>
          <w:numId w:val="21"/>
        </w:numPr>
        <w:tabs>
          <w:tab w:leader="none" w:pos="710"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Синдром слабости синусового узла.</w:t>
      </w:r>
    </w:p>
    <w:p>
      <w:pPr>
        <w:pStyle w:val="Style92"/>
        <w:numPr>
          <w:ilvl w:val="0"/>
          <w:numId w:val="23"/>
        </w:numPr>
        <w:tabs>
          <w:tab w:leader="none" w:pos="605" w:val="left"/>
        </w:tabs>
        <w:widowControl w:val="0"/>
        <w:keepNext/>
        <w:keepLines/>
        <w:shd w:val="clear" w:color="auto" w:fill="auto"/>
        <w:bidi w:val="0"/>
        <w:spacing w:before="0" w:after="0"/>
        <w:ind w:left="280" w:right="0" w:firstLine="0"/>
      </w:pPr>
      <w:bookmarkStart w:id="71" w:name="bookmark71"/>
      <w:r>
        <w:rPr>
          <w:lang w:val="ru-RU" w:eastAsia="ru-RU" w:bidi="ru-RU"/>
          <w:w w:val="100"/>
          <w:spacing w:val="0"/>
          <w:color w:val="000000"/>
          <w:position w:val="0"/>
        </w:rPr>
        <w:t>Эктопические импульсы и ритмы.</w:t>
      </w:r>
      <w:bookmarkEnd w:id="71"/>
    </w:p>
    <w:p>
      <w:pPr>
        <w:pStyle w:val="Style30"/>
        <w:numPr>
          <w:ilvl w:val="1"/>
          <w:numId w:val="23"/>
        </w:numPr>
        <w:tabs>
          <w:tab w:leader="none" w:pos="730"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 xml:space="preserve">Ритмы из </w:t>
      </w:r>
      <w:r>
        <w:rPr>
          <w:lang w:val="en-US" w:eastAsia="en-US" w:bidi="en-US"/>
          <w:w w:val="100"/>
          <w:spacing w:val="0"/>
          <w:color w:val="000000"/>
          <w:position w:val="0"/>
        </w:rPr>
        <w:t xml:space="preserve">AV </w:t>
      </w:r>
      <w:r>
        <w:rPr>
          <w:lang w:val="ru-RU" w:eastAsia="ru-RU" w:bidi="ru-RU"/>
          <w:w w:val="100"/>
          <w:spacing w:val="0"/>
          <w:color w:val="000000"/>
          <w:position w:val="0"/>
        </w:rPr>
        <w:t>соединения.</w:t>
      </w:r>
    </w:p>
    <w:p>
      <w:pPr>
        <w:pStyle w:val="Style30"/>
        <w:numPr>
          <w:ilvl w:val="1"/>
          <w:numId w:val="23"/>
        </w:numPr>
        <w:tabs>
          <w:tab w:leader="none" w:pos="730"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Идиовентрикулярный ритм.</w:t>
      </w:r>
    </w:p>
    <w:p>
      <w:pPr>
        <w:pStyle w:val="Style30"/>
        <w:numPr>
          <w:ilvl w:val="1"/>
          <w:numId w:val="23"/>
        </w:numPr>
        <w:tabs>
          <w:tab w:leader="none" w:pos="730"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Экстрасистолия.</w:t>
      </w:r>
    </w:p>
    <w:p>
      <w:pPr>
        <w:pStyle w:val="Style30"/>
        <w:numPr>
          <w:ilvl w:val="2"/>
          <w:numId w:val="23"/>
        </w:numPr>
        <w:tabs>
          <w:tab w:leader="none" w:pos="1099"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Синусовые экстрасистолы.</w:t>
      </w:r>
    </w:p>
    <w:p>
      <w:pPr>
        <w:pStyle w:val="Style30"/>
        <w:numPr>
          <w:ilvl w:val="2"/>
          <w:numId w:val="23"/>
        </w:numPr>
        <w:tabs>
          <w:tab w:leader="none" w:pos="110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Предсердные экстрасистолы.</w:t>
      </w:r>
    </w:p>
    <w:p>
      <w:pPr>
        <w:pStyle w:val="Style30"/>
        <w:numPr>
          <w:ilvl w:val="2"/>
          <w:numId w:val="23"/>
        </w:numPr>
        <w:tabs>
          <w:tab w:leader="none" w:pos="110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 xml:space="preserve">Экстрасистолы из </w:t>
      </w:r>
      <w:r>
        <w:rPr>
          <w:lang w:val="en-US" w:eastAsia="en-US" w:bidi="en-US"/>
          <w:w w:val="100"/>
          <w:spacing w:val="0"/>
          <w:color w:val="000000"/>
          <w:position w:val="0"/>
        </w:rPr>
        <w:t xml:space="preserve">AV </w:t>
      </w:r>
      <w:r>
        <w:rPr>
          <w:lang w:val="ru-RU" w:eastAsia="ru-RU" w:bidi="ru-RU"/>
          <w:w w:val="100"/>
          <w:spacing w:val="0"/>
          <w:color w:val="000000"/>
          <w:position w:val="0"/>
        </w:rPr>
        <w:t>соединения.</w:t>
      </w:r>
    </w:p>
    <w:p>
      <w:pPr>
        <w:pStyle w:val="Style30"/>
        <w:numPr>
          <w:ilvl w:val="2"/>
          <w:numId w:val="23"/>
        </w:numPr>
        <w:tabs>
          <w:tab w:leader="none" w:pos="110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Возвратные экстрасистолы.</w:t>
      </w:r>
    </w:p>
    <w:p>
      <w:pPr>
        <w:pStyle w:val="Style30"/>
        <w:numPr>
          <w:ilvl w:val="2"/>
          <w:numId w:val="23"/>
        </w:numPr>
        <w:tabs>
          <w:tab w:leader="none" w:pos="110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Экстрасистолы из пучка Гиса (стволовые).</w:t>
      </w:r>
    </w:p>
    <w:p>
      <w:pPr>
        <w:pStyle w:val="Style30"/>
        <w:numPr>
          <w:ilvl w:val="2"/>
          <w:numId w:val="23"/>
        </w:numPr>
        <w:tabs>
          <w:tab w:leader="none" w:pos="1109"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Наджелудочковые экстрасистолы с аберрант</w:t>
        <w:softHyphen/>
        <w:t xml:space="preserve">ным комплексом </w:t>
      </w:r>
      <w:r>
        <w:rPr>
          <w:lang w:val="en-US" w:eastAsia="en-US" w:bidi="en-US"/>
          <w:w w:val="100"/>
          <w:spacing w:val="0"/>
          <w:color w:val="000000"/>
          <w:position w:val="0"/>
        </w:rPr>
        <w:t>QRS.</w:t>
      </w:r>
    </w:p>
    <w:p>
      <w:pPr>
        <w:pStyle w:val="Style30"/>
        <w:numPr>
          <w:ilvl w:val="2"/>
          <w:numId w:val="23"/>
        </w:numPr>
        <w:tabs>
          <w:tab w:leader="none" w:pos="110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Блокированные наджелудочковые экстрасистолы.</w:t>
      </w:r>
    </w:p>
    <w:p>
      <w:pPr>
        <w:pStyle w:val="Style30"/>
        <w:numPr>
          <w:ilvl w:val="2"/>
          <w:numId w:val="23"/>
        </w:numPr>
        <w:tabs>
          <w:tab w:leader="none" w:pos="110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Желудочковые экстрасистолы.</w:t>
      </w:r>
    </w:p>
    <w:p>
      <w:pPr>
        <w:pStyle w:val="Style30"/>
        <w:numPr>
          <w:ilvl w:val="1"/>
          <w:numId w:val="23"/>
        </w:numPr>
        <w:tabs>
          <w:tab w:leader="none" w:pos="730"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Эктопические тахикардии.</w:t>
      </w:r>
    </w:p>
    <w:p>
      <w:pPr>
        <w:pStyle w:val="Style30"/>
        <w:numPr>
          <w:ilvl w:val="2"/>
          <w:numId w:val="23"/>
        </w:numPr>
        <w:tabs>
          <w:tab w:leader="none" w:pos="110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Предсердная пароксизмальная тахикардия.</w:t>
      </w:r>
    </w:p>
    <w:p>
      <w:pPr>
        <w:pStyle w:val="Style30"/>
        <w:numPr>
          <w:ilvl w:val="2"/>
          <w:numId w:val="23"/>
        </w:numPr>
        <w:tabs>
          <w:tab w:leader="none" w:pos="1109"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 xml:space="preserve">Тахикардия из </w:t>
      </w:r>
      <w:r>
        <w:rPr>
          <w:lang w:val="en-US" w:eastAsia="en-US" w:bidi="en-US"/>
          <w:w w:val="100"/>
          <w:spacing w:val="0"/>
          <w:color w:val="000000"/>
          <w:position w:val="0"/>
        </w:rPr>
        <w:t xml:space="preserve">AV </w:t>
      </w:r>
      <w:r>
        <w:rPr>
          <w:lang w:val="ru-RU" w:eastAsia="ru-RU" w:bidi="ru-RU"/>
          <w:w w:val="100"/>
          <w:spacing w:val="0"/>
          <w:color w:val="000000"/>
          <w:position w:val="0"/>
        </w:rPr>
        <w:t>соединения с одновременным возбуждением предсердий и желудочков или с пред</w:t>
        <w:softHyphen/>
        <w:t>шествующим возбуждением желудочков.</w:t>
      </w:r>
    </w:p>
    <w:p>
      <w:pPr>
        <w:pStyle w:val="Style30"/>
        <w:numPr>
          <w:ilvl w:val="2"/>
          <w:numId w:val="23"/>
        </w:numPr>
        <w:tabs>
          <w:tab w:leader="none" w:pos="111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Правожелудочковая или левожелудочковая па</w:t>
        <w:softHyphen/>
        <w:t>роксизмальная тахикардия.</w:t>
      </w:r>
    </w:p>
    <w:p>
      <w:pPr>
        <w:pStyle w:val="Style92"/>
        <w:numPr>
          <w:ilvl w:val="0"/>
          <w:numId w:val="23"/>
        </w:numPr>
        <w:tabs>
          <w:tab w:leader="none" w:pos="605" w:val="left"/>
        </w:tabs>
        <w:widowControl w:val="0"/>
        <w:keepNext/>
        <w:keepLines/>
        <w:shd w:val="clear" w:color="auto" w:fill="auto"/>
        <w:bidi w:val="0"/>
        <w:spacing w:before="0" w:after="0"/>
        <w:ind w:left="280" w:right="0" w:firstLine="0"/>
      </w:pPr>
      <w:bookmarkStart w:id="72" w:name="bookmark72"/>
      <w:r>
        <w:rPr>
          <w:lang w:val="ru-RU" w:eastAsia="ru-RU" w:bidi="ru-RU"/>
          <w:w w:val="100"/>
          <w:spacing w:val="0"/>
          <w:color w:val="000000"/>
          <w:position w:val="0"/>
        </w:rPr>
        <w:t>Нарушения проведения импульсов (блокады).</w:t>
      </w:r>
      <w:bookmarkEnd w:id="72"/>
    </w:p>
    <w:p>
      <w:pPr>
        <w:pStyle w:val="Style30"/>
        <w:numPr>
          <w:ilvl w:val="1"/>
          <w:numId w:val="23"/>
        </w:numPr>
        <w:tabs>
          <w:tab w:leader="none" w:pos="725"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Синоатриальные блокады блокады).</w:t>
      </w:r>
    </w:p>
    <w:p>
      <w:pPr>
        <w:pStyle w:val="Style30"/>
        <w:numPr>
          <w:ilvl w:val="2"/>
          <w:numId w:val="23"/>
        </w:numPr>
        <w:tabs>
          <w:tab w:leader="none" w:pos="110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 xml:space="preserve">Неполная </w:t>
      </w:r>
      <w:r>
        <w:rPr>
          <w:lang w:val="en-US" w:eastAsia="en-US" w:bidi="en-US"/>
          <w:w w:val="100"/>
          <w:spacing w:val="0"/>
          <w:color w:val="000000"/>
          <w:position w:val="0"/>
        </w:rPr>
        <w:t xml:space="preserve">SА </w:t>
      </w:r>
      <w:r>
        <w:rPr>
          <w:lang w:val="ru-RU" w:eastAsia="ru-RU" w:bidi="ru-RU"/>
          <w:w w:val="100"/>
          <w:spacing w:val="0"/>
          <w:color w:val="000000"/>
          <w:position w:val="0"/>
        </w:rPr>
        <w:t xml:space="preserve">блокада с периодами Венкебаха </w:t>
      </w:r>
      <w:r>
        <w:rPr>
          <w:lang w:val="en-US" w:eastAsia="en-US" w:bidi="en-US"/>
          <w:w w:val="100"/>
          <w:spacing w:val="0"/>
          <w:color w:val="000000"/>
          <w:position w:val="0"/>
        </w:rPr>
        <w:t xml:space="preserve">(II </w:t>
      </w:r>
      <w:r>
        <w:rPr>
          <w:lang w:val="ru-RU" w:eastAsia="ru-RU" w:bidi="ru-RU"/>
          <w:w w:val="100"/>
          <w:spacing w:val="0"/>
          <w:color w:val="000000"/>
          <w:position w:val="0"/>
        </w:rPr>
        <w:t xml:space="preserve">степень </w:t>
      </w:r>
      <w:r>
        <w:rPr>
          <w:lang w:val="en-US" w:eastAsia="en-US" w:bidi="en-US"/>
          <w:w w:val="100"/>
          <w:spacing w:val="0"/>
          <w:color w:val="000000"/>
          <w:position w:val="0"/>
        </w:rPr>
        <w:t xml:space="preserve">I </w:t>
      </w:r>
      <w:r>
        <w:rPr>
          <w:lang w:val="ru-RU" w:eastAsia="ru-RU" w:bidi="ru-RU"/>
          <w:w w:val="100"/>
          <w:spacing w:val="0"/>
          <w:color w:val="000000"/>
          <w:position w:val="0"/>
        </w:rPr>
        <w:t>тип).</w:t>
      </w:r>
    </w:p>
    <w:p>
      <w:pPr>
        <w:pStyle w:val="Style30"/>
        <w:numPr>
          <w:ilvl w:val="2"/>
          <w:numId w:val="23"/>
        </w:numPr>
        <w:tabs>
          <w:tab w:leader="none" w:pos="110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 xml:space="preserve">Неполная </w:t>
      </w:r>
      <w:r>
        <w:rPr>
          <w:lang w:val="en-US" w:eastAsia="en-US" w:bidi="en-US"/>
          <w:w w:val="100"/>
          <w:spacing w:val="0"/>
          <w:color w:val="000000"/>
          <w:position w:val="0"/>
        </w:rPr>
        <w:t xml:space="preserve">SА </w:t>
      </w:r>
      <w:r>
        <w:rPr>
          <w:lang w:val="ru-RU" w:eastAsia="ru-RU" w:bidi="ru-RU"/>
          <w:w w:val="100"/>
          <w:spacing w:val="0"/>
          <w:color w:val="000000"/>
          <w:position w:val="0"/>
        </w:rPr>
        <w:t>блокада без периодов Венкебаха (II степень II тип).</w:t>
      </w:r>
    </w:p>
    <w:p>
      <w:pPr>
        <w:pStyle w:val="Style30"/>
        <w:numPr>
          <w:ilvl w:val="1"/>
          <w:numId w:val="23"/>
        </w:numPr>
        <w:tabs>
          <w:tab w:leader="none" w:pos="690" w:val="left"/>
        </w:tabs>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Замедление межпредсердной проводимости (непол</w:t>
        <w:softHyphen/>
        <w:t>ная межпредсердная блокада).</w:t>
      </w:r>
    </w:p>
    <w:p>
      <w:pPr>
        <w:pStyle w:val="Style30"/>
        <w:numPr>
          <w:ilvl w:val="2"/>
          <w:numId w:val="23"/>
        </w:numPr>
        <w:tabs>
          <w:tab w:leader="none" w:pos="110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Полная межпредсердная блокада.</w:t>
      </w:r>
    </w:p>
    <w:p>
      <w:pPr>
        <w:pStyle w:val="Style30"/>
        <w:numPr>
          <w:ilvl w:val="1"/>
          <w:numId w:val="23"/>
        </w:numPr>
        <w:tabs>
          <w:tab w:leader="none" w:pos="694" w:val="left"/>
        </w:tabs>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 xml:space="preserve">Неполная </w:t>
      </w:r>
      <w:r>
        <w:rPr>
          <w:lang w:val="en-US" w:eastAsia="en-US" w:bidi="en-US"/>
          <w:w w:val="100"/>
          <w:spacing w:val="0"/>
          <w:color w:val="000000"/>
          <w:position w:val="0"/>
        </w:rPr>
        <w:t xml:space="preserve">AV </w:t>
      </w:r>
      <w:r>
        <w:rPr>
          <w:lang w:val="ru-RU" w:eastAsia="ru-RU" w:bidi="ru-RU"/>
          <w:w w:val="100"/>
          <w:spacing w:val="0"/>
          <w:color w:val="000000"/>
          <w:position w:val="0"/>
        </w:rPr>
        <w:t xml:space="preserve">блокада I степени (замедление </w:t>
      </w:r>
      <w:r>
        <w:rPr>
          <w:lang w:val="en-US" w:eastAsia="en-US" w:bidi="en-US"/>
          <w:w w:val="100"/>
          <w:spacing w:val="0"/>
          <w:color w:val="000000"/>
          <w:position w:val="0"/>
        </w:rPr>
        <w:t xml:space="preserve">AV </w:t>
      </w:r>
      <w:r>
        <w:rPr>
          <w:lang w:val="ru-RU" w:eastAsia="ru-RU" w:bidi="ru-RU"/>
          <w:w w:val="100"/>
          <w:spacing w:val="0"/>
          <w:color w:val="000000"/>
          <w:position w:val="0"/>
        </w:rPr>
        <w:t>про</w:t>
        <w:softHyphen/>
        <w:t>водимости).</w:t>
      </w:r>
    </w:p>
    <w:p>
      <w:pPr>
        <w:pStyle w:val="Style30"/>
        <w:numPr>
          <w:ilvl w:val="1"/>
          <w:numId w:val="23"/>
        </w:numPr>
        <w:tabs>
          <w:tab w:leader="none" w:pos="690" w:val="left"/>
        </w:tabs>
        <w:widowControl w:val="0"/>
        <w:keepNext w:val="0"/>
        <w:keepLines w:val="0"/>
        <w:shd w:val="clear" w:color="auto" w:fill="auto"/>
        <w:bidi w:val="0"/>
        <w:jc w:val="left"/>
        <w:spacing w:before="0" w:after="0"/>
        <w:ind w:left="0" w:right="0" w:firstLine="280"/>
      </w:pPr>
      <w:r>
        <w:rPr>
          <w:lang w:val="en-US" w:eastAsia="en-US" w:bidi="en-US"/>
          <w:w w:val="100"/>
          <w:spacing w:val="0"/>
          <w:color w:val="000000"/>
          <w:position w:val="0"/>
        </w:rPr>
        <w:t xml:space="preserve">AV </w:t>
      </w:r>
      <w:r>
        <w:rPr>
          <w:lang w:val="ru-RU" w:eastAsia="ru-RU" w:bidi="ru-RU"/>
          <w:w w:val="100"/>
          <w:spacing w:val="0"/>
          <w:color w:val="000000"/>
          <w:position w:val="0"/>
        </w:rPr>
        <w:t>блокада II степени (типа Мобитца I) с периодами Самойлова-Венкебаха.</w:t>
      </w:r>
    </w:p>
    <w:p>
      <w:pPr>
        <w:pStyle w:val="Style30"/>
        <w:numPr>
          <w:ilvl w:val="1"/>
          <w:numId w:val="23"/>
        </w:numPr>
        <w:tabs>
          <w:tab w:leader="none" w:pos="730" w:val="left"/>
        </w:tabs>
        <w:widowControl w:val="0"/>
        <w:keepNext w:val="0"/>
        <w:keepLines w:val="0"/>
        <w:shd w:val="clear" w:color="auto" w:fill="auto"/>
        <w:bidi w:val="0"/>
        <w:spacing w:before="0" w:after="0"/>
        <w:ind w:left="280" w:right="0" w:firstLine="0"/>
      </w:pPr>
      <w:r>
        <w:rPr>
          <w:lang w:val="en-US" w:eastAsia="en-US" w:bidi="en-US"/>
          <w:w w:val="100"/>
          <w:spacing w:val="0"/>
          <w:color w:val="000000"/>
          <w:position w:val="0"/>
        </w:rPr>
        <w:t xml:space="preserve">AV </w:t>
      </w:r>
      <w:r>
        <w:rPr>
          <w:lang w:val="ru-RU" w:eastAsia="ru-RU" w:bidi="ru-RU"/>
          <w:w w:val="100"/>
          <w:spacing w:val="0"/>
          <w:color w:val="000000"/>
          <w:position w:val="0"/>
        </w:rPr>
        <w:t>блокада II степени (типа Мобитца II).</w:t>
      </w:r>
    </w:p>
    <w:p>
      <w:pPr>
        <w:pStyle w:val="Style30"/>
        <w:numPr>
          <w:ilvl w:val="1"/>
          <w:numId w:val="23"/>
        </w:numPr>
        <w:tabs>
          <w:tab w:leader="none" w:pos="690" w:val="left"/>
        </w:tabs>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 xml:space="preserve">Неполная </w:t>
      </w:r>
      <w:r>
        <w:rPr>
          <w:lang w:val="en-US" w:eastAsia="en-US" w:bidi="en-US"/>
          <w:w w:val="100"/>
          <w:spacing w:val="0"/>
          <w:color w:val="000000"/>
          <w:position w:val="0"/>
        </w:rPr>
        <w:t xml:space="preserve">AV </w:t>
      </w:r>
      <w:r>
        <w:rPr>
          <w:lang w:val="ru-RU" w:eastAsia="ru-RU" w:bidi="ru-RU"/>
          <w:w w:val="100"/>
          <w:spacing w:val="0"/>
          <w:color w:val="000000"/>
          <w:position w:val="0"/>
        </w:rPr>
        <w:t>блокада далеко зашедшая, высокой степени 2:1, 3:1, 4:1, 5:1.</w:t>
      </w:r>
    </w:p>
    <w:p>
      <w:pPr>
        <w:pStyle w:val="Style30"/>
        <w:numPr>
          <w:ilvl w:val="1"/>
          <w:numId w:val="23"/>
        </w:numPr>
        <w:tabs>
          <w:tab w:leader="none" w:pos="730"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 xml:space="preserve">Полная </w:t>
      </w:r>
      <w:r>
        <w:rPr>
          <w:lang w:val="en-US" w:eastAsia="en-US" w:bidi="en-US"/>
          <w:w w:val="100"/>
          <w:spacing w:val="0"/>
          <w:color w:val="000000"/>
          <w:position w:val="0"/>
        </w:rPr>
        <w:t xml:space="preserve">AV </w:t>
      </w:r>
      <w:r>
        <w:rPr>
          <w:lang w:val="ru-RU" w:eastAsia="ru-RU" w:bidi="ru-RU"/>
          <w:w w:val="100"/>
          <w:spacing w:val="0"/>
          <w:color w:val="000000"/>
          <w:position w:val="0"/>
        </w:rPr>
        <w:t>блокада III степени.</w:t>
      </w:r>
    </w:p>
    <w:p>
      <w:pPr>
        <w:pStyle w:val="Style30"/>
        <w:numPr>
          <w:ilvl w:val="1"/>
          <w:numId w:val="23"/>
        </w:numPr>
        <w:tabs>
          <w:tab w:leader="none" w:pos="694" w:val="left"/>
        </w:tabs>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 xml:space="preserve">Полная </w:t>
      </w:r>
      <w:r>
        <w:rPr>
          <w:lang w:val="en-US" w:eastAsia="en-US" w:bidi="en-US"/>
          <w:w w:val="100"/>
          <w:spacing w:val="0"/>
          <w:color w:val="000000"/>
          <w:position w:val="0"/>
        </w:rPr>
        <w:t xml:space="preserve">AV </w:t>
      </w:r>
      <w:r>
        <w:rPr>
          <w:lang w:val="ru-RU" w:eastAsia="ru-RU" w:bidi="ru-RU"/>
          <w:w w:val="100"/>
          <w:spacing w:val="0"/>
          <w:color w:val="000000"/>
          <w:position w:val="0"/>
        </w:rPr>
        <w:t>блокада с миграцией водителя ритма в желудочках.</w:t>
      </w:r>
    </w:p>
    <w:p>
      <w:pPr>
        <w:pStyle w:val="Style30"/>
        <w:numPr>
          <w:ilvl w:val="1"/>
          <w:numId w:val="23"/>
        </w:numPr>
        <w:tabs>
          <w:tab w:leader="none" w:pos="730"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Феномен Фредерика.</w:t>
      </w:r>
    </w:p>
    <w:p>
      <w:pPr>
        <w:pStyle w:val="Style30"/>
        <w:numPr>
          <w:ilvl w:val="1"/>
          <w:numId w:val="23"/>
        </w:numPr>
        <w:tabs>
          <w:tab w:leader="none" w:pos="8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Нарушение внутрижелудочковой проводимости.</w:t>
      </w:r>
    </w:p>
    <w:p>
      <w:pPr>
        <w:pStyle w:val="Style30"/>
        <w:numPr>
          <w:ilvl w:val="1"/>
          <w:numId w:val="23"/>
        </w:numPr>
        <w:tabs>
          <w:tab w:leader="none" w:pos="8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Полная блокада правой ножки пучка Гиса.</w:t>
      </w:r>
    </w:p>
    <w:p>
      <w:pPr>
        <w:pStyle w:val="Style30"/>
        <w:numPr>
          <w:ilvl w:val="1"/>
          <w:numId w:val="23"/>
        </w:numPr>
        <w:tabs>
          <w:tab w:leader="none" w:pos="8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Неполная блокада правой ножки пучка Гиса.</w:t>
      </w:r>
    </w:p>
    <w:p>
      <w:pPr>
        <w:pStyle w:val="Style30"/>
        <w:numPr>
          <w:ilvl w:val="1"/>
          <w:numId w:val="23"/>
        </w:numPr>
        <w:tabs>
          <w:tab w:leader="none" w:pos="8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Блокада передней ветви левой ножки пучка Гиса.</w:t>
      </w:r>
    </w:p>
    <w:p>
      <w:pPr>
        <w:pStyle w:val="Style30"/>
        <w:numPr>
          <w:ilvl w:val="1"/>
          <w:numId w:val="23"/>
        </w:numPr>
        <w:tabs>
          <w:tab w:leader="none" w:pos="8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Блокада задней ветви левой ножки пучка Гиса.</w:t>
      </w:r>
    </w:p>
    <w:p>
      <w:pPr>
        <w:pStyle w:val="Style30"/>
        <w:numPr>
          <w:ilvl w:val="1"/>
          <w:numId w:val="23"/>
        </w:numPr>
        <w:tabs>
          <w:tab w:leader="none" w:pos="8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Полная блокада левой ножки пучка Гиса.</w:t>
      </w:r>
    </w:p>
    <w:p>
      <w:pPr>
        <w:pStyle w:val="Style30"/>
        <w:numPr>
          <w:ilvl w:val="1"/>
          <w:numId w:val="23"/>
        </w:numPr>
        <w:tabs>
          <w:tab w:leader="none" w:pos="8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Неполная блокада левой ножки пучка Гиса.</w:t>
      </w:r>
    </w:p>
    <w:p>
      <w:pPr>
        <w:pStyle w:val="Style30"/>
        <w:numPr>
          <w:ilvl w:val="1"/>
          <w:numId w:val="23"/>
        </w:numPr>
        <w:tabs>
          <w:tab w:leader="none" w:pos="781" w:val="left"/>
        </w:tabs>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Полная блокада правой ножки и передней ветви ле</w:t>
        <w:softHyphen/>
        <w:t>вой ножки пучка Гиса.</w:t>
      </w:r>
    </w:p>
    <w:p>
      <w:pPr>
        <w:pStyle w:val="Style30"/>
        <w:numPr>
          <w:ilvl w:val="1"/>
          <w:numId w:val="23"/>
        </w:numPr>
        <w:tabs>
          <w:tab w:leader="none" w:pos="781" w:val="left"/>
        </w:tabs>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Полная блокада правой ножки и задней ветви левой ножки пучка Гиса.</w:t>
      </w:r>
    </w:p>
    <w:p>
      <w:pPr>
        <w:pStyle w:val="Style30"/>
        <w:numPr>
          <w:ilvl w:val="1"/>
          <w:numId w:val="23"/>
        </w:numPr>
        <w:tabs>
          <w:tab w:leader="none" w:pos="781" w:val="left"/>
        </w:tabs>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Неполная трехпучковая внутрижелудочковая бло</w:t>
        <w:softHyphen/>
        <w:t>када.</w:t>
      </w:r>
    </w:p>
    <w:p>
      <w:pPr>
        <w:pStyle w:val="Style30"/>
        <w:numPr>
          <w:ilvl w:val="1"/>
          <w:numId w:val="23"/>
        </w:numPr>
        <w:tabs>
          <w:tab w:leader="none" w:pos="8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Полная трехпучковая блокада.</w:t>
      </w:r>
    </w:p>
    <w:p>
      <w:pPr>
        <w:pStyle w:val="Style92"/>
        <w:numPr>
          <w:ilvl w:val="0"/>
          <w:numId w:val="23"/>
        </w:numPr>
        <w:tabs>
          <w:tab w:leader="none" w:pos="594" w:val="left"/>
        </w:tabs>
        <w:widowControl w:val="0"/>
        <w:keepNext/>
        <w:keepLines/>
        <w:shd w:val="clear" w:color="auto" w:fill="auto"/>
        <w:bidi w:val="0"/>
        <w:jc w:val="left"/>
        <w:spacing w:before="0" w:after="0"/>
        <w:ind w:left="0" w:right="0" w:firstLine="280"/>
      </w:pPr>
      <w:bookmarkStart w:id="73" w:name="bookmark73"/>
      <w:r>
        <w:rPr>
          <w:lang w:val="ru-RU" w:eastAsia="ru-RU" w:bidi="ru-RU"/>
          <w:w w:val="100"/>
          <w:spacing w:val="0"/>
          <w:color w:val="000000"/>
          <w:position w:val="0"/>
        </w:rPr>
        <w:t>Синдром ускоренного предсердно-желудочкового прове</w:t>
        <w:softHyphen/>
        <w:t>дения.</w:t>
      </w:r>
      <w:bookmarkEnd w:id="73"/>
    </w:p>
    <w:p>
      <w:pPr>
        <w:pStyle w:val="Style30"/>
        <w:numPr>
          <w:ilvl w:val="1"/>
          <w:numId w:val="23"/>
        </w:numPr>
        <w:tabs>
          <w:tab w:leader="none" w:pos="725"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 xml:space="preserve">Синдром </w:t>
      </w:r>
      <w:r>
        <w:rPr>
          <w:lang w:val="en-US" w:eastAsia="en-US" w:bidi="en-US"/>
          <w:w w:val="100"/>
          <w:spacing w:val="0"/>
          <w:color w:val="000000"/>
          <w:position w:val="0"/>
        </w:rPr>
        <w:t>WPW.</w:t>
      </w:r>
    </w:p>
    <w:p>
      <w:pPr>
        <w:pStyle w:val="Style92"/>
        <w:numPr>
          <w:ilvl w:val="0"/>
          <w:numId w:val="23"/>
        </w:numPr>
        <w:tabs>
          <w:tab w:leader="none" w:pos="605" w:val="left"/>
        </w:tabs>
        <w:widowControl w:val="0"/>
        <w:keepNext/>
        <w:keepLines/>
        <w:shd w:val="clear" w:color="auto" w:fill="auto"/>
        <w:bidi w:val="0"/>
        <w:spacing w:before="0" w:after="0"/>
        <w:ind w:left="280" w:right="0" w:firstLine="0"/>
      </w:pPr>
      <w:bookmarkStart w:id="74" w:name="bookmark74"/>
      <w:r>
        <w:rPr>
          <w:lang w:val="ru-RU" w:eastAsia="ru-RU" w:bidi="ru-RU"/>
          <w:w w:val="100"/>
          <w:spacing w:val="0"/>
          <w:color w:val="000000"/>
          <w:position w:val="0"/>
        </w:rPr>
        <w:t>Парасистолии.</w:t>
      </w:r>
      <w:bookmarkEnd w:id="74"/>
    </w:p>
    <w:p>
      <w:pPr>
        <w:pStyle w:val="Style30"/>
        <w:numPr>
          <w:ilvl w:val="1"/>
          <w:numId w:val="23"/>
        </w:numPr>
        <w:tabs>
          <w:tab w:leader="none" w:pos="725"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Желудочковая брадикардическая парасистолия.</w:t>
      </w:r>
    </w:p>
    <w:p>
      <w:pPr>
        <w:pStyle w:val="Style30"/>
        <w:numPr>
          <w:ilvl w:val="1"/>
          <w:numId w:val="23"/>
        </w:numPr>
        <w:tabs>
          <w:tab w:leader="none" w:pos="720"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 xml:space="preserve">Парасистолы из </w:t>
      </w:r>
      <w:r>
        <w:rPr>
          <w:lang w:val="en-US" w:eastAsia="en-US" w:bidi="en-US"/>
          <w:w w:val="100"/>
          <w:spacing w:val="0"/>
          <w:color w:val="000000"/>
          <w:position w:val="0"/>
        </w:rPr>
        <w:t xml:space="preserve">AV </w:t>
      </w:r>
      <w:r>
        <w:rPr>
          <w:lang w:val="ru-RU" w:eastAsia="ru-RU" w:bidi="ru-RU"/>
          <w:w w:val="100"/>
          <w:spacing w:val="0"/>
          <w:color w:val="000000"/>
          <w:position w:val="0"/>
        </w:rPr>
        <w:t>соединения.</w:t>
      </w:r>
    </w:p>
    <w:p>
      <w:pPr>
        <w:pStyle w:val="Style30"/>
        <w:numPr>
          <w:ilvl w:val="1"/>
          <w:numId w:val="23"/>
        </w:numPr>
        <w:tabs>
          <w:tab w:leader="none" w:pos="7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Предсердная парасистолия.</w:t>
      </w:r>
    </w:p>
    <w:p>
      <w:pPr>
        <w:pStyle w:val="Style92"/>
        <w:numPr>
          <w:ilvl w:val="0"/>
          <w:numId w:val="23"/>
        </w:numPr>
        <w:tabs>
          <w:tab w:leader="none" w:pos="595" w:val="left"/>
        </w:tabs>
        <w:widowControl w:val="0"/>
        <w:keepNext/>
        <w:keepLines/>
        <w:shd w:val="clear" w:color="auto" w:fill="auto"/>
        <w:bidi w:val="0"/>
        <w:spacing w:before="0" w:after="0"/>
        <w:ind w:left="500" w:right="0" w:hanging="220"/>
      </w:pPr>
      <w:bookmarkStart w:id="75" w:name="bookmark75"/>
      <w:r>
        <w:rPr>
          <w:lang w:val="ru-RU" w:eastAsia="ru-RU" w:bidi="ru-RU"/>
          <w:w w:val="100"/>
          <w:spacing w:val="0"/>
          <w:color w:val="000000"/>
          <w:position w:val="0"/>
        </w:rPr>
        <w:t>Атриовентрикулярные диссоциации.</w:t>
      </w:r>
      <w:bookmarkEnd w:id="75"/>
    </w:p>
    <w:p>
      <w:pPr>
        <w:pStyle w:val="Style30"/>
        <w:numPr>
          <w:ilvl w:val="1"/>
          <w:numId w:val="23"/>
        </w:numPr>
        <w:tabs>
          <w:tab w:leader="none" w:pos="72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Неполная </w:t>
      </w:r>
      <w:r>
        <w:rPr>
          <w:lang w:val="en-US" w:eastAsia="en-US" w:bidi="en-US"/>
          <w:w w:val="100"/>
          <w:spacing w:val="0"/>
          <w:color w:val="000000"/>
          <w:position w:val="0"/>
        </w:rPr>
        <w:t xml:space="preserve">AV </w:t>
      </w:r>
      <w:r>
        <w:rPr>
          <w:lang w:val="ru-RU" w:eastAsia="ru-RU" w:bidi="ru-RU"/>
          <w:w w:val="100"/>
          <w:spacing w:val="0"/>
          <w:color w:val="000000"/>
          <w:position w:val="0"/>
        </w:rPr>
        <w:t>диссоциация.</w:t>
      </w:r>
    </w:p>
    <w:p>
      <w:pPr>
        <w:pStyle w:val="Style30"/>
        <w:numPr>
          <w:ilvl w:val="1"/>
          <w:numId w:val="23"/>
        </w:numPr>
        <w:tabs>
          <w:tab w:leader="none" w:pos="72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Полная </w:t>
      </w:r>
      <w:r>
        <w:rPr>
          <w:lang w:val="en-US" w:eastAsia="en-US" w:bidi="en-US"/>
          <w:w w:val="100"/>
          <w:spacing w:val="0"/>
          <w:color w:val="000000"/>
          <w:position w:val="0"/>
        </w:rPr>
        <w:t xml:space="preserve">AV </w:t>
      </w:r>
      <w:r>
        <w:rPr>
          <w:lang w:val="ru-RU" w:eastAsia="ru-RU" w:bidi="ru-RU"/>
          <w:w w:val="100"/>
          <w:spacing w:val="0"/>
          <w:color w:val="000000"/>
          <w:position w:val="0"/>
        </w:rPr>
        <w:t>диссоциация (изоритмическая).</w:t>
      </w:r>
    </w:p>
    <w:p>
      <w:pPr>
        <w:pStyle w:val="Style92"/>
        <w:numPr>
          <w:ilvl w:val="0"/>
          <w:numId w:val="23"/>
        </w:numPr>
        <w:tabs>
          <w:tab w:leader="none" w:pos="593" w:val="left"/>
        </w:tabs>
        <w:widowControl w:val="0"/>
        <w:keepNext/>
        <w:keepLines/>
        <w:shd w:val="clear" w:color="auto" w:fill="auto"/>
        <w:bidi w:val="0"/>
        <w:spacing w:before="0" w:after="0"/>
        <w:ind w:left="0" w:right="0" w:firstLine="280"/>
      </w:pPr>
      <w:bookmarkStart w:id="76" w:name="bookmark76"/>
      <w:r>
        <w:rPr>
          <w:lang w:val="ru-RU" w:eastAsia="ru-RU" w:bidi="ru-RU"/>
          <w:w w:val="100"/>
          <w:spacing w:val="0"/>
          <w:color w:val="000000"/>
          <w:position w:val="0"/>
        </w:rPr>
        <w:t>Трепетание и мерцание (фибрилляция) предсердий и же</w:t>
        <w:softHyphen/>
        <w:t>лудочков.</w:t>
      </w:r>
      <w:bookmarkEnd w:id="76"/>
    </w:p>
    <w:p>
      <w:pPr>
        <w:pStyle w:val="Style30"/>
        <w:numPr>
          <w:ilvl w:val="1"/>
          <w:numId w:val="23"/>
        </w:numPr>
        <w:tabs>
          <w:tab w:leader="none" w:pos="72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Брадисистолическая форма мерцания предсердий.</w:t>
      </w:r>
    </w:p>
    <w:p>
      <w:pPr>
        <w:pStyle w:val="Style30"/>
        <w:numPr>
          <w:ilvl w:val="1"/>
          <w:numId w:val="23"/>
        </w:numPr>
        <w:tabs>
          <w:tab w:leader="none" w:pos="72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Нормосистолическая форма мерцания предсердий.</w:t>
      </w:r>
    </w:p>
    <w:p>
      <w:pPr>
        <w:pStyle w:val="Style30"/>
        <w:numPr>
          <w:ilvl w:val="1"/>
          <w:numId w:val="23"/>
        </w:numPr>
        <w:tabs>
          <w:tab w:leader="none" w:pos="72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Тахисистолическая форма мерцания предсердий.</w:t>
      </w:r>
    </w:p>
    <w:p>
      <w:pPr>
        <w:pStyle w:val="Style30"/>
        <w:numPr>
          <w:ilvl w:val="1"/>
          <w:numId w:val="23"/>
        </w:numPr>
        <w:tabs>
          <w:tab w:leader="none" w:pos="72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Пароксизмальная форма мерцания предсердий.</w:t>
      </w:r>
    </w:p>
    <w:p>
      <w:pPr>
        <w:pStyle w:val="Style30"/>
        <w:numPr>
          <w:ilvl w:val="1"/>
          <w:numId w:val="23"/>
        </w:numPr>
        <w:tabs>
          <w:tab w:leader="none" w:pos="72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Трепетание желудочков.</w:t>
      </w:r>
    </w:p>
    <w:p>
      <w:pPr>
        <w:pStyle w:val="Style30"/>
        <w:numPr>
          <w:ilvl w:val="1"/>
          <w:numId w:val="23"/>
        </w:numPr>
        <w:tabs>
          <w:tab w:leader="none" w:pos="72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Фибрилляция желудочков.</w:t>
      </w:r>
    </w:p>
    <w:p>
      <w:pPr>
        <w:pStyle w:val="Style30"/>
        <w:numPr>
          <w:ilvl w:val="1"/>
          <w:numId w:val="23"/>
        </w:numPr>
        <w:tabs>
          <w:tab w:leader="none" w:pos="725" w:val="left"/>
        </w:tabs>
        <w:widowControl w:val="0"/>
        <w:keepNext w:val="0"/>
        <w:keepLines w:val="0"/>
        <w:shd w:val="clear" w:color="auto" w:fill="auto"/>
        <w:bidi w:val="0"/>
        <w:spacing w:before="0" w:after="133"/>
        <w:ind w:left="500" w:right="0" w:hanging="220"/>
      </w:pPr>
      <w:r>
        <w:rPr>
          <w:lang w:val="ru-RU" w:eastAsia="ru-RU" w:bidi="ru-RU"/>
          <w:w w:val="100"/>
          <w:spacing w:val="0"/>
          <w:color w:val="000000"/>
          <w:position w:val="0"/>
        </w:rPr>
        <w:t>Желудочковая асистолия.</w:t>
      </w:r>
    </w:p>
    <w:p>
      <w:pPr>
        <w:pStyle w:val="Style48"/>
        <w:widowControl w:val="0"/>
        <w:keepNext/>
        <w:keepLines/>
        <w:shd w:val="clear" w:color="auto" w:fill="auto"/>
        <w:bidi w:val="0"/>
        <w:jc w:val="left"/>
        <w:spacing w:before="0" w:after="37" w:line="200" w:lineRule="exact"/>
        <w:ind w:left="0" w:right="0" w:firstLine="0"/>
      </w:pPr>
      <w:bookmarkStart w:id="77" w:name="bookmark77"/>
      <w:r>
        <w:rPr>
          <w:lang w:val="ru-RU" w:eastAsia="ru-RU" w:bidi="ru-RU"/>
          <w:w w:val="100"/>
          <w:spacing w:val="0"/>
          <w:color w:val="000000"/>
          <w:position w:val="0"/>
        </w:rPr>
        <w:t>Рентгенографические симптомы и признаки</w:t>
      </w:r>
      <w:bookmarkEnd w:id="77"/>
    </w:p>
    <w:p>
      <w:pPr>
        <w:pStyle w:val="Style92"/>
        <w:widowControl w:val="0"/>
        <w:keepNext/>
        <w:keepLines/>
        <w:shd w:val="clear" w:color="auto" w:fill="auto"/>
        <w:bidi w:val="0"/>
        <w:spacing w:before="0" w:after="0"/>
        <w:ind w:left="500" w:right="0" w:hanging="220"/>
      </w:pPr>
      <w:bookmarkStart w:id="78" w:name="bookmark78"/>
      <w:r>
        <w:rPr>
          <w:lang w:val="ru-RU" w:eastAsia="ru-RU" w:bidi="ru-RU"/>
          <w:w w:val="100"/>
          <w:spacing w:val="0"/>
          <w:color w:val="000000"/>
          <w:position w:val="0"/>
        </w:rPr>
        <w:t>Форма сердца нормальная</w:t>
      </w:r>
      <w:bookmarkEnd w:id="7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норме сердечно-сосудистая тень ограничена слева че</w:t>
        <w:softHyphen/>
        <w:t>тырьмя дугами, справа — двумя.</w:t>
      </w:r>
    </w:p>
    <w:p>
      <w:pPr>
        <w:pStyle w:val="Style30"/>
        <w:numPr>
          <w:ilvl w:val="0"/>
          <w:numId w:val="25"/>
        </w:numPr>
        <w:tabs>
          <w:tab w:leader="none" w:pos="59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Левый контур сердца:</w:t>
      </w:r>
    </w:p>
    <w:p>
      <w:pPr>
        <w:pStyle w:val="Style30"/>
        <w:numPr>
          <w:ilvl w:val="0"/>
          <w:numId w:val="27"/>
        </w:numPr>
        <w:tabs>
          <w:tab w:leader="none" w:pos="74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первая дуга — дуга аорты;</w:t>
      </w:r>
    </w:p>
    <w:p>
      <w:pPr>
        <w:pStyle w:val="Style30"/>
        <w:numPr>
          <w:ilvl w:val="0"/>
          <w:numId w:val="27"/>
        </w:numPr>
        <w:tabs>
          <w:tab w:leader="none" w:pos="74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вторая дуга — ствол легочной артерии;</w:t>
      </w:r>
    </w:p>
    <w:p>
      <w:pPr>
        <w:pStyle w:val="Style30"/>
        <w:numPr>
          <w:ilvl w:val="0"/>
          <w:numId w:val="27"/>
        </w:numPr>
        <w:tabs>
          <w:tab w:leader="none" w:pos="74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третья дуга — ушко левого предсердия;</w:t>
      </w:r>
    </w:p>
    <w:p>
      <w:pPr>
        <w:pStyle w:val="Style30"/>
        <w:numPr>
          <w:ilvl w:val="0"/>
          <w:numId w:val="27"/>
        </w:numPr>
        <w:tabs>
          <w:tab w:leader="none" w:pos="74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четвертая дуга — левый желудочек.</w:t>
      </w:r>
    </w:p>
    <w:p>
      <w:pPr>
        <w:pStyle w:val="Style30"/>
        <w:numPr>
          <w:ilvl w:val="0"/>
          <w:numId w:val="25"/>
        </w:numPr>
        <w:tabs>
          <w:tab w:leader="none" w:pos="59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Правый контур сердца:</w:t>
      </w:r>
    </w:p>
    <w:p>
      <w:pPr>
        <w:pStyle w:val="Style30"/>
        <w:numPr>
          <w:ilvl w:val="0"/>
          <w:numId w:val="27"/>
        </w:numPr>
        <w:tabs>
          <w:tab w:leader="none" w:pos="748"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первая дуга — верхняя полая вена или восходящая аорта;</w:t>
      </w:r>
    </w:p>
    <w:p>
      <w:pPr>
        <w:pStyle w:val="Style30"/>
        <w:numPr>
          <w:ilvl w:val="0"/>
          <w:numId w:val="27"/>
        </w:numPr>
        <w:tabs>
          <w:tab w:leader="none" w:pos="748" w:val="left"/>
        </w:tabs>
        <w:widowControl w:val="0"/>
        <w:keepNext w:val="0"/>
        <w:keepLines w:val="0"/>
        <w:shd w:val="clear" w:color="auto" w:fill="auto"/>
        <w:bidi w:val="0"/>
        <w:spacing w:before="0" w:after="120"/>
        <w:ind w:left="500" w:right="0" w:firstLine="0"/>
      </w:pPr>
      <w:r>
        <w:rPr>
          <w:lang w:val="ru-RU" w:eastAsia="ru-RU" w:bidi="ru-RU"/>
          <w:w w:val="100"/>
          <w:spacing w:val="0"/>
          <w:color w:val="000000"/>
          <w:position w:val="0"/>
        </w:rPr>
        <w:t>вторая дуга — правое предсердие.</w:t>
      </w:r>
    </w:p>
    <w:p>
      <w:pPr>
        <w:pStyle w:val="Style92"/>
        <w:widowControl w:val="0"/>
        <w:keepNext/>
        <w:keepLines/>
        <w:shd w:val="clear" w:color="auto" w:fill="auto"/>
        <w:bidi w:val="0"/>
        <w:spacing w:before="0" w:after="0"/>
        <w:ind w:left="500" w:right="0" w:hanging="220"/>
      </w:pPr>
      <w:bookmarkStart w:id="79" w:name="bookmark79"/>
      <w:r>
        <w:rPr>
          <w:lang w:val="ru-RU" w:eastAsia="ru-RU" w:bidi="ru-RU"/>
          <w:w w:val="100"/>
          <w:spacing w:val="0"/>
          <w:color w:val="000000"/>
          <w:position w:val="0"/>
        </w:rPr>
        <w:t>Конституциональные особенности положения сердца</w:t>
      </w:r>
      <w:bookmarkEnd w:id="7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Определяются в зависимости от угла наклонения, обра</w:t>
        <w:softHyphen/>
        <w:t>зованного двумя линиями — горизонтальной, пересекаю - щей верхушку сердца, и линией, связывающей верхушку сердца с правым атриовазальным углом.</w:t>
      </w:r>
    </w:p>
    <w:p>
      <w:pPr>
        <w:pStyle w:val="Style30"/>
        <w:numPr>
          <w:ilvl w:val="0"/>
          <w:numId w:val="25"/>
        </w:numPr>
        <w:tabs>
          <w:tab w:leader="none" w:pos="59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Нормостеническое сердце — угол наклона равен 45°.</w:t>
      </w:r>
    </w:p>
    <w:p>
      <w:pPr>
        <w:pStyle w:val="Style30"/>
        <w:numPr>
          <w:ilvl w:val="0"/>
          <w:numId w:val="25"/>
        </w:numPr>
        <w:tabs>
          <w:tab w:leader="none" w:pos="59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Гиперстеническое сердце — угол наклона меньше 45°.</w:t>
      </w:r>
    </w:p>
    <w:p>
      <w:pPr>
        <w:pStyle w:val="Style30"/>
        <w:numPr>
          <w:ilvl w:val="0"/>
          <w:numId w:val="25"/>
        </w:numPr>
        <w:tabs>
          <w:tab w:leader="none" w:pos="59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Гипостеническое сердце — угол наклона больше 45°.</w:t>
      </w:r>
    </w:p>
    <w:p>
      <w:pPr>
        <w:pStyle w:val="Style30"/>
        <w:numPr>
          <w:ilvl w:val="0"/>
          <w:numId w:val="25"/>
        </w:numPr>
        <w:tabs>
          <w:tab w:leader="none" w:pos="59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Гипопластическое сердце (сердце Крауза-</w:t>
      </w:r>
      <w:r>
        <w:rPr>
          <w:lang w:val="en-US" w:eastAsia="en-US" w:bidi="en-US"/>
          <w:w w:val="100"/>
          <w:spacing w:val="0"/>
          <w:color w:val="000000"/>
          <w:position w:val="0"/>
        </w:rPr>
        <w:t xml:space="preserve">Kraus) </w:t>
      </w:r>
      <w:r>
        <w:rPr>
          <w:lang w:val="ru-RU" w:eastAsia="ru-RU" w:bidi="ru-RU"/>
          <w:w w:val="100"/>
          <w:spacing w:val="0"/>
          <w:color w:val="000000"/>
          <w:position w:val="0"/>
        </w:rPr>
        <w:t>— конституциональная особенность у лиц высокого ро</w:t>
        <w:softHyphen/>
        <w:t>ста, хорошо развитых физически:</w:t>
      </w:r>
    </w:p>
    <w:p>
      <w:pPr>
        <w:pStyle w:val="Style30"/>
        <w:numPr>
          <w:ilvl w:val="0"/>
          <w:numId w:val="27"/>
        </w:numPr>
        <w:tabs>
          <w:tab w:leader="none" w:pos="74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срединное стояние;</w:t>
      </w:r>
    </w:p>
    <w:p>
      <w:pPr>
        <w:pStyle w:val="Style30"/>
        <w:numPr>
          <w:ilvl w:val="0"/>
          <w:numId w:val="27"/>
        </w:numPr>
        <w:tabs>
          <w:tab w:leader="none" w:pos="74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угол наклона около 60°;</w:t>
      </w:r>
    </w:p>
    <w:p>
      <w:pPr>
        <w:pStyle w:val="Style30"/>
        <w:numPr>
          <w:ilvl w:val="0"/>
          <w:numId w:val="27"/>
        </w:numPr>
        <w:tabs>
          <w:tab w:leader="none" w:pos="748"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в боковой проекции ретростернальное поле широ - кое и идет параллельно ретрокардиальному;</w:t>
      </w:r>
    </w:p>
    <w:p>
      <w:pPr>
        <w:pStyle w:val="Style30"/>
        <w:numPr>
          <w:ilvl w:val="0"/>
          <w:numId w:val="27"/>
        </w:numPr>
        <w:tabs>
          <w:tab w:leader="none" w:pos="748" w:val="left"/>
        </w:tabs>
        <w:widowControl w:val="0"/>
        <w:keepNext w:val="0"/>
        <w:keepLines w:val="0"/>
        <w:shd w:val="clear" w:color="auto" w:fill="auto"/>
        <w:bidi w:val="0"/>
        <w:spacing w:before="0" w:after="120"/>
        <w:ind w:left="500" w:right="0" w:firstLine="0"/>
      </w:pPr>
      <w:r>
        <w:rPr>
          <w:lang w:val="ru-RU" w:eastAsia="ru-RU" w:bidi="ru-RU"/>
          <w:w w:val="100"/>
          <w:spacing w:val="0"/>
          <w:color w:val="000000"/>
          <w:position w:val="0"/>
        </w:rPr>
        <w:t>большая подвижность сердца.</w:t>
      </w:r>
    </w:p>
    <w:p>
      <w:pPr>
        <w:pStyle w:val="Style92"/>
        <w:widowControl w:val="0"/>
        <w:keepNext/>
        <w:keepLines/>
        <w:shd w:val="clear" w:color="auto" w:fill="auto"/>
        <w:bidi w:val="0"/>
        <w:spacing w:before="0" w:after="0"/>
        <w:ind w:left="500" w:right="0" w:hanging="220"/>
      </w:pPr>
      <w:bookmarkStart w:id="80" w:name="bookmark80"/>
      <w:r>
        <w:rPr>
          <w:lang w:val="ru-RU" w:eastAsia="ru-RU" w:bidi="ru-RU"/>
          <w:w w:val="100"/>
          <w:spacing w:val="0"/>
          <w:color w:val="000000"/>
          <w:position w:val="0"/>
        </w:rPr>
        <w:t>Митральная форма сердца:</w:t>
      </w:r>
      <w:bookmarkEnd w:id="80"/>
    </w:p>
    <w:p>
      <w:pPr>
        <w:pStyle w:val="Style30"/>
        <w:numPr>
          <w:ilvl w:val="0"/>
          <w:numId w:val="25"/>
        </w:numPr>
        <w:tabs>
          <w:tab w:leader="none" w:pos="59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Вторая и третья дуги левого контура — ствол легоч</w:t>
        <w:softHyphen/>
        <w:t>ной артерии и ушко левого предсердия удлинены и более выпуклы, чем в норме;</w:t>
      </w:r>
    </w:p>
    <w:p>
      <w:pPr>
        <w:pStyle w:val="Style30"/>
        <w:numPr>
          <w:ilvl w:val="0"/>
          <w:numId w:val="25"/>
        </w:numPr>
        <w:tabs>
          <w:tab w:leader="none" w:pos="593"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Угол между второй и третьей дугами левого контура (талия сердца) сглажен;</w:t>
      </w:r>
    </w:p>
    <w:p>
      <w:pPr>
        <w:pStyle w:val="Style30"/>
        <w:numPr>
          <w:ilvl w:val="0"/>
          <w:numId w:val="25"/>
        </w:numPr>
        <w:tabs>
          <w:tab w:leader="none" w:pos="593" w:val="left"/>
        </w:tabs>
        <w:widowControl w:val="0"/>
        <w:keepNext w:val="0"/>
        <w:keepLines w:val="0"/>
        <w:shd w:val="clear" w:color="auto" w:fill="auto"/>
        <w:bidi w:val="0"/>
        <w:jc w:val="left"/>
        <w:spacing w:before="0" w:after="120"/>
        <w:ind w:left="500" w:right="0" w:hanging="220"/>
      </w:pPr>
      <w:r>
        <w:rPr>
          <w:lang w:val="ru-RU" w:eastAsia="ru-RU" w:bidi="ru-RU"/>
          <w:w w:val="100"/>
          <w:spacing w:val="0"/>
          <w:color w:val="000000"/>
          <w:position w:val="0"/>
        </w:rPr>
        <w:t>Правый атриовазальный угол смещен кверху и опреде</w:t>
        <w:softHyphen/>
        <w:t>ляется выше, чем середина сердечно-сосудистой тени.</w:t>
      </w:r>
    </w:p>
    <w:p>
      <w:pPr>
        <w:pStyle w:val="Style92"/>
        <w:widowControl w:val="0"/>
        <w:keepNext/>
        <w:keepLines/>
        <w:shd w:val="clear" w:color="auto" w:fill="auto"/>
        <w:bidi w:val="0"/>
        <w:spacing w:before="0" w:after="0"/>
        <w:ind w:left="500" w:right="0" w:hanging="220"/>
      </w:pPr>
      <w:bookmarkStart w:id="81" w:name="bookmark81"/>
      <w:r>
        <w:rPr>
          <w:lang w:val="ru-RU" w:eastAsia="ru-RU" w:bidi="ru-RU"/>
          <w:w w:val="100"/>
          <w:spacing w:val="0"/>
          <w:color w:val="000000"/>
          <w:position w:val="0"/>
        </w:rPr>
        <w:t>Аортальная форма сердца:</w:t>
      </w:r>
      <w:bookmarkEnd w:id="81"/>
    </w:p>
    <w:p>
      <w:pPr>
        <w:pStyle w:val="Style30"/>
        <w:numPr>
          <w:ilvl w:val="0"/>
          <w:numId w:val="25"/>
        </w:numPr>
        <w:tabs>
          <w:tab w:leader="none" w:pos="593"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Увеличение левого желудочка — удлинение и расши - рение четвертой дуги по левому контуру;</w:t>
      </w:r>
    </w:p>
    <w:p>
      <w:pPr>
        <w:pStyle w:val="Style30"/>
        <w:numPr>
          <w:ilvl w:val="0"/>
          <w:numId w:val="25"/>
        </w:numPr>
        <w:tabs>
          <w:tab w:leader="none" w:pos="59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«Подчеркнутая», хорошо выраженная талия сердца;</w:t>
      </w:r>
    </w:p>
    <w:p>
      <w:pPr>
        <w:pStyle w:val="Style30"/>
        <w:numPr>
          <w:ilvl w:val="0"/>
          <w:numId w:val="25"/>
        </w:numPr>
        <w:tabs>
          <w:tab w:leader="none" w:pos="59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Расширение восходящей аорты;</w:t>
      </w:r>
    </w:p>
    <w:p>
      <w:pPr>
        <w:pStyle w:val="Style30"/>
        <w:numPr>
          <w:ilvl w:val="0"/>
          <w:numId w:val="25"/>
        </w:numPr>
        <w:tabs>
          <w:tab w:leader="none" w:pos="59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Смещение правого атриовазального угла книзу;</w:t>
      </w:r>
    </w:p>
    <w:p>
      <w:pPr>
        <w:pStyle w:val="Style30"/>
        <w:numPr>
          <w:ilvl w:val="0"/>
          <w:numId w:val="25"/>
        </w:numPr>
        <w:tabs>
          <w:tab w:leader="none" w:pos="593" w:val="left"/>
        </w:tabs>
        <w:widowControl w:val="0"/>
        <w:keepNext w:val="0"/>
        <w:keepLines w:val="0"/>
        <w:shd w:val="clear" w:color="auto" w:fill="auto"/>
        <w:bidi w:val="0"/>
        <w:spacing w:before="0" w:after="0"/>
        <w:ind w:left="500" w:right="0" w:hanging="220"/>
      </w:pPr>
      <w:r>
        <w:pict>
          <v:shape id="_x0000_s1092" type="#_x0000_t75" style="position:absolute;margin-left:148.1pt;margin-top:739.95pt;width:209.75pt;height:14.9pt;z-index:-125829352;mso-wrap-distance-left:148.1pt;mso-wrap-distance-right:136.8pt;mso-wrap-distance-bottom:20.pt;mso-position-horizontal-relative:margin;mso-position-vertical-relative:margin" wrapcoords="0 0 21600 0 21600 21600 0 21600 0 0">
            <v:imagedata r:id="rId104" r:href="rId105"/>
            <w10:wrap type="topAndBottom" anchorx="margin" anchory="margin"/>
          </v:shape>
        </w:pict>
      </w:r>
      <w:r>
        <w:rPr>
          <w:lang w:val="ru-RU" w:eastAsia="ru-RU" w:bidi="ru-RU"/>
          <w:w w:val="100"/>
          <w:spacing w:val="0"/>
          <w:color w:val="000000"/>
          <w:position w:val="0"/>
        </w:rPr>
        <w:t>Увеличение дуги аорты.</w:t>
      </w:r>
      <w:r>
        <w:br w:type="page"/>
      </w:r>
    </w:p>
    <w:p>
      <w:pPr>
        <w:pStyle w:val="Style92"/>
        <w:widowControl w:val="0"/>
        <w:keepNext/>
        <w:keepLines/>
        <w:shd w:val="clear" w:color="auto" w:fill="auto"/>
        <w:bidi w:val="0"/>
        <w:spacing w:before="0" w:after="0"/>
        <w:ind w:left="280" w:right="0"/>
      </w:pPr>
      <w:bookmarkStart w:id="82" w:name="bookmark82"/>
      <w:r>
        <w:rPr>
          <w:lang w:val="ru-RU" w:eastAsia="ru-RU" w:bidi="ru-RU"/>
          <w:w w:val="100"/>
          <w:spacing w:val="0"/>
          <w:color w:val="000000"/>
          <w:position w:val="0"/>
        </w:rPr>
        <w:t>Треугольная форма сердца:</w:t>
      </w:r>
      <w:bookmarkEnd w:id="82"/>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Сглаженность дуг по левому и правому контуру;</w:t>
      </w:r>
    </w:p>
    <w:p>
      <w:pPr>
        <w:pStyle w:val="Style30"/>
        <w:numPr>
          <w:ilvl w:val="0"/>
          <w:numId w:val="25"/>
        </w:numPr>
        <w:tabs>
          <w:tab w:leader="none" w:pos="236" w:val="left"/>
        </w:tabs>
        <w:widowControl w:val="0"/>
        <w:keepNext w:val="0"/>
        <w:keepLines w:val="0"/>
        <w:shd w:val="clear" w:color="auto" w:fill="auto"/>
        <w:bidi w:val="0"/>
        <w:spacing w:before="0" w:after="120"/>
        <w:ind w:left="280" w:right="0" w:hanging="280"/>
      </w:pPr>
      <w:r>
        <w:rPr>
          <w:lang w:val="ru-RU" w:eastAsia="ru-RU" w:bidi="ru-RU"/>
          <w:w w:val="100"/>
          <w:spacing w:val="0"/>
          <w:color w:val="000000"/>
          <w:position w:val="0"/>
        </w:rPr>
        <w:t>Увеличение размеров сердца.</w:t>
      </w:r>
    </w:p>
    <w:p>
      <w:pPr>
        <w:pStyle w:val="Style92"/>
        <w:widowControl w:val="0"/>
        <w:keepNext/>
        <w:keepLines/>
        <w:shd w:val="clear" w:color="auto" w:fill="auto"/>
        <w:bidi w:val="0"/>
        <w:spacing w:before="0" w:after="0"/>
        <w:ind w:left="280" w:right="0"/>
      </w:pPr>
      <w:bookmarkStart w:id="83" w:name="bookmark83"/>
      <w:r>
        <w:rPr>
          <w:lang w:val="ru-RU" w:eastAsia="ru-RU" w:bidi="ru-RU"/>
          <w:w w:val="100"/>
          <w:spacing w:val="0"/>
          <w:color w:val="000000"/>
          <w:position w:val="0"/>
        </w:rPr>
        <w:t>Вертикальная форма сердца:</w:t>
      </w:r>
      <w:bookmarkEnd w:id="83"/>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Сердце и аорта удлинены по вертикали;</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Сглаженные сердечно-сосудистые углы;</w:t>
      </w:r>
    </w:p>
    <w:p>
      <w:pPr>
        <w:pStyle w:val="Style30"/>
        <w:numPr>
          <w:ilvl w:val="0"/>
          <w:numId w:val="25"/>
        </w:numPr>
        <w:tabs>
          <w:tab w:leader="none" w:pos="236" w:val="left"/>
        </w:tabs>
        <w:widowControl w:val="0"/>
        <w:keepNext w:val="0"/>
        <w:keepLines w:val="0"/>
        <w:shd w:val="clear" w:color="auto" w:fill="auto"/>
        <w:bidi w:val="0"/>
        <w:spacing w:before="0" w:after="120"/>
        <w:ind w:left="280" w:right="0" w:hanging="280"/>
      </w:pPr>
      <w:r>
        <w:rPr>
          <w:lang w:val="ru-RU" w:eastAsia="ru-RU" w:bidi="ru-RU"/>
          <w:w w:val="100"/>
          <w:spacing w:val="0"/>
          <w:color w:val="000000"/>
          <w:position w:val="0"/>
        </w:rPr>
        <w:t>Увеличение угла наклона.</w:t>
      </w:r>
    </w:p>
    <w:p>
      <w:pPr>
        <w:pStyle w:val="Style92"/>
        <w:widowControl w:val="0"/>
        <w:keepNext/>
        <w:keepLines/>
        <w:shd w:val="clear" w:color="auto" w:fill="auto"/>
        <w:bidi w:val="0"/>
        <w:spacing w:before="0" w:after="0"/>
        <w:ind w:left="280" w:right="0"/>
      </w:pPr>
      <w:bookmarkStart w:id="84" w:name="bookmark84"/>
      <w:r>
        <w:rPr>
          <w:lang w:val="ru-RU" w:eastAsia="ru-RU" w:bidi="ru-RU"/>
          <w:w w:val="100"/>
          <w:spacing w:val="0"/>
          <w:color w:val="000000"/>
          <w:position w:val="0"/>
        </w:rPr>
        <w:t>Артериальная легочная гиповолемия:</w:t>
      </w:r>
      <w:bookmarkEnd w:id="84"/>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Уменьшение ствола легочной артерии (западение);</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Сужение ветвей легочной артерии;</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Уменьшение размера корней легочной артерии;</w:t>
      </w:r>
    </w:p>
    <w:p>
      <w:pPr>
        <w:pStyle w:val="Style30"/>
        <w:numPr>
          <w:ilvl w:val="0"/>
          <w:numId w:val="25"/>
        </w:numPr>
        <w:tabs>
          <w:tab w:leader="none" w:pos="236" w:val="left"/>
        </w:tabs>
        <w:widowControl w:val="0"/>
        <w:keepNext w:val="0"/>
        <w:keepLines w:val="0"/>
        <w:shd w:val="clear" w:color="auto" w:fill="auto"/>
        <w:bidi w:val="0"/>
        <w:spacing w:before="0" w:after="120"/>
        <w:ind w:left="280" w:right="0" w:hanging="280"/>
      </w:pPr>
      <w:r>
        <w:rPr>
          <w:lang w:val="ru-RU" w:eastAsia="ru-RU" w:bidi="ru-RU"/>
          <w:w w:val="100"/>
          <w:spacing w:val="0"/>
          <w:color w:val="000000"/>
          <w:position w:val="0"/>
        </w:rPr>
        <w:t>Обеднение легочного сосудистого рисунка.</w:t>
      </w:r>
    </w:p>
    <w:p>
      <w:pPr>
        <w:pStyle w:val="Style92"/>
        <w:widowControl w:val="0"/>
        <w:keepNext/>
        <w:keepLines/>
        <w:shd w:val="clear" w:color="auto" w:fill="auto"/>
        <w:bidi w:val="0"/>
        <w:spacing w:before="0" w:after="0"/>
        <w:ind w:left="280" w:right="0"/>
      </w:pPr>
      <w:bookmarkStart w:id="85" w:name="bookmark85"/>
      <w:r>
        <w:rPr>
          <w:lang w:val="ru-RU" w:eastAsia="ru-RU" w:bidi="ru-RU"/>
          <w:w w:val="100"/>
          <w:spacing w:val="0"/>
          <w:color w:val="000000"/>
          <w:position w:val="0"/>
        </w:rPr>
        <w:t>Артериальная легочная гиперволемия:</w:t>
      </w:r>
      <w:bookmarkEnd w:id="85"/>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Удлинение и выбухание второй дуги;</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Уменьшение дуги аорты;</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Расширение корневых ветвей легочной артерии;</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Округлые тени расширенных артериальных ветвей в прикорневых отделах;</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Артериальные ветви внезапно «обрываются» на уров</w:t>
        <w:softHyphen/>
        <w:t>не сегментарных сосудов;</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 периферии легочных полей сосудистые разветвле</w:t>
        <w:softHyphen/>
        <w:t>ния не прослеживаются;</w:t>
      </w:r>
    </w:p>
    <w:p>
      <w:pPr>
        <w:pStyle w:val="Style30"/>
        <w:numPr>
          <w:ilvl w:val="0"/>
          <w:numId w:val="25"/>
        </w:numPr>
        <w:tabs>
          <w:tab w:leader="none" w:pos="236" w:val="left"/>
        </w:tabs>
        <w:widowControl w:val="0"/>
        <w:keepNext w:val="0"/>
        <w:keepLines w:val="0"/>
        <w:shd w:val="clear" w:color="auto" w:fill="auto"/>
        <w:bidi w:val="0"/>
        <w:spacing w:before="0" w:after="120"/>
        <w:ind w:left="280" w:right="0" w:hanging="280"/>
      </w:pPr>
      <w:r>
        <w:rPr>
          <w:lang w:val="ru-RU" w:eastAsia="ru-RU" w:bidi="ru-RU"/>
          <w:w w:val="100"/>
          <w:spacing w:val="0"/>
          <w:color w:val="000000"/>
          <w:position w:val="0"/>
        </w:rPr>
        <w:t>Легочные вены сужены.</w:t>
      </w:r>
    </w:p>
    <w:p>
      <w:pPr>
        <w:pStyle w:val="Style92"/>
        <w:widowControl w:val="0"/>
        <w:keepNext/>
        <w:keepLines/>
        <w:shd w:val="clear" w:color="auto" w:fill="auto"/>
        <w:bidi w:val="0"/>
        <w:spacing w:before="0" w:after="0"/>
        <w:ind w:left="280" w:right="0"/>
      </w:pPr>
      <w:bookmarkStart w:id="86" w:name="bookmark86"/>
      <w:r>
        <w:rPr>
          <w:lang w:val="ru-RU" w:eastAsia="ru-RU" w:bidi="ru-RU"/>
          <w:w w:val="100"/>
          <w:spacing w:val="0"/>
          <w:color w:val="000000"/>
          <w:position w:val="0"/>
        </w:rPr>
        <w:t>Венозная гиперволемия (центральный тип):</w:t>
      </w:r>
      <w:bookmarkEnd w:id="86"/>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Расширение верхних и нижних крупных венозных стволов в области головки корня (феномен «оленьих рогов»);</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Снижение прозрачности легочных полей;</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Мелкие артериальные ветви сужены, плохо опреде</w:t>
        <w:softHyphen/>
        <w:t>ляются;</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Линии Керли — горизонтальные параллельные поло - ски (0,5-3 см) вблизи наружных синусов и вдоль меж</w:t>
        <w:softHyphen/>
        <w:t>долевой плевры;</w:t>
      </w:r>
    </w:p>
    <w:p>
      <w:pPr>
        <w:pStyle w:val="Style30"/>
        <w:numPr>
          <w:ilvl w:val="0"/>
          <w:numId w:val="25"/>
        </w:numPr>
        <w:tabs>
          <w:tab w:leader="none" w:pos="236" w:val="left"/>
        </w:tabs>
        <w:widowControl w:val="0"/>
        <w:keepNext w:val="0"/>
        <w:keepLines w:val="0"/>
        <w:shd w:val="clear" w:color="auto" w:fill="auto"/>
        <w:bidi w:val="0"/>
        <w:spacing w:before="0" w:after="120"/>
        <w:ind w:left="280" w:right="0" w:hanging="280"/>
      </w:pPr>
      <w:r>
        <w:rPr>
          <w:lang w:val="ru-RU" w:eastAsia="ru-RU" w:bidi="ru-RU"/>
          <w:w w:val="100"/>
          <w:spacing w:val="0"/>
          <w:color w:val="000000"/>
          <w:position w:val="0"/>
        </w:rPr>
        <w:t>Утолщение костальной плевры («плевральные нити»).</w:t>
      </w:r>
    </w:p>
    <w:p>
      <w:pPr>
        <w:pStyle w:val="Style92"/>
        <w:widowControl w:val="0"/>
        <w:keepNext/>
        <w:keepLines/>
        <w:shd w:val="clear" w:color="auto" w:fill="auto"/>
        <w:bidi w:val="0"/>
        <w:spacing w:before="0" w:after="0"/>
        <w:ind w:left="280" w:right="0"/>
      </w:pPr>
      <w:bookmarkStart w:id="87" w:name="bookmark87"/>
      <w:r>
        <w:rPr>
          <w:lang w:val="ru-RU" w:eastAsia="ru-RU" w:bidi="ru-RU"/>
          <w:w w:val="100"/>
          <w:spacing w:val="0"/>
          <w:color w:val="000000"/>
          <w:position w:val="0"/>
        </w:rPr>
        <w:t>Венозная гиперволемия (периферический тип):</w:t>
      </w:r>
      <w:bookmarkEnd w:id="87"/>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Расширение легочных сосудов в периферических по - лях;</w:t>
      </w:r>
    </w:p>
    <w:p>
      <w:pPr>
        <w:pStyle w:val="Style30"/>
        <w:numPr>
          <w:ilvl w:val="0"/>
          <w:numId w:val="25"/>
        </w:numPr>
        <w:tabs>
          <w:tab w:leader="none" w:pos="236" w:val="left"/>
        </w:tabs>
        <w:widowControl w:val="0"/>
        <w:keepNext w:val="0"/>
        <w:keepLines w:val="0"/>
        <w:shd w:val="clear" w:color="auto" w:fill="auto"/>
        <w:bidi w:val="0"/>
        <w:spacing w:before="0" w:after="120"/>
        <w:ind w:left="280" w:right="0" w:hanging="280"/>
      </w:pPr>
      <w:r>
        <w:rPr>
          <w:lang w:val="ru-RU" w:eastAsia="ru-RU" w:bidi="ru-RU"/>
          <w:w w:val="100"/>
          <w:spacing w:val="0"/>
          <w:color w:val="000000"/>
          <w:position w:val="0"/>
        </w:rPr>
        <w:t>Значительное обогащение легочного рисунка.</w:t>
      </w:r>
    </w:p>
    <w:p>
      <w:pPr>
        <w:pStyle w:val="Style92"/>
        <w:widowControl w:val="0"/>
        <w:keepNext/>
        <w:keepLines/>
        <w:shd w:val="clear" w:color="auto" w:fill="auto"/>
        <w:bidi w:val="0"/>
        <w:spacing w:before="0" w:after="0"/>
        <w:ind w:left="280" w:right="0"/>
      </w:pPr>
      <w:bookmarkStart w:id="88" w:name="bookmark88"/>
      <w:r>
        <w:rPr>
          <w:lang w:val="ru-RU" w:eastAsia="ru-RU" w:bidi="ru-RU"/>
          <w:w w:val="100"/>
          <w:spacing w:val="0"/>
          <w:color w:val="000000"/>
          <w:position w:val="0"/>
        </w:rPr>
        <w:t>Венозная гиперволемия (смешанный тип):</w:t>
      </w:r>
      <w:bookmarkEnd w:id="88"/>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Одновременное расширение крупных артериальных и венозных стволов;</w:t>
      </w:r>
    </w:p>
    <w:p>
      <w:pPr>
        <w:pStyle w:val="Style30"/>
        <w:numPr>
          <w:ilvl w:val="0"/>
          <w:numId w:val="25"/>
        </w:numPr>
        <w:tabs>
          <w:tab w:leader="none" w:pos="236" w:val="left"/>
        </w:tabs>
        <w:widowControl w:val="0"/>
        <w:keepNext w:val="0"/>
        <w:keepLines w:val="0"/>
        <w:shd w:val="clear" w:color="auto" w:fill="auto"/>
        <w:bidi w:val="0"/>
        <w:spacing w:before="0" w:after="120"/>
        <w:ind w:left="280" w:right="0" w:hanging="280"/>
      </w:pPr>
      <w:r>
        <w:rPr>
          <w:lang w:val="ru-RU" w:eastAsia="ru-RU" w:bidi="ru-RU"/>
          <w:w w:val="100"/>
          <w:spacing w:val="0"/>
          <w:color w:val="000000"/>
          <w:position w:val="0"/>
        </w:rPr>
        <w:t>Расширение всех легочных сосудов вплоть до пери</w:t>
        <w:softHyphen/>
        <w:t>ферии легких.</w:t>
      </w:r>
    </w:p>
    <w:p>
      <w:pPr>
        <w:pStyle w:val="Style92"/>
        <w:widowControl w:val="0"/>
        <w:keepNext/>
        <w:keepLines/>
        <w:shd w:val="clear" w:color="auto" w:fill="auto"/>
        <w:bidi w:val="0"/>
        <w:spacing w:before="0" w:after="0"/>
        <w:ind w:left="280" w:right="0"/>
      </w:pPr>
      <w:bookmarkStart w:id="89" w:name="bookmark89"/>
      <w:r>
        <w:rPr>
          <w:lang w:val="ru-RU" w:eastAsia="ru-RU" w:bidi="ru-RU"/>
          <w:w w:val="100"/>
          <w:spacing w:val="0"/>
          <w:color w:val="000000"/>
          <w:position w:val="0"/>
        </w:rPr>
        <w:t>Острый альвеолярный отек легких:</w:t>
      </w:r>
      <w:bookmarkEnd w:id="89"/>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Митральная или треугольная форма сердца;</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Выбухание и удлинение ствола легочной артерии;</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Снижение прозрачности легочной ткани;</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прикорневой области крупноочаговые фокусы с не</w:t>
        <w:softHyphen/>
        <w:t>четкими контурами, сливающиеся между собой;</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Корни уплотнены, расширены, структура их снижена;</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Расширение главных ветвей легочной артерии;</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Горизонтальные линии Керли;</w:t>
      </w:r>
    </w:p>
    <w:p>
      <w:pPr>
        <w:pStyle w:val="Style30"/>
        <w:numPr>
          <w:ilvl w:val="0"/>
          <w:numId w:val="25"/>
        </w:numPr>
        <w:tabs>
          <w:tab w:leader="none" w:pos="236" w:val="left"/>
        </w:tabs>
        <w:widowControl w:val="0"/>
        <w:keepNext w:val="0"/>
        <w:keepLines w:val="0"/>
        <w:shd w:val="clear" w:color="auto" w:fill="auto"/>
        <w:bidi w:val="0"/>
        <w:spacing w:before="0" w:after="120"/>
        <w:ind w:left="280" w:right="0" w:hanging="280"/>
      </w:pPr>
      <w:r>
        <w:rPr>
          <w:lang w:val="ru-RU" w:eastAsia="ru-RU" w:bidi="ru-RU"/>
          <w:w w:val="100"/>
          <w:spacing w:val="0"/>
          <w:color w:val="000000"/>
          <w:position w:val="0"/>
        </w:rPr>
        <w:t>Утолщение реберной и междолевой плевры.</w:t>
      </w:r>
    </w:p>
    <w:p>
      <w:pPr>
        <w:pStyle w:val="Style92"/>
        <w:widowControl w:val="0"/>
        <w:keepNext/>
        <w:keepLines/>
        <w:shd w:val="clear" w:color="auto" w:fill="auto"/>
        <w:bidi w:val="0"/>
        <w:spacing w:before="0" w:after="0"/>
        <w:ind w:left="280" w:right="0"/>
      </w:pPr>
      <w:bookmarkStart w:id="90" w:name="bookmark90"/>
      <w:r>
        <w:rPr>
          <w:lang w:val="ru-RU" w:eastAsia="ru-RU" w:bidi="ru-RU"/>
          <w:w w:val="100"/>
          <w:spacing w:val="0"/>
          <w:color w:val="000000"/>
          <w:position w:val="0"/>
        </w:rPr>
        <w:t>Хронический альвеолярный отек легких:</w:t>
      </w:r>
      <w:bookmarkEnd w:id="90"/>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Диффузное снижение прозрачности легочных полей;</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Усиление легочного рисунка;</w:t>
      </w:r>
    </w:p>
    <w:p>
      <w:pPr>
        <w:pStyle w:val="Style30"/>
        <w:numPr>
          <w:ilvl w:val="0"/>
          <w:numId w:val="2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Развитие мелкопетлистой структуры;</w:t>
      </w:r>
    </w:p>
    <w:p>
      <w:pPr>
        <w:pStyle w:val="Style30"/>
        <w:numPr>
          <w:ilvl w:val="0"/>
          <w:numId w:val="25"/>
        </w:numPr>
        <w:tabs>
          <w:tab w:leader="none" w:pos="518" w:val="left"/>
        </w:tabs>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Перегородочные линии Керли.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Дилатация левого предсердия:</w:t>
      </w:r>
    </w:p>
    <w:p>
      <w:pPr>
        <w:pStyle w:val="Style30"/>
        <w:numPr>
          <w:ilvl w:val="0"/>
          <w:numId w:val="2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Выбухание третьей дуги и ее удлинение;</w:t>
      </w:r>
    </w:p>
    <w:p>
      <w:pPr>
        <w:pStyle w:val="Style30"/>
        <w:numPr>
          <w:ilvl w:val="0"/>
          <w:numId w:val="25"/>
        </w:numPr>
        <w:tabs>
          <w:tab w:leader="none" w:pos="518" w:val="left"/>
        </w:tabs>
        <w:widowControl w:val="0"/>
        <w:keepNext w:val="0"/>
        <w:keepLines w:val="0"/>
        <w:shd w:val="clear" w:color="auto" w:fill="auto"/>
        <w:bidi w:val="0"/>
        <w:jc w:val="left"/>
        <w:spacing w:before="0" w:after="60"/>
        <w:ind w:left="520" w:right="0" w:hanging="240"/>
      </w:pPr>
      <w:r>
        <w:rPr>
          <w:lang w:val="ru-RU" w:eastAsia="ru-RU" w:bidi="ru-RU"/>
          <w:w w:val="100"/>
          <w:spacing w:val="0"/>
          <w:color w:val="000000"/>
          <w:position w:val="0"/>
        </w:rPr>
        <w:t>Отклонение контрастированного пищевода кзади на уровне левого предсердия.</w:t>
      </w:r>
    </w:p>
    <w:p>
      <w:pPr>
        <w:pStyle w:val="Style92"/>
        <w:widowControl w:val="0"/>
        <w:keepNext/>
        <w:keepLines/>
        <w:shd w:val="clear" w:color="auto" w:fill="auto"/>
        <w:bidi w:val="0"/>
        <w:spacing w:before="0" w:after="0"/>
        <w:ind w:left="0" w:right="0" w:firstLine="280"/>
      </w:pPr>
      <w:bookmarkStart w:id="91" w:name="bookmark91"/>
      <w:r>
        <w:rPr>
          <w:lang w:val="ru-RU" w:eastAsia="ru-RU" w:bidi="ru-RU"/>
          <w:w w:val="100"/>
          <w:spacing w:val="0"/>
          <w:color w:val="000000"/>
          <w:position w:val="0"/>
        </w:rPr>
        <w:t>Дилатация левого желудочка:</w:t>
      </w:r>
      <w:bookmarkEnd w:id="91"/>
    </w:p>
    <w:p>
      <w:pPr>
        <w:pStyle w:val="Style30"/>
        <w:numPr>
          <w:ilvl w:val="0"/>
          <w:numId w:val="2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Выбухание четвертой дуги слева;</w:t>
      </w:r>
    </w:p>
    <w:p>
      <w:pPr>
        <w:pStyle w:val="Style30"/>
        <w:numPr>
          <w:ilvl w:val="0"/>
          <w:numId w:val="25"/>
        </w:numPr>
        <w:tabs>
          <w:tab w:leader="none" w:pos="518" w:val="left"/>
        </w:tabs>
        <w:widowControl w:val="0"/>
        <w:keepNext w:val="0"/>
        <w:keepLines w:val="0"/>
        <w:shd w:val="clear" w:color="auto" w:fill="auto"/>
        <w:bidi w:val="0"/>
        <w:spacing w:before="0" w:after="89"/>
        <w:ind w:left="0" w:right="0" w:firstLine="280"/>
      </w:pPr>
      <w:r>
        <w:rPr>
          <w:lang w:val="ru-RU" w:eastAsia="ru-RU" w:bidi="ru-RU"/>
          <w:w w:val="100"/>
          <w:spacing w:val="0"/>
          <w:color w:val="000000"/>
          <w:position w:val="0"/>
        </w:rPr>
        <w:t>Тупой левый сердечно -диафрагмальный угол.</w:t>
      </w:r>
    </w:p>
    <w:p>
      <w:pPr>
        <w:pStyle w:val="Style92"/>
        <w:widowControl w:val="0"/>
        <w:keepNext/>
        <w:keepLines/>
        <w:shd w:val="clear" w:color="auto" w:fill="auto"/>
        <w:bidi w:val="0"/>
        <w:spacing w:before="0" w:after="14" w:line="180" w:lineRule="exact"/>
        <w:ind w:left="0" w:right="0" w:firstLine="280"/>
      </w:pPr>
      <w:bookmarkStart w:id="92" w:name="bookmark92"/>
      <w:r>
        <w:rPr>
          <w:lang w:val="ru-RU" w:eastAsia="ru-RU" w:bidi="ru-RU"/>
          <w:w w:val="100"/>
          <w:spacing w:val="0"/>
          <w:color w:val="000000"/>
          <w:position w:val="0"/>
        </w:rPr>
        <w:t>Дилатация дуги аорты:</w:t>
      </w:r>
      <w:bookmarkEnd w:id="92"/>
    </w:p>
    <w:p>
      <w:pPr>
        <w:pStyle w:val="Style30"/>
        <w:numPr>
          <w:ilvl w:val="0"/>
          <w:numId w:val="25"/>
        </w:numPr>
        <w:tabs>
          <w:tab w:leader="none" w:pos="518" w:val="left"/>
        </w:tabs>
        <w:widowControl w:val="0"/>
        <w:keepNext w:val="0"/>
        <w:keepLines w:val="0"/>
        <w:shd w:val="clear" w:color="auto" w:fill="auto"/>
        <w:bidi w:val="0"/>
        <w:spacing w:before="0" w:after="130" w:line="180" w:lineRule="exact"/>
        <w:ind w:left="0" w:right="0" w:firstLine="280"/>
      </w:pPr>
      <w:r>
        <w:rPr>
          <w:lang w:val="ru-RU" w:eastAsia="ru-RU" w:bidi="ru-RU"/>
          <w:w w:val="100"/>
          <w:spacing w:val="0"/>
          <w:color w:val="000000"/>
          <w:position w:val="0"/>
        </w:rPr>
        <w:t>Расширение первой дуги правого контура.</w:t>
      </w:r>
    </w:p>
    <w:p>
      <w:pPr>
        <w:pStyle w:val="Style92"/>
        <w:widowControl w:val="0"/>
        <w:keepNext/>
        <w:keepLines/>
        <w:shd w:val="clear" w:color="auto" w:fill="auto"/>
        <w:bidi w:val="0"/>
        <w:spacing w:before="0" w:after="14" w:line="180" w:lineRule="exact"/>
        <w:ind w:left="0" w:right="0" w:firstLine="280"/>
      </w:pPr>
      <w:bookmarkStart w:id="93" w:name="bookmark93"/>
      <w:r>
        <w:rPr>
          <w:lang w:val="ru-RU" w:eastAsia="ru-RU" w:bidi="ru-RU"/>
          <w:w w:val="100"/>
          <w:spacing w:val="0"/>
          <w:color w:val="000000"/>
          <w:position w:val="0"/>
        </w:rPr>
        <w:t>Дилатация правого предсердия:</w:t>
      </w:r>
      <w:bookmarkEnd w:id="93"/>
    </w:p>
    <w:p>
      <w:pPr>
        <w:pStyle w:val="Style30"/>
        <w:numPr>
          <w:ilvl w:val="0"/>
          <w:numId w:val="25"/>
        </w:numPr>
        <w:tabs>
          <w:tab w:leader="none" w:pos="518" w:val="left"/>
        </w:tabs>
        <w:widowControl w:val="0"/>
        <w:keepNext w:val="0"/>
        <w:keepLines w:val="0"/>
        <w:shd w:val="clear" w:color="auto" w:fill="auto"/>
        <w:bidi w:val="0"/>
        <w:spacing w:before="0" w:after="101" w:line="180" w:lineRule="exact"/>
        <w:ind w:left="0" w:right="0" w:firstLine="280"/>
      </w:pPr>
      <w:r>
        <w:rPr>
          <w:lang w:val="ru-RU" w:eastAsia="ru-RU" w:bidi="ru-RU"/>
          <w:w w:val="100"/>
          <w:spacing w:val="0"/>
          <w:color w:val="000000"/>
          <w:position w:val="0"/>
        </w:rPr>
        <w:t>Выбухание края правого предсердия в легочное поле.</w:t>
      </w:r>
    </w:p>
    <w:p>
      <w:pPr>
        <w:pStyle w:val="Style92"/>
        <w:widowControl w:val="0"/>
        <w:keepNext/>
        <w:keepLines/>
        <w:shd w:val="clear" w:color="auto" w:fill="auto"/>
        <w:bidi w:val="0"/>
        <w:spacing w:before="0" w:after="0"/>
        <w:ind w:left="0" w:right="0" w:firstLine="280"/>
      </w:pPr>
      <w:bookmarkStart w:id="94" w:name="bookmark94"/>
      <w:r>
        <w:rPr>
          <w:lang w:val="ru-RU" w:eastAsia="ru-RU" w:bidi="ru-RU"/>
          <w:w w:val="100"/>
          <w:spacing w:val="0"/>
          <w:color w:val="000000"/>
          <w:position w:val="0"/>
        </w:rPr>
        <w:t>Дилатация правого желудочка:</w:t>
      </w:r>
      <w:bookmarkEnd w:id="94"/>
    </w:p>
    <w:p>
      <w:pPr>
        <w:pStyle w:val="Style30"/>
        <w:numPr>
          <w:ilvl w:val="0"/>
          <w:numId w:val="2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Удлинение и выбухание второй дуги левого контура;</w:t>
      </w:r>
    </w:p>
    <w:p>
      <w:pPr>
        <w:pStyle w:val="Style30"/>
        <w:numPr>
          <w:ilvl w:val="0"/>
          <w:numId w:val="25"/>
        </w:numPr>
        <w:tabs>
          <w:tab w:leader="none" w:pos="518" w:val="left"/>
        </w:tabs>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Приподнятый правый атриовазальный угол.</w:t>
      </w:r>
    </w:p>
    <w:p>
      <w:pPr>
        <w:pStyle w:val="Style92"/>
        <w:widowControl w:val="0"/>
        <w:keepNext/>
        <w:keepLines/>
        <w:shd w:val="clear" w:color="auto" w:fill="auto"/>
        <w:bidi w:val="0"/>
        <w:spacing w:before="0" w:after="0"/>
        <w:ind w:left="0" w:right="0" w:firstLine="280"/>
      </w:pPr>
      <w:bookmarkStart w:id="95" w:name="bookmark95"/>
      <w:r>
        <w:rPr>
          <w:lang w:val="ru-RU" w:eastAsia="ru-RU" w:bidi="ru-RU"/>
          <w:w w:val="100"/>
          <w:spacing w:val="0"/>
          <w:color w:val="000000"/>
          <w:position w:val="0"/>
        </w:rPr>
        <w:t>Вестермарка симптом</w:t>
      </w:r>
      <w:bookmarkEnd w:id="95"/>
    </w:p>
    <w:p>
      <w:pPr>
        <w:pStyle w:val="Style30"/>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Выявляемое рентгенологически повышение прозрачно</w:t>
        <w:softHyphen/>
        <w:t>сти легочной ткани в зоне разветвления затромбированной артериальной ветви, выбухание конуса и дуги легочной ар</w:t>
        <w:softHyphen/>
        <w:t>терии, увеличение размеров правого желудочка. Наблюда</w:t>
        <w:softHyphen/>
        <w:t>ется при тромбоэмболии легочной артерии.</w:t>
      </w:r>
    </w:p>
    <w:p>
      <w:pPr>
        <w:pStyle w:val="Style92"/>
        <w:widowControl w:val="0"/>
        <w:keepNext/>
        <w:keepLines/>
        <w:shd w:val="clear" w:color="auto" w:fill="auto"/>
        <w:bidi w:val="0"/>
        <w:spacing w:before="0" w:after="0"/>
        <w:ind w:left="0" w:right="0" w:firstLine="280"/>
      </w:pPr>
      <w:bookmarkStart w:id="96" w:name="bookmark96"/>
      <w:r>
        <w:rPr>
          <w:lang w:val="ru-RU" w:eastAsia="ru-RU" w:bidi="ru-RU"/>
          <w:w w:val="100"/>
          <w:spacing w:val="0"/>
          <w:color w:val="000000"/>
          <w:position w:val="0"/>
        </w:rPr>
        <w:t xml:space="preserve">Висячее сердце </w:t>
      </w:r>
      <w:r>
        <w:rPr>
          <w:lang w:val="en-US" w:eastAsia="en-US" w:bidi="en-US"/>
          <w:w w:val="100"/>
          <w:spacing w:val="0"/>
          <w:color w:val="000000"/>
          <w:position w:val="0"/>
        </w:rPr>
        <w:t>(cor pendulum)</w:t>
      </w:r>
      <w:bookmarkEnd w:id="96"/>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Проявление конституциональной особенности или ги</w:t>
        <w:softHyphen/>
        <w:t>поплазии сердца; малые размеры сердца; при глубоком вдо - хе нижний контур сердца отделяется от тени диафрагмы.</w:t>
      </w:r>
    </w:p>
    <w:p>
      <w:pPr>
        <w:pStyle w:val="Style92"/>
        <w:widowControl w:val="0"/>
        <w:keepNext/>
        <w:keepLines/>
        <w:shd w:val="clear" w:color="auto" w:fill="auto"/>
        <w:bidi w:val="0"/>
        <w:spacing w:before="0" w:after="0"/>
        <w:ind w:left="0" w:right="0" w:firstLine="280"/>
      </w:pPr>
      <w:bookmarkStart w:id="97" w:name="bookmark97"/>
      <w:r>
        <w:rPr>
          <w:lang w:val="ru-RU" w:eastAsia="ru-RU" w:bidi="ru-RU"/>
          <w:w w:val="100"/>
          <w:spacing w:val="0"/>
          <w:color w:val="000000"/>
          <w:position w:val="0"/>
        </w:rPr>
        <w:t xml:space="preserve">Денеке симптом </w:t>
      </w:r>
      <w:r>
        <w:rPr>
          <w:lang w:val="en-US" w:eastAsia="en-US" w:bidi="en-US"/>
          <w:w w:val="100"/>
          <w:spacing w:val="0"/>
          <w:color w:val="000000"/>
          <w:position w:val="0"/>
        </w:rPr>
        <w:t>(Deneke symptome)</w:t>
      </w:r>
      <w:bookmarkEnd w:id="97"/>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гипертрофии правого желудочка; синхронная пульсация обеих нижних дуг сердца.</w:t>
      </w:r>
    </w:p>
    <w:p>
      <w:pPr>
        <w:pStyle w:val="Style92"/>
        <w:widowControl w:val="0"/>
        <w:keepNext/>
        <w:keepLines/>
        <w:shd w:val="clear" w:color="auto" w:fill="auto"/>
        <w:bidi w:val="0"/>
        <w:spacing w:before="0" w:after="0"/>
        <w:ind w:left="0" w:right="0" w:firstLine="280"/>
      </w:pPr>
      <w:bookmarkStart w:id="98" w:name="bookmark98"/>
      <w:r>
        <w:rPr>
          <w:lang w:val="ru-RU" w:eastAsia="ru-RU" w:bidi="ru-RU"/>
          <w:w w:val="100"/>
          <w:spacing w:val="0"/>
          <w:color w:val="000000"/>
          <w:position w:val="0"/>
        </w:rPr>
        <w:t xml:space="preserve">Детермана признак </w:t>
      </w:r>
      <w:r>
        <w:rPr>
          <w:lang w:val="en-US" w:eastAsia="en-US" w:bidi="en-US"/>
          <w:w w:val="100"/>
          <w:spacing w:val="0"/>
          <w:color w:val="000000"/>
          <w:position w:val="0"/>
        </w:rPr>
        <w:t xml:space="preserve">(Determann symptome) </w:t>
      </w:r>
      <w:r>
        <w:rPr>
          <w:lang w:val="ru-RU" w:eastAsia="ru-RU" w:bidi="ru-RU"/>
          <w:w w:val="100"/>
          <w:spacing w:val="0"/>
          <w:color w:val="000000"/>
          <w:position w:val="0"/>
        </w:rPr>
        <w:t>/син. кардиоптоз/</w:t>
      </w:r>
      <w:bookmarkEnd w:id="98"/>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Усиленная смещаемость сердца, обусловленная консти</w:t>
        <w:softHyphen/>
        <w:t>туциональными особенностями у худощавых лиц астениче</w:t>
        <w:softHyphen/>
        <w:t>ского телосложения.</w:t>
      </w:r>
    </w:p>
    <w:p>
      <w:pPr>
        <w:pStyle w:val="Style92"/>
        <w:widowControl w:val="0"/>
        <w:keepNext/>
        <w:keepLines/>
        <w:shd w:val="clear" w:color="auto" w:fill="auto"/>
        <w:bidi w:val="0"/>
        <w:spacing w:before="0" w:after="0"/>
        <w:ind w:left="0" w:right="0" w:firstLine="280"/>
      </w:pPr>
      <w:bookmarkStart w:id="99" w:name="bookmark99"/>
      <w:r>
        <w:rPr>
          <w:lang w:val="ru-RU" w:eastAsia="ru-RU" w:bidi="ru-RU"/>
          <w:w w:val="100"/>
          <w:spacing w:val="0"/>
          <w:color w:val="000000"/>
          <w:position w:val="0"/>
        </w:rPr>
        <w:t>«Коромысла» симптом</w:t>
      </w:r>
      <w:bookmarkEnd w:id="99"/>
    </w:p>
    <w:p>
      <w:pPr>
        <w:pStyle w:val="Style30"/>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Рентгеноскопический признак недостаточности мит</w:t>
        <w:softHyphen/>
        <w:t>рального клапана: взаимно противоположное смещение контуров левого предсердия и желудочка. Из-за регургита- ции крови в левое предсердие его контур перемещается кна</w:t>
        <w:softHyphen/>
        <w:t>ружи (систолическая экспансия левого предсердия), контур левого желудочка во время систолы смещается кнутри, воз</w:t>
        <w:softHyphen/>
        <w:t>никает взаимно противоположное смещение контуров.</w:t>
      </w:r>
    </w:p>
    <w:p>
      <w:pPr>
        <w:pStyle w:val="Style92"/>
        <w:widowControl w:val="0"/>
        <w:keepNext/>
        <w:keepLines/>
        <w:shd w:val="clear" w:color="auto" w:fill="auto"/>
        <w:bidi w:val="0"/>
        <w:spacing w:before="0" w:after="0"/>
        <w:ind w:left="0" w:right="0" w:firstLine="280"/>
      </w:pPr>
      <w:bookmarkStart w:id="100" w:name="bookmark100"/>
      <w:r>
        <w:rPr>
          <w:lang w:val="ru-RU" w:eastAsia="ru-RU" w:bidi="ru-RU"/>
          <w:w w:val="100"/>
          <w:spacing w:val="0"/>
          <w:color w:val="000000"/>
          <w:position w:val="0"/>
        </w:rPr>
        <w:t>Мироненко симптом</w:t>
      </w:r>
      <w:bookmarkEnd w:id="100"/>
    </w:p>
    <w:p>
      <w:pPr>
        <w:pStyle w:val="Style30"/>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Рентгенологический признак аневризмы передней стенки левого желудочка: наличие углубления между верхней грани</w:t>
        <w:softHyphen/>
        <w:t>цей аневризмы и непораженной частью левого желудочка.</w:t>
      </w:r>
    </w:p>
    <w:p>
      <w:pPr>
        <w:pStyle w:val="Style92"/>
        <w:widowControl w:val="0"/>
        <w:keepNext/>
        <w:keepLines/>
        <w:shd w:val="clear" w:color="auto" w:fill="auto"/>
        <w:bidi w:val="0"/>
        <w:spacing w:before="0" w:after="0"/>
        <w:ind w:left="0" w:right="0" w:firstLine="280"/>
      </w:pPr>
      <w:bookmarkStart w:id="101" w:name="bookmark101"/>
      <w:r>
        <w:rPr>
          <w:lang w:val="ru-RU" w:eastAsia="ru-RU" w:bidi="ru-RU"/>
          <w:w w:val="100"/>
          <w:spacing w:val="0"/>
          <w:color w:val="000000"/>
          <w:position w:val="0"/>
        </w:rPr>
        <w:t xml:space="preserve">Оливер-Кардарелли синдром </w:t>
      </w:r>
      <w:r>
        <w:rPr>
          <w:lang w:val="en-US" w:eastAsia="en-US" w:bidi="en-US"/>
          <w:w w:val="100"/>
          <w:spacing w:val="0"/>
          <w:color w:val="000000"/>
          <w:position w:val="0"/>
        </w:rPr>
        <w:t>(Oliver Cardarelli syndrome)</w:t>
      </w:r>
      <w:bookmarkEnd w:id="101"/>
    </w:p>
    <w:p>
      <w:pPr>
        <w:pStyle w:val="Style30"/>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 xml:space="preserve">Капельное сердце (висячее сердце) </w:t>
      </w:r>
      <w:r>
        <w:rPr>
          <w:lang w:val="en-US" w:eastAsia="en-US" w:bidi="en-US"/>
          <w:w w:val="100"/>
          <w:spacing w:val="0"/>
          <w:color w:val="000000"/>
          <w:position w:val="0"/>
        </w:rPr>
        <w:t xml:space="preserve">— </w:t>
      </w:r>
      <w:r>
        <w:rPr>
          <w:lang w:val="ru-RU" w:eastAsia="ru-RU" w:bidi="ru-RU"/>
          <w:w w:val="100"/>
          <w:spacing w:val="0"/>
          <w:color w:val="000000"/>
          <w:position w:val="0"/>
        </w:rPr>
        <w:t>конституциональ</w:t>
        <w:softHyphen/>
        <w:t>ная особенность организма; при рентгеноскопии выявляет</w:t>
        <w:softHyphen/>
        <w:t>ся синхронное с пульсом смещение трахеи.</w:t>
      </w:r>
    </w:p>
    <w:p>
      <w:pPr>
        <w:pStyle w:val="Style92"/>
        <w:widowControl w:val="0"/>
        <w:keepNext/>
        <w:keepLines/>
        <w:shd w:val="clear" w:color="auto" w:fill="auto"/>
        <w:bidi w:val="0"/>
        <w:spacing w:before="0" w:after="0"/>
        <w:ind w:left="0" w:right="0" w:firstLine="280"/>
      </w:pPr>
      <w:bookmarkStart w:id="102" w:name="bookmark102"/>
      <w:r>
        <w:rPr>
          <w:lang w:val="ru-RU" w:eastAsia="ru-RU" w:bidi="ru-RU"/>
          <w:w w:val="100"/>
          <w:spacing w:val="0"/>
          <w:color w:val="000000"/>
          <w:position w:val="0"/>
        </w:rPr>
        <w:t xml:space="preserve">Пляска гилюсов (симптом </w:t>
      </w:r>
      <w:r>
        <w:rPr>
          <w:lang w:val="en-US" w:eastAsia="en-US" w:bidi="en-US"/>
          <w:w w:val="100"/>
          <w:spacing w:val="0"/>
          <w:color w:val="000000"/>
          <w:position w:val="0"/>
        </w:rPr>
        <w:t>Danielius)</w:t>
      </w:r>
      <w:bookmarkEnd w:id="102"/>
    </w:p>
    <w:p>
      <w:pPr>
        <w:pStyle w:val="Style30"/>
        <w:widowControl w:val="0"/>
        <w:keepNext w:val="0"/>
        <w:keepLines w:val="0"/>
        <w:shd w:val="clear" w:color="auto" w:fill="auto"/>
        <w:bidi w:val="0"/>
        <w:spacing w:before="0" w:after="0"/>
        <w:ind w:left="0" w:right="0" w:firstLine="280"/>
      </w:pPr>
      <w:r>
        <w:pict>
          <v:shape id="_x0000_s1093" type="#_x0000_t75" style="position:absolute;margin-left:130.9pt;margin-top:740.2pt;width:209.75pt;height:14.9pt;z-index:-125829351;mso-wrap-distance-left:124.8pt;mso-wrap-distance-right:147.85pt;mso-wrap-distance-bottom:20.pt;mso-position-horizontal-relative:margin;mso-position-vertical-relative:margin" wrapcoords="0 0 21600 0 21600 21600 0 21600 0 0">
            <v:imagedata r:id="rId106" r:href="rId107"/>
            <w10:wrap type="topAndBottom" anchorx="margin" anchory="margin"/>
          </v:shape>
        </w:pict>
      </w:r>
      <w:r>
        <w:rPr>
          <w:lang w:val="ru-RU" w:eastAsia="ru-RU" w:bidi="ru-RU"/>
          <w:w w:val="100"/>
          <w:spacing w:val="0"/>
          <w:color w:val="000000"/>
          <w:position w:val="0"/>
        </w:rPr>
        <w:t>Пульсирование разветвлений легочной артерии, уста</w:t>
        <w:softHyphen/>
        <w:t>навливаемое при рентгеноскопии при идиопатической ее дилатации, стенозе, легочной гипертензии, пороках сердца с вено-артериальным сбросом.</w:t>
      </w:r>
      <w:r>
        <w:br w:type="page"/>
      </w:r>
    </w:p>
    <w:p>
      <w:pPr>
        <w:pStyle w:val="Style92"/>
        <w:widowControl w:val="0"/>
        <w:keepNext/>
        <w:keepLines/>
        <w:shd w:val="clear" w:color="auto" w:fill="auto"/>
        <w:bidi w:val="0"/>
        <w:spacing w:before="0" w:after="0"/>
        <w:ind w:left="0" w:right="0" w:firstLine="280"/>
      </w:pPr>
      <w:bookmarkStart w:id="103" w:name="bookmark103"/>
      <w:r>
        <w:rPr>
          <w:lang w:val="ru-RU" w:eastAsia="ru-RU" w:bidi="ru-RU"/>
          <w:w w:val="100"/>
          <w:spacing w:val="0"/>
          <w:color w:val="000000"/>
          <w:position w:val="0"/>
        </w:rPr>
        <w:t>Сердечная тень в виде «турецкой сабли»</w:t>
      </w:r>
      <w:bookmarkEnd w:id="103"/>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Овальная тень от правых легочных вен, идущая к ниж</w:t>
        <w:softHyphen/>
        <w:t>ней полой вене вдоль правой границы сердца. Является до</w:t>
        <w:softHyphen/>
        <w:t>стоверным признаком частичного аномального дренажа правых легочных вен в нижнюю полую вену.</w:t>
      </w:r>
    </w:p>
    <w:p>
      <w:pPr>
        <w:pStyle w:val="Style92"/>
        <w:widowControl w:val="0"/>
        <w:keepNext/>
        <w:keepLines/>
        <w:shd w:val="clear" w:color="auto" w:fill="auto"/>
        <w:bidi w:val="0"/>
        <w:spacing w:before="0" w:after="0"/>
        <w:ind w:left="0" w:right="0" w:firstLine="280"/>
      </w:pPr>
      <w:bookmarkStart w:id="104" w:name="bookmark104"/>
      <w:r>
        <w:rPr>
          <w:lang w:val="ru-RU" w:eastAsia="ru-RU" w:bidi="ru-RU"/>
          <w:w w:val="100"/>
          <w:spacing w:val="0"/>
          <w:color w:val="000000"/>
          <w:position w:val="0"/>
        </w:rPr>
        <w:t>Сердечная тень в виде «восьмерки» или «снежной бабы»</w:t>
      </w:r>
      <w:bookmarkEnd w:id="104"/>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Рентгенологически определяются две овальные тени, где нижняя часть — само сердце, а дополнительное образо</w:t>
        <w:softHyphen/>
        <w:t>вание вверху справа представляет собой коллектор, собира</w:t>
        <w:softHyphen/>
        <w:t>ющий кровь из всех легочных вен и открывающийся в ле</w:t>
        <w:softHyphen/>
        <w:t>вую или правую полую или безымянную вены. Является до - стоверным признаком супракардиальной формы тотально</w:t>
        <w:softHyphen/>
        <w:t>го аномального дренажа легочных вен.</w:t>
      </w:r>
    </w:p>
    <w:p>
      <w:pPr>
        <w:pStyle w:val="Style92"/>
        <w:widowControl w:val="0"/>
        <w:keepNext/>
        <w:keepLines/>
        <w:shd w:val="clear" w:color="auto" w:fill="auto"/>
        <w:bidi w:val="0"/>
        <w:spacing w:before="0" w:after="0"/>
        <w:ind w:left="0" w:right="0" w:firstLine="280"/>
      </w:pPr>
      <w:bookmarkStart w:id="105" w:name="bookmark105"/>
      <w:r>
        <w:rPr>
          <w:lang w:val="ru-RU" w:eastAsia="ru-RU" w:bidi="ru-RU"/>
          <w:w w:val="100"/>
          <w:spacing w:val="0"/>
          <w:color w:val="000000"/>
          <w:position w:val="0"/>
        </w:rPr>
        <w:t>«Яйцо, лежащее на боку» симптом</w:t>
      </w:r>
      <w:bookmarkEnd w:id="105"/>
    </w:p>
    <w:p>
      <w:pPr>
        <w:pStyle w:val="Style30"/>
        <w:widowControl w:val="0"/>
        <w:keepNext w:val="0"/>
        <w:keepLines w:val="0"/>
        <w:shd w:val="clear" w:color="auto" w:fill="auto"/>
        <w:bidi w:val="0"/>
        <w:spacing w:before="0" w:after="193"/>
        <w:ind w:left="0" w:right="0" w:firstLine="280"/>
      </w:pPr>
      <w:r>
        <w:rPr>
          <w:lang w:val="ru-RU" w:eastAsia="ru-RU" w:bidi="ru-RU"/>
          <w:w w:val="100"/>
          <w:spacing w:val="0"/>
          <w:color w:val="000000"/>
          <w:position w:val="0"/>
        </w:rPr>
        <w:t>Признак транспозиции магистральных сосудов: сердце увеличено за счет обоих желудочков, принимающее шаро</w:t>
        <w:softHyphen/>
        <w:t>видную конфигурацию с возрастом. Тень сосудистого пуч</w:t>
        <w:softHyphen/>
        <w:t>ка узкая.</w:t>
      </w:r>
    </w:p>
    <w:p>
      <w:pPr>
        <w:pStyle w:val="Style48"/>
        <w:widowControl w:val="0"/>
        <w:keepNext/>
        <w:keepLines/>
        <w:shd w:val="clear" w:color="auto" w:fill="auto"/>
        <w:bidi w:val="0"/>
        <w:jc w:val="left"/>
        <w:spacing w:before="0" w:after="101" w:line="200" w:lineRule="exact"/>
        <w:ind w:left="0" w:right="0" w:firstLine="0"/>
      </w:pPr>
      <w:bookmarkStart w:id="106" w:name="bookmark106"/>
      <w:r>
        <w:rPr>
          <w:lang w:val="ru-RU" w:eastAsia="ru-RU" w:bidi="ru-RU"/>
          <w:w w:val="100"/>
          <w:spacing w:val="0"/>
          <w:color w:val="000000"/>
          <w:position w:val="0"/>
        </w:rPr>
        <w:t>Эхокардиография</w:t>
      </w:r>
      <w:bookmarkEnd w:id="10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Зона стандартного эхокардиографического исследова</w:t>
        <w:softHyphen/>
        <w:t>ния ограничена ультразвуковым окном — областью груд</w:t>
        <w:softHyphen/>
        <w:t>ной клетки, свободной от структур, препятствующих про</w:t>
        <w:softHyphen/>
        <w:t>никновению ультразвукового луча к сердцу. Поскольку уль</w:t>
        <w:softHyphen/>
        <w:t>тразвуковой сигнал не распространяется через легкие, дат</w:t>
        <w:softHyphen/>
        <w:t xml:space="preserve">чик устанавливается во </w:t>
      </w:r>
      <w:r>
        <w:rPr>
          <w:lang w:val="en-US" w:eastAsia="en-US" w:bidi="en-US"/>
          <w:w w:val="100"/>
          <w:spacing w:val="0"/>
          <w:color w:val="000000"/>
          <w:position w:val="0"/>
        </w:rPr>
        <w:t xml:space="preserve">II-IV </w:t>
      </w:r>
      <w:r>
        <w:rPr>
          <w:lang w:val="ru-RU" w:eastAsia="ru-RU" w:bidi="ru-RU"/>
          <w:w w:val="100"/>
          <w:spacing w:val="0"/>
          <w:color w:val="000000"/>
          <w:position w:val="0"/>
        </w:rPr>
        <w:t>межреберье слева у грудины, что соответствует области абсолютной тупости сердца, или в другие доступные для эхолокации зоны (над грудиной, в эпигастрии). Ребенок лежит на спине с приподнятым из</w:t>
        <w:softHyphen/>
        <w:t>головьем. Площадь ультразвукового окна несколько увели</w:t>
        <w:softHyphen/>
        <w:t>чивается при положении ребенка на левом боку. В послед</w:t>
        <w:softHyphen/>
        <w:t>ние годы в клинической практике широко используется чрезпищеводная эхокардиография, проведение которой не зависит от размера ультразвукового окна.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В зависимости от акустического различия между среда</w:t>
        <w:softHyphen/>
        <w:t>ми, а также от объема обследуемого объекта применяют оп</w:t>
        <w:softHyphen/>
        <w:t>ределенные ультразвуковые частоты. В эхокардиографии используют частоты от 1 до 7 МГц, они оптимальны для ис</w:t>
        <w:softHyphen/>
        <w:t>следования сердца. С увеличением частоты повышается способность ультразвука отражаться от более мелких обра</w:t>
        <w:softHyphen/>
        <w:t>зований, но он меньше проникает вглубь тканей. В связи с этим у взрослых используют ультразвуковые частоты 2,25-3,8 МГц, у детей грудного и старшего возраста — 3,8-5 МГц, у новорожденных — 7 МГц.</w:t>
      </w:r>
    </w:p>
    <w:p>
      <w:pPr>
        <w:pStyle w:val="Style92"/>
        <w:widowControl w:val="0"/>
        <w:keepNext/>
        <w:keepLines/>
        <w:shd w:val="clear" w:color="auto" w:fill="auto"/>
        <w:bidi w:val="0"/>
        <w:spacing w:before="0" w:after="0"/>
        <w:ind w:left="0" w:right="0" w:firstLine="280"/>
      </w:pPr>
      <w:bookmarkStart w:id="107" w:name="bookmark107"/>
      <w:r>
        <w:rPr>
          <w:lang w:val="ru-RU" w:eastAsia="ru-RU" w:bidi="ru-RU"/>
          <w:w w:val="100"/>
          <w:spacing w:val="0"/>
          <w:color w:val="000000"/>
          <w:position w:val="0"/>
        </w:rPr>
        <w:t>Одномерная эхокардиография</w:t>
      </w:r>
      <w:bookmarkEnd w:id="10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Самостоятельного значения одномерная эхокардиогра</w:t>
        <w:softHyphen/>
        <w:t>фия в настоящее время в диагностике болезней сердца не имеет и применяется одновременно с двухмерным исследо - ванием для определения размерных показателей сердца. При одномерной эхокардиографии изучение движения элементов сердца проводят из одной точки с использовани</w:t>
        <w:softHyphen/>
        <w:t xml:space="preserve">ем стандартных позиций </w:t>
      </w:r>
      <w:r>
        <w:rPr>
          <w:lang w:val="en-US" w:eastAsia="en-US" w:bidi="en-US"/>
          <w:w w:val="100"/>
          <w:spacing w:val="0"/>
          <w:color w:val="000000"/>
          <w:position w:val="0"/>
        </w:rPr>
        <w:t>H.Feigenbaum.</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ВI позиции последовательно визуализируют часть правого желудочка, межжелудочковую перегородку, полость левого желудочка на уровне сухожильных нитей митрального клапа</w:t>
        <w:softHyphen/>
        <w:t>на. В данной позиции определяют размеры левого и правого желудочков, толщину и характер движения межжелудочко</w:t>
        <w:softHyphen/>
        <w:t>вой перегородки и задней стенки левого желудочка:</w:t>
      </w:r>
    </w:p>
    <w:p>
      <w:pPr>
        <w:pStyle w:val="Style92"/>
        <w:numPr>
          <w:ilvl w:val="0"/>
          <w:numId w:val="25"/>
        </w:numPr>
        <w:tabs>
          <w:tab w:leader="none" w:pos="514" w:val="left"/>
        </w:tabs>
        <w:widowControl w:val="0"/>
        <w:keepNext/>
        <w:keepLines/>
        <w:shd w:val="clear" w:color="auto" w:fill="auto"/>
        <w:bidi w:val="0"/>
        <w:spacing w:before="0" w:after="0"/>
        <w:ind w:left="520" w:right="0" w:hanging="240"/>
      </w:pPr>
      <w:r>
        <w:br w:type="column"/>
      </w:r>
      <w:bookmarkStart w:id="108" w:name="bookmark108"/>
      <w:r>
        <w:rPr>
          <w:lang w:val="ru-RU" w:eastAsia="ru-RU" w:bidi="ru-RU"/>
          <w:w w:val="100"/>
          <w:spacing w:val="0"/>
          <w:color w:val="000000"/>
          <w:position w:val="0"/>
        </w:rPr>
        <w:t>конечно-диастолический диаметр левого желудочка</w:t>
      </w:r>
      <w:bookmarkEnd w:id="108"/>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(КДД) — дистанция от левожелудочковой поверхнос</w:t>
        <w:softHyphen/>
        <w:t>ти межжелудочковой перегородки до эндокардиаль</w:t>
        <w:softHyphen/>
        <w:t xml:space="preserve">ной поверхности задней стенки левого желудочка во время начала зубца </w:t>
      </w:r>
      <w:r>
        <w:rPr>
          <w:lang w:val="en-US" w:eastAsia="en-US" w:bidi="en-US"/>
          <w:w w:val="100"/>
          <w:spacing w:val="0"/>
          <w:color w:val="000000"/>
          <w:position w:val="0"/>
        </w:rPr>
        <w:t xml:space="preserve">R </w:t>
      </w:r>
      <w:r>
        <w:rPr>
          <w:lang w:val="ru-RU" w:eastAsia="ru-RU" w:bidi="ru-RU"/>
          <w:w w:val="100"/>
          <w:spacing w:val="0"/>
          <w:color w:val="000000"/>
          <w:position w:val="0"/>
        </w:rPr>
        <w:t>ЭКГ (в мм);</w:t>
      </w:r>
    </w:p>
    <w:p>
      <w:pPr>
        <w:pStyle w:val="Style30"/>
        <w:numPr>
          <w:ilvl w:val="0"/>
          <w:numId w:val="2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конечно-систолический диаметр левого желудочка (КСД) — определяют как наименьшую дистанцию между левожелудочковой поверхностью межжелу</w:t>
        <w:softHyphen/>
        <w:t>дочковой перегородки и эндокардиальной поверхно</w:t>
        <w:softHyphen/>
        <w:t>стью задней стенки левого желудочка (в мм);</w:t>
      </w:r>
    </w:p>
    <w:p>
      <w:pPr>
        <w:pStyle w:val="Style30"/>
        <w:numPr>
          <w:ilvl w:val="0"/>
          <w:numId w:val="2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толщина межжелудочковой перегородки в диастолу (Тмжп) — расстояние между передней и задней по</w:t>
        <w:softHyphen/>
        <w:t xml:space="preserve">верхностями перегородки синхронно зубцу </w:t>
      </w:r>
      <w:r>
        <w:rPr>
          <w:lang w:val="en-US" w:eastAsia="en-US" w:bidi="en-US"/>
          <w:w w:val="100"/>
          <w:spacing w:val="0"/>
          <w:color w:val="000000"/>
          <w:position w:val="0"/>
        </w:rPr>
        <w:t xml:space="preserve">R </w:t>
      </w:r>
      <w:r>
        <w:rPr>
          <w:lang w:val="ru-RU" w:eastAsia="ru-RU" w:bidi="ru-RU"/>
          <w:w w:val="100"/>
          <w:spacing w:val="0"/>
          <w:color w:val="000000"/>
          <w:position w:val="0"/>
        </w:rPr>
        <w:t>(в мм);</w:t>
      </w:r>
    </w:p>
    <w:p>
      <w:pPr>
        <w:pStyle w:val="Style30"/>
        <w:numPr>
          <w:ilvl w:val="0"/>
          <w:numId w:val="2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толщина задней стенки левого желудочка в диастолу (Тзслж) — дистанция от эндокардиальной до эпикар</w:t>
        <w:softHyphen/>
        <w:t>диальной поверхностей задней стенки левого желу</w:t>
        <w:softHyphen/>
        <w:t>дочка в диастолу (в мм);</w:t>
      </w:r>
    </w:p>
    <w:p>
      <w:pPr>
        <w:pStyle w:val="Style30"/>
        <w:numPr>
          <w:ilvl w:val="0"/>
          <w:numId w:val="2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диаметр правого желудочка (Дпж) — расстояние от пе - редней стенки правого желудочка до передней по</w:t>
        <w:softHyphen/>
        <w:t>верхности межжелудочковой перегородки.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основании полученных эхометрических величин проводят расчет следующих показателей:</w:t>
      </w:r>
    </w:p>
    <w:p>
      <w:pPr>
        <w:pStyle w:val="Style30"/>
        <w:numPr>
          <w:ilvl w:val="0"/>
          <w:numId w:val="25"/>
        </w:numPr>
        <w:tabs>
          <w:tab w:leader="none" w:pos="514" w:val="left"/>
        </w:tabs>
        <w:widowControl w:val="0"/>
        <w:keepNext w:val="0"/>
        <w:keepLines w:val="0"/>
        <w:shd w:val="clear" w:color="auto" w:fill="auto"/>
        <w:bidi w:val="0"/>
        <w:spacing w:before="0" w:after="120"/>
        <w:ind w:left="520" w:right="0" w:hanging="240"/>
      </w:pPr>
      <w:r>
        <w:rPr>
          <w:lang w:val="ru-RU" w:eastAsia="ru-RU" w:bidi="ru-RU"/>
          <w:w w:val="100"/>
          <w:spacing w:val="0"/>
          <w:color w:val="000000"/>
          <w:position w:val="0"/>
        </w:rPr>
        <w:t>конечно-диастолический (КДО) и конечно-систоличес</w:t>
        <w:softHyphen/>
        <w:t xml:space="preserve">кий (КСО) объемы левого желудочка по формуле </w:t>
      </w:r>
      <w:r>
        <w:rPr>
          <w:lang w:val="en-US" w:eastAsia="en-US" w:bidi="en-US"/>
          <w:w w:val="100"/>
          <w:spacing w:val="0"/>
          <w:color w:val="000000"/>
          <w:position w:val="0"/>
        </w:rPr>
        <w:t>L. Teichholz</w:t>
      </w:r>
    </w:p>
    <w:p>
      <w:pPr>
        <w:pStyle w:val="Style30"/>
        <w:widowControl w:val="0"/>
        <w:keepNext w:val="0"/>
        <w:keepLines w:val="0"/>
        <w:shd w:val="clear" w:color="auto" w:fill="auto"/>
        <w:bidi w:val="0"/>
        <w:jc w:val="left"/>
        <w:spacing w:before="0" w:after="0"/>
        <w:ind w:left="760" w:right="0" w:firstLine="0"/>
      </w:pPr>
      <w:r>
        <w:rPr>
          <w:lang w:val="ru-RU" w:eastAsia="ru-RU" w:bidi="ru-RU"/>
          <w:w w:val="100"/>
          <w:spacing w:val="0"/>
          <w:color w:val="000000"/>
          <w:position w:val="0"/>
        </w:rPr>
        <w:t>КДО = 7 * КДД / (2,4 + КДД);</w:t>
      </w:r>
    </w:p>
    <w:p>
      <w:pPr>
        <w:pStyle w:val="Style30"/>
        <w:widowControl w:val="0"/>
        <w:keepNext w:val="0"/>
        <w:keepLines w:val="0"/>
        <w:shd w:val="clear" w:color="auto" w:fill="auto"/>
        <w:bidi w:val="0"/>
        <w:jc w:val="left"/>
        <w:spacing w:before="0" w:after="0"/>
        <w:ind w:left="760" w:right="0" w:firstLine="0"/>
      </w:pPr>
      <w:r>
        <w:rPr>
          <w:lang w:val="ru-RU" w:eastAsia="ru-RU" w:bidi="ru-RU"/>
          <w:w w:val="100"/>
          <w:spacing w:val="0"/>
          <w:color w:val="000000"/>
          <w:position w:val="0"/>
        </w:rPr>
        <w:t>КСО = 7 * КСД / (2,4 + КСД)</w:t>
      </w:r>
    </w:p>
    <w:p>
      <w:pPr>
        <w:pStyle w:val="Style30"/>
        <w:numPr>
          <w:ilvl w:val="0"/>
          <w:numId w:val="2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Ударный объем (УО):</w:t>
      </w:r>
    </w:p>
    <w:p>
      <w:pPr>
        <w:pStyle w:val="Style30"/>
        <w:widowControl w:val="0"/>
        <w:keepNext w:val="0"/>
        <w:keepLines w:val="0"/>
        <w:shd w:val="clear" w:color="auto" w:fill="auto"/>
        <w:bidi w:val="0"/>
        <w:jc w:val="left"/>
        <w:spacing w:before="0" w:after="0" w:line="432" w:lineRule="exact"/>
        <w:ind w:left="760" w:right="0" w:firstLine="0"/>
      </w:pPr>
      <w:r>
        <w:rPr>
          <w:lang w:val="ru-RU" w:eastAsia="ru-RU" w:bidi="ru-RU"/>
          <w:w w:val="100"/>
          <w:spacing w:val="0"/>
          <w:color w:val="000000"/>
          <w:position w:val="0"/>
        </w:rPr>
        <w:t>УО = КДО — КСО (в мл)</w:t>
      </w:r>
    </w:p>
    <w:p>
      <w:pPr>
        <w:pStyle w:val="Style92"/>
        <w:numPr>
          <w:ilvl w:val="0"/>
          <w:numId w:val="25"/>
        </w:numPr>
        <w:tabs>
          <w:tab w:leader="none" w:pos="514" w:val="left"/>
        </w:tabs>
        <w:widowControl w:val="0"/>
        <w:keepNext/>
        <w:keepLines/>
        <w:shd w:val="clear" w:color="auto" w:fill="auto"/>
        <w:bidi w:val="0"/>
        <w:spacing w:before="0" w:after="0" w:line="432" w:lineRule="exact"/>
        <w:ind w:left="520" w:right="0" w:hanging="240"/>
      </w:pPr>
      <w:bookmarkStart w:id="109" w:name="bookmark109"/>
      <w:r>
        <w:rPr>
          <w:lang w:val="ru-RU" w:eastAsia="ru-RU" w:bidi="ru-RU"/>
          <w:w w:val="100"/>
          <w:spacing w:val="0"/>
          <w:color w:val="000000"/>
          <w:position w:val="0"/>
        </w:rPr>
        <w:t>Минутный объем кровообращения (МОК):</w:t>
      </w:r>
      <w:bookmarkEnd w:id="109"/>
    </w:p>
    <w:p>
      <w:pPr>
        <w:pStyle w:val="Style30"/>
        <w:widowControl w:val="0"/>
        <w:keepNext w:val="0"/>
        <w:keepLines w:val="0"/>
        <w:shd w:val="clear" w:color="auto" w:fill="auto"/>
        <w:bidi w:val="0"/>
        <w:jc w:val="left"/>
        <w:spacing w:before="0" w:after="0" w:line="432" w:lineRule="exact"/>
        <w:ind w:left="760" w:right="0" w:firstLine="0"/>
      </w:pPr>
      <w:r>
        <w:rPr>
          <w:lang w:val="ru-RU" w:eastAsia="ru-RU" w:bidi="ru-RU"/>
          <w:w w:val="100"/>
          <w:spacing w:val="0"/>
          <w:color w:val="000000"/>
          <w:position w:val="0"/>
        </w:rPr>
        <w:t>МОК = УО *ЧСС</w:t>
      </w:r>
    </w:p>
    <w:p>
      <w:pPr>
        <w:pStyle w:val="Style92"/>
        <w:numPr>
          <w:ilvl w:val="0"/>
          <w:numId w:val="25"/>
        </w:numPr>
        <w:tabs>
          <w:tab w:leader="none" w:pos="514" w:val="left"/>
        </w:tabs>
        <w:widowControl w:val="0"/>
        <w:keepNext/>
        <w:keepLines/>
        <w:shd w:val="clear" w:color="auto" w:fill="auto"/>
        <w:bidi w:val="0"/>
        <w:spacing w:before="0" w:after="0" w:line="432" w:lineRule="exact"/>
        <w:ind w:left="520" w:right="0" w:hanging="240"/>
      </w:pPr>
      <w:bookmarkStart w:id="110" w:name="bookmark110"/>
      <w:r>
        <w:rPr>
          <w:lang w:val="ru-RU" w:eastAsia="ru-RU" w:bidi="ru-RU"/>
          <w:w w:val="100"/>
          <w:spacing w:val="0"/>
          <w:color w:val="000000"/>
          <w:position w:val="0"/>
        </w:rPr>
        <w:t>Фракция выброса (ФВ):</w:t>
      </w:r>
      <w:bookmarkEnd w:id="110"/>
    </w:p>
    <w:p>
      <w:pPr>
        <w:pStyle w:val="Style30"/>
        <w:widowControl w:val="0"/>
        <w:keepNext w:val="0"/>
        <w:keepLines w:val="0"/>
        <w:shd w:val="clear" w:color="auto" w:fill="auto"/>
        <w:bidi w:val="0"/>
        <w:jc w:val="left"/>
        <w:spacing w:before="0" w:after="0" w:line="432" w:lineRule="exact"/>
        <w:ind w:left="760" w:right="0" w:firstLine="0"/>
      </w:pPr>
      <w:r>
        <w:rPr>
          <w:lang w:val="ru-RU" w:eastAsia="ru-RU" w:bidi="ru-RU"/>
          <w:w w:val="100"/>
          <w:spacing w:val="0"/>
          <w:color w:val="000000"/>
          <w:position w:val="0"/>
        </w:rPr>
        <w:t>ФВ = УО / КДО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Во </w:t>
      </w:r>
      <w:r>
        <w:rPr>
          <w:lang w:val="en-US" w:eastAsia="en-US" w:bidi="en-US"/>
          <w:w w:val="100"/>
          <w:spacing w:val="0"/>
          <w:color w:val="000000"/>
          <w:position w:val="0"/>
        </w:rPr>
        <w:t xml:space="preserve">II </w:t>
      </w:r>
      <w:r>
        <w:rPr>
          <w:lang w:val="ru-RU" w:eastAsia="ru-RU" w:bidi="ru-RU"/>
          <w:w w:val="100"/>
          <w:spacing w:val="0"/>
          <w:color w:val="000000"/>
          <w:position w:val="0"/>
        </w:rPr>
        <w:t>стандартной позиции ультразвуковой луч проходит через правый желудочек, межжелудочковую перегородку, переднюю и заднюю створки митрального клапана и зад</w:t>
        <w:softHyphen/>
        <w:t>нюю стенку левого желудочка. Данная позиция использует</w:t>
        <w:softHyphen/>
        <w:t>ся для определения анатомического строения и характера движения митральных створок.</w:t>
      </w:r>
    </w:p>
    <w:p>
      <w:pPr>
        <w:pStyle w:val="Style30"/>
        <w:numPr>
          <w:ilvl w:val="0"/>
          <w:numId w:val="29"/>
        </w:numPr>
        <w:tabs>
          <w:tab w:leader="none" w:pos="59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стандартная позиция образуется при прохождении ультразвукового луча через выходной тракт правого желу</w:t>
        <w:softHyphen/>
        <w:t>дочка, межжелудочковую перегородку, переднюю створку митрального клапана и заднюю стенку левого предсердия.</w:t>
      </w:r>
    </w:p>
    <w:p>
      <w:pPr>
        <w:pStyle w:val="Style30"/>
        <w:numPr>
          <w:ilvl w:val="0"/>
          <w:numId w:val="29"/>
        </w:numPr>
        <w:tabs>
          <w:tab w:leader="none" w:pos="59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стандартная позиция образуется при прохождении лу</w:t>
        <w:softHyphen/>
        <w:t>ча через выходной тракт правого желудочка, корень аорты, аортальный клапан и полость левого предсердия. В этой позиции проводят определение следующих эхометричес</w:t>
        <w:softHyphen/>
        <w:t>ких величин:</w:t>
      </w:r>
    </w:p>
    <w:p>
      <w:pPr>
        <w:pStyle w:val="Style30"/>
        <w:numPr>
          <w:ilvl w:val="0"/>
          <w:numId w:val="27"/>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диаметр корня аорты — расстояние от переднего края передней стенки аорты до переднего края задней стенки аорты синхронно </w:t>
      </w:r>
      <w:r>
        <w:rPr>
          <w:lang w:val="en-US" w:eastAsia="en-US" w:bidi="en-US"/>
          <w:w w:val="100"/>
          <w:spacing w:val="0"/>
          <w:color w:val="000000"/>
          <w:position w:val="0"/>
        </w:rPr>
        <w:t xml:space="preserve">R </w:t>
      </w:r>
      <w:r>
        <w:rPr>
          <w:lang w:val="ru-RU" w:eastAsia="ru-RU" w:bidi="ru-RU"/>
          <w:w w:val="100"/>
          <w:spacing w:val="0"/>
          <w:color w:val="000000"/>
          <w:position w:val="0"/>
        </w:rPr>
        <w:t>зубцу ЭКГ при отчетли</w:t>
        <w:softHyphen/>
        <w:t>вой визуализации обеих створок;</w:t>
      </w:r>
    </w:p>
    <w:p>
      <w:pPr>
        <w:pStyle w:val="Style30"/>
        <w:numPr>
          <w:ilvl w:val="0"/>
          <w:numId w:val="27"/>
        </w:numPr>
        <w:tabs>
          <w:tab w:leader="none" w:pos="514" w:val="left"/>
        </w:tabs>
        <w:widowControl w:val="0"/>
        <w:keepNext w:val="0"/>
        <w:keepLines w:val="0"/>
        <w:shd w:val="clear" w:color="auto" w:fill="auto"/>
        <w:bidi w:val="0"/>
        <w:spacing w:before="0" w:after="0"/>
        <w:ind w:left="520" w:right="0" w:hanging="240"/>
      </w:pPr>
      <w:r>
        <w:pict>
          <v:shape id="_x0000_s1094" type="#_x0000_t75" style="position:absolute;margin-left:148.1pt;margin-top:739.95pt;width:209.75pt;height:14.9pt;z-index:-125829350;mso-wrap-distance-left:147.85pt;mso-wrap-distance-right:136.55pt;mso-wrap-distance-bottom:20.pt;mso-position-horizontal-relative:margin;mso-position-vertical-relative:margin" wrapcoords="0 0 21600 0 21600 21600 0 21600 0 0">
            <v:imagedata r:id="rId108" r:href="rId109"/>
            <w10:wrap type="topAndBottom" anchorx="margin" anchory="margin"/>
          </v:shape>
        </w:pict>
      </w:r>
      <w:r>
        <w:rPr>
          <w:lang w:val="ru-RU" w:eastAsia="ru-RU" w:bidi="ru-RU"/>
          <w:w w:val="100"/>
          <w:spacing w:val="0"/>
          <w:color w:val="000000"/>
          <w:position w:val="0"/>
        </w:rPr>
        <w:t>передне-задний размер левого предсердия (Длп) — от переднего края задней стенки аорты (включая толщи</w:t>
        <w:softHyphen/>
        <w:t>ну аортальной стенки) до подлежащей стенки левого</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предсердия. Измерение проводится в фазу макси</w:t>
        <w:softHyphen/>
        <w:t>мального переднего движения аорты.</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Эхометрические нормативы определяют в зависимости от массы тела ребенка.</w:t>
      </w:r>
    </w:p>
    <w:p>
      <w:pPr>
        <w:pStyle w:val="Style92"/>
        <w:widowControl w:val="0"/>
        <w:keepNext/>
        <w:keepLines/>
        <w:shd w:val="clear" w:color="auto" w:fill="auto"/>
        <w:bidi w:val="0"/>
        <w:spacing w:before="0" w:after="0"/>
        <w:ind w:left="0" w:right="0" w:firstLine="280"/>
      </w:pPr>
      <w:bookmarkStart w:id="111" w:name="bookmark111"/>
      <w:r>
        <w:rPr>
          <w:lang w:val="ru-RU" w:eastAsia="ru-RU" w:bidi="ru-RU"/>
          <w:w w:val="100"/>
          <w:spacing w:val="0"/>
          <w:color w:val="000000"/>
          <w:position w:val="0"/>
        </w:rPr>
        <w:t>Двухмерная эхокардиография</w:t>
      </w:r>
      <w:bookmarkEnd w:id="11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 помощью двухмерной эхокардиографии можно полу</w:t>
        <w:softHyphen/>
        <w:t>чить любое сечение сердца и магистральных сосудов. По</w:t>
        <w:softHyphen/>
        <w:t>скольку сердце — трехмерный орган, а эхокардиография в реальном масштабе времени позволяет получать изображе</w:t>
        <w:softHyphen/>
        <w:t>ние только в двухмерной плоскости, детальное представле</w:t>
        <w:softHyphen/>
        <w:t>ние о строении сердца может быть получено при использова</w:t>
        <w:softHyphen/>
        <w:t>нии нескольких сечений. Каждая конкретная структура в сердце может быть изучена при использовании двух взаим</w:t>
        <w:softHyphen/>
        <w:t>но перпендикулярных (продольного и поперечного) сечений и нескольких промежуточных. В зависимости от положения датчика, угла наклона и его поворота можно получать непре</w:t>
        <w:softHyphen/>
        <w:t>рывный спектр сечений анатомических структур органа, что затрудняет их идентификацию. В этой связи при изучении ультразвуковой анатомии сердца предложены стандартные положения датчика, а также стандартные проекции. Стан</w:t>
        <w:softHyphen/>
        <w:t>дартные проекции (сечения) выбраны с той целью, чтобы из всего многообразия выделить наиболее информативные, легко доступные для идентификации структуры.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Обычно исследование сердца проводят в проекциях по длинным и коротким осям сканирования, а также из нестан</w:t>
        <w:softHyphen/>
        <w:t>дартных (субксифоидального, надгрудинного) доступов.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Парастернальные проекции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Проекция длинной оси левого желудочка соответствует са</w:t>
        <w:softHyphen/>
        <w:t>гиттальному сечению сердца. Для получения этой проек</w:t>
        <w:softHyphen/>
        <w:t xml:space="preserve">ции датчик устанавливают в </w:t>
      </w:r>
      <w:r>
        <w:rPr>
          <w:lang w:val="en-US" w:eastAsia="en-US" w:bidi="en-US"/>
          <w:w w:val="100"/>
          <w:spacing w:val="0"/>
          <w:color w:val="000000"/>
          <w:position w:val="0"/>
        </w:rPr>
        <w:t xml:space="preserve">III-IV </w:t>
      </w:r>
      <w:r>
        <w:rPr>
          <w:lang w:val="ru-RU" w:eastAsia="ru-RU" w:bidi="ru-RU"/>
          <w:w w:val="100"/>
          <w:spacing w:val="0"/>
          <w:color w:val="000000"/>
          <w:position w:val="0"/>
        </w:rPr>
        <w:t>межреберье слева от гру</w:t>
        <w:softHyphen/>
        <w:t>дины, луч направляют вдоль длинной оси сердца (прибли</w:t>
        <w:softHyphen/>
        <w:t>зительно параллельно линии, соединяющей правое плечо и левое бедро обследуемого). В этой проекции видны пути притока и оттока левого желудочка. Под корнем аорты ви</w:t>
        <w:softHyphen/>
        <w:t>зуализируется овальный контур левого предсердия. Пере</w:t>
        <w:softHyphen/>
        <w:t>дняя и задняя митральные створки отграничивают полость предсердия от желудочка. Передняя митральная створка больше задней, переднюю и заднюю папиллярные мышцы можно наблюдать несколько наклоняя датчик влево и впра</w:t>
        <w:softHyphen/>
        <w:t>во. В парастернальной проекции длинной оси определяет</w:t>
        <w:softHyphen/>
        <w:t>ся положение митрального клапана и межжелудочковой перегородки, их отношение к корню аорты. В норме пере</w:t>
        <w:softHyphen/>
        <w:t>дняя митральная створка на одной и той же глубине пере</w:t>
        <w:softHyphen/>
        <w:t>ходит в заднюю стенку аорты (митрально-аортальное фиб</w:t>
        <w:softHyphen/>
        <w:t>розное продолжение), межжелудочковая перегородка пере</w:t>
        <w:softHyphen/>
        <w:t>ходит в переднюю стенку аорты (септально-аортальный контакт). Проекция позволяет выявить взаимоотношение магистральных сосудов с левым атриовентрикулярным кла</w:t>
        <w:softHyphen/>
        <w:t>паном и межжелудочковой перегородкой, обнаружить на</w:t>
        <w:softHyphen/>
        <w:t>рушение оттока из левого желудочка. Магистральный сосуд соединяется с желудочком, если более 50% просвета сосуда приходится на данный желудочек.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Проекция приточного отдела правого желудочка. Данное сечение получают из парастернальной позиции длинной оси левого желудочка путем наклона датчика вправо. Визу</w:t>
        <w:softHyphen/>
        <w:t>ализируются полости правого предсердия и желудочка, а также передняя и задняя створки трикуспидального кла</w:t>
        <w:softHyphen/>
        <w:t>пана. Направляя сечение в сторону грудины, можно визуа</w:t>
        <w:softHyphen/>
        <w:t>лизировать перегородочную створку трехстворчатого кла</w:t>
        <w:softHyphen/>
        <w:t>пана. Сечение используют для оценки анатомических вза</w:t>
        <w:softHyphen/>
        <w:t>имоотношений правых структур сердца.</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Проекция выходного тракта правого желудочка. Это сече</w:t>
        <w:softHyphen/>
        <w:t>ние получают путем поворота датчика по часовой стрелке, примерно на 50-60° из продольной оси левого желудочка. На эхокардиограмме визуализируется легочная артерия до уровня бифуркации, клапан легочной артерии и выходной отдел правого желудочка. В сечение также попадает порция левого желудочка, передняя и задняя митральные створки.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Проекции короткой оси при парастернальном расположе</w:t>
        <w:softHyphen/>
        <w:t>нии датчика.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получения этих проекций надо из проекции длинной оси повернуть датчик на 90°. При этом возможно получить не - сколько сечений по короткой оси при наклоне датчика от ос</w:t>
        <w:softHyphen/>
        <w:t>нования до верхушки сердца. На уровне основания сердца вы - является поперечное сечение корня аорты в виде округлой те</w:t>
        <w:softHyphen/>
        <w:t>ни с тонкими полулунными створками. Выходной отдел пра</w:t>
        <w:softHyphen/>
        <w:t>вого желудочка и легочная артерия находятся спереди и окру</w:t>
        <w:softHyphen/>
        <w:t>жают контур аорты. Под аортой находится левое предсердие, справа визуализируются элементы трехстворчатого клапана. Если датчик отклонить выше аортального клапана, можно ви - зуализировать устья левой и правой коронарных артерий. Рас</w:t>
        <w:softHyphen/>
        <w:t>положение устья каждой венечной артерии индивидуально варьирует как по высоте, так и по окружности аорты.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Обычно правая венечная артерия отходит на 10 часах от правого венечного синуса, левая — на 3-х часах от левого венечного синуса. Безвенечный (задний) синус устья коро</w:t>
        <w:softHyphen/>
        <w:t>нарной артерии не имеет.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Оценивая взаимоотношения магистральных сосудов, можно выявить аномалии их положения. Чтобы достоверно определить, который из сосудов является аортой, а кото</w:t>
        <w:softHyphen/>
        <w:t>рый — легочной артерией, при аномальном положении со</w:t>
        <w:softHyphen/>
        <w:t>судов необходимо проследить ход сосудов на протяжении (по продольному и поперечному сечению) и выявить либо дугу аорты с отхождением от нее сосудов, либо бифуркацию легочной артерии. Проекция короткой оси на уровне маги</w:t>
        <w:softHyphen/>
        <w:t>стральных сосудов позволяет установить состояние створок полулунных клапанов, выявить стеноз или недостаточность их и косвенно оценить наличие легочной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уровне митрального клапана выявляется поперечное сечение левого желудочка, при этом створки митрального клапана расположены одна над другой, во время систолы желудочка створки сомкнуты в виде единой линии, во вре</w:t>
        <w:softHyphen/>
        <w:t>мя диастолы ограничивают контур левого атриовентрику</w:t>
        <w:softHyphen/>
        <w:t>лярного отверстия. Спереди и справа расположен правый желудочек, отделенный от левого межжелудочковой пере</w:t>
        <w:softHyphen/>
        <w:t>городкой, ее мышечной частью. Данная проекция исполь</w:t>
        <w:softHyphen/>
        <w:t>зуется для оценки состояния створок митрального клапана, комиссур, левого атриовентрикулярного фиброзного коль</w:t>
        <w:softHyphen/>
        <w:t>ца, дефектов межжелудочковой перегородки, размеров по</w:t>
        <w:softHyphen/>
        <w:t>лостей желудочков и др. аномалий.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уровне папиллярных мышц выявляется поперечное сечение левого желудочка, при этом визуализируются лате</w:t>
        <w:softHyphen/>
        <w:t>ральная и медиальная группы папиллярных мышц.</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Поперечное сечение левого желудочка на уровне вер</w:t>
        <w:softHyphen/>
        <w:t>хушки получают из парастернальной позиции, максималь</w:t>
        <w:softHyphen/>
        <w:t>но отклоняя датчик из предыдущих позиций к верхушке сердца. Визуализируется округлая тень верхушки без конту</w:t>
        <w:softHyphen/>
        <w:t>ров от папиллярных мышц. Проекция используется для ви</w:t>
        <w:softHyphen/>
        <w:t>зуализации верхушечной гипертрофии, а также верхушеч</w:t>
        <w:softHyphen/>
        <w:t>ных дефектов межжелудочковой перегородки.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Проекция четырех камер с верхушки</w:t>
      </w:r>
    </w:p>
    <w:p>
      <w:pPr>
        <w:pStyle w:val="Style30"/>
        <w:widowControl w:val="0"/>
        <w:keepNext w:val="0"/>
        <w:keepLines w:val="0"/>
        <w:shd w:val="clear" w:color="auto" w:fill="auto"/>
        <w:bidi w:val="0"/>
        <w:spacing w:before="0" w:after="0"/>
        <w:ind w:left="0" w:right="0" w:firstLine="280"/>
      </w:pPr>
      <w:r>
        <w:pict>
          <v:shape id="_x0000_s1095" type="#_x0000_t75" style="position:absolute;margin-left:136.8pt;margin-top:740.2pt;width:209.75pt;height:14.9pt;z-index:-125829349;mso-wrap-distance-left:136.8pt;mso-wrap-distance-right:148.1pt;mso-wrap-distance-bottom:20.pt;mso-position-horizontal-relative:margin;mso-position-vertical-relative:margin" wrapcoords="0 0 21600 0 21600 21600 0 21600 0 0">
            <v:imagedata r:id="rId110" r:href="rId111"/>
            <w10:wrap type="topAndBottom" anchorx="margin" anchory="margin"/>
          </v:shape>
        </w:pict>
      </w:r>
      <w:r>
        <w:rPr>
          <w:lang w:val="ru-RU" w:eastAsia="ru-RU" w:bidi="ru-RU"/>
          <w:w w:val="100"/>
          <w:spacing w:val="0"/>
          <w:color w:val="000000"/>
          <w:position w:val="0"/>
        </w:rPr>
        <w:t>Чтобы получить эту проекцию, датчик располагают в области верхушки сердца и направляют несколько вверх</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и вправо до получения изображения четырех камер, при этом добиваются позиции, при которой видна макси</w:t>
        <w:softHyphen/>
        <w:t>мальная экскурсия митрального и трикуспидального кла</w:t>
        <w:softHyphen/>
        <w:t>панов. В этой проекции видны все камеры сердца, меж</w:t>
        <w:softHyphen/>
        <w:t>желудочковая и межпредсердная перегородки и цент</w:t>
        <w:softHyphen/>
        <w:t>ральное фиброзное тело, где прикрепляются атриовент</w:t>
        <w:softHyphen/>
        <w:t>рикулярные клапаны. Если отклонить датчик в сторону мечевидного отростка, в сечение попадает начальная пор</w:t>
        <w:softHyphen/>
        <w:t>ция восходящей аорты и выходной тракт правого желу</w:t>
        <w:softHyphen/>
        <w:t>дочка. Данная проекция чаще используется в диагности</w:t>
        <w:softHyphen/>
        <w:t>ке дефектов перегородок, взаиморасположения предсер</w:t>
        <w:softHyphen/>
        <w:t>дий и желудочков, а также аномалий атриовентрикуляр</w:t>
        <w:softHyphen/>
        <w:t>ных клапанов.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Субкостальные проекции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получения двухмерного изображения из субкосталь</w:t>
        <w:softHyphen/>
        <w:t>ного доступа датчик устанавливают под мечевидным от</w:t>
        <w:softHyphen/>
        <w:t>ростком; наклоняя его в сторону сердца, добиваются отчет</w:t>
        <w:softHyphen/>
        <w:t>ливого его изображения. В зависимости от глубины накло</w:t>
        <w:softHyphen/>
        <w:t>на датчика плоскости среза могут проходить через различ</w:t>
        <w:softHyphen/>
        <w:t>ные структуры. Глубокая плоскость проходит через все 4 ка</w:t>
        <w:softHyphen/>
        <w:t>меры, при этом визуализируется приточная порция межже</w:t>
        <w:softHyphen/>
        <w:t>лудочковой перегородки, межпредсердная перегородка и атриовентрикулярные клапаны. При менее глубоком про</w:t>
        <w:softHyphen/>
        <w:t>никновении плоскости среза образуется проекция длинной оси левого желудочка. При поверхностном направлении датчика плоскость среза проходит через правожелудочко</w:t>
        <w:softHyphen/>
        <w:t>вый выходной тракт.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Надгрудинные проекции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получения надгрудинного доступа датчик устанав</w:t>
        <w:softHyphen/>
        <w:t>ливают в области яремной ямки. Ребенок находится в поло</w:t>
        <w:softHyphen/>
        <w:t>жении лежа с подложенным валиком под плечи и запроки</w:t>
        <w:softHyphen/>
        <w:t>нутой головой. Данный доступ используется для визуализа</w:t>
        <w:softHyphen/>
        <w:t>ции дуги аорты, перешейка аорты и нисходящего отдела аорты. Дуга аорты огибает правую ветвь легочной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Допплерэхокардиография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Существенно дополняет информацию, полученную при двухмерном ЭхоКГ-исследовании:</w:t>
      </w:r>
    </w:p>
    <w:p>
      <w:pPr>
        <w:pStyle w:val="Style30"/>
        <w:numPr>
          <w:ilvl w:val="0"/>
          <w:numId w:val="27"/>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выявляет регургитантные потоки;</w:t>
      </w:r>
    </w:p>
    <w:p>
      <w:pPr>
        <w:pStyle w:val="Style30"/>
        <w:numPr>
          <w:ilvl w:val="0"/>
          <w:numId w:val="27"/>
        </w:numPr>
        <w:tabs>
          <w:tab w:leader="none" w:pos="514"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выявляет и количественно оценивает шунтовые по</w:t>
        <w:softHyphen/>
        <w:t>токи;</w:t>
      </w:r>
    </w:p>
    <w:p>
      <w:pPr>
        <w:pStyle w:val="Style30"/>
        <w:numPr>
          <w:ilvl w:val="0"/>
          <w:numId w:val="27"/>
        </w:numPr>
        <w:tabs>
          <w:tab w:leader="none" w:pos="514"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выявляет и количественно оценивает величину пре</w:t>
        <w:softHyphen/>
        <w:t>пятствия току крови (градиент обструкции);</w:t>
      </w:r>
    </w:p>
    <w:p>
      <w:pPr>
        <w:pStyle w:val="Style30"/>
        <w:numPr>
          <w:ilvl w:val="0"/>
          <w:numId w:val="27"/>
        </w:numPr>
        <w:tabs>
          <w:tab w:leader="none" w:pos="514"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позволяет более точно оценить систолическую и диа</w:t>
        <w:softHyphen/>
        <w:t>столическую функции камер сердца;</w:t>
      </w:r>
    </w:p>
    <w:p>
      <w:pPr>
        <w:pStyle w:val="Style30"/>
        <w:numPr>
          <w:ilvl w:val="0"/>
          <w:numId w:val="27"/>
        </w:numPr>
        <w:tabs>
          <w:tab w:leader="none" w:pos="514"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уточняет топику порока, в том числе не визуализиру</w:t>
        <w:softHyphen/>
        <w:t>емых с помощью двухмерного ЭхоКГ-исследования.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Митральный клапан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Изучение створок митрального клапана в одномерном режиме осуществляется во II стандартной позиции: между межжелудочковой перегородкой и задней стенкой левого желудочка определяются тонкие линейные эхосигналы от створок клапана, совершающие циклическое движение. Передняя створка митрального клапана выглядит как на</w:t>
        <w:softHyphen/>
        <w:t>иболее подвижная структура, в связи с чем одномерная эхо</w:t>
        <w:softHyphen/>
        <w:t>локация клапана является отправным ориентиром для по</w:t>
        <w:softHyphen/>
        <w:t>следующей визуализации других структур сердца. Обычно митральный клапан обнаруживается при расположении датчика в 3-4 межреберном промежутке по левой парастер</w:t>
        <w:softHyphen/>
        <w:t>нальной линии. Датчик направляют перпендикулярно грудной стенке и при небольших его отклонениях находят переднюю митральную створку с характерным М-образ- ным движением.</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Важное значение в оценке функционального состояния клапана имеет количественная оценка скорости, амплиту</w:t>
        <w:softHyphen/>
        <w:t>ды движения и временных интервалов.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Диастолическая экскурсия створок является индикато</w:t>
        <w:softHyphen/>
        <w:t>ром мобильности клапана (ДЕ).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Уменьшение амплитуды открытия передней митральной створки (уменьшение ДЕ менее 20 мм) наблюдается при:</w:t>
      </w:r>
    </w:p>
    <w:p>
      <w:pPr>
        <w:pStyle w:val="Style30"/>
        <w:numPr>
          <w:ilvl w:val="0"/>
          <w:numId w:val="2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стенозе левого атриовентрикулярного отверстия (в том числе врожденном митральном стенозе, пара</w:t>
        <w:softHyphen/>
        <w:t>шютообразном митральном клапане и др);</w:t>
      </w:r>
    </w:p>
    <w:p>
      <w:pPr>
        <w:pStyle w:val="Style30"/>
        <w:numPr>
          <w:ilvl w:val="0"/>
          <w:numId w:val="2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застойной сердечной недостаточности (при кардитах, дилатационной кардиомиопатии и др. состояниях);</w:t>
      </w:r>
    </w:p>
    <w:p>
      <w:pPr>
        <w:pStyle w:val="Style30"/>
        <w:numPr>
          <w:ilvl w:val="0"/>
          <w:numId w:val="2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состояниях, связанных с выраженной объемной пе</w:t>
        <w:softHyphen/>
        <w:t>регрузкой правых отделов сердца (большой дефект межпредсердной перегородки, открытый атриовент</w:t>
        <w:softHyphen/>
        <w:t>рикулярный канал);</w:t>
      </w:r>
    </w:p>
    <w:p>
      <w:pPr>
        <w:pStyle w:val="Style30"/>
        <w:numPr>
          <w:ilvl w:val="0"/>
          <w:numId w:val="2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гипертрофической кардиомиопатии с обструкцией выводного тракта левого желудочка;</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недостаточности аортального клапана;</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массивном перикардиальном выпоте;</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миксоме левого предсердия.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Увеличение амплитуды открытия передней митральной створки (амплитуда ДЕ превышает 2/3 размера полости ле</w:t>
        <w:softHyphen/>
        <w:t>вого желудочка в диастолу) обнаруживается при:</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пролапсе митрального клапана;</w:t>
      </w:r>
    </w:p>
    <w:p>
      <w:pPr>
        <w:pStyle w:val="Style30"/>
        <w:numPr>
          <w:ilvl w:val="0"/>
          <w:numId w:val="2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недостаточности митрального клапана любой этио</w:t>
        <w:softHyphen/>
        <w:t>логии;</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атрезии трикуспидального клапана;</w:t>
      </w:r>
    </w:p>
    <w:p>
      <w:pPr>
        <w:pStyle w:val="Style30"/>
        <w:numPr>
          <w:ilvl w:val="0"/>
          <w:numId w:val="2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единственном желудочке с одним атриовентрикуляр - ным клапаном;</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гиперкинетическом кардиальном синдроме;</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начальной стадии артериальной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Трепетание митральных створок может быть при:</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пролапсе митрального клапана;</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отрыве сухожильных хорд от створки МК;</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аортальной недостаточности;</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подклапанном (дискретном) стенозе аорты;</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двухстворчатом аортальном клапане;</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бактериальном эндокардите митрального клапана;</w:t>
      </w:r>
    </w:p>
    <w:p>
      <w:pPr>
        <w:pStyle w:val="Style30"/>
        <w:numPr>
          <w:ilvl w:val="0"/>
          <w:numId w:val="2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общем артериальном стволе при недостаточности клапана трункуса;</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тетраде Фалло (в 71% случаев);</w:t>
      </w:r>
    </w:p>
    <w:p>
      <w:pPr>
        <w:pStyle w:val="Style30"/>
        <w:numPr>
          <w:ilvl w:val="0"/>
          <w:numId w:val="2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дефекте межжелудочковой перегородки в сочетании с обструкцией выходного тракта правого желудочка (в 80%);</w:t>
      </w:r>
    </w:p>
    <w:p>
      <w:pPr>
        <w:pStyle w:val="Style30"/>
        <w:numPr>
          <w:ilvl w:val="0"/>
          <w:numId w:val="2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изолированном дефекте межжелудочковой перего</w:t>
        <w:softHyphen/>
        <w:t>родки;</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транспозиции магистральных сосудов.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Двухмерная эхокардиография митрального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Эхокардиографическую характеристику митрального клапана в двухмерном режиме дают на основании изучения следующих стандартных проекций: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Парастернальная проекция длинной оси левого желудочка.</w:t>
      </w:r>
    </w:p>
    <w:p>
      <w:pPr>
        <w:pStyle w:val="Style30"/>
        <w:widowControl w:val="0"/>
        <w:keepNext w:val="0"/>
        <w:keepLines w:val="0"/>
        <w:shd w:val="clear" w:color="auto" w:fill="auto"/>
        <w:bidi w:val="0"/>
        <w:spacing w:before="0" w:after="0"/>
        <w:ind w:left="0" w:right="0" w:firstLine="280"/>
      </w:pPr>
      <w:r>
        <w:pict>
          <v:shape id="_x0000_s1096" type="#_x0000_t75" style="position:absolute;margin-left:148.2pt;margin-top:739.95pt;width:209.75pt;height:14.9pt;z-index:-125829348;mso-wrap-distance-left:148.1pt;mso-wrap-distance-right:136.55pt;mso-wrap-distance-bottom:20.pt;mso-position-horizontal-relative:margin;mso-position-vertical-relative:margin" wrapcoords="0 0 21600 0 21600 21600 0 21600 0 0">
            <v:imagedata r:id="rId112" r:href="rId113"/>
            <w10:wrap type="topAndBottom" anchorx="margin" anchory="margin"/>
          </v:shape>
        </w:pict>
      </w:r>
      <w:r>
        <w:rPr>
          <w:lang w:val="ru-RU" w:eastAsia="ru-RU" w:bidi="ru-RU"/>
          <w:w w:val="100"/>
          <w:spacing w:val="0"/>
          <w:color w:val="000000"/>
          <w:position w:val="0"/>
        </w:rPr>
        <w:t>Митральный клапан визуализируется в средней части, при этом створки видны от места прикрепления до свободно - го края. Передняя митральная створка видна как продолже</w:t>
        <w:softHyphen/>
        <w:t>ние задней стенки аортального корня, у основания формиру</w:t>
        <w:softHyphen/>
        <w:t>ет атриовентрикулярное кольцо, далее регистрируется тело створки, оканчивающееся свободным краем. Задняя мит</w:t>
        <w:softHyphen/>
        <w:t>ральная створка крепится на границе перехода задней стенки левого предсердия в заднюю стенку левого желудочка, имеет меньший размер по сравнению с передней, у основания обра-</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зует более широкий эхосигнал за счет густой сети хордальных нитей. Основания створок формируют атриовентрикулярное отверстие. Непосредственная дифференциация свободного края створок от прикрепляющихся к ней сухожильных нитей трудна, в связи с чем при описании ультразвукового изобра</w:t>
        <w:softHyphen/>
        <w:t>жения дают общую характеристику клапанно-хордальных структур. Одновременно проводится визуализация движения створок в систолу и диастолу. В систолу створки воронкооб</w:t>
        <w:softHyphen/>
        <w:t>разно сомкнуты, с началом диастолы они быстро расходятся. Передняя митральная створка движется в сторону межжелу</w:t>
        <w:softHyphen/>
        <w:t>дочковой перегородки, задняя — к соответствующей стенке желудочка. Максимальное открытие створок происходит в фазу быстрого наполнения левого желудочка, затем створки начинают смыкаться, занимая как бы нейтральную позицию, и после предсердной систолы полностью смыкаются.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Парастернальная проекция поперечной оси левого желу</w:t>
        <w:softHyphen/>
        <w:t>дочка на уровне митрального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этой проекции свободные края створок формируют митральное отверстие. В систолу створки сомкнуты и визу</w:t>
        <w:softHyphen/>
        <w:t>ализируются в виде линейных эхо, расположенных эксцен</w:t>
        <w:softHyphen/>
        <w:t>трично, ближе к задней стенке левого желудочка. В диасто</w:t>
        <w:softHyphen/>
        <w:t>лу створки быстро расходятся, формируя овальной формы митральное отверстие.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Проекция 4-х камер с верхушки на уровне митральных створок.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Передняя митральная створка своим основанием отхо</w:t>
        <w:softHyphen/>
        <w:t>дит от центрального фиброзного тела, задняя — в области соединения предсердия с желудочком. Во время диастолы открытые створки имеют направление движения, парал</w:t>
        <w:softHyphen/>
        <w:t>лельное ультразвуковому потоку, в связи с чем они визуали</w:t>
        <w:softHyphen/>
        <w:t>зируются хуже по сравнению с фазой систолы.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Проекция 4-х камер с верхушки на уровне папиллярных мышц.</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этой проекции проводится визуализация подклапан</w:t>
        <w:softHyphen/>
        <w:t>ного аппарата, двух групп (медиальной и латеральной) па</w:t>
        <w:softHyphen/>
        <w:t>пиллярных мышц.</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Допплерэхокардиография митрального клапана позво</w:t>
        <w:softHyphen/>
        <w:t>ляет количественно оценить трансмитральный кровоток и функцию клапана. При наличии препятствия току крови через митральный клапан имеет место увеличение скорос</w:t>
        <w:softHyphen/>
        <w:t>ти максимального диастолического потока более 1,3 м/с.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Недостаточность митрального клапана диагностируют по наличию турбулентного систолического потока за створ - ками митрального клапана в левом предсердии.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Градации величины регургитации:</w:t>
      </w:r>
    </w:p>
    <w:p>
      <w:pPr>
        <w:pStyle w:val="Style30"/>
        <w:numPr>
          <w:ilvl w:val="0"/>
          <w:numId w:val="31"/>
        </w:numPr>
        <w:tabs>
          <w:tab w:leader="none" w:pos="45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 систолический регургитантный поток в области подлежащей митральному клапану;</w:t>
      </w:r>
    </w:p>
    <w:p>
      <w:pPr>
        <w:pStyle w:val="Style30"/>
        <w:numPr>
          <w:ilvl w:val="0"/>
          <w:numId w:val="31"/>
        </w:numPr>
        <w:tabs>
          <w:tab w:leader="none" w:pos="46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 систолический регургитантный поток распространяется на 1/3 полости левого предсердия;</w:t>
      </w:r>
    </w:p>
    <w:p>
      <w:pPr>
        <w:pStyle w:val="Style30"/>
        <w:numPr>
          <w:ilvl w:val="0"/>
          <w:numId w:val="31"/>
        </w:numPr>
        <w:tabs>
          <w:tab w:leader="none" w:pos="46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 систолический регургитантный поток распространяется на половину полости левого предсердия;</w:t>
      </w:r>
    </w:p>
    <w:p>
      <w:pPr>
        <w:pStyle w:val="Style30"/>
        <w:numPr>
          <w:ilvl w:val="0"/>
          <w:numId w:val="31"/>
        </w:numPr>
        <w:tabs>
          <w:tab w:leader="none" w:pos="466" w:val="left"/>
        </w:tabs>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степень (++++) — систолический регургитантный по</w:t>
        <w:softHyphen/>
        <w:t>ток распространяется больше чем на половину полости ле</w:t>
        <w:softHyphen/>
        <w:t>вого предсердия.</w:t>
      </w:r>
    </w:p>
    <w:p>
      <w:pPr>
        <w:pStyle w:val="Style92"/>
        <w:widowControl w:val="0"/>
        <w:keepNext/>
        <w:keepLines/>
        <w:shd w:val="clear" w:color="auto" w:fill="auto"/>
        <w:bidi w:val="0"/>
        <w:spacing w:before="0" w:after="0"/>
        <w:ind w:left="0" w:right="0" w:firstLine="280"/>
      </w:pPr>
      <w:bookmarkStart w:id="112" w:name="bookmark112"/>
      <w:r>
        <w:rPr>
          <w:lang w:val="ru-RU" w:eastAsia="ru-RU" w:bidi="ru-RU"/>
          <w:w w:val="100"/>
          <w:spacing w:val="0"/>
          <w:color w:val="000000"/>
          <w:position w:val="0"/>
        </w:rPr>
        <w:t>Аорта и аортальный клапан</w:t>
      </w:r>
      <w:bookmarkEnd w:id="11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Стенки корня аорты совершают параллельное движение кпереди в течение всей систолы и короткий период в нача</w:t>
        <w:softHyphen/>
        <w:t>ле диастолы. Передняя стенка аорты во время систолы име</w:t>
        <w:softHyphen/>
        <w:t>ет несколько большую амплитуду движения, чем задняя, что связано с относительным увеличением диаметра корня аорты во время систолы левого желудочка. К концу диасто</w:t>
        <w:softHyphen/>
        <w:br w:type="column"/>
        <w:t>лы аортальные стенки совершают небольшое заднее движе</w:t>
        <w:softHyphen/>
        <w:t>ние, что связано с систолой левого предсердия. Во время изоволюметрической контракции левого желудочка аор</w:t>
        <w:softHyphen/>
        <w:t>тальные стенки также могут совершать небольшое переме</w:t>
        <w:softHyphen/>
        <w:t>щение кзади. Систолическая экскурсия аортального корня определяется величиной левожелудочкового выброса и в норме должна быть не менее 5 мм. Стенки аортального корня в норме выглядят ровными и тонкими (2-3 мм). Сло</w:t>
        <w:softHyphen/>
        <w:t>истость эхосигнала может быть связана с направлением ультразвукового луча под углом к аортальной стенке.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просвете корня аорты полулунные створки совершают циклическое движение в виде параллелограмма в систолу и единой, срединно расположенной линии в диастолу. По</w:t>
        <w:softHyphen/>
        <w:t>лулунная створка, относящаяся к передней стенке корня аорты, анатомически является правой коронарной створ</w:t>
        <w:softHyphen/>
        <w:t>кой, а относящаяся к задней стенке — некоронарной полу</w:t>
        <w:softHyphen/>
        <w:t>лунной створкой. Иногда (примерно в 30% случаев) в сере</w:t>
        <w:softHyphen/>
        <w:t>дине просвета аорты во время систолы удается визуализи</w:t>
        <w:softHyphen/>
        <w:t>ровать левую коронарную створку. В норме скорости от</w:t>
        <w:softHyphen/>
        <w:t>крытия и закрытия аортального клапана равны. В систолу полулунные створки близко предлежат к соответствующим аортальным стенкам, данная дистанция не должна превы</w:t>
        <w:softHyphen/>
        <w:t>шать 2-3 мм. Нормативные значения диаметра корня аорты в большей степени зависят от роста ребенка и в меньшей степени ассоциируются с массой тела. Амплитуда систоли</w:t>
        <w:softHyphen/>
        <w:t>ческого открытия аортального клапана определяется вели</w:t>
        <w:softHyphen/>
        <w:t>чиной левожелудочкового выброса и морфологическим строением полулуний. Открытие аортального клапана должно быть не менее 15-16 мм.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Утолщение аортальных створок наблюдается при:</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клапанном стенозе аорты ревматической этиологии;</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инфекционном эндокардите;</w:t>
      </w:r>
    </w:p>
    <w:p>
      <w:pPr>
        <w:pStyle w:val="Style30"/>
        <w:numPr>
          <w:ilvl w:val="0"/>
          <w:numId w:val="27"/>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фиброзе аортального клапана при врожденном сте</w:t>
        <w:softHyphen/>
        <w:t>нозе;</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кальцификации аортального клапана;</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миксоматозе аортального клапана (при наследствен</w:t>
        <w:softHyphen/>
        <w:t>ных заболеваниях соединительной ткани, мукополи- сахаридозах).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Расширение корня аорты может наблюдаться при:</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расслаивающей аневризме восходящей аорты;</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аннуло-аортальной эктазии;</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аневризме синусов Вальсальвы;</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аорто-артериите;</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аортальной недостаточности;</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идиопатическом пролапсе митрального клапана;</w:t>
      </w:r>
    </w:p>
    <w:p>
      <w:pPr>
        <w:pStyle w:val="Style30"/>
        <w:numPr>
          <w:ilvl w:val="0"/>
          <w:numId w:val="27"/>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постстенотической дилатации при стенозе аорты (клапанном, подклапанном);</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предуктальной коарктации аорты;</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синдроме Марфана;</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недифференцированных соединительнотканных аномалиях (воронкообразная деформация грудной клетки, арахнодактилия);</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тетраде Фалло;</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двойной дуге аорты;</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общем артериальном стволе;</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аорто -левожелудочковом туннеле;</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двустворчатом аортальном клапане.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Уменьшение размеров аорты при:</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гипоплазии аорты;</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надклапанном аортальном стенозе;</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синдроме </w:t>
      </w:r>
      <w:r>
        <w:rPr>
          <w:lang w:val="en-US" w:eastAsia="en-US" w:bidi="en-US"/>
          <w:w w:val="100"/>
          <w:spacing w:val="0"/>
          <w:color w:val="000000"/>
          <w:position w:val="0"/>
        </w:rPr>
        <w:t>Marchesani;</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pict>
          <v:shape id="_x0000_s1097" type="#_x0000_t75" style="position:absolute;margin-left:136.8pt;margin-top:740.2pt;width:209.75pt;height:14.9pt;z-index:-125829347;mso-wrap-distance-left:136.8pt;mso-wrap-distance-right:148.1pt;mso-wrap-distance-bottom:20.pt;mso-position-horizontal-relative:margin;mso-position-vertical-relative:margin" wrapcoords="0 0 21600 0 21600 21600 0 21600 0 0">
            <v:imagedata r:id="rId114" r:href="rId115"/>
            <w10:wrap type="topAndBottom" anchorx="margin" anchory="margin"/>
          </v:shape>
        </w:pict>
      </w:r>
      <w:r>
        <w:rPr>
          <w:lang w:val="ru-RU" w:eastAsia="ru-RU" w:bidi="ru-RU"/>
          <w:w w:val="100"/>
          <w:spacing w:val="0"/>
          <w:color w:val="000000"/>
          <w:position w:val="0"/>
        </w:rPr>
        <w:t>синдроме гипоплазии левого желудочка.</w:t>
      </w:r>
      <w:r>
        <w:br w:type="page"/>
      </w:r>
    </w:p>
    <w:p>
      <w:pPr>
        <w:pStyle w:val="Style92"/>
        <w:widowControl w:val="0"/>
        <w:keepNext/>
        <w:keepLines/>
        <w:shd w:val="clear" w:color="auto" w:fill="auto"/>
        <w:bidi w:val="0"/>
        <w:spacing w:before="0" w:after="0"/>
        <w:ind w:left="0" w:right="0" w:firstLine="280"/>
      </w:pPr>
      <w:bookmarkStart w:id="113" w:name="bookmark113"/>
      <w:r>
        <w:rPr>
          <w:lang w:val="ru-RU" w:eastAsia="ru-RU" w:bidi="ru-RU"/>
          <w:w w:val="100"/>
          <w:spacing w:val="0"/>
          <w:color w:val="000000"/>
          <w:position w:val="0"/>
        </w:rPr>
        <w:t>Двухмерная эхокардиография аорты и аортального клапана</w:t>
      </w:r>
      <w:bookmarkEnd w:id="11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Аорту и створки визуализируют во взаимно перпендику</w:t>
        <w:softHyphen/>
        <w:t>лярных сечениях. В продольном парастернальном сечении проводится анализ структуры корня аорты, начала восходя</w:t>
        <w:softHyphen/>
        <w:t>щей аорты, а также подаортальной зоны и створок клапана. В поперечном парастернальном сечении на уровне магист</w:t>
        <w:softHyphen/>
        <w:t>ральных сосудов проводится оценка их взаиморасположе</w:t>
        <w:softHyphen/>
        <w:t>ния, визуализируют место отхождения левой и правой ко</w:t>
        <w:softHyphen/>
        <w:t>ронарной артерий, их взаимосвязь с синусами Вальсальвы. Восходящая часть аорты, дуга и нисходящая аорта в продо</w:t>
        <w:softHyphen/>
        <w:t>льном и поперечном сечениях изучаются из надгрудинного доступа и высокого парастернального доступа.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Допплерэхокардиография аорты и аортального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наличии препятствия току крови в выходном тракте левого желудочка или аорте возникает увеличение скорости систолического потока выше места сужения более 1,5 м/с.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Недостаточность аортального клапана диагностируют по появлению диастолического регургитантного потока в выходном тракте левого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Градации величины аортальной регургитации:</w:t>
      </w:r>
    </w:p>
    <w:p>
      <w:pPr>
        <w:pStyle w:val="Style30"/>
        <w:numPr>
          <w:ilvl w:val="0"/>
          <w:numId w:val="33"/>
        </w:numPr>
        <w:tabs>
          <w:tab w:leader="none" w:pos="48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 регургитантный поток непосредственно под створками аортального клапана;</w:t>
      </w:r>
    </w:p>
    <w:p>
      <w:pPr>
        <w:pStyle w:val="Style30"/>
        <w:numPr>
          <w:ilvl w:val="0"/>
          <w:numId w:val="33"/>
        </w:numPr>
        <w:tabs>
          <w:tab w:leader="none" w:pos="48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 регургитантный поток распространяет</w:t>
        <w:softHyphen/>
        <w:t>ся до уровня передней створки митрального клапана;</w:t>
      </w:r>
    </w:p>
    <w:p>
      <w:pPr>
        <w:pStyle w:val="Style30"/>
        <w:numPr>
          <w:ilvl w:val="0"/>
          <w:numId w:val="33"/>
        </w:numPr>
        <w:tabs>
          <w:tab w:leader="none" w:pos="48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 регургитантный поток распространя</w:t>
        <w:softHyphen/>
        <w:t>ется до уровня папиллярных мышц;</w:t>
      </w:r>
    </w:p>
    <w:p>
      <w:pPr>
        <w:pStyle w:val="Style30"/>
        <w:numPr>
          <w:ilvl w:val="0"/>
          <w:numId w:val="33"/>
        </w:numPr>
        <w:tabs>
          <w:tab w:leader="none" w:pos="480" w:val="left"/>
        </w:tabs>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степень (++++) — регургитантный поток регистриру</w:t>
        <w:softHyphen/>
        <w:t>ется в полости левого желудочка.</w:t>
      </w:r>
    </w:p>
    <w:p>
      <w:pPr>
        <w:pStyle w:val="Style92"/>
        <w:widowControl w:val="0"/>
        <w:keepNext/>
        <w:keepLines/>
        <w:shd w:val="clear" w:color="auto" w:fill="auto"/>
        <w:bidi w:val="0"/>
        <w:spacing w:before="0" w:after="0"/>
        <w:ind w:left="0" w:right="0" w:firstLine="280"/>
      </w:pPr>
      <w:bookmarkStart w:id="114" w:name="bookmark114"/>
      <w:r>
        <w:rPr>
          <w:lang w:val="ru-RU" w:eastAsia="ru-RU" w:bidi="ru-RU"/>
          <w:w w:val="100"/>
          <w:spacing w:val="0"/>
          <w:color w:val="000000"/>
          <w:position w:val="0"/>
        </w:rPr>
        <w:t>Эхокардиография легочной артерии</w:t>
      </w:r>
      <w:bookmarkEnd w:id="11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Ствол легочной артерии изучают в нескольких сечениях: продольной парастернальной оси выходного тракта право</w:t>
        <w:softHyphen/>
        <w:t>го желудочка, поперечном сечении на уровне магистраль</w:t>
        <w:softHyphen/>
        <w:t>ных сосудов, из супрастернального доступа в продольном и поперечном сканировании.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Дилатация ствола легочной артерии может наблюдаться при:</w:t>
      </w:r>
    </w:p>
    <w:p>
      <w:pPr>
        <w:pStyle w:val="Style30"/>
        <w:numPr>
          <w:ilvl w:val="0"/>
          <w:numId w:val="27"/>
        </w:numPr>
        <w:tabs>
          <w:tab w:leader="none" w:pos="48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идиопатической дилатации легочной артерии;</w:t>
      </w:r>
    </w:p>
    <w:p>
      <w:pPr>
        <w:pStyle w:val="Style30"/>
        <w:numPr>
          <w:ilvl w:val="0"/>
          <w:numId w:val="27"/>
        </w:numPr>
        <w:tabs>
          <w:tab w:leader="none" w:pos="48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постстенотической дилатации при клапанном стено</w:t>
        <w:softHyphen/>
        <w:t>зе легочной артерии;</w:t>
      </w:r>
    </w:p>
    <w:p>
      <w:pPr>
        <w:pStyle w:val="Style30"/>
        <w:numPr>
          <w:ilvl w:val="0"/>
          <w:numId w:val="27"/>
        </w:numPr>
        <w:tabs>
          <w:tab w:leader="none" w:pos="48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первичной легочной гипертензии;</w:t>
      </w:r>
    </w:p>
    <w:p>
      <w:pPr>
        <w:pStyle w:val="Style30"/>
        <w:numPr>
          <w:ilvl w:val="0"/>
          <w:numId w:val="27"/>
        </w:numPr>
        <w:tabs>
          <w:tab w:leader="none" w:pos="48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синдроме Эйзенменгера;</w:t>
      </w:r>
    </w:p>
    <w:p>
      <w:pPr>
        <w:pStyle w:val="Style30"/>
        <w:numPr>
          <w:ilvl w:val="0"/>
          <w:numId w:val="27"/>
        </w:numPr>
        <w:tabs>
          <w:tab w:leader="none" w:pos="48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дефекте межпредсердной перегородки;</w:t>
      </w:r>
    </w:p>
    <w:p>
      <w:pPr>
        <w:pStyle w:val="Style30"/>
        <w:numPr>
          <w:ilvl w:val="0"/>
          <w:numId w:val="27"/>
        </w:numPr>
        <w:tabs>
          <w:tab w:leader="none" w:pos="48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открытом атриовентрикулярном канале;</w:t>
      </w:r>
    </w:p>
    <w:p>
      <w:pPr>
        <w:pStyle w:val="Style30"/>
        <w:numPr>
          <w:ilvl w:val="0"/>
          <w:numId w:val="27"/>
        </w:numPr>
        <w:tabs>
          <w:tab w:leader="none" w:pos="48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синдроме гипоплазии левого желудочка;</w:t>
      </w:r>
    </w:p>
    <w:p>
      <w:pPr>
        <w:pStyle w:val="Style30"/>
        <w:numPr>
          <w:ilvl w:val="0"/>
          <w:numId w:val="27"/>
        </w:numPr>
        <w:tabs>
          <w:tab w:leader="none" w:pos="48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врожденном отсутствии клапана легочной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Уменьшение диаметра ствола легочной артерии харак</w:t>
        <w:softHyphen/>
        <w:t>терно для:</w:t>
      </w:r>
    </w:p>
    <w:p>
      <w:pPr>
        <w:pStyle w:val="Style30"/>
        <w:numPr>
          <w:ilvl w:val="0"/>
          <w:numId w:val="27"/>
        </w:numPr>
        <w:tabs>
          <w:tab w:leader="none" w:pos="48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гипоплазии легочной артерии;</w:t>
      </w:r>
    </w:p>
    <w:p>
      <w:pPr>
        <w:pStyle w:val="Style30"/>
        <w:numPr>
          <w:ilvl w:val="0"/>
          <w:numId w:val="27"/>
        </w:numPr>
        <w:tabs>
          <w:tab w:leader="none" w:pos="48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тетрады Фалло;</w:t>
      </w:r>
    </w:p>
    <w:p>
      <w:pPr>
        <w:pStyle w:val="Style30"/>
        <w:numPr>
          <w:ilvl w:val="0"/>
          <w:numId w:val="27"/>
        </w:numPr>
        <w:tabs>
          <w:tab w:leader="none" w:pos="48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двойного отхождения магистральных сосудов от пра</w:t>
        <w:softHyphen/>
        <w:t>вого желудочка;</w:t>
      </w:r>
    </w:p>
    <w:p>
      <w:pPr>
        <w:pStyle w:val="Style30"/>
        <w:numPr>
          <w:ilvl w:val="0"/>
          <w:numId w:val="27"/>
        </w:numPr>
        <w:tabs>
          <w:tab w:leader="none" w:pos="480" w:val="left"/>
        </w:tabs>
        <w:widowControl w:val="0"/>
        <w:keepNext w:val="0"/>
        <w:keepLines w:val="0"/>
        <w:shd w:val="clear" w:color="auto" w:fill="auto"/>
        <w:bidi w:val="0"/>
        <w:jc w:val="left"/>
        <w:spacing w:before="0" w:after="60"/>
        <w:ind w:left="520" w:right="0" w:hanging="240"/>
      </w:pPr>
      <w:r>
        <w:rPr>
          <w:lang w:val="ru-RU" w:eastAsia="ru-RU" w:bidi="ru-RU"/>
          <w:w w:val="100"/>
          <w:spacing w:val="0"/>
          <w:color w:val="000000"/>
          <w:position w:val="0"/>
        </w:rPr>
        <w:t>составного компонента многих сложных пороков сердца.</w:t>
      </w:r>
    </w:p>
    <w:p>
      <w:pPr>
        <w:pStyle w:val="Style92"/>
        <w:widowControl w:val="0"/>
        <w:keepNext/>
        <w:keepLines/>
        <w:shd w:val="clear" w:color="auto" w:fill="auto"/>
        <w:bidi w:val="0"/>
        <w:spacing w:before="0" w:after="0"/>
        <w:ind w:left="0" w:right="0" w:firstLine="280"/>
      </w:pPr>
      <w:bookmarkStart w:id="115" w:name="bookmark115"/>
      <w:r>
        <w:rPr>
          <w:lang w:val="ru-RU" w:eastAsia="ru-RU" w:bidi="ru-RU"/>
          <w:w w:val="100"/>
          <w:spacing w:val="0"/>
          <w:color w:val="000000"/>
          <w:position w:val="0"/>
        </w:rPr>
        <w:t>Допплер-ЭхоКГ легочной артерии</w:t>
      </w:r>
      <w:bookmarkEnd w:id="11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Позволяет количественно оценить показатели легочной гемодинамики, функцию правого желудочка и клапана легоч</w:t>
        <w:softHyphen/>
        <w:t>ной артерии. При наличии препятствия току крови в легочной артерии имеет место увеличение скорости максимального си</w:t>
        <w:softHyphen/>
        <w:t>столического потока более 1,1 м/с. При недостаточности кла</w:t>
        <w:softHyphen/>
        <w:t>пана легочной артерии регистрируется турбулентный поток в диастолу в выходном тракте правого желудочка.</w:t>
      </w:r>
    </w:p>
    <w:p>
      <w:pPr>
        <w:pStyle w:val="Style92"/>
        <w:widowControl w:val="0"/>
        <w:keepNext/>
        <w:keepLines/>
        <w:shd w:val="clear" w:color="auto" w:fill="auto"/>
        <w:bidi w:val="0"/>
        <w:spacing w:before="0" w:after="0" w:line="180" w:lineRule="exact"/>
        <w:ind w:left="520" w:right="0" w:hanging="240"/>
      </w:pPr>
      <w:r>
        <w:br w:type="column"/>
      </w:r>
      <w:bookmarkStart w:id="116" w:name="bookmark116"/>
      <w:r>
        <w:rPr>
          <w:lang w:val="ru-RU" w:eastAsia="ru-RU" w:bidi="ru-RU"/>
          <w:w w:val="100"/>
          <w:spacing w:val="0"/>
          <w:color w:val="000000"/>
          <w:position w:val="0"/>
        </w:rPr>
        <w:t>Градации величины клапанной регургитации:</w:t>
      </w:r>
      <w:bookmarkEnd w:id="116"/>
    </w:p>
    <w:p>
      <w:pPr>
        <w:pStyle w:val="Style30"/>
        <w:numPr>
          <w:ilvl w:val="0"/>
          <w:numId w:val="35"/>
        </w:numPr>
        <w:tabs>
          <w:tab w:leader="none" w:pos="465" w:val="left"/>
        </w:tabs>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степень (+) — регургитантный поток непосредственно под створками клапана легочной артерии;</w:t>
      </w:r>
    </w:p>
    <w:p>
      <w:pPr>
        <w:pStyle w:val="Style30"/>
        <w:numPr>
          <w:ilvl w:val="0"/>
          <w:numId w:val="35"/>
        </w:numPr>
        <w:tabs>
          <w:tab w:leader="none" w:pos="465" w:val="left"/>
        </w:tabs>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степень (++) — регургитантный поток распространяет</w:t>
        <w:softHyphen/>
        <w:t>ся до передней створки трикуспидального клапана;</w:t>
      </w:r>
    </w:p>
    <w:p>
      <w:pPr>
        <w:pStyle w:val="Style30"/>
        <w:numPr>
          <w:ilvl w:val="0"/>
          <w:numId w:val="35"/>
        </w:numPr>
        <w:tabs>
          <w:tab w:leader="none" w:pos="466" w:val="left"/>
        </w:tabs>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степень (+++) — регургитантный поток распространя</w:t>
        <w:softHyphen/>
        <w:t>ется до 1/2 полости правого желудочка;</w:t>
      </w:r>
    </w:p>
    <w:p>
      <w:pPr>
        <w:pStyle w:val="Style30"/>
        <w:numPr>
          <w:ilvl w:val="0"/>
          <w:numId w:val="35"/>
        </w:numPr>
        <w:tabs>
          <w:tab w:leader="none" w:pos="465" w:val="left"/>
        </w:tabs>
        <w:widowControl w:val="0"/>
        <w:keepNext w:val="0"/>
        <w:keepLines w:val="0"/>
        <w:shd w:val="clear" w:color="auto" w:fill="auto"/>
        <w:bidi w:val="0"/>
        <w:jc w:val="left"/>
        <w:spacing w:before="0" w:after="180"/>
        <w:ind w:left="0" w:right="0" w:firstLine="280"/>
      </w:pPr>
      <w:r>
        <w:rPr>
          <w:lang w:val="ru-RU" w:eastAsia="ru-RU" w:bidi="ru-RU"/>
          <w:w w:val="100"/>
          <w:spacing w:val="0"/>
          <w:color w:val="000000"/>
          <w:position w:val="0"/>
        </w:rPr>
        <w:t>степень (++++) — регургитантный поток распростра</w:t>
        <w:softHyphen/>
        <w:t>няется более чем на 1/2 полости правого желудочка.</w:t>
      </w:r>
    </w:p>
    <w:p>
      <w:pPr>
        <w:pStyle w:val="Style92"/>
        <w:widowControl w:val="0"/>
        <w:keepNext/>
        <w:keepLines/>
        <w:shd w:val="clear" w:color="auto" w:fill="auto"/>
        <w:bidi w:val="0"/>
        <w:jc w:val="left"/>
        <w:spacing w:before="0" w:after="0"/>
        <w:ind w:left="0" w:right="0" w:firstLine="280"/>
      </w:pPr>
      <w:bookmarkStart w:id="117" w:name="bookmark117"/>
      <w:r>
        <w:rPr>
          <w:lang w:val="ru-RU" w:eastAsia="ru-RU" w:bidi="ru-RU"/>
          <w:w w:val="100"/>
          <w:spacing w:val="0"/>
          <w:color w:val="000000"/>
          <w:position w:val="0"/>
        </w:rPr>
        <w:t>Эхокардиография в диагностике наиболее частых врож</w:t>
        <w:softHyphen/>
        <w:t>денных пороков сердца</w:t>
      </w:r>
      <w:bookmarkEnd w:id="117"/>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Дефект межжелудочковой перегородки</w:t>
      </w:r>
    </w:p>
    <w:p>
      <w:pPr>
        <w:pStyle w:val="Style30"/>
        <w:numPr>
          <w:ilvl w:val="0"/>
          <w:numId w:val="25"/>
        </w:numPr>
        <w:tabs>
          <w:tab w:leader="none" w:pos="46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Двухмерная допплерэхокардиография с цветовым картированием позволяет определить размер и лока</w:t>
        <w:softHyphen/>
        <w:t>лизацию ДМЖП. С помощью допплерографии до</w:t>
        <w:softHyphen/>
        <w:t>полнительно получают гемодинамические показате</w:t>
        <w:softHyphen/>
        <w:t>ли: давление в правом желудочке, давление в легоч</w:t>
        <w:softHyphen/>
        <w:t>ной артерии, межжелудочковый градиент.</w:t>
      </w:r>
    </w:p>
    <w:p>
      <w:pPr>
        <w:pStyle w:val="Style30"/>
        <w:numPr>
          <w:ilvl w:val="0"/>
          <w:numId w:val="25"/>
        </w:numPr>
        <w:tabs>
          <w:tab w:leader="none" w:pos="46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Размер левого предсердия и левого желудочка косвенно свидетельствует о величине лево-правого шунта. Размер дефекта обычно сопоставляют с размером аорты. Кбольшому дефекту относят размеры дефекта, соответ</w:t>
        <w:softHyphen/>
        <w:t>ствующие диаметру корня аорты. Умеренной величины дефекты соответствуют 1/2-1/3 диаметра аорты, ма</w:t>
        <w:softHyphen/>
        <w:t>ленькие дефекты меньше 1/3 диаметра корня аорты.</w:t>
      </w:r>
    </w:p>
    <w:p>
      <w:pPr>
        <w:pStyle w:val="Style30"/>
        <w:numPr>
          <w:ilvl w:val="0"/>
          <w:numId w:val="25"/>
        </w:numPr>
        <w:tabs>
          <w:tab w:leader="none" w:pos="46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Локализацию дефекта определяют из субкостальной, апикальной и парастернальной позиции датчика. Пе- римембранозные дефекты хорошо визуализируются из субкостальной позиции. Инфундибулярный де</w:t>
        <w:softHyphen/>
        <w:t>фект выявляют в проекции парастернальной длин</w:t>
        <w:softHyphen/>
        <w:t>ной и короткой оси. Одновременно определяется ве</w:t>
        <w:softHyphen/>
        <w:t>личина вторичной аортальной регургитации.</w:t>
      </w:r>
    </w:p>
    <w:p>
      <w:pPr>
        <w:pStyle w:val="Style30"/>
        <w:numPr>
          <w:ilvl w:val="0"/>
          <w:numId w:val="25"/>
        </w:numPr>
        <w:tabs>
          <w:tab w:leader="none" w:pos="46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Мышечные дефекты выявляются в парастернальной длинной и короткой оси, в апикальной проекции 4-х камер. Цветовой допплер позволяет обнаруживать небольшие дефекты. Приточные дефекты или пред</w:t>
        <w:softHyphen/>
        <w:t>сердно-желудочковые дефекты лучше всего опреде</w:t>
        <w:softHyphen/>
        <w:t>ляются в апикальной проекции 4-х камер.</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Дефект межпредсердной перегородки</w:t>
      </w:r>
    </w:p>
    <w:p>
      <w:pPr>
        <w:pStyle w:val="Style30"/>
        <w:numPr>
          <w:ilvl w:val="0"/>
          <w:numId w:val="25"/>
        </w:numPr>
        <w:tabs>
          <w:tab w:leader="none" w:pos="46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Эхокардиография позволяет определить место де</w:t>
        <w:softHyphen/>
        <w:t>фекта и величину лево-правого шунта. У детей млад</w:t>
        <w:softHyphen/>
        <w:t>шего возраста анатомия дефекта хорошо визуализи</w:t>
        <w:softHyphen/>
        <w:t>руется из субкостальной позиции. Место отхождения первичной перегородки можно визуализировать из модифицированной левой косой субкостальной про</w:t>
        <w:softHyphen/>
        <w:t>екции. Чрезпищеводная эхокардиография использу</w:t>
        <w:softHyphen/>
        <w:t>ется для диагностики межпредсердного дефекта у подростков и взрослых пациентов из-за ограниче</w:t>
        <w:softHyphen/>
        <w:t>ния трансторакального доступа. Методом чрезпище- водной эхокардиографии визуализируются дефекты в области венозного и коронарного синусов.</w:t>
      </w:r>
    </w:p>
    <w:p>
      <w:pPr>
        <w:pStyle w:val="Style30"/>
        <w:numPr>
          <w:ilvl w:val="0"/>
          <w:numId w:val="25"/>
        </w:numPr>
        <w:tabs>
          <w:tab w:leader="none" w:pos="46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Эхокардиография подтверждает диагноз первичного ДМПП или частично открытого атриовентрикуляр</w:t>
        <w:softHyphen/>
        <w:t>ного канала. При цветовой или импульсной доппле</w:t>
        <w:softHyphen/>
        <w:t>рографии устанавливается межпредсердный шунт и величина митральной регургитации. Двухмерную эхокардиографию проводят в проекции 4 камер с вер</w:t>
        <w:softHyphen/>
        <w:t>хушки сердца или субкостально.</w:t>
      </w:r>
    </w:p>
    <w:p>
      <w:pPr>
        <w:pStyle w:val="Style30"/>
        <w:numPr>
          <w:ilvl w:val="0"/>
          <w:numId w:val="25"/>
        </w:numPr>
        <w:tabs>
          <w:tab w:leader="none" w:pos="465" w:val="left"/>
        </w:tabs>
        <w:widowControl w:val="0"/>
        <w:keepNext w:val="0"/>
        <w:keepLines w:val="0"/>
        <w:shd w:val="clear" w:color="auto" w:fill="auto"/>
        <w:bidi w:val="0"/>
        <w:spacing w:before="0" w:after="0"/>
        <w:ind w:left="520" w:right="0" w:hanging="240"/>
      </w:pPr>
      <w:r>
        <w:pict>
          <v:shape id="_x0000_s1098" type="#_x0000_t75" style="position:absolute;margin-left:148.1pt;margin-top:739.95pt;width:209.75pt;height:14.9pt;z-index:-125829346;mso-wrap-distance-left:148.1pt;mso-wrap-distance-right:136.8pt;mso-wrap-distance-bottom:20.pt;mso-position-horizontal-relative:margin;mso-position-vertical-relative:margin" wrapcoords="0 0 21600 0 21600 21600 0 21600 0 0">
            <v:imagedata r:id="rId116" r:href="rId117"/>
            <w10:wrap type="topAndBottom" anchorx="margin" anchory="margin"/>
          </v:shape>
        </w:pict>
      </w:r>
      <w:r>
        <w:rPr>
          <w:lang w:val="ru-RU" w:eastAsia="ru-RU" w:bidi="ru-RU"/>
          <w:w w:val="100"/>
          <w:spacing w:val="0"/>
          <w:color w:val="000000"/>
          <w:position w:val="0"/>
        </w:rPr>
        <w:t>Первичный дефект визуализируется в области цент</w:t>
        <w:softHyphen/>
        <w:t>рального фиброзного тела в виде «обрыва» в нижней части предсердной перегородки. В этой проекции</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осуществляется дифференциальная диагностика пер - вичного ДМПП от дефекта в области коронарного синуса. Трудности в диагностике возникают, когда коронарный синус дилатирован и дренирует в верх</w:t>
        <w:softHyphen/>
        <w:t>нюю полую вену.</w:t>
      </w:r>
    </w:p>
    <w:p>
      <w:pPr>
        <w:pStyle w:val="Style30"/>
        <w:numPr>
          <w:ilvl w:val="0"/>
          <w:numId w:val="2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атриовентрикулярном септальном дефекте од</w:t>
        <w:softHyphen/>
        <w:t>новременно визуализируются трикуспидальный и митральный клапаны, септальные порции створок отходят от центрального фиброзного тела, отсутству</w:t>
        <w:softHyphen/>
        <w:t>ет дефект межжелудочковой перегородки. Наряду с расщеплением митральной створки возможна визу</w:t>
        <w:softHyphen/>
        <w:t>ализация расщепления трикуспидальной створки.</w:t>
      </w:r>
    </w:p>
    <w:p>
      <w:pPr>
        <w:pStyle w:val="Style30"/>
        <w:numPr>
          <w:ilvl w:val="0"/>
          <w:numId w:val="2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Когда определяется расщепление передней створки митрального клапана, отщепленный участок створки движется в сторону межжелудочковой перегородки. Иногда выявляются двойное отверстие митрального клапана и аномалии папиллярных мышц. Поскольку аортальный корень при этом пороке не располагается между митральным и трикуспидальным кольцом, аор</w:t>
        <w:softHyphen/>
        <w:t>тальный клапан занимает переднюю позицию. В ре</w:t>
        <w:softHyphen/>
        <w:t>зультате выходной тракт левого желудочка становится удлиненным и суженным (так называемый симптом «гусиной шеи»). Обструкция выходного тракта левого желудочка наблюдается, если расщепленная створка пересекает субаортальное пространство.</w:t>
      </w:r>
    </w:p>
    <w:p>
      <w:pPr>
        <w:pStyle w:val="Style30"/>
        <w:numPr>
          <w:ilvl w:val="0"/>
          <w:numId w:val="2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Допплерография выявляет шунт на уровне предсер</w:t>
        <w:softHyphen/>
        <w:t>дий. Это исследование лучше проводить из длинной субкостальной проекции. Осуществляется количест</w:t>
        <w:softHyphen/>
        <w:t>венная оценка регургитантного потока с митрального клапана. Трикуспидальная регургитация в типичных случаях минимальная при отсутствии легочной ги</w:t>
        <w:softHyphen/>
        <w:t>пертензии. Допплеровское исследование подтвер</w:t>
        <w:softHyphen/>
        <w:t>ждает наличие левожелудочкового-правопредсердно- го шунта и отсутствие межжелудочкового сообщения. Допплерография позволяет также дифференцировать первичный ДМПП от дилатированного коронарного синуса.</w:t>
      </w:r>
    </w:p>
    <w:p>
      <w:pPr>
        <w:pStyle w:val="Style30"/>
        <w:numPr>
          <w:ilvl w:val="0"/>
          <w:numId w:val="2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Допплеровское исследование в импульсном или по</w:t>
        <w:softHyphen/>
        <w:t>стоянном режимах определяет наличие и степень об</w:t>
        <w:softHyphen/>
        <w:t>струкции выходного тракта левого желудочка, отно</w:t>
        <w:softHyphen/>
        <w:t>сительный стеноз легочной артерии. Расчет пиковой скорости трикуспидальной регургитации позволяет определить давление в правом желудочке. Систоли</w:t>
        <w:softHyphen/>
        <w:t>ческое артериальное давление в легочной артерии бо</w:t>
        <w:softHyphen/>
        <w:t>лее 25 мм рт. ст. указывает на наличие легочной арте</w:t>
        <w:softHyphen/>
        <w:t>риальной гипертензии. Определение легочного арте</w:t>
        <w:softHyphen/>
        <w:t>риального давления методом постоянного допплера невозможно при наличии у больного левожелудочко- вого-правопредсердного шунта, поскольку поток че</w:t>
        <w:softHyphen/>
        <w:t>рез данный шунт не позволяет выявить регургитант- ный трикуспидальный поток.</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Открытый артериальный проток</w:t>
      </w:r>
    </w:p>
    <w:p>
      <w:pPr>
        <w:pStyle w:val="Style30"/>
        <w:numPr>
          <w:ilvl w:val="0"/>
          <w:numId w:val="2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 является стандартным методом ди - агностики открытого артериального протока. Визуа</w:t>
        <w:softHyphen/>
        <w:t>лизация протока осуществляется из супрастерналь</w:t>
        <w:softHyphen/>
        <w:t>ного доступа или в парастернальной короткой оси. В классических случаях открытый артериальный про</w:t>
        <w:softHyphen/>
        <w:t>ток соединяет ствол или левую ветвь легочной арте</w:t>
        <w:softHyphen/>
        <w:t>рии с аортой непосредственно под левой подключич</w:t>
        <w:softHyphen/>
        <w:t>ной артерией.</w:t>
      </w:r>
    </w:p>
    <w:p>
      <w:pPr>
        <w:pStyle w:val="Style30"/>
        <w:numPr>
          <w:ilvl w:val="0"/>
          <w:numId w:val="2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Если отсутствуют сопутствующие кардиальные ано</w:t>
        <w:softHyphen/>
        <w:t>малии, допплерэхокардиография выявляет постоян</w:t>
        <w:softHyphen/>
        <w:br w:type="column"/>
        <w:t>ный поток из аорты в легочную артерию. При боль</w:t>
        <w:softHyphen/>
        <w:t>шой величине лево-правого шунта регистрируется постоянный поток из дуги аорты в артериальный проток в диастолу и обратный поток крови в нисходя - щей аорте. В зависимости от объема шунта регистри</w:t>
        <w:softHyphen/>
        <w:t>руется постоянный поток в ветвях легочной артерии. Увеличение потока в легочные вены приводит к дила</w:t>
        <w:softHyphen/>
        <w:t>тации левого предсердия. При небольшом протоке размеры левого желудочка обычно нормальные, с увеличением шунта левый желудочек дилатируется преимущественно в диастолу.</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Дефект аортолегочной перегородки</w:t>
      </w:r>
    </w:p>
    <w:p>
      <w:pPr>
        <w:pStyle w:val="Style30"/>
        <w:numPr>
          <w:ilvl w:val="0"/>
          <w:numId w:val="25"/>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 выполненная опытным персона</w:t>
        <w:softHyphen/>
        <w:t>лом, позволяет выявить дефект и связанные отклоне</w:t>
        <w:softHyphen/>
        <w:t>ния фактически во всех случаях. Допплеровское цветное картирование выявляет ретроградный поток в поперечной дуге в течение диастолы. Если порок обнаружен, эхокардиографист должен особенно тща</w:t>
        <w:softHyphen/>
        <w:t>тельно искать другие отклонения, которые присут</w:t>
        <w:softHyphen/>
        <w:t>ствуют в 50% случаев дефектов аортолегочной пере</w:t>
        <w:softHyphen/>
        <w:t>городки. В дополнение к идентификации дефекта аортолегочной перегородки, проводится анализ от</w:t>
        <w:softHyphen/>
        <w:t>хождения легочных артерий, дуги аорты, наличие от</w:t>
        <w:softHyphen/>
        <w:t>крытого артериального протока и состояние коро</w:t>
        <w:softHyphen/>
        <w:t>нарных артерий.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Общий артериальный ствол</w:t>
      </w:r>
    </w:p>
    <w:p>
      <w:pPr>
        <w:pStyle w:val="Style30"/>
        <w:numPr>
          <w:ilvl w:val="0"/>
          <w:numId w:val="25"/>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двухмерном эхокардиографическом обследова</w:t>
        <w:softHyphen/>
        <w:t>нии в проекции длинной оси левого желудочка опре</w:t>
        <w:softHyphen/>
        <w:t>деляется широкий магистральный сосуд, пересекаю</w:t>
        <w:softHyphen/>
        <w:t>щий («верхом сидящий») перегородку, большой ДМЖП, заднее продолжение сохранено. В короткой проекции на уровне основания сердца правожелудоч</w:t>
        <w:softHyphen/>
        <w:t>ковый выводной тракт и клапан легочной артерии не идентифицируются. Из супрастернального доступа определяют место отхождения легочной артерии или ее ветвей от трункуса.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Аномалия Эбштейна</w:t>
      </w:r>
    </w:p>
    <w:p>
      <w:pPr>
        <w:pStyle w:val="Style30"/>
        <w:numPr>
          <w:ilvl w:val="0"/>
          <w:numId w:val="25"/>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 является наиболее информатив</w:t>
        <w:softHyphen/>
        <w:t>ным методом диагностики у больных с аномалией Эбштейна. Типичные данные, получаемые при эхо</w:t>
        <w:softHyphen/>
        <w:t>кардиографии, включают нарушения сегментальной анатомии правого желудочка в виде смещения створ</w:t>
        <w:softHyphen/>
        <w:t>ки трехстворчатого клапана, как правило, вниз от кольца клапана, дилатацию кольца клапана, дилата</w:t>
        <w:softHyphen/>
        <w:t>цию правого предсердия и правого желудочка, трех</w:t>
        <w:softHyphen/>
        <w:t>створчатую регургитацию, обструкцию выводного тракта правого желудочка, наличие открытого оваль</w:t>
        <w:softHyphen/>
        <w:t>ного окна или дефекта межпредсердной перегородки.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Атрезия трикуспидального клапана</w:t>
      </w:r>
    </w:p>
    <w:p>
      <w:pPr>
        <w:pStyle w:val="Style30"/>
        <w:numPr>
          <w:ilvl w:val="0"/>
          <w:numId w:val="25"/>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Именно благодаря эхокардиографии диагноз атрезии трехстворчатого клапана может быть поставлен с вы</w:t>
        <w:softHyphen/>
        <w:t>сокой достоверностью уже при рождении ребенка. Выявляются типичный для порока анатомический дефект, а также размер дефекта межпредсердной пе</w:t>
        <w:softHyphen/>
        <w:t>регородки, взаимное расположение крупных сосудов, скорость кровотока в легочной артерии, сократитель</w:t>
        <w:softHyphen/>
        <w:t>ная функция желудочков, состояние клапанов.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Транспозиция магистральных сосудов</w:t>
      </w:r>
    </w:p>
    <w:p>
      <w:pPr>
        <w:pStyle w:val="Style30"/>
        <w:numPr>
          <w:ilvl w:val="0"/>
          <w:numId w:val="25"/>
        </w:numPr>
        <w:tabs>
          <w:tab w:leader="none" w:pos="237" w:val="left"/>
        </w:tabs>
        <w:widowControl w:val="0"/>
        <w:keepNext w:val="0"/>
        <w:keepLines w:val="0"/>
        <w:shd w:val="clear" w:color="auto" w:fill="auto"/>
        <w:bidi w:val="0"/>
        <w:spacing w:before="0" w:after="0"/>
        <w:ind w:left="280" w:right="0" w:hanging="280"/>
      </w:pPr>
      <w:r>
        <w:pict>
          <v:shape id="_x0000_s1099" type="#_x0000_t75" style="position:absolute;margin-left:130.45pt;margin-top:740.2pt;width:209.75pt;height:14.9pt;z-index:-125829345;mso-wrap-distance-left:124.1pt;mso-wrap-distance-right:148.1pt;mso-wrap-distance-bottom:20.pt;mso-position-horizontal-relative:margin;mso-position-vertical-relative:margin" wrapcoords="0 0 21600 0 21600 21600 0 21600 0 0">
            <v:imagedata r:id="rId118" r:href="rId119"/>
            <w10:wrap type="topAndBottom" anchorx="margin" anchory="margin"/>
          </v:shape>
        </w:pict>
      </w:r>
      <w:r>
        <w:rPr>
          <w:lang w:val="ru-RU" w:eastAsia="ru-RU" w:bidi="ru-RU"/>
          <w:w w:val="100"/>
          <w:spacing w:val="0"/>
          <w:color w:val="000000"/>
          <w:position w:val="0"/>
        </w:rPr>
        <w:t>Эхокардиографическая диагностика ТМС основана на идентификации желудочков и магистральных со</w:t>
        <w:softHyphen/>
        <w:t>судов, определении их пространственного взаимо</w:t>
        <w:softHyphen/>
        <w:t>расположения и отношения к желудочкам. В пара-</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стернальной проекции короткой оси на уровне осно</w:t>
        <w:softHyphen/>
        <w:t>вания сердца аорта видна спереди и справа (D-транс</w:t>
        <w:softHyphen/>
        <w:t xml:space="preserve">позиция) или спереди и слева </w:t>
      </w:r>
      <w:r>
        <w:rPr>
          <w:lang w:val="en-US" w:eastAsia="en-US" w:bidi="en-US"/>
          <w:w w:val="100"/>
          <w:spacing w:val="0"/>
          <w:color w:val="000000"/>
          <w:position w:val="0"/>
        </w:rPr>
        <w:t>(L</w:t>
      </w:r>
      <w:r>
        <w:rPr>
          <w:lang w:val="ru-RU" w:eastAsia="ru-RU" w:bidi="ru-RU"/>
          <w:w w:val="100"/>
          <w:spacing w:val="0"/>
          <w:color w:val="000000"/>
          <w:position w:val="0"/>
        </w:rPr>
        <w:t>-транспозиция) от легочной артерии. В проекции длинной оси лево</w:t>
        <w:softHyphen/>
        <w:t>го желудочка видна параллельная ориентация вывод</w:t>
        <w:softHyphen/>
        <w:t>ных трактов обоих желудочков и обоих магистраль</w:t>
        <w:softHyphen/>
        <w:t>ных сосудов; причем легочная артерия отходит от ле</w:t>
        <w:softHyphen/>
        <w:t>вого желудочка и имеется митрально-полулунное продолжение.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Тетрада Фалло</w:t>
      </w:r>
    </w:p>
    <w:p>
      <w:pPr>
        <w:pStyle w:val="Style30"/>
        <w:widowControl w:val="0"/>
        <w:keepNext w:val="0"/>
        <w:keepLines w:val="0"/>
        <w:shd w:val="clear" w:color="auto" w:fill="auto"/>
        <w:bidi w:val="0"/>
        <w:spacing w:before="0" w:after="193"/>
        <w:ind w:left="520" w:right="0" w:hanging="240"/>
      </w:pPr>
      <w:r>
        <w:rPr>
          <w:lang w:val="ru-RU" w:eastAsia="ru-RU" w:bidi="ru-RU"/>
          <w:w w:val="100"/>
          <w:spacing w:val="0"/>
          <w:color w:val="000000"/>
          <w:position w:val="0"/>
        </w:rPr>
        <w:t>• Эхокардиография позволяет непосредственно опре</w:t>
        <w:softHyphen/>
        <w:t>делить величину смещения аорты, размер субаор</w:t>
        <w:softHyphen/>
        <w:t>тального ДМЖП, степень легочного стеноза. В про</w:t>
        <w:softHyphen/>
        <w:t>екции длинной оси левого желудочка из парастер</w:t>
        <w:softHyphen/>
        <w:t>нального доступа определяются дилатированная аор</w:t>
        <w:softHyphen/>
        <w:t>та, пересекающая межжелудочковую перегородку, большой межжелудочковый дефект. В поперечных сечениях на уровне магистральных сосудов выявля</w:t>
        <w:softHyphen/>
        <w:t>ются гипоплазированный выводной тракт правого желудочка, маленький клапан легочной артерии с нормальными ее ветвями и бифуркацией. Величина стеноза легочной артерии определяется допплерэхо</w:t>
        <w:softHyphen/>
        <w:t>кардиографией.</w:t>
      </w:r>
    </w:p>
    <w:p>
      <w:pPr>
        <w:pStyle w:val="Style48"/>
        <w:widowControl w:val="0"/>
        <w:keepNext/>
        <w:keepLines/>
        <w:shd w:val="clear" w:color="auto" w:fill="auto"/>
        <w:bidi w:val="0"/>
        <w:jc w:val="left"/>
        <w:spacing w:before="0" w:after="130" w:line="200" w:lineRule="exact"/>
        <w:ind w:left="0" w:right="0" w:firstLine="0"/>
      </w:pPr>
      <w:bookmarkStart w:id="118" w:name="bookmark118"/>
      <w:r>
        <w:rPr>
          <w:lang w:val="ru-RU" w:eastAsia="ru-RU" w:bidi="ru-RU"/>
          <w:w w:val="100"/>
          <w:spacing w:val="0"/>
          <w:color w:val="000000"/>
          <w:position w:val="0"/>
        </w:rPr>
        <w:t>Семиотика в кардиологии</w:t>
      </w:r>
      <w:bookmarkEnd w:id="118"/>
    </w:p>
    <w:p>
      <w:pPr>
        <w:pStyle w:val="Style30"/>
        <w:widowControl w:val="0"/>
        <w:keepNext w:val="0"/>
        <w:keepLines w:val="0"/>
        <w:shd w:val="clear" w:color="auto" w:fill="auto"/>
        <w:bidi w:val="0"/>
        <w:spacing w:before="0" w:after="0" w:line="180" w:lineRule="exact"/>
        <w:ind w:left="520" w:right="0" w:hanging="240"/>
      </w:pPr>
      <w:r>
        <w:rPr>
          <w:lang w:val="ru-RU" w:eastAsia="ru-RU" w:bidi="ru-RU"/>
          <w:w w:val="100"/>
          <w:spacing w:val="0"/>
          <w:color w:val="000000"/>
          <w:position w:val="0"/>
        </w:rPr>
        <w:t>Абрами симптом</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Кутано-висцеральный рефлекс: при раздражении ко</w:t>
        <w:softHyphen/>
        <w:t>жи в области сердца уменьшаются границы сердечной ту</w:t>
        <w:softHyphen/>
        <w:t>пости.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Айерсы синдром </w:t>
      </w:r>
      <w:r>
        <w:rPr>
          <w:lang w:val="en-US" w:eastAsia="en-US" w:bidi="en-US"/>
          <w:w w:val="100"/>
          <w:spacing w:val="0"/>
          <w:color w:val="000000"/>
          <w:position w:val="0"/>
        </w:rPr>
        <w:t xml:space="preserve">(Ayerza syndrome) </w:t>
      </w:r>
      <w:r>
        <w:rPr>
          <w:lang w:val="ru-RU" w:eastAsia="ru-RU" w:bidi="ru-RU"/>
          <w:w w:val="100"/>
          <w:spacing w:val="0"/>
          <w:color w:val="000000"/>
          <w:position w:val="0"/>
        </w:rPr>
        <w:t>/син. черная кардио</w:t>
        <w:softHyphen/>
        <w:t xml:space="preserve">патия </w:t>
      </w:r>
      <w:r>
        <w:rPr>
          <w:lang w:val="en-US" w:eastAsia="en-US" w:bidi="en-US"/>
          <w:w w:val="100"/>
          <w:spacing w:val="0"/>
          <w:color w:val="000000"/>
          <w:position w:val="0"/>
        </w:rPr>
        <w:t xml:space="preserve">(cardiopathia nigra), </w:t>
      </w:r>
      <w:r>
        <w:rPr>
          <w:lang w:val="ru-RU" w:eastAsia="ru-RU" w:bidi="ru-RU"/>
          <w:w w:val="100"/>
          <w:spacing w:val="0"/>
          <w:color w:val="000000"/>
          <w:position w:val="0"/>
        </w:rPr>
        <w:t xml:space="preserve">черного цианоза синдром, плек- согенная легочная артериопатия, болезнь </w:t>
      </w:r>
      <w:r>
        <w:rPr>
          <w:lang w:val="en-US" w:eastAsia="en-US" w:bidi="en-US"/>
          <w:w w:val="100"/>
          <w:spacing w:val="0"/>
          <w:color w:val="000000"/>
          <w:position w:val="0"/>
        </w:rPr>
        <w:t>Ayerza-Arrilaga/</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Склероз легочных артерий при хроническом легочном сердце в сочетании с выраженным цианозом. В ряде случа</w:t>
        <w:softHyphen/>
        <w:t>ев синдромом Айерсы обозначают крайнюю степень выра</w:t>
        <w:softHyphen/>
        <w:t>женности идиопатической (первичной) легочной гипер</w:t>
        <w:softHyphen/>
        <w:t>тензии.</w:t>
      </w:r>
    </w:p>
    <w:p>
      <w:pPr>
        <w:pStyle w:val="Style92"/>
        <w:widowControl w:val="0"/>
        <w:keepNext/>
        <w:keepLines/>
        <w:shd w:val="clear" w:color="auto" w:fill="auto"/>
        <w:bidi w:val="0"/>
        <w:spacing w:before="0" w:after="0"/>
        <w:ind w:left="520" w:right="0" w:hanging="240"/>
      </w:pPr>
      <w:bookmarkStart w:id="119" w:name="bookmark119"/>
      <w:r>
        <w:rPr>
          <w:lang w:val="ru-RU" w:eastAsia="ru-RU" w:bidi="ru-RU"/>
          <w:w w:val="100"/>
          <w:spacing w:val="0"/>
          <w:color w:val="000000"/>
          <w:position w:val="0"/>
        </w:rPr>
        <w:t>Акромегалическое сердце</w:t>
      </w:r>
      <w:bookmarkEnd w:id="11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Симптомокомплекс кардиоваскулярных нарушений, сочетающихся с акромегалией.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Синдром акромегалического сердца встречается в 70% случаев среди больных акромегалией. Для него характерна различная степень выраженности сердечной недостаточно</w:t>
        <w:softHyphen/>
        <w:t>сти, наиболее часты одышка при физической нагрузке, сердцебиение, кардиомегалия. Примерно у 1/3 детей на</w:t>
        <w:softHyphen/>
        <w:t>блюдается артериальная гипертензия.</w:t>
      </w:r>
    </w:p>
    <w:p>
      <w:pPr>
        <w:pStyle w:val="Style92"/>
        <w:widowControl w:val="0"/>
        <w:keepNext/>
        <w:keepLines/>
        <w:shd w:val="clear" w:color="auto" w:fill="auto"/>
        <w:bidi w:val="0"/>
        <w:spacing w:before="0" w:after="0"/>
        <w:ind w:left="520" w:right="0" w:hanging="240"/>
      </w:pPr>
      <w:bookmarkStart w:id="120" w:name="bookmark120"/>
      <w:r>
        <w:rPr>
          <w:lang w:val="ru-RU" w:eastAsia="ru-RU" w:bidi="ru-RU"/>
          <w:w w:val="100"/>
          <w:spacing w:val="0"/>
          <w:color w:val="000000"/>
          <w:position w:val="0"/>
        </w:rPr>
        <w:t xml:space="preserve">Алкогольный синдром плода </w:t>
      </w:r>
      <w:r>
        <w:rPr>
          <w:lang w:val="en-US" w:eastAsia="en-US" w:bidi="en-US"/>
          <w:w w:val="100"/>
          <w:spacing w:val="0"/>
          <w:color w:val="000000"/>
          <w:position w:val="0"/>
        </w:rPr>
        <w:t>(Fetal alcohol syndrome)</w:t>
      </w:r>
      <w:bookmarkEnd w:id="12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Симптомокомплекс нарушения физического и умствен</w:t>
        <w:softHyphen/>
        <w:t>ного развития, врожденных дефектов, связанный с злоупо</w:t>
        <w:softHyphen/>
        <w:t>треблением алкоголя матерью во время беременности:</w:t>
      </w:r>
    </w:p>
    <w:p>
      <w:pPr>
        <w:pStyle w:val="Style30"/>
        <w:numPr>
          <w:ilvl w:val="0"/>
          <w:numId w:val="27"/>
        </w:numPr>
        <w:tabs>
          <w:tab w:leader="none" w:pos="514"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низкие весо-ростовые показатели с периода ново- рожденности, малые размеры головы;</w:t>
      </w:r>
    </w:p>
    <w:p>
      <w:pPr>
        <w:pStyle w:val="Style30"/>
        <w:numPr>
          <w:ilvl w:val="0"/>
          <w:numId w:val="27"/>
        </w:numPr>
        <w:tabs>
          <w:tab w:leader="none" w:pos="514"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отставание в умственном развитии </w:t>
      </w:r>
      <w:r>
        <w:rPr>
          <w:lang w:val="en-US" w:eastAsia="en-US" w:bidi="en-US"/>
          <w:w w:val="100"/>
          <w:spacing w:val="0"/>
          <w:color w:val="000000"/>
          <w:position w:val="0"/>
        </w:rPr>
        <w:t xml:space="preserve">(IQ </w:t>
      </w:r>
      <w:r>
        <w:rPr>
          <w:lang w:val="ru-RU" w:eastAsia="ru-RU" w:bidi="ru-RU"/>
          <w:w w:val="100"/>
          <w:spacing w:val="0"/>
          <w:color w:val="000000"/>
          <w:position w:val="0"/>
        </w:rPr>
        <w:t>в пределах 50-85, в среднем 60);</w:t>
      </w:r>
    </w:p>
    <w:p>
      <w:pPr>
        <w:pStyle w:val="Style30"/>
        <w:numPr>
          <w:ilvl w:val="0"/>
          <w:numId w:val="27"/>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лицевые аномалии: микроцефалия, маленькая верх</w:t>
        <w:softHyphen/>
        <w:t>няя челюсть, короткий, приподнятый нос, тонкая верхняя губа, маленькие, узкие глаза;</w:t>
      </w:r>
    </w:p>
    <w:p>
      <w:pPr>
        <w:pStyle w:val="Style30"/>
        <w:numPr>
          <w:ilvl w:val="0"/>
          <w:numId w:val="27"/>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аномалии конечностей и зубов;</w:t>
      </w:r>
    </w:p>
    <w:p>
      <w:pPr>
        <w:pStyle w:val="Style30"/>
        <w:widowControl w:val="0"/>
        <w:keepNext w:val="0"/>
        <w:keepLines w:val="0"/>
        <w:shd w:val="clear" w:color="auto" w:fill="auto"/>
        <w:bidi w:val="0"/>
        <w:spacing w:before="0" w:after="120"/>
        <w:ind w:left="520" w:right="0" w:hanging="240"/>
      </w:pPr>
      <w:r>
        <w:br w:type="column"/>
      </w:r>
      <w:r>
        <w:rPr>
          <w:lang w:val="ru-RU" w:eastAsia="ru-RU" w:bidi="ru-RU"/>
          <w:w w:val="100"/>
          <w:spacing w:val="0"/>
          <w:color w:val="000000"/>
          <w:position w:val="0"/>
        </w:rPr>
        <w:t>- с высокой частотой (50% и более) встречаются врож</w:t>
        <w:softHyphen/>
        <w:t>денные пороки сердца, преимущественно дефекты межжелудочковой или межпредсердной перегородок.</w:t>
      </w:r>
    </w:p>
    <w:p>
      <w:pPr>
        <w:pStyle w:val="Style92"/>
        <w:widowControl w:val="0"/>
        <w:keepNext/>
        <w:keepLines/>
        <w:shd w:val="clear" w:color="auto" w:fill="auto"/>
        <w:bidi w:val="0"/>
        <w:spacing w:before="0" w:after="0"/>
        <w:ind w:left="0" w:right="0" w:firstLine="280"/>
      </w:pPr>
      <w:bookmarkStart w:id="121" w:name="bookmark121"/>
      <w:r>
        <w:rPr>
          <w:lang w:val="ru-RU" w:eastAsia="ru-RU" w:bidi="ru-RU"/>
          <w:w w:val="100"/>
          <w:spacing w:val="0"/>
          <w:color w:val="000000"/>
          <w:position w:val="0"/>
        </w:rPr>
        <w:t>Аллена симптом</w:t>
      </w:r>
      <w:bookmarkEnd w:id="121"/>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Кратковременная боль в груди, одышка, тахикардия. На</w:t>
        <w:softHyphen/>
        <w:t>блюдается при эмболии мелких ветвей легочной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Аллоритмии симптом </w:t>
      </w:r>
      <w:r>
        <w:rPr>
          <w:lang w:val="en-US" w:eastAsia="en-US" w:bidi="en-US"/>
          <w:w w:val="100"/>
          <w:spacing w:val="0"/>
          <w:color w:val="000000"/>
          <w:position w:val="0"/>
        </w:rPr>
        <w:t>(allorhythmia)</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Форма нарушения ритма сердца, характеризующаяся регулярным появлением экстрасистолы после определен</w:t>
        <w:softHyphen/>
        <w:t>ного количества синусовых сокращений (бигеминия — после каждого синусового сокращения, тригеминия — пос</w:t>
        <w:softHyphen/>
        <w:t>ле двух синусовых сокращений, квадригеминия — после трех синусовых сокращений).</w:t>
      </w:r>
    </w:p>
    <w:p>
      <w:pPr>
        <w:pStyle w:val="Style92"/>
        <w:widowControl w:val="0"/>
        <w:keepNext/>
        <w:keepLines/>
        <w:shd w:val="clear" w:color="auto" w:fill="auto"/>
        <w:bidi w:val="0"/>
        <w:spacing w:before="0" w:after="0"/>
        <w:ind w:left="0" w:right="0" w:firstLine="280"/>
      </w:pPr>
      <w:bookmarkStart w:id="122" w:name="bookmark122"/>
      <w:r>
        <w:rPr>
          <w:lang w:val="ru-RU" w:eastAsia="ru-RU" w:bidi="ru-RU"/>
          <w:w w:val="100"/>
          <w:spacing w:val="0"/>
          <w:color w:val="000000"/>
          <w:position w:val="0"/>
        </w:rPr>
        <w:t>Анкелиса-Венкебаха симптом</w:t>
      </w:r>
      <w:bookmarkEnd w:id="122"/>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слипчивого перикардита: во время вдоха огра</w:t>
        <w:softHyphen/>
        <w:t>ничение подвижности диафрагмы книзу.</w:t>
      </w:r>
    </w:p>
    <w:p>
      <w:pPr>
        <w:pStyle w:val="Style92"/>
        <w:widowControl w:val="0"/>
        <w:keepNext/>
        <w:keepLines/>
        <w:shd w:val="clear" w:color="auto" w:fill="auto"/>
        <w:bidi w:val="0"/>
        <w:spacing w:before="0" w:after="0"/>
        <w:ind w:left="0" w:right="0" w:firstLine="280"/>
      </w:pPr>
      <w:bookmarkStart w:id="123" w:name="bookmark123"/>
      <w:r>
        <w:rPr>
          <w:lang w:val="ru-RU" w:eastAsia="ru-RU" w:bidi="ru-RU"/>
          <w:w w:val="100"/>
          <w:spacing w:val="0"/>
          <w:color w:val="000000"/>
          <w:position w:val="0"/>
        </w:rPr>
        <w:t xml:space="preserve">Ауэнбруггера симптом </w:t>
      </w:r>
      <w:r>
        <w:rPr>
          <w:lang w:val="en-US" w:eastAsia="en-US" w:bidi="en-US"/>
          <w:w w:val="100"/>
          <w:spacing w:val="0"/>
          <w:color w:val="000000"/>
          <w:position w:val="0"/>
        </w:rPr>
        <w:t>I (Auenbrugger)</w:t>
      </w:r>
      <w:bookmarkEnd w:id="123"/>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выпотного перикардита: уменьшение зоны тимпанического перкуторного звука над пространством Траубе.</w:t>
      </w:r>
    </w:p>
    <w:p>
      <w:pPr>
        <w:pStyle w:val="Style92"/>
        <w:widowControl w:val="0"/>
        <w:keepNext/>
        <w:keepLines/>
        <w:shd w:val="clear" w:color="auto" w:fill="auto"/>
        <w:bidi w:val="0"/>
        <w:spacing w:before="0" w:after="0"/>
        <w:ind w:left="0" w:right="0" w:firstLine="280"/>
      </w:pPr>
      <w:bookmarkStart w:id="124" w:name="bookmark124"/>
      <w:r>
        <w:rPr>
          <w:lang w:val="ru-RU" w:eastAsia="ru-RU" w:bidi="ru-RU"/>
          <w:w w:val="100"/>
          <w:spacing w:val="0"/>
          <w:color w:val="000000"/>
          <w:position w:val="0"/>
        </w:rPr>
        <w:t xml:space="preserve">Ауэнбруггера симптом II </w:t>
      </w:r>
      <w:r>
        <w:rPr>
          <w:lang w:val="en-US" w:eastAsia="en-US" w:bidi="en-US"/>
          <w:w w:val="100"/>
          <w:spacing w:val="0"/>
          <w:color w:val="000000"/>
          <w:position w:val="0"/>
        </w:rPr>
        <w:t>(Auenbrugger)</w:t>
      </w:r>
      <w:bookmarkEnd w:id="124"/>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выпотного перикардита при большом перикар</w:t>
        <w:softHyphen/>
        <w:t>диальном выпоте: выпячивание подложечной области или всей подреберной области, связанное с увеличением печени.</w:t>
      </w:r>
    </w:p>
    <w:p>
      <w:pPr>
        <w:pStyle w:val="Style92"/>
        <w:widowControl w:val="0"/>
        <w:keepNext/>
        <w:keepLines/>
        <w:shd w:val="clear" w:color="auto" w:fill="auto"/>
        <w:bidi w:val="0"/>
        <w:spacing w:before="0" w:after="0"/>
        <w:ind w:left="0" w:right="0" w:firstLine="280"/>
      </w:pPr>
      <w:bookmarkStart w:id="125" w:name="bookmark125"/>
      <w:r>
        <w:rPr>
          <w:lang w:val="ru-RU" w:eastAsia="ru-RU" w:bidi="ru-RU"/>
          <w:w w:val="100"/>
          <w:spacing w:val="0"/>
          <w:color w:val="000000"/>
          <w:position w:val="0"/>
        </w:rPr>
        <w:t xml:space="preserve">Ауэнбруггера симптом </w:t>
      </w:r>
      <w:r>
        <w:rPr>
          <w:lang w:val="en-US" w:eastAsia="en-US" w:bidi="en-US"/>
          <w:w w:val="100"/>
          <w:spacing w:val="0"/>
          <w:color w:val="000000"/>
          <w:position w:val="0"/>
        </w:rPr>
        <w:t>III (Auenbrugger)</w:t>
      </w:r>
      <w:bookmarkEnd w:id="125"/>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Выпячивание в области сердца и мечевидного отростка: возможный признак экссудативного перикардита, мит</w:t>
        <w:softHyphen/>
        <w:t>рального стеноза или выраженной трикуспидальной недо</w:t>
        <w:softHyphen/>
        <w:t>статочности.</w:t>
      </w:r>
    </w:p>
    <w:p>
      <w:pPr>
        <w:pStyle w:val="Style92"/>
        <w:widowControl w:val="0"/>
        <w:keepNext/>
        <w:keepLines/>
        <w:shd w:val="clear" w:color="auto" w:fill="auto"/>
        <w:bidi w:val="0"/>
        <w:spacing w:before="0" w:after="0"/>
        <w:ind w:left="0" w:right="0" w:firstLine="280"/>
      </w:pPr>
      <w:bookmarkStart w:id="126" w:name="bookmark126"/>
      <w:r>
        <w:rPr>
          <w:lang w:val="ru-RU" w:eastAsia="ru-RU" w:bidi="ru-RU"/>
          <w:w w:val="100"/>
          <w:spacing w:val="0"/>
          <w:color w:val="000000"/>
          <w:position w:val="0"/>
        </w:rPr>
        <w:t>Ашнера прием</w:t>
      </w:r>
      <w:bookmarkEnd w:id="126"/>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Способ прекращения пароксизма суправентрикулярной тахикардии, основанный на стимуляции блуждающего не</w:t>
        <w:softHyphen/>
        <w:t>рва: одновременное сильное надавливание мякотью боль</w:t>
        <w:softHyphen/>
        <w:t>ших пальцев рук на глазные яблоки в течение 10-15 секунд (противопоказана у детей с миопией).</w:t>
      </w:r>
    </w:p>
    <w:p>
      <w:pPr>
        <w:pStyle w:val="Style92"/>
        <w:widowControl w:val="0"/>
        <w:keepNext/>
        <w:keepLines/>
        <w:shd w:val="clear" w:color="auto" w:fill="auto"/>
        <w:bidi w:val="0"/>
        <w:spacing w:before="0" w:after="0"/>
        <w:ind w:left="0" w:right="0" w:firstLine="280"/>
      </w:pPr>
      <w:bookmarkStart w:id="127" w:name="bookmark127"/>
      <w:r>
        <w:rPr>
          <w:lang w:val="ru-RU" w:eastAsia="ru-RU" w:bidi="ru-RU"/>
          <w:w w:val="100"/>
          <w:spacing w:val="0"/>
          <w:color w:val="000000"/>
          <w:position w:val="0"/>
        </w:rPr>
        <w:t xml:space="preserve">Бабеша симптом </w:t>
      </w:r>
      <w:r>
        <w:rPr>
          <w:lang w:val="en-US" w:eastAsia="en-US" w:bidi="en-US"/>
          <w:w w:val="100"/>
          <w:spacing w:val="0"/>
          <w:color w:val="000000"/>
          <w:position w:val="0"/>
        </w:rPr>
        <w:t>(Babes)</w:t>
      </w:r>
      <w:bookmarkEnd w:id="127"/>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аневризмы брюшной аорты: ригидность брюш</w:t>
        <w:softHyphen/>
        <w:t>ной стенки с болезненностью при пальпации в области проекции селезеночной артерии.</w:t>
      </w:r>
    </w:p>
    <w:p>
      <w:pPr>
        <w:pStyle w:val="Style92"/>
        <w:widowControl w:val="0"/>
        <w:keepNext/>
        <w:keepLines/>
        <w:shd w:val="clear" w:color="auto" w:fill="auto"/>
        <w:bidi w:val="0"/>
        <w:spacing w:before="0" w:after="0"/>
        <w:ind w:left="0" w:right="0" w:firstLine="280"/>
      </w:pPr>
      <w:bookmarkStart w:id="128" w:name="bookmark128"/>
      <w:r>
        <w:rPr>
          <w:lang w:val="ru-RU" w:eastAsia="ru-RU" w:bidi="ru-RU"/>
          <w:w w:val="100"/>
          <w:spacing w:val="0"/>
          <w:color w:val="000000"/>
          <w:position w:val="0"/>
        </w:rPr>
        <w:t>«Бабочки» симптом</w:t>
      </w:r>
      <w:bookmarkEnd w:id="128"/>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Патогномоничный признак системной красной волчан</w:t>
        <w:softHyphen/>
        <w:t>ки: эритематозные высыпания различной интенсивности на лице (переносица и щеки) в виде бабочки.</w:t>
      </w:r>
    </w:p>
    <w:p>
      <w:pPr>
        <w:pStyle w:val="Style92"/>
        <w:widowControl w:val="0"/>
        <w:keepNext/>
        <w:keepLines/>
        <w:shd w:val="clear" w:color="auto" w:fill="auto"/>
        <w:bidi w:val="0"/>
        <w:spacing w:before="0" w:after="0"/>
        <w:ind w:left="0" w:right="0" w:firstLine="280"/>
      </w:pPr>
      <w:bookmarkStart w:id="129" w:name="bookmark129"/>
      <w:r>
        <w:rPr>
          <w:lang w:val="ru-RU" w:eastAsia="ru-RU" w:bidi="ru-RU"/>
          <w:w w:val="100"/>
          <w:spacing w:val="0"/>
          <w:color w:val="000000"/>
          <w:position w:val="0"/>
        </w:rPr>
        <w:t xml:space="preserve">Бамбергера </w:t>
      </w:r>
      <w:r>
        <w:rPr>
          <w:lang w:val="en-US" w:eastAsia="en-US" w:bidi="en-US"/>
          <w:w w:val="100"/>
          <w:spacing w:val="0"/>
          <w:color w:val="000000"/>
          <w:position w:val="0"/>
        </w:rPr>
        <w:t xml:space="preserve">(I) </w:t>
      </w:r>
      <w:r>
        <w:rPr>
          <w:lang w:val="ru-RU" w:eastAsia="ru-RU" w:bidi="ru-RU"/>
          <w:w w:val="100"/>
          <w:spacing w:val="0"/>
          <w:color w:val="000000"/>
          <w:position w:val="0"/>
        </w:rPr>
        <w:t xml:space="preserve">симптом </w:t>
      </w:r>
      <w:r>
        <w:rPr>
          <w:lang w:val="en-US" w:eastAsia="en-US" w:bidi="en-US"/>
          <w:w w:val="100"/>
          <w:spacing w:val="0"/>
          <w:color w:val="000000"/>
          <w:position w:val="0"/>
        </w:rPr>
        <w:t>(Bamberger)</w:t>
      </w:r>
      <w:bookmarkEnd w:id="129"/>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недостаточности трехстворчатого клапана: уси</w:t>
        <w:softHyphen/>
        <w:t>ление пульсации яремной вены.</w:t>
      </w:r>
    </w:p>
    <w:p>
      <w:pPr>
        <w:pStyle w:val="Style92"/>
        <w:widowControl w:val="0"/>
        <w:keepNext/>
        <w:keepLines/>
        <w:shd w:val="clear" w:color="auto" w:fill="auto"/>
        <w:bidi w:val="0"/>
        <w:spacing w:before="0" w:after="0"/>
        <w:ind w:left="0" w:right="0" w:firstLine="280"/>
      </w:pPr>
      <w:bookmarkStart w:id="130" w:name="bookmark130"/>
      <w:r>
        <w:rPr>
          <w:lang w:val="ru-RU" w:eastAsia="ru-RU" w:bidi="ru-RU"/>
          <w:w w:val="100"/>
          <w:spacing w:val="0"/>
          <w:color w:val="000000"/>
          <w:position w:val="0"/>
        </w:rPr>
        <w:t xml:space="preserve">Бамбергера </w:t>
      </w:r>
      <w:r>
        <w:rPr>
          <w:lang w:val="en-US" w:eastAsia="en-US" w:bidi="en-US"/>
          <w:w w:val="100"/>
          <w:spacing w:val="0"/>
          <w:color w:val="000000"/>
          <w:position w:val="0"/>
        </w:rPr>
        <w:t xml:space="preserve">(II) </w:t>
      </w:r>
      <w:r>
        <w:rPr>
          <w:lang w:val="ru-RU" w:eastAsia="ru-RU" w:bidi="ru-RU"/>
          <w:w w:val="100"/>
          <w:spacing w:val="0"/>
          <w:color w:val="000000"/>
          <w:position w:val="0"/>
        </w:rPr>
        <w:t xml:space="preserve">симптом </w:t>
      </w:r>
      <w:r>
        <w:rPr>
          <w:lang w:val="en-US" w:eastAsia="en-US" w:bidi="en-US"/>
          <w:w w:val="100"/>
          <w:spacing w:val="0"/>
          <w:color w:val="000000"/>
          <w:position w:val="0"/>
        </w:rPr>
        <w:t>(Bamberger)</w:t>
      </w:r>
      <w:bookmarkEnd w:id="130"/>
    </w:p>
    <w:p>
      <w:pPr>
        <w:pStyle w:val="Style30"/>
        <w:widowControl w:val="0"/>
        <w:keepNext w:val="0"/>
        <w:keepLines w:val="0"/>
        <w:shd w:val="clear" w:color="auto" w:fill="auto"/>
        <w:bidi w:val="0"/>
        <w:spacing w:before="0" w:after="0"/>
        <w:ind w:left="0" w:right="0" w:firstLine="280"/>
      </w:pPr>
      <w:r>
        <w:pict>
          <v:shape id="_x0000_s1100" type="#_x0000_t75" style="position:absolute;margin-left:147.95pt;margin-top:739.95pt;width:209.75pt;height:14.9pt;z-index:-125829344;mso-wrap-distance-left:147.85pt;mso-wrap-distance-right:136.8pt;mso-wrap-distance-bottom:20.pt;mso-position-horizontal-relative:margin;mso-position-vertical-relative:margin" wrapcoords="0 0 21600 0 21600 21600 0 21600 0 0">
            <v:imagedata r:id="rId120" r:href="rId121"/>
            <w10:wrap type="topAndBottom" anchorx="margin" anchory="margin"/>
          </v:shape>
        </w:pict>
      </w:r>
      <w:r>
        <w:rPr>
          <w:lang w:val="ru-RU" w:eastAsia="ru-RU" w:bidi="ru-RU"/>
          <w:w w:val="100"/>
          <w:spacing w:val="0"/>
          <w:color w:val="000000"/>
          <w:position w:val="0"/>
        </w:rPr>
        <w:t>Признак выпотного перикардита: перкуторное притуп</w:t>
        <w:softHyphen/>
        <w:t>ление в области нижнего угла лопатки (иногда с усилением грудного дрожания и наличием дыхательного шума с брон</w:t>
        <w:softHyphen/>
        <w:t>хиальным оттенком), исчезающее при наклоне тела вперед. Наблюдается при больших выпотах в сердечной сорочке</w:t>
      </w:r>
      <w:r>
        <w:br w:type="page"/>
      </w:r>
    </w:p>
    <w:p>
      <w:pPr>
        <w:pStyle w:val="Style30"/>
        <w:widowControl w:val="0"/>
        <w:keepNext w:val="0"/>
        <w:keepLines w:val="0"/>
        <w:shd w:val="clear" w:color="auto" w:fill="auto"/>
        <w:bidi w:val="0"/>
        <w:spacing w:before="0" w:after="180"/>
        <w:ind w:left="0" w:right="0" w:firstLine="0"/>
      </w:pPr>
      <w:r>
        <w:rPr>
          <w:lang w:val="ru-RU" w:eastAsia="ru-RU" w:bidi="ru-RU"/>
          <w:w w:val="100"/>
          <w:spacing w:val="0"/>
          <w:color w:val="000000"/>
          <w:position w:val="0"/>
        </w:rPr>
        <w:t>и, по всей вероятности, зависит от сдавления и ателектаза легкого.</w:t>
      </w:r>
    </w:p>
    <w:p>
      <w:pPr>
        <w:pStyle w:val="Style92"/>
        <w:widowControl w:val="0"/>
        <w:keepNext/>
        <w:keepLines/>
        <w:shd w:val="clear" w:color="auto" w:fill="auto"/>
        <w:bidi w:val="0"/>
        <w:spacing w:before="0" w:after="0"/>
        <w:ind w:left="0" w:right="0" w:firstLine="280"/>
      </w:pPr>
      <w:bookmarkStart w:id="131" w:name="bookmark131"/>
      <w:r>
        <w:rPr>
          <w:lang w:val="ru-RU" w:eastAsia="ru-RU" w:bidi="ru-RU"/>
          <w:w w:val="100"/>
          <w:spacing w:val="0"/>
          <w:color w:val="000000"/>
          <w:position w:val="0"/>
        </w:rPr>
        <w:t>Байнбриджа симптом</w:t>
      </w:r>
      <w:bookmarkEnd w:id="131"/>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Рефлекторное ускорение пульса при переполнении кро</w:t>
        <w:softHyphen/>
        <w:t>вью правого предсердия. Растянутые стенки предсердия и ус</w:t>
        <w:softHyphen/>
        <w:t>тьев полых вен рефлекторным путем снижают тонус центра блуждающих нервов, приводя к ускорению пульса. Наблюда</w:t>
        <w:softHyphen/>
        <w:t>ется в случаях переполнения кровью венозной системы.</w:t>
      </w:r>
    </w:p>
    <w:p>
      <w:pPr>
        <w:pStyle w:val="Style92"/>
        <w:widowControl w:val="0"/>
        <w:keepNext/>
        <w:keepLines/>
        <w:shd w:val="clear" w:color="auto" w:fill="auto"/>
        <w:bidi w:val="0"/>
        <w:spacing w:before="0" w:after="0"/>
        <w:ind w:left="0" w:right="0" w:firstLine="280"/>
      </w:pPr>
      <w:bookmarkStart w:id="132" w:name="bookmark132"/>
      <w:r>
        <w:rPr>
          <w:lang w:val="ru-RU" w:eastAsia="ru-RU" w:bidi="ru-RU"/>
          <w:w w:val="100"/>
          <w:spacing w:val="0"/>
          <w:color w:val="000000"/>
          <w:position w:val="0"/>
        </w:rPr>
        <w:t xml:space="preserve">Банти симптом </w:t>
      </w:r>
      <w:r>
        <w:rPr>
          <w:lang w:val="en-US" w:eastAsia="en-US" w:bidi="en-US"/>
          <w:w w:val="100"/>
          <w:spacing w:val="0"/>
          <w:color w:val="000000"/>
          <w:position w:val="0"/>
        </w:rPr>
        <w:t>(Banti)</w:t>
      </w:r>
      <w:bookmarkEnd w:id="132"/>
    </w:p>
    <w:p>
      <w:pPr>
        <w:pStyle w:val="Style30"/>
        <w:widowControl w:val="0"/>
        <w:keepNext w:val="0"/>
        <w:keepLines w:val="0"/>
        <w:shd w:val="clear" w:color="auto" w:fill="auto"/>
        <w:bidi w:val="0"/>
        <w:spacing w:before="0" w:after="209"/>
        <w:ind w:left="0" w:right="0" w:firstLine="280"/>
      </w:pPr>
      <w:r>
        <w:rPr>
          <w:lang w:val="ru-RU" w:eastAsia="ru-RU" w:bidi="ru-RU"/>
          <w:w w:val="100"/>
          <w:spacing w:val="0"/>
          <w:color w:val="000000"/>
          <w:position w:val="0"/>
        </w:rPr>
        <w:t>Признак выпотного перикардита: перемещение границ сердечной тупости вверх до второго межреберья слева.</w:t>
      </w:r>
    </w:p>
    <w:p>
      <w:pPr>
        <w:pStyle w:val="Style92"/>
        <w:widowControl w:val="0"/>
        <w:keepNext/>
        <w:keepLines/>
        <w:shd w:val="clear" w:color="auto" w:fill="auto"/>
        <w:bidi w:val="0"/>
        <w:spacing w:before="0" w:after="0" w:line="180" w:lineRule="exact"/>
        <w:ind w:left="0" w:right="0" w:firstLine="280"/>
      </w:pPr>
      <w:bookmarkStart w:id="133" w:name="bookmark133"/>
      <w:r>
        <w:rPr>
          <w:lang w:val="ru-RU" w:eastAsia="ru-RU" w:bidi="ru-RU"/>
          <w:w w:val="100"/>
          <w:spacing w:val="0"/>
          <w:color w:val="000000"/>
          <w:position w:val="0"/>
        </w:rPr>
        <w:t>Барабанных палочек симптом</w:t>
      </w:r>
      <w:bookmarkEnd w:id="133"/>
    </w:p>
    <w:p>
      <w:pPr>
        <w:pStyle w:val="Style30"/>
        <w:widowControl w:val="0"/>
        <w:keepNext w:val="0"/>
        <w:keepLines w:val="0"/>
        <w:shd w:val="clear" w:color="auto" w:fill="auto"/>
        <w:bidi w:val="0"/>
        <w:spacing w:before="0" w:after="161" w:line="180" w:lineRule="exact"/>
        <w:ind w:left="0" w:right="0" w:firstLine="280"/>
      </w:pPr>
      <w:r>
        <w:rPr>
          <w:lang w:val="ru-RU" w:eastAsia="ru-RU" w:bidi="ru-RU"/>
          <w:w w:val="100"/>
          <w:spacing w:val="0"/>
          <w:color w:val="000000"/>
          <w:position w:val="0"/>
        </w:rPr>
        <w:t>см. Гиппократа пальцы симптом.</w:t>
      </w:r>
    </w:p>
    <w:p>
      <w:pPr>
        <w:pStyle w:val="Style92"/>
        <w:widowControl w:val="0"/>
        <w:keepNext/>
        <w:keepLines/>
        <w:shd w:val="clear" w:color="auto" w:fill="auto"/>
        <w:bidi w:val="0"/>
        <w:spacing w:before="0" w:after="0"/>
        <w:ind w:left="0" w:right="0" w:firstLine="280"/>
      </w:pPr>
      <w:bookmarkStart w:id="134" w:name="bookmark134"/>
      <w:r>
        <w:rPr>
          <w:lang w:val="ru-RU" w:eastAsia="ru-RU" w:bidi="ru-RU"/>
          <w:w w:val="100"/>
          <w:spacing w:val="0"/>
          <w:color w:val="000000"/>
          <w:position w:val="0"/>
        </w:rPr>
        <w:t>Бека триада</w:t>
      </w:r>
      <w:bookmarkEnd w:id="134"/>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Симптомокомплекс констриктивного перикардита: вы</w:t>
        <w:softHyphen/>
        <w:t>сокое венозное давление, асцит, «малое тихое сердце».</w:t>
      </w:r>
    </w:p>
    <w:p>
      <w:pPr>
        <w:pStyle w:val="Style92"/>
        <w:widowControl w:val="0"/>
        <w:keepNext/>
        <w:keepLines/>
        <w:shd w:val="clear" w:color="auto" w:fill="auto"/>
        <w:bidi w:val="0"/>
        <w:spacing w:before="0" w:after="0"/>
        <w:ind w:left="0" w:right="0" w:firstLine="280"/>
      </w:pPr>
      <w:bookmarkStart w:id="135" w:name="bookmark135"/>
      <w:r>
        <w:rPr>
          <w:lang w:val="ru-RU" w:eastAsia="ru-RU" w:bidi="ru-RU"/>
          <w:w w:val="100"/>
          <w:spacing w:val="0"/>
          <w:color w:val="000000"/>
          <w:position w:val="0"/>
        </w:rPr>
        <w:t>Белого пятна симптом</w:t>
      </w:r>
      <w:bookmarkEnd w:id="135"/>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Появление длительно не исчезающего белого пятна на коже тыла стопы или кисти больного после надавливания пальцем; наблюдается при сосудистой недостаточности в дистальных отделах конечностей, нарушении симпатиче</w:t>
        <w:softHyphen/>
        <w:t>ской иннервации.</w:t>
      </w:r>
    </w:p>
    <w:p>
      <w:pPr>
        <w:pStyle w:val="Style92"/>
        <w:widowControl w:val="0"/>
        <w:keepNext/>
        <w:keepLines/>
        <w:shd w:val="clear" w:color="auto" w:fill="auto"/>
        <w:bidi w:val="0"/>
        <w:spacing w:before="0" w:after="0"/>
        <w:ind w:left="0" w:right="0" w:firstLine="280"/>
      </w:pPr>
      <w:bookmarkStart w:id="136" w:name="bookmark136"/>
      <w:r>
        <w:rPr>
          <w:lang w:val="ru-RU" w:eastAsia="ru-RU" w:bidi="ru-RU"/>
          <w:w w:val="100"/>
          <w:spacing w:val="0"/>
          <w:color w:val="000000"/>
          <w:position w:val="0"/>
        </w:rPr>
        <w:t>Бергера симптом</w:t>
      </w:r>
      <w:bookmarkEnd w:id="136"/>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эндартериита: лежащий на спине больной дер</w:t>
        <w:softHyphen/>
        <w:t>жит поднятые вверх ноги до легкой усталости; подошва по - раженной конечности принимает мертвенно-бледный цвет, а через 2-3 минуты после опускания вниз стопа поражен</w:t>
        <w:softHyphen/>
        <w:t>ной конечности принимает цианотическую окраску.</w:t>
      </w:r>
    </w:p>
    <w:p>
      <w:pPr>
        <w:pStyle w:val="Style92"/>
        <w:widowControl w:val="0"/>
        <w:keepNext/>
        <w:keepLines/>
        <w:shd w:val="clear" w:color="auto" w:fill="auto"/>
        <w:bidi w:val="0"/>
        <w:spacing w:before="0" w:after="0"/>
        <w:ind w:left="0" w:right="0" w:firstLine="280"/>
      </w:pPr>
      <w:bookmarkStart w:id="137" w:name="bookmark137"/>
      <w:r>
        <w:rPr>
          <w:lang w:val="ru-RU" w:eastAsia="ru-RU" w:bidi="ru-RU"/>
          <w:w w:val="100"/>
          <w:spacing w:val="0"/>
          <w:color w:val="000000"/>
          <w:position w:val="0"/>
        </w:rPr>
        <w:t xml:space="preserve">Бернгейма признак </w:t>
      </w:r>
      <w:r>
        <w:rPr>
          <w:lang w:val="en-US" w:eastAsia="en-US" w:bidi="en-US"/>
          <w:w w:val="100"/>
          <w:spacing w:val="0"/>
          <w:color w:val="000000"/>
          <w:position w:val="0"/>
        </w:rPr>
        <w:t>(Bernheim syndrome)</w:t>
      </w:r>
      <w:bookmarkEnd w:id="137"/>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Правожелудочковая недостаточность сердца при отсут</w:t>
        <w:softHyphen/>
        <w:t>ствии признаков легочной гипертензии и первичного пора</w:t>
        <w:softHyphen/>
        <w:t>жения правого желудочка: развивается вследствие умень</w:t>
        <w:softHyphen/>
        <w:t>шения объема полости правого желудочка из-за выпячива</w:t>
        <w:softHyphen/>
        <w:t>ния в ее просвет межжелудочковой перегородки при гипер</w:t>
        <w:softHyphen/>
        <w:t>трофии или дилатации левого желудочка. Наблюдается у детей при дилатационной и гипертрофической кардио</w:t>
        <w:softHyphen/>
        <w:t>миопатии, аневризме или опухоли левого желудочка.</w:t>
      </w:r>
    </w:p>
    <w:p>
      <w:pPr>
        <w:pStyle w:val="Style92"/>
        <w:widowControl w:val="0"/>
        <w:keepNext/>
        <w:keepLines/>
        <w:shd w:val="clear" w:color="auto" w:fill="auto"/>
        <w:bidi w:val="0"/>
        <w:spacing w:before="0" w:after="0"/>
        <w:ind w:left="0" w:right="0" w:firstLine="280"/>
      </w:pPr>
      <w:bookmarkStart w:id="138" w:name="bookmark138"/>
      <w:r>
        <w:rPr>
          <w:lang w:val="ru-RU" w:eastAsia="ru-RU" w:bidi="ru-RU"/>
          <w:w w:val="100"/>
          <w:spacing w:val="0"/>
          <w:color w:val="000000"/>
          <w:position w:val="0"/>
        </w:rPr>
        <w:t>Бизенбергера симптом</w:t>
      </w:r>
      <w:bookmarkEnd w:id="138"/>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Перегрузка правой половины сердца при быстром вве</w:t>
        <w:softHyphen/>
        <w:t>дении крови. Характерны колющая боль в области сердца, падение пульса, цианоз, одышка.</w:t>
      </w:r>
    </w:p>
    <w:p>
      <w:pPr>
        <w:pStyle w:val="Style92"/>
        <w:widowControl w:val="0"/>
        <w:keepNext/>
        <w:keepLines/>
        <w:shd w:val="clear" w:color="auto" w:fill="auto"/>
        <w:bidi w:val="0"/>
        <w:spacing w:before="0" w:after="0"/>
        <w:ind w:left="0" w:right="0" w:firstLine="280"/>
      </w:pPr>
      <w:bookmarkStart w:id="139" w:name="bookmark139"/>
      <w:r>
        <w:rPr>
          <w:lang w:val="ru-RU" w:eastAsia="ru-RU" w:bidi="ru-RU"/>
          <w:w w:val="100"/>
          <w:spacing w:val="0"/>
          <w:color w:val="000000"/>
          <w:position w:val="0"/>
        </w:rPr>
        <w:t>Бисистолия Образцова</w:t>
      </w:r>
      <w:bookmarkEnd w:id="139"/>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недостаточности аортального клапана: систо</w:t>
        <w:softHyphen/>
        <w:t>лическое раздвоение первого тона.</w:t>
      </w:r>
    </w:p>
    <w:p>
      <w:pPr>
        <w:pStyle w:val="Style92"/>
        <w:widowControl w:val="0"/>
        <w:keepNext/>
        <w:keepLines/>
        <w:shd w:val="clear" w:color="auto" w:fill="auto"/>
        <w:bidi w:val="0"/>
        <w:spacing w:before="0" w:after="0"/>
        <w:ind w:left="0" w:right="0" w:firstLine="280"/>
      </w:pPr>
      <w:bookmarkStart w:id="140" w:name="bookmark140"/>
      <w:r>
        <w:rPr>
          <w:lang w:val="ru-RU" w:eastAsia="ru-RU" w:bidi="ru-RU"/>
          <w:w w:val="100"/>
          <w:spacing w:val="0"/>
          <w:color w:val="000000"/>
          <w:position w:val="0"/>
        </w:rPr>
        <w:t>«Болтающейся руки» симптом</w:t>
      </w:r>
      <w:bookmarkEnd w:id="140"/>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мышечной гипотонии при ревматической хорее: разогнутая в локтевом суставе рука пассивно болтается после потряхивания, сопротивление в локтевом суставе отсутствует.</w:t>
      </w:r>
    </w:p>
    <w:p>
      <w:pPr>
        <w:pStyle w:val="Style92"/>
        <w:widowControl w:val="0"/>
        <w:keepNext/>
        <w:keepLines/>
        <w:shd w:val="clear" w:color="auto" w:fill="auto"/>
        <w:bidi w:val="0"/>
        <w:spacing w:before="0" w:after="0"/>
        <w:ind w:left="0" w:right="0" w:firstLine="280"/>
      </w:pPr>
      <w:bookmarkStart w:id="141" w:name="bookmark141"/>
      <w:r>
        <w:rPr>
          <w:lang w:val="ru-RU" w:eastAsia="ru-RU" w:bidi="ru-RU"/>
          <w:w w:val="100"/>
          <w:spacing w:val="0"/>
          <w:color w:val="000000"/>
          <w:position w:val="0"/>
        </w:rPr>
        <w:t>Боль в области сердца</w:t>
      </w:r>
      <w:bookmarkEnd w:id="14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Идиопатические (12-85%).</w:t>
      </w:r>
    </w:p>
    <w:p>
      <w:pPr>
        <w:pStyle w:val="Style92"/>
        <w:numPr>
          <w:ilvl w:val="0"/>
          <w:numId w:val="25"/>
        </w:numPr>
        <w:tabs>
          <w:tab w:leader="none" w:pos="234" w:val="left"/>
        </w:tabs>
        <w:widowControl w:val="0"/>
        <w:keepNext/>
        <w:keepLines/>
        <w:shd w:val="clear" w:color="auto" w:fill="auto"/>
        <w:bidi w:val="0"/>
        <w:spacing w:before="0" w:after="0"/>
        <w:ind w:left="0" w:right="0" w:firstLine="0"/>
      </w:pPr>
      <w:r>
        <w:br w:type="column"/>
      </w:r>
      <w:bookmarkStart w:id="142" w:name="bookmark142"/>
      <w:r>
        <w:rPr>
          <w:lang w:val="ru-RU" w:eastAsia="ru-RU" w:bidi="ru-RU"/>
          <w:w w:val="100"/>
          <w:spacing w:val="0"/>
          <w:color w:val="000000"/>
          <w:position w:val="0"/>
        </w:rPr>
        <w:t>Мышечно-скелетальные (15-31%):</w:t>
      </w:r>
      <w:bookmarkEnd w:id="142"/>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поверхностные мышечные боли;</w:t>
      </w:r>
    </w:p>
    <w:p>
      <w:pPr>
        <w:pStyle w:val="Style30"/>
        <w:numPr>
          <w:ilvl w:val="0"/>
          <w:numId w:val="27"/>
        </w:numPr>
        <w:tabs>
          <w:tab w:leader="none" w:pos="513" w:val="left"/>
        </w:tabs>
        <w:widowControl w:val="0"/>
        <w:keepNext w:val="0"/>
        <w:keepLines w:val="0"/>
        <w:shd w:val="clear" w:color="auto" w:fill="auto"/>
        <w:bidi w:val="0"/>
        <w:jc w:val="left"/>
        <w:spacing w:before="0" w:after="0"/>
        <w:ind w:left="480" w:right="0" w:hanging="220"/>
      </w:pPr>
      <w:r>
        <w:rPr>
          <w:lang w:val="ru-RU" w:eastAsia="ru-RU" w:bidi="ru-RU"/>
          <w:w w:val="100"/>
          <w:spacing w:val="0"/>
          <w:color w:val="000000"/>
          <w:position w:val="0"/>
        </w:rPr>
        <w:t xml:space="preserve">боль, исходящая от мышц </w:t>
      </w:r>
      <w:r>
        <w:rPr>
          <w:lang w:val="en-US" w:eastAsia="en-US" w:bidi="en-US"/>
          <w:w w:val="100"/>
          <w:spacing w:val="0"/>
          <w:color w:val="000000"/>
          <w:position w:val="0"/>
        </w:rPr>
        <w:t>pectoralis major and minor;</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боль, исходящая от межреберной мышцы;</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боль, исходящая от мышцы </w:t>
      </w:r>
      <w:r>
        <w:rPr>
          <w:lang w:val="en-US" w:eastAsia="en-US" w:bidi="en-US"/>
          <w:w w:val="100"/>
          <w:spacing w:val="0"/>
          <w:color w:val="000000"/>
          <w:position w:val="0"/>
        </w:rPr>
        <w:t>latissimus dorsi;</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боль, исходящая от мышцы </w:t>
      </w:r>
      <w:r>
        <w:rPr>
          <w:lang w:val="en-US" w:eastAsia="en-US" w:bidi="en-US"/>
          <w:w w:val="100"/>
          <w:spacing w:val="0"/>
          <w:color w:val="000000"/>
          <w:position w:val="0"/>
        </w:rPr>
        <w:t>serratus;</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боль, исходящая от трапециевидной мышцы;</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костохондрит;</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синдром </w:t>
      </w:r>
      <w:r>
        <w:rPr>
          <w:lang w:val="en-US" w:eastAsia="en-US" w:bidi="en-US"/>
          <w:w w:val="100"/>
          <w:spacing w:val="0"/>
          <w:color w:val="000000"/>
          <w:position w:val="0"/>
        </w:rPr>
        <w:t>Tietze;</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синдром С</w:t>
      </w:r>
      <w:r>
        <w:rPr>
          <w:lang w:val="ru-RU" w:eastAsia="ru-RU" w:bidi="ru-RU"/>
          <w:vertAlign w:val="subscript"/>
          <w:w w:val="100"/>
          <w:spacing w:val="0"/>
          <w:color w:val="000000"/>
          <w:position w:val="0"/>
        </w:rPr>
        <w:t>7</w:t>
      </w:r>
      <w:r>
        <w:rPr>
          <w:lang w:val="ru-RU" w:eastAsia="ru-RU" w:bidi="ru-RU"/>
          <w:w w:val="100"/>
          <w:spacing w:val="0"/>
          <w:color w:val="000000"/>
          <w:position w:val="0"/>
        </w:rPr>
        <w:t xml:space="preserve"> позвонка;</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синдром С</w:t>
      </w:r>
      <w:r>
        <w:rPr>
          <w:lang w:val="ru-RU" w:eastAsia="ru-RU" w:bidi="ru-RU"/>
          <w:vertAlign w:val="subscript"/>
          <w:w w:val="100"/>
          <w:spacing w:val="0"/>
          <w:color w:val="000000"/>
          <w:position w:val="0"/>
        </w:rPr>
        <w:t>8-10</w:t>
      </w:r>
      <w:r>
        <w:rPr>
          <w:lang w:val="ru-RU" w:eastAsia="ru-RU" w:bidi="ru-RU"/>
          <w:w w:val="100"/>
          <w:spacing w:val="0"/>
          <w:color w:val="000000"/>
          <w:position w:val="0"/>
        </w:rPr>
        <w:t xml:space="preserve"> позвонков;</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синдром прекардиального ущемления;</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травма;</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травма грудной клетки при уходе за ребенком;</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перелом или трещина ключицы или позвонка;</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ксифодалгия;</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остеомиелит;</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рабдомиосаркома;</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миозит;</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обструкция выходного отдела груди;</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анкилозирующий спондилит;</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спондилолизис;</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воспаление межпозвоночного диска;</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грыжа межпозвоночного диска;</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миелит.</w:t>
      </w:r>
    </w:p>
    <w:p>
      <w:pPr>
        <w:pStyle w:val="Style30"/>
        <w:numPr>
          <w:ilvl w:val="0"/>
          <w:numId w:val="25"/>
        </w:numPr>
        <w:tabs>
          <w:tab w:leader="none" w:pos="234"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Легочные (12-21%):</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реактивное поражение дыхательных путей;</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пневмоторакс или пневмомедиастинум;</w:t>
      </w:r>
    </w:p>
    <w:p>
      <w:pPr>
        <w:pStyle w:val="Style30"/>
        <w:numPr>
          <w:ilvl w:val="0"/>
          <w:numId w:val="27"/>
        </w:numPr>
        <w:tabs>
          <w:tab w:leader="none" w:pos="513" w:val="left"/>
        </w:tabs>
        <w:widowControl w:val="0"/>
        <w:keepNext w:val="0"/>
        <w:keepLines w:val="0"/>
        <w:shd w:val="clear" w:color="auto" w:fill="auto"/>
        <w:bidi w:val="0"/>
        <w:jc w:val="left"/>
        <w:spacing w:before="0" w:after="0"/>
        <w:ind w:left="480" w:right="0" w:hanging="220"/>
      </w:pPr>
      <w:r>
        <w:rPr>
          <w:lang w:val="ru-RU" w:eastAsia="ru-RU" w:bidi="ru-RU"/>
          <w:w w:val="100"/>
          <w:spacing w:val="0"/>
          <w:color w:val="000000"/>
          <w:position w:val="0"/>
        </w:rPr>
        <w:t>пневмония (вирусная, бактериальная, микобакте</w:t>
        <w:softHyphen/>
        <w:t>риальная, грибковая, паразитарная);</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хронический кашель;</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плевральный выпот;</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плевродиния;</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легочная эмболия;</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аспирация инородного тела;</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клеточная аденоматоидная мальформация;</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первичная или вторичная аденома или карцинома.</w:t>
      </w:r>
    </w:p>
    <w:p>
      <w:pPr>
        <w:pStyle w:val="Style30"/>
        <w:numPr>
          <w:ilvl w:val="0"/>
          <w:numId w:val="25"/>
        </w:numPr>
        <w:tabs>
          <w:tab w:leader="none" w:pos="234"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Психиатрические(5-17%):</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соматоподобные заболевания;</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стресс;</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депрессия;</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синдром гипервентиляции;</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панические атаки;</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нервная булимия;</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синдром Мюнхаузена </w:t>
      </w:r>
      <w:r>
        <w:rPr>
          <w:lang w:val="en-US" w:eastAsia="en-US" w:bidi="en-US"/>
          <w:w w:val="100"/>
          <w:spacing w:val="0"/>
          <w:color w:val="000000"/>
          <w:position w:val="0"/>
        </w:rPr>
        <w:t>(Munchhausen syndrome);</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синдром глотания;</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прием кокаина;</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курение;</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применение метамфетамина </w:t>
      </w:r>
      <w:r>
        <w:rPr>
          <w:lang w:val="en-US" w:eastAsia="en-US" w:bidi="en-US"/>
          <w:w w:val="100"/>
          <w:spacing w:val="0"/>
          <w:color w:val="000000"/>
          <w:position w:val="0"/>
        </w:rPr>
        <w:t>(methamphetamine);</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прием симпатомиметиков.</w:t>
      </w:r>
    </w:p>
    <w:p>
      <w:pPr>
        <w:pStyle w:val="Style30"/>
        <w:numPr>
          <w:ilvl w:val="0"/>
          <w:numId w:val="25"/>
        </w:numPr>
        <w:tabs>
          <w:tab w:leader="none" w:pos="234"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Желудочно-кишечные (4-7%):</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эзофагит;</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дивертикул пищевода;</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спазм пищевода;</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разрыв пищевода (Синдром </w:t>
      </w:r>
      <w:r>
        <w:rPr>
          <w:lang w:val="en-US" w:eastAsia="en-US" w:bidi="en-US"/>
          <w:w w:val="100"/>
          <w:spacing w:val="0"/>
          <w:color w:val="000000"/>
          <w:position w:val="0"/>
        </w:rPr>
        <w:t>Boerhaave);</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синдром </w:t>
      </w:r>
      <w:r>
        <w:rPr>
          <w:lang w:val="en-US" w:eastAsia="en-US" w:bidi="en-US"/>
          <w:w w:val="100"/>
          <w:spacing w:val="0"/>
          <w:color w:val="000000"/>
          <w:position w:val="0"/>
        </w:rPr>
        <w:t>Mallory-Weiss;</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ахалазия;</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гастоэзофагеальный рефлюкс;</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гастрит;</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язвенная болезнь желудка;</w:t>
      </w:r>
    </w:p>
    <w:p>
      <w:pPr>
        <w:pStyle w:val="Style30"/>
        <w:numPr>
          <w:ilvl w:val="0"/>
          <w:numId w:val="27"/>
        </w:numPr>
        <w:tabs>
          <w:tab w:leader="none" w:pos="513" w:val="left"/>
        </w:tabs>
        <w:widowControl w:val="0"/>
        <w:keepNext w:val="0"/>
        <w:keepLines w:val="0"/>
        <w:shd w:val="clear" w:color="auto" w:fill="auto"/>
        <w:bidi w:val="0"/>
        <w:spacing w:before="0" w:after="0"/>
        <w:ind w:left="260" w:right="0" w:firstLine="0"/>
      </w:pPr>
      <w:r>
        <w:pict>
          <v:shape id="_x0000_s1101" type="#_x0000_t75" style="position:absolute;margin-left:136.9pt;margin-top:740.2pt;width:209.75pt;height:14.9pt;z-index:-125829343;mso-wrap-distance-left:136.8pt;mso-wrap-distance-right:147.85pt;mso-wrap-distance-bottom:20.pt;mso-position-horizontal-relative:margin;mso-position-vertical-relative:margin" wrapcoords="0 0 21600 0 21600 21600 0 21600 0 0">
            <v:imagedata r:id="rId122" r:href="rId123"/>
            <w10:wrap type="topAndBottom" anchorx="margin" anchory="margin"/>
          </v:shape>
        </w:pict>
      </w:r>
      <w:r>
        <w:rPr>
          <w:lang w:val="ru-RU" w:eastAsia="ru-RU" w:bidi="ru-RU"/>
          <w:w w:val="100"/>
          <w:spacing w:val="0"/>
          <w:color w:val="000000"/>
          <w:position w:val="0"/>
        </w:rPr>
        <w:t xml:space="preserve">синдром </w:t>
      </w:r>
      <w:r>
        <w:rPr>
          <w:lang w:val="en-US" w:eastAsia="en-US" w:bidi="en-US"/>
          <w:w w:val="100"/>
          <w:spacing w:val="0"/>
          <w:color w:val="000000"/>
          <w:position w:val="0"/>
        </w:rPr>
        <w:t>Zollinger-Ellison;</w:t>
      </w:r>
      <w:r>
        <w:br w:type="page"/>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pict>
          <v:shape id="_x0000_s1102" type="#_x0000_t202" style="position:absolute;margin-left:240.25pt;margin-top:343.pt;width:67.45pt;height:11.85pt;z-index:-125829342;mso-wrap-distance-left:5.pt;mso-wrap-distance-right:5.pt;mso-wrap-distance-bottom:2.3pt;mso-position-horizontal-relative:margin;mso-position-vertic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шечного тонуса.</w:t>
                  </w:r>
                </w:p>
              </w:txbxContent>
            </v:textbox>
            <w10:wrap type="square" side="left" anchorx="margin" anchory="margin"/>
          </v:shape>
        </w:pict>
      </w:r>
      <w:r>
        <w:rPr>
          <w:lang w:val="ru-RU" w:eastAsia="ru-RU" w:bidi="ru-RU"/>
          <w:w w:val="100"/>
          <w:spacing w:val="0"/>
          <w:color w:val="000000"/>
          <w:position w:val="0"/>
        </w:rPr>
        <w:t>диафрагмальная грыжа;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инородное тело пищевода, желудка;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холецистит;</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поддиафрагмальный абсцесс;</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синдром </w:t>
      </w:r>
      <w:r>
        <w:rPr>
          <w:lang w:val="en-US" w:eastAsia="en-US" w:bidi="en-US"/>
          <w:w w:val="100"/>
          <w:spacing w:val="0"/>
          <w:color w:val="000000"/>
          <w:position w:val="0"/>
        </w:rPr>
        <w:t>Fitz-Hugh-Curtis;</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панкреатит.</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Сердечно-сосудистые (4-6%):</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стеноз аорты;</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аневризма и разрыв аорты;</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субаортальный стеноз;</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надклапанный стеноз аорты;</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аневризма синуса Вальсальвы;</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коарктация аорты;</w:t>
      </w:r>
    </w:p>
    <w:p>
      <w:pPr>
        <w:pStyle w:val="Style30"/>
        <w:numPr>
          <w:ilvl w:val="0"/>
          <w:numId w:val="27"/>
        </w:numPr>
        <w:tabs>
          <w:tab w:leader="none" w:pos="253" w:val="left"/>
        </w:tabs>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аномальное отхождение левой, правой или обеих коронарных артерий от легочного ствола;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стеноз или атрезия коронарного устья;</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интрамуральная коронарная артерия;</w:t>
      </w:r>
    </w:p>
    <w:p>
      <w:pPr>
        <w:pStyle w:val="Style30"/>
        <w:numPr>
          <w:ilvl w:val="0"/>
          <w:numId w:val="27"/>
        </w:numPr>
        <w:tabs>
          <w:tab w:leader="none" w:pos="253" w:val="left"/>
        </w:tabs>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отхождение левой коронарной артерии от пере</w:t>
        <w:softHyphen/>
        <w:t>днего синуса;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врожденная аневризма коронарной артерии;</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коронарная фистула;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пролапс митрального клапана;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критический стеноз легочной артерии;</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аритмогенная дисплазия правого желудочка;</w:t>
      </w:r>
    </w:p>
    <w:p>
      <w:pPr>
        <w:pStyle w:val="Style30"/>
        <w:numPr>
          <w:ilvl w:val="0"/>
          <w:numId w:val="27"/>
        </w:numPr>
        <w:tabs>
          <w:tab w:leader="none" w:pos="253" w:val="left"/>
        </w:tabs>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кардиомиопатия (дилатационная, гипертрофичес</w:t>
        <w:softHyphen/>
        <w:t>кая, рестриктивная);</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эндокардит;</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миокардит;</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ревматическая лихорадка;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инфаркт миокарда;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спазм коронарных артерий;</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болезнь Кавасаки;</w:t>
      </w:r>
    </w:p>
    <w:p>
      <w:pPr>
        <w:pStyle w:val="Style30"/>
        <w:numPr>
          <w:ilvl w:val="0"/>
          <w:numId w:val="27"/>
        </w:numPr>
        <w:tabs>
          <w:tab w:leader="none" w:pos="253" w:val="left"/>
        </w:tabs>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атеросклероз коронарных артерий (при диабете, семейных дислипопротеинемиях);</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разрыв аневризмы аорты;</w:t>
      </w:r>
    </w:p>
    <w:p>
      <w:pPr>
        <w:pStyle w:val="Style30"/>
        <w:numPr>
          <w:ilvl w:val="0"/>
          <w:numId w:val="27"/>
        </w:numPr>
        <w:tabs>
          <w:tab w:leader="none" w:pos="253" w:val="left"/>
        </w:tabs>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перикардит (инфекционный, аутоиммунный, посттравматический, констриктивный);</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постперикардиотомный синдром;</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частичное отсутствие перикарда;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легочная гипертензия (первичная, вторичная);</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синдром Эйзенменгера;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артериит Такаясу;</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опухоль сердца;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опухоль перикарда (первичная, вторичная);</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синдром коронарного обкрадывания;</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аритмии;</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предсердная экстрасистолия;</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трепетание/мерцание предсердий;</w:t>
      </w:r>
    </w:p>
    <w:p>
      <w:pPr>
        <w:pStyle w:val="Style30"/>
        <w:numPr>
          <w:ilvl w:val="0"/>
          <w:numId w:val="27"/>
        </w:numPr>
        <w:tabs>
          <w:tab w:leader="none" w:pos="253" w:val="left"/>
        </w:tabs>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наджелудочковая тахикардия (риентри или авто</w:t>
        <w:softHyphen/>
        <w:t>матическая);</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желудочковая экстрасистолия.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Прочие причины (4-21%):</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заболевания грудной железы;</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гинекомастия;</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мастит;</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фиброзноклеточная болезнь молочной железы;</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аденокарцинома;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опухоль средостения;</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болезнь Ходжкина;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en-US" w:eastAsia="en-US" w:bidi="en-US"/>
          <w:w w:val="100"/>
          <w:spacing w:val="0"/>
          <w:color w:val="000000"/>
          <w:position w:val="0"/>
        </w:rPr>
        <w:t>T</w:t>
      </w:r>
      <w:r>
        <w:rPr>
          <w:lang w:val="ru-RU" w:eastAsia="ru-RU" w:bidi="ru-RU"/>
          <w:w w:val="100"/>
          <w:spacing w:val="0"/>
          <w:color w:val="000000"/>
          <w:position w:val="0"/>
        </w:rPr>
        <w:t>-клеточная лимфома;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тимома;</w:t>
      </w:r>
    </w:p>
    <w:p>
      <w:pPr>
        <w:pStyle w:val="Style30"/>
        <w:numPr>
          <w:ilvl w:val="0"/>
          <w:numId w:val="27"/>
        </w:numPr>
        <w:tabs>
          <w:tab w:leader="none" w:pos="25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тимолипома;</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br w:type="column"/>
      </w:r>
      <w:r>
        <w:rPr>
          <w:lang w:val="ru-RU" w:eastAsia="ru-RU" w:bidi="ru-RU"/>
          <w:w w:val="100"/>
          <w:spacing w:val="0"/>
          <w:color w:val="000000"/>
          <w:position w:val="0"/>
        </w:rPr>
        <w:t>тератома;</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липосаркома;</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сахарный диабет;</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гипертиреоидизм;</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муковисцидоз;</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нейрофиброматоз;</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болезнь Марфана;</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синдром Элерса-Данлоса;</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гомоцистинурия;</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синдром </w:t>
      </w:r>
      <w:r>
        <w:rPr>
          <w:lang w:val="en-US" w:eastAsia="en-US" w:bidi="en-US"/>
          <w:w w:val="100"/>
          <w:spacing w:val="0"/>
          <w:color w:val="000000"/>
          <w:position w:val="0"/>
        </w:rPr>
        <w:t>SAPHO;</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серповидноклеточная анемия;</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герпес зостер;</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эхинококкоз;</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синдромы гиперкоагуляции (дефицит протеина </w:t>
      </w:r>
      <w:r>
        <w:rPr>
          <w:lang w:val="en-US" w:eastAsia="en-US" w:bidi="en-US"/>
          <w:w w:val="100"/>
          <w:spacing w:val="0"/>
          <w:color w:val="000000"/>
          <w:position w:val="0"/>
        </w:rPr>
        <w:t xml:space="preserve">S/C, </w:t>
      </w:r>
      <w:r>
        <w:rPr>
          <w:lang w:val="ru-RU" w:eastAsia="ru-RU" w:bidi="ru-RU"/>
          <w:w w:val="100"/>
          <w:spacing w:val="0"/>
          <w:color w:val="000000"/>
          <w:position w:val="0"/>
        </w:rPr>
        <w:t>антитромбина 3, кофактора гепарина 2, плаз</w:t>
        <w:softHyphen/>
        <w:t xml:space="preserve">миногена, фактора 5 </w:t>
      </w:r>
      <w:r>
        <w:rPr>
          <w:lang w:val="en-US" w:eastAsia="en-US" w:bidi="en-US"/>
          <w:w w:val="100"/>
          <w:spacing w:val="0"/>
          <w:color w:val="000000"/>
          <w:position w:val="0"/>
        </w:rPr>
        <w:t xml:space="preserve">Lieden, </w:t>
      </w:r>
      <w:r>
        <w:rPr>
          <w:lang w:val="ru-RU" w:eastAsia="ru-RU" w:bidi="ru-RU"/>
          <w:w w:val="100"/>
          <w:spacing w:val="0"/>
          <w:color w:val="000000"/>
          <w:position w:val="0"/>
        </w:rPr>
        <w:t>антикардиолипино- вых антител, люпус антикоагулянта);</w:t>
      </w:r>
    </w:p>
    <w:p>
      <w:pPr>
        <w:pStyle w:val="Style30"/>
        <w:numPr>
          <w:ilvl w:val="0"/>
          <w:numId w:val="27"/>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менингиома спинного мозга;</w:t>
      </w:r>
    </w:p>
    <w:p>
      <w:pPr>
        <w:pStyle w:val="Style30"/>
        <w:numPr>
          <w:ilvl w:val="0"/>
          <w:numId w:val="27"/>
        </w:numPr>
        <w:tabs>
          <w:tab w:leader="none" w:pos="736" w:val="left"/>
        </w:tabs>
        <w:widowControl w:val="0"/>
        <w:keepNext w:val="0"/>
        <w:keepLines w:val="0"/>
        <w:shd w:val="clear" w:color="auto" w:fill="auto"/>
        <w:bidi w:val="0"/>
        <w:spacing w:before="0" w:after="120"/>
        <w:ind w:left="740" w:right="0" w:hanging="240"/>
      </w:pPr>
      <w:r>
        <w:rPr>
          <w:lang w:val="ru-RU" w:eastAsia="ru-RU" w:bidi="ru-RU"/>
          <w:w w:val="100"/>
          <w:spacing w:val="0"/>
          <w:color w:val="000000"/>
          <w:position w:val="0"/>
        </w:rPr>
        <w:t>компрессия корешков спинного мозга.</w:t>
      </w:r>
    </w:p>
    <w:p>
      <w:pPr>
        <w:pStyle w:val="Style92"/>
        <w:widowControl w:val="0"/>
        <w:keepNext/>
        <w:keepLines/>
        <w:shd w:val="clear" w:color="auto" w:fill="auto"/>
        <w:bidi w:val="0"/>
        <w:spacing w:before="0" w:after="0"/>
        <w:ind w:left="0" w:right="0" w:firstLine="280"/>
      </w:pPr>
      <w:bookmarkStart w:id="143" w:name="bookmark143"/>
      <w:r>
        <w:rPr>
          <w:lang w:val="ru-RU" w:eastAsia="ru-RU" w:bidi="ru-RU"/>
          <w:w w:val="100"/>
          <w:spacing w:val="0"/>
          <w:color w:val="000000"/>
          <w:position w:val="0"/>
        </w:rPr>
        <w:t>Болтающейся кисти симптом</w:t>
      </w:r>
      <w:bookmarkEnd w:id="143"/>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хореи — чрезмерная амплитуда пассивных дви</w:t>
        <w:softHyphen/>
        <w:t>жений кисти при встряхивании предплечья больного, обус</w:t>
        <w:softHyphen/>
        <w:t>ловленная мышечной гипотонией.</w:t>
      </w:r>
    </w:p>
    <w:p>
      <w:pPr>
        <w:pStyle w:val="Style92"/>
        <w:widowControl w:val="0"/>
        <w:keepNext/>
        <w:keepLines/>
        <w:shd w:val="clear" w:color="auto" w:fill="auto"/>
        <w:bidi w:val="0"/>
        <w:spacing w:before="0" w:after="0"/>
        <w:ind w:left="0" w:right="0" w:firstLine="280"/>
      </w:pPr>
      <w:bookmarkStart w:id="144" w:name="bookmark144"/>
      <w:r>
        <w:rPr>
          <w:lang w:val="ru-RU" w:eastAsia="ru-RU" w:bidi="ru-RU"/>
          <w:w w:val="100"/>
          <w:spacing w:val="0"/>
          <w:color w:val="000000"/>
          <w:position w:val="0"/>
        </w:rPr>
        <w:t xml:space="preserve">Бона симптом </w:t>
      </w:r>
      <w:r>
        <w:rPr>
          <w:lang w:val="en-US" w:eastAsia="en-US" w:bidi="en-US"/>
          <w:w w:val="100"/>
          <w:spacing w:val="0"/>
          <w:color w:val="000000"/>
          <w:position w:val="0"/>
        </w:rPr>
        <w:t>(Bohn)</w:t>
      </w:r>
      <w:bookmarkEnd w:id="144"/>
    </w:p>
    <w:p>
      <w:pPr>
        <w:pStyle w:val="Style30"/>
        <w:widowControl w:val="0"/>
        <w:keepNext w:val="0"/>
        <w:keepLines w:val="0"/>
        <w:shd w:val="clear" w:color="auto" w:fill="auto"/>
        <w:bidi w:val="0"/>
        <w:spacing w:before="0" w:after="149"/>
        <w:ind w:left="0" w:right="0" w:firstLine="280"/>
      </w:pPr>
      <w:r>
        <w:rPr>
          <w:lang w:val="ru-RU" w:eastAsia="ru-RU" w:bidi="ru-RU"/>
          <w:w w:val="100"/>
          <w:spacing w:val="0"/>
          <w:color w:val="000000"/>
          <w:position w:val="0"/>
        </w:rPr>
        <w:t>Признак незаращенного артериального (боталлова) протока: после физической нагрузки в положении стоя на</w:t>
        <w:softHyphen/>
        <w:t>блюдается снижение артериального давления.</w:t>
      </w:r>
    </w:p>
    <w:p>
      <w:pPr>
        <w:pStyle w:val="Style92"/>
        <w:widowControl w:val="0"/>
        <w:keepNext/>
        <w:keepLines/>
        <w:shd w:val="clear" w:color="auto" w:fill="auto"/>
        <w:bidi w:val="0"/>
        <w:spacing w:before="0" w:after="14" w:line="180" w:lineRule="exact"/>
        <w:ind w:left="0" w:right="0" w:firstLine="280"/>
      </w:pPr>
      <w:bookmarkStart w:id="145" w:name="bookmark145"/>
      <w:r>
        <w:rPr>
          <w:lang w:val="ru-RU" w:eastAsia="ru-RU" w:bidi="ru-RU"/>
          <w:w w:val="100"/>
          <w:spacing w:val="0"/>
          <w:color w:val="000000"/>
          <w:position w:val="0"/>
        </w:rPr>
        <w:t xml:space="preserve">Бонгеффера симптом </w:t>
      </w:r>
      <w:r>
        <w:rPr>
          <w:lang w:val="en-US" w:eastAsia="en-US" w:bidi="en-US"/>
          <w:w w:val="100"/>
          <w:spacing w:val="0"/>
          <w:color w:val="000000"/>
          <w:position w:val="0"/>
        </w:rPr>
        <w:t>(Bonhoeffer)</w:t>
      </w:r>
      <w:bookmarkEnd w:id="145"/>
    </w:p>
    <w:p>
      <w:pPr>
        <w:pStyle w:val="Style30"/>
        <w:widowControl w:val="0"/>
        <w:keepNext w:val="0"/>
        <w:keepLines w:val="0"/>
        <w:shd w:val="clear" w:color="auto" w:fill="auto"/>
        <w:bidi w:val="0"/>
        <w:spacing w:before="0" w:after="74" w:line="180" w:lineRule="exact"/>
        <w:ind w:left="0" w:right="0" w:firstLine="280"/>
      </w:pPr>
      <w:r>
        <w:rPr>
          <w:lang w:val="ru-RU" w:eastAsia="ru-RU" w:bidi="ru-RU"/>
          <w:w w:val="100"/>
          <w:spacing w:val="0"/>
          <w:color w:val="000000"/>
          <w:position w:val="0"/>
        </w:rPr>
        <w:t>Признак ревматической хореи: потеря нормального мы-</w:t>
      </w:r>
    </w:p>
    <w:p>
      <w:pPr>
        <w:pStyle w:val="Style92"/>
        <w:widowControl w:val="0"/>
        <w:keepNext/>
        <w:keepLines/>
        <w:shd w:val="clear" w:color="auto" w:fill="auto"/>
        <w:bidi w:val="0"/>
        <w:spacing w:before="0" w:after="0"/>
        <w:ind w:left="0" w:right="0" w:firstLine="280"/>
      </w:pPr>
      <w:bookmarkStart w:id="146" w:name="bookmark146"/>
      <w:r>
        <w:rPr>
          <w:lang w:val="ru-RU" w:eastAsia="ru-RU" w:bidi="ru-RU"/>
          <w:w w:val="100"/>
          <w:spacing w:val="0"/>
          <w:color w:val="000000"/>
          <w:position w:val="0"/>
        </w:rPr>
        <w:t xml:space="preserve">Боткина </w:t>
      </w:r>
      <w:r>
        <w:rPr>
          <w:lang w:val="en-US" w:eastAsia="en-US" w:bidi="en-US"/>
          <w:w w:val="100"/>
          <w:spacing w:val="0"/>
          <w:color w:val="000000"/>
          <w:position w:val="0"/>
        </w:rPr>
        <w:t xml:space="preserve">(I) </w:t>
      </w:r>
      <w:r>
        <w:rPr>
          <w:lang w:val="ru-RU" w:eastAsia="ru-RU" w:bidi="ru-RU"/>
          <w:w w:val="100"/>
          <w:spacing w:val="0"/>
          <w:color w:val="000000"/>
          <w:position w:val="0"/>
        </w:rPr>
        <w:t>симптом</w:t>
      </w:r>
      <w:bookmarkEnd w:id="146"/>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Возможный признак стеноза левого атриовентрикуляр</w:t>
        <w:softHyphen/>
        <w:t>ного отверстия: уменьшение размеров левой половины грудной клетки по сравнению с правой.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Боткина </w:t>
      </w:r>
      <w:r>
        <w:rPr>
          <w:lang w:val="en-US" w:eastAsia="en-US" w:bidi="en-US"/>
          <w:w w:val="100"/>
          <w:spacing w:val="0"/>
          <w:color w:val="000000"/>
          <w:position w:val="0"/>
        </w:rPr>
        <w:t xml:space="preserve">(II) </w:t>
      </w:r>
      <w:r>
        <w:rPr>
          <w:lang w:val="ru-RU" w:eastAsia="ru-RU" w:bidi="ru-RU"/>
          <w:w w:val="100"/>
          <w:spacing w:val="0"/>
          <w:color w:val="000000"/>
          <w:position w:val="0"/>
        </w:rPr>
        <w:t>симптом</w:t>
      </w:r>
    </w:p>
    <w:p>
      <w:pPr>
        <w:pStyle w:val="Style30"/>
        <w:widowControl w:val="0"/>
        <w:keepNext w:val="0"/>
        <w:keepLines w:val="0"/>
        <w:shd w:val="clear" w:color="auto" w:fill="auto"/>
        <w:bidi w:val="0"/>
        <w:spacing w:before="0" w:after="149"/>
        <w:ind w:left="0" w:right="0" w:firstLine="280"/>
      </w:pPr>
      <w:r>
        <w:rPr>
          <w:lang w:val="ru-RU" w:eastAsia="ru-RU" w:bidi="ru-RU"/>
          <w:w w:val="100"/>
          <w:spacing w:val="0"/>
          <w:color w:val="000000"/>
          <w:position w:val="0"/>
        </w:rPr>
        <w:t>Возможный признак стеноза левого атриовентрикуляр</w:t>
        <w:softHyphen/>
        <w:t>ного отверстия: при выслушивании легких вдоль верхней и левой границ сердца обнаруживаются крепитирующие и влажные хрипы, обусловленные давлением увеличенного левого предсердия на легочную ткань.</w:t>
      </w:r>
    </w:p>
    <w:p>
      <w:pPr>
        <w:pStyle w:val="Style92"/>
        <w:widowControl w:val="0"/>
        <w:keepNext/>
        <w:keepLines/>
        <w:shd w:val="clear" w:color="auto" w:fill="auto"/>
        <w:bidi w:val="0"/>
        <w:spacing w:before="0" w:after="14" w:line="180" w:lineRule="exact"/>
        <w:ind w:left="0" w:right="0" w:firstLine="280"/>
      </w:pPr>
      <w:bookmarkStart w:id="147" w:name="bookmark147"/>
      <w:r>
        <w:rPr>
          <w:lang w:val="ru-RU" w:eastAsia="ru-RU" w:bidi="ru-RU"/>
          <w:w w:val="100"/>
          <w:spacing w:val="0"/>
          <w:color w:val="000000"/>
          <w:position w:val="0"/>
        </w:rPr>
        <w:t>Боткина ритм перепела симптом</w:t>
      </w:r>
      <w:bookmarkEnd w:id="147"/>
    </w:p>
    <w:p>
      <w:pPr>
        <w:pStyle w:val="Style30"/>
        <w:widowControl w:val="0"/>
        <w:keepNext w:val="0"/>
        <w:keepLines w:val="0"/>
        <w:shd w:val="clear" w:color="auto" w:fill="auto"/>
        <w:bidi w:val="0"/>
        <w:spacing w:before="0" w:after="161" w:line="180" w:lineRule="exact"/>
        <w:ind w:left="0" w:right="0" w:firstLine="280"/>
      </w:pPr>
      <w:r>
        <w:rPr>
          <w:lang w:val="ru-RU" w:eastAsia="ru-RU" w:bidi="ru-RU"/>
          <w:w w:val="100"/>
          <w:spacing w:val="0"/>
          <w:color w:val="000000"/>
          <w:position w:val="0"/>
        </w:rPr>
        <w:t>см. Ритма перепела симптом.</w:t>
      </w:r>
    </w:p>
    <w:p>
      <w:pPr>
        <w:pStyle w:val="Style92"/>
        <w:widowControl w:val="0"/>
        <w:keepNext/>
        <w:keepLines/>
        <w:shd w:val="clear" w:color="auto" w:fill="auto"/>
        <w:bidi w:val="0"/>
        <w:spacing w:before="0" w:after="0"/>
        <w:ind w:left="0" w:right="0" w:firstLine="280"/>
      </w:pPr>
      <w:bookmarkStart w:id="148" w:name="bookmark148"/>
      <w:r>
        <w:rPr>
          <w:lang w:val="ru-RU" w:eastAsia="ru-RU" w:bidi="ru-RU"/>
          <w:w w:val="100"/>
          <w:spacing w:val="0"/>
          <w:color w:val="000000"/>
          <w:position w:val="0"/>
        </w:rPr>
        <w:t xml:space="preserve">Боццоло симптом </w:t>
      </w:r>
      <w:r>
        <w:rPr>
          <w:lang w:val="en-US" w:eastAsia="en-US" w:bidi="en-US"/>
          <w:w w:val="100"/>
          <w:spacing w:val="0"/>
          <w:color w:val="000000"/>
          <w:position w:val="0"/>
        </w:rPr>
        <w:t>(Bozzolo)</w:t>
      </w:r>
      <w:bookmarkEnd w:id="148"/>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аневризмы грудной аорты: видимая пульсация сосудов носовой полости и раздувание крыльев носа при дыхании.</w:t>
      </w:r>
    </w:p>
    <w:p>
      <w:pPr>
        <w:pStyle w:val="Style92"/>
        <w:widowControl w:val="0"/>
        <w:keepNext/>
        <w:keepLines/>
        <w:shd w:val="clear" w:color="auto" w:fill="auto"/>
        <w:bidi w:val="0"/>
        <w:spacing w:before="0" w:after="0"/>
        <w:ind w:left="0" w:right="0" w:firstLine="280"/>
      </w:pPr>
      <w:bookmarkStart w:id="149" w:name="bookmark149"/>
      <w:r>
        <w:rPr>
          <w:lang w:val="ru-RU" w:eastAsia="ru-RU" w:bidi="ru-RU"/>
          <w:w w:val="100"/>
          <w:spacing w:val="0"/>
          <w:color w:val="000000"/>
          <w:position w:val="0"/>
        </w:rPr>
        <w:t xml:space="preserve">Брауэра симптом </w:t>
      </w:r>
      <w:r>
        <w:rPr>
          <w:lang w:val="en-US" w:eastAsia="en-US" w:bidi="en-US"/>
          <w:w w:val="100"/>
          <w:spacing w:val="0"/>
          <w:color w:val="000000"/>
          <w:position w:val="0"/>
        </w:rPr>
        <w:t>(Brauer)</w:t>
      </w:r>
      <w:bookmarkEnd w:id="149"/>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констриктивного перикардита: наличие допол</w:t>
        <w:softHyphen/>
        <w:t>нительного тона, напоминающего по звучанию щелчок, в начальной фазе диастолы (перикардтон диастолический).</w:t>
      </w:r>
    </w:p>
    <w:p>
      <w:pPr>
        <w:pStyle w:val="Style92"/>
        <w:widowControl w:val="0"/>
        <w:keepNext/>
        <w:keepLines/>
        <w:shd w:val="clear" w:color="auto" w:fill="auto"/>
        <w:bidi w:val="0"/>
        <w:spacing w:before="0" w:after="0"/>
        <w:ind w:left="0" w:right="0" w:firstLine="280"/>
      </w:pPr>
      <w:bookmarkStart w:id="150" w:name="bookmark150"/>
      <w:r>
        <w:rPr>
          <w:lang w:val="ru-RU" w:eastAsia="ru-RU" w:bidi="ru-RU"/>
          <w:w w:val="100"/>
          <w:spacing w:val="0"/>
          <w:color w:val="000000"/>
          <w:position w:val="0"/>
        </w:rPr>
        <w:t xml:space="preserve">Бродбента симптом </w:t>
      </w:r>
      <w:r>
        <w:rPr>
          <w:lang w:val="en-US" w:eastAsia="en-US" w:bidi="en-US"/>
          <w:w w:val="100"/>
          <w:spacing w:val="0"/>
          <w:color w:val="000000"/>
          <w:position w:val="0"/>
        </w:rPr>
        <w:t>(Broadbent)</w:t>
      </w:r>
      <w:bookmarkEnd w:id="150"/>
    </w:p>
    <w:p>
      <w:pPr>
        <w:pStyle w:val="Style30"/>
        <w:widowControl w:val="0"/>
        <w:keepNext w:val="0"/>
        <w:keepLines w:val="0"/>
        <w:shd w:val="clear" w:color="auto" w:fill="auto"/>
        <w:bidi w:val="0"/>
        <w:spacing w:before="0" w:after="0"/>
        <w:ind w:left="0" w:right="0" w:firstLine="280"/>
      </w:pPr>
      <w:r>
        <w:pict>
          <v:shape id="_x0000_s1103" type="#_x0000_t75" style="position:absolute;margin-left:136.3pt;margin-top:739.95pt;width:209.75pt;height:14.9pt;z-index:-125829341;mso-wrap-distance-left:124.3pt;mso-wrap-distance-right:136.55pt;mso-wrap-distance-bottom:20.pt;mso-position-horizontal-relative:margin;mso-position-vertical-relative:margin" wrapcoords="0 0 21600 0 21600 21600 0 21600 0 0">
            <v:imagedata r:id="rId124" r:href="rId125"/>
            <w10:wrap type="topAndBottom" anchorx="margin" anchory="margin"/>
          </v:shape>
        </w:pict>
      </w:r>
      <w:r>
        <w:rPr>
          <w:lang w:val="ru-RU" w:eastAsia="ru-RU" w:bidi="ru-RU"/>
          <w:w w:val="100"/>
          <w:spacing w:val="0"/>
          <w:color w:val="000000"/>
          <w:position w:val="0"/>
        </w:rPr>
        <w:t xml:space="preserve">Признак констриктивного перикардита: систолическое втягивание грудной клетки, синхронное сердечному ритму, в области </w:t>
      </w:r>
      <w:r>
        <w:rPr>
          <w:lang w:val="en-US" w:eastAsia="en-US" w:bidi="en-US"/>
          <w:w w:val="100"/>
          <w:spacing w:val="0"/>
          <w:color w:val="000000"/>
          <w:position w:val="0"/>
        </w:rPr>
        <w:t xml:space="preserve">XI-XII </w:t>
      </w:r>
      <w:r>
        <w:rPr>
          <w:lang w:val="ru-RU" w:eastAsia="ru-RU" w:bidi="ru-RU"/>
          <w:w w:val="100"/>
          <w:spacing w:val="0"/>
          <w:color w:val="000000"/>
          <w:position w:val="0"/>
        </w:rPr>
        <w:t>ребер сзади, возле позвоночника слева.</w:t>
      </w:r>
      <w:r>
        <w:br w:type="page"/>
      </w:r>
    </w:p>
    <w:p>
      <w:pPr>
        <w:pStyle w:val="Style92"/>
        <w:widowControl w:val="0"/>
        <w:keepNext/>
        <w:keepLines/>
        <w:shd w:val="clear" w:color="auto" w:fill="auto"/>
        <w:bidi w:val="0"/>
        <w:spacing w:before="0" w:after="0"/>
        <w:ind w:left="0" w:right="0" w:firstLine="280"/>
      </w:pPr>
      <w:bookmarkStart w:id="151" w:name="bookmark151"/>
      <w:r>
        <w:rPr>
          <w:lang w:val="ru-RU" w:eastAsia="ru-RU" w:bidi="ru-RU"/>
          <w:w w:val="100"/>
          <w:spacing w:val="0"/>
          <w:color w:val="000000"/>
          <w:position w:val="0"/>
        </w:rPr>
        <w:t xml:space="preserve">Бродбента симптом </w:t>
      </w:r>
      <w:r>
        <w:rPr>
          <w:lang w:val="en-US" w:eastAsia="en-US" w:bidi="en-US"/>
          <w:w w:val="100"/>
          <w:spacing w:val="0"/>
          <w:color w:val="000000"/>
          <w:position w:val="0"/>
        </w:rPr>
        <w:t>(Broadbent)</w:t>
      </w:r>
      <w:bookmarkEnd w:id="151"/>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аневризмы левого ушка сердца: синхронная сердечному ритму пульсация в эпигастрии в связи с образо - ванием спаек между перикардом и диафрагмой.</w:t>
      </w:r>
    </w:p>
    <w:p>
      <w:pPr>
        <w:pStyle w:val="Style92"/>
        <w:widowControl w:val="0"/>
        <w:keepNext/>
        <w:keepLines/>
        <w:shd w:val="clear" w:color="auto" w:fill="auto"/>
        <w:bidi w:val="0"/>
        <w:spacing w:before="0" w:after="0"/>
        <w:ind w:left="0" w:right="0" w:firstLine="280"/>
      </w:pPr>
      <w:bookmarkStart w:id="152" w:name="bookmark152"/>
      <w:r>
        <w:rPr>
          <w:lang w:val="ru-RU" w:eastAsia="ru-RU" w:bidi="ru-RU"/>
          <w:w w:val="100"/>
          <w:spacing w:val="0"/>
          <w:color w:val="000000"/>
          <w:position w:val="0"/>
        </w:rPr>
        <w:t xml:space="preserve">Буйо I симптом </w:t>
      </w:r>
      <w:r>
        <w:rPr>
          <w:lang w:val="en-US" w:eastAsia="en-US" w:bidi="en-US"/>
          <w:w w:val="100"/>
          <w:spacing w:val="0"/>
          <w:color w:val="000000"/>
          <w:position w:val="0"/>
        </w:rPr>
        <w:t>(Bouillaud)</w:t>
      </w:r>
      <w:bookmarkEnd w:id="152"/>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гипертрофии сердца, особенно его правых от</w:t>
        <w:softHyphen/>
        <w:t>делов: глухой дополнительный тон, выслушиваемый в диа</w:t>
        <w:softHyphen/>
        <w:t>столе над областью определяемого визуально сердечного толчка и справа от нее.</w:t>
      </w:r>
    </w:p>
    <w:p>
      <w:pPr>
        <w:pStyle w:val="Style92"/>
        <w:widowControl w:val="0"/>
        <w:keepNext/>
        <w:keepLines/>
        <w:shd w:val="clear" w:color="auto" w:fill="auto"/>
        <w:bidi w:val="0"/>
        <w:spacing w:before="0" w:after="0"/>
        <w:ind w:left="0" w:right="0" w:firstLine="280"/>
      </w:pPr>
      <w:bookmarkStart w:id="153" w:name="bookmark153"/>
      <w:r>
        <w:rPr>
          <w:lang w:val="ru-RU" w:eastAsia="ru-RU" w:bidi="ru-RU"/>
          <w:w w:val="100"/>
          <w:spacing w:val="0"/>
          <w:color w:val="000000"/>
          <w:position w:val="0"/>
        </w:rPr>
        <w:t xml:space="preserve">Буйо II симптом </w:t>
      </w:r>
      <w:r>
        <w:rPr>
          <w:lang w:val="en-US" w:eastAsia="en-US" w:bidi="en-US"/>
          <w:w w:val="100"/>
          <w:spacing w:val="0"/>
          <w:color w:val="000000"/>
          <w:position w:val="0"/>
        </w:rPr>
        <w:t>(Bouillaud)</w:t>
      </w:r>
      <w:bookmarkEnd w:id="153"/>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констриктивного перикардита: постоянное не</w:t>
        <w:softHyphen/>
        <w:t>пульсирующее западение передней грудной стенки в пре- кордиальной области.</w:t>
      </w:r>
    </w:p>
    <w:p>
      <w:pPr>
        <w:pStyle w:val="Style92"/>
        <w:widowControl w:val="0"/>
        <w:keepNext/>
        <w:keepLines/>
        <w:shd w:val="clear" w:color="auto" w:fill="auto"/>
        <w:bidi w:val="0"/>
        <w:spacing w:before="0" w:after="0"/>
        <w:ind w:left="0" w:right="0" w:firstLine="280"/>
      </w:pPr>
      <w:bookmarkStart w:id="154" w:name="bookmark154"/>
      <w:r>
        <w:rPr>
          <w:lang w:val="ru-RU" w:eastAsia="ru-RU" w:bidi="ru-RU"/>
          <w:w w:val="100"/>
          <w:spacing w:val="0"/>
          <w:color w:val="000000"/>
          <w:position w:val="0"/>
        </w:rPr>
        <w:t>Бурхарда симптом</w:t>
      </w:r>
      <w:bookmarkEnd w:id="154"/>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Возможный признак застойных явлений в легких у детей грудного возраста: мягкая крепитация, выслушиваемая фо</w:t>
        <w:softHyphen/>
        <w:t>нендоскопом или непосредственно ухом около носа (рта) ребенка.</w:t>
      </w:r>
    </w:p>
    <w:p>
      <w:pPr>
        <w:pStyle w:val="Style92"/>
        <w:widowControl w:val="0"/>
        <w:keepNext/>
        <w:keepLines/>
        <w:shd w:val="clear" w:color="auto" w:fill="auto"/>
        <w:bidi w:val="0"/>
        <w:spacing w:before="0" w:after="0"/>
        <w:ind w:left="0" w:right="0" w:firstLine="280"/>
      </w:pPr>
      <w:bookmarkStart w:id="155" w:name="bookmark155"/>
      <w:r>
        <w:rPr>
          <w:lang w:val="ru-RU" w:eastAsia="ru-RU" w:bidi="ru-RU"/>
          <w:w w:val="100"/>
          <w:spacing w:val="0"/>
          <w:color w:val="000000"/>
          <w:position w:val="0"/>
        </w:rPr>
        <w:t>Буттдорфа симптом</w:t>
      </w:r>
      <w:bookmarkEnd w:id="155"/>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Усиление пульсации легочной артерии и уплощение ду</w:t>
        <w:softHyphen/>
        <w:t>ги этой артерии в рентгеновской картине при пробе Валь</w:t>
        <w:softHyphen/>
        <w:t>сальвы. Наблюдается при открытом артериальном протоке.</w:t>
      </w:r>
    </w:p>
    <w:p>
      <w:pPr>
        <w:pStyle w:val="Style92"/>
        <w:widowControl w:val="0"/>
        <w:keepNext/>
        <w:keepLines/>
        <w:shd w:val="clear" w:color="auto" w:fill="auto"/>
        <w:bidi w:val="0"/>
        <w:spacing w:before="0" w:after="0"/>
        <w:ind w:left="0" w:right="0" w:firstLine="280"/>
      </w:pPr>
      <w:bookmarkStart w:id="156" w:name="bookmark156"/>
      <w:r>
        <w:rPr>
          <w:lang w:val="ru-RU" w:eastAsia="ru-RU" w:bidi="ru-RU"/>
          <w:w w:val="100"/>
          <w:spacing w:val="0"/>
          <w:color w:val="000000"/>
          <w:position w:val="0"/>
        </w:rPr>
        <w:t xml:space="preserve">Бычье сердце (син. букардия, </w:t>
      </w:r>
      <w:r>
        <w:rPr>
          <w:lang w:val="en-US" w:eastAsia="en-US" w:bidi="en-US"/>
          <w:w w:val="100"/>
          <w:spacing w:val="0"/>
          <w:color w:val="000000"/>
          <w:position w:val="0"/>
        </w:rPr>
        <w:t>cor bovinum)</w:t>
      </w:r>
      <w:bookmarkEnd w:id="156"/>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органического поражения сердца: резко выра</w:t>
        <w:softHyphen/>
        <w:t>женная кардиомегалия, обусловленная застойной сердеч</w:t>
        <w:softHyphen/>
        <w:t>ной недостаточностью.</w:t>
      </w:r>
    </w:p>
    <w:p>
      <w:pPr>
        <w:pStyle w:val="Style92"/>
        <w:widowControl w:val="0"/>
        <w:keepNext/>
        <w:keepLines/>
        <w:shd w:val="clear" w:color="auto" w:fill="auto"/>
        <w:bidi w:val="0"/>
        <w:spacing w:before="0" w:after="0"/>
        <w:ind w:left="0" w:right="0" w:firstLine="280"/>
      </w:pPr>
      <w:bookmarkStart w:id="157" w:name="bookmark157"/>
      <w:r>
        <w:rPr>
          <w:lang w:val="ru-RU" w:eastAsia="ru-RU" w:bidi="ru-RU"/>
          <w:w w:val="100"/>
          <w:spacing w:val="0"/>
          <w:color w:val="000000"/>
          <w:position w:val="0"/>
        </w:rPr>
        <w:t>Вагоинсулярный криз</w:t>
      </w:r>
      <w:bookmarkEnd w:id="15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Внезапное повышение тонуса парасимпатического отде</w:t>
        <w:softHyphen/>
        <w:t>ла вегетативной нервной системы, возникает у детей с веге- тососудистой дистонией, реже как результат истерии, мас</w:t>
        <w:softHyphen/>
        <w:t>кированной депрессии, височной эпилепсии.</w:t>
      </w:r>
    </w:p>
    <w:p>
      <w:pPr>
        <w:pStyle w:val="Style30"/>
        <w:numPr>
          <w:ilvl w:val="0"/>
          <w:numId w:val="2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Чаще наблюдается у детей младшего возраста.</w:t>
      </w:r>
    </w:p>
    <w:p>
      <w:pPr>
        <w:pStyle w:val="Style30"/>
        <w:numPr>
          <w:ilvl w:val="0"/>
          <w:numId w:val="2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Во время пароксизма внезапно возникает следующая симптоматика:</w:t>
      </w:r>
    </w:p>
    <w:p>
      <w:pPr>
        <w:pStyle w:val="Style30"/>
        <w:numPr>
          <w:ilvl w:val="0"/>
          <w:numId w:val="27"/>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резкая слабость;</w:t>
      </w:r>
    </w:p>
    <w:p>
      <w:pPr>
        <w:pStyle w:val="Style30"/>
        <w:numPr>
          <w:ilvl w:val="0"/>
          <w:numId w:val="27"/>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обильная потливость;</w:t>
      </w:r>
    </w:p>
    <w:p>
      <w:pPr>
        <w:pStyle w:val="Style30"/>
        <w:numPr>
          <w:ilvl w:val="0"/>
          <w:numId w:val="27"/>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боли в животе;</w:t>
      </w:r>
    </w:p>
    <w:p>
      <w:pPr>
        <w:pStyle w:val="Style30"/>
        <w:numPr>
          <w:ilvl w:val="0"/>
          <w:numId w:val="27"/>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рвота;</w:t>
      </w:r>
    </w:p>
    <w:p>
      <w:pPr>
        <w:pStyle w:val="Style30"/>
        <w:numPr>
          <w:ilvl w:val="0"/>
          <w:numId w:val="27"/>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головная боль;</w:t>
      </w:r>
    </w:p>
    <w:p>
      <w:pPr>
        <w:pStyle w:val="Style30"/>
        <w:numPr>
          <w:ilvl w:val="0"/>
          <w:numId w:val="27"/>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гипотермия;</w:t>
      </w:r>
    </w:p>
    <w:p>
      <w:pPr>
        <w:pStyle w:val="Style30"/>
        <w:numPr>
          <w:ilvl w:val="0"/>
          <w:numId w:val="27"/>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гипотония;</w:t>
      </w:r>
    </w:p>
    <w:p>
      <w:pPr>
        <w:pStyle w:val="Style30"/>
        <w:numPr>
          <w:ilvl w:val="0"/>
          <w:numId w:val="27"/>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брадикардия;</w:t>
      </w:r>
    </w:p>
    <w:p>
      <w:pPr>
        <w:pStyle w:val="Style30"/>
        <w:numPr>
          <w:ilvl w:val="0"/>
          <w:numId w:val="27"/>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приступ может заканчиваться обмороком.</w:t>
      </w:r>
    </w:p>
    <w:p>
      <w:pPr>
        <w:pStyle w:val="Style30"/>
        <w:numPr>
          <w:ilvl w:val="0"/>
          <w:numId w:val="2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Продолжительность криза от нескольких минут до 2-3 часов.</w:t>
      </w:r>
    </w:p>
    <w:p>
      <w:pPr>
        <w:pStyle w:val="Style30"/>
        <w:numPr>
          <w:ilvl w:val="0"/>
          <w:numId w:val="2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После криза на протяжении нескольких часов отме</w:t>
        <w:softHyphen/>
        <w:t>чается слабость, сонливость.</w:t>
      </w:r>
    </w:p>
    <w:p>
      <w:pPr>
        <w:pStyle w:val="Style30"/>
        <w:numPr>
          <w:ilvl w:val="0"/>
          <w:numId w:val="2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 обследовании данные за органическое заболева</w:t>
        <w:softHyphen/>
        <w:t>ние сердца отсутствуют.</w:t>
      </w:r>
    </w:p>
    <w:p>
      <w:pPr>
        <w:pStyle w:val="Style30"/>
        <w:numPr>
          <w:ilvl w:val="0"/>
          <w:numId w:val="25"/>
        </w:numPr>
        <w:tabs>
          <w:tab w:leader="none" w:pos="518" w:val="left"/>
        </w:tabs>
        <w:widowControl w:val="0"/>
        <w:keepNext w:val="0"/>
        <w:keepLines w:val="0"/>
        <w:shd w:val="clear" w:color="auto" w:fill="auto"/>
        <w:bidi w:val="0"/>
        <w:spacing w:before="0" w:after="120"/>
        <w:ind w:left="520" w:right="0" w:hanging="240"/>
      </w:pPr>
      <w:r>
        <w:rPr>
          <w:lang w:val="ru-RU" w:eastAsia="ru-RU" w:bidi="ru-RU"/>
          <w:w w:val="100"/>
          <w:spacing w:val="0"/>
          <w:color w:val="000000"/>
          <w:position w:val="0"/>
        </w:rPr>
        <w:t xml:space="preserve">На ЭКГ: брадикардия, внутрипредсердная миграция водителя ритма, синдром ранней реполяризации миокарда желудочков, синдром </w:t>
      </w:r>
      <w:r>
        <w:rPr>
          <w:lang w:val="en-US" w:eastAsia="en-US" w:bidi="en-US"/>
          <w:w w:val="100"/>
          <w:spacing w:val="0"/>
          <w:color w:val="000000"/>
          <w:position w:val="0"/>
        </w:rPr>
        <w:t>WPW.</w:t>
      </w:r>
    </w:p>
    <w:p>
      <w:pPr>
        <w:pStyle w:val="Style92"/>
        <w:widowControl w:val="0"/>
        <w:keepNext/>
        <w:keepLines/>
        <w:shd w:val="clear" w:color="auto" w:fill="auto"/>
        <w:bidi w:val="0"/>
        <w:spacing w:before="0" w:after="0"/>
        <w:ind w:left="0" w:right="0" w:firstLine="280"/>
      </w:pPr>
      <w:bookmarkStart w:id="158" w:name="bookmark158"/>
      <w:r>
        <w:rPr>
          <w:lang w:val="ru-RU" w:eastAsia="ru-RU" w:bidi="ru-RU"/>
          <w:w w:val="100"/>
          <w:spacing w:val="0"/>
          <w:color w:val="000000"/>
          <w:position w:val="0"/>
        </w:rPr>
        <w:t>Валя 2 симптом</w:t>
      </w:r>
      <w:bookmarkEnd w:id="15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Синхронный с пульсом шум над кровеносным сосудом; признак повреждения артерии, имеющий значение при от</w:t>
        <w:softHyphen/>
        <w:t>сутствии наружного кровотечения.</w:t>
      </w:r>
    </w:p>
    <w:p>
      <w:pPr>
        <w:pStyle w:val="Style92"/>
        <w:widowControl w:val="0"/>
        <w:keepNext/>
        <w:keepLines/>
        <w:shd w:val="clear" w:color="auto" w:fill="auto"/>
        <w:bidi w:val="0"/>
        <w:spacing w:before="0" w:after="0"/>
        <w:ind w:left="520" w:right="0" w:hanging="240"/>
      </w:pPr>
      <w:r>
        <w:br w:type="column"/>
      </w:r>
      <w:bookmarkStart w:id="159" w:name="bookmark159"/>
      <w:r>
        <w:rPr>
          <w:lang w:val="ru-RU" w:eastAsia="ru-RU" w:bidi="ru-RU"/>
          <w:w w:val="100"/>
          <w:spacing w:val="0"/>
          <w:color w:val="000000"/>
          <w:position w:val="0"/>
        </w:rPr>
        <w:t xml:space="preserve">Венкебаха симптом </w:t>
      </w:r>
      <w:r>
        <w:rPr>
          <w:lang w:val="en-US" w:eastAsia="en-US" w:bidi="en-US"/>
          <w:w w:val="100"/>
          <w:spacing w:val="0"/>
          <w:color w:val="000000"/>
          <w:position w:val="0"/>
        </w:rPr>
        <w:t>(Wenkebach)</w:t>
      </w:r>
      <w:bookmarkEnd w:id="159"/>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констриктивного перикардита: западение во время вдоха нижней части передней стенки грудной клетки.</w:t>
      </w:r>
    </w:p>
    <w:p>
      <w:pPr>
        <w:pStyle w:val="Style92"/>
        <w:widowControl w:val="0"/>
        <w:keepNext/>
        <w:keepLines/>
        <w:shd w:val="clear" w:color="auto" w:fill="auto"/>
        <w:bidi w:val="0"/>
        <w:spacing w:before="0" w:after="0"/>
        <w:ind w:left="520" w:right="0" w:hanging="240"/>
      </w:pPr>
      <w:bookmarkStart w:id="160" w:name="bookmark160"/>
      <w:r>
        <w:rPr>
          <w:lang w:val="ru-RU" w:eastAsia="ru-RU" w:bidi="ru-RU"/>
          <w:w w:val="100"/>
          <w:spacing w:val="0"/>
          <w:color w:val="000000"/>
          <w:position w:val="0"/>
        </w:rPr>
        <w:t xml:space="preserve">Венкебаха симптом </w:t>
      </w:r>
      <w:r>
        <w:rPr>
          <w:lang w:val="en-US" w:eastAsia="en-US" w:bidi="en-US"/>
          <w:w w:val="100"/>
          <w:spacing w:val="0"/>
          <w:color w:val="000000"/>
          <w:position w:val="0"/>
        </w:rPr>
        <w:t>II (Wenkebach)</w:t>
      </w:r>
      <w:bookmarkEnd w:id="160"/>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слипчивого перикардита: профили грудной клетки при глубоком вдохе и в положении покоя перекре</w:t>
        <w:softHyphen/>
        <w:t>щиваются в связи с наличием втяжения в области сердца.</w:t>
      </w:r>
    </w:p>
    <w:p>
      <w:pPr>
        <w:pStyle w:val="Style92"/>
        <w:widowControl w:val="0"/>
        <w:keepNext/>
        <w:keepLines/>
        <w:shd w:val="clear" w:color="auto" w:fill="auto"/>
        <w:bidi w:val="0"/>
        <w:spacing w:before="0" w:after="0"/>
        <w:ind w:left="520" w:right="0" w:hanging="240"/>
      </w:pPr>
      <w:bookmarkStart w:id="161" w:name="bookmark161"/>
      <w:r>
        <w:rPr>
          <w:lang w:val="ru-RU" w:eastAsia="ru-RU" w:bidi="ru-RU"/>
          <w:w w:val="100"/>
          <w:spacing w:val="0"/>
          <w:color w:val="000000"/>
          <w:position w:val="0"/>
        </w:rPr>
        <w:t>Верхней полой вены симптом</w:t>
      </w:r>
      <w:bookmarkEnd w:id="161"/>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обструкции верхней полой вены или ее основных притоков бронхогенной карциномой, лимфомой, находящей</w:t>
        <w:softHyphen/>
        <w:t>ся в средостении, или (реже) загрудинным зобом, вызываю - щей отек и набухание сосудов лица, шеи, рук, непродуктив</w:t>
        <w:softHyphen/>
        <w:t>ный кашель и одышку; на ранних стадиях видны голубоватые венозные звезды (поверхностно лежащие вены и их притоки), которые позже исчезают (после образования коллатералей).</w:t>
      </w:r>
    </w:p>
    <w:p>
      <w:pPr>
        <w:pStyle w:val="Style92"/>
        <w:widowControl w:val="0"/>
        <w:keepNext/>
        <w:keepLines/>
        <w:shd w:val="clear" w:color="auto" w:fill="auto"/>
        <w:bidi w:val="0"/>
        <w:spacing w:before="0" w:after="0"/>
        <w:ind w:left="520" w:right="0" w:hanging="240"/>
      </w:pPr>
      <w:bookmarkStart w:id="162" w:name="bookmark162"/>
      <w:r>
        <w:rPr>
          <w:lang w:val="ru-RU" w:eastAsia="ru-RU" w:bidi="ru-RU"/>
          <w:w w:val="100"/>
          <w:spacing w:val="0"/>
          <w:color w:val="000000"/>
          <w:position w:val="0"/>
        </w:rPr>
        <w:t>Вильямса симптом</w:t>
      </w:r>
      <w:bookmarkEnd w:id="162"/>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констриктивного перикардита: понижение ды</w:t>
        <w:softHyphen/>
        <w:t>хательной подвижности передней стенки грудной клетки.</w:t>
      </w:r>
    </w:p>
    <w:p>
      <w:pPr>
        <w:pStyle w:val="Style92"/>
        <w:widowControl w:val="0"/>
        <w:keepNext/>
        <w:keepLines/>
        <w:shd w:val="clear" w:color="auto" w:fill="auto"/>
        <w:bidi w:val="0"/>
        <w:spacing w:before="0" w:after="0"/>
        <w:ind w:left="520" w:right="0" w:hanging="240"/>
      </w:pPr>
      <w:bookmarkStart w:id="163" w:name="bookmark163"/>
      <w:r>
        <w:rPr>
          <w:lang w:val="ru-RU" w:eastAsia="ru-RU" w:bidi="ru-RU"/>
          <w:w w:val="100"/>
          <w:spacing w:val="0"/>
          <w:color w:val="000000"/>
          <w:position w:val="0"/>
        </w:rPr>
        <w:t>Виндштейна триада</w:t>
      </w:r>
      <w:bookmarkEnd w:id="163"/>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Симптомы, предшествующие мозговому инсульту: го</w:t>
        <w:softHyphen/>
        <w:t>ловная боль, головокружение, расстройства памяти.</w:t>
      </w:r>
    </w:p>
    <w:p>
      <w:pPr>
        <w:pStyle w:val="Style92"/>
        <w:widowControl w:val="0"/>
        <w:keepNext/>
        <w:keepLines/>
        <w:shd w:val="clear" w:color="auto" w:fill="auto"/>
        <w:bidi w:val="0"/>
        <w:spacing w:before="0" w:after="0"/>
        <w:ind w:left="520" w:right="0" w:hanging="240"/>
      </w:pPr>
      <w:bookmarkStart w:id="164" w:name="bookmark164"/>
      <w:r>
        <w:rPr>
          <w:lang w:val="ru-RU" w:eastAsia="ru-RU" w:bidi="ru-RU"/>
          <w:w w:val="100"/>
          <w:spacing w:val="0"/>
          <w:color w:val="000000"/>
          <w:position w:val="0"/>
        </w:rPr>
        <w:t>Виноградова симптом</w:t>
      </w:r>
      <w:bookmarkEnd w:id="164"/>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недостаточности трехстворчатого клапана: при сильной пульсации шейных вен наблюдается синхрон</w:t>
        <w:softHyphen/>
        <w:t>ное движение головы назад.</w:t>
      </w:r>
    </w:p>
    <w:p>
      <w:pPr>
        <w:pStyle w:val="Style92"/>
        <w:widowControl w:val="0"/>
        <w:keepNext/>
        <w:keepLines/>
        <w:shd w:val="clear" w:color="auto" w:fill="auto"/>
        <w:bidi w:val="0"/>
        <w:spacing w:before="0" w:after="0"/>
        <w:ind w:left="520" w:right="0" w:hanging="240"/>
      </w:pPr>
      <w:bookmarkStart w:id="165" w:name="bookmark165"/>
      <w:r>
        <w:rPr>
          <w:lang w:val="ru-RU" w:eastAsia="ru-RU" w:bidi="ru-RU"/>
          <w:w w:val="100"/>
          <w:spacing w:val="0"/>
          <w:color w:val="000000"/>
          <w:position w:val="0"/>
        </w:rPr>
        <w:t xml:space="preserve">Винтера симптом </w:t>
      </w:r>
      <w:r>
        <w:rPr>
          <w:lang w:val="en-US" w:eastAsia="en-US" w:bidi="en-US"/>
          <w:w w:val="100"/>
          <w:spacing w:val="0"/>
          <w:color w:val="000000"/>
          <w:position w:val="0"/>
        </w:rPr>
        <w:t>(Winter)</w:t>
      </w:r>
      <w:bookmarkEnd w:id="165"/>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выпотного перикардита: отсутствие активных дыхательных движений мышц эпигастральной области в связи с ограничением подвижности диафрагмы.</w:t>
      </w:r>
    </w:p>
    <w:p>
      <w:pPr>
        <w:pStyle w:val="Style92"/>
        <w:widowControl w:val="0"/>
        <w:keepNext/>
        <w:keepLines/>
        <w:shd w:val="clear" w:color="auto" w:fill="auto"/>
        <w:bidi w:val="0"/>
        <w:spacing w:before="0" w:after="0"/>
        <w:ind w:left="520" w:right="0" w:hanging="240"/>
      </w:pPr>
      <w:bookmarkStart w:id="166" w:name="bookmark166"/>
      <w:r>
        <w:rPr>
          <w:lang w:val="ru-RU" w:eastAsia="ru-RU" w:bidi="ru-RU"/>
          <w:w w:val="100"/>
          <w:spacing w:val="0"/>
          <w:color w:val="000000"/>
          <w:position w:val="0"/>
        </w:rPr>
        <w:t>Волчка шум симптом (син. венный шум)</w:t>
      </w:r>
      <w:bookmarkEnd w:id="16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Функциональный систолодиастолический шум, выслу</w:t>
        <w:softHyphen/>
        <w:t>шиваемый на яремных венах, чаще справа, может прово</w:t>
        <w:softHyphen/>
        <w:t xml:space="preserve">диться во </w:t>
      </w:r>
      <w:r>
        <w:rPr>
          <w:lang w:val="en-US" w:eastAsia="en-US" w:bidi="en-US"/>
          <w:w w:val="100"/>
          <w:spacing w:val="0"/>
          <w:color w:val="000000"/>
          <w:position w:val="0"/>
        </w:rPr>
        <w:t xml:space="preserve">II-III </w:t>
      </w:r>
      <w:r>
        <w:rPr>
          <w:lang w:val="ru-RU" w:eastAsia="ru-RU" w:bidi="ru-RU"/>
          <w:w w:val="100"/>
          <w:spacing w:val="0"/>
          <w:color w:val="000000"/>
          <w:position w:val="0"/>
        </w:rPr>
        <w:t>межреберье, усиливается при повороте и за</w:t>
        <w:softHyphen/>
        <w:t>прокидывании головы.</w:t>
      </w:r>
    </w:p>
    <w:p>
      <w:pPr>
        <w:pStyle w:val="Style30"/>
        <w:widowControl w:val="0"/>
        <w:keepNext w:val="0"/>
        <w:keepLines w:val="0"/>
        <w:shd w:val="clear" w:color="auto" w:fill="auto"/>
        <w:bidi w:val="0"/>
        <w:spacing w:before="0" w:after="149"/>
        <w:ind w:left="0" w:right="0" w:firstLine="280"/>
      </w:pPr>
      <w:r>
        <w:rPr>
          <w:lang w:val="en-US" w:eastAsia="en-US" w:bidi="en-US"/>
          <w:w w:val="100"/>
          <w:spacing w:val="0"/>
          <w:color w:val="000000"/>
          <w:position w:val="0"/>
        </w:rPr>
        <w:t xml:space="preserve">NB. </w:t>
      </w:r>
      <w:r>
        <w:rPr>
          <w:lang w:val="ru-RU" w:eastAsia="ru-RU" w:bidi="ru-RU"/>
          <w:w w:val="100"/>
          <w:spacing w:val="0"/>
          <w:color w:val="000000"/>
          <w:position w:val="0"/>
        </w:rPr>
        <w:t>Шум волчка слева может имитировать открытый ар</w:t>
        <w:softHyphen/>
        <w:t>териальный проток.</w:t>
      </w:r>
    </w:p>
    <w:p>
      <w:pPr>
        <w:pStyle w:val="Style92"/>
        <w:widowControl w:val="0"/>
        <w:keepNext/>
        <w:keepLines/>
        <w:shd w:val="clear" w:color="auto" w:fill="auto"/>
        <w:bidi w:val="0"/>
        <w:spacing w:before="0" w:after="0" w:line="180" w:lineRule="exact"/>
        <w:ind w:left="520" w:right="0" w:hanging="240"/>
      </w:pPr>
      <w:bookmarkStart w:id="167" w:name="bookmark167"/>
      <w:r>
        <w:rPr>
          <w:lang w:val="ru-RU" w:eastAsia="ru-RU" w:bidi="ru-RU"/>
          <w:w w:val="100"/>
          <w:spacing w:val="0"/>
          <w:color w:val="000000"/>
          <w:position w:val="0"/>
        </w:rPr>
        <w:t>«Воротник Стокса» симптом</w:t>
      </w:r>
      <w:bookmarkEnd w:id="167"/>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констриктивного перикардита: цианоз щек, ушей, кистей рук, отечность лица и шеи.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Гайсбека синдром </w:t>
      </w:r>
      <w:r>
        <w:rPr>
          <w:lang w:val="en-US" w:eastAsia="en-US" w:bidi="en-US"/>
          <w:w w:val="100"/>
          <w:spacing w:val="0"/>
          <w:color w:val="000000"/>
          <w:position w:val="0"/>
        </w:rPr>
        <w:t xml:space="preserve">(Gaisbock syndrome) </w:t>
      </w:r>
      <w:r>
        <w:rPr>
          <w:lang w:val="ru-RU" w:eastAsia="ru-RU" w:bidi="ru-RU"/>
          <w:w w:val="100"/>
          <w:spacing w:val="0"/>
          <w:color w:val="000000"/>
          <w:position w:val="0"/>
        </w:rPr>
        <w:t>/син. гипертони</w:t>
        <w:softHyphen/>
        <w:t>ческой полицитемии синдром, гипертоническая красная полицитемия/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Артериальная гипертензия, обусловленная полицитемией.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Клиническая симптоматика:</w:t>
      </w:r>
    </w:p>
    <w:p>
      <w:pPr>
        <w:pStyle w:val="Style30"/>
        <w:numPr>
          <w:ilvl w:val="0"/>
          <w:numId w:val="27"/>
        </w:numPr>
        <w:tabs>
          <w:tab w:leader="none" w:pos="514"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красный цвет лица с цианотическим оттенком при надавливании;</w:t>
      </w:r>
    </w:p>
    <w:p>
      <w:pPr>
        <w:pStyle w:val="Style30"/>
        <w:numPr>
          <w:ilvl w:val="0"/>
          <w:numId w:val="27"/>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головокружение;</w:t>
      </w:r>
    </w:p>
    <w:p>
      <w:pPr>
        <w:pStyle w:val="Style30"/>
        <w:numPr>
          <w:ilvl w:val="0"/>
          <w:numId w:val="27"/>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головные боли;</w:t>
      </w:r>
    </w:p>
    <w:p>
      <w:pPr>
        <w:pStyle w:val="Style30"/>
        <w:numPr>
          <w:ilvl w:val="0"/>
          <w:numId w:val="27"/>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утомляемость;</w:t>
      </w:r>
    </w:p>
    <w:p>
      <w:pPr>
        <w:pStyle w:val="Style30"/>
        <w:numPr>
          <w:ilvl w:val="0"/>
          <w:numId w:val="27"/>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носовые кровотечения;</w:t>
      </w:r>
    </w:p>
    <w:p>
      <w:pPr>
        <w:pStyle w:val="Style30"/>
        <w:numPr>
          <w:ilvl w:val="0"/>
          <w:numId w:val="27"/>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артериальная гипертензия носит стойкий характер, преимущественно по диастолическому типу, возмож</w:t>
        <w:softHyphen/>
        <w:t>ны тромбозы и эмболии;</w:t>
      </w:r>
    </w:p>
    <w:p>
      <w:pPr>
        <w:pStyle w:val="Style30"/>
        <w:numPr>
          <w:ilvl w:val="0"/>
          <w:numId w:val="27"/>
        </w:numPr>
        <w:tabs>
          <w:tab w:leader="none" w:pos="514" w:val="left"/>
        </w:tabs>
        <w:widowControl w:val="0"/>
        <w:keepNext w:val="0"/>
        <w:keepLines w:val="0"/>
        <w:shd w:val="clear" w:color="auto" w:fill="auto"/>
        <w:bidi w:val="0"/>
        <w:spacing w:before="0" w:after="0"/>
        <w:ind w:left="520" w:right="0" w:hanging="240"/>
      </w:pPr>
      <w:r>
        <w:pict>
          <v:shape id="_x0000_s1104" type="#_x0000_t75" style="position:absolute;margin-left:136.8pt;margin-top:740.2pt;width:209.75pt;height:14.9pt;z-index:-125829340;mso-wrap-distance-left:136.8pt;mso-wrap-distance-right:148.1pt;mso-wrap-distance-bottom:20.pt;mso-position-horizontal-relative:margin;mso-position-vertical-relative:margin" wrapcoords="0 0 21600 0 21600 21600 0 21600 0 0">
            <v:imagedata r:id="rId126" r:href="rId127"/>
            <w10:wrap type="topAndBottom" anchorx="margin" anchory="margin"/>
          </v:shape>
        </w:pict>
      </w:r>
      <w:r>
        <w:rPr>
          <w:lang w:val="ru-RU" w:eastAsia="ru-RU" w:bidi="ru-RU"/>
          <w:w w:val="100"/>
          <w:spacing w:val="0"/>
          <w:color w:val="000000"/>
          <w:position w:val="0"/>
        </w:rPr>
        <w:t>характерно общее ожирение;</w:t>
      </w:r>
      <w:r>
        <w:br w:type="page"/>
      </w:r>
    </w:p>
    <w:p>
      <w:pPr>
        <w:pStyle w:val="Style30"/>
        <w:widowControl w:val="0"/>
        <w:keepNext w:val="0"/>
        <w:keepLines w:val="0"/>
        <w:shd w:val="clear" w:color="auto" w:fill="auto"/>
        <w:bidi w:val="0"/>
        <w:spacing w:before="0" w:after="120"/>
        <w:ind w:left="520" w:right="0" w:hanging="240"/>
      </w:pPr>
      <w:r>
        <w:rPr>
          <w:lang w:val="ru-RU" w:eastAsia="ru-RU" w:bidi="ru-RU"/>
          <w:w w:val="100"/>
          <w:spacing w:val="0"/>
          <w:color w:val="000000"/>
          <w:position w:val="0"/>
        </w:rPr>
        <w:t>- в крови: эритроцитоз, умеренный ретикулоцитоз, увеличение общего объема крови, лейкоцитоз, грану- лоцитоз.</w:t>
      </w:r>
    </w:p>
    <w:p>
      <w:pPr>
        <w:pStyle w:val="Style92"/>
        <w:widowControl w:val="0"/>
        <w:keepNext/>
        <w:keepLines/>
        <w:shd w:val="clear" w:color="auto" w:fill="auto"/>
        <w:bidi w:val="0"/>
        <w:spacing w:before="0" w:after="0"/>
        <w:ind w:left="0" w:right="0" w:firstLine="280"/>
      </w:pPr>
      <w:bookmarkStart w:id="168" w:name="bookmark168"/>
      <w:r>
        <w:rPr>
          <w:lang w:val="ru-RU" w:eastAsia="ru-RU" w:bidi="ru-RU"/>
          <w:w w:val="100"/>
          <w:spacing w:val="0"/>
          <w:color w:val="000000"/>
          <w:position w:val="0"/>
        </w:rPr>
        <w:t>Галлавардена симптомокомплекс</w:t>
      </w:r>
      <w:bookmarkEnd w:id="168"/>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Форма пароксизмальной тахикардии с экстрасистолией до приступа и после него.</w:t>
      </w:r>
    </w:p>
    <w:p>
      <w:pPr>
        <w:pStyle w:val="Style92"/>
        <w:widowControl w:val="0"/>
        <w:keepNext/>
        <w:keepLines/>
        <w:shd w:val="clear" w:color="auto" w:fill="auto"/>
        <w:bidi w:val="0"/>
        <w:spacing w:before="0" w:after="0"/>
        <w:ind w:left="0" w:right="0" w:firstLine="280"/>
      </w:pPr>
      <w:bookmarkStart w:id="169" w:name="bookmark169"/>
      <w:r>
        <w:rPr>
          <w:lang w:val="ru-RU" w:eastAsia="ru-RU" w:bidi="ru-RU"/>
          <w:w w:val="100"/>
          <w:spacing w:val="0"/>
          <w:color w:val="000000"/>
          <w:position w:val="0"/>
        </w:rPr>
        <w:t>Ганна-Салюса симптом</w:t>
      </w:r>
      <w:bookmarkEnd w:id="169"/>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Офтальмологический признак гипертонии: на глазном дне определяются склероз сосудов клетчатки и «феномен перекреста», возникающий от вдавления артерии в месте ее перекреста с расширенной веной. Различают три степени: I — расширение вены по обеим сторонам перекреста; II — образование вздутия в области перекреста; III — исчезнове</w:t>
        <w:softHyphen/>
        <w:t>ние вены на месте перекреста из-за образования ею изгиба, погружающегося вглубь ткани сетчатки.</w:t>
      </w:r>
    </w:p>
    <w:p>
      <w:pPr>
        <w:pStyle w:val="Style92"/>
        <w:widowControl w:val="0"/>
        <w:keepNext/>
        <w:keepLines/>
        <w:shd w:val="clear" w:color="auto" w:fill="auto"/>
        <w:bidi w:val="0"/>
        <w:spacing w:before="0" w:after="0"/>
        <w:ind w:left="0" w:right="0" w:firstLine="280"/>
      </w:pPr>
      <w:bookmarkStart w:id="170" w:name="bookmark170"/>
      <w:r>
        <w:rPr>
          <w:lang w:val="ru-RU" w:eastAsia="ru-RU" w:bidi="ru-RU"/>
          <w:w w:val="100"/>
          <w:spacing w:val="0"/>
          <w:color w:val="000000"/>
          <w:position w:val="0"/>
        </w:rPr>
        <w:t>Гвиста симптом</w:t>
      </w:r>
      <w:bookmarkEnd w:id="170"/>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гипертонической ангиопатии сетчатки: при офтальмоскопии обнаруживаются извитые вены в об</w:t>
        <w:softHyphen/>
        <w:t>ласти желтого пятна.</w:t>
      </w:r>
    </w:p>
    <w:p>
      <w:pPr>
        <w:pStyle w:val="Style92"/>
        <w:widowControl w:val="0"/>
        <w:keepNext/>
        <w:keepLines/>
        <w:shd w:val="clear" w:color="auto" w:fill="auto"/>
        <w:bidi w:val="0"/>
        <w:spacing w:before="0" w:after="0"/>
        <w:ind w:left="0" w:right="0" w:firstLine="280"/>
      </w:pPr>
      <w:bookmarkStart w:id="171" w:name="bookmark171"/>
      <w:r>
        <w:rPr>
          <w:lang w:val="ru-RU" w:eastAsia="ru-RU" w:bidi="ru-RU"/>
          <w:w w:val="100"/>
          <w:spacing w:val="0"/>
          <w:color w:val="000000"/>
          <w:position w:val="0"/>
        </w:rPr>
        <w:t>Гепатоюгулярный феномен</w:t>
      </w:r>
      <w:bookmarkEnd w:id="171"/>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констриктивного перикардита: при надавлива</w:t>
        <w:softHyphen/>
        <w:t>нии рукой на область правого подреберья у больного усили</w:t>
        <w:softHyphen/>
        <w:t>вается набухание шейных вен.</w:t>
      </w:r>
    </w:p>
    <w:p>
      <w:pPr>
        <w:pStyle w:val="Style92"/>
        <w:widowControl w:val="0"/>
        <w:keepNext/>
        <w:keepLines/>
        <w:shd w:val="clear" w:color="auto" w:fill="auto"/>
        <w:bidi w:val="0"/>
        <w:spacing w:before="0" w:after="0"/>
        <w:ind w:left="0" w:right="0" w:firstLine="280"/>
      </w:pPr>
      <w:bookmarkStart w:id="172" w:name="bookmark172"/>
      <w:r>
        <w:rPr>
          <w:lang w:val="ru-RU" w:eastAsia="ru-RU" w:bidi="ru-RU"/>
          <w:w w:val="100"/>
          <w:spacing w:val="0"/>
          <w:color w:val="000000"/>
          <w:position w:val="0"/>
        </w:rPr>
        <w:t xml:space="preserve">Геринга I симптом </w:t>
      </w:r>
      <w:r>
        <w:rPr>
          <w:lang w:val="en-US" w:eastAsia="en-US" w:bidi="en-US"/>
          <w:w w:val="100"/>
          <w:spacing w:val="0"/>
          <w:color w:val="000000"/>
          <w:position w:val="0"/>
        </w:rPr>
        <w:t>(Hering)</w:t>
      </w:r>
      <w:bookmarkEnd w:id="172"/>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повышенной возбудимости блуждающего не</w:t>
        <w:softHyphen/>
        <w:t>рва вегетативной нервной системы: замедление пульса бо</w:t>
        <w:softHyphen/>
        <w:t>лее чем на 6 ударов в мин в положении сидя при задержке дыхания на стадии глубокого вдоха.</w:t>
      </w:r>
    </w:p>
    <w:p>
      <w:pPr>
        <w:pStyle w:val="Style92"/>
        <w:widowControl w:val="0"/>
        <w:keepNext/>
        <w:keepLines/>
        <w:shd w:val="clear" w:color="auto" w:fill="auto"/>
        <w:bidi w:val="0"/>
        <w:spacing w:before="0" w:after="0"/>
        <w:ind w:left="0" w:right="0" w:firstLine="280"/>
      </w:pPr>
      <w:bookmarkStart w:id="173" w:name="bookmark173"/>
      <w:r>
        <w:rPr>
          <w:lang w:val="ru-RU" w:eastAsia="ru-RU" w:bidi="ru-RU"/>
          <w:w w:val="100"/>
          <w:spacing w:val="0"/>
          <w:color w:val="000000"/>
          <w:position w:val="0"/>
        </w:rPr>
        <w:t xml:space="preserve">Геринга II симптом </w:t>
      </w:r>
      <w:r>
        <w:rPr>
          <w:lang w:val="en-US" w:eastAsia="en-US" w:bidi="en-US"/>
          <w:w w:val="100"/>
          <w:spacing w:val="0"/>
          <w:color w:val="000000"/>
          <w:position w:val="0"/>
        </w:rPr>
        <w:t>(Hering)</w:t>
      </w:r>
      <w:bookmarkEnd w:id="173"/>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фибрилляции желудочков: слабый жужжащий или гудящий шум, выслушиваемый над мечевидным от</w:t>
        <w:softHyphen/>
        <w:t>ростком грудины.</w:t>
      </w:r>
    </w:p>
    <w:p>
      <w:pPr>
        <w:pStyle w:val="Style92"/>
        <w:widowControl w:val="0"/>
        <w:keepNext/>
        <w:keepLines/>
        <w:shd w:val="clear" w:color="auto" w:fill="auto"/>
        <w:bidi w:val="0"/>
        <w:spacing w:before="0" w:after="0"/>
        <w:ind w:left="0" w:right="0" w:firstLine="280"/>
      </w:pPr>
      <w:bookmarkStart w:id="174" w:name="bookmark174"/>
      <w:r>
        <w:rPr>
          <w:lang w:val="ru-RU" w:eastAsia="ru-RU" w:bidi="ru-RU"/>
          <w:w w:val="100"/>
          <w:spacing w:val="0"/>
          <w:color w:val="000000"/>
          <w:position w:val="0"/>
        </w:rPr>
        <w:t>Герке симптом</w:t>
      </w:r>
      <w:bookmarkEnd w:id="174"/>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перикардита: боль в области сердца при быст</w:t>
        <w:softHyphen/>
        <w:t>ром откидывании головы назад.</w:t>
      </w:r>
    </w:p>
    <w:p>
      <w:pPr>
        <w:pStyle w:val="Style92"/>
        <w:widowControl w:val="0"/>
        <w:keepNext/>
        <w:keepLines/>
        <w:shd w:val="clear" w:color="auto" w:fill="auto"/>
        <w:bidi w:val="0"/>
        <w:spacing w:before="0" w:after="0"/>
        <w:ind w:left="0" w:right="0" w:firstLine="280"/>
      </w:pPr>
      <w:bookmarkStart w:id="175" w:name="bookmark175"/>
      <w:r>
        <w:rPr>
          <w:lang w:val="ru-RU" w:eastAsia="ru-RU" w:bidi="ru-RU"/>
          <w:w w:val="100"/>
          <w:spacing w:val="0"/>
          <w:color w:val="000000"/>
          <w:position w:val="0"/>
        </w:rPr>
        <w:t xml:space="preserve">Гертнера симптом I (феномен </w:t>
      </w:r>
      <w:r>
        <w:rPr>
          <w:lang w:val="en-US" w:eastAsia="en-US" w:bidi="en-US"/>
          <w:w w:val="100"/>
          <w:spacing w:val="0"/>
          <w:color w:val="000000"/>
          <w:position w:val="0"/>
        </w:rPr>
        <w:t>Gartner)</w:t>
      </w:r>
      <w:bookmarkEnd w:id="175"/>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правопредсердной недостаточности: увеличе</w:t>
        <w:softHyphen/>
        <w:t>ние степени набухания вен руки проксимальнее места их придавливания пальцем.</w:t>
      </w:r>
    </w:p>
    <w:p>
      <w:pPr>
        <w:pStyle w:val="Style92"/>
        <w:widowControl w:val="0"/>
        <w:keepNext/>
        <w:keepLines/>
        <w:shd w:val="clear" w:color="auto" w:fill="auto"/>
        <w:bidi w:val="0"/>
        <w:spacing w:before="0" w:after="0"/>
        <w:ind w:left="0" w:right="0" w:firstLine="280"/>
      </w:pPr>
      <w:bookmarkStart w:id="176" w:name="bookmark176"/>
      <w:r>
        <w:rPr>
          <w:lang w:val="ru-RU" w:eastAsia="ru-RU" w:bidi="ru-RU"/>
          <w:w w:val="100"/>
          <w:spacing w:val="0"/>
          <w:color w:val="000000"/>
          <w:position w:val="0"/>
        </w:rPr>
        <w:t xml:space="preserve">Гертнера симптом </w:t>
      </w:r>
      <w:r>
        <w:rPr>
          <w:lang w:val="en-US" w:eastAsia="en-US" w:bidi="en-US"/>
          <w:w w:val="100"/>
          <w:spacing w:val="0"/>
          <w:color w:val="000000"/>
          <w:position w:val="0"/>
        </w:rPr>
        <w:t>II (Gartner)</w:t>
      </w:r>
      <w:bookmarkEnd w:id="176"/>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Показатель давления в правом предсердии: чем выше приходится поднимать руку, чтобы спались поверхностные вены руки, тем выше давление в правом предсердии.</w:t>
      </w:r>
    </w:p>
    <w:p>
      <w:pPr>
        <w:pStyle w:val="Style92"/>
        <w:widowControl w:val="0"/>
        <w:keepNext/>
        <w:keepLines/>
        <w:shd w:val="clear" w:color="auto" w:fill="auto"/>
        <w:bidi w:val="0"/>
        <w:spacing w:before="0" w:after="0"/>
        <w:ind w:left="0" w:right="0" w:firstLine="280"/>
      </w:pPr>
      <w:bookmarkStart w:id="177" w:name="bookmark177"/>
      <w:r>
        <w:rPr>
          <w:lang w:val="ru-RU" w:eastAsia="ru-RU" w:bidi="ru-RU"/>
          <w:w w:val="100"/>
          <w:spacing w:val="0"/>
          <w:color w:val="000000"/>
          <w:position w:val="0"/>
        </w:rPr>
        <w:t xml:space="preserve">Герхардта I симптом </w:t>
      </w:r>
      <w:r>
        <w:rPr>
          <w:lang w:val="en-US" w:eastAsia="en-US" w:bidi="en-US"/>
          <w:w w:val="100"/>
          <w:spacing w:val="0"/>
          <w:color w:val="000000"/>
          <w:position w:val="0"/>
        </w:rPr>
        <w:t>(Gerchardt)</w:t>
      </w:r>
      <w:bookmarkEnd w:id="177"/>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открытого артериального протока или недоста</w:t>
        <w:softHyphen/>
        <w:t>точности клапана легочной артерии: наличие суживающей</w:t>
        <w:softHyphen/>
        <w:t xml:space="preserve">ся кверху полосы притупления перкуторного звука левее грудины чуть выше границы абсолютной тупости сердца (на высоте </w:t>
      </w:r>
      <w:r>
        <w:rPr>
          <w:lang w:val="en-US" w:eastAsia="en-US" w:bidi="en-US"/>
          <w:w w:val="100"/>
          <w:spacing w:val="0"/>
          <w:color w:val="000000"/>
          <w:position w:val="0"/>
        </w:rPr>
        <w:t xml:space="preserve">II-III </w:t>
      </w:r>
      <w:r>
        <w:rPr>
          <w:lang w:val="ru-RU" w:eastAsia="ru-RU" w:bidi="ru-RU"/>
          <w:w w:val="100"/>
          <w:spacing w:val="0"/>
          <w:color w:val="000000"/>
          <w:position w:val="0"/>
        </w:rPr>
        <w:t>ребер слева).</w:t>
      </w:r>
    </w:p>
    <w:p>
      <w:pPr>
        <w:pStyle w:val="Style92"/>
        <w:widowControl w:val="0"/>
        <w:keepNext/>
        <w:keepLines/>
        <w:shd w:val="clear" w:color="auto" w:fill="auto"/>
        <w:bidi w:val="0"/>
        <w:spacing w:before="0" w:after="0"/>
        <w:ind w:left="0" w:right="0" w:firstLine="280"/>
      </w:pPr>
      <w:bookmarkStart w:id="178" w:name="bookmark178"/>
      <w:r>
        <w:rPr>
          <w:lang w:val="ru-RU" w:eastAsia="ru-RU" w:bidi="ru-RU"/>
          <w:w w:val="100"/>
          <w:spacing w:val="0"/>
          <w:color w:val="000000"/>
          <w:position w:val="0"/>
        </w:rPr>
        <w:t xml:space="preserve">Герхардта </w:t>
      </w:r>
      <w:r>
        <w:rPr>
          <w:lang w:val="en-US" w:eastAsia="en-US" w:bidi="en-US"/>
          <w:w w:val="100"/>
          <w:spacing w:val="0"/>
          <w:color w:val="000000"/>
          <w:position w:val="0"/>
        </w:rPr>
        <w:t xml:space="preserve">II </w:t>
      </w:r>
      <w:r>
        <w:rPr>
          <w:lang w:val="ru-RU" w:eastAsia="ru-RU" w:bidi="ru-RU"/>
          <w:w w:val="100"/>
          <w:spacing w:val="0"/>
          <w:color w:val="000000"/>
          <w:position w:val="0"/>
        </w:rPr>
        <w:t xml:space="preserve">симптом </w:t>
      </w:r>
      <w:r>
        <w:rPr>
          <w:lang w:val="en-US" w:eastAsia="en-US" w:bidi="en-US"/>
          <w:w w:val="100"/>
          <w:spacing w:val="0"/>
          <w:color w:val="000000"/>
          <w:position w:val="0"/>
        </w:rPr>
        <w:t>(Gerchardt)</w:t>
      </w:r>
      <w:bookmarkEnd w:id="17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аневризмы аорты. Отсутствие движения горта</w:t>
        <w:softHyphen/>
        <w:t>ни во время дыхания.</w:t>
      </w:r>
    </w:p>
    <w:p>
      <w:pPr>
        <w:pStyle w:val="Style92"/>
        <w:widowControl w:val="0"/>
        <w:keepNext/>
        <w:keepLines/>
        <w:shd w:val="clear" w:color="auto" w:fill="auto"/>
        <w:bidi w:val="0"/>
        <w:spacing w:before="0" w:after="0"/>
        <w:ind w:left="0" w:right="0" w:firstLine="280"/>
      </w:pPr>
      <w:r>
        <w:br w:type="column"/>
      </w:r>
      <w:bookmarkStart w:id="179" w:name="bookmark179"/>
      <w:r>
        <w:rPr>
          <w:lang w:val="ru-RU" w:eastAsia="ru-RU" w:bidi="ru-RU"/>
          <w:w w:val="100"/>
          <w:spacing w:val="0"/>
          <w:color w:val="000000"/>
          <w:position w:val="0"/>
        </w:rPr>
        <w:t xml:space="preserve">Гилля симптом </w:t>
      </w:r>
      <w:r>
        <w:rPr>
          <w:lang w:val="en-US" w:eastAsia="en-US" w:bidi="en-US"/>
          <w:w w:val="100"/>
          <w:spacing w:val="0"/>
          <w:color w:val="000000"/>
          <w:position w:val="0"/>
        </w:rPr>
        <w:t>(Hill)</w:t>
      </w:r>
      <w:bookmarkEnd w:id="179"/>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недостаточности клапана аорты: повышение систолического давления в артериях нижних конечностей по сравнению с давлением в плечевых артериях в лежачем положении.</w:t>
      </w:r>
    </w:p>
    <w:p>
      <w:pPr>
        <w:pStyle w:val="Style92"/>
        <w:widowControl w:val="0"/>
        <w:keepNext/>
        <w:keepLines/>
        <w:shd w:val="clear" w:color="auto" w:fill="auto"/>
        <w:bidi w:val="0"/>
        <w:spacing w:before="0" w:after="0"/>
        <w:ind w:left="0" w:right="0" w:firstLine="280"/>
      </w:pPr>
      <w:bookmarkStart w:id="180" w:name="bookmark180"/>
      <w:r>
        <w:rPr>
          <w:lang w:val="ru-RU" w:eastAsia="ru-RU" w:bidi="ru-RU"/>
          <w:w w:val="100"/>
          <w:spacing w:val="0"/>
          <w:color w:val="000000"/>
          <w:position w:val="0"/>
        </w:rPr>
        <w:t>Гиподиастолии желудочков синдром</w:t>
      </w:r>
      <w:bookmarkEnd w:id="18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Нарушение гемодинамики, связанное со сдавлением миокарда, что приводит к ограничению диастолического наполнения камер сердца, в результате чего возникает сердечная недостаточность. Наблюдается при констрик- тивных (сдавливающих) перикардитах, рестриктивной кардиомиопатии, объемных образованиях в грудной по</w:t>
        <w:softHyphen/>
        <w:t>лости.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увеличение печени, отеч</w:t>
        <w:softHyphen/>
        <w:t>ный синдром, одышка, набухание шейных вен, тахикардия, парадоксальный пульс.</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Дифференциальный диагноз: портальная гипертензия, правожелудочковая недостаточность другой этиологии.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Гиппократа пальцы симптом </w:t>
      </w:r>
      <w:r>
        <w:rPr>
          <w:lang w:val="en-US" w:eastAsia="en-US" w:bidi="en-US"/>
          <w:w w:val="100"/>
          <w:spacing w:val="0"/>
          <w:color w:val="000000"/>
          <w:position w:val="0"/>
        </w:rPr>
        <w:t xml:space="preserve">(digiti Hippocratici, </w:t>
      </w:r>
      <w:r>
        <w:rPr>
          <w:lang w:val="ru-RU" w:eastAsia="ru-RU" w:bidi="ru-RU"/>
          <w:w w:val="100"/>
          <w:spacing w:val="0"/>
          <w:color w:val="000000"/>
          <w:position w:val="0"/>
        </w:rPr>
        <w:t>син. симптом барабанных палочек)</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хронического заболевания сердца: деформация пальцев в виде колбовидного утолщения концевых фаланг.</w:t>
      </w:r>
    </w:p>
    <w:p>
      <w:pPr>
        <w:pStyle w:val="Style92"/>
        <w:widowControl w:val="0"/>
        <w:keepNext/>
        <w:keepLines/>
        <w:shd w:val="clear" w:color="auto" w:fill="auto"/>
        <w:bidi w:val="0"/>
        <w:spacing w:before="0" w:after="0"/>
        <w:ind w:left="0" w:right="0" w:firstLine="280"/>
      </w:pPr>
      <w:bookmarkStart w:id="181" w:name="bookmark181"/>
      <w:r>
        <w:rPr>
          <w:lang w:val="ru-RU" w:eastAsia="ru-RU" w:bidi="ru-RU"/>
          <w:w w:val="100"/>
          <w:spacing w:val="0"/>
          <w:color w:val="000000"/>
          <w:position w:val="0"/>
        </w:rPr>
        <w:t>Гиппократа лицо</w:t>
      </w:r>
      <w:bookmarkEnd w:id="181"/>
    </w:p>
    <w:p>
      <w:pPr>
        <w:pStyle w:val="Style30"/>
        <w:widowControl w:val="0"/>
        <w:keepNext w:val="0"/>
        <w:keepLines w:val="0"/>
        <w:shd w:val="clear" w:color="auto" w:fill="auto"/>
        <w:bidi w:val="0"/>
        <w:spacing w:before="0" w:after="209"/>
        <w:ind w:left="0" w:right="0" w:firstLine="280"/>
      </w:pPr>
      <w:r>
        <w:rPr>
          <w:lang w:val="ru-RU" w:eastAsia="ru-RU" w:bidi="ru-RU"/>
          <w:w w:val="100"/>
          <w:spacing w:val="0"/>
          <w:color w:val="000000"/>
          <w:position w:val="0"/>
        </w:rPr>
        <w:t>Признак острой недостаточности периферического кро - вообращения (коллапс, обморок): резкая бледность, глубо</w:t>
        <w:softHyphen/>
        <w:t>ко запавшие страдальческие глаза, апатия, вплоть до более глубокого помрачения сознания.</w:t>
      </w:r>
    </w:p>
    <w:p>
      <w:pPr>
        <w:pStyle w:val="Style30"/>
        <w:widowControl w:val="0"/>
        <w:keepNext w:val="0"/>
        <w:keepLines w:val="0"/>
        <w:shd w:val="clear" w:color="auto" w:fill="auto"/>
        <w:bidi w:val="0"/>
        <w:spacing w:before="0" w:after="110" w:line="180" w:lineRule="exact"/>
        <w:ind w:left="0" w:right="0" w:firstLine="280"/>
      </w:pPr>
      <w:r>
        <w:rPr>
          <w:lang w:val="ru-RU" w:eastAsia="ru-RU" w:bidi="ru-RU"/>
          <w:w w:val="100"/>
          <w:spacing w:val="0"/>
          <w:color w:val="000000"/>
          <w:position w:val="0"/>
        </w:rPr>
        <w:t>«Глаз и языка» симптом — см. Филатова симптом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Глазго симптом </w:t>
      </w:r>
      <w:r>
        <w:rPr>
          <w:lang w:val="en-US" w:eastAsia="en-US" w:bidi="en-US"/>
          <w:w w:val="100"/>
          <w:spacing w:val="0"/>
          <w:color w:val="000000"/>
          <w:position w:val="0"/>
        </w:rPr>
        <w:t>(Glasgow)</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сужения устьев подключичной артерии, плече</w:t>
        <w:softHyphen/>
        <w:t>головного ствола или аорты: систолический шум, прослу</w:t>
        <w:softHyphen/>
        <w:t>шиваемый над плечевыми артериями.</w:t>
      </w:r>
    </w:p>
    <w:p>
      <w:pPr>
        <w:pStyle w:val="Style92"/>
        <w:widowControl w:val="0"/>
        <w:keepNext/>
        <w:keepLines/>
        <w:shd w:val="clear" w:color="auto" w:fill="auto"/>
        <w:bidi w:val="0"/>
        <w:spacing w:before="0" w:after="0"/>
        <w:ind w:left="0" w:right="0" w:firstLine="280"/>
      </w:pPr>
      <w:bookmarkStart w:id="182" w:name="bookmark182"/>
      <w:r>
        <w:rPr>
          <w:lang w:val="ru-RU" w:eastAsia="ru-RU" w:bidi="ru-RU"/>
          <w:w w:val="100"/>
          <w:spacing w:val="0"/>
          <w:color w:val="000000"/>
          <w:position w:val="0"/>
        </w:rPr>
        <w:t>Голмса симптом</w:t>
      </w:r>
      <w:bookmarkEnd w:id="182"/>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экссудативного перикардита: перкуторно об</w:t>
        <w:softHyphen/>
        <w:t>наруживаемое расширение основания сердца, если боль</w:t>
        <w:softHyphen/>
        <w:t>ной лежит с приподнятой нижней частью туловища, и расширение сердца в области верхушки, если больной стоит.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Голова медузы симптом </w:t>
      </w:r>
      <w:r>
        <w:rPr>
          <w:lang w:val="en-US" w:eastAsia="en-US" w:bidi="en-US"/>
          <w:w w:val="100"/>
          <w:spacing w:val="0"/>
          <w:color w:val="000000"/>
          <w:position w:val="0"/>
        </w:rPr>
        <w:t>(caput medusae)</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хронической правожелудочковой недостаточ</w:t>
        <w:softHyphen/>
        <w:t>ности: извилистая сеть расширенных поверхностных вен, располагающаяся преимущественно в центральной части живота; формируется вследствие нарушения проходимости воротной вены, поступления крови через пупочную вену в поверхностные, далее — в систему верхней и нижней по</w:t>
        <w:softHyphen/>
        <w:t>лых вен.</w:t>
      </w:r>
    </w:p>
    <w:p>
      <w:pPr>
        <w:pStyle w:val="Style92"/>
        <w:widowControl w:val="0"/>
        <w:keepNext/>
        <w:keepLines/>
        <w:shd w:val="clear" w:color="auto" w:fill="auto"/>
        <w:bidi w:val="0"/>
        <w:spacing w:before="0" w:after="0"/>
        <w:ind w:left="0" w:right="0" w:firstLine="280"/>
      </w:pPr>
      <w:bookmarkStart w:id="183" w:name="bookmark183"/>
      <w:r>
        <w:rPr>
          <w:lang w:val="ru-RU" w:eastAsia="ru-RU" w:bidi="ru-RU"/>
          <w:w w:val="100"/>
          <w:spacing w:val="0"/>
          <w:color w:val="000000"/>
          <w:position w:val="0"/>
        </w:rPr>
        <w:t xml:space="preserve">Гордона </w:t>
      </w:r>
      <w:r>
        <w:rPr>
          <w:lang w:val="en-US" w:eastAsia="en-US" w:bidi="en-US"/>
          <w:w w:val="100"/>
          <w:spacing w:val="0"/>
          <w:color w:val="000000"/>
          <w:position w:val="0"/>
        </w:rPr>
        <w:t xml:space="preserve">I </w:t>
      </w:r>
      <w:r>
        <w:rPr>
          <w:lang w:val="ru-RU" w:eastAsia="ru-RU" w:bidi="ru-RU"/>
          <w:w w:val="100"/>
          <w:spacing w:val="0"/>
          <w:color w:val="000000"/>
          <w:position w:val="0"/>
        </w:rPr>
        <w:t>симптом</w:t>
      </w:r>
      <w:bookmarkEnd w:id="183"/>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ревматической хореи: рефлекторно подбрасы</w:t>
        <w:softHyphen/>
        <w:t>ваемая голень остается на короткое время в этом положе</w:t>
        <w:softHyphen/>
        <w:t>нии, а затем медленно возвращается к норме.</w:t>
      </w:r>
    </w:p>
    <w:p>
      <w:pPr>
        <w:pStyle w:val="Style92"/>
        <w:widowControl w:val="0"/>
        <w:keepNext/>
        <w:keepLines/>
        <w:shd w:val="clear" w:color="auto" w:fill="auto"/>
        <w:bidi w:val="0"/>
        <w:spacing w:before="0" w:after="0"/>
        <w:ind w:left="0" w:right="0" w:firstLine="280"/>
      </w:pPr>
      <w:bookmarkStart w:id="184" w:name="bookmark184"/>
      <w:r>
        <w:rPr>
          <w:lang w:val="ru-RU" w:eastAsia="ru-RU" w:bidi="ru-RU"/>
          <w:w w:val="100"/>
          <w:spacing w:val="0"/>
          <w:color w:val="000000"/>
          <w:position w:val="0"/>
        </w:rPr>
        <w:t xml:space="preserve">Гордона </w:t>
      </w:r>
      <w:r>
        <w:rPr>
          <w:lang w:val="en-US" w:eastAsia="en-US" w:bidi="en-US"/>
          <w:w w:val="100"/>
          <w:spacing w:val="0"/>
          <w:color w:val="000000"/>
          <w:position w:val="0"/>
        </w:rPr>
        <w:t xml:space="preserve">II </w:t>
      </w:r>
      <w:r>
        <w:rPr>
          <w:lang w:val="ru-RU" w:eastAsia="ru-RU" w:bidi="ru-RU"/>
          <w:w w:val="100"/>
          <w:spacing w:val="0"/>
          <w:color w:val="000000"/>
          <w:position w:val="0"/>
        </w:rPr>
        <w:t>симптом</w:t>
      </w:r>
      <w:bookmarkEnd w:id="184"/>
    </w:p>
    <w:p>
      <w:pPr>
        <w:pStyle w:val="Style30"/>
        <w:widowControl w:val="0"/>
        <w:keepNext w:val="0"/>
        <w:keepLines w:val="0"/>
        <w:shd w:val="clear" w:color="auto" w:fill="auto"/>
        <w:bidi w:val="0"/>
        <w:spacing w:before="0" w:after="0"/>
        <w:ind w:left="0" w:right="0" w:firstLine="280"/>
      </w:pPr>
      <w:r>
        <w:pict>
          <v:shape id="_x0000_s1105" type="#_x0000_t75" style="position:absolute;margin-left:148.2pt;margin-top:739.95pt;width:209.75pt;height:14.9pt;z-index:-125829339;mso-wrap-distance-left:148.1pt;mso-wrap-distance-right:136.55pt;mso-wrap-distance-bottom:20.pt;mso-position-horizontal-relative:margin;mso-position-vertical-relative:margin" wrapcoords="0 0 21600 0 21600 21600 0 21600 0 0">
            <v:imagedata r:id="rId128" r:href="rId129"/>
            <w10:wrap type="topAndBottom" anchorx="margin" anchory="margin"/>
          </v:shape>
        </w:pict>
      </w:r>
      <w:r>
        <w:rPr>
          <w:lang w:val="ru-RU" w:eastAsia="ru-RU" w:bidi="ru-RU"/>
          <w:w w:val="100"/>
          <w:spacing w:val="0"/>
          <w:color w:val="000000"/>
          <w:position w:val="0"/>
        </w:rPr>
        <w:t>Признак ревматической хореи: напряжение большого пальца ноги при сжатии икроножных мышц.</w:t>
      </w:r>
      <w:r>
        <w:br w:type="page"/>
      </w:r>
    </w:p>
    <w:p>
      <w:pPr>
        <w:pStyle w:val="Style92"/>
        <w:widowControl w:val="0"/>
        <w:keepNext/>
        <w:keepLines/>
        <w:shd w:val="clear" w:color="auto" w:fill="auto"/>
        <w:bidi w:val="0"/>
        <w:spacing w:before="0" w:after="0"/>
        <w:ind w:left="0" w:right="0" w:firstLine="280"/>
      </w:pPr>
      <w:bookmarkStart w:id="185" w:name="bookmark185"/>
      <w:r>
        <w:rPr>
          <w:lang w:val="ru-RU" w:eastAsia="ru-RU" w:bidi="ru-RU"/>
          <w:w w:val="100"/>
          <w:spacing w:val="0"/>
          <w:color w:val="000000"/>
          <w:position w:val="0"/>
        </w:rPr>
        <w:t>Грассе-Госселя симптом</w:t>
      </w:r>
      <w:bookmarkEnd w:id="185"/>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ревматической хореи: неспособность одновре</w:t>
        <w:softHyphen/>
        <w:t>менного и равномерного поднятия обеих ног при понижен</w:t>
        <w:softHyphen/>
        <w:t>ной способности поднятия их в одиночку.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Грега триада </w:t>
      </w:r>
      <w:r>
        <w:rPr>
          <w:lang w:val="en-US" w:eastAsia="en-US" w:bidi="en-US"/>
          <w:w w:val="100"/>
          <w:spacing w:val="0"/>
          <w:color w:val="000000"/>
          <w:position w:val="0"/>
        </w:rPr>
        <w:t>(Greig syndrome)</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Врожденное сочетание трех признаков — катаракты, глухоты и пороков сердца, наблюдающееся у детей, матери которых болели краснухой в период беременности.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Обусловлен тератогенным действием вируса.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Грина симптом </w:t>
      </w:r>
      <w:r>
        <w:rPr>
          <w:lang w:val="en-US" w:eastAsia="en-US" w:bidi="en-US"/>
          <w:w w:val="100"/>
          <w:spacing w:val="0"/>
          <w:color w:val="000000"/>
          <w:position w:val="0"/>
        </w:rPr>
        <w:t>(Ch. L. Greene)</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выпотного перикардита: значительное лате</w:t>
        <w:softHyphen/>
        <w:t>ральное смещение границы сердечной тупости.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Грехема-Стилла шум </w:t>
      </w:r>
      <w:r>
        <w:rPr>
          <w:lang w:val="en-US" w:eastAsia="en-US" w:bidi="en-US"/>
          <w:w w:val="100"/>
          <w:spacing w:val="0"/>
          <w:color w:val="000000"/>
          <w:position w:val="0"/>
        </w:rPr>
        <w:t>(Graham, Steell)</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Диастолический шум, прослушиваемый в области проекции клапана легочного ствола при его относитель</w:t>
        <w:softHyphen/>
        <w:t>ной недостаточности, обусловленной значительной ле</w:t>
        <w:softHyphen/>
        <w:t>гочной гипертензией и дилатацией легочного ствола при выраженном сужении левого атриовентрикулярного от</w:t>
        <w:softHyphen/>
        <w:t>верстия.</w:t>
      </w:r>
    </w:p>
    <w:p>
      <w:pPr>
        <w:pStyle w:val="Style92"/>
        <w:widowControl w:val="0"/>
        <w:keepNext/>
        <w:keepLines/>
        <w:shd w:val="clear" w:color="auto" w:fill="auto"/>
        <w:bidi w:val="0"/>
        <w:spacing w:before="0" w:after="0"/>
        <w:ind w:left="0" w:right="0" w:firstLine="280"/>
      </w:pPr>
      <w:bookmarkStart w:id="186" w:name="bookmark186"/>
      <w:r>
        <w:rPr>
          <w:lang w:val="ru-RU" w:eastAsia="ru-RU" w:bidi="ru-RU"/>
          <w:w w:val="100"/>
          <w:spacing w:val="0"/>
          <w:color w:val="000000"/>
          <w:position w:val="0"/>
        </w:rPr>
        <w:t>Гунна-Салюса симптом</w:t>
      </w:r>
      <w:bookmarkEnd w:id="186"/>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артериальной гипертензии; неравномерный калибр артерий сетчатки, феномен «продавливания» вен в подлежащую ткань сетчатки.</w:t>
      </w:r>
    </w:p>
    <w:p>
      <w:pPr>
        <w:pStyle w:val="Style92"/>
        <w:widowControl w:val="0"/>
        <w:keepNext/>
        <w:keepLines/>
        <w:shd w:val="clear" w:color="auto" w:fill="auto"/>
        <w:bidi w:val="0"/>
        <w:spacing w:before="0" w:after="0"/>
        <w:ind w:left="0" w:right="0" w:firstLine="280"/>
      </w:pPr>
      <w:bookmarkStart w:id="187" w:name="bookmark187"/>
      <w:r>
        <w:rPr>
          <w:lang w:val="ru-RU" w:eastAsia="ru-RU" w:bidi="ru-RU"/>
          <w:w w:val="100"/>
          <w:spacing w:val="0"/>
          <w:color w:val="000000"/>
          <w:position w:val="0"/>
        </w:rPr>
        <w:t>«Двигательной бури» симптом</w:t>
      </w:r>
      <w:bookmarkEnd w:id="187"/>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тяжелого течения ревматической хореи: на</w:t>
        <w:softHyphen/>
        <w:t>сильственные, некоординированные движения мышц ли</w:t>
        <w:softHyphen/>
        <w:t>ца, конечностей, туловища, ребенок ни одной минуты не остается в покое.</w:t>
      </w:r>
    </w:p>
    <w:p>
      <w:pPr>
        <w:pStyle w:val="Style92"/>
        <w:widowControl w:val="0"/>
        <w:keepNext/>
        <w:keepLines/>
        <w:shd w:val="clear" w:color="auto" w:fill="auto"/>
        <w:bidi w:val="0"/>
        <w:spacing w:before="0" w:after="0"/>
        <w:ind w:left="0" w:right="0" w:firstLine="280"/>
      </w:pPr>
      <w:bookmarkStart w:id="188" w:name="bookmark188"/>
      <w:r>
        <w:rPr>
          <w:lang w:val="ru-RU" w:eastAsia="ru-RU" w:bidi="ru-RU"/>
          <w:w w:val="100"/>
          <w:spacing w:val="0"/>
          <w:color w:val="000000"/>
          <w:position w:val="0"/>
        </w:rPr>
        <w:t>Дериго симптом</w:t>
      </w:r>
      <w:bookmarkEnd w:id="188"/>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Дифференциально-диагностический признак возбужде</w:t>
        <w:softHyphen/>
        <w:t>ния парасимпатической нервной системы и поражения миокарда у больных с брадикардией: после подкожного введения раствора атропина (0,1 мл/год жизни, не более 1,0 мл) брадикардия, обусловленная возбуждением пара</w:t>
        <w:softHyphen/>
        <w:t>симпатической нервной системы, проходит; при наличии же поражения миокарда пульс остается замедленным.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Джейнуэя симптом </w:t>
      </w:r>
      <w:r>
        <w:rPr>
          <w:lang w:val="en-US" w:eastAsia="en-US" w:bidi="en-US"/>
          <w:w w:val="100"/>
          <w:spacing w:val="0"/>
          <w:color w:val="000000"/>
          <w:position w:val="0"/>
        </w:rPr>
        <w:t>(Janeway)</w:t>
      </w:r>
    </w:p>
    <w:p>
      <w:pPr>
        <w:pStyle w:val="Style30"/>
        <w:widowControl w:val="0"/>
        <w:keepNext w:val="0"/>
        <w:keepLines w:val="0"/>
        <w:shd w:val="clear" w:color="auto" w:fill="auto"/>
        <w:bidi w:val="0"/>
        <w:spacing w:before="0" w:after="209"/>
        <w:ind w:left="0" w:right="0" w:firstLine="280"/>
      </w:pPr>
      <w:r>
        <w:rPr>
          <w:lang w:val="ru-RU" w:eastAsia="ru-RU" w:bidi="ru-RU"/>
          <w:w w:val="100"/>
          <w:spacing w:val="0"/>
          <w:color w:val="000000"/>
          <w:position w:val="0"/>
        </w:rPr>
        <w:t>Признак подострого бактериального эндокардита: не</w:t>
        <w:softHyphen/>
        <w:t>большие эритематозные пятна или геморрагии на ладонях, подошвах стоп, подушечках пальцев рук и ног.</w:t>
      </w:r>
    </w:p>
    <w:p>
      <w:pPr>
        <w:pStyle w:val="Style92"/>
        <w:widowControl w:val="0"/>
        <w:keepNext/>
        <w:keepLines/>
        <w:shd w:val="clear" w:color="auto" w:fill="auto"/>
        <w:bidi w:val="0"/>
        <w:spacing w:before="0" w:after="14" w:line="180" w:lineRule="exact"/>
        <w:ind w:left="0" w:right="0" w:firstLine="280"/>
      </w:pPr>
      <w:bookmarkStart w:id="189" w:name="bookmark189"/>
      <w:r>
        <w:rPr>
          <w:lang w:val="ru-RU" w:eastAsia="ru-RU" w:bidi="ru-RU"/>
          <w:w w:val="100"/>
          <w:spacing w:val="0"/>
          <w:color w:val="000000"/>
          <w:position w:val="0"/>
        </w:rPr>
        <w:t>Джексона симптом</w:t>
      </w:r>
      <w:bookmarkEnd w:id="189"/>
    </w:p>
    <w:p>
      <w:pPr>
        <w:pStyle w:val="Style30"/>
        <w:widowControl w:val="0"/>
        <w:keepNext w:val="0"/>
        <w:keepLines w:val="0"/>
        <w:shd w:val="clear" w:color="auto" w:fill="auto"/>
        <w:bidi w:val="0"/>
        <w:spacing w:before="0" w:after="165" w:line="180" w:lineRule="exact"/>
        <w:ind w:left="0" w:right="0" w:firstLine="280"/>
      </w:pPr>
      <w:r>
        <w:rPr>
          <w:lang w:val="ru-RU" w:eastAsia="ru-RU" w:bidi="ru-RU"/>
          <w:w w:val="100"/>
          <w:spacing w:val="0"/>
          <w:color w:val="000000"/>
          <w:position w:val="0"/>
        </w:rPr>
        <w:t>Признак мерцания предсердий: дефицит пульса.</w:t>
      </w:r>
    </w:p>
    <w:p>
      <w:pPr>
        <w:pStyle w:val="Style92"/>
        <w:widowControl w:val="0"/>
        <w:keepNext/>
        <w:keepLines/>
        <w:shd w:val="clear" w:color="auto" w:fill="auto"/>
        <w:bidi w:val="0"/>
        <w:spacing w:before="0" w:after="0"/>
        <w:ind w:left="0" w:right="0" w:firstLine="280"/>
      </w:pPr>
      <w:bookmarkStart w:id="190" w:name="bookmark190"/>
      <w:r>
        <w:rPr>
          <w:lang w:val="ru-RU" w:eastAsia="ru-RU" w:bidi="ru-RU"/>
          <w:w w:val="100"/>
          <w:spacing w:val="0"/>
          <w:color w:val="000000"/>
          <w:position w:val="0"/>
        </w:rPr>
        <w:t>Добротворского симптом</w:t>
      </w:r>
      <w:bookmarkEnd w:id="190"/>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выпотного перикардита: разница наполнения пульса на обеих руках.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Дорендорфа симптом </w:t>
      </w:r>
      <w:r>
        <w:rPr>
          <w:lang w:val="en-US" w:eastAsia="en-US" w:bidi="en-US"/>
          <w:w w:val="100"/>
          <w:spacing w:val="0"/>
          <w:color w:val="000000"/>
          <w:position w:val="0"/>
        </w:rPr>
        <w:t>(H. Dorendorf)</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аневризмы дуги аорты: сглаженность одной из надключичных ямок.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Драммонда симптом </w:t>
      </w:r>
      <w:r>
        <w:rPr>
          <w:lang w:val="en-US" w:eastAsia="en-US" w:bidi="en-US"/>
          <w:w w:val="100"/>
          <w:spacing w:val="0"/>
          <w:color w:val="000000"/>
          <w:position w:val="0"/>
        </w:rPr>
        <w:t>(D. Drummond)</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аневризмы аорты: легкое дуновение из ноздрей больного в момент систолы сердца.</w:t>
      </w:r>
    </w:p>
    <w:p>
      <w:pPr>
        <w:pStyle w:val="Style92"/>
        <w:widowControl w:val="0"/>
        <w:keepNext/>
        <w:keepLines/>
        <w:shd w:val="clear" w:color="auto" w:fill="auto"/>
        <w:bidi w:val="0"/>
        <w:spacing w:before="0" w:after="0"/>
        <w:ind w:left="0" w:right="0" w:firstLine="280"/>
      </w:pPr>
      <w:r>
        <w:br w:type="column"/>
      </w:r>
      <w:bookmarkStart w:id="191" w:name="bookmark191"/>
      <w:r>
        <w:rPr>
          <w:lang w:val="ru-RU" w:eastAsia="ru-RU" w:bidi="ru-RU"/>
          <w:w w:val="100"/>
          <w:spacing w:val="0"/>
          <w:color w:val="000000"/>
          <w:position w:val="0"/>
        </w:rPr>
        <w:t>«Дряблых плеч» симптом</w:t>
      </w:r>
      <w:bookmarkEnd w:id="191"/>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мышечной гипотонии при ревматической хо</w:t>
        <w:softHyphen/>
        <w:t>рее: при поднимании больного за подмышки голова погру</w:t>
        <w:softHyphen/>
        <w:t>жается в плечи.</w:t>
      </w:r>
    </w:p>
    <w:p>
      <w:pPr>
        <w:pStyle w:val="Style92"/>
        <w:widowControl w:val="0"/>
        <w:keepNext/>
        <w:keepLines/>
        <w:shd w:val="clear" w:color="auto" w:fill="auto"/>
        <w:bidi w:val="0"/>
        <w:spacing w:before="0" w:after="0"/>
        <w:ind w:left="0" w:right="0" w:firstLine="280"/>
      </w:pPr>
      <w:bookmarkStart w:id="192" w:name="bookmark192"/>
      <w:r>
        <w:rPr>
          <w:lang w:val="ru-RU" w:eastAsia="ru-RU" w:bidi="ru-RU"/>
          <w:w w:val="100"/>
          <w:spacing w:val="0"/>
          <w:color w:val="000000"/>
          <w:position w:val="0"/>
        </w:rPr>
        <w:t>Дюрозье симптом</w:t>
      </w:r>
      <w:bookmarkEnd w:id="192"/>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Видимая пульсация капилляров под ногтями. Наблюда</w:t>
        <w:softHyphen/>
        <w:t>ется при большом пульсовом давлении и незаращении ар</w:t>
        <w:softHyphen/>
        <w:t>териального протока.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Дюрозье-Виноградова симптом </w:t>
      </w:r>
      <w:r>
        <w:rPr>
          <w:lang w:val="en-US" w:eastAsia="en-US" w:bidi="en-US"/>
          <w:w w:val="100"/>
          <w:spacing w:val="0"/>
          <w:color w:val="000000"/>
          <w:position w:val="0"/>
        </w:rPr>
        <w:t>(Durozier</w:t>
      </w:r>
      <w:r>
        <w:rPr>
          <w:lang w:val="ru-RU" w:eastAsia="ru-RU" w:bidi="ru-RU"/>
          <w:w w:val="100"/>
          <w:spacing w:val="0"/>
          <w:color w:val="000000"/>
          <w:position w:val="0"/>
        </w:rPr>
        <w:t>-Виноградов)</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недостаточности аортального клапана: двой</w:t>
        <w:softHyphen/>
        <w:t>ной шум на крупных периферических артериях.</w:t>
      </w:r>
    </w:p>
    <w:p>
      <w:pPr>
        <w:pStyle w:val="Style92"/>
        <w:widowControl w:val="0"/>
        <w:keepNext/>
        <w:keepLines/>
        <w:shd w:val="clear" w:color="auto" w:fill="auto"/>
        <w:bidi w:val="0"/>
        <w:spacing w:before="0" w:after="0"/>
        <w:ind w:left="0" w:right="0" w:firstLine="280"/>
      </w:pPr>
      <w:bookmarkStart w:id="193" w:name="bookmark193"/>
      <w:r>
        <w:rPr>
          <w:lang w:val="ru-RU" w:eastAsia="ru-RU" w:bidi="ru-RU"/>
          <w:w w:val="100"/>
          <w:spacing w:val="0"/>
          <w:color w:val="000000"/>
          <w:position w:val="0"/>
        </w:rPr>
        <w:t>Дюшена симптом</w:t>
      </w:r>
      <w:bookmarkEnd w:id="193"/>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Возможный признак гидроперикарда или паралича диа</w:t>
        <w:softHyphen/>
        <w:t>фрагмы: образование углубления в подложечной области при вдохе.</w:t>
      </w:r>
    </w:p>
    <w:p>
      <w:pPr>
        <w:pStyle w:val="Style92"/>
        <w:widowControl w:val="0"/>
        <w:keepNext/>
        <w:keepLines/>
        <w:shd w:val="clear" w:color="auto" w:fill="auto"/>
        <w:bidi w:val="0"/>
        <w:spacing w:before="0" w:after="0"/>
        <w:ind w:left="0" w:right="0" w:firstLine="280"/>
      </w:pPr>
      <w:bookmarkStart w:id="194" w:name="bookmark194"/>
      <w:r>
        <w:rPr>
          <w:lang w:val="ru-RU" w:eastAsia="ru-RU" w:bidi="ru-RU"/>
          <w:w w:val="100"/>
          <w:spacing w:val="0"/>
          <w:color w:val="000000"/>
          <w:position w:val="0"/>
        </w:rPr>
        <w:t>Жаку симптом</w:t>
      </w:r>
      <w:bookmarkEnd w:id="194"/>
    </w:p>
    <w:p>
      <w:pPr>
        <w:pStyle w:val="Style30"/>
        <w:widowControl w:val="0"/>
        <w:keepNext w:val="0"/>
        <w:keepLines w:val="0"/>
        <w:shd w:val="clear" w:color="auto" w:fill="auto"/>
        <w:bidi w:val="0"/>
        <w:spacing w:before="0" w:after="209"/>
        <w:ind w:left="0" w:right="0" w:firstLine="280"/>
      </w:pPr>
      <w:r>
        <w:rPr>
          <w:lang w:val="ru-RU" w:eastAsia="ru-RU" w:bidi="ru-RU"/>
          <w:w w:val="100"/>
          <w:spacing w:val="0"/>
          <w:color w:val="000000"/>
          <w:position w:val="0"/>
        </w:rPr>
        <w:t>Признак слипчивого перикардита: втяжение в области сердца во время систолы.</w:t>
      </w:r>
    </w:p>
    <w:p>
      <w:pPr>
        <w:pStyle w:val="Style30"/>
        <w:widowControl w:val="0"/>
        <w:keepNext w:val="0"/>
        <w:keepLines w:val="0"/>
        <w:shd w:val="clear" w:color="auto" w:fill="auto"/>
        <w:bidi w:val="0"/>
        <w:spacing w:before="0" w:after="0" w:line="180" w:lineRule="exact"/>
        <w:ind w:left="0" w:right="0" w:firstLine="280"/>
      </w:pPr>
      <w:r>
        <w:rPr>
          <w:lang w:val="ru-RU" w:eastAsia="ru-RU" w:bidi="ru-RU"/>
          <w:w w:val="100"/>
          <w:spacing w:val="0"/>
          <w:color w:val="000000"/>
          <w:position w:val="0"/>
        </w:rPr>
        <w:t xml:space="preserve">Жандрена симптом </w:t>
      </w:r>
      <w:r>
        <w:rPr>
          <w:lang w:val="en-US" w:eastAsia="en-US" w:bidi="en-US"/>
          <w:w w:val="100"/>
          <w:spacing w:val="0"/>
          <w:color w:val="000000"/>
          <w:position w:val="0"/>
        </w:rPr>
        <w:t>(Gendrin)</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экссудативного перикардита: перкуторно оп</w:t>
        <w:softHyphen/>
        <w:t>ределяется расширение границ сердечной тупости влево кнаружи от сердечного толчка.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Жгута симптом (см. Кончаловского-Румпеля-Лееде симптом)</w:t>
      </w:r>
    </w:p>
    <w:p>
      <w:pPr>
        <w:pStyle w:val="Style92"/>
        <w:widowControl w:val="0"/>
        <w:keepNext/>
        <w:keepLines/>
        <w:shd w:val="clear" w:color="auto" w:fill="auto"/>
        <w:bidi w:val="0"/>
        <w:spacing w:before="0" w:after="0"/>
        <w:ind w:left="0" w:right="0" w:firstLine="280"/>
      </w:pPr>
      <w:bookmarkStart w:id="195" w:name="bookmark195"/>
      <w:r>
        <w:rPr>
          <w:lang w:val="ru-RU" w:eastAsia="ru-RU" w:bidi="ru-RU"/>
          <w:w w:val="100"/>
          <w:spacing w:val="0"/>
          <w:color w:val="000000"/>
          <w:position w:val="0"/>
        </w:rPr>
        <w:t>Жосро симптом</w:t>
      </w:r>
      <w:bookmarkEnd w:id="195"/>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острого перикардита: громкий второй тон с ме</w:t>
        <w:softHyphen/>
        <w:t>таллическим оттенком на легочной артерии.</w:t>
      </w:r>
    </w:p>
    <w:p>
      <w:pPr>
        <w:pStyle w:val="Style92"/>
        <w:widowControl w:val="0"/>
        <w:keepNext/>
        <w:keepLines/>
        <w:shd w:val="clear" w:color="auto" w:fill="auto"/>
        <w:bidi w:val="0"/>
        <w:spacing w:before="0" w:after="0"/>
        <w:ind w:left="0" w:right="0" w:firstLine="280"/>
      </w:pPr>
      <w:bookmarkStart w:id="196" w:name="bookmark196"/>
      <w:r>
        <w:rPr>
          <w:lang w:val="ru-RU" w:eastAsia="ru-RU" w:bidi="ru-RU"/>
          <w:w w:val="100"/>
          <w:spacing w:val="0"/>
          <w:color w:val="000000"/>
          <w:position w:val="0"/>
        </w:rPr>
        <w:t>Застойных хрипов в легких симптом</w:t>
      </w:r>
      <w:bookmarkEnd w:id="196"/>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левожелудочковой недостаточности: появле</w:t>
        <w:softHyphen/>
        <w:t>ние крепитирующих, среднепузырчатых хрипов преимуще</w:t>
        <w:softHyphen/>
        <w:t>ственно в задненижних отделах легких.</w:t>
      </w:r>
    </w:p>
    <w:p>
      <w:pPr>
        <w:pStyle w:val="Style92"/>
        <w:widowControl w:val="0"/>
        <w:keepNext/>
        <w:keepLines/>
        <w:shd w:val="clear" w:color="auto" w:fill="auto"/>
        <w:bidi w:val="0"/>
        <w:spacing w:before="0" w:after="0"/>
        <w:ind w:left="0" w:right="0" w:firstLine="280"/>
      </w:pPr>
      <w:bookmarkStart w:id="197" w:name="bookmark197"/>
      <w:r>
        <w:rPr>
          <w:lang w:val="ru-RU" w:eastAsia="ru-RU" w:bidi="ru-RU"/>
          <w:w w:val="100"/>
          <w:spacing w:val="0"/>
          <w:color w:val="000000"/>
          <w:position w:val="0"/>
        </w:rPr>
        <w:t>Зеркальная декстрокардия</w:t>
      </w:r>
      <w:bookmarkEnd w:id="197"/>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камеры инвертированы и правое предсер</w:t>
        <w:softHyphen/>
        <w:t xml:space="preserve">дие, на задней стенке которого в устье верхней полой вены расположен синусовый узел, находится слева. На ЭКГ это определяет отрицательную волну Р в </w:t>
      </w:r>
      <w:r>
        <w:rPr>
          <w:lang w:val="en-US" w:eastAsia="en-US" w:bidi="en-US"/>
          <w:w w:val="100"/>
          <w:spacing w:val="0"/>
          <w:color w:val="000000"/>
          <w:position w:val="0"/>
        </w:rPr>
        <w:t>I, aVL, V</w:t>
      </w:r>
      <w:r>
        <w:rPr>
          <w:lang w:val="en-US" w:eastAsia="en-US" w:bidi="en-US"/>
          <w:vertAlign w:val="subscript"/>
          <w:w w:val="100"/>
          <w:spacing w:val="0"/>
          <w:color w:val="000000"/>
          <w:position w:val="0"/>
        </w:rPr>
        <w:t>4-</w:t>
      </w:r>
      <w:r>
        <w:rPr>
          <w:lang w:val="en-US" w:eastAsia="en-US" w:bidi="en-US"/>
          <w:w w:val="100"/>
          <w:spacing w:val="0"/>
          <w:color w:val="000000"/>
          <w:position w:val="0"/>
        </w:rPr>
        <w:t xml:space="preserve">6 </w:t>
      </w:r>
      <w:r>
        <w:rPr>
          <w:lang w:val="ru-RU" w:eastAsia="ru-RU" w:bidi="ru-RU"/>
          <w:w w:val="100"/>
          <w:spacing w:val="0"/>
          <w:color w:val="000000"/>
          <w:position w:val="0"/>
        </w:rPr>
        <w:t>отведени</w:t>
        <w:softHyphen/>
        <w:t xml:space="preserve">ях. Специфическим признаком является форма волны Р типа </w:t>
      </w:r>
      <w:r>
        <w:rPr>
          <w:lang w:val="en-US" w:eastAsia="en-US" w:bidi="en-US"/>
          <w:w w:val="100"/>
          <w:spacing w:val="0"/>
          <w:color w:val="000000"/>
          <w:position w:val="0"/>
        </w:rPr>
        <w:t xml:space="preserve">dome and dart </w:t>
      </w:r>
      <w:r>
        <w:rPr>
          <w:lang w:val="ru-RU" w:eastAsia="ru-RU" w:bidi="ru-RU"/>
          <w:w w:val="100"/>
          <w:spacing w:val="0"/>
          <w:color w:val="000000"/>
          <w:position w:val="0"/>
        </w:rPr>
        <w:t>(«лук и стрела») в прекардиальных отве</w:t>
        <w:softHyphen/>
        <w:t>дениях.</w:t>
      </w:r>
    </w:p>
    <w:p>
      <w:pPr>
        <w:pStyle w:val="Style92"/>
        <w:widowControl w:val="0"/>
        <w:keepNext/>
        <w:keepLines/>
        <w:shd w:val="clear" w:color="auto" w:fill="auto"/>
        <w:bidi w:val="0"/>
        <w:spacing w:before="0" w:after="0"/>
        <w:ind w:left="0" w:right="0" w:firstLine="280"/>
      </w:pPr>
      <w:bookmarkStart w:id="198" w:name="bookmark198"/>
      <w:r>
        <w:rPr>
          <w:lang w:val="ru-RU" w:eastAsia="ru-RU" w:bidi="ru-RU"/>
          <w:w w:val="100"/>
          <w:spacing w:val="0"/>
          <w:color w:val="000000"/>
          <w:position w:val="0"/>
        </w:rPr>
        <w:t>Иогихеса симптом</w:t>
      </w:r>
      <w:bookmarkEnd w:id="198"/>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ревматической хореи: нарушение правильнос</w:t>
        <w:softHyphen/>
        <w:t>ти движений — больной не может повторить движения рук врача, выполняя ряд посторонних хаотичных движений.</w:t>
      </w:r>
    </w:p>
    <w:p>
      <w:pPr>
        <w:pStyle w:val="Style92"/>
        <w:widowControl w:val="0"/>
        <w:keepNext/>
        <w:keepLines/>
        <w:shd w:val="clear" w:color="auto" w:fill="auto"/>
        <w:bidi w:val="0"/>
        <w:spacing w:before="0" w:after="0"/>
        <w:ind w:left="0" w:right="0" w:firstLine="280"/>
      </w:pPr>
      <w:bookmarkStart w:id="199" w:name="bookmark199"/>
      <w:r>
        <w:rPr>
          <w:lang w:val="ru-RU" w:eastAsia="ru-RU" w:bidi="ru-RU"/>
          <w:w w:val="100"/>
          <w:spacing w:val="0"/>
          <w:color w:val="000000"/>
          <w:position w:val="0"/>
        </w:rPr>
        <w:t>Казем-Бека симптом</w:t>
      </w:r>
      <w:bookmarkEnd w:id="199"/>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тяжелой сердечной недостаточности или анев</w:t>
        <w:softHyphen/>
        <w:t>ризмы сердца: пульс малого наполнения в сочетании с уси</w:t>
        <w:softHyphen/>
        <w:t>ленной пульсацией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Капоцци симптом </w:t>
      </w:r>
      <w:r>
        <w:rPr>
          <w:lang w:val="en-US" w:eastAsia="en-US" w:bidi="en-US"/>
          <w:w w:val="100"/>
          <w:spacing w:val="0"/>
          <w:color w:val="000000"/>
          <w:position w:val="0"/>
        </w:rPr>
        <w:t>(Capozzi)</w:t>
      </w:r>
    </w:p>
    <w:p>
      <w:pPr>
        <w:pStyle w:val="Style30"/>
        <w:widowControl w:val="0"/>
        <w:keepNext w:val="0"/>
        <w:keepLines w:val="0"/>
        <w:shd w:val="clear" w:color="auto" w:fill="auto"/>
        <w:bidi w:val="0"/>
        <w:spacing w:before="0" w:after="0"/>
        <w:ind w:left="0" w:right="0" w:firstLine="280"/>
      </w:pPr>
      <w:r>
        <w:pict>
          <v:shape id="_x0000_s1106" type="#_x0000_t75" style="position:absolute;margin-left:136.7pt;margin-top:740.2pt;width:209.75pt;height:14.9pt;z-index:-125829338;mso-wrap-distance-left:136.55pt;mso-wrap-distance-right:148.1pt;mso-wrap-distance-bottom:20.pt;mso-position-horizontal-relative:margin;mso-position-vertical-relative:margin" wrapcoords="0 0 21600 0 21600 21600 0 21600 0 0">
            <v:imagedata r:id="rId130" r:href="rId131"/>
            <w10:wrap type="topAndBottom" anchorx="margin" anchory="margin"/>
          </v:shape>
        </w:pict>
      </w:r>
      <w:r>
        <w:rPr>
          <w:lang w:val="ru-RU" w:eastAsia="ru-RU" w:bidi="ru-RU"/>
          <w:w w:val="100"/>
          <w:spacing w:val="0"/>
          <w:color w:val="000000"/>
          <w:position w:val="0"/>
        </w:rPr>
        <w:t>Признак блокады правой ножки пучка Гиса, возможный признак повреждения миокарда: при пальпации в области</w:t>
      </w:r>
      <w:r>
        <w:br w:type="page"/>
      </w:r>
    </w:p>
    <w:p>
      <w:pPr>
        <w:pStyle w:val="Style30"/>
        <w:widowControl w:val="0"/>
        <w:keepNext w:val="0"/>
        <w:keepLines w:val="0"/>
        <w:shd w:val="clear" w:color="auto" w:fill="auto"/>
        <w:bidi w:val="0"/>
        <w:spacing w:before="0" w:after="89"/>
        <w:ind w:left="0" w:right="0" w:firstLine="0"/>
      </w:pPr>
      <w:r>
        <w:rPr>
          <w:lang w:val="ru-RU" w:eastAsia="ru-RU" w:bidi="ru-RU"/>
          <w:w w:val="100"/>
          <w:spacing w:val="0"/>
          <w:color w:val="000000"/>
          <w:position w:val="0"/>
        </w:rPr>
        <w:t>сердца определяется удвоение или утроение верхушечного толчка.</w:t>
      </w:r>
    </w:p>
    <w:p>
      <w:pPr>
        <w:pStyle w:val="Style30"/>
        <w:widowControl w:val="0"/>
        <w:keepNext w:val="0"/>
        <w:keepLines w:val="0"/>
        <w:shd w:val="clear" w:color="auto" w:fill="auto"/>
        <w:bidi w:val="0"/>
        <w:spacing w:before="0" w:after="0" w:line="180" w:lineRule="exact"/>
        <w:ind w:left="0" w:right="0" w:firstLine="280"/>
      </w:pPr>
      <w:r>
        <w:rPr>
          <w:lang w:val="ru-RU" w:eastAsia="ru-RU" w:bidi="ru-RU"/>
          <w:w w:val="100"/>
          <w:spacing w:val="0"/>
          <w:color w:val="000000"/>
          <w:position w:val="0"/>
        </w:rPr>
        <w:t xml:space="preserve">Карвалло симптом </w:t>
      </w:r>
      <w:r>
        <w:rPr>
          <w:lang w:val="en-US" w:eastAsia="en-US" w:bidi="en-US"/>
          <w:w w:val="100"/>
          <w:spacing w:val="0"/>
          <w:color w:val="000000"/>
          <w:position w:val="0"/>
        </w:rPr>
        <w:t>(Carvallo)</w:t>
      </w:r>
    </w:p>
    <w:p>
      <w:pPr>
        <w:pStyle w:val="Style30"/>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Признак митральной недостаточности: систолический шум на верхушке сердца, слабеющий при вдохе.</w:t>
      </w:r>
    </w:p>
    <w:p>
      <w:pPr>
        <w:pStyle w:val="Style92"/>
        <w:widowControl w:val="0"/>
        <w:keepNext/>
        <w:keepLines/>
        <w:shd w:val="clear" w:color="auto" w:fill="auto"/>
        <w:bidi w:val="0"/>
        <w:spacing w:before="0" w:after="0"/>
        <w:ind w:left="0" w:right="0" w:firstLine="280"/>
      </w:pPr>
      <w:bookmarkStart w:id="200" w:name="bookmark200"/>
      <w:r>
        <w:rPr>
          <w:lang w:val="ru-RU" w:eastAsia="ru-RU" w:bidi="ru-RU"/>
          <w:w w:val="100"/>
          <w:spacing w:val="0"/>
          <w:color w:val="000000"/>
          <w:position w:val="0"/>
        </w:rPr>
        <w:t xml:space="preserve">Кардио-кардиальный рефлекс </w:t>
      </w:r>
      <w:r>
        <w:rPr>
          <w:lang w:val="en-US" w:eastAsia="en-US" w:bidi="en-US"/>
          <w:w w:val="100"/>
          <w:spacing w:val="0"/>
          <w:color w:val="000000"/>
          <w:position w:val="0"/>
        </w:rPr>
        <w:t xml:space="preserve">(Jarisch) </w:t>
      </w:r>
      <w:r>
        <w:rPr>
          <w:lang w:val="ru-RU" w:eastAsia="ru-RU" w:bidi="ru-RU"/>
          <w:w w:val="100"/>
          <w:spacing w:val="0"/>
          <w:color w:val="000000"/>
          <w:position w:val="0"/>
        </w:rPr>
        <w:t xml:space="preserve">/син. рефлекс Бе- цольда-Яриша </w:t>
      </w:r>
      <w:r>
        <w:rPr>
          <w:lang w:val="en-US" w:eastAsia="en-US" w:bidi="en-US"/>
          <w:w w:val="100"/>
          <w:spacing w:val="0"/>
          <w:color w:val="000000"/>
          <w:position w:val="0"/>
        </w:rPr>
        <w:t>(Bezold-Jarisch)</w:t>
      </w:r>
      <w:bookmarkEnd w:id="200"/>
    </w:p>
    <w:p>
      <w:pPr>
        <w:pStyle w:val="Style30"/>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Повышение давления крови в левом желудочке вызыва</w:t>
        <w:softHyphen/>
        <w:t>ет усиление вагусного влияния на сердце, обусловливая брадикардию. (Компенсаторный рефлекс, например при стенозе аорты).</w:t>
      </w:r>
    </w:p>
    <w:p>
      <w:pPr>
        <w:pStyle w:val="Style92"/>
        <w:widowControl w:val="0"/>
        <w:keepNext/>
        <w:keepLines/>
        <w:shd w:val="clear" w:color="auto" w:fill="auto"/>
        <w:bidi w:val="0"/>
        <w:spacing w:before="0" w:after="0"/>
        <w:ind w:left="0" w:right="0" w:firstLine="280"/>
      </w:pPr>
      <w:bookmarkStart w:id="201" w:name="bookmark201"/>
      <w:r>
        <w:rPr>
          <w:lang w:val="ru-RU" w:eastAsia="ru-RU" w:bidi="ru-RU"/>
          <w:w w:val="100"/>
          <w:spacing w:val="0"/>
          <w:color w:val="000000"/>
          <w:position w:val="0"/>
        </w:rPr>
        <w:t>Кардиомегалия</w:t>
      </w:r>
      <w:bookmarkEnd w:id="20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Значительное увеличение размеров сердца за счет его ги</w:t>
        <w:softHyphen/>
        <w:t>пертрофии и дилатации (реже — инфильтративных процес</w:t>
        <w:softHyphen/>
        <w:t>сов). Общие признаки кардиомегалий:</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нарушение ритма и проводимости;</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расширение границ сердца;</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приглушение или глухость тонов;</w:t>
      </w:r>
    </w:p>
    <w:p>
      <w:pPr>
        <w:pStyle w:val="Style30"/>
        <w:numPr>
          <w:ilvl w:val="0"/>
          <w:numId w:val="2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ослабление I тона на верхушке;</w:t>
      </w:r>
    </w:p>
    <w:p>
      <w:pPr>
        <w:pStyle w:val="Style30"/>
        <w:numPr>
          <w:ilvl w:val="0"/>
          <w:numId w:val="27"/>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протодиастолический или пресистолический ритм галопа (3 и 4 тоны);</w:t>
      </w:r>
    </w:p>
    <w:p>
      <w:pPr>
        <w:pStyle w:val="Style30"/>
        <w:numPr>
          <w:ilvl w:val="0"/>
          <w:numId w:val="27"/>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шум относительной митральной и трикуспидальной недостаточности (шумы регургитации);</w:t>
      </w:r>
    </w:p>
    <w:p>
      <w:pPr>
        <w:pStyle w:val="Style30"/>
        <w:numPr>
          <w:ilvl w:val="0"/>
          <w:numId w:val="27"/>
        </w:numPr>
        <w:tabs>
          <w:tab w:leader="none" w:pos="516" w:val="left"/>
        </w:tabs>
        <w:widowControl w:val="0"/>
        <w:keepNext w:val="0"/>
        <w:keepLines w:val="0"/>
        <w:shd w:val="clear" w:color="auto" w:fill="auto"/>
        <w:bidi w:val="0"/>
        <w:jc w:val="left"/>
        <w:spacing w:before="0" w:after="60"/>
        <w:ind w:left="520" w:right="0" w:hanging="240"/>
      </w:pPr>
      <w:r>
        <w:rPr>
          <w:lang w:val="ru-RU" w:eastAsia="ru-RU" w:bidi="ru-RU"/>
          <w:w w:val="100"/>
          <w:spacing w:val="0"/>
          <w:color w:val="000000"/>
          <w:position w:val="0"/>
        </w:rPr>
        <w:t>специфические признаки определяются тем заболе</w:t>
        <w:softHyphen/>
        <w:t>ванием, которое привело к кардиомегалии.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Кардионевроз </w:t>
      </w:r>
      <w:r>
        <w:rPr>
          <w:lang w:val="en-US" w:eastAsia="en-US" w:bidi="en-US"/>
          <w:w w:val="100"/>
          <w:spacing w:val="0"/>
          <w:color w:val="000000"/>
          <w:position w:val="0"/>
        </w:rPr>
        <w:t>(сardioneurosis)</w:t>
      </w:r>
    </w:p>
    <w:p>
      <w:pPr>
        <w:pStyle w:val="Style30"/>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Форма невроза, характеризующаяся кардиалгией, сердцебиением и другими неприятными ощущениями в области сердца при отсутствии органических изменений в нем.</w:t>
      </w:r>
    </w:p>
    <w:p>
      <w:pPr>
        <w:pStyle w:val="Style92"/>
        <w:widowControl w:val="0"/>
        <w:keepNext/>
        <w:keepLines/>
        <w:shd w:val="clear" w:color="auto" w:fill="auto"/>
        <w:bidi w:val="0"/>
        <w:spacing w:before="0" w:after="0"/>
        <w:ind w:left="0" w:right="0" w:firstLine="280"/>
      </w:pPr>
      <w:bookmarkStart w:id="202" w:name="bookmark202"/>
      <w:r>
        <w:rPr>
          <w:lang w:val="ru-RU" w:eastAsia="ru-RU" w:bidi="ru-RU"/>
          <w:w w:val="100"/>
          <w:spacing w:val="0"/>
          <w:color w:val="000000"/>
          <w:position w:val="0"/>
        </w:rPr>
        <w:t>Катценштейна симптом</w:t>
      </w:r>
      <w:bookmarkEnd w:id="202"/>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патологии миокарда: после сдавления бедрен</w:t>
        <w:softHyphen/>
        <w:t>ной артерии артериальное давление у человека при здоро</w:t>
        <w:softHyphen/>
        <w:t>вом сердце повышается, а при наличии слабости сердечной мышцы — снижается.</w:t>
      </w:r>
    </w:p>
    <w:p>
      <w:pPr>
        <w:pStyle w:val="Style92"/>
        <w:widowControl w:val="0"/>
        <w:keepNext/>
        <w:keepLines/>
        <w:shd w:val="clear" w:color="auto" w:fill="auto"/>
        <w:bidi w:val="0"/>
        <w:spacing w:before="0" w:after="0"/>
        <w:ind w:left="0" w:right="0" w:firstLine="280"/>
      </w:pPr>
      <w:bookmarkStart w:id="203" w:name="bookmark203"/>
      <w:r>
        <w:rPr>
          <w:lang w:val="ru-RU" w:eastAsia="ru-RU" w:bidi="ru-RU"/>
          <w:w w:val="100"/>
          <w:spacing w:val="0"/>
          <w:color w:val="000000"/>
          <w:position w:val="0"/>
        </w:rPr>
        <w:t>Кахексия сердечная</w:t>
      </w:r>
      <w:bookmarkEnd w:id="203"/>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Крайняя степень истощения организма, развивающаяся в терминальной (дистрофической) стадии хронической сердечной недостаточности, характеризуется резким исху</w:t>
        <w:softHyphen/>
        <w:t>данием, физической слабостью, снижением физиологичес</w:t>
        <w:softHyphen/>
        <w:t>ких функций, астенией, позже апатией.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Квинке симптом </w:t>
      </w:r>
      <w:r>
        <w:rPr>
          <w:lang w:val="en-US" w:eastAsia="en-US" w:bidi="en-US"/>
          <w:w w:val="100"/>
          <w:spacing w:val="0"/>
          <w:color w:val="000000"/>
          <w:position w:val="0"/>
        </w:rPr>
        <w:t>(Quincke)</w:t>
      </w:r>
    </w:p>
    <w:p>
      <w:pPr>
        <w:pStyle w:val="Style30"/>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Признак недостаточности аортального клапана: види</w:t>
        <w:softHyphen/>
        <w:t>мый капиллярный пульс в области ногтевых фаланг.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Китаева рефлекс (Китаев Ф.Я.)</w:t>
      </w:r>
    </w:p>
    <w:p>
      <w:pPr>
        <w:pStyle w:val="Style30"/>
        <w:widowControl w:val="0"/>
        <w:keepNext w:val="0"/>
        <w:keepLines w:val="0"/>
        <w:shd w:val="clear" w:color="auto" w:fill="auto"/>
        <w:bidi w:val="0"/>
        <w:spacing w:before="0" w:after="89"/>
        <w:ind w:left="0" w:right="0" w:firstLine="280"/>
      </w:pPr>
      <w:r>
        <w:rPr>
          <w:lang w:val="ru-RU" w:eastAsia="ru-RU" w:bidi="ru-RU"/>
          <w:w w:val="100"/>
          <w:spacing w:val="0"/>
          <w:color w:val="000000"/>
          <w:position w:val="0"/>
        </w:rPr>
        <w:t>Повышение тонуса артериол и мелких артерий в легких при переполнении предсердий и легочных вен.</w:t>
      </w:r>
    </w:p>
    <w:p>
      <w:pPr>
        <w:pStyle w:val="Style92"/>
        <w:widowControl w:val="0"/>
        <w:keepNext/>
        <w:keepLines/>
        <w:shd w:val="clear" w:color="auto" w:fill="auto"/>
        <w:bidi w:val="0"/>
        <w:spacing w:before="0" w:after="0" w:line="180" w:lineRule="exact"/>
        <w:ind w:left="0" w:right="0" w:firstLine="280"/>
      </w:pPr>
      <w:bookmarkStart w:id="204" w:name="bookmark204"/>
      <w:r>
        <w:rPr>
          <w:lang w:val="ru-RU" w:eastAsia="ru-RU" w:bidi="ru-RU"/>
          <w:w w:val="100"/>
          <w:spacing w:val="0"/>
          <w:color w:val="000000"/>
          <w:position w:val="0"/>
        </w:rPr>
        <w:t>Клода Бернара-Горнера симптом</w:t>
      </w:r>
      <w:bookmarkEnd w:id="204"/>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аневризмы восходящей аорты: вследствие сдавления и паралича симпатического нерва аневризмой восходящей аорты появляется сужение зрачка и уменьше</w:t>
        <w:softHyphen/>
        <w:t>ние глазной щели.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Кончаловского-Румпеля-Лееде (Кончаловский, </w:t>
      </w:r>
      <w:r>
        <w:rPr>
          <w:lang w:val="en-US" w:eastAsia="en-US" w:bidi="en-US"/>
          <w:w w:val="100"/>
          <w:spacing w:val="0"/>
          <w:color w:val="000000"/>
          <w:position w:val="0"/>
        </w:rPr>
        <w:t xml:space="preserve">Rumpel, Leede) </w:t>
      </w:r>
      <w:r>
        <w:rPr>
          <w:lang w:val="ru-RU" w:eastAsia="ru-RU" w:bidi="ru-RU"/>
          <w:w w:val="100"/>
          <w:spacing w:val="0"/>
          <w:color w:val="000000"/>
          <w:position w:val="0"/>
        </w:rPr>
        <w:t>симптом (син. симптом жгута)</w:t>
      </w:r>
    </w:p>
    <w:p>
      <w:pPr>
        <w:pStyle w:val="Style30"/>
        <w:widowControl w:val="0"/>
        <w:keepNext w:val="0"/>
        <w:keepLines w:val="0"/>
        <w:shd w:val="clear" w:color="auto" w:fill="auto"/>
        <w:bidi w:val="0"/>
        <w:spacing w:before="0" w:after="180"/>
        <w:ind w:left="0" w:right="0" w:firstLine="280"/>
      </w:pPr>
      <w:r>
        <w:br w:type="column"/>
      </w:r>
      <w:r>
        <w:rPr>
          <w:lang w:val="ru-RU" w:eastAsia="ru-RU" w:bidi="ru-RU"/>
          <w:w w:val="100"/>
          <w:spacing w:val="0"/>
          <w:color w:val="000000"/>
          <w:position w:val="0"/>
        </w:rPr>
        <w:t>Признак повышенной проницаемости и ломкости ка</w:t>
        <w:softHyphen/>
        <w:t>пилляров и прекапилляров: появление петехий на коже плеча и предплечья после непродолжительного сдавлива</w:t>
        <w:softHyphen/>
        <w:t>ния плеча жгутом или резиновой манжеткой (при сохране</w:t>
        <w:softHyphen/>
        <w:t>нии пульса на лучевой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Корвизара лицо </w:t>
      </w:r>
      <w:r>
        <w:rPr>
          <w:lang w:val="en-US" w:eastAsia="en-US" w:bidi="en-US"/>
          <w:w w:val="100"/>
          <w:spacing w:val="0"/>
          <w:color w:val="000000"/>
          <w:position w:val="0"/>
        </w:rPr>
        <w:t>(Korvisart)</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тяжелого хронического заболевания сердца: обрюзгшее лицо с сонным взглядом, акроцианозом на фо</w:t>
        <w:softHyphen/>
        <w:t>не бледно-желтой кожи, багровыми, несколько выпячен</w:t>
        <w:softHyphen/>
        <w:t>ными губами и постоянно полуоткрытым ртом, которым больной как бы ловит воздух.</w:t>
      </w:r>
    </w:p>
    <w:p>
      <w:pPr>
        <w:pStyle w:val="Style92"/>
        <w:widowControl w:val="0"/>
        <w:keepNext/>
        <w:keepLines/>
        <w:shd w:val="clear" w:color="auto" w:fill="auto"/>
        <w:bidi w:val="0"/>
        <w:spacing w:before="0" w:after="0"/>
        <w:ind w:left="0" w:right="0" w:firstLine="280"/>
      </w:pPr>
      <w:bookmarkStart w:id="205" w:name="bookmark205"/>
      <w:r>
        <w:rPr>
          <w:lang w:val="ru-RU" w:eastAsia="ru-RU" w:bidi="ru-RU"/>
          <w:w w:val="100"/>
          <w:spacing w:val="0"/>
          <w:color w:val="000000"/>
          <w:position w:val="0"/>
        </w:rPr>
        <w:t>Коромысла симптом</w:t>
      </w:r>
      <w:bookmarkEnd w:id="205"/>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аневризмы левого желудочка: неодновремен</w:t>
        <w:softHyphen/>
        <w:t>ность верхушечного толчка и сердечного толчка в прекор- диальной области.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Коссио симптом </w:t>
      </w:r>
      <w:r>
        <w:rPr>
          <w:lang w:val="en-US" w:eastAsia="en-US" w:bidi="en-US"/>
          <w:w w:val="100"/>
          <w:spacing w:val="0"/>
          <w:color w:val="000000"/>
          <w:position w:val="0"/>
        </w:rPr>
        <w:t>(Cossio)</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Сотрясение головы в виде ритмичных движений назад — положительный пульс яремных вен, более заметный в поло - жении лежа; признак недостаточности правого желудочка.</w:t>
      </w:r>
    </w:p>
    <w:p>
      <w:pPr>
        <w:pStyle w:val="Style92"/>
        <w:widowControl w:val="0"/>
        <w:keepNext/>
        <w:keepLines/>
        <w:shd w:val="clear" w:color="auto" w:fill="auto"/>
        <w:bidi w:val="0"/>
        <w:spacing w:before="0" w:after="0"/>
        <w:ind w:left="0" w:right="0" w:firstLine="280"/>
      </w:pPr>
      <w:bookmarkStart w:id="206" w:name="bookmark206"/>
      <w:r>
        <w:rPr>
          <w:lang w:val="ru-RU" w:eastAsia="ru-RU" w:bidi="ru-RU"/>
          <w:w w:val="100"/>
          <w:spacing w:val="0"/>
          <w:color w:val="000000"/>
          <w:position w:val="0"/>
        </w:rPr>
        <w:t>Корригана симптом</w:t>
      </w:r>
      <w:bookmarkEnd w:id="206"/>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Возможный признак аневризмы аорты: хорошо видимая усиленная пульсация передней брюшной стенки.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Крейзига симптом </w:t>
      </w:r>
      <w:r>
        <w:rPr>
          <w:lang w:val="en-US" w:eastAsia="en-US" w:bidi="en-US"/>
          <w:w w:val="100"/>
          <w:spacing w:val="0"/>
          <w:color w:val="000000"/>
          <w:position w:val="0"/>
        </w:rPr>
        <w:t>(Kreysig)</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спаечного перикардита: втяжение надчревья и прилежащих к нему областей передней грудной стенки во время систолы желудочков.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Кумбса шум сердца </w:t>
      </w:r>
      <w:r>
        <w:rPr>
          <w:lang w:val="en-US" w:eastAsia="en-US" w:bidi="en-US"/>
          <w:w w:val="100"/>
          <w:spacing w:val="0"/>
          <w:color w:val="000000"/>
          <w:position w:val="0"/>
        </w:rPr>
        <w:t>(Coombs)</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относительного сужения левого атриовентри</w:t>
        <w:softHyphen/>
        <w:t>кулярного отверстия: периодически возникающий прото</w:t>
        <w:softHyphen/>
        <w:t>диастолический шум, напоминающий шум митрального стеноза, но менее интенсивный, обусловлен значительной дилатацией левого предсердия или левого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Купера симптом </w:t>
      </w:r>
      <w:r>
        <w:rPr>
          <w:lang w:val="en-US" w:eastAsia="en-US" w:bidi="en-US"/>
          <w:w w:val="100"/>
          <w:spacing w:val="0"/>
          <w:color w:val="000000"/>
          <w:position w:val="0"/>
        </w:rPr>
        <w:t>(Cooper)</w:t>
      </w:r>
    </w:p>
    <w:p>
      <w:pPr>
        <w:pStyle w:val="Style30"/>
        <w:widowControl w:val="0"/>
        <w:keepNext w:val="0"/>
        <w:keepLines w:val="0"/>
        <w:shd w:val="clear" w:color="auto" w:fill="auto"/>
        <w:bidi w:val="0"/>
        <w:spacing w:before="0" w:after="209"/>
        <w:ind w:left="0" w:right="0" w:firstLine="280"/>
      </w:pPr>
      <w:r>
        <w:rPr>
          <w:lang w:val="ru-RU" w:eastAsia="ru-RU" w:bidi="ru-RU"/>
          <w:w w:val="100"/>
          <w:spacing w:val="0"/>
          <w:color w:val="000000"/>
          <w:position w:val="0"/>
        </w:rPr>
        <w:t>Признак констриктивного перикардита: больной после выдоха может задерживать дыхание дольше, чем после вдоха.</w:t>
      </w:r>
    </w:p>
    <w:p>
      <w:pPr>
        <w:pStyle w:val="Style92"/>
        <w:widowControl w:val="0"/>
        <w:keepNext/>
        <w:keepLines/>
        <w:shd w:val="clear" w:color="auto" w:fill="auto"/>
        <w:bidi w:val="0"/>
        <w:spacing w:before="0" w:after="14" w:line="180" w:lineRule="exact"/>
        <w:ind w:left="0" w:right="0" w:firstLine="280"/>
      </w:pPr>
      <w:bookmarkStart w:id="207" w:name="bookmark207"/>
      <w:r>
        <w:rPr>
          <w:lang w:val="ru-RU" w:eastAsia="ru-RU" w:bidi="ru-RU"/>
          <w:w w:val="100"/>
          <w:spacing w:val="0"/>
          <w:color w:val="000000"/>
          <w:position w:val="0"/>
        </w:rPr>
        <w:t>Куримена симптом</w:t>
      </w:r>
      <w:bookmarkEnd w:id="207"/>
    </w:p>
    <w:p>
      <w:pPr>
        <w:pStyle w:val="Style30"/>
        <w:widowControl w:val="0"/>
        <w:keepNext w:val="0"/>
        <w:keepLines w:val="0"/>
        <w:shd w:val="clear" w:color="auto" w:fill="auto"/>
        <w:bidi w:val="0"/>
        <w:spacing w:before="0" w:after="110" w:line="180" w:lineRule="exact"/>
        <w:ind w:left="0" w:right="0" w:firstLine="280"/>
      </w:pPr>
      <w:r>
        <w:rPr>
          <w:lang w:val="ru-RU" w:eastAsia="ru-RU" w:bidi="ru-RU"/>
          <w:w w:val="100"/>
          <w:spacing w:val="0"/>
          <w:color w:val="000000"/>
          <w:position w:val="0"/>
        </w:rPr>
        <w:t>Признак аневризмы аорты: смещение трахеи.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Куссмауля симптом </w:t>
      </w:r>
      <w:r>
        <w:rPr>
          <w:lang w:val="en-US" w:eastAsia="en-US" w:bidi="en-US"/>
          <w:w w:val="100"/>
          <w:spacing w:val="0"/>
          <w:color w:val="000000"/>
          <w:position w:val="0"/>
        </w:rPr>
        <w:t>(Kussmaul)</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экссудативного перикардита: усиление набуха</w:t>
        <w:softHyphen/>
        <w:t>ния яремных вен на высоте вдоха.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Куссмауля симптом </w:t>
      </w:r>
      <w:r>
        <w:rPr>
          <w:lang w:val="en-US" w:eastAsia="en-US" w:bidi="en-US"/>
          <w:w w:val="100"/>
          <w:spacing w:val="0"/>
          <w:color w:val="000000"/>
          <w:position w:val="0"/>
        </w:rPr>
        <w:t>(Kussmaul)</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плевроперикардиальных сращений: замедле</w:t>
        <w:softHyphen/>
        <w:t>ние (вместо учащения) пульса во время вдоха, обусловлен</w:t>
        <w:softHyphen/>
        <w:t>ное раздражением ветвей блуждающего нерва.</w:t>
      </w:r>
    </w:p>
    <w:p>
      <w:pPr>
        <w:pStyle w:val="Style92"/>
        <w:widowControl w:val="0"/>
        <w:keepNext/>
        <w:keepLines/>
        <w:shd w:val="clear" w:color="auto" w:fill="auto"/>
        <w:bidi w:val="0"/>
        <w:spacing w:before="0" w:after="0"/>
        <w:ind w:left="0" w:right="0" w:firstLine="280"/>
      </w:pPr>
      <w:bookmarkStart w:id="208" w:name="bookmark208"/>
      <w:r>
        <w:rPr>
          <w:lang w:val="ru-RU" w:eastAsia="ru-RU" w:bidi="ru-RU"/>
          <w:w w:val="100"/>
          <w:spacing w:val="0"/>
          <w:color w:val="000000"/>
          <w:position w:val="0"/>
        </w:rPr>
        <w:t xml:space="preserve">Куссмауля двойной инспираторный феномен </w:t>
      </w:r>
      <w:r>
        <w:rPr>
          <w:lang w:val="en-US" w:eastAsia="en-US" w:bidi="en-US"/>
          <w:w w:val="100"/>
          <w:spacing w:val="0"/>
          <w:color w:val="000000"/>
          <w:position w:val="0"/>
        </w:rPr>
        <w:t>(Kussmaul)</w:t>
      </w:r>
      <w:bookmarkEnd w:id="208"/>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перикардита: сочетание парадоксального пуль</w:t>
        <w:softHyphen/>
        <w:t>са с усилением набухания яремных вен на высоте вдоха.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Кушинга феномен </w:t>
      </w:r>
      <w:r>
        <w:rPr>
          <w:lang w:val="en-US" w:eastAsia="en-US" w:bidi="en-US"/>
          <w:w w:val="100"/>
          <w:spacing w:val="0"/>
          <w:color w:val="000000"/>
          <w:position w:val="0"/>
        </w:rPr>
        <w:t>(Cushing)</w:t>
      </w:r>
    </w:p>
    <w:p>
      <w:pPr>
        <w:pStyle w:val="Style30"/>
        <w:widowControl w:val="0"/>
        <w:keepNext w:val="0"/>
        <w:keepLines w:val="0"/>
        <w:shd w:val="clear" w:color="auto" w:fill="auto"/>
        <w:bidi w:val="0"/>
        <w:spacing w:before="0" w:after="0"/>
        <w:ind w:left="0" w:right="0" w:firstLine="280"/>
      </w:pPr>
      <w:r>
        <w:pict>
          <v:shape id="_x0000_s1107" type="#_x0000_t75" style="position:absolute;margin-left:148.1pt;margin-top:739.95pt;width:209.75pt;height:14.9pt;z-index:-125829337;mso-wrap-distance-left:148.1pt;mso-wrap-distance-right:136.8pt;mso-wrap-distance-bottom:20.pt;mso-position-horizontal-relative:margin;mso-position-vertical-relative:margin" wrapcoords="0 0 21600 0 21600 21600 0 21600 0 0">
            <v:imagedata r:id="rId132" r:href="rId133"/>
            <w10:wrap type="topAndBottom" anchorx="margin" anchory="margin"/>
          </v:shape>
        </w:pict>
      </w:r>
      <w:r>
        <w:rPr>
          <w:lang w:val="ru-RU" w:eastAsia="ru-RU" w:bidi="ru-RU"/>
          <w:w w:val="100"/>
          <w:spacing w:val="0"/>
          <w:color w:val="000000"/>
          <w:position w:val="0"/>
        </w:rPr>
        <w:t>Артериальная гипертензия в результате повышения вну</w:t>
        <w:softHyphen/>
        <w:t>тричерепного давления.</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Ландольфи симптом </w:t>
      </w:r>
      <w:r>
        <w:rPr>
          <w:lang w:val="en-US" w:eastAsia="en-US" w:bidi="en-US"/>
          <w:w w:val="100"/>
          <w:spacing w:val="0"/>
          <w:color w:val="000000"/>
          <w:position w:val="0"/>
        </w:rPr>
        <w:t>(Landolfi)</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недостаточности аортального клапана: суже</w:t>
        <w:softHyphen/>
        <w:t>ние зрачка во время систолы и расширение его во время ди</w:t>
        <w:softHyphen/>
        <w:t>астолы.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Ланчизи симптом </w:t>
      </w:r>
      <w:r>
        <w:rPr>
          <w:lang w:val="en-US" w:eastAsia="en-US" w:bidi="en-US"/>
          <w:w w:val="100"/>
          <w:spacing w:val="0"/>
          <w:color w:val="000000"/>
          <w:position w:val="0"/>
        </w:rPr>
        <w:t>(Lancisi)</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недостаточности трехстворчатого клапана: на</w:t>
        <w:softHyphen/>
        <w:t>полнение яремных вен во время систолы желудочка вместо наблюдаемого у здоровых детей некоторого спадения этих же вен.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Лентигиноз </w:t>
      </w:r>
      <w:r>
        <w:rPr>
          <w:lang w:val="en-US" w:eastAsia="en-US" w:bidi="en-US"/>
          <w:w w:val="100"/>
          <w:spacing w:val="0"/>
          <w:color w:val="000000"/>
          <w:position w:val="0"/>
        </w:rPr>
        <w:t>(Lentiginosis)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Высыпания пятен от желто-коричневого до черного цве</w:t>
        <w:softHyphen/>
        <w:t>та (меланоз), обычно от 1,5 до 3 мм в диаметре по всему кож</w:t>
        <w:softHyphen/>
        <w:t>ному покрову, иногда только на лице (центрофациальный лентигиноз), вокруг рта (периорифациальный лентигиноз).</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Характерно, что лентигиноз очень часто является фено</w:t>
        <w:softHyphen/>
        <w:t>типическим проявлением многих наследственных заболе</w:t>
        <w:softHyphen/>
        <w:t xml:space="preserve">ваний с поражением сердца, например, таких как </w:t>
      </w:r>
      <w:r>
        <w:rPr>
          <w:lang w:val="en-US" w:eastAsia="en-US" w:bidi="en-US"/>
          <w:w w:val="100"/>
          <w:spacing w:val="0"/>
          <w:color w:val="000000"/>
          <w:position w:val="0"/>
        </w:rPr>
        <w:t>LEOP</w:t>
        <w:softHyphen/>
        <w:t xml:space="preserve">ARD, Peutz-Jeghers, </w:t>
      </w:r>
      <w:r>
        <w:rPr>
          <w:lang w:val="ru-RU" w:eastAsia="ru-RU" w:bidi="ru-RU"/>
          <w:w w:val="100"/>
          <w:spacing w:val="0"/>
          <w:color w:val="000000"/>
          <w:position w:val="0"/>
        </w:rPr>
        <w:t>семейный лентигиноз, разрыв артерий и лентигиноз и др. В этой связи при наличии лентигиноза у пробанда необходимо кардиологическое исследование для исключения патологии сердца.</w:t>
      </w:r>
    </w:p>
    <w:p>
      <w:pPr>
        <w:pStyle w:val="Style92"/>
        <w:widowControl w:val="0"/>
        <w:keepNext/>
        <w:keepLines/>
        <w:shd w:val="clear" w:color="auto" w:fill="auto"/>
        <w:bidi w:val="0"/>
        <w:spacing w:before="0" w:after="0"/>
        <w:ind w:left="0" w:right="0" w:firstLine="280"/>
      </w:pPr>
      <w:bookmarkStart w:id="209" w:name="bookmark209"/>
      <w:r>
        <w:rPr>
          <w:lang w:val="ru-RU" w:eastAsia="ru-RU" w:bidi="ru-RU"/>
          <w:w w:val="100"/>
          <w:spacing w:val="0"/>
          <w:color w:val="000000"/>
          <w:position w:val="0"/>
        </w:rPr>
        <w:t>Либермейстера симптом</w:t>
      </w:r>
      <w:bookmarkEnd w:id="209"/>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Ранний признак воздушной эмболии: чувство онемения языка, бледное пятно на языке.</w:t>
      </w:r>
    </w:p>
    <w:p>
      <w:pPr>
        <w:pStyle w:val="Style92"/>
        <w:widowControl w:val="0"/>
        <w:keepNext/>
        <w:keepLines/>
        <w:shd w:val="clear" w:color="auto" w:fill="auto"/>
        <w:bidi w:val="0"/>
        <w:spacing w:before="0" w:after="0"/>
        <w:ind w:left="0" w:right="0" w:firstLine="280"/>
      </w:pPr>
      <w:bookmarkStart w:id="210" w:name="bookmark210"/>
      <w:r>
        <w:rPr>
          <w:lang w:val="ru-RU" w:eastAsia="ru-RU" w:bidi="ru-RU"/>
          <w:w w:val="100"/>
          <w:spacing w:val="0"/>
          <w:color w:val="000000"/>
          <w:position w:val="0"/>
        </w:rPr>
        <w:t>Ливиерато симптом</w:t>
      </w:r>
      <w:bookmarkEnd w:id="210"/>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раздражения нервного сплетения вокруг брюш</w:t>
        <w:softHyphen/>
        <w:t>ной аорты: расширение границ сердечной тупости вправо после выпрямления больного, если он до этого находился в согнутом положении. Наблюдается при гипертонии.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Липотимия </w:t>
      </w:r>
      <w:r>
        <w:rPr>
          <w:lang w:val="en-US" w:eastAsia="en-US" w:bidi="en-US"/>
          <w:w w:val="100"/>
          <w:spacing w:val="0"/>
          <w:color w:val="000000"/>
          <w:position w:val="0"/>
        </w:rPr>
        <w:t>(lipothymia)</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Кратковременный неполный обморок, без появления клинических признаков нарушения дыхания и кровообра</w:t>
        <w:softHyphen/>
        <w:t>щения.</w:t>
      </w:r>
    </w:p>
    <w:p>
      <w:pPr>
        <w:pStyle w:val="Style92"/>
        <w:widowControl w:val="0"/>
        <w:keepNext/>
        <w:keepLines/>
        <w:shd w:val="clear" w:color="auto" w:fill="auto"/>
        <w:bidi w:val="0"/>
        <w:spacing w:before="0" w:after="0"/>
        <w:ind w:left="0" w:right="0" w:firstLine="280"/>
      </w:pPr>
      <w:bookmarkStart w:id="211" w:name="bookmark211"/>
      <w:r>
        <w:rPr>
          <w:lang w:val="ru-RU" w:eastAsia="ru-RU" w:bidi="ru-RU"/>
          <w:w w:val="100"/>
          <w:spacing w:val="0"/>
          <w:color w:val="000000"/>
          <w:position w:val="0"/>
        </w:rPr>
        <w:t>Лукина симптом</w:t>
      </w:r>
      <w:bookmarkEnd w:id="211"/>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подострого септического эндокардита: нали</w:t>
        <w:softHyphen/>
        <w:t>чие петехий с бледноватым центром на конъюнктиве.</w:t>
      </w:r>
    </w:p>
    <w:p>
      <w:pPr>
        <w:pStyle w:val="Style92"/>
        <w:widowControl w:val="0"/>
        <w:keepNext/>
        <w:keepLines/>
        <w:shd w:val="clear" w:color="auto" w:fill="auto"/>
        <w:bidi w:val="0"/>
        <w:spacing w:before="0" w:after="0"/>
        <w:ind w:left="0" w:right="0" w:firstLine="280"/>
      </w:pPr>
      <w:bookmarkStart w:id="212" w:name="bookmark212"/>
      <w:r>
        <w:rPr>
          <w:lang w:val="ru-RU" w:eastAsia="ru-RU" w:bidi="ru-RU"/>
          <w:w w:val="100"/>
          <w:spacing w:val="0"/>
          <w:color w:val="000000"/>
          <w:position w:val="0"/>
        </w:rPr>
        <w:t>«Малое тихое сердце» симптом</w:t>
      </w:r>
      <w:bookmarkEnd w:id="212"/>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констриктивного перикардита: малые размеры сердца при отсутствии шума трения перикарда.</w:t>
      </w:r>
    </w:p>
    <w:p>
      <w:pPr>
        <w:pStyle w:val="Style92"/>
        <w:widowControl w:val="0"/>
        <w:keepNext/>
        <w:keepLines/>
        <w:shd w:val="clear" w:color="auto" w:fill="auto"/>
        <w:bidi w:val="0"/>
        <w:spacing w:before="0" w:after="0"/>
        <w:ind w:left="0" w:right="0" w:firstLine="280"/>
      </w:pPr>
      <w:bookmarkStart w:id="213" w:name="bookmark213"/>
      <w:r>
        <w:rPr>
          <w:lang w:val="ru-RU" w:eastAsia="ru-RU" w:bidi="ru-RU"/>
          <w:w w:val="100"/>
          <w:spacing w:val="0"/>
          <w:color w:val="000000"/>
          <w:position w:val="0"/>
        </w:rPr>
        <w:t>Марбурга симптом</w:t>
      </w:r>
      <w:bookmarkEnd w:id="213"/>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Нарушение кровообращения в магистральных артериях ног: синюшные пятна на бледной плантарной поверхности стопы.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Минса-Лемана симптом </w:t>
      </w:r>
      <w:r>
        <w:rPr>
          <w:lang w:val="en-US" w:eastAsia="en-US" w:bidi="en-US"/>
          <w:w w:val="100"/>
          <w:spacing w:val="0"/>
          <w:color w:val="000000"/>
          <w:position w:val="0"/>
        </w:rPr>
        <w:t>(Means-Lerman)</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гипертиреоидизма: систолический царапаю</w:t>
        <w:softHyphen/>
        <w:t xml:space="preserve">щий </w:t>
      </w:r>
      <w:r>
        <w:rPr>
          <w:lang w:val="en-US" w:eastAsia="en-US" w:bidi="en-US"/>
          <w:w w:val="100"/>
          <w:spacing w:val="0"/>
          <w:color w:val="000000"/>
          <w:position w:val="0"/>
        </w:rPr>
        <w:t xml:space="preserve">(scratch) </w:t>
      </w:r>
      <w:r>
        <w:rPr>
          <w:lang w:val="ru-RU" w:eastAsia="ru-RU" w:bidi="ru-RU"/>
          <w:w w:val="100"/>
          <w:spacing w:val="0"/>
          <w:color w:val="000000"/>
          <w:position w:val="0"/>
        </w:rPr>
        <w:t>шум во втором межреберье слева во время вы</w:t>
        <w:softHyphen/>
        <w:t>доха, появляющийся вследствие трения гипердинамичес</w:t>
        <w:softHyphen/>
        <w:t>кого перикарда при его движении против плевры.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Мюллера симптом </w:t>
      </w:r>
      <w:r>
        <w:rPr>
          <w:lang w:val="en-US" w:eastAsia="en-US" w:bidi="en-US"/>
          <w:w w:val="100"/>
          <w:spacing w:val="0"/>
          <w:color w:val="000000"/>
          <w:position w:val="0"/>
        </w:rPr>
        <w:t>(Muller)</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недостаточности аортального клапана: пульса</w:t>
        <w:softHyphen/>
        <w:t>ция мягкого неба, язычка и перемежающееся покраснение миндалин синхронно сердечному ритму.</w:t>
      </w:r>
    </w:p>
    <w:p>
      <w:pPr>
        <w:pStyle w:val="Style30"/>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 xml:space="preserve">Мюссе симптом </w:t>
      </w:r>
      <w:r>
        <w:rPr>
          <w:lang w:val="en-US" w:eastAsia="en-US" w:bidi="en-US"/>
          <w:w w:val="100"/>
          <w:spacing w:val="0"/>
          <w:color w:val="000000"/>
          <w:position w:val="0"/>
        </w:rPr>
        <w:t>(Musset)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недостаточности аортального клапана: в верти</w:t>
        <w:softHyphen/>
        <w:t>кальном положении покачивание головы в ритме сердеч</w:t>
        <w:softHyphen/>
        <w:t>ных сокращений. Этот симптом получил название призна</w:t>
        <w:softHyphen/>
        <w:t>ка Альфреда Мюссе, по имени известного французского поэта, страдавшего аортальным пороком сердца с выра</w:t>
        <w:softHyphen/>
        <w:t>женным симптомом кивания головы.</w:t>
      </w:r>
    </w:p>
    <w:p>
      <w:pPr>
        <w:pStyle w:val="Style30"/>
        <w:widowControl w:val="0"/>
        <w:keepNext w:val="0"/>
        <w:keepLines w:val="0"/>
        <w:shd w:val="clear" w:color="auto" w:fill="auto"/>
        <w:bidi w:val="0"/>
        <w:spacing w:before="0" w:after="180"/>
        <w:ind w:left="0" w:right="0" w:firstLine="280"/>
      </w:pPr>
      <w:r>
        <w:rPr>
          <w:lang w:val="en-US" w:eastAsia="en-US" w:bidi="en-US"/>
          <w:w w:val="100"/>
          <w:spacing w:val="0"/>
          <w:color w:val="000000"/>
          <w:position w:val="0"/>
        </w:rPr>
        <w:t xml:space="preserve">NB. </w:t>
      </w:r>
      <w:r>
        <w:rPr>
          <w:lang w:val="ru-RU" w:eastAsia="ru-RU" w:bidi="ru-RU"/>
          <w:w w:val="100"/>
          <w:spacing w:val="0"/>
          <w:color w:val="000000"/>
          <w:position w:val="0"/>
        </w:rPr>
        <w:t>Постоянное легкое покачивание головой является типичным для болезни Паркинсона.</w:t>
      </w:r>
    </w:p>
    <w:p>
      <w:pPr>
        <w:pStyle w:val="Style92"/>
        <w:widowControl w:val="0"/>
        <w:keepNext/>
        <w:keepLines/>
        <w:shd w:val="clear" w:color="auto" w:fill="auto"/>
        <w:bidi w:val="0"/>
        <w:spacing w:before="0" w:after="0"/>
        <w:ind w:left="500" w:right="0" w:hanging="220"/>
      </w:pPr>
      <w:bookmarkStart w:id="214" w:name="bookmark214"/>
      <w:r>
        <w:rPr>
          <w:lang w:val="ru-RU" w:eastAsia="ru-RU" w:bidi="ru-RU"/>
          <w:w w:val="100"/>
          <w:spacing w:val="0"/>
          <w:color w:val="000000"/>
          <w:position w:val="0"/>
        </w:rPr>
        <w:t>Набухания шейных вен симптом</w:t>
      </w:r>
      <w:bookmarkEnd w:id="214"/>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повышения венозного давления, возникаю</w:t>
        <w:softHyphen/>
        <w:t>щий при недостаточности трикуспидального клапана: на</w:t>
        <w:softHyphen/>
        <w:t>бухание и пульсация шейных вен.</w:t>
      </w:r>
    </w:p>
    <w:p>
      <w:pPr>
        <w:pStyle w:val="Style92"/>
        <w:widowControl w:val="0"/>
        <w:keepNext/>
        <w:keepLines/>
        <w:shd w:val="clear" w:color="auto" w:fill="auto"/>
        <w:bidi w:val="0"/>
        <w:spacing w:before="0" w:after="0"/>
        <w:ind w:left="500" w:right="0" w:hanging="220"/>
      </w:pPr>
      <w:bookmarkStart w:id="215" w:name="bookmark215"/>
      <w:r>
        <w:rPr>
          <w:lang w:val="ru-RU" w:eastAsia="ru-RU" w:bidi="ru-RU"/>
          <w:w w:val="100"/>
          <w:spacing w:val="0"/>
          <w:color w:val="000000"/>
          <w:position w:val="0"/>
        </w:rPr>
        <w:t>Нейрогенной одышки симптом</w:t>
      </w:r>
      <w:bookmarkEnd w:id="215"/>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вегетососудистой дистонии, преимущественно по ваготоническому типу, возникающий при эмоциональ</w:t>
        <w:softHyphen/>
        <w:t>ном напряжении: глубокие вдохи, чувство нехватки воздуха.</w:t>
      </w:r>
    </w:p>
    <w:p>
      <w:pPr>
        <w:pStyle w:val="Style92"/>
        <w:widowControl w:val="0"/>
        <w:keepNext/>
        <w:keepLines/>
        <w:shd w:val="clear" w:color="auto" w:fill="auto"/>
        <w:bidi w:val="0"/>
        <w:spacing w:before="0" w:after="0"/>
        <w:ind w:left="500" w:right="0" w:hanging="220"/>
      </w:pPr>
      <w:bookmarkStart w:id="216" w:name="bookmark216"/>
      <w:r>
        <w:rPr>
          <w:lang w:val="ru-RU" w:eastAsia="ru-RU" w:bidi="ru-RU"/>
          <w:w w:val="100"/>
          <w:spacing w:val="0"/>
          <w:color w:val="000000"/>
          <w:position w:val="0"/>
        </w:rPr>
        <w:t>Образцова симптом</w:t>
      </w:r>
      <w:bookmarkEnd w:id="216"/>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недостаточности аортального клапана: удвоение верхушечного толчка и первого тона на верхушке сердца.</w:t>
      </w:r>
    </w:p>
    <w:p>
      <w:pPr>
        <w:pStyle w:val="Style92"/>
        <w:widowControl w:val="0"/>
        <w:keepNext/>
        <w:keepLines/>
        <w:shd w:val="clear" w:color="auto" w:fill="auto"/>
        <w:bidi w:val="0"/>
        <w:spacing w:before="0" w:after="0"/>
        <w:ind w:left="500" w:right="0" w:hanging="220"/>
      </w:pPr>
      <w:bookmarkStart w:id="217" w:name="bookmark217"/>
      <w:r>
        <w:rPr>
          <w:lang w:val="ru-RU" w:eastAsia="ru-RU" w:bidi="ru-RU"/>
          <w:w w:val="100"/>
          <w:spacing w:val="0"/>
          <w:color w:val="000000"/>
          <w:position w:val="0"/>
        </w:rPr>
        <w:t>Одышечно-цианотический приступ</w:t>
      </w:r>
      <w:bookmarkEnd w:id="21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Резкое усиление одышки и цианоза у детей с врожден</w:t>
        <w:softHyphen/>
        <w:t>ными пороками синего типа.</w:t>
      </w:r>
    </w:p>
    <w:p>
      <w:pPr>
        <w:pStyle w:val="Style30"/>
        <w:numPr>
          <w:ilvl w:val="0"/>
          <w:numId w:val="2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Развитие приступа связано со спазмом выходного от</w:t>
        <w:softHyphen/>
        <w:t>дела правого желудочка, в результате чего вся венозная кровь поступает в аорту и вызывает гипоксию ЦНС.</w:t>
      </w:r>
    </w:p>
    <w:p>
      <w:pPr>
        <w:pStyle w:val="Style30"/>
        <w:numPr>
          <w:ilvl w:val="0"/>
          <w:numId w:val="2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Приступы чаще наблюдаются в возрасте 2-5 лет при тетраде Фалло, реже при других сложных ВПС, соче</w:t>
        <w:softHyphen/>
        <w:t>тающихся со стенозом легочной артерии.</w:t>
      </w:r>
    </w:p>
    <w:p>
      <w:pPr>
        <w:pStyle w:val="Style30"/>
        <w:numPr>
          <w:ilvl w:val="0"/>
          <w:numId w:val="2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Провоцирующими факторами являются физическая активность, малые хирургические манипуляции (аде- нотонзиллэктомия, санация зубов), психоэмоцио</w:t>
        <w:softHyphen/>
        <w:t>нальное напряжение.</w:t>
      </w:r>
    </w:p>
    <w:p>
      <w:pPr>
        <w:pStyle w:val="Style30"/>
        <w:numPr>
          <w:ilvl w:val="0"/>
          <w:numId w:val="2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 время приступа ребенок принимает вынужденную позу: присаживается на корточки или лежит с приве</w:t>
        <w:softHyphen/>
        <w:t>денными к животу ногами.</w:t>
      </w:r>
    </w:p>
    <w:p>
      <w:pPr>
        <w:pStyle w:val="Style30"/>
        <w:numPr>
          <w:ilvl w:val="0"/>
          <w:numId w:val="25"/>
        </w:numPr>
        <w:tabs>
          <w:tab w:leader="none" w:pos="520"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Приступы бывают разнообразными по клиническим проявлениям.</w:t>
      </w:r>
    </w:p>
    <w:p>
      <w:pPr>
        <w:pStyle w:val="Style30"/>
        <w:numPr>
          <w:ilvl w:val="0"/>
          <w:numId w:val="2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Короткие приступы не приводят к потере сознания, за</w:t>
        <w:softHyphen/>
        <w:t>тяжной приступ сопровождается коматозным состояни</w:t>
        <w:softHyphen/>
        <w:t>ем, развитием нарушения мозгового кровообращения.</w:t>
      </w:r>
    </w:p>
    <w:p>
      <w:pPr>
        <w:pStyle w:val="Style30"/>
        <w:numPr>
          <w:ilvl w:val="0"/>
          <w:numId w:val="2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 время приступа возникают:</w:t>
      </w:r>
    </w:p>
    <w:p>
      <w:pPr>
        <w:pStyle w:val="Style30"/>
        <w:numPr>
          <w:ilvl w:val="0"/>
          <w:numId w:val="27"/>
        </w:numPr>
        <w:tabs>
          <w:tab w:leader="none" w:pos="73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резкая слабость;</w:t>
      </w:r>
    </w:p>
    <w:p>
      <w:pPr>
        <w:pStyle w:val="Style30"/>
        <w:numPr>
          <w:ilvl w:val="0"/>
          <w:numId w:val="27"/>
        </w:numPr>
        <w:tabs>
          <w:tab w:leader="none" w:pos="730"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усиливается цианоз видимых слизистых оболочек и кожных покровов;</w:t>
      </w:r>
    </w:p>
    <w:p>
      <w:pPr>
        <w:pStyle w:val="Style30"/>
        <w:numPr>
          <w:ilvl w:val="0"/>
          <w:numId w:val="27"/>
        </w:numPr>
        <w:tabs>
          <w:tab w:leader="none" w:pos="73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тахикардия;</w:t>
      </w:r>
    </w:p>
    <w:p>
      <w:pPr>
        <w:pStyle w:val="Style30"/>
        <w:numPr>
          <w:ilvl w:val="0"/>
          <w:numId w:val="27"/>
        </w:numPr>
        <w:tabs>
          <w:tab w:leader="none" w:pos="73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частое глубокое дыхание;</w:t>
      </w:r>
    </w:p>
    <w:p>
      <w:pPr>
        <w:pStyle w:val="Style30"/>
        <w:numPr>
          <w:ilvl w:val="0"/>
          <w:numId w:val="27"/>
        </w:numPr>
        <w:tabs>
          <w:tab w:leader="none" w:pos="73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исчезает шум стеноза легочной артерии;</w:t>
      </w:r>
    </w:p>
    <w:p>
      <w:pPr>
        <w:pStyle w:val="Style30"/>
        <w:numPr>
          <w:ilvl w:val="0"/>
          <w:numId w:val="27"/>
        </w:numPr>
        <w:tabs>
          <w:tab w:leader="none" w:pos="73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падает артериальное давление.</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Лечение:</w:t>
      </w:r>
    </w:p>
    <w:p>
      <w:pPr>
        <w:pStyle w:val="Style30"/>
        <w:numPr>
          <w:ilvl w:val="0"/>
          <w:numId w:val="2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Ингаляция кислорода.</w:t>
      </w:r>
    </w:p>
    <w:p>
      <w:pPr>
        <w:pStyle w:val="Style30"/>
        <w:numPr>
          <w:ilvl w:val="0"/>
          <w:numId w:val="2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Введение 1% раствора промедола по 0,1 мл/год жизни подкожно и кордиамина по 0,02 мл/кг подкожно или внутримышечно.</w:t>
      </w:r>
    </w:p>
    <w:p>
      <w:pPr>
        <w:pStyle w:val="Style30"/>
        <w:numPr>
          <w:ilvl w:val="0"/>
          <w:numId w:val="25"/>
        </w:numPr>
        <w:tabs>
          <w:tab w:leader="none" w:pos="520"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Коррекция полицитемии: реополиглюкин или гемо</w:t>
        <w:softHyphen/>
        <w:t>дез по 5-10 мл/кг внутривенно капельно.</w:t>
      </w:r>
    </w:p>
    <w:p>
      <w:pPr>
        <w:pStyle w:val="Style30"/>
        <w:numPr>
          <w:ilvl w:val="0"/>
          <w:numId w:val="25"/>
        </w:numPr>
        <w:tabs>
          <w:tab w:leader="none" w:pos="520" w:val="left"/>
        </w:tabs>
        <w:widowControl w:val="0"/>
        <w:keepNext w:val="0"/>
        <w:keepLines w:val="0"/>
        <w:shd w:val="clear" w:color="auto" w:fill="auto"/>
        <w:bidi w:val="0"/>
        <w:jc w:val="left"/>
        <w:spacing w:before="0" w:after="0"/>
        <w:ind w:left="500" w:right="0" w:hanging="220"/>
      </w:pPr>
      <w:r>
        <w:pict>
          <v:shape id="_x0000_s1108" type="#_x0000_t75" style="position:absolute;margin-left:136.8pt;margin-top:740.2pt;width:209.75pt;height:14.9pt;z-index:-125829336;mso-wrap-distance-left:136.8pt;mso-wrap-distance-right:148.1pt;mso-wrap-distance-bottom:20.pt;mso-position-horizontal-relative:margin;mso-position-vertical-relative:margin" wrapcoords="0 0 21600 0 21600 21600 0 21600 0 0">
            <v:imagedata r:id="rId134" r:href="rId135"/>
            <w10:wrap type="topAndBottom" anchorx="margin" anchory="margin"/>
          </v:shape>
        </w:pict>
      </w:r>
      <w:r>
        <w:rPr>
          <w:lang w:val="ru-RU" w:eastAsia="ru-RU" w:bidi="ru-RU"/>
          <w:w w:val="100"/>
          <w:spacing w:val="0"/>
          <w:color w:val="000000"/>
          <w:position w:val="0"/>
        </w:rPr>
        <w:t>Снятие спазма легочной артерии: обзидан 0,1 мг/кг внутривенно капельно со скоростью 0,005 мг/мин.</w:t>
      </w:r>
      <w:r>
        <w:br w:type="page"/>
      </w:r>
    </w:p>
    <w:p>
      <w:pPr>
        <w:pStyle w:val="Style30"/>
        <w:numPr>
          <w:ilvl w:val="0"/>
          <w:numId w:val="25"/>
        </w:numPr>
        <w:tabs>
          <w:tab w:leader="none" w:pos="518"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При некупирующемся приступе и развитии гипокси</w:t>
        <w:softHyphen/>
        <w:t>ческой комы показано экстренное наложение аорто</w:t>
        <w:softHyphen/>
        <w:t>легочного анастомоза.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Одышка (диспноэ, </w:t>
      </w:r>
      <w:r>
        <w:rPr>
          <w:lang w:val="en-US" w:eastAsia="en-US" w:bidi="en-US"/>
          <w:w w:val="100"/>
          <w:spacing w:val="0"/>
          <w:color w:val="000000"/>
          <w:position w:val="0"/>
        </w:rPr>
        <w:t>dyspnoe)</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обусловленный сердечной недостаточностью, приводящей к застою крови в легких, снижению эластич</w:t>
        <w:softHyphen/>
        <w:t>ности легочной ткани и уменьшению ее дыхательной по</w:t>
        <w:softHyphen/>
        <w:t>верхности. Одышка может быть следствием как лево-, так и правожелудочковой недостаточности. Одышка проявля</w:t>
        <w:softHyphen/>
        <w:t>ется нарушением частоты, ритма и глубины дыхания, а так</w:t>
        <w:softHyphen/>
        <w:t>же субъективными ощущениями недостатка воздуха. На ранних стадиях сердечной недостаточности одышка по</w:t>
        <w:softHyphen/>
        <w:t>является у детей на фоне или сразу после физической на</w:t>
        <w:softHyphen/>
        <w:t>грузки. Сердечная одышка носит экспираторный или сме</w:t>
        <w:softHyphen/>
        <w:t>шанный (инспираторный-экспираторный) характер. Варианты нарушения дыхания.</w:t>
      </w:r>
    </w:p>
    <w:p>
      <w:pPr>
        <w:pStyle w:val="Style30"/>
        <w:numPr>
          <w:ilvl w:val="0"/>
          <w:numId w:val="2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Апноэ</w:t>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Временная остановка дыхательных движений. Имеет ведущее значение в выявлении детей, угро</w:t>
        <w:softHyphen/>
        <w:t>жаемых по развитию внезапной смерти. Может на</w:t>
        <w:softHyphen/>
        <w:t>блюдаться у детей с истерией.</w:t>
      </w:r>
    </w:p>
    <w:p>
      <w:pPr>
        <w:pStyle w:val="Style30"/>
        <w:numPr>
          <w:ilvl w:val="0"/>
          <w:numId w:val="2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Брадипноэ</w:t>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Редкое дыхание без изменений дыхательных объ</w:t>
        <w:softHyphen/>
        <w:t>емов. Наблюдается при физиологическом сердце спортсмена. Может быть начальным симптомом прогрессирующего нейромышечного заболевания.</w:t>
      </w:r>
    </w:p>
    <w:p>
      <w:pPr>
        <w:pStyle w:val="Style30"/>
        <w:numPr>
          <w:ilvl w:val="0"/>
          <w:numId w:val="2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Гипервентиляция</w:t>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Увеличение дыхательного минутного объема свы</w:t>
        <w:softHyphen/>
        <w:t>ше метаболической потребности.</w:t>
      </w:r>
    </w:p>
    <w:p>
      <w:pPr>
        <w:pStyle w:val="Style30"/>
        <w:numPr>
          <w:ilvl w:val="0"/>
          <w:numId w:val="2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Гиперпноэ</w:t>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Увеличение глубины дыхания, в то время как час</w:t>
        <w:softHyphen/>
        <w:t>тота дыхания увеличена в меньшей мере или нор</w:t>
        <w:softHyphen/>
        <w:t>мальная.</w:t>
      </w:r>
    </w:p>
    <w:p>
      <w:pPr>
        <w:pStyle w:val="Style30"/>
        <w:numPr>
          <w:ilvl w:val="0"/>
          <w:numId w:val="2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Гиповентиляция</w:t>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Понижение минутного объема дыхания ниже нормы.</w:t>
      </w:r>
    </w:p>
    <w:p>
      <w:pPr>
        <w:pStyle w:val="Style30"/>
        <w:numPr>
          <w:ilvl w:val="0"/>
          <w:numId w:val="2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Гипопноэ</w:t>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Уменьшение глубины дыхания при нормальной частоте дыхания.</w:t>
      </w:r>
    </w:p>
    <w:p>
      <w:pPr>
        <w:pStyle w:val="Style30"/>
        <w:numPr>
          <w:ilvl w:val="0"/>
          <w:numId w:val="2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Ортопноэ </w:t>
      </w:r>
      <w:r>
        <w:rPr>
          <w:lang w:val="en-US" w:eastAsia="en-US" w:bidi="en-US"/>
          <w:w w:val="100"/>
          <w:spacing w:val="0"/>
          <w:color w:val="000000"/>
          <w:position w:val="0"/>
        </w:rPr>
        <w:t>(orthopnoe)</w:t>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Вынужденное положение сидя, принимаемое больным для облегчения дыхания при выражен</w:t>
        <w:softHyphen/>
        <w:t>ной одышке.</w:t>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У детей с длительно сохраняющейся тяжелой лево</w:t>
        <w:softHyphen/>
        <w:t>желудочковой недостаточностью присоединение правожелудочковой недостаточности может уменьшить явления ортопноэ.</w:t>
      </w:r>
    </w:p>
    <w:p>
      <w:pPr>
        <w:pStyle w:val="Style30"/>
        <w:numPr>
          <w:ilvl w:val="0"/>
          <w:numId w:val="2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Спонтанное диспноэ (син. пароксизмальная ночная одышка)</w:t>
      </w:r>
    </w:p>
    <w:p>
      <w:pPr>
        <w:pStyle w:val="Style30"/>
        <w:widowControl w:val="0"/>
        <w:keepNext w:val="0"/>
        <w:keepLines w:val="0"/>
        <w:shd w:val="clear" w:color="auto" w:fill="auto"/>
        <w:bidi w:val="0"/>
        <w:jc w:val="left"/>
        <w:spacing w:before="0" w:after="0"/>
        <w:ind w:left="740" w:right="0" w:firstLine="0"/>
      </w:pPr>
      <w:r>
        <w:rPr>
          <w:lang w:val="ru-RU" w:eastAsia="ru-RU" w:bidi="ru-RU"/>
          <w:w w:val="100"/>
          <w:spacing w:val="0"/>
          <w:color w:val="000000"/>
          <w:position w:val="0"/>
        </w:rPr>
        <w:t>Форма сердечной одышки, возникающей внезап</w:t>
        <w:softHyphen/>
        <w:t>но, преимущественно ночью, в виде приступов. Вертикальное положение обычно не облегчает со</w:t>
        <w:softHyphen/>
        <w:t>стояния больного. Развивается центральный цианоз. Пароксизмальную ночную одышку рассматривают как стадию предотека легких.</w:t>
      </w:r>
    </w:p>
    <w:p>
      <w:pPr>
        <w:pStyle w:val="Style30"/>
        <w:numPr>
          <w:ilvl w:val="0"/>
          <w:numId w:val="2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Тахипноэ</w:t>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Частое дыхание без изменения дыхательного объема.</w:t>
      </w:r>
    </w:p>
    <w:p>
      <w:pPr>
        <w:pStyle w:val="Style30"/>
        <w:numPr>
          <w:ilvl w:val="0"/>
          <w:numId w:val="2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Трепопноэ</w:t>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Более затрудненное дыхание в лежачем положе</w:t>
        <w:softHyphen/>
        <w:t>нии на одном боку по сравнению с положением на другом боку (симптом Вуда и Уольферта).</w:t>
      </w:r>
    </w:p>
    <w:p>
      <w:pPr>
        <w:pStyle w:val="Style30"/>
        <w:numPr>
          <w:ilvl w:val="0"/>
          <w:numId w:val="25"/>
        </w:numPr>
        <w:tabs>
          <w:tab w:leader="none" w:pos="509" w:val="left"/>
        </w:tabs>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Дыхание Чейн-Стокса</w:t>
      </w:r>
    </w:p>
    <w:p>
      <w:pPr>
        <w:pStyle w:val="Style30"/>
        <w:widowControl w:val="0"/>
        <w:keepNext w:val="0"/>
        <w:keepLines w:val="0"/>
        <w:shd w:val="clear" w:color="auto" w:fill="auto"/>
        <w:bidi w:val="0"/>
        <w:jc w:val="left"/>
        <w:spacing w:before="0" w:after="120"/>
        <w:ind w:left="740" w:right="0" w:firstLine="0"/>
      </w:pPr>
      <w:r>
        <w:rPr>
          <w:lang w:val="ru-RU" w:eastAsia="ru-RU" w:bidi="ru-RU"/>
          <w:w w:val="100"/>
          <w:spacing w:val="0"/>
          <w:color w:val="000000"/>
          <w:position w:val="0"/>
        </w:rPr>
        <w:t>Чередование периодов полной остановки дыхания (апноэ) с периодами постепенно увеличивающей</w:t>
        <w:softHyphen/>
        <w:t>ся амплитуды и частоты дыхательных движений. Наблюдается при хронической сердечной недоста</w:t>
        <w:softHyphen/>
        <w:t>точности, констриктивном перикардите, клапан</w:t>
        <w:softHyphen/>
        <w:t>ных пороках.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Оливера-Кардарелли симптом </w:t>
      </w:r>
      <w:r>
        <w:rPr>
          <w:lang w:val="en-US" w:eastAsia="en-US" w:bidi="en-US"/>
          <w:w w:val="100"/>
          <w:spacing w:val="0"/>
          <w:color w:val="000000"/>
          <w:position w:val="0"/>
        </w:rPr>
        <w:t>(Oliver, Cardarelli)</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аневризмы дистальной части дуги аорты или проксимальной части нисходящей аорты: смещение горта</w:t>
        <w:softHyphen/>
        <w:t>ни вниз при каждой систоле сердца, видимое при запроки</w:t>
        <w:softHyphen/>
        <w:t>дывании головы больного и отведении щитовидного хряща вверх и влево.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Оппольцера симптом </w:t>
      </w:r>
      <w:r>
        <w:rPr>
          <w:lang w:val="en-US" w:eastAsia="en-US" w:bidi="en-US"/>
          <w:w w:val="100"/>
          <w:spacing w:val="0"/>
          <w:color w:val="000000"/>
          <w:position w:val="0"/>
        </w:rPr>
        <w:t>(Oppolzer)</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экссудативного перикардита: при изменении положения тела меняется локализация сердечного толчка.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Ортнера симптом </w:t>
      </w:r>
      <w:r>
        <w:rPr>
          <w:lang w:val="en-US" w:eastAsia="en-US" w:bidi="en-US"/>
          <w:w w:val="100"/>
          <w:spacing w:val="0"/>
          <w:color w:val="000000"/>
          <w:position w:val="0"/>
        </w:rPr>
        <w:t>(Ortner)</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Охриплость голоса или афония в результате сдавления возвратного нерва. Симптоматика возникает при митраль</w:t>
        <w:softHyphen/>
        <w:t>ном пороке, аневризме аорты, идиопатической дилатации легочной артерии, высокой легочной гипертензии. Причи</w:t>
        <w:softHyphen/>
        <w:t>ной сдавления возвратного нерва является резкое увеличе</w:t>
        <w:softHyphen/>
        <w:t>ние правого или левого предсердия или пережатие между левой ветвью легочной артерии и аортой.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Ослера симптом </w:t>
      </w:r>
      <w:r>
        <w:rPr>
          <w:lang w:val="en-US" w:eastAsia="en-US" w:bidi="en-US"/>
          <w:w w:val="100"/>
          <w:spacing w:val="0"/>
          <w:color w:val="000000"/>
          <w:position w:val="0"/>
        </w:rPr>
        <w:t>(Osler)</w:t>
      </w:r>
    </w:p>
    <w:p>
      <w:pPr>
        <w:pStyle w:val="Style30"/>
        <w:widowControl w:val="0"/>
        <w:keepNext w:val="0"/>
        <w:keepLines w:val="0"/>
        <w:shd w:val="clear" w:color="auto" w:fill="auto"/>
        <w:bidi w:val="0"/>
        <w:spacing w:before="0" w:after="149"/>
        <w:ind w:left="0" w:right="0" w:firstLine="280"/>
      </w:pPr>
      <w:r>
        <w:rPr>
          <w:lang w:val="ru-RU" w:eastAsia="ru-RU" w:bidi="ru-RU"/>
          <w:w w:val="100"/>
          <w:spacing w:val="0"/>
          <w:color w:val="000000"/>
          <w:position w:val="0"/>
        </w:rPr>
        <w:t>Признак подострого септического эндокардита: мелкие болезненные эритематозные узелки на кончиках пальцев.</w:t>
      </w:r>
    </w:p>
    <w:p>
      <w:pPr>
        <w:pStyle w:val="Style30"/>
        <w:widowControl w:val="0"/>
        <w:keepNext w:val="0"/>
        <w:keepLines w:val="0"/>
        <w:shd w:val="clear" w:color="auto" w:fill="auto"/>
        <w:bidi w:val="0"/>
        <w:spacing w:before="0" w:after="165" w:line="180" w:lineRule="exact"/>
        <w:ind w:left="0" w:right="0" w:firstLine="280"/>
      </w:pPr>
      <w:r>
        <w:rPr>
          <w:lang w:val="ru-RU" w:eastAsia="ru-RU" w:bidi="ru-RU"/>
          <w:w w:val="100"/>
          <w:spacing w:val="0"/>
          <w:color w:val="000000"/>
          <w:position w:val="0"/>
        </w:rPr>
        <w:t>Парадоксальный пульс — см. Ригеля симптом</w:t>
      </w:r>
    </w:p>
    <w:p>
      <w:pPr>
        <w:pStyle w:val="Style92"/>
        <w:widowControl w:val="0"/>
        <w:keepNext/>
        <w:keepLines/>
        <w:shd w:val="clear" w:color="auto" w:fill="auto"/>
        <w:bidi w:val="0"/>
        <w:spacing w:before="0" w:after="0"/>
        <w:ind w:left="0" w:right="0" w:firstLine="280"/>
      </w:pPr>
      <w:bookmarkStart w:id="218" w:name="bookmark218"/>
      <w:r>
        <w:rPr>
          <w:lang w:val="ru-RU" w:eastAsia="ru-RU" w:bidi="ru-RU"/>
          <w:w w:val="100"/>
          <w:spacing w:val="0"/>
          <w:color w:val="000000"/>
          <w:position w:val="0"/>
        </w:rPr>
        <w:t>Парадоксальной эмболии синдром</w:t>
      </w:r>
      <w:bookmarkEnd w:id="218"/>
    </w:p>
    <w:p>
      <w:pPr>
        <w:pStyle w:val="Style30"/>
        <w:numPr>
          <w:ilvl w:val="0"/>
          <w:numId w:val="25"/>
        </w:numPr>
        <w:tabs>
          <w:tab w:leader="none" w:pos="50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Эмболия в большой круг кровообращения из вен или правого сердца, минуя малый круг кровообращения, через интракардиальный дефект.</w:t>
      </w:r>
    </w:p>
    <w:p>
      <w:pPr>
        <w:pStyle w:val="Style30"/>
        <w:numPr>
          <w:ilvl w:val="0"/>
          <w:numId w:val="25"/>
        </w:numPr>
        <w:tabs>
          <w:tab w:leader="none" w:pos="50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Для возникновения парадоксальной эмболии необ</w:t>
        <w:softHyphen/>
        <w:t>ходимо наличие:</w:t>
      </w:r>
    </w:p>
    <w:p>
      <w:pPr>
        <w:pStyle w:val="Style30"/>
        <w:numPr>
          <w:ilvl w:val="0"/>
          <w:numId w:val="27"/>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артерио-венозной коммуникации (персистирую- щее овальное окно, дефекты межпредсердной пере</w:t>
        <w:softHyphen/>
        <w:t>городки, дефект межжелудочковой перегородки);</w:t>
      </w:r>
    </w:p>
    <w:p>
      <w:pPr>
        <w:pStyle w:val="Style30"/>
        <w:numPr>
          <w:ilvl w:val="0"/>
          <w:numId w:val="27"/>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сброс справа налево (хроническая болезнь легких с развитием легочного сердца, цианотические по</w:t>
        <w:softHyphen/>
        <w:t>роки или пороки сердца со вторичным цианозом);</w:t>
      </w:r>
    </w:p>
    <w:p>
      <w:pPr>
        <w:pStyle w:val="Style30"/>
        <w:numPr>
          <w:ilvl w:val="0"/>
          <w:numId w:val="27"/>
        </w:numPr>
        <w:tabs>
          <w:tab w:leader="none" w:pos="755" w:val="left"/>
        </w:tabs>
        <w:widowControl w:val="0"/>
        <w:keepNext w:val="0"/>
        <w:keepLines w:val="0"/>
        <w:shd w:val="clear" w:color="auto" w:fill="auto"/>
        <w:bidi w:val="0"/>
        <w:spacing w:before="0" w:after="120"/>
        <w:ind w:left="740" w:right="0" w:hanging="220"/>
      </w:pPr>
      <w:r>
        <w:rPr>
          <w:lang w:val="ru-RU" w:eastAsia="ru-RU" w:bidi="ru-RU"/>
          <w:w w:val="100"/>
          <w:spacing w:val="0"/>
          <w:color w:val="000000"/>
          <w:position w:val="0"/>
        </w:rPr>
        <w:t>тромб в венах или правом сердце (флеботромбоз голеней, хроническая тромбоэмболия легочной артерии).</w:t>
      </w:r>
    </w:p>
    <w:p>
      <w:pPr>
        <w:pStyle w:val="Style92"/>
        <w:widowControl w:val="0"/>
        <w:keepNext/>
        <w:keepLines/>
        <w:shd w:val="clear" w:color="auto" w:fill="auto"/>
        <w:bidi w:val="0"/>
        <w:spacing w:before="0" w:after="0"/>
        <w:ind w:left="0" w:right="0" w:firstLine="280"/>
      </w:pPr>
      <w:bookmarkStart w:id="219" w:name="bookmark219"/>
      <w:r>
        <w:rPr>
          <w:lang w:val="ru-RU" w:eastAsia="ru-RU" w:bidi="ru-RU"/>
          <w:w w:val="100"/>
          <w:spacing w:val="0"/>
          <w:color w:val="000000"/>
          <w:position w:val="0"/>
        </w:rPr>
        <w:t>Парина рефлекс</w:t>
      </w:r>
      <w:bookmarkEnd w:id="219"/>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Рефлекторная брадикардия и депонирование крови в се</w:t>
        <w:softHyphen/>
        <w:t>лезенке при раздражении рецепторов общего ствола легоч</w:t>
        <w:softHyphen/>
        <w:t>ной артерии. Этот рефлекс обеспечивает депонирование кро</w:t>
        <w:softHyphen/>
        <w:t>ви большого круга и тем самым способствует разгрузке пра</w:t>
        <w:softHyphen/>
        <w:t>вого сердца при повышенном давлении в легочной артерии.</w:t>
      </w:r>
    </w:p>
    <w:p>
      <w:pPr>
        <w:pStyle w:val="Style92"/>
        <w:widowControl w:val="0"/>
        <w:keepNext/>
        <w:keepLines/>
        <w:shd w:val="clear" w:color="auto" w:fill="auto"/>
        <w:bidi w:val="0"/>
        <w:spacing w:before="0" w:after="0"/>
        <w:ind w:left="0" w:right="0" w:firstLine="280"/>
      </w:pPr>
      <w:bookmarkStart w:id="220" w:name="bookmark220"/>
      <w:r>
        <w:rPr>
          <w:lang w:val="ru-RU" w:eastAsia="ru-RU" w:bidi="ru-RU"/>
          <w:w w:val="100"/>
          <w:spacing w:val="0"/>
          <w:color w:val="000000"/>
          <w:position w:val="0"/>
        </w:rPr>
        <w:t>Пена симптом</w:t>
      </w:r>
      <w:bookmarkEnd w:id="220"/>
    </w:p>
    <w:p>
      <w:pPr>
        <w:pStyle w:val="Style30"/>
        <w:widowControl w:val="0"/>
        <w:keepNext w:val="0"/>
        <w:keepLines w:val="0"/>
        <w:shd w:val="clear" w:color="auto" w:fill="auto"/>
        <w:bidi w:val="0"/>
        <w:spacing w:before="0" w:after="0"/>
        <w:ind w:left="0" w:right="0" w:firstLine="280"/>
      </w:pPr>
      <w:r>
        <w:pict>
          <v:shape id="_x0000_s1109" type="#_x0000_t75" style="position:absolute;margin-left:147.95pt;margin-top:739.95pt;width:209.75pt;height:14.9pt;z-index:-125829335;mso-wrap-distance-left:147.85pt;mso-wrap-distance-right:136.8pt;mso-wrap-distance-bottom:20.pt;mso-position-horizontal-relative:margin;mso-position-vertical-relative:margin" wrapcoords="0 0 21600 0 21600 21600 0 21600 0 0">
            <v:imagedata r:id="rId136" r:href="rId137"/>
            <w10:wrap type="topAndBottom" anchorx="margin" anchory="margin"/>
          </v:shape>
        </w:pict>
      </w:r>
      <w:r>
        <w:rPr>
          <w:lang w:val="ru-RU" w:eastAsia="ru-RU" w:bidi="ru-RU"/>
          <w:w w:val="100"/>
          <w:spacing w:val="0"/>
          <w:color w:val="000000"/>
          <w:position w:val="0"/>
        </w:rPr>
        <w:t>Признак экссудативного перикардита: появление кре- питирующих и глухих мелкопузырчатых хрипов в результа</w:t>
        <w:softHyphen/>
        <w:t>те частичного освобождения заднего синуса и расправле</w:t>
        <w:softHyphen/>
        <w:t>ния легкого из-за смещения кпереди жидкости в перикарде при наклоне тела больного вперед.</w:t>
      </w:r>
      <w:r>
        <w:br w:type="page"/>
      </w:r>
    </w:p>
    <w:p>
      <w:pPr>
        <w:pStyle w:val="Style92"/>
        <w:widowControl w:val="0"/>
        <w:keepNext/>
        <w:keepLines/>
        <w:shd w:val="clear" w:color="auto" w:fill="auto"/>
        <w:bidi w:val="0"/>
        <w:spacing w:before="0" w:after="0"/>
        <w:ind w:left="0" w:right="0" w:firstLine="280"/>
      </w:pPr>
      <w:bookmarkStart w:id="221" w:name="bookmark221"/>
      <w:r>
        <w:rPr>
          <w:lang w:val="ru-RU" w:eastAsia="ru-RU" w:bidi="ru-RU"/>
          <w:w w:val="100"/>
          <w:spacing w:val="0"/>
          <w:color w:val="000000"/>
          <w:position w:val="0"/>
        </w:rPr>
        <w:t>Перемежающейся хромоты симптом</w:t>
      </w:r>
      <w:bookmarkEnd w:id="22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нарушения кровообращения в сосудистом бас</w:t>
        <w:softHyphen/>
        <w:t>сейне нижних конечностей: появление болей в ногах и вы</w:t>
        <w:softHyphen/>
        <w:t>нужденные остановки при ходьбе, могут наблюдаться судо</w:t>
        <w:softHyphen/>
        <w:t>роги мышц голеней (у детей характерны ночные судороги мышц голеней).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Наблюдается при коарктации аорты.</w:t>
      </w:r>
    </w:p>
    <w:p>
      <w:pPr>
        <w:pStyle w:val="Style92"/>
        <w:widowControl w:val="0"/>
        <w:keepNext/>
        <w:keepLines/>
        <w:shd w:val="clear" w:color="auto" w:fill="auto"/>
        <w:bidi w:val="0"/>
        <w:spacing w:before="0" w:after="0"/>
        <w:ind w:left="0" w:right="0" w:firstLine="280"/>
      </w:pPr>
      <w:bookmarkStart w:id="222" w:name="bookmark222"/>
      <w:r>
        <w:rPr>
          <w:lang w:val="ru-RU" w:eastAsia="ru-RU" w:bidi="ru-RU"/>
          <w:w w:val="100"/>
          <w:spacing w:val="0"/>
          <w:color w:val="000000"/>
          <w:position w:val="0"/>
        </w:rPr>
        <w:t>Переса симптом</w:t>
      </w:r>
      <w:bookmarkEnd w:id="222"/>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аневризмы аорты: над грудиной выслушивает</w:t>
        <w:softHyphen/>
        <w:t>ся шум трения при поднимании и опускании больным рук.</w:t>
      </w:r>
    </w:p>
    <w:p>
      <w:pPr>
        <w:pStyle w:val="Style92"/>
        <w:widowControl w:val="0"/>
        <w:keepNext/>
        <w:keepLines/>
        <w:shd w:val="clear" w:color="auto" w:fill="auto"/>
        <w:bidi w:val="0"/>
        <w:spacing w:before="0" w:after="0"/>
        <w:ind w:left="0" w:right="0" w:firstLine="280"/>
      </w:pPr>
      <w:bookmarkStart w:id="223" w:name="bookmark223"/>
      <w:r>
        <w:rPr>
          <w:lang w:val="ru-RU" w:eastAsia="ru-RU" w:bidi="ru-RU"/>
          <w:w w:val="100"/>
          <w:spacing w:val="0"/>
          <w:color w:val="000000"/>
          <w:position w:val="0"/>
        </w:rPr>
        <w:t>«Перочинного ножа» симптом</w:t>
      </w:r>
      <w:bookmarkEnd w:id="223"/>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мышечной гипотонии при ревматической хо</w:t>
        <w:softHyphen/>
        <w:t>рее: нога, согнутая в коленном и тазобедренном суставах, без напряжения пригибается к брюшной стенке.</w:t>
      </w:r>
    </w:p>
    <w:p>
      <w:pPr>
        <w:pStyle w:val="Style92"/>
        <w:widowControl w:val="0"/>
        <w:keepNext/>
        <w:keepLines/>
        <w:shd w:val="clear" w:color="auto" w:fill="auto"/>
        <w:bidi w:val="0"/>
        <w:spacing w:before="0" w:after="0"/>
        <w:ind w:left="0" w:right="0" w:firstLine="280"/>
      </w:pPr>
      <w:bookmarkStart w:id="224" w:name="bookmark224"/>
      <w:r>
        <w:rPr>
          <w:lang w:val="ru-RU" w:eastAsia="ru-RU" w:bidi="ru-RU"/>
          <w:w w:val="100"/>
          <w:spacing w:val="0"/>
          <w:color w:val="000000"/>
          <w:position w:val="0"/>
        </w:rPr>
        <w:t xml:space="preserve">Пинса симптом </w:t>
      </w:r>
      <w:r>
        <w:rPr>
          <w:lang w:val="en-US" w:eastAsia="en-US" w:bidi="en-US"/>
          <w:w w:val="100"/>
          <w:spacing w:val="0"/>
          <w:color w:val="000000"/>
          <w:position w:val="0"/>
        </w:rPr>
        <w:t>(Pins)</w:t>
      </w:r>
      <w:bookmarkEnd w:id="224"/>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экссудативного перикардита: притупленный легочный звук с тимпаническим оттенком ниже угла левой лопатки, обусловленный сдавлением тканей легкого растя</w:t>
        <w:softHyphen/>
        <w:t>нутым перикардом.</w:t>
      </w:r>
    </w:p>
    <w:p>
      <w:pPr>
        <w:pStyle w:val="Style92"/>
        <w:widowControl w:val="0"/>
        <w:keepNext/>
        <w:keepLines/>
        <w:shd w:val="clear" w:color="auto" w:fill="auto"/>
        <w:bidi w:val="0"/>
        <w:spacing w:before="0" w:after="0"/>
        <w:ind w:left="0" w:right="0" w:firstLine="280"/>
      </w:pPr>
      <w:bookmarkStart w:id="225" w:name="bookmark225"/>
      <w:r>
        <w:rPr>
          <w:lang w:val="ru-RU" w:eastAsia="ru-RU" w:bidi="ru-RU"/>
          <w:w w:val="100"/>
          <w:spacing w:val="0"/>
          <w:color w:val="000000"/>
          <w:position w:val="0"/>
        </w:rPr>
        <w:t xml:space="preserve">Пинса симптом </w:t>
      </w:r>
      <w:r>
        <w:rPr>
          <w:lang w:val="en-US" w:eastAsia="en-US" w:bidi="en-US"/>
          <w:w w:val="100"/>
          <w:spacing w:val="0"/>
          <w:color w:val="000000"/>
          <w:position w:val="0"/>
        </w:rPr>
        <w:t>I (Pins)</w:t>
      </w:r>
      <w:bookmarkEnd w:id="225"/>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экссудативного перикардита: если больной на</w:t>
        <w:softHyphen/>
        <w:t>клоняется вперед до соприкосновения коленей с грудью, то обычно исчезают перкуторные симптомы, могущие симу</w:t>
        <w:softHyphen/>
        <w:t>лировать плевральный выпот.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Пинеса симптом (син. кожно-грудинный симптом)</w:t>
      </w:r>
    </w:p>
    <w:p>
      <w:pPr>
        <w:pStyle w:val="Style30"/>
        <w:widowControl w:val="0"/>
        <w:keepNext w:val="0"/>
        <w:keepLines w:val="0"/>
        <w:shd w:val="clear" w:color="auto" w:fill="auto"/>
        <w:bidi w:val="0"/>
        <w:spacing w:before="0" w:after="209"/>
        <w:ind w:left="0" w:right="0" w:firstLine="280"/>
      </w:pPr>
      <w:r>
        <w:rPr>
          <w:lang w:val="ru-RU" w:eastAsia="ru-RU" w:bidi="ru-RU"/>
          <w:w w:val="100"/>
          <w:spacing w:val="0"/>
          <w:color w:val="000000"/>
          <w:position w:val="0"/>
        </w:rPr>
        <w:t>Охлаждение и иногда побледнение кожи поверхности грудной клетки, прилегающей к передней стенке сердца, вскоре после возникшего инфаркта миокарда, наблюдается продолжительное время (неделями и даже месяцами).</w:t>
      </w:r>
    </w:p>
    <w:p>
      <w:pPr>
        <w:pStyle w:val="Style92"/>
        <w:widowControl w:val="0"/>
        <w:keepNext/>
        <w:keepLines/>
        <w:shd w:val="clear" w:color="auto" w:fill="auto"/>
        <w:bidi w:val="0"/>
        <w:spacing w:before="0" w:after="0" w:line="180" w:lineRule="exact"/>
        <w:ind w:left="0" w:right="0" w:firstLine="280"/>
      </w:pPr>
      <w:bookmarkStart w:id="226" w:name="bookmark226"/>
      <w:r>
        <w:rPr>
          <w:lang w:val="ru-RU" w:eastAsia="ru-RU" w:bidi="ru-RU"/>
          <w:w w:val="100"/>
          <w:spacing w:val="0"/>
          <w:color w:val="000000"/>
          <w:position w:val="0"/>
        </w:rPr>
        <w:t>Пиотена симптом</w:t>
      </w:r>
      <w:bookmarkEnd w:id="226"/>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 xml:space="preserve">Признак расширения аорты: расширение перкуторного притупления дуги аорты от рукоятки грудины до хряща </w:t>
      </w:r>
      <w:r>
        <w:rPr>
          <w:lang w:val="en-US" w:eastAsia="en-US" w:bidi="en-US"/>
          <w:w w:val="100"/>
          <w:spacing w:val="0"/>
          <w:color w:val="000000"/>
          <w:position w:val="0"/>
        </w:rPr>
        <w:t xml:space="preserve">III </w:t>
      </w:r>
      <w:r>
        <w:rPr>
          <w:lang w:val="ru-RU" w:eastAsia="ru-RU" w:bidi="ru-RU"/>
          <w:w w:val="100"/>
          <w:spacing w:val="0"/>
          <w:color w:val="000000"/>
          <w:position w:val="0"/>
        </w:rPr>
        <w:t>ребра справа.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Пляски каротид симптом (син. танец каротид, пляска сонных артерий)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недостаточности аортального клапана, может также наблюдаться при гиперкинетическом кардиальном синдроме: отчетливо видимая на шее пульсация общих сон</w:t>
        <w:softHyphen/>
        <w:t>ных артерий.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Пляски миндалин симптом </w:t>
      </w:r>
      <w:r>
        <w:rPr>
          <w:lang w:val="en-US" w:eastAsia="en-US" w:bidi="en-US"/>
          <w:w w:val="100"/>
          <w:spacing w:val="0"/>
          <w:color w:val="000000"/>
          <w:position w:val="0"/>
        </w:rPr>
        <w:t>(«la danse des amygdales»)</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недостаточности аортального клапана: быстрое приподнимание гипертрофированных миндалин, синхрон</w:t>
        <w:softHyphen/>
        <w:t>ное с систолой.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Подвижное сердце </w:t>
      </w:r>
      <w:r>
        <w:rPr>
          <w:lang w:val="en-US" w:eastAsia="en-US" w:bidi="en-US"/>
          <w:w w:val="100"/>
          <w:spacing w:val="0"/>
          <w:color w:val="000000"/>
          <w:position w:val="0"/>
        </w:rPr>
        <w:t>(cor mobile)</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Повышенная подвижность сердца при укладывании на правый и левый бок; признак частичного или полного от</w:t>
        <w:softHyphen/>
        <w:t>сутствия перикарда, иногда наблюдается у детей после бы</w:t>
        <w:softHyphen/>
        <w:t>строго похудания.</w:t>
      </w:r>
    </w:p>
    <w:p>
      <w:pPr>
        <w:pStyle w:val="Style92"/>
        <w:widowControl w:val="0"/>
        <w:keepNext/>
        <w:keepLines/>
        <w:shd w:val="clear" w:color="auto" w:fill="auto"/>
        <w:bidi w:val="0"/>
        <w:spacing w:before="0" w:after="0"/>
        <w:ind w:left="0" w:right="0" w:firstLine="280"/>
      </w:pPr>
      <w:bookmarkStart w:id="227" w:name="bookmark227"/>
      <w:r>
        <w:rPr>
          <w:lang w:val="ru-RU" w:eastAsia="ru-RU" w:bidi="ru-RU"/>
          <w:w w:val="100"/>
          <w:spacing w:val="0"/>
          <w:color w:val="000000"/>
          <w:position w:val="0"/>
        </w:rPr>
        <w:t>Положительный венный пульс</w:t>
      </w:r>
      <w:bookmarkEnd w:id="22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недостаточности правого желудочка: выражен</w:t>
        <w:softHyphen/>
        <w:t>ная пульсация шейных вен, совпадающая с пульсацией сонных артерий.</w:t>
      </w:r>
    </w:p>
    <w:p>
      <w:pPr>
        <w:pStyle w:val="Style30"/>
        <w:widowControl w:val="0"/>
        <w:keepNext w:val="0"/>
        <w:keepLines w:val="0"/>
        <w:shd w:val="clear" w:color="auto" w:fill="auto"/>
        <w:bidi w:val="0"/>
        <w:spacing w:before="0" w:after="180"/>
        <w:ind w:left="0" w:right="0" w:firstLine="280"/>
      </w:pPr>
      <w:r>
        <w:br w:type="column"/>
      </w:r>
      <w:r>
        <w:rPr>
          <w:lang w:val="en-US" w:eastAsia="en-US" w:bidi="en-US"/>
          <w:w w:val="100"/>
          <w:spacing w:val="0"/>
          <w:color w:val="000000"/>
          <w:position w:val="0"/>
        </w:rPr>
        <w:t xml:space="preserve">NB. </w:t>
      </w:r>
      <w:r>
        <w:rPr>
          <w:lang w:val="ru-RU" w:eastAsia="ru-RU" w:bidi="ru-RU"/>
          <w:w w:val="100"/>
          <w:spacing w:val="0"/>
          <w:color w:val="000000"/>
          <w:position w:val="0"/>
        </w:rPr>
        <w:t>В норме пульсация вен на шее обычно слабо выра</w:t>
        <w:softHyphen/>
        <w:t>жена и не совпадает с пульсом сонной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Поля симптом </w:t>
      </w:r>
      <w:r>
        <w:rPr>
          <w:lang w:val="en-US" w:eastAsia="en-US" w:bidi="en-US"/>
          <w:w w:val="100"/>
          <w:spacing w:val="0"/>
          <w:color w:val="000000"/>
          <w:position w:val="0"/>
        </w:rPr>
        <w:t>(Paul)</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экссудативного перикардита: слабый верху</w:t>
        <w:softHyphen/>
        <w:t>шечный толчок с сильной пульсацией остальных отделов сердечной области.</w:t>
      </w:r>
    </w:p>
    <w:p>
      <w:pPr>
        <w:pStyle w:val="Style92"/>
        <w:widowControl w:val="0"/>
        <w:keepNext/>
        <w:keepLines/>
        <w:shd w:val="clear" w:color="auto" w:fill="auto"/>
        <w:bidi w:val="0"/>
        <w:spacing w:before="0" w:after="0"/>
        <w:ind w:left="0" w:right="0" w:firstLine="280"/>
      </w:pPr>
      <w:bookmarkStart w:id="228" w:name="bookmark228"/>
      <w:r>
        <w:rPr>
          <w:lang w:val="ru-RU" w:eastAsia="ru-RU" w:bidi="ru-RU"/>
          <w:w w:val="100"/>
          <w:spacing w:val="0"/>
          <w:color w:val="000000"/>
          <w:position w:val="0"/>
        </w:rPr>
        <w:t>Попова симптом</w:t>
      </w:r>
      <w:bookmarkEnd w:id="228"/>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Наблюдается при митральном стенозе, когда увеличен</w:t>
        <w:softHyphen/>
        <w:t>ное левое предсердие, сдавливая подключичную артерию, приводит к тому, что пульс на левой руке имеет меньшее на - полнение.</w:t>
      </w:r>
    </w:p>
    <w:p>
      <w:pPr>
        <w:pStyle w:val="Style92"/>
        <w:widowControl w:val="0"/>
        <w:keepNext/>
        <w:keepLines/>
        <w:shd w:val="clear" w:color="auto" w:fill="auto"/>
        <w:bidi w:val="0"/>
        <w:spacing w:before="0" w:after="0"/>
        <w:ind w:left="0" w:right="0" w:firstLine="280"/>
      </w:pPr>
      <w:bookmarkStart w:id="229" w:name="bookmark229"/>
      <w:r>
        <w:rPr>
          <w:lang w:val="ru-RU" w:eastAsia="ru-RU" w:bidi="ru-RU"/>
          <w:w w:val="100"/>
          <w:spacing w:val="0"/>
          <w:color w:val="000000"/>
          <w:position w:val="0"/>
        </w:rPr>
        <w:t>Попова-Савельева симптом</w:t>
      </w:r>
      <w:bookmarkEnd w:id="229"/>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стеноза левого атриовентрикулярного отвер</w:t>
        <w:softHyphen/>
        <w:t>стия: ослабление пульса на левой лучевой артерии при по</w:t>
        <w:softHyphen/>
        <w:t>вороте лежа на левый бок.</w:t>
      </w:r>
    </w:p>
    <w:p>
      <w:pPr>
        <w:pStyle w:val="Style92"/>
        <w:widowControl w:val="0"/>
        <w:keepNext/>
        <w:keepLines/>
        <w:shd w:val="clear" w:color="auto" w:fill="auto"/>
        <w:bidi w:val="0"/>
        <w:spacing w:before="0" w:after="0"/>
        <w:ind w:left="0" w:right="0" w:firstLine="280"/>
      </w:pPr>
      <w:bookmarkStart w:id="230" w:name="bookmark230"/>
      <w:r>
        <w:rPr>
          <w:lang w:val="ru-RU" w:eastAsia="ru-RU" w:bidi="ru-RU"/>
          <w:w w:val="100"/>
          <w:spacing w:val="0"/>
          <w:color w:val="000000"/>
          <w:position w:val="0"/>
        </w:rPr>
        <w:t>Постперикардотомный синдром</w:t>
      </w:r>
      <w:bookmarkEnd w:id="230"/>
    </w:p>
    <w:p>
      <w:pPr>
        <w:pStyle w:val="Style30"/>
        <w:numPr>
          <w:ilvl w:val="0"/>
          <w:numId w:val="2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Постперикардотомный синдром наблюдается у боль</w:t>
        <w:softHyphen/>
        <w:t>ных, перенесших кардиохирургическую операцию, затрагивавшую полость перикарда.</w:t>
      </w:r>
    </w:p>
    <w:p>
      <w:pPr>
        <w:pStyle w:val="Style30"/>
        <w:numPr>
          <w:ilvl w:val="0"/>
          <w:numId w:val="2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Примерно у 30% больных, перенесших перкардиото- мию, через 1-4 недели после операции наблюдается атака острого экссудативного перикардита, сопро</w:t>
        <w:softHyphen/>
        <w:t>вождаемая лихорадкой.</w:t>
      </w:r>
    </w:p>
    <w:p>
      <w:pPr>
        <w:pStyle w:val="Style30"/>
        <w:numPr>
          <w:ilvl w:val="0"/>
          <w:numId w:val="25"/>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Максимально отсроченные сроки появления постпе</w:t>
        <w:softHyphen/>
        <w:t>рикардотомного синдрома — 6 месяцев.</w:t>
      </w:r>
    </w:p>
    <w:p>
      <w:pPr>
        <w:pStyle w:val="Style30"/>
        <w:numPr>
          <w:ilvl w:val="0"/>
          <w:numId w:val="25"/>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Обычно наличие перикардиального выпота сопровож</w:t>
        <w:softHyphen/>
        <w:t>дается наличием экссудата в плевральной полости.</w:t>
      </w:r>
    </w:p>
    <w:p>
      <w:pPr>
        <w:pStyle w:val="Style30"/>
        <w:numPr>
          <w:ilvl w:val="0"/>
          <w:numId w:val="25"/>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 клиническом анализе крови отмечается умеренный полиморфонуклеарный лейкоцитоз.</w:t>
      </w:r>
    </w:p>
    <w:p>
      <w:pPr>
        <w:pStyle w:val="Style30"/>
        <w:numPr>
          <w:ilvl w:val="0"/>
          <w:numId w:val="25"/>
        </w:numPr>
        <w:tabs>
          <w:tab w:leader="none" w:pos="520"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При иммунологическом исследовании определяется наличие антикардиальных антител и у 70% — наличие антител к вирусам коксаки В, аденовирусам или ци- томегаловирусам.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Потена симптом </w:t>
      </w:r>
      <w:r>
        <w:rPr>
          <w:lang w:val="en-US" w:eastAsia="en-US" w:bidi="en-US"/>
          <w:w w:val="100"/>
          <w:spacing w:val="0"/>
          <w:color w:val="000000"/>
          <w:position w:val="0"/>
        </w:rPr>
        <w:t>I (Potain)</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выпотного перикардита: увеличение абсолют</w:t>
        <w:softHyphen/>
        <w:t>ной и исчезновение относительной сердечной тупости при выпотном перикардите.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Потена симптом </w:t>
      </w:r>
      <w:r>
        <w:rPr>
          <w:lang w:val="en-US" w:eastAsia="en-US" w:bidi="en-US"/>
          <w:w w:val="100"/>
          <w:spacing w:val="0"/>
          <w:color w:val="000000"/>
          <w:position w:val="0"/>
        </w:rPr>
        <w:t>II (Potain)</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расширения аорты: металлический оттенок II тона сердца.</w:t>
      </w:r>
    </w:p>
    <w:p>
      <w:pPr>
        <w:pStyle w:val="Style92"/>
        <w:widowControl w:val="0"/>
        <w:keepNext/>
        <w:keepLines/>
        <w:shd w:val="clear" w:color="auto" w:fill="auto"/>
        <w:bidi w:val="0"/>
        <w:spacing w:before="0" w:after="0"/>
        <w:ind w:left="0" w:right="0" w:firstLine="280"/>
      </w:pPr>
      <w:bookmarkStart w:id="231" w:name="bookmark231"/>
      <w:r>
        <w:rPr>
          <w:lang w:val="ru-RU" w:eastAsia="ru-RU" w:bidi="ru-RU"/>
          <w:w w:val="100"/>
          <w:spacing w:val="0"/>
          <w:color w:val="000000"/>
          <w:position w:val="0"/>
        </w:rPr>
        <w:t xml:space="preserve">Потена симптомокомплекс </w:t>
      </w:r>
      <w:r>
        <w:rPr>
          <w:lang w:val="en-US" w:eastAsia="en-US" w:bidi="en-US"/>
          <w:w w:val="100"/>
          <w:spacing w:val="0"/>
          <w:color w:val="000000"/>
          <w:position w:val="0"/>
        </w:rPr>
        <w:t>(Potain)</w:t>
      </w:r>
      <w:bookmarkEnd w:id="231"/>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Застой крови в правом желудочке сердца и в легких реф</w:t>
        <w:softHyphen/>
        <w:t>лекторного происхождения во время сильной боли у людей с заболеваниями желудка или желчных путей.</w:t>
      </w:r>
    </w:p>
    <w:p>
      <w:pPr>
        <w:pStyle w:val="Style92"/>
        <w:widowControl w:val="0"/>
        <w:keepNext/>
        <w:keepLines/>
        <w:shd w:val="clear" w:color="auto" w:fill="auto"/>
        <w:bidi w:val="0"/>
        <w:spacing w:before="0" w:after="0"/>
        <w:ind w:left="0" w:right="0" w:firstLine="280"/>
      </w:pPr>
      <w:bookmarkStart w:id="232" w:name="bookmark232"/>
      <w:r>
        <w:rPr>
          <w:lang w:val="ru-RU" w:eastAsia="ru-RU" w:bidi="ru-RU"/>
          <w:w w:val="100"/>
          <w:spacing w:val="0"/>
          <w:color w:val="000000"/>
          <w:position w:val="0"/>
        </w:rPr>
        <w:t>Протопопова симптомокомплекс</w:t>
      </w:r>
      <w:bookmarkEnd w:id="232"/>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Комплекс симпатикотонических симптомов: тахикар</w:t>
        <w:softHyphen/>
        <w:t>дия, расширение зрачков, запоры, сухой язык.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Прямой спины симптом (син. плоской спины симптом)</w:t>
      </w:r>
    </w:p>
    <w:p>
      <w:pPr>
        <w:pStyle w:val="Style30"/>
        <w:widowControl w:val="0"/>
        <w:keepNext w:val="0"/>
        <w:keepLines w:val="0"/>
        <w:shd w:val="clear" w:color="auto" w:fill="auto"/>
        <w:bidi w:val="0"/>
        <w:spacing w:before="0" w:after="0"/>
        <w:ind w:left="0" w:right="0" w:firstLine="280"/>
      </w:pPr>
      <w:r>
        <w:pict>
          <v:shape id="_x0000_s1110" type="#_x0000_t75" style="position:absolute;margin-left:136.8pt;margin-top:740.2pt;width:209.75pt;height:14.9pt;z-index:-125829334;mso-wrap-distance-left:136.8pt;mso-wrap-distance-right:148.1pt;mso-wrap-distance-bottom:20.pt;mso-position-horizontal-relative:margin;mso-position-vertical-relative:margin" wrapcoords="0 0 21600 0 21600 21600 0 21600 0 0">
            <v:imagedata r:id="rId138" r:href="rId139"/>
            <w10:wrap type="topAndBottom" anchorx="margin" anchory="margin"/>
          </v:shape>
        </w:pict>
      </w:r>
      <w:r>
        <w:rPr>
          <w:lang w:val="ru-RU" w:eastAsia="ru-RU" w:bidi="ru-RU"/>
          <w:w w:val="100"/>
          <w:spacing w:val="0"/>
          <w:color w:val="000000"/>
          <w:position w:val="0"/>
        </w:rPr>
        <w:t>Характеризуется отсутствием физиологического кифоза в грудном отделе позвоночника, уменьшением переднезад</w:t>
        <w:softHyphen/>
        <w:t>него размера грудной клетки и выпрямлением пояснично</w:t>
        <w:softHyphen/>
        <w:t>го лордоза. Со стороны сердца — пролапс митрального клапана.</w:t>
      </w:r>
      <w:r>
        <w:br w:type="page"/>
      </w:r>
    </w:p>
    <w:p>
      <w:pPr>
        <w:pStyle w:val="Style92"/>
        <w:widowControl w:val="0"/>
        <w:keepNext/>
        <w:keepLines/>
        <w:shd w:val="clear" w:color="auto" w:fill="auto"/>
        <w:bidi w:val="0"/>
        <w:spacing w:before="0" w:after="0"/>
        <w:ind w:left="0" w:right="0" w:firstLine="280"/>
      </w:pPr>
      <w:bookmarkStart w:id="233" w:name="bookmark233"/>
      <w:r>
        <w:rPr>
          <w:lang w:val="ru-RU" w:eastAsia="ru-RU" w:bidi="ru-RU"/>
          <w:w w:val="100"/>
          <w:spacing w:val="0"/>
          <w:color w:val="000000"/>
          <w:position w:val="0"/>
        </w:rPr>
        <w:t>Псевдокоарктация аорты</w:t>
      </w:r>
      <w:bookmarkEnd w:id="233"/>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Деформация аорты, аналогичная классической коаркта- ции, без препятствия кровотоку, так как имеется простое удлинение и извилистость аорты.</w:t>
      </w:r>
    </w:p>
    <w:p>
      <w:pPr>
        <w:pStyle w:val="Style92"/>
        <w:widowControl w:val="0"/>
        <w:keepNext/>
        <w:keepLines/>
        <w:shd w:val="clear" w:color="auto" w:fill="auto"/>
        <w:bidi w:val="0"/>
        <w:spacing w:before="0" w:after="0"/>
        <w:ind w:left="0" w:right="0" w:firstLine="280"/>
      </w:pPr>
      <w:bookmarkStart w:id="234" w:name="bookmark234"/>
      <w:r>
        <w:rPr>
          <w:lang w:val="ru-RU" w:eastAsia="ru-RU" w:bidi="ru-RU"/>
          <w:w w:val="100"/>
          <w:spacing w:val="0"/>
          <w:color w:val="000000"/>
          <w:position w:val="0"/>
        </w:rPr>
        <w:t>Пушечный тон Стражеско</w:t>
      </w:r>
      <w:bookmarkEnd w:id="234"/>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полной атриовентрикулярной блокады и других нарушений ритма сердца при совпадении систолы предсер</w:t>
        <w:softHyphen/>
        <w:t>дий и желудочков: резко усиленный первый тон сердца.</w:t>
      </w:r>
    </w:p>
    <w:p>
      <w:pPr>
        <w:pStyle w:val="Style92"/>
        <w:widowControl w:val="0"/>
        <w:keepNext/>
        <w:keepLines/>
        <w:shd w:val="clear" w:color="auto" w:fill="auto"/>
        <w:bidi w:val="0"/>
        <w:spacing w:before="0" w:after="0"/>
        <w:ind w:left="0" w:right="0" w:firstLine="280"/>
      </w:pPr>
      <w:bookmarkStart w:id="235" w:name="bookmark235"/>
      <w:r>
        <w:rPr>
          <w:lang w:val="ru-RU" w:eastAsia="ru-RU" w:bidi="ru-RU"/>
          <w:w w:val="100"/>
          <w:spacing w:val="0"/>
          <w:color w:val="000000"/>
          <w:position w:val="0"/>
        </w:rPr>
        <w:t>Рейно синдром</w:t>
      </w:r>
      <w:bookmarkEnd w:id="235"/>
    </w:p>
    <w:p>
      <w:pPr>
        <w:pStyle w:val="Style30"/>
        <w:numPr>
          <w:ilvl w:val="0"/>
          <w:numId w:val="25"/>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Симптомокомплекс, наблюдающийся у больных с системной красной волчанкой, склеродермией, склеротическими и токсическими формами артерии</w:t>
        <w:softHyphen/>
        <w:t>тов, первичной легочной гипертензии.</w:t>
      </w:r>
    </w:p>
    <w:p>
      <w:pPr>
        <w:pStyle w:val="Style30"/>
        <w:numPr>
          <w:ilvl w:val="0"/>
          <w:numId w:val="25"/>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Вазомоторный невроз — выраженный спазм, а затем ва</w:t>
        <w:softHyphen/>
        <w:t>зодилатация, симметричность поражения пальцев кис</w:t>
        <w:softHyphen/>
        <w:t>тей и стоп, изменение цвета кожи — мертвенно-бледная окраска, сменяющаяся на синюшную или розовую, особенно под влиянием эмоций, напряжения, холода.</w:t>
      </w:r>
    </w:p>
    <w:p>
      <w:pPr>
        <w:pStyle w:val="Style30"/>
        <w:numPr>
          <w:ilvl w:val="0"/>
          <w:numId w:val="25"/>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Значительно чаще встречается на верхних конечнос</w:t>
        <w:softHyphen/>
        <w:t>тях и лице.</w:t>
      </w:r>
    </w:p>
    <w:p>
      <w:pPr>
        <w:pStyle w:val="Style30"/>
        <w:numPr>
          <w:ilvl w:val="0"/>
          <w:numId w:val="25"/>
        </w:numPr>
        <w:tabs>
          <w:tab w:leader="none" w:pos="515"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Язвенно -некротические процессы развиваются толь</w:t>
        <w:softHyphen/>
        <w:t>ко в случаях острого тромбоза или длительного спаз</w:t>
        <w:softHyphen/>
        <w:t>ма артериоло-капиллярной системы.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Рейтера симптом (син. «василька» симптом)</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Наблюдается при длительном лечении наперстянкой (сердечными гликозидами), когда появляются расстрой</w:t>
        <w:softHyphen/>
        <w:t>ства цветоощущения: мелкие неподвижные звездочки тем</w:t>
        <w:softHyphen/>
        <w:t>но-голубой окраски в поле зрения.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Риверо-Корвало симптом </w:t>
      </w:r>
      <w:r>
        <w:rPr>
          <w:lang w:val="en-US" w:eastAsia="en-US" w:bidi="en-US"/>
          <w:w w:val="100"/>
          <w:spacing w:val="0"/>
          <w:color w:val="000000"/>
          <w:position w:val="0"/>
        </w:rPr>
        <w:t>(Rivero-Corvallo)</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Способствует выявлению пороков трехстворчатого кла</w:t>
        <w:softHyphen/>
        <w:t>пана: усиление аускультативных явлений при задержке ды</w:t>
        <w:softHyphen/>
        <w:t>хания на высоте глубокого вдоха.</w:t>
      </w:r>
    </w:p>
    <w:p>
      <w:pPr>
        <w:pStyle w:val="Style92"/>
        <w:widowControl w:val="0"/>
        <w:keepNext/>
        <w:keepLines/>
        <w:shd w:val="clear" w:color="auto" w:fill="auto"/>
        <w:bidi w:val="0"/>
        <w:spacing w:before="0" w:after="0"/>
        <w:ind w:left="0" w:right="0" w:firstLine="280"/>
      </w:pPr>
      <w:bookmarkStart w:id="236" w:name="bookmark236"/>
      <w:r>
        <w:rPr>
          <w:lang w:val="ru-RU" w:eastAsia="ru-RU" w:bidi="ru-RU"/>
          <w:w w:val="100"/>
          <w:spacing w:val="0"/>
          <w:color w:val="000000"/>
          <w:position w:val="0"/>
        </w:rPr>
        <w:t xml:space="preserve">Ригеля симптом </w:t>
      </w:r>
      <w:r>
        <w:rPr>
          <w:lang w:val="en-US" w:eastAsia="en-US" w:bidi="en-US"/>
          <w:w w:val="100"/>
          <w:spacing w:val="0"/>
          <w:color w:val="000000"/>
          <w:position w:val="0"/>
        </w:rPr>
        <w:t>(I) (Riegel)</w:t>
      </w:r>
      <w:bookmarkEnd w:id="236"/>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констриктивного перикардита: верхушечный толчок, визуально определяемый на высоте глубокого вдоха.</w:t>
      </w:r>
    </w:p>
    <w:p>
      <w:pPr>
        <w:pStyle w:val="Style92"/>
        <w:widowControl w:val="0"/>
        <w:keepNext/>
        <w:keepLines/>
        <w:shd w:val="clear" w:color="auto" w:fill="auto"/>
        <w:bidi w:val="0"/>
        <w:spacing w:before="0" w:after="0"/>
        <w:ind w:left="0" w:right="0" w:firstLine="280"/>
      </w:pPr>
      <w:bookmarkStart w:id="237" w:name="bookmark237"/>
      <w:r>
        <w:rPr>
          <w:lang w:val="ru-RU" w:eastAsia="ru-RU" w:bidi="ru-RU"/>
          <w:w w:val="100"/>
          <w:spacing w:val="0"/>
          <w:color w:val="000000"/>
          <w:position w:val="0"/>
        </w:rPr>
        <w:t xml:space="preserve">Ригеля симптом </w:t>
      </w:r>
      <w:r>
        <w:rPr>
          <w:lang w:val="en-US" w:eastAsia="en-US" w:bidi="en-US"/>
          <w:w w:val="100"/>
          <w:spacing w:val="0"/>
          <w:color w:val="000000"/>
          <w:position w:val="0"/>
        </w:rPr>
        <w:t>(II) (Riegel)</w:t>
      </w:r>
      <w:bookmarkEnd w:id="237"/>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выпотного перикардита: исчезновение пульса на лучевой артерии при глубоком выдохе.</w:t>
      </w:r>
    </w:p>
    <w:p>
      <w:pPr>
        <w:pStyle w:val="Style92"/>
        <w:widowControl w:val="0"/>
        <w:keepNext/>
        <w:keepLines/>
        <w:shd w:val="clear" w:color="auto" w:fill="auto"/>
        <w:bidi w:val="0"/>
        <w:spacing w:before="0" w:after="0"/>
        <w:ind w:left="0" w:right="0" w:firstLine="280"/>
      </w:pPr>
      <w:bookmarkStart w:id="238" w:name="bookmark238"/>
      <w:r>
        <w:rPr>
          <w:lang w:val="ru-RU" w:eastAsia="ru-RU" w:bidi="ru-RU"/>
          <w:w w:val="100"/>
          <w:spacing w:val="0"/>
          <w:color w:val="000000"/>
          <w:position w:val="0"/>
        </w:rPr>
        <w:t xml:space="preserve">Ригеля симптом </w:t>
      </w:r>
      <w:r>
        <w:rPr>
          <w:lang w:val="en-US" w:eastAsia="en-US" w:bidi="en-US"/>
          <w:w w:val="100"/>
          <w:spacing w:val="0"/>
          <w:color w:val="000000"/>
          <w:position w:val="0"/>
        </w:rPr>
        <w:t>(III) (Riegel)</w:t>
      </w:r>
      <w:bookmarkEnd w:id="238"/>
    </w:p>
    <w:p>
      <w:pPr>
        <w:pStyle w:val="Style30"/>
        <w:widowControl w:val="0"/>
        <w:keepNext w:val="0"/>
        <w:keepLines w:val="0"/>
        <w:shd w:val="clear" w:color="auto" w:fill="auto"/>
        <w:bidi w:val="0"/>
        <w:spacing w:before="0" w:after="209"/>
        <w:ind w:left="0" w:right="0" w:firstLine="280"/>
      </w:pPr>
      <w:r>
        <w:rPr>
          <w:lang w:val="ru-RU" w:eastAsia="ru-RU" w:bidi="ru-RU"/>
          <w:w w:val="100"/>
          <w:spacing w:val="0"/>
          <w:color w:val="000000"/>
          <w:position w:val="0"/>
        </w:rPr>
        <w:t>Признак поражения миокарда или нарушенной иннер</w:t>
        <w:softHyphen/>
        <w:t>вации сердца: уменьшение (иногда исчезновение) дыха</w:t>
        <w:softHyphen/>
        <w:t>тельной аритмии.</w:t>
      </w:r>
    </w:p>
    <w:p>
      <w:pPr>
        <w:pStyle w:val="Style30"/>
        <w:widowControl w:val="0"/>
        <w:keepNext w:val="0"/>
        <w:keepLines w:val="0"/>
        <w:shd w:val="clear" w:color="auto" w:fill="auto"/>
        <w:bidi w:val="0"/>
        <w:spacing w:before="0" w:after="0" w:line="180" w:lineRule="exact"/>
        <w:ind w:left="0" w:right="0" w:firstLine="280"/>
      </w:pPr>
      <w:r>
        <w:rPr>
          <w:lang w:val="ru-RU" w:eastAsia="ru-RU" w:bidi="ru-RU"/>
          <w:w w:val="100"/>
          <w:spacing w:val="0"/>
          <w:color w:val="000000"/>
          <w:position w:val="0"/>
        </w:rPr>
        <w:t xml:space="preserve">Рисса симптом </w:t>
      </w:r>
      <w:r>
        <w:rPr>
          <w:lang w:val="en-US" w:eastAsia="en-US" w:bidi="en-US"/>
          <w:w w:val="100"/>
          <w:spacing w:val="0"/>
          <w:color w:val="000000"/>
          <w:position w:val="0"/>
        </w:rPr>
        <w:t>(Riess)</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Непостоянный признак констриктивного перикардита, обусловленный образованием перикардиально-диафраг</w:t>
        <w:softHyphen/>
        <w:t>мальных и внутрибрюшинных сращений: громкие, с метал</w:t>
        <w:softHyphen/>
        <w:t>лическим оттенком тоны сердца, выслушиваемые над обла</w:t>
        <w:softHyphen/>
        <w:t>стью проекции желудка.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Ритма перепела симптом (син. Боткина ритм перепела симптом)</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сужения левого атриовентрикулярного отвер</w:t>
        <w:softHyphen/>
        <w:t>стия: раздвоение второго тона, выслушиваемое над верхуш</w:t>
        <w:softHyphen/>
        <w:t>кой сердца и в точке Боткина-Эрба, обусловлено появлени</w:t>
        <w:softHyphen/>
        <w:br w:type="column"/>
        <w:t>ем дополнительного тона (щелчка) открытия митрального клапана. Этот трехчленный ритм напоминает звук, издава</w:t>
        <w:softHyphen/>
        <w:t>емый перепелом.</w:t>
      </w:r>
    </w:p>
    <w:p>
      <w:pPr>
        <w:pStyle w:val="Style92"/>
        <w:widowControl w:val="0"/>
        <w:keepNext/>
        <w:keepLines/>
        <w:shd w:val="clear" w:color="auto" w:fill="auto"/>
        <w:bidi w:val="0"/>
        <w:spacing w:before="0" w:after="0"/>
        <w:ind w:left="0" w:right="0" w:firstLine="280"/>
      </w:pPr>
      <w:bookmarkStart w:id="239" w:name="bookmark239"/>
      <w:r>
        <w:rPr>
          <w:lang w:val="ru-RU" w:eastAsia="ru-RU" w:bidi="ru-RU"/>
          <w:w w:val="100"/>
          <w:spacing w:val="0"/>
          <w:color w:val="000000"/>
          <w:position w:val="0"/>
        </w:rPr>
        <w:t>Розенгейма симптом</w:t>
      </w:r>
      <w:bookmarkEnd w:id="239"/>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левосторонних плевро -перикардиальных спа</w:t>
        <w:softHyphen/>
        <w:t>ек: сильное потягивание левой реберной дуги кнаружи вы</w:t>
        <w:softHyphen/>
        <w:t>зывает сильную глубокую боль.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Ротча симптом </w:t>
      </w:r>
      <w:r>
        <w:rPr>
          <w:lang w:val="en-US" w:eastAsia="en-US" w:bidi="en-US"/>
          <w:w w:val="100"/>
          <w:spacing w:val="0"/>
          <w:color w:val="000000"/>
          <w:position w:val="0"/>
        </w:rPr>
        <w:t>(Rotch)</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выпотного перикардита: смещение абсолютной сердечной тупости вправо от грудины в пятом межреберье.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Сабати симптом </w:t>
      </w:r>
      <w:r>
        <w:rPr>
          <w:lang w:val="en-US" w:eastAsia="en-US" w:bidi="en-US"/>
          <w:w w:val="100"/>
          <w:spacing w:val="0"/>
          <w:color w:val="000000"/>
          <w:position w:val="0"/>
        </w:rPr>
        <w:t>(Sabathie)</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затрудненного оттока крови через верхнюю по - лую вену: набухание яремных вен. Может наблюдаться при аортите, аневризме аорты.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Сазмена симптом </w:t>
      </w:r>
      <w:r>
        <w:rPr>
          <w:lang w:val="en-US" w:eastAsia="en-US" w:bidi="en-US"/>
          <w:w w:val="100"/>
          <w:spacing w:val="0"/>
          <w:color w:val="000000"/>
          <w:position w:val="0"/>
        </w:rPr>
        <w:t>(Suzman)</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коарктации аорты: если стоящий больной на</w:t>
        <w:softHyphen/>
        <w:t>клоняется вперед и его руки свободно свисают, то на боко</w:t>
        <w:softHyphen/>
        <w:t>вых поверхностях туловища и на спине удается прощупать пульсирующие коллатеральные артерии.</w:t>
      </w:r>
    </w:p>
    <w:p>
      <w:pPr>
        <w:pStyle w:val="Style92"/>
        <w:widowControl w:val="0"/>
        <w:keepNext/>
        <w:keepLines/>
        <w:shd w:val="clear" w:color="auto" w:fill="auto"/>
        <w:bidi w:val="0"/>
        <w:spacing w:before="0" w:after="0"/>
        <w:ind w:left="0" w:right="0" w:firstLine="280"/>
      </w:pPr>
      <w:bookmarkStart w:id="240" w:name="bookmark240"/>
      <w:r>
        <w:rPr>
          <w:lang w:val="ru-RU" w:eastAsia="ru-RU" w:bidi="ru-RU"/>
          <w:w w:val="100"/>
          <w:spacing w:val="0"/>
          <w:color w:val="000000"/>
          <w:position w:val="0"/>
        </w:rPr>
        <w:t>Сали-Чудновского симптом</w:t>
      </w:r>
      <w:bookmarkEnd w:id="240"/>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экстраперикардиальных сращений: имитация сильного верхушечного толчка в период диастолы (отрица</w:t>
        <w:softHyphen/>
        <w:t>тельный сердечный толчок).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Сансома I симптом </w:t>
      </w:r>
      <w:r>
        <w:rPr>
          <w:lang w:val="en-US" w:eastAsia="en-US" w:bidi="en-US"/>
          <w:w w:val="100"/>
          <w:spacing w:val="0"/>
          <w:color w:val="000000"/>
          <w:position w:val="0"/>
        </w:rPr>
        <w:t>(Sansom)</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выпотного перикардита: расширение границ сердечной тупости во втором-третьем межреберьях.</w:t>
      </w:r>
    </w:p>
    <w:p>
      <w:pPr>
        <w:pStyle w:val="Style92"/>
        <w:widowControl w:val="0"/>
        <w:keepNext/>
        <w:keepLines/>
        <w:shd w:val="clear" w:color="auto" w:fill="auto"/>
        <w:bidi w:val="0"/>
        <w:spacing w:before="0" w:after="0"/>
        <w:ind w:left="0" w:right="0" w:firstLine="280"/>
      </w:pPr>
      <w:bookmarkStart w:id="241" w:name="bookmark241"/>
      <w:r>
        <w:rPr>
          <w:lang w:val="ru-RU" w:eastAsia="ru-RU" w:bidi="ru-RU"/>
          <w:w w:val="100"/>
          <w:spacing w:val="0"/>
          <w:color w:val="000000"/>
          <w:position w:val="0"/>
        </w:rPr>
        <w:t xml:space="preserve">Сансома </w:t>
      </w:r>
      <w:r>
        <w:rPr>
          <w:lang w:val="en-US" w:eastAsia="en-US" w:bidi="en-US"/>
          <w:w w:val="100"/>
          <w:spacing w:val="0"/>
          <w:color w:val="000000"/>
          <w:position w:val="0"/>
        </w:rPr>
        <w:t xml:space="preserve">II </w:t>
      </w:r>
      <w:r>
        <w:rPr>
          <w:lang w:val="ru-RU" w:eastAsia="ru-RU" w:bidi="ru-RU"/>
          <w:w w:val="100"/>
          <w:spacing w:val="0"/>
          <w:color w:val="000000"/>
          <w:position w:val="0"/>
        </w:rPr>
        <w:t xml:space="preserve">симптом </w:t>
      </w:r>
      <w:r>
        <w:rPr>
          <w:lang w:val="en-US" w:eastAsia="en-US" w:bidi="en-US"/>
          <w:w w:val="100"/>
          <w:spacing w:val="0"/>
          <w:color w:val="000000"/>
          <w:position w:val="0"/>
        </w:rPr>
        <w:t>(Sansom)</w:t>
      </w:r>
      <w:bookmarkEnd w:id="241"/>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аневризмы грудного отдела аорты: при прибли - жении стетоскопа к губам больного выслушивается шум, синхронный пульсу.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Сендерса симптом </w:t>
      </w:r>
      <w:r>
        <w:rPr>
          <w:lang w:val="en-US" w:eastAsia="en-US" w:bidi="en-US"/>
          <w:w w:val="100"/>
          <w:spacing w:val="0"/>
          <w:color w:val="000000"/>
          <w:position w:val="0"/>
        </w:rPr>
        <w:t>(Sanders)</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констриктивного перикардита: волнообразная пульсация в подложечной области.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Сердцебиения симптом </w:t>
      </w:r>
      <w:r>
        <w:rPr>
          <w:lang w:val="en-US" w:eastAsia="en-US" w:bidi="en-US"/>
          <w:w w:val="100"/>
          <w:spacing w:val="0"/>
          <w:color w:val="000000"/>
          <w:position w:val="0"/>
        </w:rPr>
        <w:t>(palpitati cordis)</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Ощущение ударов своего сердца, независимо от того, будут ли они правильными или неправильными по ритму, быстры</w:t>
        <w:softHyphen/>
        <w:t>ми, медленными или нормальными по частоте. Сердцебиение бывает при наличии и при отсутствии заболевания сердца: ве- гетососудистая дистония, неврозы, экстрасистолия, приступы пароксизмальной тахикардии, мерцательная аритмия.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Сержана симптом </w:t>
      </w:r>
      <w:r>
        <w:rPr>
          <w:lang w:val="en-US" w:eastAsia="en-US" w:bidi="en-US"/>
          <w:w w:val="100"/>
          <w:spacing w:val="0"/>
          <w:color w:val="000000"/>
          <w:position w:val="0"/>
        </w:rPr>
        <w:t>(Sergent)</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лабильности вегетативной нервной системы: стойкий красный дермографизм.</w:t>
      </w:r>
    </w:p>
    <w:p>
      <w:pPr>
        <w:pStyle w:val="Style92"/>
        <w:widowControl w:val="0"/>
        <w:keepNext/>
        <w:keepLines/>
        <w:shd w:val="clear" w:color="auto" w:fill="auto"/>
        <w:bidi w:val="0"/>
        <w:spacing w:before="0" w:after="0"/>
        <w:ind w:left="0" w:right="0" w:firstLine="280"/>
      </w:pPr>
      <w:bookmarkStart w:id="242" w:name="bookmark242"/>
      <w:r>
        <w:rPr>
          <w:lang w:val="ru-RU" w:eastAsia="ru-RU" w:bidi="ru-RU"/>
          <w:w w:val="100"/>
          <w:spacing w:val="0"/>
          <w:color w:val="000000"/>
          <w:position w:val="0"/>
        </w:rPr>
        <w:t>Сиротина-Куковерова симптом</w:t>
      </w:r>
      <w:bookmarkEnd w:id="242"/>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аневризмы аорты: появление или усиление си</w:t>
        <w:softHyphen/>
        <w:t>столического шума на аорте при поднятии рук над головой.</w:t>
      </w:r>
    </w:p>
    <w:p>
      <w:pPr>
        <w:pStyle w:val="Style92"/>
        <w:widowControl w:val="0"/>
        <w:keepNext/>
        <w:keepLines/>
        <w:shd w:val="clear" w:color="auto" w:fill="auto"/>
        <w:bidi w:val="0"/>
        <w:spacing w:before="0" w:after="0"/>
        <w:ind w:left="0" w:right="0" w:firstLine="280"/>
      </w:pPr>
      <w:bookmarkStart w:id="243" w:name="bookmark243"/>
      <w:r>
        <w:rPr>
          <w:lang w:val="ru-RU" w:eastAsia="ru-RU" w:bidi="ru-RU"/>
          <w:w w:val="100"/>
          <w:spacing w:val="0"/>
          <w:color w:val="000000"/>
          <w:position w:val="0"/>
        </w:rPr>
        <w:t>«Складной руки» симптом</w:t>
      </w:r>
      <w:bookmarkEnd w:id="243"/>
    </w:p>
    <w:p>
      <w:pPr>
        <w:pStyle w:val="Style30"/>
        <w:widowControl w:val="0"/>
        <w:keepNext w:val="0"/>
        <w:keepLines w:val="0"/>
        <w:shd w:val="clear" w:color="auto" w:fill="auto"/>
        <w:bidi w:val="0"/>
        <w:spacing w:before="0" w:after="0"/>
        <w:ind w:left="0" w:right="0" w:firstLine="280"/>
      </w:pPr>
      <w:r>
        <w:pict>
          <v:shape id="_x0000_s1111" type="#_x0000_t75" style="position:absolute;margin-left:148.2pt;margin-top:739.95pt;width:209.75pt;height:14.9pt;z-index:-125829333;mso-wrap-distance-left:148.1pt;mso-wrap-distance-right:136.55pt;mso-wrap-distance-bottom:20.pt;mso-position-horizontal-relative:margin;mso-position-vertical-relative:margin" wrapcoords="0 0 21600 0 21600 21600 0 21600 0 0">
            <v:imagedata r:id="rId140" r:href="rId141"/>
            <w10:wrap type="topAndBottom" anchorx="margin" anchory="margin"/>
          </v:shape>
        </w:pict>
      </w:r>
      <w:r>
        <w:rPr>
          <w:lang w:val="ru-RU" w:eastAsia="ru-RU" w:bidi="ru-RU"/>
          <w:w w:val="100"/>
          <w:spacing w:val="0"/>
          <w:color w:val="000000"/>
          <w:position w:val="0"/>
        </w:rPr>
        <w:t>Признак мышечной гипотонии при ревматической хо</w:t>
        <w:softHyphen/>
        <w:t>рее: нижняя треть предплечья без труда прилегает к верхней трети плеча.</w:t>
      </w:r>
      <w:r>
        <w:br w:type="page"/>
      </w:r>
    </w:p>
    <w:p>
      <w:pPr>
        <w:pStyle w:val="Style92"/>
        <w:widowControl w:val="0"/>
        <w:keepNext/>
        <w:keepLines/>
        <w:shd w:val="clear" w:color="auto" w:fill="auto"/>
        <w:bidi w:val="0"/>
        <w:spacing w:before="0" w:after="0"/>
        <w:ind w:left="0" w:right="0" w:firstLine="280"/>
      </w:pPr>
      <w:bookmarkStart w:id="244" w:name="bookmark244"/>
      <w:r>
        <w:rPr>
          <w:lang w:val="ru-RU" w:eastAsia="ru-RU" w:bidi="ru-RU"/>
          <w:w w:val="100"/>
          <w:spacing w:val="0"/>
          <w:color w:val="000000"/>
          <w:position w:val="0"/>
        </w:rPr>
        <w:t>Смита-Фишера симптом</w:t>
      </w:r>
      <w:bookmarkEnd w:id="244"/>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Выслушивание венозных шумов над рукояткой грудины и немного вправо после отклонения головы больного назад.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Сомаги симптом </w:t>
      </w:r>
      <w:r>
        <w:rPr>
          <w:lang w:val="en-US" w:eastAsia="en-US" w:bidi="en-US"/>
          <w:w w:val="100"/>
          <w:spacing w:val="0"/>
          <w:color w:val="000000"/>
          <w:position w:val="0"/>
        </w:rPr>
        <w:t>(Somagyi)</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лабильности вегетативной нервной системы: при глубоком вдохе зрачки расширяются, а при выдохе — сужаются.</w:t>
      </w:r>
    </w:p>
    <w:p>
      <w:pPr>
        <w:pStyle w:val="Style92"/>
        <w:widowControl w:val="0"/>
        <w:keepNext/>
        <w:keepLines/>
        <w:shd w:val="clear" w:color="auto" w:fill="auto"/>
        <w:bidi w:val="0"/>
        <w:spacing w:before="0" w:after="0"/>
        <w:ind w:left="0" w:right="0" w:firstLine="280"/>
      </w:pPr>
      <w:bookmarkStart w:id="245" w:name="bookmark245"/>
      <w:r>
        <w:rPr>
          <w:lang w:val="ru-RU" w:eastAsia="ru-RU" w:bidi="ru-RU"/>
          <w:w w:val="100"/>
          <w:spacing w:val="0"/>
          <w:color w:val="000000"/>
          <w:position w:val="0"/>
        </w:rPr>
        <w:t>Спонтанного дермографизма симптом</w:t>
      </w:r>
      <w:bookmarkEnd w:id="245"/>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вегетативной дистонии: появление покраснения лица, груди, шеи при психоэмоциональном напряжении.</w:t>
      </w:r>
    </w:p>
    <w:p>
      <w:pPr>
        <w:pStyle w:val="Style92"/>
        <w:widowControl w:val="0"/>
        <w:keepNext/>
        <w:keepLines/>
        <w:shd w:val="clear" w:color="auto" w:fill="auto"/>
        <w:bidi w:val="0"/>
        <w:spacing w:before="0" w:after="0"/>
        <w:ind w:left="0" w:right="0" w:firstLine="280"/>
      </w:pPr>
      <w:bookmarkStart w:id="246" w:name="bookmark246"/>
      <w:r>
        <w:rPr>
          <w:lang w:val="ru-RU" w:eastAsia="ru-RU" w:bidi="ru-RU"/>
          <w:w w:val="100"/>
          <w:spacing w:val="0"/>
          <w:color w:val="000000"/>
          <w:position w:val="0"/>
        </w:rPr>
        <w:t>Стигмы соединительнотканного дизембриогенеза</w:t>
      </w:r>
      <w:bookmarkEnd w:id="246"/>
    </w:p>
    <w:p>
      <w:pPr>
        <w:pStyle w:val="Style30"/>
        <w:numPr>
          <w:ilvl w:val="0"/>
          <w:numId w:val="25"/>
        </w:numPr>
        <w:tabs>
          <w:tab w:leader="none" w:pos="513"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Анамнестические стигмы (могут отмечаться в анамнезе, исчезают спонтанно или устраняются хирургически):</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подвывих тазобедренных суставов;</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паховые и мошоночные грыжи;</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слабость пупочного кольца.</w:t>
      </w:r>
    </w:p>
    <w:p>
      <w:pPr>
        <w:pStyle w:val="Style30"/>
        <w:numPr>
          <w:ilvl w:val="0"/>
          <w:numId w:val="25"/>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Стигмы, выявляемые при осмотре:</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астеническое телосложение;</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высокий рост;</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узкий лицевой скелет;</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«птичье» выражение лица;</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низкое расположение ушных раковин;</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прогнатизм;</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неправильный рост зубов;</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готическое небо;</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короткая шея;</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укороченное туловище;</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мышечная гипотония;</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торакальный сколиоз;</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конечности длинные, тонкие;</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воронкообразная деформация грудной клетки;</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плоская грудная клетка;</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килевидная деформация грудной клетки;</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арахнодактилия;</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сандалевидная щель;</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плоскостопие;</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вальгусная деформация нижних конечностей;</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повышенная подвижность суставов;</w:t>
      </w:r>
    </w:p>
    <w:p>
      <w:pPr>
        <w:pStyle w:val="Style30"/>
        <w:numPr>
          <w:ilvl w:val="0"/>
          <w:numId w:val="2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синдром «прямой спины»;</w:t>
      </w:r>
    </w:p>
    <w:p>
      <w:pPr>
        <w:pStyle w:val="Style30"/>
        <w:numPr>
          <w:ilvl w:val="0"/>
          <w:numId w:val="27"/>
        </w:numPr>
        <w:tabs>
          <w:tab w:leader="none" w:pos="732" w:val="left"/>
        </w:tabs>
        <w:widowControl w:val="0"/>
        <w:keepNext w:val="0"/>
        <w:keepLines w:val="0"/>
        <w:shd w:val="clear" w:color="auto" w:fill="auto"/>
        <w:bidi w:val="0"/>
        <w:spacing w:before="0" w:after="120"/>
        <w:ind w:left="500" w:right="0" w:firstLine="0"/>
      </w:pPr>
      <w:r>
        <w:rPr>
          <w:lang w:val="ru-RU" w:eastAsia="ru-RU" w:bidi="ru-RU"/>
          <w:w w:val="100"/>
          <w:spacing w:val="0"/>
          <w:color w:val="000000"/>
          <w:position w:val="0"/>
        </w:rPr>
        <w:t>миопия.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Стилла симптом </w:t>
      </w:r>
      <w:r>
        <w:rPr>
          <w:lang w:val="en-US" w:eastAsia="en-US" w:bidi="en-US"/>
          <w:w w:val="100"/>
          <w:spacing w:val="0"/>
          <w:color w:val="000000"/>
          <w:position w:val="0"/>
        </w:rPr>
        <w:t>(Steell)</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Неспецифический признак аневризмы аорты: ограни</w:t>
        <w:softHyphen/>
        <w:t>ченная пульсация передней стенки грудной клетки вне зо</w:t>
        <w:softHyphen/>
        <w:t>ны сердечного толчка.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Стокса пояс </w:t>
      </w:r>
      <w:r>
        <w:rPr>
          <w:lang w:val="en-US" w:eastAsia="en-US" w:bidi="en-US"/>
          <w:w w:val="100"/>
          <w:spacing w:val="0"/>
          <w:color w:val="000000"/>
          <w:position w:val="0"/>
        </w:rPr>
        <w:t>(Stokes)</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Расширение вен в виде пояса на грудной клетке на высо</w:t>
        <w:softHyphen/>
        <w:t>те прикрепления диафрагмы; признак недостаточности правого сердца или хронического констриктивного пери</w:t>
        <w:softHyphen/>
        <w:t>кардита, редко обнаруживается у здоровых лиц.</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Стражеско симптом («ритм галопа»)</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недостаточности левого желудочка: добавоч</w:t>
        <w:softHyphen/>
        <w:t>ный тон на верхушке сердца в прото- или мезодиастоле.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Тома симптом </w:t>
      </w:r>
      <w:r>
        <w:rPr>
          <w:lang w:val="en-US" w:eastAsia="en-US" w:bidi="en-US"/>
          <w:w w:val="100"/>
          <w:spacing w:val="0"/>
          <w:color w:val="000000"/>
          <w:position w:val="0"/>
        </w:rPr>
        <w:t>(Thomas)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вегетососудистой дистонии: при глубокой пальпации эпигастральной области появляются общая сла</w:t>
        <w:softHyphen/>
        <w:t>бость, тахикардия, повышается диастолическое артериаль</w:t>
        <w:softHyphen/>
        <w:t>ное давление.</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 xml:space="preserve">Траубе симптом (феномен Траубе) </w:t>
      </w:r>
      <w:r>
        <w:rPr>
          <w:lang w:val="en-US" w:eastAsia="en-US" w:bidi="en-US"/>
          <w:w w:val="100"/>
          <w:spacing w:val="0"/>
          <w:color w:val="000000"/>
          <w:position w:val="0"/>
        </w:rPr>
        <w:t>(Traube)</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недостаточности аортального клапана: на больших артериях (обычно над бедренной артерией) вы</w:t>
        <w:softHyphen/>
        <w:t>слушивается двойной тон вместо слышимого в норме одно - го тона.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Траубе симптом (феномен Траубе) </w:t>
      </w:r>
      <w:r>
        <w:rPr>
          <w:lang w:val="en-US" w:eastAsia="en-US" w:bidi="en-US"/>
          <w:w w:val="100"/>
          <w:spacing w:val="0"/>
          <w:color w:val="000000"/>
          <w:position w:val="0"/>
        </w:rPr>
        <w:t>(Traube)</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сухого перикардита: шум трения перикарда об</w:t>
        <w:softHyphen/>
        <w:t>наруживает трехфазность соответственно систоле предсер</w:t>
        <w:softHyphen/>
        <w:t>дий, систоле желудочков и ранней диастоле желудочков («шум паровоза»); при этом все компоненты шума одина</w:t>
        <w:softHyphen/>
        <w:t>ковы по характеру и интенсивности.</w:t>
      </w:r>
    </w:p>
    <w:p>
      <w:pPr>
        <w:pStyle w:val="Style92"/>
        <w:widowControl w:val="0"/>
        <w:keepNext/>
        <w:keepLines/>
        <w:shd w:val="clear" w:color="auto" w:fill="auto"/>
        <w:bidi w:val="0"/>
        <w:spacing w:before="0" w:after="0"/>
        <w:ind w:left="0" w:right="0" w:firstLine="280"/>
      </w:pPr>
      <w:bookmarkStart w:id="247" w:name="bookmark247"/>
      <w:r>
        <w:rPr>
          <w:lang w:val="ru-RU" w:eastAsia="ru-RU" w:bidi="ru-RU"/>
          <w:w w:val="100"/>
          <w:spacing w:val="0"/>
          <w:color w:val="000000"/>
          <w:position w:val="0"/>
        </w:rPr>
        <w:t>Филатова симптом</w:t>
      </w:r>
      <w:bookmarkEnd w:id="247"/>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ревматической хореи: невозможность долго держать язык высунутым изо рта при одновременном за</w:t>
        <w:softHyphen/>
        <w:t>крытии глаз.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Флинта симптом (шум Флинта)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Короткий пресистолический шум на верхушке сердца при недостаточности аортальных клапанов.</w:t>
      </w:r>
    </w:p>
    <w:p>
      <w:pPr>
        <w:pStyle w:val="Style92"/>
        <w:widowControl w:val="0"/>
        <w:keepNext/>
        <w:keepLines/>
        <w:shd w:val="clear" w:color="auto" w:fill="auto"/>
        <w:bidi w:val="0"/>
        <w:spacing w:before="0" w:after="0"/>
        <w:ind w:left="0" w:right="0" w:firstLine="280"/>
      </w:pPr>
      <w:bookmarkStart w:id="248" w:name="bookmark248"/>
      <w:r>
        <w:rPr>
          <w:lang w:val="ru-RU" w:eastAsia="ru-RU" w:bidi="ru-RU"/>
          <w:w w:val="100"/>
          <w:spacing w:val="0"/>
          <w:color w:val="000000"/>
          <w:position w:val="0"/>
        </w:rPr>
        <w:t>Фогельсона симптом</w:t>
      </w:r>
      <w:bookmarkEnd w:id="248"/>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фибринозного перикардита: шум трения пери</w:t>
        <w:softHyphen/>
        <w:t>карда, напоминающий «шуршание шелка», иногда шум на</w:t>
        <w:softHyphen/>
        <w:t>поминает скрип подошвы, хруст снега.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Фольгарда симптом </w:t>
      </w:r>
      <w:r>
        <w:rPr>
          <w:lang w:val="en-US" w:eastAsia="en-US" w:bidi="en-US"/>
          <w:w w:val="100"/>
          <w:spacing w:val="0"/>
          <w:color w:val="000000"/>
          <w:position w:val="0"/>
        </w:rPr>
        <w:t>(Volhard)</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Непостоянный признак констриктивного перикардита, обусловленный асинхронностью сокращений желудочков сердца и наличием плевроперикардиальных сращений: волнообразное перемещение пульсации передней стенки грудной клетки по обе стороны от срединной линии.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Францеля симптом </w:t>
      </w:r>
      <w:r>
        <w:rPr>
          <w:lang w:val="en-US" w:eastAsia="en-US" w:bidi="en-US"/>
          <w:w w:val="100"/>
          <w:spacing w:val="0"/>
          <w:color w:val="000000"/>
          <w:position w:val="0"/>
        </w:rPr>
        <w:t>(Frantzel)</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стеноза левого атриовентрикулярного (пред</w:t>
        <w:softHyphen/>
        <w:t>сердно-желудочкового) отверстия: диастолический шум над верхушкой сердца, начинающийся со вторым тоном сердца, к середине диастолы постепенно ослабевающий (или исчезающий), но затем вновь усиливающийся и сли</w:t>
        <w:softHyphen/>
        <w:t>вающийся с первым тоном следующего сердечного цикла.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Фридрейха симптом </w:t>
      </w:r>
      <w:r>
        <w:rPr>
          <w:lang w:val="en-US" w:eastAsia="en-US" w:bidi="en-US"/>
          <w:w w:val="100"/>
          <w:spacing w:val="0"/>
          <w:color w:val="000000"/>
          <w:position w:val="0"/>
        </w:rPr>
        <w:t>(Friedreich)</w:t>
      </w:r>
    </w:p>
    <w:p>
      <w:pPr>
        <w:pStyle w:val="Style30"/>
        <w:widowControl w:val="0"/>
        <w:keepNext w:val="0"/>
        <w:keepLines w:val="0"/>
        <w:shd w:val="clear" w:color="auto" w:fill="auto"/>
        <w:bidi w:val="0"/>
        <w:spacing w:before="0" w:after="209"/>
        <w:ind w:left="0" w:right="0" w:firstLine="280"/>
      </w:pPr>
      <w:r>
        <w:rPr>
          <w:lang w:val="ru-RU" w:eastAsia="ru-RU" w:bidi="ru-RU"/>
          <w:w w:val="100"/>
          <w:spacing w:val="0"/>
          <w:color w:val="000000"/>
          <w:position w:val="0"/>
        </w:rPr>
        <w:t>Признак констриктивного перикардита: спадение на</w:t>
        <w:softHyphen/>
        <w:t>бухших яремных вен в фазе диастолы сердца.</w:t>
      </w:r>
    </w:p>
    <w:p>
      <w:pPr>
        <w:pStyle w:val="Style30"/>
        <w:widowControl w:val="0"/>
        <w:keepNext w:val="0"/>
        <w:keepLines w:val="0"/>
        <w:shd w:val="clear" w:color="auto" w:fill="auto"/>
        <w:bidi w:val="0"/>
        <w:spacing w:before="0" w:after="0" w:line="180" w:lineRule="exact"/>
        <w:ind w:left="0" w:right="0" w:firstLine="280"/>
      </w:pPr>
      <w:r>
        <w:rPr>
          <w:lang w:val="ru-RU" w:eastAsia="ru-RU" w:bidi="ru-RU"/>
          <w:w w:val="100"/>
          <w:spacing w:val="0"/>
          <w:color w:val="000000"/>
          <w:position w:val="0"/>
        </w:rPr>
        <w:t xml:space="preserve">Хаммена симптом </w:t>
      </w:r>
      <w:r>
        <w:rPr>
          <w:lang w:val="en-US" w:eastAsia="en-US" w:bidi="en-US"/>
          <w:w w:val="100"/>
          <w:spacing w:val="0"/>
          <w:color w:val="000000"/>
          <w:position w:val="0"/>
        </w:rPr>
        <w:t>(Hamman)</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Патогномоничный признак пневмоперикарда: громкий хрустящий или щелкающий звук, выслушиваемый над гру</w:t>
        <w:softHyphen/>
        <w:t>диной синхронно в той или иной фазе сердечного цикла.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Хейма-Крейсига симптом </w:t>
      </w:r>
      <w:r>
        <w:rPr>
          <w:lang w:val="en-US" w:eastAsia="en-US" w:bidi="en-US"/>
          <w:w w:val="100"/>
          <w:spacing w:val="0"/>
          <w:color w:val="000000"/>
          <w:position w:val="0"/>
        </w:rPr>
        <w:t xml:space="preserve">(Heim, Kreysig) </w:t>
      </w:r>
      <w:r>
        <w:rPr>
          <w:lang w:val="ru-RU" w:eastAsia="ru-RU" w:bidi="ru-RU"/>
          <w:w w:val="100"/>
          <w:spacing w:val="0"/>
          <w:color w:val="000000"/>
          <w:position w:val="0"/>
        </w:rPr>
        <w:t>(син. Хейма признак)</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Непостоянный признак констриктивного перикардита и плевроперикардита: втяжение межреберных промежут</w:t>
        <w:softHyphen/>
        <w:t>ков в прекордиальной и левой подмышечной области во время систолы сердца.</w:t>
      </w:r>
    </w:p>
    <w:p>
      <w:pPr>
        <w:pStyle w:val="Style92"/>
        <w:widowControl w:val="0"/>
        <w:keepNext/>
        <w:keepLines/>
        <w:shd w:val="clear" w:color="auto" w:fill="auto"/>
        <w:bidi w:val="0"/>
        <w:spacing w:before="0" w:after="0"/>
        <w:ind w:left="0" w:right="0" w:firstLine="280"/>
      </w:pPr>
      <w:bookmarkStart w:id="249" w:name="bookmark249"/>
      <w:r>
        <w:rPr>
          <w:lang w:val="ru-RU" w:eastAsia="ru-RU" w:bidi="ru-RU"/>
          <w:w w:val="100"/>
          <w:spacing w:val="0"/>
          <w:color w:val="000000"/>
          <w:position w:val="0"/>
        </w:rPr>
        <w:t>Хеммена симптом</w:t>
      </w:r>
      <w:bookmarkEnd w:id="249"/>
    </w:p>
    <w:p>
      <w:pPr>
        <w:pStyle w:val="Style30"/>
        <w:widowControl w:val="0"/>
        <w:keepNext w:val="0"/>
        <w:keepLines w:val="0"/>
        <w:shd w:val="clear" w:color="auto" w:fill="auto"/>
        <w:bidi w:val="0"/>
        <w:spacing w:before="0" w:after="0"/>
        <w:ind w:left="0" w:right="0" w:firstLine="280"/>
      </w:pPr>
      <w:r>
        <w:pict>
          <v:shape id="_x0000_s1112" type="#_x0000_t75" style="position:absolute;margin-left:136.9pt;margin-top:740.2pt;width:209.75pt;height:14.9pt;z-index:-125829332;mso-wrap-distance-left:136.8pt;mso-wrap-distance-right:147.85pt;mso-wrap-distance-bottom:20.pt;mso-position-horizontal-relative:margin;mso-position-vertical-relative:margin" wrapcoords="0 0 21600 0 21600 21600 0 21600 0 0">
            <v:imagedata r:id="rId142" r:href="rId143"/>
            <w10:wrap type="topAndBottom" anchorx="margin" anchory="margin"/>
          </v:shape>
        </w:pict>
      </w:r>
      <w:r>
        <w:rPr>
          <w:lang w:val="ru-RU" w:eastAsia="ru-RU" w:bidi="ru-RU"/>
          <w:w w:val="100"/>
          <w:spacing w:val="0"/>
          <w:color w:val="000000"/>
          <w:position w:val="0"/>
        </w:rPr>
        <w:t>Хрустящий, синхронный сердечному ритму перикарди</w:t>
        <w:softHyphen/>
        <w:t>альный шум. Аускультативный признак спонтанного или травматического пневмоторакса.</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Хернига-Ломмеля симптом </w:t>
      </w:r>
      <w:r>
        <w:rPr>
          <w:lang w:val="en-US" w:eastAsia="en-US" w:bidi="en-US"/>
          <w:w w:val="100"/>
          <w:spacing w:val="0"/>
          <w:color w:val="000000"/>
          <w:position w:val="0"/>
        </w:rPr>
        <w:t>(Hemig-Lommel)</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лабильности вегетативной нервной системы: дыхательная аритмия у детей и подростков.</w:t>
      </w:r>
    </w:p>
    <w:p>
      <w:pPr>
        <w:pStyle w:val="Style92"/>
        <w:widowControl w:val="0"/>
        <w:keepNext/>
        <w:keepLines/>
        <w:shd w:val="clear" w:color="auto" w:fill="auto"/>
        <w:bidi w:val="0"/>
        <w:spacing w:before="0" w:after="0"/>
        <w:ind w:left="0" w:right="0" w:firstLine="280"/>
      </w:pPr>
      <w:bookmarkStart w:id="250" w:name="bookmark250"/>
      <w:r>
        <w:rPr>
          <w:lang w:val="ru-RU" w:eastAsia="ru-RU" w:bidi="ru-RU"/>
          <w:w w:val="100"/>
          <w:spacing w:val="0"/>
          <w:color w:val="000000"/>
          <w:position w:val="0"/>
        </w:rPr>
        <w:t>Хилла признак</w:t>
      </w:r>
      <w:bookmarkEnd w:id="250"/>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 аортальной недостаточности систолическое АД в артериях ног выше, чем в артериях рук (в норме не более 20 мм рт. 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Хиртца симптом </w:t>
      </w:r>
      <w:r>
        <w:rPr>
          <w:lang w:val="en-US" w:eastAsia="en-US" w:bidi="en-US"/>
          <w:w w:val="100"/>
          <w:spacing w:val="0"/>
          <w:color w:val="000000"/>
          <w:position w:val="0"/>
        </w:rPr>
        <w:t>(Hirtz)</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выпотного перикардита: облегчение тягостных ощущений больного при принятии положения сидя с согну</w:t>
        <w:softHyphen/>
        <w:t>тым туловищем и подтянутыми к подбородку коленями.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Холла симптом </w:t>
      </w:r>
      <w:r>
        <w:rPr>
          <w:lang w:val="en-US" w:eastAsia="en-US" w:bidi="en-US"/>
          <w:w w:val="100"/>
          <w:spacing w:val="0"/>
          <w:color w:val="000000"/>
          <w:position w:val="0"/>
        </w:rPr>
        <w:t>(Hall)</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Непостоянный признак аневризмы аорты: пальпаторно определяемое в надгрудинной ямке сотрясение трахеи в пе</w:t>
        <w:softHyphen/>
        <w:t>риод диастолы сердца.</w:t>
      </w:r>
    </w:p>
    <w:p>
      <w:pPr>
        <w:pStyle w:val="Style92"/>
        <w:widowControl w:val="0"/>
        <w:keepNext/>
        <w:keepLines/>
        <w:shd w:val="clear" w:color="auto" w:fill="auto"/>
        <w:bidi w:val="0"/>
        <w:spacing w:before="0" w:after="0"/>
        <w:ind w:left="0" w:right="0" w:firstLine="280"/>
      </w:pPr>
      <w:bookmarkStart w:id="251" w:name="bookmark251"/>
      <w:r>
        <w:rPr>
          <w:lang w:val="ru-RU" w:eastAsia="ru-RU" w:bidi="ru-RU"/>
          <w:w w:val="100"/>
          <w:spacing w:val="0"/>
          <w:color w:val="000000"/>
          <w:position w:val="0"/>
        </w:rPr>
        <w:t>«Хореической руки» симптом</w:t>
      </w:r>
      <w:bookmarkEnd w:id="251"/>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ревматической хореи: сгибание в лучезапяст</w:t>
        <w:softHyphen/>
        <w:t>ном и разгибание в пястнофаланговых и межфаланговых суставах вытянутой вперед руки.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Хоупа симптом </w:t>
      </w:r>
      <w:r>
        <w:rPr>
          <w:lang w:val="en-US" w:eastAsia="en-US" w:bidi="en-US"/>
          <w:w w:val="100"/>
          <w:spacing w:val="0"/>
          <w:color w:val="000000"/>
          <w:position w:val="0"/>
        </w:rPr>
        <w:t>(Hope)</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Непостоянный признак аневризмы аорты: одновремен</w:t>
        <w:softHyphen/>
        <w:t>ное расщепление (раздвоение) первого и второго тонов сердца, обусловленное асинхронностью сокращения желу</w:t>
        <w:softHyphen/>
        <w:t>дочков и закрытия полулунных заслонок клапанов аорты и легочного ствола.</w:t>
      </w:r>
    </w:p>
    <w:p>
      <w:pPr>
        <w:pStyle w:val="Style92"/>
        <w:widowControl w:val="0"/>
        <w:keepNext/>
        <w:keepLines/>
        <w:shd w:val="clear" w:color="auto" w:fill="auto"/>
        <w:bidi w:val="0"/>
        <w:spacing w:before="0" w:after="0"/>
        <w:ind w:left="0" w:right="0" w:firstLine="280"/>
      </w:pPr>
      <w:bookmarkStart w:id="252" w:name="bookmark252"/>
      <w:r>
        <w:rPr>
          <w:lang w:val="ru-RU" w:eastAsia="ru-RU" w:bidi="ru-RU"/>
          <w:w w:val="100"/>
          <w:spacing w:val="0"/>
          <w:color w:val="000000"/>
          <w:position w:val="0"/>
        </w:rPr>
        <w:t>Хэммена симптом</w:t>
      </w:r>
      <w:bookmarkEnd w:id="252"/>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Громкий хрустящий или щелкающий звук, выслушивае</w:t>
        <w:softHyphen/>
        <w:t>мый над грудиной синхронно в той или иной фазе сердеч</w:t>
        <w:softHyphen/>
        <w:t>ного цикла; патогномоничный симптом пневмоперикарда.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Цейки симптом </w:t>
      </w:r>
      <w:r>
        <w:rPr>
          <w:lang w:val="en-US" w:eastAsia="en-US" w:bidi="en-US"/>
          <w:w w:val="100"/>
          <w:spacing w:val="0"/>
          <w:color w:val="000000"/>
          <w:position w:val="0"/>
        </w:rPr>
        <w:t>(Cejka)</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выпотного перикардита: постоянство размеров сердечной тупости в различные фазы дыхания.</w:t>
      </w:r>
    </w:p>
    <w:p>
      <w:pPr>
        <w:pStyle w:val="Style92"/>
        <w:widowControl w:val="0"/>
        <w:keepNext/>
        <w:keepLines/>
        <w:shd w:val="clear" w:color="auto" w:fill="auto"/>
        <w:bidi w:val="0"/>
        <w:spacing w:before="0" w:after="0"/>
        <w:ind w:left="0" w:right="0" w:firstLine="280"/>
      </w:pPr>
      <w:bookmarkStart w:id="253" w:name="bookmark253"/>
      <w:r>
        <w:rPr>
          <w:lang w:val="ru-RU" w:eastAsia="ru-RU" w:bidi="ru-RU"/>
          <w:w w:val="100"/>
          <w:spacing w:val="0"/>
          <w:color w:val="000000"/>
          <w:position w:val="0"/>
        </w:rPr>
        <w:t>Черни симптом</w:t>
      </w:r>
      <w:bookmarkEnd w:id="253"/>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Признак ревматической хореи: втягивание эпигастрия (вместо выпячивания) во время вдоха.</w:t>
      </w:r>
    </w:p>
    <w:p>
      <w:pPr>
        <w:pStyle w:val="Style92"/>
        <w:widowControl w:val="0"/>
        <w:keepNext/>
        <w:keepLines/>
        <w:shd w:val="clear" w:color="auto" w:fill="auto"/>
        <w:bidi w:val="0"/>
        <w:spacing w:before="0" w:after="0"/>
        <w:ind w:left="0" w:right="0" w:firstLine="280"/>
      </w:pPr>
      <w:bookmarkStart w:id="254" w:name="bookmark254"/>
      <w:r>
        <w:rPr>
          <w:lang w:val="ru-RU" w:eastAsia="ru-RU" w:bidi="ru-RU"/>
          <w:w w:val="100"/>
          <w:spacing w:val="0"/>
          <w:color w:val="000000"/>
          <w:position w:val="0"/>
        </w:rPr>
        <w:t>Шапиро симптом</w:t>
      </w:r>
      <w:bookmarkEnd w:id="25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начальной стадии сердечной недостаточности: при переходе в положение лежа не происходит урежения пульса.</w:t>
      </w:r>
    </w:p>
    <w:p>
      <w:pPr>
        <w:pStyle w:val="Style92"/>
        <w:widowControl w:val="0"/>
        <w:keepNext/>
        <w:keepLines/>
        <w:shd w:val="clear" w:color="auto" w:fill="auto"/>
        <w:bidi w:val="0"/>
        <w:spacing w:before="0" w:after="0"/>
        <w:ind w:left="0" w:right="0" w:firstLine="280"/>
      </w:pPr>
      <w:r>
        <w:br w:type="column"/>
      </w:r>
      <w:bookmarkStart w:id="255" w:name="bookmark255"/>
      <w:r>
        <w:rPr>
          <w:lang w:val="ru-RU" w:eastAsia="ru-RU" w:bidi="ru-RU"/>
          <w:w w:val="100"/>
          <w:spacing w:val="0"/>
          <w:color w:val="000000"/>
          <w:position w:val="0"/>
        </w:rPr>
        <w:t>Шефера симптом</w:t>
      </w:r>
      <w:bookmarkEnd w:id="255"/>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ревматической хореи: напряжение большого пальца ноги при пощипывании ахиллова сухожилия.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Шкоды симптом </w:t>
      </w:r>
      <w:r>
        <w:rPr>
          <w:lang w:val="en-US" w:eastAsia="en-US" w:bidi="en-US"/>
          <w:w w:val="100"/>
          <w:spacing w:val="0"/>
          <w:color w:val="000000"/>
          <w:position w:val="0"/>
        </w:rPr>
        <w:t>(Skoda)</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констриктивного перикардита: трехчленный ритм сердца за счет дополнительного тона в протодиасто</w:t>
        <w:softHyphen/>
        <w:t>лическую фазу.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Шкоды-Уильямса симптом </w:t>
      </w:r>
      <w:r>
        <w:rPr>
          <w:lang w:val="en-US" w:eastAsia="en-US" w:bidi="en-US"/>
          <w:w w:val="100"/>
          <w:spacing w:val="0"/>
          <w:color w:val="000000"/>
          <w:position w:val="0"/>
        </w:rPr>
        <w:t>(Skoda-Williams)</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констриктивного перикардита: ограниченное втяжение верхушечного толчка во время систолы.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Эбштейна симптом </w:t>
      </w:r>
      <w:r>
        <w:rPr>
          <w:lang w:val="en-US" w:eastAsia="en-US" w:bidi="en-US"/>
          <w:w w:val="100"/>
          <w:spacing w:val="0"/>
          <w:color w:val="000000"/>
          <w:position w:val="0"/>
        </w:rPr>
        <w:t>(Ebstein)</w:t>
      </w:r>
    </w:p>
    <w:p>
      <w:pPr>
        <w:pStyle w:val="Style30"/>
        <w:widowControl w:val="0"/>
        <w:keepNext w:val="0"/>
        <w:keepLines w:val="0"/>
        <w:shd w:val="clear" w:color="auto" w:fill="auto"/>
        <w:bidi w:val="0"/>
        <w:spacing w:before="0" w:after="209"/>
        <w:ind w:left="0" w:right="0" w:firstLine="280"/>
      </w:pPr>
      <w:r>
        <w:rPr>
          <w:lang w:val="ru-RU" w:eastAsia="ru-RU" w:bidi="ru-RU"/>
          <w:w w:val="100"/>
          <w:spacing w:val="0"/>
          <w:color w:val="000000"/>
          <w:position w:val="0"/>
        </w:rPr>
        <w:t>Признак выпотного перикардита: тупой (вместо прямо</w:t>
        <w:softHyphen/>
        <w:t>го) угол между правой границей абсолютной перкуторной тупости сердца и верхней границей печеночной тупости.</w:t>
      </w:r>
    </w:p>
    <w:p>
      <w:pPr>
        <w:pStyle w:val="Style92"/>
        <w:widowControl w:val="0"/>
        <w:keepNext/>
        <w:keepLines/>
        <w:shd w:val="clear" w:color="auto" w:fill="auto"/>
        <w:bidi w:val="0"/>
        <w:spacing w:before="0" w:after="0" w:line="180" w:lineRule="exact"/>
        <w:ind w:left="0" w:right="0" w:firstLine="280"/>
      </w:pPr>
      <w:bookmarkStart w:id="256" w:name="bookmark256"/>
      <w:r>
        <w:rPr>
          <w:lang w:val="ru-RU" w:eastAsia="ru-RU" w:bidi="ru-RU"/>
          <w:w w:val="100"/>
          <w:spacing w:val="0"/>
          <w:color w:val="000000"/>
          <w:position w:val="0"/>
        </w:rPr>
        <w:t>Эварта симптом</w:t>
      </w:r>
      <w:bookmarkEnd w:id="256"/>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Признак выпотного перикардита: усиление голосового дрожания и бронхофонии, при ослаблении дыхания с бронхиальным оттенком в пределах тупости от угла левой лопатки до слияния с тупостью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Эйлера-Лильестранда симптом </w:t>
      </w:r>
      <w:r>
        <w:rPr>
          <w:lang w:val="en-US" w:eastAsia="en-US" w:bidi="en-US"/>
          <w:w w:val="100"/>
          <w:spacing w:val="0"/>
          <w:color w:val="000000"/>
          <w:position w:val="0"/>
        </w:rPr>
        <w:t xml:space="preserve">(Euler-Liljestrand) </w:t>
      </w:r>
      <w:r>
        <w:rPr>
          <w:lang w:val="ru-RU" w:eastAsia="ru-RU" w:bidi="ru-RU"/>
          <w:w w:val="100"/>
          <w:spacing w:val="0"/>
          <w:color w:val="000000"/>
          <w:position w:val="0"/>
        </w:rPr>
        <w:t>(в от</w:t>
        <w:softHyphen/>
        <w:t>ечественной медицине приоритет принадлежит Н.Н.Са</w:t>
        <w:softHyphen/>
        <w:t>вицкому, А.А.Трегубову)</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Развитие спастической реакции легочных сосудов, ле</w:t>
        <w:softHyphen/>
        <w:t>гочной гипертензии под влиянием альвеолярной гипоксе- мии. За счет указанного рефлекса предотвращается поступ</w:t>
        <w:softHyphen/>
        <w:t>ление ненасыщенной кислородом крови в большой круг кровообращения.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Эмбриокардия (син. фетальный тип сердечного ритма, часовой или маятникообразный ритм, киниклокардия, кроличий ритм)</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Ритм тонов сердца, напоминающий внутриутробный ритм сердца плода: оба тона сердца равной силы, продол</w:t>
        <w:softHyphen/>
        <w:t>жительность систолы и диастолы одинакова. Наблюдается при многих патологических состояниях: коллапс, терми</w:t>
        <w:softHyphen/>
        <w:t>нальная стадия болезней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Эрбена симптом </w:t>
      </w:r>
      <w:r>
        <w:rPr>
          <w:lang w:val="en-US" w:eastAsia="en-US" w:bidi="en-US"/>
          <w:w w:val="100"/>
          <w:spacing w:val="0"/>
          <w:color w:val="000000"/>
          <w:position w:val="0"/>
        </w:rPr>
        <w:t>(Erben)</w:t>
      </w:r>
    </w:p>
    <w:p>
      <w:pPr>
        <w:pStyle w:val="Style30"/>
        <w:widowControl w:val="0"/>
        <w:keepNext w:val="0"/>
        <w:keepLines w:val="0"/>
        <w:shd w:val="clear" w:color="auto" w:fill="auto"/>
        <w:bidi w:val="0"/>
        <w:spacing w:before="0" w:after="0"/>
        <w:ind w:left="0" w:right="0" w:firstLine="280"/>
        <w:sectPr>
          <w:type w:val="continuous"/>
          <w:pgSz w:w="11900" w:h="16840"/>
          <w:pgMar w:top="1399" w:left="1019" w:right="1011" w:bottom="1543" w:header="0" w:footer="3" w:gutter="0"/>
          <w:rtlGutter w:val="0"/>
          <w:cols w:num="2" w:space="153"/>
          <w:noEndnote/>
          <w:docGrid w:linePitch="360"/>
        </w:sectPr>
      </w:pPr>
      <w:r>
        <w:rPr>
          <w:lang w:val="ru-RU" w:eastAsia="ru-RU" w:bidi="ru-RU"/>
          <w:w w:val="100"/>
          <w:spacing w:val="0"/>
          <w:color w:val="000000"/>
          <w:position w:val="0"/>
        </w:rPr>
        <w:t>Признак повышенной возбудимости парасимпатичес</w:t>
        <w:softHyphen/>
        <w:t>кого отдела вегетативной нервной системы: при макси</w:t>
        <w:softHyphen/>
        <w:t>мальном наклоне головы и всего тела вперед замедляется пульс.</w:t>
      </w:r>
    </w:p>
    <w:p>
      <w:pPr>
        <w:widowControl w:val="0"/>
        <w:rPr>
          <w:sz w:val="2"/>
          <w:szCs w:val="2"/>
        </w:rPr>
      </w:pPr>
      <w:r>
        <w:pict>
          <v:shape id="_x0000_s1113" type="#_x0000_t202" style="position:static;width:595.pt;height:228.0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77" w:left="0" w:right="0" w:bottom="191" w:header="0" w:footer="3" w:gutter="0"/>
          <w:rtlGutter w:val="0"/>
          <w:cols w:space="720"/>
          <w:noEndnote/>
          <w:docGrid w:linePitch="360"/>
        </w:sectPr>
      </w:pPr>
    </w:p>
    <w:p>
      <w:pPr>
        <w:widowControl w:val="0"/>
        <w:spacing w:line="645" w:lineRule="exact"/>
      </w:pPr>
      <w:r>
        <w:pict>
          <v:shape id="_x0000_s1114" type="#_x0000_t75" style="position:absolute;margin-left:154.5pt;margin-top:0;width:209.75pt;height:14.9pt;z-index:-251658735;mso-wrap-distance-left:5.pt;mso-wrap-distance-right:5.pt;mso-position-horizontal-relative:margin" wrapcoords="0 0">
            <v:imagedata r:id="rId144" r:href="rId145"/>
            <w10:wrap anchorx="margin"/>
          </v:shape>
        </w:pict>
      </w:r>
    </w:p>
    <w:p>
      <w:pPr>
        <w:widowControl w:val="0"/>
        <w:rPr>
          <w:sz w:val="2"/>
          <w:szCs w:val="2"/>
        </w:rPr>
        <w:sectPr>
          <w:type w:val="continuous"/>
          <w:pgSz w:w="11900" w:h="16840"/>
          <w:pgMar w:top="1477" w:left="893" w:right="1123" w:bottom="191" w:header="0" w:footer="3" w:gutter="0"/>
          <w:rtlGutter w:val="0"/>
          <w:cols w:space="720"/>
          <w:noEndnote/>
          <w:docGrid w:linePitch="360"/>
        </w:sectPr>
      </w:pPr>
    </w:p>
    <w:p>
      <w:pPr>
        <w:pStyle w:val="Style22"/>
        <w:widowControl w:val="0"/>
        <w:keepNext w:val="0"/>
        <w:keepLines w:val="0"/>
        <w:shd w:val="clear" w:color="auto" w:fill="auto"/>
        <w:bidi w:val="0"/>
        <w:jc w:val="left"/>
        <w:spacing w:before="0" w:after="270" w:line="360" w:lineRule="exact"/>
        <w:ind w:left="2300" w:right="0" w:firstLine="0"/>
      </w:pPr>
      <w:r>
        <w:rPr>
          <w:lang w:val="ru-RU" w:eastAsia="ru-RU" w:bidi="ru-RU"/>
          <w:w w:val="100"/>
          <w:color w:val="000000"/>
          <w:position w:val="0"/>
        </w:rPr>
        <w:t>Глава II</w:t>
      </w:r>
    </w:p>
    <w:p>
      <w:pPr>
        <w:pStyle w:val="Style15"/>
        <w:widowControl w:val="0"/>
        <w:keepNext/>
        <w:keepLines/>
        <w:shd w:val="clear" w:color="auto" w:fill="auto"/>
        <w:bidi w:val="0"/>
        <w:jc w:val="left"/>
        <w:spacing w:before="0" w:after="0" w:line="340" w:lineRule="exact"/>
        <w:ind w:left="2300" w:right="0" w:firstLine="0"/>
        <w:sectPr>
          <w:headerReference w:type="even" r:id="rId146"/>
          <w:headerReference w:type="default" r:id="rId147"/>
          <w:pgSz w:w="11900" w:h="16840"/>
          <w:pgMar w:top="1800" w:left="1138" w:right="874" w:bottom="206" w:header="0" w:footer="3" w:gutter="0"/>
          <w:rtlGutter w:val="0"/>
          <w:cols w:space="720"/>
          <w:noEndnote/>
          <w:docGrid w:linePitch="360"/>
        </w:sectPr>
      </w:pPr>
      <w:bookmarkStart w:id="257" w:name="bookmark257"/>
      <w:r>
        <w:rPr>
          <w:lang w:val="ru-RU" w:eastAsia="ru-RU" w:bidi="ru-RU"/>
          <w:w w:val="100"/>
          <w:spacing w:val="0"/>
          <w:color w:val="000000"/>
          <w:position w:val="0"/>
        </w:rPr>
        <w:t>ВРОЖДЕННЫЕ ПОРОКИ СЕРДЦА</w:t>
      </w:r>
      <w:bookmarkEnd w:id="257"/>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29" w:after="29" w:line="240" w:lineRule="exact"/>
        <w:rPr>
          <w:sz w:val="19"/>
          <w:szCs w:val="19"/>
        </w:rPr>
      </w:pPr>
    </w:p>
    <w:p>
      <w:pPr>
        <w:widowControl w:val="0"/>
        <w:rPr>
          <w:sz w:val="2"/>
          <w:szCs w:val="2"/>
        </w:rPr>
        <w:sectPr>
          <w:type w:val="continuous"/>
          <w:pgSz w:w="11900" w:h="16840"/>
          <w:pgMar w:top="1579" w:left="0" w:right="0" w:bottom="1752" w:header="0" w:footer="3" w:gutter="0"/>
          <w:rtlGutter w:val="0"/>
          <w:cols w:space="720"/>
          <w:noEndnote/>
          <w:docGrid w:linePitch="360"/>
        </w:sectPr>
      </w:pPr>
    </w:p>
    <w:p>
      <w:pPr>
        <w:widowControl w:val="0"/>
        <w:rPr>
          <w:sz w:val="2"/>
          <w:szCs w:val="2"/>
        </w:rPr>
      </w:pPr>
      <w:r>
        <w:pict>
          <v:shape id="_x0000_s1117" type="#_x0000_t202" style="position:absolute;margin-left:258.05pt;margin-top:165.1pt;width:241.45pt;height:5.e-002pt;z-index:-125829331;mso-wrap-distance-left:5.pt;mso-wrap-distance-right:5.pt;mso-position-horizontal-relative:margin" filled="f" stroked="f">
            <v:textbox style="mso-fit-shape-to-text:t" inset="0,0,0,0">
              <w:txbxContent>
                <w:p>
                  <w:pPr>
                    <w:pStyle w:val="Style39"/>
                    <w:widowControl w:val="0"/>
                    <w:keepNext w:val="0"/>
                    <w:keepLines w:val="0"/>
                    <w:shd w:val="clear" w:color="auto" w:fill="auto"/>
                    <w:bidi w:val="0"/>
                    <w:spacing w:before="0" w:after="12" w:line="170" w:lineRule="exact"/>
                    <w:ind w:left="0" w:right="0" w:firstLine="0"/>
                  </w:pPr>
                  <w:r>
                    <w:rPr>
                      <w:rStyle w:val="CharStyle95"/>
                      <w:i/>
                      <w:iCs/>
                    </w:rPr>
                    <w:t>Таблица 1</w:t>
                  </w:r>
                </w:p>
                <w:p>
                  <w:pPr>
                    <w:pStyle w:val="Style96"/>
                    <w:widowControl w:val="0"/>
                    <w:keepNext w:val="0"/>
                    <w:keepLines w:val="0"/>
                    <w:shd w:val="clear" w:color="auto" w:fill="auto"/>
                    <w:bidi w:val="0"/>
                    <w:spacing w:before="0" w:after="0" w:line="180" w:lineRule="exact"/>
                    <w:ind w:left="0" w:right="0" w:firstLine="0"/>
                  </w:pPr>
                  <w:r>
                    <w:rPr>
                      <w:rStyle w:val="CharStyle97"/>
                    </w:rPr>
                    <w:t xml:space="preserve">Частота врожденных дефектов (данные </w:t>
                  </w:r>
                  <w:r>
                    <w:rPr>
                      <w:rStyle w:val="CharStyle97"/>
                      <w:lang w:val="en-US" w:eastAsia="en-US" w:bidi="en-US"/>
                    </w:rPr>
                    <w:t>March of Dimes CDC)</w:t>
                  </w:r>
                </w:p>
                <w:tbl>
                  <w:tblPr>
                    <w:tblOverlap w:val="never"/>
                    <w:tblLayout w:type="fixed"/>
                    <w:jc w:val="center"/>
                  </w:tblPr>
                  <w:tblGrid>
                    <w:gridCol w:w="3346"/>
                    <w:gridCol w:w="1483"/>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Вариант врожденного дефекта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Частота</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Врожденные пороки сердца</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1/110</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Пилороспазм</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1/250</w:t>
                        </w:r>
                      </w:p>
                    </w:tc>
                  </w:tr>
                  <w:tr>
                    <w:trPr>
                      <w:trHeight w:val="235"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Врожденный вывих бедра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1/400</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Серповидноклеточная анемия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1/400</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Церебральный паралич</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1/500</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Заячья губа/волчья пасть</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1/730</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Косолапость, изуродованная ступня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1/735</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Синдром Дауна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1/900</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Плодный алкогольный синдром</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1/1000</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Глухота</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1/1000</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Расщелина позвоночника</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1/2000</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Кистозная болезнь</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1/2000</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Хрупкость костей</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1/2000</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Врожденная ВИЧ-инфекция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1/2400</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Отсутствие/недоразвитие конечностей</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1/2500</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Болезнь Дюшена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1/3500</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Анэнцефалия</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1/8000</w:t>
                        </w:r>
                      </w:p>
                    </w:tc>
                  </w:tr>
                  <w:tr>
                    <w:trPr>
                      <w:trHeight w:val="245" w:hRule="exact"/>
                    </w:trPr>
                    <w:tc>
                      <w:tcPr>
                        <w:shd w:val="clear" w:color="auto" w:fill="FFFFFF"/>
                        <w:tcBorders>
                          <w:left w:val="single" w:sz="4"/>
                          <w:top w:val="single" w:sz="4"/>
                          <w:bottom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Врожденная краснуха</w:t>
                        </w:r>
                      </w:p>
                    </w:tc>
                    <w:tc>
                      <w:tcPr>
                        <w:shd w:val="clear" w:color="auto" w:fill="FFFFFF"/>
                        <w:tcBorders>
                          <w:left w:val="single" w:sz="4"/>
                          <w:right w:val="single" w:sz="4"/>
                          <w:top w:val="single" w:sz="4"/>
                          <w:bottom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1/100 000</w:t>
                        </w:r>
                      </w:p>
                    </w:tc>
                  </w:tr>
                </w:tbl>
                <w:p>
                  <w:pPr>
                    <w:widowControl w:val="0"/>
                    <w:rPr>
                      <w:sz w:val="2"/>
                      <w:szCs w:val="2"/>
                    </w:rPr>
                  </w:pPr>
                </w:p>
              </w:txbxContent>
            </v:textbox>
            <w10:wrap type="square" side="left" anchorx="margin"/>
          </v:shape>
        </w:pict>
      </w:r>
      <w:r>
        <w:pict>
          <v:shape id="_x0000_s1118" type="#_x0000_t75" style="position:absolute;margin-left:142.1pt;margin-top:607.7pt;width:209.75pt;height:14.9pt;z-index:-125829330;mso-wrap-distance-left:135.85pt;mso-wrap-distance-right:149.05pt;mso-wrap-distance-bottom:10.8pt;mso-position-horizontal-relative:margin" wrapcoords="0 0 21600 0 21600 21600 0 21600 0 0">
            <v:imagedata r:id="rId148" r:href="rId149"/>
            <w10:wrap type="topAndBottom" anchorx="margin"/>
          </v:shape>
        </w:pict>
      </w:r>
    </w:p>
    <w:p>
      <w:pPr>
        <w:pStyle w:val="Style28"/>
        <w:widowControl w:val="0"/>
        <w:keepNext/>
        <w:keepLines/>
        <w:shd w:val="clear" w:color="auto" w:fill="auto"/>
        <w:bidi w:val="0"/>
        <w:jc w:val="left"/>
        <w:spacing w:before="0" w:after="118" w:line="288" w:lineRule="exact"/>
        <w:ind w:left="0" w:right="0" w:firstLine="0"/>
      </w:pPr>
      <w:bookmarkStart w:id="258" w:name="bookmark258"/>
      <w:r>
        <w:rPr>
          <w:lang w:val="ru-RU" w:eastAsia="ru-RU" w:bidi="ru-RU"/>
          <w:w w:val="100"/>
          <w:spacing w:val="0"/>
          <w:color w:val="000000"/>
          <w:position w:val="0"/>
        </w:rPr>
        <w:t>Генетические и средовые аспекты врожденных пороков сердца</w:t>
      </w:r>
      <w:bookmarkEnd w:id="258"/>
    </w:p>
    <w:p>
      <w:pPr>
        <w:pStyle w:val="Style92"/>
        <w:widowControl w:val="0"/>
        <w:keepNext/>
        <w:keepLines/>
        <w:shd w:val="clear" w:color="auto" w:fill="auto"/>
        <w:bidi w:val="0"/>
        <w:spacing w:before="0" w:after="0"/>
        <w:ind w:left="500" w:right="0" w:hanging="240"/>
      </w:pPr>
      <w:bookmarkStart w:id="259" w:name="bookmark259"/>
      <w:r>
        <w:rPr>
          <w:lang w:val="ru-RU" w:eastAsia="ru-RU" w:bidi="ru-RU"/>
          <w:w w:val="100"/>
          <w:spacing w:val="0"/>
          <w:color w:val="000000"/>
          <w:position w:val="0"/>
        </w:rPr>
        <w:t>Введение</w:t>
      </w:r>
      <w:bookmarkEnd w:id="259"/>
    </w:p>
    <w:p>
      <w:pPr>
        <w:pStyle w:val="Style30"/>
        <w:numPr>
          <w:ilvl w:val="0"/>
          <w:numId w:val="25"/>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Во второй половине XX века наблюдается тенденция к возрастанию частоты врожденных пороков сердца, особенно в развитых странах. Многие ученые связы</w:t>
        <w:softHyphen/>
        <w:t>вают это с усилением воздействия на человека небла</w:t>
        <w:softHyphen/>
        <w:t>гоприятных факторов окружающей среды (химичес</w:t>
        <w:softHyphen/>
        <w:t>ких, физических, биологических тератогенов), кото</w:t>
        <w:softHyphen/>
        <w:t>рые, действуя на организм плода, вызывают форми</w:t>
        <w:softHyphen/>
        <w:t>рование пороков развития. При этом сердечно-сосу</w:t>
        <w:softHyphen/>
        <w:t>дистая система, которая уже на ранних сроках геста</w:t>
        <w:softHyphen/>
        <w:t>ции берет на себя функцию поддержания гемодина</w:t>
        <w:softHyphen/>
        <w:t>мики у плода, оказывается весьма чувствительной к патогенному влиянию.</w:t>
      </w:r>
    </w:p>
    <w:p>
      <w:pPr>
        <w:pStyle w:val="Style30"/>
        <w:numPr>
          <w:ilvl w:val="0"/>
          <w:numId w:val="25"/>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Интерес к тератогенному воздействию на сердеч</w:t>
        <w:softHyphen/>
        <w:t>но-сосудистую систему плода был необычайно высок в начале 60-х годов в связи с «талидомидной трагеди</w:t>
        <w:softHyphen/>
        <w:t>ей», однако и сейчас внимание к данной проблеме не ослабевает.</w:t>
      </w:r>
    </w:p>
    <w:p>
      <w:pPr>
        <w:pStyle w:val="Style30"/>
        <w:numPr>
          <w:ilvl w:val="0"/>
          <w:numId w:val="25"/>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Примерно 90% пороков сердца имеют мультифакто</w:t>
        <w:softHyphen/>
        <w:t>риальную природу, т.е. в их возникновении играет роль сочетанное воздействие наследственных факто</w:t>
        <w:softHyphen/>
        <w:t>ров и факторов окружающей среды; 8% обусловлены хромосомными аномалиями или дефектом одного ге</w:t>
        <w:softHyphen/>
        <w:t>на, 2% приходятся исключительно на факторы окру</w:t>
        <w:softHyphen/>
        <w:t>жающей среды (физические, химические, биологиче</w:t>
        <w:softHyphen/>
        <w:t>ские тератогены). Таким образом, тератогены играют большую роль в возникновении 92% пороков разви</w:t>
        <w:softHyphen/>
        <w:t>тия сердечно-сосудистой системы, и если действие ге</w:t>
        <w:softHyphen/>
        <w:t>нетических факторов на развивающийся плод на со</w:t>
        <w:softHyphen/>
        <w:t>временном этапе предотвратить практически невоз</w:t>
        <w:softHyphen/>
        <w:t>можно, то препятствовать тератогенному влиянию факторов окружающей среды можно и необходимо.</w:t>
      </w:r>
    </w:p>
    <w:p>
      <w:pPr>
        <w:pStyle w:val="Style30"/>
        <w:numPr>
          <w:ilvl w:val="0"/>
          <w:numId w:val="25"/>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Профилактика врожденных пороков сердца у детей является общегосударственной задачей, поскольку данная патология имеет серьезный прогноз как в от</w:t>
        <w:softHyphen/>
        <w:t>ношении предстоящей жизни, так и социальной адаптации больного. Разработка мер профилактики и распространение знаний о них могут снизить, а иногда и предотвратить формирование врожденно</w:t>
        <w:softHyphen/>
        <w:t>го порока сердца у ребенка.</w:t>
      </w:r>
    </w:p>
    <w:p>
      <w:pPr>
        <w:pStyle w:val="Style30"/>
        <w:numPr>
          <w:ilvl w:val="0"/>
          <w:numId w:val="25"/>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Для того чтобы кардиологи и практические врачи могли квалифицированно провести профилактичес</w:t>
        <w:softHyphen/>
        <w:t>кие мероприятия с целью предотвращения формиро</w:t>
        <w:softHyphen/>
        <w:t>вания врожденного порока сердца у ребенка, необхо</w:t>
        <w:softHyphen/>
        <w:t>димы следующие знания:</w:t>
      </w:r>
    </w:p>
    <w:p>
      <w:pPr>
        <w:pStyle w:val="Style30"/>
        <w:numPr>
          <w:ilvl w:val="0"/>
          <w:numId w:val="27"/>
        </w:numPr>
        <w:tabs>
          <w:tab w:leader="none" w:pos="73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распространенность врожденных пороков сердца;</w:t>
      </w:r>
    </w:p>
    <w:p>
      <w:pPr>
        <w:pStyle w:val="Style30"/>
        <w:numPr>
          <w:ilvl w:val="0"/>
          <w:numId w:val="27"/>
        </w:numPr>
        <w:tabs>
          <w:tab w:leader="none" w:pos="73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критические периоды! морфогенеза сердца;</w:t>
      </w:r>
    </w:p>
    <w:p>
      <w:pPr>
        <w:pStyle w:val="Style30"/>
        <w:numPr>
          <w:ilvl w:val="0"/>
          <w:numId w:val="27"/>
        </w:numPr>
        <w:tabs>
          <w:tab w:leader="none" w:pos="735" w:val="left"/>
        </w:tabs>
        <w:widowControl w:val="0"/>
        <w:keepNext w:val="0"/>
        <w:keepLines w:val="0"/>
        <w:shd w:val="clear" w:color="auto" w:fill="auto"/>
        <w:bidi w:val="0"/>
        <w:spacing w:before="0" w:after="0"/>
        <w:ind w:left="500" w:right="0" w:firstLine="0"/>
      </w:pPr>
      <w:r>
        <w:br w:type="column"/>
      </w:r>
      <w:r>
        <w:rPr>
          <w:lang w:val="ru-RU" w:eastAsia="ru-RU" w:bidi="ru-RU"/>
          <w:w w:val="100"/>
          <w:spacing w:val="0"/>
          <w:color w:val="000000"/>
          <w:position w:val="0"/>
        </w:rPr>
        <w:t>патогенез врожденных пороков сердца;</w:t>
      </w:r>
    </w:p>
    <w:p>
      <w:pPr>
        <w:pStyle w:val="Style30"/>
        <w:numPr>
          <w:ilvl w:val="0"/>
          <w:numId w:val="27"/>
        </w:numPr>
        <w:tabs>
          <w:tab w:leader="none" w:pos="735" w:val="left"/>
        </w:tabs>
        <w:widowControl w:val="0"/>
        <w:keepNext w:val="0"/>
        <w:keepLines w:val="0"/>
        <w:shd w:val="clear" w:color="auto" w:fill="auto"/>
        <w:bidi w:val="0"/>
        <w:jc w:val="left"/>
        <w:spacing w:before="0" w:after="101"/>
        <w:ind w:left="740" w:right="0" w:hanging="240"/>
      </w:pPr>
      <w:r>
        <w:rPr>
          <w:lang w:val="ru-RU" w:eastAsia="ru-RU" w:bidi="ru-RU"/>
          <w:w w:val="100"/>
          <w:spacing w:val="0"/>
          <w:color w:val="000000"/>
          <w:position w:val="0"/>
        </w:rPr>
        <w:t>генетические и средовые факторы возникновения врожденных пороков сердца.</w:t>
      </w:r>
    </w:p>
    <w:p>
      <w:pPr>
        <w:pStyle w:val="Style48"/>
        <w:widowControl w:val="0"/>
        <w:keepNext/>
        <w:keepLines/>
        <w:shd w:val="clear" w:color="auto" w:fill="auto"/>
        <w:bidi w:val="0"/>
        <w:jc w:val="left"/>
        <w:spacing w:before="0" w:after="79" w:line="240" w:lineRule="exact"/>
        <w:ind w:left="0" w:right="0" w:firstLine="0"/>
      </w:pPr>
      <w:bookmarkStart w:id="260" w:name="bookmark260"/>
      <w:r>
        <w:rPr>
          <w:lang w:val="ru-RU" w:eastAsia="ru-RU" w:bidi="ru-RU"/>
          <w:w w:val="100"/>
          <w:spacing w:val="0"/>
          <w:color w:val="000000"/>
          <w:position w:val="0"/>
        </w:rPr>
        <w:t>Распространенность врожденных пороков сердца</w:t>
      </w:r>
      <w:bookmarkEnd w:id="26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Правильно оценить риск развития врожденного порока сердца, а также вовремя определить диагностическую так</w:t>
        <w:softHyphen/>
        <w:t>тику ведения больного помогают сведения о распростра</w:t>
        <w:softHyphen/>
        <w:t>ненности пороков развития сердечно-сосудистой системы.</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Среди всех врожденных дефектов врожденные пороки сердца являются самыми распространенными. Для сравне</w:t>
        <w:softHyphen/>
        <w:t xml:space="preserve">ния частоты приводим сведения из источника </w:t>
      </w:r>
      <w:r>
        <w:rPr>
          <w:lang w:val="en-US" w:eastAsia="en-US" w:bidi="en-US"/>
          <w:w w:val="100"/>
          <w:spacing w:val="0"/>
          <w:color w:val="000000"/>
          <w:position w:val="0"/>
        </w:rPr>
        <w:t xml:space="preserve">March of Dimes CDC </w:t>
      </w:r>
      <w:r>
        <w:rPr>
          <w:lang w:val="ru-RU" w:eastAsia="ru-RU" w:bidi="ru-RU"/>
          <w:w w:val="100"/>
          <w:spacing w:val="0"/>
          <w:color w:val="000000"/>
          <w:position w:val="0"/>
        </w:rPr>
        <w:t xml:space="preserve">(табл. </w:t>
      </w:r>
      <w:r>
        <w:rPr>
          <w:lang w:val="en-US" w:eastAsia="en-US" w:bidi="en-US"/>
          <w:w w:val="100"/>
          <w:spacing w:val="0"/>
          <w:color w:val="000000"/>
          <w:position w:val="0"/>
        </w:rPr>
        <w:t>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Врожденные пороки сердца (ВПС) наблюдаются с час</w:t>
        <w:softHyphen/>
        <w:t>тотой 8 на 1000, или 1 на 125 живорожденных новорожден</w:t>
        <w:softHyphen/>
        <w:t>ных. Однако истинная частота представляется значительно более высокой, если учитывать сведения по мертворожден</w:t>
        <w:softHyphen/>
        <w:t>ным детям и данные по спонтанным абортам. Недостаточ</w:t>
        <w:softHyphen/>
        <w:t>ное оснащение современной диагностической техникой кардиологических клиник также приводит к заниженной оценке частоты встречаемости врожденных пороков серд</w:t>
        <w:softHyphen/>
        <w:t>ца. Например, использование эхокардиографической диа</w:t>
        <w:softHyphen/>
        <w:t>гностики позволяет на 82% увеличить выявление таких по</w:t>
        <w:softHyphen/>
        <w:t>роков, как дефект межжелудочковой перегородки и откры-</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тый артериальный проток </w:t>
      </w:r>
      <w:r>
        <w:rPr>
          <w:lang w:val="en-US" w:eastAsia="en-US" w:bidi="en-US"/>
          <w:w w:val="100"/>
          <w:spacing w:val="0"/>
          <w:color w:val="000000"/>
          <w:position w:val="0"/>
        </w:rPr>
        <w:t xml:space="preserve">(Manetti A. et al.,1993), </w:t>
      </w:r>
      <w:r>
        <w:rPr>
          <w:lang w:val="ru-RU" w:eastAsia="ru-RU" w:bidi="ru-RU"/>
          <w:w w:val="100"/>
          <w:spacing w:val="0"/>
          <w:color w:val="000000"/>
          <w:position w:val="0"/>
        </w:rPr>
        <w:t>и пример</w:t>
        <w:softHyphen/>
        <w:t>но на 50% увеличить выявление любых пороков сердца по сравнению с использованием других методов исследова</w:t>
        <w:softHyphen/>
        <w:t xml:space="preserve">ния </w:t>
      </w:r>
      <w:r>
        <w:rPr>
          <w:lang w:val="en-US" w:eastAsia="en-US" w:bidi="en-US"/>
          <w:w w:val="100"/>
          <w:spacing w:val="0"/>
          <w:color w:val="000000"/>
          <w:position w:val="0"/>
        </w:rPr>
        <w:t xml:space="preserve">(Wilson PD. et al.,1993). </w:t>
      </w:r>
      <w:r>
        <w:rPr>
          <w:lang w:val="ru-RU" w:eastAsia="ru-RU" w:bidi="ru-RU"/>
          <w:w w:val="100"/>
          <w:spacing w:val="0"/>
          <w:color w:val="000000"/>
          <w:position w:val="0"/>
        </w:rPr>
        <w:t>Примерно у одной трети детей с дефектом межжелудочковой перегородки или открытым артериальным протоком происходит спонтанное закрытие дефекта в раннем возрасте, поэтому диагностику таких по</w:t>
        <w:softHyphen/>
        <w:t>роков для установления истинной их частоты необходимо производить как можно раньше.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сегодняшний день известно более 35 типов различ</w:t>
        <w:softHyphen/>
        <w:t>ных врожденных пороков сердца. Чаще всего встречается дефект межжелудочковой перегородки (от 30 до 50% всех врожденных пороков сердца), открытый артериальный проток выявляется в 10% случаев. Удельный вес дефекта межпредсердной перегородки, стеноза легочной артерии, коарктации аорты, тетрады Фалло, транспозиции магист</w:t>
        <w:softHyphen/>
        <w:t>ральных сосудов, стеноза аорты и атриовентрикулярной коммуникации (без трисомии по 21 хромосоме) не превы</w:t>
        <w:softHyphen/>
        <w:t>шает 5-7% по каждому из пороков. Другие врожденные по</w:t>
        <w:softHyphen/>
        <w:t xml:space="preserve">роки сердца регистрируются с частотой менее 1-2% </w:t>
      </w:r>
      <w:r>
        <w:rPr>
          <w:lang w:val="en-US" w:eastAsia="en-US" w:bidi="en-US"/>
          <w:w w:val="100"/>
          <w:spacing w:val="0"/>
          <w:color w:val="000000"/>
          <w:position w:val="0"/>
        </w:rPr>
        <w:t>(Hoffman J.E.,1991).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врожденных пороков сердца варьирует в зависи</w:t>
        <w:softHyphen/>
        <w:t>мости от пола. В целом соотношение мальчики/девочки со</w:t>
        <w:softHyphen/>
        <w:t>ставляет 1,09:1, однако по конкретным порокам наблюда</w:t>
        <w:softHyphen/>
        <w:t>ются статистически значимые различия. Так, у мальчиков чаще выявляются гипоплазия левого желудочка (2,25:1), транспозиция магистральных сосудов (2,11:1), стеноз аорты (1,95:1), атрезия легочной артерии (1,55:1), атрезия трех</w:t>
        <w:softHyphen/>
        <w:t>створчатого клапана (1,45:1), коарктация аорты (1,30:1) и корригированная транспозиция магистральных сосудов (1,25:1). У девочек превалируют такие пороки, как откры</w:t>
        <w:softHyphen/>
        <w:t>тый артериальный проток (1,66:1), аномалия Эбштейна (1,57:1), общий артериальный ствол (1,22:1), дефект меж</w:t>
        <w:softHyphen/>
        <w:t xml:space="preserve">предсердной перегородки (1,17:1) и тетрада Фалло (1,12:1) </w:t>
      </w:r>
      <w:r>
        <w:rPr>
          <w:lang w:val="en-US" w:eastAsia="en-US" w:bidi="en-US"/>
          <w:w w:val="100"/>
          <w:spacing w:val="0"/>
          <w:color w:val="000000"/>
          <w:position w:val="0"/>
        </w:rPr>
        <w:t xml:space="preserve">(Samanek </w:t>
      </w:r>
      <w:r>
        <w:rPr>
          <w:lang w:val="ru-RU" w:eastAsia="ru-RU" w:bidi="ru-RU"/>
          <w:w w:val="100"/>
          <w:spacing w:val="0"/>
          <w:color w:val="000000"/>
          <w:position w:val="0"/>
        </w:rPr>
        <w:t xml:space="preserve">М. </w:t>
      </w:r>
      <w:r>
        <w:rPr>
          <w:lang w:val="en-US" w:eastAsia="en-US" w:bidi="en-US"/>
          <w:w w:val="100"/>
          <w:spacing w:val="0"/>
          <w:color w:val="000000"/>
          <w:position w:val="0"/>
        </w:rPr>
        <w:t>et al.,1990).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Определенные закономерности выявлены в распределе</w:t>
        <w:softHyphen/>
        <w:t>нии врожденных пороков сердца в зависимости от расовой принадлежности. Например, единственный желудочек сердца значительно чаще встречается среди представителей кавказской популяции, чем среди представителей афри</w:t>
        <w:softHyphen/>
        <w:t xml:space="preserve">канской расы (соответственно 0,202 и 0,067 на 1000 детей, родившихся живыми) </w:t>
      </w:r>
      <w:r>
        <w:rPr>
          <w:lang w:val="en-US" w:eastAsia="en-US" w:bidi="en-US"/>
          <w:w w:val="100"/>
          <w:spacing w:val="0"/>
          <w:color w:val="000000"/>
          <w:position w:val="0"/>
        </w:rPr>
        <w:t xml:space="preserve">(Storch T.G. et al.,1992). </w:t>
      </w:r>
      <w:r>
        <w:rPr>
          <w:lang w:val="ru-RU" w:eastAsia="ru-RU" w:bidi="ru-RU"/>
          <w:w w:val="100"/>
          <w:spacing w:val="0"/>
          <w:color w:val="000000"/>
          <w:position w:val="0"/>
        </w:rPr>
        <w:t xml:space="preserve">Коарктация аорты практически не встречается у североамериканских индейцев </w:t>
      </w:r>
      <w:r>
        <w:rPr>
          <w:lang w:val="en-US" w:eastAsia="en-US" w:bidi="en-US"/>
          <w:w w:val="100"/>
          <w:spacing w:val="0"/>
          <w:color w:val="000000"/>
          <w:position w:val="0"/>
        </w:rPr>
        <w:t xml:space="preserve">(Anderson R.C.,1977) </w:t>
      </w:r>
      <w:r>
        <w:rPr>
          <w:lang w:val="ru-RU" w:eastAsia="ru-RU" w:bidi="ru-RU"/>
          <w:w w:val="100"/>
          <w:spacing w:val="0"/>
          <w:color w:val="000000"/>
          <w:position w:val="0"/>
        </w:rPr>
        <w:t>и редко наблюдается у жите</w:t>
        <w:softHyphen/>
        <w:t>лей различных азиатских государств: Таиланда, Цейлона, Китая, Японии. В целом среди представителей негроидной расы частота врожденных пороков сердца выше, чем у представителей белой расы, а смертность среди негритян</w:t>
        <w:softHyphen/>
        <w:t>ского населения с врожденными пороками сердца прибли</w:t>
        <w:softHyphen/>
        <w:t xml:space="preserve">зительно на 26-30% выше, чем у белых </w:t>
      </w:r>
      <w:r>
        <w:rPr>
          <w:lang w:val="en-US" w:eastAsia="en-US" w:bidi="en-US"/>
          <w:w w:val="100"/>
          <w:spacing w:val="0"/>
          <w:color w:val="000000"/>
          <w:position w:val="0"/>
        </w:rPr>
        <w:t>(AHA,1995).</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Существуют сезонные колебания в выявлении врожден</w:t>
        <w:softHyphen/>
        <w:t>ных пороков сердца у новорожденных. Максимальная час</w:t>
        <w:softHyphen/>
        <w:t>тота наблюдается среди детей, родившихся в октябре, а ми</w:t>
        <w:softHyphen/>
        <w:t xml:space="preserve">нимальная — среди родившихся в декабре, июне и июле. Замечены сезонные колебания и в структуре пороков </w:t>
      </w:r>
      <w:r>
        <w:rPr>
          <w:lang w:val="en-US" w:eastAsia="en-US" w:bidi="en-US"/>
          <w:w w:val="100"/>
          <w:spacing w:val="0"/>
          <w:color w:val="000000"/>
          <w:position w:val="0"/>
        </w:rPr>
        <w:t xml:space="preserve">(Samanek </w:t>
      </w:r>
      <w:r>
        <w:rPr>
          <w:lang w:val="ru-RU" w:eastAsia="ru-RU" w:bidi="ru-RU"/>
          <w:w w:val="100"/>
          <w:spacing w:val="0"/>
          <w:color w:val="000000"/>
          <w:position w:val="0"/>
        </w:rPr>
        <w:t xml:space="preserve">М. </w:t>
      </w:r>
      <w:r>
        <w:rPr>
          <w:lang w:val="en-US" w:eastAsia="en-US" w:bidi="en-US"/>
          <w:w w:val="100"/>
          <w:spacing w:val="0"/>
          <w:color w:val="000000"/>
          <w:position w:val="0"/>
        </w:rPr>
        <w:t xml:space="preserve">et al., </w:t>
      </w:r>
      <w:r>
        <w:rPr>
          <w:lang w:val="ru-RU" w:eastAsia="ru-RU" w:bidi="ru-RU"/>
          <w:w w:val="100"/>
          <w:spacing w:val="0"/>
          <w:color w:val="000000"/>
          <w:position w:val="0"/>
        </w:rPr>
        <w:t>1990).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Смертность от врожденных пороков сердца составляет 177 детей на 100 000, родившихся живыми </w:t>
      </w:r>
      <w:r>
        <w:rPr>
          <w:lang w:val="en-US" w:eastAsia="en-US" w:bidi="en-US"/>
          <w:w w:val="100"/>
          <w:spacing w:val="0"/>
          <w:color w:val="000000"/>
          <w:position w:val="0"/>
        </w:rPr>
        <w:t>(Tapia J. et al.</w:t>
      </w:r>
      <w:r>
        <w:rPr>
          <w:lang w:val="ru-RU" w:eastAsia="ru-RU" w:bidi="ru-RU"/>
          <w:w w:val="100"/>
          <w:spacing w:val="0"/>
          <w:color w:val="000000"/>
          <w:position w:val="0"/>
        </w:rPr>
        <w:t xml:space="preserve">,1991). Среди детей с врожденными пороками сердца смертность составляет примерно 23%, причем около 90% детей умирают на первом году жизни </w:t>
      </w:r>
      <w:r>
        <w:rPr>
          <w:lang w:val="en-US" w:eastAsia="en-US" w:bidi="en-US"/>
          <w:w w:val="100"/>
          <w:spacing w:val="0"/>
          <w:color w:val="000000"/>
          <w:position w:val="0"/>
        </w:rPr>
        <w:t>(Manetti A. et al.,1993).</w:t>
      </w:r>
    </w:p>
    <w:p>
      <w:pPr>
        <w:pStyle w:val="Style54"/>
        <w:widowControl w:val="0"/>
        <w:keepNext/>
        <w:keepLines/>
        <w:shd w:val="clear" w:color="auto" w:fill="auto"/>
        <w:bidi w:val="0"/>
        <w:jc w:val="left"/>
        <w:spacing w:before="0" w:after="0" w:line="210" w:lineRule="exact"/>
        <w:ind w:left="0" w:right="0" w:firstLine="0"/>
      </w:pPr>
      <w:r>
        <w:br w:type="column"/>
      </w:r>
      <w:bookmarkStart w:id="261" w:name="bookmark261"/>
      <w:r>
        <w:rPr>
          <w:lang w:val="ru-RU" w:eastAsia="ru-RU" w:bidi="ru-RU"/>
          <w:w w:val="100"/>
          <w:spacing w:val="0"/>
          <w:color w:val="000000"/>
          <w:position w:val="0"/>
        </w:rPr>
        <w:t>Критические периоды морфогенеза сердца</w:t>
      </w:r>
      <w:bookmarkEnd w:id="26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Еще в 50-х годах XX столетия активно изучался вопрос о критических периодах онтогенеза, характеризующихся повышенной чувствительностью организма к действию внешних и внутренних раздражителей. Концепция крити</w:t>
        <w:softHyphen/>
        <w:t>ческих периодов была разработана П.Г. Светловым (1960). У плацентарных животных (в т.ч. и человека) им выделено два критических периода: первый совпадает с процессом имплантации оплодотворенной яйцеклетки, второй — со временем формирования плаценты. Концепция критичес</w:t>
        <w:softHyphen/>
        <w:t>ких периодов явилась теоретической основой для понима</w:t>
        <w:softHyphen/>
        <w:t>ния патогенеза эмбриопатий и для профилактики патоло</w:t>
        <w:softHyphen/>
        <w:t>гических процессов пренатального периода.</w:t>
      </w:r>
    </w:p>
    <w:p>
      <w:pPr>
        <w:pStyle w:val="Style30"/>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В зависимости от времени действия неблагоприятных факторов окружающей среды можно предположительно судить о том, какой из этапов морфогенеза был нарушен. В таблице (см. главу I, таблица) приведены основные этапы морфогенеза сердца плода.</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Учитывая данные этапы морфогенеза сердца человека, выделены критические периоды развития конкретно для сердечно-сосудистой системы эмбриона человека. Именно в эти временные участки особенно повышена ее чувстви</w:t>
        <w:softHyphen/>
        <w:t>тельность к воздействию неблагоприятных факторов сре</w:t>
        <w:softHyphen/>
        <w:t>ды. Большинство эмбриологов считают критическим воз</w:t>
        <w:softHyphen/>
        <w:t xml:space="preserve">раст с 14 дня </w:t>
      </w:r>
      <w:r>
        <w:rPr>
          <w:lang w:val="en-US" w:eastAsia="en-US" w:bidi="en-US"/>
          <w:w w:val="100"/>
          <w:spacing w:val="0"/>
          <w:color w:val="000000"/>
          <w:position w:val="0"/>
        </w:rPr>
        <w:t xml:space="preserve">(Nora&amp;Nora,1983), </w:t>
      </w:r>
      <w:r>
        <w:rPr>
          <w:lang w:val="ru-RU" w:eastAsia="ru-RU" w:bidi="ru-RU"/>
          <w:w w:val="100"/>
          <w:spacing w:val="0"/>
          <w:color w:val="000000"/>
          <w:position w:val="0"/>
        </w:rPr>
        <w:t xml:space="preserve">20 дня </w:t>
      </w:r>
      <w:r>
        <w:rPr>
          <w:lang w:val="en-US" w:eastAsia="en-US" w:bidi="en-US"/>
          <w:w w:val="100"/>
          <w:spacing w:val="0"/>
          <w:color w:val="000000"/>
          <w:position w:val="0"/>
        </w:rPr>
        <w:t xml:space="preserve">(Goerttler E.,1963) </w:t>
      </w:r>
      <w:r>
        <w:rPr>
          <w:lang w:val="ru-RU" w:eastAsia="ru-RU" w:bidi="ru-RU"/>
          <w:w w:val="100"/>
          <w:spacing w:val="0"/>
          <w:color w:val="000000"/>
          <w:position w:val="0"/>
        </w:rPr>
        <w:t xml:space="preserve">или 28 дня </w:t>
      </w:r>
      <w:r>
        <w:rPr>
          <w:lang w:val="en-US" w:eastAsia="en-US" w:bidi="en-US"/>
          <w:w w:val="100"/>
          <w:spacing w:val="0"/>
          <w:color w:val="000000"/>
          <w:position w:val="0"/>
        </w:rPr>
        <w:t xml:space="preserve">(Chuaqui B.J. et al.,1972) </w:t>
      </w:r>
      <w:r>
        <w:rPr>
          <w:lang w:val="ru-RU" w:eastAsia="ru-RU" w:bidi="ru-RU"/>
          <w:w w:val="100"/>
          <w:spacing w:val="0"/>
          <w:color w:val="000000"/>
          <w:position w:val="0"/>
        </w:rPr>
        <w:t xml:space="preserve">от овуляции до 41 дня </w:t>
      </w:r>
      <w:r>
        <w:rPr>
          <w:lang w:val="en-US" w:eastAsia="en-US" w:bidi="en-US"/>
          <w:w w:val="100"/>
          <w:spacing w:val="0"/>
          <w:color w:val="000000"/>
          <w:position w:val="0"/>
        </w:rPr>
        <w:t xml:space="preserve">(Chuaqui B.J. et al.,1972), 50 </w:t>
      </w:r>
      <w:r>
        <w:rPr>
          <w:lang w:val="ru-RU" w:eastAsia="ru-RU" w:bidi="ru-RU"/>
          <w:w w:val="100"/>
          <w:spacing w:val="0"/>
          <w:color w:val="000000"/>
          <w:position w:val="0"/>
        </w:rPr>
        <w:t xml:space="preserve">дня </w:t>
      </w:r>
      <w:r>
        <w:rPr>
          <w:lang w:val="en-US" w:eastAsia="en-US" w:bidi="en-US"/>
          <w:w w:val="100"/>
          <w:spacing w:val="0"/>
          <w:color w:val="000000"/>
          <w:position w:val="0"/>
        </w:rPr>
        <w:t xml:space="preserve">(Goerttler E.,1963)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60 </w:t>
      </w:r>
      <w:r>
        <w:rPr>
          <w:lang w:val="ru-RU" w:eastAsia="ru-RU" w:bidi="ru-RU"/>
          <w:w w:val="100"/>
          <w:spacing w:val="0"/>
          <w:color w:val="000000"/>
          <w:position w:val="0"/>
        </w:rPr>
        <w:t xml:space="preserve">дня </w:t>
      </w:r>
      <w:r>
        <w:rPr>
          <w:lang w:val="en-US" w:eastAsia="en-US" w:bidi="en-US"/>
          <w:w w:val="100"/>
          <w:spacing w:val="0"/>
          <w:color w:val="000000"/>
          <w:position w:val="0"/>
        </w:rPr>
        <w:t xml:space="preserve">(Nora&amp;Nora,1983). </w:t>
      </w:r>
      <w:r>
        <w:rPr>
          <w:lang w:val="ru-RU" w:eastAsia="ru-RU" w:bidi="ru-RU"/>
          <w:w w:val="100"/>
          <w:spacing w:val="0"/>
          <w:color w:val="000000"/>
          <w:position w:val="0"/>
        </w:rPr>
        <w:t xml:space="preserve">При этом критические периоды были практически подтверждены в исследованиях </w:t>
      </w:r>
      <w:r>
        <w:rPr>
          <w:lang w:val="en-US" w:eastAsia="en-US" w:bidi="en-US"/>
          <w:w w:val="100"/>
          <w:spacing w:val="0"/>
          <w:color w:val="000000"/>
          <w:position w:val="0"/>
        </w:rPr>
        <w:t xml:space="preserve">Pliess </w:t>
      </w:r>
      <w:r>
        <w:rPr>
          <w:lang w:val="ru-RU" w:eastAsia="ru-RU" w:bidi="ru-RU"/>
          <w:w w:val="100"/>
          <w:spacing w:val="0"/>
          <w:color w:val="000000"/>
          <w:position w:val="0"/>
        </w:rPr>
        <w:t xml:space="preserve">(1962) и </w:t>
      </w:r>
      <w:r>
        <w:rPr>
          <w:lang w:val="en-US" w:eastAsia="en-US" w:bidi="en-US"/>
          <w:w w:val="100"/>
          <w:spacing w:val="0"/>
          <w:color w:val="000000"/>
          <w:position w:val="0"/>
        </w:rPr>
        <w:t xml:space="preserve">Kreipe </w:t>
      </w:r>
      <w:r>
        <w:rPr>
          <w:lang w:val="ru-RU" w:eastAsia="ru-RU" w:bidi="ru-RU"/>
          <w:w w:val="100"/>
          <w:spacing w:val="0"/>
          <w:color w:val="000000"/>
          <w:position w:val="0"/>
        </w:rPr>
        <w:t>(1967) на примере тератогенного воздей</w:t>
        <w:softHyphen/>
        <w:t>ствия талидомида.</w:t>
      </w:r>
    </w:p>
    <w:p>
      <w:pPr>
        <w:pStyle w:val="Style54"/>
        <w:widowControl w:val="0"/>
        <w:keepNext/>
        <w:keepLines/>
        <w:shd w:val="clear" w:color="auto" w:fill="auto"/>
        <w:bidi w:val="0"/>
        <w:jc w:val="left"/>
        <w:spacing w:before="0" w:after="0" w:line="210" w:lineRule="exact"/>
        <w:ind w:left="0" w:right="0" w:firstLine="0"/>
      </w:pPr>
      <w:bookmarkStart w:id="262" w:name="bookmark262"/>
      <w:r>
        <w:rPr>
          <w:lang w:val="ru-RU" w:eastAsia="ru-RU" w:bidi="ru-RU"/>
          <w:w w:val="100"/>
          <w:spacing w:val="0"/>
          <w:color w:val="000000"/>
          <w:position w:val="0"/>
        </w:rPr>
        <w:t>Патогенез врожденных пороков сердца</w:t>
      </w:r>
      <w:bookmarkEnd w:id="26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зависимости от патогенетических механизмов врож</w:t>
        <w:softHyphen/>
        <w:t>денные пороки сердца классифицируют:</w:t>
      </w:r>
    </w:p>
    <w:p>
      <w:pPr>
        <w:pStyle w:val="Style30"/>
        <w:numPr>
          <w:ilvl w:val="0"/>
          <w:numId w:val="2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возникшие в результате нарушения миграции мезен</w:t>
        <w:softHyphen/>
        <w:t>химальной ткани;</w:t>
      </w:r>
    </w:p>
    <w:p>
      <w:pPr>
        <w:pStyle w:val="Style30"/>
        <w:numPr>
          <w:ilvl w:val="0"/>
          <w:numId w:val="2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возникшие из-за нарушения сердечной гемодинамики;</w:t>
      </w:r>
    </w:p>
    <w:p>
      <w:pPr>
        <w:pStyle w:val="Style30"/>
        <w:numPr>
          <w:ilvl w:val="0"/>
          <w:numId w:val="2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образовавшиеся в результате гибели клеток;</w:t>
      </w:r>
    </w:p>
    <w:p>
      <w:pPr>
        <w:pStyle w:val="Style30"/>
        <w:numPr>
          <w:ilvl w:val="0"/>
          <w:numId w:val="27"/>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возникшие из-за патологии экстрацеллюлярного ма</w:t>
        <w:softHyphen/>
        <w:t>трикса.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Иногда в формировании порока сердца принимают уча</w:t>
        <w:softHyphen/>
        <w:t>стие несколько механизмов, однако можно выделить поро</w:t>
        <w:softHyphen/>
        <w:t>ки, образовавшиеся в результате действия конкретного па</w:t>
        <w:softHyphen/>
        <w:t>тогенетического механизма.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Нарушение миграции мезенхимальной ткани</w:t>
      </w:r>
    </w:p>
    <w:p>
      <w:pPr>
        <w:pStyle w:val="Style30"/>
        <w:numPr>
          <w:ilvl w:val="0"/>
          <w:numId w:val="25"/>
        </w:numPr>
        <w:tabs>
          <w:tab w:leader="none" w:pos="518" w:val="left"/>
        </w:tabs>
        <w:widowControl w:val="0"/>
        <w:keepNext w:val="0"/>
        <w:keepLines w:val="0"/>
        <w:shd w:val="clear" w:color="auto" w:fill="auto"/>
        <w:bidi w:val="0"/>
        <w:spacing w:before="0" w:after="60"/>
        <w:ind w:left="520" w:right="0" w:hanging="240"/>
      </w:pPr>
      <w:r>
        <w:rPr>
          <w:lang w:val="ru-RU" w:eastAsia="ru-RU" w:bidi="ru-RU"/>
          <w:w w:val="100"/>
          <w:spacing w:val="0"/>
          <w:color w:val="000000"/>
          <w:position w:val="0"/>
        </w:rPr>
        <w:t>Нарушение миграции мезенхимальной ткани приво</w:t>
        <w:softHyphen/>
        <w:t>дит к порокам развития выносящих трактов сердца — конотрункальным порокам сердца. Эти пороки воз</w:t>
        <w:softHyphen/>
        <w:t>никают в результате нарушения миграции мезенхи</w:t>
        <w:softHyphen/>
        <w:t>мальных клеток из области 4 и 6 жаберных дуг и обла</w:t>
        <w:softHyphen/>
        <w:t>сти затылочного нервного гребня эмбриона в конот- рункальный регион.</w:t>
      </w:r>
    </w:p>
    <w:p>
      <w:pPr>
        <w:pStyle w:val="Style92"/>
        <w:widowControl w:val="0"/>
        <w:keepNext/>
        <w:keepLines/>
        <w:shd w:val="clear" w:color="auto" w:fill="auto"/>
        <w:bidi w:val="0"/>
        <w:spacing w:before="0" w:after="0"/>
        <w:ind w:left="520" w:right="0" w:hanging="240"/>
      </w:pPr>
      <w:bookmarkStart w:id="263" w:name="bookmark263"/>
      <w:r>
        <w:rPr>
          <w:lang w:val="ru-RU" w:eastAsia="ru-RU" w:bidi="ru-RU"/>
          <w:w w:val="100"/>
          <w:spacing w:val="0"/>
          <w:color w:val="000000"/>
          <w:position w:val="0"/>
        </w:rPr>
        <w:t>Нарушение сердечной гемодинамики</w:t>
      </w:r>
      <w:bookmarkEnd w:id="263"/>
    </w:p>
    <w:p>
      <w:pPr>
        <w:pStyle w:val="Style30"/>
        <w:numPr>
          <w:ilvl w:val="0"/>
          <w:numId w:val="25"/>
        </w:numPr>
        <w:tabs>
          <w:tab w:leader="none" w:pos="518" w:val="left"/>
        </w:tabs>
        <w:widowControl w:val="0"/>
        <w:keepNext w:val="0"/>
        <w:keepLines w:val="0"/>
        <w:shd w:val="clear" w:color="auto" w:fill="auto"/>
        <w:bidi w:val="0"/>
        <w:spacing w:before="0" w:after="0"/>
        <w:ind w:left="520" w:right="0" w:hanging="240"/>
      </w:pPr>
      <w:r>
        <w:pict>
          <v:shape id="_x0000_s1119" type="#_x0000_t75" style="position:absolute;margin-left:148.1pt;margin-top:736.3pt;width:209.75pt;height:14.9pt;z-index:-125829329;mso-wrap-distance-left:148.1pt;mso-wrap-distance-right:136.8pt;mso-wrap-distance-bottom:10.8pt;mso-position-horizontal-relative:margin;mso-position-vertical-relative:margin" wrapcoords="0 0 21600 0 21600 21600 0 21600 0 0">
            <v:imagedata r:id="rId150" r:href="rId151"/>
            <w10:wrap type="topAndBottom" anchorx="margin" anchory="margin"/>
          </v:shape>
        </w:pict>
      </w:r>
      <w:r>
        <w:rPr>
          <w:lang w:val="ru-RU" w:eastAsia="ru-RU" w:bidi="ru-RU"/>
          <w:w w:val="100"/>
          <w:spacing w:val="0"/>
          <w:color w:val="000000"/>
          <w:position w:val="0"/>
        </w:rPr>
        <w:t>Развитие первичной петли сердца на самых ранних эта</w:t>
        <w:softHyphen/>
        <w:t>пах происходит без участия внутрисердечных потоков крови. На последующих этапах развития внутрисердеч</w:t>
        <w:softHyphen/>
        <w:t>ная гемодинамика определяет дифференцировку дуги аорты, рост сердечных камер, перегородок и створок. Так, дифференцировка дуги аорты во многом зависит от</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вектора, объема и направления тока крови. Селектив</w:t>
        <w:softHyphen/>
        <w:t>ная окклюзия дуги аорты на разных уровнях вызывает персистирование тех сосудов, которые при нормальном давлении в дуге аорты подвергаются редукции.</w:t>
      </w:r>
    </w:p>
    <w:p>
      <w:pPr>
        <w:pStyle w:val="Style30"/>
        <w:numPr>
          <w:ilvl w:val="0"/>
          <w:numId w:val="2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Уменьшение количества крови, притекающей в левое предсердие, приводит к гипоплазии левого желудоч</w:t>
        <w:softHyphen/>
        <w:t>ка. Нарушение сердечной гемодинамики обусловли</w:t>
        <w:softHyphen/>
        <w:t>вает возникновение таких пороков сердца, как коарк- тация аорты, открытый артериальный проток, стеноз аорты, стеноз или атрезия легочной артерии, синд</w:t>
        <w:softHyphen/>
        <w:t>ром гипоплазии левого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Гибель клеток</w:t>
      </w:r>
    </w:p>
    <w:p>
      <w:pPr>
        <w:pStyle w:val="Style30"/>
        <w:numPr>
          <w:ilvl w:val="0"/>
          <w:numId w:val="2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то время как масса сердца может увеличиваться пу</w:t>
        <w:softHyphen/>
        <w:t>тем деления клеток, их миграции или продукции экс- трацеллюлярного матрикса, уменьшение сердечной массы происходит только путем гибели клеток. Этот процесс очень важен при формировании клапанов и трабекулярной порции межжелудочковой перего</w:t>
        <w:softHyphen/>
        <w:t>родки. Роль гибели клеток в развитии сердца изуча</w:t>
        <w:softHyphen/>
        <w:t>лась во многих экспериментальных исследованиях, при этом получена модель гибели клеток сердца под действием различных химических тератогенов. У че</w:t>
        <w:softHyphen/>
        <w:t>ловека гибель клеток сердца участвует в формирова</w:t>
        <w:softHyphen/>
        <w:t xml:space="preserve">нии таких пороков сердца, как аномалия Эбштейна, дефект межжелудочковой перегородки </w:t>
      </w:r>
      <w:r>
        <w:rPr>
          <w:lang w:val="en-US" w:eastAsia="en-US" w:bidi="en-US"/>
          <w:w w:val="100"/>
          <w:spacing w:val="0"/>
          <w:color w:val="000000"/>
          <w:position w:val="0"/>
        </w:rPr>
        <w:t xml:space="preserve">IV </w:t>
      </w:r>
      <w:r>
        <w:rPr>
          <w:lang w:val="ru-RU" w:eastAsia="ru-RU" w:bidi="ru-RU"/>
          <w:w w:val="100"/>
          <w:spacing w:val="0"/>
          <w:color w:val="000000"/>
          <w:position w:val="0"/>
        </w:rPr>
        <w:t>типа.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Патология экстрацеллюлярного матрикса</w:t>
      </w:r>
    </w:p>
    <w:p>
      <w:pPr>
        <w:pStyle w:val="Style30"/>
        <w:numPr>
          <w:ilvl w:val="0"/>
          <w:numId w:val="2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Роли экстрацеллюлярного матрикса в развитии серд</w:t>
        <w:softHyphen/>
        <w:t>ца уделяется большое внимание. Так называемый «кардиальный гель» представляет собой аморфный субстрат из гликозоаминогликанов, располагающий</w:t>
        <w:softHyphen/>
        <w:t>ся между эндокардом и миокардом. Продукцию экс- трацеллюлярного матрикса осуществляют клетки миокарда. Это вещество накапливается в регионах ат</w:t>
        <w:softHyphen/>
        <w:t>риовентрикулярной области и формирует кардиаль</w:t>
        <w:softHyphen/>
        <w:t>ную подушку. Впоследствии матрикс способствует формированию атриовентрикулярных клапанов и выносящего тракта желудочков.</w:t>
      </w:r>
    </w:p>
    <w:p>
      <w:pPr>
        <w:pStyle w:val="Style30"/>
        <w:numPr>
          <w:ilvl w:val="0"/>
          <w:numId w:val="2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Кардиальные подушки несут на себе важную функ</w:t>
        <w:softHyphen/>
        <w:t>цию в эмбриональный период. На ранних стадиях они функционируют как клапаны, в результате чего давление в аорте имеет систолическую и диастоличе</w:t>
        <w:softHyphen/>
        <w:t>скую фазы. Патологией экстракардиального матрик</w:t>
        <w:softHyphen/>
        <w:t>са объясняется возникновение атриовентрикулярной коммуникации, дефекта межпредсердной перегород</w:t>
        <w:softHyphen/>
        <w:t>ки и аналогичных ВПС.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Классификация врожденных пороков сердца в зависи</w:t>
        <w:softHyphen/>
        <w:t xml:space="preserve">мости от типа нарушений эмбриогенеза сердца (по данным </w:t>
      </w:r>
      <w:r>
        <w:rPr>
          <w:lang w:val="en-US" w:eastAsia="en-US" w:bidi="en-US"/>
          <w:w w:val="100"/>
          <w:spacing w:val="0"/>
          <w:color w:val="000000"/>
          <w:position w:val="0"/>
        </w:rPr>
        <w:t xml:space="preserve">Lin </w:t>
      </w:r>
      <w:r>
        <w:rPr>
          <w:lang w:val="ru-RU" w:eastAsia="ru-RU" w:bidi="ru-RU"/>
          <w:w w:val="100"/>
          <w:spacing w:val="0"/>
          <w:color w:val="000000"/>
          <w:position w:val="0"/>
        </w:rPr>
        <w:t xml:space="preserve">и </w:t>
      </w:r>
      <w:r>
        <w:rPr>
          <w:lang w:val="en-US" w:eastAsia="en-US" w:bidi="en-US"/>
          <w:w w:val="100"/>
          <w:spacing w:val="0"/>
          <w:color w:val="000000"/>
          <w:position w:val="0"/>
        </w:rPr>
        <w:t xml:space="preserve">Garver, </w:t>
      </w:r>
      <w:r>
        <w:rPr>
          <w:lang w:val="ru-RU" w:eastAsia="ru-RU" w:bidi="ru-RU"/>
          <w:w w:val="100"/>
          <w:spacing w:val="0"/>
          <w:color w:val="000000"/>
          <w:position w:val="0"/>
        </w:rPr>
        <w:t>1988):</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Нарушения миграции мезенхимальной ткани</w:t>
      </w:r>
    </w:p>
    <w:p>
      <w:pPr>
        <w:pStyle w:val="Style30"/>
        <w:numPr>
          <w:ilvl w:val="0"/>
          <w:numId w:val="25"/>
        </w:numPr>
        <w:tabs>
          <w:tab w:leader="none" w:pos="736"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Общий артериальный ствол.</w:t>
      </w:r>
    </w:p>
    <w:p>
      <w:pPr>
        <w:pStyle w:val="Style30"/>
        <w:numPr>
          <w:ilvl w:val="0"/>
          <w:numId w:val="25"/>
        </w:numPr>
        <w:tabs>
          <w:tab w:leader="none" w:pos="736"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Транспозиция магистральных сосудов.</w:t>
      </w:r>
    </w:p>
    <w:p>
      <w:pPr>
        <w:pStyle w:val="Style30"/>
        <w:numPr>
          <w:ilvl w:val="0"/>
          <w:numId w:val="25"/>
        </w:numPr>
        <w:tabs>
          <w:tab w:leader="none" w:pos="736"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Двойное отхождение магистральных сосудов от правого желудочка.</w:t>
      </w:r>
    </w:p>
    <w:p>
      <w:pPr>
        <w:pStyle w:val="Style30"/>
        <w:numPr>
          <w:ilvl w:val="0"/>
          <w:numId w:val="25"/>
        </w:numPr>
        <w:tabs>
          <w:tab w:leader="none" w:pos="736"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Тетрада Фалло.</w:t>
      </w:r>
    </w:p>
    <w:p>
      <w:pPr>
        <w:pStyle w:val="Style30"/>
        <w:numPr>
          <w:ilvl w:val="0"/>
          <w:numId w:val="25"/>
        </w:numPr>
        <w:tabs>
          <w:tab w:leader="none" w:pos="736"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Перерыв дуги аорты типа В.</w:t>
      </w:r>
    </w:p>
    <w:p>
      <w:pPr>
        <w:pStyle w:val="Style30"/>
        <w:numPr>
          <w:ilvl w:val="0"/>
          <w:numId w:val="25"/>
        </w:numPr>
        <w:tabs>
          <w:tab w:leader="none" w:pos="736" w:val="left"/>
        </w:tabs>
        <w:widowControl w:val="0"/>
        <w:keepNext w:val="0"/>
        <w:keepLines w:val="0"/>
        <w:shd w:val="clear" w:color="auto" w:fill="auto"/>
        <w:bidi w:val="0"/>
        <w:jc w:val="left"/>
        <w:spacing w:before="0" w:after="0"/>
        <w:ind w:left="280" w:right="0" w:firstLine="220"/>
      </w:pPr>
      <w:r>
        <w:rPr>
          <w:lang w:val="ru-RU" w:eastAsia="ru-RU" w:bidi="ru-RU"/>
          <w:w w:val="100"/>
          <w:spacing w:val="0"/>
          <w:color w:val="000000"/>
          <w:position w:val="0"/>
        </w:rPr>
        <w:t>Дефект межжелудочковой перегородки I типа. Нарушения сердечной гемодинамики</w:t>
      </w:r>
    </w:p>
    <w:p>
      <w:pPr>
        <w:pStyle w:val="Style30"/>
        <w:numPr>
          <w:ilvl w:val="0"/>
          <w:numId w:val="25"/>
        </w:numPr>
        <w:tabs>
          <w:tab w:leader="none" w:pos="736"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Синдром гипоплазии левого желудочка.</w:t>
      </w:r>
    </w:p>
    <w:p>
      <w:pPr>
        <w:pStyle w:val="Style30"/>
        <w:numPr>
          <w:ilvl w:val="0"/>
          <w:numId w:val="25"/>
        </w:numPr>
        <w:tabs>
          <w:tab w:leader="none" w:pos="736"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Коарктация аорты.</w:t>
      </w:r>
    </w:p>
    <w:p>
      <w:pPr>
        <w:pStyle w:val="Style30"/>
        <w:numPr>
          <w:ilvl w:val="0"/>
          <w:numId w:val="25"/>
        </w:numPr>
        <w:tabs>
          <w:tab w:leader="none" w:pos="736"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Клапанный аортальный стеноз.</w:t>
      </w:r>
    </w:p>
    <w:p>
      <w:pPr>
        <w:pStyle w:val="Style30"/>
        <w:numPr>
          <w:ilvl w:val="0"/>
          <w:numId w:val="25"/>
        </w:numPr>
        <w:tabs>
          <w:tab w:leader="none" w:pos="736"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Двухстворчатый аортальный клапан.</w:t>
      </w:r>
    </w:p>
    <w:p>
      <w:pPr>
        <w:pStyle w:val="Style30"/>
        <w:numPr>
          <w:ilvl w:val="0"/>
          <w:numId w:val="25"/>
        </w:numPr>
        <w:tabs>
          <w:tab w:leader="none" w:pos="736"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Вторичный дефект межпредсердной перегородки.</w:t>
      </w:r>
    </w:p>
    <w:p>
      <w:pPr>
        <w:pStyle w:val="Style30"/>
        <w:numPr>
          <w:ilvl w:val="0"/>
          <w:numId w:val="25"/>
        </w:numPr>
        <w:tabs>
          <w:tab w:leader="none" w:pos="751" w:val="left"/>
        </w:tabs>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Открытый артериальный проток.</w:t>
      </w:r>
    </w:p>
    <w:p>
      <w:pPr>
        <w:pStyle w:val="Style30"/>
        <w:numPr>
          <w:ilvl w:val="0"/>
          <w:numId w:val="25"/>
        </w:numPr>
        <w:tabs>
          <w:tab w:leader="none" w:pos="751"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Клапанный стеноз легочной артерии.</w:t>
      </w:r>
    </w:p>
    <w:p>
      <w:pPr>
        <w:pStyle w:val="Style30"/>
        <w:numPr>
          <w:ilvl w:val="0"/>
          <w:numId w:val="25"/>
        </w:numPr>
        <w:tabs>
          <w:tab w:leader="none" w:pos="751"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Атрезия легочной артерии.</w:t>
      </w:r>
    </w:p>
    <w:p>
      <w:pPr>
        <w:pStyle w:val="Style30"/>
        <w:numPr>
          <w:ilvl w:val="0"/>
          <w:numId w:val="25"/>
        </w:numPr>
        <w:tabs>
          <w:tab w:leader="none" w:pos="751"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Дефект межжелудочковой перегородки II типа.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Гибель клеток</w:t>
      </w:r>
    </w:p>
    <w:p>
      <w:pPr>
        <w:pStyle w:val="Style30"/>
        <w:numPr>
          <w:ilvl w:val="0"/>
          <w:numId w:val="25"/>
        </w:numPr>
        <w:tabs>
          <w:tab w:leader="none" w:pos="751"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Аномалия Эбштейна.</w:t>
      </w:r>
    </w:p>
    <w:p>
      <w:pPr>
        <w:pStyle w:val="Style30"/>
        <w:numPr>
          <w:ilvl w:val="0"/>
          <w:numId w:val="25"/>
        </w:numPr>
        <w:tabs>
          <w:tab w:leader="none" w:pos="751"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Дефект межжелудочковой перегородки IV типа.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Патология экстрацеллюлярного матрикса</w:t>
      </w:r>
    </w:p>
    <w:p>
      <w:pPr>
        <w:pStyle w:val="Style30"/>
        <w:numPr>
          <w:ilvl w:val="0"/>
          <w:numId w:val="25"/>
        </w:numPr>
        <w:tabs>
          <w:tab w:leader="none" w:pos="751"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Открытый атриовентрикулярный канал.</w:t>
      </w:r>
    </w:p>
    <w:p>
      <w:pPr>
        <w:pStyle w:val="Style30"/>
        <w:numPr>
          <w:ilvl w:val="0"/>
          <w:numId w:val="25"/>
        </w:numPr>
        <w:tabs>
          <w:tab w:leader="none" w:pos="751" w:val="left"/>
        </w:tabs>
        <w:widowControl w:val="0"/>
        <w:keepNext w:val="0"/>
        <w:keepLines w:val="0"/>
        <w:shd w:val="clear" w:color="auto" w:fill="auto"/>
        <w:bidi w:val="0"/>
        <w:spacing w:before="0" w:after="101"/>
        <w:ind w:left="520" w:right="0" w:firstLine="0"/>
      </w:pPr>
      <w:r>
        <w:rPr>
          <w:lang w:val="ru-RU" w:eastAsia="ru-RU" w:bidi="ru-RU"/>
          <w:w w:val="100"/>
          <w:spacing w:val="0"/>
          <w:color w:val="000000"/>
          <w:position w:val="0"/>
        </w:rPr>
        <w:t>Дефект межжелудочковой перегородки IV типа.</w:t>
      </w:r>
    </w:p>
    <w:p>
      <w:pPr>
        <w:pStyle w:val="Style48"/>
        <w:widowControl w:val="0"/>
        <w:keepNext/>
        <w:keepLines/>
        <w:shd w:val="clear" w:color="auto" w:fill="auto"/>
        <w:bidi w:val="0"/>
        <w:jc w:val="left"/>
        <w:spacing w:before="0" w:after="79" w:line="240" w:lineRule="exact"/>
        <w:ind w:left="0" w:right="0" w:firstLine="0"/>
      </w:pPr>
      <w:bookmarkStart w:id="264" w:name="bookmark264"/>
      <w:r>
        <w:rPr>
          <w:lang w:val="ru-RU" w:eastAsia="ru-RU" w:bidi="ru-RU"/>
          <w:w w:val="100"/>
          <w:spacing w:val="0"/>
          <w:color w:val="000000"/>
          <w:position w:val="0"/>
        </w:rPr>
        <w:t>Генетические и средовые факторы возникновения врожденных пороков сердца</w:t>
      </w:r>
      <w:bookmarkEnd w:id="26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 сих пор более 90% врожденных пороков сердца не имеют доказанной монотонной генетической основы и рас</w:t>
        <w:softHyphen/>
        <w:t>сматриваются в рамках мультифакториального наследова</w:t>
        <w:softHyphen/>
        <w:t>ния. При этом большое значение имеет пороговый эффект гена, который заключается в том, что появление порока сердца происходит только в случае, если сумма действия ге</w:t>
        <w:softHyphen/>
        <w:t>нетических и средовых факторов превышает определенный предел (порог). Если порог не достигнут, дефект не прояв</w:t>
        <w:softHyphen/>
        <w:t>ляется. Таким образом, средовые факторы выступают в ро</w:t>
        <w:softHyphen/>
        <w:t>ли «провоцирующих моментов» для «проявления» наслед</w:t>
        <w:softHyphen/>
        <w:t>ственной предрасположенности.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Критериями мультифакториального наследования являются:</w:t>
      </w:r>
    </w:p>
    <w:p>
      <w:pPr>
        <w:pStyle w:val="Style30"/>
        <w:numPr>
          <w:ilvl w:val="0"/>
          <w:numId w:val="2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Риск проявления мультифакториального заболева</w:t>
        <w:softHyphen/>
        <w:t>ния пропорционален числу «патологических» генов. Другими словами, риск выше у родственников перво</w:t>
        <w:softHyphen/>
        <w:t>го порядка, чем у родственников второго. Риск у род</w:t>
        <w:softHyphen/>
        <w:t>ственников четвертого порядка практически равен общепопуляционному риску.</w:t>
      </w:r>
    </w:p>
    <w:p>
      <w:pPr>
        <w:pStyle w:val="Style30"/>
        <w:numPr>
          <w:ilvl w:val="0"/>
          <w:numId w:val="2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мультифакторные нарушения больше выраже</w:t>
        <w:softHyphen/>
        <w:t>ны у лиц одного пола, то в случае проявления заболе</w:t>
        <w:softHyphen/>
        <w:t>вания у представителя другого пола риск для его по</w:t>
        <w:softHyphen/>
        <w:t>томков возрастает.</w:t>
      </w:r>
    </w:p>
    <w:p>
      <w:pPr>
        <w:pStyle w:val="Style30"/>
        <w:numPr>
          <w:ilvl w:val="0"/>
          <w:numId w:val="2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Базируясь на исследованиях </w:t>
      </w:r>
      <w:r>
        <w:rPr>
          <w:lang w:val="en-US" w:eastAsia="en-US" w:bidi="en-US"/>
          <w:w w:val="100"/>
          <w:spacing w:val="0"/>
          <w:color w:val="000000"/>
          <w:position w:val="0"/>
        </w:rPr>
        <w:t xml:space="preserve">Edwards, </w:t>
      </w:r>
      <w:r>
        <w:rPr>
          <w:lang w:val="ru-RU" w:eastAsia="ru-RU" w:bidi="ru-RU"/>
          <w:w w:val="100"/>
          <w:spacing w:val="0"/>
          <w:color w:val="000000"/>
          <w:position w:val="0"/>
        </w:rPr>
        <w:t>возвратный риск для родственников первого поколения равен квадратный корень из р, где р отражает популяцион</w:t>
        <w:softHyphen/>
        <w:t>ную частоту выявления данного заболевания. По</w:t>
        <w:softHyphen/>
        <w:t>скольку популяционная частота обычно меньше еди</w:t>
        <w:softHyphen/>
        <w:t>ницы, то это значит, что чем ниже популяционная ча</w:t>
        <w:softHyphen/>
        <w:t>стота данного заболевания, тем больше относитель</w:t>
        <w:softHyphen/>
        <w:t>ный риск данной патологии для сиблингов.</w:t>
      </w:r>
    </w:p>
    <w:p>
      <w:pPr>
        <w:pStyle w:val="Style30"/>
        <w:numPr>
          <w:ilvl w:val="0"/>
          <w:numId w:val="2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заболевание проявляется более чем у одного представителя семьи, возвратный риск возрастает. В среднем возвратный риск ВПС при наличии одно</w:t>
        <w:softHyphen/>
        <w:t>го больного ребенка равен от 2 до 4%; двух больных детей — 10%. Если сестра или брат родителей больны, то возвратный риск будет около 6-7%.</w:t>
      </w:r>
    </w:p>
    <w:p>
      <w:pPr>
        <w:pStyle w:val="Style30"/>
        <w:numPr>
          <w:ilvl w:val="0"/>
          <w:numId w:val="25"/>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Возвратный риск повышается с увеличением «тяжес</w:t>
        <w:softHyphen/>
        <w:t>ти» порока развития.</w:t>
      </w:r>
    </w:p>
    <w:p>
      <w:pPr>
        <w:pStyle w:val="Style30"/>
        <w:numPr>
          <w:ilvl w:val="0"/>
          <w:numId w:val="25"/>
        </w:numPr>
        <w:tabs>
          <w:tab w:leader="none" w:pos="520" w:val="left"/>
        </w:tabs>
        <w:widowControl w:val="0"/>
        <w:keepNext w:val="0"/>
        <w:keepLines w:val="0"/>
        <w:shd w:val="clear" w:color="auto" w:fill="auto"/>
        <w:bidi w:val="0"/>
        <w:spacing w:before="0" w:after="101"/>
        <w:ind w:left="520" w:right="0" w:hanging="240"/>
      </w:pPr>
      <w:r>
        <w:rPr>
          <w:lang w:val="ru-RU" w:eastAsia="ru-RU" w:bidi="ru-RU"/>
          <w:w w:val="100"/>
          <w:spacing w:val="0"/>
          <w:color w:val="000000"/>
          <w:position w:val="0"/>
        </w:rPr>
        <w:t>Еще одним фактором, оказывающим влияние на муль</w:t>
        <w:softHyphen/>
        <w:t>тифакториальное наследование, является пол. По дан</w:t>
        <w:softHyphen/>
        <w:t xml:space="preserve">ным </w:t>
      </w:r>
      <w:r>
        <w:rPr>
          <w:lang w:val="en-US" w:eastAsia="en-US" w:bidi="en-US"/>
          <w:w w:val="100"/>
          <w:spacing w:val="0"/>
          <w:color w:val="000000"/>
          <w:position w:val="0"/>
        </w:rPr>
        <w:t xml:space="preserve">Whittemore, </w:t>
      </w:r>
      <w:r>
        <w:rPr>
          <w:lang w:val="ru-RU" w:eastAsia="ru-RU" w:bidi="ru-RU"/>
          <w:w w:val="100"/>
          <w:spacing w:val="0"/>
          <w:color w:val="000000"/>
          <w:position w:val="0"/>
        </w:rPr>
        <w:t>возвратный риск формирования ВПС у ребенка возрастает, если ВПС имеет мать, а не отец.</w:t>
      </w:r>
    </w:p>
    <w:p>
      <w:pPr>
        <w:pStyle w:val="Style48"/>
        <w:widowControl w:val="0"/>
        <w:keepNext/>
        <w:keepLines/>
        <w:shd w:val="clear" w:color="auto" w:fill="auto"/>
        <w:bidi w:val="0"/>
        <w:jc w:val="left"/>
        <w:spacing w:before="0" w:after="79" w:line="240" w:lineRule="exact"/>
        <w:ind w:left="0" w:right="0" w:firstLine="0"/>
      </w:pPr>
      <w:bookmarkStart w:id="265" w:name="bookmark265"/>
      <w:r>
        <w:rPr>
          <w:lang w:val="ru-RU" w:eastAsia="ru-RU" w:bidi="ru-RU"/>
          <w:w w:val="100"/>
          <w:spacing w:val="0"/>
          <w:color w:val="000000"/>
          <w:position w:val="0"/>
        </w:rPr>
        <w:t>Принципы оценки риска возникновения врожденных пороков сердца</w:t>
      </w:r>
      <w:bookmarkEnd w:id="265"/>
    </w:p>
    <w:p>
      <w:pPr>
        <w:pStyle w:val="Style30"/>
        <w:widowControl w:val="0"/>
        <w:keepNext w:val="0"/>
        <w:keepLines w:val="0"/>
        <w:shd w:val="clear" w:color="auto" w:fill="auto"/>
        <w:bidi w:val="0"/>
        <w:spacing w:before="0" w:after="0"/>
        <w:ind w:left="0" w:right="0" w:firstLine="280"/>
      </w:pPr>
      <w:r>
        <w:pict>
          <v:shape id="_x0000_s1120" type="#_x0000_t75" style="position:absolute;margin-left:136.55pt;margin-top:736.3pt;width:209.75pt;height:14.9pt;z-index:-125829328;mso-wrap-distance-left:136.3pt;mso-wrap-distance-right:148.1pt;mso-wrap-distance-bottom:10.8pt;mso-position-horizontal-relative:margin;mso-position-vertical-relative:margin" wrapcoords="0 0 21600 0 21600 21600 0 21600 0 0">
            <v:imagedata r:id="rId152" r:href="rId153"/>
            <w10:wrap type="topAndBottom" anchorx="margin" anchory="margin"/>
          </v:shape>
        </w:pict>
      </w:r>
      <w:r>
        <w:rPr>
          <w:lang w:val="ru-RU" w:eastAsia="ru-RU" w:bidi="ru-RU"/>
          <w:w w:val="100"/>
          <w:spacing w:val="0"/>
          <w:color w:val="000000"/>
          <w:position w:val="0"/>
        </w:rPr>
        <w:t>При оценке риска возникновения врожденных пороков сердца у детей учитываются следующие методологические аспекты: во-первых, необходим постоянный мониторинг</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частоты врожденных пороков сердца. Недостаточно частое обновление данных ведет к заниженной оценке величины риска в популяции </w:t>
      </w:r>
      <w:r>
        <w:rPr>
          <w:lang w:val="en-US" w:eastAsia="en-US" w:bidi="en-US"/>
          <w:w w:val="100"/>
          <w:spacing w:val="0"/>
          <w:color w:val="000000"/>
          <w:position w:val="0"/>
        </w:rPr>
        <w:t xml:space="preserve">(Waiker A.M.,1982); </w:t>
      </w:r>
      <w:r>
        <w:rPr>
          <w:lang w:val="ru-RU" w:eastAsia="ru-RU" w:bidi="ru-RU"/>
          <w:w w:val="100"/>
          <w:spacing w:val="0"/>
          <w:color w:val="000000"/>
          <w:position w:val="0"/>
        </w:rPr>
        <w:t>во-вторых, выборка, по которой ведется расчет, должна отображать характерис</w:t>
        <w:softHyphen/>
        <w:t>тики популяции, в которой нужно оценить риск. Должны быть приняты во внимание следующие факторы: возраст матери, расовая принадлежность, порядок беременности, курение, прием алкоголя, сопутствующие заболевания и тяжесть клинических симптомов, принимаемые беремен</w:t>
        <w:softHyphen/>
        <w:t>ной лекарственные средства (особенно антиконвульсанты, гормональные препараты), влияние микросоциального ок</w:t>
        <w:softHyphen/>
        <w:t xml:space="preserve">ружения и т.п. </w:t>
      </w:r>
      <w:r>
        <w:rPr>
          <w:lang w:val="en-US" w:eastAsia="en-US" w:bidi="en-US"/>
          <w:w w:val="100"/>
          <w:spacing w:val="0"/>
          <w:color w:val="000000"/>
          <w:position w:val="0"/>
        </w:rPr>
        <w:t xml:space="preserve">(Last J.M.,1983); </w:t>
      </w:r>
      <w:r>
        <w:rPr>
          <w:lang w:val="ru-RU" w:eastAsia="ru-RU" w:bidi="ru-RU"/>
          <w:w w:val="100"/>
          <w:spacing w:val="0"/>
          <w:color w:val="000000"/>
          <w:position w:val="0"/>
        </w:rPr>
        <w:t>в-третьих, необходимо знать базальную частоту встречаемости исследуемого признака (конкретного врожденного порока сердца) в популяции. В целом, используя материалы многих исследований, ус</w:t>
        <w:softHyphen/>
        <w:t>редненная частота врожденных пороков сердца принимает</w:t>
        <w:softHyphen/>
        <w:t>ся за 0,68% (или 6,8%</w:t>
      </w:r>
      <w:r>
        <w:rPr>
          <w:rStyle w:val="CharStyle99"/>
        </w:rPr>
        <w:t>с</w:t>
      </w:r>
      <w:r>
        <w:rPr>
          <w:lang w:val="ru-RU" w:eastAsia="ru-RU" w:bidi="ru-RU"/>
          <w:w w:val="100"/>
          <w:spacing w:val="0"/>
          <w:color w:val="000000"/>
          <w:position w:val="0"/>
        </w:rPr>
        <w:t>). Однако истинная частота, если учитывать каждое исследование даже с единичными на</w:t>
        <w:softHyphen/>
        <w:t>блюдениями, будет составлять приблизительно 13,6%</w:t>
      </w:r>
      <w:r>
        <w:rPr>
          <w:rStyle w:val="CharStyle99"/>
        </w:rPr>
        <w:t>с</w:t>
      </w:r>
      <w:r>
        <w:rPr>
          <w:lang w:val="ru-RU" w:eastAsia="ru-RU" w:bidi="ru-RU"/>
          <w:w w:val="100"/>
          <w:spacing w:val="0"/>
          <w:color w:val="000000"/>
          <w:position w:val="0"/>
        </w:rPr>
        <w: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встречаемости исследуемого признака должна быть обратно пропорциональна количеству наблюдений. Известно, что только для того чтобы статистически досто</w:t>
        <w:softHyphen/>
        <w:t>верно подтвердить двукратное увеличение частоты возник</w:t>
        <w:softHyphen/>
        <w:t>новения врожденных пороков сердца, количество обследо</w:t>
        <w:softHyphen/>
        <w:t xml:space="preserve">ванных беременных должно быть не менее 3717 </w:t>
      </w:r>
      <w:r>
        <w:rPr>
          <w:lang w:val="en-US" w:eastAsia="en-US" w:bidi="en-US"/>
          <w:w w:val="100"/>
          <w:spacing w:val="0"/>
          <w:color w:val="000000"/>
          <w:position w:val="0"/>
        </w:rPr>
        <w:t>(Petitti D.B.,1982).</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суждении о величине риска у конкретного ребенка при действии на беременную различных тератогенных фак</w:t>
        <w:softHyphen/>
        <w:t>торов необходимо проводить оценку риска. Риск сам по се</w:t>
        <w:softHyphen/>
        <w:t>бе — это возможность проявления события, и поэтому оцен</w:t>
        <w:softHyphen/>
        <w:t xml:space="preserve">ка риска — это также возможное понятие </w:t>
      </w:r>
      <w:r>
        <w:rPr>
          <w:lang w:val="en-US" w:eastAsia="en-US" w:bidi="en-US"/>
          <w:w w:val="100"/>
          <w:spacing w:val="0"/>
          <w:color w:val="000000"/>
          <w:position w:val="0"/>
        </w:rPr>
        <w:t>(Last J.M.,1983).</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Ниже приведены пять различных оценок риска:</w:t>
      </w:r>
    </w:p>
    <w:p>
      <w:pPr>
        <w:pStyle w:val="Style30"/>
        <w:numPr>
          <w:ilvl w:val="0"/>
          <w:numId w:val="2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Абсолютный риск равен отношению количества де</w:t>
        <w:softHyphen/>
        <w:t>тей с врожденными пороками сердца, подвергшихся внутриутробному действию тератогенного фактора, к количеству всех детей, подвергшихся внутриутроб</w:t>
        <w:softHyphen/>
        <w:t>ному воздействию данного тератогена, выраженному в процентах.</w:t>
      </w:r>
    </w:p>
    <w:p>
      <w:pPr>
        <w:pStyle w:val="Style30"/>
        <w:numPr>
          <w:ilvl w:val="0"/>
          <w:numId w:val="2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Относительный риск равен отношению величины риска среди подверженных действию тератогенного фактора к показателю риска среди неподверженных.</w:t>
      </w:r>
    </w:p>
    <w:p>
      <w:pPr>
        <w:pStyle w:val="Style30"/>
        <w:numPr>
          <w:ilvl w:val="0"/>
          <w:numId w:val="2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Атрибутивный риск равен разности между числом неподверженных действию тератогенного фактора и числом подверженных.</w:t>
      </w:r>
    </w:p>
    <w:p>
      <w:pPr>
        <w:pStyle w:val="Style30"/>
        <w:numPr>
          <w:ilvl w:val="0"/>
          <w:numId w:val="25"/>
        </w:numPr>
        <w:tabs>
          <w:tab w:leader="none" w:pos="514"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Odds ratio </w:t>
      </w:r>
      <w:r>
        <w:rPr>
          <w:lang w:val="ru-RU" w:eastAsia="ru-RU" w:bidi="ru-RU"/>
          <w:w w:val="100"/>
          <w:spacing w:val="0"/>
          <w:color w:val="000000"/>
          <w:position w:val="0"/>
        </w:rPr>
        <w:t>(соотношение вероятностей) — это отно</w:t>
        <w:softHyphen/>
        <w:t>шение числа беременных, подвергшихся действию тератогенного фактора, дети которых родились с врожденными пороками сердца, + число беремен</w:t>
        <w:softHyphen/>
        <w:t>ных, не подвергшихся действию тератогенного фак</w:t>
        <w:softHyphen/>
        <w:t>тора, дети которых родились здоровыми, к числу бе</w:t>
        <w:softHyphen/>
        <w:t>ременных, не подвергавшихся действию тератоген</w:t>
        <w:softHyphen/>
        <w:t>ного фактора, дети которых имеют врожденные по</w:t>
        <w:softHyphen/>
        <w:t>роки сердца, + число беременных, подвергшихся те</w:t>
        <w:softHyphen/>
        <w:t>ратогенному воздействию, дети которых здоровы.</w:t>
      </w:r>
    </w:p>
    <w:p>
      <w:pPr>
        <w:pStyle w:val="Style30"/>
        <w:numPr>
          <w:ilvl w:val="0"/>
          <w:numId w:val="2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Стандартизированный относительный риск (СОР) используется в некоторых исследованиях как наибо</w:t>
        <w:softHyphen/>
        <w:t>лее точная оценка риска. При этом СОР складывает</w:t>
        <w:softHyphen/>
        <w:t>ся из нескольких показателей, в которых может од</w:t>
        <w:softHyphen/>
        <w:t>новременно учитываться воздействие нескольких идентифицированных факторов риска. Вычисляется СОР с обязательным определением доверительных интервалов.</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Расчет риска возникновения врожденных пороков серд</w:t>
        <w:softHyphen/>
        <w:t>ца у детей ведется на количество беременных, подвергших</w:t>
        <w:softHyphen/>
        <w:t>ся действию фактора риска, а не на количество новорож</w:t>
        <w:softHyphen/>
        <w:t>денных в исследуемой популяции. При этом абсолютный риск практически информативен только при достаточно большом объеме наблюдений (а не на примере единичных случаев). Однако большинство научных работ и сообщений содержат именно единичные наблюдения или анализируют малые выборки, что создает трудности при сборе и оценке эпидемиологических данных.</w:t>
      </w:r>
    </w:p>
    <w:p>
      <w:pPr>
        <w:pStyle w:val="Style30"/>
        <w:widowControl w:val="0"/>
        <w:keepNext w:val="0"/>
        <w:keepLines w:val="0"/>
        <w:shd w:val="clear" w:color="auto" w:fill="auto"/>
        <w:bidi w:val="0"/>
        <w:spacing w:before="0" w:after="146"/>
        <w:ind w:left="0" w:right="0" w:firstLine="280"/>
      </w:pPr>
      <w:r>
        <w:rPr>
          <w:lang w:val="ru-RU" w:eastAsia="ru-RU" w:bidi="ru-RU"/>
          <w:w w:val="100"/>
          <w:spacing w:val="0"/>
          <w:color w:val="000000"/>
          <w:position w:val="0"/>
        </w:rPr>
        <w:t>При проведении оценки необходимо помнить, что риск для будущего популяции в эпидемиологическом отноше</w:t>
        <w:softHyphen/>
        <w:t>нии, даже если относительный риск конкретного заболева</w:t>
        <w:softHyphen/>
        <w:t>ния высокий, может быть незначительным, если заболева</w:t>
        <w:softHyphen/>
        <w:t>ние очень редкое. На практике обычно используется пока</w:t>
        <w:softHyphen/>
        <w:t>затель относительного риска. Он считается достоверным, если равен или превышает два.</w:t>
      </w:r>
    </w:p>
    <w:p>
      <w:pPr>
        <w:pStyle w:val="Style54"/>
        <w:widowControl w:val="0"/>
        <w:keepNext/>
        <w:keepLines/>
        <w:shd w:val="clear" w:color="auto" w:fill="auto"/>
        <w:bidi w:val="0"/>
        <w:jc w:val="left"/>
        <w:spacing w:before="0" w:after="0" w:line="259" w:lineRule="exact"/>
        <w:ind w:left="0" w:right="0" w:firstLine="0"/>
      </w:pPr>
      <w:bookmarkStart w:id="266" w:name="bookmark266"/>
      <w:r>
        <w:rPr>
          <w:lang w:val="ru-RU" w:eastAsia="ru-RU" w:bidi="ru-RU"/>
          <w:w w:val="100"/>
          <w:spacing w:val="0"/>
          <w:color w:val="000000"/>
          <w:position w:val="0"/>
        </w:rPr>
        <w:t>Врожденные пороки сердца, обусловленные хромосомными аберрациями</w:t>
      </w:r>
      <w:bookmarkEnd w:id="26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Хромосомные аберрации наблюдаются у 0,5% населения при рождении и гораздо более часто их находят в опухолевых новообразованиях. Видимые хромосомные нарушения явля</w:t>
        <w:softHyphen/>
        <w:t>ются причиной тяжелых пороков развития сердечно-сосуди</w:t>
        <w:softHyphen/>
        <w:t>стой системы, которые проявляются в периоде новорожден- ности. Частота выявления хромосомных аберраций у живо</w:t>
        <w:softHyphen/>
        <w:t>рожденных младенцев с пороками сердца варьирует от 5 до 13 процентов. Более 40% плодов на сроке гестации 18-20 не</w:t>
        <w:softHyphen/>
        <w:t>дель имеют хромосомные аберрации. Многие такие бере</w:t>
        <w:softHyphen/>
        <w:t>менности оканчиваются спонтанными абортами. Большин</w:t>
        <w:softHyphen/>
        <w:t>ство форм анеуплоидий, а также дупликаций и обширных делеций хромосом сопровождаются развитием пороков сер</w:t>
        <w:softHyphen/>
        <w:t>дечно-сосудистой системы. Исключением являются, пожа</w:t>
        <w:softHyphen/>
        <w:t xml:space="preserve">луй, лишь аномалии 47ХХХ, </w:t>
      </w:r>
      <w:r>
        <w:rPr>
          <w:lang w:val="en-US" w:eastAsia="en-US" w:bidi="en-US"/>
          <w:w w:val="100"/>
          <w:spacing w:val="0"/>
          <w:color w:val="000000"/>
          <w:position w:val="0"/>
        </w:rPr>
        <w:t xml:space="preserve">47XYY </w:t>
      </w:r>
      <w:r>
        <w:rPr>
          <w:lang w:val="ru-RU" w:eastAsia="ru-RU" w:bidi="ru-RU"/>
          <w:w w:val="100"/>
          <w:spacing w:val="0"/>
          <w:color w:val="000000"/>
          <w:position w:val="0"/>
        </w:rPr>
        <w:t xml:space="preserve">и </w:t>
      </w:r>
      <w:r>
        <w:rPr>
          <w:lang w:val="en-US" w:eastAsia="en-US" w:bidi="en-US"/>
          <w:w w:val="100"/>
          <w:spacing w:val="0"/>
          <w:color w:val="000000"/>
          <w:position w:val="0"/>
        </w:rPr>
        <w:t xml:space="preserve">47XXY </w:t>
      </w:r>
      <w:r>
        <w:rPr>
          <w:lang w:val="ru-RU" w:eastAsia="ru-RU" w:bidi="ru-RU"/>
          <w:w w:val="100"/>
          <w:spacing w:val="0"/>
          <w:color w:val="000000"/>
          <w:position w:val="0"/>
        </w:rPr>
        <w:t>(синдром Клайнфельтера), при которых частота выявления врожден</w:t>
        <w:softHyphen/>
        <w:t>ных пороков сердца не отличается от популяционной.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Анеуплоидии. Каким образом аутосомные анеуплоидии приводят к развитию патологического фенотипа, до сих пор остается недостаточно ясным. Существует мнение, со</w:t>
        <w:softHyphen/>
        <w:t>гласно которому основополагающей точкой в данном про</w:t>
        <w:softHyphen/>
        <w:t>цессе является нарушение «дозы генов» вследствие изме</w:t>
        <w:softHyphen/>
        <w:t>ненного количества хромосом. Согласно другой точке зре</w:t>
        <w:softHyphen/>
        <w:t>ния анеуплоидии приводят к нарушению организменного гомеостазиса и вследствие этого неспецифическим образом воздействуют на формирование фенотипа.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часто встречающиеся анеуплоидии — это ау- тосомальные трисомии 13, 18 и 21. Для всех трех характер</w:t>
        <w:softHyphen/>
        <w:t>но наличие дефекта межпредсердной перегородки и мем</w:t>
        <w:softHyphen/>
        <w:t>бранозного дефекта межжелудочковой перегородки. Одна</w:t>
        <w:softHyphen/>
        <w:t>ко детальное исследование сердечно-сосудистых аномалий у большого количества детей с трисомиями позволяет сде</w:t>
        <w:softHyphen/>
        <w:t>лать вывод, что данные анеуплоидии оказывают более спе</w:t>
        <w:softHyphen/>
        <w:t>цифическое, а не просто глобальное влияние на развитие человеческого организма.</w:t>
      </w:r>
    </w:p>
    <w:p>
      <w:pPr>
        <w:pStyle w:val="Style30"/>
        <w:widowControl w:val="0"/>
        <w:keepNext w:val="0"/>
        <w:keepLines w:val="0"/>
        <w:shd w:val="clear" w:color="auto" w:fill="auto"/>
        <w:bidi w:val="0"/>
        <w:spacing w:before="0" w:after="0"/>
        <w:ind w:left="0" w:right="0" w:firstLine="280"/>
        <w:sectPr>
          <w:type w:val="continuous"/>
          <w:pgSz w:w="11900" w:h="16840"/>
          <w:pgMar w:top="1579" w:left="1013" w:right="1000" w:bottom="1752" w:header="0" w:footer="3" w:gutter="0"/>
          <w:rtlGutter w:val="0"/>
          <w:cols w:num="2" w:space="151"/>
          <w:noEndnote/>
          <w:docGrid w:linePitch="360"/>
        </w:sectPr>
      </w:pPr>
      <w:r>
        <w:rPr>
          <w:lang w:val="ru-RU" w:eastAsia="ru-RU" w:bidi="ru-RU"/>
          <w:w w:val="100"/>
          <w:spacing w:val="0"/>
          <w:color w:val="000000"/>
          <w:position w:val="0"/>
        </w:rPr>
        <w:t>Около 25% всех пороков сердца, выявляемых у больных с трисомией 13 и 18, в своей патогенетической основе име</w:t>
        <w:softHyphen/>
        <w:t>ют нарушение миграции клеток, еще около 65% пороков обусловлены нарушением потоков крови. В противополож</w:t>
        <w:softHyphen/>
        <w:t>ность этому при трисомии 21 основным патогенетическим механизмом развития пороков сердца является аномальное закрытие эндокардиальных подушек (наиболее часто — от-</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60" w:after="60"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121" type="#_x0000_t75" style="position:absolute;margin-left:153.7pt;margin-top:0;width:209.75pt;height:14.9pt;z-index:-251658732;mso-wrap-distance-left:5.pt;mso-wrap-distance-right:5.pt;mso-position-horizontal-relative:margin" wrapcoords="0 0">
            <v:imagedata r:id="rId154" r:href="rId155"/>
            <w10:wrap anchorx="margin"/>
          </v:shape>
        </w:pict>
      </w:r>
    </w:p>
    <w:p>
      <w:pPr>
        <w:widowControl w:val="0"/>
        <w:rPr>
          <w:sz w:val="2"/>
          <w:szCs w:val="2"/>
        </w:rPr>
        <w:sectPr>
          <w:type w:val="continuous"/>
          <w:pgSz w:w="11900" w:h="16840"/>
          <w:pgMar w:top="1468" w:left="898" w:right="1119" w:bottom="192" w:header="0" w:footer="3" w:gutter="0"/>
          <w:rtlGutter w:val="0"/>
          <w:cols w:space="720"/>
          <w:noEndnote/>
          <w:docGrid w:linePitch="360"/>
        </w:sectPr>
      </w:pPr>
    </w:p>
    <w:p>
      <w:pPr>
        <w:pStyle w:val="Style39"/>
        <w:framePr w:w="9883" w:wrap="notBeside" w:vAnchor="text" w:hAnchor="text" w:xAlign="center" w:y="1"/>
        <w:widowControl w:val="0"/>
        <w:keepNext w:val="0"/>
        <w:keepLines w:val="0"/>
        <w:shd w:val="clear" w:color="auto" w:fill="auto"/>
        <w:bidi w:val="0"/>
        <w:spacing w:before="0" w:after="0" w:line="170" w:lineRule="exact"/>
        <w:ind w:left="0" w:right="0" w:firstLine="0"/>
      </w:pPr>
      <w:r>
        <w:rPr>
          <w:rStyle w:val="CharStyle100"/>
          <w:i/>
          <w:iCs/>
        </w:rPr>
        <w:t>Таблица 2</w:t>
      </w:r>
    </w:p>
    <w:p>
      <w:pPr>
        <w:pStyle w:val="Style96"/>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Врожденные пороки сердца при хромосомных аберрациях</w:t>
      </w:r>
    </w:p>
    <w:tbl>
      <w:tblPr>
        <w:tblOverlap w:val="never"/>
        <w:tblLayout w:type="fixed"/>
        <w:jc w:val="center"/>
      </w:tblPr>
      <w:tblGrid>
        <w:gridCol w:w="2760"/>
        <w:gridCol w:w="1392"/>
        <w:gridCol w:w="5731"/>
      </w:tblGrid>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Хромосомная аберрация</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Название</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Сердечно-сосудистые нарушения</w:t>
            </w:r>
          </w:p>
        </w:tc>
      </w:tr>
      <w:tr>
        <w:trPr>
          <w:trHeight w:val="240" w:hRule="exact"/>
        </w:trPr>
        <w:tc>
          <w:tcPr>
            <w:shd w:val="clear" w:color="auto" w:fill="FFFFFF"/>
            <w:gridSpan w:val="3"/>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Триплоидии:</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69, XXX (или </w:t>
            </w:r>
            <w:r>
              <w:rPr>
                <w:lang w:val="en-US" w:eastAsia="en-US" w:bidi="en-US"/>
                <w:w w:val="100"/>
                <w:spacing w:val="0"/>
                <w:color w:val="000000"/>
                <w:position w:val="0"/>
              </w:rPr>
              <w:t xml:space="preserve">XXY </w:t>
            </w:r>
            <w:r>
              <w:rPr>
                <w:lang w:val="ru-RU" w:eastAsia="ru-RU" w:bidi="ru-RU"/>
                <w:w w:val="100"/>
                <w:spacing w:val="0"/>
                <w:color w:val="000000"/>
                <w:position w:val="0"/>
              </w:rPr>
              <w:t xml:space="preserve">или </w:t>
            </w:r>
            <w:r>
              <w:rPr>
                <w:lang w:val="en-US" w:eastAsia="en-US" w:bidi="en-US"/>
                <w:w w:val="100"/>
                <w:spacing w:val="0"/>
                <w:color w:val="000000"/>
                <w:position w:val="0"/>
              </w:rPr>
              <w:t>XYY)</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 xml:space="preserve">Более </w:t>
            </w:r>
            <w:r>
              <w:rPr>
                <w:lang w:val="en-US" w:eastAsia="en-US" w:bidi="en-US"/>
                <w:w w:val="100"/>
                <w:spacing w:val="0"/>
                <w:color w:val="000000"/>
                <w:position w:val="0"/>
              </w:rPr>
              <w:t xml:space="preserve">50% </w:t>
            </w:r>
            <w:r>
              <w:rPr>
                <w:lang w:val="ru-RU" w:eastAsia="ru-RU" w:bidi="ru-RU"/>
                <w:w w:val="100"/>
                <w:spacing w:val="0"/>
                <w:color w:val="000000"/>
                <w:position w:val="0"/>
              </w:rPr>
              <w:t>больных имеют врожденные пороки сердца: ДМПП или ДМЖП.</w:t>
            </w:r>
          </w:p>
        </w:tc>
      </w:tr>
      <w:tr>
        <w:trPr>
          <w:trHeight w:val="235" w:hRule="exact"/>
        </w:trPr>
        <w:tc>
          <w:tcPr>
            <w:shd w:val="clear" w:color="auto" w:fill="FFFFFF"/>
            <w:gridSpan w:val="3"/>
            <w:tcBorders>
              <w:left w:val="single" w:sz="4"/>
              <w:righ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Анеуплоидии:</w:t>
            </w:r>
          </w:p>
        </w:tc>
      </w:tr>
      <w:tr>
        <w:trPr>
          <w:trHeight w:val="634"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+13</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Patau</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Около 80% больных имеют врожденные пороки сердца; 75% имеют комплекс: ОАП, ДМЖП, ДМПП, стеноз легочной артерии, декстрокардия, коарктация аорты.</w:t>
            </w:r>
          </w:p>
        </w:tc>
      </w:tr>
      <w:tr>
        <w:trPr>
          <w:trHeight w:val="629"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+18</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Edwards</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Около 90% больных имеют врожденные пороки сердца; большинство имеют сочетание: ДМЖП, ОАП, ДМПП, двустворчатый клапан легочной артерии или аорты, коарктация аорты.</w:t>
            </w:r>
          </w:p>
        </w:tc>
      </w:tr>
      <w:tr>
        <w:trPr>
          <w:trHeight w:val="634"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+21</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Down</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40% больных имеют врожденные пороки сердца; дефекты эндокардиальной подушки (атриовентрикулярная коммуникация), тетрада Фалло; ПМК имеют 20% больных; аортальная регургитация.</w:t>
            </w:r>
          </w:p>
        </w:tc>
      </w:tr>
      <w:tr>
        <w:trPr>
          <w:trHeight w:val="446"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 мозаицизм</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25% больных имеют врожденные пороки сердца: ДМЖП, ОАП, коарктация аорты, клапанный стеноз легочной артерии.</w:t>
            </w:r>
          </w:p>
        </w:tc>
      </w:tr>
      <w:tr>
        <w:trPr>
          <w:trHeight w:val="437"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 мозаицизм</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70% больных имеют врожденные пороки сердца, обычно в виде комплекса: ДМЖП, ОАП и персистирующая левая передняя полая вена.</w:t>
            </w:r>
          </w:p>
        </w:tc>
      </w:tr>
      <w:tr>
        <w:trPr>
          <w:trHeight w:val="811"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45, Х</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Turner</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10% больных имеют врожденные пороки сердца: 50% из них — коарктация аорты; значительно чаще выявляются клинически малозначимые коарктации аорты; декстрокардия; клапанный стеноз аорты, ДМЖП, ДМПП, дилатация корня аорты.</w:t>
            </w:r>
          </w:p>
        </w:tc>
      </w:tr>
      <w:tr>
        <w:trPr>
          <w:trHeight w:val="235" w:hRule="exact"/>
        </w:trPr>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47, ХХХ</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Пороки сердца не чаще, чем в целом по популяции.</w:t>
            </w:r>
          </w:p>
        </w:tc>
      </w:tr>
      <w:tr>
        <w:trPr>
          <w:trHeight w:val="634"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47, </w:t>
            </w:r>
            <w:r>
              <w:rPr>
                <w:lang w:val="en-US" w:eastAsia="en-US" w:bidi="en-US"/>
                <w:w w:val="100"/>
                <w:spacing w:val="0"/>
                <w:color w:val="000000"/>
                <w:position w:val="0"/>
              </w:rPr>
              <w:t>XXY</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Klinefelter</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Частота выявления пороков сердца незначительно увеличена по сравнению с популяционной; чаще встречаются нарушения проводимости сердца, веноз</w:t>
              <w:softHyphen/>
              <w:t>ные тромбоэмболии.</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47, </w:t>
            </w:r>
            <w:r>
              <w:rPr>
                <w:lang w:val="en-US" w:eastAsia="en-US" w:bidi="en-US"/>
                <w:w w:val="100"/>
                <w:spacing w:val="0"/>
                <w:color w:val="000000"/>
                <w:position w:val="0"/>
              </w:rPr>
              <w:t>XYY</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Частота выявления пороков сердца незначительно увеличена по сравнению с популяционной; чаще встречаются нарушения проводимости сердца.</w:t>
            </w:r>
          </w:p>
        </w:tc>
      </w:tr>
      <w:tr>
        <w:trPr>
          <w:trHeight w:val="235" w:hRule="exact"/>
        </w:trPr>
        <w:tc>
          <w:tcPr>
            <w:shd w:val="clear" w:color="auto" w:fill="FFFFFF"/>
            <w:gridSpan w:val="3"/>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Делеции:</w:t>
            </w:r>
          </w:p>
        </w:tc>
      </w:tr>
      <w:tr>
        <w:trPr>
          <w:trHeight w:val="437"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4р-</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Wolf-Hirschhorn</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50% больных имеют врожденные пороки сердца, обычно комплекс: ДМЖП, ДМПП, ОАП, клапанный стеноз легочной артерии.</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5р-</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Cii du chat</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20% больных имеют врожденные пороки сердца, обычно изолированные: ДМЖП, ОАП, ДМПП, клапанный стеноз легочной артерии.</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7q-</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20% имеют врожденный порок сердца, различные, обычно в комплексе.</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13q-</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Врожденные пороки сердца характерны, обычно тяжелые, вид порока зависит от локализации делеции.</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18q-</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25% больных имеют врожденные пороки сердца, обычно изолированные: ДМЖП, ОАП, ДМПП, клапанный стеноз аорты.</w:t>
            </w:r>
          </w:p>
        </w:tc>
      </w:tr>
      <w:tr>
        <w:trPr>
          <w:trHeight w:val="634"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Кольцевая 18</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20% больных имеют врожденные пороки сердца: коарктации аорты, гипопла</w:t>
              <w:softHyphen/>
              <w:t>зия легочной артерии, гипоплазия левого желудочка, персистирующая левая передняя полая вена.</w:t>
            </w:r>
          </w:p>
        </w:tc>
      </w:tr>
      <w:tr>
        <w:trPr>
          <w:trHeight w:val="235" w:hRule="exact"/>
        </w:trPr>
        <w:tc>
          <w:tcPr>
            <w:shd w:val="clear" w:color="auto" w:fill="FFFFFF"/>
            <w:gridSpan w:val="3"/>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03"/>
              </w:rPr>
              <w:t>Дупликации:</w:t>
            </w:r>
          </w:p>
        </w:tc>
      </w:tr>
      <w:tr>
        <w:trPr>
          <w:trHeight w:val="235" w:hRule="exact"/>
        </w:trPr>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4р трисомия</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10% больных имеют какой-либо изолированный врожденный порок сердца.</w:t>
            </w:r>
          </w:p>
        </w:tc>
      </w:tr>
      <w:tr>
        <w:trPr>
          <w:trHeight w:val="437"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9р трисомия</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Менее 10% больных имеют врожденные пороки сердца: ДМЖП, ДМПП, кла</w:t>
              <w:softHyphen/>
              <w:t>панный стеноз аорты или легочной артерии.</w:t>
            </w:r>
          </w:p>
        </w:tc>
      </w:tr>
      <w:tr>
        <w:trPr>
          <w:trHeight w:val="235" w:hRule="exact"/>
        </w:trPr>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10р трисомия</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30% имеют врожденный порок сердца.</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 xml:space="preserve">10q24-qter </w:t>
            </w:r>
            <w:r>
              <w:rPr>
                <w:lang w:val="ru-RU" w:eastAsia="ru-RU" w:bidi="ru-RU"/>
                <w:w w:val="100"/>
                <w:spacing w:val="0"/>
                <w:color w:val="000000"/>
                <w:position w:val="0"/>
              </w:rPr>
              <w:t>трисомия</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50% больных имеют врожденные пороки сердца, обычно в комплексе: дефек</w:t>
              <w:softHyphen/>
              <w:t>ты эндокардиальной подушки, ДМЖП, тетрада Фалло.</w:t>
            </w:r>
          </w:p>
        </w:tc>
      </w:tr>
      <w:tr>
        <w:trPr>
          <w:trHeight w:val="437"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 xml:space="preserve">22pter-q11 </w:t>
            </w:r>
            <w:r>
              <w:rPr>
                <w:lang w:val="ru-RU" w:eastAsia="ru-RU" w:bidi="ru-RU"/>
                <w:w w:val="100"/>
                <w:spacing w:val="0"/>
                <w:color w:val="000000"/>
                <w:position w:val="0"/>
              </w:rPr>
              <w:t>трисомия или тетрасомия</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Cat eye</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50% имеют врожденные пороки сердца, обычно в комплексе: ДМЖП, полный аномальный дренаж легочных вен, тетрада Фалло.</w:t>
            </w:r>
          </w:p>
        </w:tc>
      </w:tr>
      <w:tr>
        <w:trPr>
          <w:trHeight w:val="235" w:hRule="exact"/>
        </w:trPr>
        <w:tc>
          <w:tcPr>
            <w:shd w:val="clear" w:color="auto" w:fill="FFFFFF"/>
            <w:gridSpan w:val="3"/>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Другие аберрации:</w:t>
            </w:r>
          </w:p>
        </w:tc>
      </w:tr>
      <w:tr>
        <w:trPr>
          <w:trHeight w:val="245" w:hRule="exact"/>
        </w:trPr>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Marker Xq27.3</w:t>
            </w:r>
          </w:p>
        </w:tc>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Fragile X syndrome</w:t>
            </w:r>
          </w:p>
        </w:tc>
        <w:tc>
          <w:tcPr>
            <w:shd w:val="clear" w:color="auto" w:fill="FFFFFF"/>
            <w:tcBorders>
              <w:left w:val="single" w:sz="4"/>
              <w:righ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55% больных имеют дилатацию корня аорты и/или пролапс митрального клапана.</w:t>
            </w:r>
          </w:p>
        </w:tc>
      </w:tr>
    </w:tbl>
    <w:p>
      <w:pPr>
        <w:framePr w:w="9883" w:wrap="notBeside" w:vAnchor="text" w:hAnchor="text" w:xAlign="center" w:y="1"/>
        <w:widowControl w:val="0"/>
        <w:rPr>
          <w:sz w:val="2"/>
          <w:szCs w:val="2"/>
        </w:rPr>
      </w:pPr>
    </w:p>
    <w:p>
      <w:pPr>
        <w:widowControl w:val="0"/>
        <w:rPr>
          <w:sz w:val="2"/>
          <w:szCs w:val="2"/>
        </w:rPr>
      </w:pPr>
    </w:p>
    <w:p>
      <w:pPr>
        <w:pStyle w:val="Style104"/>
        <w:widowControl w:val="0"/>
        <w:keepNext w:val="0"/>
        <w:keepLines w:val="0"/>
        <w:shd w:val="clear" w:color="auto" w:fill="auto"/>
        <w:bidi w:val="0"/>
        <w:jc w:val="left"/>
        <w:spacing w:before="261" w:after="1937"/>
        <w:ind w:left="0" w:right="0"/>
      </w:pPr>
      <w:r>
        <w:rPr>
          <w:rStyle w:val="CharStyle106"/>
        </w:rPr>
        <w:t>Примечание:</w:t>
      </w:r>
      <w:r>
        <w:rPr>
          <w:lang w:val="ru-RU" w:eastAsia="ru-RU" w:bidi="ru-RU"/>
          <w:w w:val="100"/>
          <w:spacing w:val="0"/>
          <w:color w:val="000000"/>
          <w:position w:val="0"/>
        </w:rPr>
        <w:t xml:space="preserve"> ДМПП — дефект межпредсердной перегородки, ДМЖП — дефект межжелудочковой перегородки; ОАП — открытый артериальный проток.</w:t>
      </w:r>
    </w:p>
    <w:p>
      <w:pPr>
        <w:framePr w:h="293" w:wrap="notBeside" w:vAnchor="text" w:hAnchor="text" w:xAlign="center" w:y="1"/>
        <w:widowControl w:val="0"/>
        <w:jc w:val="center"/>
        <w:rPr>
          <w:sz w:val="2"/>
          <w:szCs w:val="2"/>
        </w:rPr>
      </w:pPr>
      <w:r>
        <w:pict>
          <v:shape id="_x0000_s1122" type="#_x0000_t75" style="width:210pt;height:15pt;">
            <v:imagedata r:id="rId156" r:href="rId157"/>
          </v:shape>
        </w:pict>
      </w:r>
    </w:p>
    <w:p>
      <w:pPr>
        <w:widowControl w:val="0"/>
        <w:rPr>
          <w:sz w:val="2"/>
          <w:szCs w:val="2"/>
        </w:rPr>
      </w:pPr>
    </w:p>
    <w:p>
      <w:pPr>
        <w:widowControl w:val="0"/>
        <w:rPr>
          <w:sz w:val="2"/>
          <w:szCs w:val="2"/>
        </w:rPr>
        <w:sectPr>
          <w:pgSz w:w="11900" w:h="16840"/>
          <w:pgMar w:top="2379" w:left="1128" w:right="888" w:bottom="147" w:header="0" w:footer="3" w:gutter="0"/>
          <w:rtlGutter w:val="0"/>
          <w:cols w:space="720"/>
          <w:noEndnote/>
          <w:docGrid w:linePitch="360"/>
        </w:sectPr>
      </w:pPr>
    </w:p>
    <w:p>
      <w:pPr>
        <w:widowControl w:val="0"/>
        <w:rPr>
          <w:sz w:val="2"/>
          <w:szCs w:val="2"/>
        </w:rPr>
      </w:pPr>
      <w:r>
        <w:pict>
          <v:shape id="_x0000_s1123" type="#_x0000_t75" style="position:absolute;margin-left:148.1pt;margin-top:736.3pt;width:209.75pt;height:14.9pt;z-index:-125829327;mso-wrap-distance-left:148.1pt;mso-wrap-distance-right:136.8pt;mso-wrap-distance-bottom:10.8pt;mso-position-horizontal-relative:margin" wrapcoords="0 0 21600 0 21600 21600 0 21600 0 0">
            <v:imagedata r:id="rId158" r:href="rId159"/>
            <w10:wrap type="topAndBottom" anchorx="margin"/>
          </v:shape>
        </w:pic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крытый атриовентрикулярный канал), а левосторонние на</w:t>
        <w:softHyphen/>
        <w:t>рушения потоков крови являются крайне редкими.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В табл. 2 представлены основные хромосомные анома</w:t>
        <w:softHyphen/>
        <w:t>лии, сочетающиеся с врожденными пороками сердечно-со</w:t>
        <w:softHyphen/>
        <w:t>судистой системы.</w:t>
      </w:r>
    </w:p>
    <w:p>
      <w:pPr>
        <w:pStyle w:val="Style92"/>
        <w:widowControl w:val="0"/>
        <w:keepNext/>
        <w:keepLines/>
        <w:shd w:val="clear" w:color="auto" w:fill="auto"/>
        <w:bidi w:val="0"/>
        <w:spacing w:before="0" w:after="0"/>
        <w:ind w:left="0" w:right="0" w:firstLine="280"/>
      </w:pPr>
      <w:bookmarkStart w:id="267" w:name="bookmark267"/>
      <w:r>
        <w:rPr>
          <w:lang w:val="ru-RU" w:eastAsia="ru-RU" w:bidi="ru-RU"/>
          <w:w w:val="100"/>
          <w:spacing w:val="0"/>
          <w:color w:val="000000"/>
          <w:position w:val="0"/>
        </w:rPr>
        <w:t>Трисомия 21 (синдром Дауна)</w:t>
      </w:r>
      <w:bookmarkEnd w:id="26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синдрома Дауна характерен наиболее типичный фе</w:t>
        <w:softHyphen/>
        <w:t>нотип, развивающийся вследствие хромосомной аберра</w:t>
        <w:softHyphen/>
        <w:t>ции. Этот синдром встречается с частотой 1 на 600 ново</w:t>
        <w:softHyphen/>
        <w:t>рожденных. Большинство больных имеют трисомию 21. Частота возникновения синдрома возрастает прямо про</w:t>
        <w:softHyphen/>
        <w:t>порционально возрасту матери. У матерей в возрасте до 35 лет риск минимален, после 35 он возрастает, достигая 4% у матерей старше 45 лет. В 3% случаев синдром Дауна возникает вследствие дополнительной копии части или всего длинного плеча 21 хромосомы, транслоцированной на другую хромосому. Эта причина чаще выявляется у мате</w:t>
        <w:softHyphen/>
        <w:t>рей в возрасте до 30 лет. Фенотип синдрома Дауна в обоих случаях различий не имеет.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картина при синдроме Дауна менее тяже</w:t>
        <w:softHyphen/>
        <w:t>лая, если наблюдается мозаицизм трисомии (3% от всех случаев синдрома Дауна).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Самой частой причиной смерти при синдроме Дауна яв</w:t>
        <w:softHyphen/>
        <w:t>ляется сердечная недостаточность вследствие врожденного порока сердца. На втором месте — злокачественные заболе</w:t>
        <w:softHyphen/>
        <w:t>вания крови, на третьем — атрезия 12-перстной кишки. Больные, благополучно пережившие вышеуказанные проб</w:t>
        <w:softHyphen/>
        <w:t>лемы, доживают до пятой декады жизни и даже более того. Однако их социальная адаптация в значительной мере стра</w:t>
        <w:softHyphen/>
        <w:t>дает из-за прогрессирующей деменции по типу болезни Альцгеймера. Описано преждевременное старение стенок сосудов у таких больных, однако достоверных и обширных исследований по этой проблеме не проводилось. Наиболее частой патологией со стороны сердечно-сосудистой систе</w:t>
        <w:softHyphen/>
        <w:t>мы у больных синдромом Дауна является порок сердца, раз</w:t>
        <w:softHyphen/>
        <w:t>вивающийся вследствие нарушения закрытия эндокарди</w:t>
        <w:softHyphen/>
        <w:t>альных подушек (первичный дефект межпредсердной пере</w:t>
        <w:softHyphen/>
        <w:t>городки, открытый атриовентрикулярный канал). Клиниче</w:t>
        <w:softHyphen/>
        <w:t>скую картину у больных с дефектом межпредсердной пере</w:t>
        <w:softHyphen/>
        <w:t>городки осложняет быстро развивающаяся легочная гипер</w:t>
        <w:softHyphen/>
        <w:t>тензия. У трети больных с синдромом Дауна пороки сердца бывают комплексными. Именно у них синдром протекает наиболее тяжело и продолжительность жизни наименьшая. С возрастом у больных значительно увеличивается частота выявления пролапса митрального клапана, возникает фене</w:t>
        <w:softHyphen/>
        <w:t>страция створок аортального и пульмонального клапанов. При исследовании больных с трисомией части 21 хромосо</w:t>
        <w:softHyphen/>
        <w:t xml:space="preserve">мы обнаружено, что регионом, критическим по развитию врожденных пороков сердца, является участок хромосомы протяженностью 1,5-2 мегабазы в области </w:t>
      </w:r>
      <w:r>
        <w:rPr>
          <w:lang w:val="en-US" w:eastAsia="en-US" w:bidi="en-US"/>
          <w:w w:val="100"/>
          <w:spacing w:val="0"/>
          <w:color w:val="000000"/>
          <w:position w:val="0"/>
        </w:rPr>
        <w:t xml:space="preserve">21q22.2 </w:t>
      </w:r>
      <w:r>
        <w:rPr>
          <w:lang w:val="ru-RU" w:eastAsia="ru-RU" w:bidi="ru-RU"/>
          <w:w w:val="100"/>
          <w:spacing w:val="0"/>
          <w:color w:val="000000"/>
          <w:position w:val="0"/>
        </w:rPr>
        <w:t>(все длинное плечо 21 хромосомы составляет 35 мегабаз).</w:t>
      </w:r>
    </w:p>
    <w:p>
      <w:pPr>
        <w:pStyle w:val="Style92"/>
        <w:widowControl w:val="0"/>
        <w:keepNext/>
        <w:keepLines/>
        <w:shd w:val="clear" w:color="auto" w:fill="auto"/>
        <w:bidi w:val="0"/>
        <w:spacing w:before="0" w:after="0"/>
        <w:ind w:left="0" w:right="0" w:firstLine="280"/>
      </w:pPr>
      <w:bookmarkStart w:id="268" w:name="bookmark268"/>
      <w:r>
        <w:rPr>
          <w:lang w:val="ru-RU" w:eastAsia="ru-RU" w:bidi="ru-RU"/>
          <w:w w:val="100"/>
          <w:spacing w:val="0"/>
          <w:color w:val="000000"/>
          <w:position w:val="0"/>
        </w:rPr>
        <w:t>Трисомия 18 (синдром Эдвардса)</w:t>
      </w:r>
      <w:bookmarkEnd w:id="26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Эдвардса является второй по частоте встречае</w:t>
        <w:softHyphen/>
        <w:t>мости трисомией у человека. Большинство случаев синдро</w:t>
        <w:softHyphen/>
        <w:t>ма возникает вследствие нарушения мейотического деле</w:t>
        <w:softHyphen/>
        <w:t>ния. Частота возникновения заболевания строго коррели</w:t>
        <w:softHyphen/>
        <w:t>рует с возрастом матери. Рутинная пренатальная диагнос</w:t>
        <w:softHyphen/>
        <w:t>тика беременных старше 34 лет позволила бы своевременно диагностировать все возможные аутосомные трисомии плода. Однако тестированию подвергаются менее 50% бе</w:t>
        <w:softHyphen/>
        <w:br w:type="column"/>
        <w:t>ременных этой возрастной группы. Проведение пренаталь</w:t>
        <w:softHyphen/>
        <w:t>ной диагностики трисомий у беременных старше 34 лет по</w:t>
        <w:softHyphen/>
        <w:t>зволило значимо снизить частоту встречаемости синдромов Дауна, Эдвардса и Патау.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Несмотря на то что тяжесть клинических проявлений за</w:t>
        <w:softHyphen/>
        <w:t>болевания должна была бы результироваться со смертью больного в течение первых месяцев жизни, некоторые па</w:t>
        <w:softHyphen/>
        <w:t>циенты доживают до 1 года, а в редких случаях и до под</w:t>
        <w:softHyphen/>
        <w:t>росткового возраста (хотя в таких ситуациях речь идет, как правило, о нераспознанном мозаицизме).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Центральная нервная система при данных синдромах поражается в значительно большей степени, чем при синд</w:t>
        <w:softHyphen/>
        <w:t>роме Дауна, и поддержание жизненных функций требует постоянной помощи врачей.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Врожденные пороки сердца диагностируются приблизи</w:t>
        <w:softHyphen/>
        <w:t>тельно у 90% больных и, как правило, приводят клетально- му исходу. Комплексность пороков в виде диспластических изменений клапанов (которые, однако, редко бывают гемо</w:t>
        <w:softHyphen/>
        <w:t>динамически значимыми), открытого артериального про</w:t>
        <w:softHyphen/>
        <w:t>тока и персистирования передней левой полой вены наибо - лее характерны. Типично увеличение правого желудочка, причем не только из-за лево-правого сброса крови, но и вследствие легочной гипертензии, которая возникает из-за аномалий развития сосудов легких. Так же как и при синдроме Дауна, транспозиции магистральных сосудов обычно не наблюдается. Диагноз врожденного порока сердца устанавливается с помощью эхокардиографии, сложные инвазивные процедуры при синдроме Эдвардса обычно не требуются.</w:t>
      </w:r>
    </w:p>
    <w:p>
      <w:pPr>
        <w:pStyle w:val="Style92"/>
        <w:widowControl w:val="0"/>
        <w:keepNext/>
        <w:keepLines/>
        <w:shd w:val="clear" w:color="auto" w:fill="auto"/>
        <w:bidi w:val="0"/>
        <w:spacing w:before="0" w:after="0"/>
        <w:ind w:left="0" w:right="0" w:firstLine="280"/>
      </w:pPr>
      <w:bookmarkStart w:id="269" w:name="bookmark269"/>
      <w:r>
        <w:rPr>
          <w:lang w:val="ru-RU" w:eastAsia="ru-RU" w:bidi="ru-RU"/>
          <w:w w:val="100"/>
          <w:spacing w:val="0"/>
          <w:color w:val="000000"/>
          <w:position w:val="0"/>
        </w:rPr>
        <w:t>Трисомия 13 (Синдром Патау)</w:t>
      </w:r>
      <w:bookmarkEnd w:id="26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Патау наблюдается у 0,01% всех живорожден</w:t>
        <w:softHyphen/>
        <w:t>ных детей и со значительно большей частотой регистриру</w:t>
        <w:softHyphen/>
        <w:t>ется среди мертворожденных и при спонтанных абортах.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Выживаемость в пределах нескольких недель крайне редка. Смерть наступает вследствие тяжелой полиорганной патологии, в частности, тяжелого поражения сердца. Сер</w:t>
        <w:softHyphen/>
        <w:t>дечно-сосудистые аномалии при трисомии 13 встречаются немного реже, чем при трисомии 18 и выражаются в совсем другом спектре нарушений. Наиболее часто встречаются изолированные септальные пороки. Декстрокардия и дву</w:t>
        <w:softHyphen/>
        <w:t>створчатые полулунные клапаны встречаются в сочетании с другими пороками сердца.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Больные, прожившие более месяца, обычно имеют гене</w:t>
        <w:softHyphen/>
        <w:t>тический мозаицизм.</w:t>
      </w:r>
    </w:p>
    <w:p>
      <w:pPr>
        <w:pStyle w:val="Style92"/>
        <w:widowControl w:val="0"/>
        <w:keepNext/>
        <w:keepLines/>
        <w:shd w:val="clear" w:color="auto" w:fill="auto"/>
        <w:bidi w:val="0"/>
        <w:spacing w:before="0" w:after="0"/>
        <w:ind w:left="0" w:right="0" w:firstLine="280"/>
      </w:pPr>
      <w:bookmarkStart w:id="270" w:name="bookmark270"/>
      <w:r>
        <w:rPr>
          <w:lang w:val="ru-RU" w:eastAsia="ru-RU" w:bidi="ru-RU"/>
          <w:w w:val="100"/>
          <w:spacing w:val="0"/>
          <w:color w:val="000000"/>
          <w:position w:val="0"/>
        </w:rPr>
        <w:t>Синдром Тернера</w:t>
      </w:r>
      <w:bookmarkEnd w:id="27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Приблизительно у одной из 2500 девочек недостает одной Х-хромосомы и кариотип в таком случае выглядит как 45,Х. Частота выявления кариотипа 45,Х (без мозаицизма) значительно выше среди плодов, подвергшихся спонтанно</w:t>
        <w:softHyphen/>
        <w:t>му аборту. Среди них кариотип 45,Х составляет чуть менее 2% от всех случаев. Клинический фенотип при заболевании может значительно варьировать, превалируют стертые кли</w:t>
        <w:softHyphen/>
        <w:t>нические случаи. При синдроме Тернера нередко наблюда</w:t>
        <w:softHyphen/>
        <w:t>ется мозаицизм, при этом фенотип может быть стертым. В некоторых случаях говорят о частичном синдроме Тернера.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Среди больных с кариотипом 45,Х частота выявления врожденных пороков сердца варьирует, по данным различ</w:t>
        <w:softHyphen/>
        <w:t>ных исследований, от 20% до 50% в зависимости от того, кем был поставлен диагноз: кардиологом или генетиком. Среди больных синдромом Тернера, диагноз которым установлен</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кардиологом после выявления порока сердца, описывается более высокая частота встречаемости пороков сердца, чем у больных синдромом Тернера, диагноз которым установил генетик. 50-70% больных с пороком сердца имеют клиниче</w:t>
        <w:softHyphen/>
        <w:t>ски значимую коарктацию аорты (чаще постдуктальную форму). Поскольку в настоящее время неинвазивные допп- лер-эхокардиографические методы диагностики врожден</w:t>
        <w:softHyphen/>
        <w:t>ных пороков сердца стали общедоступными, можно ожидать некоторого увеличения частоты встречаемости врожденных пороков сердца у больных с синдромом Тернера. Помимо коарктации аорты, у пациентов может наблюдаться целый спектр других изолированных или сочетанных сердечно-со</w:t>
        <w:softHyphen/>
        <w:t>судистых аномалий. Большинство из них связано с аномаль</w:t>
        <w:softHyphen/>
        <w:t>ным кровотоком в левых отделах сердца. Двухстворчатый аортальный клапан и дилатация корня аорты сочетаются с высоким риском развития расслаивающей аневризмы вос</w:t>
        <w:softHyphen/>
        <w:t>ходящей аорты, поскольку при синдроме Тернера гистологи</w:t>
        <w:softHyphen/>
        <w:t>чески определяется дефект строения коллагеновых волокон. Причем подобное осложнение может развиться даже без на</w:t>
        <w:softHyphen/>
        <w:t>личия у больного коарктации аорты или гипоплазии левого желудочка. Частичный аномальный дренаж легочных вен сочетается с дефектом межпредсердной перегородки.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Артериальная гипертензия также весьма часто встречается у больных синдромом Тернера как на фоне наличия коаркта- ции аорты, так и после операции радикальной коррекции де</w:t>
        <w:softHyphen/>
        <w:t>фекта, а также у больных, не имеющих коарктации аорты. Возможно, проблема артериальной гипертензии обусловлена аномалиями почек, которые часто выявляются при данном синдроме, но это не единственная возможная причина.</w:t>
      </w:r>
    </w:p>
    <w:p>
      <w:pPr>
        <w:pStyle w:val="Style30"/>
        <w:widowControl w:val="0"/>
        <w:keepNext w:val="0"/>
        <w:keepLines w:val="0"/>
        <w:shd w:val="clear" w:color="auto" w:fill="auto"/>
        <w:bidi w:val="0"/>
        <w:spacing w:before="0" w:after="142"/>
        <w:ind w:left="0" w:right="0" w:firstLine="280"/>
      </w:pPr>
      <w:r>
        <w:rPr>
          <w:lang w:val="ru-RU" w:eastAsia="ru-RU" w:bidi="ru-RU"/>
          <w:w w:val="100"/>
          <w:spacing w:val="0"/>
          <w:color w:val="000000"/>
          <w:position w:val="0"/>
        </w:rPr>
        <w:t>Приблизительно в двух третях случаев синдрома Тернера сохранная Х-хромосома происходит из ооцита (т.е. мате</w:t>
        <w:softHyphen/>
        <w:t>ринская Х-хромосома). В одном из исследований 63 боль</w:t>
        <w:softHyphen/>
        <w:t>ных с синдромом Тернера порок сердца был диагностиро</w:t>
        <w:softHyphen/>
        <w:t>ван у 10 больных, из которых 9 были с материнской Х-хро- мосомой. По мнению исследователей, именно наличие у больного материнской Х-хромосомы может быть причи</w:t>
        <w:softHyphen/>
        <w:t>ной частой встречаемости врожденных пороков сердца, по</w:t>
        <w:softHyphen/>
        <w:t>скольку женщины с мозаицизмом Х-хромосомы значи</w:t>
        <w:softHyphen/>
        <w:t>тельно реже имеют пороки сердца.</w:t>
      </w:r>
    </w:p>
    <w:p>
      <w:pPr>
        <w:pStyle w:val="Style54"/>
        <w:widowControl w:val="0"/>
        <w:keepNext/>
        <w:keepLines/>
        <w:shd w:val="clear" w:color="auto" w:fill="auto"/>
        <w:bidi w:val="0"/>
        <w:jc w:val="both"/>
        <w:spacing w:before="0" w:after="0" w:line="264" w:lineRule="exact"/>
        <w:ind w:left="0" w:right="160" w:firstLine="0"/>
      </w:pPr>
      <w:bookmarkStart w:id="271" w:name="bookmark271"/>
      <w:r>
        <w:rPr>
          <w:lang w:val="ru-RU" w:eastAsia="ru-RU" w:bidi="ru-RU"/>
          <w:w w:val="100"/>
          <w:spacing w:val="0"/>
          <w:color w:val="000000"/>
          <w:position w:val="0"/>
        </w:rPr>
        <w:t>Пороки развития сердца, связанные с мутациями единичных генов</w:t>
      </w:r>
      <w:bookmarkEnd w:id="27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Пороки развития сердца, связанные с мутациями еди</w:t>
        <w:softHyphen/>
        <w:t>ничных генов, могут наследоваться в соответствии с менде- левскими закономерностями по аутосомно-доминантному или аутосомно-рецессивному типу.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Критериями аутосомно-доминантного наследования явля</w:t>
        <w:softHyphen/>
        <w:t>ются:</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заболевание проявляется из поколения в поколение, с отсутствием или единичными случаями «переска</w:t>
        <w:softHyphen/>
        <w:t>кивания» по «вертикальной» линии наследования;</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заболевание передается в случае гетерозиготности больного половине его (или ее) детей;</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женщины и мужчины болеют одинаково часто;</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здоровые люди не могут являться носителями пора</w:t>
        <w:softHyphen/>
        <w:t>женного гена и все их дети будут здоровы;</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возможна передача заболевания от отца к сыну;</w:t>
      </w:r>
    </w:p>
    <w:p>
      <w:pPr>
        <w:pStyle w:val="Style30"/>
        <w:numPr>
          <w:ilvl w:val="0"/>
          <w:numId w:val="2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большинство аутосомно-доминантно наследуемых заболеваний могут возникать неожиданно в семьях без предшествующих особенностей генеалогического анамнеза. Их причиной может стать новая мутация.</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При этом потомки человека, у которого произошла мутация, унаследуют данное заболевание.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Существует предположение, что возникновение новых мутаций имеет связь с возрастом родителей.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Чаще всего лица, имеющие аутосомно-доминантно на</w:t>
        <w:softHyphen/>
        <w:t>следуемое заболевание, являются гетерозиготными носите</w:t>
        <w:softHyphen/>
        <w:t>лями. Это значит, что в хромосоме пораженный ген нахо</w:t>
        <w:softHyphen/>
        <w:t>дится в паре с нормальным геном. Гомозиготные лица (оба парных гена в хромосоме являются пораженными) встреча</w:t>
        <w:softHyphen/>
        <w:t>ются очень редко. Обычно это дети гетерозиготных родите</w:t>
        <w:softHyphen/>
        <w:t>лей, имеющих одно и то же наследственное заболевание. Довольно часто гомозиготность при аутосомно-доминант</w:t>
        <w:softHyphen/>
        <w:t>но наследуемом заболевании является летальной. Смерть наступает еще в плодном периоде или сразу после рожде</w:t>
        <w:softHyphen/>
        <w:t>ния ребенка.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Тяжесть заболевания, вызванного наличием пораженно</w:t>
        <w:softHyphen/>
        <w:t>го гена в организме, может быть либо одинаковой для всех больных (например, при ахондроплазии), либо сильно ва</w:t>
        <w:softHyphen/>
        <w:t>рьировать (при синдроме Марфана, нейрофиброматозе). Такая разница в тяжести течения заболевания возникает из-за «вариабельности экспрессии» гена. В противополож</w:t>
        <w:softHyphen/>
        <w:t>ность этому понятию «неполная пенетрантность» подразу</w:t>
        <w:softHyphen/>
        <w:t>мевает, что часть людей, унаследовавших пораженный ген, могут не иметь клинических проявлений заболевания.</w:t>
      </w:r>
    </w:p>
    <w:p>
      <w:pPr>
        <w:pStyle w:val="Style92"/>
        <w:widowControl w:val="0"/>
        <w:keepNext/>
        <w:keepLines/>
        <w:shd w:val="clear" w:color="auto" w:fill="auto"/>
        <w:bidi w:val="0"/>
        <w:spacing w:before="0" w:after="0"/>
        <w:ind w:left="0" w:right="0" w:firstLine="280"/>
      </w:pPr>
      <w:bookmarkStart w:id="272" w:name="bookmark272"/>
      <w:r>
        <w:rPr>
          <w:lang w:val="ru-RU" w:eastAsia="ru-RU" w:bidi="ru-RU"/>
          <w:w w:val="100"/>
          <w:spacing w:val="0"/>
          <w:color w:val="000000"/>
          <w:position w:val="0"/>
        </w:rPr>
        <w:t>Критериями аутосомно-рецессивного наследования явля</w:t>
        <w:softHyphen/>
        <w:t>ются:</w:t>
      </w:r>
      <w:bookmarkEnd w:id="27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Аутосомно-рецессивно наследуемые заболевания про</w:t>
        <w:softHyphen/>
        <w:t>являются только в том случае, если оба парных рецессив</w:t>
        <w:softHyphen/>
        <w:t>ных гена у человека являются пораженными (гомозигот- ность). Каждый из генов наследуется от одного из родите</w:t>
        <w:softHyphen/>
        <w:t>лей. Родители чаще всего бывают носителями, т.е. они име</w:t>
        <w:softHyphen/>
        <w:t>ют один пораженный ген в паре с нормальным геном (гете- розиготность). У носителей клинических проявлений забо</w:t>
        <w:softHyphen/>
        <w:t>левания нет. Это объясняется тем, что нормально функци</w:t>
        <w:softHyphen/>
        <w:t>онирующий ген «компенсирует и маскирует» эффект пора</w:t>
        <w:softHyphen/>
        <w:t>женного гена. Характерными чертами аутосомно-рецессив - ного наследования являются:</w:t>
      </w:r>
    </w:p>
    <w:p>
      <w:pPr>
        <w:pStyle w:val="Style30"/>
        <w:numPr>
          <w:ilvl w:val="0"/>
          <w:numId w:val="27"/>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заболевание чаще проявляется у сиблингов и редко у родителей, потомков и других родственников («го</w:t>
        <w:softHyphen/>
        <w:t>ризонтальная передача»);</w:t>
      </w:r>
    </w:p>
    <w:p>
      <w:pPr>
        <w:pStyle w:val="Style30"/>
        <w:numPr>
          <w:ilvl w:val="0"/>
          <w:numId w:val="27"/>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среднем 1/4 сиблингов у гетерозиготных родителей будет иметь проявления заболевания. Риск рождения следующего больного сиблинга равен 25%;</w:t>
      </w:r>
    </w:p>
    <w:p>
      <w:pPr>
        <w:pStyle w:val="Style30"/>
        <w:numPr>
          <w:ilvl w:val="0"/>
          <w:numId w:val="27"/>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женщины и мужчины болеют одинаково часто;</w:t>
      </w:r>
    </w:p>
    <w:p>
      <w:pPr>
        <w:pStyle w:val="Style30"/>
        <w:numPr>
          <w:ilvl w:val="0"/>
          <w:numId w:val="27"/>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вероятность появления в семье больного ребенка (с аутосомно-рецессивно наследуемым заболевани</w:t>
        <w:softHyphen/>
        <w:t>ем) возрастает, если родители являются кровными родственниками, представителями одной расы или одной этнической группы. При этом кровное родство представляет наибольший риск. В целом по популя</w:t>
        <w:softHyphen/>
        <w:t>ции данные заболевания делятся на две большие ка</w:t>
        <w:softHyphen/>
        <w:t>тегории: 1) врожденные дефекты метаболизма, 2) структурные дефекты с неизвестным метаболичес</w:t>
        <w:softHyphen/>
        <w:t>ким базисом (врожденные дефекты морфогенеза).</w:t>
      </w:r>
    </w:p>
    <w:p>
      <w:pPr>
        <w:pStyle w:val="Style30"/>
        <w:widowControl w:val="0"/>
        <w:keepNext w:val="0"/>
        <w:keepLines w:val="0"/>
        <w:shd w:val="clear" w:color="auto" w:fill="auto"/>
        <w:bidi w:val="0"/>
        <w:spacing w:before="0" w:after="0"/>
        <w:ind w:left="0" w:right="0" w:firstLine="280"/>
        <w:sectPr>
          <w:pgSz w:w="11900" w:h="16840"/>
          <w:pgMar w:top="1579" w:left="1006" w:right="1006" w:bottom="1809" w:header="0" w:footer="3" w:gutter="0"/>
          <w:rtlGutter w:val="0"/>
          <w:cols w:num="2" w:space="173"/>
          <w:noEndnote/>
          <w:docGrid w:linePitch="360"/>
        </w:sectPr>
      </w:pPr>
      <w:r>
        <w:rPr>
          <w:lang w:val="ru-RU" w:eastAsia="ru-RU" w:bidi="ru-RU"/>
          <w:w w:val="100"/>
          <w:spacing w:val="0"/>
          <w:color w:val="000000"/>
          <w:position w:val="0"/>
        </w:rPr>
        <w:t>В табл. 3 суммированы основные генетические синдро</w:t>
        <w:softHyphen/>
        <w:t>мы, манифестация которых происходит с диагностирова</w:t>
        <w:softHyphen/>
        <w:t>ния врожденного порока сердца, в табл. 4 — основные на</w:t>
        <w:softHyphen/>
        <w:t>следственные синдромы, сопровождающиеся высокой час</w:t>
        <w:softHyphen/>
        <w:t>тотой развития сердечно-сосудистых аномалий, а в табл. 5 — врожденные пороки сердца, которые нередко демонстрируют наследственный характер заболевания.</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60" w:after="60"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124" type="#_x0000_t75" style="position:absolute;margin-left:131.15pt;margin-top:0;width:209.75pt;height:14.9pt;z-index:-251658731;mso-wrap-distance-left:5.pt;mso-wrap-distance-right:5.pt;mso-position-horizontal-relative:margin" wrapcoords="0 0">
            <v:imagedata r:id="rId160" r:href="rId161"/>
            <w10:wrap anchorx="margin"/>
          </v:shape>
        </w:pict>
      </w:r>
    </w:p>
    <w:p>
      <w:pPr>
        <w:widowControl w:val="0"/>
        <w:rPr>
          <w:sz w:val="2"/>
          <w:szCs w:val="2"/>
        </w:rPr>
        <w:sectPr>
          <w:type w:val="continuous"/>
          <w:pgSz w:w="11900" w:h="16840"/>
          <w:pgMar w:top="1468" w:left="1119" w:right="893" w:bottom="192" w:header="0" w:footer="3" w:gutter="0"/>
          <w:rtlGutter w:val="0"/>
          <w:cols w:space="720"/>
          <w:noEndnote/>
          <w:docGrid w:linePitch="360"/>
        </w:sectPr>
      </w:pPr>
    </w:p>
    <w:p>
      <w:pPr>
        <w:pStyle w:val="Style39"/>
        <w:framePr w:w="9898" w:wrap="notBeside" w:vAnchor="text" w:hAnchor="text" w:xAlign="center" w:y="1"/>
        <w:widowControl w:val="0"/>
        <w:keepNext w:val="0"/>
        <w:keepLines w:val="0"/>
        <w:shd w:val="clear" w:color="auto" w:fill="auto"/>
        <w:bidi w:val="0"/>
        <w:spacing w:before="0" w:after="0" w:line="216" w:lineRule="exact"/>
        <w:ind w:left="0" w:right="0" w:firstLine="0"/>
      </w:pPr>
      <w:r>
        <w:rPr>
          <w:rStyle w:val="CharStyle100"/>
          <w:i/>
          <w:iCs/>
        </w:rPr>
        <w:t>Таблица 3</w:t>
      </w:r>
    </w:p>
    <w:p>
      <w:pPr>
        <w:pStyle w:val="Style96"/>
        <w:framePr w:w="9898" w:wrap="notBeside" w:vAnchor="text" w:hAnchor="text" w:xAlign="center" w:y="1"/>
        <w:widowControl w:val="0"/>
        <w:keepNext w:val="0"/>
        <w:keepLines w:val="0"/>
        <w:shd w:val="clear" w:color="auto" w:fill="auto"/>
        <w:bidi w:val="0"/>
        <w:jc w:val="left"/>
        <w:spacing w:before="0" w:after="0" w:line="216" w:lineRule="exact"/>
        <w:ind w:left="0" w:right="0" w:firstLine="0"/>
      </w:pPr>
      <w:r>
        <w:rPr>
          <w:lang w:val="ru-RU" w:eastAsia="ru-RU" w:bidi="ru-RU"/>
          <w:w w:val="100"/>
          <w:spacing w:val="0"/>
          <w:color w:val="000000"/>
          <w:position w:val="0"/>
        </w:rPr>
        <w:t>Генетические заболевания, наследуемые по менделевскому типу, манифестация которых наиболее часто происходит</w:t>
      </w:r>
    </w:p>
    <w:p>
      <w:pPr>
        <w:pStyle w:val="Style96"/>
        <w:framePr w:w="9898" w:wrap="notBeside" w:vAnchor="text" w:hAnchor="text" w:xAlign="center" w:y="1"/>
        <w:widowControl w:val="0"/>
        <w:keepNext w:val="0"/>
        <w:keepLines w:val="0"/>
        <w:shd w:val="clear" w:color="auto" w:fill="auto"/>
        <w:bidi w:val="0"/>
        <w:jc w:val="left"/>
        <w:spacing w:before="0" w:after="0" w:line="216" w:lineRule="exact"/>
        <w:ind w:left="0" w:right="0" w:firstLine="0"/>
      </w:pPr>
      <w:r>
        <w:rPr>
          <w:lang w:val="ru-RU" w:eastAsia="ru-RU" w:bidi="ru-RU"/>
          <w:w w:val="100"/>
          <w:spacing w:val="0"/>
          <w:color w:val="000000"/>
          <w:position w:val="0"/>
        </w:rPr>
        <w:t>с диагностирования врожденного порока сердца</w:t>
      </w:r>
    </w:p>
    <w:tbl>
      <w:tblPr>
        <w:tblOverlap w:val="never"/>
        <w:tblLayout w:type="fixed"/>
        <w:jc w:val="center"/>
      </w:tblPr>
      <w:tblGrid>
        <w:gridCol w:w="2664"/>
        <w:gridCol w:w="2054"/>
        <w:gridCol w:w="614"/>
        <w:gridCol w:w="4565"/>
      </w:tblGrid>
      <w:tr>
        <w:trPr>
          <w:trHeight w:val="240" w:hRule="exact"/>
        </w:trPr>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Общепринятое название</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Эпоним</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МШ</w:t>
            </w:r>
          </w:p>
        </w:tc>
        <w:tc>
          <w:tcPr>
            <w:shd w:val="clear" w:color="auto" w:fill="FFFFFF"/>
            <w:tcBorders>
              <w:left w:val="single" w:sz="4"/>
              <w:righ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ВПС</w:t>
            </w:r>
          </w:p>
        </w:tc>
      </w:tr>
      <w:tr>
        <w:trPr>
          <w:trHeight w:val="240" w:hRule="exact"/>
        </w:trPr>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Поликистоз почек у взрослых</w:t>
            </w:r>
          </w:p>
        </w:tc>
        <w:tc>
          <w:tcPr>
            <w:shd w:val="clear" w:color="auto" w:fill="FFFFFF"/>
            <w:tcBorders>
              <w:left w:val="single" w:sz="4"/>
              <w:top w:val="single" w:sz="4"/>
            </w:tcBorders>
            <w:vAlign w:val="top"/>
          </w:tcPr>
          <w:p>
            <w:pPr>
              <w:framePr w:w="989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173900</w:t>
            </w:r>
          </w:p>
        </w:tc>
        <w:tc>
          <w:tcPr>
            <w:shd w:val="clear" w:color="auto" w:fill="FFFFFF"/>
            <w:tcBorders>
              <w:left w:val="single" w:sz="4"/>
              <w:righ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Внутричерепные аневризмы, дилатация корня аорты, ПМК</w:t>
            </w:r>
          </w:p>
        </w:tc>
      </w:tr>
      <w:tr>
        <w:trPr>
          <w:trHeight w:val="235" w:hRule="exact"/>
        </w:trPr>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Артериопеченочная дисплазия</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Alagille syndrome</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118450</w:t>
            </w:r>
          </w:p>
        </w:tc>
        <w:tc>
          <w:tcPr>
            <w:shd w:val="clear" w:color="auto" w:fill="FFFFFF"/>
            <w:tcBorders>
              <w:left w:val="single" w:sz="4"/>
              <w:righ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Стеноз легочной артерии (периферический)</w:t>
            </w:r>
          </w:p>
        </w:tc>
      </w:tr>
      <w:tr>
        <w:trPr>
          <w:trHeight w:val="235" w:hRule="exact"/>
        </w:trPr>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Катаракта и кардиомиопатия</w:t>
            </w:r>
          </w:p>
        </w:tc>
        <w:tc>
          <w:tcPr>
            <w:shd w:val="clear" w:color="auto" w:fill="FFFFFF"/>
            <w:tcBorders>
              <w:left w:val="single" w:sz="4"/>
              <w:top w:val="single" w:sz="4"/>
            </w:tcBorders>
            <w:vAlign w:val="top"/>
          </w:tcPr>
          <w:p>
            <w:pPr>
              <w:framePr w:w="989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212350</w:t>
            </w:r>
          </w:p>
        </w:tc>
        <w:tc>
          <w:tcPr>
            <w:shd w:val="clear" w:color="auto" w:fill="FFFFFF"/>
            <w:tcBorders>
              <w:left w:val="single" w:sz="4"/>
              <w:righ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Гипертрофическая кардиомиопатия</w:t>
            </w:r>
          </w:p>
        </w:tc>
      </w:tr>
      <w:tr>
        <w:trPr>
          <w:trHeight w:val="240" w:hRule="exact"/>
        </w:trPr>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Хондроэктодермальная дисплазия</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 xml:space="preserve">Ellis-van Creveld </w:t>
            </w:r>
            <w:r>
              <w:rPr>
                <w:lang w:val="ru-RU" w:eastAsia="ru-RU" w:bidi="ru-RU"/>
                <w:w w:val="100"/>
                <w:spacing w:val="0"/>
                <w:color w:val="000000"/>
                <w:position w:val="0"/>
              </w:rPr>
              <w:t>синдром</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225500</w:t>
            </w:r>
          </w:p>
        </w:tc>
        <w:tc>
          <w:tcPr>
            <w:shd w:val="clear" w:color="auto" w:fill="FFFFFF"/>
            <w:tcBorders>
              <w:left w:val="single" w:sz="4"/>
              <w:righ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Первичный дефект межпредсердной перегородки</w:t>
            </w:r>
          </w:p>
        </w:tc>
      </w:tr>
      <w:tr>
        <w:trPr>
          <w:trHeight w:val="432" w:hRule="exact"/>
        </w:trPr>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Глухота, митральная недостаточ</w:t>
              <w:softHyphen/>
              <w:t>ность и гипостатура</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 xml:space="preserve">Forney </w:t>
            </w:r>
            <w:r>
              <w:rPr>
                <w:lang w:val="ru-RU" w:eastAsia="ru-RU" w:bidi="ru-RU"/>
                <w:w w:val="100"/>
                <w:spacing w:val="0"/>
                <w:color w:val="000000"/>
                <w:position w:val="0"/>
              </w:rPr>
              <w:t>синдром</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157800</w:t>
            </w:r>
          </w:p>
        </w:tc>
        <w:tc>
          <w:tcPr>
            <w:shd w:val="clear" w:color="auto" w:fill="FFFFFF"/>
            <w:tcBorders>
              <w:left w:val="single" w:sz="4"/>
              <w:righ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Митральная недостаточность</w:t>
            </w:r>
          </w:p>
        </w:tc>
      </w:tr>
      <w:tr>
        <w:trPr>
          <w:trHeight w:val="240" w:hRule="exact"/>
        </w:trPr>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Синдром семейной коллагеномы</w:t>
            </w:r>
          </w:p>
        </w:tc>
        <w:tc>
          <w:tcPr>
            <w:shd w:val="clear" w:color="auto" w:fill="FFFFFF"/>
            <w:tcBorders>
              <w:left w:val="single" w:sz="4"/>
              <w:top w:val="single" w:sz="4"/>
            </w:tcBorders>
            <w:vAlign w:val="top"/>
          </w:tcPr>
          <w:p>
            <w:pPr>
              <w:framePr w:w="989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115250</w:t>
            </w:r>
          </w:p>
        </w:tc>
        <w:tc>
          <w:tcPr>
            <w:shd w:val="clear" w:color="auto" w:fill="FFFFFF"/>
            <w:tcBorders>
              <w:left w:val="single" w:sz="4"/>
              <w:righ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Дилатационная кардиомиопатия</w:t>
            </w:r>
          </w:p>
        </w:tc>
      </w:tr>
      <w:tr>
        <w:trPr>
          <w:trHeight w:val="235" w:hRule="exact"/>
        </w:trPr>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Синдром рука-сердце</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 xml:space="preserve">Holt-Oram </w:t>
            </w:r>
            <w:r>
              <w:rPr>
                <w:lang w:val="ru-RU" w:eastAsia="ru-RU" w:bidi="ru-RU"/>
                <w:w w:val="100"/>
                <w:spacing w:val="0"/>
                <w:color w:val="000000"/>
                <w:position w:val="0"/>
              </w:rPr>
              <w:t>синдром</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142900</w:t>
            </w:r>
          </w:p>
        </w:tc>
        <w:tc>
          <w:tcPr>
            <w:shd w:val="clear" w:color="auto" w:fill="FFFFFF"/>
            <w:tcBorders>
              <w:left w:val="single" w:sz="4"/>
              <w:righ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ДМЖП, ДМПП, ПМК, гипоплазия левых отделов сердца</w:t>
            </w:r>
          </w:p>
        </w:tc>
      </w:tr>
      <w:tr>
        <w:trPr>
          <w:trHeight w:val="235" w:hRule="exact"/>
        </w:trPr>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Кератоз ладоней и стоп</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Mal de Meleda</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248300</w:t>
            </w:r>
          </w:p>
        </w:tc>
        <w:tc>
          <w:tcPr>
            <w:shd w:val="clear" w:color="auto" w:fill="FFFFFF"/>
            <w:tcBorders>
              <w:left w:val="single" w:sz="4"/>
              <w:righ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Дилатационная кардиомиопатия, нарушения ритма сердца</w:t>
            </w:r>
          </w:p>
        </w:tc>
      </w:tr>
      <w:tr>
        <w:trPr>
          <w:trHeight w:val="437" w:hRule="exact"/>
        </w:trPr>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Злокачественная гипертермия и скелетные аномалии</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 xml:space="preserve">King </w:t>
            </w:r>
            <w:r>
              <w:rPr>
                <w:lang w:val="ru-RU" w:eastAsia="ru-RU" w:bidi="ru-RU"/>
                <w:w w:val="100"/>
                <w:spacing w:val="0"/>
                <w:color w:val="000000"/>
                <w:position w:val="0"/>
              </w:rPr>
              <w:t>синдром</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145600</w:t>
            </w:r>
          </w:p>
        </w:tc>
        <w:tc>
          <w:tcPr>
            <w:shd w:val="clear" w:color="auto" w:fill="FFFFFF"/>
            <w:tcBorders>
              <w:left w:val="single" w:sz="4"/>
              <w:righ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Блокады сердечной проводимости</w:t>
            </w:r>
          </w:p>
        </w:tc>
      </w:tr>
      <w:tr>
        <w:trPr>
          <w:trHeight w:val="432" w:hRule="exact"/>
        </w:trPr>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Синдром Нунана</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 xml:space="preserve">Noonan </w:t>
            </w:r>
            <w:r>
              <w:rPr>
                <w:lang w:val="ru-RU" w:eastAsia="ru-RU" w:bidi="ru-RU"/>
                <w:w w:val="100"/>
                <w:spacing w:val="0"/>
                <w:color w:val="000000"/>
                <w:position w:val="0"/>
              </w:rPr>
              <w:t>синдром</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163950</w:t>
            </w:r>
          </w:p>
        </w:tc>
        <w:tc>
          <w:tcPr>
            <w:shd w:val="clear" w:color="auto" w:fill="FFFFFF"/>
            <w:tcBorders>
              <w:left w:val="single" w:sz="4"/>
              <w:righ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Клапанный стеноз легочной артерии, гипертрофическая кар</w:t>
              <w:softHyphen/>
              <w:t>диомиопатия</w:t>
            </w:r>
          </w:p>
        </w:tc>
      </w:tr>
      <w:tr>
        <w:trPr>
          <w:trHeight w:val="235" w:hRule="exact"/>
        </w:trPr>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Стеноз легочной артерии и глухота</w:t>
            </w:r>
          </w:p>
        </w:tc>
        <w:tc>
          <w:tcPr>
            <w:shd w:val="clear" w:color="auto" w:fill="FFFFFF"/>
            <w:tcBorders>
              <w:left w:val="single" w:sz="4"/>
              <w:top w:val="single" w:sz="4"/>
            </w:tcBorders>
            <w:vAlign w:val="top"/>
          </w:tcPr>
          <w:p>
            <w:pPr>
              <w:framePr w:w="989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178651</w:t>
            </w:r>
          </w:p>
        </w:tc>
        <w:tc>
          <w:tcPr>
            <w:shd w:val="clear" w:color="auto" w:fill="FFFFFF"/>
            <w:tcBorders>
              <w:left w:val="single" w:sz="4"/>
              <w:righ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Стеноз легочной артерии</w:t>
            </w:r>
          </w:p>
        </w:tc>
      </w:tr>
      <w:tr>
        <w:trPr>
          <w:trHeight w:val="437" w:hRule="exact"/>
        </w:trPr>
        <w:tc>
          <w:tcPr>
            <w:shd w:val="clear" w:color="auto" w:fill="FFFFFF"/>
            <w:tcBorders>
              <w:left w:val="single" w:sz="4"/>
              <w:top w:val="single" w:sz="4"/>
            </w:tcBorders>
            <w:vAlign w:val="top"/>
          </w:tcPr>
          <w:p>
            <w:pPr>
              <w:framePr w:w="989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 xml:space="preserve">Smith-Lemli-Opitz </w:t>
            </w:r>
            <w:r>
              <w:rPr>
                <w:lang w:val="ru-RU" w:eastAsia="ru-RU" w:bidi="ru-RU"/>
                <w:w w:val="100"/>
                <w:spacing w:val="0"/>
                <w:color w:val="000000"/>
                <w:position w:val="0"/>
              </w:rPr>
              <w:t>синдром</w:t>
            </w:r>
          </w:p>
        </w:tc>
        <w:tc>
          <w:tcPr>
            <w:shd w:val="clear" w:color="auto" w:fill="FFFFFF"/>
            <w:tcBorders>
              <w:left w:val="single" w:sz="4"/>
              <w:top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270400</w:t>
            </w:r>
          </w:p>
        </w:tc>
        <w:tc>
          <w:tcPr>
            <w:shd w:val="clear" w:color="auto" w:fill="FFFFFF"/>
            <w:tcBorders>
              <w:left w:val="single" w:sz="4"/>
              <w:right w:val="single" w:sz="4"/>
              <w:top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ОАП, ДМПП, ДМЖП, тетрада Фалло, дефекты эндокарди</w:t>
              <w:softHyphen/>
              <w:t>альной подушки, коарктация аорты</w:t>
            </w:r>
          </w:p>
        </w:tc>
      </w:tr>
      <w:tr>
        <w:trPr>
          <w:trHeight w:val="245" w:hRule="exact"/>
        </w:trPr>
        <w:tc>
          <w:tcPr>
            <w:shd w:val="clear" w:color="auto" w:fill="FFFFFF"/>
            <w:tcBorders>
              <w:left w:val="single" w:sz="4"/>
              <w:top w:val="single" w:sz="4"/>
              <w:bottom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Велокардиофациальный синдром</w:t>
            </w:r>
          </w:p>
        </w:tc>
        <w:tc>
          <w:tcPr>
            <w:shd w:val="clear" w:color="auto" w:fill="FFFFFF"/>
            <w:tcBorders>
              <w:left w:val="single" w:sz="4"/>
              <w:top w:val="single" w:sz="4"/>
              <w:bottom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 xml:space="preserve">Shprintzen </w:t>
            </w:r>
            <w:r>
              <w:rPr>
                <w:lang w:val="ru-RU" w:eastAsia="ru-RU" w:bidi="ru-RU"/>
                <w:w w:val="100"/>
                <w:spacing w:val="0"/>
                <w:color w:val="000000"/>
                <w:position w:val="0"/>
              </w:rPr>
              <w:t>синдром</w:t>
            </w:r>
          </w:p>
        </w:tc>
        <w:tc>
          <w:tcPr>
            <w:shd w:val="clear" w:color="auto" w:fill="FFFFFF"/>
            <w:tcBorders>
              <w:left w:val="single" w:sz="4"/>
              <w:top w:val="single" w:sz="4"/>
              <w:bottom w:val="single" w:sz="4"/>
            </w:tcBorders>
            <w:vAlign w:val="top"/>
          </w:tcPr>
          <w:p>
            <w:pPr>
              <w:pStyle w:val="Style30"/>
              <w:framePr w:w="989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192430</w:t>
            </w:r>
          </w:p>
        </w:tc>
        <w:tc>
          <w:tcPr>
            <w:shd w:val="clear" w:color="auto" w:fill="FFFFFF"/>
            <w:tcBorders>
              <w:left w:val="single" w:sz="4"/>
              <w:right w:val="single" w:sz="4"/>
              <w:top w:val="single" w:sz="4"/>
              <w:bottom w:val="single" w:sz="4"/>
            </w:tcBorders>
            <w:vAlign w:val="top"/>
          </w:tcPr>
          <w:p>
            <w:pPr>
              <w:pStyle w:val="Style30"/>
              <w:framePr w:w="989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Тетрада Фалло, извитые сосуды сетчатки</w:t>
            </w:r>
          </w:p>
        </w:tc>
      </w:tr>
    </w:tbl>
    <w:p>
      <w:pPr>
        <w:framePr w:w="9898" w:wrap="notBeside" w:vAnchor="text" w:hAnchor="text" w:xAlign="center" w:y="1"/>
        <w:widowControl w:val="0"/>
        <w:rPr>
          <w:sz w:val="2"/>
          <w:szCs w:val="2"/>
        </w:rPr>
      </w:pPr>
    </w:p>
    <w:p>
      <w:pPr>
        <w:widowControl w:val="0"/>
        <w:rPr>
          <w:sz w:val="2"/>
          <w:szCs w:val="2"/>
        </w:rPr>
      </w:pPr>
    </w:p>
    <w:p>
      <w:pPr>
        <w:pStyle w:val="Style30"/>
        <w:widowControl w:val="0"/>
        <w:keepNext w:val="0"/>
        <w:keepLines w:val="0"/>
        <w:shd w:val="clear" w:color="auto" w:fill="auto"/>
        <w:bidi w:val="0"/>
        <w:jc w:val="left"/>
        <w:spacing w:before="81" w:after="0"/>
        <w:ind w:left="0" w:right="0" w:firstLine="280"/>
      </w:pPr>
      <w:r>
        <w:rPr>
          <w:lang w:val="ru-RU" w:eastAsia="ru-RU" w:bidi="ru-RU"/>
          <w:w w:val="100"/>
          <w:spacing w:val="0"/>
          <w:color w:val="000000"/>
          <w:position w:val="0"/>
        </w:rPr>
        <w:t>ДМПП — дефект межпредсердной перегородки, ДМЖП — дефект межжелудочковой перегородки, ПМК — пролапс митрального клапана, ОАП — открытый артериальный проток.</w:t>
      </w:r>
    </w:p>
    <w:p>
      <w:pPr>
        <w:pStyle w:val="Style30"/>
        <w:widowControl w:val="0"/>
        <w:keepNext w:val="0"/>
        <w:keepLines w:val="0"/>
        <w:shd w:val="clear" w:color="auto" w:fill="auto"/>
        <w:bidi w:val="0"/>
        <w:jc w:val="left"/>
        <w:spacing w:before="0" w:after="389"/>
        <w:ind w:left="0" w:right="0" w:firstLine="280"/>
      </w:pPr>
      <w:r>
        <w:rPr>
          <w:lang w:val="en-US" w:eastAsia="en-US" w:bidi="en-US"/>
          <w:w w:val="100"/>
          <w:spacing w:val="0"/>
          <w:color w:val="000000"/>
          <w:position w:val="0"/>
        </w:rPr>
        <w:t xml:space="preserve">MIM </w:t>
      </w:r>
      <w:r>
        <w:rPr>
          <w:lang w:val="ru-RU" w:eastAsia="ru-RU" w:bidi="ru-RU"/>
          <w:w w:val="100"/>
          <w:spacing w:val="0"/>
          <w:color w:val="000000"/>
          <w:position w:val="0"/>
        </w:rPr>
        <w:t xml:space="preserve">— данные из </w:t>
      </w:r>
      <w:r>
        <w:rPr>
          <w:lang w:val="en-US" w:eastAsia="en-US" w:bidi="en-US"/>
          <w:w w:val="100"/>
          <w:spacing w:val="0"/>
          <w:color w:val="000000"/>
          <w:position w:val="0"/>
        </w:rPr>
        <w:t xml:space="preserve">McKusick, </w:t>
      </w:r>
      <w:r>
        <w:rPr>
          <w:lang w:val="ru-RU" w:eastAsia="ru-RU" w:bidi="ru-RU"/>
          <w:w w:val="100"/>
          <w:spacing w:val="0"/>
          <w:color w:val="000000"/>
          <w:position w:val="0"/>
        </w:rPr>
        <w:t xml:space="preserve">V. </w:t>
      </w:r>
      <w:r>
        <w:rPr>
          <w:lang w:val="en-US" w:eastAsia="en-US" w:bidi="en-US"/>
          <w:w w:val="100"/>
          <w:spacing w:val="0"/>
          <w:color w:val="000000"/>
          <w:position w:val="0"/>
        </w:rPr>
        <w:t>A.: Mendelian Inheritance in Man. 11th ed. Baltimore, John Hopkins University Press, 1994.</w:t>
      </w:r>
    </w:p>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Наследственные заболевания, сопровождающиеся высокой частотой развития сердечно-сосудистых аномалий</w:t>
      </w:r>
    </w:p>
    <w:p>
      <w:pPr>
        <w:pStyle w:val="Style39"/>
        <w:framePr w:w="9883" w:wrap="notBeside" w:vAnchor="text" w:hAnchor="text" w:xAlign="center" w:y="1"/>
        <w:widowControl w:val="0"/>
        <w:keepNext w:val="0"/>
        <w:keepLines w:val="0"/>
        <w:shd w:val="clear" w:color="auto" w:fill="auto"/>
        <w:bidi w:val="0"/>
        <w:spacing w:before="0" w:after="0" w:line="170" w:lineRule="exact"/>
        <w:ind w:left="0" w:right="0" w:firstLine="0"/>
      </w:pPr>
      <w:r>
        <w:rPr>
          <w:rStyle w:val="CharStyle100"/>
          <w:i/>
          <w:iCs/>
        </w:rPr>
        <w:t xml:space="preserve">Таблица </w:t>
      </w:r>
      <w:r>
        <w:rPr>
          <w:rStyle w:val="CharStyle100"/>
          <w:lang w:val="en-US" w:eastAsia="en-US" w:bidi="en-US"/>
          <w:i/>
          <w:iCs/>
        </w:rPr>
        <w:t>4</w:t>
      </w:r>
    </w:p>
    <w:tbl>
      <w:tblPr>
        <w:tblOverlap w:val="never"/>
        <w:tblLayout w:type="fixed"/>
        <w:jc w:val="center"/>
      </w:tblPr>
      <w:tblGrid>
        <w:gridCol w:w="5059"/>
        <w:gridCol w:w="643"/>
        <w:gridCol w:w="4181"/>
      </w:tblGrid>
      <w:tr>
        <w:trPr>
          <w:trHeight w:val="24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Заболевание и фенотип</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MIM</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Сердечно-сосудистые нарушения</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en-US" w:eastAsia="en-US" w:bidi="en-US"/>
                <w:w w:val="100"/>
                <w:spacing w:val="0"/>
                <w:color w:val="000000"/>
                <w:position w:val="0"/>
              </w:rPr>
              <w:t xml:space="preserve">Aase </w:t>
            </w:r>
            <w:r>
              <w:rPr>
                <w:lang w:val="ru-RU" w:eastAsia="ru-RU" w:bidi="ru-RU"/>
                <w:w w:val="100"/>
                <w:spacing w:val="0"/>
                <w:color w:val="000000"/>
                <w:position w:val="0"/>
              </w:rPr>
              <w:t>синдром (врожденная анемия, трехфаланговый большой палец)</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205600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ДМЖП</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Синдром полисплении</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208530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ДМПП</w:t>
            </w:r>
          </w:p>
        </w:tc>
      </w:tr>
      <w:tr>
        <w:trPr>
          <w:trHeight w:val="437"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en-US" w:eastAsia="en-US" w:bidi="en-US"/>
                <w:w w:val="100"/>
                <w:spacing w:val="0"/>
                <w:color w:val="000000"/>
                <w:position w:val="0"/>
              </w:rPr>
              <w:t xml:space="preserve">Ivemark </w:t>
            </w:r>
            <w:r>
              <w:rPr>
                <w:lang w:val="ru-RU" w:eastAsia="ru-RU" w:bidi="ru-RU"/>
                <w:w w:val="100"/>
                <w:spacing w:val="0"/>
                <w:color w:val="000000"/>
                <w:position w:val="0"/>
              </w:rPr>
              <w:t>синдром (синдром асплении)</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208530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Декстрокардия, ДМЖП, дефекты эндокардиальной по</w:t>
              <w:softHyphen/>
              <w:t>душки</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en-US" w:eastAsia="en-US" w:bidi="en-US"/>
                <w:w w:val="100"/>
                <w:spacing w:val="0"/>
                <w:color w:val="000000"/>
                <w:position w:val="0"/>
              </w:rPr>
              <w:t xml:space="preserve">CHARGE </w:t>
            </w:r>
            <w:r>
              <w:rPr>
                <w:lang w:val="ru-RU" w:eastAsia="ru-RU" w:bidi="ru-RU"/>
                <w:w w:val="100"/>
                <w:spacing w:val="0"/>
                <w:color w:val="000000"/>
                <w:position w:val="0"/>
              </w:rPr>
              <w:t>синдром (колобома, врожденный порок сердца, атрезия хоан, умственная отсталость, пороки развития гениталий, ушей)</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214800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Тетрада Фалло, ОАП, ДМЖП, дефекты эндокардиальной подушки</w:t>
            </w:r>
          </w:p>
        </w:tc>
      </w:tr>
      <w:tr>
        <w:trPr>
          <w:trHeight w:val="629"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en-US" w:eastAsia="en-US" w:bidi="en-US"/>
                <w:w w:val="100"/>
                <w:spacing w:val="0"/>
                <w:color w:val="000000"/>
                <w:position w:val="0"/>
              </w:rPr>
              <w:t xml:space="preserve">Cornelia de Lange </w:t>
            </w:r>
            <w:r>
              <w:rPr>
                <w:lang w:val="ru-RU" w:eastAsia="ru-RU" w:bidi="ru-RU"/>
                <w:w w:val="100"/>
                <w:spacing w:val="0"/>
                <w:color w:val="000000"/>
                <w:position w:val="0"/>
              </w:rPr>
              <w:t>синдром (гипостатура, умственная отсталость, ги</w:t>
              <w:softHyphen/>
              <w:t>пертрихоз, микромелия, аномалии гениталий)</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122470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20% больных имеют врожденные пороки сердца: ДМЖП, ДМПП, ОАП, тетрада Фалло, левая передняя полая вена</w:t>
            </w:r>
          </w:p>
        </w:tc>
      </w:tr>
      <w:tr>
        <w:trPr>
          <w:trHeight w:val="634"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en-US" w:eastAsia="en-US" w:bidi="en-US"/>
                <w:w w:val="100"/>
                <w:spacing w:val="0"/>
                <w:color w:val="000000"/>
                <w:position w:val="0"/>
              </w:rPr>
              <w:t xml:space="preserve">DiGeorge </w:t>
            </w:r>
            <w:r>
              <w:rPr>
                <w:lang w:val="ru-RU" w:eastAsia="ru-RU" w:bidi="ru-RU"/>
                <w:w w:val="100"/>
                <w:spacing w:val="0"/>
                <w:color w:val="000000"/>
                <w:position w:val="0"/>
              </w:rPr>
              <w:t>синдром (гипоплазия тимуса, иммунодефицит, гипоплазия паращитовидных желез, аномалии жаберных дуг)</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188400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У100% больных врожденные пороки сердца: перерыв ду</w:t>
              <w:softHyphen/>
              <w:t>ги аорты тип В, праворасположенная аорта, тетрада Фал- ло, ОАП</w:t>
            </w:r>
          </w:p>
        </w:tc>
      </w:tr>
      <w:tr>
        <w:trPr>
          <w:trHeight w:val="629"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en-US" w:eastAsia="en-US" w:bidi="en-US"/>
                <w:w w:val="100"/>
                <w:spacing w:val="0"/>
                <w:color w:val="000000"/>
                <w:position w:val="0"/>
              </w:rPr>
              <w:t xml:space="preserve">Goldenhar </w:t>
            </w:r>
            <w:r>
              <w:rPr>
                <w:lang w:val="ru-RU" w:eastAsia="ru-RU" w:bidi="ru-RU"/>
                <w:w w:val="100"/>
                <w:spacing w:val="0"/>
                <w:color w:val="000000"/>
                <w:position w:val="0"/>
              </w:rPr>
              <w:t>синдром (гемифациальная микросомия, микротия, рече</w:t>
              <w:softHyphen/>
              <w:t>вые нарушения)</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141400,</w:t>
            </w:r>
          </w:p>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164210,</w:t>
            </w:r>
          </w:p>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257700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50% имеют врожденный порок сердца: ДМЖП, коаркта</w:t>
              <w:softHyphen/>
              <w:t>ция аорты, ОАП, тетрада Фалло, праворасположенная аорта, левая передняя полая вена</w:t>
            </w:r>
          </w:p>
        </w:tc>
      </w:tr>
      <w:tr>
        <w:trPr>
          <w:trHeight w:val="66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en-US" w:eastAsia="en-US" w:bidi="en-US"/>
                <w:w w:val="100"/>
                <w:spacing w:val="0"/>
                <w:color w:val="000000"/>
                <w:position w:val="0"/>
              </w:rPr>
              <w:t xml:space="preserve">Klippel-Feil </w:t>
            </w:r>
            <w:r>
              <w:rPr>
                <w:lang w:val="ru-RU" w:eastAsia="ru-RU" w:bidi="ru-RU"/>
                <w:w w:val="100"/>
                <w:spacing w:val="0"/>
                <w:color w:val="000000"/>
                <w:position w:val="0"/>
              </w:rPr>
              <w:t>синдром (короткая шея, шейные аномалии, ограничен</w:t>
              <w:softHyphen/>
              <w:t>ная подвижность в шее)</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118100,</w:t>
            </w:r>
          </w:p>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148900,</w:t>
            </w:r>
          </w:p>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214300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Вариабельные данные о частоте пороков сердца (от 5 до 70% случаев): декстрокардия, ДМЖП</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en-US" w:eastAsia="en-US" w:bidi="en-US"/>
                <w:w w:val="100"/>
                <w:spacing w:val="0"/>
                <w:color w:val="000000"/>
                <w:position w:val="0"/>
              </w:rPr>
              <w:t xml:space="preserve">«Kabuki make-up» </w:t>
            </w:r>
            <w:r>
              <w:rPr>
                <w:lang w:val="ru-RU" w:eastAsia="ru-RU" w:bidi="ru-RU"/>
                <w:w w:val="100"/>
                <w:spacing w:val="0"/>
                <w:color w:val="000000"/>
                <w:position w:val="0"/>
              </w:rPr>
              <w:t>синдром (карликовость, особенности лица, ум</w:t>
              <w:softHyphen/>
              <w:t>ственная отсталость, сколиоз)</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147920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30% больных с пороками сердца: ДМПП, ДМЖП, ОАП, тетрада Фалло, коарктация аорты</w:t>
            </w:r>
          </w:p>
        </w:tc>
      </w:tr>
      <w:tr>
        <w:trPr>
          <w:trHeight w:val="437"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en-US" w:eastAsia="en-US" w:bidi="en-US"/>
                <w:w w:val="100"/>
                <w:spacing w:val="0"/>
                <w:color w:val="000000"/>
                <w:position w:val="0"/>
              </w:rPr>
              <w:t xml:space="preserve">Pallister-Hall </w:t>
            </w:r>
            <w:r>
              <w:rPr>
                <w:lang w:val="ru-RU" w:eastAsia="ru-RU" w:bidi="ru-RU"/>
                <w:w w:val="100"/>
                <w:spacing w:val="0"/>
                <w:color w:val="000000"/>
                <w:position w:val="0"/>
              </w:rPr>
              <w:t>синдром (гипоталамическая гамартобластома, гипопиту- итаризм, неперфорированный анус, постаксиальная полидактилия)</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146510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Дефекты эндокардиальной подушки</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en-US" w:eastAsia="en-US" w:bidi="en-US"/>
                <w:w w:val="100"/>
                <w:spacing w:val="0"/>
                <w:color w:val="000000"/>
                <w:position w:val="0"/>
              </w:rPr>
              <w:t xml:space="preserve">Poland </w:t>
            </w:r>
            <w:r>
              <w:rPr>
                <w:lang w:val="ru-RU" w:eastAsia="ru-RU" w:bidi="ru-RU"/>
                <w:w w:val="100"/>
                <w:spacing w:val="0"/>
                <w:color w:val="000000"/>
                <w:position w:val="0"/>
              </w:rPr>
              <w:t>синдром (ипсилатеральная синбрахидактилия, унилатераль</w:t>
              <w:softHyphen/>
              <w:t xml:space="preserve">ное отсутствие </w:t>
            </w:r>
            <w:r>
              <w:rPr>
                <w:lang w:val="en-US" w:eastAsia="en-US" w:bidi="en-US"/>
                <w:w w:val="100"/>
                <w:spacing w:val="0"/>
                <w:color w:val="000000"/>
                <w:position w:val="0"/>
              </w:rPr>
              <w:t>sternocostal pectoralis major)</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173800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10% больных имеют праворасположенное или право</w:t>
              <w:softHyphen/>
              <w:t>сформированное сердце</w:t>
            </w:r>
          </w:p>
        </w:tc>
      </w:tr>
      <w:tr>
        <w:trPr>
          <w:trHeight w:val="437"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en-US" w:eastAsia="en-US" w:bidi="en-US"/>
                <w:w w:val="100"/>
                <w:spacing w:val="0"/>
                <w:color w:val="000000"/>
                <w:position w:val="0"/>
              </w:rPr>
              <w:t xml:space="preserve">Rubenstein-Taybi </w:t>
            </w:r>
            <w:r>
              <w:rPr>
                <w:lang w:val="ru-RU" w:eastAsia="ru-RU" w:bidi="ru-RU"/>
                <w:w w:val="100"/>
                <w:spacing w:val="0"/>
                <w:color w:val="000000"/>
                <w:position w:val="0"/>
              </w:rPr>
              <w:t>синдром (гипостатура, умственная отсталость, мик</w:t>
              <w:softHyphen/>
              <w:t>роцефалия, характерное лицо, широкий большой палец)</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268600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20% имеют пороки сердца: дефекты эндокардиальной подушки, ДМПП, ОАП, тетрада Фалло, ДМЖП</w:t>
            </w:r>
          </w:p>
        </w:tc>
      </w:tr>
      <w:tr>
        <w:trPr>
          <w:trHeight w:val="442" w:hRule="exact"/>
        </w:trPr>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en-US" w:eastAsia="en-US" w:bidi="en-US"/>
                <w:w w:val="100"/>
                <w:spacing w:val="0"/>
                <w:color w:val="000000"/>
                <w:position w:val="0"/>
              </w:rPr>
              <w:t xml:space="preserve">VATER </w:t>
            </w:r>
            <w:r>
              <w:rPr>
                <w:lang w:val="ru-RU" w:eastAsia="ru-RU" w:bidi="ru-RU"/>
                <w:w w:val="100"/>
                <w:spacing w:val="0"/>
                <w:color w:val="000000"/>
                <w:position w:val="0"/>
              </w:rPr>
              <w:t>синдром (речевые нарушения, атрезия ануса, трахео-эзофа- гальная фистула, дисплазия лучевой кости, почечные аномалии)</w:t>
            </w:r>
          </w:p>
        </w:tc>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192350</w:t>
            </w:r>
          </w:p>
        </w:tc>
        <w:tc>
          <w:tcPr>
            <w:shd w:val="clear" w:color="auto" w:fill="FFFFFF"/>
            <w:tcBorders>
              <w:left w:val="single" w:sz="4"/>
              <w:righ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ДМЖП</w:t>
            </w:r>
          </w:p>
        </w:tc>
      </w:tr>
    </w:tbl>
    <w:p>
      <w:pPr>
        <w:framePr w:w="9883" w:wrap="notBeside" w:vAnchor="text" w:hAnchor="text" w:xAlign="center" w:y="1"/>
        <w:widowControl w:val="0"/>
        <w:rPr>
          <w:sz w:val="2"/>
          <w:szCs w:val="2"/>
        </w:rPr>
      </w:pPr>
    </w:p>
    <w:p>
      <w:pPr>
        <w:widowControl w:val="0"/>
        <w:rPr>
          <w:sz w:val="2"/>
          <w:szCs w:val="2"/>
        </w:rPr>
      </w:pPr>
    </w:p>
    <w:p>
      <w:pPr>
        <w:pStyle w:val="Style30"/>
        <w:widowControl w:val="0"/>
        <w:keepNext w:val="0"/>
        <w:keepLines w:val="0"/>
        <w:shd w:val="clear" w:color="auto" w:fill="auto"/>
        <w:bidi w:val="0"/>
        <w:jc w:val="left"/>
        <w:spacing w:before="21" w:after="0"/>
        <w:ind w:left="0" w:right="0" w:firstLine="280"/>
      </w:pPr>
      <w:r>
        <w:rPr>
          <w:lang w:val="ru-RU" w:eastAsia="ru-RU" w:bidi="ru-RU"/>
          <w:w w:val="100"/>
          <w:spacing w:val="0"/>
          <w:color w:val="000000"/>
          <w:position w:val="0"/>
        </w:rPr>
        <w:t>ДМПП — дефект межпредсердной перегородки, ДМЖП — дефект межжелудочковой перегородки, ОАП — открытый артериальный проток.</w:t>
      </w:r>
    </w:p>
    <w:p>
      <w:pPr>
        <w:pStyle w:val="Style30"/>
        <w:widowControl w:val="0"/>
        <w:keepNext w:val="0"/>
        <w:keepLines w:val="0"/>
        <w:shd w:val="clear" w:color="auto" w:fill="auto"/>
        <w:bidi w:val="0"/>
        <w:jc w:val="left"/>
        <w:spacing w:before="0" w:after="1277"/>
        <w:ind w:left="0" w:right="0" w:firstLine="280"/>
      </w:pPr>
      <w:r>
        <w:rPr>
          <w:lang w:val="en-US" w:eastAsia="en-US" w:bidi="en-US"/>
          <w:w w:val="100"/>
          <w:spacing w:val="0"/>
          <w:color w:val="000000"/>
          <w:position w:val="0"/>
        </w:rPr>
        <w:t xml:space="preserve">MIM </w:t>
      </w:r>
      <w:r>
        <w:rPr>
          <w:lang w:val="ru-RU" w:eastAsia="ru-RU" w:bidi="ru-RU"/>
          <w:w w:val="100"/>
          <w:spacing w:val="0"/>
          <w:color w:val="000000"/>
          <w:position w:val="0"/>
        </w:rPr>
        <w:t xml:space="preserve">— данные из </w:t>
      </w:r>
      <w:r>
        <w:rPr>
          <w:lang w:val="en-US" w:eastAsia="en-US" w:bidi="en-US"/>
          <w:w w:val="100"/>
          <w:spacing w:val="0"/>
          <w:color w:val="000000"/>
          <w:position w:val="0"/>
        </w:rPr>
        <w:t xml:space="preserve">McKusick, </w:t>
      </w:r>
      <w:r>
        <w:rPr>
          <w:lang w:val="ru-RU" w:eastAsia="ru-RU" w:bidi="ru-RU"/>
          <w:w w:val="100"/>
          <w:spacing w:val="0"/>
          <w:color w:val="000000"/>
          <w:position w:val="0"/>
        </w:rPr>
        <w:t xml:space="preserve">V </w:t>
      </w:r>
      <w:r>
        <w:rPr>
          <w:lang w:val="en-US" w:eastAsia="en-US" w:bidi="en-US"/>
          <w:w w:val="100"/>
          <w:spacing w:val="0"/>
          <w:color w:val="000000"/>
          <w:position w:val="0"/>
        </w:rPr>
        <w:t>A.: Mendelian Inheritance in Man. 11th ed. Baltimore, John Hopkins University Press, 1994.</w:t>
      </w:r>
    </w:p>
    <w:p>
      <w:pPr>
        <w:framePr w:h="293" w:wrap="notBeside" w:vAnchor="text" w:hAnchor="text" w:xAlign="center" w:y="1"/>
        <w:widowControl w:val="0"/>
        <w:jc w:val="center"/>
        <w:rPr>
          <w:sz w:val="2"/>
          <w:szCs w:val="2"/>
        </w:rPr>
      </w:pPr>
      <w:r>
        <w:pict>
          <v:shape id="_x0000_s1125" type="#_x0000_t75" style="width:210pt;height:15pt;">
            <v:imagedata r:id="rId162" r:href="rId163"/>
          </v:shape>
        </w:pict>
      </w:r>
    </w:p>
    <w:p>
      <w:pPr>
        <w:widowControl w:val="0"/>
        <w:rPr>
          <w:sz w:val="2"/>
          <w:szCs w:val="2"/>
        </w:rPr>
      </w:pPr>
      <w:r>
        <w:br w:type="page"/>
      </w:r>
    </w:p>
    <w:tbl>
      <w:tblPr>
        <w:tblOverlap w:val="never"/>
        <w:tblLayout w:type="fixed"/>
        <w:jc w:val="left"/>
      </w:tblPr>
      <w:tblGrid>
        <w:gridCol w:w="3907"/>
        <w:gridCol w:w="1070"/>
        <w:gridCol w:w="3845"/>
        <w:gridCol w:w="1046"/>
      </w:tblGrid>
      <w:tr>
        <w:trPr>
          <w:trHeight w:val="240" w:hRule="exact"/>
        </w:trPr>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Дефект</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300" w:right="0" w:firstLine="0"/>
            </w:pPr>
            <w:r>
              <w:rPr>
                <w:lang w:val="ru-RU" w:eastAsia="ru-RU" w:bidi="ru-RU"/>
                <w:w w:val="100"/>
                <w:spacing w:val="0"/>
                <w:color w:val="000000"/>
                <w:position w:val="0"/>
              </w:rPr>
              <w:t xml:space="preserve">№ </w:t>
            </w:r>
            <w:r>
              <w:rPr>
                <w:lang w:val="en-US" w:eastAsia="en-US" w:bidi="en-US"/>
                <w:w w:val="100"/>
                <w:spacing w:val="0"/>
                <w:color w:val="000000"/>
                <w:position w:val="0"/>
              </w:rPr>
              <w:t>MIM</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Дефект</w:t>
            </w:r>
          </w:p>
        </w:tc>
        <w:tc>
          <w:tcPr>
            <w:shd w:val="clear" w:color="auto" w:fill="FFFFFF"/>
            <w:tcBorders>
              <w:left w:val="single" w:sz="4"/>
              <w:righ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280" w:right="0" w:firstLine="0"/>
            </w:pPr>
            <w:r>
              <w:rPr>
                <w:lang w:val="ru-RU" w:eastAsia="ru-RU" w:bidi="ru-RU"/>
                <w:w w:val="100"/>
                <w:spacing w:val="0"/>
                <w:color w:val="000000"/>
                <w:position w:val="0"/>
              </w:rPr>
              <w:t xml:space="preserve">№ </w:t>
            </w:r>
            <w:r>
              <w:rPr>
                <w:lang w:val="en-US" w:eastAsia="en-US" w:bidi="en-US"/>
                <w:w w:val="100"/>
                <w:spacing w:val="0"/>
                <w:color w:val="000000"/>
                <w:position w:val="0"/>
              </w:rPr>
              <w:t>MIM</w:t>
            </w:r>
          </w:p>
        </w:tc>
      </w:tr>
      <w:tr>
        <w:trPr>
          <w:trHeight w:val="437" w:hRule="exact"/>
        </w:trPr>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Аневризма внутричерепная по типу ягоды</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300" w:right="0" w:firstLine="0"/>
            </w:pPr>
            <w:r>
              <w:rPr>
                <w:lang w:val="ru-RU" w:eastAsia="ru-RU" w:bidi="ru-RU"/>
                <w:w w:val="100"/>
                <w:spacing w:val="0"/>
                <w:color w:val="000000"/>
                <w:position w:val="0"/>
              </w:rPr>
              <w:t>105800</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Гйпоплазия левых отделов сердца</w:t>
            </w:r>
          </w:p>
        </w:tc>
        <w:tc>
          <w:tcPr>
            <w:shd w:val="clear" w:color="auto" w:fill="FFFFFF"/>
            <w:tcBorders>
              <w:left w:val="single" w:sz="4"/>
              <w:righ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140500,</w:t>
            </w:r>
          </w:p>
          <w:p>
            <w:pPr>
              <w:pStyle w:val="Style30"/>
              <w:framePr w:w="9869" w:h="6634" w:hSpace="21" w:wrap="notBeside" w:vAnchor="text" w:hAnchor="text" w:x="22" w:y="476"/>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241550</w:t>
            </w:r>
          </w:p>
        </w:tc>
      </w:tr>
      <w:tr>
        <w:trPr>
          <w:trHeight w:val="235" w:hRule="exact"/>
        </w:trPr>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Аневризма абдоминальной аорты</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300" w:right="0" w:firstLine="0"/>
            </w:pPr>
            <w:r>
              <w:rPr>
                <w:lang w:val="ru-RU" w:eastAsia="ru-RU" w:bidi="ru-RU"/>
                <w:w w:val="100"/>
                <w:spacing w:val="0"/>
                <w:color w:val="000000"/>
                <w:position w:val="0"/>
              </w:rPr>
              <w:t>100070</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Гйпоплазия правых отделов сердца</w:t>
            </w:r>
          </w:p>
        </w:tc>
        <w:tc>
          <w:tcPr>
            <w:shd w:val="clear" w:color="auto" w:fill="FFFFFF"/>
            <w:tcBorders>
              <w:left w:val="single" w:sz="4"/>
              <w:righ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277200</w:t>
            </w:r>
          </w:p>
        </w:tc>
      </w:tr>
      <w:tr>
        <w:trPr>
          <w:trHeight w:val="1008" w:hRule="exact"/>
        </w:trPr>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Ангиома</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92" w:lineRule="exact"/>
              <w:ind w:left="300" w:right="0" w:firstLine="0"/>
            </w:pPr>
            <w:r>
              <w:rPr>
                <w:lang w:val="ru-RU" w:eastAsia="ru-RU" w:bidi="ru-RU"/>
                <w:w w:val="100"/>
                <w:spacing w:val="0"/>
                <w:color w:val="000000"/>
                <w:position w:val="0"/>
              </w:rPr>
              <w:t>106050,</w:t>
            </w:r>
          </w:p>
          <w:p>
            <w:pPr>
              <w:pStyle w:val="Style30"/>
              <w:framePr w:w="9869" w:h="6634" w:hSpace="21" w:wrap="notBeside" w:vAnchor="text" w:hAnchor="text" w:x="22" w:y="476"/>
              <w:widowControl w:val="0"/>
              <w:keepNext w:val="0"/>
              <w:keepLines w:val="0"/>
              <w:shd w:val="clear" w:color="auto" w:fill="auto"/>
              <w:bidi w:val="0"/>
              <w:jc w:val="left"/>
              <w:spacing w:before="0" w:after="0" w:line="192" w:lineRule="exact"/>
              <w:ind w:left="300" w:right="0" w:firstLine="0"/>
            </w:pPr>
            <w:r>
              <w:rPr>
                <w:lang w:val="ru-RU" w:eastAsia="ru-RU" w:bidi="ru-RU"/>
                <w:w w:val="100"/>
                <w:spacing w:val="0"/>
                <w:color w:val="000000"/>
                <w:position w:val="0"/>
              </w:rPr>
              <w:t>106070,</w:t>
            </w:r>
          </w:p>
          <w:p>
            <w:pPr>
              <w:pStyle w:val="Style30"/>
              <w:framePr w:w="9869" w:h="6634" w:hSpace="21" w:wrap="notBeside" w:vAnchor="text" w:hAnchor="text" w:x="22" w:y="476"/>
              <w:widowControl w:val="0"/>
              <w:keepNext w:val="0"/>
              <w:keepLines w:val="0"/>
              <w:shd w:val="clear" w:color="auto" w:fill="auto"/>
              <w:bidi w:val="0"/>
              <w:jc w:val="left"/>
              <w:spacing w:before="0" w:after="0" w:line="192" w:lineRule="exact"/>
              <w:ind w:left="300" w:right="0" w:firstLine="0"/>
            </w:pPr>
            <w:r>
              <w:rPr>
                <w:lang w:val="ru-RU" w:eastAsia="ru-RU" w:bidi="ru-RU"/>
                <w:w w:val="100"/>
                <w:spacing w:val="0"/>
                <w:color w:val="000000"/>
                <w:position w:val="0"/>
              </w:rPr>
              <w:t>206570</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Врожденная лимфедема</w:t>
            </w:r>
          </w:p>
        </w:tc>
        <w:tc>
          <w:tcPr>
            <w:shd w:val="clear" w:color="auto" w:fill="FFFFFF"/>
            <w:tcBorders>
              <w:left w:val="single" w:sz="4"/>
              <w:righ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153000,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153100,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153400,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214900,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247440</w:t>
            </w:r>
          </w:p>
        </w:tc>
      </w:tr>
      <w:tr>
        <w:trPr>
          <w:trHeight w:val="634" w:hRule="exact"/>
        </w:trPr>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Первичный ДМПП</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300" w:right="0" w:firstLine="0"/>
            </w:pPr>
            <w:r>
              <w:rPr>
                <w:lang w:val="ru-RU" w:eastAsia="ru-RU" w:bidi="ru-RU"/>
                <w:w w:val="100"/>
                <w:spacing w:val="0"/>
                <w:color w:val="000000"/>
                <w:position w:val="0"/>
              </w:rPr>
              <w:t>209400</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Вторичный ДМПП</w:t>
            </w:r>
          </w:p>
        </w:tc>
        <w:tc>
          <w:tcPr>
            <w:shd w:val="clear" w:color="auto" w:fill="FFFFFF"/>
            <w:tcBorders>
              <w:left w:val="single" w:sz="4"/>
              <w:right w:val="single" w:sz="4"/>
              <w:top w:val="single" w:sz="4"/>
            </w:tcBorders>
            <w:vAlign w:val="center"/>
          </w:tcPr>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108800,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108900,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178650</w:t>
            </w:r>
          </w:p>
        </w:tc>
      </w:tr>
      <w:tr>
        <w:trPr>
          <w:trHeight w:val="235" w:hRule="exact"/>
        </w:trPr>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Пролапс митрального клапана</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300" w:right="0" w:firstLine="0"/>
            </w:pPr>
            <w:r>
              <w:rPr>
                <w:lang w:val="ru-RU" w:eastAsia="ru-RU" w:bidi="ru-RU"/>
                <w:w w:val="100"/>
                <w:spacing w:val="0"/>
                <w:color w:val="000000"/>
                <w:position w:val="0"/>
              </w:rPr>
              <w:t>157700</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Двустворчатый аортальный клапан</w:t>
            </w:r>
          </w:p>
        </w:tc>
        <w:tc>
          <w:tcPr>
            <w:shd w:val="clear" w:color="auto" w:fill="FFFFFF"/>
            <w:tcBorders>
              <w:left w:val="single" w:sz="4"/>
              <w:righ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109730</w:t>
            </w:r>
          </w:p>
        </w:tc>
      </w:tr>
      <w:tr>
        <w:trPr>
          <w:trHeight w:val="235" w:hRule="exact"/>
        </w:trPr>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Открытый артериальный проток</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300" w:right="0" w:firstLine="0"/>
            </w:pPr>
            <w:r>
              <w:rPr>
                <w:lang w:val="ru-RU" w:eastAsia="ru-RU" w:bidi="ru-RU"/>
                <w:w w:val="100"/>
                <w:spacing w:val="0"/>
                <w:color w:val="000000"/>
                <w:position w:val="0"/>
              </w:rPr>
              <w:t>169100</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Конотрункальный дефект</w:t>
            </w:r>
          </w:p>
        </w:tc>
        <w:tc>
          <w:tcPr>
            <w:shd w:val="clear" w:color="auto" w:fill="FFFFFF"/>
            <w:tcBorders>
              <w:left w:val="single" w:sz="4"/>
              <w:righ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231060</w:t>
            </w:r>
          </w:p>
        </w:tc>
      </w:tr>
      <w:tr>
        <w:trPr>
          <w:trHeight w:val="240" w:hRule="exact"/>
        </w:trPr>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Аномальный дренаж легочных вен</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300" w:right="0" w:firstLine="0"/>
            </w:pPr>
            <w:r>
              <w:rPr>
                <w:lang w:val="ru-RU" w:eastAsia="ru-RU" w:bidi="ru-RU"/>
                <w:w w:val="100"/>
                <w:spacing w:val="0"/>
                <w:color w:val="000000"/>
                <w:position w:val="0"/>
              </w:rPr>
              <w:t>106700</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Гипертрофическая кардиомиопатия</w:t>
            </w:r>
          </w:p>
        </w:tc>
        <w:tc>
          <w:tcPr>
            <w:shd w:val="clear" w:color="auto" w:fill="FFFFFF"/>
            <w:tcBorders>
              <w:left w:val="single" w:sz="4"/>
              <w:righ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192600</w:t>
            </w:r>
          </w:p>
        </w:tc>
      </w:tr>
      <w:tr>
        <w:trPr>
          <w:trHeight w:val="1205" w:hRule="exact"/>
        </w:trPr>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Дилатационная кардиомиопатия</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92" w:lineRule="exact"/>
              <w:ind w:left="300" w:right="0" w:firstLine="0"/>
            </w:pPr>
            <w:r>
              <w:rPr>
                <w:lang w:val="ru-RU" w:eastAsia="ru-RU" w:bidi="ru-RU"/>
                <w:w w:val="100"/>
                <w:spacing w:val="0"/>
                <w:color w:val="000000"/>
                <w:position w:val="0"/>
              </w:rPr>
              <w:t>108770,</w:t>
            </w:r>
          </w:p>
          <w:p>
            <w:pPr>
              <w:pStyle w:val="Style30"/>
              <w:framePr w:w="9869" w:h="6634" w:hSpace="21" w:wrap="notBeside" w:vAnchor="text" w:hAnchor="text" w:x="22" w:y="476"/>
              <w:widowControl w:val="0"/>
              <w:keepNext w:val="0"/>
              <w:keepLines w:val="0"/>
              <w:shd w:val="clear" w:color="auto" w:fill="auto"/>
              <w:bidi w:val="0"/>
              <w:jc w:val="right"/>
              <w:spacing w:before="0" w:after="0" w:line="192" w:lineRule="exact"/>
              <w:ind w:left="0" w:right="300" w:firstLine="0"/>
            </w:pPr>
            <w:r>
              <w:rPr>
                <w:lang w:val="ru-RU" w:eastAsia="ru-RU" w:bidi="ru-RU"/>
                <w:w w:val="100"/>
                <w:spacing w:val="0"/>
                <w:color w:val="000000"/>
                <w:position w:val="0"/>
              </w:rPr>
              <w:t>115200,</w:t>
            </w:r>
          </w:p>
          <w:p>
            <w:pPr>
              <w:pStyle w:val="Style30"/>
              <w:framePr w:w="9869" w:h="6634" w:hSpace="21" w:wrap="notBeside" w:vAnchor="text" w:hAnchor="text" w:x="22" w:y="476"/>
              <w:widowControl w:val="0"/>
              <w:keepNext w:val="0"/>
              <w:keepLines w:val="0"/>
              <w:shd w:val="clear" w:color="auto" w:fill="auto"/>
              <w:bidi w:val="0"/>
              <w:jc w:val="left"/>
              <w:spacing w:before="0" w:after="0" w:line="192" w:lineRule="exact"/>
              <w:ind w:left="300" w:right="0" w:firstLine="0"/>
            </w:pPr>
            <w:r>
              <w:rPr>
                <w:lang w:val="ru-RU" w:eastAsia="ru-RU" w:bidi="ru-RU"/>
                <w:w w:val="100"/>
                <w:spacing w:val="0"/>
                <w:color w:val="000000"/>
                <w:position w:val="0"/>
              </w:rPr>
              <w:t>115250,</w:t>
            </w:r>
          </w:p>
          <w:p>
            <w:pPr>
              <w:pStyle w:val="Style30"/>
              <w:framePr w:w="9869" w:h="6634" w:hSpace="21" w:wrap="notBeside" w:vAnchor="text" w:hAnchor="text" w:x="22" w:y="476"/>
              <w:widowControl w:val="0"/>
              <w:keepNext w:val="0"/>
              <w:keepLines w:val="0"/>
              <w:shd w:val="clear" w:color="auto" w:fill="auto"/>
              <w:bidi w:val="0"/>
              <w:jc w:val="left"/>
              <w:spacing w:before="0" w:after="0" w:line="192" w:lineRule="exact"/>
              <w:ind w:left="300" w:right="0" w:firstLine="0"/>
            </w:pPr>
            <w:r>
              <w:rPr>
                <w:lang w:val="ru-RU" w:eastAsia="ru-RU" w:bidi="ru-RU"/>
                <w:w w:val="100"/>
                <w:spacing w:val="0"/>
                <w:color w:val="000000"/>
                <w:position w:val="0"/>
              </w:rPr>
              <w:t>212110</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Стеноз легочной артерии</w:t>
            </w:r>
          </w:p>
        </w:tc>
        <w:tc>
          <w:tcPr>
            <w:shd w:val="clear" w:color="auto" w:fill="FFFFFF"/>
            <w:tcBorders>
              <w:left w:val="single" w:sz="4"/>
              <w:righ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126190,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178650,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193520,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265500,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265600,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270460</w:t>
            </w:r>
          </w:p>
        </w:tc>
      </w:tr>
      <w:tr>
        <w:trPr>
          <w:trHeight w:val="437" w:hRule="exact"/>
        </w:trPr>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Декстрокардия</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300" w:right="0" w:firstLine="0"/>
            </w:pPr>
            <w:r>
              <w:rPr>
                <w:lang w:val="ru-RU" w:eastAsia="ru-RU" w:bidi="ru-RU"/>
                <w:w w:val="100"/>
                <w:spacing w:val="0"/>
                <w:color w:val="000000"/>
                <w:position w:val="0"/>
              </w:rPr>
              <w:t>244400,</w:t>
            </w:r>
          </w:p>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300" w:right="0" w:firstLine="0"/>
            </w:pPr>
            <w:r>
              <w:rPr>
                <w:lang w:val="ru-RU" w:eastAsia="ru-RU" w:bidi="ru-RU"/>
                <w:w w:val="100"/>
                <w:spacing w:val="0"/>
                <w:color w:val="000000"/>
                <w:position w:val="0"/>
              </w:rPr>
              <w:t>304750</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Субаортальный стеноз</w:t>
            </w:r>
          </w:p>
        </w:tc>
        <w:tc>
          <w:tcPr>
            <w:shd w:val="clear" w:color="auto" w:fill="FFFFFF"/>
            <w:tcBorders>
              <w:left w:val="single" w:sz="4"/>
              <w:righ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271950,</w:t>
            </w:r>
          </w:p>
          <w:p>
            <w:pPr>
              <w:pStyle w:val="Style30"/>
              <w:framePr w:w="9869" w:h="6634" w:hSpace="21" w:wrap="notBeside" w:vAnchor="text" w:hAnchor="text" w:x="22" w:y="476"/>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271960</w:t>
            </w:r>
          </w:p>
        </w:tc>
      </w:tr>
      <w:tr>
        <w:trPr>
          <w:trHeight w:val="235" w:hRule="exact"/>
        </w:trPr>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Аномалия Эбштейна</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300" w:right="0" w:firstLine="0"/>
            </w:pPr>
            <w:r>
              <w:rPr>
                <w:lang w:val="ru-RU" w:eastAsia="ru-RU" w:bidi="ru-RU"/>
                <w:w w:val="100"/>
                <w:spacing w:val="0"/>
                <w:color w:val="000000"/>
                <w:position w:val="0"/>
              </w:rPr>
              <w:t>224700</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Тетрада Фалло</w:t>
            </w:r>
          </w:p>
        </w:tc>
        <w:tc>
          <w:tcPr>
            <w:shd w:val="clear" w:color="auto" w:fill="FFFFFF"/>
            <w:tcBorders>
              <w:left w:val="single" w:sz="4"/>
              <w:righ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187500</w:t>
            </w:r>
          </w:p>
        </w:tc>
      </w:tr>
      <w:tr>
        <w:trPr>
          <w:trHeight w:val="811" w:hRule="exact"/>
        </w:trPr>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Эндокардиальный фиброэластоз</w:t>
            </w:r>
          </w:p>
        </w:tc>
        <w:tc>
          <w:tcPr>
            <w:shd w:val="clear" w:color="auto" w:fill="FFFFFF"/>
            <w:tcBorders>
              <w:left w:val="single" w:sz="4"/>
              <w:top w:val="single" w:sz="4"/>
            </w:tcBorders>
            <w:vAlign w:val="center"/>
          </w:tcPr>
          <w:p>
            <w:pPr>
              <w:pStyle w:val="Style30"/>
              <w:framePr w:w="9869" w:h="6634" w:hSpace="21" w:wrap="notBeside" w:vAnchor="text" w:hAnchor="text" w:x="22" w:y="476"/>
              <w:widowControl w:val="0"/>
              <w:keepNext w:val="0"/>
              <w:keepLines w:val="0"/>
              <w:shd w:val="clear" w:color="auto" w:fill="auto"/>
              <w:bidi w:val="0"/>
              <w:jc w:val="left"/>
              <w:spacing w:before="0" w:after="0" w:line="192" w:lineRule="exact"/>
              <w:ind w:left="300" w:right="0" w:firstLine="0"/>
            </w:pPr>
            <w:r>
              <w:rPr>
                <w:lang w:val="ru-RU" w:eastAsia="ru-RU" w:bidi="ru-RU"/>
                <w:w w:val="100"/>
                <w:spacing w:val="0"/>
                <w:color w:val="000000"/>
                <w:position w:val="0"/>
              </w:rPr>
              <w:t>226000,</w:t>
            </w:r>
          </w:p>
          <w:p>
            <w:pPr>
              <w:pStyle w:val="Style30"/>
              <w:framePr w:w="9869" w:h="6634" w:hSpace="21" w:wrap="notBeside" w:vAnchor="text" w:hAnchor="text" w:x="22" w:y="476"/>
              <w:widowControl w:val="0"/>
              <w:keepNext w:val="0"/>
              <w:keepLines w:val="0"/>
              <w:shd w:val="clear" w:color="auto" w:fill="auto"/>
              <w:bidi w:val="0"/>
              <w:jc w:val="left"/>
              <w:spacing w:before="0" w:after="0" w:line="192" w:lineRule="exact"/>
              <w:ind w:left="300" w:right="0" w:firstLine="0"/>
            </w:pPr>
            <w:r>
              <w:rPr>
                <w:lang w:val="ru-RU" w:eastAsia="ru-RU" w:bidi="ru-RU"/>
                <w:w w:val="100"/>
                <w:spacing w:val="0"/>
                <w:color w:val="000000"/>
                <w:position w:val="0"/>
              </w:rPr>
              <w:t>227280,</w:t>
            </w:r>
          </w:p>
          <w:p>
            <w:pPr>
              <w:pStyle w:val="Style30"/>
              <w:framePr w:w="9869" w:h="6634" w:hSpace="21" w:wrap="notBeside" w:vAnchor="text" w:hAnchor="text" w:x="22" w:y="476"/>
              <w:widowControl w:val="0"/>
              <w:keepNext w:val="0"/>
              <w:keepLines w:val="0"/>
              <w:shd w:val="clear" w:color="auto" w:fill="auto"/>
              <w:bidi w:val="0"/>
              <w:jc w:val="left"/>
              <w:spacing w:before="0" w:after="0" w:line="192" w:lineRule="exact"/>
              <w:ind w:left="300" w:right="0" w:firstLine="0"/>
            </w:pPr>
            <w:r>
              <w:rPr>
                <w:lang w:val="ru-RU" w:eastAsia="ru-RU" w:bidi="ru-RU"/>
                <w:w w:val="100"/>
                <w:spacing w:val="0"/>
                <w:color w:val="000000"/>
                <w:position w:val="0"/>
              </w:rPr>
              <w:t>305300</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Гемангиома</w:t>
            </w:r>
          </w:p>
        </w:tc>
        <w:tc>
          <w:tcPr>
            <w:shd w:val="clear" w:color="auto" w:fill="FFFFFF"/>
            <w:tcBorders>
              <w:left w:val="single" w:sz="4"/>
              <w:righ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106070,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140800,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140900,</w:t>
            </w:r>
          </w:p>
          <w:p>
            <w:pPr>
              <w:pStyle w:val="Style30"/>
              <w:framePr w:w="9869" w:h="6634" w:hSpace="21" w:wrap="notBeside" w:vAnchor="text" w:hAnchor="text" w:x="22" w:y="476"/>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234800</w:t>
            </w:r>
          </w:p>
        </w:tc>
      </w:tr>
      <w:tr>
        <w:trPr>
          <w:trHeight w:val="437" w:hRule="exact"/>
        </w:trPr>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Надклапанный стеноз аорты</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300" w:right="0" w:firstLine="0"/>
            </w:pPr>
            <w:r>
              <w:rPr>
                <w:lang w:val="ru-RU" w:eastAsia="ru-RU" w:bidi="ru-RU"/>
                <w:w w:val="100"/>
                <w:spacing w:val="0"/>
                <w:color w:val="000000"/>
                <w:position w:val="0"/>
              </w:rPr>
              <w:t>185500,</w:t>
            </w:r>
          </w:p>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300" w:right="0" w:firstLine="0"/>
            </w:pPr>
            <w:r>
              <w:rPr>
                <w:lang w:val="ru-RU" w:eastAsia="ru-RU" w:bidi="ru-RU"/>
                <w:w w:val="100"/>
                <w:spacing w:val="0"/>
                <w:color w:val="000000"/>
                <w:position w:val="0"/>
              </w:rPr>
              <w:t>194050</w:t>
            </w:r>
          </w:p>
        </w:tc>
        <w:tc>
          <w:tcPr>
            <w:shd w:val="clear" w:color="auto" w:fill="FFFFFF"/>
            <w:tcBorders>
              <w:left w:val="single" w:sz="4"/>
              <w:top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Кавернозная гемангиома</w:t>
            </w:r>
          </w:p>
        </w:tc>
        <w:tc>
          <w:tcPr>
            <w:shd w:val="clear" w:color="auto" w:fill="FFFFFF"/>
            <w:tcBorders>
              <w:left w:val="single" w:sz="4"/>
              <w:right w:val="single" w:sz="4"/>
              <w:top w:val="single" w:sz="4"/>
            </w:tcBorders>
            <w:vAlign w:val="center"/>
          </w:tcPr>
          <w:p>
            <w:pPr>
              <w:pStyle w:val="Style30"/>
              <w:framePr w:w="9869" w:h="6634" w:hSpace="21" w:wrap="notBeside" w:vAnchor="text" w:hAnchor="text" w:x="22" w:y="476"/>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116860,</w:t>
            </w:r>
          </w:p>
          <w:p>
            <w:pPr>
              <w:pStyle w:val="Style30"/>
              <w:framePr w:w="9869" w:h="6634" w:hSpace="21" w:wrap="notBeside" w:vAnchor="text" w:hAnchor="text" w:x="22" w:y="476"/>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140850</w:t>
            </w:r>
          </w:p>
        </w:tc>
      </w:tr>
      <w:tr>
        <w:trPr>
          <w:trHeight w:val="245" w:hRule="exact"/>
        </w:trPr>
        <w:tc>
          <w:tcPr>
            <w:shd w:val="clear" w:color="auto" w:fill="FFFFFF"/>
            <w:tcBorders>
              <w:left w:val="single" w:sz="4"/>
              <w:top w:val="single" w:sz="4"/>
              <w:bottom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Единственный желудочек сердца</w:t>
            </w:r>
          </w:p>
        </w:tc>
        <w:tc>
          <w:tcPr>
            <w:shd w:val="clear" w:color="auto" w:fill="FFFFFF"/>
            <w:tcBorders>
              <w:left w:val="single" w:sz="4"/>
              <w:top w:val="single" w:sz="4"/>
              <w:bottom w:val="single" w:sz="4"/>
            </w:tcBorders>
            <w:vAlign w:val="top"/>
          </w:tcPr>
          <w:p>
            <w:pPr>
              <w:pStyle w:val="Style30"/>
              <w:framePr w:w="9869" w:h="6634" w:hSpace="21" w:wrap="notBeside" w:vAnchor="text" w:hAnchor="text" w:x="22" w:y="476"/>
              <w:widowControl w:val="0"/>
              <w:keepNext w:val="0"/>
              <w:keepLines w:val="0"/>
              <w:shd w:val="clear" w:color="auto" w:fill="auto"/>
              <w:bidi w:val="0"/>
              <w:jc w:val="left"/>
              <w:spacing w:before="0" w:after="0" w:line="180" w:lineRule="exact"/>
              <w:ind w:left="300" w:right="0" w:firstLine="0"/>
            </w:pPr>
            <w:r>
              <w:rPr>
                <w:lang w:val="ru-RU" w:eastAsia="ru-RU" w:bidi="ru-RU"/>
                <w:w w:val="100"/>
                <w:spacing w:val="0"/>
                <w:color w:val="000000"/>
                <w:position w:val="0"/>
              </w:rPr>
              <w:t>234750</w:t>
            </w:r>
          </w:p>
        </w:tc>
        <w:tc>
          <w:tcPr>
            <w:shd w:val="clear" w:color="auto" w:fill="FFFFFF"/>
            <w:tcBorders>
              <w:left w:val="single" w:sz="4"/>
              <w:top w:val="single" w:sz="4"/>
              <w:bottom w:val="single" w:sz="4"/>
            </w:tcBorders>
            <w:vAlign w:val="top"/>
          </w:tcPr>
          <w:p>
            <w:pPr>
              <w:framePr w:w="9869" w:h="6634" w:hSpace="21" w:wrap="notBeside" w:vAnchor="text" w:hAnchor="text" w:x="22" w:y="476"/>
              <w:widowControl w:val="0"/>
              <w:rPr>
                <w:sz w:val="10"/>
                <w:szCs w:val="10"/>
              </w:rPr>
            </w:pPr>
          </w:p>
        </w:tc>
        <w:tc>
          <w:tcPr>
            <w:shd w:val="clear" w:color="auto" w:fill="FFFFFF"/>
            <w:tcBorders>
              <w:left w:val="single" w:sz="4"/>
              <w:right w:val="single" w:sz="4"/>
              <w:top w:val="single" w:sz="4"/>
              <w:bottom w:val="single" w:sz="4"/>
            </w:tcBorders>
            <w:vAlign w:val="top"/>
          </w:tcPr>
          <w:p>
            <w:pPr>
              <w:framePr w:w="9869" w:h="6634" w:hSpace="21" w:wrap="notBeside" w:vAnchor="text" w:hAnchor="text" w:x="22" w:y="476"/>
              <w:widowControl w:val="0"/>
              <w:rPr>
                <w:sz w:val="10"/>
                <w:szCs w:val="10"/>
              </w:rPr>
            </w:pPr>
          </w:p>
        </w:tc>
      </w:tr>
    </w:tbl>
    <w:p>
      <w:pPr>
        <w:pStyle w:val="Style39"/>
        <w:framePr w:w="1632" w:h="202" w:hSpace="21" w:wrap="notBeside" w:vAnchor="text" w:hAnchor="text" w:x="8288" w:y="1"/>
        <w:widowControl w:val="0"/>
        <w:keepNext w:val="0"/>
        <w:keepLines w:val="0"/>
        <w:shd w:val="clear" w:color="auto" w:fill="auto"/>
        <w:bidi w:val="0"/>
        <w:spacing w:before="0" w:after="0" w:line="170" w:lineRule="exact"/>
        <w:ind w:left="0" w:right="0" w:firstLine="0"/>
      </w:pPr>
      <w:r>
        <w:rPr>
          <w:rStyle w:val="CharStyle100"/>
          <w:i/>
          <w:iCs/>
        </w:rPr>
        <w:t>Таблица 5</w:t>
      </w:r>
    </w:p>
    <w:p>
      <w:pPr>
        <w:pStyle w:val="Style96"/>
        <w:framePr w:w="6139" w:h="237" w:hSpace="21" w:wrap="notBeside" w:vAnchor="text" w:hAnchor="text" w:x="1889" w:y="184"/>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Врожденные пороки сердца, которые нередко имеют наследственный характер</w:t>
      </w:r>
    </w:p>
    <w:p>
      <w:pPr>
        <w:widowControl w:val="0"/>
        <w:rPr>
          <w:sz w:val="2"/>
          <w:szCs w:val="2"/>
        </w:rPr>
      </w:pPr>
    </w:p>
    <w:p>
      <w:pPr>
        <w:pStyle w:val="Style30"/>
        <w:widowControl w:val="0"/>
        <w:keepNext w:val="0"/>
        <w:keepLines w:val="0"/>
        <w:shd w:val="clear" w:color="auto" w:fill="auto"/>
        <w:bidi w:val="0"/>
        <w:jc w:val="left"/>
        <w:spacing w:before="170" w:after="0" w:line="180" w:lineRule="exact"/>
        <w:ind w:left="280" w:right="0" w:firstLine="0"/>
      </w:pPr>
      <w:r>
        <w:rPr>
          <w:lang w:val="ru-RU" w:eastAsia="ru-RU" w:bidi="ru-RU"/>
          <w:w w:val="100"/>
          <w:spacing w:val="0"/>
          <w:color w:val="000000"/>
          <w:position w:val="0"/>
        </w:rPr>
        <w:t>Примечание:</w:t>
      </w:r>
    </w:p>
    <w:p>
      <w:pPr>
        <w:pStyle w:val="Style30"/>
        <w:widowControl w:val="0"/>
        <w:keepNext w:val="0"/>
        <w:keepLines w:val="0"/>
        <w:shd w:val="clear" w:color="auto" w:fill="auto"/>
        <w:bidi w:val="0"/>
        <w:jc w:val="left"/>
        <w:spacing w:before="0" w:after="0" w:line="180" w:lineRule="exact"/>
        <w:ind w:left="280" w:right="0" w:firstLine="0"/>
        <w:sectPr>
          <w:pgSz w:w="11900" w:h="16840"/>
          <w:pgMar w:top="2048" w:left="1002" w:right="985" w:bottom="162" w:header="0" w:footer="3" w:gutter="0"/>
          <w:rtlGutter w:val="0"/>
          <w:cols w:space="720"/>
          <w:noEndnote/>
          <w:docGrid w:linePitch="360"/>
        </w:sectPr>
      </w:pPr>
      <w:r>
        <w:rPr>
          <w:lang w:val="en-US" w:eastAsia="en-US" w:bidi="en-US"/>
          <w:w w:val="100"/>
          <w:spacing w:val="0"/>
          <w:color w:val="000000"/>
          <w:position w:val="0"/>
        </w:rPr>
        <w:t xml:space="preserve">MIM </w:t>
      </w:r>
      <w:r>
        <w:rPr>
          <w:lang w:val="ru-RU" w:eastAsia="ru-RU" w:bidi="ru-RU"/>
          <w:w w:val="100"/>
          <w:spacing w:val="0"/>
          <w:color w:val="000000"/>
          <w:position w:val="0"/>
        </w:rPr>
        <w:t xml:space="preserve">— данные из </w:t>
      </w:r>
      <w:r>
        <w:rPr>
          <w:lang w:val="en-US" w:eastAsia="en-US" w:bidi="en-US"/>
          <w:w w:val="100"/>
          <w:spacing w:val="0"/>
          <w:color w:val="000000"/>
          <w:position w:val="0"/>
        </w:rPr>
        <w:t xml:space="preserve">McKusick, </w:t>
      </w:r>
      <w:r>
        <w:rPr>
          <w:lang w:val="ru-RU" w:eastAsia="ru-RU" w:bidi="ru-RU"/>
          <w:w w:val="100"/>
          <w:spacing w:val="0"/>
          <w:color w:val="000000"/>
          <w:position w:val="0"/>
        </w:rPr>
        <w:t xml:space="preserve">V. </w:t>
      </w:r>
      <w:r>
        <w:rPr>
          <w:lang w:val="en-US" w:eastAsia="en-US" w:bidi="en-US"/>
          <w:w w:val="100"/>
          <w:spacing w:val="0"/>
          <w:color w:val="000000"/>
          <w:position w:val="0"/>
        </w:rPr>
        <w:t>A.: Mendelian Inheritance in Man. 11th ed. Baltimore, John Hopkins University Press, 1994.</w:t>
      </w:r>
    </w:p>
    <w:p>
      <w:pPr>
        <w:widowControl w:val="0"/>
        <w:spacing w:line="186" w:lineRule="exact"/>
        <w:rPr>
          <w:sz w:val="15"/>
          <w:szCs w:val="15"/>
        </w:rPr>
      </w:pPr>
    </w:p>
    <w:p>
      <w:pPr>
        <w:widowControl w:val="0"/>
        <w:rPr>
          <w:sz w:val="2"/>
          <w:szCs w:val="2"/>
        </w:rPr>
        <w:sectPr>
          <w:type w:val="continuous"/>
          <w:pgSz w:w="11900" w:h="16840"/>
          <w:pgMar w:top="1579" w:left="0" w:right="0" w:bottom="1781" w:header="0" w:footer="3" w:gutter="0"/>
          <w:rtlGutter w:val="0"/>
          <w:cols w:space="720"/>
          <w:noEndnote/>
          <w:docGrid w:linePitch="360"/>
        </w:sectPr>
      </w:pPr>
    </w:p>
    <w:p>
      <w:pPr>
        <w:widowControl w:val="0"/>
        <w:rPr>
          <w:sz w:val="2"/>
          <w:szCs w:val="2"/>
        </w:rPr>
      </w:pPr>
      <w:r>
        <w:pict>
          <v:shape id="_x0000_s1126" type="#_x0000_t75" style="position:absolute;margin-left:136.75pt;margin-top:335.3pt;width:209.75pt;height:14.9pt;z-index:-125829326;mso-wrap-distance-left:136.8pt;mso-wrap-distance-right:147.85pt;mso-wrap-distance-bottom:10.8pt;mso-position-horizontal-relative:margin" wrapcoords="0 0 21600 0 21600 21600 0 21600 0 0">
            <v:imagedata r:id="rId164" r:href="rId165"/>
            <w10:wrap type="topAndBottom" anchorx="margin"/>
          </v:shape>
        </w:pict>
      </w:r>
    </w:p>
    <w:p>
      <w:pPr>
        <w:pStyle w:val="Style92"/>
        <w:widowControl w:val="0"/>
        <w:keepNext/>
        <w:keepLines/>
        <w:shd w:val="clear" w:color="auto" w:fill="auto"/>
        <w:bidi w:val="0"/>
        <w:spacing w:before="0" w:after="0"/>
        <w:ind w:left="0" w:right="0" w:firstLine="280"/>
      </w:pPr>
      <w:bookmarkStart w:id="273" w:name="bookmark273"/>
      <w:r>
        <w:rPr>
          <w:lang w:val="ru-RU" w:eastAsia="ru-RU" w:bidi="ru-RU"/>
          <w:w w:val="100"/>
          <w:spacing w:val="0"/>
          <w:color w:val="000000"/>
          <w:position w:val="0"/>
        </w:rPr>
        <w:t xml:space="preserve">Синдром Холт-Орама </w:t>
      </w:r>
      <w:r>
        <w:rPr>
          <w:lang w:val="en-US" w:eastAsia="en-US" w:bidi="en-US"/>
          <w:w w:val="100"/>
          <w:spacing w:val="0"/>
          <w:color w:val="000000"/>
          <w:position w:val="0"/>
        </w:rPr>
        <w:t>(Heart-hand syndrome)</w:t>
      </w:r>
      <w:bookmarkEnd w:id="27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Это аутосомно-доминантное заболевание, впервые опи</w:t>
        <w:softHyphen/>
        <w:t>санное в 1960 году, имеет значительную вариабельность про</w:t>
        <w:softHyphen/>
        <w:t>явлений в различных поколениях родословной. Основными проявлениями заболевания являются дисплазия верхних ко</w:t>
        <w:softHyphen/>
        <w:t>нечностей и дефект межпредсердной перегородки. У гетеро</w:t>
        <w:softHyphen/>
        <w:t>зиготных больных деформации рук варьируют от очень мало</w:t>
        <w:softHyphen/>
        <w:t>заметных и различимых лишь рентгенологически до дефор</w:t>
        <w:softHyphen/>
        <w:t>маций средней степени тяжести (дистально расположенный большой палец или гипоплазия мизинца, или трехфаланго</w:t>
        <w:softHyphen/>
        <w:t>вый большой палец, или аномалии развития ладони, или ап</w:t>
        <w:softHyphen/>
        <w:t>лазия лучевой кости) и тяжелых (аномалии развития плеча и ключицы). Обычно деформации верхних конечностей сим</w:t>
        <w:softHyphen/>
        <w:t>метричны, но могут наблюдаться и асимметричные проявле</w:t>
        <w:softHyphen/>
        <w:t>ния с большей тяжестью поражения конечности слева.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Дефект межпредсердной перегородки также может быть различным по тяжести: от едва различимого дефекта до об</w:t>
        <w:softHyphen/>
        <w:t>ширных вторичных дефектов межпредсердной перегород</w:t>
        <w:softHyphen/>
        <w:t>ки, которые сопровождаются ранним развитием сердечной недостаточности. При синдроме Холт-Орама описаны и другие врожденные пороки сердца, например, дефект межжелудочковой перегородки. Пороки развития скелета и врожденные пороки сердца не коррелируют у представи</w:t>
        <w:softHyphen/>
        <w:t>телей одной семьи, поэтому предсказать клинические про</w:t>
        <w:softHyphen/>
        <w:t>явления синдрома у детей по фенотипическим проявлени</w:t>
        <w:softHyphen/>
        <w:br w:type="column"/>
        <w:t>ям у родителей невозможно. Среди других проявлений син</w:t>
        <w:softHyphen/>
        <w:t xml:space="preserve">дрома следует отметить аномалии дерматоглифики, </w:t>
      </w:r>
      <w:r>
        <w:rPr>
          <w:lang w:val="en-US" w:eastAsia="en-US" w:bidi="en-US"/>
          <w:w w:val="100"/>
          <w:spacing w:val="0"/>
          <w:color w:val="000000"/>
          <w:position w:val="0"/>
        </w:rPr>
        <w:t xml:space="preserve">pectus excavatum, </w:t>
      </w:r>
      <w:r>
        <w:rPr>
          <w:lang w:val="ru-RU" w:eastAsia="ru-RU" w:bidi="ru-RU"/>
          <w:w w:val="100"/>
          <w:spacing w:val="0"/>
          <w:color w:val="000000"/>
          <w:position w:val="0"/>
        </w:rPr>
        <w:t>гипоплазию периферических артерий, а также нарушения проводимости сердца, которые в основном представлены атриовентрикулярными блокадами различ</w:t>
        <w:softHyphen/>
        <w:t>ной степени и наиболее выражены у больных с обширным дефектом межпредсердной перегородки.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Пренатальная ультразвуковая диагностика синдрома возможна только при наличии выраженных деформаций верхних конечностей у плода, при этом возможно прена</w:t>
        <w:softHyphen/>
        <w:t>тальное обнаружение обширного дефекта межпредсердной перегородки.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Постановка диагноза синдрома Холт-Орама затруднена в тех случаях, когда неизвестна родословная ребенка, есть вторичный дефект межпредсердной перегородки, а дефор</w:t>
        <w:softHyphen/>
        <w:t>мации верхних конечностей отсутствуют или выражены минимально. Поэтому любой больной со «спорадичным» случаем дефекта межпредсердной перегородки обязательно должен быть подвергнут осмотру и обследованию на пред</w:t>
        <w:softHyphen/>
        <w:t>мет выявления деформаций верхних конечностей. Следует учесть, что обнаружение даже незначительных деформаций верхних конечностей у пробанда повышает риск рождения сибса с врожденным пороком сердца с 3% (эмпирический риск) до 50% в случае наличия аутосомно-доминантного заболевания.</w:t>
      </w:r>
      <w:r>
        <w:br w:type="page"/>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 xml:space="preserve">Ген синдрома Холт-Орама картирован в </w:t>
      </w:r>
      <w:r>
        <w:rPr>
          <w:lang w:val="en-US" w:eastAsia="en-US" w:bidi="en-US"/>
          <w:w w:val="100"/>
          <w:spacing w:val="0"/>
          <w:color w:val="000000"/>
          <w:position w:val="0"/>
        </w:rPr>
        <w:t xml:space="preserve">12q2, </w:t>
      </w:r>
      <w:r>
        <w:rPr>
          <w:lang w:val="ru-RU" w:eastAsia="ru-RU" w:bidi="ru-RU"/>
          <w:w w:val="100"/>
          <w:spacing w:val="0"/>
          <w:color w:val="000000"/>
          <w:position w:val="0"/>
        </w:rPr>
        <w:t>однако сам ген еще не идентифицирован. Несмотря на это, в семь</w:t>
        <w:softHyphen/>
        <w:t>ях, где прослеживается аутосомно-доминантное наследова</w:t>
        <w:softHyphen/>
        <w:t>ние синдрома, возможно проведение пренатальной генети</w:t>
        <w:softHyphen/>
        <w:t>ческой диагностики. В рамках синдрома существует генети</w:t>
        <w:softHyphen/>
        <w:t>ческая гетерогенность, поэтому не во всех семьях определя</w:t>
        <w:softHyphen/>
        <w:t>ется сцепление с вышеуказанным локусом. В основном сцепление не наблюдается в тех семьях, где минимальны деформации верхних конечностей и выявляется нарушение проводимости сердца.</w:t>
      </w:r>
    </w:p>
    <w:p>
      <w:pPr>
        <w:pStyle w:val="Style92"/>
        <w:widowControl w:val="0"/>
        <w:keepNext/>
        <w:keepLines/>
        <w:shd w:val="clear" w:color="auto" w:fill="auto"/>
        <w:bidi w:val="0"/>
        <w:spacing w:before="0" w:after="0"/>
        <w:ind w:left="0" w:right="0" w:firstLine="280"/>
      </w:pPr>
      <w:bookmarkStart w:id="274" w:name="bookmark274"/>
      <w:r>
        <w:rPr>
          <w:lang w:val="en-US" w:eastAsia="en-US" w:bidi="en-US"/>
          <w:w w:val="100"/>
          <w:spacing w:val="0"/>
          <w:color w:val="000000"/>
          <w:position w:val="0"/>
        </w:rPr>
        <w:t xml:space="preserve">EUis-Van Creveld </w:t>
      </w:r>
      <w:r>
        <w:rPr>
          <w:lang w:val="ru-RU" w:eastAsia="ru-RU" w:bidi="ru-RU"/>
          <w:w w:val="100"/>
          <w:spacing w:val="0"/>
          <w:color w:val="000000"/>
          <w:position w:val="0"/>
        </w:rPr>
        <w:t>синдром</w:t>
      </w:r>
      <w:bookmarkEnd w:id="27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Этот редкий аутосомно-рецессивный синдром проявля</w:t>
        <w:softHyphen/>
        <w:t>ется в виде врожденного порока сердца, гипостатуры, мета- физарной дисплазии, дисплазии ногтей, зубов и постакси</w:t>
        <w:softHyphen/>
        <w:t>альной полидактилии.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Врожденный порок сердца наблюдается более чем у 50% гомозиготных представителей и обычно представлен дефек</w:t>
        <w:softHyphen/>
        <w:t>том межпредсердной перегородки. Дефект в основном воз</w:t>
        <w:softHyphen/>
        <w:t>никает вследствие нарушения закрытия эндокардиальной подушки. Обычно это первичный дефект, и его размеры мо</w:t>
        <w:softHyphen/>
        <w:t>гут варьировать от небольших до обширных дефектов и даже единого предсердия. Также при данном синдроме возможно возникновение дефектов из-за аномалий эмбрионального кровотока в левых отделах сердца: коарктация аорты, откры</w:t>
        <w:softHyphen/>
        <w:t>тый артериальный проток и гипоплазия левых отделов серд</w:t>
        <w:softHyphen/>
        <w:t>ца. Подобные нарушения встречаются у 20% больных.</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При синдроме возможно проведение пренатальной уль</w:t>
        <w:softHyphen/>
        <w:t>тразвуковой диагностики путем выявления полидактилии у плода.</w:t>
      </w:r>
    </w:p>
    <w:p>
      <w:pPr>
        <w:pStyle w:val="Style92"/>
        <w:widowControl w:val="0"/>
        <w:keepNext/>
        <w:keepLines/>
        <w:shd w:val="clear" w:color="auto" w:fill="auto"/>
        <w:bidi w:val="0"/>
        <w:spacing w:before="0" w:after="0"/>
        <w:ind w:left="0" w:right="0" w:firstLine="280"/>
      </w:pPr>
      <w:bookmarkStart w:id="275" w:name="bookmark275"/>
      <w:r>
        <w:rPr>
          <w:lang w:val="ru-RU" w:eastAsia="ru-RU" w:bidi="ru-RU"/>
          <w:w w:val="100"/>
          <w:spacing w:val="0"/>
          <w:color w:val="000000"/>
          <w:position w:val="0"/>
        </w:rPr>
        <w:t>Синдром Вильямса</w:t>
      </w:r>
      <w:bookmarkEnd w:id="27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Вильямса изначально было принято считать спорадическим, но в последнее время все более широко распространяется точка зрения на этот синдром как на вы</w:t>
        <w:softHyphen/>
        <w:t>соко вариабельное аутосомно-доминантное состояние.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Полный спектр проявлений синдрома включает гипер- кальциемию, лицевые аномалии (лицо «эльфа»), умствен</w:t>
        <w:softHyphen/>
        <w:t>ную отсталость, гипостатуру, множественные периферичес</w:t>
        <w:softHyphen/>
        <w:t>кие стенозы легочной артерии и надклапанный стеноз аор</w:t>
        <w:softHyphen/>
        <w:t>ты. Также могут наблюдаться двустворчатый аортальный клапан, пролапс митрального клапана и артериальная гипер - тензия. Поскольку больные с синдромом Вильямса жизнес</w:t>
        <w:softHyphen/>
        <w:t>пособны, проблемы детского и подросткового возраста воз</w:t>
        <w:softHyphen/>
        <w:t>никают вследствие прогрессирующих контрактур, дисфунк</w:t>
        <w:softHyphen/>
        <w:t>ции мочеполовой сферы и желудочно-кишечного тракта. В основном прогноз социальной адаптации ребенка опреде</w:t>
        <w:softHyphen/>
        <w:t>ляется степенью выраженности умственной отсталости. Надклапанный стеноз аорты развивается вследствие генети</w:t>
        <w:softHyphen/>
        <w:t>чески детерминированного дефекта строения тропоэласти</w:t>
        <w:softHyphen/>
        <w:t>на. Поскольку эластические волокна входят в состав арте</w:t>
        <w:softHyphen/>
        <w:t>рий, постепенно развивается прогрессирующая диффузная артериопатия, которая представлена в виде утолщения сосу</w:t>
        <w:softHyphen/>
        <w:t>дистой стенки. Диффузная артериопатия развивается посте</w:t>
        <w:softHyphen/>
        <w:t>пенно и наиболее выражена в том случае, если больной до</w:t>
        <w:softHyphen/>
        <w:t>живает до зрелого возраста. Также при синдроме Вильямса отмечается значительная предрасположенность к инсультам.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Практически все больные с синдромом Вильямса, про</w:t>
        <w:softHyphen/>
        <w:t>шедшие генетическую диагностику, имеют делецию длин</w:t>
        <w:softHyphen/>
        <w:t>ного плеча 7 хромосомы. Если делеция захватывает локус тропоэластина, у больного развивается выраженный над</w:t>
        <w:softHyphen/>
        <w:t>клапанный стеноз аорты.</w:t>
      </w:r>
    </w:p>
    <w:p>
      <w:pPr>
        <w:pStyle w:val="Style92"/>
        <w:widowControl w:val="0"/>
        <w:keepNext/>
        <w:keepLines/>
        <w:shd w:val="clear" w:color="auto" w:fill="auto"/>
        <w:bidi w:val="0"/>
        <w:spacing w:before="0" w:after="0"/>
        <w:ind w:left="0" w:right="0" w:firstLine="280"/>
      </w:pPr>
      <w:r>
        <w:br w:type="column"/>
      </w:r>
      <w:bookmarkStart w:id="276" w:name="bookmark276"/>
      <w:r>
        <w:rPr>
          <w:lang w:val="ru-RU" w:eastAsia="ru-RU" w:bidi="ru-RU"/>
          <w:w w:val="100"/>
          <w:spacing w:val="0"/>
          <w:color w:val="000000"/>
          <w:position w:val="0"/>
        </w:rPr>
        <w:t xml:space="preserve">Синдром Нунан </w:t>
      </w:r>
      <w:r>
        <w:rPr>
          <w:lang w:val="en-US" w:eastAsia="en-US" w:bidi="en-US"/>
          <w:w w:val="100"/>
          <w:spacing w:val="0"/>
          <w:color w:val="000000"/>
          <w:position w:val="0"/>
        </w:rPr>
        <w:t>(Noonan syndrome)</w:t>
      </w:r>
      <w:bookmarkEnd w:id="27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Нунан является мультисистемным заболева</w:t>
        <w:softHyphen/>
        <w:t>нием с поражением сердца и соматическими проявления</w:t>
        <w:softHyphen/>
        <w:t xml:space="preserve">ми, напоминающими фенотип </w:t>
      </w:r>
      <w:r>
        <w:rPr>
          <w:lang w:val="en-US" w:eastAsia="en-US" w:bidi="en-US"/>
          <w:w w:val="100"/>
          <w:spacing w:val="0"/>
          <w:color w:val="000000"/>
          <w:position w:val="0"/>
        </w:rPr>
        <w:t xml:space="preserve">Turner </w:t>
      </w:r>
      <w:r>
        <w:rPr>
          <w:lang w:val="ru-RU" w:eastAsia="ru-RU" w:bidi="ru-RU"/>
          <w:w w:val="100"/>
          <w:spacing w:val="0"/>
          <w:color w:val="000000"/>
          <w:position w:val="0"/>
        </w:rPr>
        <w:t>при нормальном ка</w:t>
        <w:softHyphen/>
        <w:t>риотипе. У большинства больных отмечается умственная отсталость, наиболее выраженная в подростковом возрасте. Лицевые изменения включают гипертелоризм, птоз, корот</w:t>
        <w:softHyphen/>
        <w:t>кую и широкую шею, низкую линию роста волос сзади. Скелетные аномалии проявляются низким ростом, дефор</w:t>
        <w:softHyphen/>
        <w:t>мацией грудной клетки и нижних конечностей. Могут об</w:t>
        <w:softHyphen/>
        <w:t>наруживаться гепатомегалия, крипторхизм, аномалии по</w:t>
        <w:softHyphen/>
        <w:t xml:space="preserve">чек. Глазные проявления болезни включают страбизм (48%), недостаточность рефракции (61%), амблиопию (33%), нистагм (9%) и др. </w:t>
      </w:r>
      <w:r>
        <w:rPr>
          <w:lang w:val="en-US" w:eastAsia="en-US" w:bidi="en-US"/>
          <w:w w:val="100"/>
          <w:spacing w:val="0"/>
          <w:color w:val="000000"/>
          <w:position w:val="0"/>
        </w:rPr>
        <w:t xml:space="preserve">(Lee N.B. </w:t>
      </w:r>
      <w:r>
        <w:rPr>
          <w:lang w:val="ru-RU" w:eastAsia="ru-RU" w:bidi="ru-RU"/>
          <w:w w:val="100"/>
          <w:spacing w:val="0"/>
          <w:color w:val="000000"/>
          <w:position w:val="0"/>
        </w:rPr>
        <w:t>с соавт.,1992).</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наблюдается в 70% аутопсийных случа</w:t>
        <w:softHyphen/>
        <w:t>ев. Наиболее характерным пороком сердца является стеноз легочной артерии, обусловленный дисплазией полулунных заслонок клапана. Морфологически створки клапана отеч</w:t>
        <w:softHyphen/>
        <w:t>ные, деформированы и значительно утолщены. Сращения по комиссурам незначительны, однако фиброзирование ство</w:t>
        <w:softHyphen/>
        <w:t>рок в области, прилежащей к синусам Вальсальвы, ограничи</w:t>
        <w:softHyphen/>
        <w:t>вает их экскурсию. Другими сердечными аномалиями при синдроме Нунан могут быть дефект межпредсердной перего</w:t>
        <w:softHyphen/>
        <w:t>родки (наблюдается в 10-20% всех случаев синдрома), недо</w:t>
        <w:softHyphen/>
        <w:t>статочность трикуспидального клапана, коарктация аорты, аномалия Эбштейна, открытый артериальный проток.</w:t>
      </w:r>
    </w:p>
    <w:p>
      <w:pPr>
        <w:pStyle w:val="Style30"/>
        <w:widowControl w:val="0"/>
        <w:keepNext w:val="0"/>
        <w:keepLines w:val="0"/>
        <w:shd w:val="clear" w:color="auto" w:fill="auto"/>
        <w:bidi w:val="0"/>
        <w:spacing w:before="0" w:after="193"/>
        <w:ind w:left="0" w:right="0" w:firstLine="280"/>
      </w:pPr>
      <w:r>
        <w:rPr>
          <w:lang w:val="ru-RU" w:eastAsia="ru-RU" w:bidi="ru-RU"/>
          <w:w w:val="100"/>
          <w:spacing w:val="0"/>
          <w:color w:val="000000"/>
          <w:position w:val="0"/>
        </w:rPr>
        <w:t>Примерно половина случаев синдрома носит споради</w:t>
        <w:softHyphen/>
        <w:t>ческий характер и половина наследуется аутосомно-доми- нантно. Если оба родителя не имеют клинических проявле</w:t>
        <w:softHyphen/>
        <w:t xml:space="preserve">ний синдрома, эмпирический риск повторного рождения больного ребенка составляет 5% </w:t>
      </w:r>
      <w:r>
        <w:rPr>
          <w:lang w:val="en-US" w:eastAsia="en-US" w:bidi="en-US"/>
          <w:w w:val="100"/>
          <w:spacing w:val="0"/>
          <w:color w:val="000000"/>
          <w:position w:val="0"/>
        </w:rPr>
        <w:t xml:space="preserve">(Sharland M. c </w:t>
      </w:r>
      <w:r>
        <w:rPr>
          <w:lang w:val="ru-RU" w:eastAsia="ru-RU" w:bidi="ru-RU"/>
          <w:w w:val="100"/>
          <w:spacing w:val="0"/>
          <w:color w:val="000000"/>
          <w:position w:val="0"/>
        </w:rPr>
        <w:t>соавт., 1993).</w:t>
      </w:r>
    </w:p>
    <w:p>
      <w:pPr>
        <w:pStyle w:val="Style48"/>
        <w:widowControl w:val="0"/>
        <w:keepNext/>
        <w:keepLines/>
        <w:shd w:val="clear" w:color="auto" w:fill="auto"/>
        <w:bidi w:val="0"/>
        <w:jc w:val="left"/>
        <w:spacing w:before="0" w:after="101" w:line="200" w:lineRule="exact"/>
        <w:ind w:left="0" w:right="0" w:firstLine="0"/>
      </w:pPr>
      <w:bookmarkStart w:id="277" w:name="bookmark277"/>
      <w:r>
        <w:rPr>
          <w:lang w:val="ru-RU" w:eastAsia="ru-RU" w:bidi="ru-RU"/>
          <w:w w:val="100"/>
          <w:spacing w:val="0"/>
          <w:color w:val="000000"/>
          <w:position w:val="0"/>
        </w:rPr>
        <w:t>Генетика основных пороков сердца</w:t>
      </w:r>
      <w:bookmarkEnd w:id="27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Открытый артериальный проток наблюдается с частотой 1 на 1600 живорожденных новорожденных и составляет 12% среди всех ВПС. Частота открытого артериального протока выше у новорожденных детей, рожденных прежде</w:t>
        <w:softHyphen/>
        <w:t>временно. Эмпирический риск повторного рождения ре</w:t>
        <w:softHyphen/>
        <w:t>бенка с пороком сердца составляет 1-3,5%. Риск рождения ребенка с пороком сердца от родителя, страдающего откры</w:t>
        <w:softHyphen/>
        <w:t>тым артериальным протоком, достигает 4,3%.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большинстве случаев открытый артериальный проток имеет мультифакториальное наследование. Известны не</w:t>
        <w:softHyphen/>
        <w:t>многочисленные случаи аутосомно-доминантного насле</w:t>
        <w:softHyphen/>
        <w:t xml:space="preserve">дования порока в 3 и 4 поколениях </w:t>
      </w:r>
      <w:r>
        <w:rPr>
          <w:lang w:val="en-US" w:eastAsia="en-US" w:bidi="en-US"/>
          <w:w w:val="100"/>
          <w:spacing w:val="0"/>
          <w:color w:val="000000"/>
          <w:position w:val="0"/>
        </w:rPr>
        <w:t>(Rogers J.C.).</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Описана большая семья, в которой порок сердца наблю</w:t>
        <w:softHyphen/>
        <w:t>дался у 9 членов в 3 поколениях с характерным аутосомно- доминантным наследованием. Во всех случаях наблюда</w:t>
        <w:softHyphen/>
        <w:t>лись характерные лицевые проявления: широкий и высо</w:t>
        <w:softHyphen/>
        <w:t>кий лоб, плоский профиль, короткий нос.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Открытый артериальный проток может сочетаться с хромосомными аномалиями: 4р-, 5р-, 9р-, трисомия 13, трисомия 18, трисомия 21, </w:t>
      </w:r>
      <w:r>
        <w:rPr>
          <w:lang w:val="en-US" w:eastAsia="en-US" w:bidi="en-US"/>
          <w:w w:val="100"/>
          <w:spacing w:val="0"/>
          <w:color w:val="000000"/>
          <w:position w:val="0"/>
        </w:rPr>
        <w:t xml:space="preserve">XXXXY </w:t>
      </w:r>
      <w:r>
        <w:rPr>
          <w:lang w:val="ru-RU" w:eastAsia="ru-RU" w:bidi="ru-RU"/>
          <w:w w:val="100"/>
          <w:spacing w:val="0"/>
          <w:color w:val="000000"/>
          <w:position w:val="0"/>
        </w:rPr>
        <w:t>и ХХХХХ синдромами. Открытый артериальный проток может быть обусловлен ге</w:t>
        <w:softHyphen/>
        <w:t>нетическим дефектом и сочетается со следующими синдро</w:t>
        <w:softHyphen/>
        <w:t xml:space="preserve">мами: </w:t>
      </w:r>
      <w:r>
        <w:rPr>
          <w:lang w:val="en-US" w:eastAsia="en-US" w:bidi="en-US"/>
          <w:w w:val="100"/>
          <w:spacing w:val="0"/>
          <w:color w:val="000000"/>
          <w:position w:val="0"/>
        </w:rPr>
        <w:t xml:space="preserve">Carpenter, Conradi, Seckel, Smith-Lemli-Opitz, Weill- Marchesani, Hay-Wells, Meckel-Gruber, CHARGE, DiGeorge, Rubinstein-Taybi, </w:t>
      </w:r>
      <w:r>
        <w:rPr>
          <w:lang w:val="ru-RU" w:eastAsia="ru-RU" w:bidi="ru-RU"/>
          <w:w w:val="100"/>
          <w:spacing w:val="0"/>
          <w:color w:val="000000"/>
          <w:position w:val="0"/>
        </w:rPr>
        <w:t>камптомелическая дисплазия.</w:t>
      </w:r>
    </w:p>
    <w:p>
      <w:pPr>
        <w:pStyle w:val="Style30"/>
        <w:widowControl w:val="0"/>
        <w:keepNext w:val="0"/>
        <w:keepLines w:val="0"/>
        <w:shd w:val="clear" w:color="auto" w:fill="auto"/>
        <w:bidi w:val="0"/>
        <w:spacing w:before="0" w:after="0"/>
        <w:ind w:left="0" w:right="0" w:firstLine="280"/>
      </w:pPr>
      <w:r>
        <w:pict>
          <v:shape id="_x0000_s1127" type="#_x0000_t75" style="position:absolute;margin-left:148.1pt;margin-top:736.3pt;width:209.75pt;height:14.9pt;z-index:-125829325;mso-wrap-distance-left:148.1pt;mso-wrap-distance-right:136.8pt;mso-wrap-distance-bottom:10.8pt;mso-position-horizontal-relative:margin;mso-position-vertical-relative:margin" wrapcoords="0 0 21600 0 21600 21600 0 21600 0 0">
            <v:imagedata r:id="rId166" r:href="rId167"/>
            <w10:wrap type="topAndBottom" anchorx="margin" anchory="margin"/>
          </v:shape>
        </w:pict>
      </w:r>
      <w:r>
        <w:rPr>
          <w:lang w:val="ru-RU" w:eastAsia="ru-RU" w:bidi="ru-RU"/>
          <w:w w:val="100"/>
          <w:spacing w:val="0"/>
          <w:color w:val="000000"/>
          <w:position w:val="0"/>
        </w:rPr>
        <w:t>Дефект межжелудочковой перегородки наблюдается с час</w:t>
        <w:softHyphen/>
        <w:t>тотой 1 на 420 новорожденных и составляет 20% среди всех ВПС. Риск повторного рождения ребенка с пороком сердца</w:t>
      </w:r>
      <w:r>
        <w:br w:type="page"/>
      </w:r>
    </w:p>
    <w:p>
      <w:pPr>
        <w:pStyle w:val="Style30"/>
        <w:tabs>
          <w:tab w:leader="none" w:pos="221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при изолированном дефекте межжелудочковой перегородки составляет 1,7-4,2% и увеличивается до 7%, если дефект об</w:t>
        <w:softHyphen/>
        <w:t>наруживается у одного из родителей. Описаны семьи, в кото</w:t>
        <w:softHyphen/>
        <w:t>рых порок наследовался аутосомно-доминантно или аутосо- мно-рецессивно. Дефект межжелудочковой перегородки со</w:t>
        <w:softHyphen/>
        <w:t>четается со многими хромосомными аномалиями: трисомия 21, трисомия 13, трисомия 18, триплоидия, трисомия 20р и 9р- синдромы. С высокой частотой дефект межжелудочко</w:t>
        <w:softHyphen/>
        <w:t xml:space="preserve">вой перегородки определяется при генетических синдромах: </w:t>
      </w:r>
      <w:r>
        <w:rPr>
          <w:lang w:val="en-US" w:eastAsia="en-US" w:bidi="en-US"/>
          <w:w w:val="100"/>
          <w:spacing w:val="0"/>
          <w:color w:val="000000"/>
          <w:position w:val="0"/>
        </w:rPr>
        <w:t>Holt-Oram, Sphrintzer,</w:t>
        <w:tab/>
        <w:t>Meckel-Gruber, Waardenburg,</w:t>
      </w:r>
    </w:p>
    <w:p>
      <w:pPr>
        <w:pStyle w:val="Style30"/>
        <w:widowControl w:val="0"/>
        <w:keepNext w:val="0"/>
        <w:keepLines w:val="0"/>
        <w:shd w:val="clear" w:color="auto" w:fill="auto"/>
        <w:bidi w:val="0"/>
        <w:spacing w:before="0" w:after="0"/>
        <w:ind w:left="0" w:right="0" w:firstLine="0"/>
      </w:pPr>
      <w:r>
        <w:rPr>
          <w:lang w:val="en-US" w:eastAsia="en-US" w:bidi="en-US"/>
          <w:w w:val="100"/>
          <w:spacing w:val="0"/>
          <w:color w:val="000000"/>
          <w:position w:val="0"/>
        </w:rPr>
        <w:t>Carpenter, Coffin-Sirus, Hay-Wells, Aase, Rubinstein-Taybi, Williams, Cornelia de Lange, CHARGE, VATER</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Вторичный дефект межпредсердной перегородки наблюда</w:t>
        <w:softHyphen/>
        <w:t>ется с частотой 1 на 1667 новорожденных и составляет 7% среди всех ВПС. Порок чаще наблюдается у девочек в отно</w:t>
        <w:softHyphen/>
        <w:t>шении 2:1. Эмпирический риск повторного рождения сиб- линга с пороком сердца составляет 0,7-2,9%. Риск рожде</w:t>
        <w:softHyphen/>
        <w:t>ния ребенка с ВПС от родителей с дефектом межпредсерд</w:t>
        <w:softHyphen/>
        <w:t>ной перегородки достигает 11,3%.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Описаны случаи аутосомно-доминантного наследова</w:t>
        <w:softHyphen/>
        <w:t>ния порока с семейной встречаемостью в 3-4 поколениях. В большинстве семей подтверждается неполная пенетрант- ность. Характерно, что семейные случаи порока сочетают</w:t>
        <w:softHyphen/>
        <w:t>ся с атриовентрикулярной блокадой и отклонением элек</w:t>
        <w:softHyphen/>
        <w:t>трической оси сердца влево. В некоторых семьях определя</w:t>
        <w:softHyphen/>
        <w:t xml:space="preserve">ется комбинация дефекта с синкопальными эпизодами и атриовентрикулярной блокадой </w:t>
      </w:r>
      <w:r>
        <w:rPr>
          <w:lang w:val="en-US" w:eastAsia="en-US" w:bidi="en-US"/>
          <w:w w:val="100"/>
          <w:spacing w:val="0"/>
          <w:color w:val="000000"/>
          <w:position w:val="0"/>
        </w:rPr>
        <w:t xml:space="preserve">I-II </w:t>
      </w:r>
      <w:r>
        <w:rPr>
          <w:lang w:val="ru-RU" w:eastAsia="ru-RU" w:bidi="ru-RU"/>
          <w:w w:val="100"/>
          <w:spacing w:val="0"/>
          <w:color w:val="000000"/>
          <w:position w:val="0"/>
        </w:rPr>
        <w:t>степени. Во всех се</w:t>
        <w:softHyphen/>
        <w:t>мейных случаях порока дефект перегородки, как правило, имеет большие размеры. Дефект межпредсердной перего</w:t>
        <w:softHyphen/>
        <w:t>родки может сочетаться с хромосомными аномалиями: бо</w:t>
        <w:softHyphen/>
        <w:t>лезнь Дауна, кошачьего крика, трисомия 13, трисомия 18, триплоидия, синдром Тернера, ХХХХУ. Порок наблюдает</w:t>
        <w:softHyphen/>
        <w:t xml:space="preserve">ся при многих синдромах, обусловленных дефектом одного гена: </w:t>
      </w:r>
      <w:r>
        <w:rPr>
          <w:lang w:val="en-US" w:eastAsia="en-US" w:bidi="en-US"/>
          <w:w w:val="100"/>
          <w:spacing w:val="0"/>
          <w:color w:val="000000"/>
          <w:position w:val="0"/>
        </w:rPr>
        <w:t>Holt-Oram, Ellis-van Creveld, Williams, Robinov</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Открытый атриовентрикулярный канал составляет 2-3% всех ВПС. Риск повторного рождения ребенка с пороком сердца при обнаружении его у сибса составляет 1,5-8,7% и увеличивается до 14,3%, если пороком страдает один из родителей. В большинстве случаев порок имеет мультифак</w:t>
        <w:softHyphen/>
        <w:t>ториальное наследование, однако известны семейные фор</w:t>
        <w:softHyphen/>
        <w:t>мы порока с аутосомно-доминантным и аутосомно-рецес- сивным типами наследования. Установлена тесная ассоциа</w:t>
        <w:softHyphen/>
        <w:t>ция между открытым атриовентрикулярным каналом и бо</w:t>
        <w:softHyphen/>
        <w:t xml:space="preserve">лезнью Дауна, при которой частота порока достигает 50%. Аналогичный дефект сердца может наблюдаться у больных с синдромом Ивемарка и аутосомно-рецессивным типом наследования синдрома </w:t>
      </w:r>
      <w:r>
        <w:rPr>
          <w:lang w:val="en-US" w:eastAsia="en-US" w:bidi="en-US"/>
          <w:w w:val="100"/>
          <w:spacing w:val="0"/>
          <w:color w:val="000000"/>
          <w:position w:val="0"/>
        </w:rPr>
        <w:t xml:space="preserve">Ellis-van Creveld. </w:t>
      </w:r>
      <w:r>
        <w:rPr>
          <w:lang w:val="ru-RU" w:eastAsia="ru-RU" w:bidi="ru-RU"/>
          <w:w w:val="100"/>
          <w:spacing w:val="0"/>
          <w:color w:val="000000"/>
          <w:position w:val="0"/>
        </w:rPr>
        <w:t>Изолированные формы порока сердца часто сочетаются с аномалиями желу</w:t>
        <w:softHyphen/>
        <w:t>дочно-кишечного тракта и мочеполовой системы.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Надклапанный стеноз аорты составляет 2-7% всех ВПС. Эмпирический риск повторного рождения ребенка с пороком сердца составляет от 0,8 до 4,9%. Наиболее часто надклапанный стеноз аорты наблюдается при синдроме Вильямса. Отдельные формы надклапанного стеноза аорты могут наследоваться аутосомно-доминантно с высокой пе- нетрантностью и вариабельной экспрессивностью. Они возникают из-за мутации гена эластина (по данным моле</w:t>
        <w:softHyphen/>
        <w:t xml:space="preserve">кулярного генетического анализа определяется делеция в гене), приводящей к сужению сосудов </w:t>
      </w:r>
      <w:r>
        <w:rPr>
          <w:lang w:val="en-US" w:eastAsia="en-US" w:bidi="en-US"/>
          <w:w w:val="100"/>
          <w:spacing w:val="0"/>
          <w:color w:val="000000"/>
          <w:position w:val="0"/>
        </w:rPr>
        <w:t xml:space="preserve">(Keating M.,1994). </w:t>
      </w:r>
      <w:r>
        <w:rPr>
          <w:lang w:val="ru-RU" w:eastAsia="ru-RU" w:bidi="ru-RU"/>
          <w:w w:val="100"/>
          <w:spacing w:val="0"/>
          <w:color w:val="000000"/>
          <w:position w:val="0"/>
        </w:rPr>
        <w:t>В отличие от синдрома Вильямса у больных отсутствуют лицевые аномалии («лицо эльфа»), нормальное умственное развитие, часто возникает постстенотическая аневризма</w:t>
        <w:br w:type="column"/>
        <w:t>аорты. Наряду с этим семейные случаи надклапанного сте</w:t>
        <w:softHyphen/>
        <w:t>ноза аорты могут сочетаться с периферическими стенозами легочной артерии. Во всех случаях надклапанного стеноза аорты показано семейное обследование с применением допплерэхокардиографии. Последняя с высокой частотой выявляет латентные формы стенозирования аорты (ско</w:t>
        <w:softHyphen/>
        <w:t>рость потока превышает 1,7 м/с).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Коарктация аорты наблюдается с частотой 1 на 4000 де</w:t>
        <w:softHyphen/>
        <w:t>тей и составляет 6% среди всех ВПС. Порок относительно чаще наблюдается у мальчиков, чем у девочек в соотноше</w:t>
        <w:softHyphen/>
        <w:t>нии 1,7:1. В 85% случаев коарктация аорты сочетается с аномалией развития полулунного клапана (двустворчатый аортальный клапан). Повторный риск рождения ребенка с пороком составляет 0,6-3,6% (за исключением синдрома Тернер) и увеличивается до 7,7%, если пороком сердца страдает один из родителей. Известны семейные случаи по</w:t>
        <w:softHyphen/>
        <w:t>рока с передачей дефекта от отца к сыну. Порок часто ассо</w:t>
        <w:softHyphen/>
        <w:t xml:space="preserve">циируется с генетическими синдромами </w:t>
      </w:r>
      <w:r>
        <w:rPr>
          <w:lang w:val="en-US" w:eastAsia="en-US" w:bidi="en-US"/>
          <w:w w:val="100"/>
          <w:spacing w:val="0"/>
          <w:color w:val="000000"/>
          <w:position w:val="0"/>
        </w:rPr>
        <w:t xml:space="preserve">Goldenchar, Meckel-Gruber. </w:t>
      </w:r>
      <w:r>
        <w:rPr>
          <w:lang w:val="ru-RU" w:eastAsia="ru-RU" w:bidi="ru-RU"/>
          <w:w w:val="100"/>
          <w:spacing w:val="0"/>
          <w:color w:val="000000"/>
          <w:position w:val="0"/>
        </w:rPr>
        <w:t>^общены семейные случаи коарктации дуги аорты в сочетании с птозом, сенсоневральной глухо</w:t>
        <w:softHyphen/>
        <w:t xml:space="preserve">той и бронхиальной астмой </w:t>
      </w:r>
      <w:r>
        <w:rPr>
          <w:lang w:val="en-US" w:eastAsia="en-US" w:bidi="en-US"/>
          <w:w w:val="100"/>
          <w:spacing w:val="0"/>
          <w:color w:val="000000"/>
          <w:position w:val="0"/>
        </w:rPr>
        <w:t xml:space="preserve">(Cornel G. et al.,1987). </w:t>
      </w:r>
      <w:r>
        <w:rPr>
          <w:lang w:val="ru-RU" w:eastAsia="ru-RU" w:bidi="ru-RU"/>
          <w:w w:val="100"/>
          <w:spacing w:val="0"/>
          <w:color w:val="000000"/>
          <w:position w:val="0"/>
        </w:rPr>
        <w:t>В боль</w:t>
        <w:softHyphen/>
        <w:t xml:space="preserve">шинстве семейные случаи порока наследуются аутосомно- доминантно с высокой пенетрантностью и вариабельной экспрессивностью </w:t>
      </w:r>
      <w:r>
        <w:rPr>
          <w:lang w:val="en-US" w:eastAsia="en-US" w:bidi="en-US"/>
          <w:w w:val="100"/>
          <w:spacing w:val="0"/>
          <w:color w:val="000000"/>
          <w:position w:val="0"/>
        </w:rPr>
        <w:t xml:space="preserve">(Gerboni S. et al., </w:t>
      </w:r>
      <w:r>
        <w:rPr>
          <w:lang w:val="ru-RU" w:eastAsia="ru-RU" w:bidi="ru-RU"/>
          <w:w w:val="100"/>
          <w:spacing w:val="0"/>
          <w:color w:val="000000"/>
          <w:position w:val="0"/>
        </w:rPr>
        <w:t>1993).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Стеноз легочной артерии встречается в 6,8-9% всех поро</w:t>
        <w:softHyphen/>
        <w:t>ков сердца. Эмпирический риск повторного рождения ре</w:t>
        <w:softHyphen/>
        <w:t>бенка с пороком составляет 1,5-2,7% и увеличивается до 3,8%, если пороком страдает один из родителей. Известны семейные формы порока с наследованием данной анома</w:t>
        <w:softHyphen/>
        <w:t>лии в трех поколениях. В ассоциации с хромосомными ано - малиями стеноз легочной артерии наиболее часто встреча</w:t>
        <w:softHyphen/>
        <w:t>ется при 9р- синдроме. Стеноз легочной артерии наблюда</w:t>
        <w:softHyphen/>
        <w:t xml:space="preserve">ется при следующих генетических синдромах: </w:t>
      </w:r>
      <w:r>
        <w:rPr>
          <w:lang w:val="en-US" w:eastAsia="en-US" w:bidi="en-US"/>
          <w:w w:val="100"/>
          <w:spacing w:val="0"/>
          <w:color w:val="000000"/>
          <w:position w:val="0"/>
        </w:rPr>
        <w:t>Watson, Meckel-Gruber, Carpenter, Noonan, Williams, Allagille.</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Тетрада Фалло наблюдается с частотой 9,6 на 10 000 но</w:t>
        <w:softHyphen/>
        <w:t>ворожденных, составляет 5-12% всех ВПС и 50-75% синих пороков. Риск повторного рождения ребенка с пороком сердца составляет 1,5-3,0%, при наличии порока у одного из родителей увеличивается до 4,3%. Сообщены семейные случаи тетрады Фалло, которые в сочетании с другими ано</w:t>
        <w:softHyphen/>
        <w:t>малиями формируют симптомокомплекс наследственного синдрома.</w:t>
      </w:r>
    </w:p>
    <w:p>
      <w:pPr>
        <w:pStyle w:val="Style107"/>
        <w:widowControl w:val="0"/>
        <w:keepNext w:val="0"/>
        <w:keepLines w:val="0"/>
        <w:shd w:val="clear" w:color="auto" w:fill="auto"/>
        <w:bidi w:val="0"/>
        <w:spacing w:before="0" w:after="0"/>
        <w:ind w:left="0" w:right="0"/>
      </w:pPr>
      <w:r>
        <w:rPr>
          <w:lang w:val="ru-RU" w:eastAsia="ru-RU" w:bidi="ru-RU"/>
          <w:w w:val="100"/>
          <w:spacing w:val="0"/>
          <w:color w:val="000000"/>
          <w:position w:val="0"/>
        </w:rPr>
        <w:t>Тетрада Фалло и клинодактилия 5 пальца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порока сердца сочетается с минорными краниофациальными аномалиями, клино- дактилией 5 пальца, преаурикулярным завитком. Тип на</w:t>
        <w:softHyphen/>
        <w:t>следования — аутосомно-доминантный с мужской транс - миссией.</w:t>
      </w:r>
    </w:p>
    <w:p>
      <w:pPr>
        <w:pStyle w:val="Style107"/>
        <w:widowControl w:val="0"/>
        <w:keepNext w:val="0"/>
        <w:keepLines w:val="0"/>
        <w:shd w:val="clear" w:color="auto" w:fill="auto"/>
        <w:bidi w:val="0"/>
        <w:spacing w:before="0" w:after="0"/>
        <w:ind w:left="0" w:right="0"/>
      </w:pPr>
      <w:r>
        <w:rPr>
          <w:lang w:val="ru-RU" w:eastAsia="ru-RU" w:bidi="ru-RU"/>
          <w:w w:val="100"/>
          <w:spacing w:val="0"/>
          <w:color w:val="000000"/>
          <w:position w:val="0"/>
        </w:rPr>
        <w:t>Тетрада Фалло и глаукома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порока сочетается с глауко</w:t>
        <w:softHyphen/>
        <w:t>мой. Тип наследования — аутосомно-доминантный.</w:t>
      </w:r>
    </w:p>
    <w:p>
      <w:pPr>
        <w:pStyle w:val="Style107"/>
        <w:widowControl w:val="0"/>
        <w:keepNext w:val="0"/>
        <w:keepLines w:val="0"/>
        <w:shd w:val="clear" w:color="auto" w:fill="auto"/>
        <w:bidi w:val="0"/>
        <w:spacing w:before="0" w:after="0"/>
        <w:ind w:left="0" w:right="0"/>
      </w:pPr>
      <w:r>
        <w:rPr>
          <w:lang w:val="ru-RU" w:eastAsia="ru-RU" w:bidi="ru-RU"/>
          <w:w w:val="100"/>
          <w:spacing w:val="0"/>
          <w:color w:val="000000"/>
          <w:position w:val="0"/>
        </w:rPr>
        <w:t>Семейный вариант тетрады Фалло с атрезией легочной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Порок сопровождается крайней формой обструкции правого желудочка (атрезия клапанов легочной артерии, выраженная гипоплазия или атрезия легочной артерии). Тип наследования — аутосо- мно-рецессивный.</w:t>
      </w:r>
    </w:p>
    <w:p>
      <w:pPr>
        <w:pStyle w:val="Style107"/>
        <w:widowControl w:val="0"/>
        <w:keepNext w:val="0"/>
        <w:keepLines w:val="0"/>
        <w:shd w:val="clear" w:color="auto" w:fill="auto"/>
        <w:bidi w:val="0"/>
        <w:spacing w:before="0" w:after="0"/>
        <w:ind w:left="0" w:right="0"/>
      </w:pPr>
      <w:r>
        <w:rPr>
          <w:lang w:val="ru-RU" w:eastAsia="ru-RU" w:bidi="ru-RU"/>
          <w:w w:val="100"/>
          <w:spacing w:val="0"/>
          <w:color w:val="000000"/>
          <w:position w:val="0"/>
        </w:rPr>
        <w:t>Тетрада Фалло, гипертелоризм и гипоспадия</w:t>
      </w:r>
    </w:p>
    <w:p>
      <w:pPr>
        <w:pStyle w:val="Style30"/>
        <w:widowControl w:val="0"/>
        <w:keepNext w:val="0"/>
        <w:keepLines w:val="0"/>
        <w:shd w:val="clear" w:color="auto" w:fill="auto"/>
        <w:bidi w:val="0"/>
        <w:spacing w:before="0" w:after="0"/>
        <w:ind w:left="0" w:right="0" w:firstLine="280"/>
      </w:pPr>
      <w:r>
        <w:pict>
          <v:shape id="_x0000_s1128" type="#_x0000_t75" style="position:absolute;margin-left:136.8pt;margin-top:736.3pt;width:209.75pt;height:14.9pt;z-index:-125829324;mso-wrap-distance-left:136.8pt;mso-wrap-distance-right:148.1pt;mso-wrap-distance-bottom:10.8pt;mso-position-horizontal-relative:margin;mso-position-vertical-relative:margin" wrapcoords="0 0 21600 0 21600 21600 0 21600 0 0">
            <v:imagedata r:id="rId168" r:href="rId169"/>
            <w10:wrap type="topAndBottom" anchorx="margin" anchory="margin"/>
          </v:shape>
        </w:pict>
      </w:r>
      <w:r>
        <w:rPr>
          <w:lang w:val="ru-RU" w:eastAsia="ru-RU" w:bidi="ru-RU"/>
          <w:w w:val="100"/>
          <w:spacing w:val="0"/>
          <w:color w:val="000000"/>
          <w:position w:val="0"/>
        </w:rPr>
        <w:t>Клиническая симптоматика порока сочетается с гипер- телоризмом и гипоспадией. Тип наследования — аутосо- мно-рецессивный.</w:t>
      </w:r>
      <w:r>
        <w:br w:type="page"/>
      </w:r>
    </w:p>
    <w:p>
      <w:pPr>
        <w:pStyle w:val="Style107"/>
        <w:widowControl w:val="0"/>
        <w:keepNext w:val="0"/>
        <w:keepLines w:val="0"/>
        <w:shd w:val="clear" w:color="auto" w:fill="auto"/>
        <w:bidi w:val="0"/>
        <w:spacing w:before="0" w:after="0"/>
        <w:ind w:left="0" w:right="0"/>
      </w:pPr>
      <w:r>
        <w:rPr>
          <w:lang w:val="ru-RU" w:eastAsia="ru-RU" w:bidi="ru-RU"/>
          <w:w w:val="100"/>
          <w:spacing w:val="0"/>
          <w:color w:val="000000"/>
          <w:position w:val="0"/>
        </w:rPr>
        <w:t>Тетрада Фалло и акроцефалополисиндактилия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Распознавание данных синдромов имеет большое значе</w:t>
        <w:softHyphen/>
        <w:t>ние, касающееся определения повторного риска рождения ребенка с тетрадой Фалло.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Транспозиция магистральных сосудов наблюдается с час</w:t>
        <w:softHyphen/>
        <w:t>тотой 4,8 на 10 000 новорожденных. Эмпирический риск повторного рождения ребенка с пороком сердца составляет около 2%.</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Аномалия Эбштейна </w:t>
      </w:r>
      <w:r>
        <w:rPr>
          <w:lang w:val="en-US" w:eastAsia="en-US" w:bidi="en-US"/>
          <w:w w:val="100"/>
          <w:spacing w:val="0"/>
          <w:color w:val="000000"/>
          <w:position w:val="0"/>
        </w:rPr>
        <w:t xml:space="preserve">(Ebstein) </w:t>
      </w:r>
      <w:r>
        <w:rPr>
          <w:lang w:val="ru-RU" w:eastAsia="ru-RU" w:bidi="ru-RU"/>
          <w:w w:val="100"/>
          <w:spacing w:val="0"/>
          <w:color w:val="000000"/>
          <w:position w:val="0"/>
        </w:rPr>
        <w:t>— врожденный порок сердца, характеризующийся дисплазией и смещением ство - рок трикуспидального клапана в полость правого желудоч</w:t>
        <w:softHyphen/>
        <w:t xml:space="preserve">ка, встречается с частотой 5,2 на 100 000 живорожденных, в 38,3% случаев сочетается с другими пороками сердца ив 19,1% — с экстракардиальными аномалиями </w:t>
      </w:r>
      <w:r>
        <w:rPr>
          <w:lang w:val="en-US" w:eastAsia="en-US" w:bidi="en-US"/>
          <w:w w:val="100"/>
          <w:spacing w:val="0"/>
          <w:color w:val="000000"/>
          <w:position w:val="0"/>
        </w:rPr>
        <w:t xml:space="preserve">(Correa- Villasenor A., </w:t>
      </w:r>
      <w:r>
        <w:rPr>
          <w:lang w:val="ru-RU" w:eastAsia="ru-RU" w:bidi="ru-RU"/>
          <w:w w:val="100"/>
          <w:spacing w:val="0"/>
          <w:color w:val="000000"/>
          <w:position w:val="0"/>
        </w:rPr>
        <w:t>1994). Характерно сочетание аномалии Эб</w:t>
        <w:softHyphen/>
        <w:t>штейна с различными нарушениями ритма сердца и прово</w:t>
        <w:softHyphen/>
        <w:t xml:space="preserve">димости: суправентрикулярной тахикардией, синдромом </w:t>
      </w:r>
      <w:r>
        <w:rPr>
          <w:lang w:val="en-US" w:eastAsia="en-US" w:bidi="en-US"/>
          <w:w w:val="100"/>
          <w:spacing w:val="0"/>
          <w:color w:val="000000"/>
          <w:position w:val="0"/>
        </w:rPr>
        <w:t xml:space="preserve">WPW </w:t>
      </w:r>
      <w:r>
        <w:rPr>
          <w:lang w:val="ru-RU" w:eastAsia="ru-RU" w:bidi="ru-RU"/>
          <w:w w:val="100"/>
          <w:spacing w:val="0"/>
          <w:color w:val="000000"/>
          <w:position w:val="0"/>
        </w:rPr>
        <w:t>тип В, атриовентрикулярной блокадой. Порок со</w:t>
        <w:softHyphen/>
        <w:t xml:space="preserve">ставляет 0,5-1% от всех ВПС. Риск повторного рождения ребенка с пороком сердца составляет 1% </w:t>
      </w:r>
      <w:r>
        <w:rPr>
          <w:lang w:val="en-US" w:eastAsia="en-US" w:bidi="en-US"/>
          <w:w w:val="100"/>
          <w:spacing w:val="0"/>
          <w:color w:val="000000"/>
          <w:position w:val="0"/>
        </w:rPr>
        <w:t xml:space="preserve">(odds ratio </w:t>
      </w:r>
      <w:r>
        <w:rPr>
          <w:lang w:val="ru-RU" w:eastAsia="ru-RU" w:bidi="ru-RU"/>
          <w:w w:val="100"/>
          <w:spacing w:val="0"/>
          <w:color w:val="000000"/>
          <w:position w:val="0"/>
        </w:rPr>
        <w:t>— 8,2 при 95% доверительном интервале).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Сообщены семейные варианты порока с аутосомно-до- минантным типом наследования. У этих больных с боль</w:t>
        <w:softHyphen/>
        <w:t xml:space="preserve">шой частотой определяются легкие скелетные аномалии (ограничение разгибания пальцев рук, наружная ротация пятых пальцев ног) </w:t>
      </w:r>
      <w:r>
        <w:rPr>
          <w:lang w:val="en-US" w:eastAsia="en-US" w:bidi="en-US"/>
          <w:w w:val="100"/>
          <w:spacing w:val="0"/>
          <w:color w:val="000000"/>
          <w:position w:val="0"/>
        </w:rPr>
        <w:t>(Balaji 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Общий артериальный ствол. Эмпирический риск повтор</w:t>
        <w:softHyphen/>
        <w:t xml:space="preserve">ного рождения ребенка с пороком сердца составляет около 1%. Порок в 16% случаев сочетается с синдромом </w:t>
      </w:r>
      <w:r>
        <w:rPr>
          <w:lang w:val="en-US" w:eastAsia="en-US" w:bidi="en-US"/>
          <w:w w:val="100"/>
          <w:spacing w:val="0"/>
          <w:color w:val="000000"/>
          <w:position w:val="0"/>
        </w:rPr>
        <w:t xml:space="preserve">DiGeorge (DGS). </w:t>
      </w:r>
      <w:r>
        <w:rPr>
          <w:lang w:val="ru-RU" w:eastAsia="ru-RU" w:bidi="ru-RU"/>
          <w:w w:val="100"/>
          <w:spacing w:val="0"/>
          <w:color w:val="000000"/>
          <w:position w:val="0"/>
        </w:rPr>
        <w:t>Сообщены семейные случаи порока с аутосомно- рецессивным типом наследования.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Гипоплазия левого желудочка наблюдается с частотой 0,8 на 10 000. Риск повторного рождения ребенка с пороком сердца составляет около 2%. Женщины, страдающие фе- нилкетонурией, с высокой частотой рождают детей с гипо</w:t>
        <w:softHyphen/>
        <w:t>плазией левого желудочка. Известны семейные случаи по</w:t>
        <w:softHyphen/>
        <w:t>рока с аутосомно-рецессивным типом наследования. Этот порок наблюдается при хромосомных аномалиях.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 данным опроса матерей больных детей и матерей детей группы контроля, выявлено, что респираторные инфекции в первом триместре беременности достоверно являются фактором риска по развитию гипоплазии лево</w:t>
        <w:softHyphen/>
        <w:t xml:space="preserve">го желудочка </w:t>
      </w:r>
      <w:r>
        <w:rPr>
          <w:lang w:val="en-US" w:eastAsia="en-US" w:bidi="en-US"/>
          <w:w w:val="100"/>
          <w:spacing w:val="0"/>
          <w:color w:val="000000"/>
          <w:position w:val="0"/>
        </w:rPr>
        <w:t xml:space="preserve">(odds ratio=2,5). </w:t>
      </w:r>
      <w:r>
        <w:rPr>
          <w:lang w:val="ru-RU" w:eastAsia="ru-RU" w:bidi="ru-RU"/>
          <w:w w:val="100"/>
          <w:spacing w:val="0"/>
          <w:color w:val="000000"/>
          <w:position w:val="0"/>
        </w:rPr>
        <w:t>Воздействие на мать во вре</w:t>
        <w:softHyphen/>
        <w:t>мя беременности таких вредных факторов, как инсекти</w:t>
        <w:softHyphen/>
        <w:t>цидов, пестицидов, лаков, красок, анестезирующих газов, не выявило четкой связи с развитием гипоплазии левого желудочка у детей. Использование мамой дезодорантов и спреев для волос в первый триместр беременности так</w:t>
        <w:softHyphen/>
        <w:t xml:space="preserve">же не выявил достоверной связи с развитием у ребенка гипоплазии левого желудочка </w:t>
      </w:r>
      <w:r>
        <w:rPr>
          <w:lang w:val="en-US" w:eastAsia="en-US" w:bidi="en-US"/>
          <w:w w:val="100"/>
          <w:spacing w:val="0"/>
          <w:color w:val="000000"/>
          <w:position w:val="0"/>
        </w:rPr>
        <w:t xml:space="preserve">(odds ratio=1,8). </w:t>
      </w:r>
      <w:r>
        <w:rPr>
          <w:lang w:val="ru-RU" w:eastAsia="ru-RU" w:bidi="ru-RU"/>
          <w:w w:val="100"/>
          <w:spacing w:val="0"/>
          <w:color w:val="000000"/>
          <w:position w:val="0"/>
        </w:rPr>
        <w:t>Риск гипо - плазии левого желудочка также не был связан с сезоном года, курением матери во время беременности, употреб</w:t>
        <w:softHyphen/>
        <w:t>лением кофе или алкоголя, а также ацетилсалициловой кислоты.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Правопредсердный изомеризм — сложный врожденный порок сердца, при котором обе предсердные камеры имеют морфологическую структуру правого предсердия. При этом пороке всегда определяется аномальный дренаж легочных вен и двухсторонняя верхняя полая вена. В 50% случаев на</w:t>
        <w:softHyphen/>
        <w:t>блюдается декстрокардия, верхушка сердца находится с противоположной стороны желудка. Порок часто сочета</w:t>
        <w:softHyphen/>
        <w:t>ется с атрезией легочной артерии, транспозицией магист</w:t>
        <w:softHyphen/>
        <w:br w:type="column"/>
        <w:t>ральных сосудов, дефектом межпредсердной перегородки. Селезенка может отсутствовать или рудиментирована, каж</w:t>
        <w:softHyphen/>
        <w:t>дое легкое содержит три доли, печень занимает срединную позицию в абдоминальной полости.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Правопредсердный изомеризм с высокой частотой на</w:t>
        <w:softHyphen/>
        <w:t>следуется аутосомно-рецессивно с неполной пенетрантно- стью. Эмпирический риск повторного рождения ребенка с пороком сердца достигает 25%.</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Левопредсердный изомеризм — комплексный врожден</w:t>
        <w:softHyphen/>
        <w:t>ный порок сердца, при котором оба предсердия имеют мор</w:t>
        <w:softHyphen/>
        <w:t>фологическое строение левого предсердия. Порок сочета</w:t>
        <w:softHyphen/>
        <w:t>ется с двойным отхождением магистральных сосудов от правого желудочка, дефектом межжелудочковой перего</w:t>
        <w:softHyphen/>
        <w:t>родки, прерывающейся нижней полой веной. В 50% случа</w:t>
        <w:softHyphen/>
        <w:t>ев левопредсердному изомеризму сопутствует обратное расположение внутренних органов, верхушка сердца нахо</w:t>
        <w:softHyphen/>
        <w:t>дится на противоположной стороне желудка. В 30% случа</w:t>
        <w:softHyphen/>
        <w:t>ев наблюдается полиспления. Поскольку при левопред</w:t>
        <w:softHyphen/>
        <w:t>сердном изомеризме отсутствуют морфологические струк</w:t>
        <w:softHyphen/>
        <w:t>туры синусового узла, роль водителя ритма выполняют ле</w:t>
        <w:softHyphen/>
        <w:t>вопредсердные пейсмекерные образования.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Левопредсердный изомеризм наследуется аутосомно-ре- цессивно с неполной пенетрантностью. Эмпирический риск повторного рождения ребенка с пороком сердца до</w:t>
        <w:softHyphen/>
        <w:t>стигает 25%.</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Аномальный дренаж легочных вен</w:t>
      </w:r>
    </w:p>
    <w:p>
      <w:pPr>
        <w:pStyle w:val="Style30"/>
        <w:widowControl w:val="0"/>
        <w:keepNext w:val="0"/>
        <w:keepLines w:val="0"/>
        <w:shd w:val="clear" w:color="auto" w:fill="auto"/>
        <w:bidi w:val="0"/>
        <w:spacing w:before="0" w:after="101"/>
        <w:ind w:left="0" w:right="0" w:firstLine="280"/>
      </w:pPr>
      <w:r>
        <w:rPr>
          <w:lang w:val="ru-RU" w:eastAsia="ru-RU" w:bidi="ru-RU"/>
          <w:w w:val="100"/>
          <w:spacing w:val="0"/>
          <w:color w:val="000000"/>
          <w:position w:val="0"/>
        </w:rPr>
        <w:t xml:space="preserve">Известны семейные варианты порока с аутосомно-до- минантным типом наследования </w:t>
      </w:r>
      <w:r>
        <w:rPr>
          <w:lang w:val="en-US" w:eastAsia="en-US" w:bidi="en-US"/>
          <w:w w:val="100"/>
          <w:spacing w:val="0"/>
          <w:color w:val="000000"/>
          <w:position w:val="0"/>
        </w:rPr>
        <w:t>(Raisher B.D. et al.,1991).</w:t>
      </w:r>
    </w:p>
    <w:p>
      <w:pPr>
        <w:pStyle w:val="Style109"/>
        <w:widowControl w:val="0"/>
        <w:keepNext w:val="0"/>
        <w:keepLines w:val="0"/>
        <w:shd w:val="clear" w:color="auto" w:fill="auto"/>
        <w:bidi w:val="0"/>
        <w:jc w:val="left"/>
        <w:spacing w:before="0" w:after="79"/>
        <w:ind w:left="0" w:right="0" w:firstLine="0"/>
      </w:pPr>
      <w:r>
        <w:rPr>
          <w:lang w:val="ru-RU" w:eastAsia="ru-RU" w:bidi="ru-RU"/>
          <w:w w:val="100"/>
          <w:spacing w:val="0"/>
          <w:color w:val="000000"/>
          <w:position w:val="0"/>
        </w:rPr>
        <w:t>Тератогенное воздействие химических, физических и биологических факторов на формирование врожденных пороков сердца удетей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Известно более 108 997 (данные на 1 октября 2001 года) токсических субстанций, которые могут оказать тератоген</w:t>
        <w:softHyphen/>
        <w:t>ное воздействие на плод и нарушить эмбриогенез, в том числе кардиогенез.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Химические тератогены могут быть подразделены на ле</w:t>
        <w:softHyphen/>
        <w:t>карственные и индустриальные; биологические — на болез</w:t>
        <w:softHyphen/>
        <w:t>ни родителей и пренатальные инфекции. В суммарной табл. 6 по данным различных авторов представлена связь между воздействием лекарственных средств и формирова</w:t>
        <w:softHyphen/>
        <w:t>нием врожденных пороков сердца у ребенка.</w:t>
      </w:r>
    </w:p>
    <w:p>
      <w:pPr>
        <w:pStyle w:val="Style30"/>
        <w:widowControl w:val="0"/>
        <w:keepNext w:val="0"/>
        <w:keepLines w:val="0"/>
        <w:shd w:val="clear" w:color="auto" w:fill="auto"/>
        <w:bidi w:val="0"/>
        <w:spacing w:before="0" w:after="125"/>
        <w:ind w:left="0" w:right="0" w:firstLine="280"/>
      </w:pPr>
      <w:r>
        <w:rPr>
          <w:lang w:val="ru-RU" w:eastAsia="ru-RU" w:bidi="ru-RU"/>
          <w:w w:val="100"/>
          <w:spacing w:val="0"/>
          <w:color w:val="000000"/>
          <w:position w:val="0"/>
        </w:rPr>
        <w:t>Практически все лекарственные препараты, перечис</w:t>
        <w:softHyphen/>
        <w:t>ленные в таблице, имеют относительный риск формирова</w:t>
        <w:softHyphen/>
        <w:t>ния врожденного порока сердца у плода (в случае употреб</w:t>
        <w:softHyphen/>
        <w:t>ления их во время беременности), равный или превышаю</w:t>
        <w:softHyphen/>
        <w:t>щий 2,0. Поэтому, если ситуация позволяет, лучше воздер</w:t>
        <w:softHyphen/>
        <w:t>жаться от назначения какого-либо из вышеперечисленных препаратов беременной.</w:t>
      </w:r>
    </w:p>
    <w:p>
      <w:pPr>
        <w:pStyle w:val="Style54"/>
        <w:widowControl w:val="0"/>
        <w:keepNext/>
        <w:keepLines/>
        <w:shd w:val="clear" w:color="auto" w:fill="auto"/>
        <w:bidi w:val="0"/>
        <w:jc w:val="both"/>
        <w:spacing w:before="0" w:after="44" w:line="210" w:lineRule="exact"/>
        <w:ind w:left="0" w:right="0" w:firstLine="0"/>
      </w:pPr>
      <w:bookmarkStart w:id="278" w:name="bookmark278"/>
      <w:r>
        <w:rPr>
          <w:lang w:val="ru-RU" w:eastAsia="ru-RU" w:bidi="ru-RU"/>
          <w:w w:val="100"/>
          <w:spacing w:val="0"/>
          <w:color w:val="000000"/>
          <w:position w:val="0"/>
        </w:rPr>
        <w:t>Антиконвульсанты</w:t>
      </w:r>
      <w:bookmarkEnd w:id="278"/>
    </w:p>
    <w:p>
      <w:pPr>
        <w:pStyle w:val="Style30"/>
        <w:widowControl w:val="0"/>
        <w:keepNext w:val="0"/>
        <w:keepLines w:val="0"/>
        <w:shd w:val="clear" w:color="auto" w:fill="auto"/>
        <w:bidi w:val="0"/>
        <w:spacing w:before="0" w:after="0"/>
        <w:ind w:left="520" w:right="0" w:hanging="240"/>
        <w:sectPr>
          <w:type w:val="continuous"/>
          <w:pgSz w:w="11900" w:h="16840"/>
          <w:pgMar w:top="1579" w:left="1005" w:right="1006" w:bottom="1781" w:header="0" w:footer="3" w:gutter="0"/>
          <w:rtlGutter w:val="0"/>
          <w:cols w:num="2" w:space="173"/>
          <w:noEndnote/>
          <w:docGrid w:linePitch="360"/>
        </w:sectPr>
      </w:pPr>
      <w:r>
        <w:rPr>
          <w:lang w:val="ru-RU" w:eastAsia="ru-RU" w:bidi="ru-RU"/>
          <w:w w:val="100"/>
          <w:spacing w:val="0"/>
          <w:color w:val="000000"/>
          <w:position w:val="0"/>
        </w:rPr>
        <w:t xml:space="preserve">• По данным </w:t>
      </w:r>
      <w:r>
        <w:rPr>
          <w:lang w:val="en-US" w:eastAsia="en-US" w:bidi="en-US"/>
          <w:w w:val="100"/>
          <w:spacing w:val="0"/>
          <w:color w:val="000000"/>
          <w:position w:val="0"/>
        </w:rPr>
        <w:t xml:space="preserve">Lindhout D. </w:t>
      </w:r>
      <w:r>
        <w:rPr>
          <w:lang w:val="ru-RU" w:eastAsia="ru-RU" w:bidi="ru-RU"/>
          <w:w w:val="100"/>
          <w:spacing w:val="0"/>
          <w:color w:val="000000"/>
          <w:position w:val="0"/>
        </w:rPr>
        <w:t xml:space="preserve">и </w:t>
      </w:r>
      <w:r>
        <w:rPr>
          <w:lang w:val="en-US" w:eastAsia="en-US" w:bidi="en-US"/>
          <w:w w:val="100"/>
          <w:spacing w:val="0"/>
          <w:color w:val="000000"/>
          <w:position w:val="0"/>
        </w:rPr>
        <w:t xml:space="preserve">Omtzigt J.G. </w:t>
      </w:r>
      <w:r>
        <w:rPr>
          <w:lang w:val="ru-RU" w:eastAsia="ru-RU" w:bidi="ru-RU"/>
          <w:w w:val="100"/>
          <w:spacing w:val="0"/>
          <w:color w:val="000000"/>
          <w:position w:val="0"/>
        </w:rPr>
        <w:t>(1994), один из 250 новорожденных во время беременности подвер</w:t>
        <w:softHyphen/>
        <w:t>гается воздействию антиконвульсантов. Проблеме внутриутробного воздействия антиконвульсантов на сердце и магистральные сосуды плода посвящено множество исследований. Используя большие вы</w:t>
        <w:softHyphen/>
        <w:t xml:space="preserve">борки (объем исследований 2148 человек), М. </w:t>
      </w:r>
      <w:r>
        <w:rPr>
          <w:lang w:val="en-US" w:eastAsia="en-US" w:bidi="en-US"/>
          <w:w w:val="100"/>
          <w:spacing w:val="0"/>
          <w:color w:val="000000"/>
          <w:position w:val="0"/>
        </w:rPr>
        <w:t xml:space="preserve">Pierpont </w:t>
      </w:r>
      <w:r>
        <w:rPr>
          <w:lang w:val="ru-RU" w:eastAsia="ru-RU" w:bidi="ru-RU"/>
          <w:w w:val="100"/>
          <w:spacing w:val="0"/>
          <w:color w:val="000000"/>
          <w:position w:val="0"/>
        </w:rPr>
        <w:t>(1986) в своей работе получила величину относительного риска формирования врожденного</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48" w:after="48"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129" type="#_x0000_t75" style="position:absolute;margin-left:153.7pt;margin-top:0;width:209.75pt;height:14.9pt;z-index:-251658730;mso-wrap-distance-left:5.pt;mso-wrap-distance-right:5.pt;mso-position-horizontal-relative:margin" wrapcoords="0 0">
            <v:imagedata r:id="rId170" r:href="rId171"/>
            <w10:wrap anchorx="margin"/>
          </v:shape>
        </w:pict>
      </w:r>
    </w:p>
    <w:p>
      <w:pPr>
        <w:widowControl w:val="0"/>
        <w:rPr>
          <w:sz w:val="2"/>
          <w:szCs w:val="2"/>
        </w:rPr>
        <w:sectPr>
          <w:type w:val="continuous"/>
          <w:pgSz w:w="11900" w:h="16840"/>
          <w:pgMar w:top="1468" w:left="893" w:right="1119" w:bottom="192" w:header="0" w:footer="3" w:gutter="0"/>
          <w:rtlGutter w:val="0"/>
          <w:cols w:space="720"/>
          <w:noEndnote/>
          <w:docGrid w:linePitch="360"/>
        </w:sectPr>
      </w:pPr>
    </w:p>
    <w:p>
      <w:pPr>
        <w:pStyle w:val="Style30"/>
        <w:widowControl w:val="0"/>
        <w:keepNext w:val="0"/>
        <w:keepLines w:val="0"/>
        <w:shd w:val="clear" w:color="auto" w:fill="auto"/>
        <w:bidi w:val="0"/>
        <w:jc w:val="center"/>
        <w:spacing w:before="0" w:after="0" w:line="180" w:lineRule="exact"/>
        <w:ind w:left="20" w:right="0" w:firstLine="0"/>
      </w:pPr>
      <w:r>
        <w:rPr>
          <w:lang w:val="ru-RU" w:eastAsia="ru-RU" w:bidi="ru-RU"/>
          <w:w w:val="100"/>
          <w:spacing w:val="0"/>
          <w:color w:val="000000"/>
          <w:position w:val="0"/>
        </w:rPr>
        <w:t>Лекарственное воздействие на беременных и формирование врожденных пороков сердца у детей</w:t>
      </w:r>
    </w:p>
    <w:p>
      <w:pPr>
        <w:pStyle w:val="Style39"/>
        <w:framePr w:w="9883" w:wrap="notBeside" w:vAnchor="text" w:hAnchor="text" w:xAlign="center" w:y="1"/>
        <w:widowControl w:val="0"/>
        <w:keepNext w:val="0"/>
        <w:keepLines w:val="0"/>
        <w:shd w:val="clear" w:color="auto" w:fill="auto"/>
        <w:bidi w:val="0"/>
        <w:spacing w:before="0" w:after="0" w:line="170" w:lineRule="exact"/>
        <w:ind w:left="0" w:right="0" w:firstLine="0"/>
      </w:pPr>
      <w:r>
        <w:rPr>
          <w:rStyle w:val="CharStyle111"/>
          <w:i/>
          <w:iCs/>
        </w:rPr>
        <w:t>Таблица 6</w:t>
      </w:r>
    </w:p>
    <w:tbl>
      <w:tblPr>
        <w:tblOverlap w:val="never"/>
        <w:tblLayout w:type="fixed"/>
        <w:jc w:val="center"/>
      </w:tblPr>
      <w:tblGrid>
        <w:gridCol w:w="2885"/>
        <w:gridCol w:w="653"/>
        <w:gridCol w:w="1046"/>
        <w:gridCol w:w="744"/>
        <w:gridCol w:w="4555"/>
      </w:tblGrid>
      <w:tr>
        <w:trPr>
          <w:trHeight w:val="44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Препарат</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60" w:line="180" w:lineRule="exact"/>
              <w:ind w:left="0" w:right="0" w:firstLine="0"/>
            </w:pPr>
            <w:r>
              <w:rPr>
                <w:lang w:val="ru-RU" w:eastAsia="ru-RU" w:bidi="ru-RU"/>
                <w:w w:val="100"/>
                <w:spacing w:val="0"/>
                <w:color w:val="000000"/>
                <w:position w:val="0"/>
              </w:rPr>
              <w:t>Кол-во</w:t>
            </w:r>
          </w:p>
          <w:p>
            <w:pPr>
              <w:pStyle w:val="Style30"/>
              <w:framePr w:w="9883" w:wrap="notBeside" w:vAnchor="text" w:hAnchor="text" w:xAlign="center" w:y="1"/>
              <w:widowControl w:val="0"/>
              <w:keepNext w:val="0"/>
              <w:keepLines w:val="0"/>
              <w:shd w:val="clear" w:color="auto" w:fill="auto"/>
              <w:bidi w:val="0"/>
              <w:jc w:val="left"/>
              <w:spacing w:before="60" w:after="0" w:line="180" w:lineRule="exact"/>
              <w:ind w:left="0" w:right="0" w:firstLine="0"/>
            </w:pPr>
            <w:r>
              <w:rPr>
                <w:lang w:val="ru-RU" w:eastAsia="ru-RU" w:bidi="ru-RU"/>
                <w:w w:val="100"/>
                <w:spacing w:val="0"/>
                <w:color w:val="000000"/>
                <w:position w:val="0"/>
              </w:rPr>
              <w:t>случаев</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Кол-во детей с ВПС</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60" w:line="180" w:lineRule="exact"/>
              <w:ind w:left="0" w:right="0" w:firstLine="0"/>
            </w:pPr>
            <w:r>
              <w:rPr>
                <w:lang w:val="ru-RU" w:eastAsia="ru-RU" w:bidi="ru-RU"/>
                <w:w w:val="100"/>
                <w:spacing w:val="0"/>
                <w:color w:val="000000"/>
                <w:position w:val="0"/>
              </w:rPr>
              <w:t>Относит.</w:t>
            </w:r>
          </w:p>
          <w:p>
            <w:pPr>
              <w:pStyle w:val="Style30"/>
              <w:framePr w:w="9883" w:wrap="notBeside" w:vAnchor="text" w:hAnchor="text" w:xAlign="center" w:y="1"/>
              <w:widowControl w:val="0"/>
              <w:keepNext w:val="0"/>
              <w:keepLines w:val="0"/>
              <w:shd w:val="clear" w:color="auto" w:fill="auto"/>
              <w:bidi w:val="0"/>
              <w:jc w:val="center"/>
              <w:spacing w:before="60" w:after="0" w:line="180" w:lineRule="exact"/>
              <w:ind w:left="0" w:right="0" w:firstLine="0"/>
            </w:pPr>
            <w:r>
              <w:rPr>
                <w:lang w:val="ru-RU" w:eastAsia="ru-RU" w:bidi="ru-RU"/>
                <w:w w:val="100"/>
                <w:spacing w:val="0"/>
                <w:color w:val="000000"/>
                <w:position w:val="0"/>
              </w:rPr>
              <w:t>риск</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Спектр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Амфетамин</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240" w:right="0" w:firstLine="0"/>
            </w:pPr>
            <w:r>
              <w:rPr>
                <w:lang w:val="ru-RU" w:eastAsia="ru-RU" w:bidi="ru-RU"/>
                <w:w w:val="100"/>
                <w:spacing w:val="0"/>
                <w:color w:val="000000"/>
                <w:position w:val="0"/>
              </w:rPr>
              <w:t>1694</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14</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1,2</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Декстроамфетамин</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184</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20</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16,0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Анестетики</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670</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1,8</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Индометацин</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73,5</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Персистирующие фетальные коммуникации</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Препараты лития</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143</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10,3</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Открытый артериальный проток, коарктация аорты, атрезия легочной артерии</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Фенотиазины</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240" w:right="0" w:firstLine="0"/>
            </w:pPr>
            <w:r>
              <w:rPr>
                <w:lang w:val="ru-RU" w:eastAsia="ru-RU" w:bidi="ru-RU"/>
                <w:w w:val="100"/>
                <w:spacing w:val="0"/>
                <w:color w:val="000000"/>
                <w:position w:val="0"/>
              </w:rPr>
              <w:t>1309</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18</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446"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Салицилаты</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82</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3,6</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Дефект межпредсердной перегородки, гипоплазия левого же</w:t>
              <w:softHyphen/>
              <w:t>лудочка, дефект межжелудочковой перегородки</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Амобарбитал</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298</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3,4</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Азатиоприн + преднизолон</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14,4</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Стеноз легочной артерии</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Хлоротеофиллин</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319</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2,3</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Изониазид</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125</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2,3</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Локальные ирританты + кератолитики</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388</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2,6</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Метформин</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22</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6,7</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Плохлорперазин</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877</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21</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3,5</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Дефект межжелудочковой перегородки</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Секобарбитал</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378</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3,5</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Тримето-бензамид</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193</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11</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8,4</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Вит. А — гипервитаминоз</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30</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34,3</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40" w:hRule="exact"/>
        </w:trPr>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Вит. Д гипервитаминоз</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Парацетамол+ фенацетин</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Антинеопластики</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Тетрада Фалло</w:t>
            </w:r>
          </w:p>
        </w:tc>
      </w:tr>
      <w:tr>
        <w:trPr>
          <w:trHeight w:val="240" w:hRule="exact"/>
        </w:trPr>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Бромиды</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Карбутамид</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Кинидин</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21</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6</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40" w:hRule="exact"/>
        </w:trPr>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Витамин А</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13</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Витамин РР гиповитаминоз</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Тетрада Фалло</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Гормоны всех групп</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2.327</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32</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Контрацептивы (оральные)</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2.313</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12</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0,8</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1387"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Женские половые гормоны</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240" w:right="0" w:firstLine="0"/>
            </w:pPr>
            <w:r>
              <w:rPr>
                <w:lang w:val="ru-RU" w:eastAsia="ru-RU" w:bidi="ru-RU"/>
                <w:w w:val="100"/>
                <w:spacing w:val="0"/>
                <w:color w:val="000000"/>
                <w:position w:val="0"/>
              </w:rPr>
              <w:t>1042</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19</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2,7</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Дефект межжелудочковой перегородки (21%)</w:t>
            </w:r>
          </w:p>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Стеноз аорты (16%)</w:t>
            </w:r>
          </w:p>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Атрезия трикуспидального клапана (16%)</w:t>
            </w:r>
          </w:p>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Открытый артериальный проток (10%)</w:t>
            </w:r>
          </w:p>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Тетрада Фалло (5%)</w:t>
            </w:r>
          </w:p>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Двойное отхождение магистральных сосудов от правого желу</w:t>
              <w:softHyphen/>
              <w:t>дочка (5%)</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Диэтилстил-бестрон</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225</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6</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3,9</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Эстрогены</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614</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12</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2,9</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Прогестагены</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866</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16</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2,7</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Этинилэстрадиол</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19</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13</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260" w:right="0" w:firstLine="0"/>
            </w:pPr>
            <w:r>
              <w:rPr>
                <w:lang w:val="ru-RU" w:eastAsia="ru-RU" w:bidi="ru-RU"/>
                <w:w w:val="100"/>
                <w:spacing w:val="0"/>
                <w:color w:val="000000"/>
                <w:position w:val="0"/>
              </w:rPr>
              <w:t>100,6</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Прогестаген + эстроген</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224</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20</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13,1</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Кортизон</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212</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0,7</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Инсулин</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117</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Тиреоидные гормоны</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right"/>
              <w:spacing w:before="0" w:after="0" w:line="180" w:lineRule="exact"/>
              <w:ind w:left="0" w:right="220" w:firstLine="0"/>
            </w:pPr>
            <w:r>
              <w:rPr>
                <w:lang w:val="ru-RU" w:eastAsia="ru-RU" w:bidi="ru-RU"/>
                <w:w w:val="100"/>
                <w:spacing w:val="0"/>
                <w:color w:val="000000"/>
                <w:position w:val="0"/>
              </w:rPr>
              <w:t>560</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1,8</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Гербециды</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58,8</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Инсектициды</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Дефект межжелудочковой перегородки, коарктация аорты</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Винилхлорид</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4534</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37</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1,5</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Барбитураты</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240" w:right="0" w:firstLine="0"/>
            </w:pPr>
            <w:r>
              <w:rPr>
                <w:lang w:val="ru-RU" w:eastAsia="ru-RU" w:bidi="ru-RU"/>
                <w:w w:val="100"/>
                <w:spacing w:val="0"/>
                <w:color w:val="000000"/>
                <w:position w:val="0"/>
              </w:rPr>
              <w:t>2413</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32</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1,9</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Фенобарбитал</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240" w:right="0" w:firstLine="0"/>
            </w:pPr>
            <w:r>
              <w:rPr>
                <w:lang w:val="ru-RU" w:eastAsia="ru-RU" w:bidi="ru-RU"/>
                <w:w w:val="100"/>
                <w:spacing w:val="0"/>
                <w:color w:val="000000"/>
                <w:position w:val="0"/>
              </w:rPr>
              <w:t>1415</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13</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1,3</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Дефект межжелудочковой перегородки, коарктация аорты</w:t>
            </w:r>
          </w:p>
        </w:tc>
      </w:tr>
      <w:tr>
        <w:trPr>
          <w:trHeight w:val="437"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Карбамазепин</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44</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13</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260" w:right="0" w:firstLine="0"/>
            </w:pPr>
            <w:r>
              <w:rPr>
                <w:lang w:val="ru-RU" w:eastAsia="ru-RU" w:bidi="ru-RU"/>
                <w:w w:val="100"/>
                <w:spacing w:val="0"/>
                <w:color w:val="000000"/>
                <w:position w:val="0"/>
              </w:rPr>
              <w:t>43,4</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Дефект межжелудочковой перегородки (38%)</w:t>
            </w:r>
          </w:p>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Дефект межпредсердной перегородки, коарктация аорты (23%)</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Фенитоин</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70</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4,2</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Триметадион</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Транспозиция магистральных сосудов, тетрада Фалло</w:t>
            </w:r>
          </w:p>
        </w:tc>
      </w:tr>
      <w:tr>
        <w:trPr>
          <w:trHeight w:val="250" w:hRule="exact"/>
        </w:trPr>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Вальпроевая кислота</w:t>
            </w:r>
          </w:p>
        </w:tc>
        <w:tc>
          <w:tcPr>
            <w:shd w:val="clear" w:color="auto" w:fill="FFFFFF"/>
            <w:tcBorders>
              <w:left w:val="single" w:sz="4"/>
              <w:top w:val="single" w:sz="4"/>
              <w:bottom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w:t>
            </w:r>
          </w:p>
        </w:tc>
        <w:tc>
          <w:tcPr>
            <w:shd w:val="clear" w:color="auto" w:fill="FFFFFF"/>
            <w:tcBorders>
              <w:left w:val="single" w:sz="4"/>
              <w:top w:val="single" w:sz="4"/>
              <w:bottom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w:t>
            </w:r>
          </w:p>
        </w:tc>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18,4</w:t>
            </w:r>
          </w:p>
        </w:tc>
        <w:tc>
          <w:tcPr>
            <w:shd w:val="clear" w:color="auto" w:fill="FFFFFF"/>
            <w:tcBorders>
              <w:left w:val="single" w:sz="4"/>
              <w:righ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Различные варианты ВПС</w:t>
            </w:r>
          </w:p>
        </w:tc>
      </w:tr>
    </w:tbl>
    <w:p>
      <w:pPr>
        <w:framePr w:w="9883" w:wrap="notBeside" w:vAnchor="text" w:hAnchor="text" w:xAlign="center" w:y="1"/>
        <w:widowControl w:val="0"/>
        <w:rPr>
          <w:sz w:val="2"/>
          <w:szCs w:val="2"/>
        </w:rPr>
      </w:pPr>
    </w:p>
    <w:p>
      <w:pPr>
        <w:widowControl w:val="0"/>
        <w:spacing w:line="1200" w:lineRule="exact"/>
        <w:rPr>
          <w:sz w:val="24"/>
          <w:szCs w:val="24"/>
        </w:rPr>
      </w:pPr>
    </w:p>
    <w:p>
      <w:pPr>
        <w:framePr w:h="293" w:wrap="notBeside" w:vAnchor="text" w:hAnchor="text" w:xAlign="center" w:y="1"/>
        <w:widowControl w:val="0"/>
        <w:jc w:val="center"/>
        <w:rPr>
          <w:sz w:val="2"/>
          <w:szCs w:val="2"/>
        </w:rPr>
      </w:pPr>
      <w:r>
        <w:pict>
          <v:shape id="_x0000_s1130" type="#_x0000_t75" style="width:210pt;height:15pt;">
            <v:imagedata r:id="rId172" r:href="rId173"/>
          </v:shape>
        </w:pict>
      </w:r>
    </w:p>
    <w:p>
      <w:pPr>
        <w:widowControl w:val="0"/>
        <w:rPr>
          <w:sz w:val="2"/>
          <w:szCs w:val="2"/>
        </w:rPr>
      </w:pPr>
    </w:p>
    <w:p>
      <w:pPr>
        <w:widowControl w:val="0"/>
        <w:rPr>
          <w:sz w:val="2"/>
          <w:szCs w:val="2"/>
        </w:rPr>
        <w:sectPr>
          <w:pgSz w:w="11900" w:h="16840"/>
          <w:pgMar w:top="1779" w:left="1128" w:right="874" w:bottom="147" w:header="0" w:footer="3" w:gutter="0"/>
          <w:rtlGutter w:val="0"/>
          <w:cols w:space="720"/>
          <w:noEndnote/>
          <w:docGrid w:linePitch="360"/>
        </w:sectPr>
      </w:pPr>
    </w:p>
    <w:p>
      <w:pPr>
        <w:widowControl w:val="0"/>
        <w:rPr>
          <w:sz w:val="2"/>
          <w:szCs w:val="2"/>
        </w:rPr>
      </w:pPr>
      <w:r>
        <w:pict>
          <v:shape id="_x0000_s1131" type="#_x0000_t75" style="position:absolute;margin-left:141.7pt;margin-top:736.3pt;width:209.75pt;height:14.9pt;z-index:-125829323;mso-wrap-distance-left:135.35pt;mso-wrap-distance-right:136.8pt;mso-wrap-distance-bottom:20.pt;mso-position-horizontal-relative:margin" wrapcoords="0 0 21600 0 21600 21600 0 21600 0 0">
            <v:imagedata r:id="rId174" r:href="rId175"/>
            <w10:wrap type="topAndBottom" anchorx="margin"/>
          </v:shape>
        </w:pict>
      </w:r>
    </w:p>
    <w:p>
      <w:pPr>
        <w:pStyle w:val="Style30"/>
        <w:widowControl w:val="0"/>
        <w:keepNext w:val="0"/>
        <w:keepLines w:val="0"/>
        <w:shd w:val="clear" w:color="auto" w:fill="auto"/>
        <w:bidi w:val="0"/>
        <w:spacing w:before="0" w:after="0" w:line="211" w:lineRule="exact"/>
        <w:ind w:left="260" w:right="0" w:firstLine="0"/>
      </w:pPr>
      <w:r>
        <w:rPr>
          <w:lang w:val="ru-RU" w:eastAsia="ru-RU" w:bidi="ru-RU"/>
          <w:w w:val="100"/>
          <w:spacing w:val="0"/>
          <w:color w:val="000000"/>
          <w:position w:val="0"/>
        </w:rPr>
        <w:t>порока сердца у плода при внутриутробном воздей</w:t>
        <w:softHyphen/>
        <w:t>ствии антиконвульсантов, равную 3,3, что позволяет считать тератогенное воздействие антиконвульсантов на сердце плода достоверным.</w:t>
      </w:r>
    </w:p>
    <w:p>
      <w:pPr>
        <w:pStyle w:val="Style30"/>
        <w:numPr>
          <w:ilvl w:val="0"/>
          <w:numId w:val="37"/>
        </w:numPr>
        <w:tabs>
          <w:tab w:leader="none" w:pos="239"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Конкретный спектр кардиальных аномалий при вну</w:t>
        <w:softHyphen/>
        <w:t>триутробном воздействии антиконвульсантов выяв</w:t>
        <w:softHyphen/>
        <w:t>ляет повышение частоты встречаемости тетрады Фалло, что отражает специфичность тератогенного эффекта.</w:t>
      </w:r>
    </w:p>
    <w:p>
      <w:pPr>
        <w:pStyle w:val="Style30"/>
        <w:numPr>
          <w:ilvl w:val="0"/>
          <w:numId w:val="37"/>
        </w:numPr>
        <w:tabs>
          <w:tab w:leader="none" w:pos="239"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Наибольший интерес для практических врачей пред</w:t>
        <w:softHyphen/>
        <w:t>ставляют исследования, посвященные выявлению те</w:t>
        <w:softHyphen/>
        <w:t>ратогенного действия конкретных препаратов и их комбинаций. Оказалось, что при назначении фенобар</w:t>
        <w:softHyphen/>
        <w:t>битала в качестве монотерапии относительный риск возникновения врожденных пороков сердца у ребенка равен 0,7, а в комбинации с другими антиконвульсан</w:t>
        <w:softHyphen/>
        <w:t>тами — 3,2. При такой разнице в цифрах другие анти</w:t>
        <w:softHyphen/>
        <w:t>конвульсанты, несмотря на более редкое их примене</w:t>
        <w:softHyphen/>
        <w:t>ние, заслуживают более детального рассмотрения.</w:t>
      </w:r>
    </w:p>
    <w:p>
      <w:pPr>
        <w:pStyle w:val="Style30"/>
        <w:numPr>
          <w:ilvl w:val="0"/>
          <w:numId w:val="37"/>
        </w:numPr>
        <w:tabs>
          <w:tab w:leader="none" w:pos="239"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 xml:space="preserve">При исследовании карбамазепина (син. финлепсин, стазепин, тегретол) в качестве монотерапии не было обнаружено его тератогенной активности </w:t>
      </w:r>
      <w:r>
        <w:rPr>
          <w:lang w:val="en-US" w:eastAsia="en-US" w:bidi="en-US"/>
          <w:w w:val="100"/>
          <w:spacing w:val="0"/>
          <w:color w:val="000000"/>
          <w:position w:val="0"/>
        </w:rPr>
        <w:t xml:space="preserve">(Lindhout D. et al., </w:t>
      </w:r>
      <w:r>
        <w:rPr>
          <w:lang w:val="ru-RU" w:eastAsia="ru-RU" w:bidi="ru-RU"/>
          <w:w w:val="100"/>
          <w:spacing w:val="0"/>
          <w:color w:val="000000"/>
          <w:position w:val="0"/>
        </w:rPr>
        <w:t>1982), однако применение карба- мазепина одновременно с фенобарбиталом дает от</w:t>
        <w:softHyphen/>
        <w:t>носительный риск, приближающийся к 3,2. Усиление тератогенного эффекта наблюдается также при при</w:t>
        <w:softHyphen/>
        <w:t xml:space="preserve">менении фенобарбитала одновременно с дифенилги- дантоином (дифенин) </w:t>
      </w:r>
      <w:r>
        <w:rPr>
          <w:lang w:val="en-US" w:eastAsia="en-US" w:bidi="en-US"/>
          <w:w w:val="100"/>
          <w:spacing w:val="0"/>
          <w:color w:val="000000"/>
          <w:position w:val="0"/>
        </w:rPr>
        <w:t xml:space="preserve">(Char F. et al., </w:t>
      </w:r>
      <w:r>
        <w:rPr>
          <w:lang w:val="ru-RU" w:eastAsia="ru-RU" w:bidi="ru-RU"/>
          <w:w w:val="100"/>
          <w:spacing w:val="0"/>
          <w:color w:val="000000"/>
          <w:position w:val="0"/>
        </w:rPr>
        <w:t>1977). В отдель</w:t>
        <w:softHyphen/>
        <w:t xml:space="preserve">ных исследованиях относительный риск равен 29,4 </w:t>
      </w:r>
      <w:r>
        <w:rPr>
          <w:lang w:val="en-US" w:eastAsia="en-US" w:bidi="en-US"/>
          <w:w w:val="100"/>
          <w:spacing w:val="0"/>
          <w:color w:val="000000"/>
          <w:position w:val="0"/>
        </w:rPr>
        <w:t xml:space="preserve">(Wood B.P. et al.,1979). </w:t>
      </w:r>
      <w:r>
        <w:rPr>
          <w:lang w:val="ru-RU" w:eastAsia="ru-RU" w:bidi="ru-RU"/>
          <w:w w:val="100"/>
          <w:spacing w:val="0"/>
          <w:color w:val="000000"/>
          <w:position w:val="0"/>
        </w:rPr>
        <w:t>Такой же риск зарегистрирован при применении дифенилгидантоина одновременно с примидоном (гексамидин). Однако, в отличие от карбамазепина, дифенилгидантоин сам обладает те</w:t>
        <w:softHyphen/>
        <w:t>ратогенным действием. Относительный риск при его применении в качестве монотерапии достигает 4,7.</w:t>
      </w:r>
    </w:p>
    <w:p>
      <w:pPr>
        <w:pStyle w:val="Style30"/>
        <w:numPr>
          <w:ilvl w:val="0"/>
          <w:numId w:val="37"/>
        </w:numPr>
        <w:tabs>
          <w:tab w:leader="none" w:pos="239"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Исследование спектра кардиальных аномалий в слу</w:t>
        <w:softHyphen/>
        <w:t>чае применения дифенилгидантоина выявило, что тератогенное воздействие лекарства неспецифично, т.к. дефекты межжелудочковой и межпредсердной перегородок были наиболее частыми аномалиями. Было также выявлено, что эффект от воздействия препарата различается в зависимости от времени применения: в первом триместре беременности он вызывает формирование дефектов межпредсердной и межжелудочковой перегородок, а в третьем приво</w:t>
        <w:softHyphen/>
        <w:t>дит к формированию открытого артериального про</w:t>
        <w:softHyphen/>
        <w:t xml:space="preserve">тока у ребенка </w:t>
      </w:r>
      <w:r>
        <w:rPr>
          <w:lang w:val="en-US" w:eastAsia="en-US" w:bidi="en-US"/>
          <w:w w:val="100"/>
          <w:spacing w:val="0"/>
          <w:color w:val="000000"/>
          <w:position w:val="0"/>
        </w:rPr>
        <w:t xml:space="preserve">(Monson R.R. et al., </w:t>
      </w:r>
      <w:r>
        <w:rPr>
          <w:lang w:val="ru-RU" w:eastAsia="ru-RU" w:bidi="ru-RU"/>
          <w:w w:val="100"/>
          <w:spacing w:val="0"/>
          <w:color w:val="000000"/>
          <w:position w:val="0"/>
        </w:rPr>
        <w:t>1973).</w:t>
      </w:r>
    </w:p>
    <w:p>
      <w:pPr>
        <w:pStyle w:val="Style30"/>
        <w:numPr>
          <w:ilvl w:val="0"/>
          <w:numId w:val="37"/>
        </w:numPr>
        <w:tabs>
          <w:tab w:leader="none" w:pos="239"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Относительный риск формирования врожденного порока сердца у ребенка, если его мать во время бере</w:t>
        <w:softHyphen/>
        <w:t>менности принимала фенитоин (дифенина натриевая соль), равен 5,7 (количество наблюдений 229). На ма</w:t>
        <w:softHyphen/>
        <w:t>лых выборках показано, что триметадион (триметин) обладает выраженной тератогенной активностью. Из 12 случаев употребления препарата во время бере</w:t>
        <w:softHyphen/>
        <w:t>менности у 6 родившихся детей наблюдались врож</w:t>
        <w:softHyphen/>
        <w:t>денные пороки сердца.</w:t>
      </w:r>
    </w:p>
    <w:p>
      <w:pPr>
        <w:pStyle w:val="Style30"/>
        <w:numPr>
          <w:ilvl w:val="0"/>
          <w:numId w:val="37"/>
        </w:numPr>
        <w:tabs>
          <w:tab w:leader="none" w:pos="239"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Что касается спектра кардиальных аномалий, то наибо - лее частыми пороками при применении фенитоина или триметадиона в качестве монотерапии являются тетрада Фалло и транспозиция магистральных сосудов.</w:t>
      </w:r>
    </w:p>
    <w:p>
      <w:pPr>
        <w:pStyle w:val="Style30"/>
        <w:numPr>
          <w:ilvl w:val="0"/>
          <w:numId w:val="37"/>
        </w:numPr>
        <w:tabs>
          <w:tab w:leader="none" w:pos="239"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Препараты вальпроевой кислоты впервые были при</w:t>
        <w:softHyphen/>
        <w:t>менены в Европе в 1967 году и в Америке в 1978 году</w:t>
        <w:br w:type="column"/>
        <w:t>для лечения эпилепсии. По статистике каждый год около 11 500 беременных страдают эпилепсией. Мно</w:t>
        <w:softHyphen/>
        <w:t>гие из них употребляют препараты вальпроевой кис</w:t>
        <w:softHyphen/>
        <w:t>лоты. К 1980 году начали появляться данные исследо</w:t>
        <w:softHyphen/>
        <w:t xml:space="preserve">ваний о возникновении аномалий развития у детей, внутриутробно подвергшихся действию вальпроевой кислоты в дозе более 500 мг/сут. У детей выявлялись люмбосакральная </w:t>
      </w:r>
      <w:r>
        <w:rPr>
          <w:lang w:val="en-US" w:eastAsia="en-US" w:bidi="en-US"/>
          <w:w w:val="100"/>
          <w:spacing w:val="0"/>
          <w:color w:val="000000"/>
          <w:position w:val="0"/>
        </w:rPr>
        <w:t xml:space="preserve">spina bifida </w:t>
      </w:r>
      <w:r>
        <w:rPr>
          <w:lang w:val="ru-RU" w:eastAsia="ru-RU" w:bidi="ru-RU"/>
          <w:w w:val="100"/>
          <w:spacing w:val="0"/>
          <w:color w:val="000000"/>
          <w:position w:val="0"/>
        </w:rPr>
        <w:t>с менигомиелоцеле или менигоцеле, часто сопровождаемые гипоплазией ли</w:t>
        <w:softHyphen/>
        <w:t>ца, патологией орбит, врожденными пороками серд</w:t>
        <w:softHyphen/>
        <w:t>ца, и постнатальная задержка роста. Возможной при</w:t>
        <w:softHyphen/>
        <w:t>чиной возникновения тератогенного эффекта вальп- роевой кислоты является нарушение метаболизма фолата.</w:t>
      </w:r>
    </w:p>
    <w:p>
      <w:pPr>
        <w:pStyle w:val="Style30"/>
        <w:numPr>
          <w:ilvl w:val="0"/>
          <w:numId w:val="37"/>
        </w:numPr>
        <w:tabs>
          <w:tab w:leader="none" w:pos="239"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Производные вальпроевой кислоты (вальпроат на</w:t>
        <w:softHyphen/>
        <w:t xml:space="preserve">трия, конвулекс, депакин) — относительно новые противоэпилептические препараты. Применяемые в качестве монотерапии, вальпроаты имеют относи - тельный риск формирования врожденных пороков сердца, равный 3,7. Однако, если применять их в комбинации с другими антиконвульсантами, риск повышается до 5,1 </w:t>
      </w:r>
      <w:r>
        <w:rPr>
          <w:lang w:val="en-US" w:eastAsia="en-US" w:bidi="en-US"/>
          <w:w w:val="100"/>
          <w:spacing w:val="0"/>
          <w:color w:val="000000"/>
          <w:position w:val="0"/>
        </w:rPr>
        <w:t xml:space="preserve">(Pierpont M., </w:t>
      </w:r>
      <w:r>
        <w:rPr>
          <w:lang w:val="ru-RU" w:eastAsia="ru-RU" w:bidi="ru-RU"/>
          <w:w w:val="100"/>
          <w:spacing w:val="0"/>
          <w:color w:val="000000"/>
          <w:position w:val="0"/>
        </w:rPr>
        <w:t>1991).</w:t>
      </w:r>
    </w:p>
    <w:p>
      <w:pPr>
        <w:pStyle w:val="Style30"/>
        <w:numPr>
          <w:ilvl w:val="0"/>
          <w:numId w:val="37"/>
        </w:numPr>
        <w:tabs>
          <w:tab w:leader="none" w:pos="239"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Выделяют «фетальный вальпроатный синдром», ко</w:t>
        <w:softHyphen/>
        <w:t>торый включает множественные врожденные пороки развития наряду с малыми аномалиями развития. Са</w:t>
        <w:softHyphen/>
        <w:t>мыми часто встречающимися являются врожденные пороки сердца. Отмечено также, что частота стигм дизембриогенеза коррелирует с приемом вальпрое- вой кислоты в III триместре беременности, а частота врожденных пороков, и особенно врожденных поро</w:t>
        <w:softHyphen/>
        <w:t>ков сердца, — с назначением вальпроевой кислоты в I триместре беременности.</w:t>
      </w:r>
    </w:p>
    <w:p>
      <w:pPr>
        <w:pStyle w:val="Style30"/>
        <w:numPr>
          <w:ilvl w:val="0"/>
          <w:numId w:val="37"/>
        </w:numPr>
        <w:tabs>
          <w:tab w:leader="none" w:pos="239"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Таким образом, антиконвульсанты могут быть клас</w:t>
        <w:softHyphen/>
        <w:t>сифицированы по силе тератогенного эффекта следу</w:t>
        <w:softHyphen/>
        <w:t>ющим образом: наиболее сильным тератогеном, ве</w:t>
        <w:softHyphen/>
        <w:t>роятно, является триметадион (триметин). Но коли</w:t>
        <w:softHyphen/>
        <w:t>чества наблюдений недостаточно, чтобы статистиче</w:t>
        <w:softHyphen/>
        <w:t>ски подтвердить этот вывод. Далее следуют барбиту</w:t>
        <w:softHyphen/>
        <w:t>раты, вальпроевая кислота и, наконец, дифенилги</w:t>
        <w:softHyphen/>
        <w:t>дантоин. Тератогенное действие препаратов усилива</w:t>
        <w:softHyphen/>
        <w:t>ется, если они применяются в комбинации. Особен</w:t>
        <w:softHyphen/>
        <w:t>но сильным тератогенным эффектом обладают ком</w:t>
        <w:softHyphen/>
        <w:t>бинации барбитуратов с карбамазепином, вальпрое- вой кислоты с фенитоином.</w:t>
      </w:r>
    </w:p>
    <w:p>
      <w:pPr>
        <w:pStyle w:val="Style30"/>
        <w:numPr>
          <w:ilvl w:val="0"/>
          <w:numId w:val="37"/>
        </w:numPr>
        <w:tabs>
          <w:tab w:leader="none" w:pos="239"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 xml:space="preserve">Мерами профилактики тератогенного воздействия антиконвульсантов на плод являются </w:t>
      </w:r>
      <w:r>
        <w:rPr>
          <w:lang w:val="en-US" w:eastAsia="en-US" w:bidi="en-US"/>
          <w:w w:val="100"/>
          <w:spacing w:val="0"/>
          <w:color w:val="000000"/>
          <w:position w:val="0"/>
        </w:rPr>
        <w:t xml:space="preserve">(Lindhout D., Omtzigt J.G., </w:t>
      </w:r>
      <w:r>
        <w:rPr>
          <w:lang w:val="ru-RU" w:eastAsia="ru-RU" w:bidi="ru-RU"/>
          <w:w w:val="100"/>
          <w:spacing w:val="0"/>
          <w:color w:val="000000"/>
          <w:position w:val="0"/>
        </w:rPr>
        <w:t>1994):</w:t>
      </w:r>
    </w:p>
    <w:p>
      <w:pPr>
        <w:pStyle w:val="Style30"/>
        <w:numPr>
          <w:ilvl w:val="0"/>
          <w:numId w:val="39"/>
        </w:numPr>
        <w:tabs>
          <w:tab w:leader="none" w:pos="497" w:val="left"/>
        </w:tabs>
        <w:widowControl w:val="0"/>
        <w:keepNext w:val="0"/>
        <w:keepLines w:val="0"/>
        <w:shd w:val="clear" w:color="auto" w:fill="auto"/>
        <w:bidi w:val="0"/>
        <w:spacing w:before="0" w:after="0" w:line="211" w:lineRule="exact"/>
        <w:ind w:left="480" w:right="0" w:hanging="220"/>
      </w:pPr>
      <w:r>
        <w:rPr>
          <w:lang w:val="ru-RU" w:eastAsia="ru-RU" w:bidi="ru-RU"/>
          <w:w w:val="100"/>
          <w:spacing w:val="0"/>
          <w:color w:val="000000"/>
          <w:position w:val="0"/>
        </w:rPr>
        <w:t>применение антиконвульсантов во время беремен - ности строго по показаниям;</w:t>
      </w:r>
    </w:p>
    <w:p>
      <w:pPr>
        <w:pStyle w:val="Style30"/>
        <w:numPr>
          <w:ilvl w:val="0"/>
          <w:numId w:val="39"/>
        </w:numPr>
        <w:tabs>
          <w:tab w:leader="none" w:pos="497" w:val="left"/>
        </w:tabs>
        <w:widowControl w:val="0"/>
        <w:keepNext w:val="0"/>
        <w:keepLines w:val="0"/>
        <w:shd w:val="clear" w:color="auto" w:fill="auto"/>
        <w:bidi w:val="0"/>
        <w:spacing w:before="0" w:after="0" w:line="211" w:lineRule="exact"/>
        <w:ind w:left="480" w:right="0" w:hanging="220"/>
      </w:pPr>
      <w:r>
        <w:rPr>
          <w:lang w:val="ru-RU" w:eastAsia="ru-RU" w:bidi="ru-RU"/>
          <w:w w:val="100"/>
          <w:spacing w:val="0"/>
          <w:color w:val="000000"/>
          <w:position w:val="0"/>
        </w:rPr>
        <w:t>монотерапия (одним препаратом);</w:t>
      </w:r>
    </w:p>
    <w:p>
      <w:pPr>
        <w:pStyle w:val="Style30"/>
        <w:numPr>
          <w:ilvl w:val="0"/>
          <w:numId w:val="39"/>
        </w:numPr>
        <w:tabs>
          <w:tab w:leader="none" w:pos="497" w:val="left"/>
        </w:tabs>
        <w:widowControl w:val="0"/>
        <w:keepNext w:val="0"/>
        <w:keepLines w:val="0"/>
        <w:shd w:val="clear" w:color="auto" w:fill="auto"/>
        <w:bidi w:val="0"/>
        <w:spacing w:before="0" w:after="0" w:line="211" w:lineRule="exact"/>
        <w:ind w:left="480" w:right="0" w:hanging="220"/>
      </w:pPr>
      <w:r>
        <w:rPr>
          <w:lang w:val="ru-RU" w:eastAsia="ru-RU" w:bidi="ru-RU"/>
          <w:w w:val="100"/>
          <w:spacing w:val="0"/>
          <w:color w:val="000000"/>
          <w:position w:val="0"/>
        </w:rPr>
        <w:t>строгий подбор дозировки: назначается не средняя терапевтическая доза, а индивидуально подобран</w:t>
        <w:softHyphen/>
        <w:t>ная минимальная терапевтическая. При этом осу</w:t>
        <w:softHyphen/>
        <w:t>ществляется «титр дозы по клиническому эффек</w:t>
        <w:softHyphen/>
        <w:t>ту»;</w:t>
      </w:r>
    </w:p>
    <w:p>
      <w:pPr>
        <w:pStyle w:val="Style30"/>
        <w:numPr>
          <w:ilvl w:val="0"/>
          <w:numId w:val="39"/>
        </w:numPr>
        <w:tabs>
          <w:tab w:leader="none" w:pos="497" w:val="left"/>
        </w:tabs>
        <w:widowControl w:val="0"/>
        <w:keepNext w:val="0"/>
        <w:keepLines w:val="0"/>
        <w:shd w:val="clear" w:color="auto" w:fill="auto"/>
        <w:bidi w:val="0"/>
        <w:spacing w:before="0" w:after="0" w:line="211" w:lineRule="exact"/>
        <w:ind w:left="480" w:right="0" w:hanging="220"/>
      </w:pPr>
      <w:r>
        <w:rPr>
          <w:lang w:val="ru-RU" w:eastAsia="ru-RU" w:bidi="ru-RU"/>
          <w:w w:val="100"/>
          <w:spacing w:val="0"/>
          <w:color w:val="000000"/>
          <w:position w:val="0"/>
        </w:rPr>
        <w:t>суточная доза препарата делится на возможно большее количество приемов (не менее 3);</w:t>
      </w:r>
    </w:p>
    <w:p>
      <w:pPr>
        <w:pStyle w:val="Style30"/>
        <w:numPr>
          <w:ilvl w:val="0"/>
          <w:numId w:val="39"/>
        </w:numPr>
        <w:tabs>
          <w:tab w:leader="none" w:pos="497" w:val="left"/>
        </w:tabs>
        <w:widowControl w:val="0"/>
        <w:keepNext w:val="0"/>
        <w:keepLines w:val="0"/>
        <w:shd w:val="clear" w:color="auto" w:fill="auto"/>
        <w:bidi w:val="0"/>
        <w:spacing w:before="0" w:after="0" w:line="211" w:lineRule="exact"/>
        <w:ind w:left="480" w:right="0" w:hanging="220"/>
      </w:pPr>
      <w:r>
        <w:rPr>
          <w:lang w:val="ru-RU" w:eastAsia="ru-RU" w:bidi="ru-RU"/>
          <w:w w:val="100"/>
          <w:spacing w:val="0"/>
          <w:color w:val="000000"/>
          <w:position w:val="0"/>
        </w:rPr>
        <w:t>назначение фолатов (фоламин, фолвит, цитофол и т.п.) в дозе 4-5 мг/сут одновременно с терапией антиконвульсантами снижает риск развития врож</w:t>
        <w:softHyphen/>
        <w:t>денного порока сердца. Прямым показанием для назначения фолатов является наличие у сиблингов врожденных пороков сердца.</w:t>
      </w:r>
      <w:r>
        <w:br w:type="page"/>
      </w:r>
    </w:p>
    <w:p>
      <w:pPr>
        <w:pStyle w:val="Style30"/>
        <w:numPr>
          <w:ilvl w:val="0"/>
          <w:numId w:val="37"/>
        </w:numPr>
        <w:tabs>
          <w:tab w:leader="none" w:pos="517" w:val="left"/>
        </w:tabs>
        <w:widowControl w:val="0"/>
        <w:keepNext w:val="0"/>
        <w:keepLines w:val="0"/>
        <w:shd w:val="clear" w:color="auto" w:fill="auto"/>
        <w:bidi w:val="0"/>
        <w:spacing w:before="0" w:after="245"/>
        <w:ind w:left="500" w:right="0" w:hanging="220"/>
      </w:pPr>
      <w:r>
        <w:rPr>
          <w:lang w:val="ru-RU" w:eastAsia="ru-RU" w:bidi="ru-RU"/>
          <w:w w:val="100"/>
          <w:spacing w:val="0"/>
          <w:color w:val="000000"/>
          <w:position w:val="0"/>
        </w:rPr>
        <w:t>Риск развития порока сердца у ребенка значительно повышается, если концентрация антиконвульсанта (а особенно нескольких препаратов данной группы при политерапии) в сыворотке крови у матери имеет резкие пики в течение дня.</w:t>
      </w:r>
    </w:p>
    <w:p>
      <w:pPr>
        <w:pStyle w:val="Style54"/>
        <w:widowControl w:val="0"/>
        <w:keepNext/>
        <w:keepLines/>
        <w:shd w:val="clear" w:color="auto" w:fill="auto"/>
        <w:bidi w:val="0"/>
        <w:jc w:val="left"/>
        <w:spacing w:before="0" w:after="49" w:line="210" w:lineRule="exact"/>
        <w:ind w:left="0" w:right="0" w:firstLine="0"/>
      </w:pPr>
      <w:bookmarkStart w:id="279" w:name="bookmark279"/>
      <w:r>
        <w:rPr>
          <w:lang w:val="ru-RU" w:eastAsia="ru-RU" w:bidi="ru-RU"/>
          <w:w w:val="100"/>
          <w:spacing w:val="0"/>
          <w:color w:val="000000"/>
          <w:position w:val="0"/>
        </w:rPr>
        <w:t>Талидомид</w:t>
      </w:r>
      <w:bookmarkEnd w:id="279"/>
    </w:p>
    <w:p>
      <w:pPr>
        <w:pStyle w:val="Style30"/>
        <w:numPr>
          <w:ilvl w:val="0"/>
          <w:numId w:val="3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Талидомид поступил в продажу в 1956 году и приме</w:t>
        <w:softHyphen/>
        <w:t>нялся в качестве несильного седативного препарата для предотвращения рвоты и тошноты у беременных. Позднее, в 1961 году, он был запрещен к примене</w:t>
        <w:softHyphen/>
        <w:t>нию, поскольку выяснилось его тератогенное дей</w:t>
        <w:softHyphen/>
        <w:t>ствие. Практически однократное применение тали- домида может вызвать пороки развития у плода. От воздействия талидомида пострадало как минимум 5 000-7 000 детей, матери которых употребляли пре</w:t>
        <w:softHyphen/>
        <w:t>парат во время беременности.</w:t>
      </w:r>
    </w:p>
    <w:p>
      <w:pPr>
        <w:pStyle w:val="Style30"/>
        <w:numPr>
          <w:ilvl w:val="0"/>
          <w:numId w:val="3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Воздействие талидомида на плод может быть различ</w:t>
        <w:softHyphen/>
        <w:t>ным: у одних он вызывает пороки развития желудоч</w:t>
        <w:softHyphen/>
        <w:t>но-кишечного тракта, у других — дефекты слуха, от</w:t>
        <w:softHyphen/>
        <w:t>сутствие ушей и/или аномалии развития глаз и почек. Но наиболее известно возникновение фокомелии — тяжелой мальформации конечностей, при которой длинные пястные кости либо значительно уменьше</w:t>
        <w:softHyphen/>
        <w:t>ны по длине, либо полностью отсутствуют. Случаи фокомелии были зарегистрированы во многих клини</w:t>
        <w:softHyphen/>
        <w:t>ках Германии, где талидомид применялся с конца 1950-х идо 1960-х годов. Наибольшее количество слу</w:t>
        <w:softHyphen/>
        <w:t>чаев было зарегистрировано в 1962 году. После 1963 года случаев рождения детей с фокомелией не было.</w:t>
      </w:r>
    </w:p>
    <w:p>
      <w:pPr>
        <w:pStyle w:val="Style30"/>
        <w:numPr>
          <w:ilvl w:val="0"/>
          <w:numId w:val="3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Дальнейшие исследования показали, что талидомид вызывает пороки развития не только у человека, но и у животных, причем спектр пороков сходен.</w:t>
      </w:r>
    </w:p>
    <w:p>
      <w:pPr>
        <w:pStyle w:val="Style30"/>
        <w:numPr>
          <w:ilvl w:val="0"/>
          <w:numId w:val="3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Относительно патогенеза действия талидомида было предложено множество гипотез, однако истинный механизм остается невыясненным. Одна из теорий предполагает воздействие непосредственно на нерв</w:t>
        <w:softHyphen/>
        <w:t>ные клетки, другая подразумевает патогенное дей</w:t>
        <w:softHyphen/>
        <w:t>ствие непосредственно на зачатки конечностей, тре</w:t>
        <w:softHyphen/>
        <w:t>тья — уменьшение размеров ганглиев, в результате чего замедляется рост конечностей, поскольку рост ткани напрямую зависит от иннервации, четвертая — нарушение взаимодействия клетка-клетка и сниже</w:t>
        <w:softHyphen/>
        <w:t>ние количества молекул клеточной адгезии, что дела</w:t>
        <w:softHyphen/>
        <w:t>ет рост конечностей невозможным.</w:t>
      </w:r>
    </w:p>
    <w:p>
      <w:pPr>
        <w:pStyle w:val="Style30"/>
        <w:numPr>
          <w:ilvl w:val="0"/>
          <w:numId w:val="3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Талидомид является мощным кардиоваскулярным тератогеном. При этом тератогенное воздействие та- лидомида не подчиняется закону «все или ничего». Если у ребенка нет аномалий конечностей, относи</w:t>
        <w:softHyphen/>
        <w:t xml:space="preserve">тельный риск формирования врожденного порока сердца равен 9,4 </w:t>
      </w:r>
      <w:r>
        <w:rPr>
          <w:lang w:val="en-US" w:eastAsia="en-US" w:bidi="en-US"/>
          <w:w w:val="100"/>
          <w:spacing w:val="0"/>
          <w:color w:val="000000"/>
          <w:position w:val="0"/>
        </w:rPr>
        <w:t xml:space="preserve">(Lenz W., Knapp K.,1962). </w:t>
      </w:r>
      <w:r>
        <w:rPr>
          <w:lang w:val="ru-RU" w:eastAsia="ru-RU" w:bidi="ru-RU"/>
          <w:w w:val="100"/>
          <w:spacing w:val="0"/>
          <w:color w:val="000000"/>
          <w:position w:val="0"/>
        </w:rPr>
        <w:t>Среди де</w:t>
        <w:softHyphen/>
        <w:t>тей с проявлениями редукционных деформаций ко</w:t>
        <w:softHyphen/>
        <w:t>нечностей частота выявления врожденных пороков сердца составляет в среднем 35%.</w:t>
      </w:r>
    </w:p>
    <w:p>
      <w:pPr>
        <w:pStyle w:val="Style30"/>
        <w:numPr>
          <w:ilvl w:val="0"/>
          <w:numId w:val="3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общей сложности на основании 1244 наблюдений за беременными, подвергшимися воздействию ле</w:t>
        <w:softHyphen/>
        <w:t xml:space="preserve">карства, относительный риск формирования пороков сердца у детей составил 19,6 (частота 13,3%) </w:t>
      </w:r>
      <w:r>
        <w:rPr>
          <w:lang w:val="en-US" w:eastAsia="en-US" w:bidi="en-US"/>
          <w:w w:val="100"/>
          <w:spacing w:val="0"/>
          <w:color w:val="000000"/>
          <w:position w:val="0"/>
        </w:rPr>
        <w:t xml:space="preserve">(Pierpont M.,1986). </w:t>
      </w:r>
      <w:r>
        <w:rPr>
          <w:lang w:val="ru-RU" w:eastAsia="ru-RU" w:bidi="ru-RU"/>
          <w:w w:val="100"/>
          <w:spacing w:val="0"/>
          <w:color w:val="000000"/>
          <w:position w:val="0"/>
        </w:rPr>
        <w:t>В спектре выявляемых кардиаль</w:t>
        <w:softHyphen/>
        <w:t>ных аномалий чаще всего встречается тетрада Фалло и открытый артериальный проток.</w:t>
      </w:r>
    </w:p>
    <w:p>
      <w:pPr>
        <w:pStyle w:val="Style54"/>
        <w:widowControl w:val="0"/>
        <w:keepNext/>
        <w:keepLines/>
        <w:shd w:val="clear" w:color="auto" w:fill="auto"/>
        <w:bidi w:val="0"/>
        <w:jc w:val="left"/>
        <w:spacing w:before="0" w:after="0" w:line="210" w:lineRule="exact"/>
        <w:ind w:left="0" w:right="0" w:firstLine="0"/>
      </w:pPr>
      <w:r>
        <w:br w:type="column"/>
      </w:r>
      <w:bookmarkStart w:id="280" w:name="bookmark280"/>
      <w:r>
        <w:rPr>
          <w:lang w:val="ru-RU" w:eastAsia="ru-RU" w:bidi="ru-RU"/>
          <w:w w:val="100"/>
          <w:spacing w:val="0"/>
          <w:color w:val="000000"/>
          <w:position w:val="0"/>
        </w:rPr>
        <w:t>Гормональные препараты</w:t>
      </w:r>
      <w:bookmarkEnd w:id="280"/>
    </w:p>
    <w:p>
      <w:pPr>
        <w:pStyle w:val="Style30"/>
        <w:numPr>
          <w:ilvl w:val="0"/>
          <w:numId w:val="37"/>
        </w:numPr>
        <w:tabs>
          <w:tab w:leader="none" w:pos="495" w:val="left"/>
        </w:tabs>
        <w:widowControl w:val="0"/>
        <w:keepNext w:val="0"/>
        <w:keepLines w:val="0"/>
        <w:shd w:val="clear" w:color="auto" w:fill="auto"/>
        <w:bidi w:val="0"/>
        <w:spacing w:before="0" w:after="0" w:line="211" w:lineRule="exact"/>
        <w:ind w:left="500" w:right="0" w:hanging="240"/>
      </w:pPr>
      <w:r>
        <w:rPr>
          <w:lang w:val="ru-RU" w:eastAsia="ru-RU" w:bidi="ru-RU"/>
          <w:w w:val="100"/>
          <w:spacing w:val="0"/>
          <w:color w:val="000000"/>
          <w:position w:val="0"/>
        </w:rPr>
        <w:t>Среди 2324 случаев употребления гормональных пре</w:t>
        <w:softHyphen/>
        <w:t>паратов (женские половые гормоны, инсулин, корти</w:t>
        <w:softHyphen/>
        <w:t>костероиды) во время беременности выявлено 32 ре</w:t>
        <w:softHyphen/>
        <w:t>бенка с врожденными пороками сердца (относитель</w:t>
        <w:softHyphen/>
        <w:t xml:space="preserve">ный риск 2,0) </w:t>
      </w:r>
      <w:r>
        <w:rPr>
          <w:lang w:val="en-US" w:eastAsia="en-US" w:bidi="en-US"/>
          <w:w w:val="100"/>
          <w:spacing w:val="0"/>
          <w:color w:val="000000"/>
          <w:position w:val="0"/>
        </w:rPr>
        <w:t xml:space="preserve">(Pierpont M., </w:t>
      </w:r>
      <w:r>
        <w:rPr>
          <w:lang w:val="ru-RU" w:eastAsia="ru-RU" w:bidi="ru-RU"/>
          <w:w w:val="100"/>
          <w:spacing w:val="0"/>
          <w:color w:val="000000"/>
          <w:position w:val="0"/>
        </w:rPr>
        <w:t>1986). Относительный риск формирования врожденных пороков сердца под влиянием женских половых гормонов в первые четы</w:t>
        <w:softHyphen/>
        <w:t xml:space="preserve">ре месяца беременности составляет от 2,33 до 3,5 </w:t>
      </w:r>
      <w:r>
        <w:rPr>
          <w:lang w:val="en-US" w:eastAsia="en-US" w:bidi="en-US"/>
          <w:w w:val="100"/>
          <w:spacing w:val="0"/>
          <w:color w:val="000000"/>
          <w:position w:val="0"/>
        </w:rPr>
        <w:t xml:space="preserve">(Hook E.B., </w:t>
      </w:r>
      <w:r>
        <w:rPr>
          <w:lang w:val="ru-RU" w:eastAsia="ru-RU" w:bidi="ru-RU"/>
          <w:w w:val="100"/>
          <w:spacing w:val="0"/>
          <w:color w:val="000000"/>
          <w:position w:val="0"/>
        </w:rPr>
        <w:t>1992). Спектр выявленных кардиальных аномалий не отличается от общепопуляционного, поэтому тератогенное воздействие этих гормонов можно считать неспецифичным.</w:t>
      </w:r>
    </w:p>
    <w:p>
      <w:pPr>
        <w:pStyle w:val="Style30"/>
        <w:numPr>
          <w:ilvl w:val="0"/>
          <w:numId w:val="37"/>
        </w:numPr>
        <w:tabs>
          <w:tab w:leader="none" w:pos="495" w:val="left"/>
        </w:tabs>
        <w:widowControl w:val="0"/>
        <w:keepNext w:val="0"/>
        <w:keepLines w:val="0"/>
        <w:shd w:val="clear" w:color="auto" w:fill="auto"/>
        <w:bidi w:val="0"/>
        <w:spacing w:before="0" w:after="0" w:line="211" w:lineRule="exact"/>
        <w:ind w:left="500" w:right="0" w:hanging="240"/>
      </w:pPr>
      <w:r>
        <w:rPr>
          <w:lang w:val="ru-RU" w:eastAsia="ru-RU" w:bidi="ru-RU"/>
          <w:w w:val="100"/>
          <w:spacing w:val="0"/>
          <w:color w:val="000000"/>
          <w:position w:val="0"/>
        </w:rPr>
        <w:t>Тератогенное влияние оральных контрацептивов во время беременности исследовалось у 2592 женщин. От</w:t>
        <w:softHyphen/>
        <w:t>носительный риск возникновения врожденных анома</w:t>
        <w:softHyphen/>
        <w:t>лий со стороны сердечно-сосудистой системы составил 1,1. Наиболее сильное влияние на сердечно-сосудис</w:t>
        <w:softHyphen/>
        <w:t>тую систему плода оказывает диэтилстилбестрол, кото - рый известен также тератогенным и канцерогенным действием на урогенительную систему плода. Стан</w:t>
        <w:softHyphen/>
        <w:t>дартный относительный риск возникновения врож</w:t>
        <w:softHyphen/>
        <w:t>денного порока сердца у плода в случае его применения равен 3,9. В среднем же риск возникновения врожден</w:t>
        <w:softHyphen/>
        <w:t>ного порока сердца у ребенка при использовании эст</w:t>
        <w:softHyphen/>
        <w:t xml:space="preserve">рогенов в качестве оральных контрацептивов (чаще всего при ошибочном применении препарата в период беременности) равен 2,4 </w:t>
      </w:r>
      <w:r>
        <w:rPr>
          <w:lang w:val="en-US" w:eastAsia="en-US" w:bidi="en-US"/>
          <w:w w:val="100"/>
          <w:spacing w:val="0"/>
          <w:color w:val="000000"/>
          <w:position w:val="0"/>
        </w:rPr>
        <w:t xml:space="preserve">(Pierpont M., </w:t>
      </w:r>
      <w:r>
        <w:rPr>
          <w:lang w:val="ru-RU" w:eastAsia="ru-RU" w:bidi="ru-RU"/>
          <w:w w:val="100"/>
          <w:spacing w:val="0"/>
          <w:color w:val="000000"/>
          <w:position w:val="0"/>
        </w:rPr>
        <w:t>1986).</w:t>
      </w:r>
    </w:p>
    <w:p>
      <w:pPr>
        <w:pStyle w:val="Style30"/>
        <w:numPr>
          <w:ilvl w:val="0"/>
          <w:numId w:val="37"/>
        </w:numPr>
        <w:tabs>
          <w:tab w:leader="none" w:pos="495" w:val="left"/>
        </w:tabs>
        <w:widowControl w:val="0"/>
        <w:keepNext w:val="0"/>
        <w:keepLines w:val="0"/>
        <w:shd w:val="clear" w:color="auto" w:fill="auto"/>
        <w:bidi w:val="0"/>
        <w:spacing w:before="0" w:after="0" w:line="211" w:lineRule="exact"/>
        <w:ind w:left="500" w:right="0" w:hanging="240"/>
      </w:pPr>
      <w:r>
        <w:rPr>
          <w:lang w:val="ru-RU" w:eastAsia="ru-RU" w:bidi="ru-RU"/>
          <w:w w:val="100"/>
          <w:spacing w:val="0"/>
          <w:color w:val="000000"/>
          <w:position w:val="0"/>
        </w:rPr>
        <w:t xml:space="preserve">По наблюдениям </w:t>
      </w:r>
      <w:r>
        <w:rPr>
          <w:lang w:val="en-US" w:eastAsia="en-US" w:bidi="en-US"/>
          <w:w w:val="100"/>
          <w:spacing w:val="0"/>
          <w:color w:val="000000"/>
          <w:position w:val="0"/>
        </w:rPr>
        <w:t xml:space="preserve">Schardein J.L. </w:t>
      </w:r>
      <w:r>
        <w:rPr>
          <w:lang w:val="ru-RU" w:eastAsia="ru-RU" w:bidi="ru-RU"/>
          <w:w w:val="100"/>
          <w:spacing w:val="0"/>
          <w:color w:val="000000"/>
          <w:position w:val="0"/>
        </w:rPr>
        <w:t>(1976), очень силь</w:t>
        <w:softHyphen/>
        <w:t>ным тератогенным воздействием на плод отличается комбинация контрацептивов норэтинодрел (инфе- кундин)+ эстрадиол.</w:t>
      </w:r>
    </w:p>
    <w:p>
      <w:pPr>
        <w:pStyle w:val="Style30"/>
        <w:numPr>
          <w:ilvl w:val="0"/>
          <w:numId w:val="37"/>
        </w:numPr>
        <w:tabs>
          <w:tab w:leader="none" w:pos="495" w:val="left"/>
        </w:tabs>
        <w:widowControl w:val="0"/>
        <w:keepNext w:val="0"/>
        <w:keepLines w:val="0"/>
        <w:shd w:val="clear" w:color="auto" w:fill="auto"/>
        <w:bidi w:val="0"/>
        <w:spacing w:before="0" w:after="0" w:line="211" w:lineRule="exact"/>
        <w:ind w:left="500" w:right="0" w:hanging="240"/>
      </w:pPr>
      <w:r>
        <w:rPr>
          <w:lang w:val="ru-RU" w:eastAsia="ru-RU" w:bidi="ru-RU"/>
          <w:w w:val="100"/>
          <w:spacing w:val="0"/>
          <w:color w:val="000000"/>
          <w:position w:val="0"/>
        </w:rPr>
        <w:t>Что касается прогестагенов, то их тератогенность весьма спорна. Однако большинство исследований все же склоняются к тератогенности данных препара</w:t>
        <w:softHyphen/>
        <w:t xml:space="preserve">тов </w:t>
      </w:r>
      <w:r>
        <w:rPr>
          <w:lang w:val="en-US" w:eastAsia="en-US" w:bidi="en-US"/>
          <w:w w:val="100"/>
          <w:spacing w:val="0"/>
          <w:color w:val="000000"/>
          <w:position w:val="0"/>
        </w:rPr>
        <w:t xml:space="preserve">(Rothmann K.J. et al., </w:t>
      </w:r>
      <w:r>
        <w:rPr>
          <w:lang w:val="ru-RU" w:eastAsia="ru-RU" w:bidi="ru-RU"/>
          <w:w w:val="100"/>
          <w:spacing w:val="0"/>
          <w:color w:val="000000"/>
          <w:position w:val="0"/>
        </w:rPr>
        <w:t>1979).</w:t>
      </w:r>
    </w:p>
    <w:p>
      <w:pPr>
        <w:pStyle w:val="Style30"/>
        <w:numPr>
          <w:ilvl w:val="0"/>
          <w:numId w:val="37"/>
        </w:numPr>
        <w:tabs>
          <w:tab w:leader="none" w:pos="495" w:val="left"/>
        </w:tabs>
        <w:widowControl w:val="0"/>
        <w:keepNext w:val="0"/>
        <w:keepLines w:val="0"/>
        <w:shd w:val="clear" w:color="auto" w:fill="auto"/>
        <w:bidi w:val="0"/>
        <w:spacing w:before="0" w:after="0" w:line="211" w:lineRule="exact"/>
        <w:ind w:left="500" w:right="0" w:hanging="240"/>
      </w:pPr>
      <w:r>
        <w:rPr>
          <w:lang w:val="ru-RU" w:eastAsia="ru-RU" w:bidi="ru-RU"/>
          <w:w w:val="100"/>
          <w:spacing w:val="0"/>
          <w:color w:val="000000"/>
          <w:position w:val="0"/>
        </w:rPr>
        <w:t>Диэтилстилбестрол назначался в период 1940-1970 го</w:t>
        <w:softHyphen/>
        <w:t>дов для предотвращения прерывания беременности у женщин с высоким риском спонтанных выкидышей. Препарат увеличивает синтез эстрогена и прогестеро</w:t>
        <w:softHyphen/>
        <w:t>на плацентой. В середине 1970-х годов выяснилось, что у женщин в возрасте 16-20 лет, принимавших диэ- тилстилбестрол на ранних сроках беременности, рож</w:t>
        <w:softHyphen/>
        <w:t>денные девочки страдали аденокарциномой влагали</w:t>
        <w:softHyphen/>
        <w:t>ща. По меньшей мере 1 из 1000 беременных принима</w:t>
        <w:softHyphen/>
        <w:t>ла препарат, и у 75% из них рожденные девочки стра</w:t>
        <w:softHyphen/>
        <w:t>дали вагинальной или цервикальной карциномой, а также другими генитальными аномалиями. Плоды мужского пола имели анималию развития гениталий.</w:t>
      </w:r>
    </w:p>
    <w:p>
      <w:pPr>
        <w:pStyle w:val="Style30"/>
        <w:numPr>
          <w:ilvl w:val="0"/>
          <w:numId w:val="37"/>
        </w:numPr>
        <w:tabs>
          <w:tab w:leader="none" w:pos="495" w:val="left"/>
        </w:tabs>
        <w:widowControl w:val="0"/>
        <w:keepNext w:val="0"/>
        <w:keepLines w:val="0"/>
        <w:shd w:val="clear" w:color="auto" w:fill="auto"/>
        <w:bidi w:val="0"/>
        <w:spacing w:before="0" w:after="0" w:line="211" w:lineRule="exact"/>
        <w:ind w:left="500" w:right="0" w:hanging="240"/>
      </w:pPr>
      <w:r>
        <w:rPr>
          <w:lang w:val="ru-RU" w:eastAsia="ru-RU" w:bidi="ru-RU"/>
          <w:w w:val="100"/>
          <w:spacing w:val="0"/>
          <w:color w:val="000000"/>
          <w:position w:val="0"/>
        </w:rPr>
        <w:t>Кортикостероиды, которые, по данным исследова</w:t>
        <w:softHyphen/>
        <w:t>ний на животных, являются выраженными химичес</w:t>
        <w:softHyphen/>
        <w:t xml:space="preserve">кими тератогенами, практически оказывают очень слабый эффект на человека (относительный риск формирования врожденного порока сердца у ребенка равен 1,6) </w:t>
      </w:r>
      <w:r>
        <w:rPr>
          <w:lang w:val="en-US" w:eastAsia="en-US" w:bidi="en-US"/>
          <w:w w:val="100"/>
          <w:spacing w:val="0"/>
          <w:color w:val="000000"/>
          <w:position w:val="0"/>
        </w:rPr>
        <w:t>(Shardein J.L.,1976).</w:t>
      </w:r>
    </w:p>
    <w:p>
      <w:pPr>
        <w:pStyle w:val="Style30"/>
        <w:numPr>
          <w:ilvl w:val="0"/>
          <w:numId w:val="37"/>
        </w:numPr>
        <w:tabs>
          <w:tab w:leader="none" w:pos="495" w:val="left"/>
        </w:tabs>
        <w:widowControl w:val="0"/>
        <w:keepNext w:val="0"/>
        <w:keepLines w:val="0"/>
        <w:shd w:val="clear" w:color="auto" w:fill="auto"/>
        <w:bidi w:val="0"/>
        <w:spacing w:before="0" w:after="0" w:line="211" w:lineRule="exact"/>
        <w:ind w:left="500" w:right="0" w:hanging="240"/>
        <w:sectPr>
          <w:pgSz w:w="11900" w:h="16840"/>
          <w:pgMar w:top="1340" w:left="1012" w:right="999" w:bottom="1675" w:header="0" w:footer="3" w:gutter="0"/>
          <w:rtlGutter w:val="0"/>
          <w:cols w:num="2" w:space="262"/>
          <w:noEndnote/>
          <w:docGrid w:linePitch="360"/>
        </w:sectPr>
      </w:pPr>
      <w:r>
        <w:pict>
          <v:shape id="_x0000_s1132" type="#_x0000_t75" style="position:absolute;margin-left:136.55pt;margin-top:740.2pt;width:209.75pt;height:14.9pt;z-index:-125829322;mso-wrap-distance-left:136.3pt;mso-wrap-distance-right:148.1pt;mso-wrap-distance-bottom:20.pt;mso-position-horizontal-relative:margin;mso-position-vertical-relative:margin" wrapcoords="0 0 21600 0 21600 21600 0 21600 0 0">
            <v:imagedata r:id="rId176" r:href="rId177"/>
            <w10:wrap type="topAndBottom" anchorx="margin" anchory="margin"/>
          </v:shape>
        </w:pict>
      </w:r>
      <w:r>
        <w:rPr>
          <w:lang w:val="ru-RU" w:eastAsia="ru-RU" w:bidi="ru-RU"/>
          <w:w w:val="100"/>
          <w:spacing w:val="0"/>
          <w:color w:val="000000"/>
          <w:position w:val="0"/>
        </w:rPr>
        <w:t>Тератогенное действие инсулина на сердечно-сосудис</w:t>
        <w:softHyphen/>
        <w:t xml:space="preserve">тую систему плода исследовалось у </w:t>
      </w:r>
      <w:r>
        <w:rPr>
          <w:lang w:val="en-US" w:eastAsia="en-US" w:bidi="en-US"/>
          <w:w w:val="100"/>
          <w:spacing w:val="0"/>
          <w:color w:val="000000"/>
          <w:position w:val="0"/>
        </w:rPr>
        <w:t xml:space="preserve">255 </w:t>
      </w:r>
      <w:r>
        <w:rPr>
          <w:lang w:val="ru-RU" w:eastAsia="ru-RU" w:bidi="ru-RU"/>
          <w:w w:val="100"/>
          <w:spacing w:val="0"/>
          <w:color w:val="000000"/>
          <w:position w:val="0"/>
        </w:rPr>
        <w:t>беременных. Относительный риск возникновения врожденного по</w:t>
        <w:softHyphen/>
        <w:t>рока сердца у ребенка при этом составил 2,7. Однако интерпретировать эти данные следует крайне осторож</w:t>
        <w:softHyphen/>
        <w:t xml:space="preserve">но, т.к. необходимо учитывать и тератогенный эффект сахарного диабета у матери </w:t>
      </w:r>
      <w:r>
        <w:rPr>
          <w:lang w:val="en-US" w:eastAsia="en-US" w:bidi="en-US"/>
          <w:w w:val="100"/>
          <w:spacing w:val="0"/>
          <w:color w:val="000000"/>
          <w:position w:val="0"/>
        </w:rPr>
        <w:t xml:space="preserve">(Coetzee E.J. et al., </w:t>
      </w:r>
      <w:r>
        <w:rPr>
          <w:lang w:val="ru-RU" w:eastAsia="ru-RU" w:bidi="ru-RU"/>
          <w:w w:val="100"/>
          <w:spacing w:val="0"/>
          <w:color w:val="000000"/>
          <w:position w:val="0"/>
        </w:rPr>
        <w:t>1980).</w:t>
      </w:r>
    </w:p>
    <w:p>
      <w:pPr>
        <w:pStyle w:val="Style112"/>
        <w:widowControl w:val="0"/>
        <w:keepNext/>
        <w:keepLines/>
        <w:shd w:val="clear" w:color="auto" w:fill="auto"/>
        <w:bidi w:val="0"/>
        <w:jc w:val="left"/>
        <w:spacing w:before="0" w:after="0"/>
        <w:ind w:left="0" w:right="2120" w:firstLine="0"/>
      </w:pPr>
      <w:bookmarkStart w:id="281" w:name="bookmark281"/>
      <w:r>
        <w:rPr>
          <w:lang w:val="ru-RU" w:eastAsia="ru-RU" w:bidi="ru-RU"/>
          <w:rFonts w:ascii="Microsoft Sans Serif" w:eastAsia="Microsoft Sans Serif" w:hAnsi="Microsoft Sans Serif" w:cs="Microsoft Sans Serif"/>
          <w:w w:val="100"/>
          <w:spacing w:val="0"/>
          <w:color w:val="000000"/>
          <w:position w:val="0"/>
        </w:rPr>
        <w:t>Глава II. Врожденные пороки сердца Ретиноловая кислота</w:t>
      </w:r>
      <w:bookmarkEnd w:id="281"/>
    </w:p>
    <w:p>
      <w:pPr>
        <w:pStyle w:val="Style30"/>
        <w:numPr>
          <w:ilvl w:val="0"/>
          <w:numId w:val="37"/>
        </w:numPr>
        <w:tabs>
          <w:tab w:leader="none" w:pos="51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Ретиноловая кислота является тератогеном для чело - века уже в очень низких дозах. Наиболее критичес</w:t>
        <w:softHyphen/>
        <w:t>кий период для тератогенного воздействия — 3-5 не</w:t>
        <w:softHyphen/>
        <w:t>дель беременности. Часто в этот период женщина еще не знает о беременности. Воздействие ретиноло- вой кислоты во время беременности может приво</w:t>
        <w:softHyphen/>
        <w:t>дить к следующим аномалиям развития плода: кра</w:t>
        <w:softHyphen/>
        <w:t>ниофациальные дисплазии, расщепление неба, де</w:t>
        <w:softHyphen/>
        <w:t>фект нервной трубки, сердечно-сосудистые анома</w:t>
        <w:softHyphen/>
        <w:t>лии, аплазия тимуса, умственная отсталость, отсут</w:t>
        <w:softHyphen/>
        <w:t>ствие или аномалия развития ушей, поражение по</w:t>
        <w:softHyphen/>
        <w:t xml:space="preserve">чек. 50% пораженных детей имеют коэффициент </w:t>
      </w:r>
      <w:r>
        <w:rPr>
          <w:lang w:val="en-US" w:eastAsia="en-US" w:bidi="en-US"/>
          <w:w w:val="100"/>
          <w:spacing w:val="0"/>
          <w:color w:val="000000"/>
          <w:position w:val="0"/>
        </w:rPr>
        <w:t xml:space="preserve">IQ </w:t>
      </w:r>
      <w:r>
        <w:rPr>
          <w:lang w:val="ru-RU" w:eastAsia="ru-RU" w:bidi="ru-RU"/>
          <w:w w:val="100"/>
          <w:spacing w:val="0"/>
          <w:color w:val="000000"/>
          <w:position w:val="0"/>
        </w:rPr>
        <w:t>менее 85 (нормальные значения — 100-110).</w:t>
      </w:r>
    </w:p>
    <w:p>
      <w:pPr>
        <w:pStyle w:val="Style30"/>
        <w:numPr>
          <w:ilvl w:val="0"/>
          <w:numId w:val="37"/>
        </w:numPr>
        <w:tabs>
          <w:tab w:leader="none" w:pos="51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Ретиноловая кислота является активным ингредиен</w:t>
        <w:softHyphen/>
        <w:t>том в препарате «Аккутан». Препарат используется для лечения прыщей. После первого представления препарата в 1982 году около 160 000 женщин детород</w:t>
        <w:softHyphen/>
        <w:t>ного возраста воспользовались им. В 1982-1987 годах было рождено 900-1300 детей с пороками развития, произошло 700-1000 спонтанных абортов и 5000-7000 было сделано у использовавших «Аккутан». Дети, подвергшиеся действию данного препарата, имели гидроцефалию, аномалии ушей, сердечно-сосудистые нарушения и снижение интеллекта. Полученные дан</w:t>
        <w:softHyphen/>
        <w:t>ные позволили считать этот препарат тератогеном.</w:t>
      </w:r>
    </w:p>
    <w:p>
      <w:pPr>
        <w:pStyle w:val="Style30"/>
        <w:numPr>
          <w:ilvl w:val="0"/>
          <w:numId w:val="37"/>
        </w:numPr>
        <w:tabs>
          <w:tab w:leader="none" w:pos="519" w:val="left"/>
        </w:tabs>
        <w:widowControl w:val="0"/>
        <w:keepNext w:val="0"/>
        <w:keepLines w:val="0"/>
        <w:shd w:val="clear" w:color="auto" w:fill="auto"/>
        <w:bidi w:val="0"/>
        <w:spacing w:before="0" w:after="229" w:line="211" w:lineRule="exact"/>
        <w:ind w:left="520" w:right="0" w:hanging="240"/>
      </w:pPr>
      <w:r>
        <w:rPr>
          <w:lang w:val="ru-RU" w:eastAsia="ru-RU" w:bidi="ru-RU"/>
          <w:w w:val="100"/>
          <w:spacing w:val="0"/>
          <w:color w:val="000000"/>
          <w:position w:val="0"/>
        </w:rPr>
        <w:t>Ретиноловая кислота биологически активна в двух формах: все трансизомеры и 9-цис изомер. Витамин А и 13-цис изомер ретиноловой кислоты в организме конвертируются в активные формы. Предположитель</w:t>
        <w:softHyphen/>
        <w:t>ный механизм действия состоит в том, что биологиче</w:t>
        <w:softHyphen/>
        <w:t>ски активная ретиноловая кислота, связываясь с ре</w:t>
        <w:softHyphen/>
        <w:t>цепторами, способствует высвобождению в кровь так называемых ретинолзависимых соединений. Данные соединения взаимодействуют с Нох-генами плода, вы</w:t>
        <w:softHyphen/>
        <w:t>ступая их промоторами, и обеспечивают их повышен</w:t>
        <w:softHyphen/>
        <w:t>ную активность, что приводит к аномалиям развития.</w:t>
      </w:r>
    </w:p>
    <w:p>
      <w:pPr>
        <w:pStyle w:val="Style112"/>
        <w:widowControl w:val="0"/>
        <w:keepNext/>
        <w:keepLines/>
        <w:shd w:val="clear" w:color="auto" w:fill="auto"/>
        <w:bidi w:val="0"/>
        <w:jc w:val="left"/>
        <w:spacing w:before="0" w:after="0" w:line="150" w:lineRule="exact"/>
        <w:ind w:left="0" w:right="0" w:firstLine="0"/>
      </w:pPr>
      <w:bookmarkStart w:id="282" w:name="bookmark282"/>
      <w:r>
        <w:rPr>
          <w:lang w:val="ru-RU" w:eastAsia="ru-RU" w:bidi="ru-RU"/>
          <w:rFonts w:ascii="Microsoft Sans Serif" w:eastAsia="Microsoft Sans Serif" w:hAnsi="Microsoft Sans Serif" w:cs="Microsoft Sans Serif"/>
          <w:w w:val="100"/>
          <w:spacing w:val="0"/>
          <w:color w:val="000000"/>
          <w:position w:val="0"/>
        </w:rPr>
        <w:t>Варфарин</w:t>
      </w:r>
      <w:bookmarkEnd w:id="282"/>
    </w:p>
    <w:p>
      <w:pPr>
        <w:pStyle w:val="Style30"/>
        <w:numPr>
          <w:ilvl w:val="0"/>
          <w:numId w:val="37"/>
        </w:numPr>
        <w:tabs>
          <w:tab w:leader="none" w:pos="51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Варфарин является антикоагулянтом и находит при</w:t>
        <w:softHyphen/>
        <w:t>менение у больных с трансплантированным клапа</w:t>
        <w:softHyphen/>
        <w:t>ном сердца. Первичный тератогенный эффект варфа- рина проявляется в виде возникновения дефектов ак</w:t>
        <w:softHyphen/>
        <w:t>сиального и аппендикулярного скелета. Дети, под</w:t>
        <w:softHyphen/>
        <w:t>вергшиеся воздействию препарата внутриутробно, имеют гипоплазию носа, аномалии развития глаз, ум</w:t>
        <w:softHyphen/>
        <w:t>ственную отсталость, брахидактилию и сколиоз.</w:t>
      </w:r>
    </w:p>
    <w:p>
      <w:pPr>
        <w:pStyle w:val="Style30"/>
        <w:numPr>
          <w:ilvl w:val="0"/>
          <w:numId w:val="37"/>
        </w:numPr>
        <w:tabs>
          <w:tab w:leader="none" w:pos="51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Тяжесть поражения плода во многом определяется временем воздействия препарата и дозой. Эмбриопа</w:t>
        <w:softHyphen/>
        <w:t>тии описаны у детей, чьи матери получали препарат на ранних сроках беременности, в то время как пато</w:t>
        <w:softHyphen/>
        <w:t>логия центральной нервной системы — у детей, мате</w:t>
        <w:softHyphen/>
        <w:t>ри которых употребляли препарат в конце беремен</w:t>
        <w:softHyphen/>
        <w:t>ности (при этом существует дозозависимый эффект).</w:t>
      </w:r>
    </w:p>
    <w:p>
      <w:pPr>
        <w:pStyle w:val="Style30"/>
        <w:numPr>
          <w:ilvl w:val="0"/>
          <w:numId w:val="37"/>
        </w:numPr>
        <w:tabs>
          <w:tab w:leader="none" w:pos="519" w:val="left"/>
        </w:tabs>
        <w:widowControl w:val="0"/>
        <w:keepNext w:val="0"/>
        <w:keepLines w:val="0"/>
        <w:shd w:val="clear" w:color="auto" w:fill="auto"/>
        <w:bidi w:val="0"/>
        <w:spacing w:before="0" w:after="229" w:line="211" w:lineRule="exact"/>
        <w:ind w:left="520" w:right="0" w:hanging="240"/>
      </w:pPr>
      <w:r>
        <w:rPr>
          <w:lang w:val="ru-RU" w:eastAsia="ru-RU" w:bidi="ru-RU"/>
          <w:w w:val="100"/>
          <w:spacing w:val="0"/>
          <w:color w:val="000000"/>
          <w:position w:val="0"/>
        </w:rPr>
        <w:t>Механизм тератогенного воздействия варфарина на плод неясен, однако предполагается, что хондроген- ные расстройства возникают вследствие посттранс</w:t>
        <w:softHyphen/>
        <w:t>ляционного карбоксилирования протеинов.</w:t>
      </w:r>
    </w:p>
    <w:p>
      <w:pPr>
        <w:pStyle w:val="Style112"/>
        <w:widowControl w:val="0"/>
        <w:keepNext/>
        <w:keepLines/>
        <w:shd w:val="clear" w:color="auto" w:fill="auto"/>
        <w:bidi w:val="0"/>
        <w:jc w:val="left"/>
        <w:spacing w:before="0" w:after="0" w:line="150" w:lineRule="exact"/>
        <w:ind w:left="0" w:right="0" w:firstLine="0"/>
      </w:pPr>
      <w:bookmarkStart w:id="283" w:name="bookmark283"/>
      <w:r>
        <w:rPr>
          <w:lang w:val="ru-RU" w:eastAsia="ru-RU" w:bidi="ru-RU"/>
          <w:rFonts w:ascii="Microsoft Sans Serif" w:eastAsia="Microsoft Sans Serif" w:hAnsi="Microsoft Sans Serif" w:cs="Microsoft Sans Serif"/>
          <w:w w:val="100"/>
          <w:spacing w:val="0"/>
          <w:color w:val="000000"/>
          <w:position w:val="0"/>
        </w:rPr>
        <w:t>Алкоголь</w:t>
      </w:r>
      <w:bookmarkEnd w:id="283"/>
    </w:p>
    <w:p>
      <w:pPr>
        <w:pStyle w:val="Style30"/>
        <w:numPr>
          <w:ilvl w:val="0"/>
          <w:numId w:val="37"/>
        </w:numPr>
        <w:tabs>
          <w:tab w:leader="none" w:pos="51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Обычно тяжесть поражения плода тератогеном зави</w:t>
        <w:softHyphen/>
        <w:t>сит от времени, когда тератоген действовал на плод,</w:t>
      </w:r>
    </w:p>
    <w:p>
      <w:pPr>
        <w:pStyle w:val="Style30"/>
        <w:widowControl w:val="0"/>
        <w:keepNext w:val="0"/>
        <w:keepLines w:val="0"/>
        <w:shd w:val="clear" w:color="auto" w:fill="auto"/>
        <w:bidi w:val="0"/>
        <w:spacing w:before="0" w:after="0" w:line="211" w:lineRule="exact"/>
        <w:ind w:left="260" w:right="0" w:firstLine="0"/>
      </w:pPr>
      <w:r>
        <w:br w:type="column"/>
      </w:r>
      <w:r>
        <w:rPr>
          <w:lang w:val="ru-RU" w:eastAsia="ru-RU" w:bidi="ru-RU"/>
          <w:w w:val="100"/>
          <w:spacing w:val="0"/>
          <w:color w:val="000000"/>
          <w:position w:val="0"/>
        </w:rPr>
        <w:t>продолжительности воздействия и дозы тератогенно</w:t>
        <w:softHyphen/>
        <w:t>го препарата. Например, на протяжении пятой неде</w:t>
        <w:softHyphen/>
        <w:t>ли беременности особенно подвержены действию токсичных веществ центральная нервная система, сердце, глаза, конечности и губы. В основном форми</w:t>
        <w:softHyphen/>
        <w:t>рование этих органов и систем происходит с 3 по 8 неделю беременности. Таким образом, воздействие тератогенов на этом сроке беременности приводит к тяжким последствиям для плода, а мать может еще не знать о беременности, чтобы изменить свой образ жизни и избежать контакта с токсичными агентами.</w:t>
      </w:r>
    </w:p>
    <w:p>
      <w:pPr>
        <w:pStyle w:val="Style30"/>
        <w:numPr>
          <w:ilvl w:val="0"/>
          <w:numId w:val="37"/>
        </w:numPr>
        <w:tabs>
          <w:tab w:leader="none" w:pos="235"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Алкоголь (этанол) является причиной возникновения так называемого фетального алкогольного синдрома (ФАС). Данный синдром наблюдается как минимум у 2 из 1000 живорожденных (цифры могут разниться в зависимости от социоэкономического и культурно</w:t>
        <w:softHyphen/>
        <w:t>го статуса исследуемой популяции). Например, часто</w:t>
        <w:softHyphen/>
        <w:t>та ФАС среди американских индейцев достигает 19,5 на 1000 живорожденных. В то же время среди среднего класса кавказской популяции она составляет 1,9 на 1000. Фетальный алкогольный синдром являет</w:t>
        <w:softHyphen/>
        <w:t>ся дозозависимым по причинному фактору.</w:t>
      </w:r>
    </w:p>
    <w:p>
      <w:pPr>
        <w:pStyle w:val="Style30"/>
        <w:numPr>
          <w:ilvl w:val="0"/>
          <w:numId w:val="37"/>
        </w:numPr>
        <w:tabs>
          <w:tab w:leader="none" w:pos="235"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Алкоголь способен проходить через плаценту и попа</w:t>
        <w:softHyphen/>
        <w:t>дать в циркуляторную систему плода, вызывая возник</w:t>
        <w:softHyphen/>
        <w:t>новение различных аномалий. Во-первых, этанол сни</w:t>
        <w:softHyphen/>
        <w:t>жает плацентарный кровоток вследствие констрикции кровеносных сосудов. Возникает гипоксия плода и сни</w:t>
        <w:softHyphen/>
        <w:t>жение его питания. Критерии ФАС были формально сформулированы в 1970 году как комбинация следую</w:t>
        <w:softHyphen/>
        <w:t>щих аномалий: дефицит роста, максиллярная гипопла</w:t>
        <w:softHyphen/>
        <w:t>зия, уменьшение губного (подносового) желобка, мик- рофтальмия, микроцефалия, узкая верхняя губа, сер</w:t>
        <w:softHyphen/>
        <w:t>дечно-сосудистые нарушения, короткие пальпебраль</w:t>
        <w:softHyphen/>
        <w:t>ные фиссуры, малый размер мозга, низкая спинка носа.</w:t>
      </w:r>
    </w:p>
    <w:p>
      <w:pPr>
        <w:pStyle w:val="Style30"/>
        <w:numPr>
          <w:ilvl w:val="0"/>
          <w:numId w:val="37"/>
        </w:numPr>
        <w:tabs>
          <w:tab w:leader="none" w:pos="235"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Предполагается множество механизмов действия эта</w:t>
        <w:softHyphen/>
        <w:t>нола на плод: нарушение миграции нервных клеток, увеличение гибели нервных клеток, а также гибель клеток от супероксидного радиального лизиса.</w:t>
      </w:r>
    </w:p>
    <w:p>
      <w:pPr>
        <w:pStyle w:val="Style30"/>
        <w:numPr>
          <w:ilvl w:val="0"/>
          <w:numId w:val="37"/>
        </w:numPr>
        <w:tabs>
          <w:tab w:leader="none" w:pos="235"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Все исследования по воздействию алкоголя на сер</w:t>
        <w:softHyphen/>
        <w:t>дечно-сосудистую систему плода включают: 1) сооб</w:t>
        <w:softHyphen/>
        <w:t>щения о злоупотреблении беременными алкоголем с последующим анализом патологии у родившихся детей и 2) исследования групп детей с манифестаци</w:t>
        <w:softHyphen/>
        <w:t>ей фетального алкогольного синдрома.</w:t>
      </w:r>
    </w:p>
    <w:p>
      <w:pPr>
        <w:pStyle w:val="Style30"/>
        <w:numPr>
          <w:ilvl w:val="0"/>
          <w:numId w:val="37"/>
        </w:numPr>
        <w:tabs>
          <w:tab w:leader="none" w:pos="235"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Частота врожденных пороков сердца у детей при зло</w:t>
        <w:softHyphen/>
        <w:t>употреблении беременной алкоголем составляет 32,3%, а относительный риск — 47,4. В противопо</w:t>
        <w:softHyphen/>
        <w:t>ложность талидамиду, анализ спектра кардиальных аномалий выявляет преобладание дефектов межже</w:t>
        <w:softHyphen/>
        <w:t>лудочковой и межпредсердной перегородок, что ука</w:t>
        <w:softHyphen/>
        <w:t>зывает на неспецифическое, но очень сильное тера</w:t>
        <w:softHyphen/>
        <w:t xml:space="preserve">тогенное воздействие </w:t>
      </w:r>
      <w:r>
        <w:rPr>
          <w:lang w:val="en-US" w:eastAsia="en-US" w:bidi="en-US"/>
          <w:w w:val="100"/>
          <w:spacing w:val="0"/>
          <w:color w:val="000000"/>
          <w:position w:val="0"/>
        </w:rPr>
        <w:t>(Loser H. et al.,1992).</w:t>
      </w:r>
    </w:p>
    <w:p>
      <w:pPr>
        <w:pStyle w:val="Style30"/>
        <w:numPr>
          <w:ilvl w:val="0"/>
          <w:numId w:val="37"/>
        </w:numPr>
        <w:tabs>
          <w:tab w:leader="none" w:pos="235"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При фетальном алкогольном синдроме (количество наблюдений 582 ребенка) частота врожденных поро</w:t>
        <w:softHyphen/>
        <w:t xml:space="preserve">ков сердца достигает 42,4% </w:t>
      </w:r>
      <w:r>
        <w:rPr>
          <w:lang w:val="en-US" w:eastAsia="en-US" w:bidi="en-US"/>
          <w:w w:val="100"/>
          <w:spacing w:val="0"/>
          <w:color w:val="000000"/>
          <w:position w:val="0"/>
        </w:rPr>
        <w:t>(Smith D.E. et al.,1981).</w:t>
      </w:r>
    </w:p>
    <w:p>
      <w:pPr>
        <w:pStyle w:val="Style30"/>
        <w:numPr>
          <w:ilvl w:val="0"/>
          <w:numId w:val="37"/>
        </w:numPr>
        <w:tabs>
          <w:tab w:leader="none" w:pos="235" w:val="left"/>
        </w:tabs>
        <w:widowControl w:val="0"/>
        <w:keepNext w:val="0"/>
        <w:keepLines w:val="0"/>
        <w:shd w:val="clear" w:color="auto" w:fill="auto"/>
        <w:bidi w:val="0"/>
        <w:spacing w:before="0" w:after="0" w:line="211" w:lineRule="exact"/>
        <w:ind w:left="260" w:right="0"/>
      </w:pPr>
      <w:r>
        <w:rPr>
          <w:lang w:val="ru-RU" w:eastAsia="ru-RU" w:bidi="ru-RU"/>
          <w:w w:val="100"/>
          <w:spacing w:val="0"/>
          <w:color w:val="000000"/>
          <w:position w:val="0"/>
        </w:rPr>
        <w:t xml:space="preserve">В исследованиях </w:t>
      </w:r>
      <w:r>
        <w:rPr>
          <w:lang w:val="en-US" w:eastAsia="en-US" w:bidi="en-US"/>
          <w:w w:val="100"/>
          <w:spacing w:val="0"/>
          <w:color w:val="000000"/>
          <w:position w:val="0"/>
        </w:rPr>
        <w:t xml:space="preserve">Loser H. et al. (1992) </w:t>
      </w:r>
      <w:r>
        <w:rPr>
          <w:lang w:val="ru-RU" w:eastAsia="ru-RU" w:bidi="ru-RU"/>
          <w:w w:val="100"/>
          <w:spacing w:val="0"/>
          <w:color w:val="000000"/>
          <w:position w:val="0"/>
        </w:rPr>
        <w:t>при проведении биопсии миокарда примерно у 5% детей с фетальным алкогольным синдромом выявлена алкогольная кар</w:t>
        <w:softHyphen/>
        <w:t>диомиопатия.</w:t>
      </w:r>
    </w:p>
    <w:p>
      <w:pPr>
        <w:pStyle w:val="Style30"/>
        <w:numPr>
          <w:ilvl w:val="0"/>
          <w:numId w:val="37"/>
        </w:numPr>
        <w:tabs>
          <w:tab w:leader="none" w:pos="235" w:val="left"/>
        </w:tabs>
        <w:widowControl w:val="0"/>
        <w:keepNext w:val="0"/>
        <w:keepLines w:val="0"/>
        <w:shd w:val="clear" w:color="auto" w:fill="auto"/>
        <w:bidi w:val="0"/>
        <w:spacing w:before="0" w:after="0" w:line="211" w:lineRule="exact"/>
        <w:ind w:left="260" w:right="0"/>
        <w:sectPr>
          <w:headerReference w:type="even" r:id="rId178"/>
          <w:headerReference w:type="default" r:id="rId179"/>
          <w:headerReference w:type="first" r:id="rId180"/>
          <w:titlePg/>
          <w:pgSz w:w="11900" w:h="16840"/>
          <w:pgMar w:top="1340" w:left="1012" w:right="999" w:bottom="1675" w:header="0" w:footer="3" w:gutter="0"/>
          <w:rtlGutter w:val="0"/>
          <w:cols w:num="2" w:space="262"/>
          <w:noEndnote/>
          <w:docGrid w:linePitch="360"/>
        </w:sectPr>
      </w:pPr>
      <w:r>
        <w:rPr>
          <w:lang w:val="ru-RU" w:eastAsia="ru-RU" w:bidi="ru-RU"/>
          <w:w w:val="100"/>
          <w:spacing w:val="0"/>
          <w:color w:val="000000"/>
          <w:position w:val="0"/>
        </w:rPr>
        <w:t>Все вышеперечисленные факты доказывают, что зло</w:t>
        <w:softHyphen/>
        <w:t>употребление алкоголем во время беременности ока</w:t>
        <w:softHyphen/>
        <w:t>зывает выраженное тератогенное влияние на сердеч</w:t>
        <w:softHyphen/>
        <w:t>но-сосудистую систему плода.</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68" w:after="68" w:line="240" w:lineRule="exact"/>
        <w:rPr>
          <w:sz w:val="19"/>
          <w:szCs w:val="19"/>
        </w:rPr>
      </w:pPr>
    </w:p>
    <w:p>
      <w:pPr>
        <w:widowControl w:val="0"/>
        <w:rPr>
          <w:sz w:val="2"/>
          <w:szCs w:val="2"/>
        </w:rPr>
        <w:sectPr>
          <w:type w:val="continuous"/>
          <w:pgSz w:w="11900" w:h="16840"/>
          <w:pgMar w:top="1482" w:left="0" w:right="0" w:bottom="192" w:header="0" w:footer="3" w:gutter="0"/>
          <w:rtlGutter w:val="0"/>
          <w:cols w:space="720"/>
          <w:noEndnote/>
          <w:docGrid w:linePitch="360"/>
        </w:sectPr>
      </w:pPr>
    </w:p>
    <w:p>
      <w:pPr>
        <w:widowControl w:val="0"/>
        <w:spacing w:line="500" w:lineRule="exact"/>
      </w:pPr>
      <w:r>
        <w:pict>
          <v:shape id="_x0000_s1136" type="#_x0000_t75" style="position:absolute;margin-left:154.05pt;margin-top:0;width:209.75pt;height:14.9pt;z-index:-251658726;mso-wrap-distance-left:5.pt;mso-wrap-distance-right:5.pt;mso-position-horizontal-relative:margin" wrapcoords="0 0">
            <v:imagedata r:id="rId181" r:href="rId182"/>
            <w10:wrap anchorx="margin"/>
          </v:shape>
        </w:pict>
      </w:r>
    </w:p>
    <w:p>
      <w:pPr>
        <w:widowControl w:val="0"/>
        <w:rPr>
          <w:sz w:val="2"/>
          <w:szCs w:val="2"/>
        </w:rPr>
        <w:sectPr>
          <w:type w:val="continuous"/>
          <w:pgSz w:w="11900" w:h="16840"/>
          <w:pgMar w:top="1482" w:left="893" w:right="1119" w:bottom="192" w:header="0" w:footer="3" w:gutter="0"/>
          <w:rtlGutter w:val="0"/>
          <w:cols w:space="720"/>
          <w:noEndnote/>
          <w:docGrid w:linePitch="360"/>
        </w:sectPr>
      </w:pPr>
    </w:p>
    <w:p>
      <w:pPr>
        <w:widowControl w:val="0"/>
        <w:rPr>
          <w:sz w:val="2"/>
          <w:szCs w:val="2"/>
        </w:rPr>
      </w:pPr>
      <w:r>
        <w:pict>
          <v:shape id="_x0000_s1137" type="#_x0000_t75" style="position:absolute;margin-left:136.45pt;margin-top:736.3pt;width:209.75pt;height:14.9pt;z-index:-125829321;mso-wrap-distance-left:136.1pt;mso-wrap-distance-right:148.1pt;mso-wrap-distance-bottom:10.8pt;mso-position-horizontal-relative:margin" wrapcoords="0 0 21600 0 21600 21600 0 21600 0 0">
            <v:imagedata r:id="rId183" r:href="rId184"/>
            <w10:wrap type="topAndBottom" anchorx="margin"/>
          </v:shape>
        </w:pict>
      </w:r>
    </w:p>
    <w:p>
      <w:pPr>
        <w:pStyle w:val="Style54"/>
        <w:widowControl w:val="0"/>
        <w:keepNext/>
        <w:keepLines/>
        <w:shd w:val="clear" w:color="auto" w:fill="auto"/>
        <w:bidi w:val="0"/>
        <w:jc w:val="left"/>
        <w:spacing w:before="0" w:after="39" w:line="210" w:lineRule="exact"/>
        <w:ind w:left="0" w:right="0" w:firstLine="0"/>
      </w:pPr>
      <w:bookmarkStart w:id="284" w:name="bookmark284"/>
      <w:r>
        <w:rPr>
          <w:lang w:val="ru-RU" w:eastAsia="ru-RU" w:bidi="ru-RU"/>
          <w:w w:val="100"/>
          <w:spacing w:val="0"/>
          <w:color w:val="000000"/>
          <w:position w:val="0"/>
        </w:rPr>
        <w:t>Курение</w:t>
      </w:r>
      <w:bookmarkEnd w:id="284"/>
    </w:p>
    <w:p>
      <w:pPr>
        <w:pStyle w:val="Style30"/>
        <w:numPr>
          <w:ilvl w:val="0"/>
          <w:numId w:val="37"/>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Тридцать процентов беременных выкуривают в день в среднем 9,5 сигареты. Никотин, вдыхаемый мате</w:t>
        <w:softHyphen/>
        <w:t>рью во время курения, можно обнаружить в легких плода, трахее, почках, надпочечниках и кишечнике. У женщины, курящей во время беременности, на 80% повышается риск спонтанного аборта по сравнению с некурящей.</w:t>
      </w:r>
    </w:p>
    <w:p>
      <w:pPr>
        <w:pStyle w:val="Style30"/>
        <w:numPr>
          <w:ilvl w:val="0"/>
          <w:numId w:val="37"/>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Никотин приводит к сжатию сосудов матки и сни</w:t>
        <w:softHyphen/>
        <w:t>жает кровоток плода, что результируется хроничес</w:t>
        <w:softHyphen/>
        <w:t>кой гипоксией и снижением веса плода. Также воз</w:t>
        <w:softHyphen/>
        <w:t>можны пороки развития. Результаты проведенных исследований свидетельствуют, что вес новорожден</w:t>
        <w:softHyphen/>
        <w:t>ного у курящей женщины на 170-200 г меньше веса новорожденного у некурящей мамы. Воздействие табака на вес плода зависит от количества сигарет, выкуриваемых в день беременной. Также отмечается уменьшение длины тела новорожденного, уменьше</w:t>
        <w:softHyphen/>
        <w:t>ние окружности черепа, внутриутробная задержка физического развития и поведенческие особенности после рождения. Другими возможными пороками развития (возникновение которых до сих пор диску</w:t>
        <w:softHyphen/>
        <w:t>тируется) является расщепление губы и мягкого не</w:t>
        <w:softHyphen/>
        <w:t>ба, пороки развития сердца и анэнцефалия. Курение во время беременности увеличивает риск прежде</w:t>
        <w:softHyphen/>
        <w:t>временных родов, отслойки плаценты, преждевре</w:t>
        <w:softHyphen/>
        <w:t>менного старения плаценты и перинатальной смерт</w:t>
        <w:softHyphen/>
        <w:t>ности.</w:t>
      </w:r>
    </w:p>
    <w:p>
      <w:pPr>
        <w:pStyle w:val="Style30"/>
        <w:numPr>
          <w:ilvl w:val="0"/>
          <w:numId w:val="37"/>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До сих пор нет прямых доказательств связи курения матери во время беременности с возникновением кардиальных аномалий у ребенка. В исследованиях с общим числом наблюдений 66 547 врожденные по</w:t>
        <w:softHyphen/>
        <w:t xml:space="preserve">роки сердца выявлялись с частотой 0,4%, а общий риск равнялся 0,6 </w:t>
      </w:r>
      <w:r>
        <w:rPr>
          <w:lang w:val="en-US" w:eastAsia="en-US" w:bidi="en-US"/>
          <w:w w:val="100"/>
          <w:spacing w:val="0"/>
          <w:color w:val="000000"/>
          <w:position w:val="0"/>
        </w:rPr>
        <w:t xml:space="preserve">(Christianson R.E., </w:t>
      </w:r>
      <w:r>
        <w:rPr>
          <w:lang w:val="ru-RU" w:eastAsia="ru-RU" w:bidi="ru-RU"/>
          <w:w w:val="100"/>
          <w:spacing w:val="0"/>
          <w:color w:val="000000"/>
          <w:position w:val="0"/>
        </w:rPr>
        <w:t>1980). Таким об</w:t>
        <w:softHyphen/>
        <w:t>разом, курение матери во время беременности само по себе недостаточно ясно демонстрирует влияние на частоту врожденных пороков сердца у детей. Хотя ку</w:t>
        <w:softHyphen/>
        <w:t>рение матери во время беременности не оказывает существенного влияния на кардиогенез плода, одна</w:t>
        <w:softHyphen/>
        <w:t>ко повышает вероятность внезапной сердечной смер</w:t>
        <w:softHyphen/>
        <w:t>ти ребенка в 3-4 раза, и этот риск возрастает с коли</w:t>
        <w:softHyphen/>
        <w:t>чеством выкуренных сигарет.</w:t>
      </w:r>
    </w:p>
    <w:p>
      <w:pPr>
        <w:pStyle w:val="Style30"/>
        <w:numPr>
          <w:ilvl w:val="0"/>
          <w:numId w:val="37"/>
        </w:numPr>
        <w:tabs>
          <w:tab w:leader="none" w:pos="494" w:val="left"/>
        </w:tabs>
        <w:widowControl w:val="0"/>
        <w:keepNext w:val="0"/>
        <w:keepLines w:val="0"/>
        <w:shd w:val="clear" w:color="auto" w:fill="auto"/>
        <w:bidi w:val="0"/>
        <w:spacing w:before="0" w:after="125"/>
        <w:ind w:left="500" w:right="0" w:hanging="240"/>
      </w:pPr>
      <w:r>
        <w:rPr>
          <w:lang w:val="ru-RU" w:eastAsia="ru-RU" w:bidi="ru-RU"/>
          <w:w w:val="100"/>
          <w:spacing w:val="0"/>
          <w:color w:val="000000"/>
          <w:position w:val="0"/>
        </w:rPr>
        <w:t>Пассивное курение матери во время беременности не является фактором риска развития врожденного по</w:t>
        <w:softHyphen/>
        <w:t>рока сердца у ребенка.</w:t>
      </w:r>
    </w:p>
    <w:p>
      <w:pPr>
        <w:pStyle w:val="Style54"/>
        <w:widowControl w:val="0"/>
        <w:keepNext/>
        <w:keepLines/>
        <w:shd w:val="clear" w:color="auto" w:fill="auto"/>
        <w:bidi w:val="0"/>
        <w:jc w:val="left"/>
        <w:spacing w:before="0" w:after="44" w:line="210" w:lineRule="exact"/>
        <w:ind w:left="0" w:right="0" w:firstLine="0"/>
      </w:pPr>
      <w:bookmarkStart w:id="285" w:name="bookmark285"/>
      <w:r>
        <w:rPr>
          <w:lang w:val="ru-RU" w:eastAsia="ru-RU" w:bidi="ru-RU"/>
          <w:w w:val="100"/>
          <w:spacing w:val="0"/>
          <w:color w:val="000000"/>
          <w:position w:val="0"/>
        </w:rPr>
        <w:t>Кофеин</w:t>
      </w:r>
      <w:bookmarkEnd w:id="285"/>
    </w:p>
    <w:p>
      <w:pPr>
        <w:pStyle w:val="Style30"/>
        <w:numPr>
          <w:ilvl w:val="0"/>
          <w:numId w:val="37"/>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Употребление 1-2 чашек кофе в день не оказывает те</w:t>
        <w:softHyphen/>
        <w:t>ратогенного воздействия на сердечно-сосудистую си</w:t>
        <w:softHyphen/>
        <w:t>стему плода.</w:t>
      </w:r>
    </w:p>
    <w:p>
      <w:pPr>
        <w:pStyle w:val="Style30"/>
        <w:numPr>
          <w:ilvl w:val="0"/>
          <w:numId w:val="37"/>
        </w:numPr>
        <w:tabs>
          <w:tab w:leader="none" w:pos="494" w:val="left"/>
        </w:tabs>
        <w:widowControl w:val="0"/>
        <w:keepNext w:val="0"/>
        <w:keepLines w:val="0"/>
        <w:shd w:val="clear" w:color="auto" w:fill="auto"/>
        <w:bidi w:val="0"/>
        <w:spacing w:before="0" w:after="125"/>
        <w:ind w:left="500" w:right="0" w:hanging="240"/>
      </w:pPr>
      <w:r>
        <w:rPr>
          <w:lang w:val="ru-RU" w:eastAsia="ru-RU" w:bidi="ru-RU"/>
          <w:w w:val="100"/>
          <w:spacing w:val="0"/>
          <w:color w:val="000000"/>
          <w:position w:val="0"/>
        </w:rPr>
        <w:t>Доза, превышающая 7 чашек в день, вызывает увели</w:t>
        <w:softHyphen/>
        <w:t>чение риска формирования врожденного порока сердца.</w:t>
      </w:r>
    </w:p>
    <w:p>
      <w:pPr>
        <w:pStyle w:val="Style54"/>
        <w:widowControl w:val="0"/>
        <w:keepNext/>
        <w:keepLines/>
        <w:shd w:val="clear" w:color="auto" w:fill="auto"/>
        <w:bidi w:val="0"/>
        <w:jc w:val="left"/>
        <w:spacing w:before="0" w:after="39" w:line="210" w:lineRule="exact"/>
        <w:ind w:left="0" w:right="0" w:firstLine="0"/>
      </w:pPr>
      <w:bookmarkStart w:id="286" w:name="bookmark286"/>
      <w:r>
        <w:rPr>
          <w:lang w:val="ru-RU" w:eastAsia="ru-RU" w:bidi="ru-RU"/>
          <w:w w:val="100"/>
          <w:spacing w:val="0"/>
          <w:color w:val="000000"/>
          <w:position w:val="0"/>
        </w:rPr>
        <w:t>Кокаин</w:t>
      </w:r>
      <w:bookmarkEnd w:id="286"/>
    </w:p>
    <w:p>
      <w:pPr>
        <w:pStyle w:val="Style30"/>
        <w:numPr>
          <w:ilvl w:val="0"/>
          <w:numId w:val="37"/>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Кокаин является анестетиком и вазоконстриктором. По данным исследований, 45% городских женщин и 6% сельских употребляют кокаин во время бере</w:t>
        <w:softHyphen/>
        <w:t>менности. Около 375 000 детей рождаются каждый год от матерей, принимавших кокаин во время бере</w:t>
        <w:softHyphen/>
        <w:t>менности.</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Плоды, подвергшиеся воздействию кокаина, имеют внутриутробную задержку развития, микроцефалию, инфаркты мозга, урогенитальные аномалии, повы</w:t>
        <w:softHyphen/>
        <w:t>шенный риск возникновения синдрома внезапной смерти новорожденных, а также неврологические и поведенческие аномалии. Беременные, употребля</w:t>
        <w:softHyphen/>
        <w:t>ющие кокаин, чаще подвержены преждевременным родам, спонтанным абортам, перинатальной смерт</w:t>
        <w:softHyphen/>
        <w:t>ности и мертворождению.</w:t>
      </w:r>
    </w:p>
    <w:p>
      <w:pPr>
        <w:pStyle w:val="Style30"/>
        <w:numPr>
          <w:ilvl w:val="0"/>
          <w:numId w:val="37"/>
        </w:numPr>
        <w:tabs>
          <w:tab w:leader="none" w:pos="519" w:val="left"/>
        </w:tabs>
        <w:widowControl w:val="0"/>
        <w:keepNext w:val="0"/>
        <w:keepLines w:val="0"/>
        <w:shd w:val="clear" w:color="auto" w:fill="auto"/>
        <w:bidi w:val="0"/>
        <w:spacing w:before="0" w:after="185"/>
        <w:ind w:left="520" w:right="0" w:hanging="240"/>
      </w:pPr>
      <w:r>
        <w:rPr>
          <w:lang w:val="ru-RU" w:eastAsia="ru-RU" w:bidi="ru-RU"/>
          <w:w w:val="100"/>
          <w:spacing w:val="0"/>
          <w:color w:val="000000"/>
          <w:position w:val="0"/>
        </w:rPr>
        <w:t>Тератогенный эффект кокаина предположительно реализуется посредством воздействия на сосуды пла</w:t>
        <w:softHyphen/>
        <w:t>центы, что приводит к внутриутробной гипоксии и малому весу плода.</w:t>
      </w:r>
    </w:p>
    <w:p>
      <w:pPr>
        <w:pStyle w:val="Style54"/>
        <w:widowControl w:val="0"/>
        <w:keepNext/>
        <w:keepLines/>
        <w:shd w:val="clear" w:color="auto" w:fill="auto"/>
        <w:bidi w:val="0"/>
        <w:jc w:val="left"/>
        <w:spacing w:before="0" w:after="39" w:line="210" w:lineRule="exact"/>
        <w:ind w:left="0" w:right="0" w:firstLine="0"/>
      </w:pPr>
      <w:bookmarkStart w:id="287" w:name="bookmark287"/>
      <w:r>
        <w:rPr>
          <w:lang w:val="ru-RU" w:eastAsia="ru-RU" w:bidi="ru-RU"/>
          <w:w w:val="100"/>
          <w:spacing w:val="0"/>
          <w:color w:val="000000"/>
          <w:position w:val="0"/>
        </w:rPr>
        <w:t>Химические вещества</w:t>
      </w:r>
      <w:bookmarkEnd w:id="287"/>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 время беременности женщина может подвергать</w:t>
        <w:softHyphen/>
        <w:t>ся воздействию различных бытовых и профессио</w:t>
        <w:softHyphen/>
        <w:t>нальных химических вредностей. Винилхлорид мо</w:t>
        <w:softHyphen/>
        <w:t>номеры, безусловно, являются тератогенами, однако в спектре кардиальных аномалий каких-либо особых пороков сердца не выявлено.</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Контакт женщины с органическими сольвентами (бензол, хлороформ, ацетон) в первый триместр бере</w:t>
        <w:softHyphen/>
        <w:t>менности достоверно повышает риск возникновения дефекта межжелудочковой перегородки у ребенка.</w:t>
      </w:r>
    </w:p>
    <w:p>
      <w:pPr>
        <w:pStyle w:val="Style30"/>
        <w:numPr>
          <w:ilvl w:val="0"/>
          <w:numId w:val="37"/>
        </w:numPr>
        <w:tabs>
          <w:tab w:leader="none" w:pos="519" w:val="left"/>
        </w:tabs>
        <w:widowControl w:val="0"/>
        <w:keepNext w:val="0"/>
        <w:keepLines w:val="0"/>
        <w:shd w:val="clear" w:color="auto" w:fill="auto"/>
        <w:bidi w:val="0"/>
        <w:spacing w:before="0" w:after="185"/>
        <w:ind w:left="520" w:right="0" w:hanging="240"/>
      </w:pPr>
      <w:r>
        <w:rPr>
          <w:lang w:val="ru-RU" w:eastAsia="ru-RU" w:bidi="ru-RU"/>
          <w:w w:val="100"/>
          <w:spacing w:val="0"/>
          <w:color w:val="000000"/>
          <w:position w:val="0"/>
        </w:rPr>
        <w:t>Контакт с такими химическими веществами, как ла</w:t>
        <w:softHyphen/>
        <w:t>ки, краски, яды, особенно в первый триместр бере</w:t>
        <w:softHyphen/>
        <w:t>менности, повышает риск возникновения врожден</w:t>
        <w:softHyphen/>
        <w:t>ных пороков сердца у ребенка, однако количество ис</w:t>
        <w:softHyphen/>
        <w:t>следований (406) не позволяет говорить об этом со статистической достоверностью.</w:t>
      </w:r>
    </w:p>
    <w:p>
      <w:pPr>
        <w:pStyle w:val="Style54"/>
        <w:widowControl w:val="0"/>
        <w:keepNext/>
        <w:keepLines/>
        <w:shd w:val="clear" w:color="auto" w:fill="auto"/>
        <w:bidi w:val="0"/>
        <w:jc w:val="left"/>
        <w:spacing w:before="0" w:after="35" w:line="210" w:lineRule="exact"/>
        <w:ind w:left="0" w:right="0" w:firstLine="0"/>
      </w:pPr>
      <w:bookmarkStart w:id="288" w:name="bookmark288"/>
      <w:r>
        <w:rPr>
          <w:lang w:val="ru-RU" w:eastAsia="ru-RU" w:bidi="ru-RU"/>
          <w:w w:val="100"/>
          <w:spacing w:val="0"/>
          <w:color w:val="000000"/>
          <w:position w:val="0"/>
        </w:rPr>
        <w:t>Индустриальные тератогены</w:t>
      </w:r>
      <w:bookmarkEnd w:id="288"/>
    </w:p>
    <w:p>
      <w:pPr>
        <w:pStyle w:val="Style92"/>
        <w:widowControl w:val="0"/>
        <w:keepNext/>
        <w:keepLines/>
        <w:shd w:val="clear" w:color="auto" w:fill="auto"/>
        <w:bidi w:val="0"/>
        <w:spacing w:before="0" w:after="0"/>
        <w:ind w:left="520" w:right="0" w:hanging="240"/>
      </w:pPr>
      <w:bookmarkStart w:id="289" w:name="bookmark289"/>
      <w:r>
        <w:rPr>
          <w:lang w:val="ru-RU" w:eastAsia="ru-RU" w:bidi="ru-RU"/>
          <w:w w:val="100"/>
          <w:spacing w:val="0"/>
          <w:color w:val="000000"/>
          <w:position w:val="0"/>
        </w:rPr>
        <w:t>Мышьяк</w:t>
      </w:r>
      <w:bookmarkEnd w:id="289"/>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Мышьяк поступает в окружающую среду из предпри</w:t>
        <w:softHyphen/>
        <w:t>ятий, обрабатывающих медь, цинк и т.п., а также хи</w:t>
        <w:softHyphen/>
        <w:t>мических предприятий и стеклянных мануфактур. Было показано, что мышьяк способен проникать че</w:t>
        <w:softHyphen/>
        <w:t>рез плацентарный барьер и попадать к плоду. Металл способен к кумуляции в организме плода.</w:t>
      </w:r>
    </w:p>
    <w:p>
      <w:pPr>
        <w:pStyle w:val="Style30"/>
        <w:numPr>
          <w:ilvl w:val="0"/>
          <w:numId w:val="37"/>
        </w:numPr>
        <w:tabs>
          <w:tab w:leader="none" w:pos="519" w:val="left"/>
        </w:tabs>
        <w:widowControl w:val="0"/>
        <w:keepNext w:val="0"/>
        <w:keepLines w:val="0"/>
        <w:shd w:val="clear" w:color="auto" w:fill="auto"/>
        <w:bidi w:val="0"/>
        <w:spacing w:before="0" w:after="120"/>
        <w:ind w:left="520" w:right="0" w:hanging="240"/>
      </w:pPr>
      <w:r>
        <w:rPr>
          <w:lang w:val="ru-RU" w:eastAsia="ru-RU" w:bidi="ru-RU"/>
          <w:w w:val="100"/>
          <w:spacing w:val="0"/>
          <w:color w:val="000000"/>
          <w:position w:val="0"/>
        </w:rPr>
        <w:t>Известно, что мышьяк способен вызывать целый спектр врожденных аномалий развития у лабораторных животных, в то время как у людей тератогенное воздей - ствие окончательно не доказано. Предполагается, что тяжесть поражения плода определяется полученной до - зой мышьяка и временем воздействия тератогена.</w:t>
      </w:r>
    </w:p>
    <w:p>
      <w:pPr>
        <w:pStyle w:val="Style92"/>
        <w:widowControl w:val="0"/>
        <w:keepNext/>
        <w:keepLines/>
        <w:shd w:val="clear" w:color="auto" w:fill="auto"/>
        <w:bidi w:val="0"/>
        <w:spacing w:before="0" w:after="0"/>
        <w:ind w:left="520" w:right="0" w:hanging="240"/>
      </w:pPr>
      <w:bookmarkStart w:id="290" w:name="bookmark290"/>
      <w:r>
        <w:rPr>
          <w:lang w:val="ru-RU" w:eastAsia="ru-RU" w:bidi="ru-RU"/>
          <w:w w:val="100"/>
          <w:spacing w:val="0"/>
          <w:color w:val="000000"/>
          <w:position w:val="0"/>
        </w:rPr>
        <w:t>Кадмий</w:t>
      </w:r>
      <w:bookmarkEnd w:id="290"/>
    </w:p>
    <w:p>
      <w:pPr>
        <w:pStyle w:val="Style30"/>
        <w:numPr>
          <w:ilvl w:val="0"/>
          <w:numId w:val="37"/>
        </w:numPr>
        <w:tabs>
          <w:tab w:leader="none" w:pos="519" w:val="left"/>
        </w:tabs>
        <w:widowControl w:val="0"/>
        <w:keepNext w:val="0"/>
        <w:keepLines w:val="0"/>
        <w:shd w:val="clear" w:color="auto" w:fill="auto"/>
        <w:bidi w:val="0"/>
        <w:spacing w:before="0" w:after="120"/>
        <w:ind w:left="520" w:right="0" w:hanging="240"/>
      </w:pPr>
      <w:r>
        <w:rPr>
          <w:lang w:val="ru-RU" w:eastAsia="ru-RU" w:bidi="ru-RU"/>
          <w:w w:val="100"/>
          <w:spacing w:val="0"/>
          <w:color w:val="000000"/>
          <w:position w:val="0"/>
        </w:rPr>
        <w:t>Кадмий способен оказывать токсическое воздей</w:t>
        <w:softHyphen/>
        <w:t>ствие, однако у плода при многочисленных исследо</w:t>
        <w:softHyphen/>
        <w:t>ваниях были обнаружены лишь низкие концентра</w:t>
        <w:softHyphen/>
        <w:t>ции данного металла. Предложена гипотеза, что пла</w:t>
        <w:softHyphen/>
        <w:t>цента способна ограничивать поступление кадмия в организм плода и таким образом ингибировать его токсический эффект.</w:t>
      </w:r>
    </w:p>
    <w:p>
      <w:pPr>
        <w:pStyle w:val="Style92"/>
        <w:widowControl w:val="0"/>
        <w:keepNext/>
        <w:keepLines/>
        <w:shd w:val="clear" w:color="auto" w:fill="auto"/>
        <w:bidi w:val="0"/>
        <w:spacing w:before="0" w:after="0"/>
        <w:ind w:left="520" w:right="0" w:hanging="240"/>
      </w:pPr>
      <w:bookmarkStart w:id="291" w:name="bookmark291"/>
      <w:r>
        <w:rPr>
          <w:lang w:val="ru-RU" w:eastAsia="ru-RU" w:bidi="ru-RU"/>
          <w:w w:val="100"/>
          <w:spacing w:val="0"/>
          <w:color w:val="000000"/>
          <w:position w:val="0"/>
        </w:rPr>
        <w:t>Свинец</w:t>
      </w:r>
      <w:bookmarkEnd w:id="291"/>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 том, что свинец представляет опасность для здоро</w:t>
        <w:softHyphen/>
        <w:t>вья человека, было известно еще 1000 лет назад. Необ</w:t>
        <w:softHyphen/>
        <w:t>ходимость исследовать эффект, оказываемый свин</w:t>
        <w:softHyphen/>
        <w:t>цом на здоровье беременных и плода, назрела очень</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давно, поскольку только в США каждый год 800 000 рабочих контактируют с данным металлом на произ</w:t>
        <w:softHyphen/>
        <w:t>водстве; свинец имеет повсеместное распространение в природе; свинец кумулируется в организме челове</w:t>
        <w:softHyphen/>
        <w:t>ка, а также потому, что первые признаки отравления свинцом обычно протекают «смазанно», без яркой специфичной клинической картины. В конце 1970-х — и начале 1980-х годов законодательством был пропущен тот факт, что свинцовые краски разре</w:t>
        <w:softHyphen/>
        <w:t>шили применять в быту, а также (и очень активно) в машиностроении.</w:t>
      </w:r>
    </w:p>
    <w:p>
      <w:pPr>
        <w:pStyle w:val="Style30"/>
        <w:numPr>
          <w:ilvl w:val="0"/>
          <w:numId w:val="37"/>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Свинец способен проникать через плаценту уже на 12-14 неделе гестации. В пуповинной крови концент</w:t>
        <w:softHyphen/>
        <w:t>рация свинца практически идентична его концентра</w:t>
        <w:softHyphen/>
        <w:t>ции в организме матери или чуть-чуть меньше. Сви</w:t>
        <w:softHyphen/>
        <w:t>нец плохо выделяется, поэтому он постепенно накап</w:t>
        <w:softHyphen/>
        <w:t>ливается в организме плода, причем наибольшая концентрация наблюдается в головном мозге. В ос</w:t>
        <w:softHyphen/>
        <w:t>новном воздействие свинца на плод возникает при употреблении матерью во время беременности про</w:t>
        <w:softHyphen/>
        <w:t>дуктов и напитков, содержащих свинец.</w:t>
      </w:r>
    </w:p>
    <w:p>
      <w:pPr>
        <w:pStyle w:val="Style30"/>
        <w:numPr>
          <w:ilvl w:val="0"/>
          <w:numId w:val="37"/>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последние несколько десятилетий ученые связыва</w:t>
        <w:softHyphen/>
        <w:t>ют воздействие свинца на плод с преждевременными родами, снижением массы плода, поражением нерв</w:t>
        <w:softHyphen/>
        <w:t>ной системы, повышением количества выкидышей, задержкой роста после рождения, комплексом малых аномалий развития. При этом чем выше концентра</w:t>
        <w:softHyphen/>
        <w:t>ция свинца в крови плода, тем большее количество малых аномалий развития выявляется.</w:t>
      </w:r>
    </w:p>
    <w:p>
      <w:pPr>
        <w:pStyle w:val="Style30"/>
        <w:numPr>
          <w:ilvl w:val="0"/>
          <w:numId w:val="37"/>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Исследование репродуктивной способности среди рабочих, контактирующих со свинцом, показало, что воздействие этого металла может приводить к сте</w:t>
        <w:softHyphen/>
        <w:t>рильности, нарушению спермагенеза и снижению функции яичек. Также воздействие свинца может приводить к хромосомным аномалиям и неонаталь</w:t>
        <w:softHyphen/>
        <w:t>ной смерти.</w:t>
      </w:r>
    </w:p>
    <w:p>
      <w:pPr>
        <w:pStyle w:val="Style30"/>
        <w:numPr>
          <w:ilvl w:val="0"/>
          <w:numId w:val="37"/>
        </w:numPr>
        <w:tabs>
          <w:tab w:leader="none" w:pos="520" w:val="left"/>
        </w:tabs>
        <w:widowControl w:val="0"/>
        <w:keepNext w:val="0"/>
        <w:keepLines w:val="0"/>
        <w:shd w:val="clear" w:color="auto" w:fill="auto"/>
        <w:bidi w:val="0"/>
        <w:spacing w:before="0" w:after="185"/>
        <w:ind w:left="520" w:right="0" w:hanging="240"/>
      </w:pPr>
      <w:r>
        <w:rPr>
          <w:lang w:val="ru-RU" w:eastAsia="ru-RU" w:bidi="ru-RU"/>
          <w:w w:val="100"/>
          <w:spacing w:val="0"/>
          <w:color w:val="000000"/>
          <w:position w:val="0"/>
        </w:rPr>
        <w:t>Свинец достоверно нарушает синхронизацию взаимо</w:t>
        <w:softHyphen/>
        <w:t>действия клетка-клетка в нервной ткани и повреждает нейрональную миграцию. Головной мозг плода плохо защищен от воздействия токсических агентов, посколь</w:t>
        <w:softHyphen/>
        <w:t>ку эндотелиальные клетки капилляров, создающие ге</w:t>
        <w:softHyphen/>
        <w:t>мато-энцефалический барьер, еще незрелые. Проник</w:t>
        <w:softHyphen/>
        <w:t>новение свинца в головной мозг в этом возрасте проис</w:t>
        <w:softHyphen/>
        <w:t>ходит значительно проще и быстрее, чем у взрослых.</w:t>
      </w:r>
    </w:p>
    <w:p>
      <w:pPr>
        <w:pStyle w:val="Style54"/>
        <w:widowControl w:val="0"/>
        <w:keepNext/>
        <w:keepLines/>
        <w:shd w:val="clear" w:color="auto" w:fill="auto"/>
        <w:bidi w:val="0"/>
        <w:jc w:val="left"/>
        <w:spacing w:before="0" w:after="44" w:line="210" w:lineRule="exact"/>
        <w:ind w:left="0" w:right="0" w:firstLine="0"/>
      </w:pPr>
      <w:bookmarkStart w:id="292" w:name="bookmark292"/>
      <w:r>
        <w:rPr>
          <w:lang w:val="ru-RU" w:eastAsia="ru-RU" w:bidi="ru-RU"/>
          <w:w w:val="100"/>
          <w:spacing w:val="0"/>
          <w:color w:val="000000"/>
          <w:position w:val="0"/>
        </w:rPr>
        <w:t>Физические факторы</w:t>
      </w:r>
      <w:bookmarkEnd w:id="29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 анализе 1047 случаев воздействия неблагоприятных физических факторов на беременных было выявлено 137 детей (13%) с врожденными пороками сердца </w:t>
      </w:r>
      <w:r>
        <w:rPr>
          <w:lang w:val="en-US" w:eastAsia="en-US" w:bidi="en-US"/>
          <w:w w:val="100"/>
          <w:spacing w:val="0"/>
          <w:color w:val="000000"/>
          <w:position w:val="0"/>
        </w:rPr>
        <w:t xml:space="preserve">(Kurppa K. et al., </w:t>
      </w:r>
      <w:r>
        <w:rPr>
          <w:lang w:val="ru-RU" w:eastAsia="ru-RU" w:bidi="ru-RU"/>
          <w:w w:val="100"/>
          <w:spacing w:val="0"/>
          <w:color w:val="000000"/>
          <w:position w:val="0"/>
        </w:rPr>
        <w:t>1983). Обнаружено, что шум более 82 дБ и текстильная пыль оказывают влияние на формирование врожденных пороков сердца у детей. При воздействии рентгеновских лучей на область живота и таза беременных (во время про</w:t>
        <w:softHyphen/>
        <w:t>ведения рентгенографии) относительный риск меньше 2,0.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Работа на ЭВМ, особенно в первый триместр беремен</w:t>
        <w:softHyphen/>
        <w:t>ности, повышает риск развития врожденных пороков серд</w:t>
        <w:softHyphen/>
        <w:t xml:space="preserve">ца у ребенка, однако количество наблюдений не позволяет сделать статистически достоверных выводов </w:t>
      </w:r>
      <w:r>
        <w:rPr>
          <w:lang w:val="en-US" w:eastAsia="en-US" w:bidi="en-US"/>
          <w:w w:val="100"/>
          <w:spacing w:val="0"/>
          <w:color w:val="000000"/>
          <w:position w:val="0"/>
        </w:rPr>
        <w:t xml:space="preserve">(Tikkanen J., Heinonen O.P., </w:t>
      </w:r>
      <w:r>
        <w:rPr>
          <w:lang w:val="ru-RU" w:eastAsia="ru-RU" w:bidi="ru-RU"/>
          <w:w w:val="100"/>
          <w:spacing w:val="0"/>
          <w:color w:val="000000"/>
          <w:position w:val="0"/>
        </w:rPr>
        <w:t>1992). Вероятно (объем выборки недостато</w:t>
        <w:softHyphen/>
        <w:t>чен для достоверного суждения), не оказывают влияния на сердечно-сосудистую систему плода повышенная темпера</w:t>
        <w:softHyphen/>
        <w:br w:type="column"/>
        <w:t xml:space="preserve">тура на рабочем месте женщины во время беременности, контакт с анестезирующими газами, электромагнитными излучениями при работе с микроволновыми печами </w:t>
      </w:r>
      <w:r>
        <w:rPr>
          <w:lang w:val="en-US" w:eastAsia="en-US" w:bidi="en-US"/>
          <w:w w:val="100"/>
          <w:spacing w:val="0"/>
          <w:color w:val="000000"/>
          <w:position w:val="0"/>
        </w:rPr>
        <w:t xml:space="preserve">(Tikkanen J., Heinonen O.P., </w:t>
      </w:r>
      <w:r>
        <w:rPr>
          <w:lang w:val="ru-RU" w:eastAsia="ru-RU" w:bidi="ru-RU"/>
          <w:w w:val="100"/>
          <w:spacing w:val="0"/>
          <w:color w:val="000000"/>
          <w:position w:val="0"/>
        </w:rPr>
        <w:t>1992).</w:t>
      </w:r>
    </w:p>
    <w:p>
      <w:pPr>
        <w:pStyle w:val="Style30"/>
        <w:widowControl w:val="0"/>
        <w:keepNext w:val="0"/>
        <w:keepLines w:val="0"/>
        <w:shd w:val="clear" w:color="auto" w:fill="auto"/>
        <w:bidi w:val="0"/>
        <w:spacing w:before="0" w:after="125"/>
        <w:ind w:left="0" w:right="0" w:firstLine="280"/>
      </w:pPr>
      <w:r>
        <w:rPr>
          <w:lang w:val="ru-RU" w:eastAsia="ru-RU" w:bidi="ru-RU"/>
          <w:w w:val="100"/>
          <w:spacing w:val="0"/>
          <w:color w:val="000000"/>
          <w:position w:val="0"/>
        </w:rPr>
        <w:t>Если до сих пор недостаточно ясна ситуация с терато</w:t>
        <w:softHyphen/>
        <w:t>генным воздействием на мать физических факторов, то еще меньше данных относительно воздействия на отцов. В ис</w:t>
        <w:softHyphen/>
        <w:t xml:space="preserve">следованиях </w:t>
      </w:r>
      <w:r>
        <w:rPr>
          <w:lang w:val="en-US" w:eastAsia="en-US" w:bidi="en-US"/>
          <w:w w:val="100"/>
          <w:spacing w:val="0"/>
          <w:color w:val="000000"/>
          <w:position w:val="0"/>
        </w:rPr>
        <w:t xml:space="preserve">Nordstrom S. et al. </w:t>
      </w:r>
      <w:r>
        <w:rPr>
          <w:lang w:val="ru-RU" w:eastAsia="ru-RU" w:bidi="ru-RU"/>
          <w:w w:val="100"/>
          <w:spacing w:val="0"/>
          <w:color w:val="000000"/>
          <w:position w:val="0"/>
        </w:rPr>
        <w:t>(1983) была обнаружена не</w:t>
        <w:softHyphen/>
        <w:t>обычно высокая частота врожденных пороков сердца у де</w:t>
        <w:softHyphen/>
        <w:t>тей, чьи отцы работали с токами высокого напряжения.</w:t>
      </w:r>
    </w:p>
    <w:p>
      <w:pPr>
        <w:pStyle w:val="Style54"/>
        <w:widowControl w:val="0"/>
        <w:keepNext/>
        <w:keepLines/>
        <w:shd w:val="clear" w:color="auto" w:fill="auto"/>
        <w:bidi w:val="0"/>
        <w:jc w:val="both"/>
        <w:spacing w:before="0" w:after="39" w:line="210" w:lineRule="exact"/>
        <w:ind w:left="0" w:right="0" w:firstLine="0"/>
      </w:pPr>
      <w:bookmarkStart w:id="293" w:name="bookmark293"/>
      <w:r>
        <w:rPr>
          <w:lang w:val="ru-RU" w:eastAsia="ru-RU" w:bidi="ru-RU"/>
          <w:w w:val="100"/>
          <w:spacing w:val="0"/>
          <w:color w:val="000000"/>
          <w:position w:val="0"/>
        </w:rPr>
        <w:t>Радиация</w:t>
      </w:r>
      <w:bookmarkEnd w:id="293"/>
    </w:p>
    <w:p>
      <w:pPr>
        <w:pStyle w:val="Style30"/>
        <w:numPr>
          <w:ilvl w:val="0"/>
          <w:numId w:val="3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Любой из нас в природе подвергается воздействию радиации в «базовом» количестве. Однако, если доза радиации превышает предельно допустимые значе</w:t>
        <w:softHyphen/>
        <w:t>ния, она может оказывать тератогенное воздействие. В основном знания, полученные о тератогенном эф</w:t>
        <w:softHyphen/>
        <w:t>фекте радиации, опираются на исследования живот</w:t>
        <w:softHyphen/>
        <w:t>ных, а также людей из Хиросимы и Нагасаки.</w:t>
      </w:r>
    </w:p>
    <w:p>
      <w:pPr>
        <w:pStyle w:val="Style30"/>
        <w:numPr>
          <w:ilvl w:val="0"/>
          <w:numId w:val="3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Воздействие радиации на плод в дальнейшем может привести к нарушениям роста, появлению опухолей и хромосомной фрагментации. То же самое может воз</w:t>
        <w:softHyphen/>
        <w:t>никнуть у плода вследствие нарушения клеточного де</w:t>
        <w:softHyphen/>
        <w:t>ления, смерти клеток и мутаций. Эмбрион перед им</w:t>
        <w:softHyphen/>
        <w:t>плантацией наиболее подвержен действию радиации и может погибнуть даже при столь небольшой дозе, как 10 рад. Если же эмбрион не погибает, то новорож</w:t>
        <w:softHyphen/>
        <w:t>денный имеет задержку роста, которая может несколь</w:t>
        <w:softHyphen/>
        <w:t>ко смягчиться после рождения, микроцефалию, гид</w:t>
        <w:softHyphen/>
        <w:t>роцефалию, микрофтальмию, атрофию зрительного нерва, почечную дисплазию и катаракту. Как видно из вышеперечисленного, наиболее подвержены дей</w:t>
        <w:softHyphen/>
        <w:t>ствию радиации глаза и мозг. Менее часто поражаются костная система, висцеральные органы и половые ор</w:t>
        <w:softHyphen/>
        <w:t>ганы. Малые дозы радиации могут приводить к пора</w:t>
        <w:softHyphen/>
        <w:t>жению клеток кожи, а также проявляться в виде гене</w:t>
        <w:softHyphen/>
        <w:t>тических дефектов в последующих поколениях.</w:t>
      </w:r>
    </w:p>
    <w:p>
      <w:pPr>
        <w:pStyle w:val="Style30"/>
        <w:numPr>
          <w:ilvl w:val="0"/>
          <w:numId w:val="3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начале 1900-х годов рентгеновское излучение ис</w:t>
        <w:softHyphen/>
        <w:t>пользовалось для индуцирования аборта у женщин. Однократной дозы в 360 рад на сроке до 14 недели ге</w:t>
        <w:softHyphen/>
        <w:t>стации было достаточно для убийства плода. Только в 1929 году были опубликованы доказанные сообще</w:t>
        <w:softHyphen/>
        <w:t>ния о тератогенном эффекте рентгеновского излуче</w:t>
        <w:softHyphen/>
        <w:t>ния. Выявлено, что оно приводит к возникновению микроцефалии и умственной отсталости.</w:t>
      </w:r>
    </w:p>
    <w:p>
      <w:pPr>
        <w:pStyle w:val="Style30"/>
        <w:numPr>
          <w:ilvl w:val="0"/>
          <w:numId w:val="37"/>
        </w:numPr>
        <w:tabs>
          <w:tab w:leader="none" w:pos="518" w:val="left"/>
        </w:tabs>
        <w:widowControl w:val="0"/>
        <w:keepNext w:val="0"/>
        <w:keepLines w:val="0"/>
        <w:shd w:val="clear" w:color="auto" w:fill="auto"/>
        <w:bidi w:val="0"/>
        <w:spacing w:before="0" w:after="125"/>
        <w:ind w:left="520" w:right="0" w:hanging="240"/>
      </w:pPr>
      <w:r>
        <w:rPr>
          <w:lang w:val="ru-RU" w:eastAsia="ru-RU" w:bidi="ru-RU"/>
          <w:w w:val="100"/>
          <w:spacing w:val="0"/>
          <w:color w:val="000000"/>
          <w:position w:val="0"/>
        </w:rPr>
        <w:t>Облучение людей в Хиросиме и Нагасаки в 1945 году вызвало значительное увеличение количества родив</w:t>
        <w:softHyphen/>
        <w:t>шихся детей с микроцефалией и умственной отстало</w:t>
        <w:softHyphen/>
        <w:t>стью. Также было отмечено значительное увеличение фетальной и неонатальной смертности. Количество наблюдений и проведенные исследования позволили однозначно связать микроцефалию плода с воздей</w:t>
        <w:softHyphen/>
        <w:t>ствием радиации на мать.</w:t>
      </w:r>
    </w:p>
    <w:p>
      <w:pPr>
        <w:pStyle w:val="Style54"/>
        <w:widowControl w:val="0"/>
        <w:keepNext/>
        <w:keepLines/>
        <w:shd w:val="clear" w:color="auto" w:fill="auto"/>
        <w:bidi w:val="0"/>
        <w:jc w:val="both"/>
        <w:spacing w:before="0" w:after="35" w:line="210" w:lineRule="exact"/>
        <w:ind w:left="0" w:right="0" w:firstLine="0"/>
      </w:pPr>
      <w:bookmarkStart w:id="294" w:name="bookmark294"/>
      <w:r>
        <w:rPr>
          <w:lang w:val="ru-RU" w:eastAsia="ru-RU" w:bidi="ru-RU"/>
          <w:w w:val="100"/>
          <w:spacing w:val="0"/>
          <w:color w:val="000000"/>
          <w:position w:val="0"/>
        </w:rPr>
        <w:t>Влияние болезней матери</w:t>
      </w:r>
      <w:bookmarkEnd w:id="294"/>
    </w:p>
    <w:p>
      <w:pPr>
        <w:pStyle w:val="Style92"/>
        <w:widowControl w:val="0"/>
        <w:keepNext/>
        <w:keepLines/>
        <w:shd w:val="clear" w:color="auto" w:fill="auto"/>
        <w:bidi w:val="0"/>
        <w:spacing w:before="0" w:after="0"/>
        <w:ind w:left="520" w:right="0" w:hanging="240"/>
      </w:pPr>
      <w:bookmarkStart w:id="295" w:name="bookmark295"/>
      <w:r>
        <w:rPr>
          <w:lang w:val="ru-RU" w:eastAsia="ru-RU" w:bidi="ru-RU"/>
          <w:w w:val="100"/>
          <w:spacing w:val="0"/>
          <w:color w:val="000000"/>
          <w:position w:val="0"/>
        </w:rPr>
        <w:t>Эпилепсия</w:t>
      </w:r>
      <w:bookmarkEnd w:id="295"/>
    </w:p>
    <w:p>
      <w:pPr>
        <w:pStyle w:val="Style30"/>
        <w:numPr>
          <w:ilvl w:val="0"/>
          <w:numId w:val="37"/>
        </w:numPr>
        <w:tabs>
          <w:tab w:leader="none" w:pos="518" w:val="left"/>
        </w:tabs>
        <w:widowControl w:val="0"/>
        <w:keepNext w:val="0"/>
        <w:keepLines w:val="0"/>
        <w:shd w:val="clear" w:color="auto" w:fill="auto"/>
        <w:bidi w:val="0"/>
        <w:spacing w:before="0" w:after="0"/>
        <w:ind w:left="520" w:right="0" w:hanging="240"/>
      </w:pPr>
      <w:r>
        <w:pict>
          <v:shape id="_x0000_s1138" type="#_x0000_t75" style="position:absolute;margin-left:148.1pt;margin-top:736.8pt;width:209.75pt;height:14.9pt;z-index:-125829320;mso-wrap-distance-left:148.1pt;mso-wrap-distance-right:136.8pt;mso-wrap-distance-bottom:10.8pt;mso-position-horizontal-relative:margin;mso-position-vertical-relative:margin" wrapcoords="0 0 21600 0 21600 21600 0 21600 0 0">
            <v:imagedata r:id="rId185" r:href="rId186"/>
            <w10:wrap type="topAndBottom" anchorx="margin" anchory="margin"/>
          </v:shape>
        </w:pict>
      </w:r>
      <w:r>
        <w:rPr>
          <w:lang w:val="ru-RU" w:eastAsia="ru-RU" w:bidi="ru-RU"/>
          <w:w w:val="100"/>
          <w:spacing w:val="0"/>
          <w:color w:val="000000"/>
          <w:position w:val="0"/>
        </w:rPr>
        <w:t>Не только лекарства, но и заболевания матери могут повышать риск возникновения врожденных пороков сердца у детей. У матери, больной эпилепсией, ребе</w:t>
        <w:softHyphen/>
        <w:t>нок имеет повышенный риск формирования порока сердца, и этот риск еще более усиливается, если жен-</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щина во время беременности принимает антикон</w:t>
        <w:softHyphen/>
        <w:t>вульсанты. Так, при исследовании 2310 беременных с эпилепсией, не получавших терапии, относитель</w:t>
        <w:softHyphen/>
        <w:t>ный риск врожденного порока сердца у ребенка со</w:t>
        <w:softHyphen/>
        <w:t>ставил 1,9, что ниже, чем средний риск при примене</w:t>
        <w:softHyphen/>
        <w:t xml:space="preserve">нии антиконвульсантов (3,3) </w:t>
      </w:r>
      <w:r>
        <w:rPr>
          <w:lang w:val="en-US" w:eastAsia="en-US" w:bidi="en-US"/>
          <w:w w:val="100"/>
          <w:spacing w:val="0"/>
          <w:color w:val="000000"/>
          <w:position w:val="0"/>
        </w:rPr>
        <w:t xml:space="preserve">(Pierpont M., </w:t>
      </w:r>
      <w:r>
        <w:rPr>
          <w:lang w:val="ru-RU" w:eastAsia="ru-RU" w:bidi="ru-RU"/>
          <w:w w:val="100"/>
          <w:spacing w:val="0"/>
          <w:color w:val="000000"/>
          <w:position w:val="0"/>
        </w:rPr>
        <w:t>1986). Без</w:t>
        <w:softHyphen/>
        <w:t>условно, такое различие риска может быть обусловле</w:t>
        <w:softHyphen/>
        <w:t>но тяжестью заболевания (женщины с эпилепсией, которые не находятся под наблюдением у врача и не получают терапию антиконвульсантами, имеют более легкую форму заболевания и более легкие формы припадков, чем пациенты, получающие противоэпи</w:t>
        <w:softHyphen/>
        <w:t>лептические препараты).</w:t>
      </w:r>
    </w:p>
    <w:p>
      <w:pPr>
        <w:pStyle w:val="Style30"/>
        <w:numPr>
          <w:ilvl w:val="0"/>
          <w:numId w:val="37"/>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Спектр кардиальных аномалий у детей показывает, что наиболее частым дефектом является транспози</w:t>
        <w:softHyphen/>
        <w:t xml:space="preserve">ция магистральных сосудов </w:t>
      </w:r>
      <w:r>
        <w:rPr>
          <w:lang w:val="en-US" w:eastAsia="en-US" w:bidi="en-US"/>
          <w:w w:val="100"/>
          <w:spacing w:val="0"/>
          <w:color w:val="000000"/>
          <w:position w:val="0"/>
        </w:rPr>
        <w:t>(Weber M. et al.,1977).</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Сахарный диабет</w:t>
      </w:r>
    </w:p>
    <w:p>
      <w:pPr>
        <w:pStyle w:val="Style30"/>
        <w:numPr>
          <w:ilvl w:val="0"/>
          <w:numId w:val="37"/>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Инсулинзависимый сахарный диабет у матери может приводить к множественным врожденным порокам развития плода. Наиболее часто диагностируются сердечно-сосудистые и скелетные аномалии (аппен</w:t>
        <w:softHyphen/>
        <w:t>дикулярные и аксиальные), поражение центральной нервной системы (голопрозенцефалия) и каудальный дисгенез (агенезия сакральных позвонков и гипопла</w:t>
        <w:softHyphen/>
        <w:t>зия конечностей). Около 25% всех случаев гидрамни- она (многоводия) возникают именно из-за диабета у матери. Риск возникновения пороков развития у плода, мать которого болеет сахарным диабетом, в 3-4 раза больше, чем у здоровых беременных. Нару</w:t>
        <w:softHyphen/>
        <w:t>шение углеводного обмена также приводит к повы</w:t>
        <w:softHyphen/>
        <w:t>шенному риску мертворожденности, неонатальной смерти и аномально большому весу плода.</w:t>
      </w:r>
    </w:p>
    <w:p>
      <w:pPr>
        <w:pStyle w:val="Style30"/>
        <w:numPr>
          <w:ilvl w:val="0"/>
          <w:numId w:val="37"/>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Инсулинзависимый сахарный диабет значительно повышает риск аномалий развития у плода. Для рож</w:t>
        <w:softHyphen/>
        <w:t>дения нормального плода мать должна позаботиться о своевременном начале терапии (желательно еще до начала беременности). Механизм воздействия тера</w:t>
        <w:softHyphen/>
        <w:t>тогенного фактора при сахарном диабете у матери еще недостаточно объяснен. Однако существует убеждение, что основным повреждающим фактором является повышенный уровень глюкозы, а не сам ин</w:t>
        <w:softHyphen/>
        <w:t>сулин. Эмбрион на стадии гаструлы и морулы крити</w:t>
        <w:softHyphen/>
        <w:t>чески зависим от уровня глюкозы в материнской кро - ви. Даже кратковременные эпизоды гипогликемии в этот период могут оказывать тератогенный эффект.</w:t>
      </w:r>
    </w:p>
    <w:p>
      <w:pPr>
        <w:pStyle w:val="Style30"/>
        <w:numPr>
          <w:ilvl w:val="0"/>
          <w:numId w:val="37"/>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Сахарный диабет серьезно осложняет течение бере</w:t>
        <w:softHyphen/>
        <w:t>менности. Заболевание встречается с достаточно вы</w:t>
        <w:softHyphen/>
        <w:t>сокой частотой, поэтому можно со статистической достоверностью показать его связь с возникновением врожденных аномалий у детей. На примере 13 877 случаев беременности у женщин с сахарным диабе</w:t>
        <w:softHyphen/>
        <w:t>том выявлено, что частота врожденных пороков у де</w:t>
        <w:softHyphen/>
        <w:t xml:space="preserve">тей достигает 2,1%, а относительный риск равен 3,0 </w:t>
      </w:r>
      <w:r>
        <w:rPr>
          <w:lang w:val="en-US" w:eastAsia="en-US" w:bidi="en-US"/>
          <w:w w:val="100"/>
          <w:spacing w:val="0"/>
          <w:color w:val="000000"/>
          <w:position w:val="0"/>
        </w:rPr>
        <w:t xml:space="preserve">(Pierpont M.,1986). </w:t>
      </w:r>
      <w:r>
        <w:rPr>
          <w:lang w:val="ru-RU" w:eastAsia="ru-RU" w:bidi="ru-RU"/>
          <w:w w:val="100"/>
          <w:spacing w:val="0"/>
          <w:color w:val="000000"/>
          <w:position w:val="0"/>
        </w:rPr>
        <w:t xml:space="preserve">В спектре кардиальных аномалий </w:t>
      </w:r>
      <w:r>
        <w:rPr>
          <w:lang w:val="en-US" w:eastAsia="en-US" w:bidi="en-US"/>
          <w:w w:val="100"/>
          <w:spacing w:val="0"/>
          <w:color w:val="000000"/>
          <w:position w:val="0"/>
        </w:rPr>
        <w:t xml:space="preserve">(Rowland TW. et al.,1973) </w:t>
      </w:r>
      <w:r>
        <w:rPr>
          <w:lang w:val="ru-RU" w:eastAsia="ru-RU" w:bidi="ru-RU"/>
          <w:w w:val="100"/>
          <w:spacing w:val="0"/>
          <w:color w:val="000000"/>
          <w:position w:val="0"/>
        </w:rPr>
        <w:t>преобладает транспозиция магистральных сосудов. Однако через 10 лет в иссле</w:t>
        <w:softHyphen/>
        <w:t>дованиях того же масштаба наиболее частым пороком был установлен дефект межжелудочковой перегород</w:t>
        <w:softHyphen/>
        <w:t xml:space="preserve">ки </w:t>
      </w:r>
      <w:r>
        <w:rPr>
          <w:lang w:val="en-US" w:eastAsia="en-US" w:bidi="en-US"/>
          <w:w w:val="100"/>
          <w:spacing w:val="0"/>
          <w:color w:val="000000"/>
          <w:position w:val="0"/>
        </w:rPr>
        <w:t>(Furmann K. et al.,1983).</w:t>
      </w:r>
    </w:p>
    <w:p>
      <w:pPr>
        <w:pStyle w:val="Style30"/>
        <w:numPr>
          <w:ilvl w:val="0"/>
          <w:numId w:val="37"/>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Предположительно факторами, вызывающими раз</w:t>
        <w:softHyphen/>
        <w:t>витие врожденного порока сердца у ребенка, являют</w:t>
        <w:softHyphen/>
        <w:t>ся уровень кетоновых тел и глюкозы в сыворотке кро -</w:t>
        <w:br w:type="column"/>
        <w:t>ви матери, кетоацидоз, нарушение метаболизма про- стагландинов и влияние свободных радикалов кисло</w:t>
        <w:softHyphen/>
        <w:t>рода. Отмечено также, что плод имеет индивидуаль</w:t>
        <w:softHyphen/>
        <w:t xml:space="preserve">ную чувствительность к вышеуказанным факторам </w:t>
      </w:r>
      <w:r>
        <w:rPr>
          <w:lang w:val="en-US" w:eastAsia="en-US" w:bidi="en-US"/>
          <w:w w:val="100"/>
          <w:spacing w:val="0"/>
          <w:color w:val="000000"/>
          <w:position w:val="0"/>
        </w:rPr>
        <w:t xml:space="preserve">(Buchanan T.A., </w:t>
      </w:r>
      <w:r>
        <w:rPr>
          <w:lang w:val="ru-RU" w:eastAsia="ru-RU" w:bidi="ru-RU"/>
          <w:w w:val="100"/>
          <w:spacing w:val="0"/>
          <w:color w:val="000000"/>
          <w:position w:val="0"/>
        </w:rPr>
        <w:t>1994).</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Тяжесть заболевания и терапевтическое лечение сахар - ного диабета значительно влияют на риск возникнове</w:t>
        <w:softHyphen/>
        <w:t>ния аномалий у плода. Например, при сахарном диабе</w:t>
        <w:softHyphen/>
        <w:t>те типа А риск возникновения пороков сердца у ребен</w:t>
        <w:softHyphen/>
        <w:t xml:space="preserve">ка равен 1,3%. При сахарном диабете типов </w:t>
      </w:r>
      <w:r>
        <w:rPr>
          <w:lang w:val="en-US" w:eastAsia="en-US" w:bidi="en-US"/>
          <w:w w:val="100"/>
          <w:spacing w:val="0"/>
          <w:color w:val="000000"/>
          <w:position w:val="0"/>
        </w:rPr>
        <w:t xml:space="preserve">D-F </w:t>
      </w:r>
      <w:r>
        <w:rPr>
          <w:lang w:val="ru-RU" w:eastAsia="ru-RU" w:bidi="ru-RU"/>
          <w:w w:val="100"/>
          <w:spacing w:val="0"/>
          <w:color w:val="000000"/>
          <w:position w:val="0"/>
        </w:rPr>
        <w:t xml:space="preserve">этот риск может быть 1,9% </w:t>
      </w:r>
      <w:r>
        <w:rPr>
          <w:lang w:val="en-US" w:eastAsia="en-US" w:bidi="en-US"/>
          <w:w w:val="100"/>
          <w:spacing w:val="0"/>
          <w:color w:val="000000"/>
          <w:position w:val="0"/>
        </w:rPr>
        <w:t xml:space="preserve">(Barbarani </w:t>
      </w:r>
      <w:r>
        <w:rPr>
          <w:lang w:val="ru-RU" w:eastAsia="ru-RU" w:bidi="ru-RU"/>
          <w:w w:val="100"/>
          <w:spacing w:val="0"/>
          <w:color w:val="000000"/>
          <w:position w:val="0"/>
        </w:rPr>
        <w:t xml:space="preserve">V </w:t>
      </w:r>
      <w:r>
        <w:rPr>
          <w:lang w:val="en-US" w:eastAsia="en-US" w:bidi="en-US"/>
          <w:w w:val="100"/>
          <w:spacing w:val="0"/>
          <w:color w:val="000000"/>
          <w:position w:val="0"/>
        </w:rPr>
        <w:t xml:space="preserve">et al., </w:t>
      </w:r>
      <w:r>
        <w:rPr>
          <w:lang w:val="ru-RU" w:eastAsia="ru-RU" w:bidi="ru-RU"/>
          <w:w w:val="100"/>
          <w:spacing w:val="0"/>
          <w:color w:val="000000"/>
          <w:position w:val="0"/>
        </w:rPr>
        <w:t>1978). Если длительность заболевания матери превышает 5 лет, риск врожденного порока сердца у ребенка увеличива</w:t>
        <w:softHyphen/>
        <w:t xml:space="preserve">ется практически вдвое </w:t>
      </w:r>
      <w:r>
        <w:rPr>
          <w:lang w:val="en-US" w:eastAsia="en-US" w:bidi="en-US"/>
          <w:w w:val="100"/>
          <w:spacing w:val="0"/>
          <w:color w:val="000000"/>
          <w:position w:val="0"/>
        </w:rPr>
        <w:t>(Gutgesell H.P. et al.,1980).</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Снижение частоты врожденных пороков сердца за десятилетие (1973-1983) с 4% до 2,2% иллюстрирует прогресс в лечении сахарного диабета за 10 лет и де</w:t>
        <w:softHyphen/>
        <w:t xml:space="preserve">монстрирует улучшение прогноза беременности </w:t>
      </w:r>
      <w:r>
        <w:rPr>
          <w:lang w:val="en-US" w:eastAsia="en-US" w:bidi="en-US"/>
          <w:w w:val="100"/>
          <w:spacing w:val="0"/>
          <w:color w:val="000000"/>
          <w:position w:val="0"/>
        </w:rPr>
        <w:t xml:space="preserve">(Rowland T.W. et al. </w:t>
      </w:r>
      <w:r>
        <w:rPr>
          <w:lang w:val="ru-RU" w:eastAsia="ru-RU" w:bidi="ru-RU"/>
          <w:w w:val="100"/>
          <w:spacing w:val="0"/>
          <w:color w:val="000000"/>
          <w:position w:val="0"/>
        </w:rPr>
        <w:t xml:space="preserve">(1973) и </w:t>
      </w:r>
      <w:r>
        <w:rPr>
          <w:lang w:val="en-US" w:eastAsia="en-US" w:bidi="en-US"/>
          <w:w w:val="100"/>
          <w:spacing w:val="0"/>
          <w:color w:val="000000"/>
          <w:position w:val="0"/>
        </w:rPr>
        <w:t xml:space="preserve">Furmann K. et al. (1983). </w:t>
      </w:r>
      <w:r>
        <w:rPr>
          <w:lang w:val="ru-RU" w:eastAsia="ru-RU" w:bidi="ru-RU"/>
          <w:w w:val="100"/>
          <w:spacing w:val="0"/>
          <w:color w:val="000000"/>
          <w:position w:val="0"/>
        </w:rPr>
        <w:t>Это улучшение касается всех врожденных дефектов, а не только пороков сердца и крупных сосудов. По</w:t>
        <w:softHyphen/>
        <w:t>явилось также предположение, что инсулинзависи</w:t>
        <w:softHyphen/>
        <w:t xml:space="preserve">мый сахарный диабет, возможно, практически более легко компенсировать, чем инсулинрезистентный </w:t>
      </w:r>
      <w:r>
        <w:rPr>
          <w:lang w:val="en-US" w:eastAsia="en-US" w:bidi="en-US"/>
          <w:w w:val="100"/>
          <w:spacing w:val="0"/>
          <w:color w:val="000000"/>
          <w:position w:val="0"/>
        </w:rPr>
        <w:t xml:space="preserve">(Furmann K. et al., </w:t>
      </w:r>
      <w:r>
        <w:rPr>
          <w:lang w:val="ru-RU" w:eastAsia="ru-RU" w:bidi="ru-RU"/>
          <w:w w:val="100"/>
          <w:spacing w:val="0"/>
          <w:color w:val="000000"/>
          <w:position w:val="0"/>
        </w:rPr>
        <w:t>1983), т.к. разница в относительном риске оказалась незначительной (3,1-3,5).</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Начиная с 1940-х годов, педиатры обнаруживали на</w:t>
        <w:softHyphen/>
        <w:t>рушения со стороны сердца у многих детей, матери которых во время беременности страдали сахарным диабетом. Установлено, что причиной этих наруше</w:t>
        <w:softHyphen/>
        <w:t xml:space="preserve">ний является гипертрофическая кардиомиопатия, выявляемая у 22,7-42,9% детей </w:t>
      </w:r>
      <w:r>
        <w:rPr>
          <w:lang w:val="en-US" w:eastAsia="en-US" w:bidi="en-US"/>
          <w:w w:val="100"/>
          <w:spacing w:val="0"/>
          <w:color w:val="000000"/>
          <w:position w:val="0"/>
        </w:rPr>
        <w:t xml:space="preserve">(Gutgesell H.P. et al.,1980). </w:t>
      </w:r>
      <w:r>
        <w:rPr>
          <w:lang w:val="ru-RU" w:eastAsia="ru-RU" w:bidi="ru-RU"/>
          <w:w w:val="100"/>
          <w:spacing w:val="0"/>
          <w:color w:val="000000"/>
          <w:position w:val="0"/>
        </w:rPr>
        <w:t>Данные изменения могут сопровождаться клинической симптоматикой сердечной недостаточ</w:t>
        <w:softHyphen/>
        <w:t>ности, а также протекать с обструкцией выходного тракта левого желудочка. При правильной организа</w:t>
        <w:softHyphen/>
        <w:t>ции ухода за ребенком и проведении оптимального курса терапии, направленной на коррекцию метабо</w:t>
        <w:softHyphen/>
        <w:t>лических и гемодинамических нарушений, весь симптомокомплекс нарушений, как правило, прохо</w:t>
        <w:softHyphen/>
        <w:t xml:space="preserve">дит к 3-месячному возрасту </w:t>
      </w:r>
      <w:r>
        <w:rPr>
          <w:lang w:val="en-US" w:eastAsia="en-US" w:bidi="en-US"/>
          <w:w w:val="100"/>
          <w:spacing w:val="0"/>
          <w:color w:val="000000"/>
          <w:position w:val="0"/>
        </w:rPr>
        <w:t xml:space="preserve">(Gutgesell H.P. et al.,1980). </w:t>
      </w:r>
      <w:r>
        <w:rPr>
          <w:lang w:val="ru-RU" w:eastAsia="ru-RU" w:bidi="ru-RU"/>
          <w:w w:val="100"/>
          <w:spacing w:val="0"/>
          <w:color w:val="000000"/>
          <w:position w:val="0"/>
        </w:rPr>
        <w:t>Утолщение межжелудочковой перегородки, выявляе</w:t>
        <w:softHyphen/>
        <w:t>мое по данным эхокардиографии, исчезает примерно к 6 месяцам жизни.</w:t>
      </w:r>
    </w:p>
    <w:p>
      <w:pPr>
        <w:pStyle w:val="Style30"/>
        <w:numPr>
          <w:ilvl w:val="0"/>
          <w:numId w:val="37"/>
        </w:numPr>
        <w:tabs>
          <w:tab w:leader="none" w:pos="238" w:val="left"/>
        </w:tabs>
        <w:widowControl w:val="0"/>
        <w:keepNext w:val="0"/>
        <w:keepLines w:val="0"/>
        <w:shd w:val="clear" w:color="auto" w:fill="auto"/>
        <w:bidi w:val="0"/>
        <w:spacing w:before="0" w:after="180"/>
        <w:ind w:left="280" w:right="0" w:hanging="280"/>
      </w:pPr>
      <w:r>
        <w:rPr>
          <w:lang w:val="ru-RU" w:eastAsia="ru-RU" w:bidi="ru-RU"/>
          <w:w w:val="100"/>
          <w:spacing w:val="0"/>
          <w:color w:val="000000"/>
          <w:position w:val="0"/>
        </w:rPr>
        <w:t xml:space="preserve">Пороки сердца формируются чаще всего в первые 6 недель гестации </w:t>
      </w:r>
      <w:r>
        <w:rPr>
          <w:lang w:val="en-US" w:eastAsia="en-US" w:bidi="en-US"/>
          <w:w w:val="100"/>
          <w:spacing w:val="0"/>
          <w:color w:val="000000"/>
          <w:position w:val="0"/>
        </w:rPr>
        <w:t xml:space="preserve">(Buchanan T.A., </w:t>
      </w:r>
      <w:r>
        <w:rPr>
          <w:lang w:val="ru-RU" w:eastAsia="ru-RU" w:bidi="ru-RU"/>
          <w:w w:val="100"/>
          <w:spacing w:val="0"/>
          <w:color w:val="000000"/>
          <w:position w:val="0"/>
        </w:rPr>
        <w:t>1994). Поэтому под</w:t>
        <w:softHyphen/>
        <w:t>держание нормального уровня глюкозы в крови в эти сроки может значительно снизить (если не предотвра</w:t>
        <w:softHyphen/>
        <w:t>тить совсем) риск возникновения врожденного поро</w:t>
        <w:softHyphen/>
        <w:t>ка сердца у ребенка. Для женщин, больных сахарным диабетом, вопрос адекватной контрацепции, плани</w:t>
        <w:softHyphen/>
        <w:t>рования беременности и назначения адекватной тера</w:t>
        <w:softHyphen/>
        <w:t>пии на ранних сроках является важной задачей про</w:t>
        <w:softHyphen/>
        <w:t>филактики пороков сердца у детей. Все женщины де</w:t>
        <w:softHyphen/>
        <w:t>тородного возраста, больные сахарным диабетом, должны быть информированы о тератогенном эффек</w:t>
        <w:softHyphen/>
        <w:t>те заболевания и о возможностях профилактики.</w:t>
      </w:r>
    </w:p>
    <w:p>
      <w:pPr>
        <w:pStyle w:val="Style92"/>
        <w:widowControl w:val="0"/>
        <w:keepNext/>
        <w:keepLines/>
        <w:shd w:val="clear" w:color="auto" w:fill="auto"/>
        <w:bidi w:val="0"/>
        <w:spacing w:before="0" w:after="0"/>
        <w:ind w:left="280" w:right="0"/>
      </w:pPr>
      <w:bookmarkStart w:id="296" w:name="bookmark296"/>
      <w:r>
        <w:rPr>
          <w:lang w:val="ru-RU" w:eastAsia="ru-RU" w:bidi="ru-RU"/>
          <w:w w:val="100"/>
          <w:spacing w:val="0"/>
          <w:color w:val="000000"/>
          <w:position w:val="0"/>
        </w:rPr>
        <w:t>Другие заболевания родителей</w:t>
      </w:r>
      <w:bookmarkEnd w:id="296"/>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pict>
          <v:shape id="_x0000_s1139" type="#_x0000_t75" style="position:absolute;margin-left:130.55pt;margin-top:736.8pt;width:209.75pt;height:14.9pt;z-index:-125829319;mso-wrap-distance-left:124.1pt;mso-wrap-distance-right:147.85pt;mso-wrap-distance-bottom:10.8pt;mso-position-horizontal-relative:margin;mso-position-vertical-relative:margin" wrapcoords="0 0 21600 0 21600 21600 0 21600 0 0">
            <v:imagedata r:id="rId187" r:href="rId188"/>
            <w10:wrap type="topAndBottom" anchorx="margin" anchory="margin"/>
          </v:shape>
        </w:pict>
      </w:r>
      <w:r>
        <w:rPr>
          <w:lang w:val="ru-RU" w:eastAsia="ru-RU" w:bidi="ru-RU"/>
          <w:w w:val="100"/>
          <w:spacing w:val="0"/>
          <w:color w:val="000000"/>
          <w:position w:val="0"/>
        </w:rPr>
        <w:t>Тератогенное влияние на сердце ребенка могут ока</w:t>
        <w:softHyphen/>
        <w:t>зывать различные системные заболевания матери. Доказана связь между системной красной волчанкой</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у матери и формированием врожденного сердечного блока у ребенка. Также подтверждено влияние арте</w:t>
        <w:softHyphen/>
        <w:t>риальной гипертензии у матери на формирование от</w:t>
        <w:softHyphen/>
        <w:t>крытого артериального протока у ребенка.</w:t>
      </w:r>
    </w:p>
    <w:p>
      <w:pPr>
        <w:pStyle w:val="Style30"/>
        <w:numPr>
          <w:ilvl w:val="0"/>
          <w:numId w:val="37"/>
        </w:numPr>
        <w:tabs>
          <w:tab w:leader="none" w:pos="239" w:val="left"/>
        </w:tabs>
        <w:widowControl w:val="0"/>
        <w:keepNext w:val="0"/>
        <w:keepLines w:val="0"/>
        <w:shd w:val="clear" w:color="auto" w:fill="auto"/>
        <w:bidi w:val="0"/>
        <w:spacing w:before="0" w:after="180"/>
        <w:ind w:left="260" w:right="0"/>
      </w:pPr>
      <w:r>
        <w:rPr>
          <w:lang w:val="ru-RU" w:eastAsia="ru-RU" w:bidi="ru-RU"/>
          <w:w w:val="100"/>
          <w:spacing w:val="0"/>
          <w:color w:val="000000"/>
          <w:position w:val="0"/>
        </w:rPr>
        <w:t>Фенилкетонурия или гиперфенилаланинемия у мате</w:t>
        <w:softHyphen/>
        <w:t>ри увеличивает риск возникновения у ребенка врож</w:t>
        <w:softHyphen/>
        <w:t xml:space="preserve">денных пороков сердца </w:t>
      </w:r>
      <w:r>
        <w:rPr>
          <w:lang w:val="en-US" w:eastAsia="en-US" w:bidi="en-US"/>
          <w:w w:val="100"/>
          <w:spacing w:val="0"/>
          <w:color w:val="000000"/>
          <w:position w:val="0"/>
        </w:rPr>
        <w:t xml:space="preserve">(Schinzel A.A.,1983). </w:t>
      </w:r>
      <w:r>
        <w:rPr>
          <w:lang w:val="ru-RU" w:eastAsia="ru-RU" w:bidi="ru-RU"/>
          <w:w w:val="100"/>
          <w:spacing w:val="0"/>
          <w:color w:val="000000"/>
          <w:position w:val="0"/>
        </w:rPr>
        <w:t>Врож</w:t>
        <w:softHyphen/>
        <w:t>денные пороки сердца выявлены у 18% детей, матери которых во время беременности имели уровень фе</w:t>
        <w:softHyphen/>
        <w:t xml:space="preserve">нилаланина в крови более 16 мг/100 мл </w:t>
      </w:r>
      <w:r>
        <w:rPr>
          <w:lang w:val="en-US" w:eastAsia="en-US" w:bidi="en-US"/>
          <w:w w:val="100"/>
          <w:spacing w:val="0"/>
          <w:color w:val="000000"/>
          <w:position w:val="0"/>
        </w:rPr>
        <w:t xml:space="preserve">(Lenke R.R. et al., </w:t>
      </w:r>
      <w:r>
        <w:rPr>
          <w:lang w:val="ru-RU" w:eastAsia="ru-RU" w:bidi="ru-RU"/>
          <w:w w:val="100"/>
          <w:spacing w:val="0"/>
          <w:color w:val="000000"/>
          <w:position w:val="0"/>
        </w:rPr>
        <w:t>1980). Если же брать в расчет только семьи с на</w:t>
        <w:softHyphen/>
        <w:t>следственной фенилкетонурией, то частота врожден</w:t>
        <w:softHyphen/>
        <w:t>ных пороков сердца достигает 42%. По спектру кар</w:t>
        <w:softHyphen/>
        <w:t>диальных аномалий наиболее частыми пороками яв</w:t>
        <w:softHyphen/>
        <w:t>ляются открытый артериальный проток, дефект меж</w:t>
        <w:softHyphen/>
        <w:t>желудочковой перегородки и тетрада Фалло.</w:t>
      </w:r>
    </w:p>
    <w:p>
      <w:pPr>
        <w:pStyle w:val="Style92"/>
        <w:widowControl w:val="0"/>
        <w:keepNext/>
        <w:keepLines/>
        <w:shd w:val="clear" w:color="auto" w:fill="auto"/>
        <w:bidi w:val="0"/>
        <w:spacing w:before="0" w:after="0"/>
        <w:ind w:left="260" w:right="0" w:hanging="260"/>
      </w:pPr>
      <w:bookmarkStart w:id="297" w:name="bookmark297"/>
      <w:r>
        <w:rPr>
          <w:lang w:val="ru-RU" w:eastAsia="ru-RU" w:bidi="ru-RU"/>
          <w:w w:val="100"/>
          <w:spacing w:val="0"/>
          <w:color w:val="000000"/>
          <w:position w:val="0"/>
        </w:rPr>
        <w:t>Краснуха</w:t>
      </w:r>
      <w:bookmarkEnd w:id="297"/>
    </w:p>
    <w:p>
      <w:pPr>
        <w:pStyle w:val="Style30"/>
        <w:numPr>
          <w:ilvl w:val="0"/>
          <w:numId w:val="37"/>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Внутриутробная инфекция вирусом краснухи приво</w:t>
        <w:softHyphen/>
        <w:t>дит к развитию глаукомы, микрофтальмии, катарак</w:t>
        <w:softHyphen/>
        <w:t>ты, сердечных аномалий, глухоты и умственной от</w:t>
        <w:softHyphen/>
        <w:t>сталости. Все вместе симптомы носят название «син</w:t>
        <w:softHyphen/>
        <w:t xml:space="preserve">дрома врожденной краснухи». Синдром был впервые описан </w:t>
      </w:r>
      <w:r>
        <w:rPr>
          <w:lang w:val="en-US" w:eastAsia="en-US" w:bidi="en-US"/>
          <w:w w:val="100"/>
          <w:spacing w:val="0"/>
          <w:color w:val="000000"/>
          <w:position w:val="0"/>
        </w:rPr>
        <w:t xml:space="preserve">Gregg </w:t>
      </w:r>
      <w:r>
        <w:rPr>
          <w:lang w:val="ru-RU" w:eastAsia="ru-RU" w:bidi="ru-RU"/>
          <w:w w:val="100"/>
          <w:spacing w:val="0"/>
          <w:color w:val="000000"/>
          <w:position w:val="0"/>
        </w:rPr>
        <w:t>в 1941 году. Этот же исследователь дока</w:t>
        <w:softHyphen/>
        <w:t>зал, что у плода, зараженного краснухой в первом триместре беременности, существует 1 шанс к 6 иметь катаракту, порок развития сердца и глухоту.</w:t>
      </w:r>
    </w:p>
    <w:p>
      <w:pPr>
        <w:pStyle w:val="Style30"/>
        <w:numPr>
          <w:ilvl w:val="0"/>
          <w:numId w:val="37"/>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Эпидемия краснухи в 1963-1965 годах привела к рож</w:t>
        <w:softHyphen/>
        <w:t>дению 1 800 000 инвалидов, 20 000 мертворождений и 30 000 детей имели менее тяжелые врожденные де</w:t>
        <w:softHyphen/>
        <w:t>фекты. В годы, когда не было замечено эпидемий краснухи, частота возникновения врожденных ано</w:t>
        <w:softHyphen/>
        <w:t>малий, связанных с внутриутробным инфицировани</w:t>
        <w:softHyphen/>
        <w:t>ем вирусом краснухи, составляла приблизительно 26 на 100 000 живорожденных. После введения вак</w:t>
        <w:softHyphen/>
        <w:t>цинации против краснухи в 1969 году число детей, рожденных с пороками развития вследствие инфици</w:t>
        <w:softHyphen/>
        <w:t>рования, снизилась до 120 случаев в год.</w:t>
      </w:r>
    </w:p>
    <w:p>
      <w:pPr>
        <w:pStyle w:val="Style30"/>
        <w:numPr>
          <w:ilvl w:val="0"/>
          <w:numId w:val="37"/>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случае с краснухой выделяют два возможных пато</w:t>
        <w:softHyphen/>
        <w:t>генетических механизма поражения плода: прямое действие вируса и поражение тканей вследствие им</w:t>
        <w:softHyphen/>
        <w:t>мунного ответа на вирусную инфекцию. Данная ви</w:t>
        <w:softHyphen/>
        <w:t>русная инфекция приводит к остановке репликации клеток. Происходит остановка органогенеза, приво</w:t>
        <w:softHyphen/>
        <w:t>дящая к появлению пороков развития. Нарушение органогенеза в данном случае результируется порока</w:t>
        <w:softHyphen/>
        <w:t>ми развития глаз и сердца.</w:t>
      </w:r>
    </w:p>
    <w:p>
      <w:pPr>
        <w:pStyle w:val="Style30"/>
        <w:numPr>
          <w:ilvl w:val="0"/>
          <w:numId w:val="37"/>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Иммунный ответ может индуцировать лизис клеток, деструкцию тканей, разрушение клеточной стенки и воспалительной реакции. Деструкция тканей при</w:t>
        <w:softHyphen/>
        <w:t>водит к возникновению глухоты, мозговых дефектов, катаракте и стенозу легочной артерии.</w:t>
      </w:r>
    </w:p>
    <w:p>
      <w:pPr>
        <w:pStyle w:val="Style30"/>
        <w:numPr>
          <w:ilvl w:val="0"/>
          <w:numId w:val="37"/>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Краснуха является классическим примером биологи</w:t>
        <w:softHyphen/>
        <w:t>ческого (вирусного) тератогенного фактора окружаю</w:t>
        <w:softHyphen/>
        <w:t xml:space="preserve">щей среды. Исследования </w:t>
      </w:r>
      <w:r>
        <w:rPr>
          <w:lang w:val="en-US" w:eastAsia="en-US" w:bidi="en-US"/>
          <w:w w:val="100"/>
          <w:spacing w:val="0"/>
          <w:color w:val="000000"/>
          <w:position w:val="0"/>
        </w:rPr>
        <w:t xml:space="preserve">Toendry G. </w:t>
      </w:r>
      <w:r>
        <w:rPr>
          <w:lang w:val="ru-RU" w:eastAsia="ru-RU" w:bidi="ru-RU"/>
          <w:w w:val="100"/>
          <w:spacing w:val="0"/>
          <w:color w:val="000000"/>
          <w:position w:val="0"/>
        </w:rPr>
        <w:t xml:space="preserve">(1970) и </w:t>
      </w:r>
      <w:r>
        <w:rPr>
          <w:lang w:val="en-US" w:eastAsia="en-US" w:bidi="en-US"/>
          <w:w w:val="100"/>
          <w:spacing w:val="0"/>
          <w:color w:val="000000"/>
          <w:position w:val="0"/>
        </w:rPr>
        <w:t xml:space="preserve">Hardy J. </w:t>
      </w:r>
      <w:r>
        <w:rPr>
          <w:lang w:val="ru-RU" w:eastAsia="ru-RU" w:bidi="ru-RU"/>
          <w:w w:val="100"/>
          <w:spacing w:val="0"/>
          <w:color w:val="000000"/>
          <w:position w:val="0"/>
        </w:rPr>
        <w:t>(1971) выявляют стеноз легочной артерии, открытый артериальный проток и некроз миокарда как типич</w:t>
        <w:softHyphen/>
        <w:t>ные формы пороков сердца при врожденной красну</w:t>
        <w:softHyphen/>
        <w:t>хе (наряду с катарактой и глухотой).</w:t>
      </w:r>
    </w:p>
    <w:p>
      <w:pPr>
        <w:pStyle w:val="Style30"/>
        <w:numPr>
          <w:ilvl w:val="0"/>
          <w:numId w:val="37"/>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Вобщей сложности на примере 1275 наблюдений вы</w:t>
        <w:softHyphen/>
        <w:t>явлена частота кардиальных аномалий 48,0% и отно</w:t>
        <w:softHyphen/>
        <w:t xml:space="preserve">сительный риск 70,5 </w:t>
      </w:r>
      <w:r>
        <w:rPr>
          <w:lang w:val="en-US" w:eastAsia="en-US" w:bidi="en-US"/>
          <w:w w:val="100"/>
          <w:spacing w:val="0"/>
          <w:color w:val="000000"/>
          <w:position w:val="0"/>
        </w:rPr>
        <w:t>(Pierpont M.,1986).</w:t>
      </w:r>
    </w:p>
    <w:p>
      <w:pPr>
        <w:pStyle w:val="Style30"/>
        <w:numPr>
          <w:ilvl w:val="0"/>
          <w:numId w:val="37"/>
        </w:numPr>
        <w:tabs>
          <w:tab w:leader="none" w:pos="519"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Популяционные исследования выявляют снижение риска возникновения врожденных пороков сердца при краснухе у матери в зависимости от увеличения срока гестации, на котором произошло инфицирова</w:t>
        <w:softHyphen/>
        <w:t>ние. Так, при заражении в первом триместре риск ра</w:t>
        <w:softHyphen/>
        <w:t xml:space="preserve">вен 2,6, а в третьем триместре — 0,8 </w:t>
      </w:r>
      <w:r>
        <w:rPr>
          <w:lang w:val="en-US" w:eastAsia="en-US" w:bidi="en-US"/>
          <w:w w:val="100"/>
          <w:spacing w:val="0"/>
          <w:color w:val="000000"/>
          <w:position w:val="0"/>
        </w:rPr>
        <w:t>(Pierpont M.,1986).</w:t>
      </w:r>
    </w:p>
    <w:p>
      <w:pPr>
        <w:pStyle w:val="Style30"/>
        <w:numPr>
          <w:ilvl w:val="0"/>
          <w:numId w:val="37"/>
        </w:numPr>
        <w:tabs>
          <w:tab w:leader="none" w:pos="519" w:val="left"/>
        </w:tabs>
        <w:widowControl w:val="0"/>
        <w:keepNext w:val="0"/>
        <w:keepLines w:val="0"/>
        <w:shd w:val="clear" w:color="auto" w:fill="auto"/>
        <w:bidi w:val="0"/>
        <w:spacing w:before="0" w:after="180"/>
        <w:ind w:left="500" w:right="0" w:hanging="220"/>
      </w:pPr>
      <w:r>
        <w:rPr>
          <w:lang w:val="ru-RU" w:eastAsia="ru-RU" w:bidi="ru-RU"/>
          <w:w w:val="100"/>
          <w:spacing w:val="0"/>
          <w:color w:val="000000"/>
          <w:position w:val="0"/>
        </w:rPr>
        <w:t>Профилактическими мероприятиями, имеющими целью снижение частоты возникновения врожден</w:t>
        <w:softHyphen/>
        <w:t>ных пороков сердца вследствие заболевания красну</w:t>
        <w:softHyphen/>
        <w:t>хой беременных, являются: 1) активная вакцинация населения живой аттенуированной вакциной; 2) изо</w:t>
        <w:softHyphen/>
        <w:t>ляция больных. Если беременная все же заболела краснухой, необходимо, учитывая срок гестации, ре</w:t>
        <w:softHyphen/>
        <w:t>шить вопрос о возможности прерывания беременно</w:t>
        <w:softHyphen/>
        <w:t>сти. Некоторые авторы рекомендуют вводить гамма- глобулин (10-30 мл) с целью профилактики пораже</w:t>
        <w:softHyphen/>
        <w:t>ний плода.</w:t>
      </w:r>
    </w:p>
    <w:p>
      <w:pPr>
        <w:pStyle w:val="Style92"/>
        <w:widowControl w:val="0"/>
        <w:keepNext/>
        <w:keepLines/>
        <w:shd w:val="clear" w:color="auto" w:fill="auto"/>
        <w:bidi w:val="0"/>
        <w:spacing w:before="0" w:after="0"/>
        <w:ind w:left="500" w:right="0" w:hanging="220"/>
      </w:pPr>
      <w:bookmarkStart w:id="298" w:name="bookmark298"/>
      <w:r>
        <w:rPr>
          <w:lang w:val="ru-RU" w:eastAsia="ru-RU" w:bidi="ru-RU"/>
          <w:w w:val="100"/>
          <w:spacing w:val="0"/>
          <w:color w:val="000000"/>
          <w:position w:val="0"/>
        </w:rPr>
        <w:t>Другие инфекционные заболевания матери</w:t>
      </w:r>
      <w:bookmarkEnd w:id="298"/>
    </w:p>
    <w:p>
      <w:pPr>
        <w:pStyle w:val="Style30"/>
        <w:numPr>
          <w:ilvl w:val="0"/>
          <w:numId w:val="37"/>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Вирусы герпеса I и II типов могут оказать тератоген</w:t>
        <w:softHyphen/>
        <w:t>ное влияние на сердце и магистральные сосуды пло</w:t>
        <w:softHyphen/>
        <w:t>да. Однако количество наблюдений по этим заболе</w:t>
        <w:softHyphen/>
        <w:t>ваниям недостаточно, чтобы доказать статистически достоверно. Острые респираторные заболевания ма</w:t>
        <w:softHyphen/>
        <w:t>тери в первом триместре беременности в два раза по</w:t>
        <w:softHyphen/>
        <w:t xml:space="preserve">вышают риск развития гипоплазии левого желудочка у ребенка </w:t>
      </w:r>
      <w:r>
        <w:rPr>
          <w:lang w:val="en-US" w:eastAsia="en-US" w:bidi="en-US"/>
          <w:w w:val="100"/>
          <w:spacing w:val="0"/>
          <w:color w:val="000000"/>
          <w:position w:val="0"/>
        </w:rPr>
        <w:t xml:space="preserve">(Tikkanen J., Heinonen O.P., </w:t>
      </w:r>
      <w:r>
        <w:rPr>
          <w:lang w:val="ru-RU" w:eastAsia="ru-RU" w:bidi="ru-RU"/>
          <w:w w:val="100"/>
          <w:spacing w:val="0"/>
          <w:color w:val="000000"/>
          <w:position w:val="0"/>
        </w:rPr>
        <w:t>1990).</w:t>
      </w:r>
    </w:p>
    <w:p>
      <w:pPr>
        <w:pStyle w:val="Style30"/>
        <w:numPr>
          <w:ilvl w:val="0"/>
          <w:numId w:val="37"/>
        </w:numPr>
        <w:tabs>
          <w:tab w:leader="none" w:pos="519" w:val="left"/>
        </w:tabs>
        <w:widowControl w:val="0"/>
        <w:keepNext w:val="0"/>
        <w:keepLines w:val="0"/>
        <w:shd w:val="clear" w:color="auto" w:fill="auto"/>
        <w:bidi w:val="0"/>
        <w:spacing w:before="0" w:after="185"/>
        <w:ind w:left="500" w:right="0" w:hanging="220"/>
      </w:pPr>
      <w:r>
        <w:rPr>
          <w:lang w:val="ru-RU" w:eastAsia="ru-RU" w:bidi="ru-RU"/>
          <w:w w:val="100"/>
          <w:spacing w:val="0"/>
          <w:color w:val="000000"/>
          <w:position w:val="0"/>
        </w:rPr>
        <w:t>Большое число наблюдений за беременными, под</w:t>
        <w:softHyphen/>
        <w:t>вергшимися воздействию вируса гриппа, позволяет доказанно считать, что при этом не имеет места по</w:t>
        <w:softHyphen/>
        <w:t>вышение риска развития кардиальных аномалий.</w:t>
      </w:r>
    </w:p>
    <w:p>
      <w:pPr>
        <w:pStyle w:val="Style54"/>
        <w:widowControl w:val="0"/>
        <w:keepNext/>
        <w:keepLines/>
        <w:shd w:val="clear" w:color="auto" w:fill="auto"/>
        <w:bidi w:val="0"/>
        <w:jc w:val="left"/>
        <w:spacing w:before="0" w:after="99" w:line="210" w:lineRule="exact"/>
        <w:ind w:left="0" w:right="0" w:firstLine="0"/>
      </w:pPr>
      <w:bookmarkStart w:id="299" w:name="bookmark299"/>
      <w:r>
        <w:rPr>
          <w:lang w:val="ru-RU" w:eastAsia="ru-RU" w:bidi="ru-RU"/>
          <w:w w:val="100"/>
          <w:spacing w:val="0"/>
          <w:color w:val="000000"/>
          <w:position w:val="0"/>
        </w:rPr>
        <w:t>Метаболические тератогены</w:t>
      </w:r>
      <w:bookmarkEnd w:id="299"/>
    </w:p>
    <w:p>
      <w:pPr>
        <w:pStyle w:val="Style30"/>
        <w:numPr>
          <w:ilvl w:val="0"/>
          <w:numId w:val="37"/>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Синдромокомплекс </w:t>
      </w:r>
      <w:r>
        <w:rPr>
          <w:lang w:val="en-US" w:eastAsia="en-US" w:bidi="en-US"/>
          <w:w w:val="100"/>
          <w:spacing w:val="0"/>
          <w:color w:val="000000"/>
          <w:position w:val="0"/>
        </w:rPr>
        <w:t xml:space="preserve">TORCH </w:t>
      </w:r>
      <w:r>
        <w:rPr>
          <w:lang w:val="ru-RU" w:eastAsia="ru-RU" w:bidi="ru-RU"/>
          <w:w w:val="100"/>
          <w:spacing w:val="0"/>
          <w:color w:val="000000"/>
          <w:position w:val="0"/>
        </w:rPr>
        <w:t>включает группу сход</w:t>
        <w:softHyphen/>
        <w:t>ных аномалий развития, вызываемых микробными тератогенами: токсоплазмами, возбудителями крас</w:t>
        <w:softHyphen/>
        <w:t>нухи, цитомегаловирусной инфекцией, вирусом гер</w:t>
        <w:softHyphen/>
        <w:t xml:space="preserve">пес </w:t>
      </w:r>
      <w:r>
        <w:rPr>
          <w:lang w:val="en-US" w:eastAsia="en-US" w:bidi="en-US"/>
          <w:w w:val="100"/>
          <w:spacing w:val="0"/>
          <w:color w:val="000000"/>
          <w:position w:val="0"/>
        </w:rPr>
        <w:t xml:space="preserve">simplex, </w:t>
      </w:r>
      <w:r>
        <w:rPr>
          <w:lang w:val="ru-RU" w:eastAsia="ru-RU" w:bidi="ru-RU"/>
          <w:w w:val="100"/>
          <w:spacing w:val="0"/>
          <w:color w:val="000000"/>
          <w:position w:val="0"/>
        </w:rPr>
        <w:t>а также другими организмами, например, возбудителем сифилиса и пр. Данные микробные агенты поражают около 1-5% живорожденных и яв</w:t>
        <w:softHyphen/>
        <w:t>ляются одной из ведущих причин младенческой смертности.</w:t>
      </w:r>
    </w:p>
    <w:p>
      <w:pPr>
        <w:pStyle w:val="Style30"/>
        <w:numPr>
          <w:ilvl w:val="0"/>
          <w:numId w:val="37"/>
        </w:numPr>
        <w:tabs>
          <w:tab w:leader="none" w:pos="519" w:val="left"/>
        </w:tabs>
        <w:widowControl w:val="0"/>
        <w:keepNext w:val="0"/>
        <w:keepLines w:val="0"/>
        <w:shd w:val="clear" w:color="auto" w:fill="auto"/>
        <w:bidi w:val="0"/>
        <w:spacing w:before="0" w:after="185"/>
        <w:ind w:left="500" w:right="0" w:hanging="220"/>
      </w:pPr>
      <w:r>
        <w:rPr>
          <w:lang w:val="ru-RU" w:eastAsia="ru-RU" w:bidi="ru-RU"/>
          <w:w w:val="100"/>
          <w:spacing w:val="0"/>
          <w:color w:val="000000"/>
          <w:position w:val="0"/>
        </w:rPr>
        <w:t>Основные клинические проявления воздействия ми</w:t>
        <w:softHyphen/>
        <w:t>кробных тератогенов — это преждевременные роды, задержка роста, неврологические нарушения, пора</w:t>
        <w:softHyphen/>
        <w:t>жение глаз, печени, сердца, слухового анализатора и повреждение костей. Также обычно наблюдается микроцефалия, гидроцефалия и задержка психомо</w:t>
        <w:softHyphen/>
        <w:t>торного развития.</w:t>
      </w:r>
    </w:p>
    <w:p>
      <w:pPr>
        <w:pStyle w:val="Style54"/>
        <w:widowControl w:val="0"/>
        <w:keepNext/>
        <w:keepLines/>
        <w:shd w:val="clear" w:color="auto" w:fill="auto"/>
        <w:bidi w:val="0"/>
        <w:jc w:val="left"/>
        <w:spacing w:before="0" w:after="104" w:line="210" w:lineRule="exact"/>
        <w:ind w:left="0" w:right="0" w:firstLine="0"/>
      </w:pPr>
      <w:bookmarkStart w:id="300" w:name="bookmark300"/>
      <w:r>
        <w:rPr>
          <w:lang w:val="ru-RU" w:eastAsia="ru-RU" w:bidi="ru-RU"/>
          <w:w w:val="100"/>
          <w:spacing w:val="0"/>
          <w:color w:val="000000"/>
          <w:position w:val="0"/>
        </w:rPr>
        <w:t>Токсоплазмоз</w:t>
      </w:r>
      <w:bookmarkEnd w:id="300"/>
    </w:p>
    <w:p>
      <w:pPr>
        <w:pStyle w:val="Style30"/>
        <w:numPr>
          <w:ilvl w:val="0"/>
          <w:numId w:val="37"/>
        </w:numPr>
        <w:tabs>
          <w:tab w:leader="none" w:pos="519" w:val="left"/>
        </w:tabs>
        <w:widowControl w:val="0"/>
        <w:keepNext w:val="0"/>
        <w:keepLines w:val="0"/>
        <w:shd w:val="clear" w:color="auto" w:fill="auto"/>
        <w:bidi w:val="0"/>
        <w:spacing w:before="0" w:after="0"/>
        <w:ind w:left="500" w:right="0" w:hanging="220"/>
      </w:pPr>
      <w:r>
        <w:pict>
          <v:shape id="_x0000_s1140" type="#_x0000_t75" style="position:absolute;margin-left:141.7pt;margin-top:736.8pt;width:209.75pt;height:14.9pt;z-index:-125829318;mso-wrap-distance-left:135.35pt;mso-wrap-distance-right:136.8pt;mso-wrap-distance-bottom:10.8pt;mso-position-horizontal-relative:margin;mso-position-vertical-relative:margin" wrapcoords="0 0 21600 0 21600 21600 0 21600 0 0">
            <v:imagedata r:id="rId189" r:href="rId190"/>
            <w10:wrap type="topAndBottom" anchorx="margin" anchory="margin"/>
          </v:shape>
        </w:pict>
      </w:r>
      <w:r>
        <w:rPr>
          <w:lang w:val="en-US" w:eastAsia="en-US" w:bidi="en-US"/>
          <w:w w:val="100"/>
          <w:spacing w:val="0"/>
          <w:color w:val="000000"/>
          <w:position w:val="0"/>
        </w:rPr>
        <w:t xml:space="preserve">Toxoplasma gondii </w:t>
      </w:r>
      <w:r>
        <w:rPr>
          <w:lang w:val="ru-RU" w:eastAsia="ru-RU" w:bidi="ru-RU"/>
          <w:w w:val="100"/>
          <w:spacing w:val="0"/>
          <w:color w:val="000000"/>
          <w:position w:val="0"/>
        </w:rPr>
        <w:t>— это возбудитель протозойной па</w:t>
        <w:softHyphen/>
        <w:t>разитарной инфекции, который способен проникать через плаценту. Поражение плода проявляется в виде развития гидроцефалии, микроцефалии, хореорети- нита, повреждений головного мозга и множественных различных органных нарушений и дисфункций. По</w:t>
        <w:softHyphen/>
        <w:t>рядка 25% женщин детородного возраста имеют анти</w:t>
        <w:softHyphen/>
        <w:t>тела к токсоплазме, однако поражения плода токсо- плазмозной инфекцией выявляются лишь в 0,1% слу</w:t>
        <w:softHyphen/>
        <w:t>чаев (приблизительно 1 на 4000 беременных).</w:t>
      </w:r>
      <w:r>
        <w:br w:type="page"/>
      </w:r>
    </w:p>
    <w:p>
      <w:pPr>
        <w:pStyle w:val="Style30"/>
        <w:numPr>
          <w:ilvl w:val="0"/>
          <w:numId w:val="37"/>
        </w:numPr>
        <w:tabs>
          <w:tab w:leader="none" w:pos="497" w:val="left"/>
        </w:tabs>
        <w:widowControl w:val="0"/>
        <w:keepNext w:val="0"/>
        <w:keepLines w:val="0"/>
        <w:shd w:val="clear" w:color="auto" w:fill="auto"/>
        <w:bidi w:val="0"/>
        <w:spacing w:before="0" w:after="125"/>
        <w:ind w:left="500" w:right="0" w:hanging="240"/>
      </w:pPr>
      <w:r>
        <w:rPr>
          <w:lang w:val="ru-RU" w:eastAsia="ru-RU" w:bidi="ru-RU"/>
          <w:w w:val="100"/>
          <w:spacing w:val="0"/>
          <w:color w:val="000000"/>
          <w:position w:val="0"/>
        </w:rPr>
        <w:t>Тяжесть поражения плода напрямую связана со вре</w:t>
        <w:softHyphen/>
        <w:t>менем воздействия тератогена. Если воздействие произошло в первом триместре беременности, то у 15-20% плодов выявляются тяжелые пороки разви</w:t>
        <w:softHyphen/>
        <w:t>тия; если во втором — у 25-30%; в третьем — у 60%, причем 90% новорожденных, подвергшихся воздей</w:t>
        <w:softHyphen/>
        <w:t>ствию микробного агента в третьем триместре, явля</w:t>
        <w:softHyphen/>
        <w:t>ются бессимптомными на момент рождения.</w:t>
      </w:r>
    </w:p>
    <w:p>
      <w:pPr>
        <w:pStyle w:val="Style54"/>
        <w:widowControl w:val="0"/>
        <w:keepNext/>
        <w:keepLines/>
        <w:shd w:val="clear" w:color="auto" w:fill="auto"/>
        <w:bidi w:val="0"/>
        <w:jc w:val="left"/>
        <w:spacing w:before="0" w:after="39" w:line="210" w:lineRule="exact"/>
        <w:ind w:left="0" w:right="0" w:firstLine="0"/>
      </w:pPr>
      <w:bookmarkStart w:id="301" w:name="bookmark301"/>
      <w:r>
        <w:rPr>
          <w:lang w:val="ru-RU" w:eastAsia="ru-RU" w:bidi="ru-RU"/>
          <w:w w:val="100"/>
          <w:spacing w:val="0"/>
          <w:color w:val="000000"/>
          <w:position w:val="0"/>
        </w:rPr>
        <w:t>Сифилис</w:t>
      </w:r>
      <w:bookmarkEnd w:id="301"/>
    </w:p>
    <w:p>
      <w:pPr>
        <w:pStyle w:val="Style30"/>
        <w:numPr>
          <w:ilvl w:val="0"/>
          <w:numId w:val="37"/>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Сифилис передается от нелеченной матери к плоду в 75-90% случаев. Сотни детей каждый год рождают</w:t>
        <w:softHyphen/>
        <w:t>ся, зараженные сифилисом. 75% детей не имеют симптомокомплекса инфекции на момент рождения.</w:t>
      </w:r>
    </w:p>
    <w:p>
      <w:pPr>
        <w:pStyle w:val="Style30"/>
        <w:numPr>
          <w:ilvl w:val="0"/>
          <w:numId w:val="37"/>
        </w:numPr>
        <w:tabs>
          <w:tab w:leader="none" w:pos="497" w:val="left"/>
        </w:tabs>
        <w:widowControl w:val="0"/>
        <w:keepNext w:val="0"/>
        <w:keepLines w:val="0"/>
        <w:shd w:val="clear" w:color="auto" w:fill="auto"/>
        <w:bidi w:val="0"/>
        <w:spacing w:before="0" w:after="125"/>
        <w:ind w:left="500" w:right="0" w:hanging="240"/>
      </w:pPr>
      <w:r>
        <w:rPr>
          <w:lang w:val="ru-RU" w:eastAsia="ru-RU" w:bidi="ru-RU"/>
          <w:w w:val="100"/>
          <w:spacing w:val="0"/>
          <w:color w:val="000000"/>
          <w:position w:val="0"/>
        </w:rPr>
        <w:t>Поражение плода на ранних сроках беременности ча</w:t>
        <w:softHyphen/>
        <w:t>ще всего заканчивается спонтанным абортом. Если прерывания беременности не происходит, то дети рож</w:t>
        <w:softHyphen/>
        <w:t>даются достаточно сохранными, но с малым весом, не</w:t>
        <w:softHyphen/>
        <w:t>зрелостью, анемией с поражением печени и селезенки, имеют поражение кожных покровов, костной системы. Инфицирование в более позднем периоде приводит к развитию клинической симптоматики в возрасте 2 года и более. Обычно клиническая картина в таких случаях включает глухоту, аномалии костей и зубов, по</w:t>
        <w:softHyphen/>
        <w:t>ражение кожи и сердечно-сосудистые аномалии.</w:t>
      </w:r>
    </w:p>
    <w:p>
      <w:pPr>
        <w:pStyle w:val="Style54"/>
        <w:widowControl w:val="0"/>
        <w:keepNext/>
        <w:keepLines/>
        <w:shd w:val="clear" w:color="auto" w:fill="auto"/>
        <w:bidi w:val="0"/>
        <w:jc w:val="left"/>
        <w:spacing w:before="0" w:after="39" w:line="210" w:lineRule="exact"/>
        <w:ind w:left="0" w:right="0" w:firstLine="0"/>
      </w:pPr>
      <w:bookmarkStart w:id="302" w:name="bookmark302"/>
      <w:r>
        <w:rPr>
          <w:lang w:val="ru-RU" w:eastAsia="ru-RU" w:bidi="ru-RU"/>
          <w:w w:val="100"/>
          <w:spacing w:val="0"/>
          <w:color w:val="000000"/>
          <w:position w:val="0"/>
        </w:rPr>
        <w:t>Цитомегаловирус (ЦМВ)</w:t>
      </w:r>
      <w:bookmarkEnd w:id="302"/>
    </w:p>
    <w:p>
      <w:pPr>
        <w:pStyle w:val="Style30"/>
        <w:numPr>
          <w:ilvl w:val="0"/>
          <w:numId w:val="37"/>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Заражение плода на ранних сроках гестации обычно заканчивается фатально. Заражение на более поздних сроках приводит к слепоте, глухоте, ДЦП и умствен</w:t>
        <w:softHyphen/>
        <w:t>ной отсталости. Внутриутробное инфицирование у 90% детей протекает без развития клинических про</w:t>
        <w:softHyphen/>
        <w:t>явлений заболевания. 5% внутриутробно инфициро</w:t>
        <w:softHyphen/>
        <w:t>ванных имеют атипичную клиническую картину и лишь 5% — типичные клинические проявления ци- томегаловирусной инфекции — гепатит, недоношен</w:t>
        <w:softHyphen/>
        <w:t>ность, микроцефалию, анемию, интракраниальные кальцификаты и внутриутробную задержку роста.</w:t>
      </w:r>
    </w:p>
    <w:p>
      <w:pPr>
        <w:pStyle w:val="Style30"/>
        <w:numPr>
          <w:ilvl w:val="0"/>
          <w:numId w:val="37"/>
        </w:numPr>
        <w:tabs>
          <w:tab w:leader="none" w:pos="497" w:val="left"/>
        </w:tabs>
        <w:widowControl w:val="0"/>
        <w:keepNext w:val="0"/>
        <w:keepLines w:val="0"/>
        <w:shd w:val="clear" w:color="auto" w:fill="auto"/>
        <w:bidi w:val="0"/>
        <w:spacing w:before="0" w:after="125"/>
        <w:ind w:left="500" w:right="0" w:hanging="240"/>
      </w:pPr>
      <w:r>
        <w:rPr>
          <w:lang w:val="ru-RU" w:eastAsia="ru-RU" w:bidi="ru-RU"/>
          <w:w w:val="100"/>
          <w:spacing w:val="0"/>
          <w:color w:val="000000"/>
          <w:position w:val="0"/>
        </w:rPr>
        <w:t>Механизм тератогенного эффекта ЦМВ сходен с тако - вым у вируса краснухи, т.е. основными звеньями пато</w:t>
        <w:softHyphen/>
        <w:t>генеза являются лизис клеток и иммунные реакции.</w:t>
      </w:r>
    </w:p>
    <w:p>
      <w:pPr>
        <w:pStyle w:val="Style54"/>
        <w:widowControl w:val="0"/>
        <w:keepNext/>
        <w:keepLines/>
        <w:shd w:val="clear" w:color="auto" w:fill="auto"/>
        <w:bidi w:val="0"/>
        <w:jc w:val="left"/>
        <w:spacing w:before="0" w:after="39" w:line="210" w:lineRule="exact"/>
        <w:ind w:left="0" w:right="0" w:firstLine="0"/>
      </w:pPr>
      <w:bookmarkStart w:id="303" w:name="bookmark303"/>
      <w:r>
        <w:rPr>
          <w:lang w:val="ru-RU" w:eastAsia="ru-RU" w:bidi="ru-RU"/>
          <w:w w:val="100"/>
          <w:spacing w:val="0"/>
          <w:color w:val="000000"/>
          <w:position w:val="0"/>
        </w:rPr>
        <w:t>Герпес</w:t>
      </w:r>
      <w:bookmarkEnd w:id="303"/>
    </w:p>
    <w:p>
      <w:pPr>
        <w:pStyle w:val="Style30"/>
        <w:numPr>
          <w:ilvl w:val="0"/>
          <w:numId w:val="37"/>
        </w:numPr>
        <w:tabs>
          <w:tab w:leader="none" w:pos="497" w:val="left"/>
        </w:tabs>
        <w:widowControl w:val="0"/>
        <w:keepNext w:val="0"/>
        <w:keepLines w:val="0"/>
        <w:shd w:val="clear" w:color="auto" w:fill="auto"/>
        <w:bidi w:val="0"/>
        <w:spacing w:before="0" w:after="125"/>
        <w:ind w:left="500" w:right="0" w:hanging="240"/>
      </w:pPr>
      <w:r>
        <w:rPr>
          <w:lang w:val="ru-RU" w:eastAsia="ru-RU" w:bidi="ru-RU"/>
          <w:w w:val="100"/>
          <w:spacing w:val="0"/>
          <w:color w:val="000000"/>
          <w:position w:val="0"/>
        </w:rPr>
        <w:t>Внутриутробное заражение герпесом в последнее время встречается весьма редко. Врожденная герпе</w:t>
        <w:softHyphen/>
        <w:t>тическая инфекция может быть предотвращена родо</w:t>
        <w:softHyphen/>
        <w:t>вспоможением путем кесарева сечения.</w:t>
      </w:r>
    </w:p>
    <w:p>
      <w:pPr>
        <w:pStyle w:val="Style54"/>
        <w:widowControl w:val="0"/>
        <w:keepNext/>
        <w:keepLines/>
        <w:shd w:val="clear" w:color="auto" w:fill="auto"/>
        <w:bidi w:val="0"/>
        <w:jc w:val="left"/>
        <w:spacing w:before="0" w:after="39" w:line="210" w:lineRule="exact"/>
        <w:ind w:left="0" w:right="0" w:firstLine="0"/>
      </w:pPr>
      <w:bookmarkStart w:id="304" w:name="bookmark304"/>
      <w:r>
        <w:rPr>
          <w:lang w:val="ru-RU" w:eastAsia="ru-RU" w:bidi="ru-RU"/>
          <w:w w:val="100"/>
          <w:spacing w:val="0"/>
          <w:color w:val="000000"/>
          <w:position w:val="0"/>
        </w:rPr>
        <w:t>Природные тератогены</w:t>
      </w:r>
      <w:bookmarkEnd w:id="304"/>
    </w:p>
    <w:p>
      <w:pPr>
        <w:pStyle w:val="Style30"/>
        <w:numPr>
          <w:ilvl w:val="0"/>
          <w:numId w:val="37"/>
        </w:numPr>
        <w:tabs>
          <w:tab w:leader="none" w:pos="497" w:val="left"/>
        </w:tabs>
        <w:widowControl w:val="0"/>
        <w:keepNext w:val="0"/>
        <w:keepLines w:val="0"/>
        <w:shd w:val="clear" w:color="auto" w:fill="auto"/>
        <w:bidi w:val="0"/>
        <w:spacing w:before="0" w:after="125"/>
        <w:ind w:left="500" w:right="0" w:hanging="240"/>
      </w:pPr>
      <w:r>
        <w:rPr>
          <w:lang w:val="ru-RU" w:eastAsia="ru-RU" w:bidi="ru-RU"/>
          <w:w w:val="100"/>
          <w:spacing w:val="0"/>
          <w:color w:val="000000"/>
          <w:position w:val="0"/>
        </w:rPr>
        <w:t>Объекты природного происхождения, такие как рас</w:t>
        <w:softHyphen/>
        <w:t>тения, паразиты и ионизирующая радиация, могут воздействовать на плод как тератогены, вызывая воз</w:t>
        <w:softHyphen/>
        <w:t>никновение пороков развития плода.</w:t>
      </w:r>
    </w:p>
    <w:p>
      <w:pPr>
        <w:pStyle w:val="Style54"/>
        <w:widowControl w:val="0"/>
        <w:keepNext/>
        <w:keepLines/>
        <w:shd w:val="clear" w:color="auto" w:fill="auto"/>
        <w:bidi w:val="0"/>
        <w:jc w:val="left"/>
        <w:spacing w:before="0" w:after="39" w:line="210" w:lineRule="exact"/>
        <w:ind w:left="0" w:right="0" w:firstLine="0"/>
      </w:pPr>
      <w:bookmarkStart w:id="305" w:name="bookmark305"/>
      <w:r>
        <w:rPr>
          <w:lang w:val="ru-RU" w:eastAsia="ru-RU" w:bidi="ru-RU"/>
          <w:w w:val="100"/>
          <w:spacing w:val="0"/>
          <w:color w:val="000000"/>
          <w:position w:val="0"/>
        </w:rPr>
        <w:t>Растения</w:t>
      </w:r>
      <w:bookmarkEnd w:id="305"/>
    </w:p>
    <w:p>
      <w:pPr>
        <w:pStyle w:val="Style30"/>
        <w:numPr>
          <w:ilvl w:val="0"/>
          <w:numId w:val="37"/>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Ядовитые растения могут быть тератогенами. Напри</w:t>
        <w:softHyphen/>
        <w:t xml:space="preserve">мер, </w:t>
      </w:r>
      <w:r>
        <w:rPr>
          <w:lang w:val="en-US" w:eastAsia="en-US" w:bidi="en-US"/>
          <w:w w:val="100"/>
          <w:spacing w:val="0"/>
          <w:color w:val="000000"/>
          <w:position w:val="0"/>
        </w:rPr>
        <w:t xml:space="preserve">Veratrum califomicum </w:t>
      </w:r>
      <w:r>
        <w:rPr>
          <w:lang w:val="ru-RU" w:eastAsia="ru-RU" w:bidi="ru-RU"/>
          <w:w w:val="100"/>
          <w:spacing w:val="0"/>
          <w:color w:val="000000"/>
          <w:position w:val="0"/>
        </w:rPr>
        <w:t>(капуста скунсов), которая произрастает в горах, может вызывать очень тяжелые пороки развития потомства рогатого скота, поедав</w:t>
        <w:softHyphen/>
        <w:t>шего данные растения. Спектр выявляемых анома</w:t>
        <w:softHyphen/>
        <w:t>лий может включать циклопию, неврологические на</w:t>
        <w:softHyphen/>
        <w:t>рушения, сливание двух глаз в один. Человек и другие</w:t>
        <w:br w:type="column"/>
        <w:t>млекопитающие также подвержены действию данно</w:t>
        <w:softHyphen/>
        <w:t>го тератогена.</w:t>
      </w:r>
    </w:p>
    <w:p>
      <w:pPr>
        <w:pStyle w:val="Style30"/>
        <w:numPr>
          <w:ilvl w:val="0"/>
          <w:numId w:val="37"/>
        </w:numPr>
        <w:tabs>
          <w:tab w:leader="none" w:pos="520" w:val="left"/>
        </w:tabs>
        <w:widowControl w:val="0"/>
        <w:keepNext w:val="0"/>
        <w:keepLines w:val="0"/>
        <w:shd w:val="clear" w:color="auto" w:fill="auto"/>
        <w:bidi w:val="0"/>
        <w:jc w:val="left"/>
        <w:spacing w:before="0" w:after="161"/>
        <w:ind w:left="520" w:right="0" w:hanging="240"/>
      </w:pPr>
      <w:r>
        <w:rPr>
          <w:lang w:val="ru-RU" w:eastAsia="ru-RU" w:bidi="ru-RU"/>
          <w:w w:val="100"/>
          <w:spacing w:val="0"/>
          <w:color w:val="000000"/>
          <w:position w:val="0"/>
        </w:rPr>
        <w:t>Как и со многими другими тератогенами, механизм действия в данном случае остается невыясненным.</w:t>
      </w:r>
    </w:p>
    <w:p>
      <w:pPr>
        <w:pStyle w:val="Style109"/>
        <w:widowControl w:val="0"/>
        <w:keepNext w:val="0"/>
        <w:keepLines w:val="0"/>
        <w:shd w:val="clear" w:color="auto" w:fill="auto"/>
        <w:bidi w:val="0"/>
        <w:jc w:val="left"/>
        <w:spacing w:before="0" w:after="79"/>
        <w:ind w:left="0" w:right="360" w:firstLine="0"/>
      </w:pPr>
      <w:r>
        <w:rPr>
          <w:lang w:val="ru-RU" w:eastAsia="ru-RU" w:bidi="ru-RU"/>
          <w:w w:val="100"/>
          <w:spacing w:val="0"/>
          <w:color w:val="000000"/>
          <w:position w:val="0"/>
        </w:rPr>
        <w:t>Профилактические мероприятия, направленные на снижение риска возникновения врожденных пороков сердца удетей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Основной целью профилактики является предотвраще</w:t>
        <w:softHyphen/>
        <w:t>ние развития порока сердца у ребенка. Для ее выполнения должны быть приняты следующие меры:</w:t>
      </w:r>
    </w:p>
    <w:p>
      <w:pPr>
        <w:pStyle w:val="Style30"/>
        <w:numPr>
          <w:ilvl w:val="0"/>
          <w:numId w:val="37"/>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Планирование беременности.</w:t>
      </w:r>
    </w:p>
    <w:p>
      <w:pPr>
        <w:pStyle w:val="Style30"/>
        <w:numPr>
          <w:ilvl w:val="0"/>
          <w:numId w:val="37"/>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К сожалению, в настоящее время данный вопрос в широких массах населения понимается крайне узко (чаще всего в рамках предотвращения неже</w:t>
        <w:softHyphen/>
        <w:t>лательной беременности). На участковых врачей и в целом на всех работников здравоохранения ло</w:t>
        <w:softHyphen/>
        <w:t>жится большая ответственность по проведению разъяснительной работы с женщинами детородно</w:t>
        <w:softHyphen/>
        <w:t>го возраста и предоставлению информации о воз</w:t>
        <w:softHyphen/>
        <w:t>можном влиянии факторов внешней среды, на</w:t>
        <w:softHyphen/>
        <w:t>следственных факторов, а также имеющихся у женщины заболеваний на риск возникновения патологии сердечно -сосудистой системы у ребенка и о мерах профилактики.</w:t>
      </w:r>
    </w:p>
    <w:p>
      <w:pPr>
        <w:pStyle w:val="Style30"/>
        <w:numPr>
          <w:ilvl w:val="0"/>
          <w:numId w:val="37"/>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Очень важно, чтобы данная работа проводилась до начала беременности, так как, во-первых, это по</w:t>
        <w:softHyphen/>
        <w:t>зволяет своевременно выявить наличие генетичес</w:t>
        <w:softHyphen/>
        <w:t>ких факторов, которые могут реализоваться в по</w:t>
        <w:softHyphen/>
        <w:t>рок сердца у ребенка, заранее проинформировать родителей о степени риска в каждом конкретном случае, а в дальнейшем провести раннюю диагнос</w:t>
        <w:softHyphen/>
        <w:t>тику наличия аномалий сердечно-сосудистой сис</w:t>
        <w:softHyphen/>
        <w:t>темы у плода и своевременно начать лечение; во- вторых, наиболее важным периодом для развития сердечно-сосудистой системы плода являются именно первые недели беременности, когда она особенно чувствительна к любым патогенным воз</w:t>
        <w:softHyphen/>
        <w:t>действиям, поэтому именно на это время должно обращаться особенно пристальное внимание как в плане проведения терапии текущего заболевания у беременной, так и в плане предотвращения дей</w:t>
        <w:softHyphen/>
        <w:t>ствия факторов окружающей среды.</w:t>
      </w:r>
    </w:p>
    <w:p>
      <w:pPr>
        <w:pStyle w:val="Style30"/>
        <w:numPr>
          <w:ilvl w:val="0"/>
          <w:numId w:val="37"/>
        </w:numPr>
        <w:tabs>
          <w:tab w:leader="none" w:pos="757" w:val="left"/>
        </w:tabs>
        <w:widowControl w:val="0"/>
        <w:keepNext w:val="0"/>
        <w:keepLines w:val="0"/>
        <w:shd w:val="clear" w:color="auto" w:fill="auto"/>
        <w:bidi w:val="0"/>
        <w:spacing w:before="0" w:after="0"/>
        <w:ind w:left="740" w:right="0" w:hanging="220"/>
      </w:pPr>
      <w:r>
        <w:pict>
          <v:shape id="_x0000_s1141" type="#_x0000_t75" style="position:absolute;margin-left:136.45pt;margin-top:736.8pt;width:209.75pt;height:14.9pt;z-index:-125829317;mso-wrap-distance-left:136.1pt;mso-wrap-distance-right:148.1pt;mso-wrap-distance-bottom:10.8pt;mso-position-horizontal-relative:margin;mso-position-vertical-relative:margin" wrapcoords="0 0 21600 0 21600 21600 0 21600 0 0">
            <v:imagedata r:id="rId191" r:href="rId192"/>
            <w10:wrap type="topAndBottom" anchorx="margin" anchory="margin"/>
          </v:shape>
        </w:pict>
      </w:r>
      <w:r>
        <w:rPr>
          <w:lang w:val="ru-RU" w:eastAsia="ru-RU" w:bidi="ru-RU"/>
          <w:w w:val="100"/>
          <w:spacing w:val="0"/>
          <w:color w:val="000000"/>
          <w:position w:val="0"/>
        </w:rPr>
        <w:t>Женщинам, больным сахарным диабетом, следует обращать особенное внимание на поддержание нормального уровня сахара в крови именно в пер</w:t>
        <w:softHyphen/>
        <w:t xml:space="preserve">вые 6 недель беременности, т.к. это в значительной мере позволяет предотвратить развитие порока сердца у ребенка </w:t>
      </w:r>
      <w:r>
        <w:rPr>
          <w:lang w:val="en-US" w:eastAsia="en-US" w:bidi="en-US"/>
          <w:w w:val="100"/>
          <w:spacing w:val="0"/>
          <w:color w:val="000000"/>
          <w:position w:val="0"/>
        </w:rPr>
        <w:t xml:space="preserve">(Buchanan T. A.,1994). </w:t>
      </w:r>
      <w:r>
        <w:rPr>
          <w:lang w:val="ru-RU" w:eastAsia="ru-RU" w:bidi="ru-RU"/>
          <w:w w:val="100"/>
          <w:spacing w:val="0"/>
          <w:color w:val="000000"/>
          <w:position w:val="0"/>
        </w:rPr>
        <w:t>Женщинам, периодически применяющим оральные контра</w:t>
        <w:softHyphen/>
        <w:t>цептивы, необходимо знать о значительной разни</w:t>
        <w:softHyphen/>
        <w:t>це в силе тератогенного воздействия на плод раз</w:t>
        <w:softHyphen/>
        <w:t>ных препаратов и о резком повышении риска при применении некоторых комбинаций контрацеп</w:t>
        <w:softHyphen/>
        <w:t>тивов (см. гормональные препараты). Нужно иметь в виду, что кортикостероиды, которые мно</w:t>
        <w:softHyphen/>
        <w:t>гие женщины получают в виде терапии по поводу различных заболеваний, по данным исследований, не оказывают выраженного тератогенного эффек</w:t>
        <w:softHyphen/>
        <w:t>та на сердечно-сосудистую систему плода.</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Правильное проведение терапии текущего заболева</w:t>
        <w:softHyphen/>
        <w:t>ния у женщины в период беременности.</w:t>
      </w:r>
    </w:p>
    <w:p>
      <w:pPr>
        <w:pStyle w:val="Style30"/>
        <w:numPr>
          <w:ilvl w:val="0"/>
          <w:numId w:val="3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Тератогенное воздействие на сердце плода оказыва</w:t>
        <w:softHyphen/>
        <w:t>ет как само заболевание, так и терапия антиконвуль</w:t>
        <w:softHyphen/>
        <w:t>сантами. Поэтому, во-первых, назначение терапии беременной женщине должно проводиться строго по показаниям, во-вторых, всегда лучше проводить терапию одним препаратом, чем их комбинацией, в-третьих, доза препарата должна быть строго инди</w:t>
        <w:softHyphen/>
        <w:t>видуальной и делиться на несколько приемов в день, т.к высокие концентрации препарата в крови уси</w:t>
        <w:softHyphen/>
        <w:t>ливают тератогенное воздействие на плод. Необхо</w:t>
        <w:softHyphen/>
        <w:t>димо также учитывать возможные побочные эффек</w:t>
        <w:softHyphen/>
        <w:t>ты препарата и пытаться найти адекватную коррек</w:t>
        <w:softHyphen/>
        <w:t>цию. Так, например, если одновременно с назначе</w:t>
        <w:softHyphen/>
        <w:t>нием антиконвульсантов женщина будет принимать достаточное количество (4-5 мг/сут) фолатов (фола</w:t>
        <w:softHyphen/>
        <w:t>мин, фолвит, цитофол и т.п.) в день, то это позволя</w:t>
        <w:softHyphen/>
        <w:t>ет уменьшить тератогенное воздействие противосу</w:t>
        <w:softHyphen/>
        <w:t>дорожных препаратов.</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Предотвращение действия тератогенных лекарствен</w:t>
        <w:softHyphen/>
        <w:t>ных препаратов.</w:t>
      </w:r>
    </w:p>
    <w:p>
      <w:pPr>
        <w:pStyle w:val="Style30"/>
        <w:numPr>
          <w:ilvl w:val="0"/>
          <w:numId w:val="3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Во время беременности женщины используют в среднем 8 лекарственных препаратов, прописан</w:t>
        <w:softHyphen/>
        <w:t>ных врачом, и приблизительно столько же препа</w:t>
        <w:softHyphen/>
        <w:t>ратов они «прописывают себе самостоятельно». Часто лекарства кажутся такими «обыденными» и «безвредными», что женщины даже не считают их за лекарственную терапию. Обязанностью вра</w:t>
        <w:softHyphen/>
        <w:t>ча в этом случае является не только знать терато</w:t>
        <w:softHyphen/>
        <w:t>генный эффект самых часто применяемых препа</w:t>
        <w:softHyphen/>
        <w:t>ратов, но и доводить эти знания до беременной, даже не дожидаясь ее вопросов. Любые лекар</w:t>
        <w:softHyphen/>
        <w:t>ственные средства во время беременности должны применяться только после консультации с врачом.</w:t>
      </w:r>
    </w:p>
    <w:p>
      <w:pPr>
        <w:pStyle w:val="Style30"/>
        <w:numPr>
          <w:ilvl w:val="0"/>
          <w:numId w:val="37"/>
        </w:numPr>
        <w:tabs>
          <w:tab w:leader="none" w:pos="735" w:val="left"/>
        </w:tabs>
        <w:widowControl w:val="0"/>
        <w:keepNext w:val="0"/>
        <w:keepLines w:val="0"/>
        <w:shd w:val="clear" w:color="auto" w:fill="auto"/>
        <w:bidi w:val="0"/>
        <w:spacing w:before="0" w:after="0"/>
        <w:ind w:left="740" w:right="0" w:hanging="240"/>
      </w:pPr>
      <w:r>
        <w:br w:type="column"/>
      </w:r>
      <w:r>
        <w:rPr>
          <w:lang w:val="ru-RU" w:eastAsia="ru-RU" w:bidi="ru-RU"/>
          <w:w w:val="100"/>
          <w:spacing w:val="0"/>
          <w:color w:val="000000"/>
          <w:position w:val="0"/>
        </w:rPr>
        <w:t>Обязательно должны быть приняты во внимание действие физических факторов и профессиональ</w:t>
        <w:softHyphen/>
        <w:t>ных вредностей на беременную и меры по их уст</w:t>
        <w:softHyphen/>
        <w:t>ранению.</w:t>
      </w:r>
    </w:p>
    <w:p>
      <w:pPr>
        <w:pStyle w:val="Style30"/>
        <w:numPr>
          <w:ilvl w:val="0"/>
          <w:numId w:val="3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Должны применяться меры по профилактике ин</w:t>
        <w:softHyphen/>
        <w:t>фекционных заболеваний, однако, если заболева</w:t>
        <w:softHyphen/>
        <w:t>ние возникло, врач должен знать, какие инфекции являются, а какие не являются тератогенами в от</w:t>
        <w:softHyphen/>
        <w:t>ношении сердечно-сосудистой системы.</w:t>
      </w:r>
    </w:p>
    <w:p>
      <w:pPr>
        <w:pStyle w:val="Style30"/>
        <w:numPr>
          <w:ilvl w:val="0"/>
          <w:numId w:val="37"/>
        </w:numPr>
        <w:tabs>
          <w:tab w:leader="none" w:pos="735" w:val="left"/>
        </w:tabs>
        <w:widowControl w:val="0"/>
        <w:keepNext w:val="0"/>
        <w:keepLines w:val="0"/>
        <w:shd w:val="clear" w:color="auto" w:fill="auto"/>
        <w:bidi w:val="0"/>
        <w:spacing w:before="0" w:after="125"/>
        <w:ind w:left="740" w:right="0" w:hanging="240"/>
      </w:pPr>
      <w:r>
        <w:rPr>
          <w:lang w:val="ru-RU" w:eastAsia="ru-RU" w:bidi="ru-RU"/>
          <w:w w:val="100"/>
          <w:spacing w:val="0"/>
          <w:color w:val="000000"/>
          <w:position w:val="0"/>
        </w:rPr>
        <w:t>Мерами профилактики врожденных пороков сердца являются ранняя диагностика порока у плода, которая осуществляется путем проведе</w:t>
        <w:softHyphen/>
        <w:t>ния трансвагинальной эхокардиографии и (по по</w:t>
        <w:softHyphen/>
        <w:t>казаниям) кариотипирования в оптимальные сро</w:t>
        <w:softHyphen/>
        <w:t>ки, а также своевременно начатое лечение.</w:t>
      </w:r>
    </w:p>
    <w:p>
      <w:pPr>
        <w:pStyle w:val="Style54"/>
        <w:widowControl w:val="0"/>
        <w:keepNext/>
        <w:keepLines/>
        <w:shd w:val="clear" w:color="auto" w:fill="auto"/>
        <w:bidi w:val="0"/>
        <w:jc w:val="left"/>
        <w:spacing w:before="0" w:after="39" w:line="210" w:lineRule="exact"/>
        <w:ind w:left="0" w:right="0" w:firstLine="0"/>
      </w:pPr>
      <w:bookmarkStart w:id="306" w:name="bookmark306"/>
      <w:r>
        <w:rPr>
          <w:lang w:val="ru-RU" w:eastAsia="ru-RU" w:bidi="ru-RU"/>
          <w:w w:val="100"/>
          <w:spacing w:val="0"/>
          <w:color w:val="000000"/>
          <w:position w:val="0"/>
        </w:rPr>
        <w:t>Генетическая консультация</w:t>
      </w:r>
      <w:bookmarkEnd w:id="30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Если в семейном анамнезе одного из родителей имеют</w:t>
        <w:softHyphen/>
        <w:t>ся указания о наличии врожденных пороков сердца и/или других врожденных дефектов, то перед предстоящей бере</w:t>
        <w:softHyphen/>
        <w:t>менностью должна быть рекомендована генетическая кон</w:t>
        <w:softHyphen/>
        <w:t>сультация. Врач, проводящий генетическую консультацию, должен выявлять весь комплекс аномалий развития в се</w:t>
        <w:softHyphen/>
        <w:t>мейном анамнезе, а не только пороки сердечно-сосудистой системы, поскольку к настоящему времени описано доста</w:t>
        <w:softHyphen/>
        <w:t>точно много пороков развития сердца, которые имеют вы</w:t>
        <w:softHyphen/>
        <w:t>явленный тип наследования и чаще всего сочетаются с ха</w:t>
        <w:softHyphen/>
        <w:t>рактерными экстракардиальными аномалиями.</w:t>
      </w:r>
    </w:p>
    <w:p>
      <w:pPr>
        <w:pStyle w:val="Style30"/>
        <w:widowControl w:val="0"/>
        <w:keepNext w:val="0"/>
        <w:keepLines w:val="0"/>
        <w:shd w:val="clear" w:color="auto" w:fill="auto"/>
        <w:bidi w:val="0"/>
        <w:spacing w:before="0" w:after="0"/>
        <w:ind w:left="0" w:right="0" w:firstLine="280"/>
      </w:pPr>
      <w:r>
        <w:pict>
          <v:shape id="_x0000_s1142" type="#_x0000_t202" style="position:absolute;margin-left:-11.3pt;margin-top:420.5pt;width:494.15pt;height:129.1pt;z-index:-125829316;mso-wrap-distance-left:5.pt;mso-wrap-distance-right:5.pt;mso-wrap-distance-bottom:187.2pt;mso-position-horizontal-relative:margin;mso-position-vertical-relative:margin" filled="f" stroked="f">
            <v:textbox style="mso-fit-shape-to-text:t" inset="0,0,0,0">
              <w:txbxContent>
                <w:tbl>
                  <w:tblPr>
                    <w:tblOverlap w:val="never"/>
                    <w:tblLayout w:type="fixed"/>
                    <w:jc w:val="left"/>
                  </w:tblPr>
                  <w:tblGrid>
                    <w:gridCol w:w="2966"/>
                    <w:gridCol w:w="2304"/>
                    <w:gridCol w:w="2304"/>
                    <w:gridCol w:w="2309"/>
                  </w:tblGrid>
                  <w:tr>
                    <w:trPr>
                      <w:trHeight w:val="442"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ВПС</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Количество пораженных сиб</w:t>
                          <w:softHyphen/>
                          <w:t>лингов</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Риск возникновения любого порока(%)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Риск возникновения данного порока(%)</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Дефект межжелудочковой перегородки</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29/1396</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2,1</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0,5</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Дефект межпредсердной перегородки</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3/425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0,7</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0,2</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Открытый артериальный проток</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3/331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0,6</w:t>
                        </w:r>
                      </w:p>
                    </w:tc>
                  </w:tr>
                  <w:tr>
                    <w:trPr>
                      <w:trHeight w:val="235"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Коарктация аорты</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2/328</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0,6</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0,3</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Стеноз легочной артерии</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8/528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1,5</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0,6</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Стеноз аорты</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4/515</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0,8</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0,2</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Открытый атриовентрикулярный канал</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2/132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1,5</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0,8</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Транспозиция магистральных сосудов</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0/127</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Тетрада Фалло</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9/584</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1,5</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0,5</w:t>
                        </w:r>
                      </w:p>
                    </w:tc>
                  </w:tr>
                </w:tbl>
              </w:txbxContent>
            </v:textbox>
            <w10:wrap type="topAndBottom" anchorx="margin" anchory="margin"/>
          </v:shape>
        </w:pict>
      </w:r>
      <w:r>
        <w:pict>
          <v:shape id="_x0000_s1143" type="#_x0000_t202" style="position:absolute;margin-left:72.45pt;margin-top:402.pt;width:326.4pt;height:11.9pt;z-index:-125829315;mso-wrap-distance-left:5.pt;mso-wrap-distance-right:5.pt;mso-wrap-distance-bottom:187.2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 xml:space="preserve">Риск возникновения врожденных пороков сердца у братьев и сестер </w:t>
                  </w:r>
                  <w:r>
                    <w:rPr>
                      <w:rStyle w:val="CharStyle97"/>
                      <w:lang w:val="en-US" w:eastAsia="en-US" w:bidi="en-US"/>
                    </w:rPr>
                    <w:t>(Anderson R.C.)</w:t>
                  </w:r>
                </w:p>
              </w:txbxContent>
            </v:textbox>
            <w10:wrap type="topAndBottom" anchorx="margin" anchory="margin"/>
          </v:shape>
        </w:pict>
      </w:r>
      <w:r>
        <w:pict>
          <v:shape id="_x0000_s1144" type="#_x0000_t202" style="position:absolute;margin-left:442.8pt;margin-top:391.45pt;width:41.05pt;height:11.55pt;z-index:-125829314;mso-wrap-distance-left:5.pt;mso-wrap-distance-right:5.pt;mso-wrap-distance-bottom:187.2pt;mso-position-horizontal-relative:margin;mso-position-vertical-relative:margin" filled="f" stroked="f">
            <v:textbox style="mso-fit-shape-to-text:t" inset="0,0,0,0">
              <w:txbxContent>
                <w:p>
                  <w:pPr>
                    <w:pStyle w:val="Style39"/>
                    <w:widowControl w:val="0"/>
                    <w:keepNext w:val="0"/>
                    <w:keepLines w:val="0"/>
                    <w:shd w:val="clear" w:color="auto" w:fill="auto"/>
                    <w:bidi w:val="0"/>
                    <w:jc w:val="left"/>
                    <w:spacing w:before="0" w:after="0" w:line="170" w:lineRule="exact"/>
                    <w:ind w:left="0" w:right="0" w:firstLine="0"/>
                  </w:pPr>
                  <w:r>
                    <w:rPr>
                      <w:rStyle w:val="CharStyle114"/>
                      <w:i/>
                      <w:iCs/>
                    </w:rPr>
                    <w:t>Таблица 7</w:t>
                  </w:r>
                </w:p>
              </w:txbxContent>
            </v:textbox>
            <w10:wrap type="topAndBottom" anchorx="margin" anchory="margin"/>
          </v:shape>
        </w:pict>
      </w:r>
      <w:r>
        <w:pict>
          <v:shape id="_x0000_s1145" type="#_x0000_t202" style="position:absolute;margin-left:-11.3pt;margin-top:553.45pt;width:493.45pt;height:5.e-002pt;z-index:-125829313;mso-wrap-distance-left:5.pt;mso-wrap-distance-top:162.pt;mso-wrap-distance-right:5.pt;mso-wrap-distance-bottom:63.6pt;mso-position-horizontal-relative:margin;mso-position-vertical-relative:margin" filled="f" stroked="f">
            <v:textbox style="mso-fit-shape-to-text:t" inset="0,0,0,0">
              <w:txbxContent>
                <w:p>
                  <w:pPr>
                    <w:pStyle w:val="Style39"/>
                    <w:widowControl w:val="0"/>
                    <w:keepNext w:val="0"/>
                    <w:keepLines w:val="0"/>
                    <w:shd w:val="clear" w:color="auto" w:fill="auto"/>
                    <w:bidi w:val="0"/>
                    <w:spacing w:before="0" w:after="16" w:line="170" w:lineRule="exact"/>
                    <w:ind w:left="0" w:right="0" w:firstLine="0"/>
                  </w:pPr>
                  <w:r>
                    <w:rPr>
                      <w:rStyle w:val="CharStyle114"/>
                      <w:i/>
                      <w:iCs/>
                    </w:rPr>
                    <w:t>Таблица 8</w:t>
                  </w:r>
                </w:p>
                <w:p>
                  <w:pPr>
                    <w:pStyle w:val="Style96"/>
                    <w:widowControl w:val="0"/>
                    <w:keepNext w:val="0"/>
                    <w:keepLines w:val="0"/>
                    <w:shd w:val="clear" w:color="auto" w:fill="auto"/>
                    <w:bidi w:val="0"/>
                    <w:jc w:val="left"/>
                    <w:spacing w:before="0" w:after="0" w:line="180" w:lineRule="exact"/>
                    <w:ind w:left="0" w:right="0" w:firstLine="0"/>
                  </w:pPr>
                  <w:r>
                    <w:rPr>
                      <w:rStyle w:val="CharStyle97"/>
                    </w:rPr>
                    <w:t>Риск возникновения врожденных пороков сердца у детей, родители которых сами имеют врожденные пороки сердца (%)</w:t>
                  </w:r>
                </w:p>
                <w:tbl>
                  <w:tblPr>
                    <w:tblOverlap w:val="never"/>
                    <w:tblLayout w:type="fixed"/>
                    <w:jc w:val="center"/>
                  </w:tblPr>
                  <w:tblGrid>
                    <w:gridCol w:w="3288"/>
                    <w:gridCol w:w="3288"/>
                    <w:gridCol w:w="3293"/>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ВПС</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en-US" w:eastAsia="en-US" w:bidi="en-US"/>
                            <w:w w:val="100"/>
                            <w:spacing w:val="0"/>
                            <w:color w:val="000000"/>
                            <w:position w:val="0"/>
                          </w:rPr>
                          <w:t>Anderson</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en-US" w:eastAsia="en-US" w:bidi="en-US"/>
                            <w:w w:val="100"/>
                            <w:spacing w:val="0"/>
                            <w:color w:val="000000"/>
                            <w:position w:val="0"/>
                          </w:rPr>
                          <w:t xml:space="preserve">Nora </w:t>
                        </w:r>
                        <w:r>
                          <w:rPr>
                            <w:lang w:val="ru-RU" w:eastAsia="ru-RU" w:bidi="ru-RU"/>
                            <w:w w:val="100"/>
                            <w:spacing w:val="0"/>
                            <w:color w:val="000000"/>
                            <w:position w:val="0"/>
                          </w:rPr>
                          <w:t xml:space="preserve">&amp; </w:t>
                        </w:r>
                        <w:r>
                          <w:rPr>
                            <w:lang w:val="en-US" w:eastAsia="en-US" w:bidi="en-US"/>
                            <w:w w:val="100"/>
                            <w:spacing w:val="0"/>
                            <w:color w:val="000000"/>
                            <w:position w:val="0"/>
                          </w:rPr>
                          <w:t>Nora</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Дефект межжелудочковой перегородки</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2,0</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4,0</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Дефект межпредсердной перегородки</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2,5</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Открытый артериальный проток</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4,3</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Коарктация аорты</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1,7</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2,7</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Стеноз легочной артерии</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0</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3,6</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Стеноз аорты</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1,6</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3,9</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Тетрада Фалло</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2,7</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4,2</w:t>
                        </w:r>
                      </w:p>
                    </w:tc>
                  </w:tr>
                </w:tbl>
                <w:p>
                  <w:pPr>
                    <w:widowControl w:val="0"/>
                    <w:rPr>
                      <w:sz w:val="2"/>
                      <w:szCs w:val="2"/>
                    </w:rPr>
                  </w:pPr>
                </w:p>
              </w:txbxContent>
            </v:textbox>
            <w10:wrap type="topAndBottom" anchorx="margin" anchory="margin"/>
          </v:shape>
        </w:pict>
      </w:r>
      <w:r>
        <w:pict>
          <v:shape id="_x0000_s1146" type="#_x0000_t75" style="position:absolute;margin-left:136.3pt;margin-top:736.8pt;width:209.75pt;height:14.9pt;z-index:-125829312;mso-wrap-distance-left:124.3pt;mso-wrap-distance-right:136.55pt;mso-wrap-distance-bottom:10.8pt;mso-position-horizontal-relative:margin;mso-position-vertical-relative:margin" wrapcoords="0 0 21600 0 21600 21600 0 21600 0 0">
            <v:imagedata r:id="rId193" r:href="rId194"/>
            <w10:wrap type="topAndBottom" anchorx="margin" anchory="margin"/>
          </v:shape>
        </w:pict>
      </w:r>
      <w:r>
        <w:rPr>
          <w:lang w:val="ru-RU" w:eastAsia="ru-RU" w:bidi="ru-RU"/>
          <w:w w:val="100"/>
          <w:spacing w:val="0"/>
          <w:color w:val="000000"/>
          <w:position w:val="0"/>
        </w:rPr>
        <w:t>В случае изолированного врожденного порока сердца у ребенка (не ассоциированного с другими дефектами раз</w:t>
        <w:softHyphen/>
        <w:t>вития и без отягощенного кардиологического анамнеза) ге</w:t>
        <w:softHyphen/>
        <w:t>нетическая консультация может быть сведена к предостав</w:t>
        <w:softHyphen/>
        <w:t>лению информации о том, что риск развития порока серд</w:t>
        <w:softHyphen/>
        <w:t>ца у сиблингов варьирует в зависимости от вида анатомиче - ского дефекта и составляет в среднем 3,5% (табл. 7,8).</w:t>
      </w:r>
      <w:r>
        <w:br w:type="page"/>
      </w:r>
    </w:p>
    <w:p>
      <w:pPr>
        <w:pStyle w:val="Style48"/>
        <w:widowControl w:val="0"/>
        <w:keepNext/>
        <w:keepLines/>
        <w:shd w:val="clear" w:color="auto" w:fill="auto"/>
        <w:bidi w:val="0"/>
        <w:jc w:val="left"/>
        <w:spacing w:before="0" w:after="0" w:line="240" w:lineRule="exact"/>
        <w:ind w:left="0" w:right="0" w:firstLine="0"/>
      </w:pPr>
      <w:r>
        <w:pict>
          <v:shape id="_x0000_s1147" type="#_x0000_t202" style="position:absolute;margin-left:-0.25pt;margin-top:25.pt;width:494.15pt;height:198.95pt;z-index:-125829311;mso-wrap-distance-left:5.pt;mso-wrap-distance-right:5.pt;mso-position-horizontal-relative:margin;mso-position-vertical-relative:margin" filled="f" stroked="f">
            <v:textbox style="mso-fit-shape-to-text:t" inset="0,0,0,0">
              <w:txbxContent>
                <w:tbl>
                  <w:tblPr>
                    <w:tblOverlap w:val="never"/>
                    <w:tblLayout w:type="fixed"/>
                    <w:jc w:val="left"/>
                  </w:tblPr>
                  <w:tblGrid>
                    <w:gridCol w:w="2573"/>
                    <w:gridCol w:w="3010"/>
                    <w:gridCol w:w="2146"/>
                    <w:gridCol w:w="2155"/>
                  </w:tblGrid>
                  <w:tr>
                    <w:trPr>
                      <w:trHeight w:val="245" w:hRule="exact"/>
                    </w:trPr>
                    <w:tc>
                      <w:tcPr>
                        <w:shd w:val="clear" w:color="auto" w:fill="FFFFFF"/>
                        <w:vMerge w:val="restart"/>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Показания</w:t>
                        </w:r>
                      </w:p>
                    </w:tc>
                    <w:tc>
                      <w:tcPr>
                        <w:shd w:val="clear" w:color="auto" w:fill="FFFFFF"/>
                        <w:vMerge w:val="restart"/>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Количество обследованных беременных</w:t>
                        </w:r>
                      </w:p>
                    </w:tc>
                    <w:tc>
                      <w:tcPr>
                        <w:shd w:val="clear" w:color="auto" w:fill="FFFFFF"/>
                        <w:gridSpan w:val="2"/>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Количество больных плодов</w:t>
                        </w:r>
                      </w:p>
                    </w:tc>
                  </w:tr>
                  <w:tr>
                    <w:trPr>
                      <w:trHeight w:val="235" w:hRule="exact"/>
                    </w:trPr>
                    <w:tc>
                      <w:tcPr>
                        <w:shd w:val="clear" w:color="auto" w:fill="FFFFFF"/>
                        <w:vMerge/>
                        <w:tcBorders>
                          <w:left w:val="single" w:sz="4"/>
                        </w:tcBorders>
                        <w:vAlign w:val="center"/>
                      </w:tcPr>
                      <w:p>
                        <w:pPr/>
                      </w:p>
                    </w:tc>
                    <w:tc>
                      <w:tcPr>
                        <w:shd w:val="clear" w:color="auto" w:fill="FFFFFF"/>
                        <w:vMerge/>
                        <w:tcBorders>
                          <w:left w:val="single" w:sz="4"/>
                        </w:tcBorders>
                        <w:vAlign w:val="center"/>
                      </w:tcPr>
                      <w:p>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Количество</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 от общего числа</w:t>
                        </w:r>
                      </w:p>
                    </w:tc>
                  </w:tr>
                  <w:tr>
                    <w:trPr>
                      <w:trHeight w:val="23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Хромосомные аномалии:</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178"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возраст матери</w:t>
                        </w:r>
                      </w:p>
                    </w:tc>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widowControl w:val="0"/>
                          <w:rPr>
                            <w:sz w:val="10"/>
                            <w:szCs w:val="10"/>
                          </w:rPr>
                        </w:pPr>
                      </w:p>
                    </w:tc>
                    <w:tc>
                      <w:tcPr>
                        <w:shd w:val="clear" w:color="auto" w:fill="FFFFFF"/>
                        <w:tcBorders>
                          <w:left w:val="single" w:sz="4"/>
                          <w:right w:val="single" w:sz="4"/>
                        </w:tcBorders>
                        <w:vAlign w:val="top"/>
                      </w:tcPr>
                      <w:p>
                        <w:pPr>
                          <w:widowControl w:val="0"/>
                          <w:rPr>
                            <w:sz w:val="10"/>
                            <w:szCs w:val="10"/>
                          </w:rPr>
                        </w:pPr>
                      </w:p>
                    </w:tc>
                  </w:tr>
                  <w:tr>
                    <w:trPr>
                      <w:trHeight w:val="173"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34</w:t>
                        </w:r>
                      </w:p>
                    </w:tc>
                    <w:tc>
                      <w:tcPr>
                        <w:shd w:val="clear" w:color="auto" w:fill="FFFFFF"/>
                        <w:tcBorders>
                          <w:left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1252</w:t>
                        </w:r>
                      </w:p>
                    </w:tc>
                    <w:tc>
                      <w:tcPr>
                        <w:shd w:val="clear" w:color="auto" w:fill="FFFFFF"/>
                        <w:tcBorders>
                          <w:left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13</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1,04</w:t>
                        </w:r>
                      </w:p>
                    </w:tc>
                  </w:tr>
                  <w:tr>
                    <w:trPr>
                      <w:trHeight w:val="192"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35-36</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7271</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107</w:t>
                        </w: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1,47</w:t>
                        </w:r>
                      </w:p>
                    </w:tc>
                  </w:tr>
                  <w:tr>
                    <w:trPr>
                      <w:trHeight w:val="192"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37-38</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4613</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110</w:t>
                        </w: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2,38</w:t>
                        </w:r>
                      </w:p>
                    </w:tc>
                  </w:tr>
                  <w:tr>
                    <w:trPr>
                      <w:trHeight w:val="197"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39-40</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2360</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73</w:t>
                        </w: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3,09</w:t>
                        </w:r>
                      </w:p>
                    </w:tc>
                  </w:tr>
                  <w:tr>
                    <w:trPr>
                      <w:trHeight w:val="192"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41-42</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903</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48</w:t>
                        </w: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5,32</w:t>
                        </w:r>
                      </w:p>
                    </w:tc>
                  </w:tr>
                  <w:tr>
                    <w:trPr>
                      <w:trHeight w:val="192"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43-44</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240</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19</w:t>
                        </w: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7,92</w:t>
                        </w:r>
                      </w:p>
                    </w:tc>
                  </w:tr>
                  <w:tr>
                    <w:trPr>
                      <w:trHeight w:val="187"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&gt;45</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53</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w:t>
                        </w: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13,21</w:t>
                        </w:r>
                      </w:p>
                    </w:tc>
                  </w:tr>
                  <w:tr>
                    <w:trPr>
                      <w:trHeight w:val="322"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Носители транслокаций</w:t>
                        </w:r>
                      </w:p>
                    </w:tc>
                    <w:tc>
                      <w:tcPr>
                        <w:shd w:val="clear" w:color="auto" w:fill="FFFFFF"/>
                        <w:tcBorders>
                          <w:left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52</w:t>
                        </w:r>
                      </w:p>
                    </w:tc>
                    <w:tc>
                      <w:tcPr>
                        <w:shd w:val="clear" w:color="auto" w:fill="FFFFFF"/>
                        <w:tcBorders>
                          <w:left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15,40</w:t>
                        </w:r>
                      </w:p>
                    </w:tc>
                  </w:tr>
                  <w:tr>
                    <w:trPr>
                      <w:trHeight w:val="274"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 предшествующими трисомиями</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728</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13</w:t>
                        </w: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1,79</w:t>
                        </w:r>
                      </w:p>
                    </w:tc>
                  </w:tr>
                  <w:tr>
                    <w:trPr>
                      <w:trHeight w:val="216"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 другими аномалиями</w:t>
                        </w:r>
                      </w:p>
                    </w:tc>
                    <w:tc>
                      <w:tcPr>
                        <w:shd w:val="clear" w:color="auto" w:fill="FFFFFF"/>
                        <w:tcBorders>
                          <w:lef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120</w:t>
                        </w:r>
                      </w:p>
                    </w:tc>
                    <w:tc>
                      <w:tcPr>
                        <w:shd w:val="clear" w:color="auto" w:fill="FFFFFF"/>
                        <w:tcBorders>
                          <w:left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5,83</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Биохимические нарушения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1158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247</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21,33</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Х-сцепленные заболевания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317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158</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49,83</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Дефекты нейрональной трубы</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714</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62</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8,68</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Всего</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19,781</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872</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4,41</w:t>
                        </w:r>
                      </w:p>
                    </w:tc>
                  </w:tr>
                </w:tbl>
              </w:txbxContent>
            </v:textbox>
            <w10:wrap type="topAndBottom" anchorx="margin" anchory="margin"/>
          </v:shape>
        </w:pict>
      </w:r>
      <w:r>
        <w:pict>
          <v:shape id="_x0000_s1148" type="#_x0000_t202" style="position:absolute;margin-left:413.75pt;margin-top:1.7pt;width:81.35pt;height:10.1pt;z-index:-125829310;mso-wrap-distance-left:5.pt;mso-wrap-distance-right:5.pt;mso-position-horizontal-relative:margin;mso-position-vertical-relative:margin" filled="f" stroked="f">
            <v:textbox style="mso-fit-shape-to-text:t" inset="0,0,0,0">
              <w:txbxContent>
                <w:p>
                  <w:pPr>
                    <w:pStyle w:val="Style39"/>
                    <w:widowControl w:val="0"/>
                    <w:keepNext w:val="0"/>
                    <w:keepLines w:val="0"/>
                    <w:shd w:val="clear" w:color="auto" w:fill="auto"/>
                    <w:bidi w:val="0"/>
                    <w:spacing w:before="0" w:after="0" w:line="170" w:lineRule="exact"/>
                    <w:ind w:left="0" w:right="0" w:firstLine="0"/>
                  </w:pPr>
                  <w:r>
                    <w:rPr>
                      <w:rStyle w:val="CharStyle114"/>
                      <w:i/>
                      <w:iCs/>
                    </w:rPr>
                    <w:t>Таблица 9</w:t>
                  </w:r>
                </w:p>
              </w:txbxContent>
            </v:textbox>
            <w10:wrap type="topAndBottom" anchorx="margin" anchory="margin"/>
          </v:shape>
        </w:pict>
      </w:r>
      <w:r>
        <w:pict>
          <v:shape id="_x0000_s1149" type="#_x0000_t202" style="position:absolute;margin-left:112.8pt;margin-top:10.85pt;width:269.05pt;height:11.85pt;z-index:-125829309;mso-wrap-distance-left:5.pt;mso-wrap-distance-right:5.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Результаты исследования материалов, полученных при амниоцентезе</w:t>
                  </w:r>
                </w:p>
              </w:txbxContent>
            </v:textbox>
            <w10:wrap type="topAndBottom" anchorx="margin" anchory="margin"/>
          </v:shape>
        </w:pict>
      </w:r>
      <w:bookmarkStart w:id="307" w:name="bookmark307"/>
      <w:r>
        <w:rPr>
          <w:lang w:val="ru-RU" w:eastAsia="ru-RU" w:bidi="ru-RU"/>
          <w:w w:val="100"/>
          <w:spacing w:val="0"/>
          <w:color w:val="000000"/>
          <w:position w:val="0"/>
        </w:rPr>
        <w:t>Пренатальная диагностика врожденных пороков сердца</w:t>
      </w:r>
      <w:bookmarkEnd w:id="307"/>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Наиболее эффективным методом пренатальной диагно</w:t>
        <w:softHyphen/>
        <w:t>стики врожденных пороков сердца является проведение трансвагинальной эхокардиографии плода при сроке 12-16 недель гестации. Обязательно должно проводиться четырехкамерное сканирование сердца, а также сканирова</w:t>
        <w:softHyphen/>
        <w:t>ние выходных трактов желудочков.</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 xml:space="preserve">Врожденные пороки сердца при проведении фетальной эхокардиографии в группе беременных с высоким риском выявляются с частотой 0,4% </w:t>
      </w:r>
      <w:r>
        <w:rPr>
          <w:lang w:val="en-US" w:eastAsia="en-US" w:bidi="en-US"/>
          <w:w w:val="100"/>
          <w:spacing w:val="0"/>
          <w:color w:val="000000"/>
          <w:position w:val="0"/>
        </w:rPr>
        <w:t>(Bronshtein M. et al.,1993).</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Показаниями для проведения фетальной эхокардиогра</w:t>
        <w:softHyphen/>
        <w:t>фии служат:</w:t>
      </w:r>
    </w:p>
    <w:p>
      <w:pPr>
        <w:pStyle w:val="Style30"/>
        <w:numPr>
          <w:ilvl w:val="0"/>
          <w:numId w:val="37"/>
        </w:numPr>
        <w:tabs>
          <w:tab w:leader="none" w:pos="520" w:val="left"/>
        </w:tabs>
        <w:widowControl w:val="0"/>
        <w:keepNext w:val="0"/>
        <w:keepLines w:val="0"/>
        <w:shd w:val="clear" w:color="auto" w:fill="auto"/>
        <w:bidi w:val="0"/>
        <w:jc w:val="left"/>
        <w:spacing w:before="0" w:after="0" w:line="211" w:lineRule="exact"/>
        <w:ind w:left="500" w:right="0" w:hanging="220"/>
      </w:pPr>
      <w:r>
        <w:rPr>
          <w:lang w:val="ru-RU" w:eastAsia="ru-RU" w:bidi="ru-RU"/>
          <w:w w:val="100"/>
          <w:spacing w:val="0"/>
          <w:color w:val="000000"/>
          <w:position w:val="0"/>
        </w:rPr>
        <w:t>Наличие у матери факторов риска развития врожден</w:t>
        <w:softHyphen/>
        <w:t>ных пороков сердца у плода:</w:t>
      </w:r>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возраст матери старше 35 лет;</w:t>
      </w:r>
    </w:p>
    <w:p>
      <w:pPr>
        <w:pStyle w:val="Style30"/>
        <w:numPr>
          <w:ilvl w:val="0"/>
          <w:numId w:val="39"/>
        </w:numPr>
        <w:tabs>
          <w:tab w:leader="none" w:pos="732" w:val="left"/>
        </w:tabs>
        <w:widowControl w:val="0"/>
        <w:keepNext w:val="0"/>
        <w:keepLines w:val="0"/>
        <w:shd w:val="clear" w:color="auto" w:fill="auto"/>
        <w:bidi w:val="0"/>
        <w:jc w:val="left"/>
        <w:spacing w:before="0" w:after="0" w:line="211" w:lineRule="exact"/>
        <w:ind w:left="740" w:right="0" w:hanging="240"/>
      </w:pPr>
      <w:r>
        <w:rPr>
          <w:lang w:val="ru-RU" w:eastAsia="ru-RU" w:bidi="ru-RU"/>
          <w:w w:val="100"/>
          <w:spacing w:val="0"/>
          <w:color w:val="000000"/>
          <w:position w:val="0"/>
        </w:rPr>
        <w:t>наличие предшествующих спонтанных выкиды</w:t>
        <w:softHyphen/>
        <w:t>шей и(или) абортов;</w:t>
      </w:r>
    </w:p>
    <w:p>
      <w:pPr>
        <w:pStyle w:val="Style30"/>
        <w:numPr>
          <w:ilvl w:val="0"/>
          <w:numId w:val="39"/>
        </w:numPr>
        <w:tabs>
          <w:tab w:leader="none" w:pos="732" w:val="left"/>
        </w:tabs>
        <w:widowControl w:val="0"/>
        <w:keepNext w:val="0"/>
        <w:keepLines w:val="0"/>
        <w:shd w:val="clear" w:color="auto" w:fill="auto"/>
        <w:bidi w:val="0"/>
        <w:jc w:val="left"/>
        <w:spacing w:before="0" w:after="0" w:line="211" w:lineRule="exact"/>
        <w:ind w:left="740" w:right="0" w:hanging="240"/>
      </w:pPr>
      <w:r>
        <w:rPr>
          <w:lang w:val="ru-RU" w:eastAsia="ru-RU" w:bidi="ru-RU"/>
          <w:w w:val="100"/>
          <w:spacing w:val="0"/>
          <w:color w:val="000000"/>
          <w:position w:val="0"/>
        </w:rPr>
        <w:t>наличие семейных сердечно -сосудистых заболева</w:t>
        <w:softHyphen/>
        <w:t>ний;</w:t>
      </w:r>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наличие наследственных заболеваний в семье;</w:t>
      </w:r>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многоводие;</w:t>
      </w:r>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несоответствие размеров плода и таза.</w:t>
      </w:r>
    </w:p>
    <w:p>
      <w:pPr>
        <w:pStyle w:val="Style30"/>
        <w:numPr>
          <w:ilvl w:val="0"/>
          <w:numId w:val="37"/>
        </w:numPr>
        <w:tabs>
          <w:tab w:leader="none" w:pos="520"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Действие профессиональных и бытовых вредностей на</w:t>
      </w:r>
    </w:p>
    <w:p>
      <w:pPr>
        <w:pStyle w:val="Style92"/>
        <w:widowControl w:val="0"/>
        <w:keepNext/>
        <w:keepLines/>
        <w:shd w:val="clear" w:color="auto" w:fill="auto"/>
        <w:bidi w:val="0"/>
        <w:spacing w:before="0" w:after="0" w:line="211" w:lineRule="exact"/>
        <w:ind w:left="500" w:right="0" w:firstLine="0"/>
      </w:pPr>
      <w:bookmarkStart w:id="308" w:name="bookmark308"/>
      <w:r>
        <w:rPr>
          <w:lang w:val="ru-RU" w:eastAsia="ru-RU" w:bidi="ru-RU"/>
          <w:w w:val="100"/>
          <w:spacing w:val="0"/>
          <w:color w:val="000000"/>
          <w:position w:val="0"/>
        </w:rPr>
        <w:t>мать:</w:t>
      </w:r>
      <w:bookmarkEnd w:id="308"/>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шум более 82 дБ;</w:t>
      </w:r>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текстильная пыль;</w:t>
      </w:r>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контакт с лаками, красками, ядохимикатами.</w:t>
      </w:r>
    </w:p>
    <w:p>
      <w:pPr>
        <w:pStyle w:val="Style30"/>
        <w:numPr>
          <w:ilvl w:val="0"/>
          <w:numId w:val="37"/>
        </w:numPr>
        <w:tabs>
          <w:tab w:leader="none" w:pos="520"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Соматические заболевания матери во время беременности:</w:t>
      </w:r>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сахарный диабет;</w:t>
      </w:r>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эпилепсия;</w:t>
      </w:r>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артериальная гипертензия;</w:t>
      </w:r>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системная красная волчанка;</w:t>
      </w:r>
    </w:p>
    <w:p>
      <w:pPr>
        <w:pStyle w:val="Style30"/>
        <w:numPr>
          <w:ilvl w:val="0"/>
          <w:numId w:val="39"/>
        </w:numPr>
        <w:tabs>
          <w:tab w:leader="none" w:pos="732" w:val="left"/>
        </w:tabs>
        <w:widowControl w:val="0"/>
        <w:keepNext w:val="0"/>
        <w:keepLines w:val="0"/>
        <w:shd w:val="clear" w:color="auto" w:fill="auto"/>
        <w:bidi w:val="0"/>
        <w:jc w:val="left"/>
        <w:spacing w:before="0" w:after="0" w:line="211" w:lineRule="exact"/>
        <w:ind w:left="740" w:right="0" w:hanging="240"/>
      </w:pPr>
      <w:r>
        <w:rPr>
          <w:lang w:val="ru-RU" w:eastAsia="ru-RU" w:bidi="ru-RU"/>
          <w:w w:val="100"/>
          <w:spacing w:val="0"/>
          <w:color w:val="000000"/>
          <w:position w:val="0"/>
        </w:rPr>
        <w:t>фенилкетонурия, фенилаланинемия у матери (уровень в крови более 16 мг/100 мл).</w:t>
      </w:r>
    </w:p>
    <w:p>
      <w:pPr>
        <w:pStyle w:val="Style30"/>
        <w:numPr>
          <w:ilvl w:val="0"/>
          <w:numId w:val="37"/>
        </w:numPr>
        <w:tabs>
          <w:tab w:leader="none" w:pos="520" w:val="left"/>
        </w:tabs>
        <w:widowControl w:val="0"/>
        <w:keepNext w:val="0"/>
        <w:keepLines w:val="0"/>
        <w:shd w:val="clear" w:color="auto" w:fill="auto"/>
        <w:bidi w:val="0"/>
        <w:jc w:val="left"/>
        <w:spacing w:before="0" w:after="0" w:line="211" w:lineRule="exact"/>
        <w:ind w:left="500" w:right="0" w:hanging="220"/>
      </w:pPr>
      <w:r>
        <w:rPr>
          <w:lang w:val="ru-RU" w:eastAsia="ru-RU" w:bidi="ru-RU"/>
          <w:w w:val="100"/>
          <w:spacing w:val="0"/>
          <w:color w:val="000000"/>
          <w:position w:val="0"/>
        </w:rPr>
        <w:t>Инфекционные заболевания матери во время беремен</w:t>
        <w:softHyphen/>
        <w:t>ности:</w:t>
      </w:r>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краснуха;</w:t>
      </w:r>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токсоплазмоз;</w:t>
      </w:r>
    </w:p>
    <w:p>
      <w:pPr>
        <w:pStyle w:val="Style30"/>
        <w:numPr>
          <w:ilvl w:val="0"/>
          <w:numId w:val="39"/>
        </w:numPr>
        <w:tabs>
          <w:tab w:leader="none" w:pos="732" w:val="left"/>
        </w:tabs>
        <w:widowControl w:val="0"/>
        <w:keepNext w:val="0"/>
        <w:keepLines w:val="0"/>
        <w:shd w:val="clear" w:color="auto" w:fill="auto"/>
        <w:bidi w:val="0"/>
        <w:spacing w:before="0" w:after="0" w:line="211" w:lineRule="exact"/>
        <w:ind w:left="500" w:right="0" w:firstLine="0"/>
      </w:pPr>
      <w:r>
        <w:rPr>
          <w:lang w:val="ru-RU" w:eastAsia="ru-RU" w:bidi="ru-RU"/>
          <w:w w:val="100"/>
          <w:spacing w:val="0"/>
          <w:color w:val="000000"/>
          <w:position w:val="0"/>
        </w:rPr>
        <w:t>инфекции, вызванные вирусами герпеса 1 и 2.</w:t>
      </w:r>
    </w:p>
    <w:p>
      <w:pPr>
        <w:pStyle w:val="Style92"/>
        <w:numPr>
          <w:ilvl w:val="0"/>
          <w:numId w:val="37"/>
        </w:numPr>
        <w:tabs>
          <w:tab w:leader="none" w:pos="518" w:val="left"/>
        </w:tabs>
        <w:widowControl w:val="0"/>
        <w:keepNext/>
        <w:keepLines/>
        <w:shd w:val="clear" w:color="auto" w:fill="auto"/>
        <w:bidi w:val="0"/>
        <w:spacing w:before="0" w:after="0"/>
        <w:ind w:left="520" w:right="0" w:hanging="240"/>
      </w:pPr>
      <w:r>
        <w:br w:type="column"/>
      </w:r>
      <w:bookmarkStart w:id="309" w:name="bookmark309"/>
      <w:r>
        <w:rPr>
          <w:lang w:val="ru-RU" w:eastAsia="ru-RU" w:bidi="ru-RU"/>
          <w:w w:val="100"/>
          <w:spacing w:val="0"/>
          <w:color w:val="000000"/>
          <w:position w:val="0"/>
        </w:rPr>
        <w:t>Злоупотребление алкоголем во время беременности,</w:t>
      </w:r>
      <w:bookmarkEnd w:id="309"/>
    </w:p>
    <w:p>
      <w:pPr>
        <w:pStyle w:val="Style30"/>
        <w:numPr>
          <w:ilvl w:val="0"/>
          <w:numId w:val="3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Употребление лекарств:</w:t>
      </w:r>
    </w:p>
    <w:p>
      <w:pPr>
        <w:pStyle w:val="Style30"/>
        <w:numPr>
          <w:ilvl w:val="0"/>
          <w:numId w:val="39"/>
        </w:numPr>
        <w:tabs>
          <w:tab w:leader="none" w:pos="75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антиконвульсанты;</w:t>
      </w:r>
    </w:p>
    <w:p>
      <w:pPr>
        <w:pStyle w:val="Style30"/>
        <w:numPr>
          <w:ilvl w:val="0"/>
          <w:numId w:val="39"/>
        </w:numPr>
        <w:tabs>
          <w:tab w:leader="none" w:pos="75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гормональные препараты;</w:t>
      </w:r>
    </w:p>
    <w:p>
      <w:pPr>
        <w:pStyle w:val="Style30"/>
        <w:numPr>
          <w:ilvl w:val="0"/>
          <w:numId w:val="39"/>
        </w:numPr>
        <w:tabs>
          <w:tab w:leader="none" w:pos="75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талидомид.</w:t>
      </w:r>
    </w:p>
    <w:p>
      <w:pPr>
        <w:pStyle w:val="Style30"/>
        <w:numPr>
          <w:ilvl w:val="0"/>
          <w:numId w:val="37"/>
        </w:numPr>
        <w:tabs>
          <w:tab w:leader="none" w:pos="518" w:val="left"/>
        </w:tabs>
        <w:widowControl w:val="0"/>
        <w:keepNext w:val="0"/>
        <w:keepLines w:val="0"/>
        <w:shd w:val="clear" w:color="auto" w:fill="auto"/>
        <w:bidi w:val="0"/>
        <w:jc w:val="left"/>
        <w:spacing w:before="0" w:after="180"/>
        <w:ind w:left="520" w:right="0" w:hanging="240"/>
      </w:pPr>
      <w:r>
        <w:rPr>
          <w:lang w:val="ru-RU" w:eastAsia="ru-RU" w:bidi="ru-RU"/>
          <w:w w:val="100"/>
          <w:spacing w:val="0"/>
          <w:color w:val="000000"/>
          <w:position w:val="0"/>
        </w:rPr>
        <w:t>Врожденные пороки сердца у родственников первой сте</w:t>
        <w:softHyphen/>
        <w:t>пени родства.</w:t>
      </w:r>
    </w:p>
    <w:p>
      <w:pPr>
        <w:pStyle w:val="Style30"/>
        <w:widowControl w:val="0"/>
        <w:keepNext w:val="0"/>
        <w:keepLines w:val="0"/>
        <w:shd w:val="clear" w:color="auto" w:fill="auto"/>
        <w:bidi w:val="0"/>
        <w:spacing w:before="0" w:after="142"/>
        <w:ind w:left="0" w:right="0" w:firstLine="280"/>
      </w:pPr>
      <w:r>
        <w:rPr>
          <w:lang w:val="ru-RU" w:eastAsia="ru-RU" w:bidi="ru-RU"/>
          <w:w w:val="100"/>
          <w:spacing w:val="0"/>
          <w:color w:val="000000"/>
          <w:position w:val="0"/>
        </w:rPr>
        <w:t>Пренатальная диагностика служит для выявления пора- женности плода генетическим заболеванием в семье, кото</w:t>
        <w:softHyphen/>
        <w:t>рая имеет повышенный риск возникновения данного гене</w:t>
        <w:softHyphen/>
        <w:t>тического заболевания у потомства. В большинстве случаев (95% всех проводимых исследований по пренатальной диа</w:t>
        <w:softHyphen/>
        <w:t>гностике) результаты теста отрицательные, т.е. плод оказы</w:t>
        <w:softHyphen/>
        <w:t>вается непораженным. Это позволяет значительно умень</w:t>
        <w:softHyphen/>
        <w:t>шить беспокойство матери о здоровье плода и тем самым положительно влияет на ход беременности. Если же плод оказывается больным (положительный результат теста), у родителей обычно имеется вполне достаточно времени, чтобы определиться с исходом данной беременности.</w:t>
      </w:r>
    </w:p>
    <w:p>
      <w:pPr>
        <w:pStyle w:val="Style54"/>
        <w:widowControl w:val="0"/>
        <w:keepNext/>
        <w:keepLines/>
        <w:shd w:val="clear" w:color="auto" w:fill="auto"/>
        <w:bidi w:val="0"/>
        <w:jc w:val="left"/>
        <w:spacing w:before="0" w:after="0" w:line="264" w:lineRule="exact"/>
        <w:ind w:left="0" w:right="0" w:firstLine="0"/>
      </w:pPr>
      <w:bookmarkStart w:id="310" w:name="bookmark310"/>
      <w:r>
        <w:rPr>
          <w:lang w:val="ru-RU" w:eastAsia="ru-RU" w:bidi="ru-RU"/>
          <w:w w:val="100"/>
          <w:spacing w:val="0"/>
          <w:color w:val="000000"/>
          <w:position w:val="0"/>
        </w:rPr>
        <w:t>Показания к проведению пренатальной диагностики</w:t>
      </w:r>
      <w:bookmarkEnd w:id="310"/>
    </w:p>
    <w:p>
      <w:pPr>
        <w:pStyle w:val="Style30"/>
        <w:numPr>
          <w:ilvl w:val="0"/>
          <w:numId w:val="37"/>
        </w:numPr>
        <w:tabs>
          <w:tab w:leader="none" w:pos="518" w:val="left"/>
        </w:tabs>
        <w:widowControl w:val="0"/>
        <w:keepNext w:val="0"/>
        <w:keepLines w:val="0"/>
        <w:shd w:val="clear" w:color="auto" w:fill="auto"/>
        <w:bidi w:val="0"/>
        <w:spacing w:before="0" w:after="0"/>
        <w:ind w:left="520" w:right="0" w:hanging="240"/>
      </w:pPr>
      <w:r>
        <w:pict>
          <v:shape id="_x0000_s1150" type="#_x0000_t75" style="position:absolute;margin-left:136.8pt;margin-top:736.8pt;width:209.75pt;height:14.9pt;z-index:-125829308;mso-wrap-distance-left:136.55pt;mso-wrap-distance-right:147.85pt;mso-wrap-distance-bottom:10.8pt;mso-position-horizontal-relative:margin;mso-position-vertical-relative:margin" wrapcoords="0 0 21600 0 21600 21600 0 21600 0 0">
            <v:imagedata r:id="rId195" r:href="rId196"/>
            <w10:wrap type="topAndBottom" anchorx="margin" anchory="margin"/>
          </v:shape>
        </w:pict>
      </w:r>
      <w:r>
        <w:rPr>
          <w:lang w:val="ru-RU" w:eastAsia="ru-RU" w:bidi="ru-RU"/>
          <w:w w:val="100"/>
          <w:spacing w:val="0"/>
          <w:color w:val="000000"/>
          <w:position w:val="0"/>
        </w:rPr>
        <w:t>Наиболее частым показанием для пренатальной диа</w:t>
        <w:softHyphen/>
        <w:t>гностики является возраст матери к моменту беремен</w:t>
        <w:softHyphen/>
        <w:t>ности. Общеизвестно, что больший риск возникнове</w:t>
        <w:softHyphen/>
        <w:t>ния трисомии у плода имеют так называемые «старо</w:t>
        <w:softHyphen/>
        <w:t>родящие» матери. Однако до настоящего времени нет четких общепринятых границ возраста матери, при котором следует особенно бояться появления у плода генетического заболевания. Большинство ме</w:t>
        <w:softHyphen/>
        <w:t>дицинских центров используют в качестве критерия возраст 35 лет. Так, риск появления аутосомной трисо - мии у плода (по данным исследования материала, по</w:t>
        <w:softHyphen/>
        <w:t>лученного при амниоцентезе) возрастает с 0,9% у ма</w:t>
        <w:softHyphen/>
        <w:t>терей в возрасте 35 лет до 7,8% у матерей 43-44 лет. Цифры могут разниться по различным публикациям в два раза. Причиной этого являются трудности учета данных из -за поздних абортов и рождения детей с хро -</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мосомными аномалиями, которым до рождения не была проведена пренатальная диагностика.</w:t>
      </w:r>
    </w:p>
    <w:p>
      <w:pPr>
        <w:pStyle w:val="Style30"/>
        <w:numPr>
          <w:ilvl w:val="0"/>
          <w:numId w:val="37"/>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Если в семье уже есть ребенок с трисомией, риск по</w:t>
        <w:softHyphen/>
        <w:t>вторного рождения больного ребенка повышается на 0,5% у матерей до 35 лет и пропорционально возраст</w:t>
        <w:softHyphen/>
        <w:t>ному риску у матерей более старшего возраста. Роди</w:t>
        <w:softHyphen/>
        <w:t>тели, уже имеющие ребенка с генетическим заболева</w:t>
        <w:softHyphen/>
        <w:t>нием, проявляют особую обеспокоенность рождени</w:t>
        <w:softHyphen/>
        <w:t>ем второго больного ребенка, поэтому практически 100% семей в подобных обстоятельствах обязательно проводят пренатальную диагностику.</w:t>
      </w:r>
    </w:p>
    <w:p>
      <w:pPr>
        <w:pStyle w:val="Style30"/>
        <w:numPr>
          <w:ilvl w:val="0"/>
          <w:numId w:val="37"/>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Наибольший риск возникновения хромосомных ано - малий плода имеют родители-носители сбалансиро</w:t>
        <w:softHyphen/>
        <w:t>ванных транслокаций. Среди этой гетерогенной группы у 15% плодов диагностируются анеуплоидии как результат нестабильности генома.</w:t>
      </w:r>
    </w:p>
    <w:p>
      <w:pPr>
        <w:pStyle w:val="Style30"/>
        <w:numPr>
          <w:ilvl w:val="0"/>
          <w:numId w:val="37"/>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Другим показанием для проведения пренатальной ди - агностики является определение пола плода у матери, являющейся носителем Х-сцепленного заболевания.</w:t>
      </w:r>
    </w:p>
    <w:p>
      <w:pPr>
        <w:pStyle w:val="Style30"/>
        <w:numPr>
          <w:ilvl w:val="0"/>
          <w:numId w:val="37"/>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Пренатальная диагностика биохимических дефектов определяется путем исследования энзим-специфиче- ской активности в культуре клеток, полученных при амниоцентезе у матерей, страдающих хроническими биохимическими расстройствами. Исследование эн</w:t>
        <w:softHyphen/>
        <w:t>зимной активности клеток, непосредственно полу</w:t>
        <w:softHyphen/>
        <w:t>ченных при амниоцентезе (без выращивания культу</w:t>
        <w:softHyphen/>
        <w:t>ры клеток), малоинформативно из-за малого количе</w:t>
        <w:softHyphen/>
        <w:t>ства получаемых при исследовании клеток.</w:t>
      </w:r>
    </w:p>
    <w:p>
      <w:pPr>
        <w:pStyle w:val="Style30"/>
        <w:numPr>
          <w:ilvl w:val="0"/>
          <w:numId w:val="37"/>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Более редкой возможностью пренатальной диагнос</w:t>
        <w:softHyphen/>
        <w:t>тики биохимических нарушений является молекуляр</w:t>
        <w:softHyphen/>
        <w:t>но-генетическое исследование для выявления мута</w:t>
        <w:softHyphen/>
        <w:t>ции генов, ответственных за данное нарушение. В не</w:t>
        <w:softHyphen/>
        <w:t>которых случаях производится определение содержа</w:t>
        <w:softHyphen/>
        <w:t>ния в организме продукта гена (в основном фермен</w:t>
        <w:softHyphen/>
        <w:t>та). К сожалению, на настоящий момент известно весьма ограниченное количество заболеваний с четко установленным геном, ответственным за его развитие.</w:t>
      </w:r>
    </w:p>
    <w:p>
      <w:pPr>
        <w:pStyle w:val="Style30"/>
        <w:numPr>
          <w:ilvl w:val="0"/>
          <w:numId w:val="37"/>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Пренатальная диагностика дефектов нейрональной трубы производится путем исследования альфа-фетоп</w:t>
        <w:softHyphen/>
        <w:t>ротеина в амниотической жидкости. Повышение коли</w:t>
        <w:softHyphen/>
        <w:t>чества альфа-фетопротеина в амниотической жидкости также наблюдается и при целом ряде других заболева</w:t>
        <w:softHyphen/>
        <w:t>ний: врожденном нефрозе, омфалоцеле, синдроме Тер</w:t>
        <w:softHyphen/>
        <w:t>нера, обструкции гастроинтестинального тракта, сакро- кокцигеальной тератоме. Не все дефекты нейрональной трубы возможно диагностировать пренатально. Также следует помнить, что в ряде случаев альфа-фетопротеин может быть ложно-повышенным при здоровом плоде. Для повышения специфичности исследования реко</w:t>
        <w:softHyphen/>
        <w:t>мендуется наравне с альфа-фетопротеином исследовать активность ацетилхолинэстеразы. Во многих странах мира введены скрининговые исследования альфа-фе</w:t>
        <w:softHyphen/>
        <w:t>топротеина у беременных. Мультицентровые исследо</w:t>
        <w:softHyphen/>
        <w:t>вания, проведенные в Великобритании, показали, что благодаря этому скрининговому исследованию выявля</w:t>
        <w:softHyphen/>
        <w:t>ют 80% плодов с дефектом нейрональной трубы. В этих исследованиях было показано также, что малое количе</w:t>
        <w:softHyphen/>
        <w:t>ство альфа-фетопротеина выявляется при трисомии плода, особенно при трисомии 21.</w:t>
      </w:r>
    </w:p>
    <w:p>
      <w:pPr>
        <w:pStyle w:val="Style30"/>
        <w:numPr>
          <w:ilvl w:val="0"/>
          <w:numId w:val="37"/>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Интересны результаты исследований альфа-фетопроте</w:t>
        <w:softHyphen/>
        <w:t>ина у беременных в Калифорнии. Из 220 000 обследо</w:t>
        <w:softHyphen/>
        <w:t>ванных у 2,5% беременных был выявлен высокий риск</w:t>
        <w:br w:type="column"/>
        <w:t>наличия дефекта нейрональной трубы у плода и у 2,6% был аномально низкий уровень альфа-фетопротеина. В последующем по результатам исследования было вы</w:t>
        <w:softHyphen/>
        <w:t>явлено, что среди обследованных 3,5% плодов имели дефекты нейрональной трубы и 0,6% — трисомию 21.</w:t>
      </w:r>
    </w:p>
    <w:p>
      <w:pPr>
        <w:pStyle w:val="Style30"/>
        <w:numPr>
          <w:ilvl w:val="0"/>
          <w:numId w:val="37"/>
        </w:numPr>
        <w:tabs>
          <w:tab w:leader="none" w:pos="518" w:val="left"/>
        </w:tabs>
        <w:widowControl w:val="0"/>
        <w:keepNext w:val="0"/>
        <w:keepLines w:val="0"/>
        <w:shd w:val="clear" w:color="auto" w:fill="auto"/>
        <w:bidi w:val="0"/>
        <w:spacing w:before="0" w:after="245"/>
        <w:ind w:left="500" w:right="0" w:hanging="220"/>
      </w:pPr>
      <w:r>
        <w:rPr>
          <w:lang w:val="ru-RU" w:eastAsia="ru-RU" w:bidi="ru-RU"/>
          <w:w w:val="100"/>
          <w:spacing w:val="0"/>
          <w:color w:val="000000"/>
          <w:position w:val="0"/>
        </w:rPr>
        <w:t>При выявлении у плода врожденных пороков сердца, несовместимых с жизнью или являющихся потенци</w:t>
        <w:softHyphen/>
        <w:t>ально летальными, проводится прерывание беременно</w:t>
        <w:softHyphen/>
        <w:t>сти. Если порок сердца изолированный и может быть устранен хирургически без серьезных последствий для дальнейшего развития ребенка, вопрос о продолжении беременности решается с согласия родителей.</w:t>
      </w:r>
    </w:p>
    <w:p>
      <w:pPr>
        <w:pStyle w:val="Style54"/>
        <w:widowControl w:val="0"/>
        <w:keepNext/>
        <w:keepLines/>
        <w:shd w:val="clear" w:color="auto" w:fill="auto"/>
        <w:bidi w:val="0"/>
        <w:jc w:val="left"/>
        <w:spacing w:before="0" w:after="44" w:line="210" w:lineRule="exact"/>
        <w:ind w:left="0" w:right="0" w:firstLine="0"/>
      </w:pPr>
      <w:bookmarkStart w:id="311" w:name="bookmark311"/>
      <w:r>
        <w:rPr>
          <w:lang w:val="ru-RU" w:eastAsia="ru-RU" w:bidi="ru-RU"/>
          <w:w w:val="100"/>
          <w:spacing w:val="0"/>
          <w:color w:val="000000"/>
          <w:position w:val="0"/>
        </w:rPr>
        <w:t>Кариотипирование</w:t>
      </w:r>
      <w:bookmarkEnd w:id="311"/>
    </w:p>
    <w:p>
      <w:pPr>
        <w:pStyle w:val="Style30"/>
        <w:numPr>
          <w:ilvl w:val="0"/>
          <w:numId w:val="3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По мнению </w:t>
      </w:r>
      <w:r>
        <w:rPr>
          <w:lang w:val="en-US" w:eastAsia="en-US" w:bidi="en-US"/>
          <w:w w:val="100"/>
          <w:spacing w:val="0"/>
          <w:color w:val="000000"/>
          <w:position w:val="0"/>
        </w:rPr>
        <w:t xml:space="preserve">D. Palladini et al. </w:t>
      </w:r>
      <w:r>
        <w:rPr>
          <w:lang w:val="ru-RU" w:eastAsia="ru-RU" w:bidi="ru-RU"/>
          <w:w w:val="100"/>
          <w:spacing w:val="0"/>
          <w:color w:val="000000"/>
          <w:position w:val="0"/>
        </w:rPr>
        <w:t>(1993), кариотипирова- ние плода следует проводить во всех случаях, когда внутриутробно по данным эхокардиографии диагно</w:t>
        <w:softHyphen/>
        <w:t xml:space="preserve">стирован врожденный порок сердца. По результатам исследований </w:t>
      </w:r>
      <w:r>
        <w:rPr>
          <w:lang w:val="en-US" w:eastAsia="en-US" w:bidi="en-US"/>
          <w:w w:val="100"/>
          <w:spacing w:val="0"/>
          <w:color w:val="000000"/>
          <w:position w:val="0"/>
        </w:rPr>
        <w:t xml:space="preserve">Bronstein M. et al., </w:t>
      </w:r>
      <w:r>
        <w:rPr>
          <w:lang w:val="ru-RU" w:eastAsia="ru-RU" w:bidi="ru-RU"/>
          <w:w w:val="100"/>
          <w:spacing w:val="0"/>
          <w:color w:val="000000"/>
          <w:position w:val="0"/>
        </w:rPr>
        <w:t>1993, у 36% детей с врожденными пороками сердца обнаруживаются хромосомные аномалии.</w:t>
      </w:r>
    </w:p>
    <w:p>
      <w:pPr>
        <w:pStyle w:val="Style30"/>
        <w:numPr>
          <w:ilvl w:val="0"/>
          <w:numId w:val="37"/>
        </w:numPr>
        <w:tabs>
          <w:tab w:leader="none" w:pos="518" w:val="left"/>
        </w:tabs>
        <w:widowControl w:val="0"/>
        <w:keepNext w:val="0"/>
        <w:keepLines w:val="0"/>
        <w:shd w:val="clear" w:color="auto" w:fill="auto"/>
        <w:bidi w:val="0"/>
        <w:spacing w:before="0" w:after="237"/>
        <w:ind w:left="500" w:right="0" w:hanging="220"/>
      </w:pPr>
      <w:r>
        <w:rPr>
          <w:lang w:val="ru-RU" w:eastAsia="ru-RU" w:bidi="ru-RU"/>
          <w:w w:val="100"/>
          <w:spacing w:val="0"/>
          <w:color w:val="000000"/>
          <w:position w:val="0"/>
        </w:rPr>
        <w:t>Кариотипирование служит для выявления пораженнос- ти плода генетическим заболеванием в семье, которая имеет повышенный риск возникновения данного гене</w:t>
        <w:softHyphen/>
        <w:t>тического заболевания у потомства. Если плод оказыва</w:t>
        <w:softHyphen/>
        <w:t>ется больным (положительный результат теста), у роди</w:t>
        <w:softHyphen/>
        <w:t>телей обычно имеется вполне достаточно времени, что</w:t>
        <w:softHyphen/>
        <w:t>бы определиться с исходом данной беременности.</w:t>
      </w:r>
    </w:p>
    <w:p>
      <w:pPr>
        <w:pStyle w:val="Style28"/>
        <w:widowControl w:val="0"/>
        <w:keepNext/>
        <w:keepLines/>
        <w:shd w:val="clear" w:color="auto" w:fill="auto"/>
        <w:bidi w:val="0"/>
        <w:jc w:val="left"/>
        <w:spacing w:before="0" w:after="153" w:line="220" w:lineRule="exact"/>
        <w:ind w:left="0" w:right="0" w:firstLine="0"/>
      </w:pPr>
      <w:bookmarkStart w:id="312" w:name="bookmark312"/>
      <w:r>
        <w:rPr>
          <w:lang w:val="ru-RU" w:eastAsia="ru-RU" w:bidi="ru-RU"/>
          <w:w w:val="100"/>
          <w:spacing w:val="0"/>
          <w:color w:val="000000"/>
          <w:position w:val="0"/>
        </w:rPr>
        <w:t>Дефект межжелудочковой перегородки</w:t>
      </w:r>
      <w:bookmarkEnd w:id="312"/>
    </w:p>
    <w:p>
      <w:pPr>
        <w:pStyle w:val="Style92"/>
        <w:widowControl w:val="0"/>
        <w:keepNext/>
        <w:keepLines/>
        <w:shd w:val="clear" w:color="auto" w:fill="auto"/>
        <w:bidi w:val="0"/>
        <w:spacing w:before="0" w:after="0"/>
        <w:ind w:left="500" w:right="0" w:hanging="220"/>
      </w:pPr>
      <w:bookmarkStart w:id="313" w:name="bookmark313"/>
      <w:r>
        <w:rPr>
          <w:lang w:val="ru-RU" w:eastAsia="ru-RU" w:bidi="ru-RU"/>
          <w:w w:val="100"/>
          <w:spacing w:val="0"/>
          <w:color w:val="000000"/>
          <w:position w:val="0"/>
        </w:rPr>
        <w:t>Определение</w:t>
      </w:r>
      <w:bookmarkEnd w:id="313"/>
    </w:p>
    <w:p>
      <w:pPr>
        <w:pStyle w:val="Style30"/>
        <w:numPr>
          <w:ilvl w:val="0"/>
          <w:numId w:val="3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Дефект межжелудочковой перегородки — врожден</w:t>
        <w:softHyphen/>
        <w:t>ный порок развития перегородки, в результате чего формируется сообщение между левым и правым же</w:t>
        <w:softHyphen/>
        <w:t>лудочками. Дефект может быть изолированной ано</w:t>
        <w:softHyphen/>
        <w:t>малией или является составной частью сложного по</w:t>
        <w:softHyphen/>
        <w:t>рока сердца, например, тетрада Фалло, полный от</w:t>
        <w:softHyphen/>
        <w:t>крытый атриовентрикулярный канал, транспозиция магистральных сосудов.</w:t>
      </w:r>
    </w:p>
    <w:p>
      <w:pPr>
        <w:pStyle w:val="Style30"/>
        <w:numPr>
          <w:ilvl w:val="0"/>
          <w:numId w:val="3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Следовательно, под термином «изолированный де</w:t>
        <w:softHyphen/>
        <w:t>фект межжелудочковой перегородки» понимают де</w:t>
        <w:softHyphen/>
        <w:t>фект перегородки при атриовентрикулярной конкор- дантности и нормальном взаиморасположении маги</w:t>
        <w:softHyphen/>
        <w:t>стральных сосудов при отсутствии других внутрисер</w:t>
        <w:softHyphen/>
        <w:t>дечных дефектов.</w:t>
      </w:r>
    </w:p>
    <w:p>
      <w:pPr>
        <w:pStyle w:val="Style30"/>
        <w:numPr>
          <w:ilvl w:val="0"/>
          <w:numId w:val="3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Изолированный дефект межжелудочковой перего</w:t>
        <w:softHyphen/>
        <w:t>родки наблюдается примерно у 2-6 на 1000 живорож</w:t>
        <w:softHyphen/>
        <w:t>денных и в 20% является составной частью комплек</w:t>
        <w:softHyphen/>
        <w:t>сного порока сердца. После двустворчатого аорталь</w:t>
        <w:softHyphen/>
        <w:t>ного клапана ДМЖП является самой частой врож</w:t>
        <w:softHyphen/>
        <w:t>денной аномалией сердца.</w:t>
      </w:r>
    </w:p>
    <w:p>
      <w:pPr>
        <w:pStyle w:val="Style30"/>
        <w:numPr>
          <w:ilvl w:val="0"/>
          <w:numId w:val="37"/>
        </w:numPr>
        <w:tabs>
          <w:tab w:leader="none" w:pos="518" w:val="left"/>
        </w:tabs>
        <w:widowControl w:val="0"/>
        <w:keepNext w:val="0"/>
        <w:keepLines w:val="0"/>
        <w:shd w:val="clear" w:color="auto" w:fill="auto"/>
        <w:bidi w:val="0"/>
        <w:spacing w:before="0" w:after="0"/>
        <w:ind w:left="500" w:right="0" w:hanging="220"/>
      </w:pPr>
      <w:r>
        <w:pict>
          <v:shape id="_x0000_s1151" type="#_x0000_t75" style="position:absolute;margin-left:147.85pt;margin-top:736.8pt;width:209.75pt;height:14.9pt;z-index:-125829307;mso-wrap-distance-left:147.35pt;mso-wrap-distance-right:136.55pt;mso-wrap-distance-bottom:10.8pt;mso-position-horizontal-relative:margin;mso-position-vertical-relative:margin" wrapcoords="0 0 21600 0 21600 21600 0 21600 0 0">
            <v:imagedata r:id="rId197" r:href="rId198"/>
            <w10:wrap type="topAndBottom" anchorx="margin" anchory="margin"/>
          </v:shape>
        </w:pict>
      </w:r>
      <w:r>
        <w:rPr>
          <w:lang w:val="ru-RU" w:eastAsia="ru-RU" w:bidi="ru-RU"/>
          <w:w w:val="100"/>
          <w:spacing w:val="0"/>
          <w:color w:val="000000"/>
          <w:position w:val="0"/>
        </w:rPr>
        <w:t>Первое клиническое описание ДМЖП было опубли</w:t>
        <w:softHyphen/>
        <w:t xml:space="preserve">ковано Роже </w:t>
      </w:r>
      <w:r>
        <w:rPr>
          <w:lang w:val="en-US" w:eastAsia="en-US" w:bidi="en-US"/>
          <w:w w:val="100"/>
          <w:spacing w:val="0"/>
          <w:color w:val="000000"/>
          <w:position w:val="0"/>
        </w:rPr>
        <w:t xml:space="preserve">(Roger) </w:t>
      </w:r>
      <w:r>
        <w:rPr>
          <w:lang w:val="ru-RU" w:eastAsia="ru-RU" w:bidi="ru-RU"/>
          <w:w w:val="100"/>
          <w:spacing w:val="0"/>
          <w:color w:val="000000"/>
          <w:position w:val="0"/>
        </w:rPr>
        <w:t xml:space="preserve">в 1879 году. В настоящее время под дефектом Роже понимают небольшие ДМЖП, протекающие без гемодинамических нарушений. В 1898 году Ейзенменгер </w:t>
      </w:r>
      <w:r>
        <w:rPr>
          <w:lang w:val="en-US" w:eastAsia="en-US" w:bidi="en-US"/>
          <w:w w:val="100"/>
          <w:spacing w:val="0"/>
          <w:color w:val="000000"/>
          <w:position w:val="0"/>
        </w:rPr>
        <w:t xml:space="preserve">(Eisenmenger) </w:t>
      </w:r>
      <w:r>
        <w:rPr>
          <w:lang w:val="ru-RU" w:eastAsia="ru-RU" w:bidi="ru-RU"/>
          <w:w w:val="100"/>
          <w:spacing w:val="0"/>
          <w:color w:val="000000"/>
          <w:position w:val="0"/>
        </w:rPr>
        <w:t>описал паци</w:t>
        <w:softHyphen/>
        <w:t>ента с ДМЖП, у которого наблюдался цианоз и ле</w:t>
        <w:softHyphen/>
        <w:t xml:space="preserve">гочная гипертензия. </w:t>
      </w:r>
      <w:r>
        <w:rPr>
          <w:lang w:val="en-US" w:eastAsia="en-US" w:bidi="en-US"/>
          <w:w w:val="100"/>
          <w:spacing w:val="0"/>
          <w:color w:val="000000"/>
          <w:position w:val="0"/>
        </w:rPr>
        <w:t xml:space="preserve">Heath </w:t>
      </w:r>
      <w:r>
        <w:rPr>
          <w:lang w:val="ru-RU" w:eastAsia="ru-RU" w:bidi="ru-RU"/>
          <w:w w:val="100"/>
          <w:spacing w:val="0"/>
          <w:color w:val="000000"/>
          <w:position w:val="0"/>
        </w:rPr>
        <w:t xml:space="preserve">и </w:t>
      </w:r>
      <w:r>
        <w:rPr>
          <w:lang w:val="en-US" w:eastAsia="en-US" w:bidi="en-US"/>
          <w:w w:val="100"/>
          <w:spacing w:val="0"/>
          <w:color w:val="000000"/>
          <w:position w:val="0"/>
        </w:rPr>
        <w:t xml:space="preserve">Edwards </w:t>
      </w:r>
      <w:r>
        <w:rPr>
          <w:lang w:val="ru-RU" w:eastAsia="ru-RU" w:bidi="ru-RU"/>
          <w:w w:val="100"/>
          <w:spacing w:val="0"/>
          <w:color w:val="000000"/>
          <w:position w:val="0"/>
        </w:rPr>
        <w:t>в 1958 году представили морфологические характеристики, свя</w:t>
        <w:softHyphen/>
        <w:t>занные с поражением легочных сосудов при ДМЖП,</w:t>
      </w:r>
      <w:r>
        <w:br w:type="page"/>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подразделив их на 6 стадий (категорий). С появлени</w:t>
        <w:softHyphen/>
        <w:t>ем двухмерной эхокардиографии в 1979 году стала возможной неинвазивная диагностика порока. Частота</w:t>
      </w:r>
    </w:p>
    <w:p>
      <w:pPr>
        <w:pStyle w:val="Style30"/>
        <w:numPr>
          <w:ilvl w:val="0"/>
          <w:numId w:val="37"/>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ДМЖП наблюдается в 1,5-3,5 случаев на 1000 доно</w:t>
        <w:softHyphen/>
        <w:t>шенных новорожденных и в 4,5-7 случаях у недоно</w:t>
        <w:softHyphen/>
        <w:t>шенных новорожденных.</w:t>
      </w:r>
    </w:p>
    <w:p>
      <w:pPr>
        <w:pStyle w:val="Style30"/>
        <w:numPr>
          <w:ilvl w:val="0"/>
          <w:numId w:val="37"/>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Частота обнаружения ДМЖП зависит от диагности</w:t>
        <w:softHyphen/>
        <w:t>ческой оснащенности. Так, у 50 из 1000 новорожден</w:t>
        <w:softHyphen/>
        <w:t>ных ДМЖП выявляется при эхокардиографическом исследовании.</w:t>
      </w:r>
    </w:p>
    <w:p>
      <w:pPr>
        <w:pStyle w:val="Style30"/>
        <w:numPr>
          <w:ilvl w:val="0"/>
          <w:numId w:val="37"/>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ДМЖП является наиболее частым проявлением хро</w:t>
        <w:softHyphen/>
        <w:t>мосомных синдромов: трисомия 13, трисомия 18, трисомия 21 и многих других синдромах. Более чем в 95% случаев ДМЖП не сочетается с хромосомными аномалиями.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Пол</w:t>
      </w:r>
    </w:p>
    <w:p>
      <w:pPr>
        <w:pStyle w:val="Style30"/>
        <w:numPr>
          <w:ilvl w:val="0"/>
          <w:numId w:val="37"/>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ДМЖП несколько чаще наблюдается у девочек (56%), чем у мальчиков (44%).</w:t>
      </w:r>
    </w:p>
    <w:p>
      <w:pPr>
        <w:pStyle w:val="Style30"/>
        <w:numPr>
          <w:ilvl w:val="0"/>
          <w:numId w:val="37"/>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ДМЖП, обусловленные миграцией эктомезенхи</w:t>
        <w:softHyphen/>
        <w:t>мальной ткани (например, при субартериальном типе I), чаще наблюдаются у мальчиков.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Порок имеет мультифакториальное происхождение.</w:t>
      </w:r>
    </w:p>
    <w:p>
      <w:pPr>
        <w:pStyle w:val="Style30"/>
        <w:numPr>
          <w:ilvl w:val="0"/>
          <w:numId w:val="37"/>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Материнскими факторами риска являются:</w:t>
      </w:r>
    </w:p>
    <w:p>
      <w:pPr>
        <w:pStyle w:val="Style30"/>
        <w:numPr>
          <w:ilvl w:val="0"/>
          <w:numId w:val="39"/>
        </w:numPr>
        <w:tabs>
          <w:tab w:leader="none" w:pos="49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диабет;</w:t>
      </w:r>
    </w:p>
    <w:p>
      <w:pPr>
        <w:pStyle w:val="Style30"/>
        <w:numPr>
          <w:ilvl w:val="0"/>
          <w:numId w:val="39"/>
        </w:numPr>
        <w:tabs>
          <w:tab w:leader="none" w:pos="49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фенилкетонурия;</w:t>
      </w:r>
    </w:p>
    <w:p>
      <w:pPr>
        <w:pStyle w:val="Style30"/>
        <w:numPr>
          <w:ilvl w:val="0"/>
          <w:numId w:val="39"/>
        </w:numPr>
        <w:tabs>
          <w:tab w:leader="none" w:pos="49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алкоголизм матери.</w:t>
      </w:r>
    </w:p>
    <w:p>
      <w:pPr>
        <w:pStyle w:val="Style30"/>
        <w:numPr>
          <w:ilvl w:val="0"/>
          <w:numId w:val="37"/>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Генетическими факторами риска являются:</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высокая частота кардиальных аномалий в генеало - гическом анамнезе;</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пороки сердца у родителей или предшествующих сиблингов;</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 ДМЖП у сиблингов от родителей с анало - гичным пороком сердца в 3 раза выше популяци</w:t>
        <w:softHyphen/>
        <w:t>онной;</w:t>
      </w:r>
    </w:p>
    <w:p>
      <w:pPr>
        <w:pStyle w:val="Style30"/>
        <w:numPr>
          <w:ilvl w:val="0"/>
          <w:numId w:val="39"/>
        </w:numPr>
        <w:tabs>
          <w:tab w:leader="none" w:pos="496" w:val="left"/>
        </w:tabs>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риск ДМЖП выше у каждого из близнецов. Эмбриология</w:t>
      </w:r>
    </w:p>
    <w:p>
      <w:pPr>
        <w:pStyle w:val="Style30"/>
        <w:numPr>
          <w:ilvl w:val="0"/>
          <w:numId w:val="37"/>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 четвертой по восьмую неделю гестации единая же</w:t>
        <w:softHyphen/>
        <w:t>лудочковая камера разделяется на две путем слияния мембранозной порции межжелудочковой перегород</w:t>
        <w:softHyphen/>
        <w:t xml:space="preserve">ки эндокардиальных подушечек и проксимальной порции общего артериального ствола </w:t>
      </w:r>
      <w:r>
        <w:rPr>
          <w:lang w:val="en-US" w:eastAsia="en-US" w:bidi="en-US"/>
          <w:w w:val="100"/>
          <w:spacing w:val="0"/>
          <w:color w:val="000000"/>
          <w:position w:val="0"/>
        </w:rPr>
        <w:t>(bulbous cordis).</w:t>
      </w:r>
    </w:p>
    <w:p>
      <w:pPr>
        <w:pStyle w:val="Style30"/>
        <w:numPr>
          <w:ilvl w:val="0"/>
          <w:numId w:val="37"/>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Мышечная порция межжелудочковой перегородки растет по направлению к бульбусу, желудочковые ка</w:t>
        <w:softHyphen/>
        <w:t>меры расширяются. В дальнейшем происходит слия</w:t>
        <w:softHyphen/>
        <w:t>ние мышечной перегородки с правой и левой стороны бульбуса. Правый край перегородки, сливаясь с три</w:t>
        <w:softHyphen/>
        <w:t>куспидальным клапаном эндокардиальных подуше</w:t>
        <w:softHyphen/>
        <w:t>чек, разделяет легочный клапан от трикуспидального. Левостороннее слияние разделяет аортальное и мит</w:t>
        <w:softHyphen/>
        <w:t>ральное отверстия. В последующем происходит окон</w:t>
        <w:softHyphen/>
        <w:t>чательное слияние бульбарных краев и мышечной порции перегородки. Развитие фиброзной ткани мем</w:t>
        <w:softHyphen/>
        <w:t>бранозной порции межжелудочковой перегородки за</w:t>
        <w:softHyphen/>
        <w:t>вершает полное разделение двух желудочков.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Анатомия</w:t>
      </w:r>
    </w:p>
    <w:p>
      <w:pPr>
        <w:pStyle w:val="Style30"/>
        <w:numPr>
          <w:ilvl w:val="0"/>
          <w:numId w:val="37"/>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Нарушенное развитие межжелудочковой перегород</w:t>
        <w:softHyphen/>
        <w:t>ки может приводить к дефекту в следующих областях:</w:t>
      </w:r>
    </w:p>
    <w:p>
      <w:pPr>
        <w:pStyle w:val="Style30"/>
        <w:numPr>
          <w:ilvl w:val="0"/>
          <w:numId w:val="41"/>
        </w:numPr>
        <w:tabs>
          <w:tab w:leader="none" w:pos="540"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мышечная порция межжелудочковой перегородки,</w:t>
      </w:r>
    </w:p>
    <w:p>
      <w:pPr>
        <w:pStyle w:val="Style30"/>
        <w:numPr>
          <w:ilvl w:val="0"/>
          <w:numId w:val="41"/>
        </w:numPr>
        <w:tabs>
          <w:tab w:leader="none" w:pos="559"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эндокардиальные подушечки, 3) бульбарные греб</w:t>
        <w:softHyphen/>
        <w:t>ни (конотрункальные выросты).</w:t>
      </w:r>
    </w:p>
    <w:p>
      <w:pPr>
        <w:pStyle w:val="Style30"/>
        <w:numPr>
          <w:ilvl w:val="0"/>
          <w:numId w:val="37"/>
        </w:numPr>
        <w:tabs>
          <w:tab w:leader="none" w:pos="525"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Межжелудочковая перегородка может быть подраз</w:t>
        <w:softHyphen/>
        <w:t>делена на три мышечные зоны: приточную, отточную (инфундибулярную) и трабекулярную. Фиброзный компонент перегородки обозначают мембранозной порцией межжелудочковой перегородки.</w:t>
      </w:r>
    </w:p>
    <w:p>
      <w:pPr>
        <w:pStyle w:val="Style30"/>
        <w:numPr>
          <w:ilvl w:val="0"/>
          <w:numId w:val="3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нормальном эмбриональном развитии сердца трикуспидальный и митральный клапан соединяются с межжелудочковой перегородкой на разных уровнях. Трикуспидальный клапан по сравнению с митраль</w:t>
        <w:softHyphen/>
        <w:t>ным смещен к верхушке сердца. Часть межжелудоч</w:t>
        <w:softHyphen/>
        <w:t>ковой перегородки между правым предсердием и ле</w:t>
        <w:softHyphen/>
        <w:t>вым желудочком обозначают предсердно -желудочко - вой перегородкой.</w:t>
      </w:r>
    </w:p>
    <w:p>
      <w:pPr>
        <w:pStyle w:val="Style30"/>
        <w:numPr>
          <w:ilvl w:val="0"/>
          <w:numId w:val="3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Переднее отхождение трикуспидального клапана раз</w:t>
        <w:softHyphen/>
        <w:t>деляет мембранозную порцию перегородки на два компонента: межжелудочковый (между левым желу</w:t>
        <w:softHyphen/>
        <w:t>дочком и правым желудочком) и предсердно-желу</w:t>
        <w:softHyphen/>
        <w:t>дочковый (между левым желудочком и правым пред</w:t>
        <w:softHyphen/>
        <w:t>сердием). При изолированных ДМЖП предсерд</w:t>
        <w:softHyphen/>
        <w:t>но-желудочковый компонент мембранозной порции перегородки обычно остается интактным.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Классификация дефектов межжелудочковой перегородки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Существует несколько классификаций вариантов ДМЖП. Наиболее часто используется классификация, ко</w:t>
        <w:softHyphen/>
        <w:t>торую применяют хирурги и клиницисты:</w:t>
      </w:r>
    </w:p>
    <w:p>
      <w:pPr>
        <w:pStyle w:val="Style30"/>
        <w:numPr>
          <w:ilvl w:val="0"/>
          <w:numId w:val="3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Перимембранозный ДМЖП расположен в выходном тракте левого желудочка непосредственно под аор</w:t>
        <w:softHyphen/>
        <w:t>тальным клапаном. Поскольку мембранозный де</w:t>
        <w:softHyphen/>
        <w:t>фект может распространяться на мышечную порцию перегородки, выделяют следующие подклассы де</w:t>
        <w:softHyphen/>
        <w:t>фекта: приточный перимембранозный, отточный пе- римембранозный и перимембранозный мышечный. Перимембранозные дефекты составляют примерно 80% среди всех ДМЖП. Перимембранозные ДМЖП могут сопровождаться выбуханием или «аневризмой» септальной створки трикуспидального клапана, ко</w:t>
        <w:softHyphen/>
        <w:t>торая частично или полностью прикрывает дефект. Дефект может располагаться в предсердно-желудоч</w:t>
        <w:softHyphen/>
        <w:t>ковой зоне, в результате чего возникает сообщение между левым желудочком и правым предсердием. Пролабирование правой или безкоронарной створки в область дефекта может обусловить возникновение аортальной недостаточности.</w:t>
      </w:r>
    </w:p>
    <w:p>
      <w:pPr>
        <w:pStyle w:val="Style30"/>
        <w:numPr>
          <w:ilvl w:val="0"/>
          <w:numId w:val="3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Инфундибулярные ДМЖП (подлегочные отточные) составляют 5-8% изолированных ДМЖП. Эти дефекты расположены ниже клапана легочной артерии в отточ</w:t>
        <w:softHyphen/>
        <w:t>ной зоне правого желудочка. В 7% случаев отточные подлегочные дефекты сочетаются с аортальной регур- гитацией, вторичной к пролапсу правой коронарной створки аортального клапана.</w:t>
      </w:r>
    </w:p>
    <w:p>
      <w:pPr>
        <w:pStyle w:val="Style30"/>
        <w:numPr>
          <w:ilvl w:val="0"/>
          <w:numId w:val="37"/>
        </w:numPr>
        <w:tabs>
          <w:tab w:leader="none" w:pos="525" w:val="left"/>
        </w:tabs>
        <w:widowControl w:val="0"/>
        <w:keepNext w:val="0"/>
        <w:keepLines w:val="0"/>
        <w:shd w:val="clear" w:color="auto" w:fill="auto"/>
        <w:bidi w:val="0"/>
        <w:spacing w:before="0" w:after="0"/>
        <w:ind w:left="520" w:right="0" w:hanging="240"/>
      </w:pPr>
      <w:r>
        <w:pict>
          <v:shape id="_x0000_s1152" type="#_x0000_t75" style="position:absolute;margin-left:130.9pt;margin-top:736.8pt;width:209.75pt;height:14.9pt;z-index:-125829306;mso-wrap-distance-left:124.8pt;mso-wrap-distance-right:147.85pt;mso-wrap-distance-bottom:10.8pt;mso-position-horizontal-relative:margin;mso-position-vertical-relative:margin" wrapcoords="0 0 21600 0 21600 21600 0 21600 0 0">
            <v:imagedata r:id="rId199" r:href="rId200"/>
            <w10:wrap type="topAndBottom" anchorx="margin" anchory="margin"/>
          </v:shape>
        </w:pict>
      </w:r>
      <w:r>
        <w:rPr>
          <w:lang w:val="ru-RU" w:eastAsia="ru-RU" w:bidi="ru-RU"/>
          <w:w w:val="100"/>
          <w:spacing w:val="0"/>
          <w:color w:val="000000"/>
          <w:position w:val="0"/>
        </w:rPr>
        <w:t>Мышечные ДМЖП (трабекулярные) возникают на ранних стадиях формирования мышечной части пе</w:t>
        <w:softHyphen/>
        <w:t>регородки, часто бывают множественными («дефект по типу швейцарского сыра»). Другими подклассами мышечного дефекта могут быть центральные, апи</w:t>
        <w:softHyphen/>
        <w:t>кальные и краевые (распространяется до соединения с правожелудочковой стенкой). Мышечные дефекты составляют 5-20% изолированных ДМЖП. Одним из вариантов мышечного ДМЖП является один дефект со стороны левого желудочка, который открывается несколькими дефектами со стороны правого желу</w:t>
        <w:softHyphen/>
        <w:t>дочка.</w:t>
      </w:r>
      <w:r>
        <w:br w:type="page"/>
      </w:r>
    </w:p>
    <w:p>
      <w:pPr>
        <w:pStyle w:val="Style30"/>
        <w:numPr>
          <w:ilvl w:val="0"/>
          <w:numId w:val="3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Приточные ДМЖП (предсердно-желудочковый ДМЖП, ДМЖП в зоне эндокардиальных подушечек) расположены позади септальной створки трикуспи</w:t>
        <w:softHyphen/>
        <w:t>дального клапана, не сочетаются с дефектами атрио</w:t>
        <w:softHyphen/>
        <w:t>вентрикулярных клапанов. Приточные ДМЖП со</w:t>
        <w:softHyphen/>
        <w:t>ставляют 8-10% изолированных септальных дефектов.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Классификация ДМЖП в зависимости от эмбриопатогенеза</w:t>
      </w:r>
    </w:p>
    <w:p>
      <w:pPr>
        <w:pStyle w:val="Style30"/>
        <w:numPr>
          <w:ilvl w:val="0"/>
          <w:numId w:val="3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Приточные ДМЖП обусловлены аномалией эктоме</w:t>
        <w:softHyphen/>
        <w:t>зенхимальной миграции тканей.</w:t>
      </w:r>
    </w:p>
    <w:p>
      <w:pPr>
        <w:pStyle w:val="Style30"/>
        <w:numPr>
          <w:ilvl w:val="0"/>
          <w:numId w:val="3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Перимембранозные ДМЖП связаны с аномалией внутрисердечных токов крови.</w:t>
      </w:r>
    </w:p>
    <w:p>
      <w:pPr>
        <w:pStyle w:val="Style30"/>
        <w:numPr>
          <w:ilvl w:val="0"/>
          <w:numId w:val="3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Мышечные ДМЖП обусловлены аномалией гибели клеток.</w:t>
      </w:r>
    </w:p>
    <w:p>
      <w:pPr>
        <w:pStyle w:val="Style30"/>
        <w:numPr>
          <w:ilvl w:val="0"/>
          <w:numId w:val="3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Приточные ДМЖП III типа связаны с аномалиями экстрацеллюлярного матрикса.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ДМЖП основными патогенетическими аспектами являются лево-правый шунт и повреждение сосудистого ложа легких.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Лево-правый шунт</w:t>
      </w:r>
    </w:p>
    <w:p>
      <w:pPr>
        <w:pStyle w:val="Style30"/>
        <w:numPr>
          <w:ilvl w:val="0"/>
          <w:numId w:val="3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Лево-правый шунт через дефект перегородки вызы</w:t>
        <w:softHyphen/>
        <w:t>вает три последовательных варианта гемодинамичес</w:t>
        <w:softHyphen/>
        <w:t>ких нарушений: 1) объемную перегрузку левого желу</w:t>
        <w:softHyphen/>
        <w:t>дочка, 2) легочную гиперциркуляцию и 3) изменение системного выброса.</w:t>
      </w:r>
    </w:p>
    <w:p>
      <w:pPr>
        <w:pStyle w:val="Style30"/>
        <w:numPr>
          <w:ilvl w:val="0"/>
          <w:numId w:val="3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Объемная перегрузка левого желудочка приводит к его дилатации и гипертрофии. Увеличение конеч</w:t>
        <w:softHyphen/>
        <w:t>но-диастолического давления в левом желудочке приводит к рефлекторному подъему давления в левом предсердии и, следовательно, к возрастанию легоч</w:t>
        <w:softHyphen/>
        <w:t>ного венозного давления, накоплению легочной ин</w:t>
        <w:softHyphen/>
        <w:t>терстициальной жидкости. Указанные изменения на</w:t>
        <w:softHyphen/>
        <w:t>ходятся в прямой связи с величиной лево-правого шунта и анатомической локализацией ДМЖП.</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Повреждение сосудистого ложа легких</w:t>
      </w:r>
    </w:p>
    <w:p>
      <w:pPr>
        <w:pStyle w:val="Style30"/>
        <w:numPr>
          <w:ilvl w:val="0"/>
          <w:numId w:val="3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Термины «легочная гипертензия», «высокая легочная сосудистая резистентность» и «легочная сосудистая болезнь» (часто используются взаимозаменяемо) от</w:t>
        <w:softHyphen/>
        <w:t>ражают разные патологические состояния.</w:t>
      </w:r>
    </w:p>
    <w:p>
      <w:pPr>
        <w:pStyle w:val="Style30"/>
        <w:numPr>
          <w:ilvl w:val="0"/>
          <w:numId w:val="3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Легочная гипертензия просто свидетельствует о повы</w:t>
        <w:softHyphen/>
        <w:t>шении артериального давления в малом круге кровоо</w:t>
        <w:softHyphen/>
        <w:t>бращения, может быть обратимой. Легочная сосудис</w:t>
        <w:softHyphen/>
        <w:t>тая резистентность является функциональным пока</w:t>
        <w:softHyphen/>
        <w:t>зателем и зависит от многих факторов, таких как воз</w:t>
        <w:softHyphen/>
        <w:t>раст, гематокрит, физическая активность, структура легочного сосудистого ложа и др. Хроническая легоч</w:t>
        <w:softHyphen/>
        <w:t xml:space="preserve">ная артериальная гипертензия и увеличение легочной сосудистой резистентности приводят к характерным гистологическим изменениям, которые, согласно Хит и Эдварсу </w:t>
      </w:r>
      <w:r>
        <w:rPr>
          <w:lang w:val="en-US" w:eastAsia="en-US" w:bidi="en-US"/>
          <w:w w:val="100"/>
          <w:spacing w:val="0"/>
          <w:color w:val="000000"/>
          <w:position w:val="0"/>
        </w:rPr>
        <w:t xml:space="preserve">(Heath and Edwards), </w:t>
      </w:r>
      <w:r>
        <w:rPr>
          <w:lang w:val="ru-RU" w:eastAsia="ru-RU" w:bidi="ru-RU"/>
          <w:w w:val="100"/>
          <w:spacing w:val="0"/>
          <w:color w:val="000000"/>
          <w:position w:val="0"/>
        </w:rPr>
        <w:t>подразделяют на 6 сте</w:t>
        <w:softHyphen/>
        <w:t>пеней. Легочная сосудистая обструктивная болезнь означает необратимые изменения в легочных сосудах, при которой легочная сосудистая резистентность эк</w:t>
        <w:softHyphen/>
        <w:t>вивалентна или выше системной резистентности.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Связь проводящей системы сердца с ДМЖП</w:t>
      </w:r>
    </w:p>
    <w:p>
      <w:pPr>
        <w:pStyle w:val="Style30"/>
        <w:numPr>
          <w:ilvl w:val="0"/>
          <w:numId w:val="3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Знания о состоянии проводящей системы сердца при ДМЖП необходимы при проведении хирургической коррекции порока. При перимембранозных дефектах ножки пучка Гиса расположены субэндокардиально и ниже края дефекта. При приточных дефектах пере</w:t>
        <w:softHyphen/>
        <w:t>городки ножки пучка Гиса проходят спереди от дефек</w:t>
        <w:softHyphen/>
        <w:t>та. При мышечных дефектах ветви пучка Гиса прохо</w:t>
        <w:softHyphen/>
        <w:br w:type="column"/>
        <w:t>дят спереди от края дефекта. Таким образом, при от</w:t>
        <w:softHyphen/>
        <w:t>точных и мышечных типах ДМЖП риск поражения проводящей системы минимален, поскольку ножки Гиса находятся на отдаленном расстоянии от дефекта.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Анамнез, клиническая симптоматика</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Анамнез заболевания может иметь широкий спектр, от спонтанного закрытия дефекта до летального ис</w:t>
        <w:softHyphen/>
        <w:t>хода из-за застойной сердечной недостаточности в раннем детстве.</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Спонтанное закрытие дефекта наблюдается часто у детей до года и значительно реже после двух лет.</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Закрытие дефекта может произойти при развитии ги - пертрофии межжелудочковой перегородки, форми</w:t>
        <w:softHyphen/>
        <w:t>ровании фиброзной ткани, сращении септальной створки трикуспидального клапана или пролабирую- щих створок аортального клапана.</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Спонтанное закрытие дефекта чаще всего наблюдает</w:t>
        <w:softHyphen/>
        <w:t>ся при мышечных типах (80%), перимембранозные дефекты закрываются в 35-40%.</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Приточные ДМЖП спонтанно не закрываются.</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Отточные ДМЖП могут редко закрываться спонтанно.</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спонтанном закрытии перимембранозного де</w:t>
        <w:softHyphen/>
        <w:t>фекта фиброзной тканью или септальной створкой трикуспидального клапана может образоваться анев</w:t>
        <w:softHyphen/>
        <w:t>ризма межжелудочковой перегородки.</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Симптоматика и физикальные данные определяются размером дефекта и величиной лево-правого шунта.</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Дети с небольшим ДМЖП:</w:t>
      </w:r>
    </w:p>
    <w:p>
      <w:pPr>
        <w:pStyle w:val="Style30"/>
        <w:numPr>
          <w:ilvl w:val="0"/>
          <w:numId w:val="39"/>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нет клинических симптомов порока;</w:t>
      </w:r>
    </w:p>
    <w:p>
      <w:pPr>
        <w:pStyle w:val="Style30"/>
        <w:numPr>
          <w:ilvl w:val="0"/>
          <w:numId w:val="39"/>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наиболее часто ДМЖП обнаруживается при вы</w:t>
        <w:softHyphen/>
        <w:t>слушивании шума в сердце при диспансеризации или при интеркурентных заболеваниях;</w:t>
      </w:r>
    </w:p>
    <w:p>
      <w:pPr>
        <w:pStyle w:val="Style30"/>
        <w:numPr>
          <w:ilvl w:val="0"/>
          <w:numId w:val="39"/>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питание и прибавка в весе нормальные.</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Дети с умеренным ДМЖП:</w:t>
      </w:r>
    </w:p>
    <w:p>
      <w:pPr>
        <w:pStyle w:val="Style30"/>
        <w:numPr>
          <w:ilvl w:val="0"/>
          <w:numId w:val="39"/>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начальными проявлениями порока являются тахип- ноэ, усиление работы дыхательной мускулатуры, по</w:t>
        <w:softHyphen/>
        <w:t>вышенная потливость, слабость при кормлении;</w:t>
      </w:r>
    </w:p>
    <w:p>
      <w:pPr>
        <w:pStyle w:val="Style30"/>
        <w:numPr>
          <w:ilvl w:val="0"/>
          <w:numId w:val="39"/>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начальные симптомы порока появляются обычно на 4-6 неделе жизни и усиливаются при увеличе</w:t>
        <w:softHyphen/>
        <w:t>нии легочного сосудистого сопротивления;</w:t>
      </w:r>
    </w:p>
    <w:p>
      <w:pPr>
        <w:pStyle w:val="Style30"/>
        <w:numPr>
          <w:ilvl w:val="0"/>
          <w:numId w:val="39"/>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симптоматика порока появляется раньше у недо</w:t>
        <w:softHyphen/>
        <w:t>ношенных детей. Респираторная инфекция может предшествовать появлению симптоматики поро</w:t>
        <w:softHyphen/>
        <w:t>ка. Респираторная инфекция обусловливает повы</w:t>
        <w:softHyphen/>
        <w:t>шение легочного венозного давления и снижает легочный комплайнс;</w:t>
      </w:r>
    </w:p>
    <w:p>
      <w:pPr>
        <w:pStyle w:val="Style30"/>
        <w:numPr>
          <w:ilvl w:val="0"/>
          <w:numId w:val="39"/>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дети имеют обычно нормальный рост и низкий вес. Плохая прибавка в весе является чувствитель</w:t>
        <w:softHyphen/>
        <w:t>ным индикатором сердечной недостаточности.</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Дети с большим ДМЖП:</w:t>
      </w:r>
    </w:p>
    <w:p>
      <w:pPr>
        <w:pStyle w:val="Style30"/>
        <w:numPr>
          <w:ilvl w:val="0"/>
          <w:numId w:val="39"/>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симптоматика и признаки порока аналогичны та</w:t>
        <w:softHyphen/>
        <w:t>ковым при умеренном дефекте, однако носят бо</w:t>
        <w:softHyphen/>
        <w:t>лее выраженный характер;</w:t>
      </w:r>
    </w:p>
    <w:p>
      <w:pPr>
        <w:pStyle w:val="Style30"/>
        <w:numPr>
          <w:ilvl w:val="0"/>
          <w:numId w:val="39"/>
        </w:numPr>
        <w:tabs>
          <w:tab w:leader="none" w:pos="735" w:val="left"/>
        </w:tabs>
        <w:widowControl w:val="0"/>
        <w:keepNext w:val="0"/>
        <w:keepLines w:val="0"/>
        <w:shd w:val="clear" w:color="auto" w:fill="auto"/>
        <w:bidi w:val="0"/>
        <w:spacing w:before="0" w:after="0"/>
        <w:ind w:left="740" w:right="0" w:hanging="240"/>
        <w:sectPr>
          <w:pgSz w:w="11900" w:h="16840"/>
          <w:pgMar w:top="1569" w:left="1068" w:right="1073" w:bottom="1751" w:header="0" w:footer="3" w:gutter="0"/>
          <w:rtlGutter w:val="0"/>
          <w:cols w:num="2" w:space="102"/>
          <w:noEndnote/>
          <w:docGrid w:linePitch="360"/>
        </w:sectPr>
      </w:pPr>
      <w:r>
        <w:rPr>
          <w:lang w:val="ru-RU" w:eastAsia="ru-RU" w:bidi="ru-RU"/>
          <w:w w:val="100"/>
          <w:spacing w:val="0"/>
          <w:color w:val="000000"/>
          <w:position w:val="0"/>
        </w:rPr>
        <w:t>цианоз появляется только при нагрузке. Постоян</w:t>
        <w:softHyphen/>
        <w:t>ный цианоз свидетельствует о более сложном по</w:t>
        <w:softHyphen/>
        <w:t>роке. Появление цианоза сразу после рождения свидетельствует об обратном (право-левом) шунте при ДМЖП. Пациенты с большим ДМЖП и уве</w:t>
        <w:softHyphen/>
        <w:t>личенной легочной сосудистой резистентностью длительное время чувствуют себя удовлетвори</w:t>
        <w:softHyphen/>
        <w:t>тельно, поскольку формируется сбалансирован</w:t>
        <w:softHyphen/>
        <w:t>ный системный и легочный кровоток;</w:t>
      </w:r>
    </w:p>
    <w:p>
      <w:pPr>
        <w:widowControl w:val="0"/>
        <w:rPr>
          <w:sz w:val="2"/>
          <w:szCs w:val="2"/>
        </w:rPr>
      </w:pPr>
      <w:r>
        <w:pict>
          <v:shape id="_x0000_s1153" type="#_x0000_t202" style="position:static;width:595.pt;height:66.0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154" type="#_x0000_t75" style="position:absolute;margin-left:156.95pt;margin-top:0;width:209.75pt;height:14.9pt;z-index:-251658725;mso-wrap-distance-left:5.pt;mso-wrap-distance-right:5.pt;mso-position-horizontal-relative:margin" wrapcoords="0 0">
            <v:imagedata r:id="rId201" r:href="rId202"/>
            <w10:wrap anchorx="margin"/>
          </v:shape>
        </w:pict>
      </w:r>
    </w:p>
    <w:p>
      <w:pPr>
        <w:widowControl w:val="0"/>
        <w:rPr>
          <w:sz w:val="2"/>
          <w:szCs w:val="2"/>
        </w:rPr>
        <w:sectPr>
          <w:type w:val="continuous"/>
          <w:pgSz w:w="11900" w:h="16840"/>
          <w:pgMar w:top="1468" w:left="893" w:right="1123" w:bottom="192" w:header="0" w:footer="3" w:gutter="0"/>
          <w:rtlGutter w:val="0"/>
          <w:cols w:space="720"/>
          <w:noEndnote/>
          <w:docGrid w:linePitch="360"/>
        </w:sectPr>
      </w:pPr>
    </w:p>
    <w:p>
      <w:pPr>
        <w:widowControl w:val="0"/>
        <w:spacing w:line="654" w:lineRule="exact"/>
      </w:pPr>
      <w:r>
        <w:pict>
          <v:shape id="_x0000_s1155" type="#_x0000_t202" style="position:absolute;margin-left:5.e-002pt;margin-top:0;width:97.7pt;height:15.1pt;z-index:251657734;mso-wrap-distance-left:5.pt;mso-wrap-distance-right:5.pt;mso-position-horizontal-relative:margin" filled="f" stroked="f">
            <v:textbox style="mso-fit-shape-to-text:t" inset="0,0,0,0">
              <w:txbxContent>
                <w:p>
                  <w:pPr>
                    <w:pStyle w:val="Style115"/>
                    <w:widowControl w:val="0"/>
                    <w:keepNext w:val="0"/>
                    <w:keepLines w:val="0"/>
                    <w:shd w:val="clear" w:color="auto" w:fill="auto"/>
                    <w:bidi w:val="0"/>
                    <w:jc w:val="left"/>
                    <w:spacing w:before="0" w:after="0" w:line="170" w:lineRule="exact"/>
                    <w:ind w:left="0" w:right="0" w:firstLine="0"/>
                  </w:pPr>
                  <w:r>
                    <w:rPr>
                      <w:rStyle w:val="CharStyle117"/>
                      <w:i w:val="0"/>
                      <w:iCs w:val="0"/>
                    </w:rPr>
                    <w:t>Ц</w:t>
                  </w:r>
                  <w:r>
                    <w:rPr>
                      <w:rStyle w:val="CharStyle118"/>
                      <w:i w:val="0"/>
                      <w:iCs w:val="0"/>
                    </w:rPr>
                    <w:t>8</w:t>
                  </w:r>
                  <w:r>
                    <w:rPr>
                      <w:rStyle w:val="CharStyle117"/>
                      <w:i w:val="0"/>
                      <w:iCs w:val="0"/>
                    </w:rPr>
                    <w:t xml:space="preserve">В </w:t>
                  </w:r>
                  <w:r>
                    <w:rPr>
                      <w:lang w:val="ru-RU" w:eastAsia="ru-RU" w:bidi="ru-RU"/>
                      <w:w w:val="100"/>
                      <w:color w:val="000000"/>
                      <w:position w:val="0"/>
                    </w:rPr>
                    <w:t>Белозеров Ю.М.</w:t>
                  </w:r>
                </w:p>
              </w:txbxContent>
            </v:textbox>
            <w10:wrap anchorx="margin"/>
          </v:shape>
        </w:pict>
      </w:r>
      <w:r>
        <w:pict>
          <v:shape id="_x0000_s1156" type="#_x0000_t202" style="position:absolute;margin-left:414.7pt;margin-top:1.45pt;width:80.15pt;height:11.75pt;z-index:251657735;mso-wrap-distance-left:5.pt;mso-wrap-distance-right:5.pt;mso-position-horizontal-relative:margin" filled="f" stroked="f">
            <v:textbox style="mso-fit-shape-to-text:t" inset="0,0,0,0">
              <w:txbxContent>
                <w:p>
                  <w:pPr>
                    <w:pStyle w:val="Style112"/>
                    <w:widowControl w:val="0"/>
                    <w:keepNext/>
                    <w:keepLines/>
                    <w:shd w:val="clear" w:color="auto" w:fill="auto"/>
                    <w:bidi w:val="0"/>
                    <w:jc w:val="left"/>
                    <w:spacing w:before="0" w:after="0" w:line="150" w:lineRule="exact"/>
                    <w:ind w:left="0" w:right="0" w:firstLine="0"/>
                  </w:pPr>
                  <w:bookmarkStart w:id="314" w:name="bookmark314"/>
                  <w:r>
                    <w:rPr>
                      <w:rStyle w:val="CharStyle119"/>
                    </w:rPr>
                    <w:t>Детская кардиология</w:t>
                  </w:r>
                  <w:bookmarkEnd w:id="314"/>
                </w:p>
              </w:txbxContent>
            </v:textbox>
            <w10:wrap anchorx="margin"/>
          </v:shape>
        </w:pict>
      </w:r>
    </w:p>
    <w:p>
      <w:pPr>
        <w:widowControl w:val="0"/>
        <w:rPr>
          <w:sz w:val="2"/>
          <w:szCs w:val="2"/>
        </w:rPr>
        <w:sectPr>
          <w:headerReference w:type="even" r:id="rId203"/>
          <w:headerReference w:type="default" r:id="rId204"/>
          <w:headerReference w:type="first" r:id="rId205"/>
          <w:titlePg/>
          <w:pgSz w:w="11900" w:h="16840"/>
          <w:pgMar w:top="1166" w:left="1100" w:right="898" w:bottom="192" w:header="0" w:footer="3" w:gutter="0"/>
          <w:rtlGutter w:val="0"/>
          <w:cols w:space="720"/>
          <w:noEndnote/>
          <w:docGrid w:linePitch="360"/>
        </w:sectPr>
      </w:pPr>
    </w:p>
    <w:p>
      <w:pPr>
        <w:widowControl w:val="0"/>
        <w:spacing w:line="68" w:lineRule="exact"/>
        <w:rPr>
          <w:sz w:val="5"/>
          <w:szCs w:val="5"/>
        </w:rPr>
      </w:pPr>
    </w:p>
    <w:p>
      <w:pPr>
        <w:widowControl w:val="0"/>
        <w:rPr>
          <w:sz w:val="2"/>
          <w:szCs w:val="2"/>
        </w:rPr>
        <w:sectPr>
          <w:type w:val="continuous"/>
          <w:pgSz w:w="11900" w:h="16840"/>
          <w:pgMar w:top="1594" w:left="0" w:right="0" w:bottom="1858" w:header="0" w:footer="3" w:gutter="0"/>
          <w:rtlGutter w:val="0"/>
          <w:cols w:space="720"/>
          <w:noEndnote/>
          <w:docGrid w:linePitch="360"/>
        </w:sectPr>
      </w:pPr>
    </w:p>
    <w:p>
      <w:pPr>
        <w:pStyle w:val="Style30"/>
        <w:numPr>
          <w:ilvl w:val="0"/>
          <w:numId w:val="39"/>
        </w:numPr>
        <w:tabs>
          <w:tab w:leader="none" w:pos="496" w:val="left"/>
        </w:tabs>
        <w:widowControl w:val="0"/>
        <w:keepNext w:val="0"/>
        <w:keepLines w:val="0"/>
        <w:shd w:val="clear" w:color="auto" w:fill="auto"/>
        <w:bidi w:val="0"/>
        <w:jc w:val="left"/>
        <w:spacing w:before="0" w:after="0"/>
        <w:ind w:left="500" w:right="0" w:hanging="240"/>
      </w:pPr>
      <w:r>
        <w:pict>
          <v:shape id="_x0000_s1159" type="#_x0000_t202" style="position:absolute;margin-left:-263.75pt;margin-top:8.15pt;width:237.6pt;height:195.1pt;z-index:-125829305;mso-wrap-distance-left:5.pt;mso-wrap-distance-right:22.55pt;mso-position-horizontal-relative:margin;mso-position-vertical-relative:margin" wrapcoords="148 0 21425 0 21425 17457 21600 19797 21600 21600 0 21600 0 19797 148 17457 148 0" filled="f" stroked="f">
            <v:textbox style="mso-fit-shape-to-text:t" inset="0,0,0,0">
              <w:txbxContent>
                <w:p>
                  <w:pPr>
                    <w:framePr w:h="3902" w:hSpace="451" w:wrap="around" w:hAnchor="margin" w:x="-5274" w:y="164"/>
                    <w:widowControl w:val="0"/>
                    <w:jc w:val="center"/>
                    <w:rPr>
                      <w:sz w:val="2"/>
                      <w:szCs w:val="2"/>
                    </w:rPr>
                  </w:pPr>
                  <w:r>
                    <w:pict>
                      <v:shape id="_x0000_s1160" type="#_x0000_t75" style="width:238pt;height:195pt;">
                        <v:imagedata r:id="rId206" r:href="rId207"/>
                      </v:shape>
                    </w:pict>
                  </w:r>
                </w:p>
                <w:p>
                  <w:pPr>
                    <w:pStyle w:val="Style120"/>
                    <w:widowControl w:val="0"/>
                    <w:keepNext w:val="0"/>
                    <w:keepLines w:val="0"/>
                    <w:shd w:val="clear" w:color="auto" w:fill="auto"/>
                    <w:bidi w:val="0"/>
                    <w:spacing w:before="0" w:after="0"/>
                    <w:ind w:left="0" w:right="0" w:firstLine="0"/>
                  </w:pPr>
                  <w:r>
                    <w:rPr>
                      <w:rStyle w:val="CharStyle122"/>
                    </w:rPr>
                    <w:t xml:space="preserve">Рис. 14. </w:t>
                  </w:r>
                  <w:r>
                    <w:rPr>
                      <w:rStyle w:val="CharStyle121"/>
                    </w:rPr>
                    <w:t>Дефект межжелудочковой перегородки: признаки гипер</w:t>
                    <w:softHyphen/>
                    <w:t>трофии миокарда левого желудочка.</w:t>
                  </w:r>
                </w:p>
              </w:txbxContent>
            </v:textbox>
            <w10:wrap type="square" side="right" anchorx="margin" anchory="margin"/>
          </v:shape>
        </w:pict>
      </w:r>
      <w:r>
        <w:pict>
          <v:shape id="_x0000_s1161" type="#_x0000_t202" style="position:absolute;margin-left:-263.75pt;margin-top:305.5pt;width:208.1pt;height:284.15pt;z-index:-125829304;mso-wrap-distance-left:5.pt;mso-wrap-distance-right:22.55pt;mso-position-horizontal-relative:margin;mso-position-vertical-relative:margin" wrapcoords="1267 0 19899 0 19899 18256 21600 20305 21600 21600 0 21600 0 20305 1267 18256 1267 0" filled="f" stroked="f">
            <v:textbox style="mso-fit-shape-to-text:t" inset="0,0,0,0">
              <w:txbxContent>
                <w:p>
                  <w:pPr>
                    <w:framePr w:h="5683" w:hSpace="451" w:wrap="around" w:hAnchor="margin" w:x="-5274" w:y="6111"/>
                    <w:widowControl w:val="0"/>
                    <w:jc w:val="center"/>
                    <w:rPr>
                      <w:sz w:val="2"/>
                      <w:szCs w:val="2"/>
                    </w:rPr>
                  </w:pPr>
                  <w:r>
                    <w:pict>
                      <v:shape id="_x0000_s1162" type="#_x0000_t75" style="width:208pt;height:284pt;">
                        <v:imagedata r:id="rId208" r:href="rId209"/>
                      </v:shape>
                    </w:pict>
                  </w:r>
                </w:p>
                <w:p>
                  <w:pPr>
                    <w:pStyle w:val="Style120"/>
                    <w:widowControl w:val="0"/>
                    <w:keepNext w:val="0"/>
                    <w:keepLines w:val="0"/>
                    <w:shd w:val="clear" w:color="auto" w:fill="auto"/>
                    <w:bidi w:val="0"/>
                    <w:spacing w:before="0" w:after="0"/>
                    <w:ind w:left="0" w:right="0" w:firstLine="0"/>
                  </w:pPr>
                  <w:r>
                    <w:rPr>
                      <w:rStyle w:val="CharStyle122"/>
                    </w:rPr>
                    <w:t xml:space="preserve">Рис. 15. </w:t>
                  </w:r>
                  <w:r>
                    <w:rPr>
                      <w:rStyle w:val="CharStyle121"/>
                    </w:rPr>
                    <w:t>Дефект межжелудочковой перегородки: признаки гипер</w:t>
                    <w:softHyphen/>
                    <w:t>трофии миокарда правого желудочка.</w:t>
                  </w:r>
                </w:p>
              </w:txbxContent>
            </v:textbox>
            <w10:wrap type="square" side="right" anchorx="margin" anchory="margin"/>
          </v:shape>
        </w:pict>
      </w:r>
      <w:r>
        <w:rPr>
          <w:lang w:val="ru-RU" w:eastAsia="ru-RU" w:bidi="ru-RU"/>
          <w:w w:val="100"/>
          <w:spacing w:val="0"/>
          <w:color w:val="000000"/>
          <w:position w:val="0"/>
        </w:rPr>
        <w:t>синдром Эйзенменгера (ДМЖП с тяжелой легоч ной сосудистой обструкцией) проявляется одыш</w:t>
        <w:softHyphen/>
        <w:t>кой при нагрузке, болями в грудной клетке, синко- пальными атаками.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Физикальные данные.</w:t>
      </w:r>
    </w:p>
    <w:p>
      <w:pPr>
        <w:pStyle w:val="Style30"/>
        <w:numPr>
          <w:ilvl w:val="0"/>
          <w:numId w:val="37"/>
        </w:numPr>
        <w:tabs>
          <w:tab w:leader="none" w:pos="226"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Дети с небольшим ДМЖП:</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нормальные показатели физического развития;</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отсутствие хрипов в легких;</w:t>
      </w:r>
    </w:p>
    <w:p>
      <w:pPr>
        <w:pStyle w:val="Style30"/>
        <w:numPr>
          <w:ilvl w:val="0"/>
          <w:numId w:val="39"/>
        </w:numPr>
        <w:tabs>
          <w:tab w:leader="none" w:pos="496"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отсутствие набухания шейных вен, гепатомегалии или отеков;</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гиперактивность верхушечного толчка;</w:t>
      </w:r>
    </w:p>
    <w:p>
      <w:pPr>
        <w:pStyle w:val="Style30"/>
        <w:numPr>
          <w:ilvl w:val="0"/>
          <w:numId w:val="39"/>
        </w:numPr>
        <w:tabs>
          <w:tab w:leader="none" w:pos="496"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второй тон может иметь физиологическое расщеп</w:t>
        <w:softHyphen/>
        <w:t>ление;</w:t>
      </w:r>
    </w:p>
    <w:p>
      <w:pPr>
        <w:pStyle w:val="Style30"/>
        <w:numPr>
          <w:ilvl w:val="0"/>
          <w:numId w:val="39"/>
        </w:numPr>
        <w:tabs>
          <w:tab w:leader="none" w:pos="496"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выслушивается интенсивный грубый голосисто - лический шум слева у грудины;</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 новорожденных систолический шум может быть непродолжительным из-за прикрытия дефекта подлежащими мышечными тканями;</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иногда шум бывает музыкальным.</w:t>
      </w:r>
    </w:p>
    <w:p>
      <w:pPr>
        <w:pStyle w:val="Style30"/>
        <w:numPr>
          <w:ilvl w:val="0"/>
          <w:numId w:val="37"/>
        </w:numPr>
        <w:tabs>
          <w:tab w:leader="none" w:pos="226"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Дети с умеренным ДМЖП:</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усилена прекардиальная пульсация грудной клет</w:t>
        <w:softHyphen/>
        <w:t>ки, которая может проводиться на верхушку и пра</w:t>
        <w:softHyphen/>
        <w:t>вую сторону грудины;</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голосистолический шум обычно выслушивается в нижней части грудины слева и сопровождается систолическим дрожанием;</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может выслушиваться короткий третий тон и сред</w:t>
        <w:softHyphen/>
        <w:t>недиастолический щелчок на верхушке, когда ле</w:t>
        <w:softHyphen/>
        <w:t>гочный кровоток равен или превышает системный кровоток;</w:t>
      </w:r>
    </w:p>
    <w:p>
      <w:pPr>
        <w:pStyle w:val="Style30"/>
        <w:numPr>
          <w:ilvl w:val="0"/>
          <w:numId w:val="39"/>
        </w:numPr>
        <w:tabs>
          <w:tab w:leader="none" w:pos="496"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второй тон нормальный или умеренно акцентуи</w:t>
        <w:softHyphen/>
        <w:t>рован за счет легочного компонента.</w:t>
      </w:r>
    </w:p>
    <w:p>
      <w:pPr>
        <w:pStyle w:val="Style30"/>
        <w:numPr>
          <w:ilvl w:val="0"/>
          <w:numId w:val="37"/>
        </w:numPr>
        <w:tabs>
          <w:tab w:leader="none" w:pos="226"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Дети с большим ДМЖП:</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цианоз;</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одышка;</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эритроцитоз;</w:t>
      </w:r>
    </w:p>
    <w:p>
      <w:pPr>
        <w:pStyle w:val="Style30"/>
        <w:numPr>
          <w:ilvl w:val="0"/>
          <w:numId w:val="39"/>
        </w:numPr>
        <w:tabs>
          <w:tab w:leader="none" w:pos="496"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усиленная пульсация в области грудины, выбуха</w:t>
        <w:softHyphen/>
        <w:t>ние грудной клетки преимущественно справа;</w:t>
      </w:r>
    </w:p>
    <w:p>
      <w:pPr>
        <w:pStyle w:val="Style30"/>
        <w:numPr>
          <w:ilvl w:val="0"/>
          <w:numId w:val="39"/>
        </w:numPr>
        <w:tabs>
          <w:tab w:leader="none" w:pos="496"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очень короткий систолический шум или его отсут</w:t>
        <w:softHyphen/>
        <w:t>ствие;</w:t>
      </w:r>
    </w:p>
    <w:p>
      <w:pPr>
        <w:pStyle w:val="Style30"/>
        <w:numPr>
          <w:ilvl w:val="0"/>
          <w:numId w:val="39"/>
        </w:numPr>
        <w:tabs>
          <w:tab w:leader="none" w:pos="496"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возможен короткий систолический шум легочного изгнания в верхней парастернальной области слева;</w:t>
      </w:r>
    </w:p>
    <w:p>
      <w:pPr>
        <w:pStyle w:val="Style30"/>
        <w:numPr>
          <w:ilvl w:val="0"/>
          <w:numId w:val="39"/>
        </w:numPr>
        <w:tabs>
          <w:tab w:leader="none" w:pos="496"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может выслушиваться продолжительный голосисто - лический шум трикуспидальной недостаточности;</w:t>
      </w:r>
    </w:p>
    <w:p>
      <w:pPr>
        <w:pStyle w:val="Style30"/>
        <w:numPr>
          <w:ilvl w:val="0"/>
          <w:numId w:val="39"/>
        </w:numPr>
        <w:tabs>
          <w:tab w:leader="none" w:pos="496"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резкий акцент второго тона, может ощущаться пальпаторно;</w:t>
      </w:r>
    </w:p>
    <w:p>
      <w:pPr>
        <w:pStyle w:val="Style30"/>
        <w:numPr>
          <w:ilvl w:val="0"/>
          <w:numId w:val="3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выслушивается третий тон;</w:t>
      </w:r>
    </w:p>
    <w:p>
      <w:pPr>
        <w:pStyle w:val="Style30"/>
        <w:numPr>
          <w:ilvl w:val="0"/>
          <w:numId w:val="39"/>
        </w:numPr>
        <w:tabs>
          <w:tab w:leader="none" w:pos="496"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присаживание на корточки наблюдается у 15% де</w:t>
        <w:softHyphen/>
        <w:t>тей с большим ДМЖП.</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Электрокардиография:</w:t>
      </w:r>
    </w:p>
    <w:p>
      <w:pPr>
        <w:pStyle w:val="Style30"/>
        <w:numPr>
          <w:ilvl w:val="0"/>
          <w:numId w:val="37"/>
        </w:numPr>
        <w:tabs>
          <w:tab w:leader="none" w:pos="496"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Маленькие ДМЖП не сопровождаются электро - кардиографическими нарушениями.</w:t>
      </w:r>
    </w:p>
    <w:p>
      <w:pPr>
        <w:pStyle w:val="Style30"/>
        <w:numPr>
          <w:ilvl w:val="0"/>
          <w:numId w:val="3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умеренных ДМЖП может определяться объ</w:t>
        <w:softHyphen/>
        <w:t>емная перегрузка и гипертрофия левого желудочка (рис. 14).</w:t>
      </w:r>
    </w:p>
    <w:p>
      <w:pPr>
        <w:pStyle w:val="Style30"/>
        <w:numPr>
          <w:ilvl w:val="0"/>
          <w:numId w:val="37"/>
        </w:numPr>
        <w:tabs>
          <w:tab w:leader="none" w:pos="496" w:val="left"/>
        </w:tabs>
        <w:widowControl w:val="0"/>
        <w:keepNext w:val="0"/>
        <w:keepLines w:val="0"/>
        <w:shd w:val="clear" w:color="auto" w:fill="auto"/>
        <w:bidi w:val="0"/>
        <w:spacing w:before="0" w:after="0"/>
        <w:ind w:left="500" w:right="0" w:hanging="240"/>
        <w:sectPr>
          <w:type w:val="continuous"/>
          <w:pgSz w:w="11900" w:h="16840"/>
          <w:pgMar w:top="1594" w:left="6399" w:right="898" w:bottom="1858" w:header="0" w:footer="3" w:gutter="0"/>
          <w:rtlGutter w:val="0"/>
          <w:cols w:space="720"/>
          <w:noEndnote/>
          <w:docGrid w:linePitch="360"/>
        </w:sectPr>
      </w:pPr>
      <w:r>
        <w:rPr>
          <w:lang w:val="ru-RU" w:eastAsia="ru-RU" w:bidi="ru-RU"/>
          <w:w w:val="100"/>
          <w:spacing w:val="0"/>
          <w:color w:val="000000"/>
          <w:position w:val="0"/>
        </w:rPr>
        <w:t>Может регистрироваться комбинированная гипер - трофия желудочков. При комбинированной ги</w:t>
        <w:softHyphen/>
        <w:t xml:space="preserve">пертрофии выявляются большие, одинаковые по амплитуде зубцы </w:t>
      </w:r>
      <w:r>
        <w:rPr>
          <w:lang w:val="en-US" w:eastAsia="en-US" w:bidi="en-US"/>
          <w:w w:val="100"/>
          <w:spacing w:val="0"/>
          <w:color w:val="000000"/>
          <w:position w:val="0"/>
        </w:rPr>
        <w:t xml:space="preserve">R </w:t>
      </w:r>
      <w:r>
        <w:rPr>
          <w:lang w:val="ru-RU" w:eastAsia="ru-RU" w:bidi="ru-RU"/>
          <w:w w:val="100"/>
          <w:spacing w:val="0"/>
          <w:color w:val="000000"/>
          <w:position w:val="0"/>
        </w:rPr>
        <w:t>(&gt;50 мм) в средних грудных от</w:t>
        <w:softHyphen/>
        <w:t xml:space="preserve">ведениях — так называемый феномен </w:t>
      </w:r>
      <w:r>
        <w:rPr>
          <w:lang w:val="en-US" w:eastAsia="en-US" w:bidi="en-US"/>
          <w:w w:val="100"/>
          <w:spacing w:val="0"/>
          <w:color w:val="000000"/>
          <w:position w:val="0"/>
        </w:rPr>
        <w:t>Katz- W&amp;chtel.</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77" w:after="77" w:line="240" w:lineRule="exact"/>
        <w:rPr>
          <w:sz w:val="19"/>
          <w:szCs w:val="19"/>
        </w:rPr>
      </w:pPr>
    </w:p>
    <w:p>
      <w:pPr>
        <w:widowControl w:val="0"/>
        <w:rPr>
          <w:sz w:val="2"/>
          <w:szCs w:val="2"/>
        </w:rPr>
        <w:sectPr>
          <w:type w:val="continuous"/>
          <w:pgSz w:w="11900" w:h="16840"/>
          <w:pgMar w:top="1166" w:left="0" w:right="0" w:bottom="192" w:header="0" w:footer="3" w:gutter="0"/>
          <w:rtlGutter w:val="0"/>
          <w:cols w:space="720"/>
          <w:noEndnote/>
          <w:docGrid w:linePitch="360"/>
        </w:sectPr>
      </w:pPr>
    </w:p>
    <w:p>
      <w:pPr>
        <w:widowControl w:val="0"/>
        <w:spacing w:line="645" w:lineRule="exact"/>
      </w:pPr>
      <w:r>
        <w:pict>
          <v:shape id="_x0000_s1163" type="#_x0000_t75" style="position:absolute;margin-left:137.75pt;margin-top:0;width:209.75pt;height:14.9pt;z-index:-251658722;mso-wrap-distance-left:5.pt;mso-wrap-distance-right:5.pt;mso-position-horizontal-relative:margin" wrapcoords="0 0">
            <v:imagedata r:id="rId210" r:href="rId211"/>
            <w10:wrap anchorx="margin"/>
          </v:shape>
        </w:pict>
      </w:r>
    </w:p>
    <w:p>
      <w:pPr>
        <w:widowControl w:val="0"/>
        <w:rPr>
          <w:sz w:val="2"/>
          <w:szCs w:val="2"/>
        </w:rPr>
        <w:sectPr>
          <w:type w:val="continuous"/>
          <w:pgSz w:w="11900" w:h="16840"/>
          <w:pgMar w:top="1166" w:left="1100" w:right="898" w:bottom="192" w:header="0" w:footer="3" w:gutter="0"/>
          <w:rtlGutter w:val="0"/>
          <w:cols w:space="720"/>
          <w:noEndnote/>
          <w:docGrid w:linePitch="360"/>
        </w:sectPr>
      </w:pPr>
    </w:p>
    <w:p>
      <w:pPr>
        <w:pStyle w:val="Style30"/>
        <w:widowControl w:val="0"/>
        <w:keepNext w:val="0"/>
        <w:keepLines w:val="0"/>
        <w:shd w:val="clear" w:color="auto" w:fill="auto"/>
        <w:bidi w:val="0"/>
        <w:spacing w:before="0" w:after="0" w:line="192" w:lineRule="exact"/>
        <w:ind w:left="0" w:right="0" w:firstLine="0"/>
        <w:sectPr>
          <w:pgSz w:w="11900" w:h="16840"/>
          <w:pgMar w:top="1661" w:left="893" w:right="1119" w:bottom="207" w:header="0" w:footer="3" w:gutter="0"/>
          <w:rtlGutter w:val="0"/>
          <w:cols w:space="720"/>
          <w:noEndnote/>
          <w:docGrid w:linePitch="360"/>
        </w:sectPr>
      </w:pPr>
      <w:r>
        <w:pict>
          <v:shape id="_x0000_s1164" type="#_x0000_t75" style="position:absolute;margin-left:197.3pt;margin-top:-24.5pt;width:297.6pt;height:215.5pt;z-index:-125829303;mso-wrap-distance-left:16.8pt;mso-wrap-distance-right:5.pt;mso-position-horizontal-relative:margin" wrapcoords="0 0 21600 0 21600 21600 0 21600 0 0">
            <v:imagedata r:id="rId212" r:href="rId213"/>
            <w10:wrap type="square" side="left" anchorx="margin"/>
          </v:shape>
        </w:pict>
      </w:r>
      <w:r>
        <w:rPr>
          <w:rStyle w:val="CharStyle102"/>
        </w:rPr>
        <w:t xml:space="preserve">Рис. 16. </w:t>
      </w:r>
      <w:r>
        <w:rPr>
          <w:lang w:val="ru-RU" w:eastAsia="ru-RU" w:bidi="ru-RU"/>
          <w:w w:val="100"/>
          <w:spacing w:val="0"/>
          <w:color w:val="000000"/>
          <w:position w:val="0"/>
        </w:rPr>
        <w:t>Одномерная и двухмерная эхокардио</w:t>
        <w:softHyphen/>
        <w:t>грамма перимембранозного дефекта межжелудоч</w:t>
        <w:softHyphen/>
        <w:t>ковой перегородки. В одномерном режиме виден перерыв эхосигнала от МЖП, в двухмерном ре</w:t>
        <w:softHyphen/>
        <w:t>жиме дефект локализуется в области аортосеп</w:t>
        <w:softHyphen/>
        <w:t>тального продолжения.</w:t>
      </w:r>
    </w:p>
    <w:p>
      <w:pPr>
        <w:widowControl w:val="0"/>
        <w:spacing w:line="240" w:lineRule="exact"/>
        <w:rPr>
          <w:sz w:val="19"/>
          <w:szCs w:val="19"/>
        </w:rPr>
      </w:pPr>
    </w:p>
    <w:p>
      <w:pPr>
        <w:widowControl w:val="0"/>
        <w:spacing w:before="39" w:after="39" w:line="240" w:lineRule="exact"/>
        <w:rPr>
          <w:sz w:val="19"/>
          <w:szCs w:val="19"/>
        </w:rPr>
      </w:pPr>
    </w:p>
    <w:p>
      <w:pPr>
        <w:widowControl w:val="0"/>
        <w:rPr>
          <w:sz w:val="2"/>
          <w:szCs w:val="2"/>
        </w:rPr>
        <w:sectPr>
          <w:type w:val="continuous"/>
          <w:pgSz w:w="11900" w:h="16840"/>
          <w:pgMar w:top="1569" w:left="0" w:right="0" w:bottom="1747" w:header="0" w:footer="3" w:gutter="0"/>
          <w:rtlGutter w:val="0"/>
          <w:cols w:space="720"/>
          <w:noEndnote/>
          <w:docGrid w:linePitch="360"/>
        </w:sectPr>
      </w:pPr>
    </w:p>
    <w:p>
      <w:pPr>
        <w:widowControl w:val="0"/>
        <w:rPr>
          <w:sz w:val="2"/>
          <w:szCs w:val="2"/>
        </w:rPr>
      </w:pPr>
      <w:r>
        <w:pict>
          <v:shape id="_x0000_s1165" type="#_x0000_t75" style="position:absolute;margin-left:139.2pt;margin-top:487.45pt;width:209.75pt;height:14.9pt;z-index:-125829302;mso-wrap-distance-left:135.35pt;mso-wrap-distance-right:136.8pt;mso-wrap-distance-bottom:10.8pt;mso-position-horizontal-relative:margin" wrapcoords="0 0 21600 0 21600 21600 0 21600 0 0">
            <v:imagedata r:id="rId214" r:href="rId215"/>
            <w10:wrap type="topAndBottom" anchorx="margin"/>
          </v:shape>
        </w:pict>
      </w:r>
    </w:p>
    <w:p>
      <w:pPr>
        <w:pStyle w:val="Style30"/>
        <w:numPr>
          <w:ilvl w:val="0"/>
          <w:numId w:val="37"/>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Приточные дефекты проявляются на ЭКГ откло</w:t>
        <w:softHyphen/>
        <w:t>нением электрической оси сердца влево с глубоки</w:t>
        <w:softHyphen/>
        <w:t xml:space="preserve">ми зубцами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отведениях I и </w:t>
      </w:r>
      <w:r>
        <w:rPr>
          <w:lang w:val="en-US" w:eastAsia="en-US" w:bidi="en-US"/>
          <w:w w:val="100"/>
          <w:spacing w:val="0"/>
          <w:color w:val="000000"/>
          <w:position w:val="0"/>
        </w:rPr>
        <w:t>aVL.</w:t>
      </w:r>
    </w:p>
    <w:p>
      <w:pPr>
        <w:pStyle w:val="Style30"/>
        <w:numPr>
          <w:ilvl w:val="0"/>
          <w:numId w:val="37"/>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У пациентов с большим ДМЖП и равным давле</w:t>
        <w:softHyphen/>
        <w:t>нием в желудочках на ЭКГ определяется гипертро - фия правого желудочка.</w:t>
      </w:r>
    </w:p>
    <w:p>
      <w:pPr>
        <w:pStyle w:val="Style30"/>
        <w:numPr>
          <w:ilvl w:val="0"/>
          <w:numId w:val="37"/>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У пациентов с ДМЖП и большим легочным кро</w:t>
        <w:softHyphen/>
        <w:t xml:space="preserve">вотоком на ЭКГ определяется гипертрофия левого предсердия в виде двухфазного зубца </w:t>
      </w:r>
      <w:r>
        <w:rPr>
          <w:lang w:val="en-US" w:eastAsia="en-US" w:bidi="en-US"/>
          <w:w w:val="100"/>
          <w:spacing w:val="0"/>
          <w:color w:val="000000"/>
          <w:position w:val="0"/>
        </w:rPr>
        <w:t xml:space="preserve">P </w:t>
      </w:r>
      <w:r>
        <w:rPr>
          <w:lang w:val="ru-RU" w:eastAsia="ru-RU" w:bidi="ru-RU"/>
          <w:w w:val="100"/>
          <w:spacing w:val="0"/>
          <w:color w:val="000000"/>
          <w:position w:val="0"/>
        </w:rPr>
        <w:t>в отведени</w:t>
        <w:softHyphen/>
        <w:t xml:space="preserve">ях </w:t>
      </w:r>
      <w:r>
        <w:rPr>
          <w:lang w:val="en-US" w:eastAsia="en-US" w:bidi="en-US"/>
          <w:w w:val="100"/>
          <w:spacing w:val="0"/>
          <w:color w:val="000000"/>
          <w:position w:val="0"/>
        </w:rPr>
        <w:t xml:space="preserve">I, aVR </w:t>
      </w:r>
      <w:r>
        <w:rPr>
          <w:lang w:val="ru-RU" w:eastAsia="ru-RU" w:bidi="ru-RU"/>
          <w:w w:val="100"/>
          <w:spacing w:val="0"/>
          <w:color w:val="000000"/>
          <w:position w:val="0"/>
        </w:rPr>
        <w:t xml:space="preserve">и Уб, с увеличенной негативной фазой в отведении </w:t>
      </w:r>
      <w:r>
        <w:rPr>
          <w:lang w:val="en-US" w:eastAsia="en-US" w:bidi="en-US"/>
          <w:w w:val="100"/>
          <w:spacing w:val="0"/>
          <w:color w:val="000000"/>
          <w:position w:val="0"/>
        </w:rPr>
        <w:t>Vi.</w:t>
      </w:r>
    </w:p>
    <w:p>
      <w:pPr>
        <w:pStyle w:val="Style30"/>
        <w:numPr>
          <w:ilvl w:val="0"/>
          <w:numId w:val="37"/>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У пациентов с большим ДМЖП и легочной гипер - тензией гипертрофия левого желудочка и левого предсердия не определяются (рис. 15).</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Рентгенография:</w:t>
      </w:r>
    </w:p>
    <w:p>
      <w:pPr>
        <w:pStyle w:val="Style30"/>
        <w:numPr>
          <w:ilvl w:val="0"/>
          <w:numId w:val="37"/>
        </w:numPr>
        <w:tabs>
          <w:tab w:leader="none" w:pos="238"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Небольшой ДМЖП:</w:t>
      </w:r>
    </w:p>
    <w:p>
      <w:pPr>
        <w:pStyle w:val="Style30"/>
        <w:numPr>
          <w:ilvl w:val="0"/>
          <w:numId w:val="39"/>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нормальные размеры сердца;</w:t>
      </w:r>
    </w:p>
    <w:p>
      <w:pPr>
        <w:pStyle w:val="Style30"/>
        <w:numPr>
          <w:ilvl w:val="0"/>
          <w:numId w:val="39"/>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нормальный сосудистый рисунок легких.</w:t>
      </w:r>
    </w:p>
    <w:p>
      <w:pPr>
        <w:pStyle w:val="Style30"/>
        <w:numPr>
          <w:ilvl w:val="0"/>
          <w:numId w:val="37"/>
        </w:numPr>
        <w:tabs>
          <w:tab w:leader="none" w:pos="238"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Умеренный ДМЖП:</w:t>
      </w:r>
    </w:p>
    <w:p>
      <w:pPr>
        <w:pStyle w:val="Style30"/>
        <w:numPr>
          <w:ilvl w:val="0"/>
          <w:numId w:val="39"/>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тень сердца увеличена, усилен сосудистый рисунок;</w:t>
      </w:r>
    </w:p>
    <w:p>
      <w:pPr>
        <w:pStyle w:val="Style30"/>
        <w:numPr>
          <w:ilvl w:val="0"/>
          <w:numId w:val="39"/>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удлинение сердечной тени в переднезадней проек</w:t>
        <w:softHyphen/>
        <w:t>ции;</w:t>
      </w:r>
    </w:p>
    <w:p>
      <w:pPr>
        <w:pStyle w:val="Style30"/>
        <w:numPr>
          <w:ilvl w:val="0"/>
          <w:numId w:val="39"/>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имеет место центральное и периферическое усиле - ние сосудистого рисунка легких, легочная артерия расширена;</w:t>
      </w:r>
    </w:p>
    <w:p>
      <w:pPr>
        <w:pStyle w:val="Style30"/>
        <w:numPr>
          <w:ilvl w:val="0"/>
          <w:numId w:val="39"/>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левое предсердие расширено (видно в латеральной проекции).</w:t>
      </w:r>
    </w:p>
    <w:p>
      <w:pPr>
        <w:pStyle w:val="Style30"/>
        <w:numPr>
          <w:ilvl w:val="0"/>
          <w:numId w:val="37"/>
        </w:numPr>
        <w:tabs>
          <w:tab w:leader="none" w:pos="238"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Большой ДМЖП:</w:t>
      </w:r>
    </w:p>
    <w:p>
      <w:pPr>
        <w:pStyle w:val="Style30"/>
        <w:numPr>
          <w:ilvl w:val="0"/>
          <w:numId w:val="39"/>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рентгенологические проявления такие же, как при умеренном ДМЖП, но имеют более выраженный характер. Может определяться гипертрофия пра</w:t>
        <w:softHyphen/>
        <w:t>вого желудочка.</w:t>
      </w:r>
    </w:p>
    <w:p>
      <w:pPr>
        <w:pStyle w:val="Style30"/>
        <w:numPr>
          <w:ilvl w:val="0"/>
          <w:numId w:val="37"/>
        </w:numPr>
        <w:tabs>
          <w:tab w:leader="none" w:pos="238"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Синдром Эйзенменгера:</w:t>
      </w:r>
    </w:p>
    <w:p>
      <w:pPr>
        <w:pStyle w:val="Style30"/>
        <w:numPr>
          <w:ilvl w:val="0"/>
          <w:numId w:val="39"/>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относительно нормальные размеры сердца;</w:t>
      </w:r>
    </w:p>
    <w:p>
      <w:pPr>
        <w:pStyle w:val="Style30"/>
        <w:numPr>
          <w:ilvl w:val="0"/>
          <w:numId w:val="39"/>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правый желудочек с верхушкой сердца ротирова</w:t>
        <w:softHyphen/>
        <w:t>ны влево и внутрь;</w:t>
      </w:r>
    </w:p>
    <w:p>
      <w:pPr>
        <w:pStyle w:val="Style30"/>
        <w:numPr>
          <w:ilvl w:val="0"/>
          <w:numId w:val="39"/>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значительно дилатирована легочная артерия и проксимальные ее ветви;</w:t>
      </w:r>
    </w:p>
    <w:p>
      <w:pPr>
        <w:pStyle w:val="Style30"/>
        <w:numPr>
          <w:ilvl w:val="0"/>
          <w:numId w:val="39"/>
        </w:numPr>
        <w:tabs>
          <w:tab w:leader="none" w:pos="473" w:val="left"/>
        </w:tabs>
        <w:widowControl w:val="0"/>
        <w:keepNext w:val="0"/>
        <w:keepLines w:val="0"/>
        <w:shd w:val="clear" w:color="auto" w:fill="auto"/>
        <w:bidi w:val="0"/>
        <w:spacing w:before="0" w:after="0"/>
        <w:ind w:left="480" w:right="0" w:hanging="240"/>
      </w:pPr>
      <w:r>
        <w:rPr>
          <w:lang w:val="ru-RU" w:eastAsia="ru-RU" w:bidi="ru-RU"/>
          <w:w w:val="100"/>
          <w:spacing w:val="0"/>
          <w:color w:val="000000"/>
          <w:position w:val="0"/>
        </w:rPr>
        <w:t>уменьшение сосудистого рисунка легких.</w:t>
      </w:r>
    </w:p>
    <w:p>
      <w:pPr>
        <w:pStyle w:val="Style30"/>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Эхокардиография (рис. 16):</w:t>
      </w:r>
    </w:p>
    <w:p>
      <w:pPr>
        <w:pStyle w:val="Style30"/>
        <w:numPr>
          <w:ilvl w:val="0"/>
          <w:numId w:val="3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Двухмерная допплерэхокардиография с цветовым картированием позволяет определить размер и лока</w:t>
        <w:softHyphen/>
        <w:t>лизацию ДМЖП. С помощью допплерографии до</w:t>
        <w:softHyphen/>
        <w:t>полнительно получают гемодинамические показате</w:t>
        <w:softHyphen/>
        <w:t>ли: давление в правом желудочке, давление в легоч</w:t>
        <w:softHyphen/>
        <w:t>ной артерии, межжелудочковый градиент.</w:t>
      </w:r>
    </w:p>
    <w:p>
      <w:pPr>
        <w:pStyle w:val="Style30"/>
        <w:numPr>
          <w:ilvl w:val="0"/>
          <w:numId w:val="3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Размер левого предсердия и левого желудочка кос</w:t>
        <w:softHyphen/>
        <w:t>венно свидетельствуют о величине лево-правого шунта. Размер дефекта обычно сопоставляют с разме - ром аорты. К большому дефекту относят размеры де - фекта, соответствующие диаметру корня аорты. Уме</w:t>
        <w:softHyphen/>
        <w:t>ренной величины дефекты соответствуют 1/2-1/3 ди</w:t>
        <w:softHyphen/>
        <w:t>аметра аорты, маленькие дефекты меньше 1/3 диаме</w:t>
        <w:softHyphen/>
        <w:t>тра корня аорты.</w:t>
      </w:r>
    </w:p>
    <w:p>
      <w:pPr>
        <w:pStyle w:val="Style30"/>
        <w:numPr>
          <w:ilvl w:val="0"/>
          <w:numId w:val="3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Локализацию дефекта определяют из субкостальной, апикальной и парастернальной позиции датчика:</w:t>
      </w:r>
    </w:p>
    <w:p>
      <w:pPr>
        <w:pStyle w:val="Style30"/>
        <w:numPr>
          <w:ilvl w:val="0"/>
          <w:numId w:val="39"/>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перимембранозные дефекты хорошо визуализиру</w:t>
        <w:softHyphen/>
        <w:t>ются из субкостальной позиции;</w:t>
      </w:r>
    </w:p>
    <w:p>
      <w:pPr>
        <w:pStyle w:val="Style30"/>
        <w:numPr>
          <w:ilvl w:val="0"/>
          <w:numId w:val="39"/>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инфундибулярный дефект выявляют в проекции парастернальной длинной и короткой оси. Одно</w:t>
        <w:softHyphen/>
        <w:t>временно определяется величина вторичной аор</w:t>
        <w:softHyphen/>
        <w:t>тальной регургитации;</w:t>
      </w:r>
    </w:p>
    <w:p>
      <w:pPr>
        <w:pStyle w:val="Style30"/>
        <w:numPr>
          <w:ilvl w:val="0"/>
          <w:numId w:val="39"/>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мышечные дефекты выявляются в парастерналь</w:t>
        <w:softHyphen/>
        <w:t>ной длинной и короткой оси, в апикальной проек</w:t>
        <w:softHyphen/>
        <w:t>ции 4-х камер. Цветовой допплер позволяет обна</w:t>
        <w:softHyphen/>
        <w:t>руживать небольшие дефекты;</w:t>
      </w:r>
    </w:p>
    <w:p>
      <w:pPr>
        <w:pStyle w:val="Style30"/>
        <w:numPr>
          <w:ilvl w:val="0"/>
          <w:numId w:val="39"/>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приточные дефекты или предсердно-желудочко</w:t>
        <w:softHyphen/>
        <w:t>вые дефекты лучше всего определяются в апикаль</w:t>
        <w:softHyphen/>
        <w:t>ной проекции 4-х камер.</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Катетеризация сердца:</w:t>
      </w:r>
    </w:p>
    <w:p>
      <w:pPr>
        <w:pStyle w:val="Style30"/>
        <w:numPr>
          <w:ilvl w:val="0"/>
          <w:numId w:val="3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Катетеризация сердца является стандартной проце</w:t>
        <w:softHyphen/>
        <w:t>дурой в диагностике ДМЖП, однако с применением допплерэхокардиографии ее используют в сложных диагностических случаях.</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Дифференциальная диагностика</w:t>
      </w:r>
    </w:p>
    <w:p>
      <w:pPr>
        <w:pStyle w:val="Style30"/>
        <w:numPr>
          <w:ilvl w:val="0"/>
          <w:numId w:val="3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Открытый артериальный проток с легочной гипер - тензией.</w:t>
      </w:r>
    </w:p>
    <w:p>
      <w:pPr>
        <w:pStyle w:val="Style30"/>
        <w:numPr>
          <w:ilvl w:val="0"/>
          <w:numId w:val="3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Инфундибулярный стеноз легочной артерии.</w:t>
      </w:r>
      <w:r>
        <w:br w:type="page"/>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Митральная недостаточность.</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Субаортальный стеноз аорты.</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Функциональный шум (дисфункция хорд митраль</w:t>
        <w:softHyphen/>
        <w:t>ного клапана).</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Атриовентрикулярный септальный дефект.</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Двойное отхождение магистральных сосудов от пра</w:t>
        <w:softHyphen/>
        <w:t>вого желудочка.</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Умеренный или тяжелый субаортальный стеноз.</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маленьким ДМЖП не имеют симптомов забо</w:t>
        <w:softHyphen/>
        <w:t>левания, нормально развиваются и имеют благоприят</w:t>
        <w:softHyphen/>
        <w:t>ный прогноз. Такие дети не нуждаются в медикамен</w:t>
        <w:softHyphen/>
        <w:t>тозной и хирургической коррекции. Показано прове</w:t>
        <w:softHyphen/>
        <w:t>дение антибактериальной профилактики инфекцион</w:t>
        <w:softHyphen/>
        <w:t>ного эндокардита во время дентальных и других про</w:t>
        <w:softHyphen/>
        <w:t>цедур, связанных с возможностью бактериемии.</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умеренным и большим ДМЖП нуждаются в стандартной терапии сердечной недостаточности, включающей фуросемид, каптоприл и дигоксин.</w:t>
      </w:r>
    </w:p>
    <w:p>
      <w:pPr>
        <w:pStyle w:val="Style30"/>
        <w:numPr>
          <w:ilvl w:val="0"/>
          <w:numId w:val="37"/>
        </w:numPr>
        <w:tabs>
          <w:tab w:leader="none" w:pos="51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Фуросемид назначается в дозе 1-3 мг/кг/сутки в 2 или 3 приема. Длительная терапия фуросемидом может обусловить гиперкальциемию, электролит</w:t>
        <w:softHyphen/>
        <w:t>ный дисбаланс. Рекомендуется калорийная диета.</w:t>
      </w:r>
    </w:p>
    <w:p>
      <w:pPr>
        <w:pStyle w:val="Style30"/>
        <w:numPr>
          <w:ilvl w:val="0"/>
          <w:numId w:val="37"/>
        </w:numPr>
        <w:tabs>
          <w:tab w:leader="none" w:pos="51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Каптоприл назначается в дозе 0,1-0,3 мг/кг 3 раза в день с целью снижения объемной системной пе</w:t>
        <w:softHyphen/>
        <w:t>регрузки.</w:t>
      </w:r>
    </w:p>
    <w:p>
      <w:pPr>
        <w:pStyle w:val="Style30"/>
        <w:numPr>
          <w:ilvl w:val="0"/>
          <w:numId w:val="37"/>
        </w:numPr>
        <w:tabs>
          <w:tab w:leader="none" w:pos="51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Дигоксин назначается в дозе 5-10 мг/кг/сутки в ка</w:t>
        <w:softHyphen/>
        <w:t>честве инотропного средства.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Показания к хирургической коррекции:</w:t>
      </w:r>
    </w:p>
    <w:p>
      <w:pPr>
        <w:pStyle w:val="Style30"/>
        <w:numPr>
          <w:ilvl w:val="0"/>
          <w:numId w:val="39"/>
        </w:numPr>
        <w:tabs>
          <w:tab w:leader="none" w:pos="51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рефрактерная к терапии сердечная недостаточ</w:t>
        <w:softHyphen/>
        <w:t>ность, включая задержку роста и повторные рес</w:t>
        <w:softHyphen/>
        <w:t>пираторные инфекции;</w:t>
      </w:r>
    </w:p>
    <w:p>
      <w:pPr>
        <w:pStyle w:val="Style30"/>
        <w:numPr>
          <w:ilvl w:val="0"/>
          <w:numId w:val="39"/>
        </w:numPr>
        <w:tabs>
          <w:tab w:leader="none" w:pos="51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большой ДМЖП без сердечной недостаточности, но с повышением легочного артериального давле</w:t>
        <w:softHyphen/>
        <w:t>ния по данным допплерографии. Обычно опера</w:t>
        <w:softHyphen/>
        <w:t>ция проводится в возрасте до одного года;</w:t>
      </w:r>
    </w:p>
    <w:p>
      <w:pPr>
        <w:pStyle w:val="Style30"/>
        <w:numPr>
          <w:ilvl w:val="0"/>
          <w:numId w:val="39"/>
        </w:numPr>
        <w:tabs>
          <w:tab w:leader="none" w:pos="51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ДМЖП у более старших детей без клинических проявлений порока, с нормальными показателями легочного артериального давления, но легочный кровоток соотносится к системному как 2:1 и более;</w:t>
      </w:r>
    </w:p>
    <w:p>
      <w:pPr>
        <w:pStyle w:val="Style30"/>
        <w:numPr>
          <w:ilvl w:val="0"/>
          <w:numId w:val="39"/>
        </w:numPr>
        <w:tabs>
          <w:tab w:leader="none" w:pos="51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ранняя хирургическая коррекция может предупре</w:t>
        <w:softHyphen/>
        <w:t>дить возникновение аортальной недостаточности.</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Коррекция порока может проводиться с помощью миниинвазивной техники под контролем кардиоско</w:t>
        <w:softHyphen/>
        <w:t>па. Ближайшие результаты таких операций удовлетво</w:t>
        <w:softHyphen/>
        <w:t>рительные, отдаленные результаты еще не изучены.</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Хирургические методы:</w:t>
      </w:r>
    </w:p>
    <w:p>
      <w:pPr>
        <w:pStyle w:val="Style30"/>
        <w:numPr>
          <w:ilvl w:val="0"/>
          <w:numId w:val="39"/>
        </w:numPr>
        <w:tabs>
          <w:tab w:leader="none" w:pos="51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большинство перимембранозных и приточных де</w:t>
        <w:softHyphen/>
        <w:t>фектов закрывают через транспредсердный доступ;</w:t>
      </w:r>
    </w:p>
    <w:p>
      <w:pPr>
        <w:pStyle w:val="Style30"/>
        <w:numPr>
          <w:ilvl w:val="0"/>
          <w:numId w:val="39"/>
        </w:numPr>
        <w:tabs>
          <w:tab w:leader="none" w:pos="51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дефекты в отточном отделе перегородки закрыва</w:t>
        <w:softHyphen/>
        <w:t>ют через легочную артерию;</w:t>
      </w:r>
    </w:p>
    <w:p>
      <w:pPr>
        <w:pStyle w:val="Style30"/>
        <w:numPr>
          <w:ilvl w:val="0"/>
          <w:numId w:val="39"/>
        </w:numPr>
        <w:tabs>
          <w:tab w:leader="none" w:pos="51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множественные мышечные дефекты представляют большую проблему, обычно осуществляется до</w:t>
        <w:softHyphen/>
        <w:t>ступ через верхушечную левожелудочковую вент</w:t>
        <w:softHyphen/>
        <w:t>рикулотомию;</w:t>
      </w:r>
    </w:p>
    <w:p>
      <w:pPr>
        <w:pStyle w:val="Style30"/>
        <w:numPr>
          <w:ilvl w:val="0"/>
          <w:numId w:val="39"/>
        </w:numPr>
        <w:tabs>
          <w:tab w:leader="none" w:pos="51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транскатетерная терапия находится в эксперимен</w:t>
        <w:softHyphen/>
        <w:t>тальной разработке.</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Послеоперационные осложнения:</w:t>
      </w:r>
    </w:p>
    <w:p>
      <w:pPr>
        <w:pStyle w:val="Style30"/>
        <w:numPr>
          <w:ilvl w:val="0"/>
          <w:numId w:val="39"/>
        </w:numPr>
        <w:tabs>
          <w:tab w:leader="none" w:pos="51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резидуальный шунт. Необходимость повторной операции определяется величиной шунта, разме</w:t>
        <w:softHyphen/>
        <w:t>рами сердца и давлением в легочной артерии;</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блокада правой ножки пучка Гиса связана с про</w:t>
        <w:softHyphen/>
        <w:t>водимой вентрикулотомией или непосредствен</w:t>
        <w:softHyphen/>
        <w:t>ным повреждением ножки во время закрытия де</w:t>
        <w:softHyphen/>
        <w:t>фекта;</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полный атриовентрикулярный блок наблюдается редко, определяет отдаленный прогноз операции;</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левожелудочковая дисфункция обусловлена лево</w:t>
        <w:softHyphen/>
        <w:t>сторонней вентрикулотомией при закрытии мы</w:t>
        <w:softHyphen/>
        <w:t>шечных ДМЖП;</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желудочковые аритмии, определяют отдаленный прогноз операции.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Самым тяжелым осложнением ДМЖП является воз - никновение комплекса Эйзенменгера. Легочная ги</w:t>
        <w:softHyphen/>
        <w:t>пертензия носит необратимый характер, возникает обратный право -левый шунт через дефект.</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Вторичная аортальная недостаточность:</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связана с пролапсом створок аортального клапана;</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редко наблюдается у детей моложе двух лет;</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выявляется только у 5% пациентов с ДМЖП;</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чаще встречается при инфундибулярных ДМЖП по сравнению с перимембранозными ДМЖП;</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развитие аортальной регургитации типично при инфундибулярных ДМЖП, ее возникновение свя</w:t>
        <w:softHyphen/>
        <w:t>зано со слабостью поддерживающих структур пра</w:t>
        <w:softHyphen/>
        <w:t>вой коронарной створки, которая пролабирует с потоком крови в сторону дефекта.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Обструкция выходного тракта правого желудочка на</w:t>
        <w:softHyphen/>
        <w:t>блюдается в 7% случаев ДМЖП.</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Субаортальная обструкция обусловлена сочетанием дискретного фибромышечного стеноза аорты с ДМЖП.</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Инфекционный эндокардит:</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редко наблюдается у детей моложе двух лет;</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бактериальные вегетации при ДМЖП могут быть как правосторонними, так и левосторонними, ча</w:t>
        <w:softHyphen/>
        <w:t>ще расположены в области краев дефекта или на створках трикуспидального клапана;</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эмболия бактериальными вегетациями наблюдает</w:t>
        <w:softHyphen/>
        <w:t>ся часто. Обычно большие вегетации (более 10 мм) крепятся на ножке. Обнаружение таких вегетаций требует проведения операции даже при отсутствии клинической симптоматики заболевания.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маленьким ДМЖП должны находиться под наблюдением кардиолога.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пациентов с перимембранозным ДМЖП, закрыв</w:t>
        <w:softHyphen/>
        <w:t>шимся спонтанно, в 6% случаев сохраняется неболь</w:t>
        <w:softHyphen/>
        <w:t>шой лево-правый шунт.</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Необходима эффективная профилактика инфекци</w:t>
        <w:softHyphen/>
        <w:t>онного эндокардита.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 мере взросления ребенка при перимембранозных ДМЖП увеличивается частота пролапса аортального клапана и аортальной регургитации.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Активность</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Спонтанное закрытие ДМЖП и нормальные показа</w:t>
        <w:softHyphen/>
        <w:t>тели функциональной активности сердца не требуют ограничения физической активности пациента.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pict>
          <v:shape id="_x0000_s1166" type="#_x0000_t75" style="position:absolute;margin-left:130.9pt;margin-top:736.8pt;width:209.75pt;height:14.9pt;z-index:-125829301;mso-wrap-distance-left:124.8pt;mso-wrap-distance-right:148.1pt;mso-wrap-distance-bottom:10.8pt;mso-position-horizontal-relative:margin;mso-position-vertical-relative:margin" wrapcoords="0 0 21600 0 21600 21600 0 21600 0 0">
            <v:imagedata r:id="rId216" r:href="rId217"/>
            <w10:wrap type="topAndBottom" anchorx="margin" anchory="margin"/>
          </v:shape>
        </w:pict>
      </w:r>
      <w:r>
        <w:rPr>
          <w:lang w:val="ru-RU" w:eastAsia="ru-RU" w:bidi="ru-RU"/>
          <w:w w:val="100"/>
          <w:spacing w:val="0"/>
          <w:color w:val="000000"/>
          <w:position w:val="0"/>
        </w:rPr>
        <w:t>Ограничение физической активности показано детям со спонтанно закрывшимся перимембранозным ДМЖП с формированием аневризмы межжелудочко</w:t>
        <w:softHyphen/>
        <w:t>вой перегородки.</w:t>
      </w:r>
      <w:r>
        <w:br w:type="page"/>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После хирургической коррекции порока уровень фи</w:t>
        <w:softHyphen/>
        <w:t>зической активности определяется в зависимости от следующих показателей:</w:t>
      </w:r>
    </w:p>
    <w:p>
      <w:pPr>
        <w:pStyle w:val="Style30"/>
        <w:numPr>
          <w:ilvl w:val="0"/>
          <w:numId w:val="39"/>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величина давления в легочной артерии;</w:t>
      </w:r>
    </w:p>
    <w:p>
      <w:pPr>
        <w:pStyle w:val="Style30"/>
        <w:numPr>
          <w:ilvl w:val="0"/>
          <w:numId w:val="39"/>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характеристика ритма сердца (по показателям су</w:t>
        <w:softHyphen/>
        <w:t>точного мониторирования ЭКГ и нагрузочного стресс-теста);</w:t>
      </w:r>
    </w:p>
    <w:p>
      <w:pPr>
        <w:pStyle w:val="Style30"/>
        <w:numPr>
          <w:ilvl w:val="0"/>
          <w:numId w:val="39"/>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показатели функции левого желудочка и левого предсердия по данным двухмерной эхокардиогра</w:t>
        <w:softHyphen/>
        <w:t>фии.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Прогноз</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Хирургическая летальность составляет 3%, при по</w:t>
        <w:softHyphen/>
        <w:t>вторных операциях — 5%.</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Дети с небольшим ДМЖП имеют хороший прогноз без проведения хирургической коррекции.</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Результаты медикаментозной терапии у детей с уме</w:t>
        <w:softHyphen/>
        <w:t>ренным или большим ДМЖП.</w:t>
      </w:r>
    </w:p>
    <w:p>
      <w:pPr>
        <w:pStyle w:val="Style30"/>
        <w:numPr>
          <w:ilvl w:val="0"/>
          <w:numId w:val="37"/>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У многих детей наблюдается постепенное улучше</w:t>
        <w:softHyphen/>
        <w:t>ние состояния, снижается величина лево-правого шунтирования обычно в сроки между шестью и 24 месяцами. В этот возраст дети должны наблюдать</w:t>
        <w:softHyphen/>
        <w:t>ся особенно тщательно, поскольку уменьшение шунта может быть обусловлено увеличением ле</w:t>
        <w:softHyphen/>
        <w:t>гочного сосудистого сопротивления или развити</w:t>
        <w:softHyphen/>
        <w:t>ем гипертрофии выходного тракта правого желу</w:t>
        <w:softHyphen/>
        <w:t>дочка.</w:t>
      </w:r>
    </w:p>
    <w:p>
      <w:pPr>
        <w:pStyle w:val="Style30"/>
        <w:numPr>
          <w:ilvl w:val="0"/>
          <w:numId w:val="37"/>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Большинство детей находятся в стабильном состо - янии. Сердечная недостаточность наблюдается редко. Ухудшение состояния могут провоцировать анемия, респираторные инфекции, эндокардит или развитие ассоциированных с ДМЖП ослож</w:t>
        <w:softHyphen/>
        <w:t>нений, таких как аортальная недостаточность.</w:t>
      </w:r>
    </w:p>
    <w:p>
      <w:pPr>
        <w:pStyle w:val="Style30"/>
        <w:numPr>
          <w:ilvl w:val="0"/>
          <w:numId w:val="37"/>
        </w:numPr>
        <w:tabs>
          <w:tab w:leader="none" w:pos="514" w:val="left"/>
        </w:tabs>
        <w:widowControl w:val="0"/>
        <w:keepNext w:val="0"/>
        <w:keepLines w:val="0"/>
        <w:shd w:val="clear" w:color="auto" w:fill="auto"/>
        <w:bidi w:val="0"/>
        <w:spacing w:before="0" w:after="161"/>
        <w:ind w:left="500" w:right="0" w:hanging="220"/>
      </w:pPr>
      <w:r>
        <w:rPr>
          <w:lang w:val="ru-RU" w:eastAsia="ru-RU" w:bidi="ru-RU"/>
          <w:w w:val="100"/>
          <w:spacing w:val="0"/>
          <w:color w:val="000000"/>
          <w:position w:val="0"/>
        </w:rPr>
        <w:t>У небольшого числа детей с ДМЖП может возник</w:t>
        <w:softHyphen/>
        <w:t>нуть легочное сосудистое обструктивное заболевание (синдром Эйзенменгера) с образованием обратного право-левого шунта. Цианоз прогрессивно усилива</w:t>
        <w:softHyphen/>
        <w:t>ется, снижается физическая активность, возникает полицитемия. Такие дети являются кандидатами на легочно-сердечную трансплантацию.</w:t>
      </w:r>
    </w:p>
    <w:p>
      <w:pPr>
        <w:pStyle w:val="Style48"/>
        <w:widowControl w:val="0"/>
        <w:keepNext/>
        <w:keepLines/>
        <w:shd w:val="clear" w:color="auto" w:fill="auto"/>
        <w:bidi w:val="0"/>
        <w:jc w:val="left"/>
        <w:spacing w:before="0" w:after="79" w:line="240" w:lineRule="exact"/>
        <w:ind w:left="0" w:right="0" w:firstLine="0"/>
      </w:pPr>
      <w:bookmarkStart w:id="315" w:name="bookmark315"/>
      <w:r>
        <w:rPr>
          <w:lang w:val="ru-RU" w:eastAsia="ru-RU" w:bidi="ru-RU"/>
          <w:w w:val="100"/>
          <w:spacing w:val="0"/>
          <w:color w:val="000000"/>
          <w:position w:val="0"/>
        </w:rPr>
        <w:t>Мышечный дефект межжелудочковой перегородки</w:t>
      </w:r>
      <w:bookmarkEnd w:id="315"/>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Определение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Врожденный дефект развития межжелудочковой пере</w:t>
        <w:softHyphen/>
        <w:t>городки в мышечной (трабекулярной) зоне, приводящий к формированию сообщения между желудочками сердца.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ДМЖП является самым частым пороком сердца и на</w:t>
        <w:softHyphen/>
        <w:t>блюдается в 1,5-3,5 случаев на 1000 доношенных но</w:t>
        <w:softHyphen/>
        <w:t>ворожденных и в 4,5-7,0% — у недоношенных.</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Изолированные мышечные дефекты встречаются в 5-20% случаев среди всех форм ДМЖП и занимают второе место после перимембранозных типов порока.</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Заболеваемость и смертность зависит от размеров де</w:t>
        <w:softHyphen/>
        <w:t>фекта, величины лево-правого шунта, наличия со</w:t>
        <w:softHyphen/>
        <w:t>путствующих аномалий развития и сроков хирурги</w:t>
        <w:softHyphen/>
        <w:t>ческой коррекции порока.</w:t>
      </w:r>
    </w:p>
    <w:p>
      <w:pPr>
        <w:pStyle w:val="Style30"/>
        <w:numPr>
          <w:ilvl w:val="0"/>
          <w:numId w:val="37"/>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Мышечные дефекты перегородки могут спонтанно уменьшаться в размере и закрываться полностью. Маленькие мышечные ДМЖП спонтанно закрыва</w:t>
        <w:softHyphen/>
        <w:t>ются в 80-90% случаев в возрасте до двух лет. Закры</w:t>
        <w:softHyphen/>
      </w:r>
    </w:p>
    <w:p>
      <w:pPr>
        <w:pStyle w:val="Style30"/>
        <w:widowControl w:val="0"/>
        <w:keepNext w:val="0"/>
        <w:keepLines w:val="0"/>
        <w:shd w:val="clear" w:color="auto" w:fill="auto"/>
        <w:bidi w:val="0"/>
        <w:spacing w:before="0" w:after="0"/>
        <w:ind w:left="280" w:right="0" w:firstLine="0"/>
      </w:pPr>
      <w:r>
        <w:br w:type="column"/>
      </w:r>
      <w:r>
        <w:rPr>
          <w:lang w:val="ru-RU" w:eastAsia="ru-RU" w:bidi="ru-RU"/>
          <w:w w:val="100"/>
          <w:spacing w:val="0"/>
          <w:color w:val="000000"/>
          <w:position w:val="0"/>
        </w:rPr>
        <w:t>тие дефекта происходит в результате продолжающе</w:t>
        <w:softHyphen/>
        <w:t>гося роста мышечных тканей, которые заполняют де</w:t>
        <w:softHyphen/>
        <w:t>фект.</w:t>
      </w:r>
    </w:p>
    <w:p>
      <w:pPr>
        <w:pStyle w:val="Style30"/>
        <w:numPr>
          <w:ilvl w:val="0"/>
          <w:numId w:val="3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Большие мышечные дефекты, хотя и могут умень</w:t>
        <w:softHyphen/>
        <w:t>шаться в размере, однако не закрываются и требуют оперативного лечения. Хирургическая летальность у больных с большим мышечным ДМЖП у детей до 2-месячного возраста составляет 10-20%, после 6 ме</w:t>
        <w:softHyphen/>
        <w:t>сяцев — 1-2%. Оптимальным сроком коррекции больших мышечных ДМЖП является первый год жизни. Ранняя хирургическая коррекция порока по</w:t>
        <w:softHyphen/>
        <w:t>зволяет предотвратить развитие необратимых изме</w:t>
        <w:softHyphen/>
        <w:t>нений в легочных сосудах (синдрома Эйзенменгера).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Пол</w:t>
      </w:r>
    </w:p>
    <w:p>
      <w:pPr>
        <w:pStyle w:val="Style30"/>
        <w:numPr>
          <w:ilvl w:val="0"/>
          <w:numId w:val="3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Мышечные ДМЖП несколько чаще встречаются у девочек по сравнению с мальчиками.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Возраст</w:t>
      </w:r>
    </w:p>
    <w:p>
      <w:pPr>
        <w:pStyle w:val="Style30"/>
        <w:numPr>
          <w:ilvl w:val="0"/>
          <w:numId w:val="3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Большие мышечные ДМЖП выявляются на 6-8 неде</w:t>
        <w:softHyphen/>
        <w:t>ле жизни. В этом возрасте происходит физиологичес</w:t>
        <w:softHyphen/>
        <w:t>кое снижение легочной сосудистой резистентности, в результате чего увеличивается лево-правый сброс крови и возникают клинические признаки застойной сердечной недостаточности.</w:t>
      </w:r>
    </w:p>
    <w:p>
      <w:pPr>
        <w:pStyle w:val="Style30"/>
        <w:numPr>
          <w:ilvl w:val="0"/>
          <w:numId w:val="3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Обычно небольшой мышечный дефект не идентифи - цируется при аускультации новорожденных, по</w:t>
        <w:softHyphen/>
        <w:t>скольку у них в этот период повышено легочное сосу</w:t>
        <w:softHyphen/>
        <w:t>дистое сопротивление, которое препятствует шунти</w:t>
        <w:softHyphen/>
        <w:t>рованию крови через дефект.</w:t>
      </w:r>
    </w:p>
    <w:p>
      <w:pPr>
        <w:pStyle w:val="Style30"/>
        <w:numPr>
          <w:ilvl w:val="0"/>
          <w:numId w:val="3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Мышечный ДМЖП может обнаруживаться сразу после рождения, если ему сопутствуют другие врож</w:t>
        <w:softHyphen/>
        <w:t>денные аномалии сердца или если порок сочетается с хромосомными аномалиями.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Причины</w:t>
      </w:r>
    </w:p>
    <w:p>
      <w:pPr>
        <w:pStyle w:val="Style30"/>
        <w:numPr>
          <w:ilvl w:val="0"/>
          <w:numId w:val="3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Генетические факторы:</w:t>
      </w:r>
    </w:p>
    <w:p>
      <w:pPr>
        <w:pStyle w:val="Style30"/>
        <w:numPr>
          <w:ilvl w:val="0"/>
          <w:numId w:val="3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ДМЖП имеет мультифакториальную этиологию;</w:t>
      </w:r>
    </w:p>
    <w:p>
      <w:pPr>
        <w:pStyle w:val="Style30"/>
        <w:numPr>
          <w:ilvl w:val="0"/>
          <w:numId w:val="3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 установлено связи между возрастом матери и рождением ребенка с ДМЖП.</w:t>
      </w:r>
    </w:p>
    <w:p>
      <w:pPr>
        <w:pStyle w:val="Style30"/>
        <w:numPr>
          <w:ilvl w:val="0"/>
          <w:numId w:val="3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Ассоциированные синдромы:</w:t>
      </w:r>
    </w:p>
    <w:p>
      <w:pPr>
        <w:pStyle w:val="Style30"/>
        <w:numPr>
          <w:ilvl w:val="0"/>
          <w:numId w:val="3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ДМЖП является характерным кардиальным про</w:t>
        <w:softHyphen/>
        <w:t>явлением при многих хромосомных аномалиях и синдромах;</w:t>
      </w:r>
    </w:p>
    <w:p>
      <w:pPr>
        <w:pStyle w:val="Style30"/>
        <w:numPr>
          <w:ilvl w:val="0"/>
          <w:numId w:val="3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ДМЖП особенно часто наблюдается у пациентов с трисомией 13, трисомией 18 и трисомией 21;</w:t>
      </w:r>
    </w:p>
    <w:p>
      <w:pPr>
        <w:pStyle w:val="Style30"/>
        <w:numPr>
          <w:ilvl w:val="0"/>
          <w:numId w:val="3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большинство ДМЖП (более 95%) не ассоцииру</w:t>
        <w:softHyphen/>
        <w:t>ются с хромосомными аномалиями.</w:t>
      </w:r>
    </w:p>
    <w:p>
      <w:pPr>
        <w:pStyle w:val="Style30"/>
        <w:numPr>
          <w:ilvl w:val="0"/>
          <w:numId w:val="3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Ассоциированные состояния:</w:t>
      </w:r>
    </w:p>
    <w:p>
      <w:pPr>
        <w:pStyle w:val="Style30"/>
        <w:numPr>
          <w:ilvl w:val="0"/>
          <w:numId w:val="3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недоношенность;</w:t>
      </w:r>
    </w:p>
    <w:p>
      <w:pPr>
        <w:pStyle w:val="Style30"/>
        <w:numPr>
          <w:ilvl w:val="0"/>
          <w:numId w:val="3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синдромы и хромосомные аномалии.</w:t>
      </w:r>
    </w:p>
    <w:p>
      <w:pPr>
        <w:pStyle w:val="Style30"/>
        <w:numPr>
          <w:ilvl w:val="0"/>
          <w:numId w:val="3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Факторы риска:</w:t>
      </w:r>
    </w:p>
    <w:p>
      <w:pPr>
        <w:pStyle w:val="Style30"/>
        <w:numPr>
          <w:ilvl w:val="0"/>
          <w:numId w:val="3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нет данных о факторах риска, предрасполагающих к возникновению ДМЖП.</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Анатомия</w:t>
      </w:r>
    </w:p>
    <w:p>
      <w:pPr>
        <w:pStyle w:val="Style30"/>
        <w:numPr>
          <w:ilvl w:val="0"/>
          <w:numId w:val="3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Мышечная часть перегородки формируется из мышеч - ного выроста в области верхушки сердца. В процессе кардиогенеза она сливается с эндокардиальными поду</w:t>
        <w:softHyphen/>
        <w:t>шечками, принимая участие в формировании приточ</w:t>
        <w:softHyphen/>
        <w:t>ного и отточного отделов и с мембранозной (фибро</w:t>
        <w:softHyphen/>
        <w:t>зной) частью перегородки. Процесс формирования пе</w:t>
        <w:softHyphen/>
        <w:t>регородки и полного разделения желудочковых камер завершается на 17 неделе эмбрионального развития.</w:t>
      </w:r>
    </w:p>
    <w:p>
      <w:pPr>
        <w:pStyle w:val="Style30"/>
        <w:numPr>
          <w:ilvl w:val="0"/>
          <w:numId w:val="37"/>
        </w:numPr>
        <w:tabs>
          <w:tab w:leader="none" w:pos="237" w:val="left"/>
        </w:tabs>
        <w:widowControl w:val="0"/>
        <w:keepNext w:val="0"/>
        <w:keepLines w:val="0"/>
        <w:shd w:val="clear" w:color="auto" w:fill="auto"/>
        <w:bidi w:val="0"/>
        <w:spacing w:before="0" w:after="0"/>
        <w:ind w:left="280" w:right="0" w:hanging="280"/>
      </w:pPr>
      <w:r>
        <w:pict>
          <v:shape id="_x0000_s1167" type="#_x0000_t75" style="position:absolute;margin-left:147.95pt;margin-top:736.8pt;width:209.75pt;height:14.9pt;z-index:-125829300;mso-wrap-distance-left:147.6pt;mso-wrap-distance-right:136.8pt;mso-wrap-distance-bottom:10.8pt;mso-position-horizontal-relative:margin;mso-position-vertical-relative:margin" wrapcoords="0 0 21600 0 21600 21600 0 21600 0 0">
            <v:imagedata r:id="rId218" r:href="rId219"/>
            <w10:wrap type="topAndBottom" anchorx="margin" anchory="margin"/>
          </v:shape>
        </w:pict>
      </w:r>
      <w:r>
        <w:rPr>
          <w:lang w:val="ru-RU" w:eastAsia="ru-RU" w:bidi="ru-RU"/>
          <w:w w:val="100"/>
          <w:spacing w:val="0"/>
          <w:color w:val="000000"/>
          <w:position w:val="0"/>
        </w:rPr>
        <w:t>С точки зрения патогенетической концепции ВПС мышечные дефекты возникают из-за нарушения ре-</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зорбции мышечных тканей в период их роста и ремо - делирования.</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Мышечные (трабекулярные) ДМЖП обычно локали</w:t>
        <w:softHyphen/>
        <w:t>зуются в области верхушки сердца.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Мышечные дефекты могут иметь центральное распо - ложение или продолжаются до свободной стенки же</w:t>
        <w:softHyphen/>
        <w:t>лудочка (передние мышечные ДМЖП).</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Мышечные дефекты могут быть представлены мел</w:t>
        <w:softHyphen/>
        <w:t>кими множественными сообщениями, так называе</w:t>
        <w:softHyphen/>
        <w:t>мые дефекты по типу «швейцарского сыра».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Спонтанное закрытие мышечных дефектов наблюда</w:t>
        <w:softHyphen/>
        <w:t>ется в первые два года жизни, наиболее часто на шес</w:t>
        <w:softHyphen/>
        <w:t>том месяце жизни.</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Спонтанное закрытие дефекта в 10% случаев может происходить до 6 лет.</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Патофизиология</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Гемодинамическая значимость ДМЖП определяется двумя факторами: размером дефекта и легочной сосу</w:t>
        <w:softHyphen/>
        <w:t>дистой резистентностью, включая обструкцию вы</w:t>
        <w:softHyphen/>
        <w:t>ходного тракта правого желудочка.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небольших ДМЖП лево-правый шунт лимити</w:t>
        <w:softHyphen/>
        <w:t>рован размерами дефекта. При больших дефектах без обструкции выводного тракта правого желудочка ле</w:t>
        <w:softHyphen/>
        <w:t>во-правый шунт определяется соотношением легоч</w:t>
        <w:softHyphen/>
        <w:t>ной и системной сосудистой резистентности.</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Поскольку легочная сосудистая резистентность после рождения остается высокой, признаки дефекта начи</w:t>
        <w:softHyphen/>
        <w:t>нают появляться на втором-третьем месяце жизни. Сопутствующие дефекты (ДМПП, открытый артери</w:t>
        <w:softHyphen/>
        <w:t>альный проток) могут ускорить проявления порока. Некардиальные аномалии, включая недоношен</w:t>
        <w:softHyphen/>
        <w:t>ность, инфекции, анемию, предрасполагают к ранне</w:t>
        <w:softHyphen/>
        <w:t>му выявлению сердечной недостаточности при ДМЖП.</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Другие сопутствующие аномалии сердца (обструкция выходного отдела правого желудочка, клапанный стеноз легочной артерии, легочное веноокклюзивное заболевание, персистирующее повышение легочного сосудистого сопротивления, митральный стеноз) уменьшают величину лево-правого шунта, порок вы</w:t>
        <w:softHyphen/>
        <w:t>является в более поздние сроки.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Характеристика шума:</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большинство детей с небольшим мышечным ДМЖП не имеют клинических проявлений забо</w:t>
        <w:softHyphen/>
        <w:t>левания, оно выявляется при обнаружении у них систолического шума;</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большинстве случаев презентация шума имеет отсроченный период, шум начинает выявляться через 1-2 недели после рождения;</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рождении легочное сосудистое сопротивление остается высоким, давление в правом желудочке эквивалентно давлению в левом желудочке. При физиологическом снижении легочного сосу</w:t>
        <w:softHyphen/>
        <w:t>дистого сопротивления возникает градиент давле</w:t>
        <w:softHyphen/>
        <w:t>ния между желудочковыми камерами, лево-пра</w:t>
        <w:softHyphen/>
        <w:t>вый шунт через мышечный дефект приводит к по</w:t>
        <w:softHyphen/>
        <w:t>явлению типичного голосистолического шума.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Прогрессирование симптомов:</w:t>
      </w:r>
    </w:p>
    <w:p>
      <w:pPr>
        <w:pStyle w:val="Style30"/>
        <w:numPr>
          <w:ilvl w:val="0"/>
          <w:numId w:val="3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дети с большим изолированным мышечным ДМЖП обычно не имеют клинических проявле</w:t>
        <w:softHyphen/>
        <w:t>ний порока в раннем неонатальном периоде;</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br w:type="column"/>
      </w:r>
      <w:r>
        <w:rPr>
          <w:lang w:val="ru-RU" w:eastAsia="ru-RU" w:bidi="ru-RU"/>
          <w:w w:val="100"/>
          <w:spacing w:val="0"/>
          <w:color w:val="000000"/>
          <w:position w:val="0"/>
        </w:rPr>
        <w:t>с падением легочного сосудистого сопротивления появляется лево-правый шунт, пропорциональ</w:t>
        <w:softHyphen/>
        <w:t>ный размеру дефекта;</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признаки застойной сердечной недостаточности сопровождаются плохой прибавкой в весе, повтор</w:t>
        <w:softHyphen/>
        <w:t>ными респираторными инфекциями;</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чем больше мышечный дефект и ниже легочное сосудистое сопротивление, тем больше лево-пра</w:t>
        <w:softHyphen/>
        <w:t>вый шунт;</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 типичных случаях у детей с большим мышечным ДМЖП признаки и симптомы застойной сердеч</w:t>
        <w:softHyphen/>
        <w:t>ной недостаточности появляются на 6-8 неделе жизни. Характерны трудности при кормлении, плохая прибавка в весе, тахипноэ, тахикардия, по</w:t>
        <w:softHyphen/>
        <w:t>тливость (особенно после кормления), сонли</w:t>
        <w:softHyphen/>
        <w:t>вость.</w:t>
      </w:r>
    </w:p>
    <w:p>
      <w:pPr>
        <w:pStyle w:val="Style30"/>
        <w:numPr>
          <w:ilvl w:val="0"/>
          <w:numId w:val="37"/>
        </w:numPr>
        <w:tabs>
          <w:tab w:leader="none" w:pos="517"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Хромосомные аномалии:</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ДМЖП является наиболее характерной врожден</w:t>
        <w:softHyphen/>
        <w:t>ной сердечной аномалией (20-30%) у детей с хро</w:t>
        <w:softHyphen/>
        <w:t>мосомными аберрациями и синдромами;</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при хромосомных аномалиях и синдромах порок сердца может выявляться сразу после рождения по характерному фенотипу заболевания и множест</w:t>
        <w:softHyphen/>
        <w:t>венным порокам развития.</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Физикальные данные зависят от размера мышечного ДМЖП и величины лево-правого шунта через дефект.</w:t>
      </w:r>
    </w:p>
    <w:p>
      <w:pPr>
        <w:pStyle w:val="Style30"/>
        <w:numPr>
          <w:ilvl w:val="0"/>
          <w:numId w:val="37"/>
        </w:numPr>
        <w:tabs>
          <w:tab w:leader="none" w:pos="517"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Маленький мышечный ДМЖП:</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нормальное физическое развитие;</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область сердца не изменена, нормальный верху</w:t>
        <w:softHyphen/>
        <w:t>шечный толчок;</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первый тон сердца не изменен;</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второй тон сердца несколько акцентуирован за счет легочного компонента;</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третий тон сердца обычно отсутствует;</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при очень маленьких мышечных ДМЖП может пальпироваться систолическое дрожание в сред</w:t>
        <w:softHyphen/>
        <w:t>ней или нижней части грудной клетки слева;</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выслушивается голосистолический шум </w:t>
      </w:r>
      <w:r>
        <w:rPr>
          <w:lang w:val="en-US" w:eastAsia="en-US" w:bidi="en-US"/>
          <w:w w:val="100"/>
          <w:spacing w:val="0"/>
          <w:color w:val="000000"/>
          <w:position w:val="0"/>
        </w:rPr>
        <w:t xml:space="preserve">III-VI/VI </w:t>
      </w:r>
      <w:r>
        <w:rPr>
          <w:lang w:val="ru-RU" w:eastAsia="ru-RU" w:bidi="ru-RU"/>
          <w:w w:val="100"/>
          <w:spacing w:val="0"/>
          <w:color w:val="000000"/>
          <w:position w:val="0"/>
        </w:rPr>
        <w:t>градации вдоль левого края грудины, проводится на всю область сердца;</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интенсивность шума прямо пропорциональна ве</w:t>
        <w:softHyphen/>
        <w:t>личине дефекта и градиенту лево-правого шунта. Обычно чем меньше дефект, тем громче шум;</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систолический шум обычно голосистолический, но может быть по типу </w:t>
      </w:r>
      <w:r>
        <w:rPr>
          <w:lang w:val="en-US" w:eastAsia="en-US" w:bidi="en-US"/>
          <w:w w:val="100"/>
          <w:spacing w:val="0"/>
          <w:color w:val="000000"/>
          <w:position w:val="0"/>
        </w:rPr>
        <w:t xml:space="preserve">crescendo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crescendo </w:t>
      </w:r>
      <w:r>
        <w:rPr>
          <w:lang w:val="ru-RU" w:eastAsia="ru-RU" w:bidi="ru-RU"/>
          <w:w w:val="100"/>
          <w:spacing w:val="0"/>
          <w:color w:val="000000"/>
          <w:position w:val="0"/>
        </w:rPr>
        <w:t xml:space="preserve">— </w:t>
      </w:r>
      <w:r>
        <w:rPr>
          <w:lang w:val="en-US" w:eastAsia="en-US" w:bidi="en-US"/>
          <w:w w:val="100"/>
          <w:spacing w:val="0"/>
          <w:color w:val="000000"/>
          <w:position w:val="0"/>
        </w:rPr>
        <w:t>decrescendo;</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диастолический шум не характерен для мышечных ДМЖП.</w:t>
      </w:r>
    </w:p>
    <w:p>
      <w:pPr>
        <w:pStyle w:val="Style30"/>
        <w:numPr>
          <w:ilvl w:val="0"/>
          <w:numId w:val="37"/>
        </w:numPr>
        <w:tabs>
          <w:tab w:leader="none" w:pos="517"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Большой мышечный ДМЖП:</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характерны задержка физического развития, низ</w:t>
        <w:softHyphen/>
        <w:t>кий рост и вес;</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определяются признаки и симптомы застойной сердечной недостаточности, включая тахипноэ, тахикардию, потливость и бледность кожных по</w:t>
        <w:softHyphen/>
        <w:t>кровов;</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из-за кардиомегалии возникает выбухание груд</w:t>
        <w:softHyphen/>
        <w:t>ной клетки (сердечный горб), прекардиальная пульсация сердца усилена;</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верхушечный толчок усилен, систолическое дрожа</w:t>
        <w:softHyphen/>
        <w:t>ние для больших мышечных ДМЖП не характерно.</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pict>
          <v:shape id="_x0000_s1168" type="#_x0000_t75" style="position:absolute;margin-left:130.9pt;margin-top:736.8pt;width:209.75pt;height:14.9pt;z-index:-125829299;mso-wrap-distance-left:124.8pt;mso-wrap-distance-right:148.1pt;mso-wrap-distance-bottom:10.8pt;mso-position-horizontal-relative:margin;mso-position-vertical-relative:margin" wrapcoords="0 0 21600 0 21600 21600 0 21600 0 0">
            <v:imagedata r:id="rId220" r:href="rId221"/>
            <w10:wrap type="topAndBottom" anchorx="margin" anchory="margin"/>
          </v:shape>
        </w:pict>
      </w:r>
      <w:r>
        <w:rPr>
          <w:lang w:val="ru-RU" w:eastAsia="ru-RU" w:bidi="ru-RU"/>
          <w:w w:val="100"/>
          <w:spacing w:val="0"/>
          <w:color w:val="000000"/>
          <w:position w:val="0"/>
        </w:rPr>
        <w:t>первый тон сердца обычно не изменен, второй ак</w:t>
        <w:softHyphen/>
        <w:t>центуирован за счет легочного компонента;</w:t>
      </w:r>
      <w:r>
        <w:br w:type="page"/>
      </w:r>
    </w:p>
    <w:p>
      <w:pPr>
        <w:pStyle w:val="Style30"/>
        <w:numPr>
          <w:ilvl w:val="0"/>
          <w:numId w:val="39"/>
        </w:numPr>
        <w:tabs>
          <w:tab w:leader="none" w:pos="512"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выслушивается усиленный третий тон на верхуш</w:t>
        <w:softHyphen/>
        <w:t>ке, приводящий к ритму галопа;</w:t>
      </w:r>
    </w:p>
    <w:p>
      <w:pPr>
        <w:pStyle w:val="Style30"/>
        <w:numPr>
          <w:ilvl w:val="0"/>
          <w:numId w:val="39"/>
        </w:numPr>
        <w:tabs>
          <w:tab w:leader="none" w:pos="512"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характерен голосистолический шум с максималь</w:t>
        <w:softHyphen/>
        <w:t>ным звучанием в левой парастернальной области, широко распространяется во все области грудной клетки;</w:t>
      </w:r>
    </w:p>
    <w:p>
      <w:pPr>
        <w:pStyle w:val="Style30"/>
        <w:numPr>
          <w:ilvl w:val="0"/>
          <w:numId w:val="39"/>
        </w:numPr>
        <w:tabs>
          <w:tab w:leader="none" w:pos="512"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может определяться диастолический тон на вер</w:t>
        <w:softHyphen/>
        <w:t>хушке сердца;</w:t>
      </w:r>
    </w:p>
    <w:p>
      <w:pPr>
        <w:pStyle w:val="Style30"/>
        <w:numPr>
          <w:ilvl w:val="0"/>
          <w:numId w:val="39"/>
        </w:numPr>
        <w:tabs>
          <w:tab w:leader="none" w:pos="512"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диастолический шум на верхушке характеризует большой лево-правый шунт через дефект, который приводит к относительному стенозу левого атрио</w:t>
        <w:softHyphen/>
        <w:t>вентрикулярного отверстия.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Электрокардиографические показатели зависят от размера дефекта и величины лево-правого шунта.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Маленькие мышечные ДМЖП не сопровождаются изменениями на ЭКГ.</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больших мышечных ДМЖП регистрируется ги</w:t>
        <w:softHyphen/>
        <w:t>пертрофия и объемная перегрузка левого желудочка, гипертрофия и перегрузка правого желудочка, дила</w:t>
        <w:softHyphen/>
        <w:t>тация левого предсердия.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Маленькие мышечные ДМЖП не сопровождаются увеличением тени сердца и нарушением легочного сосудистого рисунка.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Большие мышечные ДМЖП проявляются дилатаци</w:t>
        <w:softHyphen/>
        <w:t>ей камер сердца, усилением сосудистого рисунка лег</w:t>
        <w:softHyphen/>
        <w:t>ких пропорционально величине лево-правого шунта. Верхушка левого желудочка ротируется кзади, отме</w:t>
        <w:softHyphen/>
        <w:t>чается выбухание дуги легочной артерии.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Допплерэхокардиография:</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Мышечные дефекты выявляют из апикальной проек</w:t>
        <w:softHyphen/>
        <w:t>ции 4-х камер, парастернальной длинной и короткой оси.</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Небольшие мышечные дефекты обычно обнаружива</w:t>
        <w:softHyphen/>
        <w:t>ются изолированно, без сопутствующих кардиальных аномалий. Сердце имеет нормальную анатомию и функцию.</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больших мышечных дефектах (размер дефекта равен или больше диаметра аортального кольца) оп</w:t>
        <w:softHyphen/>
        <w:t>ределяется дилатация левого предсердия и левого желудочка. Систолическая и диастолическая функ</w:t>
        <w:softHyphen/>
        <w:t>ции левожелудочковой камеры обычно не наруше</w:t>
        <w:softHyphen/>
        <w:t>ны. Определяется дилатация ствола и ветвей легоч</w:t>
        <w:softHyphen/>
        <w:t>ной артерии.</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 позволяет установить наличие тка</w:t>
        <w:softHyphen/>
        <w:t>невых образований, закрывающих дефект с правоже</w:t>
        <w:softHyphen/>
        <w:t>лудочковой стороны межжелудочковой перегородки. Наряду с этим проводится исключение сопутствую</w:t>
        <w:softHyphen/>
        <w:t>щих кардиальных аномалий, таких как инфундибу</w:t>
        <w:softHyphen/>
        <w:t>лярный стеноз легочной артерии, дискретный суба</w:t>
        <w:softHyphen/>
        <w:t>ортальный стеноз, коарктация аорты.</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Допплерэхокардиография позволяет определить гра</w:t>
        <w:softHyphen/>
        <w:t>диент давления между левым и правым желудочком (при отсутствии аортального стеноза).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Цветовой допплер непосредственно указывает на ло - кализацию, размер и величину шунтирования при мышечных ДМЖП. Этот метод диагностики особен</w:t>
        <w:softHyphen/>
        <w:t>но полезен при выявлении множественных мышеч</w:t>
        <w:softHyphen/>
        <w:t>ных дефектов межжелудочковой перегородки, а также сопутствующих аномалий.</w:t>
      </w:r>
    </w:p>
    <w:p>
      <w:pPr>
        <w:pStyle w:val="Style30"/>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Катетеризация сердца: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Показанием к проведению катетеризации сердца яв</w:t>
        <w:softHyphen/>
        <w:t>ляется неадекватная визуализация ДМЖП, его раз</w:t>
        <w:softHyphen/>
        <w:t>мера, локализации и величины градиента при прове</w:t>
        <w:softHyphen/>
        <w:t>дении эхокардиографии.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Другим показанием для проведения катетеризации сердца является необходимость определения величи</w:t>
        <w:softHyphen/>
        <w:t>ны легочного артериального давления, легочного со</w:t>
        <w:softHyphen/>
        <w:t>судистого сопротивления, сопутствующих кардиаль</w:t>
        <w:softHyphen/>
        <w:t>ных аномалий.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Ангиокардиография:</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Мышечные ДМЖП визуализируются в длинной ко</w:t>
        <w:softHyphen/>
        <w:t>сой ориентации.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Передние мышечные дефекты лучше видны в правой косой ориентации.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Ангиокардиография используется для диагностики множественных дефектов, однако в последнее время данный метод заменяет допплерэхокардиография.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Дифференциальная диагностика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Подклапанный стеноз аорты.</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Двойное отхождение магистральных сосудов от пра</w:t>
        <w:softHyphen/>
        <w:t>вого желудочка.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Двойная камера правого желудочка.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Инфундибулярный стеноз легочной артерии.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Врожденная митральная недостаточность.</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Небольшие мышечные ДМЖП с большой частотой закрываются спонтанно (80-90%) в первые 2 года жизни и не требуют медицинского и хирургического вмешательства.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Большие мышечные дефекты обычно не закрывают</w:t>
        <w:softHyphen/>
        <w:t>ся спонтанно, но могут уменьшаться в размере с воз</w:t>
        <w:softHyphen/>
        <w:t>растом.</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Медикаментозная коррекция необходима детям с большим мышечным ДМЖП из-за большого лево</w:t>
        <w:softHyphen/>
        <w:t>правого шунтирования и развития застойной сердеч</w:t>
        <w:softHyphen/>
        <w:t>ной недостаточности.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Назначается дигоксин в качестве инотропного сред</w:t>
        <w:softHyphen/>
        <w:t>ства, мочегонные (фуросемид) для снижения объем</w:t>
        <w:softHyphen/>
        <w:t>ной перегрузки. При снижении уровня калия в крови в лечение подключают спиронолактон или препара</w:t>
        <w:softHyphen/>
        <w:t>ты калия.</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Для уменьшения постнагрузки и снижения легочного сосудистого сопротивления назначают ингибиторы АПФ. При назначении этих препаратов необходим контроль за уровнем калия в крови, спиронолактон и препараты калия назначают в меньших дозах.</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Неэффективность медикаментозной коррекции в первые 6 месяцев требует хирургического закрытия мышечного ДМЖП.</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Оперативная коррекция мышечного ДМЖП показа</w:t>
        <w:softHyphen/>
        <w:t>на, если дефект больше 2 см и локализуется в верху</w:t>
        <w:softHyphen/>
        <w:t>шечной позиции.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больных с множественными мышечными ДМЖП на первом этапе выполняется паллиативная коррек</w:t>
        <w:softHyphen/>
        <w:t>ция — сужение легочной артерии. Паллиативная опе</w:t>
        <w:softHyphen/>
        <w:t>рация ограничивает величину лево-правого шунти</w:t>
        <w:softHyphen/>
        <w:t>рования. В последующем возможно уменьшение раз</w:t>
        <w:softHyphen/>
        <w:t>меров дефектов или их спонтанное закрытие.</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pict>
          <v:shape id="_x0000_s1169" type="#_x0000_t75" style="position:absolute;margin-left:142.3pt;margin-top:736.8pt;width:209.75pt;height:14.9pt;z-index:-125829298;mso-wrap-distance-left:136.1pt;mso-wrap-distance-right:136.55pt;mso-wrap-distance-bottom:10.8pt;mso-position-horizontal-relative:margin;mso-position-vertical-relative:margin" wrapcoords="0 0 21600 0 21600 21600 0 21600 0 0">
            <v:imagedata r:id="rId222" r:href="rId223"/>
            <w10:wrap type="topAndBottom" anchorx="margin" anchory="margin"/>
          </v:shape>
        </w:pict>
      </w:r>
      <w:r>
        <w:rPr>
          <w:lang w:val="ru-RU" w:eastAsia="ru-RU" w:bidi="ru-RU"/>
          <w:w w:val="100"/>
          <w:spacing w:val="0"/>
          <w:color w:val="000000"/>
          <w:position w:val="0"/>
        </w:rPr>
        <w:t>Детям старшего возраста и взрослым пациентам с большим мышечным дефектом перед операцией</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обычно проводится катетеризация для определения легочной сосудистой резистентности.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Увеличение легочной артериолярной резистентности свыше 12 единиц по </w:t>
      </w:r>
      <w:r>
        <w:rPr>
          <w:lang w:val="en-US" w:eastAsia="en-US" w:bidi="en-US"/>
          <w:w w:val="100"/>
          <w:spacing w:val="0"/>
          <w:color w:val="000000"/>
          <w:position w:val="0"/>
        </w:rPr>
        <w:t xml:space="preserve">Wood </w:t>
      </w:r>
      <w:r>
        <w:rPr>
          <w:lang w:val="ru-RU" w:eastAsia="ru-RU" w:bidi="ru-RU"/>
          <w:w w:val="100"/>
          <w:spacing w:val="0"/>
          <w:color w:val="000000"/>
          <w:position w:val="0"/>
        </w:rPr>
        <w:t>и отсутствие его снижения на введение кислорода или вазодилататоров свиде</w:t>
        <w:softHyphen/>
        <w:t>тельствует о неоперабельности порока.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 у детей в возрасте до 1 ме</w:t>
        <w:softHyphen/>
        <w:t>сяца сопровождается высокой смертностью (10-20%).</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летальность значительно меньше (1-2%) у детей старше шести месяцев с изолирован</w:t>
        <w:softHyphen/>
        <w:t>ным большим мышечным ДМЖП.</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Методики закрытия большого мышечного дефекта разнообразны. Чаще всего используется методика на</w:t>
        <w:softHyphen/>
        <w:t>ложения двух дисковых заплат с левой и правой сто</w:t>
        <w:softHyphen/>
        <w:t>роны перегородки.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Хирургическое закрытие изолированного большого мышечного ДМЖП осуществляется наложением за</w:t>
        <w:softHyphen/>
        <w:t xml:space="preserve">платы </w:t>
      </w:r>
      <w:r>
        <w:rPr>
          <w:lang w:val="en-US" w:eastAsia="en-US" w:bidi="en-US"/>
          <w:w w:val="100"/>
          <w:spacing w:val="0"/>
          <w:color w:val="000000"/>
          <w:position w:val="0"/>
        </w:rPr>
        <w:t>Gore-Tex.</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Небольшие мышечные ДМЖП имеют высокую час</w:t>
        <w:softHyphen/>
        <w:t>тоту спонтанного закрытия.</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Регулярное наблюдение и медикаментозная коррек</w:t>
        <w:softHyphen/>
        <w:t>ция должны проводиться до спонтанного закрытия мышечного ДМЖП.</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Необходима профилактика инфекционного эндокар - дита до тех пор, пока небольшой мышечный ДМЖП не закроется спонтанно.</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Мышечные ДМЖП среднего размера при последую</w:t>
        <w:softHyphen/>
        <w:t>щем наблюдении могут уменьшаться в размере или спонтанно закрываться.</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Показано динамичное наблюдение для выявления показаний к своевременной хирургической коррек</w:t>
        <w:softHyphen/>
        <w:t>ции порока.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большим ДМЖП нуждаются в медикаментоз</w:t>
        <w:softHyphen/>
        <w:t>ной терапии для предупреждения развития сердечной недостаточности до тех пор, пока не будет проведена хирургическая коррекция порока.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Назначается дигоксин в качестве инотропного средства для усиления желудочковой контрактиль- ности.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Диуретики (фуросемид, альдактон) уменьшают объ</w:t>
        <w:softHyphen/>
        <w:t>емную перегрузку.</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Каптоприл или эналаприл уменьшают постнагрузку.</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Активность</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небольшим мышечным дефектом не нуждают</w:t>
        <w:softHyphen/>
        <w:t>ся в ограничении физической активности.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Физическая активность ограничивается детям с боль</w:t>
        <w:softHyphen/>
        <w:t>шим мышечным ДМЖП и с умеренным ДМЖП, но с проявлениями сердечной недостаточности.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Больным после хирургической коррекции, проведен</w:t>
        <w:softHyphen/>
        <w:t>ной без резидуального шунта, физическая активность расширяется постепенно.</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Застойная сердечная недостаточность.</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Бактериальный эндокардит.</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Синдром Эйзенменгера.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Аортальная недостаточность.</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Субаортальный стеноз.</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Прогноз</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небольшими размерами дефекта имеют хоро</w:t>
        <w:softHyphen/>
        <w:t>ший прогноз и часто не нуждаются в хирургической коррекции порока.</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Дети с большим ДМЖП после успешно проведенной хирургической коррекции порока имеют в последую</w:t>
        <w:softHyphen/>
        <w:t>щем благоприятный прогноз.</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Оптимальная медикаментозная коррекция значи</w:t>
        <w:softHyphen/>
        <w:t>тельно улучшает исход оперативного лечения.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Возможные ошибки</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Поздняя оперативная коррекция порока может обус</w:t>
        <w:softHyphen/>
        <w:t>ловить возникновение легочного сосудистого об</w:t>
        <w:softHyphen/>
        <w:t>структивного заболевания.</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Позднее выявление сопутствующих кардиальных аномалий.</w:t>
      </w:r>
    </w:p>
    <w:p>
      <w:pPr>
        <w:pStyle w:val="Style30"/>
        <w:numPr>
          <w:ilvl w:val="0"/>
          <w:numId w:val="37"/>
        </w:numPr>
        <w:tabs>
          <w:tab w:leader="none" w:pos="516" w:val="left"/>
        </w:tabs>
        <w:widowControl w:val="0"/>
        <w:keepNext w:val="0"/>
        <w:keepLines w:val="0"/>
        <w:shd w:val="clear" w:color="auto" w:fill="auto"/>
        <w:bidi w:val="0"/>
        <w:spacing w:before="0" w:after="161"/>
        <w:ind w:left="520" w:right="0" w:hanging="240"/>
      </w:pPr>
      <w:r>
        <w:rPr>
          <w:lang w:val="ru-RU" w:eastAsia="ru-RU" w:bidi="ru-RU"/>
          <w:w w:val="100"/>
          <w:spacing w:val="0"/>
          <w:color w:val="000000"/>
          <w:position w:val="0"/>
        </w:rPr>
        <w:t>Игнорирование роли антибактериальной профилак</w:t>
        <w:softHyphen/>
        <w:t>тики инфекционного эндокардита.</w:t>
      </w:r>
    </w:p>
    <w:p>
      <w:pPr>
        <w:pStyle w:val="Style48"/>
        <w:widowControl w:val="0"/>
        <w:keepNext/>
        <w:keepLines/>
        <w:shd w:val="clear" w:color="auto" w:fill="auto"/>
        <w:bidi w:val="0"/>
        <w:jc w:val="both"/>
        <w:spacing w:before="0" w:after="79" w:line="240" w:lineRule="exact"/>
        <w:ind w:left="0" w:right="0" w:firstLine="0"/>
      </w:pPr>
      <w:bookmarkStart w:id="316" w:name="bookmark316"/>
      <w:r>
        <w:rPr>
          <w:lang w:val="ru-RU" w:eastAsia="ru-RU" w:bidi="ru-RU"/>
          <w:w w:val="100"/>
          <w:spacing w:val="0"/>
          <w:color w:val="000000"/>
          <w:position w:val="0"/>
        </w:rPr>
        <w:t>Перимембранозный дефект межжелудочковой перегородки</w:t>
      </w:r>
      <w:bookmarkEnd w:id="316"/>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Определение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Врожденный дефект развития межжелудочковой пере</w:t>
        <w:softHyphen/>
        <w:t>городки в мембранозной части и окружающих ее зонах (пе- римембранозный дефект).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ДМЖП наблюдается в 4-7 случаев на 1000 новорож</w:t>
        <w:softHyphen/>
        <w:t>денных. Изолированный перимембранозный дефект является самым частым вариантом ДМЖП, составля</w:t>
        <w:softHyphen/>
        <w:t>ет 75-80% среди всех типов данного порока.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Перимембранозный ДМЖП несколько чаще наблю</w:t>
        <w:softHyphen/>
        <w:t>дается у девочек, чем у мальчиков.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Большие перимембранозные ДМЖП начинают вы</w:t>
        <w:softHyphen/>
        <w:t>являться в возрасте 6-8 недель, когда уменьшается ле</w:t>
        <w:softHyphen/>
        <w:t>гочная сосудистая резистентность и увеличивается лево-правый шунт. Возникают симптомы и признаки застойной сердечной недостаточности.</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Перимембранозный ДМЖП может определяться сразу после рождения в случаях сочетания порока с другими кардиальными аномалиями или хромосо</w:t>
        <w:softHyphen/>
        <w:t>мными синдромами.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Перимембранозный ДМЖП имеет мультифактори</w:t>
        <w:softHyphen/>
        <w:t>альную этиологию.</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 установлено связи между возрастом матери и рож</w:t>
        <w:softHyphen/>
        <w:t>дением ребенка с ДМЖП.</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Ассоциированные синдромы:</w:t>
      </w:r>
    </w:p>
    <w:p>
      <w:pPr>
        <w:pStyle w:val="Style30"/>
        <w:numPr>
          <w:ilvl w:val="0"/>
          <w:numId w:val="39"/>
        </w:numPr>
        <w:tabs>
          <w:tab w:leader="none" w:pos="752"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ДМЖП обнаруживается при большинстве хромо</w:t>
        <w:softHyphen/>
        <w:t>сомных аномалий и синдромах;</w:t>
      </w:r>
    </w:p>
    <w:p>
      <w:pPr>
        <w:pStyle w:val="Style30"/>
        <w:numPr>
          <w:ilvl w:val="0"/>
          <w:numId w:val="39"/>
        </w:numPr>
        <w:tabs>
          <w:tab w:leader="none" w:pos="752"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ДМЖП особенно часто наблюдается при трисо- мии 13, трисомии 18 и трисомии 21.</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Ассоциация с некардиальными состояниями:</w:t>
      </w:r>
    </w:p>
    <w:p>
      <w:pPr>
        <w:pStyle w:val="Style30"/>
        <w:numPr>
          <w:ilvl w:val="0"/>
          <w:numId w:val="39"/>
        </w:numPr>
        <w:tabs>
          <w:tab w:leader="none" w:pos="752"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недоношенность;</w:t>
      </w:r>
    </w:p>
    <w:p>
      <w:pPr>
        <w:pStyle w:val="Style30"/>
        <w:numPr>
          <w:ilvl w:val="0"/>
          <w:numId w:val="39"/>
        </w:numPr>
        <w:tabs>
          <w:tab w:leader="none" w:pos="752"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синдромы и хромосомные аномалии.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Морфология</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Дефект чаще всего локализуется в области выходного тракта левого желудочка сразу под аортальным кла</w:t>
        <w:softHyphen/>
        <w:t>паном.</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Дефект может распространяться на подлежащие пор - ции межжелудочковой перегородки.</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pict>
          <v:shape id="_x0000_s1170" type="#_x0000_t75" style="position:absolute;margin-left:130.9pt;margin-top:736.8pt;width:209.75pt;height:14.9pt;z-index:-125829297;mso-wrap-distance-left:124.8pt;mso-wrap-distance-right:148.1pt;mso-wrap-distance-bottom:10.8pt;mso-position-horizontal-relative:margin;mso-position-vertical-relative:margin" wrapcoords="0 0 21600 0 21600 21600 0 21600 0 0">
            <v:imagedata r:id="rId224" r:href="rId225"/>
            <w10:wrap type="topAndBottom" anchorx="margin" anchory="margin"/>
          </v:shape>
        </w:pict>
      </w:r>
      <w:r>
        <w:rPr>
          <w:lang w:val="ru-RU" w:eastAsia="ru-RU" w:bidi="ru-RU"/>
          <w:w w:val="100"/>
          <w:spacing w:val="0"/>
          <w:color w:val="000000"/>
          <w:position w:val="0"/>
        </w:rPr>
        <w:t>Фиброзная ткань в перимембранозной зоне со сторо - ны правожелудочковой поверхности обусловливает формирование аневризмы межжелудочковой перего</w:t>
        <w:softHyphen/>
        <w:t>родки в области дефекта. Эта фиброзная ткань может</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обусловить спонтанное закрытие аневризматическо</w:t>
        <w:softHyphen/>
        <w:t>го дефекта.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Перимембранозный дефект может частично или пол</w:t>
        <w:softHyphen/>
        <w:t>ностью закрываться септальной створкой трикуспи</w:t>
        <w:softHyphen/>
        <w:t>дального клапана.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Патофизиология</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Патофизиология порока определяется двумя основ</w:t>
        <w:softHyphen/>
        <w:t>ными факторами: размером дефекта и состоянием ле</w:t>
        <w:softHyphen/>
        <w:t>гочной сосудистой резистентности. При небольших дефектах лево-правый шунт лимитирован размером дефекта. При больших дефектах величина шунта за</w:t>
        <w:softHyphen/>
        <w:t>висит от легочной и системной сосудистой резис</w:t>
        <w:softHyphen/>
        <w:t>тентности. Повышенная резистентность легочной циркуляции лимитирует лево-правый шунт.</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Поскольку легочная сосудистая резистентность высо - кая при рождении, порок начинает проявляться в 6-8 недель, проявления застойной сердечной недостаточ</w:t>
        <w:softHyphen/>
        <w:t>ности отсрочены до второго-третьего месяца жизни.</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Сопутствующие пороки сердца (например, дефект межпредсердной перегородки, открытый артериаль</w:t>
        <w:softHyphen/>
        <w:t>ный проток) предрасполагают к более раннему про</w:t>
        <w:softHyphen/>
        <w:t>явлению сердечной недостаточности.</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Некардиальные аномалии, включая недоношен</w:t>
        <w:softHyphen/>
        <w:t>ность, инфекции, анемию или другие врожденные аномалии, также предрасполагают к раннему появле</w:t>
        <w:softHyphen/>
        <w:t>нию симптомов сердечной недостаточности. Другие факторы могут лимитировать величину лево-правого шунта при большом перимембранозном ДМЖП. К ним относятся обструкция выводного тракта правого желудочка, клапанный стеноз легоч</w:t>
        <w:softHyphen/>
        <w:t>ной артерии, легочная венозная обструкция, персис- тирующее повышение легочной сосудистой резис</w:t>
        <w:softHyphen/>
        <w:t>тентности и митральный стеноз.</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Заболеваемость и смертность при перимембранозном ДМЖП определяется размером дефекта, степенью лево-правого шунта, зависит от сопутствующих кар</w:t>
        <w:softHyphen/>
        <w:t>диальных аномалий и сроков хирургической коррек</w:t>
        <w:softHyphen/>
        <w:t>ции порока.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Перимембранозные ДМЖП могут спонтанно умень</w:t>
        <w:softHyphen/>
        <w:t>шаться в размере или полностью закрываться (наблю</w:t>
        <w:softHyphen/>
        <w:t>дается в 50% случаев). До тех пор пока не произойдет спонтанного закрытия дефекта, необходима антибак</w:t>
        <w:softHyphen/>
        <w:t>териальная профилактика инфекционного эндокар</w:t>
        <w:softHyphen/>
        <w:t>дита, который является грозным осложнением порока.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Небольшие мембранозные дефекты могут приводить к аортальной регургитации.</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 большим перимембранозным дефектом мо - жет развиться сердечная недостаточность. Примерно 25% таких пациентов нуждаются в хирургическом за</w:t>
        <w:softHyphen/>
        <w:t>крытии дефекта.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небольшого числа пациентов может развиться син</w:t>
        <w:softHyphen/>
        <w:t>дром Эйзенменгера даже при своевременной и адек</w:t>
        <w:softHyphen/>
        <w:t>ватной медикаментозной коррекции порока.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Коррекция порока может потребоваться у детей в возрасте до одного года. Хирургическая летальность в возрасте до 2 месяцев высока и достигает 20%. Хи</w:t>
        <w:softHyphen/>
        <w:t>рургическая летальность у детей с большим ДМЖП, оперированных после 6 месяцев, составляет 1-2%.</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раннем неонатальном периоде изолированный большой мембранозный ДМЖП обычно не сопро</w:t>
        <w:softHyphen/>
        <w:t>вождается клиническими симптомами порока.</w:t>
      </w:r>
    </w:p>
    <w:p>
      <w:pPr>
        <w:pStyle w:val="Style30"/>
        <w:numPr>
          <w:ilvl w:val="0"/>
          <w:numId w:val="37"/>
        </w:numPr>
        <w:tabs>
          <w:tab w:leader="none" w:pos="517"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У большинства детей с маленьким перимембраноз- ным дефектом порок сердца выявляется при обнару</w:t>
        <w:softHyphen/>
        <w:t>жении шума в сердце.</w:t>
      </w:r>
    </w:p>
    <w:p>
      <w:pPr>
        <w:pStyle w:val="Style30"/>
        <w:numPr>
          <w:ilvl w:val="0"/>
          <w:numId w:val="3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Шум в сердце начинает выявляться в позднем не</w:t>
        <w:softHyphen/>
        <w:t>онатальном периоде, когда происходит физиологи</w:t>
        <w:softHyphen/>
        <w:t>ческое снижение легочного сосудистого сопротив</w:t>
        <w:softHyphen/>
        <w:t>ления. Возникает градиент давления между левым и правым желудочком, шунт через дефект приводит к образованию типичного голосистолического шу</w:t>
        <w:softHyphen/>
        <w:t>ма.</w:t>
      </w:r>
    </w:p>
    <w:p>
      <w:pPr>
        <w:pStyle w:val="Style30"/>
        <w:numPr>
          <w:ilvl w:val="0"/>
          <w:numId w:val="3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Чем больше дефект и ниже легочное сосудистое со</w:t>
        <w:softHyphen/>
        <w:t>противление, тем больше степень лево-правого шунта.</w:t>
      </w:r>
    </w:p>
    <w:p>
      <w:pPr>
        <w:pStyle w:val="Style30"/>
        <w:numPr>
          <w:ilvl w:val="0"/>
          <w:numId w:val="3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Обычно у новорожденных с перимембранозным ДМЖП признаки и симптомы застойной сердечной недостаточности возникают после 6-8 недель жизни. Симптоматика порока усиливается с уменьшением легочного сосудистого сопротивления и увеличением степени лево-правого шунта.</w:t>
      </w:r>
    </w:p>
    <w:p>
      <w:pPr>
        <w:pStyle w:val="Style30"/>
        <w:numPr>
          <w:ilvl w:val="0"/>
          <w:numId w:val="3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Начальные признаки и симптомы порока включают трудности при кормлении, плохую прибавку в весе, тахипноэ, тахикардию, потливость (особенно при кормлении), сонливость, летаргию.</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Физикальные данные зависят от степени лево-правого шунта.</w:t>
      </w:r>
    </w:p>
    <w:p>
      <w:pPr>
        <w:pStyle w:val="Style30"/>
        <w:numPr>
          <w:ilvl w:val="0"/>
          <w:numId w:val="3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Небольшой перимембранозный ДМЖП:</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нормальное физическое развитие, нормальные ве - со-ростовые показатели;</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неизмененная область сердца, нормальный верху</w:t>
        <w:softHyphen/>
        <w:t>шечный толчок;</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нормальный первый тон сердца;</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небольшой акцент второго тона за счет легочного компонента;</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третий тон сердца не определяется;</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при небольших дефектах может пальпироваться систолическое дрожание слева у грудины;</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выслушивается голосистолический шум III- </w:t>
      </w:r>
      <w:r>
        <w:rPr>
          <w:lang w:val="en-US" w:eastAsia="en-US" w:bidi="en-US"/>
          <w:w w:val="100"/>
          <w:spacing w:val="0"/>
          <w:color w:val="000000"/>
          <w:position w:val="0"/>
        </w:rPr>
        <w:t xml:space="preserve">VI/VI </w:t>
      </w:r>
      <w:r>
        <w:rPr>
          <w:lang w:val="ru-RU" w:eastAsia="ru-RU" w:bidi="ru-RU"/>
          <w:w w:val="100"/>
          <w:spacing w:val="0"/>
          <w:color w:val="000000"/>
          <w:position w:val="0"/>
        </w:rPr>
        <w:t>градации по Левине вдоль левого края гру</w:t>
        <w:softHyphen/>
        <w:t>дины слева. Интенсивность шума определяется размером дефекта и величиной лево-правого градиента. Обычно чем меньше дефект, тем ин</w:t>
        <w:softHyphen/>
        <w:t>тенсивнее шум. Систолический шум обычно оп</w:t>
        <w:softHyphen/>
        <w:t>ределяется на протяжении всей систолы, но мо</w:t>
        <w:softHyphen/>
        <w:t xml:space="preserve">жет быть типа </w:t>
      </w:r>
      <w:r>
        <w:rPr>
          <w:lang w:val="en-US" w:eastAsia="en-US" w:bidi="en-US"/>
          <w:w w:val="100"/>
          <w:spacing w:val="0"/>
          <w:color w:val="000000"/>
          <w:position w:val="0"/>
        </w:rPr>
        <w:t xml:space="preserve">crescendo </w:t>
      </w:r>
      <w:r>
        <w:rPr>
          <w:lang w:val="ru-RU" w:eastAsia="ru-RU" w:bidi="ru-RU"/>
          <w:w w:val="100"/>
          <w:spacing w:val="0"/>
          <w:color w:val="000000"/>
          <w:position w:val="0"/>
        </w:rPr>
        <w:t xml:space="preserve">или </w:t>
      </w:r>
      <w:r>
        <w:rPr>
          <w:lang w:val="en-US" w:eastAsia="en-US" w:bidi="en-US"/>
          <w:w w:val="100"/>
          <w:spacing w:val="0"/>
          <w:color w:val="000000"/>
          <w:position w:val="0"/>
        </w:rPr>
        <w:t>crescendo-decrescen</w:t>
        <w:softHyphen/>
        <w:t>do.</w:t>
      </w:r>
    </w:p>
    <w:p>
      <w:pPr>
        <w:pStyle w:val="Style30"/>
        <w:numPr>
          <w:ilvl w:val="0"/>
          <w:numId w:val="3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Большой перимембранозный ДМЖП:</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плохое физическое развитие;</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симптоматика сердечной недостаточности вклю</w:t>
        <w:softHyphen/>
        <w:t>чает тахипноэ, тахикардию, потливость, бледность кожных покровов;</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может обнаруживаться сердечный горб и гиперди</w:t>
        <w:softHyphen/>
        <w:t>намический прекордиум, обусловленные кардио- мегалией;</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систолическое дрожание не характерно для боль</w:t>
        <w:softHyphen/>
        <w:t>шого перимембранозного ДМЖП;</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первый тон обычно не изменен, второй тон акцен</w:t>
        <w:softHyphen/>
        <w:t>туирован преимущественно за счет легочного ком</w:t>
        <w:softHyphen/>
        <w:t>понента;</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определяется усиленный третий тон, ритм галопа на верхушке;</w:t>
      </w:r>
    </w:p>
    <w:p>
      <w:pPr>
        <w:pStyle w:val="Style30"/>
        <w:numPr>
          <w:ilvl w:val="0"/>
          <w:numId w:val="39"/>
        </w:numPr>
        <w:tabs>
          <w:tab w:leader="none" w:pos="736" w:val="left"/>
        </w:tabs>
        <w:widowControl w:val="0"/>
        <w:keepNext w:val="0"/>
        <w:keepLines w:val="0"/>
        <w:shd w:val="clear" w:color="auto" w:fill="auto"/>
        <w:bidi w:val="0"/>
        <w:spacing w:before="0" w:after="0"/>
        <w:ind w:left="740" w:right="0" w:hanging="240"/>
      </w:pPr>
      <w:r>
        <w:pict>
          <v:shape id="_x0000_s1171" type="#_x0000_t75" style="position:absolute;margin-left:142.3pt;margin-top:736.8pt;width:209.75pt;height:14.9pt;z-index:-125829296;mso-wrap-distance-left:136.1pt;mso-wrap-distance-right:136.55pt;mso-wrap-distance-bottom:10.8pt;mso-position-horizontal-relative:margin;mso-position-vertical-relative:margin" wrapcoords="0 0 21600 0 21600 21600 0 21600 0 0">
            <v:imagedata r:id="rId226" r:href="rId227"/>
            <w10:wrap type="topAndBottom" anchorx="margin" anchory="margin"/>
          </v:shape>
        </w:pict>
      </w:r>
      <w:r>
        <w:rPr>
          <w:lang w:val="ru-RU" w:eastAsia="ru-RU" w:bidi="ru-RU"/>
          <w:w w:val="100"/>
          <w:spacing w:val="0"/>
          <w:color w:val="000000"/>
          <w:position w:val="0"/>
        </w:rPr>
        <w:t>выслушивается громкий голосистолический шум максимально вдоль левого края грудины;</w:t>
      </w:r>
      <w:r>
        <w:br w:type="page"/>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может определяться среднедиастолический тон и диастолический шум относительного стеноза митрального клапана.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Показатели ЭКГ зависят от размера ДМЖП и степе</w:t>
        <w:softHyphen/>
        <w:t>ни внутрисердечного шунта.</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Небольшие ДМЖП не проявляются изменениями на ЭКГ.</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больших ДМЖП на ЭКГ регистрируется гипер</w:t>
        <w:softHyphen/>
        <w:t>трофия и/или объемная перегрузка левого желудоч</w:t>
        <w:softHyphen/>
        <w:t>ка, гипертрофия и/или объемная перегрузка правого желудочка, дилатация левого предсердия.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Маленькие перимембранозные ДМЖП имеют нор</w:t>
        <w:softHyphen/>
        <w:t>мальные размеры сердца и легочный сосудистый ри</w:t>
        <w:softHyphen/>
        <w:t>сунок.</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Большие перимембранозные ДМЖП проявляются увеличением размеров сердца и усилением легочного сосудистого рисунка. Верхушка левого желудочка ро</w:t>
        <w:softHyphen/>
        <w:t>тирована кзади, определяется дилатация левого желу</w:t>
        <w:softHyphen/>
        <w:t>дочка, левого предсердия и ствола легочной артерии. Данные изменения пропорциональны величине ле</w:t>
        <w:softHyphen/>
        <w:t>во-правого шунта.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Допплерэхокардиография:</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Допплерэхокардиография является основным мето</w:t>
        <w:softHyphen/>
        <w:t>дом неинвазивной диагностики перимембранозных ДМЖП, позволяет определить локализацию и размер дефекта, величину лево-правого шунтирования, гра</w:t>
        <w:softHyphen/>
        <w:t>диент между желудочками, сопутствующие кардиаль</w:t>
        <w:softHyphen/>
        <w:t>ные аномалии.</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Перимембранозные ДМЖП лучше всего визуализи</w:t>
        <w:softHyphen/>
        <w:t>руются в парастернальной длинной и короткой оси сканирования.</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 помощью допплера определяется величина гради</w:t>
        <w:softHyphen/>
        <w:t>ента между левым и правым желудочками, рассчиты</w:t>
        <w:softHyphen/>
        <w:t>ваются показатели давления в легочной артерии и ле</w:t>
        <w:softHyphen/>
        <w:t>гочное сопротивление сосудов.</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Допплерэхокардиография выявляет сопутствующие кардиальные аномалии, такие как ДМПП, открытый артериальный проток, стеноз легочной артерии, ко- арктация аорты.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Показанием к проведению катетеризации сердца яв</w:t>
        <w:softHyphen/>
        <w:t>ляется неадекватная визуализация дефекта, его раз</w:t>
        <w:softHyphen/>
        <w:t>меров при выполнении допплерэхокардиографии.</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Катетеризацию сердца проводят у пациентов перед опе</w:t>
        <w:softHyphen/>
        <w:t>рацией, если есть подозрение на высокую легочную ги</w:t>
        <w:softHyphen/>
        <w:t>пертензию или сопутствующие кардиальные аномалии.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Ангиокардиография:</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Мембранозные ДМЖП при ангиографии лучше все</w:t>
        <w:softHyphen/>
        <w:t>го визуализируются в длинной косой проекции.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Дифференциальный диагноз</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Дискретный субаортальный стеноз.</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Двойное отхождение магистральных сосудов от пра</w:t>
        <w:softHyphen/>
        <w:t>вого желудочка.</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Двойная камера правого желудочка.</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Инфундибулярный стеноз легочной артерии.</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Врожденная митральная недостаточность.</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Небольшие перимембранозные ДМЖП могут в 50% случаев закрываться спонтанно в первые два года</w:t>
        <w:br w:type="column"/>
        <w:t>жизни, обычно не нуждаются в медикаментозной и хирургической коррекции.</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Большие мембранозные дефекты обычно не закрыва</w:t>
        <w:softHyphen/>
        <w:t>ются, но могут уменьшаться в размерах. Медикамен</w:t>
        <w:softHyphen/>
        <w:t>тозная терапия может потребоваться при больших пе- римембранозных ДМЖП, приводящих к большому шунтированию крови с развитием сердечной недо</w:t>
        <w:softHyphen/>
        <w:t>статочности.</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Проводится назначение дигоксина, диуретиков, пре</w:t>
        <w:softHyphen/>
        <w:t>паратов калия или спиронолактон. В ряде случаев та</w:t>
        <w:softHyphen/>
        <w:t>кая терапия значительно улучшает системное и ле</w:t>
        <w:softHyphen/>
        <w:t>гочное кровообращение, может привести к спонтан</w:t>
        <w:softHyphen/>
        <w:t>ному закрытию дефекта.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Отсутствие эффекта медикаментозной терапии в пер - вые шесть месяцев является показанием к закрытию перимембранозного дефекта хирургическим путем.</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Повышение легочной артериолярной резистентности свыше 12 ед. по шкале </w:t>
      </w:r>
      <w:r>
        <w:rPr>
          <w:lang w:val="en-US" w:eastAsia="en-US" w:bidi="en-US"/>
          <w:w w:val="100"/>
          <w:spacing w:val="0"/>
          <w:color w:val="000000"/>
          <w:position w:val="0"/>
        </w:rPr>
        <w:t xml:space="preserve">Wood </w:t>
      </w:r>
      <w:r>
        <w:rPr>
          <w:lang w:val="ru-RU" w:eastAsia="ru-RU" w:bidi="ru-RU"/>
          <w:w w:val="100"/>
          <w:spacing w:val="0"/>
          <w:color w:val="000000"/>
          <w:position w:val="0"/>
        </w:rPr>
        <w:t>свидетельствует о неопе</w:t>
        <w:softHyphen/>
        <w:t>рабельности порока.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любым размером мембранозного ДМЖП должны регулярно наблюдаться у кардиолога. Прово</w:t>
        <w:softHyphen/>
        <w:t>дятся контрольные ЭКГ и допплерэхокардиография.</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тяжелыми проявлениями сердечной недоста</w:t>
        <w:softHyphen/>
        <w:t>точности при мембранозном ДМЖП нуждаются в госпитализации и ранней хирургической коррекции порока.</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Небольшие мембранозные ДМЖП в 50% случаев закрываются спонтанно. Эти дети находятся под ре</w:t>
        <w:softHyphen/>
        <w:t>гулярным наблюдением, им проводится антибакте</w:t>
        <w:softHyphen/>
        <w:t>риальная профилактика инфекционного эндо кар - дита.</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Необходим динамичный контроль за детьми после хирургической коррекции порока для исключения реканализации дефекта, возникновения аортальной недостаточности и левожелудочковой дисфункции.</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сохраняющихся проявлениях сердечной недо</w:t>
        <w:softHyphen/>
        <w:t>статочности продолжается терапия дигоксином, диу</w:t>
        <w:softHyphen/>
        <w:t>ретиками (фуросемид, альдактон), антагонистами АРФ (каптоприл). Необходимо поддержание нор</w:t>
        <w:softHyphen/>
        <w:t>мального уровня гемоглобина.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Активность</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маленьким мембранозным ДМЖП не нужда</w:t>
        <w:softHyphen/>
        <w:t>ются в ограничении физической активности.</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Детям с умеренным или большим ДМЖП ограничи</w:t>
        <w:softHyphen/>
        <w:t>вается физическая активность.</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Детям после хирургической коррекции порока без ре</w:t>
        <w:softHyphen/>
        <w:t>зидуального шунта физическая активность расширя</w:t>
        <w:softHyphen/>
        <w:t>ется постепенно под контролем кардиолога.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Застойная сердечная недостаточность.</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Инфекционный эндокардит.</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Синдром Эйзенменгера.</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Аортальная недостаточность.</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Субаортальный стеноз.</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Прогноз</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 маленьким мембранозным ДМЖП прогноз благоприятный.</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pict>
          <v:shape id="_x0000_s1172" type="#_x0000_t75" style="position:absolute;margin-left:130.9pt;margin-top:736.8pt;width:209.75pt;height:14.9pt;z-index:-125829295;mso-wrap-distance-left:124.8pt;mso-wrap-distance-right:148.1pt;mso-wrap-distance-bottom:10.8pt;mso-position-horizontal-relative:margin;mso-position-vertical-relative:margin" wrapcoords="0 0 21600 0 21600 21600 0 21600 0 0">
            <v:imagedata r:id="rId228" r:href="rId229"/>
            <w10:wrap type="topAndBottom" anchorx="margin" anchory="margin"/>
          </v:shape>
        </w:pict>
      </w:r>
      <w:r>
        <w:rPr>
          <w:lang w:val="ru-RU" w:eastAsia="ru-RU" w:bidi="ru-RU"/>
          <w:w w:val="100"/>
          <w:spacing w:val="0"/>
          <w:color w:val="000000"/>
          <w:position w:val="0"/>
        </w:rPr>
        <w:t>У детей с большим ДМЖП и своевременно проведен</w:t>
        <w:softHyphen/>
        <w:t>ной медикаментозной и хирургической коррекцией порока прогноз хороший.</w:t>
      </w:r>
      <w:r>
        <w:br w:type="page"/>
      </w:r>
    </w:p>
    <w:p>
      <w:pPr>
        <w:pStyle w:val="Style48"/>
        <w:widowControl w:val="0"/>
        <w:keepNext/>
        <w:keepLines/>
        <w:shd w:val="clear" w:color="auto" w:fill="auto"/>
        <w:bidi w:val="0"/>
        <w:jc w:val="left"/>
        <w:spacing w:before="0" w:after="79" w:line="240" w:lineRule="exact"/>
        <w:ind w:left="0" w:right="0" w:firstLine="0"/>
      </w:pPr>
      <w:bookmarkStart w:id="317" w:name="bookmark317"/>
      <w:r>
        <w:rPr>
          <w:lang w:val="ru-RU" w:eastAsia="ru-RU" w:bidi="ru-RU"/>
          <w:w w:val="100"/>
          <w:spacing w:val="0"/>
          <w:color w:val="000000"/>
          <w:position w:val="0"/>
        </w:rPr>
        <w:t>Инфундибулярный (высокий) дефект межжелудочковой перегородки</w:t>
      </w:r>
      <w:bookmarkEnd w:id="317"/>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Определение</w:t>
      </w:r>
    </w:p>
    <w:p>
      <w:pPr>
        <w:pStyle w:val="Style30"/>
        <w:numPr>
          <w:ilvl w:val="0"/>
          <w:numId w:val="37"/>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Инфундибулярный ДМЖП является самым редким вариантом порока среди всех септальных дефектов. Дефект локализуется под легочным и аортальным клапанами. Диагностика такого варианта порока зна</w:t>
        <w:softHyphen/>
        <w:t>чительно затруднена из-за спиралевидного хода меж</w:t>
        <w:softHyphen/>
        <w:t>желудочковой перегородки в этой области.</w:t>
      </w:r>
    </w:p>
    <w:p>
      <w:pPr>
        <w:pStyle w:val="Style30"/>
        <w:numPr>
          <w:ilvl w:val="0"/>
          <w:numId w:val="37"/>
        </w:numPr>
        <w:tabs>
          <w:tab w:leader="none" w:pos="499" w:val="left"/>
        </w:tabs>
        <w:widowControl w:val="0"/>
        <w:keepNext w:val="0"/>
        <w:keepLines w:val="0"/>
        <w:shd w:val="clear" w:color="auto" w:fill="auto"/>
        <w:bidi w:val="0"/>
        <w:spacing w:before="0" w:after="0"/>
        <w:ind w:left="500" w:right="0" w:hanging="240"/>
      </w:pPr>
      <w:r>
        <w:rPr>
          <w:lang w:val="en-US" w:eastAsia="en-US" w:bidi="en-US"/>
          <w:w w:val="100"/>
          <w:spacing w:val="0"/>
          <w:color w:val="000000"/>
          <w:position w:val="0"/>
        </w:rPr>
        <w:t xml:space="preserve">Grista supraventricularis </w:t>
      </w:r>
      <w:r>
        <w:rPr>
          <w:lang w:val="ru-RU" w:eastAsia="ru-RU" w:bidi="ru-RU"/>
          <w:w w:val="100"/>
          <w:spacing w:val="0"/>
          <w:color w:val="000000"/>
          <w:position w:val="0"/>
        </w:rPr>
        <w:t>— инфундибулярная порция межжелудочковой перегородки. Она разделяет трику</w:t>
        <w:softHyphen/>
        <w:t>спидальный и легочный клапаны. Дефект расположен сразу под клапаном легочной артерии, в связи с чем ткани аортального и легочного клапана и фиброзное продолжение не разделяются септальной тканью.</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Частота</w:t>
      </w:r>
    </w:p>
    <w:p>
      <w:pPr>
        <w:pStyle w:val="Style30"/>
        <w:numPr>
          <w:ilvl w:val="0"/>
          <w:numId w:val="37"/>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Инфундибулярные ДМЖП составляют 4-5% среди всех типов ДМЖП.</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Пол</w:t>
      </w:r>
    </w:p>
    <w:p>
      <w:pPr>
        <w:pStyle w:val="Style30"/>
        <w:numPr>
          <w:ilvl w:val="0"/>
          <w:numId w:val="37"/>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Порок с одинаковой частотой встречается у мальчи</w:t>
        <w:softHyphen/>
        <w:t>ков и девочек.</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Эмбриология</w:t>
      </w:r>
    </w:p>
    <w:p>
      <w:pPr>
        <w:pStyle w:val="Style30"/>
        <w:numPr>
          <w:ilvl w:val="0"/>
          <w:numId w:val="37"/>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Отточная порция мышечной перегородки формиру</w:t>
        <w:softHyphen/>
        <w:t>ется первично из проксимальных эндокардиальных бугров (аналогичных ткани эндокардиальных поду</w:t>
        <w:softHyphen/>
        <w:t>шечек). Ткань полулунных клапанов, соединяющаяся между перегородкой и артериями, формируется из более дистальных эндокардиальных бугров. Экстра</w:t>
        <w:softHyphen/>
        <w:t>кардиальная мезенхима в качестве «сварочного» ма</w:t>
        <w:softHyphen/>
        <w:t>териала формирует аортолегочную перегородку.</w:t>
      </w:r>
    </w:p>
    <w:p>
      <w:pPr>
        <w:pStyle w:val="Style30"/>
        <w:numPr>
          <w:ilvl w:val="0"/>
          <w:numId w:val="37"/>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Высокий инфундибулярный дефект часто ассоцииру</w:t>
        <w:softHyphen/>
        <w:t xml:space="preserve">ется с пороками дуги аорты, что подтверждает общий механизм формирования аномалий, связанный с ми- кроделецией </w:t>
      </w:r>
      <w:r>
        <w:rPr>
          <w:lang w:val="en-US" w:eastAsia="en-US" w:bidi="en-US"/>
          <w:w w:val="100"/>
          <w:spacing w:val="0"/>
          <w:color w:val="000000"/>
          <w:position w:val="0"/>
        </w:rPr>
        <w:t>22q11.</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Анатомия</w:t>
      </w:r>
    </w:p>
    <w:p>
      <w:pPr>
        <w:pStyle w:val="Style30"/>
        <w:numPr>
          <w:ilvl w:val="0"/>
          <w:numId w:val="37"/>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Инфундибулярная перегородка разделяет трикуспи</w:t>
        <w:softHyphen/>
        <w:t>дальный и легочный клапаны и обусловливает пере</w:t>
        <w:softHyphen/>
        <w:t>днее расположение легочного клапана относительно клапана аорты. Эта порция перегородки оказывает мышечную поддержку аортального клапана, особен</w:t>
        <w:softHyphen/>
        <w:t>но правой коронарной створки.</w:t>
      </w:r>
    </w:p>
    <w:p>
      <w:pPr>
        <w:pStyle w:val="Style30"/>
        <w:numPr>
          <w:ilvl w:val="0"/>
          <w:numId w:val="37"/>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Недостаток поддерживающих тканей для правой ко</w:t>
        <w:softHyphen/>
        <w:t>ронарной створки является характерной особеннос</w:t>
        <w:softHyphen/>
        <w:t>тью данного типа дефекта.</w:t>
      </w:r>
    </w:p>
    <w:p>
      <w:pPr>
        <w:pStyle w:val="Style30"/>
        <w:numPr>
          <w:ilvl w:val="0"/>
          <w:numId w:val="37"/>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Высокий инфундибулярный дефект не визуализиру</w:t>
        <w:softHyphen/>
        <w:t>ется при стандартном хирургическом доступе через правое предсердие и осмотре через трикуспидальный клапан. В отличие от перимембранозных дефектов, инфундибулярные дефекты не достигают уровня три</w:t>
        <w:softHyphen/>
        <w:t>куспидального клапана.</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Анамнез, клиническая симптоматика</w:t>
      </w:r>
    </w:p>
    <w:p>
      <w:pPr>
        <w:pStyle w:val="Style30"/>
        <w:numPr>
          <w:ilvl w:val="0"/>
          <w:numId w:val="37"/>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 детей с небольшим изолированным инфундибуляр - ным дефектом клинические признаки порока отсут</w:t>
        <w:softHyphen/>
        <w:t>ствуют. Симптомы сердечной недостаточности появ</w:t>
        <w:softHyphen/>
        <w:t>ляются при больших дефектах. Развитие аортальной недостаточности наблюдается до десятилетнего воз</w:t>
        <w:softHyphen/>
        <w:t>раста. Однако большие дефекты часто сочетаются с тяжелыми формами аортальной обструкции (коарк- тация аорты, перерыв дуги аорты), что обусловливает раннее возникновение тяжелой сердечной недоста</w:t>
        <w:softHyphen/>
        <w:t>точности и сосудистого коллапса.</w:t>
      </w:r>
    </w:p>
    <w:p>
      <w:pPr>
        <w:pStyle w:val="Style30"/>
        <w:numPr>
          <w:ilvl w:val="0"/>
          <w:numId w:val="37"/>
        </w:numPr>
        <w:tabs>
          <w:tab w:leader="none" w:pos="241" w:val="left"/>
        </w:tabs>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У детей с большим изолированным инфундибуляр</w:t>
        <w:softHyphen/>
        <w:t>ным дефектом могут выявляться ранние признаки де - компенсации за счет большого лево-правого шунта. Поскольку дефект не окружен мышечными образова</w:t>
        <w:softHyphen/>
        <w:t>ниями, спонтанного закрытия порока не наблюдает</w:t>
        <w:softHyphen/>
        <w:t>ся. Однако дефект может уменьшаться в размерах при прогрессировании пролапса правой коронарной створки и возможно правого синуса Вальсальвы. Прогрессирование пролапса створки приводит к раз</w:t>
        <w:softHyphen/>
        <w:t>витию аортальной недостаточности или формирова</w:t>
        <w:softHyphen/>
        <w:t>нию аневризмы синуса Вальсальвы.</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Физикальные данные:</w:t>
      </w:r>
    </w:p>
    <w:p>
      <w:pPr>
        <w:pStyle w:val="Style30"/>
        <w:numPr>
          <w:ilvl w:val="0"/>
          <w:numId w:val="37"/>
        </w:numPr>
        <w:tabs>
          <w:tab w:leader="none" w:pos="241"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небольшом инфундибулярном ДМЖП дети име - ют нормальное развитие, симптомы дыхательной и сердечной недостаточности отсутствуют.</w:t>
      </w:r>
    </w:p>
    <w:p>
      <w:pPr>
        <w:pStyle w:val="Style30"/>
        <w:numPr>
          <w:ilvl w:val="0"/>
          <w:numId w:val="37"/>
        </w:numPr>
        <w:tabs>
          <w:tab w:leader="none" w:pos="241"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большом дефекте выявляется симптоматика за</w:t>
        <w:softHyphen/>
        <w:t>стойной сердечной недостаточности. Сопутствую</w:t>
        <w:softHyphen/>
        <w:t>щие аномалии аорты у новорожденных могут привес</w:t>
        <w:softHyphen/>
        <w:t>ти к кардиогенному шоку.</w:t>
      </w:r>
    </w:p>
    <w:p>
      <w:pPr>
        <w:pStyle w:val="Style30"/>
        <w:numPr>
          <w:ilvl w:val="0"/>
          <w:numId w:val="37"/>
        </w:numPr>
        <w:tabs>
          <w:tab w:leader="none" w:pos="241"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Шум при инфундибулярном ДМЖП систолический и локализуется в верхней части (второе или третье ме - жреберье) грудной клетки слева. Шум часто имеет ха</w:t>
        <w:softHyphen/>
        <w:t xml:space="preserve">рактер </w:t>
      </w:r>
      <w:r>
        <w:rPr>
          <w:lang w:val="en-US" w:eastAsia="en-US" w:bidi="en-US"/>
          <w:w w:val="100"/>
          <w:spacing w:val="0"/>
          <w:color w:val="000000"/>
          <w:position w:val="0"/>
        </w:rPr>
        <w:t xml:space="preserve">crescendo-decrescendo. </w:t>
      </w:r>
      <w:r>
        <w:rPr>
          <w:lang w:val="ru-RU" w:eastAsia="ru-RU" w:bidi="ru-RU"/>
          <w:w w:val="100"/>
          <w:spacing w:val="0"/>
          <w:color w:val="000000"/>
          <w:position w:val="0"/>
        </w:rPr>
        <w:t>Голосистолический шум не характерен для данного типа ДМЖП.</w:t>
      </w:r>
    </w:p>
    <w:p>
      <w:pPr>
        <w:pStyle w:val="Style30"/>
        <w:numPr>
          <w:ilvl w:val="0"/>
          <w:numId w:val="37"/>
        </w:numPr>
        <w:tabs>
          <w:tab w:leader="none" w:pos="241"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Когда диагноз инфундибулярного ДМЖП установлен, обследование должно быть сфокусировано на выявле</w:t>
        <w:softHyphen/>
        <w:t>нии аортальной недостаточности. Может выявляться диастолический шум вдоль левого края грудины. Ком</w:t>
        <w:softHyphen/>
        <w:t>бинация систолического и диастолического шума не</w:t>
        <w:softHyphen/>
        <w:t>посредственно наталкивает на мысль о наличии ин</w:t>
        <w:softHyphen/>
        <w:t>фундибулярного дефекта перегородки у пациента:</w:t>
      </w:r>
    </w:p>
    <w:p>
      <w:pPr>
        <w:pStyle w:val="Style30"/>
        <w:numPr>
          <w:ilvl w:val="0"/>
          <w:numId w:val="3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систоло-диастолический шум инфундибулярного ДМЖП необходимо дифференцировать от анало</w:t>
        <w:softHyphen/>
        <w:t>гичного шума при открытом артериальном прото</w:t>
        <w:softHyphen/>
        <w:t>ке, артериовенозной фистулы и др;</w:t>
      </w:r>
    </w:p>
    <w:p>
      <w:pPr>
        <w:pStyle w:val="Style30"/>
        <w:numPr>
          <w:ilvl w:val="0"/>
          <w:numId w:val="3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наличии аортальной недостаточности при проведении функциональных тестов (тест с изоме</w:t>
        <w:softHyphen/>
        <w:t>трическим напряжением, наклон вперед при сидя</w:t>
        <w:softHyphen/>
        <w:t>чем положении, задержка дыхания на выдохе) ди</w:t>
        <w:softHyphen/>
        <w:t>астолический шум усиливается;</w:t>
      </w:r>
    </w:p>
    <w:p>
      <w:pPr>
        <w:pStyle w:val="Style30"/>
        <w:numPr>
          <w:ilvl w:val="0"/>
          <w:numId w:val="3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 увеличением тяжести аортальной недостаточнос</w:t>
        <w:softHyphen/>
        <w:t>ти появляется большая пульсовая разница между систолическим и диастолическим давлением.</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w:t>
      </w:r>
    </w:p>
    <w:p>
      <w:pPr>
        <w:pStyle w:val="Style30"/>
        <w:numPr>
          <w:ilvl w:val="0"/>
          <w:numId w:val="37"/>
        </w:numPr>
        <w:tabs>
          <w:tab w:leader="none" w:pos="241"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маленьком инфундибулярном дефекте показате - ли ЭКГ нормальные. При большом лево-правом шунте определяется гипертрофия левого желудочка, дилатация левого предсердия и гипертрофия правого желудочка.</w:t>
      </w:r>
    </w:p>
    <w:p>
      <w:pPr>
        <w:pStyle w:val="Style30"/>
        <w:numPr>
          <w:ilvl w:val="0"/>
          <w:numId w:val="37"/>
        </w:numPr>
        <w:tabs>
          <w:tab w:leader="none" w:pos="241"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С прогрессированием аортальной недостаточности на ЭКГ обычно обнаруживаются признаки объемной перегрузки левого предсердия и желудочка (высокий </w:t>
      </w:r>
      <w:r>
        <w:rPr>
          <w:lang w:val="en-US" w:eastAsia="en-US" w:bidi="en-US"/>
          <w:w w:val="100"/>
          <w:spacing w:val="0"/>
          <w:color w:val="000000"/>
          <w:position w:val="0"/>
        </w:rPr>
        <w:t xml:space="preserve">R </w:t>
      </w:r>
      <w:r>
        <w:rPr>
          <w:lang w:val="ru-RU" w:eastAsia="ru-RU" w:bidi="ru-RU"/>
          <w:w w:val="100"/>
          <w:spacing w:val="0"/>
          <w:color w:val="000000"/>
          <w:position w:val="0"/>
        </w:rPr>
        <w:t xml:space="preserve">зубец с </w:t>
      </w:r>
      <w:r>
        <w:rPr>
          <w:lang w:val="en-US" w:eastAsia="en-US" w:bidi="en-US"/>
          <w:w w:val="100"/>
          <w:spacing w:val="0"/>
          <w:color w:val="000000"/>
          <w:position w:val="0"/>
        </w:rPr>
        <w:t xml:space="preserve">ST-T </w:t>
      </w:r>
      <w:r>
        <w:rPr>
          <w:lang w:val="ru-RU" w:eastAsia="ru-RU" w:bidi="ru-RU"/>
          <w:w w:val="100"/>
          <w:spacing w:val="0"/>
          <w:color w:val="000000"/>
          <w:position w:val="0"/>
        </w:rPr>
        <w:t>нарушениями в левых прекордиаль- ных отведениях).</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Рентгенография грудной клетки:</w:t>
      </w:r>
    </w:p>
    <w:p>
      <w:pPr>
        <w:pStyle w:val="Style30"/>
        <w:numPr>
          <w:ilvl w:val="0"/>
          <w:numId w:val="37"/>
        </w:numPr>
        <w:tabs>
          <w:tab w:leader="none" w:pos="241" w:val="left"/>
        </w:tabs>
        <w:widowControl w:val="0"/>
        <w:keepNext w:val="0"/>
        <w:keepLines w:val="0"/>
        <w:shd w:val="clear" w:color="auto" w:fill="auto"/>
        <w:bidi w:val="0"/>
        <w:spacing w:before="0" w:after="0"/>
        <w:ind w:left="260" w:right="0"/>
      </w:pPr>
      <w:r>
        <w:pict>
          <v:shape id="_x0000_s1173" type="#_x0000_t75" style="position:absolute;margin-left:147.85pt;margin-top:736.8pt;width:209.75pt;height:14.9pt;z-index:-125829294;mso-wrap-distance-left:147.1pt;mso-wrap-distance-right:136.55pt;mso-wrap-distance-bottom:10.8pt;mso-position-horizontal-relative:margin;mso-position-vertical-relative:margin" wrapcoords="0 0 21600 0 21600 21600 0 21600 0 0">
            <v:imagedata r:id="rId230" r:href="rId231"/>
            <w10:wrap type="topAndBottom" anchorx="margin" anchory="margin"/>
          </v:shape>
        </w:pict>
      </w:r>
      <w:r>
        <w:rPr>
          <w:lang w:val="ru-RU" w:eastAsia="ru-RU" w:bidi="ru-RU"/>
          <w:w w:val="100"/>
          <w:spacing w:val="0"/>
          <w:color w:val="000000"/>
          <w:position w:val="0"/>
        </w:rPr>
        <w:t>При небольших инфундибулярных дефектах рентге</w:t>
        <w:softHyphen/>
        <w:t>нологические показатели сердца и легочной васкуля</w:t>
        <w:softHyphen/>
        <w:t>ризации остаются нормальными. Большие дефекты обусловливают возникновение кардиомегалии (дила</w:t>
        <w:softHyphen/>
        <w:t>тация левого желудочка и левого предсердия), усиле</w:t>
        <w:softHyphen/>
        <w:t>ние легочного сосудистого рисунка.</w:t>
      </w:r>
      <w:r>
        <w:br w:type="page"/>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 прогрессированием аортальной недостаточ</w:t>
        <w:softHyphen/>
        <w:t>ности определяется дилатация левого желудочка, вы- бухающая дуга аорты. Поскольку объем шунтирова</w:t>
        <w:softHyphen/>
        <w:t>ния через дефект уменьшается из-за аортальной ре- гургитации, легочный сосудистый рисунок может быть не изменен. При возникновении застойной сер</w:t>
        <w:softHyphen/>
        <w:t>дечной недостаточности выявляется рентгенологиче</w:t>
        <w:softHyphen/>
        <w:t>ская картина отека легкого.</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Допплерэхокардиография:</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Двухмерная эхокардиография с цветовым допплером позволяет выявить инфундибулярный дефект у ново</w:t>
        <w:softHyphen/>
        <w:t>рожденных и детей младшего возраста. У детей и под</w:t>
        <w:softHyphen/>
        <w:t>ростков диагностика порока более сложная, его вы</w:t>
        <w:softHyphen/>
        <w:t>явление осуществляется с помощью чрезпищеводной эхокардиографии.</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Двухмерная эхокардиография + допплерография по</w:t>
        <w:softHyphen/>
        <w:t>зволяют квалифицированно определить величину и тяжесть аортальной недостаточности.</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Выявление дефекта осуществляют из модифициро</w:t>
        <w:softHyphen/>
        <w:t>ванной верхушечной трехкамерной позиции (левое предсердие, левый желудочек, корень аорты и легоч</w:t>
        <w:softHyphen/>
        <w:t>ной артерии).</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Цветовой допплер выявляет турбулентный поток ле</w:t>
        <w:softHyphen/>
        <w:t>во-правого шунта, направленный в сторону выходно</w:t>
        <w:softHyphen/>
        <w:t>го тракта легочной артерии, часто поперек легочного клапана. Такой поток может быть ошибочно принят за стеноз легочной артерии.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Ангиокардиография:</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Инфундибулярные ДМЖП хорошо визуализируются в правой передней косой проекции. Определяется прямое сообщение между аортальным и легочным клапанами. Большой дефект может распространяться в перимембранозную перегородку и иногда в приточ</w:t>
        <w:softHyphen/>
        <w:t>ную порцию перегородки.</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Дилатация аортального корня и расхождение аор</w:t>
        <w:softHyphen/>
        <w:t>тальных створок обусловлены большим дефектом, при этом лево-правый шунт в выходной тракт право</w:t>
        <w:softHyphen/>
        <w:t>го желудочка маленький.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позволяет определить объем шунта и легочную сосудистую резистентность. Насыщение кислородом определяют в выводном отделе легочной артерии, а не в правом желудочке, поскольку шунти</w:t>
        <w:softHyphen/>
        <w:t>рование осуществляется в инфундибулярную зону ле</w:t>
        <w:softHyphen/>
        <w:t>гочной артерии.</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инфундибулярном ДМЖП с аортальной недоста</w:t>
        <w:softHyphen/>
        <w:t>точностью оксигенометрия может давать неправиль</w:t>
        <w:softHyphen/>
        <w:t>ные результаты, поскольку шунт практически закрыт.</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Дифференциальная диагностика</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Недостаточность аортального клапана.</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Двустворчатый аортальный клапан.</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Дефект аортолегочной перегородки.</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Легочная артериовенозная фистула.</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Коронарная фистула.</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Открытый артериальный проток.</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Клапанный стеноз легочной артерии.</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Аневризма синуса Вальсальвы.</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Перимембранозный дефект межжелудочковой пере</w:t>
        <w:softHyphen/>
        <w:t>городки.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3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 момента установки диагноза инфундибулярного ДМЖП больные должны находиться под наблюдени-</w:t>
      </w:r>
    </w:p>
    <w:p>
      <w:pPr>
        <w:pStyle w:val="Style30"/>
        <w:widowControl w:val="0"/>
        <w:keepNext w:val="0"/>
        <w:keepLines w:val="0"/>
        <w:shd w:val="clear" w:color="auto" w:fill="auto"/>
        <w:bidi w:val="0"/>
        <w:spacing w:before="0" w:after="0"/>
        <w:ind w:left="500" w:right="0" w:firstLine="0"/>
      </w:pPr>
      <w:r>
        <w:br w:type="column"/>
      </w:r>
      <w:r>
        <w:rPr>
          <w:lang w:val="ru-RU" w:eastAsia="ru-RU" w:bidi="ru-RU"/>
          <w:w w:val="100"/>
          <w:spacing w:val="0"/>
          <w:color w:val="000000"/>
          <w:position w:val="0"/>
        </w:rPr>
        <w:t>ем из-за высокого риска возникновения аортальной недостаточности. Проводится динамичный доппле</w:t>
        <w:softHyphen/>
        <w:t>рэхокардиографический контроль за состоянием кла</w:t>
        <w:softHyphen/>
        <w:t>пана.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Хирургическая коррекция</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Поскольку при инфундибулярных ДМЖП не наблю - дается спонтанного закрытия и порок часто осложня</w:t>
        <w:softHyphen/>
        <w:t>ется аортальной регургитацией, хирургическая кор</w:t>
        <w:softHyphen/>
        <w:t>рекция порока показана в большинстве случаев. Аор</w:t>
        <w:softHyphen/>
        <w:t>тальная регургитация устраняется путем вальвулоп- ластики, а при выраженной деформации створок проводится протезирование клапана.</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Закрытие дефекта производится через легочную арте - рию путем ушивания или наложения заплаты.</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Осложнения</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Инфекционный эндокардит.</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Пациенты с инфундибулярным ДМЖП имеют повы - шенный риск возникновения инфекционного эндо</w:t>
        <w:softHyphen/>
        <w:t>кардита.</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Риск значительно увеличивается, если возникает аор</w:t>
        <w:softHyphen/>
        <w:t>тальная регургитация.</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Аортальная недостаточность:</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появление аортальной регургитации при инфун</w:t>
        <w:softHyphen/>
        <w:t>дибулярном дефекте имеет возрастную зависи</w:t>
        <w:softHyphen/>
        <w:t>мость;</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 новорожденных с инфундибулярным ДМЖП пре</w:t>
        <w:softHyphen/>
        <w:t>имущественно определяется лево-правый шунт;</w:t>
      </w:r>
    </w:p>
    <w:p>
      <w:pPr>
        <w:pStyle w:val="Style30"/>
        <w:numPr>
          <w:ilvl w:val="0"/>
          <w:numId w:val="39"/>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появление пролапса аортального клапана и аор</w:t>
        <w:softHyphen/>
        <w:t>тальной недостаточности обычно начинается в возрасте 6-10 лет, однако аортальная регургита- ция может возникнуть даже у новорожденных.</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Прогноз</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Прогноз инфундибулярных ДМЖП относительно удовлетворительный, если своевременно проведена коррекция дефекта и аортальной недостаточности.</w:t>
      </w:r>
    </w:p>
    <w:p>
      <w:pPr>
        <w:pStyle w:val="Style30"/>
        <w:numPr>
          <w:ilvl w:val="0"/>
          <w:numId w:val="37"/>
        </w:numPr>
        <w:tabs>
          <w:tab w:leader="none" w:pos="515" w:val="left"/>
        </w:tabs>
        <w:widowControl w:val="0"/>
        <w:keepNext w:val="0"/>
        <w:keepLines w:val="0"/>
        <w:shd w:val="clear" w:color="auto" w:fill="auto"/>
        <w:bidi w:val="0"/>
        <w:spacing w:before="0" w:after="237"/>
        <w:ind w:left="500" w:right="0" w:hanging="220"/>
      </w:pPr>
      <w:r>
        <w:rPr>
          <w:lang w:val="ru-RU" w:eastAsia="ru-RU" w:bidi="ru-RU"/>
          <w:w w:val="100"/>
          <w:spacing w:val="0"/>
          <w:color w:val="000000"/>
          <w:position w:val="0"/>
        </w:rPr>
        <w:t>Позднее распознавание порока и поздняя хирургиче</w:t>
        <w:softHyphen/>
        <w:t>ская коррекция ухудшают отдаленный прогноз.</w:t>
      </w:r>
    </w:p>
    <w:p>
      <w:pPr>
        <w:pStyle w:val="Style28"/>
        <w:widowControl w:val="0"/>
        <w:keepNext/>
        <w:keepLines/>
        <w:shd w:val="clear" w:color="auto" w:fill="auto"/>
        <w:bidi w:val="0"/>
        <w:jc w:val="left"/>
        <w:spacing w:before="0" w:after="153" w:line="220" w:lineRule="exact"/>
        <w:ind w:left="0" w:right="0" w:firstLine="0"/>
      </w:pPr>
      <w:bookmarkStart w:id="318" w:name="bookmark318"/>
      <w:r>
        <w:rPr>
          <w:lang w:val="ru-RU" w:eastAsia="ru-RU" w:bidi="ru-RU"/>
          <w:w w:val="100"/>
          <w:spacing w:val="0"/>
          <w:color w:val="000000"/>
          <w:position w:val="0"/>
        </w:rPr>
        <w:t>Дефект межпредсердной перегородки</w:t>
      </w:r>
      <w:bookmarkEnd w:id="318"/>
    </w:p>
    <w:p>
      <w:pPr>
        <w:pStyle w:val="Style92"/>
        <w:widowControl w:val="0"/>
        <w:keepNext/>
        <w:keepLines/>
        <w:shd w:val="clear" w:color="auto" w:fill="auto"/>
        <w:bidi w:val="0"/>
        <w:spacing w:before="0" w:after="0"/>
        <w:ind w:left="500" w:right="0" w:hanging="220"/>
      </w:pPr>
      <w:bookmarkStart w:id="319" w:name="bookmark319"/>
      <w:r>
        <w:rPr>
          <w:lang w:val="ru-RU" w:eastAsia="ru-RU" w:bidi="ru-RU"/>
          <w:w w:val="100"/>
          <w:spacing w:val="0"/>
          <w:color w:val="000000"/>
          <w:position w:val="0"/>
        </w:rPr>
        <w:t>Определение</w:t>
      </w:r>
      <w:bookmarkEnd w:id="31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Дефект межпредсердной перегородки — врожденная аномальная коммуникация между левым и правым пред</w:t>
        <w:softHyphen/>
        <w:t>сердием.</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ДМПП у детей наблюдается в 7% случаев среди всех ВПС, или у 1 на 1500 живорожденных. У взрослых па</w:t>
        <w:softHyphen/>
        <w:t>циентов ДМПП составляет 46% среди всех ВПС. Примерно 15-30% здоровых детей и подростков имеют нефункционирующее овальное окно, при ко</w:t>
        <w:softHyphen/>
        <w:t>тором клапан овального окна не срастается с перего</w:t>
        <w:softHyphen/>
        <w:t>родкой. У этих пациентов сердечный катетер, введен</w:t>
        <w:softHyphen/>
        <w:t>ный в правое предсердие, может быть проведен через овальное окно в левое предсердие (тест на открытое овальное окно).</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 чаще встречается у девочек. Соотношение Ж:М приблизительно 2:1.</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Возраст</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pict>
          <v:shape id="_x0000_s1174" type="#_x0000_t75" style="position:absolute;margin-left:130.9pt;margin-top:736.8pt;width:209.75pt;height:14.9pt;z-index:-125829293;mso-wrap-distance-left:124.8pt;mso-wrap-distance-right:148.1pt;mso-wrap-distance-bottom:10.8pt;mso-position-horizontal-relative:margin;mso-position-vertical-relative:margin" wrapcoords="0 0 21600 0 21600 21600 0 21600 0 0">
            <v:imagedata r:id="rId232" r:href="rId233"/>
            <w10:wrap type="topAndBottom" anchorx="margin" anchory="margin"/>
          </v:shape>
        </w:pict>
      </w:r>
      <w:r>
        <w:rPr>
          <w:lang w:val="ru-RU" w:eastAsia="ru-RU" w:bidi="ru-RU"/>
          <w:w w:val="100"/>
          <w:spacing w:val="0"/>
          <w:color w:val="000000"/>
          <w:position w:val="0"/>
        </w:rPr>
        <w:t>ДМПП как врожденная аномалия присутствует с рождения ребенка, однако в большинстве случаев выявляется после четырех месяцев жизни, когда на-</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чинает выслушиваться систолический шум. Клини</w:t>
        <w:softHyphen/>
        <w:t>ческая симптоматика порока длительное время не проявляется, вплоть до подросткового возраста.</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Вторичный ДМПП, ДМПП венозного синуса и коро - нарного синуса иногда выявляются только на вто</w:t>
        <w:softHyphen/>
        <w:t>ром — третьем десятилетии жизни. Первичный ДМПП обычно диагностируется на первом году жиз</w:t>
        <w:softHyphen/>
        <w:t>ни из-за митральной регургитации.</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Общее предсердие (т.е. комбинация ДМПП венозно</w:t>
        <w:softHyphen/>
        <w:t>го синуса, первичного и вторичного ДМПП) диагно</w:t>
        <w:softHyphen/>
        <w:t>стируется в первые годы жизни из-за смешивания ве</w:t>
        <w:softHyphen/>
        <w:t>нозной и артериальной крови и развития цианоза.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Эмбриология</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Межпредсердная перегородка начинает формиро</w:t>
        <w:softHyphen/>
        <w:t>ваться на 4 неделе и завершается на пятой неделе эм</w:t>
        <w:softHyphen/>
        <w:t>бриогенеза. Существует две модели развития меж</w:t>
        <w:softHyphen/>
        <w:t>предсердной перегородки.</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Классическая модель развития межпредсердной перего</w:t>
        <w:softHyphen/>
        <w:t>родки</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Согласно классической модели процесс развития пе</w:t>
        <w:softHyphen/>
        <w:t>регородки начинается, когда тонкая мембрана, име</w:t>
        <w:softHyphen/>
        <w:t xml:space="preserve">ющая форму полумесяца (первичная перегородка — </w:t>
      </w:r>
      <w:r>
        <w:rPr>
          <w:lang w:val="en-US" w:eastAsia="en-US" w:bidi="en-US"/>
          <w:w w:val="100"/>
          <w:spacing w:val="0"/>
          <w:color w:val="000000"/>
          <w:position w:val="0"/>
        </w:rPr>
        <w:t xml:space="preserve">septum primum), </w:t>
      </w:r>
      <w:r>
        <w:rPr>
          <w:lang w:val="ru-RU" w:eastAsia="ru-RU" w:bidi="ru-RU"/>
          <w:w w:val="100"/>
          <w:spacing w:val="0"/>
          <w:color w:val="000000"/>
          <w:position w:val="0"/>
        </w:rPr>
        <w:t>начинает формироваться вдоль дор</w:t>
        <w:softHyphen/>
        <w:t>сальной и краниальной стенки предсердия. Про</w:t>
        <w:softHyphen/>
        <w:t>странство между первичной перегородкой и эндокар</w:t>
        <w:softHyphen/>
        <w:t xml:space="preserve">диальными подушечками (первичное отверстие — </w:t>
      </w:r>
      <w:r>
        <w:rPr>
          <w:lang w:val="en-US" w:eastAsia="en-US" w:bidi="en-US"/>
          <w:w w:val="100"/>
          <w:spacing w:val="0"/>
          <w:color w:val="000000"/>
          <w:position w:val="0"/>
        </w:rPr>
        <w:t xml:space="preserve">ostium primum) </w:t>
      </w:r>
      <w:r>
        <w:rPr>
          <w:lang w:val="ru-RU" w:eastAsia="ru-RU" w:bidi="ru-RU"/>
          <w:w w:val="100"/>
          <w:spacing w:val="0"/>
          <w:color w:val="000000"/>
          <w:position w:val="0"/>
        </w:rPr>
        <w:t>прогрессивно уменьшается, и первич</w:t>
        <w:softHyphen/>
        <w:t>ная перегородка сливается, закрывая первичное от</w:t>
        <w:softHyphen/>
        <w:t>верстие. Перед полным завершением закрытия пер</w:t>
        <w:softHyphen/>
        <w:t>вичного отверстия остаются маленькие перфорации в стенке первичной перегородки и формируют вто</w:t>
        <w:softHyphen/>
        <w:t xml:space="preserve">ричное отверстие — </w:t>
      </w:r>
      <w:r>
        <w:rPr>
          <w:lang w:val="en-US" w:eastAsia="en-US" w:bidi="en-US"/>
          <w:w w:val="100"/>
          <w:spacing w:val="0"/>
          <w:color w:val="000000"/>
          <w:position w:val="0"/>
        </w:rPr>
        <w:t>ostium secundum.</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Около конца пятой недели эмбриональной жизни на</w:t>
        <w:softHyphen/>
        <w:t>чинается вторая стадия процесса, когда вторая, име</w:t>
        <w:softHyphen/>
        <w:t>ющая форму полумесяца мембрана — вторичная пе</w:t>
        <w:softHyphen/>
        <w:t xml:space="preserve">регородка </w:t>
      </w:r>
      <w:r>
        <w:rPr>
          <w:lang w:val="en-US" w:eastAsia="en-US" w:bidi="en-US"/>
          <w:w w:val="100"/>
          <w:spacing w:val="0"/>
          <w:color w:val="000000"/>
          <w:position w:val="0"/>
        </w:rPr>
        <w:t xml:space="preserve">(septum secundum) </w:t>
      </w:r>
      <w:r>
        <w:rPr>
          <w:lang w:val="ru-RU" w:eastAsia="ru-RU" w:bidi="ru-RU"/>
          <w:w w:val="100"/>
          <w:spacing w:val="0"/>
          <w:color w:val="000000"/>
          <w:position w:val="0"/>
        </w:rPr>
        <w:t>начинает формировать</w:t>
        <w:softHyphen/>
        <w:t>ся в пределах предсердия. Эта мембрана также начи</w:t>
        <w:softHyphen/>
        <w:t>нает расти к эндокардиальным подушкам, покрывая вторичное отверстие. Однако закрытие вторичной перегородки остается неполным. После окончатель</w:t>
        <w:softHyphen/>
        <w:t xml:space="preserve">ного формирования вторичной перегородки остается овальное окно </w:t>
      </w:r>
      <w:r>
        <w:rPr>
          <w:lang w:val="en-US" w:eastAsia="en-US" w:bidi="en-US"/>
          <w:w w:val="100"/>
          <w:spacing w:val="0"/>
          <w:color w:val="000000"/>
          <w:position w:val="0"/>
        </w:rPr>
        <w:t>(foramen ovale).</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Заключительная стадия процесса начинается, когда верхняя часть вторичной перегородки продолжает ру- диментироваться и, наконец, исчезает. Полностью сформированные предсердия теперь имеют перегород</w:t>
        <w:softHyphen/>
        <w:t>ку, но неполное перекрытие. Верхняя часть вторичной перегородки охватывает вторичное отверстие и создает односторонний клапан, позволяющий правильному левостороннему шунтированию крови в зародыше.</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 xml:space="preserve">Модель развития межпредсердной перегородки по </w:t>
      </w:r>
      <w:r>
        <w:rPr>
          <w:lang w:val="en-US" w:eastAsia="en-US" w:bidi="en-US"/>
          <w:w w:val="100"/>
          <w:spacing w:val="0"/>
          <w:color w:val="000000"/>
          <w:position w:val="0"/>
        </w:rPr>
        <w:t xml:space="preserve">Van Praagh </w:t>
      </w:r>
      <w:r>
        <w:rPr>
          <w:lang w:val="ru-RU" w:eastAsia="ru-RU" w:bidi="ru-RU"/>
          <w:w w:val="100"/>
          <w:spacing w:val="0"/>
          <w:color w:val="000000"/>
          <w:position w:val="0"/>
        </w:rPr>
        <w:t xml:space="preserve">и </w:t>
      </w:r>
      <w:r>
        <w:rPr>
          <w:lang w:val="en-US" w:eastAsia="en-US" w:bidi="en-US"/>
          <w:w w:val="100"/>
          <w:spacing w:val="0"/>
          <w:color w:val="000000"/>
          <w:position w:val="0"/>
        </w:rPr>
        <w:t>Corsini</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Согласно их модели, первичная перегородка (также известная как клапан откидной створки овального окна) растет от порции левого венозного клапана ве</w:t>
        <w:softHyphen/>
        <w:t>нозного синуса в левую сторону. Как только она до</w:t>
        <w:softHyphen/>
        <w:t>стигает дорсальной части предсердия, первичная пе</w:t>
        <w:softHyphen/>
        <w:t>регородка встречается с вторичной перегородкой, ко</w:t>
        <w:softHyphen/>
        <w:t>торая является выростом наиболее ростральной части примитивного предсердия.</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течение эмбрионального развития центральная часть первичной перегородки выбухает в левое пред</w:t>
        <w:softHyphen/>
        <w:br w:type="column"/>
        <w:t>сердие. После рождения остаток от первичной пере</w:t>
        <w:softHyphen/>
        <w:t>городки фиксируется с левой стороны от вторичной перегородки.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Типы дефектов межпредсердной перегородки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Существует четыре основных морфологических типа ДМПП, общее предсердие (отсутствие межпредсердной пе</w:t>
        <w:softHyphen/>
        <w:t>регородки) может быть отнесено к пятому типу.</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Вторичный ДМПП — наиболее частый и более благо - приятный по течению дефект. Этот дефект находится в области овального окна и вероятно является резуль</w:t>
        <w:softHyphen/>
        <w:t>татом фенестрации, резорбции первичной перего</w:t>
        <w:softHyphen/>
        <w:t>родки или недоразвития вторичной перегородки. Возможно, дефект формируется при патологическом развитии как первичной, так и вторичной перегород</w:t>
        <w:softHyphen/>
        <w:t>ки. Наблюдается в 70-80% случаев среди всех форм ДМПП.</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Первичный ДМПП возникает при неполном слия</w:t>
        <w:softHyphen/>
        <w:t>нии эндокардиальных подушечек с первичной пере</w:t>
        <w:softHyphen/>
        <w:t>городкой. Поскольку эндокардиальные подушечки формируют митральный и трикуспидальный клапа</w:t>
        <w:softHyphen/>
        <w:t>ны, первичный дефект почти всегда сочетается с рас</w:t>
        <w:softHyphen/>
        <w:t>щеплением передней митральной створки. Наблюда</w:t>
        <w:softHyphen/>
        <w:t>ется в 15% среди всех анатомических вариантов ДМПП.</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ДМПП венозного синуса. Этот тип ДМПП локализует</w:t>
        <w:softHyphen/>
        <w:t>ся в задней порции перегородки в области верхней по</w:t>
        <w:softHyphen/>
        <w:t>лой вены. Такая аномалия может сочетаться с частич</w:t>
        <w:softHyphen/>
        <w:t>ным аномальным дренажем легочных вен. Наблюдает</w:t>
        <w:softHyphen/>
        <w:t>ся в 10% среди всех анатомических вариантов ДМПП.</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ДМПП коронарного синуса — дефект стенки коро</w:t>
        <w:softHyphen/>
        <w:t>нарного синуса обусловливает шунтирование крови из левого предсердия в коронарный синус и впослед</w:t>
        <w:softHyphen/>
        <w:t>ствии в правое предсердие. Наблюдается в 10% среди всех вариантов ДМПП.</w:t>
      </w:r>
    </w:p>
    <w:p>
      <w:pPr>
        <w:pStyle w:val="Style30"/>
        <w:numPr>
          <w:ilvl w:val="0"/>
          <w:numId w:val="37"/>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Общее предсердие </w:t>
      </w:r>
      <w:r>
        <w:rPr>
          <w:lang w:val="en-US" w:eastAsia="en-US" w:bidi="en-US"/>
          <w:w w:val="100"/>
          <w:spacing w:val="0"/>
          <w:color w:val="000000"/>
          <w:position w:val="0"/>
        </w:rPr>
        <w:t xml:space="preserve">(common atrium) </w:t>
      </w:r>
      <w:r>
        <w:rPr>
          <w:lang w:val="ru-RU" w:eastAsia="ru-RU" w:bidi="ru-RU"/>
          <w:w w:val="100"/>
          <w:spacing w:val="0"/>
          <w:color w:val="000000"/>
          <w:position w:val="0"/>
        </w:rPr>
        <w:t>— при этом поро - ке отсутствует межпредсердная перегородка.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Открытое овальное окно наблюдается у 25-30% взросло</w:t>
        <w:softHyphen/>
        <w:t>го населения. Многие авторы относят открытое овальное окно к нормальному анатомическому варианту развития перегородки.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Большинство случаев ДМПП спорадические. Семейные формы ДМПП являются генетически гетерогенными, одна из форм связана с хромосомной аномалией 5р. Семейные ДМПП имеют низкую пенетрантность и вариабельную экс</w:t>
        <w:softHyphen/>
        <w:t>прессивность. Редко ДМПП является результатом генети</w:t>
        <w:softHyphen/>
        <w:t>чески детерминированного заболевания.</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Синдром </w:t>
      </w:r>
      <w:r>
        <w:rPr>
          <w:lang w:val="en-US" w:eastAsia="en-US" w:bidi="en-US"/>
          <w:w w:val="100"/>
          <w:spacing w:val="0"/>
          <w:color w:val="000000"/>
          <w:position w:val="0"/>
        </w:rPr>
        <w:t xml:space="preserve">EUis-van Creveld </w:t>
      </w:r>
      <w:r>
        <w:rPr>
          <w:lang w:val="ru-RU" w:eastAsia="ru-RU" w:bidi="ru-RU"/>
          <w:w w:val="100"/>
          <w:spacing w:val="0"/>
          <w:color w:val="000000"/>
          <w:position w:val="0"/>
        </w:rPr>
        <w:t>— низкий рост, короткие ди - стальные конечности, сращение запястных костей, гипоплазия ногтей, дисплазия зубов и верхней губы. ВПС наблюдается у 50% пациентов, чаще всего опре</w:t>
        <w:softHyphen/>
        <w:t>деляется ДМПП или единственное предсердие. На</w:t>
        <w:softHyphen/>
        <w:t>следование аутосомно-рецессивное, одна треть слу</w:t>
        <w:softHyphen/>
        <w:t>чаев связана с родительским кровным родством.</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Синдром </w:t>
      </w:r>
      <w:r>
        <w:rPr>
          <w:lang w:val="en-US" w:eastAsia="en-US" w:bidi="en-US"/>
          <w:w w:val="100"/>
          <w:spacing w:val="0"/>
          <w:color w:val="000000"/>
          <w:position w:val="0"/>
        </w:rPr>
        <w:t xml:space="preserve">Holt-Oram </w:t>
      </w:r>
      <w:r>
        <w:rPr>
          <w:lang w:val="ru-RU" w:eastAsia="ru-RU" w:bidi="ru-RU"/>
          <w:w w:val="100"/>
          <w:spacing w:val="0"/>
          <w:color w:val="000000"/>
          <w:position w:val="0"/>
        </w:rPr>
        <w:t>— аномалии верхних конечнос</w:t>
        <w:softHyphen/>
        <w:t>тей (отсутствие, гипоплазия больших пальцев) и вто</w:t>
        <w:softHyphen/>
        <w:t>ричный ДМПП. Наследование аутосомно-доминант- ное, обусловленное мутацией Т-ячейки транскрип</w:t>
        <w:softHyphen/>
        <w:t xml:space="preserve">ционного фактора </w:t>
      </w:r>
      <w:r>
        <w:rPr>
          <w:lang w:val="en-US" w:eastAsia="en-US" w:bidi="en-US"/>
          <w:w w:val="100"/>
          <w:spacing w:val="0"/>
          <w:color w:val="000000"/>
          <w:position w:val="0"/>
        </w:rPr>
        <w:t>TBX5.</w:t>
      </w:r>
    </w:p>
    <w:p>
      <w:pPr>
        <w:pStyle w:val="Style30"/>
        <w:numPr>
          <w:ilvl w:val="0"/>
          <w:numId w:val="37"/>
        </w:numPr>
        <w:tabs>
          <w:tab w:leader="none" w:pos="516" w:val="left"/>
        </w:tabs>
        <w:widowControl w:val="0"/>
        <w:keepNext w:val="0"/>
        <w:keepLines w:val="0"/>
        <w:shd w:val="clear" w:color="auto" w:fill="auto"/>
        <w:bidi w:val="0"/>
        <w:spacing w:before="0" w:after="0"/>
        <w:ind w:left="520" w:right="0" w:hanging="240"/>
      </w:pPr>
      <w:r>
        <w:pict>
          <v:shape id="_x0000_s1175" type="#_x0000_t75" style="position:absolute;margin-left:148.2pt;margin-top:736.8pt;width:209.75pt;height:14.9pt;z-index:-125829292;mso-wrap-distance-left:147.85pt;mso-wrap-distance-right:136.55pt;mso-wrap-distance-bottom:10.8pt;mso-position-horizontal-relative:margin;mso-position-vertical-relative:margin" wrapcoords="0 0 21600 0 21600 21600 0 21600 0 0">
            <v:imagedata r:id="rId234" r:href="rId235"/>
            <w10:wrap type="topAndBottom" anchorx="margin" anchory="margin"/>
          </v:shape>
        </w:pict>
      </w:r>
      <w:r>
        <w:rPr>
          <w:lang w:val="ru-RU" w:eastAsia="ru-RU" w:bidi="ru-RU"/>
          <w:w w:val="100"/>
          <w:spacing w:val="0"/>
          <w:color w:val="000000"/>
          <w:position w:val="0"/>
        </w:rPr>
        <w:t>Синдром ДМПП и пролонгированная атриовентрику</w:t>
        <w:softHyphen/>
        <w:t>лярная проводимость — аутосомно-доминантное на</w:t>
        <w:softHyphen/>
        <w:t>следование.</w:t>
      </w:r>
      <w:r>
        <w:br w:type="page"/>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Синдром </w:t>
      </w:r>
      <w:r>
        <w:rPr>
          <w:lang w:val="en-US" w:eastAsia="en-US" w:bidi="en-US"/>
          <w:w w:val="100"/>
          <w:spacing w:val="0"/>
          <w:color w:val="000000"/>
          <w:position w:val="0"/>
        </w:rPr>
        <w:t xml:space="preserve">Lutembacher </w:t>
      </w:r>
      <w:r>
        <w:rPr>
          <w:lang w:val="ru-RU" w:eastAsia="ru-RU" w:bidi="ru-RU"/>
          <w:w w:val="100"/>
          <w:spacing w:val="0"/>
          <w:color w:val="000000"/>
          <w:position w:val="0"/>
        </w:rPr>
        <w:t>— митральный стеноз (обычно вторичный к ревматической болезни сердца) в соче</w:t>
        <w:softHyphen/>
        <w:t>тании с ДМПП. ДМПП наблюдается в 0,6-0,7% слу</w:t>
        <w:softHyphen/>
        <w:t>чаев митрального стеноза.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Синдром </w:t>
      </w:r>
      <w:r>
        <w:rPr>
          <w:lang w:val="en-US" w:eastAsia="en-US" w:bidi="en-US"/>
          <w:w w:val="100"/>
          <w:spacing w:val="0"/>
          <w:color w:val="000000"/>
          <w:position w:val="0"/>
        </w:rPr>
        <w:t xml:space="preserve">Noonan </w:t>
      </w:r>
      <w:r>
        <w:rPr>
          <w:lang w:val="ru-RU" w:eastAsia="ru-RU" w:bidi="ru-RU"/>
          <w:w w:val="100"/>
          <w:spacing w:val="0"/>
          <w:color w:val="000000"/>
          <w:position w:val="0"/>
        </w:rPr>
        <w:t>— низкий рост, широкая шея, ворон</w:t>
        <w:softHyphen/>
        <w:t>кообразная деформация грудной клетки, криптор- хизм, аутосомно доминантное наследование. ВПС (60% — клапанный стеноз легочной артерии, 20% - ДМПП).</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Синдром </w:t>
      </w:r>
      <w:r>
        <w:rPr>
          <w:lang w:val="en-US" w:eastAsia="en-US" w:bidi="en-US"/>
          <w:w w:val="100"/>
          <w:spacing w:val="0"/>
          <w:color w:val="000000"/>
          <w:position w:val="0"/>
        </w:rPr>
        <w:t xml:space="preserve">Down </w:t>
      </w:r>
      <w:r>
        <w:rPr>
          <w:lang w:val="ru-RU" w:eastAsia="ru-RU" w:bidi="ru-RU"/>
          <w:w w:val="100"/>
          <w:spacing w:val="0"/>
          <w:color w:val="000000"/>
          <w:position w:val="0"/>
        </w:rPr>
        <w:t>(трисомия 21) — может наблюдаться первичный и вторичный ДМПП. Для синдрома Дау</w:t>
        <w:softHyphen/>
        <w:t>на не характерен ДМПП в области венозного синуса.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Лево-правый шунт</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Клинические проявления изолированного ДМПП связаны с шунтированием крови слева-направо. Ве</w:t>
        <w:softHyphen/>
        <w:t>личина шунтирования определяется размером дефек</w:t>
        <w:softHyphen/>
        <w:t>та, релаксационных свойств левосторонних и право</w:t>
        <w:softHyphen/>
        <w:t>сторонних камер и резистентности легочной и сис</w:t>
        <w:softHyphen/>
        <w:t>темной циркуляции.</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первые дни после рождения легочное сосудистое сопротивление остается еще высоким. С падением сосудистого сопротивления легких правый желудо</w:t>
        <w:softHyphen/>
        <w:t>чек становится более податливым, чем левый, шунти</w:t>
        <w:softHyphen/>
        <w:t>рование слева направо увеличивается. Если величина дефекта незначительна, то лево-правый сброс ма</w:t>
        <w:softHyphen/>
        <w:t>ленький. У таких детей в 15% случаев вторичный ДМПП подвергается спонтанному закрытию до 4-летнего возраста. В остальных случаях клиническая симптоматика определяется величиной шунтирова</w:t>
        <w:softHyphen/>
        <w:t>ния слева направо.</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ДМПП может протекать без каких-либо симптомов.</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Большинство больных с ДМПП выявляется при ру</w:t>
        <w:softHyphen/>
        <w:t>тинном кардиологическом обследовании по поводу обнаружения у них шума в сердце.</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Симптоматика ДМПП не имеет специфических про - явлений. Обычно дети отстают в развитии, имеют ча</w:t>
        <w:softHyphen/>
        <w:t>стые инфекции верхних дыхательных путей, одышку при нагрузке.</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Такая симптоматика, как аритмия, легочная артери</w:t>
        <w:softHyphen/>
        <w:t>альная гипертензия, легочное обструктивное сосуди</w:t>
        <w:softHyphen/>
        <w:t>стое заболевание у детей с ДМПП наблюдается редко. У новорожденных и детей раннего возраста с боль</w:t>
        <w:softHyphen/>
        <w:t>шим дефектом межпредсердной перегородки может определяться симптоматика сердечной недостаточ</w:t>
        <w:softHyphen/>
        <w:t>ности, особенно при сочетании ДМПП с открытым артериальным протоком, легочными заболеваниями (например, бронхолегочная дисплазия).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Физикальное обследование:</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 первый взгляд дети с ДМПП выглядят полностью здоровыми, однако тщательное физикальное обсле</w:t>
        <w:softHyphen/>
        <w:t>дование позволяет заподозрить диагноз ДМПП.</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больных с ДМПП может определяться усиленный правожелудочковый сердечный толчок и пальпируе</w:t>
        <w:softHyphen/>
        <w:t>мая пульсация легочной артерии. Оба признака свя</w:t>
        <w:softHyphen/>
        <w:t>заны с увеличенным правосторонним потоком крови.</w:t>
      </w:r>
    </w:p>
    <w:p>
      <w:pPr>
        <w:pStyle w:val="Style30"/>
        <w:numPr>
          <w:ilvl w:val="0"/>
          <w:numId w:val="3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аускультации при ДМПП первый тон может быть нормальным или расщепленным. Акцентуация тона может быть обусловлена ускоренным закрытием три</w:t>
        <w:softHyphen/>
        <w:t>куспидального клапана. Увеличенный поток крови</w:t>
        <w:br w:type="column"/>
        <w:t>через клапан легочной артерии приводит к появлению среднесистолического шума легочного изгнания.</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новорожденных с ДМПП второй тон над легочной артерией не акцентуирован, но широкий и расщеп</w:t>
        <w:softHyphen/>
        <w:t>ленный.</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большом дефекте выслушивается среднедиасто</w:t>
        <w:softHyphen/>
        <w:t>лический шум слева у грудины, связанный с увели</w:t>
        <w:softHyphen/>
        <w:t>ченным потоком через трикуспидальный клапан.</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ДМПП с высокой частотой определяется про</w:t>
        <w:softHyphen/>
        <w:t>лапс митрального клапана, обусловленный желудоч</w:t>
        <w:softHyphen/>
        <w:t>ковой диспропорцией (большой правый желудочек и маленький левый желудочек).</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больных с пролапсом митрального клапана верху</w:t>
        <w:softHyphen/>
        <w:t>шечный голосистолический или позднесистоличес</w:t>
        <w:softHyphen/>
        <w:t>кий шум часто проводится в подмышечную область.</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Среднесистолический щелчок при пролапсе мит</w:t>
        <w:softHyphen/>
        <w:t>рального клапана затрудняет выявляемость аускуль</w:t>
        <w:softHyphen/>
        <w:t>тативных проявлений ДМПП.</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Легочная сосудистая резистентность при ДМПП мо</w:t>
        <w:softHyphen/>
        <w:t>жет быть увеличена у детей и подростков и приводит к легочному сосудистому обструктивному заболева</w:t>
        <w:softHyphen/>
        <w:t>нию. Повышение легочного сосудистого сопротивле</w:t>
        <w:softHyphen/>
        <w:t>ния и легочного артериального давления приводит к гипертрофии левого желудочка, которая сопровож</w:t>
        <w:softHyphen/>
        <w:t>дается снижением его комплайнса, что может привес</w:t>
        <w:softHyphen/>
        <w:t>ти к снижению степени лево-правостороннего шунта.</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некоторых больных с ДМПП, первоначально обна</w:t>
        <w:softHyphen/>
        <w:t>руженным усиленным правожелудочковым толчком, может происходить ослабление диастолического три</w:t>
        <w:softHyphen/>
        <w:t>куспидального шума и систолического шума изгна</w:t>
        <w:softHyphen/>
        <w:t>ния над легочной артерией.</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Широкий и расщепленный второй тон может стано</w:t>
        <w:softHyphen/>
        <w:t>виться узким, при этом интенсивность легочного компонента второго тона становится эквивалентной аортальному компоненту.</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всех больных с общим предсердием наблюдается большое смешивание артериальной и венозной кро</w:t>
        <w:softHyphen/>
        <w:t>ви, приводящее к цианозу.</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взрослых больных может наблюдаться ухудшение течения ДМПП при присоединении артериальной гипертензии, которая усиливает лево-правосторон</w:t>
        <w:softHyphen/>
        <w:t>нее шунтирование.</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 (рис.17):</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Наиболее характерно отклонение электрической оси сердца вправо, гипертрофия правого желудочка, ком</w:t>
        <w:softHyphen/>
        <w:t xml:space="preserve">плекс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в правых грудных отведениях имеет форму </w:t>
      </w:r>
      <w:r>
        <w:rPr>
          <w:lang w:val="en-US" w:eastAsia="en-US" w:bidi="en-US"/>
          <w:w w:val="100"/>
          <w:spacing w:val="0"/>
          <w:color w:val="000000"/>
          <w:position w:val="0"/>
        </w:rPr>
        <w:t xml:space="preserve">rSR'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rsR'. </w:t>
      </w:r>
      <w:r>
        <w:rPr>
          <w:lang w:val="ru-RU" w:eastAsia="ru-RU" w:bidi="ru-RU"/>
          <w:w w:val="100"/>
          <w:spacing w:val="0"/>
          <w:color w:val="000000"/>
          <w:position w:val="0"/>
        </w:rPr>
        <w:t xml:space="preserve">Продолжительность </w:t>
      </w:r>
      <w:r>
        <w:rPr>
          <w:lang w:val="en-US" w:eastAsia="en-US" w:bidi="en-US"/>
          <w:w w:val="100"/>
          <w:spacing w:val="0"/>
          <w:color w:val="000000"/>
          <w:position w:val="0"/>
        </w:rPr>
        <w:t xml:space="preserve">QRS </w:t>
      </w:r>
      <w:r>
        <w:rPr>
          <w:lang w:val="ru-RU" w:eastAsia="ru-RU" w:bidi="ru-RU"/>
          <w:w w:val="100"/>
          <w:spacing w:val="0"/>
          <w:color w:val="000000"/>
          <w:position w:val="0"/>
        </w:rPr>
        <w:t>комплекса обычно нормальная.</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Отклонение электрической оси сердца влево против часовой стрелки во фронтальной плоскости харак</w:t>
        <w:softHyphen/>
        <w:t>терно для первичного ДМПП.</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При всех типах ДМПП может наблюдаться удлинение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Удлинение проводимости по атриовен</w:t>
        <w:softHyphen/>
        <w:t>трикулярному узлу может быть обусловлено увеличе</w:t>
        <w:softHyphen/>
        <w:t>нием размера правого предсердия в результате дефек</w:t>
        <w:softHyphen/>
        <w:t>та. Прием бета-блокаторов и антагонистов кальциевых каналов может вызвать атриовентрикулярную блокаду.</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Рентгенография:</w:t>
      </w:r>
    </w:p>
    <w:p>
      <w:pPr>
        <w:pStyle w:val="Style30"/>
        <w:numPr>
          <w:ilvl w:val="0"/>
          <w:numId w:val="37"/>
        </w:numPr>
        <w:tabs>
          <w:tab w:leader="none" w:pos="235" w:val="left"/>
        </w:tabs>
        <w:widowControl w:val="0"/>
        <w:keepNext w:val="0"/>
        <w:keepLines w:val="0"/>
        <w:shd w:val="clear" w:color="auto" w:fill="auto"/>
        <w:bidi w:val="0"/>
        <w:spacing w:before="0" w:after="0"/>
        <w:ind w:left="260" w:right="0"/>
      </w:pPr>
      <w:r>
        <w:pict>
          <v:shape id="_x0000_s1176" type="#_x0000_t75" style="position:absolute;margin-left:130.9pt;margin-top:736.8pt;width:209.75pt;height:14.9pt;z-index:-125829291;mso-wrap-distance-left:124.8pt;mso-wrap-distance-right:148.1pt;mso-wrap-distance-bottom:10.8pt;mso-position-horizontal-relative:margin;mso-position-vertical-relative:margin" wrapcoords="0 0 21600 0 21600 21600 0 21600 0 0">
            <v:imagedata r:id="rId236" r:href="rId237"/>
            <w10:wrap type="topAndBottom" anchorx="margin" anchory="margin"/>
          </v:shape>
        </w:pict>
      </w:r>
      <w:r>
        <w:rPr>
          <w:lang w:val="ru-RU" w:eastAsia="ru-RU" w:bidi="ru-RU"/>
          <w:w w:val="100"/>
          <w:spacing w:val="0"/>
          <w:color w:val="000000"/>
          <w:position w:val="0"/>
        </w:rPr>
        <w:t>Данные рентгенологического исследования не имеют специфических проявлений. Часто определяются ди</w:t>
        <w:softHyphen/>
        <w:t>латация правого предсердия и желудочка, дилатация</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легочной артерии, усиление легочного сосудистого рисунка.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Эхокардиография (рис. 18):</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Позволяет определить место дефекта и величину ле - во-правого шунта. У детей младшего возраста ана</w:t>
        <w:softHyphen/>
        <w:t>томия дефекта хорошо визуализируется из субкос</w:t>
        <w:softHyphen/>
        <w:t>тальной позиции. Место отхождения первичной пе</w:t>
        <w:softHyphen/>
        <w:t>регородки можно визуализировать из модифициро</w:t>
        <w:softHyphen/>
        <w:t>ванной левой косой субкостальной проекции.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Чрезпищеводная эхокардиография:</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Данный метод используется для диагностики межпред</w:t>
        <w:softHyphen/>
        <w:t>сердного дефекта у подростков и взрослых пациентов из-за ограничения трансторакального доступа. Мето</w:t>
        <w:softHyphen/>
        <w:t>дом чрезпищеводной эхокардиографии визуализиру</w:t>
        <w:softHyphen/>
        <w:t>ются дефекты в области венозного и коронарного си</w:t>
        <w:softHyphen/>
        <w:t>нусов.</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Катетеризация:</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Катетеризация сердца редко используется для пред</w:t>
        <w:softHyphen/>
        <w:t>операционного выявления ДМПП у детей. Она мо</w:t>
        <w:softHyphen/>
        <w:t>жет быть необходима при выявлении легочной гипер - тензии и ответа легочного сопротивления на введе</w:t>
        <w:softHyphen/>
        <w:t>ние вазодилататоров. Катетеризацию используют для выявления сопутствующих внутрисердечных анома</w:t>
        <w:softHyphen/>
        <w:t>лий, особенно у пациентов с несколькими лево-пра</w:t>
        <w:softHyphen/>
        <w:t>восторонними шунтами.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Дифференциальным диагноз</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Дефект межпредсердной перегородки в области ко</w:t>
        <w:softHyphen/>
        <w:t>ронарного синуса.</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Первичный дефект межпредсердной перегородки.</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Вторичный дефект межпредсердной перегородки.</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Открытое овальное окно.</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Дефект межпредсердной перегородки в области ве</w:t>
        <w:softHyphen/>
        <w:t>нозного синуса.</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Предсердно -желудочковый дефект частичный.</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Частичный аномальный дренаж легочных вен.</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Инфундибулярный стеноз легочной артерии.</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Клапанный стеноз легочной артерии.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Медицинская помощь</w:t>
      </w:r>
    </w:p>
    <w:p>
      <w:pPr>
        <w:pStyle w:val="Style30"/>
        <w:numPr>
          <w:ilvl w:val="0"/>
          <w:numId w:val="3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ДМПП является структурным дефектом и за исклю</w:t>
        <w:softHyphen/>
        <w:t>чением вторичного ДМПП не подвергается спонтан</w:t>
        <w:softHyphen/>
        <w:t>ному закрытию и, следовательно, требует хирургиче-</w:t>
      </w:r>
    </w:p>
    <w:p>
      <w:pPr>
        <w:framePr w:w="4795" w:h="3250" w:hSpace="20" w:wrap="notBeside" w:vAnchor="text" w:hAnchor="text" w:x="69" w:y="1"/>
        <w:widowControl w:val="0"/>
        <w:rPr>
          <w:sz w:val="2"/>
          <w:szCs w:val="2"/>
        </w:rPr>
      </w:pPr>
      <w:r>
        <w:pict>
          <v:shape id="_x0000_s1177" type="#_x0000_t75" style="width:240pt;height:163pt;">
            <v:imagedata r:id="rId238" r:href="rId239"/>
          </v:shape>
        </w:pict>
      </w:r>
    </w:p>
    <w:p>
      <w:pPr>
        <w:pStyle w:val="Style120"/>
        <w:framePr w:w="4829" w:h="633" w:hSpace="20" w:wrap="notBeside" w:vAnchor="text" w:hAnchor="text" w:x="21" w:y="3663"/>
        <w:widowControl w:val="0"/>
        <w:keepNext w:val="0"/>
        <w:keepLines w:val="0"/>
        <w:shd w:val="clear" w:color="auto" w:fill="auto"/>
        <w:bidi w:val="0"/>
        <w:spacing w:before="0" w:after="0"/>
        <w:ind w:left="0" w:right="0" w:firstLine="0"/>
      </w:pPr>
      <w:r>
        <w:rPr>
          <w:rStyle w:val="CharStyle125"/>
        </w:rPr>
        <w:t xml:space="preserve">Рис. 17. </w:t>
      </w:r>
      <w:r>
        <w:rPr>
          <w:lang w:val="ru-RU" w:eastAsia="ru-RU" w:bidi="ru-RU"/>
          <w:w w:val="100"/>
          <w:spacing w:val="0"/>
          <w:color w:val="000000"/>
          <w:position w:val="0"/>
        </w:rPr>
        <w:t>Вторичный дефект межпредсердной перегородки: призна</w:t>
        <w:softHyphen/>
        <w:t>ки гипертрофии миокарда правого желудочка, неполная блокада правой ножки пучка Гиса.</w:t>
      </w:r>
    </w:p>
    <w:p>
      <w:pPr>
        <w:widowControl w:val="0"/>
        <w:rPr>
          <w:sz w:val="2"/>
          <w:szCs w:val="2"/>
        </w:rPr>
      </w:pPr>
    </w:p>
    <w:p>
      <w:pPr>
        <w:pStyle w:val="Style30"/>
        <w:widowControl w:val="0"/>
        <w:keepNext w:val="0"/>
        <w:keepLines w:val="0"/>
        <w:shd w:val="clear" w:color="auto" w:fill="auto"/>
        <w:bidi w:val="0"/>
        <w:spacing w:before="571" w:after="0"/>
        <w:ind w:left="680" w:right="0" w:firstLine="0"/>
      </w:pPr>
      <w:r>
        <w:rPr>
          <w:lang w:val="ru-RU" w:eastAsia="ru-RU" w:bidi="ru-RU"/>
          <w:w w:val="100"/>
          <w:spacing w:val="0"/>
          <w:color w:val="000000"/>
          <w:position w:val="0"/>
        </w:rPr>
        <w:t>ского закрытия. Вторичные дефекты размером 6 мм и менее могут спонтанно закрываться в первые годы жизни, однако скорость закрытия происходит мед</w:t>
        <w:softHyphen/>
        <w:t>леннее, чем при типичных маленьких мышечных де</w:t>
        <w:softHyphen/>
        <w:t>фектах межжелудочковой перегородки.</w:t>
      </w:r>
    </w:p>
    <w:p>
      <w:pPr>
        <w:pStyle w:val="Style30"/>
        <w:numPr>
          <w:ilvl w:val="0"/>
          <w:numId w:val="37"/>
        </w:numPr>
        <w:tabs>
          <w:tab w:leader="none" w:pos="673" w:val="left"/>
        </w:tabs>
        <w:widowControl w:val="0"/>
        <w:keepNext w:val="0"/>
        <w:keepLines w:val="0"/>
        <w:shd w:val="clear" w:color="auto" w:fill="auto"/>
        <w:bidi w:val="0"/>
        <w:spacing w:before="0" w:after="0"/>
        <w:ind w:left="680" w:right="0" w:hanging="240"/>
      </w:pPr>
      <w:r>
        <w:rPr>
          <w:lang w:val="ru-RU" w:eastAsia="ru-RU" w:bidi="ru-RU"/>
          <w:w w:val="100"/>
          <w:spacing w:val="0"/>
          <w:color w:val="000000"/>
          <w:position w:val="0"/>
        </w:rPr>
        <w:t>Новорожденные с ДМПП и застойной сердечной не - достаточностью, а также дети с большим ДМПП, у которых возникла сердечная недостаточность, должны получать лечение, включающее диуретики, дигоксин и препараты, уменьшающие постнагрузку.</w:t>
      </w:r>
    </w:p>
    <w:p>
      <w:pPr>
        <w:pStyle w:val="Style30"/>
        <w:numPr>
          <w:ilvl w:val="0"/>
          <w:numId w:val="37"/>
        </w:numPr>
        <w:tabs>
          <w:tab w:leader="none" w:pos="673" w:val="left"/>
        </w:tabs>
        <w:widowControl w:val="0"/>
        <w:keepNext w:val="0"/>
        <w:keepLines w:val="0"/>
        <w:shd w:val="clear" w:color="auto" w:fill="auto"/>
        <w:bidi w:val="0"/>
        <w:spacing w:before="0" w:after="0"/>
        <w:ind w:left="680" w:right="0" w:hanging="240"/>
      </w:pPr>
      <w:r>
        <w:pict>
          <v:shape id="_x0000_s1178" type="#_x0000_t202" style="position:absolute;margin-left:5.e-002pt;margin-top:622.3pt;width:196.3pt;height:22.05pt;z-index:-125829290;mso-wrap-distance-left:5.pt;mso-wrap-distance-right:19.2pt;mso-wrap-distance-bottom:92.45pt;mso-position-horizontal-relative:margin;mso-position-vertical-relative:margin" fillcolor="#FFFFF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123"/>
                    </w:rPr>
                    <w:t xml:space="preserve">Рис. 18. </w:t>
                  </w:r>
                  <w:r>
                    <w:rPr>
                      <w:rStyle w:val="CharStyle90"/>
                    </w:rPr>
                    <w:t>Двухмерная эхокардиограмма вторичного де</w:t>
                    <w:softHyphen/>
                    <w:t>фекта межжелудочковой перегородки.</w:t>
                  </w:r>
                </w:p>
              </w:txbxContent>
            </v:textbox>
            <w10:wrap type="topAndBottom" anchorx="margin" anchory="margin"/>
          </v:shape>
        </w:pict>
      </w:r>
      <w:r>
        <w:pict>
          <v:shape id="_x0000_s1179" type="#_x0000_t75" style="position:absolute;margin-left:215.5pt;margin-top:447.1pt;width:278.4pt;height:226.1pt;z-index:-125829289;mso-wrap-distance-left:5.pt;mso-wrap-distance-right:5.pt;mso-wrap-distance-bottom:63.6pt;mso-position-horizontal-relative:margin;mso-position-vertical-relative:margin" wrapcoords="0 0 21600 0 21600 21600 0 21600 0 0">
            <v:imagedata r:id="rId240" r:href="rId241"/>
            <w10:wrap type="topAndBottom" anchorx="margin" anchory="margin"/>
          </v:shape>
        </w:pict>
      </w:r>
      <w:r>
        <w:pict>
          <v:shape id="_x0000_s1180" type="#_x0000_t75" style="position:absolute;margin-left:147.6pt;margin-top:736.8pt;width:209.75pt;height:14.9pt;z-index:-125829288;mso-wrap-distance-left:147.6pt;mso-wrap-distance-right:137.5pt;mso-wrap-distance-bottom:10.8pt;mso-position-horizontal-relative:margin;mso-position-vertical-relative:margin" wrapcoords="0 0 21600 0 21600 21600 0 21600 0 0">
            <v:imagedata r:id="rId242" r:href="rId243"/>
            <w10:wrap type="topAndBottom" anchorx="margin" anchory="margin"/>
          </v:shape>
        </w:pict>
      </w:r>
      <w:r>
        <w:rPr>
          <w:lang w:val="ru-RU" w:eastAsia="ru-RU" w:bidi="ru-RU"/>
          <w:w w:val="100"/>
          <w:spacing w:val="0"/>
          <w:color w:val="000000"/>
          <w:position w:val="0"/>
        </w:rPr>
        <w:t>Аритмия в сочетании с ДМПП редко наблюдается у детей, но появляется с возрастом. Мерцательная аритмия у больных с ДМПП возникает после 40 лет. Аритмия обусловлена перерастяжением предсердия и в ряде случаев может потребовать антиаритмической терапии до проведения хирургической коррекции.</w:t>
      </w:r>
      <w:r>
        <w:br w:type="page"/>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многих детей с ДМПП могут возникать повторные инфекции респираторного тракта, которые толерант- ны к традиционному лечению.</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Профилактика инфекционного эндокардита больным с ДМПП не рекомендуется, но может быть показана при первичном ДМПП с митральной регургитацией.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Проводится плановое хирургическое закрытие де</w:t>
        <w:softHyphen/>
        <w:t>фекта. Экстренное закрытие дефекта осуществляется в случае парадоксальной эмболии, приводящей к ин</w:t>
        <w:softHyphen/>
        <w:t>сульту мозга.</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Наиболее часто проводится ушивание дефекта или закрытие заплатой.</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 все дети с ДМПП являются кандидатами на хи</w:t>
        <w:softHyphen/>
        <w:t>рургическое закрытие дефекта, операция показана детям с клинически значимым лево-правосторонним шунтом.</w:t>
      </w:r>
    </w:p>
    <w:p>
      <w:pPr>
        <w:pStyle w:val="Style30"/>
        <w:numPr>
          <w:ilvl w:val="0"/>
          <w:numId w:val="3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ведущим показанием к операции является отно</w:t>
        <w:softHyphen/>
        <w:t>шение легочного к системному объему крови 1,5:1 и более;</w:t>
      </w:r>
    </w:p>
    <w:p>
      <w:pPr>
        <w:pStyle w:val="Style30"/>
        <w:numPr>
          <w:ilvl w:val="0"/>
          <w:numId w:val="3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поскольку катетеризация сердца при ДМПП прак</w:t>
        <w:softHyphen/>
        <w:t>тически не проводится, то обнаружение дилатации правого предсердия и правого желудочка по дан</w:t>
        <w:softHyphen/>
        <w:t>ным эхокардиографии является показанием к про</w:t>
        <w:softHyphen/>
        <w:t>ведению операции;</w:t>
      </w:r>
    </w:p>
    <w:p>
      <w:pPr>
        <w:pStyle w:val="Style30"/>
        <w:numPr>
          <w:ilvl w:val="0"/>
          <w:numId w:val="3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маленький межпредсердный шунт может быть об</w:t>
        <w:softHyphen/>
        <w:t>наружен у детей с небольшими размерами дефек</w:t>
        <w:softHyphen/>
        <w:t>та, но с высокой легочной гипертензией.</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идеале хирургическая коррекция порока должна осу</w:t>
        <w:softHyphen/>
        <w:t>ществляться у детей в возрасте 2-4 лет, однако она мо</w:t>
        <w:softHyphen/>
        <w:t>жет быть проведена раньше, если у ребенка наблюда</w:t>
        <w:softHyphen/>
        <w:t>ются признаки застойной сердечной недостаточности.</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Операционная смертность детей с ДМПП очень низ</w:t>
        <w:softHyphen/>
        <w:t>кая, если порок протекал в неосложненной форме.</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Послеоперационная смертность у детей с ДМПП обусловлена накоплением жидкости в перикарде, что наблюдается практически в 1/3 случаев. В случае воз</w:t>
        <w:softHyphen/>
        <w:t>никновения тампонады показано экстренное прове</w:t>
        <w:softHyphen/>
        <w:t>дение перикардиоцентеза.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Ребенок должен наблюдаться специалистом кардио</w:t>
        <w:softHyphen/>
        <w:t>логического центра. Особое внимание следует обра</w:t>
        <w:softHyphen/>
        <w:t>щать на возникновение признаков сердечной недо</w:t>
        <w:softHyphen/>
        <w:t>статочности и признаков легочной гипертензии. Контрольное обследование осуществляется с помо</w:t>
        <w:softHyphen/>
        <w:t>щью электрокардиографии и эхокардиографии.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Активность</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неосложненным ДМПП не требуют ограниче</w:t>
        <w:softHyphen/>
        <w:t>ний в физической активности.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ДМПП обычно протекает бессимптомно, однако в ряде случаев дети имеют повышенный риск ослож</w:t>
        <w:softHyphen/>
        <w:t>нений, таких как инфекционный эндокардит (осо</w:t>
        <w:softHyphen/>
        <w:t>бенно при первичном ДМПП в сочетании с митраль</w:t>
        <w:softHyphen/>
        <w:t>ной недостаточностью) и бронхолегочная инфекция.</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большим ДМПП имеют высокий риск ослож</w:t>
        <w:softHyphen/>
        <w:t>нений, таких как застойная сердечная недостаточ</w:t>
        <w:softHyphen/>
        <w:t>ность, легочная гипертензия и аритмии. Эти осложне</w:t>
        <w:softHyphen/>
        <w:t>ния в основном появляются в подростковом возрасте.</w:t>
      </w:r>
    </w:p>
    <w:p>
      <w:pPr>
        <w:pStyle w:val="Style30"/>
        <w:numPr>
          <w:ilvl w:val="0"/>
          <w:numId w:val="3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Острый мозговой инсульт в результате парадоксаль</w:t>
        <w:softHyphen/>
        <w:t>ной эмболии наблюдается у 0,8% взрослых пациентов с ДМПП и открытым овальным окном.</w:t>
      </w:r>
    </w:p>
    <w:p>
      <w:pPr>
        <w:pStyle w:val="Style92"/>
        <w:widowControl w:val="0"/>
        <w:keepNext/>
        <w:keepLines/>
        <w:shd w:val="clear" w:color="auto" w:fill="auto"/>
        <w:bidi w:val="0"/>
        <w:spacing w:before="0" w:after="0"/>
        <w:ind w:left="520" w:right="0" w:hanging="240"/>
      </w:pPr>
      <w:r>
        <w:br w:type="column"/>
      </w:r>
      <w:bookmarkStart w:id="320" w:name="bookmark320"/>
      <w:r>
        <w:rPr>
          <w:lang w:val="ru-RU" w:eastAsia="ru-RU" w:bidi="ru-RU"/>
          <w:w w:val="100"/>
          <w:spacing w:val="0"/>
          <w:color w:val="000000"/>
          <w:position w:val="0"/>
        </w:rPr>
        <w:t>Прогноз</w:t>
      </w:r>
      <w:bookmarkEnd w:id="320"/>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у детей с ДМПП благоприятный, хирургиче</w:t>
        <w:softHyphen/>
        <w:t>ская смертность менее 1%.</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Приблизительно 15% вторичных дефектов межпред</w:t>
        <w:softHyphen/>
        <w:t>сердной перегородки закрываются спонтанно. Спон</w:t>
        <w:softHyphen/>
        <w:t>танного закрытия дефекта не наблюдается при других типах ДМПП.</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Небольшое число больных с первичным ДМПП и аномалией митрального клапана нуждаются в по</w:t>
        <w:softHyphen/>
        <w:t>вторной операции из-за развития дисфункции мит</w:t>
        <w:softHyphen/>
        <w:t>рального клапана в последующие периоды жизни.</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Плохой прогноз заболевания наблюдается в следую</w:t>
        <w:softHyphen/>
        <w:t>щих группах пациентов с ДМПП:</w:t>
      </w:r>
    </w:p>
    <w:p>
      <w:pPr>
        <w:pStyle w:val="Style30"/>
        <w:numPr>
          <w:ilvl w:val="0"/>
          <w:numId w:val="39"/>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примерно в 1% случаев у новорожденных с боль</w:t>
        <w:softHyphen/>
        <w:t>шим (нерестриктивным) ДМПП определяется по данным катетеризации или допплерэхокардиогра</w:t>
        <w:softHyphen/>
        <w:t>фии давление в легочной артерии, эквивалентное системному;</w:t>
      </w:r>
    </w:p>
    <w:p>
      <w:pPr>
        <w:pStyle w:val="Style30"/>
        <w:numPr>
          <w:ilvl w:val="0"/>
          <w:numId w:val="39"/>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 пациентов с недиагностированным ДМПП в дет</w:t>
        <w:softHyphen/>
        <w:t>стве может развиться аритмия (например, фибрил</w:t>
        <w:softHyphen/>
        <w:t>ляция предсердий) или легочная гипертензия. У взрослых больных недиагностированный ДМПП может манифестировать застойной сердеч</w:t>
        <w:softHyphen/>
        <w:t>ной недостаточностью;</w:t>
      </w:r>
    </w:p>
    <w:p>
      <w:pPr>
        <w:pStyle w:val="Style30"/>
        <w:numPr>
          <w:ilvl w:val="0"/>
          <w:numId w:val="39"/>
        </w:numPr>
        <w:tabs>
          <w:tab w:leader="none" w:pos="755" w:val="left"/>
        </w:tabs>
        <w:widowControl w:val="0"/>
        <w:keepNext w:val="0"/>
        <w:keepLines w:val="0"/>
        <w:shd w:val="clear" w:color="auto" w:fill="auto"/>
        <w:bidi w:val="0"/>
        <w:spacing w:before="0" w:after="161"/>
        <w:ind w:left="740" w:right="0" w:hanging="220"/>
      </w:pPr>
      <w:r>
        <w:rPr>
          <w:lang w:val="ru-RU" w:eastAsia="ru-RU" w:bidi="ru-RU"/>
          <w:w w:val="100"/>
          <w:spacing w:val="0"/>
          <w:color w:val="000000"/>
          <w:position w:val="0"/>
        </w:rPr>
        <w:t>больные, у которых ДМПП обусловил эмболичес</w:t>
        <w:softHyphen/>
        <w:t>кий инсульт мозга.</w:t>
      </w:r>
    </w:p>
    <w:p>
      <w:pPr>
        <w:pStyle w:val="Style48"/>
        <w:widowControl w:val="0"/>
        <w:keepNext/>
        <w:keepLines/>
        <w:shd w:val="clear" w:color="auto" w:fill="auto"/>
        <w:bidi w:val="0"/>
        <w:jc w:val="left"/>
        <w:spacing w:before="0" w:after="79" w:line="240" w:lineRule="exact"/>
        <w:ind w:left="0" w:right="0" w:firstLine="0"/>
      </w:pPr>
      <w:bookmarkStart w:id="321" w:name="bookmark321"/>
      <w:r>
        <w:rPr>
          <w:lang w:val="ru-RU" w:eastAsia="ru-RU" w:bidi="ru-RU"/>
          <w:w w:val="100"/>
          <w:spacing w:val="0"/>
          <w:color w:val="000000"/>
          <w:position w:val="0"/>
        </w:rPr>
        <w:t>Дефект межпредсердной перегородки первичный</w:t>
      </w:r>
      <w:bookmarkEnd w:id="321"/>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Определение</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Дефект межпредсердной перегородки в области атрио</w:t>
        <w:softHyphen/>
        <w:t>вентрикулярного соединения.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Введение</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Первичный дефект межпредсердной перегородки ло - кализуется в передней и нижней части предсердной перегородки в области атриовентрикулярного соеди</w:t>
        <w:softHyphen/>
        <w:t>нения. Во время фетального развития рудиментарное предсердие разделяется первичной перегородкой за исключением переднего и нижнего пространства, об</w:t>
        <w:softHyphen/>
        <w:t xml:space="preserve">разующего первичное отверстие </w:t>
      </w:r>
      <w:r>
        <w:rPr>
          <w:lang w:val="en-US" w:eastAsia="en-US" w:bidi="en-US"/>
          <w:w w:val="100"/>
          <w:spacing w:val="0"/>
          <w:color w:val="000000"/>
          <w:position w:val="0"/>
        </w:rPr>
        <w:t xml:space="preserve">(ostium primum). </w:t>
      </w:r>
      <w:r>
        <w:rPr>
          <w:lang w:val="ru-RU" w:eastAsia="ru-RU" w:bidi="ru-RU"/>
          <w:w w:val="100"/>
          <w:spacing w:val="0"/>
          <w:color w:val="000000"/>
          <w:position w:val="0"/>
        </w:rPr>
        <w:t>Первичное отверстие сливается с эндокардиальными подушечками примерно на пятой неделе гестации. Аномалия данного слияния образует первичный де</w:t>
        <w:softHyphen/>
        <w:t>фект межпредсердной перегородки. Первичный ДМПП может существовать изолированно, однако чаще сочетается с расщеплением передней створки митрального клапана (частично открытый АВК).</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Первичный ДМПП наиболее часто сочетается с син</w:t>
        <w:softHyphen/>
        <w:t>дромом Дауна (трисомия 21). Частота трисомии 21 составляет 1 на 800 новорожденных и увеличивается при возрасте матери более 40 лет.</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ВПС при синдроме Дауна составляет 40-50%. Приблизительно 65% из них проявляются первич</w:t>
        <w:softHyphen/>
        <w:t>ным ДМПП как составной частью открытого атрио</w:t>
        <w:softHyphen/>
        <w:t>вентрикулярного канала.</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Риск рождения ребенка с первичным ДМПП от ро</w:t>
        <w:softHyphen/>
        <w:t>дителей с аналогичным ВПС составляет 9-14%.</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numPr>
          <w:ilvl w:val="0"/>
          <w:numId w:val="37"/>
        </w:numPr>
        <w:tabs>
          <w:tab w:leader="none" w:pos="519" w:val="left"/>
        </w:tabs>
        <w:widowControl w:val="0"/>
        <w:keepNext w:val="0"/>
        <w:keepLines w:val="0"/>
        <w:shd w:val="clear" w:color="auto" w:fill="auto"/>
        <w:bidi w:val="0"/>
        <w:spacing w:before="0" w:after="0"/>
        <w:ind w:left="520" w:right="0" w:hanging="240"/>
      </w:pPr>
      <w:r>
        <w:pict>
          <v:shape id="_x0000_s1181" type="#_x0000_t75" style="position:absolute;margin-left:130.9pt;margin-top:736.8pt;width:209.75pt;height:14.9pt;z-index:-125829287;mso-wrap-distance-left:124.8pt;mso-wrap-distance-right:148.1pt;mso-wrap-distance-bottom:10.8pt;mso-position-horizontal-relative:margin;mso-position-vertical-relative:margin" wrapcoords="0 0 21600 0 21600 21600 0 21600 0 0">
            <v:imagedata r:id="rId244" r:href="rId245"/>
            <w10:wrap type="topAndBottom" anchorx="margin" anchory="margin"/>
          </v:shape>
        </w:pict>
      </w:r>
      <w:r>
        <w:rPr>
          <w:lang w:val="ru-RU" w:eastAsia="ru-RU" w:bidi="ru-RU"/>
          <w:w w:val="100"/>
          <w:spacing w:val="0"/>
          <w:color w:val="000000"/>
          <w:position w:val="0"/>
        </w:rPr>
        <w:t>Порок встречается с одинаковой частотой у мальчи</w:t>
        <w:softHyphen/>
        <w:t>ков и девочек.</w:t>
      </w:r>
      <w:r>
        <w:br w:type="page"/>
      </w:r>
    </w:p>
    <w:p>
      <w:pPr>
        <w:pStyle w:val="Style92"/>
        <w:widowControl w:val="0"/>
        <w:keepNext/>
        <w:keepLines/>
        <w:shd w:val="clear" w:color="auto" w:fill="auto"/>
        <w:bidi w:val="0"/>
        <w:spacing w:before="0" w:after="0"/>
        <w:ind w:left="280" w:right="0"/>
      </w:pPr>
      <w:bookmarkStart w:id="322" w:name="bookmark322"/>
      <w:r>
        <w:rPr>
          <w:lang w:val="ru-RU" w:eastAsia="ru-RU" w:bidi="ru-RU"/>
          <w:w w:val="100"/>
          <w:spacing w:val="0"/>
          <w:color w:val="000000"/>
          <w:position w:val="0"/>
        </w:rPr>
        <w:t>Возраст</w:t>
      </w:r>
      <w:bookmarkEnd w:id="322"/>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больных с небольшим дефектом порок может быть выявлен в любом возрасте по наличию шума и харак</w:t>
        <w:softHyphen/>
        <w:t>терных электрокардиографических изменений.</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большом дефекте порок проявляется в возрасте 1-2 лет.</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Причины</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 нормальными хромосомами причина пер</w:t>
        <w:softHyphen/>
        <w:t>вичного ДМПП не установлена.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Некоторые случаи первичного ДМПП генетически обусловлены и наиболее часто сочетаются с трисоми- ей 21.</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Патофизиология</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Шунтирование при первичном ДМПП осуществля</w:t>
        <w:softHyphen/>
        <w:t>ется преимущественно слева направо, если отсутству</w:t>
        <w:softHyphen/>
        <w:t>ет легочное сосудистое заболевание или обструкция выводного тракта правого желудочка. В результате сброса крови происходит объемная перегрузка право</w:t>
        <w:softHyphen/>
        <w:t>го предсердия, правого желудочка и легочной цирку</w:t>
        <w:softHyphen/>
        <w:t>ляции.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 небольшим дефектом порок протекает бес</w:t>
        <w:softHyphen/>
        <w:t>симптомно.</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значительной объемной перегрузке легочной циркуляции порок проявляется у новорожденных и манифестирует застойной сердечной недостаточно</w:t>
        <w:softHyphen/>
        <w:t>стью. Тахикардия и тахипноэ присутствуют в покое и значительно усиливаются при беспокойстве ребен</w:t>
        <w:softHyphen/>
        <w:t>ка, плаче, кормлении. Нарушение питания усиливает метаболические расстройства.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Физикальное обследование:</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 небольшим первичным ДМПП развитие со</w:t>
        <w:softHyphen/>
        <w:t>ответствует возрасту, отставания в физической актив</w:t>
        <w:softHyphen/>
        <w:t>ности не наблюдается.</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Данные кардиологического обследования при изоли</w:t>
        <w:softHyphen/>
        <w:t>рованном первичном ДМПП аналогичны другим формам ДМПП. В типичных случаях определяется усиленный правожелудочковый толчок, вторичный к объемной перегрузке. Первый тон сердца не изме</w:t>
        <w:softHyphen/>
        <w:t>нен. Второй тон акцентуирован и расщеплен. Систо</w:t>
        <w:softHyphen/>
        <w:t>лический шум изгнания выслушивается вдоль левого края грудины и проводится на легочные поля. Систо</w:t>
        <w:softHyphen/>
        <w:t>лические щелчки не определяются. Может выслуши</w:t>
        <w:softHyphen/>
        <w:t>ваться среднедиастолический шум относительного стеноза трикуспидального клапана при большом де</w:t>
        <w:softHyphen/>
        <w:t>фекте перегородки, когда отношение легочного к си</w:t>
        <w:softHyphen/>
        <w:t>стемному кровотоку больше 2:1. Шум лучше выслу</w:t>
        <w:softHyphen/>
        <w:t>шивается в нижней части грудины слева и эпигаст</w:t>
        <w:softHyphen/>
        <w:t>ральной области.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возникновении легочной гипертензии развива</w:t>
        <w:softHyphen/>
        <w:t>ется значительный акцент легочного компонента второго тона. Второй тон становится узким по про</w:t>
        <w:softHyphen/>
        <w:t>должительности, аортальный и легочный компонен</w:t>
        <w:softHyphen/>
        <w:t>ты второго тона сливаются. Диастолический трикус</w:t>
        <w:softHyphen/>
        <w:t>пидальный щелчок (шум) исчезает. Появляется голо</w:t>
        <w:softHyphen/>
        <w:t>систолический шум трикуспидальной регургитации, свидетельствующий о дилатации правого желудочка. Шум обычно продолжительный и локализуется в нижней части грудины слева. Может появиться ран</w:t>
        <w:softHyphen/>
        <w:t>ний диастолический шум Грехем-Стилла, связанный с дилатацией ствола легочной артерии и относитель</w:t>
        <w:softHyphen/>
        <w:t>ной недостаточностью клапана. Шум локализуется</w:t>
        <w:br w:type="column"/>
        <w:t xml:space="preserve">вдоль левого края грудины, носит убывающий </w:t>
      </w:r>
      <w:r>
        <w:rPr>
          <w:lang w:val="en-US" w:eastAsia="en-US" w:bidi="en-US"/>
          <w:w w:val="100"/>
          <w:spacing w:val="0"/>
          <w:color w:val="000000"/>
          <w:position w:val="0"/>
        </w:rPr>
        <w:t xml:space="preserve">(decrescendo) </w:t>
      </w:r>
      <w:r>
        <w:rPr>
          <w:lang w:val="ru-RU" w:eastAsia="ru-RU" w:bidi="ru-RU"/>
          <w:w w:val="100"/>
          <w:spacing w:val="0"/>
          <w:color w:val="000000"/>
          <w:position w:val="0"/>
        </w:rPr>
        <w:t>характер.</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Электрокардиографические изменения связаны с аномальным расположением атриовентрикулярно</w:t>
        <w:softHyphen/>
        <w:t xml:space="preserve">го узла, который смещен кзади и книзу, в результате чего часто отмечается задержка </w:t>
      </w:r>
      <w:r>
        <w:rPr>
          <w:lang w:val="en-US" w:eastAsia="en-US" w:bidi="en-US"/>
          <w:w w:val="100"/>
          <w:spacing w:val="0"/>
          <w:color w:val="000000"/>
          <w:position w:val="0"/>
        </w:rPr>
        <w:t xml:space="preserve">P-R </w:t>
      </w:r>
      <w:r>
        <w:rPr>
          <w:lang w:val="ru-RU" w:eastAsia="ru-RU" w:bidi="ru-RU"/>
          <w:w w:val="100"/>
          <w:spacing w:val="0"/>
          <w:color w:val="000000"/>
          <w:position w:val="0"/>
        </w:rPr>
        <w:t>проведения.</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Электрическая ось сердца при первичном ДМПП по - вернута против часовой стрелки во фронтальной пло</w:t>
        <w:softHyphen/>
        <w:t xml:space="preserve">скости в 95% случаев. Определяется зубец </w:t>
      </w:r>
      <w:r>
        <w:rPr>
          <w:lang w:val="en-US" w:eastAsia="en-US" w:bidi="en-US"/>
          <w:w w:val="100"/>
          <w:spacing w:val="0"/>
          <w:color w:val="000000"/>
          <w:position w:val="0"/>
        </w:rPr>
        <w:t xml:space="preserve">Q </w:t>
      </w:r>
      <w:r>
        <w:rPr>
          <w:lang w:val="ru-RU" w:eastAsia="ru-RU" w:bidi="ru-RU"/>
          <w:w w:val="100"/>
          <w:spacing w:val="0"/>
          <w:color w:val="000000"/>
          <w:position w:val="0"/>
        </w:rPr>
        <w:t>в отведе</w:t>
        <w:softHyphen/>
        <w:t xml:space="preserve">ниях I и </w:t>
      </w:r>
      <w:r>
        <w:rPr>
          <w:lang w:val="en-US" w:eastAsia="en-US" w:bidi="en-US"/>
          <w:w w:val="100"/>
          <w:spacing w:val="0"/>
          <w:color w:val="000000"/>
          <w:position w:val="0"/>
        </w:rPr>
        <w:t>aVL.</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Задержка проведения импульса по предсердиям и че</w:t>
        <w:softHyphen/>
        <w:t>рез атриовентрикулярный узел обусловливает возник</w:t>
        <w:softHyphen/>
        <w:t xml:space="preserve">новение атриовентрикулярной блокады </w:t>
      </w:r>
      <w:r>
        <w:rPr>
          <w:lang w:val="en-US" w:eastAsia="en-US" w:bidi="en-US"/>
          <w:w w:val="100"/>
          <w:spacing w:val="0"/>
          <w:color w:val="000000"/>
          <w:position w:val="0"/>
        </w:rPr>
        <w:t xml:space="preserve">I </w:t>
      </w:r>
      <w:r>
        <w:rPr>
          <w:lang w:val="ru-RU" w:eastAsia="ru-RU" w:bidi="ru-RU"/>
          <w:w w:val="100"/>
          <w:spacing w:val="0"/>
          <w:color w:val="000000"/>
          <w:position w:val="0"/>
        </w:rPr>
        <w:t>степени.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Изменения в правых грудных отведениях аналогичны таковым при вторичном ДМПП. </w:t>
      </w:r>
      <w:r>
        <w:rPr>
          <w:lang w:val="en-US" w:eastAsia="en-US" w:bidi="en-US"/>
          <w:w w:val="100"/>
          <w:spacing w:val="0"/>
          <w:color w:val="000000"/>
          <w:position w:val="0"/>
        </w:rPr>
        <w:t xml:space="preserve">QRS </w:t>
      </w:r>
      <w:r>
        <w:rPr>
          <w:lang w:val="ru-RU" w:eastAsia="ru-RU" w:bidi="ru-RU"/>
          <w:w w:val="100"/>
          <w:spacing w:val="0"/>
          <w:color w:val="000000"/>
          <w:position w:val="0"/>
        </w:rPr>
        <w:t>комплекс име</w:t>
        <w:softHyphen/>
        <w:t xml:space="preserve">ет форму </w:t>
      </w:r>
      <w:r>
        <w:rPr>
          <w:lang w:val="en-US" w:eastAsia="en-US" w:bidi="en-US"/>
          <w:w w:val="100"/>
          <w:spacing w:val="0"/>
          <w:color w:val="000000"/>
          <w:position w:val="0"/>
        </w:rPr>
        <w:t xml:space="preserve">rSr'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rsR' </w:t>
      </w:r>
      <w:r>
        <w:rPr>
          <w:lang w:val="ru-RU" w:eastAsia="ru-RU" w:bidi="ru-RU"/>
          <w:w w:val="100"/>
          <w:spacing w:val="0"/>
          <w:color w:val="000000"/>
          <w:position w:val="0"/>
        </w:rPr>
        <w:t>и формируется из-за гипертро</w:t>
        <w:softHyphen/>
        <w:t>фии и перегрузки правого желудочка, а также об</w:t>
        <w:softHyphen/>
        <w:t>струкции выходного тракта правого желудочка.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первичном ДМПП определяется расширение правых отделов сердца, в различной степени выра</w:t>
        <w:softHyphen/>
        <w:t>женности усиление сосудистого рисунка и дилатация ствола легочной артерии.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пациентов с небольшим шунтом при первичном ДМПП рентгенологическими проявлениями являют</w:t>
        <w:softHyphen/>
        <w:t>ся дилатация правого предсердия, правого желудочка и застойные явления в легких.</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пациентов с большим лево-правым шунтом выяв</w:t>
        <w:softHyphen/>
        <w:t>ляются рентгенологические признаки застойной сер</w:t>
        <w:softHyphen/>
        <w:t>дечной недостаточности. Сердце увеличено в попе</w:t>
        <w:softHyphen/>
        <w:t>речнике, кардиоторакальное отношение больше 50%. Легочный сосудистый рисунок усилен пропорцио</w:t>
        <w:softHyphen/>
        <w:t>нально отношению легочного кровотока к системно</w:t>
        <w:softHyphen/>
        <w:t xml:space="preserve">му </w:t>
      </w:r>
      <w:r>
        <w:rPr>
          <w:lang w:val="en-US" w:eastAsia="en-US" w:bidi="en-US"/>
          <w:w w:val="100"/>
          <w:spacing w:val="0"/>
          <w:color w:val="000000"/>
          <w:position w:val="0"/>
        </w:rPr>
        <w:t xml:space="preserve">(Qp:Qs). </w:t>
      </w:r>
      <w:r>
        <w:rPr>
          <w:lang w:val="ru-RU" w:eastAsia="ru-RU" w:bidi="ru-RU"/>
          <w:w w:val="100"/>
          <w:spacing w:val="0"/>
          <w:color w:val="000000"/>
          <w:position w:val="0"/>
        </w:rPr>
        <w:t>Легочный ствол и проксимальная часть правой легочной артерии дилатированы, восходящая аорта и дуга относительно маленькие. Правое пред</w:t>
        <w:softHyphen/>
        <w:t>сердие и правый желудочек значительно увеличены.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 подтверждает диагноз первичного ДМПП. При цветовой или импульсной допплерогра</w:t>
        <w:softHyphen/>
        <w:t>фии устанавливается межпредсердный шунт и отсут</w:t>
        <w:softHyphen/>
        <w:t>ствие митральной регургитации.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Двухмерную эхокардиографию проводят в проекции 4-х камер с верхушки сердца или субкостально. Пер</w:t>
        <w:softHyphen/>
        <w:t>вичный дефект визуализируется в области централь</w:t>
        <w:softHyphen/>
        <w:t>ного фиброзного тела в виде «обрыва» в нижней час</w:t>
        <w:softHyphen/>
        <w:t>ти предсердной перегородки. В этой проекции осу</w:t>
        <w:softHyphen/>
        <w:t>ществляется дифференциальная диагностика пер</w:t>
        <w:softHyphen/>
        <w:t>вичного ДМПП от дефекта в области коронарного синуса. Трудности в диагностике возникают, когда коронарный синус дилатирован и дренирует в верх</w:t>
        <w:softHyphen/>
        <w:t>нюю полую вену.</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Допплерография:</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pict>
          <v:shape id="_x0000_s1182" type="#_x0000_t75" style="position:absolute;margin-left:142.3pt;margin-top:736.8pt;width:209.75pt;height:14.9pt;z-index:-125829286;mso-wrap-distance-left:136.1pt;mso-wrap-distance-right:136.55pt;mso-wrap-distance-bottom:10.8pt;mso-position-horizontal-relative:margin;mso-position-vertical-relative:margin" wrapcoords="0 0 21600 0 21600 21600 0 21600 0 0">
            <v:imagedata r:id="rId246" r:href="rId247"/>
            <w10:wrap type="topAndBottom" anchorx="margin" anchory="margin"/>
          </v:shape>
        </w:pict>
      </w:r>
      <w:r>
        <w:rPr>
          <w:lang w:val="ru-RU" w:eastAsia="ru-RU" w:bidi="ru-RU"/>
          <w:w w:val="100"/>
          <w:spacing w:val="0"/>
          <w:color w:val="000000"/>
          <w:position w:val="0"/>
        </w:rPr>
        <w:t>Проводится выявление шунта на уровне предсердий. Это исследование лучше проводить из длинной суб</w:t>
        <w:softHyphen/>
        <w:t>костальной проекции. Трикуспидальная регургита- ция в типичных случаях минимальная при отсутствии легочной гипертензии. Допплерография позволяет также дифференцировать первичный ДМПП от ди- латированного коронарного синуса.</w:t>
      </w:r>
      <w:r>
        <w:br w:type="page"/>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Допплеровское исследование в импульсном или по</w:t>
        <w:softHyphen/>
        <w:t>стоянном режимах определяет наличие и степень об</w:t>
        <w:softHyphen/>
        <w:t>струкции выходного тракта левого желудочка, отно</w:t>
        <w:softHyphen/>
        <w:t>сительный стеноз легочной артерии. Расчет пиковой скорости трикуспидальной регургитации позволяет определить давление в правом желудочке. Систоли</w:t>
        <w:softHyphen/>
        <w:t>ческое артериальное давление в легочной артерии бо</w:t>
        <w:softHyphen/>
        <w:t>лее 25 мм рт. ст. указывает на наличие легочной арте</w:t>
        <w:softHyphen/>
        <w:t>риальной гипертензии. Определение легочного арте</w:t>
        <w:softHyphen/>
        <w:t>риального давления методом постоянного допплера невозможно при наличии у больного левожелудочко- вого-правопредсердного шунта, поскольку поток че</w:t>
        <w:softHyphen/>
        <w:t>рез данный шунт не позволяет выявить регургитант- ный трикуспидальный поток.</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Поскольку полная информация о пороке может быть получена с помощью эхокардиографического иссле</w:t>
        <w:softHyphen/>
        <w:t>дования, сердечная катетеризация проводится в ред</w:t>
        <w:softHyphen/>
        <w:t>ких случаях, преимущественно у больных с подозре</w:t>
        <w:softHyphen/>
        <w:t>нием на развитие высокой легочной гипертензии.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Гемодинамические показатели и насыщение крови кислородом у пациентов с первичным ДМПП прак</w:t>
        <w:softHyphen/>
        <w:t>тически нормальные. Увеличенная сатурация кисло</w:t>
        <w:softHyphen/>
        <w:t>родом в правом предсердии может быть обусловлена наличием сообщения между камерами, при этом уве</w:t>
        <w:softHyphen/>
        <w:t>личения насыщения крови кислородом в правом же</w:t>
        <w:softHyphen/>
        <w:t>лудочке не наблюдается. Отношение легочного к си</w:t>
        <w:softHyphen/>
        <w:t xml:space="preserve">стемному кровотоку </w:t>
      </w:r>
      <w:r>
        <w:rPr>
          <w:lang w:val="en-US" w:eastAsia="en-US" w:bidi="en-US"/>
          <w:w w:val="100"/>
          <w:spacing w:val="0"/>
          <w:color w:val="000000"/>
          <w:position w:val="0"/>
        </w:rPr>
        <w:t xml:space="preserve">(Qp:Qs) </w:t>
      </w:r>
      <w:r>
        <w:rPr>
          <w:lang w:val="ru-RU" w:eastAsia="ru-RU" w:bidi="ru-RU"/>
          <w:w w:val="100"/>
          <w:spacing w:val="0"/>
          <w:color w:val="000000"/>
          <w:position w:val="0"/>
        </w:rPr>
        <w:t>2:1 является гемодина</w:t>
        <w:softHyphen/>
        <w:t>мически значимым.</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Проводится измерение давления в правом желудочке и легочной артерии с расчетом легочного сосудистого сопротивления.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Ангиокардиография:</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Применяется для исключения межжелудочкового дефекта, митральной регургитации и обструкции вы</w:t>
        <w:softHyphen/>
        <w:t>ходного тракта левого желудочка. Контрастное ве</w:t>
        <w:softHyphen/>
        <w:t>щество, введенное в правую верхнюю легочную вену, позволяет визуализировать первичный ДМПП и со</w:t>
        <w:softHyphen/>
        <w:t>путствующие дефекту аномалии. Контрастное веще</w:t>
        <w:softHyphen/>
        <w:t>ство, введенное в правый желудочек, очерчивает вы</w:t>
        <w:softHyphen/>
        <w:t>ходной тракт правого желудочка и легочные артерии. Контрастирование, проведенное через аорту или ле</w:t>
        <w:softHyphen/>
        <w:t>гочную артерию, может гарантировать отсутствие от</w:t>
        <w:softHyphen/>
        <w:t>крытого артериального протока, коарктации аорты, аномального дренажа легочных вен. Ангиопульмо- нография показана больным с первичным ДМПП и подозрением на обструктивное легочное сосудис</w:t>
        <w:softHyphen/>
        <w:t>тое заболевание.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Дифференциальный диагноз</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Вторичный дефект межпредсердной перегородки.</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Дефект межпредсердной перегородки в области ко</w:t>
        <w:softHyphen/>
        <w:t>ронарного синуса.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Дефект межпредсердной перегородки в области ве</w:t>
        <w:softHyphen/>
        <w:t>нозного синуса.</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Частично открытый атриовентрикулярный канал.</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Клапанный стеноз легочной артерии.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37"/>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Первичный ДМПП является структурным дефектом, не подвергается спонтанному закрытию и, следова</w:t>
        <w:softHyphen/>
        <w:t>тельно, требует хирургического закрытия. Окклюзия с помощью катетерной техники не проводится из-за особенностей локализации дефекта.</w:t>
      </w:r>
    </w:p>
    <w:p>
      <w:pPr>
        <w:pStyle w:val="Style30"/>
        <w:numPr>
          <w:ilvl w:val="0"/>
          <w:numId w:val="37"/>
        </w:numPr>
        <w:tabs>
          <w:tab w:leader="none" w:pos="513"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Новорожденные с первичным ДМПП и застойной сердечной недостаточностью, у которых возникла сердечная недостаточность, должны получать лече</w:t>
        <w:softHyphen/>
        <w:t>ние, включающее диуретики, дигоксин и препараты, уменьшающие постнагрузку.</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Хирургическое лечение проводится во всех случаях при гемодинамически значимом первичном ДМПП. Мнения о сроках проведения операции противоречивы.</w:t>
      </w:r>
    </w:p>
    <w:p>
      <w:pPr>
        <w:pStyle w:val="Style30"/>
        <w:numPr>
          <w:ilvl w:val="0"/>
          <w:numId w:val="37"/>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Детям с изолированным первичным ДМПП опера</w:t>
        <w:softHyphen/>
        <w:t>ция проводится обычно в возрасте 3-5 лет. Операция может потребоваться раньше при возникновении признаков сердечной недостаточности, плохой пере</w:t>
        <w:softHyphen/>
        <w:t>носимости физических нагрузок. Операция, прове</w:t>
        <w:softHyphen/>
        <w:t>денная в возрасте до 10 лет, снижает риск возникно</w:t>
        <w:softHyphen/>
        <w:t>вения предсердных аритмий и легочного сосудистого заболевания в последующие периоды жизни.</w:t>
      </w:r>
    </w:p>
    <w:p>
      <w:pPr>
        <w:pStyle w:val="Style30"/>
        <w:numPr>
          <w:ilvl w:val="0"/>
          <w:numId w:val="37"/>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Операция проводится путем вскрытия правого пред</w:t>
        <w:softHyphen/>
        <w:t>сердия, дефект закрывается с помощью перикарди</w:t>
        <w:softHyphen/>
        <w:t>альной заплаты.</w:t>
      </w:r>
    </w:p>
    <w:p>
      <w:pPr>
        <w:pStyle w:val="Style30"/>
        <w:numPr>
          <w:ilvl w:val="0"/>
          <w:numId w:val="37"/>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раннем послеоперационном периоде может наблю - даться недостаточная систолическая функция левого желудочка, особенно у больных с предшествующей объемной перегрузкой. В этих случаях требуется ме</w:t>
        <w:softHyphen/>
        <w:t>дикаментозная коррекция инотропными средствами для избежания возникновения дилатации атриовент</w:t>
        <w:softHyphen/>
        <w:t>рикулярного кольца и относительной митральной ре- гургитации. Диуретики назначают с целью предуп</w:t>
        <w:softHyphen/>
        <w:t>реждения объемной перегрузки предсердий. У ряда больных после операции может возникнуть узловой выскальзывающий ритм. В этих случаях проводят временную или постоянную имплантацию кардио</w:t>
        <w:softHyphen/>
        <w:t xml:space="preserve">стимулятора. Имплантация </w:t>
      </w:r>
      <w:r>
        <w:rPr>
          <w:lang w:val="en-US" w:eastAsia="en-US" w:bidi="en-US"/>
          <w:w w:val="100"/>
          <w:spacing w:val="0"/>
          <w:color w:val="000000"/>
          <w:position w:val="0"/>
        </w:rPr>
        <w:t xml:space="preserve">A-V </w:t>
      </w:r>
      <w:r>
        <w:rPr>
          <w:lang w:val="ru-RU" w:eastAsia="ru-RU" w:bidi="ru-RU"/>
          <w:w w:val="100"/>
          <w:spacing w:val="0"/>
          <w:color w:val="000000"/>
          <w:position w:val="0"/>
        </w:rPr>
        <w:t>синхронного кар</w:t>
        <w:softHyphen/>
        <w:t>диостимулятора предупреждает возникновение мит</w:t>
        <w:softHyphen/>
        <w:t>ральной регургитации и увеличивает сердечный вы</w:t>
        <w:softHyphen/>
        <w:t>брос.</w:t>
      </w:r>
    </w:p>
    <w:p>
      <w:pPr>
        <w:pStyle w:val="Style30"/>
        <w:numPr>
          <w:ilvl w:val="0"/>
          <w:numId w:val="37"/>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Другими послеоперационными осложнениями явля</w:t>
        <w:softHyphen/>
        <w:t>ются присоединение инфекционного эндокардита, прогрессирование обструкции выходного тракта ле</w:t>
        <w:softHyphen/>
        <w:t>вого желудочка.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Амбулаторное наблюдение</w:t>
      </w:r>
    </w:p>
    <w:p>
      <w:pPr>
        <w:pStyle w:val="Style30"/>
        <w:numPr>
          <w:ilvl w:val="0"/>
          <w:numId w:val="37"/>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Через 1-2 недели обычно происходит полное восста</w:t>
        <w:softHyphen/>
        <w:t>новление здоровья ребенка. Ему проводят контроль ЭКГ для исключения нарушения атриовентрикуляр</w:t>
        <w:softHyphen/>
        <w:t>ной проводимости и предсердных аритмий. Осущест</w:t>
        <w:softHyphen/>
        <w:t>вляется повторный рентгенологический контроль для исключения выпота в плевру или перикард, оце</w:t>
        <w:softHyphen/>
        <w:t>нивается динамика размера сердца и легочного сосу</w:t>
        <w:softHyphen/>
        <w:t>дистого рисунка. По возможности осуществляется эхокардиографическое исследование для оценки ре</w:t>
        <w:softHyphen/>
        <w:t>зультатов оперативного лечения, исключения выпота в перикарде, инфекционного эндокардита.</w:t>
      </w:r>
    </w:p>
    <w:p>
      <w:pPr>
        <w:pStyle w:val="Style30"/>
        <w:numPr>
          <w:ilvl w:val="0"/>
          <w:numId w:val="37"/>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последующем дети должны проходить регулярный контроль у кардиолога, поскольку возможно развитие митральной и трикуспидальной регургитации, атрио</w:t>
        <w:softHyphen/>
        <w:t>вентрикулярной блокады, присоединение инфекци</w:t>
        <w:softHyphen/>
        <w:t>онного эндокардита. Детям должна проводиться ан</w:t>
        <w:softHyphen/>
        <w:t>тибактериальная профилактика при проведении про</w:t>
        <w:softHyphen/>
        <w:t>цедур, сопряженных с возможностью бактериемии.</w:t>
      </w:r>
    </w:p>
    <w:p>
      <w:pPr>
        <w:pStyle w:val="Style30"/>
        <w:numPr>
          <w:ilvl w:val="0"/>
          <w:numId w:val="37"/>
        </w:numPr>
        <w:tabs>
          <w:tab w:leader="none" w:pos="513" w:val="left"/>
        </w:tabs>
        <w:widowControl w:val="0"/>
        <w:keepNext w:val="0"/>
        <w:keepLines w:val="0"/>
        <w:shd w:val="clear" w:color="auto" w:fill="auto"/>
        <w:bidi w:val="0"/>
        <w:spacing w:before="0" w:after="0"/>
        <w:ind w:left="500" w:right="0" w:hanging="220"/>
      </w:pPr>
      <w:r>
        <w:pict>
          <v:shape id="_x0000_s1183" type="#_x0000_t75" style="position:absolute;margin-left:130.9pt;margin-top:736.8pt;width:209.75pt;height:14.9pt;z-index:-125829285;mso-wrap-distance-left:124.8pt;mso-wrap-distance-right:148.1pt;mso-wrap-distance-bottom:10.8pt;mso-position-horizontal-relative:margin;mso-position-vertical-relative:margin" wrapcoords="0 0 21600 0 21600 21600 0 21600 0 0">
            <v:imagedata r:id="rId248" r:href="rId249"/>
            <w10:wrap type="topAndBottom" anchorx="margin" anchory="margin"/>
          </v:shape>
        </w:pict>
      </w:r>
      <w:r>
        <w:rPr>
          <w:lang w:val="ru-RU" w:eastAsia="ru-RU" w:bidi="ru-RU"/>
          <w:w w:val="100"/>
          <w:spacing w:val="0"/>
          <w:color w:val="000000"/>
          <w:position w:val="0"/>
        </w:rPr>
        <w:t>Детям с небольшим первичным ДМПП проводится регулярное обследование каждые 6 месяцев. Кардио</w:t>
        <w:softHyphen/>
        <w:t>лог оценивает переносимость физических нагрузок</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и симптомы, свидетельствующие об ухудшении тече</w:t>
        <w:softHyphen/>
        <w:t>ния порока. При появлении сердцебиений проводит</w:t>
        <w:softHyphen/>
        <w:t>ся суточный мониторинг ЭКГ по методу Холтера для исключения аритмий. Регулярно, каждые 6 месяцев осуществляется контроль ЭКГ и рентгенография (оценка размеров сердца и легочного кровообраще</w:t>
        <w:softHyphen/>
        <w:t>ния). По возможности проводится повторное эхокар</w:t>
        <w:softHyphen/>
        <w:t>диографическое исследование.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Активность</w:t>
      </w:r>
    </w:p>
    <w:p>
      <w:pPr>
        <w:pStyle w:val="Style30"/>
        <w:numPr>
          <w:ilvl w:val="0"/>
          <w:numId w:val="4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Активность ребенка не ограничивается, если первич</w:t>
        <w:softHyphen/>
        <w:t>ный ДМПП маленький и не сопровождается симпто</w:t>
        <w:softHyphen/>
        <w:t>мами легочной гипертензии.</w:t>
      </w:r>
    </w:p>
    <w:p>
      <w:pPr>
        <w:pStyle w:val="Style30"/>
        <w:numPr>
          <w:ilvl w:val="0"/>
          <w:numId w:val="4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Детям с легочной гипертензией исключаются заня</w:t>
        <w:softHyphen/>
        <w:t>тия спортом.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numPr>
          <w:ilvl w:val="0"/>
          <w:numId w:val="4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Основным осложнением первичного ДМПП являет</w:t>
        <w:softHyphen/>
        <w:t>ся инфекционный эндокардит (2,8%).</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4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Дети с небольшим лево-правым шунтом при первич</w:t>
        <w:softHyphen/>
        <w:t>ном ДМПП, не подвергшиеся оперативному лече</w:t>
        <w:softHyphen/>
        <w:t>нию, имеют относительно низкий риск осложнений. У этих пациентов продолжительность жизни не огра</w:t>
        <w:softHyphen/>
        <w:t>ничена, однако с возрастом возможно возникновение осложнений порока. У неоперированных больных с большим межпредсердным шунтом риск заболевае</w:t>
        <w:softHyphen/>
        <w:t>мости и смертности высокий. Наиболее частыми ос</w:t>
        <w:softHyphen/>
        <w:t>ложнениями являются аритмия, поперечный атрио</w:t>
        <w:softHyphen/>
        <w:t>вентрикулярный блок, рефрактерная сердечная недо</w:t>
        <w:softHyphen/>
        <w:t>статочность, высокая легочная гипертензия. Эти ос</w:t>
        <w:softHyphen/>
        <w:t>ложнения обусловливают раннюю инвалидизацию и смертность. По этой причине прогноз неблагопри</w:t>
        <w:softHyphen/>
        <w:t>ятный, несмотря на проводимую симптоматическую терапию.</w:t>
      </w:r>
    </w:p>
    <w:p>
      <w:pPr>
        <w:pStyle w:val="Style30"/>
        <w:numPr>
          <w:ilvl w:val="0"/>
          <w:numId w:val="43"/>
        </w:numPr>
        <w:tabs>
          <w:tab w:leader="none" w:pos="512" w:val="left"/>
        </w:tabs>
        <w:widowControl w:val="0"/>
        <w:keepNext w:val="0"/>
        <w:keepLines w:val="0"/>
        <w:shd w:val="clear" w:color="auto" w:fill="auto"/>
        <w:bidi w:val="0"/>
        <w:spacing w:before="0" w:after="221"/>
        <w:ind w:left="520" w:right="0" w:hanging="240"/>
      </w:pPr>
      <w:r>
        <w:rPr>
          <w:lang w:val="ru-RU" w:eastAsia="ru-RU" w:bidi="ru-RU"/>
          <w:w w:val="100"/>
          <w:spacing w:val="0"/>
          <w:color w:val="000000"/>
          <w:position w:val="0"/>
        </w:rPr>
        <w:t>Хирургическая коррекция в целом значительно улуч</w:t>
        <w:softHyphen/>
        <w:t>шает прогноз порока.</w:t>
      </w:r>
    </w:p>
    <w:p>
      <w:pPr>
        <w:pStyle w:val="Style48"/>
        <w:widowControl w:val="0"/>
        <w:keepNext/>
        <w:keepLines/>
        <w:shd w:val="clear" w:color="auto" w:fill="auto"/>
        <w:bidi w:val="0"/>
        <w:jc w:val="left"/>
        <w:spacing w:before="0" w:after="79" w:line="240" w:lineRule="exact"/>
        <w:ind w:left="0" w:right="0" w:firstLine="0"/>
      </w:pPr>
      <w:bookmarkStart w:id="323" w:name="bookmark323"/>
      <w:r>
        <w:rPr>
          <w:lang w:val="ru-RU" w:eastAsia="ru-RU" w:bidi="ru-RU"/>
          <w:w w:val="100"/>
          <w:spacing w:val="0"/>
          <w:color w:val="000000"/>
          <w:position w:val="0"/>
        </w:rPr>
        <w:t>Дефект межпредсердной перегородки вторичный</w:t>
      </w:r>
      <w:bookmarkEnd w:id="323"/>
    </w:p>
    <w:p>
      <w:pPr>
        <w:pStyle w:val="Style92"/>
        <w:widowControl w:val="0"/>
        <w:keepNext/>
        <w:keepLines/>
        <w:shd w:val="clear" w:color="auto" w:fill="auto"/>
        <w:bidi w:val="0"/>
        <w:spacing w:before="0" w:after="0"/>
        <w:ind w:left="520" w:right="0" w:hanging="240"/>
      </w:pPr>
      <w:bookmarkStart w:id="324" w:name="bookmark324"/>
      <w:r>
        <w:rPr>
          <w:lang w:val="ru-RU" w:eastAsia="ru-RU" w:bidi="ru-RU"/>
          <w:w w:val="100"/>
          <w:spacing w:val="0"/>
          <w:color w:val="000000"/>
          <w:position w:val="0"/>
        </w:rPr>
        <w:t>Определение</w:t>
      </w:r>
      <w:bookmarkEnd w:id="32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Врожденный порок сердца, обусловленный дефектом межпредсердной перегородки в области овального окна и вторичного отверстия.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4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Изолированный вторичный ДМПП встречается при</w:t>
        <w:softHyphen/>
        <w:t>близительно в 7% среди всех ВПС. Поскольку ВПС наблюдаются у 8 на 1000 живорожденных, то 5-6 слу</w:t>
        <w:softHyphen/>
        <w:t>чаев вторичного ДМПП наблюдаются на каждые 10 000 новорожденных. Эта частота порока установ</w:t>
        <w:softHyphen/>
        <w:t>лена только у детей с гемодинамически значимым де - фектом. Многие случаи небольших дефектов остают</w:t>
        <w:softHyphen/>
        <w:t>ся недиагностированными.</w:t>
      </w:r>
    </w:p>
    <w:p>
      <w:pPr>
        <w:pStyle w:val="Style30"/>
        <w:numPr>
          <w:ilvl w:val="0"/>
          <w:numId w:val="4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Изолированный вторичный ДМПП очень редко со</w:t>
        <w:softHyphen/>
        <w:t>провождается клинически значимыми симптомами в детском возрасте независимо от размера дефекта.</w:t>
      </w:r>
    </w:p>
    <w:p>
      <w:pPr>
        <w:pStyle w:val="Style30"/>
        <w:numPr>
          <w:ilvl w:val="0"/>
          <w:numId w:val="4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новорожденных в редких случаях может развиться застойная сердечная недостаточность при вторичном ДМПП. Причины возникновения сердечной недо</w:t>
        <w:softHyphen/>
        <w:t>статочности не установлены, но вероятно связаны с большой величиной дефекта или сопутствующими аномалиями (врожденное сосудистое заболевание легких).</w:t>
      </w:r>
    </w:p>
    <w:p>
      <w:pPr>
        <w:pStyle w:val="Style30"/>
        <w:numPr>
          <w:ilvl w:val="0"/>
          <w:numId w:val="43"/>
        </w:numPr>
        <w:tabs>
          <w:tab w:leader="none" w:pos="239" w:val="left"/>
        </w:tabs>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 xml:space="preserve">Инфекционный эндокардит не наблюдается при вто - ричных ДМПП, по этой причине по рекомендации </w:t>
      </w:r>
      <w:r>
        <w:rPr>
          <w:lang w:val="en-US" w:eastAsia="en-US" w:bidi="en-US"/>
          <w:w w:val="100"/>
          <w:spacing w:val="0"/>
          <w:color w:val="000000"/>
          <w:position w:val="0"/>
        </w:rPr>
        <w:t xml:space="preserve">American Heart Association </w:t>
      </w:r>
      <w:r>
        <w:rPr>
          <w:lang w:val="ru-RU" w:eastAsia="ru-RU" w:bidi="ru-RU"/>
          <w:w w:val="100"/>
          <w:spacing w:val="0"/>
          <w:color w:val="000000"/>
          <w:position w:val="0"/>
        </w:rPr>
        <w:t>антибактериальная про</w:t>
        <w:softHyphen/>
        <w:t>филактика эндокардита не проводится.</w:t>
      </w:r>
    </w:p>
    <w:p>
      <w:pPr>
        <w:pStyle w:val="Style30"/>
        <w:numPr>
          <w:ilvl w:val="0"/>
          <w:numId w:val="4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Нет данных, подтверждающих, что вторичный ДМПП может обусловить легочное сосудистое забо</w:t>
        <w:softHyphen/>
        <w:t>левание (высокую легочную гипертензию) в детском возрасте.</w:t>
      </w:r>
    </w:p>
    <w:p>
      <w:pPr>
        <w:pStyle w:val="Style30"/>
        <w:numPr>
          <w:ilvl w:val="0"/>
          <w:numId w:val="4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больных с первичной легочной гипертензией мо</w:t>
        <w:softHyphen/>
        <w:t>жет обнаруживаться вторичный ДМПП, однако нет данных о его влиянии на основное заболевание. Предполагают, что вторичный ДМПП при высокой легочной гипертензии может функционировать в ка</w:t>
        <w:softHyphen/>
        <w:t>честве разгрузочного шунта.</w:t>
      </w:r>
    </w:p>
    <w:p>
      <w:pPr>
        <w:pStyle w:val="Style30"/>
        <w:numPr>
          <w:ilvl w:val="0"/>
          <w:numId w:val="4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Пациенты, проживающие на высоте 4000 метров над уровнем моря, имеют повышенный риск легочного сосудистого заболевания.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Пол</w:t>
      </w:r>
    </w:p>
    <w:p>
      <w:pPr>
        <w:pStyle w:val="Style30"/>
        <w:numPr>
          <w:ilvl w:val="0"/>
          <w:numId w:val="4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Вторичный дефект МПП чаще наблюдается у дево</w:t>
        <w:softHyphen/>
        <w:t>чек, чем у мальчиков. Отношение Ж:М составляет 2:1.</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Возраст</w:t>
      </w:r>
    </w:p>
    <w:p>
      <w:pPr>
        <w:pStyle w:val="Style30"/>
        <w:numPr>
          <w:ilvl w:val="0"/>
          <w:numId w:val="4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Вторичный дефект межпредсердной перегородки мо - жет выявляться в любом возрасте, однако из-за отсут</w:t>
        <w:softHyphen/>
        <w:t>ствия характерных клинических проявлений порок чаще диагностируется на 2-3 году жизни.</w:t>
      </w:r>
    </w:p>
    <w:p>
      <w:pPr>
        <w:pStyle w:val="Style30"/>
        <w:numPr>
          <w:ilvl w:val="0"/>
          <w:numId w:val="4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Возможно спонтанное закрытие небольших вторич</w:t>
        <w:softHyphen/>
        <w:t>ных ДМПП (наиболее часто, если размер дефекта не превышает 3 мм в диаметре).</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Эмбриология</w:t>
      </w:r>
    </w:p>
    <w:p>
      <w:pPr>
        <w:pStyle w:val="Style30"/>
        <w:numPr>
          <w:ilvl w:val="0"/>
          <w:numId w:val="4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 ранней стадии эмбрионального развития сердце имеет одно предсердие. С расширением предсердия формируется первичная перегородка и растет в на</w:t>
        <w:softHyphen/>
        <w:t>правлении атриовентрикулярного канала, который позднее разделяется на верхнюю и нижнюю эндокар</w:t>
        <w:softHyphen/>
        <w:t>диальные подушечки. Эти подушечки сливаются с первичной перегородкой. В процессе слияния обра</w:t>
        <w:softHyphen/>
        <w:t xml:space="preserve">зуется первичное отверстие </w:t>
      </w:r>
      <w:r>
        <w:rPr>
          <w:lang w:val="en-US" w:eastAsia="en-US" w:bidi="en-US"/>
          <w:w w:val="100"/>
          <w:spacing w:val="0"/>
          <w:color w:val="000000"/>
          <w:position w:val="0"/>
        </w:rPr>
        <w:t>(ostium primum).</w:t>
      </w:r>
    </w:p>
    <w:p>
      <w:pPr>
        <w:pStyle w:val="Style30"/>
        <w:numPr>
          <w:ilvl w:val="0"/>
          <w:numId w:val="4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Затем происходит полное закрытие первичного отвер</w:t>
        <w:softHyphen/>
        <w:t>стия, но до его закрытия в первичной перегородке ос</w:t>
        <w:softHyphen/>
        <w:t>тается центральная перфорация, осуществляющая со</w:t>
        <w:softHyphen/>
        <w:t>общение между правым и левым предсердием. Эта центральная перфорация формирует вторичное отвер</w:t>
        <w:softHyphen/>
        <w:t xml:space="preserve">стие. Изгиб в области общего трункуса и предсердия формирует вторичную перегородку. Ведущий край вторичной перегородки является вогнутый по форме и называется «клапан овального отверстия» </w:t>
      </w:r>
      <w:r>
        <w:rPr>
          <w:lang w:val="en-US" w:eastAsia="en-US" w:bidi="en-US"/>
          <w:w w:val="100"/>
          <w:spacing w:val="0"/>
          <w:color w:val="000000"/>
          <w:position w:val="0"/>
        </w:rPr>
        <w:t>(valve fora</w:t>
        <w:softHyphen/>
        <w:t xml:space="preserve">men ovale). </w:t>
      </w:r>
      <w:r>
        <w:rPr>
          <w:lang w:val="ru-RU" w:eastAsia="ru-RU" w:bidi="ru-RU"/>
          <w:w w:val="100"/>
          <w:spacing w:val="0"/>
          <w:color w:val="000000"/>
          <w:position w:val="0"/>
        </w:rPr>
        <w:t>Клапан прикрывает вторичное отверстие, но не препятствует току крови из правого предсердия в левое. После рождения, с возникновением легочного кровотока и подъемом давления в левом предсердии, первичная перегородка смыкается с вторичной пере</w:t>
        <w:softHyphen/>
        <w:t>городкой и закрывает овальное отверстие.</w:t>
      </w:r>
    </w:p>
    <w:p>
      <w:pPr>
        <w:pStyle w:val="Style30"/>
        <w:numPr>
          <w:ilvl w:val="0"/>
          <w:numId w:val="4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Полное слияние первичной и вторичной перегородок наблюдается у большинства новорожденных. Однако в 25-30% случаев овальное окно сохраняется откры</w:t>
        <w:softHyphen/>
        <w:t>тым и может быть выявлено с помощью цветовой допплерографии или катетерного теста.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Причины</w:t>
      </w:r>
    </w:p>
    <w:p>
      <w:pPr>
        <w:pStyle w:val="Style30"/>
        <w:numPr>
          <w:ilvl w:val="0"/>
          <w:numId w:val="43"/>
        </w:numPr>
        <w:tabs>
          <w:tab w:leader="none" w:pos="239" w:val="left"/>
        </w:tabs>
        <w:widowControl w:val="0"/>
        <w:keepNext w:val="0"/>
        <w:keepLines w:val="0"/>
        <w:shd w:val="clear" w:color="auto" w:fill="auto"/>
        <w:bidi w:val="0"/>
        <w:spacing w:before="0" w:after="0"/>
        <w:ind w:left="260" w:right="0"/>
      </w:pPr>
      <w:r>
        <w:pict>
          <v:shape id="_x0000_s1184" type="#_x0000_t75" style="position:absolute;margin-left:148.1pt;margin-top:736.8pt;width:209.75pt;height:14.9pt;z-index:-125829284;mso-wrap-distance-left:147.85pt;mso-wrap-distance-right:136.8pt;mso-wrap-distance-bottom:10.8pt;mso-position-horizontal-relative:margin;mso-position-vertical-relative:margin" wrapcoords="0 0 21600 0 21600 21600 0 21600 0 0">
            <v:imagedata r:id="rId250" r:href="rId251"/>
            <w10:wrap type="topAndBottom" anchorx="margin" anchory="margin"/>
          </v:shape>
        </w:pict>
      </w:r>
      <w:r>
        <w:rPr>
          <w:lang w:val="ru-RU" w:eastAsia="ru-RU" w:bidi="ru-RU"/>
          <w:w w:val="100"/>
          <w:spacing w:val="0"/>
          <w:color w:val="000000"/>
          <w:position w:val="0"/>
        </w:rPr>
        <w:t>Изолированный вторичный ДМПП часто имеет се</w:t>
        <w:softHyphen/>
        <w:t xml:space="preserve">мейное наследование по аутосомно-доминантному типу, особенно в случаях сочетания вторичного ДМПП с удлиненным интервалом </w:t>
      </w:r>
      <w:r>
        <w:rPr>
          <w:lang w:val="en-US" w:eastAsia="en-US" w:bidi="en-US"/>
          <w:w w:val="100"/>
          <w:spacing w:val="0"/>
          <w:color w:val="000000"/>
          <w:position w:val="0"/>
        </w:rPr>
        <w:t xml:space="preserve">PR. </w:t>
      </w:r>
      <w:r>
        <w:rPr>
          <w:lang w:val="ru-RU" w:eastAsia="ru-RU" w:bidi="ru-RU"/>
          <w:w w:val="100"/>
          <w:spacing w:val="0"/>
          <w:color w:val="000000"/>
          <w:position w:val="0"/>
        </w:rPr>
        <w:t>Семейный</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 xml:space="preserve">вторичный ДМПП характерен для синдрома </w:t>
      </w:r>
      <w:r>
        <w:rPr>
          <w:lang w:val="en-US" w:eastAsia="en-US" w:bidi="en-US"/>
          <w:w w:val="100"/>
          <w:spacing w:val="0"/>
          <w:color w:val="000000"/>
          <w:position w:val="0"/>
        </w:rPr>
        <w:t xml:space="preserve">Holt- Oram. </w:t>
      </w:r>
      <w:r>
        <w:rPr>
          <w:lang w:val="ru-RU" w:eastAsia="ru-RU" w:bidi="ru-RU"/>
          <w:w w:val="100"/>
          <w:spacing w:val="0"/>
          <w:color w:val="000000"/>
          <w:position w:val="0"/>
        </w:rPr>
        <w:t>Даже если нет данных, свидетельствующих о наследовании дефекта, следует отметить, что часто</w:t>
        <w:softHyphen/>
        <w:t>та вторичного ДМПП в 2-3 выше у родственников первой степени родства, чем в общей популяции. Не установлены тератогенные факторы, ответственные за возникновение данной аномалии. Вторичный ДМПП часто сочетается с клапанным стенозом ле</w:t>
        <w:softHyphen/>
        <w:t>гочной артерии.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Анатомия</w:t>
      </w:r>
    </w:p>
    <w:p>
      <w:pPr>
        <w:pStyle w:val="Style30"/>
        <w:numPr>
          <w:ilvl w:val="0"/>
          <w:numId w:val="43"/>
        </w:numPr>
        <w:tabs>
          <w:tab w:leader="none" w:pos="232"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Обычно вторичный дефект межпредсердной перего</w:t>
        <w:softHyphen/>
        <w:t>родки ограничен краем овального окна. Форма де</w:t>
        <w:softHyphen/>
        <w:t>фекта варьирует от круглой до овальной. Реже дефект представлен мелкими фенестрациями. Дефект может продолжаться кзади и вниз, приближаясь к месту впадения нижней полой вены в правое предсердие.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Патофизиология</w:t>
      </w:r>
    </w:p>
    <w:p>
      <w:pPr>
        <w:pStyle w:val="Style30"/>
        <w:numPr>
          <w:ilvl w:val="0"/>
          <w:numId w:val="43"/>
        </w:numPr>
        <w:tabs>
          <w:tab w:leader="none" w:pos="232"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Вторичный ДМПП возникает в результате неадекват</w:t>
        <w:softHyphen/>
        <w:t>ного формирования вторичной перегородки, которая не полностью покрывает вторичное отверстие.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numPr>
          <w:ilvl w:val="0"/>
          <w:numId w:val="43"/>
        </w:numPr>
        <w:tabs>
          <w:tab w:leader="none" w:pos="232"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Хотя сердечная недостаточность редко наблюдается при вторичном ДМПП у детей, она является основ</w:t>
        <w:softHyphen/>
        <w:t>ным осложнением порока у взрослых. У взрослых больных вторичный ДМПП является основной при</w:t>
        <w:softHyphen/>
        <w:t>чиной предсердных дизритмий, таких как мерцание и трепетание предсердий, вероятно возникающих вследствие хронической дилатации правого предсер</w:t>
        <w:softHyphen/>
        <w:t>дия. Сердечная недостаточность и предсердные диз- ритмии не исчезают, если операция не проведена сво</w:t>
        <w:softHyphen/>
        <w:t>евременно. Закрытие дефекта в возрасте старше 40 лет не снижает риск предсердных аритмий. Возможно спонтанное закрытие дефекта перегородки у ново</w:t>
        <w:softHyphen/>
        <w:t>рожденных и детей раннего возраста. Однако если большой дефект обнаруживается в возрасте 2-3 лет, то спонтанного закрытия практически не наблюдается.</w:t>
      </w:r>
    </w:p>
    <w:p>
      <w:pPr>
        <w:pStyle w:val="Style30"/>
        <w:numPr>
          <w:ilvl w:val="0"/>
          <w:numId w:val="43"/>
        </w:numPr>
        <w:tabs>
          <w:tab w:leader="none" w:pos="232"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Открытое овальное окно обнаруживается, по край</w:t>
        <w:softHyphen/>
        <w:t>ней мере, у 15% взрослых пациентов. При этом шунт клинически не проявляется и обнаруживается только эхокардиографически. Некоторые взрослые пациен</w:t>
        <w:softHyphen/>
        <w:t>ты с открытым овальным окном могут быть отнесены в группу с небольшим вторичным ДМПП. Необходи</w:t>
        <w:softHyphen/>
        <w:t>мость постановки такого диагноза обусловлена тем фактом, что у таких пациентов возможно развитие парадоксальной эмболии в системную циркуляцию.</w:t>
      </w:r>
    </w:p>
    <w:p>
      <w:pPr>
        <w:pStyle w:val="Style30"/>
        <w:numPr>
          <w:ilvl w:val="0"/>
          <w:numId w:val="43"/>
        </w:numPr>
        <w:tabs>
          <w:tab w:leader="none" w:pos="232"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вторичным ДМПП не имеют клинических симптомов, связанных непосредственно с дефектом перегородки. Снижение толерантности к физическим нагрузкам может наблюдаться в подростковом возрас</w:t>
        <w:softHyphen/>
        <w:t>те. Некоторые авторы отмечают, что дети с вторичным ДМПП отстают от сверстников в росте и массе тела.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Физикальное обследование:</w:t>
      </w:r>
    </w:p>
    <w:p>
      <w:pPr>
        <w:pStyle w:val="Style30"/>
        <w:numPr>
          <w:ilvl w:val="0"/>
          <w:numId w:val="43"/>
        </w:numPr>
        <w:tabs>
          <w:tab w:leader="none" w:pos="232"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имеют стройное телосложение, нормальную ок</w:t>
        <w:softHyphen/>
        <w:t>раску кожных покровов.</w:t>
      </w:r>
    </w:p>
    <w:p>
      <w:pPr>
        <w:pStyle w:val="Style30"/>
        <w:numPr>
          <w:ilvl w:val="0"/>
          <w:numId w:val="43"/>
        </w:numPr>
        <w:tabs>
          <w:tab w:leader="none" w:pos="232"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новорожденных может отмечаться незначительное тахипноэ.</w:t>
      </w:r>
    </w:p>
    <w:p>
      <w:pPr>
        <w:pStyle w:val="Style30"/>
        <w:numPr>
          <w:ilvl w:val="0"/>
          <w:numId w:val="43"/>
        </w:numPr>
        <w:tabs>
          <w:tab w:leader="none" w:pos="232"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Усиленная пульсация шейных вен наблюдается при большом дефекте и свидетельствует об одинаковом давлении в правом и левом предсердии.</w:t>
      </w:r>
    </w:p>
    <w:p>
      <w:pPr>
        <w:pStyle w:val="Style30"/>
        <w:numPr>
          <w:ilvl w:val="0"/>
          <w:numId w:val="43"/>
        </w:numPr>
        <w:tabs>
          <w:tab w:leader="none" w:pos="232"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Дилатация правого желудочка обусловливает неболь</w:t>
        <w:softHyphen/>
        <w:t>шое выбухание в нижней части грудины, там же может определяться усиленная пульсация при пальпации.</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Может прощупываться систолический толчок легоч</w:t>
        <w:softHyphen/>
        <w:t>ной артерии в верхней части грудины слева.</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Верхушечный левожелудочковый толчок может быть ослабленным или не определяться из-за смещения желудочка кзади.</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Первый тон сердца может быть расщепленным. Этот феномен не следует путать с легочным щелчком из</w:t>
        <w:softHyphen/>
        <w:t>гнания.</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Во втором межреберье слева выслушивается систоли</w:t>
        <w:softHyphen/>
        <w:t>ческий шум изгнания. Этот шум определяется на пи</w:t>
        <w:softHyphen/>
        <w:t>ке изгнания крови в легочную артерию в среднюю часть систолы, интенсивность шума составляет 2-3/6 градации. Если в этой области пальпируется систоли</w:t>
        <w:softHyphen/>
        <w:t>ческое дрожание, то у больных имеет место стеноз клапана легочной артерии. Систолический шум мо</w:t>
        <w:softHyphen/>
        <w:t>жет проводиться на легочные поля слева и справа. Та</w:t>
        <w:softHyphen/>
        <w:t>кой шум не отличается от «невинного» шума, связан</w:t>
        <w:softHyphen/>
        <w:t>ного с ускоренным ростом ребенка, за исключением того, что при ДМПП шум более громкий.</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Второй тон расщеплен за счет легочного компонента. Расщепление тона не меняется в зависимости от фа</w:t>
        <w:softHyphen/>
        <w:t>зы дыхания и наблюдается при больших дефектах пе</w:t>
        <w:softHyphen/>
        <w:t>регородки. Отсутствие вариации в расщеплении вто</w:t>
        <w:softHyphen/>
        <w:t>рого тона является важным диагностическим призна</w:t>
        <w:softHyphen/>
        <w:t>ком, однако необходимо исключить полную блокаду правой ножки пучка Гиса.</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Может определяться среднедиастолический шум в нижней части грудины слева. Этот шум обусловлен быстрым наполнением правого желудочка после от</w:t>
        <w:softHyphen/>
        <w:t>крытия трикуспидального клапана. Шум обычно низкоинтенсивный и не превышает 1-2/6 градацию по Левине. Он наблюдается при большой величине дефекта и сочетается с фиксированным расщеплени</w:t>
        <w:softHyphen/>
        <w:t>ем второго тона.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Лабораторные тесты</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Нет специфических лабораторных тестов, необходи</w:t>
        <w:softHyphen/>
        <w:t>мых для выявления больных с вторичным ДМПП. При большом дефекте может наблюдаться незначительное снижение содержания в крови кис</w:t>
        <w:softHyphen/>
        <w:t>лорода до 93-95%, увеличение гемоглобина и гемато- крита, не приводящее к появлению цианоза.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 ЭКГ обычно определяется синусовый ритм, при</w:t>
        <w:softHyphen/>
        <w:t>знаки дилатации правого предсердия, удлинение ин</w:t>
        <w:softHyphen/>
        <w:t xml:space="preserve">тервала </w:t>
      </w:r>
      <w:r>
        <w:rPr>
          <w:lang w:val="en-US" w:eastAsia="en-US" w:bidi="en-US"/>
          <w:w w:val="100"/>
          <w:spacing w:val="0"/>
          <w:color w:val="000000"/>
          <w:position w:val="0"/>
        </w:rPr>
        <w:t>PR.</w:t>
      </w:r>
    </w:p>
    <w:p>
      <w:pPr>
        <w:pStyle w:val="Style30"/>
        <w:numPr>
          <w:ilvl w:val="0"/>
          <w:numId w:val="4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электрическая ось сердца отклонена вправо (угол </w:t>
      </w:r>
      <w:r>
        <w:rPr>
          <w:lang w:val="en-US" w:eastAsia="en-US" w:bidi="en-US"/>
          <w:w w:val="100"/>
          <w:spacing w:val="0"/>
          <w:color w:val="000000"/>
          <w:position w:val="0"/>
        </w:rPr>
        <w:t xml:space="preserve">QRS </w:t>
      </w:r>
      <w:r>
        <w:rPr>
          <w:lang w:val="ru-RU" w:eastAsia="ru-RU" w:bidi="ru-RU"/>
          <w:w w:val="100"/>
          <w:spacing w:val="0"/>
          <w:color w:val="000000"/>
          <w:position w:val="0"/>
        </w:rPr>
        <w:t>+100° и более), в правых грудных отведениях определяется дилатация правого желудочка (объ</w:t>
        <w:softHyphen/>
        <w:t xml:space="preserve">емный тип перегрузки), характеризующаяся </w:t>
      </w:r>
      <w:r>
        <w:rPr>
          <w:lang w:val="en-US" w:eastAsia="en-US" w:bidi="en-US"/>
          <w:w w:val="100"/>
          <w:spacing w:val="0"/>
          <w:color w:val="000000"/>
          <w:position w:val="0"/>
        </w:rPr>
        <w:t xml:space="preserve">rSR' </w:t>
      </w:r>
      <w:r>
        <w:rPr>
          <w:lang w:val="ru-RU" w:eastAsia="ru-RU" w:bidi="ru-RU"/>
          <w:w w:val="100"/>
          <w:spacing w:val="0"/>
          <w:color w:val="000000"/>
          <w:position w:val="0"/>
        </w:rPr>
        <w:t xml:space="preserve">типом желудочкового комплекса в отведениях </w:t>
      </w:r>
      <w:r>
        <w:rPr>
          <w:lang w:val="en-US" w:eastAsia="en-US" w:bidi="en-US"/>
          <w:w w:val="100"/>
          <w:spacing w:val="0"/>
          <w:color w:val="000000"/>
          <w:position w:val="0"/>
        </w:rPr>
        <w:t>V</w:t>
      </w:r>
      <w:r>
        <w:rPr>
          <w:lang w:val="en-US" w:eastAsia="en-US" w:bidi="en-US"/>
          <w:vertAlign w:val="subscript"/>
          <w:w w:val="100"/>
          <w:spacing w:val="0"/>
          <w:color w:val="000000"/>
          <w:position w:val="0"/>
        </w:rPr>
        <w:t>3</w:t>
      </w:r>
      <w:r>
        <w:rPr>
          <w:lang w:val="en-US" w:eastAsia="en-US" w:bidi="en-US"/>
          <w:w w:val="100"/>
          <w:spacing w:val="0"/>
          <w:color w:val="000000"/>
          <w:position w:val="0"/>
        </w:rPr>
        <w:t xml:space="preserve">R </w:t>
      </w:r>
      <w:r>
        <w:rPr>
          <w:rStyle w:val="CharStyle126"/>
        </w:rPr>
        <w:t>nVio</w:t>
      </w:r>
      <w:r>
        <w:rPr>
          <w:lang w:val="en-US" w:eastAsia="en-US" w:bidi="en-US"/>
          <w:w w:val="100"/>
          <w:spacing w:val="0"/>
          <w:color w:val="000000"/>
          <w:position w:val="0"/>
        </w:rPr>
        <w:t xml:space="preserve"> </w:t>
      </w:r>
      <w:r>
        <w:rPr>
          <w:lang w:val="ru-RU" w:eastAsia="ru-RU" w:bidi="ru-RU"/>
          <w:w w:val="100"/>
          <w:spacing w:val="0"/>
          <w:color w:val="000000"/>
          <w:position w:val="0"/>
        </w:rPr>
        <w:t xml:space="preserve">нормальными зубцами </w:t>
      </w:r>
      <w:r>
        <w:rPr>
          <w:lang w:val="en-US" w:eastAsia="en-US" w:bidi="en-US"/>
          <w:w w:val="100"/>
          <w:spacing w:val="0"/>
          <w:color w:val="000000"/>
          <w:position w:val="0"/>
        </w:rPr>
        <w:t>T;</w:t>
      </w:r>
    </w:p>
    <w:p>
      <w:pPr>
        <w:pStyle w:val="Style30"/>
        <w:numPr>
          <w:ilvl w:val="0"/>
          <w:numId w:val="4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продолжительность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может быть незначительно увеличена из-за дилатации правого желудочка (не из-за нарушения внутрижелудочко</w:t>
        <w:softHyphen/>
        <w:t>вой проводимости);</w:t>
      </w:r>
    </w:p>
    <w:p>
      <w:pPr>
        <w:pStyle w:val="Style30"/>
        <w:numPr>
          <w:ilvl w:val="0"/>
          <w:numId w:val="4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очень редко у больных с вторичным ДМПП может наблюдаться отклонение электрической оси серд</w:t>
        <w:softHyphen/>
        <w:t>ца влево как при первичном дефекте.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pict>
          <v:shape id="_x0000_s1185" type="#_x0000_t75" style="position:absolute;margin-left:130.7pt;margin-top:736.8pt;width:209.75pt;height:14.9pt;z-index:-125829283;mso-wrap-distance-left:124.8pt;mso-wrap-distance-right:148.55pt;mso-wrap-distance-bottom:10.8pt;mso-position-horizontal-relative:margin;mso-position-vertical-relative:margin" wrapcoords="0 0 21600 0 21600 21600 0 21600 0 0">
            <v:imagedata r:id="rId252" r:href="rId253"/>
            <w10:wrap type="topAndBottom" anchorx="margin" anchory="margin"/>
          </v:shape>
        </w:pict>
      </w:r>
      <w:r>
        <w:rPr>
          <w:lang w:val="ru-RU" w:eastAsia="ru-RU" w:bidi="ru-RU"/>
          <w:w w:val="100"/>
          <w:spacing w:val="0"/>
          <w:color w:val="000000"/>
          <w:position w:val="0"/>
        </w:rPr>
        <w:t>Рутинная рентгенография грудной клетки не позво</w:t>
        <w:softHyphen/>
        <w:t>ляет выявлять детей с вторичным ДМПП. При этом</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исследовании возможно обнаружение усиления ле</w:t>
        <w:softHyphen/>
        <w:t>гочного артериального рисунка. Легочный ствол мо</w:t>
        <w:softHyphen/>
        <w:t>жет быть расширенным, правое предсердие и правый желудочек дилатированы при нормальных размерах левого предсердия.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Эхокардиография:</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Эхокардиография является основным диагностичес</w:t>
        <w:softHyphen/>
        <w:t>ким тестом для выявления вторичного ДМПП. Правое предсердие и правый желудочек дилатированы, меж</w:t>
        <w:softHyphen/>
        <w:t>желудочковая перегородка движется парадоксально.</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двухмерной эхокардиографии из субкостальной позиции визуализируется вторичный дефект МПП. Проводится измерение диаметра дефекта и выявление сопутствующих аномалий. Трехмерная эхокардиография позволяет более точно определять размер и форму дефекта, она также более информа</w:t>
        <w:softHyphen/>
        <w:t>тивна при оценке результатов хирургического закры</w:t>
        <w:softHyphen/>
        <w:t>тия дефекта.</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Цветовой допплер позволяет визуализировать поток крови из левого предсердия в правое предсердие. Если дефект большой, то поток через дефект не имеет турбу</w:t>
        <w:softHyphen/>
        <w:t>лентного характера, что затрудняет определение гради</w:t>
        <w:softHyphen/>
        <w:t>ента давления между левым и правым предсердиями.</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Полное допплерэхокардиографическое исследование позволяет подтвердить или исключить патологию ко</w:t>
        <w:softHyphen/>
        <w:t>ронарного синуса, легочных вен, первичной перего</w:t>
        <w:softHyphen/>
        <w:t>родки и митрального клапана.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Магниторезонансная томография:</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Магниторезонансная томография не проводится па</w:t>
        <w:softHyphen/>
        <w:t>циентам с вторичным ДМПП, поскольку она не дает дополнительной информации к данным эхокардио</w:t>
        <w:softHyphen/>
        <w:t>графического исследования.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Катетеризация сердца:</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Катетеризация сердца не показана для рутинной диа</w:t>
        <w:softHyphen/>
        <w:t>гностики при подозрении на вторичный ДМПП. Она проводится при подозрении на легочную гипертензию для определения ее степени и реактивности легочных сосудов при проведении теста с вазодилататорами.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Дифференциальный диагноз</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Дефект межпредсердной перегородки в области ко</w:t>
        <w:softHyphen/>
        <w:t>ронарного синуса.</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Первичный дефект межпредсердной перегородки.</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Дефект межпредсердной перегородки в области ве</w:t>
        <w:softHyphen/>
        <w:t>нозного синуса.</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Частичный аномальный дренаж легочных вен.</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Клапанный стеноз легочной артерии.</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Периферические стенозы легочной артерии.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Лечение</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Проводится стандартная терапия сердечной недостаточ</w:t>
        <w:softHyphen/>
        <w:t>ности гликозидами и диуретиками.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Хирургическое лечение</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Минимально инвазивные методы сердечной хирур</w:t>
        <w:softHyphen/>
        <w:t>гии позволяют проводить закрытие дефекта без ис</w:t>
        <w:softHyphen/>
        <w:t>пользования крови и кровезаменителей вне зависи</w:t>
        <w:softHyphen/>
        <w:t>мости от возраста пациента.</w:t>
      </w:r>
    </w:p>
    <w:p>
      <w:pPr>
        <w:pStyle w:val="Style30"/>
        <w:numPr>
          <w:ilvl w:val="0"/>
          <w:numId w:val="45"/>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проводится небольшой разрез кожи без вскрытия грудной клетки;</w:t>
      </w:r>
    </w:p>
    <w:p>
      <w:pPr>
        <w:pStyle w:val="Style30"/>
        <w:numPr>
          <w:ilvl w:val="0"/>
          <w:numId w:val="45"/>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при небольших размерах и овальной форме сооб</w:t>
        <w:softHyphen/>
        <w:t xml:space="preserve">щения проводится ушивание дефекта. Большие и круглые дефекты межпредсердной перегородки закрывают заплатой, выполненной из перикарда или синтетических материалов </w:t>
      </w:r>
      <w:r>
        <w:rPr>
          <w:lang w:val="en-US" w:eastAsia="en-US" w:bidi="en-US"/>
          <w:w w:val="100"/>
          <w:spacing w:val="0"/>
          <w:color w:val="000000"/>
          <w:position w:val="0"/>
        </w:rPr>
        <w:t>(Dacron);</w:t>
      </w:r>
    </w:p>
    <w:p>
      <w:pPr>
        <w:pStyle w:val="Style30"/>
        <w:numPr>
          <w:ilvl w:val="0"/>
          <w:numId w:val="45"/>
        </w:numPr>
        <w:tabs>
          <w:tab w:leader="none" w:pos="517"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в 100% случаев достигаются положительные ре</w:t>
        <w:softHyphen/>
        <w:t>зультаты операции, риск летального исхода мини</w:t>
        <w:softHyphen/>
        <w:t>мален и не превышает риска при общей анестезии.</w:t>
      </w:r>
    </w:p>
    <w:p>
      <w:pPr>
        <w:pStyle w:val="Style30"/>
        <w:numPr>
          <w:ilvl w:val="0"/>
          <w:numId w:val="4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пребывание больного в стационаре в среднем со</w:t>
        <w:softHyphen/>
        <w:t>ставляет 2-3 дня. Перед выпиской проводится эхо</w:t>
        <w:softHyphen/>
        <w:t>кардиографический контроль, подтверждающий полное закрытие дефекта;</w:t>
      </w:r>
    </w:p>
    <w:p>
      <w:pPr>
        <w:pStyle w:val="Style30"/>
        <w:numPr>
          <w:ilvl w:val="0"/>
          <w:numId w:val="4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после операции в течение 6 месяцев проводится профилактика инфекционного эндокардита, если проводилось наложение заплаты.</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Катетерная окклюзия дефекта.</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Используется несколько различных технических устройств, позволяющих с помощью введенного катетера выполнять закрытие вторичного ДМПП. Данный метод резонно использовать у па</w:t>
        <w:softHyphen/>
        <w:t>циентов с высоким риском развития аритмии или правожелудочковой дисфункции, которые часто наблюдаются у взрослых пациентов. Маленькие дефекты у детей, выявленные с помощью эхокар</w:t>
        <w:softHyphen/>
        <w:t>диографии, не требуют закрытия. Закрытие не</w:t>
        <w:softHyphen/>
        <w:t>больших дефектов возможно при подозрении на парадоксальную эмболию, возникающую через данную коммуникацию у взрослых пациентов.</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Устройство для закрытия дефекта проводят с по</w:t>
        <w:softHyphen/>
        <w:t>мощью катетера, введенного в бедренную вену. В настоящее время накоплены положительные ре</w:t>
        <w:softHyphen/>
        <w:t>зультаты катетерной техники при закрытии не</w:t>
        <w:softHyphen/>
        <w:t>больших дефектов перегородки. Допплерэхокар</w:t>
        <w:softHyphen/>
        <w:t>диографический контроль подтверждает исчезно</w:t>
        <w:softHyphen/>
        <w:t>вение шунта через дефект.</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Потенциальные осложнения включают: эмболию, разрыв сосуда, боль, тошноту, рвоту, артериальную или венозную обструкцию из-за тромбоза или спазма. Перед и во время катетерной манипуляции применяются антибиотики для профилактики ин</w:t>
        <w:softHyphen/>
        <w:t>фекционного эндокардита. Проводится постоян</w:t>
        <w:softHyphen/>
        <w:t>ное мониторирование области окклюзии дефекта, поскольку часто сохраняется резидуальный шунт.</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Возможными осложнениями могут быть перфора</w:t>
        <w:softHyphen/>
        <w:t>ция стенки сосуда, тахиаритмия, брадиаритмия, окклюзия сосуда. Хотя эти осложнения наблюда</w:t>
        <w:softHyphen/>
        <w:t>ются крайне редко, они могут потребовать ургент- ной хирургии. Наиболее частым осложнением яв</w:t>
        <w:softHyphen/>
        <w:t>ляется неполное закрытие дефекта.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Больные с успешно проведенной коррекцией порока должны наблюдаться в последующем 1 раз в год у кардиолога, поскольку возможны отдаленные ос</w:t>
        <w:softHyphen/>
        <w:t>ложнения порока. Если операция проведена в позд</w:t>
        <w:softHyphen/>
        <w:t>нем возрасте (у детей старше 10 лет), больные должны наблюдаться чаще (2 раза в год) с проведением ЭКГ, рентгенографии и эхокардиографии.</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Через 6 месяцев после закрытия дефекта без резиду</w:t>
        <w:softHyphen/>
        <w:t>ального шунта больные не нуждаются в антибактери</w:t>
        <w:softHyphen/>
        <w:t>альной профилактике инфекционного эндокардита.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Редко наблюдается хирургическое повреждение си</w:t>
        <w:softHyphen/>
        <w:t>ноатриального узла. Нарушения ритма могут возни - кать в отдаленные сроки после операции и требуют медицинского контроля.</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pict>
          <v:shape id="_x0000_s1186" type="#_x0000_t75" style="position:absolute;margin-left:147.95pt;margin-top:736.8pt;width:209.75pt;height:14.9pt;z-index:-125829282;mso-wrap-distance-left:147.6pt;mso-wrap-distance-right:136.8pt;mso-wrap-distance-bottom:10.8pt;mso-position-horizontal-relative:margin;mso-position-vertical-relative:margin" wrapcoords="0 0 21600 0 21600 21600 0 21600 0 0">
            <v:imagedata r:id="rId254" r:href="rId255"/>
            <w10:wrap type="topAndBottom" anchorx="margin" anchory="margin"/>
          </v:shape>
        </w:pict>
      </w:r>
      <w:r>
        <w:rPr>
          <w:lang w:val="ru-RU" w:eastAsia="ru-RU" w:bidi="ru-RU"/>
          <w:w w:val="100"/>
          <w:spacing w:val="0"/>
          <w:color w:val="000000"/>
          <w:position w:val="0"/>
        </w:rPr>
        <w:t>Поздними осложнениями хирургии порока являются нарушения ритма сердца, резидуальный шунт.</w:t>
      </w:r>
      <w:r>
        <w:br w:type="page"/>
      </w:r>
    </w:p>
    <w:p>
      <w:pPr>
        <w:pStyle w:val="Style92"/>
        <w:widowControl w:val="0"/>
        <w:keepNext/>
        <w:keepLines/>
        <w:shd w:val="clear" w:color="auto" w:fill="auto"/>
        <w:bidi w:val="0"/>
        <w:spacing w:before="0" w:after="0"/>
        <w:ind w:left="500" w:right="0" w:hanging="220"/>
      </w:pPr>
      <w:bookmarkStart w:id="325" w:name="bookmark325"/>
      <w:r>
        <w:rPr>
          <w:lang w:val="ru-RU" w:eastAsia="ru-RU" w:bidi="ru-RU"/>
          <w:w w:val="100"/>
          <w:spacing w:val="0"/>
          <w:color w:val="000000"/>
          <w:position w:val="0"/>
        </w:rPr>
        <w:t>Прогноз</w:t>
      </w:r>
      <w:bookmarkEnd w:id="325"/>
    </w:p>
    <w:p>
      <w:pPr>
        <w:pStyle w:val="Style30"/>
        <w:numPr>
          <w:ilvl w:val="0"/>
          <w:numId w:val="43"/>
        </w:numPr>
        <w:tabs>
          <w:tab w:leader="none" w:pos="518" w:val="left"/>
        </w:tabs>
        <w:widowControl w:val="0"/>
        <w:keepNext w:val="0"/>
        <w:keepLines w:val="0"/>
        <w:shd w:val="clear" w:color="auto" w:fill="auto"/>
        <w:bidi w:val="0"/>
        <w:spacing w:before="0" w:after="253"/>
        <w:ind w:left="500" w:right="0" w:hanging="220"/>
      </w:pPr>
      <w:r>
        <w:rPr>
          <w:lang w:val="ru-RU" w:eastAsia="ru-RU" w:bidi="ru-RU"/>
          <w:w w:val="100"/>
          <w:spacing w:val="0"/>
          <w:color w:val="000000"/>
          <w:position w:val="0"/>
        </w:rPr>
        <w:t>Хирургическая смертность составляет менее 0,1%. Если дефект закрыт у детей моложе 8 лет, то прогноз благоприятный без остаточных кардиальных прояв</w:t>
        <w:softHyphen/>
        <w:t>лений порока. У пациентов с неполным закрытием дефекта или закрытием в более позднем возрасте ос</w:t>
        <w:softHyphen/>
        <w:t>тается высокий риск развития нарушений ритма сердца. Закрытие вторичного ДМПП у пациентов старше 40 лет, несмотря на проведенную операцию, не снижает риск кардиальных нарушений, продол</w:t>
        <w:softHyphen/>
        <w:t>жительность жизни ограничена.</w:t>
      </w:r>
    </w:p>
    <w:p>
      <w:pPr>
        <w:pStyle w:val="Style48"/>
        <w:widowControl w:val="0"/>
        <w:keepNext/>
        <w:keepLines/>
        <w:shd w:val="clear" w:color="auto" w:fill="auto"/>
        <w:bidi w:val="0"/>
        <w:jc w:val="left"/>
        <w:spacing w:before="0" w:after="41" w:line="200" w:lineRule="exact"/>
        <w:ind w:left="0" w:right="0" w:firstLine="0"/>
      </w:pPr>
      <w:bookmarkStart w:id="326" w:name="bookmark326"/>
      <w:r>
        <w:rPr>
          <w:lang w:val="ru-RU" w:eastAsia="ru-RU" w:bidi="ru-RU"/>
          <w:w w:val="100"/>
          <w:spacing w:val="0"/>
          <w:color w:val="000000"/>
          <w:position w:val="0"/>
        </w:rPr>
        <w:t>Открытое овальное окно</w:t>
      </w:r>
      <w:bookmarkEnd w:id="32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Сохранившаяся фетальная коммуникация между пред</w:t>
        <w:softHyphen/>
        <w:t>сердиями в постнатальной жизни не имеет клинических проявлений, если нет других дефектов развития сердца.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w:t>
      </w:r>
    </w:p>
    <w:p>
      <w:pPr>
        <w:pStyle w:val="Style30"/>
        <w:numPr>
          <w:ilvl w:val="0"/>
          <w:numId w:val="4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 данным эхокардиографии, открытое овальное ок</w:t>
        <w:softHyphen/>
        <w:t>но сохраняется компетентным у 30% лиц с нормаль</w:t>
        <w:softHyphen/>
        <w:t>ной анатомией сердца.</w:t>
      </w:r>
    </w:p>
    <w:p>
      <w:pPr>
        <w:pStyle w:val="Style30"/>
        <w:numPr>
          <w:ilvl w:val="0"/>
          <w:numId w:val="43"/>
        </w:numPr>
        <w:tabs>
          <w:tab w:leader="none" w:pos="518"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В течение жизни отсутствуют какие-либо симптомы заболевания.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Патофизиология</w:t>
      </w:r>
    </w:p>
    <w:p>
      <w:pPr>
        <w:pStyle w:val="Style30"/>
        <w:numPr>
          <w:ilvl w:val="0"/>
          <w:numId w:val="4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Овальное окно является межпредсердной комму</w:t>
        <w:softHyphen/>
        <w:t>никацией, которая во время внутриутробного раз</w:t>
        <w:softHyphen/>
        <w:t>вития направляет плацентарную кровь из нижней полой вены непосредственно в левое предсердие. Анатомически мышечный валик определяет грани</w:t>
        <w:softHyphen/>
        <w:t>цы овального окна. Клапан овального окна нахо</w:t>
        <w:softHyphen/>
        <w:t>дится со стороны левого предсердия, в эмбриона</w:t>
        <w:softHyphen/>
        <w:t>льном развитии происходит из первичной перего</w:t>
        <w:softHyphen/>
        <w:t>родки. При рождении давление в левом предсердии превышает давление в правом предсердии, клапан прижимается к овальному окну и возникает его фи</w:t>
        <w:softHyphen/>
        <w:t>зиологическое закрытие. В течение первой недели жизни, по данным допплерографии, у здоровых но</w:t>
        <w:softHyphen/>
        <w:t>ворожденных может наблюдаться неполное при</w:t>
        <w:softHyphen/>
        <w:t>крытие клапана, в результате чего наблюдается не</w:t>
        <w:softHyphen/>
        <w:t>большой лево-правый шунт. Шунт полностью ис</w:t>
        <w:softHyphen/>
        <w:t>чезает на первом году жизни, овальное окно полно</w:t>
        <w:softHyphen/>
        <w:t>стью закрывается. Персистирование дилатации ле</w:t>
        <w:softHyphen/>
        <w:t>вого предсердия в сочетании с другими сердечны</w:t>
        <w:softHyphen/>
        <w:t>ми аномалиями, такими как стеноз митрального клапана, открытый артериальный проток, дефект межжелудочковой перегородки, могут приводить к дилатации овального окна. В результате сохраня</w:t>
        <w:softHyphen/>
        <w:t>ется лево-правый шунт через дилатированное овальное окно.</w:t>
      </w:r>
    </w:p>
    <w:p>
      <w:pPr>
        <w:pStyle w:val="Style30"/>
        <w:numPr>
          <w:ilvl w:val="0"/>
          <w:numId w:val="4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Право -левый шунт может наблюдаться через дилати - рованное или некомпетентное открытое овальное ок</w:t>
        <w:softHyphen/>
        <w:t>но при наличии стеноза трикуспидального клапана, гипоплазии правого желудочка, легочной гипертен</w:t>
        <w:softHyphen/>
        <w:t>зии. У больных с персистирующим или транзитор- ным повышением давления в правом предсердии мо</w:t>
        <w:softHyphen/>
        <w:t>жет возникать парадоксальная эмболия через откры</w:t>
        <w:softHyphen/>
        <w:t>тое овальное окно. Некоторые пороки сердца зависят от существования открытого овального окна. Напри</w:t>
        <w:softHyphen/>
        <w:t>мер, лево-правый шунт через овальное окно осущест</w:t>
        <w:softHyphen/>
        <w:t>вляется при атрезии митрального клапана, право-ле</w:t>
        <w:softHyphen/>
        <w:t>вый шунт через овальное окно необходим при атре- зии трикуспидального клапана, тотальном аномаль</w:t>
        <w:softHyphen/>
      </w:r>
    </w:p>
    <w:p>
      <w:pPr>
        <w:pStyle w:val="Style30"/>
        <w:widowControl w:val="0"/>
        <w:keepNext w:val="0"/>
        <w:keepLines w:val="0"/>
        <w:shd w:val="clear" w:color="auto" w:fill="auto"/>
        <w:bidi w:val="0"/>
        <w:spacing w:before="0" w:after="0"/>
        <w:ind w:left="280" w:right="0" w:firstLine="0"/>
      </w:pPr>
      <w:r>
        <w:br w:type="column"/>
      </w:r>
      <w:r>
        <w:rPr>
          <w:lang w:val="ru-RU" w:eastAsia="ru-RU" w:bidi="ru-RU"/>
          <w:w w:val="100"/>
          <w:spacing w:val="0"/>
          <w:color w:val="000000"/>
          <w:position w:val="0"/>
        </w:rPr>
        <w:t>ном дренаже легочных вен. Через открытое овальное окно при таких пороках поддерживается адекватный сердечный выброс.</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Лево-правый шунт при открытом овальном окне не сопровождается клиническими симптомами в тече</w:t>
        <w:softHyphen/>
        <w:t>ние всей жизни.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больных с лево-правым шунтом может возникать транзиторный или периодический цианоз. Он обус</w:t>
        <w:softHyphen/>
        <w:t>ловлен острым повышением легочной сосудистой ре</w:t>
        <w:softHyphen/>
        <w:t>зистентности во время крика, проведения пробы Вальсальвы, длительной задержке дыхания. Персис- тирующий цианоз в результате лево-правого шунта может наблюдаться в неонатальном периоде до того времени, пока не снизится легочное сосудистое со</w:t>
        <w:softHyphen/>
        <w:t>противление.</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Парадоксальная эмболия через открытое овальное окно может сопровождаться неврологическими симптомами, такими как расстройство зрения, сла</w:t>
        <w:softHyphen/>
        <w:t>бость, гемиплегия, нечленораздельная речь.</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Физикальные данные:</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 существует физикальных данных, указывающих на открытое овальное окно, если отсутствуют сопутству</w:t>
        <w:softHyphen/>
        <w:t>ющие врожденные пороки сердца. Однако открытое овальное окно должно быть заподозрено у пациентов с транзиторным генерализованным цианозом.</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Умеренный лево-правый шунт через открытое оваль</w:t>
        <w:softHyphen/>
        <w:t>ное окно может сопровождаться физикальными дан</w:t>
        <w:softHyphen/>
        <w:t>ными, которые отмечаются при вторичном ДМПП. Эти данные включают фиксированный рас</w:t>
        <w:softHyphen/>
        <w:t>щепленный второй тон сердца, легочный систоличе</w:t>
        <w:softHyphen/>
        <w:t>ский шум изгнания, низкочастотный диастоличес</w:t>
        <w:softHyphen/>
        <w:t>кий тон в нижней части грудной клетки справа.</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Право-левый шунт через овальное окно проявляется симметричным центральным цианозом и не наблю</w:t>
        <w:softHyphen/>
        <w:t>дается дифференцированного цианоза.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Стандартная трансторакальная двухмерная эхокар</w:t>
        <w:softHyphen/>
        <w:t>диография позволяет обнаружить промежуток в сред</w:t>
        <w:softHyphen/>
        <w:t>ней части межпредсердной перегородки, обусловлен</w:t>
        <w:softHyphen/>
        <w:t>ный открытым овальным окном. Иногда открытое овальное окно сопровождается небольшой аневриз</w:t>
        <w:softHyphen/>
        <w:t>мой межпредсердной перегородки.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Чрезпищеводная эхокардиография должна быть про</w:t>
        <w:softHyphen/>
        <w:t>ведена у больных с подозрением на шунт при плохой трансторакальной визуализации перегородки.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Контрастная эхокардиография позволяет выявить шунт через овальное окно при проведении пробы Вальсальвы.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Цветовая допплерография: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Цветовой допплер, выполненный из субкостальной позиции, непосредственно подтверждает лево-пра</w:t>
        <w:softHyphen/>
        <w:t>вый шунт через открытое овальное окно.</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Выявление право-левого шунта через овальное окно затруднено, поскольку поток направлен в противопо</w:t>
        <w:softHyphen/>
        <w:t>ложную сторону от датчика.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pict>
          <v:shape id="_x0000_s1187" type="#_x0000_t75" style="position:absolute;margin-left:136.8pt;margin-top:736.8pt;width:209.75pt;height:14.9pt;z-index:-125829281;mso-wrap-distance-left:136.3pt;mso-wrap-distance-right:147.85pt;mso-wrap-distance-bottom:10.8pt;mso-position-horizontal-relative:margin;mso-position-vertical-relative:margin" wrapcoords="0 0 21600 0 21600 21600 0 21600 0 0">
            <v:imagedata r:id="rId256" r:href="rId257"/>
            <w10:wrap type="topAndBottom" anchorx="margin" anchory="margin"/>
          </v:shape>
        </w:pict>
      </w:r>
      <w:r>
        <w:rPr>
          <w:lang w:val="ru-RU" w:eastAsia="ru-RU" w:bidi="ru-RU"/>
          <w:w w:val="100"/>
          <w:spacing w:val="0"/>
          <w:color w:val="000000"/>
          <w:position w:val="0"/>
        </w:rPr>
        <w:t>Катетеризация сердца проводится только при подо</w:t>
        <w:softHyphen/>
        <w:t>зрении на врожденные аномалии. Она может потре</w:t>
        <w:softHyphen/>
        <w:t>боваться, если проводится транскатетерная окклюзия овального окна.</w:t>
      </w:r>
      <w:r>
        <w:br w:type="page"/>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После катетеризации возможны осложнения, вклю</w:t>
        <w:softHyphen/>
        <w:t>чая кровоизлияние, разрыв сосуда, боли, тошноту, рвоту, артериальную или венозную обструкцию тром</w:t>
        <w:softHyphen/>
        <w:t>бом или при спазме сосуда.</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Осложнения при транскатетерной окклюзии включа</w:t>
        <w:softHyphen/>
        <w:t>ют тахиаритмии, брадиаритмии, окклюзию сосуда.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Дифференциальный диагноз</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Дефект межпредсердной перегородки в области ко</w:t>
        <w:softHyphen/>
        <w:t>ронарного синуса.</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Первичный дефект межпредсердной перегородки.</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Вторичный дефект межпредсердной перегородки.</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Дефект межпредсердной перегородки в области ве</w:t>
        <w:softHyphen/>
        <w:t>нозного синуса.</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Тотальный аномальный дренаж легочных вен.</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Медикаментозное лечение</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Больные с небольшим шунтом через открытое оваль</w:t>
        <w:softHyphen/>
        <w:t>ное окно не нуждаются в каком-либо лечении. Тера</w:t>
        <w:softHyphen/>
        <w:t>пия кислородом показана детям, у которых возника</w:t>
        <w:softHyphen/>
        <w:t>ет транзиторный цианоз, а также пациентам с пра</w:t>
        <w:softHyphen/>
        <w:t xml:space="preserve">во-левым шунтом через овальное окно при легочной гипертензии. Больным с парадоксальной эмболией рекомендуется прием антикоагулянтов (аспирин или </w:t>
      </w:r>
      <w:r>
        <w:rPr>
          <w:lang w:val="en-US" w:eastAsia="en-US" w:bidi="en-US"/>
          <w:w w:val="100"/>
          <w:spacing w:val="0"/>
          <w:color w:val="000000"/>
          <w:position w:val="0"/>
        </w:rPr>
        <w:t>Coumadin).</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Хирургическая коррекция</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Закрытие овального окна показано при право-левом шунте у больных с подозрением на парадоксальную эмболию. Закрытие овального окна проводится так</w:t>
        <w:softHyphen/>
        <w:t>же больным с инсультом, если исключены другие его причины. Закрытие может быть показано в случаях повторных эпизодов инсульта при неэффективности приема антикоагулянтов.</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Хирургическое закрытие открытого овального окна должно быть стандартной процедурой для предуп</w:t>
        <w:softHyphen/>
        <w:t>реждения парадоксальной эмболии у больных с цере</w:t>
        <w:softHyphen/>
        <w:t>броваскулярными инсультами. Процедура проводит</w:t>
        <w:softHyphen/>
        <w:t>ся с минимальной заболеваемостью и смертностью.</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Транскатетерное закрытие межпредсердного дефекта является новой техникой и имеет большие преиму</w:t>
        <w:softHyphen/>
        <w:t>щества.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Активность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Активность детей не ограничивается, за исключением пациентов с открытым овальным окном, у которых при на</w:t>
        <w:softHyphen/>
        <w:t>грузке появляется цианоз.</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Амбулаторное наблюдение</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Наблюдение проводится за детьми с открытым оваль</w:t>
        <w:softHyphen/>
        <w:t>ным окном и транзиторно возникающим централь</w:t>
        <w:softHyphen/>
        <w:t>ным цианозом.</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Показано наблюдение за больными с проведенной чрезкатетерной окклюзией открытого овального ок</w:t>
        <w:softHyphen/>
        <w:t>на.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Осложнения</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Транзиторный цианоз.</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Парадоксальная эмболия системная.</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Инсульт мозга вследствие парадоксальной эмболии.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Прогноз</w:t>
      </w:r>
    </w:p>
    <w:p>
      <w:pPr>
        <w:pStyle w:val="Style30"/>
        <w:numPr>
          <w:ilvl w:val="0"/>
          <w:numId w:val="4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Прогноз открытого овального окна благоприятный. Обычно цианоз в неонатальном периоде из-за откры</w:t>
        <w:softHyphen/>
        <w:t>того овального окна исчезает при снижении легочно</w:t>
        <w:softHyphen/>
        <w:t>го сосудистого сопротивления. У больных с врожден</w:t>
        <w:softHyphen/>
        <w:t>ными пороками сердца, напротив, право-левый шунт через открытое овальное окно и цианоз усиливаются с возрастом. Такая ситуация наблюдается при анома</w:t>
        <w:softHyphen/>
        <w:br w:type="column"/>
        <w:t>лии Эбштейна, когда появляется цианоз после или при физической нагрузке.</w:t>
      </w:r>
    </w:p>
    <w:p>
      <w:pPr>
        <w:pStyle w:val="Style30"/>
        <w:numPr>
          <w:ilvl w:val="0"/>
          <w:numId w:val="43"/>
        </w:numPr>
        <w:tabs>
          <w:tab w:leader="none" w:pos="512" w:val="left"/>
        </w:tabs>
        <w:widowControl w:val="0"/>
        <w:keepNext w:val="0"/>
        <w:keepLines w:val="0"/>
        <w:shd w:val="clear" w:color="auto" w:fill="auto"/>
        <w:bidi w:val="0"/>
        <w:spacing w:before="0" w:after="221"/>
        <w:ind w:left="520" w:right="0" w:hanging="240"/>
      </w:pPr>
      <w:r>
        <w:rPr>
          <w:lang w:val="ru-RU" w:eastAsia="ru-RU" w:bidi="ru-RU"/>
          <w:w w:val="100"/>
          <w:spacing w:val="0"/>
          <w:color w:val="000000"/>
          <w:position w:val="0"/>
        </w:rPr>
        <w:t>Смерть может возникать из-за парадоксальной эмбо</w:t>
        <w:softHyphen/>
        <w:t>лии у взрослых лиц, но наблюдается очень редко. Це</w:t>
        <w:softHyphen/>
        <w:t>реброваскулярные ишемические проявления в резуль</w:t>
        <w:softHyphen/>
        <w:t>тате парадоксальной эмболии через открытое овальное окно возникают у больных с тромбозом глубоких вен или повышенной свертываемостью крови. Риск пара</w:t>
        <w:softHyphen/>
        <w:t>доксальной эмболии повышен у детей и взрослых, ко</w:t>
        <w:softHyphen/>
        <w:t>торые были подвергнуты нейрохирургической опера</w:t>
        <w:softHyphen/>
        <w:t>ции. У больных с заболеванием легких и высокой ле</w:t>
        <w:softHyphen/>
        <w:t>гочной гипертензией также повышен риск парадок</w:t>
        <w:softHyphen/>
        <w:t>сальной эмболии через открытое овальное окно.</w:t>
      </w:r>
    </w:p>
    <w:p>
      <w:pPr>
        <w:pStyle w:val="Style48"/>
        <w:widowControl w:val="0"/>
        <w:keepNext/>
        <w:keepLines/>
        <w:shd w:val="clear" w:color="auto" w:fill="auto"/>
        <w:bidi w:val="0"/>
        <w:jc w:val="left"/>
        <w:spacing w:before="0" w:after="79" w:line="240" w:lineRule="exact"/>
        <w:ind w:left="0" w:right="960" w:firstLine="0"/>
      </w:pPr>
      <w:bookmarkStart w:id="327" w:name="bookmark327"/>
      <w:r>
        <w:rPr>
          <w:lang w:val="ru-RU" w:eastAsia="ru-RU" w:bidi="ru-RU"/>
          <w:w w:val="100"/>
          <w:spacing w:val="0"/>
          <w:color w:val="000000"/>
          <w:position w:val="0"/>
        </w:rPr>
        <w:t>Дефект межпредсердной перегородки в области венозного синуса</w:t>
      </w:r>
      <w:bookmarkEnd w:id="327"/>
    </w:p>
    <w:p>
      <w:pPr>
        <w:pStyle w:val="Style92"/>
        <w:widowControl w:val="0"/>
        <w:keepNext/>
        <w:keepLines/>
        <w:shd w:val="clear" w:color="auto" w:fill="auto"/>
        <w:bidi w:val="0"/>
        <w:spacing w:before="0" w:after="0"/>
        <w:ind w:left="520" w:right="0" w:hanging="240"/>
      </w:pPr>
      <w:bookmarkStart w:id="328" w:name="bookmark328"/>
      <w:r>
        <w:rPr>
          <w:lang w:val="ru-RU" w:eastAsia="ru-RU" w:bidi="ru-RU"/>
          <w:w w:val="100"/>
          <w:spacing w:val="0"/>
          <w:color w:val="000000"/>
          <w:position w:val="0"/>
        </w:rPr>
        <w:t>Определение</w:t>
      </w:r>
      <w:bookmarkEnd w:id="32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Врожденное аномальное сообщение между предсердия</w:t>
        <w:softHyphen/>
        <w:t>ми в верхней порции перегородки, продолжающееся на верхнюю полую вену.</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43"/>
        </w:numPr>
        <w:tabs>
          <w:tab w:leader="none" w:pos="512"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Дефект венозного синуса составляет примерно 1% среди всех врожденных пороков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numPr>
          <w:ilvl w:val="0"/>
          <w:numId w:val="4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Дефект перегородки в области коронарного синуса чаще наблюдается у девочек, чем у мальчиков, в соот</w:t>
        <w:softHyphen/>
        <w:t>ношении Ж:М — 2:1.</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numPr>
          <w:ilvl w:val="0"/>
          <w:numId w:val="4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Дефект венозного синуса может определяться сразу после рождения. Клиническая проявляемость порока зависит от размера лево-правого шунта. У новорож</w:t>
        <w:softHyphen/>
        <w:t>денных порок протекает обычно бессимптомно и редко сопровождается шумом при физикальном об</w:t>
        <w:softHyphen/>
        <w:t>следовании.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numPr>
          <w:ilvl w:val="0"/>
          <w:numId w:val="4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 время эмбрионального развития правый выступ венозного синуса окружает правую верхнюю полую вену и нижнюю полую вену. Если нарушается ре</w:t>
        <w:softHyphen/>
        <w:t>зорбция венозного синуса, возникает дефект меж</w:t>
        <w:softHyphen/>
        <w:t>предсердной перегородки около отверстий или верх</w:t>
        <w:softHyphen/>
        <w:t>ней или нижней полых вен.</w:t>
      </w:r>
    </w:p>
    <w:p>
      <w:pPr>
        <w:pStyle w:val="Style30"/>
        <w:numPr>
          <w:ilvl w:val="0"/>
          <w:numId w:val="4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Характерно, что, в отличие от других ДМПП, дефект в области венозного синуса обычно является изоли</w:t>
        <w:softHyphen/>
        <w:t>рованной аномалией.</w:t>
      </w:r>
    </w:p>
    <w:p>
      <w:pPr>
        <w:pStyle w:val="Style30"/>
        <w:numPr>
          <w:ilvl w:val="0"/>
          <w:numId w:val="4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Другие аномалии могут усиливать проявления ДМПП венозного синуса. Например, артериальная гипертензия при ДМПП венозного синуса сопровож</w:t>
        <w:softHyphen/>
        <w:t>дается гипертрофией левого желудочка и уменьшени</w:t>
        <w:softHyphen/>
        <w:t>ем его комплайнса. При такой ситуации усиливается лево-правый межпредсердный шунт. Аналогично этому большое межпредсердное шунтирование воз</w:t>
        <w:softHyphen/>
        <w:t>никает при врожденном или приобретенном мит</w:t>
        <w:softHyphen/>
        <w:t>ральном стенозе.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numPr>
          <w:ilvl w:val="0"/>
          <w:numId w:val="43"/>
        </w:numPr>
        <w:tabs>
          <w:tab w:leader="none" w:pos="512" w:val="left"/>
        </w:tabs>
        <w:widowControl w:val="0"/>
        <w:keepNext w:val="0"/>
        <w:keepLines w:val="0"/>
        <w:shd w:val="clear" w:color="auto" w:fill="auto"/>
        <w:bidi w:val="0"/>
        <w:spacing w:before="0" w:after="0"/>
        <w:ind w:left="520" w:right="0" w:hanging="240"/>
      </w:pPr>
      <w:r>
        <w:pict>
          <v:shape id="_x0000_s1188" type="#_x0000_t75" style="position:absolute;margin-left:148.1pt;margin-top:736.8pt;width:209.75pt;height:14.9pt;z-index:-125829280;mso-wrap-distance-left:147.6pt;mso-wrap-distance-right:136.55pt;mso-wrap-distance-bottom:10.8pt;mso-position-horizontal-relative:margin;mso-position-vertical-relative:margin" wrapcoords="0 0 21600 0 21600 21600 0 21600 0 0">
            <v:imagedata r:id="rId258" r:href="rId259"/>
            <w10:wrap type="topAndBottom" anchorx="margin" anchory="margin"/>
          </v:shape>
        </w:pict>
      </w:r>
      <w:r>
        <w:rPr>
          <w:lang w:val="ru-RU" w:eastAsia="ru-RU" w:bidi="ru-RU"/>
          <w:w w:val="100"/>
          <w:spacing w:val="0"/>
          <w:color w:val="000000"/>
          <w:position w:val="0"/>
        </w:rPr>
        <w:t>В большинстве случаев ДМПП венозного синуса на</w:t>
        <w:softHyphen/>
        <w:t>блюдается в верхней порции предсердной перегородки и продолжается на верхнюю полую вену. Дефект нахо</w:t>
        <w:softHyphen/>
        <w:t>дится сзади от овального окна и тем самым отличается от вторичного ДМПП. Очень часто септальный дефект венозного синуса сочетается с аномальным дрениро</w:t>
        <w:softHyphen/>
        <w:t>ванием легочных вен (правой верхней легочной вены)</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в верхнюю полую вену. Реже дефект может наблюдать</w:t>
        <w:softHyphen/>
        <w:t>ся в области слияния правого предсердия и нижней полой вены и сочетается с аномальным дренажем пра</w:t>
        <w:softHyphen/>
        <w:t>вой нижней легочной вены с нижней полой веной. Редко септальный дефект венозного синуса располага</w:t>
        <w:softHyphen/>
        <w:t>ется сзади овального отверстия и не сопровождается повреждением верхней или нижней полой вены.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Дефект межпредсердной перегородки в области веноз</w:t>
        <w:softHyphen/>
        <w:t>ного синуса, как и другие типы ДМПП, выявляется по на</w:t>
        <w:softHyphen/>
        <w:t>личию шума у бессимптомных пациентов.</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Симптомы ДМПП в области венозного синуса обус</w:t>
        <w:softHyphen/>
        <w:t>ловлены функционированием межпредсердного шунта.</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Около 60% пациентов могут иметь быструю утомляе</w:t>
        <w:softHyphen/>
        <w:t>мость и одышку. Эти симптомы обычно указывают на большой лево-правый шунт.</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подростков и взрослых начальные симптомы поро - ка могут проявиться аритмией, снижением толерант</w:t>
        <w:softHyphen/>
        <w:t>ности к физическим нагрузкам, одышкой.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Физикальное обследование:</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Выслушивается систолический шум, вторичный к увеличенному легочному потоку крови вдоль лево</w:t>
        <w:softHyphen/>
        <w:t>го края грудины. Шум обычно 2-3/6 градации. При большой величине дефекта может выслушивать</w:t>
        <w:softHyphen/>
        <w:t>ся диастолический шум в проекции трикуспидально</w:t>
        <w:softHyphen/>
        <w:t>го клапана. Его обнаружение обычно свидетельствует о большой величине лево-правого сброса.</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Второй тон широкий, расщепленный, не меняется в зависимости от фазы дыхания. Легочный компо</w:t>
        <w:softHyphen/>
        <w:t>нент второго тона обычно нормальный по интенсив</w:t>
        <w:softHyphen/>
        <w:t>ности, но может усиливаться при присоединении ле</w:t>
        <w:softHyphen/>
        <w:t>гочной гипертензии.</w:t>
      </w:r>
    </w:p>
    <w:p>
      <w:pPr>
        <w:pStyle w:val="Style30"/>
        <w:numPr>
          <w:ilvl w:val="0"/>
          <w:numId w:val="4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Многие дети имеют </w:t>
      </w:r>
      <w:r>
        <w:rPr>
          <w:lang w:val="en-US" w:eastAsia="en-US" w:bidi="en-US"/>
          <w:w w:val="100"/>
          <w:spacing w:val="0"/>
          <w:color w:val="000000"/>
          <w:position w:val="0"/>
        </w:rPr>
        <w:t xml:space="preserve">«gracile habitus». </w:t>
      </w:r>
      <w:r>
        <w:rPr>
          <w:lang w:val="ru-RU" w:eastAsia="ru-RU" w:bidi="ru-RU"/>
          <w:w w:val="100"/>
          <w:spacing w:val="0"/>
          <w:color w:val="000000"/>
          <w:position w:val="0"/>
        </w:rPr>
        <w:t>Они тонкие и высокие.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Электрокардиография:</w:t>
      </w:r>
    </w:p>
    <w:p>
      <w:pPr>
        <w:pStyle w:val="Style30"/>
        <w:numPr>
          <w:ilvl w:val="0"/>
          <w:numId w:val="43"/>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Выявляется гипертрофия правого желудочка, уд</w:t>
        <w:softHyphen/>
        <w:t xml:space="preserve">линение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 xml:space="preserve">неполная блокада правой ножки пучка Гиса (маленький </w:t>
      </w:r>
      <w:r>
        <w:rPr>
          <w:lang w:val="en-US" w:eastAsia="en-US" w:bidi="en-US"/>
          <w:w w:val="100"/>
          <w:spacing w:val="0"/>
          <w:color w:val="000000"/>
          <w:position w:val="0"/>
        </w:rPr>
        <w:t>rSR').</w:t>
      </w:r>
    </w:p>
    <w:p>
      <w:pPr>
        <w:pStyle w:val="Style30"/>
        <w:numPr>
          <w:ilvl w:val="0"/>
          <w:numId w:val="43"/>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Увеличение зубца </w:t>
      </w:r>
      <w:r>
        <w:rPr>
          <w:lang w:val="en-US" w:eastAsia="en-US" w:bidi="en-US"/>
          <w:w w:val="100"/>
          <w:spacing w:val="0"/>
          <w:color w:val="000000"/>
          <w:position w:val="0"/>
        </w:rPr>
        <w:t xml:space="preserve">P </w:t>
      </w:r>
      <w:r>
        <w:rPr>
          <w:lang w:val="ru-RU" w:eastAsia="ru-RU" w:bidi="ru-RU"/>
          <w:w w:val="100"/>
          <w:spacing w:val="0"/>
          <w:color w:val="000000"/>
          <w:position w:val="0"/>
        </w:rPr>
        <w:t>из-за дилатации правого пред</w:t>
        <w:softHyphen/>
        <w:t>сердия.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Рентгенография грудной клетки:</w:t>
      </w:r>
    </w:p>
    <w:p>
      <w:pPr>
        <w:pStyle w:val="Style30"/>
        <w:numPr>
          <w:ilvl w:val="0"/>
          <w:numId w:val="43"/>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Выступающий контур правого предсердия</w:t>
      </w:r>
    </w:p>
    <w:p>
      <w:pPr>
        <w:pStyle w:val="Style30"/>
        <w:numPr>
          <w:ilvl w:val="0"/>
          <w:numId w:val="43"/>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Увеличение тени сердца и сосудистого рисунка легких.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Эхокардиография:</w:t>
      </w:r>
    </w:p>
    <w:p>
      <w:pPr>
        <w:pStyle w:val="Style30"/>
        <w:numPr>
          <w:ilvl w:val="0"/>
          <w:numId w:val="43"/>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Эхокардиография позволяет с большой достовер</w:t>
        <w:softHyphen/>
        <w:t>ностью диагностировать дефект у детей младшего возраста.</w:t>
      </w:r>
    </w:p>
    <w:p>
      <w:pPr>
        <w:pStyle w:val="Style30"/>
        <w:numPr>
          <w:ilvl w:val="0"/>
          <w:numId w:val="43"/>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Двухмерная эхокардиография и цветовой допплер выявляют дефект и наличие аномального дренажа в качестве сопутствующей аномалии. Метод доку</w:t>
        <w:softHyphen/>
        <w:t>ментирует лево-правый (или право-левый) шунт, перегрузку правого предсердия.</w:t>
      </w:r>
    </w:p>
    <w:p>
      <w:pPr>
        <w:pStyle w:val="Style30"/>
        <w:numPr>
          <w:ilvl w:val="0"/>
          <w:numId w:val="43"/>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 проведении эхокардиографии выявляется аномальное соединение правой легочной вены примерно у 90% пациентов с ДМПП коронарного синуса. У подростков и взрослых диагностика ДМПП венозного синуса затруднена, по этой причине проводится чрезпищеводная эхокардио</w:t>
        <w:softHyphen/>
        <w:t>графия.</w:t>
      </w:r>
    </w:p>
    <w:p>
      <w:pPr>
        <w:pStyle w:val="Style30"/>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Катетеризация сердца:</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 обычно не проводится у паци</w:t>
        <w:softHyphen/>
        <w:t>ентов с ДМПП в области венозного синуса, однако она может потребоваться в следующих ситуациях:</w:t>
      </w:r>
    </w:p>
    <w:p>
      <w:pPr>
        <w:pStyle w:val="Style30"/>
        <w:numPr>
          <w:ilvl w:val="0"/>
          <w:numId w:val="45"/>
        </w:numPr>
        <w:tabs>
          <w:tab w:leader="none" w:pos="51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 больных с подозрением на сопутствующие внут</w:t>
        <w:softHyphen/>
        <w:t>рисердечные аномалии или легочную гипертен</w:t>
        <w:softHyphen/>
        <w:t>зию. Проводится измерение давления в легочной артерии, легочная сосудистая резистентность и ее реакция на введение вазодилататоров;</w:t>
      </w:r>
    </w:p>
    <w:p>
      <w:pPr>
        <w:pStyle w:val="Style30"/>
        <w:numPr>
          <w:ilvl w:val="0"/>
          <w:numId w:val="45"/>
        </w:numPr>
        <w:tabs>
          <w:tab w:leader="none" w:pos="51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 взрослых пациентов для исключения коронар</w:t>
        <w:softHyphen/>
        <w:t>ного атеросклероза, осложняющего закрытие ДМПП венозного синуса.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Дифференциальный диагноз</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ДМПП коронарного синуса.</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Первичный ДМПП.</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Вторичный ДМПП.</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Частично открытый атриовентрикулярный канал.</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Трехпредсердное сердце.</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Частичный аномальный дренаж легочных вен.</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Клапанный стеноз легочной артерии.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 отсутствием клинической симптоматики порока медикаментозное лечение не проводится.</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Показана стандартная терапия у детей и взрослых с ДМПП венозного синуса перед операцией, если имеются признаки сердечной недостаточности.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 ДМПП в области венозно - го синуса более комплексная, чем при вторичном ДМПП. Проводится наложение заплаты (синтетиче</w:t>
        <w:softHyphen/>
        <w:t>ские материалы или из перикарда) для восстановле</w:t>
        <w:softHyphen/>
        <w:t>ния потока крови из правой верхней легочной вены в левое предсердие. Заплата эффективно перекрывает межпредсердное сообщение и корригирует аномаль</w:t>
        <w:softHyphen/>
        <w:t>ный дренаж легочных вен. Иногда, для избежания обструкции верхней полой вены, заплата накладыва</w:t>
        <w:softHyphen/>
        <w:t>ется по передней поверхности вены. При таком виде коррекции порока существует опасность поврежде</w:t>
        <w:softHyphen/>
        <w:t xml:space="preserve">ния синусового узла. Может потребоваться перевязка вены </w:t>
      </w:r>
      <w:r>
        <w:rPr>
          <w:lang w:val="en-US" w:eastAsia="en-US" w:bidi="en-US"/>
          <w:w w:val="100"/>
          <w:spacing w:val="0"/>
          <w:color w:val="000000"/>
          <w:position w:val="0"/>
        </w:rPr>
        <w:t xml:space="preserve">azygous, </w:t>
      </w:r>
      <w:r>
        <w:rPr>
          <w:lang w:val="ru-RU" w:eastAsia="ru-RU" w:bidi="ru-RU"/>
          <w:w w:val="100"/>
          <w:spacing w:val="0"/>
          <w:color w:val="000000"/>
          <w:position w:val="0"/>
        </w:rPr>
        <w:t>которая при ДМПП коронарного сину</w:t>
        <w:softHyphen/>
        <w:t>са может впадать в левое предсердие. Перевязка этой вены предупреждает резидуальный право-левый шунт.</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Оперативное лечение у детей без клинических прояв</w:t>
        <w:softHyphen/>
        <w:t>лений порока обычно проводится в возрасте 3-5 лет.</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ДМПП венозного синуса не может закрываться спон</w:t>
        <w:softHyphen/>
        <w:t>танно.</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подростков и взрослых пациентов операция долж</w:t>
        <w:softHyphen/>
        <w:t>на быть проведена, если лево-правый шунт больше, чем 1,5-2:1.</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Пациенты с легочной гипертензией и увеличенной сосудистой резистентностью легких должны получать вазодилататорную терапию (кислород, оксид азота, антагонисты кальциевых каналов) и редко являются кандидатами на хирургическую коррекцию порока. У таких больных может развиться острая правожелу</w:t>
        <w:softHyphen/>
        <w:t>дочковая недостаточность, как только произойдет за</w:t>
        <w:softHyphen/>
        <w:t>крытие право-левостороннего шунта через дефект.</w:t>
      </w:r>
    </w:p>
    <w:p>
      <w:pPr>
        <w:pStyle w:val="Style30"/>
        <w:numPr>
          <w:ilvl w:val="0"/>
          <w:numId w:val="43"/>
        </w:numPr>
        <w:tabs>
          <w:tab w:leader="none" w:pos="235" w:val="left"/>
        </w:tabs>
        <w:widowControl w:val="0"/>
        <w:keepNext w:val="0"/>
        <w:keepLines w:val="0"/>
        <w:shd w:val="clear" w:color="auto" w:fill="auto"/>
        <w:bidi w:val="0"/>
        <w:spacing w:before="0" w:after="0"/>
        <w:ind w:left="280" w:right="0" w:hanging="280"/>
      </w:pPr>
      <w:r>
        <w:pict>
          <v:shape id="_x0000_s1189" type="#_x0000_t75" style="position:absolute;margin-left:136.9pt;margin-top:736.8pt;width:209.75pt;height:14.9pt;z-index:-125829279;mso-wrap-distance-left:136.8pt;mso-wrap-distance-right:148.1pt;mso-wrap-distance-bottom:10.8pt;mso-position-horizontal-relative:margin;mso-position-vertical-relative:margin" wrapcoords="0 0 21600 0 21600 21600 0 21600 0 0">
            <v:imagedata r:id="rId260" r:href="rId261"/>
            <w10:wrap type="topAndBottom" anchorx="margin" anchory="margin"/>
          </v:shape>
        </w:pict>
      </w:r>
      <w:r>
        <w:rPr>
          <w:lang w:val="ru-RU" w:eastAsia="ru-RU" w:bidi="ru-RU"/>
          <w:w w:val="100"/>
          <w:spacing w:val="0"/>
          <w:color w:val="000000"/>
          <w:position w:val="0"/>
        </w:rPr>
        <w:t>Коррекция дефекта проводится различными метода</w:t>
        <w:softHyphen/>
        <w:t>ми, включая стандартную срединную стернотомию. В ряде случаев (в косметических целях) используют частичную стернотомию, небольшую правосторон-</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нюю переднюю торакотомию и доступ через молоч</w:t>
        <w:softHyphen/>
        <w:t>ную железу. Во всех случаях требуется проведение ис</w:t>
        <w:softHyphen/>
        <w:t>кусственного кровообращения.</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Поскольку в последние годы все шире стал пропаган</w:t>
        <w:softHyphen/>
        <w:t>дироваться метод транскатетерной окклюзии ДМПП, следует отметить, что проведение данного метода не проводится при септальных дефектах венозного си</w:t>
        <w:softHyphen/>
        <w:t>нуса.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Через 1-3 недели пациент должен быть осмотрен кар</w:t>
        <w:softHyphen/>
        <w:t>диохирургом или кардиологом.</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проводится эхокардиографическое исследование для оценки эффективности операции, резидуаль</w:t>
        <w:softHyphen/>
        <w:t>ного шунта, функции желудочков, перикардиаль</w:t>
        <w:softHyphen/>
        <w:t>ного выпота;</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необходимо исключить сужение верхней полой ве</w:t>
        <w:softHyphen/>
        <w:t>ны, которое может возникать в отдаленные сроки после операции;</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проводится обследование для исключения ди</w:t>
        <w:softHyphen/>
        <w:t>сфункции синусового узла, которая может возник</w:t>
        <w:softHyphen/>
        <w:t>нуть даже через 1 год после эффективного закры</w:t>
        <w:softHyphen/>
        <w:t>тия ДМПП венозного синуса.</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Обычно длительная терапия у больных с неослож</w:t>
        <w:softHyphen/>
        <w:t>ненной коррекцией ДМПП коронарного синуса не проводится. Рекомендуется прием антикоагулянтов (аспирин или другие) в течение нескольких недель после операции у пациентов, которым проводилось использование синтетической заплаты. Аспирин спо</w:t>
        <w:softHyphen/>
        <w:t>собствует активному росту эндотелиальных клеток и предупреждает тромбообразование. Длительная ан</w:t>
        <w:softHyphen/>
        <w:t>тикоагулянтная терапия не рекомендуется больным с нормальной функцией синусового узла.</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Профилактика инфекционного эндокардита у боль</w:t>
        <w:softHyphen/>
        <w:t>ных с ДМПП венозного синуса не требуется.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Дисфункция синусового узла.</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Обструкция легочных вен.</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Мерцание/трепетание предсердий.</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Легочная гипертензия.</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Выпот в перикард или постперикардиотомный синд</w:t>
        <w:softHyphen/>
        <w:t>ром.</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Синдром верхней полой вены.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Прогноз</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Хирургическое лечение, проведенное в первые два десятилетия жизни, практически не сопровождается летальными исходами. Продолжительность жизни соответствует общепопуляционным данным. Разме</w:t>
        <w:softHyphen/>
        <w:t>ры сердца после операции быстро нормализуются, полностью восстанавливаются функциональные по</w:t>
        <w:softHyphen/>
        <w:t>казатели. Если операция проведена в подростковом возрасте, частота положительных результатов опера</w:t>
        <w:softHyphen/>
        <w:t>ции снижается. Хирургическая смертность наблюда</w:t>
        <w:softHyphen/>
        <w:t>ется редко и связана в основном с постперикардио- томным синдромом, ранней постоперативной веноз</w:t>
        <w:softHyphen/>
        <w:t>ной легочной или системной обструкцией и супра</w:t>
        <w:softHyphen/>
        <w:t>вентрикулярной аритмией. Если дренаж легочных вен в левое предсердие выполнен неэффективно, воз</w:t>
        <w:softHyphen/>
        <w:t>никает обструктивное заболевание легочных вен. При некорректном восстановлении верхней полой вены возникает ее обструкция, что может потребо</w:t>
        <w:softHyphen/>
        <w:t>вать повторной операции создания соединения пере</w:t>
        <w:softHyphen/>
        <w:t>дней поверхности полой вены с правым предсердием.</w:t>
      </w:r>
    </w:p>
    <w:p>
      <w:pPr>
        <w:pStyle w:val="Style30"/>
        <w:numPr>
          <w:ilvl w:val="0"/>
          <w:numId w:val="43"/>
        </w:numPr>
        <w:tabs>
          <w:tab w:leader="none" w:pos="518" w:val="left"/>
        </w:tabs>
        <w:widowControl w:val="0"/>
        <w:keepNext w:val="0"/>
        <w:keepLines w:val="0"/>
        <w:shd w:val="clear" w:color="auto" w:fill="auto"/>
        <w:bidi w:val="0"/>
        <w:spacing w:before="0" w:after="221"/>
        <w:ind w:left="520" w:right="0" w:hanging="240"/>
      </w:pPr>
      <w:r>
        <w:br w:type="column"/>
      </w:r>
      <w:r>
        <w:rPr>
          <w:lang w:val="ru-RU" w:eastAsia="ru-RU" w:bidi="ru-RU"/>
          <w:w w:val="100"/>
          <w:spacing w:val="0"/>
          <w:color w:val="000000"/>
          <w:position w:val="0"/>
        </w:rPr>
        <w:t>Если операция не была проведена, то порок сердца значительно сокращает продолжительность активной жизни. После 20 лет смертность больных с неопери</w:t>
        <w:softHyphen/>
        <w:t>рованным ДМПП венозного синуса составляет в среднем 5% за декаду, 90% пациентов погибают в возрасте до 60 лет. Смерть таких больных возникает из-за застойной сердечной недостаточности с высо</w:t>
        <w:softHyphen/>
        <w:t>кой легочной гипертензией. С большой частотой от</w:t>
        <w:softHyphen/>
        <w:t>мечается фибрилляция предсердий, правожелудоч</w:t>
        <w:softHyphen/>
        <w:t>ковая декомпенсация, парадоксальная эмболия, ле</w:t>
        <w:softHyphen/>
        <w:t>гочная гипертензия.</w:t>
      </w:r>
    </w:p>
    <w:p>
      <w:pPr>
        <w:pStyle w:val="Style48"/>
        <w:widowControl w:val="0"/>
        <w:keepNext/>
        <w:keepLines/>
        <w:shd w:val="clear" w:color="auto" w:fill="auto"/>
        <w:bidi w:val="0"/>
        <w:jc w:val="left"/>
        <w:spacing w:before="0" w:after="79" w:line="240" w:lineRule="exact"/>
        <w:ind w:left="0" w:right="960" w:firstLine="0"/>
      </w:pPr>
      <w:bookmarkStart w:id="329" w:name="bookmark329"/>
      <w:r>
        <w:rPr>
          <w:lang w:val="ru-RU" w:eastAsia="ru-RU" w:bidi="ru-RU"/>
          <w:w w:val="100"/>
          <w:spacing w:val="0"/>
          <w:color w:val="000000"/>
          <w:position w:val="0"/>
        </w:rPr>
        <w:t>Дефект межпредсердной перегородки в области коронарного синуса</w:t>
      </w:r>
      <w:bookmarkEnd w:id="32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Межпредсердный дефект в области коронарного синуса определяется в зоне перегородки, включающей отверстие коронарного синуса, и характеризуется отсутствием разде</w:t>
        <w:softHyphen/>
        <w:t>ляющей стенки между коронарным синусом и левым пред</w:t>
        <w:softHyphen/>
        <w:t>сердием. Межпредсердное сообщение осуществляется че</w:t>
        <w:softHyphen/>
        <w:t>рез дефект перегородки со стороны левого предсердия, да</w:t>
        <w:softHyphen/>
        <w:t>лее в коронарный синус, который открыт со стороны пра</w:t>
        <w:softHyphen/>
        <w:t>вого предсердия.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Дефект коронарного синуса часто сочетается с персис- тирующей левой верхней полой веной, дренирующей в ко</w:t>
        <w:softHyphen/>
        <w:t>ронарный синус. Этот порок может сочетаться с комплекс</w:t>
        <w:softHyphen/>
        <w:t>ными пороками сердца, аномалиями расположения пред</w:t>
        <w:softHyphen/>
        <w:t>сердий и впадения системных вен.</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Дефект межпредсердной перегородки в области коро</w:t>
        <w:softHyphen/>
        <w:t>нарного синуса составляет около 1% среди всех типов ДМПП.</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 установлено, что дефект коронарного синуса чаще встречается у девочек, что имеет место при других типах ДМПП.</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Анатомия</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Дефект межпредсердной перегородки в области ко</w:t>
        <w:softHyphen/>
        <w:t>ронарного синуса возникает из-за недоразвития и на</w:t>
        <w:softHyphen/>
        <w:t>рушенного формирования стенки между коронар</w:t>
        <w:softHyphen/>
        <w:t>ным синусом и левым предсердием.</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Коронарный синус является системной венозной структурой. В эмбриогенезе развивается из левой об</w:t>
        <w:softHyphen/>
        <w:t>щей кардинальной вены, которая является продолже</w:t>
        <w:softHyphen/>
        <w:t>нием левой передней кардинальной вены. Дефект межпредсердной перегородки в области коронарного синуса обычно вовлекает нижнюю и переднюю зоны перегородки. Отверстие коронарного синуса стано</w:t>
        <w:softHyphen/>
        <w:t>вится продолжением левопредсердной камеры, и воз</w:t>
        <w:softHyphen/>
        <w:t>никает сообщение между двумя предсердиями.</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 правой стороны межпредсердной перегородки де</w:t>
        <w:softHyphen/>
        <w:t>фект может распространяться только на область си</w:t>
        <w:softHyphen/>
        <w:t>нуса или вовлекает окружающие ткани септальной перегородки.</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Нарушение в эмбриональном развитии регресса левой передней кардинальной вены обусловливает персисти- рование левой верхней вены, которая обычно впадает в правое предсердие или в коронарный синус. Левая верхняя полая вена может соединяться с левым пред</w:t>
        <w:softHyphen/>
        <w:t>сердием непосредственно или через коронарный синус.</w:t>
      </w:r>
    </w:p>
    <w:p>
      <w:pPr>
        <w:pStyle w:val="Style30"/>
        <w:numPr>
          <w:ilvl w:val="0"/>
          <w:numId w:val="43"/>
        </w:numPr>
        <w:tabs>
          <w:tab w:leader="none" w:pos="518" w:val="left"/>
        </w:tabs>
        <w:widowControl w:val="0"/>
        <w:keepNext w:val="0"/>
        <w:keepLines w:val="0"/>
        <w:shd w:val="clear" w:color="auto" w:fill="auto"/>
        <w:bidi w:val="0"/>
        <w:jc w:val="left"/>
        <w:spacing w:before="0" w:after="0"/>
        <w:ind w:left="520" w:right="0" w:hanging="240"/>
      </w:pPr>
      <w:r>
        <w:pict>
          <v:shape id="_x0000_s1190" type="#_x0000_t75" style="position:absolute;margin-left:142.2pt;margin-top:736.8pt;width:209.75pt;height:14.9pt;z-index:-125829278;mso-wrap-distance-left:136.1pt;mso-wrap-distance-right:136.8pt;mso-wrap-distance-bottom:10.8pt;mso-position-horizontal-relative:margin;mso-position-vertical-relative:margin" wrapcoords="0 0 21600 0 21600 21600 0 21600 0 0">
            <v:imagedata r:id="rId262" r:href="rId263"/>
            <w10:wrap type="topAndBottom" anchorx="margin" anchory="margin"/>
          </v:shape>
        </w:pict>
      </w:r>
      <w:r>
        <w:rPr>
          <w:lang w:val="ru-RU" w:eastAsia="ru-RU" w:bidi="ru-RU"/>
          <w:w w:val="100"/>
          <w:spacing w:val="0"/>
          <w:color w:val="000000"/>
          <w:position w:val="0"/>
        </w:rPr>
        <w:t>Полное отсутствие коронарного синуса наблюдается при общем предсердии, предсердном изомеризме,</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преимущественно правом типе предсердного изоме- ризма. Расположение предсердия является важным аспектом развития системного венозного дренирова</w:t>
        <w:softHyphen/>
        <w:t xml:space="preserve">ния. Так, дефект коронарного синуса не характерен при предсердном </w:t>
      </w:r>
      <w:r>
        <w:rPr>
          <w:lang w:val="en-US" w:eastAsia="en-US" w:bidi="en-US"/>
          <w:w w:val="100"/>
          <w:spacing w:val="0"/>
          <w:color w:val="000000"/>
          <w:position w:val="0"/>
        </w:rPr>
        <w:t xml:space="preserve">situs solitus. </w:t>
      </w:r>
      <w:r>
        <w:rPr>
          <w:lang w:val="ru-RU" w:eastAsia="ru-RU" w:bidi="ru-RU"/>
          <w:w w:val="100"/>
          <w:spacing w:val="0"/>
          <w:color w:val="000000"/>
          <w:position w:val="0"/>
        </w:rPr>
        <w:t xml:space="preserve">Редко при </w:t>
      </w:r>
      <w:r>
        <w:rPr>
          <w:lang w:val="en-US" w:eastAsia="en-US" w:bidi="en-US"/>
          <w:w w:val="100"/>
          <w:spacing w:val="0"/>
          <w:color w:val="000000"/>
          <w:position w:val="0"/>
        </w:rPr>
        <w:t xml:space="preserve">situs solitus </w:t>
      </w:r>
      <w:r>
        <w:rPr>
          <w:lang w:val="ru-RU" w:eastAsia="ru-RU" w:bidi="ru-RU"/>
          <w:w w:val="100"/>
          <w:spacing w:val="0"/>
          <w:color w:val="000000"/>
          <w:position w:val="0"/>
        </w:rPr>
        <w:t>наблюдаются аномалии верхней полой вены, персис- тирующая левая верхняя полая вена в коронарный синус встречается в 3% случаев.</w:t>
      </w:r>
    </w:p>
    <w:p>
      <w:pPr>
        <w:pStyle w:val="Style30"/>
        <w:numPr>
          <w:ilvl w:val="0"/>
          <w:numId w:val="4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Аномалии расположения предсердий с гетеротаксией и предсердным изомеризмом сочетаются с наруше</w:t>
        <w:softHyphen/>
        <w:t>нием формирования межпредсердной перегородки и венозного соединения. Эти аномалии при левоп</w:t>
        <w:softHyphen/>
        <w:t>редсердном изомеризме включают двустороннюю верхнюю полую вену с различной представленностью коронарного синуса. Другой вариант порока — пра</w:t>
        <w:softHyphen/>
        <w:t>вопредсердный изомеризм, при котором определяет</w:t>
        <w:softHyphen/>
        <w:t>ся двусторонняя верхняя полая вена с общим пред</w:t>
        <w:softHyphen/>
        <w:t>сердием и практически полным отсутствием коро</w:t>
        <w:softHyphen/>
        <w:t>нарного синуса.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Патофизиология</w:t>
      </w:r>
    </w:p>
    <w:p>
      <w:pPr>
        <w:pStyle w:val="Style30"/>
        <w:numPr>
          <w:ilvl w:val="0"/>
          <w:numId w:val="4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Изолированный дефект перегородки коронарного синуса обычно маленький, как и при вторичном ДМПП. Этот дефект не проявляет себя во время вну</w:t>
        <w:softHyphen/>
        <w:t>триутробного развития. После рождения происходит увеличение легочного кровотока и давления в левом предсердии, в результате чего возникает шунт через дефект, увеличивающийся с падением легочной сосу</w:t>
        <w:softHyphen/>
        <w:t>дистой резистентности.</w:t>
      </w:r>
    </w:p>
    <w:p>
      <w:pPr>
        <w:pStyle w:val="Style30"/>
        <w:numPr>
          <w:ilvl w:val="0"/>
          <w:numId w:val="4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Направление и степень шунта через дефект определя - ются величиной комплайнса правого и левого желу</w:t>
        <w:softHyphen/>
        <w:t>дочков. При рождении комплайнс обоих желудочков одинаковый, в результате чего шунт минимальный. Как только легочная сосудистая резистентность сни</w:t>
        <w:softHyphen/>
        <w:t>жается, податливость правого желудочка улучшается, усиливается лево-правый шунт через дефект. Подат</w:t>
        <w:softHyphen/>
        <w:t>ливость левого желудочка с возрастом уменьшается, что также способствует увеличению лево-правого шунта. Может наблюдаться минимальный право-ле</w:t>
        <w:softHyphen/>
        <w:t>вый шунт через дефект из нижней полой вены в пери</w:t>
        <w:softHyphen/>
        <w:t>од диастолы или в начале систолы желудочков.</w:t>
      </w:r>
    </w:p>
    <w:p>
      <w:pPr>
        <w:pStyle w:val="Style30"/>
        <w:numPr>
          <w:ilvl w:val="0"/>
          <w:numId w:val="4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Степень предсердного шунта может меняться в зави</w:t>
        <w:softHyphen/>
        <w:t>симости от дыхания и наличия легочного заболева</w:t>
        <w:softHyphen/>
        <w:t>ния. Величина и продолжительность лево-правого предсердного шунта увеличивается на вдохе и умень</w:t>
        <w:softHyphen/>
        <w:t>шается на выдохе. При патологических состояниях может возникать инвертированный (право-левосто</w:t>
        <w:softHyphen/>
        <w:t>ронний) шунт через дефект. Это может наблюдаться при стенозе легочной артерии, легочной гипертен</w:t>
        <w:softHyphen/>
        <w:t>зии, правожелудочковой гипертрофии, паренхима</w:t>
        <w:softHyphen/>
        <w:t>тозных заболеваниях легких. Снижение релаксаци</w:t>
        <w:softHyphen/>
        <w:t>онных свойств левого желудочка при обструкции вы</w:t>
        <w:softHyphen/>
        <w:t>ходного тракта или левожелудочковой гипертрофии приводит к увеличению лево-правостороннего шун</w:t>
        <w:softHyphen/>
        <w:t>тирования через дефект. Тяжесть митрального стено</w:t>
        <w:softHyphen/>
        <w:t>за при наличии межпредсердного сообщения может быть неправильно оценена, поскольку лево-правый шунт через дефект снижает давление в перегружен</w:t>
        <w:softHyphen/>
        <w:t>ном левом предсердии.</w:t>
      </w:r>
    </w:p>
    <w:p>
      <w:pPr>
        <w:pStyle w:val="Style30"/>
        <w:numPr>
          <w:ilvl w:val="0"/>
          <w:numId w:val="4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большом дефекте лево-правый шунт обусловли</w:t>
        <w:softHyphen/>
        <w:t>вает перегрузку и гипертрофию правого предсердия и желудочка. Легочная артерия дилатируется, в тяже</w:t>
        <w:softHyphen/>
        <w:t>лых случаях может развиться легочная гипертензия.</w:t>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Дилатация правого желудочка приводит к левосто</w:t>
        <w:softHyphen/>
        <w:t>роннему выбуханию межжелудочковой перегородки, что обусловливает пролапс митрального клапана и митральную регургитацию. Дилатация отверстия трикуспидального клапана при лево-правом септаль</w:t>
        <w:softHyphen/>
        <w:t>ном шунте обусловливает возникновение трикуспи</w:t>
        <w:softHyphen/>
        <w:t>дальной регургитации. Другие заболевания, сопро</w:t>
        <w:softHyphen/>
        <w:t>вождающиеся дилатацией правого или левого пред</w:t>
        <w:softHyphen/>
        <w:t>сердия, также влияют на величину и направление шунтирования через септальный дефект. При выра</w:t>
        <w:softHyphen/>
        <w:t>женной дилатации предсердий может возникнуть предсердная аритмия (например, мерцательная арит</w:t>
        <w:softHyphen/>
        <w:t>мия).</w:t>
      </w:r>
    </w:p>
    <w:p>
      <w:pPr>
        <w:pStyle w:val="Style30"/>
        <w:numPr>
          <w:ilvl w:val="0"/>
          <w:numId w:val="4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Другим аспектом патологии ДМПП коронарного си</w:t>
        <w:softHyphen/>
        <w:t>нуса является парадоксальная системная эмболия.</w:t>
      </w:r>
    </w:p>
    <w:p>
      <w:pPr>
        <w:pStyle w:val="Style30"/>
        <w:numPr>
          <w:ilvl w:val="0"/>
          <w:numId w:val="4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Изолированный септальный дефект коронарного си</w:t>
        <w:softHyphen/>
        <w:t>нуса практически не сопровождается инвалидизаци- ей и смертностью, частота которой аналогична при изолированном вторичном ДМПП.</w:t>
      </w:r>
    </w:p>
    <w:p>
      <w:pPr>
        <w:pStyle w:val="Style30"/>
        <w:numPr>
          <w:ilvl w:val="0"/>
          <w:numId w:val="4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Размер дефекта и величина шунта определяют кли</w:t>
        <w:softHyphen/>
        <w:t>ническую проявляемость порока. Как и при других типах ДМПП, у большинства больных с дефектом ко</w:t>
        <w:softHyphen/>
        <w:t>ронарного синуса порок протекает без клинических проявлений.</w:t>
      </w:r>
    </w:p>
    <w:p>
      <w:pPr>
        <w:pStyle w:val="Style30"/>
        <w:numPr>
          <w:ilvl w:val="0"/>
          <w:numId w:val="4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Небольшие дефекты часто не диагностируются у де</w:t>
        <w:softHyphen/>
        <w:t>тей младшего возраста, поскольку не вызывают ника</w:t>
        <w:softHyphen/>
        <w:t>ких проблем у детей и их родителей. В типичных слу</w:t>
        <w:softHyphen/>
        <w:t>чаях порок протекает бессимптомно, а начальными его проявлениями иногда могут быть сердечная недо</w:t>
        <w:softHyphen/>
        <w:t>статочность, как у новорожденных, так и у детей.</w:t>
      </w:r>
    </w:p>
    <w:p>
      <w:pPr>
        <w:pStyle w:val="Style30"/>
        <w:numPr>
          <w:ilvl w:val="0"/>
          <w:numId w:val="4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Хотя ДМПП коронарного синуса может быть заподо - зрен у детей на первом году жизни, обычно порок вы - является позднее, поскольку физикальные признаки и симптомы не имеют специфических проявлений. ДМПП в сочетании с другими комплексными поро</w:t>
        <w:softHyphen/>
        <w:t>ками сердца распознается рано из-за выраженных ге</w:t>
        <w:softHyphen/>
        <w:t>модинамических нарушений.</w:t>
      </w:r>
    </w:p>
    <w:p>
      <w:pPr>
        <w:pStyle w:val="Style30"/>
        <w:numPr>
          <w:ilvl w:val="0"/>
          <w:numId w:val="4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изолированном дефекте коронарного синуса ле</w:t>
        <w:softHyphen/>
        <w:t>во-правый шунт, а следовательно, симптомы сердеч</w:t>
        <w:softHyphen/>
        <w:t>ной недостаточности увеличиваются с возрастом и широко варьируют от минимальных до выражен</w:t>
        <w:softHyphen/>
        <w:t>ных. Такие симптомы, как плохая переносимость фи</w:t>
        <w:softHyphen/>
        <w:t>зических нагрузок, появляются обычно в подростко</w:t>
        <w:softHyphen/>
        <w:t>вом возрасте.</w:t>
      </w:r>
    </w:p>
    <w:p>
      <w:pPr>
        <w:pStyle w:val="Style30"/>
        <w:numPr>
          <w:ilvl w:val="0"/>
          <w:numId w:val="4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Большой дефект с выраженной объемной перегруз - кой предсердий предрасполагает к предсердным аритмиям, мерцанию/трепетанию предсердий, тахи</w:t>
        <w:softHyphen/>
        <w:t>кардии. Предсердные аритмии у неоперированных пациентов обычно появляются на третьей декаде жизни. Не отмечено корреляции между величиной артериального давления в легочной артерии и часто</w:t>
        <w:softHyphen/>
        <w:t>той предсердной аритмии. Могут наблюдаться сину</w:t>
        <w:softHyphen/>
        <w:t>совая брадикардия, узловой ритм, атриовентрикуляр</w:t>
        <w:softHyphen/>
        <w:t>ная блокада. Частота брадиаритмий при дефекте ко</w:t>
        <w:softHyphen/>
        <w:t>ронарного синуса аналогична таковой при других формах ДМПП. Частота сердечных аритмий выше при дефекте коронарного синуса в сочетании с пред</w:t>
        <w:softHyphen/>
        <w:t>сердным изомеризмом.</w:t>
      </w:r>
    </w:p>
    <w:p>
      <w:pPr>
        <w:pStyle w:val="Style30"/>
        <w:numPr>
          <w:ilvl w:val="0"/>
          <w:numId w:val="43"/>
        </w:numPr>
        <w:tabs>
          <w:tab w:leader="none" w:pos="236" w:val="left"/>
        </w:tabs>
        <w:widowControl w:val="0"/>
        <w:keepNext w:val="0"/>
        <w:keepLines w:val="0"/>
        <w:shd w:val="clear" w:color="auto" w:fill="auto"/>
        <w:bidi w:val="0"/>
        <w:spacing w:before="0" w:after="0"/>
        <w:ind w:left="260" w:right="0"/>
      </w:pPr>
      <w:r>
        <w:pict>
          <v:shape id="_x0000_s1191" type="#_x0000_t75" style="position:absolute;margin-left:130.55pt;margin-top:736.8pt;width:209.75pt;height:14.9pt;z-index:-125829277;mso-wrap-distance-left:124.1pt;mso-wrap-distance-right:148.1pt;mso-wrap-distance-bottom:10.8pt;mso-position-horizontal-relative:margin;mso-position-vertical-relative:margin" wrapcoords="0 0 21600 0 21600 21600 0 21600 0 0">
            <v:imagedata r:id="rId264" r:href="rId265"/>
            <w10:wrap type="topAndBottom" anchorx="margin" anchory="margin"/>
          </v:shape>
        </w:pict>
      </w:r>
      <w:r>
        <w:rPr>
          <w:lang w:val="ru-RU" w:eastAsia="ru-RU" w:bidi="ru-RU"/>
          <w:w w:val="100"/>
          <w:spacing w:val="0"/>
          <w:color w:val="000000"/>
          <w:position w:val="0"/>
        </w:rPr>
        <w:t>Легочная гипертензия очень редко может возникать при септальном дефекте коронарного синуса, однако известны случаи возникновения ее у детей младше 2-летнего возраста. Даже у пациентов с большим</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межпредсердным шунтом не отмечено повышенной частоты возникновения легочной гипертензии. Риск легочной гипертензии возрастает, если пациент про</w:t>
        <w:softHyphen/>
        <w:t>живает на высокогорье.</w:t>
      </w:r>
    </w:p>
    <w:p>
      <w:pPr>
        <w:pStyle w:val="Style30"/>
        <w:numPr>
          <w:ilvl w:val="0"/>
          <w:numId w:val="4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Бактериальный эндокардит не характерен для боль</w:t>
        <w:softHyphen/>
        <w:t>ных с дефектом коронарного синуса, по этой причи</w:t>
        <w:softHyphen/>
        <w:t>не антибактериальная профилактика не показана.</w:t>
      </w:r>
    </w:p>
    <w:p>
      <w:pPr>
        <w:pStyle w:val="Style30"/>
        <w:numPr>
          <w:ilvl w:val="0"/>
          <w:numId w:val="4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Парадоксальная эмболия может наблюдаться даже при небольшой величине дефекта, по этой причине является ведущим показанием к проведению опера</w:t>
        <w:softHyphen/>
        <w:t>ции у взрослых пациентов. Мерцательная аритмия является основной причиной тромбообразования в предсердиях с последующей тромбоэмболией. У неоперированных больных с дефектом коронарно</w:t>
        <w:softHyphen/>
        <w:t>го синуса и левой персистирующей верхней полой ве</w:t>
        <w:softHyphen/>
        <w:t>ной повышен риск церебральной эмболии и мозго</w:t>
        <w:softHyphen/>
        <w:t>вых абсцессов.</w:t>
      </w:r>
    </w:p>
    <w:p>
      <w:pPr>
        <w:pStyle w:val="Style30"/>
        <w:numPr>
          <w:ilvl w:val="0"/>
          <w:numId w:val="4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 настоящего времени не было сообщений о спон</w:t>
        <w:softHyphen/>
        <w:t>танном закрытии дефекта в области коронарного си</w:t>
        <w:softHyphen/>
        <w:t>нуса.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numPr>
          <w:ilvl w:val="0"/>
          <w:numId w:val="4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Дефект коронарного синуса может выявляться в лю</w:t>
        <w:softHyphen/>
        <w:t>бом возрасте, наиболее часто диагностируется у детей по поводу снижения физической активности. Часто дефект обнаруживается случайно по поводу обнару</w:t>
        <w:softHyphen/>
        <w:t>женного шума в сердце.</w:t>
      </w:r>
    </w:p>
    <w:p>
      <w:pPr>
        <w:pStyle w:val="Style30"/>
        <w:numPr>
          <w:ilvl w:val="0"/>
          <w:numId w:val="4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новорожденных детей порок может проявиться симптомами застойной сердечной недостаточности.</w:t>
      </w:r>
    </w:p>
    <w:p>
      <w:pPr>
        <w:pStyle w:val="Style30"/>
        <w:numPr>
          <w:ilvl w:val="0"/>
          <w:numId w:val="4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наблюдается снижение толерантности к фи</w:t>
        <w:softHyphen/>
        <w:t>зическим нагрузкам, частые респираторные инфек</w:t>
        <w:softHyphen/>
        <w:t>ции, болезни верхних дыхательных путей.</w:t>
      </w:r>
    </w:p>
    <w:p>
      <w:pPr>
        <w:pStyle w:val="Style30"/>
        <w:numPr>
          <w:ilvl w:val="0"/>
          <w:numId w:val="4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больных с ДМПП коронарного синуса и сопутству</w:t>
        <w:softHyphen/>
        <w:t>ющими кардиальными аномалиями обычно выявля</w:t>
        <w:softHyphen/>
        <w:t>ются выраженные гемодинамические нарушения в зависимости от типа аномалии.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Физикальные данные:</w:t>
      </w:r>
    </w:p>
    <w:p>
      <w:pPr>
        <w:pStyle w:val="Style30"/>
        <w:numPr>
          <w:ilvl w:val="0"/>
          <w:numId w:val="4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небольшой величине дефекта сердечный толчок не изменен. При большой величине дефекта опреде</w:t>
        <w:softHyphen/>
        <w:t>ляется выбухание прекордиальной области, усилен</w:t>
        <w:softHyphen/>
        <w:t>ный толчок над легочной артерией и гипердинамиче</w:t>
        <w:softHyphen/>
        <w:t>ский правожелудочковый толчок. Цианоз не характе</w:t>
        <w:softHyphen/>
        <w:t>рен для порока, но может появиться при развитии ле</w:t>
        <w:softHyphen/>
        <w:t>гочной гипертензии.</w:t>
      </w:r>
    </w:p>
    <w:p>
      <w:pPr>
        <w:pStyle w:val="Style30"/>
        <w:numPr>
          <w:ilvl w:val="0"/>
          <w:numId w:val="4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Первый тон сердца обычно нормальный или слегка расщеплен с акцентуацией второго компонента. Про</w:t>
        <w:softHyphen/>
        <w:t>должительный второй компонент первого тона обус</w:t>
        <w:softHyphen/>
        <w:t>ловлен большей, чем в норме экскурсией трикуспи</w:t>
        <w:softHyphen/>
        <w:t>дальных створок во время сокращения перегружен</w:t>
        <w:softHyphen/>
        <w:t>ного объемом правого желудочка. Второй тон сердца расщепленный и фиксированный (степень расщеп</w:t>
        <w:softHyphen/>
        <w:t>ления не меняется в зависимости от дыхания или проведения пробы Вальсальвы). Уменьшение рас</w:t>
        <w:softHyphen/>
        <w:t>щепления и значительное усиление второго компо</w:t>
        <w:softHyphen/>
        <w:t>нента второго тона наблюдается при присоединении легочной гипертензии.</w:t>
      </w:r>
    </w:p>
    <w:p>
      <w:pPr>
        <w:pStyle w:val="Style30"/>
        <w:numPr>
          <w:ilvl w:val="0"/>
          <w:numId w:val="4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Выслушивается легочный шум изгнания во втором- третьем межреберье слева у грудины. Наличие систо</w:t>
        <w:softHyphen/>
        <w:t>лического дрожания указывает на клапанный стеноз легочной артерии и редко может быть связан с боль</w:t>
        <w:softHyphen/>
        <w:t>шим лево-правым шунтом. При большом шунте мо</w:t>
        <w:softHyphen/>
        <w:t>жет определяться среднедиастолический шум отно</w:t>
        <w:softHyphen/>
        <w:t>сительного стеноза трикуспидального клапана. Редко</w:t>
        <w:br w:type="column"/>
        <w:t>определяется диастолический шум легочной недоста - точности из-за высокой легочной гипертензии.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w:t>
      </w:r>
    </w:p>
    <w:p>
      <w:pPr>
        <w:pStyle w:val="Style30"/>
        <w:numPr>
          <w:ilvl w:val="0"/>
          <w:numId w:val="4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 электрокардиограмме обычно регистрируется нормальный синусовый ритм у детей и увеличенная представленность дисфункции синусового узла у подростков и взрослых. Может выявляться удлине</w:t>
        <w:softHyphen/>
        <w:t xml:space="preserve">ние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 xml:space="preserve">отклонение электрической оси сердца вправо, дилатация правого предсердия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комплекс по типу </w:t>
      </w:r>
      <w:r>
        <w:rPr>
          <w:lang w:val="en-US" w:eastAsia="en-US" w:bidi="en-US"/>
          <w:w w:val="100"/>
          <w:spacing w:val="0"/>
          <w:color w:val="000000"/>
          <w:position w:val="0"/>
        </w:rPr>
        <w:t xml:space="preserve">RSr'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rsR' </w:t>
      </w:r>
      <w:r>
        <w:rPr>
          <w:lang w:val="ru-RU" w:eastAsia="ru-RU" w:bidi="ru-RU"/>
          <w:w w:val="100"/>
          <w:spacing w:val="0"/>
          <w:color w:val="000000"/>
          <w:position w:val="0"/>
        </w:rPr>
        <w:t>в правых грудных от</w:t>
        <w:softHyphen/>
        <w:t>ведениях. Показано мониторирование ЭКГ по мето</w:t>
        <w:softHyphen/>
        <w:t>ду Холтера у подростков с дефектом венозного сину</w:t>
        <w:softHyphen/>
        <w:t>са при подозрении на аритмию.</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Рентгенография:</w:t>
      </w:r>
    </w:p>
    <w:p>
      <w:pPr>
        <w:pStyle w:val="Style30"/>
        <w:numPr>
          <w:ilvl w:val="0"/>
          <w:numId w:val="4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Данные рентгенографии грудной клетки вариабель</w:t>
        <w:softHyphen/>
        <w:t>ны. Силуэт сердца и легочный сосудистый рисунок нормальные и увеличиваются в зависимости от сте</w:t>
        <w:softHyphen/>
        <w:t>пени лево-правого шунта. Легочный сосудистый ри</w:t>
        <w:softHyphen/>
        <w:t>сунок может распространяться на периферийные зо</w:t>
        <w:softHyphen/>
        <w:t>ны, дуга легочной артерии выбухает, тень сердца при</w:t>
        <w:softHyphen/>
        <w:t>обретает триангулярный силуэт.</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w:t>
      </w:r>
    </w:p>
    <w:p>
      <w:pPr>
        <w:pStyle w:val="Style30"/>
        <w:numPr>
          <w:ilvl w:val="0"/>
          <w:numId w:val="4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Трансторакальная эхокардиография позволяет выявить дефект коронарного синуса в большинстве случаев.</w:t>
      </w:r>
    </w:p>
    <w:p>
      <w:pPr>
        <w:pStyle w:val="Style30"/>
        <w:numPr>
          <w:ilvl w:val="0"/>
          <w:numId w:val="4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Чрезпищеводная эхокардиография используется во время проведения операции, у взрослых больных проводится при плохой трансторакальной визуализа</w:t>
        <w:softHyphen/>
        <w:t>ции (ограниченном акустическом окне).</w:t>
      </w:r>
    </w:p>
    <w:p>
      <w:pPr>
        <w:pStyle w:val="Style30"/>
        <w:numPr>
          <w:ilvl w:val="0"/>
          <w:numId w:val="4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М-эхокардиография выявляет дилатацию правого желудочка и парадоксальное движение межжелудоч</w:t>
        <w:softHyphen/>
        <w:t>ковой перегородки. Двухмерная эхокардиография позволяет непосредственно определить расположе</w:t>
        <w:softHyphen/>
        <w:t>ние и величину анатомического дефекта.</w:t>
      </w:r>
    </w:p>
    <w:p>
      <w:pPr>
        <w:pStyle w:val="Style30"/>
        <w:numPr>
          <w:ilvl w:val="0"/>
          <w:numId w:val="4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Субкостальный доступ используется наиболее часто для визуализации дефекта и величины повреждения коронарного синуса.</w:t>
      </w:r>
    </w:p>
    <w:p>
      <w:pPr>
        <w:pStyle w:val="Style30"/>
        <w:numPr>
          <w:ilvl w:val="0"/>
          <w:numId w:val="4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Проекция 4-х камер с верхушки сердца позволяет вы - явить коронарный синус, однако визуализация де</w:t>
        <w:softHyphen/>
        <w:t>фекта межпредсердной перегородки может быть за</w:t>
        <w:softHyphen/>
        <w:t>труднена.</w:t>
      </w:r>
    </w:p>
    <w:p>
      <w:pPr>
        <w:pStyle w:val="Style30"/>
        <w:numPr>
          <w:ilvl w:val="0"/>
          <w:numId w:val="4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Левая верхняя полая вена выявляется из супрастер</w:t>
        <w:softHyphen/>
        <w:t>нального доступа.</w:t>
      </w:r>
    </w:p>
    <w:p>
      <w:pPr>
        <w:pStyle w:val="Style30"/>
        <w:numPr>
          <w:ilvl w:val="0"/>
          <w:numId w:val="4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Дополнительными проявлениями могут быть дилата</w:t>
        <w:softHyphen/>
        <w:t>ция правого предсердия и желудочка, дилатация ле</w:t>
        <w:softHyphen/>
        <w:t>гочной артерии.</w:t>
      </w:r>
    </w:p>
    <w:p>
      <w:pPr>
        <w:pStyle w:val="Style30"/>
        <w:numPr>
          <w:ilvl w:val="0"/>
          <w:numId w:val="4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Дефект коронарного синуса может сочетаться с дру</w:t>
        <w:softHyphen/>
        <w:t>гими типами ДМПП, такими как первичный ДМПП, ДМПП венозного синуса или септальный тип дефек</w:t>
        <w:softHyphen/>
        <w:t>та нижней полой вены.</w:t>
      </w:r>
    </w:p>
    <w:p>
      <w:pPr>
        <w:pStyle w:val="Style30"/>
        <w:numPr>
          <w:ilvl w:val="0"/>
          <w:numId w:val="4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Цветовой и импульсный допплер позволяет выявить величину шунта, определить правостороннее давле</w:t>
        <w:softHyphen/>
        <w:t xml:space="preserve">ние, соотношение легочного кровотока к системному </w:t>
      </w:r>
      <w:r>
        <w:rPr>
          <w:lang w:val="en-US" w:eastAsia="en-US" w:bidi="en-US"/>
          <w:w w:val="100"/>
          <w:spacing w:val="0"/>
          <w:color w:val="000000"/>
          <w:position w:val="0"/>
        </w:rPr>
        <w:t>(Qp:Qs).</w:t>
      </w:r>
    </w:p>
    <w:p>
      <w:pPr>
        <w:pStyle w:val="Style30"/>
        <w:numPr>
          <w:ilvl w:val="0"/>
          <w:numId w:val="4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 должна быть проведена детям с синдромом гетеротаксии для подтверждения или исключения дефекта коронарного синуса.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Магниторезонансная томография:</w:t>
      </w:r>
    </w:p>
    <w:p>
      <w:pPr>
        <w:pStyle w:val="Style30"/>
        <w:numPr>
          <w:ilvl w:val="0"/>
          <w:numId w:val="43"/>
        </w:numPr>
        <w:tabs>
          <w:tab w:leader="none" w:pos="234" w:val="left"/>
        </w:tabs>
        <w:widowControl w:val="0"/>
        <w:keepNext w:val="0"/>
        <w:keepLines w:val="0"/>
        <w:shd w:val="clear" w:color="auto" w:fill="auto"/>
        <w:bidi w:val="0"/>
        <w:spacing w:before="0" w:after="0"/>
        <w:ind w:left="260" w:right="0"/>
      </w:pPr>
      <w:r>
        <w:pict>
          <v:shape id="_x0000_s1192" type="#_x0000_t75" style="position:absolute;margin-left:142.2pt;margin-top:736.8pt;width:209.75pt;height:14.9pt;z-index:-125829276;mso-wrap-distance-left:136.1pt;mso-wrap-distance-right:136.8pt;mso-wrap-distance-bottom:10.8pt;mso-position-horizontal-relative:margin;mso-position-vertical-relative:margin" wrapcoords="0 0 21600 0 21600 21600 0 21600 0 0">
            <v:imagedata r:id="rId266" r:href="rId267"/>
            <w10:wrap type="topAndBottom" anchorx="margin" anchory="margin"/>
          </v:shape>
        </w:pict>
      </w:r>
      <w:r>
        <w:rPr>
          <w:lang w:val="ru-RU" w:eastAsia="ru-RU" w:bidi="ru-RU"/>
          <w:w w:val="100"/>
          <w:spacing w:val="0"/>
          <w:color w:val="000000"/>
          <w:position w:val="0"/>
        </w:rPr>
        <w:t>Магниторезонансная томография используется пре</w:t>
        <w:softHyphen/>
        <w:t>имущественно у пациентов с синдромом гетеротаксии или другими комплексными аномалиями, при кото</w:t>
        <w:softHyphen/>
        <w:t>рых эхокардиография недостаточно информативна.</w:t>
      </w:r>
      <w:r>
        <w:br w:type="page"/>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 обычно не проводится в случа</w:t>
        <w:softHyphen/>
        <w:t>ях выявления дефекта при допплерэхокардиографи</w:t>
        <w:softHyphen/>
        <w:t>ческом исследовании. Катетеризация должна быть проведена при сочетании дефекта коронарного сину</w:t>
        <w:softHyphen/>
        <w:t>са с другими пороками, для выявления степени гемо</w:t>
        <w:softHyphen/>
        <w:t>динамических нарушений у больных с легочной ги</w:t>
        <w:softHyphen/>
        <w:t>пертензией.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Дифференциальный диагноз</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Первичный дефект межпредсердной перегородки.</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Вторичный дефект межпредсердной перегородки.</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Открытое овальное окно.</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Дефект межпредсердной перегородки в области ве</w:t>
        <w:softHyphen/>
        <w:t>нозного синуса.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Большинство пациентов с изолированным дефектом коронарного синуса в детском возрасте не имеют признаков порока и не нуждаются в медикаментоз</w:t>
        <w:softHyphen/>
        <w:t>ном лечении.</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Больным с симптомами сердечной или дыхательной недостаточности показано назначение сердечных гликозидов и диуретиков.</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Бактериальный эндокардит не наблюдается у паци</w:t>
        <w:softHyphen/>
        <w:t>ентов с дефектом коронарного синуса, поэтому про</w:t>
        <w:softHyphen/>
        <w:t>филактика антибиотиками не показана.</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Противоаритмическая терапия может потребоваться у подростков с дефектом коронарного синуса.</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Транскатетерная окклюзия не проводится при дефек</w:t>
        <w:softHyphen/>
        <w:t>тах в области коронарного синуса.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Показания:</w:t>
      </w:r>
    </w:p>
    <w:p>
      <w:pPr>
        <w:pStyle w:val="Style30"/>
        <w:numPr>
          <w:ilvl w:val="0"/>
          <w:numId w:val="45"/>
        </w:numPr>
        <w:tabs>
          <w:tab w:leader="none" w:pos="50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хирургическое закрытие дефекта показано детям с большим лево-правым шунтом, сопровождаю</w:t>
        <w:softHyphen/>
        <w:t>щимся кардиомегалией с или без симптомов сер</w:t>
        <w:softHyphen/>
        <w:t>дечной недостаточности;</w:t>
      </w:r>
    </w:p>
    <w:p>
      <w:pPr>
        <w:pStyle w:val="Style30"/>
        <w:numPr>
          <w:ilvl w:val="0"/>
          <w:numId w:val="45"/>
        </w:numPr>
        <w:tabs>
          <w:tab w:leader="none" w:pos="50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небольших дефектах показания к операции про</w:t>
        <w:softHyphen/>
        <w:t>тиворечивые. Поскольку дефект не приводит к нару</w:t>
        <w:softHyphen/>
        <w:t>шению развития ребенка и не сопровождается инва- лидизацией и смертностью, то риск проведения ис</w:t>
        <w:softHyphen/>
        <w:t>кусственного кровообращения выше, чем сущест</w:t>
        <w:softHyphen/>
        <w:t>вование у ребенка данного порока. С другой сторо</w:t>
        <w:softHyphen/>
        <w:t>ны, существует риск парадоксальной эмболии, криптогенных инсультов, цереброваскулярных рас</w:t>
        <w:softHyphen/>
        <w:t>стройств;</w:t>
      </w:r>
    </w:p>
    <w:p>
      <w:pPr>
        <w:pStyle w:val="Style30"/>
        <w:numPr>
          <w:ilvl w:val="0"/>
          <w:numId w:val="45"/>
        </w:numPr>
        <w:tabs>
          <w:tab w:leader="none" w:pos="50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тяжелая легочная гипертензия (легочная сосудис</w:t>
        <w:softHyphen/>
        <w:t xml:space="preserve">тая резистентность &gt;15) в единицах </w:t>
      </w:r>
      <w:r>
        <w:rPr>
          <w:lang w:val="en-US" w:eastAsia="en-US" w:bidi="en-US"/>
          <w:w w:val="100"/>
          <w:spacing w:val="0"/>
          <w:color w:val="000000"/>
          <w:position w:val="0"/>
        </w:rPr>
        <w:t xml:space="preserve">Wood </w:t>
      </w:r>
      <w:r>
        <w:rPr>
          <w:lang w:val="ru-RU" w:eastAsia="ru-RU" w:bidi="ru-RU"/>
          <w:w w:val="100"/>
          <w:spacing w:val="0"/>
          <w:color w:val="000000"/>
          <w:position w:val="0"/>
        </w:rPr>
        <w:t>ассоции</w:t>
        <w:softHyphen/>
        <w:t>руется с высокой частотой послеоперативной ле</w:t>
        <w:softHyphen/>
        <w:t>тальности и проведение операции таким пациен</w:t>
        <w:softHyphen/>
        <w:t>там не показано.</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Методика хирургического закрытия дефекта коро</w:t>
        <w:softHyphen/>
        <w:t>нарного синуса зависит от анатомических особеннос</w:t>
        <w:softHyphen/>
        <w:t>тей коронарного синуса и сопутствующих нарушений венозного дренажа.</w:t>
      </w:r>
    </w:p>
    <w:p>
      <w:pPr>
        <w:pStyle w:val="Style30"/>
        <w:numPr>
          <w:ilvl w:val="0"/>
          <w:numId w:val="45"/>
        </w:numPr>
        <w:tabs>
          <w:tab w:leader="none" w:pos="50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хирургическая коррекция порока часто осложня</w:t>
        <w:softHyphen/>
        <w:t>ется повреждением проксимальной части атрио</w:t>
        <w:softHyphen/>
        <w:t>вентрикулярного соединения. В этой связи реко</w:t>
        <w:softHyphen/>
        <w:t>мендуют закрытие дефекта заплатой в области пе</w:t>
        <w:softHyphen/>
        <w:t>реднего края дефекта;</w:t>
      </w:r>
    </w:p>
    <w:p>
      <w:pPr>
        <w:pStyle w:val="Style30"/>
        <w:numPr>
          <w:ilvl w:val="0"/>
          <w:numId w:val="45"/>
        </w:numPr>
        <w:tabs>
          <w:tab w:leader="none" w:pos="50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присутствие персистирующей левой верхней по</w:t>
        <w:softHyphen/>
        <w:t>лой вены затрудняет каннуляцию при проведении искусственного кровообращения. В этих случаях проводится перевязка вены без значительного по</w:t>
        <w:softHyphen/>
        <w:br w:type="column"/>
        <w:t>вышения давления в югулярных венах. Если вы</w:t>
        <w:softHyphen/>
        <w:t>полнение этой процедуры неосуществимо, с помо</w:t>
        <w:softHyphen/>
        <w:t>щью материала из перикардиальной ткани прово</w:t>
        <w:softHyphen/>
        <w:t>дится создание сообщения левой верхней полой вены с правым предсердием, в последующем за</w:t>
        <w:softHyphen/>
        <w:t>крывается межпредсердное сообщение.</w:t>
      </w:r>
    </w:p>
    <w:p>
      <w:pPr>
        <w:pStyle w:val="Style30"/>
        <w:numPr>
          <w:ilvl w:val="0"/>
          <w:numId w:val="43"/>
        </w:numPr>
        <w:tabs>
          <w:tab w:leader="none" w:pos="240"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Результаты хирургической коррекции порока:</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неосложненных случаях дефекта коронарного синуса результаты хирургической коррекции по</w:t>
        <w:softHyphen/>
        <w:t>рока хорошие, ранняя послеоперационная смерт</w:t>
        <w:softHyphen/>
        <w:t>ность составляет не более 2%, в ряде кардиохирур</w:t>
        <w:softHyphen/>
        <w:t>гических центров приравнена к нулевой. Отдален</w:t>
        <w:softHyphen/>
        <w:t>ные результаты таких операций также хорошие, смертность не превышает популяционную, если операция проведена до 25-летнего возраста;</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возможна повышенная частота мерцательной аритмии, которая возникает или сохраняется пос</w:t>
        <w:softHyphen/>
        <w:t>ле операции закрытия дефекта коронарного сину</w:t>
        <w:softHyphen/>
        <w:t>са. Частота послеоперационной полной атриовен</w:t>
        <w:softHyphen/>
        <w:t>трикулярной блокады после закрытия дефекта ко</w:t>
        <w:softHyphen/>
        <w:t>ронарного синуса примерно на 1-5% выше, чем при закрытии вторичного ДМПП;</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прогноз послеоперационного исхода при сочета</w:t>
        <w:softHyphen/>
        <w:t>нии дефекта коронарного синуса с другими поро</w:t>
        <w:softHyphen/>
        <w:t>ками определяется в зависимости от сложности хирургического восстановления сопутствующих аномалий.</w:t>
      </w:r>
    </w:p>
    <w:p>
      <w:pPr>
        <w:pStyle w:val="Style30"/>
        <w:numPr>
          <w:ilvl w:val="0"/>
          <w:numId w:val="43"/>
        </w:numPr>
        <w:tabs>
          <w:tab w:leader="none" w:pos="240"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Последующая постоперативная тактика ведения:</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после операции закрытия межпредсердного дефек</w:t>
        <w:softHyphen/>
        <w:t>та коронарного синуса пациенты должны получать такую же помощь, как и при вторичных ДМПП;</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проводится ранняя экстубация, обычно в день проведения операции;</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потеря крови обычно минимальная, пациенты редко нуждаются в трансфузии крови;</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обычно используются небольшие дозы инфузии допамина для улучшения инотропной функции сердца;</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хотя постоперативные осложнения наблюдаются редко, пациенты должны находиться под мони- торным наблюдением ЭКГ, поскольку возможно возникновение предсердных аритмий, особенно при развитии синдрома верхней полой вены;</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длительность пребывания в палате интенсивной терапии не превышает обычно 3-4 дней.</w:t>
      </w:r>
    </w:p>
    <w:p>
      <w:pPr>
        <w:pStyle w:val="Style30"/>
        <w:numPr>
          <w:ilvl w:val="0"/>
          <w:numId w:val="43"/>
        </w:numPr>
        <w:tabs>
          <w:tab w:leader="none" w:pos="240"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Осложнения после операции:</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осложнения наблюдаются редко и в основном свя - заны с проведением искусственного кровообраще</w:t>
        <w:softHyphen/>
        <w:t>ния. Эти осложнения включают: мозговой инсульт или системную эмболию, инфекцию, кровотече</w:t>
        <w:softHyphen/>
        <w:t>ние, коагулопатии, возможен летальный исход;</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может наблюдаться постоперативная аритмия, преимущественно предсердного происхождения, синдром верхней полой вены;</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выпот в полость перикарда и постперикардиотом- ный синдром при закрытии дефекта межпредсерд</w:t>
        <w:softHyphen/>
        <w:t>ной перегородки коронарного синуса встречаются часто, однако легко корригируются медикаментозно.</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Амбулаторное наблюдение</w:t>
      </w:r>
    </w:p>
    <w:p>
      <w:pPr>
        <w:pStyle w:val="Style30"/>
        <w:numPr>
          <w:ilvl w:val="0"/>
          <w:numId w:val="43"/>
        </w:numPr>
        <w:tabs>
          <w:tab w:leader="none" w:pos="240"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Необходим регулярный контроль и повторные</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ЭКГ-исследования для своевременного выявления</w:t>
      </w:r>
    </w:p>
    <w:p>
      <w:pPr>
        <w:pStyle w:val="Style30"/>
        <w:widowControl w:val="0"/>
        <w:keepNext w:val="0"/>
        <w:keepLines w:val="0"/>
        <w:shd w:val="clear" w:color="auto" w:fill="auto"/>
        <w:bidi w:val="0"/>
        <w:spacing w:before="0" w:after="0"/>
        <w:ind w:left="500" w:right="0" w:hanging="220"/>
      </w:pPr>
      <w:r>
        <w:pict>
          <v:shape id="_x0000_s1193" type="#_x0000_t75" style="position:absolute;margin-left:130.9pt;margin-top:736.8pt;width:209.75pt;height:14.9pt;z-index:-125829275;mso-wrap-distance-left:124.8pt;mso-wrap-distance-right:148.1pt;mso-wrap-distance-bottom:10.8pt;mso-position-horizontal-relative:margin;mso-position-vertical-relative:margin" wrapcoords="0 0 21600 0 21600 21600 0 21600 0 0">
            <v:imagedata r:id="rId268" r:href="rId269"/>
            <w10:wrap type="topAndBottom" anchorx="margin" anchory="margin"/>
          </v:shape>
        </w:pict>
      </w:r>
      <w:r>
        <w:rPr>
          <w:lang w:val="ru-RU" w:eastAsia="ru-RU" w:bidi="ru-RU"/>
          <w:w w:val="100"/>
          <w:spacing w:val="0"/>
          <w:color w:val="000000"/>
          <w:position w:val="0"/>
        </w:rPr>
        <w:t>предсердных аритмий.</w:t>
      </w:r>
      <w:r>
        <w:br w:type="page"/>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Наблюдение кардиолога с повторным эхо кардио</w:t>
        <w:softHyphen/>
        <w:t>графическим контролем для исключения реканали</w:t>
        <w:softHyphen/>
        <w:t>зации дефекта, окклюзии верхней полой вены, оценка параметров центрального и легочного кро</w:t>
        <w:softHyphen/>
        <w:t>вообращения.</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необходимости назначаются противоаритмичес</w:t>
        <w:softHyphen/>
        <w:t>кие препараты, инотропные средства (дигоксин), ди</w:t>
        <w:softHyphen/>
        <w:t>уретики.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Активность</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Дети с небольшим дефектом коронарного синуса без легочной гипертензии не имеют ограничений в физи</w:t>
        <w:softHyphen/>
        <w:t>ческих нагрузках и могут заниматься спортом.</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Дети и подростки с легочной гипертензией должны быть ограничены в физической активности.</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Занятия спортом полностью исключаются у пациен</w:t>
        <w:softHyphen/>
        <w:t>тов с предсердной или желудочковой аритмией.</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Пациенты могут возобновить физическую актив</w:t>
        <w:softHyphen/>
        <w:t>ность через 6 месяцев после успешно проведенной коррекции порока.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Застойная сердечная недостаточность.</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Парадоксальная эмболия, инсульт.</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Аритмия.</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Мерцание, трепетание предсердий.</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Легочная гипертензия.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дефекта коронарного синуса при отсутствии легочной гипертензии благоприятный. При сочета</w:t>
        <w:softHyphen/>
        <w:t>нии порока с гетеротаксией прогноз определяется со</w:t>
        <w:softHyphen/>
        <w:t>путствующими кардиальными и органными анома</w:t>
        <w:softHyphen/>
        <w:t>лиями.</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неоперированных больных инвалидизация и смертность обусловлены мерцательной аритмией, хронической правожелудочковой недостаточностью, парадоксальной эмболией или легочной гипертензи</w:t>
        <w:softHyphen/>
        <w:t>ей. Данные проявления порока появляются на вто</w:t>
        <w:softHyphen/>
        <w:t>рой-третьей декаде жизни.</w:t>
      </w:r>
    </w:p>
    <w:p>
      <w:pPr>
        <w:pStyle w:val="Style30"/>
        <w:numPr>
          <w:ilvl w:val="0"/>
          <w:numId w:val="43"/>
        </w:numPr>
        <w:tabs>
          <w:tab w:leader="none" w:pos="516" w:val="left"/>
        </w:tabs>
        <w:widowControl w:val="0"/>
        <w:keepNext w:val="0"/>
        <w:keepLines w:val="0"/>
        <w:shd w:val="clear" w:color="auto" w:fill="auto"/>
        <w:bidi w:val="0"/>
        <w:spacing w:before="0" w:after="177"/>
        <w:ind w:left="520" w:right="0" w:hanging="240"/>
      </w:pPr>
      <w:r>
        <w:rPr>
          <w:lang w:val="ru-RU" w:eastAsia="ru-RU" w:bidi="ru-RU"/>
          <w:w w:val="100"/>
          <w:spacing w:val="0"/>
          <w:color w:val="000000"/>
          <w:position w:val="0"/>
        </w:rPr>
        <w:t>Инвалидизация и смертность значительно возраста</w:t>
        <w:softHyphen/>
        <w:t>ют при сопутствующих комплексных аномалиях сердца и гетеротаксии/асплении синдромах. Исходы медикаментозного и хирургического лечения у таких больных полностью определяются характером врож</w:t>
        <w:softHyphen/>
        <w:t>денной аномалии.</w:t>
      </w:r>
    </w:p>
    <w:p>
      <w:pPr>
        <w:pStyle w:val="Style28"/>
        <w:widowControl w:val="0"/>
        <w:keepNext/>
        <w:keepLines/>
        <w:shd w:val="clear" w:color="auto" w:fill="auto"/>
        <w:bidi w:val="0"/>
        <w:jc w:val="left"/>
        <w:spacing w:before="0" w:after="97" w:line="220" w:lineRule="exact"/>
        <w:ind w:left="0" w:right="0" w:firstLine="0"/>
      </w:pPr>
      <w:bookmarkStart w:id="330" w:name="bookmark330"/>
      <w:r>
        <w:rPr>
          <w:lang w:val="ru-RU" w:eastAsia="ru-RU" w:bidi="ru-RU"/>
          <w:w w:val="100"/>
          <w:spacing w:val="0"/>
          <w:color w:val="000000"/>
          <w:position w:val="0"/>
        </w:rPr>
        <w:t>Открытый атриовентрикулярный канал</w:t>
      </w:r>
      <w:bookmarkEnd w:id="33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Открытый атриовентрикулярный канал (АВК) — врож</w:t>
        <w:softHyphen/>
        <w:t>денный порок сердца, возникающий в результате нару</w:t>
        <w:softHyphen/>
        <w:t>шенного развития эндокардиальных подушечек. Состав - ными компонентами порока являются первичный дефект межпредсердной перегородки, расщепление створок мит</w:t>
        <w:softHyphen/>
        <w:t>рального и трикуспидального клапанов, дефект межжелу</w:t>
        <w:softHyphen/>
        <w:t>дочковой перегородки. Порок может быть частичным и полным. При полном АВК определяются оба септальных дефекта и единый атриовентрикулярный клапан. При час</w:t>
        <w:softHyphen/>
        <w:t>тичном АВК наблюдается первичный ДМПП с разделен</w:t>
        <w:softHyphen/>
        <w:t>ными отверстиями для митрального и трикуспидального клапанов.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Порок встречается в 2-3% среди всех ВПС.</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60-70% детей с открытым АВК имеют полную форму порока, 50% из этих больных имеют синдром Дауна.</w:t>
      </w:r>
    </w:p>
    <w:p>
      <w:pPr>
        <w:pStyle w:val="Style48"/>
        <w:widowControl w:val="0"/>
        <w:keepNext/>
        <w:keepLines/>
        <w:shd w:val="clear" w:color="auto" w:fill="auto"/>
        <w:bidi w:val="0"/>
        <w:jc w:val="left"/>
        <w:spacing w:before="0" w:after="79" w:line="240" w:lineRule="exact"/>
        <w:ind w:left="0" w:right="0" w:firstLine="0"/>
      </w:pPr>
      <w:r>
        <w:br w:type="column"/>
      </w:r>
      <w:bookmarkStart w:id="331" w:name="bookmark331"/>
      <w:r>
        <w:rPr>
          <w:lang w:val="ru-RU" w:eastAsia="ru-RU" w:bidi="ru-RU"/>
          <w:w w:val="100"/>
          <w:spacing w:val="0"/>
          <w:color w:val="000000"/>
          <w:position w:val="0"/>
        </w:rPr>
        <w:t>Частично открытый атриовентрикулярный канал</w:t>
      </w:r>
      <w:bookmarkEnd w:id="33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этой форме порока имеет место первичный дефект межпредсердной перегородки и расщепление переднеме</w:t>
        <w:softHyphen/>
        <w:t>диальной створки митрального клапана. Может быть не</w:t>
        <w:softHyphen/>
        <w:t>большое расщепление септальной створки трикуспидаль</w:t>
        <w:softHyphen/>
        <w:t>ного клапана. Оба атриовентрикулярных клапана имеют собственное сформированное фиброзное кольцо.</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Анатомия, 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частичном АВК сброс крови происходит на уровне предсердий и усиливается за счет регургитантного потока с митрального клапана. Возникает объемная перегрузка правых отделов сердца с последующей гиперволемией ма</w:t>
        <w:softHyphen/>
        <w:t>лого круга кровообращения. Высокая легочная гипертен</w:t>
        <w:softHyphen/>
        <w:t>зия развивается на поздних стадиях заболевания.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numPr>
          <w:ilvl w:val="0"/>
          <w:numId w:val="43"/>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Симптоматика порока определяется величиной пер</w:t>
        <w:softHyphen/>
        <w:t>вичного дефекта и степенью митральной регургитации.</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небольшом расщеплении митральной створки клинические симптомы порока отсутствуют. Дети обычно наблюдаются по поводу «невинного» шума в сердце и хорошо развиваются до подросткового воз - раста. В последующем развивается симптоматика за</w:t>
        <w:softHyphen/>
        <w:t>стойной сердечной недостаточности, основными проявлениями которой являются одышка и плохая переносимость физических нагрузок. Редко при большой дилатации предсердий развивается мерца</w:t>
        <w:softHyphen/>
        <w:t>тельная аритмия.</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с более тяжелой формой митральной недоста</w:t>
        <w:softHyphen/>
        <w:t>точности частичный АВК проявляется в первые годы жизни, при этом смертность у неоперированных больных достигает 30% на первом году жизни.</w:t>
      </w:r>
    </w:p>
    <w:p>
      <w:pPr>
        <w:pStyle w:val="Style30"/>
        <w:numPr>
          <w:ilvl w:val="0"/>
          <w:numId w:val="43"/>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Легочная гипертензия при частичном АВК развива</w:t>
        <w:softHyphen/>
        <w:t>ется поздно, обычно после 20 лет.</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с трисомией 21 легочная гипертензия разви</w:t>
        <w:softHyphen/>
        <w:t>вается значительно раньше. Потенцируют данное за</w:t>
        <w:softHyphen/>
        <w:t>болевание хроническая бронхолегочная патология, гипертрофический аденотонзиллит, неадекватная альвеоляризация терминальных бронхиол, приводя</w:t>
        <w:softHyphen/>
        <w:t>щая к уменьшению сосудистого ложа легких.</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с небольшим дефектом и минимальной мит</w:t>
        <w:softHyphen/>
        <w:t>ральной регургитацией заболевание протекает бес</w:t>
        <w:softHyphen/>
        <w:t>симптомно. При значительной объемной перегрузке легочной циркуляции и митральной регургитации порок проявляется у новорожденных и манифестиру</w:t>
        <w:softHyphen/>
        <w:t>ет застойной сердечной недостаточностью. Тахикар</w:t>
        <w:softHyphen/>
        <w:t>дия и тахипноэ присутствуют в покое и значительно усиливаются при беспокойстве ребенка, плаче, корм</w:t>
        <w:softHyphen/>
        <w:t>лении. Нарушение питания усиливает метаболичес</w:t>
        <w:softHyphen/>
        <w:t>кие расстройства.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Физикальное обследование:</w:t>
      </w:r>
    </w:p>
    <w:p>
      <w:pPr>
        <w:pStyle w:val="Style30"/>
        <w:numPr>
          <w:ilvl w:val="0"/>
          <w:numId w:val="43"/>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Могут быть отмечены характерные внешние проявле</w:t>
        <w:softHyphen/>
        <w:t>ния трисомии 21:</w:t>
      </w:r>
    </w:p>
    <w:p>
      <w:pPr>
        <w:pStyle w:val="Style30"/>
        <w:numPr>
          <w:ilvl w:val="0"/>
          <w:numId w:val="45"/>
        </w:numPr>
        <w:tabs>
          <w:tab w:leader="none" w:pos="757"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гипотония и повышенная гибкость;</w:t>
      </w:r>
    </w:p>
    <w:p>
      <w:pPr>
        <w:pStyle w:val="Style30"/>
        <w:numPr>
          <w:ilvl w:val="0"/>
          <w:numId w:val="45"/>
        </w:numPr>
        <w:tabs>
          <w:tab w:leader="none" w:pos="757"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короткий, плоский нос;</w:t>
      </w:r>
    </w:p>
    <w:p>
      <w:pPr>
        <w:pStyle w:val="Style30"/>
        <w:numPr>
          <w:ilvl w:val="0"/>
          <w:numId w:val="45"/>
        </w:numPr>
        <w:tabs>
          <w:tab w:leader="none" w:pos="757"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сращенные брови;</w:t>
      </w:r>
    </w:p>
    <w:p>
      <w:pPr>
        <w:pStyle w:val="Style30"/>
        <w:numPr>
          <w:ilvl w:val="0"/>
          <w:numId w:val="45"/>
        </w:numPr>
        <w:tabs>
          <w:tab w:leader="none" w:pos="757"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избыточная кожа шеи;</w:t>
      </w:r>
    </w:p>
    <w:p>
      <w:pPr>
        <w:pStyle w:val="Style30"/>
        <w:numPr>
          <w:ilvl w:val="0"/>
          <w:numId w:val="45"/>
        </w:numPr>
        <w:tabs>
          <w:tab w:leader="none" w:pos="757"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большой и выпуклый язык;</w:t>
      </w:r>
    </w:p>
    <w:p>
      <w:pPr>
        <w:pStyle w:val="Style30"/>
        <w:numPr>
          <w:ilvl w:val="0"/>
          <w:numId w:val="45"/>
        </w:numPr>
        <w:tabs>
          <w:tab w:leader="none" w:pos="757"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короткие, широкие руки с более коротким пятым пальцем (клинодактилия);</w:t>
      </w:r>
    </w:p>
    <w:p>
      <w:pPr>
        <w:pStyle w:val="Style30"/>
        <w:numPr>
          <w:ilvl w:val="0"/>
          <w:numId w:val="45"/>
        </w:numPr>
        <w:tabs>
          <w:tab w:leader="none" w:pos="757" w:val="left"/>
        </w:tabs>
        <w:widowControl w:val="0"/>
        <w:keepNext w:val="0"/>
        <w:keepLines w:val="0"/>
        <w:shd w:val="clear" w:color="auto" w:fill="auto"/>
        <w:bidi w:val="0"/>
        <w:spacing w:before="0" w:after="0"/>
        <w:ind w:left="520" w:right="0" w:firstLine="0"/>
      </w:pPr>
      <w:r>
        <w:pict>
          <v:shape id="_x0000_s1194" type="#_x0000_t75" style="position:absolute;margin-left:148.2pt;margin-top:736.8pt;width:209.75pt;height:14.9pt;z-index:-125829274;mso-wrap-distance-left:148.1pt;mso-wrap-distance-right:136.8pt;mso-wrap-distance-bottom:10.8pt;mso-position-horizontal-relative:margin;mso-position-vertical-relative:margin" wrapcoords="0 0 21600 0 21600 21600 0 21600 0 0">
            <v:imagedata r:id="rId270" r:href="rId271"/>
            <w10:wrap type="topAndBottom" anchorx="margin" anchory="margin"/>
          </v:shape>
        </w:pict>
      </w:r>
      <w:r>
        <w:rPr>
          <w:lang w:val="ru-RU" w:eastAsia="ru-RU" w:bidi="ru-RU"/>
          <w:w w:val="100"/>
          <w:spacing w:val="0"/>
          <w:color w:val="000000"/>
          <w:position w:val="0"/>
        </w:rPr>
        <w:t>«обезьяноподобная» складка.</w:t>
      </w:r>
      <w:r>
        <w:br w:type="page"/>
      </w:r>
    </w:p>
    <w:p>
      <w:pPr>
        <w:pStyle w:val="Style30"/>
        <w:widowControl w:val="0"/>
        <w:keepNext w:val="0"/>
        <w:keepLines w:val="0"/>
        <w:shd w:val="clear" w:color="auto" w:fill="auto"/>
        <w:bidi w:val="0"/>
        <w:spacing w:before="0" w:after="0"/>
        <w:ind w:left="0" w:right="0" w:firstLine="0"/>
      </w:pPr>
      <w:r>
        <w:pict>
          <v:shape id="_x0000_s1195" type="#_x0000_t202" style="position:absolute;margin-left:-11.4pt;margin-top:3.1pt;width:243.35pt;height:150.5pt;z-index:-125829273;mso-wrap-distance-left:5.pt;mso-wrap-distance-top:2.4pt;mso-wrap-distance-right:5.pt;mso-position-horizontal-relative:margin;mso-position-vertical-relative:margin" wrapcoords="332 0 21600 0 21600 14849 21076 16626 21076 21600 0 21600 0 16626 332 14849 332 0" filled="f" stroked="f">
            <v:textbox style="mso-fit-shape-to-text:t" inset="0,0,0,0">
              <w:txbxContent>
                <w:p>
                  <w:pPr>
                    <w:framePr w:h="3010" w:vSpace="48" w:wrap="around" w:hAnchor="margin" w:x="-227" w:y="63"/>
                    <w:widowControl w:val="0"/>
                    <w:jc w:val="center"/>
                    <w:rPr>
                      <w:sz w:val="2"/>
                      <w:szCs w:val="2"/>
                    </w:rPr>
                  </w:pPr>
                  <w:r>
                    <w:pict>
                      <v:shape id="_x0000_s1196" type="#_x0000_t75" style="width:243pt;height:151pt;">
                        <v:imagedata r:id="rId272" r:href="rId273"/>
                      </v:shape>
                    </w:pict>
                  </w:r>
                </w:p>
                <w:p>
                  <w:pPr>
                    <w:pStyle w:val="Style33"/>
                    <w:widowControl w:val="0"/>
                    <w:keepNext w:val="0"/>
                    <w:keepLines w:val="0"/>
                    <w:shd w:val="clear" w:color="auto" w:fill="auto"/>
                    <w:bidi w:val="0"/>
                    <w:jc w:val="both"/>
                    <w:spacing w:before="0" w:after="0" w:line="197" w:lineRule="exact"/>
                    <w:ind w:left="0" w:right="0" w:firstLine="0"/>
                  </w:pPr>
                  <w:r>
                    <w:rPr>
                      <w:rStyle w:val="CharStyle34"/>
                    </w:rPr>
                    <w:t>Рис. 19. Частично открытый атриовентрикулярный канал: откло</w:t>
                    <w:softHyphen/>
                    <w:t xml:space="preserve">нение электрической оси сердца влево (угол </w:t>
                  </w:r>
                  <w:r>
                    <w:rPr>
                      <w:rStyle w:val="CharStyle34"/>
                      <w:lang w:val="en-US" w:eastAsia="en-US" w:bidi="en-US"/>
                    </w:rPr>
                    <w:t xml:space="preserve">a QRS </w:t>
                  </w:r>
                  <w:r>
                    <w:rPr>
                      <w:rStyle w:val="CharStyle34"/>
                    </w:rPr>
                    <w:t>-54°), замедле</w:t>
                    <w:softHyphen/>
                    <w:t xml:space="preserve">ние атриовентрикулярной проводимости </w:t>
                  </w:r>
                  <w:r>
                    <w:rPr>
                      <w:rStyle w:val="CharStyle34"/>
                      <w:lang w:val="en-US" w:eastAsia="en-US" w:bidi="en-US"/>
                    </w:rPr>
                    <w:t xml:space="preserve">(P-R </w:t>
                  </w:r>
                  <w:r>
                    <w:rPr>
                      <w:rStyle w:val="CharStyle34"/>
                    </w:rPr>
                    <w:t xml:space="preserve">— 0,18 с), признаки перегрузки обоих предсердий, больше правого (высокие зубцы </w:t>
                  </w:r>
                  <w:r>
                    <w:rPr>
                      <w:rStyle w:val="CharStyle34"/>
                      <w:lang w:val="en-US" w:eastAsia="en-US" w:bidi="en-US"/>
                    </w:rPr>
                    <w:t xml:space="preserve">PI, </w:t>
                  </w:r>
                  <w:r>
                    <w:rPr>
                      <w:rStyle w:val="CharStyle34"/>
                    </w:rPr>
                    <w:t>II, V1-2).</w:t>
                  </w:r>
                </w:p>
              </w:txbxContent>
            </v:textbox>
            <w10:wrap type="square" side="right" anchorx="margin" anchory="margin"/>
          </v:shape>
        </w:pict>
      </w:r>
      <w:r>
        <w:rPr>
          <w:lang w:val="ru-RU" w:eastAsia="ru-RU" w:bidi="ru-RU"/>
          <w:w w:val="100"/>
          <w:spacing w:val="0"/>
          <w:color w:val="000000"/>
          <w:position w:val="0"/>
        </w:rPr>
        <w:t>Новорожденные и дети с частично открытым АВК и большой митральной регургитацией имеют замед</w:t>
        <w:softHyphen/>
        <w:t>ленное развитие, тахипноэ и тахикардию в покое. Ча</w:t>
        <w:softHyphen/>
        <w:t>сто определяются вздутая грудная клетка, выбухание грудины, углубление Гаррисона.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У детей с умеренной митральной регургитацией раз</w:t>
        <w:softHyphen/>
        <w:t>витие не страдает, отставание в физической активно</w:t>
        <w:softHyphen/>
        <w:t>сти не наблюдается.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 типичных случаях определяется усиленный право</w:t>
        <w:softHyphen/>
        <w:t>желудочковый толчок, вторичный к объемной пере</w:t>
        <w:softHyphen/>
        <w:t>грузке. Первый тон сердца не изменен. Второй тон акцентуирован и расщеплен. Систолический шум из</w:t>
        <w:softHyphen/>
        <w:t>гнания выслушивается вдоль левого края грудины и проводится на легочные поля. Систолические щелчки не определяются. Шум митральной недоста</w:t>
        <w:softHyphen/>
        <w:t>точности обычно голосистолический, выслушивается на верхушке и проводится в подмышечную область. Иногда шум может иррадиировать в область грудины. Может выслушиваться среднедиастолический шум относительного стеноза трикуспидального клапана при большом дефекте перегородки, когда отношение легочного к системному кровотоку больше 2:1. Шум лучше выслушивается в нижней части грудины слева и эпигастральной области.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При возникновении легочной гипертензии развива</w:t>
        <w:softHyphen/>
        <w:t>ется значительный акцент легочного компонента второго тона. Второй тон становится узким по про</w:t>
        <w:softHyphen/>
        <w:t>должительности, аортальный и легочный компонен</w:t>
        <w:softHyphen/>
        <w:t>ты второго тона сливаются. Диастолический трикус</w:t>
        <w:softHyphen/>
        <w:t>пидальный щелчок (шум) исчезает. Появляется голо</w:t>
        <w:softHyphen/>
        <w:t>систолический шум трикуспидальной регургитации, свидетельствующий о дилатации правого желудочка. Шум обычно продолжительный и локализуется в нижней части грудины слева. Может появиться ран</w:t>
        <w:softHyphen/>
        <w:t>ний диастолический шум Грехем-Стилла, связанный с дилатацией ствола легочной артерии и относитель</w:t>
        <w:softHyphen/>
        <w:t xml:space="preserve">ной недостаточностью клапана. Шум локализуется вдоль левого края грудины, носит убывающий </w:t>
      </w:r>
      <w:r>
        <w:rPr>
          <w:lang w:val="en-US" w:eastAsia="en-US" w:bidi="en-US"/>
          <w:w w:val="100"/>
          <w:spacing w:val="0"/>
          <w:color w:val="000000"/>
          <w:position w:val="0"/>
        </w:rPr>
        <w:t xml:space="preserve">(decrescendo) </w:t>
      </w:r>
      <w:r>
        <w:rPr>
          <w:lang w:val="ru-RU" w:eastAsia="ru-RU" w:bidi="ru-RU"/>
          <w:w w:val="100"/>
          <w:spacing w:val="0"/>
          <w:color w:val="000000"/>
          <w:position w:val="0"/>
        </w:rPr>
        <w:t>характер.</w:t>
      </w:r>
    </w:p>
    <w:p>
      <w:pPr>
        <w:pStyle w:val="Style92"/>
        <w:widowControl w:val="0"/>
        <w:keepNext/>
        <w:keepLines/>
        <w:shd w:val="clear" w:color="auto" w:fill="auto"/>
        <w:bidi w:val="0"/>
        <w:spacing w:before="0" w:after="0"/>
        <w:ind w:left="0" w:right="0" w:firstLine="280"/>
      </w:pPr>
      <w:r>
        <w:br w:type="column"/>
      </w:r>
      <w:bookmarkStart w:id="332" w:name="bookmark332"/>
      <w:r>
        <w:rPr>
          <w:lang w:val="ru-RU" w:eastAsia="ru-RU" w:bidi="ru-RU"/>
          <w:w w:val="100"/>
          <w:spacing w:val="0"/>
          <w:color w:val="000000"/>
          <w:position w:val="0"/>
        </w:rPr>
        <w:t>Инструментальная диагностика</w:t>
      </w:r>
      <w:bookmarkEnd w:id="33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Электрокардиография (рис. 19):</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Отклонение электрической оси сердца влево.</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Замедление атриовентрикулярного проведения.</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Неполная блокада правой ножки пучка Гиса.</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Перегрузка правого желудочка.</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Перегрузка обоих предсердий.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Рентгенография:</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Увеличение тени сердца пропорционально размеру пер -</w:t>
      </w:r>
    </w:p>
    <w:p>
      <w:pPr>
        <w:pStyle w:val="Style30"/>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вичного ДМПП и объему митральной регургитации.</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Дилатация обоих предсердий.</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Увеличение правого желудочка.</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Увеличение дуги легочной артерии.</w:t>
      </w:r>
    </w:p>
    <w:p>
      <w:pPr>
        <w:pStyle w:val="Style30"/>
        <w:numPr>
          <w:ilvl w:val="0"/>
          <w:numId w:val="43"/>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Усиление легочного сосудистого рисунка по артери</w:t>
        <w:softHyphen/>
        <w:t>альному (за счет лево-правого шунта) и венозному</w:t>
      </w:r>
    </w:p>
    <w:p>
      <w:pPr>
        <w:pStyle w:val="Style30"/>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(митральная регургитация) типам.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 (рис. 20):</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Одномерная ЭхоКГ:</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объемная перегрузка правого желудочка (дилата</w:t>
        <w:softHyphen/>
        <w:t>ция правых отделов сердца, парадоксальное дви</w:t>
        <w:softHyphen/>
        <w:t>жение межжелудочковой перегородки);</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нарушение кинетики передней митральной створ</w:t>
        <w:softHyphen/>
        <w:t>ки: во время диастолы она как бы «прилипает» к межжелудочковой перегородке;</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сужение выходного тракта левого желудочка;</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дополнительные эхосигналы в выходном тракте левого желудочка;</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одновременная визуализация двух атриовентрику</w:t>
        <w:softHyphen/>
        <w:t>лярных клапанов с разделяющей их межжелудоч</w:t>
        <w:softHyphen/>
        <w:t>ковой перегородкой.</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Двухмерная ЭхоКГ:</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прямая визуализация первичного дефекта меж</w:t>
        <w:softHyphen/>
        <w:t>предсердной перегородки в области центрально</w:t>
        <w:softHyphen/>
        <w:t>го фиброзного тела в проекции 4-х камер с вер</w:t>
        <w:softHyphen/>
        <w:t>хушки;</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прямая визуализация расщепления створки в ко</w:t>
        <w:softHyphen/>
        <w:t>роткой оси на уровне митрального кольца на ме</w:t>
        <w:softHyphen/>
        <w:t>диальную и латеральную порции (расщепление обычно эксцентричное, ближе к медиальной ко</w:t>
        <w:softHyphen/>
        <w:t>миссуре);</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нормальные размеры и положение атриовентрику</w:t>
        <w:softHyphen/>
        <w:t>лярного кольца;</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отщепленная порция митральной створки движет</w:t>
        <w:softHyphen/>
        <w:t>ся в сторону выходного тракта левого желудочка в парастернальной продольной оси;</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интактная межжелудочковая перегородка.</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Допплер ЭхоКГ:</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регистрация митральной регургитации;</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регистрация потока через первичный дефект меж</w:t>
        <w:softHyphen/>
        <w:t>предсердной перегородки;</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оценка степени легочной гипертензии;</w:t>
      </w:r>
    </w:p>
    <w:p>
      <w:pPr>
        <w:pStyle w:val="Style30"/>
        <w:numPr>
          <w:ilvl w:val="0"/>
          <w:numId w:val="4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выявление сопутствующих аномалий (в 30% случа</w:t>
        <w:softHyphen/>
        <w:t>ев обнаруживаются аномалии полых вен, откры</w:t>
        <w:softHyphen/>
        <w:t>тый артериальный проток).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Катетеризация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Определяется повышенное насыщение крови кислоро</w:t>
        <w:softHyphen/>
        <w:t>дом в правом предсердии, катетер легко проникает через дефект в левое предсердие.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Оцениваются параметры легочной гемодинамики.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Дифференциальный диагноз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Врожденная митральная недостаточность.</w:t>
      </w:r>
    </w:p>
    <w:p>
      <w:pPr>
        <w:pStyle w:val="Style30"/>
        <w:widowControl w:val="0"/>
        <w:keepNext w:val="0"/>
        <w:keepLines w:val="0"/>
        <w:shd w:val="clear" w:color="auto" w:fill="auto"/>
        <w:bidi w:val="0"/>
        <w:spacing w:before="0" w:after="0"/>
        <w:ind w:left="0" w:right="0" w:firstLine="280"/>
      </w:pPr>
      <w:r>
        <w:pict>
          <v:shape id="_x0000_s1197" type="#_x0000_t75" style="position:absolute;margin-left:124.9pt;margin-top:736.8pt;width:209.75pt;height:14.9pt;z-index:-125829272;mso-wrap-distance-left:112.8pt;mso-wrap-distance-right:148.1pt;mso-wrap-distance-bottom:10.8pt;mso-position-horizontal-relative:margin;mso-position-vertical-relative:margin" wrapcoords="0 0 21600 0 21600 21600 0 21600 0 0">
            <v:imagedata r:id="rId274" r:href="rId275"/>
            <w10:wrap type="topAndBottom" anchorx="margin" anchory="margin"/>
          </v:shape>
        </w:pict>
      </w:r>
      <w:r>
        <w:rPr>
          <w:lang w:val="ru-RU" w:eastAsia="ru-RU" w:bidi="ru-RU"/>
          <w:w w:val="100"/>
          <w:spacing w:val="0"/>
          <w:color w:val="000000"/>
          <w:position w:val="0"/>
        </w:rPr>
        <w:t>Полная форма открытого АВК.</w:t>
      </w:r>
      <w:r>
        <w:br w:type="page"/>
      </w:r>
    </w:p>
    <w:p>
      <w:pPr>
        <w:pStyle w:val="Style92"/>
        <w:widowControl w:val="0"/>
        <w:keepNext/>
        <w:keepLines/>
        <w:shd w:val="clear" w:color="auto" w:fill="auto"/>
        <w:bidi w:val="0"/>
        <w:spacing w:before="0" w:after="0"/>
        <w:ind w:left="0" w:right="0" w:firstLine="280"/>
      </w:pPr>
      <w:r>
        <w:pict>
          <v:shape id="_x0000_s1198" type="#_x0000_t202" style="position:absolute;margin-left:0.7pt;margin-top:25.65pt;width:147.6pt;height:49.pt;z-index:-125829271;mso-wrap-distance-left:5.pt;mso-wrap-distance-right: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22"/>
                    </w:rPr>
                    <w:t xml:space="preserve">Рис. 20. </w:t>
                  </w:r>
                  <w:r>
                    <w:rPr>
                      <w:rStyle w:val="CharStyle121"/>
                    </w:rPr>
                    <w:t>Двухмерная ЭхоКГ при частич</w:t>
                    <w:softHyphen/>
                    <w:t>но открытом атриовентрикулярном ка</w:t>
                    <w:softHyphen/>
                    <w:t>нале: первичный ДМПП с расщеплени</w:t>
                    <w:softHyphen/>
                    <w:t>ем передней створки митрального кла</w:t>
                    <w:softHyphen/>
                    <w:t>пана.</w:t>
                  </w:r>
                </w:p>
              </w:txbxContent>
            </v:textbox>
            <w10:wrap type="topAndBottom" anchorx="margin" anchory="margin"/>
          </v:shape>
        </w:pict>
      </w:r>
      <w:r>
        <w:pict>
          <v:shape id="_x0000_s1199" type="#_x0000_t75" style="position:absolute;margin-left:170.15pt;margin-top:2.4pt;width:323.05pt;height:244.3pt;z-index:-125829270;mso-wrap-distance-left:5.pt;mso-wrap-distance-right:5.pt;mso-position-horizontal-relative:margin;mso-position-vertical-relative:margin">
            <v:imagedata r:id="rId276" r:href="rId277"/>
            <w10:wrap type="topAndBottom" anchorx="margin" anchory="margin"/>
          </v:shape>
        </w:pict>
      </w:r>
      <w:bookmarkStart w:id="333" w:name="bookmark333"/>
      <w:r>
        <w:rPr>
          <w:lang w:val="ru-RU" w:eastAsia="ru-RU" w:bidi="ru-RU"/>
          <w:w w:val="100"/>
          <w:spacing w:val="0"/>
          <w:color w:val="000000"/>
          <w:position w:val="0"/>
        </w:rPr>
        <w:t>Лечение</w:t>
      </w:r>
      <w:bookmarkEnd w:id="33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Медикаментозная коррекция проводится при появле</w:t>
        <w:softHyphen/>
        <w:t>нии симптоматики сердечной недостаточности (сердечные гликозиды, диуретики).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Хирургическое 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Проводится радикальная операция: восстановление це</w:t>
        <w:softHyphen/>
        <w:t>лостности межпредсердной перегородки путем наложения заплаты и митральная вальвулопластика.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Удовлетворительный, выживаемость больных через 20 лет составляет 94%.</w:t>
      </w:r>
    </w:p>
    <w:p>
      <w:pPr>
        <w:pStyle w:val="Style30"/>
        <w:widowControl w:val="0"/>
        <w:keepNext w:val="0"/>
        <w:keepLines w:val="0"/>
        <w:shd w:val="clear" w:color="auto" w:fill="auto"/>
        <w:bidi w:val="0"/>
        <w:spacing w:before="0" w:after="253"/>
        <w:ind w:left="0" w:right="0" w:firstLine="280"/>
      </w:pPr>
      <w:r>
        <w:rPr>
          <w:lang w:val="ru-RU" w:eastAsia="ru-RU" w:bidi="ru-RU"/>
          <w:w w:val="100"/>
          <w:spacing w:val="0"/>
          <w:color w:val="000000"/>
          <w:position w:val="0"/>
        </w:rPr>
        <w:t>Остаточная митральная регургитация не влияет на про</w:t>
        <w:softHyphen/>
        <w:t>гноз, в редких случаях требуется повторная операция на клапане или его протезирование.</w:t>
      </w:r>
    </w:p>
    <w:p>
      <w:pPr>
        <w:pStyle w:val="Style48"/>
        <w:widowControl w:val="0"/>
        <w:keepNext/>
        <w:keepLines/>
        <w:shd w:val="clear" w:color="auto" w:fill="auto"/>
        <w:bidi w:val="0"/>
        <w:jc w:val="left"/>
        <w:spacing w:before="0" w:after="41" w:line="200" w:lineRule="exact"/>
        <w:ind w:left="0" w:right="0" w:firstLine="0"/>
      </w:pPr>
      <w:bookmarkStart w:id="334" w:name="bookmark334"/>
      <w:r>
        <w:rPr>
          <w:lang w:val="ru-RU" w:eastAsia="ru-RU" w:bidi="ru-RU"/>
          <w:w w:val="100"/>
          <w:spacing w:val="0"/>
          <w:color w:val="000000"/>
          <w:position w:val="0"/>
        </w:rPr>
        <w:t>Общий открытый атриовентрикулярный канал</w:t>
      </w:r>
      <w:bookmarkEnd w:id="33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этом пороке полностью нарушено формирование атриовентрикулярных колец. Наиболее часто определяется один несостоятельный атриовентрикулярный клапан, большой первичный ДМПП и ДМЖП. Порок может со</w:t>
        <w:softHyphen/>
        <w:t>провождаться стенозом легочной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Анатомия, 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Все четыре камеры сообщаются между собой. Большое шунтирование крови слева направо через септальные де</w:t>
        <w:softHyphen/>
        <w:t>фекты обусловливает объемную перегрузку правых отде</w:t>
        <w:softHyphen/>
        <w:t>лов сердца, гиперволемию малого круга кровообращения, раннее формирование высокой легочной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Симптоматика порока возникает с периода новорож- денности и манифестирует в первые месяцы жизни:</w:t>
      </w:r>
    </w:p>
    <w:p>
      <w:pPr>
        <w:pStyle w:val="Style30"/>
        <w:numPr>
          <w:ilvl w:val="0"/>
          <w:numId w:val="4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Отставание в физическом развитии.</w:t>
      </w:r>
    </w:p>
    <w:p>
      <w:pPr>
        <w:pStyle w:val="Style30"/>
        <w:numPr>
          <w:ilvl w:val="0"/>
          <w:numId w:val="4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Повторные пневмонии.</w:t>
      </w:r>
    </w:p>
    <w:p>
      <w:pPr>
        <w:pStyle w:val="Style30"/>
        <w:numPr>
          <w:ilvl w:val="0"/>
          <w:numId w:val="4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Быстрая утомляемость при кормлении.</w:t>
      </w:r>
    </w:p>
    <w:p>
      <w:pPr>
        <w:pStyle w:val="Style30"/>
        <w:numPr>
          <w:ilvl w:val="0"/>
          <w:numId w:val="4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Потливость.</w:t>
      </w:r>
    </w:p>
    <w:p>
      <w:pPr>
        <w:pStyle w:val="Style30"/>
        <w:numPr>
          <w:ilvl w:val="0"/>
          <w:numId w:val="4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Тахикардия.</w:t>
      </w:r>
    </w:p>
    <w:p>
      <w:pPr>
        <w:pStyle w:val="Style30"/>
        <w:numPr>
          <w:ilvl w:val="0"/>
          <w:numId w:val="4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Тахипноэ.</w:t>
      </w:r>
    </w:p>
    <w:p>
      <w:pPr>
        <w:pStyle w:val="Style30"/>
        <w:numPr>
          <w:ilvl w:val="0"/>
          <w:numId w:val="4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Умеренный цианоз, усиливающийся при нагрузке.</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br w:type="column"/>
      </w:r>
      <w:r>
        <w:rPr>
          <w:lang w:val="ru-RU" w:eastAsia="ru-RU" w:bidi="ru-RU"/>
          <w:w w:val="100"/>
          <w:spacing w:val="0"/>
          <w:color w:val="000000"/>
          <w:position w:val="0"/>
        </w:rPr>
        <w:t>Рано формируется сердечный горб.</w:t>
      </w:r>
    </w:p>
    <w:p>
      <w:pPr>
        <w:pStyle w:val="Style30"/>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Физикальные данные:</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Систолическое дрожание, определяемое при пальпа</w:t>
        <w:softHyphen/>
        <w:t>ции грудной клетки.</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Усиление первого и второго тонов сердца.</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Грубый систолический шум дефекта межжелудочко</w:t>
        <w:softHyphen/>
        <w:t xml:space="preserve">вой перегородки </w:t>
      </w:r>
      <w:r>
        <w:rPr>
          <w:lang w:val="en-US" w:eastAsia="en-US" w:bidi="en-US"/>
          <w:w w:val="100"/>
          <w:spacing w:val="0"/>
          <w:color w:val="000000"/>
          <w:position w:val="0"/>
        </w:rPr>
        <w:t xml:space="preserve">V/VI </w:t>
      </w:r>
      <w:r>
        <w:rPr>
          <w:lang w:val="ru-RU" w:eastAsia="ru-RU" w:bidi="ru-RU"/>
          <w:w w:val="100"/>
          <w:spacing w:val="0"/>
          <w:color w:val="000000"/>
          <w:position w:val="0"/>
        </w:rPr>
        <w:t>градации по Левине.</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Систолический шум митральной недостаточности.</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Систолический шум изгнания при стенозе легочной артерии.</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Часто клапанные шумы плохо дифференцируются, так как перекрываются голосистолическим шумом дефекта межпредсердной перегородки.</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Увеличение печени.</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Набухание шейных вен, пастозность тканей и пери</w:t>
        <w:softHyphen/>
        <w:t>ферические отеки при присоединении правожелу</w:t>
        <w:softHyphen/>
        <w:t>дочковой недостаточности.</w:t>
      </w:r>
    </w:p>
    <w:p>
      <w:pPr>
        <w:pStyle w:val="Style30"/>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Электрокардиография:</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 xml:space="preserve">Отклонение электрической оси сердца влево (угол </w:t>
      </w:r>
      <w:r>
        <w:rPr>
          <w:lang w:val="en-US" w:eastAsia="en-US" w:bidi="en-US"/>
          <w:w w:val="100"/>
          <w:spacing w:val="0"/>
          <w:color w:val="000000"/>
          <w:position w:val="0"/>
        </w:rPr>
        <w:t xml:space="preserve">a QRS </w:t>
      </w:r>
      <w:r>
        <w:rPr>
          <w:lang w:val="ru-RU" w:eastAsia="ru-RU" w:bidi="ru-RU"/>
          <w:w w:val="100"/>
          <w:spacing w:val="0"/>
          <w:color w:val="000000"/>
          <w:position w:val="0"/>
        </w:rPr>
        <w:t>более -90°).</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Замедление атриовентрикулярного проведения.</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Неполная блокада правой ножки пучка Гиса.</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Перегрузка правого желудочка.</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Перегрузка обоих предсердий.</w:t>
      </w:r>
    </w:p>
    <w:p>
      <w:pPr>
        <w:pStyle w:val="Style30"/>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Рентгенография:</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Увеличение тени сердца за счет всех четырех камер, особенно левого предсердия и правых отделов.</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Усиление легочного сосудистого рисунка по артери</w:t>
        <w:softHyphen/>
        <w:t>альному и венозному типу.</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При наличии стеноза легочной артерии тень сердца как при тетраде Фалло.</w:t>
      </w:r>
    </w:p>
    <w:p>
      <w:pPr>
        <w:pStyle w:val="Style30"/>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Эхокардиография:</w:t>
      </w:r>
    </w:p>
    <w:p>
      <w:pPr>
        <w:pStyle w:val="Style30"/>
        <w:numPr>
          <w:ilvl w:val="0"/>
          <w:numId w:val="43"/>
        </w:numPr>
        <w:tabs>
          <w:tab w:leader="none" w:pos="237"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Одномерная ЭхоКГ:</w:t>
      </w:r>
    </w:p>
    <w:p>
      <w:pPr>
        <w:pStyle w:val="Style30"/>
        <w:widowControl w:val="0"/>
        <w:keepNext w:val="0"/>
        <w:keepLines w:val="0"/>
        <w:shd w:val="clear" w:color="auto" w:fill="auto"/>
        <w:bidi w:val="0"/>
        <w:spacing w:before="0" w:after="0" w:line="221" w:lineRule="exact"/>
        <w:ind w:left="500" w:right="0" w:hanging="240"/>
      </w:pPr>
      <w:r>
        <w:pict>
          <v:shape id="_x0000_s1200" type="#_x0000_t75" style="position:absolute;margin-left:148.3pt;margin-top:736.8pt;width:209.75pt;height:14.9pt;z-index:-125829269;mso-wrap-distance-left:148.1pt;mso-wrap-distance-right:136.55pt;mso-wrap-distance-bottom:10.8pt;mso-position-horizontal-relative:margin;mso-position-vertical-relative:margin" wrapcoords="0 0 21600 0 21600 21600 0 21600 0 0">
            <v:imagedata r:id="rId278" r:href="rId279"/>
            <w10:wrap type="topAndBottom" anchorx="margin" anchory="margin"/>
          </v:shape>
        </w:pict>
      </w:r>
      <w:r>
        <w:rPr>
          <w:lang w:val="ru-RU" w:eastAsia="ru-RU" w:bidi="ru-RU"/>
          <w:w w:val="100"/>
          <w:spacing w:val="0"/>
          <w:color w:val="000000"/>
          <w:position w:val="0"/>
        </w:rPr>
        <w:t>- объемная перегрузка правого желудочка (дилата</w:t>
        <w:softHyphen/>
        <w:t>ция правых отделов сердца, парадоксальное дви</w:t>
        <w:softHyphen/>
        <w:t>жение межжелудочковой перегородки);</w:t>
      </w:r>
      <w:r>
        <w:br w:type="page"/>
      </w:r>
    </w:p>
    <w:p>
      <w:pPr>
        <w:pStyle w:val="Style30"/>
        <w:numPr>
          <w:ilvl w:val="0"/>
          <w:numId w:val="45"/>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нарушение кинетики передней митральной створ</w:t>
        <w:softHyphen/>
        <w:t>ки: во время диастолы она как бы прилипает к меж</w:t>
        <w:softHyphen/>
        <w:t>желудочковой перегородке или пересекает ее;</w:t>
      </w:r>
    </w:p>
    <w:p>
      <w:pPr>
        <w:pStyle w:val="Style30"/>
        <w:numPr>
          <w:ilvl w:val="0"/>
          <w:numId w:val="45"/>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сужение выходного тракта левого желудочка;</w:t>
      </w:r>
    </w:p>
    <w:p>
      <w:pPr>
        <w:pStyle w:val="Style30"/>
        <w:numPr>
          <w:ilvl w:val="0"/>
          <w:numId w:val="45"/>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дополнительные эхосигналы в выходном тракте левого желудочка.</w:t>
      </w:r>
    </w:p>
    <w:p>
      <w:pPr>
        <w:pStyle w:val="Style30"/>
        <w:numPr>
          <w:ilvl w:val="0"/>
          <w:numId w:val="43"/>
        </w:numPr>
        <w:tabs>
          <w:tab w:leader="none" w:pos="518"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Двухмерная ЭхоКГ:</w:t>
      </w:r>
    </w:p>
    <w:p>
      <w:pPr>
        <w:pStyle w:val="Style30"/>
        <w:numPr>
          <w:ilvl w:val="0"/>
          <w:numId w:val="45"/>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прямая визуализация первичного дефекта меж</w:t>
        <w:softHyphen/>
        <w:t>предсердной перегородки в области центрального фиброзного тела в проекции 4-х камер с верхушки;</w:t>
      </w:r>
    </w:p>
    <w:p>
      <w:pPr>
        <w:pStyle w:val="Style30"/>
        <w:numPr>
          <w:ilvl w:val="0"/>
          <w:numId w:val="45"/>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прямая визуализация дефекта межжелудочковой пе</w:t>
        <w:softHyphen/>
        <w:t>регородки в области центрального фиброзного тела;</w:t>
      </w:r>
    </w:p>
    <w:p>
      <w:pPr>
        <w:pStyle w:val="Style30"/>
        <w:numPr>
          <w:ilvl w:val="0"/>
          <w:numId w:val="45"/>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прямая визуализация расщепления передней мит</w:t>
        <w:softHyphen/>
        <w:t>ральной створки в короткой оси на уровне мит</w:t>
        <w:softHyphen/>
        <w:t>рального кольца на медиальную и латеральную порции; расщепление септальной створки (при наличии двух атриовентрикулярных клапанов);</w:t>
      </w:r>
    </w:p>
    <w:p>
      <w:pPr>
        <w:pStyle w:val="Style30"/>
        <w:numPr>
          <w:ilvl w:val="0"/>
          <w:numId w:val="45"/>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общая атриовентрикулярная створка, пересекаю</w:t>
        <w:softHyphen/>
        <w:t>щая межжелудочковую перегородку (при наличии одного атриовентрикулярного клапана);</w:t>
      </w:r>
    </w:p>
    <w:p>
      <w:pPr>
        <w:pStyle w:val="Style30"/>
        <w:numPr>
          <w:ilvl w:val="0"/>
          <w:numId w:val="45"/>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выявление сопутствующих аномалий (стеноз ле</w:t>
        <w:softHyphen/>
        <w:t>гочной артерии).</w:t>
      </w:r>
    </w:p>
    <w:p>
      <w:pPr>
        <w:pStyle w:val="Style30"/>
        <w:numPr>
          <w:ilvl w:val="0"/>
          <w:numId w:val="43"/>
        </w:numPr>
        <w:tabs>
          <w:tab w:leader="none" w:pos="518"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Допплер ЭхоКГ:</w:t>
      </w:r>
    </w:p>
    <w:p>
      <w:pPr>
        <w:pStyle w:val="Style30"/>
        <w:numPr>
          <w:ilvl w:val="0"/>
          <w:numId w:val="45"/>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регистрация митральной регургитации;</w:t>
      </w:r>
    </w:p>
    <w:p>
      <w:pPr>
        <w:pStyle w:val="Style30"/>
        <w:numPr>
          <w:ilvl w:val="0"/>
          <w:numId w:val="45"/>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регистрация потока через дефект межпредсердной перегородки;</w:t>
      </w:r>
    </w:p>
    <w:p>
      <w:pPr>
        <w:pStyle w:val="Style30"/>
        <w:numPr>
          <w:ilvl w:val="0"/>
          <w:numId w:val="45"/>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выявление лево-правого сброса на уровне межже</w:t>
        <w:softHyphen/>
        <w:t>лудочковой перегородки;</w:t>
      </w:r>
    </w:p>
    <w:p>
      <w:pPr>
        <w:pStyle w:val="Style30"/>
        <w:numPr>
          <w:ilvl w:val="0"/>
          <w:numId w:val="45"/>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выявление трикуспидальной регургитации;</w:t>
      </w:r>
    </w:p>
    <w:p>
      <w:pPr>
        <w:pStyle w:val="Style30"/>
        <w:numPr>
          <w:ilvl w:val="0"/>
          <w:numId w:val="45"/>
        </w:numPr>
        <w:tabs>
          <w:tab w:leader="none" w:pos="733" w:val="left"/>
        </w:tabs>
        <w:widowControl w:val="0"/>
        <w:keepNext w:val="0"/>
        <w:keepLines w:val="0"/>
        <w:shd w:val="clear" w:color="auto" w:fill="auto"/>
        <w:bidi w:val="0"/>
        <w:jc w:val="left"/>
        <w:spacing w:before="0" w:after="0" w:line="211" w:lineRule="exact"/>
        <w:ind w:left="280" w:right="0" w:firstLine="220"/>
      </w:pPr>
      <w:r>
        <w:rPr>
          <w:lang w:val="ru-RU" w:eastAsia="ru-RU" w:bidi="ru-RU"/>
          <w:w w:val="100"/>
          <w:spacing w:val="0"/>
          <w:color w:val="000000"/>
          <w:position w:val="0"/>
        </w:rPr>
        <w:t>оценка степени легочной гипертензии. Катетеризация сердца:</w:t>
      </w:r>
    </w:p>
    <w:p>
      <w:pPr>
        <w:pStyle w:val="Style30"/>
        <w:numPr>
          <w:ilvl w:val="0"/>
          <w:numId w:val="43"/>
        </w:numPr>
        <w:tabs>
          <w:tab w:leader="none" w:pos="518"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Насыщение крови кислородом практически одина</w:t>
        <w:softHyphen/>
        <w:t>ковое и повышено во всех камерах сердца.</w:t>
      </w:r>
    </w:p>
    <w:p>
      <w:pPr>
        <w:pStyle w:val="Style30"/>
        <w:numPr>
          <w:ilvl w:val="0"/>
          <w:numId w:val="43"/>
        </w:numPr>
        <w:tabs>
          <w:tab w:leader="none" w:pos="518"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Проводится оценка величины шунтирования крови слева направо. При возникновении высокой легоч</w:t>
        <w:softHyphen/>
        <w:t>ной гипертензии сброс может быть перекрестным или право-левым.</w:t>
      </w:r>
    </w:p>
    <w:p>
      <w:pPr>
        <w:pStyle w:val="Style30"/>
        <w:numPr>
          <w:ilvl w:val="0"/>
          <w:numId w:val="43"/>
        </w:numPr>
        <w:tabs>
          <w:tab w:leader="none" w:pos="518"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При ангиокардиографии выявляется характерный признак для данной аномалии — симптом «гусиной шеи» (обусловлен деформацией и сужением пути от</w:t>
        <w:softHyphen/>
        <w:t>тока из левого желудочка).</w:t>
      </w:r>
    </w:p>
    <w:p>
      <w:pPr>
        <w:pStyle w:val="Style30"/>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Дифференциальный диагноз</w:t>
      </w:r>
    </w:p>
    <w:p>
      <w:pPr>
        <w:pStyle w:val="Style30"/>
        <w:numPr>
          <w:ilvl w:val="0"/>
          <w:numId w:val="43"/>
        </w:numPr>
        <w:tabs>
          <w:tab w:leader="none" w:pos="518"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Большой нерестриктивный ДМЖП.</w:t>
      </w:r>
    </w:p>
    <w:p>
      <w:pPr>
        <w:pStyle w:val="Style30"/>
        <w:numPr>
          <w:ilvl w:val="0"/>
          <w:numId w:val="43"/>
        </w:numPr>
        <w:tabs>
          <w:tab w:leader="none" w:pos="518"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Единственный желудочек.</w:t>
      </w:r>
    </w:p>
    <w:p>
      <w:pPr>
        <w:pStyle w:val="Style30"/>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Проводится стандартная терапия сердечной недостаточ</w:t>
        <w:softHyphen/>
        <w:t>ности мочегонными, сердечными гликозидами, вазодила- таторами.</w:t>
      </w:r>
    </w:p>
    <w:p>
      <w:pPr>
        <w:pStyle w:val="Style30"/>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Хирургическое лечение</w:t>
      </w:r>
    </w:p>
    <w:p>
      <w:pPr>
        <w:pStyle w:val="Style30"/>
        <w:numPr>
          <w:ilvl w:val="0"/>
          <w:numId w:val="43"/>
        </w:numPr>
        <w:tabs>
          <w:tab w:leader="none" w:pos="518"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Возможно только в раннем детстве, поскольку быст</w:t>
        <w:softHyphen/>
        <w:t>ро формируется синдром Эйзенменгера.</w:t>
      </w:r>
    </w:p>
    <w:p>
      <w:pPr>
        <w:pStyle w:val="Style30"/>
        <w:numPr>
          <w:ilvl w:val="0"/>
          <w:numId w:val="43"/>
        </w:numPr>
        <w:tabs>
          <w:tab w:leader="none" w:pos="518"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Паллиативной операцией является процедура Мюл</w:t>
        <w:softHyphen/>
        <w:t>лера-Альберта (сужение легочной артерии).</w:t>
      </w:r>
    </w:p>
    <w:p>
      <w:pPr>
        <w:pStyle w:val="Style30"/>
        <w:numPr>
          <w:ilvl w:val="0"/>
          <w:numId w:val="43"/>
        </w:numPr>
        <w:tabs>
          <w:tab w:leader="none" w:pos="518"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Радикальная операция проводится по методу Растел- ли: разделение общего атриовентрикулярного клапа</w:t>
        <w:softHyphen/>
        <w:t>на на митральную и трикуспидальную части, закры</w:t>
        <w:softHyphen/>
        <w:t>тие одной или двумя заплатами септальных дефектов (послеоперационная летальность достигает 50%).</w:t>
      </w:r>
    </w:p>
    <w:p>
      <w:pPr>
        <w:pStyle w:val="Style30"/>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Прогноз</w:t>
      </w:r>
    </w:p>
    <w:p>
      <w:pPr>
        <w:pStyle w:val="Style30"/>
        <w:numPr>
          <w:ilvl w:val="0"/>
          <w:numId w:val="43"/>
        </w:numPr>
        <w:tabs>
          <w:tab w:leader="none" w:pos="518"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Прогноз остается неудовлетворительным.</w:t>
      </w:r>
    </w:p>
    <w:p>
      <w:pPr>
        <w:pStyle w:val="Style30"/>
        <w:numPr>
          <w:ilvl w:val="0"/>
          <w:numId w:val="43"/>
        </w:numPr>
        <w:tabs>
          <w:tab w:leader="none" w:pos="518"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При естественном течении порока смерть от право - желудочковой декомпенсации и легочной гипертен</w:t>
        <w:softHyphen/>
        <w:t>зии возникает на 1-5 году жизни.</w:t>
      </w:r>
    </w:p>
    <w:p>
      <w:pPr>
        <w:pStyle w:val="Style30"/>
        <w:numPr>
          <w:ilvl w:val="0"/>
          <w:numId w:val="43"/>
        </w:numPr>
        <w:tabs>
          <w:tab w:leader="none" w:pos="518" w:val="left"/>
        </w:tabs>
        <w:widowControl w:val="0"/>
        <w:keepNext w:val="0"/>
        <w:keepLines w:val="0"/>
        <w:shd w:val="clear" w:color="auto" w:fill="auto"/>
        <w:bidi w:val="0"/>
        <w:spacing w:before="0" w:after="237"/>
        <w:ind w:left="520" w:right="0" w:hanging="240"/>
      </w:pPr>
      <w:r>
        <w:br w:type="column"/>
      </w:r>
      <w:r>
        <w:rPr>
          <w:lang w:val="ru-RU" w:eastAsia="ru-RU" w:bidi="ru-RU"/>
          <w:w w:val="100"/>
          <w:spacing w:val="0"/>
          <w:color w:val="000000"/>
          <w:position w:val="0"/>
        </w:rPr>
        <w:t>При адекватно выполненной операции в раннем детстве в последующем требуются повторные опера</w:t>
        <w:softHyphen/>
        <w:t>ции по реконструкции атриовентрикулярных клапа</w:t>
        <w:softHyphen/>
        <w:t>нов.</w:t>
      </w:r>
    </w:p>
    <w:p>
      <w:pPr>
        <w:pStyle w:val="Style28"/>
        <w:widowControl w:val="0"/>
        <w:keepNext/>
        <w:keepLines/>
        <w:shd w:val="clear" w:color="auto" w:fill="auto"/>
        <w:bidi w:val="0"/>
        <w:jc w:val="left"/>
        <w:spacing w:before="0" w:after="153" w:line="220" w:lineRule="exact"/>
        <w:ind w:left="0" w:right="0" w:firstLine="0"/>
      </w:pPr>
      <w:bookmarkStart w:id="335" w:name="bookmark335"/>
      <w:r>
        <w:rPr>
          <w:lang w:val="ru-RU" w:eastAsia="ru-RU" w:bidi="ru-RU"/>
          <w:w w:val="100"/>
          <w:spacing w:val="0"/>
          <w:color w:val="000000"/>
          <w:position w:val="0"/>
        </w:rPr>
        <w:t>Открытый артериальный проток</w:t>
      </w:r>
      <w:bookmarkEnd w:id="335"/>
    </w:p>
    <w:p>
      <w:pPr>
        <w:pStyle w:val="Style92"/>
        <w:widowControl w:val="0"/>
        <w:keepNext/>
        <w:keepLines/>
        <w:shd w:val="clear" w:color="auto" w:fill="auto"/>
        <w:bidi w:val="0"/>
        <w:spacing w:before="0" w:after="0"/>
        <w:ind w:left="520" w:right="0" w:hanging="240"/>
      </w:pPr>
      <w:bookmarkStart w:id="336" w:name="bookmark336"/>
      <w:r>
        <w:rPr>
          <w:lang w:val="ru-RU" w:eastAsia="ru-RU" w:bidi="ru-RU"/>
          <w:w w:val="100"/>
          <w:spacing w:val="0"/>
          <w:color w:val="000000"/>
          <w:position w:val="0"/>
        </w:rPr>
        <w:t>Введение</w:t>
      </w:r>
      <w:bookmarkEnd w:id="33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Открытый артериальный проток — один из самых ча</w:t>
        <w:softHyphen/>
        <w:t>стых врожденных пороков сердца. Во время фетального развития открытый артериальный проток является ком</w:t>
        <w:softHyphen/>
        <w:t>муникацией между левой ветвью легочной артерии и ни</w:t>
        <w:softHyphen/>
        <w:t>сходящей аортой. Почти вся кровь (90%), минуя правый желудочек, осуществляет легочную циркуляцию и только 10% обеспечивается за счет сокращения правого желу</w:t>
        <w:softHyphen/>
        <w:t>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Персистирование артериального протока может рассма</w:t>
        <w:softHyphen/>
        <w:t>триваться как нормальное до 10 дней у доношенных ново</w:t>
        <w:softHyphen/>
        <w:t>рожденных.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Продолжительность постнатального персистирования протока определяется размером протока, легочной сосуди</w:t>
        <w:softHyphen/>
        <w:t>стой резистентностью, степенью зрелости. У недоношен</w:t>
        <w:softHyphen/>
        <w:t>ных новорожденных проток может существовать несколько недель.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Небольшой шунт слева направо через проток может слу</w:t>
        <w:softHyphen/>
        <w:t>чайно обнаруживаться у подростков при обнаружении шу</w:t>
        <w:softHyphen/>
        <w:t>ма в сердце.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рожденных доношенными, частота открыто</w:t>
        <w:softHyphen/>
        <w:t>го протока составляет 0,006%-0,02%. Частота порока увеличивается у детей, рожденных недоношенными, с перинатальной асфиксией и на высокогорье. Пери</w:t>
        <w:softHyphen/>
        <w:t>натальная асфиксия обычно только задерживает за</w:t>
        <w:softHyphen/>
        <w:t>крытие протока, обычно он закрывается без приме</w:t>
        <w:softHyphen/>
        <w:t>нения специальной терапии.</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Около 20% новорожденных с респираторным дист</w:t>
        <w:softHyphen/>
        <w:t>ресс-синдромом имеют открытый артериальный про</w:t>
        <w:softHyphen/>
        <w:t>ток. У детей, рожденных с массой тела менее 1500 г, частота открытого протока достигает 30%. Высокая частота функционирования протока у детей, рожден</w:t>
        <w:softHyphen/>
        <w:t>ных недоношенными и в гипоксии, обусловлена не</w:t>
        <w:softHyphen/>
        <w:t>зрелостью механизмов закрытия артериального про</w:t>
        <w:softHyphen/>
        <w:t>тока. Обычно артериальный проток у недоношенных детей закрывается спонтанно, присоединение респи</w:t>
        <w:softHyphen/>
        <w:t>раторного дистресса и застойной сердечной недоста</w:t>
        <w:softHyphen/>
        <w:t>точности может потребовать специальной терапии. Низковесные дети с открытым артериальным прото</w:t>
        <w:softHyphen/>
        <w:t>ком в последующем склонны к развитию хроничес</w:t>
        <w:softHyphen/>
        <w:t>ких легочных заболеваний.</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При естественном течении открытого артериального протока, по данным </w:t>
      </w:r>
      <w:r>
        <w:rPr>
          <w:lang w:val="en-US" w:eastAsia="en-US" w:bidi="en-US"/>
          <w:w w:val="100"/>
          <w:spacing w:val="0"/>
          <w:color w:val="000000"/>
          <w:position w:val="0"/>
        </w:rPr>
        <w:t xml:space="preserve">Campbell, </w:t>
      </w:r>
      <w:r>
        <w:rPr>
          <w:lang w:val="ru-RU" w:eastAsia="ru-RU" w:bidi="ru-RU"/>
          <w:w w:val="100"/>
          <w:spacing w:val="0"/>
          <w:color w:val="000000"/>
          <w:position w:val="0"/>
        </w:rPr>
        <w:t>в доантибактериаль</w:t>
        <w:softHyphen/>
        <w:t>ную эру смертность составляла 0,42% в год в возрасте 2-19 лет, 1,0-1,5% в год — на третьей декаде жизни, 2,0-2,5% в год — на четвертой декаде жизни и 4% в год — у лиц старше 40 лет. С применением ан</w:t>
        <w:softHyphen/>
        <w:t>тибиотиков и совершенствованием катетерной тех</w:t>
        <w:softHyphen/>
        <w:t>ники смертность от открытого артериального прото</w:t>
        <w:softHyphen/>
        <w:t>ка значительно снизилась, однако это не относится к глубоко недоношенным детям.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pict>
          <v:shape id="_x0000_s1201" type="#_x0000_t75" style="position:absolute;margin-left:136.8pt;margin-top:736.8pt;width:209.75pt;height:14.9pt;z-index:-125829268;mso-wrap-distance-left:136.55pt;mso-wrap-distance-right:148.1pt;mso-wrap-distance-bottom:10.8pt;mso-position-horizontal-relative:margin;mso-position-vertical-relative:margin" wrapcoords="0 0 21600 0 21600 21600 0 21600 0 0">
            <v:imagedata r:id="rId280" r:href="rId281"/>
            <w10:wrap type="topAndBottom" anchorx="margin" anchory="margin"/>
          </v:shape>
        </w:pict>
      </w:r>
      <w:r>
        <w:rPr>
          <w:lang w:val="ru-RU" w:eastAsia="ru-RU" w:bidi="ru-RU"/>
          <w:w w:val="100"/>
          <w:spacing w:val="0"/>
          <w:color w:val="000000"/>
          <w:position w:val="0"/>
        </w:rPr>
        <w:t>Открытый артериальный проток чаще наблюдается у де</w:t>
        <w:softHyphen/>
        <w:t>вочек по сравнению с мальчиками, соотношение 2:1. По-</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рок встречается с одинаковой частотой, если открытый ар</w:t>
        <w:softHyphen/>
        <w:t>териальный проток обусловлен воздействием специфичес</w:t>
        <w:softHyphen/>
        <w:t>кого тератогена, например, вируса краснухи.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Артериальный проток всегда открыт у плода, если кар</w:t>
        <w:softHyphen/>
        <w:t>диоваскулярная система развита правильно и нормально функционирует. В норме функциональное закрытие арте</w:t>
        <w:softHyphen/>
        <w:t>риального протока происходит в первые 10-18 часов. Недо</w:t>
        <w:softHyphen/>
        <w:t>ношенность, перинатальный дистресс и гипоксия задержи</w:t>
        <w:softHyphen/>
        <w:t>вают закрытие артериального протока. Однако большин</w:t>
        <w:softHyphen/>
        <w:t>ство детей, имеющих открытый артериальный проток, ква</w:t>
        <w:softHyphen/>
        <w:t>лифицируемый как порок сердца, не имеют указаний на наличие данных факторов риска.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Эмбриология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Артериальный проток формируется из дистального уча</w:t>
        <w:softHyphen/>
        <w:t>стка шестой аортальной дуги и соединяет легочную арте</w:t>
        <w:softHyphen/>
        <w:t>рию (область слияния магистрального ствола с левой вет</w:t>
        <w:softHyphen/>
        <w:t>вью легочной артерии) с проксимальным участком нисхо</w:t>
        <w:softHyphen/>
        <w:t>дящей аорты. Наиболее типично проток является остатком левосторонней аорты. Возможно формирование протока из правой аорты. Артериальный проток может формироваться слева и справа. Если левосторонний артериальный проток является нормальной структурой во время фетального раз</w:t>
        <w:softHyphen/>
        <w:t>вития, то правосторонний проток обычно сочетается с дру</w:t>
        <w:softHyphen/>
        <w:t>гими врожденными пороками развития аортальной дуги или конотрункальными аномалиями.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Известны семейные случаи открытого артериального протока, однако генетические механизмы не установ</w:t>
        <w:softHyphen/>
        <w:t>лены.</w:t>
      </w:r>
    </w:p>
    <w:p>
      <w:pPr>
        <w:pStyle w:val="Style30"/>
        <w:numPr>
          <w:ilvl w:val="0"/>
          <w:numId w:val="43"/>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Установлено несколько хромосомных аномалий, со</w:t>
        <w:softHyphen/>
        <w:t>провождающихся открытым артериальным протоком.</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Доказана роль тератогенных факторов, приводящих к пороку, основными из них являются врожденная краснуха (сочетание открытого артериального прото</w:t>
        <w:softHyphen/>
        <w:t>ка с периферическими стенозами легочной артерии), алкогольный синдром плода, применение во время беременности амфетамина и фенитоина.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Открытый артериальный проток обусловливает лево</w:t>
        <w:softHyphen/>
        <w:t>правый шунт. Кровь из системной циркуляции посту</w:t>
        <w:softHyphen/>
        <w:t>пает в легочную циркуляцию. Следовательно, легоч</w:t>
        <w:softHyphen/>
        <w:t>ная циркуляция становится чрезмерной. Величина легочной гиперциркуляции определяется нескольки</w:t>
        <w:softHyphen/>
        <w:t>ми факторами: внутренним диаметром самой узкой части артериального протока, длиной протока, отно</w:t>
        <w:softHyphen/>
        <w:t>шением легочной сосудистой резистентности к сис</w:t>
        <w:softHyphen/>
        <w:t>темной сосудистой резистентности. Чем длиннее проток, тем меньше шунт слева направо.</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системная сосудистая резистентность высокая и/или легочная сосудистая резистентность высокая, то поток крови через артериальный проток большой. Начинаясь в артериальном протоке, поток крови дальше направляется в легочную артерию, легочные капилляры, легочные вены, левое предсердие, левый желудочек, аорту и вновь в артериальный проток. Следовательно, большой лево-правый шунт обуслов</w:t>
        <w:softHyphen/>
        <w:t>ливает дилатацию левого предсердия и левого желу</w:t>
        <w:softHyphen/>
        <w:t>дочка. Дополнительно при открытом артериальном протоке дилатируются легочные вены и восходящая аорта. В результате происходящих гемодинамических нарушений возникает легочная гипертензия.</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Артериальный проток в норме функционирует у пло</w:t>
        <w:softHyphen/>
        <w:t>да. Артериальный проток остается открытым благо</w:t>
        <w:softHyphen/>
        <w:t xml:space="preserve">даря постоянной выработке простагландина </w:t>
      </w:r>
      <w:r>
        <w:rPr>
          <w:lang w:val="en-US" w:eastAsia="en-US" w:bidi="en-US"/>
          <w:w w:val="100"/>
          <w:spacing w:val="0"/>
          <w:color w:val="000000"/>
          <w:position w:val="0"/>
        </w:rPr>
        <w:t xml:space="preserve">E2. </w:t>
      </w:r>
      <w:r>
        <w:rPr>
          <w:lang w:val="ru-RU" w:eastAsia="ru-RU" w:bidi="ru-RU"/>
          <w:w w:val="100"/>
          <w:spacing w:val="0"/>
          <w:color w:val="000000"/>
          <w:position w:val="0"/>
        </w:rPr>
        <w:t>Ан</w:t>
        <w:softHyphen/>
        <w:t>тагонисты простагландина, например, нестероидные противовоспалительные средства, используемые ма</w:t>
        <w:softHyphen/>
        <w:t>терью во время беременности, могут вызвать прежде</w:t>
        <w:softHyphen/>
        <w:t>временное закрытие артериального протока. Закры</w:t>
        <w:softHyphen/>
        <w:t>тие протока у плода обусловливает тяжелые кардио</w:t>
        <w:softHyphen/>
        <w:t>васкулярные нарушения.</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норме функциональное закрытие артериального протока наблюдается примерно на 15 часу у новорож</w:t>
        <w:softHyphen/>
        <w:t>денного, рожденного в срок. Проток закрывается при сокращении мышечного слоя сосуда под влиянием увеличения насыщения кислорода с первым вдохом ребенка. Хотя состояние протока в основном опреде</w:t>
        <w:softHyphen/>
        <w:t>ляется напряжением кислорода в артериальной кро</w:t>
        <w:softHyphen/>
        <w:t>ви, существует большое количество факторов, влия</w:t>
        <w:softHyphen/>
        <w:t>ющих на процесс закрытия протока. К ним относятся вегетативная нервная система, химические медиато</w:t>
        <w:softHyphen/>
        <w:t>ры, мускулатура артериального протока.</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функциональное закрытие артериального прото - ка наблюдается в первые часы жизни новорожденного, анатомическая облитерация протока может продол</w:t>
        <w:softHyphen/>
        <w:t xml:space="preserve">жаться несколько недель. В этот период проток может транзиторно приоткрываться. Согласно </w:t>
      </w:r>
      <w:r>
        <w:rPr>
          <w:lang w:val="en-US" w:eastAsia="en-US" w:bidi="en-US"/>
          <w:w w:val="100"/>
          <w:spacing w:val="0"/>
          <w:color w:val="000000"/>
          <w:position w:val="0"/>
        </w:rPr>
        <w:t xml:space="preserve">Cassels </w:t>
      </w:r>
      <w:r>
        <w:rPr>
          <w:lang w:val="ru-RU" w:eastAsia="ru-RU" w:bidi="ru-RU"/>
          <w:w w:val="100"/>
          <w:spacing w:val="0"/>
          <w:color w:val="000000"/>
          <w:position w:val="0"/>
        </w:rPr>
        <w:t>откры</w:t>
        <w:softHyphen/>
        <w:t>тый артериальный проток следует рассматривать как порок, если он персистирует свыше трех месяцев.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Обычно дети с открытым артериальным протоком не имеют симптомов заболевания.</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анамнезе могут быть указания на преждевременные роды, перинатальный дистресс или перинатальную гипоксию.</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Имеются указания, что дети, рожденные на высоко</w:t>
        <w:softHyphen/>
        <w:t>горье, имеют повышенную частоту открытого арте</w:t>
        <w:softHyphen/>
        <w:t>риального протока.</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Обычно в анамнезе отмечаются замедленное разви</w:t>
        <w:softHyphen/>
        <w:t>тие ребенка, плохой аппетит, снижение физической активности. Однако симптомы застойной сердечной недостаточности наблюдаются очень редко.</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низковесных детей, рожденных недоношенными, открытый артериальный проток аускультативно не выявляется. У детей с клиническими проявлениями болезни гиалиновых мембран открытый артериаль</w:t>
        <w:softHyphen/>
        <w:t>ный проток определяется с повышенной частотой.</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Примерно 1/3 детей с открытым артериальным прото</w:t>
        <w:softHyphen/>
        <w:t>ком выглядят маленькими относительно своего возраста.</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При большом сбросе крови через проток дети имеют та- хипноэ, тахикардию и большое пульсовое давление.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Физикальные данные:</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большом шунте прекордиальная область гипер</w:t>
        <w:softHyphen/>
        <w:t>активна пропорционально величине лево-правого шунта.</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Верхушечный толчок смещен латерально. Может оп</w:t>
        <w:softHyphen/>
        <w:t>ределяться систолическое дрожание в надгрудинной ямке или в левой подключичной области.</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pict>
          <v:shape id="_x0000_s1202" type="#_x0000_t75" style="position:absolute;margin-left:148.2pt;margin-top:736.8pt;width:209.75pt;height:14.9pt;z-index:-125829267;mso-wrap-distance-left:148.1pt;mso-wrap-distance-right:136.8pt;mso-wrap-distance-bottom:10.8pt;mso-position-horizontal-relative:margin;mso-position-vertical-relative:margin" wrapcoords="0 0 21600 0 21600 21600 0 21600 0 0">
            <v:imagedata r:id="rId282" r:href="rId283"/>
            <w10:wrap type="topAndBottom" anchorx="margin" anchory="margin"/>
          </v:shape>
        </w:pict>
      </w:r>
      <w:r>
        <w:rPr>
          <w:lang w:val="ru-RU" w:eastAsia="ru-RU" w:bidi="ru-RU"/>
          <w:w w:val="100"/>
          <w:spacing w:val="0"/>
          <w:color w:val="000000"/>
          <w:position w:val="0"/>
        </w:rPr>
        <w:t>Первый тон сердца не изменен. Второй тон сердца покрыт шумом. На фонокардиограмме определяется парадоксальное расщепление второго тона из-за преждевременного закрытия клапана легочной арте</w:t>
        <w:softHyphen/>
        <w:t>рии и увеличенного периода изгнания через аорталь</w:t>
        <w:softHyphen/>
        <w:t>ный клапан.</w:t>
      </w:r>
      <w:r>
        <w:br w:type="page"/>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В 1898 году </w:t>
      </w:r>
      <w:r>
        <w:rPr>
          <w:lang w:val="en-US" w:eastAsia="en-US" w:bidi="en-US"/>
          <w:w w:val="100"/>
          <w:spacing w:val="0"/>
          <w:color w:val="000000"/>
          <w:position w:val="0"/>
        </w:rPr>
        <w:t xml:space="preserve">Gibson </w:t>
      </w:r>
      <w:r>
        <w:rPr>
          <w:lang w:val="ru-RU" w:eastAsia="ru-RU" w:bidi="ru-RU"/>
          <w:w w:val="100"/>
          <w:spacing w:val="0"/>
          <w:color w:val="000000"/>
          <w:position w:val="0"/>
        </w:rPr>
        <w:t>описал классический шум при от</w:t>
        <w:softHyphen/>
        <w:t>крытом артериальном протоке, назвав его «машин</w:t>
        <w:softHyphen/>
        <w:t>ным» шумом. Шум может иметь систолическую ак</w:t>
        <w:softHyphen/>
        <w:t>центуацию и типично выслушивается в области верх</w:t>
        <w:softHyphen/>
        <w:t>ней части грудной клетки слева. Если отношение ле</w:t>
        <w:softHyphen/>
        <w:t>гочного к системному кровотоку равно или превыша</w:t>
        <w:softHyphen/>
        <w:t>ет 2:1, выслушивается верхушечный тон, обусловлен</w:t>
        <w:softHyphen/>
        <w:t>ный большим потоком крови через митральный кла</w:t>
        <w:softHyphen/>
        <w:t>пан в левый желудочек. Большой поток крови из ле</w:t>
        <w:softHyphen/>
        <w:t>вого желудочка в аорту может обусловить появление аортального шума изгнания. При маленьком шунте через проток можно отметить усиление шума на вдо</w:t>
        <w:softHyphen/>
        <w:t>хе, когда легочный импеданс снижается.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Периферический пульс при открытом артериальном протоке высокий, скачущий. То обусловлено высо</w:t>
        <w:softHyphen/>
        <w:t>ким систолическим выбросом левого желудочка, ко</w:t>
        <w:softHyphen/>
        <w:t>торый может приводить к систолической гипертен</w:t>
        <w:softHyphen/>
        <w:t>зии, наряду с этим диастолическое давление обычно понижено.</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низковесных недоношенных новорожденных ти</w:t>
        <w:softHyphen/>
        <w:t>пичные признаки открытого артериального протока обычно не определяются. Классический «машин</w:t>
        <w:softHyphen/>
        <w:t>ный» шум не выслушивается. Может определяться систолический шум в левой подключичной области. У маленьких детей с большим шунтом через артери</w:t>
        <w:softHyphen/>
        <w:t>альный проток, из-за выраженной легочной гипер</w:t>
        <w:softHyphen/>
        <w:t>циркуляции, шум может не определяться. В этих слу</w:t>
        <w:softHyphen/>
        <w:t>чаях регистрируется усиление прекордиального толч</w:t>
        <w:softHyphen/>
        <w:t>ка и большое пульсовое давление.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небольшом открытом артериальном протоке элек</w:t>
        <w:softHyphen/>
        <w:t>трокардиограмма не изменена. Большой шунт через проток обусловливает появление признаков гипертро</w:t>
        <w:softHyphen/>
        <w:t xml:space="preserve">фии левого желудочка. Обычно регистрируется узкий и высокий зубец </w:t>
      </w:r>
      <w:r>
        <w:rPr>
          <w:lang w:val="en-US" w:eastAsia="en-US" w:bidi="en-US"/>
          <w:w w:val="100"/>
          <w:spacing w:val="0"/>
          <w:color w:val="000000"/>
          <w:position w:val="0"/>
        </w:rPr>
        <w:t xml:space="preserve">R </w:t>
      </w:r>
      <w:r>
        <w:rPr>
          <w:lang w:val="ru-RU" w:eastAsia="ru-RU" w:bidi="ru-RU"/>
          <w:w w:val="100"/>
          <w:spacing w:val="0"/>
          <w:color w:val="000000"/>
          <w:position w:val="0"/>
        </w:rPr>
        <w:t>в левых грудных отведениях (V6).</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новорожденных, особенно недоношенных, с боль</w:t>
        <w:softHyphen/>
        <w:t>шим открытым артериальным протоком регистриру</w:t>
        <w:softHyphen/>
        <w:t xml:space="preserve">ется инверсия зубца Т и депрессия сегмента </w:t>
      </w:r>
      <w:r>
        <w:rPr>
          <w:lang w:val="en-US" w:eastAsia="en-US" w:bidi="en-US"/>
          <w:w w:val="100"/>
          <w:spacing w:val="0"/>
          <w:color w:val="000000"/>
          <w:position w:val="0"/>
        </w:rPr>
        <w:t xml:space="preserve">ST </w:t>
      </w:r>
      <w:r>
        <w:rPr>
          <w:lang w:val="ru-RU" w:eastAsia="ru-RU" w:bidi="ru-RU"/>
          <w:w w:val="100"/>
          <w:spacing w:val="0"/>
          <w:color w:val="000000"/>
          <w:position w:val="0"/>
        </w:rPr>
        <w:t>Эти изменения отражают ишемию миокарда левого желу</w:t>
        <w:softHyphen/>
        <w:t>дочка. В патогенезе данных изменений лежит низкая коронарная перфузия.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большом лево-правом шунте через проток опре</w:t>
        <w:softHyphen/>
        <w:t>деляется дилатация легочных вен, легочной артерии, левого предсердия и левого желудочка. Может опре</w:t>
        <w:softHyphen/>
        <w:t>деляться выступающая восходящая аорта.</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Рентгенологические показатели обычно нормальные, если отношение легочной циркуляции к системной не превышает 2:1. У взрослых пациентов может обна</w:t>
        <w:softHyphen/>
        <w:t>руживаться кальцификация в области протока.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Допплерэхокардиография: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 является стандартным методом ди - агностики открытого артериального протока. Визуа</w:t>
        <w:softHyphen/>
        <w:t>лизация протока осуществляется из супрастерналь</w:t>
        <w:softHyphen/>
        <w:t>ного доступа или в парастернальной короткой оси. В классических случаях открытый артериальный про</w:t>
        <w:softHyphen/>
        <w:t>ток соединяет ствол или левую ветвь легочной арте</w:t>
        <w:softHyphen/>
        <w:t>рии с аортой непосредственно под левой подключич</w:t>
        <w:softHyphen/>
        <w:t>ной артерией.</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Если отсутствуют сопутствующие кардиальные ано</w:t>
        <w:softHyphen/>
        <w:t>малии, допплерэхокардиография выявляет постоян-</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ный поток из аорты в легочную артерию. При боль</w:t>
        <w:softHyphen/>
        <w:t>шой величине лево-правого шунта регистрируется постоянный поток из дуги аорты в артериальный проток в диастолу и обратный поток крови в нисходя - щей аорте. В зависимости от объема шунта регистри</w:t>
        <w:softHyphen/>
        <w:t>руется постоянный поток в ветвях легочной артерии. Увеличение потока в легочные вены приводит к дила</w:t>
        <w:softHyphen/>
        <w:t>тации левого предсердия. При небольшом протоке размеры левого желудочка обычно нормальные, с увеличением шунта левый желудочек дилатируется преимущественно в диастолу.</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Дифференциальный диагноз</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Дефект аортолегочной перегородки.</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Фистула коронарной артерии.</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Аневризма синуса Вальсальвы.</w:t>
      </w:r>
    </w:p>
    <w:p>
      <w:pPr>
        <w:pStyle w:val="Style30"/>
        <w:numPr>
          <w:ilvl w:val="0"/>
          <w:numId w:val="43"/>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Тетрада Фалло при отсутствии клапана легочной ар</w:t>
        <w:softHyphen/>
        <w:t>терии.</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Функциональный венный шум «волчка».</w:t>
      </w:r>
    </w:p>
    <w:p>
      <w:pPr>
        <w:pStyle w:val="Style30"/>
        <w:numPr>
          <w:ilvl w:val="0"/>
          <w:numId w:val="43"/>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Коронарная фистула в правый желудочек или правое предсердие.</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Атриовентрикулярная мальформация.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Недоношенным детям с большим открытым артериаль</w:t>
        <w:softHyphen/>
        <w:t xml:space="preserve">ным протоком назначают внутривенное введение индоме- тацина </w:t>
      </w:r>
      <w:r>
        <w:rPr>
          <w:lang w:val="en-US" w:eastAsia="en-US" w:bidi="en-US"/>
          <w:w w:val="100"/>
          <w:spacing w:val="0"/>
          <w:color w:val="000000"/>
          <w:position w:val="0"/>
        </w:rPr>
        <w:t xml:space="preserve">(Indomethacin, Indocin). </w:t>
      </w:r>
      <w:r>
        <w:rPr>
          <w:lang w:val="ru-RU" w:eastAsia="ru-RU" w:bidi="ru-RU"/>
          <w:w w:val="100"/>
          <w:spacing w:val="0"/>
          <w:color w:val="000000"/>
          <w:position w:val="0"/>
        </w:rPr>
        <w:t>Дозу препарата определяют в зависимости от постнатального возраста (ПНВ):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ПНВ &lt;48 часов: 0,1 мг/кг внутривенно каждые 12 часов в три приема.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ПНВ 2-7 дней: 0,2 мг/кг внутривенно каждые 12 часов в три приема.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ПНВ &gt;7 дней: 0,25 мг/кг внутривенно каждые 12 часов в три приема.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большинства пациентов достигается положительный результат, и лишь небольшой процент недоношенных но</w:t>
        <w:softHyphen/>
        <w:t>ворожденных нуждается в хирургическом закрытии прото</w:t>
        <w:softHyphen/>
        <w:t>ка. В последние годы аналогичный эффект закрытия от</w:t>
        <w:softHyphen/>
        <w:t>крытого артериального протока выявлен при внутривен</w:t>
        <w:softHyphen/>
        <w:t xml:space="preserve">ном введении ибупрофена </w:t>
      </w:r>
      <w:r>
        <w:rPr>
          <w:lang w:val="en-US" w:eastAsia="en-US" w:bidi="en-US"/>
          <w:w w:val="100"/>
          <w:spacing w:val="0"/>
          <w:color w:val="000000"/>
          <w:position w:val="0"/>
        </w:rPr>
        <w:t>(ibuprofen).</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наличии симптомов лево-правого шунта через про</w:t>
        <w:softHyphen/>
        <w:t>ток у доношенных новорожденных в лечение подключают мочегонные препараты, ограничивают введение жидкос</w:t>
        <w:softHyphen/>
        <w:t>тей. При нарушении дыхания проводят дополнительную оксигенацию. Индометацин назначают в первые 10-14 дней жизни. Обычно наблюдается спонтанное закрытие прото</w:t>
        <w:softHyphen/>
        <w:t>ка, только в редких случаях приходится проводить хирурги</w:t>
        <w:softHyphen/>
        <w:t>ческую лигацию протока.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Транскатетерная окклюзия артериального протока:</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Катетерная окклюзия персистирующего артериаль</w:t>
        <w:softHyphen/>
        <w:t>ного протока используется уже более четырех десяти</w:t>
        <w:softHyphen/>
        <w:t>летий. На сегодняшний день наиболее часто исполь</w:t>
        <w:softHyphen/>
        <w:t>зуемый метод — это окклюзия с использованием ко</w:t>
        <w:softHyphen/>
        <w:t xml:space="preserve">лец </w:t>
      </w:r>
      <w:r>
        <w:rPr>
          <w:lang w:val="en-US" w:eastAsia="en-US" w:bidi="en-US"/>
          <w:w w:val="100"/>
          <w:spacing w:val="0"/>
          <w:color w:val="000000"/>
          <w:position w:val="0"/>
        </w:rPr>
        <w:t xml:space="preserve">Gianturco. </w:t>
      </w:r>
      <w:r>
        <w:rPr>
          <w:lang w:val="ru-RU" w:eastAsia="ru-RU" w:bidi="ru-RU"/>
          <w:w w:val="100"/>
          <w:spacing w:val="0"/>
          <w:color w:val="000000"/>
          <w:position w:val="0"/>
        </w:rPr>
        <w:t>В руках опытного хирурга данная ма</w:t>
        <w:softHyphen/>
        <w:t>нипуляция, как правило, венчается успехом. Данный метод используется в клинических случаях с внутрен</w:t>
        <w:softHyphen/>
        <w:t>ним диаметром протока менее 2,5 мм. Более крупный артериальный проток должен быть закрыт другими альтернативными способами.</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pict>
          <v:shape id="_x0000_s1203" type="#_x0000_t75" style="position:absolute;margin-left:131.05pt;margin-top:736.8pt;width:209.75pt;height:14.9pt;z-index:-125829266;mso-wrap-distance-left:124.8pt;mso-wrap-distance-right:147.85pt;mso-wrap-distance-bottom:10.8pt;mso-position-horizontal-relative:margin;mso-position-vertical-relative:margin" wrapcoords="0 0 21600 0 21600 21600 0 21600 0 0">
            <v:imagedata r:id="rId284" r:href="rId285"/>
            <w10:wrap type="topAndBottom" anchorx="margin" anchory="margin"/>
          </v:shape>
        </w:pict>
      </w:r>
      <w:r>
        <w:rPr>
          <w:lang w:val="ru-RU" w:eastAsia="ru-RU" w:bidi="ru-RU"/>
          <w:w w:val="100"/>
          <w:spacing w:val="0"/>
          <w:color w:val="000000"/>
          <w:position w:val="0"/>
        </w:rPr>
        <w:t>Различные технические нововведения, включающие использование более крупных, толстых окклюзион</w:t>
        <w:softHyphen/>
        <w:t>ных колец, колец с контролируемым механизмом ос</w:t>
        <w:softHyphen/>
        <w:t xml:space="preserve">вобождения и различными формами </w:t>
      </w:r>
      <w:r>
        <w:rPr>
          <w:lang w:val="en-US" w:eastAsia="en-US" w:bidi="en-US"/>
          <w:w w:val="100"/>
          <w:spacing w:val="0"/>
          <w:color w:val="000000"/>
          <w:position w:val="0"/>
        </w:rPr>
        <w:t xml:space="preserve">(Duct-Occlud). </w:t>
      </w:r>
      <w:r>
        <w:rPr>
          <w:lang w:val="ru-RU" w:eastAsia="ru-RU" w:bidi="ru-RU"/>
          <w:w w:val="100"/>
          <w:spacing w:val="0"/>
          <w:color w:val="000000"/>
          <w:position w:val="0"/>
        </w:rPr>
        <w:t xml:space="preserve">Использование пособия </w:t>
      </w:r>
      <w:r>
        <w:rPr>
          <w:lang w:val="en-US" w:eastAsia="en-US" w:bidi="en-US"/>
          <w:w w:val="100"/>
          <w:spacing w:val="0"/>
          <w:color w:val="000000"/>
          <w:position w:val="0"/>
        </w:rPr>
        <w:t xml:space="preserve">Amplatzer </w:t>
      </w:r>
      <w:r>
        <w:rPr>
          <w:lang w:val="ru-RU" w:eastAsia="ru-RU" w:bidi="ru-RU"/>
          <w:w w:val="100"/>
          <w:spacing w:val="0"/>
          <w:color w:val="000000"/>
          <w:position w:val="0"/>
        </w:rPr>
        <w:t>зарекомендовало</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себя как высокоэффективное у ряда пациентов. Ок</w:t>
        <w:softHyphen/>
        <w:t xml:space="preserve">клюзионное пособие </w:t>
      </w:r>
      <w:r>
        <w:rPr>
          <w:lang w:val="en-US" w:eastAsia="en-US" w:bidi="en-US"/>
          <w:w w:val="100"/>
          <w:spacing w:val="0"/>
          <w:color w:val="000000"/>
          <w:position w:val="0"/>
        </w:rPr>
        <w:t xml:space="preserve">Grifka-Gianturco </w:t>
      </w:r>
      <w:r>
        <w:rPr>
          <w:lang w:val="ru-RU" w:eastAsia="ru-RU" w:bidi="ru-RU"/>
          <w:w w:val="100"/>
          <w:spacing w:val="0"/>
          <w:color w:val="000000"/>
          <w:position w:val="0"/>
        </w:rPr>
        <w:t>признано дей</w:t>
        <w:softHyphen/>
        <w:t>ственным у пациентов с более широким и протяжен</w:t>
        <w:softHyphen/>
        <w:t>ным персистирующим артериальным протоком. Описанные методики редко используются у ново</w:t>
        <w:softHyphen/>
        <w:t>рожденных, что связано с небольшим размером серд</w:t>
        <w:softHyphen/>
        <w:t>ца, сосудов и более коротким и широким ОАП.</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Как правило, полная окклюзия протока достигается путем проведения катетеризации. В ряде случаев по окончании манипуляции может иметь место не</w:t>
        <w:softHyphen/>
        <w:t>значительный резидуальный лево-правый шунт, ко</w:t>
        <w:softHyphen/>
        <w:t>торый впоследствии (в течение дней или недель) за</w:t>
        <w:softHyphen/>
        <w:t>крывается регионарно формирующимся тромбом. В редких случаях возможно персистирование такого шунта. Принимая во внимание риск развития эндо</w:t>
        <w:softHyphen/>
        <w:t>кардита на протяжении длительного времени, такой резидуальный дефект должен быть закрыт, что дости</w:t>
        <w:softHyphen/>
        <w:t>гается при повторной катетеризации. Существуют данные о возможности ассоциации персистирующего артериального протока с гемолизом и эндокардитом в постокклюзионном периоде.</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Риск проведения окклюзии ОАП в большей степени зависит от опытности доктора, выполняющего мани</w:t>
        <w:softHyphen/>
        <w:t>пуляцию. К возможным осложнениям относят трав</w:t>
        <w:softHyphen/>
        <w:t>мирование сосудов, тромбирование пособий, ис</w:t>
        <w:softHyphen/>
        <w:t>пользуемых повторно, и инсульт.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коррекция</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Хирургическая лигация протока или лигация с рассе - чением остаются стандартными в устранении откры</w:t>
        <w:softHyphen/>
        <w:t>того артериального протока. Опытное выполнение манипуляции гарантирует низкий риск оперативного вмешательства и позитивные результаты. Это утвер</w:t>
        <w:softHyphen/>
        <w:t>ждение верно даже для очень маленьких недоношен</w:t>
        <w:softHyphen/>
        <w:t>ных пациентов. К возможным осложнениям относят кровоизлияния, повреждения сосудов, непредусмот</w:t>
        <w:softHyphen/>
        <w:t>ренное лигирование сосудов (левой легочной артерии или аорты), травмирование возвратного ларингеаль</w:t>
        <w:softHyphen/>
        <w:t>ного нерва или повреждение диафрагмального нерва, инфекционный процесс.</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Хотя терапия с использованием индометацина приме</w:t>
        <w:softHyphen/>
        <w:t>няется в большинстве клиник как наиболее простая в техническом исполнении, ее преимущества перед хи</w:t>
        <w:softHyphen/>
        <w:t>рургической коррекцией не совсем очевидны. В боль</w:t>
        <w:softHyphen/>
        <w:t>шинстве исследований, проведенных с целью оценки результатов терапии индометацином и хирургического лечения, получены результаты, указывающие на при</w:t>
        <w:softHyphen/>
        <w:t>близительно одинаковую эффективность методов.</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наличии симптомов гиперволемии малого круга кровообращения или легочной гипертензии, ассоци</w:t>
        <w:softHyphen/>
        <w:t>ированных с функционирующим артериальным про</w:t>
        <w:softHyphen/>
        <w:t>током, наиболее целесообразным является хирурги</w:t>
        <w:softHyphen/>
        <w:t>ческое закрытие ОАП, в связи с чем аспекты терапии, способствующей уменьшению застойных явлений, не обсуждаются.</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Индометацин для инфузионного введения использу</w:t>
        <w:softHyphen/>
        <w:t>ется в терапии ОАП у новорожденных.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Амбулаторное наблюдение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Дети, у которых ранее было выполнено закрытие арте</w:t>
        <w:softHyphen/>
        <w:t>риального протока, не нуждаются в специфических огра</w:t>
        <w:softHyphen/>
        <w:t>ничениях и особом уходе. В случае высокого риска разви</w:t>
        <w:softHyphen/>
        <w:t>тия бактериемии показана антибактериальная терапия в профилактических целях.</w:t>
      </w:r>
    </w:p>
    <w:p>
      <w:pPr>
        <w:pStyle w:val="Style92"/>
        <w:widowControl w:val="0"/>
        <w:keepNext/>
        <w:keepLines/>
        <w:shd w:val="clear" w:color="auto" w:fill="auto"/>
        <w:bidi w:val="0"/>
        <w:spacing w:before="0" w:after="0"/>
        <w:ind w:left="520" w:right="0" w:hanging="240"/>
      </w:pPr>
      <w:r>
        <w:br w:type="column"/>
      </w:r>
      <w:bookmarkStart w:id="337" w:name="bookmark337"/>
      <w:r>
        <w:rPr>
          <w:lang w:val="ru-RU" w:eastAsia="ru-RU" w:bidi="ru-RU"/>
          <w:w w:val="100"/>
          <w:spacing w:val="0"/>
          <w:color w:val="000000"/>
          <w:position w:val="0"/>
        </w:rPr>
        <w:t>Осложнения</w:t>
      </w:r>
      <w:bookmarkEnd w:id="337"/>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Инфекционный эндокардит.</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Застойная сердечная недостаточность.</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Легочное сосудистое обструктивное заболевание.</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Разрыв аорты.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Обычно после закрытия артериального протока у де</w:t>
        <w:softHyphen/>
        <w:t>тей не наблюдается реканализации, последующее развитие таких детей нормальное, они не нуждаются в длительном наблюдении кардиолога.</w:t>
      </w:r>
    </w:p>
    <w:p>
      <w:pPr>
        <w:pStyle w:val="Style30"/>
        <w:numPr>
          <w:ilvl w:val="0"/>
          <w:numId w:val="43"/>
        </w:numPr>
        <w:tabs>
          <w:tab w:leader="none" w:pos="516" w:val="left"/>
        </w:tabs>
        <w:widowControl w:val="0"/>
        <w:keepNext w:val="0"/>
        <w:keepLines w:val="0"/>
        <w:shd w:val="clear" w:color="auto" w:fill="auto"/>
        <w:bidi w:val="0"/>
        <w:spacing w:before="0" w:after="237"/>
        <w:ind w:left="520" w:right="0" w:hanging="240"/>
      </w:pPr>
      <w:r>
        <w:rPr>
          <w:lang w:val="ru-RU" w:eastAsia="ru-RU" w:bidi="ru-RU"/>
          <w:w w:val="100"/>
          <w:spacing w:val="0"/>
          <w:color w:val="000000"/>
          <w:position w:val="0"/>
        </w:rPr>
        <w:t>У недоношенных детей с большим открытым артери - альным протоком часто развивается бронхолегочная дисплазия.</w:t>
      </w:r>
    </w:p>
    <w:p>
      <w:pPr>
        <w:pStyle w:val="Style28"/>
        <w:widowControl w:val="0"/>
        <w:keepNext/>
        <w:keepLines/>
        <w:shd w:val="clear" w:color="auto" w:fill="auto"/>
        <w:bidi w:val="0"/>
        <w:jc w:val="left"/>
        <w:spacing w:before="0" w:after="157" w:line="220" w:lineRule="exact"/>
        <w:ind w:left="0" w:right="0" w:firstLine="0"/>
      </w:pPr>
      <w:bookmarkStart w:id="338" w:name="bookmark338"/>
      <w:r>
        <w:rPr>
          <w:lang w:val="ru-RU" w:eastAsia="ru-RU" w:bidi="ru-RU"/>
          <w:w w:val="100"/>
          <w:spacing w:val="0"/>
          <w:color w:val="000000"/>
          <w:position w:val="0"/>
        </w:rPr>
        <w:t>Дефект аортолегочной перегородки</w:t>
      </w:r>
      <w:bookmarkEnd w:id="33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Дефект аортолегочной перегородки является редким врожденным пороком сердца, проявляется нарушением развития перегородки между аортой и легочной артерией, обусловливая коммуникацию между сосудами. Этот де</w:t>
        <w:softHyphen/>
        <w:t>фект существует как изолированная аномалия, в 50% слу</w:t>
        <w:softHyphen/>
        <w:t>чаев сочетается с другими дефектами сердца. При дефекте аортолегочной перегородки в 3/4 случаев наблюдается от</w:t>
        <w:softHyphen/>
        <w:t>крытый артериальный проток, в 10-15% — перерыв дуги аорты типа А или тяжелое сужение дистальней левой под</w:t>
        <w:softHyphen/>
        <w:t>ключичной артерии. Данный тип порока отличается от пе</w:t>
        <w:softHyphen/>
        <w:t xml:space="preserve">рерыва дуги аорты типа </w:t>
      </w:r>
      <w:r>
        <w:rPr>
          <w:lang w:val="en-US" w:eastAsia="en-US" w:bidi="en-US"/>
          <w:w w:val="100"/>
          <w:spacing w:val="0"/>
          <w:color w:val="000000"/>
          <w:position w:val="0"/>
        </w:rPr>
        <w:t xml:space="preserve">B, </w:t>
      </w:r>
      <w:r>
        <w:rPr>
          <w:lang w:val="ru-RU" w:eastAsia="ru-RU" w:bidi="ru-RU"/>
          <w:w w:val="100"/>
          <w:spacing w:val="0"/>
          <w:color w:val="000000"/>
          <w:position w:val="0"/>
        </w:rPr>
        <w:t>при котором перерыв аорты ло</w:t>
        <w:softHyphen/>
        <w:t>кализуется между левыми каротидными и левыми подклю</w:t>
        <w:softHyphen/>
        <w:t xml:space="preserve">чичными артериями. Прерывание типа </w:t>
      </w:r>
      <w:r>
        <w:rPr>
          <w:lang w:val="en-US" w:eastAsia="en-US" w:bidi="en-US"/>
          <w:w w:val="100"/>
          <w:spacing w:val="0"/>
          <w:color w:val="000000"/>
          <w:position w:val="0"/>
        </w:rPr>
        <w:t xml:space="preserve">B </w:t>
      </w:r>
      <w:r>
        <w:rPr>
          <w:lang w:val="ru-RU" w:eastAsia="ru-RU" w:bidi="ru-RU"/>
          <w:w w:val="100"/>
          <w:spacing w:val="0"/>
          <w:color w:val="000000"/>
          <w:position w:val="0"/>
        </w:rPr>
        <w:t>часто связывает</w:t>
        <w:softHyphen/>
        <w:t xml:space="preserve">ся с синдромом DiGeorge/velocardюfatial/22q-хромосомы, в отличие от типа </w:t>
      </w:r>
      <w:r>
        <w:rPr>
          <w:lang w:val="en-US" w:eastAsia="en-US" w:bidi="en-US"/>
          <w:w w:val="100"/>
          <w:spacing w:val="0"/>
          <w:color w:val="000000"/>
          <w:position w:val="0"/>
        </w:rPr>
        <w:t xml:space="preserve">A. </w:t>
      </w:r>
      <w:r>
        <w:rPr>
          <w:lang w:val="ru-RU" w:eastAsia="ru-RU" w:bidi="ru-RU"/>
          <w:w w:val="100"/>
          <w:spacing w:val="0"/>
          <w:color w:val="000000"/>
          <w:position w:val="0"/>
        </w:rPr>
        <w:t>Дефект аортолегочной перегородки обычно присутствует, когда перерыв дуги аорты встречает</w:t>
        <w:softHyphen/>
        <w:t>ся без дефекта межжелудочковой перегородки. Тетрада Фалло и аномальное отхождение коронарных артерий от легочной артерии при дефекте аортолегочной перегородки наблюдается в 5% случаев. Другие аномалии, связанные с дефектом аортолегочной перегородки, включают дефект межжелудочковой перегородки, артериальную атрезию, транспозицию магистральных сосудов и другие более сложные пороки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Дефект аортолегочной перегородки — редкий порок, со</w:t>
        <w:softHyphen/>
        <w:t>ставляет приблизительно 0,1-0,3% среди всех врожденных пороков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Порок в 2 раза чаще встречается у мальчиков.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Порок может быть диагностирован с рождения.</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дефекте аортолегочной перегородки с высоким легочным сопротивлением сосудов порок длительное время может не выявляться. В этих случаях порок ди</w:t>
        <w:softHyphen/>
        <w:t>агностируется, когда развиваются необратимые изме - нения в легочных сосудах, появляется симптоматика синдрома Эйзенменгера.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pict>
          <v:shape id="_x0000_s1204" type="#_x0000_t75" style="position:absolute;margin-left:148.1pt;margin-top:736.8pt;width:209.75pt;height:14.9pt;z-index:-125829265;mso-wrap-distance-left:147.85pt;mso-wrap-distance-right:136.8pt;mso-wrap-distance-bottom:10.8pt;mso-position-horizontal-relative:margin;mso-position-vertical-relative:margin" wrapcoords="0 0 21600 0 21600 21600 0 21600 0 0">
            <v:imagedata r:id="rId286" r:href="rId287"/>
            <w10:wrap type="topAndBottom" anchorx="margin" anchory="margin"/>
          </v:shape>
        </w:pict>
      </w:r>
      <w:r>
        <w:rPr>
          <w:lang w:val="ru-RU" w:eastAsia="ru-RU" w:bidi="ru-RU"/>
          <w:w w:val="100"/>
          <w:spacing w:val="0"/>
          <w:color w:val="000000"/>
          <w:position w:val="0"/>
        </w:rPr>
        <w:t>Дефект аортолегочной перегородки, вероятно, обус</w:t>
        <w:softHyphen/>
        <w:t>ловлен мультифакториальным наследованием. Ника</w:t>
        <w:softHyphen/>
        <w:t xml:space="preserve">кая ясная структура наследования не обнаружена у большинства пациентов. Хотя этот дефект, кажется, имеет клинические подобия с общим артриальным стволом и перерывом дуги аорты типа </w:t>
      </w:r>
      <w:r>
        <w:rPr>
          <w:lang w:val="en-US" w:eastAsia="en-US" w:bidi="en-US"/>
          <w:w w:val="100"/>
          <w:spacing w:val="0"/>
          <w:color w:val="000000"/>
          <w:position w:val="0"/>
        </w:rPr>
        <w:t xml:space="preserve">B, </w:t>
      </w:r>
      <w:r>
        <w:rPr>
          <w:lang w:val="ru-RU" w:eastAsia="ru-RU" w:bidi="ru-RU"/>
          <w:w w:val="100"/>
          <w:spacing w:val="0"/>
          <w:color w:val="000000"/>
          <w:position w:val="0"/>
        </w:rPr>
        <w:t xml:space="preserve">он не связан с </w:t>
      </w:r>
      <w:r>
        <w:rPr>
          <w:lang w:val="en-US" w:eastAsia="en-US" w:bidi="en-US"/>
          <w:w w:val="100"/>
          <w:spacing w:val="0"/>
          <w:color w:val="000000"/>
          <w:position w:val="0"/>
        </w:rPr>
        <w:t xml:space="preserve">22q-/DiGeorge </w:t>
      </w:r>
      <w:r>
        <w:rPr>
          <w:lang w:val="ru-RU" w:eastAsia="ru-RU" w:bidi="ru-RU"/>
          <w:w w:val="100"/>
          <w:spacing w:val="0"/>
          <w:color w:val="000000"/>
          <w:position w:val="0"/>
        </w:rPr>
        <w:t>синдром, как и другие пороки разви-</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тия. Перерыв дуги аорты, обычно связанный с дефек</w:t>
        <w:softHyphen/>
        <w:t>том аортолегочной перегородки, встречается как пре</w:t>
        <w:softHyphen/>
        <w:t xml:space="preserve">рывание типа </w:t>
      </w:r>
      <w:r>
        <w:rPr>
          <w:lang w:val="en-US" w:eastAsia="en-US" w:bidi="en-US"/>
          <w:w w:val="100"/>
          <w:spacing w:val="0"/>
          <w:color w:val="000000"/>
          <w:position w:val="0"/>
        </w:rPr>
        <w:t xml:space="preserve">A, </w:t>
      </w:r>
      <w:r>
        <w:rPr>
          <w:lang w:val="ru-RU" w:eastAsia="ru-RU" w:bidi="ru-RU"/>
          <w:w w:val="100"/>
          <w:spacing w:val="0"/>
          <w:color w:val="000000"/>
          <w:position w:val="0"/>
        </w:rPr>
        <w:t xml:space="preserve">а не прерывание типа </w:t>
      </w:r>
      <w:r>
        <w:rPr>
          <w:lang w:val="en-US" w:eastAsia="en-US" w:bidi="en-US"/>
          <w:w w:val="100"/>
          <w:spacing w:val="0"/>
          <w:color w:val="000000"/>
          <w:position w:val="0"/>
        </w:rPr>
        <w:t>B.</w:t>
      </w:r>
    </w:p>
    <w:p>
      <w:pPr>
        <w:pStyle w:val="Style30"/>
        <w:numPr>
          <w:ilvl w:val="0"/>
          <w:numId w:val="4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Редко дефект аортолегочной перегородки наблюдает</w:t>
        <w:softHyphen/>
        <w:t>ся у детей в ассоциации с другими синдромами, включая позвоночный, аноректальный, кардиаль</w:t>
        <w:softHyphen/>
        <w:t xml:space="preserve">ный, трахеоэзофагеальный, почечный, </w:t>
      </w:r>
      <w:r>
        <w:rPr>
          <w:lang w:val="en-US" w:eastAsia="en-US" w:bidi="en-US"/>
          <w:w w:val="100"/>
          <w:spacing w:val="0"/>
          <w:color w:val="000000"/>
          <w:position w:val="0"/>
        </w:rPr>
        <w:t>VACTERL.</w:t>
      </w:r>
    </w:p>
    <w:p>
      <w:pPr>
        <w:pStyle w:val="Style30"/>
        <w:numPr>
          <w:ilvl w:val="0"/>
          <w:numId w:val="4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Связанные экстракардиальные состояния не описа</w:t>
        <w:softHyphen/>
        <w:t>ны при дефекте аортолегочной перегородки.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Эмбриология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 возникает из неполного разделения общей трубы артериального трункуса и аортолегочного ствола. В течение раннего эмбрионального развития аорты и легочных арте</w:t>
        <w:softHyphen/>
        <w:t>рий происходит развитие спиральной перегородки, деля</w:t>
        <w:softHyphen/>
        <w:t>щей общий ствол на аорту и легочную артерию. Спираль</w:t>
        <w:softHyphen/>
        <w:t>ная перегородка формируется путем слияния туловищной перегородки, растущей от полулунных заслонок, и аортоле</w:t>
        <w:softHyphen/>
        <w:t>гочной спиральной перегородки, растущей из области би</w:t>
        <w:softHyphen/>
        <w:t>фуркации легочной артерии. Неполное развитие этих пере</w:t>
        <w:softHyphen/>
        <w:t>городок приводит к возникновению порока.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Анатомия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Дефект аортолегочной перегородки подразделяют на три типа.</w:t>
      </w:r>
    </w:p>
    <w:p>
      <w:pPr>
        <w:pStyle w:val="Style30"/>
        <w:numPr>
          <w:ilvl w:val="0"/>
          <w:numId w:val="4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Первый тип возникает из-за неслияния аортолегоч</w:t>
        <w:softHyphen/>
        <w:t>ной перегородки выше туловищной перегородки и ниже легочной бифуркации, приводит к маленько</w:t>
        <w:softHyphen/>
        <w:t>му — умеренному дефекту.</w:t>
      </w:r>
    </w:p>
    <w:p>
      <w:pPr>
        <w:pStyle w:val="Style30"/>
        <w:numPr>
          <w:ilvl w:val="0"/>
          <w:numId w:val="4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Второй тип является результатом нарушенного слия</w:t>
        <w:softHyphen/>
        <w:t>ния аортолегочной перегородки выше туловищной перегородки, но дефект значительно больше, чем один спиральный поворот.</w:t>
      </w:r>
    </w:p>
    <w:p>
      <w:pPr>
        <w:pStyle w:val="Style30"/>
        <w:numPr>
          <w:ilvl w:val="0"/>
          <w:numId w:val="4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Третий тип — отсутствие аортолегочной перегородки; дефект является большим и без задней границы, ле</w:t>
        <w:softHyphen/>
        <w:t>гочная артерия может исходить непосредственно из аорты. Хотя эта система классификации коррелирует с различным эмбриологическим происхождением де</w:t>
        <w:softHyphen/>
        <w:t>фекта аортолегочной перегородки, это не объясняет другие аномалии, с которыми сочетается порок.</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Развитие плода не страдает при данном пороке. Пробле</w:t>
        <w:softHyphen/>
        <w:t>мы возникают после рождения с падением легочного со</w:t>
        <w:softHyphen/>
        <w:t xml:space="preserve">противления сосудов </w:t>
      </w:r>
      <w:r>
        <w:rPr>
          <w:lang w:val="en-US" w:eastAsia="en-US" w:bidi="en-US"/>
          <w:w w:val="100"/>
          <w:spacing w:val="0"/>
          <w:color w:val="000000"/>
          <w:position w:val="0"/>
        </w:rPr>
        <w:t xml:space="preserve">(PVR), </w:t>
      </w:r>
      <w:r>
        <w:rPr>
          <w:lang w:val="ru-RU" w:eastAsia="ru-RU" w:bidi="ru-RU"/>
          <w:w w:val="100"/>
          <w:spacing w:val="0"/>
          <w:color w:val="000000"/>
          <w:position w:val="0"/>
        </w:rPr>
        <w:t>что обычно имеет место в пер</w:t>
        <w:softHyphen/>
        <w:t>вые дни и недели жизни. С падением легочного сосудисто</w:t>
        <w:softHyphen/>
        <w:t>го сопротивления происходит прогрессивное шунтирова</w:t>
        <w:softHyphen/>
        <w:t>ние системной крови в малый круг кровообращения, за</w:t>
        <w:softHyphen/>
        <w:t>канчивающееся легочным отеком и симптомами застойной сердечной недостаточности. При большом шунтировании рано развивается легочная обструктивная сосудистая бо</w:t>
        <w:softHyphen/>
        <w:t>лезнь. При небольших дефектах порок протекает как при аналогичных по шунтированию дефектах межжелудочко</w:t>
        <w:softHyphen/>
        <w:t>вой перегородки или открытом артериальном протоке, об</w:t>
        <w:softHyphen/>
        <w:t>структивная сосудистая болезнь легких развивается на поздних стадиях.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представленность порока зависит от раз</w:t>
        <w:softHyphen/>
        <w:t>мера дефекта, легочного сосудистого сопротивления и ас</w:t>
        <w:softHyphen/>
        <w:t>социированных аномалий.</w:t>
      </w:r>
    </w:p>
    <w:p>
      <w:pPr>
        <w:pStyle w:val="Style30"/>
        <w:numPr>
          <w:ilvl w:val="0"/>
          <w:numId w:val="4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большом дефекте с падением легочного сосуди</w:t>
        <w:softHyphen/>
        <w:t>стого сопротивления дефект аортолегочной перего</w:t>
        <w:softHyphen/>
        <w:t>родки проявляется типичными симптомами застой</w:t>
        <w:softHyphen/>
        <w:t>ной сердечной недостаточности, неотличающимися от таковых при большом ДМЖП или ОАП.</w:t>
      </w:r>
    </w:p>
    <w:p>
      <w:pPr>
        <w:pStyle w:val="Style30"/>
        <w:numPr>
          <w:ilvl w:val="0"/>
          <w:numId w:val="45"/>
        </w:numPr>
        <w:tabs>
          <w:tab w:leader="none" w:pos="499" w:val="left"/>
        </w:tabs>
        <w:widowControl w:val="0"/>
        <w:keepNext w:val="0"/>
        <w:keepLines w:val="0"/>
        <w:shd w:val="clear" w:color="auto" w:fill="auto"/>
        <w:bidi w:val="0"/>
        <w:spacing w:before="0" w:after="0"/>
        <w:ind w:left="500" w:right="0" w:hanging="240"/>
      </w:pPr>
      <w:r>
        <w:br w:type="column"/>
      </w:r>
      <w:r>
        <w:rPr>
          <w:lang w:val="ru-RU" w:eastAsia="ru-RU" w:bidi="ru-RU"/>
          <w:w w:val="100"/>
          <w:spacing w:val="0"/>
          <w:color w:val="000000"/>
          <w:position w:val="0"/>
        </w:rPr>
        <w:t>симптомы обычно появляются между второй и восьмой неделями жизни;</w:t>
      </w:r>
    </w:p>
    <w:p>
      <w:pPr>
        <w:pStyle w:val="Style30"/>
        <w:numPr>
          <w:ilvl w:val="0"/>
          <w:numId w:val="45"/>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симптомы застойной сердечной недостаточности обычно проявляются тахипноэ и повышенным по</w:t>
        <w:softHyphen/>
        <w:t>тоотделением (особенно при кормлении), низкой прибавкой в весе и замедленным ростом.</w:t>
      </w:r>
    </w:p>
    <w:p>
      <w:pPr>
        <w:pStyle w:val="Style30"/>
        <w:numPr>
          <w:ilvl w:val="0"/>
          <w:numId w:val="4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Если дефект аортолегочной перегородки сочетается с перерывом дуги аорты или тяжелым сужением, то у новорожденного могут возникнуть симптомы шока при закрытии артериального протока.</w:t>
      </w:r>
    </w:p>
    <w:p>
      <w:pPr>
        <w:pStyle w:val="Style30"/>
        <w:numPr>
          <w:ilvl w:val="0"/>
          <w:numId w:val="4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Более редко (приблизительно у 10% пациентов) де</w:t>
        <w:softHyphen/>
        <w:t>фект аортолегочной перегородки является малень</w:t>
        <w:softHyphen/>
        <w:t>ким и проявляется как бессимптомный шум в первые недели и месяцы жизни.</w:t>
      </w:r>
    </w:p>
    <w:p>
      <w:pPr>
        <w:pStyle w:val="Style30"/>
        <w:numPr>
          <w:ilvl w:val="0"/>
          <w:numId w:val="43"/>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большом дефекте легочное сосудистое сопро - тивление в некоторых случаях не снижается, за</w:t>
        <w:softHyphen/>
        <w:t>стойная сердечная недостаточность не развивает</w:t>
        <w:softHyphen/>
        <w:t>ся, пациенты могут быть относительно бессимп</w:t>
        <w:softHyphen/>
        <w:t>томными.</w:t>
      </w:r>
    </w:p>
    <w:p>
      <w:pPr>
        <w:pStyle w:val="Style30"/>
        <w:numPr>
          <w:ilvl w:val="0"/>
          <w:numId w:val="43"/>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Поскольку легочная и системная сосудистая рези</w:t>
        <w:softHyphen/>
        <w:t>стентность сопоставимы, может быть некоторое право-левое шунтирование и умеренный цианоз.</w:t>
      </w:r>
    </w:p>
    <w:p>
      <w:pPr>
        <w:pStyle w:val="Style30"/>
        <w:numPr>
          <w:ilvl w:val="0"/>
          <w:numId w:val="43"/>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Необратимые изменения в легочных сосудах раз</w:t>
        <w:softHyphen/>
        <w:t>виваются со временем. В этом периоде появляют</w:t>
        <w:softHyphen/>
        <w:t>ся признаки повышенной утомляемости, снижен</w:t>
        <w:softHyphen/>
        <w:t>ной толерантности к физическим нагрузкам и ци</w:t>
        <w:softHyphen/>
        <w:t>аноз.</w:t>
      </w:r>
    </w:p>
    <w:p>
      <w:pPr>
        <w:pStyle w:val="Style30"/>
        <w:numPr>
          <w:ilvl w:val="0"/>
          <w:numId w:val="4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Дефект аортолегочной перегородки с постоянно по</w:t>
        <w:softHyphen/>
        <w:t>вышенным легочным сосудистым сопротивлением очень трудно диагностировать клинически, проходят многие годы, прежде чем порок становится явным.</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Физикальные данные:</w:t>
      </w:r>
    </w:p>
    <w:p>
      <w:pPr>
        <w:pStyle w:val="Style30"/>
        <w:numPr>
          <w:ilvl w:val="0"/>
          <w:numId w:val="4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Если существует большой дефект аортолегочной пе</w:t>
        <w:softHyphen/>
        <w:t>регородки с низкой легочной сосудистой резистент</w:t>
        <w:softHyphen/>
        <w:t>ностью (нерестриктивный дефект), то физикальные данные не отличаются от таковых при большом ОАП. Эти данные включают тахипноэ, тахикардию и увеличенную работу дыхания.</w:t>
      </w:r>
    </w:p>
    <w:p>
      <w:pPr>
        <w:pStyle w:val="Style30"/>
        <w:numPr>
          <w:ilvl w:val="0"/>
          <w:numId w:val="43"/>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Шунтирование в малый круг кровообращения в течение диастолы в комбинации с повышенным объемом изгнания обусловливают большое пуль</w:t>
        <w:softHyphen/>
        <w:t>совое давление и высокий пульс.</w:t>
      </w:r>
    </w:p>
    <w:p>
      <w:pPr>
        <w:pStyle w:val="Style30"/>
        <w:numPr>
          <w:ilvl w:val="0"/>
          <w:numId w:val="43"/>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пальпации определяется гипердинамический прекордиальный импульс из-за увеличенного объ</w:t>
        <w:softHyphen/>
        <w:t>ема изгнания левого желудочка.</w:t>
      </w:r>
    </w:p>
    <w:p>
      <w:pPr>
        <w:pStyle w:val="Style30"/>
        <w:numPr>
          <w:ilvl w:val="0"/>
          <w:numId w:val="43"/>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Выслушивается громкий второй тон с непрерыв</w:t>
        <w:softHyphen/>
        <w:t>ным шумом в левой верхней стернальной области. Может определяться ритм галопа и апикальное ди</w:t>
        <w:softHyphen/>
        <w:t>астолическое дрожание.</w:t>
      </w:r>
    </w:p>
    <w:p>
      <w:pPr>
        <w:pStyle w:val="Style30"/>
        <w:numPr>
          <w:ilvl w:val="0"/>
          <w:numId w:val="43"/>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Увеличение печени развивается пропорционально степени сердечной недостаточности.</w:t>
      </w:r>
    </w:p>
    <w:p>
      <w:pPr>
        <w:pStyle w:val="Style30"/>
        <w:numPr>
          <w:ilvl w:val="0"/>
          <w:numId w:val="4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Клиническая симптоматика рестриктивного дефекта (при отсутствии снижения легочного сосудистого со</w:t>
        <w:softHyphen/>
        <w:t>противления) существенно отличается от таковой при нерестриктивном дефекте.</w:t>
      </w:r>
    </w:p>
    <w:p>
      <w:pPr>
        <w:pStyle w:val="Style30"/>
        <w:numPr>
          <w:ilvl w:val="0"/>
          <w:numId w:val="43"/>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Второй сердечный тон узкий громкий </w:t>
      </w:r>
      <w:r>
        <w:rPr>
          <w:lang w:val="en-US" w:eastAsia="en-US" w:bidi="en-US"/>
          <w:w w:val="100"/>
          <w:spacing w:val="0"/>
          <w:color w:val="000000"/>
          <w:position w:val="0"/>
        </w:rPr>
        <w:t xml:space="preserve">(single sound), </w:t>
      </w:r>
      <w:r>
        <w:rPr>
          <w:lang w:val="ru-RU" w:eastAsia="ru-RU" w:bidi="ru-RU"/>
          <w:w w:val="100"/>
          <w:spacing w:val="0"/>
          <w:color w:val="000000"/>
          <w:position w:val="0"/>
        </w:rPr>
        <w:t>шумы не выслушиваются или определяется только мягкий систолический шум.</w:t>
      </w:r>
    </w:p>
    <w:p>
      <w:pPr>
        <w:pStyle w:val="Style30"/>
        <w:numPr>
          <w:ilvl w:val="0"/>
          <w:numId w:val="43"/>
        </w:numPr>
        <w:tabs>
          <w:tab w:leader="none" w:pos="499" w:val="left"/>
        </w:tabs>
        <w:widowControl w:val="0"/>
        <w:keepNext w:val="0"/>
        <w:keepLines w:val="0"/>
        <w:shd w:val="clear" w:color="auto" w:fill="auto"/>
        <w:bidi w:val="0"/>
        <w:spacing w:before="0" w:after="0"/>
        <w:ind w:left="500" w:right="0" w:hanging="240"/>
      </w:pPr>
      <w:r>
        <w:pict>
          <v:shape id="_x0000_s1205" type="#_x0000_t75" style="position:absolute;margin-left:136.9pt;margin-top:736.8pt;width:209.75pt;height:14.9pt;z-index:-125829264;mso-wrap-distance-left:136.8pt;mso-wrap-distance-right:148.1pt;mso-wrap-distance-bottom:10.8pt;mso-position-horizontal-relative:margin;mso-position-vertical-relative:margin" wrapcoords="0 0 21600 0 21600 21600 0 21600 0 0">
            <v:imagedata r:id="rId288" r:href="rId289"/>
            <w10:wrap type="topAndBottom" anchorx="margin" anchory="margin"/>
          </v:shape>
        </w:pict>
      </w:r>
      <w:r>
        <w:rPr>
          <w:lang w:val="ru-RU" w:eastAsia="ru-RU" w:bidi="ru-RU"/>
          <w:w w:val="100"/>
          <w:spacing w:val="0"/>
          <w:color w:val="000000"/>
          <w:position w:val="0"/>
        </w:rPr>
        <w:t>Может определяться легкий цианоз из-за неболь</w:t>
        <w:softHyphen/>
        <w:t>шого право-левого сброса, усиливающийся при нагрузке. С развитием необратимых сосудистых изменений в легких цианоз становится постоян-</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ным. Цианоз будет присутствовать, если дефекту аортолегочной перегородки сопутствуют другие цианотические пороки (например, транспозиция магистральных сосудов, тетрада Фалло).</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Непрерывный систолический шум может быть един</w:t>
        <w:softHyphen/>
        <w:t>ственным физикальным признаком, если дефект яв</w:t>
        <w:softHyphen/>
        <w:t>ляется маленьким и рестриктивным.</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Лабораторные исследования проводятся в предопе</w:t>
        <w:softHyphen/>
        <w:t>рационном периоде с анализом газового и электро</w:t>
        <w:softHyphen/>
        <w:t>литного составов крови. Если ребенок длительно по</w:t>
        <w:softHyphen/>
        <w:t>лучал диуретики и сердечные гликозиды, необходимо исключить гипокалиемию.</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Комбинация загруженного объемом кровообраще</w:t>
        <w:softHyphen/>
        <w:t>ния с калиевым истощением и повышенным сероло</w:t>
        <w:softHyphen/>
        <w:t>гическим уровнем дигоксина может быть фактором риска для желудочковой фибрилляции во время стер - нотомии.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ЭКГ указывает на бивентрикулярную гипертрофию или правожелудочковую гипертрофию. Могут обна</w:t>
        <w:softHyphen/>
        <w:t>руживаться признаки дилатации левого предсердия.</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 обычно показывает кардиомегалию с увеличенным легочным кровото</w:t>
        <w:softHyphen/>
        <w:t>ком. Застойные явления в легких пропорциональны степени сердечной недостаточности.</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это исследование (если сделано опытным персона</w:t>
        <w:softHyphen/>
        <w:t>лом и рассмотрено квалифицированным детским эхокардиографистом) должно показать дефект и связанные отклонения фактически во всех слу</w:t>
        <w:softHyphen/>
        <w:t>чаях. Допплеровское цветное картирование выяв</w:t>
        <w:softHyphen/>
        <w:t>ляет ретроградный поток в поперечной дуге в тече</w:t>
        <w:softHyphen/>
        <w:t>ние диастолы;</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если порок обнаружен, эхокардиографист должен особенно тщательно искать другие отклонения, которые присутствуют в 50% случаев дефектов аортолегочной перегородки. В дополнение к иден</w:t>
        <w:softHyphen/>
        <w:t>тификации дефекта аортолегочной перегородки проводится анализ отхождения легочных артерий, дуги аорты, наличия открытого артериального протока и состояния коронарных артерий.</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катетеризация сердца у детей младшего возраста обычно не требуется, если анатомия порока хоро</w:t>
        <w:softHyphen/>
        <w:t>шо определена атравматичными (эхокардиогра</w:t>
        <w:softHyphen/>
        <w:t>фия, магнитнорезонансная томография) методами исследования. Если данные методы не полностью характеризуют дефект и состояние гемодинамики, катетеризация и ангиографическое исследование могут быть показаны;</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старших детей катетеризация сердца является обязательной процедурой перед выполнением хи</w:t>
        <w:softHyphen/>
        <w:t>рургической коррекции порока и позволяет опре</w:t>
        <w:softHyphen/>
        <w:t>делить легочную сосудистую реактивность;</w:t>
      </w:r>
    </w:p>
    <w:p>
      <w:pPr>
        <w:pStyle w:val="Style30"/>
        <w:numPr>
          <w:ilvl w:val="0"/>
          <w:numId w:val="4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редких случаях маленького аортолегочного де</w:t>
        <w:softHyphen/>
        <w:t>фекта может быть выполнена транскатетерная ок</w:t>
        <w:softHyphen/>
        <w:t>клюзия дефекта.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Медицинская коррекция порока осуществляется в течение нескольких дней или недель, чтобы позво</w:t>
        <w:softHyphen/>
        <w:t>лить избирательно запланировать метод хирургичес</w:t>
        <w:softHyphen/>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кого вмешательства. Так как аортолегочное окно не закрывается спонтанно, хирургическая операция не</w:t>
        <w:softHyphen/>
        <w:t>обходима для предотвращения развития легочной со</w:t>
        <w:softHyphen/>
        <w:t>судистой обструктивной болезни. Обычно назнача</w:t>
        <w:softHyphen/>
        <w:t>ются дигоксин и мочегонные средства, которые обес</w:t>
        <w:softHyphen/>
        <w:t>печивают симптоматическую пользу перед хирурги - ческой коррекцией.</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редких случаях (например, активный сепсис) можно отложить операцию. Таким больным назначают меди</w:t>
        <w:softHyphen/>
        <w:t>каментозную терапию (дигоксин, инотропные препа</w:t>
        <w:softHyphen/>
        <w:t>раты, мочегонные средства) в течение короткого про</w:t>
        <w:softHyphen/>
        <w:t>межутка времени в ожидании операционной помощи.</w:t>
      </w:r>
    </w:p>
    <w:p>
      <w:pPr>
        <w:pStyle w:val="Style30"/>
        <w:numPr>
          <w:ilvl w:val="0"/>
          <w:numId w:val="43"/>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Эффект сосудорасширяющих средств (например, ингибиторы ангиотензин превращающего фер</w:t>
        <w:softHyphen/>
        <w:t>мента, ингибиторы фосфодиэстеразы, нитраты) является сомнительным, поскольку эти препараты воздействуют как на легочное сопротивление, так и на сопротивление в большом круге кровообра</w:t>
        <w:softHyphen/>
        <w:t>щения.</w:t>
      </w:r>
    </w:p>
    <w:p>
      <w:pPr>
        <w:pStyle w:val="Style30"/>
        <w:numPr>
          <w:ilvl w:val="0"/>
          <w:numId w:val="43"/>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Интубация и вентиляция легких под положитель</w:t>
        <w:softHyphen/>
        <w:t>ным давлением с разрешающей гиперкарбией и ограничением вдыхаемой концентрации кисло</w:t>
        <w:softHyphen/>
        <w:t>рода до 21% могут помочь ограничить легочный кровоток у детей с гиперволемией легких. В чрез</w:t>
        <w:softHyphen/>
        <w:t>вычайных случаях используют ингаляцию низких концентраций кислорода (15-19%), чтобы увели</w:t>
        <w:softHyphen/>
        <w:t>чить легочное сосудистое сопротивление.</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Только относительно маленькие дефекты с круглыми контурами подлежат транскатетерному закрытию.</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Существует большое разнообразие хирургических мето</w:t>
        <w:softHyphen/>
        <w:t>дов коррекции дефекта аортолегочной перегородки.</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Аорта и легочная артерия могут быть разделены и де</w:t>
        <w:softHyphen/>
        <w:t>фекты в стенках сосудов закрыты непосредственно или с использованием заплат. Дефект исправляют, используя аутогенный, гомологичный ксенотранс</w:t>
        <w:softHyphen/>
        <w:t>плантат или синтетический материал.</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Сопутствующие дефекты устраняют во время опера</w:t>
        <w:softHyphen/>
        <w:t>ции, в редких случаях отсроченно.</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Методы хирургической коррекции должны быть ин</w:t>
        <w:softHyphen/>
        <w:t>дивидуализированы с учетом уникальной анатомии порока у конкретного больного.</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Послеоперационные проблемы могут ожидаться в за</w:t>
        <w:softHyphen/>
        <w:t>висимости от дооперационной анатомии и включают резидуальный стеноз легочной артерии, остаточный шунт через аортолегочное окно, артериальную об</w:t>
        <w:softHyphen/>
        <w:t>струкцию.</w:t>
      </w:r>
    </w:p>
    <w:p>
      <w:pPr>
        <w:pStyle w:val="Style30"/>
        <w:numPr>
          <w:ilvl w:val="0"/>
          <w:numId w:val="43"/>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Если катетер легочной артерии оставляют после операции, о благоприятных результатах коррекции порока свидетельствует низкое давление в легочной артерии и насыщение кислорода меньше 80%.</w:t>
      </w:r>
    </w:p>
    <w:p>
      <w:pPr>
        <w:pStyle w:val="Style30"/>
        <w:numPr>
          <w:ilvl w:val="0"/>
          <w:numId w:val="43"/>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Повышенное давление в легочной артерии после операции может указывать, что сохраняется высо</w:t>
        <w:softHyphen/>
        <w:t>кая вазореактивность в легочной артерии или посто</w:t>
        <w:softHyphen/>
        <w:t>янный слева направо шунт. Насыщение кислорода в легочной артерии и левопредсердное давление по - зволяют дифференцировать эти два состояния.</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Кроме возможных остаточных анатомических откло - нений у детей старшего возраста может сохраняться легочная артериальная гипертензия.</w:t>
      </w:r>
    </w:p>
    <w:p>
      <w:pPr>
        <w:pStyle w:val="Style30"/>
        <w:numPr>
          <w:ilvl w:val="0"/>
          <w:numId w:val="43"/>
        </w:numPr>
        <w:tabs>
          <w:tab w:leader="none" w:pos="759" w:val="left"/>
        </w:tabs>
        <w:widowControl w:val="0"/>
        <w:keepNext w:val="0"/>
        <w:keepLines w:val="0"/>
        <w:shd w:val="clear" w:color="auto" w:fill="auto"/>
        <w:bidi w:val="0"/>
        <w:spacing w:before="0" w:after="0"/>
        <w:ind w:left="740" w:right="0" w:hanging="220"/>
      </w:pPr>
      <w:r>
        <w:pict>
          <v:shape id="_x0000_s1206" type="#_x0000_t75" style="position:absolute;margin-left:142.2pt;margin-top:736.8pt;width:209.75pt;height:14.9pt;z-index:-125829263;mso-wrap-distance-left:136.1pt;mso-wrap-distance-right:136.8pt;mso-wrap-distance-bottom:10.8pt;mso-position-horizontal-relative:margin;mso-position-vertical-relative:margin" wrapcoords="0 0 21600 0 21600 21600 0 21600 0 0">
            <v:imagedata r:id="rId290" r:href="rId291"/>
            <w10:wrap type="topAndBottom" anchorx="margin" anchory="margin"/>
          </v:shape>
        </w:pict>
      </w:r>
      <w:r>
        <w:rPr>
          <w:lang w:val="ru-RU" w:eastAsia="ru-RU" w:bidi="ru-RU"/>
          <w:w w:val="100"/>
          <w:spacing w:val="0"/>
          <w:color w:val="000000"/>
          <w:position w:val="0"/>
        </w:rPr>
        <w:t>Ингаляции оксида азота могут способствовать коррекции послеоперационной легочной артери-</w:t>
      </w:r>
      <w:r>
        <w:br w:type="page"/>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альной гипертензии, действуя как избирательное легочное артериолярное сосудорасширяющее средство.</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естественном течении порок заканчивается раз</w:t>
        <w:softHyphen/>
        <w:t>витием необратимых изменений в легочных сосудах и ранней летальностью.</w:t>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хирургическом лечении в отсутствие легочной гипертензии прогноз изолированного дефекта аорто</w:t>
        <w:softHyphen/>
        <w:t>легочной перегородки хороший.</w:t>
      </w:r>
    </w:p>
    <w:p>
      <w:pPr>
        <w:pStyle w:val="Style30"/>
        <w:numPr>
          <w:ilvl w:val="0"/>
          <w:numId w:val="43"/>
        </w:numPr>
        <w:tabs>
          <w:tab w:leader="none" w:pos="520" w:val="left"/>
        </w:tabs>
        <w:widowControl w:val="0"/>
        <w:keepNext w:val="0"/>
        <w:keepLines w:val="0"/>
        <w:shd w:val="clear" w:color="auto" w:fill="auto"/>
        <w:bidi w:val="0"/>
        <w:spacing w:before="0" w:after="237"/>
        <w:ind w:left="520" w:right="0" w:hanging="240"/>
      </w:pPr>
      <w:r>
        <w:rPr>
          <w:lang w:val="ru-RU" w:eastAsia="ru-RU" w:bidi="ru-RU"/>
          <w:w w:val="100"/>
          <w:spacing w:val="0"/>
          <w:color w:val="000000"/>
          <w:position w:val="0"/>
        </w:rPr>
        <w:t>В случаях комбинации порока с другими дефектами прогноз зависит от характера других поражений.</w:t>
      </w:r>
    </w:p>
    <w:p>
      <w:pPr>
        <w:pStyle w:val="Style28"/>
        <w:widowControl w:val="0"/>
        <w:keepNext/>
        <w:keepLines/>
        <w:shd w:val="clear" w:color="auto" w:fill="auto"/>
        <w:bidi w:val="0"/>
        <w:jc w:val="left"/>
        <w:spacing w:before="0" w:after="153" w:line="220" w:lineRule="exact"/>
        <w:ind w:left="0" w:right="0" w:firstLine="0"/>
      </w:pPr>
      <w:bookmarkStart w:id="339" w:name="bookmark339"/>
      <w:r>
        <w:rPr>
          <w:lang w:val="ru-RU" w:eastAsia="ru-RU" w:bidi="ru-RU"/>
          <w:w w:val="100"/>
          <w:spacing w:val="0"/>
          <w:color w:val="000000"/>
          <w:position w:val="0"/>
        </w:rPr>
        <w:t>Атрезия трехстворчатого клапана</w:t>
      </w:r>
      <w:bookmarkEnd w:id="33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Атрезия трехстворчатого клапана является одной из трех наиболее частых форм синих врожденных пороков сердца. Порок заключается в полном отсутствии отверстия трех</w:t>
        <w:softHyphen/>
        <w:t>створчатого клапана, что приводит к исключению прямого сообщения правого предсердия с правым желудочком.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порока составляет от 0,3 до 3,7% среди всех ВПС.</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 встречается с одинаковой частотой у мальчиков и девочек. При сочетании атрезии трикуспидального кла</w:t>
        <w:softHyphen/>
        <w:t>пана с транспозицией магистральных сосудов порок чаще обнаруживается у мальчиков.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Атрезия трехстворчатого клапана диагностируется сразу после рождения.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зависимости от характера взаимного расположения магистральных сосудов при атрезии трехстворчатого клапа</w:t>
        <w:softHyphen/>
        <w:t>на описывают три варианта данного порока.</w:t>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первом типе взаимное расположение магист</w:t>
        <w:softHyphen/>
        <w:t>ральных сосудов нормальное.</w:t>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При втором типе атрезии трехстворчатого клапана выявляется </w:t>
      </w:r>
      <w:r>
        <w:rPr>
          <w:lang w:val="en-US" w:eastAsia="en-US" w:bidi="en-US"/>
          <w:w w:val="100"/>
          <w:spacing w:val="0"/>
          <w:color w:val="000000"/>
          <w:position w:val="0"/>
        </w:rPr>
        <w:t>d</w:t>
      </w:r>
      <w:r>
        <w:rPr>
          <w:lang w:val="ru-RU" w:eastAsia="ru-RU" w:bidi="ru-RU"/>
          <w:w w:val="100"/>
          <w:spacing w:val="0"/>
          <w:color w:val="000000"/>
          <w:position w:val="0"/>
        </w:rPr>
        <w:t>-транспозиция магистральных сосудов.</w:t>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При третьем типе атрезии трехстворчатого клапана отмечается </w:t>
      </w:r>
      <w:r>
        <w:rPr>
          <w:lang w:val="en-US" w:eastAsia="en-US" w:bidi="en-US"/>
          <w:w w:val="100"/>
          <w:spacing w:val="0"/>
          <w:color w:val="000000"/>
          <w:position w:val="0"/>
        </w:rPr>
        <w:t>l</w:t>
      </w:r>
      <w:r>
        <w:rPr>
          <w:lang w:val="ru-RU" w:eastAsia="ru-RU" w:bidi="ru-RU"/>
          <w:w w:val="100"/>
          <w:spacing w:val="0"/>
          <w:color w:val="000000"/>
          <w:position w:val="0"/>
        </w:rPr>
        <w:t>-форма транспозиции магистральных со</w:t>
        <w:softHyphen/>
        <w:t>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Каждый тип порока субклассифицируется в зависимос</w:t>
        <w:softHyphen/>
        <w:t>ти от наличия или отсутствия дефекта межжелудочковой перегородки и/или аномалии клапана легочной артерии.</w:t>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Сопутствующие сердечно-сосудистые аномалии вы</w:t>
        <w:softHyphen/>
        <w:t>являются у 18% пациентов с атрезией трехстворчато</w:t>
        <w:softHyphen/>
        <w:t>го клапана. При этом в большинстве случаев атрезия трехстворчатого клапана сочетается с транспозицией магистральных сосудов. Персистирующая левая верх</w:t>
        <w:softHyphen/>
        <w:t>няя полая вена определяется у 15% больных.</w:t>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отсутствии прямого сообщения между правым желудочком и правым предсердием венозная кровь, возвращаясь в правое предсердие, может из него вый</w:t>
        <w:softHyphen/>
        <w:t>ти только при наличии межпредсердного сообщения. В связи с облигатным наличием право-левого шунта между предсердиями на уровне атрезии сатурация крови левого предсердия снижена, в то время как са</w:t>
        <w:softHyphen/>
        <w:t>турация крови правого предсердия остается в преде</w:t>
        <w:softHyphen/>
        <w:t>лах нормальных значений.</w:t>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Направление внутрисердечных потоков крови у боль</w:t>
        <w:softHyphen/>
        <w:t>ных с атрезией трехстворчатого клапана зависит от</w:t>
        <w:br w:type="column"/>
        <w:t>наличия или отсутствия сопутствующей патологии легочной артерии. При отсутствии атрезии или сте</w:t>
        <w:softHyphen/>
        <w:t>ноза клапана легочной артерии объем крови, попада</w:t>
        <w:softHyphen/>
        <w:t>ющий в легкие, может быть нормальным или повы</w:t>
        <w:softHyphen/>
        <w:t>шенным при нормальной оксигенации, что результи- руется уменьшением цианоза кожных покровов.</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Обструкция легочной артерии обычно наблюдается у больных с первым типом атрезии трехстворчатого клапана (т.е. при нормальном взаимном расположе</w:t>
        <w:softHyphen/>
        <w:t>нии магистральных сосудов). Пациенты с вторым ти</w:t>
        <w:softHyphen/>
        <w:t>пом атрезии трехстворчатого клапана (d-транспози</w:t>
        <w:softHyphen/>
        <w:t>ция магистральных сосудов) обычно не имеют об</w:t>
        <w:softHyphen/>
        <w:t>струкции легочной артерии.</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атрезии трехстворчатого клапана основная масса миокарда приходится на левый желудочек. Из-за объ</w:t>
        <w:softHyphen/>
        <w:t>емной перегрузки левого желудочка (на него прихо</w:t>
        <w:softHyphen/>
        <w:t>дится весь венозный возврат) и персистирующей ги- поксемии может наблюдаться снижение его функци</w:t>
        <w:softHyphen/>
        <w:t>ональных показателей. Может иметь место фиброз миокарда, снижение сократительной способности левого желудочка, дилатация кольца митрального клапана, а также недостаточность митрального кла</w:t>
        <w:softHyphen/>
        <w:t>пана.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Атрезия трехстворчатого клапана диагностируется сра</w:t>
        <w:softHyphen/>
        <w:t>зу после рождения или в период новорожденности из-за наличия у ребенка цианоза, застойной сердечной недоста</w:t>
        <w:softHyphen/>
        <w:t>точности и отставания в физическом развитии. Родители ребенка обычно отмечают диффузный цианоз — от голу</w:t>
        <w:softHyphen/>
        <w:t>боватого до фиолетового. Также родители жалуются на не</w:t>
        <w:softHyphen/>
        <w:t>возможность ребенка перенести процесс кормления в один прием (приходится делать частые паузы при корм</w:t>
        <w:softHyphen/>
        <w:t>лении, чтобы ребенок отдохнул), а также частое срыгива- ние, что также затрудняет кормление. Как результат вы</w:t>
        <w:softHyphen/>
        <w:t>шеуказанных жалоб, ребенок плохо прибавляет в весе. Также могут быть жалобы на затрудненное дыхание в виде раздувания крыльев носа или напряжения дыхательных мышц.</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Бактериальный эндокардит и абсцесс головного мозга являются частыми находками у больных с атрезией трех</w:t>
        <w:softHyphen/>
        <w:t>створчатого клапана. Эти данные необходимо учитывать, если больной жалуется на головные боли, тошноту или ин</w:t>
        <w:softHyphen/>
        <w:t>теллектуальную недостаточность.</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Физикальные данные:</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осмотре сразу обращает на себя внимание циа</w:t>
        <w:softHyphen/>
        <w:t>ноз кожных покровов. Выраженность цианоза нахо</w:t>
        <w:softHyphen/>
        <w:t>дится в прямой зависимости от адекватности легоч</w:t>
        <w:softHyphen/>
        <w:t>ного кровотока. Дети с сопутствующими аномалиями развития легочной артерии и сниженным легочным кровотоком, а также дети с персистирующим откры</w:t>
        <w:softHyphen/>
        <w:t>тым артериальным протоком могут иметь выражен</w:t>
        <w:softHyphen/>
        <w:t>ный разлитой цианоз, который еще более усиливает</w:t>
        <w:softHyphen/>
        <w:t>ся при уменьшении размеров открытого артериаль</w:t>
        <w:softHyphen/>
        <w:t>ного протока. Больные без сопутствующей аномалии развития легочной артерии и соответственно нор</w:t>
        <w:softHyphen/>
        <w:t>мальным легочным кровотоком обычно имеют слабо выраженный кровоток, но у них, как правило, более выражены признаки застойной сердечной недоста</w:t>
        <w:softHyphen/>
        <w:t>точности.</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pict>
          <v:shape id="_x0000_s1207" type="#_x0000_t75" style="position:absolute;margin-left:136.8pt;margin-top:736.8pt;width:209.75pt;height:14.9pt;z-index:-125829262;mso-wrap-distance-left:136.55pt;mso-wrap-distance-right:148.1pt;mso-wrap-distance-bottom:10.8pt;mso-position-horizontal-relative:margin;mso-position-vertical-relative:margin" wrapcoords="0 0 21600 0 21600 21600 0 21600 0 0">
            <v:imagedata r:id="rId292" r:href="rId293"/>
            <w10:wrap type="topAndBottom" anchorx="margin" anchory="margin"/>
          </v:shape>
        </w:pict>
      </w:r>
      <w:r>
        <w:rPr>
          <w:lang w:val="ru-RU" w:eastAsia="ru-RU" w:bidi="ru-RU"/>
          <w:w w:val="100"/>
          <w:spacing w:val="0"/>
          <w:color w:val="000000"/>
          <w:position w:val="0"/>
        </w:rPr>
        <w:t>Характерным для атрезии трехстворчатого клапана клиническим признаком является пульсация ярем</w:t>
        <w:softHyphen/>
        <w:t>ных вен.</w:t>
      </w:r>
      <w:r>
        <w:br w:type="page"/>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Пульсация периферических сосудов и пульсовое кро</w:t>
        <w:softHyphen/>
        <w:t>венаполнение может быть сниженным, нормальным или усиленным. Ударный объем левого желудочка обычно повышен из-за перегрузки левого желудочка объемом. Верхушечный толчок обычно гипердина</w:t>
        <w:softHyphen/>
        <w:t>мичный, смещенный ближе к срединной линии. Си</w:t>
        <w:softHyphen/>
        <w:t>столический шум может определяться по левой пара</w:t>
        <w:softHyphen/>
        <w:t>стернальной линии у больных с сопутствующим де</w:t>
        <w:softHyphen/>
        <w:t>фектом межжелудочковой перегородки и у больных с сопутствующим стенозом легочной артерии. Пе</w:t>
        <w:softHyphen/>
        <w:t>чень обычно увеличена.</w:t>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Первый тон обычно однокомпонентный и усилен по сравнению с обычно встречающимся. Второй тон мо</w:t>
        <w:softHyphen/>
        <w:t>жет быть не изменен или однокомпонентный. Ин</w:t>
        <w:softHyphen/>
        <w:t>тенсивность второго тона может варьировать в зави</w:t>
        <w:softHyphen/>
        <w:t>симости от сопутствующих сердечно-сосудистых аномалий (транспозиция магистральных сосудов). При нормальном расположении магистральных сосу</w:t>
        <w:softHyphen/>
        <w:t>дов второй сердечный тон обычно имеет нормальную интенсивность. При сопутствующей транспозиции магистральных сосудов интенсивность второго тона может быть сниженной.</w:t>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Сердечный шум обычно определяется у 80% больных с атрезией трехстворчатого клапана. Голосистоличес</w:t>
        <w:softHyphen/>
        <w:t xml:space="preserve">кий шум может иметь характер </w:t>
      </w:r>
      <w:r>
        <w:rPr>
          <w:lang w:val="en-US" w:eastAsia="en-US" w:bidi="en-US"/>
          <w:w w:val="100"/>
          <w:spacing w:val="0"/>
          <w:color w:val="000000"/>
          <w:position w:val="0"/>
        </w:rPr>
        <w:t xml:space="preserve">crescendo </w:t>
      </w:r>
      <w:r>
        <w:rPr>
          <w:lang w:val="ru-RU" w:eastAsia="ru-RU" w:bidi="ru-RU"/>
          <w:w w:val="100"/>
          <w:spacing w:val="0"/>
          <w:color w:val="000000"/>
          <w:position w:val="0"/>
        </w:rPr>
        <w:t xml:space="preserve">или </w:t>
      </w:r>
      <w:r>
        <w:rPr>
          <w:lang w:val="en-US" w:eastAsia="en-US" w:bidi="en-US"/>
          <w:w w:val="100"/>
          <w:spacing w:val="0"/>
          <w:color w:val="000000"/>
          <w:position w:val="0"/>
        </w:rPr>
        <w:t>decrescen</w:t>
        <w:softHyphen/>
        <w:t xml:space="preserve">do. </w:t>
      </w:r>
      <w:r>
        <w:rPr>
          <w:lang w:val="ru-RU" w:eastAsia="ru-RU" w:bidi="ru-RU"/>
          <w:w w:val="100"/>
          <w:spacing w:val="0"/>
          <w:color w:val="000000"/>
          <w:position w:val="0"/>
        </w:rPr>
        <w:t>Шум возникает вследствие интенсивного кровото</w:t>
        <w:softHyphen/>
        <w:t>ка через дефект межжелудочковой перегородки. Также может наблюдаться постоянный шум. Этот шум может наблюдаться вследствие артериальных коллатералей, соединяющих большой и малый круги кровообраще</w:t>
        <w:softHyphen/>
        <w:t>ния, или вследствие артерио-пульмональных артери</w:t>
        <w:softHyphen/>
        <w:t>альных анастомозов, созданных хирургическим путем для улучшения легочного кровоснабжения. Также при атрезии трехстворчатого клапана нередко слышен шум недостаточности митрального клапана.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Этиология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 возникновения атрезии трехстворчатого кла</w:t>
        <w:softHyphen/>
        <w:t>пана неизвестны. Однако не исключено, что в ближайшем будущем будут определены специфические генетические причины данной сердечной мальформации человека. Су</w:t>
        <w:softHyphen/>
        <w:t>ществуют указания на заинтересованность FOG2-гена в этом процессе. Известно, что мыши с поврежденным FOG2-геном рождаются с атрезией трехстворчатого клапа</w:t>
        <w:softHyphen/>
        <w:t>на. В настоящее время интерес исследователей направлен на выяснение роли данного гена в формировании атрезии трехстворчатого клапана у человека.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Лабораторная диагностика:</w:t>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общем анализе крови может наблюдаться полици- темия, возникающая вследствие цианоза как компен</w:t>
        <w:softHyphen/>
        <w:t>саторная реакция на гипоксемию.</w:t>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Протромбин и активированное частичное протром</w:t>
        <w:softHyphen/>
        <w:t>биновое время может быть вторично изменено из-за полицитемии.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Электрокардиография:</w:t>
      </w:r>
    </w:p>
    <w:p>
      <w:pPr>
        <w:pStyle w:val="Style30"/>
        <w:numPr>
          <w:ilvl w:val="0"/>
          <w:numId w:val="4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Обычно выявляет наличие синусового ритма с высо</w:t>
        <w:softHyphen/>
        <w:t>кими зубцами Р, свидетельствующими об увеличении размеров предсердий. Также может наблюдаться ат</w:t>
        <w:softHyphen/>
        <w:t>риовентрикулярная блокада 1 степени. Из-за ано</w:t>
        <w:softHyphen/>
        <w:t>мального расположения левой ножки пучка Гиса мо</w:t>
        <w:softHyphen/>
        <w:t>жет наблюдаться отклонение электрической оси сердца влево.</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Рентгенография грудной клетки:</w:t>
      </w:r>
    </w:p>
    <w:p>
      <w:pPr>
        <w:pStyle w:val="Style30"/>
        <w:numPr>
          <w:ilvl w:val="0"/>
          <w:numId w:val="43"/>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атрезии трехстворчатого клапана обычно выяв</w:t>
        <w:softHyphen/>
        <w:t>ляют кардиомегалию с выбуханием правой дуги вследствие значительного увеличения правого пред</w:t>
        <w:softHyphen/>
        <w:t>сердия. Может также наблюдаться усиление легочно - го рисунка. Если же у больного есть сопутствующие сердечно-сосудистые аномалии, приводящие к обед</w:t>
        <w:softHyphen/>
        <w:t>нению малого круга, легочный рисунок может быть обеднен. В 3-8% случаев может наблюдаться аорталь</w:t>
        <w:softHyphen/>
        <w:t>ная дуга на правом контуре.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Одномерная ЭхоКГ:</w:t>
      </w:r>
    </w:p>
    <w:p>
      <w:pPr>
        <w:pStyle w:val="Style30"/>
        <w:numPr>
          <w:ilvl w:val="0"/>
          <w:numId w:val="45"/>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маленький правый желудочек;</w:t>
      </w:r>
    </w:p>
    <w:p>
      <w:pPr>
        <w:pStyle w:val="Style30"/>
        <w:numPr>
          <w:ilvl w:val="0"/>
          <w:numId w:val="45"/>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увеличение левого желудочка и левого предсердия;</w:t>
      </w:r>
    </w:p>
    <w:p>
      <w:pPr>
        <w:pStyle w:val="Style30"/>
        <w:numPr>
          <w:ilvl w:val="0"/>
          <w:numId w:val="45"/>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объемная перегрузка левого желудочка;</w:t>
      </w:r>
    </w:p>
    <w:p>
      <w:pPr>
        <w:pStyle w:val="Style30"/>
        <w:numPr>
          <w:ilvl w:val="0"/>
          <w:numId w:val="45"/>
        </w:numPr>
        <w:tabs>
          <w:tab w:leader="none" w:pos="756"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невозможность визуализации структур трикуспи</w:t>
        <w:softHyphen/>
        <w:t>дального клапана.</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Двухмерная ЭхоКГ:</w:t>
      </w:r>
    </w:p>
    <w:p>
      <w:pPr>
        <w:pStyle w:val="Style30"/>
        <w:numPr>
          <w:ilvl w:val="0"/>
          <w:numId w:val="45"/>
        </w:numPr>
        <w:tabs>
          <w:tab w:leader="none" w:pos="756"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плотные эхосигналы на уровне трикуспидального кольца без визуализации створок;</w:t>
      </w:r>
    </w:p>
    <w:p>
      <w:pPr>
        <w:pStyle w:val="Style30"/>
        <w:numPr>
          <w:ilvl w:val="0"/>
          <w:numId w:val="45"/>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большой дефект межпредсердной перегородки;</w:t>
      </w:r>
    </w:p>
    <w:p>
      <w:pPr>
        <w:pStyle w:val="Style30"/>
        <w:numPr>
          <w:ilvl w:val="0"/>
          <w:numId w:val="45"/>
        </w:numPr>
        <w:tabs>
          <w:tab w:leader="none" w:pos="756"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маленький правый желудочек соединяется с левым через дефект межжелудочковой перегородки;</w:t>
      </w:r>
    </w:p>
    <w:p>
      <w:pPr>
        <w:pStyle w:val="Style30"/>
        <w:numPr>
          <w:ilvl w:val="0"/>
          <w:numId w:val="45"/>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гипоплазия выходного тракта правого желудочка;</w:t>
      </w:r>
    </w:p>
    <w:p>
      <w:pPr>
        <w:pStyle w:val="Style30"/>
        <w:numPr>
          <w:ilvl w:val="0"/>
          <w:numId w:val="45"/>
        </w:numPr>
        <w:tabs>
          <w:tab w:leader="none" w:pos="756"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выявляет сопутствующие аномалии магистраль</w:t>
        <w:softHyphen/>
        <w:t>ных сосудов.</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Допплер ЭхоКГ:</w:t>
      </w:r>
    </w:p>
    <w:p>
      <w:pPr>
        <w:pStyle w:val="Style30"/>
        <w:numPr>
          <w:ilvl w:val="0"/>
          <w:numId w:val="45"/>
        </w:numPr>
        <w:tabs>
          <w:tab w:leader="none" w:pos="756"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отсутствует поток крови между правым предсерди - ем и правым желудочком;</w:t>
      </w:r>
    </w:p>
    <w:p>
      <w:pPr>
        <w:pStyle w:val="Style30"/>
        <w:numPr>
          <w:ilvl w:val="0"/>
          <w:numId w:val="45"/>
        </w:numPr>
        <w:tabs>
          <w:tab w:leader="none" w:pos="756"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выявляет шунтовые потоки и взаиморасположе</w:t>
        <w:softHyphen/>
        <w:t>ние магистральных сосудов.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Катетеризация сердца:</w:t>
      </w:r>
    </w:p>
    <w:p>
      <w:pPr>
        <w:pStyle w:val="Style30"/>
        <w:numPr>
          <w:ilvl w:val="0"/>
          <w:numId w:val="43"/>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раннего возраста первичная катетеризация сердечных камер проводится для выяснения состоя</w:t>
        <w:softHyphen/>
        <w:t>ния внутрисердечной гемодинамики (характеристи</w:t>
        <w:softHyphen/>
        <w:t>ки потока крови в легочной артерии, наличие или от</w:t>
        <w:softHyphen/>
        <w:t>сутствие открытого артериального протока). Если в ходе проведения исследования выявляется рестрик</w:t>
        <w:softHyphen/>
        <w:t>тивный тип дефекта межпредсердной перегородки, катетеризация может быть дополнена баллонной сеп</w:t>
        <w:softHyphen/>
        <w:t>тостомией.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Дифференциальный диагноз</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Единственный желудочек.</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Транспозиция магистральных сосудов.</w:t>
      </w:r>
    </w:p>
    <w:p>
      <w:pPr>
        <w:pStyle w:val="Style30"/>
        <w:numPr>
          <w:ilvl w:val="0"/>
          <w:numId w:val="4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Атрезия легочной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лечении детей с атрезией трехстворчатого клапана следует обращать внимание на три основных направления. Во-первых, нужно по возможности способствовать адек</w:t>
        <w:softHyphen/>
        <w:t>ватности кровотока в легочной артерии с целью уменьше</w:t>
        <w:softHyphen/>
        <w:t>ния гипоксемии и симптомов застойной сердечной недо</w:t>
        <w:softHyphen/>
        <w:t>статочности. Во-вторых, необходимо следить за сократи</w:t>
        <w:softHyphen/>
        <w:t>тельной способностью миокарда, которая также находится в зависимости от кровотока в легочной артерии, уровня насыщения крови кислородом и адекватности перфузии в сосудах легких, для того чтобы впоследствии можно бы</w:t>
        <w:softHyphen/>
        <w:t>ло выполнить операцию Фонтена. В-третьих, необходимо проводить профилактику бактериального эндокардита и тромбоэмболии.</w:t>
      </w:r>
    </w:p>
    <w:p>
      <w:pPr>
        <w:pStyle w:val="Style30"/>
        <w:widowControl w:val="0"/>
        <w:keepNext w:val="0"/>
        <w:keepLines w:val="0"/>
        <w:shd w:val="clear" w:color="auto" w:fill="auto"/>
        <w:bidi w:val="0"/>
        <w:spacing w:before="0" w:after="0"/>
        <w:ind w:left="0" w:right="0" w:firstLine="280"/>
      </w:pPr>
      <w:r>
        <w:pict>
          <v:shape id="_x0000_s1208" type="#_x0000_t75" style="position:absolute;margin-left:148.1pt;margin-top:736.8pt;width:209.75pt;height:14.9pt;z-index:-125829261;mso-wrap-distance-left:147.85pt;mso-wrap-distance-right:136.8pt;mso-wrap-distance-bottom:10.8pt;mso-position-horizontal-relative:margin;mso-position-vertical-relative:margin" wrapcoords="0 0 21600 0 21600 21600 0 21600 0 0">
            <v:imagedata r:id="rId294" r:href="rId295"/>
            <w10:wrap type="topAndBottom" anchorx="margin" anchory="margin"/>
          </v:shape>
        </w:pict>
      </w:r>
      <w:r>
        <w:rPr>
          <w:lang w:val="ru-RU" w:eastAsia="ru-RU" w:bidi="ru-RU"/>
          <w:w w:val="100"/>
          <w:spacing w:val="0"/>
          <w:color w:val="000000"/>
          <w:position w:val="0"/>
        </w:rPr>
        <w:t>Профилактика бактериального эндокардита у больных с атрезией трехстворчатого клапана должна проводиться рутинно, как и у других детей с врожденными пороками</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сердца, при любой инвазивной или стоматологической процедуре. Можно использовать стандартизированные подходы к лечению и профилактике инфекционного эндо</w:t>
        <w:softHyphen/>
        <w:t>кардита, разработанные Американской ассоциацией кар</w:t>
        <w:softHyphen/>
        <w:t>диологов, которые в основном включают употребление ан</w:t>
        <w:softHyphen/>
        <w:t>тибиотиков пенициллинового ряда внутрь или паренте</w:t>
        <w:softHyphen/>
        <w:t>рально в день проведения процедуры и на следующий день. У больных с повышенной чувствительностью к пени</w:t>
        <w:softHyphen/>
        <w:t>циллиновым производным можно использовать антибио</w:t>
        <w:softHyphen/>
        <w:t>тики эритромицинового ряда, ванкомицин или аминогли- козиды.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детей с атрезией трехстворчатого клапана и сни</w:t>
        <w:softHyphen/>
        <w:t>женным легочным кровотоком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Эта группа детей наиболее многочисленна среди боль</w:t>
        <w:softHyphen/>
        <w:t>ных с данным пороком сердца. В клинической картине до</w:t>
        <w:softHyphen/>
        <w:t>минируют цианоз и гипоксемия. В случае тяжелой гипоксе- мии может наблюдаться ацидемия, что нередко заканчива</w:t>
        <w:softHyphen/>
        <w:t>ется летально. У таких больных можно рекомендовать быс</w:t>
        <w:softHyphen/>
        <w:t>трое своевременное начало терапии простагландином Е для воспрепятствования закрытия открытого артериального протока с целью улучшения кровоснабжения легких.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дети с атрезией трехстворчатого клапана и уси</w:t>
        <w:softHyphen/>
        <w:t>ленным легочным кровотоком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Такие больные, как правило, имеют сопутствующие сер</w:t>
        <w:softHyphen/>
        <w:t>дечно-сосудистые аномалии в виде обширного дефекта межжелудочковой перегородки и транспозиции магист</w:t>
        <w:softHyphen/>
        <w:t>ральных сосудов. В клинической картине доминирует за</w:t>
        <w:softHyphen/>
        <w:t>стойная сердечная недостаточность. В плане лечения необ</w:t>
        <w:softHyphen/>
        <w:t>ходимо рассматривать вопрос об использовании препара</w:t>
        <w:softHyphen/>
        <w:t>тов дигиталиса и диуретической терапии для уменьшения интенсивности легочного кровотока.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Паллиативные процедуры, которые могут использовать</w:t>
        <w:softHyphen/>
        <w:t>ся для контроля за легочным кровотоком, способствуют увеличению выживаемости детей с атрезией трехстворчато</w:t>
        <w:softHyphen/>
        <w:t>го клапана. Если проводить паллиативные процедуры у этой категории больных по принятым стандартам, около 50% детей с данным пороком сердца могут дожить до 10 лет.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Тем не менее больные, которым проводятся паллиатив</w:t>
        <w:softHyphen/>
        <w:t>ные мероприятия, имеют высокий риск развития осложне</w:t>
        <w:softHyphen/>
        <w:t>ний в виде парадоксальной эмболии, инсультов, абсцесса мозга, полицитемии, прогрессирующей дилатации камер сердца, желудочковой дисфункции, недостаточности мит</w:t>
        <w:softHyphen/>
        <w:t>рального клапана и аритмий.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Большинство больных с атрезией трехстворчатого кла</w:t>
        <w:softHyphen/>
        <w:t>пана подвергаются тому или другому виду хирургического лечения в течение первого года жизни. Наиболее частым показанием к проведению хирургического лечения являет</w:t>
        <w:softHyphen/>
        <w:t>ся цианоз со снижением легочного кровотока. В этих случа</w:t>
        <w:softHyphen/>
        <w:t>ях обычно проводятся операции по созданию шунта, соеди</w:t>
        <w:softHyphen/>
        <w:t>няющего малый и большой круг кровообращения. Шунт может соединять подключичную артерию с легочной арте</w:t>
        <w:softHyphen/>
        <w:t xml:space="preserve">рией (шунт </w:t>
      </w:r>
      <w:r>
        <w:rPr>
          <w:lang w:val="en-US" w:eastAsia="en-US" w:bidi="en-US"/>
          <w:w w:val="100"/>
          <w:spacing w:val="0"/>
          <w:color w:val="000000"/>
          <w:position w:val="0"/>
        </w:rPr>
        <w:t xml:space="preserve">Blalock-Taussig) </w:t>
      </w:r>
      <w:r>
        <w:rPr>
          <w:lang w:val="ru-RU" w:eastAsia="ru-RU" w:bidi="ru-RU"/>
          <w:w w:val="100"/>
          <w:spacing w:val="0"/>
          <w:color w:val="000000"/>
          <w:position w:val="0"/>
        </w:rPr>
        <w:t>или кавопульмональным анас</w:t>
        <w:softHyphen/>
        <w:t xml:space="preserve">томозом (шунт </w:t>
      </w:r>
      <w:r>
        <w:rPr>
          <w:lang w:val="en-US" w:eastAsia="en-US" w:bidi="en-US"/>
          <w:w w:val="100"/>
          <w:spacing w:val="0"/>
          <w:color w:val="000000"/>
          <w:position w:val="0"/>
        </w:rPr>
        <w:t xml:space="preserve">Glenn). </w:t>
      </w:r>
      <w:r>
        <w:rPr>
          <w:lang w:val="ru-RU" w:eastAsia="ru-RU" w:bidi="ru-RU"/>
          <w:w w:val="100"/>
          <w:spacing w:val="0"/>
          <w:color w:val="000000"/>
          <w:position w:val="0"/>
        </w:rPr>
        <w:t>Больным с выраженными симпто</w:t>
        <w:softHyphen/>
        <w:t>мами застойной сердечной недостаточности и признаками усиления легочного кровотока проводят операции на самой легочной артерии, приводящие к снижению кровотока в ней с целью уменьшения симптомов застойной сердечной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Повторные эпизоды цианоза, прогрессирующая поли- цитемия, снижение толерантности к физической нагрузке, неадекватность шунта или усиление обструкции легочной</w:t>
        <w:br w:type="column"/>
        <w:t>артерии являются показаниями к проведению второй опе</w:t>
        <w:softHyphen/>
        <w:t>ративной процедуры. Если есть критерии возможности проведения операции Фонтена, она проводится. В против</w:t>
        <w:softHyphen/>
        <w:t>ном случае может быть проведена повторная паллиативная операция.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Операция Фонтена по сути дела исключает правый же</w:t>
        <w:softHyphen/>
        <w:t>лудочек из системы взаимодействия правого предсердия с легочной артерией путем создания искусственного кава- пульмонального анастомоза. Для успешного проведения операции необходимо предоперационно учитывать как ми</w:t>
        <w:softHyphen/>
        <w:t>нимум следующие параметры:</w:t>
      </w:r>
    </w:p>
    <w:p>
      <w:pPr>
        <w:pStyle w:val="Style30"/>
        <w:numPr>
          <w:ilvl w:val="0"/>
          <w:numId w:val="4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ребенок должен быть старше 4 лет;</w:t>
      </w:r>
    </w:p>
    <w:p>
      <w:pPr>
        <w:pStyle w:val="Style30"/>
        <w:numPr>
          <w:ilvl w:val="0"/>
          <w:numId w:val="4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правое предсердие должно быть нормальных разме</w:t>
        <w:softHyphen/>
        <w:t>ров и должен нормально функционировать каваль- ный дренаж;</w:t>
      </w:r>
    </w:p>
    <w:p>
      <w:pPr>
        <w:pStyle w:val="Style30"/>
        <w:numPr>
          <w:ilvl w:val="0"/>
          <w:numId w:val="4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должен быть синусовый ритм;</w:t>
      </w:r>
    </w:p>
    <w:p>
      <w:pPr>
        <w:pStyle w:val="Style30"/>
        <w:numPr>
          <w:ilvl w:val="0"/>
          <w:numId w:val="45"/>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отношение диаметра легочной артерии к аорте долж</w:t>
        <w:softHyphen/>
        <w:t>но быть больше 0,75;</w:t>
      </w:r>
    </w:p>
    <w:p>
      <w:pPr>
        <w:pStyle w:val="Style30"/>
        <w:numPr>
          <w:ilvl w:val="0"/>
          <w:numId w:val="4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среднее давление в легочной артерии должно быть низким (менее 15 мм рт. ст.) и средняя резистентность легочных артериол должна быть низкой;</w:t>
      </w:r>
    </w:p>
    <w:p>
      <w:pPr>
        <w:pStyle w:val="Style30"/>
        <w:numPr>
          <w:ilvl w:val="0"/>
          <w:numId w:val="4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функциональные показатели правого желудочка должны быть нормальными, а функция атриовентри</w:t>
        <w:softHyphen/>
        <w:t>кулярного клапана компетентной;</w:t>
      </w:r>
    </w:p>
    <w:p>
      <w:pPr>
        <w:pStyle w:val="Style30"/>
        <w:numPr>
          <w:ilvl w:val="0"/>
          <w:numId w:val="45"/>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операция проводится, когда предшествующие опера</w:t>
        <w:softHyphen/>
        <w:t>ции шунтирования не принесли желаемого эффекта.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Оперативная процедура приводит к созданию сообще</w:t>
        <w:softHyphen/>
        <w:t>ния между правым предсердием и легочной артерией либо на уровне выходного тракта правого желудочка, либо на уровне бифуркации основного ствола легочной артерии. Дефект межпредсердной перегородки закрывается.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проведении операции создания шунта осложнения могут быть в виде чрезмерного увеличения легочного кро</w:t>
        <w:softHyphen/>
        <w:t>вотока. Также шунт может оказывать отрицательное влия</w:t>
        <w:softHyphen/>
        <w:t>ние на ангиоархитектонику легочных артериол.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Осложнениями после проведения операции Фонтена являются отек легких, застойные изменения печени, плев</w:t>
        <w:softHyphen/>
        <w:t>ральный выпот, асцит, энтеропатия с потерей белка и нару</w:t>
        <w:softHyphen/>
        <w:t>шения сердечного ритма.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Выживаемость в течение года у больных, перенесших операцию Фонтена, составляет 85%, пятилетняя выживае</w:t>
        <w:softHyphen/>
        <w:t>мость — 78%.</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Поскольку оперативное лечение атрезии трехстворчато</w:t>
        <w:softHyphen/>
        <w:t>го клапана приводит к уменьшению или исчезновению ци</w:t>
        <w:softHyphen/>
        <w:t>аноза, полицитемии, а также к уменьшению нагрузки на левый желудочек, можно ожидать увеличения выживаемо</w:t>
        <w:softHyphen/>
        <w:t>сти данной категории больных в будущем.</w:t>
      </w:r>
    </w:p>
    <w:p>
      <w:pPr>
        <w:pStyle w:val="Style28"/>
        <w:widowControl w:val="0"/>
        <w:keepNext/>
        <w:keepLines/>
        <w:shd w:val="clear" w:color="auto" w:fill="auto"/>
        <w:bidi w:val="0"/>
        <w:jc w:val="both"/>
        <w:spacing w:before="0" w:after="153" w:line="220" w:lineRule="exact"/>
        <w:ind w:left="0" w:right="0" w:firstLine="0"/>
      </w:pPr>
      <w:bookmarkStart w:id="340" w:name="bookmark340"/>
      <w:r>
        <w:rPr>
          <w:lang w:val="ru-RU" w:eastAsia="ru-RU" w:bidi="ru-RU"/>
          <w:w w:val="100"/>
          <w:spacing w:val="0"/>
          <w:color w:val="000000"/>
          <w:position w:val="0"/>
        </w:rPr>
        <w:t>Общий артериальный ствол</w:t>
      </w:r>
      <w:bookmarkEnd w:id="340"/>
    </w:p>
    <w:p>
      <w:pPr>
        <w:pStyle w:val="Style92"/>
        <w:widowControl w:val="0"/>
        <w:keepNext/>
        <w:keepLines/>
        <w:shd w:val="clear" w:color="auto" w:fill="auto"/>
        <w:bidi w:val="0"/>
        <w:spacing w:before="0" w:after="0"/>
        <w:ind w:left="0" w:right="0" w:firstLine="280"/>
      </w:pPr>
      <w:bookmarkStart w:id="341" w:name="bookmark341"/>
      <w:r>
        <w:rPr>
          <w:lang w:val="ru-RU" w:eastAsia="ru-RU" w:bidi="ru-RU"/>
          <w:w w:val="100"/>
          <w:spacing w:val="0"/>
          <w:color w:val="000000"/>
          <w:position w:val="0"/>
        </w:rPr>
        <w:t>Определение</w:t>
      </w:r>
      <w:bookmarkEnd w:id="341"/>
    </w:p>
    <w:p>
      <w:pPr>
        <w:pStyle w:val="Style30"/>
        <w:widowControl w:val="0"/>
        <w:keepNext w:val="0"/>
        <w:keepLines w:val="0"/>
        <w:shd w:val="clear" w:color="auto" w:fill="auto"/>
        <w:bidi w:val="0"/>
        <w:spacing w:before="0" w:after="0"/>
        <w:ind w:left="0" w:right="0" w:firstLine="280"/>
      </w:pPr>
      <w:r>
        <w:pict>
          <v:shape id="_x0000_s1209" type="#_x0000_t75" style="position:absolute;margin-left:136.9pt;margin-top:736.8pt;width:209.75pt;height:14.9pt;z-index:-125829260;mso-wrap-distance-left:136.8pt;mso-wrap-distance-right:148.1pt;mso-wrap-distance-bottom:10.8pt;mso-position-horizontal-relative:margin;mso-position-vertical-relative:margin" wrapcoords="0 0 21600 0 21600 21600 0 21600 0 0">
            <v:imagedata r:id="rId296" r:href="rId297"/>
            <w10:wrap type="topAndBottom" anchorx="margin" anchory="margin"/>
          </v:shape>
        </w:pict>
      </w:r>
      <w:r>
        <w:rPr>
          <w:lang w:val="ru-RU" w:eastAsia="ru-RU" w:bidi="ru-RU"/>
          <w:w w:val="100"/>
          <w:spacing w:val="0"/>
          <w:color w:val="000000"/>
          <w:position w:val="0"/>
        </w:rPr>
        <w:t>Общий артериальный ствол — редкий врожденный по</w:t>
        <w:softHyphen/>
        <w:t>рок сердца, при котором один артериальный сосуд с одним полулунным (трункальным) клапаном отходит от нормаль</w:t>
        <w:softHyphen/>
        <w:t>но сформированных желудочков и обеспечивает коронар</w:t>
        <w:softHyphen/>
        <w:t>ное, легочное и системное кровообращение. Легочные ар</w:t>
        <w:softHyphen/>
        <w:t>терии отходят дистально от коронарных артерий и прокси</w:t>
        <w:softHyphen/>
        <w:t>мально от первой брахицефальной ветви дуги аорты. Об</w:t>
        <w:softHyphen/>
        <w:t>щий артериальный ствол располагается в равной мере над обоими желудочками (42%), в 42% — преимущественно над</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правым ив 16% — преимущественно над левым желудоч</w:t>
        <w:softHyphen/>
        <w:t>ком. В этих случаях выходом из желудочка, не соединяю</w:t>
        <w:softHyphen/>
        <w:t>щегося со стволом, служит дефект межжелудочковой пере</w:t>
        <w:softHyphen/>
        <w:t>городки.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Эмбриология</w:t>
      </w:r>
    </w:p>
    <w:p>
      <w:pPr>
        <w:pStyle w:val="Style30"/>
        <w:numPr>
          <w:ilvl w:val="0"/>
          <w:numId w:val="4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Общий артериальный ствол возникает в результате неполной и нарушенной сепарации артериального ствола в период эмбриогенеза. Аортолегочный и меж</w:t>
        <w:softHyphen/>
        <w:t>желудочковый дефекты отражают аномальную коно- трункальную сепарацию. Поскольку общий ствол от</w:t>
        <w:softHyphen/>
        <w:t>ходит от обоих желудочков, легочная артерия, отхо</w:t>
        <w:softHyphen/>
        <w:t>дящая от ствола, не нуждается в артериальном прото</w:t>
        <w:softHyphen/>
        <w:t>ке для поддержания нормального фетального крово</w:t>
        <w:softHyphen/>
        <w:t>обращения. Поскольку общий артериальный ствол морфогенетически обусловлен патологией четвертой и шестой аортальных дуг, вероятно данный порок яв</w:t>
        <w:softHyphen/>
        <w:t>ляется аномалией развития системы аортальных дуг.</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w:t>
      </w:r>
    </w:p>
    <w:p>
      <w:pPr>
        <w:pStyle w:val="Style30"/>
        <w:numPr>
          <w:ilvl w:val="0"/>
          <w:numId w:val="4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Общий артериальный ствол наблюдается в 1-2% слу</w:t>
        <w:softHyphen/>
        <w:t>чаев среди всех ВПС, по результатам патологоанато</w:t>
        <w:softHyphen/>
        <w:t>мических вскрытий — 3,9% среди всех ВПС.</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Пол</w:t>
      </w:r>
    </w:p>
    <w:p>
      <w:pPr>
        <w:pStyle w:val="Style30"/>
        <w:numPr>
          <w:ilvl w:val="0"/>
          <w:numId w:val="4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Общий артериальный ствол несколько чаще встреча</w:t>
        <w:softHyphen/>
        <w:t>ется у мальчиков, чем у девочек.</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Возраст</w:t>
      </w:r>
    </w:p>
    <w:p>
      <w:pPr>
        <w:pStyle w:val="Style30"/>
        <w:numPr>
          <w:ilvl w:val="0"/>
          <w:numId w:val="4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Порок выявляется с первых дней жизни из-за выра</w:t>
        <w:softHyphen/>
        <w:t>женной сердечной недостаточности и легочной ги- перволемии. У 20% новорожденных из-за выражен</w:t>
        <w:softHyphen/>
        <w:t>ного цианоза порок не диагностируется своевремен</w:t>
        <w:softHyphen/>
        <w:t>но или устанавливается ошибочный диагноз (напри</w:t>
        <w:softHyphen/>
        <w:t>мер, транспозиция магистральных сосудов).</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Причины</w:t>
      </w:r>
    </w:p>
    <w:p>
      <w:pPr>
        <w:pStyle w:val="Style30"/>
        <w:numPr>
          <w:ilvl w:val="0"/>
          <w:numId w:val="4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Как и многие другие конотрункальные пороки серд</w:t>
        <w:softHyphen/>
        <w:t>ца, общий артериальный ствол может быть обуслов</w:t>
        <w:softHyphen/>
        <w:t xml:space="preserve">лен (35%) микроделецией хромосомы </w:t>
      </w:r>
      <w:r>
        <w:rPr>
          <w:lang w:val="en-US" w:eastAsia="en-US" w:bidi="en-US"/>
          <w:w w:val="100"/>
          <w:spacing w:val="0"/>
          <w:color w:val="000000"/>
          <w:position w:val="0"/>
        </w:rPr>
        <w:t>22q11.2.</w:t>
      </w:r>
    </w:p>
    <w:p>
      <w:pPr>
        <w:pStyle w:val="Style30"/>
        <w:numPr>
          <w:ilvl w:val="0"/>
          <w:numId w:val="4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Установлена повышенная представленность общего артериального ствола при синдромах </w:t>
      </w:r>
      <w:r>
        <w:rPr>
          <w:lang w:val="en-US" w:eastAsia="en-US" w:bidi="en-US"/>
          <w:w w:val="100"/>
          <w:spacing w:val="0"/>
          <w:color w:val="000000"/>
          <w:position w:val="0"/>
        </w:rPr>
        <w:t>DiGeorge, CATCH-22.</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ДиДжорч синдром </w:t>
      </w:r>
      <w:r>
        <w:rPr>
          <w:lang w:val="en-US" w:eastAsia="en-US" w:bidi="en-US"/>
          <w:w w:val="100"/>
          <w:spacing w:val="0"/>
          <w:color w:val="000000"/>
          <w:position w:val="0"/>
        </w:rPr>
        <w:t>(DiGeorge syndrome)</w:t>
      </w:r>
    </w:p>
    <w:p>
      <w:pPr>
        <w:pStyle w:val="Style30"/>
        <w:numPr>
          <w:ilvl w:val="0"/>
          <w:numId w:val="4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Синдром включает отсутствие или гипоплазию тиму</w:t>
        <w:softHyphen/>
        <w:t>са, что обусловливает низкое число Т лимфоцитов. Недоразвитие паращитовидной железы вызывает вторичную гипокальциемию. Часто определяются ги</w:t>
        <w:softHyphen/>
        <w:t>пертелоризм, короткий фильтр, глазные аномалии. В крови определяется лимфоцитопения, гипокальци- емия, гипогаммаглобулинемия. Составным и обяза</w:t>
        <w:softHyphen/>
        <w:t>тельным компонентом синдрома являются врожден</w:t>
        <w:softHyphen/>
        <w:t>ные пороки сердца: общий артериальный ствол, тет</w:t>
        <w:softHyphen/>
        <w:t>рада Фалло с атрезией легочной артерии, перерыв ду</w:t>
        <w:softHyphen/>
        <w:t>ги аорты, коарктация аорты. Редко встречается де</w:t>
        <w:softHyphen/>
        <w:t xml:space="preserve">фект межжелудочковой перегородки. Гипокальцие- мия может обусловить возникновение вторичного синдрома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желудочковых аритмий и внезапной смерти. Патология иммунитета обусловливает частое осложнение порока сердца ин</w:t>
        <w:softHyphen/>
        <w:t>фекционным эндокардитом. Хирургическое лечение порока сердца должно проводиться под контролем иммунологических показателей. Поскольку имеет место клеточный иммунный дефект, показана пред</w:t>
        <w:softHyphen/>
        <w:t>операционная и послеоперационная антибиотикоп</w:t>
        <w:softHyphen/>
        <w:t>рофилактика септических осложнений, в том числе послеоперационного инфекционного эндокардита.</w:t>
      </w:r>
    </w:p>
    <w:p>
      <w:pPr>
        <w:pStyle w:val="Style92"/>
        <w:widowControl w:val="0"/>
        <w:keepNext/>
        <w:keepLines/>
        <w:shd w:val="clear" w:color="auto" w:fill="auto"/>
        <w:bidi w:val="0"/>
        <w:spacing w:before="0" w:after="0"/>
        <w:ind w:left="280" w:right="0"/>
      </w:pPr>
      <w:r>
        <w:br w:type="column"/>
      </w:r>
      <w:bookmarkStart w:id="342" w:name="bookmark342"/>
      <w:r>
        <w:rPr>
          <w:lang w:val="ru-RU" w:eastAsia="ru-RU" w:bidi="ru-RU"/>
          <w:w w:val="100"/>
          <w:spacing w:val="0"/>
          <w:color w:val="000000"/>
          <w:position w:val="0"/>
        </w:rPr>
        <w:t xml:space="preserve">Синдром кошачьих глаз </w:t>
      </w:r>
      <w:r>
        <w:rPr>
          <w:lang w:val="en-US" w:eastAsia="en-US" w:bidi="en-US"/>
          <w:w w:val="100"/>
          <w:spacing w:val="0"/>
          <w:color w:val="000000"/>
          <w:position w:val="0"/>
        </w:rPr>
        <w:t>(22pter_q11 Trisomy)</w:t>
      </w:r>
      <w:bookmarkEnd w:id="342"/>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Фенотип: билатеральная колобома, гипертелоризм, антимонголоидный разрез глаз, эпикант, микроф- тальмия, аномалии почек (аплазия, гипоплазия, ди</w:t>
        <w:softHyphen/>
        <w:t>сплазия), задержка умственного и физического раз</w:t>
        <w:softHyphen/>
        <w:t>вития, сколиоз (30%). Сердечные аномалии: пример</w:t>
        <w:softHyphen/>
        <w:t>но в 30% случаев синдрома наблюдаются комплекс</w:t>
        <w:softHyphen/>
        <w:t>ные цианотические пороки сердца: общий артери</w:t>
        <w:softHyphen/>
        <w:t>альный ствол, тетрада Фалло с атрезией легочной ар</w:t>
        <w:softHyphen/>
        <w:t>терии, открытый артериальный проток со стенозом левой ветви легочной артерии, атрезия трикуспидаль</w:t>
        <w:softHyphen/>
        <w:t>ного клапана.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Анатомия</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Выделяют четыре типа общего артериального ствола </w:t>
      </w:r>
      <w:r>
        <w:rPr>
          <w:lang w:val="en-US" w:eastAsia="en-US" w:bidi="en-US"/>
          <w:w w:val="100"/>
          <w:spacing w:val="0"/>
          <w:color w:val="000000"/>
          <w:position w:val="0"/>
        </w:rPr>
        <w:t xml:space="preserve">(Collett </w:t>
      </w:r>
      <w:r>
        <w:rPr>
          <w:lang w:val="ru-RU" w:eastAsia="ru-RU" w:bidi="ru-RU"/>
          <w:w w:val="100"/>
          <w:spacing w:val="0"/>
          <w:color w:val="000000"/>
          <w:position w:val="0"/>
        </w:rPr>
        <w:t xml:space="preserve">и </w:t>
      </w:r>
      <w:r>
        <w:rPr>
          <w:lang w:val="en-US" w:eastAsia="en-US" w:bidi="en-US"/>
          <w:w w:val="100"/>
          <w:spacing w:val="0"/>
          <w:color w:val="000000"/>
          <w:position w:val="0"/>
        </w:rPr>
        <w:t>Edwards):</w:t>
      </w:r>
    </w:p>
    <w:p>
      <w:pPr>
        <w:pStyle w:val="Style30"/>
        <w:numPr>
          <w:ilvl w:val="0"/>
          <w:numId w:val="47"/>
        </w:numPr>
        <w:tabs>
          <w:tab w:leader="none" w:pos="71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тип — единый ствол легочной артерии и восходя</w:t>
        <w:softHyphen/>
        <w:t>щая аорта отходят от общего ствола, правая и левая легочные артерии — от короткого легочного ствола.</w:t>
      </w:r>
    </w:p>
    <w:p>
      <w:pPr>
        <w:pStyle w:val="Style30"/>
        <w:numPr>
          <w:ilvl w:val="0"/>
          <w:numId w:val="47"/>
        </w:numPr>
        <w:tabs>
          <w:tab w:leader="none" w:pos="774"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тип — левая и правая легочные артерии располо - жены рядом и отходят каждая от задней стенки трункуса.</w:t>
      </w:r>
    </w:p>
    <w:p>
      <w:pPr>
        <w:pStyle w:val="Style30"/>
        <w:numPr>
          <w:ilvl w:val="0"/>
          <w:numId w:val="47"/>
        </w:numPr>
        <w:tabs>
          <w:tab w:leader="none" w:pos="8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тип — отхождение правой, левой или обеих ле</w:t>
        <w:softHyphen/>
        <w:t>гочных артерий от боковых стенок трункуса.</w:t>
      </w:r>
    </w:p>
    <w:p>
      <w:pPr>
        <w:pStyle w:val="Style30"/>
        <w:numPr>
          <w:ilvl w:val="0"/>
          <w:numId w:val="47"/>
        </w:numPr>
        <w:tabs>
          <w:tab w:leader="none" w:pos="8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тип — отсутствие легочных артерий, из-за чего кровоснабжение легких осуществляется через бронхиальные артерии, отходящие от нисходящей аорты. Этот вариант в настоящее время не призна</w:t>
        <w:softHyphen/>
        <w:t>ется как тип истинного общего артериального ствола, при котором хотя бы одна ветвь легочной артерии должна отходить от трункуса.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Ассоциированные кардиоваскулярные аномалии</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Трункальный клапан обычно диспластичный, может быть одностворчатым (4%), двустворчатым (32%), че</w:t>
        <w:softHyphen/>
        <w:t>тырехстворчатым (15%). У 20% пациентов трункаль</w:t>
        <w:softHyphen/>
        <w:t>ный клапан сопровождается тяжелой аортальной ре- гургитацией.</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многих больных при общем артериальном стволе определяются проксимальные аномалии коронарных артерий, единая коронарная артерия, «ныряющие» коронарные артерии.</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Важной сопутствующей аномалией является перерыв дуги аорты, который почти всегда наблюдается между левой общей сонной артерией и подключичной арте</w:t>
        <w:softHyphen/>
        <w:t>рией.</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Другими часто ассоциированными с общим артери</w:t>
        <w:softHyphen/>
        <w:t>альным стволом являются правосторонняя дуга аор</w:t>
        <w:softHyphen/>
        <w:t>ты, персистирующая верхняя полая вена, аберрант</w:t>
        <w:softHyphen/>
        <w:t>ная подключичная артерия, дефект межпредсердной перегородки. Реже наблюдаются открытый атриовен</w:t>
        <w:softHyphen/>
        <w:t>трикулярный канал, двойная дуга аорты, единствен</w:t>
        <w:softHyphen/>
        <w:t>ный желудочек.</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Патофизиология</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общем артериальном стволе кровь из правого и левого желудочков попадает в единый сосуд через дефект межжелудочковой перегородки. Давление в обоих желудочках, трункусе и ветвях легочной арте</w:t>
        <w:softHyphen/>
        <w:t>рии равное, что объясняет раннее развитие легочной гипертензии. Гемодинамические особенности порока определяются состоянием кровообращения в малом круге.</w:t>
      </w:r>
    </w:p>
    <w:p>
      <w:pPr>
        <w:pStyle w:val="Style30"/>
        <w:numPr>
          <w:ilvl w:val="0"/>
          <w:numId w:val="43"/>
        </w:numPr>
        <w:tabs>
          <w:tab w:leader="none" w:pos="236" w:val="left"/>
        </w:tabs>
        <w:widowControl w:val="0"/>
        <w:keepNext w:val="0"/>
        <w:keepLines w:val="0"/>
        <w:shd w:val="clear" w:color="auto" w:fill="auto"/>
        <w:bidi w:val="0"/>
        <w:spacing w:before="0" w:after="0"/>
        <w:ind w:left="280" w:right="0" w:hanging="280"/>
      </w:pPr>
      <w:r>
        <w:pict>
          <v:shape id="_x0000_s1210" type="#_x0000_t75" style="position:absolute;margin-left:147.95pt;margin-top:736.8pt;width:209.75pt;height:14.9pt;z-index:-125829259;mso-wrap-distance-left:147.6pt;mso-wrap-distance-right:136.8pt;mso-wrap-distance-bottom:10.8pt;mso-position-horizontal-relative:margin;mso-position-vertical-relative:margin" wrapcoords="0 0 21600 0 21600 21600 0 21600 0 0">
            <v:imagedata r:id="rId298" r:href="rId299"/>
            <w10:wrap type="topAndBottom" anchorx="margin" anchory="margin"/>
          </v:shape>
        </w:pict>
      </w:r>
      <w:r>
        <w:rPr>
          <w:lang w:val="ru-RU" w:eastAsia="ru-RU" w:bidi="ru-RU"/>
          <w:w w:val="100"/>
          <w:spacing w:val="0"/>
          <w:color w:val="000000"/>
          <w:position w:val="0"/>
        </w:rPr>
        <w:t>Повышенный легочный кровоток с низким сопро</w:t>
        <w:softHyphen/>
        <w:t>тивлением в сосудах легочной артерии, давление в ле-</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точных артериях равно системному, что свидетельст</w:t>
        <w:softHyphen/>
        <w:t>вует о высокой легочной гипертензии. Чаще встреча</w:t>
        <w:softHyphen/>
        <w:t>ется у детей раннего возраста, сопровождается за</w:t>
        <w:softHyphen/>
        <w:t>стойной сердечной недостаточностью, резистентной к терапии. Цианоза может не быть, поскольку боль</w:t>
        <w:softHyphen/>
        <w:t>шое количество крови оксигенируется в легких и сме</w:t>
        <w:softHyphen/>
        <w:t>шивается в желудочках из-за большого размера сеп</w:t>
        <w:softHyphen/>
        <w:t>тального дефекта. Большой сброс в общий ствол спо</w:t>
        <w:softHyphen/>
        <w:t>собствует появлению трункальной недостаточности клапана, которая еще более усугубляет тяжесть кли</w:t>
        <w:softHyphen/>
        <w:t>нического течения порока.</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высокой легочной сосудистой резистентности сброс крови в общий ствол уменьшен, сердечная не</w:t>
        <w:softHyphen/>
        <w:t>достаточность отсутствует, рано появляется цианоз, усиливающийся при нагрузке.</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Сниженный легочный кровоток (при сужении устья ствола или ветвей легочной артерии или при прогрес</w:t>
        <w:softHyphen/>
        <w:t>сирующем обструктивном заболевании легочных со</w:t>
        <w:softHyphen/>
        <w:t>судов) сопровождается постоянным выраженным ци</w:t>
        <w:softHyphen/>
        <w:t>анозом.</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Начальные проявления порока напоминают симпто</w:t>
        <w:softHyphen/>
        <w:t>матику большого дефекта межжелудочковой перего</w:t>
        <w:softHyphen/>
        <w:t>родки. Характерны тахипноэ, тахикардия, цианоз, трудности при кормлении.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Физикальные данные:</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Симптомы могут варьировать в зависимости от ана</w:t>
        <w:softHyphen/>
        <w:t>томического варианта порока и в основном проявля</w:t>
        <w:softHyphen/>
        <w:t>ются сердечной недостаточностью. Например, у но</w:t>
        <w:softHyphen/>
        <w:t>ворожденных с выраженной недостаточностью кла</w:t>
        <w:softHyphen/>
        <w:t>пана трункуса проявления рефрактерной сердечной недостаточности носят более выраженный и распро</w:t>
        <w:softHyphen/>
        <w:t>страненный характер. Симптомы сердечной недоста</w:t>
        <w:softHyphen/>
        <w:t>точности выражены в меньшей степени или отсут</w:t>
        <w:softHyphen/>
        <w:t>ствуют при развитии синдрома Эйзенменгера.</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Цианоз при общем артериальном стволе различен. При увеличенном легочном кровотоке он незначи</w:t>
        <w:softHyphen/>
        <w:t>тельный, при высоком легочном сосудистом сопро</w:t>
        <w:softHyphen/>
        <w:t>тивлении — резко выражен.</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Тоны сердца громкие, определяется узкий резко ак</w:t>
        <w:softHyphen/>
        <w:t>центуированный второй тон над легочной артерией. Часто определяется апикальный систолический клик.</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Выслушивается грубый продолжительный систоли</w:t>
        <w:softHyphen/>
        <w:t>ческий шум через дефект межжелудочковой перего</w:t>
        <w:softHyphen/>
        <w:t>родки в третьем или четвертом межреберье слева у грудины. Верхушечный толчок усилен, разлитой.</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 верхушке сердца может определяться мезодиасто - лический шум относительного стеноза митрального клапана — признак гиперволемии малого круга кро</w:t>
        <w:softHyphen/>
        <w:t>вообращения.</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развитии недостаточности клапана ствола вы</w:t>
        <w:softHyphen/>
        <w:t>слушивается протодиастолический шум вдоль левого края грудины.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Используется стандартное лабораторное исследова</w:t>
        <w:softHyphen/>
        <w:t>ние для определения терапевтической тактики веде</w:t>
        <w:softHyphen/>
        <w:t>ния пациента.</w:t>
      </w:r>
    </w:p>
    <w:p>
      <w:pPr>
        <w:pStyle w:val="Style30"/>
        <w:numPr>
          <w:ilvl w:val="0"/>
          <w:numId w:val="4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Проводится тест на определение насыщения кислоро</w:t>
        <w:softHyphen/>
        <w:t>дом крови до и после ингаляции 100% кислорода (тест на гипероксию). Этот тест позволяет дифференциро</w:t>
        <w:softHyphen/>
        <w:t>вать первичную патологию легких от порока сердца.</w:t>
      </w:r>
    </w:p>
    <w:p>
      <w:pPr>
        <w:pStyle w:val="Style92"/>
        <w:widowControl w:val="0"/>
        <w:keepNext/>
        <w:keepLines/>
        <w:shd w:val="clear" w:color="auto" w:fill="auto"/>
        <w:bidi w:val="0"/>
        <w:spacing w:before="0" w:after="0"/>
        <w:ind w:left="280" w:right="0"/>
      </w:pPr>
      <w:r>
        <w:br w:type="column"/>
      </w:r>
      <w:bookmarkStart w:id="343" w:name="bookmark343"/>
      <w:r>
        <w:rPr>
          <w:lang w:val="ru-RU" w:eastAsia="ru-RU" w:bidi="ru-RU"/>
          <w:w w:val="100"/>
          <w:spacing w:val="0"/>
          <w:color w:val="000000"/>
          <w:position w:val="0"/>
        </w:rPr>
        <w:t>Инструментальная диагностика</w:t>
      </w:r>
      <w:bookmarkEnd w:id="343"/>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Нет специфических электрокардиографических ха</w:t>
        <w:softHyphen/>
        <w:t>рактеристик порока.</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Электрическая ось сердца расположена нормально или отклонена вправо. Регистрируется бивентрику</w:t>
        <w:softHyphen/>
        <w:t>лярная гипертрофия.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Может определяться дилатация левого предсердия (особенно при легочной гиперциркуляции).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Выявляется кардиомегалия и усиление легочного сосудистого рисунка. При стенозе устья легочной артерии легочный сосудистый рисунок обеднен с обеих сторон, при атрезии одной из ветвей легоч</w:t>
        <w:softHyphen/>
        <w:t>ной артерии — обеднен на соответствующей сторо</w:t>
        <w:softHyphen/>
        <w:t>не. При развитии синдрома Эйзенменгера (склеро</w:t>
        <w:softHyphen/>
        <w:t>тическая фаза легочной гипертензии) легочный ри</w:t>
        <w:softHyphen/>
        <w:t>сунок обеднен по периферии и усилен в прикорне</w:t>
        <w:softHyphen/>
        <w:t>вой зоне.</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Тень сердца увеличена, может иметь яйцевидную форму с узким сосудистым пучком, что напоминает транспозицию магистральных сосудов.</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1/3 пациентов обнаруживается правостороннее расположение дуги аорты, что в сочетании с усилени</w:t>
        <w:softHyphen/>
        <w:t>ем легочного рисунка и цианозом вызывает подозре</w:t>
        <w:softHyphen/>
        <w:t>ние на общий артериальный ствол.</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Левая легочная артерия имеет высокое положение.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Допплерэхокардиография: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 позволяет подтвердить диагноз об</w:t>
        <w:softHyphen/>
        <w:t>щего артериального ствола, установить его анатоми</w:t>
        <w:softHyphen/>
        <w:t>ческие варианты и ассоциированные аномалии.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Визуализируется один большой магистральный со</w:t>
        <w:softHyphen/>
        <w:t>суд, «верхом сидящий» над перегородкой. Из надгру- динного доступа определяют место отхождения ле</w:t>
        <w:softHyphen/>
        <w:t>гочных сосудов от трункуса.</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Проводится оценка состояния клапана трункуса, морфологические его характеристики и степень ре- гургитации.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Определяют гемодинамические параметры, величину легочной сосудистой резистентности, левожелудоч</w:t>
        <w:softHyphen/>
        <w:t>ковую дисфункцию.</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 ангиокардиография: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общем артериальном стволе венозный катетер входит в правый желудочек, где давление равно сис</w:t>
        <w:softHyphen/>
        <w:t>темному, но в сочетании с повышением насыщения крови кислородом свидетельствует о дефекте межже</w:t>
        <w:softHyphen/>
        <w:t>лудочковой перегородки. Далее катетер свободно проводится в трункус, где давление оказывается такое же, как в желудочках.</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Насыщение крови кислородом в общем артериаль</w:t>
        <w:softHyphen/>
        <w:t>ном стволе обычно в пределах 90%, разница в насы</w:t>
        <w:softHyphen/>
        <w:t>щении кислородом крови легочной артерии и трун</w:t>
        <w:softHyphen/>
        <w:t>куса не превышает 10%.</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Снижение насыщения крови кислородом до 80% сви</w:t>
        <w:softHyphen/>
        <w:t>детельствует о склеротических изменениях в легоч</w:t>
        <w:softHyphen/>
        <w:t>ных сосудах и неоперабельности больных.</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введении контрастного вещества в правый желу</w:t>
        <w:softHyphen/>
        <w:t>дочек виден общий артериальный ствол, от которого отходят коронарные сосуды и легочная артерия (или ее ветви).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pict>
          <v:shape id="_x0000_s1211" type="#_x0000_t75" style="position:absolute;margin-left:130.9pt;margin-top:736.8pt;width:209.75pt;height:14.9pt;z-index:-125829258;mso-wrap-distance-left:124.8pt;mso-wrap-distance-right:148.1pt;mso-wrap-distance-bottom:10.8pt;mso-position-horizontal-relative:margin;mso-position-vertical-relative:margin" wrapcoords="0 0 21600 0 21600 21600 0 21600 0 0">
            <v:imagedata r:id="rId300" r:href="rId301"/>
            <w10:wrap type="topAndBottom" anchorx="margin" anchory="margin"/>
          </v:shape>
        </w:pict>
      </w:r>
      <w:r>
        <w:rPr>
          <w:lang w:val="ru-RU" w:eastAsia="ru-RU" w:bidi="ru-RU"/>
          <w:w w:val="100"/>
          <w:spacing w:val="0"/>
          <w:color w:val="000000"/>
          <w:position w:val="0"/>
        </w:rPr>
        <w:t>Аортография позволяет подтвердить отхождение ис</w:t>
        <w:softHyphen/>
        <w:t>тинных легочных артерий непосредственно от ство-</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ла, детализировать тип порока и определить степень недостаточности трункуса.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Дифференциальным диагноз</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Дефект аортолегочной перегородки.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Двойное отхождение магистральных сосудов от пра</w:t>
        <w:softHyphen/>
        <w:t>вого желудочка без транспозиции.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Двойное отхождение магистральных сосудов от пра</w:t>
        <w:softHyphen/>
        <w:t>вого желудочка с транспозицией.</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Синдром гипоплазии левого желудочка.</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Тетрада Фалло с атрезией клапана легочной артерии.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Тетрада Фалло с атрезией легочной артерии.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Тотальный аномальный дренаж легочных вен.</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Транспозиция магистральных сосудов.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Медицинская помощь до хирургической коррекции порока осуществляется в зависимости от представ</w:t>
        <w:softHyphen/>
        <w:t>ленности клинических симптомов.</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Большинство новорожденных с общим артериаль</w:t>
        <w:softHyphen/>
        <w:t>ным стволом имеют сердечную недостаточность и нуждаются в назначении гликозидов и диурети</w:t>
        <w:softHyphen/>
        <w:t>ков.</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Большинство новорожденных с общим артериаль</w:t>
        <w:softHyphen/>
        <w:t>ным стволом нуждаются в внутривенном введении простагландина, поскольку часто при этом пороке имеют место дуктусзависимые аномалии, например, перерыв дуги аорты или коарктация аорты.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Методом выбора хирургического лечения больных с общим артериальным стволом является радикаль</w:t>
        <w:softHyphen/>
        <w:t xml:space="preserve">ная операция по </w:t>
      </w:r>
      <w:r>
        <w:rPr>
          <w:lang w:val="en-US" w:eastAsia="en-US" w:bidi="en-US"/>
          <w:w w:val="100"/>
          <w:spacing w:val="0"/>
          <w:color w:val="000000"/>
          <w:position w:val="0"/>
        </w:rPr>
        <w:t xml:space="preserve">Rastelli </w:t>
      </w:r>
      <w:r>
        <w:rPr>
          <w:lang w:val="ru-RU" w:eastAsia="ru-RU" w:bidi="ru-RU"/>
          <w:w w:val="100"/>
          <w:spacing w:val="0"/>
          <w:color w:val="000000"/>
          <w:position w:val="0"/>
        </w:rPr>
        <w:t>— экстракардиальное созда</w:t>
        <w:softHyphen/>
        <w:t>ние сообщения между правым желудочком и легоч</w:t>
        <w:softHyphen/>
        <w:t>ной артерией с помощью кондуита.</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Радикальная операция заключается в закрытии де</w:t>
        <w:softHyphen/>
        <w:t>фекта межжелудочковой перегородки, разъединении легочных артерий от ствола и соединении их с пра</w:t>
        <w:softHyphen/>
        <w:t>вым желудочком с помощью клапаносодержащего трубчатого протеза.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Кровотечения.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Сдавление протеза грудиной.</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Острая сердечная недостаточность, обусловленная оставшимся высоким давлением в артериальном рус</w:t>
        <w:softHyphen/>
        <w:t>ле легких из-за обструктивной формы легочной ги</w:t>
        <w:softHyphen/>
        <w:t>пертензии.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Гнойный медиастенит.</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После операции ребенок наблюдается детским кар</w:t>
        <w:softHyphen/>
        <w:t>диологом, проводится контроль за состоянием легоч</w:t>
        <w:softHyphen/>
        <w:t>ной циркуляции и функцией артериального клапана. Обычно дети нуждаются в терапии сердечными гли- козидами и диуретиками до полной стабилизации со</w:t>
        <w:softHyphen/>
        <w:t>стояния. Обязательно проводится антибактериальная профилактика инфекционного эндокардита.</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Большому числу больных, оперированных в раннем возрасте, обычно требуется повторная операция по замене кондуита.</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Ухудшение состояния в отдаленные сроки после опе</w:t>
        <w:softHyphen/>
        <w:t>рации может быть связано с прогрессированием склеротических изменений в легочных сосудах.</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Активность</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Больные с общим артериальным стволом не могут выполнять какую-либо физическую активность.</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У больных после радикальной операции с примене</w:t>
        <w:softHyphen/>
        <w:t>нием кондуита физическая активность остается огра</w:t>
        <w:softHyphen/>
        <w:t>ниченной.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43"/>
        </w:numPr>
        <w:tabs>
          <w:tab w:leader="none" w:pos="515" w:val="left"/>
        </w:tabs>
        <w:widowControl w:val="0"/>
        <w:keepNext w:val="0"/>
        <w:keepLines w:val="0"/>
        <w:shd w:val="clear" w:color="auto" w:fill="auto"/>
        <w:bidi w:val="0"/>
        <w:spacing w:before="0" w:after="237"/>
        <w:ind w:left="520" w:right="0" w:hanging="240"/>
      </w:pPr>
      <w:r>
        <w:rPr>
          <w:lang w:val="ru-RU" w:eastAsia="ru-RU" w:bidi="ru-RU"/>
          <w:w w:val="100"/>
          <w:spacing w:val="0"/>
          <w:color w:val="000000"/>
          <w:position w:val="0"/>
        </w:rPr>
        <w:t>Прогноз определяется результатами и сроками хирур - гического вмешательства. При своевременно выпол</w:t>
        <w:softHyphen/>
        <w:t>ненной радикальной операции в раннем возрасте прогноз относительно благоприятный. Однако в большинстве случаев требуется повторная операция по замене кондуита.</w:t>
      </w:r>
    </w:p>
    <w:p>
      <w:pPr>
        <w:pStyle w:val="Style28"/>
        <w:widowControl w:val="0"/>
        <w:keepNext/>
        <w:keepLines/>
        <w:shd w:val="clear" w:color="auto" w:fill="auto"/>
        <w:bidi w:val="0"/>
        <w:jc w:val="left"/>
        <w:spacing w:before="0" w:after="153" w:line="220" w:lineRule="exact"/>
        <w:ind w:left="0" w:right="0" w:firstLine="0"/>
      </w:pPr>
      <w:bookmarkStart w:id="344" w:name="bookmark344"/>
      <w:r>
        <w:rPr>
          <w:lang w:val="ru-RU" w:eastAsia="ru-RU" w:bidi="ru-RU"/>
          <w:w w:val="100"/>
          <w:spacing w:val="0"/>
          <w:color w:val="000000"/>
          <w:position w:val="0"/>
        </w:rPr>
        <w:t>Аномалия Эбштейна</w:t>
      </w:r>
      <w:bookmarkEnd w:id="344"/>
    </w:p>
    <w:p>
      <w:pPr>
        <w:pStyle w:val="Style92"/>
        <w:widowControl w:val="0"/>
        <w:keepNext/>
        <w:keepLines/>
        <w:shd w:val="clear" w:color="auto" w:fill="auto"/>
        <w:bidi w:val="0"/>
        <w:spacing w:before="0" w:after="0"/>
        <w:ind w:left="520" w:right="0" w:hanging="240"/>
      </w:pPr>
      <w:bookmarkStart w:id="345" w:name="bookmark345"/>
      <w:r>
        <w:rPr>
          <w:lang w:val="ru-RU" w:eastAsia="ru-RU" w:bidi="ru-RU"/>
          <w:w w:val="100"/>
          <w:spacing w:val="0"/>
          <w:color w:val="000000"/>
          <w:position w:val="0"/>
        </w:rPr>
        <w:t>Определение</w:t>
      </w:r>
      <w:bookmarkEnd w:id="34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Аномалия Эбштейна — врожденная патология трикус</w:t>
        <w:softHyphen/>
        <w:t>пидального клапана, характеризующаяся смещением сеп</w:t>
        <w:softHyphen/>
        <w:t>тальной и задней створок клапана в полость правого желу</w:t>
        <w:softHyphen/>
        <w:t>дочка к верхушке, приводящим к формированию атриали- зированного участка правого желудочка.</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Аномалия Эбштейна относится к врожденным поро</w:t>
        <w:softHyphen/>
        <w:t>кам развития трехстворчатого клапана и характеризу</w:t>
        <w:softHyphen/>
        <w:t>ется аномальным креплением створки или створок трехстворчатого клапана. Клинические проявления могут варьировать в широких пределах. Это определя</w:t>
        <w:softHyphen/>
        <w:t>ется выраженностью смещения створки, удаленнос</w:t>
        <w:softHyphen/>
        <w:t>тью ее от кольца клапана и тяжестью гемодинамичес</w:t>
        <w:softHyphen/>
        <w:t>ких нарушений, захватывающих правый желудочек. Смещенные створки могут располагаться в антраль</w:t>
        <w:softHyphen/>
        <w:t>ной части (над клапаном) или мышечной части (под клапаном). У 90% больных с аномалией Эбштейна так</w:t>
        <w:softHyphen/>
        <w:t>же выявляется дефект межпредсердной перегородки или открытое овальное окно. Стеноз легочной артерии или ее атрезия могут наблюдаться у 20-25% пациентов.</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Впервые данный порок был описан в 1866 году Виль</w:t>
        <w:softHyphen/>
        <w:t>гельмом Эбштейном. С 1927 года заболевание носит его имя.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Аномалия Эбштейна встречается у 1:20 000 живорож</w:t>
        <w:softHyphen/>
        <w:t>денных и составляет менее 1% всех врожденных по</w:t>
        <w:softHyphen/>
        <w:t>роков сердца.</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Внутриутробная смерть плода при этом пороке серд</w:t>
        <w:softHyphen/>
        <w:t>ца наблюдается в 85% случаев. Смертность после рождения обычно возникает у новорожденных с вы</w:t>
        <w:softHyphen/>
        <w:t>раженным цианозом. Среди таких детей смертность достигает 70%, в то время как у новорожденных без цианоза смертность составляет 15%. Причиной смер</w:t>
        <w:softHyphen/>
        <w:t>ти становятся низкий сердечный выброс, операцион</w:t>
        <w:softHyphen/>
        <w:t>ные осложнения и внезапная сердечная смерть. Вы</w:t>
        <w:softHyphen/>
        <w:t>живаемость детей в течение года с данным пороком сердца составляет 67%, а в течение 10 лет — 59%.</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Мальчики и девочки болеют одинаково часто.</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numPr>
          <w:ilvl w:val="0"/>
          <w:numId w:val="4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Выраженность смещения створки трехстворчатого клапана и степень обструкции выходного тракта пра</w:t>
        <w:softHyphen/>
        <w:t>вого желудочка определяют возраст выявления поро</w:t>
        <w:softHyphen/>
        <w:t>ка. В США в 81% случаев порок диагностируют на первой неделе жизни. Сроки выявления порока варь</w:t>
        <w:softHyphen/>
        <w:t>ируют от 1 недели до 19 лет.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numPr>
          <w:ilvl w:val="0"/>
          <w:numId w:val="43"/>
        </w:numPr>
        <w:tabs>
          <w:tab w:leader="none" w:pos="515" w:val="left"/>
        </w:tabs>
        <w:widowControl w:val="0"/>
        <w:keepNext w:val="0"/>
        <w:keepLines w:val="0"/>
        <w:shd w:val="clear" w:color="auto" w:fill="auto"/>
        <w:bidi w:val="0"/>
        <w:jc w:val="left"/>
        <w:spacing w:before="0" w:after="0"/>
        <w:ind w:left="520" w:right="0" w:hanging="240"/>
      </w:pPr>
      <w:r>
        <w:pict>
          <v:shape id="_x0000_s1212" type="#_x0000_t75" style="position:absolute;margin-left:142.2pt;margin-top:736.8pt;width:209.75pt;height:14.9pt;z-index:-125829257;mso-wrap-distance-left:136.1pt;mso-wrap-distance-right:136.8pt;mso-wrap-distance-bottom:10.8pt;mso-position-horizontal-relative:margin;mso-position-vertical-relative:margin" wrapcoords="0 0 21600 0 21600 21600 0 21600 0 0">
            <v:imagedata r:id="rId302" r:href="rId303"/>
            <w10:wrap type="topAndBottom" anchorx="margin" anchory="margin"/>
          </v:shape>
        </w:pict>
      </w:r>
      <w:r>
        <w:rPr>
          <w:lang w:val="ru-RU" w:eastAsia="ru-RU" w:bidi="ru-RU"/>
          <w:w w:val="100"/>
          <w:spacing w:val="0"/>
          <w:color w:val="000000"/>
          <w:position w:val="0"/>
        </w:rPr>
        <w:t>Тяжесть гемодинамических нарушений при данном по</w:t>
        <w:softHyphen/>
        <w:t>роке определяется выраженностью смещения створки</w:t>
      </w:r>
      <w:r>
        <w:br w:type="page"/>
      </w:r>
    </w:p>
    <w:p>
      <w:pPr>
        <w:framePr w:h="3725" w:wrap="notBeside" w:vAnchor="text" w:hAnchor="text" w:xAlign="center" w:y="1"/>
        <w:widowControl w:val="0"/>
        <w:jc w:val="center"/>
        <w:rPr>
          <w:sz w:val="2"/>
          <w:szCs w:val="2"/>
        </w:rPr>
      </w:pPr>
      <w:r>
        <w:pict>
          <v:shape id="_x0000_s1213" type="#_x0000_t75" style="width:244pt;height:186pt;">
            <v:imagedata r:id="rId304" r:href="rId305"/>
          </v:shape>
        </w:pict>
      </w:r>
    </w:p>
    <w:p>
      <w:pPr>
        <w:pStyle w:val="Style120"/>
        <w:framePr w:h="3725"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21. </w:t>
      </w:r>
      <w:r>
        <w:rPr>
          <w:lang w:val="ru-RU" w:eastAsia="ru-RU" w:bidi="ru-RU"/>
          <w:w w:val="100"/>
          <w:spacing w:val="0"/>
          <w:color w:val="000000"/>
          <w:position w:val="0"/>
        </w:rPr>
        <w:t>Аномалия Эбштейна: отклонение электрической оси серд</w:t>
        <w:softHyphen/>
        <w:t>ца вправо, неполная блокада правой ножки пучка Гиса, замедление времени атриовентрикулярного проведения, перегрузка правого предсердия.</w:t>
      </w:r>
    </w:p>
    <w:p>
      <w:pPr>
        <w:widowControl w:val="0"/>
        <w:rPr>
          <w:sz w:val="2"/>
          <w:szCs w:val="2"/>
        </w:rPr>
      </w:pPr>
    </w:p>
    <w:p>
      <w:pPr>
        <w:pStyle w:val="Style30"/>
        <w:widowControl w:val="0"/>
        <w:keepNext w:val="0"/>
        <w:keepLines w:val="0"/>
        <w:shd w:val="clear" w:color="auto" w:fill="auto"/>
        <w:bidi w:val="0"/>
        <w:spacing w:before="617" w:after="0"/>
        <w:ind w:left="500" w:right="0" w:firstLine="0"/>
      </w:pPr>
      <w:r>
        <w:rPr>
          <w:lang w:val="ru-RU" w:eastAsia="ru-RU" w:bidi="ru-RU"/>
          <w:w w:val="100"/>
          <w:spacing w:val="0"/>
          <w:color w:val="000000"/>
          <w:position w:val="0"/>
        </w:rPr>
        <w:t>и возникающей вследствие этого трехстворчатой регур- гитации. В случае умеренного смещения и умеренной регургитации у больного может отсутствовать симпто</w:t>
        <w:softHyphen/>
        <w:t>матика в течение многих лет. Однако если смещение и регургитация на клапане значительные, в легочной артерии определяется снижение кровотока, правое предсердие дилатировано, а также наблюдается шунти</w:t>
        <w:softHyphen/>
        <w:t>рование крови справа налево через дефект межпред</w:t>
        <w:softHyphen/>
        <w:t>сердной перегородки или открытое овальное окно — возникает клиническая симптоматика вплоть до выра</w:t>
        <w:softHyphen/>
        <w:t>женного цианоза. Также может развиваться застойная сердечная недостаточность, вторичная по отношению к снижению функции правого желудочка. Часто боль</w:t>
        <w:softHyphen/>
        <w:t>ные имеют сопутствующие нарушения сердечного рит</w:t>
        <w:softHyphen/>
        <w:t>ма: пароксизмальная суправентрикулярная тахикардия (наблюдается у 25-50% больных, из которых 5-10% име</w:t>
        <w:softHyphen/>
        <w:t>ют синдром Вольфа-Паркинсона-Уайта).</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Анамнез, клиническая симптоматика Клиническая картина, как правило, варьирует в зависи</w:t>
        <w:softHyphen/>
        <w:t>мости от возраста выявления порока. Основными клиниче</w:t>
        <w:softHyphen/>
        <w:t>скими проявлениями являются:</w:t>
      </w:r>
    </w:p>
    <w:p>
      <w:pPr>
        <w:pStyle w:val="Style30"/>
        <w:numPr>
          <w:ilvl w:val="0"/>
          <w:numId w:val="43"/>
        </w:numPr>
        <w:tabs>
          <w:tab w:leader="none" w:pos="508"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У плода:</w:t>
      </w:r>
    </w:p>
    <w:p>
      <w:pPr>
        <w:pStyle w:val="Style30"/>
        <w:numPr>
          <w:ilvl w:val="0"/>
          <w:numId w:val="45"/>
        </w:numPr>
        <w:tabs>
          <w:tab w:leader="none" w:pos="732" w:val="left"/>
        </w:tabs>
        <w:widowControl w:val="0"/>
        <w:keepNext w:val="0"/>
        <w:keepLines w:val="0"/>
        <w:shd w:val="clear" w:color="auto" w:fill="auto"/>
        <w:bidi w:val="0"/>
        <w:jc w:val="left"/>
        <w:spacing w:before="0" w:after="0"/>
        <w:ind w:left="720" w:right="0" w:hanging="220"/>
      </w:pPr>
      <w:r>
        <w:rPr>
          <w:lang w:val="ru-RU" w:eastAsia="ru-RU" w:bidi="ru-RU"/>
          <w:w w:val="100"/>
          <w:spacing w:val="0"/>
          <w:color w:val="000000"/>
          <w:position w:val="0"/>
        </w:rPr>
        <w:t>данная аномалия выявляется при проведении уль</w:t>
        <w:softHyphen/>
        <w:t>тразвукового исследования плода (86%);</w:t>
      </w:r>
    </w:p>
    <w:p>
      <w:pPr>
        <w:pStyle w:val="Style30"/>
        <w:numPr>
          <w:ilvl w:val="0"/>
          <w:numId w:val="45"/>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аритмии наблюдаются у 5% плодов.</w:t>
      </w:r>
    </w:p>
    <w:p>
      <w:pPr>
        <w:pStyle w:val="Style30"/>
        <w:numPr>
          <w:ilvl w:val="0"/>
          <w:numId w:val="43"/>
        </w:numPr>
        <w:tabs>
          <w:tab w:leader="none" w:pos="508"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У новорожденных:</w:t>
      </w:r>
    </w:p>
    <w:p>
      <w:pPr>
        <w:pStyle w:val="Style30"/>
        <w:numPr>
          <w:ilvl w:val="0"/>
          <w:numId w:val="45"/>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цианоз (74%);</w:t>
      </w:r>
    </w:p>
    <w:p>
      <w:pPr>
        <w:pStyle w:val="Style30"/>
        <w:numPr>
          <w:ilvl w:val="0"/>
          <w:numId w:val="45"/>
        </w:numPr>
        <w:tabs>
          <w:tab w:leader="none" w:pos="732" w:val="left"/>
        </w:tabs>
        <w:widowControl w:val="0"/>
        <w:keepNext w:val="0"/>
        <w:keepLines w:val="0"/>
        <w:shd w:val="clear" w:color="auto" w:fill="auto"/>
        <w:bidi w:val="0"/>
        <w:jc w:val="left"/>
        <w:spacing w:before="0" w:after="0"/>
        <w:ind w:left="720" w:right="0" w:hanging="220"/>
      </w:pPr>
      <w:r>
        <w:rPr>
          <w:lang w:val="ru-RU" w:eastAsia="ru-RU" w:bidi="ru-RU"/>
          <w:w w:val="100"/>
          <w:spacing w:val="0"/>
          <w:color w:val="000000"/>
          <w:position w:val="0"/>
        </w:rPr>
        <w:t>сердечная недостаточность с трудностями при кормлении и одышкой (10%);</w:t>
      </w:r>
    </w:p>
    <w:p>
      <w:pPr>
        <w:pStyle w:val="Style30"/>
        <w:numPr>
          <w:ilvl w:val="0"/>
          <w:numId w:val="45"/>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сердечный шум (9%).</w:t>
      </w:r>
    </w:p>
    <w:p>
      <w:pPr>
        <w:pStyle w:val="Style30"/>
        <w:numPr>
          <w:ilvl w:val="0"/>
          <w:numId w:val="43"/>
        </w:numPr>
        <w:tabs>
          <w:tab w:leader="none" w:pos="508"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Дети в возрасте до 2-х лет:</w:t>
      </w:r>
    </w:p>
    <w:p>
      <w:pPr>
        <w:pStyle w:val="Style30"/>
        <w:numPr>
          <w:ilvl w:val="0"/>
          <w:numId w:val="45"/>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цианоз (35%);</w:t>
      </w:r>
    </w:p>
    <w:p>
      <w:pPr>
        <w:pStyle w:val="Style30"/>
        <w:numPr>
          <w:ilvl w:val="0"/>
          <w:numId w:val="45"/>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трудности при кормлении и одышка (43%);</w:t>
      </w:r>
    </w:p>
    <w:p>
      <w:pPr>
        <w:pStyle w:val="Style30"/>
        <w:numPr>
          <w:ilvl w:val="0"/>
          <w:numId w:val="45"/>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сердечный шум (13%).</w:t>
      </w:r>
    </w:p>
    <w:p>
      <w:pPr>
        <w:pStyle w:val="Style30"/>
        <w:numPr>
          <w:ilvl w:val="0"/>
          <w:numId w:val="43"/>
        </w:numPr>
        <w:tabs>
          <w:tab w:leader="none" w:pos="508"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Дети в возрасте от 3 до 10 лет:</w:t>
      </w:r>
    </w:p>
    <w:p>
      <w:pPr>
        <w:pStyle w:val="Style30"/>
        <w:numPr>
          <w:ilvl w:val="0"/>
          <w:numId w:val="45"/>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цианоз (14%);</w:t>
      </w:r>
    </w:p>
    <w:p>
      <w:pPr>
        <w:pStyle w:val="Style30"/>
        <w:numPr>
          <w:ilvl w:val="0"/>
          <w:numId w:val="45"/>
        </w:numPr>
        <w:tabs>
          <w:tab w:leader="none" w:pos="518"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сердечная недостаточность с отставанием в физи</w:t>
        <w:softHyphen/>
        <w:t>ческом развитии и снижением толерантности к физической нагрузке (8%);</w:t>
      </w:r>
    </w:p>
    <w:p>
      <w:pPr>
        <w:pStyle w:val="Style30"/>
        <w:numPr>
          <w:ilvl w:val="0"/>
          <w:numId w:val="4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аритмия (12%);</w:t>
      </w:r>
    </w:p>
    <w:p>
      <w:pPr>
        <w:pStyle w:val="Style30"/>
        <w:numPr>
          <w:ilvl w:val="0"/>
          <w:numId w:val="4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сердечный шум (66%).</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Подростки 11-18 лет:</w:t>
      </w:r>
    </w:p>
    <w:p>
      <w:pPr>
        <w:pStyle w:val="Style30"/>
        <w:numPr>
          <w:ilvl w:val="0"/>
          <w:numId w:val="4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цианоз (13%);</w:t>
      </w:r>
    </w:p>
    <w:p>
      <w:pPr>
        <w:pStyle w:val="Style30"/>
        <w:numPr>
          <w:ilvl w:val="0"/>
          <w:numId w:val="4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сердечная недостаточность с диспноэ и снижени</w:t>
        <w:softHyphen/>
        <w:t>ем толерантности к физической нагрузке (13%);</w:t>
      </w:r>
    </w:p>
    <w:p>
      <w:pPr>
        <w:pStyle w:val="Style30"/>
        <w:numPr>
          <w:ilvl w:val="0"/>
          <w:numId w:val="4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аритмия (40%);</w:t>
      </w:r>
    </w:p>
    <w:p>
      <w:pPr>
        <w:pStyle w:val="Style30"/>
        <w:numPr>
          <w:ilvl w:val="0"/>
          <w:numId w:val="4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сердечный шум (33%).</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Физикальное обследование:</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Изменения, которые можно выявить при клиничес</w:t>
        <w:softHyphen/>
        <w:t>ком осмотре больного, напрямую взаимосвязаны с возрастом пациента, степенью трикуспидальной не</w:t>
        <w:softHyphen/>
        <w:t>достаточности и степенью обструкции выходного тракта правого желудочка у конкретного больного.</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классических случаях аускультативно выслушива</w:t>
        <w:softHyphen/>
        <w:t>ется ритм галопа или четырехтактный ритм, возни</w:t>
        <w:softHyphen/>
        <w:t>кающий из-за растянутого первого и второго тона сердца, а также из-за наличия третьего или четверто</w:t>
        <w:softHyphen/>
        <w:t>го тона.</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Трикуспидальная регургитация в случае ее значитель - ной выраженности может приводить к возникнове</w:t>
        <w:softHyphen/>
        <w:t>нию голосистолического или регургитантного систо</w:t>
        <w:softHyphen/>
        <w:t>лического шума, который наиболее выражен в ниж</w:t>
        <w:softHyphen/>
        <w:t>ней части грудины по левому ее краю.</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Диастолический шум сопутствующего трикуспидаль</w:t>
        <w:softHyphen/>
        <w:t>ного стеноза или шум систолического выброса, ассо</w:t>
        <w:softHyphen/>
        <w:t>циированный с обструкцией выходного тракта пра</w:t>
        <w:softHyphen/>
        <w:t>вого желудочка, также может выслушиваться.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Выбухание яремных вен может наблюдаться у паци</w:t>
        <w:softHyphen/>
        <w:t>ентов старшего возраста.</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Большинство случаев аномалии Эбштейна — спора</w:t>
        <w:softHyphen/>
        <w:t>дические, но иногда можно наблюдать и семейные случаи. Возникновению данного порока может спо</w:t>
        <w:softHyphen/>
        <w:t>собствовать употребление матерью во время беремен</w:t>
        <w:softHyphen/>
        <w:t>ности препаратов лития или препаратов бензодиазе- пинового ряда.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Дифференциальный диагноз</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Атрезия трехстворчатого клапана.</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Болезнь Уля.</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Аритмогенная дисплазия правого желудочка.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 (рис. 21):</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Отклонение электрической оси сердца вправо.</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правых грудных отведениях регистрируется низко</w:t>
        <w:softHyphen/>
        <w:t xml:space="preserve">амплитудный полифазный комплекс </w:t>
      </w:r>
      <w:r>
        <w:rPr>
          <w:lang w:val="en-US" w:eastAsia="en-US" w:bidi="en-US"/>
          <w:w w:val="100"/>
          <w:spacing w:val="0"/>
          <w:color w:val="000000"/>
          <w:position w:val="0"/>
        </w:rPr>
        <w:t>QRS.</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Неполная или полная блокада правой ножки пучка Гиса, иногда напоминающая форму «пилы».</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Зубец Р увеличен по амплитуде и продолжительности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Синдром </w:t>
      </w:r>
      <w:r>
        <w:rPr>
          <w:lang w:val="en-US" w:eastAsia="en-US" w:bidi="en-US"/>
          <w:w w:val="100"/>
          <w:spacing w:val="0"/>
          <w:color w:val="000000"/>
          <w:position w:val="0"/>
        </w:rPr>
        <w:t>WPW.</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Трепетание предсердий (короткие периоды выявля</w:t>
        <w:softHyphen/>
        <w:t>ются при проведении Холтеровского мониторирова- ния ЭКГ).</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Суправентрикулярная пароксизмальная тахикардия.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w:t>
      </w:r>
    </w:p>
    <w:p>
      <w:pPr>
        <w:pStyle w:val="Style30"/>
        <w:numPr>
          <w:ilvl w:val="0"/>
          <w:numId w:val="43"/>
        </w:numPr>
        <w:tabs>
          <w:tab w:leader="none" w:pos="237" w:val="left"/>
        </w:tabs>
        <w:widowControl w:val="0"/>
        <w:keepNext w:val="0"/>
        <w:keepLines w:val="0"/>
        <w:shd w:val="clear" w:color="auto" w:fill="auto"/>
        <w:bidi w:val="0"/>
        <w:spacing w:before="0" w:after="0"/>
        <w:ind w:left="280" w:right="0" w:hanging="280"/>
        <w:sectPr>
          <w:type w:val="continuous"/>
          <w:pgSz w:w="11900" w:h="16840"/>
          <w:pgMar w:top="1569" w:left="1071" w:right="1057" w:bottom="1747" w:header="0" w:footer="3" w:gutter="0"/>
          <w:rtlGutter w:val="0"/>
          <w:cols w:num="2" w:space="102"/>
          <w:noEndnote/>
          <w:docGrid w:linePitch="360"/>
        </w:sectPr>
      </w:pPr>
      <w:r>
        <w:rPr>
          <w:lang w:val="ru-RU" w:eastAsia="ru-RU" w:bidi="ru-RU"/>
          <w:w w:val="100"/>
          <w:spacing w:val="0"/>
          <w:color w:val="000000"/>
          <w:position w:val="0"/>
        </w:rPr>
        <w:t>Проведение рентгенографии грудной клетки может помочь в точном определении силуэта сердца, кото</w:t>
        <w:softHyphen/>
        <w:t>рый четко связан с выраженностью трикуспидальной регургитации. В тяжелых случаях кардиоторакальное соотношение может приближаться к единице.</w:t>
      </w:r>
    </w:p>
    <w:p>
      <w:pPr>
        <w:widowControl w:val="0"/>
        <w:rPr>
          <w:sz w:val="2"/>
          <w:szCs w:val="2"/>
        </w:rPr>
      </w:pPr>
      <w:r>
        <w:pict>
          <v:shape id="_x0000_s1214" type="#_x0000_t202" style="position:static;width:595.pt;height:64.1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215" type="#_x0000_t75" style="position:absolute;margin-left:134.15pt;margin-top:0;width:209.75pt;height:14.9pt;z-index:-251658721;mso-wrap-distance-left:5.pt;mso-wrap-distance-right:5.pt;mso-position-horizontal-relative:margin" wrapcoords="0 0">
            <v:imagedata r:id="rId306" r:href="rId307"/>
            <w10:wrap anchorx="margin"/>
          </v:shape>
        </w:pict>
      </w:r>
    </w:p>
    <w:p>
      <w:pPr>
        <w:widowControl w:val="0"/>
        <w:rPr>
          <w:sz w:val="2"/>
          <w:szCs w:val="2"/>
        </w:rPr>
        <w:sectPr>
          <w:type w:val="continuous"/>
          <w:pgSz w:w="11900" w:h="16840"/>
          <w:pgMar w:top="1468" w:left="1124" w:right="898" w:bottom="192" w:header="0" w:footer="3" w:gutter="0"/>
          <w:rtlGutter w:val="0"/>
          <w:cols w:space="720"/>
          <w:noEndnote/>
          <w:docGrid w:linePitch="360"/>
        </w:sectPr>
      </w:pPr>
    </w:p>
    <w:p>
      <w:pPr>
        <w:pStyle w:val="Style30"/>
        <w:widowControl w:val="0"/>
        <w:keepNext w:val="0"/>
        <w:keepLines w:val="0"/>
        <w:shd w:val="clear" w:color="auto" w:fill="auto"/>
        <w:bidi w:val="0"/>
        <w:spacing w:before="0" w:after="0" w:line="192" w:lineRule="exact"/>
        <w:ind w:left="0" w:right="0" w:firstLine="0"/>
        <w:sectPr>
          <w:pgSz w:w="11900" w:h="16840"/>
          <w:pgMar w:top="1642" w:left="903" w:right="1119" w:bottom="207" w:header="0" w:footer="3" w:gutter="0"/>
          <w:rtlGutter w:val="0"/>
          <w:cols w:space="720"/>
          <w:noEndnote/>
          <w:docGrid w:linePitch="360"/>
        </w:sectPr>
      </w:pPr>
      <w:r>
        <w:pict>
          <v:shape id="_x0000_s1216" type="#_x0000_t75" style="position:absolute;margin-left:213.6pt;margin-top:-30.95pt;width:277.9pt;height:204.95pt;z-index:-125829256;mso-wrap-distance-left:22.1pt;mso-wrap-distance-right:5.pt;mso-position-horizontal-relative:margin" wrapcoords="0 0 21600 0 21600 21600 0 21600 0 0">
            <v:imagedata r:id="rId308" r:href="rId309"/>
            <w10:wrap type="square" side="left" anchorx="margin"/>
          </v:shape>
        </w:pict>
      </w:r>
      <w:r>
        <w:rPr>
          <w:rStyle w:val="CharStyle102"/>
        </w:rPr>
        <w:t xml:space="preserve">Рис. 22. </w:t>
      </w:r>
      <w:r>
        <w:rPr>
          <w:lang w:val="ru-RU" w:eastAsia="ru-RU" w:bidi="ru-RU"/>
          <w:w w:val="100"/>
          <w:spacing w:val="0"/>
          <w:color w:val="000000"/>
          <w:position w:val="0"/>
        </w:rPr>
        <w:t>Двухмерная эхокардиограмма при аномалии Эбштейна: смещение трикуспидального клапана в полость правого желудочка.</w:t>
      </w:r>
    </w:p>
    <w:p>
      <w:pPr>
        <w:widowControl w:val="0"/>
        <w:spacing w:line="240" w:lineRule="exact"/>
        <w:rPr>
          <w:sz w:val="19"/>
          <w:szCs w:val="19"/>
        </w:rPr>
      </w:pPr>
    </w:p>
    <w:p>
      <w:pPr>
        <w:widowControl w:val="0"/>
        <w:spacing w:line="240" w:lineRule="exact"/>
        <w:rPr>
          <w:sz w:val="19"/>
          <w:szCs w:val="19"/>
        </w:rPr>
      </w:pPr>
    </w:p>
    <w:p>
      <w:pPr>
        <w:widowControl w:val="0"/>
        <w:spacing w:before="22" w:after="22" w:line="240" w:lineRule="exact"/>
        <w:rPr>
          <w:sz w:val="19"/>
          <w:szCs w:val="19"/>
        </w:rPr>
      </w:pPr>
    </w:p>
    <w:p>
      <w:pPr>
        <w:widowControl w:val="0"/>
        <w:rPr>
          <w:sz w:val="2"/>
          <w:szCs w:val="2"/>
        </w:rPr>
        <w:sectPr>
          <w:type w:val="continuous"/>
          <w:pgSz w:w="11900" w:h="16840"/>
          <w:pgMar w:top="1385" w:left="0" w:right="0" w:bottom="1596" w:header="0" w:footer="3" w:gutter="0"/>
          <w:rtlGutter w:val="0"/>
          <w:cols w:space="720"/>
          <w:noEndnote/>
          <w:docGrid w:linePitch="360"/>
        </w:sectPr>
      </w:pPr>
    </w:p>
    <w:p>
      <w:pPr>
        <w:widowControl w:val="0"/>
        <w:rPr>
          <w:sz w:val="2"/>
          <w:szCs w:val="2"/>
        </w:rPr>
      </w:pPr>
      <w:r>
        <w:pict>
          <v:shape id="_x0000_s1217" type="#_x0000_t75" style="position:absolute;margin-left:140.9pt;margin-top:488.4pt;width:209.75pt;height:14.9pt;z-index:-125829255;mso-wrap-distance-left:135.6pt;mso-wrap-distance-right:136.8pt;mso-wrap-distance-bottom:10.8pt;mso-position-horizontal-relative:margin" wrapcoords="0 0 21600 0 21600 21600 0 21600 0 0">
            <v:imagedata r:id="rId310" r:href="rId311"/>
            <w10:wrap type="topAndBottom" anchorx="margin"/>
          </v:shape>
        </w:pict>
      </w:r>
    </w:p>
    <w:p>
      <w:pPr>
        <w:pStyle w:val="Style30"/>
        <w:numPr>
          <w:ilvl w:val="0"/>
          <w:numId w:val="4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большинстве случаев исследование выявляет резко дилатированное правое предсердие.</w:t>
      </w:r>
    </w:p>
    <w:p>
      <w:pPr>
        <w:pStyle w:val="Style30"/>
        <w:numPr>
          <w:ilvl w:val="0"/>
          <w:numId w:val="4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больных с цианозом снижена васкуляризация легких.</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 (рис. 22):</w:t>
      </w:r>
    </w:p>
    <w:p>
      <w:pPr>
        <w:pStyle w:val="Style30"/>
        <w:numPr>
          <w:ilvl w:val="0"/>
          <w:numId w:val="4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Одномерная ЭхоКГ:</w:t>
      </w:r>
    </w:p>
    <w:p>
      <w:pPr>
        <w:pStyle w:val="Style30"/>
        <w:numPr>
          <w:ilvl w:val="0"/>
          <w:numId w:val="4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замедленное закрытие трикуспидального клапана;</w:t>
      </w:r>
    </w:p>
    <w:p>
      <w:pPr>
        <w:pStyle w:val="Style30"/>
        <w:numPr>
          <w:ilvl w:val="0"/>
          <w:numId w:val="4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увеличение экскурсии передней створки трикус</w:t>
        <w:softHyphen/>
        <w:t>пидального клапана;</w:t>
      </w:r>
    </w:p>
    <w:p>
      <w:pPr>
        <w:pStyle w:val="Style30"/>
        <w:numPr>
          <w:ilvl w:val="0"/>
          <w:numId w:val="4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одновременная визуализация двух атриовентрику</w:t>
        <w:softHyphen/>
        <w:t>лярных клапанов;</w:t>
      </w:r>
    </w:p>
    <w:p>
      <w:pPr>
        <w:pStyle w:val="Style30"/>
        <w:numPr>
          <w:ilvl w:val="0"/>
          <w:numId w:val="4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пологий </w:t>
      </w:r>
      <w:r>
        <w:rPr>
          <w:lang w:val="en-US" w:eastAsia="en-US" w:bidi="en-US"/>
          <w:w w:val="100"/>
          <w:spacing w:val="0"/>
          <w:color w:val="000000"/>
          <w:position w:val="0"/>
        </w:rPr>
        <w:t xml:space="preserve">EF </w:t>
      </w:r>
      <w:r>
        <w:rPr>
          <w:lang w:val="ru-RU" w:eastAsia="ru-RU" w:bidi="ru-RU"/>
          <w:w w:val="100"/>
          <w:spacing w:val="0"/>
          <w:color w:val="000000"/>
          <w:position w:val="0"/>
        </w:rPr>
        <w:t>наклон передней створки трикуспи</w:t>
        <w:softHyphen/>
        <w:t>дального клапана.</w:t>
      </w:r>
    </w:p>
    <w:p>
      <w:pPr>
        <w:pStyle w:val="Style30"/>
        <w:numPr>
          <w:ilvl w:val="0"/>
          <w:numId w:val="4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Двухмерная ЭхоКГ:</w:t>
      </w:r>
    </w:p>
    <w:p>
      <w:pPr>
        <w:pStyle w:val="Style30"/>
        <w:numPr>
          <w:ilvl w:val="0"/>
          <w:numId w:val="4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смещение сетальной створки в полость правого желудочка в проекции 4-х камер с верхушки;</w:t>
      </w:r>
    </w:p>
    <w:p>
      <w:pPr>
        <w:pStyle w:val="Style30"/>
        <w:numPr>
          <w:ilvl w:val="0"/>
          <w:numId w:val="4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наличие атриализированной порции правого же</w:t>
        <w:softHyphen/>
        <w:t>лудочка (дистанция между смещенным клапаном и трикуспидальным кольцом);</w:t>
      </w:r>
    </w:p>
    <w:p>
      <w:pPr>
        <w:pStyle w:val="Style30"/>
        <w:numPr>
          <w:ilvl w:val="0"/>
          <w:numId w:val="4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дилатация правого атриовентрикулярного отвер</w:t>
        <w:softHyphen/>
        <w:t>стия;</w:t>
      </w:r>
    </w:p>
    <w:p>
      <w:pPr>
        <w:pStyle w:val="Style30"/>
        <w:numPr>
          <w:ilvl w:val="0"/>
          <w:numId w:val="4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визуализация открытого овального окна или ДМПП (наблюдается в 85% случаев).</w:t>
      </w:r>
    </w:p>
    <w:p>
      <w:pPr>
        <w:pStyle w:val="Style30"/>
        <w:numPr>
          <w:ilvl w:val="0"/>
          <w:numId w:val="4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Допплер ЭхоКГ:</w:t>
      </w:r>
    </w:p>
    <w:p>
      <w:pPr>
        <w:pStyle w:val="Style30"/>
        <w:numPr>
          <w:ilvl w:val="0"/>
          <w:numId w:val="4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выявляет величину трикуспидальной недостаточ</w:t>
        <w:softHyphen/>
        <w:t>ности;</w:t>
      </w:r>
    </w:p>
    <w:p>
      <w:pPr>
        <w:pStyle w:val="Style30"/>
        <w:numPr>
          <w:ilvl w:val="0"/>
          <w:numId w:val="4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оценка величины легочной гипертензии;</w:t>
      </w:r>
    </w:p>
    <w:p>
      <w:pPr>
        <w:pStyle w:val="Style30"/>
        <w:numPr>
          <w:ilvl w:val="0"/>
          <w:numId w:val="4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определение сопутствующих аномалий.</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Катетеризация сердца:</w:t>
      </w:r>
    </w:p>
    <w:p>
      <w:pPr>
        <w:pStyle w:val="Style30"/>
        <w:numPr>
          <w:ilvl w:val="0"/>
          <w:numId w:val="4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Катетеризация сердца может быть проведена для оценки гемодинамических и ангиографических ха</w:t>
        <w:softHyphen/>
        <w:t>рактеристик больного до проведения операции. В за</w:t>
        <w:softHyphen/>
        <w:t>висимости от конкретного больного, его анатомичес</w:t>
        <w:softHyphen/>
        <w:t>ких и физиологических показателей эхокардиогра</w:t>
        <w:softHyphen/>
        <w:t>фия может во многом снизить показания для прове</w:t>
        <w:softHyphen/>
        <w:t>дения катетеризации сердца.</w:t>
      </w:r>
    </w:p>
    <w:p>
      <w:pPr>
        <w:pStyle w:val="Style30"/>
        <w:numPr>
          <w:ilvl w:val="0"/>
          <w:numId w:val="4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Постоперационные осложнения у больных после ка</w:t>
        <w:softHyphen/>
        <w:t>тетеризации сердца могут включать геморрагии, по</w:t>
        <w:softHyphen/>
        <w:t>вреждения сосудов после баллонной дилатации, боли в сердце, тошноту и рвоту, тромбоз и тромбоэмболию</w:t>
        <w:br w:type="column"/>
        <w:t>вен или артерий или спазм сосудов, приводящий к нарушению гемодинамики или тромбозу. Также ос</w:t>
        <w:softHyphen/>
        <w:t>ложнения могут быть в виде разрыва сосуда, тахиа</w:t>
        <w:softHyphen/>
        <w:t>ритмий или брадиаритмий, окклюзии сосуда.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Электрофизиологическое исследование:</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Электрофизиологическое исследование проводится у многих больных, имеющих аритмии, например суп</w:t>
        <w:softHyphen/>
        <w:t>равентрикулярную пароксизмальную тахикардию, вторичную из-за наличия синдрома Вольфа-Паркин- сона-Уайта.</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Во время инвазивного электрофизиологического ис</w:t>
        <w:softHyphen/>
        <w:t>следования часто выявляется аритмогенный очаг, ко</w:t>
        <w:softHyphen/>
        <w:t>торый может располагаться в области, прилежащей к кольцу трехстворчатого клапана.</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Манифестные дополнительные проводящие пути и скрытые дополнительные проводящие пути (в т.ч. ретроградно проводящие) являются в большинстве случаев причиной возникновения пароксизмальной суправентрикулярной тахикардии, столь часто выяв</w:t>
        <w:softHyphen/>
        <w:t>ляемой у больных с аномалией Эбштейна.</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Частота выявления множественных дополнительных проводящих путей гораздо выше у больных с анома</w:t>
        <w:softHyphen/>
        <w:t>лией Эбштейна, чем в целом среди популяции паци</w:t>
        <w:softHyphen/>
        <w:t>ентов с пароксизмальной суправентрикулярной тахи</w:t>
        <w:softHyphen/>
        <w:t>кардией без аномалии Эбштейна.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Больные с умеренно или незначительно выраженной трехстворчатой регургитацией нуждаются только в наблюдении кардиолога, с периодическим контро</w:t>
        <w:softHyphen/>
        <w:t>лем электрокардиограммы, рентгенографии и сатура</w:t>
        <w:softHyphen/>
        <w:t>ции кислорода крови.</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Все больные с аномалией Эбштейна нуждаются в профилактике бактериального эндокардита.</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неонатальном периоде при тяжелой форме заболе</w:t>
        <w:softHyphen/>
        <w:t>вания решающим фактором в выживаемости детей является адекватная эвакуация крови из правого предсердия. Если больной родился только с откры</w:t>
        <w:softHyphen/>
        <w:t>тым овальным окном или только с рестриктивной формой дефекта межпредсердной перегородки, мо-</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жет быть показана баллонная атриальная септосто</w:t>
        <w:softHyphen/>
        <w:t>мия по Рашинду или же проведение экстренной хи</w:t>
        <w:softHyphen/>
        <w:t>рургической интервенции. Атриальная септостомия может проводиться под контролем эхокардиографии или в отделении для катетеризации сердца под конт</w:t>
        <w:softHyphen/>
        <w:t>ролем той же эхокардиографии или/и флюороскопи</w:t>
        <w:softHyphen/>
        <w:t>ческим контролем.</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Электрофизиологические исследования могут быть предприняты как с диагностической целью для опре</w:t>
        <w:softHyphen/>
        <w:t>деления причины аритмий, так и с лечебной целью, если его дополнить радиочастотной аблацией. Кате</w:t>
        <w:softHyphen/>
        <w:t>терная аблация при суправентрикулярной пароксиз</w:t>
        <w:softHyphen/>
        <w:t>мальной тахикардии весьма успешно проводится у детей. Обычно операционные осложнения отсут</w:t>
        <w:softHyphen/>
        <w:t>ствуют, а риск повторного возникновения приступов весьма небольшой. Однако больные с аномалией Эб</w:t>
        <w:softHyphen/>
        <w:t>штейна и сопутствующей пароксизмальной тахикар</w:t>
        <w:softHyphen/>
        <w:t>дией могут иметь множественные дополнительные проводящие пути, что затрудняет лечение.</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 данным различных исследователей, эффектив</w:t>
        <w:softHyphen/>
        <w:t>ность данного метода лечения нарушений ритма у больных с аномалией Эбштейна колеблется от 75 до 90%. Примерно у 32% больных после проведения оперативного лечения возникает рецидив пароксиз</w:t>
        <w:softHyphen/>
        <w:t>мальной суправентрикулярной тахикардии. Такая разница в показателях успешности лечения, а также в других показателях зависит не только от конкретно - го института, в котором проводятся исследования, но и от конкретного доктора, проводящего оператив</w:t>
        <w:softHyphen/>
        <w:t>ное лечение. Замечено, что радиочастотная катетер</w:t>
        <w:softHyphen/>
        <w:t>ная аблация наиболее эффективна у больных с уме</w:t>
        <w:softHyphen/>
        <w:t>ренно выраженной трикуспидальной регургитацией.</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больных с отсутствием каких-либо клинических проявлений порока должна проводиться лишь про</w:t>
        <w:softHyphen/>
        <w:t>филактика инфекционного эндокардита.</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Больным с проявлениями застойной сердечной недо - статочности рекомендуется прием дигоксина и моче</w:t>
        <w:softHyphen/>
        <w:t>гонных препаратов.</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Больным с цианозом и высоким риском парадоксаль</w:t>
        <w:softHyphen/>
        <w:t>ной эмболии показан прием антиагрегантов (напри</w:t>
        <w:softHyphen/>
        <w:t>мер, аспирина в микродозах).</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Пациентам с аномалией Эбштейна и сопутствующей суправентрикулярной пароксизмальной тахикардией может понадобиться терапия бета-блокаторами, бло</w:t>
        <w:softHyphen/>
        <w:t>каторами кальциевых каналов или каким-либо дру</w:t>
        <w:softHyphen/>
        <w:t xml:space="preserve">гим антиаритмическим препаратом </w:t>
      </w:r>
      <w:r>
        <w:rPr>
          <w:lang w:val="en-US" w:eastAsia="en-US" w:bidi="en-US"/>
          <w:w w:val="100"/>
          <w:spacing w:val="0"/>
          <w:color w:val="000000"/>
          <w:position w:val="0"/>
        </w:rPr>
        <w:t xml:space="preserve">I-III </w:t>
      </w:r>
      <w:r>
        <w:rPr>
          <w:lang w:val="ru-RU" w:eastAsia="ru-RU" w:bidi="ru-RU"/>
          <w:w w:val="100"/>
          <w:spacing w:val="0"/>
          <w:color w:val="000000"/>
          <w:position w:val="0"/>
        </w:rPr>
        <w:t>класса. Вы</w:t>
        <w:softHyphen/>
        <w:t>бор того или другого антиаритмического препарата зависит от механизмов тахикардии, совместимости лекарственных средств.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4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Необходимость хирургического лечения определяется степенью смещения створки трехстворчатого клапана от кольца, а также степенью обструкции выходного тракта правого желудочка. В неонатальном периоде при очень большой тяжести течения порока и сопутствую</w:t>
        <w:softHyphen/>
        <w:t>щей функциональной гипоплазии правого желудочка наилучшие результаты дает ушивание с закрытием трех</w:t>
        <w:softHyphen/>
        <w:t xml:space="preserve">створчатого клапана или (смотря по эффекту) создание физиологической атрезии трехстворчатого клапана (процедура </w:t>
      </w:r>
      <w:r>
        <w:rPr>
          <w:lang w:val="en-US" w:eastAsia="en-US" w:bidi="en-US"/>
          <w:w w:val="100"/>
          <w:spacing w:val="0"/>
          <w:color w:val="000000"/>
          <w:position w:val="0"/>
        </w:rPr>
        <w:t xml:space="preserve">Stames). </w:t>
      </w:r>
      <w:r>
        <w:rPr>
          <w:lang w:val="ru-RU" w:eastAsia="ru-RU" w:bidi="ru-RU"/>
          <w:w w:val="100"/>
          <w:spacing w:val="0"/>
          <w:color w:val="000000"/>
          <w:position w:val="0"/>
        </w:rPr>
        <w:t>В дополнение к вышеперечислен</w:t>
        <w:softHyphen/>
        <w:t>ным оперативным моментам производится создание артериопульмонального артериального шунта.</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Операция Фонтена (анастомоз нижней полой вены с легочной артерией) обычно проводится, если воз</w:t>
        <w:softHyphen/>
        <w:t>раст больного составляет 2-4 года.</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умеренной трикуспидальной регургитации и вы - раженной обструкции выходного тракта правого же</w:t>
        <w:softHyphen/>
        <w:t>лудочка может быть предпринята операция систем</w:t>
        <w:softHyphen/>
        <w:t>ного артериопульмонального шунтирования с одно</w:t>
        <w:softHyphen/>
        <w:t>моментным созданием нерестриктивной формы межпредсердного сообщения.</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с выраженной трикуспидальной регургитаци - ей может быть проведена операция протезирования трехстворчатого клапана или хирургическая рекон</w:t>
        <w:softHyphen/>
        <w:t>струкция имеющегося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Амбулаторное наблюдение</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Необходимо длительное амбулаторное наблюдение, поскольку изначально у больных с бессимптомным течением порока могут в дальнейшем развиваться приступы цианоза или застойная сердечная недоста</w:t>
        <w:softHyphen/>
        <w:t>точность.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Активность</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Степень ограничения физической нагрузки зависит от выраженности смещения створки клапана. Если смещение створки незначительно и у больного нет со</w:t>
        <w:softHyphen/>
        <w:t>путствующей суправентрикулярной пароксизмальной тахикардии, ребенок сам определяет возможный для себя уровень физической активности. Для больных с цианозом категорически противопоказаны занятия спортом. Помочь в определении максимальной физи</w:t>
        <w:softHyphen/>
        <w:t>ческой нагрузки может проведение стресс-теста.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Больные, имеющие цианоз вследствие облигатного право-левого шунта через дефект межпредсердной перегородки или открытое овальное окно, подверже</w:t>
        <w:softHyphen/>
        <w:t>ны большему риску парадоксальной эмболии и ин</w:t>
        <w:softHyphen/>
        <w:t>сультов. При таких обстоятельствах показана терапия аспирином или кумадином.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Для больных с аномалией Эбштейна варьирует в ши</w:t>
        <w:softHyphen/>
        <w:t>роких пределах в зависимости от степени смещения створки и выраженности трикуспидальной регурги- тации.</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Выживаемость среди живорожденных младенцев с аномалией Эбштейна составляет 67% до года и 59% до 10 лет.</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больных, нуждавшихся в хирургическом лечении и переживших вальвулопластику или имплантацию трехстворчатого клапана, выживаемость составляет 83-92% до 10-18 лет.</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Хорошие результаты оперативного лечения наблюда</w:t>
        <w:softHyphen/>
        <w:t>ются у 80% больных (в возрасте до 15 лет).</w:t>
      </w:r>
    </w:p>
    <w:p>
      <w:pPr>
        <w:pStyle w:val="Style30"/>
        <w:numPr>
          <w:ilvl w:val="0"/>
          <w:numId w:val="43"/>
        </w:numPr>
        <w:tabs>
          <w:tab w:leader="none" w:pos="516" w:val="left"/>
        </w:tabs>
        <w:widowControl w:val="0"/>
        <w:keepNext w:val="0"/>
        <w:keepLines w:val="0"/>
        <w:shd w:val="clear" w:color="auto" w:fill="auto"/>
        <w:bidi w:val="0"/>
        <w:spacing w:before="0" w:after="237"/>
        <w:ind w:left="520" w:right="0" w:hanging="240"/>
      </w:pPr>
      <w:r>
        <w:rPr>
          <w:lang w:val="ru-RU" w:eastAsia="ru-RU" w:bidi="ru-RU"/>
          <w:w w:val="100"/>
          <w:spacing w:val="0"/>
          <w:color w:val="000000"/>
          <w:position w:val="0"/>
        </w:rPr>
        <w:t>Прогноз осложняют сопутствующие нарушения рит</w:t>
        <w:softHyphen/>
        <w:t>ма (пароксизмальная тахикардия). При наличии ко</w:t>
        <w:softHyphen/>
        <w:t>роткого рефрактерного периода дополнительного пу</w:t>
        <w:softHyphen/>
        <w:t>ти существует риск возникновения желудочковой та</w:t>
        <w:softHyphen/>
        <w:t>хикардии и внезапной смерти пациента.</w:t>
      </w:r>
    </w:p>
    <w:p>
      <w:pPr>
        <w:pStyle w:val="Style28"/>
        <w:widowControl w:val="0"/>
        <w:keepNext/>
        <w:keepLines/>
        <w:shd w:val="clear" w:color="auto" w:fill="auto"/>
        <w:bidi w:val="0"/>
        <w:jc w:val="left"/>
        <w:spacing w:before="0" w:after="157" w:line="220" w:lineRule="exact"/>
        <w:ind w:left="0" w:right="0" w:firstLine="0"/>
      </w:pPr>
      <w:bookmarkStart w:id="346" w:name="bookmark346"/>
      <w:r>
        <w:rPr>
          <w:lang w:val="ru-RU" w:eastAsia="ru-RU" w:bidi="ru-RU"/>
          <w:w w:val="100"/>
          <w:spacing w:val="0"/>
          <w:color w:val="000000"/>
          <w:position w:val="0"/>
        </w:rPr>
        <w:t>Аномальный дренаж легочных вен</w:t>
      </w:r>
      <w:bookmarkEnd w:id="346"/>
    </w:p>
    <w:p>
      <w:pPr>
        <w:pStyle w:val="Style30"/>
        <w:widowControl w:val="0"/>
        <w:keepNext w:val="0"/>
        <w:keepLines w:val="0"/>
        <w:shd w:val="clear" w:color="auto" w:fill="auto"/>
        <w:bidi w:val="0"/>
        <w:spacing w:before="0" w:after="0"/>
        <w:ind w:left="0" w:right="0" w:firstLine="280"/>
      </w:pPr>
      <w:r>
        <w:pict>
          <v:shape id="_x0000_s1218" type="#_x0000_t75" style="position:absolute;margin-left:131.65pt;margin-top:740.2pt;width:209.75pt;height:14.9pt;z-index:-125829254;mso-wrap-distance-left:124.55pt;mso-wrap-distance-right:148.1pt;mso-wrap-distance-bottom:20.pt;mso-position-horizontal-relative:margin;mso-position-vertical-relative:margin" wrapcoords="0 0 21600 0 21600 21600 0 21600 0 0">
            <v:imagedata r:id="rId312" r:href="rId313"/>
            <w10:wrap type="topAndBottom" anchorx="margin" anchory="margin"/>
          </v:shape>
        </w:pict>
      </w:r>
      <w:r>
        <w:rPr>
          <w:lang w:val="ru-RU" w:eastAsia="ru-RU" w:bidi="ru-RU"/>
          <w:w w:val="100"/>
          <w:spacing w:val="0"/>
          <w:color w:val="000000"/>
          <w:position w:val="0"/>
        </w:rPr>
        <w:t>Врожденный порок сердца, при котором легочные вены частично или полностью соединяются с правым предсерди</w:t>
        <w:softHyphen/>
        <w:t>ем или полыми венами. Выделяют частичный и полный аномальный дренаж.</w:t>
      </w:r>
      <w:r>
        <w:br w:type="page"/>
      </w:r>
    </w:p>
    <w:p>
      <w:pPr>
        <w:pStyle w:val="Style92"/>
        <w:widowControl w:val="0"/>
        <w:keepNext/>
        <w:keepLines/>
        <w:shd w:val="clear" w:color="auto" w:fill="auto"/>
        <w:bidi w:val="0"/>
        <w:spacing w:before="0" w:after="0"/>
        <w:ind w:left="0" w:right="0" w:firstLine="280"/>
      </w:pPr>
      <w:bookmarkStart w:id="347" w:name="bookmark347"/>
      <w:r>
        <w:rPr>
          <w:lang w:val="ru-RU" w:eastAsia="ru-RU" w:bidi="ru-RU"/>
          <w:w w:val="100"/>
          <w:spacing w:val="0"/>
          <w:color w:val="000000"/>
          <w:position w:val="0"/>
        </w:rPr>
        <w:t>Краткие исторические сведения</w:t>
      </w:r>
      <w:bookmarkEnd w:id="34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Аномальный дренаж легочных вен был впервые описан </w:t>
      </w:r>
      <w:r>
        <w:rPr>
          <w:lang w:val="en-US" w:eastAsia="en-US" w:bidi="en-US"/>
          <w:w w:val="100"/>
          <w:spacing w:val="0"/>
          <w:color w:val="000000"/>
          <w:position w:val="0"/>
        </w:rPr>
        <w:t xml:space="preserve">Wilson </w:t>
      </w:r>
      <w:r>
        <w:rPr>
          <w:lang w:val="ru-RU" w:eastAsia="ru-RU" w:bidi="ru-RU"/>
          <w:w w:val="100"/>
          <w:spacing w:val="0"/>
          <w:color w:val="000000"/>
          <w:position w:val="0"/>
        </w:rPr>
        <w:t>в 1798 году.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Подробный обзор данного порока был сделан </w:t>
      </w:r>
      <w:r>
        <w:rPr>
          <w:lang w:val="en-US" w:eastAsia="en-US" w:bidi="en-US"/>
          <w:w w:val="100"/>
          <w:spacing w:val="0"/>
          <w:color w:val="000000"/>
          <w:position w:val="0"/>
        </w:rPr>
        <w:t xml:space="preserve">Brody </w:t>
      </w:r>
      <w:r>
        <w:rPr>
          <w:lang w:val="ru-RU" w:eastAsia="ru-RU" w:bidi="ru-RU"/>
          <w:w w:val="100"/>
          <w:spacing w:val="0"/>
          <w:color w:val="000000"/>
          <w:position w:val="0"/>
        </w:rPr>
        <w:t xml:space="preserve">в </w:t>
      </w:r>
      <w:r>
        <w:rPr>
          <w:lang w:val="en-US" w:eastAsia="en-US" w:bidi="en-US"/>
          <w:w w:val="100"/>
          <w:spacing w:val="0"/>
          <w:color w:val="000000"/>
          <w:position w:val="0"/>
        </w:rPr>
        <w:t xml:space="preserve">1942 </w:t>
      </w:r>
      <w:r>
        <w:rPr>
          <w:lang w:val="ru-RU" w:eastAsia="ru-RU" w:bidi="ru-RU"/>
          <w:w w:val="100"/>
          <w:spacing w:val="0"/>
          <w:color w:val="000000"/>
          <w:position w:val="0"/>
        </w:rPr>
        <w:t>году.</w:t>
      </w:r>
    </w:p>
    <w:p>
      <w:pPr>
        <w:pStyle w:val="Style30"/>
        <w:widowControl w:val="0"/>
        <w:keepNext w:val="0"/>
        <w:keepLines w:val="0"/>
        <w:shd w:val="clear" w:color="auto" w:fill="auto"/>
        <w:bidi w:val="0"/>
        <w:spacing w:before="0" w:after="161"/>
        <w:ind w:left="0" w:right="0" w:firstLine="280"/>
      </w:pPr>
      <w:r>
        <w:rPr>
          <w:lang w:val="ru-RU" w:eastAsia="ru-RU" w:bidi="ru-RU"/>
          <w:w w:val="100"/>
          <w:spacing w:val="0"/>
          <w:color w:val="000000"/>
          <w:position w:val="0"/>
        </w:rPr>
        <w:t>Хирургическая коррекция порока впервые осуществле</w:t>
        <w:softHyphen/>
        <w:t xml:space="preserve">на </w:t>
      </w:r>
      <w:r>
        <w:rPr>
          <w:lang w:val="en-US" w:eastAsia="en-US" w:bidi="en-US"/>
          <w:w w:val="100"/>
          <w:spacing w:val="0"/>
          <w:color w:val="000000"/>
          <w:position w:val="0"/>
        </w:rPr>
        <w:t xml:space="preserve">Muller </w:t>
      </w:r>
      <w:r>
        <w:rPr>
          <w:lang w:val="ru-RU" w:eastAsia="ru-RU" w:bidi="ru-RU"/>
          <w:w w:val="100"/>
          <w:spacing w:val="0"/>
          <w:color w:val="000000"/>
          <w:position w:val="0"/>
        </w:rPr>
        <w:t>в 1951 году.</w:t>
      </w:r>
    </w:p>
    <w:p>
      <w:pPr>
        <w:pStyle w:val="Style48"/>
        <w:widowControl w:val="0"/>
        <w:keepNext/>
        <w:keepLines/>
        <w:shd w:val="clear" w:color="auto" w:fill="auto"/>
        <w:bidi w:val="0"/>
        <w:jc w:val="left"/>
        <w:spacing w:before="0" w:after="79" w:line="240" w:lineRule="exact"/>
        <w:ind w:left="0" w:right="0" w:firstLine="0"/>
      </w:pPr>
      <w:bookmarkStart w:id="348" w:name="bookmark348"/>
      <w:r>
        <w:rPr>
          <w:lang w:val="ru-RU" w:eastAsia="ru-RU" w:bidi="ru-RU"/>
          <w:w w:val="100"/>
          <w:spacing w:val="0"/>
          <w:color w:val="000000"/>
          <w:position w:val="0"/>
        </w:rPr>
        <w:t>Полный (тотальный) аномальный дренаж легочных вен</w:t>
      </w:r>
      <w:bookmarkEnd w:id="34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полном аномальном дренаже все легочные вены единым коллектором или раздельно впадают в правое пред</w:t>
        <w:softHyphen/>
        <w:t>сердие или системные вены. Обязательным компонентом порока является дефект межпредсердной перегородки. При отсутствии сообщения между предсердиями легочная циркуляция оказывается разделенной от системной цирку</w:t>
        <w:softHyphen/>
        <w:t>ляции. Пороку в 10-25% случаев сопутствуют другие сер</w:t>
        <w:softHyphen/>
        <w:t>дечные аномалии, такие как единственный желудочек, транспозиция магистральных сосудов. Могут наблюдаться внесердечные пороки желудочно-кишечного тракта и мо</w:t>
        <w:softHyphen/>
        <w:t>чеполовой системы.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 встречается в 2-5% случаев среди всех ВПС.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порока может оказаться значительно выше при рождении ребенка с аномальным дренажем без пред</w:t>
        <w:softHyphen/>
        <w:t>сердного сообщения, поскольку эти дети погибают сразу после закрытия овального окна.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Тотальный аномальный дренаж легочных вен несколько чаще наблюдается у мальчиков.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Морфология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Выделяют следующие основные типы порока:</w:t>
      </w:r>
    </w:p>
    <w:p>
      <w:pPr>
        <w:pStyle w:val="Style30"/>
        <w:numPr>
          <w:ilvl w:val="0"/>
          <w:numId w:val="49"/>
        </w:numPr>
        <w:tabs>
          <w:tab w:leader="none" w:pos="45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 супракардиальный (45-55%). Легочные вены впа</w:t>
        <w:softHyphen/>
        <w:t>дают единым коллектором посредством соединительной ве</w:t>
        <w:softHyphen/>
        <w:t>ны (так называемая вертикальная вена) в верхнюю полую вену, значительно реже в безымянную и непарную вены.</w:t>
      </w:r>
    </w:p>
    <w:p>
      <w:pPr>
        <w:pStyle w:val="Style30"/>
        <w:numPr>
          <w:ilvl w:val="0"/>
          <w:numId w:val="49"/>
        </w:numPr>
        <w:tabs>
          <w:tab w:leader="none" w:pos="51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 кардиальный (15-20%). Легочные вены посред</w:t>
        <w:softHyphen/>
        <w:t>ством соединительной вены впадают в коронарный синус или непосредственно в правое предсердие.</w:t>
      </w:r>
    </w:p>
    <w:p>
      <w:pPr>
        <w:pStyle w:val="Style30"/>
        <w:numPr>
          <w:ilvl w:val="0"/>
          <w:numId w:val="49"/>
        </w:numPr>
        <w:tabs>
          <w:tab w:leader="none" w:pos="57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 инфракардиальный (15-20%). Легочные вены впадают в нижнюю полую вену, портальную вену или ве</w:t>
        <w:softHyphen/>
        <w:t>нозный проток.</w:t>
      </w:r>
    </w:p>
    <w:p>
      <w:pPr>
        <w:pStyle w:val="Style30"/>
        <w:numPr>
          <w:ilvl w:val="0"/>
          <w:numId w:val="49"/>
        </w:numPr>
        <w:tabs>
          <w:tab w:leader="none" w:pos="57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 смешанный (5-10%). Легочные вены могут дре</w:t>
        <w:softHyphen/>
        <w:t>нировать супракардиально, кардиально и инфракардиально.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Артериальная кровь из легочных вен поступает в правое предсердие, где смешивается с венозной кровью. В левое предсердие через межпредсердное сообщение поступает смешанная кровь, системная циркуляция обеднена кислоро</w:t>
        <w:softHyphen/>
        <w:t>дом. Обструкция легочных вен приводит к развитию легоч</w:t>
        <w:softHyphen/>
        <w:t>ной венозной гипертензии, а большой объем крови в правых отделах приводит к прекапиллярной легочной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numPr>
          <w:ilvl w:val="0"/>
          <w:numId w:val="43"/>
        </w:numPr>
        <w:tabs>
          <w:tab w:leader="none" w:pos="45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Проявления сердечной недостаточности возникают</w:t>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 периоде новорожденности:</w:t>
      </w:r>
    </w:p>
    <w:p>
      <w:pPr>
        <w:pStyle w:val="Style30"/>
        <w:numPr>
          <w:ilvl w:val="0"/>
          <w:numId w:val="45"/>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одышка;</w:t>
      </w:r>
    </w:p>
    <w:p>
      <w:pPr>
        <w:pStyle w:val="Style30"/>
        <w:numPr>
          <w:ilvl w:val="0"/>
          <w:numId w:val="45"/>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кашель;</w:t>
      </w:r>
    </w:p>
    <w:p>
      <w:pPr>
        <w:pStyle w:val="Style30"/>
        <w:numPr>
          <w:ilvl w:val="0"/>
          <w:numId w:val="45"/>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тахикардия;</w:t>
      </w:r>
    </w:p>
    <w:p>
      <w:pPr>
        <w:pStyle w:val="Style30"/>
        <w:numPr>
          <w:ilvl w:val="0"/>
          <w:numId w:val="45"/>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гепатомегалия;</w:t>
      </w:r>
    </w:p>
    <w:p>
      <w:pPr>
        <w:pStyle w:val="Style30"/>
        <w:numPr>
          <w:ilvl w:val="0"/>
          <w:numId w:val="45"/>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цианоз, усиливающийся при беспокойстве, крике.</w:t>
      </w:r>
    </w:p>
    <w:p>
      <w:pPr>
        <w:pStyle w:val="Style30"/>
        <w:numPr>
          <w:ilvl w:val="0"/>
          <w:numId w:val="43"/>
        </w:numPr>
        <w:tabs>
          <w:tab w:leader="none" w:pos="45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Отставание в физическом развитии.</w:t>
      </w:r>
    </w:p>
    <w:p>
      <w:pPr>
        <w:framePr w:h="3802" w:wrap="notBeside" w:vAnchor="text" w:hAnchor="text" w:xAlign="center" w:y="1"/>
        <w:widowControl w:val="0"/>
        <w:jc w:val="center"/>
        <w:rPr>
          <w:sz w:val="2"/>
          <w:szCs w:val="2"/>
        </w:rPr>
      </w:pPr>
      <w:r>
        <w:pict>
          <v:shape id="_x0000_s1219" type="#_x0000_t75" style="width:244pt;height:190pt;">
            <v:imagedata r:id="rId314" r:href="rId315"/>
          </v:shape>
        </w:pict>
      </w:r>
    </w:p>
    <w:p>
      <w:pPr>
        <w:pStyle w:val="Style33"/>
        <w:framePr w:h="3802" w:wrap="notBeside" w:vAnchor="text" w:hAnchor="text" w:xAlign="center" w:y="1"/>
        <w:widowControl w:val="0"/>
        <w:keepNext w:val="0"/>
        <w:keepLines w:val="0"/>
        <w:shd w:val="clear" w:color="auto" w:fill="auto"/>
        <w:bidi w:val="0"/>
        <w:jc w:val="both"/>
        <w:spacing w:before="0" w:after="0" w:line="202" w:lineRule="exact"/>
        <w:ind w:left="0" w:right="0" w:firstLine="0"/>
      </w:pPr>
      <w:r>
        <w:rPr>
          <w:lang w:val="ru-RU" w:eastAsia="ru-RU" w:bidi="ru-RU"/>
          <w:w w:val="100"/>
          <w:spacing w:val="0"/>
          <w:color w:val="000000"/>
          <w:position w:val="0"/>
        </w:rPr>
        <w:t xml:space="preserve">Рис. 23. Тотальный аномальный дренаж легочных вен: синусовый ритм, зубец </w:t>
      </w:r>
      <w:r>
        <w:rPr>
          <w:lang w:val="en-US" w:eastAsia="en-US" w:bidi="en-US"/>
          <w:w w:val="100"/>
          <w:spacing w:val="0"/>
          <w:color w:val="000000"/>
          <w:position w:val="0"/>
        </w:rPr>
        <w:t xml:space="preserve">P </w:t>
      </w:r>
      <w:r>
        <w:rPr>
          <w:lang w:val="ru-RU" w:eastAsia="ru-RU" w:bidi="ru-RU"/>
          <w:w w:val="100"/>
          <w:spacing w:val="0"/>
          <w:color w:val="000000"/>
          <w:position w:val="0"/>
        </w:rPr>
        <w:t>II</w:t>
      </w:r>
      <w:r>
        <w:rPr>
          <w:lang w:val="en-US" w:eastAsia="en-US" w:bidi="en-US"/>
          <w:w w:val="100"/>
          <w:spacing w:val="0"/>
          <w:color w:val="000000"/>
          <w:position w:val="0"/>
        </w:rPr>
        <w:t>V</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высокий, уширен, признаки гипертрофии мио</w:t>
        <w:softHyphen/>
        <w:t xml:space="preserve">карда правого желудочка (угол </w:t>
      </w:r>
      <w:r>
        <w:rPr>
          <w:lang w:val="en-US" w:eastAsia="en-US" w:bidi="en-US"/>
          <w:w w:val="100"/>
          <w:spacing w:val="0"/>
          <w:color w:val="000000"/>
          <w:position w:val="0"/>
        </w:rPr>
        <w:t xml:space="preserve">a QRS </w:t>
      </w:r>
      <w:r>
        <w:rPr>
          <w:lang w:val="ru-RU" w:eastAsia="ru-RU" w:bidi="ru-RU"/>
          <w:w w:val="100"/>
          <w:spacing w:val="0"/>
          <w:color w:val="000000"/>
          <w:position w:val="0"/>
        </w:rPr>
        <w:t xml:space="preserve">+142°), </w:t>
      </w:r>
      <w:r>
        <w:rPr>
          <w:lang w:val="en-US" w:eastAsia="en-US" w:bidi="en-US"/>
          <w:w w:val="100"/>
          <w:spacing w:val="0"/>
          <w:color w:val="000000"/>
          <w:position w:val="0"/>
        </w:rPr>
        <w:t>rsR 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увеличен </w:t>
      </w:r>
      <w:r>
        <w:rPr>
          <w:lang w:val="en-US" w:eastAsia="en-US" w:bidi="en-US"/>
          <w:w w:val="100"/>
          <w:spacing w:val="0"/>
          <w:color w:val="000000"/>
          <w:position w:val="0"/>
        </w:rPr>
        <w:t>R aVR, V</w:t>
      </w:r>
      <w:r>
        <w:rPr>
          <w:rStyle w:val="CharStyle68"/>
        </w:rPr>
        <w:t>1</w:t>
      </w:r>
      <w:r>
        <w:rPr>
          <w:lang w:val="en-US" w:eastAsia="en-US" w:bidi="en-US"/>
          <w:w w:val="100"/>
          <w:spacing w:val="0"/>
          <w:color w:val="000000"/>
          <w:position w:val="0"/>
        </w:rPr>
        <w:t>.</w:t>
      </w:r>
    </w:p>
    <w:p>
      <w:pPr>
        <w:widowControl w:val="0"/>
        <w:rPr>
          <w:sz w:val="2"/>
          <w:szCs w:val="2"/>
        </w:rPr>
      </w:pPr>
    </w:p>
    <w:p>
      <w:pPr>
        <w:pStyle w:val="Style30"/>
        <w:numPr>
          <w:ilvl w:val="0"/>
          <w:numId w:val="43"/>
        </w:numPr>
        <w:tabs>
          <w:tab w:leader="none" w:pos="498" w:val="left"/>
        </w:tabs>
        <w:widowControl w:val="0"/>
        <w:keepNext w:val="0"/>
        <w:keepLines w:val="0"/>
        <w:shd w:val="clear" w:color="auto" w:fill="auto"/>
        <w:bidi w:val="0"/>
        <w:jc w:val="left"/>
        <w:spacing w:before="561" w:after="0"/>
        <w:ind w:left="480" w:right="0" w:hanging="220"/>
      </w:pPr>
      <w:r>
        <w:rPr>
          <w:lang w:val="ru-RU" w:eastAsia="ru-RU" w:bidi="ru-RU"/>
          <w:w w:val="100"/>
          <w:spacing w:val="0"/>
          <w:color w:val="000000"/>
          <w:position w:val="0"/>
        </w:rPr>
        <w:t>Усиленная правосторонняя прекардиальная пульса</w:t>
        <w:softHyphen/>
        <w:t>ция при пальпации.</w:t>
      </w:r>
    </w:p>
    <w:p>
      <w:pPr>
        <w:pStyle w:val="Style30"/>
        <w:numPr>
          <w:ilvl w:val="0"/>
          <w:numId w:val="43"/>
        </w:numPr>
        <w:tabs>
          <w:tab w:leader="none" w:pos="49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Правосторонний сердечный горб.</w:t>
      </w:r>
    </w:p>
    <w:p>
      <w:pPr>
        <w:pStyle w:val="Style30"/>
        <w:numPr>
          <w:ilvl w:val="0"/>
          <w:numId w:val="43"/>
        </w:numPr>
        <w:tabs>
          <w:tab w:leader="none" w:pos="498" w:val="left"/>
        </w:tabs>
        <w:widowControl w:val="0"/>
        <w:keepNext w:val="0"/>
        <w:keepLines w:val="0"/>
        <w:shd w:val="clear" w:color="auto" w:fill="auto"/>
        <w:bidi w:val="0"/>
        <w:jc w:val="left"/>
        <w:spacing w:before="0" w:after="0"/>
        <w:ind w:left="480" w:right="0" w:hanging="220"/>
      </w:pPr>
      <w:r>
        <w:rPr>
          <w:lang w:val="ru-RU" w:eastAsia="ru-RU" w:bidi="ru-RU"/>
          <w:w w:val="100"/>
          <w:spacing w:val="0"/>
          <w:color w:val="000000"/>
          <w:position w:val="0"/>
        </w:rPr>
        <w:t>Усиление первого тона за счет трикуспидального компонента.</w:t>
      </w:r>
    </w:p>
    <w:p>
      <w:pPr>
        <w:pStyle w:val="Style30"/>
        <w:numPr>
          <w:ilvl w:val="0"/>
          <w:numId w:val="43"/>
        </w:numPr>
        <w:tabs>
          <w:tab w:leader="none" w:pos="49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Громкий второй тон за счет легочного компонента.</w:t>
      </w:r>
    </w:p>
    <w:p>
      <w:pPr>
        <w:pStyle w:val="Style30"/>
        <w:numPr>
          <w:ilvl w:val="0"/>
          <w:numId w:val="43"/>
        </w:numPr>
        <w:tabs>
          <w:tab w:leader="none" w:pos="49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Третий тон сердца.</w:t>
      </w:r>
    </w:p>
    <w:p>
      <w:pPr>
        <w:pStyle w:val="Style30"/>
        <w:numPr>
          <w:ilvl w:val="0"/>
          <w:numId w:val="43"/>
        </w:numPr>
        <w:tabs>
          <w:tab w:leader="none" w:pos="498" w:val="left"/>
        </w:tabs>
        <w:widowControl w:val="0"/>
        <w:keepNext w:val="0"/>
        <w:keepLines w:val="0"/>
        <w:shd w:val="clear" w:color="auto" w:fill="auto"/>
        <w:bidi w:val="0"/>
        <w:jc w:val="left"/>
        <w:spacing w:before="0" w:after="0"/>
        <w:ind w:left="480" w:right="0" w:hanging="220"/>
      </w:pPr>
      <w:r>
        <w:rPr>
          <w:lang w:val="ru-RU" w:eastAsia="ru-RU" w:bidi="ru-RU"/>
          <w:w w:val="100"/>
          <w:spacing w:val="0"/>
          <w:color w:val="000000"/>
          <w:position w:val="0"/>
        </w:rPr>
        <w:t>Систолический тон изгнания над легочной артерией (относительный стеноз).</w:t>
      </w:r>
    </w:p>
    <w:p>
      <w:pPr>
        <w:pStyle w:val="Style30"/>
        <w:numPr>
          <w:ilvl w:val="0"/>
          <w:numId w:val="43"/>
        </w:numPr>
        <w:tabs>
          <w:tab w:leader="none" w:pos="498" w:val="left"/>
        </w:tabs>
        <w:widowControl w:val="0"/>
        <w:keepNext w:val="0"/>
        <w:keepLines w:val="0"/>
        <w:shd w:val="clear" w:color="auto" w:fill="auto"/>
        <w:bidi w:val="0"/>
        <w:jc w:val="left"/>
        <w:spacing w:before="0" w:after="0"/>
        <w:ind w:left="480" w:right="0" w:hanging="220"/>
      </w:pPr>
      <w:r>
        <w:rPr>
          <w:lang w:val="ru-RU" w:eastAsia="ru-RU" w:bidi="ru-RU"/>
          <w:w w:val="100"/>
          <w:spacing w:val="0"/>
          <w:color w:val="000000"/>
          <w:position w:val="0"/>
        </w:rPr>
        <w:t>Мезодиастолический шум относительного стеноза трикуспидального клапана.</w:t>
      </w:r>
    </w:p>
    <w:p>
      <w:pPr>
        <w:pStyle w:val="Style30"/>
        <w:numPr>
          <w:ilvl w:val="0"/>
          <w:numId w:val="43"/>
        </w:numPr>
        <w:tabs>
          <w:tab w:leader="none" w:pos="498" w:val="left"/>
        </w:tabs>
        <w:widowControl w:val="0"/>
        <w:keepNext w:val="0"/>
        <w:keepLines w:val="0"/>
        <w:shd w:val="clear" w:color="auto" w:fill="auto"/>
        <w:bidi w:val="0"/>
        <w:jc w:val="left"/>
        <w:spacing w:before="0" w:after="0"/>
        <w:ind w:left="480" w:right="0" w:hanging="220"/>
      </w:pPr>
      <w:r>
        <w:rPr>
          <w:lang w:val="ru-RU" w:eastAsia="ru-RU" w:bidi="ru-RU"/>
          <w:w w:val="100"/>
          <w:spacing w:val="0"/>
          <w:color w:val="000000"/>
          <w:position w:val="0"/>
        </w:rPr>
        <w:t>Высокочастотный систолический шум трикуспи</w:t>
        <w:softHyphen/>
        <w:t>дальной недостаточности.</w:t>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Электрокардиография (рис. 23):</w:t>
      </w:r>
    </w:p>
    <w:p>
      <w:pPr>
        <w:pStyle w:val="Style30"/>
        <w:numPr>
          <w:ilvl w:val="0"/>
          <w:numId w:val="43"/>
        </w:numPr>
        <w:tabs>
          <w:tab w:leader="none" w:pos="49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Отклонение электрической оси сердца вправо.</w:t>
      </w:r>
    </w:p>
    <w:p>
      <w:pPr>
        <w:pStyle w:val="Style30"/>
        <w:numPr>
          <w:ilvl w:val="0"/>
          <w:numId w:val="43"/>
        </w:numPr>
        <w:tabs>
          <w:tab w:leader="none" w:pos="49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Перегрузка правого предсердия.</w:t>
      </w:r>
    </w:p>
    <w:p>
      <w:pPr>
        <w:pStyle w:val="Style30"/>
        <w:numPr>
          <w:ilvl w:val="0"/>
          <w:numId w:val="43"/>
        </w:numPr>
        <w:tabs>
          <w:tab w:leader="none" w:pos="49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Гипертрофия (перегрузка) правого желудочка.</w:t>
      </w:r>
    </w:p>
    <w:p>
      <w:pPr>
        <w:pStyle w:val="Style30"/>
        <w:numPr>
          <w:ilvl w:val="0"/>
          <w:numId w:val="43"/>
        </w:numPr>
        <w:tabs>
          <w:tab w:leader="none" w:pos="49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Рентгенография грудной клетки.</w:t>
      </w:r>
    </w:p>
    <w:p>
      <w:pPr>
        <w:pStyle w:val="Style30"/>
        <w:numPr>
          <w:ilvl w:val="0"/>
          <w:numId w:val="43"/>
        </w:numPr>
        <w:tabs>
          <w:tab w:leader="none" w:pos="498" w:val="left"/>
        </w:tabs>
        <w:widowControl w:val="0"/>
        <w:keepNext w:val="0"/>
        <w:keepLines w:val="0"/>
        <w:shd w:val="clear" w:color="auto" w:fill="auto"/>
        <w:bidi w:val="0"/>
        <w:jc w:val="left"/>
        <w:spacing w:before="0" w:after="0"/>
        <w:ind w:left="480" w:right="0" w:hanging="220"/>
      </w:pPr>
      <w:r>
        <w:rPr>
          <w:lang w:val="ru-RU" w:eastAsia="ru-RU" w:bidi="ru-RU"/>
          <w:w w:val="100"/>
          <w:spacing w:val="0"/>
          <w:color w:val="000000"/>
          <w:position w:val="0"/>
        </w:rPr>
        <w:t>Кардиомегалия за счет правых отделов (левые отделы сердца уменьшены.)</w:t>
      </w:r>
    </w:p>
    <w:p>
      <w:pPr>
        <w:pStyle w:val="Style30"/>
        <w:numPr>
          <w:ilvl w:val="0"/>
          <w:numId w:val="43"/>
        </w:numPr>
        <w:tabs>
          <w:tab w:leader="none" w:pos="498" w:val="left"/>
        </w:tabs>
        <w:widowControl w:val="0"/>
        <w:keepNext w:val="0"/>
        <w:keepLines w:val="0"/>
        <w:shd w:val="clear" w:color="auto" w:fill="auto"/>
        <w:bidi w:val="0"/>
        <w:jc w:val="left"/>
        <w:spacing w:before="0" w:after="0"/>
        <w:ind w:left="480" w:right="0" w:hanging="220"/>
      </w:pPr>
      <w:r>
        <w:rPr>
          <w:lang w:val="ru-RU" w:eastAsia="ru-RU" w:bidi="ru-RU"/>
          <w:w w:val="100"/>
          <w:spacing w:val="0"/>
          <w:color w:val="000000"/>
          <w:position w:val="0"/>
        </w:rPr>
        <w:t>При супракардиальном типе тень сердца имеет фор</w:t>
        <w:softHyphen/>
        <w:t>му «восьмерки» или «снежной бабы».</w:t>
      </w:r>
    </w:p>
    <w:p>
      <w:pPr>
        <w:pStyle w:val="Style30"/>
        <w:numPr>
          <w:ilvl w:val="0"/>
          <w:numId w:val="43"/>
        </w:numPr>
        <w:tabs>
          <w:tab w:leader="none" w:pos="498" w:val="left"/>
        </w:tabs>
        <w:widowControl w:val="0"/>
        <w:keepNext w:val="0"/>
        <w:keepLines w:val="0"/>
        <w:shd w:val="clear" w:color="auto" w:fill="auto"/>
        <w:bidi w:val="0"/>
        <w:jc w:val="left"/>
        <w:spacing w:before="0" w:after="0"/>
        <w:ind w:left="480" w:right="0" w:hanging="220"/>
      </w:pPr>
      <w:r>
        <w:rPr>
          <w:lang w:val="ru-RU" w:eastAsia="ru-RU" w:bidi="ru-RU"/>
          <w:w w:val="100"/>
          <w:spacing w:val="0"/>
          <w:color w:val="000000"/>
          <w:position w:val="0"/>
        </w:rPr>
        <w:t>Усиление легочного сосудистого рисунка по артери</w:t>
        <w:softHyphen/>
        <w:t>альному и венозному типу.</w:t>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Эхокардиография:</w:t>
      </w:r>
    </w:p>
    <w:p>
      <w:pPr>
        <w:pStyle w:val="Style30"/>
        <w:numPr>
          <w:ilvl w:val="0"/>
          <w:numId w:val="43"/>
        </w:numPr>
        <w:tabs>
          <w:tab w:leader="none" w:pos="49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Одномерная ЭхоКГ:</w:t>
      </w:r>
    </w:p>
    <w:p>
      <w:pPr>
        <w:pStyle w:val="Style30"/>
        <w:numPr>
          <w:ilvl w:val="0"/>
          <w:numId w:val="45"/>
        </w:numPr>
        <w:tabs>
          <w:tab w:leader="none" w:pos="715" w:val="left"/>
        </w:tabs>
        <w:widowControl w:val="0"/>
        <w:keepNext w:val="0"/>
        <w:keepLines w:val="0"/>
        <w:shd w:val="clear" w:color="auto" w:fill="auto"/>
        <w:bidi w:val="0"/>
        <w:spacing w:before="0" w:after="0"/>
        <w:ind w:left="720" w:right="0" w:hanging="240"/>
      </w:pPr>
      <w:r>
        <w:rPr>
          <w:lang w:val="ru-RU" w:eastAsia="ru-RU" w:bidi="ru-RU"/>
          <w:w w:val="100"/>
          <w:spacing w:val="0"/>
          <w:color w:val="000000"/>
          <w:position w:val="0"/>
        </w:rPr>
        <w:t>объемная перегрузка правого желудочка;</w:t>
      </w:r>
    </w:p>
    <w:p>
      <w:pPr>
        <w:pStyle w:val="Style30"/>
        <w:numPr>
          <w:ilvl w:val="0"/>
          <w:numId w:val="45"/>
        </w:numPr>
        <w:tabs>
          <w:tab w:leader="none" w:pos="715" w:val="left"/>
        </w:tabs>
        <w:widowControl w:val="0"/>
        <w:keepNext w:val="0"/>
        <w:keepLines w:val="0"/>
        <w:shd w:val="clear" w:color="auto" w:fill="auto"/>
        <w:bidi w:val="0"/>
        <w:spacing w:before="0" w:after="0"/>
        <w:ind w:left="720" w:right="0" w:hanging="240"/>
      </w:pPr>
      <w:r>
        <w:rPr>
          <w:lang w:val="ru-RU" w:eastAsia="ru-RU" w:bidi="ru-RU"/>
          <w:w w:val="100"/>
          <w:spacing w:val="0"/>
          <w:color w:val="000000"/>
          <w:position w:val="0"/>
        </w:rPr>
        <w:t>парадоксальное движение межжелудочковой пере - городки;</w:t>
      </w:r>
    </w:p>
    <w:p>
      <w:pPr>
        <w:pStyle w:val="Style30"/>
        <w:numPr>
          <w:ilvl w:val="0"/>
          <w:numId w:val="45"/>
        </w:numPr>
        <w:tabs>
          <w:tab w:leader="none" w:pos="715" w:val="left"/>
        </w:tabs>
        <w:widowControl w:val="0"/>
        <w:keepNext w:val="0"/>
        <w:keepLines w:val="0"/>
        <w:shd w:val="clear" w:color="auto" w:fill="auto"/>
        <w:bidi w:val="0"/>
        <w:spacing w:before="0" w:after="0"/>
        <w:ind w:left="720" w:right="0" w:hanging="240"/>
      </w:pPr>
      <w:r>
        <w:rPr>
          <w:lang w:val="ru-RU" w:eastAsia="ru-RU" w:bidi="ru-RU"/>
          <w:w w:val="100"/>
          <w:spacing w:val="0"/>
          <w:color w:val="000000"/>
          <w:position w:val="0"/>
        </w:rPr>
        <w:t>увеличение экскурсии трикуспидального клапана;</w:t>
      </w:r>
    </w:p>
    <w:p>
      <w:pPr>
        <w:pStyle w:val="Style30"/>
        <w:numPr>
          <w:ilvl w:val="0"/>
          <w:numId w:val="45"/>
        </w:numPr>
        <w:tabs>
          <w:tab w:leader="none" w:pos="715" w:val="left"/>
        </w:tabs>
        <w:widowControl w:val="0"/>
        <w:keepNext w:val="0"/>
        <w:keepLines w:val="0"/>
        <w:shd w:val="clear" w:color="auto" w:fill="auto"/>
        <w:bidi w:val="0"/>
        <w:spacing w:before="0" w:after="0"/>
        <w:ind w:left="720" w:right="0" w:hanging="240"/>
      </w:pPr>
      <w:r>
        <w:rPr>
          <w:lang w:val="ru-RU" w:eastAsia="ru-RU" w:bidi="ru-RU"/>
          <w:w w:val="100"/>
          <w:spacing w:val="0"/>
          <w:color w:val="000000"/>
          <w:position w:val="0"/>
        </w:rPr>
        <w:t>малые размеры левого предсердия;</w:t>
      </w:r>
    </w:p>
    <w:p>
      <w:pPr>
        <w:pStyle w:val="Style30"/>
        <w:numPr>
          <w:ilvl w:val="0"/>
          <w:numId w:val="45"/>
        </w:numPr>
        <w:tabs>
          <w:tab w:leader="none" w:pos="715" w:val="left"/>
        </w:tabs>
        <w:widowControl w:val="0"/>
        <w:keepNext w:val="0"/>
        <w:keepLines w:val="0"/>
        <w:shd w:val="clear" w:color="auto" w:fill="auto"/>
        <w:bidi w:val="0"/>
        <w:spacing w:before="0" w:after="0"/>
        <w:ind w:left="720" w:right="0" w:hanging="240"/>
      </w:pPr>
      <w:r>
        <w:rPr>
          <w:lang w:val="ru-RU" w:eastAsia="ru-RU" w:bidi="ru-RU"/>
          <w:w w:val="100"/>
          <w:spacing w:val="0"/>
          <w:color w:val="000000"/>
          <w:position w:val="0"/>
        </w:rPr>
        <w:t>уменьшенный размер левого желудочка;</w:t>
      </w:r>
    </w:p>
    <w:p>
      <w:pPr>
        <w:pStyle w:val="Style30"/>
        <w:numPr>
          <w:ilvl w:val="0"/>
          <w:numId w:val="45"/>
        </w:numPr>
        <w:tabs>
          <w:tab w:leader="none" w:pos="715" w:val="left"/>
        </w:tabs>
        <w:widowControl w:val="0"/>
        <w:keepNext w:val="0"/>
        <w:keepLines w:val="0"/>
        <w:shd w:val="clear" w:color="auto" w:fill="auto"/>
        <w:bidi w:val="0"/>
        <w:spacing w:before="0" w:after="0"/>
        <w:ind w:left="720" w:right="0" w:hanging="240"/>
      </w:pPr>
      <w:r>
        <w:pict>
          <v:shape id="_x0000_s1220" type="#_x0000_t75" style="position:absolute;margin-left:148.1pt;margin-top:740.2pt;width:209.75pt;height:14.9pt;z-index:-125829253;mso-wrap-distance-left:148.1pt;mso-wrap-distance-right:138.7pt;mso-wrap-distance-bottom:20.pt;mso-position-horizontal-relative:margin;mso-position-vertical-relative:margin" wrapcoords="0 0 21600 0 21600 21600 0 21600 0 0">
            <v:imagedata r:id="rId316" r:href="rId317"/>
            <w10:wrap type="topAndBottom" anchorx="margin" anchory="margin"/>
          </v:shape>
        </w:pict>
      </w:r>
      <w:r>
        <w:rPr>
          <w:lang w:val="ru-RU" w:eastAsia="ru-RU" w:bidi="ru-RU"/>
          <w:w w:val="100"/>
          <w:spacing w:val="0"/>
          <w:color w:val="000000"/>
          <w:position w:val="0"/>
        </w:rPr>
        <w:t>эхосвободное пространство позади левого пред</w:t>
        <w:softHyphen/>
        <w:t>сердия (при впадении легочных вен в коронарный синус).</w:t>
      </w:r>
      <w:r>
        <w:br w:type="page"/>
      </w:r>
    </w:p>
    <w:p>
      <w:pPr>
        <w:pStyle w:val="Style30"/>
        <w:numPr>
          <w:ilvl w:val="0"/>
          <w:numId w:val="43"/>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Двухмерная ЭхоКГ и допплер:</w:t>
      </w:r>
    </w:p>
    <w:p>
      <w:pPr>
        <w:pStyle w:val="Style30"/>
        <w:numPr>
          <w:ilvl w:val="0"/>
          <w:numId w:val="45"/>
        </w:numPr>
        <w:tabs>
          <w:tab w:leader="none" w:pos="759"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непосредственная визуализация места впадения легочных вен в правое предсердие или полые вены;</w:t>
      </w:r>
    </w:p>
    <w:p>
      <w:pPr>
        <w:pStyle w:val="Style30"/>
        <w:numPr>
          <w:ilvl w:val="0"/>
          <w:numId w:val="45"/>
        </w:numPr>
        <w:tabs>
          <w:tab w:leader="none" w:pos="759"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оценка величины межпредсердного право-левого шунтирования;</w:t>
      </w:r>
    </w:p>
    <w:p>
      <w:pPr>
        <w:pStyle w:val="Style30"/>
        <w:numPr>
          <w:ilvl w:val="0"/>
          <w:numId w:val="45"/>
        </w:numPr>
        <w:tabs>
          <w:tab w:leader="none" w:pos="759"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оценка параметров легочного кровообращения;</w:t>
      </w:r>
    </w:p>
    <w:p>
      <w:pPr>
        <w:pStyle w:val="Style30"/>
        <w:numPr>
          <w:ilvl w:val="0"/>
          <w:numId w:val="45"/>
        </w:numPr>
        <w:tabs>
          <w:tab w:leader="none" w:pos="759"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оценка параметров правожелудочковой дисфунк</w:t>
        <w:softHyphen/>
        <w:t>ции;</w:t>
      </w:r>
    </w:p>
    <w:p>
      <w:pPr>
        <w:pStyle w:val="Style30"/>
        <w:numPr>
          <w:ilvl w:val="0"/>
          <w:numId w:val="45"/>
        </w:numPr>
        <w:tabs>
          <w:tab w:leader="none" w:pos="759"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определение наличия трикуспидальной регургита- 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Катетеризация полостей сердца:</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Проводится при неудовлетворительных результатах эхокардиографического исследования.</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тотальном аномальном дренаже легочных вен насыщение крови кислородом практически одина</w:t>
        <w:softHyphen/>
        <w:t>ковое во всех камерах сердца, достигает 90% и бо</w:t>
        <w:softHyphen/>
        <w:t>лее.</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Позволяет выявить тип тотального аномального дре</w:t>
        <w:softHyphen/>
        <w:t>нажа.</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недостаточной величине шунтирования через межпредсердную перегородку может быть выполнена атриосептостомия по Рашкинду.</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Дифференциальным диагноз</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Атрезия трикуспидального клапана.</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Трехпредсердное сердце.</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Веноокклюзивное заболевание легких.</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Врожденный митральный стеноз.</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Медикаментозная терапия</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 правожелудочковой недостаточности (сер</w:t>
        <w:softHyphen/>
        <w:t>дечные гликозиды — дигоксин; негликозидные инот- ропные средства — допамин, добутамин, амринон; мочегонные — фуросемид, лазикс).</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 легочной гипертензии (вазодилататоры, простагландин, оксид азота).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Хирургическое лечение</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кардиальном типе тотального аномального дре</w:t>
        <w:softHyphen/>
        <w:t>нажа создают межпредсердный дефект и накладыва</w:t>
        <w:softHyphen/>
        <w:t>ют заплату, направляющую кровь из легочных вен че</w:t>
        <w:softHyphen/>
        <w:t>рез дефект в левое предсердие.</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супракардиальном и инфракардиальном типах накладывается анастомоз между коллектором легоч</w:t>
        <w:softHyphen/>
        <w:t>ных вен и левым предсердием.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Правожелудочковая декомпенсация.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Развитие высокой легочной гипертензии.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своевременной коррекции порока прогноз относи</w:t>
        <w:softHyphen/>
        <w:t>тельно благоприятный, послеоперационная летальность не превышает 5%.</w:t>
      </w:r>
    </w:p>
    <w:p>
      <w:pPr>
        <w:pStyle w:val="Style30"/>
        <w:widowControl w:val="0"/>
        <w:keepNext w:val="0"/>
        <w:keepLines w:val="0"/>
        <w:shd w:val="clear" w:color="auto" w:fill="auto"/>
        <w:bidi w:val="0"/>
        <w:spacing w:before="0" w:after="253"/>
        <w:ind w:left="0" w:right="0" w:firstLine="280"/>
      </w:pPr>
      <w:r>
        <w:rPr>
          <w:lang w:val="ru-RU" w:eastAsia="ru-RU" w:bidi="ru-RU"/>
          <w:w w:val="100"/>
          <w:spacing w:val="0"/>
          <w:color w:val="000000"/>
          <w:position w:val="0"/>
        </w:rPr>
        <w:t>При сформировавшейся высокой легочной гипертензии прогноз неудовлетворительный.</w:t>
      </w:r>
    </w:p>
    <w:p>
      <w:pPr>
        <w:pStyle w:val="Style48"/>
        <w:widowControl w:val="0"/>
        <w:keepNext/>
        <w:keepLines/>
        <w:shd w:val="clear" w:color="auto" w:fill="auto"/>
        <w:bidi w:val="0"/>
        <w:jc w:val="left"/>
        <w:spacing w:before="0" w:after="41" w:line="200" w:lineRule="exact"/>
        <w:ind w:left="0" w:right="0" w:firstLine="0"/>
      </w:pPr>
      <w:bookmarkStart w:id="349" w:name="bookmark349"/>
      <w:r>
        <w:rPr>
          <w:lang w:val="ru-RU" w:eastAsia="ru-RU" w:bidi="ru-RU"/>
          <w:w w:val="100"/>
          <w:spacing w:val="0"/>
          <w:color w:val="000000"/>
          <w:position w:val="0"/>
        </w:rPr>
        <w:t>Частичный аномальный дренаж легочных вен</w:t>
      </w:r>
      <w:bookmarkEnd w:id="34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частичном аномальном дренаже одна или несколь</w:t>
        <w:softHyphen/>
        <w:t>ко (не более трех) легочных вен дренируют насыщенную кислородом кровь в системные полые вены или правое предсердие. Практически обязательным элементом порока является дефект межпредсердной перегородки.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4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Частичный аномальный дренаж легочных вен встре</w:t>
        <w:softHyphen/>
        <w:t>чается в 1-2% случаев среди всех ВПС.</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Частота аномального дренажа может быть выше, по</w:t>
        <w:softHyphen/>
        <w:t>скольку порок может протекать без клинических про</w:t>
        <w:softHyphen/>
        <w:t>явлений.</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Среди всех форм аномального дренажа частичный аномальный дренаж составляет 1/3 случаев.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 практически одинаково часто наблюдается у мальчиков и девочек с незначительным преобладанием мальчиков.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 может выявляться в любом возрасте, наиболее часто в 5-8 лет.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Морфология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Как и при тотальном аномальном дренаже легочных вен, выделяют четыре морфологических типа порока:</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Супракардиальный тип — часть легочных вен (1-3) впадает в верхнюю полую вену, реже безымянную.</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Кардиальный тип — часть легочных вен впадает в ко</w:t>
        <w:softHyphen/>
        <w:t>ронарный синус или (реже) в правое предсердие.</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Инфракардиальный тип — часть легочных вен впада - ет в нижнюю полую вену или в портальную вену.</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Смешанный тип — часть легочных вен впадает супра - кардиально, инфракардиально или кардиально.</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Аномально впадающие легочные вены увеличивают на</w:t>
        <w:softHyphen/>
        <w:t>грузку на правое предсердие, величина легочной гиперволе - мии определяется количеством аномальных вен и размером ДМПП. Обычно легочная гипертензия развивается поздно.</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аномальном дренировании одной легочной вены и отсутствии дефекта межпредсердной перегородки порок может не сопровождаться клиническими про</w:t>
        <w:softHyphen/>
        <w:t>явлениями.</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Иногда частичный аномальный дренаж выявляется случайно при обследовании ребенка по поводу ДМПП. Заподозрить аномальный дренаж легочных вен при ДМПП можно по уменьшенным размерам (из-за недогрузки) левых отделов сердца.</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Жалобы могут длительное время отсутствовать. Посте</w:t>
        <w:softHyphen/>
        <w:t>пенно при прогрессировании легочной артериальной гипертензии появляется следующая симптоматика:</w:t>
      </w:r>
    </w:p>
    <w:p>
      <w:pPr>
        <w:pStyle w:val="Style30"/>
        <w:numPr>
          <w:ilvl w:val="0"/>
          <w:numId w:val="45"/>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плохая переносимость физических нагрузок;</w:t>
      </w:r>
    </w:p>
    <w:p>
      <w:pPr>
        <w:pStyle w:val="Style30"/>
        <w:numPr>
          <w:ilvl w:val="0"/>
          <w:numId w:val="45"/>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повышенная утомляемость;</w:t>
      </w:r>
    </w:p>
    <w:p>
      <w:pPr>
        <w:pStyle w:val="Style30"/>
        <w:numPr>
          <w:ilvl w:val="0"/>
          <w:numId w:val="45"/>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одышка;</w:t>
      </w:r>
    </w:p>
    <w:p>
      <w:pPr>
        <w:pStyle w:val="Style30"/>
        <w:numPr>
          <w:ilvl w:val="0"/>
          <w:numId w:val="45"/>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правожелудочковая недостаточность.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физикальном обследовании выявляются симпто</w:t>
        <w:softHyphen/>
        <w:t>мы, связанные с легочной гиперволемией и правожелудоч</w:t>
        <w:softHyphen/>
        <w:t>ковой недостаточностью:</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Ослабление трикуспидального компонента первого тона сердца.</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Усиление легочного компонента второго тона во 2-3 межреберье слева.</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Увеличение печени.</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Систолический шум изгнания в проекции легочной артерии.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Электрокардиография:</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Перегрузка (гипертрофия) правого предсердия.</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Перегрузка правого желудочка.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Рентгенография грудной клетки:</w:t>
      </w:r>
    </w:p>
    <w:p>
      <w:pPr>
        <w:pStyle w:val="Style30"/>
        <w:numPr>
          <w:ilvl w:val="0"/>
          <w:numId w:val="43"/>
        </w:numPr>
        <w:tabs>
          <w:tab w:leader="none" w:pos="517" w:val="left"/>
        </w:tabs>
        <w:widowControl w:val="0"/>
        <w:keepNext w:val="0"/>
        <w:keepLines w:val="0"/>
        <w:shd w:val="clear" w:color="auto" w:fill="auto"/>
        <w:bidi w:val="0"/>
        <w:spacing w:before="0" w:after="0"/>
        <w:ind w:left="520" w:right="0" w:hanging="240"/>
      </w:pPr>
      <w:r>
        <w:pict>
          <v:shape id="_x0000_s1221" type="#_x0000_t75" style="position:absolute;margin-left:137.65pt;margin-top:740.2pt;width:209.75pt;height:14.9pt;z-index:-125829252;mso-wrap-distance-left:136.55pt;mso-wrap-distance-right:148.1pt;mso-wrap-distance-bottom:20.pt;mso-position-horizontal-relative:margin;mso-position-vertical-relative:margin" wrapcoords="0 0 21600 0 21600 21600 0 21600 0 0">
            <v:imagedata r:id="rId318" r:href="rId319"/>
            <w10:wrap type="topAndBottom" anchorx="margin" anchory="margin"/>
          </v:shape>
        </w:pict>
      </w:r>
      <w:r>
        <w:rPr>
          <w:lang w:val="ru-RU" w:eastAsia="ru-RU" w:bidi="ru-RU"/>
          <w:w w:val="100"/>
          <w:spacing w:val="0"/>
          <w:color w:val="000000"/>
          <w:position w:val="0"/>
        </w:rPr>
        <w:t>Умеренное увеличение тени сердца за счет правых от - делов.</w:t>
      </w:r>
      <w:r>
        <w:br w:type="page"/>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Усиление легочного сосудистого рисунка по артери</w:t>
        <w:softHyphen/>
        <w:t>альному типу.</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Рентгенологический симптом «турецкой сабли» при инфракардиальном частичном аномальном дре</w:t>
        <w:softHyphen/>
        <w:t>наже в нижнюю полую вену. Видна овальной формы тень вдоль правой границы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Эхокардиографические признаки дефекта межпред</w:t>
        <w:softHyphen/>
        <w:t>сердной перегородки (визуализируется сам дефект и объемная перегрузка правого желудочка).</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Заподозрить частичный аномальный дренаж легоч</w:t>
        <w:softHyphen/>
        <w:t>ных вен позволяет несоответствие размера ДМПП размеру левого предсердия.</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Чрезпищеводная эхокардиография позволяет непо</w:t>
        <w:softHyphen/>
        <w:t>средственно визуализировать аномально впадающие легочные вены в системные полые вены, коронарный синус или непосредственно в правое предсердие.</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Проводится оценка параметров легочной гемодина</w:t>
        <w:softHyphen/>
        <w:t>мики и функции правого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Катетеризация сердца:</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Выявляется повышенная артериализация крови в правом предсердии.</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катетеризации зонд, вводимый в правое пред</w:t>
        <w:softHyphen/>
        <w:t>сердие, может непосредственно попадать в аномаль</w:t>
        <w:softHyphen/>
        <w:t>ную легочную вену, минуя правый желудочек.</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Введение контрастного вещества позволяет визуали</w:t>
        <w:softHyphen/>
        <w:t>зировать аномально впадающие легочные вены.</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Проводится оценка легочного артериального давле</w:t>
        <w:softHyphen/>
        <w:t>ния и легочного сосудистого сопротивления.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Назначение сердечных гликозидов и мочегонных препаратов предупреждает развитие правожелудоч</w:t>
        <w:softHyphen/>
        <w:t>ковой недостаточности.</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случае возникновения легочной артериальной ги</w:t>
        <w:softHyphen/>
        <w:t>пертензии назначаются вазодилататоры (см. лечение вторичной ЛГ).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Существует большое число вариантов хирургической коррекции порока, суть которых заключается в разделении смешивания артериальной крови с венозной путем созда</w:t>
        <w:softHyphen/>
        <w:t>ния дополнительных туннелей, непосредственной имплан</w:t>
        <w:softHyphen/>
        <w:t>тации легочной вены в левое предсердие.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w:t>
      </w:r>
    </w:p>
    <w:p>
      <w:pPr>
        <w:pStyle w:val="Style30"/>
        <w:numPr>
          <w:ilvl w:val="0"/>
          <w:numId w:val="4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Правожелудочковая недостаточность.</w:t>
      </w:r>
    </w:p>
    <w:p>
      <w:pPr>
        <w:pStyle w:val="Style30"/>
        <w:numPr>
          <w:ilvl w:val="0"/>
          <w:numId w:val="4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Высокая легочная гипертензия.</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Развитие аритмий (мерцание, трепетание предсер</w:t>
        <w:softHyphen/>
        <w:t>дий).</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Возникновение послеоперационных блокад проведе</w:t>
        <w:softHyphen/>
        <w:t>ния импульса.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В большинстве случаев удовлетворительный. Послеопе</w:t>
        <w:softHyphen/>
        <w:t>рационная летальность не превышает 2%.</w:t>
      </w:r>
    </w:p>
    <w:p>
      <w:pPr>
        <w:pStyle w:val="Style28"/>
        <w:widowControl w:val="0"/>
        <w:keepNext/>
        <w:keepLines/>
        <w:shd w:val="clear" w:color="auto" w:fill="auto"/>
        <w:bidi w:val="0"/>
        <w:jc w:val="left"/>
        <w:spacing w:before="0" w:after="157" w:line="220" w:lineRule="exact"/>
        <w:ind w:left="0" w:right="0" w:firstLine="0"/>
      </w:pPr>
      <w:bookmarkStart w:id="350" w:name="bookmark350"/>
      <w:r>
        <w:rPr>
          <w:lang w:val="ru-RU" w:eastAsia="ru-RU" w:bidi="ru-RU"/>
          <w:w w:val="100"/>
          <w:spacing w:val="0"/>
          <w:color w:val="000000"/>
          <w:position w:val="0"/>
        </w:rPr>
        <w:t>Транспозиция магистральных сосудов</w:t>
      </w:r>
      <w:bookmarkEnd w:id="35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Под транспозицией магистральных сосудов (ТМС) пони</w:t>
        <w:softHyphen/>
        <w:t>мают врожденный порок сердца, при котором аорта отходит от морфологически правого желудочка, а легочная арте</w:t>
        <w:softHyphen/>
        <w:t>рия — от морфологически левого желудочка. Аорта располо</w:t>
        <w:softHyphen/>
        <w:t xml:space="preserve">жена спереди и слева от легочной артерии </w:t>
      </w:r>
      <w:r>
        <w:rPr>
          <w:lang w:val="en-US" w:eastAsia="en-US" w:bidi="en-US"/>
          <w:w w:val="100"/>
          <w:spacing w:val="0"/>
          <w:color w:val="000000"/>
          <w:position w:val="0"/>
        </w:rPr>
        <w:t>(L</w:t>
      </w:r>
      <w:r>
        <w:rPr>
          <w:lang w:val="ru-RU" w:eastAsia="ru-RU" w:bidi="ru-RU"/>
          <w:w w:val="100"/>
          <w:spacing w:val="0"/>
          <w:color w:val="000000"/>
          <w:position w:val="0"/>
        </w:rPr>
        <w:t xml:space="preserve">-транспозиция) или спереди и справа </w:t>
      </w:r>
      <w:r>
        <w:rPr>
          <w:lang w:val="en-US" w:eastAsia="en-US" w:bidi="en-US"/>
          <w:w w:val="100"/>
          <w:spacing w:val="0"/>
          <w:color w:val="000000"/>
          <w:position w:val="0"/>
        </w:rPr>
        <w:t>(D</w:t>
      </w:r>
      <w:r>
        <w:rPr>
          <w:lang w:val="ru-RU" w:eastAsia="ru-RU" w:bidi="ru-RU"/>
          <w:w w:val="100"/>
          <w:spacing w:val="0"/>
          <w:color w:val="000000"/>
          <w:position w:val="0"/>
        </w:rPr>
        <w:t>-транспозиция). Магистральные со</w:t>
        <w:softHyphen/>
        <w:t>суды располагаются бок о бок и не перекрещиваются.</w:t>
      </w:r>
    </w:p>
    <w:p>
      <w:pPr>
        <w:pStyle w:val="Style92"/>
        <w:widowControl w:val="0"/>
        <w:keepNext/>
        <w:keepLines/>
        <w:shd w:val="clear" w:color="auto" w:fill="auto"/>
        <w:bidi w:val="0"/>
        <w:spacing w:before="0" w:after="0"/>
        <w:ind w:left="520" w:right="0" w:hanging="240"/>
      </w:pPr>
      <w:r>
        <w:br w:type="column"/>
      </w:r>
      <w:bookmarkStart w:id="351" w:name="bookmark351"/>
      <w:r>
        <w:rPr>
          <w:lang w:val="ru-RU" w:eastAsia="ru-RU" w:bidi="ru-RU"/>
          <w:w w:val="100"/>
          <w:spacing w:val="0"/>
          <w:color w:val="000000"/>
          <w:position w:val="0"/>
        </w:rPr>
        <w:t>Частота</w:t>
      </w:r>
      <w:bookmarkEnd w:id="35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ТМС составляет 6-10% среди всех ВПС. С воз</w:t>
        <w:softHyphen/>
        <w:t>растом частота обнаружения ТМС уменьшается из -за высо - кой смертности таких больных.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ТМС в 70% обнаруживается у мальчиков.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Анатомия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Существует большое число вариантов ТМС. Основными анатомическими типами являются:</w:t>
      </w:r>
    </w:p>
    <w:p>
      <w:pPr>
        <w:pStyle w:val="Style30"/>
        <w:numPr>
          <w:ilvl w:val="0"/>
          <w:numId w:val="4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ТМС с интактной межжелудочковой перегородкой.</w:t>
      </w:r>
    </w:p>
    <w:p>
      <w:pPr>
        <w:pStyle w:val="Style30"/>
        <w:numPr>
          <w:ilvl w:val="0"/>
          <w:numId w:val="4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ТМС с дефектом межжелудочковой перегородки.</w:t>
      </w:r>
    </w:p>
    <w:p>
      <w:pPr>
        <w:pStyle w:val="Style30"/>
        <w:numPr>
          <w:ilvl w:val="0"/>
          <w:numId w:val="4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ТМС с дефектом межжелудочковой перегородки и обструкцией выводного тракта левого желудочка.</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ТМС с дефектом межжелудочковой перегородки и обструктивным заболеванием сосудов легких (ле</w:t>
        <w:softHyphen/>
        <w:t>гочной гипертензией).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ТМС часто сопутствуют ДМЖП, стеноз легочной арте</w:t>
        <w:softHyphen/>
        <w:t>рии (клапанный, подклапанный, комбинированный), ано</w:t>
        <w:softHyphen/>
        <w:t>малии расположения.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 большой частотой при ТМС определяются аномалии коронарного кровообращения: отхождение левой огибаю</w:t>
        <w:softHyphen/>
        <w:t>щей коронарной артерии от правой коронарной артерии (22%), единая правая коронарная артерия (9,5%), единая левая коронарная артерия (3%), инвертированное отхожде</w:t>
        <w:softHyphen/>
        <w:t>ние коронарных артерий (3%).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10% случаев ТМС сочетается с экстракардиальными аномалиями.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Основными патофизиологическими нарушениями, возникающими при ТМС, являются гипоксемия и легочная гиперволемия.</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ТМС аорта, отходящая от правого желудочка, несет венозную кровь, которая, пройдя системный круг, возвращается через полые вены в правое пред</w:t>
        <w:softHyphen/>
        <w:t>сердие. Артериальная кровь легочной артерии, отхо</w:t>
        <w:softHyphen/>
        <w:t>дящей от левого желудочка, пройдя через легкие, воз</w:t>
        <w:softHyphen/>
        <w:t>вращается в левое предсердие. Большой и малый круг кровообращения разобщены. Жизнь ребенка воз</w:t>
        <w:softHyphen/>
        <w:t>можна только при наличии сообщения между ними. Это осуществляется за счет 3 главных коммуникаций:</w:t>
      </w:r>
    </w:p>
    <w:p>
      <w:pPr>
        <w:pStyle w:val="Style30"/>
        <w:numPr>
          <w:ilvl w:val="0"/>
          <w:numId w:val="45"/>
        </w:numPr>
        <w:tabs>
          <w:tab w:leader="none" w:pos="752"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открытый артериальный проток;</w:t>
      </w:r>
    </w:p>
    <w:p>
      <w:pPr>
        <w:pStyle w:val="Style30"/>
        <w:numPr>
          <w:ilvl w:val="0"/>
          <w:numId w:val="45"/>
        </w:numPr>
        <w:tabs>
          <w:tab w:leader="none" w:pos="752"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дефект межжелудочковой перегородки;</w:t>
      </w:r>
    </w:p>
    <w:p>
      <w:pPr>
        <w:pStyle w:val="Style30"/>
        <w:numPr>
          <w:ilvl w:val="0"/>
          <w:numId w:val="45"/>
        </w:numPr>
        <w:tabs>
          <w:tab w:leader="none" w:pos="752"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дефект межпредсердной перегородки.</w:t>
      </w:r>
    </w:p>
    <w:p>
      <w:pPr>
        <w:pStyle w:val="Style30"/>
        <w:numPr>
          <w:ilvl w:val="0"/>
          <w:numId w:val="4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Шунтирование крови при ТМС всегда двухстороннее.</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рождении с падением легочного сосудистого со</w:t>
        <w:softHyphen/>
        <w:t>противления происходит веноартериальный сброс крови через ОАП. Резко возрастает объем циркулиру</w:t>
        <w:softHyphen/>
        <w:t>ющей крови в малом круге кровообращения, что при</w:t>
        <w:softHyphen/>
        <w:t>водит к сбросу крови слева направо через овальное окно или межпредсердный дефект.</w:t>
      </w:r>
    </w:p>
    <w:p>
      <w:pPr>
        <w:pStyle w:val="Style30"/>
        <w:numPr>
          <w:ilvl w:val="0"/>
          <w:numId w:val="4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Двунаправленный сброс крови происходит при нали - чии ДМЖП: справа налево — во время систолы и сле</w:t>
        <w:softHyphen/>
        <w:t>ва направо — во время диастолы. При сопутствую</w:t>
        <w:softHyphen/>
        <w:t>щем стенозе легочной артерии или высоком сопро</w:t>
        <w:softHyphen/>
        <w:t>тивлении в легочных сосудах шунтирование через ДМЖП осуществляется в другом порядке: слева на</w:t>
        <w:softHyphen/>
        <w:t>право — в систолу и справа налево — в диастолу.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проявления зависят от анатомического ва</w:t>
        <w:softHyphen/>
        <w:t>рианта ТМС.</w:t>
      </w:r>
    </w:p>
    <w:p>
      <w:pPr>
        <w:pStyle w:val="Style30"/>
        <w:numPr>
          <w:ilvl w:val="0"/>
          <w:numId w:val="4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ТМС без дефекта межжелудочковой перегородки:</w:t>
      </w:r>
    </w:p>
    <w:p>
      <w:pPr>
        <w:pStyle w:val="Style30"/>
        <w:numPr>
          <w:ilvl w:val="0"/>
          <w:numId w:val="45"/>
        </w:numPr>
        <w:tabs>
          <w:tab w:leader="none" w:pos="752" w:val="left"/>
        </w:tabs>
        <w:widowControl w:val="0"/>
        <w:keepNext w:val="0"/>
        <w:keepLines w:val="0"/>
        <w:shd w:val="clear" w:color="auto" w:fill="auto"/>
        <w:bidi w:val="0"/>
        <w:spacing w:before="0" w:after="0"/>
        <w:ind w:left="520" w:right="0" w:firstLine="0"/>
      </w:pPr>
      <w:r>
        <w:pict>
          <v:shape id="_x0000_s1222" type="#_x0000_t75" style="position:absolute;margin-left:149.05pt;margin-top:740.2pt;width:209.75pt;height:14.9pt;z-index:-125829251;mso-wrap-distance-left:147.85pt;mso-wrap-distance-right:136.55pt;mso-wrap-distance-bottom:20.pt;mso-position-horizontal-relative:margin;mso-position-vertical-relative:margin" wrapcoords="0 0 21600 0 21600 21600 0 21600 0 0">
            <v:imagedata r:id="rId320" r:href="rId321"/>
            <w10:wrap type="topAndBottom" anchorx="margin" anchory="margin"/>
          </v:shape>
        </w:pict>
      </w:r>
      <w:r>
        <w:rPr>
          <w:lang w:val="ru-RU" w:eastAsia="ru-RU" w:bidi="ru-RU"/>
          <w:w w:val="100"/>
          <w:spacing w:val="0"/>
          <w:color w:val="000000"/>
          <w:position w:val="0"/>
        </w:rPr>
        <w:t>цианоз появляется в первые 24 часа после рождения.</w:t>
      </w:r>
      <w:r>
        <w:br w:type="page"/>
      </w:r>
    </w:p>
    <w:p>
      <w:pPr>
        <w:framePr w:w="4795" w:h="3374" w:hSpace="41" w:wrap="notBeside" w:vAnchor="text" w:hAnchor="text" w:x="66" w:y="1"/>
        <w:widowControl w:val="0"/>
        <w:rPr>
          <w:sz w:val="2"/>
          <w:szCs w:val="2"/>
        </w:rPr>
      </w:pPr>
      <w:r>
        <w:pict>
          <v:shape id="_x0000_s1223" type="#_x0000_t75" style="width:240pt;height:169pt;">
            <v:imagedata r:id="rId322" r:href="rId323"/>
          </v:shape>
        </w:pict>
      </w:r>
    </w:p>
    <w:p>
      <w:pPr>
        <w:pStyle w:val="Style120"/>
        <w:framePr w:w="4819" w:h="633" w:hSpace="41" w:wrap="notBeside" w:vAnchor="text" w:hAnchor="text" w:x="42" w:y="3860"/>
        <w:widowControl w:val="0"/>
        <w:keepNext w:val="0"/>
        <w:keepLines w:val="0"/>
        <w:shd w:val="clear" w:color="auto" w:fill="auto"/>
        <w:bidi w:val="0"/>
        <w:spacing w:before="0" w:after="0"/>
        <w:ind w:left="0" w:right="0" w:firstLine="0"/>
      </w:pPr>
      <w:r>
        <w:rPr>
          <w:rStyle w:val="CharStyle125"/>
        </w:rPr>
        <w:t xml:space="preserve">Рис. 24. </w:t>
      </w:r>
      <w:r>
        <w:rPr>
          <w:lang w:val="ru-RU" w:eastAsia="ru-RU" w:bidi="ru-RU"/>
          <w:w w:val="100"/>
          <w:spacing w:val="0"/>
          <w:color w:val="000000"/>
          <w:position w:val="0"/>
        </w:rPr>
        <w:t>Транспозиция магистральных сосудов: электрическая ось сердца отклонена вправо, признаки гипертрофии (перегрузки) правого желудочка, перегрузка предсердий.</w:t>
      </w:r>
    </w:p>
    <w:p>
      <w:pPr>
        <w:widowControl w:val="0"/>
        <w:rPr>
          <w:sz w:val="2"/>
          <w:szCs w:val="2"/>
        </w:rPr>
      </w:pPr>
    </w:p>
    <w:p>
      <w:pPr>
        <w:pStyle w:val="Style30"/>
        <w:numPr>
          <w:ilvl w:val="0"/>
          <w:numId w:val="43"/>
        </w:numPr>
        <w:tabs>
          <w:tab w:leader="none" w:pos="476" w:val="left"/>
        </w:tabs>
        <w:widowControl w:val="0"/>
        <w:keepNext w:val="0"/>
        <w:keepLines w:val="0"/>
        <w:shd w:val="clear" w:color="auto" w:fill="auto"/>
        <w:bidi w:val="0"/>
        <w:spacing w:before="561" w:after="0"/>
        <w:ind w:left="240" w:right="0" w:firstLine="0"/>
      </w:pPr>
      <w:r>
        <w:rPr>
          <w:lang w:val="ru-RU" w:eastAsia="ru-RU" w:bidi="ru-RU"/>
          <w:w w:val="100"/>
          <w:spacing w:val="0"/>
          <w:color w:val="000000"/>
          <w:position w:val="0"/>
        </w:rPr>
        <w:t>ТМС с большим ДМЖП:</w:t>
      </w:r>
    </w:p>
    <w:p>
      <w:pPr>
        <w:pStyle w:val="Style30"/>
        <w:numPr>
          <w:ilvl w:val="0"/>
          <w:numId w:val="45"/>
        </w:numPr>
        <w:tabs>
          <w:tab w:leader="none" w:pos="711" w:val="left"/>
        </w:tabs>
        <w:widowControl w:val="0"/>
        <w:keepNext w:val="0"/>
        <w:keepLines w:val="0"/>
        <w:shd w:val="clear" w:color="auto" w:fill="auto"/>
        <w:bidi w:val="0"/>
        <w:spacing w:before="0" w:after="0"/>
        <w:ind w:left="700" w:right="0" w:hanging="220"/>
      </w:pPr>
      <w:r>
        <w:rPr>
          <w:lang w:val="ru-RU" w:eastAsia="ru-RU" w:bidi="ru-RU"/>
          <w:w w:val="100"/>
          <w:spacing w:val="0"/>
          <w:color w:val="000000"/>
          <w:position w:val="0"/>
        </w:rPr>
        <w:t>цианоз появляется при крике;</w:t>
      </w:r>
    </w:p>
    <w:p>
      <w:pPr>
        <w:pStyle w:val="Style30"/>
        <w:numPr>
          <w:ilvl w:val="0"/>
          <w:numId w:val="45"/>
        </w:numPr>
        <w:tabs>
          <w:tab w:leader="none" w:pos="711" w:val="left"/>
        </w:tabs>
        <w:widowControl w:val="0"/>
        <w:keepNext w:val="0"/>
        <w:keepLines w:val="0"/>
        <w:shd w:val="clear" w:color="auto" w:fill="auto"/>
        <w:bidi w:val="0"/>
        <w:spacing w:before="0" w:after="0"/>
        <w:ind w:left="700" w:right="0" w:hanging="220"/>
      </w:pPr>
      <w:r>
        <w:rPr>
          <w:lang w:val="ru-RU" w:eastAsia="ru-RU" w:bidi="ru-RU"/>
          <w:w w:val="100"/>
          <w:spacing w:val="0"/>
          <w:color w:val="000000"/>
          <w:position w:val="0"/>
        </w:rPr>
        <w:t>признаки застойной сердечной недостаточности (тахикардия, тахипноэ, повышенное потоотделе</w:t>
        <w:softHyphen/>
        <w:t>ние, ребенок перестает прибавлять в весе) развива</w:t>
        <w:softHyphen/>
        <w:t>ются как только происходит увеличение легочного кровотока, обычно на 3-4 неделе жизни.</w:t>
      </w:r>
    </w:p>
    <w:p>
      <w:pPr>
        <w:pStyle w:val="Style30"/>
        <w:numPr>
          <w:ilvl w:val="0"/>
          <w:numId w:val="43"/>
        </w:numPr>
        <w:tabs>
          <w:tab w:leader="none" w:pos="476" w:val="left"/>
        </w:tabs>
        <w:widowControl w:val="0"/>
        <w:keepNext w:val="0"/>
        <w:keepLines w:val="0"/>
        <w:shd w:val="clear" w:color="auto" w:fill="auto"/>
        <w:bidi w:val="0"/>
        <w:spacing w:before="0" w:after="0"/>
        <w:ind w:left="240" w:right="0" w:firstLine="0"/>
      </w:pPr>
      <w:r>
        <w:rPr>
          <w:lang w:val="ru-RU" w:eastAsia="ru-RU" w:bidi="ru-RU"/>
          <w:w w:val="100"/>
          <w:spacing w:val="0"/>
          <w:color w:val="000000"/>
          <w:position w:val="0"/>
        </w:rPr>
        <w:t>ТМС с дефектом межжелудочковой перегородки</w:t>
      </w:r>
    </w:p>
    <w:p>
      <w:pPr>
        <w:pStyle w:val="Style30"/>
        <w:widowControl w:val="0"/>
        <w:keepNext w:val="0"/>
        <w:keepLines w:val="0"/>
        <w:shd w:val="clear" w:color="auto" w:fill="auto"/>
        <w:bidi w:val="0"/>
        <w:spacing w:before="0" w:after="0"/>
        <w:ind w:left="700" w:right="0" w:hanging="220"/>
      </w:pPr>
      <w:r>
        <w:rPr>
          <w:lang w:val="ru-RU" w:eastAsia="ru-RU" w:bidi="ru-RU"/>
          <w:w w:val="100"/>
          <w:spacing w:val="0"/>
          <w:color w:val="000000"/>
          <w:position w:val="0"/>
        </w:rPr>
        <w:t>и обструкцией выходного тракта левого желудочка:</w:t>
      </w:r>
    </w:p>
    <w:p>
      <w:pPr>
        <w:pStyle w:val="Style30"/>
        <w:numPr>
          <w:ilvl w:val="0"/>
          <w:numId w:val="45"/>
        </w:numPr>
        <w:tabs>
          <w:tab w:leader="none" w:pos="711" w:val="left"/>
        </w:tabs>
        <w:widowControl w:val="0"/>
        <w:keepNext w:val="0"/>
        <w:keepLines w:val="0"/>
        <w:shd w:val="clear" w:color="auto" w:fill="auto"/>
        <w:bidi w:val="0"/>
        <w:spacing w:before="0" w:after="0"/>
        <w:ind w:left="700" w:right="0" w:hanging="220"/>
      </w:pPr>
      <w:r>
        <w:rPr>
          <w:lang w:val="ru-RU" w:eastAsia="ru-RU" w:bidi="ru-RU"/>
          <w:w w:val="100"/>
          <w:spacing w:val="0"/>
          <w:color w:val="000000"/>
          <w:position w:val="0"/>
        </w:rPr>
        <w:t>цианоз резко выражен при рождении пропорцио</w:t>
        <w:softHyphen/>
        <w:t>нально степени левожелудочковой (легочной) об</w:t>
        <w:softHyphen/>
        <w:t>струкции выводного тракта;</w:t>
      </w:r>
    </w:p>
    <w:p>
      <w:pPr>
        <w:pStyle w:val="Style30"/>
        <w:numPr>
          <w:ilvl w:val="0"/>
          <w:numId w:val="45"/>
        </w:numPr>
        <w:tabs>
          <w:tab w:leader="none" w:pos="711" w:val="left"/>
        </w:tabs>
        <w:widowControl w:val="0"/>
        <w:keepNext w:val="0"/>
        <w:keepLines w:val="0"/>
        <w:shd w:val="clear" w:color="auto" w:fill="auto"/>
        <w:bidi w:val="0"/>
        <w:spacing w:before="0" w:after="0"/>
        <w:ind w:left="700" w:right="0" w:hanging="220"/>
      </w:pPr>
      <w:r>
        <w:rPr>
          <w:lang w:val="ru-RU" w:eastAsia="ru-RU" w:bidi="ru-RU"/>
          <w:w w:val="100"/>
          <w:spacing w:val="0"/>
          <w:color w:val="000000"/>
          <w:position w:val="0"/>
        </w:rPr>
        <w:t>клиническая симптоматика напоминает таковую при тетраде Фалло.</w:t>
      </w:r>
    </w:p>
    <w:p>
      <w:pPr>
        <w:pStyle w:val="Style30"/>
        <w:numPr>
          <w:ilvl w:val="0"/>
          <w:numId w:val="43"/>
        </w:numPr>
        <w:tabs>
          <w:tab w:leader="none" w:pos="476" w:val="left"/>
        </w:tabs>
        <w:widowControl w:val="0"/>
        <w:keepNext w:val="0"/>
        <w:keepLines w:val="0"/>
        <w:shd w:val="clear" w:color="auto" w:fill="auto"/>
        <w:bidi w:val="0"/>
        <w:spacing w:before="0" w:after="0"/>
        <w:ind w:left="240" w:right="0" w:firstLine="0"/>
      </w:pPr>
      <w:r>
        <w:rPr>
          <w:lang w:val="ru-RU" w:eastAsia="ru-RU" w:bidi="ru-RU"/>
          <w:w w:val="100"/>
          <w:spacing w:val="0"/>
          <w:color w:val="000000"/>
          <w:position w:val="0"/>
        </w:rPr>
        <w:t>ТМС с дефектом межжелудочковой перегородки</w:t>
      </w:r>
    </w:p>
    <w:p>
      <w:pPr>
        <w:pStyle w:val="Style30"/>
        <w:widowControl w:val="0"/>
        <w:keepNext w:val="0"/>
        <w:keepLines w:val="0"/>
        <w:shd w:val="clear" w:color="auto" w:fill="auto"/>
        <w:bidi w:val="0"/>
        <w:spacing w:before="0" w:after="0"/>
        <w:ind w:left="700" w:right="0" w:hanging="220"/>
      </w:pPr>
      <w:r>
        <w:rPr>
          <w:lang w:val="ru-RU" w:eastAsia="ru-RU" w:bidi="ru-RU"/>
          <w:w w:val="100"/>
          <w:spacing w:val="0"/>
          <w:color w:val="000000"/>
          <w:position w:val="0"/>
        </w:rPr>
        <w:t>и обструктивным заболеванием сосудов легких:</w:t>
      </w:r>
    </w:p>
    <w:p>
      <w:pPr>
        <w:pStyle w:val="Style30"/>
        <w:numPr>
          <w:ilvl w:val="0"/>
          <w:numId w:val="45"/>
        </w:numPr>
        <w:tabs>
          <w:tab w:leader="none" w:pos="711" w:val="left"/>
        </w:tabs>
        <w:widowControl w:val="0"/>
        <w:keepNext w:val="0"/>
        <w:keepLines w:val="0"/>
        <w:shd w:val="clear" w:color="auto" w:fill="auto"/>
        <w:bidi w:val="0"/>
        <w:spacing w:before="0" w:after="0"/>
        <w:ind w:left="700" w:right="0" w:hanging="220"/>
      </w:pPr>
      <w:r>
        <w:rPr>
          <w:lang w:val="ru-RU" w:eastAsia="ru-RU" w:bidi="ru-RU"/>
          <w:w w:val="100"/>
          <w:spacing w:val="0"/>
          <w:color w:val="000000"/>
          <w:position w:val="0"/>
        </w:rPr>
        <w:t>высокая легочная гипертензия, несмотря на боль</w:t>
        <w:softHyphen/>
        <w:t>шой дефект межжелудочковой перегородки, пре</w:t>
        <w:softHyphen/>
        <w:t>пятствует развитию застойной сердечной недоста</w:t>
        <w:softHyphen/>
        <w:t>точности;</w:t>
      </w:r>
    </w:p>
    <w:p>
      <w:pPr>
        <w:pStyle w:val="Style30"/>
        <w:numPr>
          <w:ilvl w:val="0"/>
          <w:numId w:val="45"/>
        </w:numPr>
        <w:tabs>
          <w:tab w:leader="none" w:pos="711" w:val="left"/>
        </w:tabs>
        <w:widowControl w:val="0"/>
        <w:keepNext w:val="0"/>
        <w:keepLines w:val="0"/>
        <w:shd w:val="clear" w:color="auto" w:fill="auto"/>
        <w:bidi w:val="0"/>
        <w:spacing w:before="0" w:after="0"/>
        <w:ind w:left="700" w:right="0" w:hanging="220"/>
      </w:pPr>
      <w:r>
        <w:rPr>
          <w:lang w:val="ru-RU" w:eastAsia="ru-RU" w:bidi="ru-RU"/>
          <w:w w:val="100"/>
          <w:spacing w:val="0"/>
          <w:color w:val="000000"/>
          <w:position w:val="0"/>
        </w:rPr>
        <w:t>у такой редкой категории больных с ТМС цианоз прогрессирует, несмотря на своевременно выпол</w:t>
        <w:softHyphen/>
        <w:t>ненную паллиативную операцию.</w:t>
      </w:r>
    </w:p>
    <w:p>
      <w:pPr>
        <w:pStyle w:val="Style30"/>
        <w:widowControl w:val="0"/>
        <w:keepNext w:val="0"/>
        <w:keepLines w:val="0"/>
        <w:shd w:val="clear" w:color="auto" w:fill="auto"/>
        <w:bidi w:val="0"/>
        <w:spacing w:before="0" w:after="0"/>
        <w:ind w:left="240" w:right="0" w:firstLine="0"/>
      </w:pPr>
      <w:r>
        <w:rPr>
          <w:lang w:val="ru-RU" w:eastAsia="ru-RU" w:bidi="ru-RU"/>
          <w:w w:val="100"/>
          <w:spacing w:val="0"/>
          <w:color w:val="000000"/>
          <w:position w:val="0"/>
        </w:rPr>
        <w:t>При всех вариантах ТМС отмечается:</w:t>
      </w:r>
    </w:p>
    <w:p>
      <w:pPr>
        <w:pStyle w:val="Style30"/>
        <w:numPr>
          <w:ilvl w:val="0"/>
          <w:numId w:val="43"/>
        </w:numPr>
        <w:tabs>
          <w:tab w:leader="none" w:pos="476" w:val="left"/>
        </w:tabs>
        <w:widowControl w:val="0"/>
        <w:keepNext w:val="0"/>
        <w:keepLines w:val="0"/>
        <w:shd w:val="clear" w:color="auto" w:fill="auto"/>
        <w:bidi w:val="0"/>
        <w:spacing w:before="0" w:after="0"/>
        <w:ind w:left="240" w:right="0" w:firstLine="0"/>
      </w:pPr>
      <w:r>
        <w:rPr>
          <w:lang w:val="ru-RU" w:eastAsia="ru-RU" w:bidi="ru-RU"/>
          <w:w w:val="100"/>
          <w:spacing w:val="0"/>
          <w:color w:val="000000"/>
          <w:position w:val="0"/>
        </w:rPr>
        <w:t>Гипотрофия.</w:t>
      </w:r>
    </w:p>
    <w:p>
      <w:pPr>
        <w:pStyle w:val="Style30"/>
        <w:numPr>
          <w:ilvl w:val="0"/>
          <w:numId w:val="43"/>
        </w:numPr>
        <w:tabs>
          <w:tab w:leader="none" w:pos="476" w:val="left"/>
        </w:tabs>
        <w:widowControl w:val="0"/>
        <w:keepNext w:val="0"/>
        <w:keepLines w:val="0"/>
        <w:shd w:val="clear" w:color="auto" w:fill="auto"/>
        <w:bidi w:val="0"/>
        <w:spacing w:before="0" w:after="0"/>
        <w:ind w:left="240" w:right="0" w:firstLine="0"/>
      </w:pPr>
      <w:r>
        <w:rPr>
          <w:lang w:val="ru-RU" w:eastAsia="ru-RU" w:bidi="ru-RU"/>
          <w:w w:val="100"/>
          <w:spacing w:val="0"/>
          <w:color w:val="000000"/>
          <w:position w:val="0"/>
        </w:rPr>
        <w:t>Отставание в моторном развитии.</w:t>
      </w:r>
    </w:p>
    <w:p>
      <w:pPr>
        <w:pStyle w:val="Style30"/>
        <w:numPr>
          <w:ilvl w:val="0"/>
          <w:numId w:val="43"/>
        </w:numPr>
        <w:tabs>
          <w:tab w:leader="none" w:pos="476" w:val="left"/>
        </w:tabs>
        <w:widowControl w:val="0"/>
        <w:keepNext w:val="0"/>
        <w:keepLines w:val="0"/>
        <w:shd w:val="clear" w:color="auto" w:fill="auto"/>
        <w:bidi w:val="0"/>
        <w:spacing w:before="0" w:after="0"/>
        <w:ind w:left="240" w:right="0" w:firstLine="0"/>
      </w:pPr>
      <w:r>
        <w:rPr>
          <w:lang w:val="ru-RU" w:eastAsia="ru-RU" w:bidi="ru-RU"/>
          <w:w w:val="100"/>
          <w:spacing w:val="0"/>
          <w:color w:val="000000"/>
          <w:position w:val="0"/>
        </w:rPr>
        <w:t>Частые повторные пневмонии.</w:t>
      </w:r>
    </w:p>
    <w:p>
      <w:pPr>
        <w:pStyle w:val="Style30"/>
        <w:widowControl w:val="0"/>
        <w:keepNext w:val="0"/>
        <w:keepLines w:val="0"/>
        <w:shd w:val="clear" w:color="auto" w:fill="auto"/>
        <w:bidi w:val="0"/>
        <w:spacing w:before="0" w:after="0"/>
        <w:ind w:left="240" w:right="0" w:firstLine="0"/>
      </w:pPr>
      <w:r>
        <w:rPr>
          <w:lang w:val="ru-RU" w:eastAsia="ru-RU" w:bidi="ru-RU"/>
          <w:w w:val="100"/>
          <w:spacing w:val="0"/>
          <w:color w:val="000000"/>
          <w:position w:val="0"/>
        </w:rPr>
        <w:t>Физикальные данные:</w:t>
      </w:r>
    </w:p>
    <w:p>
      <w:pPr>
        <w:pStyle w:val="Style30"/>
        <w:numPr>
          <w:ilvl w:val="0"/>
          <w:numId w:val="43"/>
        </w:numPr>
        <w:tabs>
          <w:tab w:leader="none" w:pos="476" w:val="left"/>
        </w:tabs>
        <w:widowControl w:val="0"/>
        <w:keepNext w:val="0"/>
        <w:keepLines w:val="0"/>
        <w:shd w:val="clear" w:color="auto" w:fill="auto"/>
        <w:bidi w:val="0"/>
        <w:spacing w:before="0" w:after="0"/>
        <w:ind w:left="240" w:right="0" w:firstLine="0"/>
      </w:pPr>
      <w:r>
        <w:rPr>
          <w:lang w:val="ru-RU" w:eastAsia="ru-RU" w:bidi="ru-RU"/>
          <w:w w:val="100"/>
          <w:spacing w:val="0"/>
          <w:color w:val="000000"/>
          <w:position w:val="0"/>
        </w:rPr>
        <w:t>ТМС с интактной межпредсердной перегородкой:</w:t>
      </w:r>
    </w:p>
    <w:p>
      <w:pPr>
        <w:pStyle w:val="Style30"/>
        <w:numPr>
          <w:ilvl w:val="0"/>
          <w:numId w:val="45"/>
        </w:numPr>
        <w:tabs>
          <w:tab w:leader="none" w:pos="711" w:val="left"/>
        </w:tabs>
        <w:widowControl w:val="0"/>
        <w:keepNext w:val="0"/>
        <w:keepLines w:val="0"/>
        <w:shd w:val="clear" w:color="auto" w:fill="auto"/>
        <w:bidi w:val="0"/>
        <w:spacing w:before="0" w:after="0"/>
        <w:ind w:left="700" w:right="0" w:hanging="220"/>
      </w:pPr>
      <w:r>
        <w:rPr>
          <w:lang w:val="ru-RU" w:eastAsia="ru-RU" w:bidi="ru-RU"/>
          <w:w w:val="100"/>
          <w:spacing w:val="0"/>
          <w:color w:val="000000"/>
          <w:position w:val="0"/>
        </w:rPr>
        <w:t>у новорожденных определяется прогрессирующий центральный цианоз;</w:t>
      </w:r>
    </w:p>
    <w:p>
      <w:pPr>
        <w:pStyle w:val="Style30"/>
        <w:numPr>
          <w:ilvl w:val="0"/>
          <w:numId w:val="45"/>
        </w:numPr>
        <w:tabs>
          <w:tab w:leader="none" w:pos="711" w:val="left"/>
        </w:tabs>
        <w:widowControl w:val="0"/>
        <w:keepNext w:val="0"/>
        <w:keepLines w:val="0"/>
        <w:shd w:val="clear" w:color="auto" w:fill="auto"/>
        <w:bidi w:val="0"/>
        <w:spacing w:before="0" w:after="0"/>
        <w:ind w:left="700" w:right="0" w:hanging="220"/>
      </w:pPr>
      <w:r>
        <w:rPr>
          <w:lang w:val="ru-RU" w:eastAsia="ru-RU" w:bidi="ru-RU"/>
          <w:w w:val="100"/>
          <w:spacing w:val="0"/>
          <w:color w:val="000000"/>
          <w:position w:val="0"/>
        </w:rPr>
        <w:t>физикальные данные (кроме цианоза) немного - численны, размеры сердца остаются нормальны</w:t>
        <w:softHyphen/>
        <w:t>ми, шумы не определяются.</w:t>
      </w:r>
    </w:p>
    <w:p>
      <w:pPr>
        <w:pStyle w:val="Style30"/>
        <w:numPr>
          <w:ilvl w:val="0"/>
          <w:numId w:val="43"/>
        </w:numPr>
        <w:tabs>
          <w:tab w:leader="none" w:pos="476" w:val="left"/>
        </w:tabs>
        <w:widowControl w:val="0"/>
        <w:keepNext w:val="0"/>
        <w:keepLines w:val="0"/>
        <w:shd w:val="clear" w:color="auto" w:fill="auto"/>
        <w:bidi w:val="0"/>
        <w:spacing w:before="0" w:after="0"/>
        <w:ind w:left="240" w:right="0" w:firstLine="0"/>
      </w:pPr>
      <w:r>
        <w:rPr>
          <w:lang w:val="ru-RU" w:eastAsia="ru-RU" w:bidi="ru-RU"/>
          <w:w w:val="100"/>
          <w:spacing w:val="0"/>
          <w:color w:val="000000"/>
          <w:position w:val="0"/>
        </w:rPr>
        <w:t>ТМС с большим дефектом межжелудочковой перего -</w:t>
      </w:r>
    </w:p>
    <w:p>
      <w:pPr>
        <w:pStyle w:val="Style30"/>
        <w:widowControl w:val="0"/>
        <w:keepNext w:val="0"/>
        <w:keepLines w:val="0"/>
        <w:shd w:val="clear" w:color="auto" w:fill="auto"/>
        <w:bidi w:val="0"/>
        <w:spacing w:before="0" w:after="0"/>
        <w:ind w:left="700" w:right="0" w:hanging="220"/>
      </w:pPr>
      <w:r>
        <w:rPr>
          <w:lang w:val="ru-RU" w:eastAsia="ru-RU" w:bidi="ru-RU"/>
          <w:w w:val="100"/>
          <w:spacing w:val="0"/>
          <w:color w:val="000000"/>
          <w:position w:val="0"/>
        </w:rPr>
        <w:t>родки:</w:t>
      </w:r>
    </w:p>
    <w:p>
      <w:pPr>
        <w:pStyle w:val="Style30"/>
        <w:numPr>
          <w:ilvl w:val="0"/>
          <w:numId w:val="45"/>
        </w:numPr>
        <w:tabs>
          <w:tab w:leader="none" w:pos="711" w:val="left"/>
        </w:tabs>
        <w:widowControl w:val="0"/>
        <w:keepNext w:val="0"/>
        <w:keepLines w:val="0"/>
        <w:shd w:val="clear" w:color="auto" w:fill="auto"/>
        <w:bidi w:val="0"/>
        <w:spacing w:before="0" w:after="0"/>
        <w:ind w:left="700" w:right="0" w:hanging="220"/>
      </w:pPr>
      <w:r>
        <w:rPr>
          <w:lang w:val="ru-RU" w:eastAsia="ru-RU" w:bidi="ru-RU"/>
          <w:w w:val="100"/>
          <w:spacing w:val="0"/>
          <w:color w:val="000000"/>
          <w:position w:val="0"/>
        </w:rPr>
        <w:t>цианоз умеренный, определяется в покое и значи</w:t>
        <w:softHyphen/>
        <w:t>тельно усиливается с напряжением или криком;</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br w:type="column"/>
      </w:r>
      <w:r>
        <w:rPr>
          <w:lang w:val="ru-RU" w:eastAsia="ru-RU" w:bidi="ru-RU"/>
          <w:w w:val="100"/>
          <w:spacing w:val="0"/>
          <w:color w:val="000000"/>
          <w:position w:val="0"/>
        </w:rPr>
        <w:t>при обследовании определяется усиленный право- желудочковый импульс, выслушивается голосисто</w:t>
        <w:softHyphen/>
        <w:t>лический шум 3-4/6 градации по Левине, третий тон, среднедиастолическое «урчание» и ритм галопа;</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гепатомегалия.</w:t>
      </w:r>
    </w:p>
    <w:p>
      <w:pPr>
        <w:pStyle w:val="Style30"/>
        <w:numPr>
          <w:ilvl w:val="0"/>
          <w:numId w:val="4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ТМС с дефектом межжелудочковой перегородки и обструкцией выводного тракта левого желудочка:</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выраженный цианоз с рождения как у новорож</w:t>
        <w:softHyphen/>
        <w:t>денных с тетрадой Фалло;</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выслушивается систолический шум изгнания 2-3/6 градации по Левине;</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гепатомегалия не характерна.</w:t>
      </w:r>
    </w:p>
    <w:p>
      <w:pPr>
        <w:pStyle w:val="Style30"/>
        <w:numPr>
          <w:ilvl w:val="0"/>
          <w:numId w:val="4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ТМС с дефектом межжелудочковой перегородки и обструктивным заболеванием сосудов легких (ле</w:t>
        <w:softHyphen/>
        <w:t>гочной гипертензией):</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прогрессирующее обструктивное заболевание ле</w:t>
        <w:softHyphen/>
        <w:t>гочных сосудов клинически не определяется;</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цианоз прогрессирует, принимает фиолетовый от</w:t>
        <w:softHyphen/>
        <w:t>тенок и не исчезает даже после проведения палли</w:t>
        <w:softHyphen/>
        <w:t>ативной операции в период новорожденности;</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шум обычно не определяется (несмотря на дефект межжелудочковой перегородки) или выслушива</w:t>
        <w:softHyphen/>
        <w:t>ется короткий систолический шум;</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второй тон громкий, короткий по продолжитель</w:t>
        <w:softHyphen/>
        <w:t>ности;</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более старшем возрасте появляется диастоличес</w:t>
        <w:softHyphen/>
        <w:t>кий шум недостаточности клапана легочной артерии и систолический шум митральной недостаточности.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 (рис. 24):</w:t>
      </w:r>
    </w:p>
    <w:p>
      <w:pPr>
        <w:pStyle w:val="Style30"/>
        <w:numPr>
          <w:ilvl w:val="0"/>
          <w:numId w:val="4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Наиболее часто определяется отклонение электриче</w:t>
        <w:softHyphen/>
        <w:t>ской оси сердца вправо.</w:t>
      </w:r>
    </w:p>
    <w:p>
      <w:pPr>
        <w:pStyle w:val="Style30"/>
        <w:numPr>
          <w:ilvl w:val="0"/>
          <w:numId w:val="4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Гипертрофия миокарда правого желудочка.</w:t>
      </w:r>
    </w:p>
    <w:p>
      <w:pPr>
        <w:pStyle w:val="Style30"/>
        <w:numPr>
          <w:ilvl w:val="0"/>
          <w:numId w:val="4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Бивентрикулярная гипертрофия.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Рентгенография:</w:t>
      </w:r>
    </w:p>
    <w:p>
      <w:pPr>
        <w:pStyle w:val="Style30"/>
        <w:numPr>
          <w:ilvl w:val="0"/>
          <w:numId w:val="4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ТМС с интактной межжелудочковой перегород</w:t>
        <w:softHyphen/>
        <w:t>кой в неонатальном периоде сердце может иметь нор</w:t>
        <w:softHyphen/>
        <w:t>мальные размеры, у 1/3 больных выявляется класси</w:t>
        <w:softHyphen/>
        <w:t>ческая для данного порока картина в виде «яйцо, ле</w:t>
        <w:softHyphen/>
        <w:t>жащее на боку».</w:t>
      </w:r>
    </w:p>
    <w:p>
      <w:pPr>
        <w:pStyle w:val="Style30"/>
        <w:numPr>
          <w:ilvl w:val="0"/>
          <w:numId w:val="4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ТМС с дефектом межжелудочковой перегородки сердце обычно увеличено, принимает шаровидную конфигурацию.</w:t>
      </w:r>
    </w:p>
    <w:p>
      <w:pPr>
        <w:pStyle w:val="Style30"/>
        <w:numPr>
          <w:ilvl w:val="0"/>
          <w:numId w:val="4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Легочный рисунок при сочетании с ДМЖП усилен по артериальному типу.</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 (рис. 25):</w:t>
      </w:r>
    </w:p>
    <w:p>
      <w:pPr>
        <w:pStyle w:val="Style30"/>
        <w:numPr>
          <w:ilvl w:val="0"/>
          <w:numId w:val="4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Одномерная ЭхоКГ:</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одновременная запись двух полулунных клапанов, при этом клапан легочной артерии имеет более ко</w:t>
        <w:softHyphen/>
        <w:t>роткий период изгнания;</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дилатация правого желудочка;</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гипертрофия правого желудочка;</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увеличение экскурсии передней створки трикус</w:t>
        <w:softHyphen/>
        <w:t>пидального клапана.</w:t>
      </w:r>
    </w:p>
    <w:p>
      <w:pPr>
        <w:pStyle w:val="Style30"/>
        <w:numPr>
          <w:ilvl w:val="0"/>
          <w:numId w:val="4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Двухмерная ЭхоКГ:</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идентификация спереди и справа </w:t>
      </w:r>
      <w:r>
        <w:rPr>
          <w:lang w:val="en-US" w:eastAsia="en-US" w:bidi="en-US"/>
          <w:w w:val="100"/>
          <w:spacing w:val="0"/>
          <w:color w:val="000000"/>
          <w:position w:val="0"/>
        </w:rPr>
        <w:t>(D</w:t>
      </w:r>
      <w:r>
        <w:rPr>
          <w:lang w:val="ru-RU" w:eastAsia="ru-RU" w:bidi="ru-RU"/>
          <w:w w:val="100"/>
          <w:spacing w:val="0"/>
          <w:color w:val="000000"/>
          <w:position w:val="0"/>
        </w:rPr>
        <w:t>-транспози</w:t>
        <w:softHyphen/>
        <w:t xml:space="preserve">ция) или спереди и слева </w:t>
      </w:r>
      <w:r>
        <w:rPr>
          <w:lang w:val="en-US" w:eastAsia="en-US" w:bidi="en-US"/>
          <w:w w:val="100"/>
          <w:spacing w:val="0"/>
          <w:color w:val="000000"/>
          <w:position w:val="0"/>
        </w:rPr>
        <w:t>(L</w:t>
      </w:r>
      <w:r>
        <w:rPr>
          <w:lang w:val="ru-RU" w:eastAsia="ru-RU" w:bidi="ru-RU"/>
          <w:w w:val="100"/>
          <w:spacing w:val="0"/>
          <w:color w:val="000000"/>
          <w:position w:val="0"/>
        </w:rPr>
        <w:t>-транспозиция) аорты и сзади легочной артерии. Эти сосуды лежат один под другим. Легочная артерия лежит сзади и мож</w:t>
        <w:softHyphen/>
        <w:t>но видеть ее бифуркацию;</w:t>
      </w:r>
    </w:p>
    <w:p>
      <w:pPr>
        <w:pStyle w:val="Style30"/>
        <w:numPr>
          <w:ilvl w:val="0"/>
          <w:numId w:val="45"/>
        </w:numPr>
        <w:tabs>
          <w:tab w:leader="none" w:pos="495" w:val="left"/>
        </w:tabs>
        <w:widowControl w:val="0"/>
        <w:keepNext w:val="0"/>
        <w:keepLines w:val="0"/>
        <w:shd w:val="clear" w:color="auto" w:fill="auto"/>
        <w:bidi w:val="0"/>
        <w:spacing w:before="0" w:after="0"/>
        <w:ind w:left="500" w:right="0" w:hanging="240"/>
      </w:pPr>
      <w:r>
        <w:pict>
          <v:shape id="_x0000_s1224" type="#_x0000_t75" style="position:absolute;margin-left:137.05pt;margin-top:740.2pt;width:209.75pt;height:14.9pt;z-index:-125829250;mso-wrap-distance-left:135.1pt;mso-wrap-distance-right:147.85pt;mso-wrap-distance-bottom:20.pt;mso-position-horizontal-relative:margin;mso-position-vertical-relative:margin" wrapcoords="0 0 21600 0 21600 21600 0 21600 0 0">
            <v:imagedata r:id="rId324" r:href="rId325"/>
            <w10:wrap type="topAndBottom" anchorx="margin" anchory="margin"/>
          </v:shape>
        </w:pict>
      </w:r>
      <w:r>
        <w:rPr>
          <w:lang w:val="ru-RU" w:eastAsia="ru-RU" w:bidi="ru-RU"/>
          <w:w w:val="100"/>
          <w:spacing w:val="0"/>
          <w:color w:val="000000"/>
          <w:position w:val="0"/>
        </w:rPr>
        <w:t>в продольном сечении видна параллельная ориен</w:t>
        <w:softHyphen/>
        <w:t>тация выводных трактов обоих желудочков и маги-</w:t>
      </w:r>
      <w:r>
        <w:br w:type="page"/>
      </w:r>
    </w:p>
    <w:p>
      <w:pPr>
        <w:pStyle w:val="Style30"/>
        <w:widowControl w:val="0"/>
        <w:keepNext w:val="0"/>
        <w:keepLines w:val="0"/>
        <w:shd w:val="clear" w:color="auto" w:fill="auto"/>
        <w:bidi w:val="0"/>
        <w:spacing w:before="0" w:after="0"/>
        <w:ind w:left="500" w:right="0" w:firstLine="0"/>
      </w:pPr>
      <w:r>
        <w:pict>
          <v:shape id="_x0000_s1225" type="#_x0000_t202" style="position:absolute;margin-left:-4.8pt;margin-top:30.5pt;width:121.7pt;height:22.05pt;z-index:-125829249;mso-wrap-distance-left:5.pt;mso-wrap-distance-right: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22"/>
                    </w:rPr>
                    <w:t xml:space="preserve">Рис. 25. </w:t>
                  </w:r>
                  <w:r>
                    <w:rPr>
                      <w:rStyle w:val="CharStyle121"/>
                    </w:rPr>
                    <w:t>Транспозиция магист</w:t>
                    <w:softHyphen/>
                    <w:t>ральных сосудов.</w:t>
                  </w:r>
                </w:p>
              </w:txbxContent>
            </v:textbox>
            <w10:wrap type="topAndBottom" anchorx="margin" anchory="margin"/>
          </v:shape>
        </w:pict>
      </w:r>
      <w:r>
        <w:pict>
          <v:shape id="_x0000_s1226" type="#_x0000_t75" style="position:absolute;margin-left:140.9pt;margin-top:5.3pt;width:347.5pt;height:207.85pt;z-index:-125829248;mso-wrap-distance-left:5.pt;mso-wrap-distance-right:5.pt;mso-position-horizontal-relative:margin;mso-position-vertical-relative:margin">
            <v:imagedata r:id="rId326" r:href="rId327"/>
            <w10:wrap type="topAndBottom" anchorx="margin" anchory="margin"/>
          </v:shape>
        </w:pict>
      </w:r>
      <w:r>
        <w:rPr>
          <w:lang w:val="ru-RU" w:eastAsia="ru-RU" w:bidi="ru-RU"/>
          <w:w w:val="100"/>
          <w:spacing w:val="0"/>
          <w:color w:val="000000"/>
          <w:position w:val="0"/>
        </w:rPr>
        <w:t>стральных сосудов, при этом легочная артерия не пересекает аорту;</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легочная артерия отходит от левого желудочка и формирует митрально-полулунное продолжение.</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аорта отходит от правого желудочка;</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выявляются сопутствующие внутрисердечные аномалии: дефект межжелудочковой перегородки, открытый артериальный проток, стеноз или атре- зия легочной артерии, гипоплазия атриовентрику</w:t>
        <w:softHyphen/>
        <w:t>лярного клапана.</w:t>
      </w:r>
    </w:p>
    <w:p>
      <w:pPr>
        <w:pStyle w:val="Style30"/>
        <w:numPr>
          <w:ilvl w:val="0"/>
          <w:numId w:val="5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 ЭхоКГ:</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регистрируется турбулентный двунаправленный поток крови через ДМЖП;</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проводится оценка легочного кровотока;</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выявляются сопутствующие аномалии коронарно - го кровообращения.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w:t>
      </w:r>
    </w:p>
    <w:p>
      <w:pPr>
        <w:pStyle w:val="Style30"/>
        <w:numPr>
          <w:ilvl w:val="0"/>
          <w:numId w:val="5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правых отделах сердца и аорте определяются низкие показатели насыщения крови кислоро</w:t>
        <w:softHyphen/>
        <w:t xml:space="preserve">дом </w:t>
      </w:r>
      <w:r>
        <w:rPr>
          <w:lang w:val="en-US" w:eastAsia="en-US" w:bidi="en-US"/>
          <w:w w:val="100"/>
          <w:spacing w:val="0"/>
          <w:color w:val="000000"/>
          <w:position w:val="0"/>
        </w:rPr>
        <w:t xml:space="preserve">(SaO2), </w:t>
      </w:r>
      <w:r>
        <w:rPr>
          <w:lang w:val="ru-RU" w:eastAsia="ru-RU" w:bidi="ru-RU"/>
          <w:w w:val="100"/>
          <w:spacing w:val="0"/>
          <w:color w:val="000000"/>
          <w:position w:val="0"/>
        </w:rPr>
        <w:t>в левых отделах, напротив, более вы</w:t>
        <w:softHyphen/>
        <w:t>сокие.</w:t>
      </w:r>
    </w:p>
    <w:p>
      <w:pPr>
        <w:pStyle w:val="Style30"/>
        <w:numPr>
          <w:ilvl w:val="0"/>
          <w:numId w:val="5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Проводится измерение давления в легочной арте</w:t>
        <w:softHyphen/>
        <w:t>рии, что особенно важно при ТМС с ДМЖП и ле</w:t>
        <w:softHyphen/>
        <w:t>гочной сосудистой болезнью.</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Дифференциальная диагностика</w:t>
      </w:r>
    </w:p>
    <w:p>
      <w:pPr>
        <w:pStyle w:val="Style30"/>
        <w:numPr>
          <w:ilvl w:val="0"/>
          <w:numId w:val="5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Атрезия легочной артерии с интактной межжелудоч</w:t>
        <w:softHyphen/>
        <w:t>ковой перегородкой.</w:t>
      </w:r>
    </w:p>
    <w:p>
      <w:pPr>
        <w:pStyle w:val="Style30"/>
        <w:numPr>
          <w:ilvl w:val="0"/>
          <w:numId w:val="5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Тетрада Фалло с атрезией легочной артерии.</w:t>
      </w:r>
    </w:p>
    <w:p>
      <w:pPr>
        <w:pStyle w:val="Style30"/>
        <w:numPr>
          <w:ilvl w:val="0"/>
          <w:numId w:val="5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Тотальный аномальный дренаж легочных вен.</w:t>
      </w:r>
    </w:p>
    <w:p>
      <w:pPr>
        <w:pStyle w:val="Style30"/>
        <w:numPr>
          <w:ilvl w:val="0"/>
          <w:numId w:val="5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Атрезия трикуспидального клапана.</w:t>
      </w:r>
    </w:p>
    <w:p>
      <w:pPr>
        <w:pStyle w:val="Style30"/>
        <w:numPr>
          <w:ilvl w:val="0"/>
          <w:numId w:val="5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Общий артериальный ствол.</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5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На первом этапе проводится постоянная инфузия простагландина </w:t>
      </w:r>
      <w:r>
        <w:rPr>
          <w:lang w:val="en-US" w:eastAsia="en-US" w:bidi="en-US"/>
          <w:w w:val="100"/>
          <w:spacing w:val="0"/>
          <w:color w:val="000000"/>
          <w:position w:val="0"/>
        </w:rPr>
        <w:t xml:space="preserve">E1 </w:t>
      </w:r>
      <w:r>
        <w:rPr>
          <w:lang w:val="ru-RU" w:eastAsia="ru-RU" w:bidi="ru-RU"/>
          <w:w w:val="100"/>
          <w:spacing w:val="0"/>
          <w:color w:val="000000"/>
          <w:position w:val="0"/>
        </w:rPr>
        <w:t>для предупреждения закрытия ар</w:t>
        <w:softHyphen/>
        <w:t>териального протока. Это особенно важно при ТМС с ДМЖП и обструкцией выводного тракта левого же</w:t>
        <w:softHyphen/>
        <w:t>лудочка.</w:t>
      </w:r>
    </w:p>
    <w:p>
      <w:pPr>
        <w:pStyle w:val="Style30"/>
        <w:numPr>
          <w:ilvl w:val="0"/>
          <w:numId w:val="5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Во время катетеризации сердца у новорожденных с выраженной гипоксемией проводится баллонная атриосептостомия Рашкинда.</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Проводится коррекция метаболического ацидоза би</w:t>
        <w:softHyphen/>
        <w:t>карбонатом натрия.</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развитии отека легкого и тяжелой гипоксемии при необходимости больной переводится на искус</w:t>
        <w:softHyphen/>
        <w:t>ственную вентиляцию легких.</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большинстве случаев пациенты нуждаются в хирур - гической коррекции в раннем возрасте.</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Хирургическая коррекция</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ТМС с интактной межжелудочковой перегородкой:</w:t>
      </w:r>
    </w:p>
    <w:p>
      <w:pPr>
        <w:pStyle w:val="Style30"/>
        <w:numPr>
          <w:ilvl w:val="0"/>
          <w:numId w:val="51"/>
        </w:numPr>
        <w:tabs>
          <w:tab w:leader="none" w:pos="53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оптимальной операцией является артериальное переключение </w:t>
      </w:r>
      <w:r>
        <w:rPr>
          <w:lang w:val="en-US" w:eastAsia="en-US" w:bidi="en-US"/>
          <w:w w:val="100"/>
          <w:spacing w:val="0"/>
          <w:color w:val="000000"/>
          <w:position w:val="0"/>
        </w:rPr>
        <w:t>(arterial switch).</w:t>
      </w:r>
    </w:p>
    <w:p>
      <w:pPr>
        <w:pStyle w:val="Style30"/>
        <w:numPr>
          <w:ilvl w:val="0"/>
          <w:numId w:val="51"/>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данная операция обеспечивает желудочково-ар</w:t>
        <w:softHyphen/>
        <w:t>териальную конкордантность, т.е радикальную анатомическую коррекцию порока;</w:t>
      </w:r>
    </w:p>
    <w:p>
      <w:pPr>
        <w:pStyle w:val="Style30"/>
        <w:numPr>
          <w:ilvl w:val="0"/>
          <w:numId w:val="51"/>
        </w:numPr>
        <w:tabs>
          <w:tab w:leader="none" w:pos="71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эта операция может быть проведена у новорож</w:t>
        <w:softHyphen/>
        <w:t>денных моложе 30 дней, пока еще сохраняется низкое легочное сосудистое сопротивление.</w:t>
      </w:r>
    </w:p>
    <w:p>
      <w:pPr>
        <w:pStyle w:val="Style30"/>
        <w:numPr>
          <w:ilvl w:val="0"/>
          <w:numId w:val="51"/>
        </w:numPr>
        <w:tabs>
          <w:tab w:leader="none" w:pos="53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сопутствующей патологии коронарных арте</w:t>
        <w:softHyphen/>
        <w:t>рий проведение операции артериального переклю</w:t>
        <w:softHyphen/>
        <w:t>чения не рекомендуется из-за высокого риска их повреждения. В этих случаях выполняется пред</w:t>
        <w:softHyphen/>
        <w:t>сердное переключение (операция по Сеннингу или процедура Мастарда).</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ТМС с большим дефектом межжелудочковой перего - родки:</w:t>
      </w:r>
    </w:p>
    <w:p>
      <w:pPr>
        <w:pStyle w:val="Style30"/>
        <w:numPr>
          <w:ilvl w:val="0"/>
          <w:numId w:val="51"/>
        </w:numPr>
        <w:tabs>
          <w:tab w:leader="none" w:pos="53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оптимально в период новорожденности выполне</w:t>
        <w:softHyphen/>
        <w:t>ние операции по артериальному переключению с закрытием септального дефекта;</w:t>
      </w:r>
    </w:p>
    <w:p>
      <w:pPr>
        <w:pStyle w:val="Style30"/>
        <w:numPr>
          <w:ilvl w:val="0"/>
          <w:numId w:val="51"/>
        </w:numPr>
        <w:tabs>
          <w:tab w:leader="none" w:pos="53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более старшем возрасте или если сопутствуют ко - ронарные аномалии, проводится операция типа Растелли.</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ТМС с большим дефектом межжелудочковой перего - родки и обструкцией выводного тракта левого желу</w:t>
        <w:softHyphen/>
        <w:t>дочка:</w:t>
      </w:r>
    </w:p>
    <w:p>
      <w:pPr>
        <w:pStyle w:val="Style30"/>
        <w:numPr>
          <w:ilvl w:val="0"/>
          <w:numId w:val="51"/>
        </w:numPr>
        <w:tabs>
          <w:tab w:leader="none" w:pos="53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проведение операции по артериальному переклю</w:t>
        <w:softHyphen/>
        <w:t>чению не представляется возможным из-за об</w:t>
        <w:softHyphen/>
        <w:t>струкции выводного тракта;</w:t>
      </w:r>
    </w:p>
    <w:p>
      <w:pPr>
        <w:pStyle w:val="Style30"/>
        <w:numPr>
          <w:ilvl w:val="0"/>
          <w:numId w:val="51"/>
        </w:numPr>
        <w:tabs>
          <w:tab w:leader="none" w:pos="53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проводится операция по Растелли.</w:t>
      </w:r>
    </w:p>
    <w:p>
      <w:pPr>
        <w:pStyle w:val="Style30"/>
        <w:numPr>
          <w:ilvl w:val="0"/>
          <w:numId w:val="53"/>
        </w:numPr>
        <w:tabs>
          <w:tab w:leader="none" w:pos="237" w:val="left"/>
        </w:tabs>
        <w:widowControl w:val="0"/>
        <w:keepNext w:val="0"/>
        <w:keepLines w:val="0"/>
        <w:shd w:val="clear" w:color="auto" w:fill="auto"/>
        <w:bidi w:val="0"/>
        <w:spacing w:before="0" w:after="0"/>
        <w:ind w:left="260" w:right="0"/>
        <w:sectPr>
          <w:type w:val="continuous"/>
          <w:pgSz w:w="11900" w:h="16840"/>
          <w:pgMar w:top="1385" w:left="1037" w:right="956" w:bottom="1596" w:header="0" w:footer="3" w:gutter="0"/>
          <w:rtlGutter w:val="0"/>
          <w:cols w:num="2" w:space="153"/>
          <w:noEndnote/>
          <w:docGrid w:linePitch="360"/>
        </w:sectPr>
      </w:pPr>
      <w:r>
        <w:pict>
          <v:shape id="_x0000_s1227" type="#_x0000_t75" style="position:absolute;margin-left:143.05pt;margin-top:740.2pt;width:209.75pt;height:14.9pt;z-index:-125829247;mso-wrap-distance-left:136.1pt;mso-wrap-distance-right:136.8pt;mso-wrap-distance-bottom:20.pt;mso-position-horizontal-relative:margin;mso-position-vertical-relative:margin" wrapcoords="0 0 21600 0 21600 21600 0 21600 0 0">
            <v:imagedata r:id="rId328" r:href="rId329"/>
            <w10:wrap type="topAndBottom" anchorx="margin" anchory="margin"/>
          </v:shape>
        </w:pict>
      </w:r>
      <w:r>
        <w:rPr>
          <w:lang w:val="ru-RU" w:eastAsia="ru-RU" w:bidi="ru-RU"/>
          <w:w w:val="100"/>
          <w:spacing w:val="0"/>
          <w:color w:val="000000"/>
          <w:position w:val="0"/>
        </w:rPr>
        <w:t>ТМС с дефектом межжелудочковой перегородки и обструктивным заболеванием легочных сосудов:</w:t>
      </w:r>
    </w:p>
    <w:p>
      <w:pPr>
        <w:framePr w:w="4867" w:h="4253" w:hSpace="5" w:wrap="notBeside" w:vAnchor="text" w:hAnchor="text" w:x="6" w:y="1"/>
        <w:widowControl w:val="0"/>
        <w:rPr>
          <w:sz w:val="2"/>
          <w:szCs w:val="2"/>
        </w:rPr>
      </w:pPr>
      <w:r>
        <w:pict>
          <v:shape id="_x0000_s1228" type="#_x0000_t75" style="width:243pt;height:213pt;">
            <v:imagedata r:id="rId330" r:href="rId331"/>
          </v:shape>
        </w:pict>
      </w:r>
    </w:p>
    <w:p>
      <w:pPr>
        <w:pStyle w:val="Style33"/>
        <w:framePr w:w="4819" w:h="644" w:hSpace="5" w:wrap="notBeside" w:vAnchor="text" w:hAnchor="text" w:x="6" w:y="4436"/>
        <w:widowControl w:val="0"/>
        <w:keepNext w:val="0"/>
        <w:keepLines w:val="0"/>
        <w:shd w:val="clear" w:color="auto" w:fill="auto"/>
        <w:bidi w:val="0"/>
        <w:jc w:val="both"/>
        <w:spacing w:before="0" w:after="0" w:line="192" w:lineRule="exact"/>
        <w:ind w:left="0" w:right="0" w:firstLine="0"/>
      </w:pPr>
      <w:r>
        <w:rPr>
          <w:lang w:val="ru-RU" w:eastAsia="ru-RU" w:bidi="ru-RU"/>
          <w:w w:val="100"/>
          <w:spacing w:val="0"/>
          <w:color w:val="000000"/>
          <w:position w:val="0"/>
        </w:rPr>
        <w:t xml:space="preserve">Рис. 26. Корригированная транспозиция магистральных сосудов: отклонение электрической оси сердца влево (угол </w:t>
      </w:r>
      <w:r>
        <w:rPr>
          <w:lang w:val="en-US" w:eastAsia="en-US" w:bidi="en-US"/>
          <w:w w:val="100"/>
          <w:spacing w:val="0"/>
          <w:color w:val="000000"/>
          <w:position w:val="0"/>
        </w:rPr>
        <w:t xml:space="preserve">a QRS </w:t>
      </w:r>
      <w:r>
        <w:rPr>
          <w:lang w:val="ru-RU" w:eastAsia="ru-RU" w:bidi="ru-RU"/>
          <w:w w:val="100"/>
          <w:spacing w:val="0"/>
          <w:color w:val="000000"/>
          <w:position w:val="0"/>
        </w:rPr>
        <w:t>-16°), зуб</w:t>
        <w:softHyphen/>
        <w:t xml:space="preserve">цы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w:t>
      </w:r>
      <w:r>
        <w:rPr>
          <w:lang w:val="en-US" w:eastAsia="en-US" w:bidi="en-US"/>
          <w:w w:val="100"/>
          <w:spacing w:val="0"/>
          <w:color w:val="000000"/>
          <w:position w:val="0"/>
        </w:rPr>
        <w:t>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 </w:t>
      </w:r>
      <w:r>
        <w:rPr>
          <w:lang w:val="ru-RU" w:eastAsia="ru-RU" w:bidi="ru-RU"/>
          <w:w w:val="100"/>
          <w:spacing w:val="0"/>
          <w:color w:val="000000"/>
          <w:position w:val="0"/>
        </w:rPr>
        <w:t xml:space="preserve">6 не определяются, форма </w:t>
      </w:r>
      <w:r>
        <w:rPr>
          <w:lang w:val="en-US" w:eastAsia="en-US" w:bidi="en-US"/>
          <w:w w:val="100"/>
          <w:spacing w:val="0"/>
          <w:color w:val="000000"/>
          <w:position w:val="0"/>
        </w:rPr>
        <w:t xml:space="preserve">QS </w:t>
      </w:r>
      <w:r>
        <w:rPr>
          <w:lang w:val="ru-RU" w:eastAsia="ru-RU" w:bidi="ru-RU"/>
          <w:w w:val="100"/>
          <w:spacing w:val="0"/>
          <w:color w:val="000000"/>
          <w:position w:val="0"/>
        </w:rPr>
        <w:t xml:space="preserve">в отведениях III, </w:t>
      </w:r>
      <w:r>
        <w:rPr>
          <w:lang w:val="en-US" w:eastAsia="en-US" w:bidi="en-US"/>
          <w:w w:val="100"/>
          <w:spacing w:val="0"/>
          <w:color w:val="000000"/>
          <w:position w:val="0"/>
        </w:rPr>
        <w:t>aVF, Vj</w:t>
      </w:r>
      <w:r>
        <w:rPr>
          <w:lang w:val="ru-RU" w:eastAsia="ru-RU" w:bidi="ru-RU"/>
          <w:w w:val="100"/>
          <w:spacing w:val="0"/>
          <w:color w:val="000000"/>
          <w:position w:val="0"/>
        </w:rPr>
        <w:t>.</w:t>
      </w:r>
    </w:p>
    <w:p>
      <w:pPr>
        <w:widowControl w:val="0"/>
        <w:rPr>
          <w:sz w:val="2"/>
          <w:szCs w:val="2"/>
        </w:rPr>
      </w:pPr>
    </w:p>
    <w:p>
      <w:pPr>
        <w:pStyle w:val="Style30"/>
        <w:widowControl w:val="0"/>
        <w:keepNext w:val="0"/>
        <w:keepLines w:val="0"/>
        <w:shd w:val="clear" w:color="auto" w:fill="auto"/>
        <w:bidi w:val="0"/>
        <w:jc w:val="left"/>
        <w:spacing w:before="497" w:after="0"/>
        <w:ind w:left="740" w:right="0" w:hanging="220"/>
      </w:pPr>
      <w:r>
        <w:rPr>
          <w:lang w:val="ru-RU" w:eastAsia="ru-RU" w:bidi="ru-RU"/>
          <w:w w:val="100"/>
          <w:spacing w:val="0"/>
          <w:color w:val="000000"/>
          <w:position w:val="0"/>
        </w:rPr>
        <w:t>- операция не проводится из-за высокой легочной гипертензии.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numPr>
          <w:ilvl w:val="0"/>
          <w:numId w:val="5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Застойная сердечная недостаточность.</w:t>
      </w:r>
    </w:p>
    <w:p>
      <w:pPr>
        <w:pStyle w:val="Style30"/>
        <w:numPr>
          <w:ilvl w:val="0"/>
          <w:numId w:val="5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Аритмия.</w:t>
      </w:r>
    </w:p>
    <w:p>
      <w:pPr>
        <w:pStyle w:val="Style30"/>
        <w:numPr>
          <w:ilvl w:val="0"/>
          <w:numId w:val="5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Синдром Эйзенменгера (необратимая прогрессирую</w:t>
        <w:softHyphen/>
        <w:t>щая легочная сосудистая окклюзивная болезнь).</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5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Определяется анатомическим типом порока, вариан</w:t>
        <w:softHyphen/>
        <w:t>том хирургической коррекции.</w:t>
      </w:r>
    </w:p>
    <w:p>
      <w:pPr>
        <w:pStyle w:val="Style30"/>
        <w:numPr>
          <w:ilvl w:val="0"/>
          <w:numId w:val="53"/>
        </w:numPr>
        <w:tabs>
          <w:tab w:leader="none" w:pos="514" w:val="left"/>
        </w:tabs>
        <w:widowControl w:val="0"/>
        <w:keepNext w:val="0"/>
        <w:keepLines w:val="0"/>
        <w:shd w:val="clear" w:color="auto" w:fill="auto"/>
        <w:bidi w:val="0"/>
        <w:spacing w:before="0" w:after="242"/>
        <w:ind w:left="520" w:right="0" w:hanging="240"/>
      </w:pPr>
      <w:r>
        <w:rPr>
          <w:lang w:val="ru-RU" w:eastAsia="ru-RU" w:bidi="ru-RU"/>
          <w:w w:val="100"/>
          <w:spacing w:val="0"/>
          <w:color w:val="000000"/>
          <w:position w:val="0"/>
        </w:rPr>
        <w:t>Данные отдаленного катамнеза свидетельствуют, что после операции артериального переключения разви</w:t>
        <w:softHyphen/>
        <w:t>ваются предсердные брадиаритмии, трикуспидальная регургитация, правожелудочковая недостаточность.</w:t>
      </w:r>
    </w:p>
    <w:p>
      <w:pPr>
        <w:pStyle w:val="Style28"/>
        <w:widowControl w:val="0"/>
        <w:keepNext/>
        <w:keepLines/>
        <w:shd w:val="clear" w:color="auto" w:fill="auto"/>
        <w:bidi w:val="0"/>
        <w:jc w:val="left"/>
        <w:spacing w:before="0" w:after="118" w:line="288" w:lineRule="exact"/>
        <w:ind w:left="0" w:right="0" w:firstLine="0"/>
      </w:pPr>
      <w:bookmarkStart w:id="352" w:name="bookmark352"/>
      <w:r>
        <w:rPr>
          <w:lang w:val="ru-RU" w:eastAsia="ru-RU" w:bidi="ru-RU"/>
          <w:w w:val="100"/>
          <w:spacing w:val="0"/>
          <w:color w:val="000000"/>
          <w:position w:val="0"/>
        </w:rPr>
        <w:t>Корригированная транспозиция магистральных сосудов</w:t>
      </w:r>
      <w:bookmarkEnd w:id="35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Врожденный порок сердца, проявляющийся предсерд</w:t>
        <w:softHyphen/>
        <w:t>но-желудочковой и желудочково-артериальной диско - рдантностью. Пороку часто сопутствуют дефект межжелу</w:t>
        <w:softHyphen/>
        <w:t>дочковой перегородки (75-90%) и подклапанный стеноз ле</w:t>
        <w:softHyphen/>
        <w:t>гочной артерии (50%). Аномалии поводящей системы серд</w:t>
        <w:softHyphen/>
        <w:t>ца связаны с инверсией желудочков.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Порок встречается в 0,4-1,2% среди всех ВПС.</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Корригированная ТМС чаще наблюдается у мальчиков.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Корригированная ТМС может наблюдаться в любом возрасте.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Анатомия</w:t>
      </w:r>
    </w:p>
    <w:p>
      <w:pPr>
        <w:pStyle w:val="Style30"/>
        <w:numPr>
          <w:ilvl w:val="0"/>
          <w:numId w:val="5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Морфологически правый желудочек располагается слева, от него отходит аорта, занимающая левосто</w:t>
        <w:softHyphen/>
        <w:t>роннее положение. Морфологически левый желудо</w:t>
        <w:softHyphen/>
        <w:t>чек располагается справа, от него отходит легочная артерия, находящаяся справа от аорты. Имеет место</w:t>
      </w:r>
    </w:p>
    <w:p>
      <w:pPr>
        <w:pStyle w:val="Style112"/>
        <w:widowControl w:val="0"/>
        <w:keepNext/>
        <w:keepLines/>
        <w:shd w:val="clear" w:color="auto" w:fill="auto"/>
        <w:bidi w:val="0"/>
        <w:jc w:val="right"/>
        <w:spacing w:before="0" w:after="111" w:line="150" w:lineRule="exact"/>
        <w:ind w:left="0" w:right="0" w:firstLine="0"/>
      </w:pPr>
      <w:r>
        <w:br w:type="column"/>
      </w:r>
      <w:bookmarkStart w:id="353" w:name="bookmark353"/>
      <w:r>
        <w:rPr>
          <w:lang w:val="ru-RU" w:eastAsia="ru-RU" w:bidi="ru-RU"/>
          <w:rFonts w:ascii="Microsoft Sans Serif" w:eastAsia="Microsoft Sans Serif" w:hAnsi="Microsoft Sans Serif" w:cs="Microsoft Sans Serif"/>
          <w:w w:val="100"/>
          <w:spacing w:val="0"/>
          <w:color w:val="000000"/>
          <w:position w:val="0"/>
        </w:rPr>
        <w:t>Детская кардиология</w:t>
      </w:r>
      <w:bookmarkEnd w:id="353"/>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ТМС, однако гемодинамика корригирована тем, что морфологически левый желудочек сообщается по</w:t>
        <w:softHyphen/>
        <w:t>средством митрального клапана с правым предсерди</w:t>
        <w:softHyphen/>
        <w:t>ем, в него поступает венозная кровь. Морфологичес</w:t>
        <w:softHyphen/>
        <w:t>ки правый желудочек сообщается посредством три</w:t>
        <w:softHyphen/>
        <w:t>куспидального клапана с левым предсердием, в него поступает артериальная кровь. Смешения венозной и артериальной крови не происходит, поэтому порок носит название корригированной ТМС (КТМС).</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Изолированная КТМС не сопровождается наруше</w:t>
        <w:softHyphen/>
        <w:t>нием гемодинамики, однако поскольку функцию ми</w:t>
        <w:softHyphen/>
        <w:t>трального клапана выполняет морфологически три</w:t>
        <w:softHyphen/>
        <w:t>куспидальный клапан, не приспособленный к высо</w:t>
        <w:softHyphen/>
        <w:t>кому системному давлению, с возрастом может раз</w:t>
        <w:softHyphen/>
        <w:t>виться его недостаточность.</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КТМС часто сопутствуют ДМЖП и стеноз легочной артерии, происходящие нарушения гемодинамики не отличаются от таковых при нормальном расположе</w:t>
        <w:softHyphen/>
        <w:t>нии сердца.</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Инверсия желудочков является причиной нарушен</w:t>
        <w:softHyphen/>
        <w:t>ной закладки проводящей системы сердца, поэтому у таких пациентов часто определяются нарушения сердечного ритма и блокады проведения.</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Выделяют три варианта КТМС:</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КТМС с нормально расположенным сердцем без со</w:t>
        <w:softHyphen/>
        <w:t>путствующих ВПС (изолированная КТМС).</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КТМС с нормальным расположением сердца и со</w:t>
        <w:softHyphen/>
        <w:t>путствующими ВПС (ДМЖП, стеноз легочной ар</w:t>
        <w:softHyphen/>
        <w:t>терии).</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КТМС при аномалиях положения сердца (право</w:t>
        <w:softHyphen/>
        <w:t>сформированном праворасположенном, левосфор</w:t>
        <w:softHyphen/>
        <w:t>мированном праворасположенном, левосформиро</w:t>
        <w:softHyphen/>
        <w:t>ванном леворасположенном).</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Анамнез, клиническая симптоматика</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Изолированная КТМС длительно протекает бес</w:t>
        <w:softHyphen/>
        <w:t>симптомно, физическое развитие ребенка не страда</w:t>
        <w:softHyphen/>
        <w:t>ет. Поводом для обращения к кардиологу обычно яв</w:t>
        <w:softHyphen/>
        <w:t>ляется возникновение аритмии или шума в сердце.</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КТМС с ДМЖП и/или стенозом легочной арте</w:t>
        <w:softHyphen/>
        <w:t>рии основные жалобы и симптомы связаны с величи</w:t>
        <w:softHyphen/>
        <w:t>ной септального дефекта и обструкцией выводного тракта легочной артерии.</w:t>
      </w:r>
    </w:p>
    <w:p>
      <w:pPr>
        <w:pStyle w:val="Style30"/>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Симптомы, обусловленные непосредственно КТМС, обычно следующие.</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Громкий второй тон во втором-третьем межреберье слева (обусловлен передним расположением аорталь</w:t>
        <w:softHyphen/>
        <w:t>ного клапана).</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Систолический шум изгнания в легочном стволе (возникает в выводном отделе левого желудочка).</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Систолический шум недостаточности артериального (трикуспидального) клапана</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Нарушения сердечного ритма (полная атриовентри</w:t>
        <w:softHyphen/>
        <w:t>кулярная блокада, пароксизмальная тахикардия, ат</w:t>
        <w:softHyphen/>
        <w:t>риовентрикулярная диссоциация).</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Электрокардиография (рис. 26):</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Отклонение электрической оси сердца влево (угол </w:t>
      </w:r>
      <w:r>
        <w:rPr>
          <w:lang w:val="en-US" w:eastAsia="en-US" w:bidi="en-US"/>
          <w:w w:val="100"/>
          <w:spacing w:val="0"/>
          <w:color w:val="000000"/>
          <w:position w:val="0"/>
        </w:rPr>
        <w:t xml:space="preserve">a QRS </w:t>
      </w:r>
      <w:r>
        <w:rPr>
          <w:lang w:val="ru-RU" w:eastAsia="ru-RU" w:bidi="ru-RU"/>
          <w:w w:val="100"/>
          <w:spacing w:val="0"/>
          <w:color w:val="000000"/>
          <w:position w:val="0"/>
        </w:rPr>
        <w:t>от 0 до -20°).</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Гипертрофия артериального (правого) желудочка.</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sectPr>
          <w:headerReference w:type="even" r:id="rId332"/>
          <w:headerReference w:type="default" r:id="rId333"/>
          <w:titlePg/>
          <w:pgSz w:w="11900" w:h="16840"/>
          <w:pgMar w:top="1385" w:left="1037" w:right="956" w:bottom="1596" w:header="0" w:footer="3" w:gutter="0"/>
          <w:rtlGutter w:val="0"/>
          <w:cols w:num="2" w:space="153"/>
          <w:noEndnote/>
          <w:docGrid w:linePitch="360"/>
        </w:sectPr>
      </w:pPr>
      <w:r>
        <w:pict>
          <v:shape id="_x0000_s1231" type="#_x0000_t75" style="position:absolute;margin-left:137.75pt;margin-top:755.5pt;width:209.75pt;height:14.9pt;z-index:-125829246;mso-wrap-distance-left:136.8pt;mso-wrap-distance-right:148.1pt;mso-position-horizontal-relative:margin;mso-position-vertical-relative:margin" wrapcoords="0 0 21600 0 21600 21600 0 21600 0 0">
            <v:imagedata r:id="rId334" r:href="rId335"/>
            <w10:wrap type="topAndBottom" anchorx="margin" anchory="margin"/>
          </v:shape>
        </w:pict>
      </w:r>
      <w:r>
        <w:rPr>
          <w:lang w:val="ru-RU" w:eastAsia="ru-RU" w:bidi="ru-RU"/>
          <w:w w:val="100"/>
          <w:spacing w:val="0"/>
          <w:color w:val="000000"/>
          <w:position w:val="0"/>
        </w:rPr>
        <w:t xml:space="preserve">Отсутствие зубцов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левых грудных отведениях </w:t>
      </w:r>
      <w:r>
        <w:rPr>
          <w:lang w:val="en-US" w:eastAsia="en-US" w:bidi="en-US"/>
          <w:w w:val="100"/>
          <w:spacing w:val="0"/>
          <w:color w:val="000000"/>
          <w:position w:val="0"/>
        </w:rPr>
        <w:t>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 </w:t>
      </w:r>
      <w:r>
        <w:rPr>
          <w:lang w:val="ru-RU" w:eastAsia="ru-RU" w:bidi="ru-RU"/>
          <w:w w:val="100"/>
          <w:spacing w:val="0"/>
          <w:color w:val="000000"/>
          <w:position w:val="0"/>
        </w:rPr>
        <w:t xml:space="preserve">6 и их наличие (часто комплекс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имеет форму </w:t>
      </w:r>
      <w:r>
        <w:rPr>
          <w:lang w:val="en-US" w:eastAsia="en-US" w:bidi="en-US"/>
          <w:w w:val="100"/>
          <w:spacing w:val="0"/>
          <w:color w:val="000000"/>
          <w:position w:val="0"/>
        </w:rPr>
        <w:t xml:space="preserve">QS) </w:t>
      </w:r>
      <w:r>
        <w:rPr>
          <w:lang w:val="ru-RU" w:eastAsia="ru-RU" w:bidi="ru-RU"/>
          <w:w w:val="100"/>
          <w:spacing w:val="0"/>
          <w:color w:val="000000"/>
          <w:position w:val="0"/>
        </w:rPr>
        <w:t xml:space="preserve">в отведениях </w:t>
      </w:r>
      <w:r>
        <w:rPr>
          <w:lang w:val="en-US" w:eastAsia="en-US" w:bidi="en-US"/>
          <w:w w:val="100"/>
          <w:spacing w:val="0"/>
          <w:color w:val="000000"/>
          <w:position w:val="0"/>
        </w:rPr>
        <w:t xml:space="preserve">I, </w:t>
      </w:r>
      <w:r>
        <w:rPr>
          <w:lang w:val="ru-RU" w:eastAsia="ru-RU" w:bidi="ru-RU"/>
          <w:w w:val="100"/>
          <w:spacing w:val="0"/>
          <w:color w:val="000000"/>
          <w:position w:val="0"/>
        </w:rPr>
        <w:t xml:space="preserve">II, </w:t>
      </w:r>
      <w:r>
        <w:rPr>
          <w:lang w:val="en-US" w:eastAsia="en-US" w:bidi="en-US"/>
          <w:w w:val="100"/>
          <w:spacing w:val="0"/>
          <w:color w:val="000000"/>
          <w:position w:val="0"/>
        </w:rPr>
        <w:t xml:space="preserve">aVF, Vj, </w:t>
      </w:r>
      <w:r>
        <w:rPr>
          <w:lang w:val="ru-RU" w:eastAsia="ru-RU" w:bidi="ru-RU"/>
          <w:vertAlign w:val="subscript"/>
          <w:w w:val="100"/>
          <w:spacing w:val="0"/>
          <w:color w:val="000000"/>
          <w:position w:val="0"/>
        </w:rPr>
        <w:t>2</w:t>
      </w:r>
      <w:r>
        <w:rPr>
          <w:lang w:val="ru-RU" w:eastAsia="ru-RU" w:bidi="ru-RU"/>
          <w:w w:val="100"/>
          <w:spacing w:val="0"/>
          <w:color w:val="000000"/>
          <w:position w:val="0"/>
        </w:rPr>
        <w:t>.</w:t>
      </w:r>
    </w:p>
    <w:p>
      <w:pPr>
        <w:widowControl w:val="0"/>
        <w:rPr>
          <w:sz w:val="2"/>
          <w:szCs w:val="2"/>
        </w:rPr>
      </w:pPr>
      <w:r>
        <w:pict>
          <v:shape id="_x0000_s1232" type="#_x0000_t75" style="position:absolute;margin-left:142.2pt;margin-top:736.55pt;width:209.75pt;height:14.9pt;z-index:-125829245;mso-wrap-distance-left:136.1pt;mso-wrap-distance-right:136.55pt;mso-wrap-distance-bottom:20.pt;mso-position-horizontal-relative:margin" wrapcoords="0 0 21600 0 21600 21600 0 21600 0 0">
            <v:imagedata r:id="rId336" r:href="rId337"/>
            <w10:wrap type="topAndBottom" anchorx="margin"/>
          </v:shape>
        </w:pic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Полная атриовентрикулярная блокада.</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Атриовентрикулярная диссоциация.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Левый контур сосудистого пучка не дифференциру</w:t>
        <w:softHyphen/>
        <w:t>ется на 1-ю и 2-ю дуги, так как целиком образован восходящей аортой.</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Тень сердца имеет шаровидную форму.</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Широкий сосудистый пучок.</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Одномерная ЭхоКГ:</w:t>
      </w:r>
    </w:p>
    <w:p>
      <w:pPr>
        <w:pStyle w:val="Style30"/>
        <w:numPr>
          <w:ilvl w:val="0"/>
          <w:numId w:val="51"/>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задний магистральный сосуд (легочная артерия) имеет продолжение в переднюю створку правосто - роннего (митрального) клапана;</w:t>
      </w:r>
    </w:p>
    <w:p>
      <w:pPr>
        <w:pStyle w:val="Style30"/>
        <w:numPr>
          <w:ilvl w:val="0"/>
          <w:numId w:val="51"/>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передняя створка заднего (трикуспидального) кла</w:t>
        <w:softHyphen/>
        <w:t>пана продолжается в передний магистральный со</w:t>
        <w:softHyphen/>
        <w:t>суд (аорту) и имеет большую экскурсию;</w:t>
      </w:r>
    </w:p>
    <w:p>
      <w:pPr>
        <w:pStyle w:val="Style30"/>
        <w:numPr>
          <w:ilvl w:val="0"/>
          <w:numId w:val="51"/>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одновременная визуализация двух атриовентрику</w:t>
        <w:softHyphen/>
        <w:t>лярных клапанов;</w:t>
      </w:r>
    </w:p>
    <w:p>
      <w:pPr>
        <w:pStyle w:val="Style30"/>
        <w:numPr>
          <w:ilvl w:val="0"/>
          <w:numId w:val="51"/>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парадоксальное движение межжелудочковой пере - городки.</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Двухмерная ЭхоКГ:</w:t>
      </w:r>
    </w:p>
    <w:p>
      <w:pPr>
        <w:pStyle w:val="Style30"/>
        <w:numPr>
          <w:ilvl w:val="0"/>
          <w:numId w:val="51"/>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передний магистральный сосуд (аорта) отходит от передней стенки расположенного слева желудочка и не продолжается в атриовентрикулярный клапан;</w:t>
      </w:r>
    </w:p>
    <w:p>
      <w:pPr>
        <w:pStyle w:val="Style30"/>
        <w:numPr>
          <w:ilvl w:val="0"/>
          <w:numId w:val="51"/>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оба магистральных сосуда идут бок о бок и не пе</w:t>
        <w:softHyphen/>
        <w:t>рекрещиваются;</w:t>
      </w:r>
    </w:p>
    <w:p>
      <w:pPr>
        <w:pStyle w:val="Style30"/>
        <w:numPr>
          <w:ilvl w:val="0"/>
          <w:numId w:val="51"/>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правый желудочек определяется слева, содержит трикуспидальный клапан;</w:t>
      </w:r>
    </w:p>
    <w:p>
      <w:pPr>
        <w:pStyle w:val="Style30"/>
        <w:numPr>
          <w:ilvl w:val="0"/>
          <w:numId w:val="51"/>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левый желудочек находится справа и содержит ми - тральный клапан;</w:t>
      </w:r>
    </w:p>
    <w:p>
      <w:pPr>
        <w:pStyle w:val="Style30"/>
        <w:numPr>
          <w:ilvl w:val="0"/>
          <w:numId w:val="51"/>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выявление сопутствующих аномалий: ДМЖП (в 70%), стеноз легочной артерии, недостаточность артериального (трикуспидального) клапана.</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 ЭхоКГ:</w:t>
      </w:r>
    </w:p>
    <w:p>
      <w:pPr>
        <w:pStyle w:val="Style30"/>
        <w:numPr>
          <w:ilvl w:val="0"/>
          <w:numId w:val="51"/>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выявление сопутствующих кардиальных аномалий;</w:t>
      </w:r>
    </w:p>
    <w:p>
      <w:pPr>
        <w:pStyle w:val="Style30"/>
        <w:numPr>
          <w:ilvl w:val="0"/>
          <w:numId w:val="51"/>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оценка функции артериального (трикуспидально</w:t>
        <w:softHyphen/>
        <w:t>го) клапана.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Катетеризацию сердца при изолированной КТМС обычно не проводят, так как порок легко диагности</w:t>
        <w:softHyphen/>
        <w:t>руется эхокардиографически.</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 показана при сочетании КТМС с дефектом межжелудочковой перегородки и/или стенозом легочной артерии для определения тактики хирургической коррекции и величины гемо</w:t>
        <w:softHyphen/>
        <w:t>динамических нарушений.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Дифференциальная диагностика</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en-US" w:eastAsia="en-US" w:bidi="en-US"/>
          <w:w w:val="100"/>
          <w:spacing w:val="0"/>
          <w:color w:val="000000"/>
          <w:position w:val="0"/>
        </w:rPr>
        <w:t>L</w:t>
      </w:r>
      <w:r>
        <w:rPr>
          <w:lang w:val="ru-RU" w:eastAsia="ru-RU" w:bidi="ru-RU"/>
          <w:w w:val="100"/>
          <w:spacing w:val="0"/>
          <w:color w:val="000000"/>
          <w:position w:val="0"/>
        </w:rPr>
        <w:t>-транспозиция магистральных сосудов.</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Анатомически корригированная мальпозиция магис</w:t>
        <w:softHyphen/>
        <w:t>тральных сосудов.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изолированной КТМС без клинических про</w:t>
        <w:softHyphen/>
        <w:t>явлений порока в лечении не нуждаются.</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развитии недостаточности артериального (три</w:t>
        <w:softHyphen/>
        <w:t>куспидального) клапана назначаются сердечные гли- козиды и диуретики.</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КТМС в сочетании с другими ВПС проводится корригирующая терапия, направленная на предуп</w:t>
        <w:softHyphen/>
        <w:t>реждение развития сердечной недостаточности, кла</w:t>
        <w:softHyphen/>
        <w:t>панной дисфункции, легочной гипертензии.</w:t>
      </w:r>
    </w:p>
    <w:p>
      <w:pPr>
        <w:pStyle w:val="Style30"/>
        <w:numPr>
          <w:ilvl w:val="0"/>
          <w:numId w:val="53"/>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Тактика лечения аритмий при КТМС определяется после проведения дополнительных исследований</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(Холтеровское мониторирование ЭКГ, ЭФИ, прекар</w:t>
        <w:softHyphen/>
        <w:t>диальное картирование). При развитии полной атри</w:t>
        <w:softHyphen/>
        <w:t>овентрикулярной блокады проводится имплантация кардиостимулятора, в случаях пароксизмальной та</w:t>
        <w:softHyphen/>
        <w:t>хикардии — радиочастотная аблация.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Хирургическое лечение</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Изолированная КТМС без сопутствующих дефектов сердца не подлежит хирургической коррекции, при раз</w:t>
        <w:softHyphen/>
        <w:t>витии тяжелой недостаточности артериального (трику</w:t>
        <w:softHyphen/>
        <w:t>спидального) клапана проводится его протезирование.</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Сопутствующие пороки при КТМС устраняют хирур</w:t>
        <w:softHyphen/>
        <w:t>гическим путем: закрытие дефекта межжелудочковой перегородки.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изолированной КТМС благоприятный.</w:t>
      </w:r>
    </w:p>
    <w:p>
      <w:pPr>
        <w:pStyle w:val="Style30"/>
        <w:numPr>
          <w:ilvl w:val="0"/>
          <w:numId w:val="53"/>
        </w:numPr>
        <w:tabs>
          <w:tab w:leader="none" w:pos="518" w:val="left"/>
        </w:tabs>
        <w:widowControl w:val="0"/>
        <w:keepNext w:val="0"/>
        <w:keepLines w:val="0"/>
        <w:shd w:val="clear" w:color="auto" w:fill="auto"/>
        <w:bidi w:val="0"/>
        <w:spacing w:before="0" w:after="237"/>
        <w:ind w:left="520" w:right="0" w:hanging="240"/>
      </w:pPr>
      <w:r>
        <w:rPr>
          <w:lang w:val="ru-RU" w:eastAsia="ru-RU" w:bidi="ru-RU"/>
          <w:w w:val="100"/>
          <w:spacing w:val="0"/>
          <w:color w:val="000000"/>
          <w:position w:val="0"/>
        </w:rPr>
        <w:t>При сочетании КТМС с другими пороками прогноз определяется тяжестью сопутствующей аномалии.</w:t>
      </w:r>
    </w:p>
    <w:p>
      <w:pPr>
        <w:pStyle w:val="Style28"/>
        <w:widowControl w:val="0"/>
        <w:keepNext/>
        <w:keepLines/>
        <w:shd w:val="clear" w:color="auto" w:fill="auto"/>
        <w:bidi w:val="0"/>
        <w:jc w:val="left"/>
        <w:spacing w:before="0" w:after="153" w:line="220" w:lineRule="exact"/>
        <w:ind w:left="0" w:right="0" w:firstLine="0"/>
      </w:pPr>
      <w:bookmarkStart w:id="354" w:name="bookmark354"/>
      <w:r>
        <w:rPr>
          <w:lang w:val="ru-RU" w:eastAsia="ru-RU" w:bidi="ru-RU"/>
          <w:w w:val="100"/>
          <w:spacing w:val="0"/>
          <w:color w:val="000000"/>
          <w:position w:val="0"/>
        </w:rPr>
        <w:t>Тетрада Фалло</w:t>
      </w:r>
      <w:bookmarkEnd w:id="354"/>
    </w:p>
    <w:p>
      <w:pPr>
        <w:pStyle w:val="Style92"/>
        <w:widowControl w:val="0"/>
        <w:keepNext/>
        <w:keepLines/>
        <w:shd w:val="clear" w:color="auto" w:fill="auto"/>
        <w:bidi w:val="0"/>
        <w:spacing w:before="0" w:after="0"/>
        <w:ind w:left="520" w:right="0" w:hanging="240"/>
      </w:pPr>
      <w:bookmarkStart w:id="355" w:name="bookmark355"/>
      <w:r>
        <w:rPr>
          <w:lang w:val="ru-RU" w:eastAsia="ru-RU" w:bidi="ru-RU"/>
          <w:w w:val="100"/>
          <w:spacing w:val="0"/>
          <w:color w:val="000000"/>
          <w:position w:val="0"/>
        </w:rPr>
        <w:t>Определение</w:t>
      </w:r>
      <w:bookmarkEnd w:id="35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Комплексная анатомическая аномалия сердца, обуслов</w:t>
        <w:softHyphen/>
        <w:t>ленная недоразвитием правожелудочкового инфундибулу- ма. В типичных случаях порок включает 4 компонента: сте</w:t>
        <w:softHyphen/>
        <w:t>ноз легочной артерии, дефект межжелудочковой перегород</w:t>
        <w:softHyphen/>
        <w:t>ки, декстрапозицию аорты и гипертрофию правого желу</w:t>
        <w:softHyphen/>
        <w:t>дочка. Наиболее важны 2 компонента этого порока: стеноз легочной артерии и дефект межжелудочковой перегородки.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Краткая историческая справка</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В 1672 году порок впервые описан </w:t>
      </w:r>
      <w:r>
        <w:rPr>
          <w:lang w:val="en-US" w:eastAsia="en-US" w:bidi="en-US"/>
          <w:w w:val="100"/>
          <w:spacing w:val="0"/>
          <w:color w:val="000000"/>
          <w:position w:val="0"/>
        </w:rPr>
        <w:t>Stensen.</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1887 году прижизненная диагностика порока впер</w:t>
        <w:softHyphen/>
        <w:t>вые сделана А.А Кисель.</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1888 году в работе «Вклад в патологическую анато</w:t>
        <w:softHyphen/>
        <w:t xml:space="preserve">мию синей болезни» </w:t>
      </w:r>
      <w:r>
        <w:rPr>
          <w:lang w:val="en-US" w:eastAsia="en-US" w:bidi="en-US"/>
          <w:w w:val="100"/>
          <w:spacing w:val="0"/>
          <w:color w:val="000000"/>
          <w:position w:val="0"/>
        </w:rPr>
        <w:t xml:space="preserve">Etinne-Louis Arthur Fallot </w:t>
      </w:r>
      <w:r>
        <w:rPr>
          <w:lang w:val="ru-RU" w:eastAsia="ru-RU" w:bidi="ru-RU"/>
          <w:w w:val="100"/>
          <w:spacing w:val="0"/>
          <w:color w:val="000000"/>
          <w:position w:val="0"/>
        </w:rPr>
        <w:t>деталь</w:t>
        <w:softHyphen/>
        <w:t>но рассмотрена клиническая картина и патологичес</w:t>
        <w:softHyphen/>
        <w:t>кая анатомия данного порока.</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В 1944 году </w:t>
      </w:r>
      <w:r>
        <w:rPr>
          <w:lang w:val="en-US" w:eastAsia="en-US" w:bidi="en-US"/>
          <w:w w:val="100"/>
          <w:spacing w:val="0"/>
          <w:color w:val="000000"/>
          <w:position w:val="0"/>
        </w:rPr>
        <w:t xml:space="preserve">Blalock </w:t>
      </w:r>
      <w:r>
        <w:rPr>
          <w:lang w:val="ru-RU" w:eastAsia="ru-RU" w:bidi="ru-RU"/>
          <w:w w:val="100"/>
          <w:spacing w:val="0"/>
          <w:color w:val="000000"/>
          <w:position w:val="0"/>
        </w:rPr>
        <w:t xml:space="preserve">и </w:t>
      </w:r>
      <w:r>
        <w:rPr>
          <w:lang w:val="en-US" w:eastAsia="en-US" w:bidi="en-US"/>
          <w:w w:val="100"/>
          <w:spacing w:val="0"/>
          <w:color w:val="000000"/>
          <w:position w:val="0"/>
        </w:rPr>
        <w:t xml:space="preserve">Tausing </w:t>
      </w:r>
      <w:r>
        <w:rPr>
          <w:lang w:val="ru-RU" w:eastAsia="ru-RU" w:bidi="ru-RU"/>
          <w:w w:val="100"/>
          <w:spacing w:val="0"/>
          <w:color w:val="000000"/>
          <w:position w:val="0"/>
        </w:rPr>
        <w:t>выполнили подключич</w:t>
        <w:softHyphen/>
        <w:t>но-легочный анастомоз.</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В 1955 году </w:t>
      </w:r>
      <w:r>
        <w:rPr>
          <w:lang w:val="en-US" w:eastAsia="en-US" w:bidi="en-US"/>
          <w:w w:val="100"/>
          <w:spacing w:val="0"/>
          <w:color w:val="000000"/>
          <w:position w:val="0"/>
        </w:rPr>
        <w:t xml:space="preserve">Lillehei </w:t>
      </w:r>
      <w:r>
        <w:rPr>
          <w:lang w:val="ru-RU" w:eastAsia="ru-RU" w:bidi="ru-RU"/>
          <w:w w:val="100"/>
          <w:spacing w:val="0"/>
          <w:color w:val="000000"/>
          <w:position w:val="0"/>
        </w:rPr>
        <w:t>положено начало радикальной коррекции порока на открытом сердце с применени</w:t>
        <w:softHyphen/>
        <w:t>ем искусственного кровообращения.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Тетрада Фалло является основным пороком сердца синего типа (75%).</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порока составляет 7-10% среди всех ВПС.</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 встречается несколько чаще у мальчиков, чем у девочек.</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Тетрада Фалло обычно выявляется в грудном возрасте.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 настоящего времени не идентифицирован единый ген, хотя имеют место частые указания в семейном анамнезе на конотрункальные аномалии как при три - сомии 21 (например, двойное отхождение магист</w:t>
        <w:softHyphen/>
        <w:t>ральных сосудов от правого желудочка, перерыв дуги аорты типа В, общий артериальный ствол, транспо</w:t>
        <w:softHyphen/>
        <w:t>зиция магистральных сосудов).</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Показано, что аблация клеток неврального гребня эмбриона приводит к конотрункальным аномалиям.</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Тетрада Фалло сочетается с синдромом </w:t>
      </w:r>
      <w:r>
        <w:rPr>
          <w:lang w:val="en-US" w:eastAsia="en-US" w:bidi="en-US"/>
          <w:w w:val="100"/>
          <w:spacing w:val="0"/>
          <w:color w:val="000000"/>
          <w:position w:val="0"/>
        </w:rPr>
        <w:t xml:space="preserve">DiGeorge </w:t>
      </w:r>
      <w:r>
        <w:rPr>
          <w:lang w:val="ru-RU" w:eastAsia="ru-RU" w:bidi="ru-RU"/>
          <w:w w:val="100"/>
          <w:spacing w:val="0"/>
          <w:color w:val="000000"/>
          <w:position w:val="0"/>
        </w:rPr>
        <w:t>и аномалиями дуги аорты.</w:t>
      </w:r>
      <w:r>
        <w:br w:type="page"/>
      </w:r>
    </w:p>
    <w:p>
      <w:pPr>
        <w:framePr w:w="4848" w:h="3792" w:hSpace="5" w:wrap="notBeside" w:vAnchor="text" w:hAnchor="text" w:x="6" w:y="1"/>
        <w:widowControl w:val="0"/>
        <w:rPr>
          <w:sz w:val="2"/>
          <w:szCs w:val="2"/>
        </w:rPr>
      </w:pPr>
      <w:r>
        <w:pict>
          <v:shape id="_x0000_s1233" type="#_x0000_t75" style="width:242pt;height:190pt;">
            <v:imagedata r:id="rId338" r:href="rId339"/>
          </v:shape>
        </w:pict>
      </w:r>
    </w:p>
    <w:p>
      <w:pPr>
        <w:pStyle w:val="Style120"/>
        <w:framePr w:w="4829" w:h="441" w:hSpace="5" w:wrap="notBeside" w:vAnchor="text" w:hAnchor="text" w:x="6" w:y="4009"/>
        <w:widowControl w:val="0"/>
        <w:keepNext w:val="0"/>
        <w:keepLines w:val="0"/>
        <w:shd w:val="clear" w:color="auto" w:fill="auto"/>
        <w:bidi w:val="0"/>
        <w:spacing w:before="0" w:after="0"/>
        <w:ind w:left="0" w:right="0" w:firstLine="0"/>
      </w:pPr>
      <w:r>
        <w:rPr>
          <w:rStyle w:val="CharStyle125"/>
        </w:rPr>
        <w:t xml:space="preserve">Рис. 27. </w:t>
      </w:r>
      <w:r>
        <w:rPr>
          <w:lang w:val="ru-RU" w:eastAsia="ru-RU" w:bidi="ru-RU"/>
          <w:w w:val="100"/>
          <w:spacing w:val="0"/>
          <w:color w:val="000000"/>
          <w:position w:val="0"/>
        </w:rPr>
        <w:t>Тетрада Фалло: отклонение электрической оси сердца вправо, признаки гипертрофии миокарда правого желудочка.</w:t>
      </w:r>
    </w:p>
    <w:p>
      <w:pPr>
        <w:widowControl w:val="0"/>
        <w:rPr>
          <w:sz w:val="2"/>
          <w:szCs w:val="2"/>
        </w:rPr>
      </w:pPr>
    </w:p>
    <w:p>
      <w:pPr>
        <w:pStyle w:val="Style30"/>
        <w:numPr>
          <w:ilvl w:val="0"/>
          <w:numId w:val="53"/>
        </w:numPr>
        <w:tabs>
          <w:tab w:leader="none" w:pos="510" w:val="left"/>
        </w:tabs>
        <w:widowControl w:val="0"/>
        <w:keepNext w:val="0"/>
        <w:keepLines w:val="0"/>
        <w:shd w:val="clear" w:color="auto" w:fill="auto"/>
        <w:bidi w:val="0"/>
        <w:spacing w:before="446" w:after="0"/>
        <w:ind w:left="0" w:right="0" w:firstLine="280"/>
      </w:pPr>
      <w:r>
        <w:rPr>
          <w:lang w:val="ru-RU" w:eastAsia="ru-RU" w:bidi="ru-RU"/>
          <w:w w:val="100"/>
          <w:spacing w:val="0"/>
          <w:color w:val="000000"/>
          <w:position w:val="0"/>
        </w:rPr>
        <w:t>Тетрада Фалло часто сочетается с:</w:t>
      </w:r>
    </w:p>
    <w:p>
      <w:pPr>
        <w:pStyle w:val="Style30"/>
        <w:numPr>
          <w:ilvl w:val="0"/>
          <w:numId w:val="5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синдромом водянки плода;</w:t>
      </w:r>
    </w:p>
    <w:p>
      <w:pPr>
        <w:pStyle w:val="Style30"/>
        <w:numPr>
          <w:ilvl w:val="0"/>
          <w:numId w:val="5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карбамазепиновым синдромом плода;</w:t>
      </w:r>
    </w:p>
    <w:p>
      <w:pPr>
        <w:pStyle w:val="Style30"/>
        <w:numPr>
          <w:ilvl w:val="0"/>
          <w:numId w:val="5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алкогольным синдромом плода;</w:t>
      </w:r>
    </w:p>
    <w:p>
      <w:pPr>
        <w:pStyle w:val="Style30"/>
        <w:numPr>
          <w:ilvl w:val="0"/>
          <w:numId w:val="5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синдромом материнской фенилкетонурии — врожденные дефекты.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Анатомия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классическом варианте тетрады Фалло обнаружи</w:t>
        <w:softHyphen/>
        <w:t>вают 4 признака:</w:t>
      </w:r>
    </w:p>
    <w:p>
      <w:pPr>
        <w:pStyle w:val="Style30"/>
        <w:numPr>
          <w:ilvl w:val="0"/>
          <w:numId w:val="53"/>
        </w:numPr>
        <w:tabs>
          <w:tab w:leader="none" w:pos="510"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Анатомическая обструкция выводного отдела право</w:t>
        <w:softHyphen/>
        <w:t>го желудочка:</w:t>
      </w:r>
    </w:p>
    <w:p>
      <w:pPr>
        <w:pStyle w:val="Style30"/>
        <w:numPr>
          <w:ilvl w:val="0"/>
          <w:numId w:val="5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инфундибулярный стеноз легочной артерии (низ</w:t>
        <w:softHyphen/>
        <w:t>кий, высокий или в виде диффузной гипоплазии);</w:t>
      </w:r>
    </w:p>
    <w:p>
      <w:pPr>
        <w:pStyle w:val="Style30"/>
        <w:numPr>
          <w:ilvl w:val="0"/>
          <w:numId w:val="5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инфундибулярный стеноз сочетается с клапанным стенозом, гипоплазией кольца (60%) и ствола ле</w:t>
        <w:softHyphen/>
        <w:t>гочной артерии (около 70%);</w:t>
      </w:r>
    </w:p>
    <w:p>
      <w:pPr>
        <w:pStyle w:val="Style30"/>
        <w:numPr>
          <w:ilvl w:val="0"/>
          <w:numId w:val="5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атрезия клапанов легочной артерии (20%) — край</w:t>
        <w:softHyphen/>
        <w:t>няя форма обструкции;</w:t>
      </w:r>
    </w:p>
    <w:p>
      <w:pPr>
        <w:pStyle w:val="Style30"/>
        <w:numPr>
          <w:ilvl w:val="0"/>
          <w:numId w:val="5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обструкция выводного тракта нередко сочетается с гипоплазией и стенозом ветвей легочной арте</w:t>
        <w:softHyphen/>
        <w:t>рии, возможна атрезия левой ветви.</w:t>
      </w:r>
    </w:p>
    <w:p>
      <w:pPr>
        <w:pStyle w:val="Style30"/>
        <w:numPr>
          <w:ilvl w:val="0"/>
          <w:numId w:val="53"/>
        </w:numPr>
        <w:tabs>
          <w:tab w:leader="none" w:pos="51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Дефект межжелудочковой перегородки:</w:t>
      </w:r>
    </w:p>
    <w:p>
      <w:pPr>
        <w:pStyle w:val="Style30"/>
        <w:numPr>
          <w:ilvl w:val="0"/>
          <w:numId w:val="5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перимембранозный субаортальный, обычно боль</w:t>
        <w:softHyphen/>
        <w:t>шой.</w:t>
      </w:r>
    </w:p>
    <w:p>
      <w:pPr>
        <w:pStyle w:val="Style30"/>
        <w:numPr>
          <w:ilvl w:val="0"/>
          <w:numId w:val="53"/>
        </w:numPr>
        <w:tabs>
          <w:tab w:leader="none" w:pos="51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Гипертрофия миокарда правого желудочка:</w:t>
      </w:r>
    </w:p>
    <w:p>
      <w:pPr>
        <w:pStyle w:val="Style30"/>
        <w:numPr>
          <w:ilvl w:val="0"/>
          <w:numId w:val="5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вторична к правожелудочковой обструкции.</w:t>
      </w:r>
    </w:p>
    <w:p>
      <w:pPr>
        <w:pStyle w:val="Style30"/>
        <w:numPr>
          <w:ilvl w:val="0"/>
          <w:numId w:val="53"/>
        </w:numPr>
        <w:tabs>
          <w:tab w:leader="none" w:pos="51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Декстрапозиция аорты:</w:t>
      </w:r>
    </w:p>
    <w:p>
      <w:pPr>
        <w:pStyle w:val="Style30"/>
        <w:numPr>
          <w:ilvl w:val="0"/>
          <w:numId w:val="5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связана с субаортальной локализацией ДМЖП;</w:t>
      </w:r>
    </w:p>
    <w:p>
      <w:pPr>
        <w:pStyle w:val="Style30"/>
        <w:numPr>
          <w:ilvl w:val="0"/>
          <w:numId w:val="5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является проявлением праводеленности бульбуса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Тетрада Фалло в 40% случаев сочетается с другими ВПС: правосторонняя дуга аорты (20-25%), сосудистое кольцо, вторичный ДМПП, ОАП, открытый общий атриовентри</w:t>
        <w:softHyphen/>
        <w:t>кулярный канал, добавочная левосторонняя верхняя полая вена, частичный аномальный дренаж легочных вен.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 зависит прежде всего от степени об</w:t>
        <w:softHyphen/>
        <w:t>струкции выводного тракта правого желудочка и величины шунтирования крови справа налево через ДМЖП.</w:t>
      </w:r>
    </w:p>
    <w:p>
      <w:pPr>
        <w:pStyle w:val="Style92"/>
        <w:widowControl w:val="0"/>
        <w:keepNext/>
        <w:keepLines/>
        <w:shd w:val="clear" w:color="auto" w:fill="auto"/>
        <w:bidi w:val="0"/>
        <w:spacing w:before="0" w:after="0"/>
        <w:ind w:left="280" w:right="0"/>
      </w:pPr>
      <w:r>
        <w:br w:type="column"/>
      </w:r>
      <w:bookmarkStart w:id="356" w:name="bookmark356"/>
      <w:r>
        <w:rPr>
          <w:lang w:val="ru-RU" w:eastAsia="ru-RU" w:bidi="ru-RU"/>
          <w:w w:val="100"/>
          <w:spacing w:val="0"/>
          <w:color w:val="000000"/>
          <w:position w:val="0"/>
        </w:rPr>
        <w:t>Анамнез, клиническая симптоматика</w:t>
      </w:r>
      <w:bookmarkEnd w:id="356"/>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Цианоз развивается в течение первого года жизни.</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Симптоматика порока обычно прогрессирует из-за развивающейся гипертрофии инфундибулярной пе</w:t>
        <w:softHyphen/>
        <w:t>регородки.</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Характерна одышка при нагрузке.</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Ребенок присаживается на корточки — типично при наличии шунта справа налево.</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Тяжелый цианоз может обнаруживаться с рождения при сочетании тетрады Фалло с атрезией легочной артерии.</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Низкий вес при рождении.</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Задержка развития.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Физикальные данные:</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Усиленная пульсация правого желудочка при паль</w:t>
        <w:softHyphen/>
        <w:t>пации.</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Систолическое дрожание в нижней части грудной клетки слева.</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Аортальный щелчок изгнания.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Однокомпонентный второй тон (закрытие клапана легочной артерии не выслушивается).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Систолический шум изгнания. Интенсивность шума варьирует и находится в обратной зависимости от сте</w:t>
        <w:softHyphen/>
        <w:t>пени обструкции выходного тракта правого желудочка.</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детей с тетрадой Фалло и выраженным цианозом обструкция выходного тракта более тяжелая, а шум более мягкий;</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детей с тетрадой Фалло без цианоза определяется продолжительный громкий систолический шум, иногда сопровождающийся систолическим дрожа</w:t>
        <w:softHyphen/>
        <w:t>нием в области выходного тракта правого желудочка.</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Цианоз — варьирует от голубого до фиолетового цве</w:t>
        <w:softHyphen/>
        <w:t>та кожи.</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Положение на корточках.</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Сколиоз (частый признак при тетраде Фалло).</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Инъецированные склеры.</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Одышка, тяжелое дыхание.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Лабораторные данные</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Оксигемометрия и газы крови:</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насыщение кислородом в крови варьирует, pH и </w:t>
      </w:r>
      <w:r>
        <w:rPr>
          <w:lang w:val="en-US" w:eastAsia="en-US" w:bidi="en-US"/>
          <w:w w:val="100"/>
          <w:spacing w:val="0"/>
          <w:color w:val="000000"/>
          <w:position w:val="0"/>
        </w:rPr>
        <w:t>pCO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в нормальных пределах и резко меняются во время одышечно-цианотического приступа;</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оксигемометрия особенно показана у темнокожих детей и у больных с сопутствующей анемией, кото</w:t>
        <w:softHyphen/>
        <w:t>рые маскируют проявления цианоза;</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цианоз может не выявляться, если снижено содер - жание гемоглобина в крови;</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снижение системной сосудистой резистентности при физической нагрузке, купании или при повы</w:t>
        <w:softHyphen/>
        <w:t>шении температуры (ОРВИ) потенцирует пра</w:t>
        <w:softHyphen/>
        <w:t>во-левый шунт и, следовательно, гипоксемию.</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Гематологические данные:</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продолжительный цианоз приводит к реактивной полицитемии, которая увеличивает кислородную емкость крови;</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повышенная вязкость крови и коагулопатии являют</w:t>
        <w:softHyphen/>
        <w:t>ся у детей с тетрадой Фалло потенциально опасными, предрасполагают к инсульту и мозговым абсцессам.</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 (рис. 27):</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pict>
          <v:shape id="_x0000_s1234" type="#_x0000_t75" style="position:absolute;margin-left:136.55pt;margin-top:740.2pt;width:209.75pt;height:14.9pt;z-index:-125829244;mso-wrap-distance-left:136.3pt;mso-wrap-distance-right:148.1pt;mso-wrap-distance-bottom:20.pt;mso-position-horizontal-relative:margin;mso-position-vertical-relative:margin" wrapcoords="0 0 21600 0 21600 21600 0 21600 0 0">
            <v:imagedata r:id="rId340" r:href="rId341"/>
            <w10:wrap type="topAndBottom" anchorx="margin" anchory="margin"/>
          </v:shape>
        </w:pict>
      </w:r>
      <w:r>
        <w:rPr>
          <w:lang w:val="ru-RU" w:eastAsia="ru-RU" w:bidi="ru-RU"/>
          <w:w w:val="100"/>
          <w:spacing w:val="0"/>
          <w:color w:val="000000"/>
          <w:position w:val="0"/>
        </w:rPr>
        <w:t>Отклонение электрической оси сердца вправо (от +120° до +150°).</w:t>
      </w:r>
      <w:r>
        <w:br w:type="page"/>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Правожелудочковая или бивентрикулярная (при не- цианотической форме) гипертрофия.</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Гипертрофия правого предсердия (при длительном течении порока).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Форма сердца в виде «деревянного башмачка» за счет закругленной, приподнятой над диафрагмой верхуш</w:t>
        <w:softHyphen/>
        <w:t>кой и западения дуги легочной артерии.</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Тень сердца нормальных размеров или уменьшена, поскольку снижен легочный кровоток и не бывает за</w:t>
        <w:softHyphen/>
        <w:t>стойной сердечной недостаточности.</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Уменьшение васкуляризации легких.</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Дилатация правого предсердия.</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Правосторонняя дуга аорты (25% больных).</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Тень сердца может быть нормальной при нецианотич- ной форме тетрады Фалло или напоминает таковую при умеренном дефекте межжелудочковой перегородки.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Одномерная ЭхоКГ:</w:t>
      </w:r>
    </w:p>
    <w:p>
      <w:pPr>
        <w:pStyle w:val="Style30"/>
        <w:numPr>
          <w:ilvl w:val="0"/>
          <w:numId w:val="51"/>
        </w:numPr>
        <w:tabs>
          <w:tab w:leader="none" w:pos="50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отсутствие переднего продолжения;</w:t>
      </w:r>
    </w:p>
    <w:p>
      <w:pPr>
        <w:pStyle w:val="Style30"/>
        <w:numPr>
          <w:ilvl w:val="0"/>
          <w:numId w:val="51"/>
        </w:numPr>
        <w:tabs>
          <w:tab w:leader="none" w:pos="50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дилатация аорты;</w:t>
      </w:r>
    </w:p>
    <w:p>
      <w:pPr>
        <w:pStyle w:val="Style30"/>
        <w:numPr>
          <w:ilvl w:val="0"/>
          <w:numId w:val="51"/>
        </w:numPr>
        <w:tabs>
          <w:tab w:leader="none" w:pos="50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декстрапозиция аорты (расположение передней стенки аорты и межжелудочковой перегородки на разной глубине);</w:t>
      </w:r>
    </w:p>
    <w:p>
      <w:pPr>
        <w:pStyle w:val="Style30"/>
        <w:numPr>
          <w:ilvl w:val="0"/>
          <w:numId w:val="51"/>
        </w:numPr>
        <w:tabs>
          <w:tab w:leader="none" w:pos="50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гипертрофия передней стенки правого желудочка;</w:t>
      </w:r>
    </w:p>
    <w:p>
      <w:pPr>
        <w:pStyle w:val="Style30"/>
        <w:numPr>
          <w:ilvl w:val="0"/>
          <w:numId w:val="51"/>
        </w:numPr>
        <w:tabs>
          <w:tab w:leader="none" w:pos="50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гипертрофия межжелудочковой перегородки;</w:t>
      </w:r>
    </w:p>
    <w:p>
      <w:pPr>
        <w:pStyle w:val="Style30"/>
        <w:numPr>
          <w:ilvl w:val="0"/>
          <w:numId w:val="51"/>
        </w:numPr>
        <w:tabs>
          <w:tab w:leader="none" w:pos="50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уменьшение диаметра легочной артерии;</w:t>
      </w:r>
    </w:p>
    <w:p>
      <w:pPr>
        <w:pStyle w:val="Style30"/>
        <w:numPr>
          <w:ilvl w:val="0"/>
          <w:numId w:val="51"/>
        </w:numPr>
        <w:tabs>
          <w:tab w:leader="none" w:pos="50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уменьшение левого предсердия.</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Двухмерная ЭхоКГ:</w:t>
      </w:r>
    </w:p>
    <w:p>
      <w:pPr>
        <w:pStyle w:val="Style30"/>
        <w:numPr>
          <w:ilvl w:val="0"/>
          <w:numId w:val="51"/>
        </w:numPr>
        <w:tabs>
          <w:tab w:leader="none" w:pos="50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непосредственная визуализация дефекта межжелу</w:t>
        <w:softHyphen/>
        <w:t>дочковой перегородки, смещения аорты и ее дила</w:t>
        <w:softHyphen/>
        <w:t>тации в парастернальной проекции длинной оси;</w:t>
      </w:r>
    </w:p>
    <w:p>
      <w:pPr>
        <w:pStyle w:val="Style30"/>
        <w:numPr>
          <w:ilvl w:val="0"/>
          <w:numId w:val="51"/>
        </w:numPr>
        <w:tabs>
          <w:tab w:leader="none" w:pos="50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непосредственная визуализация стеноза легочной артерии, места ее локализации и степени выра</w:t>
        <w:softHyphen/>
        <w:t>женности.</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 ЭхоКГ:</w:t>
      </w:r>
    </w:p>
    <w:p>
      <w:pPr>
        <w:pStyle w:val="Style30"/>
        <w:numPr>
          <w:ilvl w:val="0"/>
          <w:numId w:val="51"/>
        </w:numPr>
        <w:tabs>
          <w:tab w:leader="none" w:pos="50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турбулентный поток через дефект межжелудочко</w:t>
        <w:softHyphen/>
        <w:t>вой перегородки;</w:t>
      </w:r>
    </w:p>
    <w:p>
      <w:pPr>
        <w:pStyle w:val="Style30"/>
        <w:numPr>
          <w:ilvl w:val="0"/>
          <w:numId w:val="51"/>
        </w:numPr>
        <w:tabs>
          <w:tab w:leader="none" w:pos="505" w:val="left"/>
        </w:tabs>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турбулентный поток в легочной артерии. Катетеризация сердца:</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Оценивает размеры легочного кольца и легочных ар - терий.</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Оценивает тяжесть обструкции выходного тракта правого желудочка.</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Определяет расположение и размер дефекта межже</w:t>
        <w:softHyphen/>
        <w:t>лудочковой перегородки.</w:t>
      </w:r>
    </w:p>
    <w:p>
      <w:pPr>
        <w:pStyle w:val="Style30"/>
        <w:numPr>
          <w:ilvl w:val="0"/>
          <w:numId w:val="53"/>
        </w:numPr>
        <w:tabs>
          <w:tab w:leader="none" w:pos="23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Исключает возможные аномалии коронарных артерий. Дифференциальная диагностика</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Аномалия Эбштейна.</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Атрезия легочной артерии.</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Двойное отхождение магистральных сосудов от пра</w:t>
        <w:softHyphen/>
        <w:t>вого желудочка.</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Единственный желудочек.</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Общий артериальный ствол.</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возникновении одышечно-цианотического при</w:t>
        <w:softHyphen/>
        <w:t>ступа необходимо, чтобы ребенок прижал колени к груди (уменьшается венозный возврат), вводят 1% раствор промедола по 0,1 мл/год жизни подкожно и кордиамина по 0,02 мл/кг подкожно или внутримы</w:t>
        <w:softHyphen/>
        <w:t>шечно, корригируют полицитемию (реополиглюкин или гемодез по 5-10 мл/кг внутривенно капельно).</w:t>
      </w:r>
    </w:p>
    <w:p>
      <w:pPr>
        <w:pStyle w:val="Style30"/>
        <w:widowControl w:val="0"/>
        <w:keepNext w:val="0"/>
        <w:keepLines w:val="0"/>
        <w:shd w:val="clear" w:color="auto" w:fill="auto"/>
        <w:bidi w:val="0"/>
        <w:spacing w:before="0" w:after="0"/>
        <w:ind w:left="280" w:right="0" w:firstLine="240"/>
      </w:pPr>
      <w:r>
        <w:br w:type="column"/>
      </w:r>
      <w:r>
        <w:rPr>
          <w:lang w:val="ru-RU" w:eastAsia="ru-RU" w:bidi="ru-RU"/>
          <w:w w:val="100"/>
          <w:spacing w:val="0"/>
          <w:color w:val="000000"/>
          <w:position w:val="0"/>
        </w:rPr>
        <w:t>Для снятия спазма легочной артерии назначают обзи- дан 0,1 мг/кг внутривенно капельно со скоростью 0,005 мг/мин. Если ребенок находится в стационаре, возможно проведение ингаляции оксида азота. При неэффективности проводимых мероприятий проводится экстренное хирургическое вмешательст</w:t>
        <w:softHyphen/>
        <w:t>во — наложение системно-легочного анастомоза. Хирургическое лечение</w:t>
      </w:r>
    </w:p>
    <w:p>
      <w:pPr>
        <w:pStyle w:val="Style30"/>
        <w:numPr>
          <w:ilvl w:val="0"/>
          <w:numId w:val="5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Паллиативная хирургия проводится лишь в тех случа</w:t>
        <w:softHyphen/>
        <w:t>ях, когда не представляется выполнить радикальную коррекцию порока. Экстренно анастомоз накладыва</w:t>
        <w:softHyphen/>
        <w:t>ется при некупирующемся одышечно-цианотичес- ком приступе.</w:t>
      </w:r>
    </w:p>
    <w:p>
      <w:pPr>
        <w:pStyle w:val="Style30"/>
        <w:numPr>
          <w:ilvl w:val="0"/>
          <w:numId w:val="5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Радикальная коррекция заключается в закрытии ДМЖП и устранении стеноза легочной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5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Средняя продолжительность жизни у неоперирован</w:t>
        <w:softHyphen/>
        <w:t>ных больных — 10-12 лет.</w:t>
      </w:r>
    </w:p>
    <w:p>
      <w:pPr>
        <w:pStyle w:val="Style30"/>
        <w:numPr>
          <w:ilvl w:val="0"/>
          <w:numId w:val="5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Паллиативные операции хотя и удлиняют продолжи</w:t>
        <w:softHyphen/>
        <w:t>тельность жизни больных, однако не улучшают про</w:t>
        <w:softHyphen/>
        <w:t>гноз.</w:t>
      </w:r>
    </w:p>
    <w:p>
      <w:pPr>
        <w:pStyle w:val="Style30"/>
        <w:numPr>
          <w:ilvl w:val="0"/>
          <w:numId w:val="5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После радикальной коррекции тетрады Фалло, про</w:t>
        <w:softHyphen/>
        <w:t>веденной без послеоперационных осложнений, про</w:t>
        <w:softHyphen/>
        <w:t>гноз вполне удовлетворительный.</w:t>
      </w:r>
    </w:p>
    <w:p>
      <w:pPr>
        <w:pStyle w:val="Style28"/>
        <w:widowControl w:val="0"/>
        <w:keepNext/>
        <w:keepLines/>
        <w:shd w:val="clear" w:color="auto" w:fill="auto"/>
        <w:bidi w:val="0"/>
        <w:jc w:val="left"/>
        <w:spacing w:before="0" w:after="122" w:line="293" w:lineRule="exact"/>
        <w:ind w:left="0" w:right="0" w:firstLine="0"/>
      </w:pPr>
      <w:bookmarkStart w:id="357" w:name="bookmark357"/>
      <w:r>
        <w:rPr>
          <w:lang w:val="ru-RU" w:eastAsia="ru-RU" w:bidi="ru-RU"/>
          <w:w w:val="100"/>
          <w:spacing w:val="0"/>
          <w:color w:val="000000"/>
          <w:position w:val="0"/>
        </w:rPr>
        <w:t>Двойное отхождение магистральных сосудов от правого желудочка</w:t>
      </w:r>
      <w:bookmarkEnd w:id="35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Конотрункальный порок сердца, при котором оба маги</w:t>
        <w:softHyphen/>
        <w:t>стральных сосуда отходят от морфологически правого же</w:t>
        <w:softHyphen/>
        <w:t>лудочка, имеет место транспозиция магистральных сосудов и дефект межжелудочковой перегородки.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Двойное отхождение магистральных сосудов (ДОМС) от правого желудочка наблюдается в 1-1,5% случаев среди всех ВПС.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ДОМС от правого желудочка встречается с одинаковой частотой у мальчиков и девочек.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 выявляется на первом месяце жизни.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Анатомия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ДОМС от правого желудочка имеет различные морфо</w:t>
        <w:softHyphen/>
        <w:t>логические характеристики.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Принято выделять следующие критерии порока:</w:t>
      </w:r>
    </w:p>
    <w:p>
      <w:pPr>
        <w:pStyle w:val="Style30"/>
        <w:numPr>
          <w:ilvl w:val="0"/>
          <w:numId w:val="5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Аорта и легочная артерия целиком отходят от анато</w:t>
        <w:softHyphen/>
        <w:t>мически правого желудочка.</w:t>
      </w:r>
    </w:p>
    <w:p>
      <w:pPr>
        <w:pStyle w:val="Style30"/>
        <w:numPr>
          <w:ilvl w:val="0"/>
          <w:numId w:val="5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Дефект межжелудочковой перегородки является единственным выходом из анатомически левого же</w:t>
        <w:softHyphen/>
        <w:t>лудочка.</w:t>
      </w:r>
    </w:p>
    <w:p>
      <w:pPr>
        <w:pStyle w:val="Style30"/>
        <w:numPr>
          <w:ilvl w:val="0"/>
          <w:numId w:val="5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Отсутствует фиброзный контакт между митральным и полулунными клапанами.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Классификация ДОМС от правого желудочка в зависи</w:t>
        <w:softHyphen/>
        <w:t>мости от расположения дефекта межжелудочковой перего</w:t>
        <w:softHyphen/>
        <w:t xml:space="preserve">родки и наличия стеноза легочной артерии </w:t>
      </w:r>
      <w:r>
        <w:rPr>
          <w:lang w:val="en-US" w:eastAsia="en-US" w:bidi="en-US"/>
          <w:w w:val="100"/>
          <w:spacing w:val="0"/>
          <w:color w:val="000000"/>
          <w:position w:val="0"/>
        </w:rPr>
        <w:t>(Neufeld H.):</w:t>
      </w:r>
    </w:p>
    <w:p>
      <w:pPr>
        <w:pStyle w:val="Style30"/>
        <w:numPr>
          <w:ilvl w:val="0"/>
          <w:numId w:val="53"/>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ДОМС с субаортальным ДМЖП:</w:t>
      </w:r>
    </w:p>
    <w:p>
      <w:pPr>
        <w:pStyle w:val="Style30"/>
        <w:numPr>
          <w:ilvl w:val="0"/>
          <w:numId w:val="51"/>
        </w:numPr>
        <w:tabs>
          <w:tab w:leader="none" w:pos="760"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без стеноза легочной артерии;</w:t>
      </w:r>
    </w:p>
    <w:p>
      <w:pPr>
        <w:pStyle w:val="Style30"/>
        <w:numPr>
          <w:ilvl w:val="0"/>
          <w:numId w:val="51"/>
        </w:numPr>
        <w:tabs>
          <w:tab w:leader="none" w:pos="760"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со стенозом легочной артерии.</w:t>
      </w:r>
    </w:p>
    <w:p>
      <w:pPr>
        <w:pStyle w:val="Style30"/>
        <w:numPr>
          <w:ilvl w:val="0"/>
          <w:numId w:val="53"/>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ДОМС с подлегочным ДМЖП:</w:t>
      </w:r>
    </w:p>
    <w:p>
      <w:pPr>
        <w:pStyle w:val="Style30"/>
        <w:numPr>
          <w:ilvl w:val="0"/>
          <w:numId w:val="51"/>
        </w:numPr>
        <w:tabs>
          <w:tab w:leader="none" w:pos="760"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без стеноза легочной артерии (аномалия Тауссинг- Бинга);</w:t>
      </w:r>
    </w:p>
    <w:p>
      <w:pPr>
        <w:pStyle w:val="Style30"/>
        <w:numPr>
          <w:ilvl w:val="0"/>
          <w:numId w:val="51"/>
        </w:numPr>
        <w:tabs>
          <w:tab w:leader="none" w:pos="760" w:val="left"/>
        </w:tabs>
        <w:widowControl w:val="0"/>
        <w:keepNext w:val="0"/>
        <w:keepLines w:val="0"/>
        <w:shd w:val="clear" w:color="auto" w:fill="auto"/>
        <w:bidi w:val="0"/>
        <w:spacing w:before="0" w:after="0"/>
        <w:ind w:left="520" w:right="0" w:firstLine="0"/>
      </w:pPr>
      <w:r>
        <w:pict>
          <v:shape id="_x0000_s1235" type="#_x0000_t75" style="position:absolute;margin-left:142.2pt;margin-top:740.2pt;width:209.75pt;height:14.9pt;z-index:-125829243;mso-wrap-distance-left:136.1pt;mso-wrap-distance-right:136.55pt;mso-wrap-distance-bottom:20.pt;mso-position-horizontal-relative:margin;mso-position-vertical-relative:margin" wrapcoords="0 0 21600 0 21600 21600 0 21600 0 0">
            <v:imagedata r:id="rId342" r:href="rId343"/>
            <w10:wrap type="topAndBottom" anchorx="margin" anchory="margin"/>
          </v:shape>
        </w:pict>
      </w:r>
      <w:r>
        <w:rPr>
          <w:lang w:val="ru-RU" w:eastAsia="ru-RU" w:bidi="ru-RU"/>
          <w:w w:val="100"/>
          <w:spacing w:val="0"/>
          <w:color w:val="000000"/>
          <w:position w:val="0"/>
        </w:rPr>
        <w:t>со стенозом легочной артерии.</w:t>
      </w:r>
      <w:r>
        <w:br w:type="page"/>
      </w:r>
    </w:p>
    <w:p>
      <w:pPr>
        <w:pStyle w:val="Style92"/>
        <w:widowControl w:val="0"/>
        <w:keepNext/>
        <w:keepLines/>
        <w:shd w:val="clear" w:color="auto" w:fill="auto"/>
        <w:bidi w:val="0"/>
        <w:spacing w:before="0" w:after="0"/>
        <w:ind w:left="500" w:right="0" w:hanging="220"/>
      </w:pPr>
      <w:bookmarkStart w:id="358" w:name="bookmark358"/>
      <w:r>
        <w:rPr>
          <w:lang w:val="ru-RU" w:eastAsia="ru-RU" w:bidi="ru-RU"/>
          <w:w w:val="100"/>
          <w:spacing w:val="0"/>
          <w:color w:val="000000"/>
          <w:position w:val="0"/>
        </w:rPr>
        <w:t>Патофизиология</w:t>
      </w:r>
      <w:bookmarkEnd w:id="35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Гемодинамические нарушения при ДОМС от правого желудочка в первую очередь определяются анатомическим вариантом порока и легочным кровотоком.</w:t>
      </w:r>
    </w:p>
    <w:p>
      <w:pPr>
        <w:pStyle w:val="Style30"/>
        <w:numPr>
          <w:ilvl w:val="0"/>
          <w:numId w:val="53"/>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ДОМС с субаортальным дефектом МЖП без сте - ноза легочной артерии кровь из правого желудочка отдельным потоком поступает в легочную артерию, благодаря подаортальной локализации ДМЖП арте</w:t>
        <w:softHyphen/>
        <w:t>риальная кровь поступает преимущественно в аорту. Имеет место лишь небольшое смешивание крови, од</w:t>
        <w:softHyphen/>
        <w:t>нако рано развивается гиперволемия легких, приво</w:t>
        <w:softHyphen/>
        <w:t>дящая к легочной гипертензии.</w:t>
      </w:r>
    </w:p>
    <w:p>
      <w:pPr>
        <w:pStyle w:val="Style30"/>
        <w:numPr>
          <w:ilvl w:val="0"/>
          <w:numId w:val="53"/>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ДОМС с подаортальным ДМЖП со стенозом ле</w:t>
        <w:softHyphen/>
        <w:t>гочной артерии легочный кровоток уменьшен, пра</w:t>
        <w:softHyphen/>
        <w:t>вый желудочек в большей степени нагнетает кровь в аорту, появляется гипоксемия.</w:t>
      </w:r>
    </w:p>
    <w:p>
      <w:pPr>
        <w:pStyle w:val="Style30"/>
        <w:numPr>
          <w:ilvl w:val="0"/>
          <w:numId w:val="53"/>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ДОМС с подлегочным ДМЖП в аорту поступа</w:t>
        <w:softHyphen/>
        <w:t>ет венозная кровь, а в легочную артерию — преиму</w:t>
        <w:softHyphen/>
        <w:t>щественно артериальная. Гиперволемия малого круга кровообращения сопровождается легочной гипертензией и выраженной артериальной гипоксе- мией.</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Анамнез, клиническая симптоматика</w:t>
      </w:r>
    </w:p>
    <w:p>
      <w:pPr>
        <w:pStyle w:val="Style30"/>
        <w:numPr>
          <w:ilvl w:val="0"/>
          <w:numId w:val="53"/>
        </w:numPr>
        <w:tabs>
          <w:tab w:leader="none" w:pos="513"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ДОМС с субаортальным или субпульмональным ДМЖП без стеноза легочной артерии:</w:t>
      </w:r>
    </w:p>
    <w:p>
      <w:pPr>
        <w:pStyle w:val="Style30"/>
        <w:numPr>
          <w:ilvl w:val="0"/>
          <w:numId w:val="51"/>
        </w:numPr>
        <w:tabs>
          <w:tab w:leader="none" w:pos="73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анамнез таких больных очень схож с анамнезом пациентов с тетрадой Фалло;</w:t>
      </w:r>
    </w:p>
    <w:p>
      <w:pPr>
        <w:pStyle w:val="Style30"/>
        <w:numPr>
          <w:ilvl w:val="0"/>
          <w:numId w:val="51"/>
        </w:numPr>
        <w:tabs>
          <w:tab w:leader="none" w:pos="73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если возникает легочная гиперволемия, появляет</w:t>
        <w:softHyphen/>
        <w:t>ся тяжелый цианоз уже в период новорожденнос- ти, и порок сердца диагностируется рано;</w:t>
      </w:r>
    </w:p>
    <w:p>
      <w:pPr>
        <w:pStyle w:val="Style30"/>
        <w:numPr>
          <w:ilvl w:val="0"/>
          <w:numId w:val="51"/>
        </w:numPr>
        <w:tabs>
          <w:tab w:leader="none" w:pos="73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 последующие периоды детства развивается рез</w:t>
        <w:softHyphen/>
        <w:t>ко выраженный цианоз, сопровождающийся по- лицитемией, одышечно-цианотическими присту</w:t>
        <w:softHyphen/>
        <w:t>пами;</w:t>
      </w:r>
    </w:p>
    <w:p>
      <w:pPr>
        <w:pStyle w:val="Style30"/>
        <w:numPr>
          <w:ilvl w:val="0"/>
          <w:numId w:val="51"/>
        </w:numPr>
        <w:tabs>
          <w:tab w:leader="none" w:pos="73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 таких больных рано развиваются признаки высо - кой легочной гипертензии.</w:t>
      </w:r>
    </w:p>
    <w:p>
      <w:pPr>
        <w:pStyle w:val="Style30"/>
        <w:numPr>
          <w:ilvl w:val="0"/>
          <w:numId w:val="53"/>
        </w:numPr>
        <w:tabs>
          <w:tab w:leader="none" w:pos="513"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ДОМС с субаортальным ДМЖП со стенозом легоч</w:t>
        <w:softHyphen/>
        <w:t>ной артерии:</w:t>
      </w:r>
    </w:p>
    <w:p>
      <w:pPr>
        <w:pStyle w:val="Style30"/>
        <w:numPr>
          <w:ilvl w:val="0"/>
          <w:numId w:val="51"/>
        </w:numPr>
        <w:tabs>
          <w:tab w:leader="none" w:pos="73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анамнез таких больных схож с анамнезом пациен</w:t>
        <w:softHyphen/>
        <w:t>тов, имеющих большой ДМЖП с легочной гипер</w:t>
        <w:softHyphen/>
        <w:t>тензией;</w:t>
      </w:r>
    </w:p>
    <w:p>
      <w:pPr>
        <w:pStyle w:val="Style30"/>
        <w:numPr>
          <w:ilvl w:val="0"/>
          <w:numId w:val="51"/>
        </w:numPr>
        <w:tabs>
          <w:tab w:leader="none" w:pos="73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 детей возникают признаки сердечной недоста</w:t>
        <w:softHyphen/>
        <w:t>точности, плохая переносимость физических на</w:t>
        <w:softHyphen/>
        <w:t>грузок. Артериальная гипоксемия в раннем воз</w:t>
        <w:softHyphen/>
        <w:t>расте не столь выражена, но развивается в после</w:t>
        <w:softHyphen/>
        <w:t>дующем;</w:t>
      </w:r>
    </w:p>
    <w:p>
      <w:pPr>
        <w:pStyle w:val="Style30"/>
        <w:numPr>
          <w:ilvl w:val="0"/>
          <w:numId w:val="51"/>
        </w:numPr>
        <w:tabs>
          <w:tab w:leader="none" w:pos="73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диагноз заболевания обычно устанавливается в воз</w:t>
        <w:softHyphen/>
        <w:t>расте 1-3 лет и редко в период новорожденности;</w:t>
      </w:r>
    </w:p>
    <w:p>
      <w:pPr>
        <w:pStyle w:val="Style30"/>
        <w:numPr>
          <w:ilvl w:val="0"/>
          <w:numId w:val="51"/>
        </w:numPr>
        <w:tabs>
          <w:tab w:leader="none" w:pos="73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такой вариант ДОМС от правого желудочка час</w:t>
        <w:softHyphen/>
        <w:t>то ассоциируется с трисомией 13 или трисоми- ей 18;</w:t>
      </w:r>
    </w:p>
    <w:p>
      <w:pPr>
        <w:pStyle w:val="Style30"/>
        <w:numPr>
          <w:ilvl w:val="0"/>
          <w:numId w:val="51"/>
        </w:numPr>
        <w:tabs>
          <w:tab w:leader="none" w:pos="73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если ДМЖП большой, несмотря на стеноз легоч</w:t>
        <w:softHyphen/>
        <w:t>ной артерии, в сосудах легких развиваются об</w:t>
        <w:softHyphen/>
        <w:t>структивные изменения.</w:t>
      </w:r>
    </w:p>
    <w:p>
      <w:pPr>
        <w:pStyle w:val="Style30"/>
        <w:numPr>
          <w:ilvl w:val="0"/>
          <w:numId w:val="53"/>
        </w:numPr>
        <w:tabs>
          <w:tab w:leader="none" w:pos="513"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ДОМС с подлегочным ДМЖП без стеноза легочной артерии:</w:t>
      </w:r>
    </w:p>
    <w:p>
      <w:pPr>
        <w:pStyle w:val="Style30"/>
        <w:numPr>
          <w:ilvl w:val="0"/>
          <w:numId w:val="51"/>
        </w:numPr>
        <w:tabs>
          <w:tab w:leader="none" w:pos="73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анамнез таких больных схож с анамнезом пациен</w:t>
        <w:softHyphen/>
        <w:t>тов, имеющих транспозицию магистральных со</w:t>
        <w:softHyphen/>
        <w:t>судов;</w:t>
      </w:r>
    </w:p>
    <w:p>
      <w:pPr>
        <w:pStyle w:val="Style30"/>
        <w:numPr>
          <w:ilvl w:val="0"/>
          <w:numId w:val="51"/>
        </w:numPr>
        <w:tabs>
          <w:tab w:leader="none" w:pos="73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степень цианоза варьирует от легкого до тяжелого с фиолетовым оттенком. Сатурация кислорода ко</w:t>
        <w:softHyphen/>
        <w:t>леблется в пределах 40-80%;</w:t>
      </w:r>
    </w:p>
    <w:p>
      <w:pPr>
        <w:pStyle w:val="Style30"/>
        <w:numPr>
          <w:ilvl w:val="0"/>
          <w:numId w:val="51"/>
        </w:numPr>
        <w:tabs>
          <w:tab w:leader="none" w:pos="736" w:val="left"/>
        </w:tabs>
        <w:widowControl w:val="0"/>
        <w:keepNext w:val="0"/>
        <w:keepLines w:val="0"/>
        <w:shd w:val="clear" w:color="auto" w:fill="auto"/>
        <w:bidi w:val="0"/>
        <w:spacing w:before="0" w:after="0"/>
        <w:ind w:left="720" w:right="0" w:hanging="220"/>
      </w:pPr>
      <w:r>
        <w:br w:type="column"/>
      </w:r>
      <w:r>
        <w:rPr>
          <w:lang w:val="ru-RU" w:eastAsia="ru-RU" w:bidi="ru-RU"/>
          <w:w w:val="100"/>
          <w:spacing w:val="0"/>
          <w:color w:val="000000"/>
          <w:position w:val="0"/>
        </w:rPr>
        <w:t>если сопутствует коарктация аорты или перерыв дуги аорты, рано развивается сердечная недоста</w:t>
        <w:softHyphen/>
        <w:t>точность.</w:t>
      </w:r>
    </w:p>
    <w:p>
      <w:pPr>
        <w:pStyle w:val="Style30"/>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Данные физикального обследования варьируют в зави</w:t>
        <w:softHyphen/>
        <w:t>симости от анатомического варианта порока.</w:t>
      </w:r>
    </w:p>
    <w:p>
      <w:pPr>
        <w:pStyle w:val="Style30"/>
        <w:numPr>
          <w:ilvl w:val="0"/>
          <w:numId w:val="53"/>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ДОМС с субаортальным или подлегочным ДМЖП со стенозом легочной артерии:</w:t>
      </w:r>
    </w:p>
    <w:p>
      <w:pPr>
        <w:pStyle w:val="Style30"/>
        <w:numPr>
          <w:ilvl w:val="0"/>
          <w:numId w:val="5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усиленный разлитой правожелудочковый толчок;</w:t>
      </w:r>
    </w:p>
    <w:p>
      <w:pPr>
        <w:pStyle w:val="Style30"/>
        <w:numPr>
          <w:ilvl w:val="0"/>
          <w:numId w:val="5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систолическое дрожание в левой верхней стер</w:t>
        <w:softHyphen/>
        <w:t>нальной области;</w:t>
      </w:r>
    </w:p>
    <w:p>
      <w:pPr>
        <w:pStyle w:val="Style30"/>
        <w:numPr>
          <w:ilvl w:val="0"/>
          <w:numId w:val="5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грубый систолический шум;</w:t>
      </w:r>
    </w:p>
    <w:p>
      <w:pPr>
        <w:pStyle w:val="Style30"/>
        <w:numPr>
          <w:ilvl w:val="0"/>
          <w:numId w:val="5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громкий, короткий по продолжительности второй тон сердца.</w:t>
      </w:r>
    </w:p>
    <w:p>
      <w:pPr>
        <w:pStyle w:val="Style30"/>
        <w:numPr>
          <w:ilvl w:val="0"/>
          <w:numId w:val="53"/>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ДОМС с субаортальным ДМЖП без стеноза легочной артерии:</w:t>
      </w:r>
    </w:p>
    <w:p>
      <w:pPr>
        <w:pStyle w:val="Style30"/>
        <w:numPr>
          <w:ilvl w:val="0"/>
          <w:numId w:val="5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гипердинамический сердечный толчок;</w:t>
      </w:r>
    </w:p>
    <w:p>
      <w:pPr>
        <w:pStyle w:val="Style30"/>
        <w:numPr>
          <w:ilvl w:val="0"/>
          <w:numId w:val="5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 xml:space="preserve">голосистолический шум </w:t>
      </w:r>
      <w:r>
        <w:rPr>
          <w:lang w:val="en-US" w:eastAsia="en-US" w:bidi="en-US"/>
          <w:w w:val="100"/>
          <w:spacing w:val="0"/>
          <w:color w:val="000000"/>
          <w:position w:val="0"/>
        </w:rPr>
        <w:t xml:space="preserve">III-IV/VI </w:t>
      </w:r>
      <w:r>
        <w:rPr>
          <w:lang w:val="ru-RU" w:eastAsia="ru-RU" w:bidi="ru-RU"/>
          <w:w w:val="100"/>
          <w:spacing w:val="0"/>
          <w:color w:val="000000"/>
          <w:position w:val="0"/>
        </w:rPr>
        <w:t>градации по Ле</w:t>
        <w:softHyphen/>
        <w:t>вине;</w:t>
      </w:r>
    </w:p>
    <w:p>
      <w:pPr>
        <w:pStyle w:val="Style30"/>
        <w:numPr>
          <w:ilvl w:val="0"/>
          <w:numId w:val="5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громкий легочный компонент второго тона;</w:t>
      </w:r>
    </w:p>
    <w:p>
      <w:pPr>
        <w:pStyle w:val="Style30"/>
        <w:numPr>
          <w:ilvl w:val="0"/>
          <w:numId w:val="5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систолическое дрожание над верхушкой сердца;</w:t>
      </w:r>
    </w:p>
    <w:p>
      <w:pPr>
        <w:pStyle w:val="Style30"/>
        <w:numPr>
          <w:ilvl w:val="0"/>
          <w:numId w:val="5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 возникновением легочной гипертензии систоли</w:t>
        <w:softHyphen/>
        <w:t>ческий шум дефекта ослабевает или исчезает, вто</w:t>
        <w:softHyphen/>
        <w:t>рой тон приобретает более грубый («металличес</w:t>
        <w:softHyphen/>
        <w:t>кий») характер, появляется шум недостаточности клапана легочной артерии.</w:t>
      </w:r>
    </w:p>
    <w:p>
      <w:pPr>
        <w:pStyle w:val="Style30"/>
        <w:numPr>
          <w:ilvl w:val="0"/>
          <w:numId w:val="53"/>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ДОМС с подлегочным ДМЖП без стеноза легочной артерии</w:t>
      </w:r>
    </w:p>
    <w:p>
      <w:pPr>
        <w:pStyle w:val="Style30"/>
        <w:numPr>
          <w:ilvl w:val="0"/>
          <w:numId w:val="5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определяются выраженный цианоз, тахипноэ, за</w:t>
        <w:softHyphen/>
        <w:t>стойные хрипы в легких, симптомы и признаки сердечной недостаточности;</w:t>
      </w:r>
    </w:p>
    <w:p>
      <w:pPr>
        <w:pStyle w:val="Style30"/>
        <w:numPr>
          <w:ilvl w:val="0"/>
          <w:numId w:val="5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 xml:space="preserve">выслушивается громкий компонент второго тона, систолический шум </w:t>
      </w:r>
      <w:r>
        <w:rPr>
          <w:lang w:val="en-US" w:eastAsia="en-US" w:bidi="en-US"/>
          <w:w w:val="100"/>
          <w:spacing w:val="0"/>
          <w:color w:val="000000"/>
          <w:position w:val="0"/>
        </w:rPr>
        <w:t xml:space="preserve">III/VI </w:t>
      </w:r>
      <w:r>
        <w:rPr>
          <w:lang w:val="ru-RU" w:eastAsia="ru-RU" w:bidi="ru-RU"/>
          <w:w w:val="100"/>
          <w:spacing w:val="0"/>
          <w:color w:val="000000"/>
          <w:position w:val="0"/>
        </w:rPr>
        <w:t>градации по Левине, верхушечный диастолический тон;</w:t>
      </w:r>
    </w:p>
    <w:p>
      <w:pPr>
        <w:pStyle w:val="Style30"/>
        <w:numPr>
          <w:ilvl w:val="0"/>
          <w:numId w:val="5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при сопутствующей коарктации аорты пульс на бе</w:t>
        <w:softHyphen/>
        <w:t>дренных артериях не определяется.</w:t>
      </w:r>
    </w:p>
    <w:p>
      <w:pPr>
        <w:pStyle w:val="Style30"/>
        <w:widowControl w:val="0"/>
        <w:keepNext w:val="0"/>
        <w:keepLines w:val="0"/>
        <w:shd w:val="clear" w:color="auto" w:fill="auto"/>
        <w:bidi w:val="0"/>
        <w:jc w:val="left"/>
        <w:spacing w:before="0" w:after="0"/>
        <w:ind w:left="260" w:right="2100" w:firstLine="0"/>
      </w:pPr>
      <w:r>
        <w:rPr>
          <w:lang w:val="ru-RU" w:eastAsia="ru-RU" w:bidi="ru-RU"/>
          <w:w w:val="100"/>
          <w:spacing w:val="0"/>
          <w:color w:val="000000"/>
          <w:position w:val="0"/>
        </w:rPr>
        <w:t>Инструментальная диагностика Электрокардиография:</w:t>
      </w:r>
    </w:p>
    <w:p>
      <w:pPr>
        <w:pStyle w:val="Style30"/>
        <w:numPr>
          <w:ilvl w:val="0"/>
          <w:numId w:val="53"/>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ДОМС с субаортальным ДМЖП без стеноза ле</w:t>
        <w:softHyphen/>
        <w:t>гочной артерии определяется бивентрикулярная ги</w:t>
        <w:softHyphen/>
        <w:t>пертрофия, электрическая ось сердца может быть от</w:t>
        <w:softHyphen/>
        <w:t>клонена влево, реже — вправо.</w:t>
      </w:r>
    </w:p>
    <w:p>
      <w:pPr>
        <w:pStyle w:val="Style30"/>
        <w:numPr>
          <w:ilvl w:val="0"/>
          <w:numId w:val="53"/>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ДОМС с субаортальным ДМЖП и стенозом ле</w:t>
        <w:softHyphen/>
        <w:t>гочной артерии электрокардиографическая картина такая же, как при тетраде Фалло; отклонение элек</w:t>
        <w:softHyphen/>
        <w:t>трической оси сердца вправо, признаки гипертрофии правого желудочка.</w:t>
      </w:r>
    </w:p>
    <w:p>
      <w:pPr>
        <w:pStyle w:val="Style30"/>
        <w:numPr>
          <w:ilvl w:val="0"/>
          <w:numId w:val="53"/>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ДОМС с подлегочным ДМЖП электрокардио</w:t>
        <w:softHyphen/>
        <w:t>графические изменения неспецифичны, часто опре</w:t>
        <w:softHyphen/>
        <w:t>деляется правограмма с признаками гипертрофии правого желудочка.</w:t>
      </w:r>
    </w:p>
    <w:p>
      <w:pPr>
        <w:pStyle w:val="Style30"/>
        <w:numPr>
          <w:ilvl w:val="0"/>
          <w:numId w:val="53"/>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всех типах порока часто определяется перегрузка правого предсердия.</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Рентгенография:</w:t>
      </w:r>
    </w:p>
    <w:p>
      <w:pPr>
        <w:pStyle w:val="Style30"/>
        <w:numPr>
          <w:ilvl w:val="0"/>
          <w:numId w:val="53"/>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Для ДОМС от правого желудочка без стеноза легоч</w:t>
        <w:softHyphen/>
        <w:t>ной артерии характерны усиление легочного рисунка за счет переполнения артериального русла, признаки высокой легочной гипертензии. Сердце увеличено за счет правых и левых отделов. При аномалии Тауссиг- Бинга легочная артерия имеет аневризматическое выбухание.</w:t>
      </w:r>
    </w:p>
    <w:p>
      <w:pPr>
        <w:pStyle w:val="Style30"/>
        <w:numPr>
          <w:ilvl w:val="0"/>
          <w:numId w:val="53"/>
        </w:numPr>
        <w:tabs>
          <w:tab w:leader="none" w:pos="492" w:val="left"/>
        </w:tabs>
        <w:widowControl w:val="0"/>
        <w:keepNext w:val="0"/>
        <w:keepLines w:val="0"/>
        <w:shd w:val="clear" w:color="auto" w:fill="auto"/>
        <w:bidi w:val="0"/>
        <w:spacing w:before="0" w:after="0"/>
        <w:ind w:left="500" w:right="0" w:hanging="240"/>
      </w:pPr>
      <w:r>
        <w:pict>
          <v:shape id="_x0000_s1236" type="#_x0000_t75" style="position:absolute;margin-left:136.8pt;margin-top:740.2pt;width:209.75pt;height:14.9pt;z-index:-125829242;mso-wrap-distance-left:136.55pt;mso-wrap-distance-right:147.85pt;mso-wrap-distance-bottom:20.pt;mso-position-horizontal-relative:margin;mso-position-vertical-relative:margin" wrapcoords="0 0 21600 0 21600 21600 0 21600 0 0">
            <v:imagedata r:id="rId344" r:href="rId345"/>
            <w10:wrap type="topAndBottom" anchorx="margin" anchory="margin"/>
          </v:shape>
        </w:pict>
      </w:r>
      <w:r>
        <w:rPr>
          <w:lang w:val="ru-RU" w:eastAsia="ru-RU" w:bidi="ru-RU"/>
          <w:w w:val="100"/>
          <w:spacing w:val="0"/>
          <w:color w:val="000000"/>
          <w:position w:val="0"/>
        </w:rPr>
        <w:t>Для ДОМС от правого желудочка со стенозом легоч</w:t>
        <w:softHyphen/>
        <w:t>ной артерии характерно преимущественное увеличе-</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ние правых отделов сердца, обеднение легочного со</w:t>
        <w:softHyphen/>
        <w:t>судистого рисунка.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Одномерная ЭхоКГ:</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отсутствие переднего продолжения;</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отсутствие заднего продолжения;</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перерыв сигнала от межжелудочковой перегородки.</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гипертрофия правого желудочка;</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уменьшение полости левого желудочка.</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Двухмерная ЭхоКГ:</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визуализация двух параллельных магистральных сосудов, отходящих от правого желудочка (задним сосудом является легочная артерия);</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определение локализации ДМЖП: подаорталь</w:t>
        <w:softHyphen/>
        <w:t>ный, подлегочный, под обоими магистральными сосудами, отдаленный от магистральных сосудов;</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подтверждение наличия или отсутствия стеноза легочной артерии.</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Допплер ЭхоКГ:</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определение систолического градиента между ле</w:t>
        <w:softHyphen/>
        <w:t>вым и правым желудочком;</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определение систолического градиента между аор - той и правым желудочком;</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определение систолического градиента между ле</w:t>
        <w:softHyphen/>
        <w:t>гочной артерией и правым желудочком.</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Катетеризация сердца:</w:t>
      </w:r>
    </w:p>
    <w:p>
      <w:pPr>
        <w:pStyle w:val="Style30"/>
        <w:numPr>
          <w:ilvl w:val="0"/>
          <w:numId w:val="5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Определение объемов правого и левого желудоч</w:t>
        <w:softHyphen/>
        <w:t>ков.</w:t>
      </w:r>
    </w:p>
    <w:p>
      <w:pPr>
        <w:pStyle w:val="Style30"/>
        <w:numPr>
          <w:ilvl w:val="0"/>
          <w:numId w:val="5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Выявление градиента через ДМЖП.</w:t>
      </w:r>
    </w:p>
    <w:p>
      <w:pPr>
        <w:pStyle w:val="Style30"/>
        <w:numPr>
          <w:ilvl w:val="0"/>
          <w:numId w:val="5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Выявление взаимоотношения ДМЖП с магист</w:t>
        <w:softHyphen/>
        <w:t>ральными сосудами.</w:t>
      </w:r>
    </w:p>
    <w:p>
      <w:pPr>
        <w:pStyle w:val="Style30"/>
        <w:numPr>
          <w:ilvl w:val="0"/>
          <w:numId w:val="5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Выявление анатомии коронарных сосудов и ано</w:t>
        <w:softHyphen/>
        <w:t>малий дуги аорты.</w:t>
      </w:r>
    </w:p>
    <w:p>
      <w:pPr>
        <w:pStyle w:val="Style30"/>
        <w:numPr>
          <w:ilvl w:val="0"/>
          <w:numId w:val="5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Определение степени смешивания крови между большим и малым кругом кровообращения.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Ангиография:</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Диагностическими ангиографическими признаками ДОМС от правого желудочка являются:</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контрастирование обоих магистральных сосудов при правожелудочковой вентрикулографии;</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переднее расположение аорты;</w:t>
      </w:r>
    </w:p>
    <w:p>
      <w:pPr>
        <w:pStyle w:val="Style30"/>
        <w:numPr>
          <w:ilvl w:val="0"/>
          <w:numId w:val="5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наличие дефекта наполнения, разделяющегося на два выходных тракта.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Дифференциальный диагноз</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Транспозиция магистральных сосудов.</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Общий артериальный ствол.</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Дефект межжелудочковой перегородки.</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Тетрада Фалло.</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Осложнения</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Развитие необратимой легочной гипертензии.</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Правожелудочковая декомпенсация.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Лечение</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Медикаментозная терапия назначается детям до опе</w:t>
        <w:softHyphen/>
        <w:t>рации. Применяется стандартная коррекция сердеч</w:t>
        <w:softHyphen/>
        <w:t>ной недостаточности сердечными гликозидами, диу</w:t>
        <w:softHyphen/>
        <w:t>ретиками, а при развитии легочной гипертензии — вазодилататорами.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Хирургическая коррекция</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Паллиативные операции (аортолегочный анастомоз, сужение ствола легочной артерии при высокой ги</w:t>
        <w:softHyphen/>
        <w:t>пертензии) проводятся в исключительных случаях,</w:t>
      </w:r>
    </w:p>
    <w:p>
      <w:pPr>
        <w:pStyle w:val="Style30"/>
        <w:widowControl w:val="0"/>
        <w:keepNext w:val="0"/>
        <w:keepLines w:val="0"/>
        <w:shd w:val="clear" w:color="auto" w:fill="auto"/>
        <w:bidi w:val="0"/>
        <w:spacing w:before="0" w:after="0"/>
        <w:ind w:left="500" w:right="0" w:firstLine="0"/>
      </w:pPr>
      <w:r>
        <w:br w:type="column"/>
      </w:r>
      <w:r>
        <w:rPr>
          <w:lang w:val="ru-RU" w:eastAsia="ru-RU" w:bidi="ru-RU"/>
          <w:w w:val="100"/>
          <w:spacing w:val="0"/>
          <w:color w:val="000000"/>
          <w:position w:val="0"/>
        </w:rPr>
        <w:t>когда не представляется возможным выполнить ра</w:t>
        <w:softHyphen/>
        <w:t>дикальную коррекцию порока.</w:t>
      </w:r>
    </w:p>
    <w:p>
      <w:pPr>
        <w:pStyle w:val="Style30"/>
        <w:numPr>
          <w:ilvl w:val="0"/>
          <w:numId w:val="53"/>
        </w:numPr>
        <w:tabs>
          <w:tab w:leader="none" w:pos="502"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Радикальная коррекция порока проводится в зависи</w:t>
        <w:softHyphen/>
        <w:t>мости от анатомического типа:</w:t>
      </w:r>
    </w:p>
    <w:p>
      <w:pPr>
        <w:pStyle w:val="Style30"/>
        <w:numPr>
          <w:ilvl w:val="0"/>
          <w:numId w:val="51"/>
        </w:numPr>
        <w:tabs>
          <w:tab w:leader="none" w:pos="739"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создание туннеля, соединяющего левый желудо</w:t>
        <w:softHyphen/>
        <w:t>чек с аортой;</w:t>
      </w:r>
    </w:p>
    <w:p>
      <w:pPr>
        <w:pStyle w:val="Style30"/>
        <w:numPr>
          <w:ilvl w:val="0"/>
          <w:numId w:val="51"/>
        </w:numPr>
        <w:tabs>
          <w:tab w:leader="none" w:pos="739"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операция Растелли;</w:t>
      </w:r>
    </w:p>
    <w:p>
      <w:pPr>
        <w:pStyle w:val="Style30"/>
        <w:numPr>
          <w:ilvl w:val="0"/>
          <w:numId w:val="51"/>
        </w:numPr>
        <w:tabs>
          <w:tab w:leader="none" w:pos="739"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операция Мастарда.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53"/>
        </w:numPr>
        <w:tabs>
          <w:tab w:leader="none" w:pos="502"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ДОМС от правого желудочка с субаортальным дефектом прогноз более благоприятный, чем с подле</w:t>
        <w:softHyphen/>
        <w:t>гочным дефектом.</w:t>
      </w:r>
    </w:p>
    <w:p>
      <w:pPr>
        <w:pStyle w:val="Style30"/>
        <w:numPr>
          <w:ilvl w:val="0"/>
          <w:numId w:val="53"/>
        </w:numPr>
        <w:tabs>
          <w:tab w:leader="none" w:pos="502" w:val="left"/>
        </w:tabs>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Послеоперационная летальность достигает 15%.</w:t>
      </w:r>
    </w:p>
    <w:p>
      <w:pPr>
        <w:pStyle w:val="Style28"/>
        <w:widowControl w:val="0"/>
        <w:keepNext/>
        <w:keepLines/>
        <w:shd w:val="clear" w:color="auto" w:fill="auto"/>
        <w:bidi w:val="0"/>
        <w:jc w:val="left"/>
        <w:spacing w:before="0" w:after="157" w:line="220" w:lineRule="exact"/>
        <w:ind w:left="0" w:right="0" w:firstLine="0"/>
      </w:pPr>
      <w:bookmarkStart w:id="359" w:name="bookmark359"/>
      <w:r>
        <w:rPr>
          <w:lang w:val="ru-RU" w:eastAsia="ru-RU" w:bidi="ru-RU"/>
          <w:w w:val="100"/>
          <w:spacing w:val="0"/>
          <w:color w:val="000000"/>
          <w:position w:val="0"/>
        </w:rPr>
        <w:t>Единственный желудочек</w:t>
      </w:r>
      <w:bookmarkEnd w:id="35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Единственный желудочек — сложный врожденный по</w:t>
        <w:softHyphen/>
        <w:t>рок сердца, при котором оба атриовентрикулярных клапана или общий атриовентрикулярный клапан открываются в полость желудочка, от которого отходят оба магистраль</w:t>
        <w:softHyphen/>
        <w:t>ных сосуда.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Единственный желудочек составляет 1-3% среди всех ВПС.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 в 3 раза чаще наблюдается у мальчиков.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 выявляется с периода новорожденности, реже — в грудном возрасте.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Анатомия, классификация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Классификация единственного желудочка </w:t>
      </w:r>
      <w:r>
        <w:rPr>
          <w:lang w:val="en-US" w:eastAsia="en-US" w:bidi="en-US"/>
          <w:w w:val="100"/>
          <w:spacing w:val="0"/>
          <w:color w:val="000000"/>
          <w:position w:val="0"/>
        </w:rPr>
        <w:t>(R.Van Praagh):</w:t>
      </w:r>
    </w:p>
    <w:p>
      <w:pPr>
        <w:pStyle w:val="Style30"/>
        <w:numPr>
          <w:ilvl w:val="0"/>
          <w:numId w:val="53"/>
        </w:numPr>
        <w:tabs>
          <w:tab w:leader="none" w:pos="50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А (75-80%)</w:t>
      </w:r>
    </w:p>
    <w:p>
      <w:pPr>
        <w:pStyle w:val="Style30"/>
        <w:numPr>
          <w:ilvl w:val="0"/>
          <w:numId w:val="53"/>
        </w:numPr>
        <w:tabs>
          <w:tab w:leader="none" w:pos="739"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Единственный желудочек представлен миокардом левого желудочка.</w:t>
      </w:r>
    </w:p>
    <w:p>
      <w:pPr>
        <w:pStyle w:val="Style30"/>
        <w:numPr>
          <w:ilvl w:val="0"/>
          <w:numId w:val="53"/>
        </w:numPr>
        <w:tabs>
          <w:tab w:leader="none" w:pos="739"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Отсутствует приточный отдел правого желудочка.</w:t>
      </w:r>
    </w:p>
    <w:p>
      <w:pPr>
        <w:pStyle w:val="Style30"/>
        <w:numPr>
          <w:ilvl w:val="0"/>
          <w:numId w:val="53"/>
        </w:numPr>
        <w:tabs>
          <w:tab w:leader="none" w:pos="739"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Имеется рудиментарная камера выводного тракта — «выпускник», не сообщающийся с предсердием.</w:t>
      </w:r>
    </w:p>
    <w:p>
      <w:pPr>
        <w:pStyle w:val="Style30"/>
        <w:numPr>
          <w:ilvl w:val="0"/>
          <w:numId w:val="53"/>
        </w:numPr>
        <w:tabs>
          <w:tab w:leader="none" w:pos="50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В (5%)</w:t>
      </w:r>
    </w:p>
    <w:p>
      <w:pPr>
        <w:pStyle w:val="Style30"/>
        <w:numPr>
          <w:ilvl w:val="0"/>
          <w:numId w:val="53"/>
        </w:numPr>
        <w:tabs>
          <w:tab w:leader="none" w:pos="739"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Единственный желудочек представлен миокардом правого желудочка.</w:t>
      </w:r>
    </w:p>
    <w:p>
      <w:pPr>
        <w:pStyle w:val="Style30"/>
        <w:numPr>
          <w:ilvl w:val="0"/>
          <w:numId w:val="53"/>
        </w:numPr>
        <w:tabs>
          <w:tab w:leader="none" w:pos="739"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«Выпускник» не определяется.</w:t>
      </w:r>
    </w:p>
    <w:p>
      <w:pPr>
        <w:pStyle w:val="Style30"/>
        <w:numPr>
          <w:ilvl w:val="0"/>
          <w:numId w:val="53"/>
        </w:numPr>
        <w:tabs>
          <w:tab w:leader="none" w:pos="50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С (7-10%)</w:t>
      </w:r>
    </w:p>
    <w:p>
      <w:pPr>
        <w:pStyle w:val="Style30"/>
        <w:numPr>
          <w:ilvl w:val="0"/>
          <w:numId w:val="53"/>
        </w:numPr>
        <w:tabs>
          <w:tab w:leader="none" w:pos="739"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Единственный желудочек представлен миокардом левого и правого желудочков.</w:t>
      </w:r>
    </w:p>
    <w:p>
      <w:pPr>
        <w:pStyle w:val="Style30"/>
        <w:numPr>
          <w:ilvl w:val="0"/>
          <w:numId w:val="53"/>
        </w:numPr>
        <w:tabs>
          <w:tab w:leader="none" w:pos="739"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Определяется рудимент межжелудочковой перего - родки.</w:t>
      </w:r>
    </w:p>
    <w:p>
      <w:pPr>
        <w:pStyle w:val="Style30"/>
        <w:numPr>
          <w:ilvl w:val="0"/>
          <w:numId w:val="53"/>
        </w:numPr>
        <w:tabs>
          <w:tab w:leader="none" w:pos="739"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«Выпускник» не определяется.</w:t>
      </w:r>
    </w:p>
    <w:p>
      <w:pPr>
        <w:pStyle w:val="Style30"/>
        <w:numPr>
          <w:ilvl w:val="0"/>
          <w:numId w:val="53"/>
        </w:numPr>
        <w:tabs>
          <w:tab w:leader="none" w:pos="50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Тип </w:t>
      </w:r>
      <w:r>
        <w:rPr>
          <w:lang w:val="en-US" w:eastAsia="en-US" w:bidi="en-US"/>
          <w:w w:val="100"/>
          <w:spacing w:val="0"/>
          <w:color w:val="000000"/>
          <w:position w:val="0"/>
        </w:rPr>
        <w:t xml:space="preserve">D </w:t>
      </w:r>
      <w:r>
        <w:rPr>
          <w:lang w:val="ru-RU" w:eastAsia="ru-RU" w:bidi="ru-RU"/>
          <w:w w:val="100"/>
          <w:spacing w:val="0"/>
          <w:color w:val="000000"/>
          <w:position w:val="0"/>
        </w:rPr>
        <w:t>(7-10%)</w:t>
      </w:r>
    </w:p>
    <w:p>
      <w:pPr>
        <w:pStyle w:val="Style30"/>
        <w:numPr>
          <w:ilvl w:val="0"/>
          <w:numId w:val="53"/>
        </w:numPr>
        <w:tabs>
          <w:tab w:leader="none" w:pos="739"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Единственный желудочек представлен недиффе</w:t>
        <w:softHyphen/>
        <w:t>ренцированным миокардом.</w:t>
      </w:r>
    </w:p>
    <w:p>
      <w:pPr>
        <w:pStyle w:val="Style30"/>
        <w:numPr>
          <w:ilvl w:val="0"/>
          <w:numId w:val="53"/>
        </w:numPr>
        <w:tabs>
          <w:tab w:leader="none" w:pos="739"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Отсутствует рудимент межжелудочковой перего - родки.</w:t>
      </w:r>
    </w:p>
    <w:p>
      <w:pPr>
        <w:pStyle w:val="Style30"/>
        <w:numPr>
          <w:ilvl w:val="0"/>
          <w:numId w:val="53"/>
        </w:numPr>
        <w:tabs>
          <w:tab w:leader="none" w:pos="739"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Отсутствует «выпускник».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Каждый анатомический тип подразделяется на подтипы в зависимости от взаиморасположения магистральных со</w:t>
        <w:softHyphen/>
        <w:t>судов.</w:t>
      </w:r>
    </w:p>
    <w:p>
      <w:pPr>
        <w:pStyle w:val="Style30"/>
        <w:numPr>
          <w:ilvl w:val="0"/>
          <w:numId w:val="55"/>
        </w:numPr>
        <w:tabs>
          <w:tab w:leader="none" w:pos="50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нормальное взаиморасположение магистральных сосудов.</w:t>
      </w:r>
    </w:p>
    <w:p>
      <w:pPr>
        <w:pStyle w:val="Style30"/>
        <w:numPr>
          <w:ilvl w:val="0"/>
          <w:numId w:val="55"/>
        </w:numPr>
        <w:tabs>
          <w:tab w:leader="none" w:pos="56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 </w:t>
      </w:r>
      <w:r>
        <w:rPr>
          <w:lang w:val="en-US" w:eastAsia="en-US" w:bidi="en-US"/>
          <w:w w:val="100"/>
          <w:spacing w:val="0"/>
          <w:color w:val="000000"/>
          <w:position w:val="0"/>
        </w:rPr>
        <w:t>D</w:t>
      </w:r>
      <w:r>
        <w:rPr>
          <w:lang w:val="ru-RU" w:eastAsia="ru-RU" w:bidi="ru-RU"/>
          <w:w w:val="100"/>
          <w:spacing w:val="0"/>
          <w:color w:val="000000"/>
          <w:position w:val="0"/>
        </w:rPr>
        <w:t>-транспозиционное.</w:t>
      </w:r>
    </w:p>
    <w:p>
      <w:pPr>
        <w:pStyle w:val="Style30"/>
        <w:numPr>
          <w:ilvl w:val="0"/>
          <w:numId w:val="55"/>
        </w:numPr>
        <w:tabs>
          <w:tab w:leader="none" w:pos="635" w:val="left"/>
        </w:tabs>
        <w:widowControl w:val="0"/>
        <w:keepNext w:val="0"/>
        <w:keepLines w:val="0"/>
        <w:shd w:val="clear" w:color="auto" w:fill="auto"/>
        <w:bidi w:val="0"/>
        <w:spacing w:before="0" w:after="0"/>
        <w:ind w:left="0" w:right="0" w:firstLine="280"/>
      </w:pPr>
      <w:r>
        <w:pict>
          <v:shape id="_x0000_s1237" type="#_x0000_t75" style="position:absolute;margin-left:142.1pt;margin-top:740.2pt;width:209.75pt;height:14.9pt;z-index:-125829241;mso-wrap-distance-left:136.1pt;mso-wrap-distance-right:136.8pt;mso-wrap-distance-bottom:20.pt;mso-position-horizontal-relative:margin;mso-position-vertical-relative:margin" wrapcoords="0 0 21600 0 21600 21600 0 21600 0 0">
            <v:imagedata r:id="rId346" r:href="rId347"/>
            <w10:wrap type="topAndBottom" anchorx="margin" anchory="margin"/>
          </v:shape>
        </w:pict>
      </w:r>
      <w:r>
        <w:rPr>
          <w:lang w:val="ru-RU" w:eastAsia="ru-RU" w:bidi="ru-RU"/>
          <w:w w:val="100"/>
          <w:spacing w:val="0"/>
          <w:color w:val="000000"/>
          <w:position w:val="0"/>
        </w:rPr>
        <w:t xml:space="preserve">— </w:t>
      </w:r>
      <w:r>
        <w:rPr>
          <w:lang w:val="en-US" w:eastAsia="en-US" w:bidi="en-US"/>
          <w:w w:val="100"/>
          <w:spacing w:val="0"/>
          <w:color w:val="000000"/>
          <w:position w:val="0"/>
        </w:rPr>
        <w:t>L</w:t>
      </w:r>
      <w:r>
        <w:rPr>
          <w:lang w:val="ru-RU" w:eastAsia="ru-RU" w:bidi="ru-RU"/>
          <w:w w:val="100"/>
          <w:spacing w:val="0"/>
          <w:color w:val="000000"/>
          <w:position w:val="0"/>
        </w:rPr>
        <w:t>-транспозиционное.</w:t>
      </w:r>
      <w:r>
        <w:br w:type="page"/>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 xml:space="preserve">Наиболее частым (75-80%) является анатомический тип АIII (единственный желудочек с «выпускником» для аорты и </w:t>
      </w:r>
      <w:r>
        <w:rPr>
          <w:lang w:val="en-US" w:eastAsia="en-US" w:bidi="en-US"/>
          <w:w w:val="100"/>
          <w:spacing w:val="0"/>
          <w:color w:val="000000"/>
          <w:position w:val="0"/>
        </w:rPr>
        <w:t>L</w:t>
      </w:r>
      <w:r>
        <w:rPr>
          <w:lang w:val="ru-RU" w:eastAsia="ru-RU" w:bidi="ru-RU"/>
          <w:w w:val="100"/>
          <w:spacing w:val="0"/>
          <w:color w:val="000000"/>
          <w:position w:val="0"/>
        </w:rPr>
        <w:t>-транспозицией магистральных сосудов). 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единственном желудочке в камере происходит сме</w:t>
        <w:softHyphen/>
        <w:t>шивание венозной и артериальной крови, аорта и легочная артерия имеют одинаковое давление и, если отсутствует стеноз легочной артерии, легочная гипертензия развивает</w:t>
        <w:softHyphen/>
        <w:t>ся очень рано.</w:t>
      </w:r>
    </w:p>
    <w:p>
      <w:pPr>
        <w:pStyle w:val="Style30"/>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у детей с единственным желудочком без стено</w:t>
        <w:softHyphen/>
        <w:t>за легочной артерии напоминает таковой при ДМЖП с большим сбросом слева направо.</w:t>
      </w:r>
    </w:p>
    <w:p>
      <w:pPr>
        <w:pStyle w:val="Style30"/>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 анамнезе отмечаются следующие признаки:</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Повторные пневмонии.</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Отставание в физическом развитии.</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Тахипноэ.</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Кряхтящее дыхание.</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Тахикардия.</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Интолерантность к нагрузке.</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Бледность при анемии.</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Цианоз, усиливающийся при нагрузке.</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Хрипы в легких.</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Сердечная недостаточность.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Физикальное обследование выявляет симптоматику, связанную с хронической артериальной гипоксемией и сердечной недостаточностью:</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Симптом «часовых стекол».</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Симптом «барабанных палочек».</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Сердечный горб.</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выслушивании сердца определяется громкий вто</w:t>
        <w:softHyphen/>
        <w:t>рой тон, может быть систолический шум изгнания (при стенозе легочной артерии), систолический шум недоста</w:t>
        <w:softHyphen/>
        <w:t>точности митрального клапана, голосистолический шум (шум прохождения крови через «выпускник»). Инструментальная диагностика Электрокардиография:</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ЭКГ-изменения зависят от многих факторов: морфо</w:t>
        <w:softHyphen/>
        <w:t>логии миокарда желудочковой камеры, расположе</w:t>
        <w:softHyphen/>
        <w:t>ния магистральных сосудов, стеноза легочной арте</w:t>
        <w:softHyphen/>
        <w:t>рии.</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Наиболее часто выявляются стереотипные формы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комплекса в виде </w:t>
      </w:r>
      <w:r>
        <w:rPr>
          <w:lang w:val="en-US" w:eastAsia="en-US" w:bidi="en-US"/>
          <w:w w:val="100"/>
          <w:spacing w:val="0"/>
          <w:color w:val="000000"/>
          <w:position w:val="0"/>
        </w:rPr>
        <w:t xml:space="preserve">rS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RS </w:t>
      </w:r>
      <w:r>
        <w:rPr>
          <w:lang w:val="ru-RU" w:eastAsia="ru-RU" w:bidi="ru-RU"/>
          <w:w w:val="100"/>
          <w:spacing w:val="0"/>
          <w:color w:val="000000"/>
          <w:position w:val="0"/>
        </w:rPr>
        <w:t>во всех грудных от</w:t>
        <w:softHyphen/>
        <w:t>ведениях, признаки гипертрофии «правого» желудоч</w:t>
        <w:softHyphen/>
        <w:t>ка, перегрузка предсердий, различные варианты на</w:t>
        <w:softHyphen/>
        <w:t>рушения ритма и проводимости.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Рентгенография:</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Определяется кардиомегалия.</w:t>
      </w:r>
    </w:p>
    <w:p>
      <w:pPr>
        <w:pStyle w:val="Style30"/>
        <w:numPr>
          <w:ilvl w:val="0"/>
          <w:numId w:val="5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 АIII типе тень сердца имеет типичную конфигу</w:t>
        <w:softHyphen/>
        <w:t>рацию:</w:t>
      </w:r>
    </w:p>
    <w:p>
      <w:pPr>
        <w:pStyle w:val="Style30"/>
        <w:numPr>
          <w:ilvl w:val="0"/>
          <w:numId w:val="51"/>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левый контур сосудистого пучка представлен еди</w:t>
        <w:softHyphen/>
        <w:t>ной уплощенной дугой, образованной восходящей аортой;</w:t>
      </w:r>
    </w:p>
    <w:p>
      <w:pPr>
        <w:pStyle w:val="Style30"/>
        <w:numPr>
          <w:ilvl w:val="0"/>
          <w:numId w:val="51"/>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небольшое выбухание в области третьей дуги (тень от «выпускника»), ниже располагается дуга желу</w:t>
        <w:softHyphen/>
        <w:t>дочка.</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Легочный рисунок усилен с признаками легочной ги - пертензии (при отсутствии стеноза легочной арте</w:t>
        <w:softHyphen/>
        <w:t>рии) или обеднен (при выраженном стенозе).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Эхокардиография:</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Одномерная ЭхоКГ:</w:t>
      </w:r>
    </w:p>
    <w:p>
      <w:pPr>
        <w:pStyle w:val="Style30"/>
        <w:numPr>
          <w:ilvl w:val="0"/>
          <w:numId w:val="51"/>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большая желудочковая камера;</w:t>
      </w:r>
    </w:p>
    <w:p>
      <w:pPr>
        <w:pStyle w:val="Style30"/>
        <w:numPr>
          <w:ilvl w:val="0"/>
          <w:numId w:val="51"/>
        </w:numPr>
        <w:tabs>
          <w:tab w:leader="none" w:pos="758" w:val="left"/>
        </w:tabs>
        <w:widowControl w:val="0"/>
        <w:keepNext w:val="0"/>
        <w:keepLines w:val="0"/>
        <w:shd w:val="clear" w:color="auto" w:fill="auto"/>
        <w:bidi w:val="0"/>
        <w:spacing w:before="0" w:after="0"/>
        <w:ind w:left="740" w:right="0" w:hanging="220"/>
      </w:pPr>
      <w:r>
        <w:br w:type="column"/>
      </w:r>
      <w:r>
        <w:rPr>
          <w:lang w:val="ru-RU" w:eastAsia="ru-RU" w:bidi="ru-RU"/>
          <w:w w:val="100"/>
          <w:spacing w:val="0"/>
          <w:color w:val="000000"/>
          <w:position w:val="0"/>
        </w:rPr>
        <w:t>одновременная запись двух атриовентрикулярных клапанов без разделяющей их межжелудочковой перегородки;</w:t>
      </w:r>
    </w:p>
    <w:p>
      <w:pPr>
        <w:pStyle w:val="Style30"/>
        <w:numPr>
          <w:ilvl w:val="0"/>
          <w:numId w:val="51"/>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септальная створка переднего клапана в диастолу со</w:t>
        <w:softHyphen/>
        <w:t>прикасается с передней створкой заднего клапана;</w:t>
      </w:r>
    </w:p>
    <w:p>
      <w:pPr>
        <w:pStyle w:val="Style30"/>
        <w:numPr>
          <w:ilvl w:val="0"/>
          <w:numId w:val="51"/>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отсутствие межжелудочковой перегородки при полном сканировании от основания к верхушке.</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Двухмерная ЭхоКГ:</w:t>
      </w:r>
    </w:p>
    <w:p>
      <w:pPr>
        <w:pStyle w:val="Style30"/>
        <w:numPr>
          <w:ilvl w:val="0"/>
          <w:numId w:val="51"/>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большая желудочковая камера с отсутствием эхо</w:t>
        <w:softHyphen/>
        <w:t>сигналов от межжелудочковой перегородки;</w:t>
      </w:r>
    </w:p>
    <w:p>
      <w:pPr>
        <w:pStyle w:val="Style30"/>
        <w:numPr>
          <w:ilvl w:val="0"/>
          <w:numId w:val="51"/>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идентификация «выпускника»;</w:t>
      </w:r>
    </w:p>
    <w:p>
      <w:pPr>
        <w:pStyle w:val="Style30"/>
        <w:numPr>
          <w:ilvl w:val="0"/>
          <w:numId w:val="51"/>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идентификация атриовентрикулярных клапанов или общего предсердно-желудочкового клапана;</w:t>
      </w:r>
    </w:p>
    <w:p>
      <w:pPr>
        <w:pStyle w:val="Style30"/>
        <w:numPr>
          <w:ilvl w:val="0"/>
          <w:numId w:val="51"/>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определение сосуда, отходящего от «выпускника» (при нормальном расположении магистральных сосудов обычно отходит легочная артерия, при транспозиции — аорта или оба сосуда);</w:t>
      </w:r>
    </w:p>
    <w:p>
      <w:pPr>
        <w:pStyle w:val="Style30"/>
        <w:numPr>
          <w:ilvl w:val="0"/>
          <w:numId w:val="51"/>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выявление сопутствующих врожденных аномалий: стеноз легочной артерии (в 64% случаев), ДМПП (в 40% случаев).</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Допплер ЭхоКГ:</w:t>
      </w:r>
    </w:p>
    <w:p>
      <w:pPr>
        <w:pStyle w:val="Style30"/>
        <w:numPr>
          <w:ilvl w:val="0"/>
          <w:numId w:val="51"/>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определение систолического градиента между же</w:t>
        <w:softHyphen/>
        <w:t>лудочковой камерой и легочной артерией;</w:t>
      </w:r>
    </w:p>
    <w:p>
      <w:pPr>
        <w:pStyle w:val="Style30"/>
        <w:numPr>
          <w:ilvl w:val="0"/>
          <w:numId w:val="51"/>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определение запирательной функции единствен - ного или обоих атриовентрикулярных клапанов;</w:t>
      </w:r>
    </w:p>
    <w:p>
      <w:pPr>
        <w:pStyle w:val="Style30"/>
        <w:numPr>
          <w:ilvl w:val="0"/>
          <w:numId w:val="51"/>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выявление параметров легочной гемодинамики и сопутствующих врожденных аномалий.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Катетеризация сердца, ангиокардиография:</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Обнаруживается равное давление в аорте и легочной артерии.</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Умеренное повышение оксигенации крови в желу</w:t>
        <w:softHyphen/>
        <w:t>дочковой камере.</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контрастировании выявляется единая желудоч</w:t>
        <w:softHyphen/>
        <w:t>ковая камера, уточняется расположение магистраль</w:t>
        <w:softHyphen/>
        <w:t>ных сосудов.</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Введение контраста в «выпускник» доказывает отсут</w:t>
        <w:softHyphen/>
        <w:t>ствие сообщения его с предсердиями (отличие от вто</w:t>
        <w:softHyphen/>
        <w:t>рого желудочка).</w:t>
      </w:r>
    </w:p>
    <w:p>
      <w:pPr>
        <w:pStyle w:val="Style30"/>
        <w:numPr>
          <w:ilvl w:val="0"/>
          <w:numId w:val="53"/>
        </w:numPr>
        <w:tabs>
          <w:tab w:leader="none" w:pos="517" w:val="left"/>
        </w:tabs>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Уточняется наличие стеноза легочной артерии. Дифференциальный диагноз</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Большой ДМЖП.</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Открытый общий атриовентрикулярный канал.</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Корригированная ТМС.</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Прогрессирующая гипоксемия.</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Нарушения ритма сердца.</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Ишемический инсульт мозга.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Проводится лечение сердечными гликозидами (при от</w:t>
        <w:softHyphen/>
        <w:t>сутствии выраженного стеноза легочной артерии), моче</w:t>
        <w:softHyphen/>
        <w:t>гонными препаратами. Без хирургического лечения про</w:t>
        <w:softHyphen/>
        <w:t>должительность жизни таких больных значительно огра</w:t>
        <w:softHyphen/>
        <w:t>ничена.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Проводится гемодинамическая коррекция порока по Фонтену.</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Без проведения операции продолжительность жизни ограничена, больные погибают в возрасте 6-10 лет.</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sectPr>
          <w:pgSz w:w="11900" w:h="16840"/>
          <w:pgMar w:top="1381" w:left="1042" w:right="1005" w:bottom="1561" w:header="0" w:footer="3" w:gutter="0"/>
          <w:rtlGutter w:val="0"/>
          <w:cols w:num="2" w:space="138"/>
          <w:noEndnote/>
          <w:docGrid w:linePitch="360"/>
        </w:sectPr>
      </w:pPr>
      <w:r>
        <w:pict>
          <v:shape id="_x0000_s1238" type="#_x0000_t75" style="position:absolute;margin-left:136.8pt;margin-top:740.2pt;width:209.75pt;height:14.9pt;z-index:-125829240;mso-wrap-distance-left:136.8pt;mso-wrap-distance-right:148.1pt;mso-wrap-distance-bottom:20.pt;mso-position-horizontal-relative:margin;mso-position-vertical-relative:margin" wrapcoords="0 0 21600 0 21600 21600 0 21600 0 0">
            <v:imagedata r:id="rId348" r:href="rId349"/>
            <w10:wrap type="topAndBottom" anchorx="margin" anchory="margin"/>
          </v:shape>
        </w:pict>
      </w:r>
      <w:r>
        <w:rPr>
          <w:lang w:val="ru-RU" w:eastAsia="ru-RU" w:bidi="ru-RU"/>
          <w:w w:val="100"/>
          <w:spacing w:val="0"/>
          <w:color w:val="000000"/>
          <w:position w:val="0"/>
        </w:rPr>
        <w:t>При проведении гемодинамической коррекции по</w:t>
        <w:softHyphen/>
        <w:t>рока по Фонтену отдаленные результаты свидетельст</w:t>
        <w:softHyphen/>
        <w:t>вуют об относительно благоприятном прогнозе.</w:t>
      </w:r>
    </w:p>
    <w:p>
      <w:pPr>
        <w:pStyle w:val="Style112"/>
        <w:widowControl w:val="0"/>
        <w:keepNext/>
        <w:keepLines/>
        <w:shd w:val="clear" w:color="auto" w:fill="auto"/>
        <w:bidi w:val="0"/>
        <w:jc w:val="left"/>
        <w:spacing w:before="0" w:after="0" w:line="427" w:lineRule="exact"/>
        <w:ind w:left="0" w:right="0" w:firstLine="0"/>
      </w:pPr>
      <w:bookmarkStart w:id="360" w:name="bookmark360"/>
      <w:r>
        <w:rPr>
          <w:lang w:val="ru-RU" w:eastAsia="ru-RU" w:bidi="ru-RU"/>
          <w:rFonts w:ascii="Microsoft Sans Serif" w:eastAsia="Microsoft Sans Serif" w:hAnsi="Microsoft Sans Serif" w:cs="Microsoft Sans Serif"/>
          <w:w w:val="100"/>
          <w:spacing w:val="0"/>
          <w:color w:val="000000"/>
          <w:position w:val="0"/>
        </w:rPr>
        <w:t>Глава II. Врожденные пороки сердца</w:t>
      </w:r>
      <w:bookmarkEnd w:id="360"/>
    </w:p>
    <w:p>
      <w:pPr>
        <w:pStyle w:val="Style28"/>
        <w:widowControl w:val="0"/>
        <w:keepNext/>
        <w:keepLines/>
        <w:shd w:val="clear" w:color="auto" w:fill="auto"/>
        <w:bidi w:val="0"/>
        <w:jc w:val="left"/>
        <w:spacing w:before="0" w:after="0" w:line="427" w:lineRule="exact"/>
        <w:ind w:left="0" w:right="0" w:firstLine="0"/>
      </w:pPr>
      <w:bookmarkStart w:id="361" w:name="bookmark361"/>
      <w:r>
        <w:rPr>
          <w:lang w:val="ru-RU" w:eastAsia="ru-RU" w:bidi="ru-RU"/>
          <w:w w:val="100"/>
          <w:spacing w:val="0"/>
          <w:color w:val="000000"/>
          <w:position w:val="0"/>
        </w:rPr>
        <w:t>Трехпредсердное сердце</w:t>
      </w:r>
      <w:bookmarkEnd w:id="361"/>
    </w:p>
    <w:p>
      <w:pPr>
        <w:pStyle w:val="Style92"/>
        <w:widowControl w:val="0"/>
        <w:keepNext/>
        <w:keepLines/>
        <w:shd w:val="clear" w:color="auto" w:fill="auto"/>
        <w:bidi w:val="0"/>
        <w:spacing w:before="0" w:after="0"/>
        <w:ind w:left="500" w:right="0" w:hanging="220"/>
      </w:pPr>
      <w:bookmarkStart w:id="362" w:name="bookmark362"/>
      <w:r>
        <w:rPr>
          <w:lang w:val="ru-RU" w:eastAsia="ru-RU" w:bidi="ru-RU"/>
          <w:w w:val="100"/>
          <w:spacing w:val="0"/>
          <w:color w:val="000000"/>
          <w:position w:val="0"/>
        </w:rPr>
        <w:t>Определение</w:t>
      </w:r>
      <w:bookmarkEnd w:id="36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Трехпредсердное сердце — очень редкая врожденная аномалия, при которой левое предсердие разделено фибро</w:t>
        <w:softHyphen/>
        <w:t>мышечной мембраной на две (проксимальную и дисталь</w:t>
        <w:softHyphen/>
        <w:t>ную) камеры.</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Введение</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en-US" w:eastAsia="en-US" w:bidi="en-US"/>
          <w:w w:val="100"/>
          <w:spacing w:val="0"/>
          <w:color w:val="000000"/>
          <w:position w:val="0"/>
        </w:rPr>
        <w:t xml:space="preserve">Borst </w:t>
      </w:r>
      <w:r>
        <w:rPr>
          <w:lang w:val="ru-RU" w:eastAsia="ru-RU" w:bidi="ru-RU"/>
          <w:w w:val="100"/>
          <w:spacing w:val="0"/>
          <w:color w:val="000000"/>
          <w:position w:val="0"/>
        </w:rPr>
        <w:t xml:space="preserve">первым описал случай трехпредсердного сердца в 1905 году. </w:t>
      </w:r>
      <w:r>
        <w:rPr>
          <w:lang w:val="en-US" w:eastAsia="en-US" w:bidi="en-US"/>
          <w:w w:val="100"/>
          <w:spacing w:val="0"/>
          <w:color w:val="000000"/>
          <w:position w:val="0"/>
        </w:rPr>
        <w:t xml:space="preserve">Vineberg </w:t>
      </w:r>
      <w:r>
        <w:rPr>
          <w:lang w:val="ru-RU" w:eastAsia="ru-RU" w:bidi="ru-RU"/>
          <w:w w:val="100"/>
          <w:spacing w:val="0"/>
          <w:color w:val="000000"/>
          <w:position w:val="0"/>
        </w:rPr>
        <w:t>первым провел успешную опера</w:t>
        <w:softHyphen/>
        <w:t>цию на трехпредсердном сердце в 1956 году. В боль</w:t>
        <w:softHyphen/>
        <w:t>шинстве случаев левое предсердие разделяется на проксимальную и дистальную части диафрагмой, ко</w:t>
        <w:softHyphen/>
        <w:t>торая имеет одно или несколько небольших (рест</w:t>
        <w:softHyphen/>
        <w:t>риктивных) отверстий. Легочные вены впадают в проксимальную камеру, дистальная камера сообща</w:t>
        <w:softHyphen/>
        <w:t>ется с митральным отверстием и ушком левого пред</w:t>
        <w:softHyphen/>
        <w:t>сердия.</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Трехпредсердное сердце обычно является изолиро</w:t>
        <w:softHyphen/>
        <w:t>ванной сердечной аномалией. В 10% случаев сочета</w:t>
        <w:softHyphen/>
        <w:t>ется с аномальным дренажем легочных вен, редко с открытым артериальным протоком, персистирую- щей левой верхней полой веной, дефектом межжелу</w:t>
        <w:softHyphen/>
        <w:t xml:space="preserve">дочковой перегородки, синдромом </w:t>
      </w:r>
      <w:r>
        <w:rPr>
          <w:lang w:val="en-US" w:eastAsia="en-US" w:bidi="en-US"/>
          <w:w w:val="100"/>
          <w:spacing w:val="0"/>
          <w:color w:val="000000"/>
          <w:position w:val="0"/>
        </w:rPr>
        <w:t xml:space="preserve">Shone, </w:t>
      </w:r>
      <w:r>
        <w:rPr>
          <w:lang w:val="ru-RU" w:eastAsia="ru-RU" w:bidi="ru-RU"/>
          <w:w w:val="100"/>
          <w:spacing w:val="0"/>
          <w:color w:val="000000"/>
          <w:position w:val="0"/>
        </w:rPr>
        <w:t>трикуспи</w:t>
        <w:softHyphen/>
        <w:t>дальной атрезией, аномалией Эбштейна, открытым атриовентрикулярным каналом и тетрадой Фалло.</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Трехпредсердное сердце является очень редкой врож</w:t>
        <w:softHyphen/>
        <w:t xml:space="preserve">денной аномалией и наблюдается примерно в 0,1-0,4% среди всех врожденных пороков сердца у новорожденных. По данным </w:t>
      </w:r>
      <w:r>
        <w:rPr>
          <w:lang w:val="en-US" w:eastAsia="en-US" w:bidi="en-US"/>
          <w:w w:val="100"/>
          <w:spacing w:val="0"/>
          <w:color w:val="000000"/>
          <w:position w:val="0"/>
        </w:rPr>
        <w:t xml:space="preserve">Mayo Clinic </w:t>
      </w:r>
      <w:r>
        <w:rPr>
          <w:lang w:val="ru-RU" w:eastAsia="ru-RU" w:bidi="ru-RU"/>
          <w:w w:val="100"/>
          <w:spacing w:val="0"/>
          <w:color w:val="000000"/>
          <w:position w:val="0"/>
        </w:rPr>
        <w:t xml:space="preserve">(1955-1967) и университета </w:t>
      </w:r>
      <w:r>
        <w:rPr>
          <w:lang w:val="en-US" w:eastAsia="en-US" w:bidi="en-US"/>
          <w:w w:val="100"/>
          <w:spacing w:val="0"/>
          <w:color w:val="000000"/>
          <w:position w:val="0"/>
        </w:rPr>
        <w:t xml:space="preserve">Alabama </w:t>
      </w:r>
      <w:r>
        <w:rPr>
          <w:lang w:val="ru-RU" w:eastAsia="ru-RU" w:bidi="ru-RU"/>
          <w:w w:val="100"/>
          <w:spacing w:val="0"/>
          <w:color w:val="000000"/>
          <w:position w:val="0"/>
        </w:rPr>
        <w:t>(1967-1991), только 10 паци</w:t>
        <w:softHyphen/>
        <w:t>ентов были прооперированы с данной аномалией.</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 несколько чаще наблюдается у мальчиков в соот</w:t>
        <w:softHyphen/>
        <w:t>ношении 1,4:1.</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Возраст</w:t>
      </w:r>
    </w:p>
    <w:p>
      <w:pPr>
        <w:pStyle w:val="Style30"/>
        <w:numPr>
          <w:ilvl w:val="0"/>
          <w:numId w:val="53"/>
        </w:numPr>
        <w:tabs>
          <w:tab w:leader="none" w:pos="518"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Обычно порок выявляется в периоде новорожденно- сти.</w:t>
      </w:r>
    </w:p>
    <w:p>
      <w:pPr>
        <w:pStyle w:val="Style30"/>
        <w:numPr>
          <w:ilvl w:val="0"/>
          <w:numId w:val="53"/>
        </w:numPr>
        <w:tabs>
          <w:tab w:leader="none" w:pos="518"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Поздняя презентация порока возможна только у де</w:t>
        <w:softHyphen/>
        <w:t>тей, в очень редких случаях у подростков.</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Причины</w:t>
      </w:r>
    </w:p>
    <w:p>
      <w:pPr>
        <w:pStyle w:val="Style30"/>
        <w:numPr>
          <w:ilvl w:val="0"/>
          <w:numId w:val="53"/>
        </w:numPr>
        <w:tabs>
          <w:tab w:leader="none" w:pos="518"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Не установлено ассоциации трехпредсердного сердца с генетическими заболеваниями.</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 время эмбрионального развития общая легочная вена в норме абсорбируется и внедряется в левое предсердие. При незавершенной абсорбции остается фибромышечная мембрана, которая разделяет левое предсердие на две камеры.</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Частое сочетание левой верхней полой вены с трех</w:t>
        <w:softHyphen/>
        <w:t>предсердным сердцем позволяет полагать общность патогенеза данных аномалий.</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Патофизиология</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 время кардиогенеза общая легочная вена в норме абсорбируется и включается в левое предсердие. При неполной абсорбции формируется фибромышеч</w:t>
        <w:softHyphen/>
        <w:t>ная мембрана, которая подразделяет левое предсердие на две камеры, формируется трехпредсердное сердце. Открытое овальное окно и ушко левого предсердия обычно сообщаются с дистальной камерой (собствен</w:t>
        <w:softHyphen/>
        <w:t>но левое предсердие), что отличает трехпредсердное сердце от надклапанного митрального кольца.</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Ведущим анатомическим проявлением трехпред</w:t>
        <w:softHyphen/>
        <w:t>сердного сердца является диафрагма, которая разде</w:t>
        <w:softHyphen/>
        <w:t>ляет левое предсердие на две камеры. Диафрагма со</w:t>
        <w:softHyphen/>
        <w:t>стоит из мышцы, покрытой эндокардиальной тка</w:t>
        <w:softHyphen/>
        <w:t>нью. Патофизиологические проявления трехпред</w:t>
        <w:softHyphen/>
        <w:t>сердного сердца непосредственно связаны с разме</w:t>
        <w:softHyphen/>
        <w:t>ром коммуникации между легочными венами, впада</w:t>
        <w:softHyphen/>
        <w:t>ющими в проксимальную камеру, и дистальной пред</w:t>
        <w:softHyphen/>
        <w:t>сердной камерой, сообщающейся с митральным кла</w:t>
        <w:softHyphen/>
        <w:t>паном. Если сообщение маленькое, возникает легоч</w:t>
        <w:softHyphen/>
        <w:t>ная венозная гипертензия, приводящая к тяжелой ле</w:t>
        <w:softHyphen/>
        <w:t>гочной артериальной гипертензии. Сердечный вы</w:t>
        <w:softHyphen/>
        <w:t>брос ограничен в покое и не увеличивается при на</w:t>
        <w:softHyphen/>
        <w:t>грузке. Если присутствует ДМПП, то сброс через де</w:t>
        <w:softHyphen/>
        <w:t>фект осуществляет декомпрессию проксимальной камеры в правое предсердие.</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и клинические проявления порока зависят от размера апертуры диафрагмы. При маленьком раз</w:t>
        <w:softHyphen/>
        <w:t>мере больные находятся в критическом состоянии (75%) и погибают в раннем детстве. Если сообщение большое (наблюдается примерно у 25% больных), по</w:t>
        <w:softHyphen/>
        <w:t>рок проявляется в позднем возрасте и клинически на</w:t>
        <w:softHyphen/>
        <w:t>поминает митральный стеноз.</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Если при трехпредсердном сердце существует ДМПП, то низкий сердечный выброс и легочная ги</w:t>
        <w:softHyphen/>
        <w:t>пертензия сопровождаются значительной дилатаци</w:t>
        <w:softHyphen/>
        <w:t>ей правого желудочка.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большинстве случаев порок выявляется сразу после рождения.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Трехпредсердное сердце как форма надклапанного митрального стеноза проявляется симптомами легоч</w:t>
        <w:softHyphen/>
        <w:t>ной венозной обструкции.</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новорожденных порок проявляется малым сердеч</w:t>
        <w:softHyphen/>
        <w:t>ным выбросом (бледность, уменьшенный перифери</w:t>
        <w:softHyphen/>
        <w:t>ческий пульс, тахипноэ).</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Отмечаются трудности при кормлении, плохая при</w:t>
        <w:softHyphen/>
        <w:t>бавка в весе, застойные явления в легких.</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Поздние проявления порока проявляются преиму</w:t>
        <w:softHyphen/>
        <w:t>щественно легочной венозной обструкцией.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Физикальные данные:</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Несмотря на внутрисердечный дефект, при трехпред</w:t>
        <w:softHyphen/>
        <w:t>сердном сердце отсутствуют шум и другие патогномо - ничные физикальные характеристики. Больные обычно ошибочно наблюдаются с диагнозом парен</w:t>
        <w:softHyphen/>
        <w:t>химатозного заболевания легких.</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Обычно наблюдается легочная венозная обструкция и легочная гипертензия. Выслушивается акцент вто</w:t>
        <w:softHyphen/>
        <w:t>рого тона, может определяться ранний диастоличес</w:t>
        <w:softHyphen/>
        <w:t>кий шум недостаточности клапана легочной артерии. В нижних отделах легких выслушиваются застойные хрипы.</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Может выслушиваться тихий систолический шум по</w:t>
        <w:softHyphen/>
        <w:t>стоянного характера, обусловленный потоком крови через апертуру диафрагмы. Систолический шум вдоль левого края грудины определяется при ДМПП и обусловлен увеличенным потоком в легочную арте</w:t>
        <w:softHyphen/>
        <w:t>рию. Диастолический шум митрального стеноза при трехпредсердном сердце не характерен.</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sectPr>
          <w:headerReference w:type="even" r:id="rId350"/>
          <w:headerReference w:type="default" r:id="rId351"/>
          <w:headerReference w:type="first" r:id="rId352"/>
          <w:titlePg/>
          <w:pgSz w:w="11900" w:h="16840"/>
          <w:pgMar w:top="1381" w:left="1042" w:right="1005" w:bottom="1561" w:header="0" w:footer="3" w:gutter="0"/>
          <w:rtlGutter w:val="0"/>
          <w:cols w:num="2" w:space="138"/>
          <w:noEndnote/>
          <w:docGrid w:linePitch="360"/>
        </w:sectPr>
      </w:pPr>
      <w:r>
        <w:rPr>
          <w:lang w:val="ru-RU" w:eastAsia="ru-RU" w:bidi="ru-RU"/>
          <w:w w:val="100"/>
          <w:spacing w:val="0"/>
          <w:color w:val="000000"/>
          <w:position w:val="0"/>
        </w:rPr>
        <w:t>Низкий сердечный выброс проявляется бледностью кожных покровов, тахипноэ и слабым периферичес</w:t>
        <w:softHyphen/>
        <w:t>ким пульсом.</w:t>
      </w:r>
    </w:p>
    <w:p>
      <w:pPr>
        <w:widowControl w:val="0"/>
        <w:rPr>
          <w:sz w:val="2"/>
          <w:szCs w:val="2"/>
        </w:rPr>
      </w:pPr>
      <w:r>
        <w:pict>
          <v:shape id="_x0000_s1242" type="#_x0000_t202" style="position:static;width:595.pt;height:64.8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82" w:left="0" w:right="0" w:bottom="192" w:header="0" w:footer="3" w:gutter="0"/>
          <w:rtlGutter w:val="0"/>
          <w:cols w:space="720"/>
          <w:noEndnote/>
          <w:docGrid w:linePitch="360"/>
        </w:sectPr>
      </w:pPr>
    </w:p>
    <w:p>
      <w:pPr>
        <w:widowControl w:val="0"/>
        <w:spacing w:line="459" w:lineRule="exact"/>
      </w:pPr>
      <w:r>
        <w:pict>
          <v:shape id="_x0000_s1243" type="#_x0000_t75" style="position:absolute;margin-left:155.15pt;margin-top:0;width:209.75pt;height:14.9pt;z-index:-251658715;mso-wrap-distance-left:5.pt;mso-wrap-distance-right:5.pt;mso-position-horizontal-relative:margin" wrapcoords="0 0">
            <v:imagedata r:id="rId353" r:href="rId354"/>
            <w10:wrap anchorx="margin"/>
          </v:shape>
        </w:pict>
      </w:r>
    </w:p>
    <w:p>
      <w:pPr>
        <w:widowControl w:val="0"/>
        <w:rPr>
          <w:sz w:val="2"/>
          <w:szCs w:val="2"/>
        </w:rPr>
        <w:sectPr>
          <w:type w:val="continuous"/>
          <w:pgSz w:w="11900" w:h="16840"/>
          <w:pgMar w:top="1482" w:left="898" w:right="1124" w:bottom="192" w:header="0" w:footer="3" w:gutter="0"/>
          <w:rtlGutter w:val="0"/>
          <w:cols w:space="720"/>
          <w:noEndnote/>
          <w:docGrid w:linePitch="360"/>
        </w:sectPr>
      </w:pPr>
    </w:p>
    <w:p>
      <w:pPr>
        <w:widowControl w:val="0"/>
        <w:rPr>
          <w:sz w:val="2"/>
          <w:szCs w:val="2"/>
        </w:rPr>
      </w:pPr>
      <w:r>
        <w:pict>
          <v:shape id="_x0000_s1244" type="#_x0000_t75" style="position:absolute;margin-left:130.55pt;margin-top:736.1pt;width:209.75pt;height:14.9pt;z-index:-125829239;mso-wrap-distance-left:124.3pt;mso-wrap-distance-right:148.1pt;mso-wrap-distance-bottom:10.8pt;mso-position-horizontal-relative:margin" wrapcoords="0 0 21600 0 21600 21600 0 21600 0 0">
            <v:imagedata r:id="rId355" r:href="rId356"/>
            <w10:wrap type="topAndBottom" anchorx="margin"/>
          </v:shape>
        </w:pic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Новорожденные с трехпредсердным сердцем обычно плохо развиты, имеют низкий вес.</w: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Дети, у которых порок проявился в более старшем возрасте, обычно имеют одышку, частые легочные инфекции в анамнезе. У них выявляются признаки правосторонней сердечной недостаточности, вклю</w:t>
        <w:softHyphen/>
        <w:t>чая набухание периферических вен, гепатомегалию. Обычно присутствуют симптомы и признаки тяже</w:t>
        <w:softHyphen/>
        <w:t>лой легочной гипертензии.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w: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Данные ЭКГ не имеют специфических признаков. Определяются небольшое отклонение электрической оси сердца вправо, дилатация правого предсердия и гипертрофия правого желудочка.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Рентгенография грудной клетки:</w: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Данные рентгенографии не имеют специфических проявлений и обычно включают застой в легких, ли</w:t>
        <w:softHyphen/>
        <w:t>нии Керли В, феномен «матового стекла» при остром отеке легких.</w: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Определяется умеренное увеличение сердечной тени преимущественно за счет легочного сегмента.</w: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Дилатированная проксимальная камера может созда</w:t>
        <w:softHyphen/>
        <w:t>вать впечатление дилатации левого предсердия.</w: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Наличие ДМПП или парциального аномального дре</w:t>
        <w:softHyphen/>
        <w:t>нажа легочных вен обусловливает увеличенную ле</w:t>
        <w:softHyphen/>
        <w:t>гочную циркуляцию, тем самым усиливает легочную венозную обструкцию. Рентгенологически может вы</w:t>
        <w:softHyphen/>
        <w:t>являться дилатация правого желудочка.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w: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 является главным диагностичес</w:t>
        <w:softHyphen/>
        <w:t>ким методом выявления трехпредсердного сердца.</w: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Определяется диафрагма, разделяющая камеру лево</w:t>
        <w:softHyphen/>
        <w:t>го предсердия. Выявляется сопутствующий дефект межпредсердной перегородки и место отхождения легочных вен для исключения аномального дренажа легочных вен.</w: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Проводится дифференциальная диагностика между трехпредсердным сердцем и надклапанным митраль</w:t>
        <w:softHyphen/>
        <w:t>ным кольцом при определении локализации ушка. Довольно сложно отличить трехпредсердное сердце от тотального аномального дренажа легочных вен в коронарный синус.</w: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Выявляются сопутствующие кардиальные аномалии.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Катетеризация и ангиокардиография:</w: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Это исследование в основном проводится для выяв</w:t>
        <w:softHyphen/>
        <w:t>ления характера дренажа легочных вен и легочного артериального давления. Примерно у 10% пациентов с трехпредсердным сердцем обнаруживается при ан</w:t>
        <w:softHyphen/>
        <w:t>гиографии частичный аномальный дренаж легочных вен.</w: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катетеризации легочной артерии проводится из</w:t>
        <w:softHyphen/>
        <w:t>мерение давления и степени легочной сосудистой об</w:t>
        <w:softHyphen/>
        <w:t>струкции. В классических случаях определяется гра</w:t>
        <w:softHyphen/>
        <w:t>диент давления между левым предсердием и давлени - ем заклинивания легочной артерии.</w:t>
      </w:r>
    </w:p>
    <w:p>
      <w:pPr>
        <w:pStyle w:val="Style30"/>
        <w:numPr>
          <w:ilvl w:val="0"/>
          <w:numId w:val="5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Проксимальная камера визуализируется в период ве</w:t>
        <w:softHyphen/>
        <w:t>нозной фазы, выражена задержка прохождения конт</w:t>
        <w:softHyphen/>
        <w:t>раста через левое предсердие в левый желудочек. Проксимальная камера длительно сохраняется конт- растированной, тогда как контраст в дистальную ка</w:t>
        <w:softHyphen/>
        <w:t>меру не поступает.</w:t>
      </w:r>
    </w:p>
    <w:p>
      <w:pPr>
        <w:pStyle w:val="Style92"/>
        <w:widowControl w:val="0"/>
        <w:keepNext/>
        <w:keepLines/>
        <w:shd w:val="clear" w:color="auto" w:fill="auto"/>
        <w:bidi w:val="0"/>
        <w:spacing w:before="0" w:after="0"/>
        <w:ind w:left="280" w:right="0"/>
      </w:pPr>
      <w:r>
        <w:br w:type="column"/>
      </w:r>
      <w:bookmarkStart w:id="363" w:name="bookmark363"/>
      <w:r>
        <w:rPr>
          <w:lang w:val="ru-RU" w:eastAsia="ru-RU" w:bidi="ru-RU"/>
          <w:w w:val="100"/>
          <w:spacing w:val="0"/>
          <w:color w:val="000000"/>
          <w:position w:val="0"/>
        </w:rPr>
        <w:t>Дифференциальный диагноз</w:t>
      </w:r>
      <w:bookmarkEnd w:id="363"/>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Митральный стеноз.</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Надклапанное митральное кольцо.</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Аномальный дренаж легочных вен.</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Персистирующая легочная гипертензия новорожден</w:t>
        <w:softHyphen/>
        <w:t>ных.</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Первичная легочная гипертензия.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Гипоплазия легких.</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Стеноз легочных вен.</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Медицинская коррекция в первую очередь должна быть направлена на предупреждение или уменьше</w:t>
        <w:softHyphen/>
        <w:t>ние легочного венозного застоя.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Больным, находящимся в критическом состоянии, операция должна быть проведена в экстренном по</w:t>
        <w:softHyphen/>
        <w:t>рядке.</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Экстракорпоральная мембранная оксигенация улуч</w:t>
        <w:softHyphen/>
        <w:t>шает и стабилизирует состояние пациентов.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последние годы шире стал использоваться метод интервенционной катетерной техники (чрезкожная баллонная дилатация), успешно применяемый у ряда больных.</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 Операция проводится с применением искусственного кровообращения, до</w:t>
        <w:softHyphen/>
        <w:t>ступ осуществляется путем разреза левого предсер</w:t>
        <w:softHyphen/>
        <w:t>дия, проводится иссечение мембраны и коррекция легочного венозного дренажа.</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Пациенты находятся несколько дней в палате интен</w:t>
        <w:softHyphen/>
        <w:t>сивной терапии после операции.</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Проводится послеоперативная коррекция сердечной недостаточности и легочной гипертензии до полной нормализации легочной сосудистой резистентности.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Проводится регулярный эхокардиографический кон</w:t>
        <w:softHyphen/>
        <w:t>троль. Отдаленные осложнения наблюдаются редко.</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 позволяет выявить повторный сте</w:t>
        <w:softHyphen/>
        <w:t>ноз мембраны, если резекция выполнена не полно</w:t>
        <w:softHyphen/>
        <w:t>стью, может определяться резидуальный стеноз ле</w:t>
        <w:softHyphen/>
        <w:t>гочных вен.</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Правильно проведенная коррекция не ограничивает физическую толерантность. Обычно не наблюдается снижения физической активности в отдаленный пе</w:t>
        <w:softHyphen/>
        <w:t>риод после операции.</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необходимости продолжается лечение инотроп- ными средствами у пациентов с низким сердечным выбросом из-за сердечной недостаточности. При со</w:t>
        <w:softHyphen/>
        <w:t>хранении застойных явлений в легких продолжается терапия диуретиками.</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Применение оксида азота у пациентов с трехпред</w:t>
        <w:softHyphen/>
        <w:t>сердным сердцем и легочной гипертензией малоэф</w:t>
        <w:softHyphen/>
        <w:t>фективно, поскольку легочная гипертензия вторична к механической обструкции.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Если порок сердца не диагностирован или не прово</w:t>
        <w:softHyphen/>
        <w:t>дилась хирургическая коррекция, возникает деком</w:t>
        <w:softHyphen/>
        <w:t>пенсация кровообращения по правожелудочковому типу и смерть пациента.</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Поздние осложнения включают стеноз легочных вен с возобновлением симптоматики заболевания. Ана</w:t>
        <w:softHyphen/>
        <w:t>логичные симптомы наблюдаются, если диафрагма удалена не полностью.</w:t>
      </w:r>
      <w:r>
        <w:br w:type="page"/>
      </w:r>
    </w:p>
    <w:p>
      <w:pPr>
        <w:pStyle w:val="Style92"/>
        <w:widowControl w:val="0"/>
        <w:keepNext/>
        <w:keepLines/>
        <w:shd w:val="clear" w:color="auto" w:fill="auto"/>
        <w:bidi w:val="0"/>
        <w:spacing w:before="0" w:after="0"/>
        <w:ind w:left="520" w:right="0" w:hanging="240"/>
      </w:pPr>
      <w:bookmarkStart w:id="364" w:name="bookmark364"/>
      <w:r>
        <w:rPr>
          <w:lang w:val="ru-RU" w:eastAsia="ru-RU" w:bidi="ru-RU"/>
          <w:w w:val="100"/>
          <w:spacing w:val="0"/>
          <w:color w:val="000000"/>
          <w:position w:val="0"/>
        </w:rPr>
        <w:t>Прогноз</w:t>
      </w:r>
      <w:bookmarkEnd w:id="364"/>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Примерно 75% больных погибают в период новорож</w:t>
        <w:softHyphen/>
        <w:t>денное™ (в основном из-за легочной гипертензии). Если существует достаточное сообщение между прок</w:t>
        <w:softHyphen/>
        <w:t>симальной и дистальной камерами предсердия или если ДМПП осуществляет декомпрессию гипертен</w:t>
        <w:softHyphen/>
        <w:t>зивного левого предсердия, то прогноз порока значи</w:t>
        <w:softHyphen/>
        <w:t>тельно улучшается.</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Послеоперационная смертность наблюдается у 15-20% новорожденных в первые 30 дней. Ранняя смертность значительно возрастает, если порок соче</w:t>
        <w:softHyphen/>
        <w:t>тается с другими сердечными аномалиями.</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ребенок выживает после операции, то отдален</w:t>
        <w:softHyphen/>
        <w:t>ные результаты в целом удовлетворительные и не ог</w:t>
        <w:softHyphen/>
        <w:t>раничивают продолжительность жизни.</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Наличие сопутствующих аномалий осложняет про</w:t>
        <w:softHyphen/>
        <w:t>гноз.</w:t>
      </w:r>
    </w:p>
    <w:p>
      <w:pPr>
        <w:pStyle w:val="Style30"/>
        <w:numPr>
          <w:ilvl w:val="0"/>
          <w:numId w:val="53"/>
        </w:numPr>
        <w:tabs>
          <w:tab w:leader="none" w:pos="519" w:val="left"/>
        </w:tabs>
        <w:widowControl w:val="0"/>
        <w:keepNext w:val="0"/>
        <w:keepLines w:val="0"/>
        <w:shd w:val="clear" w:color="auto" w:fill="auto"/>
        <w:bidi w:val="0"/>
        <w:spacing w:before="0" w:after="237"/>
        <w:ind w:left="520" w:right="0" w:hanging="240"/>
      </w:pPr>
      <w:r>
        <w:rPr>
          <w:lang w:val="ru-RU" w:eastAsia="ru-RU" w:bidi="ru-RU"/>
          <w:w w:val="100"/>
          <w:spacing w:val="0"/>
          <w:color w:val="000000"/>
          <w:position w:val="0"/>
        </w:rPr>
        <w:t>Прогноз порока относительно благоприятный, если сообщение проксимальной и дистальной камер не сопровождается большой рестрикцией или если есть дефект межпредсердной перегородки. Данный факт объясняет возможность обнаружения порока в более взрослом возрасте.</w:t>
      </w:r>
    </w:p>
    <w:p>
      <w:pPr>
        <w:pStyle w:val="Style28"/>
        <w:widowControl w:val="0"/>
        <w:keepNext/>
        <w:keepLines/>
        <w:shd w:val="clear" w:color="auto" w:fill="auto"/>
        <w:bidi w:val="0"/>
        <w:jc w:val="left"/>
        <w:spacing w:before="0" w:after="157" w:line="220" w:lineRule="exact"/>
        <w:ind w:left="0" w:right="0" w:firstLine="0"/>
      </w:pPr>
      <w:bookmarkStart w:id="365" w:name="bookmark365"/>
      <w:r>
        <w:rPr>
          <w:lang w:val="ru-RU" w:eastAsia="ru-RU" w:bidi="ru-RU"/>
          <w:w w:val="100"/>
          <w:spacing w:val="0"/>
          <w:color w:val="000000"/>
          <w:position w:val="0"/>
        </w:rPr>
        <w:t>Синдром гипоплазии левого желудочка</w:t>
      </w:r>
      <w:bookmarkEnd w:id="36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гипоплазии левого желудочка (СГЛЖ) включа</w:t>
        <w:softHyphen/>
        <w:t>ет спектр сердечных аномалий с гипоплазированной полос</w:t>
        <w:softHyphen/>
        <w:t>тью левого желудочка и восходящей аорты. Аорта и митраль</w:t>
        <w:softHyphen/>
        <w:t>ный клапан атрезированы, гипоплазированы или стенозиро - ваны. Межжелудочковая перегородка обычно интактна. Си</w:t>
        <w:softHyphen/>
        <w:t>стемное кровообращение у ребенка с таким пороком проис</w:t>
        <w:softHyphen/>
        <w:t>ходит за счет широко открытого артериального протока. Без хирургической коррекции синдром СГЛЖ является леталь</w:t>
        <w:softHyphen/>
        <w:t xml:space="preserve">ной аномалией. В 1979 году </w:t>
      </w:r>
      <w:r>
        <w:rPr>
          <w:lang w:val="en-US" w:eastAsia="en-US" w:bidi="en-US"/>
          <w:w w:val="100"/>
          <w:spacing w:val="0"/>
          <w:color w:val="000000"/>
          <w:position w:val="0"/>
        </w:rPr>
        <w:t xml:space="preserve">Norwood </w:t>
      </w:r>
      <w:r>
        <w:rPr>
          <w:lang w:val="ru-RU" w:eastAsia="ru-RU" w:bidi="ru-RU"/>
          <w:w w:val="100"/>
          <w:spacing w:val="0"/>
          <w:color w:val="000000"/>
          <w:position w:val="0"/>
        </w:rPr>
        <w:t>первым выполнил ус</w:t>
        <w:softHyphen/>
        <w:t>пешную паллиативную операцию. Несмотря на высокую ле</w:t>
        <w:softHyphen/>
        <w:t>тальность (более 60%), с внедрением новых технологий по</w:t>
        <w:softHyphen/>
        <w:t>явилась возможность спасать таких пациентов. В настоящее время проводится гемодинамическая коррекция в три этапа: 1) процедура Норвуда, 2) геми-Фонтен, 3) Фонтен.</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СГЛЖ наблюдается у 1 на 10 000 новорожденных, рожденных живыми. Синдром встречается в 7-8% среди всех ВПС детей. СГЛЖ составляет 20-25% смертности от кардиологических причин в неона</w:t>
        <w:softHyphen/>
        <w:t>тальном периоде. С большой частотой СГЛЖ наблю</w:t>
        <w:softHyphen/>
        <w:t>дается при наследственных синдромах (синдром Ну- нан, Холт-Орама, Смит-Лемли-Опитца), хромосо</w:t>
        <w:softHyphen/>
        <w:t>мных дупликациях, транслокациях и делециях.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70% случаев СГЛЖ наблюдается у мальчиков.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СГЛЖ проявляется в первые 24 часа жизни, как толь</w:t>
        <w:softHyphen/>
        <w:t>ко возникает констрикция артериального протока. Происходит резкое снижение системного кровоснаб</w:t>
        <w:softHyphen/>
        <w:t>жения, возникает шок, и, если не проводится реани</w:t>
        <w:softHyphen/>
        <w:t>мационная терапия с инфузией простагландинов (предупреждение закрытия ОАП), а при необходимо</w:t>
        <w:softHyphen/>
        <w:t>сти — атриосептотомия Рашкинда, ребенок погибает.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Точная причина возникновения СГЛЖ неизвестна. Наиболее вероятно первичное нарушение развития</w:t>
      </w:r>
    </w:p>
    <w:p>
      <w:pPr>
        <w:pStyle w:val="Style30"/>
        <w:widowControl w:val="0"/>
        <w:keepNext w:val="0"/>
        <w:keepLines w:val="0"/>
        <w:shd w:val="clear" w:color="auto" w:fill="auto"/>
        <w:bidi w:val="0"/>
        <w:spacing w:before="0" w:after="0"/>
        <w:ind w:left="280" w:right="0" w:firstLine="0"/>
      </w:pPr>
      <w:r>
        <w:br w:type="column"/>
      </w:r>
      <w:r>
        <w:rPr>
          <w:lang w:val="ru-RU" w:eastAsia="ru-RU" w:bidi="ru-RU"/>
          <w:w w:val="100"/>
          <w:spacing w:val="0"/>
          <w:color w:val="000000"/>
          <w:position w:val="0"/>
        </w:rPr>
        <w:t>аорты и митрального клапана. В течение развития сердца адекватный кровоток через левые отделы в значительной степени ответственен за рост этих структур. Из-за гипоплазии (атрезии) митрального клапана рост левого желудочка прекращается.</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Точно так же прекращается рост восходящей аорты из-за несостоятельности левого желудочкового вы</w:t>
        <w:softHyphen/>
        <w:t>броса. Кровь в восходящую аорту поступает ретро</w:t>
        <w:softHyphen/>
        <w:t>градно через артериальный проток, которая функци</w:t>
        <w:softHyphen/>
        <w:t>онирует как общая коронарная артерия.</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Преждевременное закрытие или отсутствие овально</w:t>
        <w:softHyphen/>
        <w:t>го окна может быть другой теоретической причиной СГЛЖ, поскольку при этом не происходит кровотока из нижней полой вены в левую полость. Легочный кровоток у плода оказывается недостаточным для нормального развития левого предсердия, левого же</w:t>
        <w:softHyphen/>
        <w:t>лудочка и восходящей аорты.</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Патофизиология</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СГЛЖ полностью оксигенированная кровь посту</w:t>
        <w:softHyphen/>
        <w:t>пает в левое предсердие и практически не поступает в левый желудочек из-за атрезии, гипоплазии или сте</w:t>
        <w:softHyphen/>
        <w:t>ноза митрального клапана. Поэтому легочная венозная кровь через межпредсердную перегородку смешивает</w:t>
        <w:softHyphen/>
        <w:t>ся с венозной кровью правого предсердия. Только один правый желудочек обеспечивает легочную и систем</w:t>
        <w:softHyphen/>
        <w:t>ную циркуляцию (через артериальный проток) сме</w:t>
        <w:softHyphen/>
        <w:t>шанной артериовенозной крови. Коронарная и мозго</w:t>
        <w:softHyphen/>
        <w:t>вая перфузии осуществляются также через артериаль</w:t>
        <w:softHyphen/>
        <w:t>ный проток, что приводит часто к инфаркту миокарда и мозговому инсульту. Низкая системная перфузия обусловливает олигурию и метаболический ацидоз.</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Анамнез, клиническая симптоматика</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Вскоре после рождения, как только начинает закры</w:t>
        <w:softHyphen/>
        <w:t>ваться артериальный проток, у ребенка внезапно раз</w:t>
        <w:softHyphen/>
        <w:t>виваются:</w:t>
      </w:r>
    </w:p>
    <w:p>
      <w:pPr>
        <w:pStyle w:val="Style30"/>
        <w:numPr>
          <w:ilvl w:val="0"/>
          <w:numId w:val="5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респираторный дистресс-синдром;</w:t>
      </w:r>
    </w:p>
    <w:p>
      <w:pPr>
        <w:pStyle w:val="Style30"/>
        <w:numPr>
          <w:ilvl w:val="0"/>
          <w:numId w:val="5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тахипноэ;</w:t>
      </w:r>
    </w:p>
    <w:p>
      <w:pPr>
        <w:pStyle w:val="Style30"/>
        <w:numPr>
          <w:ilvl w:val="0"/>
          <w:numId w:val="5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цианоз, или бледность с сероватым оттенком;</w:t>
      </w:r>
    </w:p>
    <w:p>
      <w:pPr>
        <w:pStyle w:val="Style30"/>
        <w:numPr>
          <w:ilvl w:val="0"/>
          <w:numId w:val="5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летаргия;</w:t>
      </w:r>
    </w:p>
    <w:p>
      <w:pPr>
        <w:pStyle w:val="Style30"/>
        <w:numPr>
          <w:ilvl w:val="0"/>
          <w:numId w:val="5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метаболический ацидоз;</w:t>
      </w:r>
    </w:p>
    <w:p>
      <w:pPr>
        <w:pStyle w:val="Style30"/>
        <w:numPr>
          <w:ilvl w:val="0"/>
          <w:numId w:val="5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олигурия.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Физикальные данные:</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 не начато введение простагландина для восста</w:t>
        <w:softHyphen/>
        <w:t>новления проходимости артериального протока, у ре</w:t>
        <w:softHyphen/>
        <w:t>бенка развивается симптоматика кардиогенного шо</w:t>
        <w:softHyphen/>
        <w:t>ка, которая проявляется следующими признаками:</w:t>
      </w:r>
    </w:p>
    <w:p>
      <w:pPr>
        <w:pStyle w:val="Style30"/>
        <w:numPr>
          <w:ilvl w:val="0"/>
          <w:numId w:val="5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гипотермия;</w:t>
      </w:r>
    </w:p>
    <w:p>
      <w:pPr>
        <w:pStyle w:val="Style30"/>
        <w:numPr>
          <w:ilvl w:val="0"/>
          <w:numId w:val="5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тахикардия;</w:t>
      </w:r>
    </w:p>
    <w:p>
      <w:pPr>
        <w:pStyle w:val="Style30"/>
        <w:numPr>
          <w:ilvl w:val="0"/>
          <w:numId w:val="5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респираторный дистресс;</w:t>
      </w:r>
    </w:p>
    <w:p>
      <w:pPr>
        <w:pStyle w:val="Style30"/>
        <w:numPr>
          <w:ilvl w:val="0"/>
          <w:numId w:val="5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центральный цианоз;</w:t>
      </w:r>
    </w:p>
    <w:p>
      <w:pPr>
        <w:pStyle w:val="Style30"/>
        <w:numPr>
          <w:ilvl w:val="0"/>
          <w:numId w:val="51"/>
        </w:numPr>
        <w:tabs>
          <w:tab w:leader="none" w:pos="513"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низкая периферическая перфузия со слабым пуль</w:t>
        <w:softHyphen/>
        <w:t>сом на всех конечностях и шее;</w:t>
      </w:r>
    </w:p>
    <w:p>
      <w:pPr>
        <w:pStyle w:val="Style30"/>
        <w:numPr>
          <w:ilvl w:val="0"/>
          <w:numId w:val="5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гепатомегалия.</w:t>
      </w:r>
    </w:p>
    <w:p>
      <w:pPr>
        <w:pStyle w:val="Style30"/>
        <w:numPr>
          <w:ilvl w:val="0"/>
          <w:numId w:val="53"/>
        </w:numPr>
        <w:tabs>
          <w:tab w:leader="none" w:pos="237" w:val="left"/>
        </w:tabs>
        <w:widowControl w:val="0"/>
        <w:keepNext w:val="0"/>
        <w:keepLines w:val="0"/>
        <w:shd w:val="clear" w:color="auto" w:fill="auto"/>
        <w:bidi w:val="0"/>
        <w:spacing w:before="0" w:after="0"/>
        <w:ind w:left="0" w:right="0" w:firstLine="0"/>
      </w:pPr>
      <w:r>
        <w:pict>
          <v:shape id="_x0000_s1245" type="#_x0000_t75" style="position:absolute;margin-left:147.95pt;margin-top:736.3pt;width:209.75pt;height:14.9pt;z-index:-125829238;mso-wrap-distance-left:147.85pt;mso-wrap-distance-right:136.8pt;mso-wrap-distance-bottom:10.8pt;mso-position-horizontal-relative:margin;mso-position-vertical-relative:margin" wrapcoords="0 0 21600 0 21600 21600 0 21600 0 0">
            <v:imagedata r:id="rId357" r:href="rId358"/>
            <w10:wrap type="topAndBottom" anchorx="margin" anchory="margin"/>
          </v:shape>
        </w:pict>
      </w:r>
      <w:r>
        <w:rPr>
          <w:lang w:val="ru-RU" w:eastAsia="ru-RU" w:bidi="ru-RU"/>
          <w:w w:val="100"/>
          <w:spacing w:val="0"/>
          <w:color w:val="000000"/>
          <w:position w:val="0"/>
        </w:rPr>
        <w:t>После восстановления системного кровотока за счет открытия артериального протока признаки кардиоген</w:t>
        <w:softHyphen/>
        <w:t>ного шока постепенно уменьшаются, однако сохраня</w:t>
        <w:softHyphen/>
        <w:t>ются тахикардия, тахипноэ и генерализованный циа</w:t>
        <w:softHyphen/>
        <w:t>ноз. Если синдром гипоплазии левого желудочка со</w:t>
        <w:softHyphen/>
        <w:t>провождается коарктацией аорты, пульс на ногах мо</w:t>
        <w:softHyphen/>
        <w:t>жет быть выше, чем на руках, особенно на правой руке. • Пальпируется усиленная пульсация правого желу</w:t>
        <w:softHyphen/>
        <w:t>дочка.</w:t>
      </w:r>
      <w:r>
        <w:br w:type="page"/>
      </w:r>
    </w:p>
    <w:p>
      <w:pPr>
        <w:pStyle w:val="Style30"/>
        <w:numPr>
          <w:ilvl w:val="0"/>
          <w:numId w:val="5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Выслушивается нормальный первый тон и гром</w:t>
        <w:softHyphen/>
        <w:t>кий второй тон сердца.</w:t>
      </w:r>
    </w:p>
    <w:p>
      <w:pPr>
        <w:pStyle w:val="Style30"/>
        <w:numPr>
          <w:ilvl w:val="0"/>
          <w:numId w:val="5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Шумы могут не определяться или, при развитии трикуспидальной недостаточности, возникает вы</w:t>
        <w:softHyphen/>
        <w:t>сокочастотный голосистолический шум.</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Лабораторные исследования проводят для оценки тя</w:t>
        <w:softHyphen/>
        <w:t>жести метаболических нарушений.</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КТТТС, газы крови свидетельствуют о метаболическом ацидозе, гипоксемии.</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Сразу по получении показателей газов крови решает</w:t>
        <w:softHyphen/>
        <w:t>ся вопрос о проведении искусственной вентиляции легких и ингаляции оксида азота (оптимальным явля</w:t>
        <w:softHyphen/>
        <w:t xml:space="preserve">ется содержание </w:t>
      </w:r>
      <w:r>
        <w:rPr>
          <w:lang w:val="en-US" w:eastAsia="en-US" w:bidi="en-US"/>
          <w:w w:val="100"/>
          <w:spacing w:val="0"/>
          <w:color w:val="000000"/>
          <w:position w:val="0"/>
        </w:rPr>
        <w:t>PaO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xml:space="preserve">между 30-45 мм рт. ст. и </w:t>
      </w:r>
      <w:r>
        <w:rPr>
          <w:lang w:val="en-US" w:eastAsia="en-US" w:bidi="en-US"/>
          <w:w w:val="100"/>
          <w:spacing w:val="0"/>
          <w:color w:val="000000"/>
          <w:position w:val="0"/>
        </w:rPr>
        <w:t>PaCO</w:t>
      </w:r>
      <w:r>
        <w:rPr>
          <w:lang w:val="en-US" w:eastAsia="en-US" w:bidi="en-US"/>
          <w:vertAlign w:val="subscript"/>
          <w:w w:val="100"/>
          <w:spacing w:val="0"/>
          <w:color w:val="000000"/>
          <w:position w:val="0"/>
        </w:rPr>
        <w:t xml:space="preserve">2 </w:t>
      </w:r>
      <w:r>
        <w:rPr>
          <w:lang w:val="ru-RU" w:eastAsia="ru-RU" w:bidi="ru-RU"/>
          <w:w w:val="100"/>
          <w:spacing w:val="0"/>
          <w:color w:val="000000"/>
          <w:position w:val="0"/>
        </w:rPr>
        <w:t>между 45-50 мм рт. ст.</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Развернутый анализ крови исключает септическое состояние.</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Тесты на функциональное состояние почек и печени выявляют почечную и печеночную недостаточность, вторичную к сердечной недостаточности.</w:t>
      </w:r>
    </w:p>
    <w:p>
      <w:pPr>
        <w:pStyle w:val="Style30"/>
        <w:widowControl w:val="0"/>
        <w:keepNext w:val="0"/>
        <w:keepLines w:val="0"/>
        <w:shd w:val="clear" w:color="auto" w:fill="auto"/>
        <w:bidi w:val="0"/>
        <w:jc w:val="left"/>
        <w:spacing w:before="0" w:after="0"/>
        <w:ind w:left="0" w:right="2140" w:firstLine="0"/>
      </w:pPr>
      <w:r>
        <w:rPr>
          <w:lang w:val="ru-RU" w:eastAsia="ru-RU" w:bidi="ru-RU"/>
          <w:w w:val="100"/>
          <w:spacing w:val="0"/>
          <w:color w:val="000000"/>
          <w:position w:val="0"/>
        </w:rPr>
        <w:t>Инструментальная диагностика Электрокардиография:</w:t>
      </w:r>
    </w:p>
    <w:p>
      <w:pPr>
        <w:pStyle w:val="Style30"/>
        <w:numPr>
          <w:ilvl w:val="0"/>
          <w:numId w:val="5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Обычно определяются синусовая тахикардия, от</w:t>
        <w:softHyphen/>
        <w:t>клонение электрической оси сердца вправо, ги</w:t>
        <w:softHyphen/>
        <w:t>пертрофия (перегрузка) правого предсердия и пра</w:t>
        <w:softHyphen/>
        <w:t xml:space="preserve">вого желудочка (комплекс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в правых грудных отведениях имеет форму </w:t>
      </w:r>
      <w:r>
        <w:rPr>
          <w:lang w:val="en-US" w:eastAsia="en-US" w:bidi="en-US"/>
          <w:w w:val="100"/>
          <w:spacing w:val="0"/>
          <w:color w:val="000000"/>
          <w:position w:val="0"/>
        </w:rPr>
        <w:t>qR).</w:t>
      </w:r>
    </w:p>
    <w:p>
      <w:pPr>
        <w:pStyle w:val="Style30"/>
        <w:numPr>
          <w:ilvl w:val="0"/>
          <w:numId w:val="53"/>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В левых грудных отведениях отсутствует зубец </w:t>
      </w:r>
      <w:r>
        <w:rPr>
          <w:lang w:val="en-US" w:eastAsia="en-US" w:bidi="en-US"/>
          <w:w w:val="100"/>
          <w:spacing w:val="0"/>
          <w:color w:val="000000"/>
          <w:position w:val="0"/>
        </w:rPr>
        <w:t xml:space="preserve">Q, </w:t>
      </w:r>
      <w:r>
        <w:rPr>
          <w:lang w:val="ru-RU" w:eastAsia="ru-RU" w:bidi="ru-RU"/>
          <w:w w:val="100"/>
          <w:spacing w:val="0"/>
          <w:color w:val="000000"/>
          <w:position w:val="0"/>
        </w:rPr>
        <w:t xml:space="preserve">амплитуда зубцов </w:t>
      </w:r>
      <w:r>
        <w:rPr>
          <w:lang w:val="en-US" w:eastAsia="en-US" w:bidi="en-US"/>
          <w:w w:val="100"/>
          <w:spacing w:val="0"/>
          <w:color w:val="000000"/>
          <w:position w:val="0"/>
        </w:rPr>
        <w:t xml:space="preserve">R </w:t>
      </w:r>
      <w:r>
        <w:rPr>
          <w:lang w:val="ru-RU" w:eastAsia="ru-RU" w:bidi="ru-RU"/>
          <w:w w:val="100"/>
          <w:spacing w:val="0"/>
          <w:color w:val="000000"/>
          <w:position w:val="0"/>
        </w:rPr>
        <w:t>обычно уменьшена.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Кардиомегалия.</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Усиление легочного венозного рисунка, вплоть до картины отека легкого.</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 является основным методом диа</w:t>
        <w:softHyphen/>
        <w:t>гностики СГЛЖ. Двухмерная ЭхоКГ демонстрирует гипоплазию левого желудочка и восходящей аорты. Правое предсердие, трикуспидальный клапан, пра</w:t>
        <w:softHyphen/>
        <w:t>вый желудочек и легочная артерия значительно уве</w:t>
        <w:softHyphen/>
        <w:t>личены.</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Возможно выявление других структурных аномалий.</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Трикуспидальная регургитация, выявляемая цвето</w:t>
        <w:softHyphen/>
        <w:t>вым допплером, является дооперационным факто</w:t>
        <w:softHyphen/>
        <w:t>ром риска для процедуры Норвуда. С помощью допплеровского исследования определяется характер кровотока через межпредсердную перегородку, вели</w:t>
        <w:softHyphen/>
        <w:t>чина ретроградного потока через артериальный про</w:t>
        <w:softHyphen/>
        <w:t>ток в дуге и восходящей аорте.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Перед процедурой Норвуда (I стадия):</w:t>
      </w:r>
    </w:p>
    <w:p>
      <w:pPr>
        <w:pStyle w:val="Style30"/>
        <w:numPr>
          <w:ilvl w:val="0"/>
          <w:numId w:val="5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осуществляется стандартное исследование, по</w:t>
        <w:softHyphen/>
        <w:t>скольку допплерэхокардиография не позволяет точно определить все морфологические и гемоди</w:t>
        <w:softHyphen/>
        <w:t>намические нарушения;</w:t>
      </w:r>
    </w:p>
    <w:p>
      <w:pPr>
        <w:pStyle w:val="Style30"/>
        <w:numPr>
          <w:ilvl w:val="0"/>
          <w:numId w:val="5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производится баллонная атриосептостомия для уменьшения легочной венозной гипертензии.</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Перед процедурой геми-Фонтен (II стадия):</w:t>
      </w:r>
    </w:p>
    <w:p>
      <w:pPr>
        <w:pStyle w:val="Style30"/>
        <w:numPr>
          <w:ilvl w:val="0"/>
          <w:numId w:val="5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проводится стандартное исследование параметров гемодинамики;</w:t>
      </w:r>
    </w:p>
    <w:p>
      <w:pPr>
        <w:pStyle w:val="Style30"/>
        <w:numPr>
          <w:ilvl w:val="0"/>
          <w:numId w:val="5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определяется сопротивление легочных сосудов;</w:t>
      </w:r>
    </w:p>
    <w:p>
      <w:pPr>
        <w:pStyle w:val="Style30"/>
        <w:numPr>
          <w:ilvl w:val="0"/>
          <w:numId w:val="5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проводится оценка функции правого желудочка и определение трикуспидальной регургитации;</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левосторонняя ангиография выявляет наличие ко - арктации аорты и аортолегочных коллатеральных сосудов;</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если коллатеральные сосуды определяются, они мо - гут быть окклюзированы во время катетеризации.</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 процедуры Фонтена (III стадия):</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проводится определение легочной сосудистой ре</w:t>
        <w:softHyphen/>
        <w:t>зистентности и функциональное состояние право</w:t>
        <w:softHyphen/>
        <w:t>го желудочка;</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 помощью ангиографии определяется морфоло</w:t>
        <w:softHyphen/>
        <w:t>гическая анатомия легочной артерии для успешно - го создания анастомоза верхней полой вены с ле</w:t>
        <w:softHyphen/>
        <w:t>гочной артерией;</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должны быть повторно исключены рекоарктация аорты и коллатеральные сосуды.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Дифференциальный диагноз</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Большая опухоль левого желудочка.</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Персистирующая легочная гипертензия новорожден</w:t>
        <w:softHyphen/>
        <w:t>ных.</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Респираторный дистресс-синдром.</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Сепсис новорожденного.</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Тотальный аномальный дренаж легочных вен.</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Фиброэластоз эндокарда.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 имеет существенное значение до проведения операции, основное значение ее — создание адекват</w:t>
        <w:softHyphen/>
        <w:t>ной системной перфузии и предупреждение объем</w:t>
        <w:softHyphen/>
        <w:t>ной перегрузки легочного кровообращения.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Открытие артериального протока:</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системная циркуляция (коронарные артерии, мозг, печень, почки) при СГЛЖ зависят от артериально</w:t>
        <w:softHyphen/>
        <w:t>го протока. Как только заподозрен диагноз СГЛЖ, необходимо начать введение простагландинов, предупреждающих закрытие протока;</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если СГЛЖ выявлен пренатально с помощью фе</w:t>
        <w:softHyphen/>
        <w:t>тальной эхокардиографии, сразу после рождения ре</w:t>
        <w:softHyphen/>
        <w:t>бенка назначаются небольшие дозы простагландина;</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большие дозы простагландина требуются при воз</w:t>
        <w:softHyphen/>
        <w:t>никновении у ребенка кардиоваскулярного коллапса и шока, чтобы вызвать повторное открытие протока;</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инфузию простагландина проводят через цент</w:t>
        <w:softHyphen/>
        <w:t>ральный венозный катетер, лучше, когда удается ввести катетер в умбиликальную вену.</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Коррекция метаболического ацидоза:</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коррекцию метаболического ацидоза проводят бикарбонатом натрия, однако его введение может оказаться бесполезным, если артериальный про</w:t>
        <w:softHyphen/>
        <w:t>ток закрыт.</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Регуляция легочной сосудистой резистентности:</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после рождения происходит падение легочной со - судистой резистентности, что при СГЛЖ обуслов</w:t>
        <w:softHyphen/>
        <w:t>ливает снижение системного кровотока. Правиль</w:t>
        <w:softHyphen/>
        <w:t>ная коррекция кислородного режима с помощью искусственной вентиляции легких с умеренно по</w:t>
        <w:softHyphen/>
        <w:t xml:space="preserve">вышенным </w:t>
      </w:r>
      <w:r>
        <w:rPr>
          <w:lang w:val="en-US" w:eastAsia="en-US" w:bidi="en-US"/>
          <w:w w:val="100"/>
          <w:spacing w:val="0"/>
          <w:color w:val="000000"/>
          <w:position w:val="0"/>
        </w:rPr>
        <w:t>PaCO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в пределах 45-50 мм рт. ст. по</w:t>
        <w:softHyphen/>
        <w:t>зволяет предупредить резкое падение легочной со</w:t>
        <w:softHyphen/>
        <w:t>судистой резистентности и регулировать баланс между системным и легочным кровотоком.</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Инотропные средства:</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pict>
          <v:shape id="_x0000_s1246" type="#_x0000_t75" style="position:absolute;margin-left:130.8pt;margin-top:736.3pt;width:209.75pt;height:14.9pt;z-index:-125829237;mso-wrap-distance-left:124.8pt;mso-wrap-distance-right:148.1pt;mso-wrap-distance-bottom:10.8pt;mso-position-horizontal-relative:margin;mso-position-vertical-relative:margin" wrapcoords="0 0 21600 0 21600 21600 0 21600 0 0">
            <v:imagedata r:id="rId359" r:href="rId360"/>
            <w10:wrap type="topAndBottom" anchorx="margin" anchory="margin"/>
          </v:shape>
        </w:pict>
      </w:r>
      <w:r>
        <w:rPr>
          <w:lang w:val="ru-RU" w:eastAsia="ru-RU" w:bidi="ru-RU"/>
          <w:w w:val="100"/>
          <w:spacing w:val="0"/>
          <w:color w:val="000000"/>
          <w:position w:val="0"/>
        </w:rPr>
        <w:t>инотропные средства назначаются в исключитель</w:t>
        <w:softHyphen/>
        <w:t>ных случаях при развитии тяжелого кардиогенного шока, поскольку их назначение оказывает отрица-</w:t>
      </w:r>
      <w:r>
        <w:br w:type="page"/>
      </w:r>
    </w:p>
    <w:p>
      <w:pPr>
        <w:pStyle w:val="Style30"/>
        <w:widowControl w:val="0"/>
        <w:keepNext w:val="0"/>
        <w:keepLines w:val="0"/>
        <w:shd w:val="clear" w:color="auto" w:fill="auto"/>
        <w:bidi w:val="0"/>
        <w:spacing w:before="0" w:after="0"/>
        <w:ind w:left="720" w:right="0" w:firstLine="0"/>
      </w:pPr>
      <w:r>
        <w:rPr>
          <w:lang w:val="ru-RU" w:eastAsia="ru-RU" w:bidi="ru-RU"/>
          <w:w w:val="100"/>
          <w:spacing w:val="0"/>
          <w:color w:val="000000"/>
          <w:position w:val="0"/>
        </w:rPr>
        <w:t>тельное влияние на баланс между легочной и сис</w:t>
        <w:softHyphen/>
        <w:t>темной сосудистой резистентностью;</w:t>
      </w:r>
    </w:p>
    <w:p>
      <w:pPr>
        <w:pStyle w:val="Style30"/>
        <w:numPr>
          <w:ilvl w:val="0"/>
          <w:numId w:val="5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при необходимости инотропные средства могут быть назначены ребенку с СГЛЖ при клинически стабильном состоянии.</w:t>
      </w:r>
    </w:p>
    <w:p>
      <w:pPr>
        <w:pStyle w:val="Style30"/>
        <w:numPr>
          <w:ilvl w:val="0"/>
          <w:numId w:val="53"/>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Диуретики:</w:t>
      </w:r>
    </w:p>
    <w:p>
      <w:pPr>
        <w:pStyle w:val="Style30"/>
        <w:numPr>
          <w:ilvl w:val="0"/>
          <w:numId w:val="5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диуретики предупреждают объемную перегрузку легочного кровообращения, обычно назначают фуросемид и спиронолактон.</w:t>
      </w:r>
    </w:p>
    <w:p>
      <w:pPr>
        <w:pStyle w:val="Style30"/>
        <w:numPr>
          <w:ilvl w:val="0"/>
          <w:numId w:val="53"/>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Антибиотики:</w:t>
      </w:r>
    </w:p>
    <w:p>
      <w:pPr>
        <w:pStyle w:val="Style30"/>
        <w:numPr>
          <w:ilvl w:val="0"/>
          <w:numId w:val="5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применение антибиотиков показано при подозре</w:t>
        <w:softHyphen/>
        <w:t>нии на внутриутробную инфицированность плода. Если не получено положительного высева крови, антибиотики отменяют.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Хирургическое 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Операционная реконструкция направлена на разделе - ние легочной и системной циркуляции с помощью опера</w:t>
        <w:softHyphen/>
        <w:t>ции Фонтена. Правый желудочек остается системным, в то время как легкие кровоснабжаются пассивно. Эта рекон</w:t>
        <w:softHyphen/>
        <w:t>струкция проводится в три этапа.</w:t>
      </w:r>
    </w:p>
    <w:p>
      <w:pPr>
        <w:pStyle w:val="Style30"/>
        <w:numPr>
          <w:ilvl w:val="0"/>
          <w:numId w:val="53"/>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Процедура Норвуда (первый этап):</w:t>
      </w:r>
    </w:p>
    <w:p>
      <w:pPr>
        <w:pStyle w:val="Style30"/>
        <w:numPr>
          <w:ilvl w:val="0"/>
          <w:numId w:val="5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эта процедура проводится на первой неделе жизни и включает: 1) атриосептостомию, 2) перевязку ар</w:t>
        <w:softHyphen/>
        <w:t>териального протока, 3) создание анастомоза меж</w:t>
        <w:softHyphen/>
        <w:t>ду легочной артерией и аортой, 4) устранение ко- арктации аорты, 5) перемещение аорты в легочную артерию.</w:t>
      </w:r>
    </w:p>
    <w:p>
      <w:pPr>
        <w:pStyle w:val="Style30"/>
        <w:numPr>
          <w:ilvl w:val="0"/>
          <w:numId w:val="53"/>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Процедура геми-Фонтен (второй этап):</w:t>
      </w:r>
    </w:p>
    <w:p>
      <w:pPr>
        <w:pStyle w:val="Style30"/>
        <w:numPr>
          <w:ilvl w:val="0"/>
          <w:numId w:val="5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эта операция проводится через 6 месяцев после про</w:t>
        <w:softHyphen/>
        <w:t>цедуры Норвуда. Создается анастомоз между верх</w:t>
        <w:softHyphen/>
        <w:t>ней полой веной и правой ветвью легочной артерии. Закрывается заплатой соединение верхней полой ве</w:t>
        <w:softHyphen/>
        <w:t>ны с правым предсердием. Только нижняя полая ве</w:t>
        <w:softHyphen/>
        <w:t>на впадает в правое предсердие. Аортолегочный шунт, выполненный на первом этапе, перевязывают.</w:t>
      </w:r>
    </w:p>
    <w:p>
      <w:pPr>
        <w:pStyle w:val="Style30"/>
        <w:numPr>
          <w:ilvl w:val="0"/>
          <w:numId w:val="53"/>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Процедура Фонтена (третий этап):</w:t>
      </w:r>
    </w:p>
    <w:p>
      <w:pPr>
        <w:pStyle w:val="Style30"/>
        <w:numPr>
          <w:ilvl w:val="0"/>
          <w:numId w:val="5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эту операцию проводят через 12 месяцев после вто - рого этапа. Суть этого этапа — соединение нижней полой вены с легочной артерией. Вся системная кровь пассивно поступает в легкие. Правый желу</w:t>
        <w:softHyphen/>
        <w:t>дочек работает на системную циркуляцию.</w:t>
      </w:r>
    </w:p>
    <w:p>
      <w:pPr>
        <w:pStyle w:val="Style30"/>
        <w:numPr>
          <w:ilvl w:val="0"/>
          <w:numId w:val="53"/>
        </w:numPr>
        <w:tabs>
          <w:tab w:leader="none" w:pos="516"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Трансплантация сердца проводится при невозможно - сти выполнения хирургической операции.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w:t>
      </w:r>
    </w:p>
    <w:p>
      <w:pPr>
        <w:pStyle w:val="Style30"/>
        <w:numPr>
          <w:ilvl w:val="0"/>
          <w:numId w:val="5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Преоперативные осложнения включают ацидоз, за</w:t>
        <w:softHyphen/>
        <w:t>стойную сердечную недостаточность, почечную и пе</w:t>
        <w:softHyphen/>
        <w:t>ченочную недостаточность, некротизирующий энте</w:t>
        <w:softHyphen/>
        <w:t>роколит. При отсутствии возможности хирургичес</w:t>
        <w:softHyphen/>
        <w:t>кой коррекции больной погибает в первые 2-3 недели жизни.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53"/>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 неблагоприятный.</w:t>
      </w:r>
    </w:p>
    <w:p>
      <w:pPr>
        <w:pStyle w:val="Style30"/>
        <w:numPr>
          <w:ilvl w:val="0"/>
          <w:numId w:val="53"/>
        </w:numPr>
        <w:tabs>
          <w:tab w:leader="none" w:pos="516" w:val="left"/>
        </w:tabs>
        <w:widowControl w:val="0"/>
        <w:keepNext w:val="0"/>
        <w:keepLines w:val="0"/>
        <w:shd w:val="clear" w:color="auto" w:fill="auto"/>
        <w:bidi w:val="0"/>
        <w:spacing w:before="0" w:after="237"/>
        <w:ind w:left="500" w:right="0" w:hanging="220"/>
      </w:pPr>
      <w:r>
        <w:rPr>
          <w:lang w:val="ru-RU" w:eastAsia="ru-RU" w:bidi="ru-RU"/>
          <w:w w:val="100"/>
          <w:spacing w:val="0"/>
          <w:color w:val="000000"/>
          <w:position w:val="0"/>
        </w:rPr>
        <w:t>Выживаемость больных при успешно проведенной трехэтапной коррекции порока в течение 5 лет дости</w:t>
        <w:softHyphen/>
        <w:t>гает 70%.</w:t>
      </w:r>
    </w:p>
    <w:p>
      <w:pPr>
        <w:pStyle w:val="Style28"/>
        <w:widowControl w:val="0"/>
        <w:keepNext/>
        <w:keepLines/>
        <w:shd w:val="clear" w:color="auto" w:fill="auto"/>
        <w:bidi w:val="0"/>
        <w:jc w:val="left"/>
        <w:spacing w:before="0" w:after="153" w:line="220" w:lineRule="exact"/>
        <w:ind w:left="0" w:right="0" w:firstLine="0"/>
      </w:pPr>
      <w:bookmarkStart w:id="366" w:name="bookmark366"/>
      <w:r>
        <w:rPr>
          <w:lang w:val="ru-RU" w:eastAsia="ru-RU" w:bidi="ru-RU"/>
          <w:w w:val="100"/>
          <w:spacing w:val="0"/>
          <w:color w:val="000000"/>
          <w:position w:val="0"/>
        </w:rPr>
        <w:t>Надклапанный стеноз аорты</w:t>
      </w:r>
      <w:bookmarkEnd w:id="366"/>
    </w:p>
    <w:p>
      <w:pPr>
        <w:pStyle w:val="Style92"/>
        <w:widowControl w:val="0"/>
        <w:keepNext/>
        <w:keepLines/>
        <w:shd w:val="clear" w:color="auto" w:fill="auto"/>
        <w:bidi w:val="0"/>
        <w:spacing w:before="0" w:after="0"/>
        <w:ind w:left="0" w:right="0" w:firstLine="280"/>
      </w:pPr>
      <w:bookmarkStart w:id="367" w:name="bookmark367"/>
      <w:r>
        <w:rPr>
          <w:lang w:val="ru-RU" w:eastAsia="ru-RU" w:bidi="ru-RU"/>
          <w:w w:val="100"/>
          <w:spacing w:val="0"/>
          <w:color w:val="000000"/>
          <w:position w:val="0"/>
        </w:rPr>
        <w:t>Определение</w:t>
      </w:r>
      <w:bookmarkEnd w:id="36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Анатомическое сужение восходящей аорты выше верх</w:t>
        <w:softHyphen/>
        <w:t>него края синуса Вальсальвы, приводящее к обструкции выходного тракта левого желудочка.</w:t>
      </w:r>
    </w:p>
    <w:p>
      <w:pPr>
        <w:pStyle w:val="Style92"/>
        <w:widowControl w:val="0"/>
        <w:keepNext/>
        <w:keepLines/>
        <w:shd w:val="clear" w:color="auto" w:fill="auto"/>
        <w:bidi w:val="0"/>
        <w:spacing w:before="0" w:after="0"/>
        <w:ind w:left="520" w:right="0" w:hanging="240"/>
      </w:pPr>
      <w:r>
        <w:br w:type="column"/>
      </w:r>
      <w:bookmarkStart w:id="368" w:name="bookmark368"/>
      <w:r>
        <w:rPr>
          <w:lang w:val="ru-RU" w:eastAsia="ru-RU" w:bidi="ru-RU"/>
          <w:w w:val="100"/>
          <w:spacing w:val="0"/>
          <w:color w:val="000000"/>
          <w:position w:val="0"/>
        </w:rPr>
        <w:t>Частота</w:t>
      </w:r>
      <w:bookmarkEnd w:id="36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Надклапанный стеноз аорты наблюдается в 0,08% сре</w:t>
        <w:softHyphen/>
        <w:t>ди всех врожденных пороков сердца. У новорожденных порок сердца обычно выявляется по поводу синдрома Вильямса. Спорадические формы порока встречаются значительно чаще, чем аутосомно-доминантные.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 сердца встречается одинаково часто у мальчиков и девочек.</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Симптомы заболевания обычно начинают прояв</w:t>
        <w:softHyphen/>
        <w:t>ляться в детском возрасте и могут быть выявлены у новорожденных с синдромом Вильямса, при кото</w:t>
        <w:softHyphen/>
        <w:t>ром возможна пренатальная диагностика.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 возникновения (гипотезы):</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Мультифакториальный порок развития сердца</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Составная компонента синдрома Вильямса (генети</w:t>
        <w:softHyphen/>
        <w:t xml:space="preserve">ческое заболевание, обусловленное делецией гена эластина в области </w:t>
      </w:r>
      <w:r>
        <w:rPr>
          <w:lang w:val="en-US" w:eastAsia="en-US" w:bidi="en-US"/>
          <w:w w:val="100"/>
          <w:spacing w:val="0"/>
          <w:color w:val="000000"/>
          <w:position w:val="0"/>
        </w:rPr>
        <w:t>7q11).</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Аутосомно-доминантное генетическое заболевание.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Морфология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Выделяют три морфологических варианта надклапанно - го стеноза аорты:</w:t>
      </w:r>
    </w:p>
    <w:p>
      <w:pPr>
        <w:pStyle w:val="Style30"/>
        <w:numPr>
          <w:ilvl w:val="0"/>
          <w:numId w:val="53"/>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Сужение восходящей аорты по типу «песочных часов (50-75%).</w:t>
      </w:r>
    </w:p>
    <w:p>
      <w:pPr>
        <w:pStyle w:val="Style30"/>
        <w:numPr>
          <w:ilvl w:val="0"/>
          <w:numId w:val="53"/>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Сужение восходящей аорты фиброзной диафрагмой (25%).</w:t>
      </w:r>
    </w:p>
    <w:p>
      <w:pPr>
        <w:pStyle w:val="Style30"/>
        <w:numPr>
          <w:ilvl w:val="0"/>
          <w:numId w:val="53"/>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Диффузное сужение восходящей аорты на протяже</w:t>
        <w:softHyphen/>
        <w:t>нии (25%).</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гистологическом исследовании выявляется гипер</w:t>
        <w:softHyphen/>
        <w:t>трофия миоцитов, пролиферация интимы коронарных ар</w:t>
        <w:softHyphen/>
        <w:t>терий, атеросклеротические изменения. При тяжелом над</w:t>
        <w:softHyphen/>
        <w:t>клапанном стенозе обнаруживается субэндокардиальный фиброз.</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Проксимально отходящие коронарные артерии при надклапанном стенозе имеют аналогичное давление, что и в левом желудочке. Они постепенно дилатиру- ются, становятся извитыми, интима сосуда пролифе</w:t>
        <w:softHyphen/>
        <w:t>рирует, возникают атеросклеротические изменения. Концентрическая гипертрофия миокарда приводит к миокардиальной ишемии. Надклапанное сужение приводит к изменению траектории потока крови че</w:t>
        <w:softHyphen/>
        <w:t xml:space="preserve">рез брахиоцефальные сосуды (эффект </w:t>
      </w:r>
      <w:r>
        <w:rPr>
          <w:lang w:val="en-US" w:eastAsia="en-US" w:bidi="en-US"/>
          <w:w w:val="100"/>
          <w:spacing w:val="0"/>
          <w:color w:val="000000"/>
          <w:position w:val="0"/>
        </w:rPr>
        <w:t xml:space="preserve">Coanda), </w:t>
      </w:r>
      <w:r>
        <w:rPr>
          <w:lang w:val="ru-RU" w:eastAsia="ru-RU" w:bidi="ru-RU"/>
          <w:w w:val="100"/>
          <w:spacing w:val="0"/>
          <w:color w:val="000000"/>
          <w:position w:val="0"/>
        </w:rPr>
        <w:t>при этом артериальное давление на правой руке зна</w:t>
        <w:softHyphen/>
        <w:t>чительно выше, чем на левой.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Может наблюдаться внезапная сердечная смерть, ко</w:t>
        <w:softHyphen/>
        <w:t>торая особенно высока при надклапанном стенозе аорты в сочетании с синдромом Вильямса или пери</w:t>
        <w:softHyphen/>
        <w:t>ферическими стенозами легочной артерии. Она воз</w:t>
        <w:softHyphen/>
        <w:t>никает при внезапном усилении обструкции выход</w:t>
        <w:softHyphen/>
        <w:t>ного тракта левого желудочка или из-за поражения коронарных артерий.</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Заболевание имеет прогрессирующий характер, раз</w:t>
        <w:softHyphen/>
        <w:t>витие клинических симптомов обструкции выходно</w:t>
        <w:softHyphen/>
        <w:t>го тракта левого желудочка наступает быстрее, чем при клапанном стенозе аорты.</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pict>
          <v:shape id="_x0000_s1247" type="#_x0000_t75" style="position:absolute;margin-left:147.85pt;margin-top:736.3pt;width:209.75pt;height:14.9pt;z-index:-125829236;mso-wrap-distance-left:147.6pt;mso-wrap-distance-right:136.8pt;mso-wrap-distance-bottom:10.8pt;mso-position-horizontal-relative:margin;mso-position-vertical-relative:margin" wrapcoords="0 0 21600 0 21600 21600 0 21600 0 0">
            <v:imagedata r:id="rId361" r:href="rId362"/>
            <w10:wrap type="topAndBottom" anchorx="margin" anchory="margin"/>
          </v:shape>
        </w:pict>
      </w:r>
      <w:r>
        <w:rPr>
          <w:lang w:val="ru-RU" w:eastAsia="ru-RU" w:bidi="ru-RU"/>
          <w:w w:val="100"/>
          <w:spacing w:val="0"/>
          <w:color w:val="000000"/>
          <w:position w:val="0"/>
        </w:rPr>
        <w:t>Обструкция выходного тракта левого желудочка и по</w:t>
        <w:softHyphen/>
        <w:t>ражение коронарных артерий обусловливают одышку при физической нагрузке, боли в грудной клетке ишемического характера, синкопальные состояния.</w:t>
      </w:r>
      <w:r>
        <w:br w:type="page"/>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Иногда клиническая симптоматика заболевания мо</w:t>
        <w:softHyphen/>
        <w:t>жет манифестировать инфекционным эндокардитом.</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Симптоматика заболевания обычно развивается в детском возрасте, редко у новорожденных. Пример</w:t>
        <w:softHyphen/>
        <w:t>но у 15% пациентов симптоматика надклапанного стеноза аорты может обнаруживаться на второй-тре</w:t>
        <w:softHyphen/>
        <w:t>тьей декаде жизни.</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Заболевание обычно обнаруживается при появлении систолического шума в сердце или при кардиологи</w:t>
        <w:softHyphen/>
        <w:t>ческом обследовании по поводу синдрома Вильямса.</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Заболевание манифестирует развитием одышки при физической нагрузке, болями в сердце и синкопаль- ными эпизодами. Перечисленные симптомы свиде</w:t>
        <w:softHyphen/>
        <w:t>тельствуют о наличии, по крайней мере, умеренной или тяжелой обструкции выходного тракта левого же</w:t>
        <w:softHyphen/>
        <w:t>лудочка.</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Боли в грудной клетке ишемического характера могут возникать раньше, чем симптоматика обструкции выходного тракта левого желудочка.</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Поскольку риск внезапной смерти очень высок при надклапанном стенозе аорты, появление болей и об</w:t>
        <w:softHyphen/>
        <w:t>мороков требует немедленного обследования паци</w:t>
        <w:softHyphen/>
        <w:t>ента.</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пациентов с синдромом Вильямса другими прояв</w:t>
        <w:softHyphen/>
        <w:t>лениями начала заболевания может быть артериаль</w:t>
        <w:softHyphen/>
        <w:t>ная гипотензия и поражение суставов.</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Физикальные данные:</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Асимметрия пульса на верхних конечностях. Несоот</w:t>
        <w:softHyphen/>
        <w:t>ветствие пульсации каротидных артерий, пульса на верхних конечностях и артериального давления яв</w:t>
        <w:softHyphen/>
        <w:t>ляется характерным клиническим признаком над</w:t>
        <w:softHyphen/>
        <w:t>клапанного стеноза аорты. Поток крови при надкла</w:t>
        <w:softHyphen/>
        <w:t>панном стенозе аорты имеет измененную траекто</w:t>
        <w:softHyphen/>
        <w:t>рию движения и направлен преимущественно в бра</w:t>
        <w:softHyphen/>
        <w:t xml:space="preserve">хиоцефальные сосуды (так называемый эффект </w:t>
      </w:r>
      <w:r>
        <w:rPr>
          <w:lang w:val="en-US" w:eastAsia="en-US" w:bidi="en-US"/>
          <w:w w:val="100"/>
          <w:spacing w:val="0"/>
          <w:color w:val="000000"/>
          <w:position w:val="0"/>
        </w:rPr>
        <w:t>Coanda).</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Верхушечный толчок обычно гипердинамичный. Верхушка сердца смещена латерально и вниз из-за гипертрофии левого желудочка. Обычно пальпирует</w:t>
        <w:softHyphen/>
        <w:t>ся систолическое дрожание в надгрудинной выемке.</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Обычно первый тон сердца не изменен. При тяжелом надклапанном стенозе может выслушиваться рас</w:t>
        <w:softHyphen/>
        <w:t>щепление второго тона и четвертый тон сердца.</w:t>
      </w:r>
    </w:p>
    <w:p>
      <w:pPr>
        <w:pStyle w:val="Style30"/>
        <w:numPr>
          <w:ilvl w:val="0"/>
          <w:numId w:val="5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Систолические щелчки изгнания не характерны для надклапанного стеноза аорты. Обычно выслушивает</w:t>
        <w:softHyphen/>
        <w:t xml:space="preserve">ся систолический шум типа </w:t>
      </w:r>
      <w:r>
        <w:rPr>
          <w:lang w:val="en-US" w:eastAsia="en-US" w:bidi="en-US"/>
          <w:w w:val="100"/>
          <w:spacing w:val="0"/>
          <w:color w:val="000000"/>
          <w:position w:val="0"/>
        </w:rPr>
        <w:t xml:space="preserve">crescendo-decrescendo </w:t>
      </w:r>
      <w:r>
        <w:rPr>
          <w:lang w:val="ru-RU" w:eastAsia="ru-RU" w:bidi="ru-RU"/>
          <w:w w:val="100"/>
          <w:spacing w:val="0"/>
          <w:color w:val="000000"/>
          <w:position w:val="0"/>
        </w:rPr>
        <w:t>вдоль левого края грудины, который проводится в проекцию правой сонной артерии. Шум обычно не интенсивный. Если пик шума выслушивается в кон</w:t>
        <w:softHyphen/>
        <w:t>це систолы левого желудочка, это свидетельствует о тяжелой обструкции левого желудочка. Может оп</w:t>
        <w:softHyphen/>
        <w:t>ределяться непродолжительный раннедиастоличес</w:t>
        <w:softHyphen/>
        <w:t>кий шум аортальной регургитации.</w:t>
      </w:r>
    </w:p>
    <w:p>
      <w:pPr>
        <w:pStyle w:val="Style92"/>
        <w:widowControl w:val="0"/>
        <w:keepNext/>
        <w:keepLines/>
        <w:shd w:val="clear" w:color="auto" w:fill="auto"/>
        <w:bidi w:val="0"/>
        <w:spacing w:before="0" w:after="0"/>
        <w:ind w:left="260" w:right="0" w:hanging="260"/>
      </w:pPr>
      <w:r>
        <w:br w:type="column"/>
      </w:r>
      <w:bookmarkStart w:id="369" w:name="bookmark369"/>
      <w:r>
        <w:rPr>
          <w:lang w:val="ru-RU" w:eastAsia="ru-RU" w:bidi="ru-RU"/>
          <w:w w:val="100"/>
          <w:spacing w:val="0"/>
          <w:color w:val="000000"/>
          <w:position w:val="0"/>
        </w:rPr>
        <w:t>Инструментальная диагностика</w:t>
      </w:r>
      <w:bookmarkEnd w:id="369"/>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Гипертрофия левого желудочка.</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en-US" w:eastAsia="en-US" w:bidi="en-US"/>
          <w:w w:val="100"/>
          <w:spacing w:val="0"/>
          <w:color w:val="000000"/>
          <w:position w:val="0"/>
        </w:rPr>
        <w:t xml:space="preserve">ST-T </w:t>
      </w:r>
      <w:r>
        <w:rPr>
          <w:lang w:val="ru-RU" w:eastAsia="ru-RU" w:bidi="ru-RU"/>
          <w:w w:val="100"/>
          <w:spacing w:val="0"/>
          <w:color w:val="000000"/>
          <w:position w:val="0"/>
        </w:rPr>
        <w:t>изменения, связанные с ишемией миокарда.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Рентгенография:</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Определяется умеренное увеличение тени сердца, вос</w:t>
        <w:softHyphen/>
        <w:t>ходящая аорта может быть асимметрично дилатирова- на. Наличие этих признаков обычно указывает на гемо - динамически значимый надклапанный стеноз аорты.</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 (рис. 28):</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Двухмерная эхокардиография позволяет установить анатомический диагноз порока при использовании парастернального, верхушечного и супрастернально</w:t>
        <w:softHyphen/>
        <w:t>го доступов.</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надклапанном стенозе аорты по типу песочных часов или диффузной гипоплазии диаметр восходя</w:t>
        <w:softHyphen/>
        <w:t>щей аорты меньше, чем корня аорты. При надкла</w:t>
        <w:softHyphen/>
        <w:t>панном стенозе, обусловленном фибромышечной диафрагмой, диаметр восходящей аорты не изменен, в просвете сосуда определяется мембрана сразу над синусами Вальсальвы.</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Турбулентный поток крови при цветовом допплере указывает место сужения аорты и позволяет выявить стеноз устья коронарных артерий.</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Допплерография позволяет определить градиент об</w:t>
        <w:softHyphen/>
        <w:t>струкции через место сужения. Тяжесть стеноза опре</w:t>
        <w:softHyphen/>
        <w:t>деляется по стандартным критериям (табл. 10).</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стенозе по типу фибромышечной мембраны гра</w:t>
        <w:softHyphen/>
        <w:t>диент обструкции коррелирует с показателями, полу</w:t>
        <w:softHyphen/>
        <w:t>ченными при катетеризации сердца, при остальных вариантах надклапанного стенозирования данная корреляция отсутствует.</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Внутрисосудистая допплерэхокардиография позво</w:t>
        <w:softHyphen/>
        <w:t>ляет непосредственно визуализировать место, тип и тяжесть сужения, однако значимость метода еще не установлена.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Катетеризация сердца (ангиокардиография):</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Биплановая левая вентрикулография и аортография позволяют выявить морфологию надклапанного су</w:t>
        <w:softHyphen/>
        <w:t>жения, структуру сосудов дуги аорты, аномалии аор</w:t>
        <w:softHyphen/>
        <w:t>тального корня и дилатированные коронарные арте</w:t>
        <w:softHyphen/>
        <w:t>рии. При синдроме Вильямса дополнительно прово</w:t>
        <w:softHyphen/>
        <w:t>дится правосторонняя ангиография для обнаружения периферических стенозов легочной артерии.</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Осложнения катетеризации включают: поврежде</w:t>
        <w:softHyphen/>
        <w:t>ние сосуда вплоть до разрыва, окклюзию сосуда, кровотечение, кровоизлияния, тахиаритмии, бра- диаритмии, боли, тошноту, рвоту.</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Дифференциальный диагноз</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Клапанный аортальный стеноз.</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Подклапанный аортальный стеноз.</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Гипертрофическая кардиомиопатия.</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pict>
          <v:shape id="_x0000_s1248" type="#_x0000_t202" style="position:absolute;margin-left:-5.9pt;margin-top:610.8pt;width:493.45pt;height:60.pt;z-index:-125829235;mso-wrap-distance-left:5.pt;mso-wrap-distance-right:5.pt;mso-wrap-distance-bottom:65.5pt;mso-position-horizontal-relative:margin;mso-position-vertical-relative:margin" filled="f" stroked="f">
            <v:textbox style="mso-fit-shape-to-text:t" inset="0,0,0,0">
              <w:txbxContent>
                <w:tbl>
                  <w:tblPr>
                    <w:tblOverlap w:val="never"/>
                    <w:tblLayout w:type="fixed"/>
                    <w:jc w:val="left"/>
                  </w:tblPr>
                  <w:tblGrid>
                    <w:gridCol w:w="3293"/>
                    <w:gridCol w:w="3283"/>
                    <w:gridCol w:w="3293"/>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Тяжесть стеноза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Средний градиент (в мм рт. ст.)</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Площадь суженного отверстия (см</w:t>
                        </w:r>
                        <w:r>
                          <w:rPr>
                            <w:lang w:val="ru-RU" w:eastAsia="ru-RU" w:bidi="ru-RU"/>
                            <w:vertAlign w:val="superscript"/>
                            <w:w w:val="100"/>
                            <w:spacing w:val="0"/>
                            <w:color w:val="000000"/>
                            <w:position w:val="0"/>
                          </w:rPr>
                          <w:t>2</w:t>
                        </w:r>
                        <w:r>
                          <w:rPr>
                            <w:lang w:val="ru-RU" w:eastAsia="ru-RU" w:bidi="ru-RU"/>
                            <w:w w:val="100"/>
                            <w:spacing w:val="0"/>
                            <w:color w:val="000000"/>
                            <w:position w:val="0"/>
                          </w:rPr>
                          <w:t>)</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Легкий</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&lt;25</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&gt;1,5</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Умеренный</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25-50</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1-1,5</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Тяжелый</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&gt;50</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&lt;1</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Критический</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&gt;80</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&lt;0,7</w:t>
                        </w:r>
                      </w:p>
                    </w:tc>
                  </w:tr>
                </w:tbl>
              </w:txbxContent>
            </v:textbox>
            <w10:wrap type="topAndBottom" anchorx="margin" anchory="margin"/>
          </v:shape>
        </w:pict>
      </w:r>
      <w:r>
        <w:pict>
          <v:shape id="_x0000_s1249" type="#_x0000_t202" style="position:absolute;margin-left:128.pt;margin-top:593.75pt;width:225.85pt;height:11.9pt;z-index:-125829234;mso-wrap-distance-left:5.pt;mso-wrap-distance-right:5.pt;mso-wrap-distance-bottom:65.5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Тяжесть стеноза, определяемого по градиенту обструкции</w:t>
                  </w:r>
                </w:p>
              </w:txbxContent>
            </v:textbox>
            <w10:wrap type="topAndBottom" anchorx="margin" anchory="margin"/>
          </v:shape>
        </w:pict>
      </w:r>
      <w:r>
        <w:pict>
          <v:shape id="_x0000_s1250" type="#_x0000_t202" style="position:absolute;margin-left:443.6pt;margin-top:583.2pt;width:45.1pt;height:11.55pt;z-index:-125829233;mso-wrap-distance-left:5.pt;mso-wrap-distance-right:5.pt;mso-wrap-distance-bottom:65.5pt;mso-position-horizontal-relative:margin;mso-position-vertical-relative:margin" filled="f" stroked="f">
            <v:textbox style="mso-fit-shape-to-text:t" inset="0,0,0,0">
              <w:txbxContent>
                <w:p>
                  <w:pPr>
                    <w:pStyle w:val="Style39"/>
                    <w:widowControl w:val="0"/>
                    <w:keepNext w:val="0"/>
                    <w:keepLines w:val="0"/>
                    <w:shd w:val="clear" w:color="auto" w:fill="auto"/>
                    <w:bidi w:val="0"/>
                    <w:jc w:val="left"/>
                    <w:spacing w:before="0" w:after="0" w:line="170" w:lineRule="exact"/>
                    <w:ind w:left="0" w:right="0" w:firstLine="0"/>
                  </w:pPr>
                  <w:r>
                    <w:rPr>
                      <w:rStyle w:val="CharStyle114"/>
                      <w:i/>
                      <w:iCs/>
                    </w:rPr>
                    <w:t>Таблица 10</w:t>
                  </w:r>
                </w:p>
              </w:txbxContent>
            </v:textbox>
            <w10:wrap type="topAndBottom" anchorx="margin" anchory="margin"/>
          </v:shape>
        </w:pict>
      </w:r>
      <w:r>
        <w:pict>
          <v:shape id="_x0000_s1251" type="#_x0000_t75" style="position:absolute;margin-left:130.45pt;margin-top:736.3pt;width:209.75pt;height:14.9pt;z-index:-125829232;mso-wrap-distance-left:124.1pt;mso-wrap-distance-right:148.1pt;mso-wrap-distance-bottom:10.8pt;mso-position-horizontal-relative:margin;mso-position-vertical-relative:margin" wrapcoords="0 0 21600 0 21600 21600 0 21600 0 0">
            <v:imagedata r:id="rId363" r:href="rId364"/>
            <w10:wrap type="topAndBottom" anchorx="margin" anchory="margin"/>
          </v:shape>
        </w:pict>
      </w:r>
      <w:r>
        <w:rPr>
          <w:lang w:val="ru-RU" w:eastAsia="ru-RU" w:bidi="ru-RU"/>
          <w:w w:val="100"/>
          <w:spacing w:val="0"/>
          <w:color w:val="000000"/>
          <w:position w:val="0"/>
        </w:rPr>
        <w:t>Синдром Вильямса.</w:t>
      </w:r>
      <w:r>
        <w:br w:type="page"/>
      </w:r>
    </w:p>
    <w:p>
      <w:pPr>
        <w:pStyle w:val="Style92"/>
        <w:widowControl w:val="0"/>
        <w:keepNext/>
        <w:keepLines/>
        <w:shd w:val="clear" w:color="auto" w:fill="auto"/>
        <w:bidi w:val="0"/>
        <w:spacing w:before="0" w:after="0"/>
        <w:ind w:left="280" w:right="0"/>
      </w:pPr>
      <w:r>
        <w:pict>
          <v:shape id="_x0000_s1252" type="#_x0000_t202" style="position:absolute;margin-left:-5.4pt;margin-top:26.4pt;width:162.7pt;height:22.05pt;z-index:-125829231;mso-wrap-distance-left:5.pt;mso-wrap-distance-right: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22"/>
                    </w:rPr>
                    <w:t xml:space="preserve">Рис. 28. </w:t>
                  </w:r>
                  <w:r>
                    <w:rPr>
                      <w:rStyle w:val="CharStyle121"/>
                    </w:rPr>
                    <w:t>Надклапанный стеноз аорты типа песочных часов при синдроме Вильямса.</w:t>
                  </w:r>
                </w:p>
              </w:txbxContent>
            </v:textbox>
            <w10:wrap type="topAndBottom" anchorx="margin" anchory="margin"/>
          </v:shape>
        </w:pict>
      </w:r>
      <w:r>
        <w:pict>
          <v:shape id="_x0000_s1253" type="#_x0000_t75" style="position:absolute;margin-left:188.5pt;margin-top:2.65pt;width:300.5pt;height:225.1pt;z-index:-125829230;mso-wrap-distance-left:5.pt;mso-wrap-distance-right:5.pt;mso-position-horizontal-relative:margin;mso-position-vertical-relative:margin">
            <v:imagedata r:id="rId365" r:href="rId366"/>
            <w10:wrap type="topAndBottom" anchorx="margin" anchory="margin"/>
          </v:shape>
        </w:pict>
      </w:r>
      <w:bookmarkStart w:id="370" w:name="bookmark370"/>
      <w:r>
        <w:rPr>
          <w:lang w:val="ru-RU" w:eastAsia="ru-RU" w:bidi="ru-RU"/>
          <w:w w:val="100"/>
          <w:spacing w:val="0"/>
          <w:color w:val="000000"/>
          <w:position w:val="0"/>
        </w:rPr>
        <w:t>Лечение</w:t>
      </w:r>
      <w:bookmarkEnd w:id="370"/>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бессимптомном течении порока пациенты с над</w:t>
        <w:softHyphen/>
        <w:t>клапанным стенозом аорты обычно в медикаментоз</w:t>
        <w:softHyphen/>
        <w:t>ной коррекции не нуждаются.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появлении клинической симптоматики основ</w:t>
        <w:softHyphen/>
        <w:t>ной помощью при данном пороке является хирурги</w:t>
        <w:softHyphen/>
        <w:t>ческая коррекция. Транскатетерная баллонная ангио</w:t>
        <w:softHyphen/>
        <w:t>пластика при надклапанном стенозе аорты не прово</w:t>
        <w:softHyphen/>
        <w:t>дится, поскольку после этой процедуры стеноз уменьшается незначительно и высокая частота ресте</w:t>
        <w:softHyphen/>
        <w:t>нозов.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Показания к хирургической коррекции порока: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Клинические:</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Наличие одышки при физической нагрузке, стено</w:t>
        <w:softHyphen/>
        <w:t>кардии или обморочных состояний.</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Систолический аортальный шум, усиливающийся к концу систолы.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Эхокардиографические:</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Отношение массы левого желудочка к объему более чем 2:1.</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Пиковый градиент в области сужения аорты более 75 мм рт. ст.</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Средний градиент более 50 мм рт. ст.</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Данные катетеризации:</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Градиент давления более 50 мм рт. ст.</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Гипертрофия левого желудочка по типу </w:t>
      </w:r>
      <w:r>
        <w:rPr>
          <w:lang w:val="en-US" w:eastAsia="en-US" w:bidi="en-US"/>
          <w:w w:val="100"/>
          <w:spacing w:val="0"/>
          <w:color w:val="000000"/>
          <w:position w:val="0"/>
        </w:rPr>
        <w:t>strain.</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Депрессия сегмента </w:t>
      </w:r>
      <w:r>
        <w:rPr>
          <w:lang w:val="en-US" w:eastAsia="en-US" w:bidi="en-US"/>
          <w:w w:val="100"/>
          <w:spacing w:val="0"/>
          <w:color w:val="000000"/>
          <w:position w:val="0"/>
        </w:rPr>
        <w:t xml:space="preserve">SТ </w:t>
      </w:r>
      <w:r>
        <w:rPr>
          <w:lang w:val="ru-RU" w:eastAsia="ru-RU" w:bidi="ru-RU"/>
          <w:w w:val="100"/>
          <w:spacing w:val="0"/>
          <w:color w:val="000000"/>
          <w:position w:val="0"/>
        </w:rPr>
        <w:t>более 1 мм в покое или при физической нагрузке.</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 проводится с применени</w:t>
        <w:softHyphen/>
        <w:t>ем искусственного кровообращения и гипотермии на остановленном сердце. Выполняется аортотомия и резекция места надклапанной обструкции стан</w:t>
        <w:softHyphen/>
        <w:t>дартным методом при сужении по типу песочных ча</w:t>
        <w:softHyphen/>
        <w:t>сов или при фибромышечной диафрагме. У пациен</w:t>
        <w:softHyphen/>
        <w:t>тов с диффузным сужением аорты проводится рекон-</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структивная операция с применением аллографта или пульмонального аутографта.</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Операционная смертность при надклапанном стено</w:t>
        <w:softHyphen/>
        <w:t>зе по типу песочных часов или фибромышечной мем</w:t>
        <w:softHyphen/>
        <w:t>бране составляет менее 5%. Операционная смерт</w:t>
        <w:softHyphen/>
        <w:t>ность при диффузном сужении аорты выше и в сред</w:t>
        <w:softHyphen/>
        <w:t>нем составляет 12%.</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Амбулаторное наблюдение</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Последующее наблюдение показано всем детям с проведенной хирургической коррекцией порока. Кардиолог должен осматривать новорожденных с ин</w:t>
        <w:softHyphen/>
        <w:t>тервалом в 4-6 месяцев, более старших детей — каж</w:t>
        <w:softHyphen/>
        <w:t>дые 6 месяцев.</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Необходимо контролировать состояние пациента, про - водить динамичный допплерэхокардиографический контроль для исключения рестенозирования порока.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Активность</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Рекомендации по физической активности аналогичны таковым при клапанном стенозе аорты.</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Физические нагрузки не противопоказаны при лег</w:t>
        <w:softHyphen/>
        <w:t>ком стенозе (градиент давления менее 30 мм рт. ст.), отсутствуют ЭКГ-изменения и клинические симпто</w:t>
        <w:softHyphen/>
        <w:t>мы.</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Умеренные физические нагрузки (преимущественно статические) не противопоказаны при умеренном стенозе (градиент давления 21-49 мм рт. ст.), неболь</w:t>
        <w:softHyphen/>
        <w:t>шой гипертрофии левого желудочка, отсутствии кли</w:t>
        <w:softHyphen/>
        <w:t>нических проявлений заболевания.</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Физические нагрузки противопоказаны при тяже</w:t>
        <w:softHyphen/>
        <w:t>лом стенозе (градиент давления более 50 мм рт. ст.) даже при отсутствии клинических проявлений забо</w:t>
        <w:softHyphen/>
        <w:t>левания.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Предоперационные:</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Прогрессивный стеноз устья коронарных артерий.</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Инфекционный эндокардит.</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pict>
          <v:shape id="_x0000_s1254" type="#_x0000_t75" style="position:absolute;margin-left:142.2pt;margin-top:736.3pt;width:209.75pt;height:14.9pt;z-index:-125829229;mso-wrap-distance-left:136.1pt;mso-wrap-distance-right:136.55pt;mso-wrap-distance-bottom:10.8pt;mso-position-horizontal-relative:margin;mso-position-vertical-relative:margin" wrapcoords="0 0 21600 0 21600 21600 0 21600 0 0">
            <v:imagedata r:id="rId367" r:href="rId368"/>
            <w10:wrap type="topAndBottom" anchorx="margin" anchory="margin"/>
          </v:shape>
        </w:pict>
      </w:r>
      <w:r>
        <w:rPr>
          <w:lang w:val="ru-RU" w:eastAsia="ru-RU" w:bidi="ru-RU"/>
          <w:w w:val="100"/>
          <w:spacing w:val="0"/>
          <w:color w:val="000000"/>
          <w:position w:val="0"/>
        </w:rPr>
        <w:t>Внезапная смерть.</w:t>
      </w:r>
      <w:r>
        <w:br w:type="page"/>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Послеоперационные:</w:t>
      </w:r>
    </w:p>
    <w:p>
      <w:pPr>
        <w:pStyle w:val="Style30"/>
        <w:numPr>
          <w:ilvl w:val="0"/>
          <w:numId w:val="53"/>
        </w:numPr>
        <w:tabs>
          <w:tab w:leader="none" w:pos="51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Недостаточность аортального клапана (возникает примерно у 25% пациентов).</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Возникновение рестеноза.</w:t>
      </w:r>
    </w:p>
    <w:p>
      <w:pPr>
        <w:pStyle w:val="Style30"/>
        <w:numPr>
          <w:ilvl w:val="0"/>
          <w:numId w:val="53"/>
        </w:numPr>
        <w:tabs>
          <w:tab w:leader="none" w:pos="51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Летальный исход операции при диффузном надкла</w:t>
        <w:softHyphen/>
        <w:t>панном сужении аорты.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легком и умеренном стенозе благоприятный.</w:t>
      </w:r>
    </w:p>
    <w:p>
      <w:pPr>
        <w:pStyle w:val="Style30"/>
        <w:numPr>
          <w:ilvl w:val="0"/>
          <w:numId w:val="53"/>
        </w:numPr>
        <w:tabs>
          <w:tab w:leader="none" w:pos="519" w:val="left"/>
        </w:tabs>
        <w:widowControl w:val="0"/>
        <w:keepNext w:val="0"/>
        <w:keepLines w:val="0"/>
        <w:shd w:val="clear" w:color="auto" w:fill="auto"/>
        <w:bidi w:val="0"/>
        <w:jc w:val="left"/>
        <w:spacing w:before="0" w:after="237"/>
        <w:ind w:left="520" w:right="0" w:hanging="240"/>
      </w:pPr>
      <w:r>
        <w:rPr>
          <w:lang w:val="ru-RU" w:eastAsia="ru-RU" w:bidi="ru-RU"/>
          <w:w w:val="100"/>
          <w:spacing w:val="0"/>
          <w:color w:val="000000"/>
          <w:position w:val="0"/>
        </w:rPr>
        <w:t>При тяжелом стенозе послеоперационная выживае</w:t>
        <w:softHyphen/>
        <w:t>мость за 15-летний период составляет 85%.</w:t>
      </w:r>
    </w:p>
    <w:p>
      <w:pPr>
        <w:pStyle w:val="Style28"/>
        <w:widowControl w:val="0"/>
        <w:keepNext/>
        <w:keepLines/>
        <w:shd w:val="clear" w:color="auto" w:fill="auto"/>
        <w:bidi w:val="0"/>
        <w:jc w:val="left"/>
        <w:spacing w:before="0" w:after="153" w:line="220" w:lineRule="exact"/>
        <w:ind w:left="0" w:right="0" w:firstLine="0"/>
      </w:pPr>
      <w:bookmarkStart w:id="371" w:name="bookmark371"/>
      <w:r>
        <w:rPr>
          <w:lang w:val="ru-RU" w:eastAsia="ru-RU" w:bidi="ru-RU"/>
          <w:w w:val="100"/>
          <w:spacing w:val="0"/>
          <w:color w:val="000000"/>
          <w:position w:val="0"/>
        </w:rPr>
        <w:t>Подклапанный стеноз аорты</w:t>
      </w:r>
      <w:bookmarkEnd w:id="371"/>
    </w:p>
    <w:p>
      <w:pPr>
        <w:pStyle w:val="Style92"/>
        <w:widowControl w:val="0"/>
        <w:keepNext/>
        <w:keepLines/>
        <w:shd w:val="clear" w:color="auto" w:fill="auto"/>
        <w:bidi w:val="0"/>
        <w:spacing w:before="0" w:after="0"/>
        <w:ind w:left="520" w:right="0" w:hanging="240"/>
      </w:pPr>
      <w:bookmarkStart w:id="372" w:name="bookmark372"/>
      <w:r>
        <w:rPr>
          <w:lang w:val="ru-RU" w:eastAsia="ru-RU" w:bidi="ru-RU"/>
          <w:w w:val="100"/>
          <w:spacing w:val="0"/>
          <w:color w:val="000000"/>
          <w:position w:val="0"/>
        </w:rPr>
        <w:t>Определение</w:t>
      </w:r>
      <w:bookmarkEnd w:id="37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Анатомическая обструкция выходного тракта левого же</w:t>
        <w:softHyphen/>
        <w:t>лудочка мембранозным или фибромышечным образованием под аортальным клапаном с вариабельным течением. Хотя субаортальный стеноз относится к категории врожденных пороков сердца, данный порок редко обнаруживается у но</w:t>
        <w:softHyphen/>
        <w:t>ворожденных. Отмечена высокая частота послеоперацион</w:t>
        <w:softHyphen/>
        <w:t>ных рецидивов, что свидетельствует в пользу приобретенно</w:t>
        <w:softHyphen/>
        <w:t>го происхождения патологии. В 25-50% случаев субаорталь</w:t>
        <w:softHyphen/>
        <w:t>ный стеноз сочетается с пороками сердца (дефект межжелу</w:t>
        <w:softHyphen/>
        <w:t>дочковой перегородки, открытый артериальный проток, ко- арктация аорты, двустворчатый аортальный клапан, анома</w:t>
        <w:softHyphen/>
        <w:t xml:space="preserve">лии папиллярных мышц левого желудочка, персистирующая верхняя полая вена, комплекс </w:t>
      </w:r>
      <w:r>
        <w:rPr>
          <w:lang w:val="en-US" w:eastAsia="en-US" w:bidi="en-US"/>
          <w:w w:val="100"/>
          <w:spacing w:val="0"/>
          <w:color w:val="000000"/>
          <w:position w:val="0"/>
        </w:rPr>
        <w:t xml:space="preserve">Shone, </w:t>
      </w:r>
      <w:r>
        <w:rPr>
          <w:lang w:val="ru-RU" w:eastAsia="ru-RU" w:bidi="ru-RU"/>
          <w:w w:val="100"/>
          <w:spacing w:val="0"/>
          <w:color w:val="000000"/>
          <w:position w:val="0"/>
        </w:rPr>
        <w:t>перерыв дуги аорты).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Субаортальный стеноз наблюдается в 0,08% популяции и составляет примерно 1% среди всех врожденных дефектов сердца. Нет данных о генетическом происхождении поро</w:t>
        <w:softHyphen/>
        <w:t>ка, однако семейные варианты субаортального стеноза встречаются в 15-20% случаев.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Порок чаще наблюдается у мальчиков в соотношении 2:1-3:1. Потребность в хирургической коррекции у лиц мужского пола выше, чем женского.</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Изолированный субаортальный стеноз редко наблю</w:t>
        <w:softHyphen/>
        <w:t>дается при рождении и в период новорожденности. Субаортальный стеноз может развиться у детей до 2-летного возраста после хирургического закрытия дефекта межжелудочковой перегородки. При ком</w:t>
        <w:softHyphen/>
        <w:t xml:space="preserve">плексе </w:t>
      </w:r>
      <w:r>
        <w:rPr>
          <w:lang w:val="en-US" w:eastAsia="en-US" w:bidi="en-US"/>
          <w:w w:val="100"/>
          <w:spacing w:val="0"/>
          <w:color w:val="000000"/>
          <w:position w:val="0"/>
        </w:rPr>
        <w:t xml:space="preserve">Shone </w:t>
      </w:r>
      <w:r>
        <w:rPr>
          <w:lang w:val="ru-RU" w:eastAsia="ru-RU" w:bidi="ru-RU"/>
          <w:w w:val="100"/>
          <w:spacing w:val="0"/>
          <w:color w:val="000000"/>
          <w:position w:val="0"/>
        </w:rPr>
        <w:t>и перерыве дуги аорты субаортальный стеноз обнаруживается на первом году жизни. Суба</w:t>
        <w:softHyphen/>
        <w:t>ортальный стеноз не характерен для больных старше 30 лет. Этот показатель характеризует редкую выжи</w:t>
        <w:softHyphen/>
        <w:t>ваемость больных с естественным течением субаор</w:t>
        <w:softHyphen/>
        <w:t>тального стеноза старше 30 лет.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 возникновения (гипотезы)</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Полигенное наследование подтверждено в экспери</w:t>
        <w:softHyphen/>
        <w:t>ментальных исследованиях на животных. Эмбриона</w:t>
        <w:softHyphen/>
        <w:t>льная ткань в выводном тракте левого желудочка спо</w:t>
        <w:softHyphen/>
        <w:t>собна к пролиферации. Данная модель объясняет причину позднего возникновения и медленного про</w:t>
        <w:softHyphen/>
        <w:t>грессирования субаортального стеноза.</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Гемодинамическая гипотеза. В основе данной гипоте</w:t>
        <w:softHyphen/>
        <w:t>зы лежит нарушение взаимоотношения аорты и лево - го желудочка. При угле отхождения аорты из левого желудочка более 130° в выходном тракте возникают турбулентные потоки, приводящие к локальной фиб</w:t>
        <w:softHyphen/>
        <w:t>ромышечной пролиферации.</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Морфогенетическая гипотеза. Имеет место локаль</w:t>
        <w:softHyphen/>
        <w:t>ная аномалия кардиомиоцитов, аналогичная таковой при гипертрофической кардиомиопатии.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Морфология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Различают 4 анатомических варианта подклапанного су</w:t>
        <w:softHyphen/>
        <w:t>баортального стеноза:</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Дискретный субаортальный стеноз, образованный тонкой мембраной, состоящей из фибротических и эластических волокон.</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Фибромышечный субаортальный стеноз. Обструк</w:t>
        <w:softHyphen/>
        <w:t>ция выходного тракта левого желудочка обусловлена фибромышечным валиком, исходящим из межжелу</w:t>
        <w:softHyphen/>
        <w:t>дочковой перегородки.</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Фибромышечное подаортальное кольцо с вовлечени</w:t>
        <w:softHyphen/>
        <w:t>ем передней митральной створки.</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Фибромышечный субаортальный туннель, диффузно суживающий выходной тракт левого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1 и 2 типы составляют 70-80% среди всех анатомических вариантов субаортального стеноза, сужение располагается на расстоянии 0,5-1,5 см от аортального клапана. При 3 анатомическом варианте нарушено отхождение хорд от передней створки митрального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Гистологически в тканях фибромышечного кольца нару</w:t>
        <w:softHyphen/>
        <w:t>шено распределение плотных коллагеновых волокон, элас</w:t>
        <w:softHyphen/>
        <w:t>тические волокна тонкие и короткие, часто определяются фибробласты с продолговатым ядром, сосудистые образо</w:t>
        <w:softHyphen/>
        <w:t>вания не определяются.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Обструкция выходного тракта левого желудочка фиб - роэластической мембраной или дополнительными тканевыми образованиями приводит к концентриче</w:t>
        <w:softHyphen/>
        <w:t>ской гипертрофии камеры и постстенотической ди</w:t>
        <w:softHyphen/>
        <w:t>латации аорты.</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Турбулентный поток крови обусловливает фибрози- рование аортального клапана и может привести к аортальной регургитации.</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Аномальное развитие хорд митрального клапана со</w:t>
        <w:softHyphen/>
        <w:t>провождается митральной недостаточностью.</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Гемодинамические нарушения прогрессируют с воз</w:t>
        <w:softHyphen/>
        <w:t>растом ребенка.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Симптомы субаортального стеноза даже при тяжелой форме редко наблюдаются у новорожденных и не ха</w:t>
        <w:softHyphen/>
        <w:t>рактерны в раннем детском возрасте. Симптомы, харак</w:t>
        <w:softHyphen/>
        <w:t>терные для врожденных пороков сердца, часто маски</w:t>
        <w:softHyphen/>
        <w:t>руют проявления субаортального стеноза. Обычно симптомы изолированного субаортального стеноза вы</w:t>
        <w:softHyphen/>
        <w:t>являются в возрасте 10-12 лет при обнаружении систо</w:t>
        <w:softHyphen/>
        <w:t>лического шума. Порок может быть выявлен раньше, если у ребенка есть сопутствующее заболевание сердца. Признаки порока в виде одышки при физической на</w:t>
        <w:softHyphen/>
        <w:t>грузке, синкопальных или пресинкопальных состоя</w:t>
        <w:softHyphen/>
        <w:t>ний, болей в грудной клетке, ортопноэ, застойной сер</w:t>
        <w:softHyphen/>
        <w:t>дечной недостаточности начинают выявляться у детей старше 12 лет. Эти признаки указывают на большую ве</w:t>
        <w:softHyphen/>
        <w:t>личину обструкции выходного тракта левого желудочка при градиенте давления более 50 мм рт. ст. Заболевание может манифестировать внезапной сердечной смертью.</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pict>
          <v:shape id="_x0000_s1255" type="#_x0000_t75" style="position:absolute;margin-left:136.8pt;margin-top:736.3pt;width:209.75pt;height:14.9pt;z-index:-125829228;mso-wrap-distance-left:136.8pt;mso-wrap-distance-right:148.1pt;mso-wrap-distance-bottom:10.8pt;mso-position-horizontal-relative:margin;mso-position-vertical-relative:margin" wrapcoords="0 0 21600 0 21600 21600 0 21600 0 0">
            <v:imagedata r:id="rId369" r:href="rId370"/>
            <w10:wrap type="topAndBottom" anchorx="margin" anchory="margin"/>
          </v:shape>
        </w:pict>
      </w:r>
      <w:r>
        <w:rPr>
          <w:lang w:val="ru-RU" w:eastAsia="ru-RU" w:bidi="ru-RU"/>
          <w:w w:val="100"/>
          <w:spacing w:val="0"/>
          <w:color w:val="000000"/>
          <w:position w:val="0"/>
        </w:rPr>
        <w:t>Одышка при физической нагрузке является наиболее характерным симптомом субаортального стеноза и наблюдается более чем у 40% больных. Одышка при нагрузке и ортопноэ связаны с легочной венозной ги-</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пертензией из-за увеличения давления наполнения левого желудочка.</w:t>
      </w:r>
    </w:p>
    <w:p>
      <w:pPr>
        <w:pStyle w:val="Style30"/>
        <w:numPr>
          <w:ilvl w:val="0"/>
          <w:numId w:val="5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Нагрузочные синкопальные и пресинкопальные при</w:t>
        <w:softHyphen/>
        <w:t>ступы у больных с надклапанным стенозом аорты на</w:t>
        <w:softHyphen/>
        <w:t>блюдаются чаще, чем при клапанном стенозе. Синко</w:t>
        <w:softHyphen/>
        <w:t>пе во время физической нагрузки обусловлено умень</w:t>
        <w:softHyphen/>
        <w:t>шением церебральной перфузии. Поскольку сердеч</w:t>
        <w:softHyphen/>
        <w:t>ный выброс при субаортальном стенозе ограничен, во время физической нагрузки происходит системная вазодилатация, приводящая к падению артериального давления. Пресинкопальные состояния проявляются потемнением в глазах, головокружением. У детей син- копальные и пресинкопальные состояния в покое при субаортальном стенозе наблюдаются редко. Возник</w:t>
        <w:softHyphen/>
        <w:t>новение синкопе в покое может свидетельствовать о наличии у ребенка сердечных аритмий, преимущест</w:t>
        <w:softHyphen/>
        <w:t>венно в виде транзиторной желудочковой тахикардии.</w:t>
      </w:r>
    </w:p>
    <w:p>
      <w:pPr>
        <w:pStyle w:val="Style30"/>
        <w:numPr>
          <w:ilvl w:val="0"/>
          <w:numId w:val="5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Боли в грудной клетке ишемического характера могут отмечаться у 25% больных и обычно ассоциируются с тяжелой обструкцией выходного тракта левого же</w:t>
        <w:softHyphen/>
        <w:t>лудочка. Боли провоцируются физической нагрузкой и исчезают в покое. При отсутствии патологии коро</w:t>
        <w:softHyphen/>
        <w:t>нарных артерий ишемические боли у пациентов с су</w:t>
        <w:softHyphen/>
        <w:t>баортальным стенозом обусловлены увеличенной по</w:t>
        <w:softHyphen/>
        <w:t>требностью гипертрофированного миокарда в кисло</w:t>
        <w:softHyphen/>
        <w:t>роде и относительным сдавлением коронарных сосу</w:t>
        <w:softHyphen/>
        <w:t>дов увеличенной массой миокарда.</w:t>
      </w:r>
    </w:p>
    <w:p>
      <w:pPr>
        <w:pStyle w:val="Style30"/>
        <w:numPr>
          <w:ilvl w:val="0"/>
          <w:numId w:val="5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Застойная сердечная недостаточность наблюдается у детей с субаортальным стенозом обычно только при сочетании с другим пороком сердца. Сердечный вы</w:t>
        <w:softHyphen/>
        <w:t>брос длительно находится на нормальных показате</w:t>
        <w:softHyphen/>
        <w:t>лях благодаря компенсаторной гипертрофии, потому возникновение сердечной недостаточности при изо</w:t>
        <w:softHyphen/>
        <w:t>лированном субаортальном стенозе свидетельствует о декомпенсации порока.</w:t>
      </w:r>
    </w:p>
    <w:p>
      <w:pPr>
        <w:pStyle w:val="Style30"/>
        <w:numPr>
          <w:ilvl w:val="0"/>
          <w:numId w:val="5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Внезапная сердечная смерть наблюдается редко и мо</w:t>
        <w:softHyphen/>
        <w:t>жет явиться первой клинической манифестацией су</w:t>
        <w:softHyphen/>
        <w:t>баортального стеноза. Внезапная смерть может воз</w:t>
        <w:softHyphen/>
        <w:t>никнуть у пациентов с диагностированным пороком, если градиент обструкции выше 50 мм рт. ст.</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Физикальные данные:</w:t>
      </w:r>
    </w:p>
    <w:p>
      <w:pPr>
        <w:pStyle w:val="Style30"/>
        <w:numPr>
          <w:ilvl w:val="0"/>
          <w:numId w:val="5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Физическое развитие детей с изолированным субаор - тальным стенозом нормальное.</w:t>
      </w:r>
    </w:p>
    <w:p>
      <w:pPr>
        <w:pStyle w:val="Style30"/>
        <w:numPr>
          <w:ilvl w:val="0"/>
          <w:numId w:val="5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Периферический пульс симметричный, иногда мало - го объема.</w:t>
      </w:r>
    </w:p>
    <w:p>
      <w:pPr>
        <w:pStyle w:val="Style30"/>
        <w:numPr>
          <w:ilvl w:val="0"/>
          <w:numId w:val="5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Определяется увеличенная волна а югулярного ве</w:t>
        <w:softHyphen/>
        <w:t>нозного пульса. Югулярная волна хорошо определя</w:t>
        <w:softHyphen/>
        <w:t>ется у детей и связана с уменьшением правожелудоч</w:t>
        <w:softHyphen/>
        <w:t>кового комплайнса из-за гипертрофии межжелудоч</w:t>
        <w:softHyphen/>
        <w:t>ковой перегородки со стороны правого желудочка.</w:t>
      </w:r>
    </w:p>
    <w:p>
      <w:pPr>
        <w:pStyle w:val="Style30"/>
        <w:numPr>
          <w:ilvl w:val="0"/>
          <w:numId w:val="5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Пальпируется дрожание каротидных артерий, а в 1/3 случаев определяется прекордиальное дрожание при умеренном субаортальном стенозе (градиент давле</w:t>
        <w:softHyphen/>
        <w:t>ния &lt;50 мм рт. ст.) и у половины больных с тяжелым стенозом.</w:t>
      </w:r>
    </w:p>
    <w:p>
      <w:pPr>
        <w:pStyle w:val="Style30"/>
        <w:numPr>
          <w:ilvl w:val="0"/>
          <w:numId w:val="5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Усиленный верхушечный толчок определяется прак</w:t>
        <w:softHyphen/>
        <w:t>тически у всех пациентов с умеренным субаорталь</w:t>
        <w:softHyphen/>
        <w:t>ным стенозом.</w:t>
      </w:r>
    </w:p>
    <w:p>
      <w:pPr>
        <w:pStyle w:val="Style30"/>
        <w:numPr>
          <w:ilvl w:val="0"/>
          <w:numId w:val="5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Первый тон сердца не изменен.</w:t>
      </w:r>
    </w:p>
    <w:p>
      <w:pPr>
        <w:pStyle w:val="Style30"/>
        <w:numPr>
          <w:ilvl w:val="0"/>
          <w:numId w:val="5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Второй тон сердца короткий и узкий из -за удлинения продолжительности систолы левого желудочка. Па</w:t>
        <w:softHyphen/>
        <w:t>радоксальное расщепление второго тона подтвержда</w:t>
        <w:softHyphen/>
        <w:br w:type="column"/>
        <w:t>ет возникновение левожелудочковой дисфункции при тяжелом субаортальном стенозе.</w:t>
      </w:r>
    </w:p>
    <w:p>
      <w:pPr>
        <w:pStyle w:val="Style30"/>
        <w:numPr>
          <w:ilvl w:val="0"/>
          <w:numId w:val="5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Систолический щелчок открытия клапана и шум из</w:t>
        <w:softHyphen/>
        <w:t>гнания при изолированном субаортальном стенозе отсутствуют. Данные аускультативные проявления позволяют дифференцировать субаортальный стеноз и клапанный стеноз аорты.</w:t>
      </w:r>
    </w:p>
    <w:p>
      <w:pPr>
        <w:pStyle w:val="Style30"/>
        <w:numPr>
          <w:ilvl w:val="0"/>
          <w:numId w:val="5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больных с субаортальным стенозом определяется низкоамплитудный систолический шум 2-4/6 интен</w:t>
        <w:softHyphen/>
        <w:t>сивности по Левине, лучше выслушивается во втором и третьем межреберье слева в парастернальной обла</w:t>
        <w:softHyphen/>
        <w:t>сти, проводится в надгрудинную ямку. Продолжи</w:t>
        <w:softHyphen/>
        <w:t>тельность шума пропорциональна величине обструк</w:t>
        <w:softHyphen/>
        <w:t>ции выходного тракта левого желудочка.</w:t>
      </w:r>
    </w:p>
    <w:p>
      <w:pPr>
        <w:pStyle w:val="Style30"/>
        <w:numPr>
          <w:ilvl w:val="0"/>
          <w:numId w:val="5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Может определяться ранний диастолический шум аортальной регургитации, который наблюдается у 30</w:t>
        <w:softHyphen/>
        <w:t>50% пациентов.</w:t>
      </w:r>
    </w:p>
    <w:p>
      <w:pPr>
        <w:pStyle w:val="Style30"/>
        <w:numPr>
          <w:ilvl w:val="0"/>
          <w:numId w:val="5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Редко определяется пансистолический шум митраль</w:t>
        <w:softHyphen/>
        <w:t>ной регургитации из-за дисфункции папиллярных мышц.</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w:t>
      </w:r>
    </w:p>
    <w:p>
      <w:pPr>
        <w:pStyle w:val="Style30"/>
        <w:numPr>
          <w:ilvl w:val="0"/>
          <w:numId w:val="5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50-80% пациентов с субаортальным стенозом выяв</w:t>
        <w:softHyphen/>
        <w:t>ляется различной степени выраженности гипертро</w:t>
        <w:softHyphen/>
        <w:t>фия левого желудочка, однако даже при тяжелом сте</w:t>
        <w:softHyphen/>
        <w:t>нозе показатели ЭКГ могут быть нормальными. Глу</w:t>
        <w:softHyphen/>
        <w:t xml:space="preserve">бокий зубец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левых прекордиальных отведениях свидетельствует о гипертрофии межжелудочковой перегородки. Перегрузка миокарда левого желудочка по типу </w:t>
      </w:r>
      <w:r>
        <w:rPr>
          <w:lang w:val="en-US" w:eastAsia="en-US" w:bidi="en-US"/>
          <w:w w:val="100"/>
          <w:spacing w:val="0"/>
          <w:color w:val="000000"/>
          <w:position w:val="0"/>
        </w:rPr>
        <w:t xml:space="preserve">strain </w:t>
      </w:r>
      <w:r>
        <w:rPr>
          <w:lang w:val="ru-RU" w:eastAsia="ru-RU" w:bidi="ru-RU"/>
          <w:w w:val="100"/>
          <w:spacing w:val="0"/>
          <w:color w:val="000000"/>
          <w:position w:val="0"/>
        </w:rPr>
        <w:t>наблюдается примерно у 25% пациен</w:t>
        <w:softHyphen/>
        <w:t>тов и свидетельствует о тяжелой обструкции выход</w:t>
        <w:softHyphen/>
        <w:t>ного тракта левого желудочка.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 (рис. 29):</w:t>
      </w:r>
    </w:p>
    <w:p>
      <w:pPr>
        <w:pStyle w:val="Style30"/>
        <w:numPr>
          <w:ilvl w:val="0"/>
          <w:numId w:val="5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 позволяет определить локализа</w:t>
        <w:softHyphen/>
        <w:t>цию, вариант и протяженность субаортального суже</w:t>
        <w:softHyphen/>
        <w:t>ния выходного тракта левого желудочка. Проводится оценка величины гипертрофии левого желудочка и его функции, диастолических параметров камеры. Визуализируются вторичные изменения при подкла</w:t>
        <w:softHyphen/>
        <w:t>панном стенозе, такие как аортальная регургитация, постстенотическая дилатация аорты, митральная не</w:t>
        <w:softHyphen/>
        <w:t>достаточность. Могут обнаруживаться сопутствую</w:t>
        <w:softHyphen/>
        <w:t>щие врожденные пороки сердца, имеющие гемодина</w:t>
        <w:softHyphen/>
        <w:t>мическое значение при субаортальном стенозе.</w:t>
      </w:r>
    </w:p>
    <w:p>
      <w:pPr>
        <w:pStyle w:val="Style30"/>
        <w:numPr>
          <w:ilvl w:val="0"/>
          <w:numId w:val="5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Для постановки диагноза важное значение имеет двухмерная эхокардиография с цветовым доппле</w:t>
        <w:softHyphen/>
        <w:t>ром. Этот метод исследования проводят для уста</w:t>
        <w:softHyphen/>
        <w:t>новления прогрессирования порока и результатов хирургической коррекции.</w:t>
      </w:r>
    </w:p>
    <w:p>
      <w:pPr>
        <w:pStyle w:val="Style30"/>
        <w:numPr>
          <w:ilvl w:val="0"/>
          <w:numId w:val="5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М-эхокардиография позволяет диагностировать порок по косвенным признакам, которыми явля</w:t>
        <w:softHyphen/>
        <w:t xml:space="preserve">ются раннее систолическое прикрытие аортальных створок (обусловлено эффектом </w:t>
      </w:r>
      <w:r>
        <w:rPr>
          <w:lang w:val="en-US" w:eastAsia="en-US" w:bidi="en-US"/>
          <w:w w:val="100"/>
          <w:spacing w:val="0"/>
          <w:color w:val="000000"/>
          <w:position w:val="0"/>
        </w:rPr>
        <w:t xml:space="preserve">Venturi) </w:t>
      </w:r>
      <w:r>
        <w:rPr>
          <w:lang w:val="ru-RU" w:eastAsia="ru-RU" w:bidi="ru-RU"/>
          <w:w w:val="100"/>
          <w:spacing w:val="0"/>
          <w:color w:val="000000"/>
          <w:position w:val="0"/>
        </w:rPr>
        <w:t>и систо</w:t>
        <w:softHyphen/>
        <w:t>лическое трепетание аортальных створок.</w:t>
      </w:r>
    </w:p>
    <w:p>
      <w:pPr>
        <w:pStyle w:val="Style30"/>
        <w:numPr>
          <w:ilvl w:val="0"/>
          <w:numId w:val="5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 помощью двухмерной эхокардиографии опреде</w:t>
        <w:softHyphen/>
        <w:t>ляют тип подклапанного сужения, его позицию, протяженность и взаимосвязь с окружающими структурами (например, митральным клапаном). Исследование проводят в парастернальных и суб</w:t>
        <w:softHyphen/>
        <w:t>костальных проекциях.</w:t>
      </w:r>
    </w:p>
    <w:p>
      <w:pPr>
        <w:pStyle w:val="Style30"/>
        <w:numPr>
          <w:ilvl w:val="0"/>
          <w:numId w:val="53"/>
        </w:numPr>
        <w:tabs>
          <w:tab w:leader="none" w:pos="496" w:val="left"/>
        </w:tabs>
        <w:widowControl w:val="0"/>
        <w:keepNext w:val="0"/>
        <w:keepLines w:val="0"/>
        <w:shd w:val="clear" w:color="auto" w:fill="auto"/>
        <w:bidi w:val="0"/>
        <w:spacing w:before="0" w:after="0"/>
        <w:ind w:left="500" w:right="0" w:hanging="240"/>
        <w:sectPr>
          <w:pgSz w:w="11900" w:h="16840"/>
          <w:pgMar w:top="1579" w:left="1084" w:right="932" w:bottom="1785" w:header="0" w:footer="3" w:gutter="0"/>
          <w:rtlGutter w:val="0"/>
          <w:cols w:num="2" w:space="169"/>
          <w:noEndnote/>
          <w:docGrid w:linePitch="360"/>
        </w:sectPr>
      </w:pPr>
      <w:r>
        <w:rPr>
          <w:lang w:val="ru-RU" w:eastAsia="ru-RU" w:bidi="ru-RU"/>
          <w:w w:val="100"/>
          <w:spacing w:val="0"/>
          <w:color w:val="000000"/>
          <w:position w:val="0"/>
        </w:rPr>
        <w:t>Биплановая или мультиплановая чрезпищеводная эхокардиография применяется во время операции</w:t>
      </w:r>
    </w:p>
    <w:p>
      <w:pPr>
        <w:widowControl w:val="0"/>
        <w:rPr>
          <w:sz w:val="2"/>
          <w:szCs w:val="2"/>
        </w:rPr>
      </w:pPr>
      <w:r>
        <w:pict>
          <v:shape id="_x0000_s1256" type="#_x0000_t202" style="position:static;width:595.pt;height:66.0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257" type="#_x0000_t75" style="position:absolute;margin-left:151.pt;margin-top:0;width:209.75pt;height:14.9pt;z-index:-251658714;mso-wrap-distance-left:5.pt;mso-wrap-distance-right:5.pt;mso-position-horizontal-relative:margin" wrapcoords="0 0">
            <v:imagedata r:id="rId371" r:href="rId372"/>
            <w10:wrap anchorx="margin"/>
          </v:shape>
        </w:pict>
      </w:r>
    </w:p>
    <w:p>
      <w:pPr>
        <w:widowControl w:val="0"/>
        <w:rPr>
          <w:sz w:val="2"/>
          <w:szCs w:val="2"/>
        </w:rPr>
        <w:sectPr>
          <w:type w:val="continuous"/>
          <w:pgSz w:w="11900" w:h="16840"/>
          <w:pgMar w:top="1468" w:left="898" w:right="1119" w:bottom="192" w:header="0" w:footer="3" w:gutter="0"/>
          <w:rtlGutter w:val="0"/>
          <w:cols w:space="720"/>
          <w:noEndnote/>
          <w:docGrid w:linePitch="360"/>
        </w:sectPr>
      </w:pPr>
    </w:p>
    <w:p>
      <w:pPr>
        <w:pStyle w:val="Style30"/>
        <w:widowControl w:val="0"/>
        <w:keepNext w:val="0"/>
        <w:keepLines w:val="0"/>
        <w:shd w:val="clear" w:color="auto" w:fill="auto"/>
        <w:bidi w:val="0"/>
        <w:spacing w:before="0" w:after="0" w:line="192" w:lineRule="exact"/>
        <w:ind w:left="0" w:right="0" w:firstLine="0"/>
        <w:sectPr>
          <w:pgSz w:w="11900" w:h="16840"/>
          <w:pgMar w:top="1632" w:left="1359" w:right="893" w:bottom="206" w:header="0" w:footer="3" w:gutter="0"/>
          <w:rtlGutter w:val="0"/>
          <w:cols w:space="720"/>
          <w:noEndnote/>
          <w:docGrid w:linePitch="360"/>
        </w:sectPr>
      </w:pPr>
      <w:r>
        <w:pict>
          <v:shape id="_x0000_s1258" type="#_x0000_t75" style="position:absolute;margin-left:-8.65pt;margin-top:-27.35pt;width:277.9pt;height:204.95pt;z-index:-125829227;mso-wrap-distance-left:5.pt;mso-wrap-distance-right:36.pt;mso-position-horizontal-relative:margin" wrapcoords="0 0 21600 0 21600 21600 0 21600 0 0">
            <v:imagedata r:id="rId373" r:href="rId374"/>
            <w10:wrap type="square" side="right" anchorx="margin"/>
          </v:shape>
        </w:pict>
      </w:r>
      <w:r>
        <w:rPr>
          <w:rStyle w:val="CharStyle102"/>
        </w:rPr>
        <w:t xml:space="preserve">Рис. 29. </w:t>
      </w:r>
      <w:r>
        <w:rPr>
          <w:lang w:val="ru-RU" w:eastAsia="ru-RU" w:bidi="ru-RU"/>
          <w:w w:val="100"/>
          <w:spacing w:val="0"/>
          <w:color w:val="000000"/>
          <w:position w:val="0"/>
        </w:rPr>
        <w:t>Фибромышечный субаортальный стеноз. Обструкция выходного тракта левого желудочка обусловлена фибромышечным валиком, исходя</w:t>
        <w:softHyphen/>
        <w:t>щим из межжелудочковой перегородки.</w:t>
      </w:r>
    </w:p>
    <w:p>
      <w:pPr>
        <w:widowControl w:val="0"/>
        <w:spacing w:line="240" w:lineRule="exact"/>
        <w:rPr>
          <w:sz w:val="19"/>
          <w:szCs w:val="19"/>
        </w:rPr>
      </w:pPr>
    </w:p>
    <w:p>
      <w:pPr>
        <w:widowControl w:val="0"/>
        <w:spacing w:before="58" w:after="58" w:line="240" w:lineRule="exact"/>
        <w:rPr>
          <w:sz w:val="19"/>
          <w:szCs w:val="19"/>
        </w:rPr>
      </w:pPr>
    </w:p>
    <w:p>
      <w:pPr>
        <w:widowControl w:val="0"/>
        <w:rPr>
          <w:sz w:val="2"/>
          <w:szCs w:val="2"/>
        </w:rPr>
        <w:sectPr>
          <w:type w:val="continuous"/>
          <w:pgSz w:w="11900" w:h="16840"/>
          <w:pgMar w:top="1579" w:left="0" w:right="0" w:bottom="1766" w:header="0" w:footer="3" w:gutter="0"/>
          <w:rtlGutter w:val="0"/>
          <w:cols w:space="720"/>
          <w:noEndnote/>
          <w:docGrid w:linePitch="360"/>
        </w:sectPr>
      </w:pPr>
    </w:p>
    <w:p>
      <w:pPr>
        <w:widowControl w:val="0"/>
        <w:rPr>
          <w:sz w:val="2"/>
          <w:szCs w:val="2"/>
        </w:rPr>
      </w:pPr>
      <w:r>
        <w:pict>
          <v:shape id="_x0000_s1259" type="#_x0000_t75" style="position:absolute;margin-left:139.6pt;margin-top:497.3pt;width:209.75pt;height:14.9pt;z-index:-125829226;mso-wrap-distance-left:124.8pt;mso-wrap-distance-right:148.1pt;mso-wrap-distance-bottom:10.8pt;mso-position-horizontal-relative:margin" wrapcoords="0 0 21600 0 21600 21600 0 21600 0 0">
            <v:imagedata r:id="rId375" r:href="rId376"/>
            <w10:wrap type="topAndBottom" anchorx="margin"/>
          </v:shape>
        </w:pict>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и у послеоперационных больных, позволяет иде</w:t>
        <w:softHyphen/>
        <w:t>ально оценить результаты хирургической коррек</w:t>
        <w:softHyphen/>
        <w:t>ции порока. Чрезпищеводная эхокардиография яв</w:t>
        <w:softHyphen/>
        <w:t>ляется важной диагностической процедурой, когда трансторакальная эхокардиография не позволяет детально определить характер порока (у тучных больных, при деформации грудной клетки).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Допплерография:</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Допплерография используется для определения вели</w:t>
        <w:softHyphen/>
        <w:t>чины градиента обструкции выходного тракта левого желудочка. Допплерография не позволяет точно опре</w:t>
        <w:softHyphen/>
        <w:t>делить величину обструкции при множественном су</w:t>
        <w:softHyphen/>
        <w:t>жении выходного тракта, туннельном сужении и при большом дефекте межжелудочковой перегородки.</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Цветовой допплер демонстрирует наличие и тяжесть сужения выходного тракта, аортальную и митраль</w:t>
        <w:softHyphen/>
        <w:t>ную регургитацию.</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 при субаортальном стенозе проводится для определения градиента обструкции выходного тракта в случае сопутствующих внутрисер</w:t>
        <w:softHyphen/>
        <w:t>дечных аномалий.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Дифференциальная диагностика</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Стеноз аорты клапанный.</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Стеноз аорты надклапанный.</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Гипертрофическая кардиомиопатия.</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Двустворчатый аортальный клапан.</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Дефект межжелудочковой перегородки.</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Комплекс </w:t>
      </w:r>
      <w:r>
        <w:rPr>
          <w:lang w:val="en-US" w:eastAsia="en-US" w:bidi="en-US"/>
          <w:w w:val="100"/>
          <w:spacing w:val="0"/>
          <w:color w:val="000000"/>
          <w:position w:val="0"/>
        </w:rPr>
        <w:t>Shone.</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Атриовентрикулярный септальный дефект.</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бессимптомным течением заболевания в ме</w:t>
        <w:softHyphen/>
        <w:t>дикаментозном лечении не нуждаются.</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Стандартная медикаментозная коррекция проводит</w:t>
        <w:softHyphen/>
        <w:t>ся при возникновении сердечной недостаточности.</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Показана профилактика инфекционного эндокарди</w:t>
        <w:softHyphen/>
        <w:t>та, особенно при развитии аортальной регургитации.</w:t>
      </w:r>
    </w:p>
    <w:p>
      <w:pPr>
        <w:pStyle w:val="Style30"/>
        <w:numPr>
          <w:ilvl w:val="0"/>
          <w:numId w:val="5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Сроки проведения хирургической коррекции не оп</w:t>
        <w:softHyphen/>
        <w:t>ределены. Естественное течение порока характеризу</w:t>
        <w:softHyphen/>
        <w:t>ется прогрессированием величины обструкции. Пос</w:t>
        <w:softHyphen/>
        <w:br w:type="column"/>
        <w:t>ле проведенной хирургической коррекции отмечает</w:t>
        <w:softHyphen/>
        <w:t>ся высокая частота рецидивов (до 65%) сужения и возникновения аортальной регургитации.</w:t>
      </w:r>
    </w:p>
    <w:p>
      <w:pPr>
        <w:pStyle w:val="Style30"/>
        <w:numPr>
          <w:ilvl w:val="0"/>
          <w:numId w:val="5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большинстве кардиохирургических центров опера</w:t>
        <w:softHyphen/>
        <w:t>цию проводят при градиенте обструкции свыше 40 мм рт. ст. и при наличии умеренной или тяжелой аортальной регургитации.</w:t>
      </w:r>
    </w:p>
    <w:p>
      <w:pPr>
        <w:pStyle w:val="Style30"/>
        <w:numPr>
          <w:ilvl w:val="0"/>
          <w:numId w:val="5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Ранняя хирургическая коррекция показана при тун</w:t>
        <w:softHyphen/>
        <w:t>нельном варианте субаортального стеноза и быстро прогрессирующем фибромышечном стенозе.</w:t>
      </w:r>
    </w:p>
    <w:p>
      <w:pPr>
        <w:pStyle w:val="Style30"/>
        <w:numPr>
          <w:ilvl w:val="0"/>
          <w:numId w:val="5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ряде случаев операцию проводят в ранние сроки с целью предупреждения возникновения аортальной регургитации.</w:t>
      </w:r>
    </w:p>
    <w:p>
      <w:pPr>
        <w:pStyle w:val="Style30"/>
        <w:numPr>
          <w:ilvl w:val="0"/>
          <w:numId w:val="5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дискретном варианте субаортального стеноза возможно проведение чрезкожной баллонной дила</w:t>
        <w:softHyphen/>
        <w:t>тации. Однако баллонная дилатация является только паллиативной процедурой и при фибромышечном или туннельном варианте обструкции не проводится.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5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фибромышечном субаортальном стенозе прово</w:t>
        <w:softHyphen/>
        <w:t>дится полная резекция с частичной миотомией. У де</w:t>
        <w:softHyphen/>
        <w:t>тей в возрасте 10-21 года при выраженной аортальной регургитации может потребоваться аортальная вальву- лопластика или протезирование аортального клапана.</w:t>
      </w:r>
    </w:p>
    <w:p>
      <w:pPr>
        <w:pStyle w:val="Style30"/>
        <w:numPr>
          <w:ilvl w:val="0"/>
          <w:numId w:val="5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При туннельном варианте субаортального стеноза проводится аортовентрикулопластика (процедура </w:t>
      </w:r>
      <w:r>
        <w:rPr>
          <w:lang w:val="en-US" w:eastAsia="en-US" w:bidi="en-US"/>
          <w:w w:val="100"/>
          <w:spacing w:val="0"/>
          <w:color w:val="000000"/>
          <w:position w:val="0"/>
        </w:rPr>
        <w:t xml:space="preserve">Konno). </w:t>
      </w:r>
      <w:r>
        <w:rPr>
          <w:lang w:val="ru-RU" w:eastAsia="ru-RU" w:bidi="ru-RU"/>
          <w:w w:val="100"/>
          <w:spacing w:val="0"/>
          <w:color w:val="000000"/>
          <w:position w:val="0"/>
        </w:rPr>
        <w:t>При этой процедуре проводится иссечение и замена аортального клапана протезом, увеличение при помощи пластики межжелудочковой перегород</w:t>
        <w:softHyphen/>
        <w:t>ки выходного тракта левого желудочка.</w:t>
      </w:r>
    </w:p>
    <w:p>
      <w:pPr>
        <w:pStyle w:val="Style30"/>
        <w:numPr>
          <w:ilvl w:val="0"/>
          <w:numId w:val="5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возникновении рестеноза или при туннельном варианте подклапанного стеноза проводится моди</w:t>
        <w:softHyphen/>
        <w:t xml:space="preserve">фицированная процедура </w:t>
      </w:r>
      <w:r>
        <w:rPr>
          <w:lang w:val="en-US" w:eastAsia="en-US" w:bidi="en-US"/>
          <w:w w:val="100"/>
          <w:spacing w:val="0"/>
          <w:color w:val="000000"/>
          <w:position w:val="0"/>
        </w:rPr>
        <w:t xml:space="preserve">Konno </w:t>
      </w:r>
      <w:r>
        <w:rPr>
          <w:lang w:val="ru-RU" w:eastAsia="ru-RU" w:bidi="ru-RU"/>
          <w:w w:val="100"/>
          <w:spacing w:val="0"/>
          <w:color w:val="000000"/>
          <w:position w:val="0"/>
        </w:rPr>
        <w:t>(без иссечения и за</w:t>
        <w:softHyphen/>
        <w:t>мены аортального клапана).</w:t>
      </w:r>
    </w:p>
    <w:p>
      <w:pPr>
        <w:pStyle w:val="Style30"/>
        <w:numPr>
          <w:ilvl w:val="0"/>
          <w:numId w:val="5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комплексном субаортальном сужении или тун</w:t>
        <w:softHyphen/>
        <w:t>нельном типе могут проводиться различные модифи</w:t>
        <w:softHyphen/>
        <w:t>кации операции аортовентрикулопластики с частич</w:t>
        <w:softHyphen/>
        <w:t>ной заменой корня аорты с использованием аорталь</w:t>
        <w:softHyphen/>
        <w:t xml:space="preserve">ного аллографта или аутографта легочного клапана — процедура </w:t>
      </w:r>
      <w:r>
        <w:rPr>
          <w:lang w:val="en-US" w:eastAsia="en-US" w:bidi="en-US"/>
          <w:w w:val="100"/>
          <w:spacing w:val="0"/>
          <w:color w:val="000000"/>
          <w:position w:val="0"/>
        </w:rPr>
        <w:t>Ross-Konno.</w:t>
      </w:r>
      <w:r>
        <w:br w:type="page"/>
      </w:r>
    </w:p>
    <w:p>
      <w:pPr>
        <w:pStyle w:val="Style92"/>
        <w:widowControl w:val="0"/>
        <w:keepNext/>
        <w:keepLines/>
        <w:shd w:val="clear" w:color="auto" w:fill="auto"/>
        <w:bidi w:val="0"/>
        <w:spacing w:before="0" w:after="0" w:line="211" w:lineRule="exact"/>
        <w:ind w:left="0" w:right="0" w:firstLine="280"/>
      </w:pPr>
      <w:bookmarkStart w:id="373" w:name="bookmark373"/>
      <w:r>
        <w:rPr>
          <w:lang w:val="ru-RU" w:eastAsia="ru-RU" w:bidi="ru-RU"/>
          <w:w w:val="100"/>
          <w:spacing w:val="0"/>
          <w:color w:val="000000"/>
          <w:position w:val="0"/>
        </w:rPr>
        <w:t>Амбулаторное наблюдение</w:t>
      </w:r>
      <w:bookmarkEnd w:id="373"/>
    </w:p>
    <w:p>
      <w:pPr>
        <w:pStyle w:val="Style30"/>
        <w:numPr>
          <w:ilvl w:val="0"/>
          <w:numId w:val="53"/>
        </w:numPr>
        <w:tabs>
          <w:tab w:leader="none" w:pos="518"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Поскольку возможно быстрое прогрессирование по</w:t>
        <w:softHyphen/>
        <w:t>рока, показано регулярное наблюдение кардиолога ежемесячно у детей до 6-месячного возраста и каж</w:t>
        <w:softHyphen/>
        <w:t>дые 3-6 месяцев в дальнейшем.</w:t>
      </w:r>
    </w:p>
    <w:p>
      <w:pPr>
        <w:pStyle w:val="Style30"/>
        <w:numPr>
          <w:ilvl w:val="0"/>
          <w:numId w:val="53"/>
        </w:numPr>
        <w:tabs>
          <w:tab w:leader="none" w:pos="518"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В длительном послеоперационном наблюдении нуж</w:t>
        <w:softHyphen/>
        <w:t>даются все дети с субаортальным стенозом аорты. У ряда пациентов (10-25%) после операции сохраня</w:t>
        <w:softHyphen/>
        <w:t>ется градиент, превышающий 50 мм рт. ст.</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Активность</w:t>
      </w:r>
    </w:p>
    <w:p>
      <w:pPr>
        <w:pStyle w:val="Style30"/>
        <w:numPr>
          <w:ilvl w:val="0"/>
          <w:numId w:val="53"/>
        </w:numPr>
        <w:tabs>
          <w:tab w:leader="none" w:pos="518"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Физическая активность ограничивается, если опреде</w:t>
        <w:softHyphen/>
        <w:t>ляется градиент обструкции более 40 мм рт. ст., аорталь</w:t>
        <w:softHyphen/>
        <w:t>ная регургитация, признаки гипертрофии левого желу</w:t>
        <w:softHyphen/>
        <w:t>дочка, желудочковые и суправентрикулярные аритмии.</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Осложнения</w:t>
      </w:r>
    </w:p>
    <w:p>
      <w:pPr>
        <w:pStyle w:val="Style30"/>
        <w:numPr>
          <w:ilvl w:val="0"/>
          <w:numId w:val="53"/>
        </w:numPr>
        <w:tabs>
          <w:tab w:leader="none" w:pos="518"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Дооперационные осложнения включают: прогресси</w:t>
        <w:softHyphen/>
        <w:t>рующую аортальную недостаточность, дисфункцию левого желудочка, инфекционный эндокардит, арит</w:t>
        <w:softHyphen/>
        <w:t>мии, внезапную смерть.</w:t>
      </w:r>
    </w:p>
    <w:p>
      <w:pPr>
        <w:pStyle w:val="Style30"/>
        <w:numPr>
          <w:ilvl w:val="0"/>
          <w:numId w:val="53"/>
        </w:numPr>
        <w:tabs>
          <w:tab w:leader="none" w:pos="518"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Послеоперационные осложнения включают: возник</w:t>
        <w:softHyphen/>
        <w:t>новение аортальной или митральной недостаточнос</w:t>
        <w:softHyphen/>
        <w:t>ти, атриовентрикулярный блок (2-5%), ятрогенный дефект межжелудочковой перегородки (2%), инфек</w:t>
        <w:softHyphen/>
        <w:t>ционный эндокардит. Ранняя хирургическая смерт</w:t>
        <w:softHyphen/>
        <w:t>ность у новорожденных составляет 10-20%, у детей старшего возраста — 5-15%.</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Прогноз</w:t>
      </w:r>
    </w:p>
    <w:p>
      <w:pPr>
        <w:pStyle w:val="Style30"/>
        <w:numPr>
          <w:ilvl w:val="0"/>
          <w:numId w:val="53"/>
        </w:numPr>
        <w:tabs>
          <w:tab w:leader="none" w:pos="518"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Внезапная сердечная смерть наблюдается в 2-10% неоперированных случаев субаортального стеноза.</w:t>
      </w:r>
    </w:p>
    <w:p>
      <w:pPr>
        <w:pStyle w:val="Style30"/>
        <w:numPr>
          <w:ilvl w:val="0"/>
          <w:numId w:val="53"/>
        </w:numPr>
        <w:tabs>
          <w:tab w:leader="none" w:pos="518"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Примерно в 65% случаев при естественном течении порока развивается аортальная регургитация. Частота аортальной регургитации увеличивается с увеличени</w:t>
        <w:softHyphen/>
        <w:t>ем величины градиента обструкции левого желудоч</w:t>
        <w:softHyphen/>
        <w:t>ка. Аортальная регургитация усиливает объемную пе</w:t>
        <w:softHyphen/>
        <w:t>регрузку левого желудочка и предрасполагает к пора</w:t>
        <w:softHyphen/>
        <w:t>жению миокарда. У небольшого числа больных с су</w:t>
        <w:softHyphen/>
        <w:t>баортальным стенозом аортальная регургитация мо</w:t>
        <w:softHyphen/>
        <w:t>жет потребовать протезирования клапана. Субаор</w:t>
        <w:softHyphen/>
        <w:t>тальный стеноз может появиться вновь после успеш</w:t>
        <w:softHyphen/>
        <w:t>но проведенной хирургической резекции.</w:t>
      </w:r>
    </w:p>
    <w:p>
      <w:pPr>
        <w:pStyle w:val="Style30"/>
        <w:numPr>
          <w:ilvl w:val="0"/>
          <w:numId w:val="53"/>
        </w:numPr>
        <w:tabs>
          <w:tab w:leader="none" w:pos="518"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Бактериальный эндокардит при субаортальном стено - зе наблюдается у 13-25% пациентов, преимущественно с поврежденным аортальным клапаном. Это может приводить к гемодинамически значимой аортальной регургитации и застойной сердечной недостаточности.</w:t>
      </w:r>
    </w:p>
    <w:p>
      <w:pPr>
        <w:pStyle w:val="Style30"/>
        <w:numPr>
          <w:ilvl w:val="0"/>
          <w:numId w:val="53"/>
        </w:numPr>
        <w:tabs>
          <w:tab w:leader="none" w:pos="518" w:val="left"/>
        </w:tabs>
        <w:widowControl w:val="0"/>
        <w:keepNext w:val="0"/>
        <w:keepLines w:val="0"/>
        <w:shd w:val="clear" w:color="auto" w:fill="auto"/>
        <w:bidi w:val="0"/>
        <w:spacing w:before="0" w:after="233" w:line="211" w:lineRule="exact"/>
        <w:ind w:left="520" w:right="0" w:hanging="240"/>
      </w:pPr>
      <w:r>
        <w:rPr>
          <w:lang w:val="ru-RU" w:eastAsia="ru-RU" w:bidi="ru-RU"/>
          <w:w w:val="100"/>
          <w:spacing w:val="0"/>
          <w:color w:val="000000"/>
          <w:position w:val="0"/>
        </w:rPr>
        <w:t>Послеоперационная выживаемость составляет за 15 лет 85-95%. Поздняя послеоперационная смерт</w:t>
        <w:softHyphen/>
        <w:t>ность возникает при резидуальном субаортальном стенозе и повторных хирургических вмешательствах. Высокая частота рецидивов (10-50% за 10-летний пе</w:t>
        <w:softHyphen/>
        <w:t>риод) наблюдается, если у пациента градиент об</w:t>
        <w:softHyphen/>
        <w:t>струкции превышал 50 мм рт. ст, при туннельном ва</w:t>
        <w:softHyphen/>
        <w:t xml:space="preserve">рианте стеноза, если возраст пациента менее 10 лет. Процедура </w:t>
      </w:r>
      <w:r>
        <w:rPr>
          <w:lang w:val="en-US" w:eastAsia="en-US" w:bidi="en-US"/>
          <w:w w:val="100"/>
          <w:spacing w:val="0"/>
          <w:color w:val="000000"/>
          <w:position w:val="0"/>
        </w:rPr>
        <w:t xml:space="preserve">Ross-Konno </w:t>
      </w:r>
      <w:r>
        <w:rPr>
          <w:lang w:val="ru-RU" w:eastAsia="ru-RU" w:bidi="ru-RU"/>
          <w:w w:val="100"/>
          <w:spacing w:val="0"/>
          <w:color w:val="000000"/>
          <w:position w:val="0"/>
        </w:rPr>
        <w:t>позволила снизить частоту рецидивов и послеоперационную летальность при туннельном варианте субаортального стеноза.</w:t>
      </w:r>
    </w:p>
    <w:p>
      <w:pPr>
        <w:pStyle w:val="Style28"/>
        <w:widowControl w:val="0"/>
        <w:keepNext/>
        <w:keepLines/>
        <w:shd w:val="clear" w:color="auto" w:fill="auto"/>
        <w:bidi w:val="0"/>
        <w:jc w:val="left"/>
        <w:spacing w:before="0" w:after="157" w:line="220" w:lineRule="exact"/>
        <w:ind w:left="0" w:right="0" w:firstLine="0"/>
      </w:pPr>
      <w:bookmarkStart w:id="374" w:name="bookmark374"/>
      <w:r>
        <w:rPr>
          <w:lang w:val="ru-RU" w:eastAsia="ru-RU" w:bidi="ru-RU"/>
          <w:w w:val="100"/>
          <w:spacing w:val="0"/>
          <w:color w:val="000000"/>
          <w:position w:val="0"/>
        </w:rPr>
        <w:t>Коарктация аорты</w:t>
      </w:r>
      <w:bookmarkEnd w:id="374"/>
    </w:p>
    <w:p>
      <w:pPr>
        <w:pStyle w:val="Style92"/>
        <w:widowControl w:val="0"/>
        <w:keepNext/>
        <w:keepLines/>
        <w:shd w:val="clear" w:color="auto" w:fill="auto"/>
        <w:bidi w:val="0"/>
        <w:spacing w:before="0" w:after="0" w:line="211" w:lineRule="exact"/>
        <w:ind w:left="0" w:right="0" w:firstLine="280"/>
      </w:pPr>
      <w:bookmarkStart w:id="375" w:name="bookmark375"/>
      <w:r>
        <w:rPr>
          <w:lang w:val="ru-RU" w:eastAsia="ru-RU" w:bidi="ru-RU"/>
          <w:w w:val="100"/>
          <w:spacing w:val="0"/>
          <w:color w:val="000000"/>
          <w:position w:val="0"/>
        </w:rPr>
        <w:t>Определение</w:t>
      </w:r>
      <w:bookmarkEnd w:id="375"/>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Коарктация аорты является врожденным сужением аор</w:t>
        <w:softHyphen/>
        <w:t>ты, наиболее часто в области перешейка, немного дисталь</w:t>
        <w:softHyphen/>
        <w:t>нее отхождения левой подключичной артерии.</w:t>
      </w:r>
    </w:p>
    <w:p>
      <w:pPr>
        <w:pStyle w:val="Style92"/>
        <w:widowControl w:val="0"/>
        <w:keepNext/>
        <w:keepLines/>
        <w:shd w:val="clear" w:color="auto" w:fill="auto"/>
        <w:bidi w:val="0"/>
        <w:spacing w:before="0" w:after="0"/>
        <w:ind w:left="500" w:right="0" w:hanging="220"/>
      </w:pPr>
      <w:r>
        <w:br w:type="column"/>
      </w:r>
      <w:bookmarkStart w:id="376" w:name="bookmark376"/>
      <w:r>
        <w:rPr>
          <w:lang w:val="ru-RU" w:eastAsia="ru-RU" w:bidi="ru-RU"/>
          <w:w w:val="100"/>
          <w:spacing w:val="0"/>
          <w:color w:val="000000"/>
          <w:position w:val="0"/>
        </w:rPr>
        <w:t>Частота</w:t>
      </w:r>
      <w:bookmarkEnd w:id="376"/>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Коарктация аорты составляет 5-8% от общего числа врожденных пороков сердца. Встречается как изоли</w:t>
        <w:softHyphen/>
        <w:t>рованный дефект и в ассоциации с другими порока</w:t>
        <w:softHyphen/>
        <w:t>ми. Чаще всего с двустворчатым аортальным клапа</w:t>
        <w:softHyphen/>
        <w:t>ном, аортальным стенозом, субаортальным стенозом и ДМЖП, при котором коарктация аорты потенци</w:t>
        <w:softHyphen/>
        <w:t>рует лево-правый шунт.</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Диагноз коарктации аорты может быть пропущен и ус</w:t>
        <w:softHyphen/>
        <w:t>тановлен лишь при развитии застойных явлений в сер - дечно-сосудистой системе, характерных для детей ран</w:t>
        <w:softHyphen/>
        <w:t>него возраста, или в случае развития легочной гипер</w:t>
        <w:softHyphen/>
        <w:t>тензии, что имеет место у более взрослых пациентов.</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Пол</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Соотношение мужчины/женщины составляет 2:1. Данное соотношение недействительно для абдоми</w:t>
        <w:softHyphen/>
        <w:t>нальных коарктаций аорты, которые наблюдаются преимущественно у женщин. Соотношение абдоми</w:t>
        <w:softHyphen/>
        <w:t>нальных и торакальных коарктаций аорты составляет приблизительно 1:1000.</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Возраст</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Средний возраст детей с ранее не установленной ко- арктацией аорты составляет 5 лет.</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Сроки диагностики коарктации аорты зависят от тя</w:t>
        <w:softHyphen/>
        <w:t>жести сужения аорты и сопутствующих аномалий.</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Эмбриология</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Коарктация аорты возникает в результате нарушен - ного эмбрионального развития левых четвертой и шестой аортальных дуг. Существует две теории воз</w:t>
        <w:softHyphen/>
        <w:t>никновения порока: теория развития дуктальной тка</w:t>
        <w:softHyphen/>
        <w:t>ни и гемодинамическая теория.</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Согласно теории дуктальной ткани коарктация аорты возникает в результате миграции гладких мышечных клеток протока в перидуктальную аорту, с последую</w:t>
        <w:softHyphen/>
        <w:t>щей констрикцией и сужением просвета аорты. Эта теория не объясняет все формы коарктации аорты. Клинически коарктация может наблюдаться при на</w:t>
        <w:softHyphen/>
        <w:t>личии широко открытого артериального протока и находиться на большом расстоянии от протока, на</w:t>
        <w:softHyphen/>
        <w:t>пример в поперечной дуге или брюшной аорте.</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Согласно гемодинамической теории коарктация воз</w:t>
        <w:softHyphen/>
        <w:t>никает в результате уменьшения потока крови через дугу и перешеек аорты. Во время нормального разви</w:t>
        <w:softHyphen/>
        <w:t>тия плода перешеек аорты получает относительно меньшее количество крови. Нисходящая аорта полу</w:t>
        <w:softHyphen/>
        <w:t>чает кровь из правого желудочка через артериальный проток. Левый желудочек снабжает кровью восходя</w:t>
        <w:softHyphen/>
        <w:t>щую аорту и брахиоцефальные артерии, и лишь не</w:t>
        <w:softHyphen/>
        <w:t>большая порция крови поступает к перешейку. Так, диаметр перешейка у новорожденных составляет 70</w:t>
        <w:softHyphen/>
        <w:t>80% от диаметра восходящей аорты.</w:t>
      </w:r>
    </w:p>
    <w:p>
      <w:pPr>
        <w:pStyle w:val="Style30"/>
        <w:numPr>
          <w:ilvl w:val="0"/>
          <w:numId w:val="5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 основе этой теории состояния, которые уменьша</w:t>
        <w:softHyphen/>
        <w:t>ют левожелудочковый объем у плода, также приводят к снижению потока через перешеек аорты и приводят к формированию коарктации. Это объясняет частое сочетание коарктации с такими пороками, как де</w:t>
        <w:softHyphen/>
        <w:t>фект межжелудочковой перегородки, двустворчатый аортальный клапан, обструктивные пороки левого желудочка и тубулярная гипоплазия поперечной дуги аорты.</w:t>
      </w:r>
    </w:p>
    <w:p>
      <w:pPr>
        <w:pStyle w:val="Style30"/>
        <w:widowControl w:val="0"/>
        <w:keepNext w:val="0"/>
        <w:keepLines w:val="0"/>
        <w:shd w:val="clear" w:color="auto" w:fill="auto"/>
        <w:bidi w:val="0"/>
        <w:jc w:val="left"/>
        <w:spacing w:before="0" w:after="0"/>
        <w:ind w:left="0" w:right="0" w:firstLine="280"/>
      </w:pPr>
      <w:r>
        <w:pict>
          <v:shape id="_x0000_s1260" type="#_x0000_t75" style="position:absolute;margin-left:147.85pt;margin-top:736.3pt;width:209.75pt;height:14.9pt;z-index:-125829225;mso-wrap-distance-left:147.85pt;mso-wrap-distance-right:136.8pt;mso-wrap-distance-bottom:10.8pt;mso-position-horizontal-relative:margin;mso-position-vertical-relative:margin" wrapcoords="0 0 21600 0 21600 21600 0 21600 0 0">
            <v:imagedata r:id="rId377" r:href="rId378"/>
            <w10:wrap type="topAndBottom" anchorx="margin" anchory="margin"/>
          </v:shape>
        </w:pict>
      </w:r>
      <w:r>
        <w:rPr>
          <w:lang w:val="ru-RU" w:eastAsia="ru-RU" w:bidi="ru-RU"/>
          <w:w w:val="100"/>
          <w:spacing w:val="0"/>
          <w:color w:val="000000"/>
          <w:position w:val="0"/>
        </w:rPr>
        <w:t>Ассоциация коарктации аорты с другими кардиальными аномалиями:</w:t>
      </w:r>
      <w:r>
        <w:br w:type="page"/>
      </w:r>
    </w:p>
    <w:p>
      <w:pPr>
        <w:pStyle w:val="Style30"/>
        <w:numPr>
          <w:ilvl w:val="0"/>
          <w:numId w:val="5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Ассоциация коарктации аорты с другими кардиаль</w:t>
        <w:softHyphen/>
        <w:t>ными аномалиями наблюдается в 50% случаев.</w:t>
      </w:r>
    </w:p>
    <w:p>
      <w:pPr>
        <w:pStyle w:val="Style30"/>
        <w:numPr>
          <w:ilvl w:val="0"/>
          <w:numId w:val="5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Наиболее часто коарктация аорты ассоциируется с двустворчатым аортальным клапаном (85%), об</w:t>
        <w:softHyphen/>
        <w:t>структивными или гипопластическими левосторон</w:t>
        <w:softHyphen/>
        <w:t>ними дефектами развития и дефектами межжелудоч</w:t>
        <w:softHyphen/>
        <w:t>ковой перегородки.</w:t>
      </w:r>
    </w:p>
    <w:p>
      <w:pPr>
        <w:pStyle w:val="Style30"/>
        <w:numPr>
          <w:ilvl w:val="0"/>
          <w:numId w:val="5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Правосторонние обструктивные пороки, такие как стеноз легочной артерии, атрезия легочной артерии, тетрада Фалло, наблюдаются редко.</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Ассоциация коарктации аорты с экстракардиальными сосудистыми аномалиями:</w:t>
      </w:r>
    </w:p>
    <w:p>
      <w:pPr>
        <w:pStyle w:val="Style30"/>
        <w:numPr>
          <w:ilvl w:val="0"/>
          <w:numId w:val="5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коарктации аорты часто наблюдается аномаль</w:t>
        <w:softHyphen/>
        <w:t>ное отхождение правой подключичной артерии от нисходящей аорты дистальней коарктации (5%). Ред</w:t>
        <w:softHyphen/>
        <w:t>ко может наблюдаться аномальное отхождение обеих подключичных артерий от аорты дистальней коарк- тации.</w:t>
      </w:r>
    </w:p>
    <w:p>
      <w:pPr>
        <w:pStyle w:val="Style30"/>
        <w:numPr>
          <w:ilvl w:val="0"/>
          <w:numId w:val="5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Аневризмы мозговых сосудов по типу ягоды </w:t>
      </w:r>
      <w:r>
        <w:rPr>
          <w:lang w:val="en-US" w:eastAsia="en-US" w:bidi="en-US"/>
          <w:w w:val="100"/>
          <w:spacing w:val="0"/>
          <w:color w:val="000000"/>
          <w:position w:val="0"/>
        </w:rPr>
        <w:t xml:space="preserve">(berry aneurysms) </w:t>
      </w:r>
      <w:r>
        <w:rPr>
          <w:lang w:val="ru-RU" w:eastAsia="ru-RU" w:bidi="ru-RU"/>
          <w:w w:val="100"/>
          <w:spacing w:val="0"/>
          <w:color w:val="000000"/>
          <w:position w:val="0"/>
        </w:rPr>
        <w:t>встречаются в 5-10% у пациентов с коарк- тацией аорты и могут обусловить субарахноидальное кровоизлияние.</w:t>
      </w:r>
    </w:p>
    <w:p>
      <w:pPr>
        <w:pStyle w:val="Style30"/>
        <w:numPr>
          <w:ilvl w:val="0"/>
          <w:numId w:val="5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При коарктации аорты формируются коллатерали между артериями верхней части тела (например, а. </w:t>
      </w:r>
      <w:r>
        <w:rPr>
          <w:lang w:val="en-US" w:eastAsia="en-US" w:bidi="en-US"/>
          <w:w w:val="100"/>
          <w:spacing w:val="0"/>
          <w:color w:val="000000"/>
          <w:position w:val="0"/>
        </w:rPr>
        <w:t xml:space="preserve">mammaries interna, </w:t>
      </w:r>
      <w:r>
        <w:rPr>
          <w:lang w:val="ru-RU" w:eastAsia="ru-RU" w:bidi="ru-RU"/>
          <w:w w:val="100"/>
          <w:spacing w:val="0"/>
          <w:color w:val="000000"/>
          <w:position w:val="0"/>
        </w:rPr>
        <w:t xml:space="preserve">а. </w:t>
      </w:r>
      <w:r>
        <w:rPr>
          <w:lang w:val="en-US" w:eastAsia="en-US" w:bidi="en-US"/>
          <w:w w:val="100"/>
          <w:spacing w:val="0"/>
          <w:color w:val="000000"/>
          <w:position w:val="0"/>
        </w:rPr>
        <w:t xml:space="preserve">iliacа externa, </w:t>
      </w:r>
      <w:r>
        <w:rPr>
          <w:lang w:val="ru-RU" w:eastAsia="ru-RU" w:bidi="ru-RU"/>
          <w:w w:val="100"/>
          <w:spacing w:val="0"/>
          <w:color w:val="000000"/>
          <w:position w:val="0"/>
        </w:rPr>
        <w:t xml:space="preserve">а. </w:t>
      </w:r>
      <w:r>
        <w:rPr>
          <w:lang w:val="en-US" w:eastAsia="en-US" w:bidi="en-US"/>
          <w:w w:val="100"/>
          <w:spacing w:val="0"/>
          <w:color w:val="000000"/>
          <w:position w:val="0"/>
        </w:rPr>
        <w:t xml:space="preserve">intercostalis) </w:t>
      </w:r>
      <w:r>
        <w:rPr>
          <w:lang w:val="ru-RU" w:eastAsia="ru-RU" w:bidi="ru-RU"/>
          <w:w w:val="100"/>
          <w:spacing w:val="0"/>
          <w:color w:val="000000"/>
          <w:position w:val="0"/>
        </w:rPr>
        <w:t>и нисходящей аортой.</w:t>
      </w:r>
    </w:p>
    <w:p>
      <w:pPr>
        <w:pStyle w:val="Style30"/>
        <w:numPr>
          <w:ilvl w:val="0"/>
          <w:numId w:val="5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коарктации аорты могут наблюдаться гемангиомы.</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Ассоциация коарктации аорты с экстракардиальными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несосудистыми аномалиями:</w:t>
      </w:r>
    </w:p>
    <w:p>
      <w:pPr>
        <w:pStyle w:val="Style30"/>
        <w:numPr>
          <w:ilvl w:val="0"/>
          <w:numId w:val="5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Экстракардиальные несосудистые аномалии наблю</w:t>
        <w:softHyphen/>
        <w:t>даются в 25% случаев при коарктации аорты. Коарк</w:t>
        <w:softHyphen/>
        <w:t>тация аорты отмечается в 35% случаев у больных син</w:t>
        <w:softHyphen/>
        <w:t xml:space="preserve">дромом Тернера </w:t>
      </w:r>
      <w:r>
        <w:rPr>
          <w:lang w:val="en-US" w:eastAsia="en-US" w:bidi="en-US"/>
          <w:w w:val="100"/>
          <w:spacing w:val="0"/>
          <w:color w:val="000000"/>
          <w:position w:val="0"/>
        </w:rPr>
        <w:t>(Turner syndrome).</w:t>
      </w:r>
    </w:p>
    <w:p>
      <w:pPr>
        <w:pStyle w:val="Style30"/>
        <w:numPr>
          <w:ilvl w:val="0"/>
          <w:numId w:val="5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25% случаев при коарктации аорты могут обнару</w:t>
        <w:softHyphen/>
        <w:t>живаться аномалии мышечно-скелетной системы, желудочно-кишечного тракта, мочевыделительной системы. По данным ультразвукового обследования у детей с коарктацией аорты определяется повышен</w:t>
        <w:softHyphen/>
        <w:t>ная частота аномалий черепа и шеи.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Патофизиология</w:t>
      </w:r>
    </w:p>
    <w:p>
      <w:pPr>
        <w:pStyle w:val="Style30"/>
        <w:numPr>
          <w:ilvl w:val="0"/>
          <w:numId w:val="5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Наблюдается значительное увеличение постнагрузки левого желудочка, что проявляется компенсаторной гипертрофией желудочка. Увеличение постнагрузки может развиться остро, например, у новорожденных с выраженной коарктацией при закрытии артериаль</w:t>
        <w:softHyphen/>
        <w:t>ного протока. У таких детей молниеносно развивают</w:t>
        <w:softHyphen/>
        <w:t>ся застойные явления и шок. Перегрузка левого желу</w:t>
        <w:softHyphen/>
        <w:t>дочка может развиваться и постепенно, что наблюда</w:t>
        <w:softHyphen/>
        <w:t>ется у детей с менее выраженной коарктацией, разви</w:t>
        <w:softHyphen/>
        <w:t>тыми артериальными коллатералями, являющимися шунтами при аортальной обструкции.</w:t>
      </w:r>
    </w:p>
    <w:p>
      <w:pPr>
        <w:pStyle w:val="Style30"/>
        <w:numPr>
          <w:ilvl w:val="0"/>
          <w:numId w:val="5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Аортальная дуга может быть гипоплазированной и в других сегментах, таких как нисходящей аорте, поперечной аорте (участок между началом безымян</w:t>
        <w:softHyphen/>
        <w:t>ной артерии и дистальнее левой подключичной арте</w:t>
        <w:softHyphen/>
        <w:t>рии), области истмуса (сегмент между левой подклю</w:t>
        <w:softHyphen/>
        <w:t>чичной артерией и местом отхождения артериально</w:t>
        <w:softHyphen/>
        <w:t>го протока или связки).</w:t>
      </w:r>
    </w:p>
    <w:p>
      <w:pPr>
        <w:pStyle w:val="Style30"/>
        <w:numPr>
          <w:ilvl w:val="0"/>
          <w:numId w:val="5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Вместе с развитием застойных изменений в сердеч</w:t>
        <w:softHyphen/>
        <w:t>но-сосудистой системе происходят нейрогумораль</w:t>
        <w:softHyphen/>
        <w:t>ные изменения. Так, активация симпатической нерв</w:t>
        <w:softHyphen/>
        <w:t>ной системы приводит к увеличению ЧСС и АД. Ак</w:t>
        <w:softHyphen/>
        <w:br w:type="column"/>
        <w:t>тивация ренин-ангиотензиновой системы у пациен</w:t>
        <w:softHyphen/>
        <w:t>тов с коарктацией аорты связана со снижением вели</w:t>
        <w:softHyphen/>
        <w:t>чин давления в нижней части тела и сниженной пер</w:t>
        <w:softHyphen/>
        <w:t>фузией в почечных сосудах. Проявляется вазокон- стрикцией, клеточной гипертрофией и высвобожде</w:t>
        <w:softHyphen/>
        <w:t>нием альдостерона.</w:t>
      </w:r>
    </w:p>
    <w:p>
      <w:pPr>
        <w:pStyle w:val="Style30"/>
        <w:numPr>
          <w:ilvl w:val="0"/>
          <w:numId w:val="5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Медикаменты, используемые в терапии застойной сердечной недостаточности, такие как ингибиторы ангиотензин-превращающего фермента, антагонис</w:t>
        <w:softHyphen/>
        <w:t>ты ангиотензина II, могут оказывать побочное дей</w:t>
        <w:softHyphen/>
        <w:t>ствие у пациентов с коарктацией аорты. Попытки по</w:t>
        <w:softHyphen/>
        <w:t>лучить величину нормального артериального давле</w:t>
        <w:softHyphen/>
        <w:t>ния перед участком коарктации приводят к ухудше</w:t>
        <w:softHyphen/>
        <w:t>нию перфузии нижних отделов тела и усугубляют по</w:t>
        <w:softHyphen/>
        <w:t>вреждение на уровне почек.</w:t>
      </w:r>
    </w:p>
    <w:p>
      <w:pPr>
        <w:pStyle w:val="Style30"/>
        <w:numPr>
          <w:ilvl w:val="0"/>
          <w:numId w:val="5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Повышенный уровень вазопрессина также является стимулирующим фактором для освобождения ангио</w:t>
        <w:softHyphen/>
        <w:t>тензина II. Эффект вазопрессина проявляется в за</w:t>
        <w:softHyphen/>
        <w:t>держке свободной жидкости и гипонатриемии. Вазо- констриктивные свойства вазопрессина приводят к повышению уровня АД у пациентов с коарктацией аорты. Выделение предсердного натрий-уретического пептида также может быть потенцировано застойны</w:t>
        <w:softHyphen/>
        <w:t>ми явлениями. Роль указанных гуморальных факторов в патогенезе коарктации аорты изучена не полностью.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заболевания зависит от многих факторов, ос</w:t>
        <w:softHyphen/>
        <w:t>новными из которых являются возраст ребенка, сопутству</w:t>
        <w:softHyphen/>
        <w:t>ющие аномалии, сроки появления артериальной гипертен</w:t>
        <w:softHyphen/>
        <w:t>зии и осложнений коарктации. В этой связи анамнез забо</w:t>
        <w:softHyphen/>
        <w:t>левания следует рассматривать при раннем и позднем де</w:t>
        <w:softHyphen/>
        <w:t>бюте порока.</w:t>
      </w:r>
    </w:p>
    <w:p>
      <w:pPr>
        <w:pStyle w:val="Style30"/>
        <w:numPr>
          <w:ilvl w:val="0"/>
          <w:numId w:val="53"/>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Ранний дебют порока:</w:t>
      </w:r>
    </w:p>
    <w:p>
      <w:pPr>
        <w:pStyle w:val="Style30"/>
        <w:numPr>
          <w:ilvl w:val="0"/>
          <w:numId w:val="5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порок проявляется в первые три недели жизни та- хипноэ и летаргией, быстрым прогрессированием застойной сердечной недостаточности и развити</w:t>
        <w:softHyphen/>
        <w:t>ем шока. Первоначально порок может не прояв</w:t>
        <w:softHyphen/>
        <w:t>ляться, внезапное развитие симптоматики связано с закрытием артериального протока;</w:t>
      </w:r>
    </w:p>
    <w:p>
      <w:pPr>
        <w:pStyle w:val="Style30"/>
        <w:numPr>
          <w:ilvl w:val="0"/>
          <w:numId w:val="5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симптомы сердечной недостаточности появляют</w:t>
        <w:softHyphen/>
        <w:t>ся значительно раньше, если у новорожденного имеются сопутствующие кардиальные аномалии, такие как дефект межжелудочковой перегородки.</w:t>
      </w:r>
    </w:p>
    <w:p>
      <w:pPr>
        <w:pStyle w:val="Style30"/>
        <w:numPr>
          <w:ilvl w:val="0"/>
          <w:numId w:val="53"/>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Поздний дебют порока:</w:t>
      </w:r>
    </w:p>
    <w:p>
      <w:pPr>
        <w:pStyle w:val="Style30"/>
        <w:numPr>
          <w:ilvl w:val="0"/>
          <w:numId w:val="5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порок обычно выявляется у детей раннего возрас</w:t>
        <w:softHyphen/>
        <w:t>та по наличию шума или артериальной гипертен</w:t>
        <w:softHyphen/>
        <w:t>зии. Обычно у таких детей в период новорожден - ности не отмечаются признаки застойной сердеч</w:t>
        <w:softHyphen/>
        <w:t>ной недостаточности, поскольку у них хорошо раз</w:t>
        <w:softHyphen/>
        <w:t>виты артериальные коллатерали;</w:t>
      </w:r>
    </w:p>
    <w:p>
      <w:pPr>
        <w:pStyle w:val="Style30"/>
        <w:numPr>
          <w:ilvl w:val="0"/>
          <w:numId w:val="5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диагноз порока часто устанавливают случайно при обследовании ребенка по поводу других проблем, например, травмы или инфекционного заболева</w:t>
        <w:softHyphen/>
        <w:t>ния;</w:t>
      </w:r>
    </w:p>
    <w:p>
      <w:pPr>
        <w:pStyle w:val="Style30"/>
        <w:numPr>
          <w:ilvl w:val="0"/>
          <w:numId w:val="5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другими частыми симптомами могут быть голов</w:t>
        <w:softHyphen/>
        <w:t>ные боли, боли в области грудной клетки, слабость;</w:t>
      </w:r>
    </w:p>
    <w:p>
      <w:pPr>
        <w:pStyle w:val="Style30"/>
        <w:numPr>
          <w:ilvl w:val="0"/>
          <w:numId w:val="5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грозной манифестацией заболевания может явить</w:t>
        <w:softHyphen/>
        <w:t>ся внутричерепное кровоизлияние. Очень редко наблюдается хромота;</w:t>
      </w:r>
    </w:p>
    <w:p>
      <w:pPr>
        <w:pStyle w:val="Style30"/>
        <w:numPr>
          <w:ilvl w:val="0"/>
          <w:numId w:val="51"/>
        </w:numPr>
        <w:tabs>
          <w:tab w:leader="none" w:pos="753" w:val="left"/>
        </w:tabs>
        <w:widowControl w:val="0"/>
        <w:keepNext w:val="0"/>
        <w:keepLines w:val="0"/>
        <w:shd w:val="clear" w:color="auto" w:fill="auto"/>
        <w:bidi w:val="0"/>
        <w:spacing w:before="0" w:after="0"/>
        <w:ind w:left="740" w:right="0" w:hanging="220"/>
      </w:pPr>
      <w:r>
        <w:pict>
          <v:shape id="_x0000_s1261" type="#_x0000_t75" style="position:absolute;margin-left:136.55pt;margin-top:736.3pt;width:209.75pt;height:14.9pt;z-index:-125829224;mso-wrap-distance-left:136.3pt;mso-wrap-distance-right:147.85pt;mso-wrap-distance-bottom:10.8pt;mso-position-horizontal-relative:margin;mso-position-vertical-relative:margin" wrapcoords="0 0 21600 0 21600 21600 0 21600 0 0">
            <v:imagedata r:id="rId379" r:href="rId380"/>
            <w10:wrap type="topAndBottom" anchorx="margin" anchory="margin"/>
          </v:shape>
        </w:pict>
      </w:r>
      <w:r>
        <w:rPr>
          <w:lang w:val="ru-RU" w:eastAsia="ru-RU" w:bidi="ru-RU"/>
          <w:w w:val="100"/>
          <w:spacing w:val="0"/>
          <w:color w:val="000000"/>
          <w:position w:val="0"/>
        </w:rPr>
        <w:t>многие больные длительное время не имеют симп</w:t>
        <w:softHyphen/>
        <w:t>томов порока, за исключением артериальной ги</w:t>
        <w:softHyphen/>
        <w:t>пертензии, которая выявляется случайно.</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Физикальные данные:</w:t>
      </w:r>
    </w:p>
    <w:p>
      <w:pPr>
        <w:pStyle w:val="Style30"/>
        <w:numPr>
          <w:ilvl w:val="0"/>
          <w:numId w:val="53"/>
        </w:numPr>
        <w:tabs>
          <w:tab w:leader="none" w:pos="500"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Ранний дебют порока:</w:t>
      </w:r>
    </w:p>
    <w:p>
      <w:pPr>
        <w:pStyle w:val="Style30"/>
        <w:numPr>
          <w:ilvl w:val="0"/>
          <w:numId w:val="51"/>
        </w:numPr>
        <w:tabs>
          <w:tab w:leader="none" w:pos="712" w:val="left"/>
        </w:tabs>
        <w:widowControl w:val="0"/>
        <w:keepNext w:val="0"/>
        <w:keepLines w:val="0"/>
        <w:shd w:val="clear" w:color="auto" w:fill="auto"/>
        <w:bidi w:val="0"/>
        <w:spacing w:before="0" w:after="0"/>
        <w:ind w:left="720" w:right="0" w:hanging="240"/>
      </w:pPr>
      <w:r>
        <w:rPr>
          <w:lang w:val="ru-RU" w:eastAsia="ru-RU" w:bidi="ru-RU"/>
          <w:w w:val="100"/>
          <w:spacing w:val="0"/>
          <w:color w:val="000000"/>
          <w:position w:val="0"/>
        </w:rPr>
        <w:t>новорожденные с коарктацией аорты имеют та- хипноэ, тахикардию, усиление работы дыхатель</w:t>
        <w:softHyphen/>
        <w:t>ной мускулатуры. Ключевым моментом диагнос</w:t>
        <w:softHyphen/>
        <w:t>тики является определение разницы артериально</w:t>
        <w:softHyphen/>
        <w:t>го давления на верхних (высокое) и нижних (низ</w:t>
        <w:softHyphen/>
        <w:t>кое или не определяется) конечностях и отсут</w:t>
        <w:softHyphen/>
        <w:t>ствие (резкое ослабление) пульса на бедренных ар</w:t>
        <w:softHyphen/>
        <w:t>териях. Ослабление пульса на нижних конечнос</w:t>
        <w:softHyphen/>
        <w:t>тях является более значимым критерием, посколь</w:t>
        <w:softHyphen/>
        <w:t>ку измерение АД может быть недостоверным, на</w:t>
        <w:softHyphen/>
        <w:t>пример при дуктус-зависимой коарктации. При аберрантном отхождении правой подключич</w:t>
        <w:softHyphen/>
        <w:t>ной артерии от аорты дистальнее места обструк</w:t>
        <w:softHyphen/>
        <w:t>ции давление на руке может быть нормальным, ди</w:t>
        <w:softHyphen/>
        <w:t>агноз коарктации подтверждает ослабленный пульс на бедренных артериях, который слабее, чем на сонных артериях;</w:t>
      </w:r>
    </w:p>
    <w:p>
      <w:pPr>
        <w:pStyle w:val="Style30"/>
        <w:numPr>
          <w:ilvl w:val="0"/>
          <w:numId w:val="51"/>
        </w:numPr>
        <w:tabs>
          <w:tab w:leader="none" w:pos="712" w:val="left"/>
        </w:tabs>
        <w:widowControl w:val="0"/>
        <w:keepNext w:val="0"/>
        <w:keepLines w:val="0"/>
        <w:shd w:val="clear" w:color="auto" w:fill="auto"/>
        <w:bidi w:val="0"/>
        <w:spacing w:before="0" w:after="0"/>
        <w:ind w:left="720" w:right="0" w:hanging="240"/>
      </w:pPr>
      <w:r>
        <w:rPr>
          <w:lang w:val="ru-RU" w:eastAsia="ru-RU" w:bidi="ru-RU"/>
          <w:w w:val="100"/>
          <w:spacing w:val="0"/>
          <w:color w:val="000000"/>
          <w:position w:val="0"/>
        </w:rPr>
        <w:t>дифференцированный цианоз (розовые верхние конечности и цианотичные нижние конечности) может наблюдаться, когда имеется лево-правый шунт через открытый артериальный проток. Если дифференцированный цианоз не определяется ви</w:t>
        <w:softHyphen/>
        <w:t>зуально, его выявление возможно с помощью пред- уктальной и постуктальной оксигенометрии. При наличии большого лево-правого шунта (на</w:t>
        <w:softHyphen/>
        <w:t>пример, при дефекте межжелудочковой перегород</w:t>
        <w:softHyphen/>
        <w:t>ки) дифференцированный цианоз не определяется, поскольку насыщение кислородом крови в легоч</w:t>
        <w:softHyphen/>
        <w:t>ной артерии и аорте практически одинаково. Об</w:t>
        <w:softHyphen/>
        <w:t>ратный дифференцированный цианоз (верхние от</w:t>
        <w:softHyphen/>
        <w:t>делы тела более цианотичные, чем левые) наблюда</w:t>
        <w:softHyphen/>
        <w:t>ется при транспозиции магистральных сосудов и открытом артериальном протоке с высокой легоч</w:t>
        <w:softHyphen/>
        <w:t>ной гипертензией (право-левый дуктальный шунт);</w:t>
      </w:r>
    </w:p>
    <w:p>
      <w:pPr>
        <w:pStyle w:val="Style30"/>
        <w:numPr>
          <w:ilvl w:val="0"/>
          <w:numId w:val="51"/>
        </w:numPr>
        <w:tabs>
          <w:tab w:leader="none" w:pos="712" w:val="left"/>
        </w:tabs>
        <w:widowControl w:val="0"/>
        <w:keepNext w:val="0"/>
        <w:keepLines w:val="0"/>
        <w:shd w:val="clear" w:color="auto" w:fill="auto"/>
        <w:bidi w:val="0"/>
        <w:spacing w:before="0" w:after="0"/>
        <w:ind w:left="720" w:right="0" w:hanging="240"/>
      </w:pPr>
      <w:r>
        <w:rPr>
          <w:lang w:val="ru-RU" w:eastAsia="ru-RU" w:bidi="ru-RU"/>
          <w:w w:val="100"/>
          <w:spacing w:val="0"/>
          <w:color w:val="000000"/>
          <w:position w:val="0"/>
        </w:rPr>
        <w:t>при низком сердечном выбросе и левожелудочко</w:t>
        <w:softHyphen/>
        <w:t>вой дисфункции пульс может быть значительно уменьшен как на верхних, так и на нижних конеч</w:t>
        <w:softHyphen/>
        <w:t>ностях, градиент давления может быть неболь</w:t>
        <w:softHyphen/>
        <w:t>шим. Следовательно, при наличии циркуляторной недостаточности у новорожденного ребенка в дифференциально-диагностический ряд должна быть обязательно включена коарктация аорты;</w:t>
      </w:r>
    </w:p>
    <w:p>
      <w:pPr>
        <w:pStyle w:val="Style30"/>
        <w:numPr>
          <w:ilvl w:val="0"/>
          <w:numId w:val="51"/>
        </w:numPr>
        <w:tabs>
          <w:tab w:leader="none" w:pos="712" w:val="left"/>
        </w:tabs>
        <w:widowControl w:val="0"/>
        <w:keepNext w:val="0"/>
        <w:keepLines w:val="0"/>
        <w:shd w:val="clear" w:color="auto" w:fill="auto"/>
        <w:bidi w:val="0"/>
        <w:spacing w:before="0" w:after="0"/>
        <w:ind w:left="720" w:right="0" w:hanging="240"/>
      </w:pPr>
      <w:r>
        <w:rPr>
          <w:lang w:val="ru-RU" w:eastAsia="ru-RU" w:bidi="ru-RU"/>
          <w:w w:val="100"/>
          <w:spacing w:val="0"/>
          <w:color w:val="000000"/>
          <w:position w:val="0"/>
        </w:rPr>
        <w:t>шум, связанный с коарктацией аорты, не имеет специфических особенностей. Обычно выслуши</w:t>
        <w:softHyphen/>
        <w:t>вается систолический шум в левой подключичной области или сзади под левой лопаткой. Дополни</w:t>
        <w:softHyphen/>
        <w:t>тельные шумы обычно связаны с сопутствующими пороками развития, такими как дефект межжелу</w:t>
        <w:softHyphen/>
        <w:t>дочковой перегородки, клапанный стеноз аорты. Могут выслушиваться систолические щелчки, свя</w:t>
        <w:softHyphen/>
        <w:t>занные с двустворчатым аортальным клапаном. Ритм галопа может указывать на левожелудочко</w:t>
        <w:softHyphen/>
        <w:t>вую дисфункцию.</w:t>
      </w:r>
    </w:p>
    <w:p>
      <w:pPr>
        <w:pStyle w:val="Style30"/>
        <w:numPr>
          <w:ilvl w:val="0"/>
          <w:numId w:val="53"/>
        </w:numPr>
        <w:tabs>
          <w:tab w:leader="none" w:pos="500"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Поздний дебют порока:</w:t>
      </w:r>
    </w:p>
    <w:p>
      <w:pPr>
        <w:pStyle w:val="Style30"/>
        <w:numPr>
          <w:ilvl w:val="0"/>
          <w:numId w:val="51"/>
        </w:numPr>
        <w:tabs>
          <w:tab w:leader="none" w:pos="712" w:val="left"/>
        </w:tabs>
        <w:widowControl w:val="0"/>
        <w:keepNext w:val="0"/>
        <w:keepLines w:val="0"/>
        <w:shd w:val="clear" w:color="auto" w:fill="auto"/>
        <w:bidi w:val="0"/>
        <w:spacing w:before="0" w:after="0"/>
        <w:ind w:left="720" w:right="0" w:hanging="240"/>
      </w:pPr>
      <w:r>
        <w:rPr>
          <w:lang w:val="ru-RU" w:eastAsia="ru-RU" w:bidi="ru-RU"/>
          <w:w w:val="100"/>
          <w:spacing w:val="0"/>
          <w:color w:val="000000"/>
          <w:position w:val="0"/>
        </w:rPr>
        <w:t>у детей с бессимптомным течением коарктации аорты порок выявляется при аускультации шума или при обнаружении артериальной гипертензии. Гипертензия у беспокойных детей может быть вы</w:t>
        <w:softHyphen/>
        <w:t>явлена неадекватно, в этой связи необходимо про</w:t>
        <w:softHyphen/>
        <w:t>водить измерение АД на всех четырех конечностях.</w:t>
      </w:r>
    </w:p>
    <w:p>
      <w:pPr>
        <w:pStyle w:val="Style30"/>
        <w:widowControl w:val="0"/>
        <w:keepNext w:val="0"/>
        <w:keepLines w:val="0"/>
        <w:shd w:val="clear" w:color="auto" w:fill="auto"/>
        <w:bidi w:val="0"/>
        <w:spacing w:before="0" w:after="0"/>
        <w:ind w:left="500" w:right="0" w:firstLine="0"/>
      </w:pPr>
      <w:r>
        <w:br w:type="column"/>
      </w:r>
      <w:r>
        <w:rPr>
          <w:lang w:val="ru-RU" w:eastAsia="ru-RU" w:bidi="ru-RU"/>
          <w:w w:val="100"/>
          <w:spacing w:val="0"/>
          <w:color w:val="000000"/>
          <w:position w:val="0"/>
        </w:rPr>
        <w:t>Иногда давление на левой руке может быть ниже, чем на правой. Это наблюдается, если в область коарктации вовлечена левая подключичная арте</w:t>
        <w:softHyphen/>
        <w:t>рия. Одновременное определение пульса на всех четырех конечностях является необходимой про</w:t>
        <w:softHyphen/>
        <w:t>цедурой для выявления коарктации;</w:t>
      </w:r>
    </w:p>
    <w:p>
      <w:pPr>
        <w:pStyle w:val="Style30"/>
        <w:numPr>
          <w:ilvl w:val="0"/>
          <w:numId w:val="51"/>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определяется систолический шум в левой подклю</w:t>
        <w:softHyphen/>
        <w:t>чичной области и сзади под левой лопаткой. При тяжелой коарктации с выраженными колла</w:t>
        <w:softHyphen/>
        <w:t>тералями шум может выслушиваться по всей по</w:t>
        <w:softHyphen/>
        <w:t>верхности спины. Систолические щелчки опреде</w:t>
        <w:softHyphen/>
        <w:t>ляются при наличии двустворчатого аортального клапана, может определяться шум аортального стеноза или аортальной регургитации. Может вы</w:t>
        <w:softHyphen/>
        <w:t>слушиваться шум митрального стеноза или об</w:t>
        <w:softHyphen/>
        <w:t>струкции выводного тракта левого желудочка. Ритм галопа определяется при развитии гипертро</w:t>
        <w:softHyphen/>
        <w:t>фии левого желудочка;</w:t>
      </w:r>
    </w:p>
    <w:p>
      <w:pPr>
        <w:pStyle w:val="Style30"/>
        <w:numPr>
          <w:ilvl w:val="0"/>
          <w:numId w:val="51"/>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другими проявлениями порока могут быть измене</w:t>
        <w:softHyphen/>
        <w:t>ние сосудов на глазном дне, усиленная пульсация аорты в надгрудинной ямке.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Лабораторные исследования у новорожденных, нахо - дящихся в состоянии шока.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Проводят исследование крови, мочи, ликвора с це</w:t>
        <w:softHyphen/>
        <w:t>лью исключения септического компонента.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Определяют уровни электролитов, мочевины, креа</w:t>
        <w:softHyphen/>
        <w:t>тинина, глюкозы.</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Определяют газовый состав артериальной крови и уровень лактата сыворотки.</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Лабораторные исследования у более взрослых детей при наличии гипертензии включают анализ мочи, определение электролитов, мочевины, креатинина, глюкозы.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Ранний дебют порока:</w:t>
      </w:r>
    </w:p>
    <w:p>
      <w:pPr>
        <w:pStyle w:val="Style30"/>
        <w:numPr>
          <w:ilvl w:val="0"/>
          <w:numId w:val="51"/>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 ЭКГ характерна гипертрофия правого желудоч</w:t>
        <w:softHyphen/>
        <w:t>ка или бивентрикулярная гипертрофия с призна</w:t>
        <w:softHyphen/>
        <w:t>ками ишемии миокарда.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Поздний дебют порока:</w:t>
      </w:r>
    </w:p>
    <w:p>
      <w:pPr>
        <w:pStyle w:val="Style30"/>
        <w:numPr>
          <w:ilvl w:val="0"/>
          <w:numId w:val="51"/>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детей с поздними проявлениями коарктации аорты на ЭКГ регистрируется левожелудочковая гипертрофия, признаки левожелудочковой ише</w:t>
        <w:softHyphen/>
        <w:t xml:space="preserve">мии по типу </w:t>
      </w:r>
      <w:r>
        <w:rPr>
          <w:lang w:val="en-US" w:eastAsia="en-US" w:bidi="en-US"/>
          <w:w w:val="100"/>
          <w:spacing w:val="0"/>
          <w:color w:val="000000"/>
          <w:position w:val="0"/>
        </w:rPr>
        <w:t>strain.</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Ранний дебют порок:а</w:t>
      </w:r>
    </w:p>
    <w:p>
      <w:pPr>
        <w:pStyle w:val="Style30"/>
        <w:numPr>
          <w:ilvl w:val="0"/>
          <w:numId w:val="51"/>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отмечаются признаки кардиомегалии, отека лег</w:t>
        <w:softHyphen/>
        <w:t>ких и другие признаки застойной сердечной недо</w:t>
        <w:softHyphen/>
        <w:t>статочности.</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Поздний дебют порока:</w:t>
      </w:r>
    </w:p>
    <w:p>
      <w:pPr>
        <w:pStyle w:val="Style30"/>
        <w:numPr>
          <w:ilvl w:val="0"/>
          <w:numId w:val="51"/>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характерными рентгенологическими признаками являются: кардиомегалия, «западение» дуги в об</w:t>
        <w:softHyphen/>
        <w:t>ласти коарктации, узурация ребер.</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Допплерэхокардиография: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Допплерэхокардиография проводится из надгрудин- ного доступа, позволяет визуализировать непосред</w:t>
        <w:softHyphen/>
        <w:t>ственно анатомическую область сужения, оценить состояние аортальной дуги, перешейка аорты, вы</w:t>
        <w:softHyphen/>
        <w:t>явить сопутствующие внутрисердечные аномалии.</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pict>
          <v:shape id="_x0000_s1262" type="#_x0000_t75" style="position:absolute;margin-left:147.6pt;margin-top:736.3pt;width:209.75pt;height:14.9pt;z-index:-125829223;mso-wrap-distance-left:147.35pt;mso-wrap-distance-right:136.8pt;mso-wrap-distance-bottom:10.8pt;mso-position-horizontal-relative:margin;mso-position-vertical-relative:margin" wrapcoords="0 0 21600 0 21600 21600 0 21600 0 0">
            <v:imagedata r:id="rId381" r:href="rId382"/>
            <w10:wrap type="topAndBottom" anchorx="margin" anchory="margin"/>
          </v:shape>
        </w:pict>
      </w:r>
      <w:r>
        <w:rPr>
          <w:lang w:val="ru-RU" w:eastAsia="ru-RU" w:bidi="ru-RU"/>
          <w:w w:val="100"/>
          <w:spacing w:val="0"/>
          <w:color w:val="000000"/>
          <w:position w:val="0"/>
        </w:rPr>
        <w:t>Допплерэхокардиография позволяет определить гра</w:t>
        <w:softHyphen/>
        <w:t>диент давления в участке сужения сосуда.</w:t>
      </w:r>
      <w:r>
        <w:br w:type="page"/>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Магниторезонансная томография: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основном применяют в постоперационном периоде в плане исключения резидуальной обструкции дуги, гипоплазии дуги и формирования аневризмы.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Позволяет определить тяжесть коарктации и анато</w:t>
        <w:softHyphen/>
        <w:t>мию дуги, включая гипоплазию.</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Подтверждает правильный диагноз, если с помощью допплерэхокардиографии невозможно детально вы</w:t>
        <w:softHyphen/>
        <w:t>явить морфологические параметры порока и его ге</w:t>
        <w:softHyphen/>
        <w:t>модинамическую значимость.</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Позволяет выявить сопутствующие внутрисердечные аномалии.</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 применяется при выполнении баллонной аортопластики при нативной коарктации или рекоарктации.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Дифференциальная диагностика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Адреналовая недостаточность.</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Клапанный стеноз аорты.</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Дилатационная кардиомиопатия.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Гипертрофическая кардиомиопатия.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Врожденная адреналовая гиперплазия.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Артериальная гипертензия.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Ранний дебют порока: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 больных с застойной сердечной недостаточ</w:t>
        <w:softHyphen/>
        <w:t>ностью включает диуретики и инотропные средства.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en-US" w:eastAsia="en-US" w:bidi="en-US"/>
          <w:w w:val="100"/>
          <w:spacing w:val="0"/>
          <w:color w:val="000000"/>
          <w:position w:val="0"/>
        </w:rPr>
        <w:t xml:space="preserve">Prostaglandin E1 </w:t>
      </w:r>
      <w:r>
        <w:rPr>
          <w:lang w:val="ru-RU" w:eastAsia="ru-RU" w:bidi="ru-RU"/>
          <w:w w:val="100"/>
          <w:spacing w:val="0"/>
          <w:color w:val="000000"/>
          <w:position w:val="0"/>
        </w:rPr>
        <w:t xml:space="preserve">(0,05-0,15 </w:t>
      </w:r>
      <w:r>
        <w:rPr>
          <w:lang w:val="en-US" w:eastAsia="en-US" w:bidi="en-US"/>
          <w:w w:val="100"/>
          <w:spacing w:val="0"/>
          <w:color w:val="000000"/>
          <w:position w:val="0"/>
        </w:rPr>
        <w:t xml:space="preserve">mcg/kg/min) </w:t>
      </w:r>
      <w:r>
        <w:rPr>
          <w:lang w:val="ru-RU" w:eastAsia="ru-RU" w:bidi="ru-RU"/>
          <w:w w:val="100"/>
          <w:spacing w:val="0"/>
          <w:color w:val="000000"/>
          <w:position w:val="0"/>
        </w:rPr>
        <w:t>применяется для сохранения открытого артериального протока.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Искусственная вентиляция при нарушении дыхания.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мочевого пузыря для мониторирова- ния функции почек и контроля диуреза.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Мониторирование газов крови и контроль ацидоза.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пупочной артерии для проведения ин</w:t>
        <w:softHyphen/>
        <w:t>фузии простагландина и улучшения перфузии ниж</w:t>
        <w:softHyphen/>
        <w:t>ней части тела.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в стабильном состоянии являются кандидатами для хирургической коррекции.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Поздний дебют порока: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 артериальной гипертензии:</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артериальная гипертензия у неоперированных больных эффективно корригируется назначением Р-адреноблокаторов. Эти препараты уменьшают артериальное давление на верхних конечностях, однако следует помнить, что энергичные попытки полной нормализации АД могут привести к неаде</w:t>
        <w:softHyphen/>
        <w:t>кватной перфузии нижних отделов тела. Терапия бета-блокаторами до операции уменьшает тяжесть послеоперационной гипертензии, однако всем больным показано продолжение гипотензивной терапии;</w:t>
      </w:r>
    </w:p>
    <w:p>
      <w:pPr>
        <w:pStyle w:val="Style30"/>
        <w:numPr>
          <w:ilvl w:val="0"/>
          <w:numId w:val="5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постоперативная гипертензия может быть устране</w:t>
        <w:softHyphen/>
        <w:t xml:space="preserve">на путем внутривенного введения вазодилатато- ров, таких как нитропруссид </w:t>
      </w:r>
      <w:r>
        <w:rPr>
          <w:lang w:val="en-US" w:eastAsia="en-US" w:bidi="en-US"/>
          <w:w w:val="100"/>
          <w:spacing w:val="0"/>
          <w:color w:val="000000"/>
          <w:position w:val="0"/>
        </w:rPr>
        <w:t xml:space="preserve">(sodium nitroprusside), </w:t>
      </w:r>
      <w:r>
        <w:rPr>
          <w:lang w:val="ru-RU" w:eastAsia="ru-RU" w:bidi="ru-RU"/>
          <w:w w:val="100"/>
          <w:spacing w:val="0"/>
          <w:color w:val="000000"/>
          <w:position w:val="0"/>
        </w:rPr>
        <w:t xml:space="preserve">или бета-блокаторов, например, эсмолола </w:t>
      </w:r>
      <w:r>
        <w:rPr>
          <w:lang w:val="en-US" w:eastAsia="en-US" w:bidi="en-US"/>
          <w:w w:val="100"/>
          <w:spacing w:val="0"/>
          <w:color w:val="000000"/>
          <w:position w:val="0"/>
        </w:rPr>
        <w:t xml:space="preserve">(esmolol). </w:t>
      </w:r>
      <w:r>
        <w:rPr>
          <w:lang w:val="ru-RU" w:eastAsia="ru-RU" w:bidi="ru-RU"/>
          <w:w w:val="100"/>
          <w:spacing w:val="0"/>
          <w:color w:val="000000"/>
          <w:position w:val="0"/>
        </w:rPr>
        <w:t>Если необходима длительная гипотен</w:t>
        <w:softHyphen/>
        <w:t>зивная терапия и нет резидуальной обструкции ду</w:t>
        <w:softHyphen/>
        <w:t>ги аорты, то назначают ингибиторы АПФ, иногда в комбинации с Р-адреноблокаторами.</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Выявление ассоциированных аномалий, таких как аортальный стеноз, субаортальный стеноз, митраль</w:t>
        <w:softHyphen/>
        <w:t>ный порок.</w:t>
      </w:r>
    </w:p>
    <w:p>
      <w:pPr>
        <w:pStyle w:val="Style30"/>
        <w:numPr>
          <w:ilvl w:val="0"/>
          <w:numId w:val="53"/>
        </w:numPr>
        <w:tabs>
          <w:tab w:leader="none" w:pos="243"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Выявление адекватности коллатерального кровооб</w:t>
        <w:softHyphen/>
        <w:t>ращения для определения тактики хирургической коррекции порока.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53"/>
        </w:numPr>
        <w:tabs>
          <w:tab w:leader="none" w:pos="24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Существует три варианта хирургической коррекции порока: создание анастомоза конец в конец, аортоп</w:t>
        <w:softHyphen/>
        <w:t>ластика с использованием заплаты и аортопластика с пластикой левой подключичной артерии. Методы хирургической коррекции могут комбинироваться и модифицироваться в зависимости от варианта су</w:t>
        <w:softHyphen/>
        <w:t>жения. Например, левая подключичная артерия мо</w:t>
        <w:softHyphen/>
        <w:t>жет быть использована в качестве заплаты, когда ее имплантируют в область гипоплазированной аорты, тем самым добиваются ее расширения. Для увеличе</w:t>
        <w:softHyphen/>
        <w:t>ния диаметра поперечной дуги при ее гипоплазии мо</w:t>
        <w:softHyphen/>
        <w:t>жет быть использовано расширенное сшивание ко</w:t>
        <w:softHyphen/>
        <w:t>нец в конец с использованием нисходящей аорты. Техника операции варьирует в зависимости от возрас</w:t>
        <w:softHyphen/>
        <w:t>та пациента, размеров коарктации, сопутствующих аномалий и анатомии аортальной дуги.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Ранний дебют коарктации:</w:t>
      </w:r>
    </w:p>
    <w:p>
      <w:pPr>
        <w:pStyle w:val="Style30"/>
        <w:numPr>
          <w:ilvl w:val="0"/>
          <w:numId w:val="53"/>
        </w:numPr>
        <w:tabs>
          <w:tab w:leader="none" w:pos="24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Новорожденные и дети раннего возраста с выражен</w:t>
        <w:softHyphen/>
        <w:t>ной сердечной недостаточностью нуждаются в экс</w:t>
        <w:softHyphen/>
        <w:t>тренных реанимационных мероприятиях. Если ребе</w:t>
        <w:softHyphen/>
        <w:t>нок младше двух недель, ему назначаются инфузии простагландина Е1, который вызывает открытие ар</w:t>
        <w:softHyphen/>
        <w:t>териального протока. Открытый артериальный про</w:t>
        <w:softHyphen/>
        <w:t>ток восстанавливает кровоснабжение нижней части тела, улучшается мочевой клиренс, ликвидируется метаболический ацидоз. При возникновении ста</w:t>
        <w:softHyphen/>
        <w:t>бильного состояния проводится хирургическая кор</w:t>
        <w:softHyphen/>
        <w:t>рекция порока. Простагландин Е1 снижает риск за</w:t>
        <w:softHyphen/>
        <w:t>болеваемости и смертности в раннем неонатальном периоде после проведенной операции устранения ко</w:t>
        <w:softHyphen/>
        <w:t>арктации аорты.</w:t>
      </w:r>
    </w:p>
    <w:p>
      <w:pPr>
        <w:pStyle w:val="Style30"/>
        <w:numPr>
          <w:ilvl w:val="0"/>
          <w:numId w:val="53"/>
        </w:numPr>
        <w:tabs>
          <w:tab w:leader="none" w:pos="52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После периода стабилизации новорожденным проводится операция в зависимости от вида ко</w:t>
        <w:softHyphen/>
        <w:t>арктации и сопутствующих аномалий. Так, в боль</w:t>
        <w:softHyphen/>
        <w:t xml:space="preserve">шой серии (1337 новорожденных с коарктацией аорты), по данным </w:t>
      </w:r>
      <w:r>
        <w:rPr>
          <w:lang w:val="en-US" w:eastAsia="en-US" w:bidi="en-US"/>
          <w:w w:val="100"/>
          <w:spacing w:val="0"/>
          <w:color w:val="000000"/>
          <w:position w:val="0"/>
        </w:rPr>
        <w:t xml:space="preserve">Norton </w:t>
      </w:r>
      <w:r>
        <w:rPr>
          <w:lang w:val="ru-RU" w:eastAsia="ru-RU" w:bidi="ru-RU"/>
          <w:w w:val="100"/>
          <w:spacing w:val="0"/>
          <w:color w:val="000000"/>
          <w:position w:val="0"/>
        </w:rPr>
        <w:t>(1998), потребовались следующие варианты хирургической коррекции: аортопластика с использованием подключичной артерии (57%), резекция конец в конец (30%), аор</w:t>
        <w:softHyphen/>
        <w:t>топластика с использованием заплаты (9,9%).</w:t>
      </w:r>
    </w:p>
    <w:p>
      <w:pPr>
        <w:pStyle w:val="Style30"/>
        <w:numPr>
          <w:ilvl w:val="0"/>
          <w:numId w:val="53"/>
        </w:numPr>
        <w:tabs>
          <w:tab w:leader="none" w:pos="52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Послеоперационная смертность выше у новорож</w:t>
        <w:softHyphen/>
        <w:t>денных, которым операция проведена на первой не</w:t>
        <w:softHyphen/>
        <w:t>деле жизни, у новорожденных с массой тела меньше 3 кг и при сопутствующих аномалиях развития.</w:t>
      </w:r>
    </w:p>
    <w:p>
      <w:pPr>
        <w:pStyle w:val="Style30"/>
        <w:numPr>
          <w:ilvl w:val="0"/>
          <w:numId w:val="53"/>
        </w:numPr>
        <w:tabs>
          <w:tab w:leader="none" w:pos="52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Риск послеоперационной смертности значительно возрастает, если у ребенка сопутствующим поро</w:t>
        <w:softHyphen/>
        <w:t>ком является дефект межжелудочковой перегород</w:t>
        <w:softHyphen/>
        <w:t>ки (6,8%), транспозиция магистральных сосудов (16,6%). Хирургическая летальность у новорож</w:t>
        <w:softHyphen/>
        <w:t>денных с коарктацией аорты значительно выше, если до этого проводилась операция по поводу другого порока сердца.</w:t>
      </w:r>
    </w:p>
    <w:p>
      <w:pPr>
        <w:pStyle w:val="Style30"/>
        <w:numPr>
          <w:ilvl w:val="0"/>
          <w:numId w:val="53"/>
        </w:numPr>
        <w:tabs>
          <w:tab w:leader="none" w:pos="24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наличии гемодинамически значимого дефекта межжелудочковой перегородки во время устранения коарктации аорты на легочную артерию накладыва</w:t>
        <w:softHyphen/>
        <w:t>ется суживающее кольцо.</w:t>
      </w:r>
    </w:p>
    <w:p>
      <w:pPr>
        <w:pStyle w:val="Style30"/>
        <w:numPr>
          <w:ilvl w:val="0"/>
          <w:numId w:val="53"/>
        </w:numPr>
        <w:tabs>
          <w:tab w:leader="none" w:pos="243" w:val="left"/>
        </w:tabs>
        <w:widowControl w:val="0"/>
        <w:keepNext w:val="0"/>
        <w:keepLines w:val="0"/>
        <w:shd w:val="clear" w:color="auto" w:fill="auto"/>
        <w:bidi w:val="0"/>
        <w:spacing w:before="0" w:after="0"/>
        <w:ind w:left="280" w:right="0" w:hanging="280"/>
      </w:pPr>
      <w:r>
        <w:pict>
          <v:shape id="_x0000_s1263" type="#_x0000_t75" style="position:absolute;margin-left:130.7pt;margin-top:736.3pt;width:209.75pt;height:14.9pt;z-index:-125829222;mso-wrap-distance-left:124.8pt;mso-wrap-distance-right:148.1pt;mso-wrap-distance-bottom:10.8pt;mso-position-horizontal-relative:margin;mso-position-vertical-relative:margin" wrapcoords="0 0 21600 0 21600 21600 0 21600 0 0">
            <v:imagedata r:id="rId383" r:href="rId384"/>
            <w10:wrap type="topAndBottom" anchorx="margin" anchory="margin"/>
          </v:shape>
        </w:pict>
      </w:r>
      <w:r>
        <w:rPr>
          <w:lang w:val="ru-RU" w:eastAsia="ru-RU" w:bidi="ru-RU"/>
          <w:w w:val="100"/>
          <w:spacing w:val="0"/>
          <w:color w:val="000000"/>
          <w:position w:val="0"/>
        </w:rPr>
        <w:t>При выраженной гипоплазии аорты проводят наложе</w:t>
        <w:softHyphen/>
        <w:t>ние кондуита между восходящей и нисходящей аор-</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той. Такая операция в раннем детском возрасте требу</w:t>
        <w:softHyphen/>
        <w:t>ет повторной замены кондуита по мере роста ребенка.</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ряде хирургических центров при сочетанных с ко- арктацией аорты пороках проводится одновременная коррекция дефектов путем срединной стернотомии, например, после устранения коарктации закрывается дефект межжелудочковой перегородки.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Поздний дебют коарктации:</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Устранение коарктации у детей и подростков при бес</w:t>
        <w:softHyphen/>
        <w:t>симптомном течении порока проводится при наличии сопутствующих кардиальных аномалий. Сроки хирур</w:t>
        <w:softHyphen/>
        <w:t>гической коррекции у бессимптомных больных с ко- арктацией аорты не определены. Наиболее оправдан</w:t>
        <w:softHyphen/>
        <w:t>ным сроком оперативного вмешательства является воз</w:t>
        <w:softHyphen/>
        <w:t>раст ребенка, когда прекращается рост аорты. Однако к этому возрасту может возникнуть стойкая артериаль</w:t>
        <w:softHyphen/>
        <w:t>ная гипертензия, прогрессирующая вторичная гипер</w:t>
        <w:softHyphen/>
        <w:t>трофическая кардиомиопатия, левожелудочковая ди</w:t>
        <w:softHyphen/>
        <w:t>сфункция. В этой связи операция проводится обычно в плановом порядке в 3-5 лет. Если сужение аорты в этом возрасте не превышает половины диаметра аор</w:t>
        <w:softHyphen/>
        <w:t>ты, то риск рекоарктации минимален. Риск рекоаркта- ции высокий, если суженный участок больше 50%.</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Значительный прогресс хирургической техники по</w:t>
        <w:softHyphen/>
        <w:t>зволяет проводить устранение коарктации с момента ее выявления, если одним из клинических признаков порока является артериальная гипертензия. Опера</w:t>
        <w:softHyphen/>
        <w:t>ция может быть проведена в более поздние сроки при небольшой обструкции, если диагноз порока уста</w:t>
        <w:softHyphen/>
        <w:t>новлен и за пациентом проводится регулярное на</w:t>
        <w:softHyphen/>
        <w:t>блюдение.</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Псевдокоарктация аорты может наблюдаться при из</w:t>
        <w:softHyphen/>
        <w:t>витом ходе сосуда, обычно при этом не наблюдается большой обструкции и операция, как правило, не требуется.</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 коарктации у детей и под</w:t>
        <w:softHyphen/>
        <w:t>ростков, как правило, протекает без осложнений, проводится в зависимости от варианта сужения: ко</w:t>
        <w:softHyphen/>
        <w:t>нец в конец, аортопластика с использованием запла</w:t>
        <w:softHyphen/>
        <w:t>ты, аортопластика с использованием левой подклю</w:t>
        <w:softHyphen/>
        <w:t>чичной артерии.</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Повторные коарктации обычно устраняют с исполь</w:t>
        <w:softHyphen/>
        <w:t>зованием баллонной аортопластики. В последние го</w:t>
        <w:softHyphen/>
        <w:t>ды рекоарктацию аорты устраняют путем установки внутрисосудистого стента. Стентирование аорты дает хорошие результаты у детей и подростков, однако от</w:t>
        <w:softHyphen/>
        <w:t>даленные результаты еще не определены.</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Ранее считалось, что баллонная аортопластика ко</w:t>
        <w:softHyphen/>
        <w:t>арктации аорты является эффективным методом кор</w:t>
        <w:softHyphen/>
        <w:t>рекции. Отдаленные результаты указали на большой процент рекоарктации аорты. В этой связи в настоя</w:t>
        <w:softHyphen/>
        <w:t>щее время баллонная аортопластика как метод устра</w:t>
        <w:softHyphen/>
        <w:t>нения коарктации не используется. Ее применяют в случаях рекоарктации аорты.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После операции проводится регулярное наблюдение за параметрами артериального давления, функцией легких (возможно возникновение левостороннего ателектаза легких из-за проведенной левосторонней торакотомии).</w:t>
      </w:r>
    </w:p>
    <w:p>
      <w:pPr>
        <w:pStyle w:val="Style30"/>
        <w:numPr>
          <w:ilvl w:val="0"/>
          <w:numId w:val="5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нормализации артериального давления перед окончанием приема гипотензивных препаратов про</w:t>
        <w:softHyphen/>
        <w:br w:type="column"/>
        <w:t>водится тест с оценкой реакции АД на физическую нагрузку.</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Многие пациенты после операции нуждаются в про</w:t>
        <w:softHyphen/>
        <w:t>должении антигипертензивной терапии в течение не</w:t>
        <w:softHyphen/>
        <w:t>скольких месяцев или лет.</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Проводится контроль за отдаленными результатами хирургической коррекции, поскольку возможно раз</w:t>
        <w:softHyphen/>
        <w:t>витие рекоарктации и формирование аневризмы.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Активность</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 коарктацией аорты и артериальной гипер</w:t>
        <w:softHyphen/>
        <w:t>тензией физическая активность ограничивается.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Продолжительность артериальной гипертензии после устранения коарктации аорты примерно равна про</w:t>
        <w:softHyphen/>
        <w:t>должительности гипертензии с момента ее выявления идо операции. В этой связи расширение двигательно</w:t>
        <w:softHyphen/>
        <w:t>го режима у детей и подростков после операции про</w:t>
        <w:softHyphen/>
        <w:t>водится постепенно под контролем артериального давления и толерантности к физическим нагрузкам.</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которым операция была проведена в период новорожденности, не имеющие резидуальной коарк- тации и артериальной гипертензии, не требуют огра</w:t>
        <w:softHyphen/>
        <w:t>ничения физической активности. Однако следует по</w:t>
        <w:softHyphen/>
        <w:t>мнить, что с возрастом у некоторых пациентов может произойти рекоарктация без артериальной гипертен</w:t>
        <w:softHyphen/>
        <w:t>зии на верхних конечностях в покое. Гипертензивная реакция может отмечаться при проведении пробы с физической нагрузкой.</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которым операция была проведена в отдален</w:t>
        <w:softHyphen/>
        <w:t>ные сроки, часто имеют постоперативную гипертен</w:t>
        <w:softHyphen/>
        <w:t>зию, которая может носить транзиторный характер. Им ограничиваются изометрические физические на</w:t>
        <w:softHyphen/>
        <w:t>грузки. Физическая активность расширяется посте - пенно при нормализации АД под контролем нагру</w:t>
        <w:softHyphen/>
        <w:t>зочных тестов.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Предупреждение порока: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Возможно раннее выявление порока при проведении фетальной эхокардиографии. Если эхокардиография не позволяет непосредственно визуализировать су</w:t>
        <w:softHyphen/>
        <w:t>женный участок аорты, заподозрить коарктацию можно по наличию дилатации правого желудочка, необычному контуру аортальной дуги, идентифика</w:t>
        <w:softHyphen/>
        <w:t>ции аномалий, сочетающихся с коарктацией аорты, например других форм обструкции выходного тракта левого желудочка. Фетальная эхокардиография пока</w:t>
        <w:softHyphen/>
        <w:t>зана беременным женщинам, у которых в анамнезе есть указания на обструктивные пороки левого желу</w:t>
        <w:softHyphen/>
        <w:t>дочка у предыдущих детей.</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Сразу после рождения необходима ранняя оценка пульса на нижних конечностях у новорожденного для исключения коарктации аорты.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Коарктация аорты является «пожизненным» заболе</w:t>
        <w:softHyphen/>
        <w:t>ванием, осложнения могут наблюдаться как до опе</w:t>
        <w:softHyphen/>
        <w:t>рации, так и через многие годы после хирургического лечения.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Рекоарктация аорты:</w:t>
      </w:r>
    </w:p>
    <w:p>
      <w:pPr>
        <w:pStyle w:val="Style30"/>
        <w:numPr>
          <w:ilvl w:val="0"/>
          <w:numId w:val="51"/>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повторная коарктация аорты наблюдается, если операция проведена у детей в раннем возрасте, особенно с низким весом, при сочетании с гипо</w:t>
        <w:softHyphen/>
        <w:t>плазией дуги или перешейка аорты;</w:t>
      </w:r>
    </w:p>
    <w:p>
      <w:pPr>
        <w:pStyle w:val="Style30"/>
        <w:numPr>
          <w:ilvl w:val="0"/>
          <w:numId w:val="51"/>
        </w:numPr>
        <w:tabs>
          <w:tab w:leader="none" w:pos="513" w:val="left"/>
        </w:tabs>
        <w:widowControl w:val="0"/>
        <w:keepNext w:val="0"/>
        <w:keepLines w:val="0"/>
        <w:shd w:val="clear" w:color="auto" w:fill="auto"/>
        <w:bidi w:val="0"/>
        <w:spacing w:before="0" w:after="0"/>
        <w:ind w:left="500" w:right="0" w:hanging="220"/>
      </w:pPr>
      <w:r>
        <w:pict>
          <v:shape id="_x0000_s1264" type="#_x0000_t75" style="position:absolute;margin-left:142.1pt;margin-top:736.3pt;width:209.75pt;height:14.9pt;z-index:-125829221;mso-wrap-distance-left:136.1pt;mso-wrap-distance-right:136.55pt;mso-wrap-distance-bottom:10.8pt;mso-position-horizontal-relative:margin;mso-position-vertical-relative:margin" wrapcoords="0 0 21600 0 21600 21600 0 21600 0 0">
            <v:imagedata r:id="rId385" r:href="rId386"/>
            <w10:wrap type="topAndBottom" anchorx="margin" anchory="margin"/>
          </v:shape>
        </w:pict>
      </w:r>
      <w:r>
        <w:rPr>
          <w:lang w:val="ru-RU" w:eastAsia="ru-RU" w:bidi="ru-RU"/>
          <w:w w:val="100"/>
          <w:spacing w:val="0"/>
          <w:color w:val="000000"/>
          <w:position w:val="0"/>
        </w:rPr>
        <w:t>у некоторых пациентов, подвергшихся оператив</w:t>
        <w:softHyphen/>
        <w:t>ному лечению коарктации аорты в подростковом</w:t>
      </w:r>
      <w:r>
        <w:br w:type="page"/>
      </w:r>
    </w:p>
    <w:p>
      <w:pPr>
        <w:pStyle w:val="Style30"/>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периоде, при ускоренном росте может определять</w:t>
        <w:softHyphen/>
        <w:t>ся псевдокоарктация из-за извилистого хода аорты в области операции. Обычно эти подростки не нуждаются в повторной операции, обструкция не носит значимого уровня.</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Аневризма аорты:</w:t>
      </w:r>
    </w:p>
    <w:p>
      <w:pPr>
        <w:pStyle w:val="Style30"/>
        <w:numPr>
          <w:ilvl w:val="0"/>
          <w:numId w:val="51"/>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формирование аневризмы наблюдается у больных с неоперированной коарктацией при синдроме Тернера. Формирование микотической аневризмы при коарктации аорты наблюдается в области дуги аорты при инфекционном эндокардите;</w:t>
      </w:r>
    </w:p>
    <w:p>
      <w:pPr>
        <w:pStyle w:val="Style30"/>
        <w:numPr>
          <w:ilvl w:val="0"/>
          <w:numId w:val="51"/>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формирование аневризмы аорты в области аортоп</w:t>
        <w:softHyphen/>
        <w:t>ластики с помощью заплаты. Часто такие аневриз</w:t>
        <w:softHyphen/>
        <w:t>мы развиваются со стороны, противоположной за</w:t>
        <w:softHyphen/>
        <w:t>плате, и протекают бессимптомно. При формиро</w:t>
        <w:softHyphen/>
        <w:t>вании большой аневризмы возможно сдавление возвратного нерва гортани, что обусловливает хриплый голос.</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Длительное существование артериальной гипертен</w:t>
        <w:softHyphen/>
        <w:t>зии даже после успешного устранения коарктации аорты. Это обусловлено изменениями в ренин-ангио- тензиновой системе и барорецепторной регуляции. Неконтролируемая гипертензия может явиться при</w:t>
        <w:softHyphen/>
        <w:t>чиной раннего возникновения ишемической болезни сердца, левожелудочковой дисфункции и разрыва мозговых аневризм.</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Мозговые аневризмы по типу «ягоды» наблюдаются в сосудах Вилизиевого круга и других сосудах мозга, могут быть множественными. Сочетание мозговых аневризм с коарктацией аорты наблюдается в 10% случаев. С возрастом аневризмы имеют тенденцию к росту и имеют большой риск разрыва. Неконтроли</w:t>
        <w:softHyphen/>
        <w:t>руемая гипертензия способствует росту аневризм и увеличивает риск разрыва аневризматической стен</w:t>
        <w:softHyphen/>
        <w:t>ки сосуда. У большинства больных с аневризмами мозговых сосудов отсутствует клиническая симпто</w:t>
        <w:softHyphen/>
        <w:t>матика заболевания, иногда могут наблюдаться го</w:t>
        <w:softHyphen/>
        <w:t>ловные боли, светофобии, слабость. Разрыв аневриз</w:t>
        <w:softHyphen/>
        <w:t>мы сочетается с высокой смертностью, возникаю</w:t>
        <w:softHyphen/>
        <w:t>щей, как правило, внезапно.</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Паралич:</w:t>
      </w:r>
    </w:p>
    <w:p>
      <w:pPr>
        <w:pStyle w:val="Style30"/>
        <w:numPr>
          <w:ilvl w:val="0"/>
          <w:numId w:val="51"/>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паралич возникает из-за ишемии спинного мозга в результате нарушения его кровоснабжения по передней спинальной артерии. Риск паралича су</w:t>
        <w:softHyphen/>
        <w:t>щественно возрастает при недостаточном разви</w:t>
        <w:softHyphen/>
        <w:t>тии коллатерального кровообращения, длитель</w:t>
        <w:softHyphen/>
        <w:t>ном пережатии аорты во время операции, повреж</w:t>
        <w:softHyphen/>
        <w:t>дении межреберных артерий;</w:t>
      </w:r>
    </w:p>
    <w:p>
      <w:pPr>
        <w:pStyle w:val="Style30"/>
        <w:numPr>
          <w:ilvl w:val="0"/>
          <w:numId w:val="51"/>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паралич не характерен при хорошем развитии кол</w:t>
        <w:softHyphen/>
        <w:t>латералей. Методом предупреждения ишемии спинного мозга во время операции является при</w:t>
        <w:softHyphen/>
        <w:t>менение гипотермии или введение обходного шунта с частичным пережатием аорты.</w:t>
      </w:r>
    </w:p>
    <w:p>
      <w:pPr>
        <w:pStyle w:val="Style30"/>
        <w:numPr>
          <w:ilvl w:val="0"/>
          <w:numId w:val="5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Кардиомиопатия часто обнаруживается у детей ран</w:t>
        <w:softHyphen/>
        <w:t>него возраста с коарктацией аорты и особенно часто у новорожденных с критическим сужением. Кардио</w:t>
        <w:softHyphen/>
        <w:t>миопатия характерна для больных с коарктацией аор</w:t>
        <w:softHyphen/>
        <w:t>ты и сопутствующими пороками, сопровождающи</w:t>
        <w:softHyphen/>
        <w:t>мися обструкцией выходного отдела левого желудоч</w:t>
        <w:softHyphen/>
        <w:t>ка (аортальный стеноз, дискретный субаортальный стеноз). У некоторых больных может обнаруживаться эндокардиальный фиброэластоз, который развивает</w:t>
        <w:softHyphen/>
        <w:br w:type="column"/>
        <w:t>ся в результате хронической дилатационной кардио</w:t>
        <w:softHyphen/>
        <w:t>миопатии, требующей медикаментозной коррекции и в исключительных случаях трансплантации сердца. Гипертрофическая кардиомиопатия также предрас</w:t>
        <w:softHyphen/>
        <w:t>полагает к субэндокардиальной ишемии, аритмии и сердечной недостаточности, связанной с диастоли</w:t>
        <w:softHyphen/>
        <w:t>ческой дисфункцией левого желудочка.</w:t>
      </w:r>
    </w:p>
    <w:p>
      <w:pPr>
        <w:pStyle w:val="Style30"/>
        <w:numPr>
          <w:ilvl w:val="0"/>
          <w:numId w:val="5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Хилоторакс может возникнуть в результате поврежде</w:t>
        <w:softHyphen/>
        <w:t>ния грудного протока во время оперативного вмеша</w:t>
        <w:softHyphen/>
        <w:t>тельства. Плевральный выпот устраняют путем дре</w:t>
        <w:softHyphen/>
        <w:t>нажа плевральной полости. Рефрактерный к дрени</w:t>
        <w:softHyphen/>
        <w:t>рованию хилоторакс устраняют хирургически, путем перевязки грудного протока.</w:t>
      </w:r>
    </w:p>
    <w:p>
      <w:pPr>
        <w:pStyle w:val="Style30"/>
        <w:numPr>
          <w:ilvl w:val="0"/>
          <w:numId w:val="5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Посткоарктационный синдром связан с восстановле</w:t>
        <w:softHyphen/>
        <w:t>нием нормального кровотока в мезентериальных со</w:t>
        <w:softHyphen/>
        <w:t>судах. Возникает рефлекторная вазоконстрикция, ко</w:t>
        <w:softHyphen/>
        <w:t>торая может привести к ишемии. Клиника постко- арктационного синдрома проявляется абдоминаль</w:t>
        <w:softHyphen/>
        <w:t>ным дискомфортом, периодическими острыми боля</w:t>
        <w:softHyphen/>
        <w:t>ми в животе, рвотой. В редких случаях возможно аб</w:t>
        <w:softHyphen/>
        <w:t>доминальное кровотечение. Развитию посткоаркта- ционного синдрома способствует раннее начало кормления после устранения коарктации. Следует помнить, что питание через рот можно разрешать па</w:t>
        <w:softHyphen/>
        <w:t>циенту спустя 48 часов после операции. В редких слу</w:t>
        <w:softHyphen/>
        <w:t>чаях больным с тяжелым посткоарктационным синд</w:t>
        <w:softHyphen/>
        <w:t>ромом приходится выполнять лапаротомию для уст</w:t>
        <w:softHyphen/>
        <w:t>ранения участков некроза и перфорации кишечника.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Прогноз</w:t>
      </w:r>
    </w:p>
    <w:p>
      <w:pPr>
        <w:pStyle w:val="Style30"/>
        <w:numPr>
          <w:ilvl w:val="0"/>
          <w:numId w:val="5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детей, которым не была выполнена хирургическая коррекция порока, смертность составляет 90%, сред</w:t>
        <w:softHyphen/>
        <w:t>няя продолжительность жизни составляет 35 лет. Меньше чем 20% пациентов без коррекции порока доживают до 50 лет. Если коарктация устранена в воз - расте до 14 лет, 20-летняя выживаемость составляет 91%, если коарктация устранена после 14 лет, 20-лет</w:t>
        <w:softHyphen/>
        <w:t>няя выживаемость составляет 79%. Выделены факто</w:t>
        <w:softHyphen/>
        <w:t>ры, влияющие на смертность: возраст, вес, наличие или отсутствие значимых сердечно-сосудистых ано</w:t>
        <w:softHyphen/>
        <w:t>малий, артериальная гипертензия, внутричерепные кровоизлияния, разрыв или расслоение аортальной стенки, инфекционный эндокардит, застойная сер</w:t>
        <w:softHyphen/>
        <w:t>дечно-сосудистая недостаточность.</w:t>
      </w:r>
    </w:p>
    <w:p>
      <w:pPr>
        <w:pStyle w:val="Style30"/>
        <w:numPr>
          <w:ilvl w:val="0"/>
          <w:numId w:val="5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После хирургической коррекции коарктации аорты 97-98% пациентов относятся к I классу по классифи</w:t>
        <w:softHyphen/>
        <w:t xml:space="preserve">кации </w:t>
      </w:r>
      <w:r>
        <w:rPr>
          <w:lang w:val="en-US" w:eastAsia="en-US" w:bidi="en-US"/>
          <w:w w:val="100"/>
          <w:spacing w:val="0"/>
          <w:color w:val="000000"/>
          <w:position w:val="0"/>
        </w:rPr>
        <w:t xml:space="preserve">New York Heart Association (NYHA). </w:t>
      </w:r>
      <w:r>
        <w:rPr>
          <w:lang w:val="ru-RU" w:eastAsia="ru-RU" w:bidi="ru-RU"/>
          <w:w w:val="100"/>
          <w:spacing w:val="0"/>
          <w:color w:val="000000"/>
          <w:position w:val="0"/>
        </w:rPr>
        <w:t>У них на</w:t>
        <w:softHyphen/>
        <w:t>блюдается нарушенная диастолическая функция и гипертрофия левого желудочка, несмотря на хоро</w:t>
        <w:softHyphen/>
        <w:t>шие гемодинамические показатели в покое.</w:t>
      </w:r>
    </w:p>
    <w:p>
      <w:pPr>
        <w:pStyle w:val="Style30"/>
        <w:numPr>
          <w:ilvl w:val="0"/>
          <w:numId w:val="53"/>
        </w:numPr>
        <w:tabs>
          <w:tab w:leader="none" w:pos="236" w:val="left"/>
        </w:tabs>
        <w:widowControl w:val="0"/>
        <w:keepNext w:val="0"/>
        <w:keepLines w:val="0"/>
        <w:shd w:val="clear" w:color="auto" w:fill="auto"/>
        <w:bidi w:val="0"/>
        <w:spacing w:before="0" w:after="0"/>
        <w:ind w:left="260" w:right="0"/>
      </w:pPr>
      <w:r>
        <w:pict>
          <v:shape id="_x0000_s1265" type="#_x0000_t75" style="position:absolute;margin-left:130.3pt;margin-top:736.3pt;width:209.75pt;height:14.9pt;z-index:-125829220;mso-wrap-distance-left:124.1pt;mso-wrap-distance-right:148.1pt;mso-wrap-distance-bottom:10.8pt;mso-position-horizontal-relative:margin;mso-position-vertical-relative:margin" wrapcoords="0 0 21600 0 21600 21600 0 21600 0 0">
            <v:imagedata r:id="rId387" r:href="rId388"/>
            <w10:wrap type="topAndBottom" anchorx="margin" anchory="margin"/>
          </v:shape>
        </w:pict>
      </w:r>
      <w:r>
        <w:rPr>
          <w:lang w:val="ru-RU" w:eastAsia="ru-RU" w:bidi="ru-RU"/>
          <w:w w:val="100"/>
          <w:spacing w:val="0"/>
          <w:color w:val="000000"/>
          <w:position w:val="0"/>
        </w:rPr>
        <w:t>Во время беременности у женщин с неоперирован</w:t>
        <w:softHyphen/>
        <w:t>ной коарктацией аорты высокий риск осложнений, как у матери, так и у плода. Материнская смертность составляет примерно 3-8%. Даже если коарктация аорты была своевременно устранена, у беременной сохраняется высокий риск расслоения аорты, разры</w:t>
        <w:softHyphen/>
        <w:t>ва церебральных аневризм в третьем триместре бере</w:t>
        <w:softHyphen/>
        <w:t>менности из-за гемодинамических и гормональных изменений в этот период. Все беременные женщины, у которых в анамнезе была коарктация, представляют группу риска, а наличие значительной коарктации, в том числе резидуальной или повторной, является противопоказанием к беременности.</w:t>
      </w:r>
      <w:r>
        <w:br w:type="page"/>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Коарктация аорты является «пожизненным» заболе</w:t>
        <w:softHyphen/>
        <w:t>ванием, пациенты до и после хирургической коррек</w:t>
        <w:softHyphen/>
        <w:t>ции нуждаются в постоянном контроле за артериаль</w:t>
        <w:softHyphen/>
        <w:t>ным давлением, возникновением рекоарктации и со</w:t>
        <w:softHyphen/>
        <w:t>путствующих аномалий.</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Пациенты нуждаются в постоянной профилактике инфекционного эндокардита.</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Пациенты без резидуальной обструкции, с нормаль</w:t>
        <w:softHyphen/>
        <w:t>ным давлением в покое и при физической нагрузке мо</w:t>
        <w:softHyphen/>
        <w:t>гут выполнять нормальную физическую активность.</w:t>
      </w:r>
    </w:p>
    <w:p>
      <w:pPr>
        <w:pStyle w:val="Style30"/>
        <w:numPr>
          <w:ilvl w:val="0"/>
          <w:numId w:val="53"/>
        </w:numPr>
        <w:tabs>
          <w:tab w:leader="none" w:pos="500" w:val="left"/>
        </w:tabs>
        <w:widowControl w:val="0"/>
        <w:keepNext w:val="0"/>
        <w:keepLines w:val="0"/>
        <w:shd w:val="clear" w:color="auto" w:fill="auto"/>
        <w:bidi w:val="0"/>
        <w:spacing w:before="0" w:after="237"/>
        <w:ind w:left="500" w:right="0" w:hanging="240"/>
      </w:pPr>
      <w:r>
        <w:rPr>
          <w:lang w:val="ru-RU" w:eastAsia="ru-RU" w:bidi="ru-RU"/>
          <w:w w:val="100"/>
          <w:spacing w:val="0"/>
          <w:color w:val="000000"/>
          <w:position w:val="0"/>
        </w:rPr>
        <w:t>Пациенты с персистирующей гипертензией, резиду</w:t>
        <w:softHyphen/>
        <w:t>альной коарктацией и другими осложнениями имеют вариабельный прогноз в зависимости от тяжести имеющихся осложнений.</w:t>
      </w:r>
    </w:p>
    <w:p>
      <w:pPr>
        <w:pStyle w:val="Style28"/>
        <w:widowControl w:val="0"/>
        <w:keepNext/>
        <w:keepLines/>
        <w:shd w:val="clear" w:color="auto" w:fill="auto"/>
        <w:bidi w:val="0"/>
        <w:jc w:val="left"/>
        <w:spacing w:before="0" w:after="153" w:line="220" w:lineRule="exact"/>
        <w:ind w:left="0" w:right="0" w:firstLine="0"/>
      </w:pPr>
      <w:bookmarkStart w:id="377" w:name="bookmark377"/>
      <w:r>
        <w:rPr>
          <w:lang w:val="ru-RU" w:eastAsia="ru-RU" w:bidi="ru-RU"/>
          <w:w w:val="100"/>
          <w:spacing w:val="0"/>
          <w:color w:val="000000"/>
          <w:position w:val="0"/>
        </w:rPr>
        <w:t>Перерыв дуги аорты</w:t>
      </w:r>
      <w:bookmarkEnd w:id="377"/>
    </w:p>
    <w:p>
      <w:pPr>
        <w:pStyle w:val="Style92"/>
        <w:widowControl w:val="0"/>
        <w:keepNext/>
        <w:keepLines/>
        <w:shd w:val="clear" w:color="auto" w:fill="auto"/>
        <w:bidi w:val="0"/>
        <w:spacing w:before="0" w:after="0"/>
        <w:ind w:left="500" w:right="0" w:hanging="240"/>
      </w:pPr>
      <w:bookmarkStart w:id="378" w:name="bookmark378"/>
      <w:r>
        <w:rPr>
          <w:lang w:val="ru-RU" w:eastAsia="ru-RU" w:bidi="ru-RU"/>
          <w:w w:val="100"/>
          <w:spacing w:val="0"/>
          <w:color w:val="000000"/>
          <w:position w:val="0"/>
        </w:rPr>
        <w:t>Определение</w:t>
      </w:r>
      <w:bookmarkEnd w:id="378"/>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Порок развития аорты, при котором имеет место пол</w:t>
        <w:softHyphen/>
        <w:t>ный перерыв сосуда, дистальные участки кровоснаб- жаются за счет коммуникаций (открытый артериаль</w:t>
        <w:softHyphen/>
        <w:t>ный проток) или коллатералей.</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Перерыв дуги аорты — достаточно редкий врожден</w:t>
        <w:softHyphen/>
        <w:t>ный порок сердца, часто сочетается с дефектом меж</w:t>
        <w:softHyphen/>
        <w:t>желудочковой перегородки и открытым артериаль</w:t>
        <w:softHyphen/>
        <w:t>ным протоком. Возможна комбинация с дефектом аортолегочной перегородки или с общим артериаль</w:t>
        <w:softHyphen/>
        <w:t>ным стволом. Редко порок сочетается с единствен</w:t>
        <w:softHyphen/>
        <w:t>ным желудочком сердца.</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Перерыв дуги аорты и полная атриовентрикулярная коммуникация наблюдаются при </w:t>
      </w:r>
      <w:r>
        <w:rPr>
          <w:lang w:val="en-US" w:eastAsia="en-US" w:bidi="en-US"/>
          <w:w w:val="100"/>
          <w:spacing w:val="0"/>
          <w:color w:val="000000"/>
          <w:position w:val="0"/>
        </w:rPr>
        <w:t xml:space="preserve">CHARGE </w:t>
      </w:r>
      <w:r>
        <w:rPr>
          <w:lang w:val="ru-RU" w:eastAsia="ru-RU" w:bidi="ru-RU"/>
          <w:w w:val="100"/>
          <w:spacing w:val="0"/>
          <w:color w:val="000000"/>
          <w:position w:val="0"/>
        </w:rPr>
        <w:t>ассоциа</w:t>
        <w:softHyphen/>
        <w:t>ции. У 50% пациентов с перерывом дуги аорты диа</w:t>
        <w:softHyphen/>
        <w:t xml:space="preserve">гностируется синдром </w:t>
      </w:r>
      <w:r>
        <w:rPr>
          <w:lang w:val="en-US" w:eastAsia="en-US" w:bidi="en-US"/>
          <w:w w:val="100"/>
          <w:spacing w:val="0"/>
          <w:color w:val="000000"/>
          <w:position w:val="0"/>
        </w:rPr>
        <w:t>DiGeorge.</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хирургической реконструкции дуги аорты необхо - димо идентифицировать и провести коррекцию пато</w:t>
        <w:softHyphen/>
        <w:t>логии клапана аорты и субаортальную гипоплазию, ко</w:t>
        <w:softHyphen/>
        <w:t>торые выявляются приблизительно в половине случаев.</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Перерыв дуги аорты является первой генетически де</w:t>
        <w:softHyphen/>
        <w:t>терминированной сердечно-сосудистой аномалией, продемонстрированной у человека.</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Частота</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Распространенность порока составляет приблизи</w:t>
        <w:softHyphen/>
        <w:t>тельно 2 на 100 000 живорожденных.</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Возраст</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Почти все случаи порока выявляются в первые 2 не</w:t>
        <w:softHyphen/>
        <w:t>дели жизни, как только происходит закрытие артери</w:t>
        <w:softHyphen/>
        <w:t>ального протока. У большинства пациентов диагнос</w:t>
        <w:softHyphen/>
        <w:t>тика происходит на первом дне жизни.</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Причины</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Причина порока неизвестна, но некоторый прогресс достигнут в понимании этиологии синдрома </w:t>
      </w:r>
      <w:r>
        <w:rPr>
          <w:lang w:val="en-US" w:eastAsia="en-US" w:bidi="en-US"/>
          <w:w w:val="100"/>
          <w:spacing w:val="0"/>
          <w:color w:val="000000"/>
          <w:position w:val="0"/>
        </w:rPr>
        <w:t xml:space="preserve">DiGeorge, </w:t>
      </w:r>
      <w:r>
        <w:rPr>
          <w:lang w:val="ru-RU" w:eastAsia="ru-RU" w:bidi="ru-RU"/>
          <w:w w:val="100"/>
          <w:spacing w:val="0"/>
          <w:color w:val="000000"/>
          <w:position w:val="0"/>
        </w:rPr>
        <w:t>который часто встречается при перерыве дуги аорты.</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Приблизительно у 90% пациентов с синдромом </w:t>
      </w:r>
      <w:r>
        <w:rPr>
          <w:lang w:val="en-US" w:eastAsia="en-US" w:bidi="en-US"/>
          <w:w w:val="100"/>
          <w:spacing w:val="0"/>
          <w:color w:val="000000"/>
          <w:position w:val="0"/>
        </w:rPr>
        <w:t xml:space="preserve">DiGeorge </w:t>
      </w:r>
      <w:r>
        <w:rPr>
          <w:lang w:val="ru-RU" w:eastAsia="ru-RU" w:bidi="ru-RU"/>
          <w:w w:val="100"/>
          <w:spacing w:val="0"/>
          <w:color w:val="000000"/>
          <w:position w:val="0"/>
        </w:rPr>
        <w:t xml:space="preserve">имеется делеция </w:t>
      </w:r>
      <w:r>
        <w:rPr>
          <w:lang w:val="en-US" w:eastAsia="en-US" w:bidi="en-US"/>
          <w:w w:val="100"/>
          <w:spacing w:val="0"/>
          <w:color w:val="000000"/>
          <w:position w:val="0"/>
        </w:rPr>
        <w:t>22q11.</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Эмбриология</w:t>
      </w:r>
    </w:p>
    <w:p>
      <w:pPr>
        <w:pStyle w:val="Style30"/>
        <w:numPr>
          <w:ilvl w:val="0"/>
          <w:numId w:val="5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Эмбриология данного порока остается невыяснен</w:t>
        <w:softHyphen/>
        <w:t>ной. Приблизительно половина пациентов с переры</w:t>
        <w:softHyphen/>
        <w:t>вом дуги аорты имеют делецию 1,5-3 МБ участка хро</w:t>
        <w:softHyphen/>
        <w:t xml:space="preserve">мосомы </w:t>
      </w:r>
      <w:r>
        <w:rPr>
          <w:lang w:val="en-US" w:eastAsia="en-US" w:bidi="en-US"/>
          <w:w w:val="100"/>
          <w:spacing w:val="0"/>
          <w:color w:val="000000"/>
          <w:position w:val="0"/>
        </w:rPr>
        <w:t xml:space="preserve">22q11.2. </w:t>
      </w:r>
      <w:r>
        <w:rPr>
          <w:lang w:val="ru-RU" w:eastAsia="ru-RU" w:bidi="ru-RU"/>
          <w:w w:val="100"/>
          <w:spacing w:val="0"/>
          <w:color w:val="000000"/>
          <w:position w:val="0"/>
        </w:rPr>
        <w:t>В пределах делеции участка 3 МБ на</w:t>
        <w:softHyphen/>
        <w:t>ходятся 30 генов, но все еще неизвестно, какие из них вносят вклад в фенотип порока.</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Предполагают этиологическое различие типа А поро - ка от типа В. Имеется различие дефектов межжелу</w:t>
        <w:softHyphen/>
        <w:t>дочковой перегородки, ассоциированных с переры</w:t>
        <w:softHyphen/>
        <w:t xml:space="preserve">вом дуги аорты при типе А и В. Распространенность </w:t>
      </w:r>
      <w:r>
        <w:rPr>
          <w:lang w:val="en-US" w:eastAsia="en-US" w:bidi="en-US"/>
          <w:w w:val="100"/>
          <w:spacing w:val="0"/>
          <w:color w:val="000000"/>
          <w:position w:val="0"/>
        </w:rPr>
        <w:t xml:space="preserve">22q11.2 </w:t>
      </w:r>
      <w:r>
        <w:rPr>
          <w:lang w:val="ru-RU" w:eastAsia="ru-RU" w:bidi="ru-RU"/>
          <w:w w:val="100"/>
          <w:spacing w:val="0"/>
          <w:color w:val="000000"/>
          <w:position w:val="0"/>
        </w:rPr>
        <w:t>гомозигот также различна. Приблизительно у 3/4 пациентов с типом В выявляются делеции, в то время как при типе В делеции встречаются чрезвы</w:t>
        <w:softHyphen/>
        <w:t>чайно редко.</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en-US" w:eastAsia="en-US" w:bidi="en-US"/>
          <w:w w:val="100"/>
          <w:spacing w:val="0"/>
          <w:color w:val="000000"/>
          <w:position w:val="0"/>
        </w:rPr>
        <w:t xml:space="preserve">Lindsay </w:t>
      </w:r>
      <w:r>
        <w:rPr>
          <w:lang w:val="ru-RU" w:eastAsia="ru-RU" w:bidi="ru-RU"/>
          <w:w w:val="100"/>
          <w:spacing w:val="0"/>
          <w:color w:val="000000"/>
          <w:position w:val="0"/>
        </w:rPr>
        <w:t xml:space="preserve">с соавт. удалили участок хромосомы мыши 16 </w:t>
      </w:r>
      <w:r>
        <w:rPr>
          <w:lang w:val="en-US" w:eastAsia="en-US" w:bidi="en-US"/>
          <w:w w:val="100"/>
          <w:spacing w:val="0"/>
          <w:color w:val="000000"/>
          <w:position w:val="0"/>
        </w:rPr>
        <w:t xml:space="preserve">(Df1), </w:t>
      </w:r>
      <w:r>
        <w:rPr>
          <w:lang w:val="ru-RU" w:eastAsia="ru-RU" w:bidi="ru-RU"/>
          <w:w w:val="100"/>
          <w:spacing w:val="0"/>
          <w:color w:val="000000"/>
          <w:position w:val="0"/>
        </w:rPr>
        <w:t>гомологичный с человеческим участком хро</w:t>
        <w:softHyphen/>
        <w:t xml:space="preserve">мосомы </w:t>
      </w:r>
      <w:r>
        <w:rPr>
          <w:lang w:val="en-US" w:eastAsia="en-US" w:bidi="en-US"/>
          <w:w w:val="100"/>
          <w:spacing w:val="0"/>
          <w:color w:val="000000"/>
          <w:position w:val="0"/>
        </w:rPr>
        <w:t xml:space="preserve">22q11.2. </w:t>
      </w:r>
      <w:r>
        <w:rPr>
          <w:lang w:val="ru-RU" w:eastAsia="ru-RU" w:bidi="ru-RU"/>
          <w:w w:val="100"/>
          <w:spacing w:val="0"/>
          <w:color w:val="000000"/>
          <w:position w:val="0"/>
        </w:rPr>
        <w:t xml:space="preserve">Гетерозиготные мыши с делецией </w:t>
      </w:r>
      <w:r>
        <w:rPr>
          <w:lang w:val="en-US" w:eastAsia="en-US" w:bidi="en-US"/>
          <w:w w:val="100"/>
          <w:spacing w:val="0"/>
          <w:color w:val="000000"/>
          <w:position w:val="0"/>
        </w:rPr>
        <w:t xml:space="preserve">Df1 </w:t>
      </w:r>
      <w:r>
        <w:rPr>
          <w:lang w:val="ru-RU" w:eastAsia="ru-RU" w:bidi="ru-RU"/>
          <w:w w:val="100"/>
          <w:spacing w:val="0"/>
          <w:color w:val="000000"/>
          <w:position w:val="0"/>
        </w:rPr>
        <w:t xml:space="preserve">имели перерыв дуги аорты типа </w:t>
      </w:r>
      <w:r>
        <w:rPr>
          <w:lang w:val="en-US" w:eastAsia="en-US" w:bidi="en-US"/>
          <w:w w:val="100"/>
          <w:spacing w:val="0"/>
          <w:color w:val="000000"/>
          <w:position w:val="0"/>
        </w:rPr>
        <w:t xml:space="preserve">B. </w:t>
      </w:r>
      <w:r>
        <w:rPr>
          <w:lang w:val="ru-RU" w:eastAsia="ru-RU" w:bidi="ru-RU"/>
          <w:w w:val="100"/>
          <w:spacing w:val="0"/>
          <w:color w:val="000000"/>
          <w:position w:val="0"/>
        </w:rPr>
        <w:t>Данный фено</w:t>
        <w:softHyphen/>
        <w:t>тип может быть корригирован введением генов хро</w:t>
        <w:softHyphen/>
        <w:t xml:space="preserve">мосомы, дублирующей </w:t>
      </w:r>
      <w:r>
        <w:rPr>
          <w:lang w:val="en-US" w:eastAsia="en-US" w:bidi="en-US"/>
          <w:w w:val="100"/>
          <w:spacing w:val="0"/>
          <w:color w:val="000000"/>
          <w:position w:val="0"/>
        </w:rPr>
        <w:t xml:space="preserve">Df1. </w:t>
      </w:r>
      <w:r>
        <w:rPr>
          <w:lang w:val="ru-RU" w:eastAsia="ru-RU" w:bidi="ru-RU"/>
          <w:w w:val="100"/>
          <w:spacing w:val="0"/>
          <w:color w:val="000000"/>
          <w:position w:val="0"/>
        </w:rPr>
        <w:t>Это доказывает, что Df1/+фенотип следует из-за недостатка генов, распо</w:t>
        <w:softHyphen/>
        <w:t xml:space="preserve">ложенных в пределах делеции </w:t>
      </w:r>
      <w:r>
        <w:rPr>
          <w:lang w:val="en-US" w:eastAsia="en-US" w:bidi="en-US"/>
          <w:w w:val="100"/>
          <w:spacing w:val="0"/>
          <w:color w:val="000000"/>
          <w:position w:val="0"/>
        </w:rPr>
        <w:t>Df1.</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Анатомия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Перерыв дуги аорты подразделяется на 3 типа </w:t>
      </w:r>
      <w:r>
        <w:rPr>
          <w:lang w:val="en-US" w:eastAsia="en-US" w:bidi="en-US"/>
          <w:w w:val="100"/>
          <w:spacing w:val="0"/>
          <w:color w:val="000000"/>
          <w:position w:val="0"/>
        </w:rPr>
        <w:t xml:space="preserve">(A, B </w:t>
      </w:r>
      <w:r>
        <w:rPr>
          <w:lang w:val="ru-RU" w:eastAsia="ru-RU" w:bidi="ru-RU"/>
          <w:w w:val="100"/>
          <w:spacing w:val="0"/>
          <w:color w:val="000000"/>
          <w:position w:val="0"/>
        </w:rPr>
        <w:t xml:space="preserve">и </w:t>
      </w:r>
      <w:r>
        <w:rPr>
          <w:lang w:val="en-US" w:eastAsia="en-US" w:bidi="en-US"/>
          <w:w w:val="100"/>
          <w:spacing w:val="0"/>
          <w:color w:val="000000"/>
          <w:position w:val="0"/>
        </w:rPr>
        <w:t xml:space="preserve">C) </w:t>
      </w:r>
      <w:r>
        <w:rPr>
          <w:lang w:val="ru-RU" w:eastAsia="ru-RU" w:bidi="ru-RU"/>
          <w:w w:val="100"/>
          <w:spacing w:val="0"/>
          <w:color w:val="000000"/>
          <w:position w:val="0"/>
        </w:rPr>
        <w:t>в зависимости от участка прерывания. При типе А прерывание дуги происходит дистальнее левой под</w:t>
        <w:softHyphen/>
        <w:t xml:space="preserve">ключичной артерии. При типе </w:t>
      </w:r>
      <w:r>
        <w:rPr>
          <w:lang w:val="en-US" w:eastAsia="en-US" w:bidi="en-US"/>
          <w:w w:val="100"/>
          <w:spacing w:val="0"/>
          <w:color w:val="000000"/>
          <w:position w:val="0"/>
        </w:rPr>
        <w:t xml:space="preserve">B </w:t>
      </w:r>
      <w:r>
        <w:rPr>
          <w:lang w:val="ru-RU" w:eastAsia="ru-RU" w:bidi="ru-RU"/>
          <w:w w:val="100"/>
          <w:spacing w:val="0"/>
          <w:color w:val="000000"/>
          <w:position w:val="0"/>
        </w:rPr>
        <w:t>прерывание проис</w:t>
        <w:softHyphen/>
        <w:t xml:space="preserve">ходит дистальнее левой общей сонной артерии. При типе </w:t>
      </w:r>
      <w:r>
        <w:rPr>
          <w:lang w:val="en-US" w:eastAsia="en-US" w:bidi="en-US"/>
          <w:w w:val="100"/>
          <w:spacing w:val="0"/>
          <w:color w:val="000000"/>
          <w:position w:val="0"/>
        </w:rPr>
        <w:t xml:space="preserve">C </w:t>
      </w:r>
      <w:r>
        <w:rPr>
          <w:lang w:val="ru-RU" w:eastAsia="ru-RU" w:bidi="ru-RU"/>
          <w:w w:val="100"/>
          <w:spacing w:val="0"/>
          <w:color w:val="000000"/>
          <w:position w:val="0"/>
        </w:rPr>
        <w:t>прерывание локализуется проксимальнее левой общей сонной артерии.</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любом из 3 типов правая подключичная артерия может быть как нормальной, так и измененной. 2 са</w:t>
        <w:softHyphen/>
        <w:t>мых частых патологических участка находятся дис</w:t>
        <w:softHyphen/>
        <w:t>тальнее левой подключичной артерии (или аберрант</w:t>
        <w:softHyphen/>
        <w:t>ной правой подключичной артерии) и справа от арте</w:t>
        <w:softHyphen/>
        <w:t>риального протока (или изолированной правой под</w:t>
        <w:softHyphen/>
        <w:t xml:space="preserve">ключичной артерии). Тип </w:t>
      </w:r>
      <w:r>
        <w:rPr>
          <w:lang w:val="en-US" w:eastAsia="en-US" w:bidi="en-US"/>
          <w:w w:val="100"/>
          <w:spacing w:val="0"/>
          <w:color w:val="000000"/>
          <w:position w:val="0"/>
        </w:rPr>
        <w:t xml:space="preserve">B </w:t>
      </w:r>
      <w:r>
        <w:rPr>
          <w:lang w:val="ru-RU" w:eastAsia="ru-RU" w:bidi="ru-RU"/>
          <w:w w:val="100"/>
          <w:spacing w:val="0"/>
          <w:color w:val="000000"/>
          <w:position w:val="0"/>
        </w:rPr>
        <w:t>встречается в 2/3 случаев порока, тип А — приблизительно в 1/3 случаев, а тип С регистрируется менее чем у 1% пациентов с пере</w:t>
        <w:softHyphen/>
        <w:t>рывом дуги аорты.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Патофизиология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эмбриональном периоде левожелудочковый вы</w:t>
        <w:softHyphen/>
        <w:t>брос поддерживает кровообращение проксимальнее прерывания, а правожелудочковый выброс — дис</w:t>
        <w:softHyphen/>
        <w:t>тальнее прерывания через артериальный проток. По</w:t>
        <w:softHyphen/>
        <w:t>стнатально данный механизм продолжает функцио</w:t>
        <w:softHyphen/>
        <w:t>нировать с дополнением легочного кровотока к на</w:t>
        <w:softHyphen/>
        <w:t>грузке левого желудочка.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 закрытия артериального протока клиническая симптоматика порока может не определяться.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Порок манифестирует при закрытии артериального протока тяжелой сердечной недостаточностью (та- хипноэ, тахикардия, отказ от еды, летаргия).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Генетические синдромы: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Синдром ДиДжорч </w:t>
      </w:r>
      <w:r>
        <w:rPr>
          <w:lang w:val="en-US" w:eastAsia="en-US" w:bidi="en-US"/>
          <w:w w:val="100"/>
          <w:spacing w:val="0"/>
          <w:color w:val="000000"/>
          <w:position w:val="0"/>
        </w:rPr>
        <w:t>(DiGeorge syndrome):</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Синдром включает отсутствие или гипоплазию тиму</w:t>
        <w:softHyphen/>
        <w:t>са, что обусловливает низкое число Т-лимфоцитов. Недоразвитие паращитовидной железы вызывает вторичную гипокальциемию. Часто определяются ги</w:t>
        <w:softHyphen/>
        <w:t>пертелоризм, короткий фильтр, глазные аномалии. В крови определяются лимфоцитопения, гипокаль- циемия, гипогаммаглобулинемия.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pict>
          <v:shape id="_x0000_s1266" type="#_x0000_t75" style="position:absolute;margin-left:147.5pt;margin-top:736.3pt;width:209.75pt;height:14.9pt;z-index:-125829219;mso-wrap-distance-left:146.9pt;mso-wrap-distance-right:136.55pt;mso-wrap-distance-bottom:10.8pt;mso-position-horizontal-relative:margin;mso-position-vertical-relative:margin" wrapcoords="0 0 21600 0 21600 21600 0 21600 0 0">
            <v:imagedata r:id="rId389" r:href="rId390"/>
            <w10:wrap type="topAndBottom" anchorx="margin" anchory="margin"/>
          </v:shape>
        </w:pict>
      </w:r>
      <w:r>
        <w:rPr>
          <w:lang w:val="ru-RU" w:eastAsia="ru-RU" w:bidi="ru-RU"/>
          <w:w w:val="100"/>
          <w:spacing w:val="0"/>
          <w:color w:val="000000"/>
          <w:position w:val="0"/>
        </w:rPr>
        <w:t>Составным и обязательным компонентом синдрома являются врожденные пороки сердца: перерыв дуги аорты, общий артериальный ствол, тетрада Фалло с атрезией легочной артерии, коарктация аорты. Ред</w:t>
        <w:softHyphen/>
        <w:t>ко встречается дефект межжелудочковой перегород-</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ки. Гипокальциемия может обусловить возникнове</w:t>
        <w:softHyphen/>
        <w:t xml:space="preserve">ние вторичного синдрома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желудочковых аритмий и внезапной смерти. Патоло</w:t>
        <w:softHyphen/>
        <w:t>гия иммунитета обусловливает частое осложнение порока сердца инфекционным эндокардитом.</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Хирургическое лечение порока сердца должно прово - диться под контролем иммунологических показате</w:t>
        <w:softHyphen/>
        <w:t>лей. Поскольку имеет место клеточный иммунный дефект, показана предоперационная и послеопераци</w:t>
        <w:softHyphen/>
        <w:t>онная антибиотикопрофилактика септических ос</w:t>
        <w:softHyphen/>
        <w:t>ложнений, в том числе послеоперационного инфек</w:t>
        <w:softHyphen/>
        <w:t>ционного эндокардита.</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Синдром аномалии дуги аорты с умственной отсталостью и лицевым дизморфизмом</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Редкий наследственный синдром с умственной отстало</w:t>
        <w:softHyphen/>
        <w:t>стью, патологией аорты и лицевым дизморфизмом.</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Умственная отсталость на уровне субнормальной, возможна микроцефалия.</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Различные дизморфии лица, не имеющие специфи</w:t>
        <w:softHyphen/>
        <w:t>ческих проявлений.</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Поражение сердца проявляется перерывом дуги аор</w:t>
        <w:softHyphen/>
        <w:t>ты, правосторонней дугой аорты, возможно в сочета</w:t>
        <w:softHyphen/>
        <w:t>нии со стенозом левой подключичной артерии.</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Тип наследования аутосомно-доминантный.</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Синдром «аномалия дуги аорты, колобома радужки и лице</w:t>
        <w:softHyphen/>
        <w:t>вой дизморфизм»</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Редкий наследственный синдром с патологией аор</w:t>
        <w:softHyphen/>
        <w:t>ты, лицевым дизморфизмом и колобомой радужной оболочки глаз.</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Лицевой дизморфизм характеризуется «хилым» ли</w:t>
        <w:softHyphen/>
        <w:t>цом с опущенными углами рта.</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Колобома радужки носит билатеральный характер.</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Поражение сердца проявляется патологией дуги аор - ты: перерыв дуги аорты, надклапанный стеноз, гипо</w:t>
        <w:softHyphen/>
        <w:t>плазия, перерыв, коарктация аорты.</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Тип наследования аутосомно-доминантный.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Физикальные данные</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 закрытия артериального протока выявить порок трудно. После закрытия артериального протока ос</w:t>
        <w:softHyphen/>
        <w:t>новной признак — пятнистая или серая окраска ниж</w:t>
        <w:softHyphen/>
        <w:t>ней части тела вследствие снижения перфузии в том отделе сосудистой системы, которая расположена ди</w:t>
        <w:softHyphen/>
        <w:t>стальнее перерыва.</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Возможно различие систолического артериального давления между правой рукой и нижними конечностя</w:t>
        <w:softHyphen/>
        <w:t>ми. Если правая подключичная артерия является абер</w:t>
        <w:softHyphen/>
        <w:t>рантной, разница в АД между правой рукой и нижни</w:t>
        <w:softHyphen/>
        <w:t>ми конечностями будет отсутствовать, так как данная артерия отходит дистальнее прерывания дуги.</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Могут быть различия в насыщенности кислородом между правой рукой и нижней частью тела при отсут</w:t>
        <w:softHyphen/>
        <w:t>ствии аберрантной правой подключичной артерии. При нормально расположенных артериях насыщен</w:t>
        <w:softHyphen/>
        <w:t>ность кислородом будет выше на правой руке, чем в нижней части тела. При перерыве дуги аорты с транс</w:t>
        <w:softHyphen/>
        <w:t>позицией артерий наблюдается обратная картина.</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Первый сердечный тон нормальный. Второй сердеч</w:t>
        <w:softHyphen/>
        <w:t>ный тон узкий.</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Отмечается систолический шум изгнания 2-3 степе</w:t>
        <w:softHyphen/>
        <w:t>ни (легочный поток). Мезодиастолический шум мит</w:t>
        <w:softHyphen/>
        <w:t>рального стеноза не всегда слышен у новорожденных.</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Печень обычно нормальных размеров.</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Лицевой дизморфизм отмечается у пациентов с пере</w:t>
        <w:softHyphen/>
        <w:t xml:space="preserve">рывом дуги аорты, страдающих синдромом </w:t>
      </w:r>
      <w:r>
        <w:rPr>
          <w:lang w:val="en-US" w:eastAsia="en-US" w:bidi="en-US"/>
          <w:w w:val="100"/>
          <w:spacing w:val="0"/>
          <w:color w:val="000000"/>
          <w:position w:val="0"/>
        </w:rPr>
        <w:t>DiGeorge.</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диагностика</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Информативно определение газов крови для выявле</w:t>
        <w:softHyphen/>
        <w:t>ния метаболического ацидоза.</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Определение уровня кальция иногда информативно, так как много пациентов имеют </w:t>
      </w:r>
      <w:r>
        <w:rPr>
          <w:lang w:val="en-US" w:eastAsia="en-US" w:bidi="en-US"/>
          <w:w w:val="100"/>
          <w:spacing w:val="0"/>
          <w:color w:val="000000"/>
          <w:position w:val="0"/>
        </w:rPr>
        <w:t xml:space="preserve">DiGeorge </w:t>
      </w:r>
      <w:r>
        <w:rPr>
          <w:lang w:val="ru-RU" w:eastAsia="ru-RU" w:bidi="ru-RU"/>
          <w:w w:val="100"/>
          <w:spacing w:val="0"/>
          <w:color w:val="000000"/>
          <w:position w:val="0"/>
        </w:rPr>
        <w:t>синдром с гипопаратиреозом.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Электрокардиография:</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Определяются признаки правожелудочковой гипер</w:t>
        <w:softHyphen/>
        <w:t xml:space="preserve">трофии и </w:t>
      </w:r>
      <w:r>
        <w:rPr>
          <w:lang w:val="en-US" w:eastAsia="en-US" w:bidi="en-US"/>
          <w:w w:val="100"/>
          <w:spacing w:val="0"/>
          <w:color w:val="000000"/>
          <w:position w:val="0"/>
        </w:rPr>
        <w:t>SТ</w:t>
      </w:r>
      <w:r>
        <w:rPr>
          <w:lang w:val="ru-RU" w:eastAsia="ru-RU" w:bidi="ru-RU"/>
          <w:w w:val="100"/>
          <w:spacing w:val="0"/>
          <w:color w:val="000000"/>
          <w:position w:val="0"/>
        </w:rPr>
        <w:t>-Т нарушения.</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Иногда выявляется удлинение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 xml:space="preserve">из-за гипокальциемии при синдроме </w:t>
      </w:r>
      <w:r>
        <w:rPr>
          <w:lang w:val="en-US" w:eastAsia="en-US" w:bidi="en-US"/>
          <w:w w:val="100"/>
          <w:spacing w:val="0"/>
          <w:color w:val="000000"/>
          <w:position w:val="0"/>
        </w:rPr>
        <w:t>DiGeorge.</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Рентгенография грудной клетки:</w:t>
      </w:r>
    </w:p>
    <w:p>
      <w:pPr>
        <w:pStyle w:val="Style30"/>
        <w:numPr>
          <w:ilvl w:val="0"/>
          <w:numId w:val="5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Рентгенологические результаты варьируют.</w:t>
      </w:r>
    </w:p>
    <w:p>
      <w:pPr>
        <w:pStyle w:val="Style30"/>
        <w:numPr>
          <w:ilvl w:val="0"/>
          <w:numId w:val="5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Тень сердца нормальная или увеличена.</w:t>
      </w:r>
    </w:p>
    <w:p>
      <w:pPr>
        <w:pStyle w:val="Style30"/>
        <w:numPr>
          <w:ilvl w:val="0"/>
          <w:numId w:val="5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Легочный кровоток нормальный или усилен.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Допплерэхокардиография:</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 помощью эхокардиографии возможна диагностика перерыва дуги аорты. Кроме того, возможно визуали</w:t>
        <w:softHyphen/>
        <w:t>зировать, по крайней мере косвенно, наличие или от</w:t>
        <w:softHyphen/>
        <w:t>сутствие аберрантной правой подключичной арте</w:t>
        <w:softHyphen/>
        <w:t>рии. Иногда обнаруживается изолированная правая подключичная артерия.</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Цветовое допплеровское картирование помогает в распознавании артерий от вен. Кроме того, у па</w:t>
        <w:softHyphen/>
        <w:t>циентов с закрывающимся артериальным прото - ком эхокардиография и допплерография использу</w:t>
        <w:softHyphen/>
        <w:t xml:space="preserve">ются для контроля эффекта введения простаглан- дина </w:t>
      </w:r>
      <w:r>
        <w:rPr>
          <w:lang w:val="en-US" w:eastAsia="en-US" w:bidi="en-US"/>
          <w:w w:val="100"/>
          <w:spacing w:val="0"/>
          <w:color w:val="000000"/>
          <w:position w:val="0"/>
        </w:rPr>
        <w:t>E1.</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Могут быть идентифицированы размер и анатомиче</w:t>
        <w:softHyphen/>
        <w:t>ский тип дефекта межжелудочковой перегородки. Важно с помощью двухмерной Эхо-КГ до операции исследовать область оттока аорты. Эхокардиография также визуализирует участок, размер и тип дефекта межжелудочковой перегородки, морфологию аор</w:t>
        <w:softHyphen/>
        <w:t>тального клапана, выраженность субаортальной ги</w:t>
        <w:softHyphen/>
        <w:t>поплазии. Патология клапана аорты и субаортальная гипоплазия отмечаются у 50-80% пациентов с пере</w:t>
        <w:softHyphen/>
        <w:t>рывом дуги аорты.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Катетеризация сердца:</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катетеризации сердца определяется участок пре</w:t>
        <w:softHyphen/>
        <w:t>рывания дуги аорты, размер и тип дефекта межжелу</w:t>
        <w:softHyphen/>
        <w:t>дочковой перегородки, выраженность субаортальной гипоплазии.</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Катетеризация сердца также выявляет аберрацию правой подключичной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Дифференциальный диагноз</w:t>
      </w:r>
    </w:p>
    <w:p>
      <w:pPr>
        <w:pStyle w:val="Style30"/>
        <w:numPr>
          <w:ilvl w:val="0"/>
          <w:numId w:val="5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Коарктация аорты.</w:t>
      </w:r>
    </w:p>
    <w:p>
      <w:pPr>
        <w:pStyle w:val="Style30"/>
        <w:numPr>
          <w:ilvl w:val="0"/>
          <w:numId w:val="5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Синдром </w:t>
      </w:r>
      <w:r>
        <w:rPr>
          <w:lang w:val="en-US" w:eastAsia="en-US" w:bidi="en-US"/>
          <w:w w:val="100"/>
          <w:spacing w:val="0"/>
          <w:color w:val="000000"/>
          <w:position w:val="0"/>
        </w:rPr>
        <w:t>DiGeorge.</w:t>
      </w:r>
    </w:p>
    <w:p>
      <w:pPr>
        <w:pStyle w:val="Style30"/>
        <w:numPr>
          <w:ilvl w:val="0"/>
          <w:numId w:val="5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Неонатальный сепсис.</w:t>
      </w:r>
    </w:p>
    <w:p>
      <w:pPr>
        <w:pStyle w:val="Style30"/>
        <w:numPr>
          <w:ilvl w:val="0"/>
          <w:numId w:val="53"/>
        </w:numPr>
        <w:tabs>
          <w:tab w:leader="none" w:pos="518"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Vfelocardiofacial </w:t>
      </w:r>
      <w:r>
        <w:rPr>
          <w:lang w:val="ru-RU" w:eastAsia="ru-RU" w:bidi="ru-RU"/>
          <w:w w:val="100"/>
          <w:spacing w:val="0"/>
          <w:color w:val="000000"/>
          <w:position w:val="0"/>
        </w:rPr>
        <w:t>синдром.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pict>
          <v:shape id="_x0000_s1267" type="#_x0000_t75" style="position:absolute;margin-left:136.55pt;margin-top:736.3pt;width:209.75pt;height:14.9pt;z-index:-125829218;mso-wrap-distance-left:136.55pt;mso-wrap-distance-right:148.1pt;mso-wrap-distance-bottom:10.8pt;mso-position-horizontal-relative:margin;mso-position-vertical-relative:margin" wrapcoords="0 0 21600 0 21600 21600 0 21600 0 0">
            <v:imagedata r:id="rId391" r:href="rId392"/>
            <w10:wrap type="topAndBottom" anchorx="margin" anchory="margin"/>
          </v:shape>
        </w:pict>
      </w:r>
      <w:r>
        <w:rPr>
          <w:lang w:val="ru-RU" w:eastAsia="ru-RU" w:bidi="ru-RU"/>
          <w:w w:val="100"/>
          <w:spacing w:val="0"/>
          <w:color w:val="000000"/>
          <w:position w:val="0"/>
        </w:rPr>
        <w:t xml:space="preserve">Внутривенно вводится простагландин </w:t>
      </w:r>
      <w:r>
        <w:rPr>
          <w:lang w:val="en-US" w:eastAsia="en-US" w:bidi="en-US"/>
          <w:w w:val="100"/>
          <w:spacing w:val="0"/>
          <w:color w:val="000000"/>
          <w:position w:val="0"/>
        </w:rPr>
        <w:t xml:space="preserve">E1 </w:t>
      </w:r>
      <w:r>
        <w:rPr>
          <w:lang w:val="ru-RU" w:eastAsia="ru-RU" w:bidi="ru-RU"/>
          <w:w w:val="100"/>
          <w:spacing w:val="0"/>
          <w:color w:val="000000"/>
          <w:position w:val="0"/>
        </w:rPr>
        <w:t>для поддержа</w:t>
        <w:softHyphen/>
        <w:t>ния функционирования артериального протока. Стартовая доза — 0,05-0,1 мкг/кг/мин. Доза насыщения — 0,01-0,4 мкг/кг/мин (титрование дозы). Поддерживающая доза — 0,1 мкг/кг/мин, возможно уменьшение дозы на 50-90%. Потребность в инфузионной терапии и вспомога</w:t>
        <w:softHyphen/>
        <w:t>тельной вентиляции легких устанавливается после опреде</w:t>
        <w:softHyphen/>
        <w:t>ления газов крови.</w:t>
      </w:r>
      <w:r>
        <w:br w:type="page"/>
      </w:r>
    </w:p>
    <w:p>
      <w:pPr>
        <w:pStyle w:val="Style92"/>
        <w:widowControl w:val="0"/>
        <w:keepNext/>
        <w:keepLines/>
        <w:shd w:val="clear" w:color="auto" w:fill="auto"/>
        <w:bidi w:val="0"/>
        <w:spacing w:before="0" w:after="0"/>
        <w:ind w:left="520" w:right="0" w:hanging="240"/>
      </w:pPr>
      <w:bookmarkStart w:id="379" w:name="bookmark379"/>
      <w:r>
        <w:rPr>
          <w:lang w:val="ru-RU" w:eastAsia="ru-RU" w:bidi="ru-RU"/>
          <w:w w:val="100"/>
          <w:spacing w:val="0"/>
          <w:color w:val="000000"/>
          <w:position w:val="0"/>
        </w:rPr>
        <w:t>Хирургическая коррекция</w:t>
      </w:r>
      <w:bookmarkEnd w:id="379"/>
    </w:p>
    <w:p>
      <w:pPr>
        <w:pStyle w:val="Style30"/>
        <w:numPr>
          <w:ilvl w:val="0"/>
          <w:numId w:val="5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Чаще устанавливается анастомоз «бок в бок», чем кондуит. Если субаортальная область не изменена, дефект межжелудочковой перегородки обычно за</w:t>
        <w:softHyphen/>
        <w:t>крывают заплатой.</w:t>
      </w:r>
    </w:p>
    <w:p>
      <w:pPr>
        <w:pStyle w:val="Style30"/>
        <w:numPr>
          <w:ilvl w:val="0"/>
          <w:numId w:val="5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Когда имеется инфундибулярный тип дефекта меж</w:t>
        <w:softHyphen/>
        <w:t>желудочковой перегородки, инфундибулярная пере</w:t>
        <w:softHyphen/>
        <w:t>городка часто смещена и гипопластична. Следова</w:t>
        <w:softHyphen/>
        <w:t>тельно, выраженное субаортальное сужение трудно устранить с помощью простой резекции инфундибу</w:t>
        <w:softHyphen/>
        <w:t>лярной септальной мышцы. Возможны два альтерна</w:t>
        <w:softHyphen/>
        <w:t xml:space="preserve">тивных подхода: операция </w:t>
      </w:r>
      <w:r>
        <w:rPr>
          <w:lang w:val="en-US" w:eastAsia="en-US" w:bidi="en-US"/>
          <w:w w:val="100"/>
          <w:spacing w:val="0"/>
          <w:color w:val="000000"/>
          <w:position w:val="0"/>
        </w:rPr>
        <w:t xml:space="preserve">Ross-Konno </w:t>
      </w:r>
      <w:r>
        <w:rPr>
          <w:lang w:val="ru-RU" w:eastAsia="ru-RU" w:bidi="ru-RU"/>
          <w:w w:val="100"/>
          <w:spacing w:val="0"/>
          <w:color w:val="000000"/>
          <w:position w:val="0"/>
        </w:rPr>
        <w:t xml:space="preserve">и </w:t>
      </w:r>
      <w:r>
        <w:rPr>
          <w:lang w:val="en-US" w:eastAsia="en-US" w:bidi="en-US"/>
          <w:w w:val="100"/>
          <w:spacing w:val="0"/>
          <w:color w:val="000000"/>
          <w:position w:val="0"/>
        </w:rPr>
        <w:t xml:space="preserve">Norwood- Rastelli. </w:t>
      </w:r>
      <w:r>
        <w:rPr>
          <w:lang w:val="ru-RU" w:eastAsia="ru-RU" w:bidi="ru-RU"/>
          <w:w w:val="100"/>
          <w:spacing w:val="0"/>
          <w:color w:val="000000"/>
          <w:position w:val="0"/>
        </w:rPr>
        <w:t>В первом случае аортальную область оттока непосредственно увеличивают, аортальный клапан заменяют легочным аутотрансплантатом. Прокси</w:t>
        <w:softHyphen/>
        <w:t>мальную часть анастомозируют с восходящей аортой, дистальную часть связывают с правым желудочком через кондуит.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Амбулаторное наблюдение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После оперативной коррекции порока необходим по</w:t>
        <w:softHyphen/>
        <w:t>стоянный контроль кардиолога за состоянием развития па</w:t>
        <w:softHyphen/>
        <w:t>циента. Проводится контрольное допплерэхокардиографи</w:t>
        <w:softHyphen/>
        <w:t>ческое исследование.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numPr>
          <w:ilvl w:val="0"/>
          <w:numId w:val="5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Субаортальный и аортальный стеноз.</w:t>
      </w:r>
    </w:p>
    <w:p>
      <w:pPr>
        <w:pStyle w:val="Style30"/>
        <w:numPr>
          <w:ilvl w:val="0"/>
          <w:numId w:val="5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Резидуальный дефект межжелудочковой перегородки.</w:t>
      </w:r>
    </w:p>
    <w:p>
      <w:pPr>
        <w:pStyle w:val="Style30"/>
        <w:numPr>
          <w:ilvl w:val="0"/>
          <w:numId w:val="5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Стенозирование оперированного участка дуги аорты.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53"/>
        </w:numPr>
        <w:tabs>
          <w:tab w:leader="none" w:pos="516" w:val="left"/>
        </w:tabs>
        <w:widowControl w:val="0"/>
        <w:keepNext w:val="0"/>
        <w:keepLines w:val="0"/>
        <w:shd w:val="clear" w:color="auto" w:fill="auto"/>
        <w:bidi w:val="0"/>
        <w:jc w:val="left"/>
        <w:spacing w:before="0" w:after="237"/>
        <w:ind w:left="520" w:right="0" w:hanging="240"/>
      </w:pPr>
      <w:r>
        <w:rPr>
          <w:lang w:val="ru-RU" w:eastAsia="ru-RU" w:bidi="ru-RU"/>
          <w:w w:val="100"/>
          <w:spacing w:val="0"/>
          <w:color w:val="000000"/>
          <w:position w:val="0"/>
        </w:rPr>
        <w:t>В большинстве случаев при своевременно выполнен</w:t>
        <w:softHyphen/>
        <w:t>ной операции прогноз удовлетворительный.</w:t>
      </w:r>
    </w:p>
    <w:p>
      <w:pPr>
        <w:pStyle w:val="Style28"/>
        <w:widowControl w:val="0"/>
        <w:keepNext/>
        <w:keepLines/>
        <w:shd w:val="clear" w:color="auto" w:fill="auto"/>
        <w:bidi w:val="0"/>
        <w:jc w:val="left"/>
        <w:spacing w:before="0" w:after="153" w:line="220" w:lineRule="exact"/>
        <w:ind w:left="0" w:right="0" w:firstLine="0"/>
      </w:pPr>
      <w:bookmarkStart w:id="380" w:name="bookmark380"/>
      <w:r>
        <w:rPr>
          <w:lang w:val="ru-RU" w:eastAsia="ru-RU" w:bidi="ru-RU"/>
          <w:w w:val="100"/>
          <w:spacing w:val="0"/>
          <w:color w:val="000000"/>
          <w:position w:val="0"/>
        </w:rPr>
        <w:t>Сосудистые кольца</w:t>
      </w:r>
      <w:bookmarkEnd w:id="380"/>
    </w:p>
    <w:p>
      <w:pPr>
        <w:pStyle w:val="Style92"/>
        <w:widowControl w:val="0"/>
        <w:keepNext/>
        <w:keepLines/>
        <w:shd w:val="clear" w:color="auto" w:fill="auto"/>
        <w:bidi w:val="0"/>
        <w:spacing w:before="0" w:after="0"/>
        <w:ind w:left="520" w:right="0" w:hanging="240"/>
      </w:pPr>
      <w:bookmarkStart w:id="381" w:name="bookmark381"/>
      <w:r>
        <w:rPr>
          <w:lang w:val="ru-RU" w:eastAsia="ru-RU" w:bidi="ru-RU"/>
          <w:w w:val="100"/>
          <w:spacing w:val="0"/>
          <w:color w:val="000000"/>
          <w:position w:val="0"/>
        </w:rPr>
        <w:t>Определение</w:t>
      </w:r>
      <w:bookmarkEnd w:id="381"/>
    </w:p>
    <w:p>
      <w:pPr>
        <w:pStyle w:val="Style30"/>
        <w:numPr>
          <w:ilvl w:val="0"/>
          <w:numId w:val="5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Сосудистое кольцо — редкая врожденная аномалия, возникающая на раннем этапе развития дуги аорты и крупных сосудов. Первичная симптоматика, ассо</w:t>
        <w:softHyphen/>
        <w:t>циированная с сосудистыми кольцами, касается структур, окруженных кольцом, — трахеи и пищево</w:t>
        <w:softHyphen/>
        <w:t>да. Чем раньше диагностирован порок и проведено лечение, тем выше выживаемость пациентов. Ряд других сосудистых аномалий с вовлечением дуги аор - ты не формируют полного кольца, однако клиничес</w:t>
        <w:softHyphen/>
        <w:t>кая картина, обусловленная сдавлением трахеи и пи</w:t>
        <w:softHyphen/>
        <w:t>щевода, сходна с таковой при истинных сосудистых кольцах.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5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Сосудистое кольцо — достаточно редкая аномалия, составляющая менее 1% от всех врожденных пороков сердца. Порок с одинаковой частотой встречается у девочек и мальчиков.</w:t>
      </w:r>
    </w:p>
    <w:p>
      <w:pPr>
        <w:pStyle w:val="Style30"/>
        <w:numPr>
          <w:ilvl w:val="0"/>
          <w:numId w:val="5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Двумя наиболее частыми типами полных сосудистых колец являются двойная дуга аорты и правая дуга аор - ты с левой артериальной связкой. Данные пороки со</w:t>
        <w:softHyphen/>
        <w:t>ставляют 85-95% сосудистых колец.</w:t>
      </w:r>
    </w:p>
    <w:p>
      <w:pPr>
        <w:pStyle w:val="Style30"/>
        <w:numPr>
          <w:ilvl w:val="0"/>
          <w:numId w:val="5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Двумя крайне редко встречающимися (&lt;1%) форма</w:t>
        <w:softHyphen/>
        <w:t>ми полных сосудистых колец являются правая дуга аорты с зеркально расположенными ветвями и левой артериальной связкой и левая дуга аорты с ретроэзо- фагеальной правой подключичной артерией, право- расположенной нисходящей аортой и правой артери</w:t>
        <w:softHyphen/>
        <w:t>альной связкой.</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Другие аномалии не формируют полного анатомиче</w:t>
        <w:softHyphen/>
        <w:t>ского сосудистого кольца и включают аномальную безымянную артерию и ретроэзофагеальную правую подключичную артерию с леворасположенной аор</w:t>
        <w:softHyphen/>
        <w:t>той и левой артериальной связкой.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Этиология</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Формирование порока происходит на раннем этапе эмбрионального развития в результате регресса 1 из 6 эбриональных ветвей дуг. Сообщается об ассоциации делеции </w:t>
      </w:r>
      <w:r>
        <w:rPr>
          <w:lang w:val="en-US" w:eastAsia="en-US" w:bidi="en-US"/>
          <w:w w:val="100"/>
          <w:spacing w:val="0"/>
          <w:color w:val="000000"/>
          <w:position w:val="0"/>
        </w:rPr>
        <w:t>22q1</w:t>
      </w:r>
      <w:r>
        <w:rPr>
          <w:lang w:val="ru-RU" w:eastAsia="ru-RU" w:bidi="ru-RU"/>
          <w:w w:val="100"/>
          <w:spacing w:val="0"/>
          <w:color w:val="000000"/>
          <w:position w:val="0"/>
        </w:rPr>
        <w:t>1 с аномалией дуги аорты и другими врожденными пороками сердца.</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раннем эмбриональном развитии происходит за</w:t>
        <w:softHyphen/>
        <w:t>кладка дорсальной и вентральной дуг аорты. Данные дуги связаны 6 эмбриональными ветвями, из которых третья, четвертая и шестая задействованы в развитии дуги аорты, некоторых крупных сосудов, а также ар</w:t>
        <w:softHyphen/>
        <w:t>териального протока и главных легочных артерий.</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физиологическом развитии каждая примитив</w:t>
        <w:softHyphen/>
        <w:t>ная дуга или превращается в функционирующий со</w:t>
        <w:softHyphen/>
        <w:t>суд, или происходит ее инволюция:</w:t>
      </w:r>
    </w:p>
    <w:p>
      <w:pPr>
        <w:pStyle w:val="Style30"/>
        <w:numPr>
          <w:ilvl w:val="0"/>
          <w:numId w:val="51"/>
        </w:numPr>
        <w:tabs>
          <w:tab w:leader="none" w:pos="521"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первые и вторые дуги справа и слева участвуют в кровообращении лица;</w:t>
      </w:r>
    </w:p>
    <w:p>
      <w:pPr>
        <w:pStyle w:val="Style30"/>
        <w:numPr>
          <w:ilvl w:val="0"/>
          <w:numId w:val="51"/>
        </w:numPr>
        <w:tabs>
          <w:tab w:leader="none" w:pos="521"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третьи дуги развиваются в сонные артерии;</w:t>
      </w:r>
    </w:p>
    <w:p>
      <w:pPr>
        <w:pStyle w:val="Style30"/>
        <w:numPr>
          <w:ilvl w:val="0"/>
          <w:numId w:val="51"/>
        </w:numPr>
        <w:tabs>
          <w:tab w:leader="none" w:pos="521"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дорсальная аорта между третьими и четвертыми дугами подвергается инволюции;</w:t>
      </w:r>
    </w:p>
    <w:p>
      <w:pPr>
        <w:pStyle w:val="Style30"/>
        <w:numPr>
          <w:ilvl w:val="0"/>
          <w:numId w:val="51"/>
        </w:numPr>
        <w:tabs>
          <w:tab w:leader="none" w:pos="521"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четвертые дуги превращаются непосредственно в дугу аорты с ее ветвями. Проксимальная часть пра</w:t>
        <w:softHyphen/>
        <w:t>вой четвертой дуги развивается в правую подключич</w:t>
        <w:softHyphen/>
        <w:t>ную артерию. Дистальная часть правой четвертой ду</w:t>
        <w:softHyphen/>
        <w:t>ги редуцируется в месте присоединения к дорсальной дуге. Левая четвертая дуга превращается в дугу аорты.</w:t>
      </w:r>
    </w:p>
    <w:p>
      <w:pPr>
        <w:pStyle w:val="Style30"/>
        <w:numPr>
          <w:ilvl w:val="0"/>
          <w:numId w:val="51"/>
        </w:numPr>
        <w:tabs>
          <w:tab w:leader="none" w:pos="521"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пятые дуги редуцируются с двух сторон;</w:t>
      </w:r>
    </w:p>
    <w:p>
      <w:pPr>
        <w:pStyle w:val="Style30"/>
        <w:numPr>
          <w:ilvl w:val="0"/>
          <w:numId w:val="51"/>
        </w:numPr>
        <w:tabs>
          <w:tab w:leader="none" w:pos="521"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вентральная правая шестая дуга становится прок</w:t>
        <w:softHyphen/>
        <w:t>симальной правой легочной артерией. Вентральная часть левой шестой дуги развивается в левую легоч</w:t>
        <w:softHyphen/>
        <w:t>ную артерию, в то время как дорсальная часть превра</w:t>
        <w:softHyphen/>
        <w:t>щается в артериальный проток;</w:t>
      </w:r>
    </w:p>
    <w:p>
      <w:pPr>
        <w:pStyle w:val="Style30"/>
        <w:numPr>
          <w:ilvl w:val="0"/>
          <w:numId w:val="51"/>
        </w:numPr>
        <w:tabs>
          <w:tab w:leader="none" w:pos="521"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вся левая и дистальные отделы правой подклю</w:t>
        <w:softHyphen/>
        <w:t>чичных артерий образуются из седьмых сегменталь</w:t>
        <w:softHyphen/>
        <w:t>ных артериальных ветвей дорсальной аорты;</w:t>
      </w:r>
    </w:p>
    <w:p>
      <w:pPr>
        <w:pStyle w:val="Style30"/>
        <w:numPr>
          <w:ilvl w:val="0"/>
          <w:numId w:val="51"/>
        </w:numPr>
        <w:tabs>
          <w:tab w:leader="none" w:pos="521"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патологическое развитие дуги происходит при от</w:t>
        <w:softHyphen/>
        <w:t>сутствии необходимых инволюций или других изме</w:t>
        <w:softHyphen/>
        <w:t>нений эмбриональных структур.</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Двойная дуга аорты</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Классическая двойная дуга аорты развивается при от</w:t>
        <w:softHyphen/>
        <w:t>сутствии инволюции дистальной правой четвертой дуги. Четвертые правые и левые дуги сохраняются и присоединяются к леворасположенной нисходя</w:t>
        <w:softHyphen/>
        <w:t>щей аорте. В 30% случаев двойной дуги аорты ма</w:t>
        <w:softHyphen/>
        <w:t>ленький участок атрезированной дуги остается в со</w:t>
        <w:softHyphen/>
        <w:t>единении с нисходящей аортой, замыкая полное кольцо.</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Патология, ассоциированная с правой дугой аорты</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Правая дуга аорты образуется при инволюции левой четвертой ветви дуги, с развитием правой ветви. Пра</w:t>
        <w:softHyphen/>
        <w:t>вая дуга аорты встречается с частотой менее 1 случая на 100 000 населения и может существовать изолиро</w:t>
        <w:softHyphen/>
        <w:t>ванно в отсутствие других аномалий. Приблизитель</w:t>
        <w:softHyphen/>
        <w:t>но у 30% пациентов с тетрадой Фалло выявляется правая дуга аорты.</w:t>
      </w:r>
    </w:p>
    <w:p>
      <w:pPr>
        <w:pStyle w:val="Style30"/>
        <w:numPr>
          <w:ilvl w:val="0"/>
          <w:numId w:val="53"/>
        </w:numPr>
        <w:tabs>
          <w:tab w:leader="none" w:pos="238" w:val="left"/>
        </w:tabs>
        <w:widowControl w:val="0"/>
        <w:keepNext w:val="0"/>
        <w:keepLines w:val="0"/>
        <w:shd w:val="clear" w:color="auto" w:fill="auto"/>
        <w:bidi w:val="0"/>
        <w:spacing w:before="0" w:after="0"/>
        <w:ind w:left="280" w:right="0" w:hanging="280"/>
      </w:pPr>
      <w:r>
        <w:pict>
          <v:shape id="_x0000_s1268" type="#_x0000_t75" style="position:absolute;margin-left:147.85pt;margin-top:736.3pt;width:209.75pt;height:14.9pt;z-index:-125829217;mso-wrap-distance-left:147.85pt;mso-wrap-distance-right:136.8pt;mso-wrap-distance-bottom:10.8pt;mso-position-horizontal-relative:margin;mso-position-vertical-relative:margin" wrapcoords="0 0 21600 0 21600 21600 0 21600 0 0">
            <v:imagedata r:id="rId393" r:href="rId394"/>
            <w10:wrap type="topAndBottom" anchorx="margin" anchory="margin"/>
          </v:shape>
        </w:pict>
      </w:r>
      <w:r>
        <w:rPr>
          <w:lang w:val="ru-RU" w:eastAsia="ru-RU" w:bidi="ru-RU"/>
          <w:w w:val="100"/>
          <w:spacing w:val="0"/>
          <w:color w:val="000000"/>
          <w:position w:val="0"/>
        </w:rPr>
        <w:t>При правой дуге аорты положение левой подключич - ной артерии и артериального протока может варьиро -</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вать. Некоторые из этих конфигураций могут образо</w:t>
        <w:softHyphen/>
        <w:t>вывать сосудистые кольца.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Правая дуга аорты с аберрантной левой подключичной ар</w:t>
        <w:softHyphen/>
        <w:t>терией и левой артериальной связкой</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этой ситуации от правой дуги сначала отходит левая сонная артерия, которая идет впереди трахеи. Затем отделяется правая сонная артерия, сопровождаемая правой подключичной артерией, и, наконец, левая подключичная артерия, находящаяся в ретроэзофаге- альной позиции с артериальной связкой. Позиция, ко</w:t>
        <w:softHyphen/>
        <w:t>торую артериальная связка образует в соединении с ле</w:t>
        <w:softHyphen/>
        <w:t>вой или общей легочной артерией, замыкает кольцо.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Правая дуга аорты с зеркальным положением ветвей и ре- троэзофагеальной артериальной связкой</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этих случаях происходит частичная резорбция дис</w:t>
        <w:softHyphen/>
        <w:t>тальной части четвертой левой дуги.</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Затем следуют правая сонная и правая подключичная артерии. Артериальная связка — заключительная структура в этой последовательности. Связка образу</w:t>
        <w:softHyphen/>
        <w:t xml:space="preserve">ется из </w:t>
      </w:r>
      <w:r>
        <w:rPr>
          <w:lang w:val="en-US" w:eastAsia="en-US" w:bidi="en-US"/>
          <w:w w:val="100"/>
          <w:spacing w:val="0"/>
          <w:color w:val="000000"/>
          <w:position w:val="0"/>
        </w:rPr>
        <w:t xml:space="preserve">Kommerell </w:t>
      </w:r>
      <w:r>
        <w:rPr>
          <w:lang w:val="ru-RU" w:eastAsia="ru-RU" w:bidi="ru-RU"/>
          <w:w w:val="100"/>
          <w:spacing w:val="0"/>
          <w:color w:val="000000"/>
          <w:position w:val="0"/>
        </w:rPr>
        <w:t>дивертикула, который представля</w:t>
        <w:softHyphen/>
        <w:t>ет собой не подвергшийся резорбции остаток четвер</w:t>
        <w:softHyphen/>
        <w:t>той левой дуги и расположен в точке слияния правой дуги с проксимальным отделом нисходящей аорты. Связка проходит слева и позади пищевода и затем со</w:t>
        <w:softHyphen/>
        <w:t>единяется с левой легочной артерией, тем самым за</w:t>
        <w:softHyphen/>
        <w:t>мыкая кольцо.</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Наиболее часто при данном пороке артериальная связка отходит от зеркально расположенной безы</w:t>
        <w:softHyphen/>
        <w:t>мянной или левой подключичной артерии к левой ле</w:t>
        <w:softHyphen/>
        <w:t>гочной артерии. В таких ситуациях сосудистое кольцо будет неполным.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Сосудистые кольца, связанные с левой дугой аорты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Два чрезвычайно редко встречающихся полных кольца ассоциируются с левой дугой аорты и праворасположенной ее нисходящей частью.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Левая дуга аорты с праворасположенной нисходящей аор</w:t>
        <w:softHyphen/>
        <w:t>той и правой артериальной связкой</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Первым сосудом кольца является отходящая от левой дуги аорты правая общая сонная артерия, которая ле</w:t>
        <w:softHyphen/>
        <w:t>жит спереди трахеи. Следующая — левая сонная арте</w:t>
        <w:softHyphen/>
        <w:t>рия с левой подключичной артерией. Правая под</w:t>
        <w:softHyphen/>
        <w:t>ключичная артерия образуется дистальнее как ветвь проксимального отдела праворасположенной нисхо</w:t>
        <w:softHyphen/>
        <w:t>дящей аорты. Артериальная связка отходит от осно</w:t>
        <w:softHyphen/>
        <w:t>вания правой подключичной артерии или близлежа</w:t>
        <w:softHyphen/>
        <w:t>щего дивертикула и направляется к правой легочной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Левая дуга аорты с праворасположенной нисходящей аор</w:t>
        <w:softHyphen/>
        <w:t>той и атрезией правой дуги аорты</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Плечеголовной ствол является нормальной структу</w:t>
        <w:softHyphen/>
        <w:t>рой леворасположенной дуги аорты. Левая дуга про</w:t>
        <w:softHyphen/>
        <w:t>ходит позади пищевода и соединяется с правораспо</w:t>
        <w:softHyphen/>
        <w:t>ложенной нисходящей аортой. Атрезированная пра</w:t>
        <w:softHyphen/>
        <w:t>вая дуга заканчивает кольцо.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Патология дуги аорты с симптомами компрессии, но без анатомического кольца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Аномальная безымянная артерия</w:t>
      </w:r>
    </w:p>
    <w:p>
      <w:pPr>
        <w:pStyle w:val="Style30"/>
        <w:numPr>
          <w:ilvl w:val="0"/>
          <w:numId w:val="5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90% случаев, при которых симптомы сжатия трахеи связаны с безымянной артерией с помощью ангио</w:t>
        <w:softHyphen/>
        <w:t>графии, визуализируется сосуд с нормальным отхож</w:t>
        <w:softHyphen/>
        <w:t>дением от аорты. В данных ситуациях безымянная ар - терия отходит от более дистальных отделов леворас</w:t>
        <w:softHyphen/>
        <w:br w:type="column"/>
        <w:t>положенной дуги, чем в норме. Поскольку артерия проходит слева направо, то пересекает трахею спере</w:t>
        <w:softHyphen/>
        <w:t>ди и вызывает ее сжатие.</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Ретроэзофагеальная правая подключичная артерия с левой дугой аорты и левой артериальной связкой</w:t>
      </w:r>
    </w:p>
    <w:p>
      <w:pPr>
        <w:pStyle w:val="Style30"/>
        <w:numPr>
          <w:ilvl w:val="0"/>
          <w:numId w:val="5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Данный порок является самым распространенным среди сосудистых колец и встречается у 0,5% населе</w:t>
        <w:softHyphen/>
        <w:t>ния. При этом правая подключичная артерия не яв</w:t>
        <w:softHyphen/>
        <w:t>ляется ветвью безымянного ствола и правой сонной артерии, а отходит как плечеголовная ветвь от нисхо</w:t>
        <w:softHyphen/>
        <w:t>дящей аорты и следует ретроэзофагеально. Обычно расположенная артериальная связка находится слева. Если бы артериальная связка располагалась справа, а не слева, то она локализовалась бы между основа</w:t>
        <w:softHyphen/>
        <w:t>нием аномальной правой подключичной артерии и правой легочной артерии, и могло существовать полное кольцо. Но при данном пороке истинного полного сосудистого кольца не существует.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numPr>
          <w:ilvl w:val="0"/>
          <w:numId w:val="5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Несмотря на существенные отличия структурных ано - малий, при патологии дуги аорты имеется одна общая особенность. При всех пороках отмечается компрес</w:t>
        <w:softHyphen/>
        <w:t>сия основных структур дыхательных путей и/или пи</w:t>
        <w:softHyphen/>
        <w:t>щевода. Местоположение и выраженность компрес</w:t>
        <w:softHyphen/>
        <w:t>сии зависят от вида порока. Чем более выражена ком</w:t>
        <w:softHyphen/>
        <w:t>прессия, тем раньше манифестирует заболевание.</w:t>
      </w:r>
    </w:p>
    <w:p>
      <w:pPr>
        <w:pStyle w:val="Style30"/>
        <w:numPr>
          <w:ilvl w:val="0"/>
          <w:numId w:val="5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Трахеальная или трахеобронхиальная маляция и сте</w:t>
        <w:softHyphen/>
        <w:t>ноз могут развиваться в местах с самой большой сте</w:t>
        <w:softHyphen/>
        <w:t>пенью сжатия. Это особенно выражено при аномалии левой легочной артерии.</w:t>
      </w:r>
    </w:p>
    <w:p>
      <w:pPr>
        <w:pStyle w:val="Style30"/>
        <w:numPr>
          <w:ilvl w:val="0"/>
          <w:numId w:val="53"/>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 сочетании с аномалиями дуги аорты могут присут</w:t>
        <w:softHyphen/>
        <w:t>ствовать другие врожденные пороки сердца.</w:t>
      </w:r>
    </w:p>
    <w:p>
      <w:pPr>
        <w:pStyle w:val="Style30"/>
        <w:numPr>
          <w:ilvl w:val="0"/>
          <w:numId w:val="5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выявлении правой дуги аорты нужно исключить наличие других врожденных пороков сердца. Правая дуга аорты в 34% случаев сочетается с тетрадой Фал- ло. Возможно сочетание с двойным отхождением со</w:t>
        <w:softHyphen/>
        <w:t>судов от правого желудочка, общим артериальным стволом, дефектом межжелудочковой перегородки с легочной атрезией, транспозицией магистральных сосудов, атрезией трехстворчатого клапана, отсут</w:t>
        <w:softHyphen/>
        <w:t>ствием левой легочной артерии.</w:t>
      </w:r>
    </w:p>
    <w:p>
      <w:pPr>
        <w:pStyle w:val="Style30"/>
        <w:numPr>
          <w:ilvl w:val="0"/>
          <w:numId w:val="5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Аномалия левой легочной артерии сочетается с дру</w:t>
        <w:softHyphen/>
        <w:t>гими пороками сердца в 50% случаев. К ним относят</w:t>
        <w:softHyphen/>
        <w:t>ся вышеупомянутые пороки, а также персистирую- щая верхняя левая полая вена, дефект межпредсерд</w:t>
        <w:softHyphen/>
        <w:t>ной и межжелудочковой перегородки. Полное трахе</w:t>
        <w:softHyphen/>
        <w:t>альное кольцо (врожденное отсутствие мембраноз</w:t>
        <w:softHyphen/>
        <w:t>ной части трахеи) приводит к стенозу трахеи и встре</w:t>
        <w:softHyphen/>
        <w:t xml:space="preserve">чается у 50% младенцев с аномалией левой легочной артерии. Комбинация этих 2 пороков называется </w:t>
      </w:r>
      <w:r>
        <w:rPr>
          <w:lang w:val="en-US" w:eastAsia="en-US" w:bidi="en-US"/>
          <w:w w:val="100"/>
          <w:spacing w:val="0"/>
          <w:color w:val="000000"/>
          <w:position w:val="0"/>
        </w:rPr>
        <w:t xml:space="preserve">ring-sling </w:t>
      </w:r>
      <w:r>
        <w:rPr>
          <w:lang w:val="ru-RU" w:eastAsia="ru-RU" w:bidi="ru-RU"/>
          <w:w w:val="100"/>
          <w:spacing w:val="0"/>
          <w:color w:val="000000"/>
          <w:position w:val="0"/>
        </w:rPr>
        <w:t>комплексом.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numPr>
          <w:ilvl w:val="0"/>
          <w:numId w:val="5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Клиническая картина заболевания обусловлена ком</w:t>
        <w:softHyphen/>
        <w:t>прессией сосудистыми кольцами дыхательных путей или пищевода. Пациенты с узким или напряженным кольцом испытывают выраженную компрессию тра</w:t>
        <w:softHyphen/>
        <w:t>хеи и/или пищевода. Симптомы заболевания прояв</w:t>
        <w:softHyphen/>
        <w:t>ляются рано.</w:t>
      </w:r>
    </w:p>
    <w:p>
      <w:pPr>
        <w:pStyle w:val="Style30"/>
        <w:numPr>
          <w:ilvl w:val="0"/>
          <w:numId w:val="53"/>
        </w:numPr>
        <w:tabs>
          <w:tab w:leader="none" w:pos="515" w:val="left"/>
        </w:tabs>
        <w:widowControl w:val="0"/>
        <w:keepNext w:val="0"/>
        <w:keepLines w:val="0"/>
        <w:shd w:val="clear" w:color="auto" w:fill="auto"/>
        <w:bidi w:val="0"/>
        <w:spacing w:before="0" w:after="0"/>
        <w:ind w:left="520" w:right="0" w:hanging="240"/>
      </w:pPr>
      <w:r>
        <w:pict>
          <v:shape id="_x0000_s1269" type="#_x0000_t75" style="position:absolute;margin-left:136.55pt;margin-top:736.3pt;width:209.75pt;height:14.9pt;z-index:-125829216;mso-wrap-distance-left:136.55pt;mso-wrap-distance-right:148.1pt;mso-wrap-distance-bottom:10.8pt;mso-position-horizontal-relative:margin;mso-position-vertical-relative:margin" wrapcoords="0 0 21600 0 21600 21600 0 21600 0 0">
            <v:imagedata r:id="rId395" r:href="rId396"/>
            <w10:wrap type="topAndBottom" anchorx="margin" anchory="margin"/>
          </v:shape>
        </w:pict>
      </w:r>
      <w:r>
        <w:rPr>
          <w:lang w:val="ru-RU" w:eastAsia="ru-RU" w:bidi="ru-RU"/>
          <w:w w:val="100"/>
          <w:spacing w:val="0"/>
          <w:color w:val="000000"/>
          <w:position w:val="0"/>
        </w:rPr>
        <w:t>У большинства пациентов с сосудистыми кольцами заболевание манифестирует в младенчестве или в раннем детском возрасте. Однако в некоторых слу</w:t>
        <w:softHyphen/>
        <w:t>чаях симптомы могут отсутствовать.</w:t>
      </w:r>
      <w:r>
        <w:br w:type="page"/>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Как правило, отмечаются стридор, цианоз, респира</w:t>
        <w:softHyphen/>
        <w:t>торный дистресс-синдром, асфиксия и/или характер</w:t>
        <w:softHyphen/>
        <w:t>ный частый кашель. Может наблюдаться клиника ас</w:t>
        <w:softHyphen/>
        <w:t>тмы, пневмонии, дисфагии. В некоторых случаях симптомы компрессии дыхательных путей ухудша</w:t>
        <w:softHyphen/>
        <w:t>ются при вскармливании. У некоторых младенцев с выраженной обструкцией наблюдается втяжение межреберных промежутков при дыхании. У других отмечается вынужденное положение, при котором голова запрокинута назад для улучшения дыхания и минимизирования обструкции. В ряде случаев при тяжелом течении заболевания может встречаться чрезмерное расширение одного или обоих легких.</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Признаки обструкции дыхательных путей преоблада</w:t>
        <w:softHyphen/>
        <w:t>ют у пациентов с манифестацией заболевания в мла</w:t>
        <w:softHyphen/>
        <w:t>денчестве или на первых годах жизни. Дисфагия и симптомы сдавления пищевода обычно встречают</w:t>
        <w:softHyphen/>
        <w:t>ся у старших детей и взрослых.</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Двойная дуга аорты — порок развития сосуда, приво - дящий к наиболее выраженной компрессии дыха</w:t>
        <w:softHyphen/>
        <w:t>тельных путей у пациентов раннего возраста. При втором наиболее часто встречающемся пороке — правой дуге аорты с левой артериальной связкой и ре- троэзофагеальной подключичной артерией — симп</w:t>
        <w:softHyphen/>
        <w:t>томы могут как дебютировать уже в младенчестве, так и отсутствовать достаточно долго.</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Хотя пациенты с врожденными пороками сердца мо</w:t>
        <w:softHyphen/>
        <w:t>гут иметь и другие симптомы, наиболее выражена клиника, связанная с компрессией дыхательных пу</w:t>
        <w:softHyphen/>
        <w:t>тей сосудистым кольцом.</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Необходимо принимать во внимание, что некоторые пациенты с полным сосудистым кольцом остаются бессимптомными. В таких случаях диагноз устанав</w:t>
        <w:softHyphen/>
        <w:t>ливается случайно при медосмотре.</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случайном обнаружении левой дуги аорты с рет- роэзофагеальной правой подключичной артерией у пациента с дисфагией необходимо проведение до</w:t>
        <w:softHyphen/>
        <w:t>полнительных обследований, так как данный порок редко является причиной эзофагеальной симптома</w:t>
        <w:softHyphen/>
        <w:t>тики.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Рентгенография:</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Поскольку первые симптомы бывают связаны с нару</w:t>
        <w:softHyphen/>
        <w:t>шением дыхания, наиболее часто первым диагности</w:t>
        <w:softHyphen/>
        <w:t>ческим методом является рентгенография грудной клетки, на которой возможна визуализация позиции дуги аорты.</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Идентификация правой дуги аорты на рентгенограм - ме грудной клетки у ребенка с нарушением дыхания, респираторным дистресс-синдромом или дисфагией должна насторожить клинициста по поводу возмож</w:t>
        <w:softHyphen/>
        <w:t>ности наличия сосудистого кольца.</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Неточно указанное расположение дуги часто наблю</w:t>
        <w:softHyphen/>
        <w:t>дается у пациентов с двойной дугой аорты. Этот факт должен насторожить врача в плане диагностики ано</w:t>
        <w:softHyphen/>
        <w:t>малии дуги аорты у симптоматичных детей.</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 другим рентгенографическим признакам, которые могут быть выявлены при сосудистых кольцах, отно</w:t>
        <w:softHyphen/>
        <w:t>сят сжатие трахеи и гиперинфляцию и/или ателектаз некоторых долей легких.</w:t>
      </w:r>
    </w:p>
    <w:p>
      <w:pPr>
        <w:pStyle w:val="Style30"/>
        <w:numPr>
          <w:ilvl w:val="0"/>
          <w:numId w:val="5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Возможна гиперинфляция правого легкого, связан - ная с аномальной левой легочной артерией.</w:t>
      </w:r>
    </w:p>
    <w:p>
      <w:pPr>
        <w:pStyle w:val="Style30"/>
        <w:widowControl w:val="0"/>
        <w:keepNext w:val="0"/>
        <w:keepLines w:val="0"/>
        <w:shd w:val="clear" w:color="auto" w:fill="auto"/>
        <w:bidi w:val="0"/>
        <w:spacing w:before="0" w:after="0" w:line="211" w:lineRule="exact"/>
        <w:ind w:left="280" w:right="0" w:hanging="280"/>
      </w:pPr>
      <w:r>
        <w:br w:type="column"/>
      </w:r>
      <w:r>
        <w:rPr>
          <w:lang w:val="ru-RU" w:eastAsia="ru-RU" w:bidi="ru-RU"/>
          <w:w w:val="100"/>
          <w:spacing w:val="0"/>
          <w:color w:val="000000"/>
          <w:position w:val="0"/>
        </w:rPr>
        <w:t>Рентгенография пищевода с барием:</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Большинство специалистов полагают, что рентгено</w:t>
        <w:softHyphen/>
        <w:t>графия пищевода с барием наиболее важна у пациен</w:t>
        <w:softHyphen/>
        <w:t>тов с подозрением на сосудистое кольцо и во многих случаях облегчает диагностику.</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Двойная дуга аорты приводит к билатеральной и задней компрессии, не зависимой от перистальтики. Правое углубление расположено обычно немного выше, чем левое. Сзади компрессия обычно довольно широкая и проходит в нисходящем направлении справа налево.</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У пациентов с ретроэзофагеальной правой подключил - ной артерией имеется задний дефект, отклоняющийся вверх слева направо. Задний дефект в этих случаях обычно не столь широк, как при двойной дуге аорты.</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При аномальной левой легочной артерии определя</w:t>
        <w:softHyphen/>
        <w:t>ется характерный дефект передней стенки пищевода на уровне бифуркации трахеи. Задняя компрессия не определяется.</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В случаях аномально расположенной безымянной ар - терии с трахеальной компрессией рентгенограмма пищевода без патологии.</w:t>
      </w:r>
    </w:p>
    <w:p>
      <w:pPr>
        <w:pStyle w:val="Style30"/>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Эхокардиография и цветная допплерография:</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Эхокардиография получила широкое распростране</w:t>
        <w:softHyphen/>
        <w:t>ние в диагностике сосудистых колец.</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Возможно использование эхокардиографии вместо легочной ангиографии для выявления аномальной левой легочной артерии. Эхо-КГ применяется в диа</w:t>
        <w:softHyphen/>
        <w:t>гностике врожденных пороков сердца.</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Использование цветной допплерографии ограничено при визуализации структур, не имеющих кровотока, таких как артериальная связка, атрезированная дуга.</w:t>
      </w:r>
    </w:p>
    <w:p>
      <w:pPr>
        <w:pStyle w:val="Style30"/>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Компьютерная томография и ЯМР:</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Позволяют установить позиции сосудистых, трахео</w:t>
        <w:softHyphen/>
        <w:t>бронхиальных и эзофагеальных структур и их отно</w:t>
        <w:softHyphen/>
        <w:t>шение друг к другу.</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Хотя данные методики и обеспечивают высокий уро - вень диагностики, они должны применяться при не</w:t>
        <w:softHyphen/>
        <w:t>возможности получения результата с использованием контрастной рентгенографии пищевода. ЯМР может применяться вместо ангиографии.</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Все эти методы обладают некоторыми недостатками. При применении КТ и ЯМР пациент подвергается ра</w:t>
        <w:softHyphen/>
        <w:t>диационному облучению и требуется внутривенное вве</w:t>
        <w:softHyphen/>
        <w:t>дение контраста. При проведении ЯМР у детей раннего возраста приходится использовать медикаментозную седацию, что может быть опасно у пациентов с ком</w:t>
        <w:softHyphen/>
        <w:t>прессией дыхательных путей. Необходимо учитывать высокую стоимость данных методов обследования.</w:t>
      </w:r>
    </w:p>
    <w:p>
      <w:pPr>
        <w:pStyle w:val="Style30"/>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Аортография и катетеризация сердца:</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В прошлом аортография выполнялась в ряде случаев с целью идентификации сосудов аномальной дуги.</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В настоящее время считается, что в большинстве случа</w:t>
        <w:softHyphen/>
        <w:t>ев метод мало добавляет к информации, полученной при контрастной рентгенографии пищевода. Если тре</w:t>
        <w:softHyphen/>
        <w:t>буется дополнительная диагностика, то применяются компьютерная томография или ЯМР. Однако в некото</w:t>
        <w:softHyphen/>
        <w:t>рых ситуациях при редких аномалиях дуги аортография является единственным методом, способным иденти</w:t>
        <w:softHyphen/>
        <w:t>фицировать точную анатомическую конфигурацию со</w:t>
        <w:softHyphen/>
        <w:t>судов. Аортографию следует проводить только после ис</w:t>
        <w:softHyphen/>
        <w:t>пользования неинвазивных методов обследования.</w:t>
      </w:r>
    </w:p>
    <w:p>
      <w:pPr>
        <w:pStyle w:val="Style30"/>
        <w:numPr>
          <w:ilvl w:val="0"/>
          <w:numId w:val="53"/>
        </w:numPr>
        <w:tabs>
          <w:tab w:leader="none" w:pos="237" w:val="left"/>
        </w:tabs>
        <w:widowControl w:val="0"/>
        <w:keepNext w:val="0"/>
        <w:keepLines w:val="0"/>
        <w:shd w:val="clear" w:color="auto" w:fill="auto"/>
        <w:bidi w:val="0"/>
        <w:spacing w:before="0" w:after="0" w:line="211" w:lineRule="exact"/>
        <w:ind w:left="280" w:right="0" w:hanging="280"/>
      </w:pPr>
      <w:r>
        <w:pict>
          <v:shape id="_x0000_s1270" type="#_x0000_t75" style="position:absolute;margin-left:141.6pt;margin-top:736.3pt;width:209.75pt;height:14.9pt;z-index:-125829215;mso-wrap-distance-left:135.35pt;mso-wrap-distance-right:136.8pt;mso-wrap-distance-bottom:10.8pt;mso-position-horizontal-relative:margin;mso-position-vertical-relative:margin" wrapcoords="0 0 21600 0 21600 21600 0 21600 0 0">
            <v:imagedata r:id="rId397" r:href="rId398"/>
            <w10:wrap type="topAndBottom" anchorx="margin" anchory="margin"/>
          </v:shape>
        </w:pict>
      </w:r>
      <w:r>
        <w:rPr>
          <w:lang w:val="ru-RU" w:eastAsia="ru-RU" w:bidi="ru-RU"/>
          <w:w w:val="100"/>
          <w:spacing w:val="0"/>
          <w:color w:val="000000"/>
          <w:position w:val="0"/>
        </w:rPr>
        <w:t>Катетеризация сердца применяется при установлен</w:t>
        <w:softHyphen/>
        <w:t>ных или подозреваемых пороках сердца.</w:t>
      </w:r>
      <w:r>
        <w:br w:type="page"/>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Бронхоскопия: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Бронхоскопия используется у детей с симптомами обструкции или компрессии дыхательных путей. Ме</w:t>
        <w:softHyphen/>
        <w:t>тод наиболее часто используется в диагностике ано</w:t>
        <w:softHyphen/>
        <w:t>мально расположенной безымянной артерии и редко применяется в установлении диагноза различных ти</w:t>
        <w:softHyphen/>
        <w:t>пов полных сосудистых колец.</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сосудистом кольце наблюдается пульсирующая трахеальная компрессия. У детей компрессия дыха</w:t>
        <w:softHyphen/>
        <w:t>тельных путей сосудом не мешает свободному про</w:t>
        <w:softHyphen/>
        <w:t>хождению бронхоскопа.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случае аномально расположенной безымянной ар</w:t>
        <w:softHyphen/>
        <w:t>терии пульсация наблюдается на передней стенке трахеи, соответствующей области компрессии.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 проводится.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 сосудистых колец — един</w:t>
        <w:softHyphen/>
        <w:t>ственная радикальная форма лечения. Операция должна быть выполнена как можно быстрее после ус</w:t>
        <w:softHyphen/>
        <w:t>тановления диагноза, особенно у пациентов со стри- дором, асфиксией или другими признаками респира</w:t>
        <w:softHyphen/>
        <w:t>торного дистресс-синдрома. Задержка операционно</w:t>
        <w:softHyphen/>
        <w:t>го вмешательства может привести к тяжелым ослож</w:t>
        <w:softHyphen/>
        <w:t>нениям. Для разделения сосудистого кольца в боль</w:t>
        <w:softHyphen/>
        <w:t>шинстве случаев применяется левосторонняя торако</w:t>
        <w:softHyphen/>
        <w:t>томия. При аномальной левой легочной артерии ра</w:t>
        <w:softHyphen/>
        <w:t>нее использовалась левосторонняя торакотомия. При чрезвычайно редких аномалиях, связанных с ле</w:t>
        <w:softHyphen/>
        <w:t>вой дугой аорты и правой нисходящей аортой, ис</w:t>
        <w:softHyphen/>
        <w:t>пользуется правосторонняя торакотомия.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Разделение двойной дуги аорты</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Доступ производят слева через четвертый межребер</w:t>
        <w:softHyphen/>
        <w:t>ный промежуток. Открывают медиастинальную пле</w:t>
        <w:softHyphen/>
        <w:t>вру и осматривают компоненты сосудистого кольца.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Правая или задняя дуга не требует мобилизации, если она не меньше и не требует разделения.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случаях двойной дуги аорты разделяют недомини</w:t>
        <w:softHyphen/>
        <w:t>рующую или меньшую дугу. Атрезированная дуга яв</w:t>
        <w:softHyphen/>
        <w:t>ляется очевидным выбором для разделения. Типич</w:t>
        <w:softHyphen/>
        <w:t>ный участок для разделения меньшей или атрезиро- ванной дуги — точка соединения с нисходящей аор</w:t>
        <w:softHyphen/>
        <w:t>той.</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Разделение выбранной дуги производят между сосу</w:t>
        <w:softHyphen/>
        <w:t>дистыми зажимами. До разделения должен быть оце</w:t>
        <w:softHyphen/>
        <w:t>нен пульс правой и левой сонной и радиальных арте</w:t>
        <w:softHyphen/>
        <w:t>рий. Уменьшение или отсутствие пульса в одной или нескольких из этих точек указывает, что разделение дуги в выбранном положении приведет к прерыва</w:t>
        <w:softHyphen/>
        <w:t>нию кровотока в данной области. В таких случаях должен быть выбран другой участок для разделения.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 разделения одной из двух дуг равного размера должна быть оценена дистальная перфузия.</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Концы разделенной дуги должны быть сшиты сосу</w:t>
        <w:softHyphen/>
        <w:t>дистым швом.</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Также должны быть разделены артериальная связка и любые другие фиброзные структуры вокруг трахеи или пищевода.</w:t>
      </w:r>
    </w:p>
    <w:p>
      <w:pPr>
        <w:pStyle w:val="Style30"/>
        <w:numPr>
          <w:ilvl w:val="0"/>
          <w:numId w:val="5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 осторожностью выделяют блуждающий и возврат</w:t>
        <w:softHyphen/>
        <w:t>ный гортанный нервы. Закрытие медиастинальной плевры не производят с целью избежания адгезии в области трахеи и пищевода.</w:t>
      </w:r>
    </w:p>
    <w:p>
      <w:pPr>
        <w:pStyle w:val="Style92"/>
        <w:widowControl w:val="0"/>
        <w:keepNext/>
        <w:keepLines/>
        <w:shd w:val="clear" w:color="auto" w:fill="auto"/>
        <w:bidi w:val="0"/>
        <w:spacing w:before="0" w:after="0"/>
        <w:ind w:left="0" w:right="0" w:firstLine="280"/>
      </w:pPr>
      <w:r>
        <w:br w:type="column"/>
      </w:r>
      <w:bookmarkStart w:id="382" w:name="bookmark382"/>
      <w:r>
        <w:rPr>
          <w:lang w:val="ru-RU" w:eastAsia="ru-RU" w:bidi="ru-RU"/>
          <w:w w:val="100"/>
          <w:spacing w:val="0"/>
          <w:color w:val="000000"/>
          <w:position w:val="0"/>
        </w:rPr>
        <w:t>Разделение сосудистого кольца с правой дугой аорты</w:t>
      </w:r>
      <w:bookmarkEnd w:id="382"/>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полных сосудистых кольцах с правой дугой аор</w:t>
        <w:softHyphen/>
        <w:t>ты разделению подвергается артериальная связка.</w:t>
      </w:r>
    </w:p>
    <w:p>
      <w:pPr>
        <w:pStyle w:val="Style30"/>
        <w:numPr>
          <w:ilvl w:val="0"/>
          <w:numId w:val="5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Производят левую торакотомию.</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Должны четко визуализироваться блуждающий и возвратный нервы с целью обеспечения их сохран</w:t>
        <w:softHyphen/>
        <w:t>ности.</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Связка разделяется между сосудистыми зажимами и концы сшиваются. Также должны быть разделены любые фиброзные и адгезивные структуры в этой об</w:t>
        <w:softHyphen/>
        <w:t>ласти.</w:t>
      </w:r>
    </w:p>
    <w:p>
      <w:pPr>
        <w:pStyle w:val="Style30"/>
        <w:numPr>
          <w:ilvl w:val="0"/>
          <w:numId w:val="5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случаях правой дуги аорты с зеркальным располо</w:t>
        <w:softHyphen/>
        <w:t xml:space="preserve">жением и ретроэзофагеальной артериальной связкой может выявляться аневризматический </w:t>
      </w:r>
      <w:r>
        <w:rPr>
          <w:lang w:val="en-US" w:eastAsia="en-US" w:bidi="en-US"/>
          <w:w w:val="100"/>
          <w:spacing w:val="0"/>
          <w:color w:val="000000"/>
          <w:position w:val="0"/>
        </w:rPr>
        <w:t xml:space="preserve">Kommerell </w:t>
      </w:r>
      <w:r>
        <w:rPr>
          <w:lang w:val="ru-RU" w:eastAsia="ru-RU" w:bidi="ru-RU"/>
          <w:w w:val="100"/>
          <w:spacing w:val="0"/>
          <w:color w:val="000000"/>
          <w:position w:val="0"/>
        </w:rPr>
        <w:t>ди</w:t>
        <w:softHyphen/>
        <w:t>вертикул. При этом дивертикул резецируется и сши</w:t>
        <w:softHyphen/>
        <w:t>вается или мобилизируется с нисходящей аортой. Данная манипуляция должна быть выполнена, так как дивертикул может вносить вклад в компрессию трахеи и пищевода. Некоторые авторы в данных слу</w:t>
        <w:softHyphen/>
        <w:t>чаях предлагают разделение аберрантной левой под</w:t>
        <w:softHyphen/>
        <w:t>ключичной артерии, однако при этом купирование симптомов, вызванных сосудистым кольцом, проис</w:t>
        <w:softHyphen/>
        <w:t>ходит очень редко и может в дальнейшем привести к развитию синдрома обкрадывания в подключичной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Серьезные хирургические осложнения встречаются ред</w:t>
        <w:softHyphen/>
        <w:t>ко. Большинство осложнений происходят в дооперацион</w:t>
        <w:softHyphen/>
        <w:t>ном периоде и могут возникать еще до установки диагноза. Наиболее часто они связаны с обструкцией дыхательных путей.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 связанные с самой операцией, как прави</w:t>
        <w:softHyphen/>
        <w:t>ло, редки. Возможно повреждение диафрагмального, блуж</w:t>
        <w:softHyphen/>
        <w:t>дающего или возвратного гортанного нерва. Также возмож</w:t>
        <w:softHyphen/>
        <w:t>но повреждение грудного протока. Поздние сосудистые ос</w:t>
        <w:softHyphen/>
        <w:t>ложнения, такие как синдром обкрадывания в подключич</w:t>
        <w:softHyphen/>
        <w:t>ной артерии, могут отмечаться в случаях разделения ретро</w:t>
        <w:softHyphen/>
        <w:t>эзофагеальной подключичной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Редкие случаи, при которых сохраняются симптомы об</w:t>
        <w:softHyphen/>
        <w:t>струкции дыхательных путей, могут требовать резекции размягченной части трахеи или бронха или более сложной операции трахеопластики.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Приблизительно 95% пациентов, подвергшихся хирур</w:t>
        <w:softHyphen/>
        <w:t>гической коррекции сосудистого кольца, имеют хорошие результаты операции, и большинство из них бессимптом</w:t>
        <w:softHyphen/>
        <w:t>ны. Отдаленные осложнения могут возникать у пациентов с аномальной левой легочной артерией с/без полными тра</w:t>
        <w:softHyphen/>
        <w:t>хеальными кольцами и у детей с врожденными пороками сердца.</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У некоторых пациентов после операции в течение ряда лет наблюдаются нарушения функции дыхания. В некото</w:t>
        <w:softHyphen/>
        <w:t>рых публикациях сообщается, что до 50% пациентов имеют остаточные обструктивные изменения дыхательных путей в течение 7-8 лет после операции.</w:t>
      </w:r>
    </w:p>
    <w:p>
      <w:pPr>
        <w:pStyle w:val="Style28"/>
        <w:widowControl w:val="0"/>
        <w:keepNext/>
        <w:keepLines/>
        <w:shd w:val="clear" w:color="auto" w:fill="auto"/>
        <w:bidi w:val="0"/>
        <w:jc w:val="left"/>
        <w:spacing w:before="0" w:after="157" w:line="220" w:lineRule="exact"/>
        <w:ind w:left="0" w:right="0" w:firstLine="0"/>
      </w:pPr>
      <w:bookmarkStart w:id="383" w:name="bookmark383"/>
      <w:r>
        <w:rPr>
          <w:lang w:val="ru-RU" w:eastAsia="ru-RU" w:bidi="ru-RU"/>
          <w:w w:val="100"/>
          <w:spacing w:val="0"/>
          <w:color w:val="000000"/>
          <w:position w:val="0"/>
        </w:rPr>
        <w:t>Стеноз легочной артерии</w:t>
      </w:r>
      <w:bookmarkEnd w:id="383"/>
    </w:p>
    <w:p>
      <w:pPr>
        <w:pStyle w:val="Style30"/>
        <w:widowControl w:val="0"/>
        <w:keepNext w:val="0"/>
        <w:keepLines w:val="0"/>
        <w:shd w:val="clear" w:color="auto" w:fill="auto"/>
        <w:bidi w:val="0"/>
        <w:spacing w:before="0" w:after="0"/>
        <w:ind w:left="0" w:right="0" w:firstLine="280"/>
      </w:pPr>
      <w:r>
        <w:pict>
          <v:shape id="_x0000_s1271" type="#_x0000_t75" style="position:absolute;margin-left:130.7pt;margin-top:736.3pt;width:209.75pt;height:14.9pt;z-index:-125829214;mso-wrap-distance-left:124.8pt;mso-wrap-distance-right:148.1pt;mso-wrap-distance-bottom:10.8pt;mso-position-horizontal-relative:margin;mso-position-vertical-relative:margin" wrapcoords="0 0 21600 0 21600 21600 0 21600 0 0">
            <v:imagedata r:id="rId399" r:href="rId400"/>
            <w10:wrap type="topAndBottom" anchorx="margin" anchory="margin"/>
          </v:shape>
        </w:pict>
      </w:r>
      <w:r>
        <w:rPr>
          <w:lang w:val="ru-RU" w:eastAsia="ru-RU" w:bidi="ru-RU"/>
          <w:w w:val="100"/>
          <w:spacing w:val="0"/>
          <w:color w:val="000000"/>
          <w:position w:val="0"/>
        </w:rPr>
        <w:t>Стеноз легочной артерии может быть клапанным, под</w:t>
        <w:softHyphen/>
        <w:t>клапанным (инфундибулярным) и надклапанным. При этом пороке происходит обструкция выходного тракта правого желудочка.</w:t>
      </w:r>
      <w:r>
        <w:br w:type="page"/>
      </w:r>
    </w:p>
    <w:p>
      <w:pPr>
        <w:pStyle w:val="Style92"/>
        <w:widowControl w:val="0"/>
        <w:keepNext/>
        <w:keepLines/>
        <w:shd w:val="clear" w:color="auto" w:fill="auto"/>
        <w:bidi w:val="0"/>
        <w:spacing w:before="0" w:after="0"/>
        <w:ind w:left="520" w:right="0" w:hanging="240"/>
      </w:pPr>
      <w:bookmarkStart w:id="384" w:name="bookmark384"/>
      <w:r>
        <w:rPr>
          <w:lang w:val="ru-RU" w:eastAsia="ru-RU" w:bidi="ru-RU"/>
          <w:w w:val="100"/>
          <w:spacing w:val="0"/>
          <w:color w:val="000000"/>
          <w:position w:val="0"/>
        </w:rPr>
        <w:t>Частота</w:t>
      </w:r>
      <w:bookmarkEnd w:id="38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Стеноз легочной артерии наблюдается в 8-12% среди всех ВПС. Изолированный стеноз легочной артерии — вто</w:t>
        <w:softHyphen/>
        <w:t>рой по частоте ВПС у детей. В сочетании с другими порока</w:t>
        <w:softHyphen/>
        <w:t>ми сердца составляет более 50% всех ВПС.</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Стеноз легочной артерии встречается с одинаковой час</w:t>
        <w:softHyphen/>
        <w:t>тотой у мальчиков и девочек.</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Обычно стеноз легочной артерии выявляется с периода новорожденности.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numPr>
          <w:ilvl w:val="0"/>
          <w:numId w:val="5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 большинстве случаев заболевание имеет мульти - факториальное происхождение.</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Стеноз легочной артерии может служить сторожевым фенотипом при многих формах наследственной пато - логии, сопровождающихся лентигинозом: синдромы </w:t>
      </w:r>
      <w:r>
        <w:rPr>
          <w:lang w:val="en-US" w:eastAsia="en-US" w:bidi="en-US"/>
          <w:w w:val="100"/>
          <w:spacing w:val="0"/>
          <w:color w:val="000000"/>
          <w:position w:val="0"/>
        </w:rPr>
        <w:t>LEOPARD, Watson, Meckel-Gruber, Carpenter, Noonan, Williams, Allagille.</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Морфология, патофизиология</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Более чем в 90% случаев наблюдается клапанный сте</w:t>
        <w:softHyphen/>
        <w:t>ноз легочной артерии. Клапан при этом ВПС имеет аномальное строение, например, двустворчатый или диспластичный как при синдроме Нунан.</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Изолированный инфундибулярный стеноз наблюда</w:t>
        <w:softHyphen/>
        <w:t>ется очень редко и обычно сочетается с такими ВПС, как ДМЖП или тетрада Фалло.</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Надклапанный стеноз легочного ствола часто связы</w:t>
        <w:softHyphen/>
        <w:t>вается с синдромом краснухи и синдромом Вильямса (характерные черты лица (лицо Эльфа), нарушение умственного развития, гиперкальциемия).</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Периферические стенозы легочного ствола часто на</w:t>
        <w:softHyphen/>
        <w:t>блюдаются у новорожденных и представляют суже</w:t>
        <w:softHyphen/>
        <w:t>ние ветвей легочных артерий, встречающихся в ре</w:t>
        <w:softHyphen/>
        <w:t>зультате острого угла бифуркации основного ствола.</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Возникновение стеноза легочной артерии обусловле</w:t>
        <w:softHyphen/>
        <w:t>но первичным нарушением развития клапана, створ</w:t>
        <w:softHyphen/>
        <w:t>ки сращены по комиссурам, утолщены, деформиро</w:t>
        <w:softHyphen/>
        <w:t>ваны. Сопутствующие аномалии сердца, такие как дефект межпредсердной перегородки, открытый ар</w:t>
        <w:softHyphen/>
        <w:t>териальный проток, могут усиливать анатомические изменения клапана и клиническую картину порока.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numPr>
          <w:ilvl w:val="0"/>
          <w:numId w:val="5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 легком и умеренном стенозе у ребенка отсутствуют жалобы, развитие его не страдает, цианоза не бывает</w:t>
      </w:r>
    </w:p>
    <w:p>
      <w:pPr>
        <w:pStyle w:val="Style30"/>
        <w:numPr>
          <w:ilvl w:val="0"/>
          <w:numId w:val="5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 тяжелом стенозе возникает одышка при физиче</w:t>
        <w:softHyphen/>
        <w:t>ской нагрузке, повышенная утомляемость.</w:t>
      </w:r>
    </w:p>
    <w:p>
      <w:pPr>
        <w:pStyle w:val="Style30"/>
        <w:numPr>
          <w:ilvl w:val="0"/>
          <w:numId w:val="5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Выраженное стенозирование сопровождается сердеч</w:t>
        <w:softHyphen/>
        <w:t>ной недостаточностью и цианозом.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Физикальное обследование:</w:t>
      </w:r>
    </w:p>
    <w:p>
      <w:pPr>
        <w:pStyle w:val="Style30"/>
        <w:numPr>
          <w:ilvl w:val="0"/>
          <w:numId w:val="5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Легкий и умеренный стенозы легочной артерии не сопровождаются цианозом.</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Усиленный правосторонний сердечный толчок при пальпации, может определяться систолическое дро</w:t>
        <w:softHyphen/>
        <w:t>жание.</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Выслушивается систолический щелчок изгнания в верхней парастернальной области слева, громкость которого меняется при дыхании и усиливается на вы</w:t>
        <w:softHyphen/>
        <w:t>дохе.</w:t>
      </w:r>
    </w:p>
    <w:p>
      <w:pPr>
        <w:pStyle w:val="Style30"/>
        <w:numPr>
          <w:ilvl w:val="0"/>
          <w:numId w:val="5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Легочный компонент второго тона ослаблен.</w:t>
      </w:r>
    </w:p>
    <w:p>
      <w:pPr>
        <w:pStyle w:val="Style30"/>
        <w:numPr>
          <w:ilvl w:val="0"/>
          <w:numId w:val="5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Выслушивается систолический шум изгнания типа </w:t>
      </w:r>
      <w:r>
        <w:rPr>
          <w:lang w:val="en-US" w:eastAsia="en-US" w:bidi="en-US"/>
          <w:w w:val="100"/>
          <w:spacing w:val="0"/>
          <w:color w:val="000000"/>
          <w:position w:val="0"/>
        </w:rPr>
        <w:t xml:space="preserve">crescendo-decrescendo, </w:t>
      </w:r>
      <w:r>
        <w:rPr>
          <w:lang w:val="ru-RU" w:eastAsia="ru-RU" w:bidi="ru-RU"/>
          <w:w w:val="100"/>
          <w:spacing w:val="0"/>
          <w:color w:val="000000"/>
          <w:position w:val="0"/>
        </w:rPr>
        <w:t>интенсивность которого со-</w:t>
      </w:r>
    </w:p>
    <w:p>
      <w:pPr>
        <w:framePr w:h="3658" w:wrap="notBeside" w:vAnchor="text" w:hAnchor="text" w:xAlign="center" w:y="1"/>
        <w:widowControl w:val="0"/>
        <w:jc w:val="center"/>
        <w:rPr>
          <w:sz w:val="2"/>
          <w:szCs w:val="2"/>
        </w:rPr>
      </w:pPr>
      <w:r>
        <w:pict>
          <v:shape id="_x0000_s1272" type="#_x0000_t75" style="width:236pt;height:183pt;">
            <v:imagedata r:id="rId401" r:href="rId402"/>
          </v:shape>
        </w:pict>
      </w:r>
    </w:p>
    <w:p>
      <w:pPr>
        <w:pStyle w:val="Style120"/>
        <w:framePr w:h="3658"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30. </w:t>
      </w:r>
      <w:r>
        <w:rPr>
          <w:lang w:val="ru-RU" w:eastAsia="ru-RU" w:bidi="ru-RU"/>
          <w:w w:val="100"/>
          <w:spacing w:val="0"/>
          <w:color w:val="000000"/>
          <w:position w:val="0"/>
        </w:rPr>
        <w:t>Изолированный стеноз легочной артерии: электрическая ось сердца отклонена вправо, гипертрофия миокарда правого желу</w:t>
        <w:softHyphen/>
        <w:t>дочка.</w:t>
      </w:r>
    </w:p>
    <w:p>
      <w:pPr>
        <w:widowControl w:val="0"/>
        <w:rPr>
          <w:sz w:val="2"/>
          <w:szCs w:val="2"/>
        </w:rPr>
      </w:pPr>
    </w:p>
    <w:p>
      <w:pPr>
        <w:pStyle w:val="Style30"/>
        <w:widowControl w:val="0"/>
        <w:keepNext w:val="0"/>
        <w:keepLines w:val="0"/>
        <w:shd w:val="clear" w:color="auto" w:fill="auto"/>
        <w:bidi w:val="0"/>
        <w:spacing w:before="321" w:after="0"/>
        <w:ind w:left="500" w:right="0" w:firstLine="0"/>
      </w:pPr>
      <w:r>
        <w:rPr>
          <w:lang w:val="ru-RU" w:eastAsia="ru-RU" w:bidi="ru-RU"/>
          <w:w w:val="100"/>
          <w:spacing w:val="0"/>
          <w:color w:val="000000"/>
          <w:position w:val="0"/>
        </w:rPr>
        <w:t xml:space="preserve">ставляет </w:t>
      </w:r>
      <w:r>
        <w:rPr>
          <w:lang w:val="en-US" w:eastAsia="en-US" w:bidi="en-US"/>
          <w:w w:val="100"/>
          <w:spacing w:val="0"/>
          <w:color w:val="000000"/>
          <w:position w:val="0"/>
        </w:rPr>
        <w:t xml:space="preserve">II-V </w:t>
      </w:r>
      <w:r>
        <w:rPr>
          <w:lang w:val="ru-RU" w:eastAsia="ru-RU" w:bidi="ru-RU"/>
          <w:w w:val="100"/>
          <w:spacing w:val="0"/>
          <w:color w:val="000000"/>
          <w:position w:val="0"/>
        </w:rPr>
        <w:t>градации по Левине. Шум выслушива</w:t>
        <w:softHyphen/>
        <w:t>ется в проекции клапана легочной артерии, может проводиться на спину.</w:t>
      </w:r>
    </w:p>
    <w:p>
      <w:pPr>
        <w:pStyle w:val="Style30"/>
        <w:numPr>
          <w:ilvl w:val="0"/>
          <w:numId w:val="5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Чем тяжелее стеноз, тем громче систолический шум.</w:t>
      </w:r>
    </w:p>
    <w:p>
      <w:pPr>
        <w:pStyle w:val="Style30"/>
        <w:numPr>
          <w:ilvl w:val="0"/>
          <w:numId w:val="5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развитии застойной сердечной недостаточности появляется гепатоспленомегалия.</w:t>
      </w:r>
    </w:p>
    <w:p>
      <w:pPr>
        <w:pStyle w:val="Style30"/>
        <w:numPr>
          <w:ilvl w:val="0"/>
          <w:numId w:val="5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Тяжелому клапанному стенозу легочной артерии мо</w:t>
        <w:softHyphen/>
        <w:t>жет сопутствовать относительная недостаточность трикуспидального клапана, что обусловливает появ</w:t>
        <w:softHyphen/>
        <w:t>ление гепатоюгулярного рефлюкса, набухание и пульсацию шейных вен, пульсацию печени.</w:t>
      </w:r>
    </w:p>
    <w:p>
      <w:pPr>
        <w:pStyle w:val="Style30"/>
        <w:numPr>
          <w:ilvl w:val="0"/>
          <w:numId w:val="5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Периферический стеноз легочной артерии у новорож</w:t>
        <w:softHyphen/>
        <w:t>денных связан с особенностями анатомии неонаталь</w:t>
        <w:softHyphen/>
        <w:t>ного развития. Он возникает при остром угле отхож</w:t>
        <w:softHyphen/>
        <w:t xml:space="preserve">дения ветвей от бифуркации ствола. Выслушивается систолический шум </w:t>
      </w:r>
      <w:r>
        <w:rPr>
          <w:lang w:val="en-US" w:eastAsia="en-US" w:bidi="en-US"/>
          <w:w w:val="100"/>
          <w:spacing w:val="0"/>
          <w:color w:val="000000"/>
          <w:position w:val="0"/>
        </w:rPr>
        <w:t xml:space="preserve">II-VI </w:t>
      </w:r>
      <w:r>
        <w:rPr>
          <w:lang w:val="ru-RU" w:eastAsia="ru-RU" w:bidi="ru-RU"/>
          <w:w w:val="100"/>
          <w:spacing w:val="0"/>
          <w:color w:val="000000"/>
          <w:position w:val="0"/>
        </w:rPr>
        <w:t>градации по Лауде. Обычно шум исчезает спонтанно в первые месяцы жизни.</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Электрокардиография (рис. 30):</w:t>
      </w:r>
    </w:p>
    <w:p>
      <w:pPr>
        <w:pStyle w:val="Style30"/>
        <w:numPr>
          <w:ilvl w:val="0"/>
          <w:numId w:val="53"/>
        </w:numPr>
        <w:tabs>
          <w:tab w:leader="none" w:pos="74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Отклонение электрической оси сердца вправо, не</w:t>
        <w:softHyphen/>
        <w:t>редко очень значительное.</w:t>
      </w:r>
    </w:p>
    <w:p>
      <w:pPr>
        <w:pStyle w:val="Style30"/>
        <w:numPr>
          <w:ilvl w:val="0"/>
          <w:numId w:val="53"/>
        </w:numPr>
        <w:tabs>
          <w:tab w:leader="none" w:pos="74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 xml:space="preserve">Выраженная гипертрофия (перегрузка) правого желудочка (форма </w:t>
      </w:r>
      <w:r>
        <w:rPr>
          <w:lang w:val="en-US" w:eastAsia="en-US" w:bidi="en-US"/>
          <w:w w:val="100"/>
          <w:spacing w:val="0"/>
          <w:color w:val="000000"/>
          <w:position w:val="0"/>
        </w:rPr>
        <w:t xml:space="preserve">R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qR </w:t>
      </w:r>
      <w:r>
        <w:rPr>
          <w:lang w:val="ru-RU" w:eastAsia="ru-RU" w:bidi="ru-RU"/>
          <w:w w:val="100"/>
          <w:spacing w:val="0"/>
          <w:color w:val="000000"/>
          <w:position w:val="0"/>
        </w:rPr>
        <w:t xml:space="preserve">в отведении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глубо</w:t>
        <w:softHyphen/>
        <w:t xml:space="preserve">кий </w:t>
      </w:r>
      <w:r>
        <w:rPr>
          <w:lang w:val="en-US" w:eastAsia="en-US" w:bidi="en-US"/>
          <w:w w:val="100"/>
          <w:spacing w:val="0"/>
          <w:color w:val="000000"/>
          <w:position w:val="0"/>
        </w:rPr>
        <w:t xml:space="preserve">S </w:t>
      </w:r>
      <w:r>
        <w:rPr>
          <w:lang w:val="ru-RU" w:eastAsia="ru-RU" w:bidi="ru-RU"/>
          <w:w w:val="100"/>
          <w:spacing w:val="0"/>
          <w:color w:val="000000"/>
          <w:position w:val="0"/>
        </w:rPr>
        <w:t xml:space="preserve">и </w:t>
      </w:r>
      <w:r>
        <w:rPr>
          <w:lang w:val="en-US" w:eastAsia="en-US" w:bidi="en-US"/>
          <w:w w:val="100"/>
          <w:spacing w:val="0"/>
          <w:color w:val="000000"/>
          <w:position w:val="0"/>
        </w:rPr>
        <w:t>V6).</w:t>
      </w:r>
    </w:p>
    <w:p>
      <w:pPr>
        <w:pStyle w:val="Style30"/>
        <w:numPr>
          <w:ilvl w:val="0"/>
          <w:numId w:val="53"/>
        </w:numPr>
        <w:tabs>
          <w:tab w:leader="none" w:pos="74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 xml:space="preserve">Интервал </w:t>
      </w:r>
      <w:r>
        <w:rPr>
          <w:lang w:val="en-US" w:eastAsia="en-US" w:bidi="en-US"/>
          <w:w w:val="100"/>
          <w:spacing w:val="0"/>
          <w:color w:val="000000"/>
          <w:position w:val="0"/>
        </w:rPr>
        <w:t xml:space="preserve">ST </w:t>
      </w:r>
      <w:r>
        <w:rPr>
          <w:lang w:val="ru-RU" w:eastAsia="ru-RU" w:bidi="ru-RU"/>
          <w:w w:val="100"/>
          <w:spacing w:val="0"/>
          <w:color w:val="000000"/>
          <w:position w:val="0"/>
        </w:rPr>
        <w:t>смещен на 2-5 мм ниже изолинии с глу</w:t>
        <w:softHyphen/>
        <w:t xml:space="preserve">боким отрицательным зубцом Т в отведениях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-V</w:t>
      </w:r>
      <w:r>
        <w:rPr>
          <w:lang w:val="en-US" w:eastAsia="en-US" w:bidi="en-US"/>
          <w:vertAlign w:val="subscript"/>
          <w:w w:val="100"/>
          <w:spacing w:val="0"/>
          <w:color w:val="000000"/>
          <w:position w:val="0"/>
        </w:rPr>
        <w:t>4</w:t>
      </w:r>
      <w:r>
        <w:rPr>
          <w:lang w:val="en-US" w:eastAsia="en-US" w:bidi="en-US"/>
          <w:w w:val="100"/>
          <w:spacing w:val="0"/>
          <w:color w:val="000000"/>
          <w:position w:val="0"/>
        </w:rPr>
        <w:t>.</w:t>
      </w:r>
    </w:p>
    <w:p>
      <w:pPr>
        <w:pStyle w:val="Style30"/>
        <w:numPr>
          <w:ilvl w:val="0"/>
          <w:numId w:val="53"/>
        </w:numPr>
        <w:tabs>
          <w:tab w:leader="none" w:pos="74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Признаки перегрузки правого предсердия.</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Рентгенография грудной клетки:</w:t>
      </w:r>
    </w:p>
    <w:p>
      <w:pPr>
        <w:pStyle w:val="Style30"/>
        <w:numPr>
          <w:ilvl w:val="0"/>
          <w:numId w:val="53"/>
        </w:numPr>
        <w:tabs>
          <w:tab w:leader="none" w:pos="74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Определяется выступающая дуга легочной арте</w:t>
        <w:softHyphen/>
        <w:t>рии, границы сердца обычно не расширены.</w:t>
      </w:r>
    </w:p>
    <w:p>
      <w:pPr>
        <w:pStyle w:val="Style30"/>
        <w:numPr>
          <w:ilvl w:val="0"/>
          <w:numId w:val="53"/>
        </w:numPr>
        <w:tabs>
          <w:tab w:leader="none" w:pos="74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При тяжелом стенозе определяется уменьшение васкуляризации легких.</w:t>
      </w:r>
    </w:p>
    <w:p>
      <w:pPr>
        <w:pStyle w:val="Style30"/>
        <w:numPr>
          <w:ilvl w:val="0"/>
          <w:numId w:val="53"/>
        </w:numPr>
        <w:tabs>
          <w:tab w:leader="none" w:pos="74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При присоединении правожелудочковой недоста</w:t>
        <w:softHyphen/>
        <w:t>точности определяется увеличение правого желу</w:t>
        <w:softHyphen/>
        <w:t>дочка и правого предсердия.</w:t>
      </w:r>
    </w:p>
    <w:p>
      <w:pPr>
        <w:pStyle w:val="Style30"/>
        <w:numPr>
          <w:ilvl w:val="0"/>
          <w:numId w:val="5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Эхокардиография:</w:t>
      </w:r>
    </w:p>
    <w:p>
      <w:pPr>
        <w:pStyle w:val="Style30"/>
        <w:numPr>
          <w:ilvl w:val="0"/>
          <w:numId w:val="53"/>
        </w:numPr>
        <w:tabs>
          <w:tab w:leader="none" w:pos="74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Одномерная ЭхоКГ:</w:t>
      </w:r>
    </w:p>
    <w:p>
      <w:pPr>
        <w:pStyle w:val="Style30"/>
        <w:widowControl w:val="0"/>
        <w:keepNext w:val="0"/>
        <w:keepLines w:val="0"/>
        <w:shd w:val="clear" w:color="auto" w:fill="auto"/>
        <w:bidi w:val="0"/>
        <w:spacing w:before="0" w:after="0"/>
        <w:ind w:left="720" w:right="0" w:firstLine="0"/>
        <w:sectPr>
          <w:type w:val="continuous"/>
          <w:pgSz w:w="11900" w:h="16840"/>
          <w:pgMar w:top="1579" w:left="1063" w:right="954" w:bottom="1766" w:header="0" w:footer="3" w:gutter="0"/>
          <w:rtlGutter w:val="0"/>
          <w:cols w:num="2" w:space="203"/>
          <w:noEndnote/>
          <w:docGrid w:linePitch="360"/>
        </w:sectPr>
      </w:pPr>
      <w:r>
        <w:rPr>
          <w:lang w:val="ru-RU" w:eastAsia="ru-RU" w:bidi="ru-RU"/>
          <w:w w:val="100"/>
          <w:spacing w:val="0"/>
          <w:color w:val="000000"/>
          <w:position w:val="0"/>
        </w:rPr>
        <w:t>- увеличение диастолической А волны клапана ле - гочной артерии;</w:t>
      </w:r>
    </w:p>
    <w:p>
      <w:pPr>
        <w:widowControl w:val="0"/>
        <w:rPr>
          <w:sz w:val="2"/>
          <w:szCs w:val="2"/>
        </w:rPr>
      </w:pPr>
      <w:r>
        <w:pict>
          <v:shape id="_x0000_s1273" type="#_x0000_t202" style="position:static;width:595.pt;height:63.9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274" type="#_x0000_t75" style="position:absolute;margin-left:156.2pt;margin-top:0;width:209.75pt;height:14.9pt;z-index:-251658713;mso-wrap-distance-left:5.pt;mso-wrap-distance-right:5.pt;mso-position-horizontal-relative:margin" wrapcoords="0 0">
            <v:imagedata r:id="rId403" r:href="rId404"/>
            <w10:wrap anchorx="margin"/>
          </v:shape>
        </w:pict>
      </w:r>
    </w:p>
    <w:p>
      <w:pPr>
        <w:widowControl w:val="0"/>
        <w:rPr>
          <w:sz w:val="2"/>
          <w:szCs w:val="2"/>
        </w:rPr>
        <w:sectPr>
          <w:type w:val="continuous"/>
          <w:pgSz w:w="11900" w:h="16840"/>
          <w:pgMar w:top="1468" w:left="898" w:right="1124" w:bottom="192" w:header="0" w:footer="3" w:gutter="0"/>
          <w:rtlGutter w:val="0"/>
          <w:cols w:space="720"/>
          <w:noEndnote/>
          <w:docGrid w:linePitch="360"/>
        </w:sectPr>
      </w:pPr>
    </w:p>
    <w:p>
      <w:pPr>
        <w:widowControl w:val="0"/>
        <w:spacing w:line="360" w:lineRule="exact"/>
      </w:pPr>
      <w:r>
        <w:pict>
          <v:shape id="_x0000_s1275" type="#_x0000_t202" style="position:absolute;margin-left:137.75pt;margin-top:441.85pt;width:218.4pt;height:11.85pt;z-index:251657736;mso-wrap-distance-left:5.pt;mso-wrap-distance-right:5.pt;mso-position-horizontal-relative:margin" filled="f" stroked="f">
            <v:textbox style="mso-fit-shape-to-text:t" inset="0,0,0,0">
              <w:txbxContent>
                <w:p>
                  <w:pPr>
                    <w:pStyle w:val="Style120"/>
                    <w:widowControl w:val="0"/>
                    <w:keepNext w:val="0"/>
                    <w:keepLines w:val="0"/>
                    <w:shd w:val="clear" w:color="auto" w:fill="auto"/>
                    <w:bidi w:val="0"/>
                    <w:jc w:val="left"/>
                    <w:spacing w:before="0" w:after="0" w:line="180" w:lineRule="exact"/>
                    <w:ind w:left="0" w:right="0" w:firstLine="0"/>
                  </w:pPr>
                  <w:r>
                    <w:rPr>
                      <w:rStyle w:val="CharStyle122"/>
                    </w:rPr>
                    <w:t xml:space="preserve">Рис. 31. </w:t>
                  </w:r>
                  <w:r>
                    <w:rPr>
                      <w:rStyle w:val="CharStyle121"/>
                    </w:rPr>
                    <w:t>Типы периферических стенозов легочной артерии.</w:t>
                  </w:r>
                </w:p>
              </w:txbxContent>
            </v:textbox>
            <w10:wrap anchorx="margin"/>
          </v:shape>
        </w:pict>
      </w:r>
      <w:r>
        <w:pict>
          <v:shape id="_x0000_s1276" type="#_x0000_t75" style="position:absolute;margin-left:87.85pt;margin-top:0;width:339.35pt;height:417.6pt;z-index:-251658712;mso-wrap-distance-left:5.pt;mso-wrap-distance-right:5.pt;mso-position-horizontal-relative:margin" wrapcoords="0 0">
            <v:imagedata r:id="rId405" r:href="rId406"/>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674" w:lineRule="exact"/>
      </w:pPr>
    </w:p>
    <w:p>
      <w:pPr>
        <w:widowControl w:val="0"/>
        <w:rPr>
          <w:sz w:val="2"/>
          <w:szCs w:val="2"/>
        </w:rPr>
        <w:sectPr>
          <w:pgSz w:w="11900" w:h="16840"/>
          <w:pgMar w:top="1468" w:left="1124" w:right="898" w:bottom="192" w:header="0" w:footer="3" w:gutter="0"/>
          <w:rtlGutter w:val="0"/>
          <w:cols w:space="720"/>
          <w:noEndnote/>
          <w:docGrid w:linePitch="360"/>
        </w:sectPr>
      </w:pPr>
    </w:p>
    <w:p>
      <w:pPr>
        <w:widowControl w:val="0"/>
        <w:spacing w:before="101" w:after="101" w:line="240" w:lineRule="exact"/>
        <w:rPr>
          <w:sz w:val="19"/>
          <w:szCs w:val="19"/>
        </w:rPr>
      </w:pPr>
    </w:p>
    <w:p>
      <w:pPr>
        <w:widowControl w:val="0"/>
        <w:rPr>
          <w:sz w:val="2"/>
          <w:szCs w:val="2"/>
        </w:rPr>
        <w:sectPr>
          <w:type w:val="continuous"/>
          <w:pgSz w:w="11900" w:h="16840"/>
          <w:pgMar w:top="10930" w:left="0" w:right="0" w:bottom="1776" w:header="0" w:footer="3" w:gutter="0"/>
          <w:rtlGutter w:val="0"/>
          <w:cols w:space="720"/>
          <w:noEndnote/>
          <w:docGrid w:linePitch="360"/>
        </w:sectPr>
      </w:pPr>
    </w:p>
    <w:p>
      <w:pPr>
        <w:pStyle w:val="Style30"/>
        <w:numPr>
          <w:ilvl w:val="0"/>
          <w:numId w:val="51"/>
        </w:numPr>
        <w:tabs>
          <w:tab w:leader="none" w:pos="22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гипертрофия передней стенки правого желудочка;</w:t>
      </w:r>
    </w:p>
    <w:p>
      <w:pPr>
        <w:pStyle w:val="Style30"/>
        <w:numPr>
          <w:ilvl w:val="0"/>
          <w:numId w:val="51"/>
        </w:numPr>
        <w:tabs>
          <w:tab w:leader="none" w:pos="22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гипертрофия межжелудочковой перегородки;</w:t>
      </w:r>
    </w:p>
    <w:p>
      <w:pPr>
        <w:pStyle w:val="Style30"/>
        <w:numPr>
          <w:ilvl w:val="0"/>
          <w:numId w:val="51"/>
        </w:numPr>
        <w:tabs>
          <w:tab w:leader="none" w:pos="22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утолщение створок клапана легочной артерии;</w:t>
      </w:r>
    </w:p>
    <w:p>
      <w:pPr>
        <w:pStyle w:val="Style30"/>
        <w:numPr>
          <w:ilvl w:val="0"/>
          <w:numId w:val="51"/>
        </w:numPr>
        <w:tabs>
          <w:tab w:leader="none" w:pos="22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увеличение экскурсии трикуспидального клапана;</w:t>
      </w:r>
    </w:p>
    <w:p>
      <w:pPr>
        <w:pStyle w:val="Style30"/>
        <w:numPr>
          <w:ilvl w:val="0"/>
          <w:numId w:val="51"/>
        </w:numPr>
        <w:tabs>
          <w:tab w:leader="none" w:pos="22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пролапс трикуспидального клапана;</w:t>
      </w:r>
    </w:p>
    <w:p>
      <w:pPr>
        <w:pStyle w:val="Style30"/>
        <w:numPr>
          <w:ilvl w:val="0"/>
          <w:numId w:val="51"/>
        </w:numPr>
        <w:tabs>
          <w:tab w:leader="none" w:pos="245" w:val="left"/>
        </w:tabs>
        <w:widowControl w:val="0"/>
        <w:keepNext w:val="0"/>
        <w:keepLines w:val="0"/>
        <w:shd w:val="clear" w:color="auto" w:fill="auto"/>
        <w:bidi w:val="0"/>
        <w:spacing w:before="0" w:after="0"/>
        <w:ind w:left="0" w:right="220" w:firstLine="0"/>
      </w:pPr>
      <w:r>
        <w:rPr>
          <w:lang w:val="ru-RU" w:eastAsia="ru-RU" w:bidi="ru-RU"/>
          <w:w w:val="100"/>
          <w:spacing w:val="0"/>
          <w:color w:val="000000"/>
          <w:position w:val="0"/>
        </w:rPr>
        <w:t>задержка закрытия трикуспидального клапана. Двухмерная ЭхоКГ:</w:t>
      </w:r>
    </w:p>
    <w:p>
      <w:pPr>
        <w:pStyle w:val="Style30"/>
        <w:numPr>
          <w:ilvl w:val="0"/>
          <w:numId w:val="51"/>
        </w:numPr>
        <w:tabs>
          <w:tab w:leader="none" w:pos="22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утолщенные створки с ограничением экскурсии;</w:t>
      </w:r>
    </w:p>
    <w:p>
      <w:pPr>
        <w:pStyle w:val="Style30"/>
        <w:numPr>
          <w:ilvl w:val="0"/>
          <w:numId w:val="51"/>
        </w:numPr>
        <w:tabs>
          <w:tab w:leader="none" w:pos="23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выбухание створок клапана легочной артерии в выходной тракт правого желудочка;</w:t>
      </w:r>
    </w:p>
    <w:p>
      <w:pPr>
        <w:pStyle w:val="Style30"/>
        <w:numPr>
          <w:ilvl w:val="0"/>
          <w:numId w:val="51"/>
        </w:numPr>
        <w:tabs>
          <w:tab w:leader="none" w:pos="22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постстенотическая дилатация легочной артерии;</w:t>
      </w:r>
    </w:p>
    <w:p>
      <w:pPr>
        <w:pStyle w:val="Style30"/>
        <w:numPr>
          <w:ilvl w:val="0"/>
          <w:numId w:val="51"/>
        </w:numPr>
        <w:tabs>
          <w:tab w:leader="none" w:pos="22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гипертрофия правого желудочка;</w:t>
      </w:r>
    </w:p>
    <w:p>
      <w:pPr>
        <w:pStyle w:val="Style30"/>
        <w:numPr>
          <w:ilvl w:val="0"/>
          <w:numId w:val="51"/>
        </w:numPr>
        <w:tabs>
          <w:tab w:leader="none" w:pos="22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усиление эхосигнала от правого желудочка;</w:t>
      </w:r>
    </w:p>
    <w:p>
      <w:pPr>
        <w:pStyle w:val="Style30"/>
        <w:numPr>
          <w:ilvl w:val="0"/>
          <w:numId w:val="51"/>
        </w:numPr>
        <w:tabs>
          <w:tab w:leader="none" w:pos="23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исключает или подтверждает сопутствующие по</w:t>
        <w:softHyphen/>
        <w:t>роки сердца.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Допплер ЭхоКГ:</w:t>
      </w:r>
    </w:p>
    <w:p>
      <w:pPr>
        <w:pStyle w:val="Style30"/>
        <w:numPr>
          <w:ilvl w:val="0"/>
          <w:numId w:val="51"/>
        </w:numPr>
        <w:tabs>
          <w:tab w:leader="none" w:pos="23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выявляет турбулентный поток крови в стволе ле</w:t>
        <w:softHyphen/>
        <w:t xml:space="preserve">гочной артерии (&gt;1,1 </w:t>
      </w:r>
      <w:r>
        <w:rPr>
          <w:lang w:val="en-US" w:eastAsia="en-US" w:bidi="en-US"/>
          <w:w w:val="100"/>
          <w:spacing w:val="0"/>
          <w:color w:val="000000"/>
          <w:position w:val="0"/>
        </w:rPr>
        <w:t xml:space="preserve">m/s) </w:t>
      </w:r>
      <w:r>
        <w:rPr>
          <w:lang w:val="ru-RU" w:eastAsia="ru-RU" w:bidi="ru-RU"/>
          <w:w w:val="100"/>
          <w:spacing w:val="0"/>
          <w:color w:val="000000"/>
          <w:position w:val="0"/>
        </w:rPr>
        <w:t>и позволяет определить градиент;</w:t>
      </w:r>
    </w:p>
    <w:p>
      <w:pPr>
        <w:pStyle w:val="Style30"/>
        <w:widowControl w:val="0"/>
        <w:keepNext w:val="0"/>
        <w:keepLines w:val="0"/>
        <w:shd w:val="clear" w:color="auto" w:fill="auto"/>
        <w:bidi w:val="0"/>
        <w:spacing w:before="0" w:after="0"/>
        <w:ind w:left="480" w:right="0" w:firstLine="0"/>
      </w:pPr>
      <w:r>
        <w:br w:type="column"/>
      </w:r>
      <w:r>
        <w:rPr>
          <w:lang w:val="ru-RU" w:eastAsia="ru-RU" w:bidi="ru-RU"/>
          <w:w w:val="100"/>
          <w:spacing w:val="0"/>
          <w:color w:val="000000"/>
          <w:position w:val="0"/>
        </w:rPr>
        <w:t>- при градиенте свыше 50 мм рт. ст. устанавливает</w:t>
        <w:softHyphen/>
        <w:t>ся тяжелый стеноз легочной артерии.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Катетеризация сердца:</w:t>
      </w:r>
    </w:p>
    <w:p>
      <w:pPr>
        <w:pStyle w:val="Style30"/>
        <w:numPr>
          <w:ilvl w:val="0"/>
          <w:numId w:val="53"/>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Катетеризация не показана при умеренном стено</w:t>
        <w:softHyphen/>
        <w:t>зе и проводится только при тяжелых формах сте- нозирования.</w:t>
      </w:r>
    </w:p>
    <w:p>
      <w:pPr>
        <w:pStyle w:val="Style30"/>
        <w:numPr>
          <w:ilvl w:val="0"/>
          <w:numId w:val="53"/>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При катетеризации определяется морфология пра</w:t>
        <w:softHyphen/>
        <w:t>вого желудочка, выходного тракта и легочной ар</w:t>
        <w:softHyphen/>
        <w:t>терии.</w:t>
      </w:r>
    </w:p>
    <w:p>
      <w:pPr>
        <w:pStyle w:val="Style30"/>
        <w:numPr>
          <w:ilvl w:val="0"/>
          <w:numId w:val="53"/>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Если у пациента выявляется стеноз с градиентом более 60 мм рт. ст., может быть проведена баллон</w:t>
        <w:softHyphen/>
        <w:t>ная дилатация легочного клапана.</w:t>
      </w:r>
    </w:p>
    <w:p>
      <w:pPr>
        <w:pStyle w:val="Style30"/>
        <w:numPr>
          <w:ilvl w:val="0"/>
          <w:numId w:val="53"/>
        </w:numPr>
        <w:tabs>
          <w:tab w:leader="none" w:pos="500" w:val="left"/>
        </w:tabs>
        <w:widowControl w:val="0"/>
        <w:keepNext w:val="0"/>
        <w:keepLines w:val="0"/>
        <w:shd w:val="clear" w:color="auto" w:fill="auto"/>
        <w:bidi w:val="0"/>
        <w:spacing w:before="0" w:after="0"/>
        <w:ind w:left="480" w:right="0" w:hanging="220"/>
        <w:sectPr>
          <w:type w:val="continuous"/>
          <w:pgSz w:w="11900" w:h="16840"/>
          <w:pgMar w:top="10930" w:left="1824" w:right="898" w:bottom="1776" w:header="0" w:footer="3" w:gutter="0"/>
          <w:rtlGutter w:val="0"/>
          <w:cols w:num="2" w:space="720" w:equalWidth="0">
            <w:col w:w="4142" w:space="437"/>
            <w:col w:w="4598"/>
          </w:cols>
          <w:noEndnote/>
          <w:docGrid w:linePitch="360"/>
        </w:sectPr>
      </w:pPr>
      <w:r>
        <w:rPr>
          <w:lang w:val="ru-RU" w:eastAsia="ru-RU" w:bidi="ru-RU"/>
          <w:w w:val="100"/>
          <w:spacing w:val="0"/>
          <w:color w:val="000000"/>
          <w:position w:val="0"/>
        </w:rPr>
        <w:t>Введение контраста в легочную артерию позво</w:t>
        <w:softHyphen/>
        <w:t>ляет выявить морфологию ветвей и исключить или подтвердить различные варианты централь</w:t>
        <w:softHyphen/>
        <w:t>ных или бифуркационных стенозов (рис. 31), ко</w:t>
        <w:softHyphen/>
        <w:t>торые создают более сложную проблему, чем изолированный клапанный стеноз легочной ар</w:t>
        <w:softHyphen/>
        <w:t>терии.</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36" w:after="36"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277" type="#_x0000_t75" style="position:absolute;margin-left:136.55pt;margin-top:0;width:209.75pt;height:14.9pt;z-index:-251658711;mso-wrap-distance-left:5.pt;mso-wrap-distance-right:5.pt;mso-position-horizontal-relative:margin" wrapcoords="0 0">
            <v:imagedata r:id="rId407" r:href="rId408"/>
            <w10:wrap anchorx="margin"/>
          </v:shape>
        </w:pict>
      </w:r>
    </w:p>
    <w:p>
      <w:pPr>
        <w:widowControl w:val="0"/>
        <w:rPr>
          <w:sz w:val="2"/>
          <w:szCs w:val="2"/>
        </w:rPr>
        <w:sectPr>
          <w:type w:val="continuous"/>
          <w:pgSz w:w="11900" w:h="16840"/>
          <w:pgMar w:top="1468" w:left="1124" w:right="898" w:bottom="192" w:header="0" w:footer="3" w:gutter="0"/>
          <w:rtlGutter w:val="0"/>
          <w:cols w:space="720"/>
          <w:noEndnote/>
          <w:docGrid w:linePitch="360"/>
        </w:sectPr>
      </w:pPr>
    </w:p>
    <w:p>
      <w:pPr>
        <w:widowControl w:val="0"/>
        <w:rPr>
          <w:sz w:val="2"/>
          <w:szCs w:val="2"/>
        </w:rPr>
      </w:pPr>
      <w:r>
        <w:pict>
          <v:shape id="_x0000_s1278" type="#_x0000_t75" style="position:absolute;margin-left:147.7pt;margin-top:736.55pt;width:209.75pt;height:14.9pt;z-index:-125829213;mso-wrap-distance-left:147.6pt;mso-wrap-distance-right:136.8pt;mso-wrap-distance-bottom:10.8pt;mso-position-horizontal-relative:margin" wrapcoords="0 0 21600 0 21600 21600 0 21600 0 0">
            <v:imagedata r:id="rId409" r:href="rId410"/>
            <w10:wrap type="topAndBottom" anchorx="margin"/>
          </v:shape>
        </w:pict>
      </w:r>
    </w:p>
    <w:p>
      <w:pPr>
        <w:pStyle w:val="Style92"/>
        <w:widowControl w:val="0"/>
        <w:keepNext/>
        <w:keepLines/>
        <w:shd w:val="clear" w:color="auto" w:fill="auto"/>
        <w:bidi w:val="0"/>
        <w:spacing w:before="0" w:after="0"/>
        <w:ind w:left="500" w:right="0" w:hanging="220"/>
      </w:pPr>
      <w:bookmarkStart w:id="385" w:name="bookmark385"/>
      <w:r>
        <w:rPr>
          <w:lang w:val="ru-RU" w:eastAsia="ru-RU" w:bidi="ru-RU"/>
          <w:w w:val="100"/>
          <w:spacing w:val="0"/>
          <w:color w:val="000000"/>
          <w:position w:val="0"/>
        </w:rPr>
        <w:t>Дифференциальный диагноз</w:t>
      </w:r>
      <w:bookmarkEnd w:id="385"/>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Дефект межпредсердной перегородки.</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Аортальный стеноз.</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Тетрада Фалло.</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Инфундибулярный дефект межжелудочковой пере</w:t>
        <w:softHyphen/>
        <w:t>городки.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Лечение</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Больные с легким и умеренным стенозом (градиент менее 25 мм рт. ст.) не нуждаются в медикаментозной коррекции. Им противопоказано назначение дигок- сина. Во всех случаях показана антибактериальная профилактика инфекционного эндокардита.</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развитии правожелудочковой недостаточности с цианозом проводят кислородотерапию и введение простагландина Е1 до тех пор, пока не будет проведе</w:t>
        <w:softHyphen/>
        <w:t>на операция.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Хирургическая коррекция</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Баллонная вальвулотомия проводится по экстрен</w:t>
        <w:softHyphen/>
        <w:t>ным показаниям при критическом стенозе клапана или если структуры клапана морфологически сохра</w:t>
        <w:softHyphen/>
        <w:t>няют свою целостность.</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Открытая вальвулопластика более эффективна, час</w:t>
        <w:softHyphen/>
        <w:t>тота рестенозов значительно меньше, чем при закры</w:t>
        <w:softHyphen/>
        <w:t>той вальвулотомии.</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случаях выраженной гипоплазии правого желудоч</w:t>
        <w:softHyphen/>
        <w:t>ка и легочной артерии проводится операция по Фон- тену или ее модификации.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Осложнения</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Инфекционный эндокардит.</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Правожелудочковая недостаточность.</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Аритмии.</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Аритмогенная внезапная смерть.</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Прогноз</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Дети с легким и умеренным стенозом имеют благо - приятный прогноз, стеноз обычно не прогрессирует.</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детей с тяжелым стенозом легочной артерии с воз</w:t>
        <w:softHyphen/>
        <w:t>растом отмечается прогрессирование порока.</w:t>
      </w:r>
    </w:p>
    <w:p>
      <w:pPr>
        <w:pStyle w:val="Style30"/>
        <w:widowControl w:val="0"/>
        <w:keepNext w:val="0"/>
        <w:keepLines w:val="0"/>
        <w:shd w:val="clear" w:color="auto" w:fill="auto"/>
        <w:bidi w:val="0"/>
        <w:spacing w:before="0" w:after="242"/>
        <w:ind w:left="0" w:right="0" w:firstLine="280"/>
      </w:pPr>
      <w:r>
        <w:rPr>
          <w:lang w:val="ru-RU" w:eastAsia="ru-RU" w:bidi="ru-RU"/>
          <w:w w:val="100"/>
          <w:spacing w:val="0"/>
          <w:color w:val="000000"/>
          <w:position w:val="0"/>
        </w:rPr>
        <w:t>После операции возможно возникновение рестенозов и клапанной недостаточности легочной артерии.</w:t>
      </w:r>
    </w:p>
    <w:p>
      <w:pPr>
        <w:pStyle w:val="Style28"/>
        <w:widowControl w:val="0"/>
        <w:keepNext/>
        <w:keepLines/>
        <w:shd w:val="clear" w:color="auto" w:fill="auto"/>
        <w:bidi w:val="0"/>
        <w:jc w:val="left"/>
        <w:spacing w:before="0" w:after="118" w:line="288" w:lineRule="exact"/>
        <w:ind w:left="0" w:right="0" w:firstLine="0"/>
      </w:pPr>
      <w:bookmarkStart w:id="386" w:name="bookmark386"/>
      <w:r>
        <w:rPr>
          <w:lang w:val="ru-RU" w:eastAsia="ru-RU" w:bidi="ru-RU"/>
          <w:w w:val="100"/>
          <w:spacing w:val="0"/>
          <w:color w:val="000000"/>
          <w:position w:val="0"/>
        </w:rPr>
        <w:t>Идиопатическая дилатация легочной артерии</w:t>
      </w:r>
      <w:bookmarkEnd w:id="386"/>
    </w:p>
    <w:p>
      <w:pPr>
        <w:pStyle w:val="Style92"/>
        <w:widowControl w:val="0"/>
        <w:keepNext/>
        <w:keepLines/>
        <w:shd w:val="clear" w:color="auto" w:fill="auto"/>
        <w:bidi w:val="0"/>
        <w:spacing w:before="0" w:after="0"/>
        <w:ind w:left="500" w:right="0" w:hanging="220"/>
      </w:pPr>
      <w:bookmarkStart w:id="387" w:name="bookmark387"/>
      <w:r>
        <w:rPr>
          <w:lang w:val="ru-RU" w:eastAsia="ru-RU" w:bidi="ru-RU"/>
          <w:w w:val="100"/>
          <w:spacing w:val="0"/>
          <w:color w:val="000000"/>
          <w:position w:val="0"/>
        </w:rPr>
        <w:t>Определение</w:t>
      </w:r>
      <w:bookmarkEnd w:id="38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Идиопатическая дилатация легочной артерии (ИДЛА) — порок развития магистрального ствола неустановленной этиологии, проявляющийся аневризматической дилатаци</w:t>
        <w:softHyphen/>
        <w:t>ей без нарушения функции легочного клапана.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Идиопатическая дилатация легочной артерии (ИДЛА) встречается в 1:17 000 аутопсий. По данным </w:t>
      </w:r>
      <w:r>
        <w:rPr>
          <w:lang w:val="en-US" w:eastAsia="en-US" w:bidi="en-US"/>
          <w:w w:val="100"/>
          <w:spacing w:val="0"/>
          <w:color w:val="000000"/>
          <w:position w:val="0"/>
        </w:rPr>
        <w:t xml:space="preserve">Mayo Clinic, </w:t>
      </w:r>
      <w:r>
        <w:rPr>
          <w:lang w:val="ru-RU" w:eastAsia="ru-RU" w:bidi="ru-RU"/>
          <w:w w:val="100"/>
          <w:spacing w:val="0"/>
          <w:color w:val="000000"/>
          <w:position w:val="0"/>
        </w:rPr>
        <w:t xml:space="preserve">ИДЛА выявляется в одном олучае на 109 571 аутопсию, по </w:t>
      </w:r>
      <w:r>
        <w:rPr>
          <w:lang w:val="en-US" w:eastAsia="en-US" w:bidi="en-US"/>
          <w:w w:val="100"/>
          <w:spacing w:val="0"/>
          <w:color w:val="000000"/>
          <w:position w:val="0"/>
        </w:rPr>
        <w:t xml:space="preserve">Gruber P. </w:t>
      </w:r>
      <w:r>
        <w:rPr>
          <w:lang w:val="ru-RU" w:eastAsia="ru-RU" w:bidi="ru-RU"/>
          <w:w w:val="100"/>
          <w:spacing w:val="0"/>
          <w:color w:val="000000"/>
          <w:position w:val="0"/>
        </w:rPr>
        <w:t xml:space="preserve">е! </w:t>
      </w:r>
      <w:r>
        <w:rPr>
          <w:lang w:val="en-US" w:eastAsia="en-US" w:bidi="en-US"/>
          <w:w w:val="100"/>
          <w:spacing w:val="0"/>
          <w:color w:val="000000"/>
          <w:position w:val="0"/>
        </w:rPr>
        <w:t xml:space="preserve">al. </w:t>
      </w:r>
      <w:r>
        <w:rPr>
          <w:lang w:val="ru-RU" w:eastAsia="ru-RU" w:bidi="ru-RU"/>
          <w:w w:val="100"/>
          <w:spacing w:val="0"/>
          <w:color w:val="000000"/>
          <w:position w:val="0"/>
        </w:rPr>
        <w:t>(2001) — в одном случае на 14 000 аутопсий.</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 встречаемости ИДЛА в группе детей с врож</w:t>
        <w:softHyphen/>
        <w:t>денными пороками сердца составляет 0,6%.</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 встречаемости дилатации легочной артерии в популяции колеблется в пределах 0,6-27%.</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Краткая историческая справка</w:t>
      </w:r>
    </w:p>
    <w:p>
      <w:pPr>
        <w:pStyle w:val="Style30"/>
        <w:numPr>
          <w:ilvl w:val="0"/>
          <w:numId w:val="57"/>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1862 г. — </w:t>
      </w:r>
      <w:r>
        <w:rPr>
          <w:lang w:val="en-US" w:eastAsia="en-US" w:bidi="en-US"/>
          <w:w w:val="100"/>
          <w:spacing w:val="0"/>
          <w:color w:val="000000"/>
          <w:position w:val="0"/>
        </w:rPr>
        <w:t xml:space="preserve">Walshe </w:t>
      </w:r>
      <w:r>
        <w:rPr>
          <w:lang w:val="ru-RU" w:eastAsia="ru-RU" w:bidi="ru-RU"/>
          <w:w w:val="100"/>
          <w:spacing w:val="0"/>
          <w:color w:val="000000"/>
          <w:position w:val="0"/>
        </w:rPr>
        <w:t>описана расслаивающая аневризма легочной артерии.</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 xml:space="preserve">1884 г. — </w:t>
      </w:r>
      <w:r>
        <w:rPr>
          <w:lang w:val="en-US" w:eastAsia="en-US" w:bidi="en-US"/>
          <w:w w:val="100"/>
          <w:spacing w:val="0"/>
          <w:color w:val="000000"/>
          <w:position w:val="0"/>
        </w:rPr>
        <w:t xml:space="preserve">Kidd </w:t>
      </w:r>
      <w:r>
        <w:rPr>
          <w:lang w:val="ru-RU" w:eastAsia="ru-RU" w:bidi="ru-RU"/>
          <w:w w:val="100"/>
          <w:spacing w:val="0"/>
          <w:color w:val="000000"/>
          <w:position w:val="0"/>
        </w:rPr>
        <w:t>Р. опубликованы наблюдения за груп</w:t>
        <w:softHyphen/>
        <w:t>пой больных, скончавшихся от туберкулеза легких, у 10% из которых найдены аневризмы ветвей легоч</w:t>
        <w:softHyphen/>
        <w:t>ных артерий.</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1918-1920 гг. — </w:t>
      </w:r>
      <w:r>
        <w:rPr>
          <w:lang w:val="en-US" w:eastAsia="en-US" w:bidi="en-US"/>
          <w:w w:val="100"/>
          <w:spacing w:val="0"/>
          <w:color w:val="000000"/>
          <w:position w:val="0"/>
        </w:rPr>
        <w:t xml:space="preserve">Konjetzny </w:t>
      </w:r>
      <w:r>
        <w:rPr>
          <w:lang w:val="ru-RU" w:eastAsia="ru-RU" w:bidi="ru-RU"/>
          <w:w w:val="100"/>
          <w:spacing w:val="0"/>
          <w:color w:val="000000"/>
          <w:position w:val="0"/>
        </w:rPr>
        <w:t xml:space="preserve">описал первый случай, а </w:t>
      </w:r>
      <w:r>
        <w:rPr>
          <w:lang w:val="en-US" w:eastAsia="en-US" w:bidi="en-US"/>
          <w:w w:val="100"/>
          <w:spacing w:val="0"/>
          <w:color w:val="000000"/>
          <w:position w:val="0"/>
        </w:rPr>
        <w:t xml:space="preserve">Marble and White </w:t>
      </w:r>
      <w:r>
        <w:rPr>
          <w:lang w:val="ru-RU" w:eastAsia="ru-RU" w:bidi="ru-RU"/>
          <w:w w:val="100"/>
          <w:spacing w:val="0"/>
          <w:color w:val="000000"/>
          <w:position w:val="0"/>
        </w:rPr>
        <w:t>описывают второй случай травма</w:t>
        <w:softHyphen/>
        <w:t>тической аневризмы легочной артерии. У обоих па</w:t>
        <w:softHyphen/>
        <w:t>циентов развитие аневризмы произошло в короткие сроки после полученных огнестрельных ранений.</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1923 г.— </w:t>
      </w:r>
      <w:r>
        <w:rPr>
          <w:lang w:val="en-US" w:eastAsia="en-US" w:bidi="en-US"/>
          <w:w w:val="100"/>
          <w:spacing w:val="0"/>
          <w:color w:val="000000"/>
          <w:position w:val="0"/>
        </w:rPr>
        <w:t xml:space="preserve">Wsssler and Jaches </w:t>
      </w:r>
      <w:r>
        <w:rPr>
          <w:lang w:val="ru-RU" w:eastAsia="ru-RU" w:bidi="ru-RU"/>
          <w:w w:val="100"/>
          <w:spacing w:val="0"/>
          <w:color w:val="000000"/>
          <w:position w:val="0"/>
        </w:rPr>
        <w:t>описали дилатацию легоч - ной артерии без сопутствующей органической карди</w:t>
        <w:softHyphen/>
        <w:t>альной патологии.</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1933 г. — в литературе впервые появился основопола</w:t>
        <w:softHyphen/>
        <w:t>гающий термин «идиопатическая дилатация легоч</w:t>
        <w:softHyphen/>
        <w:t xml:space="preserve">ной артерии», </w:t>
      </w:r>
      <w:r>
        <w:rPr>
          <w:lang w:val="en-US" w:eastAsia="en-US" w:bidi="en-US"/>
          <w:w w:val="100"/>
          <w:spacing w:val="0"/>
          <w:color w:val="000000"/>
          <w:position w:val="0"/>
        </w:rPr>
        <w:t xml:space="preserve">Oppenheimer. </w:t>
      </w:r>
      <w:r>
        <w:rPr>
          <w:lang w:val="ru-RU" w:eastAsia="ru-RU" w:bidi="ru-RU"/>
          <w:w w:val="100"/>
          <w:spacing w:val="0"/>
          <w:color w:val="000000"/>
          <w:position w:val="0"/>
        </w:rPr>
        <w:t>Указано на легочную ги</w:t>
        <w:softHyphen/>
        <w:t>пертензию как на один из триггерных факторов фор</w:t>
        <w:softHyphen/>
        <w:t>мирования ИДЛА.</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1943 г. — </w:t>
      </w:r>
      <w:r>
        <w:rPr>
          <w:lang w:val="en-US" w:eastAsia="en-US" w:bidi="en-US"/>
          <w:w w:val="100"/>
          <w:spacing w:val="0"/>
          <w:color w:val="000000"/>
          <w:position w:val="0"/>
        </w:rPr>
        <w:t xml:space="preserve">Grisman </w:t>
      </w:r>
      <w:r>
        <w:rPr>
          <w:lang w:val="ru-RU" w:eastAsia="ru-RU" w:bidi="ru-RU"/>
          <w:w w:val="100"/>
          <w:spacing w:val="0"/>
          <w:color w:val="000000"/>
          <w:position w:val="0"/>
        </w:rPr>
        <w:t>А. указано на врожденную «сла</w:t>
        <w:softHyphen/>
        <w:t>бость» матрикса артериальной стенки, известную в настоящее время как «синдром слабости соедини</w:t>
        <w:softHyphen/>
        <w:t>тельной ткани» или «синдром соединительнотканной дисплазии», и наличие ИДЛА в клиническом симп</w:t>
        <w:softHyphen/>
        <w:t>томокомплексе синдрома Марфана.</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1949 г. — </w:t>
      </w:r>
      <w:r>
        <w:rPr>
          <w:lang w:val="en-US" w:eastAsia="en-US" w:bidi="en-US"/>
          <w:w w:val="100"/>
          <w:spacing w:val="0"/>
          <w:color w:val="000000"/>
          <w:position w:val="0"/>
        </w:rPr>
        <w:t xml:space="preserve">Green D.G. et al. </w:t>
      </w:r>
      <w:r>
        <w:rPr>
          <w:lang w:val="ru-RU" w:eastAsia="ru-RU" w:bidi="ru-RU"/>
          <w:w w:val="100"/>
          <w:spacing w:val="0"/>
          <w:color w:val="000000"/>
          <w:position w:val="0"/>
        </w:rPr>
        <w:t>опубликован обзор наблю</w:t>
        <w:softHyphen/>
        <w:t>дений за 8-ю пациентами с врожденной идиопатиче</w:t>
        <w:softHyphen/>
        <w:t>ской дилатацией легочной артерии. Впервые в диф</w:t>
        <w:softHyphen/>
        <w:t>ференциально-диагностический ряд был включен изолированный стеноз легочной артерии.</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1953 г. — </w:t>
      </w:r>
      <w:r>
        <w:rPr>
          <w:lang w:val="en-US" w:eastAsia="en-US" w:bidi="en-US"/>
          <w:w w:val="100"/>
          <w:spacing w:val="0"/>
          <w:color w:val="000000"/>
          <w:position w:val="0"/>
        </w:rPr>
        <w:t xml:space="preserve">Goetz R.H., Nellen M. </w:t>
      </w:r>
      <w:r>
        <w:rPr>
          <w:lang w:val="ru-RU" w:eastAsia="ru-RU" w:bidi="ru-RU"/>
          <w:w w:val="100"/>
          <w:spacing w:val="0"/>
          <w:color w:val="000000"/>
          <w:position w:val="0"/>
        </w:rPr>
        <w:t>описывают 4 случая ИДЛА Подтверждена необходимость выполнения ка</w:t>
        <w:softHyphen/>
        <w:t>тетеризации магистральных сосудов сердца как мето</w:t>
        <w:softHyphen/>
        <w:t>да, позволяющего наиболее точно провести диффе</w:t>
        <w:softHyphen/>
        <w:t>ренциальный диагноз со стенозом легочной артерии.</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1954 г — </w:t>
      </w:r>
      <w:r>
        <w:rPr>
          <w:lang w:val="en-US" w:eastAsia="en-US" w:bidi="en-US"/>
          <w:w w:val="100"/>
          <w:spacing w:val="0"/>
          <w:color w:val="000000"/>
          <w:position w:val="0"/>
        </w:rPr>
        <w:t xml:space="preserve">Leatham A., Vogelpoel </w:t>
      </w:r>
      <w:r>
        <w:rPr>
          <w:lang w:val="ru-RU" w:eastAsia="ru-RU" w:bidi="ru-RU"/>
          <w:w w:val="100"/>
          <w:spacing w:val="0"/>
          <w:color w:val="000000"/>
          <w:position w:val="0"/>
        </w:rPr>
        <w:t>описаны аускультатив</w:t>
        <w:softHyphen/>
        <w:t>ные и рентгенологические признаки.</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1959 г. — </w:t>
      </w:r>
      <w:r>
        <w:rPr>
          <w:lang w:val="en-US" w:eastAsia="en-US" w:bidi="en-US"/>
          <w:w w:val="100"/>
          <w:spacing w:val="0"/>
          <w:color w:val="000000"/>
          <w:position w:val="0"/>
        </w:rPr>
        <w:t xml:space="preserve">Hughes and Stovin </w:t>
      </w:r>
      <w:r>
        <w:rPr>
          <w:lang w:val="ru-RU" w:eastAsia="ru-RU" w:bidi="ru-RU"/>
          <w:w w:val="100"/>
          <w:spacing w:val="0"/>
          <w:color w:val="000000"/>
          <w:position w:val="0"/>
        </w:rPr>
        <w:t>описали синдром, сочета</w:t>
        <w:softHyphen/>
        <w:t>ющий множественные аневризмы легочных артерий и тромбоз периферических вен.</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1960 г — </w:t>
      </w:r>
      <w:r>
        <w:rPr>
          <w:lang w:val="en-US" w:eastAsia="en-US" w:bidi="en-US"/>
          <w:w w:val="100"/>
          <w:spacing w:val="0"/>
          <w:color w:val="000000"/>
          <w:position w:val="0"/>
        </w:rPr>
        <w:t xml:space="preserve">Goldberg H., Bentivoglio L. </w:t>
      </w:r>
      <w:r>
        <w:rPr>
          <w:lang w:val="ru-RU" w:eastAsia="ru-RU" w:bidi="ru-RU"/>
          <w:w w:val="100"/>
          <w:spacing w:val="0"/>
          <w:color w:val="000000"/>
          <w:position w:val="0"/>
        </w:rPr>
        <w:t>публикуют клини - ческие наблюдения за 13 пациентами. Исследованы особенности клинического течения заболевания, данные рентгенологического исследования, ЭКГ- картины и гемодинамики.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Заболеваемость/смертность</w:t>
      </w:r>
    </w:p>
    <w:p>
      <w:pPr>
        <w:pStyle w:val="Style30"/>
        <w:numPr>
          <w:ilvl w:val="0"/>
          <w:numId w:val="57"/>
        </w:numPr>
        <w:tabs>
          <w:tab w:leader="none" w:pos="52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Около 33% детей с ИДЛА погибает внезапно.</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течение 5-6 лет у 60% детей происходит трансфор</w:t>
        <w:softHyphen/>
        <w:t>мация ИДЛА в расслаивающую аневризму легочной артерии.</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Течение аневризматического расширения легочной артерии в большинстве случаев является прогресси</w:t>
        <w:softHyphen/>
        <w:t>рующим.</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Аневризмы основного ствола легочной артерии со</w:t>
        <w:softHyphen/>
        <w:t>ставляют 80%.</w:t>
      </w:r>
    </w:p>
    <w:p>
      <w:pPr>
        <w:pStyle w:val="Style30"/>
        <w:numPr>
          <w:ilvl w:val="0"/>
          <w:numId w:val="57"/>
        </w:numPr>
        <w:tabs>
          <w:tab w:leader="none" w:pos="52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Госпитальная смертность у пациентов со сформировав</w:t>
        <w:softHyphen/>
        <w:t>шейся аневризмой легочной артерии составляет 50%.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Приблизительное соотношение мальчики/девочки со</w:t>
        <w:softHyphen/>
        <w:t>ставляет 2:1. Указанное соотношение действительно для дилатации легочной артерии как одного из кардиальных проявлений некомпетентности соединительной ткани.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ИДЛА выявляется в любой возрастной группе.</w:t>
      </w:r>
      <w:r>
        <w:br w:type="page"/>
      </w:r>
    </w:p>
    <w:p>
      <w:pPr>
        <w:pStyle w:val="Style92"/>
        <w:widowControl w:val="0"/>
        <w:keepNext/>
        <w:keepLines/>
        <w:shd w:val="clear" w:color="auto" w:fill="auto"/>
        <w:bidi w:val="0"/>
        <w:spacing w:before="0" w:after="0"/>
        <w:ind w:left="520" w:right="0" w:hanging="240"/>
      </w:pPr>
      <w:bookmarkStart w:id="388" w:name="bookmark388"/>
      <w:r>
        <w:rPr>
          <w:lang w:val="ru-RU" w:eastAsia="ru-RU" w:bidi="ru-RU"/>
          <w:w w:val="100"/>
          <w:spacing w:val="0"/>
          <w:color w:val="000000"/>
          <w:position w:val="0"/>
        </w:rPr>
        <w:t>Теории развития ИДЛА</w:t>
      </w:r>
      <w:bookmarkEnd w:id="388"/>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Ствол легочной артерии расширен вследствие врож</w:t>
        <w:softHyphen/>
        <w:t>денной неполноценности соединительной ткани, что в ряде случаев подтверждается сочетанием этой пато</w:t>
        <w:softHyphen/>
        <w:t>логии с синдромом Марфана и пролапсом митраль</w:t>
        <w:softHyphen/>
        <w:t>ного клапана.</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Неравномерное деление трункуса: это означает, что аорта должна быть гипопластична, в то время как она обычно нормальная.</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Расслоение стенки легочной артерии может провоци</w:t>
        <w:softHyphen/>
        <w:t>роваться увеличением ударного объема правого желу</w:t>
        <w:softHyphen/>
        <w:t>дочка и возникновением регургитации, обусловлен</w:t>
        <w:softHyphen/>
        <w:t>ной дилатацией ствола легочной артерии.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Этиология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Вторичные формы дилатации легочной артерии могут быть обусловлены:</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Течением патологических процессов, ассоциирован</w:t>
        <w:softHyphen/>
        <w:t>ных с легочной гипертензией.</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Атеросклеротическими изменениями.</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Ревматическим процессом.</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Микотической инфекцией, вызванной преимущест</w:t>
        <w:softHyphen/>
        <w:t xml:space="preserve">венно </w:t>
      </w:r>
      <w:r>
        <w:rPr>
          <w:lang w:val="en-US" w:eastAsia="en-US" w:bidi="en-US"/>
          <w:w w:val="100"/>
          <w:spacing w:val="0"/>
          <w:color w:val="000000"/>
          <w:position w:val="0"/>
        </w:rPr>
        <w:t xml:space="preserve">Aspergillus </w:t>
      </w:r>
      <w:r>
        <w:rPr>
          <w:lang w:val="ru-RU" w:eastAsia="ru-RU" w:bidi="ru-RU"/>
          <w:w w:val="100"/>
          <w:spacing w:val="0"/>
          <w:color w:val="000000"/>
          <w:position w:val="0"/>
        </w:rPr>
        <w:t>(один из наиболее значимых бакте</w:t>
        <w:softHyphen/>
        <w:t>риальных агентов в формировании расслаивающей аневризмы легочной артерии).</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Сифилитической инфекцией.</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Туберкулезным процессом.</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Травмами.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большинства вышеописанных факторов основопо</w:t>
        <w:softHyphen/>
        <w:t>лагающим может являться дефект развития эластического матрикса артериальных сосудов.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Стадия аневризматического расширения легочной артерии: классификация</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Условно аневризмы легочной артерии подразделяют на 2 группы. К первой относят аневризмы, локализу</w:t>
        <w:softHyphen/>
        <w:t>ющиеся в пределах артериальных легочных сосудов среднего калибра, наиболее часто ассоциированные с врожденными аномалиями сердца, ко второй — со</w:t>
        <w:softHyphen/>
        <w:t>судов более мелкого калибра, являющихся, как пра</w:t>
        <w:softHyphen/>
        <w:t>вило, микотическими.</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Возможно подразделение аневризм легочной артерии по уровню вовлечения в патологический процесс ле</w:t>
        <w:softHyphen/>
        <w:t>гочной артерии: аневризмы основного ствола и анев</w:t>
        <w:softHyphen/>
        <w:t>ризмы ветвей легочной артерии. Возможны аневриз</w:t>
        <w:softHyphen/>
        <w:t>мы правой и левой легочных артерий.</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 группе приобретенных аневризм следует отнести:</w:t>
      </w:r>
    </w:p>
    <w:p>
      <w:pPr>
        <w:pStyle w:val="Style30"/>
        <w:numPr>
          <w:ilvl w:val="0"/>
          <w:numId w:val="59"/>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посттравматические — результат тупых травм груд</w:t>
        <w:softHyphen/>
        <w:t>ной клетки;</w:t>
      </w:r>
    </w:p>
    <w:p>
      <w:pPr>
        <w:pStyle w:val="Style30"/>
        <w:numPr>
          <w:ilvl w:val="0"/>
          <w:numId w:val="59"/>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постэндокардитические, ассоциированные с </w:t>
      </w:r>
      <w:r>
        <w:rPr>
          <w:lang w:val="en-US" w:eastAsia="en-US" w:bidi="en-US"/>
          <w:w w:val="100"/>
          <w:spacing w:val="0"/>
          <w:color w:val="000000"/>
          <w:position w:val="0"/>
        </w:rPr>
        <w:t>Staphylococcus aureus, Streptococcus species;</w:t>
      </w:r>
    </w:p>
    <w:p>
      <w:pPr>
        <w:pStyle w:val="Style30"/>
        <w:numPr>
          <w:ilvl w:val="0"/>
          <w:numId w:val="59"/>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микотические аневризмы легочной артерии </w:t>
      </w:r>
      <w:r>
        <w:rPr>
          <w:lang w:val="en-US" w:eastAsia="en-US" w:bidi="en-US"/>
          <w:w w:val="100"/>
          <w:spacing w:val="0"/>
          <w:color w:val="000000"/>
          <w:position w:val="0"/>
        </w:rPr>
        <w:t xml:space="preserve">(M tuberculosis) </w:t>
      </w:r>
      <w:r>
        <w:rPr>
          <w:lang w:val="ru-RU" w:eastAsia="ru-RU" w:bidi="ru-RU"/>
          <w:w w:val="100"/>
          <w:spacing w:val="0"/>
          <w:color w:val="000000"/>
          <w:position w:val="0"/>
        </w:rPr>
        <w:t>— Расмуссена аневризмы; анев</w:t>
        <w:softHyphen/>
        <w:t xml:space="preserve">ризмы грибковой этиологии </w:t>
      </w:r>
      <w:r>
        <w:rPr>
          <w:lang w:val="en-US" w:eastAsia="en-US" w:bidi="en-US"/>
          <w:w w:val="100"/>
          <w:spacing w:val="0"/>
          <w:color w:val="000000"/>
          <w:position w:val="0"/>
        </w:rPr>
        <w:t>Mucormycosis, Aspergillus, Candida.</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Ятрогенные:</w:t>
      </w:r>
    </w:p>
    <w:p>
      <w:pPr>
        <w:pStyle w:val="Style30"/>
        <w:numPr>
          <w:ilvl w:val="0"/>
          <w:numId w:val="59"/>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псевдоаневризмы, развившиеся после опера</w:t>
        <w:softHyphen/>
        <w:t xml:space="preserve">тивных вмешательств с использованием </w:t>
      </w:r>
      <w:r>
        <w:rPr>
          <w:lang w:val="en-US" w:eastAsia="en-US" w:bidi="en-US"/>
          <w:w w:val="100"/>
          <w:spacing w:val="0"/>
          <w:color w:val="000000"/>
          <w:position w:val="0"/>
        </w:rPr>
        <w:t xml:space="preserve">Swan- Ganz </w:t>
      </w:r>
      <w:r>
        <w:rPr>
          <w:lang w:val="ru-RU" w:eastAsia="ru-RU" w:bidi="ru-RU"/>
          <w:w w:val="100"/>
          <w:spacing w:val="0"/>
          <w:color w:val="000000"/>
          <w:position w:val="0"/>
        </w:rPr>
        <w:t>катетера. Случаи диагностирования псев</w:t>
        <w:softHyphen/>
        <w:t>доаневризм легочной артерии описаны у паци</w:t>
        <w:softHyphen/>
        <w:t>ентов, подвергшихся оперативному вмешатель</w:t>
        <w:softHyphen/>
        <w:t>ству по поводу аортокоронарного шунтирова</w:t>
        <w:softHyphen/>
        <w:t xml:space="preserve">ния, у которых были установлены катетеры </w:t>
      </w:r>
      <w:r>
        <w:rPr>
          <w:lang w:val="en-US" w:eastAsia="en-US" w:bidi="en-US"/>
          <w:w w:val="100"/>
          <w:spacing w:val="0"/>
          <w:color w:val="000000"/>
          <w:position w:val="0"/>
        </w:rPr>
        <w:t>Swan-Ganz;</w:t>
      </w:r>
    </w:p>
    <w:p>
      <w:pPr>
        <w:pStyle w:val="Style30"/>
        <w:numPr>
          <w:ilvl w:val="0"/>
          <w:numId w:val="59"/>
        </w:numPr>
        <w:tabs>
          <w:tab w:leader="none" w:pos="493" w:val="left"/>
        </w:tabs>
        <w:widowControl w:val="0"/>
        <w:keepNext w:val="0"/>
        <w:keepLines w:val="0"/>
        <w:shd w:val="clear" w:color="auto" w:fill="auto"/>
        <w:bidi w:val="0"/>
        <w:spacing w:before="0" w:after="0"/>
        <w:ind w:left="480" w:right="0" w:hanging="220"/>
      </w:pPr>
      <w:r>
        <w:br w:type="column"/>
      </w:r>
      <w:r>
        <w:rPr>
          <w:lang w:val="ru-RU" w:eastAsia="ru-RU" w:bidi="ru-RU"/>
          <w:w w:val="100"/>
          <w:spacing w:val="0"/>
          <w:color w:val="000000"/>
          <w:position w:val="0"/>
        </w:rPr>
        <w:t>после проведения диагностических катетеризаций полостей сердца;</w:t>
      </w:r>
    </w:p>
    <w:p>
      <w:pPr>
        <w:pStyle w:val="Style30"/>
        <w:numPr>
          <w:ilvl w:val="0"/>
          <w:numId w:val="59"/>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в результате длительно функционирующего </w:t>
      </w:r>
      <w:r>
        <w:rPr>
          <w:lang w:val="en-US" w:eastAsia="en-US" w:bidi="en-US"/>
          <w:w w:val="100"/>
          <w:spacing w:val="0"/>
          <w:color w:val="000000"/>
          <w:position w:val="0"/>
        </w:rPr>
        <w:t xml:space="preserve">Waterston </w:t>
      </w:r>
      <w:r>
        <w:rPr>
          <w:lang w:val="ru-RU" w:eastAsia="ru-RU" w:bidi="ru-RU"/>
          <w:w w:val="100"/>
          <w:spacing w:val="0"/>
          <w:color w:val="000000"/>
          <w:position w:val="0"/>
        </w:rPr>
        <w:t>шунта;</w:t>
      </w:r>
    </w:p>
    <w:p>
      <w:pPr>
        <w:pStyle w:val="Style30"/>
        <w:numPr>
          <w:ilvl w:val="0"/>
          <w:numId w:val="59"/>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дилатация простетического сегмента легочной ар</w:t>
        <w:softHyphen/>
        <w:t xml:space="preserve">терии после операции </w:t>
      </w:r>
      <w:r>
        <w:rPr>
          <w:lang w:val="en-US" w:eastAsia="en-US" w:bidi="en-US"/>
          <w:w w:val="100"/>
          <w:spacing w:val="0"/>
          <w:color w:val="000000"/>
          <w:position w:val="0"/>
        </w:rPr>
        <w:t>Ross;</w:t>
      </w:r>
    </w:p>
    <w:p>
      <w:pPr>
        <w:pStyle w:val="Style30"/>
        <w:numPr>
          <w:ilvl w:val="0"/>
          <w:numId w:val="59"/>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псевдоаневризмы легочной артерии у пациентов с выполненной торакостомой;</w:t>
      </w:r>
    </w:p>
    <w:p>
      <w:pPr>
        <w:pStyle w:val="Style30"/>
        <w:numPr>
          <w:ilvl w:val="0"/>
          <w:numId w:val="59"/>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псевдоаневризмы легочной артерии после чрез- кожной транслюминальной ангиопластики;</w:t>
      </w:r>
    </w:p>
    <w:p>
      <w:pPr>
        <w:pStyle w:val="Style30"/>
        <w:numPr>
          <w:ilvl w:val="0"/>
          <w:numId w:val="59"/>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у пациентов с операцией </w:t>
      </w:r>
      <w:r>
        <w:rPr>
          <w:lang w:val="en-US" w:eastAsia="en-US" w:bidi="en-US"/>
          <w:w w:val="100"/>
          <w:spacing w:val="0"/>
          <w:color w:val="000000"/>
          <w:position w:val="0"/>
        </w:rPr>
        <w:t xml:space="preserve">Mustаrd </w:t>
      </w:r>
      <w:r>
        <w:rPr>
          <w:lang w:val="ru-RU" w:eastAsia="ru-RU" w:bidi="ru-RU"/>
          <w:w w:val="100"/>
          <w:spacing w:val="0"/>
          <w:color w:val="000000"/>
          <w:position w:val="0"/>
        </w:rPr>
        <w:t>в анамнезе;</w:t>
      </w:r>
    </w:p>
    <w:p>
      <w:pPr>
        <w:pStyle w:val="Style30"/>
        <w:numPr>
          <w:ilvl w:val="0"/>
          <w:numId w:val="59"/>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аневризмы инфундибулярного отдела легочной артерии как осложнение после полной коррекции тетрады Фалло.</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Синдром соединительнотканных дисплазий сердца</w:t>
      </w:r>
    </w:p>
    <w:p>
      <w:pPr>
        <w:pStyle w:val="Style30"/>
        <w:numPr>
          <w:ilvl w:val="0"/>
          <w:numId w:val="57"/>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ИДЛА является одним из проявлений синдрома со</w:t>
        <w:softHyphen/>
        <w:t>единительнотканных дисплазий сердца.</w:t>
      </w:r>
    </w:p>
    <w:p>
      <w:pPr>
        <w:pStyle w:val="Style30"/>
        <w:numPr>
          <w:ilvl w:val="0"/>
          <w:numId w:val="57"/>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соответствии с соглашением, достигнутым на заседа</w:t>
        <w:softHyphen/>
        <w:t>нии Нью-Йоркской ассоциации кардиологов (1987), ИДЛА относится ко второму классу соединительнот</w:t>
        <w:softHyphen/>
        <w:t>канных дисплазий сердца и входит в группу изолиро - ванных аномалий (мезодермальных) соединительнот</w:t>
        <w:softHyphen/>
        <w:t>канного каркаса сердца. К первому классу были отне</w:t>
        <w:softHyphen/>
        <w:t>сены соединительнотканные дисплазии сердца, свя</w:t>
        <w:softHyphen/>
        <w:t>занные с распознаваемыми синдромами — дифферен</w:t>
        <w:softHyphen/>
        <w:t>цированные соединительнотканные дисплазии, в том числе и различные мукополисахаридозы.</w:t>
      </w:r>
    </w:p>
    <w:p>
      <w:pPr>
        <w:pStyle w:val="Style30"/>
        <w:numPr>
          <w:ilvl w:val="0"/>
          <w:numId w:val="57"/>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Соединительнотканные дисплазии сердца могут вы</w:t>
        <w:softHyphen/>
        <w:t>являться вне связи с известными, наследственно обусловленными синдромами.</w:t>
      </w:r>
    </w:p>
    <w:p>
      <w:pPr>
        <w:pStyle w:val="Style30"/>
        <w:numPr>
          <w:ilvl w:val="0"/>
          <w:numId w:val="57"/>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Страдающие малыми аномалиями развития сердца также имеют сниженные возможности кардиомеха</w:t>
        <w:softHyphen/>
        <w:t>ники и малую переносимость физических нагрузок.</w:t>
      </w:r>
    </w:p>
    <w:p>
      <w:pPr>
        <w:pStyle w:val="Style30"/>
        <w:numPr>
          <w:ilvl w:val="0"/>
          <w:numId w:val="57"/>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больных с проявлениями синдрома СТД сердца имеющаяся «слабость» соединительной ткани прояв</w:t>
        <w:softHyphen/>
        <w:t>ляется не только особенностями в строении сердца, но и других органов и систем. Разнообразные анома</w:t>
        <w:softHyphen/>
        <w:t>лии опорно-двигательного аппарата, кожи и глаз счи</w:t>
        <w:softHyphen/>
        <w:t>тают своеобразными фенотипическими маркерами дисплазии соединительной ткани.</w:t>
      </w:r>
    </w:p>
    <w:p>
      <w:pPr>
        <w:pStyle w:val="Style30"/>
        <w:numPr>
          <w:ilvl w:val="0"/>
          <w:numId w:val="57"/>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 доклиническим критериям наследственно детер</w:t>
        <w:softHyphen/>
        <w:t>минированной соединительнотканной дисплазии со стороны сердечно-сосудистой системы, по мнению некоторых авторов, относятся микроаномалии разви</w:t>
        <w:softHyphen/>
        <w:t>тия сердца и магистральных сосудов, т.е. анатомичес</w:t>
        <w:softHyphen/>
        <w:t>кие изменения архитектоники сердца и магистраль</w:t>
        <w:softHyphen/>
        <w:t>ных сосудов, не приводящие к выраженным наруше</w:t>
        <w:softHyphen/>
        <w:t>ниям функционирования системы кровообращения. Часть из них изучена подробно, например дополни</w:t>
        <w:softHyphen/>
        <w:t>тельные хорды левого желудочка, пролабирование створок митрального клапана. В процессе онтогенеза детского организма некоторые микроаномалии могут претерпевать обратное развитие, к ним относятся овальное окно, длинный евстахиевый клапан.</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Патофизиология</w:t>
      </w:r>
    </w:p>
    <w:p>
      <w:pPr>
        <w:pStyle w:val="Style30"/>
        <w:numPr>
          <w:ilvl w:val="0"/>
          <w:numId w:val="57"/>
        </w:numPr>
        <w:tabs>
          <w:tab w:leader="none" w:pos="237" w:val="left"/>
        </w:tabs>
        <w:widowControl w:val="0"/>
        <w:keepNext w:val="0"/>
        <w:keepLines w:val="0"/>
        <w:shd w:val="clear" w:color="auto" w:fill="auto"/>
        <w:bidi w:val="0"/>
        <w:spacing w:before="0" w:after="0"/>
        <w:ind w:left="260" w:right="0"/>
      </w:pPr>
      <w:r>
        <w:pict>
          <v:shape id="_x0000_s1279" type="#_x0000_t75" style="position:absolute;margin-left:136.8pt;margin-top:736.55pt;width:209.75pt;height:14.9pt;z-index:-125829212;mso-wrap-distance-left:136.8pt;mso-wrap-distance-right:147.85pt;mso-wrap-distance-bottom:10.8pt;mso-position-horizontal-relative:margin;mso-position-vertical-relative:margin" wrapcoords="0 0 21600 0 21600 21600 0 21600 0 0">
            <v:imagedata r:id="rId411" r:href="rId412"/>
            <w10:wrap type="topAndBottom" anchorx="margin" anchory="margin"/>
          </v:shape>
        </w:pict>
      </w:r>
      <w:r>
        <w:rPr>
          <w:lang w:val="ru-RU" w:eastAsia="ru-RU" w:bidi="ru-RU"/>
          <w:w w:val="100"/>
          <w:spacing w:val="0"/>
          <w:color w:val="000000"/>
          <w:position w:val="0"/>
        </w:rPr>
        <w:t>Динамика состояния аневризматического расширения легочной артерии и потенциальная возможность разры</w:t>
        <w:softHyphen/>
        <w:t>ва стенки может быть объяснена одним из положений биомеханики — формулой Лапласа: натяжение стенки сосуда прямо пропорционально внутрисосудистому со</w:t>
        <w:softHyphen/>
        <w:t>противлению, при условии, что радиус сосуда есть вели</w:t>
        <w:softHyphen/>
        <w:t>чина, обратная значению толщины сосудистой стенки.</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Соответственно, чем тоньше сосудистая стенка и боль</w:t>
        <w:softHyphen/>
        <w:t>ше величина внутрисосудистого давления, тем больше вероятность разрыва дилатированного сегмента.</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Одним из патологических состояний, на фоне кото</w:t>
        <w:softHyphen/>
        <w:t>рых формируется идиопатическая дилатация легоч</w:t>
        <w:softHyphen/>
        <w:t>ной артерии, является легочная гипертензия.</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больных, страдающих хроническими заболевания</w:t>
        <w:softHyphen/>
        <w:t>ми магистральных сосудов сердца, доказано влияние ангиотензина II на кардиомиоциты, что в свою оче</w:t>
        <w:softHyphen/>
        <w:t>редь проявляется эндотелиальной дисфункцией.</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Освобождение ангиотензина II приводит к вазокон- стрикции почечных (эфферентных) артериол и сосу</w:t>
        <w:softHyphen/>
        <w:t>дов системной циркуляции, влияет на образование норадреналина из симпатических нервных оконча</w:t>
        <w:softHyphen/>
        <w:t xml:space="preserve">ний, способствует подавлению активности </w:t>
      </w:r>
      <w:r>
        <w:rPr>
          <w:lang w:val="en-US" w:eastAsia="en-US" w:bidi="en-US"/>
          <w:w w:val="100"/>
          <w:spacing w:val="0"/>
          <w:color w:val="000000"/>
          <w:position w:val="0"/>
        </w:rPr>
        <w:t xml:space="preserve">n.vagus </w:t>
      </w:r>
      <w:r>
        <w:rPr>
          <w:lang w:val="ru-RU" w:eastAsia="ru-RU" w:bidi="ru-RU"/>
          <w:w w:val="100"/>
          <w:spacing w:val="0"/>
          <w:color w:val="000000"/>
          <w:position w:val="0"/>
        </w:rPr>
        <w:t>и запуску процесса высвобождения альдостерона.</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Альдостерон способствует задержке солей натрия и воды и повышению уровня экскреции калия.</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Активация симпатической нервной системы проис</w:t>
        <w:softHyphen/>
        <w:t>ходит за счет импульсов, исходящих от барорецепто</w:t>
        <w:softHyphen/>
        <w:t>ров давления, и является неотъемлемой частью меха</w:t>
        <w:softHyphen/>
        <w:t>низма инотропной поддержки сердечного выброса. Однако условия хронической активации симпатичес</w:t>
        <w:softHyphen/>
        <w:t>кой нервной системы способствуют дальнейшему снижению сердечных функций.</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Раннее повышение уровня симпатической активнос</w:t>
        <w:softHyphen/>
        <w:t>ти можно рассматривать как неспецифический мар</w:t>
        <w:softHyphen/>
        <w:t>кер прогрессирования патологического процесса, ле</w:t>
        <w:softHyphen/>
        <w:t>жащего в основе измененного кровотока в легочной артерии.</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Длительно поддерживаемая симпатическая актив</w:t>
        <w:softHyphen/>
        <w:t>ность приводит к активации ренин-ангиотензин-аль- достероновой системы, повышению венозной и арте</w:t>
        <w:softHyphen/>
        <w:t>риальной нагрузки, увеличению концентрации плаз</w:t>
        <w:softHyphen/>
        <w:t>матического норадреналина, прогрессирующей ре</w:t>
        <w:softHyphen/>
        <w:t>тенции солей и воды и развитию отека.</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 течением времени способность миокарда отвечать на постоянно повышенные концентрации катехола</w:t>
        <w:softHyphen/>
        <w:t>минов истощается, что может быть связано с бароре</w:t>
        <w:softHyphen/>
        <w:t>цепторной дисфункцией и дальнейшим повышением симпатической активности.</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Снижение парасимпатической активности потенци</w:t>
        <w:softHyphen/>
        <w:t>ально может приводить к патологической автоном</w:t>
        <w:softHyphen/>
        <w:t xml:space="preserve">ной модуляции на уровне </w:t>
      </w:r>
      <w:r>
        <w:rPr>
          <w:lang w:val="en-US" w:eastAsia="en-US" w:bidi="en-US"/>
          <w:w w:val="100"/>
          <w:spacing w:val="0"/>
          <w:color w:val="000000"/>
          <w:position w:val="0"/>
        </w:rPr>
        <w:t>CA</w:t>
      </w:r>
      <w:r>
        <w:rPr>
          <w:lang w:val="ru-RU" w:eastAsia="ru-RU" w:bidi="ru-RU"/>
          <w:w w:val="100"/>
          <w:spacing w:val="0"/>
          <w:color w:val="000000"/>
          <w:position w:val="0"/>
        </w:rPr>
        <w:t>-узла.</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Получены данные о повышении частоты сердечного ритма у пациентов с хроническими заболеваниями сердца как результате преобладающих симпатических влияний и снижения уровня вагусной стимуляции </w:t>
      </w:r>
      <w:r>
        <w:rPr>
          <w:lang w:val="en-US" w:eastAsia="en-US" w:bidi="en-US"/>
          <w:w w:val="100"/>
          <w:spacing w:val="0"/>
          <w:color w:val="000000"/>
          <w:position w:val="0"/>
        </w:rPr>
        <w:t>CA</w:t>
      </w:r>
      <w:r>
        <w:rPr>
          <w:lang w:val="ru-RU" w:eastAsia="ru-RU" w:bidi="ru-RU"/>
          <w:w w:val="100"/>
          <w:spacing w:val="0"/>
          <w:color w:val="000000"/>
          <w:position w:val="0"/>
        </w:rPr>
        <w:t>-узла.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Эмбриология</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Ствол легочной артерии развивается в процессе пре</w:t>
        <w:softHyphen/>
        <w:t>образования жаберных артериальных дуг, разделения артериального ствола.</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 данным электронномикроскопического исследо</w:t>
        <w:softHyphen/>
        <w:t>вания, эндотелиоциты легочного ствола эмбрионов человека 6-7 недель внутриутробного развития харак</w:t>
        <w:softHyphen/>
        <w:t>теризуются развитыми структурами синтетического аппарата. Высокую синтетическую активность про</w:t>
        <w:softHyphen/>
        <w:t>являют и прилежащие к эндотелиоцитам мезенхим</w:t>
        <w:softHyphen/>
        <w:t>ные клетки, которые по мере развития приобретают черты миофибробластов или метаболических гладко</w:t>
        <w:softHyphen/>
        <w:t>мышечных клеток.</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Гистологическая дифференцировка стенки ствола ле</w:t>
        <w:softHyphen/>
        <w:t>гочной артерии (артерии эластического типа) во мно</w:t>
        <w:softHyphen/>
        <w:t>гом схожа с таковой в аорте. Однако имеются и отличия: так, размеры легочной артерии увеличиваются скачкоо</w:t>
        <w:softHyphen/>
        <w:t>бразно со 2-й половины антенатального онтогенеза, то</w:t>
        <w:softHyphen/>
        <w:t>гда как аорта развивается относительно равномерно на протяжении всего периода внутриутробного развития.</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Коллагеновые волокна в стенке легочного ствола че</w:t>
        <w:softHyphen/>
        <w:t>ловека появляются среди мезенхимных клеток рань</w:t>
        <w:softHyphen/>
        <w:t>ше эластических. Эластические же волокна начинают формироваться в микроокружении, создаваемом не мезенхимными клетками, а дифференцирующимися из них миофибробластами (малодифференцирован</w:t>
        <w:softHyphen/>
        <w:t>ными миобластами или незрелыми гладкомышечны</w:t>
        <w:softHyphen/>
        <w:t>ми клетками).</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Уже у плодов 4 мес. в средней оболочке стенки легоч - ного ствола имеются отдельные прослойки эластина, расположенные по окружности и отделенные друг от друга мышечными элементами, тонкими эластино- выми волокнами, коллагеном.</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За период 4-5 мес. пренатального развития клетки медии легочного ствола приобретают характерную для гладкомышечных клеток морфологию. Они име</w:t>
        <w:softHyphen/>
        <w:t>ют веретеновидную форму, организованный сократи</w:t>
        <w:softHyphen/>
        <w:t>тельный аппарат (филаменты), «плотные тельца», включающие альфа-актинин.</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 развитие легочного ствола влияют рост, развитие и интенсивность обмена в дыхательной паренхиме, а также гемодинамические факторы и дыхательные движения плода.</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 протяжении внутриутробного периода развития ветви легочного ствола характеризуются значитель</w:t>
        <w:softHyphen/>
        <w:t>ной толщиной стенки и узким просветом.</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Гистологические данные</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 момента рождения начинается кардинально новый этап развития легочного ствола и его ветвей. Метода</w:t>
        <w:softHyphen/>
        <w:t>ми электронномикроскопического исследования ус</w:t>
        <w:softHyphen/>
        <w:t>тановлено, что в течение первых 3 недель после рож</w:t>
        <w:softHyphen/>
        <w:t>дения объемная плотность коллагена, базальной мембраны и эластина в субэндокардиальном слое ле</w:t>
        <w:softHyphen/>
        <w:t>гочных артерий существенно увеличивается. Внут</w:t>
        <w:softHyphen/>
        <w:t>ренняя эластическая мембрана, незрелая во всех ар</w:t>
        <w:softHyphen/>
        <w:t>териях у новорожденного, увеличивается в толщину и становится более компактной у взрослых.</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Выраженные изменения происходят во внутренней оболочке легочных артерий. Уменьшается соотноше</w:t>
        <w:softHyphen/>
        <w:t>ние поверхности и объема эндотелия, что указывает на клеточный рост. Выпячивания на поверхности эн</w:t>
        <w:softHyphen/>
        <w:t>дотелия, интердигитации и области перекрытия, ха</w:t>
        <w:softHyphen/>
        <w:t>рактерные для внутренней оболочки плода, становят</w:t>
        <w:softHyphen/>
        <w:t>ся менее заметными.</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новорожденных морфология эндотелиоцитов ме</w:t>
        <w:softHyphen/>
        <w:t>няется быстрее и более значительно в периферичес</w:t>
        <w:softHyphen/>
        <w:t>ких артериях в сравнении с проксимальными.</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Как и во всех артериях эластического типа, с возрастом уменьшается эластичность легочной артерии, однако это сочетается с увеличением ее крупных стволов, что обеспечивает стабильность артериального давления.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Морфология</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Тромбы </w:t>
      </w:r>
      <w:r>
        <w:rPr>
          <w:lang w:val="en-US" w:eastAsia="en-US" w:bidi="en-US"/>
          <w:w w:val="100"/>
          <w:spacing w:val="0"/>
          <w:color w:val="000000"/>
          <w:position w:val="0"/>
        </w:rPr>
        <w:t>in situ.</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Гипертрофия гладкой мускулатуры.</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pict>
          <v:shape id="_x0000_s1280" type="#_x0000_t75" style="position:absolute;margin-left:141.85pt;margin-top:736.55pt;width:209.75pt;height:14.9pt;z-index:-125829211;mso-wrap-distance-left:135.6pt;mso-wrap-distance-right:136.55pt;mso-wrap-distance-bottom:10.8pt;mso-position-horizontal-relative:margin;mso-position-vertical-relative:margin" wrapcoords="0 0 21600 0 21600 21600 0 21600 0 0">
            <v:imagedata r:id="rId413" r:href="rId414"/>
            <w10:wrap type="topAndBottom" anchorx="margin" anchory="margin"/>
          </v:shape>
        </w:pict>
      </w:r>
      <w:r>
        <w:rPr>
          <w:lang w:val="ru-RU" w:eastAsia="ru-RU" w:bidi="ru-RU"/>
          <w:w w:val="100"/>
          <w:spacing w:val="0"/>
          <w:color w:val="000000"/>
          <w:position w:val="0"/>
        </w:rPr>
        <w:t>Пролиферация клеток интимы.</w:t>
      </w:r>
      <w:r>
        <w:br w:type="page"/>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Мукоидная дегенерация интимы, медии.</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Отсутствие коллагена I и III типов.</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Фрагментация эластических волокон.</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Перианевризматический фиброз и разрывы интимы.</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Миксоидная дегенерация интимы.</w:t>
      </w:r>
    </w:p>
    <w:p>
      <w:pPr>
        <w:pStyle w:val="Style30"/>
        <w:numPr>
          <w:ilvl w:val="0"/>
          <w:numId w:val="57"/>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Извилистость интраабдоминальных, интра- и экстра</w:t>
        <w:softHyphen/>
        <w:t>краниальных артерий.</w:t>
      </w:r>
    </w:p>
    <w:p>
      <w:pPr>
        <w:pStyle w:val="Style30"/>
        <w:numPr>
          <w:ilvl w:val="0"/>
          <w:numId w:val="57"/>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Признаки облитерирующего эндартериита конечно</w:t>
        <w:softHyphen/>
        <w:t>стей.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Фоновым процессом, с морфологической точки зрения, является системный некротизирующий васкулит, извест</w:t>
        <w:softHyphen/>
        <w:t xml:space="preserve">ный в англоязычной литературе как </w:t>
      </w:r>
      <w:r>
        <w:rPr>
          <w:lang w:val="en-US" w:eastAsia="en-US" w:bidi="en-US"/>
          <w:w w:val="100"/>
          <w:spacing w:val="0"/>
          <w:color w:val="000000"/>
          <w:position w:val="0"/>
        </w:rPr>
        <w:t>polyangiitis overlap syn</w:t>
        <w:softHyphen/>
        <w:t>drome.</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Большинством авторов указывается на бессимптом- ность течения идиопатической дилатации легочного ствола.</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периоде новорожденности при выраженном рас</w:t>
        <w:softHyphen/>
        <w:t>ширении ствола легочной артерии возможно появле</w:t>
        <w:softHyphen/>
        <w:t>ние в аускультативной картине акцента второго тона в точке проекции легочной артерии.</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школьного возраста и взрослых пациентов могут отмечаться жалобы на усталость, ухудшение са</w:t>
        <w:softHyphen/>
        <w:t>мочувствия после физической нагрузки, сопровожда</w:t>
        <w:softHyphen/>
        <w:t>емые появлением вегетативного компонента: голов</w:t>
        <w:softHyphen/>
        <w:t>ных болей, ощущений сердцебиения, головокруже</w:t>
        <w:softHyphen/>
        <w:t>ния, гипергидроза.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Физикальное обследование:</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Первый тон, следующий за кликом изгнания, макси</w:t>
        <w:softHyphen/>
        <w:t>мален во втором межреберье слева от грудины, ин</w:t>
        <w:softHyphen/>
        <w:t>тенсивность его может незначительно понижаться в фазу вдоха и в ортостазе.</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Второй тон акцентуирован (85% больных) и, как пра</w:t>
        <w:softHyphen/>
        <w:t>вило, широко расщеплен, что может быть связано с близким расположением ствола ЛА по отношению к передней стенке грудной клетки и дает основание заподозрить септальный предсердный дефект или умеренный стеноз легочной артерии.</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Характерными аускультативными симптомами у де</w:t>
        <w:softHyphen/>
        <w:t>тей с ИДЛА следует считать наличие систолического щелчка, определяющегося во втором-третьем межре- берье слева от грудины, и непостоянный диастоличе</w:t>
        <w:softHyphen/>
        <w:t>ский шум регургитации с клапана легочной артерии (шум Грехема-Стилла).</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Дополнительные звуковые феномены, связанные с пролапсом митрального клапана, могут обнаружи</w:t>
        <w:softHyphen/>
        <w:t>ваться у 30% детей. К ним отнесены средне- и поздне</w:t>
        <w:softHyphen/>
        <w:t>систолические щелчки в сочетании с позднесистоли</w:t>
        <w:softHyphen/>
        <w:t>ческим шумом или без него.</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Систолический шум изгнания определяется у 48% де</w:t>
        <w:softHyphen/>
        <w:t>тей. Интенсивность шума у всех обследованных детей изменяется при проведении позиционных проб: на</w:t>
        <w:softHyphen/>
        <w:t>растает после физической нагрузки в ортостатичес</w:t>
        <w:softHyphen/>
        <w:t>ком положении и уменьшается при принятии гори</w:t>
        <w:softHyphen/>
        <w:t>зонтального положения.</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Систолический шум, не связанный с изгнанием, над проекцией легочной артерии появляется при выра</w:t>
        <w:softHyphen/>
        <w:t>женной дилатации ствола (22,2% пациентов). Его возникновение связано с турбулентным потоком крови в стволе.</w:t>
      </w:r>
    </w:p>
    <w:p>
      <w:pPr>
        <w:pStyle w:val="Style30"/>
        <w:numPr>
          <w:ilvl w:val="0"/>
          <w:numId w:val="57"/>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Возможно появление систолического шума трикус</w:t>
        <w:softHyphen/>
        <w:t>пидальной недостаточности, связанного с дилатаци-</w:t>
      </w:r>
    </w:p>
    <w:p>
      <w:pPr>
        <w:pStyle w:val="Style30"/>
        <w:widowControl w:val="0"/>
        <w:keepNext w:val="0"/>
        <w:keepLines w:val="0"/>
        <w:shd w:val="clear" w:color="auto" w:fill="auto"/>
        <w:bidi w:val="0"/>
        <w:spacing w:before="0" w:after="0"/>
        <w:ind w:left="280" w:right="0" w:firstLine="0"/>
      </w:pPr>
      <w:r>
        <w:br w:type="column"/>
      </w:r>
      <w:r>
        <w:rPr>
          <w:lang w:val="ru-RU" w:eastAsia="ru-RU" w:bidi="ru-RU"/>
          <w:w w:val="100"/>
          <w:spacing w:val="0"/>
          <w:color w:val="000000"/>
          <w:position w:val="0"/>
        </w:rPr>
        <w:t>ей правого желудочка и возникающей вследствие этого систолической дисфункцией трикуспидального клапана. Одной из причин развития относительной трикуспидальной недостаточности (80% детей) следу</w:t>
        <w:softHyphen/>
        <w:t>ет считать дисфункцию структур трикуспидального клапана на фоне дисплазии соединительной ткани.</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Высокочастотный, угасающий по амплитуде диасто</w:t>
        <w:softHyphen/>
        <w:t>лический шум, появляющийся при расширении фиб</w:t>
        <w:softHyphen/>
        <w:t>розного кольца легочной артерии (22,2%).</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Существуют данные о возможности получения пози</w:t>
        <w:softHyphen/>
        <w:t xml:space="preserve">тивных результатов при тестировании на </w:t>
      </w:r>
      <w:r>
        <w:rPr>
          <w:lang w:val="en-US" w:eastAsia="en-US" w:bidi="en-US"/>
          <w:w w:val="100"/>
          <w:spacing w:val="0"/>
          <w:color w:val="000000"/>
          <w:position w:val="0"/>
        </w:rPr>
        <w:t>Hbs</w:t>
      </w:r>
      <w:r>
        <w:rPr>
          <w:lang w:val="ru-RU" w:eastAsia="ru-RU" w:bidi="ru-RU"/>
          <w:w w:val="100"/>
          <w:spacing w:val="0"/>
          <w:color w:val="000000"/>
          <w:position w:val="0"/>
        </w:rPr>
        <w:t xml:space="preserve">-антиген и </w:t>
      </w:r>
      <w:r>
        <w:rPr>
          <w:lang w:val="en-US" w:eastAsia="en-US" w:bidi="en-US"/>
          <w:w w:val="100"/>
          <w:spacing w:val="0"/>
          <w:color w:val="000000"/>
          <w:position w:val="0"/>
        </w:rPr>
        <w:t>HLA-B51.</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Выявление антифосфолипидных антител.</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Горизонтальное положение электрической оси серд</w:t>
        <w:softHyphen/>
        <w:t>ца отмечается у 1/2 больных.</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Почти у 50% детей отмечается отклонение электриче</w:t>
        <w:softHyphen/>
        <w:t xml:space="preserve">ской оси сердца вправо </w:t>
      </w:r>
      <w:r>
        <w:rPr>
          <w:lang w:val="en-US" w:eastAsia="en-US" w:bidi="en-US"/>
          <w:w w:val="100"/>
          <w:spacing w:val="0"/>
          <w:color w:val="000000"/>
          <w:position w:val="0"/>
        </w:rPr>
        <w:t xml:space="preserve">(PaAQRS&gt;90 </w:t>
      </w:r>
      <w:r>
        <w:rPr>
          <w:lang w:val="ru-RU" w:eastAsia="ru-RU" w:bidi="ru-RU"/>
          <w:w w:val="100"/>
          <w:spacing w:val="0"/>
          <w:color w:val="000000"/>
          <w:position w:val="0"/>
        </w:rPr>
        <w:t>град.), у 1/2 из них отклонение электрической оси обусловлено на</w:t>
        <w:softHyphen/>
        <w:t>личием неполной блокады правой ножки пучка Гиса.</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Характерна склонность к тахикардии (68,8%). Сину</w:t>
        <w:softHyphen/>
        <w:t>совую тахикардию в данном случае следует тракто</w:t>
        <w:softHyphen/>
        <w:t>вать как проявление дисфункции вегетативной нерв</w:t>
        <w:softHyphen/>
        <w:t>ной системы с преобладанием тонуса симпатическо</w:t>
        <w:softHyphen/>
        <w:t>го отдела, активирующего синусовый узел.</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У1/3 пациентов, как правило, имеет место брадикар</w:t>
        <w:softHyphen/>
        <w:t>дия, что, на наш взгляд, может быть расценено как компенсаторная реакция при ИДЛА, в основе кото</w:t>
        <w:softHyphen/>
        <w:t>рой лежит изменение закономерностей кровообра</w:t>
        <w:softHyphen/>
        <w:t>щения в малом круге при расширении основного ствола легочной артерии, реализуемая через повыше</w:t>
        <w:softHyphen/>
        <w:t>ние активности блуждающего нерва. Данный фено</w:t>
        <w:softHyphen/>
        <w:t xml:space="preserve">мен известен как кардио-кардиальный рефлекс (Бе- цольда-Яриша) </w:t>
      </w:r>
      <w:r>
        <w:rPr>
          <w:lang w:val="en-US" w:eastAsia="en-US" w:bidi="en-US"/>
          <w:w w:val="100"/>
          <w:spacing w:val="0"/>
          <w:color w:val="000000"/>
          <w:position w:val="0"/>
        </w:rPr>
        <w:t xml:space="preserve">(Bezold-Jaiisch). </w:t>
      </w:r>
      <w:r>
        <w:rPr>
          <w:lang w:val="ru-RU" w:eastAsia="ru-RU" w:bidi="ru-RU"/>
          <w:w w:val="100"/>
          <w:spacing w:val="0"/>
          <w:color w:val="000000"/>
          <w:position w:val="0"/>
        </w:rPr>
        <w:t>В его основе лежит усиление вагусного влияния на сердце при повыше</w:t>
        <w:softHyphen/>
        <w:t>нии давления крови в левом желудочке, приводящее к брадикардии.</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Увеличение амплитуды Т-зубца в стандартных груд</w:t>
        <w:softHyphen/>
        <w:t>ных отведениях наблюдается у большинства детей (84,4%).</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органов грудной клетки:</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Следует отметить, что рентгеновское исследование позволяет выявить ИДЛА и подтвердить ее выражен</w:t>
        <w:softHyphen/>
        <w:t>ность при индексе Мура более 40%, но не позволяет выявить истинную причину дилатации ЛА.</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всех детей отмечают увеличение дуги легочной ар</w:t>
        <w:softHyphen/>
        <w:t>терии, за счет чего форма сердечной тени соответ</w:t>
        <w:softHyphen/>
        <w:t>ствует триангулярной. Остальные дуги четко выраже</w:t>
        <w:softHyphen/>
        <w:t>ны, атриовазальные углы не увеличены, правильно расположены.</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Структура легочного сосудистого рисунка и легочных полей позволяет исключить застойные явления в со</w:t>
        <w:softHyphen/>
        <w:t>судах малого круга кровообращения.</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Кардиоторакальный индекс соответствует возраст</w:t>
        <w:softHyphen/>
        <w:t>ным значениям и составляет в среднем 46-44%.</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Индекс Мура составляет 30-40%.</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 (рис. 32):</w:t>
      </w:r>
    </w:p>
    <w:p>
      <w:pPr>
        <w:pStyle w:val="Style30"/>
        <w:numPr>
          <w:ilvl w:val="0"/>
          <w:numId w:val="57"/>
        </w:numPr>
        <w:tabs>
          <w:tab w:leader="none" w:pos="237" w:val="left"/>
        </w:tabs>
        <w:widowControl w:val="0"/>
        <w:keepNext w:val="0"/>
        <w:keepLines w:val="0"/>
        <w:shd w:val="clear" w:color="auto" w:fill="auto"/>
        <w:bidi w:val="0"/>
        <w:spacing w:before="0" w:after="0"/>
        <w:ind w:left="280" w:right="0" w:hanging="280"/>
        <w:sectPr>
          <w:pgSz w:w="11900" w:h="16840"/>
          <w:pgMar w:top="1574" w:left="1040" w:right="976" w:bottom="1809" w:header="0" w:footer="3" w:gutter="0"/>
          <w:rtlGutter w:val="0"/>
          <w:cols w:num="2" w:space="290"/>
          <w:noEndnote/>
          <w:docGrid w:linePitch="360"/>
        </w:sectPr>
      </w:pPr>
      <w:r>
        <w:rPr>
          <w:lang w:val="ru-RU" w:eastAsia="ru-RU" w:bidi="ru-RU"/>
          <w:w w:val="100"/>
          <w:spacing w:val="0"/>
          <w:color w:val="000000"/>
          <w:position w:val="0"/>
        </w:rPr>
        <w:t>Уже в периоде младенчества возможно проведение трансторакального эхокардиографического исследо</w:t>
        <w:softHyphen/>
        <w:t>вания, позволяющего оценить анатомическую состоя-</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60" w:after="60"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281" type="#_x0000_t75" style="position:absolute;margin-left:132.4pt;margin-top:0;width:209.75pt;height:14.9pt;z-index:-251658710;mso-wrap-distance-left:5.pt;mso-wrap-distance-right:5.pt;mso-position-horizontal-relative:margin" wrapcoords="0 0">
            <v:imagedata r:id="rId415" r:href="rId416"/>
            <w10:wrap anchorx="margin"/>
          </v:shape>
        </w:pict>
      </w:r>
    </w:p>
    <w:p>
      <w:pPr>
        <w:widowControl w:val="0"/>
        <w:rPr>
          <w:sz w:val="2"/>
          <w:szCs w:val="2"/>
        </w:rPr>
        <w:sectPr>
          <w:type w:val="continuous"/>
          <w:pgSz w:w="11900" w:h="16840"/>
          <w:pgMar w:top="1468" w:left="1124" w:right="894" w:bottom="192" w:header="0" w:footer="3" w:gutter="0"/>
          <w:rtlGutter w:val="0"/>
          <w:cols w:space="720"/>
          <w:noEndnote/>
          <w:docGrid w:linePitch="360"/>
        </w:sectPr>
      </w:pPr>
    </w:p>
    <w:p>
      <w:pPr>
        <w:pStyle w:val="Style30"/>
        <w:widowControl w:val="0"/>
        <w:keepNext w:val="0"/>
        <w:keepLines w:val="0"/>
        <w:shd w:val="clear" w:color="auto" w:fill="auto"/>
        <w:bidi w:val="0"/>
        <w:spacing w:before="0" w:after="0" w:line="192" w:lineRule="exact"/>
        <w:ind w:left="0" w:right="0" w:firstLine="0"/>
        <w:sectPr>
          <w:pgSz w:w="11900" w:h="16840"/>
          <w:pgMar w:top="1637" w:left="903" w:right="1119" w:bottom="207" w:header="0" w:footer="3" w:gutter="0"/>
          <w:rtlGutter w:val="0"/>
          <w:cols w:space="720"/>
          <w:noEndnote/>
          <w:docGrid w:linePitch="360"/>
        </w:sectPr>
      </w:pPr>
      <w:r>
        <w:pict>
          <v:shape id="_x0000_s1282" type="#_x0000_t75" style="position:absolute;margin-left:206.9pt;margin-top:-28.3pt;width:286.1pt;height:200.65pt;z-index:-125829210;mso-wrap-distance-left:32.9pt;mso-wrap-distance-right:5.pt;mso-position-horizontal-relative:margin" wrapcoords="0 0 21600 0 21600 21600 0 21600 0 0">
            <v:imagedata r:id="rId417" r:href="rId418"/>
            <w10:wrap type="square" side="left" anchorx="margin"/>
          </v:shape>
        </w:pict>
      </w:r>
      <w:r>
        <w:rPr>
          <w:rStyle w:val="CharStyle102"/>
        </w:rPr>
        <w:t xml:space="preserve">Рис. 32. </w:t>
      </w:r>
      <w:r>
        <w:rPr>
          <w:lang w:val="ru-RU" w:eastAsia="ru-RU" w:bidi="ru-RU"/>
          <w:w w:val="100"/>
          <w:spacing w:val="0"/>
          <w:color w:val="000000"/>
          <w:position w:val="0"/>
        </w:rPr>
        <w:t>Двухмерная эхокардиограмма при идио</w:t>
        <w:softHyphen/>
        <w:t>патической дилатации легочной артерии: видно аневризматическое расширение ствола.</w:t>
      </w:r>
    </w:p>
    <w:p>
      <w:pPr>
        <w:widowControl w:val="0"/>
        <w:spacing w:before="104" w:after="104" w:line="240" w:lineRule="exact"/>
        <w:rPr>
          <w:sz w:val="19"/>
          <w:szCs w:val="19"/>
        </w:rPr>
      </w:pPr>
    </w:p>
    <w:p>
      <w:pPr>
        <w:widowControl w:val="0"/>
        <w:rPr>
          <w:sz w:val="2"/>
          <w:szCs w:val="2"/>
        </w:rPr>
        <w:sectPr>
          <w:type w:val="continuous"/>
          <w:pgSz w:w="11900" w:h="16840"/>
          <w:pgMar w:top="1579" w:left="0" w:right="0" w:bottom="1795" w:header="0" w:footer="3" w:gutter="0"/>
          <w:rtlGutter w:val="0"/>
          <w:cols w:space="720"/>
          <w:noEndnote/>
          <w:docGrid w:linePitch="360"/>
        </w:sectPr>
      </w:pPr>
    </w:p>
    <w:p>
      <w:pPr>
        <w:widowControl w:val="0"/>
        <w:rPr>
          <w:sz w:val="2"/>
          <w:szCs w:val="2"/>
        </w:rPr>
      </w:pPr>
      <w:r>
        <w:pict>
          <v:shape id="_x0000_s1283" type="#_x0000_t75" style="position:absolute;margin-left:141.45pt;margin-top:508.8pt;width:209.75pt;height:14.9pt;z-index:-125829209;mso-wrap-distance-left:136.1pt;mso-wrap-distance-right:136.8pt;mso-wrap-distance-bottom:10.8pt;mso-position-horizontal-relative:margin" wrapcoords="0 0 21600 0 21600 21600 0 21600 0 0">
            <v:imagedata r:id="rId419" r:href="rId420"/>
            <w10:wrap type="topAndBottom" anchorx="margin"/>
          </v:shape>
        </w:pic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тельность створок клапана легочной артерии, величи</w:t>
        <w:softHyphen/>
        <w:t>ны диаметров на уровне кольца клапана и уровне ство - ла легочной артерии, функцию правых отделов сердца.</w:t>
      </w:r>
    </w:p>
    <w:p>
      <w:pPr>
        <w:pStyle w:val="Style30"/>
        <w:numPr>
          <w:ilvl w:val="0"/>
          <w:numId w:val="5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Эхокардиографическое обследование у детей ранне</w:t>
        <w:softHyphen/>
        <w:t>го, раннего школьного и старшего школьного возрас</w:t>
        <w:softHyphen/>
        <w:t>тов позволяет выявить дилатацию основного ствола легочной артерии при нормальном характере движе</w:t>
        <w:softHyphen/>
        <w:t>ния створок клапана.</w:t>
      </w:r>
    </w:p>
    <w:p>
      <w:pPr>
        <w:pStyle w:val="Style30"/>
        <w:numPr>
          <w:ilvl w:val="0"/>
          <w:numId w:val="5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допплер-эхокардиографии в выносящем тракте правого желудочка, несмотря на нормальное давле</w:t>
        <w:softHyphen/>
        <w:t>ние в легочной артерии, отмечаются треугольные, круглые и промежуточные типы потока. Одновре</w:t>
        <w:softHyphen/>
        <w:t>менно выявляется среднесистолическая выемка, свя</w:t>
        <w:softHyphen/>
        <w:t>занная с тем, что отраженный фронт волны давления доходит до клапана раньше и вызывает его раннее за</w:t>
        <w:softHyphen/>
        <w:t>крытие. Кроме того, в дилатированном стволе ЛА во</w:t>
        <w:softHyphen/>
        <w:t>круг клапана образуются добавочные вихревые пото</w:t>
        <w:softHyphen/>
        <w:t>ки, что также способствует его раннему закрытию.</w:t>
      </w:r>
    </w:p>
    <w:p>
      <w:pPr>
        <w:pStyle w:val="Style30"/>
        <w:numPr>
          <w:ilvl w:val="0"/>
          <w:numId w:val="5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 критериям эхокардиографической диагностики ИДЛА относят следующие: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Одномерное эхокардиографическое обследование:</w:t>
      </w:r>
    </w:p>
    <w:p>
      <w:pPr>
        <w:pStyle w:val="Style30"/>
        <w:numPr>
          <w:ilvl w:val="0"/>
          <w:numId w:val="5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Раннее систолическое прикрытие створки клапана легочной артерии.</w:t>
      </w:r>
    </w:p>
    <w:p>
      <w:pPr>
        <w:pStyle w:val="Style30"/>
        <w:numPr>
          <w:ilvl w:val="0"/>
          <w:numId w:val="5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Нормальный эхо-паттерн диастолического движения клапана легочной артерии.</w:t>
      </w:r>
    </w:p>
    <w:p>
      <w:pPr>
        <w:pStyle w:val="Style30"/>
        <w:numPr>
          <w:ilvl w:val="0"/>
          <w:numId w:val="5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Дилатация правого желудочка.</w:t>
      </w:r>
    </w:p>
    <w:p>
      <w:pPr>
        <w:pStyle w:val="Style30"/>
        <w:numPr>
          <w:ilvl w:val="0"/>
          <w:numId w:val="5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Парадоксальное движение межжелудочковой перего - родки.</w:t>
      </w:r>
    </w:p>
    <w:p>
      <w:pPr>
        <w:pStyle w:val="Style30"/>
        <w:numPr>
          <w:ilvl w:val="0"/>
          <w:numId w:val="5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Диастолическое трепетание передней створки трику</w:t>
        <w:softHyphen/>
        <w:t>спидального клапана.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Двухмерное эхокардиографическое обследование:</w:t>
      </w:r>
    </w:p>
    <w:p>
      <w:pPr>
        <w:pStyle w:val="Style30"/>
        <w:numPr>
          <w:ilvl w:val="0"/>
          <w:numId w:val="5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Дилатация ствола легочной артерии при нормальном строении клапана.</w:t>
      </w:r>
    </w:p>
    <w:p>
      <w:pPr>
        <w:pStyle w:val="Style30"/>
        <w:numPr>
          <w:ilvl w:val="0"/>
          <w:numId w:val="5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Отсутствие сопутствующих признаков врожденных аномалий и проявлений легочной гипертензии.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Допплерэхокардиография:</w:t>
      </w:r>
    </w:p>
    <w:p>
      <w:pPr>
        <w:pStyle w:val="Style30"/>
        <w:numPr>
          <w:ilvl w:val="0"/>
          <w:numId w:val="5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Регургитантный поток под створками легочной арте</w:t>
        <w:softHyphen/>
        <w:t>рии вследствие относительной недостаточности кла</w:t>
        <w:softHyphen/>
        <w:t>пана (обычно не более ++).</w:t>
      </w:r>
    </w:p>
    <w:p>
      <w:pPr>
        <w:pStyle w:val="Style30"/>
        <w:numPr>
          <w:ilvl w:val="0"/>
          <w:numId w:val="57"/>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Отсутствие проявлений высокой легочной гипертен</w:t>
        <w:softHyphen/>
        <w:t>зии и лево-правых шунтовых потоков.</w:t>
      </w:r>
    </w:p>
    <w:p>
      <w:pPr>
        <w:pStyle w:val="Style30"/>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Катетеризация сердца:</w:t>
      </w:r>
    </w:p>
    <w:p>
      <w:pPr>
        <w:pStyle w:val="Style30"/>
        <w:numPr>
          <w:ilvl w:val="0"/>
          <w:numId w:val="5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Величина оптимального показателя систолического давления правого желудочка менее 30 мм рт. ст.</w:t>
      </w:r>
    </w:p>
    <w:p>
      <w:pPr>
        <w:pStyle w:val="Style30"/>
        <w:numPr>
          <w:ilvl w:val="0"/>
          <w:numId w:val="5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Величина легочного сопротивления менее 200 </w:t>
      </w:r>
      <w:r>
        <w:rPr>
          <w:lang w:val="en-US" w:eastAsia="en-US" w:bidi="en-US"/>
          <w:w w:val="100"/>
          <w:spacing w:val="0"/>
          <w:color w:val="000000"/>
          <w:position w:val="0"/>
        </w:rPr>
        <w:t xml:space="preserve">dyn. </w:t>
      </w:r>
      <w:r>
        <w:rPr>
          <w:lang w:val="ru-RU" w:eastAsia="ru-RU" w:bidi="ru-RU"/>
          <w:w w:val="100"/>
          <w:spacing w:val="0"/>
          <w:color w:val="000000"/>
          <w:position w:val="0"/>
        </w:rPr>
        <w:t xml:space="preserve">х </w:t>
      </w:r>
      <w:r>
        <w:rPr>
          <w:lang w:val="en-US" w:eastAsia="en-US" w:bidi="en-US"/>
          <w:w w:val="100"/>
          <w:spacing w:val="0"/>
          <w:color w:val="000000"/>
          <w:position w:val="0"/>
        </w:rPr>
        <w:t xml:space="preserve">s </w:t>
      </w:r>
      <w:r>
        <w:rPr>
          <w:lang w:val="ru-RU" w:eastAsia="ru-RU" w:bidi="ru-RU"/>
          <w:w w:val="100"/>
          <w:spacing w:val="0"/>
          <w:color w:val="000000"/>
          <w:position w:val="0"/>
        </w:rPr>
        <w:t xml:space="preserve">х </w:t>
      </w:r>
      <w:r>
        <w:rPr>
          <w:lang w:val="en-US" w:eastAsia="en-US" w:bidi="en-US"/>
          <w:w w:val="100"/>
          <w:spacing w:val="0"/>
          <w:color w:val="000000"/>
          <w:position w:val="0"/>
        </w:rPr>
        <w:t xml:space="preserve">cm-5 </w:t>
      </w:r>
      <w:r>
        <w:rPr>
          <w:lang w:val="ru-RU" w:eastAsia="ru-RU" w:bidi="ru-RU"/>
          <w:w w:val="100"/>
          <w:spacing w:val="0"/>
          <w:color w:val="000000"/>
          <w:position w:val="0"/>
        </w:rPr>
        <w:t>(данный нормативный показатель действителен для больных с выраженной легочной гипертензией).</w:t>
      </w:r>
    </w:p>
    <w:p>
      <w:pPr>
        <w:pStyle w:val="Style30"/>
        <w:numPr>
          <w:ilvl w:val="0"/>
          <w:numId w:val="5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Исключение сопутствующих внутрисердечных ано</w:t>
        <w:softHyphen/>
        <w:t>малий.</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Ангиография сосудов малого круга кровообращения:</w:t>
      </w:r>
    </w:p>
    <w:p>
      <w:pPr>
        <w:pStyle w:val="Style30"/>
        <w:numPr>
          <w:ilvl w:val="0"/>
          <w:numId w:val="5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Визуализируется дилатация ствола, главных правой, левой или обеих легочных артерий.</w:t>
      </w:r>
    </w:p>
    <w:p>
      <w:pPr>
        <w:pStyle w:val="Style30"/>
        <w:numPr>
          <w:ilvl w:val="0"/>
          <w:numId w:val="5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Выявление места локализации и типа (мешотчатые, грибовидные, цилиндрические) аневризм.</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Магниторезонансная томография:</w:t>
      </w:r>
    </w:p>
    <w:p>
      <w:pPr>
        <w:pStyle w:val="Style30"/>
        <w:widowControl w:val="0"/>
        <w:keepNext w:val="0"/>
        <w:keepLines w:val="0"/>
        <w:shd w:val="clear" w:color="auto" w:fill="auto"/>
        <w:bidi w:val="0"/>
        <w:jc w:val="center"/>
        <w:spacing w:before="0" w:after="0"/>
        <w:ind w:left="0" w:right="40" w:firstLine="0"/>
      </w:pPr>
      <w:r>
        <w:rPr>
          <w:lang w:val="ru-RU" w:eastAsia="ru-RU" w:bidi="ru-RU"/>
          <w:w w:val="100"/>
          <w:spacing w:val="0"/>
          <w:color w:val="000000"/>
          <w:position w:val="0"/>
        </w:rPr>
        <w:t>• Позволяет оценить параметры, анатомические</w:t>
        <w:br/>
        <w:t>и структурные особенности легочной артерии.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Компьютерная томография: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Диагностическую ценность представляют:</w:t>
      </w:r>
    </w:p>
    <w:p>
      <w:pPr>
        <w:pStyle w:val="Style30"/>
        <w:numPr>
          <w:ilvl w:val="0"/>
          <w:numId w:val="5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Трехмерная спиральная компьютерная томография показана в клинических случаях, когда имеет место ассоциация идиопатической дилатации легочной ар</w:t>
        <w:softHyphen/>
        <w:t>терии с врожденным пороком сердца.</w:t>
      </w:r>
    </w:p>
    <w:p>
      <w:pPr>
        <w:pStyle w:val="Style30"/>
        <w:numPr>
          <w:ilvl w:val="0"/>
          <w:numId w:val="5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Оценивается диаметр основного ствола и ветвей ле</w:t>
        <w:softHyphen/>
        <w:t>гочных артерий, наличие стенозированных сегмен</w:t>
        <w:softHyphen/>
        <w:t>тов, наличие и диаметр аорто-пульмонарных колла</w:t>
        <w:softHyphen/>
        <w:t>тералей.</w:t>
      </w:r>
    </w:p>
    <w:p>
      <w:pPr>
        <w:pStyle w:val="Style30"/>
        <w:numPr>
          <w:ilvl w:val="0"/>
          <w:numId w:val="5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Чувствительность спиральной компьютерной томо</w:t>
        <w:softHyphen/>
        <w:t>графии в визуализации анатомических особенностей легочной артерии составляет 90%, специфичность — 100%, точность — 93%. Точность при проведении эхо</w:t>
        <w:softHyphen/>
        <w:t>кардиографии, по данным исследований, составляет 65%.</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Радионуклидная ангиография в сочетании со сканиро</w:t>
        <w:softHyphen/>
        <w:t>ванием легких:</w:t>
      </w:r>
    </w:p>
    <w:p>
      <w:pPr>
        <w:pStyle w:val="Style30"/>
        <w:numPr>
          <w:ilvl w:val="0"/>
          <w:numId w:val="5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Используется Тс 99 </w:t>
      </w:r>
      <w:r>
        <w:rPr>
          <w:lang w:val="en-US" w:eastAsia="en-US" w:bidi="en-US"/>
          <w:w w:val="100"/>
          <w:spacing w:val="0"/>
          <w:color w:val="000000"/>
          <w:position w:val="0"/>
        </w:rPr>
        <w:t>m.</w:t>
      </w:r>
    </w:p>
    <w:p>
      <w:pPr>
        <w:pStyle w:val="Style30"/>
        <w:numPr>
          <w:ilvl w:val="0"/>
          <w:numId w:val="5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Достоинства и информативность метода могут кон</w:t>
        <w:softHyphen/>
        <w:t>курировать с данными, полученными при КТ.</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Бронхография:</w:t>
      </w:r>
    </w:p>
    <w:p>
      <w:pPr>
        <w:pStyle w:val="Style30"/>
        <w:numPr>
          <w:ilvl w:val="0"/>
          <w:numId w:val="5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Исключает патологию трахеи и бронхов.</w:t>
      </w:r>
    </w:p>
    <w:p>
      <w:pPr>
        <w:pStyle w:val="Style30"/>
        <w:numPr>
          <w:ilvl w:val="0"/>
          <w:numId w:val="5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Возможно сдавление левого главного бронха анев</w:t>
        <w:softHyphen/>
        <w:t>ризмой легочной артерии.</w:t>
      </w:r>
      <w:r>
        <w:br w:type="page"/>
      </w:r>
    </w:p>
    <w:p>
      <w:pPr>
        <w:pStyle w:val="Style92"/>
        <w:widowControl w:val="0"/>
        <w:keepNext/>
        <w:keepLines/>
        <w:shd w:val="clear" w:color="auto" w:fill="auto"/>
        <w:bidi w:val="0"/>
        <w:spacing w:before="0" w:after="0" w:line="211" w:lineRule="exact"/>
        <w:ind w:left="500" w:right="0" w:hanging="220"/>
      </w:pPr>
      <w:bookmarkStart w:id="389" w:name="bookmark389"/>
      <w:r>
        <w:rPr>
          <w:lang w:val="ru-RU" w:eastAsia="ru-RU" w:bidi="ru-RU"/>
          <w:w w:val="100"/>
          <w:spacing w:val="0"/>
          <w:color w:val="000000"/>
          <w:position w:val="0"/>
        </w:rPr>
        <w:t>Дифференциальная диагностика</w:t>
      </w:r>
      <w:bookmarkEnd w:id="389"/>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Наследственная патология соединительной ткани (Марфана и Элерса-Данлоса синдромы).</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en-US" w:eastAsia="en-US" w:bidi="en-US"/>
          <w:w w:val="100"/>
          <w:spacing w:val="0"/>
          <w:color w:val="000000"/>
          <w:position w:val="0"/>
        </w:rPr>
        <w:t xml:space="preserve">CATCH </w:t>
      </w:r>
      <w:r>
        <w:rPr>
          <w:lang w:val="ru-RU" w:eastAsia="ru-RU" w:bidi="ru-RU"/>
          <w:w w:val="100"/>
          <w:spacing w:val="0"/>
          <w:color w:val="000000"/>
          <w:position w:val="0"/>
        </w:rPr>
        <w:t>22.</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en-US" w:eastAsia="en-US" w:bidi="en-US"/>
          <w:w w:val="100"/>
          <w:spacing w:val="0"/>
          <w:color w:val="000000"/>
          <w:position w:val="0"/>
        </w:rPr>
        <w:t xml:space="preserve">Smith-Lemli-Opitz </w:t>
      </w:r>
      <w:r>
        <w:rPr>
          <w:lang w:val="ru-RU" w:eastAsia="ru-RU" w:bidi="ru-RU"/>
          <w:w w:val="100"/>
          <w:spacing w:val="0"/>
          <w:color w:val="000000"/>
          <w:position w:val="0"/>
        </w:rPr>
        <w:t>синдром.</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Трисомия 21 и 13.</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 xml:space="preserve">Болезнь Чагаса </w:t>
      </w:r>
      <w:r>
        <w:rPr>
          <w:lang w:val="en-US" w:eastAsia="en-US" w:bidi="en-US"/>
          <w:w w:val="100"/>
          <w:spacing w:val="0"/>
          <w:color w:val="000000"/>
          <w:position w:val="0"/>
        </w:rPr>
        <w:t>(Chagas).</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Изолированный стеноз легочной артерии.</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Клапанный стеноз легочной артерии.</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Подклапанный (инфундибулярный) стеноз легочной артерии.</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Надклапанный стеноз легочной артерии.</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Врожденная недостаточность клапана легочной ар</w:t>
        <w:softHyphen/>
        <w:t>терии.</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Дефект межпредсердной перегородки.</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Дефект межжелудочковой перегородки.</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Дефект аортолегочной перегородки.</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Васкулиты.</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Легочная гипертензия.</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Ревматизм.</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Злокачественная мезотелиома.</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Хориокарцинома легочной артерии.</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Лейомиосаркома легочной артерии.</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 xml:space="preserve">Болезнь </w:t>
      </w:r>
      <w:r>
        <w:rPr>
          <w:lang w:val="en-US" w:eastAsia="en-US" w:bidi="en-US"/>
          <w:w w:val="100"/>
          <w:spacing w:val="0"/>
          <w:color w:val="000000"/>
          <w:position w:val="0"/>
        </w:rPr>
        <w:t xml:space="preserve">Behcet. </w:t>
      </w:r>
      <w:r>
        <w:rPr>
          <w:lang w:val="ru-RU" w:eastAsia="ru-RU" w:bidi="ru-RU"/>
          <w:w w:val="100"/>
          <w:spacing w:val="0"/>
          <w:color w:val="000000"/>
          <w:position w:val="0"/>
        </w:rPr>
        <w:t>Клиническая триада включает: гени</w:t>
        <w:softHyphen/>
        <w:t>тальные язвы (у 91% больных), язвенные поражения слизистой рта (в 100% случаев), поражение глаз, вклю</w:t>
        <w:softHyphen/>
        <w:t>чающее рецидивирующий ирит (50%), дилатация ле</w:t>
        <w:softHyphen/>
        <w:t>гочных артерий с прогрессирующим расширением и формированием аневризмы, васкулит с преимущест</w:t>
        <w:softHyphen/>
        <w:t>венным поражением венозного русла, выраженным не</w:t>
        <w:softHyphen/>
        <w:t>кротическим компонентом. Встречаются также кожные проявления (83%), скелетномышечные (75%) и вовле</w:t>
        <w:softHyphen/>
        <w:t>чение ЦНС (50%), аневризмы артерий конечностей.</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 xml:space="preserve">Синдром </w:t>
      </w:r>
      <w:r>
        <w:rPr>
          <w:lang w:val="en-US" w:eastAsia="en-US" w:bidi="en-US"/>
          <w:w w:val="100"/>
          <w:spacing w:val="0"/>
          <w:color w:val="000000"/>
          <w:position w:val="0"/>
        </w:rPr>
        <w:t xml:space="preserve">Hughes-Stovin, </w:t>
      </w:r>
      <w:r>
        <w:rPr>
          <w:lang w:val="ru-RU" w:eastAsia="ru-RU" w:bidi="ru-RU"/>
          <w:w w:val="100"/>
          <w:spacing w:val="0"/>
          <w:color w:val="000000"/>
          <w:position w:val="0"/>
        </w:rPr>
        <w:t>включающий тромбоз пери</w:t>
        <w:softHyphen/>
        <w:t>ферических глубоких вен и вен сагиттального синуса, множественные аневризмы легочной артерии и, в ря</w:t>
        <w:softHyphen/>
        <w:t>де случаев, множественные аневризмы бронхиальных артерий. Данный синдром является клиническим ва</w:t>
        <w:softHyphen/>
        <w:t xml:space="preserve">риантом синдрома </w:t>
      </w:r>
      <w:r>
        <w:rPr>
          <w:lang w:val="en-US" w:eastAsia="en-US" w:bidi="en-US"/>
          <w:w w:val="100"/>
          <w:spacing w:val="0"/>
          <w:color w:val="000000"/>
          <w:position w:val="0"/>
        </w:rPr>
        <w:t>Behcet.</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 xml:space="preserve">Синдром </w:t>
      </w:r>
      <w:r>
        <w:rPr>
          <w:lang w:val="en-US" w:eastAsia="en-US" w:bidi="en-US"/>
          <w:w w:val="100"/>
          <w:spacing w:val="0"/>
          <w:color w:val="000000"/>
          <w:position w:val="0"/>
        </w:rPr>
        <w:t xml:space="preserve">Cossio </w:t>
      </w:r>
      <w:r>
        <w:rPr>
          <w:lang w:val="ru-RU" w:eastAsia="ru-RU" w:bidi="ru-RU"/>
          <w:w w:val="100"/>
          <w:spacing w:val="0"/>
          <w:color w:val="000000"/>
          <w:position w:val="0"/>
        </w:rPr>
        <w:t>— сочетание врожденной дилатации (аневризмы) легочной артерии с дефектом межпред</w:t>
        <w:softHyphen/>
        <w:t>сердной перегородки.</w:t>
      </w:r>
    </w:p>
    <w:p>
      <w:pPr>
        <w:pStyle w:val="Style30"/>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Медицинская помощь</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Стабильность пациентов и отсутствие отягощающих факторов допускают консервативную тактику ведения.</w:t>
      </w:r>
    </w:p>
    <w:p>
      <w:pPr>
        <w:pStyle w:val="Style30"/>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Хирургическая коррекция проводится при исходе идио</w:t>
        <w:softHyphen/>
        <w:t>патической дилатации в аневризму легочной артерии. В этих случаях проводятся следующие виды операций:</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Аневризмэктомия — проводится резецирование ане</w:t>
        <w:softHyphen/>
        <w:t>вризматического образования с пластикой образо</w:t>
        <w:softHyphen/>
        <w:t>вавшегося дефекта.</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Аневризморрафия.</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Лигирование аневризматического мешка.</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 xml:space="preserve">Сегментная резекция с вшиванием протеза </w:t>
      </w:r>
      <w:r>
        <w:rPr>
          <w:lang w:val="en-US" w:eastAsia="en-US" w:bidi="en-US"/>
          <w:w w:val="100"/>
          <w:spacing w:val="0"/>
          <w:color w:val="000000"/>
          <w:position w:val="0"/>
        </w:rPr>
        <w:t>Hemashield.</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Стентирование.</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 xml:space="preserve">Эндоваскулярная эмболизация с использованием </w:t>
      </w:r>
      <w:r>
        <w:rPr>
          <w:lang w:val="en-US" w:eastAsia="en-US" w:bidi="en-US"/>
          <w:w w:val="100"/>
          <w:spacing w:val="0"/>
          <w:color w:val="000000"/>
          <w:position w:val="0"/>
        </w:rPr>
        <w:t>n</w:t>
      </w:r>
      <w:r>
        <w:rPr>
          <w:lang w:val="ru-RU" w:eastAsia="ru-RU" w:bidi="ru-RU"/>
          <w:w w:val="100"/>
          <w:spacing w:val="0"/>
          <w:color w:val="000000"/>
          <w:position w:val="0"/>
        </w:rPr>
        <w:t>-бутил-цианокрилата.</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Лобэктомия или пневмонэктомия.</w:t>
      </w:r>
    </w:p>
    <w:p>
      <w:pPr>
        <w:pStyle w:val="Style30"/>
        <w:numPr>
          <w:ilvl w:val="0"/>
          <w:numId w:val="57"/>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Пересадка обоих легких и реконструкция легочной артерии (выполнена у больного с признаками легоч</w:t>
        <w:softHyphen/>
        <w:t>ной гипертензии).</w:t>
      </w:r>
    </w:p>
    <w:p>
      <w:pPr>
        <w:pStyle w:val="Style92"/>
        <w:widowControl w:val="0"/>
        <w:keepNext/>
        <w:keepLines/>
        <w:shd w:val="clear" w:color="auto" w:fill="auto"/>
        <w:bidi w:val="0"/>
        <w:spacing w:before="0" w:after="0"/>
        <w:ind w:left="0" w:right="0" w:firstLine="280"/>
      </w:pPr>
      <w:r>
        <w:br w:type="column"/>
      </w:r>
      <w:bookmarkStart w:id="390" w:name="bookmark390"/>
      <w:r>
        <w:rPr>
          <w:lang w:val="ru-RU" w:eastAsia="ru-RU" w:bidi="ru-RU"/>
          <w:w w:val="100"/>
          <w:spacing w:val="0"/>
          <w:color w:val="000000"/>
          <w:position w:val="0"/>
        </w:rPr>
        <w:t>Амбулаторное наблюдение</w:t>
      </w:r>
      <w:bookmarkEnd w:id="390"/>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Контроль ЭКГ и эхокардиографическое обследова</w:t>
        <w:softHyphen/>
        <w:t>ние каждые 6 месяцев.</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Наблюдение кардиолога и врача-педиатра (консуль</w:t>
        <w:softHyphen/>
        <w:t>тация каждые 6 месяцев).</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Проведение реабилитационных мероприятий для де</w:t>
        <w:softHyphen/>
        <w:t>тей, перенесших аневризмэктомию.</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Проведение теста с физической нагрузкой для опре</w:t>
        <w:softHyphen/>
        <w:t>деления степени толерантности к физической нагруз - ке (для детей, занимающихся в спортивных секциях).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Активность</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Физическая активность ребенка должна быть ограни</w:t>
        <w:softHyphen/>
        <w:t>чена в зависимости от выраженности клинических проявлений и данных эхокардиографического обсле</w:t>
        <w:softHyphen/>
        <w:t>дования (имеет значение величина инкремента диа</w:t>
        <w:softHyphen/>
        <w:t>метра легочной артерии в течение 6 мес.).</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Ребенку показаны занятия физической культурой в спецгруппе.</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Детям противопоказано участие в соревнованиях, сдача нормативных показателей на время.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Тромбоэмболия легочной артерии и/или ветвей.</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Смертность среди больных, не получавших антикоа</w:t>
        <w:softHyphen/>
        <w:t>гулянты, составляет около 30%, у пациентов, получа</w:t>
        <w:softHyphen/>
        <w:t>ющих антикоагулянты, — 2,5%.</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Недостаточность легочного клапана.</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Компрессия ствола левой коронарной артерии анев- ризматически расширенной легочной артерией.</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Компрессия дыхательных путей (при сдавлении стенки бронха показано эндобронхиальное стентирование).</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Развитие ателектаза легкого в результате сдавления главного бронха.</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Проаритмогенный эффект (нарушение автономной регуляции СА-узла) — синдром слабости синусового узла.</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Сдавление </w:t>
      </w:r>
      <w:r>
        <w:rPr>
          <w:lang w:val="en-US" w:eastAsia="en-US" w:bidi="en-US"/>
          <w:w w:val="100"/>
          <w:spacing w:val="0"/>
          <w:color w:val="000000"/>
          <w:position w:val="0"/>
        </w:rPr>
        <w:t>n.recurrens.</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Правожелудочковая недостаточность из-за компрес</w:t>
        <w:softHyphen/>
        <w:t>сии выводящего тракта правого желудочка, в основ</w:t>
        <w:softHyphen/>
        <w:t>ном в случае крупных мешотчатых аневризм.</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Тампонада сердца. Данный исход идиопатической ди</w:t>
        <w:softHyphen/>
        <w:t>латации легочной артерии встречается в основном у де</w:t>
        <w:softHyphen/>
        <w:t>тей старшего школьного возраста. В большинстве слу</w:t>
        <w:softHyphen/>
        <w:t>чаев ассоциирован с наличием у пациентов легочной гипертензии, клинически проявляется острой, внезап</w:t>
        <w:softHyphen/>
        <w:t>но возникшей загрудинной болью. К факторам, прово</w:t>
        <w:softHyphen/>
        <w:t>цирующим развитие описываемого состояния, следует отнести наличие турбулентных потоков в стволе.</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Внезапная смерть.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Факторы риска формирования расслаивающей аневризмы легочной артерии</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Синдром соединительнотканных дисплазий сердца II типа (особенно при наличии пролапса митрально</w:t>
        <w:softHyphen/>
        <w:t>го клапана и открытого овального окна).</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Активная физическая нагрузка.</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Вторичная легочная гипертензия.</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Повторные бронхолегочные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0"/>
        <w:ind w:left="0" w:right="0" w:firstLine="280"/>
      </w:pPr>
      <w:r>
        <w:pict>
          <v:shape id="_x0000_s1284" type="#_x0000_t75" style="position:absolute;margin-left:136.55pt;margin-top:736.3pt;width:209.75pt;height:14.9pt;z-index:-125829208;mso-wrap-distance-left:136.3pt;mso-wrap-distance-right:148.1pt;mso-wrap-distance-bottom:10.8pt;mso-position-horizontal-relative:margin;mso-position-vertical-relative:margin" wrapcoords="0 0 21600 0 21600 21600 0 21600 0 0">
            <v:imagedata r:id="rId421" r:href="rId422"/>
            <w10:wrap type="topAndBottom" anchorx="margin" anchory="margin"/>
          </v:shape>
        </w:pict>
      </w:r>
      <w:r>
        <w:rPr>
          <w:lang w:val="ru-RU" w:eastAsia="ru-RU" w:bidi="ru-RU"/>
          <w:w w:val="100"/>
          <w:spacing w:val="0"/>
          <w:color w:val="000000"/>
          <w:position w:val="0"/>
        </w:rPr>
        <w:t>В большинстве случаев благоприятный. Отсутствие при</w:t>
        <w:softHyphen/>
        <w:t>роста диаметра легочной артерии, выявляемого при транс</w:t>
        <w:softHyphen/>
        <w:t>торакальной эхокардиографии, и стабильность клиники за</w:t>
        <w:softHyphen/>
        <w:t>болевания позволяют делать вывод о благоприятном вари</w:t>
        <w:softHyphen/>
        <w:t>анте течения заболевания.</w:t>
      </w:r>
      <w:r>
        <w:br w:type="page"/>
      </w:r>
    </w:p>
    <w:p>
      <w:pPr>
        <w:pStyle w:val="Style28"/>
        <w:widowControl w:val="0"/>
        <w:keepNext/>
        <w:keepLines/>
        <w:shd w:val="clear" w:color="auto" w:fill="auto"/>
        <w:bidi w:val="0"/>
        <w:jc w:val="left"/>
        <w:spacing w:before="0" w:after="118" w:line="288" w:lineRule="exact"/>
        <w:ind w:left="0" w:right="0" w:firstLine="0"/>
      </w:pPr>
      <w:bookmarkStart w:id="391" w:name="bookmark391"/>
      <w:r>
        <w:rPr>
          <w:lang w:val="ru-RU" w:eastAsia="ru-RU" w:bidi="ru-RU"/>
          <w:w w:val="100"/>
          <w:spacing w:val="0"/>
          <w:color w:val="000000"/>
          <w:position w:val="0"/>
        </w:rPr>
        <w:t>Легочные артериовенозные мальформации (артериовенозные фистулы легких)</w:t>
      </w:r>
      <w:bookmarkEnd w:id="391"/>
    </w:p>
    <w:p>
      <w:pPr>
        <w:pStyle w:val="Style92"/>
        <w:widowControl w:val="0"/>
        <w:keepNext/>
        <w:keepLines/>
        <w:shd w:val="clear" w:color="auto" w:fill="auto"/>
        <w:bidi w:val="0"/>
        <w:spacing w:before="0" w:after="0"/>
        <w:ind w:left="0" w:right="0" w:firstLine="280"/>
      </w:pPr>
      <w:bookmarkStart w:id="392" w:name="bookmark392"/>
      <w:r>
        <w:rPr>
          <w:lang w:val="ru-RU" w:eastAsia="ru-RU" w:bidi="ru-RU"/>
          <w:w w:val="100"/>
          <w:spacing w:val="0"/>
          <w:color w:val="000000"/>
          <w:position w:val="0"/>
        </w:rPr>
        <w:t>Наследственные геморрагические телеангиоэктазии</w:t>
      </w:r>
      <w:bookmarkEnd w:id="39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Наследственные геморрагические телеангиоэктазии яв</w:t>
        <w:softHyphen/>
        <w:t>ляются аугосомно-доминантным заболеванием. Клиничес</w:t>
        <w:softHyphen/>
        <w:t>кая манифестация является вторичной по отношению к ро</w:t>
        <w:softHyphen/>
        <w:t>сту сосудистых мальформаций в различных пораженных ор - ганах. Чаще всего при данном заболевании поражаются ко</w:t>
        <w:softHyphen/>
        <w:t>жа, носоглотка, желудочно-кишечный тракт, легкие и го</w:t>
        <w:softHyphen/>
        <w:t>ловной мозг. В клинической практике наследственные ге</w:t>
        <w:softHyphen/>
        <w:t>моррагические телеангиоэктазии диагностируются по триа</w:t>
        <w:softHyphen/>
        <w:t>де симптомов: кожные телеангиоэктазии, повторные носо</w:t>
        <w:softHyphen/>
        <w:t>вые кровотечения и семейный анамнез. Заболевание доста</w:t>
        <w:softHyphen/>
        <w:t>точно широко распространено в популяции. Его частота сильно варьирует от 1 на 39 216 человек до 1 на 2351 (в неко</w:t>
        <w:softHyphen/>
        <w:t>торых регионах Франции). Приблизительно 70% всех случа</w:t>
        <w:softHyphen/>
        <w:t>ев артериовенозных фистул легких приходится именно на долю наследственных геморрагических телеангиоэктазий. В противовес этому только от 15 до 35% больных с наслед</w:t>
        <w:softHyphen/>
        <w:t>ственными геморрагическими телеангиоэктазиями имеют артериовенозные фистулы легких. Артериовенозные маль</w:t>
        <w:softHyphen/>
        <w:t>формации и наследственные геморрагические телеангиоэк</w:t>
        <w:softHyphen/>
        <w:t>тазии являются врожденными заболеваниями, но в то же время редко манифестируют до взрослого возраста.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Телеангиоэктазии и артериовенозные мальформации представляют собой две аномальные сосудистые структу</w:t>
        <w:softHyphen/>
        <w:t>ры, представленные при наследственных геморрагических телеангиоэктазиях. Телеангиоэктазии представляют собой локальное расширение посткапиллярных венул. Стенки те</w:t>
        <w:softHyphen/>
        <w:t>леангиоэктазий представлены гладкими мышцами, кото</w:t>
        <w:softHyphen/>
        <w:t>рые пролиферируют при увеличении телеангиоэктазии. Ха</w:t>
        <w:softHyphen/>
        <w:t>рактерно также наличие периваскулярной лимфоцитарной инфильтрации. Артериовенозные мальформации представ</w:t>
        <w:softHyphen/>
        <w:t>ляют собой значительно большую дилатацию сосудов, чем при телеангиоэктазиях. Практически при артериовенозных мальформациях имеется прямое сообщение между легоч</w:t>
        <w:softHyphen/>
        <w:t>ными артериями и венами. При артериовенозных мальфор</w:t>
        <w:softHyphen/>
        <w:t>мациях имеются расширения сосудов вплоть до формиро</w:t>
        <w:softHyphen/>
        <w:t>вания аневризм и перестройки сосудов вен.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15-35% больных с наследственными геморрагически</w:t>
        <w:softHyphen/>
        <w:t>ми телеангиоэктазиями имеются легочные артериовеноз</w:t>
        <w:softHyphen/>
        <w:t>ные мальформации.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Легочные артериовенозные аневризмы возникают в два раза чаще у женщин, чем у мужчин. У мальчиков они чаще диагностируются при рождении.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Анатомия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Около 53-70% легочных артериовенозных мальформа</w:t>
        <w:softHyphen/>
        <w:t>ций локализуется в нижних долях легких. У 70% больных изменения локализуются унилатерально, в то время как 36% имеют множественные очаги в разных долях легкого, из них половина — билатерально. Легочные артериовеноз</w:t>
        <w:softHyphen/>
        <w:t>ные мальформации могут быть микроскопическими, но обычно они имеют размер от 1 до 5 см. Иногда мальфор</w:t>
        <w:softHyphen/>
        <w:t>мации достигают 10 см в диаметре и более. Около 10% боль</w:t>
        <w:softHyphen/>
        <w:t>ных имеют диффузные микроскопические легочные арте</w:t>
        <w:softHyphen/>
        <w:t>риовенозные мальформации в сочетании с большими ра</w:t>
        <w:softHyphen/>
        <w:t>диографически диагностируемыми мальформациями.</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Стенки сосудов легких тонкие и окантованы линейным эндотелием, а соединительнотканная строма тонкая и не взаимодействует с окружающей легочной тканью. Боль</w:t>
        <w:softHyphen/>
        <w:t>шинство легочных артериовенозных мальформаций дрени - руется в левое предсердие, но имеются сообщения об ано</w:t>
        <w:softHyphen/>
        <w:t>мальном впадении сосудов в полые вены и другие сосуды. По своему внешнему виду мальформации могут быть пред</w:t>
        <w:softHyphen/>
        <w:t>ставлены одним из следующих типов:</w:t>
      </w:r>
    </w:p>
    <w:p>
      <w:pPr>
        <w:pStyle w:val="Style30"/>
        <w:numPr>
          <w:ilvl w:val="0"/>
          <w:numId w:val="5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одиночная большая «сумка»;</w:t>
      </w:r>
    </w:p>
    <w:p>
      <w:pPr>
        <w:pStyle w:val="Style30"/>
        <w:numPr>
          <w:ilvl w:val="0"/>
          <w:numId w:val="5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плексиформная масса дилатированных сосудов;</w:t>
      </w:r>
    </w:p>
    <w:p>
      <w:pPr>
        <w:pStyle w:val="Style30"/>
        <w:numPr>
          <w:ilvl w:val="0"/>
          <w:numId w:val="59"/>
        </w:numPr>
        <w:tabs>
          <w:tab w:leader="none" w:pos="51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большой сосуд, осуществляющий прямое соединение между артерией и веной.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Анатомия субтипов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Легочные артериовенозные мальформации могут быть классифицированы как один из следующих типов в зависи</w:t>
        <w:softHyphen/>
        <w:t>мости от архитектуры самой мальформации. Одиночные легочные артериовенозные мальформации представляют собой одну сегментарную артерию, напрямую переходя</w:t>
        <w:softHyphen/>
        <w:t>щую в одну пульмональную вену. Около 79% всех легочных артериовенозных мальформаций являются одиночными, а большинство сопровождающих их аневризм являются не- септированными и возникают в нижних долях легких. Как минимум 21% всех легочных артериовенозных мальформа</w:t>
        <w:softHyphen/>
        <w:t>ций являются комплексными, т.е. происходит сообщение между двумя или более артериями и венами. Такие маль</w:t>
        <w:softHyphen/>
        <w:t>формации чаще встречаются в других долях легких (напри</w:t>
        <w:softHyphen/>
        <w:t>мер, средней доле правого легкого).</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numPr>
          <w:ilvl w:val="0"/>
          <w:numId w:val="5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Генетические исследования наследственных геморра</w:t>
        <w:softHyphen/>
        <w:t>гических телеангиоэктазий направлены в основном на выявление возможной этиологии легочных арте</w:t>
        <w:softHyphen/>
        <w:t>риовенозных мальформаций. Несмотря на то что из</w:t>
        <w:softHyphen/>
        <w:t>начально генетические аномалии были описаны у больных наследственными геморрагическими теле</w:t>
        <w:softHyphen/>
        <w:t>ангиоэктазиями, подобные генетические аномалии могут выявляться и у пациентов без наследственных геморрагических телеангиоэктазий. Проводимые ис</w:t>
        <w:softHyphen/>
        <w:t>следования по генетическому картированию у таких больных, проводимые в последние годы, показали, что всех больных с наследственными геморрагически</w:t>
        <w:softHyphen/>
        <w:t>ми телеангиоэктазиями можно разделить на несколь</w:t>
        <w:softHyphen/>
        <w:t>ко групп. К первой группе (наследственные геморра</w:t>
        <w:softHyphen/>
        <w:t xml:space="preserve">гические телеангиоэктазии первого типа) относятся больные, у которых установлена связь заболевания с хромосомой </w:t>
      </w:r>
      <w:r>
        <w:rPr>
          <w:lang w:val="en-US" w:eastAsia="en-US" w:bidi="en-US"/>
          <w:w w:val="100"/>
          <w:spacing w:val="0"/>
          <w:color w:val="000000"/>
          <w:position w:val="0"/>
        </w:rPr>
        <w:t xml:space="preserve">9Q33. </w:t>
      </w:r>
      <w:r>
        <w:rPr>
          <w:lang w:val="ru-RU" w:eastAsia="ru-RU" w:bidi="ru-RU"/>
          <w:w w:val="100"/>
          <w:spacing w:val="0"/>
          <w:color w:val="000000"/>
          <w:position w:val="0"/>
        </w:rPr>
        <w:t>У второй группы (наследствен</w:t>
        <w:softHyphen/>
        <w:t xml:space="preserve">ные геморрагические телеангиоэктазии второго типа) выявлена связь заболевания с хромосомой </w:t>
      </w:r>
      <w:r>
        <w:rPr>
          <w:lang w:val="en-US" w:eastAsia="en-US" w:bidi="en-US"/>
          <w:w w:val="100"/>
          <w:spacing w:val="0"/>
          <w:color w:val="000000"/>
          <w:position w:val="0"/>
        </w:rPr>
        <w:t xml:space="preserve">12Q13. </w:t>
      </w:r>
      <w:r>
        <w:rPr>
          <w:lang w:val="ru-RU" w:eastAsia="ru-RU" w:bidi="ru-RU"/>
          <w:w w:val="100"/>
          <w:spacing w:val="0"/>
          <w:color w:val="000000"/>
          <w:position w:val="0"/>
        </w:rPr>
        <w:t>Ктретьей группе относятся больные, у которых не бы</w:t>
        <w:softHyphen/>
        <w:t>ло установлено связи заболевания с поражением 9 или 12 хромосомы. В этой последней группе отмечается частая манифестация заболевания с поражения пече</w:t>
        <w:softHyphen/>
        <w:t>ни. Был установлен также третий локус, который име</w:t>
        <w:softHyphen/>
        <w:t>ет отношение к наследственным геморрагическим те</w:t>
        <w:softHyphen/>
        <w:t>леангиоэктазиям, — в хромосоме 3Р22, где картирует</w:t>
        <w:softHyphen/>
        <w:t xml:space="preserve">ся ген </w:t>
      </w:r>
      <w:r>
        <w:rPr>
          <w:lang w:val="en-US" w:eastAsia="en-US" w:bidi="en-US"/>
          <w:w w:val="100"/>
          <w:spacing w:val="0"/>
          <w:color w:val="000000"/>
          <w:position w:val="0"/>
        </w:rPr>
        <w:t xml:space="preserve">TGF2 </w:t>
      </w:r>
      <w:r>
        <w:rPr>
          <w:lang w:val="ru-RU" w:eastAsia="ru-RU" w:bidi="ru-RU"/>
          <w:w w:val="100"/>
          <w:spacing w:val="0"/>
          <w:color w:val="000000"/>
          <w:position w:val="0"/>
        </w:rPr>
        <w:t>бета-рецептора. В клинической картине у первой группы больных отмечается более частое вы</w:t>
        <w:softHyphen/>
        <w:t>явление легочных артериовенозных мальформаций, носовых кровотечений, кожных телеангиоэктазий и цереброваскулярных мальформаций.</w:t>
      </w:r>
    </w:p>
    <w:p>
      <w:pPr>
        <w:pStyle w:val="Style30"/>
        <w:numPr>
          <w:ilvl w:val="0"/>
          <w:numId w:val="57"/>
        </w:numPr>
        <w:tabs>
          <w:tab w:leader="none" w:pos="519" w:val="left"/>
        </w:tabs>
        <w:widowControl w:val="0"/>
        <w:keepNext w:val="0"/>
        <w:keepLines w:val="0"/>
        <w:shd w:val="clear" w:color="auto" w:fill="auto"/>
        <w:bidi w:val="0"/>
        <w:spacing w:before="0" w:after="0"/>
        <w:ind w:left="520" w:right="0" w:hanging="240"/>
      </w:pPr>
      <w:r>
        <w:pict>
          <v:shape id="_x0000_s1285" type="#_x0000_t75" style="position:absolute;margin-left:148.1pt;margin-top:736.3pt;width:209.75pt;height:14.9pt;z-index:-125829207;mso-wrap-distance-left:148.1pt;mso-wrap-distance-right:136.8pt;mso-wrap-distance-bottom:10.8pt;mso-position-horizontal-relative:margin;mso-position-vertical-relative:margin" wrapcoords="0 0 21600 0 21600 21600 0 21600 0 0">
            <v:imagedata r:id="rId423" r:href="rId424"/>
            <w10:wrap type="topAndBottom" anchorx="margin" anchory="margin"/>
          </v:shape>
        </w:pict>
      </w:r>
      <w:r>
        <w:rPr>
          <w:lang w:val="ru-RU" w:eastAsia="ru-RU" w:bidi="ru-RU"/>
          <w:w w:val="100"/>
          <w:spacing w:val="0"/>
          <w:color w:val="000000"/>
          <w:position w:val="0"/>
        </w:rPr>
        <w:t>Были исследованы конкретные генные мутации в двух основных локусах, ответственных за развитие наследственных геморрагических телеангиоэктазий.</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 xml:space="preserve">В первой группе был идентифицирован ген эндолин в хромосоме </w:t>
      </w:r>
      <w:r>
        <w:rPr>
          <w:lang w:val="en-US" w:eastAsia="en-US" w:bidi="en-US"/>
          <w:w w:val="100"/>
          <w:spacing w:val="0"/>
          <w:color w:val="000000"/>
          <w:position w:val="0"/>
        </w:rPr>
        <w:t xml:space="preserve">9Q33. </w:t>
      </w:r>
      <w:r>
        <w:rPr>
          <w:lang w:val="ru-RU" w:eastAsia="ru-RU" w:bidi="ru-RU"/>
          <w:w w:val="100"/>
          <w:spacing w:val="0"/>
          <w:color w:val="000000"/>
          <w:position w:val="0"/>
        </w:rPr>
        <w:t>Эндолин, действующий через фактор роста бета, представляет собой гликопротеин массой 130 КД. Он представляет собой рецептор для трансформации фактора роста бета-1 и бета-2.</w:t>
      </w:r>
    </w:p>
    <w:p>
      <w:pPr>
        <w:pStyle w:val="Style30"/>
        <w:numPr>
          <w:ilvl w:val="0"/>
          <w:numId w:val="57"/>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настоящее время описано уже около 16 мутаций ге</w:t>
        <w:softHyphen/>
        <w:t>на эндолина. Механизм, который вызывает форми</w:t>
        <w:softHyphen/>
        <w:t>рование мутаций гена, вызывающего первый вариант наследственных геморрагических телеангиоэктазий, представляет собой доминантный негативный эф</w:t>
        <w:softHyphen/>
        <w:t>фект. Второй локус, имеющий отношение к геморра</w:t>
        <w:softHyphen/>
        <w:t>гическим наследственным телеангиоэктазиям, кар</w:t>
        <w:softHyphen/>
        <w:t xml:space="preserve">тирован на хромосоме </w:t>
      </w:r>
      <w:r>
        <w:rPr>
          <w:lang w:val="en-US" w:eastAsia="en-US" w:bidi="en-US"/>
          <w:w w:val="100"/>
          <w:spacing w:val="0"/>
          <w:color w:val="000000"/>
          <w:position w:val="0"/>
        </w:rPr>
        <w:t xml:space="preserve">12Q. </w:t>
      </w:r>
      <w:r>
        <w:rPr>
          <w:lang w:val="ru-RU" w:eastAsia="ru-RU" w:bidi="ru-RU"/>
          <w:w w:val="100"/>
          <w:spacing w:val="0"/>
          <w:color w:val="000000"/>
          <w:position w:val="0"/>
        </w:rPr>
        <w:t>Мутации в этой хромосо</w:t>
        <w:softHyphen/>
        <w:t xml:space="preserve">ме локализуются возможно в гене бета-гликана или гене </w:t>
      </w:r>
      <w:r>
        <w:rPr>
          <w:lang w:val="en-US" w:eastAsia="en-US" w:bidi="en-US"/>
          <w:w w:val="100"/>
          <w:spacing w:val="0"/>
          <w:color w:val="000000"/>
          <w:position w:val="0"/>
        </w:rPr>
        <w:t xml:space="preserve">ALK-1. </w:t>
      </w:r>
      <w:r>
        <w:rPr>
          <w:lang w:val="ru-RU" w:eastAsia="ru-RU" w:bidi="ru-RU"/>
          <w:w w:val="100"/>
          <w:spacing w:val="0"/>
          <w:color w:val="000000"/>
          <w:position w:val="0"/>
        </w:rPr>
        <w:t xml:space="preserve">Протеин </w:t>
      </w:r>
      <w:r>
        <w:rPr>
          <w:lang w:val="en-US" w:eastAsia="en-US" w:bidi="en-US"/>
          <w:w w:val="100"/>
          <w:spacing w:val="0"/>
          <w:color w:val="000000"/>
          <w:position w:val="0"/>
        </w:rPr>
        <w:t xml:space="preserve">ALK-1 </w:t>
      </w:r>
      <w:r>
        <w:rPr>
          <w:lang w:val="ru-RU" w:eastAsia="ru-RU" w:bidi="ru-RU"/>
          <w:w w:val="100"/>
          <w:spacing w:val="0"/>
          <w:color w:val="000000"/>
          <w:position w:val="0"/>
        </w:rPr>
        <w:t>имеет сродство к перво</w:t>
        <w:softHyphen/>
        <w:t>му типу серин-треонин киназному рецептору. В на</w:t>
        <w:softHyphen/>
        <w:t>стоящее время описано около 12 мутаций этого гена. Механизм возникновения мутаций сродни таковому при наследственных геморрагических телеангиоэкта</w:t>
        <w:softHyphen/>
        <w:t>зиях первого типа. Наследственные геморрагические телеангиоэктазии второго типа редко протекают с ле</w:t>
        <w:softHyphen/>
        <w:t>гочными артериовенозными мальформациями и це</w:t>
        <w:softHyphen/>
        <w:t>ребральными артериовенозными мальформациями.</w:t>
      </w:r>
    </w:p>
    <w:p>
      <w:pPr>
        <w:pStyle w:val="Style30"/>
        <w:numPr>
          <w:ilvl w:val="0"/>
          <w:numId w:val="57"/>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Оба белка (эндолин и </w:t>
      </w:r>
      <w:r>
        <w:rPr>
          <w:lang w:val="en-US" w:eastAsia="en-US" w:bidi="en-US"/>
          <w:w w:val="100"/>
          <w:spacing w:val="0"/>
          <w:color w:val="000000"/>
          <w:position w:val="0"/>
        </w:rPr>
        <w:t xml:space="preserve">ALK-1) </w:t>
      </w:r>
      <w:r>
        <w:rPr>
          <w:lang w:val="ru-RU" w:eastAsia="ru-RU" w:bidi="ru-RU"/>
          <w:w w:val="100"/>
          <w:spacing w:val="0"/>
          <w:color w:val="000000"/>
          <w:position w:val="0"/>
        </w:rPr>
        <w:t>задействованы в про</w:t>
        <w:softHyphen/>
        <w:t>цессе ангиогенеза. Развитие легочных артериовеноз</w:t>
        <w:softHyphen/>
        <w:t>ных мальформаций является результирующим мо</w:t>
        <w:softHyphen/>
        <w:t>ментом взаимодействия различных факторов, оказы</w:t>
        <w:softHyphen/>
        <w:t>вающих повреждающее влияние на клетки, которые создают основу и для сосудистых инсультов. Повреж</w:t>
        <w:softHyphen/>
        <w:t>дение данных двух белков приводит к запусканию процесса ремоделирования сосудов и, таким образом, к формированию артериовенозных мальформаций.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Точный патогенез возникновения легочных артериове</w:t>
        <w:softHyphen/>
        <w:t>нозных мальформаций остается до конца не ясным. Дефект может первично локализоваться в терминальных отделах артериального русла, что приводит к выраженной дилата</w:t>
        <w:softHyphen/>
        <w:t>ции тонкостенных капилляров в так называемые «сумки». Как альтернатива, легочные артериовенозные аневризмы могут возникать из-за неполной резорбции сосудистых пе</w:t>
        <w:softHyphen/>
        <w:t>регородок, которые изначально разграничивают артериаль</w:t>
        <w:softHyphen/>
        <w:t>ные и венозные сплетения (в норме эти сплетения анасто- мозируют в процессе развития плода). Также было замече</w:t>
        <w:softHyphen/>
        <w:t>но, что множественные мелкие легочные артериовенозные мальформации могут возникать в результате недостаточно</w:t>
        <w:softHyphen/>
        <w:t>го развития капиллярного русла у плода. Обширные сумко</w:t>
        <w:softHyphen/>
        <w:t>подобные легочные артериовенозные мальформации воз</w:t>
        <w:softHyphen/>
        <w:t>никают в результате прогрессирующей дилатации малень</w:t>
        <w:softHyphen/>
        <w:t>ких сплетений, которые приводят к постепенному форми</w:t>
        <w:softHyphen/>
        <w:t>рованию обширных полостей и мультилакунарных сумок. В последующем тонкие перегородки между мультилакунар - ными сумками могут разрываться, приводя к образованию одной большой полости.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раннем возрасте симптомы заболевания могут отсут</w:t>
        <w:softHyphen/>
        <w:t>ствовать или определяется симптоматика застойной сер</w:t>
        <w:softHyphen/>
        <w:t>дечной недостаточности с цианозом. Клинические симпто</w:t>
        <w:softHyphen/>
        <w:t>мы более характерны и чаще имеются у больных с легочны</w:t>
        <w:softHyphen/>
        <w:t>ми артериовенозными мальформациями на фоне наслед</w:t>
        <w:softHyphen/>
        <w:t>ственных геморрагических телеангиоэктазий, чем у боль</w:t>
        <w:softHyphen/>
        <w:t>ных с легочными артериовенозными мальформациями без наследственных геморрагических телеангиоэктазий.</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Наиболее часто встречающимся симптомом у боль</w:t>
        <w:softHyphen/>
        <w:t>ных с легочными артериовенозными мальформация</w:t>
        <w:softHyphen/>
        <w:t>ми являются носовые кровотечения вследствие маль</w:t>
        <w:softHyphen/>
        <w:t>формаций в области слизистой оболочки носа.</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Диспноэ — второй по частоте встречаемости симптом у больных легочными артериовенозными мальфор</w:t>
        <w:softHyphen/>
        <w:t>мациями. Диспноэ более характерно для больных с обширными легочными артериовенозными маль</w:t>
        <w:softHyphen/>
        <w:t>формациями.</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Кровотечения — третий по частоте встречаемости симптом. Может быть очень выраженным. Кровоте</w:t>
        <w:softHyphen/>
        <w:t>чения из кожных телеангиоэктазий и желудочно-ки</w:t>
        <w:softHyphen/>
        <w:t>шечного тракта чаще наблюдаются у пациентов с ле</w:t>
        <w:softHyphen/>
        <w:t>гочными артериовенозными мальформациями на фоне наследственных геморрагических телеангиоэк</w:t>
        <w:softHyphen/>
        <w:t>тазий. Частота возникновения — от 15% до 30%.</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желудочно-кишечных кровотечений у боль</w:t>
        <w:softHyphen/>
        <w:t>ных наследственными геморрагическими телеангио</w:t>
        <w:softHyphen/>
        <w:t>эктазиями составляет 15-30%. Частота желудоч</w:t>
        <w:softHyphen/>
        <w:t>но-кишечных кровотечений у больных легочными артериовенозными мальформациями не изучена.</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Более редкими симптомами заболевания могут быть боль в грудной клетке, кашель, мигренозные голов</w:t>
        <w:softHyphen/>
        <w:t>ные боли, тошнота, дизартрия, синкопальные состо</w:t>
        <w:softHyphen/>
        <w:t>яния, вертиго, диплопия. Причины появления дан</w:t>
        <w:softHyphen/>
        <w:t>ных клинических симптомов до конца не ясны, но не исключено влияние гипоксемии, полицитемии и це</w:t>
        <w:softHyphen/>
        <w:t>реброваскулярных нарушений.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Физикальные данные:</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Поверхностные телеангиоэктазии, характерные для больных наследственными геморрагическими теле</w:t>
        <w:softHyphen/>
        <w:t>ангиоэктазиями, наиболее часто выявляются при клиническом осмотре больных с легочными артерио</w:t>
        <w:softHyphen/>
        <w:t>венозными мальформациями. Как правило, это обра</w:t>
        <w:softHyphen/>
        <w:t>зования в форме папул, реже круглые, очень четко от</w:t>
        <w:softHyphen/>
        <w:t>граниченные от окружающей кожи. Как правило, эти образования имеют несколько более крупных нитео</w:t>
        <w:softHyphen/>
        <w:t>бразных сосудов, ярче всего окрашенных. Для теле</w:t>
        <w:softHyphen/>
        <w:t>ангиоэктазий характерно уменьшение интенсивнос</w:t>
        <w:softHyphen/>
        <w:t>ти окраски образований при надавливании на них. Чаще выявляются поражения кожи лица, языка, грудной клетки, верхних конечностей.</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Шум функционирования шунта при легочных арте</w:t>
        <w:softHyphen/>
        <w:t>риовенозных мальформациях может выслушиваться над областью грудной клетки. Он усиливается и луч</w:t>
        <w:softHyphen/>
        <w:t>ше различим на вдохе и по своему тембру напомина</w:t>
        <w:softHyphen/>
        <w:t>ет машинный шум.</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Акроцианоз и цианоз также могут наличествовать в клинической картине.</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Шум функционирующего шунта у больных артерио</w:t>
        <w:softHyphen/>
        <w:t>венозными мальформациями усиливается не только на вдохе, но и при наклоне больного, чему способ</w:t>
        <w:softHyphen/>
        <w:t>ствует гравитационный эффект.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Этиология</w:t>
      </w:r>
    </w:p>
    <w:p>
      <w:pPr>
        <w:pStyle w:val="Style30"/>
        <w:widowControl w:val="0"/>
        <w:keepNext w:val="0"/>
        <w:keepLines w:val="0"/>
        <w:shd w:val="clear" w:color="auto" w:fill="auto"/>
        <w:bidi w:val="0"/>
        <w:spacing w:before="0" w:after="0"/>
        <w:ind w:left="0" w:right="0" w:firstLine="280"/>
      </w:pPr>
      <w:r>
        <w:pict>
          <v:shape id="_x0000_s1286" type="#_x0000_t75" style="position:absolute;margin-left:136.8pt;margin-top:736.3pt;width:209.75pt;height:14.9pt;z-index:-125829206;mso-wrap-distance-left:136.8pt;mso-wrap-distance-right:148.1pt;mso-wrap-distance-bottom:10.8pt;mso-position-horizontal-relative:margin;mso-position-vertical-relative:margin" wrapcoords="0 0 21600 0 21600 21600 0 21600 0 0">
            <v:imagedata r:id="rId425" r:href="rId426"/>
            <w10:wrap type="topAndBottom" anchorx="margin" anchory="margin"/>
          </v:shape>
        </w:pict>
      </w:r>
      <w:r>
        <w:rPr>
          <w:lang w:val="ru-RU" w:eastAsia="ru-RU" w:bidi="ru-RU"/>
          <w:w w:val="100"/>
          <w:spacing w:val="0"/>
          <w:color w:val="000000"/>
          <w:position w:val="0"/>
        </w:rPr>
        <w:t>Геморрагические наследственные телеангиоэктазии на</w:t>
        <w:softHyphen/>
        <w:t>следуются аутосомно-доминантно, однако 20% всех случа</w:t>
        <w:softHyphen/>
        <w:t>ев телеангиоэктазий не имеют семейного анамнеза по дан</w:t>
        <w:softHyphen/>
        <w:t>ному заболеванию или кровотечениям. Пенетрантность в данном случае зависима от возраста и практически пол</w:t>
        <w:softHyphen/>
        <w:t>ная у больных в возрасте 40 лет. Несмотря на то что арте</w:t>
        <w:softHyphen/>
        <w:t>риовенозные мальформации являются наследственным страданием и должны наличествовать при рождении ребен-</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ка, они часто манифестируют только во взрослом состоя</w:t>
        <w:softHyphen/>
        <w:t>нии, когда сосуды подвергались действию значимого кро</w:t>
        <w:softHyphen/>
        <w:t>вяного давления в течение десятилетий.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Сопутствующие синдромы: коммуникации между ле</w:t>
        <w:softHyphen/>
        <w:t>гочными артериями и легочными венами были описаны при циррозе печени, митральном стенозе после травмы, ак</w:t>
        <w:softHyphen/>
        <w:t>тиномикозе, синдроме Фанкони, метастатической тирео</w:t>
        <w:softHyphen/>
        <w:t>идной карциноме. Коммуникации между бронхиальными артериями и пульмональными артериями, вызывающие ле</w:t>
        <w:softHyphen/>
        <w:t>во-правое шунтирование крови, возникают при хроничес</w:t>
        <w:softHyphen/>
        <w:t>ких воспалительных процессах, таких как бронхоэктазы. Большинство больных с легочными артериовенозными мальформациями имеют наследственные геморрагические телеангиоэктазии. Диагностические критерии для диффе</w:t>
        <w:softHyphen/>
        <w:t>ренциального диагноза наследственных геморрагических телеангиоэктазий включают 3 из 4 критериев:</w:t>
      </w:r>
    </w:p>
    <w:p>
      <w:pPr>
        <w:pStyle w:val="Style30"/>
        <w:numPr>
          <w:ilvl w:val="0"/>
          <w:numId w:val="61"/>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Повторные спонтанные носовые кровотечения.</w:t>
      </w:r>
    </w:p>
    <w:p>
      <w:pPr>
        <w:pStyle w:val="Style30"/>
        <w:numPr>
          <w:ilvl w:val="0"/>
          <w:numId w:val="61"/>
        </w:numPr>
        <w:tabs>
          <w:tab w:leader="none" w:pos="53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Множественные телеангиоэктазии кожи и слизистых.</w:t>
      </w:r>
    </w:p>
    <w:p>
      <w:pPr>
        <w:pStyle w:val="Style30"/>
        <w:numPr>
          <w:ilvl w:val="0"/>
          <w:numId w:val="61"/>
        </w:numPr>
        <w:tabs>
          <w:tab w:leader="none" w:pos="50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Висцеральные поражения (яички, артериовенозные мальформации желудочно-кишечного тракта, легочные ар</w:t>
        <w:softHyphen/>
        <w:t>териовенозные мальформации).</w:t>
      </w:r>
    </w:p>
    <w:p>
      <w:pPr>
        <w:pStyle w:val="Style30"/>
        <w:numPr>
          <w:ilvl w:val="0"/>
          <w:numId w:val="61"/>
        </w:numPr>
        <w:tabs>
          <w:tab w:leader="none" w:pos="49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Родственники первого поколения, страдающие на</w:t>
        <w:softHyphen/>
        <w:t>следственными геморрагическими телеангиоэктазиями.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Ассоциированные некардиальные проявления: наибо</w:t>
        <w:softHyphen/>
        <w:t>лее часто описываемые некардиальные проявления заклю</w:t>
        <w:softHyphen/>
        <w:t>чаются в изменениях со стороны центральной нервной си</w:t>
        <w:softHyphen/>
        <w:t>стемы (30% больных). Из этих 30% больных инсульты на</w:t>
        <w:softHyphen/>
        <w:t>блюдаются у 18%, транзиторные ишемические атаки у 37%, абсцесс головного мозга у 9%, мигренозные головные боли у 43% и обмороки у 8%. Парадоксальные эмболии сосудов у больных легочными артериовенозными мальформациями являются наиболее частым механизмом развития инсуль</w:t>
        <w:softHyphen/>
        <w:t>тов. Если эмболы содержат инфицированный материал, возникают абсцессы головного мозга. Такие осложнения возникают, как правило, у больных, которые имеют маль</w:t>
        <w:softHyphen/>
        <w:t>формации с питающей их артерией, имеющей более 3 мм в диаметре. Кровотечения и гемоторакс являются потенци</w:t>
        <w:softHyphen/>
        <w:t>ально жизнеугрожающими состояниями у таких больных. Легочные кровотечения у больных легочными артериове</w:t>
        <w:softHyphen/>
        <w:t>нозными мальформациями возникают вследствие разры</w:t>
        <w:softHyphen/>
        <w:t>вов эндобронхиальных телеангиоэктазий.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Другими причинами артериовенозных мальформаций могут быть:</w:t>
      </w:r>
    </w:p>
    <w:p>
      <w:pPr>
        <w:pStyle w:val="Style30"/>
        <w:numPr>
          <w:ilvl w:val="0"/>
          <w:numId w:val="57"/>
        </w:numPr>
        <w:tabs>
          <w:tab w:leader="none" w:pos="47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Идиопатические врожденные легочные артериовеноз</w:t>
        <w:softHyphen/>
        <w:t>ные мальформации. Они обычно являются одиночны</w:t>
        <w:softHyphen/>
        <w:t>ми и редко склонны к значительному прогрессирующе</w:t>
        <w:softHyphen/>
        <w:t>му увеличению, чем другие легочные артериовенозные мальформации. Диагноз идиопатической легочной ар</w:t>
        <w:softHyphen/>
        <w:t>териовенозной мальформации ставится по тем же кри</w:t>
        <w:softHyphen/>
        <w:t>териям, что и при наследственных геморрагических те</w:t>
        <w:softHyphen/>
        <w:t>леангиоэктазиях. Обычно такие идиопатические изоли</w:t>
        <w:softHyphen/>
        <w:t>рованные формы успешно лечатся эмболотерапией.</w:t>
      </w:r>
    </w:p>
    <w:p>
      <w:pPr>
        <w:pStyle w:val="Style30"/>
        <w:numPr>
          <w:ilvl w:val="0"/>
          <w:numId w:val="57"/>
        </w:numPr>
        <w:tabs>
          <w:tab w:leader="none" w:pos="47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Гепатопульмональный синдром повышает альвеолоар</w:t>
        <w:softHyphen/>
        <w:t>териальный градиент оксигенации крови и вызывает интрапульмональное право-левое шунтирование (как один из компонентов печеночной триады). Он наблю</w:t>
        <w:softHyphen/>
        <w:t>дается примерно у 47% больных в терминальных стади</w:t>
        <w:softHyphen/>
        <w:t>ях поражения печени. Все типы хронических заболева</w:t>
        <w:softHyphen/>
        <w:t>ний печени в принципе могут вызвать данный синд</w:t>
        <w:softHyphen/>
        <w:t>ром. У 80% больных прежде чем разовьется клиника ге- патопульмонального синдрома с легочными артерио</w:t>
        <w:softHyphen/>
        <w:t>венозными мальформациями имеются выраженные</w:t>
      </w:r>
    </w:p>
    <w:p>
      <w:pPr>
        <w:pStyle w:val="Style30"/>
        <w:widowControl w:val="0"/>
        <w:keepNext w:val="0"/>
        <w:keepLines w:val="0"/>
        <w:shd w:val="clear" w:color="auto" w:fill="auto"/>
        <w:bidi w:val="0"/>
        <w:spacing w:before="0" w:after="0"/>
        <w:ind w:left="280" w:right="0" w:firstLine="0"/>
      </w:pPr>
      <w:r>
        <w:br w:type="column"/>
      </w:r>
      <w:r>
        <w:rPr>
          <w:lang w:val="ru-RU" w:eastAsia="ru-RU" w:bidi="ru-RU"/>
          <w:w w:val="100"/>
          <w:spacing w:val="0"/>
          <w:color w:val="000000"/>
          <w:position w:val="0"/>
        </w:rPr>
        <w:t>симптомы терминальной печеночной недостаточнос</w:t>
        <w:softHyphen/>
        <w:t>ти. Обычно такие больные страдают от одышки, каш</w:t>
        <w:softHyphen/>
        <w:t>ля, цианоза, гипоксии, усугубляющейся в положении стоя. Исследование функции внешнего дыхания у та</w:t>
        <w:softHyphen/>
        <w:t>ких больных выявляет нормальную жизненную ем</w:t>
        <w:softHyphen/>
        <w:t>кость легких и экспираторные нарушения вентиляции. В контрасте с больными наследственными геморраги</w:t>
        <w:softHyphen/>
        <w:t>ческими телеангиоэктазиями больные с гепатопульмо- нальным синдромом редко имеют дискретные арте</w:t>
        <w:softHyphen/>
        <w:t>риовенозные мальформации при проведении радио - графии. В данном случае в диагностике могут помочь вычисление фракции шунтирования по 100% кислоро</w:t>
        <w:softHyphen/>
        <w:t>ду, эхокардиография с контрастированием и радионук</w:t>
        <w:softHyphen/>
        <w:t>лидное сканирование. Лечение гепатопульмонального синдрома весьма затруднительно и редко приводит к хорошим результатам. Пересадка печени может суще - ственно помочь таким больным. При этом наличие ге- патопульмонального синдрома не является противопо - казанием к проведению операции трансплантации. Улучшение у больных с шунтированием при гепато- пульмональном синдроме было описано на фоне про</w:t>
        <w:softHyphen/>
        <w:t>ведения терапевтического трансюгулярного внутрипе</w:t>
        <w:softHyphen/>
        <w:t>ченочного портосистемного шунтирования.</w:t>
      </w:r>
    </w:p>
    <w:p>
      <w:pPr>
        <w:pStyle w:val="Style30"/>
        <w:numPr>
          <w:ilvl w:val="0"/>
          <w:numId w:val="5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Было описано возникновение артериовенозных маль</w:t>
        <w:softHyphen/>
        <w:t>формаций после проведения оперативного лечения по поводу синих врожденных пороков сердца. Легочные артериовенозные мальформации могут возникать пос</w:t>
        <w:softHyphen/>
        <w:t>ле проведения операции Фонтена или Глена. Так, арте</w:t>
        <w:softHyphen/>
        <w:t>риовенозные мальформации после проведения опера</w:t>
        <w:softHyphen/>
        <w:t>ции анастомоза Глена (верхней полой вены с правой легочной артерией) возникают в 25% случаев. Опера</w:t>
        <w:softHyphen/>
        <w:t>ция Фонтена (анастомоз верхней полой вены с правым предсердием и проксимально с правой легочной арте</w:t>
        <w:softHyphen/>
        <w:t>рией; анастомоз печеночной вены с левой легочной артерией) была придумана для коррекции гемодина</w:t>
        <w:softHyphen/>
        <w:t>мических нарушений при врожденной атрезии трику</w:t>
        <w:softHyphen/>
        <w:t>спидального клапана. Эхокардиография с контрастом и радионуклидное исследование шунтирования помо</w:t>
        <w:softHyphen/>
        <w:t>гают в диагностике данной формы артериовенозной легочной мальформации. Эмболотерапия также может быть успешным методом лечения легочных артериове</w:t>
        <w:softHyphen/>
        <w:t>нозных мальформаций в данном случае.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5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больного в анализе крови могут выявляться анемия из-за кровотечений в желудочно-кишечном тракте.</w:t>
      </w:r>
    </w:p>
    <w:p>
      <w:pPr>
        <w:pStyle w:val="Style30"/>
        <w:numPr>
          <w:ilvl w:val="0"/>
          <w:numId w:val="57"/>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 фоне анемии может диагностироваться полиците - мия и гипоксия.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Радиография грудной клетки:</w:t>
      </w:r>
    </w:p>
    <w:p>
      <w:pPr>
        <w:pStyle w:val="Style30"/>
        <w:numPr>
          <w:ilvl w:val="0"/>
          <w:numId w:val="57"/>
        </w:numPr>
        <w:tabs>
          <w:tab w:leader="none" w:pos="234" w:val="left"/>
        </w:tabs>
        <w:widowControl w:val="0"/>
        <w:keepNext w:val="0"/>
        <w:keepLines w:val="0"/>
        <w:shd w:val="clear" w:color="auto" w:fill="auto"/>
        <w:bidi w:val="0"/>
        <w:spacing w:before="0" w:after="0"/>
        <w:ind w:left="280" w:right="0" w:hanging="280"/>
      </w:pPr>
      <w:r>
        <w:pict>
          <v:shape id="_x0000_s1287" type="#_x0000_t75" style="position:absolute;margin-left:148.2pt;margin-top:736.3pt;width:209.75pt;height:14.9pt;z-index:-125829205;mso-wrap-distance-left:148.1pt;mso-wrap-distance-right:136.55pt;mso-wrap-distance-bottom:10.8pt;mso-position-horizontal-relative:margin;mso-position-vertical-relative:margin" wrapcoords="0 0 21600 0 21600 21600 0 21600 0 0">
            <v:imagedata r:id="rId427" r:href="rId428"/>
            <w10:wrap type="topAndBottom" anchorx="margin" anchory="margin"/>
          </v:shape>
        </w:pict>
      </w:r>
      <w:r>
        <w:rPr>
          <w:lang w:val="ru-RU" w:eastAsia="ru-RU" w:bidi="ru-RU"/>
          <w:w w:val="100"/>
          <w:spacing w:val="0"/>
          <w:color w:val="000000"/>
          <w:position w:val="0"/>
        </w:rPr>
        <w:t>Данный метод исследования может выявить целый спектр изменений. Обычно патологические измене</w:t>
        <w:softHyphen/>
        <w:t>ния выявляются у 98% больных. Классическими ано</w:t>
        <w:softHyphen/>
        <w:t>малиями, выявляемыми у больных с легочными арте</w:t>
        <w:softHyphen/>
        <w:t>риовенозными мальформациями, являются овальные или округлые области повышенного накопления ра</w:t>
        <w:softHyphen/>
        <w:t>диофармпрепарата, иногда они могут локализоваться в одной доле легкого, чаще в нижней. Радиографиче</w:t>
        <w:softHyphen/>
        <w:t>ское исследование грудной клетки может выявить из</w:t>
        <w:softHyphen/>
        <w:t>менения, не выявляемые при рентгенографическом исследовании и даже при рентгеновском сканирова</w:t>
        <w:softHyphen/>
        <w:t>нии, например питающий телеангиоэктазию сосуд, артерии, радиально расположенные по отношению</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к области накопления радиофармпрепарата, а также вены, впадающие в левое предсердие.</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больных, имеющих клинические проявления ле</w:t>
        <w:softHyphen/>
        <w:t>гочных артериовенозных мальформаций, несмотря на нормальные радиограммы грудной клетки, необ</w:t>
        <w:softHyphen/>
        <w:t>ходимо провести углубленное обследование, направ</w:t>
        <w:softHyphen/>
        <w:t>ленное на выявление очага поражения. Больные с микроскопическими легочными артериовенозными мальформациями могут иметь нормальные показате</w:t>
        <w:softHyphen/>
        <w:t>ли при проведении радиографического исследова</w:t>
        <w:softHyphen/>
        <w:t>ния. При наличии легочных артериовенозных фистул у больных необходимо проводить дифференциаль</w:t>
        <w:softHyphen/>
        <w:t>ный диагноз с увеличенными пульмональными лим</w:t>
        <w:softHyphen/>
        <w:t>фоузлами и накоплением в них радиофармпрепарата. Прежде чем окончательно остановиться на пораже</w:t>
        <w:softHyphen/>
        <w:t>нии лимфоузлов, необходимо для уверенности в диа</w:t>
        <w:softHyphen/>
        <w:t>гнозе провести их биопсию.</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Компьютерная томография грудной клетки:</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Наличие легочных артериовенозных мальформаций у больного, а также ее сосудистая анатомия при дан</w:t>
        <w:softHyphen/>
        <w:t>ном методе исследования выявляется особенно часто.</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Обычно применяют введение контрастного препара</w:t>
        <w:softHyphen/>
        <w:t>та с быстрым компьютерным сканированием.</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Если данный метод исследования задействован при обследовании больного с легочными артериовеноз</w:t>
        <w:softHyphen/>
        <w:t>ными мальформациями, локализацию очага удается выявить в 90% случаев, в то время как при проведе</w:t>
        <w:softHyphen/>
        <w:t>нии ангиографического исследования выявить легоч</w:t>
        <w:softHyphen/>
        <w:t>ные артериовенозные мальформации удается только в 60% случаев.</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Особая чувствительность контрастной компьютер</w:t>
        <w:softHyphen/>
        <w:t>ной томографии делает этот метод исследования осо</w:t>
        <w:softHyphen/>
        <w:t>бенно рекомендуемым у больных с наследственными геморрагическими телеангиоэктазиями.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Контрастная эхокардиография:</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Данный метод исследования является одним из луч</w:t>
        <w:softHyphen/>
        <w:t>ших для выявления внутрилегочных шунтов.</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Техника проведения контрастной эхокардиографии такова: внутривенно в периферическую вену вводит</w:t>
        <w:softHyphen/>
        <w:t>ся 5-10 мл контрастного для эхокардиографии вещес</w:t>
        <w:softHyphen/>
        <w:t>тва (глюкозы и т.п.) и одновременно проводится эхо</w:t>
        <w:softHyphen/>
        <w:t>кардиографическое исследование левого и правого предсердия в двухмерном режиме.</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случае легочных артериовенозных шунтов контра</w:t>
        <w:softHyphen/>
        <w:t>стное вещество появляется в левом предсердии через 3-8 сердечных циклов после появления в правом предсердии.</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Контрастная эхокардиография имеет почти 100% чувствительность для выявления значимых легочных артериовенозных шунтов.</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Обнаружение легочного артериовенозного шунта по данным эхокардиографии с контрастным веществом требует под тверждения диагноза с помощью ангио - графического исследования легких или контрастной компьютерной томографии.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Радионуклидное перфузионное сканирование легких:</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Данный метод диагностического исследования при</w:t>
        <w:softHyphen/>
        <w:t>меняется для выявления у больных легочных артерио - венозных мальформаций, особенно когда проведение контрастной эхокардиографии затруднительно.</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больных без внутрилегочного артериовенозного шунтирования используется введение в перифериче-</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скую вену технеция-99 на микроагрегированном аль</w:t>
        <w:softHyphen/>
        <w:t>бумине. При фильтрации данного препарата в легоч</w:t>
        <w:softHyphen/>
        <w:t>ных капиллярах происходит изменение его накопле</w:t>
        <w:softHyphen/>
        <w:t>ния у больных. Если у пациента функционирует вну</w:t>
        <w:softHyphen/>
        <w:t>трилегочный шунт, то часть препарата не оседает в легких, а фильтруется капиллярами головного моз</w:t>
        <w:softHyphen/>
        <w:t>га или почек, что подтверждает диагноз легочной ар</w:t>
        <w:softHyphen/>
        <w:t>териовенозной мальформации.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Ангиография легких:</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Несмотря на наличие неинвазивных методов диагно - стики легочных артериовенозных мальформаций, ан</w:t>
        <w:softHyphen/>
        <w:t>гиография легких является стандартом для обследо</w:t>
        <w:softHyphen/>
        <w:t>вания данных больных, и ее проведение заложено в критерии диагноза.</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Этот метод исследования применяется для проведе</w:t>
        <w:softHyphen/>
        <w:t>ния эмболотерапии больным, у которых имеются на то показания. Обычно рекомендуется проводить ан</w:t>
        <w:softHyphen/>
        <w:t>гиографическое исследование всех долей легких на предмет обнаружения «незапланированной» маль</w:t>
        <w:softHyphen/>
        <w:t>формации.</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Дигитальная субтракционная ангиография может служить заменой обычной ангиографии. В то время как компьютерное томографическое сканирование или магниторезонансная томография могут заменить в определенной мере ангиографическое исследова</w:t>
        <w:softHyphen/>
        <w:t>ние легких в диагностике легочных артериовенозных мальформаций, ангиография все-таки незаменима в случаях возможного малоинвазивного лечения.</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Обычно диагноз больному все же устанавливается с использованием ангиографии, а в последующем на</w:t>
        <w:softHyphen/>
        <w:t>блюдении можно ограничиться неинвазивными мето</w:t>
        <w:softHyphen/>
        <w:t>дами магниторезонансной томографии или компью</w:t>
        <w:softHyphen/>
        <w:t>терно-томографического сканирования в динамике.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Магниторезонансная томография:</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Данный метод исследования является информатив</w:t>
        <w:softHyphen/>
        <w:t>ным в диагностике легочных артериовенозных маль</w:t>
        <w:softHyphen/>
        <w:t>формаций.</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Быстропротекающая кровь представлена на МРТ зо</w:t>
        <w:softHyphen/>
        <w:t>ной отсутствия МРТ-сигнала при сканировании или минимального МРТ-сигнала.</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Однако метод имеет ограниченные возможности для выявления небольших легочных сосудистых маль</w:t>
        <w:softHyphen/>
        <w:t>формаций.</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Лучшие результаты для выявления легочных артерио - венозных мальформаций показывает фазово-контра</w:t>
        <w:softHyphen/>
        <w:t>стная МРТ. Проведение МРТ с контрастированием сосудов позволяет со значительно большей вероятно</w:t>
        <w:softHyphen/>
        <w:t>стью выявить легочные мальформации и вынести суждение об ангиоархитектонике и анатомии арте</w:t>
        <w:softHyphen/>
        <w:t>риовенозной мальформации. Комбинированное МРТ-исследование может быть важным при диффе</w:t>
        <w:softHyphen/>
        <w:t>ренциальном диагнозе легочных артериовенозных мальформаций от других патологических состояний. Однако в настоящее время говорить о рутинном при</w:t>
        <w:softHyphen/>
        <w:t>менении МРТ для диагностики легочных артериове</w:t>
        <w:softHyphen/>
        <w:t>нозных мальформаций преждевременно, поскольку необходим больший объем исследований.</w:t>
      </w:r>
    </w:p>
    <w:p>
      <w:pPr>
        <w:pStyle w:val="Style30"/>
        <w:widowControl w:val="0"/>
        <w:keepNext w:val="0"/>
        <w:keepLines w:val="0"/>
        <w:shd w:val="clear" w:color="auto" w:fill="auto"/>
        <w:bidi w:val="0"/>
        <w:spacing w:before="0" w:after="0"/>
        <w:ind w:left="0" w:right="0" w:firstLine="280"/>
      </w:pPr>
      <w:r>
        <w:pict>
          <v:shape id="_x0000_s1288" type="#_x0000_t75" style="position:absolute;margin-left:130.45pt;margin-top:736.3pt;width:209.75pt;height:14.9pt;z-index:-125829204;mso-wrap-distance-left:124.1pt;mso-wrap-distance-right:148.1pt;mso-wrap-distance-bottom:10.8pt;mso-position-horizontal-relative:margin;mso-position-vertical-relative:margin" wrapcoords="0 0 21600 0 21600 21600 0 21600 0 0">
            <v:imagedata r:id="rId429" r:href="rId430"/>
            <w10:wrap type="topAndBottom" anchorx="margin" anchory="margin"/>
          </v:shape>
        </w:pict>
      </w:r>
      <w:r>
        <w:rPr>
          <w:lang w:val="ru-RU" w:eastAsia="ru-RU" w:bidi="ru-RU"/>
          <w:w w:val="100"/>
          <w:spacing w:val="0"/>
          <w:color w:val="000000"/>
          <w:position w:val="0"/>
        </w:rPr>
        <w:t>Лечение у больных легочными артериовенозными маль</w:t>
        <w:softHyphen/>
        <w:t>формациями рассматривается как «вспомогательное» к ос</w:t>
        <w:softHyphen/>
        <w:t>новному оперативному лечению. Также лекарственная те</w:t>
        <w:softHyphen/>
        <w:t>рапия должна быть направлена на предупреждение абсцес</w:t>
        <w:softHyphen/>
        <w:t>са мозга вследствие инфицированного эмбола. Проводится</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антибиотикотерапия амоксациллином, клиндамицином, гентамицином, ванкомицином, эритромицином, цефазо- лином, цефалексином, дурицефом, азитромицином, кла- ритромицином в соответствующих дозировках.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легочных артериовенозных мальформаций — только хирургическая эмболизация очагов. Эмболотерапия приводит к перекрыванию просвета артерии (или артерий), питающей артериовенозную мальформацию.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качестве эмболизирующих материалов могут исполь</w:t>
        <w:softHyphen/>
        <w:t>зоваться различные препараты: поливинил алкоголь, раз</w:t>
        <w:softHyphen/>
        <w:t>личные микроэмболы и т.п.</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Показания для проведения эмболизации легочных арте</w:t>
        <w:softHyphen/>
        <w:t>риовенозных мальформаций следующие:</w:t>
      </w:r>
    </w:p>
    <w:p>
      <w:pPr>
        <w:pStyle w:val="Style30"/>
        <w:numPr>
          <w:ilvl w:val="0"/>
          <w:numId w:val="59"/>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прогрессирующее увеличение в размерах сосудистого образования;</w:t>
      </w:r>
    </w:p>
    <w:p>
      <w:pPr>
        <w:pStyle w:val="Style30"/>
        <w:numPr>
          <w:ilvl w:val="0"/>
          <w:numId w:val="5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парадоксальные эмболии;</w:t>
      </w:r>
    </w:p>
    <w:p>
      <w:pPr>
        <w:pStyle w:val="Style30"/>
        <w:numPr>
          <w:ilvl w:val="0"/>
          <w:numId w:val="5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симптоматическая гипоксемия;</w:t>
      </w:r>
    </w:p>
    <w:p>
      <w:pPr>
        <w:pStyle w:val="Style30"/>
        <w:numPr>
          <w:ilvl w:val="0"/>
          <w:numId w:val="5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кровотечения из сосудов диаметром более 3 мм.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Техника проведения эмболизации такова: место локали</w:t>
        <w:softHyphen/>
        <w:t>зации легочной мальформации определяется при проведе</w:t>
        <w:softHyphen/>
        <w:t>нии ангиографии, которая заканчивается селективной кате</w:t>
        <w:softHyphen/>
        <w:t>теризацией питающей артериовенозную мальформацию ар</w:t>
        <w:softHyphen/>
        <w:t>терии. Эмболизирующее вещество вводится через катетер в питающую артерию, дистально от любых отходящих в сто - рону от очага мальформации ветвей. Таким образом предуп</w:t>
        <w:softHyphen/>
        <w:t>реждается эмболизация «нужных» ветвей. Порой необходи</w:t>
        <w:softHyphen/>
        <w:t>мо провести неоднократное введение эмболизирующего препарата, поскольку с одной попытки не удается добиться полной окклюзии питающего сосуда. Иногда артериовеноз</w:t>
        <w:softHyphen/>
        <w:t>ную мальформацию питают сразу несколько артерий. Обычно все они подвергаются окклюзии в течение одного оперативного малоинвазивного вмешательства.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Второй вид эмболизирующих операций заключается в введении баллона. Баллонный катетер позиционируется в области «шейки» легочной артериовенозной мальформа</w:t>
        <w:softHyphen/>
        <w:t>ции и препятствует поступлению питающей ее крови.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Результаты хирургического лечения можно оценить при проведении последующего компьютерного томографическо</w:t>
        <w:softHyphen/>
        <w:t>го сканирования после оперативного лечения. Обычно по</w:t>
        <w:softHyphen/>
        <w:t>вторные томографические исследования проводятся спустя год и далее ежегодно для исключения рецидива. В 96% случа</w:t>
        <w:softHyphen/>
        <w:t>ев оказывается, что легочная артериовенозная мальформация вообще не визуализируется. Это происходит вследствие тромбоза питающей артерии и ретракции аневризматическо</w:t>
        <w:softHyphen/>
        <w:t>го мешка после успешно проведенной обструкции.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Посткатетеризационными жалобами и осложнениями могут быть кровотечения, разрыв сосуда (особенно после баллонного метода), боль, тошнота, рвота и случайная об</w:t>
        <w:softHyphen/>
        <w:t>струкция «нужной» артерии или вены вследствие тромбоза или спазма.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Также посткатетеризационными осложнениями являются:</w:t>
      </w:r>
    </w:p>
    <w:p>
      <w:pPr>
        <w:pStyle w:val="Style30"/>
        <w:numPr>
          <w:ilvl w:val="0"/>
          <w:numId w:val="59"/>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тахиаритмия, брадиаритмия (особенно на фоне раз</w:t>
        <w:softHyphen/>
        <w:t>рыва сосуда или окклюзии сосуда);</w:t>
      </w:r>
    </w:p>
    <w:p>
      <w:pPr>
        <w:pStyle w:val="Style30"/>
        <w:numPr>
          <w:ilvl w:val="0"/>
          <w:numId w:val="59"/>
        </w:numPr>
        <w:tabs>
          <w:tab w:leader="none" w:pos="515"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плевритические боли в грудной клетке — наиболее часто встречающееся осложнение. Оно наблюдается примерно у 12% больных, перенесших операцию. Проводимая радиография в этих случаях выявляет инфаркт легкого в 3% случаев. Обычно боль хорошо купируется введением анальгетиков;</w:t>
      </w:r>
    </w:p>
    <w:p>
      <w:pPr>
        <w:pStyle w:val="Style30"/>
        <w:numPr>
          <w:ilvl w:val="0"/>
          <w:numId w:val="5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воздушная эмболия во время проведения эмболоте</w:t>
        <w:softHyphen/>
        <w:t>рапии наблюдается у 4,8% больных. Воздушная эмбо</w:t>
        <w:softHyphen/>
        <w:t>лия может вызвать транзиторную стенокардию, пери- оральную парестезию, брадикардию;</w:t>
      </w:r>
    </w:p>
    <w:p>
      <w:pPr>
        <w:pStyle w:val="Style30"/>
        <w:numPr>
          <w:ilvl w:val="0"/>
          <w:numId w:val="5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длительные наблюдения показывают, что серьезные осложнения после проведения эмболизации наблю</w:t>
        <w:softHyphen/>
        <w:t>даются у 2% больных, подвергшихся данному методу лечения;</w:t>
      </w:r>
    </w:p>
    <w:p>
      <w:pPr>
        <w:pStyle w:val="Style30"/>
        <w:numPr>
          <w:ilvl w:val="0"/>
          <w:numId w:val="5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симптоматическая реканализация встречается в 0,5% случаев;</w:t>
      </w:r>
    </w:p>
    <w:p>
      <w:pPr>
        <w:pStyle w:val="Style30"/>
        <w:numPr>
          <w:ilvl w:val="0"/>
          <w:numId w:val="5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возникновение или усугубление имевшейся легочной гипертензии после проведения эмболизации описа</w:t>
        <w:softHyphen/>
        <w:t>ны в единичных случаях. Подобные осложнения на</w:t>
        <w:softHyphen/>
        <w:t>блюдаются более часто, если диаметр питающего со</w:t>
        <w:softHyphen/>
        <w:t>суда составляет более 8 мм.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Другими методами хирургической коррекции являются:</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Перевязка питающего сосуда.</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Локальная резекция.</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Сегментарная резекция легкого.</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Лобэктомия.</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Удаление целого легкого.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Послеоперационная летальность варьирует от 0 до 9%. Рецидивы возникают у 10-12% больных.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Хирургический метод лечения является единственным выбором у больных, имеющих аллергию на рентгеноконт</w:t>
        <w:softHyphen/>
        <w:t>растные материалы.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Основными осложнениями легочных артериовенозных мальформаций являются:</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Мигренозные головные боли.</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Транзиторные ишемические атаки.</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Инсульты.</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Абсцесс головного мозга.</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Цереброваскулярные нарушения.</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Гипоксемия.</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Гемоторакс.</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Жизнеугрожающие кровотечения.</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Легочная гипертензия.</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Застойная сердечная недостаточность.</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Полицитемия.</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Анемия.</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Инфекционный эндокардит.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Смертность от легочных артериовенозных мальфор</w:t>
        <w:softHyphen/>
        <w:t>маций варьирует от 0 до 55%.</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sectPr>
          <w:type w:val="continuous"/>
          <w:pgSz w:w="11900" w:h="16840"/>
          <w:pgMar w:top="1579" w:left="1026" w:right="1021" w:bottom="1795" w:header="0" w:footer="3" w:gutter="0"/>
          <w:rtlGutter w:val="0"/>
          <w:cols w:num="2" w:space="139"/>
          <w:noEndnote/>
          <w:docGrid w:linePitch="360"/>
        </w:sectPr>
      </w:pPr>
      <w:r>
        <w:rPr>
          <w:lang w:val="ru-RU" w:eastAsia="ru-RU" w:bidi="ru-RU"/>
          <w:w w:val="100"/>
          <w:spacing w:val="0"/>
          <w:color w:val="000000"/>
          <w:position w:val="0"/>
        </w:rPr>
        <w:t>Частота возникновения инсультов составляет около 11,4%, частота возникновения абсцессов головного мозга составляет 6,8%.</w:t>
      </w:r>
    </w:p>
    <w:p>
      <w:pPr>
        <w:widowControl w:val="0"/>
        <w:rPr>
          <w:sz w:val="2"/>
          <w:szCs w:val="2"/>
        </w:rPr>
      </w:pPr>
      <w:r>
        <w:pict>
          <v:shape id="_x0000_s1289" type="#_x0000_t202" style="position:static;width:595.pt;height:152.2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290" type="#_x0000_t75" style="position:absolute;margin-left:154.7pt;margin-top:0;width:209.75pt;height:14.9pt;z-index:-251658709;mso-wrap-distance-left:5.pt;mso-wrap-distance-right:5.pt;mso-position-horizontal-relative:margin" wrapcoords="0 0">
            <v:imagedata r:id="rId431" r:href="rId432"/>
            <w10:wrap anchorx="margin"/>
          </v:shape>
        </w:pict>
      </w:r>
    </w:p>
    <w:p>
      <w:pPr>
        <w:widowControl w:val="0"/>
        <w:rPr>
          <w:sz w:val="2"/>
          <w:szCs w:val="2"/>
        </w:rPr>
        <w:sectPr>
          <w:type w:val="continuous"/>
          <w:pgSz w:w="11900" w:h="16840"/>
          <w:pgMar w:top="1468" w:left="893" w:right="1119" w:bottom="192" w:header="0" w:footer="3" w:gutter="0"/>
          <w:rtlGutter w:val="0"/>
          <w:cols w:space="720"/>
          <w:noEndnote/>
          <w:docGrid w:linePitch="360"/>
        </w:sectPr>
      </w:pPr>
    </w:p>
    <w:p>
      <w:pPr>
        <w:pStyle w:val="Style22"/>
        <w:widowControl w:val="0"/>
        <w:keepNext w:val="0"/>
        <w:keepLines w:val="0"/>
        <w:shd w:val="clear" w:color="auto" w:fill="auto"/>
        <w:bidi w:val="0"/>
        <w:jc w:val="left"/>
        <w:spacing w:before="0" w:after="270" w:line="360" w:lineRule="exact"/>
        <w:ind w:left="2320" w:right="0" w:firstLine="0"/>
      </w:pPr>
      <w:r>
        <w:rPr>
          <w:rStyle w:val="CharStyle127"/>
        </w:rPr>
        <w:t>Глава III</w:t>
      </w:r>
    </w:p>
    <w:p>
      <w:pPr>
        <w:pStyle w:val="Style15"/>
        <w:widowControl w:val="0"/>
        <w:keepNext/>
        <w:keepLines/>
        <w:shd w:val="clear" w:color="auto" w:fill="auto"/>
        <w:bidi w:val="0"/>
        <w:jc w:val="left"/>
        <w:spacing w:before="0" w:after="0" w:line="340" w:lineRule="exact"/>
        <w:ind w:left="2320" w:right="0" w:firstLine="0"/>
        <w:sectPr>
          <w:headerReference w:type="even" r:id="rId433"/>
          <w:headerReference w:type="default" r:id="rId434"/>
          <w:headerReference w:type="first" r:id="rId435"/>
          <w:pgSz w:w="11900" w:h="16840"/>
          <w:pgMar w:top="1800" w:left="1119" w:right="893" w:bottom="206" w:header="0" w:footer="3" w:gutter="0"/>
          <w:rtlGutter w:val="0"/>
          <w:cols w:space="720"/>
          <w:noEndnote/>
          <w:docGrid w:linePitch="360"/>
        </w:sectPr>
      </w:pPr>
      <w:bookmarkStart w:id="393" w:name="bookmark393"/>
      <w:r>
        <w:rPr>
          <w:lang w:val="ru-RU" w:eastAsia="ru-RU" w:bidi="ru-RU"/>
          <w:w w:val="100"/>
          <w:spacing w:val="0"/>
          <w:color w:val="000000"/>
          <w:position w:val="0"/>
        </w:rPr>
        <w:t>КЛАПАННЫЕ ПОРОКИ СЕРДЦА</w:t>
      </w:r>
      <w:bookmarkEnd w:id="393"/>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44" w:after="44" w:line="240" w:lineRule="exact"/>
        <w:rPr>
          <w:sz w:val="19"/>
          <w:szCs w:val="19"/>
        </w:rPr>
      </w:pPr>
    </w:p>
    <w:p>
      <w:pPr>
        <w:widowControl w:val="0"/>
        <w:rPr>
          <w:sz w:val="2"/>
          <w:szCs w:val="2"/>
        </w:rPr>
        <w:sectPr>
          <w:type w:val="continuous"/>
          <w:pgSz w:w="11900" w:h="16840"/>
          <w:pgMar w:top="1565" w:left="0" w:right="0" w:bottom="1752" w:header="0" w:footer="3" w:gutter="0"/>
          <w:rtlGutter w:val="0"/>
          <w:cols w:space="720"/>
          <w:noEndnote/>
          <w:docGrid w:linePitch="360"/>
        </w:sectPr>
      </w:pPr>
    </w:p>
    <w:p>
      <w:pPr>
        <w:widowControl w:val="0"/>
        <w:rPr>
          <w:sz w:val="2"/>
          <w:szCs w:val="2"/>
        </w:rPr>
      </w:pPr>
      <w:r>
        <w:pict>
          <v:shape id="_x0000_s1293" type="#_x0000_t75" style="position:absolute;margin-left:140.1pt;margin-top:608.9pt;width:209.75pt;height:14.9pt;z-index:-125829203;mso-wrap-distance-left:136.8pt;mso-wrap-distance-right:148.1pt;mso-wrap-distance-bottom:10.8pt;mso-position-horizontal-relative:margin" wrapcoords="0 0 21600 0 21600 21600 0 21600 0 0">
            <v:imagedata r:id="rId436" r:href="rId437"/>
            <w10:wrap type="topAndBottom" anchorx="margin"/>
          </v:shape>
        </w:pict>
      </w:r>
    </w:p>
    <w:p>
      <w:pPr>
        <w:pStyle w:val="Style28"/>
        <w:widowControl w:val="0"/>
        <w:keepNext/>
        <w:keepLines/>
        <w:shd w:val="clear" w:color="auto" w:fill="auto"/>
        <w:bidi w:val="0"/>
        <w:jc w:val="left"/>
        <w:spacing w:before="0" w:after="162" w:line="220" w:lineRule="exact"/>
        <w:ind w:left="0" w:right="0" w:firstLine="0"/>
      </w:pPr>
      <w:bookmarkStart w:id="394" w:name="bookmark394"/>
      <w:r>
        <w:rPr>
          <w:lang w:val="ru-RU" w:eastAsia="ru-RU" w:bidi="ru-RU"/>
          <w:w w:val="100"/>
          <w:spacing w:val="0"/>
          <w:color w:val="000000"/>
          <w:position w:val="0"/>
        </w:rPr>
        <w:t>Пороки митрального клапана</w:t>
      </w:r>
      <w:bookmarkEnd w:id="394"/>
    </w:p>
    <w:p>
      <w:pPr>
        <w:pStyle w:val="Style48"/>
        <w:widowControl w:val="0"/>
        <w:keepNext/>
        <w:keepLines/>
        <w:shd w:val="clear" w:color="auto" w:fill="auto"/>
        <w:bidi w:val="0"/>
        <w:jc w:val="left"/>
        <w:spacing w:before="0" w:after="79" w:line="240" w:lineRule="exact"/>
        <w:ind w:left="0" w:right="0" w:firstLine="0"/>
      </w:pPr>
      <w:bookmarkStart w:id="395" w:name="bookmark395"/>
      <w:r>
        <w:rPr>
          <w:lang w:val="ru-RU" w:eastAsia="ru-RU" w:bidi="ru-RU"/>
          <w:w w:val="100"/>
          <w:spacing w:val="0"/>
          <w:color w:val="000000"/>
          <w:position w:val="0"/>
        </w:rPr>
        <w:t>Эмбриология и нормальная функциональная анатомия митрального клапана</w:t>
      </w:r>
      <w:bookmarkEnd w:id="39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После слияния эндокардиальных подушечек на 4-6 не</w:t>
        <w:softHyphen/>
        <w:t>деле внутриутробного развития плода формируются левый и правый атриовентрикулярные каналы.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 окружности левого атриовентрикулярного кольца возникает локализованная пролиферация мезенхимальной ткани, которая в дальнейшем с потоком крови опускается в полость желудочка и сливается с мышечной тканью, фор</w:t>
        <w:softHyphen/>
        <w:t>мируя мышечный тяж. В последующем мышечная ткань тя</w:t>
        <w:softHyphen/>
        <w:t>жа дегенерирует и замещается соединительной тканью с об</w:t>
        <w:softHyphen/>
        <w:t>разованием сухожильных нитей. Примитивные створки со</w:t>
        <w:softHyphen/>
        <w:t>стоят из соединительной ткани, содержащей большое ко</w:t>
        <w:softHyphen/>
        <w:t>личество миксоматозного материала. В дальнейшем проис</w:t>
        <w:softHyphen/>
        <w:t>ходит дифференцировка структурных элементов клапана, направленная на улучшение его запирательной функции.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Аппарат митрального клапана является сложной ком</w:t>
        <w:softHyphen/>
        <w:t>плексной структурой, морфологическими элементами ко</w:t>
        <w:softHyphen/>
        <w:t>торой являются соединительнотканное атриовентрикуляр</w:t>
        <w:softHyphen/>
        <w:t>ное кольцо, створки, папиллярные мышцы и сухожильные хорды. В функциональном отношении в аппарат митраль</w:t>
        <w:softHyphen/>
        <w:t>ного клапана помимо указанных структур включают левое предсердие и левый желудочек. Нормальная функция кла</w:t>
        <w:softHyphen/>
        <w:t>пана зависит как от анатомической, так и функциональной полноценности всех его элементов.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Границы и размеры левого предсердно-желудочкового отверстия определяются фиброзным кольцом, которое у детей младшего возраста имеет округлую форму, а в стар</w:t>
        <w:softHyphen/>
        <w:t>шем возрасте — овальную. У детей первых лет жизни фиб</w:t>
        <w:softHyphen/>
        <w:t>розное кольцо содержит помимо пучков коллагеновых и эластических волокон большое количество фиброцитов, что объясняет относительную легкость расширения кольца при дилатации левого желудочка и предсердия. У детей старших возрастов пучки коллагеновых волокон становятся толще, эластических волокон мало, они находятся главным образом в области основания створок.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до 3-х лет длина окружности равна 3,5-4,3 см (в 50% случаев), 4,4-5,2 см (в 25%) и 5,3-6 см (в 25%). К 7 го</w:t>
        <w:softHyphen/>
        <w:t>дам жизни окружность левого предсердно-желудочкового отверстия возрастает до 6,1-7,5 см и к 18 годам принимает параметры сердца взрослого.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Митральный клапан в 62% случаев представлен двумя главными створками, дополнительные створки определяются в 38% случаев за счет расщепления задней главной створки.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Переднемедиальная (аортальная) створка клапана фор</w:t>
        <w:softHyphen/>
        <w:t>мируется из аортомитрального фиброзного продолжения. Она имеет большой свободный край и большую площадь,</w:t>
        <w:br w:type="column"/>
        <w:t>однако занимает меньшее место по окружности. Задняя створка крепится на большом протяжении по окружности, имеет отношение к задней стенке левого желудочка и ниж</w:t>
        <w:softHyphen/>
        <w:t>ней стенке межжелудочковой перегородки, формируя одну из стенок левопредсердного выходного отверстия.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до 3-х лет передняя створка имеет ширину 0,5-1,5 см и высоту 0,3-1 см, задняя — соответственно 0,6-2,5 см и 0,2-0,6 см. У детей 4-10 лет передняя створка составляет в ширину 1,6-2 см, в высоту — 1,1-1,6 см, зад</w:t>
        <w:softHyphen/>
        <w:t>няя — соответственно 2,6-4 см и 0,7-1 см. К 18 годам пере</w:t>
        <w:softHyphen/>
        <w:t>дняя створка достигает в ширину 3 см, в высоту — 2,8 см, а задняя в ширину — 5,7 см, в высоту — 2 см.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Сухожильные хорды отходят от сосочковых мышц, в ос</w:t>
        <w:softHyphen/>
        <w:t>новном прикрепляются по свободному краю створок и в меньшей степени по всей их желудочковой поверхности вплоть до фиброзного кольца. Многие хорды перед прикреп</w:t>
        <w:softHyphen/>
        <w:t>лением к створке разделяются на ряд нитей. Количество при</w:t>
        <w:softHyphen/>
        <w:t>крепляющихся сухожильных хорд к створкам варьирует от 20 до 70. К свободному краю передней створки прикрепляются от 11 до 25 хорд, к желудочковой поверхности — от 8 до 15 хорд. На задней створке фиксируется по свободному краю 20-45 хорд и кжелудочковой поверхности — 10-20 хорд. К ос</w:t>
        <w:softHyphen/>
        <w:t>нованию обеих створок прикрепляется от 5 до 15 хорд.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Сухожильные хорды от каждой сосочковой мышцы при</w:t>
        <w:softHyphen/>
        <w:t>крепляются преимущественно к соответствующей створке и в меньшем числе — к соседней. Длина передних хорд в возрасте до 3-х лет составляет 0,3-1 см, у 4-10-летних — 0,7-1,5 см, к 18 годам они достигают 1,2-1,8 см. Задние су</w:t>
        <w:softHyphen/>
        <w:t>хожильные хорды у детей в возрасте до 3 лет имеют в длину 0,3-1,2 см, у 4-10-летних — 0,8-1,6 см, к 18 годам они дости</w:t>
        <w:softHyphen/>
        <w:t>гают 1,2-1,8 см.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Папиллярные мышцы являются непосредственным продолжением миокарда, чаще всего встречается две сосоч</w:t>
        <w:softHyphen/>
        <w:t>ковых мышцы, отходящих от передней и задней стенок же</w:t>
        <w:softHyphen/>
        <w:t>лудочка. Форма сосочковых мышц разнообразна, они могут иметь общее основание и несколько верхушек, одно осно</w:t>
        <w:softHyphen/>
        <w:t>вание и одну верхушку, одну верхушку и несколько основа</w:t>
        <w:softHyphen/>
        <w:t>ний. Длина сосочковых мышц у детей до 3 лет составляет 0,5-1,2 см, у 4-6-летних — 0,7-1,8 см, к 18 годам их длина достигает 2,3-3,5 см. На экспериментальной модели изоли</w:t>
        <w:softHyphen/>
        <w:t>рованного митрального клапана показано, что нагрузка на заднемедиальную папиллярную мышцу значительно боль</w:t>
        <w:softHyphen/>
        <w:t>ше, чем на переднелатеральную. В соответствии с механиз</w:t>
        <w:softHyphen/>
        <w:t>мом Франка-Старлинга папиллярные мышцы ведут себя как сегменты стенки левого желудочка. При перпендику</w:t>
        <w:softHyphen/>
        <w:t>лярной ориентации мышц к створкам осуществляется на</w:t>
        <w:softHyphen/>
        <w:t>иболее эффективный режим их работы. Если левый желу</w:t>
        <w:softHyphen/>
        <w:t>дочек дилатируется, то папиллярные мышцы ориентирова</w:t>
        <w:softHyphen/>
        <w:t>ны к створкам тангенциально, при этом нагрузка на мыш</w:t>
        <w:softHyphen/>
        <w:t>цы существенно возрастает.</w:t>
      </w:r>
      <w:r>
        <w:br w:type="page"/>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На характер кровотока через митральный клапан влияют объем крови, изгоняемой во время сокращения предсер</w:t>
        <w:softHyphen/>
        <w:t>дия, степень релаксации и время диастолического наполне</w:t>
        <w:softHyphen/>
        <w:t>ния левого желудочка. Возникающий в норме вихревой по</w:t>
        <w:softHyphen/>
        <w:t>ток крови за створками митрального клапана во время диа</w:t>
        <w:softHyphen/>
        <w:t>столы препятствует формированию тромбов на клапане, а также способствует более плотному соприкосновению створок, предупреждая регургитацию.</w:t>
      </w:r>
    </w:p>
    <w:p>
      <w:pPr>
        <w:pStyle w:val="Style28"/>
        <w:widowControl w:val="0"/>
        <w:keepNext/>
        <w:keepLines/>
        <w:shd w:val="clear" w:color="auto" w:fill="auto"/>
        <w:bidi w:val="0"/>
        <w:jc w:val="left"/>
        <w:spacing w:before="0" w:after="157" w:line="220" w:lineRule="exact"/>
        <w:ind w:left="0" w:right="0" w:firstLine="0"/>
      </w:pPr>
      <w:bookmarkStart w:id="396" w:name="bookmark396"/>
      <w:r>
        <w:rPr>
          <w:lang w:val="ru-RU" w:eastAsia="ru-RU" w:bidi="ru-RU"/>
          <w:w w:val="100"/>
          <w:spacing w:val="0"/>
          <w:color w:val="000000"/>
          <w:position w:val="0"/>
        </w:rPr>
        <w:t>Митральная недостаточность</w:t>
      </w:r>
      <w:bookmarkEnd w:id="39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Митральная недостаточность — возникновение обрат</w:t>
        <w:softHyphen/>
        <w:t>ного тока крови (регургитации) во время систолы левого желудочка из-за неполного закрытия левого атриовентри</w:t>
        <w:softHyphen/>
        <w:t>кулярного отверстия.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Четыре анатомических компонента клапана (предсерд</w:t>
        <w:softHyphen/>
        <w:t>но-желудочковое кольцо, митральные створки, сухожиль</w:t>
        <w:softHyphen/>
        <w:t>ные хорды и сосочковые мышцы) обеспечивают свободный кровоток из левого предсердия в левый желудочек в течение диастолы и компетентное закрытие в течение систолы. Створки открываются полностью в течение ранней быстро заполняющейся фазы диастолы. Затем они начинают за</w:t>
        <w:softHyphen/>
        <w:t>крываться пассивно с увеличением давления и объема в ле</w:t>
        <w:softHyphen/>
        <w:t>вом желудочке. Створки клапана повторно приоткрываются во время сокращения предсердия. В течение предсердного сокращения уменьшается окружность митрального клапана на 20-30%. Сокращение сосочковых мышц служит для под</w:t>
        <w:softHyphen/>
        <w:t>держания длины хорд под давлением, которое развивается в течение систолы. Митральная регургитация может возни</w:t>
        <w:softHyphen/>
        <w:t>кать при патологии хотя бы одного из 4-х перечисленных компонентов. В зависимости от этиологического фактора митральная недостаточность (регургитация) может быть ос</w:t>
        <w:softHyphen/>
        <w:t>трой и хронической, функциональной и органической.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Краткая историческая справка</w:t>
      </w:r>
    </w:p>
    <w:p>
      <w:pPr>
        <w:pStyle w:val="Style30"/>
        <w:numPr>
          <w:ilvl w:val="0"/>
          <w:numId w:val="57"/>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Анатомические изменения при митральной недоста</w:t>
        <w:softHyphen/>
        <w:t xml:space="preserve">точности описаны </w:t>
      </w:r>
      <w:r>
        <w:rPr>
          <w:lang w:val="en-US" w:eastAsia="en-US" w:bidi="en-US"/>
          <w:w w:val="100"/>
          <w:spacing w:val="0"/>
          <w:color w:val="000000"/>
          <w:position w:val="0"/>
        </w:rPr>
        <w:t xml:space="preserve">Senec </w:t>
      </w:r>
      <w:r>
        <w:rPr>
          <w:lang w:val="ru-RU" w:eastAsia="ru-RU" w:bidi="ru-RU"/>
          <w:w w:val="100"/>
          <w:spacing w:val="0"/>
          <w:color w:val="000000"/>
          <w:position w:val="0"/>
        </w:rPr>
        <w:t xml:space="preserve">(1749) и </w:t>
      </w:r>
      <w:r>
        <w:rPr>
          <w:lang w:val="en-US" w:eastAsia="en-US" w:bidi="en-US"/>
          <w:w w:val="100"/>
          <w:spacing w:val="0"/>
          <w:color w:val="000000"/>
          <w:position w:val="0"/>
        </w:rPr>
        <w:t xml:space="preserve">Corvisar </w:t>
      </w:r>
      <w:r>
        <w:rPr>
          <w:lang w:val="ru-RU" w:eastAsia="ru-RU" w:bidi="ru-RU"/>
          <w:w w:val="100"/>
          <w:spacing w:val="0"/>
          <w:color w:val="000000"/>
          <w:position w:val="0"/>
        </w:rPr>
        <w:t>(1806).</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Симптомы порока впервые изучены </w:t>
      </w:r>
      <w:r>
        <w:rPr>
          <w:lang w:val="en-US" w:eastAsia="en-US" w:bidi="en-US"/>
          <w:w w:val="100"/>
          <w:spacing w:val="0"/>
          <w:color w:val="000000"/>
          <w:position w:val="0"/>
        </w:rPr>
        <w:t xml:space="preserve">Hope </w:t>
      </w:r>
      <w:r>
        <w:rPr>
          <w:lang w:val="ru-RU" w:eastAsia="ru-RU" w:bidi="ru-RU"/>
          <w:w w:val="100"/>
          <w:spacing w:val="0"/>
          <w:color w:val="000000"/>
          <w:position w:val="0"/>
        </w:rPr>
        <w:t>в 1832 году.</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случае, когда митральная недостаточность возника</w:t>
        <w:softHyphen/>
        <w:t>ет на фоне ревматического поражения сердца, сред</w:t>
        <w:softHyphen/>
        <w:t>ний возраст появления митральной регургитации со</w:t>
        <w:softHyphen/>
        <w:t>ставляет обычно до 20 лет.</w:t>
      </w:r>
    </w:p>
    <w:p>
      <w:pPr>
        <w:pStyle w:val="Style30"/>
        <w:numPr>
          <w:ilvl w:val="0"/>
          <w:numId w:val="57"/>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 лиц моложе 20 лет мужчины болеют чаще, чем жен</w:t>
        <w:softHyphen/>
        <w:t>щины.</w:t>
      </w:r>
    </w:p>
    <w:p>
      <w:pPr>
        <w:pStyle w:val="Style30"/>
        <w:numPr>
          <w:ilvl w:val="0"/>
          <w:numId w:val="57"/>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Молодые мужчины имеют более тяжелое течение ми</w:t>
        <w:softHyphen/>
        <w:t>тральной недостаточности, чем женщины.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Анатомические варианты митральной недостаточности</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Различают недостаточность митрального клапана функциональную (относительную) и органическую. Это деление условно, еще в 1934 году </w:t>
      </w:r>
      <w:r>
        <w:rPr>
          <w:lang w:val="en-US" w:eastAsia="en-US" w:bidi="en-US"/>
          <w:w w:val="100"/>
          <w:spacing w:val="0"/>
          <w:color w:val="000000"/>
          <w:position w:val="0"/>
        </w:rPr>
        <w:t xml:space="preserve">Gallavardin </w:t>
      </w:r>
      <w:r>
        <w:rPr>
          <w:lang w:val="ru-RU" w:eastAsia="ru-RU" w:bidi="ru-RU"/>
          <w:w w:val="100"/>
          <w:spacing w:val="0"/>
          <w:color w:val="000000"/>
          <w:position w:val="0"/>
        </w:rPr>
        <w:t>от</w:t>
        <w:softHyphen/>
        <w:t>метил, что к органической митральной недостаточ</w:t>
        <w:softHyphen/>
        <w:t>ности присоединяется относительная митральная не</w:t>
        <w:softHyphen/>
        <w:t>достаточность, которая становится органически функциональной.</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функциональной митральной недостаточности неполное замыкание митрального отверстия может явиться следствием:</w:t>
      </w:r>
    </w:p>
    <w:p>
      <w:pPr>
        <w:pStyle w:val="Style30"/>
        <w:numPr>
          <w:ilvl w:val="0"/>
          <w:numId w:val="57"/>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Расширения полости левого желудочка («митрали- зация») при заболеваниях миокарда, ведущих к ге</w:t>
        <w:softHyphen/>
        <w:t>модинамической перегрузке этого отдела сердца.</w:t>
      </w:r>
    </w:p>
    <w:p>
      <w:pPr>
        <w:pStyle w:val="Style30"/>
        <w:numPr>
          <w:ilvl w:val="0"/>
          <w:numId w:val="57"/>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Изменения тонуса папиллярных мышц и ускоре</w:t>
        <w:softHyphen/>
        <w:t>ния кровотока при вегетативных дистониях.</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Несмотря на то что функциональная недостаточность митрального клапана не является пороком сердца в обычном смысле слова, гемодинамические наруше</w:t>
        <w:softHyphen/>
        <w:t>ния имеют такой же характер, как при органическом пороке.</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Органическая митральная недостаточность — это следствие анатомического поражения самого клапана или сухожильных нитей, удерживающих клапан.</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Изолированная недостаточность митрального клапа</w:t>
        <w:softHyphen/>
        <w:t>на встречается редко, приблизительно у 2% больных с пороками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Как острая, так и хроническая митральная регургитация может быть во всех возрастных группах, однако она имеет различную представленность.</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подростков митральная регургитация чаще возни</w:t>
        <w:softHyphen/>
        <w:t>кает по следующим причинам:</w:t>
      </w:r>
    </w:p>
    <w:p>
      <w:pPr>
        <w:pStyle w:val="Style30"/>
        <w:numPr>
          <w:ilvl w:val="0"/>
          <w:numId w:val="59"/>
        </w:numPr>
        <w:tabs>
          <w:tab w:leader="none" w:pos="81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инфекция — эндокардит и миокардит;</w:t>
      </w:r>
    </w:p>
    <w:p>
      <w:pPr>
        <w:pStyle w:val="Style30"/>
        <w:numPr>
          <w:ilvl w:val="0"/>
          <w:numId w:val="59"/>
        </w:numPr>
        <w:tabs>
          <w:tab w:leader="none" w:pos="81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воспаление — ревматическая болезнь сердца и си</w:t>
        <w:softHyphen/>
        <w:t>стемная красная волчанка;</w:t>
      </w:r>
    </w:p>
    <w:p>
      <w:pPr>
        <w:pStyle w:val="Style30"/>
        <w:numPr>
          <w:ilvl w:val="0"/>
          <w:numId w:val="59"/>
        </w:numPr>
        <w:tabs>
          <w:tab w:leader="none" w:pos="81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структурные аномалии — ишемическая болезнь сердца и травма.</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причины митральной регургитации могут быть такими же, как и у взрослых, однако чаще всего она обусловлена врожденным дефектом развития.</w:t>
      </w:r>
    </w:p>
    <w:p>
      <w:pPr>
        <w:pStyle w:val="Style30"/>
        <w:numPr>
          <w:ilvl w:val="0"/>
          <w:numId w:val="57"/>
        </w:numPr>
        <w:tabs>
          <w:tab w:leader="none" w:pos="81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Многие случаи митральной регургитации возни</w:t>
        <w:softHyphen/>
        <w:t>кают в результате аномалии эмбрионального раз</w:t>
        <w:softHyphen/>
        <w:t>вития и обычно сочетаются с другими дефектами развития сердца.</w:t>
      </w:r>
    </w:p>
    <w:p>
      <w:pPr>
        <w:pStyle w:val="Style30"/>
        <w:numPr>
          <w:ilvl w:val="0"/>
          <w:numId w:val="57"/>
        </w:numPr>
        <w:tabs>
          <w:tab w:leader="none" w:pos="81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Большинство случаев врожденной митральной не</w:t>
        <w:softHyphen/>
        <w:t>достаточности редко протекают изолированно, за исключением таких состояний, как расщепление митральной створки, миксоматозная дегенерация митрального клапана, двойное отверстие митраль</w:t>
        <w:softHyphen/>
        <w:t>ного клапана и аркадный митральный клапан.</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 острой митральной регургитации:</w:t>
      </w:r>
    </w:p>
    <w:p>
      <w:pPr>
        <w:pStyle w:val="Style30"/>
        <w:numPr>
          <w:ilvl w:val="0"/>
          <w:numId w:val="59"/>
        </w:numPr>
        <w:tabs>
          <w:tab w:leader="none" w:pos="81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поражение митрального кольца:</w:t>
      </w:r>
    </w:p>
    <w:p>
      <w:pPr>
        <w:pStyle w:val="Style30"/>
        <w:numPr>
          <w:ilvl w:val="0"/>
          <w:numId w:val="59"/>
        </w:numPr>
        <w:tabs>
          <w:tab w:leader="none" w:pos="93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инфекционный эндокардит (формирование аб</w:t>
        <w:softHyphen/>
        <w:t>сцесса);</w:t>
      </w:r>
    </w:p>
    <w:p>
      <w:pPr>
        <w:pStyle w:val="Style30"/>
        <w:numPr>
          <w:ilvl w:val="0"/>
          <w:numId w:val="59"/>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травма (операция на клапане);</w:t>
      </w:r>
    </w:p>
    <w:p>
      <w:pPr>
        <w:pStyle w:val="Style30"/>
        <w:numPr>
          <w:ilvl w:val="0"/>
          <w:numId w:val="59"/>
        </w:numPr>
        <w:tabs>
          <w:tab w:leader="none" w:pos="947"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паравальвулярная несостоятельность в результате расхождения швов (хирургическая техническая проблема, инфекционный эндокардит).</w:t>
      </w:r>
    </w:p>
    <w:p>
      <w:pPr>
        <w:pStyle w:val="Style30"/>
        <w:numPr>
          <w:ilvl w:val="0"/>
          <w:numId w:val="59"/>
        </w:numPr>
        <w:tabs>
          <w:tab w:leader="none" w:pos="81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поражение митральных створок:</w:t>
      </w:r>
    </w:p>
    <w:p>
      <w:pPr>
        <w:pStyle w:val="Style30"/>
        <w:numPr>
          <w:ilvl w:val="0"/>
          <w:numId w:val="59"/>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инфекционный эндокардит (перфорация створ - ки или в связи с закупоркой створки вегетацией);</w:t>
      </w:r>
    </w:p>
    <w:p>
      <w:pPr>
        <w:pStyle w:val="Style30"/>
        <w:numPr>
          <w:ilvl w:val="0"/>
          <w:numId w:val="59"/>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травма (прорыв створки во время чрезкожной митральной баллонной вальвулотомии, проника</w:t>
        <w:softHyphen/>
        <w:t>ющая травма грудной клетки);</w:t>
      </w:r>
    </w:p>
    <w:p>
      <w:pPr>
        <w:pStyle w:val="Style30"/>
        <w:numPr>
          <w:ilvl w:val="0"/>
          <w:numId w:val="59"/>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опухоли (предсердная миксома);</w:t>
      </w:r>
    </w:p>
    <w:p>
      <w:pPr>
        <w:pStyle w:val="Style30"/>
        <w:numPr>
          <w:ilvl w:val="0"/>
          <w:numId w:val="59"/>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миксоматозная дегенерация;</w:t>
      </w:r>
    </w:p>
    <w:p>
      <w:pPr>
        <w:pStyle w:val="Style30"/>
        <w:numPr>
          <w:ilvl w:val="0"/>
          <w:numId w:val="59"/>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системная красная волчанка (эндокардит Либма- на-Сакса).</w:t>
      </w:r>
    </w:p>
    <w:p>
      <w:pPr>
        <w:pStyle w:val="Style30"/>
        <w:numPr>
          <w:ilvl w:val="0"/>
          <w:numId w:val="59"/>
        </w:numPr>
        <w:tabs>
          <w:tab w:leader="none" w:pos="81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разрыв сухожильной хорды:</w:t>
      </w:r>
    </w:p>
    <w:p>
      <w:pPr>
        <w:pStyle w:val="Style30"/>
        <w:numPr>
          <w:ilvl w:val="0"/>
          <w:numId w:val="59"/>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идиопатический (спонтанный);</w:t>
      </w:r>
    </w:p>
    <w:p>
      <w:pPr>
        <w:pStyle w:val="Style30"/>
        <w:numPr>
          <w:ilvl w:val="0"/>
          <w:numId w:val="59"/>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миксоматозная дегенерация (пролапс митраль</w:t>
        <w:softHyphen/>
        <w:t>ного клапана, синдром Марфана, синдром Элер- са-Данлоса);</w:t>
      </w:r>
    </w:p>
    <w:p>
      <w:pPr>
        <w:pStyle w:val="Style30"/>
        <w:numPr>
          <w:ilvl w:val="0"/>
          <w:numId w:val="59"/>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инфекционный эндокардит;</w:t>
      </w:r>
    </w:p>
    <w:p>
      <w:pPr>
        <w:pStyle w:val="Style30"/>
        <w:numPr>
          <w:ilvl w:val="0"/>
          <w:numId w:val="59"/>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острая ревматическая лихорадка;</w:t>
      </w:r>
    </w:p>
    <w:p>
      <w:pPr>
        <w:pStyle w:val="Style30"/>
        <w:numPr>
          <w:ilvl w:val="0"/>
          <w:numId w:val="59"/>
        </w:numPr>
        <w:tabs>
          <w:tab w:leader="none" w:pos="942" w:val="left"/>
        </w:tabs>
        <w:widowControl w:val="0"/>
        <w:keepNext w:val="0"/>
        <w:keepLines w:val="0"/>
        <w:shd w:val="clear" w:color="auto" w:fill="auto"/>
        <w:bidi w:val="0"/>
        <w:spacing w:before="0" w:after="0"/>
        <w:ind w:left="740" w:right="0" w:firstLine="0"/>
      </w:pPr>
      <w:r>
        <w:pict>
          <v:shape id="_x0000_s1294" type="#_x0000_t75" style="position:absolute;margin-left:148.1pt;margin-top:737.05pt;width:209.75pt;height:14.9pt;z-index:-125829202;mso-wrap-distance-left:148.1pt;mso-wrap-distance-right:136.8pt;mso-wrap-distance-bottom:10.8pt;mso-position-horizontal-relative:margin;mso-position-vertical-relative:margin" wrapcoords="0 0 21600 0 21600 21600 0 21600 0 0">
            <v:imagedata r:id="rId438" r:href="rId439"/>
            <w10:wrap type="topAndBottom" anchorx="margin" anchory="margin"/>
          </v:shape>
        </w:pict>
      </w:r>
      <w:r>
        <w:rPr>
          <w:lang w:val="ru-RU" w:eastAsia="ru-RU" w:bidi="ru-RU"/>
          <w:w w:val="100"/>
          <w:spacing w:val="0"/>
          <w:color w:val="000000"/>
          <w:position w:val="0"/>
        </w:rPr>
        <w:t>травма (чрезкожная баллонная вальвулопласти- ка, закрытая травма грудной клетки).</w:t>
      </w:r>
      <w:r>
        <w:br w:type="page"/>
      </w:r>
    </w:p>
    <w:p>
      <w:pPr>
        <w:pStyle w:val="Style30"/>
        <w:numPr>
          <w:ilvl w:val="0"/>
          <w:numId w:val="59"/>
        </w:numPr>
        <w:tabs>
          <w:tab w:leader="none" w:pos="58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поражение папиллярной мышцы:</w:t>
      </w:r>
    </w:p>
    <w:p>
      <w:pPr>
        <w:pStyle w:val="Style30"/>
        <w:numPr>
          <w:ilvl w:val="0"/>
          <w:numId w:val="59"/>
        </w:numPr>
        <w:tabs>
          <w:tab w:leader="none" w:pos="69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болезнь коронарной артерии, приводящей к ди</w:t>
        <w:softHyphen/>
        <w:t>сфункции и, реже, к отрыву мышцы;</w:t>
      </w:r>
    </w:p>
    <w:p>
      <w:pPr>
        <w:pStyle w:val="Style30"/>
        <w:numPr>
          <w:ilvl w:val="0"/>
          <w:numId w:val="59"/>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острая глобальная дисфункция левого желудочка</w:t>
      </w:r>
    </w:p>
    <w:p>
      <w:pPr>
        <w:pStyle w:val="Style30"/>
        <w:numPr>
          <w:ilvl w:val="0"/>
          <w:numId w:val="59"/>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инфильтративные заболевания (амилоидоз, сар- коидоз);</w:t>
      </w:r>
    </w:p>
    <w:p>
      <w:pPr>
        <w:pStyle w:val="Style30"/>
        <w:numPr>
          <w:ilvl w:val="0"/>
          <w:numId w:val="59"/>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травма.</w:t>
      </w:r>
    </w:p>
    <w:p>
      <w:pPr>
        <w:pStyle w:val="Style30"/>
        <w:numPr>
          <w:ilvl w:val="0"/>
          <w:numId w:val="57"/>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Причины хронической митральной регургитации:</w:t>
      </w:r>
    </w:p>
    <w:p>
      <w:pPr>
        <w:pStyle w:val="Style30"/>
        <w:numPr>
          <w:ilvl w:val="0"/>
          <w:numId w:val="59"/>
        </w:numPr>
        <w:tabs>
          <w:tab w:leader="none" w:pos="58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врожденные дефекты:</w:t>
      </w:r>
    </w:p>
    <w:p>
      <w:pPr>
        <w:pStyle w:val="Style30"/>
        <w:numPr>
          <w:ilvl w:val="0"/>
          <w:numId w:val="59"/>
        </w:numPr>
        <w:tabs>
          <w:tab w:leader="none" w:pos="71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расщепление митральной створки или фенестра</w:t>
        <w:softHyphen/>
        <w:t>ция;</w:t>
      </w:r>
    </w:p>
    <w:p>
      <w:pPr>
        <w:pStyle w:val="Style30"/>
        <w:numPr>
          <w:ilvl w:val="0"/>
          <w:numId w:val="59"/>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парашютообразный митральный клапан в соче</w:t>
        <w:softHyphen/>
        <w:t>тании с атриовентрикулярной коммуникацией, эндокардиальным фиброэластозом, транспозици</w:t>
        <w:softHyphen/>
        <w:t>ей магистральных сосудов и аномальным отхожде</w:t>
        <w:softHyphen/>
        <w:t>нием левой коронарной артерии.</w:t>
      </w:r>
    </w:p>
    <w:p>
      <w:pPr>
        <w:pStyle w:val="Style30"/>
        <w:numPr>
          <w:ilvl w:val="0"/>
          <w:numId w:val="59"/>
        </w:numPr>
        <w:tabs>
          <w:tab w:leader="none" w:pos="58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воспалительные заболевания:</w:t>
      </w:r>
    </w:p>
    <w:p>
      <w:pPr>
        <w:pStyle w:val="Style30"/>
        <w:numPr>
          <w:ilvl w:val="0"/>
          <w:numId w:val="59"/>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ревматическая болезнь сердца;</w:t>
      </w:r>
    </w:p>
    <w:p>
      <w:pPr>
        <w:pStyle w:val="Style30"/>
        <w:numPr>
          <w:ilvl w:val="0"/>
          <w:numId w:val="59"/>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системная красная волчанка;</w:t>
      </w:r>
    </w:p>
    <w:p>
      <w:pPr>
        <w:pStyle w:val="Style30"/>
        <w:numPr>
          <w:ilvl w:val="0"/>
          <w:numId w:val="59"/>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склеродермия.</w:t>
      </w:r>
    </w:p>
    <w:p>
      <w:pPr>
        <w:pStyle w:val="Style30"/>
        <w:numPr>
          <w:ilvl w:val="0"/>
          <w:numId w:val="59"/>
        </w:numPr>
        <w:tabs>
          <w:tab w:leader="none" w:pos="58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дегенеративные заболевания:</w:t>
      </w:r>
    </w:p>
    <w:p>
      <w:pPr>
        <w:pStyle w:val="Style30"/>
        <w:numPr>
          <w:ilvl w:val="0"/>
          <w:numId w:val="59"/>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миксоматозная дегенерация митральных створок (пролапс митрального клапана);</w:t>
      </w:r>
    </w:p>
    <w:p>
      <w:pPr>
        <w:pStyle w:val="Style30"/>
        <w:numPr>
          <w:ilvl w:val="0"/>
          <w:numId w:val="59"/>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синдром Марфана;</w:t>
      </w:r>
    </w:p>
    <w:p>
      <w:pPr>
        <w:pStyle w:val="Style30"/>
        <w:numPr>
          <w:ilvl w:val="0"/>
          <w:numId w:val="59"/>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синдром Элерса-Данлоса;</w:t>
      </w:r>
    </w:p>
    <w:p>
      <w:pPr>
        <w:pStyle w:val="Style30"/>
        <w:numPr>
          <w:ilvl w:val="0"/>
          <w:numId w:val="59"/>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эластическая псевдоксантома;</w:t>
      </w:r>
    </w:p>
    <w:p>
      <w:pPr>
        <w:pStyle w:val="Style30"/>
        <w:numPr>
          <w:ilvl w:val="0"/>
          <w:numId w:val="59"/>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кальцификация створок или митрального кольца.</w:t>
      </w:r>
    </w:p>
    <w:p>
      <w:pPr>
        <w:pStyle w:val="Style30"/>
        <w:numPr>
          <w:ilvl w:val="0"/>
          <w:numId w:val="59"/>
        </w:numPr>
        <w:tabs>
          <w:tab w:leader="none" w:pos="58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инфекционные заболевания — инфекционный эндокардит нормального, структурно измененного или протезного клапана.</w:t>
      </w:r>
    </w:p>
    <w:p>
      <w:pPr>
        <w:pStyle w:val="Style30"/>
        <w:numPr>
          <w:ilvl w:val="0"/>
          <w:numId w:val="59"/>
        </w:numPr>
        <w:tabs>
          <w:tab w:leader="none" w:pos="58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структурные изменения:</w:t>
      </w:r>
    </w:p>
    <w:p>
      <w:pPr>
        <w:pStyle w:val="Style30"/>
        <w:numPr>
          <w:ilvl w:val="0"/>
          <w:numId w:val="59"/>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отрыв сухожильной хорды (спонтанный или вто</w:t>
        <w:softHyphen/>
        <w:t>ричный к миокардиальному инфаркту, травме, пролапсу митрального клапана, эндокардиту);</w:t>
      </w:r>
    </w:p>
    <w:p>
      <w:pPr>
        <w:pStyle w:val="Style30"/>
        <w:numPr>
          <w:ilvl w:val="0"/>
          <w:numId w:val="59"/>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отрыв или дисфункция папиллярной мышцы (ишемия, инфаркт миокарда;)</w:t>
      </w:r>
    </w:p>
    <w:p>
      <w:pPr>
        <w:pStyle w:val="Style30"/>
        <w:numPr>
          <w:ilvl w:val="0"/>
          <w:numId w:val="59"/>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дилатация митрального кольца и полости левого желудочка (дилатационная кардиомиопатия, анев</w:t>
        <w:softHyphen/>
        <w:t>ризматическая дилатация левого желудочка);</w:t>
      </w:r>
    </w:p>
    <w:p>
      <w:pPr>
        <w:pStyle w:val="Style30"/>
        <w:numPr>
          <w:ilvl w:val="0"/>
          <w:numId w:val="59"/>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гипертрофическая кардиомиопатия;</w:t>
      </w:r>
    </w:p>
    <w:p>
      <w:pPr>
        <w:pStyle w:val="Style30"/>
        <w:numPr>
          <w:ilvl w:val="0"/>
          <w:numId w:val="59"/>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несостоятельность протезного клапана.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Острая митральная недостаточность</w:t>
      </w:r>
    </w:p>
    <w:p>
      <w:pPr>
        <w:pStyle w:val="Style30"/>
        <w:numPr>
          <w:ilvl w:val="0"/>
          <w:numId w:val="57"/>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Острая митральная регургитация, которая обычно возникает вторично на фоне отрыва хорд митрально</w:t>
        <w:softHyphen/>
        <w:t>го клапана вследствие инфаркта миокарда, приводит к внезапно возникающей перегрузке левого желудоч</w:t>
        <w:softHyphen/>
        <w:t>ка и левого предсердия. Перегрузка объемом левого желудочка сопровождается значительным повыше</w:t>
        <w:softHyphen/>
        <w:t>нием работы левого желудочка. Увеличение давления наполнения левого желудочка в сочетании со сбро</w:t>
        <w:softHyphen/>
        <w:t>сом крови из левого желудочка в левое предсердие в период систолы приводит к увеличению давления и в левом предсердии. В свою очередь повышение давления в левом предсердии приводит к увеличению давления в легких, что результируется острым отеком легких и дыхательной недостаточностью.</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Хроническая митральная недостаточность</w:t>
      </w:r>
    </w:p>
    <w:p>
      <w:pPr>
        <w:pStyle w:val="Style30"/>
        <w:numPr>
          <w:ilvl w:val="0"/>
          <w:numId w:val="57"/>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случаях, когда больной переживает острую фазу митральной недостаточности или митральная регур</w:t>
        <w:softHyphen/>
        <w:t>гитация развивается постепенно, возникает хрониче</w:t>
        <w:softHyphen/>
        <w:t>ская митральная недостаточность. Постепенно на фоне существования хронической митральной недо</w:t>
        <w:softHyphen/>
        <w:br w:type="column"/>
        <w:t>статочности развивается гипертрофия левого желу</w:t>
        <w:softHyphen/>
        <w:t>дочка. Комбинация перегрузки левого желудочка объемом (из-за наличия регургитации на митральном клапане) и гипертрофии левого желудочка приводит к повышению конечного диастолического размера левого желудочка и, спустя некоторое время, к мио</w:t>
        <w:softHyphen/>
        <w:t>кардиальной дисфункции левого желудочка. Мио</w:t>
        <w:softHyphen/>
        <w:t>кардиальная дисфункция еще более препятствует опорожнению левого желудочка в систолу, что приво</w:t>
        <w:softHyphen/>
        <w:t>дит к увеличению регургитантного потока на мит</w:t>
        <w:softHyphen/>
        <w:t>ральном клапане, а также повышает давление в левом предсердии, способствуя застою крови в легких.</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Гемодинамика</w:t>
      </w:r>
    </w:p>
    <w:p>
      <w:pPr>
        <w:pStyle w:val="Style30"/>
        <w:numPr>
          <w:ilvl w:val="0"/>
          <w:numId w:val="5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Неполное смыкание створок митрального клапана обусловливает обратный ток крови из желудочка в предсердие во время систолы желудочков. Величи</w:t>
        <w:softHyphen/>
        <w:t>на обратного тока крови (регургитация) определяет тяжесть митральной недостаточности.</w:t>
      </w:r>
    </w:p>
    <w:p>
      <w:pPr>
        <w:pStyle w:val="Style30"/>
        <w:numPr>
          <w:ilvl w:val="0"/>
          <w:numId w:val="5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Вследствие обратного заброса крови в левое предсер - дие в нем накапливается большее, чем в норме, коли</w:t>
        <w:softHyphen/>
        <w:t>чество крови. Избыточное количество крови, слагаю</w:t>
        <w:softHyphen/>
        <w:t>щееся из регургитационного и нормально поступаю</w:t>
        <w:softHyphen/>
        <w:t>щего из малого круга в левое предсердие, растягивает его стенки и вызывает гипертрофию.</w:t>
      </w:r>
    </w:p>
    <w:p>
      <w:pPr>
        <w:pStyle w:val="Style30"/>
        <w:numPr>
          <w:ilvl w:val="0"/>
          <w:numId w:val="5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ослаблении левого предсердия под влиянием мощных толчков регургитантной волны предсердие теряет свой тонус и дилатируется. Давление в полос</w:t>
        <w:softHyphen/>
        <w:t>ти левого предсердия повышается и далее ретроград</w:t>
        <w:softHyphen/>
        <w:t>но передается на легочные вены. Возникает пассив - ная (венозная) легочная гипертензия, при которой значительного подъема давления в легочной артерии не наступает и соответственно не достигает высоких степеней гипертрофия и дилатация правого желудоч</w:t>
        <w:softHyphen/>
        <w:t>ка, а так как в левый желудочек кровь поступает в большем объеме, то он тоже вначале гипертрофиру</w:t>
        <w:softHyphen/>
        <w:t>ется, а затем дилатируется. В терминальной стадии вследствие ослабления сократительной функции ле</w:t>
        <w:softHyphen/>
        <w:t>вого желудочка, увеличения застойных явлений в ма</w:t>
        <w:softHyphen/>
        <w:t>лом круге кровообращения наступает декомпенсация и правого желудочка с развитием застойных явлений в большом круге кровообращения.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Жалобы, клиническая симптоматика</w:t>
      </w:r>
    </w:p>
    <w:p>
      <w:pPr>
        <w:pStyle w:val="Style30"/>
        <w:numPr>
          <w:ilvl w:val="0"/>
          <w:numId w:val="5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Митральная недостаточность может хорошо перено</w:t>
        <w:softHyphen/>
        <w:t>ситься больным и на протяжении многих лет сущест</w:t>
        <w:softHyphen/>
        <w:t>вовать бессимптомно.</w:t>
      </w:r>
    </w:p>
    <w:p>
      <w:pPr>
        <w:pStyle w:val="Style30"/>
        <w:numPr>
          <w:ilvl w:val="0"/>
          <w:numId w:val="5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Митральная недостаточность проходит в своем раз</w:t>
        <w:softHyphen/>
        <w:t>витии ряд стадий, каждая из которых имеет опреде</w:t>
        <w:softHyphen/>
        <w:t>ленную клиническую картину.</w:t>
      </w:r>
    </w:p>
    <w:p>
      <w:pPr>
        <w:pStyle w:val="Style30"/>
        <w:numPr>
          <w:ilvl w:val="0"/>
          <w:numId w:val="5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Начальные симптомы обычно проявляются в виде одышки и утомляемости, быстро прогрессируют и переходят в ортопноэ и пароксизмальную ночную одышку.</w:t>
      </w:r>
    </w:p>
    <w:p>
      <w:pPr>
        <w:pStyle w:val="Style30"/>
        <w:numPr>
          <w:ilvl w:val="0"/>
          <w:numId w:val="57"/>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Жалобы у больных появляются только при снижении сократительной функции левого желудочка, прини</w:t>
        <w:softHyphen/>
        <w:t>мающего участие в компенсации этого порока и по</w:t>
        <w:softHyphen/>
        <w:t>вышении давления в малом круге. Вначале одышка и сердцебиение возникают при физической нагрузке, а при нарастании застойных явлений в малом круге появляется одышка в покое и могут быть приступы сердечной астмы.</w:t>
      </w:r>
    </w:p>
    <w:p>
      <w:pPr>
        <w:pStyle w:val="Style30"/>
        <w:numPr>
          <w:ilvl w:val="0"/>
          <w:numId w:val="57"/>
        </w:numPr>
        <w:tabs>
          <w:tab w:leader="none" w:pos="238" w:val="left"/>
        </w:tabs>
        <w:widowControl w:val="0"/>
        <w:keepNext w:val="0"/>
        <w:keepLines w:val="0"/>
        <w:shd w:val="clear" w:color="auto" w:fill="auto"/>
        <w:bidi w:val="0"/>
        <w:spacing w:before="0" w:after="0"/>
        <w:ind w:left="280" w:right="0" w:hanging="280"/>
      </w:pPr>
      <w:r>
        <w:pict>
          <v:shape id="_x0000_s1295" type="#_x0000_t75" style="position:absolute;margin-left:130.7pt;margin-top:737.05pt;width:209.75pt;height:14.9pt;z-index:-125829201;mso-wrap-distance-left:124.55pt;mso-wrap-distance-right:148.1pt;mso-wrap-distance-bottom:10.8pt;mso-position-horizontal-relative:margin;mso-position-vertical-relative:margin" wrapcoords="0 0 21600 0 21600 21600 0 21600 0 0">
            <v:imagedata r:id="rId440" r:href="rId441"/>
            <w10:wrap type="topAndBottom" anchorx="margin" anchory="margin"/>
          </v:shape>
        </w:pict>
      </w:r>
      <w:r>
        <w:rPr>
          <w:lang w:val="ru-RU" w:eastAsia="ru-RU" w:bidi="ru-RU"/>
          <w:w w:val="100"/>
          <w:spacing w:val="0"/>
          <w:color w:val="000000"/>
          <w:position w:val="0"/>
        </w:rPr>
        <w:t>У некоторых больных с легочной гипертензией на</w:t>
        <w:softHyphen/>
        <w:t>блюдается кашель, сухой или с отделением неболь-</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шого количества мокроты, часто с примесью крови. При развитии правожелудочковой недостаточности появляются отеки и боли в правом подреберье вслед</w:t>
        <w:softHyphen/>
        <w:t>ствие увеличения печени и растяжения ее капсулы. Нередко возникают ноющие, колющие, давящие бо</w:t>
        <w:softHyphen/>
        <w:t>ли в области сердца без четкой связи с физической нагрузкой. У больных с большой регургитацией на</w:t>
        <w:softHyphen/>
        <w:t xml:space="preserve">блюдается акроцианоз, а у молодых может быть и </w:t>
      </w:r>
      <w:r>
        <w:rPr>
          <w:lang w:val="en-US" w:eastAsia="en-US" w:bidi="en-US"/>
          <w:w w:val="100"/>
          <w:spacing w:val="0"/>
          <w:color w:val="000000"/>
          <w:position w:val="0"/>
        </w:rPr>
        <w:t>facies mitralis.</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Атипичные боли в области грудной клетки могут быть вызваны «симптомом пролапса митрального клапана».</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Больные с пролапсом митрального клапана наиболее часто предъявляют жалобы на «атипичные» боли в грудной клетке и сердцебиение. Две трети пациен</w:t>
        <w:softHyphen/>
        <w:t>тов, предъявляющих данные жалобы, — девушки- подростки, большинство из которых страдает сопут</w:t>
        <w:softHyphen/>
        <w:t>ствующими паническими расстройствами.</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Если митральная недостаточность возникает на фоне патологии коронарных артерий, митральная регурги- тация обычно сопровождается симптомами стенокар</w:t>
        <w:softHyphen/>
        <w:t>дии. Ишемическая болезнь сердца часто сопровожда</w:t>
        <w:softHyphen/>
        <w:t>ется одышкой, ортопноэ и задержкой жидкости. Боли в области сердца, связанные конкретно с митральной недостаточностью, обычно минимальные.</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Митральная регургитация также может возникать ос</w:t>
        <w:softHyphen/>
        <w:t>тро, вторично из-за разрыва папиллярной мышцы в случае, если область папиллярных мышц захватыва</w:t>
        <w:softHyphen/>
        <w:t>ет инфаркт миокарда.</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Если митральная регургитация возникает из-за дила</w:t>
        <w:softHyphen/>
        <w:t>тации левого желудочка и перерастяжения кольца митрального клапана, то обычно сопровождается симптомами недостаточности кровообращения по большому кругу.</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случае внезапного возникновения митральной не</w:t>
        <w:softHyphen/>
        <w:t>достаточности из-за повреждения подклапанного ап</w:t>
        <w:softHyphen/>
        <w:t>парата митрального клапана клинические симптомы обычно определяются острым отеком легких.</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Физикальное обследование:</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больных с выраженной гипертрофией и дилатацией левого желудочка наблюдается слева от грудины «сер</w:t>
        <w:softHyphen/>
        <w:t>дечный горб».</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Усиленный и разлитой верхушечный толчок, локали</w:t>
        <w:softHyphen/>
        <w:t>зующийся в пятом межреберье кнаружи от среднек</w:t>
        <w:softHyphen/>
        <w:t>лючичной линии.</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Увеличение относительной тупости сердца влево, а также увеличение границ сердца вверх за счет ги</w:t>
        <w:softHyphen/>
        <w:t>пертрофированного и дилатированного левого пред</w:t>
        <w:softHyphen/>
        <w:t>сердия (его ушка).</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Увеличение относительной тупости вправо вслед</w:t>
        <w:softHyphen/>
        <w:t>ствие дилатации правого предсердия наблюдается обычно в терминальной стадии тотальной сердечной недостаточности.</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Первый тон ослаблен или полностью отсутствует, так как отсутствует «период замкнутых клапанов». Ос</w:t>
        <w:softHyphen/>
        <w:t>лабление первого тона может быть обусловлено на</w:t>
        <w:softHyphen/>
        <w:t>слаиванием на него колебаний, вызванных волной регургитации, совпадающих с ним по времени.</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 развитием застойных явлений в малом круге возни</w:t>
        <w:softHyphen/>
        <w:t>кает акцент II тона над легочной артерией. Часто там же выслушивается расщепление II тона вследствие то</w:t>
        <w:softHyphen/>
        <w:t>го, что период изгнания увеличенного количества кро</w:t>
        <w:softHyphen/>
        <w:br w:type="column"/>
        <w:t>ви из левого желудочка становится более продолжи</w:t>
        <w:softHyphen/>
        <w:t>тельным и аортальный компонент II тона запаздывает.</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верхушки сердца выслушивается III тон. Как извест</w:t>
        <w:softHyphen/>
        <w:t>но, III тон в норме может появляться у людей молодо</w:t>
        <w:softHyphen/>
        <w:t>го возраста и у детей. Этот тон обусловлен колебания</w:t>
        <w:softHyphen/>
        <w:t>ми стенок левого желудочка при поступлении в него крови из предсердий. При митральной недостаточнос</w:t>
        <w:softHyphen/>
        <w:t xml:space="preserve">ти появлению </w:t>
      </w:r>
      <w:r>
        <w:rPr>
          <w:lang w:val="en-US" w:eastAsia="en-US" w:bidi="en-US"/>
          <w:w w:val="100"/>
          <w:spacing w:val="0"/>
          <w:color w:val="000000"/>
          <w:position w:val="0"/>
        </w:rPr>
        <w:t xml:space="preserve">III </w:t>
      </w:r>
      <w:r>
        <w:rPr>
          <w:lang w:val="ru-RU" w:eastAsia="ru-RU" w:bidi="ru-RU"/>
          <w:w w:val="100"/>
          <w:spacing w:val="0"/>
          <w:color w:val="000000"/>
          <w:position w:val="0"/>
        </w:rPr>
        <w:t>тона способствует увеличенное коли</w:t>
        <w:softHyphen/>
        <w:t>чество крови, поступающее из левого предсердия.</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Наиболее характерным аускультативным симптомом митральной недостаточности является систолический шум. Этот шум возникает при прохождении обратной волны крови (волны регургитации) из левого желу</w:t>
        <w:softHyphen/>
        <w:t>дочка в левое предсердие через относительно узкое от</w:t>
        <w:softHyphen/>
        <w:t>верстие между неплотно сомкнутыми створками мит</w:t>
        <w:softHyphen/>
        <w:t>рального клапана. Интенсивность систолического шума варьирует в широких пределах и связана обычно с выраженностью клапанного дефекта. Тембр шума различный — мягкий, дующий или грубый. Он может сочетаться с пальпаторно ощутимым систолическим дрожанием на верхушке. Лучше всего выслушивается систолический шум в области верхушки сердца. Од</w:t>
        <w:softHyphen/>
        <w:t>нако если больного повернуть на левый бок (в таком положении на фазе выхода после предварительной физической нагрузки аускультативная симптоматика становится более четкой), то место наилучшего вы</w:t>
        <w:softHyphen/>
        <w:t>слушивания смещается латеральнее, ближе к пере</w:t>
        <w:softHyphen/>
        <w:t>дней и даже средней подмышечной линии.</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Систолический шум может занимать часть систолы или всю систолу (пансистолический шум). Чем гром</w:t>
        <w:softHyphen/>
        <w:t>че и продолжительнее систолический шум, тем тяже</w:t>
        <w:softHyphen/>
        <w:t>лее митральная недостаточность.</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Проведение систолического шума зависит при мит</w:t>
        <w:softHyphen/>
        <w:t>ральной недостаточности от направления струи ре- гургитации.</w:t>
      </w:r>
    </w:p>
    <w:p>
      <w:pPr>
        <w:pStyle w:val="Style30"/>
        <w:numPr>
          <w:ilvl w:val="0"/>
          <w:numId w:val="57"/>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Если регургитация осуществляется по задней ко</w:t>
        <w:softHyphen/>
        <w:t>миссуре, то шум проводится в левую подмышеч</w:t>
        <w:softHyphen/>
        <w:t>ную область.</w:t>
      </w:r>
    </w:p>
    <w:p>
      <w:pPr>
        <w:pStyle w:val="Style30"/>
        <w:numPr>
          <w:ilvl w:val="0"/>
          <w:numId w:val="57"/>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Если регургитация осуществляется по передней комиссуре, то шум проводится вдоль левого края грудины к основанию сердца.</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Пациенты с заболеваниями коронарных артерий мо</w:t>
        <w:softHyphen/>
        <w:t>гут иметь дополнительно шум в каком-либо периоде систолического изгнания крови, обычно в дополне</w:t>
        <w:softHyphen/>
        <w:t>ние к ритму галопа вследствие гемодинамических из</w:t>
        <w:softHyphen/>
        <w:t>менений в предсердиях.</w:t>
      </w:r>
    </w:p>
    <w:p>
      <w:pPr>
        <w:pStyle w:val="Style30"/>
        <w:numPr>
          <w:ilvl w:val="0"/>
          <w:numId w:val="57"/>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случае возникновения острой митральной регур - гитации клиническая картина в основном опреде</w:t>
        <w:softHyphen/>
        <w:t>ляется симптомами отека легких и острой левоже</w:t>
        <w:softHyphen/>
        <w:t>лудочковой недостаточности.</w:t>
      </w:r>
    </w:p>
    <w:p>
      <w:pPr>
        <w:pStyle w:val="Style30"/>
        <w:numPr>
          <w:ilvl w:val="0"/>
          <w:numId w:val="57"/>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Размеры сердца, как правило, остаются нормаль</w:t>
        <w:softHyphen/>
        <w:t>ными, но аускультативно выслушивается систоли</w:t>
        <w:softHyphen/>
        <w:t>ческое «дрожание» или систолический шум.</w:t>
      </w:r>
    </w:p>
    <w:p>
      <w:pPr>
        <w:pStyle w:val="Style30"/>
        <w:numPr>
          <w:ilvl w:val="0"/>
          <w:numId w:val="57"/>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Шум обычно достаточно интенсивный. Он может выслушиваться даже со спины, около позвонков, ближе к шее. Шум может проводиться в подмьц шечную область, на спину или по левой стерналь</w:t>
        <w:softHyphen/>
        <w:t>ной линии.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Течение митральной недостаточности</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pict>
          <v:shape id="_x0000_s1296" type="#_x0000_t75" style="position:absolute;margin-left:141.85pt;margin-top:737.05pt;width:209.75pt;height:14.9pt;z-index:-125829200;mso-wrap-distance-left:135.35pt;mso-wrap-distance-right:136.55pt;mso-wrap-distance-bottom:10.8pt;mso-position-horizontal-relative:margin;mso-position-vertical-relative:margin" wrapcoords="0 0 21600 0 21600 21600 0 21600 0 0">
            <v:imagedata r:id="rId442" r:href="rId443"/>
            <w10:wrap type="topAndBottom" anchorx="margin" anchory="margin"/>
          </v:shape>
        </w:pict>
      </w:r>
      <w:r>
        <w:rPr>
          <w:lang w:val="ru-RU" w:eastAsia="ru-RU" w:bidi="ru-RU"/>
          <w:w w:val="100"/>
          <w:spacing w:val="0"/>
          <w:color w:val="000000"/>
          <w:position w:val="0"/>
        </w:rPr>
        <w:t>При умеренной степени митральной регургитации и отсутствии серьезного поражения миокарда больные могут оставаться длительное время трудоспособными.</w:t>
      </w:r>
      <w:r>
        <w:br w:type="page"/>
      </w:r>
    </w:p>
    <w:p>
      <w:pPr>
        <w:pStyle w:val="Style30"/>
        <w:numPr>
          <w:ilvl w:val="0"/>
          <w:numId w:val="5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Резко выраженная недостаточность митрального кла</w:t>
        <w:softHyphen/>
        <w:t>пана быстро приводит к сердечной недостаточности, при сочетании ее со стенозом возможно развитие мерцательной аритмии.</w:t>
      </w:r>
    </w:p>
    <w:p>
      <w:pPr>
        <w:pStyle w:val="Style30"/>
        <w:numPr>
          <w:ilvl w:val="0"/>
          <w:numId w:val="5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течении митральной недостаточности выделяют три периода.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Первый период — период компенсации клапанного де</w:t>
        <w:softHyphen/>
        <w:t>фекта усиленной работой левого желудочка и левого пред</w:t>
        <w:softHyphen/>
        <w:t>сердия. Это довольно длительный период хорошего само</w:t>
        <w:softHyphen/>
        <w:t>чувствия больных и отсутствия симптомов недостаточнос</w:t>
        <w:softHyphen/>
        <w:t>ти кровообращения.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Второй период — это развитие пассивной (венозной) ле</w:t>
        <w:softHyphen/>
        <w:t>гочной гипертензии вследствие снижения сократительной функции левых отделов сердца. В это время появляются ха</w:t>
        <w:softHyphen/>
        <w:t>рактерные симптомы нарушения кровообращения в малом круге: одышка при нагрузке и в покое, кашель, иногда кро</w:t>
        <w:softHyphen/>
        <w:t>вохарканье и приступы сердечной астмы. Этот период длится относительно недолго.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Застойные явления в малом круге, появившись, про</w:t>
        <w:softHyphen/>
        <w:t>грессируют довольно быстро, и правый желудочек не успе</w:t>
        <w:softHyphen/>
        <w:t>вает достаточно быстро приспособиться к новым условиям функционирования.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Третий период — период правожелудочковой недостаточ</w:t>
        <w:softHyphen/>
        <w:t>ности со всеми характерными симптомами: увеличение пе</w:t>
        <w:softHyphen/>
        <w:t>чени, отеки, повышение венозного давления. Значительное расширение полости правого желудочка может привести к развитию у таких больных симптомов недостаточности трехстворчатого клапана с соответствующими признаками.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Электрокардиография:</w:t>
      </w:r>
    </w:p>
    <w:p>
      <w:pPr>
        <w:pStyle w:val="Style30"/>
        <w:numPr>
          <w:ilvl w:val="0"/>
          <w:numId w:val="5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Изменения на электрокардиограмме при митральной недостаточности зависят от выраженности клапанного дефекта и степени повышения давления в малом круге.</w:t>
      </w:r>
    </w:p>
    <w:p>
      <w:pPr>
        <w:pStyle w:val="Style30"/>
        <w:numPr>
          <w:ilvl w:val="0"/>
          <w:numId w:val="57"/>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незначительно и умеренно выраженном пороке ЭКГ может оставаться нормальной. В более выра</w:t>
        <w:softHyphen/>
        <w:t>женных случаях наблюдаются признаки гипертрофии левого предсердия. Обнаруживаются также признаки гипертрофии левого желудочка:</w:t>
      </w:r>
    </w:p>
    <w:p>
      <w:pPr>
        <w:pStyle w:val="Style30"/>
        <w:numPr>
          <w:ilvl w:val="0"/>
          <w:numId w:val="59"/>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в отведениях </w:t>
      </w:r>
      <w:r>
        <w:rPr>
          <w:lang w:val="en-US" w:eastAsia="en-US" w:bidi="en-US"/>
          <w:w w:val="100"/>
          <w:spacing w:val="0"/>
          <w:color w:val="000000"/>
          <w:position w:val="0"/>
        </w:rPr>
        <w:t>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6 </w:t>
      </w:r>
      <w:r>
        <w:rPr>
          <w:lang w:val="ru-RU" w:eastAsia="ru-RU" w:bidi="ru-RU"/>
          <w:w w:val="100"/>
          <w:spacing w:val="0"/>
          <w:color w:val="000000"/>
          <w:position w:val="0"/>
        </w:rPr>
        <w:t xml:space="preserve">увеличивается зубец </w:t>
      </w:r>
      <w:r>
        <w:rPr>
          <w:lang w:val="en-US" w:eastAsia="en-US" w:bidi="en-US"/>
          <w:w w:val="100"/>
          <w:spacing w:val="0"/>
          <w:color w:val="000000"/>
          <w:position w:val="0"/>
        </w:rPr>
        <w:t>R;</w:t>
      </w:r>
    </w:p>
    <w:p>
      <w:pPr>
        <w:pStyle w:val="Style30"/>
        <w:numPr>
          <w:ilvl w:val="0"/>
          <w:numId w:val="59"/>
        </w:numPr>
        <w:tabs>
          <w:tab w:leader="none" w:pos="754" w:val="left"/>
        </w:tabs>
        <w:widowControl w:val="0"/>
        <w:keepNext w:val="0"/>
        <w:keepLines w:val="0"/>
        <w:shd w:val="clear" w:color="auto" w:fill="auto"/>
        <w:bidi w:val="0"/>
        <w:spacing w:before="0" w:after="0" w:line="180" w:lineRule="exact"/>
        <w:ind w:left="740" w:right="0" w:hanging="220"/>
      </w:pPr>
      <w:r>
        <w:rPr>
          <w:lang w:val="ru-RU" w:eastAsia="ru-RU" w:bidi="ru-RU"/>
          <w:w w:val="100"/>
          <w:spacing w:val="0"/>
          <w:color w:val="000000"/>
          <w:position w:val="0"/>
        </w:rPr>
        <w:t>в отведениях V</w:t>
      </w:r>
      <w:r>
        <w:rPr>
          <w:lang w:val="ru-RU" w:eastAsia="ru-RU" w:bidi="ru-RU"/>
          <w:vertAlign w:val="subscript"/>
          <w:w w:val="100"/>
          <w:spacing w:val="0"/>
          <w:color w:val="000000"/>
          <w:position w:val="0"/>
        </w:rPr>
        <w:t>1-2</w:t>
      </w:r>
      <w:r>
        <w:rPr>
          <w:lang w:val="ru-RU" w:eastAsia="ru-RU" w:bidi="ru-RU"/>
          <w:w w:val="100"/>
          <w:spacing w:val="0"/>
          <w:color w:val="000000"/>
          <w:position w:val="0"/>
        </w:rPr>
        <w:t xml:space="preserve"> увеличивается зубец </w:t>
      </w:r>
      <w:r>
        <w:rPr>
          <w:lang w:val="en-US" w:eastAsia="en-US" w:bidi="en-US"/>
          <w:w w:val="100"/>
          <w:spacing w:val="0"/>
          <w:color w:val="000000"/>
          <w:position w:val="0"/>
        </w:rPr>
        <w:t>S;</w:t>
      </w:r>
    </w:p>
    <w:p>
      <w:pPr>
        <w:pStyle w:val="Style30"/>
        <w:numPr>
          <w:ilvl w:val="0"/>
          <w:numId w:val="59"/>
        </w:numPr>
        <w:tabs>
          <w:tab w:leader="none" w:pos="754" w:val="left"/>
        </w:tabs>
        <w:widowControl w:val="0"/>
        <w:keepNext w:val="0"/>
        <w:keepLines w:val="0"/>
        <w:shd w:val="clear" w:color="auto" w:fill="auto"/>
        <w:bidi w:val="0"/>
        <w:spacing w:before="0" w:after="0" w:line="221" w:lineRule="exact"/>
        <w:ind w:left="740" w:right="0" w:hanging="220"/>
      </w:pPr>
      <w:r>
        <w:rPr>
          <w:lang w:val="ru-RU" w:eastAsia="ru-RU" w:bidi="ru-RU"/>
          <w:w w:val="100"/>
          <w:spacing w:val="0"/>
          <w:color w:val="000000"/>
          <w:position w:val="0"/>
        </w:rPr>
        <w:t xml:space="preserve">в отведениях </w:t>
      </w:r>
      <w:r>
        <w:rPr>
          <w:lang w:val="en-US" w:eastAsia="en-US" w:bidi="en-US"/>
          <w:w w:val="100"/>
          <w:spacing w:val="0"/>
          <w:color w:val="000000"/>
          <w:position w:val="0"/>
        </w:rPr>
        <w:t>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6 </w:t>
      </w:r>
      <w:r>
        <w:rPr>
          <w:lang w:val="ru-RU" w:eastAsia="ru-RU" w:bidi="ru-RU"/>
          <w:w w:val="100"/>
          <w:spacing w:val="0"/>
          <w:color w:val="000000"/>
          <w:position w:val="0"/>
        </w:rPr>
        <w:t xml:space="preserve">(реже в отведениях </w:t>
      </w:r>
      <w:r>
        <w:rPr>
          <w:lang w:val="en-US" w:eastAsia="en-US" w:bidi="en-US"/>
          <w:w w:val="100"/>
          <w:spacing w:val="0"/>
          <w:color w:val="000000"/>
          <w:position w:val="0"/>
        </w:rPr>
        <w:t>aV</w:t>
      </w:r>
      <w:r>
        <w:rPr>
          <w:lang w:val="en-US" w:eastAsia="en-US" w:bidi="en-US"/>
          <w:vertAlign w:val="subscript"/>
          <w:w w:val="100"/>
          <w:spacing w:val="0"/>
          <w:color w:val="000000"/>
          <w:position w:val="0"/>
        </w:rPr>
        <w:t>L</w:t>
      </w:r>
      <w:r>
        <w:rPr>
          <w:lang w:val="en-US" w:eastAsia="en-US" w:bidi="en-US"/>
          <w:w w:val="100"/>
          <w:spacing w:val="0"/>
          <w:color w:val="000000"/>
          <w:position w:val="0"/>
        </w:rPr>
        <w:t xml:space="preserve">, </w:t>
      </w:r>
      <w:r>
        <w:rPr>
          <w:lang w:val="ru-RU" w:eastAsia="ru-RU" w:bidi="ru-RU"/>
          <w:w w:val="100"/>
          <w:spacing w:val="0"/>
          <w:color w:val="000000"/>
          <w:position w:val="0"/>
        </w:rPr>
        <w:t>I) могут наблюдаться изменения конечной части желудоч</w:t>
        <w:softHyphen/>
        <w:t xml:space="preserve">кового комплекса в виде смещения вниз интервала </w:t>
      </w:r>
      <w:r>
        <w:rPr>
          <w:lang w:val="en-US" w:eastAsia="en-US" w:bidi="en-US"/>
          <w:w w:val="100"/>
          <w:spacing w:val="0"/>
          <w:color w:val="000000"/>
          <w:position w:val="0"/>
        </w:rPr>
        <w:t xml:space="preserve">S-T </w:t>
      </w:r>
      <w:r>
        <w:rPr>
          <w:lang w:val="ru-RU" w:eastAsia="ru-RU" w:bidi="ru-RU"/>
          <w:w w:val="100"/>
          <w:spacing w:val="0"/>
          <w:color w:val="000000"/>
          <w:position w:val="0"/>
        </w:rPr>
        <w:t>и изменения зубца Т (сниженный, сглаженный, двухфазный и даже отрицательный). Эти измене</w:t>
        <w:softHyphen/>
        <w:t xml:space="preserve">ния интервала </w:t>
      </w:r>
      <w:r>
        <w:rPr>
          <w:lang w:val="en-US" w:eastAsia="en-US" w:bidi="en-US"/>
          <w:w w:val="100"/>
          <w:spacing w:val="0"/>
          <w:color w:val="000000"/>
          <w:position w:val="0"/>
        </w:rPr>
        <w:t>S</w:t>
      </w:r>
      <w:r>
        <w:rPr>
          <w:lang w:val="ru-RU" w:eastAsia="ru-RU" w:bidi="ru-RU"/>
          <w:w w:val="100"/>
          <w:spacing w:val="0"/>
          <w:color w:val="000000"/>
          <w:position w:val="0"/>
        </w:rPr>
        <w:t>-Т и зубца Т встречаются довольно редко, по-видимому, в связи с умеренным развити</w:t>
        <w:softHyphen/>
        <w:t>ем гипертрофии левого желудочка в условиях объ</w:t>
        <w:softHyphen/>
        <w:t>емной (или диастолической) его перегрузки.</w:t>
      </w:r>
    </w:p>
    <w:p>
      <w:pPr>
        <w:pStyle w:val="Style30"/>
        <w:numPr>
          <w:ilvl w:val="0"/>
          <w:numId w:val="57"/>
        </w:numPr>
        <w:tabs>
          <w:tab w:leader="none" w:pos="519" w:val="left"/>
        </w:tabs>
        <w:widowControl w:val="0"/>
        <w:keepNext w:val="0"/>
        <w:keepLines w:val="0"/>
        <w:shd w:val="clear" w:color="auto" w:fill="auto"/>
        <w:bidi w:val="0"/>
        <w:spacing w:before="0" w:after="0" w:line="221" w:lineRule="exact"/>
        <w:ind w:left="520" w:right="0" w:hanging="240"/>
      </w:pPr>
      <w:r>
        <w:rPr>
          <w:lang w:val="ru-RU" w:eastAsia="ru-RU" w:bidi="ru-RU"/>
          <w:w w:val="100"/>
          <w:spacing w:val="0"/>
          <w:color w:val="000000"/>
          <w:position w:val="0"/>
        </w:rPr>
        <w:t>Электрическая ось сердца может располагаться в нор</w:t>
        <w:softHyphen/>
        <w:t>мальных пределах, а также отклоняться влево (при вы</w:t>
        <w:softHyphen/>
        <w:t>раженной гипертрофии левого желудочка) или вправо (при развитии гипертрофии правого желудочка).</w:t>
      </w:r>
    </w:p>
    <w:p>
      <w:pPr>
        <w:pStyle w:val="Style30"/>
        <w:numPr>
          <w:ilvl w:val="0"/>
          <w:numId w:val="57"/>
        </w:numPr>
        <w:tabs>
          <w:tab w:leader="none" w:pos="519" w:val="left"/>
        </w:tabs>
        <w:widowControl w:val="0"/>
        <w:keepNext w:val="0"/>
        <w:keepLines w:val="0"/>
        <w:shd w:val="clear" w:color="auto" w:fill="auto"/>
        <w:bidi w:val="0"/>
        <w:spacing w:before="0" w:after="0" w:line="221" w:lineRule="exact"/>
        <w:ind w:left="520" w:right="0" w:hanging="240"/>
      </w:pPr>
      <w:r>
        <w:rPr>
          <w:lang w:val="ru-RU" w:eastAsia="ru-RU" w:bidi="ru-RU"/>
          <w:w w:val="100"/>
          <w:spacing w:val="0"/>
          <w:color w:val="000000"/>
          <w:position w:val="0"/>
        </w:rPr>
        <w:t>В случаях выраженной гипертензии малого круга на ЭКГ появляются признаки гипертрофии правого же</w:t>
        <w:softHyphen/>
        <w:t xml:space="preserve">лудочка в виде увеличения зубца </w:t>
      </w:r>
      <w:r>
        <w:rPr>
          <w:lang w:val="en-US" w:eastAsia="en-US" w:bidi="en-US"/>
          <w:w w:val="100"/>
          <w:spacing w:val="0"/>
          <w:color w:val="000000"/>
          <w:position w:val="0"/>
        </w:rPr>
        <w:t xml:space="preserve">R </w:t>
      </w:r>
      <w:r>
        <w:rPr>
          <w:lang w:val="ru-RU" w:eastAsia="ru-RU" w:bidi="ru-RU"/>
          <w:w w:val="100"/>
          <w:spacing w:val="0"/>
          <w:color w:val="000000"/>
          <w:position w:val="0"/>
        </w:rPr>
        <w:t xml:space="preserve">в отведениях </w:t>
      </w:r>
      <w:r>
        <w:rPr>
          <w:lang w:val="en-US" w:eastAsia="en-US" w:bidi="en-US"/>
          <w:w w:val="100"/>
          <w:spacing w:val="0"/>
          <w:color w:val="000000"/>
          <w:position w:val="0"/>
        </w:rPr>
        <w:t>V</w:t>
      </w:r>
      <w:r>
        <w:rPr>
          <w:lang w:val="en-US" w:eastAsia="en-US" w:bidi="en-US"/>
          <w:vertAlign w:val="subscript"/>
          <w:w w:val="100"/>
          <w:spacing w:val="0"/>
          <w:color w:val="000000"/>
          <w:position w:val="0"/>
        </w:rPr>
        <w:t>12</w:t>
      </w:r>
      <w:r>
        <w:rPr>
          <w:lang w:val="en-US" w:eastAsia="en-US" w:bidi="en-US"/>
          <w:w w:val="100"/>
          <w:spacing w:val="0"/>
          <w:color w:val="000000"/>
          <w:position w:val="0"/>
        </w:rPr>
        <w:t xml:space="preserve">. </w:t>
      </w:r>
      <w:r>
        <w:rPr>
          <w:lang w:val="ru-RU" w:eastAsia="ru-RU" w:bidi="ru-RU"/>
          <w:w w:val="100"/>
          <w:spacing w:val="0"/>
          <w:color w:val="000000"/>
          <w:position w:val="0"/>
        </w:rPr>
        <w:t>И тогда ЭКГ становится характерной для гипертро</w:t>
        <w:softHyphen/>
        <w:t>фии обоих желудочков. Могут появляться признаки гипертрофии и правого предсердия.</w:t>
      </w:r>
    </w:p>
    <w:p>
      <w:pPr>
        <w:pStyle w:val="Style30"/>
        <w:numPr>
          <w:ilvl w:val="0"/>
          <w:numId w:val="57"/>
        </w:numPr>
        <w:tabs>
          <w:tab w:leader="none" w:pos="519" w:val="left"/>
        </w:tabs>
        <w:widowControl w:val="0"/>
        <w:keepNext w:val="0"/>
        <w:keepLines w:val="0"/>
        <w:shd w:val="clear" w:color="auto" w:fill="auto"/>
        <w:bidi w:val="0"/>
        <w:spacing w:before="0" w:after="0" w:line="221" w:lineRule="exact"/>
        <w:ind w:left="520" w:right="0" w:hanging="240"/>
      </w:pPr>
      <w:r>
        <w:rPr>
          <w:lang w:val="ru-RU" w:eastAsia="ru-RU" w:bidi="ru-RU"/>
          <w:w w:val="100"/>
          <w:spacing w:val="0"/>
          <w:color w:val="000000"/>
          <w:position w:val="0"/>
        </w:rPr>
        <w:t>При наличии хронической митральной регургитации может выявляться фибрилляция предсердий, обычно</w:t>
        <w:br w:type="column"/>
        <w:t>вторичная по отношению к дилатации левого пред</w:t>
        <w:softHyphen/>
        <w:t>сердия; также имеются признаки гипертрофии лево</w:t>
        <w:softHyphen/>
        <w:t>го желудочка и увеличения левого предсердия.</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наличии патологии коронарных артерий могут регистрироваться глубокие уширенные патологичес</w:t>
        <w:softHyphen/>
        <w:t xml:space="preserve">кие зубцы </w:t>
      </w:r>
      <w:r>
        <w:rPr>
          <w:lang w:val="en-US" w:eastAsia="en-US" w:bidi="en-US"/>
          <w:w w:val="100"/>
          <w:spacing w:val="0"/>
          <w:color w:val="000000"/>
          <w:position w:val="0"/>
        </w:rPr>
        <w:t>Q.</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пролапсе митрального клапана может выявлять</w:t>
        <w:softHyphen/>
        <w:t xml:space="preserve">ся патология Т-зубца или </w:t>
      </w:r>
      <w:r>
        <w:rPr>
          <w:lang w:val="en-US" w:eastAsia="en-US" w:bidi="en-US"/>
          <w:w w:val="100"/>
          <w:spacing w:val="0"/>
          <w:color w:val="000000"/>
          <w:position w:val="0"/>
        </w:rPr>
        <w:t>ST</w:t>
      </w:r>
      <w:r>
        <w:rPr>
          <w:lang w:val="ru-RU" w:eastAsia="ru-RU" w:bidi="ru-RU"/>
          <w:w w:val="100"/>
          <w:spacing w:val="0"/>
          <w:color w:val="000000"/>
          <w:position w:val="0"/>
        </w:rPr>
        <w:t>-сегмента, особенно в области задней стенки левого желудочка; также мо</w:t>
        <w:softHyphen/>
        <w:t>гут выявляться различные аритмии (синусовая арит</w:t>
        <w:softHyphen/>
        <w:t>мия, слабость синусового узла, фибрилляция пред</w:t>
        <w:softHyphen/>
        <w:t>сердий, экстрасистолия).</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Острая митральная регургитация обычно сопровож</w:t>
        <w:softHyphen/>
        <w:t>дается острым инфарктом миокарда, более часто в области задней стенки левого желудочка или задне</w:t>
        <w:softHyphen/>
        <w:t>нижней локализации.</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Рентгенография:</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передне-задней проекции наблюдается закругление 4-й дуги на левом контуре сердца вследствие дилата</w:t>
        <w:softHyphen/>
        <w:t>ции и гипертрофии левого желудочка. Увеличение левого предсердия особенно четко выявляется в пер</w:t>
        <w:softHyphen/>
        <w:t>вой косой или левой боковой проекции, где этот от</w:t>
        <w:softHyphen/>
        <w:t>дел сердца смещает контрастированный пищевод по дуге большого радиуса (больше 6 см). При большом увеличении левого предсердия тень последнего мо</w:t>
        <w:softHyphen/>
        <w:t>жет выступать за правый контур сердца в виде доба</w:t>
        <w:softHyphen/>
        <w:t>вочной тени. В случаях выраженной митральной не</w:t>
        <w:softHyphen/>
        <w:t>достаточности можно наблюдать систолическое вы</w:t>
        <w:softHyphen/>
        <w:t>бухание левого предсердия. Этот феномен особенно четко проявляется пульсацией тени пищевода, а так</w:t>
        <w:softHyphen/>
        <w:t>же коромыслоподобными движениями в месте со</w:t>
        <w:softHyphen/>
        <w:t>прикосновения контура левого предсердия с конту</w:t>
        <w:softHyphen/>
        <w:t>ром левого желудочка.</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стадии легочной гипертензии, а также при недоста</w:t>
        <w:softHyphen/>
        <w:t>точности правого желудочка последний может быть тоже увеличен.</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Изменения со стороны малого круга проявляются симптомами венозно-легочной гипертензии: расши</w:t>
        <w:softHyphen/>
        <w:t>рением корней легких с нечеткими контурами и про</w:t>
        <w:softHyphen/>
        <w:t>слеживаемостью сосудистого рисунка до периферии легочных полей.</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Эхокардиография:</w:t>
      </w:r>
    </w:p>
    <w:p>
      <w:pPr>
        <w:pStyle w:val="Style30"/>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Косвенные признаки митральной недостаточности (М- и В- эхокардиография):</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Увеличение экскурсии передней створки митрально</w:t>
        <w:softHyphen/>
        <w:t>го клапана.</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Увеличение </w:t>
      </w:r>
      <w:r>
        <w:rPr>
          <w:lang w:val="en-US" w:eastAsia="en-US" w:bidi="en-US"/>
          <w:w w:val="100"/>
          <w:spacing w:val="0"/>
          <w:color w:val="000000"/>
          <w:position w:val="0"/>
        </w:rPr>
        <w:t xml:space="preserve">EF </w:t>
      </w:r>
      <w:r>
        <w:rPr>
          <w:lang w:val="ru-RU" w:eastAsia="ru-RU" w:bidi="ru-RU"/>
          <w:w w:val="100"/>
          <w:spacing w:val="0"/>
          <w:color w:val="000000"/>
          <w:position w:val="0"/>
        </w:rPr>
        <w:t>наклона передней створки митраль</w:t>
        <w:softHyphen/>
        <w:t>ного клапана.</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Увеличение амплитуды движения корня аорты.</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Преждевременное систолическое движение вперед корня аорты.</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Раннее закрытие аортального клапана.</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Увеличение экскурсии задней стенки левого предсер - дия более 1 см.</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Увеличение размеров левого предсердия.</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Дилатация полости левого желудочка с повышенной амплитудой сокращения его задней стенки.</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Неполное систолическое смыкание митральных створок в короткой парастернальной проекции на уровне митрального клапана.</w:t>
      </w:r>
    </w:p>
    <w:p>
      <w:pPr>
        <w:pStyle w:val="Style30"/>
        <w:numPr>
          <w:ilvl w:val="0"/>
          <w:numId w:val="57"/>
        </w:numPr>
        <w:tabs>
          <w:tab w:leader="none" w:pos="496" w:val="left"/>
        </w:tabs>
        <w:widowControl w:val="0"/>
        <w:keepNext w:val="0"/>
        <w:keepLines w:val="0"/>
        <w:shd w:val="clear" w:color="auto" w:fill="auto"/>
        <w:bidi w:val="0"/>
        <w:spacing w:before="0" w:after="0"/>
        <w:ind w:left="500" w:right="0" w:hanging="240"/>
      </w:pPr>
      <w:r>
        <w:pict>
          <v:shape id="_x0000_s1297" type="#_x0000_t75" style="position:absolute;margin-left:136.8pt;margin-top:737.05pt;width:209.75pt;height:14.9pt;z-index:-125829199;mso-wrap-distance-left:136.8pt;mso-wrap-distance-right:148.1pt;mso-wrap-distance-bottom:10.8pt;mso-position-horizontal-relative:margin;mso-position-vertical-relative:margin" wrapcoords="0 0 21600 0 21600 21600 0 21600 0 0">
            <v:imagedata r:id="rId444" r:href="rId445"/>
            <w10:wrap type="topAndBottom" anchorx="margin" anchory="margin"/>
          </v:shape>
        </w:pict>
      </w:r>
      <w:r>
        <w:rPr>
          <w:lang w:val="ru-RU" w:eastAsia="ru-RU" w:bidi="ru-RU"/>
          <w:w w:val="100"/>
          <w:spacing w:val="0"/>
          <w:color w:val="000000"/>
          <w:position w:val="0"/>
        </w:rPr>
        <w:t>В случае возникновения острой митральной недоста</w:t>
        <w:softHyphen/>
        <w:t>точности можно увидеть разрыв хорды митрального</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клапана, разрыв папиллярной мышцы или даже пер</w:t>
        <w:softHyphen/>
        <w:t>форацию межжелудочковой перегородки.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Допплерэхокардиография выявляет поток регургитации через митральное отверстие, его интенсивность и величина позволяют судить о степени митральной недостаточности.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Градации величины регургитации:</w:t>
      </w:r>
    </w:p>
    <w:p>
      <w:pPr>
        <w:pStyle w:val="Style30"/>
        <w:numPr>
          <w:ilvl w:val="0"/>
          <w:numId w:val="57"/>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1 степень (+) — систолический регургитантный по</w:t>
        <w:softHyphen/>
        <w:t>ток в области, подлежащей митральному клапану.</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2 степень (++) — систолический регургитантный по</w:t>
        <w:softHyphen/>
        <w:t>ток распространяется на 1/3 полости левого предсер</w:t>
        <w:softHyphen/>
        <w:t>дия.</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3 степень (+++) — систолический регургитантный поток распространяется на половину полости левого предсердия.</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4 степень (++++) — систолический регургитантный поток распространяется больше чем на половину по</w:t>
        <w:softHyphen/>
        <w:t>лости левого предсердия.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Катетеризация сердца, ангиокардиография:</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Ангиокардиографическое исследование является од</w:t>
        <w:softHyphen/>
        <w:t>ним из наиболее четких критериев для оценки тяжес</w:t>
        <w:softHyphen/>
        <w:t>ти митральной регургитации.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Оценка величины регургитации по данным ангиокар - диографии: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1+ В левом предсердии определяется следовой путь кон</w:t>
        <w:softHyphen/>
        <w:t>траста, но его недостаточно, чтобы были видны контуры левого предсердия.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2+ Контраст появляется в левом предсердии, но в мень</w:t>
        <w:softHyphen/>
        <w:t>шем количестве, чем в левом желудочке. Контрастное ве</w:t>
        <w:softHyphen/>
        <w:t>щество исчезает быстро — за 2-3 сердечных сокращения.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3+ Контраст определяется в левом предсердии в таком же количестве, как и в левом желудочке.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4+ В левом предсердии контраста больше, чем в левом желудочке. Контрастное вещество определяется вплоть до легочных вен.</w:t>
      </w:r>
    </w:p>
    <w:p>
      <w:pPr>
        <w:pStyle w:val="Style30"/>
        <w:numPr>
          <w:ilvl w:val="0"/>
          <w:numId w:val="57"/>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Тяжесть регургитации пропорциональна увеличению левого предсердия.</w:t>
      </w:r>
    </w:p>
    <w:p>
      <w:pPr>
        <w:pStyle w:val="Style30"/>
        <w:numPr>
          <w:ilvl w:val="0"/>
          <w:numId w:val="57"/>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Объем крови, сбрасываемый с митрального клапана, можно точно расчитать по данным катетеризации.</w:t>
      </w:r>
    </w:p>
    <w:p>
      <w:pPr>
        <w:pStyle w:val="Style30"/>
        <w:numPr>
          <w:ilvl w:val="0"/>
          <w:numId w:val="57"/>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Катетеризация помогает выявить больных с замаски</w:t>
        <w:softHyphen/>
        <w:t>рованной патологией коронарных артерий.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Дифференциальный диагноз</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Аортальный стеноз.</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Застойная сердечная недостаточность.</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Отек легких.</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Пролапс митрального клапана.</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Инфаркт миокарда.</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Миокардит.</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Дилатационная кардиомиопатия.</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Гипертрофическая кардиомиопатия.</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Миксома левого предсердия.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 острой митральной регургитации</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Выяснение причин инфаркта миокарда и быстрая ин</w:t>
        <w:softHyphen/>
        <w:t>фузия тромболитиков может восстановить кровообра</w:t>
        <w:softHyphen/>
        <w:t>щение в поврежденных папиллярных мышцах и, воз</w:t>
        <w:softHyphen/>
        <w:t>можно, восстановить функцию митрального клапана.</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 отека легких при острой митральной недо</w:t>
        <w:softHyphen/>
        <w:t>статочности включает применение ингаляций кисло</w:t>
        <w:softHyphen/>
        <w:t>рода, мочегонных препаратов, нитратов и интубацию на ранних сроках, если есть подозрение на развитие дыхательной недостаточности.</w:t>
      </w:r>
    </w:p>
    <w:p>
      <w:pPr>
        <w:pStyle w:val="Style30"/>
        <w:numPr>
          <w:ilvl w:val="0"/>
          <w:numId w:val="57"/>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 больных с отеком легких снижение постнагрузки на сердце достигается путем введения нитропруссида,</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даже если системное артериальное давление остается нормальным.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 хронической митральной недостаточности</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Специфических консервативных методов лечения митральной недостаточности не существует. Развива</w:t>
        <w:softHyphen/>
        <w:t>ющуюся недостаточность кровообращения лечат по общепринятым методам.</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 следует снижать частоту сердечных сокращений (даже при наличии тахикардии) Р-блокаторами. Лег</w:t>
        <w:softHyphen/>
        <w:t>кая или умеренная тахикардия способствует уменьше</w:t>
        <w:softHyphen/>
        <w:t>нию митральной регургитации, поскольку при увели</w:t>
        <w:softHyphen/>
        <w:t>чении частоты сердечных сокращений левый желудо</w:t>
        <w:softHyphen/>
        <w:t>чек не успевает значительно наполниться кровью.</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Трепетание предсердий, вторичное на фоне хрониче</w:t>
        <w:softHyphen/>
        <w:t>ской митральной недостаточности, может быть купи</w:t>
        <w:softHyphen/>
        <w:t>ровано дигоксином или дилтиаземом;</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больных с трепетанием предсердий, рефрактерных к лечению, а также у нестабильных больных необхо</w:t>
        <w:softHyphen/>
        <w:t>димо рассматривать возможность кардиоверсии. Од</w:t>
        <w:softHyphen/>
        <w:t>нако кардиоверсия даже в случае восстановления си</w:t>
        <w:softHyphen/>
        <w:t>нусового ритма обычно бывает эффективной только на протяжении определенного времени, а затем воз</w:t>
        <w:softHyphen/>
        <w:t>никает рецидив трепетания предсердий из-за сохра</w:t>
        <w:softHyphen/>
        <w:t>няющейся перегрузки левого предсердия.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Основными методами оперативной коррекции митраль</w:t>
        <w:softHyphen/>
        <w:t>ной недостаточности являются пластика створок митрально</w:t>
        <w:softHyphen/>
        <w:t>го клапана или имплантация нового митрального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Если оперативное лечение производится в ранние сро</w:t>
        <w:softHyphen/>
        <w:t>ки, оптимальнее провести пластику митрального клапана, поскольку при данной операции ниже риск инфекционно</w:t>
        <w:softHyphen/>
        <w:t>го эндокардита и лучше постоперационная функция левого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Пластика митрального клапана возможна только у боль</w:t>
        <w:softHyphen/>
        <w:t>ных без ревматического поражения митрального клапана, без инфекционного поражения митрального клапана. По</w:t>
        <w:softHyphen/>
        <w:t>этому кандидатов на пластику не так много.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Необходимо как можно более раннее выявление мит</w:t>
        <w:softHyphen/>
        <w:t>ральной недостаточности для предотвращения недостаточ</w:t>
        <w:softHyphen/>
        <w:t>ной функции левого желудочка и терапевтической коррек</w:t>
        <w:softHyphen/>
        <w:t>ции, направленной на предотвращение прогрессирования митральной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 время проведения операции замены митрального клапана происходит пересечение хорд митрального клапа</w:t>
        <w:softHyphen/>
        <w:t>на, что может привести к ухудшению функции левого желу</w:t>
        <w:softHyphen/>
        <w:t>дочка по сравнению с предоперационным периодом, что является транзиторным.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Тяжелая левожелудочковая недостаточность.</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Застойная хроническая сердечная недостаточность.</w:t>
      </w:r>
    </w:p>
    <w:p>
      <w:pPr>
        <w:pStyle w:val="Style30"/>
        <w:numPr>
          <w:ilvl w:val="0"/>
          <w:numId w:val="57"/>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Фибрилляция предсердий и ее осложнения (эмбо</w:t>
        <w:softHyphen/>
        <w:t>лии, инсульты, тромбозы и т.п.).</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Инфекционный эндокардит.</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Внезапная сердечная смерть.</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для больных с митральной недостаточнос</w:t>
        <w:softHyphen/>
        <w:t>тью зависит от основного заболевания, вызвавшего данные изменения и от функционального состояния левого желудочка.</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pict>
          <v:shape id="_x0000_s1298" type="#_x0000_t75" style="position:absolute;margin-left:148.1pt;margin-top:737.05pt;width:209.75pt;height:14.9pt;z-index:-125829198;mso-wrap-distance-left:148.1pt;mso-wrap-distance-right:136.8pt;mso-wrap-distance-bottom:10.8pt;mso-position-horizontal-relative:margin;mso-position-vertical-relative:margin" wrapcoords="0 0 21600 0 21600 21600 0 21600 0 0">
            <v:imagedata r:id="rId446" r:href="rId447"/>
            <w10:wrap type="topAndBottom" anchorx="margin" anchory="margin"/>
          </v:shape>
        </w:pict>
      </w:r>
      <w:r>
        <w:rPr>
          <w:lang w:val="ru-RU" w:eastAsia="ru-RU" w:bidi="ru-RU"/>
          <w:w w:val="100"/>
          <w:spacing w:val="0"/>
          <w:color w:val="000000"/>
          <w:position w:val="0"/>
        </w:rPr>
        <w:t>При умеренной митральной недостаточности ком</w:t>
        <w:softHyphen/>
        <w:t>пенсация и трудоспособность сохраняются длитель</w:t>
        <w:softHyphen/>
        <w:t>ное время.</w:t>
      </w:r>
      <w:r>
        <w:br w:type="page"/>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Хроническая митральная недостаточность, приводя</w:t>
        <w:softHyphen/>
        <w:t>щая к постоянной перегрузке левого желудочка объ</w:t>
        <w:softHyphen/>
        <w:t>емом, обычно хорошо переносится. Как правило, проходят годы до момента появления симптомов сер - дечной недостаточности. Значительная дилатация ле</w:t>
        <w:softHyphen/>
        <w:t>вого предсердия, наблюдающаяся у больных с мит</w:t>
        <w:softHyphen/>
        <w:t>ральной регургитацией, предрасполагает к появле</w:t>
        <w:softHyphen/>
        <w:t>нию фибрилляции предсердий и, соответственно, к тромбообразованию в левом предсердии с последу</w:t>
        <w:softHyphen/>
        <w:t>ющим высоким риском развития эмболий.</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относительной недостаточности митрального клапана прогноз определяется тяжестью основного заболевания и выраженностью недостаточности кро</w:t>
        <w:softHyphen/>
        <w:t>вообращения.</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Острый отек легких и кардиогенный шок очень часто являются осложнением остро возникшей митральной регургитации. Смертность во время проведения опе</w:t>
        <w:softHyphen/>
        <w:t>ративных мероприятий при острой митральной недо</w:t>
        <w:softHyphen/>
        <w:t>статочности достигает 80%.</w:t>
      </w:r>
    </w:p>
    <w:p>
      <w:pPr>
        <w:pStyle w:val="Style30"/>
        <w:numPr>
          <w:ilvl w:val="0"/>
          <w:numId w:val="57"/>
        </w:numPr>
        <w:tabs>
          <w:tab w:leader="none" w:pos="515" w:val="left"/>
        </w:tabs>
        <w:widowControl w:val="0"/>
        <w:keepNext w:val="0"/>
        <w:keepLines w:val="0"/>
        <w:shd w:val="clear" w:color="auto" w:fill="auto"/>
        <w:bidi w:val="0"/>
        <w:spacing w:before="0" w:after="242"/>
        <w:ind w:left="520" w:right="0" w:hanging="240"/>
      </w:pPr>
      <w:r>
        <w:rPr>
          <w:lang w:val="ru-RU" w:eastAsia="ru-RU" w:bidi="ru-RU"/>
          <w:w w:val="100"/>
          <w:spacing w:val="0"/>
          <w:color w:val="000000"/>
          <w:position w:val="0"/>
        </w:rPr>
        <w:t>Левожелудочковая недостаточность (ее выраженность) является первичным фактором, определяющим про</w:t>
        <w:softHyphen/>
        <w:t>гноз у больных с митральной регургитацией, особенно на фоне имеющейся патологии коронарных сосудов.</w:t>
      </w:r>
    </w:p>
    <w:p>
      <w:pPr>
        <w:pStyle w:val="Style28"/>
        <w:widowControl w:val="0"/>
        <w:keepNext/>
        <w:keepLines/>
        <w:shd w:val="clear" w:color="auto" w:fill="auto"/>
        <w:bidi w:val="0"/>
        <w:jc w:val="left"/>
        <w:spacing w:before="0" w:after="118" w:line="288" w:lineRule="exact"/>
        <w:ind w:left="0" w:right="0" w:firstLine="0"/>
      </w:pPr>
      <w:bookmarkStart w:id="397" w:name="bookmark397"/>
      <w:r>
        <w:rPr>
          <w:lang w:val="ru-RU" w:eastAsia="ru-RU" w:bidi="ru-RU"/>
          <w:w w:val="100"/>
          <w:spacing w:val="0"/>
          <w:color w:val="000000"/>
          <w:position w:val="0"/>
        </w:rPr>
        <w:t>Митральный стеноз (стеноз левого атриовентрикулярного отверстия)</w:t>
      </w:r>
      <w:bookmarkEnd w:id="39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нормального функционирования митрального клапа</w:t>
        <w:softHyphen/>
        <w:t>на необходим неповрежденный митральный аппарат и адек</w:t>
        <w:softHyphen/>
        <w:t>ватная функция левого желудочка. К стенозу митрального клапана приводит патологический процесс на уровне клапа</w:t>
        <w:softHyphen/>
        <w:t>на, к сужению левого атриовентрикулярного отверстия могут приводить подклапанные и надклапанные образования.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Врожденный митральный стеноз, встречающийся доста</w:t>
        <w:softHyphen/>
        <w:t>точно редко, может иметь несколько форм: гипоплазия коль</w:t>
        <w:softHyphen/>
        <w:t>ца митрального клапана, комиссуральное сращение створок митрального клапана, двойная закладка митрального клапана (клапан в клапане), укорочение или утолщение хордальных нитей и парашютоподобный митральный клапан, при кото</w:t>
        <w:softHyphen/>
        <w:t>ром существует единственная папиллярная мышца, к которой крепятся хорды обеих створок митрального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часто одновременно с врожденным стенозом митрального клапана наблюдается коарктация аорты, сте</w:t>
        <w:softHyphen/>
        <w:t>ноз аортального клапана и подклапанный аортальный сте</w:t>
        <w:softHyphen/>
        <w:t xml:space="preserve">ноз. Очень часто обструкция входного и выходного тракта левого желудочка наблюдается при синдроме </w:t>
      </w:r>
      <w:r>
        <w:rPr>
          <w:lang w:val="en-US" w:eastAsia="en-US" w:bidi="en-US"/>
          <w:w w:val="100"/>
          <w:spacing w:val="0"/>
          <w:color w:val="000000"/>
          <w:position w:val="0"/>
        </w:rPr>
        <w:t>Shone.</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Тяжелая гипоплазия или атрезия митрального клапана приводит к гипоплазии левого желудочка, уменьшению его размеров и неспособности левого желудочка к обеспечению адекватного сердечного выброса. Такая ситуация рассмат</w:t>
        <w:softHyphen/>
        <w:t>ривается как часть синдрома гипоплазии левого желудочка.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Врожденный митральный стеноз встречается редко, составляет 0,5% от всех больных с врожденными по</w:t>
        <w:softHyphen/>
        <w:t>роками сердца.</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приобретенного митрального стеноза в дет</w:t>
        <w:softHyphen/>
        <w:t>ском возрасте не определена, поскольку порок дли</w:t>
        <w:softHyphen/>
        <w:t>тельное время может протекать бессимптомно.</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Стеноз митрального клапана встречается с одинаковой частотой у мальчиков и девочек.</w:t>
      </w:r>
    </w:p>
    <w:p>
      <w:pPr>
        <w:pStyle w:val="Style92"/>
        <w:widowControl w:val="0"/>
        <w:keepNext/>
        <w:keepLines/>
        <w:shd w:val="clear" w:color="auto" w:fill="auto"/>
        <w:bidi w:val="0"/>
        <w:spacing w:before="0" w:after="0"/>
        <w:ind w:left="520" w:right="0" w:hanging="240"/>
      </w:pPr>
      <w:r>
        <w:br w:type="column"/>
      </w:r>
      <w:bookmarkStart w:id="398" w:name="bookmark398"/>
      <w:r>
        <w:rPr>
          <w:lang w:val="ru-RU" w:eastAsia="ru-RU" w:bidi="ru-RU"/>
          <w:w w:val="100"/>
          <w:spacing w:val="0"/>
          <w:color w:val="000000"/>
          <w:position w:val="0"/>
        </w:rPr>
        <w:t>Возраст</w:t>
      </w:r>
      <w:bookmarkEnd w:id="39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Врожденный митральный стеноз выявляется после рож</w:t>
        <w:softHyphen/>
        <w:t>дения или в раннем детском возрасте. Приобретенные фор</w:t>
        <w:softHyphen/>
        <w:t>мы митрального стеноза могут обнаруживаться в подрост</w:t>
        <w:softHyphen/>
        <w:t>ковом возрасте.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Этиология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 возникновения врожденного митрального стеноза остаются невыясненными. Отмечается увеличение частоты возникновения врожденного митрального стеноза у потомков семей, в которых кто-либо (особенно матери) страдали обструкцией выходного тракта левого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Приобретенный стеноз левого атриовентрикулярного отверстия у детей и подростков обусловлен ревматизмом, редко наблюдается после перенесенного инфекционного эндокардита, еще реже при идиопатическом кальцинозе.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случае врожденного митрального стеноза у плода обструкция митрального клапана не коррелирует с обязательным нарушением роста и развития даже в случае атрезии митрального клапана. Это происхо</w:t>
        <w:softHyphen/>
        <w:t>дит потому, что, хотя венозный возврат в левое пред</w:t>
        <w:softHyphen/>
        <w:t>сердие снижается, у плода очень активно развивается бронхоколлатеральная циркуляция, которая вполне адекватно обеспечивает циркуляцию и препятствует появлению обструктивного эффекта. В таком случае все системное кровообращение осуществляется за счет работы правого желудочка при помощи откры</w:t>
        <w:softHyphen/>
        <w:t>того артериального протока. Левые отделы сердца ос</w:t>
        <w:softHyphen/>
        <w:t>таются гипоплазированными.</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Менее тяжелые формы стеноза митрального клапана позволяют в какой-то мере сохранить нормальную фе</w:t>
        <w:softHyphen/>
        <w:t>тальную циркуляцию, достаточную для нормального развития левого желудочка и нисходящей части аорты.</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После рождения, если митральный стеноз сразу не подвергается оперативной коррекции, смертность сре</w:t>
        <w:softHyphen/>
        <w:t>ди больных очень высока и средняя выживаемость со</w:t>
        <w:softHyphen/>
        <w:t>ставляет около 3 лет. Если митральный стеноз сочета</w:t>
        <w:softHyphen/>
        <w:t>ется с коарктацией аорты или стенозом аортального клапана, смертность больных значительно возрастает.</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и подростков при митральном стенозе ограни</w:t>
        <w:softHyphen/>
        <w:t>чивается поток крови в левый желудочек и повышается давление в левом предсердии пропорционально степе</w:t>
        <w:softHyphen/>
        <w:t>ни выраженности митрального стеноза. Это, в свою очередь, ограничивает венозный возврат крови в левое предсердие из легких и приводит к повышению давле</w:t>
        <w:softHyphen/>
        <w:t>ния в правом желудочке. Повышение гидростатическо - го давления в капиллярах легких способствует пропоте- ванию жидкости в альвеолы легких и интерстициаль</w:t>
        <w:softHyphen/>
        <w:t>ную ткань, вызывая застойные изменения в легких. За</w:t>
        <w:softHyphen/>
        <w:t>стойные изменения в венах бронхиол могут приводить к сужению узких бронхиол с последующим развитием обструктивных изменений в легких.</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pict>
          <v:shape id="_x0000_s1299" type="#_x0000_t75" style="position:absolute;margin-left:136.9pt;margin-top:737.05pt;width:209.75pt;height:14.9pt;z-index:-125829197;mso-wrap-distance-left:136.8pt;mso-wrap-distance-right:147.85pt;mso-wrap-distance-bottom:10.8pt;mso-position-horizontal-relative:margin;mso-position-vertical-relative:margin" wrapcoords="0 0 21600 0 21600 21600 0 21600 0 0">
            <v:imagedata r:id="rId448" r:href="rId449"/>
            <w10:wrap type="topAndBottom" anchorx="margin" anchory="margin"/>
          </v:shape>
        </w:pict>
      </w:r>
      <w:r>
        <w:rPr>
          <w:lang w:val="ru-RU" w:eastAsia="ru-RU" w:bidi="ru-RU"/>
          <w:w w:val="100"/>
          <w:spacing w:val="0"/>
          <w:color w:val="000000"/>
          <w:position w:val="0"/>
        </w:rPr>
        <w:t>В качестве компенсаторного механизма наступает ле</w:t>
        <w:softHyphen/>
        <w:t>гочная вазоконстрикция. Возникающее при этом по</w:t>
        <w:softHyphen/>
        <w:t>вышение давления в правом желудочке приводит к ги</w:t>
        <w:softHyphen/>
        <w:t>пертрофии правого желудочка. Повышенное легочное давление может прогрессировать до значимой легоч</w:t>
        <w:softHyphen/>
        <w:t>ной артериальной гипертензии и, в свою очередь, к утолщению интимы и медиальной гипертрофии ле</w:t>
        <w:softHyphen/>
        <w:t>гочных артериол. Ухудшение функции правого желу</w:t>
        <w:softHyphen/>
        <w:t>дочка, приводящее к уменьшению кровотока в легких, способствует снижению системного артериального</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давления. Если снижение сердечного выброса дости</w:t>
        <w:softHyphen/>
        <w:t>гает критических цифр, возникает печеночная или по - чечная недостаточность, вплоть до шока и метаболи</w:t>
        <w:softHyphen/>
        <w:t>ческого ацидоза. Правожелудочковая недостаточность приводит к системному венозному застою, сопровож</w:t>
        <w:softHyphen/>
        <w:t>дающемуся гепатомегалией, асцитом и анасаркой.</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Врожденный митральный стеноз у новорожденных и в раннем детском возрасте имеет ряд клинических осо</w:t>
        <w:softHyphen/>
        <w:t>бенностей:</w:t>
      </w:r>
    </w:p>
    <w:p>
      <w:pPr>
        <w:pStyle w:val="Style30"/>
        <w:numPr>
          <w:ilvl w:val="0"/>
          <w:numId w:val="57"/>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Тяжелые формы митрального стеноза могут сопро</w:t>
        <w:softHyphen/>
        <w:t>вождаться респираторным дистресс-синдромом раз</w:t>
        <w:softHyphen/>
        <w:t>ной степени выраженности — от отека легких сразу после рождения ребенка (если кровообращение меж</w:t>
        <w:softHyphen/>
        <w:t>ду предсердиями недостаточно; наличие дефекта межпредсердной перегородки приводит к декомпрес</w:t>
        <w:softHyphen/>
        <w:t>сии левого предсердия) до проявлений перегрузки малого круга кровообращения и клиники сниженно</w:t>
        <w:softHyphen/>
        <w:t>го сердечного выброса.</w:t>
      </w:r>
    </w:p>
    <w:p>
      <w:pPr>
        <w:pStyle w:val="Style30"/>
        <w:numPr>
          <w:ilvl w:val="0"/>
          <w:numId w:val="57"/>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Средней тяжести и легкие формы митрального стеноза обычно приводят к появлению клинических проявле</w:t>
        <w:softHyphen/>
        <w:t>ний в неонатальном периоде в виде малого сердечного выброса и правожелудочковой недостаточности в виде частых легочных инфекционных заболеваний, низких показателей физического развития, утомляемости, а также тахипноэ, хронического кашля и тошноты.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митральный стеноз в первую очередь проявляет</w:t>
        <w:softHyphen/>
        <w:t>ся снижением толерантности к физической нагрузке. В клинической картине обычно определяются следующие симптомы:</w:t>
      </w:r>
    </w:p>
    <w:p>
      <w:pPr>
        <w:pStyle w:val="Style30"/>
        <w:numPr>
          <w:ilvl w:val="0"/>
          <w:numId w:val="57"/>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Перегрузка сосудов малого круга приводит к усугуб</w:t>
        <w:softHyphen/>
        <w:t>лению выраженности одышки пропорционально тя</w:t>
        <w:softHyphen/>
        <w:t>жести митрального стеноза (от одышки в период фи</w:t>
        <w:softHyphen/>
        <w:t>зических усилий до пароксизмальной ночной одыш</w:t>
        <w:softHyphen/>
        <w:t>ки, ортопноэ и даже отека легких). Одышка может усугубляться под воздействием других причин, при</w:t>
        <w:softHyphen/>
        <w:t>водящих к увеличению кровотока через митральный клапан (эмоциональный стресс, повышение темпера</w:t>
        <w:softHyphen/>
        <w:t>туры, респираторные инфекции, фибрилляция пред</w:t>
        <w:softHyphen/>
        <w:t>сердий с частым желудочковым ритмом).</w:t>
      </w:r>
    </w:p>
    <w:p>
      <w:pPr>
        <w:pStyle w:val="Style30"/>
        <w:numPr>
          <w:ilvl w:val="0"/>
          <w:numId w:val="57"/>
        </w:numPr>
        <w:tabs>
          <w:tab w:leader="none" w:pos="519"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Признаки правожелудочковой недостаточности, включая периферические отеки и увеличение печени.</w:t>
      </w:r>
    </w:p>
    <w:p>
      <w:pPr>
        <w:pStyle w:val="Style30"/>
        <w:numPr>
          <w:ilvl w:val="0"/>
          <w:numId w:val="57"/>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Предсердные аритмии: больные с митральным стено - зом, включая даже тех, у которых ранее не было кли</w:t>
        <w:softHyphen/>
        <w:t>нических проявлений заболевания, могут внезапно развить мерцание-трепетание предсердий, хотя это и не очень характерно для течения митрального сте</w:t>
        <w:softHyphen/>
        <w:t>ноза в детском и подростковом возрасте. Причиной развития данного нарушения ритма сердца является перерастяжение левого предсердия. Возникшее мер</w:t>
        <w:softHyphen/>
        <w:t>цание-трепетание предсердий может приводить к следующим изменениям:</w:t>
      </w:r>
    </w:p>
    <w:p>
      <w:pPr>
        <w:pStyle w:val="Style30"/>
        <w:numPr>
          <w:ilvl w:val="0"/>
          <w:numId w:val="57"/>
        </w:numPr>
        <w:tabs>
          <w:tab w:leader="none" w:pos="733"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исчезновение предсердной волны заполнения лево - го желудочка, что снижает системный сердечный выброс, и одного этого может быть достаточно для возникновения или значительного усугубления проявлений застойной сердечной недостаточности;</w:t>
      </w:r>
    </w:p>
    <w:p>
      <w:pPr>
        <w:pStyle w:val="Style30"/>
        <w:numPr>
          <w:ilvl w:val="0"/>
          <w:numId w:val="57"/>
        </w:numPr>
        <w:tabs>
          <w:tab w:leader="none" w:pos="733"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тромбоэмболические осложнения (местные или системные нарушения свертываемости) возника</w:t>
        <w:softHyphen/>
        <w:t>ют примерно у 10-20% больных со стенозом мит</w:t>
        <w:softHyphen/>
        <w:t>рального клапана. Большинство этих эмболов об</w:t>
        <w:softHyphen/>
        <w:t>разуется в левом предсердии и их отрыв результи-</w:t>
        <w:br w:type="column"/>
        <w:t>руется тромбоэмболией сосудов головного мозга, приводящей к инсульту;</w:t>
      </w:r>
    </w:p>
    <w:p>
      <w:pPr>
        <w:pStyle w:val="Style30"/>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инфекционный эндокардит является редким ос</w:t>
        <w:softHyphen/>
        <w:t>ложнением и должен подозреваться в случае, ког</w:t>
        <w:softHyphen/>
        <w:t>да эмболизация происходит на синусовом ритме.</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Гемофтиз может возникать вследствие разрыва дила- тированных бронхиальных вен. Кровянистое отделя</w:t>
        <w:softHyphen/>
        <w:t>емое изо рта или пенистая кровянистая мокрота яв</w:t>
        <w:softHyphen/>
        <w:t>ляются манифестирующим признаком данного ос</w:t>
        <w:softHyphen/>
        <w:t>ложнения, которое обычно приводит к отеку легких. Оба этих осложнения обычно сопровождают тяже</w:t>
        <w:softHyphen/>
        <w:t>лые, длительно существующие и прогрессирующие митральные стенозы и в педиатрической практике встречаются редко.</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 в области грудной клетки возникает у 15% боль</w:t>
        <w:softHyphen/>
        <w:t>ных митральным стенозом.</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Дисфагия может возникать из-за сдавления пищево</w:t>
        <w:softHyphen/>
        <w:t>да расширенным левым предсердием. У детей этот признак возникает редко.</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Першение в горле и поперхивание могут возникать в тех случаях, когда дилатированное левое предсердие сдавливает возвратный глоточный нерв. Это очень редкая форма манифестации тяжелого митрального стеноза у детей.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Физикальное обследование:</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При легкой или средней степени выраженности мит</w:t>
        <w:softHyphen/>
        <w:t>рального стеноза могут выявляться следующие изменения:</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Увеличение громкости легочного компонента второ</w:t>
        <w:softHyphen/>
        <w:t>го сердечного тона пропорционально повышению легочного артериального давления.</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Низкочастотный диастолический шум, начинаю - щийся вскоре после второго тона, наилучшим обра</w:t>
        <w:softHyphen/>
        <w:t>зом выслушивающийся на верхушке сердца, с позд</w:t>
        <w:softHyphen/>
        <w:t>недиастолической акцентуацией (если у больного на</w:t>
        <w:softHyphen/>
        <w:t>личествует синусовый ритм). Интенсивность и дли</w:t>
        <w:softHyphen/>
        <w:t>тельность шума прямо пропорциональны выражен</w:t>
        <w:softHyphen/>
        <w:t>ности обструкции митрального клапана.</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При тяжелом митральном стенозе могут быть выявлены следующие клинические симптомы:</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Уменьшение периферической пульсации и перифе</w:t>
        <w:softHyphen/>
        <w:t>рической перфузии.</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Пальпация верхушечного толчка правого желудочка (усиленный верхушечный толчок правого желудочка) у больных, имеющих легочную гипертензию.</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«Мягкий» первый тон (при наличии сердечной недоста</w:t>
        <w:softHyphen/>
        <w:t>точности и сниженном наполнении левого желудочка).</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Постоянный акцент второго тона (не меняется в за</w:t>
        <w:softHyphen/>
        <w:t>висимости от фазы дыхания).</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Голодиастолический шум с пресистолической акцен</w:t>
        <w:softHyphen/>
        <w:t>туацией, наилучшим образом выслушиваемый у вер</w:t>
        <w:softHyphen/>
        <w:t>хушки. Интенсивность диастолического шума может уменьшаться пропорционально снижению сердечно</w:t>
        <w:softHyphen/>
        <w:t>го выброса у больных с сердечной недостаточностью.</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наличии у больного выраженной легочной ги</w:t>
        <w:softHyphen/>
        <w:t>пертензии может выслушиваться высокочастотный ранний диастолический шум регургитации клапана легочной артерии.</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Выслушивается третий и четвертый тон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Электрокардиография:</w:t>
      </w:r>
    </w:p>
    <w:p>
      <w:pPr>
        <w:pStyle w:val="Style30"/>
        <w:numPr>
          <w:ilvl w:val="0"/>
          <w:numId w:val="57"/>
        </w:numPr>
        <w:tabs>
          <w:tab w:leader="none" w:pos="517" w:val="left"/>
        </w:tabs>
        <w:widowControl w:val="0"/>
        <w:keepNext w:val="0"/>
        <w:keepLines w:val="0"/>
        <w:shd w:val="clear" w:color="auto" w:fill="auto"/>
        <w:bidi w:val="0"/>
        <w:spacing w:before="0" w:after="0"/>
        <w:ind w:left="520" w:right="0" w:hanging="240"/>
      </w:pPr>
      <w:r>
        <w:pict>
          <v:shape id="_x0000_s1300" type="#_x0000_t75" style="position:absolute;margin-left:147.95pt;margin-top:737.05pt;width:209.75pt;height:14.9pt;z-index:-125829196;mso-wrap-distance-left:147.6pt;mso-wrap-distance-right:136.55pt;mso-wrap-distance-bottom:10.8pt;mso-position-horizontal-relative:margin;mso-position-vertical-relative:margin" wrapcoords="0 0 21600 0 21600 21600 0 21600 0 0">
            <v:imagedata r:id="rId450" r:href="rId451"/>
            <w10:wrap type="topAndBottom" anchorx="margin" anchory="margin"/>
          </v:shape>
        </w:pict>
      </w:r>
      <w:r>
        <w:rPr>
          <w:lang w:val="ru-RU" w:eastAsia="ru-RU" w:bidi="ru-RU"/>
          <w:w w:val="100"/>
          <w:spacing w:val="0"/>
          <w:color w:val="000000"/>
          <w:position w:val="0"/>
        </w:rPr>
        <w:t>Электрокардиограмма может быть нормальной у боль</w:t>
        <w:softHyphen/>
        <w:t>ных с легкой степенью врожденного митрального сте-</w:t>
      </w:r>
      <w:r>
        <w:br w:type="page"/>
      </w:r>
    </w:p>
    <w:p>
      <w:pPr>
        <w:pStyle w:val="Style30"/>
        <w:widowControl w:val="0"/>
        <w:keepNext w:val="0"/>
        <w:keepLines w:val="0"/>
        <w:shd w:val="clear" w:color="auto" w:fill="auto"/>
        <w:bidi w:val="0"/>
        <w:spacing w:before="0" w:after="0"/>
        <w:ind w:left="260" w:right="0" w:firstLine="0"/>
      </w:pPr>
      <w:r>
        <w:pict>
          <v:shape id="_x0000_s1301" type="#_x0000_t75" style="position:absolute;margin-left:-3.85pt;margin-top:2.9pt;width:263.05pt;height:216.pt;z-index:-125829195;mso-wrap-distance-left:5.pt;mso-wrap-distance-right:29.5pt;mso-position-horizontal-relative:margin;mso-position-vertical-relative:margin" wrapcoords="0 0 21600 0 21600 21600 0 21600 0 0">
            <v:imagedata r:id="rId452" r:href="rId453"/>
            <w10:wrap type="topAndBottom" anchorx="margin" anchory="margin"/>
          </v:shape>
        </w:pict>
      </w:r>
      <w:r>
        <w:pict>
          <v:shape id="_x0000_s1302" type="#_x0000_t202" style="position:absolute;margin-left:288.7pt;margin-top:17.25pt;width:199.2pt;height:22.05pt;z-index:-125829194;mso-wrap-distance-left:31.45pt;mso-wrap-distance-top:14.4pt;mso-wrap-distance-right:5.pt;mso-position-horizontal-relative:margin;mso-position-vertic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123"/>
                    </w:rPr>
                    <w:t xml:space="preserve">Рис. 33. </w:t>
                  </w:r>
                  <w:r>
                    <w:rPr>
                      <w:rStyle w:val="CharStyle90"/>
                    </w:rPr>
                    <w:t>Критический стеноз левого атриовентрику</w:t>
                    <w:softHyphen/>
                    <w:t>лярного отверстия.</w:t>
                  </w:r>
                </w:p>
              </w:txbxContent>
            </v:textbox>
            <w10:wrap type="topAndBottom" anchorx="margin" anchory="margin"/>
          </v:shape>
        </w:pict>
      </w:r>
      <w:r>
        <w:rPr>
          <w:lang w:val="ru-RU" w:eastAsia="ru-RU" w:bidi="ru-RU"/>
          <w:w w:val="100"/>
          <w:spacing w:val="0"/>
          <w:color w:val="000000"/>
          <w:position w:val="0"/>
        </w:rPr>
        <w:t>ноза. Гемодинамически значимый стеноз может иметь свое отражение на ЭКГ в виде признаков увеличения левого предсердия или обоих предсердий, а также уве</w:t>
        <w:softHyphen/>
        <w:t>личения правого желудочка пропорционально тяжести обструкции митрального клапана.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Рентгенография:</w:t>
      </w:r>
    </w:p>
    <w:p>
      <w:pPr>
        <w:pStyle w:val="Style30"/>
        <w:numPr>
          <w:ilvl w:val="0"/>
          <w:numId w:val="57"/>
        </w:numPr>
        <w:tabs>
          <w:tab w:leader="none" w:pos="231"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Дилатация левого предсердия.</w:t>
      </w:r>
    </w:p>
    <w:p>
      <w:pPr>
        <w:pStyle w:val="Style30"/>
        <w:numPr>
          <w:ilvl w:val="0"/>
          <w:numId w:val="57"/>
        </w:numPr>
        <w:tabs>
          <w:tab w:leader="none" w:pos="231" w:val="left"/>
        </w:tabs>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Дилатация легочной артерии, вторичная к повышению легочного давления и резистентности сосудов легких.</w:t>
      </w:r>
    </w:p>
    <w:p>
      <w:pPr>
        <w:pStyle w:val="Style30"/>
        <w:numPr>
          <w:ilvl w:val="0"/>
          <w:numId w:val="57"/>
        </w:numPr>
        <w:tabs>
          <w:tab w:leader="none" w:pos="231"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Дилатация правого желудочка.</w:t>
      </w:r>
    </w:p>
    <w:p>
      <w:pPr>
        <w:pStyle w:val="Style30"/>
        <w:numPr>
          <w:ilvl w:val="0"/>
          <w:numId w:val="57"/>
        </w:numPr>
        <w:tabs>
          <w:tab w:leader="none" w:pos="231"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Признаки венозного застоя в легких.</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Эхокардиография (рис. 33):</w:t>
      </w:r>
    </w:p>
    <w:p>
      <w:pPr>
        <w:pStyle w:val="Style30"/>
        <w:numPr>
          <w:ilvl w:val="0"/>
          <w:numId w:val="57"/>
        </w:numPr>
        <w:tabs>
          <w:tab w:leader="none" w:pos="231"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Одномерная ЭхоКГ:</w:t>
      </w:r>
    </w:p>
    <w:p>
      <w:pPr>
        <w:pStyle w:val="Style30"/>
        <w:numPr>
          <w:ilvl w:val="0"/>
          <w:numId w:val="5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увеличение плотности эхоструктур от митральных створок;</w:t>
      </w:r>
    </w:p>
    <w:p>
      <w:pPr>
        <w:pStyle w:val="Style30"/>
        <w:numPr>
          <w:ilvl w:val="0"/>
          <w:numId w:val="5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пологий </w:t>
      </w:r>
      <w:r>
        <w:rPr>
          <w:lang w:val="en-US" w:eastAsia="en-US" w:bidi="en-US"/>
          <w:w w:val="100"/>
          <w:spacing w:val="0"/>
          <w:color w:val="000000"/>
          <w:position w:val="0"/>
        </w:rPr>
        <w:t xml:space="preserve">EF </w:t>
      </w:r>
      <w:r>
        <w:rPr>
          <w:lang w:val="ru-RU" w:eastAsia="ru-RU" w:bidi="ru-RU"/>
          <w:w w:val="100"/>
          <w:spacing w:val="0"/>
          <w:color w:val="000000"/>
          <w:position w:val="0"/>
        </w:rPr>
        <w:t>наклон митрального клапана;</w:t>
      </w:r>
    </w:p>
    <w:p>
      <w:pPr>
        <w:pStyle w:val="Style30"/>
        <w:numPr>
          <w:ilvl w:val="0"/>
          <w:numId w:val="5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аномальное (конкордантное) движение задней ми - тральной створки;</w:t>
      </w:r>
    </w:p>
    <w:p>
      <w:pPr>
        <w:pStyle w:val="Style30"/>
        <w:numPr>
          <w:ilvl w:val="0"/>
          <w:numId w:val="5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плотные, усиленные эхосигналы от хорд в I стан</w:t>
        <w:softHyphen/>
        <w:t>дартной позиции;</w:t>
      </w:r>
    </w:p>
    <w:p>
      <w:pPr>
        <w:pStyle w:val="Style30"/>
        <w:numPr>
          <w:ilvl w:val="0"/>
          <w:numId w:val="5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уменьшение СЕ и ДЕ амплитуды створок митраль</w:t>
        <w:softHyphen/>
        <w:t>ного клапана;</w:t>
      </w:r>
    </w:p>
    <w:p>
      <w:pPr>
        <w:pStyle w:val="Style30"/>
        <w:numPr>
          <w:ilvl w:val="0"/>
          <w:numId w:val="5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уменьшение или отсутствие А волны митрального клапана;</w:t>
      </w:r>
    </w:p>
    <w:p>
      <w:pPr>
        <w:pStyle w:val="Style30"/>
        <w:numPr>
          <w:ilvl w:val="0"/>
          <w:numId w:val="5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задержка закрытия митрального клапана;</w:t>
      </w:r>
    </w:p>
    <w:p>
      <w:pPr>
        <w:pStyle w:val="Style30"/>
        <w:numPr>
          <w:ilvl w:val="0"/>
          <w:numId w:val="5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дилатация левого предсердия;</w:t>
      </w:r>
    </w:p>
    <w:p>
      <w:pPr>
        <w:pStyle w:val="Style30"/>
        <w:numPr>
          <w:ilvl w:val="0"/>
          <w:numId w:val="5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дилатация правого желудочка;</w:t>
      </w:r>
    </w:p>
    <w:p>
      <w:pPr>
        <w:pStyle w:val="Style30"/>
        <w:numPr>
          <w:ilvl w:val="0"/>
          <w:numId w:val="5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раннее диастолическое выгибание межжелудочко - вой перегородки (этот феномен связан с более ранним наполнением правого желудочка);</w:t>
      </w:r>
    </w:p>
    <w:p>
      <w:pPr>
        <w:pStyle w:val="Style30"/>
        <w:numPr>
          <w:ilvl w:val="0"/>
          <w:numId w:val="5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уменьшение полости левого желудочка (наблюда</w:t>
        <w:softHyphen/>
        <w:t>ется только при изолированном стенозе левого ат</w:t>
        <w:softHyphen/>
        <w:t>риовентрикулярного отверстия);</w:t>
      </w:r>
    </w:p>
    <w:p>
      <w:pPr>
        <w:pStyle w:val="Style30"/>
        <w:numPr>
          <w:ilvl w:val="0"/>
          <w:numId w:val="5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аномальное движение корня аорты (быстрое дви</w:t>
        <w:softHyphen/>
        <w:t>жение назад задней аортальной стенки в начале диастолы, наблюдаемое в норме, сменяется более медленным движением, продолжающимся на про</w:t>
        <w:softHyphen/>
        <w:t>тяжении всей диастолы, так что плато, обычно имеющееся в конце диастолы, отсутствует);</w:t>
      </w:r>
    </w:p>
    <w:p>
      <w:pPr>
        <w:pStyle w:val="Style30"/>
        <w:numPr>
          <w:ilvl w:val="0"/>
          <w:numId w:val="5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уменьшение экскурсии аорты.</w:t>
      </w:r>
    </w:p>
    <w:p>
      <w:pPr>
        <w:pStyle w:val="Style30"/>
        <w:numPr>
          <w:ilvl w:val="0"/>
          <w:numId w:val="57"/>
        </w:numPr>
        <w:tabs>
          <w:tab w:leader="none" w:pos="231"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Двухмерная ЭхоКГ:</w:t>
      </w:r>
    </w:p>
    <w:p>
      <w:pPr>
        <w:pStyle w:val="Style30"/>
        <w:numPr>
          <w:ilvl w:val="0"/>
          <w:numId w:val="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диастолическое выбухание передней митральной створки в проекции длинной парастернальной оси левого желудочка;</w:t>
      </w:r>
    </w:p>
    <w:p>
      <w:pPr>
        <w:pStyle w:val="Style30"/>
        <w:numPr>
          <w:ilvl w:val="0"/>
          <w:numId w:val="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сращение комиссур в поперечном парастерналь</w:t>
        <w:softHyphen/>
        <w:t>ном сечении на уровне митрального клапана;</w:t>
      </w:r>
    </w:p>
    <w:p>
      <w:pPr>
        <w:pStyle w:val="Style30"/>
        <w:numPr>
          <w:ilvl w:val="0"/>
          <w:numId w:val="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уменьшение размера левого атриовентрикулярно</w:t>
        <w:softHyphen/>
        <w:t>го отверстия.</w:t>
      </w:r>
    </w:p>
    <w:p>
      <w:pPr>
        <w:pStyle w:val="Style30"/>
        <w:numPr>
          <w:ilvl w:val="0"/>
          <w:numId w:val="57"/>
        </w:numPr>
        <w:tabs>
          <w:tab w:leader="none" w:pos="231"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 ЭхоКГ:</w:t>
      </w:r>
    </w:p>
    <w:p>
      <w:pPr>
        <w:pStyle w:val="Style30"/>
        <w:numPr>
          <w:ilvl w:val="0"/>
          <w:numId w:val="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увеличение скорости максимального диастоличес</w:t>
        <w:softHyphen/>
        <w:t>кого потока более 1,3 м/с;</w:t>
      </w:r>
    </w:p>
    <w:p>
      <w:pPr>
        <w:pStyle w:val="Style30"/>
        <w:numPr>
          <w:ilvl w:val="0"/>
          <w:numId w:val="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определение величины трансмитрального потока;</w:t>
      </w:r>
    </w:p>
    <w:p>
      <w:pPr>
        <w:pStyle w:val="Style30"/>
        <w:numPr>
          <w:ilvl w:val="0"/>
          <w:numId w:val="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вычисление площади митрального отверстия;</w:t>
      </w:r>
    </w:p>
    <w:p>
      <w:pPr>
        <w:pStyle w:val="Style30"/>
        <w:numPr>
          <w:ilvl w:val="0"/>
          <w:numId w:val="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выявление сопутствующих изменений;</w:t>
      </w:r>
    </w:p>
    <w:p>
      <w:pPr>
        <w:pStyle w:val="Style30"/>
        <w:numPr>
          <w:ilvl w:val="0"/>
          <w:numId w:val="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легочная гипертензия;</w:t>
      </w:r>
    </w:p>
    <w:p>
      <w:pPr>
        <w:pStyle w:val="Style30"/>
        <w:numPr>
          <w:ilvl w:val="0"/>
          <w:numId w:val="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недостаточность митрального клапана;</w:t>
      </w:r>
    </w:p>
    <w:p>
      <w:pPr>
        <w:pStyle w:val="Style30"/>
        <w:numPr>
          <w:ilvl w:val="0"/>
          <w:numId w:val="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тромбы левого предсердия.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w:t>
      </w:r>
    </w:p>
    <w:p>
      <w:pPr>
        <w:pStyle w:val="Style30"/>
        <w:numPr>
          <w:ilvl w:val="0"/>
          <w:numId w:val="57"/>
        </w:numPr>
        <w:tabs>
          <w:tab w:leader="none" w:pos="231"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 проводится только в тех случа</w:t>
        <w:softHyphen/>
        <w:t>ях, когда эхокардиографическое исследование в силу каких-либо причин не может быть проведено в пол</w:t>
        <w:softHyphen/>
        <w:t>ном объеме или если у больного планируется прове</w:t>
        <w:softHyphen/>
        <w:t>дение операции баллонной вальвулопластики.</w:t>
      </w:r>
    </w:p>
    <w:p>
      <w:pPr>
        <w:pStyle w:val="Style30"/>
        <w:numPr>
          <w:ilvl w:val="0"/>
          <w:numId w:val="57"/>
        </w:numPr>
        <w:tabs>
          <w:tab w:leader="none" w:pos="231"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сердца используется для прямой оценки давления в камерах сердца, исследования гра</w:t>
        <w:softHyphen/>
        <w:t>диента давления на митральном клапане, резистент</w:t>
        <w:softHyphen/>
        <w:t>ности сосудов легких, а также системного сердечного выброса. Эффективный митральный выброс может быть оценен и рассчитан по формуле Горлина.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57"/>
        </w:numPr>
        <w:tabs>
          <w:tab w:leader="none" w:pos="231" w:val="left"/>
        </w:tabs>
        <w:widowControl w:val="0"/>
        <w:keepNext w:val="0"/>
        <w:keepLines w:val="0"/>
        <w:shd w:val="clear" w:color="auto" w:fill="auto"/>
        <w:bidi w:val="0"/>
        <w:spacing w:before="0" w:after="0"/>
        <w:ind w:left="280" w:right="0" w:hanging="280"/>
      </w:pPr>
      <w:r>
        <w:pict>
          <v:shape id="_x0000_s1303" type="#_x0000_t75" style="position:absolute;margin-left:130.55pt;margin-top:737.05pt;width:209.75pt;height:14.9pt;z-index:-125829193;mso-wrap-distance-left:124.3pt;mso-wrap-distance-right:148.1pt;mso-wrap-distance-bottom:10.8pt;mso-position-horizontal-relative:margin;mso-position-vertical-relative:margin" wrapcoords="0 0 21600 0 21600 21600 0 21600 0 0">
            <v:imagedata r:id="rId454" r:href="rId455"/>
            <w10:wrap type="topAndBottom" anchorx="margin" anchory="margin"/>
          </v:shape>
        </w:pict>
      </w:r>
      <w:r>
        <w:rPr>
          <w:lang w:val="ru-RU" w:eastAsia="ru-RU" w:bidi="ru-RU"/>
          <w:w w:val="100"/>
          <w:spacing w:val="0"/>
          <w:color w:val="000000"/>
          <w:position w:val="0"/>
        </w:rPr>
        <w:t>Дети с легкой степенью выраженности митрального стеноза обычно не нуждаются в постоянной медика</w:t>
        <w:softHyphen/>
        <w:t>ментозной терапии. Они должны каждый год прохо</w:t>
        <w:softHyphen/>
        <w:t>дить обследование, включающее осмотр кардиолога, рентгенографию органов грудной клетки, ЭКГ и эхо</w:t>
        <w:softHyphen/>
        <w:t>кардиографию, включая допплеровское исследование. Такие больные десятилетиями остаются стабильными до того времени, пока митральный стеноз не начинает по каким-либо причинам прогрессировать и больному необходимо делать хирургическую операцию.</w:t>
      </w:r>
      <w:r>
        <w:br w:type="page"/>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появлении симптомов сердечной недостаточно</w:t>
        <w:softHyphen/>
        <w:t>сти назначают петлевые диуретики с одновременным приемом препаратов калия. Назначение дигоксина может улучшить состояние больных с признаками ле</w:t>
        <w:softHyphen/>
        <w:t>гочной гипертензии. Этот препарат может улучшить также гемодинамику в правом желудочке.</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возникновении нарушения ритма сердца назна</w:t>
        <w:softHyphen/>
        <w:t>чают антиаритмические препараты.</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Больным с хроническими предсердными тахиарит</w:t>
        <w:softHyphen/>
        <w:t>миями обязательно в комплексную терапию назнача</w:t>
        <w:softHyphen/>
        <w:t>ют антикоагулянты.</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Хирургическое 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Выбор метода проведения хирургического лечения зави</w:t>
        <w:softHyphen/>
        <w:t>сит от состояния митрального клапана и этиологии процесса.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Восстановление формы створок митрального клапана может осуществляться путем реконструкции клапана или его замены протезом.</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Реконструкция клапана:</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Комиссуротомия, заключающаяся в рассечении сросшихся краев створок митрального клапана.</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Рассечение укороченных хорд митрального клапана и папиллярных мышц для предотвращения подкла</w:t>
        <w:softHyphen/>
        <w:t>панного стеноза.</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Резекция надклапанного образования, препятствующе</w:t>
        <w:softHyphen/>
        <w:t>го нормальному кровотоку через митральный клапан.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Протезирование митрального клапана механическим протезом или биопротезом:</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Данная операция подходит пациентам с тяжелым по</w:t>
        <w:softHyphen/>
        <w:t>ражением митрального клапана и выраженным мит</w:t>
        <w:softHyphen/>
        <w:t>ральным стенозом, у которых невозможно восстанов</w:t>
        <w:softHyphen/>
        <w:t>ление собственных створок.</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Протезирование митрального клапана следует избе</w:t>
        <w:softHyphen/>
        <w:t>гать в период новорожденности и в раннем детском возрасте, поскольку очень скоро на фоне роста ре</w:t>
        <w:softHyphen/>
        <w:t>бенка пересаженный клапан становится маленьким по размеру, а также может привести к гипоплазии кольца митрального клапана.</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Дети с врожденным стенозом митрального клапана нередко нуждаются в коррекции сопутствующих ано</w:t>
        <w:softHyphen/>
        <w:t>малий развития сердца, способствующих обструкции левого желудочка, — субаортального стеноза, коарк- тации аорты, гипоплазии дуги аорты.</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Амбулаторное наблюдение</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Больным с врожденным стенозом митрального кла</w:t>
        <w:softHyphen/>
        <w:t>пана необходимо проходить регулярное динамичес</w:t>
        <w:softHyphen/>
        <w:t>кое обследование с частотой, пропорциональной тя</w:t>
        <w:softHyphen/>
        <w:t>жести митрального стеноза.</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Необходимо регулярно наблюдаться у кардиолога для контроля за основными гемодинамическими показа</w:t>
        <w:softHyphen/>
        <w:t>телями, коррекции дозы принимаемых антиаритми</w:t>
        <w:softHyphen/>
        <w:t>ческих препаратов и антикоагулянтов.</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Больные должны проходить регулярное эхокардио</w:t>
        <w:softHyphen/>
        <w:t>графическое обследование для исследования дина</w:t>
        <w:softHyphen/>
        <w:t>мики изменений анатомических и гемодинамических показателей, отражающих прогрессирование мит</w:t>
        <w:softHyphen/>
        <w:t>рального стеноза.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Осложнения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Осложнения при естественном течении порока:</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Отек легких.</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Правожелудочковая недостаточность, которая может прогрессировать до застойной сердечной недостаточ</w:t>
        <w:softHyphen/>
        <w:t>ности.</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Почечная недостаточность в связи с застойной сер</w:t>
        <w:softHyphen/>
        <w:t>дечной недостаточностью.</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Легочная гипертензия.</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Предсердные аритмии, из которых наиболее часто встречается мерцание-трепетание предсердий.</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Образование тромбов в дилатированном левом пред</w:t>
        <w:softHyphen/>
        <w:t>сердии.</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Эмболизация сосудов головного мозга.</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Дисфагия из-за сдавления пищевода увеличенным левым предсердием.</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Осложнения медикаментозного лечения:</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Диуретики могут провоцировать развитие дегидрата</w:t>
        <w:softHyphen/>
        <w:t>ции у больного в связи со снижением венозного воз</w:t>
        <w:softHyphen/>
        <w:t>врата в сердце из-за уменьшения объема циркулиру</w:t>
        <w:softHyphen/>
        <w:t>ющей крови. Это может вызвать почечную и надпо</w:t>
        <w:softHyphen/>
        <w:t>чечниковую недостаточность.</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Терапия антикоагулянтами может провоцировать кровотечения (наиболее часто внутричерепные кро</w:t>
        <w:softHyphen/>
        <w:t>вотечения и гастроинтестинальные кровотечения).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Осложнения хирургического лечения:</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Митральная комиссуротомия может вызвать посто</w:t>
        <w:softHyphen/>
        <w:t>перационную митральную регургитацию, которая может даже потребовать проведения операции транс</w:t>
        <w:softHyphen/>
        <w:t>плантации митрального клапана.</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Проведение операции трансплантации митрального клапана может повлечь за собой осложнения, связан</w:t>
        <w:softHyphen/>
        <w:t>ные с необходимостью длительного приема антикоа</w:t>
        <w:softHyphen/>
        <w:t>гулянтов, тромбозом клапанов, неправильной рабо</w:t>
        <w:softHyphen/>
        <w:t>той клапана, инфекционным эндокардитом, пораже</w:t>
        <w:softHyphen/>
        <w:t>нием створок пересаженного клапана и эмболичес</w:t>
        <w:softHyphen/>
        <w:t>кими осложнениями.</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Осложнения, вызванные проведением баллонной валь- вулопластики:</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Безопасность проведения данной процедуры зависит в первую очередь от морфологического состояния митрального аппарата и от опытности врача, прово</w:t>
        <w:softHyphen/>
        <w:t>дящего данную процедуру. Количество форм врож</w:t>
        <w:softHyphen/>
        <w:t>денного митрального стеноза, при которых возможно и рекомендуется проведение баллонной вальвулото- мии, не так велико. При наличии у больного мит</w:t>
        <w:softHyphen/>
        <w:t>ральной регургитации среднетяжелой или тяжелой степени баллонная вальвулотомия не показана.</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Наиболее частым осложнением баллонной вальвулоп- ластики митрального клапана при митральном стено</w:t>
        <w:softHyphen/>
        <w:t>зе является появление митральной регургитации.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Прогноз</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Новорожденные с тяжелой степенью врожденного митрального стеноза, не получающие соответствую</w:t>
        <w:softHyphen/>
        <w:t>щего лечения, имеют плохой прогноз для жизни. Хи</w:t>
        <w:softHyphen/>
        <w:t>рургические интервенции при наличии митрального стеноза производятся только при наличии показа</w:t>
        <w:softHyphen/>
        <w:t>ний, и их стараются проводить как можно позже. Им</w:t>
        <w:softHyphen/>
        <w:t>плантация механического протеза митрального кла</w:t>
        <w:softHyphen/>
        <w:t>пана у младенцев и детей младшего возраста является процедурой, связанной с высоким риском для жизни, и имеет серьезный прогноз для жизни.</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Переносимость операции и отдаленные результаты оперативного лечения у больных с митральным сте</w:t>
        <w:softHyphen/>
        <w:t>нозом крайне вариабельны и зависят во многом от состояния легочной гемодинамики.</w:t>
      </w:r>
    </w:p>
    <w:p>
      <w:pPr>
        <w:pStyle w:val="Style30"/>
        <w:numPr>
          <w:ilvl w:val="0"/>
          <w:numId w:val="57"/>
        </w:numPr>
        <w:tabs>
          <w:tab w:leader="none" w:pos="516" w:val="left"/>
        </w:tabs>
        <w:widowControl w:val="0"/>
        <w:keepNext w:val="0"/>
        <w:keepLines w:val="0"/>
        <w:shd w:val="clear" w:color="auto" w:fill="auto"/>
        <w:bidi w:val="0"/>
        <w:spacing w:before="0" w:after="0"/>
        <w:ind w:left="500" w:right="0" w:hanging="220"/>
      </w:pPr>
      <w:r>
        <w:pict>
          <v:shape id="_x0000_s1304" type="#_x0000_t75" style="position:absolute;margin-left:147.95pt;margin-top:737.05pt;width:209.75pt;height:14.9pt;z-index:-125829192;mso-wrap-distance-left:147.6pt;mso-wrap-distance-right:136.55pt;mso-wrap-distance-bottom:10.8pt;mso-position-horizontal-relative:margin;mso-position-vertical-relative:margin" wrapcoords="0 0 21600 0 21600 21600 0 21600 0 0">
            <v:imagedata r:id="rId456" r:href="rId457"/>
            <w10:wrap type="topAndBottom" anchorx="margin" anchory="margin"/>
          </v:shape>
        </w:pict>
      </w:r>
      <w:r>
        <w:rPr>
          <w:lang w:val="ru-RU" w:eastAsia="ru-RU" w:bidi="ru-RU"/>
          <w:w w:val="100"/>
          <w:spacing w:val="0"/>
          <w:color w:val="000000"/>
          <w:position w:val="0"/>
        </w:rPr>
        <w:t>У подростков, находящихся в сохранном состоянии и не имеющих сопутствующих заболеваний, ослож-</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няющих течение митрального стеноза, летальность при проведении протезирования митрального клапа</w:t>
        <w:softHyphen/>
        <w:t>на составляет чуть меньше 5%.</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Профилактика</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Антибиотикопрофилактика проводится всем боль</w:t>
        <w:softHyphen/>
        <w:t>ным, у которых есть риск возникновения инфекци</w:t>
        <w:softHyphen/>
        <w:t>онного эндокардита. Антибиотики назначаются пе</w:t>
        <w:softHyphen/>
        <w:t>ред проведением процедур, которые могут вызвать бактериемию.</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Следует избегать приема избыточного количества по - варенной соли, поскольку это может вызвать увели</w:t>
        <w:softHyphen/>
        <w:t>чение объема циркулирующей крови и усугубить со</w:t>
        <w:softHyphen/>
        <w:t>стояние пациента.</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то же время нельзя чрезмерно увлекаться мочегон</w:t>
        <w:softHyphen/>
        <w:t>ной терапией, поскольку избыточное употребление диуретиков может снизить венозный возврат в серд</w:t>
        <w:softHyphen/>
        <w:t>це, левожелудочковый выброс и также усугубить со</w:t>
        <w:softHyphen/>
        <w:t>стояние больного.</w:t>
      </w:r>
    </w:p>
    <w:p>
      <w:pPr>
        <w:pStyle w:val="Style30"/>
        <w:numPr>
          <w:ilvl w:val="0"/>
          <w:numId w:val="57"/>
        </w:numPr>
        <w:tabs>
          <w:tab w:leader="none" w:pos="516" w:val="left"/>
        </w:tabs>
        <w:widowControl w:val="0"/>
        <w:keepNext w:val="0"/>
        <w:keepLines w:val="0"/>
        <w:shd w:val="clear" w:color="auto" w:fill="auto"/>
        <w:bidi w:val="0"/>
        <w:spacing w:before="0" w:after="237"/>
        <w:ind w:left="520" w:right="0" w:hanging="240"/>
      </w:pPr>
      <w:r>
        <w:rPr>
          <w:lang w:val="ru-RU" w:eastAsia="ru-RU" w:bidi="ru-RU"/>
          <w:w w:val="100"/>
          <w:spacing w:val="0"/>
          <w:color w:val="000000"/>
          <w:position w:val="0"/>
        </w:rPr>
        <w:t>Больным следует избегать занятий спортом и других повышенных физических нагрузок, поскольку на фо</w:t>
        <w:softHyphen/>
        <w:t>не терапии антикоагулянтами это может вызвать и часто вызывает церебральное, селезеночное, почеч</w:t>
        <w:softHyphen/>
        <w:t>ное и другие кровотечения.</w:t>
      </w:r>
    </w:p>
    <w:p>
      <w:pPr>
        <w:pStyle w:val="Style28"/>
        <w:widowControl w:val="0"/>
        <w:keepNext/>
        <w:keepLines/>
        <w:shd w:val="clear" w:color="auto" w:fill="auto"/>
        <w:bidi w:val="0"/>
        <w:jc w:val="left"/>
        <w:spacing w:before="0" w:after="153" w:line="220" w:lineRule="exact"/>
        <w:ind w:left="0" w:right="0" w:firstLine="0"/>
      </w:pPr>
      <w:bookmarkStart w:id="399" w:name="bookmark399"/>
      <w:r>
        <w:rPr>
          <w:lang w:val="ru-RU" w:eastAsia="ru-RU" w:bidi="ru-RU"/>
          <w:w w:val="100"/>
          <w:spacing w:val="0"/>
          <w:color w:val="000000"/>
          <w:position w:val="0"/>
        </w:rPr>
        <w:t>Пролапс митрального клапана</w:t>
      </w:r>
      <w:bookmarkEnd w:id="399"/>
    </w:p>
    <w:p>
      <w:pPr>
        <w:pStyle w:val="Style92"/>
        <w:widowControl w:val="0"/>
        <w:keepNext/>
        <w:keepLines/>
        <w:shd w:val="clear" w:color="auto" w:fill="auto"/>
        <w:bidi w:val="0"/>
        <w:spacing w:before="0" w:after="0"/>
        <w:ind w:left="0" w:right="0" w:firstLine="280"/>
      </w:pPr>
      <w:bookmarkStart w:id="400" w:name="bookmark400"/>
      <w:r>
        <w:rPr>
          <w:lang w:val="ru-RU" w:eastAsia="ru-RU" w:bidi="ru-RU"/>
          <w:w w:val="100"/>
          <w:spacing w:val="0"/>
          <w:color w:val="000000"/>
          <w:position w:val="0"/>
        </w:rPr>
        <w:t>Введение</w:t>
      </w:r>
      <w:bookmarkEnd w:id="40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Пролапс митрального клапана (ПМК) занимает ведущее место в структуре сердечно-сосудистых заболеваний дет</w:t>
        <w:softHyphen/>
        <w:t>ского возраста. Термин этот означает прогибание, выбуха</w:t>
        <w:softHyphen/>
        <w:t>ние створок клапана в полость левого предсердия во время систолы левого желудочка. Внедрение при обследовании детей эхокардиографии способствовало выявлению фено</w:t>
        <w:softHyphen/>
        <w:t>мена пролабирования даже в случаях отсутствия характер</w:t>
        <w:softHyphen/>
        <w:t>ных аускультативных изменений (так называемые «псевдо» ПМК, «немые» ПМК).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Все варианты ПМК разделяют на первичные (идиопати</w:t>
        <w:softHyphen/>
        <w:t>ческие) и вторичные. Первичным ПМК обозначают такое состояние аппарата митрального клапана, при котором прогибание створок в левое предсердие не связано с каким- либо системным заболеванием соединительной ткани, ли</w:t>
        <w:softHyphen/>
        <w:t>бо с заболеваниями сердца, приводящими к уменьшению полости левого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Вторичные ПМК могут быть обусловлены разнообраз</w:t>
        <w:softHyphen/>
        <w:t>ными причинами: болезнями соединительной ткани (синдромы Марфана, Элерса-Данлоса, эластической псевдоксантомы и др.), при которых происходят накопле</w:t>
        <w:softHyphen/>
        <w:t>ние в строме клапана кислых мукополисахаридов, миксо- матозная трансформация створок, хорд, дилатация атри</w:t>
        <w:softHyphen/>
        <w:t>овентрикулярного кольца; заболеваниями сердца (врож</w:t>
        <w:softHyphen/>
        <w:t>денные пороки, аномалии коронарного кровообращения, болезни миокарда, аритмии и др.), при которых пролаби- рование створок обусловлено нарушением последова</w:t>
        <w:softHyphen/>
        <w:t>тельной контракции и (или) релаксации стенок левого желудочка либо возникновением клапанно-желудочко</w:t>
        <w:softHyphen/>
        <w:t>вой диспропорции, нейроэндокринными, психоэмоцио</w:t>
        <w:softHyphen/>
        <w:t>нальными и метаболическими нарушениями (мигрень, тиреотоксикоз, вегетососудистая дистония, неврозы, ис</w:t>
        <w:softHyphen/>
        <w:t>терия, страхи, нервная анорексия и др.). Основное значе</w:t>
        <w:softHyphen/>
        <w:t>ние при этом имеют нарушения вегетативной иннерва</w:t>
        <w:softHyphen/>
        <w:t>ции створок митрального клапана и подклапанного аппа</w:t>
        <w:softHyphen/>
        <w:t>рата.</w:t>
      </w:r>
    </w:p>
    <w:p>
      <w:pPr>
        <w:pStyle w:val="Style92"/>
        <w:widowControl w:val="0"/>
        <w:keepNext/>
        <w:keepLines/>
        <w:shd w:val="clear" w:color="auto" w:fill="auto"/>
        <w:bidi w:val="0"/>
        <w:spacing w:before="0" w:after="0"/>
        <w:ind w:left="0" w:right="0" w:firstLine="280"/>
      </w:pPr>
      <w:r>
        <w:br w:type="column"/>
      </w:r>
      <w:bookmarkStart w:id="401" w:name="bookmark401"/>
      <w:r>
        <w:rPr>
          <w:lang w:val="ru-RU" w:eastAsia="ru-RU" w:bidi="ru-RU"/>
          <w:w w:val="100"/>
          <w:spacing w:val="0"/>
          <w:color w:val="000000"/>
          <w:position w:val="0"/>
        </w:rPr>
        <w:t>Краткая историческая справка</w:t>
      </w:r>
      <w:bookmarkEnd w:id="401"/>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Cuffer </w:t>
      </w:r>
      <w:r>
        <w:rPr>
          <w:lang w:val="ru-RU" w:eastAsia="ru-RU" w:bidi="ru-RU"/>
          <w:w w:val="100"/>
          <w:spacing w:val="0"/>
          <w:color w:val="000000"/>
          <w:position w:val="0"/>
        </w:rPr>
        <w:t xml:space="preserve">и </w:t>
      </w:r>
      <w:r>
        <w:rPr>
          <w:lang w:val="en-US" w:eastAsia="en-US" w:bidi="en-US"/>
          <w:w w:val="100"/>
          <w:spacing w:val="0"/>
          <w:color w:val="000000"/>
          <w:position w:val="0"/>
        </w:rPr>
        <w:t xml:space="preserve">Borbillon </w:t>
      </w:r>
      <w:r>
        <w:rPr>
          <w:lang w:val="ru-RU" w:eastAsia="ru-RU" w:bidi="ru-RU"/>
          <w:w w:val="100"/>
          <w:spacing w:val="0"/>
          <w:color w:val="000000"/>
          <w:position w:val="0"/>
        </w:rPr>
        <w:t>в 1887 году первыми описали аус</w:t>
        <w:softHyphen/>
        <w:t>культативный феномен среднесистолических щелч</w:t>
        <w:softHyphen/>
        <w:t>ков (кликов), не связанных с изгнанием крови.</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Griffith </w:t>
      </w:r>
      <w:r>
        <w:rPr>
          <w:lang w:val="ru-RU" w:eastAsia="ru-RU" w:bidi="ru-RU"/>
          <w:w w:val="100"/>
          <w:spacing w:val="0"/>
          <w:color w:val="000000"/>
          <w:position w:val="0"/>
        </w:rPr>
        <w:t>в 1892 году отметил, что апикальный позднеси</w:t>
        <w:softHyphen/>
        <w:t>столический шум означает митральную регургитацию.</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J. Reid </w:t>
      </w:r>
      <w:r>
        <w:rPr>
          <w:lang w:val="ru-RU" w:eastAsia="ru-RU" w:bidi="ru-RU"/>
          <w:w w:val="100"/>
          <w:spacing w:val="0"/>
          <w:color w:val="000000"/>
          <w:position w:val="0"/>
        </w:rPr>
        <w:t>в 1961 году убедительно показал, что среднеси</w:t>
        <w:softHyphen/>
        <w:t>столические щелчки связаны с тугим натяжением предварительно расслабленных хорд.</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Непосредственная причина систолических щелчков и позднего шума стала известной только после работ </w:t>
      </w:r>
      <w:r>
        <w:rPr>
          <w:lang w:val="en-US" w:eastAsia="en-US" w:bidi="en-US"/>
          <w:w w:val="100"/>
          <w:spacing w:val="0"/>
          <w:color w:val="000000"/>
          <w:position w:val="0"/>
        </w:rPr>
        <w:t xml:space="preserve">J. Barlow </w:t>
      </w:r>
      <w:r>
        <w:rPr>
          <w:lang w:val="ru-RU" w:eastAsia="ru-RU" w:bidi="ru-RU"/>
          <w:w w:val="100"/>
          <w:spacing w:val="0"/>
          <w:color w:val="000000"/>
          <w:position w:val="0"/>
        </w:rPr>
        <w:t>с коллегами. Авторы, проводившие в 1963</w:t>
        <w:softHyphen/>
        <w:t>1968 гг. ангиографическое обследование больных с указанной звуковой симптоматикой, впервые обна</w:t>
        <w:softHyphen/>
        <w:t>ружили, что створки митрального клапана своеобраз</w:t>
        <w:softHyphen/>
        <w:t>но провисают в полость левого предсердия во время систолы левого желудочка. Такое сочетание систоли</w:t>
        <w:softHyphen/>
        <w:t>ческого шума и щелчков с баллоновидной деформа</w:t>
        <w:softHyphen/>
        <w:t>цией створок митрального клапана и характерными электрокардиографическими проявлениями авторы обозначили аускультативно-электрокардиографичес</w:t>
        <w:softHyphen/>
        <w:t>ким синдромом.</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последующих исследованиях его стали обозначать различными терминами: «синдром щелчка», «синд</w:t>
        <w:softHyphen/>
        <w:t>ром хлопающего клапана», «синдром щелчка и шу</w:t>
        <w:softHyphen/>
        <w:t>ма», «синдром аневризматического прогибания мит</w:t>
        <w:softHyphen/>
        <w:t xml:space="preserve">рального клапана», «синдром </w:t>
      </w:r>
      <w:r>
        <w:rPr>
          <w:lang w:val="en-US" w:eastAsia="en-US" w:bidi="en-US"/>
          <w:w w:val="100"/>
          <w:spacing w:val="0"/>
          <w:color w:val="000000"/>
          <w:position w:val="0"/>
        </w:rPr>
        <w:t xml:space="preserve">Barlow», </w:t>
      </w:r>
      <w:r>
        <w:rPr>
          <w:lang w:val="ru-RU" w:eastAsia="ru-RU" w:bidi="ru-RU"/>
          <w:w w:val="100"/>
          <w:spacing w:val="0"/>
          <w:color w:val="000000"/>
          <w:position w:val="0"/>
        </w:rPr>
        <w:t>синдром Энг</w:t>
        <w:softHyphen/>
        <w:t>ла и др.</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Термин «пролапс митрального клапана», получив - ший в настоящее время наибольшее распростране</w:t>
        <w:softHyphen/>
        <w:t xml:space="preserve">ние, впервые предложен </w:t>
      </w:r>
      <w:r>
        <w:rPr>
          <w:lang w:val="en-US" w:eastAsia="en-US" w:bidi="en-US"/>
          <w:w w:val="100"/>
          <w:spacing w:val="0"/>
          <w:color w:val="000000"/>
          <w:position w:val="0"/>
        </w:rPr>
        <w:t>J. Criley.</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ПМК у детей колеблется от 2 до 16% и зави</w:t>
        <w:softHyphen/>
        <w:t>сит от метода его выявления (аускультация, фонокар</w:t>
        <w:softHyphen/>
        <w:t>диография, эхокардиография).</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обнаружения ПМК увеличивается с возрас</w:t>
        <w:softHyphen/>
        <w:t>том. Чаще всего он выявляется в возрасте 7-15 лет.</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новорожденных синдром ПМК встречается казуис</w:t>
        <w:softHyphen/>
        <w:t>тически редко.</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с различной кардиальной патологией ПМК обнаруживается в 10-23% случаев, достигает высоких значений при наследственных заболеваниях соеди</w:t>
        <w:softHyphen/>
        <w:t>нительной ткани.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до 10 лет пролапс митрального клапана встреча</w:t>
        <w:softHyphen/>
        <w:t>ется примерно одинаково часто у мальчиков и девочек, старше 10 лет — значительно чаще обнаруживается у дево</w:t>
        <w:softHyphen/>
        <w:t>чек в соотношении 2:1.</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Этиология</w:t>
      </w:r>
    </w:p>
    <w:p>
      <w:pPr>
        <w:pStyle w:val="Style30"/>
        <w:numPr>
          <w:ilvl w:val="0"/>
          <w:numId w:val="57"/>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Врожденные аномалии (в том числе микроаномалии) развития клапана</w:t>
      </w:r>
    </w:p>
    <w:p>
      <w:pPr>
        <w:pStyle w:val="Style30"/>
        <w:numPr>
          <w:ilvl w:val="0"/>
          <w:numId w:val="57"/>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Теория врожденных микроаномалий архитектуры створок, хорд и атриовентрикулярного кольца, ко</w:t>
        <w:softHyphen/>
        <w:t>торые со временем из-за повторяющихся микро</w:t>
        <w:softHyphen/>
        <w:t>травм на фоне гемодинамических воздействий ста</w:t>
        <w:softHyphen/>
        <w:t>новятся более выраженными, сопровождаясь из</w:t>
        <w:softHyphen/>
        <w:t xml:space="preserve">быточной продукцией в строме клапана коллагена преимущественно </w:t>
      </w:r>
      <w:r>
        <w:rPr>
          <w:lang w:val="en-US" w:eastAsia="en-US" w:bidi="en-US"/>
          <w:w w:val="100"/>
          <w:spacing w:val="0"/>
          <w:color w:val="000000"/>
          <w:position w:val="0"/>
        </w:rPr>
        <w:t xml:space="preserve">III </w:t>
      </w:r>
      <w:r>
        <w:rPr>
          <w:lang w:val="ru-RU" w:eastAsia="ru-RU" w:bidi="ru-RU"/>
          <w:w w:val="100"/>
          <w:spacing w:val="0"/>
          <w:color w:val="000000"/>
          <w:position w:val="0"/>
        </w:rPr>
        <w:t>типа.</w:t>
      </w:r>
    </w:p>
    <w:p>
      <w:pPr>
        <w:pStyle w:val="Style30"/>
        <w:numPr>
          <w:ilvl w:val="0"/>
          <w:numId w:val="57"/>
        </w:numPr>
        <w:tabs>
          <w:tab w:leader="none" w:pos="755" w:val="left"/>
        </w:tabs>
        <w:widowControl w:val="0"/>
        <w:keepNext w:val="0"/>
        <w:keepLines w:val="0"/>
        <w:shd w:val="clear" w:color="auto" w:fill="auto"/>
        <w:bidi w:val="0"/>
        <w:spacing w:before="0" w:after="0"/>
        <w:ind w:left="740" w:right="0" w:hanging="220"/>
      </w:pPr>
      <w:r>
        <w:pict>
          <v:shape id="_x0000_s1305" type="#_x0000_t75" style="position:absolute;margin-left:136.8pt;margin-top:737.05pt;width:209.75pt;height:14.9pt;z-index:-125829191;mso-wrap-distance-left:136.8pt;mso-wrap-distance-right:148.1pt;mso-wrap-distance-bottom:10.8pt;mso-position-horizontal-relative:margin;mso-position-vertical-relative:margin" wrapcoords="0 0 21600 0 21600 21600 0 21600 0 0">
            <v:imagedata r:id="rId458" r:href="rId459"/>
            <w10:wrap type="topAndBottom" anchorx="margin" anchory="margin"/>
          </v:shape>
        </w:pict>
      </w:r>
      <w:r>
        <w:rPr>
          <w:lang w:val="ru-RU" w:eastAsia="ru-RU" w:bidi="ru-RU"/>
          <w:w w:val="100"/>
          <w:spacing w:val="0"/>
          <w:color w:val="000000"/>
          <w:position w:val="0"/>
        </w:rPr>
        <w:t>Теория первичного дефекта развития соедини</w:t>
        <w:softHyphen/>
        <w:t>тельнотканного аппарата митрального клапана, последняя сочетается с повышением числа стигм дизэмбриогенеза.</w:t>
      </w:r>
      <w:r>
        <w:br w:type="page"/>
      </w:r>
    </w:p>
    <w:p>
      <w:pPr>
        <w:pStyle w:val="Style30"/>
        <w:numPr>
          <w:ilvl w:val="0"/>
          <w:numId w:val="57"/>
        </w:numPr>
        <w:tabs>
          <w:tab w:leader="none" w:pos="739"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Подтверждением теории врожденных микроано</w:t>
        <w:softHyphen/>
        <w:t>малий митрального клапана является высокая час</w:t>
        <w:softHyphen/>
        <w:t>тота обнаружения нарушенного распределения су</w:t>
        <w:softHyphen/>
        <w:t>хожильных хорд к митральным створкам, ано</w:t>
        <w:softHyphen/>
        <w:t>мальных хорд в левом желудочке.</w:t>
      </w:r>
    </w:p>
    <w:p>
      <w:pPr>
        <w:pStyle w:val="Style30"/>
        <w:numPr>
          <w:ilvl w:val="0"/>
          <w:numId w:val="57"/>
        </w:numPr>
        <w:tabs>
          <w:tab w:leader="none" w:pos="739"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 xml:space="preserve">Некоторые врожденные аномалии приводят к про - лапсу митральных створок, сопровождающемуся митральной регургитацией. Например, тяжелый пролапс митрального клапана </w:t>
      </w:r>
      <w:r>
        <w:rPr>
          <w:lang w:val="en-US" w:eastAsia="en-US" w:bidi="en-US"/>
          <w:w w:val="100"/>
          <w:spacing w:val="0"/>
          <w:color w:val="000000"/>
          <w:position w:val="0"/>
        </w:rPr>
        <w:t xml:space="preserve">c </w:t>
      </w:r>
      <w:r>
        <w:rPr>
          <w:lang w:val="ru-RU" w:eastAsia="ru-RU" w:bidi="ru-RU"/>
          <w:w w:val="100"/>
          <w:spacing w:val="0"/>
          <w:color w:val="000000"/>
          <w:position w:val="0"/>
        </w:rPr>
        <w:t>голосистоличес</w:t>
        <w:softHyphen/>
        <w:t>ким шумом и митральной регургитацией наблюда</w:t>
        <w:softHyphen/>
        <w:t>ется при отсутствии комиссуральных сухожильных нитей митрального клапана.</w:t>
      </w:r>
    </w:p>
    <w:p>
      <w:pPr>
        <w:pStyle w:val="Style30"/>
        <w:numPr>
          <w:ilvl w:val="0"/>
          <w:numId w:val="57"/>
        </w:numPr>
        <w:tabs>
          <w:tab w:leader="none" w:pos="739"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Врожденная митральная недостаточность с большим пролапсом наблюдается при аннулярной эктазии.</w:t>
      </w:r>
    </w:p>
    <w:p>
      <w:pPr>
        <w:pStyle w:val="Style30"/>
        <w:numPr>
          <w:ilvl w:val="0"/>
          <w:numId w:val="57"/>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Миксоматозная трансформация створок клапана:</w:t>
      </w:r>
    </w:p>
    <w:p>
      <w:pPr>
        <w:pStyle w:val="Style30"/>
        <w:numPr>
          <w:ilvl w:val="0"/>
          <w:numId w:val="57"/>
        </w:numPr>
        <w:tabs>
          <w:tab w:leader="none" w:pos="739"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Миксоматозную трансформацию связывают с не</w:t>
        <w:softHyphen/>
        <w:t>специфической реакцией соединительнотканных структур клапана на какой-либо патологический процесс.</w:t>
      </w:r>
    </w:p>
    <w:p>
      <w:pPr>
        <w:pStyle w:val="Style30"/>
        <w:numPr>
          <w:ilvl w:val="0"/>
          <w:numId w:val="57"/>
        </w:numPr>
        <w:tabs>
          <w:tab w:leader="none" w:pos="739"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Миксоматоз может быть результатом незавершен</w:t>
        <w:softHyphen/>
        <w:t>ной дифференцировки тканей клапана, когда на ранней эмбриональной стадии ослабевает влияние факторов, стимулирующих его развитие.</w:t>
      </w:r>
    </w:p>
    <w:p>
      <w:pPr>
        <w:pStyle w:val="Style30"/>
        <w:numPr>
          <w:ilvl w:val="0"/>
          <w:numId w:val="57"/>
        </w:numPr>
        <w:tabs>
          <w:tab w:leader="none" w:pos="739"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Миксоматоз может быть наследственно детерми</w:t>
        <w:softHyphen/>
        <w:t>нированным.</w:t>
      </w:r>
    </w:p>
    <w:p>
      <w:pPr>
        <w:pStyle w:val="Style30"/>
        <w:numPr>
          <w:ilvl w:val="0"/>
          <w:numId w:val="57"/>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«Миокардиальная» теория возникновения ПМК ос</w:t>
        <w:softHyphen/>
        <w:t>нована на том, что у больных с пролабированием створок обнаруживают при ангиографических иссле</w:t>
        <w:softHyphen/>
        <w:t>дованиях изменения левожелудочковой контракции и релаксации следующих типов:</w:t>
      </w:r>
    </w:p>
    <w:p>
      <w:pPr>
        <w:pStyle w:val="Style30"/>
        <w:numPr>
          <w:ilvl w:val="0"/>
          <w:numId w:val="57"/>
        </w:numPr>
        <w:tabs>
          <w:tab w:leader="none" w:pos="739"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«Песочные часы».</w:t>
      </w:r>
    </w:p>
    <w:p>
      <w:pPr>
        <w:pStyle w:val="Style30"/>
        <w:numPr>
          <w:ilvl w:val="0"/>
          <w:numId w:val="57"/>
        </w:numPr>
        <w:tabs>
          <w:tab w:leader="none" w:pos="739"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Нижне-базальная гипокинезия.</w:t>
      </w:r>
    </w:p>
    <w:p>
      <w:pPr>
        <w:pStyle w:val="Style30"/>
        <w:numPr>
          <w:ilvl w:val="0"/>
          <w:numId w:val="57"/>
        </w:numPr>
        <w:tabs>
          <w:tab w:leader="none" w:pos="739"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Неадекватное укорочение длинной оси левого же</w:t>
        <w:softHyphen/>
        <w:t>лудочка.</w:t>
      </w:r>
    </w:p>
    <w:p>
      <w:pPr>
        <w:pStyle w:val="Style30"/>
        <w:numPr>
          <w:ilvl w:val="0"/>
          <w:numId w:val="57"/>
        </w:numPr>
        <w:tabs>
          <w:tab w:leader="none" w:pos="739"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Аномальное сокращение левого желудочка по типу «нога балерины».</w:t>
      </w:r>
    </w:p>
    <w:p>
      <w:pPr>
        <w:pStyle w:val="Style30"/>
        <w:numPr>
          <w:ilvl w:val="0"/>
          <w:numId w:val="57"/>
        </w:numPr>
        <w:tabs>
          <w:tab w:leader="none" w:pos="739"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Гиперкинетическое сокращение.</w:t>
      </w:r>
    </w:p>
    <w:p>
      <w:pPr>
        <w:pStyle w:val="Style30"/>
        <w:numPr>
          <w:ilvl w:val="0"/>
          <w:numId w:val="57"/>
        </w:numPr>
        <w:tabs>
          <w:tab w:leader="none" w:pos="739"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Преждевременная релаксация передней стенки левого желудочка.</w:t>
      </w:r>
    </w:p>
    <w:p>
      <w:pPr>
        <w:pStyle w:val="Style30"/>
        <w:widowControl w:val="0"/>
        <w:keepNext w:val="0"/>
        <w:keepLines w:val="0"/>
        <w:shd w:val="clear" w:color="auto" w:fill="auto"/>
        <w:bidi w:val="0"/>
        <w:jc w:val="right"/>
        <w:spacing w:before="0" w:after="0"/>
        <w:ind w:left="0" w:right="0" w:firstLine="0"/>
      </w:pPr>
      <w:r>
        <w:rPr>
          <w:lang w:val="ru-RU" w:eastAsia="ru-RU" w:bidi="ru-RU"/>
          <w:w w:val="100"/>
          <w:spacing w:val="0"/>
          <w:color w:val="000000"/>
          <w:position w:val="0"/>
        </w:rPr>
        <w:t>Возникновение вторичного пролапса митрального клапа</w:t>
        <w:softHyphen/>
        <w:t>на связывают со следующими патологическими состояниями:</w:t>
      </w:r>
    </w:p>
    <w:p>
      <w:pPr>
        <w:pStyle w:val="Style30"/>
        <w:numPr>
          <w:ilvl w:val="0"/>
          <w:numId w:val="57"/>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Наследственная патология соединительной ткани (синдром Марфана, Элерса-Данлоса, эластической псевдоксантомы и др.). Генетически детерминиро</w:t>
        <w:softHyphen/>
        <w:t>ванный дефект синтеза коллагеновых и эластических структур.</w:t>
      </w:r>
    </w:p>
    <w:p>
      <w:pPr>
        <w:pStyle w:val="Style30"/>
        <w:numPr>
          <w:ilvl w:val="0"/>
          <w:numId w:val="57"/>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Отложение в строме клапана гликозоаминогликанов.</w:t>
      </w:r>
    </w:p>
    <w:p>
      <w:pPr>
        <w:pStyle w:val="Style30"/>
        <w:numPr>
          <w:ilvl w:val="0"/>
          <w:numId w:val="57"/>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Клапанно-желудочковая диспропорция.</w:t>
      </w:r>
    </w:p>
    <w:p>
      <w:pPr>
        <w:pStyle w:val="Style30"/>
        <w:numPr>
          <w:ilvl w:val="0"/>
          <w:numId w:val="57"/>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Состояния, когда митральный клапан является слишком большим для желудочка или желудочек — слишком маленьким для клапана.</w:t>
      </w:r>
    </w:p>
    <w:p>
      <w:pPr>
        <w:pStyle w:val="Style30"/>
        <w:numPr>
          <w:ilvl w:val="0"/>
          <w:numId w:val="57"/>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Врожденные пороки сердца, сопровождающиеся «недогрузкой» левых отделов сердца: аномалия Эб</w:t>
        <w:softHyphen/>
        <w:t>штейна, атриовентрикулярная коммуникация, де</w:t>
        <w:softHyphen/>
        <w:t>фект межпредсердной перегородки, аномальный дре</w:t>
        <w:softHyphen/>
        <w:t>наж легочных вен и др.</w:t>
      </w:r>
    </w:p>
    <w:p>
      <w:pPr>
        <w:pStyle w:val="Style30"/>
        <w:numPr>
          <w:ilvl w:val="0"/>
          <w:numId w:val="57"/>
        </w:numPr>
        <w:tabs>
          <w:tab w:leader="none" w:pos="520" w:val="left"/>
        </w:tabs>
        <w:widowControl w:val="0"/>
        <w:keepNext w:val="0"/>
        <w:keepLines w:val="0"/>
        <w:shd w:val="clear" w:color="auto" w:fill="auto"/>
        <w:bidi w:val="0"/>
        <w:spacing w:before="0" w:after="180"/>
        <w:ind w:left="500" w:right="0" w:hanging="220"/>
      </w:pPr>
      <w:r>
        <w:rPr>
          <w:lang w:val="ru-RU" w:eastAsia="ru-RU" w:bidi="ru-RU"/>
          <w:w w:val="100"/>
          <w:spacing w:val="0"/>
          <w:color w:val="000000"/>
          <w:position w:val="0"/>
        </w:rPr>
        <w:t>Нейроэндокринные аномалии (гипертиреоз).</w:t>
      </w:r>
    </w:p>
    <w:p>
      <w:pPr>
        <w:pStyle w:val="Style92"/>
        <w:widowControl w:val="0"/>
        <w:keepNext/>
        <w:keepLines/>
        <w:shd w:val="clear" w:color="auto" w:fill="auto"/>
        <w:bidi w:val="0"/>
        <w:spacing w:before="0" w:after="0"/>
        <w:ind w:left="500" w:right="0" w:hanging="220"/>
      </w:pPr>
      <w:bookmarkStart w:id="402" w:name="bookmark402"/>
      <w:r>
        <w:rPr>
          <w:lang w:val="ru-RU" w:eastAsia="ru-RU" w:bidi="ru-RU"/>
          <w:w w:val="100"/>
          <w:spacing w:val="0"/>
          <w:color w:val="000000"/>
          <w:position w:val="0"/>
        </w:rPr>
        <w:t>Анатомия</w:t>
      </w:r>
      <w:bookmarkEnd w:id="402"/>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Выявленные изменения включают:</w:t>
      </w:r>
    </w:p>
    <w:p>
      <w:pPr>
        <w:pStyle w:val="Style30"/>
        <w:numPr>
          <w:ilvl w:val="0"/>
          <w:numId w:val="57"/>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Объемную избыточность, дольчатость и утолщен- ность створок.</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Дилатацию левого атриовентрикулярного кольца.</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Миксоматозную трансформацию клапанных струк</w:t>
        <w:softHyphen/>
        <w:t>тур.</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Отсутствие воспалительных изменений.</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Макроскопически створки выглядят избыточными, «парашютообразными» и имеют характерный блед</w:t>
        <w:softHyphen/>
        <w:t>но-серый оттенок. В процесс вовлекаются обе створ</w:t>
        <w:softHyphen/>
        <w:t>ки с преимущественным поражением задней. Хорды обычно удлинены и истончены, может происходить их фибротическая трансформация и утолщение. Фи</w:t>
        <w:softHyphen/>
        <w:t>брозное кольцо обычно расширено, однако не дости</w:t>
        <w:softHyphen/>
        <w:t>гает больших величин как при болезни Марфана.</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Гистологически при пролапсе митрального клапана в створках определяется большое количество миксо- матозного материала.</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Миксоматозная трансформация характеризуется по</w:t>
        <w:softHyphen/>
        <w:t>вышенным содержанием гиалуроновой кислоты и хондроитинсульфата в строме створок митрального клапана, при этом воспалительный процесс отсут</w:t>
        <w:softHyphen/>
        <w:t>ствует.</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Наряду с избыточным накоплением кислых мукопо</w:t>
        <w:softHyphen/>
        <w:t>лисахаридов в строме клапана определяется значи</w:t>
        <w:softHyphen/>
        <w:t>тельное снижение содержания коллагеновых структур.</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Патофизиология</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Трансформация створок митрального клапана, в нор</w:t>
        <w:softHyphen/>
        <w:t>ме ригидных, в рыхлую миксоматозную ткань и сни</w:t>
        <w:softHyphen/>
        <w:t>жение содержания коллагеновых структур приводит к тому, что в период систолы под влиянием внутриже</w:t>
        <w:softHyphen/>
        <w:t>лудочкового давления створки прогибаются в сторо</w:t>
        <w:softHyphen/>
        <w:t>ну левого предсердия.</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большом прогибании створок развивается мит</w:t>
        <w:softHyphen/>
        <w:t>ральная регургитация, которая, однако, не носит столь выраженного характера, как при органической митральной недостаточности.</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Нормальное функционирование аппарата митраль</w:t>
        <w:softHyphen/>
        <w:t>ного клапана зависит от правильного взаимодействия между различными его элементами, в число которых входят створки клапана, сухожильные нити, папил</w:t>
        <w:softHyphen/>
        <w:t>лярные мышцы, фиброзное кольцо, а также от син</w:t>
        <w:softHyphen/>
        <w:t>хронности сокращений левого предсердия и левого желудочка. Важным патогенетическим фактором, обусловливающим возникновение, а также определя</w:t>
        <w:softHyphen/>
        <w:t>ющим степень пролабирования митрального клапа</w:t>
        <w:softHyphen/>
        <w:t>на, является форма створок клапана. При ПМК об</w:t>
        <w:softHyphen/>
        <w:t>щая площадь клапана значительно превышает нор</w:t>
        <w:softHyphen/>
        <w:t>мальные величины. В то же время чем большую пло</w:t>
        <w:softHyphen/>
        <w:t>щадь занимает клапан, тем он слабее противостоит силам внутрижелудочкового давления.</w:t>
      </w:r>
    </w:p>
    <w:p>
      <w:pPr>
        <w:pStyle w:val="Style30"/>
        <w:numPr>
          <w:ilvl w:val="0"/>
          <w:numId w:val="57"/>
        </w:numPr>
        <w:tabs>
          <w:tab w:leader="none" w:pos="238" w:val="left"/>
        </w:tabs>
        <w:widowControl w:val="0"/>
        <w:keepNext w:val="0"/>
        <w:keepLines w:val="0"/>
        <w:shd w:val="clear" w:color="auto" w:fill="auto"/>
        <w:bidi w:val="0"/>
        <w:spacing w:before="0" w:after="0"/>
        <w:ind w:left="260" w:right="0"/>
      </w:pPr>
      <w:r>
        <w:pict>
          <v:shape id="_x0000_s1306" type="#_x0000_t75" style="position:absolute;margin-left:147.85pt;margin-top:737.05pt;width:209.75pt;height:14.9pt;z-index:-125829190;mso-wrap-distance-left:147.6pt;mso-wrap-distance-right:136.8pt;mso-wrap-distance-bottom:10.8pt;mso-position-horizontal-relative:margin;mso-position-vertical-relative:margin" wrapcoords="0 0 21600 0 21600 21600 0 21600 0 0">
            <v:imagedata r:id="rId460" r:href="rId461"/>
            <w10:wrap type="topAndBottom" anchorx="margin" anchory="margin"/>
          </v:shape>
        </w:pict>
      </w:r>
      <w:r>
        <w:rPr>
          <w:lang w:val="ru-RU" w:eastAsia="ru-RU" w:bidi="ru-RU"/>
          <w:w w:val="100"/>
          <w:spacing w:val="0"/>
          <w:color w:val="000000"/>
          <w:position w:val="0"/>
        </w:rPr>
        <w:t>Митральные створки в норме соприкасаются своими поверхностями так, что одна створка накладывается на другую, чего не наблюдается в полулунных клапа</w:t>
        <w:softHyphen/>
        <w:t>нах. Пролабирование обычно наблюдается в свобод</w:t>
        <w:softHyphen/>
        <w:t>ной части створки, и до тех пор, пока створки касают</w:t>
        <w:softHyphen/>
        <w:t>ся друг друга, митральной регургитации не наблюда</w:t>
        <w:softHyphen/>
        <w:t>ется. Это обусловливает аускультативный феномен изолированных щелчков в сердце. Если пролабирова- ние происходит в области соприкасающихся поверх</w:t>
        <w:softHyphen/>
        <w:t>ностей створок, то даже при небольшой величине прогибания может возникнуть митральная регургита- ция, объем которой определяется величиной расхож</w:t>
        <w:softHyphen/>
        <w:t>дения створок в систолу и степенью расширения ат</w:t>
        <w:softHyphen/>
        <w:t>риовентрикулярного отверстия.</w:t>
      </w:r>
      <w:r>
        <w:br w:type="page"/>
      </w:r>
    </w:p>
    <w:p>
      <w:pPr>
        <w:pStyle w:val="Style30"/>
        <w:numPr>
          <w:ilvl w:val="0"/>
          <w:numId w:val="57"/>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Большую роль в генезе пролабирования створок и митральной недостаточности играет подклапанный аппарат. При удлинении хорды или слабой контрак- тильности папиллярной мышцы створки клапана мо</w:t>
        <w:softHyphen/>
        <w:t>гут в большей степени пролабировать, степень регур- гитации также усилится.</w:t>
      </w:r>
    </w:p>
    <w:p>
      <w:pPr>
        <w:pStyle w:val="Style30"/>
        <w:numPr>
          <w:ilvl w:val="0"/>
          <w:numId w:val="57"/>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Объем левого желудочка в систолу и диастолу, а также частота сердечных сокращений оказывают большое влияние на величину пролабирования створок и мо</w:t>
        <w:softHyphen/>
        <w:t>гут значительно изменять аускультативные и эхокар</w:t>
        <w:softHyphen/>
        <w:t>диографические проявления ПМК.</w:t>
      </w:r>
    </w:p>
    <w:p>
      <w:pPr>
        <w:pStyle w:val="Style30"/>
        <w:numPr>
          <w:ilvl w:val="0"/>
          <w:numId w:val="57"/>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Степень пролабирования находится в обратной зави</w:t>
        <w:softHyphen/>
        <w:t>симости от величины конечно-диастолического объ</w:t>
        <w:softHyphen/>
        <w:t>ема левого желудочка. Слабое натяжение хорд при уменьшении конечно-диастолического объема левого желудочка способствует большей степени пролабиро- вания клапана. Физиологические и патологические со</w:t>
        <w:softHyphen/>
        <w:t>стояния, обусловливающие уменьшение конечно-диа</w:t>
        <w:softHyphen/>
        <w:t>столического объема левого желудочка (тахикардия, гиповолемия, снижение венозного возврата крови), усиливают степень ПМК. Различные факторы, вызы</w:t>
        <w:softHyphen/>
        <w:t>вающие увеличение объема левого желудочка (бради</w:t>
        <w:softHyphen/>
        <w:t>кардия, гиперволемия, увеличение венозного возврата крови), при ПМК могут носить компенсаторный ха</w:t>
        <w:softHyphen/>
        <w:t>рактер, т.к. способствуют натяжению сухожильных хорд и соответственно уменьшают выбухание створок митрального клапана в полость левого предсердия.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numPr>
          <w:ilvl w:val="0"/>
          <w:numId w:val="57"/>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Клинические проявления пролапса митрального кла</w:t>
        <w:softHyphen/>
        <w:t>пана у детей варьируют от минимальных до значи</w:t>
        <w:softHyphen/>
        <w:t>тельных и определяются степенью соединительнот</w:t>
        <w:softHyphen/>
        <w:t>канной дисплазии сердца, вегетативными и психоне</w:t>
        <w:softHyphen/>
        <w:t>врологическими отклонениями.</w:t>
      </w:r>
    </w:p>
    <w:p>
      <w:pPr>
        <w:pStyle w:val="Style30"/>
        <w:numPr>
          <w:ilvl w:val="0"/>
          <w:numId w:val="57"/>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Большинство детей в анамнезе имеют указания на неблагоприятное течение антенатального периода. Осложненное течение беременности у матерей отме</w:t>
        <w:softHyphen/>
        <w:t>чается чаще всего в первые 3 месяца (токсикоз, угро</w:t>
        <w:softHyphen/>
        <w:t>за прерывания, ОРВИ). Именно в этот критический период внутриутробного развития происходит интен</w:t>
        <w:softHyphen/>
        <w:t>сивная дифференцировка тканей, формирование ор</w:t>
        <w:softHyphen/>
        <w:t>ганов, в том числе митрального клапана.</w:t>
      </w:r>
    </w:p>
    <w:p>
      <w:pPr>
        <w:pStyle w:val="Style30"/>
        <w:numPr>
          <w:ilvl w:val="0"/>
          <w:numId w:val="57"/>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Примерно в 1/3 случаев имеются указания на небла</w:t>
        <w:softHyphen/>
        <w:t>гоприятное течение родов (быстрые, стремительные роды, вакуумэкстракция, кесарево сечение в родах). В последующем дети с родовым травматизмом фор</w:t>
        <w:softHyphen/>
        <w:t>мируют минимальную мозговую дисфункцию, внут</w:t>
        <w:softHyphen/>
        <w:t>ричерепную гипертензию, психоневрологические от</w:t>
        <w:softHyphen/>
        <w:t>клонения (астеноневротический синдром, логонев</w:t>
        <w:softHyphen/>
        <w:t>роз, энурез).</w:t>
      </w:r>
    </w:p>
    <w:p>
      <w:pPr>
        <w:pStyle w:val="Style30"/>
        <w:numPr>
          <w:ilvl w:val="0"/>
          <w:numId w:val="57"/>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 раннего возраста могут быть выявлены признаки (или указания в анамнезе) диспластического разви</w:t>
        <w:softHyphen/>
        <w:t>тия соединительнотканных структур опорно-двига</w:t>
        <w:softHyphen/>
        <w:t>тельного и связочного аппарата (дисплазия тазобед</w:t>
        <w:softHyphen/>
        <w:t>ренных суставов, паховые и пупочные грыжи). Выяс</w:t>
        <w:softHyphen/>
        <w:t>нение наличия указанных аномалий в анамнезе име</w:t>
        <w:softHyphen/>
        <w:t>ет значение для правильной оценки соединительнот</w:t>
        <w:softHyphen/>
        <w:t>канных нарушений, поскольку при осмотре послед</w:t>
        <w:softHyphen/>
        <w:t>ние могут не обнаруживаться (спонтанное исчезнове</w:t>
        <w:softHyphen/>
        <w:t>ние, хирургическое лечение).</w:t>
      </w:r>
    </w:p>
    <w:p>
      <w:pPr>
        <w:pStyle w:val="Style30"/>
        <w:numPr>
          <w:ilvl w:val="0"/>
          <w:numId w:val="57"/>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большинства детей с ПМК в анамнезе обнаружива</w:t>
        <w:softHyphen/>
        <w:t>ется предрасположенность к простудным заболева</w:t>
        <w:softHyphen/>
        <w:t>ниям, раннее начало ангин, хронический тонзиллит.</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У большинства детей, обычно старше 11 лет, опреде</w:t>
        <w:softHyphen/>
        <w:t>ляются многочисленные и разнообразные жалобы на боли в грудной клетке, сердцебиение, одышку, ощу</w:t>
        <w:softHyphen/>
        <w:t>щение перебоев в сердце, головокружение, слабость, головные боли. Боли в сердце дети характеризуют как «колющие», «давящие», «ноющие» и ощущают в ле</w:t>
        <w:softHyphen/>
        <w:t>вой половине грудной клетки без какой-либо ирради</w:t>
        <w:softHyphen/>
        <w:t>ации. У большинства детей они продолжаются в тече</w:t>
        <w:softHyphen/>
        <w:t>ние 5-20 минут, возникают в связи с эмоциональным напряжением и сопровождаются, как правило, веге</w:t>
        <w:softHyphen/>
        <w:t>тативными нарушениями: неустойчивым настроени</w:t>
        <w:softHyphen/>
        <w:t>ем, похолоданием конечностей, «зябкостью», сердце</w:t>
        <w:softHyphen/>
        <w:t>биением, потливостью, проходят самопроизвольно или после приема настойки валерианы, валокордина.</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Кардиалгии при ПМК могут быть связаны с регио</w:t>
        <w:softHyphen/>
        <w:t>нальной ишемией папиллярных мышц при их чрез</w:t>
        <w:softHyphen/>
        <w:t>мерном натяжении. Нейровегетативные нарушения проявляются сердцебиением, ощущением «перебоев» в работе сердца, «покалыванием», «замиранием» сердца.</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Головные боли чаще возникают при переутомлении, переживаниях, в утренние часы перед началом заня</w:t>
        <w:softHyphen/>
        <w:t>тий в школе и сочетаются с раздражительностью, на</w:t>
        <w:softHyphen/>
        <w:t>рушением сна, тревогой, головокружением.</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Одышка, утомляемость, слабость обычно не коррели</w:t>
        <w:softHyphen/>
        <w:t>руют с выраженностью гемодинамических наруше</w:t>
        <w:softHyphen/>
        <w:t>ний, а также с толерантностью к физической нагруз</w:t>
        <w:softHyphen/>
        <w:t>ке, не связаны с деформациями скелета и имеют пси</w:t>
        <w:softHyphen/>
        <w:t>хоневротический генез.</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Одышка может носить ятрогенный характер и объяс</w:t>
        <w:softHyphen/>
        <w:t>няется детренированностью, т.к. врачи и родители нередко беспричинно ограничивают детей в физиче</w:t>
        <w:softHyphen/>
        <w:t>ской активности. Наряду с этим одышка может быть обусловлена синдромом гипервентиляции (глубокие вздохи, периоды быстрых и глубоких дыхательных движений при отсутствии изменений со стороны лег</w:t>
        <w:softHyphen/>
        <w:t>ких). В основе данного синдрома у детей лежит нев</w:t>
        <w:softHyphen/>
        <w:t>роз дыхательного центра или он является проявлени</w:t>
        <w:softHyphen/>
        <w:t xml:space="preserve">ем маскированной депрессии </w:t>
      </w:r>
      <w:r>
        <w:rPr>
          <w:lang w:val="en-US" w:eastAsia="en-US" w:bidi="en-US"/>
          <w:w w:val="100"/>
          <w:spacing w:val="0"/>
          <w:color w:val="000000"/>
          <w:position w:val="0"/>
        </w:rPr>
        <w:t xml:space="preserve">(DeGuire S. </w:t>
      </w:r>
      <w:r>
        <w:rPr>
          <w:lang w:val="ru-RU" w:eastAsia="ru-RU" w:bidi="ru-RU"/>
          <w:w w:val="100"/>
          <w:spacing w:val="0"/>
          <w:color w:val="000000"/>
          <w:position w:val="0"/>
        </w:rPr>
        <w:t>с соавт., 1992).</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Физикальные данные: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клиническом обследовании у большинства детей обнаруживаются диспластические черты развития (малые аномалии) соединительной ткани:</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Миопия.</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Плоскостопие.</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Астеническое телосложение.</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Высокорослость.</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Пониженное питание.</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Слабое развитие мускулатуры.</w:t>
      </w:r>
    </w:p>
    <w:p>
      <w:pPr>
        <w:pStyle w:val="Style30"/>
        <w:numPr>
          <w:ilvl w:val="0"/>
          <w:numId w:val="57"/>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Повышенная разгибаемость мелких суставов.</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Нарушение осанки (сколиоз, синдром «прямой спи</w:t>
        <w:softHyphen/>
        <w:t>ны»).</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Готическое небо.</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«Башенный череп».</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Мышечная гипотония.</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Сандалевидная щель.</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Прогнатизм.</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Гипотелоризм глаз.</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Низкое расположение и уплощение ушных раковин.</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Арахнодактилия.</w:t>
      </w:r>
    </w:p>
    <w:p>
      <w:pPr>
        <w:pStyle w:val="Style30"/>
        <w:numPr>
          <w:ilvl w:val="0"/>
          <w:numId w:val="57"/>
        </w:numPr>
        <w:tabs>
          <w:tab w:leader="none" w:pos="518" w:val="left"/>
        </w:tabs>
        <w:widowControl w:val="0"/>
        <w:keepNext w:val="0"/>
        <w:keepLines w:val="0"/>
        <w:shd w:val="clear" w:color="auto" w:fill="auto"/>
        <w:bidi w:val="0"/>
        <w:spacing w:before="0" w:after="0"/>
        <w:ind w:left="500" w:right="0" w:hanging="220"/>
        <w:sectPr>
          <w:type w:val="continuous"/>
          <w:pgSz w:w="11900" w:h="16840"/>
          <w:pgMar w:top="1565" w:left="1053" w:right="959" w:bottom="1752" w:header="0" w:footer="3" w:gutter="0"/>
          <w:rtlGutter w:val="0"/>
          <w:cols w:num="2" w:space="174"/>
          <w:noEndnote/>
          <w:docGrid w:linePitch="360"/>
        </w:sectPr>
      </w:pPr>
      <w:r>
        <w:rPr>
          <w:lang w:val="ru-RU" w:eastAsia="ru-RU" w:bidi="ru-RU"/>
          <w:w w:val="100"/>
          <w:spacing w:val="0"/>
          <w:color w:val="000000"/>
          <w:position w:val="0"/>
        </w:rPr>
        <w:t>Невусы.</w:t>
      </w:r>
    </w:p>
    <w:p>
      <w:pPr>
        <w:widowControl w:val="0"/>
        <w:rPr>
          <w:sz w:val="2"/>
          <w:szCs w:val="2"/>
        </w:rPr>
      </w:pPr>
      <w:r>
        <w:pict>
          <v:shape id="_x0000_s1307" type="#_x0000_t202" style="position:static;width:595.pt;height:66.0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308" type="#_x0000_t75" style="position:absolute;margin-left:127.3pt;margin-top:0;width:209.75pt;height:14.9pt;z-index:-251658706;mso-wrap-distance-left:5.pt;mso-wrap-distance-right:5.pt;mso-position-horizontal-relative:margin" wrapcoords="0 0">
            <v:imagedata r:id="rId462" r:href="rId463"/>
            <w10:wrap anchorx="margin"/>
          </v:shape>
        </w:pict>
      </w:r>
    </w:p>
    <w:p>
      <w:pPr>
        <w:widowControl w:val="0"/>
        <w:rPr>
          <w:sz w:val="2"/>
          <w:szCs w:val="2"/>
        </w:rPr>
        <w:sectPr>
          <w:type w:val="continuous"/>
          <w:pgSz w:w="11900" w:h="16840"/>
          <w:pgMar w:top="1468" w:left="1124" w:right="894" w:bottom="192" w:header="0" w:footer="3" w:gutter="0"/>
          <w:rtlGutter w:val="0"/>
          <w:cols w:space="720"/>
          <w:noEndnote/>
          <w:docGrid w:linePitch="360"/>
        </w:sectPr>
      </w:pP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Характерными аускультативными (фонокардиографиче</w:t>
        <w:softHyphen/>
        <w:t>скими) признаками пролапса митрального клапана явля</w:t>
        <w:softHyphen/>
        <w:t>ются:</w:t>
      </w:r>
    </w:p>
    <w:p>
      <w:pPr>
        <w:pStyle w:val="Style30"/>
        <w:numPr>
          <w:ilvl w:val="0"/>
          <w:numId w:val="57"/>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Изолированные щелчки (клики).</w:t>
      </w:r>
    </w:p>
    <w:p>
      <w:pPr>
        <w:pStyle w:val="Style30"/>
        <w:numPr>
          <w:ilvl w:val="0"/>
          <w:numId w:val="57"/>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Сочетание щелчков с позднесистолическим шумом.</w:t>
      </w:r>
    </w:p>
    <w:p>
      <w:pPr>
        <w:pStyle w:val="Style30"/>
        <w:numPr>
          <w:ilvl w:val="0"/>
          <w:numId w:val="57"/>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Изолированный позднесистолический шум (ПСШ).</w:t>
      </w:r>
    </w:p>
    <w:p>
      <w:pPr>
        <w:pStyle w:val="Style30"/>
        <w:numPr>
          <w:ilvl w:val="0"/>
          <w:numId w:val="57"/>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Голосистолический шум.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Изолированные систолические щелчки наблюдаются в пе</w:t>
        <w:softHyphen/>
        <w:t>риод мезосистолы либо в позднюю систолу и не связаны с изгнанием крови левым желудочком. Их происхождение связывают с чрезмерным натяжением хорд во время макси</w:t>
        <w:softHyphen/>
        <w:t>мального прогибания створок в полость левого предсердия и внезапным выбуханием атриовентрикулярных створок. Щелчки могут выслушиваться постоянно либо транзитор- но. Постоянно выслушиваемые щелчки меняют свою ин</w:t>
        <w:softHyphen/>
        <w:t>тенсивность при изменении положения тела. Интенсив</w:t>
        <w:softHyphen/>
        <w:t>ность щелчков нарастает в вертикальном положении и ос</w:t>
        <w:softHyphen/>
        <w:t>лабевает (щелчки могут исчезать) в положении лежа. Щелчки выслушиваются над ограниченной областью серд</w:t>
        <w:softHyphen/>
        <w:t>ца (обычно на верхушке или в V точке), обычно не прово</w:t>
        <w:softHyphen/>
        <w:t>дятся за пределы границ сердца и не превышают по громко - сти II тон сердца. Щелчки могут быть единичными и мно</w:t>
        <w:softHyphen/>
        <w:t>жественными (трески). Если щелчки носят транзиторный характер, возникновение их легко спровоцировать физиче</w:t>
        <w:softHyphen/>
        <w:t>ской нагрузкой и эмоциональным напряжением. Поэтому при подозрении на наличие щелчков в сердце ребенка не</w:t>
        <w:softHyphen/>
        <w:t>обходимо выслушать в положении стоя после небольшой физической нагрузки (прыжки, приседания). У взрослых пациентов с этой целью используется проба с вдыханием амилнитрита или физическая нагрузка. Изолированные си</w:t>
        <w:softHyphen/>
        <w:t>столические щелчки в сердце не являются патогномонич- ным аускультативным признаком пролапса митрального клапана. Изолированные систолические щелчки, не свя</w:t>
        <w:softHyphen/>
        <w:t>занные с изгнанием крови, могут наблюдаться при многих патологических состояниях, наиболее часто при небольших аневризмах межпредсердной или межжелудочковой пере</w:t>
        <w:softHyphen/>
        <w:t>городок, пролапсе трикуспидального клапана, плевропери</w:t>
        <w:softHyphen/>
        <w:t>кардиальных спайках. Щелчки, выслушиваемые при про</w:t>
        <w:softHyphen/>
        <w:t>лапсе митрального клапана, следует отличать от щелчков изгнания, которые возникают в раннюю систолу и могут быть аортальными и легочными. При фонокардиографиче</w:t>
        <w:softHyphen/>
        <w:t>ском исследовании систолические щелчки при пролапсе митрального клапана лучше регистрируются в аускульта</w:t>
        <w:softHyphen/>
        <w:t>тивном и высокочастотном диапазонах в виде небольшого количества осцилляций, обычно не превышающих по ам</w:t>
        <w:softHyphen/>
        <w:t>плитуде II тон (рис. 34).</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Сочетание щелчков с позднесистолическим шумом</w:t>
      </w:r>
    </w:p>
    <w:p>
      <w:pPr>
        <w:pStyle w:val="Style30"/>
        <w:numPr>
          <w:ilvl w:val="0"/>
          <w:numId w:val="57"/>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Наиболее частым аускультативным проявлением пролапса митрального клапана является сочетание систолических щелчков с позднесистолическим шу</w:t>
        <w:softHyphen/>
        <w:t>мом (рис. 35).</w:t>
      </w:r>
    </w:p>
    <w:p>
      <w:pPr>
        <w:pStyle w:val="Style30"/>
        <w:numPr>
          <w:ilvl w:val="0"/>
          <w:numId w:val="57"/>
        </w:numPr>
        <w:tabs>
          <w:tab w:leader="none" w:pos="520" w:val="left"/>
        </w:tabs>
        <w:widowControl w:val="0"/>
        <w:keepNext w:val="0"/>
        <w:keepLines w:val="0"/>
        <w:shd w:val="clear" w:color="auto" w:fill="auto"/>
        <w:bidi w:val="0"/>
        <w:spacing w:before="0" w:after="0"/>
        <w:ind w:left="520" w:right="0" w:hanging="240"/>
        <w:sectPr>
          <w:pgSz w:w="11900" w:h="16840"/>
          <w:pgMar w:top="1599" w:left="893" w:right="6154" w:bottom="207" w:header="0" w:footer="3" w:gutter="0"/>
          <w:rtlGutter w:val="0"/>
          <w:cols w:space="720"/>
          <w:noEndnote/>
          <w:docGrid w:linePitch="360"/>
        </w:sectPr>
      </w:pPr>
      <w:r>
        <w:pict>
          <v:shape id="_x0000_s1309" type="#_x0000_t202" style="position:absolute;margin-left:252.7pt;margin-top:0;width:240.95pt;height:221.75pt;z-index:-125829189;mso-wrap-distance-left:10.1pt;mso-wrap-distance-right:5.pt;mso-position-horizontal-relative:margin;mso-position-vertical-relative:margin" wrapcoords="18 0 21600 0 21600 21600 0 21600 0 20044 18 17119 18 0" filled="f" stroked="f">
            <v:textbox style="mso-fit-shape-to-text:t" inset="0,0,0,0">
              <w:txbxContent>
                <w:p>
                  <w:pPr>
                    <w:framePr w:h="4435" w:hSpace="202" w:wrap="around" w:hAnchor="margin" w:x="5055" w:y="1"/>
                    <w:widowControl w:val="0"/>
                    <w:jc w:val="center"/>
                    <w:rPr>
                      <w:sz w:val="2"/>
                      <w:szCs w:val="2"/>
                    </w:rPr>
                  </w:pPr>
                  <w:r>
                    <w:pict>
                      <v:shape id="_x0000_s1310" type="#_x0000_t75" style="width:241pt;height:222pt;">
                        <v:imagedata r:id="rId464" r:href="rId465"/>
                      </v:shape>
                    </w:pict>
                  </w:r>
                </w:p>
                <w:p>
                  <w:pPr>
                    <w:pStyle w:val="Style120"/>
                    <w:widowControl w:val="0"/>
                    <w:keepNext w:val="0"/>
                    <w:keepLines w:val="0"/>
                    <w:shd w:val="clear" w:color="auto" w:fill="auto"/>
                    <w:bidi w:val="0"/>
                    <w:spacing w:before="0" w:after="0"/>
                    <w:ind w:left="0" w:right="0" w:firstLine="0"/>
                  </w:pPr>
                  <w:r>
                    <w:rPr>
                      <w:rStyle w:val="CharStyle122"/>
                    </w:rPr>
                    <w:t xml:space="preserve">Рис. 34. </w:t>
                  </w:r>
                  <w:r>
                    <w:rPr>
                      <w:rStyle w:val="CharStyle121"/>
                    </w:rPr>
                    <w:t>Изолированные позднесистолические щелчки при про</w:t>
                    <w:softHyphen/>
                    <w:t>лапсе митрального клапана.</w:t>
                  </w:r>
                </w:p>
              </w:txbxContent>
            </v:textbox>
            <w10:wrap type="square" side="left" anchorx="margin" anchory="margin"/>
          </v:shape>
        </w:pict>
      </w:r>
      <w:r>
        <w:pict>
          <v:shape id="_x0000_s1311" type="#_x0000_t202" style="position:absolute;margin-left:252.7pt;margin-top:351.6pt;width:207.85pt;height:214.1pt;z-index:-125829188;mso-wrap-distance-left:10.1pt;mso-wrap-distance-right:5.pt;mso-position-horizontal-relative:margin;mso-position-vertical-relative:margin" wrapcoords="1481 0 20079 0 20079 16825 21600 19242 21600 21600 0 21600 0 19242 1481 16825 1481 0" filled="f" stroked="f">
            <v:textbox style="mso-fit-shape-to-text:t" inset="0,0,0,0">
              <w:txbxContent>
                <w:p>
                  <w:pPr>
                    <w:framePr w:h="4282" w:hSpace="202" w:wrap="around" w:hAnchor="margin" w:x="5055" w:y="7033"/>
                    <w:widowControl w:val="0"/>
                    <w:jc w:val="center"/>
                    <w:rPr>
                      <w:sz w:val="2"/>
                      <w:szCs w:val="2"/>
                    </w:rPr>
                  </w:pPr>
                  <w:r>
                    <w:pict>
                      <v:shape id="_x0000_s1312" type="#_x0000_t75" style="width:208pt;height:214pt;">
                        <v:imagedata r:id="rId466" r:href="rId467"/>
                      </v:shape>
                    </w:pict>
                  </w:r>
                </w:p>
                <w:p>
                  <w:pPr>
                    <w:pStyle w:val="Style120"/>
                    <w:widowControl w:val="0"/>
                    <w:keepNext w:val="0"/>
                    <w:keepLines w:val="0"/>
                    <w:shd w:val="clear" w:color="auto" w:fill="auto"/>
                    <w:bidi w:val="0"/>
                    <w:spacing w:before="0" w:after="0"/>
                    <w:ind w:left="0" w:right="0" w:firstLine="0"/>
                  </w:pPr>
                  <w:r>
                    <w:rPr>
                      <w:rStyle w:val="CharStyle122"/>
                    </w:rPr>
                    <w:t xml:space="preserve">Рис. 35. </w:t>
                  </w:r>
                  <w:r>
                    <w:rPr>
                      <w:rStyle w:val="CharStyle121"/>
                    </w:rPr>
                    <w:t>Фонокардиограмма при пролапсе митрального клапана: регистрируются систолические щелчки с позднесистолическим шумом (указаны стрелкой).</w:t>
                  </w:r>
                </w:p>
              </w:txbxContent>
            </v:textbox>
            <w10:wrap type="square" side="left" anchorx="margin" anchory="margin"/>
          </v:shape>
        </w:pict>
      </w:r>
      <w:r>
        <w:rPr>
          <w:lang w:val="ru-RU" w:eastAsia="ru-RU" w:bidi="ru-RU"/>
          <w:w w:val="100"/>
          <w:spacing w:val="0"/>
          <w:color w:val="000000"/>
          <w:position w:val="0"/>
        </w:rPr>
        <w:t>Шум обусловлен турбулентным током крови, возни</w:t>
        <w:softHyphen/>
        <w:t>кающим из-за выбухания створок и вибрации натя</w:t>
        <w:softHyphen/>
        <w:t>нутых сухожильных нитей. Позднесистолический шум выслушивается лучше в положении лежа на ле</w:t>
        <w:softHyphen/>
        <w:t>вом боку, усиливается при проведении пробы Валь</w:t>
        <w:softHyphen/>
        <w:t>сальвы. Характер шума может меняться при глубоком дыхании. На выдохе шум усиливается и иногда при</w:t>
        <w:softHyphen/>
        <w:t>обретает музыкальный оттенок. Нередко сочетание систолических щелчков и позднего шума наиболее отчетливо выявляется в вертикальном положении после физической нагрузки.</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60" w:after="60" w:line="240" w:lineRule="exact"/>
        <w:rPr>
          <w:sz w:val="19"/>
          <w:szCs w:val="19"/>
        </w:rPr>
      </w:pPr>
    </w:p>
    <w:p>
      <w:pPr>
        <w:widowControl w:val="0"/>
        <w:rPr>
          <w:sz w:val="2"/>
          <w:szCs w:val="2"/>
        </w:rPr>
        <w:sectPr>
          <w:type w:val="continuous"/>
          <w:pgSz w:w="11900" w:h="16840"/>
          <w:pgMar w:top="1473" w:left="0" w:right="0" w:bottom="192" w:header="0" w:footer="3" w:gutter="0"/>
          <w:rtlGutter w:val="0"/>
          <w:cols w:space="720"/>
          <w:noEndnote/>
          <w:docGrid w:linePitch="360"/>
        </w:sectPr>
      </w:pPr>
    </w:p>
    <w:p>
      <w:pPr>
        <w:widowControl w:val="0"/>
        <w:spacing w:line="645" w:lineRule="exact"/>
      </w:pPr>
      <w:r>
        <w:pict>
          <v:shape id="_x0000_s1313" type="#_x0000_t75" style="position:absolute;margin-left:148.1pt;margin-top:0;width:209.75pt;height:14.9pt;z-index:-251658705;mso-wrap-distance-left:5.pt;mso-wrap-distance-right:5.pt;mso-position-horizontal-relative:margin" wrapcoords="0 0">
            <v:imagedata r:id="rId468" r:href="rId469"/>
            <w10:wrap anchorx="margin"/>
          </v:shape>
        </w:pict>
      </w:r>
    </w:p>
    <w:p>
      <w:pPr>
        <w:widowControl w:val="0"/>
        <w:rPr>
          <w:sz w:val="2"/>
          <w:szCs w:val="2"/>
        </w:rPr>
        <w:sectPr>
          <w:type w:val="continuous"/>
          <w:pgSz w:w="11900" w:h="16840"/>
          <w:pgMar w:top="1473" w:left="893" w:right="1123" w:bottom="192" w:header="0" w:footer="3" w:gutter="0"/>
          <w:rtlGutter w:val="0"/>
          <w:cols w:space="720"/>
          <w:noEndnote/>
          <w:docGrid w:linePitch="360"/>
        </w:sectPr>
      </w:pPr>
    </w:p>
    <w:p>
      <w:pPr>
        <w:widowControl w:val="0"/>
        <w:rPr>
          <w:sz w:val="2"/>
          <w:szCs w:val="2"/>
        </w:rPr>
      </w:pPr>
      <w:r>
        <w:pict>
          <v:shape id="_x0000_s1314" type="#_x0000_t75" style="position:absolute;margin-left:130.55pt;margin-top:736.1pt;width:209.75pt;height:14.9pt;z-index:-125829187;mso-wrap-distance-left:124.1pt;mso-wrap-distance-right:148.1pt;mso-wrap-distance-bottom:10.8pt;mso-position-horizontal-relative:margin" wrapcoords="0 0 21600 0 21600 21600 0 21600 0 0">
            <v:imagedata r:id="rId470" r:href="rId471"/>
            <w10:wrap type="topAndBottom" anchorx="margin"/>
          </v:shape>
        </w:pict>
      </w:r>
    </w:p>
    <w:p>
      <w:pPr>
        <w:framePr w:w="3734" w:h="4598" w:hSpace="571" w:wrap="notBeside" w:vAnchor="text" w:hAnchor="text" w:x="1138" w:y="1"/>
        <w:widowControl w:val="0"/>
        <w:rPr>
          <w:sz w:val="2"/>
          <w:szCs w:val="2"/>
        </w:rPr>
      </w:pPr>
      <w:r>
        <w:pict>
          <v:shape id="_x0000_s1315" type="#_x0000_t75" style="width:187pt;height:230pt;">
            <v:imagedata r:id="rId472" r:href="rId473"/>
          </v:shape>
        </w:pict>
      </w:r>
    </w:p>
    <w:p>
      <w:pPr>
        <w:pStyle w:val="Style120"/>
        <w:framePr w:w="4810" w:h="237" w:hSpace="571" w:wrap="notBeside" w:vAnchor="text" w:hAnchor="text" w:x="572" w:y="5118"/>
        <w:widowControl w:val="0"/>
        <w:keepNext w:val="0"/>
        <w:keepLines w:val="0"/>
        <w:shd w:val="clear" w:color="auto" w:fill="auto"/>
        <w:bidi w:val="0"/>
        <w:jc w:val="left"/>
        <w:spacing w:before="0" w:after="0" w:line="180" w:lineRule="exact"/>
        <w:ind w:left="0" w:right="0" w:firstLine="0"/>
      </w:pPr>
      <w:r>
        <w:rPr>
          <w:rStyle w:val="CharStyle125"/>
        </w:rPr>
        <w:t xml:space="preserve">Рис. 36. </w:t>
      </w:r>
      <w:r>
        <w:rPr>
          <w:lang w:val="ru-RU" w:eastAsia="ru-RU" w:bidi="ru-RU"/>
          <w:w w:val="100"/>
          <w:spacing w:val="0"/>
          <w:color w:val="000000"/>
          <w:position w:val="0"/>
        </w:rPr>
        <w:t>Пролапс митрального клапана: поздний систолический шум.</w:t>
      </w:r>
    </w:p>
    <w:p>
      <w:pPr>
        <w:widowControl w:val="0"/>
        <w:rPr>
          <w:sz w:val="2"/>
          <w:szCs w:val="2"/>
        </w:rPr>
      </w:pPr>
    </w:p>
    <w:p>
      <w:pPr>
        <w:pStyle w:val="Style30"/>
        <w:numPr>
          <w:ilvl w:val="0"/>
          <w:numId w:val="57"/>
        </w:numPr>
        <w:tabs>
          <w:tab w:leader="none" w:pos="236" w:val="left"/>
        </w:tabs>
        <w:widowControl w:val="0"/>
        <w:keepNext w:val="0"/>
        <w:keepLines w:val="0"/>
        <w:shd w:val="clear" w:color="auto" w:fill="auto"/>
        <w:bidi w:val="0"/>
        <w:spacing w:before="621" w:after="0"/>
        <w:ind w:left="260" w:right="0"/>
      </w:pPr>
      <w:r>
        <w:rPr>
          <w:lang w:val="ru-RU" w:eastAsia="ru-RU" w:bidi="ru-RU"/>
          <w:w w:val="100"/>
          <w:spacing w:val="0"/>
          <w:color w:val="000000"/>
          <w:position w:val="0"/>
        </w:rPr>
        <w:t>Изолированный позднесистолический шум наблю</w:t>
        <w:softHyphen/>
        <w:t>дается примерно в 15% случаев. Он выслушивается на верхушке, проводится в подмышечную область, ин</w:t>
        <w:softHyphen/>
        <w:t>тенсивность его обычно соответствует 3/4-4/6 по Ле</w:t>
        <w:softHyphen/>
        <w:t>вине. Шум продолжается до II тона, носит грубый, «скребущий» характер, лучше определяется лежа на левом боку (рис. 36).</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Интенсивность шума может усиливаться в положе</w:t>
        <w:softHyphen/>
        <w:t>нии стоя, он становится более продолжительным, на</w:t>
        <w:softHyphen/>
        <w:t>поминает голосистолический. Систолический шум при пролапсе передней створки митрального клапана может проводиться в левую подмышечную область, а при пролапсе задней створки — на переднюю груд</w:t>
        <w:softHyphen/>
        <w:t>ную клетку. Следует отметить, что изолированный позднесистолический шум не является патогномо - ничным признаком пролапса митрального клапана. Он может наблюдаться при обструктивных пораже</w:t>
        <w:softHyphen/>
        <w:t>ниях левого желудочка (идиопатический гипертро</w:t>
        <w:softHyphen/>
        <w:t>фический субаортальный стеноз, дискретный стеноз аорты).</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Голосистолический шум при первичном пролапсе митрального клапана наблюдается редко и свидетель</w:t>
        <w:softHyphen/>
        <w:t>ствует о наличии митральной регургитации. Этот шум занимает всю систолу и практически не меняет</w:t>
        <w:softHyphen/>
        <w:t>ся по интенсивности при перемене положения тела, проводится в подмышечную область, усиливается при проведении пробы Вальсальвы.</w:t>
      </w:r>
    </w:p>
    <w:p>
      <w:pPr>
        <w:pStyle w:val="Style30"/>
        <w:numPr>
          <w:ilvl w:val="0"/>
          <w:numId w:val="57"/>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Дополнительными аускультативными проявлениями при ПМК являются «писки» («мяуканье»), обуслов</w:t>
        <w:softHyphen/>
        <w:t>ленные вибрацией хорд или участка створки по типу «смычка скрипки», они чаще наблюдаются при соче</w:t>
        <w:softHyphen/>
        <w:t>тании систолических щелчков с шумом, реже при изолированных щелчках. Хордальные писки могут быть слышны на расстоянии, при этом больные пе</w:t>
        <w:softHyphen/>
        <w:br w:type="column"/>
        <w:t>риодически слышат «писк» в груди, который усили</w:t>
        <w:softHyphen/>
        <w:t>вается при волнении и физической нагрузке.</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Состояние вегетативной нервной системы:</w:t>
      </w:r>
    </w:p>
    <w:p>
      <w:pPr>
        <w:pStyle w:val="Style30"/>
        <w:numPr>
          <w:ilvl w:val="0"/>
          <w:numId w:val="57"/>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Со времени первого описания синдрома ПМК изве</w:t>
        <w:softHyphen/>
        <w:t>стно, что для таких больных характерны психоэмоци</w:t>
        <w:softHyphen/>
        <w:t>ональная лабильность, вегетососудистые нарушения, особенно выраженные у молодых женщин и подрост</w:t>
        <w:softHyphen/>
        <w:t>ков. Обнаружение ПМК у больных при многих состо</w:t>
        <w:softHyphen/>
        <w:t xml:space="preserve">яниях (синдром </w:t>
      </w:r>
      <w:r>
        <w:rPr>
          <w:lang w:val="en-US" w:eastAsia="en-US" w:bidi="en-US"/>
          <w:w w:val="100"/>
          <w:spacing w:val="0"/>
          <w:color w:val="000000"/>
          <w:position w:val="0"/>
        </w:rPr>
        <w:t xml:space="preserve">Da Costa, </w:t>
      </w:r>
      <w:r>
        <w:rPr>
          <w:lang w:val="ru-RU" w:eastAsia="ru-RU" w:bidi="ru-RU"/>
          <w:w w:val="100"/>
          <w:spacing w:val="0"/>
          <w:color w:val="000000"/>
          <w:position w:val="0"/>
        </w:rPr>
        <w:t>гиперкинетическое серд</w:t>
        <w:softHyphen/>
        <w:t>це), в основе которых лежит патология вегетативной нервной системы, послужило основанием для пред</w:t>
        <w:softHyphen/>
        <w:t>ставления о едином генезе этих расстройств.</w:t>
      </w:r>
    </w:p>
    <w:p>
      <w:pPr>
        <w:pStyle w:val="Style30"/>
        <w:numPr>
          <w:ilvl w:val="0"/>
          <w:numId w:val="57"/>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По данным </w:t>
      </w:r>
      <w:r>
        <w:rPr>
          <w:lang w:val="en-US" w:eastAsia="en-US" w:bidi="en-US"/>
          <w:w w:val="100"/>
          <w:spacing w:val="0"/>
          <w:color w:val="000000"/>
          <w:position w:val="0"/>
        </w:rPr>
        <w:t xml:space="preserve">H.Boudoulas, </w:t>
      </w:r>
      <w:r>
        <w:rPr>
          <w:lang w:val="ru-RU" w:eastAsia="ru-RU" w:bidi="ru-RU"/>
          <w:w w:val="100"/>
          <w:spacing w:val="0"/>
          <w:color w:val="000000"/>
          <w:position w:val="0"/>
        </w:rPr>
        <w:t>у больных ПМК обнаружи</w:t>
        <w:softHyphen/>
        <w:t>вается увеличенная экскреция катехоламинов в тече</w:t>
        <w:softHyphen/>
        <w:t>ние суток, причем она снижается в ночное время и имеет пикообразные повышения днем. Повышение уровня экскреции катехоламинов коррелирует с тя</w:t>
        <w:softHyphen/>
        <w:t>жестью клинических проявлений при ПМК. У боль</w:t>
        <w:softHyphen/>
        <w:t xml:space="preserve">ных ПМК выявляется высокая катехоламинемия как за счет адреналиновой, так и норадреналиновой фракций. Используя фармакологическую пробу с изопротеренолом, </w:t>
      </w:r>
      <w:r>
        <w:rPr>
          <w:lang w:val="en-US" w:eastAsia="en-US" w:bidi="en-US"/>
          <w:w w:val="100"/>
          <w:spacing w:val="0"/>
          <w:color w:val="000000"/>
          <w:position w:val="0"/>
        </w:rPr>
        <w:t xml:space="preserve">H.Boudoulas </w:t>
      </w:r>
      <w:r>
        <w:rPr>
          <w:lang w:val="ru-RU" w:eastAsia="ru-RU" w:bidi="ru-RU"/>
          <w:w w:val="100"/>
          <w:spacing w:val="0"/>
          <w:color w:val="000000"/>
          <w:position w:val="0"/>
        </w:rPr>
        <w:t>с соавт. показали, что гиперсиматикотония связана преимущественно с уменьшением числа а-адренергических рецепто</w:t>
        <w:softHyphen/>
        <w:t>ров; число активных Р-адренергических рецепторов остается неизменным. Другие авторы высказывают предположение о Р-адренергической гиперактивнос</w:t>
        <w:softHyphen/>
        <w:t>ти, как центральной, так и периферической. Исполь</w:t>
        <w:softHyphen/>
        <w:t>зуя метод окклюзионной плетизмографии и фарма</w:t>
        <w:softHyphen/>
        <w:t xml:space="preserve">кологическую пробу с фенилэфрином, </w:t>
      </w:r>
      <w:r>
        <w:rPr>
          <w:lang w:val="en-US" w:eastAsia="en-US" w:bidi="en-US"/>
          <w:w w:val="100"/>
          <w:spacing w:val="0"/>
          <w:color w:val="000000"/>
          <w:position w:val="0"/>
        </w:rPr>
        <w:t xml:space="preserve">F. Gaffney </w:t>
      </w:r>
      <w:r>
        <w:rPr>
          <w:lang w:val="ru-RU" w:eastAsia="ru-RU" w:bidi="ru-RU"/>
          <w:w w:val="100"/>
          <w:spacing w:val="0"/>
          <w:color w:val="000000"/>
          <w:position w:val="0"/>
        </w:rPr>
        <w:t>с со- авт. обнаружили при синдроме ПМК вегетативную дисфункцию, которая характеризуется снижением парасимпатического, увеличением а-адренергичес- кого и нормальным р-адренергическим тонусом. В основе симпатоадреналовых нарушений может ле</w:t>
        <w:softHyphen/>
        <w:t xml:space="preserve">жать аномальный синтез регуляторного протеина, стимулирующего выработку гуаниновых нуклеотидов </w:t>
      </w:r>
      <w:r>
        <w:rPr>
          <w:lang w:val="en-US" w:eastAsia="en-US" w:bidi="en-US"/>
          <w:w w:val="100"/>
          <w:spacing w:val="0"/>
          <w:color w:val="000000"/>
          <w:position w:val="0"/>
        </w:rPr>
        <w:t xml:space="preserve">(Davies A.O. </w:t>
      </w:r>
      <w:r>
        <w:rPr>
          <w:lang w:val="ru-RU" w:eastAsia="ru-RU" w:bidi="ru-RU"/>
          <w:w w:val="100"/>
          <w:spacing w:val="0"/>
          <w:color w:val="000000"/>
          <w:position w:val="0"/>
        </w:rPr>
        <w:t>с соавт.,1991).</w:t>
      </w:r>
    </w:p>
    <w:p>
      <w:pPr>
        <w:pStyle w:val="Style30"/>
        <w:numPr>
          <w:ilvl w:val="0"/>
          <w:numId w:val="57"/>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Обнаруживаемые вегетативные нарушения, преиму</w:t>
        <w:softHyphen/>
        <w:t>щественно по симпатикотоническому типу, по мне</w:t>
        <w:softHyphen/>
        <w:t>нию большинства авторов, ответственны за многие клинические проявления синдрома ПМК. Сердцеби</w:t>
        <w:softHyphen/>
        <w:t>ение, одышку, боли в сердце, утреннюю утомляе</w:t>
        <w:softHyphen/>
        <w:t>мость, обмороки непосредственно связывают с повы</w:t>
        <w:softHyphen/>
        <w:t>шенной симпатикоадренергической активностью. Перечисленные симптомы, как правило, исчезают на фоне приема Р-адреноблокаторов, седативных средств, препаратов, снижающих симпатический и повышающих вагусный тонус, при проведении иг</w:t>
        <w:softHyphen/>
        <w:t>лорефлексотерапии. Для лиц с гиперсимпатикотони- ей характерно понижение массы тела, астеничное те</w:t>
        <w:softHyphen/>
        <w:t>лосложение, астено-невротические реакции, что так</w:t>
        <w:softHyphen/>
        <w:t>же часто обнаруживается при синдроме ПМК.</w:t>
      </w:r>
    </w:p>
    <w:p>
      <w:pPr>
        <w:pStyle w:val="Style30"/>
        <w:numPr>
          <w:ilvl w:val="0"/>
          <w:numId w:val="57"/>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Для оценки вегетативных нарушений в педиатричес</w:t>
        <w:softHyphen/>
        <w:t>кой практике широко используются функциональ</w:t>
        <w:softHyphen/>
        <w:t>ные пробы и тесты, в частности кардиоинтервалогра- фия и клиноортостатическая проба.</w:t>
      </w:r>
    </w:p>
    <w:p>
      <w:pPr>
        <w:pStyle w:val="Style30"/>
        <w:numPr>
          <w:ilvl w:val="0"/>
          <w:numId w:val="57"/>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 данным кардиоинтервалографии, у большинства детей (70%) с ПМК индекс напряжения (ИН) выше 90 усл. ед., при этом обнаруживается уменьшение Мо, АХ и увеличение АМо, ВПР. Эти сдвиги свиде</w:t>
        <w:softHyphen/>
        <w:t>тельствуют о симпатикотонии и централизации уп-</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равления сердечным ритмом. Одновременно высо</w:t>
        <w:softHyphen/>
        <w:t>кие величины ВПР и ИН указывают на развитие в ор</w:t>
        <w:softHyphen/>
        <w:t>ганизме синдрома напряжения регуляторных вегета</w:t>
        <w:softHyphen/>
        <w:t>тивных и гуморальных систем. У небольшого числа детей (15%), обычно при выраженном прогибании створок, определяется снижение ИН покоя менее 30 усл. ед. и увеличение показателей АХ и Мо. Эти сдвиги свидетельствуют о доминировании парасим</w:t>
        <w:softHyphen/>
        <w:t>патического отдела ВНС в регуляции ритма сердца. Исходная ваготония у этих детей, вероятно, носит компенсаторный характер, поскольку вегетативная реактивность у них имеет гиперсимпатикотоничес- кий тип. Данное предположение подтверждается ра</w:t>
        <w:softHyphen/>
        <w:t xml:space="preserve">ботами </w:t>
      </w:r>
      <w:r>
        <w:rPr>
          <w:lang w:val="en-US" w:eastAsia="en-US" w:bidi="en-US"/>
          <w:w w:val="100"/>
          <w:spacing w:val="0"/>
          <w:color w:val="000000"/>
          <w:position w:val="0"/>
        </w:rPr>
        <w:t xml:space="preserve">Taylor, </w:t>
      </w:r>
      <w:r>
        <w:rPr>
          <w:lang w:val="ru-RU" w:eastAsia="ru-RU" w:bidi="ru-RU"/>
          <w:w w:val="100"/>
          <w:spacing w:val="0"/>
          <w:color w:val="000000"/>
          <w:position w:val="0"/>
        </w:rPr>
        <w:t>показавшего, что в ряде случаев повы</w:t>
        <w:softHyphen/>
        <w:t>шенная вагусная активность может быть связана с компенсацией инициальной симпатикотонии.</w:t>
      </w:r>
    </w:p>
    <w:p>
      <w:pPr>
        <w:pStyle w:val="Style30"/>
        <w:numPr>
          <w:ilvl w:val="0"/>
          <w:numId w:val="57"/>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детей с ПМК обнаруживаются статистически до</w:t>
        <w:softHyphen/>
        <w:t>стоверные отличия от контрольной группы по следу</w:t>
        <w:softHyphen/>
        <w:t>ющим показателям КИГ при выполнении клиноор</w:t>
        <w:softHyphen/>
        <w:t>тостатической пробы (КОП). Так, Мо, АХ в ортопо</w:t>
        <w:softHyphen/>
        <w:t>ложении, а также амплитуда реагирования независи</w:t>
        <w:softHyphen/>
        <w:t>мо от исходного ИН были достоверно ниже, чем в контроле. Величина ортостатического учащения ритма у детей с ПМК и ИН более 90 усл. ед. не отли</w:t>
        <w:softHyphen/>
        <w:t>чалась от контрольного значения, однако у детей с исходным ИН меньше 30 усл. ед. данный показатель был достоверно выше. Отсутствие достоверных раз</w:t>
        <w:softHyphen/>
        <w:t>личий по величине ортостатического учащения рит</w:t>
        <w:softHyphen/>
        <w:t>ма при ПМК у детей с ИН больше 90 усл. ед. связано с исходно высокой частотой сердечных сокращений. Независимо от исходного ИН величина клиностати</w:t>
        <w:softHyphen/>
        <w:t>ческого замедления ритма достоверно ниже при ПМК, чем в контроле. Эти данные свидетельствуют о преимущественно симпатикотоническом типе реа</w:t>
        <w:softHyphen/>
        <w:t>гирования при выполнении КОП у детей с ПМК, при этом чем более выражена симпатико-адренало- вая реактивность, тем менее выражен вагусный (за</w:t>
        <w:softHyphen/>
        <w:t>щитный) компонент.</w:t>
      </w:r>
    </w:p>
    <w:p>
      <w:pPr>
        <w:pStyle w:val="Style30"/>
        <w:numPr>
          <w:ilvl w:val="0"/>
          <w:numId w:val="57"/>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большинства детей с ПМК при выполнении КОП отмечается подъем диастолического и систолическо</w:t>
        <w:softHyphen/>
        <w:t>го АД, некоторое снижение пульсового давления, при этом учащение пульса в среднем не отличается от контрольных значений. Такая динамика АД и ЧСС свидетельствует о преимущественном а-адренергиче- ском варианте симпатикотонической реактивности. Это предположение основано на том факте, что сти</w:t>
        <w:softHyphen/>
        <w:t>муляция а-адренорецепторов оказывает незначи</w:t>
        <w:softHyphen/>
        <w:t>тельное влияние на частоту сердечных сокращений, в то время как со стороны периферических сосудов происходит выраженная вазоконстрикция. Пример</w:t>
        <w:softHyphen/>
        <w:t>но у 30% детей с ПМК может обнаруживаться орто</w:t>
        <w:softHyphen/>
        <w:t>статическая гипотензия (снижение АД и резкое уча</w:t>
        <w:softHyphen/>
        <w:t>щение пульса в ортостазе), которая связана с высокой центральной и периферической Р-адренергической гиперактивностью.</w:t>
      </w:r>
    </w:p>
    <w:p>
      <w:pPr>
        <w:pStyle w:val="Style30"/>
        <w:numPr>
          <w:ilvl w:val="0"/>
          <w:numId w:val="57"/>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Ни у одного ребенка с первичным ПМК по данным эхоэнцефалографии нами не отмечено грубой заин</w:t>
        <w:softHyphen/>
        <w:t>тересованности церебральных структур. У 65% детей имеет место легкая или умеренная дисфункция мезо- диэнцефальных или диэнцефальных структур мозга, что сочетается с избыточными симпатическими вли</w:t>
        <w:softHyphen/>
        <w:t>яниями.</w:t>
      </w:r>
    </w:p>
    <w:p>
      <w:pPr>
        <w:pStyle w:val="Style92"/>
        <w:widowControl w:val="0"/>
        <w:keepNext/>
        <w:keepLines/>
        <w:shd w:val="clear" w:color="auto" w:fill="auto"/>
        <w:bidi w:val="0"/>
        <w:spacing w:before="0" w:after="0"/>
        <w:ind w:left="260" w:right="0" w:hanging="260"/>
      </w:pPr>
      <w:r>
        <w:br w:type="column"/>
      </w:r>
      <w:bookmarkStart w:id="403" w:name="bookmark403"/>
      <w:r>
        <w:rPr>
          <w:lang w:val="ru-RU" w:eastAsia="ru-RU" w:bidi="ru-RU"/>
          <w:w w:val="100"/>
          <w:spacing w:val="0"/>
          <w:color w:val="000000"/>
          <w:position w:val="0"/>
        </w:rPr>
        <w:t>Психоэмоциональные нарушения</w:t>
      </w:r>
      <w:bookmarkEnd w:id="403"/>
    </w:p>
    <w:p>
      <w:pPr>
        <w:pStyle w:val="Style30"/>
        <w:numPr>
          <w:ilvl w:val="0"/>
          <w:numId w:val="5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многих детей с ПМК, преимущественно в подрост</w:t>
        <w:softHyphen/>
        <w:t>ковом возрасте, выявляются психоэмоциональные нарушения, представленные депрессивным и астени</w:t>
        <w:softHyphen/>
        <w:t>ческим симптомокомплексами.</w:t>
      </w:r>
    </w:p>
    <w:p>
      <w:pPr>
        <w:pStyle w:val="Style30"/>
        <w:numPr>
          <w:ilvl w:val="0"/>
          <w:numId w:val="5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Наиболее часто выявляются депрессивные состоя - ния, на долю которых приходится более половины обращений. Психопатологическая картина этих со</w:t>
        <w:softHyphen/>
        <w:t>стояний соответствует структуре «маскированных», стертых депрессий (субдепрессий), в которых в одном комплексе выступают вегетативные и аффективные расстройства, причем, если первые сразу привлекают внимание врача и больного, то вторые могут просма</w:t>
        <w:softHyphen/>
        <w:t>триваться не только врачом и ближайшим окружени</w:t>
        <w:softHyphen/>
        <w:t>ем больного, но нередко не осознаются и самим боль</w:t>
        <w:softHyphen/>
        <w:t>ным, выявляясь только при углубленном расспросе.</w:t>
      </w:r>
    </w:p>
    <w:p>
      <w:pPr>
        <w:pStyle w:val="Style30"/>
        <w:numPr>
          <w:ilvl w:val="0"/>
          <w:numId w:val="5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Внешние признаки субдепрессии проявляются лег</w:t>
        <w:softHyphen/>
        <w:t>кой гипотимией, пассивностью в беседе, краткостью ответов. Сами больные могут не отмечать изменений настроения, характеризуя его «нормальным» и оце</w:t>
        <w:softHyphen/>
        <w:t>нивая как сниженное лишь после сопоставления сво</w:t>
        <w:softHyphen/>
        <w:t>его настоящего эмоционального состояния с бывшим на фоне полного здоровья. Отрицая у себя психичес</w:t>
        <w:softHyphen/>
        <w:t>кие отклонения, больные нередко отмечают, что «ус</w:t>
        <w:softHyphen/>
        <w:t>тали», «постарели», подразумевая под этим уменьше</w:t>
        <w:softHyphen/>
        <w:t>ние эмоционального отклика на внешние события, утрату жизнерадостности, сужение круга интересов. Отчетливо измененное настроение выявляется в ос</w:t>
        <w:softHyphen/>
        <w:t>новном в виде коротких (часы, дни) повторяющихся эпизодов. Оценивая депрессивные расстройства, сле</w:t>
        <w:softHyphen/>
        <w:t>дует подчеркнуть их многогранность и нестабиль</w:t>
        <w:softHyphen/>
        <w:t>ность: почти во всех наблюдениях выявляются пред</w:t>
        <w:softHyphen/>
        <w:t>ставленные в разном соотношении тоскливый, тре</w:t>
        <w:softHyphen/>
        <w:t>вожный и дистимический компоненты. Эпизоды гру</w:t>
        <w:softHyphen/>
        <w:t>сти, безразличия, скуки, тоскливости или угрюмости (предпочтительно в первую половину дня) сочетают</w:t>
        <w:softHyphen/>
        <w:t>ся с беспокойством, тревожностью и раздражитель</w:t>
        <w:softHyphen/>
        <w:t>ностью (предпочтительно во вторую половину дня, особенно вечером).</w:t>
      </w:r>
    </w:p>
    <w:p>
      <w:pPr>
        <w:pStyle w:val="Style30"/>
        <w:numPr>
          <w:ilvl w:val="0"/>
          <w:numId w:val="57"/>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Астено-адинамические нарушения, являющиеся ти</w:t>
        <w:softHyphen/>
        <w:t>пичным компонентом маскированных депрессий, выражаются в жалобах на чувство вялости, разбитос</w:t>
        <w:softHyphen/>
        <w:t>ти с трудностью заставить себя приняться за новое де</w:t>
        <w:softHyphen/>
        <w:t>ло, длительным включением в работу, снижением ум</w:t>
        <w:softHyphen/>
        <w:t>ственной работоспособности, обусловленным рас</w:t>
        <w:softHyphen/>
        <w:t>стройствами мышления по типу «юношеской астени</w:t>
        <w:softHyphen/>
        <w:t>ческой несостоятельности».</w:t>
      </w:r>
    </w:p>
    <w:p>
      <w:pPr>
        <w:pStyle w:val="Style30"/>
        <w:numPr>
          <w:ilvl w:val="0"/>
          <w:numId w:val="57"/>
        </w:numPr>
        <w:tabs>
          <w:tab w:leader="none" w:pos="235" w:val="left"/>
        </w:tabs>
        <w:widowControl w:val="0"/>
        <w:keepNext w:val="0"/>
        <w:keepLines w:val="0"/>
        <w:shd w:val="clear" w:color="auto" w:fill="auto"/>
        <w:bidi w:val="0"/>
        <w:spacing w:before="0" w:after="0"/>
        <w:ind w:left="260" w:right="0"/>
      </w:pPr>
      <w:r>
        <w:pict>
          <v:shape id="_x0000_s1316" type="#_x0000_t75" style="position:absolute;margin-left:141.95pt;margin-top:737.05pt;width:209.75pt;height:14.9pt;z-index:-125829186;mso-wrap-distance-left:135.35pt;mso-wrap-distance-right:136.55pt;mso-wrap-distance-bottom:10.8pt;mso-position-horizontal-relative:margin;mso-position-vertical-relative:margin" wrapcoords="0 0 21600 0 21600 21600 0 21600 0 0">
            <v:imagedata r:id="rId474" r:href="rId475"/>
            <w10:wrap type="topAndBottom" anchorx="margin" anchory="margin"/>
          </v:shape>
        </w:pict>
      </w:r>
      <w:r>
        <w:rPr>
          <w:lang w:val="ru-RU" w:eastAsia="ru-RU" w:bidi="ru-RU"/>
          <w:w w:val="100"/>
          <w:spacing w:val="0"/>
          <w:color w:val="000000"/>
          <w:position w:val="0"/>
        </w:rPr>
        <w:t>Симптомокомплекс «астенической несостоятельнос</w:t>
        <w:softHyphen/>
        <w:t>ти» включает ряд идеаторных расстройств. Наиболее часта и свойственна всем вегетативным депрессиям непроизвольная отвлекаемость, возникающая при усилении попыток сосредоточиться. Речь идет о вну</w:t>
        <w:softHyphen/>
        <w:t>тренней отвлекаемости («на свои мысли»), не связан</w:t>
        <w:softHyphen/>
        <w:t>ной с внешними воздействиями или с наличием акту</w:t>
        <w:softHyphen/>
        <w:t>альных ситуационных переживаний. Вторым по час</w:t>
        <w:softHyphen/>
        <w:t>тоте симптомом идеаторных нарушений является ут</w:t>
        <w:softHyphen/>
        <w:t>рата понимания целостного смысла, логической свя</w:t>
        <w:softHyphen/>
        <w:t>зи между словами или предложениями, что заставля</w:t>
        <w:softHyphen/>
        <w:t>ет больных по нескольку раз перечитывать тексты. Реже нарушается понимание обращенной речи. Сле</w:t>
        <w:softHyphen/>
        <w:t>дует заметить, что характерные для больных жалобы на ухудшение памяти, невозможность запомнить но-</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вый или вспомнить старый материал обусловлены не истинным снижением памяти, а трудностью сосредо</w:t>
        <w:softHyphen/>
        <w:t>точения, «рассеянностью», невозможностью в связи с этим вспомнить какие-то сведения в нужный мо</w:t>
        <w:softHyphen/>
        <w:t>мент, ощущением некоторой заторможенности мыш</w:t>
        <w:softHyphen/>
        <w:t>ления, затруднением в соблюдении логической по</w:t>
        <w:softHyphen/>
        <w:t>следовательности при воспроизведении выученного материала. Расстройства умственной работоспособ</w:t>
        <w:softHyphen/>
        <w:t>ности больные нередко образно обозначают выраже</w:t>
        <w:softHyphen/>
        <w:t>ниями типа «несвежая голова», «нет прозрачности в мыслях». Характерно возникновение с началом ум</w:t>
        <w:softHyphen/>
        <w:t>ственной работы неприятной «тяжести» в голове, ко</w:t>
        <w:softHyphen/>
        <w:t>торая постепенно переходит в ощущение сдавления или распирания с алгическим компонентом (сенесто- алгию), при этом умственная деятельность становит</w:t>
        <w:softHyphen/>
        <w:t>ся невозможной вследствие усиления идеаторных расстройств. Последним и не столь частым симпто</w:t>
        <w:softHyphen/>
        <w:t>мом идеаторных нарушений являются такие проявле</w:t>
        <w:softHyphen/>
        <w:t>ния малого идеаторного автоматизма, как обрывы, исчезновение мыслей, их хаотическое движение или переплетение. Идеаторные автоматизмы нередко имеют пароксизмальный характер и порой сопро</w:t>
        <w:softHyphen/>
        <w:t>вождаются острой тревогой с потребностью в движе</w:t>
        <w:softHyphen/>
        <w:t>нии. Так, больные, испытывая во время занятий вне</w:t>
        <w:softHyphen/>
        <w:t>запный «ворох, вихрь мыслей» в голове, вскакивают, совершают по несколько десятков быстрых приседа</w:t>
        <w:softHyphen/>
        <w:t>ний или беспокойно ходят по комнате. Малые идеа</w:t>
        <w:softHyphen/>
        <w:t>торные автоматизмы также возникают в структуре се- нестопатических симптомокомплексов во время тре</w:t>
        <w:softHyphen/>
        <w:t>вожных, приближающихся к раптоидным приступов, имеющих оформление вегетативного криза.</w:t>
      </w:r>
    </w:p>
    <w:p>
      <w:pPr>
        <w:pStyle w:val="Style30"/>
        <w:numPr>
          <w:ilvl w:val="0"/>
          <w:numId w:val="57"/>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Большинству больных с депрессивными состояниями присущи патологические телесные ощущения — се- нестопатии, которые чаще всего локализуются в голо</w:t>
        <w:softHyphen/>
        <w:t>ве, грудной клетке, реже — в других частях тела. Важ</w:t>
        <w:softHyphen/>
        <w:t>но знать, что всякие патологические телесные сенса</w:t>
        <w:softHyphen/>
        <w:t>ции пациенты называют «болью» и расценивают как признак развивающегося соматического заболевания. Нередко и интернисты ошибочно оценивают сенесто- патии как соматические расстройства. Для правиль</w:t>
        <w:softHyphen/>
        <w:t>ной феноменологической оценки патологических ощущений важен углубленный расспрос, позволяю</w:t>
        <w:softHyphen/>
        <w:t>щий проанализировать их развитие. Они возникают на фоне уже существующих аффективных наруше</w:t>
        <w:softHyphen/>
        <w:t>ний, которые усиливаются непосредственно перед возникновением патологических сенсаций. Ухудше</w:t>
        <w:softHyphen/>
        <w:t>ние самочувствия перед появлением сенестопатий возникает в основном аутохтонно, в соответствии с суточным ритмом аффективных расстройств, реже связано с умственной деятельностью или психоген</w:t>
        <w:softHyphen/>
        <w:t>ными негативными эмоциями. Физическая нагрузка обычно не оказывает отрицательного влияния, даже наоборот, но больные могут избегать ее, так как для них затруднительна любая перемена деятельности. Сенестопатии могут быть транзиторными, эпизодич</w:t>
        <w:softHyphen/>
        <w:t>ными, но, как правило, повторяются изо дня в день.</w:t>
      </w:r>
    </w:p>
    <w:p>
      <w:pPr>
        <w:pStyle w:val="Style30"/>
        <w:numPr>
          <w:ilvl w:val="0"/>
          <w:numId w:val="57"/>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Непосредственно перед возникновением сенестопа- тий с алгическим оттенком (сенестоалгий) происхо</w:t>
        <w:softHyphen/>
        <w:t>дит углубление астеноадинамических расстройств. Больные рассказывают, что перед появлением «бо</w:t>
        <w:softHyphen/>
        <w:t>лей» усиливаются вялость, разбитость, сравнивают свое самочувствие с тем, какое бывает после бессон</w:t>
        <w:softHyphen/>
        <w:br w:type="column"/>
        <w:t>ной ночи, хотя в данном состоянии нередко спят бо</w:t>
        <w:softHyphen/>
        <w:t>лее 10-12 часов в сутки. В начале возникновения сене- стоалгий собственно болевой компонент отсутствует. На вопрос, похожи ли данные ощущения на боли, возникавшие у них ранее при соматических болезнях и травмах, и просьбе описать их больные отвечают от</w:t>
        <w:softHyphen/>
        <w:t>рицательно. Сенсации могут начинаться с появления необычных, лишенных сенсорной окраски, незнако</w:t>
        <w:softHyphen/>
        <w:t>мых ранее «ощущений органа» или части тела («чув</w:t>
        <w:softHyphen/>
        <w:t>ствую сердце», «руку», «часть лица», «чувствую мозг» и т. п.), которые затем приобретают чувственный отте</w:t>
        <w:softHyphen/>
        <w:t>нок «чего-то мешающего», «лишнего», «посторонне</w:t>
        <w:softHyphen/>
        <w:t>го», ощущений «тяжести», «распирания», «сдавлива</w:t>
        <w:softHyphen/>
        <w:t>ния», локализующихся «внутри», «в глубине» головы, грудной клетки, другой части тела. По мере нараста</w:t>
        <w:softHyphen/>
        <w:t>ния этих ощущений к ним присоединяется или даже замещает их собственно болевой компонент, имею</w:t>
        <w:softHyphen/>
        <w:t>щий непостоянные интенсивность или локализацию, например, колики, возникающие то слева, то справа в грудной клетке, «пульсирующая, распирающая» го</w:t>
        <w:softHyphen/>
        <w:t>ловная боль, «ноющая» боль в сердце.</w:t>
      </w:r>
    </w:p>
    <w:p>
      <w:pPr>
        <w:pStyle w:val="Style30"/>
        <w:numPr>
          <w:ilvl w:val="0"/>
          <w:numId w:val="57"/>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Типичные сенестопатии более тягостного и сложного характера, чем сенестоалгии, возникают вслед за по</w:t>
        <w:softHyphen/>
        <w:t>явлением или усилением тревоги. Эти сенсации обычно лишены собственно алгического компонента и представляют собой трудно поддающиеся описа</w:t>
        <w:softHyphen/>
        <w:t>нию ощущения перемещения в глубине головы, тела («бурление», «перемешивание», «сдавливание и рас- пирание», «съеживание», «отслаивание»), нередко сопровождающиеся термическими ощущениями («жар», «печение», «холод», «кипение»).</w:t>
      </w:r>
    </w:p>
    <w:p>
      <w:pPr>
        <w:pStyle w:val="Style30"/>
        <w:numPr>
          <w:ilvl w:val="0"/>
          <w:numId w:val="57"/>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Многим депрессивным состояниям, сопровождаю</w:t>
        <w:softHyphen/>
        <w:t>щимся ПМК, свойственны ипохондрические пере</w:t>
        <w:softHyphen/>
        <w:t>живания, которые психологически понятны и вто</w:t>
        <w:softHyphen/>
        <w:t>ричны, возникают у больных как попытка объясне</w:t>
        <w:softHyphen/>
        <w:t>ния имеющейся у них симптоматики — вегетативных нарушений, сенестопатий, падения умственной ра</w:t>
        <w:softHyphen/>
        <w:t>ботоспособности. Глубина ипохондрических пережи</w:t>
        <w:softHyphen/>
        <w:t>ваний различна. В одних случаях это нестойкие не</w:t>
        <w:softHyphen/>
        <w:t>конкретные опасения (ипохондрическая настроен</w:t>
        <w:softHyphen/>
        <w:t>ность) развивающегося сердечного заболевания, в других — это трудно поддающаяся коррекции убеж</w:t>
        <w:softHyphen/>
        <w:t>денность больных в неминуемой угрозе или начале соматической болезни, заставляющая их добиваться все новых и новых обследований.</w:t>
      </w:r>
    </w:p>
    <w:p>
      <w:pPr>
        <w:pStyle w:val="Style30"/>
        <w:numPr>
          <w:ilvl w:val="0"/>
          <w:numId w:val="57"/>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Основные компоненты депрессивных состояний (адинамия, тревога, сенестопатии, «астеническая не</w:t>
        <w:softHyphen/>
        <w:t>состоятельность», ипохондрия) складываются в раз</w:t>
        <w:softHyphen/>
        <w:t>личные варианты субдепрессий, которые представля</w:t>
        <w:softHyphen/>
        <w:t>ют собой континуум постепенно усложняющихся и углубляющихся синдромов. Более сложные психо - патологические образования сопровождаются и более разнообразными вегетативными расстройствами.</w:t>
      </w:r>
    </w:p>
    <w:p>
      <w:pPr>
        <w:pStyle w:val="Style30"/>
        <w:numPr>
          <w:ilvl w:val="0"/>
          <w:numId w:val="57"/>
        </w:numPr>
        <w:tabs>
          <w:tab w:leader="none" w:pos="239" w:val="left"/>
        </w:tabs>
        <w:widowControl w:val="0"/>
        <w:keepNext w:val="0"/>
        <w:keepLines w:val="0"/>
        <w:shd w:val="clear" w:color="auto" w:fill="auto"/>
        <w:bidi w:val="0"/>
        <w:spacing w:before="0" w:after="0"/>
        <w:ind w:left="260" w:right="0"/>
      </w:pPr>
      <w:r>
        <w:pict>
          <v:shape id="_x0000_s1317" type="#_x0000_t75" style="position:absolute;margin-left:130.55pt;margin-top:737.05pt;width:209.75pt;height:14.9pt;z-index:-125829185;mso-wrap-distance-left:124.1pt;mso-wrap-distance-right:148.1pt;mso-wrap-distance-bottom:10.8pt;mso-position-horizontal-relative:margin;mso-position-vertical-relative:margin" wrapcoords="0 0 21600 0 21600 21600 0 21600 0 0">
            <v:imagedata r:id="rId476" r:href="rId477"/>
            <w10:wrap type="topAndBottom" anchorx="margin" anchory="margin"/>
          </v:shape>
        </w:pict>
      </w:r>
      <w:r>
        <w:rPr>
          <w:lang w:val="ru-RU" w:eastAsia="ru-RU" w:bidi="ru-RU"/>
          <w:w w:val="100"/>
          <w:spacing w:val="0"/>
          <w:color w:val="000000"/>
          <w:position w:val="0"/>
        </w:rPr>
        <w:t>Развитие субдепрессий в большинстве случаев имеет постепенное начало с появления астеноадинамичес- ких расстройств с гиперсомнией и гипотимией. Веге</w:t>
        <w:softHyphen/>
        <w:t>тативные нарушения выявляются на фоне уже изме</w:t>
        <w:softHyphen/>
        <w:t>ненной аффективности. При субдепрессиях с преоб</w:t>
        <w:softHyphen/>
        <w:t>ладанием адинамии над тревогой («вегетативных» и сенестопатических субдепрессиях) больные могут не высказывать активных жалоб, и вегетодисфункция выявляется «случайно» — на медосмотре. Постановка</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диагноза ПМК нередко служит толчком к появлению ипохондрических опасений.</w:t>
      </w:r>
    </w:p>
    <w:p>
      <w:pPr>
        <w:pStyle w:val="Style30"/>
        <w:numPr>
          <w:ilvl w:val="0"/>
          <w:numId w:val="57"/>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Вторым по частоте после аффективных нарушений у больных ПМК является астенический симптомо</w:t>
        <w:softHyphen/>
        <w:t>комплекс. Он проявляется в жалобах больных на не</w:t>
        <w:softHyphen/>
        <w:t>переносимость яркого света, громких звуков, повы</w:t>
        <w:softHyphen/>
        <w:t>шенную отвлекаемость. Преобладает отвлекаемость на внешние, обычно малозначащие явления (шум ма</w:t>
        <w:softHyphen/>
        <w:t>шин за окном, появление нового человека в комна</w:t>
        <w:softHyphen/>
        <w:t>те). Внутренняя отвлекаемость связана с наличием доминирующих переживаний, которые также неред</w:t>
        <w:softHyphen/>
        <w:t>ко нарушают засыпание. У больных выявляется раз</w:t>
        <w:softHyphen/>
        <w:t>дражительная слабость с короткими вспышками раз</w:t>
        <w:softHyphen/>
        <w:t>дражения и скорым раскаянием, иногда — со слезли</w:t>
        <w:softHyphen/>
        <w:t>востью. Отмечается инвертированный суточный ритм: больные хуже чувствуют себя к вечеру, когда на</w:t>
        <w:softHyphen/>
        <w:t>растают все перечисленные расстройства, нарушает</w:t>
        <w:softHyphen/>
        <w:t>ся засыпание. Иногда суточная потребность во сне может нерезко возрастать.</w:t>
      </w:r>
    </w:p>
    <w:p>
      <w:pPr>
        <w:pStyle w:val="Style30"/>
        <w:numPr>
          <w:ilvl w:val="0"/>
          <w:numId w:val="57"/>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Выявляясь главным образом при нагрузках, астениче</w:t>
        <w:softHyphen/>
        <w:t>ские расстройства не носят такого диффузного и то</w:t>
        <w:softHyphen/>
        <w:t>тального характера с изменением физического само</w:t>
        <w:softHyphen/>
        <w:t>чувствия, как астеноподобные нарушения при деп</w:t>
        <w:softHyphen/>
        <w:t>рессивных состояниях. Прослеживается отчетливая связь астенических и интеллектуальных расстройств как с интеллектуальной, так и с физической нагрузка</w:t>
        <w:softHyphen/>
        <w:t>ми и, кроме того, с обострениями психотравмирую</w:t>
        <w:softHyphen/>
        <w:t>щей ситуации. Следует отметить, что после отдыха больные, пусть и ненадолго, чувствуют себя вполне бодрыми. Поэтому астеническая симптоматика обыч</w:t>
        <w:softHyphen/>
        <w:t>но выявляется лишь при расспросе и не звучит в ак</w:t>
        <w:softHyphen/>
        <w:t>тивных жалобах. Пациенты не считают ее проявлени</w:t>
        <w:softHyphen/>
        <w:t>ем соматической болезни, а расценивают как «естест</w:t>
        <w:softHyphen/>
        <w:t>венные» утомление или реакцию на переживания.</w:t>
      </w:r>
    </w:p>
    <w:p>
      <w:pPr>
        <w:pStyle w:val="Style30"/>
        <w:numPr>
          <w:ilvl w:val="0"/>
          <w:numId w:val="57"/>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Понижение настроения выявляется только у некото</w:t>
        <w:softHyphen/>
        <w:t>рых больных. Оно носит нестойкий характер и ближе к эмоциональной лабильности с проявлениями недо</w:t>
        <w:softHyphen/>
        <w:t>вольно-раздражительного или тревожного аффекта со слезливостью, возникающими при обострении пси</w:t>
        <w:softHyphen/>
        <w:t>хотравмирующей ситуации или напоминании о ней.</w:t>
      </w:r>
    </w:p>
    <w:p>
      <w:pPr>
        <w:pStyle w:val="Style30"/>
        <w:numPr>
          <w:ilvl w:val="0"/>
          <w:numId w:val="57"/>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Патологические ощущения у больных просты и в большинстве случаев носят характер именно бо</w:t>
        <w:softHyphen/>
        <w:t>ли, что позволяет предположительно рассматривать их в рамках собственно вегетативных расстройств. Если больные и говорят о распирающем или давящем характере сенсаций, то это оказывается метафориче</w:t>
        <w:softHyphen/>
        <w:t>ским сравнением, за которым не скрывается ощуще</w:t>
        <w:softHyphen/>
        <w:t>ние перемещения или присутствия чего-то чуждого, постороннего. Наиболее часты жалобы на колики или ноющие боли в области верхушки сердца, ною</w:t>
        <w:softHyphen/>
        <w:t>щие головные боли, нередко возникающие как при физическом утомлении, так и при волнении.</w:t>
      </w:r>
    </w:p>
    <w:p>
      <w:pPr>
        <w:pStyle w:val="Style30"/>
        <w:numPr>
          <w:ilvl w:val="0"/>
          <w:numId w:val="57"/>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Вегетативные расстройства отличаются лабильностью и возникают в значимых для больного ситуациях, что позволяет говорить о преимущественно реактивно-си</w:t>
        <w:softHyphen/>
        <w:t>туационном проявлении вегетодисфункции. Харак</w:t>
        <w:softHyphen/>
        <w:t>терны парциальные вегетативные кризы различной направленности и транзиторные эпизоды (от несколь</w:t>
        <w:softHyphen/>
        <w:t>ких дней до нескольких недель) с артериальными ги- пер- или гипотензией, диареей, гипертермией.</w:t>
      </w:r>
    </w:p>
    <w:p>
      <w:pPr>
        <w:pStyle w:val="Style30"/>
        <w:numPr>
          <w:ilvl w:val="0"/>
          <w:numId w:val="57"/>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Астеническая симптоматика может наблюдаться как в рамках самостоятельного (астенического) синдро-</w:t>
      </w:r>
    </w:p>
    <w:p>
      <w:pPr>
        <w:framePr w:h="3936" w:wrap="notBeside" w:vAnchor="text" w:hAnchor="text" w:xAlign="center" w:y="1"/>
        <w:widowControl w:val="0"/>
        <w:jc w:val="center"/>
        <w:rPr>
          <w:sz w:val="2"/>
          <w:szCs w:val="2"/>
        </w:rPr>
      </w:pPr>
      <w:r>
        <w:pict>
          <v:shape id="_x0000_s1318" type="#_x0000_t75" style="width:242pt;height:197pt;">
            <v:imagedata r:id="rId478" r:href="rId479"/>
          </v:shape>
        </w:pict>
      </w:r>
    </w:p>
    <w:p>
      <w:pPr>
        <w:pStyle w:val="Style120"/>
        <w:framePr w:h="3936"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37. </w:t>
      </w:r>
      <w:r>
        <w:rPr>
          <w:lang w:val="ru-RU" w:eastAsia="ru-RU" w:bidi="ru-RU"/>
          <w:w w:val="100"/>
          <w:spacing w:val="0"/>
          <w:color w:val="000000"/>
          <w:position w:val="0"/>
        </w:rPr>
        <w:t>Нарушения процесса реполяризации при ПМК, усилива</w:t>
        <w:softHyphen/>
        <w:t>ющиеся в ортостазе.</w:t>
      </w:r>
    </w:p>
    <w:p>
      <w:pPr>
        <w:widowControl w:val="0"/>
        <w:rPr>
          <w:sz w:val="2"/>
          <w:szCs w:val="2"/>
        </w:rPr>
      </w:pPr>
    </w:p>
    <w:p>
      <w:pPr>
        <w:pStyle w:val="Style30"/>
        <w:widowControl w:val="0"/>
        <w:keepNext w:val="0"/>
        <w:keepLines w:val="0"/>
        <w:shd w:val="clear" w:color="auto" w:fill="auto"/>
        <w:bidi w:val="0"/>
        <w:spacing w:before="501" w:after="0"/>
        <w:ind w:left="520" w:right="0" w:firstLine="0"/>
      </w:pPr>
      <w:r>
        <w:rPr>
          <w:lang w:val="ru-RU" w:eastAsia="ru-RU" w:bidi="ru-RU"/>
          <w:w w:val="100"/>
          <w:spacing w:val="0"/>
          <w:color w:val="000000"/>
          <w:position w:val="0"/>
        </w:rPr>
        <w:t>ма, так и входить в структуру более сложных невроти</w:t>
        <w:softHyphen/>
        <w:t>ческих и неврозоподобных, психопатических и пси</w:t>
        <w:softHyphen/>
        <w:t>хопатоподобных синдромов. Последние встречаются чаще, чем синдромы невротического уровня.</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Следует указать, что выявление пролонгированной и прогрессирующей истинно астенической симпто</w:t>
        <w:softHyphen/>
        <w:t>матики должно насторожить клинициста в отноше</w:t>
        <w:softHyphen/>
        <w:t>нии невыявленной соматоневрологической органи</w:t>
        <w:softHyphen/>
        <w:t>ческой патологии.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Основные электрокардиографические нарушения, об</w:t>
        <w:softHyphen/>
        <w:t>наруживаемые при ПМК у детей, включают изменения ко</w:t>
        <w:softHyphen/>
        <w:t>нечной части желудочкового комплекса, нарушения сер</w:t>
        <w:softHyphen/>
        <w:t>дечного ритма и проводимости.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Нарушения процесса реполяризации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Изменения процесса реполяризации на стандартной ЭКГ регистрируются в различных отведениях, при этом можно выделить 3 типичных варианта:</w:t>
      </w:r>
    </w:p>
    <w:p>
      <w:pPr>
        <w:pStyle w:val="Style30"/>
        <w:numPr>
          <w:ilvl w:val="0"/>
          <w:numId w:val="57"/>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Изолированная инверсия зубцов Т в отведениях от конечностей; II, III, </w:t>
      </w:r>
      <w:r>
        <w:rPr>
          <w:lang w:val="en-US" w:eastAsia="en-US" w:bidi="en-US"/>
          <w:w w:val="100"/>
          <w:spacing w:val="0"/>
          <w:color w:val="000000"/>
          <w:position w:val="0"/>
        </w:rPr>
        <w:t xml:space="preserve">avF </w:t>
      </w:r>
      <w:r>
        <w:rPr>
          <w:lang w:val="ru-RU" w:eastAsia="ru-RU" w:bidi="ru-RU"/>
          <w:w w:val="100"/>
          <w:spacing w:val="0"/>
          <w:color w:val="000000"/>
          <w:position w:val="0"/>
        </w:rPr>
        <w:t xml:space="preserve">без смещения сегмента </w:t>
      </w:r>
      <w:r>
        <w:rPr>
          <w:lang w:val="en-US" w:eastAsia="en-US" w:bidi="en-US"/>
          <w:w w:val="100"/>
          <w:spacing w:val="0"/>
          <w:color w:val="000000"/>
          <w:position w:val="0"/>
        </w:rPr>
        <w:t>ST</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Инверсия зубцов Т в отведениях от конечностей и ле</w:t>
        <w:softHyphen/>
        <w:t>вых грудных отведениях (преимущественно в У</w:t>
      </w:r>
      <w:r>
        <w:rPr>
          <w:lang w:val="ru-RU" w:eastAsia="ru-RU" w:bidi="ru-RU"/>
          <w:vertAlign w:val="subscript"/>
          <w:w w:val="100"/>
          <w:spacing w:val="0"/>
          <w:color w:val="000000"/>
          <w:position w:val="0"/>
        </w:rPr>
        <w:t>5</w:t>
      </w:r>
      <w:r>
        <w:rPr>
          <w:lang w:val="ru-RU" w:eastAsia="ru-RU" w:bidi="ru-RU"/>
          <w:w w:val="100"/>
          <w:spacing w:val="0"/>
          <w:color w:val="000000"/>
          <w:position w:val="0"/>
        </w:rPr>
        <w:t xml:space="preserve">-Уб) в сочетании с небольшим смещением сегмента </w:t>
      </w:r>
      <w:r>
        <w:rPr>
          <w:lang w:val="en-US" w:eastAsia="en-US" w:bidi="en-US"/>
          <w:w w:val="100"/>
          <w:spacing w:val="0"/>
          <w:color w:val="000000"/>
          <w:position w:val="0"/>
        </w:rPr>
        <w:t xml:space="preserve">ST </w:t>
      </w:r>
      <w:r>
        <w:rPr>
          <w:lang w:val="ru-RU" w:eastAsia="ru-RU" w:bidi="ru-RU"/>
          <w:w w:val="100"/>
          <w:spacing w:val="0"/>
          <w:color w:val="000000"/>
          <w:position w:val="0"/>
        </w:rPr>
        <w:t>ниже изолинии.</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Инверсия зубцов Т в сочетании с под ъемом сегмента </w:t>
      </w:r>
      <w:r>
        <w:rPr>
          <w:lang w:val="en-US" w:eastAsia="en-US" w:bidi="en-US"/>
          <w:w w:val="100"/>
          <w:spacing w:val="0"/>
          <w:color w:val="000000"/>
          <w:position w:val="0"/>
        </w:rPr>
        <w:t>ST</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Удлинение интервала </w:t>
      </w:r>
      <w:r>
        <w:rPr>
          <w:lang w:val="en-US" w:eastAsia="en-US" w:bidi="en-US"/>
          <w:w w:val="100"/>
          <w:spacing w:val="0"/>
          <w:color w:val="000000"/>
          <w:position w:val="0"/>
        </w:rPr>
        <w:t>QT.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Изолированная инверсия зубцов Т в отведениях от ко</w:t>
        <w:softHyphen/>
        <w:t>нечностей связана с особенностями расположения сердца (вертикальное «капельное» сердце, срединно расположен</w:t>
        <w:softHyphen/>
        <w:t>ное) в грудной клетке по типу «подвешенного» сердца (см. дифференциальная диагностика ПМК).</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pict>
          <v:shape id="_x0000_s1319" type="#_x0000_t75" style="position:absolute;margin-left:147.35pt;margin-top:737.05pt;width:209.75pt;height:14.9pt;z-index:-125829184;mso-wrap-distance-left:147.35pt;mso-wrap-distance-right:137.75pt;mso-wrap-distance-bottom:10.8pt;mso-position-horizontal-relative:margin;mso-position-vertical-relative:margin" wrapcoords="0 0 21600 0 21600 21600 0 21600 0 0">
            <v:imagedata r:id="rId480" r:href="rId481"/>
            <w10:wrap type="topAndBottom" anchorx="margin" anchory="margin"/>
          </v:shape>
        </w:pict>
      </w:r>
      <w:r>
        <w:rPr>
          <w:lang w:val="ru-RU" w:eastAsia="ru-RU" w:bidi="ru-RU"/>
          <w:w w:val="100"/>
          <w:spacing w:val="0"/>
          <w:color w:val="000000"/>
          <w:position w:val="0"/>
        </w:rPr>
        <w:t xml:space="preserve">В состоянии покоя </w:t>
      </w:r>
      <w:r>
        <w:rPr>
          <w:lang w:val="en-US" w:eastAsia="en-US" w:bidi="en-US"/>
          <w:w w:val="100"/>
          <w:spacing w:val="0"/>
          <w:color w:val="000000"/>
          <w:position w:val="0"/>
        </w:rPr>
        <w:t xml:space="preserve">ST-T </w:t>
      </w:r>
      <w:r>
        <w:rPr>
          <w:lang w:val="ru-RU" w:eastAsia="ru-RU" w:bidi="ru-RU"/>
          <w:w w:val="100"/>
          <w:spacing w:val="0"/>
          <w:color w:val="000000"/>
          <w:position w:val="0"/>
        </w:rPr>
        <w:t>нарушения при инверсии зубца Т в отведениях от конечностях и левых грудных обнаруживаются у 30% детей с синдромом пролабиро- вания, их частота возрастает в 2 раза при регистрации стандартной ЭКГ в ортостатическом положении (рис. 37). Данный факт свидетельствует о наличии уде-</w:t>
      </w:r>
      <w:r>
        <w:br w:type="page"/>
      </w:r>
    </w:p>
    <w:p>
      <w:pPr>
        <w:pStyle w:val="Style30"/>
        <w:widowControl w:val="0"/>
        <w:keepNext w:val="0"/>
        <w:keepLines w:val="0"/>
        <w:shd w:val="clear" w:color="auto" w:fill="auto"/>
        <w:bidi w:val="0"/>
        <w:spacing w:before="0" w:after="0"/>
        <w:ind w:left="260" w:right="0" w:firstLine="0"/>
      </w:pPr>
      <w:r>
        <w:pict>
          <v:shape id="_x0000_s1320" type="#_x0000_t202" style="position:absolute;margin-left:-5.5pt;margin-top:3.35pt;width:240.7pt;height:191.5pt;z-index:-125829183;mso-wrap-distance-left:5.pt;mso-wrap-distance-right:5.pt;mso-position-horizontal-relative:margin;mso-position-vertical-relative:margin" wrapcoords="0 0 21555 0 21555 18319 21600 19672 21600 21600 0 21600 0 0" filled="f" stroked="f">
            <v:textbox style="mso-fit-shape-to-text:t" inset="0,0,0,0">
              <w:txbxContent>
                <w:p>
                  <w:pPr>
                    <w:framePr w:h="3830" w:hSpace="24" w:wrap="notBeside" w:hAnchor="margin" w:x="-109" w:y="68"/>
                    <w:widowControl w:val="0"/>
                    <w:jc w:val="center"/>
                    <w:rPr>
                      <w:sz w:val="2"/>
                      <w:szCs w:val="2"/>
                    </w:rPr>
                  </w:pPr>
                  <w:r>
                    <w:pict>
                      <v:shape id="_x0000_s1321" type="#_x0000_t75" style="width:241pt;height:192pt;">
                        <v:imagedata r:id="rId482" r:href="rId483"/>
                      </v:shape>
                    </w:pict>
                  </w:r>
                </w:p>
                <w:p>
                  <w:pPr>
                    <w:pStyle w:val="Style33"/>
                    <w:widowControl w:val="0"/>
                    <w:keepNext w:val="0"/>
                    <w:keepLines w:val="0"/>
                    <w:shd w:val="clear" w:color="auto" w:fill="auto"/>
                    <w:bidi w:val="0"/>
                    <w:jc w:val="both"/>
                    <w:spacing w:before="0" w:after="0" w:line="192" w:lineRule="exact"/>
                    <w:ind w:left="0" w:right="0" w:firstLine="0"/>
                  </w:pPr>
                  <w:r>
                    <w:rPr>
                      <w:rStyle w:val="CharStyle34"/>
                    </w:rPr>
                    <w:t>Рис. 38. Нарушения процесса реполяризации, исчезающие после приема в-адреноблокатора (обзидана).</w:t>
                  </w:r>
                </w:p>
              </w:txbxContent>
            </v:textbox>
            <w10:wrap type="topAndBottom" anchorx="margin" anchory="margin"/>
          </v:shape>
        </w:pict>
      </w:r>
      <w:r>
        <w:pict>
          <v:shape id="_x0000_s1322" type="#_x0000_t202" style="position:absolute;margin-left:246.95pt;margin-top:7.2pt;width:242.9pt;height:185.5pt;z-index:-125829182;mso-wrap-distance-left:5.pt;mso-wrap-distance-top:3.85pt;mso-wrap-distance-right:5.pt;mso-position-horizontal-relative:margin;mso-position-vertical-relative:margin" wrapcoords="106 0 21600 0 21600 17197 21348 18842 21348 21600 0 21600 0 18842 106 17197 106 0" filled="f" stroked="f">
            <v:textbox style="mso-fit-shape-to-text:t" inset="0,0,0,0">
              <w:txbxContent>
                <w:p>
                  <w:pPr>
                    <w:framePr w:h="3710" w:vSpace="77" w:wrap="notBeside" w:hAnchor="margin" w:x="4940" w:y="145"/>
                    <w:widowControl w:val="0"/>
                    <w:jc w:val="center"/>
                    <w:rPr>
                      <w:sz w:val="2"/>
                      <w:szCs w:val="2"/>
                    </w:rPr>
                  </w:pPr>
                  <w:r>
                    <w:pict>
                      <v:shape id="_x0000_s1323" type="#_x0000_t75" style="width:243pt;height:186pt;">
                        <v:imagedata r:id="rId484" r:href="rId485"/>
                      </v:shape>
                    </w:pict>
                  </w:r>
                </w:p>
                <w:p>
                  <w:pPr>
                    <w:pStyle w:val="Style33"/>
                    <w:widowControl w:val="0"/>
                    <w:keepNext w:val="0"/>
                    <w:keepLines w:val="0"/>
                    <w:shd w:val="clear" w:color="auto" w:fill="auto"/>
                    <w:bidi w:val="0"/>
                    <w:jc w:val="both"/>
                    <w:spacing w:before="0" w:after="0" w:line="192" w:lineRule="exact"/>
                    <w:ind w:left="0" w:right="0" w:firstLine="0"/>
                  </w:pPr>
                  <w:r>
                    <w:rPr>
                      <w:rStyle w:val="CharStyle34"/>
                    </w:rPr>
                    <w:t>Рис. 39. Нарушения процесса реполяризации при ПМК, усилива</w:t>
                    <w:softHyphen/>
                    <w:t>ющиеся при проведении велоэргометрии и сохраняющиеся после нагрузки.</w:t>
                  </w:r>
                </w:p>
              </w:txbxContent>
            </v:textbox>
            <w10:wrap type="topAndBottom" anchorx="margin" anchory="margin"/>
          </v:shape>
        </w:pict>
      </w:r>
      <w:r>
        <w:rPr>
          <w:lang w:val="ru-RU" w:eastAsia="ru-RU" w:bidi="ru-RU"/>
          <w:w w:val="100"/>
          <w:spacing w:val="0"/>
          <w:color w:val="000000"/>
          <w:position w:val="0"/>
        </w:rPr>
        <w:t>тей с синдромом ПМК скрытой миокардиальной не</w:t>
        <w:softHyphen/>
        <w:t>стабильности. Появление реполяризационных изме</w:t>
        <w:softHyphen/>
        <w:t>нений в ортоположении можно объяснить увеличени</w:t>
        <w:softHyphen/>
        <w:t>ем натяжения папиллярных мышц за счет возникаю</w:t>
        <w:softHyphen/>
        <w:t>щей тахикардии, уменьшения объема левого желудоч</w:t>
        <w:softHyphen/>
        <w:t>ка и увеличения глубины пролабирования створок.</w:t>
      </w:r>
    </w:p>
    <w:p>
      <w:pPr>
        <w:pStyle w:val="Style30"/>
        <w:numPr>
          <w:ilvl w:val="0"/>
          <w:numId w:val="57"/>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Если раньше причину таких </w:t>
      </w:r>
      <w:r>
        <w:rPr>
          <w:lang w:val="en-US" w:eastAsia="en-US" w:bidi="en-US"/>
          <w:w w:val="100"/>
          <w:spacing w:val="0"/>
          <w:color w:val="000000"/>
          <w:position w:val="0"/>
        </w:rPr>
        <w:t xml:space="preserve">ST-T </w:t>
      </w:r>
      <w:r>
        <w:rPr>
          <w:lang w:val="ru-RU" w:eastAsia="ru-RU" w:bidi="ru-RU"/>
          <w:w w:val="100"/>
          <w:spacing w:val="0"/>
          <w:color w:val="000000"/>
          <w:position w:val="0"/>
        </w:rPr>
        <w:t>изменений на ЭКГ при ПМК связывали с ишемическим нарушением коронарного кровообращения или рассматривали как сочетанное проявление диспластического про</w:t>
        <w:softHyphen/>
        <w:t>цесса в сердце, то в настоящее время большинство ав</w:t>
        <w:softHyphen/>
        <w:t>торов видят причину реполяризационных нарушений при ПМК в гиперсимпатикотонии. Подобное утвер</w:t>
        <w:softHyphen/>
        <w:t xml:space="preserve">ждение обосновывается тем, что </w:t>
      </w:r>
      <w:r>
        <w:rPr>
          <w:lang w:val="en-US" w:eastAsia="en-US" w:bidi="en-US"/>
          <w:w w:val="100"/>
          <w:spacing w:val="0"/>
          <w:color w:val="000000"/>
          <w:position w:val="0"/>
        </w:rPr>
        <w:t xml:space="preserve">ST-T </w:t>
      </w:r>
      <w:r>
        <w:rPr>
          <w:lang w:val="ru-RU" w:eastAsia="ru-RU" w:bidi="ru-RU"/>
          <w:w w:val="100"/>
          <w:spacing w:val="0"/>
          <w:color w:val="000000"/>
          <w:position w:val="0"/>
        </w:rPr>
        <w:t>изменения при ПМК носят вариабельный характер и полностью ис</w:t>
        <w:softHyphen/>
        <w:t>чезают при проведении нагрузочной фармакологиче</w:t>
        <w:softHyphen/>
        <w:t>ской пробы с в-адреноблокатором (рис. 38).</w:t>
      </w:r>
    </w:p>
    <w:p>
      <w:pPr>
        <w:pStyle w:val="Style30"/>
        <w:numPr>
          <w:ilvl w:val="0"/>
          <w:numId w:val="57"/>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Многие авторы указывают на сочетание синдрома ПМК с удлинением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(корригированный показатель интервала более 440 мс). Удлинение интер</w:t>
        <w:softHyphen/>
        <w:t xml:space="preserve">вала </w:t>
      </w:r>
      <w:r>
        <w:rPr>
          <w:lang w:val="en-US" w:eastAsia="en-US" w:bidi="en-US"/>
          <w:w w:val="100"/>
          <w:spacing w:val="0"/>
          <w:color w:val="000000"/>
          <w:position w:val="0"/>
        </w:rPr>
        <w:t xml:space="preserve">QT </w:t>
      </w:r>
      <w:r>
        <w:rPr>
          <w:lang w:val="ru-RU" w:eastAsia="ru-RU" w:bidi="ru-RU"/>
          <w:w w:val="100"/>
          <w:spacing w:val="0"/>
          <w:color w:val="000000"/>
          <w:position w:val="0"/>
        </w:rPr>
        <w:t>устанавливают, если измеренный интервал превышает долженствующий при данной частоте сер</w:t>
        <w:softHyphen/>
        <w:t>дечных сокращений на 0,05 и более (см. рис. 14). Уд</w:t>
        <w:softHyphen/>
        <w:t xml:space="preserve">линение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при ПМК на ЭКГ покоя встре</w:t>
        <w:softHyphen/>
        <w:t>чается с частотой от 20 до 28%, несколько чаще при суточном мониторировании ЭКГ и при изометричес</w:t>
        <w:softHyphen/>
        <w:t>кой нагрузке (Абдуллаев РФ. с соавт.,1991). У больных ПМК и предсердными аритмиями величина интерва</w:t>
        <w:softHyphen/>
        <w:t xml:space="preserve">ла </w:t>
      </w:r>
      <w:r>
        <w:rPr>
          <w:lang w:val="en-US" w:eastAsia="en-US" w:bidi="en-US"/>
          <w:w w:val="100"/>
          <w:spacing w:val="0"/>
          <w:color w:val="000000"/>
          <w:position w:val="0"/>
        </w:rPr>
        <w:t xml:space="preserve">QT </w:t>
      </w:r>
      <w:r>
        <w:rPr>
          <w:lang w:val="ru-RU" w:eastAsia="ru-RU" w:bidi="ru-RU"/>
          <w:w w:val="100"/>
          <w:spacing w:val="0"/>
          <w:color w:val="000000"/>
          <w:position w:val="0"/>
        </w:rPr>
        <w:t>не выходит за верхний предел (440 мс), в то вре</w:t>
        <w:softHyphen/>
        <w:t>мя как у больных с желудочковыми аритмиями, осо</w:t>
        <w:softHyphen/>
        <w:t>бенно при их высоких градациях, она значительно превышает максимально допустимые значения дан</w:t>
        <w:softHyphen/>
        <w:t xml:space="preserve">ного показателя. Синдром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у детей с ПМК чаще протекает бессимптомно.</w:t>
      </w:r>
    </w:p>
    <w:p>
      <w:pPr>
        <w:pStyle w:val="Style30"/>
        <w:numPr>
          <w:ilvl w:val="0"/>
          <w:numId w:val="57"/>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единичных публикациях сообщается о возникнове</w:t>
        <w:softHyphen/>
        <w:t xml:space="preserve">нии миокардиальной ишемии при синдроме ПМК у детей </w:t>
      </w:r>
      <w:r>
        <w:rPr>
          <w:lang w:val="en-US" w:eastAsia="en-US" w:bidi="en-US"/>
          <w:w w:val="100"/>
          <w:spacing w:val="0"/>
          <w:color w:val="000000"/>
          <w:position w:val="0"/>
        </w:rPr>
        <w:t>(Guthmann J.P.,1991).</w:t>
      </w:r>
    </w:p>
    <w:p>
      <w:pPr>
        <w:pStyle w:val="Style30"/>
        <w:numPr>
          <w:ilvl w:val="0"/>
          <w:numId w:val="57"/>
        </w:numPr>
        <w:tabs>
          <w:tab w:leader="none" w:pos="512"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В генезе транзиторной ишемии у таких больных мо</w:t>
        <w:softHyphen/>
        <w:t>гут лежать врожденные аномалии коронарных сосу</w:t>
        <w:softHyphen/>
        <w:t>дов. Миокардиальная ишемия усиливается при про</w:t>
        <w:softHyphen/>
        <w:t>ведении физической нагрузки (рис. 39).</w:t>
      </w:r>
    </w:p>
    <w:p>
      <w:pPr>
        <w:pStyle w:val="Style30"/>
        <w:numPr>
          <w:ilvl w:val="0"/>
          <w:numId w:val="57"/>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Достоверно установить аномалию коронарного кро</w:t>
        <w:softHyphen/>
        <w:t>вообращения позволяет перфузионная сцинтигра- фия миокарда и ангиография коронарных сосудов.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ЭКГ покоя различного характера аритмии регистри</w:t>
        <w:softHyphen/>
        <w:t>руются в единичных случаях, частота их выявления возрас</w:t>
        <w:softHyphen/>
        <w:t>тает в 2-3 раза на фоне физической нагрузки (тредмил, ве- лоэргометрия) и в 5-6 раз при проведении суточного мони- торирования ЭКГ. Среди большого разнообразия аритмий у детей с первичным ПМК чаще всего обнаруживаются си</w:t>
        <w:softHyphen/>
        <w:t>нусовая тахикардия, наджелудочковые и желудочковые экстрасистолии, наджелудочковые формы тахикардий (па</w:t>
        <w:softHyphen/>
        <w:t>роксизмальная, непароксизмальная), реже — синусовая брадикардия, парасистолия, мерцание и трепетание пред</w:t>
        <w:softHyphen/>
        <w:t xml:space="preserve">сердий, синдром </w:t>
      </w:r>
      <w:r>
        <w:rPr>
          <w:lang w:val="en-US" w:eastAsia="en-US" w:bidi="en-US"/>
          <w:w w:val="100"/>
          <w:spacing w:val="0"/>
          <w:color w:val="000000"/>
          <w:position w:val="0"/>
        </w:rPr>
        <w:t>WPW.</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Суправентрикулярные аритмии</w:t>
      </w:r>
    </w:p>
    <w:p>
      <w:pPr>
        <w:pStyle w:val="Style30"/>
        <w:numPr>
          <w:ilvl w:val="0"/>
          <w:numId w:val="57"/>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обнаружения суправентрикулярных аритмий у детей с синдромом ПМК достигает 30-50%.</w:t>
      </w:r>
    </w:p>
    <w:p>
      <w:pPr>
        <w:pStyle w:val="Style30"/>
        <w:numPr>
          <w:ilvl w:val="0"/>
          <w:numId w:val="57"/>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Данные нарушения ритма значительно чаще регист</w:t>
        <w:softHyphen/>
        <w:t>рируются у подростков и реже у детей до 10 лет.</w:t>
      </w:r>
    </w:p>
    <w:p>
      <w:pPr>
        <w:pStyle w:val="Style30"/>
        <w:numPr>
          <w:ilvl w:val="0"/>
          <w:numId w:val="57"/>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Суправентрикулярные аритмии у детей с ПМК чаще ассоциируются с повышенным уровнем корковой ак</w:t>
        <w:softHyphen/>
        <w:t>тивации и вегетативной дисфункцией по симпатико- тоническому типу. Реже возникновение наджелудоч</w:t>
        <w:softHyphen/>
        <w:t>ковых аритмий обусловлено недостаточностью акти</w:t>
        <w:softHyphen/>
        <w:t>вирующих систем мозга на фоне вегетативной ди</w:t>
        <w:softHyphen/>
        <w:t>сфункции по ваготоническому типу.</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Желудочковые аритмии</w:t>
      </w:r>
    </w:p>
    <w:p>
      <w:pPr>
        <w:pStyle w:val="Style30"/>
        <w:numPr>
          <w:ilvl w:val="0"/>
          <w:numId w:val="57"/>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Наиболее часто определяются не опасные для жизни желудочковые аритмии и лишь в небольшом процен</w:t>
        <w:softHyphen/>
        <w:t>те случаев — жизнеугрожающие.</w:t>
      </w:r>
    </w:p>
    <w:p>
      <w:pPr>
        <w:pStyle w:val="Style30"/>
        <w:numPr>
          <w:ilvl w:val="0"/>
          <w:numId w:val="57"/>
        </w:numPr>
        <w:tabs>
          <w:tab w:leader="none" w:pos="512" w:val="left"/>
        </w:tabs>
        <w:widowControl w:val="0"/>
        <w:keepNext w:val="0"/>
        <w:keepLines w:val="0"/>
        <w:shd w:val="clear" w:color="auto" w:fill="auto"/>
        <w:bidi w:val="0"/>
        <w:spacing w:before="0" w:after="0"/>
        <w:ind w:left="520" w:right="0" w:hanging="240"/>
      </w:pPr>
      <w:r>
        <w:pict>
          <v:shape id="_x0000_s1324" type="#_x0000_t75" style="position:absolute;margin-left:130.8pt;margin-top:737.05pt;width:209.75pt;height:14.9pt;z-index:-125829181;mso-wrap-distance-left:124.1pt;mso-wrap-distance-right:147.6pt;mso-wrap-distance-bottom:10.8pt;mso-position-horizontal-relative:margin;mso-position-vertical-relative:margin" wrapcoords="0 0 21600 0 21600 21600 0 21600 0 0">
            <v:imagedata r:id="rId486" r:href="rId487"/>
            <w10:wrap type="topAndBottom" anchorx="margin" anchory="margin"/>
          </v:shape>
        </w:pict>
      </w:r>
      <w:r>
        <w:rPr>
          <w:lang w:val="ru-RU" w:eastAsia="ru-RU" w:bidi="ru-RU"/>
          <w:w w:val="100"/>
          <w:spacing w:val="0"/>
          <w:color w:val="000000"/>
          <w:position w:val="0"/>
        </w:rPr>
        <w:t>Для больных ПМК более характерна правожелудоч</w:t>
        <w:softHyphen/>
        <w:t>ковая локализация эктопического фокуса, особенно в случае желудочковой тахикардии.</w:t>
      </w:r>
      <w:r>
        <w:br w:type="page"/>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Установлена тесная ассоциация желудочковых арит</w:t>
        <w:softHyphen/>
        <w:t>мий с уровнем циркулирующих катехоламинов, пре</w:t>
        <w:softHyphen/>
        <w:t>имущественно с адреналовой фракцией.</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с ПМК в большинстве случаев желудочковые аритмии протекают доброкачественно и бессимптом</w:t>
        <w:softHyphen/>
        <w:t>но. Однако во всех случаях документированной желу</w:t>
        <w:softHyphen/>
        <w:t>дочковой аритмии (стандартная ЭКГ, на пробе с фи</w:t>
        <w:softHyphen/>
        <w:t>зической нагрузкой) необходимо провести дополни</w:t>
        <w:softHyphen/>
        <w:t>тельное исследование для определения факторов ри</w:t>
        <w:softHyphen/>
        <w:t>ска жизнеугрожающих желудочковых аритмий (же</w:t>
        <w:softHyphen/>
        <w:t>лудочковая тахикардия, фибрилляция).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Электрофизиологическое исследование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больных с ПМК значительно чаще, чем в контроле, обнаруживаются различные электрофизиологические ано</w:t>
        <w:softHyphen/>
        <w:t xml:space="preserve">малии </w:t>
      </w:r>
      <w:r>
        <w:rPr>
          <w:lang w:val="en-US" w:eastAsia="en-US" w:bidi="en-US"/>
          <w:w w:val="100"/>
          <w:spacing w:val="0"/>
          <w:color w:val="000000"/>
          <w:position w:val="0"/>
        </w:rPr>
        <w:t>(Gil R.,1991):</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Нарушение автоматизма синусового узла — 32,5%.</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Дополнительные атриовентрикулярные пути — 32,5%.</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Замедление проведения по атриовентрикулярному узлу — 20%.</w:t>
      </w:r>
    </w:p>
    <w:p>
      <w:pPr>
        <w:pStyle w:val="Style30"/>
        <w:numPr>
          <w:ilvl w:val="0"/>
          <w:numId w:val="57"/>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Нарушение внутрижелудочкового проведения:</w:t>
      </w:r>
    </w:p>
    <w:p>
      <w:pPr>
        <w:pStyle w:val="Style30"/>
        <w:numPr>
          <w:ilvl w:val="0"/>
          <w:numId w:val="59"/>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в проксимальных сегментах — 15%;</w:t>
      </w:r>
    </w:p>
    <w:p>
      <w:pPr>
        <w:pStyle w:val="Style30"/>
        <w:numPr>
          <w:ilvl w:val="0"/>
          <w:numId w:val="59"/>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в дистальных сегментах — 7,5%.</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 время программируемой стимуляции суправентрику</w:t>
        <w:softHyphen/>
        <w:t>лярные дизритмии провоцируются примерно у половины больных с ПМК. Генез выявляемых электрофизиологичес</w:t>
        <w:softHyphen/>
        <w:t>ких аномалий не ясен. Можно полагать, что данные анома</w:t>
        <w:softHyphen/>
        <w:t>лии связаны с дизэмбриогенезом проводящей системы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Рентгенография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отсутствии митральной регургитации расширения тени сердца и отдельных его камер не наблюдается. У боль</w:t>
        <w:softHyphen/>
        <w:t>шинства детей тень сердца располагается срединно и не</w:t>
        <w:softHyphen/>
        <w:t>пропорционально уменьшена по сравнению с шириной грудной клетки (рис. 40).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Малые размеры сердца в 60% сочетаются с выбуханием дуги легочной артерии. Известно, что малое сердце как ва</w:t>
        <w:softHyphen/>
        <w:t>риант гипоэволютивного развития обнаруживается у 8-17% здоровых детей 14-17 лет. У детей с малым сердцем часто обнаруживаются высокий рост, астеническое телосложе</w:t>
        <w:softHyphen/>
        <w:t>ние, хронические очаги инфекции, признаки вегетативной дистонии со снижением уровня холинергической регуля</w:t>
        <w:softHyphen/>
        <w:t>ции и значительным усилением симпатических воздей</w:t>
        <w:softHyphen/>
        <w:t>ствий на организм. Данная гипоэволюция сердца, вероят</w:t>
        <w:softHyphen/>
        <w:t>но, связана с феноменом акселерации развития, сопровож</w:t>
        <w:softHyphen/>
        <w:t>дающимся асинхронией развития внутренних органов, в частности, сердечно-сосудистой системы и механизмов ее регуляции (Р.А.Калюжная). Обнаруживаемое выбухание дуги легочной артерии является подтверждением неполно</w:t>
        <w:softHyphen/>
        <w:t>ценности соединительной ткани в структуре сосудистой стенки легочной артерии, при этом довольно часто опреде</w:t>
        <w:softHyphen/>
        <w:t>ляется пограничная легочная гипертензия и «физиологиче</w:t>
        <w:softHyphen/>
        <w:t>ская» легочная регургитация.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Дозированная физическая нагрузка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Метод дозированной физической нагрузки (велоэргоме- трия, бегущая дорожка — тест на тредмиле) при ПМК при</w:t>
        <w:softHyphen/>
        <w:t>меняют в целях:</w:t>
      </w:r>
    </w:p>
    <w:p>
      <w:pPr>
        <w:pStyle w:val="Style30"/>
        <w:numPr>
          <w:ilvl w:val="0"/>
          <w:numId w:val="5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объективной оценки функционального состояния сердечно-сосудистой системы;</w:t>
      </w:r>
    </w:p>
    <w:p>
      <w:pPr>
        <w:pStyle w:val="Style30"/>
        <w:numPr>
          <w:ilvl w:val="0"/>
          <w:numId w:val="5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выявления изменений сердечно-сосудистой системы в виде скрытой коронарной недостаточности, сосу</w:t>
        <w:softHyphen/>
        <w:t>дистой гиперреактивности, нарушений сердечного</w:t>
      </w:r>
    </w:p>
    <w:p>
      <w:pPr>
        <w:framePr w:h="3427" w:wrap="notBeside" w:vAnchor="text" w:hAnchor="text" w:xAlign="center" w:y="1"/>
        <w:widowControl w:val="0"/>
        <w:jc w:val="center"/>
        <w:rPr>
          <w:sz w:val="2"/>
          <w:szCs w:val="2"/>
        </w:rPr>
      </w:pPr>
      <w:r>
        <w:pict>
          <v:shape id="_x0000_s1325" type="#_x0000_t75" style="width:242pt;height:171pt;">
            <v:imagedata r:id="rId488" r:href="rId489"/>
          </v:shape>
        </w:pict>
      </w:r>
    </w:p>
    <w:p>
      <w:pPr>
        <w:pStyle w:val="Style120"/>
        <w:framePr w:h="3427"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40. </w:t>
      </w:r>
      <w:r>
        <w:rPr>
          <w:lang w:val="ru-RU" w:eastAsia="ru-RU" w:bidi="ru-RU"/>
          <w:w w:val="100"/>
          <w:spacing w:val="0"/>
          <w:color w:val="000000"/>
          <w:position w:val="0"/>
        </w:rPr>
        <w:t>Рентгенограмма при пролапсе митрального клапана: тень сердца срединно расположена, выступает дуга легочной артерии.</w:t>
      </w:r>
    </w:p>
    <w:p>
      <w:pPr>
        <w:widowControl w:val="0"/>
        <w:rPr>
          <w:sz w:val="2"/>
          <w:szCs w:val="2"/>
        </w:rPr>
      </w:pPr>
    </w:p>
    <w:p>
      <w:pPr>
        <w:pStyle w:val="Style30"/>
        <w:widowControl w:val="0"/>
        <w:keepNext w:val="0"/>
        <w:keepLines w:val="0"/>
        <w:shd w:val="clear" w:color="auto" w:fill="auto"/>
        <w:bidi w:val="0"/>
        <w:spacing w:before="381" w:after="0"/>
        <w:ind w:left="520" w:right="0" w:firstLine="0"/>
      </w:pPr>
      <w:r>
        <w:rPr>
          <w:lang w:val="ru-RU" w:eastAsia="ru-RU" w:bidi="ru-RU"/>
          <w:w w:val="100"/>
          <w:spacing w:val="0"/>
          <w:color w:val="000000"/>
          <w:position w:val="0"/>
        </w:rPr>
        <w:t>ритма (в том числе угрожающих жизни аритмий) про</w:t>
        <w:softHyphen/>
        <w:t>водимости и процесса реполяризации;</w:t>
      </w:r>
    </w:p>
    <w:p>
      <w:pPr>
        <w:pStyle w:val="Style30"/>
        <w:numPr>
          <w:ilvl w:val="0"/>
          <w:numId w:val="5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определения эффективности терапии антиаритмиче</w:t>
        <w:softHyphen/>
        <w:t>скими, гипотензивными и другими препаратами;</w:t>
      </w:r>
    </w:p>
    <w:p>
      <w:pPr>
        <w:pStyle w:val="Style30"/>
        <w:numPr>
          <w:ilvl w:val="0"/>
          <w:numId w:val="5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прогнозирования течения и осложнений;</w:t>
      </w:r>
    </w:p>
    <w:p>
      <w:pPr>
        <w:pStyle w:val="Style30"/>
        <w:numPr>
          <w:ilvl w:val="0"/>
          <w:numId w:val="5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разработки программы реабилитации и оценки ее эф</w:t>
        <w:softHyphen/>
        <w:t>фективности;</w:t>
      </w:r>
    </w:p>
    <w:p>
      <w:pPr>
        <w:pStyle w:val="Style30"/>
        <w:numPr>
          <w:ilvl w:val="0"/>
          <w:numId w:val="5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оценки физической работоспособности и особеннос</w:t>
        <w:softHyphen/>
        <w:t>тей адаптации кардиореспираторной системы к мы</w:t>
        <w:softHyphen/>
        <w:t>шечной нагрузке.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У детей с первичным ПМК без митральной регургита- ции показатели физической работоспособности </w:t>
      </w:r>
      <w:r>
        <w:rPr>
          <w:lang w:val="en-US" w:eastAsia="en-US" w:bidi="en-US"/>
          <w:w w:val="100"/>
          <w:spacing w:val="0"/>
          <w:color w:val="000000"/>
          <w:position w:val="0"/>
        </w:rPr>
        <w:t xml:space="preserve">(PWC170) </w:t>
      </w:r>
      <w:r>
        <w:rPr>
          <w:lang w:val="ru-RU" w:eastAsia="ru-RU" w:bidi="ru-RU"/>
          <w:w w:val="100"/>
          <w:spacing w:val="0"/>
          <w:color w:val="000000"/>
          <w:position w:val="0"/>
        </w:rPr>
        <w:t>соответствуют возрастным стандартам, при митральной не</w:t>
        <w:softHyphen/>
        <w:t>достаточности снижены соответственно величине регурги- тантного сброса. У большинства детей определяется низкая толерантность к физической нагрузке и преобладание хро- нотропных механизмов регуляции над инотропными, что свидетельствует о дезадаптивном ответе кровообращения на нагрузку и связано с избыточным подключением симпа- тико-адреналовых механизмов.</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Важное значение имеет оценка динамики показате</w:t>
        <w:softHyphen/>
        <w:t xml:space="preserve">лей ЭКГ во время выполнения нагрузочного теста. Амплитуда зубца </w:t>
      </w:r>
      <w:r>
        <w:rPr>
          <w:lang w:val="en-US" w:eastAsia="en-US" w:bidi="en-US"/>
          <w:w w:val="100"/>
          <w:spacing w:val="0"/>
          <w:color w:val="000000"/>
          <w:position w:val="0"/>
        </w:rPr>
        <w:t xml:space="preserve">R </w:t>
      </w:r>
      <w:r>
        <w:rPr>
          <w:lang w:val="ru-RU" w:eastAsia="ru-RU" w:bidi="ru-RU"/>
          <w:w w:val="100"/>
          <w:spacing w:val="0"/>
          <w:color w:val="000000"/>
          <w:position w:val="0"/>
        </w:rPr>
        <w:t>на ЭКГ в период нагрузки отража</w:t>
        <w:softHyphen/>
        <w:t>ет объем левого желудочка. В связи с этим увеличение данного показателя в левых грудных отведениях должно расцениваться как неспособность сердца изометрически справиться с повышенной нагрузкой, что ведет к увеличению конечно-систолического объ</w:t>
        <w:softHyphen/>
        <w:t>ема левого желудочка. Этот ЭКГ-симптом можно рассматривать как признак начальной сердечной не</w:t>
        <w:softHyphen/>
        <w:t xml:space="preserve">достаточности. Уменьшение амплитуды зубца </w:t>
      </w:r>
      <w:r>
        <w:rPr>
          <w:lang w:val="en-US" w:eastAsia="en-US" w:bidi="en-US"/>
          <w:w w:val="100"/>
          <w:spacing w:val="0"/>
          <w:color w:val="000000"/>
          <w:position w:val="0"/>
        </w:rPr>
        <w:t xml:space="preserve">R </w:t>
      </w:r>
      <w:r>
        <w:rPr>
          <w:lang w:val="ru-RU" w:eastAsia="ru-RU" w:bidi="ru-RU"/>
          <w:w w:val="100"/>
          <w:spacing w:val="0"/>
          <w:color w:val="000000"/>
          <w:position w:val="0"/>
        </w:rPr>
        <w:t>в от</w:t>
        <w:softHyphen/>
        <w:t xml:space="preserve">ведениях </w:t>
      </w:r>
      <w:r>
        <w:rPr>
          <w:lang w:val="en-US" w:eastAsia="en-US" w:bidi="en-US"/>
          <w:w w:val="100"/>
          <w:spacing w:val="0"/>
          <w:color w:val="000000"/>
          <w:position w:val="0"/>
        </w:rPr>
        <w:t>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6 </w:t>
      </w:r>
      <w:r>
        <w:rPr>
          <w:lang w:val="ru-RU" w:eastAsia="ru-RU" w:bidi="ru-RU"/>
          <w:w w:val="100"/>
          <w:spacing w:val="0"/>
          <w:color w:val="000000"/>
          <w:position w:val="0"/>
        </w:rPr>
        <w:t>свидетельствует об уменьшении полос</w:t>
        <w:softHyphen/>
        <w:t>ти левого желудочка и адаптационном ответе, хоро</w:t>
        <w:softHyphen/>
        <w:t xml:space="preserve">шей тренированности сердечной мышцы к нагрузке. Однако если снижение зубца </w:t>
      </w:r>
      <w:r>
        <w:rPr>
          <w:lang w:val="en-US" w:eastAsia="en-US" w:bidi="en-US"/>
          <w:w w:val="100"/>
          <w:spacing w:val="0"/>
          <w:color w:val="000000"/>
          <w:position w:val="0"/>
        </w:rPr>
        <w:t xml:space="preserve">R </w:t>
      </w:r>
      <w:r>
        <w:rPr>
          <w:lang w:val="ru-RU" w:eastAsia="ru-RU" w:bidi="ru-RU"/>
          <w:w w:val="100"/>
          <w:spacing w:val="0"/>
          <w:color w:val="000000"/>
          <w:position w:val="0"/>
        </w:rPr>
        <w:t xml:space="preserve">сопровождается уши- рением зубца </w:t>
      </w:r>
      <w:r>
        <w:rPr>
          <w:lang w:val="en-US" w:eastAsia="en-US" w:bidi="en-US"/>
          <w:w w:val="100"/>
          <w:spacing w:val="0"/>
          <w:color w:val="000000"/>
          <w:position w:val="0"/>
        </w:rPr>
        <w:t xml:space="preserve">Q </w:t>
      </w:r>
      <w:r>
        <w:rPr>
          <w:lang w:val="ru-RU" w:eastAsia="ru-RU" w:bidi="ru-RU"/>
          <w:w w:val="100"/>
          <w:spacing w:val="0"/>
          <w:color w:val="000000"/>
          <w:position w:val="0"/>
        </w:rPr>
        <w:t xml:space="preserve">и переходом в </w:t>
      </w:r>
      <w:r>
        <w:rPr>
          <w:lang w:val="en-US" w:eastAsia="en-US" w:bidi="en-US"/>
          <w:w w:val="100"/>
          <w:spacing w:val="0"/>
          <w:color w:val="000000"/>
          <w:position w:val="0"/>
        </w:rPr>
        <w:t xml:space="preserve">QS, </w:t>
      </w:r>
      <w:r>
        <w:rPr>
          <w:lang w:val="ru-RU" w:eastAsia="ru-RU" w:bidi="ru-RU"/>
          <w:w w:val="100"/>
          <w:spacing w:val="0"/>
          <w:color w:val="000000"/>
          <w:position w:val="0"/>
        </w:rPr>
        <w:t>а также в случаях распространенного кардиосклероза, этот признак может свидетельствовать об ишемии.</w:t>
      </w:r>
    </w:p>
    <w:p>
      <w:pPr>
        <w:pStyle w:val="Style30"/>
        <w:numPr>
          <w:ilvl w:val="0"/>
          <w:numId w:val="57"/>
        </w:numPr>
        <w:tabs>
          <w:tab w:leader="none" w:pos="518" w:val="left"/>
        </w:tabs>
        <w:widowControl w:val="0"/>
        <w:keepNext w:val="0"/>
        <w:keepLines w:val="0"/>
        <w:shd w:val="clear" w:color="auto" w:fill="auto"/>
        <w:bidi w:val="0"/>
        <w:spacing w:before="0" w:after="0"/>
        <w:ind w:left="520" w:right="0" w:hanging="240"/>
      </w:pPr>
      <w:r>
        <w:pict>
          <v:shape id="_x0000_s1326" type="#_x0000_t75" style="position:absolute;margin-left:148.1pt;margin-top:737.05pt;width:209.75pt;height:14.9pt;z-index:-125829180;mso-wrap-distance-left:148.1pt;mso-wrap-distance-right:137.05pt;mso-wrap-distance-bottom:10.8pt;mso-position-horizontal-relative:margin;mso-position-vertical-relative:margin" wrapcoords="0 0 21600 0 21600 21600 0 21600 0 0">
            <v:imagedata r:id="rId490" r:href="rId491"/>
            <w10:wrap type="topAndBottom" anchorx="margin" anchory="margin"/>
          </v:shape>
        </w:pict>
      </w:r>
      <w:r>
        <w:rPr>
          <w:lang w:val="ru-RU" w:eastAsia="ru-RU" w:bidi="ru-RU"/>
          <w:w w:val="100"/>
          <w:spacing w:val="0"/>
          <w:color w:val="000000"/>
          <w:position w:val="0"/>
        </w:rPr>
        <w:t xml:space="preserve">В норме при нагрузке зубец Т либо не меняется, либо незначительно снижается. Амплитуда зубца </w:t>
      </w:r>
      <w:r>
        <w:rPr>
          <w:lang w:val="en-US" w:eastAsia="en-US" w:bidi="en-US"/>
          <w:w w:val="100"/>
          <w:spacing w:val="0"/>
          <w:color w:val="000000"/>
          <w:position w:val="0"/>
        </w:rPr>
        <w:t xml:space="preserve">U </w:t>
      </w:r>
      <w:r>
        <w:rPr>
          <w:lang w:val="ru-RU" w:eastAsia="ru-RU" w:bidi="ru-RU"/>
          <w:w w:val="100"/>
          <w:spacing w:val="0"/>
          <w:color w:val="000000"/>
          <w:position w:val="0"/>
        </w:rPr>
        <w:t>обыч</w:t>
        <w:softHyphen/>
        <w:t>но увеличивается. При значительном увеличении</w:t>
      </w:r>
      <w:r>
        <w:br w:type="page"/>
      </w:r>
    </w:p>
    <w:p>
      <w:pPr>
        <w:framePr w:w="3725" w:h="4627" w:hSpace="576" w:wrap="notBeside" w:vAnchor="text" w:hAnchor="text" w:x="1225" w:y="1"/>
        <w:widowControl w:val="0"/>
        <w:rPr>
          <w:sz w:val="2"/>
          <w:szCs w:val="2"/>
        </w:rPr>
      </w:pPr>
      <w:r>
        <w:pict>
          <v:shape id="_x0000_s1327" type="#_x0000_t75" style="width:186pt;height:231pt;">
            <v:imagedata r:id="rId492" r:href="rId493"/>
          </v:shape>
        </w:pict>
      </w:r>
    </w:p>
    <w:p>
      <w:pPr>
        <w:pStyle w:val="Style120"/>
        <w:framePr w:w="4819" w:h="633" w:hSpace="576" w:wrap="notBeside" w:vAnchor="text" w:hAnchor="text" w:x="577" w:y="4844"/>
        <w:widowControl w:val="0"/>
        <w:keepNext w:val="0"/>
        <w:keepLines w:val="0"/>
        <w:shd w:val="clear" w:color="auto" w:fill="auto"/>
        <w:bidi w:val="0"/>
        <w:spacing w:before="0" w:after="0"/>
        <w:ind w:left="0" w:right="0" w:firstLine="0"/>
      </w:pPr>
      <w:r>
        <w:rPr>
          <w:rStyle w:val="CharStyle125"/>
        </w:rPr>
        <w:t xml:space="preserve">Рис. 41. </w:t>
      </w:r>
      <w:r>
        <w:rPr>
          <w:lang w:val="ru-RU" w:eastAsia="ru-RU" w:bidi="ru-RU"/>
          <w:w w:val="100"/>
          <w:spacing w:val="0"/>
          <w:color w:val="000000"/>
          <w:position w:val="0"/>
        </w:rPr>
        <w:t>Одномерная эхокардиограмма при пролапсе митрального клапана: прогибание створок клапана в форме «знака вопроса» (указано стрелкой).</w:t>
      </w:r>
    </w:p>
    <w:p>
      <w:pPr>
        <w:widowControl w:val="0"/>
        <w:rPr>
          <w:sz w:val="2"/>
          <w:szCs w:val="2"/>
        </w:rPr>
      </w:pPr>
    </w:p>
    <w:p>
      <w:pPr>
        <w:pStyle w:val="Style30"/>
        <w:widowControl w:val="0"/>
        <w:keepNext w:val="0"/>
        <w:keepLines w:val="0"/>
        <w:shd w:val="clear" w:color="auto" w:fill="auto"/>
        <w:bidi w:val="0"/>
        <w:spacing w:before="441" w:after="0"/>
        <w:ind w:left="260" w:right="0" w:firstLine="0"/>
      </w:pPr>
      <w:r>
        <w:rPr>
          <w:lang w:val="ru-RU" w:eastAsia="ru-RU" w:bidi="ru-RU"/>
          <w:w w:val="100"/>
          <w:spacing w:val="0"/>
          <w:color w:val="000000"/>
          <w:position w:val="0"/>
        </w:rPr>
        <w:t>ЧСС возможно слияние зубца Т с Р, что затрудняет определение изоэлектрической линии; тогда харак</w:t>
        <w:softHyphen/>
        <w:t xml:space="preserve">тер и величина смещения сегмента </w:t>
      </w:r>
      <w:r>
        <w:rPr>
          <w:lang w:val="en-US" w:eastAsia="en-US" w:bidi="en-US"/>
          <w:w w:val="100"/>
          <w:spacing w:val="0"/>
          <w:color w:val="000000"/>
          <w:position w:val="0"/>
        </w:rPr>
        <w:t xml:space="preserve">ST </w:t>
      </w:r>
      <w:r>
        <w:rPr>
          <w:lang w:val="ru-RU" w:eastAsia="ru-RU" w:bidi="ru-RU"/>
          <w:w w:val="100"/>
          <w:spacing w:val="0"/>
          <w:color w:val="000000"/>
          <w:position w:val="0"/>
        </w:rPr>
        <w:t>и амплитуда зубца Т определяются предположительно. Возникно</w:t>
        <w:softHyphen/>
        <w:t>вение отрицательного зубца Т в стандартных и груд</w:t>
        <w:softHyphen/>
        <w:t>ных отведениях у детей при нагрузке не всегда указы</w:t>
        <w:softHyphen/>
        <w:t>вает на ишемию и чаще связано с вегетативной ди</w:t>
        <w:softHyphen/>
        <w:t xml:space="preserve">сфункцией. Появление отрицательных зубцов Т </w:t>
      </w:r>
      <w:r>
        <w:rPr>
          <w:lang w:val="en-US" w:eastAsia="en-US" w:bidi="en-US"/>
          <w:w w:val="100"/>
          <w:spacing w:val="0"/>
          <w:color w:val="000000"/>
          <w:position w:val="0"/>
        </w:rPr>
        <w:t>V</w:t>
      </w:r>
      <w:r>
        <w:rPr>
          <w:lang w:val="en-US" w:eastAsia="en-US" w:bidi="en-US"/>
          <w:vertAlign w:val="subscript"/>
          <w:w w:val="100"/>
          <w:spacing w:val="0"/>
          <w:color w:val="000000"/>
          <w:position w:val="0"/>
        </w:rPr>
        <w:t>4-</w:t>
      </w:r>
      <w:r>
        <w:rPr>
          <w:lang w:val="en-US" w:eastAsia="en-US" w:bidi="en-US"/>
          <w:w w:val="100"/>
          <w:spacing w:val="0"/>
          <w:color w:val="000000"/>
          <w:position w:val="0"/>
        </w:rPr>
        <w:t xml:space="preserve">6 </w:t>
      </w:r>
      <w:r>
        <w:rPr>
          <w:lang w:val="ru-RU" w:eastAsia="ru-RU" w:bidi="ru-RU"/>
          <w:w w:val="100"/>
          <w:spacing w:val="0"/>
          <w:color w:val="000000"/>
          <w:position w:val="0"/>
        </w:rPr>
        <w:t>на 1-2 минуте пробы отражает первоначальную реакцию миокарда (реакция на включение), в после</w:t>
        <w:softHyphen/>
        <w:t>дующем исчезает и в такой ситуации не является па</w:t>
        <w:softHyphen/>
        <w:t xml:space="preserve">тологическим признаком. О том, что изменения </w:t>
      </w:r>
      <w:r>
        <w:rPr>
          <w:lang w:val="en-US" w:eastAsia="en-US" w:bidi="en-US"/>
          <w:w w:val="100"/>
          <w:spacing w:val="0"/>
          <w:color w:val="000000"/>
          <w:position w:val="0"/>
        </w:rPr>
        <w:t xml:space="preserve">ST-T </w:t>
      </w:r>
      <w:r>
        <w:rPr>
          <w:lang w:val="ru-RU" w:eastAsia="ru-RU" w:bidi="ru-RU"/>
          <w:w w:val="100"/>
          <w:spacing w:val="0"/>
          <w:color w:val="000000"/>
          <w:position w:val="0"/>
        </w:rPr>
        <w:t>ложноположительные, свидетельствует отсутствие боли, исчезновение их при проведении повторной пробы на фоне приема обзидана. О функциональном происхождении отрицательного зубца Т, выявленно</w:t>
        <w:softHyphen/>
        <w:t>го на ЭКГ в покое, будет свидетельствовать реверсия, т.е. положительный зубец Т при нагрузке. У некото</w:t>
        <w:softHyphen/>
        <w:t xml:space="preserve">рых детей на высоте нагрузки в отведениях </w:t>
      </w:r>
      <w:r>
        <w:rPr>
          <w:lang w:val="en-US" w:eastAsia="en-US" w:bidi="en-US"/>
          <w:w w:val="100"/>
          <w:spacing w:val="0"/>
          <w:color w:val="000000"/>
          <w:position w:val="0"/>
        </w:rPr>
        <w:t>V</w:t>
      </w:r>
      <w:r>
        <w:rPr>
          <w:lang w:val="en-US" w:eastAsia="en-US" w:bidi="en-US"/>
          <w:vertAlign w:val="subscript"/>
          <w:w w:val="100"/>
          <w:spacing w:val="0"/>
          <w:color w:val="000000"/>
          <w:position w:val="0"/>
        </w:rPr>
        <w:t>2-3</w:t>
      </w:r>
      <w:r>
        <w:rPr>
          <w:lang w:val="en-US" w:eastAsia="en-US" w:bidi="en-US"/>
          <w:w w:val="100"/>
          <w:spacing w:val="0"/>
          <w:color w:val="000000"/>
          <w:position w:val="0"/>
        </w:rPr>
        <w:t xml:space="preserve"> </w:t>
      </w:r>
      <w:r>
        <w:rPr>
          <w:lang w:val="ru-RU" w:eastAsia="ru-RU" w:bidi="ru-RU"/>
          <w:w w:val="100"/>
          <w:spacing w:val="0"/>
          <w:color w:val="000000"/>
          <w:position w:val="0"/>
        </w:rPr>
        <w:t>ам</w:t>
        <w:softHyphen/>
        <w:t>плитуда зубцов Т увеличивается до 5 мм и более, вплоть до возникновения «гигантских» зуб</w:t>
        <w:softHyphen/>
        <w:t>цов Т. Трактовка таких изменений различна и должна проводиться с учетом имеющейся клинической симптоматики. Увеличение зубцов Т может быть обусловлено гипервентиляцией, которая приводит к развитию дыхательного алкалоза и изменению вну</w:t>
        <w:softHyphen/>
        <w:t>триклеточной концентрации калия, ишемией пере</w:t>
        <w:softHyphen/>
        <w:t>днебоковой стенки в связи с уменьшением ударного выброса и снижением субэндокардиального кровото</w:t>
        <w:softHyphen/>
        <w:t>ка прежде всего переднебоковой стенки левого желу</w:t>
        <w:softHyphen/>
        <w:t>дочка на фоне гиперкатехоламинемии.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 Возникновение нарушений процесса реполяризации (уплощение или инверсия зубца Т, смещение сегмен</w:t>
        <w:softHyphen/>
        <w:t xml:space="preserve">та </w:t>
      </w:r>
      <w:r>
        <w:rPr>
          <w:lang w:val="en-US" w:eastAsia="en-US" w:bidi="en-US"/>
          <w:w w:val="100"/>
          <w:spacing w:val="0"/>
          <w:color w:val="000000"/>
          <w:position w:val="0"/>
        </w:rPr>
        <w:t xml:space="preserve">ST </w:t>
      </w:r>
      <w:r>
        <w:rPr>
          <w:lang w:val="ru-RU" w:eastAsia="ru-RU" w:bidi="ru-RU"/>
          <w:w w:val="100"/>
          <w:spacing w:val="0"/>
          <w:color w:val="000000"/>
          <w:position w:val="0"/>
        </w:rPr>
        <w:t>после реакции включения, «гигантские» зуб</w:t>
        <w:softHyphen/>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цы Т) при физической нагрузке у детей с ПМК свиде</w:t>
        <w:softHyphen/>
        <w:t>тельствует о латентной миокардиальной нестабиль</w:t>
        <w:softHyphen/>
        <w:t>ности, реже эти изменения могут быть вследствие аномального коронарного кровообращения.</w:t>
      </w:r>
    </w:p>
    <w:p>
      <w:pPr>
        <w:pStyle w:val="Style30"/>
        <w:numPr>
          <w:ilvl w:val="0"/>
          <w:numId w:val="57"/>
        </w:numPr>
        <w:tabs>
          <w:tab w:leader="none" w:pos="513"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Большинство суправентрикулярных аритмий, свя</w:t>
        <w:softHyphen/>
        <w:t>занных с нейровегетативными нарушениями регуля</w:t>
        <w:softHyphen/>
        <w:t>ции ритма сердца, у детей с ПМК исчезают при про</w:t>
        <w:softHyphen/>
        <w:t xml:space="preserve">ведении пробы с физической нагрузкой. Важную прогностическую значимость метод велоэргометрии имеет в определении лиц, угрожаемых по внезапной аритмогенной смерти. Появление желудочковых аритмий на нагрузке, особенно в случаях беспри- ступного течения синдрома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 xml:space="preserve">при ПМК, свидетельствует о неблагоприятном прогнозе и диктует необходимость назначения Р-ад- реноблокаторов. Нормализация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на физической нагрузке и отсутствие желудочковых аритмий указывают на благоприятное течение синд</w:t>
        <w:softHyphen/>
        <w:t>рома.</w:t>
      </w:r>
    </w:p>
    <w:p>
      <w:pPr>
        <w:pStyle w:val="Style92"/>
        <w:widowControl w:val="0"/>
        <w:keepNext/>
        <w:keepLines/>
        <w:shd w:val="clear" w:color="auto" w:fill="auto"/>
        <w:bidi w:val="0"/>
        <w:spacing w:before="0" w:after="0"/>
        <w:ind w:left="520" w:right="0" w:hanging="240"/>
      </w:pPr>
      <w:bookmarkStart w:id="404" w:name="bookmark404"/>
      <w:r>
        <w:rPr>
          <w:lang w:val="ru-RU" w:eastAsia="ru-RU" w:bidi="ru-RU"/>
          <w:w w:val="100"/>
          <w:spacing w:val="0"/>
          <w:color w:val="000000"/>
          <w:position w:val="0"/>
        </w:rPr>
        <w:t>Эхокардиография</w:t>
      </w:r>
      <w:bookmarkEnd w:id="40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Одномерная эхокардиография в 80% случаев у больных с типичными аускультативными (фонокардиографически</w:t>
        <w:softHyphen/>
        <w:t>ми) признаками подтверждает диагноз пролапса митраль</w:t>
        <w:softHyphen/>
        <w:t>ного клапана. Однако при М-эхокардиографии возможны ложноположительные и ложноотрицательные результаты обследования. Недостоверная диагностика связана, как правило, с несоблюдением техники исследования. Если датчик располагается выше стандартной позиции или луч направляется под углом вниз, может выявляться ложное го - лосистолическое прогибание створок у 60% здоровых лю</w:t>
        <w:softHyphen/>
        <w:t>дей. В этой связи одномерная эхокардиография не может использоваться при подозрении на пролапс, поскольку очень высока частота ложноположительных случаев диа</w:t>
        <w:softHyphen/>
        <w:t>гностики. У больных с аускультативными проявлениями ПМК одномерная эхокардиография используется для опре</w:t>
        <w:softHyphen/>
        <w:t>деления типа пролабирования, глубины провисания ство</w:t>
        <w:softHyphen/>
        <w:t>рок, сопутствующих аномалий и осложнений (митральная недостаточность, бактериальный эндокардит и др.). Для де</w:t>
        <w:softHyphen/>
        <w:t>тей с ПМК по данным одномерной эхокардиографии ха</w:t>
        <w:softHyphen/>
        <w:t>рактерно позднесистолическое (в виде «вопросительного знака», рис. 41) или голосистолическое (в виде «корыта») прогибание створок в систолу.</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Критерии пролапса митрального клапана по данным од</w:t>
        <w:softHyphen/>
        <w:t>номерной эхокардиографии следующие:</w:t>
      </w:r>
    </w:p>
    <w:p>
      <w:pPr>
        <w:pStyle w:val="Style30"/>
        <w:numPr>
          <w:ilvl w:val="0"/>
          <w:numId w:val="57"/>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Позднесистолическое или голосистолическое выги</w:t>
        <w:softHyphen/>
        <w:t>бание одной или обеих створок по направлению к задней стенке левого предсердия более 3 мм.</w:t>
      </w:r>
    </w:p>
    <w:p>
      <w:pPr>
        <w:pStyle w:val="Style30"/>
        <w:numPr>
          <w:ilvl w:val="0"/>
          <w:numId w:val="57"/>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Множественные эхосигналы от створок клапана.</w:t>
      </w:r>
    </w:p>
    <w:p>
      <w:pPr>
        <w:pStyle w:val="Style30"/>
        <w:numPr>
          <w:ilvl w:val="0"/>
          <w:numId w:val="57"/>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Утолщенность, «лохматость» створок митрального клапана.</w:t>
      </w:r>
    </w:p>
    <w:p>
      <w:pPr>
        <w:pStyle w:val="Style30"/>
        <w:numPr>
          <w:ilvl w:val="0"/>
          <w:numId w:val="57"/>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Диастолическое трепетание створок митрального клапана.</w:t>
      </w:r>
    </w:p>
    <w:p>
      <w:pPr>
        <w:pStyle w:val="Style30"/>
        <w:numPr>
          <w:ilvl w:val="0"/>
          <w:numId w:val="57"/>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Увеличение диастолической экскурсии передней ми</w:t>
        <w:softHyphen/>
        <w:t>тральной створки.</w:t>
      </w:r>
    </w:p>
    <w:p>
      <w:pPr>
        <w:pStyle w:val="Style30"/>
        <w:numPr>
          <w:ilvl w:val="0"/>
          <w:numId w:val="57"/>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Увеличение скорости раннего диастолического при</w:t>
        <w:softHyphen/>
        <w:t>крытия передней митральной створки.</w:t>
      </w:r>
    </w:p>
    <w:p>
      <w:pPr>
        <w:pStyle w:val="Style30"/>
        <w:numPr>
          <w:ilvl w:val="0"/>
          <w:numId w:val="57"/>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Увеличение систолической экскурсии межжелудоч</w:t>
        <w:softHyphen/>
        <w:t>ковой перегородки.</w:t>
      </w:r>
    </w:p>
    <w:p>
      <w:pPr>
        <w:pStyle w:val="Style30"/>
        <w:numPr>
          <w:ilvl w:val="0"/>
          <w:numId w:val="57"/>
        </w:numPr>
        <w:tabs>
          <w:tab w:leader="none" w:pos="513" w:val="left"/>
        </w:tabs>
        <w:widowControl w:val="0"/>
        <w:keepNext w:val="0"/>
        <w:keepLines w:val="0"/>
        <w:shd w:val="clear" w:color="auto" w:fill="auto"/>
        <w:bidi w:val="0"/>
        <w:jc w:val="left"/>
        <w:spacing w:before="0" w:after="0"/>
        <w:ind w:left="520" w:right="0" w:hanging="240"/>
      </w:pPr>
      <w:r>
        <w:pict>
          <v:shape id="_x0000_s1328" type="#_x0000_t75" style="position:absolute;margin-left:130.55pt;margin-top:737.05pt;width:209.75pt;height:14.9pt;z-index:-125829179;mso-wrap-distance-left:124.1pt;mso-wrap-distance-right:148.1pt;mso-wrap-distance-bottom:10.8pt;mso-position-horizontal-relative:margin;mso-position-vertical-relative:margin" wrapcoords="0 0 21600 0 21600 21600 0 21600 0 0">
            <v:imagedata r:id="rId494" r:href="rId495"/>
            <w10:wrap type="topAndBottom" anchorx="margin" anchory="margin"/>
          </v:shape>
        </w:pict>
      </w:r>
      <w:r>
        <w:rPr>
          <w:lang w:val="ru-RU" w:eastAsia="ru-RU" w:bidi="ru-RU"/>
          <w:w w:val="100"/>
          <w:spacing w:val="0"/>
          <w:color w:val="000000"/>
          <w:position w:val="0"/>
        </w:rPr>
        <w:t>Увеличение систолической экскурсии задней стенки левого желудочка.</w:t>
      </w:r>
      <w:r>
        <w:br w:type="page"/>
      </w:r>
    </w:p>
    <w:p>
      <w:pPr>
        <w:pStyle w:val="Style104"/>
        <w:numPr>
          <w:ilvl w:val="0"/>
          <w:numId w:val="63"/>
        </w:numPr>
        <w:tabs>
          <w:tab w:leader="none" w:pos="514" w:val="left"/>
        </w:tabs>
        <w:widowControl w:val="0"/>
        <w:keepNext w:val="0"/>
        <w:keepLines w:val="0"/>
        <w:shd w:val="clear" w:color="auto" w:fill="auto"/>
        <w:bidi w:val="0"/>
        <w:jc w:val="both"/>
        <w:spacing w:before="0" w:after="0"/>
        <w:ind w:left="520" w:right="0" w:hanging="240"/>
      </w:pPr>
      <w:r>
        <w:rPr>
          <w:lang w:val="ru-RU" w:eastAsia="ru-RU" w:bidi="ru-RU"/>
          <w:w w:val="100"/>
          <w:spacing w:val="0"/>
          <w:color w:val="000000"/>
          <w:position w:val="0"/>
        </w:rPr>
        <w:t>Увеличение систолической экскурсии корня аорты, возможна умеренная дилатация корня.</w:t>
      </w:r>
    </w:p>
    <w:p>
      <w:pPr>
        <w:pStyle w:val="Style104"/>
        <w:widowControl w:val="0"/>
        <w:keepNext w:val="0"/>
        <w:keepLines w:val="0"/>
        <w:shd w:val="clear" w:color="auto" w:fill="auto"/>
        <w:bidi w:val="0"/>
        <w:jc w:val="both"/>
        <w:spacing w:before="0" w:after="0"/>
        <w:ind w:left="0" w:right="0" w:firstLine="280"/>
      </w:pPr>
      <w:r>
        <w:rPr>
          <w:lang w:val="ru-RU" w:eastAsia="ru-RU" w:bidi="ru-RU"/>
          <w:w w:val="100"/>
          <w:spacing w:val="0"/>
          <w:color w:val="000000"/>
          <w:position w:val="0"/>
        </w:rPr>
        <w:t>Критериями пролапса митрального клапана по двухмер</w:t>
        <w:softHyphen/>
        <w:t>ной эхокардиографии являются (рис. 42):</w:t>
      </w:r>
    </w:p>
    <w:p>
      <w:pPr>
        <w:pStyle w:val="Style104"/>
        <w:numPr>
          <w:ilvl w:val="0"/>
          <w:numId w:val="63"/>
        </w:numPr>
        <w:tabs>
          <w:tab w:leader="none" w:pos="514" w:val="left"/>
        </w:tabs>
        <w:widowControl w:val="0"/>
        <w:keepNext w:val="0"/>
        <w:keepLines w:val="0"/>
        <w:shd w:val="clear" w:color="auto" w:fill="auto"/>
        <w:bidi w:val="0"/>
        <w:jc w:val="both"/>
        <w:spacing w:before="0" w:after="0"/>
        <w:ind w:left="520" w:right="0" w:hanging="240"/>
      </w:pPr>
      <w:r>
        <w:rPr>
          <w:lang w:val="ru-RU" w:eastAsia="ru-RU" w:bidi="ru-RU"/>
          <w:w w:val="100"/>
          <w:spacing w:val="0"/>
          <w:color w:val="000000"/>
          <w:position w:val="0"/>
        </w:rPr>
        <w:t>Выгибание одной или обеих створок за линию коап- тации (проекцию митрального отверстия) в парастер</w:t>
        <w:softHyphen/>
        <w:t>нальной проекции длинной оси левого желудочка или проекции 4-х камер с верхушки.</w:t>
      </w:r>
    </w:p>
    <w:p>
      <w:pPr>
        <w:pStyle w:val="Style104"/>
        <w:numPr>
          <w:ilvl w:val="0"/>
          <w:numId w:val="63"/>
        </w:numPr>
        <w:tabs>
          <w:tab w:leader="none" w:pos="514" w:val="left"/>
        </w:tabs>
        <w:widowControl w:val="0"/>
        <w:keepNext w:val="0"/>
        <w:keepLines w:val="0"/>
        <w:shd w:val="clear" w:color="auto" w:fill="auto"/>
        <w:bidi w:val="0"/>
        <w:jc w:val="both"/>
        <w:spacing w:before="0" w:after="0"/>
        <w:ind w:left="0" w:right="0" w:firstLine="280"/>
      </w:pPr>
      <w:r>
        <w:rPr>
          <w:lang w:val="ru-RU" w:eastAsia="ru-RU" w:bidi="ru-RU"/>
          <w:w w:val="100"/>
          <w:spacing w:val="0"/>
          <w:color w:val="000000"/>
          <w:position w:val="0"/>
        </w:rPr>
        <w:t>Утолщенность и избыточность створок.</w:t>
      </w:r>
    </w:p>
    <w:p>
      <w:pPr>
        <w:pStyle w:val="Style104"/>
        <w:numPr>
          <w:ilvl w:val="0"/>
          <w:numId w:val="63"/>
        </w:numPr>
        <w:tabs>
          <w:tab w:leader="none" w:pos="514" w:val="left"/>
        </w:tabs>
        <w:widowControl w:val="0"/>
        <w:keepNext w:val="0"/>
        <w:keepLines w:val="0"/>
        <w:shd w:val="clear" w:color="auto" w:fill="auto"/>
        <w:bidi w:val="0"/>
        <w:jc w:val="both"/>
        <w:spacing w:before="0" w:after="0"/>
        <w:ind w:left="520" w:right="0" w:hanging="240"/>
      </w:pPr>
      <w:r>
        <w:rPr>
          <w:lang w:val="ru-RU" w:eastAsia="ru-RU" w:bidi="ru-RU"/>
          <w:w w:val="100"/>
          <w:spacing w:val="0"/>
          <w:color w:val="000000"/>
          <w:position w:val="0"/>
        </w:rPr>
        <w:t>Избыточная экскурсия левого атриовентрикулярного кольца.</w:t>
      </w:r>
    </w:p>
    <w:p>
      <w:pPr>
        <w:pStyle w:val="Style104"/>
        <w:numPr>
          <w:ilvl w:val="0"/>
          <w:numId w:val="63"/>
        </w:numPr>
        <w:tabs>
          <w:tab w:leader="none" w:pos="514" w:val="left"/>
        </w:tabs>
        <w:widowControl w:val="0"/>
        <w:keepNext w:val="0"/>
        <w:keepLines w:val="0"/>
        <w:shd w:val="clear" w:color="auto" w:fill="auto"/>
        <w:bidi w:val="0"/>
        <w:jc w:val="both"/>
        <w:spacing w:before="0" w:after="0"/>
        <w:ind w:left="520" w:right="0" w:hanging="240"/>
      </w:pPr>
      <w:r>
        <w:rPr>
          <w:lang w:val="ru-RU" w:eastAsia="ru-RU" w:bidi="ru-RU"/>
          <w:w w:val="100"/>
          <w:spacing w:val="0"/>
          <w:color w:val="000000"/>
          <w:position w:val="0"/>
        </w:rPr>
        <w:t>Увеличение площади митрального отверстия (более 4 см</w:t>
      </w:r>
      <w:r>
        <w:rPr>
          <w:lang w:val="ru-RU" w:eastAsia="ru-RU" w:bidi="ru-RU"/>
          <w:vertAlign w:val="superscript"/>
          <w:w w:val="100"/>
          <w:spacing w:val="0"/>
          <w:color w:val="000000"/>
          <w:position w:val="0"/>
        </w:rPr>
        <w:t>2</w:t>
      </w:r>
      <w:r>
        <w:rPr>
          <w:lang w:val="ru-RU" w:eastAsia="ru-RU" w:bidi="ru-RU"/>
          <w:w w:val="100"/>
          <w:spacing w:val="0"/>
          <w:color w:val="000000"/>
          <w:position w:val="0"/>
        </w:rPr>
        <w:t>).</w:t>
      </w:r>
    </w:p>
    <w:p>
      <w:pPr>
        <w:pStyle w:val="Style104"/>
        <w:widowControl w:val="0"/>
        <w:keepNext w:val="0"/>
        <w:keepLines w:val="0"/>
        <w:shd w:val="clear" w:color="auto" w:fill="auto"/>
        <w:bidi w:val="0"/>
        <w:jc w:val="both"/>
        <w:spacing w:before="0" w:after="0"/>
        <w:ind w:left="0" w:right="0" w:firstLine="280"/>
      </w:pPr>
      <w:r>
        <w:rPr>
          <w:lang w:val="ru-RU" w:eastAsia="ru-RU" w:bidi="ru-RU"/>
          <w:w w:val="100"/>
          <w:spacing w:val="0"/>
          <w:color w:val="000000"/>
          <w:position w:val="0"/>
        </w:rPr>
        <w:t>Наряду с этим двухмерная эхокардиография позволяет обнаружить морфологические микроаномалии строения клапанного аппарата, лежащие в основе возникновения пролапса митрального клапана:</w:t>
      </w:r>
    </w:p>
    <w:p>
      <w:pPr>
        <w:pStyle w:val="Style104"/>
        <w:numPr>
          <w:ilvl w:val="0"/>
          <w:numId w:val="63"/>
        </w:numPr>
        <w:tabs>
          <w:tab w:leader="none" w:pos="514" w:val="left"/>
        </w:tabs>
        <w:widowControl w:val="0"/>
        <w:keepNext w:val="0"/>
        <w:keepLines w:val="0"/>
        <w:shd w:val="clear" w:color="auto" w:fill="auto"/>
        <w:bidi w:val="0"/>
        <w:jc w:val="both"/>
        <w:spacing w:before="0" w:after="0"/>
        <w:ind w:left="520" w:right="0" w:hanging="240"/>
      </w:pPr>
      <w:r>
        <w:rPr>
          <w:lang w:val="ru-RU" w:eastAsia="ru-RU" w:bidi="ru-RU"/>
          <w:w w:val="100"/>
          <w:spacing w:val="0"/>
          <w:color w:val="000000"/>
          <w:position w:val="0"/>
        </w:rPr>
        <w:t>Эктопическое крепление или нарушенное распреде</w:t>
        <w:softHyphen/>
        <w:t>ление сухожильных нитей к створкам (преимущест</w:t>
        <w:softHyphen/>
        <w:t>венное их крепление у основания и в теле).</w:t>
      </w:r>
    </w:p>
    <w:p>
      <w:pPr>
        <w:pStyle w:val="Style104"/>
        <w:numPr>
          <w:ilvl w:val="0"/>
          <w:numId w:val="63"/>
        </w:numPr>
        <w:tabs>
          <w:tab w:leader="none" w:pos="514" w:val="left"/>
        </w:tabs>
        <w:widowControl w:val="0"/>
        <w:keepNext w:val="0"/>
        <w:keepLines w:val="0"/>
        <w:shd w:val="clear" w:color="auto" w:fill="auto"/>
        <w:bidi w:val="0"/>
        <w:jc w:val="both"/>
        <w:spacing w:before="0" w:after="0"/>
        <w:ind w:left="520" w:right="0" w:hanging="240"/>
      </w:pPr>
      <w:r>
        <w:rPr>
          <w:lang w:val="ru-RU" w:eastAsia="ru-RU" w:bidi="ru-RU"/>
          <w:w w:val="100"/>
          <w:spacing w:val="0"/>
          <w:color w:val="000000"/>
          <w:position w:val="0"/>
        </w:rPr>
        <w:t>Изменение конфигурации и положения сосочковых мышц.</w:t>
      </w:r>
    </w:p>
    <w:p>
      <w:pPr>
        <w:pStyle w:val="Style104"/>
        <w:numPr>
          <w:ilvl w:val="0"/>
          <w:numId w:val="63"/>
        </w:numPr>
        <w:tabs>
          <w:tab w:leader="none" w:pos="514" w:val="left"/>
        </w:tabs>
        <w:widowControl w:val="0"/>
        <w:keepNext w:val="0"/>
        <w:keepLines w:val="0"/>
        <w:shd w:val="clear" w:color="auto" w:fill="auto"/>
        <w:bidi w:val="0"/>
        <w:jc w:val="both"/>
        <w:spacing w:before="0" w:after="0"/>
        <w:ind w:left="0" w:right="0" w:firstLine="280"/>
      </w:pPr>
      <w:r>
        <w:rPr>
          <w:lang w:val="ru-RU" w:eastAsia="ru-RU" w:bidi="ru-RU"/>
          <w:w w:val="100"/>
          <w:spacing w:val="0"/>
          <w:color w:val="000000"/>
          <w:position w:val="0"/>
        </w:rPr>
        <w:t>Удлинение сухожильных нитей.</w:t>
      </w:r>
    </w:p>
    <w:p>
      <w:pPr>
        <w:pStyle w:val="Style104"/>
        <w:numPr>
          <w:ilvl w:val="0"/>
          <w:numId w:val="63"/>
        </w:numPr>
        <w:tabs>
          <w:tab w:leader="none" w:pos="514" w:val="left"/>
        </w:tabs>
        <w:widowControl w:val="0"/>
        <w:keepNext w:val="0"/>
        <w:keepLines w:val="0"/>
        <w:shd w:val="clear" w:color="auto" w:fill="auto"/>
        <w:bidi w:val="0"/>
        <w:jc w:val="both"/>
        <w:spacing w:before="0" w:after="0"/>
        <w:ind w:left="0" w:right="0" w:firstLine="280"/>
      </w:pPr>
      <w:r>
        <w:rPr>
          <w:lang w:val="ru-RU" w:eastAsia="ru-RU" w:bidi="ru-RU"/>
          <w:w w:val="100"/>
          <w:spacing w:val="0"/>
          <w:color w:val="000000"/>
          <w:position w:val="0"/>
        </w:rPr>
        <w:t>Увеличение (избыточность) створок.</w:t>
      </w:r>
    </w:p>
    <w:p>
      <w:pPr>
        <w:pStyle w:val="Style104"/>
        <w:widowControl w:val="0"/>
        <w:keepNext w:val="0"/>
        <w:keepLines w:val="0"/>
        <w:shd w:val="clear" w:color="auto" w:fill="auto"/>
        <w:bidi w:val="0"/>
        <w:jc w:val="both"/>
        <w:spacing w:before="0" w:after="0"/>
        <w:ind w:left="0" w:right="0" w:firstLine="280"/>
      </w:pPr>
      <w:r>
        <w:rPr>
          <w:lang w:val="ru-RU" w:eastAsia="ru-RU" w:bidi="ru-RU"/>
          <w:w w:val="100"/>
          <w:spacing w:val="0"/>
          <w:color w:val="000000"/>
          <w:position w:val="0"/>
        </w:rPr>
        <w:t>Если диагностика ПМК при проведении стандартной эхокардиографии затруднена, больного необходимо повтор</w:t>
        <w:softHyphen/>
        <w:t>но исследовать в положении стоя, при этом визуализация пролабирующего клапана становится более отчетливой.</w:t>
      </w:r>
    </w:p>
    <w:p>
      <w:pPr>
        <w:pStyle w:val="Style104"/>
        <w:widowControl w:val="0"/>
        <w:keepNext w:val="0"/>
        <w:keepLines w:val="0"/>
        <w:shd w:val="clear" w:color="auto" w:fill="auto"/>
        <w:bidi w:val="0"/>
        <w:jc w:val="both"/>
        <w:spacing w:before="0" w:after="209"/>
        <w:ind w:left="0" w:right="0" w:firstLine="280"/>
      </w:pPr>
      <w:r>
        <w:rPr>
          <w:lang w:val="ru-RU" w:eastAsia="ru-RU" w:bidi="ru-RU"/>
          <w:w w:val="100"/>
          <w:spacing w:val="0"/>
          <w:color w:val="000000"/>
          <w:position w:val="0"/>
        </w:rPr>
        <w:t>Недостатком эхокардиографии является невозможность достоверной диагностики бактериальных вегетаций при ПМК. Этот факт объясняется тем, что створки при пролап</w:t>
        <w:softHyphen/>
        <w:t>се на эхограмме выглядят утолщенными и лохматыми из-за их фестончатости. Ложноположительные результаты ис</w:t>
        <w:softHyphen/>
        <w:t>следований бактериальных вегетаций на клапане у больных ПМК при одномерной эхокардиографии составляют 40%. Более достоверная диагностика бактериальных вегетаций при ПМК возможна при проведении чрезпищеводной эхо</w:t>
        <w:softHyphen/>
        <w:t>кардиографии, однако данный метод не имеет пока широ</w:t>
        <w:softHyphen/>
        <w:t>кого распространения в педиатрической практике.</w:t>
      </w:r>
    </w:p>
    <w:p>
      <w:pPr>
        <w:pStyle w:val="Style92"/>
        <w:widowControl w:val="0"/>
        <w:keepNext/>
        <w:keepLines/>
        <w:shd w:val="clear" w:color="auto" w:fill="auto"/>
        <w:bidi w:val="0"/>
        <w:spacing w:before="0" w:after="0" w:line="180" w:lineRule="exact"/>
        <w:ind w:left="0" w:right="0" w:firstLine="280"/>
      </w:pPr>
      <w:bookmarkStart w:id="405" w:name="bookmark405"/>
      <w:r>
        <w:rPr>
          <w:lang w:val="ru-RU" w:eastAsia="ru-RU" w:bidi="ru-RU"/>
          <w:w w:val="100"/>
          <w:spacing w:val="0"/>
          <w:color w:val="000000"/>
          <w:position w:val="0"/>
        </w:rPr>
        <w:t>Допплерография</w:t>
      </w:r>
      <w:bookmarkEnd w:id="405"/>
    </w:p>
    <w:p>
      <w:pPr>
        <w:pStyle w:val="Style104"/>
        <w:widowControl w:val="0"/>
        <w:keepNext w:val="0"/>
        <w:keepLines w:val="0"/>
        <w:shd w:val="clear" w:color="auto" w:fill="auto"/>
        <w:bidi w:val="0"/>
        <w:jc w:val="both"/>
        <w:spacing w:before="0" w:after="0"/>
        <w:ind w:left="0" w:right="0" w:firstLine="280"/>
      </w:pPr>
      <w:r>
        <w:rPr>
          <w:lang w:val="ru-RU" w:eastAsia="ru-RU" w:bidi="ru-RU"/>
          <w:w w:val="100"/>
          <w:spacing w:val="0"/>
          <w:color w:val="000000"/>
          <w:position w:val="0"/>
        </w:rPr>
        <w:t xml:space="preserve">Допплерэхокардиография позволяет количественно оценить трансмитральный кровоток и функцию клапана. </w:t>
      </w:r>
      <w:r>
        <w:rPr>
          <w:lang w:val="en-US" w:eastAsia="en-US" w:bidi="en-US"/>
          <w:w w:val="100"/>
          <w:spacing w:val="0"/>
          <w:color w:val="000000"/>
          <w:position w:val="0"/>
        </w:rPr>
        <w:t xml:space="preserve">Vmax </w:t>
      </w:r>
      <w:r>
        <w:rPr>
          <w:lang w:val="ru-RU" w:eastAsia="ru-RU" w:bidi="ru-RU"/>
          <w:w w:val="100"/>
          <w:spacing w:val="0"/>
          <w:color w:val="000000"/>
          <w:position w:val="0"/>
        </w:rPr>
        <w:t>— максимальный диастолический поток через мит</w:t>
        <w:softHyphen/>
        <w:t>ральный клапан.</w:t>
      </w:r>
    </w:p>
    <w:p>
      <w:pPr>
        <w:pStyle w:val="Style104"/>
        <w:widowControl w:val="0"/>
        <w:keepNext w:val="0"/>
        <w:keepLines w:val="0"/>
        <w:shd w:val="clear" w:color="auto" w:fill="auto"/>
        <w:bidi w:val="0"/>
        <w:jc w:val="both"/>
        <w:spacing w:before="0" w:after="0"/>
        <w:ind w:left="0" w:right="0" w:firstLine="280"/>
      </w:pPr>
      <w:r>
        <w:rPr>
          <w:lang w:val="ru-RU" w:eastAsia="ru-RU" w:bidi="ru-RU"/>
          <w:w w:val="100"/>
          <w:spacing w:val="0"/>
          <w:color w:val="000000"/>
          <w:position w:val="0"/>
        </w:rPr>
        <w:t>Недостаточность митрального клапана диагностируют по наличию турбулентного систолического потока за створ</w:t>
        <w:softHyphen/>
        <w:t>ками митрального клапана в левом предсердии (рис. 43).</w:t>
      </w:r>
    </w:p>
    <w:p>
      <w:pPr>
        <w:pStyle w:val="Style104"/>
        <w:widowControl w:val="0"/>
        <w:keepNext w:val="0"/>
        <w:keepLines w:val="0"/>
        <w:shd w:val="clear" w:color="auto" w:fill="auto"/>
        <w:bidi w:val="0"/>
        <w:jc w:val="both"/>
        <w:spacing w:before="0" w:after="180"/>
        <w:ind w:left="0" w:right="0" w:firstLine="280"/>
      </w:pPr>
      <w:r>
        <w:rPr>
          <w:lang w:val="ru-RU" w:eastAsia="ru-RU" w:bidi="ru-RU"/>
          <w:w w:val="100"/>
          <w:spacing w:val="0"/>
          <w:color w:val="000000"/>
          <w:position w:val="0"/>
        </w:rPr>
        <w:t>Обычно митральная регургитация при пролапсе мит</w:t>
        <w:softHyphen/>
        <w:t>рального клапана наблюдается при изолированном поздне</w:t>
        <w:softHyphen/>
        <w:t>систолическом и голосистолическом шуме. Величина ре- гургитации не превышает 1-2 степени и достигает больших значений при глубине прогибания створок более 10 мм, от</w:t>
        <w:softHyphen/>
        <w:t>рыве хорд или выраженной дилатации атриовентрикуляр</w:t>
        <w:softHyphen/>
        <w:t>ного кольца.</w:t>
      </w:r>
    </w:p>
    <w:p>
      <w:pPr>
        <w:pStyle w:val="Style92"/>
        <w:widowControl w:val="0"/>
        <w:keepNext/>
        <w:keepLines/>
        <w:shd w:val="clear" w:color="auto" w:fill="auto"/>
        <w:bidi w:val="0"/>
        <w:spacing w:before="0" w:after="180"/>
        <w:ind w:left="0" w:right="0" w:firstLine="280"/>
      </w:pPr>
      <w:bookmarkStart w:id="406" w:name="bookmark406"/>
      <w:r>
        <w:rPr>
          <w:lang w:val="ru-RU" w:eastAsia="ru-RU" w:bidi="ru-RU"/>
          <w:w w:val="100"/>
          <w:spacing w:val="0"/>
          <w:color w:val="000000"/>
          <w:position w:val="0"/>
        </w:rPr>
        <w:t>Диагностические критерии первичного пролапса митраль</w:t>
        <w:softHyphen/>
        <w:t>ного клапана</w:t>
      </w:r>
      <w:bookmarkEnd w:id="406"/>
    </w:p>
    <w:p>
      <w:pPr>
        <w:pStyle w:val="Style104"/>
        <w:widowControl w:val="0"/>
        <w:keepNext w:val="0"/>
        <w:keepLines w:val="0"/>
        <w:shd w:val="clear" w:color="auto" w:fill="auto"/>
        <w:bidi w:val="0"/>
        <w:jc w:val="both"/>
        <w:spacing w:before="0" w:after="0"/>
        <w:ind w:left="0" w:right="0" w:firstLine="280"/>
      </w:pPr>
      <w:r>
        <w:rPr>
          <w:lang w:val="ru-RU" w:eastAsia="ru-RU" w:bidi="ru-RU"/>
          <w:w w:val="100"/>
          <w:spacing w:val="0"/>
          <w:color w:val="000000"/>
          <w:position w:val="0"/>
        </w:rPr>
        <w:t>Важное значение имеет правильное установление диа</w:t>
        <w:softHyphen/>
        <w:t>гноза первичного ПМК. В 1986 году на основании проводи</w:t>
        <w:softHyphen/>
        <w:t>мого Фремингемского исследования были предложены ди-</w:t>
      </w:r>
    </w:p>
    <w:p>
      <w:pPr>
        <w:framePr w:h="3398" w:hSpace="5525" w:wrap="notBeside" w:vAnchor="text" w:hAnchor="text" w:x="5526" w:y="1"/>
        <w:widowControl w:val="0"/>
        <w:jc w:val="center"/>
        <w:rPr>
          <w:sz w:val="2"/>
          <w:szCs w:val="2"/>
        </w:rPr>
      </w:pPr>
      <w:r>
        <w:pict>
          <v:shape id="_x0000_s1329" type="#_x0000_t75" style="width:201pt;height:170pt;">
            <v:imagedata r:id="rId496" r:href="rId497"/>
          </v:shape>
        </w:pict>
      </w:r>
    </w:p>
    <w:p>
      <w:pPr>
        <w:pStyle w:val="Style120"/>
        <w:framePr w:h="3398" w:hSpace="5525" w:wrap="notBeside" w:vAnchor="text" w:hAnchor="text" w:x="5526" w:y="1"/>
        <w:widowControl w:val="0"/>
        <w:keepNext w:val="0"/>
        <w:keepLines w:val="0"/>
        <w:shd w:val="clear" w:color="auto" w:fill="auto"/>
        <w:bidi w:val="0"/>
        <w:spacing w:before="0" w:after="0"/>
        <w:ind w:left="0" w:right="0" w:firstLine="0"/>
      </w:pPr>
      <w:r>
        <w:rPr>
          <w:rStyle w:val="CharStyle125"/>
        </w:rPr>
        <w:t xml:space="preserve">Рис. 42. </w:t>
      </w:r>
      <w:r>
        <w:rPr>
          <w:lang w:val="ru-RU" w:eastAsia="ru-RU" w:bidi="ru-RU"/>
          <w:w w:val="100"/>
          <w:spacing w:val="0"/>
          <w:color w:val="000000"/>
          <w:position w:val="0"/>
        </w:rPr>
        <w:t>Двухмерная эхокардиограмма при пролапсе митрального клапана: выгибание створок в полость левого предсердия.</w:t>
      </w:r>
    </w:p>
    <w:p>
      <w:pPr>
        <w:widowControl w:val="0"/>
        <w:spacing w:line="660" w:lineRule="exact"/>
        <w:rPr>
          <w:sz w:val="24"/>
          <w:szCs w:val="24"/>
        </w:rPr>
      </w:pPr>
    </w:p>
    <w:p>
      <w:pPr>
        <w:framePr w:h="4445" w:wrap="notBeside" w:vAnchor="text" w:hAnchor="text" w:xAlign="center" w:y="1"/>
        <w:widowControl w:val="0"/>
        <w:jc w:val="center"/>
        <w:rPr>
          <w:sz w:val="2"/>
          <w:szCs w:val="2"/>
        </w:rPr>
      </w:pPr>
      <w:r>
        <w:pict>
          <v:shape id="_x0000_s1330" type="#_x0000_t75" style="width:238pt;height:222pt;">
            <v:imagedata r:id="rId498" r:href="rId499"/>
          </v:shape>
        </w:pict>
      </w:r>
    </w:p>
    <w:p>
      <w:pPr>
        <w:pStyle w:val="Style120"/>
        <w:framePr w:h="4445"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43. </w:t>
      </w:r>
      <w:r>
        <w:rPr>
          <w:lang w:val="ru-RU" w:eastAsia="ru-RU" w:bidi="ru-RU"/>
          <w:w w:val="100"/>
          <w:spacing w:val="0"/>
          <w:color w:val="000000"/>
          <w:position w:val="0"/>
        </w:rPr>
        <w:t>Митральная регургитация при пролапсе митрального кла</w:t>
        <w:softHyphen/>
        <w:t>пана.</w:t>
      </w:r>
    </w:p>
    <w:p>
      <w:pPr>
        <w:widowControl w:val="0"/>
        <w:rPr>
          <w:sz w:val="2"/>
          <w:szCs w:val="2"/>
        </w:rPr>
      </w:pPr>
    </w:p>
    <w:p>
      <w:pPr>
        <w:pStyle w:val="Style104"/>
        <w:widowControl w:val="0"/>
        <w:keepNext w:val="0"/>
        <w:keepLines w:val="0"/>
        <w:shd w:val="clear" w:color="auto" w:fill="auto"/>
        <w:bidi w:val="0"/>
        <w:jc w:val="both"/>
        <w:spacing w:before="621" w:after="180"/>
        <w:ind w:left="0" w:right="0" w:firstLine="0"/>
      </w:pPr>
      <w:r>
        <w:rPr>
          <w:lang w:val="ru-RU" w:eastAsia="ru-RU" w:bidi="ru-RU"/>
          <w:w w:val="100"/>
          <w:spacing w:val="0"/>
          <w:color w:val="000000"/>
          <w:position w:val="0"/>
        </w:rPr>
        <w:t>агностические критерии первичного ПМК, которые по</w:t>
        <w:softHyphen/>
        <w:t>дразделены на главные, дополнительные и неспецифичес</w:t>
        <w:softHyphen/>
        <w:t>кие (по аналогии с ревматическими критериями Киселя - Джонса-Нестерова).</w:t>
      </w:r>
    </w:p>
    <w:p>
      <w:pPr>
        <w:pStyle w:val="Style92"/>
        <w:widowControl w:val="0"/>
        <w:keepNext/>
        <w:keepLines/>
        <w:shd w:val="clear" w:color="auto" w:fill="auto"/>
        <w:bidi w:val="0"/>
        <w:spacing w:before="0" w:after="0"/>
        <w:ind w:left="0" w:right="0" w:firstLine="280"/>
      </w:pPr>
      <w:bookmarkStart w:id="407" w:name="bookmark407"/>
      <w:r>
        <w:rPr>
          <w:lang w:val="ru-RU" w:eastAsia="ru-RU" w:bidi="ru-RU"/>
          <w:w w:val="100"/>
          <w:spacing w:val="0"/>
          <w:color w:val="000000"/>
          <w:position w:val="0"/>
        </w:rPr>
        <w:t>Главные:</w:t>
      </w:r>
      <w:bookmarkEnd w:id="407"/>
    </w:p>
    <w:p>
      <w:pPr>
        <w:pStyle w:val="Style104"/>
        <w:tabs>
          <w:tab w:leader="none" w:pos="519" w:val="left"/>
        </w:tabs>
        <w:widowControl w:val="0"/>
        <w:keepNext w:val="0"/>
        <w:keepLines w:val="0"/>
        <w:shd w:val="clear" w:color="auto" w:fill="auto"/>
        <w:bidi w:val="0"/>
        <w:jc w:val="both"/>
        <w:spacing w:before="0" w:after="0"/>
        <w:ind w:left="0" w:right="0" w:firstLine="280"/>
      </w:pPr>
      <w:r>
        <w:pict>
          <v:shape id="_x0000_s1331" type="#_x0000_t75" style="position:absolute;margin-left:148.45pt;margin-top:737.05pt;width:209.75pt;height:14.9pt;z-index:-125829178;mso-wrap-distance-left:148.1pt;mso-wrap-distance-right:136.3pt;mso-wrap-distance-bottom:10.8pt;mso-position-horizontal-relative:margin;mso-position-vertical-relative:margin" wrapcoords="0 0 21600 0 21600 21600 0 21600 0 0">
            <v:imagedata r:id="rId500" r:href="rId501"/>
            <w10:wrap type="topAndBottom" anchorx="margin" anchory="margin"/>
          </v:shape>
        </w:pict>
      </w:r>
      <w:r>
        <w:rPr>
          <w:lang w:val="ru-RU" w:eastAsia="ru-RU" w:bidi="ru-RU"/>
          <w:w w:val="100"/>
          <w:spacing w:val="0"/>
          <w:color w:val="000000"/>
          <w:position w:val="0"/>
        </w:rPr>
        <w:t>а)</w:t>
        <w:tab/>
      </w:r>
      <w:r>
        <w:rPr>
          <w:rStyle w:val="CharStyle131"/>
        </w:rPr>
        <w:t>аускультативные</w:t>
      </w:r>
      <w:r>
        <w:rPr>
          <w:lang w:val="ru-RU" w:eastAsia="ru-RU" w:bidi="ru-RU"/>
          <w:w w:val="100"/>
          <w:spacing w:val="0"/>
          <w:color w:val="000000"/>
          <w:position w:val="0"/>
        </w:rPr>
        <w:t xml:space="preserve"> — средне-позднесистолические щелчки в сочетании с позднесистолическим шумом, сред</w:t>
        <w:softHyphen/>
        <w:t>не-позднесистолические щелчки на верхушке, изолирован</w:t>
        <w:softHyphen/>
        <w:t>ный позднесистолический шум на верхушке;</w:t>
      </w:r>
      <w:r>
        <w:br w:type="page"/>
      </w:r>
    </w:p>
    <w:p>
      <w:pPr>
        <w:pStyle w:val="Style30"/>
        <w:tabs>
          <w:tab w:leader="none" w:pos="52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w:t>
        <w:tab/>
      </w:r>
      <w:r>
        <w:rPr>
          <w:rStyle w:val="CharStyle132"/>
        </w:rPr>
        <w:t>аускультация в сочетании с эхокардиографией</w:t>
      </w:r>
      <w:r>
        <w:rPr>
          <w:rStyle w:val="CharStyle133"/>
        </w:rPr>
        <w:t xml:space="preserve"> </w:t>
      </w:r>
      <w:r>
        <w:rPr>
          <w:lang w:val="ru-RU" w:eastAsia="ru-RU" w:bidi="ru-RU"/>
          <w:w w:val="100"/>
          <w:spacing w:val="0"/>
          <w:color w:val="000000"/>
          <w:position w:val="0"/>
        </w:rPr>
        <w:t>— голо</w:t>
        <w:softHyphen/>
        <w:t>систолический шум митральной регургитации и соответ</w:t>
        <w:softHyphen/>
        <w:t>ствующий эхокардиографический критерий;</w:t>
      </w:r>
    </w:p>
    <w:p>
      <w:pPr>
        <w:pStyle w:val="Style13"/>
        <w:tabs>
          <w:tab w:leader="none" w:pos="564" w:val="left"/>
        </w:tabs>
        <w:widowControl w:val="0"/>
        <w:keepNext w:val="0"/>
        <w:keepLines w:val="0"/>
        <w:shd w:val="clear" w:color="auto" w:fill="auto"/>
        <w:bidi w:val="0"/>
        <w:jc w:val="both"/>
        <w:spacing w:before="0" w:after="0"/>
        <w:ind w:left="0" w:right="0" w:firstLine="280"/>
      </w:pPr>
      <w:r>
        <w:rPr>
          <w:rStyle w:val="CharStyle134"/>
          <w:i w:val="0"/>
          <w:iCs w:val="0"/>
        </w:rPr>
        <w:t>в)</w:t>
        <w:tab/>
      </w:r>
      <w:r>
        <w:rPr>
          <w:lang w:val="ru-RU" w:eastAsia="ru-RU" w:bidi="ru-RU"/>
          <w:w w:val="100"/>
          <w:spacing w:val="0"/>
          <w:color w:val="000000"/>
          <w:position w:val="0"/>
        </w:rPr>
        <w:t>эхокардиографические:</w:t>
      </w:r>
    </w:p>
    <w:p>
      <w:pPr>
        <w:pStyle w:val="Style30"/>
        <w:numPr>
          <w:ilvl w:val="0"/>
          <w:numId w:val="65"/>
        </w:numPr>
        <w:tabs>
          <w:tab w:leader="none" w:pos="47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смещение септальных створок в систолу за точку ко - аптации, в проекции длинной оси левого желудочка и в четырехкамерной проекции при верхушечном до</w:t>
        <w:softHyphen/>
        <w:t>ступе;</w:t>
      </w:r>
    </w:p>
    <w:p>
      <w:pPr>
        <w:pStyle w:val="Style30"/>
        <w:numPr>
          <w:ilvl w:val="0"/>
          <w:numId w:val="65"/>
        </w:numPr>
        <w:tabs>
          <w:tab w:leader="none" w:pos="47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позднесистолическое пролабирование более 3 мм.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Дополнительные:</w:t>
      </w:r>
    </w:p>
    <w:p>
      <w:pPr>
        <w:pStyle w:val="Style30"/>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w:t>
        <w:tab/>
      </w:r>
      <w:r>
        <w:rPr>
          <w:rStyle w:val="CharStyle132"/>
        </w:rPr>
        <w:t>анамнестические</w:t>
      </w:r>
      <w:r>
        <w:rPr>
          <w:rStyle w:val="CharStyle133"/>
        </w:rPr>
        <w:t xml:space="preserve"> </w:t>
      </w:r>
      <w:r>
        <w:rPr>
          <w:lang w:val="ru-RU" w:eastAsia="ru-RU" w:bidi="ru-RU"/>
          <w:w w:val="100"/>
          <w:spacing w:val="0"/>
          <w:color w:val="000000"/>
          <w:position w:val="0"/>
        </w:rPr>
        <w:t>— невротические проявления, пси</w:t>
        <w:softHyphen/>
        <w:t>хоэмоциональная нестабильность, наличие пролапса мит</w:t>
        <w:softHyphen/>
        <w:t>рального клапана у лиц I степени родства;</w:t>
      </w:r>
    </w:p>
    <w:p>
      <w:pPr>
        <w:pStyle w:val="Style30"/>
        <w:tabs>
          <w:tab w:leader="none" w:pos="53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w:t>
        <w:tab/>
      </w:r>
      <w:r>
        <w:rPr>
          <w:rStyle w:val="CharStyle132"/>
        </w:rPr>
        <w:t>аускультативные</w:t>
      </w:r>
      <w:r>
        <w:rPr>
          <w:rStyle w:val="CharStyle133"/>
        </w:rPr>
        <w:t xml:space="preserve"> </w:t>
      </w:r>
      <w:r>
        <w:rPr>
          <w:lang w:val="ru-RU" w:eastAsia="ru-RU" w:bidi="ru-RU"/>
          <w:w w:val="100"/>
          <w:spacing w:val="0"/>
          <w:color w:val="000000"/>
          <w:position w:val="0"/>
        </w:rPr>
        <w:t>— непостоянные средне-позднесис</w:t>
        <w:softHyphen/>
        <w:t>толические щелчки на верхушке;</w:t>
      </w:r>
    </w:p>
    <w:p>
      <w:pPr>
        <w:pStyle w:val="Style30"/>
        <w:tabs>
          <w:tab w:leader="none" w:pos="53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w:t>
        <w:tab/>
      </w:r>
      <w:r>
        <w:rPr>
          <w:rStyle w:val="CharStyle132"/>
        </w:rPr>
        <w:t>клинические</w:t>
      </w:r>
      <w:r>
        <w:rPr>
          <w:rStyle w:val="CharStyle133"/>
        </w:rPr>
        <w:t xml:space="preserve"> </w:t>
      </w:r>
      <w:r>
        <w:rPr>
          <w:lang w:val="ru-RU" w:eastAsia="ru-RU" w:bidi="ru-RU"/>
          <w:w w:val="100"/>
          <w:spacing w:val="0"/>
          <w:color w:val="000000"/>
          <w:position w:val="0"/>
        </w:rPr>
        <w:t>— низкая масса тела, астеническое телос</w:t>
        <w:softHyphen/>
        <w:t>ложение, низкое артериальное давление, признаки диспла- стического развития;</w:t>
      </w:r>
    </w:p>
    <w:p>
      <w:pPr>
        <w:pStyle w:val="Style30"/>
        <w:tabs>
          <w:tab w:leader="none" w:pos="52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w:t>
        <w:tab/>
      </w:r>
      <w:r>
        <w:rPr>
          <w:rStyle w:val="CharStyle132"/>
        </w:rPr>
        <w:t>рентгенографические</w:t>
      </w:r>
      <w:r>
        <w:rPr>
          <w:rStyle w:val="CharStyle133"/>
        </w:rPr>
        <w:t xml:space="preserve"> </w:t>
      </w:r>
      <w:r>
        <w:rPr>
          <w:lang w:val="ru-RU" w:eastAsia="ru-RU" w:bidi="ru-RU"/>
          <w:w w:val="100"/>
          <w:spacing w:val="0"/>
          <w:color w:val="000000"/>
          <w:position w:val="0"/>
        </w:rPr>
        <w:t>— малые размеры сердца, выбу</w:t>
        <w:softHyphen/>
        <w:t>хание дуги легочной артерии;</w:t>
      </w:r>
    </w:p>
    <w:p>
      <w:pPr>
        <w:pStyle w:val="Style13"/>
        <w:tabs>
          <w:tab w:leader="none" w:pos="564" w:val="left"/>
        </w:tabs>
        <w:widowControl w:val="0"/>
        <w:keepNext w:val="0"/>
        <w:keepLines w:val="0"/>
        <w:shd w:val="clear" w:color="auto" w:fill="auto"/>
        <w:bidi w:val="0"/>
        <w:jc w:val="both"/>
        <w:spacing w:before="0" w:after="0"/>
        <w:ind w:left="0" w:right="0" w:firstLine="280"/>
      </w:pPr>
      <w:r>
        <w:rPr>
          <w:rStyle w:val="CharStyle134"/>
          <w:i w:val="0"/>
          <w:iCs w:val="0"/>
        </w:rPr>
        <w:t>д)</w:t>
        <w:tab/>
      </w:r>
      <w:r>
        <w:rPr>
          <w:lang w:val="ru-RU" w:eastAsia="ru-RU" w:bidi="ru-RU"/>
          <w:w w:val="100"/>
          <w:spacing w:val="0"/>
          <w:color w:val="000000"/>
          <w:position w:val="0"/>
        </w:rPr>
        <w:t>эхокардиографические:</w:t>
      </w:r>
    </w:p>
    <w:p>
      <w:pPr>
        <w:pStyle w:val="Style30"/>
        <w:numPr>
          <w:ilvl w:val="0"/>
          <w:numId w:val="65"/>
        </w:numPr>
        <w:tabs>
          <w:tab w:leader="none" w:pos="47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позднесистолический пролапс </w:t>
      </w:r>
      <w:r>
        <w:rPr>
          <w:rStyle w:val="CharStyle32"/>
        </w:rPr>
        <w:t>(2</w:t>
      </w:r>
      <w:r>
        <w:rPr>
          <w:lang w:val="ru-RU" w:eastAsia="ru-RU" w:bidi="ru-RU"/>
          <w:w w:val="100"/>
          <w:spacing w:val="0"/>
          <w:color w:val="000000"/>
          <w:position w:val="0"/>
        </w:rPr>
        <w:t xml:space="preserve"> мм), голосистоли</w:t>
        <w:softHyphen/>
        <w:t>ческий пролапс (3 мм) в сочетании с двухмерными критериями;</w:t>
      </w:r>
    </w:p>
    <w:p>
      <w:pPr>
        <w:pStyle w:val="Style30"/>
        <w:numPr>
          <w:ilvl w:val="0"/>
          <w:numId w:val="65"/>
        </w:numPr>
        <w:tabs>
          <w:tab w:leader="none" w:pos="47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систолическое прогибание створок за линию коапта- ции в четырехкамерной проекции.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Неспецифические:</w:t>
      </w:r>
    </w:p>
    <w:p>
      <w:pPr>
        <w:pStyle w:val="Style30"/>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w:t>
        <w:tab/>
      </w:r>
      <w:r>
        <w:rPr>
          <w:rStyle w:val="CharStyle132"/>
        </w:rPr>
        <w:t>клинические</w:t>
      </w:r>
      <w:r>
        <w:rPr>
          <w:rStyle w:val="CharStyle133"/>
        </w:rPr>
        <w:t xml:space="preserve"> </w:t>
      </w:r>
      <w:r>
        <w:rPr>
          <w:lang w:val="ru-RU" w:eastAsia="ru-RU" w:bidi="ru-RU"/>
          <w:w w:val="100"/>
          <w:spacing w:val="0"/>
          <w:color w:val="000000"/>
          <w:position w:val="0"/>
        </w:rPr>
        <w:t>— боли в грудной клетке, слабость, голо</w:t>
        <w:softHyphen/>
        <w:t>вокружение, одышка, сердцебиение, приступы страха;</w:t>
      </w:r>
    </w:p>
    <w:p>
      <w:pPr>
        <w:pStyle w:val="Style30"/>
        <w:tabs>
          <w:tab w:leader="none" w:pos="52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w:t>
        <w:tab/>
      </w:r>
      <w:r>
        <w:rPr>
          <w:rStyle w:val="CharStyle132"/>
        </w:rPr>
        <w:t>электрокардиографические</w:t>
      </w:r>
      <w:r>
        <w:rPr>
          <w:rStyle w:val="CharStyle133"/>
        </w:rPr>
        <w:t xml:space="preserve"> </w:t>
      </w:r>
      <w:r>
        <w:rPr>
          <w:lang w:val="ru-RU" w:eastAsia="ru-RU" w:bidi="ru-RU"/>
          <w:w w:val="100"/>
          <w:spacing w:val="0"/>
          <w:color w:val="000000"/>
          <w:position w:val="0"/>
        </w:rPr>
        <w:t>— изолированная инвер</w:t>
        <w:softHyphen/>
        <w:t>сия зубцов Т в отведениях II, III, аУР либо в сочетании с инверсией в левых грудных отведениях;</w:t>
      </w:r>
    </w:p>
    <w:p>
      <w:pPr>
        <w:pStyle w:val="Style30"/>
        <w:tabs>
          <w:tab w:leader="none" w:pos="52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w:t>
        <w:tab/>
      </w:r>
      <w:r>
        <w:rPr>
          <w:rStyle w:val="CharStyle132"/>
        </w:rPr>
        <w:t>эхокардиографические</w:t>
      </w:r>
      <w:r>
        <w:rPr>
          <w:rStyle w:val="CharStyle133"/>
        </w:rPr>
        <w:t xml:space="preserve"> </w:t>
      </w:r>
      <w:r>
        <w:rPr>
          <w:lang w:val="ru-RU" w:eastAsia="ru-RU" w:bidi="ru-RU"/>
          <w:w w:val="100"/>
          <w:spacing w:val="0"/>
          <w:color w:val="000000"/>
          <w:position w:val="0"/>
        </w:rPr>
        <w:t>— изолированное умеренное систолическое прогибание митральных створок в четырех</w:t>
        <w:softHyphen/>
        <w:t>камерной проекции;</w:t>
      </w:r>
    </w:p>
    <w:p>
      <w:pPr>
        <w:pStyle w:val="Style30"/>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w:t>
        <w:tab/>
      </w:r>
      <w:r>
        <w:rPr>
          <w:rStyle w:val="CharStyle132"/>
        </w:rPr>
        <w:t>холтеровское мониторирование</w:t>
      </w:r>
      <w:r>
        <w:rPr>
          <w:rStyle w:val="CharStyle133"/>
        </w:rPr>
        <w:t xml:space="preserve"> </w:t>
      </w:r>
      <w:r>
        <w:rPr>
          <w:lang w:val="ru-RU" w:eastAsia="ru-RU" w:bidi="ru-RU"/>
          <w:w w:val="100"/>
          <w:spacing w:val="0"/>
          <w:color w:val="000000"/>
          <w:position w:val="0"/>
        </w:rPr>
        <w:t>— предсердные и желу</w:t>
        <w:softHyphen/>
        <w:t>дочковые (единичные, групповые) экстрасистолы.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Наличие двух главных критериев, т.е. сочетание аускуль</w:t>
        <w:softHyphen/>
        <w:t>тативных и эхокардиографических признаков, позволяет убедительно говорить о первичном пролапсе митрального клапана. Диагноз пролапса митрального клапана может быть поставлен при наличии одного главного и нескольких дополнительных критериев. Таким образом, «немые» ПМК (один главный критерий по двухмерной эхокардиографии) при наличии 2-3 дополнительных критериев представляют собой клиническую разновидность первичного пролапса митрального клапана. Наличие только дополнительных критериев дает право предполагать диагноз пролапса мит</w:t>
        <w:softHyphen/>
        <w:t>рального клапана. Неспецифические критерии не являют</w:t>
        <w:softHyphen/>
        <w:t>ся определяющими при постановке диагноза, поскольку последние могут встречаться и при отсутствии феномена пролабирования.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Правильная постановка диагноза первичного ПМК должна включать определение состояния морфологических структур клапана (например, дилатация левого атриовент</w:t>
        <w:softHyphen/>
        <w:t>рикулярного отверстия, удлинение хорд, увеличение пло</w:t>
        <w:softHyphen/>
        <w:t>щади створок, аномальное крепление хорд, аномалии па</w:t>
        <w:softHyphen/>
        <w:t>пиллярных мышц и др.), а также сведения о наличии или отсутствии митральной регургитации. Например, первич</w:t>
        <w:softHyphen/>
        <w:t>ный пролапс митрального клапана, аномальное крепление хорд к передней митральной створке, без митральной ре- гургитации.</w:t>
      </w:r>
    </w:p>
    <w:p>
      <w:pPr>
        <w:pStyle w:val="Style92"/>
        <w:widowControl w:val="0"/>
        <w:keepNext/>
        <w:keepLines/>
        <w:shd w:val="clear" w:color="auto" w:fill="auto"/>
        <w:bidi w:val="0"/>
        <w:spacing w:before="0" w:after="0"/>
        <w:ind w:left="0" w:right="0" w:firstLine="280"/>
      </w:pPr>
      <w:r>
        <w:br w:type="column"/>
      </w:r>
      <w:bookmarkStart w:id="408" w:name="bookmark408"/>
      <w:r>
        <w:rPr>
          <w:lang w:val="ru-RU" w:eastAsia="ru-RU" w:bidi="ru-RU"/>
          <w:w w:val="100"/>
          <w:spacing w:val="0"/>
          <w:color w:val="000000"/>
          <w:position w:val="0"/>
        </w:rPr>
        <w:t>Клинические варианты первичного пролапса митрального клапана</w:t>
      </w:r>
      <w:bookmarkEnd w:id="40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Сопоставление результатов клинического и инструмен</w:t>
        <w:softHyphen/>
        <w:t>тального обследования у каждого конкретного ребенка по</w:t>
        <w:softHyphen/>
        <w:t>зволяет выявить четыре варианта ПМК, которые отражают тяжесть заболевания и имеют разную степень выраженнос</w:t>
        <w:softHyphen/>
        <w:t>ти взаимосвязанных между собой признаков.</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Первый клинический вариант характеризуется мини</w:t>
        <w:softHyphen/>
        <w:t>мальной степенью выраженности клинических симп</w:t>
        <w:softHyphen/>
        <w:t>томов заболевания. Жалобы отсутствуют или носят ха</w:t>
        <w:softHyphen/>
        <w:t>рактерную взаимосвязь с вегетативными нарушениями (легкие кардиалгии). У детей данной группы уровень внешних малых аномалий развития не превышает ус</w:t>
        <w:softHyphen/>
        <w:t>ловно порогового уровня. При аускультации сердца оп</w:t>
        <w:softHyphen/>
        <w:t>ределяются изолированные щелчки, имеющие посто</w:t>
        <w:softHyphen/>
        <w:t>янный характер, либо выслушиваемые при провокаци</w:t>
        <w:softHyphen/>
        <w:t>онных тестах (после физической нагрузки, в ортостазе, при вдыхании амилнитрита). На ЭКГ в покое отсут</w:t>
        <w:softHyphen/>
        <w:t>ствуют изменения процесса реполяризации либо имеет место незначительное снижение зубца Т в левых груд</w:t>
        <w:softHyphen/>
        <w:t>ных отведениях. В ортостатическом положении и при проведении электрокардиографического теста с изад- рином нарушение процесса реполяризации не возни</w:t>
        <w:softHyphen/>
        <w:t>кает. Рентгенологически определяются нормальные или уменьшенные размеры тени сердца. При эхокар</w:t>
        <w:softHyphen/>
        <w:t>диографическом исследовании выявляется умеренное голо- или позднесистолическое прогибание митраль</w:t>
        <w:softHyphen/>
        <w:t>ных створок, не превышающее 5 мм. По данным допп</w:t>
        <w:softHyphen/>
        <w:t>лерографии митральная регургитация отсутствует. Ве</w:t>
        <w:softHyphen/>
        <w:t>гетативный статус (по данным исходного вегетативно</w:t>
        <w:softHyphen/>
        <w:t>го тонуса и кардиоинтервалографии) характеризуется как симпатикотонический, в большинстве случаев оп</w:t>
        <w:softHyphen/>
        <w:t>ределяется нормальная вегетативная реактивность и избыточное вегетативное обеспечение деятельности. Физическая работоспособность (по данным велоэрго- метрии) соответствует показателям здоровых детей.</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pict>
          <v:shape id="_x0000_s1332" type="#_x0000_t75" style="position:absolute;margin-left:137.05pt;margin-top:737.05pt;width:209.75pt;height:14.9pt;z-index:-125829177;mso-wrap-distance-left:136.8pt;mso-wrap-distance-right:147.85pt;mso-wrap-distance-bottom:10.8pt;mso-position-horizontal-relative:margin;mso-position-vertical-relative:margin" wrapcoords="0 0 21600 0 21600 21600 0 21600 0 0">
            <v:imagedata r:id="rId502" r:href="rId503"/>
            <w10:wrap type="topAndBottom" anchorx="margin" anchory="margin"/>
          </v:shape>
        </w:pict>
      </w:r>
      <w:r>
        <w:rPr>
          <w:lang w:val="ru-RU" w:eastAsia="ru-RU" w:bidi="ru-RU"/>
          <w:w w:val="100"/>
          <w:spacing w:val="0"/>
          <w:color w:val="000000"/>
          <w:position w:val="0"/>
        </w:rPr>
        <w:t>Второй клинический вариант характеризуется типичны</w:t>
        <w:softHyphen/>
        <w:t>ми проявлениями синдрома ПМК. Детям свойственны такие психоэмоциональные черты, как эмоциональная неустойчивость, плаксивость, застенчивость, неуверен</w:t>
        <w:softHyphen/>
        <w:t>ность в себе. При клиническом осмотре выявляются ха</w:t>
        <w:softHyphen/>
        <w:t>рактерные внешние черты: астеничное телосложение, снижение массы тела, слабое развитие мускулатуры и др. При аускультации определяется сочетание щелч</w:t>
        <w:softHyphen/>
        <w:t>ков с позднесистолическим шумом. На ЭКГ в покое об</w:t>
        <w:softHyphen/>
        <w:t xml:space="preserve">наруживается снижение процесса реполяризации в миокарде в виде изоэлектричного или сглаженного зубца Т в левых грудных отведениях. В ортоположении и при проведении пробы с изадрином </w:t>
      </w:r>
      <w:r>
        <w:rPr>
          <w:lang w:val="en-US" w:eastAsia="en-US" w:bidi="en-US"/>
          <w:w w:val="100"/>
          <w:spacing w:val="0"/>
          <w:color w:val="000000"/>
          <w:position w:val="0"/>
        </w:rPr>
        <w:t xml:space="preserve">ST-T </w:t>
      </w:r>
      <w:r>
        <w:rPr>
          <w:lang w:val="ru-RU" w:eastAsia="ru-RU" w:bidi="ru-RU"/>
          <w:w w:val="100"/>
          <w:spacing w:val="0"/>
          <w:color w:val="000000"/>
          <w:position w:val="0"/>
        </w:rPr>
        <w:t>изменения усиливаются, однако инверсии зубца Т не отмечается. На рентгенограмме грудной клетки обнаруживаются малые размеры тени сердца, умеренное выбухание дуги легочной артерии. При допплерэхокардиографии выяв</w:t>
        <w:softHyphen/>
        <w:t>ляется позднесистолический пролапс створок, глубина которого не превышает 7 мм, регургитация отсутствует или не превышает 1 градации. В вегетативном статусе преобладают симпатикотонические нарушения либо имеет место ВСД по смешанному типу. При велоэрго - метрии обнаруживается умеренное снижение показате</w:t>
        <w:softHyphen/>
        <w:t>лей физической работоспособности и снижение адап</w:t>
        <w:softHyphen/>
        <w:t>тации сердечно -сосудистой системы к нагрузке, связан</w:t>
        <w:softHyphen/>
        <w:t>ное с избыточным хронотропным ответом.</w:t>
      </w:r>
      <w:r>
        <w:br w:type="page"/>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третьем варианте синдрома ПМК клинико-ин</w:t>
        <w:softHyphen/>
        <w:t>струментальные показатели имеют наиболее выра</w:t>
        <w:softHyphen/>
        <w:t>женные отклонения. При определении признаков со</w:t>
        <w:softHyphen/>
        <w:t>единительнотканных нарушений у этих детей выяв</w:t>
        <w:softHyphen/>
        <w:t>ляется высокий уровень малых аномалий развития: высокорослость, астеническое телосложение, неред</w:t>
        <w:softHyphen/>
        <w:t>ко деформации грудной клетки (сколиоз, кифоз, во</w:t>
        <w:softHyphen/>
        <w:t>ронкообразная деформация и др.), удлинение конеч</w:t>
        <w:softHyphen/>
        <w:t>ностей, разболтанность суставов, миопия и др. Мо</w:t>
        <w:softHyphen/>
        <w:t>жет определяться ортостатическая гипотензия, кото</w:t>
        <w:softHyphen/>
        <w:t>рая является причиной головокружений, слабости, синкопе. При аускультации типичен изолированный позднесистолический шум, может выслушиваться го</w:t>
        <w:softHyphen/>
        <w:t>лосистолический шум. На ЭКГ регистрируются вы</w:t>
        <w:softHyphen/>
        <w:t xml:space="preserve">раженные </w:t>
      </w:r>
      <w:r>
        <w:rPr>
          <w:lang w:val="en-US" w:eastAsia="en-US" w:bidi="en-US"/>
          <w:w w:val="100"/>
          <w:spacing w:val="0"/>
          <w:color w:val="000000"/>
          <w:position w:val="0"/>
        </w:rPr>
        <w:t xml:space="preserve">ST-T </w:t>
      </w:r>
      <w:r>
        <w:rPr>
          <w:lang w:val="ru-RU" w:eastAsia="ru-RU" w:bidi="ru-RU"/>
          <w:w w:val="100"/>
          <w:spacing w:val="0"/>
          <w:color w:val="000000"/>
          <w:position w:val="0"/>
        </w:rPr>
        <w:t>изменения, усиливающиеся (вплоть до инверсии зубца Т) в ортостатическом положении. Допплерэхокардиография выявляет большой поздне</w:t>
        <w:softHyphen/>
        <w:t>систолический или голосистолический пролапс ство</w:t>
        <w:softHyphen/>
        <w:t>рок с митральной регургитацией 1-3 градаций. В веге</w:t>
        <w:softHyphen/>
        <w:t>тативном статусе выявляются признаки ВСД по сме</w:t>
        <w:softHyphen/>
        <w:t>шанному типу либо преобладание парасимпатичес</w:t>
        <w:softHyphen/>
        <w:t>кого отдела вегетативной нервной системы. Дети имеют низкие показатели физической работоспособ</w:t>
        <w:softHyphen/>
        <w:t>ности и дезадаптивный ответ со стороны сердеч</w:t>
        <w:softHyphen/>
        <w:t>но-сосудистой системы на физическую нагрузку.</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Четвертый («немой») вариант ПМК у детей характери</w:t>
        <w:softHyphen/>
        <w:t>зуется отсутствием классических аускультативных (фонокардиографических) проявлений синдрома и обнаруживается при двухмерном эхокардиографи</w:t>
        <w:softHyphen/>
        <w:t>ческом исследовании (один главный признак). Часто данный вариант ПМК обнаруживается при диспан</w:t>
        <w:softHyphen/>
        <w:t>серизации здоровых детей, имеющих черты астениче</w:t>
        <w:softHyphen/>
        <w:t>ской конституции. Иногда «немой» ПМК обнаружи</w:t>
        <w:softHyphen/>
        <w:t>вается при обследовании по поводу кардиалгий, аритмий, реполяризационных изменений на ЭКГ.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большинстве случаев ПМК протекает благоприятно и лишь в 2-4% приводит к серьезным осложнениям.</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Основными осложнениями течения первичного ПМК являются:</w:t>
      </w:r>
    </w:p>
    <w:p>
      <w:pPr>
        <w:pStyle w:val="Style30"/>
        <w:numPr>
          <w:ilvl w:val="0"/>
          <w:numId w:val="65"/>
        </w:numPr>
        <w:tabs>
          <w:tab w:leader="none" w:pos="735"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острая или хроническая митральная недостаточ</w:t>
        <w:softHyphen/>
        <w:t>ность;</w:t>
      </w:r>
    </w:p>
    <w:p>
      <w:pPr>
        <w:pStyle w:val="Style30"/>
        <w:numPr>
          <w:ilvl w:val="0"/>
          <w:numId w:val="65"/>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бактериальный эндокардит;</w:t>
      </w:r>
    </w:p>
    <w:p>
      <w:pPr>
        <w:pStyle w:val="Style30"/>
        <w:numPr>
          <w:ilvl w:val="0"/>
          <w:numId w:val="65"/>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тромбоэмболия;</w:t>
      </w:r>
    </w:p>
    <w:p>
      <w:pPr>
        <w:pStyle w:val="Style30"/>
        <w:numPr>
          <w:ilvl w:val="0"/>
          <w:numId w:val="65"/>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жизнеугрожающие аритмии;</w:t>
      </w:r>
    </w:p>
    <w:p>
      <w:pPr>
        <w:pStyle w:val="Style30"/>
        <w:numPr>
          <w:ilvl w:val="0"/>
          <w:numId w:val="65"/>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внезапная смерть.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Острая митральная недостаточность возникает из-за от</w:t>
        <w:softHyphen/>
        <w:t xml:space="preserve">рыва сухожильных нитей от створок митрального клапана (синдром «болтающегося» клапана — </w:t>
      </w:r>
      <w:r>
        <w:rPr>
          <w:lang w:val="en-US" w:eastAsia="en-US" w:bidi="en-US"/>
          <w:w w:val="100"/>
          <w:spacing w:val="0"/>
          <w:color w:val="000000"/>
          <w:position w:val="0"/>
        </w:rPr>
        <w:t xml:space="preserve">«floppy mitral valve»), </w:t>
      </w:r>
      <w:r>
        <w:rPr>
          <w:lang w:val="ru-RU" w:eastAsia="ru-RU" w:bidi="ru-RU"/>
          <w:w w:val="100"/>
          <w:spacing w:val="0"/>
          <w:color w:val="000000"/>
          <w:position w:val="0"/>
        </w:rPr>
        <w:t>в детском возрасте наблюдается казуистически редко и в основном связана с травмой грудной клетки у больных на фоне миксоматозной дегенерации хорд. Основным па</w:t>
        <w:softHyphen/>
        <w:t>тогенетическим механизмом острой митральной недоста</w:t>
        <w:softHyphen/>
        <w:t>точности является легочная венозная гипертензия, возни</w:t>
        <w:softHyphen/>
        <w:t>кающая из-за большого объема регургитации в недостаточ</w:t>
        <w:softHyphen/>
        <w:t>но растяжимое левое предсердие. Клиническая симптома</w:t>
        <w:softHyphen/>
        <w:t>тика проявляется внезапным развитием отека легких. Ти</w:t>
        <w:softHyphen/>
        <w:t>пичные аускультативные проявления пролапса исчезают, появляется дующий пансистолический шум, выраженный III тон, нередко мерцательная аритмия. Развиваются ор- топноэ, застойные мелкопузырчатые хрипы в легких, кло</w:t>
        <w:softHyphen/>
        <w:t>кочущее дыхание. Рентгенологически определяются кар-</w:t>
        <w:br w:type="column"/>
        <w:t>диомегалия, дилатация левого предсердия и левого желу</w:t>
        <w:softHyphen/>
        <w:t>дочка, венозный застой в легких, картина пред- и отека лег</w:t>
        <w:softHyphen/>
        <w:t>ких. Подтвердить отрыв сухожильных нитей позволяет эхо</w:t>
        <w:softHyphen/>
        <w:t>кардиография. «Болтающаяся» створка или ее часть не име</w:t>
        <w:softHyphen/>
        <w:t>ет связи с подклапанными структурами, имеет хаотическое движение, проникает во время систолы в полость левого предсердия, определяется большой регургитантный поток (++++) по допплеру.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Хроническая митральная недостаточность у больных с синдромом ПМК является возрастно зависимым феноме</w:t>
        <w:softHyphen/>
        <w:t xml:space="preserve">ном и развивается после 40-летнего возраста. Показано, что у взрослых больных в основе митральной недостаточности в 60% случаев лежит пролапс митрального клапана </w:t>
      </w:r>
      <w:r>
        <w:rPr>
          <w:lang w:val="en-US" w:eastAsia="en-US" w:bidi="en-US"/>
          <w:w w:val="100"/>
          <w:spacing w:val="0"/>
          <w:color w:val="000000"/>
          <w:position w:val="0"/>
        </w:rPr>
        <w:t xml:space="preserve">(Luxereau P. </w:t>
      </w:r>
      <w:r>
        <w:rPr>
          <w:lang w:val="ru-RU" w:eastAsia="ru-RU" w:bidi="ru-RU"/>
          <w:w w:val="100"/>
          <w:spacing w:val="0"/>
          <w:color w:val="000000"/>
          <w:position w:val="0"/>
        </w:rPr>
        <w:t>с соавт.,1991). Митральная недостаточность ча</w:t>
        <w:softHyphen/>
        <w:t>ще развивается при преимущественном пролапсе задней створки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митральная недостаточность при ПМК протекает чаще всего бессимптомно и диагностируется при допплерэ</w:t>
        <w:softHyphen/>
        <w:t>хокардиографическом исследовании. В последующем при прогрессировании регургитации появляются жалобы на одышку при физической нагрузке, снижение физической ра</w:t>
        <w:softHyphen/>
        <w:t>ботоспособности, слабость, отставание в физическом разви</w:t>
        <w:softHyphen/>
        <w:t>тии. При клиническом обследовании определяется ослабле</w:t>
        <w:softHyphen/>
        <w:t xml:space="preserve">ние </w:t>
      </w:r>
      <w:r>
        <w:rPr>
          <w:lang w:val="en-US" w:eastAsia="en-US" w:bidi="en-US"/>
          <w:w w:val="100"/>
          <w:spacing w:val="0"/>
          <w:color w:val="000000"/>
          <w:position w:val="0"/>
        </w:rPr>
        <w:t xml:space="preserve">I </w:t>
      </w:r>
      <w:r>
        <w:rPr>
          <w:lang w:val="ru-RU" w:eastAsia="ru-RU" w:bidi="ru-RU"/>
          <w:w w:val="100"/>
          <w:spacing w:val="0"/>
          <w:color w:val="000000"/>
          <w:position w:val="0"/>
        </w:rPr>
        <w:t>тона, голосистолический дующий шум, проводящийся в левую подмышечную область, III и IV тоны сердца, акцент II тона над легочной артерией. На ЭКГ регистрируются пере</w:t>
        <w:softHyphen/>
        <w:t>грузка левого предсердия, гипертрофия левого желудочка, от</w:t>
        <w:softHyphen/>
        <w:t>клонение электрической оси сердца влево, при тяжелой не</w:t>
        <w:softHyphen/>
        <w:t>достаточности — мерцательная аритмия, бивентрикулярная гипертрофия. Рентгенологически определяется увеличение тени сердца, преимущественно левых отделов, признаки ве</w:t>
        <w:softHyphen/>
        <w:t>нозного застоя. Достоверно оценить величину митральной регургитации позволяет допплерэхокардиография. Для опре</w:t>
        <w:softHyphen/>
        <w:t>деления тяжести митральной недостаточности используют комплекс клинико -инструментальных показателей.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легкой митральной недостаточности характерно:</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Одышка только при физической нагрузке.</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Отсутствует третий тон.</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Короткий ранне-позднесистолический шум.</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Синусовый ритм.</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Умеренная дилатация левого предсердия.</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Регургитация по допплер + или ++.</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тяжелой митральной недостаточности характерно:</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Ортопноэ.</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Выраженный третий тон.</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Голосистолический дующий шум.</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Мерцательная аритмия.</w:t>
      </w:r>
    </w:p>
    <w:p>
      <w:pPr>
        <w:pStyle w:val="Style30"/>
        <w:numPr>
          <w:ilvl w:val="0"/>
          <w:numId w:val="63"/>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Выраженная дилатация левого предсердия и левого желудочка, появление дилатации правых отделов.</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Венозный застой в легких.</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Регургитация по допплер +++ или ++++.</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Характерными осложнениями митральной недостаточ</w:t>
        <w:softHyphen/>
        <w:t>ности при ПМК являются:</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Застойная сердечная недостаточность.</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Легочная гипертензия.</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Артериальная тромбоэмболия.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Факторами риска развития «чистой» (невоспалительной) митральной недостаточности при синдроме пролабирования по данным двухмерной эхокардиографии являются:</w:t>
      </w:r>
    </w:p>
    <w:p>
      <w:pPr>
        <w:pStyle w:val="Style30"/>
        <w:numPr>
          <w:ilvl w:val="0"/>
          <w:numId w:val="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Дилатация левого атриовентрикулярного отверстия.</w:t>
      </w:r>
    </w:p>
    <w:p>
      <w:pPr>
        <w:pStyle w:val="Style30"/>
        <w:numPr>
          <w:ilvl w:val="0"/>
          <w:numId w:val="63"/>
        </w:numPr>
        <w:tabs>
          <w:tab w:leader="none" w:pos="517" w:val="left"/>
        </w:tabs>
        <w:widowControl w:val="0"/>
        <w:keepNext w:val="0"/>
        <w:keepLines w:val="0"/>
        <w:shd w:val="clear" w:color="auto" w:fill="auto"/>
        <w:bidi w:val="0"/>
        <w:jc w:val="left"/>
        <w:spacing w:before="0" w:after="0"/>
        <w:ind w:left="520" w:right="0" w:hanging="240"/>
      </w:pPr>
      <w:r>
        <w:pict>
          <v:shape id="_x0000_s1333" type="#_x0000_t75" style="position:absolute;margin-left:148.1pt;margin-top:737.05pt;width:209.75pt;height:14.9pt;z-index:-125829176;mso-wrap-distance-left:147.85pt;mso-wrap-distance-right:136.8pt;mso-wrap-distance-bottom:10.8pt;mso-position-horizontal-relative:margin;mso-position-vertical-relative:margin" wrapcoords="0 0 21600 0 21600 21600 0 21600 0 0">
            <v:imagedata r:id="rId504" r:href="rId505"/>
            <w10:wrap type="topAndBottom" anchorx="margin" anchory="margin"/>
          </v:shape>
        </w:pict>
      </w:r>
      <w:r>
        <w:rPr>
          <w:lang w:val="ru-RU" w:eastAsia="ru-RU" w:bidi="ru-RU"/>
          <w:w w:val="100"/>
          <w:spacing w:val="0"/>
          <w:color w:val="000000"/>
          <w:position w:val="0"/>
        </w:rPr>
        <w:t>Пролапс преимущественно задней митральной створки.</w:t>
      </w:r>
      <w:r>
        <w:br w:type="page"/>
      </w:r>
    </w:p>
    <w:p>
      <w:pPr>
        <w:framePr w:w="4498" w:h="3446" w:hSpace="189" w:wrap="notBeside" w:vAnchor="text" w:hAnchor="text" w:x="368" w:y="1"/>
        <w:widowControl w:val="0"/>
        <w:rPr>
          <w:sz w:val="2"/>
          <w:szCs w:val="2"/>
        </w:rPr>
      </w:pPr>
      <w:r>
        <w:pict>
          <v:shape id="_x0000_s1334" type="#_x0000_t75" style="width:225pt;height:172pt;">
            <v:imagedata r:id="rId506" r:href="rId507"/>
          </v:shape>
        </w:pict>
      </w:r>
    </w:p>
    <w:p>
      <w:pPr>
        <w:pStyle w:val="Style120"/>
        <w:framePr w:w="4776" w:h="237" w:hSpace="189" w:wrap="notBeside" w:vAnchor="text" w:hAnchor="text" w:x="190" w:y="3673"/>
        <w:widowControl w:val="0"/>
        <w:keepNext w:val="0"/>
        <w:keepLines w:val="0"/>
        <w:shd w:val="clear" w:color="auto" w:fill="auto"/>
        <w:bidi w:val="0"/>
        <w:jc w:val="left"/>
        <w:spacing w:before="0" w:after="0" w:line="180" w:lineRule="exact"/>
        <w:ind w:left="0" w:right="0" w:firstLine="0"/>
      </w:pPr>
      <w:r>
        <w:rPr>
          <w:rStyle w:val="CharStyle125"/>
        </w:rPr>
        <w:t xml:space="preserve">Рис. 44. </w:t>
      </w:r>
      <w:r>
        <w:rPr>
          <w:lang w:val="ru-RU" w:eastAsia="ru-RU" w:bidi="ru-RU"/>
          <w:w w:val="100"/>
          <w:spacing w:val="0"/>
          <w:color w:val="000000"/>
          <w:position w:val="0"/>
        </w:rPr>
        <w:t>Изолированная аневризма межпредсердной перегородки.</w:t>
      </w:r>
    </w:p>
    <w:p>
      <w:pPr>
        <w:widowControl w:val="0"/>
        <w:rPr>
          <w:sz w:val="2"/>
          <w:szCs w:val="2"/>
        </w:rPr>
      </w:pPr>
    </w:p>
    <w:p>
      <w:pPr>
        <w:pStyle w:val="Style30"/>
        <w:numPr>
          <w:ilvl w:val="0"/>
          <w:numId w:val="63"/>
        </w:numPr>
        <w:tabs>
          <w:tab w:leader="none" w:pos="236" w:val="left"/>
        </w:tabs>
        <w:widowControl w:val="0"/>
        <w:keepNext w:val="0"/>
        <w:keepLines w:val="0"/>
        <w:shd w:val="clear" w:color="auto" w:fill="auto"/>
        <w:bidi w:val="0"/>
        <w:spacing w:before="501" w:after="0"/>
        <w:ind w:left="340" w:right="0" w:hanging="340"/>
      </w:pPr>
      <w:r>
        <w:rPr>
          <w:lang w:val="ru-RU" w:eastAsia="ru-RU" w:bidi="ru-RU"/>
          <w:w w:val="100"/>
          <w:spacing w:val="0"/>
          <w:color w:val="000000"/>
          <w:position w:val="0"/>
        </w:rPr>
        <w:t>Утолщенность задней митральной створки.</w:t>
      </w:r>
    </w:p>
    <w:p>
      <w:pPr>
        <w:pStyle w:val="Style30"/>
        <w:widowControl w:val="0"/>
        <w:keepNext w:val="0"/>
        <w:keepLines w:val="0"/>
        <w:shd w:val="clear" w:color="auto" w:fill="auto"/>
        <w:bidi w:val="0"/>
        <w:spacing w:before="0" w:after="0"/>
        <w:ind w:left="340" w:right="0" w:hanging="340"/>
      </w:pPr>
      <w:r>
        <w:rPr>
          <w:lang w:val="ru-RU" w:eastAsia="ru-RU" w:bidi="ru-RU"/>
          <w:w w:val="100"/>
          <w:spacing w:val="0"/>
          <w:color w:val="000000"/>
          <w:position w:val="0"/>
        </w:rPr>
        <w:t>Инфекционный эндокардит</w:t>
      </w:r>
    </w:p>
    <w:p>
      <w:pPr>
        <w:pStyle w:val="Style30"/>
        <w:numPr>
          <w:ilvl w:val="0"/>
          <w:numId w:val="63"/>
        </w:numPr>
        <w:tabs>
          <w:tab w:leader="none" w:pos="236" w:val="left"/>
        </w:tabs>
        <w:widowControl w:val="0"/>
        <w:keepNext w:val="0"/>
        <w:keepLines w:val="0"/>
        <w:shd w:val="clear" w:color="auto" w:fill="auto"/>
        <w:bidi w:val="0"/>
        <w:spacing w:before="0" w:after="0"/>
        <w:ind w:left="340" w:right="0" w:hanging="340"/>
      </w:pPr>
      <w:r>
        <w:rPr>
          <w:lang w:val="ru-RU" w:eastAsia="ru-RU" w:bidi="ru-RU"/>
          <w:w w:val="100"/>
          <w:spacing w:val="0"/>
          <w:color w:val="000000"/>
          <w:position w:val="0"/>
        </w:rPr>
        <w:t>Не до конца определено значение ПМК в возникно</w:t>
        <w:softHyphen/>
        <w:t>вении инфекционного эндокардита.</w:t>
      </w:r>
    </w:p>
    <w:p>
      <w:pPr>
        <w:pStyle w:val="Style30"/>
        <w:numPr>
          <w:ilvl w:val="0"/>
          <w:numId w:val="63"/>
        </w:numPr>
        <w:tabs>
          <w:tab w:leader="none" w:pos="236" w:val="left"/>
        </w:tabs>
        <w:widowControl w:val="0"/>
        <w:keepNext w:val="0"/>
        <w:keepLines w:val="0"/>
        <w:shd w:val="clear" w:color="auto" w:fill="auto"/>
        <w:bidi w:val="0"/>
        <w:spacing w:before="0" w:after="0"/>
        <w:ind w:left="340" w:right="0" w:hanging="340"/>
      </w:pPr>
      <w:r>
        <w:rPr>
          <w:lang w:val="ru-RU" w:eastAsia="ru-RU" w:bidi="ru-RU"/>
          <w:w w:val="100"/>
          <w:spacing w:val="0"/>
          <w:color w:val="000000"/>
          <w:position w:val="0"/>
        </w:rPr>
        <w:t>Пролапс митрального клапана является высоким фактором риска возникновения инфекционного эн</w:t>
        <w:softHyphen/>
        <w:t>докардита. Абсолютный риск возникновения заболе</w:t>
        <w:softHyphen/>
        <w:t>вания выше, чем в популяции, в 4,4 раза.</w:t>
      </w:r>
    </w:p>
    <w:p>
      <w:pPr>
        <w:pStyle w:val="Style30"/>
        <w:numPr>
          <w:ilvl w:val="0"/>
          <w:numId w:val="63"/>
        </w:numPr>
        <w:tabs>
          <w:tab w:leader="none" w:pos="236" w:val="left"/>
        </w:tabs>
        <w:widowControl w:val="0"/>
        <w:keepNext w:val="0"/>
        <w:keepLines w:val="0"/>
        <w:shd w:val="clear" w:color="auto" w:fill="auto"/>
        <w:bidi w:val="0"/>
        <w:spacing w:before="0" w:after="0"/>
        <w:ind w:left="340" w:right="0" w:hanging="340"/>
      </w:pPr>
      <w:r>
        <w:rPr>
          <w:lang w:val="ru-RU" w:eastAsia="ru-RU" w:bidi="ru-RU"/>
          <w:w w:val="100"/>
          <w:spacing w:val="0"/>
          <w:color w:val="000000"/>
          <w:position w:val="0"/>
        </w:rPr>
        <w:t>В случаях ПМК без систолического шума риск ин</w:t>
        <w:softHyphen/>
        <w:t>фекционного эндокардита почти такой же, как и в общей популяции, — 0,0046%.</w:t>
      </w:r>
    </w:p>
    <w:p>
      <w:pPr>
        <w:pStyle w:val="Style30"/>
        <w:numPr>
          <w:ilvl w:val="0"/>
          <w:numId w:val="63"/>
        </w:numPr>
        <w:tabs>
          <w:tab w:leader="none" w:pos="236" w:val="left"/>
        </w:tabs>
        <w:widowControl w:val="0"/>
        <w:keepNext w:val="0"/>
        <w:keepLines w:val="0"/>
        <w:shd w:val="clear" w:color="auto" w:fill="auto"/>
        <w:bidi w:val="0"/>
        <w:spacing w:before="0" w:after="0"/>
        <w:ind w:left="340" w:right="0" w:hanging="340"/>
      </w:pPr>
      <w:r>
        <w:rPr>
          <w:lang w:val="ru-RU" w:eastAsia="ru-RU" w:bidi="ru-RU"/>
          <w:w w:val="100"/>
          <w:spacing w:val="0"/>
          <w:color w:val="000000"/>
          <w:position w:val="0"/>
        </w:rPr>
        <w:t>Риск инфекционного эндокардита в 13 раз выше, чем в популяции, в случаях ПМК с изолированным позд- не- или голосистолическим шумом — 0,052%.</w:t>
      </w:r>
    </w:p>
    <w:p>
      <w:pPr>
        <w:pStyle w:val="Style30"/>
        <w:numPr>
          <w:ilvl w:val="0"/>
          <w:numId w:val="63"/>
        </w:numPr>
        <w:tabs>
          <w:tab w:leader="none" w:pos="236" w:val="left"/>
        </w:tabs>
        <w:widowControl w:val="0"/>
        <w:keepNext w:val="0"/>
        <w:keepLines w:val="0"/>
        <w:shd w:val="clear" w:color="auto" w:fill="auto"/>
        <w:bidi w:val="0"/>
        <w:spacing w:before="0" w:after="0"/>
        <w:ind w:left="340" w:right="0" w:hanging="340"/>
      </w:pPr>
      <w:r>
        <w:rPr>
          <w:lang w:val="ru-RU" w:eastAsia="ru-RU" w:bidi="ru-RU"/>
          <w:w w:val="100"/>
          <w:spacing w:val="0"/>
          <w:color w:val="000000"/>
          <w:position w:val="0"/>
        </w:rPr>
        <w:t>Частота инфекционного эндокардита у больных с ПМК увеличивается с возрастом, поэтому у детей данный синдром редко является причиной инфекци</w:t>
        <w:softHyphen/>
        <w:t xml:space="preserve">онного эндокардита и встречается с частотой </w:t>
      </w:r>
      <w:r>
        <w:rPr>
          <w:rStyle w:val="CharStyle32"/>
        </w:rPr>
        <w:t>1</w:t>
      </w:r>
      <w:r>
        <w:rPr>
          <w:lang w:val="ru-RU" w:eastAsia="ru-RU" w:bidi="ru-RU"/>
          <w:w w:val="100"/>
          <w:spacing w:val="0"/>
          <w:color w:val="000000"/>
          <w:position w:val="0"/>
        </w:rPr>
        <w:t xml:space="preserve"> случай на 500 больных.</w:t>
      </w:r>
    </w:p>
    <w:p>
      <w:pPr>
        <w:pStyle w:val="Style30"/>
        <w:numPr>
          <w:ilvl w:val="0"/>
          <w:numId w:val="63"/>
        </w:numPr>
        <w:tabs>
          <w:tab w:leader="none" w:pos="236" w:val="left"/>
        </w:tabs>
        <w:widowControl w:val="0"/>
        <w:keepNext w:val="0"/>
        <w:keepLines w:val="0"/>
        <w:shd w:val="clear" w:color="auto" w:fill="auto"/>
        <w:bidi w:val="0"/>
        <w:spacing w:before="0" w:after="0"/>
        <w:ind w:left="340" w:right="0" w:hanging="340"/>
      </w:pPr>
      <w:r>
        <w:rPr>
          <w:lang w:val="ru-RU" w:eastAsia="ru-RU" w:bidi="ru-RU"/>
          <w:w w:val="100"/>
          <w:spacing w:val="0"/>
          <w:color w:val="000000"/>
          <w:position w:val="0"/>
        </w:rPr>
        <w:t>Неповрежденные структуры сердца обладают высо</w:t>
        <w:softHyphen/>
        <w:t>кой устойчивостью к воздействию инфекционного возбудителя. По этой причине структурные особен</w:t>
        <w:softHyphen/>
        <w:t>ности створок и подклапанного аппарата при ПМК предрасполагают к возникновению инфекционного эндокардита. При наличии бактериемии возбудитель оседает на измененных створках с последующим раз</w:t>
        <w:softHyphen/>
        <w:t>витием классического воспаления с образованием бактериальных вегетаций.</w:t>
      </w:r>
    </w:p>
    <w:p>
      <w:pPr>
        <w:pStyle w:val="Style30"/>
        <w:numPr>
          <w:ilvl w:val="0"/>
          <w:numId w:val="63"/>
        </w:numPr>
        <w:tabs>
          <w:tab w:leader="none" w:pos="236" w:val="left"/>
        </w:tabs>
        <w:widowControl w:val="0"/>
        <w:keepNext w:val="0"/>
        <w:keepLines w:val="0"/>
        <w:shd w:val="clear" w:color="auto" w:fill="auto"/>
        <w:bidi w:val="0"/>
        <w:spacing w:before="0" w:after="0"/>
        <w:ind w:left="340" w:right="0" w:hanging="340"/>
      </w:pPr>
      <w:r>
        <w:rPr>
          <w:lang w:val="ru-RU" w:eastAsia="ru-RU" w:bidi="ru-RU"/>
          <w:w w:val="100"/>
          <w:spacing w:val="0"/>
          <w:color w:val="000000"/>
          <w:position w:val="0"/>
        </w:rPr>
        <w:t>Инфекционный эндокардит обусловливает тяжелую митральную недостаточность, высока вероятность возникновения тромбоэмболии в мозговые сосуды, часто в патологический процесс вовлекается миокард с развитием левожелудочковой дисфункции.</w:t>
      </w:r>
    </w:p>
    <w:p>
      <w:pPr>
        <w:pStyle w:val="Style30"/>
        <w:numPr>
          <w:ilvl w:val="0"/>
          <w:numId w:val="63"/>
        </w:numPr>
        <w:tabs>
          <w:tab w:leader="none" w:pos="236" w:val="left"/>
        </w:tabs>
        <w:widowControl w:val="0"/>
        <w:keepNext w:val="0"/>
        <w:keepLines w:val="0"/>
        <w:shd w:val="clear" w:color="auto" w:fill="auto"/>
        <w:bidi w:val="0"/>
        <w:spacing w:before="0" w:after="0"/>
        <w:ind w:left="340" w:right="0" w:hanging="340"/>
      </w:pPr>
      <w:r>
        <w:rPr>
          <w:lang w:val="ru-RU" w:eastAsia="ru-RU" w:bidi="ru-RU"/>
          <w:w w:val="100"/>
          <w:spacing w:val="0"/>
          <w:color w:val="000000"/>
          <w:position w:val="0"/>
        </w:rPr>
        <w:t>Диагностика инфекционного эндокардита при про</w:t>
        <w:softHyphen/>
        <w:t>лапсе митрального клапана представляет значитель</w:t>
        <w:softHyphen/>
        <w:t>ные трудности. Поскольку створки при пролапсе из</w:t>
        <w:softHyphen/>
        <w:t>быточно фестончатые, это не позволяет выявить на</w:t>
        <w:softHyphen/>
        <w:t>чало формирования бактериальных вегетаций по данным эхокардиографии. Поэтому основное значе</w:t>
        <w:softHyphen/>
        <w:t>ние в диагностике эндокардита имеет клиническая симптоматика инфекционного процесса (лихорадка,</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ознобы, сыпь, спленомегалия и др.), появление шума митральной регургитации и факт обнаружения возбу</w:t>
        <w:softHyphen/>
        <w:t>дителя при повторных высевах крови.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Внезапная смерть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внезапной смерти при синдроме ПМК зависит от многих факторов, основными из которых являются электрическая нестабильность миокарда при наличии син</w:t>
        <w:softHyphen/>
        <w:t xml:space="preserve">дрома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желудочковых аритмий, сопутствующая митральная недостаточность, нейрогумо</w:t>
        <w:softHyphen/>
        <w:t>ральный дисбаланс и др. факторы.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Риск внезапной смерти при отсутствии митральной ре- гургитации низкий и не превышает </w:t>
      </w:r>
      <w:r>
        <w:rPr>
          <w:rStyle w:val="CharStyle32"/>
        </w:rPr>
        <w:t>2:10</w:t>
      </w:r>
      <w:r>
        <w:rPr>
          <w:lang w:val="ru-RU" w:eastAsia="ru-RU" w:bidi="ru-RU"/>
          <w:w w:val="100"/>
          <w:spacing w:val="0"/>
          <w:color w:val="000000"/>
          <w:position w:val="0"/>
        </w:rPr>
        <w:t xml:space="preserve"> </w:t>
      </w:r>
      <w:r>
        <w:rPr>
          <w:rStyle w:val="CharStyle32"/>
        </w:rPr>
        <w:t>000</w:t>
      </w:r>
      <w:r>
        <w:rPr>
          <w:lang w:val="ru-RU" w:eastAsia="ru-RU" w:bidi="ru-RU"/>
          <w:w w:val="100"/>
          <w:spacing w:val="0"/>
          <w:color w:val="000000"/>
          <w:position w:val="0"/>
        </w:rPr>
        <w:t xml:space="preserve"> в год, в то вре</w:t>
        <w:softHyphen/>
        <w:t>мя как при сопутствующей митральной регургитации уве</w:t>
        <w:softHyphen/>
        <w:t>личивается в 50-100 раз.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больных с ПМК, умерших внезапно, имеются сущест</w:t>
        <w:softHyphen/>
        <w:t>венные морфологические отличия строения клапанного аппарата по сравнению с больными, погибшими от застой</w:t>
        <w:softHyphen/>
        <w:t>ной сердечной недостаточности. У этих больных отмечают</w:t>
        <w:softHyphen/>
        <w:t>ся более выраженные дилатация митрального отверстия, увеличение площади передней и задней митральных ство</w:t>
        <w:softHyphen/>
        <w:t>рок, утолщение задней створки, фиброз эндокарда. Боль</w:t>
        <w:softHyphen/>
        <w:t>ные, умершие внезапно, моложе, чем умершие от сердеч</w:t>
        <w:softHyphen/>
        <w:t>ной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большинстве случаев внезапная смерть у больных с ПМК носит аритмогенный генез и обусловлена внезап</w:t>
        <w:softHyphen/>
        <w:t>ным возникновением идиопатической желудочковой тахи</w:t>
        <w:softHyphen/>
        <w:t xml:space="preserve">кардии (фибрилляции) или на фоне синдрома удлиненного интервала </w:t>
      </w:r>
      <w:r>
        <w:rPr>
          <w:lang w:val="en-US" w:eastAsia="en-US" w:bidi="en-US"/>
          <w:w w:val="100"/>
          <w:spacing w:val="0"/>
          <w:color w:val="000000"/>
          <w:position w:val="0"/>
        </w:rPr>
        <w:t>QT.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редких случаях в основе внезапной сердечной смерти у больных с ПМК может лежать врожденная аномалия ко</w:t>
        <w:softHyphen/>
        <w:t>ронарных артерий (аномальное отхождение правой или ле</w:t>
        <w:softHyphen/>
        <w:t>вой коронарной артерии), приводящая к острой ишемии миокарда и его некрозу.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Таким образом, основными факторами риска внезапной смерти у детей с синдромом ПМК являются:</w:t>
      </w:r>
    </w:p>
    <w:p>
      <w:pPr>
        <w:pStyle w:val="Style30"/>
        <w:numPr>
          <w:ilvl w:val="0"/>
          <w:numId w:val="6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желудочковые аритмии </w:t>
      </w:r>
      <w:r>
        <w:rPr>
          <w:lang w:val="en-US" w:eastAsia="en-US" w:bidi="en-US"/>
          <w:w w:val="100"/>
          <w:spacing w:val="0"/>
          <w:color w:val="000000"/>
          <w:position w:val="0"/>
        </w:rPr>
        <w:t xml:space="preserve">III-V </w:t>
      </w:r>
      <w:r>
        <w:rPr>
          <w:lang w:val="ru-RU" w:eastAsia="ru-RU" w:bidi="ru-RU"/>
          <w:w w:val="100"/>
          <w:spacing w:val="0"/>
          <w:color w:val="000000"/>
          <w:position w:val="0"/>
        </w:rPr>
        <w:t xml:space="preserve">градации по </w:t>
      </w:r>
      <w:r>
        <w:rPr>
          <w:lang w:val="en-US" w:eastAsia="en-US" w:bidi="en-US"/>
          <w:w w:val="100"/>
          <w:spacing w:val="0"/>
          <w:color w:val="000000"/>
          <w:position w:val="0"/>
        </w:rPr>
        <w:t>Lown;</w:t>
      </w:r>
    </w:p>
    <w:p>
      <w:pPr>
        <w:pStyle w:val="Style30"/>
        <w:numPr>
          <w:ilvl w:val="0"/>
          <w:numId w:val="63"/>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удлинение корригированного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более 440 мс;</w:t>
      </w:r>
    </w:p>
    <w:p>
      <w:pPr>
        <w:pStyle w:val="Style30"/>
        <w:numPr>
          <w:ilvl w:val="0"/>
          <w:numId w:val="63"/>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появление ишемических изменений на ЭКГ во время физической нагрузки;</w:t>
      </w:r>
    </w:p>
    <w:p>
      <w:pPr>
        <w:pStyle w:val="Style30"/>
        <w:numPr>
          <w:ilvl w:val="0"/>
          <w:numId w:val="6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кардиогенные обморочные состояния в анамнезе.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Изолированная аневризма межпредсердной перегородки</w:t>
      </w:r>
    </w:p>
    <w:p>
      <w:pPr>
        <w:pStyle w:val="Style30"/>
        <w:widowControl w:val="0"/>
        <w:keepNext w:val="0"/>
        <w:keepLines w:val="0"/>
        <w:shd w:val="clear" w:color="auto" w:fill="auto"/>
        <w:bidi w:val="0"/>
        <w:spacing w:before="0" w:after="0"/>
        <w:ind w:left="0" w:right="0" w:firstLine="280"/>
      </w:pPr>
      <w:r>
        <w:pict>
          <v:shape id="_x0000_s1335" type="#_x0000_t75" style="position:absolute;margin-left:132.25pt;margin-top:737.05pt;width:209.75pt;height:14.9pt;z-index:-125829175;mso-wrap-distance-left:127.45pt;mso-wrap-distance-right:148.1pt;mso-wrap-distance-bottom:10.8pt;mso-position-horizontal-relative:margin;mso-position-vertical-relative:margin" wrapcoords="0 0 21600 0 21600 21600 0 21600 0 0">
            <v:imagedata r:id="rId508" r:href="rId509"/>
            <w10:wrap type="topAndBottom" anchorx="margin" anchory="margin"/>
          </v:shape>
        </w:pict>
      </w:r>
      <w:r>
        <w:rPr>
          <w:lang w:val="ru-RU" w:eastAsia="ru-RU" w:bidi="ru-RU"/>
          <w:w w:val="100"/>
          <w:spacing w:val="0"/>
          <w:color w:val="000000"/>
          <w:position w:val="0"/>
        </w:rPr>
        <w:t>Аневризма межпредсердной перегородки обычно распо</w:t>
        <w:softHyphen/>
        <w:t>лагается в области овального окна и связана с несостоя</w:t>
        <w:softHyphen/>
        <w:t>тельностью соединительнотканных элементов. Она возни</w:t>
        <w:softHyphen/>
        <w:t>кает при наследственных дисплазиях соединительной тка</w:t>
        <w:softHyphen/>
        <w:t>ни, после спонтанного закрытия дефекта межпредсердной перегородки или является врожденной аномалией разви</w:t>
        <w:softHyphen/>
        <w:t>тия. Обычно аневризматическое выпячивание небольшое, не сопровождается гемодинамическими нарушениями и не требует хирургического вмешательства. Клинически анев</w:t>
        <w:softHyphen/>
        <w:t>ризма может быть заподозрена по наличию щелчков в серд</w:t>
        <w:softHyphen/>
        <w:t>це, аналогичных таковым при пролапсе митрального кла</w:t>
        <w:softHyphen/>
        <w:t>пана. Возможно также сочетание аневризмы и пролапса. Уточнить характер звуковых изменений в сердце позволяет эхокардиография. Аневризма подтверждается по наличию выпячивания межпредсердной перегородки в сторону пра</w:t>
        <w:softHyphen/>
        <w:t>вого предсердия в области овального окна (рис. 44). Дети с аневризмой межпредсердной перегородки предрасполо</w:t>
        <w:softHyphen/>
        <w:t>жены к развитию наджелудочковых тахиаритмий, синдро</w:t>
        <w:softHyphen/>
        <w:t>ма слабости синусового узла.</w:t>
      </w:r>
      <w:r>
        <w:br w:type="page"/>
      </w:r>
    </w:p>
    <w:p>
      <w:pPr>
        <w:pStyle w:val="Style92"/>
        <w:widowControl w:val="0"/>
        <w:keepNext/>
        <w:keepLines/>
        <w:shd w:val="clear" w:color="auto" w:fill="auto"/>
        <w:bidi w:val="0"/>
        <w:spacing w:before="0" w:after="0"/>
        <w:ind w:left="0" w:right="0" w:firstLine="280"/>
      </w:pPr>
      <w:bookmarkStart w:id="409" w:name="bookmark409"/>
      <w:r>
        <w:rPr>
          <w:lang w:val="ru-RU" w:eastAsia="ru-RU" w:bidi="ru-RU"/>
          <w:w w:val="100"/>
          <w:spacing w:val="0"/>
          <w:color w:val="000000"/>
          <w:position w:val="0"/>
        </w:rPr>
        <w:t xml:space="preserve">Синдром Эванса-Ллойд-Томаса </w:t>
      </w:r>
      <w:r>
        <w:rPr>
          <w:lang w:val="en-US" w:eastAsia="en-US" w:bidi="en-US"/>
          <w:w w:val="100"/>
          <w:spacing w:val="0"/>
          <w:color w:val="000000"/>
          <w:position w:val="0"/>
        </w:rPr>
        <w:t xml:space="preserve">(Evans-Lloyd-Thomas, </w:t>
      </w:r>
      <w:r>
        <w:rPr>
          <w:lang w:val="ru-RU" w:eastAsia="ru-RU" w:bidi="ru-RU"/>
          <w:w w:val="100"/>
          <w:spacing w:val="0"/>
          <w:color w:val="000000"/>
          <w:position w:val="0"/>
        </w:rPr>
        <w:t>син. «подвешенное сердце»)</w:t>
      </w:r>
      <w:bookmarkEnd w:id="40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Диагностическими критериями синдрома являются: упорные кардиалгии по типу стенокардитических, обуслов</w:t>
        <w:softHyphen/>
        <w:t>ленные конституциональной аномалией положения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включает: боли в области сердца, усиление прекардиальной пульсации, функцио</w:t>
        <w:softHyphen/>
        <w:t xml:space="preserve">нальный систолический шум. ЭКГ: отрицательные зубцы Т в отведениях II, III, </w:t>
      </w:r>
      <w:r>
        <w:rPr>
          <w:lang w:val="en-US" w:eastAsia="en-US" w:bidi="en-US"/>
          <w:w w:val="100"/>
          <w:spacing w:val="0"/>
          <w:color w:val="000000"/>
          <w:position w:val="0"/>
        </w:rPr>
        <w:t xml:space="preserve">avF. </w:t>
      </w:r>
      <w:r>
        <w:rPr>
          <w:lang w:val="ru-RU" w:eastAsia="ru-RU" w:bidi="ru-RU"/>
          <w:w w:val="100"/>
          <w:spacing w:val="0"/>
          <w:color w:val="000000"/>
          <w:position w:val="0"/>
        </w:rPr>
        <w:t>Рентгенологически: в прямой про</w:t>
        <w:softHyphen/>
        <w:t>екции тень сердца не изменена, в косых — при глубоком вдохе тень сердца значительно отдаляется от диафрагмы («подвешенное» сердце), визуализируется тень нижней по</w:t>
        <w:softHyphen/>
        <w:t>лой вены. Отличить синдром «подвешенного сердца» от ПМК позволяет эхокардиографическое исследование.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Изолированный пролапс трикуспидального клапана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Изолированный пролапс трикуспидального клапана у де</w:t>
        <w:softHyphen/>
        <w:t>тей наблюдается казуистически редко, его происхождение не изучено, однако, вероятно, носит аналогичный характер, что и синдром ПМК. Клинически определяется аускультативная картина как и при пролапсе митрального клапана. Однако при пролапсе трикуспидального клапана щелчки и поздний систолический шум слышны над мечевидным отростком и справа от грудины, щелчки становятся позднесистоличес</w:t>
        <w:softHyphen/>
        <w:t>кими при вдохе и раннесистолическими при выдохе. Отли</w:t>
        <w:softHyphen/>
        <w:t>чить эти состояния позволяет эхокардиография.</w:t>
      </w:r>
    </w:p>
    <w:p>
      <w:pPr>
        <w:pStyle w:val="Style92"/>
        <w:widowControl w:val="0"/>
        <w:keepNext/>
        <w:keepLines/>
        <w:shd w:val="clear" w:color="auto" w:fill="auto"/>
        <w:bidi w:val="0"/>
        <w:spacing w:before="0" w:after="0"/>
        <w:ind w:left="520" w:right="0" w:hanging="240"/>
      </w:pPr>
      <w:bookmarkStart w:id="410" w:name="bookmark410"/>
      <w:r>
        <w:rPr>
          <w:lang w:val="ru-RU" w:eastAsia="ru-RU" w:bidi="ru-RU"/>
          <w:w w:val="100"/>
          <w:spacing w:val="0"/>
          <w:color w:val="000000"/>
          <w:position w:val="0"/>
        </w:rPr>
        <w:t>Лечение</w:t>
      </w:r>
      <w:bookmarkEnd w:id="410"/>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Тактика ведения детей с первичным ПМК различает</w:t>
        <w:softHyphen/>
        <w:t>ся в зависимости от степени выраженности пролаби- рования створок, характера вегетативных и сердеч</w:t>
        <w:softHyphen/>
        <w:t xml:space="preserve">но-сосудистых изменений. Основными принципами лечения являются: </w:t>
      </w:r>
      <w:r>
        <w:rPr>
          <w:rStyle w:val="CharStyle32"/>
        </w:rPr>
        <w:t>1</w:t>
      </w:r>
      <w:r>
        <w:rPr>
          <w:lang w:val="ru-RU" w:eastAsia="ru-RU" w:bidi="ru-RU"/>
          <w:w w:val="100"/>
          <w:spacing w:val="0"/>
          <w:color w:val="000000"/>
          <w:position w:val="0"/>
        </w:rPr>
        <w:t xml:space="preserve">) комплексность; </w:t>
      </w:r>
      <w:r>
        <w:rPr>
          <w:rStyle w:val="CharStyle32"/>
        </w:rPr>
        <w:t>2</w:t>
      </w:r>
      <w:r>
        <w:rPr>
          <w:lang w:val="ru-RU" w:eastAsia="ru-RU" w:bidi="ru-RU"/>
          <w:w w:val="100"/>
          <w:spacing w:val="0"/>
          <w:color w:val="000000"/>
          <w:position w:val="0"/>
        </w:rPr>
        <w:t>) длитель</w:t>
        <w:softHyphen/>
        <w:t>ность; 3) учет направленности функционирования вегетативной нервной системы.</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Обязательным является нормализация труда, отдыха, распорядка дня, соблюдение правильного режима с достаточным по продолжительности сном.</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Вопрос о занятиях физкультурой и спортом решается индивидуально после оценки врачом показателей физической работоспособности и адаптивности к физической нагрузке. Большинство детей при от</w:t>
        <w:softHyphen/>
        <w:t>сутствии митральной регургитации, выраженных на</w:t>
        <w:softHyphen/>
        <w:t>рушений процесса реполяризации и желудочковых аритмий удовлетворительно переносят физическую нагрузку. При наличии врачебного контроля им мож</w:t>
        <w:softHyphen/>
        <w:t>но вести активный образ жизни без каких-либо огра</w:t>
        <w:softHyphen/>
        <w:t>ничений физической активности. Детям можно реко - мендовать плавание, лыжи, коньки, катание на вело</w:t>
        <w:softHyphen/>
        <w:t>сипеде. Не рекомендуются спортивные занятия, свя</w:t>
        <w:softHyphen/>
        <w:t>занные с толчкообразным характером движений (прыжки, борьба каратэ и др.). Обнаружение у ребен</w:t>
        <w:softHyphen/>
        <w:t>ка митральной регургитации, желудочковых арит</w:t>
        <w:softHyphen/>
        <w:t>мий, изменений обменных процессов в миокарде, уд</w:t>
        <w:softHyphen/>
        <w:t xml:space="preserve">линения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на электрокардиограмме дик</w:t>
        <w:softHyphen/>
        <w:t>тует необходимость ограничения физической актив</w:t>
        <w:softHyphen/>
        <w:t>ности и занятий спортом. Этим детям разрешается занятие лечебной физкультурой под контролем врача.</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Исходя из того, что пролапс митрального клапана яв</w:t>
        <w:softHyphen/>
        <w:t>ляется частным проявлением вегетососудистой дис</w:t>
        <w:softHyphen/>
        <w:t>тонии в сочетании с соединительнотканными нару</w:t>
        <w:softHyphen/>
        <w:t>шениями, лечение строится по принципу общеук</w:t>
        <w:softHyphen/>
        <w:t>репляющей и вегетотропной терапии. Весь комплекс</w:t>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терапевтических мероприятий должен строиться с учетом индивидуальных особенностей личности больного и функционального состояния вегетатив</w:t>
        <w:softHyphen/>
        <w:t>ной нервной системы.</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Важной частью комплексного лечения детей с ПМК является немедикаментозная терапия. С этой целью назначаются психотерапия, аутотренинг, физиотера</w:t>
        <w:softHyphen/>
        <w:t>пия (электрофорез с магнием, бромом в области верх</w:t>
        <w:softHyphen/>
        <w:t>нешейного отдела позвоночника), водные процеду</w:t>
        <w:softHyphen/>
        <w:t>ры, иглорефлексотерапия, массаж позвоночника. Большое внимание должно быть уделено лечению хронических очагов инфекции, по показаниям про</w:t>
        <w:softHyphen/>
        <w:t>водится тонзиллэктомия.</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Медикаментозная терапия должна быть направлена на: </w:t>
      </w:r>
      <w:r>
        <w:rPr>
          <w:rStyle w:val="CharStyle32"/>
        </w:rPr>
        <w:t>1</w:t>
      </w:r>
      <w:r>
        <w:rPr>
          <w:lang w:val="ru-RU" w:eastAsia="ru-RU" w:bidi="ru-RU"/>
          <w:w w:val="100"/>
          <w:spacing w:val="0"/>
          <w:color w:val="000000"/>
          <w:position w:val="0"/>
        </w:rPr>
        <w:t xml:space="preserve">) лечение вегетососудистой дистонии; </w:t>
      </w:r>
      <w:r>
        <w:rPr>
          <w:rStyle w:val="CharStyle32"/>
        </w:rPr>
        <w:t>2</w:t>
      </w:r>
      <w:r>
        <w:rPr>
          <w:lang w:val="ru-RU" w:eastAsia="ru-RU" w:bidi="ru-RU"/>
          <w:w w:val="100"/>
          <w:spacing w:val="0"/>
          <w:color w:val="000000"/>
          <w:position w:val="0"/>
        </w:rPr>
        <w:t>) предуп</w:t>
        <w:softHyphen/>
        <w:t>реждение возникновения нейродистрофии миокар</w:t>
        <w:softHyphen/>
        <w:t>да; 3) психотерапию; 4) антибактериальную профи</w:t>
        <w:softHyphen/>
        <w:t>лактику инфекционного эндокардита.</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умеренных проявлениях симпатикотонии назна</w:t>
        <w:softHyphen/>
        <w:t>чается фитотерапия седативными травами: настойка валерианы, пустырника, сбор трав (шалфей, багуль</w:t>
        <w:softHyphen/>
        <w:t xml:space="preserve">ник, зверобой, пустырник, валериана, боярышник), обладающий одновременно легким дегидратацион- ным эффектом. При наличии изменений процесса реполяризации на ЭКГ проводятся курсы лечения препаратами, улучшающими обменные процессы в миокарде (панангин, рибоксин, витаминотерапия, карнитин). Карнитин (отечественный препарат кар- нитина гидрохлорид или зарубежные аналоги — </w:t>
      </w:r>
      <w:r>
        <w:rPr>
          <w:lang w:val="en-US" w:eastAsia="en-US" w:bidi="en-US"/>
          <w:w w:val="100"/>
          <w:spacing w:val="0"/>
          <w:color w:val="000000"/>
          <w:position w:val="0"/>
        </w:rPr>
        <w:t xml:space="preserve">L-Camitine, Tison, Camitor, Vitaline) </w:t>
      </w:r>
      <w:r>
        <w:rPr>
          <w:lang w:val="ru-RU" w:eastAsia="ru-RU" w:bidi="ru-RU"/>
          <w:w w:val="100"/>
          <w:spacing w:val="0"/>
          <w:color w:val="000000"/>
          <w:position w:val="0"/>
        </w:rPr>
        <w:t>назначают в дозе 50-75 мг/кг в сутки на 2-3 мес. Карнитин выполняет центральную роль в липидном и энергетическом об</w:t>
        <w:softHyphen/>
        <w:t>мене. Являясь кофактором Р-окисления жирных кис</w:t>
        <w:softHyphen/>
        <w:t>лот, он переносит ацильные соединения (жирные кислоты) через митохондриальные мембраны, пред</w:t>
        <w:softHyphen/>
        <w:t>упреждает развитие нейродистрофии миокарда, улуч</w:t>
        <w:softHyphen/>
        <w:t>шает его энергетический обмен. Отмечен благопри</w:t>
        <w:softHyphen/>
        <w:t xml:space="preserve">ятный эффект от применения препарата коэнзим </w:t>
      </w:r>
      <w:r>
        <w:rPr>
          <w:lang w:val="en-US" w:eastAsia="en-US" w:bidi="en-US"/>
          <w:w w:val="100"/>
          <w:spacing w:val="0"/>
          <w:color w:val="000000"/>
          <w:position w:val="0"/>
        </w:rPr>
        <w:t xml:space="preserve">Q-10, </w:t>
      </w:r>
      <w:r>
        <w:rPr>
          <w:lang w:val="ru-RU" w:eastAsia="ru-RU" w:bidi="ru-RU"/>
          <w:w w:val="100"/>
          <w:spacing w:val="0"/>
          <w:color w:val="000000"/>
          <w:position w:val="0"/>
        </w:rPr>
        <w:t>который значительно улучшает биоэнергетиче</w:t>
        <w:softHyphen/>
        <w:t>ские процессы в миокарде и особенно эффективен при вторичной митохондриальной недостаточности.</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Лечение больных ПМК с регургитацией препаратом магнерот в дозе 35-45 мг/кг/сут — 7 дней, затем 20-25 мг/кг/сут &lt; </w:t>
      </w:r>
      <w:r>
        <w:rPr>
          <w:rStyle w:val="CharStyle32"/>
        </w:rPr>
        <w:t>6</w:t>
      </w:r>
      <w:r>
        <w:rPr>
          <w:lang w:val="ru-RU" w:eastAsia="ru-RU" w:bidi="ru-RU"/>
          <w:w w:val="100"/>
          <w:spacing w:val="0"/>
          <w:color w:val="000000"/>
          <w:position w:val="0"/>
        </w:rPr>
        <w:t xml:space="preserve"> мес. приводило к уменьшению глубины пролабирования (на 25%) передней створки митрального клапана и уменьшению степени (на 18,5%) регургитации. Терапия магнеротом не влияла на размеры левых отделов сердца и сократимость миокарда, показатели которых до лечения находи</w:t>
        <w:softHyphen/>
        <w:t>лись в пределах нормы (Жиркова О.О. с соавт.).</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pict>
          <v:shape id="_x0000_s1336" type="#_x0000_t75" style="position:absolute;margin-left:148.2pt;margin-top:737.05pt;width:209.75pt;height:14.9pt;z-index:-125829174;mso-wrap-distance-left:148.1pt;mso-wrap-distance-right:136.8pt;mso-wrap-distance-bottom:10.8pt;mso-position-horizontal-relative:margin;mso-position-vertical-relative:margin" wrapcoords="0 0 21600 0 21600 21600 0 21600 0 0">
            <v:imagedata r:id="rId510" r:href="rId511"/>
            <w10:wrap type="topAndBottom" anchorx="margin" anchory="margin"/>
          </v:shape>
        </w:pict>
      </w:r>
      <w:r>
        <w:rPr>
          <w:lang w:val="ru-RU" w:eastAsia="ru-RU" w:bidi="ru-RU"/>
          <w:w w:val="100"/>
          <w:spacing w:val="0"/>
          <w:color w:val="000000"/>
          <w:position w:val="0"/>
        </w:rPr>
        <w:t>Показаниями к назначению Р-адреноблокаторов яв</w:t>
        <w:softHyphen/>
        <w:t xml:space="preserve">ляются частые, групповые, ранние (типа </w:t>
      </w:r>
      <w:r>
        <w:rPr>
          <w:lang w:val="en-US" w:eastAsia="en-US" w:bidi="en-US"/>
          <w:w w:val="100"/>
          <w:spacing w:val="0"/>
          <w:color w:val="000000"/>
          <w:position w:val="0"/>
        </w:rPr>
        <w:t xml:space="preserve">R </w:t>
      </w:r>
      <w:r>
        <w:rPr>
          <w:lang w:val="ru-RU" w:eastAsia="ru-RU" w:bidi="ru-RU"/>
          <w:w w:val="100"/>
          <w:spacing w:val="0"/>
          <w:color w:val="000000"/>
          <w:position w:val="0"/>
        </w:rPr>
        <w:t>на Т) же</w:t>
        <w:softHyphen/>
        <w:t>лудочковые экстрасистолы, особенно на фоне удли</w:t>
        <w:softHyphen/>
        <w:t xml:space="preserve">нения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и стойких реполяризационных нарушений; суточная доза обзидана составляет 0,5-1,0 мг/кг массы тела, лечение проводится в тече</w:t>
        <w:softHyphen/>
        <w:t>ние 2-3 месяцев и более, после чего осуществляется постепенная отмена препарата. Редкие суправентри</w:t>
        <w:softHyphen/>
        <w:t xml:space="preserve">кулярные и желудочковые экстрасистолы, если не со - четаются с синдромом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как правило, не требуют каких-либо медикаментоз</w:t>
        <w:softHyphen/>
        <w:t>ных вмешательств.</w:t>
      </w:r>
      <w:r>
        <w:br w:type="page"/>
      </w:r>
    </w:p>
    <w:p>
      <w:pPr>
        <w:pStyle w:val="Style92"/>
        <w:widowControl w:val="0"/>
        <w:keepNext/>
        <w:keepLines/>
        <w:shd w:val="clear" w:color="auto" w:fill="auto"/>
        <w:bidi w:val="0"/>
        <w:spacing w:before="0" w:after="0"/>
        <w:ind w:left="0" w:right="0" w:firstLine="280"/>
      </w:pPr>
      <w:bookmarkStart w:id="411" w:name="bookmark411"/>
      <w:r>
        <w:rPr>
          <w:lang w:val="ru-RU" w:eastAsia="ru-RU" w:bidi="ru-RU"/>
          <w:w w:val="100"/>
          <w:spacing w:val="0"/>
          <w:color w:val="000000"/>
          <w:position w:val="0"/>
        </w:rPr>
        <w:t>Психотерапия</w:t>
      </w:r>
      <w:bookmarkEnd w:id="41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детей и подростков с ПМК должно включать психофармакотерапию с разъяснительной и рациональной психотерапией, направленной на выработку адекватного отношения к состоянию и лечению.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Психотерапия начинается с первой беседы. Сравнивая в процессе расспроса настоящее и прошлое состояние паци</w:t>
        <w:softHyphen/>
        <w:t>ента, разбирая вместе с ним динамику возникновения психи</w:t>
        <w:softHyphen/>
        <w:t>ческих и вегетативных расстройств, самой системой расспро</w:t>
        <w:softHyphen/>
        <w:t>са следует доказывать, что состояние может быть излечено. Это позволяет изменять патологические установки больных на прекращение учебы и поиски у себя соматического заболе</w:t>
        <w:softHyphen/>
        <w:t>вания. Важно убедить больного, что не произойдет перехода в органическое заболевание, что болезнь вообще абсолютно безопасна для жизни. У подростков со сверхценной ипохонд</w:t>
        <w:softHyphen/>
        <w:t>рией попытка прямого переубеждения может привести к воз</w:t>
        <w:softHyphen/>
        <w:t>никновению оппозиции со стороны больного и потере пси</w:t>
        <w:softHyphen/>
        <w:t>хотерапевтического контакта, поэтому на начальном этапе общения необходимо соблюдать осторожность и только по мере становления лекарственной ремиссии можно перехо</w:t>
        <w:softHyphen/>
        <w:t>дить к прямой коррекции ипохондрических расстройств.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всех психовегетативных синдромах психофармако</w:t>
        <w:softHyphen/>
        <w:t>терапия должна начинаться с минимальных доз, постепенно наращиваемых до эффективных. Это позволяет свести к ми</w:t>
        <w:softHyphen/>
        <w:t>нимуму побочные эффекты психотропных средств и избе</w:t>
        <w:softHyphen/>
        <w:t>жать, таким образом, появления оппозиции к лечению.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первые недели психофармакотерапии, пока еще не развился ее максимальный эффект, возможно сочетание психотропных средств с соматовегетотропной терапией. Однако изолированное применение соматотропной тера</w:t>
        <w:softHyphen/>
        <w:t>пии, которую больные в большинстве случаев получают и до направления к психиатру, малоэффективно.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симпатикотонической направленности вегетатив</w:t>
        <w:softHyphen/>
        <w:t>ного тонуса рекомендуются определенные диетические ме</w:t>
        <w:softHyphen/>
        <w:t>роприятия — ограничение солей натрия, увеличение по</w:t>
        <w:softHyphen/>
        <w:t>ступления солей калия и магния (гречневая, овсяная, пшенная каши, соя, фасоль, горох, абрикосы, персики, ши</w:t>
        <w:softHyphen/>
        <w:t>повник, курага, изюм, кабачки; из медикаментозных средств — панангин). Показана витаминотерапия (поливи</w:t>
        <w:softHyphen/>
        <w:t>тамины, В1), сбор седативных трав. Для улучшения микро</w:t>
        <w:softHyphen/>
        <w:t>циркуляции назначаются винкопан, кавинтон, трентал.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Психофармакотерапия проводится по известным прин</w:t>
        <w:softHyphen/>
        <w:t>ципам и основывается на анализе структуры и суточной ди</w:t>
        <w:softHyphen/>
        <w:t>намики психопатологических расстройств. Лечение больных обычно проводится комбинацией психотропных средств. Из антидепрессантов чаще всего используются препараты со сбалансированным или седативным действием (азафен — 25-75 мг в сутки, пиразидол — 25-37,5 мг в сутки, анафранил, триптизол, амитриптилин — 6,25-25 мг в сутки). Реже ис</w:t>
        <w:softHyphen/>
        <w:t>пользуются антидепрессанты со стимулирующим действием (мелипрамин — 12,5-25 мг в сутки, лудиомил и т.п.). Из ней</w:t>
        <w:softHyphen/>
        <w:t>ролептиков предпочтение отдается сонапаксу с его тимолеп- тическим эффектом и препаратам фенотиазинового ряда (трифтазину — 5-10 мг в сутки, этаперазину — 10-15 мг в сут</w:t>
        <w:softHyphen/>
        <w:t>ки), учитывая их активирующее влияние с избирательным воздействием на нарушения мышления. В комбинации с ан</w:t>
        <w:softHyphen/>
        <w:t>тидепрессантами или нейролептиками применяются тран</w:t>
        <w:softHyphen/>
        <w:t>квилизаторы, обладающие седативным эффектом (феназе- пам, элениум, седуксен, фризиум). При изолированном при</w:t>
        <w:softHyphen/>
        <w:t>менении транквилизаторов предпочтительны «дневные» транквилизаторы — триоксазин, рудотель, уксепам, грандак- син. Из ноотропных средств предпочтительны пирацетам</w:t>
        <w:br w:type="column"/>
        <w:t>(ноотропил), а при наличии эпилептоидных знаков на элек</w:t>
        <w:softHyphen/>
        <w:t>троэнцефалограмме — фенибут, пантогам.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Известны наблюдения, когда только одна психофарма</w:t>
        <w:softHyphen/>
        <w:t>кологическая коррекция депрессивных состояний и пани</w:t>
        <w:softHyphen/>
        <w:t>ческих атак у больных с ПМК способствовала его полному исчезновению.</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 митральной недостаточности</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развитии митральной недостаточности прово</w:t>
        <w:softHyphen/>
        <w:t>дится традиционное лечение сердечными гликозида- ми, диуретиками, препаратами калия, вазодилатато- рами. У детей с изолированным поздне- или голосис</w:t>
        <w:softHyphen/>
        <w:t>толическим шумом митральная регургитация дли</w:t>
        <w:softHyphen/>
        <w:t>тельное время находится в состоянии компенсации, однако при наличии функциональной (пограничной) легочной гипертензии и миокардиальной нестабиль</w:t>
        <w:softHyphen/>
        <w:t>ности могут возникать явления недостаточности кро</w:t>
        <w:softHyphen/>
        <w:t>вообращения, как правило, на фоне интеркурентных заболеваний, реже после длительного психоэмоцио</w:t>
        <w:softHyphen/>
        <w:t>нального напряжения (экзамены, конфликтные си</w:t>
        <w:softHyphen/>
        <w:t>туации). Таким детям может быть назначено курсовое лечение поддерживающими дозами сердечных гли- козидов (дигоксин 1/5 часть от дозы насыщения — 0,03-0,05 мг/кг в зависимости от возраста 2 раза в день) и негипотензивными дозами ингибиторов ан</w:t>
        <w:softHyphen/>
        <w:t>гиотензин превращающего фермента (каптоприл).</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По нашим данным, негипотензивные для системной циркуляции дозы каптоприла (менее </w:t>
      </w:r>
      <w:r>
        <w:rPr>
          <w:rStyle w:val="CharStyle32"/>
        </w:rPr>
        <w:t>1</w:t>
      </w:r>
      <w:r>
        <w:rPr>
          <w:lang w:val="ru-RU" w:eastAsia="ru-RU" w:bidi="ru-RU"/>
          <w:w w:val="100"/>
          <w:spacing w:val="0"/>
          <w:color w:val="000000"/>
          <w:position w:val="0"/>
        </w:rPr>
        <w:t xml:space="preserve"> мг/кг) при дли</w:t>
        <w:softHyphen/>
        <w:t>тельном применении, наряду с улучшением функции левого желудочка, оказывают нормализующее дей</w:t>
        <w:softHyphen/>
        <w:t>ствие на легочную циркуляцию и, следовательно, мо</w:t>
        <w:softHyphen/>
        <w:t>гут предупредить развитие прогностически неблаго</w:t>
        <w:softHyphen/>
        <w:t>приятного фактора заболевания — легочной артери</w:t>
        <w:softHyphen/>
        <w:t>альной гипертензии. В основе данного механизма ле</w:t>
        <w:softHyphen/>
        <w:t>жит влияние каптоприла на локальную ангиотензино- вую систему сосудов легких. Каптоприл как ингибитор конвертирующего фермента уменьшает чувствитель</w:t>
        <w:softHyphen/>
        <w:t>ность легочных сосудов к ангиотензину и, следова</w:t>
        <w:softHyphen/>
        <w:t>тельно, снижает их вазоконстрикторный ответ на ги</w:t>
        <w:softHyphen/>
        <w:t>поксию и симпатико-адреналовые влияния.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Хирургическое лечение:</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тяжелой митральной недостаточности, рефрак</w:t>
        <w:softHyphen/>
        <w:t>терной к медикаментозной терапии, проводится хи</w:t>
        <w:softHyphen/>
        <w:t>рургическая коррекция порока.</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Клиническими показаниями к хирургическому лече - нию ПМК, осложненного тяжелой митральной недо</w:t>
        <w:softHyphen/>
        <w:t>статочностью, являются:</w:t>
      </w:r>
    </w:p>
    <w:p>
      <w:pPr>
        <w:pStyle w:val="Style30"/>
        <w:numPr>
          <w:ilvl w:val="0"/>
          <w:numId w:val="6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недостаточность кровообращения II Б, рефрактер</w:t>
        <w:softHyphen/>
        <w:t>ная к терапии сердечными гликозидами, диурети</w:t>
        <w:softHyphen/>
        <w:t>ками и вазодилататорами;</w:t>
      </w:r>
    </w:p>
    <w:p>
      <w:pPr>
        <w:pStyle w:val="Style30"/>
        <w:numPr>
          <w:ilvl w:val="0"/>
          <w:numId w:val="6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присоединение мерцательной аритмии;</w:t>
      </w:r>
    </w:p>
    <w:p>
      <w:pPr>
        <w:pStyle w:val="Style30"/>
        <w:numPr>
          <w:ilvl w:val="0"/>
          <w:numId w:val="6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присоединение легочной гипертензии (не более </w:t>
      </w:r>
      <w:r>
        <w:rPr>
          <w:rStyle w:val="CharStyle32"/>
        </w:rPr>
        <w:t>2</w:t>
      </w:r>
      <w:r>
        <w:rPr>
          <w:lang w:val="ru-RU" w:eastAsia="ru-RU" w:bidi="ru-RU"/>
          <w:w w:val="100"/>
          <w:spacing w:val="0"/>
          <w:color w:val="000000"/>
          <w:position w:val="0"/>
        </w:rPr>
        <w:t xml:space="preserve"> стадии);</w:t>
      </w:r>
    </w:p>
    <w:p>
      <w:pPr>
        <w:pStyle w:val="Style30"/>
        <w:numPr>
          <w:ilvl w:val="0"/>
          <w:numId w:val="6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присоединение бактериального эндокардита, не курабельного антибактериальными препаратами.</w:t>
      </w:r>
    </w:p>
    <w:p>
      <w:pPr>
        <w:pStyle w:val="Style30"/>
        <w:numPr>
          <w:ilvl w:val="0"/>
          <w:numId w:val="63"/>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Гемодинамическими показаниями к хирургическому лечению митральной недостаточности являются:</w:t>
      </w:r>
    </w:p>
    <w:p>
      <w:pPr>
        <w:pStyle w:val="Style30"/>
        <w:numPr>
          <w:ilvl w:val="0"/>
          <w:numId w:val="6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увеличение давления в легочной артерии (более 25 мм рт. ст.);</w:t>
      </w:r>
    </w:p>
    <w:p>
      <w:pPr>
        <w:pStyle w:val="Style30"/>
        <w:numPr>
          <w:ilvl w:val="0"/>
          <w:numId w:val="6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снижение фракции изгнания (менее 40%);</w:t>
      </w:r>
    </w:p>
    <w:p>
      <w:pPr>
        <w:pStyle w:val="Style30"/>
        <w:numPr>
          <w:ilvl w:val="0"/>
          <w:numId w:val="6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фракция регургитации более 50%;</w:t>
      </w:r>
    </w:p>
    <w:p>
      <w:pPr>
        <w:pStyle w:val="Style30"/>
        <w:numPr>
          <w:ilvl w:val="0"/>
          <w:numId w:val="65"/>
        </w:numPr>
        <w:tabs>
          <w:tab w:leader="none" w:pos="756" w:val="left"/>
        </w:tabs>
        <w:widowControl w:val="0"/>
        <w:keepNext w:val="0"/>
        <w:keepLines w:val="0"/>
        <w:shd w:val="clear" w:color="auto" w:fill="auto"/>
        <w:bidi w:val="0"/>
        <w:spacing w:before="0" w:after="0"/>
        <w:ind w:left="740" w:right="0" w:hanging="220"/>
      </w:pPr>
      <w:r>
        <w:pict>
          <v:shape id="_x0000_s1337" type="#_x0000_t75" style="position:absolute;margin-left:136.9pt;margin-top:737.05pt;width:209.75pt;height:14.9pt;z-index:-125829173;mso-wrap-distance-left:136.8pt;mso-wrap-distance-right:148.1pt;mso-wrap-distance-bottom:10.8pt;mso-position-horizontal-relative:margin;mso-position-vertical-relative:margin" wrapcoords="0 0 21600 0 21600 21600 0 21600 0 0">
            <v:imagedata r:id="rId512" r:href="rId513"/>
            <w10:wrap type="topAndBottom" anchorx="margin" anchory="margin"/>
          </v:shape>
        </w:pict>
      </w:r>
      <w:r>
        <w:rPr>
          <w:lang w:val="ru-RU" w:eastAsia="ru-RU" w:bidi="ru-RU"/>
          <w:w w:val="100"/>
          <w:spacing w:val="0"/>
          <w:color w:val="000000"/>
          <w:position w:val="0"/>
        </w:rPr>
        <w:t>превышение конечно-диастолического объема ле</w:t>
        <w:softHyphen/>
        <w:t xml:space="preserve">вого желудочка в </w:t>
      </w:r>
      <w:r>
        <w:rPr>
          <w:rStyle w:val="CharStyle32"/>
        </w:rPr>
        <w:t>2</w:t>
      </w:r>
      <w:r>
        <w:rPr>
          <w:lang w:val="ru-RU" w:eastAsia="ru-RU" w:bidi="ru-RU"/>
          <w:w w:val="100"/>
          <w:spacing w:val="0"/>
          <w:color w:val="000000"/>
          <w:position w:val="0"/>
        </w:rPr>
        <w:t xml:space="preserve"> раза.</w:t>
      </w:r>
      <w:r>
        <w:br w:type="page"/>
      </w:r>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Используется радикальная хирургическая коррекция синдрома ПМК, включающая следующие варианты оперативного вмешательства в зависимости от преоб</w:t>
        <w:softHyphen/>
        <w:t>ладающих морфологических аномалий:</w:t>
      </w:r>
    </w:p>
    <w:p>
      <w:pPr>
        <w:pStyle w:val="Style30"/>
        <w:numPr>
          <w:ilvl w:val="0"/>
          <w:numId w:val="65"/>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пликция митральной створки;</w:t>
      </w:r>
    </w:p>
    <w:p>
      <w:pPr>
        <w:pStyle w:val="Style30"/>
        <w:numPr>
          <w:ilvl w:val="0"/>
          <w:numId w:val="65"/>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создание искусственных хорд с помощью политет- рафлуороэтиленовых швов;</w:t>
      </w:r>
    </w:p>
    <w:p>
      <w:pPr>
        <w:pStyle w:val="Style30"/>
        <w:numPr>
          <w:ilvl w:val="0"/>
          <w:numId w:val="65"/>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укорочение сухожильных хорд;</w:t>
      </w:r>
    </w:p>
    <w:p>
      <w:pPr>
        <w:pStyle w:val="Style30"/>
        <w:numPr>
          <w:ilvl w:val="0"/>
          <w:numId w:val="65"/>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ушивание комиссур;</w:t>
      </w:r>
    </w:p>
    <w:p>
      <w:pPr>
        <w:pStyle w:val="Style30"/>
        <w:numPr>
          <w:ilvl w:val="0"/>
          <w:numId w:val="65"/>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восстановительные операции на митральном кла</w:t>
        <w:softHyphen/>
        <w:t>пане целесообразно дополнять подшиванием опорного кольца Карпанье.</w:t>
      </w:r>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невозможности проведения восстановительной операции осуществляется замена клапана искус</w:t>
        <w:softHyphen/>
        <w:t>ственным протезом.</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Амбулаторное наблюдение</w:t>
      </w:r>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Поскольку не исключена возможность прогрессиро</w:t>
        <w:softHyphen/>
        <w:t>вания изменений со стороны митрального клапана с возрастом, а также высокая вероятность возникно</w:t>
        <w:softHyphen/>
        <w:t>вения тяжелых осложнений, диктуется необходи</w:t>
        <w:softHyphen/>
        <w:t>мость диспансерного наблюдения за детьми с ПМК. Они должны повторно осматриваться педиа- тром-кардиологом и проходить контрольные иссле</w:t>
        <w:softHyphen/>
        <w:t xml:space="preserve">дования не реже </w:t>
      </w:r>
      <w:r>
        <w:rPr>
          <w:rStyle w:val="CharStyle32"/>
        </w:rPr>
        <w:t>2</w:t>
      </w:r>
      <w:r>
        <w:rPr>
          <w:lang w:val="ru-RU" w:eastAsia="ru-RU" w:bidi="ru-RU"/>
          <w:w w:val="100"/>
          <w:spacing w:val="0"/>
          <w:color w:val="000000"/>
          <w:position w:val="0"/>
        </w:rPr>
        <w:t>-х раз в год.</w:t>
      </w:r>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условиях поликлиники при диспансеризации про</w:t>
        <w:softHyphen/>
        <w:t>водят сбор анамнеза: течение беременности и родов, наличие психосоматических заболеваний в семье, ус</w:t>
        <w:softHyphen/>
        <w:t>танавливают наличие признаков диспластического развития в первые годы жизни (врожденный вывих и подвывих тазобедренных суставов, грыжи), выяс</w:t>
        <w:softHyphen/>
        <w:t>няют причины наблюдения у психоневролога, воз</w:t>
        <w:softHyphen/>
        <w:t>раст начала и частоту ангин. Выявляют жалобы, в том числе астеноневротического характера: головные бо</w:t>
        <w:softHyphen/>
        <w:t>ли, кардиалгии, сердцебиение и др.</w:t>
      </w:r>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Проводится осмотр ребенка с оценкой конституцио</w:t>
        <w:softHyphen/>
        <w:t>нальных особенностей и малых аномалий развития, аускультация в положении лежа на спине, левом боку, сидя, стоя, после прыжков и при натуживании, запи</w:t>
        <w:softHyphen/>
        <w:t>сывается электрокардиограмма в положении лежа и стоя, желательно сделать эхокардиографию (при невозможности исследование проводится в диагнос</w:t>
        <w:softHyphen/>
        <w:t>тических и кардиологических центрах).</w:t>
      </w:r>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необходимости проводится консультация отола</w:t>
        <w:softHyphen/>
        <w:t>ринголога, психоневролога, генетика. В процессе ди</w:t>
        <w:softHyphen/>
        <w:t>спансеризации проводится беседа с родителями, ко</w:t>
        <w:softHyphen/>
        <w:t>торым разъясняется сущность данного состояния и особенности течения ПМК у конкретного ребенка.</w:t>
      </w:r>
    </w:p>
    <w:p>
      <w:pPr>
        <w:pStyle w:val="Style30"/>
        <w:numPr>
          <w:ilvl w:val="0"/>
          <w:numId w:val="63"/>
        </w:numPr>
        <w:tabs>
          <w:tab w:leader="none" w:pos="520" w:val="left"/>
        </w:tabs>
        <w:widowControl w:val="0"/>
        <w:keepNext w:val="0"/>
        <w:keepLines w:val="0"/>
        <w:shd w:val="clear" w:color="auto" w:fill="auto"/>
        <w:bidi w:val="0"/>
        <w:spacing w:before="0" w:after="193"/>
        <w:ind w:left="500" w:right="0" w:hanging="220"/>
      </w:pPr>
      <w:r>
        <w:rPr>
          <w:lang w:val="ru-RU" w:eastAsia="ru-RU" w:bidi="ru-RU"/>
          <w:w w:val="100"/>
          <w:spacing w:val="0"/>
          <w:color w:val="000000"/>
          <w:position w:val="0"/>
        </w:rPr>
        <w:t>В катамнезе отмечается динамика аускультативных проявлений, показателей электро- и эхокардиограм</w:t>
        <w:softHyphen/>
        <w:t>мы, контролируется выполнение предписанных ре</w:t>
        <w:softHyphen/>
        <w:t>комендаций.</w:t>
      </w:r>
    </w:p>
    <w:p>
      <w:pPr>
        <w:pStyle w:val="Style48"/>
        <w:widowControl w:val="0"/>
        <w:keepNext/>
        <w:keepLines/>
        <w:shd w:val="clear" w:color="auto" w:fill="auto"/>
        <w:bidi w:val="0"/>
        <w:jc w:val="left"/>
        <w:spacing w:before="0" w:after="101" w:line="200" w:lineRule="exact"/>
        <w:ind w:left="0" w:right="0" w:firstLine="0"/>
      </w:pPr>
      <w:bookmarkStart w:id="412" w:name="bookmark412"/>
      <w:r>
        <w:rPr>
          <w:lang w:val="ru-RU" w:eastAsia="ru-RU" w:bidi="ru-RU"/>
          <w:w w:val="100"/>
          <w:spacing w:val="0"/>
          <w:color w:val="000000"/>
          <w:position w:val="0"/>
        </w:rPr>
        <w:t>Вторичный пролапс митрального клапана</w:t>
      </w:r>
      <w:bookmarkEnd w:id="41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Вторичные ПМК могут быть обусловлены самыми раз</w:t>
        <w:softHyphen/>
        <w:t>нообразными причинами, которые условно подразделяют</w:t>
        <w:softHyphen/>
        <w:t>ся на:</w:t>
      </w:r>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Наследственные болезни соединительной ткани, при которых происходят накопление в строме клапа</w:t>
        <w:softHyphen/>
        <w:t>на кислых мукополисахаридов, миксоматозная трансформация створок, хорд, дилатация атриовент</w:t>
        <w:softHyphen/>
        <w:t>рикулярного кольца.</w:t>
      </w:r>
    </w:p>
    <w:p>
      <w:pPr>
        <w:pStyle w:val="Style30"/>
        <w:numPr>
          <w:ilvl w:val="0"/>
          <w:numId w:val="63"/>
        </w:numPr>
        <w:tabs>
          <w:tab w:leader="none" w:pos="498" w:val="left"/>
        </w:tabs>
        <w:widowControl w:val="0"/>
        <w:keepNext w:val="0"/>
        <w:keepLines w:val="0"/>
        <w:shd w:val="clear" w:color="auto" w:fill="auto"/>
        <w:bidi w:val="0"/>
        <w:spacing w:before="0" w:after="0"/>
        <w:ind w:left="500" w:right="0" w:hanging="240"/>
      </w:pPr>
      <w:r>
        <w:br w:type="column"/>
      </w:r>
      <w:r>
        <w:rPr>
          <w:lang w:val="ru-RU" w:eastAsia="ru-RU" w:bidi="ru-RU"/>
          <w:w w:val="100"/>
          <w:spacing w:val="0"/>
          <w:color w:val="000000"/>
          <w:position w:val="0"/>
        </w:rPr>
        <w:t>Обусловленные заболеваниями сердца (врожденные пороки — дефект межпредсердной перегородки, бо</w:t>
        <w:softHyphen/>
        <w:t>лезнь Эбштейна, двустворчатый аортальный клапан, коронарная фистула, тетрада Фалло, гипертрофичес</w:t>
        <w:softHyphen/>
        <w:t>кая кардиомиопатия, аномалии коронарного кровоо</w:t>
        <w:softHyphen/>
        <w:t>бращения и др).</w:t>
      </w:r>
    </w:p>
    <w:p>
      <w:pPr>
        <w:pStyle w:val="Style30"/>
        <w:numPr>
          <w:ilvl w:val="0"/>
          <w:numId w:val="6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ЭКГ-аномалии — атриовентрикулярная диссоциа</w:t>
        <w:softHyphen/>
        <w:t xml:space="preserve">ция, синдромы </w:t>
      </w:r>
      <w:r>
        <w:rPr>
          <w:lang w:val="en-US" w:eastAsia="en-US" w:bidi="en-US"/>
          <w:w w:val="100"/>
          <w:spacing w:val="0"/>
          <w:color w:val="000000"/>
          <w:position w:val="0"/>
        </w:rPr>
        <w:t xml:space="preserve">CLC, WPW, </w:t>
      </w:r>
      <w:r>
        <w:rPr>
          <w:lang w:val="ru-RU" w:eastAsia="ru-RU" w:bidi="ru-RU"/>
          <w:w w:val="100"/>
          <w:spacing w:val="0"/>
          <w:color w:val="000000"/>
          <w:position w:val="0"/>
        </w:rPr>
        <w:t>при которых пролабиро- вание створок обусловлено нарушением последова</w:t>
        <w:softHyphen/>
        <w:t>тельной контракции и релаксации стенок левого же</w:t>
        <w:softHyphen/>
        <w:t>лудочка либо возникновением клапанно-желудочко</w:t>
        <w:softHyphen/>
        <w:t>вой диспропорции.</w:t>
      </w:r>
    </w:p>
    <w:p>
      <w:pPr>
        <w:pStyle w:val="Style30"/>
        <w:numPr>
          <w:ilvl w:val="0"/>
          <w:numId w:val="6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Возникшие при нейроэндокринных и психоэмоцио</w:t>
        <w:softHyphen/>
        <w:t>нальных нарушениях (тиреотоксикоз, мигрень, нев</w:t>
        <w:softHyphen/>
        <w:t>роз, истерия, нервная анорексия), при которых ос</w:t>
        <w:softHyphen/>
        <w:t>новное значение имеют нарушения вегетативной ин</w:t>
        <w:softHyphen/>
        <w:t>нервации створок и подклапанного аппарата.</w:t>
      </w:r>
    </w:p>
    <w:p>
      <w:pPr>
        <w:pStyle w:val="Style30"/>
        <w:numPr>
          <w:ilvl w:val="0"/>
          <w:numId w:val="63"/>
        </w:numPr>
        <w:tabs>
          <w:tab w:leader="none" w:pos="498" w:val="left"/>
        </w:tabs>
        <w:widowControl w:val="0"/>
        <w:keepNext w:val="0"/>
        <w:keepLines w:val="0"/>
        <w:shd w:val="clear" w:color="auto" w:fill="auto"/>
        <w:bidi w:val="0"/>
        <w:spacing w:before="0" w:after="185"/>
        <w:ind w:left="500" w:right="0" w:hanging="240"/>
      </w:pPr>
      <w:r>
        <w:rPr>
          <w:lang w:val="ru-RU" w:eastAsia="ru-RU" w:bidi="ru-RU"/>
          <w:w w:val="100"/>
          <w:spacing w:val="0"/>
          <w:color w:val="000000"/>
          <w:position w:val="0"/>
        </w:rPr>
        <w:t>При ряде состояний пролапс митрального клапана может существенно повлиять на течение основного заболевания.</w:t>
      </w:r>
    </w:p>
    <w:p>
      <w:pPr>
        <w:pStyle w:val="Style54"/>
        <w:widowControl w:val="0"/>
        <w:keepNext/>
        <w:keepLines/>
        <w:shd w:val="clear" w:color="auto" w:fill="auto"/>
        <w:bidi w:val="0"/>
        <w:jc w:val="left"/>
        <w:spacing w:before="0" w:after="39" w:line="210" w:lineRule="exact"/>
        <w:ind w:left="0" w:right="0" w:firstLine="0"/>
      </w:pPr>
      <w:bookmarkStart w:id="413" w:name="bookmark413"/>
      <w:r>
        <w:rPr>
          <w:lang w:val="ru-RU" w:eastAsia="ru-RU" w:bidi="ru-RU"/>
          <w:w w:val="100"/>
          <w:spacing w:val="0"/>
          <w:color w:val="000000"/>
          <w:position w:val="0"/>
        </w:rPr>
        <w:t>ПМК и дефект межпредсердной перегородки</w:t>
      </w:r>
      <w:bookmarkEnd w:id="413"/>
    </w:p>
    <w:p>
      <w:pPr>
        <w:pStyle w:val="Style30"/>
        <w:numPr>
          <w:ilvl w:val="0"/>
          <w:numId w:val="6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Отмечено частое сочетание ДМПП и пролапса мит</w:t>
        <w:softHyphen/>
        <w:t>рального клапана, достигающее при вторичном де</w:t>
        <w:softHyphen/>
        <w:t>фекте 50-70%. ПМК и ДМПП имеют общие меха</w:t>
        <w:softHyphen/>
        <w:t>низмы возникновения — дисплазия соединитель</w:t>
        <w:softHyphen/>
        <w:t>ной ткани. Наряду с этим при больших дефектах возникает объемная перегрузка правых отделов и уменьшение потока крови через левый желудочек. ПМК при ДМПП в большинстве случаев сопровож</w:t>
        <w:softHyphen/>
        <w:t>дается аускультативными изменениями (щелчки, поздний шум) и редко бывает «немым» (выявляется при эхокардиографии). Примерно у 30% больных с ДМПП пролапс створок сопровождается кардиал</w:t>
        <w:softHyphen/>
        <w:t>гиями, инверсией зубцов Т в левых грудных отведе</w:t>
        <w:softHyphen/>
        <w:t>ниях.</w:t>
      </w:r>
    </w:p>
    <w:p>
      <w:pPr>
        <w:pStyle w:val="Style30"/>
        <w:numPr>
          <w:ilvl w:val="0"/>
          <w:numId w:val="6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Установлено, что при сочетании ДМПП с ПМК дети имеют более высокое давление в легочной артерии, в послеоперационном периоде пролапс митрального клапана остается и даже нередко прогрессирует, чаще развивается митральная или трикуспидальная недо</w:t>
        <w:softHyphen/>
        <w:t>статочность.</w:t>
      </w:r>
    </w:p>
    <w:p>
      <w:pPr>
        <w:pStyle w:val="Style30"/>
        <w:numPr>
          <w:ilvl w:val="0"/>
          <w:numId w:val="63"/>
        </w:numPr>
        <w:tabs>
          <w:tab w:leader="none" w:pos="498" w:val="left"/>
        </w:tabs>
        <w:widowControl w:val="0"/>
        <w:keepNext w:val="0"/>
        <w:keepLines w:val="0"/>
        <w:shd w:val="clear" w:color="auto" w:fill="auto"/>
        <w:bidi w:val="0"/>
        <w:spacing w:before="0" w:after="185"/>
        <w:ind w:left="500" w:right="0" w:hanging="240"/>
      </w:pPr>
      <w:r>
        <w:rPr>
          <w:lang w:val="ru-RU" w:eastAsia="ru-RU" w:bidi="ru-RU"/>
          <w:w w:val="100"/>
          <w:spacing w:val="0"/>
          <w:color w:val="000000"/>
          <w:position w:val="0"/>
        </w:rPr>
        <w:t>Пролапс митрального клапана при ДМПП увеличи</w:t>
        <w:softHyphen/>
        <w:t>вает риск инфекционного эндокардита. Учитывая высокую частоту пролабирования митрального кла</w:t>
        <w:softHyphen/>
        <w:t>пана при межпредсердных дефектах и возможное длительное бессимптомное течение порока, всем де</w:t>
        <w:softHyphen/>
        <w:t>тям с диагностированным ПМК необходимо прово</w:t>
        <w:softHyphen/>
        <w:t>дить тщательное исследование перегородки для ис</w:t>
        <w:softHyphen/>
        <w:t>ключения скрыто протекающего порока сердца.</w:t>
      </w:r>
    </w:p>
    <w:p>
      <w:pPr>
        <w:pStyle w:val="Style54"/>
        <w:widowControl w:val="0"/>
        <w:keepNext/>
        <w:keepLines/>
        <w:shd w:val="clear" w:color="auto" w:fill="auto"/>
        <w:bidi w:val="0"/>
        <w:jc w:val="left"/>
        <w:spacing w:before="0" w:after="49" w:line="210" w:lineRule="exact"/>
        <w:ind w:left="0" w:right="0" w:firstLine="0"/>
      </w:pPr>
      <w:bookmarkStart w:id="414" w:name="bookmark414"/>
      <w:r>
        <w:rPr>
          <w:lang w:val="ru-RU" w:eastAsia="ru-RU" w:bidi="ru-RU"/>
          <w:w w:val="100"/>
          <w:spacing w:val="0"/>
          <w:color w:val="000000"/>
          <w:position w:val="0"/>
        </w:rPr>
        <w:t>ПМК и аномалия Эбштейна</w:t>
      </w:r>
      <w:bookmarkEnd w:id="414"/>
    </w:p>
    <w:p>
      <w:pPr>
        <w:pStyle w:val="Style30"/>
        <w:numPr>
          <w:ilvl w:val="0"/>
          <w:numId w:val="6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ПМК при аномалии Эбштейна наблюдается в 30-40% случаев и возникает из-за дисплазии соединительной ткани, клапанно-желудочковой диспропорции, ано</w:t>
        <w:softHyphen/>
        <w:t>мального хода волны возбуждения по дополнитель</w:t>
        <w:softHyphen/>
        <w:t>ным атрионодовентрикулярным путям.</w:t>
      </w:r>
    </w:p>
    <w:p>
      <w:pPr>
        <w:pStyle w:val="Style30"/>
        <w:numPr>
          <w:ilvl w:val="0"/>
          <w:numId w:val="63"/>
        </w:numPr>
        <w:tabs>
          <w:tab w:leader="none" w:pos="498" w:val="left"/>
        </w:tabs>
        <w:widowControl w:val="0"/>
        <w:keepNext w:val="0"/>
        <w:keepLines w:val="0"/>
        <w:shd w:val="clear" w:color="auto" w:fill="auto"/>
        <w:bidi w:val="0"/>
        <w:spacing w:before="0" w:after="0"/>
        <w:ind w:left="500" w:right="0" w:hanging="240"/>
      </w:pPr>
      <w:r>
        <w:pict>
          <v:shape id="_x0000_s1338" type="#_x0000_t75" style="position:absolute;margin-left:147.95pt;margin-top:737.05pt;width:209.75pt;height:14.9pt;z-index:-125829172;mso-wrap-distance-left:147.6pt;mso-wrap-distance-right:136.8pt;mso-wrap-distance-bottom:10.8pt;mso-position-horizontal-relative:margin;mso-position-vertical-relative:margin" wrapcoords="0 0 21600 0 21600 21600 0 21600 0 0">
            <v:imagedata r:id="rId514" r:href="rId515"/>
            <w10:wrap type="topAndBottom" anchorx="margin" anchory="margin"/>
          </v:shape>
        </w:pict>
      </w:r>
      <w:r>
        <w:rPr>
          <w:lang w:val="ru-RU" w:eastAsia="ru-RU" w:bidi="ru-RU"/>
          <w:w w:val="100"/>
          <w:spacing w:val="0"/>
          <w:color w:val="000000"/>
          <w:position w:val="0"/>
        </w:rPr>
        <w:t>При сочетании аномалии Эбштейна с ПМК у детей чаще развивается легочная гипертензия, правожелу</w:t>
        <w:softHyphen/>
        <w:t>дочковая недостаточность, увеличивается риск ин</w:t>
        <w:softHyphen/>
        <w:t>фекционного эндокардита.</w:t>
      </w:r>
      <w:r>
        <w:br w:type="page"/>
      </w:r>
    </w:p>
    <w:p>
      <w:pPr>
        <w:pStyle w:val="Style54"/>
        <w:widowControl w:val="0"/>
        <w:keepNext/>
        <w:keepLines/>
        <w:shd w:val="clear" w:color="auto" w:fill="auto"/>
        <w:bidi w:val="0"/>
        <w:jc w:val="left"/>
        <w:spacing w:before="0" w:after="0" w:line="293" w:lineRule="exact"/>
        <w:ind w:left="0" w:right="720" w:firstLine="0"/>
      </w:pPr>
      <w:bookmarkStart w:id="415" w:name="bookmark415"/>
      <w:r>
        <w:rPr>
          <w:lang w:val="ru-RU" w:eastAsia="ru-RU" w:bidi="ru-RU"/>
          <w:w w:val="100"/>
          <w:spacing w:val="0"/>
          <w:color w:val="000000"/>
          <w:position w:val="0"/>
        </w:rPr>
        <w:t>ПМК и аномальное отхождение левой коронарной артерии от легочной артерии (синдром Бланта-Уайта-Гарленда)</w:t>
      </w:r>
      <w:bookmarkEnd w:id="415"/>
    </w:p>
    <w:p>
      <w:pPr>
        <w:pStyle w:val="Style30"/>
        <w:numPr>
          <w:ilvl w:val="0"/>
          <w:numId w:val="6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Хотя данная врожденная аномалия сопровождается левосторонней кардиомегалией, из наблюдаемых на</w:t>
        <w:softHyphen/>
        <w:t xml:space="preserve">ми 9 больных с синдромом Бланта-Уайта-Гарленда у </w:t>
      </w:r>
      <w:r>
        <w:rPr>
          <w:rStyle w:val="CharStyle32"/>
        </w:rPr>
        <w:t>6</w:t>
      </w:r>
      <w:r>
        <w:rPr>
          <w:lang w:val="ru-RU" w:eastAsia="ru-RU" w:bidi="ru-RU"/>
          <w:w w:val="100"/>
          <w:spacing w:val="0"/>
          <w:color w:val="000000"/>
          <w:position w:val="0"/>
        </w:rPr>
        <w:t xml:space="preserve"> определялся пролапс митрального клапана. После радикальной коррекции порока пролапс митрального клапана сохранялся и у одного ребенка в отдаленном послеоперационном периоде привел к развитию мит</w:t>
        <w:softHyphen/>
        <w:t>ральной недостаточности.</w:t>
      </w:r>
    </w:p>
    <w:p>
      <w:pPr>
        <w:pStyle w:val="Style30"/>
        <w:numPr>
          <w:ilvl w:val="0"/>
          <w:numId w:val="63"/>
        </w:numPr>
        <w:tabs>
          <w:tab w:leader="none" w:pos="518" w:val="left"/>
        </w:tabs>
        <w:widowControl w:val="0"/>
        <w:keepNext w:val="0"/>
        <w:keepLines w:val="0"/>
        <w:shd w:val="clear" w:color="auto" w:fill="auto"/>
        <w:bidi w:val="0"/>
        <w:spacing w:before="0" w:after="245"/>
        <w:ind w:left="500" w:right="0" w:hanging="220"/>
      </w:pPr>
      <w:r>
        <w:rPr>
          <w:lang w:val="ru-RU" w:eastAsia="ru-RU" w:bidi="ru-RU"/>
          <w:w w:val="100"/>
          <w:spacing w:val="0"/>
          <w:color w:val="000000"/>
          <w:position w:val="0"/>
        </w:rPr>
        <w:t>Высокая встречаемость ПМК при данной аномалии может способствовать правильной постановке диа</w:t>
        <w:softHyphen/>
        <w:t>гноза, поскольку при дилатационных кардиомиопа</w:t>
        <w:softHyphen/>
        <w:t>тиях, сопровождающихся недостаточностью коро</w:t>
        <w:softHyphen/>
        <w:t>нарного кровообращения, пролапс митрального кла</w:t>
        <w:softHyphen/>
        <w:t>пана практически не наблюдается.</w:t>
      </w:r>
    </w:p>
    <w:p>
      <w:pPr>
        <w:pStyle w:val="Style54"/>
        <w:widowControl w:val="0"/>
        <w:keepNext/>
        <w:keepLines/>
        <w:shd w:val="clear" w:color="auto" w:fill="auto"/>
        <w:bidi w:val="0"/>
        <w:jc w:val="left"/>
        <w:spacing w:before="0" w:after="39" w:line="210" w:lineRule="exact"/>
        <w:ind w:left="0" w:right="0" w:firstLine="0"/>
      </w:pPr>
      <w:bookmarkStart w:id="416" w:name="bookmark416"/>
      <w:r>
        <w:rPr>
          <w:lang w:val="ru-RU" w:eastAsia="ru-RU" w:bidi="ru-RU"/>
          <w:w w:val="100"/>
          <w:spacing w:val="0"/>
          <w:color w:val="000000"/>
          <w:position w:val="0"/>
        </w:rPr>
        <w:t>ПМК и гипертрофическая кардиомиопатия</w:t>
      </w:r>
      <w:bookmarkEnd w:id="416"/>
    </w:p>
    <w:p>
      <w:pPr>
        <w:pStyle w:val="Style30"/>
        <w:numPr>
          <w:ilvl w:val="0"/>
          <w:numId w:val="6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гипертрофической кардиомиопатии синдром ПМК обнаруживается у 3-8% больных и оказывает не</w:t>
        <w:softHyphen/>
        <w:t>благоприятное влияние на течение основного заболе</w:t>
        <w:softHyphen/>
        <w:t>вания, существенно повышает риск внезапной смерти.</w:t>
      </w:r>
    </w:p>
    <w:p>
      <w:pPr>
        <w:pStyle w:val="Style30"/>
        <w:numPr>
          <w:ilvl w:val="0"/>
          <w:numId w:val="63"/>
        </w:numPr>
        <w:tabs>
          <w:tab w:leader="none" w:pos="518" w:val="left"/>
        </w:tabs>
        <w:widowControl w:val="0"/>
        <w:keepNext w:val="0"/>
        <w:keepLines w:val="0"/>
        <w:shd w:val="clear" w:color="auto" w:fill="auto"/>
        <w:bidi w:val="0"/>
        <w:spacing w:before="0" w:after="245"/>
        <w:ind w:left="500" w:right="0" w:hanging="220"/>
      </w:pPr>
      <w:r>
        <w:rPr>
          <w:lang w:val="ru-RU" w:eastAsia="ru-RU" w:bidi="ru-RU"/>
          <w:w w:val="100"/>
          <w:spacing w:val="0"/>
          <w:color w:val="000000"/>
          <w:position w:val="0"/>
        </w:rPr>
        <w:t>Так, при сочетании ПМК и гипертрофической кар</w:t>
        <w:softHyphen/>
        <w:t>диомиопатии значительно чаще (в 3 раза) наблюдают</w:t>
        <w:softHyphen/>
        <w:t>ся мерцательная аритмия и митральная регургитация.</w:t>
      </w:r>
    </w:p>
    <w:p>
      <w:pPr>
        <w:pStyle w:val="Style54"/>
        <w:widowControl w:val="0"/>
        <w:keepNext/>
        <w:keepLines/>
        <w:shd w:val="clear" w:color="auto" w:fill="auto"/>
        <w:bidi w:val="0"/>
        <w:jc w:val="left"/>
        <w:spacing w:before="0" w:after="39" w:line="210" w:lineRule="exact"/>
        <w:ind w:left="0" w:right="0" w:firstLine="0"/>
      </w:pPr>
      <w:bookmarkStart w:id="417" w:name="bookmark417"/>
      <w:r>
        <w:rPr>
          <w:lang w:val="ru-RU" w:eastAsia="ru-RU" w:bidi="ru-RU"/>
          <w:w w:val="100"/>
          <w:spacing w:val="0"/>
          <w:color w:val="000000"/>
          <w:position w:val="0"/>
        </w:rPr>
        <w:t>ПМК и ревматизм</w:t>
      </w:r>
      <w:bookmarkEnd w:id="417"/>
    </w:p>
    <w:p>
      <w:pPr>
        <w:pStyle w:val="Style30"/>
        <w:numPr>
          <w:ilvl w:val="0"/>
          <w:numId w:val="6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Ранее существовало положение, что пролапс мит</w:t>
        <w:softHyphen/>
        <w:t>рального клапана и ревматизм у детей редко сочета</w:t>
        <w:softHyphen/>
        <w:t>ются, и при наличии клинических проявлений ПМК диагноз ревматизма может быть практически исклю</w:t>
        <w:softHyphen/>
        <w:t>чен. Наоборот, наличие классических критериев Ки- селя-Джонса-Нестерова при ревматизме исключало синдром пролабирования. Такое ошибочное пред</w:t>
        <w:softHyphen/>
        <w:t>ставление обусловило большое число диагностичес</w:t>
        <w:softHyphen/>
        <w:t>ких ошибок, с одной стороны, гипердиагностику рев</w:t>
        <w:softHyphen/>
        <w:t>матического вальвулита у детей с безобидным про</w:t>
        <w:softHyphen/>
        <w:t>лапсом, с другой — недооценку ревматического валь- вулита при наличии шума митральной регургитации при феномене пролабирования.</w:t>
      </w:r>
    </w:p>
    <w:p>
      <w:pPr>
        <w:pStyle w:val="Style30"/>
        <w:numPr>
          <w:ilvl w:val="0"/>
          <w:numId w:val="6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Известно, что ревматизм является болезнью с наслед</w:t>
        <w:softHyphen/>
        <w:t>ственным предрасположением. Многочисленные ис</w:t>
        <w:softHyphen/>
        <w:t>следования свидетельствуют о склонности детей, страдающих ревматической болезнью, к соедини</w:t>
        <w:softHyphen/>
        <w:t>тельнотканным дисплазиям. Приобретенный порок митрального клапана формируется преимущественно у больных с внешними аномалиями (стигмами) со</w:t>
        <w:softHyphen/>
        <w:t>единительной ткани. С другой стороны, предраспо</w:t>
        <w:softHyphen/>
        <w:t>ложенность детей с первичным ПМК к хроническим очагам инфекции (повторные ангины, хронический тонзиллит) позволяет отнести их в группу риска по развитию ревматической болезни.</w:t>
      </w:r>
    </w:p>
    <w:p>
      <w:pPr>
        <w:pStyle w:val="Style30"/>
        <w:numPr>
          <w:ilvl w:val="0"/>
          <w:numId w:val="63"/>
        </w:numPr>
        <w:tabs>
          <w:tab w:leader="none" w:pos="518" w:val="left"/>
        </w:tabs>
        <w:widowControl w:val="0"/>
        <w:keepNext w:val="0"/>
        <w:keepLines w:val="0"/>
        <w:shd w:val="clear" w:color="auto" w:fill="auto"/>
        <w:bidi w:val="0"/>
        <w:spacing w:before="0" w:after="245"/>
        <w:ind w:left="500" w:right="0" w:hanging="220"/>
      </w:pPr>
      <w:r>
        <w:rPr>
          <w:lang w:val="ru-RU" w:eastAsia="ru-RU" w:bidi="ru-RU"/>
          <w:w w:val="100"/>
          <w:spacing w:val="0"/>
          <w:color w:val="000000"/>
          <w:position w:val="0"/>
        </w:rPr>
        <w:t>Показано, что в острую фазу ревматической атаки феномен пролабирования митральных створок (по данным двухмерной эхокардиографии) наблюдается у 30-46,8% детей. Возникновение ПМК при ревмати</w:t>
        <w:softHyphen/>
        <w:t>ческом вальвулите обусловлено мукоидным набуха</w:t>
        <w:softHyphen/>
        <w:t>нием и размягчением створок, на фоне адекватной</w:t>
        <w:br w:type="column"/>
        <w:t>(преднизолон, пенициллин) терапии пролабирова- ние клапана уменьшается. Таким образом, синдром ПМК не исключает ревматическую болезнь и даже является провоцирующим фактором заболевания. Можно предположить, что дети с синдромом ПМК, перенесшие ревматическую атаку, значительно чаще формируют митральную недостаточность из-за со</w:t>
        <w:softHyphen/>
        <w:t>единительнотканной дисплазии створок клапана.</w:t>
      </w:r>
    </w:p>
    <w:p>
      <w:pPr>
        <w:pStyle w:val="Style54"/>
        <w:widowControl w:val="0"/>
        <w:keepNext/>
        <w:keepLines/>
        <w:shd w:val="clear" w:color="auto" w:fill="auto"/>
        <w:bidi w:val="0"/>
        <w:jc w:val="left"/>
        <w:spacing w:before="0" w:after="39" w:line="210" w:lineRule="exact"/>
        <w:ind w:left="0" w:right="0" w:firstLine="0"/>
      </w:pPr>
      <w:bookmarkStart w:id="418" w:name="bookmark418"/>
      <w:r>
        <w:rPr>
          <w:lang w:val="ru-RU" w:eastAsia="ru-RU" w:bidi="ru-RU"/>
          <w:w w:val="100"/>
          <w:spacing w:val="0"/>
          <w:color w:val="000000"/>
          <w:position w:val="0"/>
        </w:rPr>
        <w:t>ПМК и ювенильный гипертиреоз</w:t>
      </w:r>
      <w:bookmarkEnd w:id="418"/>
    </w:p>
    <w:p>
      <w:pPr>
        <w:pStyle w:val="Style30"/>
        <w:numPr>
          <w:ilvl w:val="0"/>
          <w:numId w:val="6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Гипертиреоз обусловлен увеличением уровня цирку</w:t>
        <w:softHyphen/>
        <w:t>лирующего тиреоидного гормона при его гиперпро</w:t>
        <w:softHyphen/>
        <w:t>дукции щитовидной железой и значительно реже при избытке тиреостимулирующего гормона.</w:t>
      </w:r>
    </w:p>
    <w:p>
      <w:pPr>
        <w:pStyle w:val="Style30"/>
        <w:numPr>
          <w:ilvl w:val="0"/>
          <w:numId w:val="6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Клиническая симптоматика гипертиреоза включает психоневрологические отклонения, беспокойство, эмоциональную лабильность, депрессию, в тяжелых случаях психоз. Характерны похудание, мышечная слабость, диарея. При осмотре выявляются влажная кожа, тремор пальцев рук, экзофтальм, слабость мышц бедер.</w:t>
      </w:r>
    </w:p>
    <w:p>
      <w:pPr>
        <w:pStyle w:val="Style30"/>
        <w:numPr>
          <w:ilvl w:val="0"/>
          <w:numId w:val="6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Кардиоваскулярные нарушения при гипертиреозе проявляются систолической артериальной гипертен</w:t>
        <w:softHyphen/>
        <w:t>зией, пролапсом митрального клапана, гиперкинети</w:t>
        <w:softHyphen/>
        <w:t>ческим кардиальным синдромом и тахисистоличес- кими формами нарушения ритма сердца.</w:t>
      </w:r>
    </w:p>
    <w:p>
      <w:pPr>
        <w:pStyle w:val="Style30"/>
        <w:numPr>
          <w:ilvl w:val="0"/>
          <w:numId w:val="6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Систолическая артериальная гипертензия носит ла</w:t>
        <w:softHyphen/>
        <w:t>бильный характер, усиливается при психоэмоцио</w:t>
        <w:softHyphen/>
        <w:t>нальном напряжении, редко достигает кризовых зна</w:t>
        <w:softHyphen/>
        <w:t>чений.</w:t>
      </w:r>
    </w:p>
    <w:p>
      <w:pPr>
        <w:pStyle w:val="Style30"/>
        <w:numPr>
          <w:ilvl w:val="0"/>
          <w:numId w:val="6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ПМК обнаруживается у большинства больных тирео - токсикозом и обусловлен клапанно-желудочковой диспропорцией, когда маленькие размеры полости левого желудочка на фоне тахикардии не соответству</w:t>
        <w:softHyphen/>
        <w:t>ют размерам левого атриовентрикулярного отвер</w:t>
        <w:softHyphen/>
        <w:t>стия. Пролапс может сопровождаться аускультатив</w:t>
        <w:softHyphen/>
        <w:t>ной симптоматикой (щелчки, позднесистолический шум) или выявляется при двухмерном эхокардиогра</w:t>
        <w:softHyphen/>
        <w:t>фическом обследовании («немое» пролабирование). Обычно такой пролапс не приводит к митральной ре- гургитации и поэтому не имеет гемодинамической значимости. Однако его диагностика важна в плане профилактики инфекционного эндокардита, особен</w:t>
        <w:softHyphen/>
        <w:t>но у больных с сопутствующими суправентрикуляр</w:t>
        <w:softHyphen/>
        <w:t>ными аритмиями (мерцательная аритмия).</w:t>
      </w:r>
    </w:p>
    <w:p>
      <w:pPr>
        <w:pStyle w:val="Style30"/>
        <w:numPr>
          <w:ilvl w:val="0"/>
          <w:numId w:val="63"/>
        </w:numPr>
        <w:tabs>
          <w:tab w:leader="none" w:pos="500" w:val="left"/>
        </w:tabs>
        <w:widowControl w:val="0"/>
        <w:keepNext w:val="0"/>
        <w:keepLines w:val="0"/>
        <w:shd w:val="clear" w:color="auto" w:fill="auto"/>
        <w:bidi w:val="0"/>
        <w:spacing w:before="0" w:after="0"/>
        <w:ind w:left="500" w:right="0" w:hanging="240"/>
        <w:sectPr>
          <w:pgSz w:w="11900" w:h="16840"/>
          <w:pgMar w:top="1550" w:left="1061" w:right="962" w:bottom="1752" w:header="0" w:footer="3" w:gutter="0"/>
          <w:rtlGutter w:val="0"/>
          <w:cols w:num="2" w:space="123"/>
          <w:noEndnote/>
          <w:docGrid w:linePitch="360"/>
        </w:sectPr>
      </w:pPr>
      <w:r>
        <w:rPr>
          <w:lang w:val="ru-RU" w:eastAsia="ru-RU" w:bidi="ru-RU"/>
          <w:w w:val="100"/>
          <w:spacing w:val="0"/>
          <w:color w:val="000000"/>
          <w:position w:val="0"/>
        </w:rPr>
        <w:t>Гиперкинетический сердечный синдром представлен комбинацией признаков гиперактивности сердца и периферической вазодилатации и обусловлен по</w:t>
        <w:softHyphen/>
        <w:t>вышением активности Р-адренергических рецепто</w:t>
        <w:softHyphen/>
        <w:t>ров сердца. Клиническая симптоматика гиперкине</w:t>
        <w:softHyphen/>
        <w:t>тического сердечного синдрома складывается из экс</w:t>
        <w:softHyphen/>
        <w:t>тракардиальных и кардиальных признаков. Экстра</w:t>
        <w:softHyphen/>
        <w:t>кардиальная симптоматика представлена суммой признаков, объединяемых в понятие «вегетативная дистония»: чрезмерная потливость, стойкий крас</w:t>
        <w:softHyphen/>
        <w:t>ный, нередко спонтанный дермографизм, цианоз ки</w:t>
        <w:softHyphen/>
        <w:t>стей рук, мраморность кожи, гипергидроз ладоней и стоп с их похолоданием, невротические жалобы на эмоциональную неустойчивость, тревожное состоя</w:t>
        <w:softHyphen/>
        <w:t>ние, плохой сон, ощущение нехватки воздуха. Карди</w:t>
        <w:softHyphen/>
        <w:t>альная симптоматика включает усиление тонов серд-</w:t>
      </w:r>
    </w:p>
    <w:p>
      <w:pPr>
        <w:widowControl w:val="0"/>
        <w:rPr>
          <w:sz w:val="2"/>
          <w:szCs w:val="2"/>
        </w:rPr>
      </w:pPr>
      <w:r>
        <w:pict>
          <v:shape id="_x0000_s1339" type="#_x0000_t202" style="position:static;width:595.pt;height:70.1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340" type="#_x0000_t75" style="position:absolute;margin-left:133.55pt;margin-top:0;width:209.75pt;height:14.9pt;z-index:-251658704;mso-wrap-distance-left:5.pt;mso-wrap-distance-right:5.pt;mso-position-horizontal-relative:margin" wrapcoords="0 0">
            <v:imagedata r:id="rId516" r:href="rId517"/>
            <w10:wrap anchorx="margin"/>
          </v:shape>
        </w:pict>
      </w:r>
    </w:p>
    <w:p>
      <w:pPr>
        <w:widowControl w:val="0"/>
        <w:rPr>
          <w:sz w:val="2"/>
          <w:szCs w:val="2"/>
        </w:rPr>
        <w:sectPr>
          <w:type w:val="continuous"/>
          <w:pgSz w:w="11900" w:h="16840"/>
          <w:pgMar w:top="1468" w:left="1124" w:right="894" w:bottom="192" w:header="0" w:footer="3" w:gutter="0"/>
          <w:rtlGutter w:val="0"/>
          <w:cols w:space="720"/>
          <w:noEndnote/>
          <w:docGrid w:linePitch="360"/>
        </w:sectPr>
      </w:pPr>
    </w:p>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Наследственные синдромы, сопровождающиеся пролапсом митрального клапана</w:t>
      </w:r>
    </w:p>
    <w:p>
      <w:pPr>
        <w:pStyle w:val="Style39"/>
        <w:framePr w:w="9869" w:wrap="notBeside" w:vAnchor="text" w:hAnchor="text" w:xAlign="center" w:y="1"/>
        <w:widowControl w:val="0"/>
        <w:keepNext w:val="0"/>
        <w:keepLines w:val="0"/>
        <w:shd w:val="clear" w:color="auto" w:fill="auto"/>
        <w:bidi w:val="0"/>
        <w:spacing w:before="0" w:after="0" w:line="170" w:lineRule="exact"/>
        <w:ind w:left="0" w:right="0" w:firstLine="0"/>
      </w:pPr>
      <w:r>
        <w:rPr>
          <w:lang w:val="ru-RU" w:eastAsia="ru-RU" w:bidi="ru-RU"/>
          <w:w w:val="100"/>
          <w:spacing w:val="0"/>
          <w:color w:val="000000"/>
          <w:position w:val="0"/>
        </w:rPr>
        <w:t>Таблица 11</w:t>
      </w:r>
    </w:p>
    <w:tbl>
      <w:tblPr>
        <w:tblOverlap w:val="never"/>
        <w:tblLayout w:type="fixed"/>
        <w:jc w:val="center"/>
      </w:tblPr>
      <w:tblGrid>
        <w:gridCol w:w="1627"/>
        <w:gridCol w:w="1186"/>
        <w:gridCol w:w="7056"/>
      </w:tblGrid>
      <w:tr>
        <w:trPr>
          <w:trHeight w:val="240"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Cиндром</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Частота ПМК</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Клинические проявления</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Currarino-Silverman</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90%</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Килевидная грудная клетка II типа. Коарктация аорты.</w:t>
            </w:r>
          </w:p>
        </w:tc>
      </w:tr>
      <w:tr>
        <w:trPr>
          <w:trHeight w:val="619"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Larsen</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70%</w:t>
            </w:r>
          </w:p>
        </w:tc>
        <w:tc>
          <w:tcPr>
            <w:shd w:val="clear" w:color="auto" w:fill="FFFFFF"/>
            <w:tcBorders>
              <w:left w:val="single" w:sz="4"/>
              <w:righ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Двусторонняя дислокация локтей, бедер, косолапость, сколиоз, гипоплазия носовых, плечевых, пястных и др. костей, характерное лицо (лоб выбухает, переносье уплощено), голубые склеры. Стеноз легочной артерии, фиброэластоз эндокарда.</w:t>
            </w:r>
          </w:p>
        </w:tc>
      </w:tr>
      <w:tr>
        <w:trPr>
          <w:trHeight w:val="619"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Williams</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30%</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Низкий рост, эпикант, короткий нос с открытыми вперед ноздрями, широкая верхняя челюсть, полные щеки, маленькая нижняя челюсть, открытый рот, гиподонтия, оттопыренные уши, за</w:t>
              <w:softHyphen/>
              <w:t>держка физического развития, умственная отсталость. Надклапанный стеноз аорты.</w:t>
            </w:r>
          </w:p>
        </w:tc>
      </w:tr>
      <w:tr>
        <w:trPr>
          <w:trHeight w:val="240"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Langer-Giedion</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70%</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Аномалии волос, носа и пальцев.</w:t>
            </w:r>
          </w:p>
        </w:tc>
      </w:tr>
      <w:tr>
        <w:trPr>
          <w:trHeight w:val="437" w:hRule="exact"/>
        </w:trPr>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Noonan</w:t>
            </w:r>
          </w:p>
        </w:tc>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30%</w:t>
            </w:r>
          </w:p>
        </w:tc>
        <w:tc>
          <w:tcPr>
            <w:shd w:val="clear" w:color="auto" w:fill="FFFFFF"/>
            <w:tcBorders>
              <w:left w:val="single" w:sz="4"/>
              <w:righ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Умственная отсталость, гипертелоризм, птоз, короткая и широкая шея, низкая линия роста волос сзади, низкий рост, деформация грудной клетки и нижних конечностей. Стеноз легочной артерии.</w:t>
            </w:r>
          </w:p>
        </w:tc>
      </w:tr>
    </w:tbl>
    <w:p>
      <w:pPr>
        <w:framePr w:w="9869" w:wrap="notBeside" w:vAnchor="text" w:hAnchor="text" w:xAlign="center" w:y="1"/>
        <w:widowControl w:val="0"/>
        <w:rPr>
          <w:sz w:val="2"/>
          <w:szCs w:val="2"/>
        </w:rPr>
      </w:pPr>
    </w:p>
    <w:p>
      <w:pPr>
        <w:widowControl w:val="0"/>
        <w:rPr>
          <w:sz w:val="2"/>
          <w:szCs w:val="2"/>
        </w:rPr>
      </w:pPr>
    </w:p>
    <w:p>
      <w:pPr>
        <w:widowControl w:val="0"/>
        <w:rPr>
          <w:sz w:val="2"/>
          <w:szCs w:val="2"/>
        </w:rPr>
        <w:sectPr>
          <w:pgSz w:w="11900" w:h="16840"/>
          <w:pgMar w:top="1799" w:left="903" w:right="1119" w:bottom="162" w:header="0" w:footer="3" w:gutter="0"/>
          <w:rtlGutter w:val="0"/>
          <w:cols w:space="720"/>
          <w:noEndnote/>
          <w:docGrid w:linePitch="360"/>
        </w:sectPr>
      </w:pPr>
    </w:p>
    <w:p>
      <w:pPr>
        <w:widowControl w:val="0"/>
        <w:spacing w:line="240" w:lineRule="exact"/>
        <w:rPr>
          <w:sz w:val="19"/>
          <w:szCs w:val="19"/>
        </w:rPr>
      </w:pPr>
    </w:p>
    <w:p>
      <w:pPr>
        <w:widowControl w:val="0"/>
        <w:spacing w:before="31" w:after="31" w:line="240" w:lineRule="exact"/>
        <w:rPr>
          <w:sz w:val="19"/>
          <w:szCs w:val="19"/>
        </w:rPr>
      </w:pPr>
    </w:p>
    <w:p>
      <w:pPr>
        <w:widowControl w:val="0"/>
        <w:rPr>
          <w:sz w:val="2"/>
          <w:szCs w:val="2"/>
        </w:rPr>
        <w:sectPr>
          <w:type w:val="continuous"/>
          <w:pgSz w:w="11900" w:h="16840"/>
          <w:pgMar w:top="1569" w:left="0" w:right="0" w:bottom="1761" w:header="0" w:footer="3" w:gutter="0"/>
          <w:rtlGutter w:val="0"/>
          <w:cols w:space="720"/>
          <w:noEndnote/>
          <w:docGrid w:linePitch="360"/>
        </w:sectPr>
      </w:pPr>
    </w:p>
    <w:p>
      <w:pPr>
        <w:widowControl w:val="0"/>
        <w:rPr>
          <w:sz w:val="2"/>
          <w:szCs w:val="2"/>
        </w:rPr>
      </w:pPr>
      <w:r>
        <w:pict>
          <v:shape id="_x0000_s1341" type="#_x0000_t75" style="position:absolute;margin-left:139.7pt;margin-top:562.55pt;width:209.75pt;height:14.9pt;z-index:-125829171;mso-wrap-distance-left:147.35pt;mso-wrap-distance-right:136.55pt;mso-wrap-distance-bottom:10.8pt;mso-position-horizontal-relative:margin" wrapcoords="0 0 21600 0 21600 21600 0 21600 0 0">
            <v:imagedata r:id="rId518" r:href="rId519"/>
            <w10:wrap type="topAndBottom" anchorx="margin"/>
          </v:shape>
        </w:pict>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ца, отчетливую пульсацию сонных артерий, </w:t>
      </w:r>
      <w:r>
        <w:rPr>
          <w:lang w:val="en-US" w:eastAsia="en-US" w:bidi="en-US"/>
          <w:w w:val="100"/>
          <w:spacing w:val="0"/>
          <w:color w:val="000000"/>
          <w:position w:val="0"/>
        </w:rPr>
        <w:t xml:space="preserve">pulsus celer et altus, </w:t>
      </w:r>
      <w:r>
        <w:rPr>
          <w:lang w:val="ru-RU" w:eastAsia="ru-RU" w:bidi="ru-RU"/>
          <w:w w:val="100"/>
          <w:spacing w:val="0"/>
          <w:color w:val="000000"/>
          <w:position w:val="0"/>
        </w:rPr>
        <w:t>систолический шум изгнания, умерен</w:t>
        <w:softHyphen/>
        <w:t>ную систолическую гипертензию. На ЭКГ определя</w:t>
        <w:softHyphen/>
        <w:t xml:space="preserve">ются депрессия интервала </w:t>
      </w:r>
      <w:r>
        <w:rPr>
          <w:lang w:val="en-US" w:eastAsia="en-US" w:bidi="en-US"/>
          <w:w w:val="100"/>
          <w:spacing w:val="0"/>
          <w:color w:val="000000"/>
          <w:position w:val="0"/>
        </w:rPr>
        <w:t xml:space="preserve">ST </w:t>
      </w:r>
      <w:r>
        <w:rPr>
          <w:lang w:val="ru-RU" w:eastAsia="ru-RU" w:bidi="ru-RU"/>
          <w:w w:val="100"/>
          <w:spacing w:val="0"/>
          <w:color w:val="000000"/>
          <w:position w:val="0"/>
        </w:rPr>
        <w:t>преимущественно в I, III стандартных и левых грудных отведениях, сгла</w:t>
        <w:softHyphen/>
        <w:t>женный двухфазный или отрицательный зубец Т. От</w:t>
        <w:softHyphen/>
        <w:t>клонения ЭКГ усугубляются в ортостатическом по</w:t>
        <w:softHyphen/>
        <w:t>ложении и после физической нагрузки. При пробе с обзиданом (блокатор Р-адренергических рецепто</w:t>
        <w:softHyphen/>
        <w:t>ров) наступает отчетливая нормализация ЭКГ.</w:t>
      </w:r>
    </w:p>
    <w:p>
      <w:pPr>
        <w:pStyle w:val="Style30"/>
        <w:numPr>
          <w:ilvl w:val="0"/>
          <w:numId w:val="63"/>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Довольно часто у больных тиреотоксикозом обнару</w:t>
        <w:softHyphen/>
        <w:t>живаются суправентрикулярные аритмии: синусовая тахикардия, пароксизмальная и непароксизмальная формы предсердной и узловой тахикардии, тахисис- толическая форма мерцательной аритмии. Иногда эти аритмии осложняются так называемой аритмо- генной кардиопатией, характерным проявлением ко</w:t>
        <w:softHyphen/>
        <w:t>торой является снижение контрактильной способно</w:t>
        <w:softHyphen/>
        <w:t>сти миокарда на фоне тахисистолии, обусловленной физической нагрузкой.</w:t>
      </w:r>
    </w:p>
    <w:p>
      <w:pPr>
        <w:pStyle w:val="Style30"/>
        <w:numPr>
          <w:ilvl w:val="0"/>
          <w:numId w:val="63"/>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коррекции кардиоваскулярных нарушений поло</w:t>
        <w:softHyphen/>
        <w:t xml:space="preserve">жительный эффект оказывают Р-адреноблокаторы (обзидан </w:t>
      </w:r>
      <w:r>
        <w:rPr>
          <w:rStyle w:val="CharStyle32"/>
        </w:rPr>
        <w:t>1-2</w:t>
      </w:r>
      <w:r>
        <w:rPr>
          <w:lang w:val="ru-RU" w:eastAsia="ru-RU" w:bidi="ru-RU"/>
          <w:w w:val="100"/>
          <w:spacing w:val="0"/>
          <w:color w:val="000000"/>
          <w:position w:val="0"/>
        </w:rPr>
        <w:t xml:space="preserve"> мг/кг массы в сутки каждые </w:t>
      </w:r>
      <w:r>
        <w:rPr>
          <w:rStyle w:val="CharStyle32"/>
        </w:rPr>
        <w:t>6-8</w:t>
      </w:r>
      <w:r>
        <w:rPr>
          <w:lang w:val="ru-RU" w:eastAsia="ru-RU" w:bidi="ru-RU"/>
          <w:w w:val="100"/>
          <w:spacing w:val="0"/>
          <w:color w:val="000000"/>
          <w:position w:val="0"/>
        </w:rPr>
        <w:t xml:space="preserve"> часов) в течение 2-3 мес. Обзидан устраняет систолическую гипертензию, гиперкинетический сердечный синд</w:t>
        <w:softHyphen/>
        <w:t>ром, а также тахиаритмии. Данная терапия проводит</w:t>
        <w:softHyphen/>
        <w:t xml:space="preserve">ся на фоне назначения антитиреоидных препаратов (пропилтиоурацил — 5-6 мг/кг в сутки каждые </w:t>
      </w:r>
      <w:r>
        <w:rPr>
          <w:rStyle w:val="CharStyle32"/>
        </w:rPr>
        <w:t>6-8</w:t>
      </w:r>
      <w:r>
        <w:rPr>
          <w:lang w:val="ru-RU" w:eastAsia="ru-RU" w:bidi="ru-RU"/>
          <w:w w:val="100"/>
          <w:spacing w:val="0"/>
          <w:color w:val="000000"/>
          <w:position w:val="0"/>
        </w:rPr>
        <w:t xml:space="preserve"> ча</w:t>
        <w:softHyphen/>
        <w:t>сов).</w:t>
      </w:r>
    </w:p>
    <w:p>
      <w:pPr>
        <w:pStyle w:val="Style30"/>
        <w:numPr>
          <w:ilvl w:val="0"/>
          <w:numId w:val="63"/>
        </w:numPr>
        <w:tabs>
          <w:tab w:leader="none" w:pos="497" w:val="left"/>
        </w:tabs>
        <w:widowControl w:val="0"/>
        <w:keepNext w:val="0"/>
        <w:keepLines w:val="0"/>
        <w:shd w:val="clear" w:color="auto" w:fill="auto"/>
        <w:bidi w:val="0"/>
        <w:spacing w:before="0" w:after="245"/>
        <w:ind w:left="500" w:right="0" w:hanging="240"/>
      </w:pPr>
      <w:r>
        <w:rPr>
          <w:lang w:val="ru-RU" w:eastAsia="ru-RU" w:bidi="ru-RU"/>
          <w:w w:val="100"/>
          <w:spacing w:val="0"/>
          <w:color w:val="000000"/>
          <w:position w:val="0"/>
        </w:rPr>
        <w:t>В развитии тиреотоксикоза существенная роль при</w:t>
        <w:softHyphen/>
        <w:t>надлежит факторам наследственной предрасполо</w:t>
        <w:softHyphen/>
        <w:t>женности. Как правило, определяется большая час</w:t>
        <w:softHyphen/>
        <w:t>тота нарушений тиреоидного метаболизма в семьях больных тиреотоксикозом.</w:t>
      </w:r>
    </w:p>
    <w:p>
      <w:pPr>
        <w:pStyle w:val="Style54"/>
        <w:widowControl w:val="0"/>
        <w:keepNext/>
        <w:keepLines/>
        <w:shd w:val="clear" w:color="auto" w:fill="auto"/>
        <w:bidi w:val="0"/>
        <w:jc w:val="left"/>
        <w:spacing w:before="0" w:after="39" w:line="210" w:lineRule="exact"/>
        <w:ind w:left="0" w:right="0" w:firstLine="0"/>
      </w:pPr>
      <w:bookmarkStart w:id="419" w:name="bookmark419"/>
      <w:r>
        <w:rPr>
          <w:lang w:val="ru-RU" w:eastAsia="ru-RU" w:bidi="ru-RU"/>
          <w:w w:val="100"/>
          <w:spacing w:val="0"/>
          <w:color w:val="000000"/>
          <w:position w:val="0"/>
        </w:rPr>
        <w:t>ПМК и инсульт</w:t>
      </w:r>
      <w:bookmarkEnd w:id="419"/>
    </w:p>
    <w:p>
      <w:pPr>
        <w:pStyle w:val="Style30"/>
        <w:numPr>
          <w:ilvl w:val="0"/>
          <w:numId w:val="63"/>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литературе обсуждается роль пролапса митрального клапана в возникновении инсультов в молодом воз</w:t>
        <w:softHyphen/>
        <w:t>расте. У лиц, перенесших инсульт в молодом возрасте (до 40 лет), отмечается высокая частота пролапса ми</w:t>
        <w:softHyphen/>
        <w:t>трального клапана в сочетании с открытым овальным окном (43-50%).</w:t>
      </w:r>
    </w:p>
    <w:p>
      <w:pPr>
        <w:pStyle w:val="Style30"/>
        <w:numPr>
          <w:ilvl w:val="0"/>
          <w:numId w:val="63"/>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Риск ишемического инсульта значительно возрастает при экскурсии аневризматического выпячивания межпредсердной перегородки более </w:t>
      </w:r>
      <w:r>
        <w:rPr>
          <w:rStyle w:val="CharStyle32"/>
        </w:rPr>
        <w:t>10</w:t>
      </w:r>
      <w:r>
        <w:rPr>
          <w:lang w:val="ru-RU" w:eastAsia="ru-RU" w:bidi="ru-RU"/>
          <w:w w:val="100"/>
          <w:spacing w:val="0"/>
          <w:color w:val="000000"/>
          <w:position w:val="0"/>
        </w:rPr>
        <w:t xml:space="preserve"> мм.</w:t>
      </w:r>
    </w:p>
    <w:p>
      <w:pPr>
        <w:pStyle w:val="Style54"/>
        <w:widowControl w:val="0"/>
        <w:keepNext/>
        <w:keepLines/>
        <w:shd w:val="clear" w:color="auto" w:fill="auto"/>
        <w:bidi w:val="0"/>
        <w:jc w:val="left"/>
        <w:spacing w:before="0" w:after="39" w:line="210" w:lineRule="exact"/>
        <w:ind w:left="0" w:right="0" w:firstLine="0"/>
      </w:pPr>
      <w:r>
        <w:br w:type="column"/>
      </w:r>
      <w:bookmarkStart w:id="420" w:name="bookmark420"/>
      <w:r>
        <w:rPr>
          <w:lang w:val="ru-RU" w:eastAsia="ru-RU" w:bidi="ru-RU"/>
          <w:w w:val="100"/>
          <w:spacing w:val="0"/>
          <w:color w:val="000000"/>
          <w:position w:val="0"/>
        </w:rPr>
        <w:t>ПМК и нейроциркуляторная дистония</w:t>
      </w:r>
      <w:bookmarkEnd w:id="420"/>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Пролабирование створок у больных нейроциркуля</w:t>
        <w:softHyphen/>
        <w:t>торной дистонией (НЦД) обнаруживается с такой же частотой, как и при популяционных исследованиях. Для детей с НЦД по гипертензивному типу характер</w:t>
        <w:softHyphen/>
        <w:t>ны лабильное повышение артериального давления без признаков стойкого органного вовлечения, ак</w:t>
        <w:softHyphen/>
        <w:t>центуации характера, повышенный уровень реактив</w:t>
        <w:softHyphen/>
        <w:t>ной тревоги, интрапунитивность.</w:t>
      </w:r>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Пролабирование створок митрального клапана обус</w:t>
        <w:softHyphen/>
        <w:t>ловлено гемодинамическими факторами: избыточная подвижность стенок левого желудочка и тахикардия обусловливают малое наполнение полости, сближе</w:t>
        <w:softHyphen/>
        <w:t>ние папиллярных мышц и митрального клапана в си</w:t>
        <w:softHyphen/>
        <w:t>столу, слабое натяжение сухожильных нитей, что и обусловливает в конечном счете возникновение пролабирования.</w:t>
      </w:r>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ПМК при НЦД по гипертензивному типу обычно не сопровождается типичными аускультативными про</w:t>
        <w:softHyphen/>
        <w:t>явлениями синдрома («немое» пролабирование) и об</w:t>
        <w:softHyphen/>
        <w:t>наруживается только при эхокардиографическом ис</w:t>
        <w:softHyphen/>
        <w:t>следовании.</w:t>
      </w:r>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НЦД по гипотензивному типу низкое артериаль - ное давление сопровождается цефалгиями, эмоцио</w:t>
        <w:softHyphen/>
        <w:t>нальной лабильностью, возбудимостью или апатией, снижением физической работоспособности, голово</w:t>
        <w:softHyphen/>
        <w:t>кружением, раздражительностью, снижением ум</w:t>
        <w:softHyphen/>
        <w:t>ственной работоспособности.</w:t>
      </w:r>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Пролабирование створок может возникать из -за уве - личения интервала между сокращением левого пред</w:t>
        <w:softHyphen/>
        <w:t>сердия и желудочка (вследствие задержки атриовент</w:t>
        <w:softHyphen/>
        <w:t>рикулярного проведения), а также в связи с увели</w:t>
        <w:softHyphen/>
        <w:t>ченной силой изгнания крови из левого желудочка при сохранной контрактильности и редком ритме. Как правило, имеет место «немое» пролабирование, выявляемое эхокардиографически.</w:t>
      </w:r>
    </w:p>
    <w:p>
      <w:pPr>
        <w:pStyle w:val="Style30"/>
        <w:numPr>
          <w:ilvl w:val="0"/>
          <w:numId w:val="63"/>
        </w:numPr>
        <w:tabs>
          <w:tab w:leader="none" w:pos="520" w:val="left"/>
        </w:tabs>
        <w:widowControl w:val="0"/>
        <w:keepNext w:val="0"/>
        <w:keepLines w:val="0"/>
        <w:shd w:val="clear" w:color="auto" w:fill="auto"/>
        <w:bidi w:val="0"/>
        <w:spacing w:before="0" w:after="185"/>
        <w:ind w:left="500" w:right="0" w:hanging="220"/>
      </w:pPr>
      <w:r>
        <w:rPr>
          <w:lang w:val="ru-RU" w:eastAsia="ru-RU" w:bidi="ru-RU"/>
          <w:w w:val="100"/>
          <w:spacing w:val="0"/>
          <w:color w:val="000000"/>
          <w:position w:val="0"/>
        </w:rPr>
        <w:t>До настоящего времени не определено, является ли синдром ПМК фактором риска неблагоприятного те</w:t>
        <w:softHyphen/>
        <w:t>чения НЦД.</w:t>
      </w:r>
    </w:p>
    <w:p>
      <w:pPr>
        <w:pStyle w:val="Style54"/>
        <w:widowControl w:val="0"/>
        <w:keepNext/>
        <w:keepLines/>
        <w:shd w:val="clear" w:color="auto" w:fill="auto"/>
        <w:bidi w:val="0"/>
        <w:jc w:val="left"/>
        <w:spacing w:before="0" w:after="39" w:line="210" w:lineRule="exact"/>
        <w:ind w:left="0" w:right="0" w:firstLine="0"/>
      </w:pPr>
      <w:bookmarkStart w:id="421" w:name="bookmark421"/>
      <w:r>
        <w:rPr>
          <w:lang w:val="ru-RU" w:eastAsia="ru-RU" w:bidi="ru-RU"/>
          <w:w w:val="100"/>
          <w:spacing w:val="0"/>
          <w:color w:val="000000"/>
          <w:position w:val="0"/>
        </w:rPr>
        <w:t>ПМК и наследственные синдромы</w:t>
      </w:r>
      <w:bookmarkEnd w:id="42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Пролапс митрального клапана может наблюдаться при многих наследственных синдромах, как правило, сочетаю</w:t>
        <w:softHyphen/>
        <w:t>щихся со скелетными деформациями и кардиальными ано</w:t>
        <w:softHyphen/>
        <w:t xml:space="preserve">малиями (табл. </w:t>
      </w:r>
      <w:r>
        <w:rPr>
          <w:rStyle w:val="CharStyle32"/>
        </w:rPr>
        <w:t>11</w:t>
      </w:r>
      <w:r>
        <w:rPr>
          <w:lang w:val="ru-RU" w:eastAsia="ru-RU" w:bidi="ru-RU"/>
          <w:w w:val="100"/>
          <w:spacing w:val="0"/>
          <w:color w:val="000000"/>
          <w:position w:val="0"/>
        </w:rPr>
        <w:t>).</w:t>
      </w:r>
      <w:r>
        <w:br w:type="page"/>
      </w:r>
    </w:p>
    <w:p>
      <w:pPr>
        <w:pStyle w:val="Style28"/>
        <w:widowControl w:val="0"/>
        <w:keepNext/>
        <w:keepLines/>
        <w:shd w:val="clear" w:color="auto" w:fill="auto"/>
        <w:bidi w:val="0"/>
        <w:jc w:val="left"/>
        <w:spacing w:before="0" w:after="0" w:line="432" w:lineRule="exact"/>
        <w:ind w:left="0" w:right="0" w:firstLine="0"/>
      </w:pPr>
      <w:bookmarkStart w:id="422" w:name="bookmark422"/>
      <w:r>
        <w:rPr>
          <w:lang w:val="ru-RU" w:eastAsia="ru-RU" w:bidi="ru-RU"/>
          <w:w w:val="100"/>
          <w:spacing w:val="0"/>
          <w:color w:val="000000"/>
          <w:position w:val="0"/>
        </w:rPr>
        <w:t>Пороки аортального клапана</w:t>
      </w:r>
      <w:bookmarkEnd w:id="422"/>
    </w:p>
    <w:p>
      <w:pPr>
        <w:pStyle w:val="Style54"/>
        <w:widowControl w:val="0"/>
        <w:keepNext/>
        <w:keepLines/>
        <w:shd w:val="clear" w:color="auto" w:fill="auto"/>
        <w:bidi w:val="0"/>
        <w:jc w:val="left"/>
        <w:spacing w:before="0" w:after="0" w:line="432" w:lineRule="exact"/>
        <w:ind w:left="0" w:right="0" w:firstLine="0"/>
      </w:pPr>
      <w:bookmarkStart w:id="423" w:name="bookmark423"/>
      <w:r>
        <w:rPr>
          <w:lang w:val="ru-RU" w:eastAsia="ru-RU" w:bidi="ru-RU"/>
          <w:w w:val="100"/>
          <w:spacing w:val="0"/>
          <w:color w:val="000000"/>
          <w:position w:val="0"/>
        </w:rPr>
        <w:t>Эмбриология и анатомия аортального клапана</w:t>
      </w:r>
      <w:bookmarkEnd w:id="423"/>
    </w:p>
    <w:p>
      <w:pPr>
        <w:pStyle w:val="Style30"/>
        <w:numPr>
          <w:ilvl w:val="0"/>
          <w:numId w:val="6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Современные исследования свидетельствуют о про</w:t>
        <w:softHyphen/>
        <w:t>исхождении хряща аортального клапана из невраль</w:t>
        <w:softHyphen/>
        <w:t>ного гребня — производного немышечных клеток. Образование хрящевой ткани аортального клапана на ранних стадиях эмбриогенеза происходит путем фор</w:t>
        <w:softHyphen/>
        <w:t>мирования отложений прехондрогенного альфа-ак- тинина гладких мышц (тип II, коллаген негативный) в медии проксимального отдела аорты кпереди или дистальнее от клапанных комиссур. Подобные изме</w:t>
        <w:softHyphen/>
        <w:t xml:space="preserve">нения присутствуют на 37 стадии по </w:t>
      </w:r>
      <w:r>
        <w:rPr>
          <w:lang w:val="en-US" w:eastAsia="en-US" w:bidi="en-US"/>
          <w:w w:val="100"/>
          <w:spacing w:val="0"/>
          <w:color w:val="000000"/>
          <w:position w:val="0"/>
        </w:rPr>
        <w:t xml:space="preserve">Hamburger- Hamilton. </w:t>
      </w:r>
      <w:r>
        <w:rPr>
          <w:lang w:val="ru-RU" w:eastAsia="ru-RU" w:bidi="ru-RU"/>
          <w:w w:val="100"/>
          <w:spacing w:val="0"/>
          <w:color w:val="000000"/>
          <w:position w:val="0"/>
        </w:rPr>
        <w:t>Закладка аортального клапана происходит на одну стадию раньше, чем легочного клапана. Син</w:t>
        <w:softHyphen/>
        <w:t xml:space="preserve">тез коллагена </w:t>
      </w:r>
      <w:r>
        <w:rPr>
          <w:lang w:val="en-US" w:eastAsia="en-US" w:bidi="en-US"/>
          <w:w w:val="100"/>
          <w:spacing w:val="0"/>
          <w:color w:val="000000"/>
          <w:position w:val="0"/>
        </w:rPr>
        <w:t xml:space="preserve">II </w:t>
      </w:r>
      <w:r>
        <w:rPr>
          <w:lang w:val="ru-RU" w:eastAsia="ru-RU" w:bidi="ru-RU"/>
          <w:w w:val="100"/>
          <w:spacing w:val="0"/>
          <w:color w:val="000000"/>
          <w:position w:val="0"/>
        </w:rPr>
        <w:t>типа начинается в центральном ядре аортальных отложений на стадии 38. Далее она после</w:t>
        <w:softHyphen/>
        <w:t>довательно увеличивается по направлению от пери</w:t>
        <w:softHyphen/>
        <w:t>ферии к центру. После рождения происходит транс</w:t>
        <w:softHyphen/>
        <w:t>формация описываемых отложений в участки гиали</w:t>
        <w:softHyphen/>
        <w:t>нового хряща. В ряде случаев происходит формиро</w:t>
        <w:softHyphen/>
        <w:t>вание депозитов гиалинового хряща или фиброхряща вблизи от основания полулуний до их поддерживаю</w:t>
        <w:softHyphen/>
        <w:t>щих синусов. В последующем они развиваются в ко</w:t>
        <w:softHyphen/>
        <w:t>миссуральные хрящи.</w:t>
      </w:r>
    </w:p>
    <w:p>
      <w:pPr>
        <w:pStyle w:val="Style30"/>
        <w:numPr>
          <w:ilvl w:val="0"/>
          <w:numId w:val="6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Аортальный клапан расположен в устье аорты и пред</w:t>
        <w:softHyphen/>
        <w:t>ставляет собой три полулунные створки, прикреп</w:t>
        <w:softHyphen/>
        <w:t>ленные к фиброзному кольцу. Состояние последнего и структуры начальной части аорты оказывают пря</w:t>
        <w:softHyphen/>
        <w:t>мое влияние на функцию створок, поэтому фибро</w:t>
        <w:softHyphen/>
        <w:t>зное кольцо аорты и синусы Вальсальвы принято от</w:t>
        <w:softHyphen/>
        <w:t>носить к составным частям аортального клапана.</w:t>
      </w:r>
    </w:p>
    <w:p>
      <w:pPr>
        <w:pStyle w:val="Style30"/>
        <w:numPr>
          <w:ilvl w:val="0"/>
          <w:numId w:val="6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Каждая створка имеет вид тонкой пластинки, меха</w:t>
        <w:softHyphen/>
        <w:t>ническую основу которой составляет фиброзный слой, являющийся продолжением фиброзного коль</w:t>
        <w:softHyphen/>
        <w:t>ца аорты. Со стороны аорты и желудочка фиброзную пластину покрывают эндотелиальный, субэндотели</w:t>
        <w:softHyphen/>
        <w:t>альный слои и слой эластических волокон.</w:t>
      </w:r>
    </w:p>
    <w:p>
      <w:pPr>
        <w:pStyle w:val="Style30"/>
        <w:numPr>
          <w:ilvl w:val="0"/>
          <w:numId w:val="6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Различают правую, левую и заднюю (некоронарную) створки аортального клапана. Места соединения створок друг с другом носят название комиссур. Раз</w:t>
        <w:softHyphen/>
        <w:t>личают переднюю комиссуру (между правой и левой створками), правую комиссуру (между правой и зад</w:t>
        <w:softHyphen/>
        <w:t>ней створками) и заднюю комиссуру (между левой и задней створками).</w:t>
      </w:r>
    </w:p>
    <w:p>
      <w:pPr>
        <w:pStyle w:val="Style30"/>
        <w:numPr>
          <w:ilvl w:val="0"/>
          <w:numId w:val="6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Размеры полулунных заслонок имеют как возраст</w:t>
        <w:softHyphen/>
        <w:t>ные, так и индивидуальные различия. Обычно шири</w:t>
        <w:softHyphen/>
        <w:t>на полулунных заслонок превышает ширину аорталь</w:t>
        <w:softHyphen/>
        <w:t>ных синусов, а высота их, наоборот, меньше высоты аортальных синусов. Ширина полулунных створок у детей составляет: правая — от 8,4±2,16 до 17±3,1 мм, левая — от 7,2±2,2 до 16±3,2 мм, задняя — от 9±2,56 до 21,5+1,62 мм; у взрослых правая заслон</w:t>
        <w:softHyphen/>
        <w:t>ка — от 25+3,53 до 28+2,6 мм, левая — от 22,5+3,1 до 26+2,6 мм, задняя — от 26+3 до 28+3,2 мм.</w:t>
      </w:r>
    </w:p>
    <w:p>
      <w:pPr>
        <w:pStyle w:val="Style30"/>
        <w:numPr>
          <w:ilvl w:val="0"/>
          <w:numId w:val="63"/>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Пространства между стенкой аортальных синусов и внешней поверхностью полулунных заслонок (обра</w:t>
        <w:softHyphen/>
        <w:t>щенной к стенке синуса) носит название луночек за</w:t>
        <w:softHyphen/>
        <w:t xml:space="preserve">слонок аорты </w:t>
      </w:r>
      <w:r>
        <w:rPr>
          <w:lang w:val="en-US" w:eastAsia="en-US" w:bidi="en-US"/>
          <w:w w:val="100"/>
          <w:spacing w:val="0"/>
          <w:color w:val="000000"/>
          <w:position w:val="0"/>
        </w:rPr>
        <w:t xml:space="preserve">(lunalae valvularum semilunarium). </w:t>
      </w:r>
      <w:r>
        <w:rPr>
          <w:lang w:val="ru-RU" w:eastAsia="ru-RU" w:bidi="ru-RU"/>
          <w:w w:val="100"/>
          <w:spacing w:val="0"/>
          <w:color w:val="000000"/>
          <w:position w:val="0"/>
        </w:rPr>
        <w:t>Вслед</w:t>
        <w:softHyphen/>
        <w:t>ствие того, что полулунные заслонки шире аорталь</w:t>
        <w:softHyphen/>
        <w:t>ных синусов, а высота заслонок меньше высоты сину</w:t>
        <w:softHyphen/>
        <w:br w:type="column"/>
        <w:t>сов, кровь под давлением при поступлении в лукови</w:t>
        <w:softHyphen/>
        <w:t>цу аорты распространяется в луночки полулунных за</w:t>
        <w:softHyphen/>
        <w:t>слонок, смещает их книзу, закрывая клапан аорты.</w:t>
      </w:r>
    </w:p>
    <w:p>
      <w:pPr>
        <w:pStyle w:val="Style30"/>
        <w:numPr>
          <w:ilvl w:val="0"/>
          <w:numId w:val="63"/>
        </w:numPr>
        <w:tabs>
          <w:tab w:leader="none" w:pos="516" w:val="left"/>
        </w:tabs>
        <w:widowControl w:val="0"/>
        <w:keepNext w:val="0"/>
        <w:keepLines w:val="0"/>
        <w:shd w:val="clear" w:color="auto" w:fill="auto"/>
        <w:bidi w:val="0"/>
        <w:spacing w:before="0" w:after="237"/>
        <w:ind w:left="520" w:right="0" w:hanging="240"/>
      </w:pPr>
      <w:r>
        <w:rPr>
          <w:lang w:val="ru-RU" w:eastAsia="ru-RU" w:bidi="ru-RU"/>
          <w:w w:val="100"/>
          <w:spacing w:val="0"/>
          <w:color w:val="000000"/>
          <w:position w:val="0"/>
        </w:rPr>
        <w:t>Аортальные полулуния кровоснабжаются не только за счет протекаемой оксигенированной крови в аор</w:t>
        <w:softHyphen/>
        <w:t>те, но и за счет собственного микроваскулярного рус</w:t>
        <w:softHyphen/>
        <w:t>ла, состояние которого играет важную роль при нор</w:t>
        <w:softHyphen/>
        <w:t>мальном функционировании клапана и при развитии патологических процессов.</w:t>
      </w:r>
    </w:p>
    <w:p>
      <w:pPr>
        <w:pStyle w:val="Style28"/>
        <w:widowControl w:val="0"/>
        <w:keepNext/>
        <w:keepLines/>
        <w:shd w:val="clear" w:color="auto" w:fill="auto"/>
        <w:bidi w:val="0"/>
        <w:jc w:val="left"/>
        <w:spacing w:before="0" w:after="157" w:line="220" w:lineRule="exact"/>
        <w:ind w:left="0" w:right="0" w:firstLine="0"/>
      </w:pPr>
      <w:bookmarkStart w:id="424" w:name="bookmark424"/>
      <w:r>
        <w:rPr>
          <w:lang w:val="ru-RU" w:eastAsia="ru-RU" w:bidi="ru-RU"/>
          <w:w w:val="100"/>
          <w:spacing w:val="0"/>
          <w:color w:val="000000"/>
          <w:position w:val="0"/>
        </w:rPr>
        <w:t>Клапанный стеноз аорты</w:t>
      </w:r>
      <w:bookmarkEnd w:id="42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Нарушение развития клапана аорты, приводящее к ана</w:t>
        <w:softHyphen/>
        <w:t>томическому сужению просвета сосуда (от легкого до тяже</w:t>
        <w:softHyphen/>
        <w:t>лого) и гемодинамической обструкции выходного тракта левого желудочка.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Врожденный клапанный аортальный стеноз является относительно частым врожденным пороком, встреча</w:t>
        <w:softHyphen/>
        <w:t>ется у 4 на 1000 живорожденных и наблюдается в 3-5% среди всех врожденных пороков сердца.</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Стеноз аорты у новорожденных может проявиться в критической форме (критический стеноз аорты) в виде низкого сердечного выброса. Более типично постепенное его прогрессирование.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numPr>
          <w:ilvl w:val="0"/>
          <w:numId w:val="63"/>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Порок значительно чаще наблюдается у мальчиков, соотношение М:Ж составляет 4:1.</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10-15% детей клапанный стеноз аорты выявляется в возрасте до года. В остальных случаях порок выяв</w:t>
        <w:softHyphen/>
        <w:t>ляется в детском и подростковом возрасте. У взрос</w:t>
        <w:softHyphen/>
        <w:t>лых пациентов порок возникает при прогрессирова</w:t>
        <w:softHyphen/>
        <w:t>нии склероза и кальцификации двустворчатого аор</w:t>
        <w:softHyphen/>
        <w:t>тального клапана в 4-6 декаде жизни.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Врожденный клапанный стеноз аорты.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Основные причины приобретенного клапанного стено</w:t>
        <w:softHyphen/>
        <w:t>за аорты у детей и подростков:</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Ревматизм. Прогрессирующий фиброз створок клапа</w:t>
        <w:softHyphen/>
        <w:t>на с разной степенью выраженности сращения в обла</w:t>
        <w:softHyphen/>
        <w:t>сти комиссур, часто сморщивание краев полулунных створок. Ревматическому стенозу аортального клапа</w:t>
        <w:softHyphen/>
        <w:t>на часто сопутствует поражение митрального клапана.</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Инфекционный эндокардит. Воспалительное пора</w:t>
        <w:softHyphen/>
        <w:t>жение клапана сопровождается его рестрикцией, спа- янием, бактериальные вегетации усиливают обструк</w:t>
        <w:softHyphen/>
        <w:t>цию выходного тракта левого желудочка.</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Дегенеративное кальцифицирующее заболевание. Обычно наблюдается при бикуспидальном аорталь</w:t>
        <w:softHyphen/>
        <w:t>ном клапане. Заболевание может начинаться у под</w:t>
        <w:softHyphen/>
        <w:t>ростков, однако чаще обнаруживается у лиц старше 20 лет. В основе склеродегенеративного процесса ле</w:t>
        <w:softHyphen/>
        <w:t>жит отложение липидов в строме створки с последу</w:t>
        <w:softHyphen/>
        <w:t>ющим склерозированием и кальцификацией.</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Гиперлипопротеинемия II типа.</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Болезнь Пагета </w:t>
      </w:r>
      <w:r>
        <w:rPr>
          <w:lang w:val="en-US" w:eastAsia="en-US" w:bidi="en-US"/>
          <w:w w:val="100"/>
          <w:spacing w:val="0"/>
          <w:color w:val="000000"/>
          <w:position w:val="0"/>
        </w:rPr>
        <w:t>(Paget).</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Болезнь Фабри </w:t>
      </w:r>
      <w:r>
        <w:rPr>
          <w:lang w:val="en-US" w:eastAsia="en-US" w:bidi="en-US"/>
          <w:w w:val="100"/>
          <w:spacing w:val="0"/>
          <w:color w:val="000000"/>
          <w:position w:val="0"/>
        </w:rPr>
        <w:t>(Fabry).</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Охроноз </w:t>
      </w:r>
      <w:r>
        <w:rPr>
          <w:lang w:val="en-US" w:eastAsia="en-US" w:bidi="en-US"/>
          <w:w w:val="100"/>
          <w:spacing w:val="0"/>
          <w:color w:val="000000"/>
          <w:position w:val="0"/>
        </w:rPr>
        <w:t>(Оchronosis).</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Морфология</w:t>
      </w:r>
    </w:p>
    <w:p>
      <w:pPr>
        <w:pStyle w:val="Style30"/>
        <w:numPr>
          <w:ilvl w:val="0"/>
          <w:numId w:val="63"/>
        </w:numPr>
        <w:tabs>
          <w:tab w:leader="none" w:pos="516" w:val="left"/>
        </w:tabs>
        <w:widowControl w:val="0"/>
        <w:keepNext w:val="0"/>
        <w:keepLines w:val="0"/>
        <w:shd w:val="clear" w:color="auto" w:fill="auto"/>
        <w:bidi w:val="0"/>
        <w:jc w:val="left"/>
        <w:spacing w:before="0" w:after="0"/>
        <w:ind w:left="520" w:right="0" w:hanging="240"/>
      </w:pPr>
      <w:r>
        <w:pict>
          <v:shape id="_x0000_s1342" type="#_x0000_t75" style="position:absolute;margin-left:136.3pt;margin-top:736.8pt;width:209.75pt;height:14.9pt;z-index:-125829170;mso-wrap-distance-left:136.1pt;mso-wrap-distance-right:148.1pt;mso-wrap-distance-bottom:10.8pt;mso-position-horizontal-relative:margin;mso-position-vertical-relative:margin" wrapcoords="0 0 21600 0 21600 21600 0 21600 0 0">
            <v:imagedata r:id="rId520" r:href="rId521"/>
            <w10:wrap type="topAndBottom" anchorx="margin" anchory="margin"/>
          </v:shape>
        </w:pict>
      </w:r>
      <w:r>
        <w:rPr>
          <w:lang w:val="ru-RU" w:eastAsia="ru-RU" w:bidi="ru-RU"/>
          <w:w w:val="100"/>
          <w:spacing w:val="0"/>
          <w:color w:val="000000"/>
          <w:position w:val="0"/>
        </w:rPr>
        <w:t>Аортальный клапан при врожденном стенозе часто представлен одной или двумя полулунными створка-</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ми. У новорожденных критический стеноз аорты обычно обусловлен одностворчатым аортальным кла</w:t>
        <w:softHyphen/>
        <w:t>паном. Клапан может быть трехстворчатым с выра</w:t>
        <w:softHyphen/>
        <w:t>женной асимметрией полулуний. Редкой причиной клапанного стеноза аорты является четырехстворча</w:t>
        <w:softHyphen/>
        <w:t>тый клапан аорты. Края створок клапана обычно утолщены и деформированы (диспластичны). Аор</w:t>
        <w:softHyphen/>
        <w:t>тальное кольцо бывает малых размеров. У подростков может выявляться фиброзирование и кальцификация створок. Левый желудочек концентрически гипер</w:t>
        <w:softHyphen/>
        <w:t>трофирован пропорционально величине обструкции. У новорожденных с критическим стенозом часто оп</w:t>
        <w:softHyphen/>
        <w:t>ределяется эндокардиальный фиброэластоз. При хроническом течении клапанного стеноза аорты в миокарде развиваются фибротическая ткань, ише</w:t>
        <w:softHyphen/>
        <w:t>мические очаги.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Гистологические данные</w:t>
      </w:r>
    </w:p>
    <w:p>
      <w:pPr>
        <w:pStyle w:val="Style30"/>
        <w:numPr>
          <w:ilvl w:val="0"/>
          <w:numId w:val="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Существует большое число анатомических вариантов врожденного стеноза аортального клапана. У многих пациентов клапан одностворчатый или двустворча</w:t>
        <w:softHyphen/>
        <w:t>тый. Края створок клапана утолщены и закруглены, может определяться пролапс створок, который пред</w:t>
        <w:softHyphen/>
        <w:t>располагает к сопутствующей аортальной регургита- ции. Аортальное кольцо уменьшено, а ткани створок диспластичны. У взрослых пациентов развивается кальцификация створок клапана. При осложнении клапанного стеноза инфекционным эндокардитом могут определяться бактериальные вегетации.</w:t>
      </w:r>
    </w:p>
    <w:p>
      <w:pPr>
        <w:pStyle w:val="Style30"/>
        <w:numPr>
          <w:ilvl w:val="0"/>
          <w:numId w:val="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выраженном стенозе аортального клапана опре</w:t>
        <w:softHyphen/>
        <w:t>деляется концентрическая гипертрофия левого же</w:t>
        <w:softHyphen/>
        <w:t>лудочка, у детей раннего возраста наряду с гипертро</w:t>
        <w:softHyphen/>
        <w:t>фией обнаруживается эндокардиальный фиброэлас- тоз. У пациентов с хроническим аортальным стено</w:t>
        <w:softHyphen/>
        <w:t>зом и значительно увеличенным систолическим дав</w:t>
        <w:softHyphen/>
        <w:t>лением в левом желудочке развивается фиброз мио</w:t>
        <w:softHyphen/>
        <w:t>карда. Объем левого желудочка может быть умень</w:t>
        <w:softHyphen/>
        <w:t>шенным, увеличенным или нормальным. В 7,5% у новорожденных при клапанном стенозе аорты определяется патология митрального клапана, обусловленная ишемией или инфарктом папилляр</w:t>
        <w:softHyphen/>
        <w:t>ных мышц.</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Патофизиология</w:t>
      </w:r>
    </w:p>
    <w:p>
      <w:pPr>
        <w:pStyle w:val="Style30"/>
        <w:numPr>
          <w:ilvl w:val="0"/>
          <w:numId w:val="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Стеноз аортального клапана обусловливает компен</w:t>
        <w:softHyphen/>
        <w:t>саторную гипертрофию левого желудочка, пропорци</w:t>
        <w:softHyphen/>
        <w:t>ональную величине обструкции. Легкая степень об</w:t>
        <w:softHyphen/>
        <w:t>струкции обычно не приводит к гипертрофии левого желудочка и нарушению его контрактильности. С увеличением стеноза возникает гипертрофия мио</w:t>
        <w:softHyphen/>
        <w:t>карда и снижение его адаптивности к физическим на</w:t>
        <w:softHyphen/>
        <w:t>грузкам. При выраженной клапанной обструкции на</w:t>
        <w:softHyphen/>
        <w:t>ряду с гипертрофией миокарда возникает его ише</w:t>
        <w:softHyphen/>
        <w:t>мия, дефицит коронарной перфузии и сердечного выброса. У новорожденных с тяжелой обструкцией выходного тракта формируется эндомиокардиальный фиброэластоз, у детей и подростков неспособность левого желудочка увеличивать сердечный выброс при нагрузке обусловливает синкопальные эпизоды и внезапную смерть.</w:t>
      </w:r>
    </w:p>
    <w:p>
      <w:pPr>
        <w:pStyle w:val="Style30"/>
        <w:numPr>
          <w:ilvl w:val="0"/>
          <w:numId w:val="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динамике порока может возникать аортальная не</w:t>
        <w:softHyphen/>
        <w:t>достаточность из-за выраженной дилатации левого желудочка. Аортальная регургитация значительно увеличивает объемную перегрузку левого желудочка,</w:t>
        <w:br w:type="column"/>
        <w:t>в результате чего возникает желудочковая дисфунк</w:t>
        <w:softHyphen/>
        <w:t>ция и застойная сердечная недостаточность.</w:t>
      </w:r>
    </w:p>
    <w:p>
      <w:pPr>
        <w:pStyle w:val="Style30"/>
        <w:numPr>
          <w:ilvl w:val="0"/>
          <w:numId w:val="63"/>
        </w:numPr>
        <w:tabs>
          <w:tab w:leader="none" w:pos="231"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Турбулентный поток через деформированный аор</w:t>
        <w:softHyphen/>
        <w:t>тальный клапан обусловливает его фиброзирование, что приводит к постепенному прогрессированию ле</w:t>
        <w:softHyphen/>
        <w:t>вожелудочковой обструкции.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numPr>
          <w:ilvl w:val="0"/>
          <w:numId w:val="63"/>
        </w:numPr>
        <w:tabs>
          <w:tab w:leader="none" w:pos="231"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Клинические признаки клапанного стеноза аорты могут проявляться в любом возрасте. В период ново- рожденности порок проявляется в тяжелой форме в виде критического стеноза аорты, у детей и под</w:t>
        <w:softHyphen/>
        <w:t>ростков может выявляться случайно при обнаруже</w:t>
        <w:softHyphen/>
        <w:t>нии систолического шума или щелчков. В редких случаях клапанный стеноз аорты у детей и подрост</w:t>
        <w:softHyphen/>
        <w:t>ков является причиной внезапной сердечной смерти, возникающей при физической нагрузке.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Клапанный стеноз аорты у новорожденных</w:t>
      </w:r>
    </w:p>
    <w:p>
      <w:pPr>
        <w:pStyle w:val="Style30"/>
        <w:numPr>
          <w:ilvl w:val="0"/>
          <w:numId w:val="63"/>
        </w:numPr>
        <w:tabs>
          <w:tab w:leader="none" w:pos="231"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новорожденных клапанный стеноз аорты проявля</w:t>
        <w:softHyphen/>
        <w:t>ется застойной сердечной недостаточностью на пер</w:t>
        <w:softHyphen/>
        <w:t>вой неделе жизни. Первоначально новорожденный находится в стабильном состоянии, которое резко ухудшается при закрытии артериального протока. Клинические признаки застойной сердечной недо</w:t>
        <w:softHyphen/>
        <w:t>статочности могут протекать под маской сепсиса, а шум стеноза из-за низкого сердечного выброса практически отсутствует. Обычно новорожденные нуждаются в реанимационных мероприятиях и вве</w:t>
        <w:softHyphen/>
        <w:t xml:space="preserve">дении простагландина </w:t>
      </w:r>
      <w:r>
        <w:rPr>
          <w:lang w:val="en-US" w:eastAsia="en-US" w:bidi="en-US"/>
          <w:w w:val="100"/>
          <w:spacing w:val="0"/>
          <w:color w:val="000000"/>
          <w:position w:val="0"/>
        </w:rPr>
        <w:t xml:space="preserve">E1, </w:t>
      </w:r>
      <w:r>
        <w:rPr>
          <w:lang w:val="ru-RU" w:eastAsia="ru-RU" w:bidi="ru-RU"/>
          <w:w w:val="100"/>
          <w:spacing w:val="0"/>
          <w:color w:val="000000"/>
          <w:position w:val="0"/>
        </w:rPr>
        <w:t>который стабилизирует адекватный системный кровоток.</w:t>
      </w:r>
    </w:p>
    <w:p>
      <w:pPr>
        <w:pStyle w:val="Style30"/>
        <w:numPr>
          <w:ilvl w:val="0"/>
          <w:numId w:val="63"/>
        </w:numPr>
        <w:tabs>
          <w:tab w:leader="none" w:pos="231"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новорожденных порок может протекать бессимп</w:t>
        <w:softHyphen/>
        <w:t>томно и выявляется на основании характерного шума аортального стеноза. Такие дети должны находиться под постоянным наблюдением кардиолога, посколь</w:t>
        <w:softHyphen/>
        <w:t>ку возможно быстрое прогрессирование стеноза вплоть до критического в 5-6 месяцев жизни. Это обусловлено интенсивным ростом ребенка, приводя</w:t>
        <w:softHyphen/>
        <w:t>щим к драматическому прогрессированию градиента обструкции.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Клапанный стеноз аорты у детей</w:t>
      </w:r>
    </w:p>
    <w:p>
      <w:pPr>
        <w:pStyle w:val="Style30"/>
        <w:numPr>
          <w:ilvl w:val="0"/>
          <w:numId w:val="63"/>
        </w:numPr>
        <w:tabs>
          <w:tab w:leader="none" w:pos="231"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 клапанным стенозом аорты первым призна</w:t>
        <w:softHyphen/>
        <w:t>ком заболевания является аортальный систолический шум. Этот шум выявляется случайно при диспансе</w:t>
        <w:softHyphen/>
        <w:t>ризации, особенно часто у детей, занимающихся спортом. Иногда может выявляться симптоматика в виде повышенной утомляемости. Редко в анамнезе у детей с клапанным стенозом аорты могут наблю</w:t>
        <w:softHyphen/>
        <w:t>даться обморочные состояния или боли в грудной клетке ишемического типа.</w:t>
      </w:r>
    </w:p>
    <w:p>
      <w:pPr>
        <w:pStyle w:val="Style30"/>
        <w:numPr>
          <w:ilvl w:val="0"/>
          <w:numId w:val="63"/>
        </w:numPr>
        <w:tabs>
          <w:tab w:leader="none" w:pos="231"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Другая группа — это дети с выявленным клапанным стенозом аорты в периоде новорожденности или про</w:t>
        <w:softHyphen/>
        <w:t>веденной баллонной вальвулопластикой из-за крити</w:t>
        <w:softHyphen/>
        <w:t>ческого стеноза. Обычно у таких детей выявляются признаки снижения толерантности к физической на</w:t>
        <w:softHyphen/>
        <w:t>грузке, усиливающиеся по мере прогрессирования сте</w:t>
        <w:softHyphen/>
        <w:t>ноза. Могут быть жалобы на одышку, боли в грудной клетке, плохую переносимость физических нагрузок.</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Клапанный стеноз у подростков</w:t>
      </w:r>
    </w:p>
    <w:p>
      <w:pPr>
        <w:pStyle w:val="Style30"/>
        <w:numPr>
          <w:ilvl w:val="0"/>
          <w:numId w:val="63"/>
        </w:numPr>
        <w:tabs>
          <w:tab w:leader="none" w:pos="231" w:val="left"/>
        </w:tabs>
        <w:widowControl w:val="0"/>
        <w:keepNext w:val="0"/>
        <w:keepLines w:val="0"/>
        <w:shd w:val="clear" w:color="auto" w:fill="auto"/>
        <w:bidi w:val="0"/>
        <w:spacing w:before="0" w:after="0"/>
        <w:ind w:left="280" w:right="0" w:hanging="280"/>
      </w:pPr>
      <w:r>
        <w:pict>
          <v:shape id="_x0000_s1343" type="#_x0000_t75" style="position:absolute;margin-left:141.6pt;margin-top:736.8pt;width:209.75pt;height:14.9pt;z-index:-125829169;mso-wrap-distance-left:135.35pt;mso-wrap-distance-right:136.8pt;mso-wrap-distance-bottom:10.8pt;mso-position-horizontal-relative:margin;mso-position-vertical-relative:margin" wrapcoords="0 0 21600 0 21600 21600 0 21600 0 0">
            <v:imagedata r:id="rId522" r:href="rId523"/>
            <w10:wrap type="topAndBottom" anchorx="margin" anchory="margin"/>
          </v:shape>
        </w:pict>
      </w:r>
      <w:r>
        <w:rPr>
          <w:lang w:val="ru-RU" w:eastAsia="ru-RU" w:bidi="ru-RU"/>
          <w:w w:val="100"/>
          <w:spacing w:val="0"/>
          <w:color w:val="000000"/>
          <w:position w:val="0"/>
        </w:rPr>
        <w:t>Длительное время у подростков с небольшим клапан</w:t>
        <w:softHyphen/>
        <w:t>ным стенозом аорты симптоматика порока не опре</w:t>
        <w:softHyphen/>
        <w:t>деляется. Она развивается у подростков, имеющих, как правило, двустворчатый аортальный клапан, склонный к возникновению стенозирования с воз-</w:t>
      </w:r>
      <w:r>
        <w:br w:type="page"/>
      </w:r>
    </w:p>
    <w:p>
      <w:pPr>
        <w:framePr w:w="4786" w:h="4051" w:hSpace="31" w:wrap="notBeside" w:vAnchor="text" w:hAnchor="text" w:x="32" w:y="1"/>
        <w:widowControl w:val="0"/>
        <w:rPr>
          <w:sz w:val="2"/>
          <w:szCs w:val="2"/>
        </w:rPr>
      </w:pPr>
      <w:r>
        <w:pict>
          <v:shape id="_x0000_s1344" type="#_x0000_t75" style="width:240pt;height:203pt;">
            <v:imagedata r:id="rId524" r:href="rId525"/>
          </v:shape>
        </w:pict>
      </w:r>
    </w:p>
    <w:p>
      <w:pPr>
        <w:pStyle w:val="Style120"/>
        <w:framePr w:w="4810" w:h="237" w:hSpace="31" w:wrap="notBeside" w:vAnchor="text" w:hAnchor="text" w:x="32" w:y="4364"/>
        <w:widowControl w:val="0"/>
        <w:keepNext w:val="0"/>
        <w:keepLines w:val="0"/>
        <w:shd w:val="clear" w:color="auto" w:fill="auto"/>
        <w:bidi w:val="0"/>
        <w:jc w:val="left"/>
        <w:spacing w:before="0" w:after="0" w:line="180" w:lineRule="exact"/>
        <w:ind w:left="0" w:right="0" w:firstLine="0"/>
      </w:pPr>
      <w:r>
        <w:rPr>
          <w:rStyle w:val="CharStyle125"/>
        </w:rPr>
        <w:t xml:space="preserve">Рис. 45. </w:t>
      </w:r>
      <w:r>
        <w:rPr>
          <w:lang w:val="ru-RU" w:eastAsia="ru-RU" w:bidi="ru-RU"/>
          <w:w w:val="100"/>
          <w:spacing w:val="0"/>
          <w:color w:val="000000"/>
          <w:position w:val="0"/>
        </w:rPr>
        <w:t>Клапанный стеноз аорты: гипертрофия левого желудочка.</w:t>
      </w:r>
    </w:p>
    <w:p>
      <w:pPr>
        <w:widowControl w:val="0"/>
        <w:rPr>
          <w:sz w:val="2"/>
          <w:szCs w:val="2"/>
        </w:rPr>
      </w:pPr>
    </w:p>
    <w:p>
      <w:pPr>
        <w:pStyle w:val="Style30"/>
        <w:widowControl w:val="0"/>
        <w:keepNext w:val="0"/>
        <w:keepLines w:val="0"/>
        <w:shd w:val="clear" w:color="auto" w:fill="auto"/>
        <w:bidi w:val="0"/>
        <w:spacing w:before="501" w:after="0"/>
        <w:ind w:left="500" w:right="0" w:firstLine="0"/>
      </w:pPr>
      <w:r>
        <w:rPr>
          <w:lang w:val="ru-RU" w:eastAsia="ru-RU" w:bidi="ru-RU"/>
          <w:w w:val="100"/>
          <w:spacing w:val="0"/>
          <w:color w:val="000000"/>
          <w:position w:val="0"/>
        </w:rPr>
        <w:t>растом. У ряда больных порок может быть выявлен при присоединении клинико-лабораторной симпто</w:t>
        <w:softHyphen/>
        <w:t>матики инфекционного эндокардита. Часть больных, у которых в детстве определялся умеренный клапан</w:t>
        <w:softHyphen/>
        <w:t>ный стеноз аорты, из-за прогрессирования порока нуждаются в проведении оперативного лечения.</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подростков с ранее проведенным протезированием аортального клапана может проявиться рестенозиро- вание в период интенсивного роста из-за несоответ</w:t>
        <w:softHyphen/>
        <w:t>ствия параметров искусственного клапана анатоми</w:t>
        <w:softHyphen/>
        <w:t>ческим размерам аорты.</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анамнезе типичны следующие симптомы порока:</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Сердцебиение.</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Утомляемость.</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Нарушение зрения.</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Постепенное снижение физической активности с од</w:t>
        <w:softHyphen/>
        <w:t>новременным прогрессированием слабости и одыш</w:t>
        <w:softHyphen/>
        <w:t>ки при физической нагрузке.</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Боли в грудной клетке ишемического характера (сте</w:t>
        <w:softHyphen/>
        <w:t>нокардия — 30-40%).</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подростков может быть нитроглицерин-индуциру- емое синкопе.</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Обмороки во время физической нагрузки. Вероятны</w:t>
        <w:softHyphen/>
        <w:t>ми причинами обмороков являются аритмия и лево</w:t>
        <w:softHyphen/>
        <w:t>желудочковая недостаточность, связанная с внезап</w:t>
        <w:softHyphen/>
        <w:t>ным падением сердечного выброса.</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Симптомы левожелудочковой недостаточности (одышка при нагрузке, ночной кашель, ортопноэ, па</w:t>
        <w:softHyphen/>
        <w:t>роксизмальное ночное диспноэ, гемоптиз). В основе этих симптомов лежит подъем легочного капилляр</w:t>
        <w:softHyphen/>
        <w:t>ного давления из-за дилатации левого желудочка и снижения его комплайнса.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Физикальные данные:</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Стеноз аортального клапана у новорожденных:</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новорожденных с критическим стенозом аорты и низким сердечным выбросом пульс на перифериче</w:t>
        <w:softHyphen/>
        <w:t>ских артериях очень низкий или не определяется. Выражена бледность кожных покровов, тахикардия</w:t>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и тахипноэ, значительно увеличена работа дыхатель</w:t>
        <w:softHyphen/>
        <w:t>ных мышц. Шум может быть слабым из-за низкого сердечного выброса и левожелудочковой дисфунк</w:t>
        <w:softHyphen/>
        <w:t>ции. Шум может быть более интенсивным, если не нарушена систолическая функция левого желудочка. По этой причине определяется усиленный и гиперди</w:t>
        <w:softHyphen/>
        <w:t>намичный верхушечный толчок. Систолическое дро</w:t>
        <w:softHyphen/>
        <w:t>жание грудной клетки определяется очень редко. Иногда определяются систолические щелчки, однако они плохо дифференцируются из-за тахикардии.</w:t>
      </w:r>
    </w:p>
    <w:p>
      <w:pPr>
        <w:pStyle w:val="Style30"/>
        <w:numPr>
          <w:ilvl w:val="0"/>
          <w:numId w:val="6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Причиной отсутствия систолических щелчков явля</w:t>
        <w:softHyphen/>
        <w:t>ется слабая экскурсия аортальных клапанов. Пульс обычно малого наполнения, симметричный. В дан</w:t>
        <w:softHyphen/>
        <w:t>ной ситуации возникают значительные трудности в диагностике коарктации аорты. У новорожденных может быть диффузный цианоз и не наблюдается дифференцированный цианоз, когда системная цир</w:t>
        <w:softHyphen/>
        <w:t>куляция определяется открытым артериальным про</w:t>
        <w:softHyphen/>
        <w:t>током. В периоде новорожденности при клапанном стенозе практически не наблюдается аортальная не</w:t>
        <w:softHyphen/>
        <w:t>достаточность. Выслушивание шума аортальной ре- гургитации свидетельствует в пользу аорто-левожелу</w:t>
        <w:softHyphen/>
        <w:t>дочкового туннеля.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Стеноз аортального клапана у детей:</w:t>
      </w:r>
    </w:p>
    <w:p>
      <w:pPr>
        <w:pStyle w:val="Style30"/>
        <w:numPr>
          <w:ilvl w:val="0"/>
          <w:numId w:val="6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физикальном обследовании обычно определяет</w:t>
        <w:softHyphen/>
        <w:t>ся систолический шум изгнания, определяемый сле</w:t>
        <w:softHyphen/>
        <w:t>ва в средней части грудины и справа во втором-треть- ем межреберье у грудины. Характерно систолическое дрожание в надгрудинной ямке. Отсутствие систоли</w:t>
        <w:softHyphen/>
        <w:t>ческого дрожания свидетельствует о небольшой вели</w:t>
        <w:softHyphen/>
        <w:t>чине клапанного стеноза. Могут выслушиваться сис</w:t>
        <w:softHyphen/>
        <w:t>толические щелчки. Они определяются на верхушке и проводятся по ходу аорты.</w:t>
      </w:r>
    </w:p>
    <w:p>
      <w:pPr>
        <w:pStyle w:val="Style30"/>
        <w:numPr>
          <w:ilvl w:val="0"/>
          <w:numId w:val="6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Дрожание грудной клетки менее характерно при кла</w:t>
        <w:softHyphen/>
        <w:t>панном стенозе аорты, однако наличие данного при</w:t>
        <w:softHyphen/>
        <w:t>знака свидетельствует о большой обструкции клапа</w:t>
        <w:softHyphen/>
        <w:t>на. Верхушечный толчок может быть нормальным или усиленным. Тяжесть клапанной обструкции про</w:t>
        <w:softHyphen/>
        <w:t>порциональна продолжительности и интенсивности систолического шума. Данная связь правомочна, ес</w:t>
        <w:softHyphen/>
        <w:t>ли нормальны функция левого желудочка и сердеч</w:t>
        <w:softHyphen/>
        <w:t>ный выброс. Четвертый сердечный тон свидетельст</w:t>
        <w:softHyphen/>
        <w:t>вует о возникновении гипертрофии левого желудоч</w:t>
        <w:softHyphen/>
        <w:t>ка. Пульс может быть нормальным или ослабленным в зависимости от величины обструкции клапана. Слабый ограниченный пульс может свидетельство - вать о присоединении аортальной недостаточности.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Стеноз аортального клапана у подростков:</w:t>
      </w:r>
    </w:p>
    <w:p>
      <w:pPr>
        <w:pStyle w:val="Style30"/>
        <w:numPr>
          <w:ilvl w:val="0"/>
          <w:numId w:val="6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Физикальные данные аортального клапанного стено - за такие же, как у детей, однако в подростковом воз</w:t>
        <w:softHyphen/>
        <w:t>расте из-за фиброзирования створок аортальному стенозу часто сопутствует аортальная недостаточ</w:t>
        <w:softHyphen/>
        <w:t>ность. По этой причине систолические щелчки обыч</w:t>
        <w:softHyphen/>
        <w:t>но не определяются.</w:t>
      </w:r>
    </w:p>
    <w:p>
      <w:pPr>
        <w:pStyle w:val="Style30"/>
        <w:numPr>
          <w:ilvl w:val="0"/>
          <w:numId w:val="6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Аускультативные проявления шума усиливаются при положении пациента на левом боку. Приседания улуч</w:t>
        <w:softHyphen/>
        <w:t>шают выслушивание аортальной недостаточности.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 (рис. 45):</w:t>
      </w:r>
    </w:p>
    <w:p>
      <w:pPr>
        <w:pStyle w:val="Style30"/>
        <w:numPr>
          <w:ilvl w:val="0"/>
          <w:numId w:val="63"/>
        </w:numPr>
        <w:tabs>
          <w:tab w:leader="none" w:pos="234" w:val="left"/>
        </w:tabs>
        <w:widowControl w:val="0"/>
        <w:keepNext w:val="0"/>
        <w:keepLines w:val="0"/>
        <w:shd w:val="clear" w:color="auto" w:fill="auto"/>
        <w:bidi w:val="0"/>
        <w:spacing w:before="0" w:after="0"/>
        <w:ind w:left="260" w:right="0"/>
      </w:pPr>
      <w:r>
        <w:pict>
          <v:shape id="_x0000_s1345" type="#_x0000_t75" style="position:absolute;margin-left:136.45pt;margin-top:736.8pt;width:209.75pt;height:14.9pt;z-index:-125829168;mso-wrap-distance-left:136.3pt;mso-wrap-distance-right:148.1pt;mso-wrap-distance-bottom:10.8pt;mso-position-horizontal-relative:margin;mso-position-vertical-relative:margin" wrapcoords="0 0 21600 0 21600 21600 0 21600 0 0">
            <v:imagedata r:id="rId526" r:href="rId527"/>
            <w10:wrap type="topAndBottom" anchorx="margin" anchory="margin"/>
          </v:shape>
        </w:pict>
      </w:r>
      <w:r>
        <w:rPr>
          <w:lang w:val="ru-RU" w:eastAsia="ru-RU" w:bidi="ru-RU"/>
          <w:w w:val="100"/>
          <w:spacing w:val="0"/>
          <w:color w:val="000000"/>
          <w:position w:val="0"/>
        </w:rPr>
        <w:t>Электрокардиограмма в 85% случаев выявляет при тяжелом клапанном стенозе аорты гипертрофию ле</w:t>
        <w:softHyphen/>
        <w:t>вого желудочка. При умеренных и легких стенозах</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ЭКГ обычно нормальная. ЭКГ не позволяет предска</w:t>
        <w:softHyphen/>
        <w:t>зать критический аортальный стеноз. У детей с кла</w:t>
        <w:softHyphen/>
        <w:t>панным стенозом аорты нет корреляции между абсо</w:t>
        <w:softHyphen/>
        <w:t xml:space="preserve">лютным вольтажем зубца </w:t>
      </w:r>
      <w:r>
        <w:rPr>
          <w:lang w:val="en-US" w:eastAsia="en-US" w:bidi="en-US"/>
          <w:w w:val="100"/>
          <w:spacing w:val="0"/>
          <w:color w:val="000000"/>
          <w:position w:val="0"/>
        </w:rPr>
        <w:t xml:space="preserve">R </w:t>
      </w:r>
      <w:r>
        <w:rPr>
          <w:lang w:val="ru-RU" w:eastAsia="ru-RU" w:bidi="ru-RU"/>
          <w:w w:val="100"/>
          <w:spacing w:val="0"/>
          <w:color w:val="000000"/>
          <w:position w:val="0"/>
        </w:rPr>
        <w:t>в левых грудных отведе</w:t>
        <w:softHyphen/>
        <w:t>ниях и тяжестью левожелудочковой обструкции. У подростков определяется только слабая корреляци</w:t>
        <w:softHyphen/>
        <w:t>онная взаимосвязь.</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Тяжелый клапанный стеноз аорты характеризуется резкой гипертрофией левого желудочка и его пере</w:t>
        <w:softHyphen/>
        <w:t xml:space="preserve">грузкой по типу </w:t>
      </w:r>
      <w:r>
        <w:rPr>
          <w:lang w:val="en-US" w:eastAsia="en-US" w:bidi="en-US"/>
          <w:w w:val="100"/>
          <w:spacing w:val="0"/>
          <w:color w:val="000000"/>
          <w:position w:val="0"/>
        </w:rPr>
        <w:t xml:space="preserve">strain: </w:t>
      </w:r>
      <w:r>
        <w:rPr>
          <w:lang w:val="ru-RU" w:eastAsia="ru-RU" w:bidi="ru-RU"/>
          <w:w w:val="100"/>
          <w:spacing w:val="0"/>
          <w:color w:val="000000"/>
          <w:position w:val="0"/>
        </w:rPr>
        <w:t>зубец Т инвертирован, депрес</w:t>
        <w:softHyphen/>
        <w:t xml:space="preserve">сия сегмента </w:t>
      </w:r>
      <w:r>
        <w:rPr>
          <w:lang w:val="en-US" w:eastAsia="en-US" w:bidi="en-US"/>
          <w:w w:val="100"/>
          <w:spacing w:val="0"/>
          <w:color w:val="000000"/>
          <w:position w:val="0"/>
        </w:rPr>
        <w:t xml:space="preserve">ST </w:t>
      </w:r>
      <w:r>
        <w:rPr>
          <w:lang w:val="ru-RU" w:eastAsia="ru-RU" w:bidi="ru-RU"/>
          <w:w w:val="100"/>
          <w:spacing w:val="0"/>
          <w:color w:val="000000"/>
          <w:position w:val="0"/>
        </w:rPr>
        <w:t>в отведениях с положительным ком</w:t>
        <w:softHyphen/>
        <w:t>плексом.</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Обычно наблюдается картина септального псевдоин</w:t>
        <w:softHyphen/>
        <w:t xml:space="preserve">фаркта. Дилатация левого предсердия проявляется в виде расширения претерминального негативного зубца Р в отведении </w:t>
      </w:r>
      <w:r>
        <w:rPr>
          <w:lang w:val="en-US" w:eastAsia="en-US" w:bidi="en-US"/>
          <w:w w:val="100"/>
          <w:spacing w:val="0"/>
          <w:color w:val="000000"/>
          <w:position w:val="0"/>
        </w:rPr>
        <w:t xml:space="preserve">Vi </w:t>
      </w:r>
      <w:r>
        <w:rPr>
          <w:lang w:val="ru-RU" w:eastAsia="ru-RU" w:bidi="ru-RU"/>
          <w:w w:val="100"/>
          <w:spacing w:val="0"/>
          <w:color w:val="000000"/>
          <w:position w:val="0"/>
        </w:rPr>
        <w:t>(наблюдается в 80% случаев тяжелого стеноза аорты).</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Обычно регистрируется синусовый ритм. При дли</w:t>
        <w:softHyphen/>
        <w:t>тельном течении порока у взрослых может появиться мерцательная аритмия.</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подростков с прогрессированием фиброза аорталь</w:t>
        <w:softHyphen/>
        <w:t>ного клапана и распространением его на окружаю</w:t>
        <w:softHyphen/>
        <w:t>щие образования может развиться атриовентрику</w:t>
        <w:softHyphen/>
        <w:t xml:space="preserve">лярная или внутрижелудочковая блокада. Примерно в </w:t>
      </w:r>
      <w:r>
        <w:rPr>
          <w:lang w:val="en-US" w:eastAsia="en-US" w:bidi="en-US"/>
          <w:w w:val="100"/>
          <w:spacing w:val="0"/>
          <w:color w:val="000000"/>
          <w:position w:val="0"/>
        </w:rPr>
        <w:t>i</w:t>
      </w:r>
      <w:r>
        <w:rPr>
          <w:rStyle w:val="CharStyle32"/>
          <w:lang w:val="en-US" w:eastAsia="en-US" w:bidi="en-US"/>
        </w:rPr>
        <w:t>0</w:t>
      </w:r>
      <w:r>
        <w:rPr>
          <w:lang w:val="en-US" w:eastAsia="en-US" w:bidi="en-US"/>
          <w:w w:val="100"/>
          <w:spacing w:val="0"/>
          <w:color w:val="000000"/>
          <w:position w:val="0"/>
        </w:rPr>
        <w:t xml:space="preserve">% </w:t>
      </w:r>
      <w:r>
        <w:rPr>
          <w:lang w:val="ru-RU" w:eastAsia="ru-RU" w:bidi="ru-RU"/>
          <w:w w:val="100"/>
          <w:spacing w:val="0"/>
          <w:color w:val="000000"/>
          <w:position w:val="0"/>
        </w:rPr>
        <w:t>случаев возникает блокада левой передней ножки пучка Гиса.</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амбулаторном мониторировании ЭКГ часто вы</w:t>
        <w:softHyphen/>
        <w:t>являются комплексные желудочковые аритмии, обус</w:t>
        <w:softHyphen/>
        <w:t>ловленные дисфункцией миокарда левого желудочка.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Рентгенография грудной клетки:</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Размеры сердечной тени длительно остаются в преде</w:t>
        <w:softHyphen/>
        <w:t>лах нормы, может определяться постстенотическая дилатация аорты.</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На поздних стадиях заболевания (обычно после </w:t>
      </w:r>
      <w:r>
        <w:rPr>
          <w:rStyle w:val="CharStyle32"/>
        </w:rPr>
        <w:t>20</w:t>
      </w:r>
      <w:r>
        <w:rPr>
          <w:lang w:val="ru-RU" w:eastAsia="ru-RU" w:bidi="ru-RU"/>
          <w:w w:val="100"/>
          <w:spacing w:val="0"/>
          <w:color w:val="000000"/>
          <w:position w:val="0"/>
        </w:rPr>
        <w:t xml:space="preserve"> лет) при гемодинамически значимом стенозе аор</w:t>
        <w:softHyphen/>
        <w:t>ты выявляется при флюороскопии кальцификация аортального клапана.</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Кардиомегалия является поздним проявлением кла</w:t>
        <w:softHyphen/>
        <w:t>панного стеноза, наряду с увеличением размера сер</w:t>
        <w:softHyphen/>
        <w:t>дечной тени выявляется умеренная дилатация левого предсердия и легочная венозная гипертензия.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период новорожденности трансторакальная эхо</w:t>
        <w:softHyphen/>
        <w:t>кардиография позволяет провести полную диагнос</w:t>
        <w:softHyphen/>
        <w:t>тику порока: анатомию створок клапана, размер ан- нулярного кольца, распределение тканевых структур клапана, степень гипертрофии и систолическую функцию левого желудочка. Одновременно прово</w:t>
        <w:softHyphen/>
        <w:t>дится выявление сопутствующих аномалий, таких как коарктация аорты или субаортальный стеноз. У новорожденных с нарушенной функцией левого желудочка могут определяться типичные проявления эндокардиального фиброэластоза.</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детей и подростков трансторакальная эхокардио</w:t>
        <w:softHyphen/>
        <w:t>графия позволяет получить аналогичную информа</w:t>
        <w:softHyphen/>
        <w:t>цию о состоянии клапана и левожелудочковой функции. При плохой визуализации величины и тя</w:t>
        <w:softHyphen/>
        <w:t>жести дефекта проводится чрезпищеводная эхокар</w:t>
        <w:softHyphen/>
        <w:t>диография.</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Одномерная ЭхоКГ:</w:t>
      </w:r>
    </w:p>
    <w:p>
      <w:pPr>
        <w:pStyle w:val="Style30"/>
        <w:widowControl w:val="0"/>
        <w:keepNext w:val="0"/>
        <w:keepLines w:val="0"/>
        <w:shd w:val="clear" w:color="auto" w:fill="auto"/>
        <w:bidi w:val="0"/>
        <w:jc w:val="right"/>
        <w:spacing w:before="0" w:after="0"/>
        <w:ind w:left="0" w:right="0" w:firstLine="0"/>
      </w:pPr>
      <w:r>
        <w:rPr>
          <w:lang w:val="ru-RU" w:eastAsia="ru-RU" w:bidi="ru-RU"/>
          <w:w w:val="100"/>
          <w:spacing w:val="0"/>
          <w:color w:val="000000"/>
          <w:position w:val="0"/>
        </w:rPr>
        <w:t>• Амплитуда открытия аортального клапана меньше 15 мм (поскольку при наличии множественных</w:t>
      </w:r>
    </w:p>
    <w:p>
      <w:pPr>
        <w:pStyle w:val="Style30"/>
        <w:widowControl w:val="0"/>
        <w:keepNext w:val="0"/>
        <w:keepLines w:val="0"/>
        <w:shd w:val="clear" w:color="auto" w:fill="auto"/>
        <w:bidi w:val="0"/>
        <w:spacing w:before="0" w:after="0"/>
        <w:ind w:left="740" w:right="0" w:firstLine="0"/>
      </w:pPr>
      <w:r>
        <w:br w:type="column"/>
      </w:r>
      <w:r>
        <w:rPr>
          <w:lang w:val="ru-RU" w:eastAsia="ru-RU" w:bidi="ru-RU"/>
          <w:w w:val="100"/>
          <w:spacing w:val="0"/>
          <w:color w:val="000000"/>
          <w:position w:val="0"/>
        </w:rPr>
        <w:t>эхосигналов от створок трудно идентифицировать величину сепарации, данный критерий использу</w:t>
        <w:softHyphen/>
        <w:t>ется только при двухмерной ЭхоКГ).</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Утолщение аортальных створок.</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Множественные линейные эхосигналы от створок в систолу и диастолу.</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Плотные эхосигналы от стенок аорты.</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Гипертрофия левого желудочка и/или дилатация левого желудочка.</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Уменьшение </w:t>
      </w:r>
      <w:r>
        <w:rPr>
          <w:lang w:val="en-US" w:eastAsia="en-US" w:bidi="en-US"/>
          <w:w w:val="100"/>
          <w:spacing w:val="0"/>
          <w:color w:val="000000"/>
          <w:position w:val="0"/>
        </w:rPr>
        <w:t xml:space="preserve">EF </w:t>
      </w:r>
      <w:r>
        <w:rPr>
          <w:lang w:val="ru-RU" w:eastAsia="ru-RU" w:bidi="ru-RU"/>
          <w:w w:val="100"/>
          <w:spacing w:val="0"/>
          <w:color w:val="000000"/>
          <w:position w:val="0"/>
        </w:rPr>
        <w:t>наклона передней створки мит</w:t>
        <w:softHyphen/>
        <w:t>рального клапана (косвенно характеризует сниже</w:t>
        <w:softHyphen/>
        <w:t>ние комплайнса левого желудочка).</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Диастолическое трепетание передней створки ми</w:t>
        <w:softHyphen/>
        <w:t>трального клапана.</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Уменьшение экскурсии аорты.</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Дилатация корня аорты.</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Плотный эхосигнал от левого атриовентрикуляр</w:t>
        <w:softHyphen/>
        <w:t>ного кольца.</w:t>
      </w:r>
    </w:p>
    <w:p>
      <w:pPr>
        <w:pStyle w:val="Style30"/>
        <w:numPr>
          <w:ilvl w:val="0"/>
          <w:numId w:val="63"/>
        </w:numPr>
        <w:tabs>
          <w:tab w:leader="none" w:pos="51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Двухмерная ЭхоКГ:</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Систолическая сепарация между передней (правой коронарной) и задней (некоронарной) створкой меньше 15 мм.</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Утолщенные аортальные створки в парастерналь</w:t>
        <w:softHyphen/>
        <w:t>ной проекции длинной оси левого желудочка и по</w:t>
        <w:softHyphen/>
        <w:t>перечном сечении на уровне магистральных сосу</w:t>
        <w:softHyphen/>
        <w:t>дов. Этот феномен более отчетливо визуализирует</w:t>
        <w:softHyphen/>
        <w:t>ся в диастолу, причем правая коронарная створка повреждается значительно чаще, чем левая.</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Выгибание аортальных створок за линию смыка</w:t>
        <w:softHyphen/>
        <w:t>ния (пролапс аортальных створок в выходной тракт левого желудочка — рис. 46).</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Допплер ЭхоКГ:</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Наличие турбулентного потока крови за створка</w:t>
        <w:softHyphen/>
        <w:t>ми аортального клапана (максимальная скорость потока превышает 1,5 м/с).</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Оценка величины градиента обструкции по урав</w:t>
        <w:softHyphen/>
        <w:t>нению Бернулли.</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Расчет поперечного сечения аорты по формуле </w:t>
      </w:r>
      <w:r>
        <w:rPr>
          <w:lang w:val="en-US" w:eastAsia="en-US" w:bidi="en-US"/>
          <w:w w:val="100"/>
          <w:spacing w:val="0"/>
          <w:color w:val="000000"/>
          <w:position w:val="0"/>
        </w:rPr>
        <w:t>W Kevin.</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Позволяет выявить сопутствующую недостаточ</w:t>
        <w:softHyphen/>
        <w:t>ность аортального клапана.</w:t>
      </w:r>
    </w:p>
    <w:p>
      <w:pPr>
        <w:pStyle w:val="Style30"/>
        <w:numPr>
          <w:ilvl w:val="0"/>
          <w:numId w:val="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Оценка систолической функции левого желудочка.</w:t>
      </w:r>
    </w:p>
    <w:p>
      <w:pPr>
        <w:pStyle w:val="Style30"/>
        <w:numPr>
          <w:ilvl w:val="0"/>
          <w:numId w:val="6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Эхокардиография заменяет необходимость катетери</w:t>
        <w:softHyphen/>
        <w:t>зации сердца при проведении баллонной аортальной вальвулопластики.</w:t>
      </w:r>
    </w:p>
    <w:p>
      <w:pPr>
        <w:pStyle w:val="Style30"/>
        <w:numPr>
          <w:ilvl w:val="0"/>
          <w:numId w:val="63"/>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Допплерэхокардиография используется для установ</w:t>
        <w:softHyphen/>
        <w:t>ления тяжести аортального стеноза. Пиковый гради</w:t>
        <w:softHyphen/>
        <w:t>ент обычно превышает данные трансклапанного гра</w:t>
        <w:softHyphen/>
        <w:t>диента, определенного при катетеризации. Средний градиент, определенный по допплер, коррелирует со средним градиентом, вычисленным во время катете</w:t>
        <w:softHyphen/>
        <w:t>ризации.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Критерии оценки тяжести клапанного аортального сте</w:t>
        <w:softHyphen/>
        <w:t xml:space="preserve">ноза (табл. </w:t>
      </w:r>
      <w:r>
        <w:rPr>
          <w:rStyle w:val="CharStyle32"/>
        </w:rPr>
        <w:t>10</w:t>
      </w:r>
      <w:r>
        <w:rPr>
          <w:lang w:val="ru-RU" w:eastAsia="ru-RU" w:bidi="ru-RU"/>
          <w:w w:val="100"/>
          <w:spacing w:val="0"/>
          <w:color w:val="000000"/>
          <w:position w:val="0"/>
        </w:rPr>
        <w: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Сепарация створок менее </w:t>
      </w:r>
      <w:r>
        <w:rPr>
          <w:rStyle w:val="CharStyle32"/>
        </w:rPr>
        <w:t>8</w:t>
      </w:r>
      <w:r>
        <w:rPr>
          <w:lang w:val="ru-RU" w:eastAsia="ru-RU" w:bidi="ru-RU"/>
          <w:w w:val="100"/>
          <w:spacing w:val="0"/>
          <w:color w:val="000000"/>
          <w:position w:val="0"/>
        </w:rPr>
        <w:t xml:space="preserve"> мм свидетельствует о тяже</w:t>
        <w:softHyphen/>
        <w:t xml:space="preserve">лом стенозе, более </w:t>
      </w:r>
      <w:r>
        <w:rPr>
          <w:rStyle w:val="CharStyle32"/>
        </w:rPr>
        <w:t>12</w:t>
      </w:r>
      <w:r>
        <w:rPr>
          <w:lang w:val="ru-RU" w:eastAsia="ru-RU" w:bidi="ru-RU"/>
          <w:w w:val="100"/>
          <w:spacing w:val="0"/>
          <w:color w:val="000000"/>
          <w:position w:val="0"/>
        </w:rPr>
        <w:t xml:space="preserve"> мм — легкий или умеренный стеноз.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Если происходит увеличение градиента обструкции бо</w:t>
        <w:softHyphen/>
        <w:t xml:space="preserve">лее чем на </w:t>
      </w:r>
      <w:r>
        <w:rPr>
          <w:rStyle w:val="CharStyle32"/>
        </w:rPr>
        <w:t>8</w:t>
      </w:r>
      <w:r>
        <w:rPr>
          <w:lang w:val="ru-RU" w:eastAsia="ru-RU" w:bidi="ru-RU"/>
          <w:w w:val="100"/>
          <w:spacing w:val="0"/>
          <w:color w:val="000000"/>
          <w:position w:val="0"/>
        </w:rPr>
        <w:t xml:space="preserve"> мм рт. ст. в год и сужение площади клапана на </w:t>
      </w:r>
      <w:r>
        <w:rPr>
          <w:rStyle w:val="CharStyle32"/>
        </w:rPr>
        <w:t>0,1</w:t>
      </w:r>
      <w:r>
        <w:rPr>
          <w:lang w:val="ru-RU" w:eastAsia="ru-RU" w:bidi="ru-RU"/>
          <w:w w:val="100"/>
          <w:spacing w:val="0"/>
          <w:color w:val="000000"/>
          <w:position w:val="0"/>
        </w:rPr>
        <w:t xml:space="preserve"> см</w:t>
      </w:r>
      <w:r>
        <w:rPr>
          <w:lang w:val="ru-RU" w:eastAsia="ru-RU" w:bidi="ru-RU"/>
          <w:vertAlign w:val="superscript"/>
          <w:w w:val="100"/>
          <w:spacing w:val="0"/>
          <w:color w:val="000000"/>
          <w:position w:val="0"/>
        </w:rPr>
        <w:t>2</w:t>
      </w:r>
      <w:r>
        <w:rPr>
          <w:lang w:val="ru-RU" w:eastAsia="ru-RU" w:bidi="ru-RU"/>
          <w:w w:val="100"/>
          <w:spacing w:val="0"/>
          <w:color w:val="000000"/>
          <w:position w:val="0"/>
        </w:rPr>
        <w:t>, имеет место прогрессирование стеноза.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Магниторезонансная томография:</w:t>
      </w:r>
    </w:p>
    <w:p>
      <w:pPr>
        <w:pStyle w:val="Style30"/>
        <w:numPr>
          <w:ilvl w:val="0"/>
          <w:numId w:val="63"/>
        </w:numPr>
        <w:tabs>
          <w:tab w:leader="none" w:pos="512" w:val="left"/>
        </w:tabs>
        <w:widowControl w:val="0"/>
        <w:keepNext w:val="0"/>
        <w:keepLines w:val="0"/>
        <w:shd w:val="clear" w:color="auto" w:fill="auto"/>
        <w:bidi w:val="0"/>
        <w:jc w:val="left"/>
        <w:spacing w:before="0" w:after="0"/>
        <w:ind w:left="520" w:right="0" w:hanging="240"/>
      </w:pPr>
      <w:r>
        <w:pict>
          <v:shape id="_x0000_s1346" type="#_x0000_t75" style="position:absolute;margin-left:141.7pt;margin-top:736.8pt;width:209.75pt;height:14.9pt;z-index:-125829167;mso-wrap-distance-left:135.6pt;mso-wrap-distance-right:136.8pt;mso-wrap-distance-bottom:10.8pt;mso-position-horizontal-relative:margin;mso-position-vertical-relative:margin" wrapcoords="0 0 21600 0 21600 21600 0 21600 0 0">
            <v:imagedata r:id="rId528" r:href="rId529"/>
            <w10:wrap type="topAndBottom" anchorx="margin" anchory="margin"/>
          </v:shape>
        </w:pict>
      </w:r>
      <w:r>
        <w:rPr>
          <w:lang w:val="ru-RU" w:eastAsia="ru-RU" w:bidi="ru-RU"/>
          <w:w w:val="100"/>
          <w:spacing w:val="0"/>
          <w:color w:val="000000"/>
          <w:position w:val="0"/>
        </w:rPr>
        <w:t>Магниторезонансная томография не позволяет прове</w:t>
        <w:softHyphen/>
        <w:t>сти детальный анализ состояния клапана и практичес-</w:t>
      </w:r>
      <w:r>
        <w:br w:type="page"/>
      </w:r>
    </w:p>
    <w:p>
      <w:pPr>
        <w:pStyle w:val="Style30"/>
        <w:widowControl w:val="0"/>
        <w:keepNext w:val="0"/>
        <w:keepLines w:val="0"/>
        <w:shd w:val="clear" w:color="auto" w:fill="auto"/>
        <w:bidi w:val="0"/>
        <w:spacing w:before="0" w:after="0"/>
        <w:ind w:left="260" w:right="0" w:firstLine="0"/>
      </w:pPr>
      <w:r>
        <w:pict>
          <v:shape id="_x0000_s1347" type="#_x0000_t75" style="position:absolute;margin-left:-4.45pt;margin-top:2.4pt;width:277.45pt;height:205.45pt;z-index:-125829166;mso-wrap-distance-left:5.pt;mso-wrap-distance-right:26.15pt;mso-position-horizontal-relative:margin;mso-position-vertical-relative:margin" wrapcoords="0 0 21600 0 21600 21600 0 21600 0 0">
            <v:imagedata r:id="rId530" r:href="rId531"/>
            <w10:wrap type="topAndBottom" anchorx="margin" anchory="margin"/>
          </v:shape>
        </w:pict>
      </w:r>
      <w:r>
        <w:pict>
          <v:shape id="_x0000_s1348" type="#_x0000_t202" style="position:absolute;margin-left:299.15pt;margin-top:25.2pt;width:188.4pt;height:22.05pt;z-index:-125829165;mso-wrap-distance-left:42.pt;mso-wrap-distance-top:22.8pt;mso-wrap-distance-right:5.pt;mso-position-horizontal-relative:margin;mso-position-vertic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123"/>
                    </w:rPr>
                    <w:t xml:space="preserve">Рис. 46. </w:t>
                  </w:r>
                  <w:r>
                    <w:rPr>
                      <w:rStyle w:val="CharStyle90"/>
                    </w:rPr>
                    <w:t>Клапанный стеноз аорты: пролапс аорталь</w:t>
                    <w:softHyphen/>
                    <w:t>ных створок в выходной тракт левого желудочка.</w:t>
                  </w:r>
                </w:p>
              </w:txbxContent>
            </v:textbox>
            <w10:wrap type="topAndBottom" anchorx="margin" anchory="margin"/>
          </v:shape>
        </w:pict>
      </w:r>
      <w:r>
        <w:rPr>
          <w:lang w:val="ru-RU" w:eastAsia="ru-RU" w:bidi="ru-RU"/>
          <w:w w:val="100"/>
          <w:spacing w:val="0"/>
          <w:color w:val="000000"/>
          <w:position w:val="0"/>
        </w:rPr>
        <w:t>ки не выполняется у новорожденных из-за большой частоты сердечных сокращений и большого числа дви</w:t>
        <w:softHyphen/>
        <w:t>гательных артефактов. МРТ применяют преимущест</w:t>
        <w:softHyphen/>
        <w:t>венно у взрослых пациентов с клапанным стенозом аорты для оценки функции левого желудочка.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Нагрузочный стресс-тест:</w:t>
      </w:r>
    </w:p>
    <w:p>
      <w:pPr>
        <w:pStyle w:val="Style30"/>
        <w:numPr>
          <w:ilvl w:val="0"/>
          <w:numId w:val="6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Нагрузочные тесты проводят у детей старше </w:t>
      </w:r>
      <w:r>
        <w:rPr>
          <w:rStyle w:val="CharStyle32"/>
        </w:rPr>
        <w:t>6</w:t>
      </w:r>
      <w:r>
        <w:rPr>
          <w:lang w:val="ru-RU" w:eastAsia="ru-RU" w:bidi="ru-RU"/>
          <w:w w:val="100"/>
          <w:spacing w:val="0"/>
          <w:color w:val="000000"/>
          <w:position w:val="0"/>
        </w:rPr>
        <w:t xml:space="preserve"> лет при бессимптомном течении порока. При проведении на</w:t>
        <w:softHyphen/>
        <w:t>грузочных тестов возможно появление симптомов порока, которые не определяются в покое.</w:t>
      </w:r>
    </w:p>
    <w:p>
      <w:pPr>
        <w:pStyle w:val="Style30"/>
        <w:numPr>
          <w:ilvl w:val="0"/>
          <w:numId w:val="6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пациентов с легкими или умеренными проявлени</w:t>
        <w:softHyphen/>
        <w:t>ями порока нагрузочные тесты позволяют дифферен</w:t>
        <w:softHyphen/>
        <w:t>цированно определить сроки хирургического вмеша</w:t>
        <w:softHyphen/>
        <w:t>тельства на основе измерения реакции АД и ЧСС на нагрузку, выявления аритмий.</w:t>
      </w:r>
    </w:p>
    <w:p>
      <w:pPr>
        <w:pStyle w:val="Style30"/>
        <w:numPr>
          <w:ilvl w:val="0"/>
          <w:numId w:val="6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Нагрузочные стресс-тесты противопоказаны пациен</w:t>
        <w:softHyphen/>
        <w:t>там с тяжелым клапанным стенозом аорты, посколь</w:t>
        <w:softHyphen/>
        <w:t>ку они могут вызвать желудочковые тахиаритмии, включая фибрилляцию желудочков. У детей и под</w:t>
        <w:softHyphen/>
        <w:t>ростков с бессимптомным течением порока нагру</w:t>
        <w:softHyphen/>
        <w:t>зочные стресс-тесты проводят для определения толе</w:t>
        <w:softHyphen/>
        <w:t>рантности к физическим нагрузкам и физической ра</w:t>
        <w:softHyphen/>
        <w:t>ботоспособности, что позволяет уточнить тактику ве</w:t>
        <w:softHyphen/>
        <w:t>дения пациента.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Катетеризация сердца:</w:t>
      </w:r>
    </w:p>
    <w:p>
      <w:pPr>
        <w:pStyle w:val="Style30"/>
        <w:numPr>
          <w:ilvl w:val="0"/>
          <w:numId w:val="63"/>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Катетеризация сердца обычно проводится у ново</w:t>
        <w:softHyphen/>
        <w:t>рожденных и детей перед проведением баллонной аортальной вальвулопластики. У подростков и взрослых пациентов баллонная вальвулопласти- ка не проводится из-за большой частоты осложне</w:t>
        <w:softHyphen/>
        <w:t>ний и высокого риска развития аортальной недо</w:t>
        <w:softHyphen/>
        <w:t>статочности. Катетеризация сердца с целью опре</w:t>
        <w:softHyphen/>
        <w:t>деления градиента обструкции у детей и подрост</w:t>
        <w:softHyphen/>
        <w:t>ков практически не проводится, поскольку анало</w:t>
        <w:softHyphen/>
        <w:t>гичную информацию можно получить с помощью допплерографии.</w:t>
      </w:r>
    </w:p>
    <w:p>
      <w:pPr>
        <w:pStyle w:val="Style30"/>
        <w:numPr>
          <w:ilvl w:val="0"/>
          <w:numId w:val="63"/>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Другими показаниями к проведению катетериза</w:t>
        <w:softHyphen/>
        <w:t>ции сердца у больных с клапанным стенозом аор</w:t>
        <w:softHyphen/>
        <w:t>ты являются: необходимость более точных изме</w:t>
        <w:softHyphen/>
        <w:t>рений гемодинамических показателей, особенно у пациентов с обструкцией аорты на нескольких</w:t>
        <w:br w:type="column"/>
        <w:t>уровнях, при сочетании с другими пороками сердца.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Стеноз аортального клапана у новорожденных</w:t>
      </w:r>
    </w:p>
    <w:p>
      <w:pPr>
        <w:pStyle w:val="Style30"/>
        <w:numPr>
          <w:ilvl w:val="0"/>
          <w:numId w:val="6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Новорожденные с критическим стенозом аорты и низким сердечным выбросом нуждаются в реани</w:t>
        <w:softHyphen/>
        <w:t>мационных мероприятиях. Новорожденным с крити</w:t>
        <w:softHyphen/>
        <w:t>ческим аортальным стенозом и низким сердечным выбросом вводят простагландин Е1 в дозе 0,05-0,15 мкг/кг/мин через умбиликальную вену для предупреждения закрытия артериального протока. Через данный проток улучшается системная перфу</w:t>
        <w:softHyphen/>
        <w:t>зия жизненно важных органов. При низком сердеч</w:t>
        <w:softHyphen/>
        <w:t>ном выбросе назначают инфузии допамина, допута- мина или эпинефрина. При угрозе отека легкого про</w:t>
        <w:softHyphen/>
        <w:t>водят интубацию, дыхание под положительным дав</w:t>
        <w:softHyphen/>
        <w:t>лением и диуретическую терапию.</w:t>
      </w:r>
    </w:p>
    <w:p>
      <w:pPr>
        <w:pStyle w:val="Style30"/>
        <w:numPr>
          <w:ilvl w:val="0"/>
          <w:numId w:val="6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бессимптомном течении клапанного стеноза аорты у новорожденных проводится постоянное на</w:t>
        <w:softHyphen/>
        <w:t>блюдение кардиолога и профилактика инфекцион</w:t>
        <w:softHyphen/>
        <w:t>ного эндокардита. Особенно в тщательном наблюде</w:t>
        <w:softHyphen/>
        <w:t>нии нуждаются новорожденные до шестимесячного возраста, поскольку высока вероятность быстрого прогрессирования стенозирования в эти сроки.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Стеноз аортального клапана у детей и подростков</w:t>
      </w:r>
    </w:p>
    <w:p>
      <w:pPr>
        <w:pStyle w:val="Style30"/>
        <w:numPr>
          <w:ilvl w:val="0"/>
          <w:numId w:val="6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За детьми и подростками проводится динамичный контроль. Показана профилактика инфекционного эндокардита. При возникновении аортальной недо</w:t>
        <w:softHyphen/>
        <w:t>статочности может потребоваться назначение сердеч</w:t>
        <w:softHyphen/>
        <w:t>ных гликозидов, пока не будет проведена операция. До проведения операции назначают средства, улуч</w:t>
        <w:softHyphen/>
        <w:t>шающие метаболические процессы в миокарде, с це</w:t>
        <w:softHyphen/>
        <w:t>лью профилактики фиброза миокарда и эндокарди</w:t>
        <w:softHyphen/>
        <w:t>ального фиброэластоза.</w:t>
      </w:r>
    </w:p>
    <w:p>
      <w:pPr>
        <w:pStyle w:val="Style30"/>
        <w:numPr>
          <w:ilvl w:val="0"/>
          <w:numId w:val="6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изолированном стенозе, если происходит сни</w:t>
        <w:softHyphen/>
        <w:t>жение систолической функции левого желудочка, сроки проведения операции должны быть ускорены.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Дифференциальная диагностика</w:t>
      </w:r>
    </w:p>
    <w:p>
      <w:pPr>
        <w:pStyle w:val="Style30"/>
        <w:numPr>
          <w:ilvl w:val="0"/>
          <w:numId w:val="6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Аортальный стеноз подклапанный.</w:t>
      </w:r>
    </w:p>
    <w:p>
      <w:pPr>
        <w:pStyle w:val="Style30"/>
        <w:numPr>
          <w:ilvl w:val="0"/>
          <w:numId w:val="6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Аортальный стеноз надклапанный.</w:t>
      </w:r>
    </w:p>
    <w:p>
      <w:pPr>
        <w:pStyle w:val="Style30"/>
        <w:numPr>
          <w:ilvl w:val="0"/>
          <w:numId w:val="63"/>
        </w:numPr>
        <w:tabs>
          <w:tab w:leader="none" w:pos="233" w:val="left"/>
        </w:tabs>
        <w:widowControl w:val="0"/>
        <w:keepNext w:val="0"/>
        <w:keepLines w:val="0"/>
        <w:shd w:val="clear" w:color="auto" w:fill="auto"/>
        <w:bidi w:val="0"/>
        <w:spacing w:before="0" w:after="0"/>
        <w:ind w:left="280" w:right="0" w:hanging="280"/>
      </w:pPr>
      <w:r>
        <w:pict>
          <v:shape id="_x0000_s1349" type="#_x0000_t75" style="position:absolute;margin-left:130.45pt;margin-top:736.8pt;width:209.75pt;height:14.9pt;z-index:-125829164;mso-wrap-distance-left:124.1pt;mso-wrap-distance-right:147.85pt;mso-wrap-distance-bottom:10.8pt;mso-position-horizontal-relative:margin;mso-position-vertical-relative:margin" wrapcoords="0 0 21600 0 21600 21600 0 21600 0 0">
            <v:imagedata r:id="rId532" r:href="rId533"/>
            <w10:wrap type="topAndBottom" anchorx="margin" anchory="margin"/>
          </v:shape>
        </w:pict>
      </w:r>
      <w:r>
        <w:rPr>
          <w:lang w:val="ru-RU" w:eastAsia="ru-RU" w:bidi="ru-RU"/>
          <w:w w:val="100"/>
          <w:spacing w:val="0"/>
          <w:color w:val="000000"/>
          <w:position w:val="0"/>
        </w:rPr>
        <w:t>Аортальный стеноз клапанный приобретенный.</w:t>
      </w:r>
      <w:r>
        <w:br w:type="page"/>
      </w:r>
    </w:p>
    <w:p>
      <w:pPr>
        <w:pStyle w:val="Style92"/>
        <w:widowControl w:val="0"/>
        <w:keepNext/>
        <w:keepLines/>
        <w:shd w:val="clear" w:color="auto" w:fill="auto"/>
        <w:bidi w:val="0"/>
        <w:spacing w:before="0" w:after="0"/>
        <w:ind w:left="500" w:right="0" w:hanging="220"/>
      </w:pPr>
      <w:bookmarkStart w:id="425" w:name="bookmark425"/>
      <w:r>
        <w:rPr>
          <w:lang w:val="ru-RU" w:eastAsia="ru-RU" w:bidi="ru-RU"/>
          <w:w w:val="100"/>
          <w:spacing w:val="0"/>
          <w:color w:val="000000"/>
          <w:position w:val="0"/>
        </w:rPr>
        <w:t>Хирургическая коррекция</w:t>
      </w:r>
      <w:bookmarkEnd w:id="425"/>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Хирургическая аортальная вальвулотомия:</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Ранее хирургическая аортальная вальвулотомия со</w:t>
        <w:softHyphen/>
        <w:t>провождалась высокой частотой инвалидизации и смертности, однако в настоящее время данные по</w:t>
        <w:softHyphen/>
        <w:t>казатели существенно ниже. С другой стороны, вмес</w:t>
        <w:softHyphen/>
        <w:t>то инвазивной хирургической вальвулотомии все ши</w:t>
        <w:softHyphen/>
        <w:t>ре стала применяться баллонная аортальная пласти</w:t>
        <w:softHyphen/>
        <w:t>ка, особенно у детей младшего возраста. Баллонная вальвулопластика проводится во время катетериза</w:t>
        <w:softHyphen/>
        <w:t>ции. Существует несколько модификаций данной процедуры, позволяющих проводить вальвулоплас- тику при суженном аортальном кольце. Данные мето - дики позволяют проводить коррекцию стеноза даже у недоношенных новорожденных.</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Аортальная вальвулотомия проводится в случаях со</w:t>
        <w:softHyphen/>
        <w:t>четания клапанного стеноза аорты с сужением анну- лярного кольца, надклапанным стенозом и другими внутрисердечными аномалиями.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Баллонная аортальная вальвулопластика:</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Баллонная аортальная вальвулопластика является эффективным методом коррекции клапанного стено - за аорты в любом возрасте. Однако результаты данно</w:t>
        <w:softHyphen/>
        <w:t>го метода менее эффективны, если выражена диспла</w:t>
        <w:softHyphen/>
        <w:t>зия клапана. Баллонная вальвулопластика особенно показана новорожденным и детям младшего возрас</w:t>
        <w:softHyphen/>
        <w:t>та. Она позволяет снизить пиковый градиент до 25-40 мм рт. ст. при использовании размера баллона, равного 80-100% диаметру аортального кольца. Бал</w:t>
        <w:softHyphen/>
        <w:t>лонная вальвулопластика проводится под общей ане</w:t>
        <w:softHyphen/>
        <w:t>стезией и интубацией у новорожденных, получающих инфузии простагландина.</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Перед проведением процедуры проводится катетери</w:t>
        <w:softHyphen/>
        <w:t>зация умбиликальной вены с целью предупреждения последующей окклюзии феморальной вены, через которую вводится баллонный катетер. В ряде случаев катетер проводится через внутреннюю сонную арте</w:t>
        <w:softHyphen/>
        <w:t>рию, данная методика позволяет непосредственно подвести баллон к клапану, не повреждая сосудистую стенку нисходящей аорты и дуги.</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Другим способом введения катетера может быть тран- септальный (через открытое овальное окно). Реже применяется трансвентрикулярная баллонная вальву- лотомия при введении катетера через верхушку сердца.</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Хорошие результаты оперативного лечения отмеча</w:t>
        <w:softHyphen/>
        <w:t>ются при комбинированной хирургической и кате</w:t>
        <w:softHyphen/>
        <w:t>терной вальвулопластике. В ряде случаев у новорож</w:t>
        <w:softHyphen/>
        <w:t xml:space="preserve">денных используют процедуру </w:t>
      </w:r>
      <w:r>
        <w:rPr>
          <w:lang w:val="en-US" w:eastAsia="en-US" w:bidi="en-US"/>
          <w:w w:val="100"/>
          <w:spacing w:val="0"/>
          <w:color w:val="000000"/>
          <w:position w:val="0"/>
        </w:rPr>
        <w:t xml:space="preserve">Ross, </w:t>
      </w:r>
      <w:r>
        <w:rPr>
          <w:lang w:val="ru-RU" w:eastAsia="ru-RU" w:bidi="ru-RU"/>
          <w:w w:val="100"/>
          <w:spacing w:val="0"/>
          <w:color w:val="000000"/>
          <w:position w:val="0"/>
        </w:rPr>
        <w:t>особенно при комплексном стенозе аорты, диспластичном аорталь</w:t>
        <w:softHyphen/>
        <w:t>ном клапане или других нетипичных аномалиях. Ау</w:t>
        <w:softHyphen/>
        <w:t>тотрансплантация легочного клапана в аортальную позицию не всегда успешна у детей младшего возрас</w:t>
        <w:softHyphen/>
        <w:t>та, поскольку при дальнейшем росте ребенка часто наблюдается рестенозирование.</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Хирургическая замена клапана:</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Показания к протезированию аортального клапана (ре</w:t>
        <w:softHyphen/>
        <w:t xml:space="preserve">комендации </w:t>
      </w:r>
      <w:r>
        <w:rPr>
          <w:lang w:val="en-US" w:eastAsia="en-US" w:bidi="en-US"/>
          <w:w w:val="100"/>
          <w:spacing w:val="0"/>
          <w:color w:val="000000"/>
          <w:position w:val="0"/>
        </w:rPr>
        <w:t>AHA):</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Пациенты с тяжелым аортальным стенозом, сопро</w:t>
        <w:softHyphen/>
        <w:t>вождающимся клиническими симптомами сердеч</w:t>
        <w:softHyphen/>
        <w:t>ной недостаточности.</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Пациенты с тяжелым аортальным стенозом, которым проводилось аортокоронарное шунтирование.</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Пациенты с тяжелым аортальным стенозом, которым ранее проводилась операция на аорте или клапанном аппарате.</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Пациенты с аортальным стенозом и выраженной ле</w:t>
        <w:softHyphen/>
        <w:t>вожелудочковой систолической дисфункцией.</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Пациенты с аортальным стенозом, у которых в ответ на физическую нагрузку возникает артериальная ги</w:t>
        <w:softHyphen/>
        <w:t>потензия.</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Пациенты с аортальным стенозом и желудочковой тахикардией.</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Пациенты с аортальным стенозом и выраженной ги</w:t>
        <w:softHyphen/>
        <w:t>пертрофией миокарда левого желудочка (толщина свободной стенки &gt;15 мм).</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Пациенты с аортальным стенозом, у которых пло</w:t>
        <w:softHyphen/>
        <w:t>щадь открытия клапана &lt;</w:t>
      </w:r>
      <w:r>
        <w:rPr>
          <w:rStyle w:val="CharStyle32"/>
        </w:rPr>
        <w:t>0,6</w:t>
      </w:r>
      <w:r>
        <w:rPr>
          <w:lang w:val="ru-RU" w:eastAsia="ru-RU" w:bidi="ru-RU"/>
          <w:w w:val="100"/>
          <w:spacing w:val="0"/>
          <w:color w:val="000000"/>
          <w:position w:val="0"/>
        </w:rPr>
        <w:t xml:space="preserve"> cм</w:t>
      </w:r>
      <w:r>
        <w:rPr>
          <w:lang w:val="ru-RU" w:eastAsia="ru-RU" w:bidi="ru-RU"/>
          <w:vertAlign w:val="superscript"/>
          <w:w w:val="100"/>
          <w:spacing w:val="0"/>
          <w:color w:val="000000"/>
          <w:position w:val="0"/>
        </w:rPr>
        <w:t>2</w:t>
      </w:r>
      <w:r>
        <w:rPr>
          <w:lang w:val="ru-RU" w:eastAsia="ru-RU" w:bidi="ru-RU"/>
          <w:w w:val="100"/>
          <w:spacing w:val="0"/>
          <w:color w:val="000000"/>
          <w:position w:val="0"/>
        </w:rPr>
        <w: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замена клапана показана больным с кли</w:t>
        <w:softHyphen/>
        <w:t>ническими проявлениями порока при градиенте обструк</w:t>
        <w:softHyphen/>
        <w:t>ции более 70 мм рт. ст. и у пациентов без клинических симп</w:t>
        <w:softHyphen/>
        <w:t>томов болезни при градиенте обструкции более 50 мм рт. ст. в сочетании с ишемическими изменениями на ЭКГ. Замена клапана показана пациентам, у которых после вальвулото- мии развилась аортальная недостаточность и недостаточ</w:t>
        <w:softHyphen/>
        <w:t>ность функции левого желудочка. Вариантами протезных клапанов являются:</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Механические протезы требуют постоянной антико</w:t>
        <w:softHyphen/>
        <w:t>агулянтной терапии для предупреждения тромбоэм</w:t>
        <w:softHyphen/>
        <w:t>болических осложнений. Антикоагулянты ограничи</w:t>
        <w:softHyphen/>
        <w:t>вают возможности ребенка в физической активности из-за опасности кровоизлияний и кровотечений. Применение варфарина может вызвать осложнения во время беременности. Протезирование клапана проводят как можно позже, до того периода, когда за</w:t>
        <w:softHyphen/>
        <w:t>канчивается рост кардиальных структур.</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Биопротезы из различных материалов служат не так долго, как механические протезы. Их применяют у пациентов, которым противопоказано подшивание механических протезов, например, у женщин, плани</w:t>
        <w:softHyphen/>
        <w:t>рующих беременность, у больных, имеющих проти</w:t>
        <w:softHyphen/>
        <w:t>вопоказания к назначению антикоагулянтов.</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Процедура </w:t>
      </w:r>
      <w:r>
        <w:rPr>
          <w:lang w:val="en-US" w:eastAsia="en-US" w:bidi="en-US"/>
          <w:w w:val="100"/>
          <w:spacing w:val="0"/>
          <w:color w:val="000000"/>
          <w:position w:val="0"/>
        </w:rPr>
        <w:t xml:space="preserve">Ross </w:t>
      </w:r>
      <w:r>
        <w:rPr>
          <w:lang w:val="ru-RU" w:eastAsia="ru-RU" w:bidi="ru-RU"/>
          <w:w w:val="100"/>
          <w:spacing w:val="0"/>
          <w:color w:val="000000"/>
          <w:position w:val="0"/>
        </w:rPr>
        <w:t>или аутотрансплантация легочного клапана в аортальную позицию. Такие виды опера</w:t>
        <w:softHyphen/>
        <w:t>ции проводятся у детей, поскольку аутограф с легоч</w:t>
        <w:softHyphen/>
        <w:t>ным клапаном продолжают расти. Однако срок служ</w:t>
        <w:softHyphen/>
        <w:t>бы клапана легочной артерии в аортальной позиции окончательно не определен. С другой стороны, легоч</w:t>
        <w:softHyphen/>
        <w:t>ный гомографт, помещенный в легочную позицию, может привести к стенозированию или недостаточ</w:t>
        <w:softHyphen/>
        <w:t>ности легочной артерии. В этой связи может потребо</w:t>
        <w:softHyphen/>
        <w:t>ваться повторная операция замены легочного гомо</w:t>
        <w:softHyphen/>
        <w:t xml:space="preserve">графта. При процедуре </w:t>
      </w:r>
      <w:r>
        <w:rPr>
          <w:lang w:val="en-US" w:eastAsia="en-US" w:bidi="en-US"/>
          <w:w w:val="100"/>
          <w:spacing w:val="0"/>
          <w:color w:val="000000"/>
          <w:position w:val="0"/>
        </w:rPr>
        <w:t xml:space="preserve">Ross </w:t>
      </w:r>
      <w:r>
        <w:rPr>
          <w:lang w:val="ru-RU" w:eastAsia="ru-RU" w:bidi="ru-RU"/>
          <w:w w:val="100"/>
          <w:spacing w:val="0"/>
          <w:color w:val="000000"/>
          <w:position w:val="0"/>
        </w:rPr>
        <w:t>может возникнуть дила</w:t>
        <w:softHyphen/>
        <w:t xml:space="preserve">тация корня аорты и аортальная недостаточность. Операция </w:t>
      </w:r>
      <w:r>
        <w:rPr>
          <w:lang w:val="en-US" w:eastAsia="en-US" w:bidi="en-US"/>
          <w:w w:val="100"/>
          <w:spacing w:val="0"/>
          <w:color w:val="000000"/>
          <w:position w:val="0"/>
        </w:rPr>
        <w:t xml:space="preserve">Ross </w:t>
      </w:r>
      <w:r>
        <w:rPr>
          <w:lang w:val="ru-RU" w:eastAsia="ru-RU" w:bidi="ru-RU"/>
          <w:w w:val="100"/>
          <w:spacing w:val="0"/>
          <w:color w:val="000000"/>
          <w:position w:val="0"/>
        </w:rPr>
        <w:t>не требует назначения антикоагулян</w:t>
        <w:softHyphen/>
        <w:t>тов, что особенно важно в детском возрасте с повы</w:t>
        <w:softHyphen/>
        <w:t>шенной физической активностью.</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Амбулаторное наблюдение</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Коррекция сердечной недостаточности.</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ЭКГ мониторирование для исключения аритмий, а при их обнаружении назначение противоаритмиче</w:t>
        <w:softHyphen/>
        <w:t>ской терапии.</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Наблюдение кардиолога за динамикой порока после хирургического лечения.</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pict>
          <v:shape id="_x0000_s1350" type="#_x0000_t75" style="position:absolute;margin-left:147.7pt;margin-top:736.8pt;width:209.75pt;height:14.9pt;z-index:-125829163;mso-wrap-distance-left:147.6pt;mso-wrap-distance-right:136.8pt;mso-wrap-distance-bottom:10.8pt;mso-position-horizontal-relative:margin;mso-position-vertical-relative:margin" wrapcoords="0 0 21600 0 21600 21600 0 21600 0 0">
            <v:imagedata r:id="rId534" r:href="rId535"/>
            <w10:wrap type="topAndBottom" anchorx="margin" anchory="margin"/>
          </v:shape>
        </w:pict>
      </w:r>
      <w:r>
        <w:rPr>
          <w:lang w:val="ru-RU" w:eastAsia="ru-RU" w:bidi="ru-RU"/>
          <w:w w:val="100"/>
          <w:spacing w:val="0"/>
          <w:color w:val="000000"/>
          <w:position w:val="0"/>
        </w:rPr>
        <w:t>Проведение реабилитационных мероприятий.</w:t>
      </w:r>
      <w:r>
        <w:br w:type="page"/>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Проведение теста с физической нагрузкой для опре</w:t>
        <w:softHyphen/>
        <w:t>деления объема физической активности.</w:t>
      </w:r>
    </w:p>
    <w:p>
      <w:pPr>
        <w:pStyle w:val="Style30"/>
        <w:numPr>
          <w:ilvl w:val="0"/>
          <w:numId w:val="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Профилактика инфекционного эндокардита.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Активность</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Активность пациента должна быть ограничена в за</w:t>
        <w:softHyphen/>
        <w:t>висимости от степени тяжести аортального стеноза. У пациентов с узким аортальным отверстием могут наблюдаться синкопальные эпизоды и ишемические приступы во время физической активности.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w:t>
      </w:r>
    </w:p>
    <w:p>
      <w:pPr>
        <w:pStyle w:val="Style30"/>
        <w:numPr>
          <w:ilvl w:val="0"/>
          <w:numId w:val="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Застойная сердечная недостаточность.</w:t>
      </w:r>
    </w:p>
    <w:p>
      <w:pPr>
        <w:pStyle w:val="Style30"/>
        <w:numPr>
          <w:ilvl w:val="0"/>
          <w:numId w:val="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Миокардиальная ишемия и фиброз.</w:t>
      </w:r>
    </w:p>
    <w:p>
      <w:pPr>
        <w:pStyle w:val="Style30"/>
        <w:numPr>
          <w:ilvl w:val="0"/>
          <w:numId w:val="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Обмороки.</w:t>
      </w:r>
    </w:p>
    <w:p>
      <w:pPr>
        <w:pStyle w:val="Style30"/>
        <w:numPr>
          <w:ilvl w:val="0"/>
          <w:numId w:val="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Эндокардит.</w:t>
      </w:r>
    </w:p>
    <w:p>
      <w:pPr>
        <w:pStyle w:val="Style30"/>
        <w:numPr>
          <w:ilvl w:val="0"/>
          <w:numId w:val="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Кальцифицирующий аортальный стеноз.</w:t>
      </w:r>
    </w:p>
    <w:p>
      <w:pPr>
        <w:pStyle w:val="Style30"/>
        <w:numPr>
          <w:ilvl w:val="0"/>
          <w:numId w:val="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Прогрессирующая аортальная недостаточность.</w:t>
      </w:r>
    </w:p>
    <w:p>
      <w:pPr>
        <w:pStyle w:val="Style30"/>
        <w:numPr>
          <w:ilvl w:val="0"/>
          <w:numId w:val="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Эмболия системная.</w:t>
      </w:r>
    </w:p>
    <w:p>
      <w:pPr>
        <w:pStyle w:val="Style30"/>
        <w:numPr>
          <w:ilvl w:val="0"/>
          <w:numId w:val="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Аритмии.</w:t>
      </w:r>
    </w:p>
    <w:p>
      <w:pPr>
        <w:pStyle w:val="Style30"/>
        <w:numPr>
          <w:ilvl w:val="0"/>
          <w:numId w:val="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Внезапная смерть.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клапанного аортального стеноза зависит от анатомии клапана и его функции. Прогноз значи</w:t>
        <w:softHyphen/>
        <w:t>тельно варьирует от благоприятного при бессимптом</w:t>
        <w:softHyphen/>
        <w:t>ном течении порока, например, при двустворчатом аортальном клапане, до неблагоприятного, который часто отмечается при критическом стенозе аорты у новорожденных или при повторной вальвулотомии и протезировании клапана.</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Смертность при критическом аортальном стенозе очень высокая на первом году жизни и достигает </w:t>
      </w:r>
      <w:r>
        <w:rPr>
          <w:rStyle w:val="CharStyle32"/>
        </w:rPr>
        <w:t>20</w:t>
      </w:r>
      <w:r>
        <w:rPr>
          <w:lang w:val="ru-RU" w:eastAsia="ru-RU" w:bidi="ru-RU"/>
          <w:w w:val="100"/>
          <w:spacing w:val="0"/>
          <w:color w:val="000000"/>
          <w:position w:val="0"/>
        </w:rPr>
        <w:t>%. Смертность увеличивается при сочетании стеноза аорты с открытым артериальным протоком, коаркта- цией аорты, дефектом межжелудочковой перегород</w:t>
        <w:softHyphen/>
        <w:t>ки, врожденной аномалией митрального клапана, ги</w:t>
        <w:softHyphen/>
        <w:t>поплазией левого желудочка.</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Наиболее высокий риск смерти у детей в возрасте до 30 дней или если масса тела ребенка менее 5 кг.</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Смертность при неоперированном клапанном стено - зе аорты у подростков с момента появления сердеч</w:t>
        <w:softHyphen/>
        <w:t>ной недостаточности составляет за 2-3 года 50-60%.</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Недиагностированный клапанный стеноз аорты яв</w:t>
        <w:softHyphen/>
        <w:t xml:space="preserve">ляется причиной внезапной смерти в </w:t>
      </w:r>
      <w:r>
        <w:rPr>
          <w:rStyle w:val="CharStyle32"/>
        </w:rPr>
        <w:t>1</w:t>
      </w:r>
      <w:r>
        <w:rPr>
          <w:lang w:val="ru-RU" w:eastAsia="ru-RU" w:bidi="ru-RU"/>
          <w:w w:val="100"/>
          <w:spacing w:val="0"/>
          <w:color w:val="000000"/>
          <w:position w:val="0"/>
        </w:rPr>
        <w:t>% случаев дет</w:t>
        <w:softHyphen/>
        <w:t>ской популяции.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Предупреждение порока</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Фетальная эхокардиография показана всем беремен</w:t>
        <w:softHyphen/>
        <w:t>ным женщинам, если предыдущий ребенок родился с клапанным стенозом аорты. Если порок диагности</w:t>
        <w:softHyphen/>
        <w:t>рован пренатально, планируются сроки родов и пере</w:t>
        <w:softHyphen/>
        <w:t>вод новорожденного в центр для определения тяжес</w:t>
        <w:softHyphen/>
        <w:t>ти аортального стеноза.</w:t>
      </w:r>
    </w:p>
    <w:p>
      <w:pPr>
        <w:pStyle w:val="Style30"/>
        <w:numPr>
          <w:ilvl w:val="0"/>
          <w:numId w:val="63"/>
        </w:numPr>
        <w:tabs>
          <w:tab w:leader="none" w:pos="518" w:val="left"/>
        </w:tabs>
        <w:widowControl w:val="0"/>
        <w:keepNext w:val="0"/>
        <w:keepLines w:val="0"/>
        <w:shd w:val="clear" w:color="auto" w:fill="auto"/>
        <w:bidi w:val="0"/>
        <w:spacing w:before="0" w:after="237"/>
        <w:ind w:left="520" w:right="0" w:hanging="240"/>
      </w:pPr>
      <w:r>
        <w:rPr>
          <w:lang w:val="ru-RU" w:eastAsia="ru-RU" w:bidi="ru-RU"/>
          <w:w w:val="100"/>
          <w:spacing w:val="0"/>
          <w:color w:val="000000"/>
          <w:position w:val="0"/>
        </w:rPr>
        <w:t>Идентификация генетической аномалии показана родителям пробанда для определения риска повтор - ного рождения ребенка с данным пороком.</w:t>
      </w:r>
    </w:p>
    <w:p>
      <w:pPr>
        <w:pStyle w:val="Style28"/>
        <w:widowControl w:val="0"/>
        <w:keepNext/>
        <w:keepLines/>
        <w:shd w:val="clear" w:color="auto" w:fill="auto"/>
        <w:bidi w:val="0"/>
        <w:jc w:val="left"/>
        <w:spacing w:before="0" w:after="153" w:line="220" w:lineRule="exact"/>
        <w:ind w:left="0" w:right="0" w:firstLine="0"/>
      </w:pPr>
      <w:bookmarkStart w:id="426" w:name="bookmark426"/>
      <w:r>
        <w:rPr>
          <w:lang w:val="ru-RU" w:eastAsia="ru-RU" w:bidi="ru-RU"/>
          <w:w w:val="100"/>
          <w:spacing w:val="0"/>
          <w:color w:val="000000"/>
          <w:position w:val="0"/>
        </w:rPr>
        <w:t>Недостаточность аортального клапана</w:t>
      </w:r>
      <w:bookmarkEnd w:id="42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Аортальная регургитация — диастолический поток кро</w:t>
        <w:softHyphen/>
        <w:t>ви из аорты в левый желудочек. Регургитация возникает из-за некомпетентности аортального клапана или любого нарушения створчатого аппарата (например, полулунных створок, корня аорты), обусловливая диастолический по</w:t>
        <w:softHyphen/>
        <w:t>ток крови в левую желудочковую камеру.</w:t>
      </w:r>
    </w:p>
    <w:p>
      <w:pPr>
        <w:pStyle w:val="Style92"/>
        <w:widowControl w:val="0"/>
        <w:keepNext/>
        <w:keepLines/>
        <w:shd w:val="clear" w:color="auto" w:fill="auto"/>
        <w:bidi w:val="0"/>
        <w:spacing w:before="0" w:after="0"/>
        <w:ind w:left="0" w:right="0" w:firstLine="280"/>
      </w:pPr>
      <w:r>
        <w:br w:type="column"/>
      </w:r>
      <w:bookmarkStart w:id="427" w:name="bookmark427"/>
      <w:r>
        <w:rPr>
          <w:lang w:val="ru-RU" w:eastAsia="ru-RU" w:bidi="ru-RU"/>
          <w:w w:val="100"/>
          <w:spacing w:val="0"/>
          <w:color w:val="000000"/>
          <w:position w:val="0"/>
        </w:rPr>
        <w:t>Патофизиология</w:t>
      </w:r>
      <w:bookmarkEnd w:id="427"/>
    </w:p>
    <w:p>
      <w:pPr>
        <w:pStyle w:val="Style30"/>
        <w:numPr>
          <w:ilvl w:val="0"/>
          <w:numId w:val="6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Хроническая аортальная регургитация приводит к объ</w:t>
        <w:softHyphen/>
        <w:t>емной перегрузке левого желудочка, что обусловливает компенсаторную дилатацию и эксцентрическую ги</w:t>
        <w:softHyphen/>
        <w:t>пертрофию желудочковой камеры. Увеличенный ле</w:t>
        <w:softHyphen/>
        <w:t>вый желудочек становится более растяжимым и обес</w:t>
        <w:softHyphen/>
        <w:t>печивает большой систолический выброс. Данный процесс сопровождается удлинением миокардиальных волокон за счет появления новых саркомеров. Дилати- рованный левый желудочек увеличивает объем изгна</w:t>
        <w:softHyphen/>
        <w:t>ния, тем самым компенсирует регургитантный поток. Компенсаторная гипертрофия миокарда увеличенного левого желудочка благоприятствует поддержанию ми</w:t>
        <w:softHyphen/>
        <w:t>нутного объема кровообращения. Данный тип гипер</w:t>
        <w:softHyphen/>
        <w:t>трофии является эксцентричным, саркомеры кардио</w:t>
        <w:softHyphen/>
        <w:t>миоцитов могут укорачиваться при сокращении на не</w:t>
        <w:softHyphen/>
        <w:t>обходимую величину. При концентричной гипертро</w:t>
        <w:softHyphen/>
        <w:t>фии, наблюдаемой при перегрузке сердца давлением и объемом (например, аортальный стеноз), саркомеры кардиомиоцитов не в состоянии укорачиваться в необ</w:t>
        <w:softHyphen/>
        <w:t>ходимой пропорции. До тех пор пока миокард имеет резерв контрактильности, фракция выброса остается в нормальных пределах. Данный период обозначают хронической компенсаторной стадией аортальной ре- гургитации. В течение этой стадии болезнь протекает без симптомов. В переходную стадию от компенсации до декомпенсации происходит прогрессивное увеличе</w:t>
        <w:softHyphen/>
        <w:t>ние левого желудочка, эллипсовидная форма желудоч</w:t>
        <w:softHyphen/>
        <w:t>ка становится сферической. Такая патологическая ди</w:t>
        <w:softHyphen/>
        <w:t>латация сопровождается уменьшением коллагенновой поддерживающей основы. Наряду с этим происходит уменьшение коронарного резерва в гипертрофирован</w:t>
        <w:softHyphen/>
        <w:t>ном желудочке, что приводит к хронической субэндо</w:t>
        <w:softHyphen/>
        <w:t>кардиальной ишемии. В конечном счете субэндокар</w:t>
        <w:softHyphen/>
        <w:t>диальный фиброз и потеря коллагеновой поддержки обусловливают падение систолической функции лево</w:t>
        <w:softHyphen/>
        <w:t>го желудочка, снижается контрактильность, падает ди</w:t>
        <w:softHyphen/>
        <w:t>астолический комплайнс, увеличивается постнагрузка и конечно-диастолическое давление, возникают симп</w:t>
        <w:softHyphen/>
        <w:t>томы застойной сердечной недостаточности.</w:t>
      </w:r>
    </w:p>
    <w:p>
      <w:pPr>
        <w:pStyle w:val="Style30"/>
        <w:numPr>
          <w:ilvl w:val="0"/>
          <w:numId w:val="6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острой аортальной регургитации левый желудо</w:t>
        <w:softHyphen/>
        <w:t>чек, имевший до этого нормальные размеры, не в со</w:t>
        <w:softHyphen/>
        <w:t>стоянии внезапно адаптироваться к большому объему крови, происходит быстрый рост диастолического давления в камере. Только тахикардия небольшой пе</w:t>
        <w:softHyphen/>
        <w:t>риод времени может поддерживать должный минут</w:t>
        <w:softHyphen/>
        <w:t>ный объем. Продолжающееся повышение давления наполнения левого желудочка передается на левое предсердие, легочные вены и приводит к отеку легко</w:t>
        <w:softHyphen/>
        <w:t>го. Развивающаяся декомпенсация левого желудочка ведет к кардиогенному шоку.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Популяционная частота не установлена. Аортальная не</w:t>
        <w:softHyphen/>
        <w:t xml:space="preserve">достаточность выявляется в любом возрасте. По данным допплерографии, у пациентов с бессимптомным течением заболевания аортальная (легкая до умеренной) регургита- ция выявляется в 10%. Среди всех оперированных больных на аортальном клапане </w:t>
      </w:r>
      <w:r>
        <w:rPr>
          <w:rStyle w:val="CharStyle32"/>
        </w:rPr>
        <w:t>20</w:t>
      </w:r>
      <w:r>
        <w:rPr>
          <w:lang w:val="ru-RU" w:eastAsia="ru-RU" w:bidi="ru-RU"/>
          <w:w w:val="100"/>
          <w:spacing w:val="0"/>
          <w:color w:val="000000"/>
          <w:position w:val="0"/>
        </w:rPr>
        <w:t>% составляют пациенты с изоли</w:t>
        <w:softHyphen/>
        <w:t>рованной аортальной недостаточностью.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pict>
          <v:shape id="_x0000_s1351" type="#_x0000_t75" style="position:absolute;margin-left:136.55pt;margin-top:736.8pt;width:209.75pt;height:14.9pt;z-index:-125829162;mso-wrap-distance-left:136.55pt;mso-wrap-distance-right:148.1pt;mso-wrap-distance-bottom:10.8pt;mso-position-horizontal-relative:margin;mso-position-vertical-relative:margin" wrapcoords="0 0 21600 0 21600 21600 0 21600 0 0">
            <v:imagedata r:id="rId536" r:href="rId537"/>
            <w10:wrap type="topAndBottom" anchorx="margin" anchory="margin"/>
          </v:shape>
        </w:pict>
      </w:r>
      <w:r>
        <w:rPr>
          <w:lang w:val="ru-RU" w:eastAsia="ru-RU" w:bidi="ru-RU"/>
          <w:w w:val="100"/>
          <w:spacing w:val="0"/>
          <w:color w:val="000000"/>
          <w:position w:val="0"/>
        </w:rPr>
        <w:t>Аортальная недостаточность встречается с одинаковой частотой у мальчиков и девочек.</w:t>
      </w:r>
      <w:r>
        <w:br w:type="page"/>
      </w:r>
    </w:p>
    <w:p>
      <w:pPr>
        <w:pStyle w:val="Style92"/>
        <w:widowControl w:val="0"/>
        <w:keepNext/>
        <w:keepLines/>
        <w:shd w:val="clear" w:color="auto" w:fill="auto"/>
        <w:bidi w:val="0"/>
        <w:spacing w:before="0" w:after="0"/>
        <w:ind w:left="260" w:right="0" w:hanging="260"/>
      </w:pPr>
      <w:bookmarkStart w:id="428" w:name="bookmark428"/>
      <w:r>
        <w:rPr>
          <w:lang w:val="ru-RU" w:eastAsia="ru-RU" w:bidi="ru-RU"/>
          <w:w w:val="100"/>
          <w:spacing w:val="0"/>
          <w:color w:val="000000"/>
          <w:position w:val="0"/>
        </w:rPr>
        <w:t>Возраст</w:t>
      </w:r>
      <w:bookmarkEnd w:id="428"/>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Острая аортальная недостаточность может возникать в любом возрасте. Хроническая аортальная регурги- тация чаще проявляется в подростковом возрасте. Манифестация заболевания зависит от степени лево</w:t>
        <w:softHyphen/>
        <w:t>желудочковой дисфункции.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Причины острой аортальной регургитации</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Инфекционный эндокардит может вести к разруше</w:t>
        <w:softHyphen/>
        <w:t>нию или перфорации створки аортального клапана. Бактериальные вегетации препятствуют смыканию листков клапана и обусловливают их провисание в полость левого желудочка.</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остром расслоении восходящей аорты (тип А) в проксимальном отделе происходит расхождение ко - миссур и изменение уровней кооптации створок, что нарушает их смыкание, створки пролабируют.</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Нарушение функции протезного клапана.</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Травма грудной клетки, приводящая к повреждению восходящей аорты, клапанного аппарата, разрыву створок клапана.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Причины хронической аортальной регургитации</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Врожденный двустворчатый аортальный клапан. Хо</w:t>
        <w:softHyphen/>
        <w:t>тя двустворчатый клапан аорты чаще приводит к про</w:t>
        <w:softHyphen/>
        <w:t>грессирующему аортальному стенозу, неполное за</w:t>
        <w:softHyphen/>
        <w:t>крытие клапана или пролапс створок могут обусло</w:t>
        <w:softHyphen/>
        <w:t>вить аортальную регургитацию. Двустворчатый кла</w:t>
        <w:softHyphen/>
        <w:t>пан аорты считается наиболее частой причиной изо</w:t>
        <w:softHyphen/>
        <w:t>лированной аортальной регургитации. Гистологичес</w:t>
        <w:softHyphen/>
        <w:t>кие аномалии бикуспидального корня приводят к проксимальной дилатации аорты и прогрессирова</w:t>
        <w:softHyphen/>
        <w:t>нию аортальной регургитации.</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Синдромы слабости соединительной ткани, включая синдром Марфана, Элерса-Данлоса, болтающийся аортальный клапан, пролапс аортального клапана, аневризму синуса Вальсальвы, аннулярную фистулу аорты, могут обуоловить тяжелое течение аортальной регургитации. Использование диетических препара</w:t>
        <w:softHyphen/>
        <w:t xml:space="preserve">тов, таких как фенфлюрамин и дексфенфлюрамин (имеющие общее название </w:t>
      </w:r>
      <w:r>
        <w:rPr>
          <w:lang w:val="en-US" w:eastAsia="en-US" w:bidi="en-US"/>
          <w:w w:val="100"/>
          <w:spacing w:val="0"/>
          <w:color w:val="000000"/>
          <w:position w:val="0"/>
        </w:rPr>
        <w:t xml:space="preserve">Phen-Fen), </w:t>
      </w:r>
      <w:r>
        <w:rPr>
          <w:lang w:val="ru-RU" w:eastAsia="ru-RU" w:bidi="ru-RU"/>
          <w:w w:val="100"/>
          <w:spacing w:val="0"/>
          <w:color w:val="000000"/>
          <w:position w:val="0"/>
        </w:rPr>
        <w:t>может приво</w:t>
        <w:softHyphen/>
        <w:t>дить к хронической аортальной регургитации.</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Болезнь Марфана является главным представителем болезней соединительной ткани. Это заболевание со</w:t>
        <w:softHyphen/>
        <w:t>четается с дилатацией синусов Вальсальвы, прогрес</w:t>
        <w:softHyphen/>
        <w:t>сирующей дилатацией аорты и аортальной регургита- цией. Эти больные также имеют высокий риск разры</w:t>
        <w:softHyphen/>
        <w:t>ва аорты в зависимости от размера восходящей аорты.</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Ревматизм являлся ведущей причиной аортальной регургитации в первой половине XX столетия. Створ</w:t>
        <w:softHyphen/>
        <w:t>ки при этом заболевании становятся утолщенными с большим содержанием фиброзной ткани, возника</w:t>
        <w:softHyphen/>
        <w:t>ет центральная аортальная регургитация. При ревма</w:t>
        <w:softHyphen/>
        <w:t>тизме наблюдается некоторое сращение створок, по</w:t>
        <w:softHyphen/>
        <w:t>этому аортальная регургитация сочетается с аорталь</w:t>
        <w:softHyphen/>
        <w:t>ным стенозом. Ревматическая аортальная недоста</w:t>
        <w:softHyphen/>
        <w:t>точность также часто сочетается с поражением мит</w:t>
        <w:softHyphen/>
        <w:t>рального клапана.</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Сифилитический аортит приводит к дилатации вос</w:t>
        <w:softHyphen/>
        <w:t>ходящей аорты. Клапанное кольцо расширяется, и створки становятся некомпетентными.</w:t>
      </w:r>
    </w:p>
    <w:p>
      <w:pPr>
        <w:pStyle w:val="Style30"/>
        <w:numPr>
          <w:ilvl w:val="0"/>
          <w:numId w:val="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Артериит Такаясу — аортальная регургитация возни</w:t>
        <w:softHyphen/>
        <w:t>кает при I и III типах болезни, при которых поража</w:t>
        <w:softHyphen/>
        <w:t>ются аорта и ее магистральные ветви.</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Анкилозирующий спондилит обусловливает укоро</w:t>
        <w:softHyphen/>
        <w:t>чение и утолщение створок аортального клапана, а также дилатацию корня аорты.</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Синдром Рейтера — причины аортальной недоста</w:t>
        <w:softHyphen/>
        <w:t>точности такие же, как при анкилозирующем спон</w:t>
        <w:softHyphen/>
        <w:t>дилите, часто поражаются коронарные сосуды.</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Ревматоидный артрит приводит к гранулематозным образованиям на аортальных створках и в области кольца. Обычно поражается центральная часть ство</w:t>
        <w:softHyphen/>
        <w:t>рок, не затрагивая периферическую область.</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Системная красная волчанка сочетается с эндокарди - том Либмана-Сакса, при котором вегетации на створках приводят к митральной и аортальной регур</w:t>
        <w:softHyphen/>
        <w:t>гитации. Вальвулит при системной красной волчанке обусловливает утолщение, кальцификацию клапана и клапанную дисфункцию.</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Болезнь Бетчета проявляется диффузным аортитом, часто приводящим к дилатации проксимальной аор</w:t>
        <w:softHyphen/>
        <w:t>ты и тяжелой аортальной регургитации.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Длительное время аортальная недостаточность про</w:t>
        <w:softHyphen/>
        <w:t>текает латентно и выявляется случайно при обнару</w:t>
        <w:softHyphen/>
        <w:t>жении шума в сердце. С момента появления симпто</w:t>
        <w:softHyphen/>
        <w:t>мов порок быстро прогрессирует.</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Основными симптомами, связанными с тяжелой аортальной недостаточностью, являются: одышка при физической нагрузке, ортопноэ, пароксизмаль</w:t>
        <w:softHyphen/>
        <w:t>ная ночная одышка. Эти симптомы появляются, ког</w:t>
        <w:softHyphen/>
        <w:t>да происходит повышение легочного венозного дав</w:t>
        <w:softHyphen/>
        <w:t>ления и сочетается с выраженной кардиомегалией и миокардиальной дисфункцией.</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Боли в грудной клетке без поражения коронарных ар - терий обусловлены неадекватной перфузией коро</w:t>
        <w:softHyphen/>
        <w:t>нарных артерий дилатированного и гипертрофиро</w:t>
        <w:softHyphen/>
        <w:t>ванного левого желудочка. Боли в сердце из-за стено</w:t>
        <w:softHyphen/>
        <w:t>кардии могут наблюдаться в редких случаях аортита, при котором в воспалительный процесс вовлекаются устья коронарных артерий.</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Сердцебиения связаны с гипердинамичным левым желудочком и тахикардией, могут быть жалобы на не - регулярность сердцебиения, связанную с преждевре</w:t>
        <w:softHyphen/>
        <w:t>менными желудочковыми сокращениями.</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Редко в анамнезе могут наблюдаться синкопальные состояния, связанные с тяжелой аортальной недоста</w:t>
        <w:softHyphen/>
        <w:t>точностью.</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противоположность хронической аортальной недо - статочности, острая регургитация (обычно при ин</w:t>
        <w:softHyphen/>
        <w:t>фекционном эндокардите, расслаивающей аневриз</w:t>
        <w:softHyphen/>
        <w:t>ме аорты, травме) возникает внезапно и проявляется кардиогенным шоком.</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Недиагностированная аортальная регургитация мо</w:t>
        <w:softHyphen/>
        <w:t>жет манифестировать внезапной сердечной смертью (</w:t>
      </w:r>
      <w:r>
        <w:rPr>
          <w:rStyle w:val="CharStyle32"/>
        </w:rPr>
        <w:t>0</w:t>
      </w:r>
      <w:r>
        <w:rPr>
          <w:lang w:val="ru-RU" w:eastAsia="ru-RU" w:bidi="ru-RU"/>
          <w:w w:val="100"/>
          <w:spacing w:val="0"/>
          <w:color w:val="000000"/>
          <w:position w:val="0"/>
        </w:rPr>
        <w:t>,</w:t>
      </w:r>
      <w:r>
        <w:rPr>
          <w:rStyle w:val="CharStyle32"/>
        </w:rPr>
        <w:t>2</w:t>
      </w:r>
      <w:r>
        <w:rPr>
          <w:lang w:val="ru-RU" w:eastAsia="ru-RU" w:bidi="ru-RU"/>
          <w:w w:val="100"/>
          <w:spacing w:val="0"/>
          <w:color w:val="000000"/>
          <w:position w:val="0"/>
        </w:rPr>
        <w:t>% в год).</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Физикальные данные</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Клинические симптомы аортальной регургитации вызваны разнонаправленными потоками крови через аортальный клапан, приводящими к повышению ударного объема.</w:t>
      </w:r>
    </w:p>
    <w:p>
      <w:pPr>
        <w:pStyle w:val="Style30"/>
        <w:numPr>
          <w:ilvl w:val="0"/>
          <w:numId w:val="63"/>
        </w:numPr>
        <w:tabs>
          <w:tab w:leader="none" w:pos="238" w:val="left"/>
        </w:tabs>
        <w:widowControl w:val="0"/>
        <w:keepNext w:val="0"/>
        <w:keepLines w:val="0"/>
        <w:shd w:val="clear" w:color="auto" w:fill="auto"/>
        <w:bidi w:val="0"/>
        <w:spacing w:before="0" w:after="0"/>
        <w:ind w:left="280" w:right="0" w:hanging="280"/>
      </w:pPr>
      <w:r>
        <w:pict>
          <v:shape id="_x0000_s1352" type="#_x0000_t75" style="position:absolute;margin-left:141.7pt;margin-top:736.8pt;width:209.75pt;height:14.9pt;z-index:-125829161;mso-wrap-distance-left:135.35pt;mso-wrap-distance-right:136.55pt;mso-wrap-distance-bottom:10.8pt;mso-position-horizontal-relative:margin;mso-position-vertical-relative:margin" wrapcoords="0 0 21600 0 21600 21600 0 21600 0 0">
            <v:imagedata r:id="rId538" r:href="rId539"/>
            <w10:wrap type="topAndBottom" anchorx="margin" anchory="margin"/>
          </v:shape>
        </w:pict>
      </w:r>
      <w:r>
        <w:rPr>
          <w:lang w:val="ru-RU" w:eastAsia="ru-RU" w:bidi="ru-RU"/>
          <w:w w:val="100"/>
          <w:spacing w:val="0"/>
          <w:color w:val="000000"/>
          <w:position w:val="0"/>
        </w:rPr>
        <w:t>Степень регургитации определена степенью клапан</w:t>
        <w:softHyphen/>
        <w:t>ной недостаточности, податливостью левого желу</w:t>
        <w:softHyphen/>
        <w:t>дочка и величинами конечно-диастолического и ко</w:t>
        <w:softHyphen/>
        <w:t>нечно-систолического объемов.</w:t>
      </w:r>
      <w:r>
        <w:br w:type="page"/>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Острая аортальная регургитация:</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Присутствуют симптомы манифестации сердечно-сосу</w:t>
        <w:softHyphen/>
        <w:t>дистого коллапса:</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Слабость.</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Выраженная одышка.</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Артериальная гипотензия.</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Загрудинные боли.</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Тахикардия.</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Цианоз.</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Периферическая вазоконстрикция.</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Отек легких.</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Альтернирующий пульс.</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Ранний систолический шум (низкочастотный, ко</w:t>
        <w:softHyphen/>
        <w:t>роче, чем при хронической аортальной регургита- ции). Остина-Флинта шум, вызванный регургитант- ным потоком, приводящим к вибрации структур ми</w:t>
        <w:softHyphen/>
        <w:t>трального клапана, как правило, низкочастотный и короткий.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Хроническая аортальная регургитация:</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Одышка при выполнении физической работы.</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Диспноэ в ночное время суток.</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Ортопноэ.</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Повышенное потоотделение.</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Абдоминальный дискомфорт.</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Ощущения сердцебиений.</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Высокочастотный диастолический шум декрещендо по левому краю грудины после второго тона сердца, выслушивается лучше при наклоне пациента вперед и в фазу глубокого вдоха.</w:t>
      </w:r>
    </w:p>
    <w:p>
      <w:pPr>
        <w:pStyle w:val="Style30"/>
        <w:numPr>
          <w:ilvl w:val="0"/>
          <w:numId w:val="63"/>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Верхушечный толчок смещен латерально и вниз, ас</w:t>
        <w:softHyphen/>
        <w:t>социирован с щелчком изгнания.</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Среднедиастолическое дрожание у верхушки.</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Остина-Флинта шум.</w:t>
      </w:r>
    </w:p>
    <w:p>
      <w:pPr>
        <w:pStyle w:val="Style30"/>
        <w:numPr>
          <w:ilvl w:val="0"/>
          <w:numId w:val="63"/>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Корригана пульс — скорый (скачущий) пульс; быст</w:t>
        <w:softHyphen/>
        <w:t>рый подъем и быстрое спадение пульсовой волны.</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Мюссе симптом — в вертикальном положении пока</w:t>
        <w:softHyphen/>
        <w:t>чивание головы в ритме сердечных сокращений. Этот симптом получил название признака Альфреда Мюс</w:t>
        <w:softHyphen/>
        <w:t>се, по имени известного французского поэта, стра</w:t>
        <w:softHyphen/>
        <w:t>давшего аортальным пороком сердца с выраженным симптомом кивания головы. Постоянное легкое по</w:t>
        <w:softHyphen/>
        <w:t>качивание головой является типичным для болезни Паркинсона.</w:t>
      </w:r>
    </w:p>
    <w:p>
      <w:pPr>
        <w:pStyle w:val="Style30"/>
        <w:numPr>
          <w:ilvl w:val="0"/>
          <w:numId w:val="63"/>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Квинке симптом — видимый капиллярный пульс ногтевого ложа.</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Мюллера симптом — пульсация мягкого неба, языч</w:t>
        <w:softHyphen/>
        <w:t>ка и перемежающееся покраснение миндалин син</w:t>
        <w:softHyphen/>
        <w:t>хронно сердечному ритму.</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Хилла симптом — систолическое давление на ниж</w:t>
        <w:softHyphen/>
        <w:t xml:space="preserve">них конечностях значительно выше, чем на верхних, как минимум на </w:t>
      </w:r>
      <w:r>
        <w:rPr>
          <w:rStyle w:val="CharStyle32"/>
        </w:rPr>
        <w:t>100</w:t>
      </w:r>
      <w:r>
        <w:rPr>
          <w:lang w:val="ru-RU" w:eastAsia="ru-RU" w:bidi="ru-RU"/>
          <w:w w:val="100"/>
          <w:spacing w:val="0"/>
          <w:color w:val="000000"/>
          <w:position w:val="0"/>
        </w:rPr>
        <w:t xml:space="preserve"> мм рт. ст.</w:t>
      </w:r>
    </w:p>
    <w:p>
      <w:pPr>
        <w:pStyle w:val="Style30"/>
        <w:numPr>
          <w:ilvl w:val="0"/>
          <w:numId w:val="63"/>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Траубе симптом — низкий систолический шум над бедренными артериями.</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Дюрозье симптом — двойной (систоло-диастоличес</w:t>
        <w:softHyphen/>
        <w:t>кий) шум, выслушиваемый стетоскопом при ком</w:t>
        <w:softHyphen/>
        <w:t>прессии бедренной артерии.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Лабораторные тесты</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Нет специфических лабораторных тестов для диагности</w:t>
        <w:softHyphen/>
        <w:t>ки аортальной регургитации.</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Серологические тесты для определения этиологическо</w:t>
        <w:softHyphen/>
        <w:t>го фактора аортальной недостаточности.</w:t>
      </w:r>
    </w:p>
    <w:p>
      <w:pPr>
        <w:pStyle w:val="Style92"/>
        <w:widowControl w:val="0"/>
        <w:keepNext/>
        <w:keepLines/>
        <w:shd w:val="clear" w:color="auto" w:fill="auto"/>
        <w:bidi w:val="0"/>
        <w:spacing w:before="0" w:after="0"/>
        <w:ind w:left="280" w:right="0"/>
      </w:pPr>
      <w:r>
        <w:br w:type="column"/>
      </w:r>
      <w:bookmarkStart w:id="429" w:name="bookmark429"/>
      <w:r>
        <w:rPr>
          <w:lang w:val="ru-RU" w:eastAsia="ru-RU" w:bidi="ru-RU"/>
          <w:w w:val="100"/>
          <w:spacing w:val="0"/>
          <w:color w:val="000000"/>
          <w:position w:val="0"/>
        </w:rPr>
        <w:t>Инструментальная диагностика</w:t>
      </w:r>
      <w:bookmarkEnd w:id="429"/>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Отклонение оси влево (хроническая аортальная ре- гургитация).</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ЭКГ паттерн объемной перегрузки левого желудочка: глубокий зубец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отведениях </w:t>
      </w:r>
      <w:r>
        <w:rPr>
          <w:lang w:val="en-US" w:eastAsia="en-US" w:bidi="en-US"/>
          <w:w w:val="100"/>
          <w:spacing w:val="0"/>
          <w:color w:val="000000"/>
          <w:position w:val="0"/>
        </w:rPr>
        <w:t>I, aVL, V</w:t>
      </w:r>
      <w:r>
        <w:rPr>
          <w:rStyle w:val="CharStyle32"/>
          <w:lang w:val="en-US" w:eastAsia="en-US" w:bidi="en-US"/>
        </w:rPr>
        <w:t>3</w:t>
      </w:r>
      <w:r>
        <w:rPr>
          <w:lang w:val="en-US" w:eastAsia="en-US" w:bidi="en-US"/>
          <w:w w:val="100"/>
          <w:spacing w:val="0"/>
          <w:color w:val="000000"/>
          <w:position w:val="0"/>
        </w:rPr>
        <w:t>-V</w:t>
      </w:r>
      <w:r>
        <w:rPr>
          <w:rStyle w:val="CharStyle32"/>
          <w:lang w:val="en-US" w:eastAsia="en-US" w:bidi="en-US"/>
        </w:rPr>
        <w:t>6</w:t>
      </w:r>
      <w:r>
        <w:rPr>
          <w:lang w:val="en-US" w:eastAsia="en-US" w:bidi="en-US"/>
          <w:w w:val="100"/>
          <w:spacing w:val="0"/>
          <w:color w:val="000000"/>
          <w:position w:val="0"/>
        </w:rPr>
        <w:t xml:space="preserve">, </w:t>
      </w:r>
      <w:r>
        <w:rPr>
          <w:lang w:val="ru-RU" w:eastAsia="ru-RU" w:bidi="ru-RU"/>
          <w:w w:val="100"/>
          <w:spacing w:val="0"/>
          <w:color w:val="000000"/>
          <w:position w:val="0"/>
        </w:rPr>
        <w:t>низко</w:t>
        <w:softHyphen/>
        <w:t xml:space="preserve">амплитудный г зубец в отведении </w:t>
      </w:r>
      <w:r>
        <w:rPr>
          <w:lang w:val="en-US" w:eastAsia="en-US" w:bidi="en-US"/>
          <w:w w:val="100"/>
          <w:spacing w:val="0"/>
          <w:color w:val="000000"/>
          <w:position w:val="0"/>
        </w:rPr>
        <w:t>Vi.</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Инверсия зубца Т с депрессией сегмента </w:t>
      </w:r>
      <w:r>
        <w:rPr>
          <w:lang w:val="en-US" w:eastAsia="en-US" w:bidi="en-US"/>
          <w:w w:val="100"/>
          <w:spacing w:val="0"/>
          <w:color w:val="000000"/>
          <w:position w:val="0"/>
        </w:rPr>
        <w:t>ST</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Удлинение интервала </w:t>
      </w:r>
      <w:r>
        <w:rPr>
          <w:lang w:val="en-US" w:eastAsia="en-US" w:bidi="en-US"/>
          <w:w w:val="100"/>
          <w:spacing w:val="0"/>
          <w:color w:val="000000"/>
          <w:position w:val="0"/>
        </w:rPr>
        <w:t>P-R.</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Признаки дилатации левого предсердия.</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Трепетание предсердий (22% больных </w:t>
      </w:r>
      <w:r>
        <w:rPr>
          <w:lang w:val="en-US" w:eastAsia="en-US" w:bidi="en-US"/>
          <w:w w:val="100"/>
          <w:spacing w:val="0"/>
          <w:color w:val="000000"/>
          <w:position w:val="0"/>
        </w:rPr>
        <w:t xml:space="preserve">Mayo Clinic) </w:t>
      </w:r>
      <w:r>
        <w:rPr>
          <w:lang w:val="ru-RU" w:eastAsia="ru-RU" w:bidi="ru-RU"/>
          <w:w w:val="100"/>
          <w:spacing w:val="0"/>
          <w:color w:val="000000"/>
          <w:position w:val="0"/>
        </w:rPr>
        <w:t>— неблагоприятный признак.</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Острая аортальная регургитация:</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Незначительное увеличение сердца в размерах.</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Нормальный аортальный тракт/дуга.</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Усиление венозного рисунка.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Хроническая аортальная регургитация:</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Выраженное увеличение сердца в размерах.</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Выступающая дуга аорты.</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Неизмененный венозный рисунок.</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 (рисунок АН):</w:t>
      </w:r>
    </w:p>
    <w:p>
      <w:pPr>
        <w:pStyle w:val="Style30"/>
        <w:widowControl w:val="0"/>
        <w:keepNext w:val="0"/>
        <w:keepLines w:val="0"/>
        <w:shd w:val="clear" w:color="auto" w:fill="auto"/>
        <w:bidi w:val="0"/>
        <w:spacing w:before="0" w:after="0"/>
        <w:ind w:left="280" w:right="0" w:hanging="280"/>
      </w:pPr>
      <w:r>
        <w:rPr>
          <w:lang w:val="en-US" w:eastAsia="en-US" w:bidi="en-US"/>
          <w:w w:val="100"/>
          <w:spacing w:val="0"/>
          <w:color w:val="000000"/>
          <w:position w:val="0"/>
        </w:rPr>
        <w:t>M</w:t>
      </w:r>
      <w:r>
        <w:rPr>
          <w:lang w:val="ru-RU" w:eastAsia="ru-RU" w:bidi="ru-RU"/>
          <w:w w:val="100"/>
          <w:spacing w:val="0"/>
          <w:color w:val="000000"/>
          <w:position w:val="0"/>
        </w:rPr>
        <w:t>-Эхокардиография:</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Диастолическое трепетание передней митральной створки.</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Диастолическое трепетание аортального клапана.</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Преждевременное закрытие митрального клапана (при тяжелой аортальной регургитации).</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Преждевременное открытие аортального клапана (признак значительного повышения конечно-диас</w:t>
        <w:softHyphen/>
        <w:t>толического давления в левом желудочке).</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Диастолическое трепетание межжелудочковой пере</w:t>
        <w:softHyphen/>
        <w:t>городки.</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Объемная перегрузка левого желудочка (гиперкине- зия стенок и дилатация полости).</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Конечно-систолический диаметр левого желудочка более 55 мм (указывает на плохой прогноз).</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Двухмерная эхокардиография:</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Болтающийся аортальный клапан.</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Дилатация синусов Вальсальвы (наблюдается у боль</w:t>
        <w:softHyphen/>
        <w:t>ных с болезнью Марфана и двустворчатым аорталь</w:t>
        <w:softHyphen/>
        <w:t>ным клапаном).</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Дилатация восходящей аорты.</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Неполное закрытие створок аортального клапана в парастернальной проекции короткой оси на уровне клапана.</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Высокочастотное диастолическое трепетание пере</w:t>
        <w:softHyphen/>
        <w:t>дней митральной створки во время диастолы.</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Обратный </w:t>
      </w:r>
      <w:r>
        <w:rPr>
          <w:lang w:val="en-US" w:eastAsia="en-US" w:bidi="en-US"/>
          <w:w w:val="100"/>
          <w:spacing w:val="0"/>
          <w:color w:val="000000"/>
          <w:position w:val="0"/>
        </w:rPr>
        <w:t xml:space="preserve">«doming» </w:t>
      </w:r>
      <w:r>
        <w:rPr>
          <w:lang w:val="ru-RU" w:eastAsia="ru-RU" w:bidi="ru-RU"/>
          <w:w w:val="100"/>
          <w:spacing w:val="0"/>
          <w:color w:val="000000"/>
          <w:position w:val="0"/>
        </w:rPr>
        <w:t>передней митральной створки.</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Объемная перегрузка левого желудочка.</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Измерение конечно -диастолического и конечно - сис - толического размеров и объема левого желудочка, фракции укорочения, фракции выброса. Данные по</w:t>
        <w:softHyphen/>
        <w:t>казатели позволяют определить оптимальные сроки замены аортального клапана.</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Косвенное измерение фракции аортальной регурги- тации, диаметра аортального отверстия и регурги- тантного объема (в настоящее время используется допплерография).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Допплерография (рис. 47):</w:t>
      </w:r>
    </w:p>
    <w:p>
      <w:pPr>
        <w:pStyle w:val="Style30"/>
        <w:numPr>
          <w:ilvl w:val="0"/>
          <w:numId w:val="63"/>
        </w:numPr>
        <w:tabs>
          <w:tab w:leader="none" w:pos="237" w:val="left"/>
        </w:tabs>
        <w:widowControl w:val="0"/>
        <w:keepNext w:val="0"/>
        <w:keepLines w:val="0"/>
        <w:shd w:val="clear" w:color="auto" w:fill="auto"/>
        <w:bidi w:val="0"/>
        <w:spacing w:before="0" w:after="0"/>
        <w:ind w:left="280" w:right="0" w:hanging="280"/>
        <w:sectPr>
          <w:type w:val="continuous"/>
          <w:pgSz w:w="11900" w:h="16840"/>
          <w:pgMar w:top="1569" w:left="1061" w:right="956" w:bottom="1761" w:header="0" w:footer="3" w:gutter="0"/>
          <w:rtlGutter w:val="0"/>
          <w:cols w:num="2" w:space="188"/>
          <w:noEndnote/>
          <w:docGrid w:linePitch="360"/>
        </w:sectPr>
      </w:pPr>
      <w:r>
        <w:rPr>
          <w:lang w:val="ru-RU" w:eastAsia="ru-RU" w:bidi="ru-RU"/>
          <w:w w:val="100"/>
          <w:spacing w:val="0"/>
          <w:color w:val="000000"/>
          <w:position w:val="0"/>
        </w:rPr>
        <w:t>Выявляет регургитантный поток в выходном тракте левого желудочка. Оценка степени регургитации про-</w:t>
      </w:r>
    </w:p>
    <w:p>
      <w:pPr>
        <w:widowControl w:val="0"/>
        <w:rPr>
          <w:sz w:val="2"/>
          <w:szCs w:val="2"/>
        </w:rPr>
      </w:pPr>
      <w:r>
        <w:pict>
          <v:shape id="_x0000_s1353" type="#_x0000_t202" style="position:static;width:595.pt;height:64.3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354" type="#_x0000_t75" style="position:absolute;margin-left:133.9pt;margin-top:0;width:209.75pt;height:14.9pt;z-index:-251658703;mso-wrap-distance-left:5.pt;mso-wrap-distance-right:5.pt;mso-position-horizontal-relative:margin" wrapcoords="0 0">
            <v:imagedata r:id="rId540" r:href="rId541"/>
            <w10:wrap anchorx="margin"/>
          </v:shape>
        </w:pict>
      </w:r>
    </w:p>
    <w:p>
      <w:pPr>
        <w:widowControl w:val="0"/>
        <w:rPr>
          <w:sz w:val="2"/>
          <w:szCs w:val="2"/>
        </w:rPr>
        <w:sectPr>
          <w:type w:val="continuous"/>
          <w:pgSz w:w="11900" w:h="16840"/>
          <w:pgMar w:top="1468" w:left="1119" w:right="898" w:bottom="192" w:header="0" w:footer="3" w:gutter="0"/>
          <w:rtlGutter w:val="0"/>
          <w:cols w:space="720"/>
          <w:noEndnote/>
          <w:docGrid w:linePitch="360"/>
        </w:sectPr>
      </w:pPr>
    </w:p>
    <w:p>
      <w:pPr>
        <w:pStyle w:val="Style30"/>
        <w:widowControl w:val="0"/>
        <w:keepNext w:val="0"/>
        <w:keepLines w:val="0"/>
        <w:shd w:val="clear" w:color="auto" w:fill="auto"/>
        <w:bidi w:val="0"/>
        <w:spacing w:before="0" w:after="0" w:line="192" w:lineRule="exact"/>
        <w:ind w:left="0" w:right="0" w:firstLine="0"/>
        <w:sectPr>
          <w:pgSz w:w="11900" w:h="16840"/>
          <w:pgMar w:top="1632" w:left="898" w:right="1119" w:bottom="206" w:header="0" w:footer="3" w:gutter="0"/>
          <w:rtlGutter w:val="0"/>
          <w:cols w:space="720"/>
          <w:noEndnote/>
          <w:docGrid w:linePitch="360"/>
        </w:sectPr>
      </w:pPr>
      <w:r>
        <w:pict>
          <v:shape id="_x0000_s1355" type="#_x0000_t75" style="position:absolute;margin-left:224.65pt;margin-top:-33.85pt;width:268.8pt;height:202.1pt;z-index:-125829160;mso-wrap-distance-left:46.55pt;mso-wrap-distance-right:5.pt;mso-position-horizontal-relative:margin" wrapcoords="0 0 21600 0 21600 21600 0 21600 0 0">
            <v:imagedata r:id="rId542" r:href="rId543"/>
            <w10:wrap type="square" side="left" anchorx="margin"/>
          </v:shape>
        </w:pict>
      </w:r>
      <w:r>
        <w:rPr>
          <w:rStyle w:val="CharStyle102"/>
        </w:rPr>
        <w:t xml:space="preserve">Рис. 47. </w:t>
      </w:r>
      <w:r>
        <w:rPr>
          <w:lang w:val="ru-RU" w:eastAsia="ru-RU" w:bidi="ru-RU"/>
          <w:w w:val="100"/>
          <w:spacing w:val="0"/>
          <w:color w:val="000000"/>
          <w:position w:val="0"/>
        </w:rPr>
        <w:t>Аортальная недостаточность: регурги- тантный поток, достигающий передней митраль</w:t>
        <w:softHyphen/>
        <w:t>ной створки.</w:t>
      </w:r>
    </w:p>
    <w:p>
      <w:pPr>
        <w:widowControl w:val="0"/>
        <w:spacing w:before="3" w:after="3" w:line="240" w:lineRule="exact"/>
        <w:rPr>
          <w:sz w:val="19"/>
          <w:szCs w:val="19"/>
        </w:rPr>
      </w:pPr>
    </w:p>
    <w:p>
      <w:pPr>
        <w:widowControl w:val="0"/>
        <w:rPr>
          <w:sz w:val="2"/>
          <w:szCs w:val="2"/>
        </w:rPr>
        <w:sectPr>
          <w:type w:val="continuous"/>
          <w:pgSz w:w="11900" w:h="16840"/>
          <w:pgMar w:top="1554" w:left="0" w:right="0" w:bottom="1741" w:header="0" w:footer="3" w:gutter="0"/>
          <w:rtlGutter w:val="0"/>
          <w:cols w:space="720"/>
          <w:noEndnote/>
          <w:docGrid w:linePitch="360"/>
        </w:sectPr>
      </w:pPr>
    </w:p>
    <w:p>
      <w:pPr>
        <w:widowControl w:val="0"/>
        <w:rPr>
          <w:sz w:val="2"/>
          <w:szCs w:val="2"/>
        </w:rPr>
      </w:pPr>
      <w:r>
        <w:pict>
          <v:shape id="_x0000_s1356" type="#_x0000_t75" style="position:absolute;margin-left:141.3pt;margin-top:517.45pt;width:209.75pt;height:14.9pt;z-index:-125829159;mso-wrap-distance-left:135.85pt;mso-wrap-distance-right:136.8pt;mso-wrap-distance-bottom:10.8pt;mso-position-horizontal-relative:margin" wrapcoords="0 0 21600 0 21600 21600 0 21600 0 0">
            <v:imagedata r:id="rId544" r:href="rId545"/>
            <w10:wrap type="topAndBottom" anchorx="margin"/>
          </v:shape>
        </w:pic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водится в длинной парастернальной оси: легкая [</w:t>
      </w:r>
      <w:r>
        <w:rPr>
          <w:rStyle w:val="CharStyle32"/>
        </w:rPr>
        <w:t>1</w:t>
      </w:r>
      <w:r>
        <w:rPr>
          <w:lang w:val="ru-RU" w:eastAsia="ru-RU" w:bidi="ru-RU"/>
          <w:w w:val="100"/>
          <w:spacing w:val="0"/>
          <w:color w:val="000000"/>
          <w:position w:val="0"/>
        </w:rPr>
        <w:t>+] - &lt;25%, умеренная [2+] — 25-46%, умеренно тяжелая [3+] — 47-64%, тяжелая [4+] — &gt;65%.</w:t>
      </w:r>
    </w:p>
    <w:p>
      <w:pPr>
        <w:pStyle w:val="Style30"/>
        <w:numPr>
          <w:ilvl w:val="0"/>
          <w:numId w:val="6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Выявляет регургитантный поток в выходном тракте левого желудочка. Оценка степени регургитации про</w:t>
        <w:softHyphen/>
        <w:t>водится в короткой парастернальной оси на уровне аортального клапана: легкая [</w:t>
      </w:r>
      <w:r>
        <w:rPr>
          <w:rStyle w:val="CharStyle32"/>
        </w:rPr>
        <w:t>1</w:t>
      </w:r>
      <w:r>
        <w:rPr>
          <w:lang w:val="ru-RU" w:eastAsia="ru-RU" w:bidi="ru-RU"/>
          <w:w w:val="100"/>
          <w:spacing w:val="0"/>
          <w:color w:val="000000"/>
          <w:position w:val="0"/>
        </w:rPr>
        <w:t>+] — &lt;</w:t>
      </w:r>
      <w:r>
        <w:rPr>
          <w:rStyle w:val="CharStyle32"/>
        </w:rPr>
        <w:t>20</w:t>
      </w:r>
      <w:r>
        <w:rPr>
          <w:lang w:val="ru-RU" w:eastAsia="ru-RU" w:bidi="ru-RU"/>
          <w:w w:val="100"/>
          <w:spacing w:val="0"/>
          <w:color w:val="000000"/>
          <w:position w:val="0"/>
        </w:rPr>
        <w:t>%, умеренная [2+] — 20-40%, умеренно тяжелая [3+] — 40-60%, тя- желая[4+] — &gt;</w:t>
      </w:r>
      <w:r>
        <w:rPr>
          <w:rStyle w:val="CharStyle32"/>
        </w:rPr>
        <w:t>60</w:t>
      </w:r>
      <w:r>
        <w:rPr>
          <w:lang w:val="ru-RU" w:eastAsia="ru-RU" w:bidi="ru-RU"/>
          <w:w w:val="100"/>
          <w:spacing w:val="0"/>
          <w:color w:val="000000"/>
          <w:position w:val="0"/>
        </w:rPr>
        <w:t>%.</w:t>
      </w:r>
    </w:p>
    <w:p>
      <w:pPr>
        <w:pStyle w:val="Style30"/>
        <w:numPr>
          <w:ilvl w:val="0"/>
          <w:numId w:val="6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Проксимальная акселерация (конвергенция потока) указывает на аортальную регургитацию 3+ или 4+ градации.</w:t>
      </w:r>
    </w:p>
    <w:p>
      <w:pPr>
        <w:pStyle w:val="Style30"/>
        <w:numPr>
          <w:ilvl w:val="0"/>
          <w:numId w:val="6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Скорость потока более чем 1,5 м/с указывает на зна</w:t>
        <w:softHyphen/>
        <w:t>чительную аортальную регургитацию.</w:t>
      </w:r>
    </w:p>
    <w:p>
      <w:pPr>
        <w:pStyle w:val="Style30"/>
        <w:numPr>
          <w:ilvl w:val="0"/>
          <w:numId w:val="6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Митральный поток рестриктивный из-за нарушения трансмитрального наполнения левого желудочка.</w:t>
      </w:r>
    </w:p>
    <w:p>
      <w:pPr>
        <w:pStyle w:val="Style30"/>
        <w:numPr>
          <w:ilvl w:val="0"/>
          <w:numId w:val="6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Обратный ток крови в нисходящей или абдоминаль</w:t>
        <w:softHyphen/>
        <w:t>ной аорте свидетельствует о тяжелой аортальной ре- гургитации (3+ или 4+).</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Радионуклидная диагностика:</w:t>
      </w:r>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Позволяет оценить фракцию регургитантного по</w:t>
        <w:softHyphen/>
        <w:t>тока и соотношение ударных объемов левого и правого желудочков. В отсутствие митральной и трикуспидальной регургитации и соотношении ударных объемов левого и правого желудоч</w:t>
        <w:softHyphen/>
        <w:t>ков = 2,5 или более позволяет исключить тяжелую аортальную регургитацию.</w:t>
      </w:r>
    </w:p>
    <w:p>
      <w:pPr>
        <w:pStyle w:val="Style30"/>
        <w:numPr>
          <w:ilvl w:val="0"/>
          <w:numId w:val="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Снижение фракции выброса при физической на</w:t>
        <w:softHyphen/>
        <w:t>грузке является одним из достоверных критериев для оперативного вмешательства при бессимптом</w:t>
        <w:softHyphen/>
        <w:t>ном течении аортальной регургитации.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полостей сердца:</w:t>
      </w:r>
    </w:p>
    <w:p>
      <w:pPr>
        <w:pStyle w:val="Style30"/>
        <w:numPr>
          <w:ilvl w:val="0"/>
          <w:numId w:val="6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Показана пациентам с заболеваниями коронарных сосудов, являющихся потенциальными кандидатами на протезирование аортального клапана.</w:t>
      </w:r>
    </w:p>
    <w:p>
      <w:pPr>
        <w:pStyle w:val="Style30"/>
        <w:numPr>
          <w:ilvl w:val="0"/>
          <w:numId w:val="63"/>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Оценка анатомии аорты и устья коронарных сосудов. Возможно наличие видимого рефлюкса из аорты в желудочек.</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Недостаточность клапана легочной артерии.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Митральный стеноз.</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Стеноз трикуспидального клапана.</w:t>
      </w:r>
    </w:p>
    <w:p>
      <w:pPr>
        <w:pStyle w:val="Style92"/>
        <w:widowControl w:val="0"/>
        <w:keepNext/>
        <w:keepLines/>
        <w:shd w:val="clear" w:color="auto" w:fill="auto"/>
        <w:bidi w:val="0"/>
        <w:spacing w:before="0" w:after="0"/>
        <w:ind w:left="280" w:right="0"/>
      </w:pPr>
      <w:r>
        <w:br w:type="column"/>
      </w:r>
      <w:bookmarkStart w:id="430" w:name="bookmark430"/>
      <w:r>
        <w:rPr>
          <w:lang w:val="ru-RU" w:eastAsia="ru-RU" w:bidi="ru-RU"/>
          <w:w w:val="100"/>
          <w:spacing w:val="0"/>
          <w:color w:val="000000"/>
          <w:position w:val="0"/>
        </w:rPr>
        <w:t>Лечение</w:t>
      </w:r>
      <w:bookmarkEnd w:id="430"/>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Терапия вазодилататорами способствует уменьше</w:t>
        <w:softHyphen/>
        <w:t>нию регургитантного объема. Применение вазодила- таторов показано при хроническом течении аорталь</w:t>
        <w:softHyphen/>
        <w:t>ной регургитации с дилатированным левым желудоч - ком, но сохраненной систолической функцией.</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Длительное назначение препаратов из группы инги</w:t>
        <w:softHyphen/>
        <w:t>биторов ангиотензин превращающего фермента (эналаприл) способствует значительному снижению массы миокарда левого желудочка, уменьшению ко</w:t>
        <w:softHyphen/>
        <w:t>нечно-систолического и конечно-диастолического объемов. Ингибиторы АПФ уменьшают величину аортальной регургитации, что позволяет отложить проведение замены аортального клапана на более поздние сроки.</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Назначение вазодилататоров из группы антагонистов кальциевых каналов противопоказано пациентам с аортальной недостаточностью, поскольку нифеди- пин усиливает левожелудочковую дисфункцию.</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Дигоксин и диуретики применяют при возникнове</w:t>
        <w:softHyphen/>
        <w:t>нии симптомов застойной сердечной недостаточно</w:t>
        <w:softHyphen/>
        <w:t>сти.</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Пациенты с легкой аортальной регургитацией и нор</w:t>
        <w:softHyphen/>
        <w:t>мальными размерами сердца нуждаются только в профилактике инфекционного эндокардита. При аортальной недостаточности регургитантный поток повреждает эндотелиальный слой клапана, что способствует образованию на нем тромбоцитарных и фибринных депозитов. В случае бактериемии в этих депозитах происходит микробная колонизация с по</w:t>
        <w:softHyphen/>
        <w:t>следующим развитием инфекционного процесса.</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Острая аортальная регургитация сопровождается бы</w:t>
        <w:softHyphen/>
        <w:t>стрым и тяжелым поражением левого желудочка, раз</w:t>
        <w:softHyphen/>
        <w:t>витием его декомпенсации и кардиогенного шока. До проведения хирургической коррекции пациенты нуждаются в медикаментозной поддержке.</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Добутамин уменьшает постнагрузку и оказывает по</w:t>
        <w:softHyphen/>
        <w:t>зитивный инотропный эффект.</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Вазодилататоры уменьшают конечно-диастоличес</w:t>
        <w:softHyphen/>
        <w:t>кий и конечно-систолический объем.</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Внутриаортальная баллонная контрапульсация про</w:t>
        <w:softHyphen/>
        <w:t>тивопоказана при острой аортальной регургитации.</w:t>
      </w:r>
      <w:r>
        <w:br w:type="page"/>
      </w:r>
    </w:p>
    <w:p>
      <w:pPr>
        <w:pStyle w:val="Style92"/>
        <w:widowControl w:val="0"/>
        <w:keepNext/>
        <w:keepLines/>
        <w:shd w:val="clear" w:color="auto" w:fill="auto"/>
        <w:bidi w:val="0"/>
        <w:spacing w:before="0" w:after="0"/>
        <w:ind w:left="500" w:right="0" w:hanging="220"/>
      </w:pPr>
      <w:bookmarkStart w:id="431" w:name="bookmark431"/>
      <w:r>
        <w:rPr>
          <w:lang w:val="ru-RU" w:eastAsia="ru-RU" w:bidi="ru-RU"/>
          <w:w w:val="100"/>
          <w:spacing w:val="0"/>
          <w:color w:val="000000"/>
          <w:position w:val="0"/>
        </w:rPr>
        <w:t>Хирургическая коррекция</w:t>
      </w:r>
      <w:bookmarkEnd w:id="431"/>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Хирургическая коррекция аортальной недостаточно</w:t>
        <w:softHyphen/>
        <w:t>сти заключается в протезировании аортального кла</w:t>
        <w:softHyphen/>
        <w:t>пана. Хирургическая смертность при протезировании составляет 3%. Смертность при протезировании аор</w:t>
        <w:softHyphen/>
        <w:t>тального клапана выше при сопутствующем пораже</w:t>
        <w:softHyphen/>
        <w:t>нии коронарных сосудов. Срок службы протезиро</w:t>
        <w:softHyphen/>
        <w:t>ванного клапана ограничен, больные после протези</w:t>
        <w:softHyphen/>
        <w:t>рования нуждаются в медикаментозной коррекции, иногда в повторной замене клапана.</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Протезирование аортального клапана показано боль</w:t>
        <w:softHyphen/>
        <w:t>ным с нормальной систолической функцией левого желудочка (фракция изгнания в покое &gt;0,50), кото</w:t>
        <w:softHyphen/>
        <w:t xml:space="preserve">рые относятся согласно </w:t>
      </w:r>
      <w:r>
        <w:rPr>
          <w:lang w:val="en-US" w:eastAsia="en-US" w:bidi="en-US"/>
          <w:w w:val="100"/>
          <w:spacing w:val="0"/>
          <w:color w:val="000000"/>
          <w:position w:val="0"/>
        </w:rPr>
        <w:t xml:space="preserve">New York Heart Association (NYHA) </w:t>
      </w:r>
      <w:r>
        <w:rPr>
          <w:lang w:val="ru-RU" w:eastAsia="ru-RU" w:bidi="ru-RU"/>
          <w:w w:val="100"/>
          <w:spacing w:val="0"/>
          <w:color w:val="000000"/>
          <w:position w:val="0"/>
        </w:rPr>
        <w:t xml:space="preserve">к </w:t>
      </w:r>
      <w:r>
        <w:rPr>
          <w:lang w:val="en-US" w:eastAsia="en-US" w:bidi="en-US"/>
          <w:w w:val="100"/>
          <w:spacing w:val="0"/>
          <w:color w:val="000000"/>
          <w:position w:val="0"/>
        </w:rPr>
        <w:t xml:space="preserve">III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IV </w:t>
      </w:r>
      <w:r>
        <w:rPr>
          <w:lang w:val="ru-RU" w:eastAsia="ru-RU" w:bidi="ru-RU"/>
          <w:w w:val="100"/>
          <w:spacing w:val="0"/>
          <w:color w:val="000000"/>
          <w:position w:val="0"/>
        </w:rPr>
        <w:t>функциональному классу.</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В протезировании аортального клапана нуждаются пациенты </w:t>
      </w:r>
      <w:r>
        <w:rPr>
          <w:lang w:val="en-US" w:eastAsia="en-US" w:bidi="en-US"/>
          <w:w w:val="100"/>
          <w:spacing w:val="0"/>
          <w:color w:val="000000"/>
          <w:position w:val="0"/>
        </w:rPr>
        <w:t xml:space="preserve">II, III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r IV NYHA </w:t>
      </w:r>
      <w:r>
        <w:rPr>
          <w:lang w:val="ru-RU" w:eastAsia="ru-RU" w:bidi="ru-RU"/>
          <w:w w:val="100"/>
          <w:spacing w:val="0"/>
          <w:color w:val="000000"/>
          <w:position w:val="0"/>
        </w:rPr>
        <w:t>класса с умеренным или тяжелым нарушением функции левого желудоч</w:t>
        <w:softHyphen/>
        <w:t xml:space="preserve">ка </w:t>
      </w:r>
      <w:r>
        <w:rPr>
          <w:lang w:val="en-US" w:eastAsia="en-US" w:bidi="en-US"/>
          <w:w w:val="100"/>
          <w:spacing w:val="0"/>
          <w:color w:val="000000"/>
          <w:position w:val="0"/>
        </w:rPr>
        <w:t xml:space="preserve">(EF </w:t>
      </w:r>
      <w:r>
        <w:rPr>
          <w:lang w:val="ru-RU" w:eastAsia="ru-RU" w:bidi="ru-RU"/>
          <w:w w:val="100"/>
          <w:spacing w:val="0"/>
          <w:color w:val="000000"/>
          <w:position w:val="0"/>
        </w:rPr>
        <w:t>0,25-0,49). Исходы оперативного лечения у па</w:t>
        <w:softHyphen/>
        <w:t xml:space="preserve">циентов IV </w:t>
      </w:r>
      <w:r>
        <w:rPr>
          <w:lang w:val="en-US" w:eastAsia="en-US" w:bidi="en-US"/>
          <w:w w:val="100"/>
          <w:spacing w:val="0"/>
          <w:color w:val="000000"/>
          <w:position w:val="0"/>
        </w:rPr>
        <w:t xml:space="preserve">NYHA </w:t>
      </w:r>
      <w:r>
        <w:rPr>
          <w:lang w:val="ru-RU" w:eastAsia="ru-RU" w:bidi="ru-RU"/>
          <w:w w:val="100"/>
          <w:spacing w:val="0"/>
          <w:color w:val="000000"/>
          <w:position w:val="0"/>
        </w:rPr>
        <w:t>класса значительно хуже.</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Протезирование аортального клапана неэффективно у пациентов с тяжелым поражением миокарда </w:t>
      </w:r>
      <w:r>
        <w:rPr>
          <w:lang w:val="en-US" w:eastAsia="en-US" w:bidi="en-US"/>
          <w:w w:val="100"/>
          <w:spacing w:val="0"/>
          <w:color w:val="000000"/>
          <w:position w:val="0"/>
        </w:rPr>
        <w:t xml:space="preserve">(EF </w:t>
      </w:r>
      <w:r>
        <w:rPr>
          <w:lang w:val="ru-RU" w:eastAsia="ru-RU" w:bidi="ru-RU"/>
          <w:w w:val="100"/>
          <w:spacing w:val="0"/>
          <w:color w:val="000000"/>
          <w:position w:val="0"/>
        </w:rPr>
        <w:t xml:space="preserve">&lt;0,25). Однако если послеоперационная смертность составляет примерно </w:t>
      </w:r>
      <w:r>
        <w:rPr>
          <w:rStyle w:val="CharStyle32"/>
        </w:rPr>
        <w:t>10</w:t>
      </w:r>
      <w:r>
        <w:rPr>
          <w:lang w:val="ru-RU" w:eastAsia="ru-RU" w:bidi="ru-RU"/>
          <w:w w:val="100"/>
          <w:spacing w:val="0"/>
          <w:color w:val="000000"/>
          <w:position w:val="0"/>
        </w:rPr>
        <w:t>% в год, то при хронической медикаментозной коррекции она превышает 20% в год. В этой связи протезирование аортального клапана может быть оправдано, поскольку происходит улучшение систолической функции левого желудочка.</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Протезирование аортального клапана показано па</w:t>
        <w:softHyphen/>
        <w:t>циентам с бессимптомным течением порока, если по данным эхокардиографии определяется систоличес</w:t>
        <w:softHyphen/>
        <w:t xml:space="preserve">кая дисфункция </w:t>
      </w:r>
      <w:r>
        <w:rPr>
          <w:lang w:val="en-US" w:eastAsia="en-US" w:bidi="en-US"/>
          <w:w w:val="100"/>
          <w:spacing w:val="0"/>
          <w:color w:val="000000"/>
          <w:position w:val="0"/>
        </w:rPr>
        <w:t xml:space="preserve">(EF </w:t>
      </w:r>
      <w:r>
        <w:rPr>
          <w:lang w:val="ru-RU" w:eastAsia="ru-RU" w:bidi="ru-RU"/>
          <w:w w:val="100"/>
          <w:spacing w:val="0"/>
          <w:color w:val="000000"/>
          <w:position w:val="0"/>
        </w:rPr>
        <w:t>&lt;0,50). Постоперативное восста</w:t>
        <w:softHyphen/>
        <w:t>новление функции левого желудочка находится в прямой зависимости от предоперационного статуса.</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Протезирование аортального клапана показано па</w:t>
        <w:softHyphen/>
        <w:t>циентам с бессимптомным течением порока и нор</w:t>
        <w:softHyphen/>
        <w:t>мальной функцией левого желудочка, если имеет ме</w:t>
        <w:softHyphen/>
        <w:t>сто его дилатация (конечно-диастолический диаметр &gt;75 мм или конечно-систолический диаметр &gt;55 мм). У таких больных возникновение левожелудочковой дисфункции может произойти внезапно с быстрым прогрессированием. Послеоперационные исходы обычно хорошие, быстро восстанавливаются разме</w:t>
        <w:softHyphen/>
        <w:t>ры левого желудочка.</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Предикторами неблагоприятного исхода протезиро</w:t>
        <w:softHyphen/>
        <w:t>вания являются:</w:t>
      </w:r>
    </w:p>
    <w:p>
      <w:pPr>
        <w:pStyle w:val="Style30"/>
        <w:numPr>
          <w:ilvl w:val="0"/>
          <w:numId w:val="65"/>
        </w:numPr>
        <w:tabs>
          <w:tab w:leader="none" w:pos="738"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конечно-систолический диаметр левого желудоч</w:t>
        <w:softHyphen/>
        <w:t>ка больше 55 мм;</w:t>
      </w:r>
    </w:p>
    <w:p>
      <w:pPr>
        <w:pStyle w:val="Style30"/>
        <w:numPr>
          <w:ilvl w:val="0"/>
          <w:numId w:val="65"/>
        </w:numPr>
        <w:tabs>
          <w:tab w:leader="none" w:pos="73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фракция выброса левого желудочка меньше 50%;</w:t>
      </w:r>
    </w:p>
    <w:p>
      <w:pPr>
        <w:pStyle w:val="Style30"/>
        <w:numPr>
          <w:ilvl w:val="0"/>
          <w:numId w:val="65"/>
        </w:numPr>
        <w:tabs>
          <w:tab w:leader="none" w:pos="73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III, IV функциональный класс по </w:t>
      </w:r>
      <w:r>
        <w:rPr>
          <w:lang w:val="en-US" w:eastAsia="en-US" w:bidi="en-US"/>
          <w:w w:val="100"/>
          <w:spacing w:val="0"/>
          <w:color w:val="000000"/>
          <w:position w:val="0"/>
        </w:rPr>
        <w:t>NYHA;</w:t>
      </w:r>
    </w:p>
    <w:p>
      <w:pPr>
        <w:pStyle w:val="Style30"/>
        <w:numPr>
          <w:ilvl w:val="0"/>
          <w:numId w:val="65"/>
        </w:numPr>
        <w:tabs>
          <w:tab w:leader="none" w:pos="738"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продолжительность симптомов застойной сердеч</w:t>
        <w:softHyphen/>
        <w:t xml:space="preserve">ной недостаточности больше </w:t>
      </w:r>
      <w:r>
        <w:rPr>
          <w:rStyle w:val="CharStyle32"/>
        </w:rPr>
        <w:t>12</w:t>
      </w:r>
      <w:r>
        <w:rPr>
          <w:lang w:val="ru-RU" w:eastAsia="ru-RU" w:bidi="ru-RU"/>
          <w:w w:val="100"/>
          <w:spacing w:val="0"/>
          <w:color w:val="000000"/>
          <w:position w:val="0"/>
        </w:rPr>
        <w:t xml:space="preserve"> месяцев.</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Амбулаторное наблюдение</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Контроль кардиолога за динамикой симптомов порока.</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Повторный эхокардиографический контроль за сте</w:t>
        <w:softHyphen/>
        <w:t>пенью аортальной недостаточности и функцией ле</w:t>
        <w:softHyphen/>
        <w:t>вого желудочка.</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Контроль эффективности медикаментозной терапии (вазодилататоры, дигоксин, мочегонные).</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Активность</w:t>
      </w:r>
    </w:p>
    <w:p>
      <w:pPr>
        <w:pStyle w:val="Style30"/>
        <w:widowControl w:val="0"/>
        <w:keepNext w:val="0"/>
        <w:keepLines w:val="0"/>
        <w:shd w:val="clear" w:color="auto" w:fill="auto"/>
        <w:bidi w:val="0"/>
        <w:jc w:val="right"/>
        <w:spacing w:before="0" w:after="0"/>
        <w:ind w:left="0" w:right="0" w:firstLine="0"/>
      </w:pPr>
      <w:r>
        <w:rPr>
          <w:lang w:val="ru-RU" w:eastAsia="ru-RU" w:bidi="ru-RU"/>
          <w:w w:val="100"/>
          <w:spacing w:val="0"/>
          <w:color w:val="000000"/>
          <w:position w:val="0"/>
        </w:rPr>
        <w:t>Физические нагрузки должны быть ограничены пропор</w:t>
        <w:softHyphen/>
        <w:t>ционально функциональному состоянию левого желудочка.</w:t>
      </w:r>
    </w:p>
    <w:p>
      <w:pPr>
        <w:pStyle w:val="Style92"/>
        <w:widowControl w:val="0"/>
        <w:keepNext/>
        <w:keepLines/>
        <w:shd w:val="clear" w:color="auto" w:fill="auto"/>
        <w:bidi w:val="0"/>
        <w:spacing w:before="0" w:after="0"/>
        <w:ind w:left="500" w:right="0" w:hanging="220"/>
      </w:pPr>
      <w:r>
        <w:br w:type="column"/>
      </w:r>
      <w:bookmarkStart w:id="432" w:name="bookmark432"/>
      <w:r>
        <w:rPr>
          <w:lang w:val="ru-RU" w:eastAsia="ru-RU" w:bidi="ru-RU"/>
          <w:w w:val="100"/>
          <w:spacing w:val="0"/>
          <w:color w:val="000000"/>
          <w:position w:val="0"/>
        </w:rPr>
        <w:t>Осложнения</w:t>
      </w:r>
      <w:bookmarkEnd w:id="432"/>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Застойная сердечная недостаточность.</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Инфекционный эндокардит.</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Аритмии.</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Внезапная смерть.</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Прогноз</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бессимптомных больных с нормальной функцией левого желудочка частота смертности не превышает 0,2% в год. При клинически выраженной аортальной недостаточности и симптомах левожелудочковой ди</w:t>
        <w:softHyphen/>
        <w:t>сфункции частота смертности не превышает 5% в год.</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больных с аортальной недостаточностью и ишеми</w:t>
        <w:softHyphen/>
        <w:t>ей миокарда частота смертности достигает при за</w:t>
        <w:softHyphen/>
        <w:t xml:space="preserve">стойной сердечной недостаточности </w:t>
      </w:r>
      <w:r>
        <w:rPr>
          <w:rStyle w:val="CharStyle32"/>
        </w:rPr>
        <w:t>20</w:t>
      </w:r>
      <w:r>
        <w:rPr>
          <w:lang w:val="ru-RU" w:eastAsia="ru-RU" w:bidi="ru-RU"/>
          <w:w w:val="100"/>
          <w:spacing w:val="0"/>
          <w:color w:val="000000"/>
          <w:position w:val="0"/>
        </w:rPr>
        <w:t>% в год.</w:t>
      </w:r>
    </w:p>
    <w:p>
      <w:pPr>
        <w:pStyle w:val="Style30"/>
        <w:numPr>
          <w:ilvl w:val="0"/>
          <w:numId w:val="63"/>
        </w:numPr>
        <w:tabs>
          <w:tab w:leader="none" w:pos="515" w:val="left"/>
        </w:tabs>
        <w:widowControl w:val="0"/>
        <w:keepNext w:val="0"/>
        <w:keepLines w:val="0"/>
        <w:shd w:val="clear" w:color="auto" w:fill="auto"/>
        <w:bidi w:val="0"/>
        <w:spacing w:before="0" w:after="237"/>
        <w:ind w:left="500" w:right="0" w:hanging="220"/>
      </w:pPr>
      <w:r>
        <w:rPr>
          <w:lang w:val="ru-RU" w:eastAsia="ru-RU" w:bidi="ru-RU"/>
          <w:w w:val="100"/>
          <w:spacing w:val="0"/>
          <w:color w:val="000000"/>
          <w:position w:val="0"/>
        </w:rPr>
        <w:t>Летальность от аортальной недостаточности зависит от функционального состояния левого желудочка. При фракции выброса менее 50% составляет в сред</w:t>
        <w:softHyphen/>
        <w:t>нем 4,5% за год. 75% пациентов с выраженной аор</w:t>
        <w:softHyphen/>
        <w:t>тальной регургитацией живут в течение 5 лет после установления диагноза, половина из них — в течение 10 лет. Больные с умеренной/средней регургитацией живут в течение 10 лет в 80-95% случаев. Средняя продолжительность жизни пациентов при заболева</w:t>
        <w:softHyphen/>
        <w:t>ниях сердца, сопровождающихся застойными явле</w:t>
        <w:softHyphen/>
        <w:t>ниями, составляет менее чем 2 года. Острая аорталь</w:t>
        <w:softHyphen/>
        <w:t>ная регургитация ассоциирована с высокой смертно</w:t>
        <w:softHyphen/>
        <w:t>стью. Внезапная смерть при аортальной недостаточ</w:t>
        <w:softHyphen/>
        <w:t xml:space="preserve">ности встречается редко, не превышает </w:t>
      </w:r>
      <w:r>
        <w:rPr>
          <w:rStyle w:val="CharStyle32"/>
        </w:rPr>
        <w:t>0</w:t>
      </w:r>
      <w:r>
        <w:rPr>
          <w:lang w:val="ru-RU" w:eastAsia="ru-RU" w:bidi="ru-RU"/>
          <w:w w:val="100"/>
          <w:spacing w:val="0"/>
          <w:color w:val="000000"/>
          <w:position w:val="0"/>
        </w:rPr>
        <w:t>,</w:t>
      </w:r>
      <w:r>
        <w:rPr>
          <w:rStyle w:val="CharStyle32"/>
        </w:rPr>
        <w:t>2</w:t>
      </w:r>
      <w:r>
        <w:rPr>
          <w:lang w:val="ru-RU" w:eastAsia="ru-RU" w:bidi="ru-RU"/>
          <w:w w:val="100"/>
          <w:spacing w:val="0"/>
          <w:color w:val="000000"/>
          <w:position w:val="0"/>
        </w:rPr>
        <w:t>% в год.</w:t>
      </w:r>
    </w:p>
    <w:p>
      <w:pPr>
        <w:pStyle w:val="Style28"/>
        <w:widowControl w:val="0"/>
        <w:keepNext/>
        <w:keepLines/>
        <w:shd w:val="clear" w:color="auto" w:fill="auto"/>
        <w:bidi w:val="0"/>
        <w:jc w:val="left"/>
        <w:spacing w:before="0" w:after="157" w:line="220" w:lineRule="exact"/>
        <w:ind w:left="0" w:right="0" w:firstLine="0"/>
      </w:pPr>
      <w:bookmarkStart w:id="433" w:name="bookmark433"/>
      <w:r>
        <w:rPr>
          <w:lang w:val="ru-RU" w:eastAsia="ru-RU" w:bidi="ru-RU"/>
          <w:w w:val="100"/>
          <w:spacing w:val="0"/>
          <w:color w:val="000000"/>
          <w:position w:val="0"/>
        </w:rPr>
        <w:t>Двустворчатый клапан аорты</w:t>
      </w:r>
      <w:bookmarkEnd w:id="43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Врожденная аномалия развития клапана, представлен</w:t>
        <w:softHyphen/>
        <w:t>ного двумя створками и двумя комиссурами. В определение не включаются варианты «приобретенного» двустворчатого клапана, возникшего в результате сращения полулуний воспалительного генеза.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Краткие исторические сведения:</w:t>
      </w:r>
    </w:p>
    <w:p>
      <w:pPr>
        <w:pStyle w:val="Style30"/>
        <w:numPr>
          <w:ilvl w:val="0"/>
          <w:numId w:val="63"/>
        </w:numPr>
        <w:tabs>
          <w:tab w:leader="none" w:pos="515"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 xml:space="preserve">О двустворчатом аортальном клапане как о курьезной находке первым сообщил в 1844 году </w:t>
      </w:r>
      <w:r>
        <w:rPr>
          <w:lang w:val="en-US" w:eastAsia="en-US" w:bidi="en-US"/>
          <w:w w:val="100"/>
          <w:spacing w:val="0"/>
          <w:color w:val="000000"/>
          <w:position w:val="0"/>
        </w:rPr>
        <w:t>Paget.</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en-US" w:eastAsia="en-US" w:bidi="en-US"/>
          <w:w w:val="100"/>
          <w:spacing w:val="0"/>
          <w:color w:val="000000"/>
          <w:position w:val="0"/>
        </w:rPr>
        <w:t xml:space="preserve">William Osler </w:t>
      </w:r>
      <w:r>
        <w:rPr>
          <w:lang w:val="ru-RU" w:eastAsia="ru-RU" w:bidi="ru-RU"/>
          <w:w w:val="100"/>
          <w:spacing w:val="0"/>
          <w:color w:val="000000"/>
          <w:position w:val="0"/>
        </w:rPr>
        <w:t>в 1880 году обнаружил, что такой клапан образуется из-за слияния двух полулуний клапана, и первым описал случай инфекционного эндокарди</w:t>
        <w:softHyphen/>
        <w:t>та при двустворчатом аортальном клапане.</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en-US" w:eastAsia="en-US" w:bidi="en-US"/>
          <w:w w:val="100"/>
          <w:spacing w:val="0"/>
          <w:color w:val="000000"/>
          <w:position w:val="0"/>
        </w:rPr>
        <w:t xml:space="preserve">Peacock </w:t>
      </w:r>
      <w:r>
        <w:rPr>
          <w:lang w:val="ru-RU" w:eastAsia="ru-RU" w:bidi="ru-RU"/>
          <w:w w:val="100"/>
          <w:spacing w:val="0"/>
          <w:color w:val="000000"/>
          <w:position w:val="0"/>
        </w:rPr>
        <w:t>(1886) первым предположил, что бикуспи- дальный клапан аорты является морфологической основой для кальцифицирующего стеноза аорты.</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Еще </w:t>
      </w:r>
      <w:r>
        <w:rPr>
          <w:lang w:val="en-US" w:eastAsia="en-US" w:bidi="en-US"/>
          <w:w w:val="100"/>
          <w:spacing w:val="0"/>
          <w:color w:val="000000"/>
          <w:position w:val="0"/>
        </w:rPr>
        <w:t xml:space="preserve">T. Lewis, R.T. Grant </w:t>
      </w:r>
      <w:r>
        <w:rPr>
          <w:lang w:val="ru-RU" w:eastAsia="ru-RU" w:bidi="ru-RU"/>
          <w:w w:val="100"/>
          <w:spacing w:val="0"/>
          <w:color w:val="000000"/>
          <w:position w:val="0"/>
        </w:rPr>
        <w:t>в 1923 году сообщали, что двустворчатый аортальный клапан наблюдается у од</w:t>
        <w:softHyphen/>
        <w:t xml:space="preserve">ного на каждые </w:t>
      </w:r>
      <w:r>
        <w:rPr>
          <w:rStyle w:val="CharStyle32"/>
        </w:rPr>
        <w:t>100-200</w:t>
      </w:r>
      <w:r>
        <w:rPr>
          <w:lang w:val="ru-RU" w:eastAsia="ru-RU" w:bidi="ru-RU"/>
          <w:w w:val="100"/>
          <w:spacing w:val="0"/>
          <w:color w:val="000000"/>
          <w:position w:val="0"/>
        </w:rPr>
        <w:t xml:space="preserve"> вскрытий.</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Прижизненная диагностика двустворчатого аорталь</w:t>
        <w:softHyphen/>
        <w:t>ного клапана стала возможной при внедрении в кли</w:t>
        <w:softHyphen/>
        <w:t>ническую практику эхокардиографии.</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rPr>
          <w:lang w:val="en-US" w:eastAsia="en-US" w:bidi="en-US"/>
          <w:w w:val="100"/>
          <w:spacing w:val="0"/>
          <w:color w:val="000000"/>
          <w:position w:val="0"/>
        </w:rPr>
        <w:t xml:space="preserve">N.C. Nanda </w:t>
      </w:r>
      <w:r>
        <w:rPr>
          <w:lang w:val="ru-RU" w:eastAsia="ru-RU" w:bidi="ru-RU"/>
          <w:w w:val="100"/>
          <w:spacing w:val="0"/>
          <w:color w:val="000000"/>
          <w:position w:val="0"/>
        </w:rPr>
        <w:t>с соавт. (1974) первыми предложили кри</w:t>
        <w:softHyphen/>
        <w:t>терии эхокардиографической диагностики врожден</w:t>
        <w:softHyphen/>
        <w:t>ного двустворчатого клапана аорты.</w:t>
      </w:r>
    </w:p>
    <w:p>
      <w:pPr>
        <w:pStyle w:val="Style30"/>
        <w:numPr>
          <w:ilvl w:val="0"/>
          <w:numId w:val="63"/>
        </w:numPr>
        <w:tabs>
          <w:tab w:leader="none" w:pos="515" w:val="left"/>
        </w:tabs>
        <w:widowControl w:val="0"/>
        <w:keepNext w:val="0"/>
        <w:keepLines w:val="0"/>
        <w:shd w:val="clear" w:color="auto" w:fill="auto"/>
        <w:bidi w:val="0"/>
        <w:spacing w:before="0" w:after="0"/>
        <w:ind w:left="500" w:right="0" w:hanging="220"/>
      </w:pPr>
      <w:r>
        <w:pict>
          <v:shape id="_x0000_s1357" type="#_x0000_t75" style="position:absolute;margin-left:136.55pt;margin-top:736.8pt;width:209.75pt;height:14.9pt;z-index:-125829158;mso-wrap-distance-left:136.3pt;mso-wrap-distance-right:148.1pt;mso-wrap-distance-bottom:10.8pt;mso-position-horizontal-relative:margin;mso-position-vertical-relative:margin" wrapcoords="0 0 21600 0 21600 21600 0 21600 0 0">
            <v:imagedata r:id="rId546" r:href="rId547"/>
            <w10:wrap type="topAndBottom" anchorx="margin" anchory="margin"/>
          </v:shape>
        </w:pict>
      </w:r>
      <w:r>
        <w:rPr>
          <w:lang w:val="ru-RU" w:eastAsia="ru-RU" w:bidi="ru-RU"/>
          <w:w w:val="100"/>
          <w:spacing w:val="0"/>
          <w:color w:val="000000"/>
          <w:position w:val="0"/>
        </w:rPr>
        <w:t>Интерес к проблеме двустворчатого аортального кла</w:t>
        <w:softHyphen/>
        <w:t>пана значительно возрос, когда изменилось мнение о его доброкачественности. Многочисленными ис</w:t>
        <w:softHyphen/>
        <w:t>следованиями в 70-80-е годы XX столетия было пока</w:t>
        <w:softHyphen/>
        <w:t>зано, что доброкачественное течение бикуспидально- го клапана свойственно лишь латентному периоду развития болезни, в последующем развивается аор-</w:t>
      </w:r>
      <w:r>
        <w:br w:type="page"/>
      </w:r>
    </w:p>
    <w:p>
      <w:pPr>
        <w:pStyle w:val="Style30"/>
        <w:widowControl w:val="0"/>
        <w:keepNext w:val="0"/>
        <w:keepLines w:val="0"/>
        <w:shd w:val="clear" w:color="auto" w:fill="auto"/>
        <w:bidi w:val="0"/>
        <w:spacing w:before="0" w:after="0"/>
        <w:ind w:left="520" w:right="0" w:firstLine="0"/>
      </w:pPr>
      <w:r>
        <w:pict>
          <v:shape id="_x0000_s1358" type="#_x0000_t202" style="position:absolute;margin-left:0.35pt;margin-top:-6.95pt;width:493.45pt;height:157.9pt;z-index:-125829157;mso-wrap-distance-left:5.pt;mso-wrap-distance-right:5.pt;mso-position-horizontal-relative:margin;mso-position-vertical-relative:margin" wrapcoords="0 0 21600 0 21600 18823 19247 20336 19247 21600 0 21600 0 0" filled="f" stroked="f">
            <v:textbox style="mso-fit-shape-to-text:t" inset="0,0,0,0">
              <w:txbxContent>
                <w:p>
                  <w:pPr>
                    <w:framePr w:h="3158" w:hSpace="5" w:wrap="notBeside" w:hAnchor="margin" w:x="8" w:y="-138"/>
                    <w:widowControl w:val="0"/>
                    <w:jc w:val="center"/>
                    <w:rPr>
                      <w:sz w:val="2"/>
                      <w:szCs w:val="2"/>
                    </w:rPr>
                  </w:pPr>
                  <w:r>
                    <w:pict>
                      <v:shape id="_x0000_s1359" type="#_x0000_t75" style="width:493pt;height:158pt;">
                        <v:imagedata r:id="rId548" r:href="rId549"/>
                      </v:shape>
                    </w:pict>
                  </w:r>
                </w:p>
                <w:p>
                  <w:pPr>
                    <w:pStyle w:val="Style120"/>
                    <w:widowControl w:val="0"/>
                    <w:keepNext w:val="0"/>
                    <w:keepLines w:val="0"/>
                    <w:shd w:val="clear" w:color="auto" w:fill="auto"/>
                    <w:bidi w:val="0"/>
                    <w:jc w:val="left"/>
                    <w:spacing w:before="0" w:after="0" w:line="180" w:lineRule="exact"/>
                    <w:ind w:left="0" w:right="0" w:firstLine="0"/>
                  </w:pPr>
                  <w:r>
                    <w:rPr>
                      <w:rStyle w:val="CharStyle122"/>
                    </w:rPr>
                    <w:t xml:space="preserve">Рис. 48. </w:t>
                  </w:r>
                  <w:r>
                    <w:rPr>
                      <w:rStyle w:val="CharStyle121"/>
                    </w:rPr>
                    <w:t>Аневризма межжелудочковой перегородки (слева) в сочетании с бикуспидальным аортальным стенозом (справа).</w:t>
                  </w:r>
                </w:p>
              </w:txbxContent>
            </v:textbox>
            <w10:wrap type="topAndBottom" anchorx="margin" anchory="margin"/>
          </v:shape>
        </w:pict>
      </w:r>
      <w:r>
        <w:rPr>
          <w:lang w:val="ru-RU" w:eastAsia="ru-RU" w:bidi="ru-RU"/>
          <w:w w:val="100"/>
          <w:spacing w:val="0"/>
          <w:color w:val="000000"/>
          <w:position w:val="0"/>
        </w:rPr>
        <w:t>тальный стеноз и/или аортальная недостаточность, требующие хирургического лечения.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Распространенность двустворчатого аортального клапа</w:t>
        <w:softHyphen/>
        <w:t>на в популяции составляет 1-2%. Двустворчатый аорталь</w:t>
        <w:softHyphen/>
        <w:t>ный клапан обычно обнаруживается в сочетании с коаркта- цией аорты или перерывом дуги аорты, что подтверждает общность механизмов кардиогенеза этих образований. В большинстве случаев порок возникает спорадически.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10-17% случаев наблюдаются семейные формы порока.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Двустворчатый аортальный клапан сочетается с коарк- тацией аорты (до 85%), надклапанным и подклапанным стенозом аорты (34%), гипоплазией аорты, общим артери</w:t>
        <w:softHyphen/>
        <w:t>альным стволом.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Мы наблюдали случай бикуспидального, стенозирован- ного аортального клапана с аневризмой межжелудочковой перегородки (рис. 48).</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Отмечена повышенная представленность двустворчато</w:t>
        <w:softHyphen/>
        <w:t>го аортального клапана при синдроме Вильямса (11,6%), Тернера (30%), расслаивающей аневризме аорты, синдро</w:t>
        <w:softHyphen/>
        <w:t>мах сердце-рука, болезни Марфана (5%).</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мальчиков порок наблюдается чаще в соотношении 2:1.</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 возникновения (гипотезы)</w:t>
      </w:r>
    </w:p>
    <w:p>
      <w:pPr>
        <w:pStyle w:val="Style30"/>
        <w:numPr>
          <w:ilvl w:val="0"/>
          <w:numId w:val="6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Двустворчатый аортальный клапан возникает в ре</w:t>
        <w:softHyphen/>
        <w:t>зультате аномального формирования створок в пери</w:t>
        <w:softHyphen/>
        <w:t>од вальвулогенеза. Нарушение вальвулогенеза пред</w:t>
        <w:softHyphen/>
        <w:t>ставляет комплексный процесс развития, а аномаль</w:t>
        <w:softHyphen/>
        <w:t>ное формирование аортального клапана отражает фе</w:t>
        <w:softHyphen/>
        <w:t>нотипический континуум от одностворчатого клапа</w:t>
        <w:softHyphen/>
        <w:t>на (тяжелая форма), двустворчатого (умеренная фор</w:t>
        <w:softHyphen/>
        <w:t>ма) до трехстворчатого (нормальная форма).</w:t>
      </w:r>
    </w:p>
    <w:p>
      <w:pPr>
        <w:pStyle w:val="Style30"/>
        <w:numPr>
          <w:ilvl w:val="0"/>
          <w:numId w:val="6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Одна из теорий нарушенного вальвулогенеза полага</w:t>
        <w:softHyphen/>
        <w:t>ет, что изначально закладывается трехстворчатый аортальный клапан, а в последующие этапы его раз</w:t>
        <w:softHyphen/>
        <w:t>вития при воздействии неблагоприятных факторов внешней среды происходит трансформация его в дву</w:t>
        <w:softHyphen/>
        <w:t>створчатый.</w:t>
      </w:r>
    </w:p>
    <w:p>
      <w:pPr>
        <w:pStyle w:val="Style30"/>
        <w:numPr>
          <w:ilvl w:val="0"/>
          <w:numId w:val="6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Одной из точек зрения возникновения двустворчато - го аортального клапана является концепция нару</w:t>
        <w:softHyphen/>
        <w:t>шенного деления общего ствола в период эмбриона</w:t>
        <w:softHyphen/>
        <w:t>льного развития. На четвертой неделе эмбрионально</w:t>
        <w:softHyphen/>
        <w:t>го развития общий ствол начинает делиться на аорту и легочную артерию. Полулунные створки формиру-</w:t>
      </w:r>
    </w:p>
    <w:p>
      <w:pPr>
        <w:pStyle w:val="Style30"/>
        <w:widowControl w:val="0"/>
        <w:keepNext w:val="0"/>
        <w:keepLines w:val="0"/>
        <w:shd w:val="clear" w:color="auto" w:fill="auto"/>
        <w:bidi w:val="0"/>
        <w:spacing w:before="0" w:after="0"/>
        <w:ind w:left="280" w:right="0" w:firstLine="0"/>
      </w:pPr>
      <w:r>
        <w:br w:type="column"/>
      </w:r>
      <w:r>
        <w:rPr>
          <w:lang w:val="ru-RU" w:eastAsia="ru-RU" w:bidi="ru-RU"/>
          <w:w w:val="100"/>
          <w:spacing w:val="0"/>
          <w:color w:val="000000"/>
          <w:position w:val="0"/>
        </w:rPr>
        <w:t>ются из мезенхимальной ткани путем пролиферации двух бульбарных гребней. При нормальном делении в каждом магистральном стволе образуется три створ</w:t>
        <w:softHyphen/>
        <w:t>ки. Один из вариантов нарушенного деления общего ствола и вальвулогенеза приводит к формированию двустворчатого аортального клапана и четырехствор</w:t>
        <w:softHyphen/>
        <w:t>чатого клапана легочной артерии.</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Нарушенный ток крови через аортальный клапан в период вальвулогенеза приводит к нарушению раз</w:t>
        <w:softHyphen/>
        <w:t>деления створок. Однако до настоящего времени нет убедительных доказательств, подтверждающих дан</w:t>
        <w:softHyphen/>
        <w:t>ное предположение у человека.</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Согласно генетической концепции двустворчатый клапан аорты наследуется аутосомно-доминантно с уменьшенной пенетрантностью у женщин.</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Экстрацеллюлярный матрикс играет важную роль в обеспечении структурной поддержки, необходимой для нормального развития ткани клапана и гомеостази</w:t>
        <w:softHyphen/>
        <w:t>са. Протеины экстрацеллюлярного матрикса участвуют в дифференцировке створок и их формировании в тече</w:t>
        <w:softHyphen/>
        <w:t>ние вальвулогенеза. Микрофибриллярные белки явля</w:t>
        <w:softHyphen/>
        <w:t xml:space="preserve">ются основой эмбриональных клеток и регулируют как формирование, так и развитие аортального клапана. Дифференцирование мезенхимальных клеток в зрелые клетки клапана осуществляется микрофибриллярными белками — </w:t>
      </w:r>
      <w:r>
        <w:rPr>
          <w:lang w:val="en-US" w:eastAsia="en-US" w:bidi="en-US"/>
          <w:w w:val="100"/>
          <w:spacing w:val="0"/>
          <w:color w:val="000000"/>
          <w:position w:val="0"/>
        </w:rPr>
        <w:t xml:space="preserve">fibrillin </w:t>
      </w:r>
      <w:r>
        <w:rPr>
          <w:lang w:val="ru-RU" w:eastAsia="ru-RU" w:bidi="ru-RU"/>
          <w:w w:val="100"/>
          <w:spacing w:val="0"/>
          <w:color w:val="000000"/>
          <w:position w:val="0"/>
        </w:rPr>
        <w:t xml:space="preserve">и </w:t>
      </w:r>
      <w:r>
        <w:rPr>
          <w:lang w:val="en-US" w:eastAsia="en-US" w:bidi="en-US"/>
          <w:w w:val="100"/>
          <w:spacing w:val="0"/>
          <w:color w:val="000000"/>
          <w:position w:val="0"/>
        </w:rPr>
        <w:t xml:space="preserve">fibulin. </w:t>
      </w:r>
      <w:r>
        <w:rPr>
          <w:lang w:val="ru-RU" w:eastAsia="ru-RU" w:bidi="ru-RU"/>
          <w:w w:val="100"/>
          <w:spacing w:val="0"/>
          <w:color w:val="000000"/>
          <w:position w:val="0"/>
        </w:rPr>
        <w:t>У пациентов с двустворча</w:t>
        <w:softHyphen/>
        <w:t>тым аортальным клапаном имеет место дефицит мик</w:t>
        <w:softHyphen/>
        <w:t>рофибриллярных белков аортального матрикса. Неаде</w:t>
        <w:softHyphen/>
        <w:t xml:space="preserve">кватное производство </w:t>
      </w:r>
      <w:r>
        <w:rPr>
          <w:lang w:val="en-US" w:eastAsia="en-US" w:bidi="en-US"/>
          <w:w w:val="100"/>
          <w:spacing w:val="0"/>
          <w:color w:val="000000"/>
          <w:position w:val="0"/>
        </w:rPr>
        <w:t>fibrillin</w:t>
      </w:r>
      <w:r>
        <w:rPr>
          <w:rStyle w:val="CharStyle32"/>
          <w:lang w:val="en-US" w:eastAsia="en-US" w:bidi="en-US"/>
        </w:rPr>
        <w:t>-1</w:t>
      </w:r>
      <w:r>
        <w:rPr>
          <w:lang w:val="en-US" w:eastAsia="en-US" w:bidi="en-US"/>
          <w:w w:val="100"/>
          <w:spacing w:val="0"/>
          <w:color w:val="000000"/>
          <w:position w:val="0"/>
        </w:rPr>
        <w:t xml:space="preserve"> </w:t>
      </w:r>
      <w:r>
        <w:rPr>
          <w:lang w:val="ru-RU" w:eastAsia="ru-RU" w:bidi="ru-RU"/>
          <w:w w:val="100"/>
          <w:spacing w:val="0"/>
          <w:color w:val="000000"/>
          <w:position w:val="0"/>
        </w:rPr>
        <w:t>в течение вальвулогене- за может прервать формирование аортальных створок и заканчивается образованием двустворчатого клапана и ослабленным корнем аорты. Микрофибриллярные белки являются несовершенными при бикуспидальном клапане и не осуществляют структурную поддержку корня аорты. Дефекты в генах, которые кодируют эле</w:t>
        <w:softHyphen/>
        <w:t>менты матрикса, еще не идентифицированы у пациен</w:t>
        <w:softHyphen/>
        <w:t>тов с двустворчатым аортальным клапаном. Хотя ген, кодирующий фибриллин-</w:t>
      </w:r>
      <w:r>
        <w:rPr>
          <w:rStyle w:val="CharStyle32"/>
        </w:rPr>
        <w:t>1</w:t>
      </w:r>
      <w:r>
        <w:rPr>
          <w:lang w:val="ru-RU" w:eastAsia="ru-RU" w:bidi="ru-RU"/>
          <w:w w:val="100"/>
          <w:spacing w:val="0"/>
          <w:color w:val="000000"/>
          <w:position w:val="0"/>
        </w:rPr>
        <w:t>, структурно нормален, мо</w:t>
        <w:softHyphen/>
        <w:t>жет оказаться аномалия транскрипционных элементов, которые управляют производством белка.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Анатомия</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pict>
          <v:shape id="_x0000_s1360" type="#_x0000_t75" style="position:absolute;margin-left:147.95pt;margin-top:736.8pt;width:209.75pt;height:14.9pt;z-index:-125829156;mso-wrap-distance-left:147.85pt;mso-wrap-distance-right:136.8pt;mso-wrap-distance-bottom:10.8pt;mso-position-horizontal-relative:margin;mso-position-vertical-relative:margin" wrapcoords="0 0 21600 0 21600 21600 0 21600 0 0">
            <v:imagedata r:id="rId550" r:href="rId551"/>
            <w10:wrap type="topAndBottom" anchorx="margin" anchory="margin"/>
          </v:shape>
        </w:pict>
      </w:r>
      <w:r>
        <w:rPr>
          <w:lang w:val="ru-RU" w:eastAsia="ru-RU" w:bidi="ru-RU"/>
          <w:w w:val="100"/>
          <w:spacing w:val="0"/>
          <w:color w:val="000000"/>
          <w:position w:val="0"/>
        </w:rPr>
        <w:t>Двустворчатый клапан представлен двумя створка</w:t>
        <w:softHyphen/>
        <w:t>ми, как правило, неодинаковой величины. Более широкая створка является «соединительной».</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 50% случаев комиссуры могут иметь частичное сращение (так называемый «высокий» шов), что предрасполагает к развитию стеноза. При так назы</w:t>
        <w:softHyphen/>
        <w:t>ваемом «низком» шве (крепление комиссур не про</w:t>
        <w:softHyphen/>
        <w:t>должается на свободный край соединительной створки) чрезмерная подвижность створки может приводить к пролабированию и развитию аорталь</w:t>
        <w:softHyphen/>
        <w:t>ной недостаточности.</w:t>
      </w:r>
    </w:p>
    <w:p>
      <w:pPr>
        <w:pStyle w:val="Style30"/>
        <w:numPr>
          <w:ilvl w:val="0"/>
          <w:numId w:val="63"/>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Положение створок клапана варьирует. Передне</w:t>
        <w:softHyphen/>
        <w:t>задняя ориентация комиссур с правой (соедини</w:t>
        <w:softHyphen/>
        <w:t>тельной) и левой створками встречается в 50-65% случаев. Ткань, образующая комиссуру может учас</w:t>
        <w:softHyphen/>
        <w:t>твовать в образовании правой некоронарной ко</w:t>
        <w:softHyphen/>
        <w:t>миссуры. Горизонтальная (лево-правая) ориентация комиссур с передней (соединительной) и задней створками обнаруживается в 30-45% случаев. Фор</w:t>
        <w:softHyphen/>
        <w:t>мирующая комиссуру ткань выполняет лево-пра</w:t>
        <w:softHyphen/>
        <w:t>вую комиссуру.</w:t>
      </w:r>
    </w:p>
    <w:p>
      <w:pPr>
        <w:pStyle w:val="Style30"/>
        <w:numPr>
          <w:ilvl w:val="0"/>
          <w:numId w:val="63"/>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двустворчатом аортальном клапане наиболее ча</w:t>
        <w:softHyphen/>
        <w:t>сто встречается «леводоминантная» коронарная сис</w:t>
        <w:softHyphen/>
        <w:t>тема (задняя нисходящая коронарная артерия отхо</w:t>
        <w:softHyphen/>
        <w:t>дит от левой коронарной артерии). Укорочение левой главной коронарной артерии у пациентов с двуствор</w:t>
        <w:softHyphen/>
        <w:t>чатым аортальным клапаном наблюдается более чем в 50% случаев.</w:t>
      </w:r>
    </w:p>
    <w:p>
      <w:pPr>
        <w:pStyle w:val="Style30"/>
        <w:numPr>
          <w:ilvl w:val="0"/>
          <w:numId w:val="63"/>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Восходящая аорта может быть дилатирована (пост- стенотическая дилатация). Однако существуют на</w:t>
        <w:softHyphen/>
        <w:t>следственные формы, при которых отмечается де</w:t>
        <w:softHyphen/>
        <w:t>фект строения соединительнотканного матрикса ар</w:t>
        <w:softHyphen/>
        <w:t>териальных сосудов.</w:t>
      </w:r>
    </w:p>
    <w:p>
      <w:pPr>
        <w:pStyle w:val="Style30"/>
        <w:numPr>
          <w:ilvl w:val="0"/>
          <w:numId w:val="63"/>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Двустворчатый аортальный клапан может быть одно - комиссурным, при этом выделяют два морфологиче</w:t>
        <w:softHyphen/>
        <w:t>ских типа. При первом типе комиссура вообще отсут</w:t>
        <w:softHyphen/>
        <w:t>ствует, при втором типе одна комиссура только час</w:t>
        <w:softHyphen/>
        <w:t>тично разделяет створки. В ряде случаев большая створка может иметь два соединительных «шва». Данные морфологические наблюдения подтвержда</w:t>
        <w:softHyphen/>
        <w:t>ют теорию, что первоначально возникла закладка трехстворчатого аортального клапана, а в последую</w:t>
        <w:softHyphen/>
        <w:t>щем произошло нарушение вальвулогенеза, и к рож</w:t>
        <w:softHyphen/>
        <w:t>дению клапан стал двустворчатым.</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Гистология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гистологическом исследовании врожденного дву</w:t>
        <w:softHyphen/>
        <w:t>створчатого аортального клапана определяется уменьше</w:t>
        <w:softHyphen/>
        <w:t xml:space="preserve">ние числа эластических волокон и апоптоз в медиальном слое </w:t>
      </w:r>
      <w:r>
        <w:rPr>
          <w:lang w:val="en-US" w:eastAsia="en-US" w:bidi="en-US"/>
          <w:w w:val="100"/>
          <w:spacing w:val="0"/>
          <w:color w:val="000000"/>
          <w:position w:val="0"/>
        </w:rPr>
        <w:t xml:space="preserve">(Fujiyoshi K. et al., </w:t>
      </w:r>
      <w:r>
        <w:rPr>
          <w:lang w:val="ru-RU" w:eastAsia="ru-RU" w:bidi="ru-RU"/>
          <w:w w:val="100"/>
          <w:spacing w:val="0"/>
          <w:color w:val="000000"/>
          <w:position w:val="0"/>
        </w:rPr>
        <w:t>1996). Эти изменения прогрессиру</w:t>
        <w:softHyphen/>
        <w:t xml:space="preserve">ют с возрастом </w:t>
      </w:r>
      <w:r>
        <w:rPr>
          <w:lang w:val="en-US" w:eastAsia="en-US" w:bidi="en-US"/>
          <w:w w:val="100"/>
          <w:spacing w:val="0"/>
          <w:color w:val="000000"/>
          <w:position w:val="0"/>
        </w:rPr>
        <w:t xml:space="preserve">(Lamas C.C., Eykyn S.J., </w:t>
      </w:r>
      <w:r>
        <w:rPr>
          <w:lang w:val="ru-RU" w:eastAsia="ru-RU" w:bidi="ru-RU"/>
          <w:w w:val="100"/>
          <w:spacing w:val="0"/>
          <w:color w:val="000000"/>
          <w:position w:val="0"/>
        </w:rPr>
        <w:t>2000).</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Патофизиология</w:t>
      </w:r>
    </w:p>
    <w:p>
      <w:pPr>
        <w:pStyle w:val="Style30"/>
        <w:numPr>
          <w:ilvl w:val="0"/>
          <w:numId w:val="63"/>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Двустворчатый аортальный клапан может быть пол</w:t>
        <w:softHyphen/>
        <w:t>ностью компетентным, функционирующим без сте</w:t>
        <w:softHyphen/>
        <w:t>ноза и регургитации. Со старением клапана развива</w:t>
        <w:softHyphen/>
        <w:t>ются дегенеративные процессы, протекающие со склерозом и кальцификацией. В то же время избы</w:t>
        <w:softHyphen/>
        <w:t>точный размер и пролабирование створок могут при</w:t>
        <w:softHyphen/>
        <w:t>вести к недостаточности клапана и появлению регур- гитантного потока. Хотя двустворчатый аортальный клапан относится к часто встречающимся аномали</w:t>
        <w:softHyphen/>
        <w:t>ям, осложненное течение заболевания отмечается у 1/3 пациентов.</w:t>
      </w:r>
    </w:p>
    <w:p>
      <w:pPr>
        <w:pStyle w:val="Style30"/>
        <w:numPr>
          <w:ilvl w:val="0"/>
          <w:numId w:val="63"/>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Двустворчатый аортальный клапан часто сочетается с коарктацией аорты, наследственными синдромами, предрасполагает к инфекционному эндокардиту.</w:t>
      </w:r>
    </w:p>
    <w:p>
      <w:pPr>
        <w:pStyle w:val="Style92"/>
        <w:widowControl w:val="0"/>
        <w:keepNext/>
        <w:keepLines/>
        <w:shd w:val="clear" w:color="auto" w:fill="auto"/>
        <w:bidi w:val="0"/>
        <w:spacing w:before="0" w:after="0"/>
        <w:ind w:left="280" w:right="0"/>
      </w:pPr>
      <w:r>
        <w:br w:type="column"/>
      </w:r>
      <w:bookmarkStart w:id="434" w:name="bookmark434"/>
      <w:r>
        <w:rPr>
          <w:lang w:val="ru-RU" w:eastAsia="ru-RU" w:bidi="ru-RU"/>
          <w:w w:val="100"/>
          <w:spacing w:val="0"/>
          <w:color w:val="000000"/>
          <w:position w:val="0"/>
        </w:rPr>
        <w:t>Клиника</w:t>
      </w:r>
      <w:bookmarkEnd w:id="434"/>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Двустворчатый аортальный клапан протекает бес</w:t>
        <w:softHyphen/>
        <w:t>симптомно и является случайной находкой при эхо</w:t>
        <w:softHyphen/>
        <w:t>кардиографическом обследовании.</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Систолические щелчки возникают в конце открытия аортального клапана, выслушиваются над основани</w:t>
        <w:softHyphen/>
        <w:t>ем сердца и во втором межреберье справа. Эти щелч</w:t>
        <w:softHyphen/>
        <w:t>ки не зависят от фазы дыхания и могут быть приняты за расщепление первого тона. Систолические щелчки достоверно (г = 0,82) коррелируют с изолированным бикуспидальным, нестенотическим клапаном по дан</w:t>
        <w:softHyphen/>
        <w:t xml:space="preserve">ным эхокардиографии </w:t>
      </w:r>
      <w:r>
        <w:rPr>
          <w:lang w:val="en-US" w:eastAsia="en-US" w:bidi="en-US"/>
          <w:w w:val="100"/>
          <w:spacing w:val="0"/>
          <w:color w:val="000000"/>
          <w:position w:val="0"/>
        </w:rPr>
        <w:t xml:space="preserve">(Miller M.J. et al., </w:t>
      </w:r>
      <w:r>
        <w:rPr>
          <w:lang w:val="ru-RU" w:eastAsia="ru-RU" w:bidi="ru-RU"/>
          <w:w w:val="100"/>
          <w:spacing w:val="0"/>
          <w:color w:val="000000"/>
          <w:position w:val="0"/>
        </w:rPr>
        <w:t>1983).</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нормально функционирующем бикуспидальном клапане может выслушиваться систолический шум изгнания в проекции аорты. Этот шум имеет сред</w:t>
        <w:softHyphen/>
        <w:t>нюю интенсивность, но грубоватый по тембру.</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Клиническая симптоматика при анатомически «вы</w:t>
        <w:softHyphen/>
        <w:t>соком шве» представлена аортальным стенозом, вплоть до критического аортального стеноза в неона</w:t>
        <w:softHyphen/>
        <w:t>тальном периоде.</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анатомическом варианте двустворчатого аор</w:t>
        <w:softHyphen/>
        <w:t>тального клапана «низкий шов» клиника порока про</w:t>
        <w:softHyphen/>
        <w:t>является недостаточностью аортального клапана.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 (рис. 49):</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М-эхокардиография не информативна из-за большо</w:t>
        <w:softHyphen/>
        <w:t>го числа ложноположительных и ложноотрицатель</w:t>
        <w:softHyphen/>
        <w:t>ных результатов исследования.</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Одна линия закрытия аортального клапана в корот</w:t>
        <w:softHyphen/>
        <w:t>кой парастернальной проекции.</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Эллипсовидная форма открытия аортального клапа</w:t>
        <w:softHyphen/>
        <w:t>на в фазу неполной систолы.</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Отсутствие градиента систолической обструкции вы - ходного тракта левого желудочка.</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en-US" w:eastAsia="en-US" w:bidi="en-US"/>
          <w:w w:val="100"/>
          <w:spacing w:val="0"/>
          <w:color w:val="000000"/>
          <w:position w:val="0"/>
        </w:rPr>
        <w:t xml:space="preserve">Nistri S. et al. </w:t>
      </w:r>
      <w:r>
        <w:rPr>
          <w:lang w:val="ru-RU" w:eastAsia="ru-RU" w:bidi="ru-RU"/>
          <w:w w:val="100"/>
          <w:spacing w:val="0"/>
          <w:color w:val="000000"/>
          <w:position w:val="0"/>
        </w:rPr>
        <w:t>(1999) провели допплерэхокардиографи</w:t>
        <w:softHyphen/>
        <w:t xml:space="preserve">ческое исследование </w:t>
      </w:r>
      <w:r>
        <w:rPr>
          <w:rStyle w:val="CharStyle32"/>
        </w:rPr>
        <w:t>66</w:t>
      </w:r>
      <w:r>
        <w:rPr>
          <w:lang w:val="ru-RU" w:eastAsia="ru-RU" w:bidi="ru-RU"/>
          <w:w w:val="100"/>
          <w:spacing w:val="0"/>
          <w:color w:val="000000"/>
          <w:position w:val="0"/>
        </w:rPr>
        <w:t xml:space="preserve"> подростков в возрасте 15-17 лет с нормально функционирующим бикуспидальным аортальным клапаном. Установлено достоверное уве</w:t>
        <w:softHyphen/>
        <w:t>личение диаметра аортального корня по сравнению с группой контроля. Дилатация аорты при двустворча</w:t>
        <w:softHyphen/>
        <w:t>том аортальном клапане не зависит от гемодинамичес</w:t>
        <w:softHyphen/>
        <w:t>ких показателей, возраста и поверхности тела. Авторы считают необходимым подразделение молодых лиц с бикуспидальным клапаном аорты на две подгруппы: с нормальными и увеличенными показателями аорты. Именно лица с дилатированной аортой в последующем склонны к возникновению аортальной патологии.</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Чрезпищеводная эхокардиография позволяет более точно визуализировать морфологию клапана.</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Чувствительность мультиплановой чрезпищеводной эхокардиографии в диагностике двустворчатого аор</w:t>
        <w:softHyphen/>
        <w:t xml:space="preserve">тального клапана составляет 87%, специфичность — 91%, биплановой — </w:t>
      </w:r>
      <w:r>
        <w:rPr>
          <w:rStyle w:val="CharStyle32"/>
        </w:rPr>
        <w:t>66</w:t>
      </w:r>
      <w:r>
        <w:rPr>
          <w:lang w:val="ru-RU" w:eastAsia="ru-RU" w:bidi="ru-RU"/>
          <w:w w:val="100"/>
          <w:spacing w:val="0"/>
          <w:color w:val="000000"/>
          <w:position w:val="0"/>
        </w:rPr>
        <w:t>% и 56% соответственно. При возникновении фиброзирования и кальцифика</w:t>
        <w:softHyphen/>
        <w:t>ции двустворчатого клапана чувствительность и спе</w:t>
        <w:softHyphen/>
        <w:t>цифичность мультиплановой чрезпищеводной диа</w:t>
        <w:softHyphen/>
        <w:t xml:space="preserve">гностики снижается (85% и </w:t>
      </w:r>
      <w:r>
        <w:rPr>
          <w:rStyle w:val="CharStyle32"/>
        </w:rPr>
        <w:t>88</w:t>
      </w:r>
      <w:r>
        <w:rPr>
          <w:lang w:val="ru-RU" w:eastAsia="ru-RU" w:bidi="ru-RU"/>
          <w:w w:val="100"/>
          <w:spacing w:val="0"/>
          <w:color w:val="000000"/>
          <w:position w:val="0"/>
        </w:rPr>
        <w:t xml:space="preserve">% соответственно) </w:t>
      </w:r>
      <w:r>
        <w:rPr>
          <w:lang w:val="en-US" w:eastAsia="en-US" w:bidi="en-US"/>
          <w:w w:val="100"/>
          <w:spacing w:val="0"/>
          <w:color w:val="000000"/>
          <w:position w:val="0"/>
        </w:rPr>
        <w:t xml:space="preserve">(Espinal M. et al., </w:t>
      </w:r>
      <w:r>
        <w:rPr>
          <w:lang w:val="ru-RU" w:eastAsia="ru-RU" w:bidi="ru-RU"/>
          <w:w w:val="100"/>
          <w:spacing w:val="0"/>
          <w:color w:val="000000"/>
          <w:position w:val="0"/>
        </w:rPr>
        <w:t>2000).</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pict>
          <v:shape id="_x0000_s1361" type="#_x0000_t75" style="position:absolute;margin-left:136.55pt;margin-top:736.8pt;width:209.75pt;height:14.9pt;z-index:-125829155;mso-wrap-distance-left:136.3pt;mso-wrap-distance-right:148.1pt;mso-wrap-distance-bottom:10.8pt;mso-position-horizontal-relative:margin;mso-position-vertical-relative:margin" wrapcoords="0 0 21600 0 21600 21600 0 21600 0 0">
            <v:imagedata r:id="rId552" r:href="rId553"/>
            <w10:wrap type="topAndBottom" anchorx="margin" anchory="margin"/>
          </v:shape>
        </w:pict>
      </w:r>
      <w:r>
        <w:rPr>
          <w:lang w:val="ru-RU" w:eastAsia="ru-RU" w:bidi="ru-RU"/>
          <w:w w:val="100"/>
          <w:spacing w:val="0"/>
          <w:color w:val="000000"/>
          <w:position w:val="0"/>
        </w:rPr>
        <w:t>Двустворчатый аортальный клапан может имитиро</w:t>
        <w:softHyphen/>
        <w:t>вать трехстворчатый. Такая ситуация наблюдается при выступающем фиброзированном шве соедини</w:t>
        <w:softHyphen/>
        <w:t>тельной створки.</w:t>
      </w:r>
      <w:r>
        <w:br w:type="page"/>
      </w:r>
    </w:p>
    <w:p>
      <w:pPr>
        <w:pStyle w:val="Style30"/>
        <w:numPr>
          <w:ilvl w:val="0"/>
          <w:numId w:val="63"/>
        </w:numPr>
        <w:tabs>
          <w:tab w:leader="none" w:pos="475" w:val="left"/>
        </w:tabs>
        <w:widowControl w:val="0"/>
        <w:keepNext w:val="0"/>
        <w:keepLines w:val="0"/>
        <w:shd w:val="clear" w:color="auto" w:fill="auto"/>
        <w:bidi w:val="0"/>
        <w:spacing w:before="0" w:after="0"/>
        <w:ind w:left="520" w:right="0" w:hanging="240"/>
      </w:pPr>
      <w:r>
        <w:pict>
          <v:shape id="_x0000_s1362" type="#_x0000_t202" style="position:absolute;margin-left:0.1pt;margin-top:-6.95pt;width:491.75pt;height:186.25pt;z-index:-125829154;mso-wrap-distance-left:5.pt;mso-wrap-distance-right:5.pt;mso-position-horizontal-relative:margin;mso-position-vertical-relative:margin" wrapcoords="83 0 21600 0 21600 21600 0 21600 0 19546 83 18936 83 0" filled="f" stroked="f">
            <v:textbox style="mso-fit-shape-to-text:t" inset="0,0,0,0">
              <w:txbxContent>
                <w:p>
                  <w:pPr>
                    <w:framePr w:h="3725" w:hSpace="10" w:wrap="notBeside" w:hAnchor="margin" w:x="3" w:y="-138"/>
                    <w:widowControl w:val="0"/>
                    <w:jc w:val="center"/>
                    <w:rPr>
                      <w:sz w:val="2"/>
                      <w:szCs w:val="2"/>
                    </w:rPr>
                  </w:pPr>
                  <w:r>
                    <w:pict>
                      <v:shape id="_x0000_s1363" type="#_x0000_t75" style="width:492pt;height:186pt;">
                        <v:imagedata r:id="rId554" r:href="rId555"/>
                      </v:shape>
                    </w:pict>
                  </w:r>
                </w:p>
                <w:p>
                  <w:pPr>
                    <w:pStyle w:val="Style120"/>
                    <w:widowControl w:val="0"/>
                    <w:keepNext w:val="0"/>
                    <w:keepLines w:val="0"/>
                    <w:shd w:val="clear" w:color="auto" w:fill="auto"/>
                    <w:bidi w:val="0"/>
                    <w:spacing w:before="0" w:after="0"/>
                    <w:ind w:left="0" w:right="0" w:firstLine="0"/>
                  </w:pPr>
                  <w:r>
                    <w:rPr>
                      <w:rStyle w:val="CharStyle122"/>
                    </w:rPr>
                    <w:t xml:space="preserve">Рис. 49. </w:t>
                  </w:r>
                  <w:r>
                    <w:rPr>
                      <w:rStyle w:val="CharStyle121"/>
                    </w:rPr>
                    <w:t>Двустворчатый аортальный клапан: в продольной оси определяется пролапс створок аортального клапана, в поперечной — эл</w:t>
                    <w:softHyphen/>
                    <w:t>липсовидная форма открытия аортального клапана в фазу неполной систолы.</w:t>
                  </w:r>
                </w:p>
              </w:txbxContent>
            </v:textbox>
            <w10:wrap type="topAndBottom" anchorx="margin" anchory="margin"/>
          </v:shape>
        </w:pict>
      </w:r>
      <w:r>
        <w:rPr>
          <w:lang w:val="ru-RU" w:eastAsia="ru-RU" w:bidi="ru-RU"/>
          <w:w w:val="100"/>
          <w:spacing w:val="0"/>
          <w:color w:val="000000"/>
          <w:position w:val="0"/>
        </w:rPr>
        <w:t>Трехмерная модификация двухмерной чрезпищевод- ной эхокардиографии позволяет получить объемное изображение аортального клапана, его морфологию и функцию. Так, данный метод позволяет достоверно отличить «шов» от приобретенного сращения полулу- ний, выявить место разрыва створки, определить ве</w:t>
        <w:softHyphen/>
        <w:t>гетации на клапане.</w:t>
      </w:r>
    </w:p>
    <w:p>
      <w:pPr>
        <w:pStyle w:val="Style30"/>
        <w:numPr>
          <w:ilvl w:val="0"/>
          <w:numId w:val="63"/>
        </w:numPr>
        <w:tabs>
          <w:tab w:leader="none" w:pos="47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 данным допплерографии считается, что двуствор - чатый аортальный клапан нормально функциониру</w:t>
        <w:softHyphen/>
        <w:t xml:space="preserve">ет, если средний градиент в аорте не превышает 15 мм рт. ст. </w:t>
      </w:r>
      <w:r>
        <w:rPr>
          <w:lang w:val="en-US" w:eastAsia="en-US" w:bidi="en-US"/>
          <w:w w:val="100"/>
          <w:spacing w:val="0"/>
          <w:color w:val="000000"/>
          <w:position w:val="0"/>
        </w:rPr>
        <w:t xml:space="preserve">(Pachulski R.T., Chan K.L., </w:t>
      </w:r>
      <w:r>
        <w:rPr>
          <w:lang w:val="ru-RU" w:eastAsia="ru-RU" w:bidi="ru-RU"/>
          <w:w w:val="100"/>
          <w:spacing w:val="0"/>
          <w:color w:val="000000"/>
          <w:position w:val="0"/>
        </w:rPr>
        <w:t>1993). С помощью допплерографии уточняется величина клапанной об</w:t>
        <w:softHyphen/>
        <w:t>струкции и аортальной регургитации.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Тяжесть бикуспидального стеноза определяется по вели</w:t>
        <w:softHyphen/>
        <w:t>чине систолического градиента:</w:t>
      </w:r>
    </w:p>
    <w:p>
      <w:pPr>
        <w:pStyle w:val="Style30"/>
        <w:numPr>
          <w:ilvl w:val="0"/>
          <w:numId w:val="63"/>
        </w:numPr>
        <w:tabs>
          <w:tab w:leader="none" w:pos="47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Умеренный стеноз — систолический градиент &lt; 50 мм рт. ст.</w:t>
      </w:r>
    </w:p>
    <w:p>
      <w:pPr>
        <w:pStyle w:val="Style30"/>
        <w:numPr>
          <w:ilvl w:val="0"/>
          <w:numId w:val="63"/>
        </w:numPr>
        <w:tabs>
          <w:tab w:leader="none" w:pos="47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Тяжелый стеноз — систолический градиент от 50 до 80 мм рт. ст.</w:t>
      </w:r>
    </w:p>
    <w:p>
      <w:pPr>
        <w:pStyle w:val="Style30"/>
        <w:numPr>
          <w:ilvl w:val="0"/>
          <w:numId w:val="63"/>
        </w:numPr>
        <w:tabs>
          <w:tab w:leader="none" w:pos="47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Критический стеноз — систолический градиент &gt; 80 мм рт. 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Если происходит увеличение градиента обструкции на </w:t>
      </w:r>
      <w:r>
        <w:rPr>
          <w:rStyle w:val="CharStyle32"/>
        </w:rPr>
        <w:t xml:space="preserve">8 </w:t>
      </w:r>
      <w:r>
        <w:rPr>
          <w:lang w:val="ru-RU" w:eastAsia="ru-RU" w:bidi="ru-RU"/>
          <w:w w:val="100"/>
          <w:spacing w:val="0"/>
          <w:color w:val="000000"/>
          <w:position w:val="0"/>
        </w:rPr>
        <w:t>и более мм рт. ст. в год, имеет место прогрессирование сте</w:t>
        <w:softHyphen/>
        <w:t>ноза.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Величина диастолического регургитантного потока оп</w:t>
        <w:softHyphen/>
        <w:t>ределяется по площади распространения потока в левом желудочке:</w:t>
      </w:r>
    </w:p>
    <w:p>
      <w:pPr>
        <w:pStyle w:val="Style30"/>
        <w:numPr>
          <w:ilvl w:val="0"/>
          <w:numId w:val="67"/>
        </w:numPr>
        <w:tabs>
          <w:tab w:leader="none" w:pos="47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 регургитантный поток регистрируется непосредственно под створками аортального клапана.</w:t>
      </w:r>
    </w:p>
    <w:p>
      <w:pPr>
        <w:pStyle w:val="Style30"/>
        <w:numPr>
          <w:ilvl w:val="0"/>
          <w:numId w:val="67"/>
        </w:numPr>
        <w:tabs>
          <w:tab w:leader="none" w:pos="47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 регургитантный поток распространя</w:t>
        <w:softHyphen/>
        <w:t>ется до уровня передней створки митрального клапана.</w:t>
      </w:r>
    </w:p>
    <w:p>
      <w:pPr>
        <w:pStyle w:val="Style30"/>
        <w:numPr>
          <w:ilvl w:val="0"/>
          <w:numId w:val="67"/>
        </w:numPr>
        <w:tabs>
          <w:tab w:leader="none" w:pos="47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 регургитантный поток распространя</w:t>
        <w:softHyphen/>
        <w:t>ется до уровня папиллярных мышц.</w:t>
      </w:r>
    </w:p>
    <w:p>
      <w:pPr>
        <w:pStyle w:val="Style30"/>
        <w:numPr>
          <w:ilvl w:val="0"/>
          <w:numId w:val="67"/>
        </w:numPr>
        <w:tabs>
          <w:tab w:leader="none" w:pos="47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 — регургитантный поток регистриру</w:t>
        <w:softHyphen/>
        <w:t>ется в полости левого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Дифференциальная диагностика</w:t>
      </w:r>
    </w:p>
    <w:p>
      <w:pPr>
        <w:pStyle w:val="Style30"/>
        <w:numPr>
          <w:ilvl w:val="0"/>
          <w:numId w:val="63"/>
        </w:numPr>
        <w:tabs>
          <w:tab w:leader="none" w:pos="47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Аортальный стеноз клапанный.</w:t>
      </w:r>
    </w:p>
    <w:p>
      <w:pPr>
        <w:pStyle w:val="Style30"/>
        <w:numPr>
          <w:ilvl w:val="0"/>
          <w:numId w:val="63"/>
        </w:numPr>
        <w:tabs>
          <w:tab w:leader="none" w:pos="47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Аортальный стеноз надклапанный.</w:t>
      </w:r>
    </w:p>
    <w:p>
      <w:pPr>
        <w:pStyle w:val="Style30"/>
        <w:numPr>
          <w:ilvl w:val="0"/>
          <w:numId w:val="63"/>
        </w:numPr>
        <w:tabs>
          <w:tab w:leader="none" w:pos="47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Аортальный стеноз подклапанный.</w:t>
      </w:r>
    </w:p>
    <w:p>
      <w:pPr>
        <w:pStyle w:val="Style30"/>
        <w:numPr>
          <w:ilvl w:val="0"/>
          <w:numId w:val="63"/>
        </w:numPr>
        <w:tabs>
          <w:tab w:leader="none" w:pos="47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Аортальная недостаточность.</w:t>
      </w:r>
    </w:p>
    <w:p>
      <w:pPr>
        <w:pStyle w:val="Style30"/>
        <w:numPr>
          <w:ilvl w:val="0"/>
          <w:numId w:val="63"/>
        </w:numPr>
        <w:tabs>
          <w:tab w:leader="none" w:pos="47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Клапанный стеноз легочной артерии.</w:t>
      </w:r>
    </w:p>
    <w:p>
      <w:pPr>
        <w:pStyle w:val="Style92"/>
        <w:widowControl w:val="0"/>
        <w:keepNext/>
        <w:keepLines/>
        <w:shd w:val="clear" w:color="auto" w:fill="auto"/>
        <w:bidi w:val="0"/>
        <w:spacing w:before="0" w:after="0"/>
        <w:ind w:left="0" w:right="0" w:firstLine="280"/>
      </w:pPr>
      <w:r>
        <w:br w:type="column"/>
      </w:r>
      <w:bookmarkStart w:id="435" w:name="bookmark435"/>
      <w:r>
        <w:rPr>
          <w:lang w:val="ru-RU" w:eastAsia="ru-RU" w:bidi="ru-RU"/>
          <w:w w:val="100"/>
          <w:spacing w:val="0"/>
          <w:color w:val="000000"/>
          <w:position w:val="0"/>
        </w:rPr>
        <w:t>Осложнения</w:t>
      </w:r>
      <w:bookmarkEnd w:id="435"/>
    </w:p>
    <w:p>
      <w:pPr>
        <w:pStyle w:val="Style30"/>
        <w:numPr>
          <w:ilvl w:val="0"/>
          <w:numId w:val="63"/>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Инфекционный эндокардит (возникает в 10-30%).</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Развитие фиброза и кальциноза аортального клапана (возрастно-зависимый процесс, ускоряется при на</w:t>
        <w:softHyphen/>
        <w:t>личии факторов риска атеросклероза).</w:t>
      </w:r>
    </w:p>
    <w:p>
      <w:pPr>
        <w:pStyle w:val="Style30"/>
        <w:numPr>
          <w:ilvl w:val="0"/>
          <w:numId w:val="63"/>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Расслаивающая аневризма аорты.</w:t>
      </w:r>
    </w:p>
    <w:p>
      <w:pPr>
        <w:pStyle w:val="Style30"/>
        <w:numPr>
          <w:ilvl w:val="0"/>
          <w:numId w:val="63"/>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Развитие аортальной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профилактика</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неосложненном течении порока (отсутствие аортального стенозирования и/или регургитации) ле</w:t>
        <w:softHyphen/>
        <w:t>чение не проводится, физическая активность не огра</w:t>
        <w:softHyphen/>
        <w:t>ничивается.</w:t>
      </w:r>
    </w:p>
    <w:p>
      <w:pPr>
        <w:pStyle w:val="Style30"/>
        <w:numPr>
          <w:ilvl w:val="0"/>
          <w:numId w:val="63"/>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Профилактика инфекционного эндокардита.</w:t>
      </w:r>
    </w:p>
    <w:p>
      <w:pPr>
        <w:pStyle w:val="Style30"/>
        <w:numPr>
          <w:ilvl w:val="0"/>
          <w:numId w:val="63"/>
        </w:numPr>
        <w:tabs>
          <w:tab w:leader="none" w:pos="520" w:val="left"/>
        </w:tabs>
        <w:widowControl w:val="0"/>
        <w:keepNext w:val="0"/>
        <w:keepLines w:val="0"/>
        <w:shd w:val="clear" w:color="auto" w:fill="auto"/>
        <w:bidi w:val="0"/>
        <w:spacing w:before="0" w:after="242"/>
        <w:ind w:left="0" w:right="0" w:firstLine="280"/>
      </w:pPr>
      <w:r>
        <w:rPr>
          <w:lang w:val="ru-RU" w:eastAsia="ru-RU" w:bidi="ru-RU"/>
          <w:w w:val="100"/>
          <w:spacing w:val="0"/>
          <w:color w:val="000000"/>
          <w:position w:val="0"/>
        </w:rPr>
        <w:t>Профилактика дислипопротеинемий.</w:t>
      </w:r>
    </w:p>
    <w:p>
      <w:pPr>
        <w:pStyle w:val="Style28"/>
        <w:widowControl w:val="0"/>
        <w:keepNext/>
        <w:keepLines/>
        <w:shd w:val="clear" w:color="auto" w:fill="auto"/>
        <w:bidi w:val="0"/>
        <w:jc w:val="left"/>
        <w:spacing w:before="0" w:after="118" w:line="288" w:lineRule="exact"/>
        <w:ind w:left="0" w:right="0" w:firstLine="0"/>
      </w:pPr>
      <w:bookmarkStart w:id="436" w:name="bookmark436"/>
      <w:r>
        <w:rPr>
          <w:lang w:val="ru-RU" w:eastAsia="ru-RU" w:bidi="ru-RU"/>
          <w:w w:val="100"/>
          <w:spacing w:val="0"/>
          <w:color w:val="000000"/>
          <w:position w:val="0"/>
        </w:rPr>
        <w:t>Недостаточность трехстворчатого клапана</w:t>
      </w:r>
      <w:bookmarkEnd w:id="43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Истинная недостаточность трикуспидального клапана встречается весьма часто: эта патология является пятой по частоте встречаемости среди больных старше 15 лет, опери</w:t>
        <w:softHyphen/>
        <w:t>руемых по поводу клапанной патологии. Трикуспидальная недостаточность может быть обусловлена поражением лю</w:t>
        <w:softHyphen/>
        <w:t>бой из составных частей трехстворчатого клапана — ство</w:t>
        <w:softHyphen/>
        <w:t>рок, хордальных нитей, кольца клапана, папиллярных мышц и даже миокарда правого желудочка. По механизму действия недостаточность трехстворчатого клапана класси</w:t>
        <w:softHyphen/>
        <w:t>фицируется на первичную (если есть врожденная аномалия развития) и вторичную (на фоне перегрузки правого желу</w:t>
        <w:softHyphen/>
        <w:t>дочка объемом или давлением).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недостаточности трикуспидального клапана в детской популяции не установлена.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Трикуспидальная недостаточность одинаково часто встречается у мальчиков и девочек.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pict>
          <v:shape id="_x0000_s1364" type="#_x0000_t75" style="position:absolute;margin-left:147.95pt;margin-top:736.8pt;width:209.75pt;height:14.9pt;z-index:-125829153;mso-wrap-distance-left:147.85pt;mso-wrap-distance-right:136.8pt;mso-wrap-distance-bottom:10.8pt;mso-position-horizontal-relative:margin;mso-position-vertical-relative:margin" wrapcoords="0 0 21600 0 21600 21600 0 21600 0 0">
            <v:imagedata r:id="rId556" r:href="rId557"/>
            <w10:wrap type="topAndBottom" anchorx="margin" anchory="margin"/>
          </v:shape>
        </w:pict>
      </w:r>
      <w:r>
        <w:rPr>
          <w:lang w:val="ru-RU" w:eastAsia="ru-RU" w:bidi="ru-RU"/>
          <w:w w:val="100"/>
          <w:spacing w:val="0"/>
          <w:color w:val="000000"/>
          <w:position w:val="0"/>
        </w:rPr>
        <w:t>Аномалия Эбштейна обычно диагностируется при рож</w:t>
        <w:softHyphen/>
        <w:t>дении или в раннем возрасте. У пациентов старше 15 лет на</w:t>
        <w:softHyphen/>
        <w:t>иболее частой причиной недостаточности трикуспидально -</w:t>
      </w:r>
      <w:r>
        <w:br w:type="page"/>
      </w:r>
    </w:p>
    <w:p>
      <w:pPr>
        <w:framePr w:h="4171" w:wrap="notBeside" w:vAnchor="text" w:hAnchor="text" w:xAlign="center" w:y="1"/>
        <w:widowControl w:val="0"/>
        <w:jc w:val="center"/>
        <w:rPr>
          <w:sz w:val="2"/>
          <w:szCs w:val="2"/>
        </w:rPr>
      </w:pPr>
      <w:r>
        <w:pict>
          <v:shape id="_x0000_s1365" type="#_x0000_t75" style="width:236pt;height:209pt;">
            <v:imagedata r:id="rId558" r:href="rId559"/>
          </v:shape>
        </w:pict>
      </w:r>
    </w:p>
    <w:p>
      <w:pPr>
        <w:widowControl w:val="0"/>
        <w:spacing w:line="540" w:lineRule="exact"/>
        <w:rPr>
          <w:sz w:val="24"/>
          <w:szCs w:val="24"/>
        </w:rPr>
      </w:pPr>
    </w:p>
    <w:p>
      <w:pPr>
        <w:framePr w:h="110" w:wrap="notBeside" w:vAnchor="text" w:hAnchor="text" w:xAlign="center" w:y="1"/>
        <w:widowControl w:val="0"/>
        <w:jc w:val="center"/>
        <w:rPr>
          <w:sz w:val="2"/>
          <w:szCs w:val="2"/>
        </w:rPr>
      </w:pPr>
      <w:r>
        <w:pict>
          <v:shape id="_x0000_s1366" type="#_x0000_t75" style="width:236pt;height:6pt;">
            <v:imagedata r:id="rId560" r:href="rId561"/>
          </v:shape>
        </w:pict>
      </w:r>
    </w:p>
    <w:p>
      <w:pPr>
        <w:pStyle w:val="Style120"/>
        <w:framePr w:h="110"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25"/>
        </w:rPr>
        <w:t xml:space="preserve">Рис. 50. </w:t>
      </w:r>
      <w:r>
        <w:rPr>
          <w:lang w:val="ru-RU" w:eastAsia="ru-RU" w:bidi="ru-RU"/>
          <w:w w:val="100"/>
          <w:spacing w:val="0"/>
          <w:color w:val="000000"/>
          <w:position w:val="0"/>
        </w:rPr>
        <w:t>Пролапс трикуспидального клапана (указано стрелкой).</w:t>
      </w:r>
    </w:p>
    <w:p>
      <w:pPr>
        <w:widowControl w:val="0"/>
        <w:rPr>
          <w:sz w:val="2"/>
          <w:szCs w:val="2"/>
        </w:rPr>
      </w:pPr>
    </w:p>
    <w:p>
      <w:pPr>
        <w:pStyle w:val="Style30"/>
        <w:widowControl w:val="0"/>
        <w:keepNext w:val="0"/>
        <w:keepLines w:val="0"/>
        <w:shd w:val="clear" w:color="auto" w:fill="auto"/>
        <w:bidi w:val="0"/>
        <w:spacing w:before="741" w:after="0"/>
        <w:ind w:left="0" w:right="0" w:firstLine="0"/>
      </w:pPr>
      <w:r>
        <w:rPr>
          <w:lang w:val="ru-RU" w:eastAsia="ru-RU" w:bidi="ru-RU"/>
          <w:w w:val="100"/>
          <w:spacing w:val="0"/>
          <w:color w:val="000000"/>
          <w:position w:val="0"/>
        </w:rPr>
        <w:t>го клапана является ревматизм, бактериальный эндокардит и застойная сердечная недостаточность.</w: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Этиология</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Основные причины, которые могут вызвать трикуспи</w:t>
        <w:softHyphen/>
        <w:t>дальную недостаточность:</w:t>
      </w:r>
    </w:p>
    <w:p>
      <w:pPr>
        <w:pStyle w:val="Style30"/>
        <w:numPr>
          <w:ilvl w:val="0"/>
          <w:numId w:val="63"/>
        </w:numPr>
        <w:tabs>
          <w:tab w:leader="none" w:pos="518"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Ревматические заболевания сердца:</w:t>
      </w:r>
    </w:p>
    <w:p>
      <w:pPr>
        <w:pStyle w:val="Style30"/>
        <w:numPr>
          <w:ilvl w:val="0"/>
          <w:numId w:val="65"/>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трикуспидальная недостаточность может быть вто - ричной на фоне текущего ревматического процес</w:t>
        <w:softHyphen/>
        <w:t>са и обычно в сочетании с ревматическим пораже</w:t>
        <w:softHyphen/>
        <w:t>нием митрального клапана;</w:t>
      </w:r>
    </w:p>
    <w:p>
      <w:pPr>
        <w:pStyle w:val="Style30"/>
        <w:numPr>
          <w:ilvl w:val="0"/>
          <w:numId w:val="65"/>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створки клапана обычно диффузно утолщаются без образования комиссуральных спаек, утолще</w:t>
        <w:softHyphen/>
        <w:t>ния хорд или отложения кальцинатов;</w:t>
      </w:r>
    </w:p>
    <w:p>
      <w:pPr>
        <w:pStyle w:val="Style30"/>
        <w:numPr>
          <w:ilvl w:val="0"/>
          <w:numId w:val="65"/>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хорды, однако, могут быть несколько утолщенны</w:t>
        <w:softHyphen/>
        <w:t>ми за счет соединительной ткани;</w:t>
      </w:r>
    </w:p>
    <w:p>
      <w:pPr>
        <w:pStyle w:val="Style30"/>
        <w:numPr>
          <w:ilvl w:val="0"/>
          <w:numId w:val="65"/>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именно ревматическое поражение створок трикус</w:t>
        <w:softHyphen/>
        <w:t>пидального клапана приводит к истинной трикус</w:t>
        <w:softHyphen/>
        <w:t>пидальной недостаточности вследствие деформа</w:t>
        <w:softHyphen/>
        <w:t>ции створок.</w:t>
      </w:r>
    </w:p>
    <w:p>
      <w:pPr>
        <w:pStyle w:val="Style30"/>
        <w:numPr>
          <w:ilvl w:val="0"/>
          <w:numId w:val="63"/>
        </w:numPr>
        <w:tabs>
          <w:tab w:leader="none" w:pos="518"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Эндокардит:</w:t>
      </w:r>
    </w:p>
    <w:p>
      <w:pPr>
        <w:pStyle w:val="Style30"/>
        <w:numPr>
          <w:ilvl w:val="0"/>
          <w:numId w:val="65"/>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это весьма серьезная и часто встречаемая причина трикуспидальной недостаточности. К инфекцион</w:t>
        <w:softHyphen/>
        <w:t>ному поражению клапана предрасполагают: алко</w:t>
        <w:softHyphen/>
        <w:t>голизм, употребление опиоидов, опухоли, дли</w:t>
        <w:softHyphen/>
        <w:t>тельно стоящие катетеры, врожденные формы им</w:t>
        <w:softHyphen/>
        <w:t>мунодефицита;</w:t>
      </w:r>
    </w:p>
    <w:p>
      <w:pPr>
        <w:pStyle w:val="Style30"/>
        <w:numPr>
          <w:ilvl w:val="0"/>
          <w:numId w:val="65"/>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очень часто клинической презентацией инфекци</w:t>
        <w:softHyphen/>
        <w:t>онного эндокардита является пневмония. Непо</w:t>
        <w:softHyphen/>
        <w:t>средственной причиной эндокардита при этом мо</w:t>
        <w:softHyphen/>
        <w:t>жет быть инфицированный эмбол. Редко при этом выслушивается сердечный шум. Нередко на фоне вышеописанных изменений возникают аннуляр- ные абсцессы.</w:t>
      </w:r>
    </w:p>
    <w:p>
      <w:pPr>
        <w:pStyle w:val="Style30"/>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Аномалия Эбштейна:</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данное состояние является врожденной аномали</w:t>
        <w:softHyphen/>
        <w:t>ей развития трикуспидального клапана, характе</w:t>
        <w:softHyphen/>
        <w:t>ризующейся смещением крепления створки три</w:t>
        <w:softHyphen/>
        <w:t>куспидального клапана (чаще задней створки) и приводящей к атриализации участка миокарда правого желудочка;</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прогноз для таких больных определяется выражен</w:t>
        <w:softHyphen/>
        <w:t>ностью смещения кольца или створки трикуспи</w:t>
        <w:softHyphen/>
        <w:t>дального клапана и тяжестью выраженности ре- гургитации.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Пролапс трикуспидального клапана (рис. 50):</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частота возникновения пролапса трехстворчатого клапана варьирует от 0,3 до 3,2 процента популя</w:t>
        <w:softHyphen/>
        <w:t>ции;</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пролапс трикуспидального клапана обычно соче</w:t>
        <w:softHyphen/>
        <w:t>тается с пролапсом митрального клапана (не встречается в изолированном виде);</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гистологическое исследование выявляет усиление фиброзирования клапана.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Карциноидный синдром:</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истинная трикуспидальная регургитация может быть составным симптомом сердечного карцино- ида;</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белые фиброзные бляшки обычно возникают в правом желудочке, на эндокарде и на трикуспи</w:t>
        <w:softHyphen/>
        <w:t>дальном клапане и приводят к аномалиям крепле</w:t>
        <w:softHyphen/>
        <w:t>ния клапана к стенке правого желудочка;</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истинной систолической дисфункции обычно не возникает, а все изменения определяются наличи</w:t>
        <w:softHyphen/>
        <w:t>ем трикуспидальной регургитации.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Дисфункция папиллярных мышц:</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дисфункция папиллярных мышц может быть ре</w:t>
        <w:softHyphen/>
        <w:t>зультатом некроза, затрагивающего область па</w:t>
        <w:softHyphen/>
        <w:t>пиллярных мышц (обычно вследствие инфаркта), фиброза или инфильтративного процесса;</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несмотря на то что дисфункция папиллярных мышц обычно является вторичной на фоне ин</w:t>
        <w:softHyphen/>
        <w:t>фаркта (а он чаще затрагивает левый желудочек и папиллярные мышцы митрального клапана), эту причину исключать нельзя и при поражении пра</w:t>
        <w:softHyphen/>
        <w:t>вого желудочка.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Травма:</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травма правого желудочка может затрагивать об</w:t>
        <w:softHyphen/>
        <w:t>ласть трикуспидального клапана и приводить к на</w:t>
        <w:softHyphen/>
        <w:t>рушению его структуры и появлению трикуспи</w:t>
        <w:softHyphen/>
        <w:t>дальной регургитации;</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наиболее часто поражение трехстворчатого клапа</w:t>
        <w:softHyphen/>
        <w:t>на травматического характера возникает при пере</w:t>
        <w:softHyphen/>
        <w:t>ломах ребер.</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Заболевания соединительной ткани:</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больные с синдромом Марфана или другими со</w:t>
        <w:softHyphen/>
        <w:t>единительнотканными дисплазиями (синдром Элерса-Данлоса, несовершенный остеогенез и пр.) могут приводить к истинной трикуспидальной не</w:t>
        <w:softHyphen/>
        <w:t>достаточности;</w:t>
      </w:r>
    </w:p>
    <w:p>
      <w:pPr>
        <w:pStyle w:val="Style30"/>
        <w:numPr>
          <w:ilvl w:val="0"/>
          <w:numId w:val="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таких больных может наблюдаться поражение других клапанов;</w:t>
      </w:r>
    </w:p>
    <w:p>
      <w:pPr>
        <w:pStyle w:val="Style30"/>
        <w:numPr>
          <w:ilvl w:val="0"/>
          <w:numId w:val="65"/>
        </w:numPr>
        <w:tabs>
          <w:tab w:leader="none" w:pos="234" w:val="left"/>
        </w:tabs>
        <w:widowControl w:val="0"/>
        <w:keepNext w:val="0"/>
        <w:keepLines w:val="0"/>
        <w:shd w:val="clear" w:color="auto" w:fill="auto"/>
        <w:bidi w:val="0"/>
        <w:spacing w:before="0" w:after="0"/>
        <w:ind w:left="260" w:right="0"/>
        <w:sectPr>
          <w:type w:val="continuous"/>
          <w:pgSz w:w="11900" w:h="16840"/>
          <w:pgMar w:top="1554" w:left="1029" w:right="983" w:bottom="1741" w:header="0" w:footer="3" w:gutter="0"/>
          <w:rtlGutter w:val="0"/>
          <w:cols w:num="2" w:space="324"/>
          <w:noEndnote/>
          <w:docGrid w:linePitch="360"/>
        </w:sectPr>
      </w:pPr>
      <w:r>
        <w:rPr>
          <w:lang w:val="ru-RU" w:eastAsia="ru-RU" w:bidi="ru-RU"/>
          <w:w w:val="100"/>
          <w:spacing w:val="0"/>
          <w:color w:val="000000"/>
          <w:position w:val="0"/>
        </w:rPr>
        <w:t>этиологией трикуспидальной недостаточности яв</w:t>
        <w:softHyphen/>
        <w:t>ляется в данном случае умеренная дилатация коль</w:t>
        <w:softHyphen/>
        <w:t>ца трикуспидального клапана и чрезмерное проги</w:t>
        <w:softHyphen/>
        <w:t>бание створок клапана в систолу.</w:t>
      </w:r>
    </w:p>
    <w:p>
      <w:pPr>
        <w:widowControl w:val="0"/>
        <w:rPr>
          <w:sz w:val="2"/>
          <w:szCs w:val="2"/>
        </w:rPr>
      </w:pPr>
      <w:r>
        <w:pict>
          <v:shape id="_x0000_s1367" type="#_x0000_t202" style="position:static;width:595.pt;height:66.0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368" type="#_x0000_t75" style="position:absolute;margin-left:132.3pt;margin-top:0;width:209.75pt;height:14.9pt;z-index:-251658702;mso-wrap-distance-left:5.pt;mso-wrap-distance-right:5.pt;mso-position-horizontal-relative:margin" wrapcoords="0 0">
            <v:imagedata r:id="rId562" r:href="rId563"/>
            <w10:wrap anchorx="margin"/>
          </v:shape>
        </w:pict>
      </w:r>
    </w:p>
    <w:p>
      <w:pPr>
        <w:widowControl w:val="0"/>
        <w:rPr>
          <w:sz w:val="2"/>
          <w:szCs w:val="2"/>
        </w:rPr>
        <w:sectPr>
          <w:type w:val="continuous"/>
          <w:pgSz w:w="11900" w:h="16840"/>
          <w:pgMar w:top="1468" w:left="1119" w:right="893" w:bottom="192" w:header="0" w:footer="3" w:gutter="0"/>
          <w:rtlGutter w:val="0"/>
          <w:cols w:space="720"/>
          <w:noEndnote/>
          <w:docGrid w:linePitch="360"/>
        </w:sectPr>
      </w:pPr>
    </w:p>
    <w:p>
      <w:pPr>
        <w:pStyle w:val="Style30"/>
        <w:widowControl w:val="0"/>
        <w:keepNext w:val="0"/>
        <w:keepLines w:val="0"/>
        <w:shd w:val="clear" w:color="auto" w:fill="auto"/>
        <w:bidi w:val="0"/>
        <w:spacing w:before="0" w:after="0" w:line="192" w:lineRule="exact"/>
        <w:ind w:left="0" w:right="0" w:firstLine="0"/>
        <w:sectPr>
          <w:pgSz w:w="11900" w:h="16840"/>
          <w:pgMar w:top="1632" w:left="903" w:right="1124" w:bottom="206" w:header="0" w:footer="3" w:gutter="0"/>
          <w:rtlGutter w:val="0"/>
          <w:cols w:space="720"/>
          <w:noEndnote/>
          <w:docGrid w:linePitch="360"/>
        </w:sectPr>
      </w:pPr>
      <w:r>
        <w:pict>
          <v:shape id="_x0000_s1369" type="#_x0000_t75" style="position:absolute;margin-left:210.95pt;margin-top:-29.3pt;width:282.7pt;height:209.75pt;z-index:-125829152;mso-wrap-distance-left:31.2pt;mso-wrap-distance-right:5.pt;mso-position-horizontal-relative:margin" wrapcoords="0 0 21600 0 21600 21600 0 21600 0 0">
            <v:imagedata r:id="rId564" r:href="rId565"/>
            <w10:wrap type="square" side="left" anchorx="margin"/>
          </v:shape>
        </w:pict>
      </w:r>
      <w:r>
        <w:rPr>
          <w:rStyle w:val="CharStyle102"/>
        </w:rPr>
        <w:t xml:space="preserve">Рис. 51. </w:t>
      </w:r>
      <w:r>
        <w:rPr>
          <w:lang w:val="ru-RU" w:eastAsia="ru-RU" w:bidi="ru-RU"/>
          <w:w w:val="100"/>
          <w:spacing w:val="0"/>
          <w:color w:val="000000"/>
          <w:position w:val="0"/>
        </w:rPr>
        <w:t>Трикуспидальная недостаточность (ано</w:t>
        <w:softHyphen/>
        <w:t>мальное развитие клапана), большой вторичный де</w:t>
        <w:softHyphen/>
        <w:t>фект межпредсердной перегородки.</w:t>
      </w:r>
    </w:p>
    <w:p>
      <w:pPr>
        <w:widowControl w:val="0"/>
        <w:spacing w:before="56" w:after="56" w:line="240" w:lineRule="exact"/>
        <w:rPr>
          <w:sz w:val="19"/>
          <w:szCs w:val="19"/>
        </w:rPr>
      </w:pPr>
    </w:p>
    <w:p>
      <w:pPr>
        <w:widowControl w:val="0"/>
        <w:rPr>
          <w:sz w:val="2"/>
          <w:szCs w:val="2"/>
        </w:rPr>
        <w:sectPr>
          <w:type w:val="continuous"/>
          <w:pgSz w:w="11900" w:h="16840"/>
          <w:pgMar w:top="1569" w:left="0" w:right="0" w:bottom="1751" w:header="0" w:footer="3" w:gutter="0"/>
          <w:rtlGutter w:val="0"/>
          <w:cols w:space="720"/>
          <w:noEndnote/>
          <w:docGrid w:linePitch="360"/>
        </w:sectPr>
      </w:pPr>
    </w:p>
    <w:p>
      <w:pPr>
        <w:widowControl w:val="0"/>
        <w:rPr>
          <w:sz w:val="2"/>
          <w:szCs w:val="2"/>
        </w:rPr>
      </w:pPr>
      <w:r>
        <w:pict>
          <v:shape id="_x0000_s1370" type="#_x0000_t75" style="position:absolute;margin-left:141.1pt;margin-top:504.95pt;width:209.75pt;height:14.9pt;z-index:-125829151;mso-wrap-distance-left:135.35pt;mso-wrap-distance-right:136.55pt;mso-wrap-distance-bottom:10.8pt;mso-position-horizontal-relative:margin" wrapcoords="0 0 21600 0 21600 21600 0 21600 0 0">
            <v:imagedata r:id="rId566" r:href="rId567"/>
            <w10:wrap type="topAndBottom" anchorx="margin"/>
          </v:shape>
        </w:pict>
      </w:r>
    </w:p>
    <w:p>
      <w:pPr>
        <w:pStyle w:val="Style30"/>
        <w:numPr>
          <w:ilvl w:val="0"/>
          <w:numId w:val="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Относительная недостаточность трикуспидального клапана:</w:t>
      </w:r>
    </w:p>
    <w:p>
      <w:pPr>
        <w:pStyle w:val="Style30"/>
        <w:numPr>
          <w:ilvl w:val="0"/>
          <w:numId w:val="65"/>
        </w:numPr>
        <w:tabs>
          <w:tab w:leader="none" w:pos="57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частой причиной возникновения недостаточности трикуспидального клапана является дилатация правого желудочка;</w:t>
      </w:r>
    </w:p>
    <w:p>
      <w:pPr>
        <w:pStyle w:val="Style30"/>
        <w:numPr>
          <w:ilvl w:val="0"/>
          <w:numId w:val="65"/>
        </w:numPr>
        <w:tabs>
          <w:tab w:leader="none" w:pos="57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строение клапана при этом остается нормальным, однако растяжение камеры правого желудочка и дилатация кольца приводят к трикуспидальной регургитации:</w:t>
      </w:r>
    </w:p>
    <w:p>
      <w:pPr>
        <w:pStyle w:val="Style30"/>
        <w:numPr>
          <w:ilvl w:val="0"/>
          <w:numId w:val="65"/>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легочная гипертензия;</w:t>
      </w:r>
    </w:p>
    <w:p>
      <w:pPr>
        <w:pStyle w:val="Style30"/>
        <w:numPr>
          <w:ilvl w:val="0"/>
          <w:numId w:val="65"/>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дилатационная кардиомиопатия;</w:t>
      </w:r>
    </w:p>
    <w:p>
      <w:pPr>
        <w:pStyle w:val="Style30"/>
        <w:numPr>
          <w:ilvl w:val="0"/>
          <w:numId w:val="65"/>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инфаркт миокарда правого желудочка;</w:t>
      </w:r>
    </w:p>
    <w:p>
      <w:pPr>
        <w:pStyle w:val="Style30"/>
        <w:numPr>
          <w:ilvl w:val="0"/>
          <w:numId w:val="65"/>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миксома правого предсердия;</w:t>
      </w:r>
    </w:p>
    <w:p>
      <w:pPr>
        <w:pStyle w:val="Style30"/>
        <w:numPr>
          <w:ilvl w:val="0"/>
          <w:numId w:val="65"/>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идиопатическая аневризма правого предсердия;</w:t>
      </w:r>
    </w:p>
    <w:p>
      <w:pPr>
        <w:pStyle w:val="Style30"/>
        <w:numPr>
          <w:ilvl w:val="0"/>
          <w:numId w:val="65"/>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врожденное частичное отсутствие перикарда;</w:t>
      </w:r>
    </w:p>
    <w:p>
      <w:pPr>
        <w:pStyle w:val="Style30"/>
        <w:numPr>
          <w:ilvl w:val="0"/>
          <w:numId w:val="65"/>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аритмогенная дисплазия правого желудочка.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Патофизиология</w:t>
      </w:r>
    </w:p>
    <w:p>
      <w:pPr>
        <w:pStyle w:val="Style30"/>
        <w:numPr>
          <w:ilvl w:val="0"/>
          <w:numId w:val="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Патофизиология трикуспидальной недостаточности фокусируется на проблемах неадекватного функцио</w:t>
        <w:softHyphen/>
        <w:t>нирования каждой составной части клапана. Врож</w:t>
        <w:softHyphen/>
        <w:t>денные аномалии развития сердца могут приводить либо к первичному нарушению структуры створок или хордальных нитей, либо к вторичной недостаточности трикуспидального клапана вследствие миокардиаль</w:t>
        <w:softHyphen/>
        <w:t>ной дисфункции и/или дилатации правого желудочка.</w:t>
      </w:r>
    </w:p>
    <w:p>
      <w:pPr>
        <w:pStyle w:val="Style30"/>
        <w:numPr>
          <w:ilvl w:val="0"/>
          <w:numId w:val="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Весьма часто недостаточность трикуспидального кла</w:t>
        <w:softHyphen/>
        <w:t>пана выявляется в сочетании с трикуспидальным сте</w:t>
        <w:softHyphen/>
        <w:t>нозом. При этом причиной клапанной патологии чаще всего бывает ревматизм. Наиболее частым врожден</w:t>
        <w:softHyphen/>
        <w:t>ным пороком сердца, приводящим к трикуспидальной недостаточности, является аномалия Эбштейна.</w:t>
      </w:r>
    </w:p>
    <w:p>
      <w:pPr>
        <w:pStyle w:val="Style30"/>
        <w:numPr>
          <w:ilvl w:val="0"/>
          <w:numId w:val="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выраженной и длительно существующей недо</w:t>
        <w:softHyphen/>
        <w:t>статочности трикуспидального клапана хроническая перегрузка правого предсердия приводит к формиро</w:t>
        <w:softHyphen/>
        <w:t>ванию правожелудочковой застойной сердечной не</w:t>
        <w:softHyphen/>
        <w:t>достаточности, клинически представленной в виде застойной печени, периферических отеков и асцита. Вследствие нарушения легочного кровотока и изме</w:t>
        <w:softHyphen/>
        <w:t>нений в сосудах легких могут наблюдаться гипоксе- мия, цианоз и полицитемия.</w:t>
      </w:r>
    </w:p>
    <w:p>
      <w:pPr>
        <w:pStyle w:val="Style92"/>
        <w:widowControl w:val="0"/>
        <w:keepNext/>
        <w:keepLines/>
        <w:shd w:val="clear" w:color="auto" w:fill="auto"/>
        <w:bidi w:val="0"/>
        <w:spacing w:before="0" w:after="0" w:line="211" w:lineRule="exact"/>
        <w:ind w:left="520" w:right="0" w:hanging="240"/>
      </w:pPr>
      <w:r>
        <w:br w:type="column"/>
      </w:r>
      <w:bookmarkStart w:id="437" w:name="bookmark437"/>
      <w:r>
        <w:rPr>
          <w:lang w:val="ru-RU" w:eastAsia="ru-RU" w:bidi="ru-RU"/>
          <w:w w:val="100"/>
          <w:spacing w:val="0"/>
          <w:color w:val="000000"/>
          <w:position w:val="0"/>
        </w:rPr>
        <w:t>Анамнез, клиническая симптоматика</w:t>
      </w:r>
      <w:bookmarkEnd w:id="437"/>
    </w:p>
    <w:p>
      <w:pPr>
        <w:pStyle w:val="Style30"/>
        <w:numPr>
          <w:ilvl w:val="0"/>
          <w:numId w:val="63"/>
        </w:numPr>
        <w:tabs>
          <w:tab w:leader="none" w:pos="517"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Больной с недостаточностью трикуспидального клапа</w:t>
        <w:softHyphen/>
        <w:t>на может иметь признаки застойной правожелудочко</w:t>
        <w:softHyphen/>
        <w:t>вой сердечной недостаточности. Спектр симптомов и степень их выраженности определяются в основном вовлечением в патологический процесс еще и левого желудочка. В случае бивентрикулярного поражения одышка, снижение толерантности к физической на</w:t>
        <w:softHyphen/>
        <w:t>грузке и ночное диспноэ сопровождаются асцитом и периферическими отеками. Непереносимость физи</w:t>
        <w:softHyphen/>
        <w:t>ческой нагрузки и выраженная гипоксемия также мо</w:t>
        <w:softHyphen/>
        <w:t>гут быть одними из жалоб. Больные весьма редко жа</w:t>
        <w:softHyphen/>
        <w:t>луются на боли в области сердца. Это объясняется тем, что поражение трикуспидального клапана и перегруз</w:t>
        <w:softHyphen/>
        <w:t>ка правого желудочка очень редко вызывают вторич</w:t>
        <w:softHyphen/>
        <w:t>ные изменения кровоснабжения коронарных артерий.</w:t>
      </w:r>
    </w:p>
    <w:p>
      <w:pPr>
        <w:pStyle w:val="Style30"/>
        <w:numPr>
          <w:ilvl w:val="0"/>
          <w:numId w:val="63"/>
        </w:numPr>
        <w:tabs>
          <w:tab w:leader="none" w:pos="517"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Если все же пациент предъявляет стенокардитические жалобы, следует очень внимательно расспросить его по поводу фебрильных эпизодов в анамнезе (поскольку бо - ли могут быть обусловлены сопутствующим инфекци</w:t>
        <w:softHyphen/>
        <w:t>онным эндокардитом) или ревматических симптомов, которые могут поражать как митральный клапан (вызы</w:t>
        <w:softHyphen/>
        <w:t>вая боли в сердце), так и трикуспидальный клапан.</w:t>
      </w:r>
    </w:p>
    <w:p>
      <w:pPr>
        <w:pStyle w:val="Style30"/>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Физикальные данные:</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Помимо ритма галопа, который обычно выслушивается у больного, при проведении осмотра необходимо обратить внимание на следующие симптомы:</w:t>
      </w:r>
    </w:p>
    <w:p>
      <w:pPr>
        <w:pStyle w:val="Style30"/>
        <w:numPr>
          <w:ilvl w:val="0"/>
          <w:numId w:val="63"/>
        </w:numPr>
        <w:tabs>
          <w:tab w:leader="none" w:pos="517"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 xml:space="preserve">Пульсация яремных вен с выраженной </w:t>
      </w:r>
      <w:r>
        <w:rPr>
          <w:lang w:val="en-US" w:eastAsia="en-US" w:bidi="en-US"/>
          <w:w w:val="100"/>
          <w:spacing w:val="0"/>
          <w:color w:val="000000"/>
          <w:position w:val="0"/>
        </w:rPr>
        <w:t>V</w:t>
      </w:r>
      <w:r>
        <w:rPr>
          <w:lang w:val="ru-RU" w:eastAsia="ru-RU" w:bidi="ru-RU"/>
          <w:w w:val="100"/>
          <w:spacing w:val="0"/>
          <w:color w:val="000000"/>
          <w:position w:val="0"/>
        </w:rPr>
        <w:t>-волной. Ес</w:t>
        <w:softHyphen/>
        <w:t>ли у больного наличествует данный симптом, обычно выслушивается пансистолический шум по левому краю грудины с инспираторной акцентуацией.</w:t>
      </w:r>
    </w:p>
    <w:p>
      <w:pPr>
        <w:pStyle w:val="Style30"/>
        <w:numPr>
          <w:ilvl w:val="0"/>
          <w:numId w:val="63"/>
        </w:numPr>
        <w:tabs>
          <w:tab w:leader="none" w:pos="517"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Снижение наполнения периферического пульса. Этот симптом обычно вторичен в связи с уменьшени</w:t>
        <w:softHyphen/>
        <w:t>ем сердечного выброса (уменьшается возврат крови в левый желудочек). У таких больных обычно имеет</w:t>
        <w:softHyphen/>
        <w:t>ся выраженная артериальная гипотензия (вторичная в связи с большим количеством принимаемых препа</w:t>
        <w:softHyphen/>
        <w:t>ратов, снижающих объем циркулирующей крови).</w:t>
      </w:r>
    </w:p>
    <w:p>
      <w:pPr>
        <w:pStyle w:val="Style30"/>
        <w:numPr>
          <w:ilvl w:val="0"/>
          <w:numId w:val="63"/>
        </w:numPr>
        <w:tabs>
          <w:tab w:leader="none" w:pos="517"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Дыхательная недостаточность в связи с левожелудоч - ковой дисфункцией или сопутствующим митраль</w:t>
        <w:softHyphen/>
        <w:t>ным стенозом.</w:t>
      </w:r>
      <w:r>
        <w:br w:type="page"/>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Правожелудочковая недостаточность и ритм галопа, усиливающийся на вдохе.</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Асцит.</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Периферические отеки.</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Кахексия, цианоз, слабость.</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Трепетание предсердий.</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Пансистолический шум высокой интенсивности, на</w:t>
        <w:softHyphen/>
        <w:t>иболее выраженный в четвертом межреберном проме</w:t>
        <w:softHyphen/>
        <w:t>жутке по парастернальной линии, может быть необы</w:t>
        <w:softHyphen/>
        <w:t>чайно сильным. Шум усиливается на вдохе. При пере</w:t>
        <w:softHyphen/>
        <w:t>ходе в ортоположение или при пробах Вальсальвы ин</w:t>
        <w:softHyphen/>
        <w:t>тенсивность шума снижается. Также может выслуши</w:t>
        <w:softHyphen/>
        <w:t>ваться короткий ранний диастолический шум.</w:t>
      </w:r>
    </w:p>
    <w:p>
      <w:pPr>
        <w:pStyle w:val="Style30"/>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Дифференциальный диагноз</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Асцит.</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Фибрилляция предсердий.</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Билиарные нарушения.</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Сердечный карциноид.</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Опухоль кишечника.</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Кардиальный фиброз.</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Кардиогенный шок.</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Дилатационная кардиомиопатия.</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Цирроз печени.</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Легочное сердце.</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Аномалия Эбштейна.</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Синдром Эйзенменгера.</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Сердечная недостаточность.</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Митральная регургитация.</w:t>
      </w:r>
    </w:p>
    <w:p>
      <w:pPr>
        <w:pStyle w:val="Style30"/>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Лабораторная диагностика</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Биохимический анализ крови может выявить повыше</w:t>
        <w:softHyphen/>
        <w:t>ние активности печеночных ферментов и гипербилируби- немию как вторичные проявления нарушения функции пе</w:t>
        <w:softHyphen/>
        <w:t>чени на фоне ее застойных изменений.</w:t>
      </w:r>
    </w:p>
    <w:p>
      <w:pPr>
        <w:pStyle w:val="Style30"/>
        <w:widowControl w:val="0"/>
        <w:keepNext w:val="0"/>
        <w:keepLines w:val="0"/>
        <w:shd w:val="clear" w:color="auto" w:fill="auto"/>
        <w:bidi w:val="0"/>
        <w:jc w:val="left"/>
        <w:spacing w:before="0" w:after="0" w:line="211" w:lineRule="exact"/>
        <w:ind w:left="280" w:right="2100" w:firstLine="0"/>
      </w:pPr>
      <w:r>
        <w:rPr>
          <w:lang w:val="ru-RU" w:eastAsia="ru-RU" w:bidi="ru-RU"/>
          <w:w w:val="100"/>
          <w:spacing w:val="0"/>
          <w:color w:val="000000"/>
          <w:position w:val="0"/>
        </w:rPr>
        <w:t>Инструментальная диагностика Электрокардиография:</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Электрокардиографические изменения обычно не</w:t>
        <w:softHyphen/>
        <w:t xml:space="preserve">специфичны. Часто выявляются неполная блокада правой ножки пучка Гиса, глубокие зубцы </w:t>
      </w:r>
      <w:r>
        <w:rPr>
          <w:lang w:val="en-US" w:eastAsia="en-US" w:bidi="en-US"/>
          <w:w w:val="100"/>
          <w:spacing w:val="0"/>
          <w:color w:val="000000"/>
          <w:position w:val="0"/>
        </w:rPr>
        <w:t xml:space="preserve">Q </w:t>
      </w:r>
      <w:r>
        <w:rPr>
          <w:lang w:val="ru-RU" w:eastAsia="ru-RU" w:bidi="ru-RU"/>
          <w:w w:val="100"/>
          <w:spacing w:val="0"/>
          <w:color w:val="000000"/>
          <w:position w:val="0"/>
        </w:rPr>
        <w:t>в отведе</w:t>
        <w:softHyphen/>
        <w:t xml:space="preserve">нии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а также фибрилляция предсердий.</w:t>
      </w:r>
    </w:p>
    <w:p>
      <w:pPr>
        <w:pStyle w:val="Style30"/>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Рентгенография:</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Рентгенографическое исследование обычно выявляет кардиомегалию, признаки перегрузки правого пред</w:t>
        <w:softHyphen/>
        <w:t>сердия, включая дилатацию непарной вены, а также признаки выпота в плевральную полость. Могут быть признаки асцита с элевацией диафрагмы. Также ха</w:t>
        <w:softHyphen/>
        <w:t>рактерны проявления артериальной и венозной ле</w:t>
        <w:softHyphen/>
        <w:t>гочной гипертензии.</w:t>
      </w:r>
    </w:p>
    <w:p>
      <w:pPr>
        <w:pStyle w:val="Style30"/>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Эхокардиография (рис. 51):</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Одномерная ЭхоКГ:</w:t>
      </w:r>
    </w:p>
    <w:p>
      <w:pPr>
        <w:pStyle w:val="Style30"/>
        <w:numPr>
          <w:ilvl w:val="0"/>
          <w:numId w:val="65"/>
        </w:numPr>
        <w:tabs>
          <w:tab w:leader="none" w:pos="734"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объемная перегрузка правого желудочка (дилата</w:t>
        <w:softHyphen/>
        <w:t>ция правого желудочка, парадоксальное движение межжелудочковой перегородки);</w:t>
      </w:r>
    </w:p>
    <w:p>
      <w:pPr>
        <w:pStyle w:val="Style30"/>
        <w:numPr>
          <w:ilvl w:val="0"/>
          <w:numId w:val="65"/>
        </w:numPr>
        <w:tabs>
          <w:tab w:leader="none" w:pos="734"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умеренное утолщение створок трикуспидального клапана;</w:t>
      </w:r>
    </w:p>
    <w:p>
      <w:pPr>
        <w:pStyle w:val="Style30"/>
        <w:numPr>
          <w:ilvl w:val="0"/>
          <w:numId w:val="65"/>
        </w:numPr>
        <w:tabs>
          <w:tab w:leader="none" w:pos="734"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преждевременное открытие клапана легочной ар</w:t>
        <w:softHyphen/>
        <w:t>терии.</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Двухмерная ЭхоКГ:</w:t>
      </w:r>
    </w:p>
    <w:p>
      <w:pPr>
        <w:pStyle w:val="Style30"/>
        <w:numPr>
          <w:ilvl w:val="0"/>
          <w:numId w:val="65"/>
        </w:numPr>
        <w:tabs>
          <w:tab w:leader="none" w:pos="734"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объемная перегрузка правого предсердия (дилата</w:t>
        <w:softHyphen/>
        <w:t>ция полости и систолическая экспансия стенок);</w:t>
      </w:r>
    </w:p>
    <w:p>
      <w:pPr>
        <w:pStyle w:val="Style30"/>
        <w:numPr>
          <w:ilvl w:val="0"/>
          <w:numId w:val="65"/>
        </w:numPr>
        <w:tabs>
          <w:tab w:leader="none" w:pos="734"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дилатация и усиленная пульсация нижней полой вены;</w:t>
      </w:r>
    </w:p>
    <w:p>
      <w:pPr>
        <w:pStyle w:val="Style30"/>
        <w:numPr>
          <w:ilvl w:val="0"/>
          <w:numId w:val="65"/>
        </w:numPr>
        <w:tabs>
          <w:tab w:leader="none" w:pos="734"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отсутствие полного смыкания створок в систолу;</w:t>
      </w:r>
    </w:p>
    <w:p>
      <w:pPr>
        <w:pStyle w:val="Style30"/>
        <w:numPr>
          <w:ilvl w:val="0"/>
          <w:numId w:val="65"/>
        </w:numPr>
        <w:tabs>
          <w:tab w:leader="none" w:pos="734"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дилатация правого атриовентрикулярного кольца.</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20" w:right="0" w:hanging="240"/>
      </w:pPr>
      <w:r>
        <w:br w:type="column"/>
      </w:r>
      <w:r>
        <w:rPr>
          <w:lang w:val="ru-RU" w:eastAsia="ru-RU" w:bidi="ru-RU"/>
          <w:w w:val="100"/>
          <w:spacing w:val="0"/>
          <w:color w:val="000000"/>
          <w:position w:val="0"/>
        </w:rPr>
        <w:t>Допплер ЭхоКГ:</w:t>
      </w:r>
    </w:p>
    <w:p>
      <w:pPr>
        <w:pStyle w:val="Style30"/>
        <w:numPr>
          <w:ilvl w:val="0"/>
          <w:numId w:val="65"/>
        </w:numPr>
        <w:tabs>
          <w:tab w:leader="none" w:pos="757" w:val="left"/>
        </w:tabs>
        <w:widowControl w:val="0"/>
        <w:keepNext w:val="0"/>
        <w:keepLines w:val="0"/>
        <w:shd w:val="clear" w:color="auto" w:fill="auto"/>
        <w:bidi w:val="0"/>
        <w:spacing w:before="0" w:after="0" w:line="211" w:lineRule="exact"/>
        <w:ind w:left="740" w:right="0" w:hanging="220"/>
      </w:pPr>
      <w:r>
        <w:rPr>
          <w:lang w:val="ru-RU" w:eastAsia="ru-RU" w:bidi="ru-RU"/>
          <w:w w:val="100"/>
          <w:spacing w:val="0"/>
          <w:color w:val="000000"/>
          <w:position w:val="0"/>
        </w:rPr>
        <w:t>наличие регургитантного потока в правом пред</w:t>
        <w:softHyphen/>
        <w:t>сердии 1-4 степени градации;</w:t>
      </w:r>
    </w:p>
    <w:p>
      <w:pPr>
        <w:pStyle w:val="Style30"/>
        <w:numPr>
          <w:ilvl w:val="0"/>
          <w:numId w:val="65"/>
        </w:numPr>
        <w:tabs>
          <w:tab w:leader="none" w:pos="757" w:val="left"/>
        </w:tabs>
        <w:widowControl w:val="0"/>
        <w:keepNext w:val="0"/>
        <w:keepLines w:val="0"/>
        <w:shd w:val="clear" w:color="auto" w:fill="auto"/>
        <w:bidi w:val="0"/>
        <w:spacing w:before="0" w:after="0" w:line="211" w:lineRule="exact"/>
        <w:ind w:left="740" w:right="0" w:hanging="220"/>
      </w:pPr>
      <w:r>
        <w:rPr>
          <w:lang w:val="ru-RU" w:eastAsia="ru-RU" w:bidi="ru-RU"/>
          <w:w w:val="100"/>
          <w:spacing w:val="0"/>
          <w:color w:val="000000"/>
          <w:position w:val="0"/>
        </w:rPr>
        <w:t>определение конечно-диастолического давления в правом желудочке по величине регургитацион- ного потока;</w:t>
      </w:r>
    </w:p>
    <w:p>
      <w:pPr>
        <w:pStyle w:val="Style30"/>
        <w:numPr>
          <w:ilvl w:val="0"/>
          <w:numId w:val="65"/>
        </w:numPr>
        <w:tabs>
          <w:tab w:leader="none" w:pos="757" w:val="left"/>
        </w:tabs>
        <w:widowControl w:val="0"/>
        <w:keepNext w:val="0"/>
        <w:keepLines w:val="0"/>
        <w:shd w:val="clear" w:color="auto" w:fill="auto"/>
        <w:bidi w:val="0"/>
        <w:spacing w:before="0" w:after="0" w:line="211" w:lineRule="exact"/>
        <w:ind w:left="740" w:right="0" w:hanging="220"/>
      </w:pPr>
      <w:r>
        <w:rPr>
          <w:lang w:val="ru-RU" w:eastAsia="ru-RU" w:bidi="ru-RU"/>
          <w:w w:val="100"/>
          <w:spacing w:val="0"/>
          <w:color w:val="000000"/>
          <w:position w:val="0"/>
        </w:rPr>
        <w:t>определение непосредственной причины, вызвав</w:t>
        <w:softHyphen/>
        <w:t>шей трикуспидальную регургитацию (бактериаль</w:t>
        <w:softHyphen/>
        <w:t>ные вегетации, аневризма межжелудочковой пере</w:t>
        <w:softHyphen/>
        <w:t>городки, аневризма синуса Вальсальвы в правое предсердие).</w:t>
      </w:r>
    </w:p>
    <w:p>
      <w:pPr>
        <w:pStyle w:val="Style30"/>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Катетеризация сердца:</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Катетеризация сердца позволяет измерить давление в правом предсердии и правом желудочке, а также ко - нечное диастолическое давление, которые обычно бывают повышенными;</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Возрастающее или не изменяющееся во время глубо</w:t>
        <w:softHyphen/>
        <w:t>кого вдоха давление в правом предсердии свидетель</w:t>
        <w:softHyphen/>
        <w:t>ствует о наличии трикуспидальной недостаточности.</w:t>
      </w:r>
    </w:p>
    <w:p>
      <w:pPr>
        <w:pStyle w:val="Style30"/>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Терапевтическое наблюдение необходимо за всеми паци</w:t>
        <w:softHyphen/>
        <w:t>ентами. В случаях, когда недостаточность трикуспидального клапана является вторичной на фоне существующей лево</w:t>
        <w:softHyphen/>
        <w:t>желудочковой недостаточности, необходим постоянный контроль за симптомами сердечной недостаточности и объ</w:t>
        <w:softHyphen/>
        <w:t>емом циркулирующей крови. Наибольшее значение в тера</w:t>
        <w:softHyphen/>
        <w:t>певтическом лечении приобретает диуретическая терапия.</w:t>
      </w:r>
    </w:p>
    <w:p>
      <w:pPr>
        <w:pStyle w:val="Style30"/>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Хирургическое лечение показано в тех случаях, когда имеется структурная аномалия трикуспидального клапана, когда клапан деформирован вследствие перенесенного ин</w:t>
        <w:softHyphen/>
        <w:t>фекционного эндокардита или когда правожелудочковая дилатация очень сильно выражена и не поддается контро</w:t>
        <w:softHyphen/>
        <w:t>лю медикаментозными средствами. Существует несколько типичных вариантов сочетанной патологии, при которой показано хирургическое лечение:</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Трикуспидальная недостаточность в сочетании с пато - логией митрального клапана и легочной гипертензией. При этом следует учитывать следующие особенности:</w:t>
      </w:r>
    </w:p>
    <w:p>
      <w:pPr>
        <w:pStyle w:val="Style30"/>
        <w:numPr>
          <w:ilvl w:val="0"/>
          <w:numId w:val="65"/>
        </w:numPr>
        <w:tabs>
          <w:tab w:leader="none" w:pos="757" w:val="left"/>
        </w:tabs>
        <w:widowControl w:val="0"/>
        <w:keepNext w:val="0"/>
        <w:keepLines w:val="0"/>
        <w:shd w:val="clear" w:color="auto" w:fill="auto"/>
        <w:bidi w:val="0"/>
        <w:spacing w:before="0" w:after="0" w:line="211" w:lineRule="exact"/>
        <w:ind w:left="740" w:right="0" w:hanging="220"/>
      </w:pPr>
      <w:r>
        <w:rPr>
          <w:lang w:val="ru-RU" w:eastAsia="ru-RU" w:bidi="ru-RU"/>
          <w:w w:val="100"/>
          <w:spacing w:val="0"/>
          <w:color w:val="000000"/>
          <w:position w:val="0"/>
        </w:rPr>
        <w:t>во время проведения вмешательства на митраль</w:t>
        <w:softHyphen/>
        <w:t>ном клапане обязательно нужно проводить паль- паторное исследование трикуспидального клапана на предмет выраженности регургитации. Больные с умеренно выраженной трикуспидальной недо</w:t>
        <w:softHyphen/>
        <w:t>статочностью не подвергаются хирургической коррекции трехстворчатого клапана;</w:t>
      </w:r>
    </w:p>
    <w:p>
      <w:pPr>
        <w:pStyle w:val="Style30"/>
        <w:numPr>
          <w:ilvl w:val="0"/>
          <w:numId w:val="65"/>
        </w:numPr>
        <w:tabs>
          <w:tab w:leader="none" w:pos="757" w:val="left"/>
        </w:tabs>
        <w:widowControl w:val="0"/>
        <w:keepNext w:val="0"/>
        <w:keepLines w:val="0"/>
        <w:shd w:val="clear" w:color="auto" w:fill="auto"/>
        <w:bidi w:val="0"/>
        <w:spacing w:before="0" w:after="0" w:line="211" w:lineRule="exact"/>
        <w:ind w:left="740" w:right="0" w:hanging="220"/>
      </w:pPr>
      <w:r>
        <w:rPr>
          <w:lang w:val="ru-RU" w:eastAsia="ru-RU" w:bidi="ru-RU"/>
          <w:w w:val="100"/>
          <w:spacing w:val="0"/>
          <w:color w:val="000000"/>
          <w:position w:val="0"/>
        </w:rPr>
        <w:t>если после успешной коррекции недостаточности митрального клапана давление в сосудах легких падает, недостаточность трикуспидального клапа</w:t>
        <w:softHyphen/>
        <w:t>на может исчезнуть без проведения хирургических вмешательств;</w:t>
      </w:r>
    </w:p>
    <w:p>
      <w:pPr>
        <w:pStyle w:val="Style30"/>
        <w:numPr>
          <w:ilvl w:val="0"/>
          <w:numId w:val="65"/>
        </w:numPr>
        <w:tabs>
          <w:tab w:leader="none" w:pos="757" w:val="left"/>
        </w:tabs>
        <w:widowControl w:val="0"/>
        <w:keepNext w:val="0"/>
        <w:keepLines w:val="0"/>
        <w:shd w:val="clear" w:color="auto" w:fill="auto"/>
        <w:bidi w:val="0"/>
        <w:spacing w:before="0" w:after="0" w:line="211" w:lineRule="exact"/>
        <w:ind w:left="740" w:right="0" w:hanging="220"/>
      </w:pPr>
      <w:r>
        <w:rPr>
          <w:lang w:val="ru-RU" w:eastAsia="ru-RU" w:bidi="ru-RU"/>
          <w:w w:val="100"/>
          <w:spacing w:val="0"/>
          <w:color w:val="000000"/>
          <w:position w:val="0"/>
        </w:rPr>
        <w:t>выраженная трикуспидальная недостаточность обычно успешно корригируется при проведении операции трикуспидальной аннулопластики.</w:t>
      </w:r>
    </w:p>
    <w:p>
      <w:pPr>
        <w:pStyle w:val="Style30"/>
        <w:numPr>
          <w:ilvl w:val="0"/>
          <w:numId w:val="63"/>
        </w:numPr>
        <w:tabs>
          <w:tab w:leader="none" w:pos="516" w:val="left"/>
        </w:tabs>
        <w:widowControl w:val="0"/>
        <w:keepNext w:val="0"/>
        <w:keepLines w:val="0"/>
        <w:shd w:val="clear" w:color="auto" w:fill="auto"/>
        <w:bidi w:val="0"/>
        <w:spacing w:before="0" w:after="0" w:line="211" w:lineRule="exact"/>
        <w:ind w:left="520" w:right="0" w:hanging="240"/>
      </w:pPr>
      <w:r>
        <w:pict>
          <v:shape id="_x0000_s1371" type="#_x0000_t75" style="position:absolute;margin-left:136.7pt;margin-top:736.8pt;width:209.75pt;height:14.9pt;z-index:-125829150;mso-wrap-distance-left:136.55pt;mso-wrap-distance-right:148.1pt;mso-wrap-distance-bottom:10.8pt;mso-position-horizontal-relative:margin;mso-position-vertical-relative:margin" wrapcoords="0 0 21600 0 21600 21600 0 21600 0 0">
            <v:imagedata r:id="rId568" r:href="rId569"/>
            <w10:wrap type="topAndBottom" anchorx="margin" anchory="margin"/>
          </v:shape>
        </w:pict>
      </w:r>
      <w:r>
        <w:rPr>
          <w:lang w:val="ru-RU" w:eastAsia="ru-RU" w:bidi="ru-RU"/>
          <w:w w:val="100"/>
          <w:spacing w:val="0"/>
          <w:color w:val="000000"/>
          <w:position w:val="0"/>
        </w:rPr>
        <w:t>Органическое поражение трикуспидального клапана обычно требует трансплантации трикуспидального клапана. Из-за высокого риска тромбоза искусствен</w:t>
        <w:softHyphen/>
        <w:t>ного клапана на фоне низкой скорости кровотока в правых отделах сердца стоит рассматривать и другие возможности лечения. Обычно трансплантация трику</w:t>
        <w:softHyphen/>
        <w:t>спидального клапана проводится больным с карцинои- дом, кардиогенным шоком с последующим инфарктом правого желудочка и после трансплантации сердца.</w:t>
      </w:r>
      <w:r>
        <w:br w:type="page"/>
      </w:r>
    </w:p>
    <w:p>
      <w:pPr>
        <w:pStyle w:val="Style30"/>
        <w:numPr>
          <w:ilvl w:val="0"/>
          <w:numId w:val="6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Эндокардит трикуспидального клапана:</w:t>
      </w:r>
    </w:p>
    <w:p>
      <w:pPr>
        <w:pStyle w:val="Style30"/>
        <w:numPr>
          <w:ilvl w:val="0"/>
          <w:numId w:val="65"/>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тотальное удаление трикуспидального клапана без немедленной замены его на искусственный клапан может понадобиться и рекомендуется при трудно</w:t>
        <w:softHyphen/>
        <w:t>контролируемой инфекции, и обычно данная ма</w:t>
        <w:softHyphen/>
        <w:t>нипуляция хорошо переносится;</w:t>
      </w:r>
    </w:p>
    <w:p>
      <w:pPr>
        <w:pStyle w:val="Style30"/>
        <w:numPr>
          <w:ilvl w:val="0"/>
          <w:numId w:val="65"/>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иссечение пораженной ткани клапана в случае эн</w:t>
        <w:softHyphen/>
        <w:t>докардита должно сопровождаться продолжитель</w:t>
        <w:softHyphen/>
        <w:t>ной антибиотикотерапией. Большинство пациен</w:t>
        <w:softHyphen/>
        <w:t>тов переносят иссечение трикуспидального клапа</w:t>
        <w:softHyphen/>
        <w:t>на хорошо.</w:t>
      </w:r>
    </w:p>
    <w:p>
      <w:pPr>
        <w:pStyle w:val="Style30"/>
        <w:numPr>
          <w:ilvl w:val="0"/>
          <w:numId w:val="6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Аномалия Эбштейна: если эта аномалия сопровож</w:t>
        <w:softHyphen/>
        <w:t>дается неконтролируемой трикуспидальной регурги- тацией, показана трансплантация трехстворчатого клапана.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6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больных с недостаточностью трикуспидаль</w:t>
        <w:softHyphen/>
        <w:t>ного клапана определяется основным заболеванием.</w:t>
      </w:r>
    </w:p>
    <w:p>
      <w:pPr>
        <w:pStyle w:val="Style30"/>
        <w:numPr>
          <w:ilvl w:val="0"/>
          <w:numId w:val="6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ревматизме смертность составляет менее 3%.</w:t>
      </w:r>
    </w:p>
    <w:p>
      <w:pPr>
        <w:pStyle w:val="Style30"/>
        <w:numPr>
          <w:ilvl w:val="0"/>
          <w:numId w:val="6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аномалии Эбштейна зависит от выраженно - сти смещения створки и своевременности проведен</w:t>
        <w:softHyphen/>
        <w:t xml:space="preserve">ного оперативного лечения. Смертность у больных, перенесших оперативное лечение, составляет около </w:t>
      </w:r>
      <w:r>
        <w:rPr>
          <w:rStyle w:val="CharStyle32"/>
        </w:rPr>
        <w:t>10</w:t>
      </w:r>
      <w:r>
        <w:rPr>
          <w:lang w:val="ru-RU" w:eastAsia="ru-RU" w:bidi="ru-RU"/>
          <w:w w:val="100"/>
          <w:spacing w:val="0"/>
          <w:color w:val="000000"/>
          <w:position w:val="0"/>
        </w:rPr>
        <w:t>%.</w:t>
      </w:r>
    </w:p>
    <w:p>
      <w:pPr>
        <w:pStyle w:val="Style30"/>
        <w:numPr>
          <w:ilvl w:val="0"/>
          <w:numId w:val="63"/>
        </w:numPr>
        <w:tabs>
          <w:tab w:leader="none" w:pos="517" w:val="left"/>
        </w:tabs>
        <w:widowControl w:val="0"/>
        <w:keepNext w:val="0"/>
        <w:keepLines w:val="0"/>
        <w:shd w:val="clear" w:color="auto" w:fill="auto"/>
        <w:bidi w:val="0"/>
        <w:spacing w:before="0" w:after="237"/>
        <w:ind w:left="520" w:right="0" w:hanging="240"/>
      </w:pPr>
      <w:r>
        <w:rPr>
          <w:lang w:val="ru-RU" w:eastAsia="ru-RU" w:bidi="ru-RU"/>
          <w:w w:val="100"/>
          <w:spacing w:val="0"/>
          <w:color w:val="000000"/>
          <w:position w:val="0"/>
        </w:rPr>
        <w:t>Недостаточность трикуспидального клапана, возник</w:t>
        <w:softHyphen/>
        <w:t>шая в результате миокардиальной дисфункции или дилатации, имеет худший прогноз — смертность в те</w:t>
        <w:softHyphen/>
        <w:t>чение 5 лет достигает 50%.</w:t>
      </w:r>
    </w:p>
    <w:p>
      <w:pPr>
        <w:pStyle w:val="Style28"/>
        <w:widowControl w:val="0"/>
        <w:keepNext/>
        <w:keepLines/>
        <w:shd w:val="clear" w:color="auto" w:fill="auto"/>
        <w:bidi w:val="0"/>
        <w:jc w:val="left"/>
        <w:spacing w:before="0" w:after="157" w:line="220" w:lineRule="exact"/>
        <w:ind w:left="0" w:right="0" w:firstLine="0"/>
      </w:pPr>
      <w:bookmarkStart w:id="438" w:name="bookmark438"/>
      <w:r>
        <w:rPr>
          <w:lang w:val="ru-RU" w:eastAsia="ru-RU" w:bidi="ru-RU"/>
          <w:w w:val="100"/>
          <w:spacing w:val="0"/>
          <w:color w:val="000000"/>
          <w:position w:val="0"/>
        </w:rPr>
        <w:t>Стеноз трикуспидального клапана</w:t>
      </w:r>
      <w:bookmarkEnd w:id="43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Нарушение функции трехстворчатого клапана может возникнуть вследствие аномалии его развития или вторич</w:t>
        <w:softHyphen/>
        <w:t>но вследствие миокардиальной дисфункции. Сам по себе стеноз трехстворчатого клапана, как правило, бывает рев</w:t>
        <w:softHyphen/>
        <w:t>матического происхождения и почти всегда сопровождает</w:t>
        <w:softHyphen/>
        <w:t>ся наличием стеноза митрального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большинстве случаев стеноз трехстворчатого клапана клинически проявляется признаками трехстворчатой регур- гитации, что может быть подтверждено выслушиванием шу</w:t>
        <w:softHyphen/>
        <w:t>ма, а также эхокардиографическими и ангиографическими доказательствами. Стеноз трехстворчатого клапана всегда сопровождается анатомическими аномалиями самого кла</w:t>
        <w:softHyphen/>
        <w:t>пана. Причины возникновения трикуспидального стеноза весьма малочисленны. Вне зависимости от того, что было причиной формирования стеноза трехстворчатого клапана (врожденная аномалия развития или активный инфекцион</w:t>
        <w:softHyphen/>
        <w:t>ный эндокардит), обычно необходимы годы для развития полной клинической картины трикуспидального стеноза.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стеноза трикуспидального клапана в детской популяции не определена. При проведении аутопсий у больных ревматизмом стеноз трехстворчатого клапана выявляется в 15% случаев, хотя по клиническим данным среди больных ревматизмом данный диагноз выставляется при жизни лишь у 5% больных. Врожденные формы трику</w:t>
        <w:softHyphen/>
        <w:t>спидального стеноза очень редки и истинная частота их возникновения не исследована.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numPr>
          <w:ilvl w:val="0"/>
          <w:numId w:val="6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Трикуспидальный стеноз чаще диагностируется у женщин, чем у мужчин, так же как и митральный стеноз вследствие ревматического поражения.</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Врожденные формы трикуспидального стеноза не</w:t>
        <w:softHyphen/>
        <w:t>значительно чаще наблюдаются у мальчиков.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Врожденный стеноз трикуспидального клапана мо</w:t>
        <w:softHyphen/>
        <w:t>жет быть выявлен сразу после рождения или в более позднем периоде.</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Среди всех врожденных пороков сердца трикуспи</w:t>
        <w:softHyphen/>
        <w:t>дальный стеноз составляет 0,3%.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Существует несколько причин, приводящих к обструк</w:t>
        <w:softHyphen/>
        <w:t>ции трехстворчатого клапана:</w:t>
      </w:r>
    </w:p>
    <w:p>
      <w:pPr>
        <w:pStyle w:val="Style30"/>
        <w:numPr>
          <w:ilvl w:val="0"/>
          <w:numId w:val="63"/>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Ревматическое поражение клапана.</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Врожденные аномалии развития (врожденный три</w:t>
        <w:softHyphen/>
        <w:t>куспидальный стеноз).</w:t>
      </w:r>
    </w:p>
    <w:p>
      <w:pPr>
        <w:pStyle w:val="Style30"/>
        <w:numPr>
          <w:ilvl w:val="0"/>
          <w:numId w:val="63"/>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Метаболические или ферментные аномалии.</w:t>
      </w:r>
    </w:p>
    <w:p>
      <w:pPr>
        <w:pStyle w:val="Style30"/>
        <w:numPr>
          <w:ilvl w:val="0"/>
          <w:numId w:val="63"/>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Инфекционный эндокардит.</w:t>
      </w:r>
    </w:p>
    <w:p>
      <w:pPr>
        <w:pStyle w:val="Style30"/>
        <w:numPr>
          <w:ilvl w:val="0"/>
          <w:numId w:val="63"/>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Карциноидная болезнь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Ревматический трикуспидальный стеноз приводит к диф</w:t>
        <w:softHyphen/>
        <w:t>фузному фиброзному утолщению створок трехстворчатого клапана и образованию 2, но чаще 3 комиссур между створ</w:t>
        <w:softHyphen/>
        <w:t>ками. Хордальные нити обычно утолщены и укорочены. Кальцинация клапана наблюдается крайне редко. Ткань створок клапана прорастает плотными коллагеновыми и эластическими волокнами, что в значительной мере сни</w:t>
        <w:softHyphen/>
        <w:t>жает эластичность створок и мешает нормальному процес</w:t>
        <w:softHyphen/>
        <w:t>су смыкания и размыкания.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Карциноидная болезнь сердца (карциноидное поражение клапанов) заключается в формировании фиброзных обра</w:t>
        <w:softHyphen/>
        <w:t>зований белого цвета, располагающихся на клапанах или интрамурально в миокарде. Сами створки клапанов при этом утолщаются, становятся ригидными, площадь их по</w:t>
        <w:softHyphen/>
        <w:t>верхности сокращается. Пролиферация фиброзной ткани на клапанах может быть как со стороны желудочков, так и со стороны предсердий.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Врожденный стеноз трехстворчатого клапана наиболее ча</w:t>
        <w:softHyphen/>
        <w:t>сто диагностируется у новорожденных. Стеноз может воз</w:t>
        <w:softHyphen/>
        <w:t>никать из -за незавершенности развития створок трехствор - чатого клапана, укорочения аномально развитых хорд, врожденной узости кольца трехстворчатого клапана, ано</w:t>
        <w:softHyphen/>
        <w:t>малий размера или числа папиллярных мышц или вслед</w:t>
        <w:softHyphen/>
        <w:t>ствие комбинации этих дефектов.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Инфекционный эндокардит приводит к образованию мас</w:t>
        <w:softHyphen/>
        <w:t>сивных вегетаций, которые вызывают обструкцию клапан</w:t>
        <w:softHyphen/>
        <w:t>ного отверстия, приводя таким образом к стенозу клапана. Однако такие случаи крайне редки, даже среди континген</w:t>
        <w:softHyphen/>
        <w:t>та больных, постоянно получающих препараты с внутри</w:t>
        <w:softHyphen/>
        <w:t>венным введением.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Редкие причины: к ним относится стеноз трехстворчато</w:t>
        <w:softHyphen/>
        <w:t>го клапана при болезни Фабри.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Причинами, имитирующими стеноз трикуспидального клапана, являются врожденная подклапанная мембрана, приводящая к обструкции трехстворчатого клапана, инт- ра- или экстракардиальные опухоли, сдавливающие или прорастающие трехстворчатый клапан, тромбозы или тромбоэмболии, захватывающие область трикуспидаль</w:t>
        <w:softHyphen/>
        <w:t>ного клапана, массивные эндокардиальные вегетации. Также следует исключать причины, приводящие к выра</w:t>
        <w:softHyphen/>
        <w:t>женной правожелудочковой недостаточности: констрик- тивный перикардит и рестриктивную кардиомиопатию.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Морфология, гистология</w:t>
      </w:r>
    </w:p>
    <w:p>
      <w:pPr>
        <w:pStyle w:val="Style30"/>
        <w:widowControl w:val="0"/>
        <w:keepNext w:val="0"/>
        <w:keepLines w:val="0"/>
        <w:shd w:val="clear" w:color="auto" w:fill="auto"/>
        <w:bidi w:val="0"/>
        <w:spacing w:before="0" w:after="0"/>
        <w:ind w:left="0" w:right="0" w:firstLine="280"/>
      </w:pPr>
      <w:r>
        <w:pict>
          <v:shape id="_x0000_s1372" type="#_x0000_t75" style="position:absolute;margin-left:148.1pt;margin-top:736.8pt;width:209.75pt;height:14.9pt;z-index:-125829149;mso-wrap-distance-left:148.1pt;mso-wrap-distance-right:136.8pt;mso-wrap-distance-bottom:10.8pt;mso-position-horizontal-relative:margin;mso-position-vertical-relative:margin" wrapcoords="0 0 21600 0 21600 21600 0 21600 0 0">
            <v:imagedata r:id="rId570" r:href="rId571"/>
            <w10:wrap type="topAndBottom" anchorx="margin" anchory="margin"/>
          </v:shape>
        </w:pict>
      </w:r>
      <w:r>
        <w:rPr>
          <w:lang w:val="ru-RU" w:eastAsia="ru-RU" w:bidi="ru-RU"/>
          <w:w w:val="100"/>
          <w:spacing w:val="0"/>
          <w:color w:val="000000"/>
          <w:position w:val="0"/>
        </w:rPr>
        <w:t>Гистологические исследования чаще выявляют вторич- ность поражения трикуспидального клапана (на фоне рев-</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матизма). Обычно обнаруживается пролиферация соеди</w:t>
        <w:softHyphen/>
        <w:t>нительной ткани без образования кальцинатов. Ткань ство</w:t>
        <w:softHyphen/>
        <w:t>рок содержит повышенное количество коллагеновых воло</w:t>
        <w:softHyphen/>
        <w:t>кон, подвижность створок резко нарушена. Врожденные аномалии развития створок проявляются дисплазией па</w:t>
        <w:softHyphen/>
        <w:t>пиллярных мышц, аномальными хордами, незавершенным морфогенезом самих створок.</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Стеноз трехстворчатого клапана возникает вследствие нарушения структуры створок клапана, приводящего к не</w:t>
        <w:softHyphen/>
        <w:t>адекватному раскрытию створок. Наиболее частой причи</w:t>
        <w:softHyphen/>
        <w:t>ной формирования данного порока является ревматичес</w:t>
        <w:softHyphen/>
        <w:t>кое поражение, причем одновременно должны поражаться также створки митрального и аортального клапанов. При этом створки клапана утолщаются и склерозируются, а хордальные нити уплотняются и укорачиваются. Данный рестриктивный процесс приводит к ограничению кровото</w:t>
        <w:softHyphen/>
        <w:t>ка из правого предсердия в правый желудочек и, соответ</w:t>
        <w:softHyphen/>
        <w:t>ственно, в легочную артерию. Ограничение венозного воз</w:t>
        <w:softHyphen/>
        <w:t>врата в сердце приводит к увеличению печени, снижению легочного кровотока и периферическим отекам. Другие причины, приводящие к развитию стеноза трехстворчатого клапана, очень редки и включают карциноидный синдром, эндокардит, эндомиокардиальный фиброз, люпус, а также атрезию трехстворчатого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Разные причины возникновения стеноза трехстворчато</w:t>
        <w:softHyphen/>
        <w:t>го клапана приводят к разным деформациям створок. Мо</w:t>
        <w:softHyphen/>
        <w:t>жет наблюдаться деформация хорд, деформация створок или даже смещение кольца клапана и всего клапанного ап</w:t>
        <w:softHyphen/>
        <w:t>парата. Врожденные формы стеноза трехстворчатого кла</w:t>
        <w:softHyphen/>
        <w:t>пана обычно сочетаются с другими аномалиями развития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Могут быть жалобы на слабость, которая возникает из-за снижения сердечного выброса вследствие сте</w:t>
        <w:softHyphen/>
        <w:t>ноза трехстворчатого клапана.</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Системная венозная недостаточность может также вызывать специфические жалобы, например, дис</w:t>
        <w:softHyphen/>
        <w:t>комфорт при глотании.</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Начало обычно постепенное, но всегда нужно обра</w:t>
        <w:softHyphen/>
        <w:t>щать внимание на размеры предсердий, поскольку при данной форме порока сердца может очень быст</w:t>
        <w:softHyphen/>
        <w:t>ро возникнуть мерцание или трепетание предсердий.</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Могут быть жалобы на одышку, которая обычно бы</w:t>
        <w:softHyphen/>
        <w:t>вает не сильно выражена (за исключением случаев сочетанного поражения трехстворчатого и митраль</w:t>
        <w:softHyphen/>
        <w:t>ного клапанов). Обязательно нужно проверять нали</w:t>
        <w:softHyphen/>
        <w:t>чие у больного пульсации шейных вен.</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у больного уже есть митральный стеноз, а к не</w:t>
        <w:softHyphen/>
        <w:t>му прибавляется картина трикуспидального стеноза, в клинике появляются жалобы на парадоксальное снижение одышки, гемофтиза и ортопноэ в связи с тем, что у больного снижается выброс правого желу</w:t>
        <w:softHyphen/>
        <w:t>дочка и уменьшается объем крови, выбрасываемый в малый круг.</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Необходимо получить информацию о перенесенных стрептококковых инфекциях, симптомах карциноид- ного синдрома и возможных сопутствующих врож</w:t>
        <w:softHyphen/>
        <w:t>денных аномалиях развития.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Физикальные данные:</w:t>
      </w:r>
    </w:p>
    <w:p>
      <w:pPr>
        <w:pStyle w:val="Style30"/>
        <w:numPr>
          <w:ilvl w:val="0"/>
          <w:numId w:val="63"/>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На фоне синусового ритма, который у больных с три</w:t>
        <w:softHyphen/>
        <w:t>куспидальным стенозом наблюдается чаще, чем</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у больных с митральным стенозом, в клинической картине может быть выражена пульсация шейных вен.</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фибрилляции предсердий пульсация шейных вен снижается.</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Наблюдаются периферические отеки и асцит.</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отсутствии сопутствующего поражения мит</w:t>
        <w:softHyphen/>
        <w:t>рального клапана у больного обычно не бывает одышки.</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Нередко правое предсердие может быть настолько увеличено, что оно пальпируется справа от грудины, также может выслушиваться шум открытия трикус</w:t>
        <w:softHyphen/>
        <w:t>пидального клапана.</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Выслушивается изолированный диастолический шум по левой стернальной линии или у мечевидного отрост</w:t>
        <w:softHyphen/>
        <w:t>ка, обычно усиливается при вдохе. Поскольку обычно при наличии стеноза трикуспидального клапана выяв</w:t>
        <w:softHyphen/>
        <w:t>ляется и трехстворчатая регургитация, можно также вы</w:t>
        <w:softHyphen/>
        <w:t>слушать систолический шум той же локализации.</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Первый сердечный тон ослаблен, более продолжи</w:t>
        <w:softHyphen/>
        <w:t>тельный, «размытый».</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Второй сердечный тон может быть однокомпонент</w:t>
        <w:softHyphen/>
        <w:t>ным. Такой однокомпонентный второй сердечный тон объясняется значительным снижением кровото</w:t>
        <w:softHyphen/>
        <w:t>ка в легочной артерии в связи со сниженным выбро</w:t>
        <w:softHyphen/>
        <w:t>сом правого желудочка.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Лабораторные методы исследования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Общий анализ крови: в случае инфекционных причин возникновения стеноза трикуспидального клапана выявля</w:t>
        <w:softHyphen/>
        <w:t>ется лейкоцитоз. Полицитемия может проявляться в качес</w:t>
        <w:softHyphen/>
        <w:t>тве компенсаторной реакции на гипоксемию.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Биохимический анализ крови: может выявить различ</w:t>
        <w:softHyphen/>
        <w:t>ные врожденные аномалии метаболизма.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Инструментальные методы исследования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Электрокардиография:</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Различные виды аритмий очень часто выявляются у больных с трикуспидальным стенозом.</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Из-за увеличения размеров правого предсердия часто развивается мерцание-трепетание предсердий. Даже если у больного синусовый ритм, можно заметить уве</w:t>
        <w:softHyphen/>
        <w:t>личенные по амплитуде и продолжительности зубцы Р.</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Рентгенография:</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Рентгенография грудной клетки: размер сердца мо</w:t>
        <w:softHyphen/>
        <w:t>жет варьировать от нормального до кардиомегалии. Обычно выявляется увеличенное правое предсердие. Также могут выявляться признаки других сопутству</w:t>
        <w:softHyphen/>
        <w:t>ющих аномалий развития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Эхокардиография:</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Именно этот метод является ведущим для постановки точного диагноза клапанных дефектов.</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Эхокардиография помогает оценить состояние ткани створок трехстворчатого клапана, а также выявить сопутствующие аномалии развития сердца, которые могут осложнять течение основного процесса.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Катетеризация сердца:</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Катетеризация сердца наиболее часто проводится пе</w:t>
        <w:softHyphen/>
        <w:t>ред хирургическим лечением порока, особенно у лю</w:t>
        <w:softHyphen/>
        <w:t>дей старшего возраста с целью выявления сопутству</w:t>
        <w:softHyphen/>
        <w:t>ющих аномалий коронарных артерий. Катетеризация правого желудочка помогает оценить тяжесть стеноза (по градиенту давления над и под клапаном).</w:t>
      </w:r>
    </w:p>
    <w:p>
      <w:pPr>
        <w:pStyle w:val="Style30"/>
        <w:numPr>
          <w:ilvl w:val="0"/>
          <w:numId w:val="63"/>
        </w:numPr>
        <w:tabs>
          <w:tab w:leader="none" w:pos="519" w:val="left"/>
        </w:tabs>
        <w:widowControl w:val="0"/>
        <w:keepNext w:val="0"/>
        <w:keepLines w:val="0"/>
        <w:shd w:val="clear" w:color="auto" w:fill="auto"/>
        <w:bidi w:val="0"/>
        <w:spacing w:before="0" w:after="0"/>
        <w:ind w:left="520" w:right="0" w:hanging="240"/>
      </w:pPr>
      <w:r>
        <w:pict>
          <v:shape id="_x0000_s1373" type="#_x0000_t75" style="position:absolute;margin-left:136.8pt;margin-top:736.8pt;width:209.75pt;height:14.9pt;z-index:-125829148;mso-wrap-distance-left:136.8pt;mso-wrap-distance-right:148.1pt;mso-wrap-distance-bottom:10.8pt;mso-position-horizontal-relative:margin;mso-position-vertical-relative:margin" wrapcoords="0 0 21600 0 21600 21600 0 21600 0 0">
            <v:imagedata r:id="rId572" r:href="rId573"/>
            <w10:wrap type="topAndBottom" anchorx="margin" anchory="margin"/>
          </v:shape>
        </w:pict>
      </w:r>
      <w:r>
        <w:rPr>
          <w:lang w:val="ru-RU" w:eastAsia="ru-RU" w:bidi="ru-RU"/>
          <w:w w:val="100"/>
          <w:spacing w:val="0"/>
          <w:color w:val="000000"/>
          <w:position w:val="0"/>
        </w:rPr>
        <w:t>Также катетеризация помогает выявить сопутствую</w:t>
        <w:softHyphen/>
        <w:t>щие пороки сердца — септальные дефекты, шунты,</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аномалии вен, если таковые имеются. Больным с рев</w:t>
        <w:softHyphen/>
        <w:t>матическим поражением митрального или аорталь</w:t>
        <w:softHyphen/>
        <w:t>ного клапанов также проводится катетеризация ле</w:t>
        <w:softHyphen/>
        <w:t>вых отделов сердца.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Дифференциальный диагноз</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Миксома правого предсердия.</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Рестриктивная кардиомиопатия.</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Эндомиокардиальный фиброз.</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Инфекционный эндокардит.</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Констриктивный перикардит.</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Экссудативный сдавливающий перикардит.</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Атрезия трикуспидального клапана.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Медикаментозное лечение обычно направлено на симптоматическую коррекцию гемодинамических нарушений вследствие клапанной дисфункции.</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Применяются антибиотики (в зависимости от чув</w:t>
        <w:softHyphen/>
        <w:t>ствительности микроорганизмов) при развитии ин</w:t>
        <w:softHyphen/>
        <w:t>фекционного эндокардита.</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Антиаритмические препараты применяются у боль</w:t>
        <w:softHyphen/>
        <w:t>ных с нарушениями ритма сердца.</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выраженных симптомах застойной сердечной недостаточности применяются мочегонные препа</w:t>
        <w:softHyphen/>
        <w:t>раты.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Хирургическое лечение стеноза трикуспидального клапана может быть в виде комиссуротомии или в ви</w:t>
        <w:softHyphen/>
        <w:t>де замены клапана, если на то есть показания — за</w:t>
        <w:softHyphen/>
        <w:t>стойная сердечная недостаточность или малый пра</w:t>
        <w:softHyphen/>
        <w:t>вожелудочковый выброс. Вообще хирургическое ле</w:t>
        <w:softHyphen/>
        <w:t>чение при трикуспидальном стенозе применяется редко (обычно только если есть сочетанное пораже</w:t>
        <w:softHyphen/>
        <w:t>ние митрального, аортального и трикуспидального клапанов).</w:t>
      </w:r>
    </w:p>
    <w:p>
      <w:pPr>
        <w:pStyle w:val="Style30"/>
        <w:numPr>
          <w:ilvl w:val="0"/>
          <w:numId w:val="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случае замены трикуспидального клапана обяза</w:t>
        <w:softHyphen/>
        <w:t>тельно должна назначаться антикоагулянтная тера</w:t>
        <w:softHyphen/>
        <w:t>пия (варфарин или аспирин), поскольку риск тром</w:t>
        <w:softHyphen/>
        <w:t>боза или тромбоэмболии высок.</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Баллонная вальвулопластика также успешно приме - няется для лечения стеноза (если нет сопутствующей выраженной трикуспидальной недостаточности).</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Выбор метода хирургического лечения зависит от со - стояния самого трикуспидального клапана и степени его деформации. Также важно исключить сопутству</w:t>
        <w:softHyphen/>
        <w:t>ющую патологию (опухоли и пр.).</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размеры правого предсердия гигантские, во вре - мя операции производится его частичная резекция.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Амбулаторное наблюдение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Необходим динамический контроль за гемодинамичес</w:t>
        <w:softHyphen/>
        <w:t>кими показателями с целью исследования функции клапа</w:t>
        <w:softHyphen/>
        <w:t>на. Также необходим контроль за протромбиновым време</w:t>
        <w:softHyphen/>
        <w:t>нем для коррекции дозы антикоагулянтов. Если поражение трикуспидального клапана вторично на фоне карциноида или опухоли, необходимо динамическое наблюдение за ос</w:t>
        <w:softHyphen/>
        <w:t>новным процессом.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Физическая активность. Обычно пациент сам регулирует физическую нагрузку в зависимости от своей способности ее выдерживать. При появлении одышки нагрузку следует снижать. После хирургического лечения физическая актив</w:t>
        <w:softHyphen/>
        <w:t>ность должна быть также лимитирована.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Обычно осложнения наблюдаются у больных после хи</w:t>
        <w:softHyphen/>
        <w:t>рургических манипуляций, если перед операцией у них был инфекционный эндокардит. Осложнения бывают в виде эмболий или трикуспидальной недостаточности.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Обычно при своевременно начатом лечении прогноз благоприятный.</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причиной стеноза была опухоль, прогноз опре</w:t>
        <w:softHyphen/>
        <w:t>деляется по первичному заболеванию.</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у больного развивается инфекционный эндо</w:t>
        <w:softHyphen/>
        <w:t>кардит, прогноз зависит от своевременности начала терапии и правильности подбора препарата в зависи</w:t>
        <w:softHyphen/>
        <w:t>мости от чувствительности микроорганизма.</w:t>
      </w:r>
    </w:p>
    <w:p>
      <w:pPr>
        <w:pStyle w:val="Style30"/>
        <w:numPr>
          <w:ilvl w:val="0"/>
          <w:numId w:val="63"/>
        </w:numPr>
        <w:tabs>
          <w:tab w:leader="none" w:pos="520" w:val="left"/>
        </w:tabs>
        <w:widowControl w:val="0"/>
        <w:keepNext w:val="0"/>
        <w:keepLines w:val="0"/>
        <w:shd w:val="clear" w:color="auto" w:fill="auto"/>
        <w:bidi w:val="0"/>
        <w:spacing w:before="0" w:after="0"/>
        <w:ind w:left="520" w:right="0" w:hanging="240"/>
        <w:sectPr>
          <w:type w:val="continuous"/>
          <w:pgSz w:w="11900" w:h="16840"/>
          <w:pgMar w:top="1569" w:left="1032" w:right="1101" w:bottom="1751" w:header="0" w:footer="3" w:gutter="0"/>
          <w:rtlGutter w:val="0"/>
          <w:cols w:num="2" w:space="102"/>
          <w:noEndnote/>
          <w:docGrid w:linePitch="360"/>
        </w:sectPr>
      </w:pPr>
      <w:r>
        <w:rPr>
          <w:lang w:val="ru-RU" w:eastAsia="ru-RU" w:bidi="ru-RU"/>
          <w:w w:val="100"/>
          <w:spacing w:val="0"/>
          <w:color w:val="000000"/>
          <w:position w:val="0"/>
        </w:rPr>
        <w:t>В целом летальность от трикуспидального стеноза со - ставляет около 5%.</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12" w:after="12" w:line="240" w:lineRule="exact"/>
        <w:rPr>
          <w:sz w:val="19"/>
          <w:szCs w:val="19"/>
        </w:rPr>
      </w:pPr>
    </w:p>
    <w:p>
      <w:pPr>
        <w:widowControl w:val="0"/>
        <w:rPr>
          <w:sz w:val="2"/>
          <w:szCs w:val="2"/>
        </w:rPr>
        <w:sectPr>
          <w:type w:val="continuous"/>
          <w:pgSz w:w="11900" w:h="16840"/>
          <w:pgMar w:top="1449" w:left="0" w:right="0" w:bottom="192" w:header="0" w:footer="3" w:gutter="0"/>
          <w:rtlGutter w:val="0"/>
          <w:cols w:space="720"/>
          <w:noEndnote/>
          <w:docGrid w:linePitch="360"/>
        </w:sectPr>
      </w:pPr>
    </w:p>
    <w:p>
      <w:pPr>
        <w:widowControl w:val="0"/>
        <w:spacing w:line="645" w:lineRule="exact"/>
      </w:pPr>
      <w:r>
        <w:pict>
          <v:shape id="_x0000_s1374" type="#_x0000_t75" style="position:absolute;margin-left:148.9pt;margin-top:0;width:209.75pt;height:14.9pt;z-index:-251658701;mso-wrap-distance-left:5.pt;mso-wrap-distance-right:5.pt;mso-position-horizontal-relative:margin" wrapcoords="0 0">
            <v:imagedata r:id="rId574" r:href="rId575"/>
            <w10:wrap anchorx="margin"/>
          </v:shape>
        </w:pict>
      </w:r>
    </w:p>
    <w:p>
      <w:pPr>
        <w:widowControl w:val="0"/>
        <w:rPr>
          <w:sz w:val="2"/>
          <w:szCs w:val="2"/>
        </w:rPr>
        <w:sectPr>
          <w:type w:val="continuous"/>
          <w:pgSz w:w="11900" w:h="16840"/>
          <w:pgMar w:top="1449" w:left="898" w:right="1124" w:bottom="192" w:header="0" w:footer="3" w:gutter="0"/>
          <w:rtlGutter w:val="0"/>
          <w:cols w:space="720"/>
          <w:noEndnote/>
          <w:docGrid w:linePitch="360"/>
        </w:sectPr>
      </w:pPr>
    </w:p>
    <w:p>
      <w:pPr>
        <w:pStyle w:val="Style22"/>
        <w:widowControl w:val="0"/>
        <w:keepNext w:val="0"/>
        <w:keepLines w:val="0"/>
        <w:shd w:val="clear" w:color="auto" w:fill="auto"/>
        <w:bidi w:val="0"/>
        <w:jc w:val="left"/>
        <w:spacing w:before="0" w:after="270" w:line="360" w:lineRule="exact"/>
        <w:ind w:left="2320" w:right="0" w:firstLine="0"/>
      </w:pPr>
      <w:r>
        <w:rPr>
          <w:rStyle w:val="CharStyle135"/>
        </w:rPr>
        <w:t>Глава IV</w:t>
      </w:r>
    </w:p>
    <w:p>
      <w:pPr>
        <w:pStyle w:val="Style15"/>
        <w:widowControl w:val="0"/>
        <w:keepNext/>
        <w:keepLines/>
        <w:shd w:val="clear" w:color="auto" w:fill="auto"/>
        <w:bidi w:val="0"/>
        <w:jc w:val="left"/>
        <w:spacing w:before="0" w:after="0" w:line="340" w:lineRule="exact"/>
        <w:ind w:left="2320" w:right="0" w:firstLine="0"/>
        <w:sectPr>
          <w:headerReference w:type="even" r:id="rId576"/>
          <w:headerReference w:type="default" r:id="rId577"/>
          <w:pgSz w:w="11900" w:h="16840"/>
          <w:pgMar w:top="1800" w:left="1124" w:right="898" w:bottom="206" w:header="0" w:footer="3" w:gutter="0"/>
          <w:rtlGutter w:val="0"/>
          <w:cols w:space="720"/>
          <w:noEndnote/>
          <w:docGrid w:linePitch="360"/>
        </w:sectPr>
      </w:pPr>
      <w:bookmarkStart w:id="439" w:name="bookmark439"/>
      <w:r>
        <w:rPr>
          <w:lang w:val="ru-RU" w:eastAsia="ru-RU" w:bidi="ru-RU"/>
          <w:w w:val="100"/>
          <w:spacing w:val="0"/>
          <w:color w:val="000000"/>
          <w:position w:val="0"/>
        </w:rPr>
        <w:t>БОЛЕЗНИ МИОКАРДА</w:t>
      </w:r>
      <w:bookmarkEnd w:id="439"/>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53" w:after="53" w:line="240" w:lineRule="exact"/>
        <w:rPr>
          <w:sz w:val="19"/>
          <w:szCs w:val="19"/>
        </w:rPr>
      </w:pPr>
    </w:p>
    <w:p>
      <w:pPr>
        <w:widowControl w:val="0"/>
        <w:rPr>
          <w:sz w:val="2"/>
          <w:szCs w:val="2"/>
        </w:rPr>
        <w:sectPr>
          <w:type w:val="continuous"/>
          <w:pgSz w:w="11900" w:h="16840"/>
          <w:pgMar w:top="1550" w:left="0" w:right="0" w:bottom="1747" w:header="0" w:footer="3" w:gutter="0"/>
          <w:rtlGutter w:val="0"/>
          <w:cols w:space="720"/>
          <w:noEndnote/>
          <w:docGrid w:linePitch="360"/>
        </w:sectPr>
      </w:pPr>
    </w:p>
    <w:p>
      <w:pPr>
        <w:widowControl w:val="0"/>
        <w:rPr>
          <w:sz w:val="2"/>
          <w:szCs w:val="2"/>
        </w:rPr>
      </w:pPr>
      <w:r>
        <w:pict>
          <v:shape id="_x0000_s1377" type="#_x0000_t75" style="position:absolute;margin-left:140.95pt;margin-top:608.9pt;width:209.75pt;height:14.9pt;z-index:-125829147;mso-wrap-distance-left:136.55pt;mso-wrap-distance-right:147.85pt;mso-wrap-distance-bottom:10.8pt;mso-position-horizontal-relative:margin" wrapcoords="0 0 21600 0 21600 21600 0 21600 0 0">
            <v:imagedata r:id="rId578" r:href="rId579"/>
            <w10:wrap type="topAndBottom" anchorx="margin"/>
          </v:shape>
        </w:pict>
      </w:r>
    </w:p>
    <w:p>
      <w:pPr>
        <w:pStyle w:val="Style28"/>
        <w:widowControl w:val="0"/>
        <w:keepNext/>
        <w:keepLines/>
        <w:shd w:val="clear" w:color="auto" w:fill="auto"/>
        <w:bidi w:val="0"/>
        <w:jc w:val="left"/>
        <w:spacing w:before="0" w:after="153" w:line="220" w:lineRule="exact"/>
        <w:ind w:left="0" w:right="0" w:firstLine="0"/>
      </w:pPr>
      <w:bookmarkStart w:id="440" w:name="bookmark440"/>
      <w:r>
        <w:rPr>
          <w:lang w:val="ru-RU" w:eastAsia="ru-RU" w:bidi="ru-RU"/>
          <w:w w:val="100"/>
          <w:spacing w:val="0"/>
          <w:color w:val="000000"/>
          <w:position w:val="0"/>
        </w:rPr>
        <w:t>Миокардиты (общие аспекты)</w:t>
      </w:r>
      <w:bookmarkEnd w:id="44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Миокардит — воспалительное поражение миокарда с широким спектром клинических проявлений от мини</w:t>
        <w:softHyphen/>
        <w:t>мальных до фатальных. Воспалительное поражение мио</w:t>
        <w:softHyphen/>
        <w:t xml:space="preserve">карда подтверждается гистологически, иммунологически и иммунохимическими критериями. По классификации </w:t>
      </w:r>
      <w:r>
        <w:rPr>
          <w:lang w:val="en-US" w:eastAsia="en-US" w:bidi="en-US"/>
          <w:w w:val="100"/>
          <w:spacing w:val="0"/>
          <w:color w:val="000000"/>
          <w:position w:val="0"/>
        </w:rPr>
        <w:t xml:space="preserve">Dallas </w:t>
      </w:r>
      <w:r>
        <w:rPr>
          <w:lang w:val="ru-RU" w:eastAsia="ru-RU" w:bidi="ru-RU"/>
          <w:w w:val="100"/>
          <w:spacing w:val="0"/>
          <w:color w:val="000000"/>
          <w:position w:val="0"/>
        </w:rPr>
        <w:t>(1987), миокардитом обозначают «воспалительную инфильтрацию миокарда с некрозом и/или дегенерацией миоцитов». Миокардит может возникать у практически здоровых детей и иметь быстро прогрессирующее течение (часто фатальное) с развитием сердечной недостаточности и аритмии. Локальное воспаление миокарда обозначают как абсцесс.</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63"/>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Частота миокардитов ориентировочно составляет </w:t>
      </w:r>
      <w:r>
        <w:rPr>
          <w:rStyle w:val="CharStyle32"/>
        </w:rPr>
        <w:t>1-10</w:t>
      </w:r>
      <w:r>
        <w:rPr>
          <w:lang w:val="ru-RU" w:eastAsia="ru-RU" w:bidi="ru-RU"/>
          <w:w w:val="100"/>
          <w:spacing w:val="0"/>
          <w:color w:val="000000"/>
          <w:position w:val="0"/>
        </w:rPr>
        <w:t xml:space="preserve"> на </w:t>
      </w:r>
      <w:r>
        <w:rPr>
          <w:rStyle w:val="CharStyle32"/>
        </w:rPr>
        <w:t>100</w:t>
      </w:r>
      <w:r>
        <w:rPr>
          <w:lang w:val="ru-RU" w:eastAsia="ru-RU" w:bidi="ru-RU"/>
          <w:w w:val="100"/>
          <w:spacing w:val="0"/>
          <w:color w:val="000000"/>
          <w:position w:val="0"/>
        </w:rPr>
        <w:t xml:space="preserve"> </w:t>
      </w:r>
      <w:r>
        <w:rPr>
          <w:rStyle w:val="CharStyle32"/>
        </w:rPr>
        <w:t>000</w:t>
      </w:r>
      <w:r>
        <w:rPr>
          <w:lang w:val="ru-RU" w:eastAsia="ru-RU" w:bidi="ru-RU"/>
          <w:w w:val="100"/>
          <w:spacing w:val="0"/>
          <w:color w:val="000000"/>
          <w:position w:val="0"/>
        </w:rPr>
        <w:t xml:space="preserve"> населения.</w:t>
      </w:r>
    </w:p>
    <w:p>
      <w:pPr>
        <w:pStyle w:val="Style30"/>
        <w:numPr>
          <w:ilvl w:val="0"/>
          <w:numId w:val="6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Частота позитивных правожелудочковых биопсий у больных с подозрением на миокардит колеблется от </w:t>
      </w:r>
      <w:r>
        <w:rPr>
          <w:rStyle w:val="CharStyle32"/>
        </w:rPr>
        <w:t>0</w:t>
      </w:r>
      <w:r>
        <w:rPr>
          <w:lang w:val="ru-RU" w:eastAsia="ru-RU" w:bidi="ru-RU"/>
          <w:w w:val="100"/>
          <w:spacing w:val="0"/>
          <w:color w:val="000000"/>
          <w:position w:val="0"/>
        </w:rPr>
        <w:t xml:space="preserve"> до 80%.</w:t>
      </w:r>
    </w:p>
    <w:p>
      <w:pPr>
        <w:pStyle w:val="Style30"/>
        <w:numPr>
          <w:ilvl w:val="0"/>
          <w:numId w:val="6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Можно полагать, что примерно 1-5% больных острой вирусной инфекцией могут иметь поражение мио</w:t>
        <w:softHyphen/>
        <w:t>карда.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миокардитов у мальчиков и девочек практичес</w:t>
        <w:softHyphen/>
        <w:t>ки не различается, у подростков и молодых мужчин имеет место некоторое преобладание случаев болезни.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Миокардит может наблюдаться в любом возрасте, значи</w:t>
        <w:softHyphen/>
        <w:t>тельно чаще наблюдается у детей и лиц молодого возраста.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Этиология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Примерно 50% миокардитов рассматриваются как «идиопатические», хотя почти всегда подразумевается ви</w:t>
        <w:softHyphen/>
        <w:t>русная этиология (даже если она не подтверждается имму</w:t>
        <w:softHyphen/>
        <w:t>ногистохимически или при исследовании генома).</w:t>
      </w:r>
    </w:p>
    <w:p>
      <w:pPr>
        <w:pStyle w:val="Style30"/>
        <w:numPr>
          <w:ilvl w:val="0"/>
          <w:numId w:val="6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Вирусные возбудители миокардита — энтеровирус, коксаки В, аденовирус, вирус гриппа, цитомегалови- рус, вирус полиомиелита, Эпштейн-Барр вирус, ви</w:t>
        <w:softHyphen/>
        <w:t>рус человеческого иммунодефицита-</w:t>
      </w:r>
      <w:r>
        <w:rPr>
          <w:rStyle w:val="CharStyle32"/>
        </w:rPr>
        <w:t>1</w:t>
      </w:r>
      <w:r>
        <w:rPr>
          <w:lang w:val="ru-RU" w:eastAsia="ru-RU" w:bidi="ru-RU"/>
          <w:w w:val="100"/>
          <w:spacing w:val="0"/>
          <w:color w:val="000000"/>
          <w:position w:val="0"/>
        </w:rPr>
        <w:t>, вирус гепати</w:t>
        <w:softHyphen/>
        <w:t>та, паротита, краснухи, ветряной оспы, арбовирус, респираторно синцитиальный вирус, вирус простого герпеса, аденовирус, вирус желтой лихорадки.</w:t>
      </w:r>
    </w:p>
    <w:p>
      <w:pPr>
        <w:pStyle w:val="Style30"/>
        <w:numPr>
          <w:ilvl w:val="0"/>
          <w:numId w:val="63"/>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Рикетсиозные миокардиты — сыпной тиф, лихорадка скалистых гор, </w:t>
      </w:r>
      <w:r>
        <w:rPr>
          <w:lang w:val="en-US" w:eastAsia="en-US" w:bidi="en-US"/>
          <w:w w:val="100"/>
          <w:spacing w:val="0"/>
          <w:color w:val="000000"/>
          <w:position w:val="0"/>
        </w:rPr>
        <w:t xml:space="preserve">Q </w:t>
      </w:r>
      <w:r>
        <w:rPr>
          <w:lang w:val="ru-RU" w:eastAsia="ru-RU" w:bidi="ru-RU"/>
          <w:w w:val="100"/>
          <w:spacing w:val="0"/>
          <w:color w:val="000000"/>
          <w:position w:val="0"/>
        </w:rPr>
        <w:t>лихорадка.</w:t>
      </w:r>
    </w:p>
    <w:p>
      <w:pPr>
        <w:pStyle w:val="Style30"/>
        <w:numPr>
          <w:ilvl w:val="0"/>
          <w:numId w:val="6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Бактериальные миокардиты — дифтерия, туберкулез, стрептококки, менингококки, бруцеллез, клостри- диа, стафилококки, мелиоидоз, </w:t>
      </w:r>
      <w:r>
        <w:rPr>
          <w:lang w:val="en-US" w:eastAsia="en-US" w:bidi="en-US"/>
          <w:w w:val="100"/>
          <w:spacing w:val="0"/>
          <w:color w:val="000000"/>
          <w:position w:val="0"/>
        </w:rPr>
        <w:t>Mycoplasma pneumo</w:t>
        <w:softHyphen/>
        <w:t xml:space="preserve">niae, </w:t>
      </w:r>
      <w:r>
        <w:rPr>
          <w:lang w:val="ru-RU" w:eastAsia="ru-RU" w:bidi="ru-RU"/>
          <w:w w:val="100"/>
          <w:spacing w:val="0"/>
          <w:color w:val="000000"/>
          <w:position w:val="0"/>
        </w:rPr>
        <w:t>пситтакоз.</w:t>
      </w:r>
    </w:p>
    <w:p>
      <w:pPr>
        <w:pStyle w:val="Style30"/>
        <w:numPr>
          <w:ilvl w:val="0"/>
          <w:numId w:val="63"/>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Спирохетозные миокардиты — сифилис, лептоспи- роз/болезнь </w:t>
      </w:r>
      <w:r>
        <w:rPr>
          <w:lang w:val="en-US" w:eastAsia="en-US" w:bidi="en-US"/>
          <w:w w:val="100"/>
          <w:spacing w:val="0"/>
          <w:color w:val="000000"/>
          <w:position w:val="0"/>
        </w:rPr>
        <w:t xml:space="preserve">Weil disease, </w:t>
      </w:r>
      <w:r>
        <w:rPr>
          <w:lang w:val="ru-RU" w:eastAsia="ru-RU" w:bidi="ru-RU"/>
          <w:w w:val="100"/>
          <w:spacing w:val="0"/>
          <w:color w:val="000000"/>
          <w:position w:val="0"/>
        </w:rPr>
        <w:t>боррелиоз, болезнь Лайм.</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Грибковые миокардиты — кандидоз, аспергиллез, криптококкоз, гистоплазмоз, актиномикоз, бласто</w:t>
        <w:softHyphen/>
        <w:t>микоз, кокцидиомикоз, мукормикоз.</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Протозойные миокардиты — болезнь Чагаса, токсо- плазмоз, трипанозомиаз, малярия, лейшманиоз, ба- лантидоз, саркоспоридиоз.</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Гельминтные миокардиты — трихинелез, эхинокок- коз, шистозоматоз, гетерофиаз, цистицеркоз, мигри</w:t>
        <w:softHyphen/>
        <w:t>рующая висцеральная личинка, филариаз).</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Миокардиты, обусловленные укусами, — яд скорпи</w:t>
        <w:softHyphen/>
        <w:t>она, яд змеи, черный яд паука, яд осы, паралич им</w:t>
        <w:softHyphen/>
        <w:t>пульса сигнала времени.</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Лекарственно индуцированные миокардиты (причи</w:t>
        <w:softHyphen/>
        <w:t>на гиперсенситивных миокардитов):</w:t>
      </w:r>
    </w:p>
    <w:p>
      <w:pPr>
        <w:pStyle w:val="Style30"/>
        <w:numPr>
          <w:ilvl w:val="0"/>
          <w:numId w:val="65"/>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химиотерапевтические средства — доксирубицин и антрациклины, стрептомицин, циклофосфамид, интерлейкин-</w:t>
      </w:r>
      <w:r>
        <w:rPr>
          <w:rStyle w:val="CharStyle32"/>
        </w:rPr>
        <w:t>2</w:t>
      </w:r>
      <w:r>
        <w:rPr>
          <w:lang w:val="ru-RU" w:eastAsia="ru-RU" w:bidi="ru-RU"/>
          <w:w w:val="100"/>
          <w:spacing w:val="0"/>
          <w:color w:val="000000"/>
          <w:position w:val="0"/>
        </w:rPr>
        <w:t>, анти-HER</w:t>
      </w:r>
      <w:r>
        <w:rPr>
          <w:rStyle w:val="CharStyle32"/>
        </w:rPr>
        <w:t>-2</w:t>
      </w:r>
      <w:r>
        <w:rPr>
          <w:lang w:val="ru-RU" w:eastAsia="ru-RU" w:bidi="ru-RU"/>
          <w:w w:val="100"/>
          <w:spacing w:val="0"/>
          <w:color w:val="000000"/>
          <w:position w:val="0"/>
        </w:rPr>
        <w:t xml:space="preserve"> рецептор анти- тел/Герцептин </w:t>
      </w:r>
      <w:r>
        <w:rPr>
          <w:lang w:val="en-US" w:eastAsia="en-US" w:bidi="en-US"/>
          <w:w w:val="100"/>
          <w:spacing w:val="0"/>
          <w:color w:val="000000"/>
          <w:position w:val="0"/>
        </w:rPr>
        <w:t>(Herceptin);</w:t>
      </w:r>
    </w:p>
    <w:p>
      <w:pPr>
        <w:pStyle w:val="Style30"/>
        <w:numPr>
          <w:ilvl w:val="0"/>
          <w:numId w:val="65"/>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антибиотики </w:t>
      </w:r>
      <w:r>
        <w:rPr>
          <w:lang w:val="en-US" w:eastAsia="en-US" w:bidi="en-US"/>
          <w:w w:val="100"/>
          <w:spacing w:val="0"/>
          <w:color w:val="000000"/>
          <w:position w:val="0"/>
        </w:rPr>
        <w:t xml:space="preserve">— </w:t>
      </w:r>
      <w:r>
        <w:rPr>
          <w:lang w:val="ru-RU" w:eastAsia="ru-RU" w:bidi="ru-RU"/>
          <w:w w:val="100"/>
          <w:spacing w:val="0"/>
          <w:color w:val="000000"/>
          <w:position w:val="0"/>
        </w:rPr>
        <w:t>пенициллин, хлорамфеникол, сульфонамиды;</w:t>
      </w:r>
    </w:p>
    <w:p>
      <w:pPr>
        <w:pStyle w:val="Style30"/>
        <w:numPr>
          <w:ilvl w:val="0"/>
          <w:numId w:val="65"/>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антигипертензивные препараты </w:t>
      </w:r>
      <w:r>
        <w:rPr>
          <w:lang w:val="en-US" w:eastAsia="en-US" w:bidi="en-US"/>
          <w:w w:val="100"/>
          <w:spacing w:val="0"/>
          <w:color w:val="000000"/>
          <w:position w:val="0"/>
        </w:rPr>
        <w:t xml:space="preserve">— </w:t>
      </w:r>
      <w:r>
        <w:rPr>
          <w:lang w:val="ru-RU" w:eastAsia="ru-RU" w:bidi="ru-RU"/>
          <w:w w:val="100"/>
          <w:spacing w:val="0"/>
          <w:color w:val="000000"/>
          <w:position w:val="0"/>
        </w:rPr>
        <w:t>метилдопа, спиронолактон;</w:t>
      </w:r>
    </w:p>
    <w:p>
      <w:pPr>
        <w:pStyle w:val="Style30"/>
        <w:numPr>
          <w:ilvl w:val="0"/>
          <w:numId w:val="65"/>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противосудорожные средства </w:t>
      </w:r>
      <w:r>
        <w:rPr>
          <w:lang w:val="en-US" w:eastAsia="en-US" w:bidi="en-US"/>
          <w:w w:val="100"/>
          <w:spacing w:val="0"/>
          <w:color w:val="000000"/>
          <w:position w:val="0"/>
        </w:rPr>
        <w:t xml:space="preserve">— </w:t>
      </w:r>
      <w:r>
        <w:rPr>
          <w:lang w:val="ru-RU" w:eastAsia="ru-RU" w:bidi="ru-RU"/>
          <w:w w:val="100"/>
          <w:spacing w:val="0"/>
          <w:color w:val="000000"/>
          <w:position w:val="0"/>
        </w:rPr>
        <w:t>фенитоин, карба- мазепин;</w:t>
      </w:r>
    </w:p>
    <w:p>
      <w:pPr>
        <w:pStyle w:val="Style30"/>
        <w:numPr>
          <w:ilvl w:val="0"/>
          <w:numId w:val="65"/>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амфетамины, кокаин, катехоламины.</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Химически индуцированные миокардиты — углево</w:t>
        <w:softHyphen/>
        <w:t>дороды, угарный газ, мышьяк, арсений, фосфор, ртуть, кобальт.</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Физические агенты, индуцирующие миокардит (ра</w:t>
        <w:softHyphen/>
        <w:t>диация, тепловой удар, гипотермия).</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Острая ревматическая лихорадка.</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Системные воспалительные заболевания — гиганток</w:t>
        <w:softHyphen/>
        <w:t xml:space="preserve">леточный миокардит, саркоидоз, болезнь Кавасаки, болезнь </w:t>
      </w:r>
      <w:r>
        <w:rPr>
          <w:lang w:val="en-US" w:eastAsia="en-US" w:bidi="en-US"/>
          <w:w w:val="100"/>
          <w:spacing w:val="0"/>
          <w:color w:val="000000"/>
          <w:position w:val="0"/>
        </w:rPr>
        <w:t xml:space="preserve">Crohn, </w:t>
      </w:r>
      <w:r>
        <w:rPr>
          <w:lang w:val="ru-RU" w:eastAsia="ru-RU" w:bidi="ru-RU"/>
          <w:w w:val="100"/>
          <w:spacing w:val="0"/>
          <w:color w:val="000000"/>
          <w:position w:val="0"/>
        </w:rPr>
        <w:t>системная красная волчанка, язвен</w:t>
        <w:softHyphen/>
        <w:t>ный колит, гранулематоз Вегенера, тиреотоксикоз, склеродермия, ревматоидный артрит.</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Кардиомиопатия беременных.</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Посттрансплантантное отторжение клеток.</w:t>
      </w:r>
    </w:p>
    <w:p>
      <w:pPr>
        <w:pStyle w:val="Style30"/>
        <w:widowControl w:val="0"/>
        <w:keepNext w:val="0"/>
        <w:keepLines w:val="0"/>
        <w:shd w:val="clear" w:color="auto" w:fill="auto"/>
        <w:bidi w:val="0"/>
        <w:jc w:val="left"/>
        <w:spacing w:before="0" w:after="0"/>
        <w:ind w:left="0" w:right="0" w:firstLine="280"/>
      </w:pPr>
      <w:r>
        <w:rPr>
          <w:lang w:val="en-US" w:eastAsia="en-US" w:bidi="en-US"/>
          <w:w w:val="100"/>
          <w:spacing w:val="0"/>
          <w:color w:val="000000"/>
          <w:position w:val="0"/>
        </w:rPr>
        <w:t xml:space="preserve">Lieberman </w:t>
      </w:r>
      <w:r>
        <w:rPr>
          <w:lang w:val="ru-RU" w:eastAsia="ru-RU" w:bidi="ru-RU"/>
          <w:w w:val="100"/>
          <w:spacing w:val="0"/>
          <w:color w:val="000000"/>
          <w:position w:val="0"/>
        </w:rPr>
        <w:t>преложил следующую клинико-патологичес</w:t>
        <w:softHyphen/>
        <w:t>кую классификацию миокардитов:</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Фульминантный миокардит — после продромально</w:t>
        <w:softHyphen/>
        <w:t>го периода возникает тяжелое поражение сердеч</w:t>
        <w:softHyphen/>
        <w:t>но-сосудистой системы с желудочковой дисфункци</w:t>
        <w:softHyphen/>
        <w:t>ей. Заболевание проходит спонтанно или имеет ле</w:t>
        <w:softHyphen/>
        <w:t>тальный исход из-за тяжелой рефрактерной сердеч</w:t>
        <w:softHyphen/>
        <w:t>ной недостаточности.</w:t>
      </w:r>
    </w:p>
    <w:p>
      <w:pPr>
        <w:pStyle w:val="Style30"/>
        <w:numPr>
          <w:ilvl w:val="0"/>
          <w:numId w:val="63"/>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Острый миокардит — заболевание возникает без предшествующих предвестников, выявляется по на</w:t>
        <w:softHyphen/>
        <w:t>личию желудочковой дисфункции, может трансфор</w:t>
        <w:softHyphen/>
        <w:t>мироваться в дилатационную кардиомиопатию.</w:t>
      </w:r>
      <w:r>
        <w:br w:type="page"/>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Хронический активный миокардит — начальные ста</w:t>
        <w:softHyphen/>
        <w:t>дии заболевания не диагностируются, клинически и гистологически развивается желудочковая ди</w:t>
        <w:softHyphen/>
        <w:t>сфункция, связанная с хроническим воспалительным процессом (включая гигантские клетки).</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Хронический персистирующий миокардит — начало заболевания не диагностируется, гистологически вы</w:t>
        <w:softHyphen/>
        <w:t>являются локальные инфильтраты, очаги некроза миоцитов без желудочковой дисфункции (могут быть боли в грудной клетке, сердцебиение).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Миокардит может быть обусловлен различными инфек</w:t>
        <w:softHyphen/>
        <w:t>ционными возбудителями, аутоиммунными заболевания</w:t>
        <w:softHyphen/>
        <w:t>ми, экзогенными факторами с генетической предрасполо</w:t>
        <w:softHyphen/>
        <w:t>женностью. Поражение миокарда возникает под воздей</w:t>
        <w:softHyphen/>
        <w:t>ствием следующих механизмов:</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Прямой цитотоксический эффект повреждающего агента.</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Вторичный иммунный ответ, который запускает по</w:t>
        <w:softHyphen/>
        <w:t>вреждающий агент.</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Воздействие цитокинов на миокард (таких как тумор некротический фактор или синтаза оксида азота).</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Аберрантная индукция апоптоза.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Поражение миокарда протекает в две фазы:</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Острая фаза (первые 2 недели). Под воздействием по - вреждающего агента происходит деструкция миоци</w:t>
        <w:softHyphen/>
        <w:t>тов, выброс клеточных медиаторов воспаления, ци</w:t>
        <w:softHyphen/>
        <w:t>токинов, которые вызывают повреждение миокарда и его дисфункцию. Выявить причинный фактор в эту фазу обычно не удается.</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Хроническая фаза. Повреждение кардиомиоцита обусловлено аутоиммунными механизмами, ассоци</w:t>
        <w:softHyphen/>
        <w:t xml:space="preserve">ируется определенной экспрессией </w:t>
      </w:r>
      <w:r>
        <w:rPr>
          <w:lang w:val="en-US" w:eastAsia="en-US" w:bidi="en-US"/>
          <w:w w:val="100"/>
          <w:spacing w:val="0"/>
          <w:color w:val="000000"/>
          <w:position w:val="0"/>
        </w:rPr>
        <w:t xml:space="preserve">HLA </w:t>
      </w:r>
      <w:r>
        <w:rPr>
          <w:lang w:val="ru-RU" w:eastAsia="ru-RU" w:bidi="ru-RU"/>
          <w:w w:val="100"/>
          <w:spacing w:val="0"/>
          <w:color w:val="000000"/>
          <w:position w:val="0"/>
        </w:rPr>
        <w:t>антигенов и в случаях вирусных миокардитов персистенцией вирусного генома в миокарде.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Гистологические данные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Критерием постановки диагноза миокардита по эндо</w:t>
        <w:softHyphen/>
        <w:t>миокардиальной биопсии является одновременное обнару</w:t>
        <w:softHyphen/>
        <w:t>жение лимфоцитарной инфильтрации и некроза миоцитов.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 трактовке гистологических данных используется классификация </w:t>
      </w:r>
      <w:r>
        <w:rPr>
          <w:lang w:val="en-US" w:eastAsia="en-US" w:bidi="en-US"/>
          <w:w w:val="100"/>
          <w:spacing w:val="0"/>
          <w:color w:val="000000"/>
          <w:position w:val="0"/>
        </w:rPr>
        <w:t xml:space="preserve">Dallas </w:t>
      </w:r>
      <w:r>
        <w:rPr>
          <w:lang w:val="ru-RU" w:eastAsia="ru-RU" w:bidi="ru-RU"/>
          <w:w w:val="100"/>
          <w:spacing w:val="0"/>
          <w:color w:val="000000"/>
          <w:position w:val="0"/>
        </w:rPr>
        <w:t xml:space="preserve">(1987) и классификация Всемирной организации здравоохранения </w:t>
      </w:r>
      <w:r>
        <w:rPr>
          <w:lang w:val="en-US" w:eastAsia="en-US" w:bidi="en-US"/>
          <w:w w:val="100"/>
          <w:spacing w:val="0"/>
          <w:color w:val="000000"/>
          <w:position w:val="0"/>
        </w:rPr>
        <w:t xml:space="preserve">(WHO) </w:t>
      </w:r>
      <w:r>
        <w:rPr>
          <w:lang w:val="ru-RU" w:eastAsia="ru-RU" w:bidi="ru-RU"/>
          <w:w w:val="100"/>
          <w:spacing w:val="0"/>
          <w:color w:val="000000"/>
          <w:position w:val="0"/>
        </w:rPr>
        <w:t xml:space="preserve">— классификация </w:t>
      </w:r>
      <w:r>
        <w:rPr>
          <w:lang w:val="en-US" w:eastAsia="en-US" w:bidi="en-US"/>
          <w:w w:val="100"/>
          <w:spacing w:val="0"/>
          <w:color w:val="000000"/>
          <w:position w:val="0"/>
        </w:rPr>
        <w:t xml:space="preserve">Marburg </w:t>
      </w:r>
      <w:r>
        <w:rPr>
          <w:lang w:val="ru-RU" w:eastAsia="ru-RU" w:bidi="ru-RU"/>
          <w:w w:val="100"/>
          <w:spacing w:val="0"/>
          <w:color w:val="000000"/>
          <w:position w:val="0"/>
        </w:rPr>
        <w:t>(1996).</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Тип клеток — лимфоцитарный, эозинофильный, нейтрофильный, гигантоклеточный, гранулематоз</w:t>
        <w:softHyphen/>
        <w:t>ный, смешанный.</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Количество — нет (степень 0), небольшое (степень 1), умеренное (степень 2), выраженное (степень 3).</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Распределение — локальное (снаружи просвета сосу</w:t>
        <w:softHyphen/>
        <w:t>да), неравномерное, диффузное, репаративное (в фи- бротических зонах).</w:t>
      </w:r>
    </w:p>
    <w:p>
      <w:pPr>
        <w:pStyle w:val="Style30"/>
        <w:numPr>
          <w:ilvl w:val="0"/>
          <w:numId w:val="6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Классификация </w:t>
      </w:r>
      <w:r>
        <w:rPr>
          <w:lang w:val="en-US" w:eastAsia="en-US" w:bidi="en-US"/>
          <w:w w:val="100"/>
          <w:spacing w:val="0"/>
          <w:color w:val="000000"/>
          <w:position w:val="0"/>
        </w:rPr>
        <w:t xml:space="preserve">Dallas </w:t>
      </w:r>
      <w:r>
        <w:rPr>
          <w:lang w:val="ru-RU" w:eastAsia="ru-RU" w:bidi="ru-RU"/>
          <w:w w:val="100"/>
          <w:spacing w:val="0"/>
          <w:color w:val="000000"/>
          <w:position w:val="0"/>
        </w:rPr>
        <w:t>(1987):</w:t>
      </w:r>
    </w:p>
    <w:p>
      <w:pPr>
        <w:pStyle w:val="Style30"/>
        <w:numPr>
          <w:ilvl w:val="0"/>
          <w:numId w:val="65"/>
        </w:numPr>
        <w:tabs>
          <w:tab w:leader="none" w:pos="81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первичная биопсия:</w:t>
      </w:r>
    </w:p>
    <w:p>
      <w:pPr>
        <w:pStyle w:val="Style30"/>
        <w:numPr>
          <w:ilvl w:val="0"/>
          <w:numId w:val="65"/>
        </w:numPr>
        <w:tabs>
          <w:tab w:leader="none" w:pos="947"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миокардит — миокардиальный некроз, дегенера</w:t>
        <w:softHyphen/>
        <w:t>ция или оба признака при отсутствии заболевания коронарных артерий с воспалительной инфильт</w:t>
        <w:softHyphen/>
        <w:t>рацией ± фиброзом;</w:t>
      </w:r>
    </w:p>
    <w:p>
      <w:pPr>
        <w:pStyle w:val="Style30"/>
        <w:numPr>
          <w:ilvl w:val="0"/>
          <w:numId w:val="65"/>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пограничный миокардит — незначительная вос</w:t>
        <w:softHyphen/>
        <w:t>палительная инфильтрация или невыраженное по</w:t>
        <w:softHyphen/>
        <w:t>вреждение миоцита;</w:t>
      </w:r>
    </w:p>
    <w:p>
      <w:pPr>
        <w:pStyle w:val="Style30"/>
        <w:numPr>
          <w:ilvl w:val="0"/>
          <w:numId w:val="65"/>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нет миокардита.</w:t>
      </w:r>
    </w:p>
    <w:p>
      <w:pPr>
        <w:pStyle w:val="Style30"/>
        <w:numPr>
          <w:ilvl w:val="0"/>
          <w:numId w:val="65"/>
        </w:numPr>
        <w:tabs>
          <w:tab w:leader="none" w:pos="81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последующая биопсия:</w:t>
      </w:r>
    </w:p>
    <w:p>
      <w:pPr>
        <w:pStyle w:val="Style30"/>
        <w:numPr>
          <w:ilvl w:val="0"/>
          <w:numId w:val="65"/>
        </w:numPr>
        <w:tabs>
          <w:tab w:leader="none" w:pos="938" w:val="left"/>
        </w:tabs>
        <w:widowControl w:val="0"/>
        <w:keepNext w:val="0"/>
        <w:keepLines w:val="0"/>
        <w:shd w:val="clear" w:color="auto" w:fill="auto"/>
        <w:bidi w:val="0"/>
        <w:spacing w:before="0" w:after="0"/>
        <w:ind w:left="740" w:right="0" w:firstLine="0"/>
      </w:pPr>
      <w:r>
        <w:br w:type="column"/>
      </w:r>
      <w:r>
        <w:rPr>
          <w:lang w:val="ru-RU" w:eastAsia="ru-RU" w:bidi="ru-RU"/>
          <w:w w:val="100"/>
          <w:spacing w:val="0"/>
          <w:color w:val="000000"/>
          <w:position w:val="0"/>
        </w:rPr>
        <w:t>персистирующий миокардит с фиброзом или без фиброза;</w:t>
      </w:r>
    </w:p>
    <w:p>
      <w:pPr>
        <w:pStyle w:val="Style30"/>
        <w:numPr>
          <w:ilvl w:val="0"/>
          <w:numId w:val="65"/>
        </w:numPr>
        <w:tabs>
          <w:tab w:leader="none" w:pos="93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«заживающий» миокардит с фиброзом или без фиброза;</w:t>
      </w:r>
    </w:p>
    <w:p>
      <w:pPr>
        <w:pStyle w:val="Style30"/>
        <w:numPr>
          <w:ilvl w:val="0"/>
          <w:numId w:val="65"/>
        </w:numPr>
        <w:tabs>
          <w:tab w:leader="none" w:pos="947"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«заживший» миокардит с фиброзом или без фиб</w:t>
        <w:softHyphen/>
        <w:t>роза.</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Классификация ВОЗ </w:t>
      </w:r>
      <w:r>
        <w:rPr>
          <w:lang w:val="en-US" w:eastAsia="en-US" w:bidi="en-US"/>
          <w:w w:val="100"/>
          <w:spacing w:val="0"/>
          <w:color w:val="000000"/>
          <w:position w:val="0"/>
        </w:rPr>
        <w:t xml:space="preserve">Marburg </w:t>
      </w:r>
      <w:r>
        <w:rPr>
          <w:lang w:val="ru-RU" w:eastAsia="ru-RU" w:bidi="ru-RU"/>
          <w:w w:val="100"/>
          <w:spacing w:val="0"/>
          <w:color w:val="000000"/>
          <w:position w:val="0"/>
        </w:rPr>
        <w:t>критерии (1996) опре</w:t>
        <w:softHyphen/>
        <w:t>деляют миокардит как минимум 14 лейкоцитов/мм</w:t>
      </w:r>
      <w:r>
        <w:rPr>
          <w:lang w:val="ru-RU" w:eastAsia="ru-RU" w:bidi="ru-RU"/>
          <w:vertAlign w:val="superscript"/>
          <w:w w:val="100"/>
          <w:spacing w:val="0"/>
          <w:color w:val="000000"/>
          <w:position w:val="0"/>
        </w:rPr>
        <w:t>2</w:t>
      </w:r>
      <w:r>
        <w:rPr>
          <w:lang w:val="ru-RU" w:eastAsia="ru-RU" w:bidi="ru-RU"/>
          <w:w w:val="100"/>
          <w:spacing w:val="0"/>
          <w:color w:val="000000"/>
          <w:position w:val="0"/>
        </w:rPr>
        <w:t xml:space="preserve">, предпочтительно </w:t>
      </w:r>
      <w:r>
        <w:rPr>
          <w:lang w:val="en-US" w:eastAsia="en-US" w:bidi="en-US"/>
          <w:w w:val="100"/>
          <w:spacing w:val="0"/>
          <w:color w:val="000000"/>
          <w:position w:val="0"/>
        </w:rPr>
        <w:t xml:space="preserve">T </w:t>
      </w:r>
      <w:r>
        <w:rPr>
          <w:lang w:val="ru-RU" w:eastAsia="ru-RU" w:bidi="ru-RU"/>
          <w:w w:val="100"/>
          <w:spacing w:val="0"/>
          <w:color w:val="000000"/>
          <w:position w:val="0"/>
        </w:rPr>
        <w:t xml:space="preserve">клетки </w:t>
      </w:r>
      <w:r>
        <w:rPr>
          <w:lang w:val="en-US" w:eastAsia="en-US" w:bidi="en-US"/>
          <w:w w:val="100"/>
          <w:spacing w:val="0"/>
          <w:color w:val="000000"/>
          <w:position w:val="0"/>
        </w:rPr>
        <w:t xml:space="preserve">(CD45RO) </w:t>
      </w:r>
      <w:r>
        <w:rPr>
          <w:lang w:val="ru-RU" w:eastAsia="ru-RU" w:bidi="ru-RU"/>
          <w:w w:val="100"/>
          <w:spacing w:val="0"/>
          <w:color w:val="000000"/>
          <w:position w:val="0"/>
        </w:rPr>
        <w:t>с возможными макрофагальными включениями (до 4 макрофагов).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Клинический анамнез обычно проявляется острой де</w:t>
        <w:softHyphen/>
        <w:t>компенсацией кровообращения. Следует отметить, что ди</w:t>
        <w:softHyphen/>
        <w:t>агноз миокардита обычно предполагается на основе клини</w:t>
        <w:softHyphen/>
        <w:t>ческого течения (спонтанное выздоровление или при про</w:t>
        <w:softHyphen/>
        <w:t>тивовоспалительной терапии).</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больных могут отмечаться симптомы болей в груд</w:t>
        <w:softHyphen/>
        <w:t>ной клетке (конкурентный симптом перикардита), лихорадка, потливость, зябкость, одышка.</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вирусном миокардите в течение 1-2 недель на</w:t>
        <w:softHyphen/>
        <w:t>блюдается синдром, подобный гриппу: лихорадка, артралгии, недомогание, фарингит, тонзиллит, ин</w:t>
        <w:softHyphen/>
        <w:t>фекция верхних дыхательных путей.</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Редко заболевание может манифестировать как острое токсическое состояние, сердечная недостаточность или кардиогенный шок («фульминантный миокардит»).</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редких случаях заболевание может манифестиро</w:t>
        <w:softHyphen/>
        <w:t>вать синкопальными состояниями и даже внезапной сердечной смертью из-за желудочковых аритмий или атриовентрикулярной блокады (особенно при гиган</w:t>
        <w:softHyphen/>
        <w:t>токлеточном миокардите).</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12,8% больных с идиопатической дилатационной кардиомиопатией достоверно диагностирован мио</w:t>
        <w:softHyphen/>
        <w:t>кардит в анамнезе.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Физикальные данные: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Миокардит обычно проявляется симптомами и призна</w:t>
        <w:softHyphen/>
        <w:t>ками декомпенсированной сердечной недостаточности (та</w:t>
        <w:softHyphen/>
        <w:t>хикардия, ритм галопа, митральная регургитация, отеки) и трением перикарда при сопутствующем перикардите. Специфические признаки могут определяться при установ</w:t>
        <w:softHyphen/>
        <w:t>ленном заболевании и включают:</w:t>
      </w:r>
    </w:p>
    <w:p>
      <w:pPr>
        <w:pStyle w:val="Style30"/>
        <w:numPr>
          <w:ilvl w:val="0"/>
          <w:numId w:val="6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Саркоидозный миокардит — лимфаденопатия, арит</w:t>
        <w:softHyphen/>
        <w:t>мии, саркоидоз поражает другие органы (в 70%).</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Острая ревматическая лихорадка (сердце обычно по</w:t>
        <w:softHyphen/>
        <w:t>ражается в 50-90%) — сопутствующими признаками являются кольцевидная эритема, полиартралгия, хо</w:t>
        <w:softHyphen/>
        <w:t>рея, подкожные узелки (критерии Джонсона).</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Гиперсенситивный/эозинофильный миокардит — Макулопапулезная сыпь и прием аллергизирующих препаратов в анамнезе.</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Гигантоклеточный миокардит — должен быть заподо - зрен при наличии желудочковой тахикардии и быст</w:t>
        <w:softHyphen/>
        <w:t>ром прогрессировании сердечной недостаточности.</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Кардиомиопатия беременных — сердечная недоста</w:t>
        <w:softHyphen/>
        <w:t>точность развивается на последнем месяце беремен</w:t>
        <w:softHyphen/>
        <w:t>ности и в первые 5 месяцев после родов.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Лабораторная диагностика</w:t>
      </w:r>
    </w:p>
    <w:p>
      <w:pPr>
        <w:pStyle w:val="Style30"/>
        <w:numPr>
          <w:ilvl w:val="0"/>
          <w:numId w:val="6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Развернутый анализ крови — лейкоцитоз (может быть эозинофилия).</w:t>
      </w:r>
    </w:p>
    <w:p>
      <w:pPr>
        <w:pStyle w:val="Style30"/>
        <w:numPr>
          <w:ilvl w:val="0"/>
          <w:numId w:val="63"/>
        </w:numPr>
        <w:tabs>
          <w:tab w:leader="none" w:pos="518" w:val="left"/>
        </w:tabs>
        <w:widowControl w:val="0"/>
        <w:keepNext w:val="0"/>
        <w:keepLines w:val="0"/>
        <w:shd w:val="clear" w:color="auto" w:fill="auto"/>
        <w:bidi w:val="0"/>
        <w:spacing w:before="0" w:after="0"/>
        <w:ind w:left="520" w:right="0" w:hanging="240"/>
      </w:pPr>
      <w:r>
        <w:pict>
          <v:shape id="_x0000_s1378" type="#_x0000_t75" style="position:absolute;margin-left:148.2pt;margin-top:737.05pt;width:209.75pt;height:14.9pt;z-index:-125829146;mso-wrap-distance-left:147.85pt;mso-wrap-distance-right:136.8pt;mso-wrap-distance-bottom:10.8pt;mso-position-horizontal-relative:margin;mso-position-vertical-relative:margin" wrapcoords="0 0 21600 0 21600 21600 0 21600 0 0">
            <v:imagedata r:id="rId580" r:href="rId581"/>
            <w10:wrap type="topAndBottom" anchorx="margin" anchory="margin"/>
          </v:shape>
        </w:pict>
      </w:r>
      <w:r>
        <w:rPr>
          <w:lang w:val="ru-RU" w:eastAsia="ru-RU" w:bidi="ru-RU"/>
          <w:w w:val="100"/>
          <w:spacing w:val="0"/>
          <w:color w:val="000000"/>
          <w:position w:val="0"/>
        </w:rPr>
        <w:t>Увеличение скорости оседания эритроцитов (и дру</w:t>
        <w:softHyphen/>
        <w:t>гие острофазные факторы воспаления, например, С-реактивный протеин).</w:t>
      </w:r>
      <w:r>
        <w:br w:type="page"/>
      </w:r>
    </w:p>
    <w:p>
      <w:pPr>
        <w:pStyle w:val="Style30"/>
        <w:numPr>
          <w:ilvl w:val="0"/>
          <w:numId w:val="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Ревматологический скрининг выявляет системные воспалительные заболевания.</w:t>
      </w:r>
    </w:p>
    <w:p>
      <w:pPr>
        <w:pStyle w:val="Style30"/>
        <w:numPr>
          <w:ilvl w:val="0"/>
          <w:numId w:val="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Увеличение уровня сердечных энзимов (креатинин</w:t>
        <w:softHyphen/>
        <w:t>киназа, сердечные тропонины).</w:t>
      </w:r>
    </w:p>
    <w:p>
      <w:pPr>
        <w:pStyle w:val="Style30"/>
        <w:numPr>
          <w:ilvl w:val="0"/>
          <w:numId w:val="63"/>
        </w:numPr>
        <w:tabs>
          <w:tab w:leader="none" w:pos="49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Они являются индикаторами мионекроза кардио</w:t>
        <w:softHyphen/>
        <w:t xml:space="preserve">миоцитов. Сердечный тропонин (тропонин I или </w:t>
      </w:r>
      <w:r>
        <w:rPr>
          <w:lang w:val="en-US" w:eastAsia="en-US" w:bidi="en-US"/>
          <w:w w:val="100"/>
          <w:spacing w:val="0"/>
          <w:color w:val="000000"/>
          <w:position w:val="0"/>
        </w:rPr>
        <w:t xml:space="preserve">T) </w:t>
      </w:r>
      <w:r>
        <w:rPr>
          <w:lang w:val="ru-RU" w:eastAsia="ru-RU" w:bidi="ru-RU"/>
          <w:w w:val="100"/>
          <w:spacing w:val="0"/>
          <w:color w:val="000000"/>
          <w:position w:val="0"/>
        </w:rPr>
        <w:t>примерно у 50% больных увеличен при гистоло - гически подтвержденном миокардите.</w:t>
      </w:r>
    </w:p>
    <w:p>
      <w:pPr>
        <w:pStyle w:val="Style30"/>
        <w:numPr>
          <w:ilvl w:val="0"/>
          <w:numId w:val="63"/>
        </w:numPr>
        <w:tabs>
          <w:tab w:leader="none" w:pos="49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Тест на сердечный тропонин имеет 89% специфич</w:t>
        <w:softHyphen/>
        <w:t>ность и 34% чувствительность. Этот тест значи</w:t>
        <w:softHyphen/>
        <w:t>тельно чувствительнее, чем тест на креатинкиназу (увеличение миокардиальной фракции кретинки - назы наблюдается только у 5,7% больных с гисто</w:t>
        <w:softHyphen/>
        <w:t>логически подтвержденным миокардитом).</w:t>
      </w:r>
    </w:p>
    <w:p>
      <w:pPr>
        <w:pStyle w:val="Style30"/>
        <w:numPr>
          <w:ilvl w:val="0"/>
          <w:numId w:val="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Гигантоклеточный миокардит ассоциируется с увели - чением уровня тканевых цитотоксинов, который снижается при иммуносуппрессивной терапии.</w:t>
      </w:r>
    </w:p>
    <w:p>
      <w:pPr>
        <w:pStyle w:val="Style30"/>
        <w:numPr>
          <w:ilvl w:val="0"/>
          <w:numId w:val="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Титр вирусных антител при вирусном миокардите:</w:t>
      </w:r>
    </w:p>
    <w:p>
      <w:pPr>
        <w:pStyle w:val="Style30"/>
        <w:numPr>
          <w:ilvl w:val="0"/>
          <w:numId w:val="65"/>
        </w:numPr>
        <w:tabs>
          <w:tab w:leader="none" w:pos="49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титр увеличивается в 4 раза и больше и постепенно снижается в период реконвалесценции (неспеци</w:t>
        <w:softHyphen/>
        <w:t>фический);</w:t>
      </w:r>
    </w:p>
    <w:p>
      <w:pPr>
        <w:pStyle w:val="Style30"/>
        <w:numPr>
          <w:ilvl w:val="0"/>
          <w:numId w:val="65"/>
        </w:numPr>
        <w:tabs>
          <w:tab w:leader="none" w:pos="49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данный тест редко подтверждает диагноз вирусно - го миокардита из-за низкой специфичности.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numPr>
          <w:ilvl w:val="0"/>
          <w:numId w:val="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 обычно не имеет специфичес</w:t>
        <w:softHyphen/>
        <w:t>ких проявлений, часто определяются синусовая тахи</w:t>
        <w:softHyphen/>
        <w:t xml:space="preserve">кардия, неспецифические </w:t>
      </w:r>
      <w:r>
        <w:rPr>
          <w:lang w:val="en-US" w:eastAsia="en-US" w:bidi="en-US"/>
          <w:w w:val="100"/>
          <w:spacing w:val="0"/>
          <w:color w:val="000000"/>
          <w:position w:val="0"/>
        </w:rPr>
        <w:t xml:space="preserve">ST-T </w:t>
      </w:r>
      <w:r>
        <w:rPr>
          <w:lang w:val="ru-RU" w:eastAsia="ru-RU" w:bidi="ru-RU"/>
          <w:w w:val="100"/>
          <w:spacing w:val="0"/>
          <w:color w:val="000000"/>
          <w:position w:val="0"/>
        </w:rPr>
        <w:t>изменения:</w:t>
      </w:r>
    </w:p>
    <w:p>
      <w:pPr>
        <w:pStyle w:val="Style30"/>
        <w:numPr>
          <w:ilvl w:val="0"/>
          <w:numId w:val="63"/>
        </w:numPr>
        <w:tabs>
          <w:tab w:leader="none" w:pos="49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Могут определяться атриовентрикулярная блокада или задержка внутрижелудочкового проведения, желудочковые аритмии, </w:t>
      </w:r>
      <w:r>
        <w:rPr>
          <w:lang w:val="en-US" w:eastAsia="en-US" w:bidi="en-US"/>
          <w:w w:val="100"/>
          <w:spacing w:val="0"/>
          <w:color w:val="000000"/>
          <w:position w:val="0"/>
        </w:rPr>
        <w:t xml:space="preserve">ST-T </w:t>
      </w:r>
      <w:r>
        <w:rPr>
          <w:lang w:val="ru-RU" w:eastAsia="ru-RU" w:bidi="ru-RU"/>
          <w:w w:val="100"/>
          <w:spacing w:val="0"/>
          <w:color w:val="000000"/>
          <w:position w:val="0"/>
        </w:rPr>
        <w:t>изменения (псевдо</w:t>
        <w:softHyphen/>
        <w:t>инфарктные), имитирующие ишемию миокарда или перикардит.</w:t>
      </w:r>
    </w:p>
    <w:p>
      <w:pPr>
        <w:pStyle w:val="Style30"/>
        <w:numPr>
          <w:ilvl w:val="0"/>
          <w:numId w:val="63"/>
        </w:numPr>
        <w:tabs>
          <w:tab w:leader="none" w:pos="49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Аритмии характерны для болезни Чагаса: блокада правой ножки пучка Гиса или бифасцикулярная блокада (50%), полная атриовентрикулярная бло</w:t>
        <w:softHyphen/>
        <w:t>када (7-8%), мерцание предсердий (7-10%), желу</w:t>
        <w:softHyphen/>
        <w:t>дочковые аритмии (39%).</w:t>
      </w:r>
    </w:p>
    <w:p>
      <w:pPr>
        <w:pStyle w:val="Style30"/>
        <w:numPr>
          <w:ilvl w:val="0"/>
          <w:numId w:val="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 Это исследование проводится во всех случаях сердечной недостаточности (кла</w:t>
        <w:softHyphen/>
        <w:t>панной, при врожденных пороках сердца, амилои- дозе) для выявления степени сердечной дисфунк</w:t>
        <w:softHyphen/>
        <w:t>ции (обычно имеет место диффузный гипокинез и диастолическая дисфункция). Метод позволяет выявить локализацию и распространенность вос</w:t>
        <w:softHyphen/>
        <w:t>паления (аномалии движения стенок, утолщение стенок, перикардиальный выпот). Эхокардиогра</w:t>
        <w:softHyphen/>
        <w:t>фия позволяет дифференцировать фульминантный миокардит от острого миокардита. При фульми</w:t>
        <w:softHyphen/>
        <w:t>нантном миокардите диастолический диаметр ле</w:t>
        <w:softHyphen/>
        <w:t>вого желудочка нормальный, толщина миокарди</w:t>
        <w:softHyphen/>
        <w:t>альных стенок увеличена. При остром миокардите увеличен диастолический диаметр левого желудоч</w:t>
        <w:softHyphen/>
        <w:t>ка, толщина миокарда нормальная, систолическая функция улучшается при проводимой адекватной терапии.</w:t>
      </w:r>
    </w:p>
    <w:p>
      <w:pPr>
        <w:pStyle w:val="Style30"/>
        <w:numPr>
          <w:ilvl w:val="0"/>
          <w:numId w:val="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Антимиозиновая сцинтиграфия (используется инъекция антимиозиновых антител) позволяет иден</w:t>
        <w:softHyphen/>
        <w:t>тифицировать воспаление миокарда с высокой чув</w:t>
        <w:softHyphen/>
        <w:t>ствительностью (91-100%), однако с низкой специ</w:t>
        <w:softHyphen/>
        <w:t>фичностью (31-44%).</w:t>
      </w:r>
    </w:p>
    <w:p>
      <w:pPr>
        <w:pStyle w:val="Style30"/>
        <w:numPr>
          <w:ilvl w:val="0"/>
          <w:numId w:val="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Сцинтиграфия с галлиумом. Метод позволяет опре</w:t>
        <w:softHyphen/>
        <w:t>делить степень и тяжесть клеточной инфильтрации</w:t>
        <w:br w:type="column"/>
        <w:t>миокарда, имеет высокую чувствительность, однако низкую специфичность.</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Магнитный резонанс с гадолиниумом </w:t>
      </w:r>
      <w:r>
        <w:rPr>
          <w:lang w:val="en-US" w:eastAsia="en-US" w:bidi="en-US"/>
          <w:w w:val="100"/>
          <w:spacing w:val="0"/>
          <w:color w:val="000000"/>
          <w:position w:val="0"/>
        </w:rPr>
        <w:t xml:space="preserve">(Gadolinium) </w:t>
      </w:r>
      <w:r>
        <w:rPr>
          <w:lang w:val="ru-RU" w:eastAsia="ru-RU" w:bidi="ru-RU"/>
          <w:w w:val="100"/>
          <w:spacing w:val="0"/>
          <w:color w:val="000000"/>
          <w:position w:val="0"/>
        </w:rPr>
        <w:t>— метод позволяет определить распространенность вос</w:t>
        <w:softHyphen/>
        <w:t>паления. Этот метод находится в стадии разработки.</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Ангиокардиография показана для выявления ише</w:t>
        <w:softHyphen/>
        <w:t>мии миокарда, особенно в случаях впервые возник</w:t>
        <w:softHyphen/>
        <w:t>шей сердечной недостаточности и когда клинические проявления имитируют инфаркт миокарда. При ан</w:t>
        <w:softHyphen/>
        <w:t>гиокардиографии обычно выявляется высокое давле</w:t>
        <w:softHyphen/>
        <w:t>ние наполнения и сниженный сердечный выброс.</w:t>
      </w:r>
    </w:p>
    <w:p>
      <w:pPr>
        <w:pStyle w:val="Style30"/>
        <w:numPr>
          <w:ilvl w:val="0"/>
          <w:numId w:val="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Правожелудочковая эндомиокардиальная биопсия. Эндомиокардиальная биопсия позволяет достоверно установить диагноз миокардита, однако она имеет ог</w:t>
        <w:softHyphen/>
        <w:t>раниченную чувствительность и специфичность, по</w:t>
        <w:softHyphen/>
        <w:t>скольку воспаление может быть диффузным и ло</w:t>
        <w:softHyphen/>
        <w:t>кальным. Хотя эндомиокардиальная биопсия позво</w:t>
        <w:softHyphen/>
        <w:t>ляет достоверно установить диагноз миокардита, она не меняет терапевтической стратегии.</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Чувствительность метода увеличивается при про</w:t>
        <w:softHyphen/>
        <w:t>ведении множественной биопсии (50% при прове</w:t>
        <w:softHyphen/>
        <w:t>дении 1 биопсии, 90% при проведении 7 биопсий). При стандартном проведении метода используют от 4 до 5 биопсий, ложноотрицательные результа</w:t>
        <w:softHyphen/>
        <w:t>ты при этом составляют 55%.</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Ложнопозитивные результаты также имеют боль</w:t>
        <w:softHyphen/>
        <w:t>шой процент, поскольку в норме в миокарде об</w:t>
        <w:softHyphen/>
        <w:t>наруживается небольшое число лимфоцитов. Не</w:t>
        <w:softHyphen/>
        <w:t>которые трудности представляет дифференциа</w:t>
        <w:softHyphen/>
        <w:t>ция лимфоцитов от эозинофилов (например, при гиперчувствительном/эозинофильном мио</w:t>
        <w:softHyphen/>
        <w:t>кардите).</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Интерпретация гистологических данных зависит от исследователя, что также является немаловаж</w:t>
        <w:softHyphen/>
        <w:t>ным фактором.</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Гранулемы при саркоидозе миокарда определяют</w:t>
        <w:softHyphen/>
        <w:t>ся в 5% случаев эндомиокардиальных биопсий, то</w:t>
        <w:softHyphen/>
        <w:t>гда как при аутопсии — в 27% случаев.</w:t>
      </w:r>
    </w:p>
    <w:p>
      <w:pPr>
        <w:pStyle w:val="Style30"/>
        <w:numPr>
          <w:ilvl w:val="0"/>
          <w:numId w:val="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Персистирование вирусных геномов (вирусные </w:t>
      </w:r>
      <w:r>
        <w:rPr>
          <w:lang w:val="en-US" w:eastAsia="en-US" w:bidi="en-US"/>
          <w:w w:val="100"/>
          <w:spacing w:val="0"/>
          <w:color w:val="000000"/>
          <w:position w:val="0"/>
        </w:rPr>
        <w:t xml:space="preserve">mRNA) </w:t>
      </w:r>
      <w:r>
        <w:rPr>
          <w:lang w:val="ru-RU" w:eastAsia="ru-RU" w:bidi="ru-RU"/>
          <w:w w:val="100"/>
          <w:spacing w:val="0"/>
          <w:color w:val="000000"/>
          <w:position w:val="0"/>
        </w:rPr>
        <w:t>может обнаруживаться у 25-50% пациен</w:t>
        <w:softHyphen/>
        <w:t>тов с подтвержденным методом биопсии острым миокардитом и часто подтверждает плохой про</w:t>
        <w:softHyphen/>
        <w:t>гноз. Эпидемиологические исследования Евро</w:t>
        <w:softHyphen/>
        <w:t>пейской группы по эпидемиологии и лечению вос</w:t>
        <w:softHyphen/>
        <w:t xml:space="preserve">палительных заболеваний сердца </w:t>
      </w:r>
      <w:r>
        <w:rPr>
          <w:lang w:val="en-US" w:eastAsia="en-US" w:bidi="en-US"/>
          <w:w w:val="100"/>
          <w:spacing w:val="0"/>
          <w:color w:val="000000"/>
          <w:position w:val="0"/>
        </w:rPr>
        <w:t xml:space="preserve">(ESETCID) </w:t>
      </w:r>
      <w:r>
        <w:rPr>
          <w:lang w:val="ru-RU" w:eastAsia="ru-RU" w:bidi="ru-RU"/>
          <w:w w:val="100"/>
          <w:spacing w:val="0"/>
          <w:color w:val="000000"/>
          <w:position w:val="0"/>
        </w:rPr>
        <w:t>сви</w:t>
        <w:softHyphen/>
        <w:t>детельствуют, что только у 11,8% пациентов с по</w:t>
        <w:softHyphen/>
        <w:t>дозреваемым острым или хроническим миокарди</w:t>
        <w:softHyphen/>
        <w:t>том и уменьшенной фракцией выброса обнаружи</w:t>
        <w:softHyphen/>
        <w:t>вались вирусные геномы в образцах биопсии.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Дифференциальный диагноз</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Тампонада сердца.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Кардиогенный шок.</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Алкогольная кардиомиопатия.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Кокаиновая кардиомиопатия.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Диабетическая кардиомиопатия.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Дилатационная кардиомиопатия.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Гипертрофическая кардиомиопатия.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Кардиомиопатия беременных.</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Болезнь Чагаса (Американский трипанозомиаз).</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Аномалии коронарных артерий.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Атеросклероз коронарных артерий.</w:t>
      </w:r>
    </w:p>
    <w:p>
      <w:pPr>
        <w:pStyle w:val="Style30"/>
        <w:widowControl w:val="0"/>
        <w:keepNext w:val="0"/>
        <w:keepLines w:val="0"/>
        <w:shd w:val="clear" w:color="auto" w:fill="auto"/>
        <w:bidi w:val="0"/>
        <w:spacing w:before="0" w:after="0"/>
        <w:ind w:left="280" w:right="0" w:hanging="280"/>
      </w:pPr>
      <w:r>
        <w:pict>
          <v:shape id="_x0000_s1379" type="#_x0000_t75" style="position:absolute;margin-left:130.7pt;margin-top:737.05pt;width:209.75pt;height:14.9pt;z-index:-125829145;mso-wrap-distance-left:124.1pt;mso-wrap-distance-right:148.1pt;mso-wrap-distance-bottom:10.8pt;mso-position-horizontal-relative:margin;mso-position-vertical-relative:margin" wrapcoords="0 0 21600 0 21600 21600 0 21600 0 0">
            <v:imagedata r:id="rId582" r:href="rId583"/>
            <w10:wrap type="topAndBottom" anchorx="margin" anchory="margin"/>
          </v:shape>
        </w:pict>
      </w:r>
      <w:r>
        <w:rPr>
          <w:lang w:val="ru-RU" w:eastAsia="ru-RU" w:bidi="ru-RU"/>
          <w:w w:val="100"/>
          <w:spacing w:val="0"/>
          <w:color w:val="000000"/>
          <w:position w:val="0"/>
        </w:rPr>
        <w:t>Вазоспазм коронарных артерий.</w:t>
      </w:r>
      <w:r>
        <w:br w:type="page"/>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Инфаркт миокарда.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Кардиогенный отек легких.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Отек легких нейрогенный.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Интерстициальный фиброз легких.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Нестабильная стенокардия.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Желудочковая тахикардия.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миокардитов включает симптоматическую те</w:t>
        <w:softHyphen/>
        <w:t>рапию, направленную на коррекцию острой сердечной не</w:t>
        <w:softHyphen/>
        <w:t>достаточности. Назначают диуретики, нитропруссид на</w:t>
        <w:softHyphen/>
        <w:t>трия, ингибиторы АПФ. При выраженной декомпенсации кровообращения показано назначение инотропных препа</w:t>
        <w:softHyphen/>
        <w:t>ратов, таких как добутамин или милринон. Однако эти пре</w:t>
        <w:softHyphen/>
        <w:t>параты могут вызвать аритмогенный эффект. Длительная терапия включает назначение ингибиторов АПФ, бета-бло - каторов и спиронолактона.</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Полностью исключаются кардиотоксические препа</w:t>
        <w:softHyphen/>
        <w:t>раты и алкоголь. Проводится терапия нестероидны</w:t>
        <w:softHyphen/>
        <w:t>ми и противовоспалительными препаратами в ост</w:t>
        <w:softHyphen/>
        <w:t>рую фазу заболевания. Длительное назначение несте</w:t>
        <w:softHyphen/>
        <w:t>роидных и противовоспалительных препаратов не ре</w:t>
        <w:softHyphen/>
        <w:t>комендуется, поскольку их использование может препятствовать миокардиальному заживлению и фактически увеличивает кардиотоксический про</w:t>
        <w:softHyphen/>
        <w:t>цесс.</w:t>
      </w:r>
    </w:p>
    <w:p>
      <w:pPr>
        <w:pStyle w:val="Style30"/>
        <w:numPr>
          <w:ilvl w:val="0"/>
          <w:numId w:val="69"/>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 целью профилактики тромбоэмболических ослож</w:t>
        <w:softHyphen/>
        <w:t>нений показана терапия антикоагулянтами.</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Противоаритмические препараты назначаются по строгим показаниям, поскольку большинство анти- аритмиков имеют отрицательный инотропный эф</w:t>
        <w:softHyphen/>
        <w:t>фект и могут усилить проявления сердечной недоста</w:t>
        <w:softHyphen/>
        <w:t>точности.</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Пациенты с миокардитом имеют повышенную чув</w:t>
        <w:softHyphen/>
        <w:t>ствительность к дигоксину, поэтому данный препарат желательно назначать в малых дозах (дигоксин уси</w:t>
        <w:softHyphen/>
        <w:t>ливает экспрессию воспалительных цитокинов и смертность в экспериментальных моделях на жи</w:t>
        <w:softHyphen/>
        <w:t>вотных).</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Полную атриовентрикулярную блокаду устраняют путем трансвенозной кардиостимуляции. Если пол</w:t>
        <w:softHyphen/>
        <w:t>ная блокада на фоне терапии не исчезает и угрожает жизни пациента, проводится имплантация искус</w:t>
        <w:softHyphen/>
        <w:t>ственного водителя ритма. Имплантация дефибрил</w:t>
        <w:softHyphen/>
        <w:t>лятора редко применяется при лимфоцитарных мио</w:t>
        <w:softHyphen/>
        <w:t>кардитах, но она может быть показана при некура- бельных жизнеугрожающих аритмиях.</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Иммуносупрессивная терапия не оказывает сущест</w:t>
        <w:softHyphen/>
        <w:t>венного влияния на исход инфекционного миокар</w:t>
        <w:softHyphen/>
        <w:t>дита. Ее проводят при гигантоклеточном миокардите и миокардите, обусловленном саркоидозом.</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ряде случаев оказываются эффективными противо - вирусные препараты. Отмечен положительный эф</w:t>
        <w:softHyphen/>
        <w:t>фект альфа-интерферона на небольшой серии боль</w:t>
        <w:softHyphen/>
        <w:t>ных с вирусным миокардитом.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Хирургическая коррекция</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Левожелудочковое вспомогательное кровообращение и экстракорпоральную мембранную оксигенацию применяют при кардиогенном шоке непродолжи</w:t>
        <w:softHyphen/>
        <w:t>тельный период времени.</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Трансплантация сердца:</w:t>
      </w:r>
    </w:p>
    <w:p>
      <w:pPr>
        <w:pStyle w:val="Style30"/>
        <w:widowControl w:val="0"/>
        <w:keepNext w:val="0"/>
        <w:keepLines w:val="0"/>
        <w:shd w:val="clear" w:color="auto" w:fill="auto"/>
        <w:bidi w:val="0"/>
        <w:jc w:val="right"/>
        <w:spacing w:before="0" w:after="0"/>
        <w:ind w:left="520" w:right="0" w:firstLine="0"/>
      </w:pPr>
      <w:r>
        <w:rPr>
          <w:lang w:val="ru-RU" w:eastAsia="ru-RU" w:bidi="ru-RU"/>
          <w:w w:val="100"/>
          <w:spacing w:val="0"/>
          <w:color w:val="000000"/>
          <w:position w:val="0"/>
        </w:rPr>
        <w:t>- трансплантация сердца не увеличивает число вы</w:t>
        <w:softHyphen/>
        <w:t>живших больных при остром миокардите. У боль-</w:t>
      </w:r>
    </w:p>
    <w:p>
      <w:pPr>
        <w:pStyle w:val="Style30"/>
        <w:widowControl w:val="0"/>
        <w:keepNext w:val="0"/>
        <w:keepLines w:val="0"/>
        <w:shd w:val="clear" w:color="auto" w:fill="auto"/>
        <w:bidi w:val="0"/>
        <w:spacing w:before="0" w:after="0"/>
        <w:ind w:left="740" w:right="0" w:firstLine="0"/>
      </w:pPr>
      <w:r>
        <w:br w:type="column"/>
      </w:r>
      <w:r>
        <w:rPr>
          <w:lang w:val="ru-RU" w:eastAsia="ru-RU" w:bidi="ru-RU"/>
          <w:w w:val="100"/>
          <w:spacing w:val="0"/>
          <w:color w:val="000000"/>
          <w:position w:val="0"/>
        </w:rPr>
        <w:t>ных с пересаженным сердцем по поводу острого миокардита часто развивается посттранспланта</w:t>
        <w:softHyphen/>
        <w:t>ционная васкулопатия;</w:t>
      </w:r>
    </w:p>
    <w:p>
      <w:pPr>
        <w:pStyle w:val="Style30"/>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хорошие результаты трансплантации сердца отме</w:t>
        <w:softHyphen/>
        <w:t>чены у больных с гигантоклеточным миокардитом. Выживаемость таких больных в течение 5 лет со</w:t>
        <w:softHyphen/>
        <w:t>ставляет 71%. По данным исследовательской груп</w:t>
        <w:softHyphen/>
        <w:t xml:space="preserve">пы </w:t>
      </w:r>
      <w:r>
        <w:rPr>
          <w:lang w:val="en-US" w:eastAsia="en-US" w:bidi="en-US"/>
          <w:w w:val="100"/>
          <w:spacing w:val="0"/>
          <w:color w:val="000000"/>
          <w:position w:val="0"/>
        </w:rPr>
        <w:t xml:space="preserve">(Multicenter Giant Cell Myocarditis Study Group), </w:t>
      </w:r>
      <w:r>
        <w:rPr>
          <w:lang w:val="ru-RU" w:eastAsia="ru-RU" w:bidi="ru-RU"/>
          <w:w w:val="100"/>
          <w:spacing w:val="0"/>
          <w:color w:val="000000"/>
          <w:position w:val="0"/>
        </w:rPr>
        <w:t xml:space="preserve">в </w:t>
      </w:r>
      <w:r>
        <w:rPr>
          <w:lang w:val="en-US" w:eastAsia="en-US" w:bidi="en-US"/>
          <w:w w:val="100"/>
          <w:spacing w:val="0"/>
          <w:color w:val="000000"/>
          <w:position w:val="0"/>
        </w:rPr>
        <w:t xml:space="preserve">25% </w:t>
      </w:r>
      <w:r>
        <w:rPr>
          <w:lang w:val="ru-RU" w:eastAsia="ru-RU" w:bidi="ru-RU"/>
          <w:w w:val="100"/>
          <w:spacing w:val="0"/>
          <w:color w:val="000000"/>
          <w:position w:val="0"/>
        </w:rPr>
        <w:t>случаев гигантоклеточный миокардит воз</w:t>
        <w:softHyphen/>
        <w:t>никает вновь в пересаженном сердце.</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Осложнения</w:t>
      </w:r>
    </w:p>
    <w:p>
      <w:pPr>
        <w:pStyle w:val="Style30"/>
        <w:numPr>
          <w:ilvl w:val="0"/>
          <w:numId w:val="6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Кардиогенный шок при «фульминантном» течении миокардита.</w:t>
      </w:r>
    </w:p>
    <w:p>
      <w:pPr>
        <w:pStyle w:val="Style30"/>
        <w:numPr>
          <w:ilvl w:val="0"/>
          <w:numId w:val="6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Поперечная блокада сердца. В имплантации пейсме- кера нуждается 1% больных с миокардитом.</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Амбулаторное наблюдение</w:t>
      </w:r>
    </w:p>
    <w:p>
      <w:pPr>
        <w:pStyle w:val="Style30"/>
        <w:numPr>
          <w:ilvl w:val="0"/>
          <w:numId w:val="6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Поскольку хронический воспалительный процесс может трансформироваться в дилатационную кар</w:t>
        <w:softHyphen/>
        <w:t>диомиопатию, за больными требуется наблюдение с повторным обследованием через 1-3 месяца. При благоприятных результатах проводится посте - пенное расширение физической активности.</w:t>
      </w:r>
    </w:p>
    <w:p>
      <w:pPr>
        <w:pStyle w:val="Style30"/>
        <w:numPr>
          <w:ilvl w:val="0"/>
          <w:numId w:val="6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Должна быть высокая настороженность относитель</w:t>
        <w:softHyphen/>
        <w:t>но острого миокардита, особенно у детей с внезап</w:t>
        <w:softHyphen/>
        <w:t>ным развитием сердечной недостаточности.</w:t>
      </w:r>
    </w:p>
    <w:p>
      <w:pPr>
        <w:pStyle w:val="Style30"/>
        <w:numPr>
          <w:ilvl w:val="0"/>
          <w:numId w:val="6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 детей и подростков с внезапным возникновением кардиогенного шока и классическими ЭКГ-измене- ниями по типу инфаркта в первую очередь необходи</w:t>
        <w:softHyphen/>
        <w:t>мо заподозрить острый миокардит.</w:t>
      </w:r>
    </w:p>
    <w:p>
      <w:pPr>
        <w:pStyle w:val="Style30"/>
        <w:numPr>
          <w:ilvl w:val="0"/>
          <w:numId w:val="6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За детьми, перенесшими острый миокардит, необхо</w:t>
        <w:softHyphen/>
        <w:t>димо тщательное наблюдение, поскольку они имеют высокий риск развития дилатационной кардиомио</w:t>
        <w:softHyphen/>
        <w:t>патии.</w:t>
      </w:r>
    </w:p>
    <w:p>
      <w:pPr>
        <w:pStyle w:val="Style30"/>
        <w:numPr>
          <w:ilvl w:val="0"/>
          <w:numId w:val="6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Гигантоклеточный миокардит требует агрессивного лечения, включая раннюю пересадку сердца.</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Активность</w:t>
      </w:r>
    </w:p>
    <w:p>
      <w:pPr>
        <w:pStyle w:val="Style30"/>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Строгое ограничение физической активности в острую фазу заболевания.</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Профилактика</w:t>
      </w:r>
    </w:p>
    <w:p>
      <w:pPr>
        <w:pStyle w:val="Style30"/>
        <w:numPr>
          <w:ilvl w:val="0"/>
          <w:numId w:val="6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Своевременная вакцинация позволяет значительно снизить частоту миокардитов, обусловленных корью, краснухой, паротитом, полиомиелитом и гриппом. Разработка вакцин против кардиотропных вирусов является актуальной задачей будущего.</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Прогноз</w:t>
      </w:r>
    </w:p>
    <w:p>
      <w:pPr>
        <w:pStyle w:val="Style30"/>
        <w:numPr>
          <w:ilvl w:val="0"/>
          <w:numId w:val="6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Большинство пациентов с легкой симптоматикой за</w:t>
        <w:softHyphen/>
        <w:t>болевания полностью выздоравливают без резидуаль</w:t>
        <w:softHyphen/>
        <w:t>ной дисфункции сердца, примерно у трети больных развивается дилатационная кардиомиопатия.</w:t>
      </w:r>
    </w:p>
    <w:p>
      <w:pPr>
        <w:pStyle w:val="Style30"/>
        <w:numPr>
          <w:ilvl w:val="0"/>
          <w:numId w:val="6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традиционном лечении миокардита ежегодная смертность составляет 20%, 4-летняя смертность до</w:t>
        <w:softHyphen/>
        <w:t>стигает 56% у пациентов с симптомами застойной сердечной недостаточности и фракцией выброса ме</w:t>
        <w:softHyphen/>
        <w:t>нее 45%.</w:t>
      </w:r>
    </w:p>
    <w:p>
      <w:pPr>
        <w:pStyle w:val="Style30"/>
        <w:numPr>
          <w:ilvl w:val="0"/>
          <w:numId w:val="6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гигантоклеточном миокардите ежегодная смерт</w:t>
        <w:softHyphen/>
        <w:t>ность достигает 80% (включая смертельные исходы при трансплантации сердца).</w:t>
      </w:r>
    </w:p>
    <w:p>
      <w:pPr>
        <w:pStyle w:val="Style30"/>
        <w:numPr>
          <w:ilvl w:val="0"/>
          <w:numId w:val="69"/>
        </w:numPr>
        <w:tabs>
          <w:tab w:leader="none" w:pos="500" w:val="left"/>
        </w:tabs>
        <w:widowControl w:val="0"/>
        <w:keepNext w:val="0"/>
        <w:keepLines w:val="0"/>
        <w:shd w:val="clear" w:color="auto" w:fill="auto"/>
        <w:bidi w:val="0"/>
        <w:spacing w:before="0" w:after="0"/>
        <w:ind w:left="500" w:right="0" w:hanging="240"/>
      </w:pPr>
      <w:r>
        <w:pict>
          <v:shape id="_x0000_s1380" type="#_x0000_t75" style="position:absolute;margin-left:148.3pt;margin-top:737.05pt;width:209.75pt;height:14.9pt;z-index:-125829144;mso-wrap-distance-left:148.1pt;mso-wrap-distance-right:136.8pt;mso-wrap-distance-bottom:10.8pt;mso-position-horizontal-relative:margin;mso-position-vertical-relative:margin" wrapcoords="0 0 21600 0 21600 21600 0 21600 0 0">
            <v:imagedata r:id="rId584" r:href="rId585"/>
            <w10:wrap type="topAndBottom" anchorx="margin" anchory="margin"/>
          </v:shape>
        </w:pict>
      </w:r>
      <w:r>
        <w:rPr>
          <w:lang w:val="ru-RU" w:eastAsia="ru-RU" w:bidi="ru-RU"/>
          <w:w w:val="100"/>
          <w:spacing w:val="0"/>
          <w:color w:val="000000"/>
          <w:position w:val="0"/>
        </w:rPr>
        <w:t>Предикторами неблагоприятного исхода заболевания (показания к трансплантации сердца) являются син- копальные состояния, низкая фракция выброса, бло</w:t>
        <w:softHyphen/>
        <w:t>када левой ножки пучка Гиса и развитие кардиомио</w:t>
        <w:softHyphen/>
        <w:t>патии.</w:t>
      </w:r>
      <w:r>
        <w:br w:type="page"/>
      </w:r>
    </w:p>
    <w:p>
      <w:pPr>
        <w:pStyle w:val="Style48"/>
        <w:widowControl w:val="0"/>
        <w:keepNext/>
        <w:keepLines/>
        <w:shd w:val="clear" w:color="auto" w:fill="auto"/>
        <w:bidi w:val="0"/>
        <w:jc w:val="left"/>
        <w:spacing w:before="0" w:after="41" w:line="200" w:lineRule="exact"/>
        <w:ind w:left="0" w:right="0" w:firstLine="0"/>
      </w:pPr>
      <w:bookmarkStart w:id="441" w:name="bookmark441"/>
      <w:r>
        <w:rPr>
          <w:lang w:val="ru-RU" w:eastAsia="ru-RU" w:bidi="ru-RU"/>
          <w:w w:val="100"/>
          <w:spacing w:val="0"/>
          <w:color w:val="000000"/>
          <w:position w:val="0"/>
        </w:rPr>
        <w:t>Вирусный миокардит</w:t>
      </w:r>
      <w:bookmarkEnd w:id="44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Вирусный миокардит у детей чаще наблюдается в дет</w:t>
        <w:softHyphen/>
        <w:t>ском возрасте и характеризуется воспалительным пораже</w:t>
        <w:softHyphen/>
        <w:t>нием миокарда с развитием некроза миоцитов в сочетании с воспалительной инфильтрацией. Чаще всего вирусный миокардит вызывается аденовирусами и энтеровирусами (например, вирус коксаки В).</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w:t>
      </w:r>
    </w:p>
    <w:p>
      <w:pPr>
        <w:pStyle w:val="Style30"/>
        <w:numPr>
          <w:ilvl w:val="0"/>
          <w:numId w:val="6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Миокардит является редким заболеванием. По дан</w:t>
        <w:softHyphen/>
        <w:t>ным ВОЗ, частота вовлечения сердца при энтерови</w:t>
        <w:softHyphen/>
        <w:t>русной инфекции составляет 1-4%. Существенное влияние на распространенность заболевания оказы</w:t>
        <w:softHyphen/>
        <w:t>вают гигиенические и социоэкономические факто</w:t>
        <w:softHyphen/>
        <w:t>ры. Огромную роль играет профилактическая вакци</w:t>
        <w:softHyphen/>
        <w:t>нация.</w:t>
      </w:r>
    </w:p>
    <w:p>
      <w:pPr>
        <w:pStyle w:val="Style30"/>
        <w:numPr>
          <w:ilvl w:val="0"/>
          <w:numId w:val="69"/>
        </w:numPr>
        <w:tabs>
          <w:tab w:leader="none" w:pos="519"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Во время эпидемий вирусных инфекций частота ви</w:t>
        <w:softHyphen/>
        <w:t>русных миокардитов существенно увеличивается.</w:t>
      </w:r>
    </w:p>
    <w:p>
      <w:pPr>
        <w:pStyle w:val="Style30"/>
        <w:numPr>
          <w:ilvl w:val="0"/>
          <w:numId w:val="6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Наиболее частыми возбудителями при вирусных миокардитах являются энтеровирусы, такие как кок- сакивирусы и эховирусы, а также аденовирусы, пре</w:t>
        <w:softHyphen/>
        <w:t>имущественно 2 и 5 типов.</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Вирусные миокардиты наблюдаются с одинаковой час</w:t>
        <w:softHyphen/>
        <w:t>тотой у мальчиков и девочек.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numPr>
          <w:ilvl w:val="0"/>
          <w:numId w:val="69"/>
        </w:numPr>
        <w:tabs>
          <w:tab w:leader="none" w:pos="519"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Вирусный миокардит может возникнуть в любом воз</w:t>
        <w:softHyphen/>
        <w:t>расте.</w:t>
      </w:r>
    </w:p>
    <w:p>
      <w:pPr>
        <w:pStyle w:val="Style30"/>
        <w:numPr>
          <w:ilvl w:val="0"/>
          <w:numId w:val="69"/>
        </w:numPr>
        <w:tabs>
          <w:tab w:leader="none" w:pos="519"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Новорожденные и дети более подвержены заболева</w:t>
        <w:softHyphen/>
        <w:t>нию, особенно с иммунологическими нарушениями.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numPr>
          <w:ilvl w:val="0"/>
          <w:numId w:val="6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Вирусы, обусловливающие миокардит:</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Коксакивирус тип А и В, особенно тип В является наиболее частой причиной миокардитов.</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Аденовирус (наиболее часто тип 2 и 5).</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Цитомегаловирус.</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Эховирус.</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Вирус </w:t>
      </w:r>
      <w:r>
        <w:rPr>
          <w:lang w:val="en-US" w:eastAsia="en-US" w:bidi="en-US"/>
          <w:w w:val="100"/>
          <w:spacing w:val="0"/>
          <w:color w:val="000000"/>
          <w:position w:val="0"/>
        </w:rPr>
        <w:t>Epstein-Barr.</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Вирус гепатита С.</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Вирус герпеса.</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Вирус человеческого иммунодефицита.</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Грипп и парагрипп.</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Корь.</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Вирус паротита, ассоциированный с эндокарди</w:t>
        <w:softHyphen/>
        <w:t>альным фиброэластозом.</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Парвовирус </w:t>
      </w:r>
      <w:r>
        <w:rPr>
          <w:lang w:val="en-US" w:eastAsia="en-US" w:bidi="en-US"/>
          <w:w w:val="100"/>
          <w:spacing w:val="0"/>
          <w:color w:val="000000"/>
          <w:position w:val="0"/>
        </w:rPr>
        <w:t>B19.</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Вирус полиомиелита.</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Вирус краснухи.</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Вирус ветряной оспы.</w:t>
      </w:r>
    </w:p>
    <w:p>
      <w:pPr>
        <w:pStyle w:val="Style30"/>
        <w:numPr>
          <w:ilvl w:val="0"/>
          <w:numId w:val="6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Экспериментальные данные:</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Рецептор коксакивируса и аденовируса имеет ана</w:t>
        <w:softHyphen/>
        <w:t>логичную структуру при четырех типах наиболее часто вызывающих вирусный миокардит у челове</w:t>
        <w:softHyphen/>
        <w:t>ка: тип С (тип 2 и 5) аденовируса и коксакивирус В3 и В4.</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Коксакивирус В серотип 1-6 часто ассоциируется с человеческим миокардитом, однако более серь</w:t>
        <w:softHyphen/>
        <w:t>езные поражения связаны с типом 3 и 4.</w:t>
      </w:r>
    </w:p>
    <w:p>
      <w:pPr>
        <w:pStyle w:val="Style30"/>
        <w:numPr>
          <w:ilvl w:val="0"/>
          <w:numId w:val="6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В 1973 году </w:t>
      </w:r>
      <w:r>
        <w:rPr>
          <w:lang w:val="en-US" w:eastAsia="en-US" w:bidi="en-US"/>
          <w:w w:val="100"/>
          <w:spacing w:val="0"/>
          <w:color w:val="000000"/>
          <w:position w:val="0"/>
        </w:rPr>
        <w:t xml:space="preserve">Lerner </w:t>
      </w:r>
      <w:r>
        <w:rPr>
          <w:lang w:val="ru-RU" w:eastAsia="ru-RU" w:bidi="ru-RU"/>
          <w:w w:val="100"/>
          <w:spacing w:val="0"/>
          <w:color w:val="000000"/>
          <w:position w:val="0"/>
        </w:rPr>
        <w:t xml:space="preserve">и </w:t>
      </w:r>
      <w:r>
        <w:rPr>
          <w:lang w:val="en-US" w:eastAsia="en-US" w:bidi="en-US"/>
          <w:w w:val="100"/>
          <w:spacing w:val="0"/>
          <w:color w:val="000000"/>
          <w:position w:val="0"/>
        </w:rPr>
        <w:t xml:space="preserve">Wilson </w:t>
      </w:r>
      <w:r>
        <w:rPr>
          <w:lang w:val="ru-RU" w:eastAsia="ru-RU" w:bidi="ru-RU"/>
          <w:w w:val="100"/>
          <w:spacing w:val="0"/>
          <w:color w:val="000000"/>
          <w:position w:val="0"/>
        </w:rPr>
        <w:t>создали эксперимен</w:t>
        <w:softHyphen/>
        <w:t>тальную модель вирусного миокардита при иноку</w:t>
        <w:softHyphen/>
        <w:t>ляции коксакивируса В3. При этой модели наблю</w:t>
        <w:softHyphen/>
        <w:t>далась ранняя и поздняя стадии болезни. После</w:t>
      </w:r>
    </w:p>
    <w:p>
      <w:pPr>
        <w:pStyle w:val="Style30"/>
        <w:widowControl w:val="0"/>
        <w:keepNext w:val="0"/>
        <w:keepLines w:val="0"/>
        <w:shd w:val="clear" w:color="auto" w:fill="auto"/>
        <w:bidi w:val="0"/>
        <w:spacing w:before="0" w:after="0"/>
        <w:ind w:left="480" w:right="0" w:firstLine="0"/>
      </w:pPr>
      <w:r>
        <w:br w:type="column"/>
      </w:r>
      <w:r>
        <w:rPr>
          <w:lang w:val="ru-RU" w:eastAsia="ru-RU" w:bidi="ru-RU"/>
          <w:w w:val="100"/>
          <w:spacing w:val="0"/>
          <w:color w:val="000000"/>
          <w:position w:val="0"/>
        </w:rPr>
        <w:t>инокуляции вируса в миокард мыши возникала его репликация, максимальная на 3-5 день. Через 5 дней наблюдался локальный некроз миоцитов. На 7 день в сердечной мышце развивалось воспа</w:t>
        <w:softHyphen/>
        <w:t>ление и последующая гибель организма. Некото</w:t>
        <w:softHyphen/>
        <w:t>рые мыши выздоравливали, но в сердечной мыш</w:t>
        <w:softHyphen/>
        <w:t>це сохранялось остаточное воспаление, аналогич</w:t>
        <w:softHyphen/>
        <w:t>ное таковому при миокардитах у человека.</w:t>
      </w:r>
    </w:p>
    <w:p>
      <w:pPr>
        <w:pStyle w:val="Style30"/>
        <w:numPr>
          <w:ilvl w:val="0"/>
          <w:numId w:val="69"/>
        </w:numPr>
        <w:tabs>
          <w:tab w:leader="none" w:pos="52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На первой фазе первичным ответом на вирусную инфекцию был выброс натуральных киллерных клеток, которые лизировали инфицированные миоциты.</w:t>
      </w:r>
    </w:p>
    <w:p>
      <w:pPr>
        <w:pStyle w:val="Style30"/>
        <w:numPr>
          <w:ilvl w:val="0"/>
          <w:numId w:val="69"/>
        </w:numPr>
        <w:tabs>
          <w:tab w:leader="none" w:pos="52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Натуральные киллерные клетки также индуциро</w:t>
        <w:softHyphen/>
        <w:t>вали экспрессию комплекса антигенов гистосов</w:t>
        <w:softHyphen/>
        <w:t>местимости, приводя к выбросу цитокинов, кото</w:t>
        <w:softHyphen/>
        <w:t>рые обеспечивали взаимодействие киллерных кле</w:t>
        <w:softHyphen/>
        <w:t>ток с Т лимфоцитами.</w:t>
      </w:r>
    </w:p>
    <w:p>
      <w:pPr>
        <w:pStyle w:val="Style30"/>
        <w:numPr>
          <w:ilvl w:val="0"/>
          <w:numId w:val="69"/>
        </w:numPr>
        <w:tabs>
          <w:tab w:leader="none" w:pos="52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На поздней или второй фазе, возникающей при</w:t>
        <w:softHyphen/>
        <w:t xml:space="preserve">мерно через неделю от момента внедрения вируса, происходит активация Т лимфоцитов </w:t>
      </w:r>
      <w:r>
        <w:rPr>
          <w:lang w:val="en-US" w:eastAsia="en-US" w:bidi="en-US"/>
          <w:w w:val="100"/>
          <w:spacing w:val="0"/>
          <w:color w:val="000000"/>
          <w:position w:val="0"/>
        </w:rPr>
        <w:t xml:space="preserve">(CD4, CD8), </w:t>
      </w:r>
      <w:r>
        <w:rPr>
          <w:lang w:val="ru-RU" w:eastAsia="ru-RU" w:bidi="ru-RU"/>
          <w:w w:val="100"/>
          <w:spacing w:val="0"/>
          <w:color w:val="000000"/>
          <w:position w:val="0"/>
        </w:rPr>
        <w:t>которые повреждают кардиомиоцит по следую - щим трем направлениям:</w:t>
      </w:r>
    </w:p>
    <w:p>
      <w:pPr>
        <w:pStyle w:val="Style30"/>
        <w:numPr>
          <w:ilvl w:val="0"/>
          <w:numId w:val="71"/>
        </w:numPr>
        <w:tabs>
          <w:tab w:leader="none" w:pos="673" w:val="left"/>
        </w:tabs>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стимуляция цитотоксических Т клеток;</w:t>
      </w:r>
    </w:p>
    <w:p>
      <w:pPr>
        <w:pStyle w:val="Style30"/>
        <w:numPr>
          <w:ilvl w:val="0"/>
          <w:numId w:val="71"/>
        </w:numPr>
        <w:tabs>
          <w:tab w:leader="none" w:pos="673" w:val="left"/>
        </w:tabs>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продукция антител;</w:t>
      </w:r>
    </w:p>
    <w:p>
      <w:pPr>
        <w:pStyle w:val="Style30"/>
        <w:numPr>
          <w:ilvl w:val="0"/>
          <w:numId w:val="71"/>
        </w:numPr>
        <w:tabs>
          <w:tab w:leader="none" w:pos="673" w:val="left"/>
        </w:tabs>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прямое формирование антител и комплемента.</w:t>
      </w:r>
    </w:p>
    <w:p>
      <w:pPr>
        <w:pStyle w:val="Style30"/>
        <w:numPr>
          <w:ilvl w:val="0"/>
          <w:numId w:val="69"/>
        </w:numPr>
        <w:tabs>
          <w:tab w:leader="none" w:pos="52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Продолжающиеся процессы считают генетически индуцированными аутоиммунными процессами. Цитотоксические Т клетки имеют два направле</w:t>
        <w:softHyphen/>
        <w:t>ния воздействия; по одному направлению они ата</w:t>
        <w:softHyphen/>
        <w:t>куют вирусинфицированные миоциты, по друго</w:t>
        <w:softHyphen/>
        <w:t>му — неинфицированные клетки.</w:t>
      </w:r>
    </w:p>
    <w:p>
      <w:pPr>
        <w:pStyle w:val="Style30"/>
        <w:numPr>
          <w:ilvl w:val="0"/>
          <w:numId w:val="69"/>
        </w:numPr>
        <w:tabs>
          <w:tab w:leader="none" w:pos="52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Ферментативный раскол вирусными протеинами цитоскелетных белков играет роль в развитии ди</w:t>
        <w:softHyphen/>
        <w:t>латационной кардиомиопатии.</w:t>
      </w:r>
    </w:p>
    <w:p>
      <w:pPr>
        <w:pStyle w:val="Style30"/>
        <w:numPr>
          <w:ilvl w:val="0"/>
          <w:numId w:val="69"/>
        </w:numPr>
        <w:tabs>
          <w:tab w:leader="none" w:pos="52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Появление апоптоза играет важную роль в разви</w:t>
        <w:softHyphen/>
        <w:t>тии дилатационной кардиомиопатии.</w:t>
      </w:r>
    </w:p>
    <w:p>
      <w:pPr>
        <w:pStyle w:val="Style30"/>
        <w:numPr>
          <w:ilvl w:val="0"/>
          <w:numId w:val="69"/>
        </w:numPr>
        <w:tabs>
          <w:tab w:leader="none" w:pos="52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Различные виды аутоантител были найдены у 60% пациентов с миокардитом. Они включают ком- племент-фиксированные антимиолеммальные антитела, комплемент-фиксированные антисар- колемальные антитела, антимиозин тяжелых це</w:t>
        <w:softHyphen/>
        <w:t>пей антитела и анти-альфа-миозин антитела. Роль этих антител полностью не выяснена, однако они могут служить маркерами для диагностики мио</w:t>
        <w:softHyphen/>
        <w:t>кардитов.</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Гистологические данные</w:t>
      </w:r>
    </w:p>
    <w:p>
      <w:pPr>
        <w:pStyle w:val="Style30"/>
        <w:numPr>
          <w:ilvl w:val="0"/>
          <w:numId w:val="6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Макроскопически сердце дряблое, мышца сердца бледная, с петехиальными очагами. Желудочковые стенки обычно тонкие, однако может обнаруживать</w:t>
        <w:softHyphen/>
        <w:t>ся гипертрофия. Клапаны сердца и эндокард обычно не поражены. В некоторых случаях при хроническом миокардите может определяться эндокардиальный фиброэластоз. Экспериментальные данные свиде</w:t>
        <w:softHyphen/>
        <w:t>тельствуют о том, что эндомиокардиальный фибро- эластоз является результатом вирусного миокардита.</w:t>
      </w:r>
    </w:p>
    <w:p>
      <w:pPr>
        <w:pStyle w:val="Style30"/>
        <w:numPr>
          <w:ilvl w:val="0"/>
          <w:numId w:val="69"/>
        </w:numPr>
        <w:tabs>
          <w:tab w:leader="none" w:pos="240" w:val="left"/>
        </w:tabs>
        <w:widowControl w:val="0"/>
        <w:keepNext w:val="0"/>
        <w:keepLines w:val="0"/>
        <w:shd w:val="clear" w:color="auto" w:fill="auto"/>
        <w:bidi w:val="0"/>
        <w:spacing w:before="0" w:after="0"/>
        <w:ind w:left="260" w:right="0"/>
      </w:pPr>
      <w:r>
        <w:pict>
          <v:shape id="_x0000_s1381" type="#_x0000_t75" style="position:absolute;margin-left:136.9pt;margin-top:737.05pt;width:209.75pt;height:14.9pt;z-index:-125829143;mso-wrap-distance-left:136.55pt;mso-wrap-distance-right:148.1pt;mso-wrap-distance-bottom:10.8pt;mso-position-horizontal-relative:margin;mso-position-vertical-relative:margin" wrapcoords="0 0 21600 0 21600 21600 0 21600 0 0">
            <v:imagedata r:id="rId586" r:href="rId587"/>
            <w10:wrap type="topAndBottom" anchorx="margin" anchory="margin"/>
          </v:shape>
        </w:pict>
      </w:r>
      <w:r>
        <w:rPr>
          <w:lang w:val="ru-RU" w:eastAsia="ru-RU" w:bidi="ru-RU"/>
          <w:w w:val="100"/>
          <w:spacing w:val="0"/>
          <w:color w:val="000000"/>
          <w:position w:val="0"/>
        </w:rPr>
        <w:t>При микроскопическом исследовании при остром миокардите определяются очаги фокальной или диф</w:t>
        <w:softHyphen/>
        <w:t>фузной инфильтрации мононуклеарными клетками, лимфоцитами, плазматическими клетками и эозино</w:t>
        <w:softHyphen/>
        <w:t>филами. Вирусные частицы редко обнаруживаются без применения специальной техники. Некроз и на</w:t>
        <w:softHyphen/>
        <w:t>рушение распределения миоцитов является характер -</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ным проявлением коксакивирусного миокардита. В хроническую стадию воспаления или при выздо</w:t>
        <w:softHyphen/>
        <w:t>ровлении миоциты замещаются фибробластами (руб</w:t>
        <w:softHyphen/>
        <w:t>цовой тканью).</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аденовирусном миокардите инфильтрация мио</w:t>
        <w:softHyphen/>
        <w:t>цитов менее выражена, чем при энтеровирусной ин</w:t>
        <w:softHyphen/>
        <w:t>фекции.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Воспаление миокарда обусловливает снижение его функции с развитием дилатации сердца и увеличением ко</w:t>
        <w:softHyphen/>
        <w:t>нечно диастолического объема. В норме в ответ на дилата</w:t>
        <w:softHyphen/>
        <w:t>цию сердце компенсаторно увеличивает контрактильность (эффект Старлинга). Поскольку воспаление приводит к по</w:t>
        <w:softHyphen/>
        <w:t>вреждению кардиомиоцитов, дилатация не компенсируется усилением контрактильных свойств миокарда. Наряду с этим образуются воспалительные медиаторы, такие как цитокины, которые активизируют механизмы апоптоза. Происходит прогрессивное увеличение конечно диастоли</w:t>
        <w:softHyphen/>
        <w:t>ческого объема левого желудочка, объема левого предсер</w:t>
        <w:softHyphen/>
        <w:t>дия, легочного венозного и артериального давления. Возни</w:t>
        <w:softHyphen/>
        <w:t>кают отек легких и застойная сердечная недостаточность. Без лечения этот процесс прогрессирует до конечной стадии сердечной недостаточности и заканчивается смертью.</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Клинические проявления значительно варьируют. В легких случаях симптоматика поражения сердца практически отсутствует. В тяжелых случаях развива</w:t>
        <w:softHyphen/>
        <w:t>ется острая сердечная декомпенсация, приводящая к смерти больного.</w:t>
      </w:r>
    </w:p>
    <w:p>
      <w:pPr>
        <w:pStyle w:val="Style30"/>
        <w:numPr>
          <w:ilvl w:val="0"/>
          <w:numId w:val="69"/>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Недостаточность сердца является наиболее харак</w:t>
        <w:softHyphen/>
        <w:t>терным признаком во всех возрастных группах. При возникновении сердечной недостаточности быстро развивается декомпенсация, особенно у новорожденных. Своевременное назначение те</w:t>
        <w:softHyphen/>
        <w:t>рапии, направленной на поддержание сердечного выброса, снижение постнагрузки и контроль арит</w:t>
        <w:softHyphen/>
        <w:t>мии, позволяет предупредить раннюю смерть у та</w:t>
        <w:softHyphen/>
        <w:t>ких больных.</w:t>
      </w:r>
    </w:p>
    <w:p>
      <w:pPr>
        <w:pStyle w:val="Style30"/>
        <w:numPr>
          <w:ilvl w:val="0"/>
          <w:numId w:val="69"/>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Боли в грудной клетке могут быть начальным про</w:t>
        <w:softHyphen/>
        <w:t>явлением заболевания у детей и подростков. Боли в грудной клетке могут возникать в результате ишемии или сопутствующего перикардита.</w:t>
      </w:r>
    </w:p>
    <w:p>
      <w:pPr>
        <w:pStyle w:val="Style30"/>
        <w:numPr>
          <w:ilvl w:val="0"/>
          <w:numId w:val="69"/>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Начальными проявлениями вирусного миокарди</w:t>
        <w:softHyphen/>
        <w:t>та могут быть различные аритмии, включая нару</w:t>
        <w:softHyphen/>
        <w:t>шения атриовентрикулярного проведения. Харак</w:t>
        <w:softHyphen/>
        <w:t>терно, что синусовая тахикардия более выражена, чем температурная реакция. Может возникнуть уз</w:t>
        <w:softHyphen/>
        <w:t>ловая тахикардия, которая трудно контролируется медикаментозно.</w:t>
      </w:r>
    </w:p>
    <w:p>
      <w:pPr>
        <w:pStyle w:val="Style30"/>
        <w:numPr>
          <w:ilvl w:val="0"/>
          <w:numId w:val="69"/>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Дилатационная кардиомиопатия. До настоящего времени остаются дебаты, когда миокардит про</w:t>
        <w:softHyphen/>
        <w:t>грессирует до дилатационной кардиомиопатии. Большинство исследователей считают, что дилата</w:t>
        <w:softHyphen/>
        <w:t>ционная кардиомиопатия является прямым ре</w:t>
        <w:softHyphen/>
        <w:t>зультатом миокардита.</w:t>
      </w:r>
    </w:p>
    <w:p>
      <w:pPr>
        <w:pStyle w:val="Style30"/>
        <w:numPr>
          <w:ilvl w:val="0"/>
          <w:numId w:val="69"/>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Инициальная симптоматика вирусного миокардита у новорожденных включает:</w:t>
      </w:r>
    </w:p>
    <w:p>
      <w:pPr>
        <w:pStyle w:val="Style30"/>
        <w:numPr>
          <w:ilvl w:val="0"/>
          <w:numId w:val="7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раздражительность, беспокойство;</w:t>
      </w:r>
    </w:p>
    <w:p>
      <w:pPr>
        <w:pStyle w:val="Style30"/>
        <w:numPr>
          <w:ilvl w:val="0"/>
          <w:numId w:val="7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летаргию;</w:t>
      </w:r>
    </w:p>
    <w:p>
      <w:pPr>
        <w:pStyle w:val="Style30"/>
        <w:numPr>
          <w:ilvl w:val="0"/>
          <w:numId w:val="7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периодические эпизоды внезапного побледнения;</w:t>
      </w:r>
    </w:p>
    <w:p>
      <w:pPr>
        <w:pStyle w:val="Style30"/>
        <w:numPr>
          <w:ilvl w:val="0"/>
          <w:numId w:val="7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лихорадку;</w:t>
      </w:r>
    </w:p>
    <w:p>
      <w:pPr>
        <w:pStyle w:val="Style30"/>
        <w:numPr>
          <w:ilvl w:val="0"/>
          <w:numId w:val="7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гипотермию;</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тахипноэ;</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анорексию;</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мышечную слабость.</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более старшего возраста симптоматика забо</w:t>
        <w:softHyphen/>
        <w:t>левания такая же, сопровождается общим недомога</w:t>
        <w:softHyphen/>
        <w:t>нием и слабостью.</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Родители могут отметить, что у ребенка перед появле - нием данных симптомов отмечались катаральные яв</w:t>
        <w:softHyphen/>
        <w:t>ления, гастроинтестинальные симптомы, плохой ап</w:t>
        <w:softHyphen/>
        <w:t>петит, частое дыхание.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Физикальные данные:</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Выявляются признаки, свидетельствующие о сниже</w:t>
        <w:softHyphen/>
        <w:t>нии сердечного выброса, такие как тахикардия, сла</w:t>
        <w:softHyphen/>
        <w:t>бый пульс, похолодание конечностей, уменьшение капиллярного наполнения, бледная или пятнистая кожа.</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Определяется приглушенность тонов сердца, особен</w:t>
        <w:softHyphen/>
        <w:t>но при сопутствующем перикардите, выслушиваются третий тон, систолический шум митральной регурги- тации.</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раннего возраста часто определяется гепато- мегалия.</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старшего возраста часто выслушиваются хри</w:t>
        <w:softHyphen/>
        <w:t>пы в легких.</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Могут определяться набухание шейных вен и отеки.</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Новорожденные:</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выраженное беспокойство, респираторный дист</w:t>
        <w:softHyphen/>
        <w:t>ресс-синдром, возможна симптоматика сепсиса;</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вовлечении центральной нервной системы возникают сонливость, гипотония, судорожные приступы;</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гипотермия или гипертермия, олигурия, повыше</w:t>
        <w:softHyphen/>
        <w:t>ние уровня печеночных ферментов, азотемия и высокий уровень креатинина свидетельствуют о непосредственном вирусном поражении и/или низком сердечном выбросе.</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в возрасте до одного года:</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признаки включают мышечную слабость, анорек</w:t>
        <w:softHyphen/>
        <w:t>сию, тахипноэ, тахикардию, кряхтящее дыхание;</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тяжелых случаях прогрессирует сердечная недо</w:t>
        <w:softHyphen/>
        <w:t>статочность, развивается ацидоз, смерть от деком</w:t>
        <w:softHyphen/>
        <w:t>пенсации кровообращения;</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поражение других органов и систем возникает в результате непосредственного воздействия виру</w:t>
        <w:softHyphen/>
        <w:t>са или из-за низкого сердечного выброса;</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 возникает поражение центральной нервной системы.</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Подростки:</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проявления заболевания могут быть такими же, что и у детей младшего возраста. Часто возникают плохая переносимость физических нагрузок, недо - могание, боли в грудной клетке, субфебрилитет, аритмия, кашель;</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может возникать поражение других органов и сис</w:t>
        <w:softHyphen/>
        <w:t>тем из-за низкого сердечного выброса.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Лабораторные исследования</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Развернутый анализ крови:</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острая анемия другого происхождения может вы</w:t>
        <w:softHyphen/>
        <w:t>зывать сердечную недостаточность, хроническая анемия усиливает сердечную недостаточность;</w:t>
      </w:r>
    </w:p>
    <w:p>
      <w:pPr>
        <w:pStyle w:val="Style30"/>
        <w:numPr>
          <w:ilvl w:val="0"/>
          <w:numId w:val="71"/>
        </w:numPr>
        <w:tabs>
          <w:tab w:leader="none" w:pos="515" w:val="left"/>
        </w:tabs>
        <w:widowControl w:val="0"/>
        <w:keepNext w:val="0"/>
        <w:keepLines w:val="0"/>
        <w:shd w:val="clear" w:color="auto" w:fill="auto"/>
        <w:bidi w:val="0"/>
        <w:spacing w:before="0" w:after="0"/>
        <w:ind w:left="500" w:right="0" w:hanging="220"/>
      </w:pPr>
      <w:r>
        <w:pict>
          <v:shape id="_x0000_s1382" type="#_x0000_t75" style="position:absolute;margin-left:148.45pt;margin-top:737.05pt;width:209.75pt;height:14.9pt;z-index:-125829142;mso-wrap-distance-left:148.1pt;mso-wrap-distance-right:136.55pt;mso-wrap-distance-bottom:10.8pt;mso-position-horizontal-relative:margin;mso-position-vertical-relative:margin" wrapcoords="0 0 21600 0 21600 21600 0 21600 0 0">
            <v:imagedata r:id="rId588" r:href="rId589"/>
            <w10:wrap type="topAndBottom" anchorx="margin" anchory="margin"/>
          </v:shape>
        </w:pict>
      </w:r>
      <w:r>
        <w:rPr>
          <w:lang w:val="ru-RU" w:eastAsia="ru-RU" w:bidi="ru-RU"/>
          <w:w w:val="100"/>
          <w:spacing w:val="0"/>
          <w:color w:val="000000"/>
          <w:position w:val="0"/>
        </w:rPr>
        <w:t>наличие лимфоцитоза или нейтропении подтвер</w:t>
        <w:softHyphen/>
        <w:t>ждает диагноз вирусной инфекции.</w:t>
      </w:r>
      <w:r>
        <w:br w:type="page"/>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Посев крови играет важную роль для подтверждения бактериальной инфекции.</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Скорость оседания эритроцитов и С-реактивный протеин являются неспецифическими маркерами воспаления и обычно увеличены. Однако нормаль</w:t>
        <w:softHyphen/>
        <w:t>ный уровень этих показателей не исключает диагноз миокардита, особенно при застойной сердечной не</w:t>
        <w:softHyphen/>
        <w:t>достаточности, для которой характерна низкая ско</w:t>
        <w:softHyphen/>
        <w:t>рость оседания эритроцитов.</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Вирусные культуры, полученные путем назофаринге</w:t>
        <w:softHyphen/>
        <w:t>ального или ректального смывов, помогают в иденти</w:t>
        <w:softHyphen/>
        <w:t>фикации этиологии заболевания.</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Вирусные титры: четырехкратное увеличение специ</w:t>
        <w:softHyphen/>
        <w:t>фических титров в период реконвалесценции досто</w:t>
        <w:softHyphen/>
        <w:t>верно подтверждает инфекционное заболевание.</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Гибридизация </w:t>
      </w:r>
      <w:r>
        <w:rPr>
          <w:lang w:val="en-US" w:eastAsia="en-US" w:bidi="en-US"/>
          <w:w w:val="100"/>
          <w:spacing w:val="0"/>
          <w:color w:val="000000"/>
          <w:position w:val="0"/>
        </w:rPr>
        <w:t>in situ:</w:t>
      </w:r>
    </w:p>
    <w:p>
      <w:pPr>
        <w:pStyle w:val="Style30"/>
        <w:numPr>
          <w:ilvl w:val="0"/>
          <w:numId w:val="71"/>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этот процесс идентифицирует вирусную РНК в миокардиальной ткани у больных с миокардитом;</w:t>
      </w:r>
    </w:p>
    <w:p>
      <w:pPr>
        <w:pStyle w:val="Style30"/>
        <w:numPr>
          <w:ilvl w:val="0"/>
          <w:numId w:val="71"/>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этом тесте высокий процент ложноотрица</w:t>
        <w:softHyphen/>
        <w:t>тельных результатов.</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Полимеразная цепная реакция:</w:t>
      </w:r>
    </w:p>
    <w:p>
      <w:pPr>
        <w:pStyle w:val="Style30"/>
        <w:numPr>
          <w:ilvl w:val="0"/>
          <w:numId w:val="71"/>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данный метод используется для обнаружения ви</w:t>
        <w:softHyphen/>
        <w:t>русных геномов в миокардиальных клетках;</w:t>
      </w:r>
    </w:p>
    <w:p>
      <w:pPr>
        <w:pStyle w:val="Style30"/>
        <w:numPr>
          <w:ilvl w:val="0"/>
          <w:numId w:val="71"/>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метод обладает высокой чувствительностью и по</w:t>
        <w:softHyphen/>
        <w:t>зволяет диагностировать вирусный миокардит.</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Миокардиальная фракция креатининкиназы являет</w:t>
        <w:softHyphen/>
        <w:t>ся маркером поражения миокарда, обычно характе</w:t>
        <w:softHyphen/>
        <w:t xml:space="preserve">ризующимся под ъемом сегмента </w:t>
      </w:r>
      <w:r>
        <w:rPr>
          <w:lang w:val="en-US" w:eastAsia="en-US" w:bidi="en-US"/>
          <w:w w:val="100"/>
          <w:spacing w:val="0"/>
          <w:color w:val="000000"/>
          <w:position w:val="0"/>
        </w:rPr>
        <w:t xml:space="preserve">ST </w:t>
      </w:r>
      <w:r>
        <w:rPr>
          <w:lang w:val="ru-RU" w:eastAsia="ru-RU" w:bidi="ru-RU"/>
          <w:w w:val="100"/>
          <w:spacing w:val="0"/>
          <w:color w:val="000000"/>
          <w:position w:val="0"/>
        </w:rPr>
        <w:t>на электрокар - диограмме</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Лактатдегидрогеназа 1 может быть увеличена при идиопатическом миокардите.</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Тропонин I:</w:t>
      </w:r>
    </w:p>
    <w:p>
      <w:pPr>
        <w:pStyle w:val="Style30"/>
        <w:numPr>
          <w:ilvl w:val="0"/>
          <w:numId w:val="71"/>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является индикатором поражения миокарда;</w:t>
      </w:r>
    </w:p>
    <w:p>
      <w:pPr>
        <w:pStyle w:val="Style30"/>
        <w:numPr>
          <w:ilvl w:val="0"/>
          <w:numId w:val="71"/>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уровень тропонина I обычно увеличивается через месяц от начала инфекции, однако данный пока</w:t>
        <w:softHyphen/>
        <w:t>затель является неспецифичным для миокардита и может увеличиваться при других заболеваниях сердца.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w:t>
      </w:r>
    </w:p>
    <w:p>
      <w:pPr>
        <w:pStyle w:val="Style30"/>
        <w:numPr>
          <w:ilvl w:val="0"/>
          <w:numId w:val="6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легком поражении миокарда изменения на ЭКГ могут быть единственными признаками, сви</w:t>
        <w:softHyphen/>
        <w:t>детельствующими о миокардите.</w:t>
      </w:r>
    </w:p>
    <w:p>
      <w:pPr>
        <w:pStyle w:val="Style30"/>
        <w:numPr>
          <w:ilvl w:val="0"/>
          <w:numId w:val="6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Низкий вольтаж </w:t>
      </w:r>
      <w:r>
        <w:rPr>
          <w:lang w:val="en-US" w:eastAsia="en-US" w:bidi="en-US"/>
          <w:w w:val="100"/>
          <w:spacing w:val="0"/>
          <w:color w:val="000000"/>
          <w:position w:val="0"/>
        </w:rPr>
        <w:t xml:space="preserve">QRS </w:t>
      </w:r>
      <w:r>
        <w:rPr>
          <w:lang w:val="ru-RU" w:eastAsia="ru-RU" w:bidi="ru-RU"/>
          <w:w w:val="100"/>
          <w:spacing w:val="0"/>
          <w:color w:val="000000"/>
          <w:position w:val="0"/>
        </w:rPr>
        <w:t>(&lt;5 мм в отведениях от ко</w:t>
        <w:softHyphen/>
        <w:t>нечностей) является классическим признаком. Могут выявляться электрокардиографические проявления псевдоинфаркта в виде патологичес</w:t>
        <w:softHyphen/>
        <w:t xml:space="preserve">кого зубца </w:t>
      </w:r>
      <w:r>
        <w:rPr>
          <w:lang w:val="en-US" w:eastAsia="en-US" w:bidi="en-US"/>
          <w:w w:val="100"/>
          <w:spacing w:val="0"/>
          <w:color w:val="000000"/>
          <w:position w:val="0"/>
        </w:rPr>
        <w:t xml:space="preserve">Q </w:t>
      </w:r>
      <w:r>
        <w:rPr>
          <w:lang w:val="ru-RU" w:eastAsia="ru-RU" w:bidi="ru-RU"/>
          <w:w w:val="100"/>
          <w:spacing w:val="0"/>
          <w:color w:val="000000"/>
          <w:position w:val="0"/>
        </w:rPr>
        <w:t xml:space="preserve">и отсутствия прироста зубцов </w:t>
      </w:r>
      <w:r>
        <w:rPr>
          <w:lang w:val="en-US" w:eastAsia="en-US" w:bidi="en-US"/>
          <w:w w:val="100"/>
          <w:spacing w:val="0"/>
          <w:color w:val="000000"/>
          <w:position w:val="0"/>
        </w:rPr>
        <w:t xml:space="preserve">R </w:t>
      </w:r>
      <w:r>
        <w:rPr>
          <w:lang w:val="ru-RU" w:eastAsia="ru-RU" w:bidi="ru-RU"/>
          <w:w w:val="100"/>
          <w:spacing w:val="0"/>
          <w:color w:val="000000"/>
          <w:position w:val="0"/>
        </w:rPr>
        <w:t>в ле</w:t>
        <w:softHyphen/>
        <w:t>вых грудных отведениях.</w:t>
      </w:r>
    </w:p>
    <w:p>
      <w:pPr>
        <w:pStyle w:val="Style30"/>
        <w:numPr>
          <w:ilvl w:val="0"/>
          <w:numId w:val="6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Зубец </w:t>
      </w:r>
      <w:r>
        <w:rPr>
          <w:lang w:val="en-US" w:eastAsia="en-US" w:bidi="en-US"/>
          <w:w w:val="100"/>
          <w:spacing w:val="0"/>
          <w:color w:val="000000"/>
          <w:position w:val="0"/>
        </w:rPr>
        <w:t xml:space="preserve">T </w:t>
      </w:r>
      <w:r>
        <w:rPr>
          <w:lang w:val="ru-RU" w:eastAsia="ru-RU" w:bidi="ru-RU"/>
          <w:w w:val="100"/>
          <w:spacing w:val="0"/>
          <w:color w:val="000000"/>
          <w:position w:val="0"/>
        </w:rPr>
        <w:t>вариабельный или инвертированный, обычно сочетается с маленьким или отсутствую</w:t>
        <w:softHyphen/>
        <w:t xml:space="preserve">щим зубцом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w:t>
      </w:r>
      <w:r>
        <w:rPr>
          <w:lang w:val="en-US" w:eastAsia="en-US" w:bidi="en-US"/>
          <w:w w:val="100"/>
          <w:spacing w:val="0"/>
          <w:color w:val="000000"/>
          <w:position w:val="0"/>
        </w:rPr>
        <w:t>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 </w:t>
      </w:r>
      <w:r>
        <w:rPr>
          <w:lang w:val="ru-RU" w:eastAsia="ru-RU" w:bidi="ru-RU"/>
          <w:w w:val="100"/>
          <w:spacing w:val="0"/>
          <w:color w:val="000000"/>
          <w:position w:val="0"/>
        </w:rPr>
        <w:t>и Уб.</w:t>
      </w:r>
    </w:p>
    <w:p>
      <w:pPr>
        <w:pStyle w:val="Style30"/>
        <w:numPr>
          <w:ilvl w:val="0"/>
          <w:numId w:val="6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Может определяться гипертрофия левого желу</w:t>
        <w:softHyphen/>
        <w:t xml:space="preserve">дочка по типу </w:t>
      </w:r>
      <w:r>
        <w:rPr>
          <w:lang w:val="en-US" w:eastAsia="en-US" w:bidi="en-US"/>
          <w:w w:val="100"/>
          <w:spacing w:val="0"/>
          <w:color w:val="000000"/>
          <w:position w:val="0"/>
        </w:rPr>
        <w:t>strain.</w:t>
      </w:r>
    </w:p>
    <w:p>
      <w:pPr>
        <w:pStyle w:val="Style30"/>
        <w:numPr>
          <w:ilvl w:val="0"/>
          <w:numId w:val="6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Другими неспецифическими проявлениями могут быть удлинение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 xml:space="preserve">и </w:t>
      </w:r>
      <w:r>
        <w:rPr>
          <w:lang w:val="en-US" w:eastAsia="en-US" w:bidi="en-US"/>
          <w:w w:val="100"/>
          <w:spacing w:val="0"/>
          <w:color w:val="000000"/>
          <w:position w:val="0"/>
        </w:rPr>
        <w:t>QT.</w:t>
      </w:r>
    </w:p>
    <w:p>
      <w:pPr>
        <w:pStyle w:val="Style30"/>
        <w:numPr>
          <w:ilvl w:val="0"/>
          <w:numId w:val="69"/>
        </w:numPr>
        <w:tabs>
          <w:tab w:leader="none" w:pos="492"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Синусовая тахикардия является наиболее харак</w:t>
        <w:softHyphen/>
        <w:t>терным признаком. Могут обнаруживаться преж</w:t>
        <w:softHyphen/>
        <w:t>девременные желудочковые сокращения и пред</w:t>
        <w:softHyphen/>
        <w:t>сердная тахикардия. Узловая тахикардия чаще об</w:t>
        <w:softHyphen/>
        <w:t>наруживается при тяжелой застойной сердечной недостаточности. Иногда определяется попереч</w:t>
        <w:softHyphen/>
        <w:br w:type="column"/>
        <w:t>ный атриовентрикулярный блок, требующий электростимуляции.</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Желудочковая тахикардия может оказаться пер</w:t>
        <w:softHyphen/>
        <w:t>вым проявлением заболевания.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Эхокардиография:</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Данный метод является информативным для вы</w:t>
        <w:softHyphen/>
        <w:t>явления миокардиальной функции.</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Метод чувствительный, но неспецифичный.</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Типичны следующие данные:</w:t>
      </w:r>
    </w:p>
    <w:p>
      <w:pPr>
        <w:pStyle w:val="Style30"/>
        <w:numPr>
          <w:ilvl w:val="0"/>
          <w:numId w:val="7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глобальная гипокинезия (наиболее типичный признак);</w:t>
      </w:r>
    </w:p>
    <w:p>
      <w:pPr>
        <w:pStyle w:val="Style30"/>
        <w:numPr>
          <w:ilvl w:val="0"/>
          <w:numId w:val="71"/>
        </w:numPr>
        <w:tabs>
          <w:tab w:leader="none" w:pos="69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увеличение конечно диастолического и конечно систолического размеров левого желудочка;</w:t>
      </w:r>
    </w:p>
    <w:p>
      <w:pPr>
        <w:pStyle w:val="Style30"/>
        <w:numPr>
          <w:ilvl w:val="0"/>
          <w:numId w:val="7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систолическая дисфункция левого желудочка в виде снижения фракции выброса и фракции уко - рочения;</w:t>
      </w:r>
    </w:p>
    <w:p>
      <w:pPr>
        <w:pStyle w:val="Style30"/>
        <w:numPr>
          <w:ilvl w:val="0"/>
          <w:numId w:val="71"/>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сегментарные аномалии движения стенок левого желудочка;</w:t>
      </w:r>
    </w:p>
    <w:p>
      <w:pPr>
        <w:pStyle w:val="Style30"/>
        <w:numPr>
          <w:ilvl w:val="0"/>
          <w:numId w:val="7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перикардиальный выпот.</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Рентгенография грудной клетки:</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Обычно определяются кардиомегалия и застойные явления в легких.</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Случайно определенная кардиомегалия на рентге</w:t>
        <w:softHyphen/>
        <w:t>нограмме грудной клетки может явиться началь</w:t>
        <w:softHyphen/>
        <w:t>ным проявлением заболевания.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Радионуклидная диагностика:</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Сцинтиграфия миокарда с цитратом Галлия 67 по</w:t>
        <w:softHyphen/>
        <w:t>зволяет диагностировать хронический воспалитель</w:t>
        <w:softHyphen/>
        <w:t>ный процесс. Метод обладает высокой чувствитель</w:t>
        <w:softHyphen/>
        <w:t>ностью, однако имеет низкую специфичность.</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Сцинтиграфия с меченными антимиозиновыми антителами Индиумом 111 </w:t>
      </w:r>
      <w:r>
        <w:rPr>
          <w:lang w:val="en-US" w:eastAsia="en-US" w:bidi="en-US"/>
          <w:w w:val="100"/>
          <w:spacing w:val="0"/>
          <w:color w:val="000000"/>
          <w:position w:val="0"/>
        </w:rPr>
        <w:t xml:space="preserve">(Indium In </w:t>
      </w:r>
      <w:r>
        <w:rPr>
          <w:lang w:val="ru-RU" w:eastAsia="ru-RU" w:bidi="ru-RU"/>
          <w:w w:val="100"/>
          <w:spacing w:val="0"/>
          <w:color w:val="000000"/>
          <w:position w:val="0"/>
        </w:rPr>
        <w:t>111) имеет высокую чувствительность в диагностике миокар</w:t>
        <w:softHyphen/>
        <w:t>диального некроза, однако при этом методе высо</w:t>
        <w:softHyphen/>
        <w:t>кий процент ложноположительных результатов. Отсутствие захвата антимиозина является высоко</w:t>
        <w:softHyphen/>
        <w:t>предсказуемым в получении отрицательных ре</w:t>
        <w:softHyphen/>
        <w:t>зультатов эндомиокардиальной биопсии (92-98%).</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Эндомиокардиальная биопсия:</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Эндомиокардиальная биопсия является стандарт</w:t>
        <w:softHyphen/>
        <w:t>ным критерием для постановки диагноза миокар</w:t>
        <w:softHyphen/>
        <w:t>дита. Она позволяет установить диагноз и класси</w:t>
        <w:softHyphen/>
        <w:t>фицировать стадию заболевания.</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Проведение биопсии возможно у детей старшего возраста, у новорожденных детей биопсия сопря</w:t>
        <w:softHyphen/>
        <w:t>жена с высоким риском перфорации сердца.</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Эндомиокардиальная биопсия может давать боль</w:t>
        <w:softHyphen/>
        <w:t>шое число ложноотрицательных результатов. С другой стороны, при положительном результате эндомиокардиальная биопсия не меняет тактику медикаментозной коррекции.</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Для решения вопроса о необходимости проведе</w:t>
        <w:softHyphen/>
        <w:t>ния эндомиокардиальной биопсии используют ра</w:t>
        <w:softHyphen/>
        <w:t>дионуклидную диагностику.</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Дифференциальный диагноз</w:t>
      </w:r>
    </w:p>
    <w:p>
      <w:pPr>
        <w:pStyle w:val="Style30"/>
        <w:numPr>
          <w:ilvl w:val="0"/>
          <w:numId w:val="69"/>
        </w:numPr>
        <w:tabs>
          <w:tab w:leader="none" w:pos="23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Клапанный аортальный стеноз.</w:t>
      </w:r>
    </w:p>
    <w:p>
      <w:pPr>
        <w:pStyle w:val="Style30"/>
        <w:numPr>
          <w:ilvl w:val="0"/>
          <w:numId w:val="69"/>
        </w:numPr>
        <w:tabs>
          <w:tab w:leader="none" w:pos="23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Опухоли сердца.</w:t>
      </w:r>
    </w:p>
    <w:p>
      <w:pPr>
        <w:pStyle w:val="Style30"/>
        <w:numPr>
          <w:ilvl w:val="0"/>
          <w:numId w:val="69"/>
        </w:numPr>
        <w:tabs>
          <w:tab w:leader="none" w:pos="23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Дилатационная кардиомиопатия.</w:t>
      </w:r>
    </w:p>
    <w:p>
      <w:pPr>
        <w:pStyle w:val="Style30"/>
        <w:numPr>
          <w:ilvl w:val="0"/>
          <w:numId w:val="69"/>
        </w:numPr>
        <w:tabs>
          <w:tab w:leader="none" w:pos="23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Карнитиновый дефицит.</w:t>
      </w:r>
    </w:p>
    <w:p>
      <w:pPr>
        <w:pStyle w:val="Style30"/>
        <w:numPr>
          <w:ilvl w:val="0"/>
          <w:numId w:val="69"/>
        </w:numPr>
        <w:tabs>
          <w:tab w:leader="none" w:pos="23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Коарктация аорты.</w:t>
      </w:r>
    </w:p>
    <w:p>
      <w:pPr>
        <w:pStyle w:val="Style30"/>
        <w:numPr>
          <w:ilvl w:val="0"/>
          <w:numId w:val="69"/>
        </w:numPr>
        <w:tabs>
          <w:tab w:leader="none" w:pos="23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Аномалии коронарных артерий.</w:t>
      </w:r>
    </w:p>
    <w:p>
      <w:pPr>
        <w:pStyle w:val="Style30"/>
        <w:numPr>
          <w:ilvl w:val="0"/>
          <w:numId w:val="69"/>
        </w:numPr>
        <w:tabs>
          <w:tab w:leader="none" w:pos="235" w:val="left"/>
        </w:tabs>
        <w:widowControl w:val="0"/>
        <w:keepNext w:val="0"/>
        <w:keepLines w:val="0"/>
        <w:shd w:val="clear" w:color="auto" w:fill="auto"/>
        <w:bidi w:val="0"/>
        <w:spacing w:before="0" w:after="0"/>
        <w:ind w:left="0" w:right="0" w:firstLine="0"/>
      </w:pPr>
      <w:r>
        <w:pict>
          <v:shape id="_x0000_s1383" type="#_x0000_t75" style="position:absolute;margin-left:130.8pt;margin-top:737.05pt;width:209.75pt;height:14.9pt;z-index:-125829141;mso-wrap-distance-left:124.3pt;mso-wrap-distance-right:148.1pt;mso-wrap-distance-bottom:10.8pt;mso-position-horizontal-relative:margin;mso-position-vertical-relative:margin" wrapcoords="0 0 21600 0 21600 21600 0 21600 0 0">
            <v:imagedata r:id="rId590" r:href="rId591"/>
            <w10:wrap type="topAndBottom" anchorx="margin" anchory="margin"/>
          </v:shape>
        </w:pict>
      </w:r>
      <w:r>
        <w:rPr>
          <w:lang w:val="ru-RU" w:eastAsia="ru-RU" w:bidi="ru-RU"/>
          <w:w w:val="100"/>
          <w:spacing w:val="0"/>
          <w:color w:val="000000"/>
          <w:position w:val="0"/>
        </w:rPr>
        <w:t>Эндокардиальный фиброэластоз.</w:t>
      </w:r>
      <w:r>
        <w:br w:type="page"/>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Энтеровирусная инфекция.</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Гликогеновая болезнь I типа.</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Гликогеновая болезнь II типа.</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Невирусный миокардит.</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Вирусный перикардит.</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Другие проблемы, которые следует рассмотреть.</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Медионекроз коронарных артерий.</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Шок.</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Активность</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Необходим постельный режим во время острой фазы заболевания, что позволяет уменьшить внутримио</w:t>
        <w:softHyphen/>
        <w:t>кардиальную репликацию вируса.</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Физическая активность расширяется постепенно после полного выздоровления.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Общие принципы:</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острую фазу заболевания при появлении даже легких признаков респираторного дистресса или сердечной недостаточности необходима госпита</w:t>
        <w:softHyphen/>
        <w:t>лизация в стационар. Необходимость в госпитали</w:t>
        <w:softHyphen/>
        <w:t>зации продиктована возможностью быстрого про</w:t>
        <w:softHyphen/>
        <w:t>грессирования сердечной недостаточности и раз</w:t>
        <w:softHyphen/>
        <w:t>вития гемодинамического коллапса.</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Медицинская помощь заключается в минимиза</w:t>
        <w:softHyphen/>
        <w:t>ции гемодинамических потребностей организма. Не существует специфической терапии, позволя</w:t>
        <w:softHyphen/>
        <w:t>ющей предупредить поражение миокарда. Лечение в основном направлено на поддержание нормаль</w:t>
        <w:softHyphen/>
        <w:t>ной тканевой перфузии и предупреждение воз</w:t>
        <w:softHyphen/>
        <w:t>можных осложнений. Нормальный уровень кис</w:t>
        <w:softHyphen/>
        <w:t>лорода в крови поддерживают при необходимости дополнительной оксигенацией.</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развитии сердечной недостаточности назначают препараты дигиталиса для поддержания адекватной функции сердца. Диуретики назначают при избыточ</w:t>
        <w:softHyphen/>
        <w:t>ном образовании экстрацеллюлярной жидкости и с целью снижения преднагрузки. Следует помнить, что назначение диуретиков в больших дозах может спровоцировать падение сердечного выброса и воз</w:t>
        <w:softHyphen/>
        <w:t>никновение шока.</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Назначение негликозидных инотропных средств осу</w:t>
        <w:softHyphen/>
        <w:t>ществляют, если сердечный выброс не поддерживает</w:t>
        <w:softHyphen/>
        <w:t>ся менее инвазивными методами. С этой целью при</w:t>
        <w:softHyphen/>
        <w:t xml:space="preserve">меняют допамин, добутамин, инамринон (амринон) или милринон </w:t>
      </w:r>
      <w:r>
        <w:rPr>
          <w:lang w:val="en-US" w:eastAsia="en-US" w:bidi="en-US"/>
          <w:w w:val="100"/>
          <w:spacing w:val="0"/>
          <w:color w:val="000000"/>
          <w:position w:val="0"/>
        </w:rPr>
        <w:t>(milrinone).</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Снижение постнагрузки является эффективным спо - собом лечения в острую фазу миокардита и проводит</w:t>
        <w:softHyphen/>
        <w:t>ся, если нет артериальной гипотензии. С этой целью применяют внутривенное введение нитропруссида, инамринона и милринона, с последующим перехо</w:t>
        <w:softHyphen/>
        <w:t>дом на оральное применение ингибиторов АПФ.</w:t>
      </w:r>
    </w:p>
    <w:p>
      <w:pPr>
        <w:pStyle w:val="Style30"/>
        <w:numPr>
          <w:ilvl w:val="0"/>
          <w:numId w:val="6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Мнения об иммуносупрессивной терапии при лече</w:t>
        <w:softHyphen/>
        <w:t>нии вирусных миокардитов противоречивы. В экспе</w:t>
        <w:softHyphen/>
        <w:t>риментальных условиях применение иммуносупрес</w:t>
        <w:softHyphen/>
        <w:t>сивной терапии снижает вирусную цитотоксичность. На небольшой серии исследований также отмечен положительный эффект данных препаратов при ле</w:t>
        <w:softHyphen/>
        <w:t>чении вирусных миокардитов у человека. В мульти</w:t>
        <w:softHyphen/>
        <w:t>центровом лечении миокардитов у 111 пациентов ус</w:t>
        <w:softHyphen/>
        <w:t>тановлен различный эффект от лечения в зависимос</w:t>
        <w:softHyphen/>
        <w:t>ти от комбинации иммуносупрессивных препаратов. Анализ проведен в 3 группах:</w:t>
      </w:r>
    </w:p>
    <w:p>
      <w:pPr>
        <w:pStyle w:val="Style30"/>
        <w:numPr>
          <w:ilvl w:val="0"/>
          <w:numId w:val="73"/>
        </w:numPr>
        <w:tabs>
          <w:tab w:leader="none" w:pos="516" w:val="left"/>
        </w:tabs>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Преднизолон/азатиоприн.</w:t>
      </w:r>
    </w:p>
    <w:p>
      <w:pPr>
        <w:pStyle w:val="Style30"/>
        <w:numPr>
          <w:ilvl w:val="0"/>
          <w:numId w:val="73"/>
        </w:numPr>
        <w:tabs>
          <w:tab w:leader="none" w:pos="53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Преднизолон/циклоспорин.</w:t>
      </w:r>
    </w:p>
    <w:p>
      <w:pPr>
        <w:pStyle w:val="Style30"/>
        <w:numPr>
          <w:ilvl w:val="0"/>
          <w:numId w:val="73"/>
        </w:numPr>
        <w:tabs>
          <w:tab w:leader="none" w:pos="53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Симптоматическая терапия без иммуносупрессии.</w:t>
      </w:r>
    </w:p>
    <w:p>
      <w:pPr>
        <w:pStyle w:val="Style30"/>
        <w:numPr>
          <w:ilvl w:val="0"/>
          <w:numId w:val="69"/>
        </w:numPr>
        <w:tabs>
          <w:tab w:leader="none" w:pos="50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Установлено, что функция левого желудочка и выжи - ваемость пациентов не различались в указанных трех группах.</w:t>
      </w:r>
    </w:p>
    <w:p>
      <w:pPr>
        <w:pStyle w:val="Style30"/>
        <w:numPr>
          <w:ilvl w:val="0"/>
          <w:numId w:val="69"/>
        </w:numPr>
        <w:tabs>
          <w:tab w:leader="none" w:pos="50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Использование внутривенного гаммаглобулина эф</w:t>
        <w:softHyphen/>
        <w:t>фективно в лечении острого миокардита, приводит к значительному улучшению левожелудочковой функции и улучшает показатель выживаемости.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Амбулаторное наблюдение</w:t>
      </w:r>
    </w:p>
    <w:p>
      <w:pPr>
        <w:pStyle w:val="Style30"/>
        <w:numPr>
          <w:ilvl w:val="0"/>
          <w:numId w:val="69"/>
        </w:numPr>
        <w:tabs>
          <w:tab w:leader="none" w:pos="50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Больного выписывают при стабилизации состояния на препаратах, назначаемых внутрь.</w:t>
      </w:r>
    </w:p>
    <w:p>
      <w:pPr>
        <w:pStyle w:val="Style30"/>
        <w:numPr>
          <w:ilvl w:val="0"/>
          <w:numId w:val="69"/>
        </w:numPr>
        <w:tabs>
          <w:tab w:leader="none" w:pos="50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Проводится наблюдение за эффективностью медика</w:t>
        <w:softHyphen/>
        <w:t>ментозной коррекции во избежание побочных эф</w:t>
        <w:softHyphen/>
        <w:t>фектов.</w:t>
      </w:r>
    </w:p>
    <w:p>
      <w:pPr>
        <w:pStyle w:val="Style30"/>
        <w:numPr>
          <w:ilvl w:val="0"/>
          <w:numId w:val="69"/>
        </w:numPr>
        <w:tabs>
          <w:tab w:leader="none" w:pos="50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Необходим регулярный контроль за желудочковой функцией, осуществляемый при проведении эхокар</w:t>
        <w:softHyphen/>
        <w:t>диографического исследования.</w:t>
      </w:r>
    </w:p>
    <w:p>
      <w:pPr>
        <w:pStyle w:val="Style30"/>
        <w:numPr>
          <w:ilvl w:val="0"/>
          <w:numId w:val="69"/>
        </w:numPr>
        <w:tabs>
          <w:tab w:leader="none" w:pos="50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Амбулаторное лечение может включает применение следующих препаратов:</w:t>
      </w:r>
    </w:p>
    <w:p>
      <w:pPr>
        <w:pStyle w:val="Style30"/>
        <w:numPr>
          <w:ilvl w:val="0"/>
          <w:numId w:val="71"/>
        </w:numPr>
        <w:tabs>
          <w:tab w:leader="none" w:pos="750"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дигоксин;</w:t>
      </w:r>
    </w:p>
    <w:p>
      <w:pPr>
        <w:pStyle w:val="Style30"/>
        <w:numPr>
          <w:ilvl w:val="0"/>
          <w:numId w:val="71"/>
        </w:numPr>
        <w:tabs>
          <w:tab w:leader="none" w:pos="750"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препараты, уменьшающие постнагрузку;</w:t>
      </w:r>
    </w:p>
    <w:p>
      <w:pPr>
        <w:pStyle w:val="Style30"/>
        <w:numPr>
          <w:ilvl w:val="0"/>
          <w:numId w:val="71"/>
        </w:numPr>
        <w:tabs>
          <w:tab w:leader="none" w:pos="750"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диуретики;</w:t>
      </w:r>
    </w:p>
    <w:p>
      <w:pPr>
        <w:pStyle w:val="Style30"/>
        <w:numPr>
          <w:ilvl w:val="0"/>
          <w:numId w:val="71"/>
        </w:numPr>
        <w:tabs>
          <w:tab w:leader="none" w:pos="750"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противоаритмические средства;</w:t>
      </w:r>
    </w:p>
    <w:p>
      <w:pPr>
        <w:pStyle w:val="Style30"/>
        <w:numPr>
          <w:ilvl w:val="0"/>
          <w:numId w:val="71"/>
        </w:numPr>
        <w:tabs>
          <w:tab w:leader="none" w:pos="750"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антикоагулянты.</w:t>
      </w:r>
    </w:p>
    <w:p>
      <w:pPr>
        <w:pStyle w:val="Style30"/>
        <w:numPr>
          <w:ilvl w:val="0"/>
          <w:numId w:val="69"/>
        </w:numPr>
        <w:tabs>
          <w:tab w:leader="none" w:pos="50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Ограничение активности должно продолжаться до полного выздоровления.</w:t>
      </w:r>
    </w:p>
    <w:p>
      <w:pPr>
        <w:pStyle w:val="Style30"/>
        <w:numPr>
          <w:ilvl w:val="0"/>
          <w:numId w:val="69"/>
        </w:numPr>
        <w:tabs>
          <w:tab w:leader="none" w:pos="50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Следует избегать применения препаратов с негатив</w:t>
        <w:softHyphen/>
        <w:t>ным инотропным эффектом.</w:t>
      </w:r>
    </w:p>
    <w:p>
      <w:pPr>
        <w:pStyle w:val="Style30"/>
        <w:numPr>
          <w:ilvl w:val="0"/>
          <w:numId w:val="69"/>
        </w:numPr>
        <w:tabs>
          <w:tab w:leader="none" w:pos="50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Следует быть настороженным по поводу возможного снижения желудочковой функции.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w:t>
      </w:r>
    </w:p>
    <w:p>
      <w:pPr>
        <w:pStyle w:val="Style30"/>
        <w:numPr>
          <w:ilvl w:val="0"/>
          <w:numId w:val="69"/>
        </w:numPr>
        <w:tabs>
          <w:tab w:leader="none" w:pos="50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Аритмия.</w:t>
      </w:r>
    </w:p>
    <w:p>
      <w:pPr>
        <w:pStyle w:val="Style30"/>
        <w:numPr>
          <w:ilvl w:val="0"/>
          <w:numId w:val="69"/>
        </w:numPr>
        <w:tabs>
          <w:tab w:leader="none" w:pos="50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Застойная сердечная недостаточность.</w:t>
      </w:r>
    </w:p>
    <w:p>
      <w:pPr>
        <w:pStyle w:val="Style30"/>
        <w:numPr>
          <w:ilvl w:val="0"/>
          <w:numId w:val="69"/>
        </w:numPr>
        <w:tabs>
          <w:tab w:leader="none" w:pos="50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Тромбоэмболия.</w:t>
      </w:r>
    </w:p>
    <w:p>
      <w:pPr>
        <w:pStyle w:val="Style30"/>
        <w:numPr>
          <w:ilvl w:val="0"/>
          <w:numId w:val="69"/>
        </w:numPr>
        <w:tabs>
          <w:tab w:leader="none" w:pos="50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Развитие дилатационной кардиомиопатии.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69"/>
        </w:numPr>
        <w:tabs>
          <w:tab w:leader="none" w:pos="50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Исследования свидетельствуют о широком спектре статистических показателей заболеваемости и смерт</w:t>
        <w:softHyphen/>
        <w:t>ности при вирусных миокардитах.</w:t>
      </w:r>
    </w:p>
    <w:p>
      <w:pPr>
        <w:pStyle w:val="Style30"/>
        <w:numPr>
          <w:ilvl w:val="0"/>
          <w:numId w:val="69"/>
        </w:numPr>
        <w:tabs>
          <w:tab w:leader="none" w:pos="50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вирусном миокардите, обусловленном коксаки В вирусом, высокая частота смерти в периоде ново- рожденности (75%) по сравнению с более старшими детьми и подростками (10-25%).</w:t>
      </w:r>
    </w:p>
    <w:p>
      <w:pPr>
        <w:pStyle w:val="Style30"/>
        <w:numPr>
          <w:ilvl w:val="0"/>
          <w:numId w:val="69"/>
        </w:numPr>
        <w:tabs>
          <w:tab w:leader="none" w:pos="50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Полное восстановление желудочковой функции пос</w:t>
        <w:softHyphen/>
        <w:t>ле вирусного миокардита наблюдается у 50% пациен</w:t>
        <w:softHyphen/>
        <w:t>тов.</w:t>
      </w:r>
    </w:p>
    <w:p>
      <w:pPr>
        <w:pStyle w:val="Style30"/>
        <w:numPr>
          <w:ilvl w:val="0"/>
          <w:numId w:val="69"/>
        </w:numPr>
        <w:tabs>
          <w:tab w:leader="none" w:pos="506" w:val="left"/>
        </w:tabs>
        <w:widowControl w:val="0"/>
        <w:keepNext w:val="0"/>
        <w:keepLines w:val="0"/>
        <w:shd w:val="clear" w:color="auto" w:fill="auto"/>
        <w:bidi w:val="0"/>
        <w:spacing w:before="0" w:after="161"/>
        <w:ind w:left="520" w:right="0" w:hanging="240"/>
      </w:pPr>
      <w:r>
        <w:rPr>
          <w:lang w:val="ru-RU" w:eastAsia="ru-RU" w:bidi="ru-RU"/>
          <w:w w:val="100"/>
          <w:spacing w:val="0"/>
          <w:color w:val="000000"/>
          <w:position w:val="0"/>
        </w:rPr>
        <w:t>У некоторых больных развивается хронический мио - кардит и/или дилатационная кардиомиопатия. Такие пациенты нуждаются в пересадке сердца.</w:t>
      </w:r>
    </w:p>
    <w:p>
      <w:pPr>
        <w:pStyle w:val="Style48"/>
        <w:widowControl w:val="0"/>
        <w:keepNext/>
        <w:keepLines/>
        <w:shd w:val="clear" w:color="auto" w:fill="auto"/>
        <w:bidi w:val="0"/>
        <w:jc w:val="left"/>
        <w:spacing w:before="0" w:after="79" w:line="240" w:lineRule="exact"/>
        <w:ind w:left="0" w:right="0" w:firstLine="0"/>
      </w:pPr>
      <w:bookmarkStart w:id="442" w:name="bookmark442"/>
      <w:r>
        <w:rPr>
          <w:lang w:val="ru-RU" w:eastAsia="ru-RU" w:bidi="ru-RU"/>
          <w:w w:val="100"/>
          <w:spacing w:val="0"/>
          <w:color w:val="000000"/>
          <w:position w:val="0"/>
        </w:rPr>
        <w:t>Миокардиты другой этиологии (невирусные миокардиты)</w:t>
      </w:r>
      <w:bookmarkEnd w:id="442"/>
    </w:p>
    <w:p>
      <w:pPr>
        <w:pStyle w:val="Style30"/>
        <w:widowControl w:val="0"/>
        <w:keepNext w:val="0"/>
        <w:keepLines w:val="0"/>
        <w:shd w:val="clear" w:color="auto" w:fill="auto"/>
        <w:bidi w:val="0"/>
        <w:spacing w:before="0" w:after="0"/>
        <w:ind w:left="0" w:right="0" w:firstLine="280"/>
      </w:pPr>
      <w:r>
        <w:pict>
          <v:shape id="_x0000_s1384" type="#_x0000_t75" style="position:absolute;margin-left:142.3pt;margin-top:737.05pt;width:209.75pt;height:14.9pt;z-index:-125829140;mso-wrap-distance-left:136.1pt;mso-wrap-distance-right:136.8pt;mso-wrap-distance-bottom:10.8pt;mso-position-horizontal-relative:margin;mso-position-vertical-relative:margin" wrapcoords="0 0 21600 0 21600 21600 0 21600 0 0">
            <v:imagedata r:id="rId592" r:href="rId593"/>
            <w10:wrap type="topAndBottom" anchorx="margin" anchory="margin"/>
          </v:shape>
        </w:pict>
      </w:r>
      <w:r>
        <w:rPr>
          <w:lang w:val="ru-RU" w:eastAsia="ru-RU" w:bidi="ru-RU"/>
          <w:w w:val="100"/>
          <w:spacing w:val="0"/>
          <w:color w:val="000000"/>
          <w:position w:val="0"/>
        </w:rPr>
        <w:t>Хотя большинство миокардитов (то есть воспаление сердечной мышцы) имеют вирусное происхождение, суще</w:t>
        <w:softHyphen/>
        <w:t>ствует большое число невирусных причин. Многие инфек</w:t>
        <w:softHyphen/>
        <w:t>ционные заболевания детей могут осложняться миокарди</w:t>
        <w:softHyphen/>
        <w:t>том. Наряду с этим миокардит может быть обусловлен ги</w:t>
        <w:softHyphen/>
        <w:t>перчувствительностью, вторичной к приему лекарственных препаратов. Тяжесть миокардита варьирует от бессимптом-</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ного заболевания до фульминантного тяжелого заболева</w:t>
        <w:softHyphen/>
        <w:t>ния с быстрым прогрессированием и неблагоприятным прогнозом.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 точки зрения эпидемиологии миокардиты являются спорадическим заболеванием. Хотя большинство случаев миокардитов обусловлены вирусной причиной, невирус</w:t>
        <w:softHyphen/>
        <w:t>ные кардиты также могут иметь место, такие как бактери</w:t>
        <w:softHyphen/>
        <w:t>альные, паразитарные, грибковые, токсические и лекар</w:t>
        <w:softHyphen/>
        <w:t>ственно взаимосвязанные.</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w:t>
      </w:r>
    </w:p>
    <w:p>
      <w:pPr>
        <w:pStyle w:val="Style30"/>
        <w:numPr>
          <w:ilvl w:val="0"/>
          <w:numId w:val="69"/>
        </w:numPr>
        <w:tabs>
          <w:tab w:leader="none" w:pos="515"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Миокардиты являются привилегией детского возрас</w:t>
        <w:softHyphen/>
        <w:t>та.</w:t>
      </w:r>
    </w:p>
    <w:p>
      <w:pPr>
        <w:pStyle w:val="Style30"/>
        <w:numPr>
          <w:ilvl w:val="0"/>
          <w:numId w:val="6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 миокардитов не определена, поскольку мно</w:t>
        <w:softHyphen/>
        <w:t>гие случаи заболевания могут протекать без симпто</w:t>
        <w:softHyphen/>
        <w:t>мов или субклинически.</w:t>
      </w:r>
    </w:p>
    <w:p>
      <w:pPr>
        <w:pStyle w:val="Style30"/>
        <w:numPr>
          <w:ilvl w:val="0"/>
          <w:numId w:val="6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Актуальная частота миокардитов может быть сущест</w:t>
        <w:softHyphen/>
        <w:t>венно выше, о чем свидетельствуют данные аутопсий, на которых миокардиты выявляются значительно ча</w:t>
        <w:softHyphen/>
        <w:t>ще, чем по клиническим данным.</w:t>
      </w:r>
    </w:p>
    <w:p>
      <w:pPr>
        <w:pStyle w:val="Style30"/>
        <w:numPr>
          <w:ilvl w:val="0"/>
          <w:numId w:val="6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Эндомиокардиальная биопсия, проведенная по по</w:t>
        <w:softHyphen/>
        <w:t>воду необъяснимых желудочковых аритмий или лево</w:t>
        <w:softHyphen/>
        <w:t>желудочковой дисфункции, свидетельствует о высо</w:t>
        <w:softHyphen/>
        <w:t>кой частоте миокардитов.</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частые причины невирусных миокардитов следующие:</w:t>
      </w:r>
    </w:p>
    <w:p>
      <w:pPr>
        <w:pStyle w:val="Style30"/>
        <w:numPr>
          <w:ilvl w:val="0"/>
          <w:numId w:val="6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Риккетсии:</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en-US" w:eastAsia="en-US" w:bidi="en-US"/>
          <w:w w:val="100"/>
          <w:spacing w:val="0"/>
          <w:color w:val="000000"/>
          <w:position w:val="0"/>
        </w:rPr>
        <w:t>Rickettsia rickettsi;</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en-US" w:eastAsia="en-US" w:bidi="en-US"/>
          <w:w w:val="100"/>
          <w:spacing w:val="0"/>
          <w:color w:val="000000"/>
          <w:position w:val="0"/>
        </w:rPr>
        <w:t>Rickettsia tsutsugamushi</w:t>
      </w:r>
    </w:p>
    <w:p>
      <w:pPr>
        <w:pStyle w:val="Style30"/>
        <w:numPr>
          <w:ilvl w:val="0"/>
          <w:numId w:val="6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Бактерии (возбудители инфекции):</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разновидности </w:t>
      </w:r>
      <w:r>
        <w:rPr>
          <w:lang w:val="en-US" w:eastAsia="en-US" w:bidi="en-US"/>
          <w:w w:val="100"/>
          <w:spacing w:val="0"/>
          <w:color w:val="000000"/>
          <w:position w:val="0"/>
        </w:rPr>
        <w:t>Klebsiella;</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разновидности </w:t>
      </w:r>
      <w:r>
        <w:rPr>
          <w:lang w:val="en-US" w:eastAsia="en-US" w:bidi="en-US"/>
          <w:w w:val="100"/>
          <w:spacing w:val="0"/>
          <w:color w:val="000000"/>
          <w:position w:val="0"/>
        </w:rPr>
        <w:t>Leptospira;</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разновидности </w:t>
      </w:r>
      <w:r>
        <w:rPr>
          <w:lang w:val="en-US" w:eastAsia="en-US" w:bidi="en-US"/>
          <w:w w:val="100"/>
          <w:spacing w:val="0"/>
          <w:color w:val="000000"/>
          <w:position w:val="0"/>
        </w:rPr>
        <w:t>Salmonella;</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разновидности </w:t>
      </w:r>
      <w:r>
        <w:rPr>
          <w:lang w:val="en-US" w:eastAsia="en-US" w:bidi="en-US"/>
          <w:w w:val="100"/>
          <w:spacing w:val="0"/>
          <w:color w:val="000000"/>
          <w:position w:val="0"/>
        </w:rPr>
        <w:t>Brucella;</w:t>
      </w:r>
    </w:p>
    <w:p>
      <w:pPr>
        <w:pStyle w:val="Style13"/>
        <w:numPr>
          <w:ilvl w:val="0"/>
          <w:numId w:val="71"/>
        </w:numPr>
        <w:tabs>
          <w:tab w:leader="none" w:pos="740" w:val="left"/>
        </w:tabs>
        <w:widowControl w:val="0"/>
        <w:keepNext w:val="0"/>
        <w:keepLines w:val="0"/>
        <w:shd w:val="clear" w:color="auto" w:fill="auto"/>
        <w:bidi w:val="0"/>
        <w:jc w:val="both"/>
        <w:spacing w:before="0" w:after="0"/>
        <w:ind w:left="500" w:right="0" w:firstLine="0"/>
      </w:pPr>
      <w:r>
        <w:rPr>
          <w:lang w:val="en-US" w:eastAsia="en-US" w:bidi="en-US"/>
          <w:w w:val="100"/>
          <w:spacing w:val="0"/>
          <w:color w:val="000000"/>
          <w:position w:val="0"/>
        </w:rPr>
        <w:t>Legionella pneumophila;</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менингококки;</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клостридии;</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стрептококки;</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стафилококки;</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пневмококки;</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возбудитель туберкулеза;</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возбудитель сифилиса;</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возбудитель столбняка.</w:t>
      </w:r>
    </w:p>
    <w:p>
      <w:pPr>
        <w:pStyle w:val="Style30"/>
        <w:numPr>
          <w:ilvl w:val="0"/>
          <w:numId w:val="6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Простейшие (протозойные инфекции):</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трипаносома </w:t>
      </w:r>
      <w:r>
        <w:rPr>
          <w:rStyle w:val="CharStyle132"/>
          <w:lang w:val="en-US" w:eastAsia="en-US" w:bidi="en-US"/>
        </w:rPr>
        <w:t>cruzi</w:t>
      </w:r>
      <w:r>
        <w:rPr>
          <w:rStyle w:val="CharStyle133"/>
          <w:lang w:val="en-US" w:eastAsia="en-US" w:bidi="en-US"/>
        </w:rPr>
        <w:t xml:space="preserve"> </w:t>
      </w:r>
      <w:r>
        <w:rPr>
          <w:lang w:val="ru-RU" w:eastAsia="ru-RU" w:bidi="ru-RU"/>
          <w:w w:val="100"/>
          <w:spacing w:val="0"/>
          <w:color w:val="000000"/>
          <w:position w:val="0"/>
        </w:rPr>
        <w:t>(болезнь Чагаса);</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токсоплазмоз;</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амебиаз.</w:t>
      </w:r>
    </w:p>
    <w:p>
      <w:pPr>
        <w:pStyle w:val="Style30"/>
        <w:numPr>
          <w:ilvl w:val="0"/>
          <w:numId w:val="6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Паразиты и паразитарные инфекции:</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токсокара </w:t>
      </w:r>
      <w:r>
        <w:rPr>
          <w:lang w:val="en-US" w:eastAsia="en-US" w:bidi="en-US"/>
          <w:w w:val="100"/>
          <w:spacing w:val="0"/>
          <w:color w:val="000000"/>
          <w:position w:val="0"/>
        </w:rPr>
        <w:t>canis;</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шистозомиаз </w:t>
      </w:r>
      <w:r>
        <w:rPr>
          <w:lang w:val="en-US" w:eastAsia="en-US" w:bidi="en-US"/>
          <w:w w:val="100"/>
          <w:spacing w:val="0"/>
          <w:color w:val="000000"/>
          <w:position w:val="0"/>
        </w:rPr>
        <w:t>(Schistosomiasis);</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гетерофиаз </w:t>
      </w:r>
      <w:r>
        <w:rPr>
          <w:lang w:val="en-US" w:eastAsia="en-US" w:bidi="en-US"/>
          <w:w w:val="100"/>
          <w:spacing w:val="0"/>
          <w:color w:val="000000"/>
          <w:position w:val="0"/>
        </w:rPr>
        <w:t>(Heterophyiasis);</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цистицеркоз </w:t>
      </w:r>
      <w:r>
        <w:rPr>
          <w:lang w:val="en-US" w:eastAsia="en-US" w:bidi="en-US"/>
          <w:w w:val="100"/>
          <w:spacing w:val="0"/>
          <w:color w:val="000000"/>
          <w:position w:val="0"/>
        </w:rPr>
        <w:t>(Cysticercosis;)</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эхинококк </w:t>
      </w:r>
      <w:r>
        <w:rPr>
          <w:lang w:val="en-US" w:eastAsia="en-US" w:bidi="en-US"/>
          <w:w w:val="100"/>
          <w:spacing w:val="0"/>
          <w:color w:val="000000"/>
          <w:position w:val="0"/>
        </w:rPr>
        <w:t>(Echinococci);</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en-US" w:eastAsia="en-US" w:bidi="en-US"/>
          <w:w w:val="100"/>
          <w:spacing w:val="0"/>
          <w:color w:val="000000"/>
          <w:position w:val="0"/>
        </w:rPr>
        <w:t>Visceral larva migrans.</w:t>
      </w:r>
    </w:p>
    <w:p>
      <w:pPr>
        <w:pStyle w:val="Style30"/>
        <w:numPr>
          <w:ilvl w:val="0"/>
          <w:numId w:val="6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Грибковые инфекции:</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актиномикоз </w:t>
      </w:r>
      <w:r>
        <w:rPr>
          <w:lang w:val="en-US" w:eastAsia="en-US" w:bidi="en-US"/>
          <w:w w:val="100"/>
          <w:spacing w:val="0"/>
          <w:color w:val="000000"/>
          <w:position w:val="0"/>
        </w:rPr>
        <w:t>(Actinomycosis);</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кокцидомикоз </w:t>
      </w:r>
      <w:r>
        <w:rPr>
          <w:lang w:val="en-US" w:eastAsia="en-US" w:bidi="en-US"/>
          <w:w w:val="100"/>
          <w:spacing w:val="0"/>
          <w:color w:val="000000"/>
          <w:position w:val="0"/>
        </w:rPr>
        <w:t>(Coccidioidomycosis);</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гистоплазмоз </w:t>
      </w:r>
      <w:r>
        <w:rPr>
          <w:lang w:val="en-US" w:eastAsia="en-US" w:bidi="en-US"/>
          <w:w w:val="100"/>
          <w:spacing w:val="0"/>
          <w:color w:val="000000"/>
          <w:position w:val="0"/>
        </w:rPr>
        <w:t>(Histoplasmosis);</w:t>
      </w:r>
    </w:p>
    <w:p>
      <w:pPr>
        <w:pStyle w:val="Style30"/>
        <w:numPr>
          <w:ilvl w:val="0"/>
          <w:numId w:val="71"/>
        </w:numPr>
        <w:tabs>
          <w:tab w:leader="none" w:pos="74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кандидоз </w:t>
      </w:r>
      <w:r>
        <w:rPr>
          <w:lang w:val="en-US" w:eastAsia="en-US" w:bidi="en-US"/>
          <w:w w:val="100"/>
          <w:spacing w:val="0"/>
          <w:color w:val="000000"/>
          <w:position w:val="0"/>
        </w:rPr>
        <w:t>(Candidiasis).</w:t>
      </w:r>
    </w:p>
    <w:p>
      <w:pPr>
        <w:pStyle w:val="Style30"/>
        <w:numPr>
          <w:ilvl w:val="0"/>
          <w:numId w:val="6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Токсическая причина.</w:t>
      </w:r>
    </w:p>
    <w:p>
      <w:pPr>
        <w:pStyle w:val="Style30"/>
        <w:numPr>
          <w:ilvl w:val="0"/>
          <w:numId w:val="6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Укус скорпиона.</w:t>
      </w:r>
    </w:p>
    <w:p>
      <w:pPr>
        <w:pStyle w:val="Style30"/>
        <w:numPr>
          <w:ilvl w:val="0"/>
          <w:numId w:val="6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Дифтерия.</w:t>
      </w:r>
    </w:p>
    <w:p>
      <w:pPr>
        <w:pStyle w:val="Style30"/>
        <w:numPr>
          <w:ilvl w:val="0"/>
          <w:numId w:val="69"/>
        </w:numPr>
        <w:tabs>
          <w:tab w:leader="none" w:pos="234" w:val="left"/>
        </w:tabs>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Лекарства:</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циклофосфамид </w:t>
      </w:r>
      <w:r>
        <w:rPr>
          <w:lang w:val="en-US" w:eastAsia="en-US" w:bidi="en-US"/>
          <w:w w:val="100"/>
          <w:spacing w:val="0"/>
          <w:color w:val="000000"/>
          <w:position w:val="0"/>
        </w:rPr>
        <w:t>(Cyclophosphamide);</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фенилбутазон </w:t>
      </w:r>
      <w:r>
        <w:rPr>
          <w:lang w:val="en-US" w:eastAsia="en-US" w:bidi="en-US"/>
          <w:w w:val="100"/>
          <w:spacing w:val="0"/>
          <w:color w:val="000000"/>
          <w:position w:val="0"/>
        </w:rPr>
        <w:t>(Phenylbutazone);</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ацетазоламид </w:t>
      </w:r>
      <w:r>
        <w:rPr>
          <w:lang w:val="en-US" w:eastAsia="en-US" w:bidi="en-US"/>
          <w:w w:val="100"/>
          <w:spacing w:val="0"/>
          <w:color w:val="000000"/>
          <w:position w:val="0"/>
        </w:rPr>
        <w:t>(Acetazolamide);</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амфотерицин В </w:t>
      </w:r>
      <w:r>
        <w:rPr>
          <w:lang w:val="en-US" w:eastAsia="en-US" w:bidi="en-US"/>
          <w:w w:val="100"/>
          <w:spacing w:val="0"/>
          <w:color w:val="000000"/>
          <w:position w:val="0"/>
        </w:rPr>
        <w:t>(Amphotericin B);</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индометацин </w:t>
      </w:r>
      <w:r>
        <w:rPr>
          <w:lang w:val="en-US" w:eastAsia="en-US" w:bidi="en-US"/>
          <w:w w:val="100"/>
          <w:spacing w:val="0"/>
          <w:color w:val="000000"/>
          <w:position w:val="0"/>
        </w:rPr>
        <w:t>(Indomethacin);</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тетрациклин </w:t>
      </w:r>
      <w:r>
        <w:rPr>
          <w:lang w:val="en-US" w:eastAsia="en-US" w:bidi="en-US"/>
          <w:w w:val="100"/>
          <w:spacing w:val="0"/>
          <w:color w:val="000000"/>
          <w:position w:val="0"/>
        </w:rPr>
        <w:t>(Tetracycline);</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изониазид </w:t>
      </w:r>
      <w:r>
        <w:rPr>
          <w:lang w:val="en-US" w:eastAsia="en-US" w:bidi="en-US"/>
          <w:w w:val="100"/>
          <w:spacing w:val="0"/>
          <w:color w:val="000000"/>
          <w:position w:val="0"/>
        </w:rPr>
        <w:t>(Isoniazid);</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метилдопа </w:t>
      </w:r>
      <w:r>
        <w:rPr>
          <w:lang w:val="en-US" w:eastAsia="en-US" w:bidi="en-US"/>
          <w:w w:val="100"/>
          <w:spacing w:val="0"/>
          <w:color w:val="000000"/>
          <w:position w:val="0"/>
        </w:rPr>
        <w:t>(Methyldopa);</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фенитоин </w:t>
      </w:r>
      <w:r>
        <w:rPr>
          <w:lang w:val="en-US" w:eastAsia="en-US" w:bidi="en-US"/>
          <w:w w:val="100"/>
          <w:spacing w:val="0"/>
          <w:color w:val="000000"/>
          <w:position w:val="0"/>
        </w:rPr>
        <w:t>(Phenytoin);</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пенициллин </w:t>
      </w:r>
      <w:r>
        <w:rPr>
          <w:lang w:val="en-US" w:eastAsia="en-US" w:bidi="en-US"/>
          <w:w w:val="100"/>
          <w:spacing w:val="0"/>
          <w:color w:val="000000"/>
          <w:position w:val="0"/>
        </w:rPr>
        <w:t>(Penicillin);</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сульфонамиды </w:t>
      </w:r>
      <w:r>
        <w:rPr>
          <w:lang w:val="en-US" w:eastAsia="en-US" w:bidi="en-US"/>
          <w:w w:val="100"/>
          <w:spacing w:val="0"/>
          <w:color w:val="000000"/>
          <w:position w:val="0"/>
        </w:rPr>
        <w:t>(Sulfonamides).</w:t>
      </w:r>
    </w:p>
    <w:p>
      <w:pPr>
        <w:pStyle w:val="Style30"/>
        <w:numPr>
          <w:ilvl w:val="0"/>
          <w:numId w:val="6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Аутоиммунные:</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ревматоидный артрит;</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ревматическая лихорадка;</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язвенный колит;</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системная красная волчанка;</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синдром Кавасаки;</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дерматомиозит.</w:t>
      </w:r>
    </w:p>
    <w:p>
      <w:pPr>
        <w:pStyle w:val="Style30"/>
        <w:numPr>
          <w:ilvl w:val="0"/>
          <w:numId w:val="6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Другие:</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саркоидоз;</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склеродермия;</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идиопатическая;</w:t>
      </w:r>
    </w:p>
    <w:p>
      <w:pPr>
        <w:pStyle w:val="Style30"/>
        <w:numPr>
          <w:ilvl w:val="0"/>
          <w:numId w:val="7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гигантские клетки;</w:t>
      </w:r>
    </w:p>
    <w:p>
      <w:pPr>
        <w:pStyle w:val="Style30"/>
        <w:numPr>
          <w:ilvl w:val="0"/>
          <w:numId w:val="71"/>
        </w:numPr>
        <w:tabs>
          <w:tab w:leader="none" w:pos="495" w:val="left"/>
        </w:tabs>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 xml:space="preserve">миокардит беременных </w:t>
      </w:r>
      <w:r>
        <w:rPr>
          <w:lang w:val="en-US" w:eastAsia="en-US" w:bidi="en-US"/>
          <w:w w:val="100"/>
          <w:spacing w:val="0"/>
          <w:color w:val="000000"/>
          <w:position w:val="0"/>
        </w:rPr>
        <w:t xml:space="preserve">(Peripartum myocarditis). </w:t>
      </w:r>
      <w:r>
        <w:rPr>
          <w:lang w:val="ru-RU" w:eastAsia="ru-RU" w:bidi="ru-RU"/>
          <w:w w:val="100"/>
          <w:spacing w:val="0"/>
          <w:color w:val="000000"/>
          <w:position w:val="0"/>
        </w:rPr>
        <w:t>Наиболее частые причины невирусных миокардитов</w:t>
      </w:r>
    </w:p>
    <w:p>
      <w:pPr>
        <w:pStyle w:val="Style30"/>
        <w:numPr>
          <w:ilvl w:val="0"/>
          <w:numId w:val="6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Болезнь Чагаса обусловлена протозойной инфекцией </w:t>
      </w:r>
      <w:r>
        <w:rPr>
          <w:rStyle w:val="CharStyle132"/>
          <w:lang w:val="en-US" w:eastAsia="en-US" w:bidi="en-US"/>
        </w:rPr>
        <w:t>Trypanosoma cruzi</w:t>
      </w:r>
      <w:r>
        <w:rPr>
          <w:rStyle w:val="CharStyle103"/>
          <w:lang w:val="en-US" w:eastAsia="en-US" w:bidi="en-US"/>
        </w:rPr>
        <w:t>.</w:t>
      </w:r>
      <w:r>
        <w:rPr>
          <w:lang w:val="en-US" w:eastAsia="en-US" w:bidi="en-US"/>
          <w:w w:val="100"/>
          <w:spacing w:val="0"/>
          <w:color w:val="000000"/>
          <w:position w:val="0"/>
        </w:rPr>
        <w:t xml:space="preserve"> </w:t>
      </w:r>
      <w:r>
        <w:rPr>
          <w:lang w:val="ru-RU" w:eastAsia="ru-RU" w:bidi="ru-RU"/>
          <w:w w:val="100"/>
          <w:spacing w:val="0"/>
          <w:color w:val="000000"/>
          <w:position w:val="0"/>
        </w:rPr>
        <w:t>Это заболевание распространено в Северной Америке.</w:t>
      </w:r>
    </w:p>
    <w:p>
      <w:pPr>
        <w:pStyle w:val="Style30"/>
        <w:numPr>
          <w:ilvl w:val="0"/>
          <w:numId w:val="6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Острая инфекция может обусловить длительную сердечную недостаточность и смерть.</w:t>
      </w:r>
    </w:p>
    <w:p>
      <w:pPr>
        <w:pStyle w:val="Style30"/>
        <w:numPr>
          <w:ilvl w:val="0"/>
          <w:numId w:val="6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Эндомиокардиальная биопсия и микроскопичес</w:t>
        <w:softHyphen/>
        <w:t>кое исследование позволяют выявить возбудитель болезни, нейтрофилы, лимфоциты, макрофаги и эозинофилы.</w:t>
      </w:r>
    </w:p>
    <w:p>
      <w:pPr>
        <w:pStyle w:val="Style30"/>
        <w:numPr>
          <w:ilvl w:val="0"/>
          <w:numId w:val="6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гигантоклеточном миокардите гигантские клет</w:t>
        <w:softHyphen/>
        <w:t>ки обнаруживаются в миокарде, часто с образовани</w:t>
        <w:softHyphen/>
        <w:t>ем гранулем. Такой тип миокардита может наблю</w:t>
        <w:softHyphen/>
        <w:t>даться при туберкулезе, сифилисе, ревматоидном ар</w:t>
        <w:softHyphen/>
        <w:t>трите, ревматической болезни сердца, при грибковых и паразитарных инфекциях.</w:t>
      </w:r>
    </w:p>
    <w:p>
      <w:pPr>
        <w:pStyle w:val="Style30"/>
        <w:numPr>
          <w:ilvl w:val="0"/>
          <w:numId w:val="6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Характерные клетки, вероятно, гистиоциты, обна</w:t>
        <w:softHyphen/>
        <w:t>руживаются в миокарде и обусловливают невирус</w:t>
        <w:softHyphen/>
        <w:t>ный миокардит.</w:t>
      </w:r>
    </w:p>
    <w:p>
      <w:pPr>
        <w:pStyle w:val="Style30"/>
        <w:numPr>
          <w:ilvl w:val="0"/>
          <w:numId w:val="6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Такие же клетки определяются при миокардите, ассоциированном с приемом лекарств, например, фенилбутазона </w:t>
      </w:r>
      <w:r>
        <w:rPr>
          <w:lang w:val="en-US" w:eastAsia="en-US" w:bidi="en-US"/>
          <w:w w:val="100"/>
          <w:spacing w:val="0"/>
          <w:color w:val="000000"/>
          <w:position w:val="0"/>
        </w:rPr>
        <w:t>(phenylbutazone).</w:t>
      </w:r>
    </w:p>
    <w:p>
      <w:pPr>
        <w:pStyle w:val="Style30"/>
        <w:numPr>
          <w:ilvl w:val="0"/>
          <w:numId w:val="6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Такой вариант миокардита может быть неспецифи - ческим и отражает конечную стадию заболевания.</w:t>
      </w:r>
    </w:p>
    <w:p>
      <w:pPr>
        <w:pStyle w:val="Style30"/>
        <w:numPr>
          <w:ilvl w:val="0"/>
          <w:numId w:val="6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Системная красная волчанка сопровождается фибри</w:t>
        <w:softHyphen/>
        <w:t>ноидным поражением миокарда и сопутствующей клеточной реакцией. При этой реакции возможно также поражение клапанов, особенно часто митраль</w:t>
        <w:softHyphen/>
        <w:t xml:space="preserve">ного и аортального. </w:t>
      </w:r>
      <w:r>
        <w:rPr>
          <w:lang w:val="en-US" w:eastAsia="en-US" w:bidi="en-US"/>
          <w:w w:val="100"/>
          <w:spacing w:val="0"/>
          <w:color w:val="000000"/>
          <w:position w:val="0"/>
        </w:rPr>
        <w:t xml:space="preserve">Libman </w:t>
      </w:r>
      <w:r>
        <w:rPr>
          <w:lang w:val="ru-RU" w:eastAsia="ru-RU" w:bidi="ru-RU"/>
          <w:w w:val="100"/>
          <w:spacing w:val="0"/>
          <w:color w:val="000000"/>
          <w:position w:val="0"/>
        </w:rPr>
        <w:t xml:space="preserve">и </w:t>
      </w:r>
      <w:r>
        <w:rPr>
          <w:lang w:val="en-US" w:eastAsia="en-US" w:bidi="en-US"/>
          <w:w w:val="100"/>
          <w:spacing w:val="0"/>
          <w:color w:val="000000"/>
          <w:position w:val="0"/>
        </w:rPr>
        <w:t xml:space="preserve">Sacks </w:t>
      </w:r>
      <w:r>
        <w:rPr>
          <w:lang w:val="ru-RU" w:eastAsia="ru-RU" w:bidi="ru-RU"/>
          <w:w w:val="100"/>
          <w:spacing w:val="0"/>
          <w:color w:val="000000"/>
          <w:position w:val="0"/>
        </w:rPr>
        <w:t>описали при этом варианте поражения поздний тип эндокардита.</w:t>
      </w:r>
    </w:p>
    <w:p>
      <w:pPr>
        <w:pStyle w:val="Style30"/>
        <w:numPr>
          <w:ilvl w:val="0"/>
          <w:numId w:val="6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Несмотря на то что для системной красной вол</w:t>
        <w:softHyphen/>
        <w:t>чанки характерна манифестация кардиального по</w:t>
        <w:softHyphen/>
        <w:t>ражения в виде перикардита, миокардит также встречается и обусловливает развитие застойной сердечной недостаточности.</w:t>
      </w:r>
    </w:p>
    <w:p>
      <w:pPr>
        <w:pStyle w:val="Style30"/>
        <w:numPr>
          <w:ilvl w:val="0"/>
          <w:numId w:val="69"/>
        </w:numPr>
        <w:tabs>
          <w:tab w:leader="none" w:pos="495" w:val="left"/>
        </w:tabs>
        <w:widowControl w:val="0"/>
        <w:keepNext w:val="0"/>
        <w:keepLines w:val="0"/>
        <w:shd w:val="clear" w:color="auto" w:fill="auto"/>
        <w:bidi w:val="0"/>
        <w:spacing w:before="0" w:after="0"/>
        <w:ind w:left="500" w:right="0" w:hanging="240"/>
      </w:pPr>
      <w:r>
        <w:pict>
          <v:shape id="_x0000_s1385" type="#_x0000_t75" style="position:absolute;margin-left:136.8pt;margin-top:737.05pt;width:209.75pt;height:14.9pt;z-index:-125829139;mso-wrap-distance-left:136.3pt;mso-wrap-distance-right:148.1pt;mso-wrap-distance-bottom:10.8pt;mso-position-horizontal-relative:margin;mso-position-vertical-relative:margin" wrapcoords="0 0 21600 0 21600 21600 0 21600 0 0">
            <v:imagedata r:id="rId594" r:href="rId595"/>
            <w10:wrap type="topAndBottom" anchorx="margin" anchory="margin"/>
          </v:shape>
        </w:pict>
      </w:r>
      <w:r>
        <w:rPr>
          <w:lang w:val="ru-RU" w:eastAsia="ru-RU" w:bidi="ru-RU"/>
          <w:w w:val="100"/>
          <w:spacing w:val="0"/>
          <w:color w:val="000000"/>
          <w:position w:val="0"/>
        </w:rPr>
        <w:t>Положительный эффект наблюдается при назна</w:t>
        <w:softHyphen/>
        <w:t>чении кортикостероидов.</w:t>
      </w:r>
      <w:r>
        <w:br w:type="page"/>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болезни Кавасаки поражение миокарда обычно наблюдается в острую фазу заболевания и не зависит от характера поражения коронарных артерий. Мио</w:t>
        <w:softHyphen/>
        <w:t>кардит обычно проходит спонтанно. В ряде случаев может быть диффузный миокардит с тяжелым пора</w:t>
        <w:softHyphen/>
        <w:t>жением, приводящий к застойной сердечной недо</w:t>
        <w:softHyphen/>
        <w:t>статочности и фатальному исходу. До сих пор не оп</w:t>
        <w:softHyphen/>
        <w:t>ределены патофизиологические механизмы пораже</w:t>
        <w:softHyphen/>
        <w:t>ния миокарда при болезни Кавасаки, предполагается аутоиммунный механизм.</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Дерматомиозит является мультисистемным аутоим</w:t>
        <w:softHyphen/>
        <w:t>мунным заболеванием, характеризуется диффуз</w:t>
        <w:softHyphen/>
        <w:t>ным воспалением скелетной мускулатуры и кожи. Поражение сердца при этом заболевании проявля</w:t>
        <w:softHyphen/>
        <w:t>ется снижением числа мышечных волокон, их фраг</w:t>
        <w:softHyphen/>
        <w:t>ментацией, бедной васкуляризацией, отеком интер- стиция.</w:t>
      </w:r>
    </w:p>
    <w:p>
      <w:pPr>
        <w:pStyle w:val="Style30"/>
        <w:numPr>
          <w:ilvl w:val="0"/>
          <w:numId w:val="69"/>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Характерны тахикардия и нарушения в проводя</w:t>
        <w:softHyphen/>
        <w:t>щей системе сердца. Сердечная недостаточность наблюдается редко.</w:t>
      </w:r>
    </w:p>
    <w:p>
      <w:pPr>
        <w:pStyle w:val="Style30"/>
        <w:numPr>
          <w:ilvl w:val="0"/>
          <w:numId w:val="69"/>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Длительная терапия преднизолоном оказывает по - ложительный эффект.</w:t>
      </w:r>
    </w:p>
    <w:p>
      <w:pPr>
        <w:pStyle w:val="Style30"/>
        <w:numPr>
          <w:ilvl w:val="0"/>
          <w:numId w:val="69"/>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 детей отдаленный прогноз благоприятный, в большинстве случаев наступает выздоровление, медикаментозная терапия обычно прекращается через 1-2 года.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Гистологические данные</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 основании данных, полученных при эндомиокар - диальной биопсии, классифицируют стадии миокар</w:t>
        <w:softHyphen/>
        <w:t>дита: острая, стадия выздоровления, хроническая стадия заболевания.</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Специфические гистологические данные зависят от этиологического фактора, вызвавшего перикардит.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 значимый миокардит сопровождается рас</w:t>
        <w:softHyphen/>
        <w:t>пространенным интерстициальным воспалением и по</w:t>
        <w:softHyphen/>
        <w:t>вреждением миоцитов. Возникает дилатация сердца и сни</w:t>
        <w:softHyphen/>
        <w:t>жение сердечного выброса. Возникающая застойная сер</w:t>
        <w:softHyphen/>
        <w:t>дечная недостаточность приводит к увеличению конечно диастолического объема и давления в левом желудочке, ди- латируется левое предсердие и возникает легочный веноз</w:t>
        <w:softHyphen/>
        <w:t>ный застой. В конечном итоге в фазу репарации миокарди</w:t>
        <w:softHyphen/>
        <w:t>та фибробласты замещают поврежденные миоциты с обра</w:t>
        <w:softHyphen/>
        <w:t>зованием рубцовой ткани. Данный процесс может обуслов</w:t>
        <w:softHyphen/>
        <w:t>ливать хроническую сердечную недостаточность.</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проявления невирусных миокардитов ва</w:t>
        <w:softHyphen/>
        <w:t>рьируют в зависимости от этиологического агента, возрас</w:t>
        <w:softHyphen/>
        <w:t>та, пола и состояния иммунокомпетентных систем. У одних больных миокардитом заболевание протекает бессимптом</w:t>
        <w:softHyphen/>
        <w:t>но, у других — имеет фульминантное, быстро прогрессиру</w:t>
        <w:softHyphen/>
        <w:t>ющее течение с фатальным исходом.</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Клинические проявления и тяжесть заболевания независимо от этиологии более выражены у новорож</w:t>
        <w:softHyphen/>
        <w:t>денных по сравнению с детьми более старших возра</w:t>
        <w:softHyphen/>
        <w:t>стных групп.</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Симптоматика миокардита у новорожденных неспеци</w:t>
        <w:softHyphen/>
        <w:t>фична и обычно проявляется следующими признаками:</w:t>
      </w:r>
    </w:p>
    <w:p>
      <w:pPr>
        <w:pStyle w:val="Style30"/>
        <w:numPr>
          <w:ilvl w:val="0"/>
          <w:numId w:val="71"/>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летаргия;</w:t>
      </w:r>
    </w:p>
    <w:p>
      <w:pPr>
        <w:pStyle w:val="Style30"/>
        <w:numPr>
          <w:ilvl w:val="0"/>
          <w:numId w:val="71"/>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отказ от еды;</w:t>
      </w:r>
    </w:p>
    <w:p>
      <w:pPr>
        <w:pStyle w:val="Style30"/>
        <w:numPr>
          <w:ilvl w:val="0"/>
          <w:numId w:val="71"/>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цианоз;</w:t>
      </w:r>
    </w:p>
    <w:p>
      <w:pPr>
        <w:pStyle w:val="Style30"/>
        <w:numPr>
          <w:ilvl w:val="0"/>
          <w:numId w:val="71"/>
        </w:numPr>
        <w:tabs>
          <w:tab w:leader="none" w:pos="75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респираторный дистресс;</w:t>
      </w:r>
    </w:p>
    <w:p>
      <w:pPr>
        <w:pStyle w:val="Style30"/>
        <w:numPr>
          <w:ilvl w:val="0"/>
          <w:numId w:val="71"/>
        </w:numPr>
        <w:tabs>
          <w:tab w:leader="none" w:pos="735" w:val="left"/>
        </w:tabs>
        <w:widowControl w:val="0"/>
        <w:keepNext w:val="0"/>
        <w:keepLines w:val="0"/>
        <w:shd w:val="clear" w:color="auto" w:fill="auto"/>
        <w:bidi w:val="0"/>
        <w:spacing w:before="0" w:after="0"/>
        <w:ind w:left="720" w:right="0" w:hanging="220"/>
      </w:pPr>
      <w:r>
        <w:br w:type="column"/>
      </w:r>
      <w:r>
        <w:rPr>
          <w:lang w:val="ru-RU" w:eastAsia="ru-RU" w:bidi="ru-RU"/>
          <w:w w:val="100"/>
          <w:spacing w:val="0"/>
          <w:color w:val="000000"/>
          <w:position w:val="0"/>
        </w:rPr>
        <w:t>тахипноэ;</w:t>
      </w:r>
    </w:p>
    <w:p>
      <w:pPr>
        <w:pStyle w:val="Style30"/>
        <w:numPr>
          <w:ilvl w:val="0"/>
          <w:numId w:val="7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тахикардия;</w:t>
      </w:r>
    </w:p>
    <w:p>
      <w:pPr>
        <w:pStyle w:val="Style30"/>
        <w:numPr>
          <w:ilvl w:val="0"/>
          <w:numId w:val="7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рвота;</w:t>
      </w:r>
    </w:p>
    <w:p>
      <w:pPr>
        <w:pStyle w:val="Style30"/>
        <w:numPr>
          <w:ilvl w:val="0"/>
          <w:numId w:val="6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 детей раннего возраста начальные симптомы за</w:t>
        <w:softHyphen/>
        <w:t>болевания часто проявляются следующими призна</w:t>
        <w:softHyphen/>
        <w:t>ками:</w:t>
      </w:r>
    </w:p>
    <w:p>
      <w:pPr>
        <w:pStyle w:val="Style30"/>
        <w:numPr>
          <w:ilvl w:val="0"/>
          <w:numId w:val="7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небольшая температура;</w:t>
      </w:r>
    </w:p>
    <w:p>
      <w:pPr>
        <w:pStyle w:val="Style30"/>
        <w:numPr>
          <w:ilvl w:val="0"/>
          <w:numId w:val="7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беспокойство, возбудимость;</w:t>
      </w:r>
    </w:p>
    <w:p>
      <w:pPr>
        <w:pStyle w:val="Style30"/>
        <w:numPr>
          <w:ilvl w:val="0"/>
          <w:numId w:val="7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легкие респираторные симптомы;</w:t>
      </w:r>
    </w:p>
    <w:p>
      <w:pPr>
        <w:pStyle w:val="Style30"/>
        <w:numPr>
          <w:ilvl w:val="0"/>
          <w:numId w:val="7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боли в животе.</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Физикальные данные:</w:t>
      </w:r>
    </w:p>
    <w:p>
      <w:pPr>
        <w:pStyle w:val="Style30"/>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Если заболевание продолжает прогрессировать, при об</w:t>
        <w:softHyphen/>
        <w:t>следовании выявляются следующие признаки:</w:t>
      </w:r>
    </w:p>
    <w:p>
      <w:pPr>
        <w:pStyle w:val="Style30"/>
        <w:numPr>
          <w:ilvl w:val="0"/>
          <w:numId w:val="6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Снижение сердечного выброса.</w:t>
      </w:r>
    </w:p>
    <w:p>
      <w:pPr>
        <w:pStyle w:val="Style30"/>
        <w:numPr>
          <w:ilvl w:val="0"/>
          <w:numId w:val="6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Бледная и холодная кожа нижних конечностей.</w:t>
      </w:r>
    </w:p>
    <w:p>
      <w:pPr>
        <w:pStyle w:val="Style30"/>
        <w:numPr>
          <w:ilvl w:val="0"/>
          <w:numId w:val="6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Частое дыхание.</w:t>
      </w:r>
    </w:p>
    <w:p>
      <w:pPr>
        <w:pStyle w:val="Style30"/>
        <w:numPr>
          <w:ilvl w:val="0"/>
          <w:numId w:val="6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Возможен нитевидный пульс.</w:t>
      </w:r>
    </w:p>
    <w:p>
      <w:pPr>
        <w:pStyle w:val="Style30"/>
        <w:numPr>
          <w:ilvl w:val="0"/>
          <w:numId w:val="6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Обычно определяется тахикардия и выслушивается ритм галопа.</w:t>
      </w:r>
    </w:p>
    <w:p>
      <w:pPr>
        <w:pStyle w:val="Style30"/>
        <w:numPr>
          <w:ilvl w:val="0"/>
          <w:numId w:val="6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Если развивается застойная сердечная недостаточ</w:t>
        <w:softHyphen/>
        <w:t>ность, могут отмечаться следующие признаки:</w:t>
      </w:r>
    </w:p>
    <w:p>
      <w:pPr>
        <w:pStyle w:val="Style30"/>
        <w:numPr>
          <w:ilvl w:val="0"/>
          <w:numId w:val="7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шум митральной регургитации;</w:t>
      </w:r>
    </w:p>
    <w:p>
      <w:pPr>
        <w:pStyle w:val="Style30"/>
        <w:numPr>
          <w:ilvl w:val="0"/>
          <w:numId w:val="7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влажные хрипы в нижних отделах легких;</w:t>
      </w:r>
    </w:p>
    <w:p>
      <w:pPr>
        <w:pStyle w:val="Style30"/>
        <w:numPr>
          <w:ilvl w:val="0"/>
          <w:numId w:val="71"/>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кардиоваскулярный коллапс.</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Электрокардиография:</w:t>
      </w:r>
    </w:p>
    <w:p>
      <w:pPr>
        <w:pStyle w:val="Style30"/>
        <w:numPr>
          <w:ilvl w:val="0"/>
          <w:numId w:val="69"/>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Часто определяется синусовая тахикардия, непро</w:t>
        <w:softHyphen/>
        <w:t>порционально увеличенная к величине темпера</w:t>
        <w:softHyphen/>
        <w:t>турной реакции.</w:t>
      </w:r>
    </w:p>
    <w:p>
      <w:pPr>
        <w:pStyle w:val="Style30"/>
        <w:numPr>
          <w:ilvl w:val="0"/>
          <w:numId w:val="69"/>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 xml:space="preserve">Аритмии и </w:t>
      </w:r>
      <w:r>
        <w:rPr>
          <w:lang w:val="en-US" w:eastAsia="en-US" w:bidi="en-US"/>
          <w:w w:val="100"/>
          <w:spacing w:val="0"/>
          <w:color w:val="000000"/>
          <w:position w:val="0"/>
        </w:rPr>
        <w:t xml:space="preserve">ST-T </w:t>
      </w:r>
      <w:r>
        <w:rPr>
          <w:lang w:val="ru-RU" w:eastAsia="ru-RU" w:bidi="ru-RU"/>
          <w:w w:val="100"/>
          <w:spacing w:val="0"/>
          <w:color w:val="000000"/>
          <w:position w:val="0"/>
        </w:rPr>
        <w:t>нарушения определяются у 80% больных с миокардитом.</w:t>
      </w:r>
    </w:p>
    <w:p>
      <w:pPr>
        <w:pStyle w:val="Style30"/>
        <w:numPr>
          <w:ilvl w:val="0"/>
          <w:numId w:val="69"/>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Указанные изменения могут свидетельствовать о миокардиальной ишемии так же, как и о неспе</w:t>
        <w:softHyphen/>
        <w:t>цифических изменениях.</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Эхокардиография:</w:t>
      </w:r>
    </w:p>
    <w:p>
      <w:pPr>
        <w:pStyle w:val="Style30"/>
        <w:numPr>
          <w:ilvl w:val="0"/>
          <w:numId w:val="69"/>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Эхокардиография позволяет подтвердить клини</w:t>
        <w:softHyphen/>
        <w:t>чески диагностированный миокардит.</w:t>
      </w:r>
    </w:p>
    <w:p>
      <w:pPr>
        <w:pStyle w:val="Style30"/>
        <w:numPr>
          <w:ilvl w:val="0"/>
          <w:numId w:val="69"/>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Обычно определяется уменьшение желудочковой функции с дилатацией камер сердца.</w:t>
      </w:r>
    </w:p>
    <w:p>
      <w:pPr>
        <w:pStyle w:val="Style30"/>
        <w:numPr>
          <w:ilvl w:val="0"/>
          <w:numId w:val="69"/>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Эхокардиография позволяет исключить выпот в перикарде и врожденные аномалии сердца, со</w:t>
        <w:softHyphen/>
        <w:t>провождающиеся симптоматикой сердечной не</w:t>
        <w:softHyphen/>
        <w:t>достаточности.</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Эндомиокардиальная биопсия:</w:t>
      </w:r>
    </w:p>
    <w:p>
      <w:pPr>
        <w:pStyle w:val="Style30"/>
        <w:numPr>
          <w:ilvl w:val="0"/>
          <w:numId w:val="69"/>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Роль биопсии в диагностике миокардита рассмат</w:t>
        <w:softHyphen/>
        <w:t>ривается неоднозначно.</w:t>
      </w:r>
    </w:p>
    <w:p>
      <w:pPr>
        <w:pStyle w:val="Style30"/>
        <w:numPr>
          <w:ilvl w:val="0"/>
          <w:numId w:val="69"/>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Проведение биопсии может сопровождаться высо</w:t>
        <w:softHyphen/>
        <w:t>ким риском осложнений, особенно в острую фазу заболевания и у больных в нестабильном состоянии.</w:t>
      </w:r>
    </w:p>
    <w:p>
      <w:pPr>
        <w:pStyle w:val="Style30"/>
        <w:numPr>
          <w:ilvl w:val="0"/>
          <w:numId w:val="69"/>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Гистологические данные могут быть недостовер</w:t>
        <w:softHyphen/>
        <w:t>ными.</w:t>
      </w:r>
    </w:p>
    <w:p>
      <w:pPr>
        <w:pStyle w:val="Style30"/>
        <w:numPr>
          <w:ilvl w:val="0"/>
          <w:numId w:val="69"/>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Обычно при эндомиокардиальной биопсии забор биоптата проводится в ограниченной области пра</w:t>
        <w:softHyphen/>
        <w:t>вого желудочка. Поскольку миокардит может быть локальным или преимущественно поражает левый желудочек, эндомиокардиальная биопсия не всег</w:t>
        <w:softHyphen/>
        <w:t>да подтверждает диагноз имеющегося миокардита. Таким образом, отрицательная биопсия не исклю</w:t>
        <w:softHyphen/>
        <w:t>чает диагноз миокардита.</w:t>
      </w:r>
    </w:p>
    <w:p>
      <w:pPr>
        <w:pStyle w:val="Style30"/>
        <w:numPr>
          <w:ilvl w:val="0"/>
          <w:numId w:val="69"/>
        </w:numPr>
        <w:tabs>
          <w:tab w:leader="none" w:pos="735" w:val="left"/>
        </w:tabs>
        <w:widowControl w:val="0"/>
        <w:keepNext w:val="0"/>
        <w:keepLines w:val="0"/>
        <w:shd w:val="clear" w:color="auto" w:fill="auto"/>
        <w:bidi w:val="0"/>
        <w:spacing w:before="0" w:after="0"/>
        <w:ind w:left="720" w:right="0" w:hanging="220"/>
      </w:pPr>
      <w:r>
        <w:pict>
          <v:shape id="_x0000_s1386" type="#_x0000_t75" style="position:absolute;margin-left:148.3pt;margin-top:737.05pt;width:209.75pt;height:14.9pt;z-index:-125829138;mso-wrap-distance-left:148.1pt;mso-wrap-distance-right:136.8pt;mso-wrap-distance-bottom:10.8pt;mso-position-horizontal-relative:margin;mso-position-vertical-relative:margin" wrapcoords="0 0 21600 0 21600 21600 0 21600 0 0">
            <v:imagedata r:id="rId596" r:href="rId597"/>
            <w10:wrap type="topAndBottom" anchorx="margin" anchory="margin"/>
          </v:shape>
        </w:pict>
      </w:r>
      <w:r>
        <w:rPr>
          <w:lang w:val="ru-RU" w:eastAsia="ru-RU" w:bidi="ru-RU"/>
          <w:w w:val="100"/>
          <w:spacing w:val="0"/>
          <w:color w:val="000000"/>
          <w:position w:val="0"/>
        </w:rPr>
        <w:t>Результаты эндомиокардиальной биопсии не из</w:t>
        <w:softHyphen/>
        <w:t>меняют тактику ведения больных. С другой сторо</w:t>
        <w:softHyphen/>
        <w:t>ны, эндомиокардиальная биопсия позволяет ре-</w:t>
      </w:r>
      <w:r>
        <w:br w:type="page"/>
      </w:r>
    </w:p>
    <w:p>
      <w:pPr>
        <w:pStyle w:val="Style30"/>
        <w:widowControl w:val="0"/>
        <w:keepNext w:val="0"/>
        <w:keepLines w:val="0"/>
        <w:shd w:val="clear" w:color="auto" w:fill="auto"/>
        <w:bidi w:val="0"/>
        <w:jc w:val="left"/>
        <w:spacing w:before="0" w:after="0"/>
        <w:ind w:left="280" w:right="0" w:firstLine="460"/>
      </w:pPr>
      <w:r>
        <w:rPr>
          <w:lang w:val="ru-RU" w:eastAsia="ru-RU" w:bidi="ru-RU"/>
          <w:w w:val="100"/>
          <w:spacing w:val="0"/>
          <w:color w:val="000000"/>
          <w:position w:val="0"/>
        </w:rPr>
        <w:t>шить вопрос о необходимости проведения имму</w:t>
        <w:softHyphen/>
        <w:t>носупрессивной терапии при миокардите. Дифференциальная диагностика</w:t>
      </w:r>
    </w:p>
    <w:p>
      <w:pPr>
        <w:pStyle w:val="Style30"/>
        <w:numPr>
          <w:ilvl w:val="0"/>
          <w:numId w:val="69"/>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Аномальное отхождение левой коронарной артерии от легочной артерии.</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Дилатационная кардиомиопатия.</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Гипертрофическая кардиомиопатия.</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Рестриктивная кардиомиопатия.</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Дефицит карнитина.</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Врожденная адреналовая гиперплазия.</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Аномалии коронарных артерий.</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Гипокальциемия.</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Гипогликемия.</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гипоплазии левого желудочка.</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Гипотиреоз.</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Гипопитуитаризм.</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Кавасаки.</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Инфаркт миокарда.</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Вирусный миокардит.</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Перикардит бактериальный.</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Констриктивный перикардит.</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Перикардит вирусный.</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Ревматическая лихорадка.</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Ревматическая болезнь сердца.</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Рикеттсиозная инфекция.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numPr>
          <w:ilvl w:val="0"/>
          <w:numId w:val="69"/>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Медикаментозная терапия застойной сердечной не</w:t>
        <w:softHyphen/>
        <w:t>достаточности проводится традиционными метода</w:t>
        <w:softHyphen/>
        <w:t>ми. Основные принципы терапии заключаются в коррекции преднагрузки, постнагрузки и контрак- тильности миокарда.</w:t>
      </w:r>
    </w:p>
    <w:p>
      <w:pPr>
        <w:pStyle w:val="Style30"/>
        <w:numPr>
          <w:ilvl w:val="0"/>
          <w:numId w:val="69"/>
        </w:numPr>
        <w:tabs>
          <w:tab w:leader="none" w:pos="73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Инотропные препараты.</w:t>
      </w:r>
    </w:p>
    <w:p>
      <w:pPr>
        <w:pStyle w:val="Style30"/>
        <w:numPr>
          <w:ilvl w:val="0"/>
          <w:numId w:val="69"/>
        </w:numPr>
        <w:tabs>
          <w:tab w:leader="none" w:pos="73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Препараты, снижающие постнагрузку.</w:t>
      </w:r>
    </w:p>
    <w:p>
      <w:pPr>
        <w:pStyle w:val="Style30"/>
        <w:numPr>
          <w:ilvl w:val="0"/>
          <w:numId w:val="69"/>
        </w:numPr>
        <w:tabs>
          <w:tab w:leader="none" w:pos="73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Диуретики.</w:t>
      </w:r>
    </w:p>
    <w:p>
      <w:pPr>
        <w:pStyle w:val="Style30"/>
        <w:numPr>
          <w:ilvl w:val="0"/>
          <w:numId w:val="69"/>
        </w:numPr>
        <w:tabs>
          <w:tab w:leader="none" w:pos="73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Дигиталис.</w:t>
      </w:r>
    </w:p>
    <w:p>
      <w:pPr>
        <w:pStyle w:val="Style30"/>
        <w:numPr>
          <w:ilvl w:val="0"/>
          <w:numId w:val="69"/>
        </w:numPr>
        <w:tabs>
          <w:tab w:leader="none" w:pos="73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Механическая вентиляция.</w:t>
      </w:r>
    </w:p>
    <w:p>
      <w:pPr>
        <w:pStyle w:val="Style30"/>
        <w:numPr>
          <w:ilvl w:val="0"/>
          <w:numId w:val="69"/>
        </w:numPr>
        <w:tabs>
          <w:tab w:leader="none" w:pos="73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Противоаритмическая терапия.</w:t>
      </w:r>
    </w:p>
    <w:p>
      <w:pPr>
        <w:pStyle w:val="Style30"/>
        <w:numPr>
          <w:ilvl w:val="0"/>
          <w:numId w:val="69"/>
        </w:numPr>
        <w:tabs>
          <w:tab w:leader="none" w:pos="73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Антикоагулянты.</w:t>
      </w:r>
    </w:p>
    <w:p>
      <w:pPr>
        <w:pStyle w:val="Style30"/>
        <w:numPr>
          <w:ilvl w:val="0"/>
          <w:numId w:val="69"/>
        </w:numPr>
        <w:tabs>
          <w:tab w:leader="none" w:pos="730"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Препараты, уменьшающие метаболическое по</w:t>
        <w:softHyphen/>
        <w:t>вреждение миокарда.</w:t>
      </w:r>
    </w:p>
    <w:p>
      <w:pPr>
        <w:pStyle w:val="Style30"/>
        <w:numPr>
          <w:ilvl w:val="0"/>
          <w:numId w:val="69"/>
        </w:numPr>
        <w:tabs>
          <w:tab w:leader="none" w:pos="730"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Постельный режим.</w:t>
      </w:r>
    </w:p>
    <w:p>
      <w:pPr>
        <w:pStyle w:val="Style30"/>
        <w:numPr>
          <w:ilvl w:val="0"/>
          <w:numId w:val="69"/>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Лечение специфической причины, обусловившей миокардит (например, бактериальный сепсис, ри- кеттсиоз).</w:t>
      </w:r>
    </w:p>
    <w:p>
      <w:pPr>
        <w:pStyle w:val="Style30"/>
        <w:numPr>
          <w:ilvl w:val="0"/>
          <w:numId w:val="69"/>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Терапия, влияющая на патогенетические процессы, например, иммуносупрессивная терапия.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коррекция:</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Трансплантация сердца.</w:t>
      </w:r>
    </w:p>
    <w:p>
      <w:pPr>
        <w:pStyle w:val="Style30"/>
        <w:numPr>
          <w:ilvl w:val="0"/>
          <w:numId w:val="69"/>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Уменьшение левожелудочкового объема (операция </w:t>
      </w:r>
      <w:r>
        <w:rPr>
          <w:lang w:val="en-US" w:eastAsia="en-US" w:bidi="en-US"/>
          <w:w w:val="100"/>
          <w:spacing w:val="0"/>
          <w:color w:val="000000"/>
          <w:position w:val="0"/>
        </w:rPr>
        <w:t>Battista).</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Амбулаторное наблюдение</w:t>
      </w:r>
    </w:p>
    <w:p>
      <w:pPr>
        <w:pStyle w:val="Style30"/>
        <w:numPr>
          <w:ilvl w:val="0"/>
          <w:numId w:val="69"/>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Длительность амбулаторного наблюдения определя</w:t>
        <w:softHyphen/>
        <w:t>ется тяжестью заболевания и остаточными проявле</w:t>
        <w:softHyphen/>
        <w:t>ниями болезни.</w:t>
      </w:r>
    </w:p>
    <w:p>
      <w:pPr>
        <w:pStyle w:val="Style30"/>
        <w:numPr>
          <w:ilvl w:val="0"/>
          <w:numId w:val="69"/>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Некоторые больные нуждаются в длительной тера</w:t>
        <w:softHyphen/>
        <w:t>пии хронической сердечной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острую фазу заболевания показан постельный режим. Экспериментальными исследованиями доказано, что нагруз</w:t>
        <w:softHyphen/>
        <w:t>ки способствуют прогрессированию заболевания. В хрониче</w:t>
        <w:softHyphen/>
        <w:t>скую стадию болезни разрешается физическая активность со</w:t>
        <w:softHyphen/>
        <w:t>ответственно толерантности к физическим нагрузкам.</w:t>
      </w:r>
    </w:p>
    <w:p>
      <w:pPr>
        <w:pStyle w:val="Style92"/>
        <w:widowControl w:val="0"/>
        <w:keepNext/>
        <w:keepLines/>
        <w:shd w:val="clear" w:color="auto" w:fill="auto"/>
        <w:bidi w:val="0"/>
        <w:spacing w:before="0" w:after="0"/>
        <w:ind w:left="0" w:right="0" w:firstLine="280"/>
      </w:pPr>
      <w:r>
        <w:br w:type="column"/>
      </w:r>
      <w:bookmarkStart w:id="443" w:name="bookmark443"/>
      <w:r>
        <w:rPr>
          <w:lang w:val="ru-RU" w:eastAsia="ru-RU" w:bidi="ru-RU"/>
          <w:w w:val="100"/>
          <w:spacing w:val="0"/>
          <w:color w:val="000000"/>
          <w:position w:val="0"/>
        </w:rPr>
        <w:t>Прогноз</w:t>
      </w:r>
      <w:bookmarkEnd w:id="443"/>
    </w:p>
    <w:p>
      <w:pPr>
        <w:pStyle w:val="Style30"/>
        <w:numPr>
          <w:ilvl w:val="0"/>
          <w:numId w:val="6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заболевания вариабельный и зависит от воз - раста пациента, этиологического фактора и состоя</w:t>
        <w:softHyphen/>
        <w:t>ния иммунной системы организма.</w:t>
      </w:r>
    </w:p>
    <w:p>
      <w:pPr>
        <w:pStyle w:val="Style30"/>
        <w:numPr>
          <w:ilvl w:val="0"/>
          <w:numId w:val="6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миокардите у новорожденных отмечается высо</w:t>
        <w:softHyphen/>
        <w:t>кая частота смертности, достигающая 75%.</w:t>
      </w:r>
    </w:p>
    <w:p>
      <w:pPr>
        <w:pStyle w:val="Style30"/>
        <w:numPr>
          <w:ilvl w:val="0"/>
          <w:numId w:val="6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частота летальных исходов достигает 10-25% при клинически диагностированном заболевании.</w:t>
      </w:r>
    </w:p>
    <w:p>
      <w:pPr>
        <w:pStyle w:val="Style30"/>
        <w:numPr>
          <w:ilvl w:val="0"/>
          <w:numId w:val="6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ряде исследований указывается на полное выздо</w:t>
        <w:softHyphen/>
        <w:t>ровление у 50% больных.</w:t>
      </w:r>
    </w:p>
    <w:p>
      <w:pPr>
        <w:pStyle w:val="Style30"/>
        <w:numPr>
          <w:ilvl w:val="0"/>
          <w:numId w:val="6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Около 25-35% пациентов, перенесших острый мио</w:t>
        <w:softHyphen/>
        <w:t>кардит, в дальнейшем формируют хроническую дила</w:t>
        <w:softHyphen/>
        <w:t>тационную кардиомиопатию, которая устраняется только путем трансплантации сердца.</w:t>
      </w:r>
    </w:p>
    <w:p>
      <w:pPr>
        <w:pStyle w:val="Style30"/>
        <w:numPr>
          <w:ilvl w:val="0"/>
          <w:numId w:val="6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Некоторые причины, вызывающие миокардит или являющиеся его проявлением, могут влиять на про</w:t>
        <w:softHyphen/>
        <w:t>гноз. Например, развитие при дифтерийном миокар</w:t>
        <w:softHyphen/>
        <w:t>дите поперечной блокады или желудочковых арит</w:t>
        <w:softHyphen/>
        <w:t>мий является прогностически неблагоприятным.</w:t>
      </w:r>
    </w:p>
    <w:p>
      <w:pPr>
        <w:pStyle w:val="Style30"/>
        <w:numPr>
          <w:ilvl w:val="0"/>
          <w:numId w:val="69"/>
        </w:numPr>
        <w:tabs>
          <w:tab w:leader="none" w:pos="519" w:val="left"/>
        </w:tabs>
        <w:widowControl w:val="0"/>
        <w:keepNext w:val="0"/>
        <w:keepLines w:val="0"/>
        <w:shd w:val="clear" w:color="auto" w:fill="auto"/>
        <w:bidi w:val="0"/>
        <w:spacing w:before="0" w:after="417"/>
        <w:ind w:left="520" w:right="0" w:hanging="240"/>
      </w:pPr>
      <w:r>
        <w:rPr>
          <w:lang w:val="ru-RU" w:eastAsia="ru-RU" w:bidi="ru-RU"/>
          <w:w w:val="100"/>
          <w:spacing w:val="0"/>
          <w:color w:val="000000"/>
          <w:position w:val="0"/>
        </w:rPr>
        <w:t>Отдаленный прогноз у детей, перенесших миокардит, благоприятный.</w:t>
      </w:r>
    </w:p>
    <w:p>
      <w:pPr>
        <w:pStyle w:val="Style28"/>
        <w:widowControl w:val="0"/>
        <w:keepNext/>
        <w:keepLines/>
        <w:shd w:val="clear" w:color="auto" w:fill="auto"/>
        <w:bidi w:val="0"/>
        <w:jc w:val="left"/>
        <w:spacing w:before="0" w:after="153" w:line="220" w:lineRule="exact"/>
        <w:ind w:left="0" w:right="0" w:firstLine="0"/>
      </w:pPr>
      <w:bookmarkStart w:id="444" w:name="bookmark444"/>
      <w:r>
        <w:rPr>
          <w:lang w:val="ru-RU" w:eastAsia="ru-RU" w:bidi="ru-RU"/>
          <w:w w:val="100"/>
          <w:spacing w:val="0"/>
          <w:color w:val="000000"/>
          <w:position w:val="0"/>
        </w:rPr>
        <w:t>Абсцесс миокарда</w:t>
      </w:r>
      <w:bookmarkEnd w:id="444"/>
    </w:p>
    <w:p>
      <w:pPr>
        <w:pStyle w:val="Style92"/>
        <w:widowControl w:val="0"/>
        <w:keepNext/>
        <w:keepLines/>
        <w:shd w:val="clear" w:color="auto" w:fill="auto"/>
        <w:bidi w:val="0"/>
        <w:spacing w:before="0" w:after="0"/>
        <w:ind w:left="0" w:right="0" w:firstLine="280"/>
      </w:pPr>
      <w:bookmarkStart w:id="445" w:name="bookmark445"/>
      <w:r>
        <w:rPr>
          <w:lang w:val="en-US" w:eastAsia="en-US" w:bidi="en-US"/>
          <w:w w:val="100"/>
          <w:spacing w:val="0"/>
          <w:color w:val="000000"/>
          <w:position w:val="0"/>
        </w:rPr>
        <w:t>Background:</w:t>
      </w:r>
      <w:bookmarkEnd w:id="44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Абсцесс миокарда является ограниченным воспалитель</w:t>
        <w:softHyphen/>
        <w:t>ным образованием миокарда, эндокарда, нативного или протезного клапанов, околоклапанных структур или про</w:t>
        <w:softHyphen/>
        <w:t>водящей системы сердца. Это тяжелое, жизнеугрожаемое заболевание, раннее распознавание которого и своевре</w:t>
        <w:softHyphen/>
        <w:t>менная медицинская и хирургическая терапия позволяют улучшить выживаемость таких больных.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Ранее диагностика миокардиальных абсцессов осущест</w:t>
        <w:softHyphen/>
        <w:t>влялась только при проведении аутопсии. Первая публика</w:t>
        <w:softHyphen/>
        <w:t xml:space="preserve">ция по поводу абсцесса миокарда сделана в 1933 году </w:t>
      </w:r>
      <w:r>
        <w:rPr>
          <w:lang w:val="en-US" w:eastAsia="en-US" w:bidi="en-US"/>
          <w:w w:val="100"/>
          <w:spacing w:val="0"/>
          <w:color w:val="000000"/>
          <w:position w:val="0"/>
        </w:rPr>
        <w:t xml:space="preserve">Cossi </w:t>
      </w:r>
      <w:r>
        <w:rPr>
          <w:lang w:val="ru-RU" w:eastAsia="ru-RU" w:bidi="ru-RU"/>
          <w:w w:val="100"/>
          <w:spacing w:val="0"/>
          <w:color w:val="000000"/>
          <w:position w:val="0"/>
        </w:rPr>
        <w:t>с коллегами. Авторы при патоморфологическом исследова</w:t>
        <w:softHyphen/>
        <w:t>нии обнаружили пневмококковый абсцесс в инфарктной зоне миокарда. В последующем были сообщены аналогич</w:t>
        <w:softHyphen/>
        <w:t>ные случаи миокардиальных абсцессов, описаны различ</w:t>
        <w:softHyphen/>
        <w:t>ные места расположения. В настоящее время миокардиаль</w:t>
        <w:softHyphen/>
        <w:t>ные абсцессы диагностируют благодаря современным тех</w:t>
        <w:softHyphen/>
        <w:t>нологиям.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Инфекционный эндокардит является самой частой при</w:t>
        <w:softHyphen/>
        <w:t>чиной, приводящей к миокардиальному абсцессу.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Зависит от причины, вызвавшей абсцесс миокарда.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Миокардиальные абсцессы чаще обнаруживаются как осложнение инфекционного эндокардита в детском воз</w:t>
        <w:softHyphen/>
        <w:t>расте. Этому способствуют врожденные пороки сердца, не</w:t>
        <w:softHyphen/>
        <w:t>совершенство иммунных систем, большая частота инвазив</w:t>
        <w:softHyphen/>
        <w:t>ных процедур, сопряженных с бактериемией (особенно у новорожденных).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Инфекционный эндокардит</w:t>
      </w:r>
    </w:p>
    <w:p>
      <w:pPr>
        <w:pStyle w:val="Style30"/>
        <w:widowControl w:val="0"/>
        <w:keepNext w:val="0"/>
        <w:keepLines w:val="0"/>
        <w:shd w:val="clear" w:color="auto" w:fill="auto"/>
        <w:bidi w:val="0"/>
        <w:spacing w:before="0" w:after="0"/>
        <w:ind w:left="0" w:right="0" w:firstLine="280"/>
      </w:pPr>
      <w:r>
        <w:pict>
          <v:shape id="_x0000_s1387" type="#_x0000_t75" style="position:absolute;margin-left:136.8pt;margin-top:737.05pt;width:209.75pt;height:14.9pt;z-index:-125829137;mso-wrap-distance-left:136.3pt;mso-wrap-distance-right:148.1pt;mso-wrap-distance-bottom:10.8pt;mso-position-horizontal-relative:margin;mso-position-vertical-relative:margin" wrapcoords="0 0 21600 0 21600 21600 0 21600 0 0">
            <v:imagedata r:id="rId598" r:href="rId599"/>
            <w10:wrap type="topAndBottom" anchorx="margin" anchory="margin"/>
          </v:shape>
        </w:pict>
      </w:r>
      <w:r>
        <w:rPr>
          <w:lang w:val="ru-RU" w:eastAsia="ru-RU" w:bidi="ru-RU"/>
          <w:w w:val="100"/>
          <w:spacing w:val="0"/>
          <w:color w:val="000000"/>
          <w:position w:val="0"/>
        </w:rPr>
        <w:t>В большинстве случаев абсцессы при инфекционном эндокардите локализуются на аортальном клапане и рас</w:t>
        <w:softHyphen/>
        <w:t>пространяются вниз на межжелудочковую перегородку. Аб</w:t>
        <w:softHyphen/>
        <w:t>сцессы могут также локализоваться на митральном клапане и в папиллярных мышцах. Приблизительно в 1/3 случаев абсцесс локализуется в основании аортального клапана</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и обусловлен стафилококковой инфекцией. Абсцессы про</w:t>
        <w:softHyphen/>
        <w:t>тезированных клапанов наблюдаются в 34% случаев и в 50% случаев обусловлены стафилококками.</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Бактериемия</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В прошлом наиболее частой причиной миокардиальных абсцессов была «генерализованная бактериемия». Абсцес</w:t>
        <w:softHyphen/>
        <w:t>сы в миокарде при бактериемии обычно множественные и маленькие.</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Локализация миокардиального инфаркта</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В области миокардиального инфаркта может развиться миокардиальный абсцесс, обычно при сопутствующей бак</w:t>
        <w:softHyphen/>
        <w:t>териемии. Наиболее частыми возбудителями при постин</w:t>
        <w:softHyphen/>
        <w:t xml:space="preserve">фарктных абсцессах являются: </w:t>
      </w:r>
      <w:r>
        <w:rPr>
          <w:rStyle w:val="CharStyle103"/>
          <w:lang w:val="en-US" w:eastAsia="en-US" w:bidi="en-US"/>
        </w:rPr>
        <w:t>Staphylococcus aureus, Clostridium perfringens, Bacteroides</w:t>
      </w:r>
      <w:r>
        <w:rPr>
          <w:lang w:val="en-US" w:eastAsia="en-US" w:bidi="en-US"/>
          <w:w w:val="100"/>
          <w:spacing w:val="0"/>
          <w:color w:val="000000"/>
          <w:position w:val="0"/>
        </w:rPr>
        <w:t xml:space="preserve"> </w:t>
      </w:r>
      <w:r>
        <w:rPr>
          <w:lang w:val="ru-RU" w:eastAsia="ru-RU" w:bidi="ru-RU"/>
          <w:w w:val="100"/>
          <w:spacing w:val="0"/>
          <w:color w:val="000000"/>
          <w:position w:val="0"/>
        </w:rPr>
        <w:t xml:space="preserve">(разновидности), </w:t>
      </w:r>
      <w:r>
        <w:rPr>
          <w:rStyle w:val="CharStyle103"/>
          <w:lang w:val="en-US" w:eastAsia="en-US" w:bidi="en-US"/>
        </w:rPr>
        <w:t>Escherichia coli, beta-hemolytic streptococci and Streptococcus pneumoniae.</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Причинами формирования миокардиального абсцесса при остром инфаркте миокарда и бактериемии являются некроз мышечных волокон, прекращение перфузии некро</w:t>
        <w:softHyphen/>
        <w:t>тической зоны, развитие воспалительного экссудата вокруг некротической зоны, недостаточность иммунитета.</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Другие патогенетические причины</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Травма.</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Глубокое проникающее ранение.</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Глубокие ожоги.</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Инфицированная псевдоаневризма.</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Гнойный перикардит.</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Инфицированное трансплантированное сердце.</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Распространение абсцесса средостения.</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ВИЧ-ассоциированный кардит.</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Паразитарная инфекция.</w:t>
      </w:r>
    </w:p>
    <w:p>
      <w:pPr>
        <w:pStyle w:val="Style30"/>
        <w:numPr>
          <w:ilvl w:val="0"/>
          <w:numId w:val="69"/>
        </w:numPr>
        <w:tabs>
          <w:tab w:leader="none" w:pos="537" w:val="left"/>
        </w:tabs>
        <w:widowControl w:val="0"/>
        <w:keepNext w:val="0"/>
        <w:keepLines w:val="0"/>
        <w:shd w:val="clear" w:color="auto" w:fill="auto"/>
        <w:bidi w:val="0"/>
        <w:jc w:val="left"/>
        <w:spacing w:before="0" w:after="0"/>
        <w:ind w:left="520" w:right="0" w:hanging="220"/>
      </w:pPr>
      <w:r>
        <w:rPr>
          <w:lang w:val="ru-RU" w:eastAsia="ru-RU" w:bidi="ru-RU"/>
          <w:w w:val="100"/>
          <w:spacing w:val="0"/>
          <w:color w:val="000000"/>
          <w:position w:val="0"/>
        </w:rPr>
        <w:t>Инфицирование аневризмы левого желудочка или опухоли.</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Микробиология</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Обычно при миокардиальном абсцессе определятся не</w:t>
        <w:softHyphen/>
        <w:t>сколько возбудителей и редко абсцесс формируется под влиянием одного инфекционного агента.</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Микроорганизмы:</w:t>
      </w:r>
    </w:p>
    <w:p>
      <w:pPr>
        <w:pStyle w:val="Style107"/>
        <w:numPr>
          <w:ilvl w:val="0"/>
          <w:numId w:val="69"/>
        </w:numPr>
        <w:tabs>
          <w:tab w:leader="none" w:pos="537" w:val="left"/>
        </w:tabs>
        <w:widowControl w:val="0"/>
        <w:keepNext w:val="0"/>
        <w:keepLines w:val="0"/>
        <w:shd w:val="clear" w:color="auto" w:fill="auto"/>
        <w:bidi w:val="0"/>
        <w:spacing w:before="0" w:after="0"/>
        <w:ind w:left="0" w:right="0" w:firstLine="300"/>
      </w:pPr>
      <w:r>
        <w:rPr>
          <w:lang w:val="en-US" w:eastAsia="en-US" w:bidi="en-US"/>
          <w:w w:val="100"/>
          <w:spacing w:val="0"/>
          <w:color w:val="000000"/>
          <w:position w:val="0"/>
        </w:rPr>
        <w:t>S aureus.</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rStyle w:val="CharStyle103"/>
          <w:lang w:val="en-US" w:eastAsia="en-US" w:bidi="en-US"/>
        </w:rPr>
        <w:t>Haemophilus</w:t>
      </w:r>
      <w:r>
        <w:rPr>
          <w:lang w:val="en-US" w:eastAsia="en-US" w:bidi="en-US"/>
          <w:w w:val="100"/>
          <w:spacing w:val="0"/>
          <w:color w:val="000000"/>
          <w:position w:val="0"/>
        </w:rPr>
        <w:t xml:space="preserve"> </w:t>
      </w:r>
      <w:r>
        <w:rPr>
          <w:lang w:val="ru-RU" w:eastAsia="ru-RU" w:bidi="ru-RU"/>
          <w:w w:val="100"/>
          <w:spacing w:val="0"/>
          <w:color w:val="000000"/>
          <w:position w:val="0"/>
        </w:rPr>
        <w:t>(разновидности).</w:t>
      </w:r>
    </w:p>
    <w:p>
      <w:pPr>
        <w:pStyle w:val="Style107"/>
        <w:numPr>
          <w:ilvl w:val="0"/>
          <w:numId w:val="69"/>
        </w:numPr>
        <w:tabs>
          <w:tab w:leader="none" w:pos="537" w:val="left"/>
        </w:tabs>
        <w:widowControl w:val="0"/>
        <w:keepNext w:val="0"/>
        <w:keepLines w:val="0"/>
        <w:shd w:val="clear" w:color="auto" w:fill="auto"/>
        <w:bidi w:val="0"/>
        <w:spacing w:before="0" w:after="0"/>
        <w:ind w:left="0" w:right="0" w:firstLine="300"/>
      </w:pPr>
      <w:r>
        <w:rPr>
          <w:lang w:val="en-US" w:eastAsia="en-US" w:bidi="en-US"/>
          <w:w w:val="100"/>
          <w:spacing w:val="0"/>
          <w:color w:val="000000"/>
          <w:position w:val="0"/>
        </w:rPr>
        <w:t>Enterococci.</w:t>
      </w:r>
    </w:p>
    <w:p>
      <w:pPr>
        <w:pStyle w:val="Style107"/>
        <w:numPr>
          <w:ilvl w:val="0"/>
          <w:numId w:val="69"/>
        </w:numPr>
        <w:tabs>
          <w:tab w:leader="none" w:pos="537" w:val="left"/>
        </w:tabs>
        <w:widowControl w:val="0"/>
        <w:keepNext w:val="0"/>
        <w:keepLines w:val="0"/>
        <w:shd w:val="clear" w:color="auto" w:fill="auto"/>
        <w:bidi w:val="0"/>
        <w:spacing w:before="0" w:after="0"/>
        <w:ind w:left="0" w:right="0" w:firstLine="300"/>
      </w:pPr>
      <w:r>
        <w:rPr>
          <w:lang w:val="en-US" w:eastAsia="en-US" w:bidi="en-US"/>
          <w:w w:val="100"/>
          <w:spacing w:val="0"/>
          <w:color w:val="000000"/>
          <w:position w:val="0"/>
        </w:rPr>
        <w:t xml:space="preserve">E coli </w:t>
      </w:r>
      <w:r>
        <w:rPr>
          <w:lang w:val="ru-RU" w:eastAsia="ru-RU" w:bidi="ru-RU"/>
          <w:w w:val="100"/>
          <w:spacing w:val="0"/>
          <w:color w:val="000000"/>
          <w:position w:val="0"/>
        </w:rPr>
        <w:t>.</w:t>
      </w:r>
    </w:p>
    <w:p>
      <w:pPr>
        <w:pStyle w:val="Style107"/>
        <w:numPr>
          <w:ilvl w:val="0"/>
          <w:numId w:val="69"/>
        </w:numPr>
        <w:tabs>
          <w:tab w:leader="none" w:pos="537" w:val="left"/>
        </w:tabs>
        <w:widowControl w:val="0"/>
        <w:keepNext w:val="0"/>
        <w:keepLines w:val="0"/>
        <w:shd w:val="clear" w:color="auto" w:fill="auto"/>
        <w:bidi w:val="0"/>
        <w:spacing w:before="0" w:after="0"/>
        <w:ind w:left="0" w:right="0" w:firstLine="300"/>
      </w:pPr>
      <w:r>
        <w:rPr>
          <w:lang w:val="en-US" w:eastAsia="en-US" w:bidi="en-US"/>
          <w:w w:val="100"/>
          <w:spacing w:val="0"/>
          <w:color w:val="000000"/>
          <w:position w:val="0"/>
        </w:rPr>
        <w:t>Beta-hemolytic streptococci.</w:t>
      </w:r>
    </w:p>
    <w:p>
      <w:pPr>
        <w:pStyle w:val="Style107"/>
        <w:numPr>
          <w:ilvl w:val="0"/>
          <w:numId w:val="69"/>
        </w:numPr>
        <w:tabs>
          <w:tab w:leader="none" w:pos="537" w:val="left"/>
        </w:tabs>
        <w:widowControl w:val="0"/>
        <w:keepNext w:val="0"/>
        <w:keepLines w:val="0"/>
        <w:shd w:val="clear" w:color="auto" w:fill="auto"/>
        <w:bidi w:val="0"/>
        <w:spacing w:before="0" w:after="0"/>
        <w:ind w:left="0" w:right="0" w:firstLine="300"/>
      </w:pPr>
      <w:r>
        <w:rPr>
          <w:lang w:val="en-US" w:eastAsia="en-US" w:bidi="en-US"/>
          <w:w w:val="100"/>
          <w:spacing w:val="0"/>
          <w:color w:val="000000"/>
          <w:position w:val="0"/>
        </w:rPr>
        <w:t>S pneumoniae.</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rStyle w:val="CharStyle103"/>
          <w:lang w:val="en-US" w:eastAsia="en-US" w:bidi="en-US"/>
        </w:rPr>
        <w:t>Bacteroides</w:t>
      </w:r>
      <w:r>
        <w:rPr>
          <w:lang w:val="en-US" w:eastAsia="en-US" w:bidi="en-US"/>
          <w:w w:val="100"/>
          <w:spacing w:val="0"/>
          <w:color w:val="000000"/>
          <w:position w:val="0"/>
        </w:rPr>
        <w:t xml:space="preserve"> </w:t>
      </w:r>
      <w:r>
        <w:rPr>
          <w:lang w:val="ru-RU" w:eastAsia="ru-RU" w:bidi="ru-RU"/>
          <w:w w:val="100"/>
          <w:spacing w:val="0"/>
          <w:color w:val="000000"/>
          <w:position w:val="0"/>
        </w:rPr>
        <w:t>(разновидности).</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Паразитарные организмы.</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Кисты, например, эхинококки .</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Смешанные причины.</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Патогенез</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В развитии инфекционного эндокардита и последующе</w:t>
        <w:softHyphen/>
        <w:t>го абсцесса миокарда принимают участие следующие фак</w:t>
        <w:softHyphen/>
        <w:t>торы:</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Сосудистый эндотелий.</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Механизмы гемостаза.</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Недостаточность иммунных систем.</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Анатомические аномалии сердца</w:t>
      </w:r>
    </w:p>
    <w:p>
      <w:pPr>
        <w:pStyle w:val="Style30"/>
        <w:numPr>
          <w:ilvl w:val="0"/>
          <w:numId w:val="69"/>
        </w:numPr>
        <w:tabs>
          <w:tab w:leader="none" w:pos="537"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Поверхностная адгезивность микроорганизмов</w:t>
      </w:r>
    </w:p>
    <w:p>
      <w:pPr>
        <w:pStyle w:val="Style30"/>
        <w:numPr>
          <w:ilvl w:val="0"/>
          <w:numId w:val="69"/>
        </w:numPr>
        <w:tabs>
          <w:tab w:leader="none" w:pos="537" w:val="left"/>
        </w:tabs>
        <w:widowControl w:val="0"/>
        <w:keepNext w:val="0"/>
        <w:keepLines w:val="0"/>
        <w:shd w:val="clear" w:color="auto" w:fill="auto"/>
        <w:bidi w:val="0"/>
        <w:jc w:val="left"/>
        <w:spacing w:before="0" w:after="0"/>
        <w:ind w:left="520" w:right="0" w:hanging="220"/>
      </w:pPr>
      <w:r>
        <w:rPr>
          <w:lang w:val="ru-RU" w:eastAsia="ru-RU" w:bidi="ru-RU"/>
          <w:w w:val="100"/>
          <w:spacing w:val="0"/>
          <w:color w:val="000000"/>
          <w:position w:val="0"/>
        </w:rPr>
        <w:t>Экстракардиальные факторы, способствующие бак</w:t>
        <w:softHyphen/>
        <w:t>териемии</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Каждый из перечисленных компонентов воздействует в комплексе. Редкость эндокардитов, несмотря на относи</w:t>
        <w:softHyphen/>
        <w:t>тельно высокую распространенность бессимптомной</w:t>
        <w:br w:type="column"/>
        <w:t>и симптоматической бактериемии, обусловлена тем, что неповрежденный эндотелий является стойким к инфекции. Если эндотелий на поверхности клапана поврежден, гемо</w:t>
        <w:softHyphen/>
        <w:t>статические процессы стимулируют оседание тромбоцитов на поверхности эндотелия и формирование фибринных комплексов. Эти комплексы обозначают стадией небакте</w:t>
        <w:softHyphen/>
        <w:t>риального тромботического эндокардита, в последующем при развитии бактериемии происходит бактериальная ко</w:t>
        <w:softHyphen/>
        <w:t>лонизация и развитие инфекционного процесса.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Внутрисердечные последствия эндокардитов проявля</w:t>
        <w:softHyphen/>
        <w:t>ются разрушением тканей клапана. Возможны перфорация створки клапана, отрыв сухожильных нитей, в результате чего формируется застойная сердечная недостаточность. Инфекция чаще поражает аортальный клапан и, распро</w:t>
        <w:softHyphen/>
        <w:t>страняясь в околоклапанные ткани, приводит к образова</w:t>
        <w:softHyphen/>
        <w:t>нию миокардиальных абсцессов. Некурабельная антибио</w:t>
        <w:softHyphen/>
        <w:t>тиками инфекция приводит к повреждению проводящей системы сердца, клинически могут появиться аритмии и гнойный перикардит.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Гистологические данные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Гистология миокардиального абсцесса демонстрирует поврежденную сердечную ткань, деградацию коллагена и преобладание полиморфонуклеарной инфильтрации.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 абсцесса миокарда — очень трудная клини</w:t>
        <w:softHyphen/>
        <w:t>ческая задача. Его всегда необходимо подразумевать у боль</w:t>
        <w:softHyphen/>
        <w:t>ных инфекционным эндокардитом.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 абсцесс миокарда всегда должен быть запо - дозрен при продолжительном заболевании, при септице</w:t>
        <w:softHyphen/>
        <w:t>мии, несмотря на адекватную антибактериальную терапию, у больных с внезапным развитием застойной сердечной не</w:t>
        <w:softHyphen/>
        <w:t>достаточности или клапанной регургитации.</w:t>
      </w:r>
    </w:p>
    <w:p>
      <w:pPr>
        <w:pStyle w:val="Style30"/>
        <w:numPr>
          <w:ilvl w:val="0"/>
          <w:numId w:val="69"/>
        </w:numPr>
        <w:tabs>
          <w:tab w:leader="none" w:pos="51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 инфекционном эндокардите высока вероятность абсцесса миокарда при следующих ситуациях:</w:t>
      </w:r>
    </w:p>
    <w:p>
      <w:pPr>
        <w:pStyle w:val="Style30"/>
        <w:numPr>
          <w:ilvl w:val="0"/>
          <w:numId w:val="7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клиническое ухудшение с развитием застойной сердечной недостаточности, появление приглу</w:t>
        <w:softHyphen/>
        <w:t>шенности тонов сердца и шумов, возникновение клапанной регургитации;</w:t>
      </w:r>
    </w:p>
    <w:p>
      <w:pPr>
        <w:pStyle w:val="Style30"/>
        <w:numPr>
          <w:ilvl w:val="0"/>
          <w:numId w:val="7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отсутствие эффекта от антибактериальной тера</w:t>
        <w:softHyphen/>
        <w:t>пии;</w:t>
      </w:r>
    </w:p>
    <w:p>
      <w:pPr>
        <w:pStyle w:val="Style30"/>
        <w:numPr>
          <w:ilvl w:val="0"/>
          <w:numId w:val="7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развитие нарушений в проводящей системе сердца (блокада ножек Гиса, атриовентрикулярная блока</w:t>
        <w:softHyphen/>
        <w:t>да);</w:t>
      </w:r>
    </w:p>
    <w:p>
      <w:pPr>
        <w:pStyle w:val="Style30"/>
        <w:numPr>
          <w:ilvl w:val="0"/>
          <w:numId w:val="7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внезапное развитие поперечного блока в сердце или блокады типа Мобитц II (специфичный при</w:t>
        <w:softHyphen/>
        <w:t>знак);</w:t>
      </w:r>
    </w:p>
    <w:p>
      <w:pPr>
        <w:pStyle w:val="Style30"/>
        <w:numPr>
          <w:ilvl w:val="0"/>
          <w:numId w:val="7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эндокардит аортального клапана;</w:t>
      </w:r>
    </w:p>
    <w:p>
      <w:pPr>
        <w:pStyle w:val="Style30"/>
        <w:numPr>
          <w:ilvl w:val="0"/>
          <w:numId w:val="7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тяжелая возвратная желудочковая аритмия;</w:t>
      </w:r>
    </w:p>
    <w:p>
      <w:pPr>
        <w:pStyle w:val="Style30"/>
        <w:numPr>
          <w:ilvl w:val="0"/>
          <w:numId w:val="7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присоединение перикардита (редкий признак);</w:t>
      </w:r>
    </w:p>
    <w:p>
      <w:pPr>
        <w:pStyle w:val="Style30"/>
        <w:numPr>
          <w:ilvl w:val="0"/>
          <w:numId w:val="7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инфекция протезированного клапана;</w:t>
      </w:r>
    </w:p>
    <w:p>
      <w:pPr>
        <w:pStyle w:val="Style30"/>
        <w:numPr>
          <w:ilvl w:val="0"/>
          <w:numId w:val="7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правосторонний эндокардит у больных с врожден</w:t>
        <w:softHyphen/>
        <w:t>ными пороками сердца.</w:t>
      </w:r>
    </w:p>
    <w:p>
      <w:pPr>
        <w:pStyle w:val="Style30"/>
        <w:numPr>
          <w:ilvl w:val="0"/>
          <w:numId w:val="6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Продолжительность признаков короткая.</w:t>
      </w:r>
    </w:p>
    <w:p>
      <w:pPr>
        <w:pStyle w:val="Style30"/>
        <w:numPr>
          <w:ilvl w:val="0"/>
          <w:numId w:val="69"/>
        </w:numPr>
        <w:tabs>
          <w:tab w:leader="none" w:pos="51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Лихорадка длительная, несмотря на адекватное лече - ние антибиотиками.</w:t>
      </w:r>
    </w:p>
    <w:p>
      <w:pPr>
        <w:pStyle w:val="Style30"/>
        <w:numPr>
          <w:ilvl w:val="0"/>
          <w:numId w:val="69"/>
        </w:numPr>
        <w:tabs>
          <w:tab w:leader="none" w:pos="51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Инфекционный возбудитель </w:t>
      </w:r>
      <w:r>
        <w:rPr>
          <w:lang w:val="en-US" w:eastAsia="en-US" w:bidi="en-US"/>
          <w:w w:val="100"/>
          <w:spacing w:val="0"/>
          <w:color w:val="000000"/>
          <w:position w:val="0"/>
        </w:rPr>
        <w:t xml:space="preserve">Pneumococcus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Staphylococcus </w:t>
      </w:r>
      <w:r>
        <w:rPr>
          <w:lang w:val="ru-RU" w:eastAsia="ru-RU" w:bidi="ru-RU"/>
          <w:w w:val="100"/>
          <w:spacing w:val="0"/>
          <w:color w:val="000000"/>
          <w:position w:val="0"/>
        </w:rPr>
        <w:t>(разновидности).</w:t>
      </w:r>
    </w:p>
    <w:p>
      <w:pPr>
        <w:pStyle w:val="Style30"/>
        <w:numPr>
          <w:ilvl w:val="0"/>
          <w:numId w:val="6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Острый инфаркт миокарда с явлениями септицемии.</w:t>
      </w:r>
    </w:p>
    <w:p>
      <w:pPr>
        <w:pStyle w:val="Style30"/>
        <w:numPr>
          <w:ilvl w:val="0"/>
          <w:numId w:val="6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Сепсис при проникающих ранениях грудной клетки.</w:t>
      </w:r>
    </w:p>
    <w:p>
      <w:pPr>
        <w:pStyle w:val="Style30"/>
        <w:numPr>
          <w:ilvl w:val="0"/>
          <w:numId w:val="69"/>
        </w:numPr>
        <w:tabs>
          <w:tab w:leader="none" w:pos="519" w:val="left"/>
        </w:tabs>
        <w:widowControl w:val="0"/>
        <w:keepNext w:val="0"/>
        <w:keepLines w:val="0"/>
        <w:shd w:val="clear" w:color="auto" w:fill="auto"/>
        <w:bidi w:val="0"/>
        <w:spacing w:before="0" w:after="0"/>
        <w:ind w:left="520" w:right="0" w:hanging="240"/>
      </w:pPr>
      <w:r>
        <w:pict>
          <v:shape id="_x0000_s1388" type="#_x0000_t75" style="position:absolute;margin-left:148.55pt;margin-top:737.05pt;width:209.75pt;height:14.9pt;z-index:-125829136;mso-wrap-distance-left:148.55pt;mso-wrap-distance-right:136.8pt;mso-wrap-distance-bottom:10.8pt;mso-position-horizontal-relative:margin;mso-position-vertical-relative:margin" wrapcoords="0 0 21600 0 21600 21600 0 21600 0 0">
            <v:imagedata r:id="rId600" r:href="rId601"/>
            <w10:wrap type="topAndBottom" anchorx="margin" anchory="margin"/>
          </v:shape>
        </w:pict>
      </w:r>
      <w:r>
        <w:rPr>
          <w:lang w:val="ru-RU" w:eastAsia="ru-RU" w:bidi="ru-RU"/>
          <w:w w:val="100"/>
          <w:spacing w:val="0"/>
          <w:color w:val="000000"/>
          <w:position w:val="0"/>
        </w:rPr>
        <w:t>Миокардиальные абсцессы чаще наблюдаются при хирургических манипуляциях при миокардитах, обусловленных ВИЧ-инфекцией.</w:t>
      </w:r>
      <w:r>
        <w:br w:type="page"/>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Миокардиальные абсцессы могут образовываться при персистирующей бактериемии, некурабельной антибиотиками.</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Нужно иметь в виду некоторые совокупности при</w:t>
        <w:softHyphen/>
        <w:t>знаков, которые позволяют предположить миокарди</w:t>
        <w:softHyphen/>
        <w:t>альный абсцесс. Например, лихорадка — самый час</w:t>
        <w:softHyphen/>
        <w:t>тый признак, наблюдаемый у 80-85% пациентов с миокардиальным абсцессом. Она отсутствует у паци</w:t>
        <w:softHyphen/>
        <w:t>ентов с застойной сердечной недостаточностью или хронической почечной недостаточностью, а также у пациентов с коагулаза-отрицательной стафилокок</w:t>
        <w:softHyphen/>
        <w:t>ковой инфекцией и миокардиальным абсцессом. Другой характерный признак — озноб, который на</w:t>
        <w:softHyphen/>
        <w:t>блюдается у 42-75% пациентов.</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Другие симптомы и признаки миокардиального аб</w:t>
        <w:softHyphen/>
        <w:t>сцесса включают:</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Анорексия.</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Потеря веса.</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Недомогание.</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Одышка.</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Кашель.</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Инсульт.</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Головная боль.</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Тошнота, рвота.</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Миалгия.</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Артралгия.</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Боли в грудной клетке.</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Боли в животе.</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Боли в спине.</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Беспокойство.</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Потливость.</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Физикальные данные:</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Физикальные данные обычно связаны с проявлениями инфекционного эндокардита. Они включают следующее:</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Лихорадка.</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Тахикардия.</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Шум в сердце, особенно его изменение или появле</w:t>
        <w:softHyphen/>
        <w:t>ние нового шума.</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Неврологические нарушения.</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Случаи эмболии.</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Спленомегалия.</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en-US" w:eastAsia="en-US" w:bidi="en-US"/>
          <w:w w:val="100"/>
          <w:spacing w:val="0"/>
          <w:color w:val="000000"/>
          <w:position w:val="0"/>
        </w:rPr>
        <w:t>Clubbing.</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Периферические нарушения.</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Узелки Ослера.</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Точечные кровоизлияния.</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Петехии.</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Пятна Джануея </w:t>
      </w:r>
      <w:r>
        <w:rPr>
          <w:lang w:val="en-US" w:eastAsia="en-US" w:bidi="en-US"/>
          <w:w w:val="100"/>
          <w:spacing w:val="0"/>
          <w:color w:val="000000"/>
          <w:position w:val="0"/>
        </w:rPr>
        <w:t>(Janeway).</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Кровоизлияния в конъюнктиву.</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Большое пульсовое давление как признак прогресси</w:t>
        <w:softHyphen/>
        <w:t>рующей аортальной недостаточности.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Лабораторная диагностика</w:t>
      </w:r>
    </w:p>
    <w:p>
      <w:pPr>
        <w:pStyle w:val="Style30"/>
        <w:numPr>
          <w:ilvl w:val="0"/>
          <w:numId w:val="6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Анализ крови:</w:t>
      </w:r>
    </w:p>
    <w:p>
      <w:pPr>
        <w:pStyle w:val="Style30"/>
        <w:numPr>
          <w:ilvl w:val="0"/>
          <w:numId w:val="69"/>
        </w:numPr>
        <w:tabs>
          <w:tab w:leader="none" w:pos="75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Развернутый анализ крови (включая гематологи - ческие параметры) позволяет выявить следующие нарушения:</w:t>
      </w:r>
    </w:p>
    <w:p>
      <w:pPr>
        <w:pStyle w:val="Style30"/>
        <w:numPr>
          <w:ilvl w:val="0"/>
          <w:numId w:val="71"/>
        </w:numPr>
        <w:tabs>
          <w:tab w:leader="none" w:pos="970"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характерна нормохромная нормоклеточная ане</w:t>
        <w:softHyphen/>
        <w:t>мия. Может наблюдаться также низкое содержа</w:t>
        <w:softHyphen/>
        <w:t>ние сывороточного железа. Низкая железосвязы</w:t>
        <w:softHyphen/>
        <w:t>вающая способность плазмы обнаруживается у 70</w:t>
        <w:softHyphen/>
        <w:t>90% пациентов;</w:t>
      </w:r>
    </w:p>
    <w:p>
      <w:pPr>
        <w:pStyle w:val="Style30"/>
        <w:numPr>
          <w:ilvl w:val="0"/>
          <w:numId w:val="71"/>
        </w:numPr>
        <w:tabs>
          <w:tab w:leader="none" w:pos="980"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анемия усиливается с увеличением продолжи - тельности болезни;</w:t>
      </w:r>
    </w:p>
    <w:p>
      <w:pPr>
        <w:pStyle w:val="Style30"/>
        <w:numPr>
          <w:ilvl w:val="0"/>
          <w:numId w:val="71"/>
        </w:numPr>
        <w:tabs>
          <w:tab w:leader="none" w:pos="697" w:val="left"/>
        </w:tabs>
        <w:widowControl w:val="0"/>
        <w:keepNext w:val="0"/>
        <w:keepLines w:val="0"/>
        <w:shd w:val="clear" w:color="auto" w:fill="auto"/>
        <w:bidi w:val="0"/>
        <w:spacing w:before="0" w:after="0"/>
        <w:ind w:left="480" w:right="0" w:firstLine="0"/>
      </w:pPr>
      <w:r>
        <w:br w:type="column"/>
      </w:r>
      <w:r>
        <w:rPr>
          <w:lang w:val="ru-RU" w:eastAsia="ru-RU" w:bidi="ru-RU"/>
          <w:w w:val="100"/>
          <w:spacing w:val="0"/>
          <w:color w:val="000000"/>
          <w:position w:val="0"/>
        </w:rPr>
        <w:t>при подостром эндокардите уровень лейкоцитов крови обычно нормальный. Напротив, лейкоцитоз с нейтрофилезом характерны для острого эндокар</w:t>
        <w:softHyphen/>
        <w:t>дита и миокардиального абсцесса;</w:t>
      </w:r>
    </w:p>
    <w:p>
      <w:pPr>
        <w:pStyle w:val="Style30"/>
        <w:numPr>
          <w:ilvl w:val="0"/>
          <w:numId w:val="71"/>
        </w:numPr>
        <w:tabs>
          <w:tab w:leader="none" w:pos="673" w:val="left"/>
        </w:tabs>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редко может наблюдаться тромбопения.</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Скорость оседания эритроцитов:</w:t>
      </w:r>
    </w:p>
    <w:p>
      <w:pPr>
        <w:pStyle w:val="Style30"/>
        <w:numPr>
          <w:ilvl w:val="0"/>
          <w:numId w:val="69"/>
        </w:numPr>
        <w:tabs>
          <w:tab w:leader="none" w:pos="50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 большинства пациентов с инфекционным эндо</w:t>
        <w:softHyphen/>
        <w:t>кардитом и абсцессом миокарда скорость оседа</w:t>
        <w:softHyphen/>
        <w:t>ния эритроцитов значительно увеличена (прибли</w:t>
        <w:softHyphen/>
        <w:t>зительно 55 мм/час); исключение составляют больные с застойной сердечной недостаточнос</w:t>
        <w:softHyphen/>
        <w:t>тью, почечной недостаточностью и диссеминиро</w:t>
        <w:softHyphen/>
        <w:t>ванной внутрисосудистой коагуляцией.</w:t>
      </w:r>
    </w:p>
    <w:p>
      <w:pPr>
        <w:pStyle w:val="Style30"/>
        <w:numPr>
          <w:ilvl w:val="0"/>
          <w:numId w:val="69"/>
        </w:numPr>
        <w:tabs>
          <w:tab w:leader="none" w:pos="50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Хотя скорость оседания эритроцитов является не</w:t>
        <w:softHyphen/>
        <w:t>специфическим показателем, отсутствие ее увели</w:t>
        <w:softHyphen/>
        <w:t>чения скорее свидетельствует против миокарди</w:t>
        <w:softHyphen/>
        <w:t>ального абсцесса.</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Посев крови в ряде случаев позволяет определить этиологический фактор, обусловивший инфекцион</w:t>
        <w:softHyphen/>
        <w:t>ный эндокардит.</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Анализ мочи:</w:t>
      </w:r>
    </w:p>
    <w:p>
      <w:pPr>
        <w:pStyle w:val="Style30"/>
        <w:numPr>
          <w:ilvl w:val="0"/>
          <w:numId w:val="69"/>
        </w:numPr>
        <w:tabs>
          <w:tab w:leader="none" w:pos="50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Показатели анализа мочи обычно изменены даже при нормальной функции почек.</w:t>
      </w:r>
    </w:p>
    <w:p>
      <w:pPr>
        <w:pStyle w:val="Style30"/>
        <w:numPr>
          <w:ilvl w:val="0"/>
          <w:numId w:val="69"/>
        </w:numPr>
        <w:tabs>
          <w:tab w:leader="none" w:pos="50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Протеинурия и микроскопическая гематурия об</w:t>
        <w:softHyphen/>
        <w:t>наруживаются у 50% больных.</w:t>
      </w:r>
    </w:p>
    <w:p>
      <w:pPr>
        <w:pStyle w:val="Style30"/>
        <w:numPr>
          <w:ilvl w:val="0"/>
          <w:numId w:val="69"/>
        </w:numPr>
        <w:tabs>
          <w:tab w:leader="none" w:pos="50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Азотемия часто сочетается с абсцессом миокарда.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прошлом абсцессы миокарда в основном обнару</w:t>
        <w:softHyphen/>
        <w:t>живались при аутопсии. В настоящее время выявле</w:t>
        <w:softHyphen/>
        <w:t>ние абсцессов миокарда не представляет сложностей благодаря применению неинвазивных методов диа</w:t>
        <w:softHyphen/>
        <w:t>гностики, таких как трансторакальная эхокардиогра</w:t>
        <w:softHyphen/>
        <w:t>фия, чрезпищеводная эхокардиография, радионук</w:t>
        <w:softHyphen/>
        <w:t>лидная сцинтиграфия с индиумом 111, компьютер</w:t>
        <w:softHyphen/>
        <w:t>ная томография и ядерный магнитный резонанс.</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w:t>
      </w:r>
    </w:p>
    <w:p>
      <w:pPr>
        <w:pStyle w:val="Style30"/>
        <w:numPr>
          <w:ilvl w:val="0"/>
          <w:numId w:val="69"/>
        </w:numPr>
        <w:tabs>
          <w:tab w:leader="none" w:pos="50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Характерны аномалии проведения. Постепенное удлинение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может свидетельствовать о развитии абсцесса клапанного кольца.</w:t>
      </w:r>
    </w:p>
    <w:p>
      <w:pPr>
        <w:pStyle w:val="Style30"/>
        <w:numPr>
          <w:ilvl w:val="0"/>
          <w:numId w:val="69"/>
        </w:numPr>
        <w:tabs>
          <w:tab w:leader="none" w:pos="50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Хотя удлинение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является малочув</w:t>
        <w:softHyphen/>
        <w:t>ствительным индикатором абсцесса (28%), при со</w:t>
        <w:softHyphen/>
        <w:t>ответствующей клинике заболевания он относи</w:t>
        <w:softHyphen/>
        <w:t>тельно специфичен (85-90%).</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Рентгенография грудной клетки:</w:t>
      </w:r>
    </w:p>
    <w:p>
      <w:pPr>
        <w:pStyle w:val="Style30"/>
        <w:numPr>
          <w:ilvl w:val="0"/>
          <w:numId w:val="69"/>
        </w:numPr>
        <w:tabs>
          <w:tab w:leader="none" w:pos="50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Позволяет выявить сопутствующие септические изменения в легких.</w:t>
      </w:r>
    </w:p>
    <w:p>
      <w:pPr>
        <w:pStyle w:val="Style30"/>
        <w:numPr>
          <w:ilvl w:val="0"/>
          <w:numId w:val="69"/>
        </w:numPr>
        <w:tabs>
          <w:tab w:leader="none" w:pos="50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Подтверждает наличие признаков застойной сер</w:t>
        <w:softHyphen/>
        <w:t>дечной недостаточности.</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Трансторакальная эхокардиография:</w:t>
      </w:r>
    </w:p>
    <w:p>
      <w:pPr>
        <w:pStyle w:val="Style30"/>
        <w:numPr>
          <w:ilvl w:val="0"/>
          <w:numId w:val="69"/>
        </w:numPr>
        <w:tabs>
          <w:tab w:leader="none" w:pos="50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Трансторакальная эхокардиография эндокардит и миокардиальный абсцесс, диагностированные или заподозренные клинически. Результаты эхо</w:t>
        <w:softHyphen/>
        <w:t>кардиографического исследования помогают в принятии решения относительно тактики тера</w:t>
        <w:softHyphen/>
        <w:t>певтической и/или хирургической помощи.</w:t>
      </w:r>
    </w:p>
    <w:p>
      <w:pPr>
        <w:pStyle w:val="Style30"/>
        <w:numPr>
          <w:ilvl w:val="0"/>
          <w:numId w:val="69"/>
        </w:numPr>
        <w:tabs>
          <w:tab w:leader="none" w:pos="50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Выполнение эхокардиографии показано всем па</w:t>
        <w:softHyphen/>
        <w:t>циентам, включая с отрицательными результатами культуры крови.</w:t>
      </w:r>
    </w:p>
    <w:p>
      <w:pPr>
        <w:pStyle w:val="Style30"/>
        <w:numPr>
          <w:ilvl w:val="0"/>
          <w:numId w:val="69"/>
        </w:numPr>
        <w:tabs>
          <w:tab w:leader="none" w:pos="509"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Трансторакальная эхокардиография чувствительна в 23% и специфична в 98,6%.</w:t>
      </w:r>
    </w:p>
    <w:p>
      <w:pPr>
        <w:pStyle w:val="Style30"/>
        <w:numPr>
          <w:ilvl w:val="0"/>
          <w:numId w:val="69"/>
        </w:numPr>
        <w:tabs>
          <w:tab w:leader="none" w:pos="509" w:val="left"/>
        </w:tabs>
        <w:widowControl w:val="0"/>
        <w:keepNext w:val="0"/>
        <w:keepLines w:val="0"/>
        <w:shd w:val="clear" w:color="auto" w:fill="auto"/>
        <w:bidi w:val="0"/>
        <w:spacing w:before="0" w:after="0"/>
        <w:ind w:left="480" w:right="0" w:hanging="220"/>
      </w:pPr>
      <w:r>
        <w:pict>
          <v:shape id="_x0000_s1389" type="#_x0000_t75" style="position:absolute;margin-left:136.9pt;margin-top:737.05pt;width:209.75pt;height:14.9pt;z-index:-125829135;mso-wrap-distance-left:136.3pt;mso-wrap-distance-right:147.85pt;mso-wrap-distance-bottom:10.8pt;mso-position-horizontal-relative:margin;mso-position-vertical-relative:margin" wrapcoords="0 0 21600 0 21600 21600 0 21600 0 0">
            <v:imagedata r:id="rId602" r:href="rId603"/>
            <w10:wrap type="topAndBottom" anchorx="margin" anchory="margin"/>
          </v:shape>
        </w:pict>
      </w:r>
      <w:r>
        <w:rPr>
          <w:lang w:val="ru-RU" w:eastAsia="ru-RU" w:bidi="ru-RU"/>
          <w:w w:val="100"/>
          <w:spacing w:val="0"/>
          <w:color w:val="000000"/>
          <w:position w:val="0"/>
        </w:rPr>
        <w:t>Разработаны эхокардиографические критерии, позволяющие с 86% чувствительностью и 88% спе-</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цифичностью определять миокардиальные аб</w:t>
        <w:softHyphen/>
        <w:t xml:space="preserve">сцессы </w:t>
      </w:r>
      <w:r>
        <w:rPr>
          <w:lang w:val="en-US" w:eastAsia="en-US" w:bidi="en-US"/>
          <w:w w:val="100"/>
          <w:spacing w:val="0"/>
          <w:color w:val="000000"/>
          <w:position w:val="0"/>
        </w:rPr>
        <w:t xml:space="preserve">(Ellis et al., </w:t>
      </w:r>
      <w:r>
        <w:rPr>
          <w:lang w:val="ru-RU" w:eastAsia="ru-RU" w:bidi="ru-RU"/>
          <w:w w:val="100"/>
          <w:spacing w:val="0"/>
          <w:color w:val="000000"/>
          <w:position w:val="0"/>
        </w:rPr>
        <w:t>1985):</w:t>
      </w:r>
    </w:p>
    <w:p>
      <w:pPr>
        <w:pStyle w:val="Style30"/>
        <w:numPr>
          <w:ilvl w:val="0"/>
          <w:numId w:val="7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доказательство «раскачивания» протезного кла</w:t>
        <w:softHyphen/>
        <w:t>пана;</w:t>
      </w:r>
    </w:p>
    <w:p>
      <w:pPr>
        <w:pStyle w:val="Style30"/>
        <w:numPr>
          <w:ilvl w:val="0"/>
          <w:numId w:val="7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аневризматическая дилатация синусов Вальсальвы;</w:t>
      </w:r>
    </w:p>
    <w:p>
      <w:pPr>
        <w:pStyle w:val="Style30"/>
        <w:numPr>
          <w:ilvl w:val="0"/>
          <w:numId w:val="7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толщина задней стенки аортального корня боль</w:t>
        <w:softHyphen/>
        <w:t>ше 10 мм;</w:t>
      </w:r>
    </w:p>
    <w:p>
      <w:pPr>
        <w:pStyle w:val="Style30"/>
        <w:numPr>
          <w:ilvl w:val="0"/>
          <w:numId w:val="7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околоклапанная плотность межжелудочковой перегородки больше 14 мм;</w:t>
      </w:r>
    </w:p>
    <w:p>
      <w:pPr>
        <w:pStyle w:val="Style30"/>
        <w:numPr>
          <w:ilvl w:val="0"/>
          <w:numId w:val="71"/>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наличие «эхосвободного пространства» — очень специфичный, но редко обнаруживаемый при</w:t>
        <w:softHyphen/>
        <w:t>знак.</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Чрезпищеводная эхокардиография:</w:t>
      </w:r>
    </w:p>
    <w:p>
      <w:pPr>
        <w:pStyle w:val="Style30"/>
        <w:numPr>
          <w:ilvl w:val="0"/>
          <w:numId w:val="69"/>
        </w:numPr>
        <w:tabs>
          <w:tab w:leader="none" w:pos="55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Метод позволяет более точно определять локали</w:t>
        <w:softHyphen/>
        <w:t>зацию и размеры миокардиальных абсцессов в об</w:t>
        <w:softHyphen/>
        <w:t>ласти митрального и аортального клапанов. Наря</w:t>
        <w:softHyphen/>
        <w:t>ду с этим метод имеет высокую разрешающую спо</w:t>
        <w:softHyphen/>
        <w:t>собность в выявлении перфораций створок клапа</w:t>
        <w:softHyphen/>
        <w:t>на и фистул.</w:t>
      </w:r>
    </w:p>
    <w:p>
      <w:pPr>
        <w:pStyle w:val="Style30"/>
        <w:numPr>
          <w:ilvl w:val="0"/>
          <w:numId w:val="69"/>
        </w:numPr>
        <w:tabs>
          <w:tab w:leader="none" w:pos="55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Чрезпищеводная эхокардиография в диагностике миокардиальных абсцессов имеет 87% чувстви</w:t>
        <w:softHyphen/>
        <w:t>тельность и 94,6% специфичность. Пациенты, у которых при проведении чрезпищеводной эхо</w:t>
        <w:softHyphen/>
        <w:t>кардиографии, возникло подозрение на абсцесс миокарда, должны быть обследованы методом ма</w:t>
        <w:softHyphen/>
        <w:t>гниторезонансной томографии, включая магнито</w:t>
        <w:softHyphen/>
        <w:t>резонансную ангиографию.</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Сцинтиграфия:</w:t>
      </w:r>
    </w:p>
    <w:p>
      <w:pPr>
        <w:pStyle w:val="Style30"/>
        <w:numPr>
          <w:ilvl w:val="0"/>
          <w:numId w:val="69"/>
        </w:numPr>
        <w:tabs>
          <w:tab w:leader="none" w:pos="55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Сцинтиграфия с меченными </w:t>
      </w:r>
      <w:r>
        <w:rPr>
          <w:lang w:val="en-US" w:eastAsia="en-US" w:bidi="en-US"/>
          <w:w w:val="100"/>
          <w:spacing w:val="0"/>
          <w:color w:val="000000"/>
          <w:position w:val="0"/>
        </w:rPr>
        <w:t xml:space="preserve">Indium In </w:t>
      </w:r>
      <w:r>
        <w:rPr>
          <w:lang w:val="ru-RU" w:eastAsia="ru-RU" w:bidi="ru-RU"/>
          <w:w w:val="100"/>
          <w:spacing w:val="0"/>
          <w:color w:val="000000"/>
          <w:position w:val="0"/>
        </w:rPr>
        <w:t>111 лейко</w:t>
        <w:softHyphen/>
        <w:t>цитами эффективна в обнаружении абсцессов миокарда (происходит накопление меченых лей</w:t>
        <w:softHyphen/>
        <w:t>коцитов в зоне воспаления или абсцесса).</w:t>
      </w:r>
    </w:p>
    <w:p>
      <w:pPr>
        <w:pStyle w:val="Style30"/>
        <w:numPr>
          <w:ilvl w:val="0"/>
          <w:numId w:val="69"/>
        </w:numPr>
        <w:tabs>
          <w:tab w:leader="none" w:pos="55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Сцинтиграфию с индиумом 111 не проводят, если диагноз подтвержден чрезпищеводной эхокардио</w:t>
        <w:softHyphen/>
        <w:t>графией.</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Магниторезонансная томография в настоящее время не имеет преимуществ перед эхокардиографией с вы</w:t>
        <w:softHyphen/>
        <w:t>сокими разрешающими способностями.</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Компьютерная томография низкочувствительна в ди</w:t>
        <w:softHyphen/>
        <w:t>агностике миокардиальных абсцессов.</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Интраоперативная эхокардиография позволяет визу</w:t>
        <w:softHyphen/>
        <w:t>ализировать операционное поле, маленькие абсцессы и используется в комплексе при оценке эффективно</w:t>
        <w:softHyphen/>
        <w:t>сти дренирования абсцесса.</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Тесты на определение состояния иммунной системы:</w:t>
      </w:r>
    </w:p>
    <w:p>
      <w:pPr>
        <w:pStyle w:val="Style30"/>
        <w:numPr>
          <w:ilvl w:val="0"/>
          <w:numId w:val="69"/>
        </w:numPr>
        <w:tabs>
          <w:tab w:leader="none" w:pos="55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Эти тесты позволяют оценить активность заболе</w:t>
        <w:softHyphen/>
        <w:t>вания, однако неэффективны в постановке диа</w:t>
        <w:softHyphen/>
        <w:t>гноза и оценке динамики заболевания.</w:t>
      </w:r>
    </w:p>
    <w:p>
      <w:pPr>
        <w:pStyle w:val="Style30"/>
        <w:numPr>
          <w:ilvl w:val="0"/>
          <w:numId w:val="69"/>
        </w:numPr>
        <w:tabs>
          <w:tab w:leader="none" w:pos="55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Обычно проводят определение циркулирующих иммунных комплексов, количественный и качест</w:t>
        <w:softHyphen/>
        <w:t>венный состав иммуноглобулинов, криоглобули</w:t>
        <w:softHyphen/>
        <w:t>нов, С-реактивного протеина.</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Серологические тесты:</w:t>
      </w:r>
    </w:p>
    <w:p>
      <w:pPr>
        <w:pStyle w:val="Style30"/>
        <w:numPr>
          <w:ilvl w:val="0"/>
          <w:numId w:val="69"/>
        </w:numPr>
        <w:tabs>
          <w:tab w:leader="none" w:pos="55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Серологические тесты позволяют выявить септи</w:t>
        <w:softHyphen/>
        <w:t>ческое состояние у кардиологического больного, когда посев крови отрицательный.</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Катетеризация сердца практически не дает информа</w:t>
        <w:softHyphen/>
        <w:t>ции относительно миокардиальных абсцессов, про</w:t>
        <w:softHyphen/>
        <w:t>водится по показаниям с целью выявления возник</w:t>
        <w:softHyphen/>
        <w:t>ших внутрисердечных аномалий.</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Дифференциальный диагноз</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Острая ревматическая лихорадка.</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Аортальная регургитация.</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Атриовентрикулярная диссоциация.</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Кардиогенный шок.</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Энтеробактериальная инфекция.</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Энтерококковая инфекция.</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Лихорадка неустановленной этиологии.</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Атриовентрикулярная блокада.</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Трансплантация сердца.</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Трансплантация сердце-легкие.</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Инфекция после трансплантации.</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Инфекционный эндокардит.</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Митральная регургитация.</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Инфаркт миокарда.</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Разрыв миокарда.</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Проникающее ранение грудной клетки.</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Кардиогенный отек легких.</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Атриовентрикулярная блокада II степени.</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Септический шок.</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Стафилококковая инфекция.</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Стрептококковая инфекция группы А, В, </w:t>
      </w:r>
      <w:r>
        <w:rPr>
          <w:lang w:val="en-US" w:eastAsia="en-US" w:bidi="en-US"/>
          <w:w w:val="100"/>
          <w:spacing w:val="0"/>
          <w:color w:val="000000"/>
          <w:position w:val="0"/>
        </w:rPr>
        <w:t>D.</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Внезапная сердечная смерть.</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Полная атриовентрикулярная блокада.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Перфорация миокарда.</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Рефрактерная сердечная недостаточность.</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Поражение клапанного аппарата.</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Развитие поперечной блокады.</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Тяжелая возвратная желудочковая аритмия (тахикар</w:t>
        <w:softHyphen/>
        <w:t>дия).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Медикаментозная терапия включает:</w:t>
      </w:r>
    </w:p>
    <w:p>
      <w:pPr>
        <w:pStyle w:val="Style30"/>
        <w:numPr>
          <w:ilvl w:val="0"/>
          <w:numId w:val="71"/>
        </w:numPr>
        <w:tabs>
          <w:tab w:leader="none" w:pos="773"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антибиотики;</w:t>
      </w:r>
    </w:p>
    <w:p>
      <w:pPr>
        <w:pStyle w:val="Style30"/>
        <w:numPr>
          <w:ilvl w:val="0"/>
          <w:numId w:val="71"/>
        </w:numPr>
        <w:tabs>
          <w:tab w:leader="none" w:pos="773"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препараты, стабилизирующие гемодинамический статус.</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Симптоматическая терапия включает:</w:t>
      </w:r>
    </w:p>
    <w:p>
      <w:pPr>
        <w:pStyle w:val="Style30"/>
        <w:numPr>
          <w:ilvl w:val="0"/>
          <w:numId w:val="71"/>
        </w:numPr>
        <w:tabs>
          <w:tab w:leader="none" w:pos="773"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коррекцию водного и электролитного баланса;</w:t>
      </w:r>
    </w:p>
    <w:p>
      <w:pPr>
        <w:pStyle w:val="Style30"/>
        <w:numPr>
          <w:ilvl w:val="0"/>
          <w:numId w:val="71"/>
        </w:numPr>
        <w:tabs>
          <w:tab w:leader="none" w:pos="768" w:val="left"/>
        </w:tabs>
        <w:widowControl w:val="0"/>
        <w:keepNext w:val="0"/>
        <w:keepLines w:val="0"/>
        <w:shd w:val="clear" w:color="auto" w:fill="auto"/>
        <w:bidi w:val="0"/>
        <w:jc w:val="left"/>
        <w:spacing w:before="0" w:after="0"/>
        <w:ind w:left="280" w:right="0" w:firstLine="240"/>
      </w:pPr>
      <w:r>
        <w:rPr>
          <w:lang w:val="ru-RU" w:eastAsia="ru-RU" w:bidi="ru-RU"/>
          <w:w w:val="100"/>
          <w:spacing w:val="0"/>
          <w:color w:val="000000"/>
          <w:position w:val="0"/>
        </w:rPr>
        <w:t>нормализацию обменных процессов в организме. Хирургическая коррекция</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Во всех случаях при диагностике абсцесса миокарда должно проводиться хирургическое лечение.</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Операция на открытом сердце.</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Замена клапана.</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Повторная замена протезного клапана.</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Эвакуация абсцесса.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Послеоперативное наблюдение и лечение:</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Интенсивная постоперативная поддерживающая те</w:t>
        <w:softHyphen/>
        <w:t>рапия включает:</w:t>
      </w:r>
    </w:p>
    <w:p>
      <w:pPr>
        <w:pStyle w:val="Style30"/>
        <w:numPr>
          <w:ilvl w:val="0"/>
          <w:numId w:val="71"/>
        </w:numPr>
        <w:tabs>
          <w:tab w:leader="none" w:pos="773"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препараты, стабилизирующие гемодинамику;</w:t>
      </w:r>
    </w:p>
    <w:p>
      <w:pPr>
        <w:pStyle w:val="Style30"/>
        <w:numPr>
          <w:ilvl w:val="0"/>
          <w:numId w:val="71"/>
        </w:numPr>
        <w:tabs>
          <w:tab w:leader="none" w:pos="773"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коррекцию водного и электролитного баланса;</w:t>
      </w:r>
    </w:p>
    <w:p>
      <w:pPr>
        <w:pStyle w:val="Style30"/>
        <w:numPr>
          <w:ilvl w:val="0"/>
          <w:numId w:val="71"/>
        </w:numPr>
        <w:tabs>
          <w:tab w:leader="none" w:pos="773"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парентеральное и/или энтеральное питание.</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Показано продолжение антибактериальной терапии. Обычно продолжительность антибактериальной те</w:t>
        <w:softHyphen/>
        <w:t>рапии после операции составляет 6 недель.</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Амбулаторное наблюдение</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Эхокардиографический контроль с определением функции клапанного аппарата и гемодинамических показателей.</w:t>
      </w:r>
    </w:p>
    <w:p>
      <w:pPr>
        <w:pStyle w:val="Style30"/>
        <w:numPr>
          <w:ilvl w:val="0"/>
          <w:numId w:val="69"/>
        </w:numPr>
        <w:tabs>
          <w:tab w:leader="none" w:pos="523" w:val="left"/>
        </w:tabs>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Эффективная антибактериальная профилактика. Активность</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Активность полностью ограничивается.</w:t>
      </w:r>
    </w:p>
    <w:p>
      <w:pPr>
        <w:pStyle w:val="Style30"/>
        <w:numPr>
          <w:ilvl w:val="0"/>
          <w:numId w:val="69"/>
        </w:numPr>
        <w:tabs>
          <w:tab w:leader="none" w:pos="517" w:val="left"/>
        </w:tabs>
        <w:widowControl w:val="0"/>
        <w:keepNext w:val="0"/>
        <w:keepLines w:val="0"/>
        <w:shd w:val="clear" w:color="auto" w:fill="auto"/>
        <w:bidi w:val="0"/>
        <w:spacing w:before="0" w:after="0"/>
        <w:ind w:left="520" w:right="0" w:hanging="240"/>
      </w:pPr>
      <w:r>
        <w:pict>
          <v:shape id="_x0000_s1390" type="#_x0000_t75" style="position:absolute;margin-left:142.2pt;margin-top:737.05pt;width:209.75pt;height:14.9pt;z-index:-125829134;mso-wrap-distance-left:135.85pt;mso-wrap-distance-right:136.8pt;mso-wrap-distance-bottom:10.8pt;mso-position-horizontal-relative:margin;mso-position-vertical-relative:margin" wrapcoords="0 0 21600 0 21600 21600 0 21600 0 0">
            <v:imagedata r:id="rId604" r:href="rId605"/>
            <w10:wrap type="topAndBottom" anchorx="margin" anchory="margin"/>
          </v:shape>
        </w:pict>
      </w:r>
      <w:r>
        <w:rPr>
          <w:lang w:val="ru-RU" w:eastAsia="ru-RU" w:bidi="ru-RU"/>
          <w:w w:val="100"/>
          <w:spacing w:val="0"/>
          <w:color w:val="000000"/>
          <w:position w:val="0"/>
        </w:rPr>
        <w:t>Такие больные находятся под постоянным наблюде</w:t>
        <w:softHyphen/>
        <w:t>нием в палате интенсивной терапии.</w:t>
      </w:r>
      <w:r>
        <w:br w:type="page"/>
      </w:r>
    </w:p>
    <w:p>
      <w:pPr>
        <w:pStyle w:val="Style30"/>
        <w:numPr>
          <w:ilvl w:val="0"/>
          <w:numId w:val="6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Постепенное расширение активности возможно только после успешно проведенной хирургической коррекции абсцесса.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6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своевременной диагностике и хирургическом лечении прогноз благоприятный.</w:t>
      </w:r>
    </w:p>
    <w:p>
      <w:pPr>
        <w:pStyle w:val="Style30"/>
        <w:numPr>
          <w:ilvl w:val="0"/>
          <w:numId w:val="69"/>
        </w:numPr>
        <w:tabs>
          <w:tab w:leader="none" w:pos="515" w:val="left"/>
        </w:tabs>
        <w:widowControl w:val="0"/>
        <w:keepNext w:val="0"/>
        <w:keepLines w:val="0"/>
        <w:shd w:val="clear" w:color="auto" w:fill="auto"/>
        <w:bidi w:val="0"/>
        <w:spacing w:before="0" w:after="237"/>
        <w:ind w:left="520" w:right="0" w:hanging="240"/>
      </w:pPr>
      <w:r>
        <w:rPr>
          <w:lang w:val="ru-RU" w:eastAsia="ru-RU" w:bidi="ru-RU"/>
          <w:w w:val="100"/>
          <w:spacing w:val="0"/>
          <w:color w:val="000000"/>
          <w:position w:val="0"/>
        </w:rPr>
        <w:t>Если хирургическое лечение не проводится, исход за</w:t>
        <w:softHyphen/>
        <w:t>болевания, как правило, неблагоприятный.</w:t>
      </w:r>
    </w:p>
    <w:p>
      <w:pPr>
        <w:pStyle w:val="Style28"/>
        <w:widowControl w:val="0"/>
        <w:keepNext/>
        <w:keepLines/>
        <w:shd w:val="clear" w:color="auto" w:fill="auto"/>
        <w:bidi w:val="0"/>
        <w:jc w:val="both"/>
        <w:spacing w:before="0" w:after="153" w:line="220" w:lineRule="exact"/>
        <w:ind w:left="0" w:right="0" w:firstLine="0"/>
      </w:pPr>
      <w:bookmarkStart w:id="446" w:name="bookmark446"/>
      <w:r>
        <w:rPr>
          <w:lang w:val="ru-RU" w:eastAsia="ru-RU" w:bidi="ru-RU"/>
          <w:w w:val="100"/>
          <w:spacing w:val="0"/>
          <w:color w:val="000000"/>
          <w:position w:val="0"/>
        </w:rPr>
        <w:t>Кардиомиопатии</w:t>
      </w:r>
      <w:bookmarkEnd w:id="446"/>
    </w:p>
    <w:p>
      <w:pPr>
        <w:pStyle w:val="Style92"/>
        <w:widowControl w:val="0"/>
        <w:keepNext/>
        <w:keepLines/>
        <w:shd w:val="clear" w:color="auto" w:fill="auto"/>
        <w:bidi w:val="0"/>
        <w:spacing w:before="0" w:after="0"/>
        <w:ind w:left="0" w:right="0" w:firstLine="280"/>
      </w:pPr>
      <w:bookmarkStart w:id="447" w:name="bookmark447"/>
      <w:r>
        <w:rPr>
          <w:lang w:val="ru-RU" w:eastAsia="ru-RU" w:bidi="ru-RU"/>
          <w:w w:val="100"/>
          <w:spacing w:val="0"/>
          <w:color w:val="000000"/>
          <w:position w:val="0"/>
        </w:rPr>
        <w:t>Определение и классификация кардиомиопатий</w:t>
      </w:r>
      <w:bookmarkEnd w:id="44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Ранее кардиомиопатиями обозначали группу заболева</w:t>
        <w:softHyphen/>
        <w:t>ний сердечной мышцы неустановленной этиологии, не связанных с ишемической болезнью сердца, системной или легочной гипертензией, врожденными или приобретенны</w:t>
        <w:softHyphen/>
        <w:t xml:space="preserve">ми пороками сердца или обменными нарушениями </w:t>
      </w:r>
      <w:r>
        <w:rPr>
          <w:lang w:val="en-US" w:eastAsia="en-US" w:bidi="en-US"/>
          <w:w w:val="100"/>
          <w:spacing w:val="0"/>
          <w:color w:val="000000"/>
          <w:position w:val="0"/>
        </w:rPr>
        <w:t xml:space="preserve">(WHO/ISFC, </w:t>
      </w:r>
      <w:r>
        <w:rPr>
          <w:lang w:val="ru-RU" w:eastAsia="ru-RU" w:bidi="ru-RU"/>
          <w:w w:val="100"/>
          <w:spacing w:val="0"/>
          <w:color w:val="000000"/>
          <w:position w:val="0"/>
        </w:rPr>
        <w:t>1990). В последние годы кардиомиопатией обозначают болезнь миокарда, связанную с сердечной ди</w:t>
        <w:softHyphen/>
        <w:t xml:space="preserve">сфункцией </w:t>
      </w:r>
      <w:r>
        <w:rPr>
          <w:lang w:val="en-US" w:eastAsia="en-US" w:bidi="en-US"/>
          <w:w w:val="100"/>
          <w:spacing w:val="0"/>
          <w:color w:val="000000"/>
          <w:position w:val="0"/>
        </w:rPr>
        <w:t xml:space="preserve">(WHO/ISFC, </w:t>
      </w:r>
      <w:r>
        <w:rPr>
          <w:lang w:val="ru-RU" w:eastAsia="ru-RU" w:bidi="ru-RU"/>
          <w:w w:val="100"/>
          <w:spacing w:val="0"/>
          <w:color w:val="000000"/>
          <w:position w:val="0"/>
        </w:rPr>
        <w:t>1995). Выделяют пять патогенети</w:t>
        <w:softHyphen/>
        <w:t>ческих форм (групп) данного заболевания:</w:t>
      </w:r>
    </w:p>
    <w:p>
      <w:pPr>
        <w:pStyle w:val="Style30"/>
        <w:numPr>
          <w:ilvl w:val="0"/>
          <w:numId w:val="71"/>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дилатационная кардиомиопатия;</w:t>
      </w:r>
    </w:p>
    <w:p>
      <w:pPr>
        <w:pStyle w:val="Style30"/>
        <w:numPr>
          <w:ilvl w:val="0"/>
          <w:numId w:val="71"/>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гипертрофическая кардиомиопатия;</w:t>
      </w:r>
    </w:p>
    <w:p>
      <w:pPr>
        <w:pStyle w:val="Style30"/>
        <w:numPr>
          <w:ilvl w:val="0"/>
          <w:numId w:val="71"/>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рестриктивная кардиомиопатия;</w:t>
      </w:r>
    </w:p>
    <w:p>
      <w:pPr>
        <w:pStyle w:val="Style30"/>
        <w:numPr>
          <w:ilvl w:val="0"/>
          <w:numId w:val="71"/>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аритмогенная правожелудочковая кардиомиопатия;</w:t>
      </w:r>
    </w:p>
    <w:p>
      <w:pPr>
        <w:pStyle w:val="Style30"/>
        <w:numPr>
          <w:ilvl w:val="0"/>
          <w:numId w:val="71"/>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неклассифицированная кардиомиопатия.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Традиционная классификация КМП на дилатационные,</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гипертрофические и рестриктивные типы не раскрывает этиологию заболевания. В ряде случаев КМП может прояв</w:t>
        <w:softHyphen/>
        <w:t>ляться двумя типами (например, дилатационно-гипертро</w:t>
        <w:softHyphen/>
        <w:t>фическая) или в динамике заболевания отмечается переход одного типа в другой. Например, диагноз гипертрофичес</w:t>
        <w:softHyphen/>
        <w:t>кой КМП может включать инфильтративное заболевание, мышечную гипертрофию, гиперплазию, интерстициаль</w:t>
        <w:softHyphen/>
        <w:t>ный отек или фиброз.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Дилатационная кардиомиопатия характеризуется наруше</w:t>
        <w:softHyphen/>
        <w:t>нием сократимости левого или обоих желудочков. Этиоло</w:t>
        <w:softHyphen/>
        <w:t>гия ее может быть идиопатической, семейной/генетичес- кой, вирусной и/или иммунной. Она может быть также обусловлена воздействием токсинов или связана с сердеч</w:t>
        <w:softHyphen/>
        <w:t>но-сосудистыми заболеваниями, при которых дисфункция миокарда не может быть объяснена только основным про</w:t>
        <w:softHyphen/>
        <w:t>цессом в сердце или ишемическим повреждением. Гистоло</w:t>
        <w:softHyphen/>
        <w:t>гические данные при дилатационной кардиомиопатии не имеют специфических проявлений. Клинически болезнь проявляется прогрессирующей сердечной недостаточнос</w:t>
        <w:softHyphen/>
        <w:t>тью. Такие характерные осложнения как аритмии, тромбо</w:t>
        <w:softHyphen/>
        <w:t>эмболия или внезапная сердечная смерть могут возникать на любой стадии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Гипертрофическая кардиомиопатия характеризуется ги</w:t>
        <w:softHyphen/>
        <w:t>пертрофией левого и/или правого желудочка, при которой обычно происходит асимметричное утолщение межжелу</w:t>
        <w:softHyphen/>
        <w:t>дочковой перегородки. Размеры левого желудочка нор</w:t>
        <w:softHyphen/>
        <w:t>мальные или уменьшены, может определяться систоличес</w:t>
        <w:softHyphen/>
        <w:t>кий градиент в выходном тракте левого желудочка. Семей</w:t>
        <w:softHyphen/>
        <w:t>ные формы болезни наследуются по аутосомно-доминант- ному типу и связаны с мутацией в генах, кодирующих кон</w:t>
        <w:softHyphen/>
        <w:t>трактильные протеины саркомера. Морфологически бо</w:t>
        <w:softHyphen/>
        <w:t>лезнь проявляется гипертрофией миоцитов, нарушенным (хаотичным) их распределением и разрастанием соедини</w:t>
        <w:softHyphen/>
        <w:t>тельной ткани. Болезнь осложняется аритмиями и внезап</w:t>
        <w:softHyphen/>
        <w:t>ной сердечной смертью.</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Рестриктивная кардиомиопатия характеризуется наруше</w:t>
        <w:softHyphen/>
        <w:t>нием расслабления и уменьшением диастолического объ</w:t>
        <w:softHyphen/>
        <w:t>ема левого или обоих желудочков при нормальной систоли</w:t>
        <w:softHyphen/>
        <w:t>ческой функции и толщине миокарда. Морфологически определяется интерстициальный фиброз. Рестриктивная кардиомиопатия может быть идиопатической или связана с другими заболеваниями (например, амилоидоз, эндокар</w:t>
        <w:softHyphen/>
        <w:t>диальный фиброэластоз с или без гиперэозинофилии).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Аритмогенная правожелудочковая кардиомиопатия харак</w:t>
        <w:softHyphen/>
        <w:t>теризуется прогрессирующим фиброжировым замещением миокарда правого желудочка первоначально отдельной зо</w:t>
        <w:softHyphen/>
        <w:t>ны с последующим распространением на весь правый и иногда левый желудочек. Это семейное заболевание с ау- тосомно-доминантным наследованием и неполной пенет- рантностью, некоторые формы наследуются рецессивным путем. Болезнь проявляется аритмиями и внезапной сер</w:t>
        <w:softHyphen/>
        <w:t>дечной смертью преимущественно в молодом возрасте.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Неклассифицированные кардиомиопатии включают заболе</w:t>
        <w:softHyphen/>
        <w:t>вания миокарда, которые не могут быть отнесены в одну из вышеперечисленных форм кардиомиопатий (например, фиб- роэластоз, некомпактный миокард, систолическая дисфунк</w:t>
        <w:softHyphen/>
        <w:t>ция с минимальной дилатацией, митохондриальные болезни).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Некоторые болезни могут иметь проявления одной или нескольких форм кардиомиопатий (например, амилоидоз, гипертоническая болезнь). С другой стороны, аритмии и нарушения проводимости в сердце могут быть обусловле</w:t>
        <w:softHyphen/>
        <w:t>ны первичным поражением миокарда. Однако пока они не включаются в понятие кардиомиопатии.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Специфические кардиомиопатии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Термином «специфические кардиомиопатии» в настоя</w:t>
        <w:softHyphen/>
        <w:t>щее время обозначают заболевания сердечной мышцы, связанные с определенным заболеванием сердца или сис</w:t>
        <w:softHyphen/>
        <w:t>темным заболеванием. Ранее эти состояния обозначали как специфические заболевания сердечной мышцы.</w:t>
      </w:r>
    </w:p>
    <w:p>
      <w:pPr>
        <w:pStyle w:val="Style30"/>
        <w:widowControl w:val="0"/>
        <w:keepNext w:val="0"/>
        <w:keepLines w:val="0"/>
        <w:shd w:val="clear" w:color="auto" w:fill="auto"/>
        <w:bidi w:val="0"/>
        <w:spacing w:before="0" w:after="0"/>
        <w:ind w:left="0" w:right="0" w:firstLine="280"/>
      </w:pPr>
      <w:r>
        <w:rPr>
          <w:rStyle w:val="CharStyle103"/>
        </w:rPr>
        <w:t>Ишемическая кардиомиопатия</w:t>
      </w:r>
      <w:r>
        <w:rPr>
          <w:lang w:val="ru-RU" w:eastAsia="ru-RU" w:bidi="ru-RU"/>
          <w:w w:val="100"/>
          <w:spacing w:val="0"/>
          <w:color w:val="000000"/>
          <w:position w:val="0"/>
        </w:rPr>
        <w:t xml:space="preserve"> проявляется как дилата</w:t>
        <w:softHyphen/>
        <w:t>ционная кардиомиопатия с нарушенной сократительнос- тью левого желудочка, которая не может быть объяснена только степенью поражения коронарных артерий или ише</w:t>
        <w:softHyphen/>
        <w:t>мическим повреждением миокарда.</w:t>
      </w:r>
    </w:p>
    <w:p>
      <w:pPr>
        <w:pStyle w:val="Style30"/>
        <w:widowControl w:val="0"/>
        <w:keepNext w:val="0"/>
        <w:keepLines w:val="0"/>
        <w:shd w:val="clear" w:color="auto" w:fill="auto"/>
        <w:bidi w:val="0"/>
        <w:spacing w:before="0" w:after="0"/>
        <w:ind w:left="0" w:right="0" w:firstLine="280"/>
      </w:pPr>
      <w:r>
        <w:rPr>
          <w:rStyle w:val="CharStyle103"/>
        </w:rPr>
        <w:t>Клапанная кардиомиопатия</w:t>
      </w:r>
      <w:r>
        <w:rPr>
          <w:lang w:val="ru-RU" w:eastAsia="ru-RU" w:bidi="ru-RU"/>
          <w:w w:val="100"/>
          <w:spacing w:val="0"/>
          <w:color w:val="000000"/>
          <w:position w:val="0"/>
        </w:rPr>
        <w:t xml:space="preserve"> проявляется дисфункцией желудочка, пропорциональной величине клапанного пора</w:t>
        <w:softHyphen/>
        <w:t>жения (стенозирования и/или регургитации).</w:t>
      </w:r>
    </w:p>
    <w:p>
      <w:pPr>
        <w:pStyle w:val="Style30"/>
        <w:widowControl w:val="0"/>
        <w:keepNext w:val="0"/>
        <w:keepLines w:val="0"/>
        <w:shd w:val="clear" w:color="auto" w:fill="auto"/>
        <w:bidi w:val="0"/>
        <w:spacing w:before="0" w:after="0"/>
        <w:ind w:left="0" w:right="0" w:firstLine="280"/>
      </w:pPr>
      <w:r>
        <w:rPr>
          <w:rStyle w:val="CharStyle103"/>
        </w:rPr>
        <w:t>Гипертензивная кардиомиопатия</w:t>
      </w:r>
      <w:r>
        <w:rPr>
          <w:lang w:val="ru-RU" w:eastAsia="ru-RU" w:bidi="ru-RU"/>
          <w:w w:val="100"/>
          <w:spacing w:val="0"/>
          <w:color w:val="000000"/>
          <w:position w:val="0"/>
        </w:rPr>
        <w:t xml:space="preserve"> проявляется гипертро</w:t>
        <w:softHyphen/>
        <w:t>фией левого желудочка в сочетании с проявлениями дила</w:t>
        <w:softHyphen/>
        <w:t>тационной или рестриктивной кардиомиопатии и сердеч</w:t>
        <w:softHyphen/>
        <w:t>ной недостаточностью.</w:t>
      </w:r>
    </w:p>
    <w:p>
      <w:pPr>
        <w:pStyle w:val="Style30"/>
        <w:widowControl w:val="0"/>
        <w:keepNext w:val="0"/>
        <w:keepLines w:val="0"/>
        <w:shd w:val="clear" w:color="auto" w:fill="auto"/>
        <w:bidi w:val="0"/>
        <w:spacing w:before="0" w:after="0"/>
        <w:ind w:left="0" w:right="0" w:firstLine="280"/>
      </w:pPr>
      <w:r>
        <w:rPr>
          <w:rStyle w:val="CharStyle103"/>
        </w:rPr>
        <w:t>Воспалительная кардиомиопатия</w:t>
      </w:r>
      <w:r>
        <w:rPr>
          <w:lang w:val="ru-RU" w:eastAsia="ru-RU" w:bidi="ru-RU"/>
          <w:w w:val="100"/>
          <w:spacing w:val="0"/>
          <w:color w:val="000000"/>
          <w:position w:val="0"/>
        </w:rPr>
        <w:t xml:space="preserve"> обусловлена миокар</w:t>
        <w:softHyphen/>
        <w:t>дитом в сочетании с кардиальной дисфункцией. Миокар</w:t>
        <w:softHyphen/>
        <w:t>дит или воспалительное заболевание миокарда устанавли</w:t>
        <w:softHyphen/>
        <w:t>вается по гистологическим, иммунологическим и иммуно</w:t>
        <w:softHyphen/>
        <w:t>гистохимическим критериям. Различают идиопатические, аутоиммунные и инфекционные формы воспалительных кардиомиопатий. Воспалительная миокардиальная болезнь может быть вовлечена в патогенез дилатационной кардио</w:t>
        <w:softHyphen/>
        <w:t>миопатии или других кардиомиопатий, например, болезнь Чагаса, ВИЧ-инфекция, энтеровирусная, аденовирусная и цитомегаловирусная инфекции.</w:t>
      </w:r>
    </w:p>
    <w:p>
      <w:pPr>
        <w:pStyle w:val="Style30"/>
        <w:widowControl w:val="0"/>
        <w:keepNext w:val="0"/>
        <w:keepLines w:val="0"/>
        <w:shd w:val="clear" w:color="auto" w:fill="auto"/>
        <w:bidi w:val="0"/>
        <w:spacing w:before="0" w:after="0"/>
        <w:ind w:left="0" w:right="0" w:firstLine="280"/>
      </w:pPr>
      <w:r>
        <w:rPr>
          <w:rStyle w:val="CharStyle103"/>
        </w:rPr>
        <w:t>Метаболические кардиомиопатии</w:t>
      </w:r>
      <w:r>
        <w:rPr>
          <w:lang w:val="ru-RU" w:eastAsia="ru-RU" w:bidi="ru-RU"/>
          <w:w w:val="100"/>
          <w:spacing w:val="0"/>
          <w:color w:val="000000"/>
          <w:position w:val="0"/>
        </w:rPr>
        <w:t xml:space="preserve"> включают следующие категории:</w:t>
      </w:r>
    </w:p>
    <w:p>
      <w:pPr>
        <w:pStyle w:val="Style30"/>
        <w:widowControl w:val="0"/>
        <w:keepNext w:val="0"/>
        <w:keepLines w:val="0"/>
        <w:shd w:val="clear" w:color="auto" w:fill="auto"/>
        <w:bidi w:val="0"/>
        <w:spacing w:before="0" w:after="0"/>
        <w:ind w:left="520" w:right="0" w:hanging="240"/>
      </w:pPr>
      <w:r>
        <w:pict>
          <v:shape id="_x0000_s1391" type="#_x0000_t75" style="position:absolute;margin-left:137.05pt;margin-top:737.05pt;width:209.75pt;height:14.9pt;z-index:-125829133;mso-wrap-distance-left:136.8pt;mso-wrap-distance-right:148.1pt;mso-wrap-distance-bottom:10.8pt;mso-position-horizontal-relative:margin;mso-position-vertical-relative:margin" wrapcoords="0 0 21600 0 21600 21600 0 21600 0 0">
            <v:imagedata r:id="rId606" r:href="rId607"/>
            <w10:wrap type="topAndBottom" anchorx="margin" anchory="margin"/>
          </v:shape>
        </w:pict>
      </w:r>
      <w:r>
        <w:rPr>
          <w:lang w:val="ru-RU" w:eastAsia="ru-RU" w:bidi="ru-RU"/>
          <w:w w:val="100"/>
          <w:spacing w:val="0"/>
          <w:color w:val="000000"/>
          <w:position w:val="0"/>
        </w:rPr>
        <w:t>• Эндокринные, например, тиреотоксикоз, гипотире</w:t>
        <w:softHyphen/>
        <w:t>оз, адреналовая кортикальная недостаточность, фео- хромоцитома, акромегалия и диабет.</w:t>
      </w:r>
      <w:r>
        <w:br w:type="page"/>
      </w:r>
    </w:p>
    <w:p>
      <w:pPr>
        <w:pStyle w:val="Style30"/>
        <w:numPr>
          <w:ilvl w:val="0"/>
          <w:numId w:val="69"/>
        </w:numPr>
        <w:tabs>
          <w:tab w:leader="none" w:pos="510" w:val="left"/>
        </w:tabs>
        <w:widowControl w:val="0"/>
        <w:keepNext w:val="0"/>
        <w:keepLines w:val="0"/>
        <w:shd w:val="clear" w:color="auto" w:fill="auto"/>
        <w:bidi w:val="0"/>
        <w:spacing w:before="0" w:after="0"/>
        <w:ind w:left="520" w:right="0" w:hanging="240"/>
      </w:pPr>
      <w:r>
        <w:pict>
          <v:shape id="_x0000_s1392" type="#_x0000_t202" style="position:absolute;margin-left:0.7pt;margin-top:0.5pt;width:493.45pt;height:5.e-002pt;z-index:-125829132;mso-wrap-distance-left:5.pt;mso-wrap-distance-right:5.pt;mso-position-horizontal-relative:margin;mso-position-vertical-relative:margin" filled="f" stroked="f">
            <v:textbox style="mso-fit-shape-to-text:t" inset="0,0,0,0">
              <w:txbxContent>
                <w:p>
                  <w:pPr>
                    <w:pStyle w:val="Style39"/>
                    <w:widowControl w:val="0"/>
                    <w:keepNext w:val="0"/>
                    <w:keepLines w:val="0"/>
                    <w:shd w:val="clear" w:color="auto" w:fill="auto"/>
                    <w:bidi w:val="0"/>
                    <w:jc w:val="left"/>
                    <w:spacing w:before="0" w:after="0" w:line="170" w:lineRule="exact"/>
                    <w:ind w:left="0" w:right="0" w:firstLine="0"/>
                  </w:pPr>
                  <w:r>
                    <w:rPr>
                      <w:rStyle w:val="CharStyle94"/>
                      <w:i/>
                      <w:iCs/>
                    </w:rPr>
                    <w:t>Таблица 12</w:t>
                  </w:r>
                </w:p>
                <w:tbl>
                  <w:tblPr>
                    <w:tblOverlap w:val="never"/>
                    <w:tblLayout w:type="fixed"/>
                    <w:jc w:val="center"/>
                  </w:tblPr>
                  <w:tblGrid>
                    <w:gridCol w:w="2774"/>
                    <w:gridCol w:w="2160"/>
                    <w:gridCol w:w="2462"/>
                    <w:gridCol w:w="2472"/>
                  </w:tblGrid>
                  <w:tr>
                    <w:trPr>
                      <w:trHeight w:val="432"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60" w:lineRule="exact"/>
                          <w:ind w:left="0" w:right="0" w:firstLine="0"/>
                        </w:pPr>
                        <w:r>
                          <w:rPr>
                            <w:rStyle w:val="CharStyle102"/>
                          </w:rPr>
                          <w:t>Дефекты генома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92" w:lineRule="exact"/>
                          <w:ind w:left="0" w:right="0" w:firstLine="0"/>
                        </w:pPr>
                        <w:r>
                          <w:rPr>
                            <w:rStyle w:val="CharStyle102"/>
                          </w:rPr>
                          <w:t>Гипертрофическая кардио</w:t>
                          <w:softHyphen/>
                          <w:t>миопатия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Дилатационная кардиомиопатия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Рестриктивная кардиомиопатия</w:t>
                        </w:r>
                      </w:p>
                    </w:tc>
                  </w:tr>
                  <w:tr>
                    <w:trPr>
                      <w:trHeight w:val="235"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Саркомер</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Миозин тяжелых цепей</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Основной миозин светлых цепей</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Регуляторный миозин светлых цепей</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Сердечный актин</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 xml:space="preserve">Тропонин — </w:t>
                        </w:r>
                        <w:r>
                          <w:rPr>
                            <w:rStyle w:val="CharStyle102"/>
                            <w:lang w:val="en-US" w:eastAsia="en-US" w:bidi="en-US"/>
                          </w:rPr>
                          <w:t>T</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 / Делеция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Делеция</w:t>
                        </w: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Тропонин — I</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r>
                  <w:tr>
                    <w:trPr>
                      <w:trHeight w:val="259"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а-Тропомиозин</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 xml:space="preserve">Миозин связывающий протеин </w:t>
                        </w:r>
                        <w:r>
                          <w:rPr>
                            <w:rStyle w:val="CharStyle102"/>
                            <w:lang w:val="en-US" w:eastAsia="en-US" w:bidi="en-US"/>
                          </w:rPr>
                          <w:t>C</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 / Делеция</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Титин/титин — связанный протеин</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Титин</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 / Делеция</w:t>
                        </w: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 xml:space="preserve">Телетонин </w:t>
                        </w:r>
                        <w:r>
                          <w:rPr>
                            <w:rStyle w:val="CharStyle102"/>
                            <w:lang w:val="en-US" w:eastAsia="en-US" w:bidi="en-US"/>
                          </w:rPr>
                          <w:t>(T-cap)</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 xml:space="preserve">Z-disk </w:t>
                        </w:r>
                        <w:r>
                          <w:rPr>
                            <w:rStyle w:val="CharStyle102"/>
                          </w:rPr>
                          <w:t>связанный протеин</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MLP</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Сарколемма цитоскелета</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Дистрофин</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Делеция</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59"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в-Саркогликан</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 xml:space="preserve">Делеция </w:t>
                        </w:r>
                        <w:r>
                          <w:rPr>
                            <w:rStyle w:val="CharStyle102"/>
                            <w:lang w:val="en-US" w:eastAsia="en-US" w:bidi="en-US"/>
                          </w:rPr>
                          <w:t>/duplication</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54"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5-Саркогликан</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54"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а-Дистробревин</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Метавиникулин</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Делеция</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Промежуточное звено филамента</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Десмин</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 xml:space="preserve">Ламин </w:t>
                        </w:r>
                        <w:r>
                          <w:rPr>
                            <w:rStyle w:val="CharStyle102"/>
                            <w:lang w:val="en-US" w:eastAsia="en-US" w:bidi="en-US"/>
                          </w:rPr>
                          <w:t>A/C</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Точечная мутация</w:t>
                        </w:r>
                      </w:p>
                    </w:tc>
                    <w:tc>
                      <w:tcPr>
                        <w:shd w:val="clear" w:color="auto" w:fill="FFFFFF"/>
                        <w:tcBorders>
                          <w:left w:val="single" w:sz="4"/>
                          <w:top w:val="single" w:sz="4"/>
                          <w:bottom w:val="single" w:sz="4"/>
                        </w:tcBorders>
                        <w:vAlign w:val="top"/>
                      </w:tcPr>
                      <w:p>
                        <w:pPr>
                          <w:widowControl w:val="0"/>
                          <w:rPr>
                            <w:sz w:val="10"/>
                            <w:szCs w:val="10"/>
                          </w:rPr>
                        </w:pP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widowControl w:val="0"/>
                    <w:rPr>
                      <w:sz w:val="2"/>
                      <w:szCs w:val="2"/>
                    </w:rPr>
                  </w:pPr>
                </w:p>
              </w:txbxContent>
            </v:textbox>
            <w10:wrap type="topAndBottom" anchorx="margin" anchory="margin"/>
          </v:shape>
        </w:pict>
      </w:r>
      <w:r>
        <w:rPr>
          <w:lang w:val="ru-RU" w:eastAsia="ru-RU" w:bidi="ru-RU"/>
          <w:w w:val="100"/>
          <w:spacing w:val="0"/>
          <w:color w:val="000000"/>
          <w:position w:val="0"/>
        </w:rPr>
        <w:t>Семейные болезни накопления и инфильтративные заболевания, например, гемохроматоз, гликогенозы, мукополисахаридозы, сфинголипидозы.</w:t>
      </w:r>
    </w:p>
    <w:p>
      <w:pPr>
        <w:pStyle w:val="Style30"/>
        <w:numPr>
          <w:ilvl w:val="0"/>
          <w:numId w:val="69"/>
        </w:numPr>
        <w:tabs>
          <w:tab w:leader="none" w:pos="51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Дефицитарные состояния, например, нарушения ме</w:t>
        <w:softHyphen/>
        <w:t>таболизма калия, дефицит магния, квашиоркор, ане</w:t>
        <w:softHyphen/>
        <w:t>мия, болезнь бери-бери, дефицит селена.</w:t>
      </w:r>
    </w:p>
    <w:p>
      <w:pPr>
        <w:pStyle w:val="Style30"/>
        <w:numPr>
          <w:ilvl w:val="0"/>
          <w:numId w:val="69"/>
        </w:numPr>
        <w:tabs>
          <w:tab w:leader="none" w:pos="51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Амилоидоз, например первичный, вторичный, се</w:t>
        <w:softHyphen/>
        <w:t>мейный амилоидоз, наследственный амилоидоз сердца, сенильный амилоидоз.</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Этиология первичных (идиопатических) кардиомиопа</w:t>
        <w:softHyphen/>
        <w:t>тий остается невыясненной. По крайней мере, в 30-60% случаев кардиомиопатии имеют наследственную основу. В табл. 12 представлены основные дефекты генома, обнару</w:t>
        <w:softHyphen/>
        <w:t>живаемые при дилатационной, гипертрофической и рест</w:t>
        <w:softHyphen/>
        <w:t>риктивной КМП.</w:t>
      </w:r>
    </w:p>
    <w:p>
      <w:pPr>
        <w:pStyle w:val="Style28"/>
        <w:widowControl w:val="0"/>
        <w:keepNext/>
        <w:keepLines/>
        <w:shd w:val="clear" w:color="auto" w:fill="auto"/>
        <w:bidi w:val="0"/>
        <w:jc w:val="left"/>
        <w:spacing w:before="0" w:after="157" w:line="220" w:lineRule="exact"/>
        <w:ind w:left="0" w:right="0" w:firstLine="0"/>
      </w:pPr>
      <w:bookmarkStart w:id="448" w:name="bookmark448"/>
      <w:r>
        <w:rPr>
          <w:lang w:val="ru-RU" w:eastAsia="ru-RU" w:bidi="ru-RU"/>
          <w:w w:val="100"/>
          <w:spacing w:val="0"/>
          <w:color w:val="000000"/>
          <w:position w:val="0"/>
        </w:rPr>
        <w:t>Гипертрофическая кардиомиопатия</w:t>
      </w:r>
      <w:bookmarkEnd w:id="44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Гипертрофическая кардиомиопатия (ГКМП) характери</w:t>
        <w:softHyphen/>
        <w:t>зуется гипертрофией левого и/или правого желудочка, при которой обычно происходит асимметричное утолще</w:t>
        <w:softHyphen/>
        <w:t>ние межжелудочковой перегородки. Размеры левого желу</w:t>
        <w:softHyphen/>
        <w:t>дочка нормальные или уменьшены, может определяться систолический градиент в выходном тракте левого желу</w:t>
        <w:softHyphen/>
        <w:t>дочка. Семейные формы болезни наследуются по аутосо- мно-доминантному типу и связаны с мутацией в генах, ко</w:t>
        <w:softHyphen/>
        <w:t>дирующих контрактильные протеины саркомера. Морфо</w:t>
        <w:softHyphen/>
        <w:t>логически болезнь проявляется гипертрофией миоцитов, нарушенным (хаотичным) их распределением и разраста</w:t>
        <w:softHyphen/>
        <w:t>нием соединительной ткани. Болезнь осложняется аритми</w:t>
        <w:softHyphen/>
        <w:t xml:space="preserve">ями и внезапной сердечной смертью (определение </w:t>
      </w:r>
      <w:r>
        <w:rPr>
          <w:lang w:val="en-US" w:eastAsia="en-US" w:bidi="en-US"/>
          <w:w w:val="100"/>
          <w:spacing w:val="0"/>
          <w:color w:val="000000"/>
          <w:position w:val="0"/>
        </w:rPr>
        <w:t xml:space="preserve">WHO/ISFC, </w:t>
      </w:r>
      <w:r>
        <w:rPr>
          <w:lang w:val="ru-RU" w:eastAsia="ru-RU" w:bidi="ru-RU"/>
          <w:w w:val="100"/>
          <w:spacing w:val="0"/>
          <w:color w:val="000000"/>
          <w:position w:val="0"/>
        </w:rPr>
        <w:t>1995).</w:t>
      </w:r>
    </w:p>
    <w:p>
      <w:pPr>
        <w:pStyle w:val="Style92"/>
        <w:widowControl w:val="0"/>
        <w:keepNext/>
        <w:keepLines/>
        <w:shd w:val="clear" w:color="auto" w:fill="auto"/>
        <w:bidi w:val="0"/>
        <w:spacing w:before="0" w:after="0"/>
        <w:ind w:left="280" w:right="0"/>
      </w:pPr>
      <w:r>
        <w:br w:type="column"/>
      </w:r>
      <w:bookmarkStart w:id="449" w:name="bookmark449"/>
      <w:r>
        <w:rPr>
          <w:lang w:val="ru-RU" w:eastAsia="ru-RU" w:bidi="ru-RU"/>
          <w:w w:val="100"/>
          <w:spacing w:val="0"/>
          <w:color w:val="000000"/>
          <w:position w:val="0"/>
        </w:rPr>
        <w:t>Краткая историческая справка</w:t>
      </w:r>
      <w:bookmarkEnd w:id="449"/>
    </w:p>
    <w:p>
      <w:pPr>
        <w:pStyle w:val="Style30"/>
        <w:numPr>
          <w:ilvl w:val="0"/>
          <w:numId w:val="69"/>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Гипертрофическая кардиомиопатия была впервые описана французскими анатомами </w:t>
      </w:r>
      <w:r>
        <w:rPr>
          <w:lang w:val="en-US" w:eastAsia="en-US" w:bidi="en-US"/>
          <w:w w:val="100"/>
          <w:spacing w:val="0"/>
          <w:color w:val="000000"/>
          <w:position w:val="0"/>
        </w:rPr>
        <w:t xml:space="preserve">Liouville H. </w:t>
      </w:r>
      <w:r>
        <w:rPr>
          <w:lang w:val="ru-RU" w:eastAsia="ru-RU" w:bidi="ru-RU"/>
          <w:w w:val="100"/>
          <w:spacing w:val="0"/>
          <w:color w:val="000000"/>
          <w:position w:val="0"/>
        </w:rPr>
        <w:t xml:space="preserve">и </w:t>
      </w:r>
      <w:r>
        <w:rPr>
          <w:lang w:val="en-US" w:eastAsia="en-US" w:bidi="en-US"/>
          <w:w w:val="100"/>
          <w:spacing w:val="0"/>
          <w:color w:val="000000"/>
          <w:position w:val="0"/>
        </w:rPr>
        <w:t xml:space="preserve">Hallopeau L. </w:t>
      </w:r>
      <w:r>
        <w:rPr>
          <w:lang w:val="ru-RU" w:eastAsia="ru-RU" w:bidi="ru-RU"/>
          <w:w w:val="100"/>
          <w:spacing w:val="0"/>
          <w:color w:val="000000"/>
          <w:position w:val="0"/>
        </w:rPr>
        <w:t>в середине XIX века и германским ана</w:t>
        <w:softHyphen/>
        <w:t xml:space="preserve">томом </w:t>
      </w:r>
      <w:r>
        <w:rPr>
          <w:lang w:val="en-US" w:eastAsia="en-US" w:bidi="en-US"/>
          <w:w w:val="100"/>
          <w:spacing w:val="0"/>
          <w:color w:val="000000"/>
          <w:position w:val="0"/>
        </w:rPr>
        <w:t xml:space="preserve">Schmincke A. </w:t>
      </w:r>
      <w:r>
        <w:rPr>
          <w:lang w:val="ru-RU" w:eastAsia="ru-RU" w:bidi="ru-RU"/>
          <w:w w:val="100"/>
          <w:spacing w:val="0"/>
          <w:color w:val="000000"/>
          <w:position w:val="0"/>
        </w:rPr>
        <w:t>в начале XX столетия.</w:t>
      </w:r>
    </w:p>
    <w:p>
      <w:pPr>
        <w:pStyle w:val="Style30"/>
        <w:numPr>
          <w:ilvl w:val="0"/>
          <w:numId w:val="69"/>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Клинические проявления болезни были впервые со</w:t>
        <w:softHyphen/>
        <w:t xml:space="preserve">общены </w:t>
      </w:r>
      <w:r>
        <w:rPr>
          <w:lang w:val="en-US" w:eastAsia="en-US" w:bidi="en-US"/>
          <w:w w:val="100"/>
          <w:spacing w:val="0"/>
          <w:color w:val="000000"/>
          <w:position w:val="0"/>
        </w:rPr>
        <w:t xml:space="preserve">Brock R.C. </w:t>
      </w:r>
      <w:r>
        <w:rPr>
          <w:lang w:val="ru-RU" w:eastAsia="ru-RU" w:bidi="ru-RU"/>
          <w:w w:val="100"/>
          <w:spacing w:val="0"/>
          <w:color w:val="000000"/>
          <w:position w:val="0"/>
        </w:rPr>
        <w:t xml:space="preserve">в 1957 году и </w:t>
      </w:r>
      <w:r>
        <w:rPr>
          <w:lang w:val="en-US" w:eastAsia="en-US" w:bidi="en-US"/>
          <w:w w:val="100"/>
          <w:spacing w:val="0"/>
          <w:color w:val="000000"/>
          <w:position w:val="0"/>
        </w:rPr>
        <w:t xml:space="preserve">Teare R.D. </w:t>
      </w:r>
      <w:r>
        <w:rPr>
          <w:lang w:val="ru-RU" w:eastAsia="ru-RU" w:bidi="ru-RU"/>
          <w:w w:val="100"/>
          <w:spacing w:val="0"/>
          <w:color w:val="000000"/>
          <w:position w:val="0"/>
        </w:rPr>
        <w:t>в 1958 году. Познания в области ГКМП усовершенствова</w:t>
        <w:softHyphen/>
        <w:t>лись по мере развития кардиологии. В 1960-1970 го</w:t>
        <w:softHyphen/>
        <w:t>дах исследования были сосредоточены на клиничес</w:t>
        <w:softHyphen/>
        <w:t>ких, гемодинамических и ангиокардиографических проявлениях обструктивной ГКМП, ранее обозна</w:t>
        <w:softHyphen/>
        <w:t>чавшейся идиопатическим гипертрофическим суба</w:t>
        <w:softHyphen/>
        <w:t>ортальным стенозом.</w:t>
      </w:r>
    </w:p>
    <w:p>
      <w:pPr>
        <w:pStyle w:val="Style30"/>
        <w:numPr>
          <w:ilvl w:val="0"/>
          <w:numId w:val="69"/>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 1970 по 1990 годы были выполнены допплерэхокар</w:t>
        <w:softHyphen/>
        <w:t>диографические исследования, томография, ядерный магнитный резонанс, позитронно эмиссионная то</w:t>
        <w:softHyphen/>
        <w:t>мография, позволившие изменить наши представле</w:t>
        <w:softHyphen/>
        <w:t>ния о систолической и диастолической функции при ГКМП, а также установить роль миокардиальной ишемии при ГКМП. С внедрением электрофизиоло</w:t>
        <w:softHyphen/>
        <w:t>гической техники была раскрыта роль предсердных и желудочковых аритмий, которые являются важным проявлением ГКМП.</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Частота</w:t>
      </w:r>
    </w:p>
    <w:p>
      <w:pPr>
        <w:pStyle w:val="Style30"/>
        <w:numPr>
          <w:ilvl w:val="0"/>
          <w:numId w:val="69"/>
        </w:numPr>
        <w:tabs>
          <w:tab w:leader="none" w:pos="240" w:val="left"/>
        </w:tabs>
        <w:widowControl w:val="0"/>
        <w:keepNext w:val="0"/>
        <w:keepLines w:val="0"/>
        <w:shd w:val="clear" w:color="auto" w:fill="auto"/>
        <w:bidi w:val="0"/>
        <w:spacing w:before="0" w:after="0"/>
        <w:ind w:left="280" w:right="0" w:hanging="280"/>
      </w:pPr>
      <w:r>
        <w:pict>
          <v:shape id="_x0000_s1393" type="#_x0000_t75" style="position:absolute;margin-left:148.3pt;margin-top:737.05pt;width:209.75pt;height:14.9pt;z-index:-125829131;mso-wrap-distance-left:148.1pt;mso-wrap-distance-right:136.8pt;mso-wrap-distance-bottom:10.8pt;mso-position-horizontal-relative:margin;mso-position-vertical-relative:margin" wrapcoords="0 0 21600 0 21600 21600 0 21600 0 0">
            <v:imagedata r:id="rId608" r:href="rId609"/>
            <w10:wrap type="topAndBottom" anchorx="margin" anchory="margin"/>
          </v:shape>
        </w:pict>
      </w:r>
      <w:r>
        <w:rPr>
          <w:lang w:val="ru-RU" w:eastAsia="ru-RU" w:bidi="ru-RU"/>
          <w:w w:val="100"/>
          <w:spacing w:val="0"/>
          <w:color w:val="000000"/>
          <w:position w:val="0"/>
        </w:rPr>
        <w:t>Поскольку возраст проявления ГКМП варьирует и существует большое число семейных форм ГКМП, протекающих субклинически, истинная частота за</w:t>
        <w:softHyphen/>
        <w:t>болевания не установлена. ГКМП составляет от 20 до 30% среди всех случаев первичных миокардиальных болезней, популяционная частота составляет 2,5 на 100 000 населения.</w:t>
      </w:r>
      <w:r>
        <w:br w:type="page"/>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ГКМП наблюдается значительно чаще и встречается, по данным эхокардиографических исследований, в общей популяции в 0,5% случаев.</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ГКМП значительно преобладает у пациентов с элек</w:t>
        <w:softHyphen/>
        <w:t>трокардиографическими аномалиями по сравнению с пациентами с нормальными показателями ЭКГ (3,6% и 0,8% соответственно).</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Этиология</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Еще ранее клиническими, генетическими, а в после</w:t>
        <w:softHyphen/>
        <w:t>дующем молекулярно-генетическими исследования</w:t>
        <w:softHyphen/>
        <w:t>ми был достигнут существенный прогресс в понима</w:t>
        <w:softHyphen/>
        <w:t>нии ГКМП как аутосомно-доминантного заболева</w:t>
        <w:softHyphen/>
        <w:t>ния, при котором тяжесть и прогноз болезни опреде</w:t>
        <w:softHyphen/>
        <w:t>лены генетическими факторами.</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настоящее время ГКМП рассматривается как гете</w:t>
        <w:softHyphen/>
        <w:t>рогенная болезнь саркомера, в котором не менее 34 точечных мутаций обнаружено в гене Р-миозина тя</w:t>
        <w:softHyphen/>
        <w:t xml:space="preserve">желых цепей (хромосома </w:t>
      </w:r>
      <w:r>
        <w:rPr>
          <w:lang w:val="en-US" w:eastAsia="en-US" w:bidi="en-US"/>
          <w:w w:val="100"/>
          <w:spacing w:val="0"/>
          <w:color w:val="000000"/>
          <w:position w:val="0"/>
        </w:rPr>
        <w:t xml:space="preserve">14q11-q12), </w:t>
      </w:r>
      <w:r>
        <w:rPr>
          <w:lang w:val="ru-RU" w:eastAsia="ru-RU" w:bidi="ru-RU"/>
          <w:w w:val="100"/>
          <w:spacing w:val="0"/>
          <w:color w:val="000000"/>
          <w:position w:val="0"/>
        </w:rPr>
        <w:t xml:space="preserve">7 мутаций в гене сердечного тропонина-Т (хромосома 1) и 2 мутации в гене а-тропомиозина (хромосома </w:t>
      </w:r>
      <w:r>
        <w:rPr>
          <w:lang w:val="en-US" w:eastAsia="en-US" w:bidi="en-US"/>
          <w:w w:val="100"/>
          <w:spacing w:val="0"/>
          <w:color w:val="000000"/>
          <w:position w:val="0"/>
        </w:rPr>
        <w:t xml:space="preserve">15q2). </w:t>
      </w:r>
      <w:r>
        <w:rPr>
          <w:lang w:val="ru-RU" w:eastAsia="ru-RU" w:bidi="ru-RU"/>
          <w:w w:val="100"/>
          <w:spacing w:val="0"/>
          <w:color w:val="000000"/>
          <w:position w:val="0"/>
        </w:rPr>
        <w:t>Другие ло</w:t>
        <w:softHyphen/>
        <w:t xml:space="preserve">кусы были обнаружены на хромосоме </w:t>
      </w:r>
      <w:r>
        <w:rPr>
          <w:lang w:val="en-US" w:eastAsia="en-US" w:bidi="en-US"/>
          <w:w w:val="100"/>
          <w:spacing w:val="0"/>
          <w:color w:val="000000"/>
          <w:position w:val="0"/>
        </w:rPr>
        <w:t xml:space="preserve">11p13-q13 </w:t>
      </w:r>
      <w:r>
        <w:rPr>
          <w:lang w:val="ru-RU" w:eastAsia="ru-RU" w:bidi="ru-RU"/>
          <w:w w:val="100"/>
          <w:spacing w:val="0"/>
          <w:color w:val="000000"/>
          <w:position w:val="0"/>
        </w:rPr>
        <w:t xml:space="preserve">при семейной ГКМП в сочетании с синдромом Вольфа- Паркинсона-Уайта на хромосоме </w:t>
      </w:r>
      <w:r>
        <w:rPr>
          <w:lang w:val="en-US" w:eastAsia="en-US" w:bidi="en-US"/>
          <w:w w:val="100"/>
          <w:spacing w:val="0"/>
          <w:color w:val="000000"/>
          <w:position w:val="0"/>
        </w:rPr>
        <w:t xml:space="preserve">7q3. </w:t>
      </w:r>
      <w:r>
        <w:rPr>
          <w:lang w:val="ru-RU" w:eastAsia="ru-RU" w:bidi="ru-RU"/>
          <w:w w:val="100"/>
          <w:spacing w:val="0"/>
          <w:color w:val="000000"/>
          <w:position w:val="0"/>
        </w:rPr>
        <w:t>Субъединицы миозина — мутации в гене, кодирующем тяжелую цепь миозина (его сердечной изоформы — Р-миози- на), наиболее часто ассоциированы с развитием ГКМП — по разным оценкам, от 30% до 50% случаев. Почти все мутации, вызывающие нарушение функ</w:t>
        <w:softHyphen/>
        <w:t>ции белка, приводящее к ГКМП, являются миссенс- мутациями и локализованы в экзонах, кодирующих миозиновую головку, а также область перехода от го</w:t>
        <w:softHyphen/>
        <w:t>ловки к хвосту. В некоторых участках мутации проис</w:t>
        <w:softHyphen/>
        <w:t xml:space="preserve">ходят наиболее часто, и можно выделить «горячие точки» </w:t>
      </w:r>
      <w:r>
        <w:rPr>
          <w:lang w:val="en-US" w:eastAsia="en-US" w:bidi="en-US"/>
          <w:w w:val="100"/>
          <w:spacing w:val="0"/>
          <w:color w:val="000000"/>
          <w:position w:val="0"/>
        </w:rPr>
        <w:t xml:space="preserve">(hot spots) </w:t>
      </w:r>
      <w:r>
        <w:rPr>
          <w:lang w:val="ru-RU" w:eastAsia="ru-RU" w:bidi="ru-RU"/>
          <w:w w:val="100"/>
          <w:spacing w:val="0"/>
          <w:color w:val="000000"/>
          <w:position w:val="0"/>
        </w:rPr>
        <w:t>мутирования: в кодоне 403, к при</w:t>
        <w:softHyphen/>
        <w:t>меру, известно 3 различных миссенс-мутации. Ген тя</w:t>
        <w:softHyphen/>
        <w:t>желой цепи миозина — первый ген, для которого бы</w:t>
        <w:softHyphen/>
        <w:t>ло установлено сцепление с ГКМП и описана мис- сенс-мутация.</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Нарушения, вызванные аминокислотными заменами в двух субъединицах легких цепей миозина — эссен- циальной и регуляторной, также могут приводить к развитию гипертрофии миокарда, но это, в отличие от тяжелой цепи миозина, наоборот, наименее рас</w:t>
        <w:softHyphen/>
        <w:t>пространенная причина ГКМП (см. табл.). Все опи</w:t>
        <w:softHyphen/>
        <w:t>санные к настоящему времени мутации являются миссенс-мутациями.</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Из трех составляющих тропонинового комплекса связь с ГКМП установлена для двух — тропонина Т и тропонина I. Почти все описанные мутации в этих генах ведут к замене или пропуску аминокислоты, за исключением одной мутации сплайсинга в донор</w:t>
        <w:softHyphen/>
        <w:t>ном сайте интрона 15 гена тропонина Т, которая при</w:t>
        <w:softHyphen/>
        <w:t>водит к образованию укороченного белка. В этом ге</w:t>
        <w:softHyphen/>
        <w:t>не выявлена также «горячая точка» мутирования — кодон 102, в котором известно 3 мутации. ГКМП, связанная с мутациями этого гена, характеризуется небольшой степенью гипертрофии, но в то же время неблагоприятным прогнозом, связанным с высокой вероятностью внезапной смерти.</w:t>
      </w:r>
    </w:p>
    <w:p>
      <w:pPr>
        <w:pStyle w:val="Style30"/>
        <w:numPr>
          <w:ilvl w:val="0"/>
          <w:numId w:val="6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Альфа-тропомиозин имеет несколько изоформ, об</w:t>
        <w:softHyphen/>
        <w:t>разующихся в результате альтернативного сплайсин</w:t>
        <w:softHyphen/>
        <w:t>га. В миокарде экспрессируется специфичная для</w:t>
        <w:br w:type="column"/>
        <w:t>сердца изоформа. Мутации в этом гене — редкая при</w:t>
        <w:softHyphen/>
        <w:t>чина ГКМП, около 3% случаев. Описано четыре мис</w:t>
        <w:softHyphen/>
        <w:t xml:space="preserve">сенс-мутации </w:t>
      </w:r>
      <w:r>
        <w:rPr>
          <w:lang w:val="en-US" w:eastAsia="en-US" w:bidi="en-US"/>
          <w:w w:val="100"/>
          <w:spacing w:val="0"/>
          <w:color w:val="000000"/>
          <w:position w:val="0"/>
        </w:rPr>
        <w:t xml:space="preserve">(Bonne et al., </w:t>
      </w:r>
      <w:r>
        <w:rPr>
          <w:lang w:val="ru-RU" w:eastAsia="ru-RU" w:bidi="ru-RU"/>
          <w:w w:val="100"/>
          <w:spacing w:val="0"/>
          <w:color w:val="000000"/>
          <w:position w:val="0"/>
        </w:rPr>
        <w:t>1998). Кодон 175 является «горячей точкой» мутирования.</w:t>
      </w:r>
    </w:p>
    <w:p>
      <w:pPr>
        <w:pStyle w:val="Style30"/>
        <w:numPr>
          <w:ilvl w:val="0"/>
          <w:numId w:val="6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С-белок — миозин-связывающий белок, принадле</w:t>
        <w:softHyphen/>
        <w:t>жащий к суперсемейству внутриклеточных иммуно</w:t>
        <w:softHyphen/>
        <w:t xml:space="preserve">глобулинов, расположенный на миозиновых фила- ментах и, вероятно, ответственный за стабильность их структуры </w:t>
      </w:r>
      <w:r>
        <w:rPr>
          <w:lang w:val="en-US" w:eastAsia="en-US" w:bidi="en-US"/>
          <w:w w:val="100"/>
          <w:spacing w:val="0"/>
          <w:color w:val="000000"/>
          <w:position w:val="0"/>
        </w:rPr>
        <w:t xml:space="preserve">(Yu et al., </w:t>
      </w:r>
      <w:r>
        <w:rPr>
          <w:lang w:val="ru-RU" w:eastAsia="ru-RU" w:bidi="ru-RU"/>
          <w:w w:val="100"/>
          <w:spacing w:val="0"/>
          <w:color w:val="000000"/>
          <w:position w:val="0"/>
        </w:rPr>
        <w:t xml:space="preserve">1998). В отличие от мутаций в других генах ГКМП, большинство мутаций в гене </w:t>
      </w:r>
      <w:r>
        <w:rPr>
          <w:lang w:val="en-US" w:eastAsia="en-US" w:bidi="en-US"/>
          <w:w w:val="100"/>
          <w:spacing w:val="0"/>
          <w:color w:val="000000"/>
          <w:position w:val="0"/>
        </w:rPr>
        <w:t xml:space="preserve">MyBP-C </w:t>
      </w:r>
      <w:r>
        <w:rPr>
          <w:lang w:val="ru-RU" w:eastAsia="ru-RU" w:bidi="ru-RU"/>
          <w:w w:val="100"/>
          <w:spacing w:val="0"/>
          <w:color w:val="000000"/>
          <w:position w:val="0"/>
        </w:rPr>
        <w:t>являются мутациями сплайсинга (в донор</w:t>
        <w:softHyphen/>
        <w:t>ных или акцепторных сайтах интронов) или же деле- циями/инсерциями, сдвигающими рамку считыва</w:t>
        <w:softHyphen/>
        <w:t>ния с образованием преждевременного стоп-кодона. Эти мутации приводят к трансляции укороченного белка, в котором отсутствует С-концевая часть, от</w:t>
        <w:softHyphen/>
        <w:t xml:space="preserve">ветственная за связывание миозина и титина </w:t>
      </w:r>
      <w:r>
        <w:rPr>
          <w:lang w:val="en-US" w:eastAsia="en-US" w:bidi="en-US"/>
          <w:w w:val="100"/>
          <w:spacing w:val="0"/>
          <w:color w:val="000000"/>
          <w:position w:val="0"/>
        </w:rPr>
        <w:t xml:space="preserve">(Carrier et al., </w:t>
      </w:r>
      <w:r>
        <w:rPr>
          <w:lang w:val="ru-RU" w:eastAsia="ru-RU" w:bidi="ru-RU"/>
          <w:w w:val="100"/>
          <w:spacing w:val="0"/>
          <w:color w:val="000000"/>
          <w:position w:val="0"/>
        </w:rPr>
        <w:t>1997).</w:t>
      </w:r>
    </w:p>
    <w:p>
      <w:pPr>
        <w:pStyle w:val="Style30"/>
        <w:numPr>
          <w:ilvl w:val="0"/>
          <w:numId w:val="6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Актин, альфа, сердечная изоформа </w:t>
      </w:r>
      <w:r>
        <w:rPr>
          <w:lang w:val="en-US" w:eastAsia="en-US" w:bidi="en-US"/>
          <w:w w:val="100"/>
          <w:spacing w:val="0"/>
          <w:color w:val="000000"/>
          <w:position w:val="0"/>
        </w:rPr>
        <w:t xml:space="preserve">— </w:t>
      </w:r>
      <w:r>
        <w:rPr>
          <w:lang w:val="ru-RU" w:eastAsia="ru-RU" w:bidi="ru-RU"/>
          <w:w w:val="100"/>
          <w:spacing w:val="0"/>
          <w:color w:val="000000"/>
          <w:position w:val="0"/>
        </w:rPr>
        <w:t>единственный ген, мутации которого описаны и при гипертрофиче</w:t>
        <w:softHyphen/>
        <w:t>ской, и при дилатационной кардиомиопатии. Выска</w:t>
        <w:softHyphen/>
        <w:t>зано предположение, что к формированию фенотипа ГКМП приводят мутации, влияющие на сократитель</w:t>
        <w:softHyphen/>
        <w:t>ную функцию саркомера, тогда как мутации в этом же гене, влияющие на передачу силы от саркомера к ок</w:t>
        <w:softHyphen/>
        <w:t>ружающему синцитию, ведут к развитию дилатацион</w:t>
        <w:softHyphen/>
        <w:t xml:space="preserve">ной кардиомиопатии </w:t>
      </w:r>
      <w:r>
        <w:rPr>
          <w:lang w:val="en-US" w:eastAsia="en-US" w:bidi="en-US"/>
          <w:w w:val="100"/>
          <w:spacing w:val="0"/>
          <w:color w:val="000000"/>
          <w:position w:val="0"/>
        </w:rPr>
        <w:t xml:space="preserve">(Mogensen et al., </w:t>
      </w:r>
      <w:r>
        <w:rPr>
          <w:lang w:val="ru-RU" w:eastAsia="ru-RU" w:bidi="ru-RU"/>
          <w:w w:val="100"/>
          <w:spacing w:val="0"/>
          <w:color w:val="000000"/>
          <w:position w:val="0"/>
        </w:rPr>
        <w:t>1999).</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Морфологические проявления</w:t>
      </w:r>
    </w:p>
    <w:p>
      <w:pPr>
        <w:pStyle w:val="Style30"/>
        <w:numPr>
          <w:ilvl w:val="0"/>
          <w:numId w:val="6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Наиболее характерной морфологической аномалией при ГКМП является гипертрофированный и недила- тированный левый желудочек. Масса сердца обычно значительно увеличена до 600-650 г, в некоторых слу</w:t>
        <w:softHyphen/>
        <w:t>чаях до 1200-1300 г. Полость левого желудочка нор</w:t>
        <w:softHyphen/>
        <w:t>мальных размеров или уменьшена, большая масса ле</w:t>
        <w:softHyphen/>
        <w:t>вого желудочка обусловлена увеличением толщины миокардиальных стенок.</w:t>
      </w:r>
    </w:p>
    <w:p>
      <w:pPr>
        <w:pStyle w:val="Style30"/>
        <w:numPr>
          <w:ilvl w:val="0"/>
          <w:numId w:val="6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ГКМП наиболее часто проявляется гипертрофией межжелудочковой перегородки (90% среди всех форм ГКМП), может локализоваться в средней части лево</w:t>
        <w:softHyphen/>
        <w:t>го желудочка (3%), в области верхушки (3%), редко определяется в других участках левого и/или правого желудочка (1%). Симметричная форма ГКМП со</w:t>
        <w:softHyphen/>
        <w:t>ставляет 5% среди всех форм заболевания. Степень гипертрофии и ее локализация определяют клиниче</w:t>
        <w:softHyphen/>
        <w:t>ские проявления болезни.</w:t>
      </w:r>
    </w:p>
    <w:p>
      <w:pPr>
        <w:pStyle w:val="Style30"/>
        <w:numPr>
          <w:ilvl w:val="0"/>
          <w:numId w:val="6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Дополнительными проявлениями могут быть дилата</w:t>
        <w:softHyphen/>
        <w:t>ция левого предсердия, утолщение створок митраль</w:t>
        <w:softHyphen/>
        <w:t>ного клапана, фиброз желудочковой стенки и фиброз эндокарда левого желудочка в области, противопо</w:t>
        <w:softHyphen/>
        <w:t>ложной передней створке митрального клапана (ве</w:t>
        <w:softHyphen/>
        <w:t>роятно, в результате систолического и диастоличес</w:t>
        <w:softHyphen/>
        <w:t>кого контакта между митральным клапаном и меж</w:t>
        <w:softHyphen/>
        <w:t>желудочковой перегородкой). Гипертрофия обнару</w:t>
        <w:softHyphen/>
        <w:t>живается и в стенках интрамуральных коронарных артерий, что приводит к уменьшению просвета сосу</w:t>
        <w:softHyphen/>
        <w:t>да и компрессии ветвей коронарной артерии, кровос</w:t>
        <w:softHyphen/>
        <w:t>набжающих межжелудочковую перегородку.</w:t>
      </w:r>
    </w:p>
    <w:p>
      <w:pPr>
        <w:pStyle w:val="Style30"/>
        <w:numPr>
          <w:ilvl w:val="0"/>
          <w:numId w:val="69"/>
        </w:numPr>
        <w:tabs>
          <w:tab w:leader="none" w:pos="235" w:val="left"/>
        </w:tabs>
        <w:widowControl w:val="0"/>
        <w:keepNext w:val="0"/>
        <w:keepLines w:val="0"/>
        <w:shd w:val="clear" w:color="auto" w:fill="auto"/>
        <w:bidi w:val="0"/>
        <w:spacing w:before="0" w:after="0"/>
        <w:ind w:left="260" w:right="0"/>
      </w:pPr>
      <w:r>
        <w:pict>
          <v:shape id="_x0000_s1394" type="#_x0000_t75" style="position:absolute;margin-left:130.8pt;margin-top:737.05pt;width:209.75pt;height:14.9pt;z-index:-125829130;mso-wrap-distance-left:124.3pt;mso-wrap-distance-right:148.1pt;mso-wrap-distance-bottom:10.8pt;mso-position-horizontal-relative:margin;mso-position-vertical-relative:margin" wrapcoords="0 0 21600 0 21600 21600 0 21600 0 0">
            <v:imagedata r:id="rId610" r:href="rId611"/>
            <w10:wrap type="topAndBottom" anchorx="margin" anchory="margin"/>
          </v:shape>
        </w:pict>
      </w:r>
      <w:r>
        <w:rPr>
          <w:lang w:val="ru-RU" w:eastAsia="ru-RU" w:bidi="ru-RU"/>
          <w:w w:val="100"/>
          <w:spacing w:val="0"/>
          <w:color w:val="000000"/>
          <w:position w:val="0"/>
        </w:rPr>
        <w:t>Гипертрофия левого желудочка и межжелудочковой перегородки может варьировать в широких пределах. У большинства пациентов (90%) гипертрофия наблю</w:t>
        <w:softHyphen/>
        <w:t>дается преимущественно в области межжелудочковой перегородки и переднебоковой стенки левого желу-</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дочка, при этом задний сегмент свободной стенки ле</w:t>
        <w:softHyphen/>
        <w:t>вого желудочка остается интактным. У некоторых па</w:t>
        <w:softHyphen/>
        <w:t>циентов определяется только гипертрофия межжелу</w:t>
        <w:softHyphen/>
        <w:t>дочковой перегородки. Иногда гипертрофия может быть локализованной и локализоваться в определен</w:t>
        <w:softHyphen/>
        <w:t>ных зонах миокарда. Такая сегментарная гипертрофия может быть в области передней или задней стенки, постериобазальной или переднелатеральной стенки или в области верхушки. Вариабельность морфологи</w:t>
        <w:softHyphen/>
        <w:t>ческой экспрессии гипертрофической кардиомиопа</w:t>
        <w:softHyphen/>
        <w:t>тии может быть обусловлена различными генетичес</w:t>
        <w:softHyphen/>
        <w:t>кими факторами болезни. У новорожденных с ГКМП обычно проявляется значительным утолщением пере</w:t>
        <w:softHyphen/>
        <w:t>городки, которая приводит к бивентрикулярной об</w:t>
        <w:softHyphen/>
        <w:t>струкции выходных трактов и симптомам застойной сердечной недостаточности. У многих из этих ново</w:t>
        <w:softHyphen/>
        <w:t>рожденных определяется концентрическая гипертро</w:t>
        <w:softHyphen/>
        <w:t>фия. В типичных случаях ГКМП развивается у детей при наступлении пубертатного периода. Морфологи</w:t>
        <w:softHyphen/>
        <w:t>ческие проявления ГКМП могут быть неполными до подросткового возраста и в большинстве случаев рез</w:t>
        <w:softHyphen/>
        <w:t>ко проявляются с наступлением пубертата, когда про</w:t>
        <w:softHyphen/>
        <w:t>исходит ускоренный рост и созревание организма. Когда созревание организма заканчивается, последу</w:t>
        <w:softHyphen/>
        <w:t>ющего прогрессирования гипертрофии не наблюдает</w:t>
        <w:softHyphen/>
        <w:t>ся. Может наблюдаться некоторая регрессия гипер</w:t>
        <w:softHyphen/>
        <w:t>трофии, обычно обусловленная фиброзом миокарда. У детей абсолютное значение толщины межжелудоч</w:t>
        <w:softHyphen/>
        <w:t>ковой перегородки является более чувствительным предиктором ГКМП, чем обычно используемое отно</w:t>
        <w:softHyphen/>
        <w:t>шение толщины межжелудочковой перегородки к толщине задней стенки левого желудочка.</w:t>
      </w:r>
    </w:p>
    <w:p>
      <w:pPr>
        <w:pStyle w:val="Style30"/>
        <w:numPr>
          <w:ilvl w:val="0"/>
          <w:numId w:val="6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Помимо поражения миокарда возможно вовлечение в патологический процесс и эндокарда. Поражение эндокарда связывают с инфекционным эндокарди</w:t>
        <w:softHyphen/>
        <w:t>том, который осложняет течение ГКМП в 4-9% случа</w:t>
        <w:softHyphen/>
        <w:t>ев, турбулентным кровотоком в левом желудочке, тре</w:t>
        <w:softHyphen/>
        <w:t>нием передней митральной створки о межжелудочко</w:t>
        <w:softHyphen/>
        <w:t>вую перегородку, субэндокардиальной ишемией.</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Гистологические проявления при гипертрофической кар</w:t>
        <w:softHyphen/>
        <w:t>диомиопатии</w:t>
      </w:r>
    </w:p>
    <w:p>
      <w:pPr>
        <w:pStyle w:val="Style30"/>
        <w:numPr>
          <w:ilvl w:val="0"/>
          <w:numId w:val="6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Хотя у больных с ГКМП определяются типичные ги</w:t>
        <w:softHyphen/>
        <w:t>стологические проявления заболевания, нет патогно- моничных проявлений, позволяющих отличить ГКМП от других заболеваний, сопровождающихся гипертрофией миокарда. Гистологические проявле</w:t>
        <w:softHyphen/>
        <w:t>ния включают дезорганизацию кардиомиоцитов (т.е. неупорядоченность), замещение фиброзом, анома</w:t>
        <w:softHyphen/>
        <w:t>лии мелких интрамуральных коронарных артерий и гипертрофию миоцитов в различных вариациях по форме и размеру. Мышечные клетки в обоих желу</w:t>
        <w:softHyphen/>
        <w:t>дочках сердца и межжелудочковой перегородке уве</w:t>
        <w:softHyphen/>
        <w:t>личены в поперечнике, имеют причудливые формы, увеличены межклеточные пространства за счет со</w:t>
        <w:softHyphen/>
        <w:t>единительной ткани. Клеточная дезорганизация про</w:t>
        <w:softHyphen/>
        <w:t>является различным направлением мышечных воло</w:t>
        <w:softHyphen/>
        <w:t>кон в виде перпендикулярного и косого вместо па</w:t>
        <w:softHyphen/>
        <w:t>раллельного. Такая дезорганизация мышечных воло</w:t>
        <w:softHyphen/>
        <w:t>кон при ГКМП наблюдается примерно у 95% паци</w:t>
        <w:softHyphen/>
        <w:t>ентов при аутопсии. Большинство исследователей связывают дезорганизацию мышечных волокон с па</w:t>
        <w:softHyphen/>
        <w:t>тологией саркомеров в результате генетических ано</w:t>
        <w:softHyphen/>
        <w:br w:type="column"/>
        <w:t>малий. Иногда подобные изменения наблюдаются в папиллярных мышцах, осуществляющих функцию митрального клапана.</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ГКМП в миокарде определяется увеличение фи - брозных тканей от эпикарда до эндокарда, наиболее выражены фибротические изменения в межжелудоч</w:t>
        <w:softHyphen/>
        <w:t>ковой перегородке по сравнению со свободными стенками левого желудочка.</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Сравнительные исследования показали, что у боль</w:t>
        <w:softHyphen/>
        <w:t>ных с ГКМП смертность значительно выше, если фи- бротическая ткань замещает миокард более чем на 5%. Можно предположить, что фибротическая ткань у больных с ГКМП формируется в результате предше</w:t>
        <w:softHyphen/>
        <w:t>ствующей миокардиальной ишемии или у некоторых больных обусловлена недиагностированным кардио- миопатическим процессом, таким как нарушение ме - таболизма кальция.</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детей с ранним началом ГКМП, обусловленной ме</w:t>
        <w:softHyphen/>
        <w:t>таболическими нарушениями или митохондриальны</w:t>
        <w:softHyphen/>
        <w:t>ми заболеваниями, в миокарде может определяться инфильтрация гликогеном, аномальные митохондрии.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Электронномикроскопические исследования</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электронной микроскопии выявляется увеличе</w:t>
        <w:softHyphen/>
        <w:t>ние количества митохондрий с изменением их вели</w:t>
        <w:softHyphen/>
        <w:t>чины и формы, миофибрилл, рибосом, гранул глико</w:t>
        <w:softHyphen/>
        <w:t>гена. Наряду с гипертрофией миокардиоцитов опре</w:t>
        <w:softHyphen/>
        <w:t>деляются единичные мелкие очажки дистрофии в ви</w:t>
        <w:softHyphen/>
        <w:t>де вакуолей около сарколеммы. Кроме того, обнару</w:t>
        <w:softHyphen/>
        <w:t>живаются миелиновые тельца в цитоплазме кардио</w:t>
        <w:softHyphen/>
        <w:t>миоцитов, большое число лизосом, дилатация сарко</w:t>
        <w:softHyphen/>
        <w:t>плазматического ретикулума, что свидетельствует о нарушении обмена в мышечной клетке.</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сосудах микроциркуляторного русла отмечается де - зорганизация мембран капилляров, выраженная пи- ноцитозная активность, в нервных терминалях отме</w:t>
        <w:softHyphen/>
        <w:t>чается выраженная редукция числа пузырьков, что указывает на их повреждение.</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В патогенезе ГКМП имеют основное значение следую</w:t>
        <w:softHyphen/>
        <w:t>щие факторы:</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Обструкция выходного тракта левого желудочка:</w:t>
      </w:r>
    </w:p>
    <w:p>
      <w:pPr>
        <w:pStyle w:val="Style30"/>
        <w:numPr>
          <w:ilvl w:val="0"/>
          <w:numId w:val="71"/>
        </w:numPr>
        <w:tabs>
          <w:tab w:leader="none" w:pos="73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подаортальная обструкция;</w:t>
      </w:r>
    </w:p>
    <w:p>
      <w:pPr>
        <w:pStyle w:val="Style30"/>
        <w:numPr>
          <w:ilvl w:val="0"/>
          <w:numId w:val="71"/>
        </w:numPr>
        <w:tabs>
          <w:tab w:leader="none" w:pos="73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обструкция в средней порции желудочка.</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Систолическая дисфункция.</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Диастолическая дисфункция.</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Миокардиальная ишемия.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Подаортальная обструкция</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pict>
          <v:shape id="_x0000_s1395" type="#_x0000_t75" style="position:absolute;margin-left:148.3pt;margin-top:737.05pt;width:209.75pt;height:14.9pt;z-index:-125829129;mso-wrap-distance-left:148.1pt;mso-wrap-distance-right:136.8pt;mso-wrap-distance-bottom:10.8pt;mso-position-horizontal-relative:margin;mso-position-vertical-relative:margin" wrapcoords="0 0 21600 0 21600 21600 0 21600 0 0">
            <v:imagedata r:id="rId612" r:href="rId613"/>
            <w10:wrap type="topAndBottom" anchorx="margin" anchory="margin"/>
          </v:shape>
        </w:pict>
      </w:r>
      <w:r>
        <w:rPr>
          <w:lang w:val="ru-RU" w:eastAsia="ru-RU" w:bidi="ru-RU"/>
          <w:w w:val="100"/>
          <w:spacing w:val="0"/>
          <w:color w:val="000000"/>
          <w:position w:val="0"/>
        </w:rPr>
        <w:t>Механиз развития субаортальной обструкции при ГКМП представлен на схеме 52. Сужение выходного тракта левого желудочка обусловлено гипертрофией межжелудочковой перегородки и передним смеще</w:t>
        <w:softHyphen/>
        <w:t>нием папиллярных мышц. По этой причине происхо</w:t>
        <w:softHyphen/>
        <w:t>дит удлинение митральных створок и их смыкание, редко движение створок митрального клапана при обструктивной КМП не изменено. Передняя мит</w:t>
        <w:softHyphen/>
        <w:t xml:space="preserve">ральная створка под действием эффекта </w:t>
      </w:r>
      <w:r>
        <w:rPr>
          <w:lang w:val="en-US" w:eastAsia="en-US" w:bidi="en-US"/>
          <w:w w:val="100"/>
          <w:spacing w:val="0"/>
          <w:color w:val="000000"/>
          <w:position w:val="0"/>
        </w:rPr>
        <w:t xml:space="preserve">Venturi </w:t>
      </w:r>
      <w:r>
        <w:rPr>
          <w:lang w:val="ru-RU" w:eastAsia="ru-RU" w:bidi="ru-RU"/>
          <w:w w:val="100"/>
          <w:spacing w:val="0"/>
          <w:color w:val="000000"/>
          <w:position w:val="0"/>
        </w:rPr>
        <w:t>и/или силовых потоков крови совершает переднесистоли</w:t>
        <w:softHyphen/>
        <w:t>ческое движение и соприкасается с перегородкой, обусловливая субаортальную обструкцию. Передне</w:t>
        <w:softHyphen/>
        <w:t>систолическое движение передней митральной створки также обусловливает недостаточное смыка</w:t>
        <w:softHyphen/>
        <w:t>ние митральных створок, образуется воронкообраз-</w:t>
      </w:r>
      <w:r>
        <w:br w:type="page"/>
      </w:r>
    </w:p>
    <w:p>
      <w:pPr>
        <w:pStyle w:val="Style30"/>
        <w:widowControl w:val="0"/>
        <w:keepNext w:val="0"/>
        <w:keepLines w:val="0"/>
        <w:shd w:val="clear" w:color="auto" w:fill="auto"/>
        <w:bidi w:val="0"/>
        <w:spacing w:before="0" w:after="0"/>
        <w:ind w:left="520" w:right="0" w:firstLine="0"/>
      </w:pPr>
      <w:r>
        <w:pict>
          <v:shape id="_x0000_s1396" type="#_x0000_t202" style="position:absolute;margin-left:-4.45pt;margin-top:1.2pt;width:248.65pt;height:169.45pt;z-index:-125829128;mso-wrap-distance-left:5.pt;mso-wrap-distance-right:5.pt;mso-position-horizontal-relative:margin;mso-position-vertical-relative:margin" wrapcoords="0 0 21600 0 21600 14904 21478 15731 21478 21600 417 21600 417 15731 0 14904 0 0" filled="f" stroked="f">
            <v:textbox style="mso-fit-shape-to-text:t" inset="0,0,0,0">
              <w:txbxContent>
                <w:p>
                  <w:pPr>
                    <w:framePr w:h="3389" w:wrap="notBeside" w:hAnchor="margin" w:x="-88" w:y="25"/>
                    <w:widowControl w:val="0"/>
                    <w:jc w:val="center"/>
                    <w:rPr>
                      <w:sz w:val="2"/>
                      <w:szCs w:val="2"/>
                    </w:rPr>
                  </w:pPr>
                  <w:r>
                    <w:pict>
                      <v:shape id="_x0000_s1397" type="#_x0000_t75" style="width:249pt;height:169pt;">
                        <v:imagedata r:id="rId614" r:href="rId615"/>
                      </v:shape>
                    </w:pict>
                  </w:r>
                </w:p>
                <w:p>
                  <w:pPr>
                    <w:pStyle w:val="Style120"/>
                    <w:widowControl w:val="0"/>
                    <w:keepNext w:val="0"/>
                    <w:keepLines w:val="0"/>
                    <w:shd w:val="clear" w:color="auto" w:fill="auto"/>
                    <w:bidi w:val="0"/>
                    <w:spacing w:before="0" w:after="0"/>
                    <w:ind w:left="0" w:right="0" w:firstLine="0"/>
                  </w:pPr>
                  <w:r>
                    <w:rPr>
                      <w:rStyle w:val="CharStyle122"/>
                    </w:rPr>
                    <w:t xml:space="preserve">Рис. 52. </w:t>
                  </w:r>
                  <w:r>
                    <w:rPr>
                      <w:rStyle w:val="CharStyle121"/>
                    </w:rPr>
                    <w:t>Схема механизма возникновения подаортальной обструк</w:t>
                    <w:softHyphen/>
                    <w:t>ции и митральной регургитации при ГКМП. В раннюю систолу обструкция выходного тракта возникает гипертрофированной межжелудочковой перегородкой, в последующем из-за переднеси</w:t>
                    <w:softHyphen/>
                    <w:t>столического движения передней створки митрального клапана, контактирующей с перегородкой; «митрально-септальный» кон</w:t>
                    <w:softHyphen/>
                    <w:t>такт приводит к возникновению митральной регургитации.</w:t>
                  </w:r>
                </w:p>
              </w:txbxContent>
            </v:textbox>
            <w10:wrap type="topAndBottom" anchorx="margin" anchory="margin"/>
          </v:shape>
        </w:pict>
      </w:r>
      <w:r>
        <w:pict>
          <v:shape id="_x0000_s1398" type="#_x0000_t202" style="position:absolute;margin-left:253.1pt;margin-top:14.15pt;width:120.7pt;height:161.5pt;z-index:-125829127;mso-wrap-distance-left:5.pt;mso-wrap-distance-top:12.95pt;mso-wrap-distance-right:5.pt;mso-position-horizontal-relative:margin;mso-position-vertical-relative:margin" wrapcoords="5968 0 16768 0 16768 16259 21600 19571 21600 21600 0 21600 0 19571 5968 16259 5968 0" filled="f" stroked="f">
            <v:textbox style="mso-fit-shape-to-text:t" inset="0,0,0,0">
              <w:txbxContent>
                <w:p>
                  <w:pPr>
                    <w:framePr w:h="3230" w:vSpace="259" w:wrap="notBeside" w:hAnchor="margin" w:x="5063" w:y="284"/>
                    <w:widowControl w:val="0"/>
                    <w:jc w:val="center"/>
                    <w:rPr>
                      <w:sz w:val="2"/>
                      <w:szCs w:val="2"/>
                    </w:rPr>
                  </w:pPr>
                  <w:r>
                    <w:pict>
                      <v:shape id="_x0000_s1399" type="#_x0000_t75" style="width:121pt;height:162pt;">
                        <v:imagedata r:id="rId616" r:href="rId617"/>
                      </v:shape>
                    </w:pict>
                  </w:r>
                </w:p>
                <w:p>
                  <w:pPr>
                    <w:pStyle w:val="Style120"/>
                    <w:widowControl w:val="0"/>
                    <w:keepNext w:val="0"/>
                    <w:keepLines w:val="0"/>
                    <w:shd w:val="clear" w:color="auto" w:fill="auto"/>
                    <w:bidi w:val="0"/>
                    <w:spacing w:before="0" w:after="0"/>
                    <w:ind w:left="0" w:right="0" w:firstLine="0"/>
                  </w:pPr>
                  <w:r>
                    <w:rPr>
                      <w:rStyle w:val="CharStyle122"/>
                    </w:rPr>
                    <w:t xml:space="preserve">Рис. 53. </w:t>
                  </w:r>
                  <w:r>
                    <w:rPr>
                      <w:rStyle w:val="CharStyle121"/>
                    </w:rPr>
                    <w:t>Схема возникновения обструкции левого желудочка в средней части камеры.</w:t>
                  </w:r>
                </w:p>
              </w:txbxContent>
            </v:textbox>
            <w10:wrap type="topAndBottom" anchorx="margin" anchory="margin"/>
          </v:shape>
        </w:pict>
      </w:r>
      <w:r>
        <w:rPr>
          <w:lang w:val="ru-RU" w:eastAsia="ru-RU" w:bidi="ru-RU"/>
          <w:w w:val="100"/>
          <w:spacing w:val="0"/>
          <w:color w:val="000000"/>
          <w:position w:val="0"/>
        </w:rPr>
        <w:t>ный промежуток между створками, приводящий к митральной регургитации.</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Градиент обструкции возникает с момента митраль</w:t>
        <w:softHyphen/>
        <w:t>но-септального контакта, продолжительность кон</w:t>
        <w:softHyphen/>
        <w:t>такта определяет величину градиента.</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нет сопутствующих аномалий развития мит</w:t>
        <w:softHyphen/>
        <w:t>рального клапана, то имеет место прямая корреляция между градиентом обструкции и митральной регурги- тацией. Поскольку соприкосновение передней мит</w:t>
        <w:softHyphen/>
        <w:t>ральной створки с перегородкой возникает в сред</w:t>
        <w:softHyphen/>
        <w:t>нюю часть систолы, это объясняет поздний характер шума митральной регургитации при ГКМП.</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Примерно у 20% пациентов с субаортальной обструк</w:t>
        <w:softHyphen/>
        <w:t>цией и ГКМП митральная регургитация носит вариа</w:t>
        <w:softHyphen/>
        <w:t>бельный характер и не зависит от величины передне</w:t>
        <w:softHyphen/>
        <w:t>систолического движения створки. В этих случаях митральная регургитация может быть обусловлена аномальным развитием папиллярных мышц пере</w:t>
        <w:softHyphen/>
        <w:t>дней митральной створки, пролапсом митрального клапана, распространенным фиброзом передней створки в области контакта с межжелудочковой пере</w:t>
        <w:softHyphen/>
        <w:t>городкой, кальцификацией митрального кольца или другими аномалиями. Не зависимые от обструкции аномалии митрального клапана при ГКМП проявля</w:t>
        <w:softHyphen/>
        <w:t>ются голосистолической митральной регургитацией.</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проведении пробы с физической нагрузкой у 50% пациентов определяется увеличение градиента субаортальной обструкции. С другой стороны, тест с физической нагрузкой позволяет выявить 30% па</w:t>
        <w:softHyphen/>
        <w:t>циентов, у которых градиент не выявляется в покое. При проведении велоэргометрии градиент обструк</w:t>
        <w:softHyphen/>
        <w:t>ции практически удваивается. Эти наблюдения ука</w:t>
        <w:softHyphen/>
        <w:t>зывают на высокую информативность физической нагрузки в выявлении больных с латентной обструк</w:t>
        <w:softHyphen/>
        <w:t>цией и определении тактики ведения пациентов с ГКМП.</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Согласно принятой классификации Нью-Йоркской ассоциации кардиологов выделяют следующие ста</w:t>
        <w:softHyphen/>
        <w:br w:type="column"/>
        <w:t>дии ГКМП в зависимости от градиента субаорталь</w:t>
        <w:softHyphen/>
        <w:t>ной обструкции:</w:t>
      </w:r>
    </w:p>
    <w:p>
      <w:pPr>
        <w:pStyle w:val="Style30"/>
        <w:numPr>
          <w:ilvl w:val="0"/>
          <w:numId w:val="71"/>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I стадия — градиент давления до 25 мм рт. ст., жа</w:t>
        <w:softHyphen/>
        <w:t>лоб, как правило, у больных нет;</w:t>
      </w:r>
    </w:p>
    <w:p>
      <w:pPr>
        <w:pStyle w:val="Style30"/>
        <w:numPr>
          <w:ilvl w:val="0"/>
          <w:numId w:val="71"/>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II стадия — градиент давления до 36 мм рт. ст., больные отмечают небольшие затруднения при физической нагрузке;</w:t>
      </w:r>
    </w:p>
    <w:p>
      <w:pPr>
        <w:pStyle w:val="Style30"/>
        <w:numPr>
          <w:ilvl w:val="0"/>
          <w:numId w:val="71"/>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III стадия — градиент давления до 44 мм рт. ст., на</w:t>
        <w:softHyphen/>
        <w:t>блюдаются более выраженные нарушения гемоди</w:t>
        <w:softHyphen/>
        <w:t>намики и самочувствия, появляются стенокардия и одышка;</w:t>
      </w:r>
    </w:p>
    <w:p>
      <w:pPr>
        <w:pStyle w:val="Style30"/>
        <w:numPr>
          <w:ilvl w:val="0"/>
          <w:numId w:val="71"/>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IV стадия — градиент давления 80 мм рт. ст. и выше, имеются значительные нарушения гемодинамики.</w:t>
      </w:r>
    </w:p>
    <w:p>
      <w:pPr>
        <w:pStyle w:val="Style30"/>
        <w:numPr>
          <w:ilvl w:val="0"/>
          <w:numId w:val="6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Разделение больных по стадиям тяжести на основа</w:t>
        <w:softHyphen/>
        <w:t>нии лишь одного критерия — градиента давления представляется неоправданным. Несмотря на имею</w:t>
        <w:softHyphen/>
        <w:t>щуюся связь между величиной градиента давления и тяжестью клинических проявлений, необходимо выяснять степень тяжести процесса у каждого паци</w:t>
        <w:softHyphen/>
        <w:t>ента индивидуально на основании клинических и ин</w:t>
        <w:softHyphen/>
        <w:t>струментальных данных.</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Обструкция в средней порции желудочка</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Схема возникновения обструкции левого желудочка в средней части полости представлена на рис. 53.</w:t>
      </w:r>
    </w:p>
    <w:p>
      <w:pPr>
        <w:pStyle w:val="Style30"/>
        <w:numPr>
          <w:ilvl w:val="0"/>
          <w:numId w:val="6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Обструкция возникает на уровне папиллярных мышц. Для среднежелудочковой обструкции харак</w:t>
        <w:softHyphen/>
        <w:t>терно развитие верхушечного инфаркта миокарда, также как и в случаях верхушечной формы ГКМП.</w:t>
      </w:r>
    </w:p>
    <w:p>
      <w:pPr>
        <w:pStyle w:val="Style30"/>
        <w:numPr>
          <w:ilvl w:val="0"/>
          <w:numId w:val="6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Верхушечный инфаркт может развиться по двум при</w:t>
        <w:softHyphen/>
        <w:t>чинам:</w:t>
      </w:r>
    </w:p>
    <w:p>
      <w:pPr>
        <w:pStyle w:val="Style30"/>
        <w:numPr>
          <w:ilvl w:val="0"/>
          <w:numId w:val="71"/>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верхушечный инфаркт возникает из-за обструк</w:t>
        <w:softHyphen/>
        <w:t>ции этой зоны при среднежелудочковой обструк</w:t>
        <w:softHyphen/>
        <w:t>ции;</w:t>
      </w:r>
    </w:p>
    <w:p>
      <w:pPr>
        <w:pStyle w:val="Style30"/>
        <w:numPr>
          <w:ilvl w:val="0"/>
          <w:numId w:val="71"/>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верхушечный инфаркт может быть обусловлен об</w:t>
        <w:softHyphen/>
        <w:t>литерацией полости при верхушечной ГКМП.</w:t>
      </w:r>
    </w:p>
    <w:p>
      <w:pPr>
        <w:pStyle w:val="Style30"/>
        <w:numPr>
          <w:ilvl w:val="0"/>
          <w:numId w:val="69"/>
        </w:numPr>
        <w:tabs>
          <w:tab w:leader="none" w:pos="519" w:val="left"/>
        </w:tabs>
        <w:widowControl w:val="0"/>
        <w:keepNext w:val="0"/>
        <w:keepLines w:val="0"/>
        <w:shd w:val="clear" w:color="auto" w:fill="auto"/>
        <w:bidi w:val="0"/>
        <w:spacing w:before="0" w:after="0"/>
        <w:ind w:left="500" w:right="0" w:hanging="220"/>
      </w:pPr>
      <w:r>
        <w:pict>
          <v:shape id="_x0000_s1400" type="#_x0000_t75" style="position:absolute;margin-left:136.9pt;margin-top:737.05pt;width:209.75pt;height:14.9pt;z-index:-125829126;mso-wrap-distance-left:136.55pt;mso-wrap-distance-right:148.1pt;mso-wrap-distance-bottom:10.8pt;mso-position-horizontal-relative:margin;mso-position-vertical-relative:margin" wrapcoords="0 0 21600 0 21600 21600 0 21600 0 0">
            <v:imagedata r:id="rId618" r:href="rId619"/>
            <w10:wrap type="topAndBottom" anchorx="margin" anchory="margin"/>
          </v:shape>
        </w:pict>
      </w:r>
      <w:r>
        <w:rPr>
          <w:lang w:val="ru-RU" w:eastAsia="ru-RU" w:bidi="ru-RU"/>
          <w:w w:val="100"/>
          <w:spacing w:val="0"/>
          <w:color w:val="000000"/>
          <w:position w:val="0"/>
        </w:rPr>
        <w:t>Тяжелая обструкция левого желудочка в средней час</w:t>
        <w:softHyphen/>
        <w:t>ти приводит к нарушению контрактильности мио</w:t>
        <w:softHyphen/>
        <w:t>карда.</w:t>
      </w:r>
      <w:r>
        <w:br w:type="page"/>
      </w:r>
    </w:p>
    <w:p>
      <w:pPr>
        <w:pStyle w:val="Style30"/>
        <w:numPr>
          <w:ilvl w:val="0"/>
          <w:numId w:val="69"/>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Среднежелудочковая обструкция хорошо выявляется при ангиокардиографии в правой косой передней проекции. Размер апикальной камеры при среднеже</w:t>
        <w:softHyphen/>
        <w:t>лудочковой обструкции варьирует, но всегда меньше желудочковой камеры, относящейся к субаортальной зоне. В противоположность субаортальной обструк</w:t>
        <w:softHyphen/>
        <w:t>ции при среднежелудочковой обструкции не харак</w:t>
        <w:softHyphen/>
        <w:t>терна митральная регургитация.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Систолическая дисфункция</w:t>
      </w:r>
    </w:p>
    <w:p>
      <w:pPr>
        <w:pStyle w:val="Style30"/>
        <w:numPr>
          <w:ilvl w:val="0"/>
          <w:numId w:val="69"/>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Систолическая функция левого желудочка при ГКМП обычно нормальная или супернормальная с высокой фракцией выброса как при обструктивной, так и при необструктивной формах заболевания. На поздних стадиях болезни из-за развивающегося фиброза миокарда происходит снижение систоличес</w:t>
        <w:softHyphen/>
        <w:t>кой функции как левого, так и правого желудочков (так называемая конечная стадия ГКМП).</w:t>
      </w:r>
    </w:p>
    <w:p>
      <w:pPr>
        <w:pStyle w:val="Style30"/>
        <w:numPr>
          <w:ilvl w:val="0"/>
          <w:numId w:val="69"/>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Фиброз развивается в результате фибротической трансформации межклеточной соединительной тка</w:t>
        <w:softHyphen/>
        <w:t>ни в хаотично расположенных миокардиальных во</w:t>
        <w:softHyphen/>
        <w:t>локнах. Фиброз может возникнуть из-за ишемии миокарда и инфаркта, редко обусловлен сопутствую</w:t>
        <w:softHyphen/>
        <w:t>щим атеросклерозом коронарных артерий.</w:t>
      </w:r>
    </w:p>
    <w:p>
      <w:pPr>
        <w:pStyle w:val="Style30"/>
        <w:numPr>
          <w:ilvl w:val="0"/>
          <w:numId w:val="69"/>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результате фиброза миокарда происходит утонче</w:t>
        <w:softHyphen/>
        <w:t>ние миокардиальных стенок, снижение обструкции выходного тракта, некоординированная и низкая си</w:t>
        <w:softHyphen/>
        <w:t>столическая функция приводят к снижению фракции изгнания и увеличению конечно систолического объ</w:t>
        <w:softHyphen/>
        <w:t>ема. Однако дилатация левого желудочка не достига</w:t>
        <w:softHyphen/>
        <w:t>ет таких размеров, как при дилатационной кардио</w:t>
        <w:softHyphen/>
        <w:t>миопатии.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Диастолическая дисфункция</w:t>
      </w:r>
    </w:p>
    <w:p>
      <w:pPr>
        <w:pStyle w:val="Style30"/>
        <w:numPr>
          <w:ilvl w:val="0"/>
          <w:numId w:val="69"/>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Ранее диастолическую дисфункцию при ГКМП объ</w:t>
        <w:softHyphen/>
        <w:t>ясняли снижением комплайнса (увеличение жестко</w:t>
        <w:softHyphen/>
        <w:t>сти камеры), однако последующие исследования ди</w:t>
        <w:softHyphen/>
        <w:t>астолы показали, что ведущее значение имеет нару</w:t>
        <w:softHyphen/>
        <w:t>шение релаксации левого желудочка. Увеличение жесткости камеры левого желудочка (снижение ком- плайнса) обусловлено избыточной мышечной мас</w:t>
        <w:softHyphen/>
        <w:t>сой, уменьшением объема желудочка и ригидностью миокарда из-за миокардиального фиброза. Жесткая камера желудочка приводит к увеличению отноше</w:t>
        <w:softHyphen/>
        <w:t xml:space="preserve">ния диастолического давления к объему </w:t>
      </w:r>
      <w:r>
        <w:rPr>
          <w:lang w:val="en-US" w:eastAsia="en-US" w:bidi="en-US"/>
          <w:w w:val="100"/>
          <w:spacing w:val="0"/>
          <w:color w:val="000000"/>
          <w:position w:val="0"/>
        </w:rPr>
        <w:t>(dP/dv).</w:t>
      </w:r>
    </w:p>
    <w:p>
      <w:pPr>
        <w:pStyle w:val="Style30"/>
        <w:numPr>
          <w:ilvl w:val="0"/>
          <w:numId w:val="69"/>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Релаксация левого желудочка зависит от факторов ге</w:t>
        <w:softHyphen/>
        <w:t>модинамической нагрузки (как систолической, так и диастолической), инактивации (обратные токи кальция в саркоплазматическом ретикулуме) и от сте</w:t>
        <w:softHyphen/>
        <w:t>пени неоднородности нагрузки и инактивации в про</w:t>
        <w:softHyphen/>
        <w:t>странстве и времени. В норме релаксация зависит от величины нагрузки. При ГКМП нарушение релакса</w:t>
        <w:softHyphen/>
        <w:t>ции может быть обусловлено систолической гемоди</w:t>
        <w:softHyphen/>
        <w:t>намической нагрузкой (обструкция оттока) и, веро</w:t>
        <w:softHyphen/>
        <w:t>ятно, что является более важным, уменьшением ре</w:t>
        <w:softHyphen/>
        <w:t>лаксационной нагрузки (нагрузка желудочкового и коронарного наполнения). Инактивация может быть нарушена увеличением миоплазматического кальция, что было отмечено при ГКМП. Снижение инактивации также обусловливает снижение зависи</w:t>
        <w:softHyphen/>
        <w:t>мой от нагрузки релаксации левого желудочка. В ко</w:t>
        <w:softHyphen/>
        <w:t>нечном итоге перечисленные три фактора обусловли</w:t>
        <w:softHyphen/>
        <w:t>вают нарушение релаксации левого желудочка при ГКМП.</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Нарушенная релаксация при ГКМП приводит к уменьшению наполнения левого желудочка и ком</w:t>
        <w:softHyphen/>
        <w:t>пенсаторному увеличению предсердного систоличес</w:t>
        <w:softHyphen/>
        <w:t>кого наполнения. Происходит прогрессивное увели</w:t>
        <w:softHyphen/>
        <w:t>чение левого предсердия, в результате чего могут воз</w:t>
        <w:softHyphen/>
        <w:t>никнуть мерцательная аритмия и тяжелые гемодина</w:t>
        <w:softHyphen/>
        <w:t>мические нарушения.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Миокардиальная ишемия</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Миокардиальная ишемия наблюдается как при об</w:t>
        <w:softHyphen/>
        <w:t>структивной, так и при необструктивной форме ГКМП и обнаруживается во время перфузионной сцинтигра- фии с таллием, при измерении продуктов метаболизма миокарда во время предсердной стимуляции или мето</w:t>
        <w:softHyphen/>
        <w:t>дом позитронно эмиссионной томографии.</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Ишемия миокарда может быть обусловлена патоло</w:t>
        <w:softHyphen/>
        <w:t>гией мелких сосудов с уменьшенной способностью к вазодилатации.</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Другими факторами, которые приводят к ишемии миокарда, являются:</w:t>
      </w:r>
    </w:p>
    <w:p>
      <w:pPr>
        <w:pStyle w:val="Style30"/>
        <w:numPr>
          <w:ilvl w:val="0"/>
          <w:numId w:val="7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компрессия артерий межжелудочковой перегород</w:t>
        <w:softHyphen/>
        <w:t>ки;</w:t>
      </w:r>
    </w:p>
    <w:p>
      <w:pPr>
        <w:pStyle w:val="Style30"/>
        <w:numPr>
          <w:ilvl w:val="0"/>
          <w:numId w:val="7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миокардиальные перемычки;</w:t>
      </w:r>
    </w:p>
    <w:p>
      <w:pPr>
        <w:pStyle w:val="Style30"/>
        <w:numPr>
          <w:ilvl w:val="0"/>
          <w:numId w:val="7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уменьшение перфузионного давления в коронар</w:t>
        <w:softHyphen/>
        <w:t>ных сосудах;</w:t>
      </w:r>
    </w:p>
    <w:p>
      <w:pPr>
        <w:pStyle w:val="Style30"/>
        <w:numPr>
          <w:ilvl w:val="0"/>
          <w:numId w:val="7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относительный дефицит миокардиальных капил</w:t>
        <w:softHyphen/>
        <w:t>ляров;</w:t>
      </w:r>
    </w:p>
    <w:p>
      <w:pPr>
        <w:pStyle w:val="Style30"/>
        <w:numPr>
          <w:ilvl w:val="0"/>
          <w:numId w:val="7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нарушение релаксации миокарда во время быстро - го наполнения может приводить к уменьшению коронарного наполнения и ишемии.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Признаки и симптомы ГКМП варьируют и зависят от возраста пациента. Классически симптоматика ГКМП включает:</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Слабость.</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Сердцебиение.</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Боли в грудной клетке.</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Одышка в результате застойных явлений в легких.</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Обморочные состояния.</w:t>
      </w:r>
    </w:p>
    <w:p>
      <w:pPr>
        <w:pStyle w:val="Style30"/>
        <w:numPr>
          <w:ilvl w:val="0"/>
          <w:numId w:val="6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Внезапная смерть.</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новорожденных и детей в возрасте до одного года болезнь проявляется в виде застойной сердечной не</w:t>
        <w:softHyphen/>
        <w:t>достаточности. В 60% случаев у новорожденных с ГКМП возникает бивентрикулярный градиент об</w:t>
        <w:softHyphen/>
        <w:t>струкции (обструкция левого и правого желудочков), многие из этих детей погибают на первом году жизни.</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Только у 35% новорожденных ГКМП выявляется по наличию систолического шума в сердце, у 25% при</w:t>
        <w:softHyphen/>
        <w:t>сутствуют признаки застойной сердечной недоста</w:t>
        <w:softHyphen/>
        <w:t>точности с цианозом.</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старше одного года жизни ГКМП может про</w:t>
        <w:softHyphen/>
        <w:t>текать бессимптомно и без симптомов обструкции выходного тракта левого желудочка. Когда появляет</w:t>
        <w:softHyphen/>
        <w:t>ся обструкция и левожелудочковый градиент, возни</w:t>
        <w:softHyphen/>
        <w:t>кает быстрое прогрессирование симптомов заболева</w:t>
        <w:softHyphen/>
        <w:t>ния. Дети более предрасположены к внезапной смер</w:t>
        <w:softHyphen/>
        <w:t>ти по сравнению с новорожденными.</w:t>
      </w:r>
    </w:p>
    <w:p>
      <w:pPr>
        <w:pStyle w:val="Style30"/>
        <w:numPr>
          <w:ilvl w:val="0"/>
          <w:numId w:val="69"/>
        </w:numPr>
        <w:tabs>
          <w:tab w:leader="none" w:pos="236" w:val="left"/>
        </w:tabs>
        <w:widowControl w:val="0"/>
        <w:keepNext w:val="0"/>
        <w:keepLines w:val="0"/>
        <w:shd w:val="clear" w:color="auto" w:fill="auto"/>
        <w:bidi w:val="0"/>
        <w:spacing w:before="0" w:after="0"/>
        <w:ind w:left="280" w:right="0" w:hanging="280"/>
      </w:pPr>
      <w:r>
        <w:pict>
          <v:shape id="_x0000_s1401" type="#_x0000_t75" style="position:absolute;margin-left:142.2pt;margin-top:737.05pt;width:209.75pt;height:14.9pt;z-index:-125829125;mso-wrap-distance-left:135.85pt;mso-wrap-distance-right:136.8pt;mso-wrap-distance-bottom:10.8pt;mso-position-horizontal-relative:margin;mso-position-vertical-relative:margin" wrapcoords="0 0 21600 0 21600 21600 0 21600 0 0">
            <v:imagedata r:id="rId620" r:href="rId621"/>
            <w10:wrap type="topAndBottom" anchorx="margin" anchory="margin"/>
          </v:shape>
        </w:pict>
      </w:r>
      <w:r>
        <w:rPr>
          <w:lang w:val="ru-RU" w:eastAsia="ru-RU" w:bidi="ru-RU"/>
          <w:w w:val="100"/>
          <w:spacing w:val="0"/>
          <w:color w:val="000000"/>
          <w:position w:val="0"/>
        </w:rPr>
        <w:t>В детском возрасте поставить диагноз ГКМП только по клиническим данным трудно. Если симптомы и признаки ГКМП маскированы или вообще не оп</w:t>
        <w:softHyphen/>
        <w:t>ределяются, то при дифференциальной диагностике патологии сердца у детей ГКМП должна стоять в пер</w:t>
        <w:softHyphen/>
        <w:t>вом диагностическом ряду.</w:t>
      </w:r>
      <w:r>
        <w:br w:type="page"/>
      </w:r>
    </w:p>
    <w:p>
      <w:pPr>
        <w:framePr w:w="4867" w:h="3350" w:hSpace="4758" w:wrap="notBeside" w:vAnchor="text" w:hAnchor="text" w:x="-7" w:y="1"/>
        <w:widowControl w:val="0"/>
        <w:rPr>
          <w:sz w:val="2"/>
          <w:szCs w:val="2"/>
        </w:rPr>
      </w:pPr>
      <w:r>
        <w:pict>
          <v:shape id="_x0000_s1402" type="#_x0000_t75" style="width:243pt;height:168pt;">
            <v:imagedata r:id="rId622" r:href="rId623"/>
          </v:shape>
        </w:pict>
      </w:r>
    </w:p>
    <w:p>
      <w:pPr>
        <w:pStyle w:val="Style120"/>
        <w:framePr w:w="4824" w:h="442" w:wrap="notBeside" w:vAnchor="text" w:hAnchor="text" w:x="-7" w:y="3634"/>
        <w:widowControl w:val="0"/>
        <w:keepNext w:val="0"/>
        <w:keepLines w:val="0"/>
        <w:shd w:val="clear" w:color="auto" w:fill="auto"/>
        <w:bidi w:val="0"/>
        <w:spacing w:before="0" w:after="0"/>
        <w:ind w:left="0" w:right="0" w:firstLine="0"/>
      </w:pPr>
      <w:r>
        <w:rPr>
          <w:rStyle w:val="CharStyle125"/>
        </w:rPr>
        <w:t xml:space="preserve">Рис. 54. </w:t>
      </w:r>
      <w:r>
        <w:rPr>
          <w:lang w:val="ru-RU" w:eastAsia="ru-RU" w:bidi="ru-RU"/>
          <w:w w:val="100"/>
          <w:spacing w:val="0"/>
          <w:color w:val="000000"/>
          <w:position w:val="0"/>
        </w:rPr>
        <w:t>Систолический шум изгнания при обструктивной форме ГКМП.</w:t>
      </w:r>
    </w:p>
    <w:p>
      <w:pPr>
        <w:widowControl w:val="0"/>
        <w:rPr>
          <w:sz w:val="2"/>
          <w:szCs w:val="2"/>
        </w:rPr>
      </w:pPr>
    </w:p>
    <w:p>
      <w:pPr>
        <w:pStyle w:val="Style30"/>
        <w:numPr>
          <w:ilvl w:val="0"/>
          <w:numId w:val="69"/>
        </w:numPr>
        <w:tabs>
          <w:tab w:leader="none" w:pos="518" w:val="left"/>
        </w:tabs>
        <w:widowControl w:val="0"/>
        <w:keepNext w:val="0"/>
        <w:keepLines w:val="0"/>
        <w:shd w:val="clear" w:color="auto" w:fill="auto"/>
        <w:bidi w:val="0"/>
        <w:spacing w:before="451" w:after="0"/>
        <w:ind w:left="520" w:right="0" w:hanging="240"/>
      </w:pPr>
      <w:r>
        <w:rPr>
          <w:lang w:val="ru-RU" w:eastAsia="ru-RU" w:bidi="ru-RU"/>
          <w:w w:val="100"/>
          <w:spacing w:val="0"/>
          <w:color w:val="000000"/>
          <w:position w:val="0"/>
        </w:rPr>
        <w:t>У 70% детей с ГКМП диагноз заболевания устанавли</w:t>
        <w:softHyphen/>
        <w:t>вается при первичном обращении к кардиологу.</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Начальными проявлениями ГКМП у подростков мо - гут быть тахипноэ, тахикардия, задержка развития. Все эти признаки сочетаются с шумом в сердце или аритмией. У детей с семейными ГКМП при бессимп</w:t>
        <w:softHyphen/>
        <w:t>томном течении заболевания в 50% случаев при об</w:t>
        <w:softHyphen/>
        <w:t>следовании выслушивается систолический шум из</w:t>
        <w:softHyphen/>
        <w:t>гнания.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зависимости от гемодинамических нарушений выде</w:t>
        <w:softHyphen/>
        <w:t>ляют следующие варианты ГКМП:</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Обструктивная гипертрофическая кардиомиопатия:</w:t>
      </w:r>
    </w:p>
    <w:p>
      <w:pPr>
        <w:pStyle w:val="Style30"/>
        <w:numPr>
          <w:ilvl w:val="0"/>
          <w:numId w:val="6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Субаортальная обструкция.</w:t>
      </w:r>
    </w:p>
    <w:p>
      <w:pPr>
        <w:pStyle w:val="Style30"/>
        <w:numPr>
          <w:ilvl w:val="0"/>
          <w:numId w:val="6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Среднежелудочковая обструкция.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Необструктивная гипертрофическая кардиомиопатия:</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Нормальная (супернормальная) систолическая функция.</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Нарушенная систолическая функция (конечная ста</w:t>
        <w:softHyphen/>
        <w:t>дия гипертрофической кардиомиопатии).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обструктивной ГКМП препятствие току крови мо</w:t>
        <w:softHyphen/>
        <w:t>жет быть субаортальным или в средней порции желудочка. Обструкция может быть латентной (выявляется при прово</w:t>
        <w:softHyphen/>
        <w:t>кационных тестах), лабильной (спонтанно вариабельной) или персистирующей (обструкция покоя). При необструк</w:t>
        <w:softHyphen/>
        <w:t>тивной ГКМП систолическая обструкция отсутствует в по</w:t>
        <w:softHyphen/>
        <w:t>кое и при провокационных тестах.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Симптоматика обструктивной ГКМП</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типичных случаях при обструктивной ГКМП дети и подростки имеют одышку, боли в грудной клетке ишеми</w:t>
        <w:softHyphen/>
        <w:t>ческого характера, предсинкопальные или синкопальные эпизоды, возникающие при физической нагрузке. Тяжесть симптомов не коррелирует с величиной систолической об</w:t>
        <w:softHyphen/>
        <w:t>струкции, особенно в случаях лабильной обструкции, кото</w:t>
        <w:softHyphen/>
        <w:t>рая наиболее характерна для детей и подростков. При необ</w:t>
        <w:softHyphen/>
        <w:t>структивной ГКМП указанная симптоматика встречается значительно реже и менее выражена. Застойная сердечная недостаточность редко отмечается у больных ГКМП при нормальном сердечном ритме, но может возникать при тя</w:t>
        <w:softHyphen/>
        <w:t>желой обструкции выходного тракта левого желудочка, вы</w:t>
        <w:softHyphen/>
        <w:t>раженной систолической и диастолической дисфункции и при мерцательной аритмии.</w:t>
      </w:r>
    </w:p>
    <w:p>
      <w:pPr>
        <w:pStyle w:val="Style30"/>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Физикальное обследование:</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Отражением нарушенной релаксации левого желу</w:t>
        <w:softHyphen/>
        <w:t>дочка является четвертый тон сердца, иногда опреде</w:t>
        <w:softHyphen/>
        <w:t>ляемый даже при пальпации.</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необструктивной ГКМП шумы не определяются в покое и при проведении провокационных тестов.</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латентной субаортальной обструкции обычно выслушивается систолический шум 1/6-2/6 градации на верхушке, интенсивность его усиливается до 3/6 градации при проведении провокационных тестов, при вдыхании амилнитрита, в положении стоя и при проведении пробы Вальсальвы.</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больных с подаортальной обструкцией, определяе</w:t>
        <w:softHyphen/>
        <w:t>мой в покое, выслушивается интенсивный систоли</w:t>
        <w:softHyphen/>
        <w:t>ческий шум 3/6 — 4/6 градации вдоль левого края гру</w:t>
        <w:softHyphen/>
        <w:t>дины, проводится на основание сердца и в подмы</w:t>
        <w:softHyphen/>
        <w:t>шечную область (при митральной регургитации).</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Другими проявлениями субаортальной обструкции являются двойной периферический пульс, двойной или тройной систолический верхушечный тон, «об</w:t>
        <w:softHyphen/>
        <w:t>ратно расщепленный» второй тон сердца и диастоли</w:t>
        <w:softHyphen/>
        <w:t>ческий шум относительного стеноза митрального клапана, очень редко выслушивается щелчок мит</w:t>
        <w:softHyphen/>
        <w:t>рально-септального контакта.</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Характерен усиленный и внезапно обрывающийся («проваливающийся») пульс в среднюю часть систолы. Этот признак отличается от пульса при клапанном сте</w:t>
        <w:softHyphen/>
        <w:t>нозе аорты, для которого характерна противоположная картина — медленно поднимающаяся пульсовая волна.</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Первый тон сердца обычно не изменен.</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Второй тон сердца не акцентуирован, обычно рас</w:t>
        <w:softHyphen/>
        <w:t>щеплен.</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обструкции выходного тракта левого желудочка определяется патологическое расщепление второго тона.</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Часто выслушиваются второй и третий тоны сердца. Третий тон сердца напоминает диастолический «гро</w:t>
        <w:softHyphen/>
        <w:t>хот».</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Систолический шум изгнания выслушивается только у 40% больных ГКМП, у 25% пациентов даже при гра</w:t>
        <w:softHyphen/>
        <w:t>диенте 35 мм рт. ст. аускультативные проявления об</w:t>
        <w:softHyphen/>
        <w:t>струкции левого желудочка отсутствуют.</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Систолический шум изгнания выслушивается в от</w:t>
        <w:softHyphen/>
        <w:t>рыве от первого тона в области четвертого-пятого ме- жреберья слева у грудины и на верхушке (рис. 54).</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Шум может проводиться на основание сердца, но не достигает коронарных артерий.</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 верхушке сердца выслушивается голосистоличес</w:t>
        <w:softHyphen/>
        <w:t>кий шум, проводящийся в подмышечную область. Этот шум обусловлен митральной недостаточностью.</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Интенсивность систолического шума может варьи</w:t>
        <w:softHyphen/>
        <w:t>ровать. Систолический шум изгнания формируется из-за турбулентного потока крови в левожелудочко</w:t>
        <w:softHyphen/>
        <w:t>вом выходном тракте, по этой причине его интенсив</w:t>
        <w:softHyphen/>
        <w:t>ность определяется величиной градиента.</w:t>
      </w:r>
    </w:p>
    <w:p>
      <w:pPr>
        <w:pStyle w:val="Style30"/>
        <w:numPr>
          <w:ilvl w:val="0"/>
          <w:numId w:val="69"/>
        </w:numPr>
        <w:tabs>
          <w:tab w:leader="none" w:pos="237" w:val="left"/>
        </w:tabs>
        <w:widowControl w:val="0"/>
        <w:keepNext w:val="0"/>
        <w:keepLines w:val="0"/>
        <w:shd w:val="clear" w:color="auto" w:fill="auto"/>
        <w:bidi w:val="0"/>
        <w:spacing w:before="0" w:after="0"/>
        <w:ind w:left="260" w:right="0"/>
      </w:pPr>
      <w:r>
        <w:pict>
          <v:shape id="_x0000_s1403" type="#_x0000_t75" style="position:absolute;margin-left:137.15pt;margin-top:737.05pt;width:209.75pt;height:14.9pt;z-index:-125829124;mso-wrap-distance-left:136.8pt;mso-wrap-distance-right:147.85pt;mso-wrap-distance-bottom:10.8pt;mso-position-horizontal-relative:margin;mso-position-vertical-relative:margin" wrapcoords="0 0 21600 0 21600 21600 0 21600 0 0">
            <v:imagedata r:id="rId624" r:href="rId625"/>
            <w10:wrap type="topAndBottom" anchorx="margin" anchory="margin"/>
          </v:shape>
        </w:pict>
      </w:r>
      <w:r>
        <w:rPr>
          <w:lang w:val="ru-RU" w:eastAsia="ru-RU" w:bidi="ru-RU"/>
          <w:w w:val="100"/>
          <w:spacing w:val="0"/>
          <w:color w:val="000000"/>
          <w:position w:val="0"/>
        </w:rPr>
        <w:t>Функциональные или медикаментозные тесты, уси</w:t>
        <w:softHyphen/>
        <w:t>ливающие контрактильность левого желудочка или снижающие преднагрузку и постнагрузку (например, физическая нагрузка, проба Вальсальвы, прием ди- гоксина, изопротеренола, амилнитрита или нитро</w:t>
        <w:softHyphen/>
        <w:t>глицерина), приводят к увеличению градиента и уси</w:t>
        <w:softHyphen/>
        <w:t>лению интенсивности шума.</w:t>
      </w:r>
      <w:r>
        <w:br w:type="page"/>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 другой стороны, градиент и шум уменьшаются в положении сидя, при приеме альфа-адренергичес</w:t>
        <w:softHyphen/>
        <w:t>ких стимуляторов, бета-адреноблокаторов, при об</w:t>
        <w:softHyphen/>
        <w:t>щей анестезии.</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Шум аортальной регургитации при ГКМП наблюда</w:t>
        <w:softHyphen/>
        <w:t>ется очень редко. Может определяться среднедиасто</w:t>
        <w:softHyphen/>
        <w:t>лический шум относительного стеноза левого атрио</w:t>
        <w:softHyphen/>
        <w:t>вентрикулярного отверстия из-за выраженной мит</w:t>
        <w:softHyphen/>
        <w:t>ральной недостаточности.</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со среднежелудочковой обструкцией выслу</w:t>
        <w:softHyphen/>
        <w:t>шивается систолический шум более мягкий (2/6-3/6 градации по Левине), чем при субаортальной обструк</w:t>
        <w:softHyphen/>
        <w:t>ции. Двойной артериальный пульс, двойной или трой</w:t>
        <w:softHyphen/>
        <w:t>ной верхушечный тон и щелчок контакта митральной створки с перегородкой для среднежелудочковой об</w:t>
        <w:softHyphen/>
        <w:t>струкции не характерны. При выраженной среднеже</w:t>
        <w:softHyphen/>
        <w:t>лудочковой обструкции может определяться обратно расщепленный второй тон и продолжительный диас</w:t>
        <w:softHyphen/>
        <w:t>толический шум, обусловленный сужением полости левого желудочка и асинхронной релаксацией.</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вовлечении в патологический процесс правого же</w:t>
        <w:softHyphen/>
        <w:t xml:space="preserve">лудочка может определяться выступающая </w:t>
      </w:r>
      <w:r>
        <w:rPr>
          <w:lang w:val="en-US" w:eastAsia="en-US" w:bidi="en-US"/>
          <w:w w:val="100"/>
          <w:spacing w:val="0"/>
          <w:color w:val="000000"/>
          <w:position w:val="0"/>
        </w:rPr>
        <w:t xml:space="preserve">A </w:t>
      </w:r>
      <w:r>
        <w:rPr>
          <w:lang w:val="ru-RU" w:eastAsia="ru-RU" w:bidi="ru-RU"/>
          <w:w w:val="100"/>
          <w:spacing w:val="0"/>
          <w:color w:val="000000"/>
          <w:position w:val="0"/>
        </w:rPr>
        <w:t>волна югулярного венозного пульса, реже выслушивается правосторонний четвертый тон сердца, отражающий диастолическую дисфункцию правого желудочка. Мо</w:t>
        <w:softHyphen/>
        <w:t>жет выслушиваться систолический шум изгнания вдоль левого края грудины, отражающий подлегочную или среднежелудочковую обструкцию правого желудочка.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Детям с подозрением на ГКМП должно быть выполнено стандартное исследование, включающее электрокардио</w:t>
        <w:softHyphen/>
        <w:t>графию, рентгенографию и эхокардиографию.</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начальных стадиях заболевания ЭКГ при ГКМП мо</w:t>
        <w:softHyphen/>
        <w:t>жет быть нормальной, а при прогрессировании гипертро</w:t>
        <w:softHyphen/>
        <w:t>фии выявляются электрокардиографические признаки ги</w:t>
        <w:softHyphen/>
        <w:t xml:space="preserve">пертрофии левого желудочка. Патологический зубец </w:t>
      </w:r>
      <w:r>
        <w:rPr>
          <w:lang w:val="en-US" w:eastAsia="en-US" w:bidi="en-US"/>
          <w:w w:val="100"/>
          <w:spacing w:val="0"/>
          <w:color w:val="000000"/>
          <w:position w:val="0"/>
        </w:rPr>
        <w:t xml:space="preserve">Q, </w:t>
      </w:r>
      <w:r>
        <w:rPr>
          <w:lang w:val="ru-RU" w:eastAsia="ru-RU" w:bidi="ru-RU"/>
          <w:w w:val="100"/>
          <w:spacing w:val="0"/>
          <w:color w:val="000000"/>
          <w:position w:val="0"/>
        </w:rPr>
        <w:t>имитирующий инфаркт миокарда, определяется при гипер</w:t>
        <w:softHyphen/>
        <w:t>трофии межжелудочковой перегородки. Могут определять</w:t>
        <w:softHyphen/>
        <w:t>ся гигантские отрицательные зубцы Т, которые характерны при верхушечной ГКМП. Иногда выявляется ЭКГ картина верхушечного инфаркта миокарда, которая более характер</w:t>
        <w:softHyphen/>
        <w:t>на для среднежелудочковой обструкции. У новорожденных определяются признаки правожелудочковой и левожелу</w:t>
        <w:softHyphen/>
        <w:t>дочковой гипертрофии, неспецифические нарушения про</w:t>
        <w:softHyphen/>
        <w:t>цесса реполяризации. У детей и подростков на ЭКГ выяв</w:t>
        <w:softHyphen/>
        <w:t>ляются гипертрофия левого желудочка, изменения сегмен</w:t>
        <w:softHyphen/>
        <w:t xml:space="preserve">та </w:t>
      </w:r>
      <w:r>
        <w:rPr>
          <w:lang w:val="en-US" w:eastAsia="en-US" w:bidi="en-US"/>
          <w:w w:val="100"/>
          <w:spacing w:val="0"/>
          <w:color w:val="000000"/>
          <w:position w:val="0"/>
        </w:rPr>
        <w:t xml:space="preserve">ST </w:t>
      </w:r>
      <w:r>
        <w:rPr>
          <w:lang w:val="ru-RU" w:eastAsia="ru-RU" w:bidi="ru-RU"/>
          <w:w w:val="100"/>
          <w:spacing w:val="0"/>
          <w:color w:val="000000"/>
          <w:position w:val="0"/>
        </w:rPr>
        <w:t xml:space="preserve">и зубца Т, патологический зубец </w:t>
      </w:r>
      <w:r>
        <w:rPr>
          <w:lang w:val="en-US" w:eastAsia="en-US" w:bidi="en-US"/>
          <w:w w:val="100"/>
          <w:spacing w:val="0"/>
          <w:color w:val="000000"/>
          <w:position w:val="0"/>
        </w:rPr>
        <w:t xml:space="preserve">Q </w:t>
      </w:r>
      <w:r>
        <w:rPr>
          <w:lang w:val="ru-RU" w:eastAsia="ru-RU" w:bidi="ru-RU"/>
          <w:w w:val="100"/>
          <w:spacing w:val="0"/>
          <w:color w:val="000000"/>
          <w:position w:val="0"/>
        </w:rPr>
        <w:t>преимущественно в левых грудных отведениях (рис. 55).</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верхушечной ГКМП характерны следующие элек</w:t>
        <w:softHyphen/>
        <w:t>трокардиографические особенности: 1) небольшая частота нарушений ритма сердца; 2) значительное увеличение вольт</w:t>
        <w:softHyphen/>
        <w:t xml:space="preserve">ажа зубцов </w:t>
      </w:r>
      <w:r>
        <w:rPr>
          <w:lang w:val="en-US" w:eastAsia="en-US" w:bidi="en-US"/>
          <w:w w:val="100"/>
          <w:spacing w:val="0"/>
          <w:color w:val="000000"/>
          <w:position w:val="0"/>
        </w:rPr>
        <w:t xml:space="preserve">Q </w:t>
      </w:r>
      <w:r>
        <w:rPr>
          <w:lang w:val="ru-RU" w:eastAsia="ru-RU" w:bidi="ru-RU"/>
          <w:w w:val="100"/>
          <w:spacing w:val="0"/>
          <w:color w:val="000000"/>
          <w:position w:val="0"/>
        </w:rPr>
        <w:t>в левых прекордиальных отведениях; 3) глубо</w:t>
        <w:softHyphen/>
        <w:t xml:space="preserve">кие отрицательные зубцы Т и снижение сегментов </w:t>
      </w:r>
      <w:r>
        <w:rPr>
          <w:lang w:val="en-US" w:eastAsia="en-US" w:bidi="en-US"/>
          <w:w w:val="100"/>
          <w:spacing w:val="0"/>
          <w:color w:val="000000"/>
          <w:position w:val="0"/>
        </w:rPr>
        <w:t>ST.</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Рентгенография:</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 рентгенограмме грудной клетки в типичных слу</w:t>
        <w:softHyphen/>
        <w:t>чаях определяется дилатация левого желудочка и ле</w:t>
        <w:softHyphen/>
        <w:t>вого предсердия, легочный сосудистый рисунок не изменен, силуэт аорты обычно маленький.</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Выпуклость между ушком левого предсердия и вер</w:t>
        <w:softHyphen/>
        <w:t>хушкой левого желудочка может отражать гипертро</w:t>
        <w:softHyphen/>
        <w:t>фию переднелатеральной стенки левого желудочка.</w:t>
      </w:r>
    </w:p>
    <w:p>
      <w:pPr>
        <w:framePr w:h="3408" w:wrap="notBeside" w:vAnchor="text" w:hAnchor="text" w:xAlign="center" w:y="1"/>
        <w:widowControl w:val="0"/>
        <w:jc w:val="center"/>
        <w:rPr>
          <w:sz w:val="2"/>
          <w:szCs w:val="2"/>
        </w:rPr>
      </w:pPr>
      <w:r>
        <w:pict>
          <v:shape id="_x0000_s1404" type="#_x0000_t75" style="width:241pt;height:170pt;">
            <v:imagedata r:id="rId626" r:href="rId627"/>
          </v:shape>
        </w:pict>
      </w:r>
    </w:p>
    <w:p>
      <w:pPr>
        <w:pStyle w:val="Style120"/>
        <w:framePr w:h="3408"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55. </w:t>
      </w:r>
      <w:r>
        <w:rPr>
          <w:lang w:val="ru-RU" w:eastAsia="ru-RU" w:bidi="ru-RU"/>
          <w:w w:val="100"/>
          <w:spacing w:val="0"/>
          <w:color w:val="000000"/>
          <w:position w:val="0"/>
        </w:rPr>
        <w:t>ЭКГ ребенка с гипертрофической кардиомиопатией. Оп</w:t>
        <w:softHyphen/>
        <w:t>ределяется гипертрофия левого желудочка, перегрузка обоих пред</w:t>
        <w:softHyphen/>
        <w:t xml:space="preserve">сердий, глубокие зубцы </w:t>
      </w:r>
      <w:r>
        <w:rPr>
          <w:lang w:val="en-US" w:eastAsia="en-US" w:bidi="en-US"/>
          <w:w w:val="100"/>
          <w:spacing w:val="0"/>
          <w:color w:val="000000"/>
          <w:position w:val="0"/>
        </w:rPr>
        <w:t xml:space="preserve">Q </w:t>
      </w:r>
      <w:r>
        <w:rPr>
          <w:lang w:val="ru-RU" w:eastAsia="ru-RU" w:bidi="ru-RU"/>
          <w:w w:val="100"/>
          <w:spacing w:val="0"/>
          <w:color w:val="000000"/>
          <w:position w:val="0"/>
        </w:rPr>
        <w:t>в левых грудных отведениях, субэндо</w:t>
        <w:softHyphen/>
        <w:t>кардиальная ишемия миокарда.</w:t>
      </w:r>
    </w:p>
    <w:p>
      <w:pPr>
        <w:widowControl w:val="0"/>
        <w:rPr>
          <w:sz w:val="2"/>
          <w:szCs w:val="2"/>
        </w:rPr>
      </w:pPr>
    </w:p>
    <w:p>
      <w:pPr>
        <w:pStyle w:val="Style30"/>
        <w:numPr>
          <w:ilvl w:val="0"/>
          <w:numId w:val="69"/>
        </w:numPr>
        <w:tabs>
          <w:tab w:leader="none" w:pos="511" w:val="left"/>
        </w:tabs>
        <w:widowControl w:val="0"/>
        <w:keepNext w:val="0"/>
        <w:keepLines w:val="0"/>
        <w:shd w:val="clear" w:color="auto" w:fill="auto"/>
        <w:bidi w:val="0"/>
        <w:spacing w:before="501" w:after="0"/>
        <w:ind w:left="520" w:right="0" w:hanging="240"/>
      </w:pPr>
      <w:r>
        <w:rPr>
          <w:lang w:val="ru-RU" w:eastAsia="ru-RU" w:bidi="ru-RU"/>
          <w:w w:val="100"/>
          <w:spacing w:val="0"/>
          <w:color w:val="000000"/>
          <w:position w:val="0"/>
        </w:rPr>
        <w:t>У детей раннего возраста характерным проявлением ГКМП на рентгенограмме является кардиомегалия, легочный сосудистый рисунок не изменен, за исклю</w:t>
        <w:softHyphen/>
        <w:t>чением случаев с клиническими проявлениями за</w:t>
        <w:softHyphen/>
        <w:t>стойной сердечной недостаточности при ГКМП.</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Допплерэхокардиография:</w:t>
      </w:r>
    </w:p>
    <w:p>
      <w:pPr>
        <w:pStyle w:val="Style30"/>
        <w:numPr>
          <w:ilvl w:val="0"/>
          <w:numId w:val="69"/>
        </w:numPr>
        <w:tabs>
          <w:tab w:leader="none" w:pos="511"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Допплерэхокардиография при ГКМП является на</w:t>
        <w:softHyphen/>
        <w:t>иболее важным методом исследования. Она позволя</w:t>
        <w:softHyphen/>
        <w:t>ет определить локализацию и распространенность гипертрофии, систолическую и диастолическую функции, наличие и степень переднесистолического движения, тяжесть субаортальной или среднежелу</w:t>
        <w:softHyphen/>
        <w:t>дочковой обструкции, степень митральной регурги- тации, сопутствующие аномалии митрального клапа</w:t>
        <w:softHyphen/>
        <w:t>на, размер левого предсердия.</w:t>
      </w:r>
    </w:p>
    <w:p>
      <w:pPr>
        <w:pStyle w:val="Style30"/>
        <w:numPr>
          <w:ilvl w:val="0"/>
          <w:numId w:val="69"/>
        </w:numPr>
        <w:tabs>
          <w:tab w:leader="none" w:pos="511"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Ранее диагноз ГКМП подтверждался проведением М-эхокардиографии. Характерными проявлениями одномерной эхоКГ являются: асимметричная гипер</w:t>
        <w:softHyphen/>
        <w:t>трофия стенок левого желудочка, концентрическая ги</w:t>
        <w:softHyphen/>
        <w:t>пертрофия, переднесистолическое движение передней створки митрального клапана и среднесистолическое прикрытие аортального клапана, свидетельствующее о тяжелой обструкции выходного тракта левого желу</w:t>
        <w:softHyphen/>
        <w:t>дочка. В настоящее время для диагностики ГКМП ис</w:t>
        <w:softHyphen/>
        <w:t>пользуется двухмерная эхоКГ, которая позволяет опре</w:t>
        <w:softHyphen/>
        <w:t>делить тип и локализацию гипертрофии, причину об</w:t>
        <w:softHyphen/>
        <w:t>струкции выводного отдела левого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Характерный пример гипертрофической кардиомиопа</w:t>
        <w:softHyphen/>
        <w:t>тии у ребенка с обструкцией выходного тракта левого желу</w:t>
        <w:softHyphen/>
        <w:t xml:space="preserve">дочка представлен на рисунке </w:t>
      </w:r>
      <w:r>
        <w:rPr>
          <w:lang w:val="en-US" w:eastAsia="en-US" w:bidi="en-US"/>
          <w:w w:val="100"/>
          <w:spacing w:val="0"/>
          <w:color w:val="000000"/>
          <w:position w:val="0"/>
        </w:rPr>
        <w:t>55a.</w:t>
      </w:r>
    </w:p>
    <w:p>
      <w:pPr>
        <w:pStyle w:val="Style30"/>
        <w:numPr>
          <w:ilvl w:val="0"/>
          <w:numId w:val="69"/>
        </w:numPr>
        <w:tabs>
          <w:tab w:leader="none" w:pos="511"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Для определения степени обструкции выходного от</w:t>
        <w:softHyphen/>
        <w:t>дела левого желудочка применяется допплерэхокар</w:t>
        <w:softHyphen/>
        <w:t>диография в различных режимах (импульсном, по</w:t>
        <w:softHyphen/>
        <w:t>стоянном, цветовом картировании).</w:t>
      </w:r>
    </w:p>
    <w:p>
      <w:pPr>
        <w:pStyle w:val="Style30"/>
        <w:numPr>
          <w:ilvl w:val="0"/>
          <w:numId w:val="69"/>
        </w:numPr>
        <w:tabs>
          <w:tab w:leader="none" w:pos="511" w:val="left"/>
        </w:tabs>
        <w:widowControl w:val="0"/>
        <w:keepNext w:val="0"/>
        <w:keepLines w:val="0"/>
        <w:shd w:val="clear" w:color="auto" w:fill="auto"/>
        <w:bidi w:val="0"/>
        <w:spacing w:before="0" w:after="0"/>
        <w:ind w:left="520" w:right="0" w:hanging="240"/>
        <w:sectPr>
          <w:type w:val="continuous"/>
          <w:pgSz w:w="11900" w:h="16840"/>
          <w:pgMar w:top="1550" w:left="1035" w:right="967" w:bottom="1747" w:header="0" w:footer="3" w:gutter="0"/>
          <w:rtlGutter w:val="0"/>
          <w:cols w:num="2" w:space="199"/>
          <w:noEndnote/>
          <w:docGrid w:linePitch="360"/>
        </w:sectPr>
      </w:pPr>
      <w:r>
        <w:rPr>
          <w:lang w:val="ru-RU" w:eastAsia="ru-RU" w:bidi="ru-RU"/>
          <w:w w:val="100"/>
          <w:spacing w:val="0"/>
          <w:color w:val="000000"/>
          <w:position w:val="0"/>
        </w:rPr>
        <w:t>Трансмитральный поток при допплерографии позво</w:t>
        <w:softHyphen/>
        <w:t>ляет выявить нарушение диастолической релаксации левого желудочка по характерной кривой диастоличе</w:t>
        <w:softHyphen/>
        <w:t>ского наполнения. У больных с ГКМП снижен пик Е</w:t>
      </w:r>
    </w:p>
    <w:p>
      <w:pPr>
        <w:widowControl w:val="0"/>
        <w:rPr>
          <w:sz w:val="2"/>
          <w:szCs w:val="2"/>
        </w:rPr>
      </w:pPr>
      <w:r>
        <w:pict>
          <v:shape id="_x0000_s1405" type="#_x0000_t202" style="position:static;width:595.pt;height:66.0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49" w:left="0" w:right="0" w:bottom="192" w:header="0" w:footer="3" w:gutter="0"/>
          <w:rtlGutter w:val="0"/>
          <w:cols w:space="720"/>
          <w:noEndnote/>
          <w:docGrid w:linePitch="360"/>
        </w:sectPr>
      </w:pPr>
    </w:p>
    <w:p>
      <w:pPr>
        <w:widowControl w:val="0"/>
        <w:spacing w:line="645" w:lineRule="exact"/>
      </w:pPr>
      <w:r>
        <w:pict>
          <v:shape id="_x0000_s1406" type="#_x0000_t75" style="position:absolute;margin-left:155.55pt;margin-top:0;width:209.75pt;height:14.9pt;z-index:-251658698;mso-wrap-distance-left:5.pt;mso-wrap-distance-right:5.pt;mso-position-horizontal-relative:margin" wrapcoords="0 0">
            <v:imagedata r:id="rId628" r:href="rId629"/>
            <w10:wrap anchorx="margin"/>
          </v:shape>
        </w:pict>
      </w:r>
    </w:p>
    <w:p>
      <w:pPr>
        <w:widowControl w:val="0"/>
        <w:rPr>
          <w:sz w:val="2"/>
          <w:szCs w:val="2"/>
        </w:rPr>
        <w:sectPr>
          <w:type w:val="continuous"/>
          <w:pgSz w:w="11900" w:h="16840"/>
          <w:pgMar w:top="1449" w:left="893" w:right="1123" w:bottom="192" w:header="0" w:footer="3" w:gutter="0"/>
          <w:rtlGutter w:val="0"/>
          <w:cols w:space="720"/>
          <w:noEndnote/>
          <w:docGrid w:linePitch="360"/>
        </w:sectPr>
      </w:pPr>
    </w:p>
    <w:p>
      <w:pPr>
        <w:pStyle w:val="Style30"/>
        <w:widowControl w:val="0"/>
        <w:keepNext w:val="0"/>
        <w:keepLines w:val="0"/>
        <w:shd w:val="clear" w:color="auto" w:fill="auto"/>
        <w:bidi w:val="0"/>
        <w:spacing w:before="0" w:after="0" w:line="192" w:lineRule="exact"/>
        <w:ind w:left="0" w:right="0" w:firstLine="0"/>
        <w:sectPr>
          <w:pgSz w:w="11900" w:h="16840"/>
          <w:pgMar w:top="1618" w:left="1119" w:right="893" w:bottom="207" w:header="0" w:footer="3" w:gutter="0"/>
          <w:rtlGutter w:val="0"/>
          <w:cols w:space="720"/>
          <w:noEndnote/>
          <w:docGrid w:linePitch="360"/>
        </w:sectPr>
      </w:pPr>
      <w:r>
        <w:pict>
          <v:shape id="_x0000_s1407" type="#_x0000_t75" style="position:absolute;margin-left:0.95pt;margin-top:-20.4pt;width:296.65pt;height:220.3pt;z-index:-125829123;mso-wrap-distance-left:5.pt;mso-wrap-distance-right:21.85pt;mso-position-horizontal-relative:margin" wrapcoords="0 0 21600 0 21600 21600 0 21600 0 0">
            <v:imagedata r:id="rId630" r:href="rId631"/>
            <w10:wrap type="square" side="right" anchorx="margin"/>
          </v:shape>
        </w:pict>
      </w:r>
      <w:r>
        <w:rPr>
          <w:rStyle w:val="CharStyle102"/>
        </w:rPr>
        <w:t xml:space="preserve">Рис. </w:t>
      </w:r>
      <w:r>
        <w:rPr>
          <w:rStyle w:val="CharStyle102"/>
          <w:lang w:val="en-US" w:eastAsia="en-US" w:bidi="en-US"/>
        </w:rPr>
        <w:t xml:space="preserve">55a. </w:t>
      </w:r>
      <w:r>
        <w:rPr>
          <w:lang w:val="ru-RU" w:eastAsia="ru-RU" w:bidi="ru-RU"/>
          <w:w w:val="100"/>
          <w:spacing w:val="0"/>
          <w:color w:val="000000"/>
          <w:position w:val="0"/>
        </w:rPr>
        <w:t>Эхокардиограмма при гипертрофичес</w:t>
        <w:softHyphen/>
        <w:t>кой обструктивной кардиомиопатии. Перего</w:t>
        <w:softHyphen/>
        <w:t>родка значительно утолщена, передняя мит</w:t>
        <w:softHyphen/>
        <w:t>ральная створка соприкасается с межжелудоч</w:t>
        <w:softHyphen/>
        <w:t>ковой перегородкой.</w:t>
      </w:r>
    </w:p>
    <w:p>
      <w:pPr>
        <w:widowControl w:val="0"/>
        <w:spacing w:before="44" w:after="44" w:line="240" w:lineRule="exact"/>
        <w:rPr>
          <w:sz w:val="19"/>
          <w:szCs w:val="19"/>
        </w:rPr>
      </w:pPr>
    </w:p>
    <w:p>
      <w:pPr>
        <w:widowControl w:val="0"/>
        <w:rPr>
          <w:sz w:val="2"/>
          <w:szCs w:val="2"/>
        </w:rPr>
        <w:sectPr>
          <w:type w:val="continuous"/>
          <w:pgSz w:w="11900" w:h="16840"/>
          <w:pgMar w:top="1533" w:left="0" w:right="0" w:bottom="1755" w:header="0" w:footer="3" w:gutter="0"/>
          <w:rtlGutter w:val="0"/>
          <w:cols w:space="720"/>
          <w:noEndnote/>
          <w:docGrid w:linePitch="360"/>
        </w:sectPr>
      </w:pPr>
    </w:p>
    <w:p>
      <w:pPr>
        <w:widowControl w:val="0"/>
        <w:rPr>
          <w:sz w:val="2"/>
          <w:szCs w:val="2"/>
        </w:rPr>
      </w:pPr>
      <w:r>
        <w:pict>
          <v:shape id="_x0000_s1408" type="#_x0000_t75" style="position:absolute;margin-left:139.45pt;margin-top:496.1pt;width:209.75pt;height:14.9pt;z-index:-125829122;mso-wrap-distance-left:136.8pt;mso-wrap-distance-right:148.1pt;mso-wrap-distance-bottom:10.8pt;mso-position-horizontal-relative:margin" wrapcoords="0 0 21600 0 21600 21600 0 21600 0 0">
            <v:imagedata r:id="rId632" r:href="rId633"/>
            <w10:wrap type="topAndBottom" anchorx="margin"/>
          </v:shape>
        </w:pict>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быстрого наполнения, кривая имеет пологий ход во время быстрого наполнения и медленное снижение, пик А предсердной контракции значительно увеличен.</w:t>
      </w:r>
    </w:p>
    <w:p>
      <w:pPr>
        <w:pStyle w:val="Style30"/>
        <w:numPr>
          <w:ilvl w:val="0"/>
          <w:numId w:val="6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Для диагностики характера гипертрофии используют индекс асимметричности (отношение толщины меж</w:t>
        <w:softHyphen/>
        <w:t>желудочковой перегородки к толщине задней стенки левого желудочка). Об асимметричной форме гово</w:t>
        <w:softHyphen/>
        <w:t>рят, когда индекс асимметричности превышает 1,3. Эхокардиография не позволяет дифференцировать причину, обусловившую гипертрофию миокарда, на</w:t>
        <w:softHyphen/>
        <w:t>пример, при наследственных ГКМП, обусловленных патологией саркомерных протеинов, или при ГКМП у новорожденных, рожденных от матерей, страдаю</w:t>
        <w:softHyphen/>
        <w:t>щих сахарным диабетом.</w:t>
      </w:r>
    </w:p>
    <w:p>
      <w:pPr>
        <w:pStyle w:val="Style30"/>
        <w:numPr>
          <w:ilvl w:val="0"/>
          <w:numId w:val="6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Чрезпищеводная эхокардиография используется для уточнения характера сопутствующих аномалий мит</w:t>
        <w:softHyphen/>
        <w:t>рального клапана и уровня обструкции выходного тракта левого желудочка, позволяет планировать ва</w:t>
        <w:softHyphen/>
        <w:t>рианты хирургического вмешательства и в послеопе</w:t>
        <w:softHyphen/>
        <w:t>рационном периоде оценивать его эффективность.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Ядерный магнитный резонанс, позитронно эмиссион</w:t>
        <w:softHyphen/>
        <w:t>ную томографию, сцинтиграфию проводят для оценки сис</w:t>
        <w:softHyphen/>
        <w:t>толической и диастолической функций левого желудочка и величины миокардиальной ишемии.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Магниторезонансная томография проводится в случаях, если эхокардиография не позволяет качественно диагнос</w:t>
        <w:softHyphen/>
        <w:t>тировать характер и локализацию гипертрофии.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настоящее время допплерэхокардиография полностью исключила необходимость проведения катетеризации и ан</w:t>
        <w:softHyphen/>
        <w:t>гиокардиографии у больных ГКМП. Ранее катетеризации сердца принадлежала главенствующая роль в диагностике ГКМП.</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Иногда катетеризацию сердца проводят при импланта</w:t>
        <w:softHyphen/>
        <w:t>ции бифокального кардиостимулятора и у больных на ко</w:t>
        <w:softHyphen/>
        <w:t>нечных стадиях заболевания для уточнения возможностей трансплантации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Электрофизиологические исследования и мониторинг ЭКГ традиционно проводят у больных с ГКМП для выяв</w:t>
        <w:softHyphen/>
        <w:t>ления и лечения всех вариантов аритмий, особенно желу</w:t>
        <w:softHyphen/>
        <w:t>дочковой локализации.</w:t>
      </w:r>
    </w:p>
    <w:p>
      <w:pPr>
        <w:pStyle w:val="Style92"/>
        <w:widowControl w:val="0"/>
        <w:keepNext/>
        <w:keepLines/>
        <w:shd w:val="clear" w:color="auto" w:fill="auto"/>
        <w:bidi w:val="0"/>
        <w:spacing w:before="0" w:after="0"/>
        <w:ind w:left="0" w:right="0" w:firstLine="280"/>
      </w:pPr>
      <w:r>
        <w:br w:type="column"/>
      </w:r>
      <w:bookmarkStart w:id="450" w:name="bookmark450"/>
      <w:r>
        <w:rPr>
          <w:lang w:val="ru-RU" w:eastAsia="ru-RU" w:bidi="ru-RU"/>
          <w:w w:val="100"/>
          <w:spacing w:val="0"/>
          <w:color w:val="000000"/>
          <w:position w:val="0"/>
        </w:rPr>
        <w:t>Течение заболевания</w:t>
      </w:r>
      <w:bookmarkEnd w:id="45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Клиническое течение ГКМП характеризуется большой вариабельностью, некоторые авторы обозначают его не</w:t>
        <w:softHyphen/>
        <w:t>предсказуемым. Быстрое прогрессирование заболевания наблюдается в детском и подростковом возрасте (особенно в период полового созревания), а также улиц молодого воз</w:t>
        <w:softHyphen/>
        <w:t>раста. У взрослых болезнь прогрессирует медленно. Точ</w:t>
        <w:softHyphen/>
        <w:t>ным предиктором неблагоприятного течения заболевания является вариант молекулярно-генетического дефекта. Ге</w:t>
        <w:softHyphen/>
        <w:t>нотип при ГКМП определяет клиническое течение заболе</w:t>
        <w:softHyphen/>
        <w:t>вания. Примерно от 30 до 40% ГКМП обусловлены точеч</w:t>
        <w:softHyphen/>
        <w:t>ными мутациями в гене Р-миозина тяжелых цепей. Про</w:t>
        <w:softHyphen/>
        <w:t>гноз больных при миозиновых мутациях значительно варь</w:t>
        <w:softHyphen/>
        <w:t xml:space="preserve">ирует. При мутации </w:t>
      </w:r>
      <w:r>
        <w:rPr>
          <w:lang w:val="en-US" w:eastAsia="en-US" w:bidi="en-US"/>
          <w:w w:val="100"/>
          <w:spacing w:val="0"/>
          <w:color w:val="000000"/>
          <w:position w:val="0"/>
        </w:rPr>
        <w:t xml:space="preserve">Val606Met </w:t>
      </w:r>
      <w:r>
        <w:rPr>
          <w:lang w:val="ru-RU" w:eastAsia="ru-RU" w:bidi="ru-RU"/>
          <w:w w:val="100"/>
          <w:spacing w:val="0"/>
          <w:color w:val="000000"/>
          <w:position w:val="0"/>
        </w:rPr>
        <w:t>наблюдается благоприятное течение заболевания, в то время как при других мутациях миозина наблюдаются высокая частота преждевременной смерти, раннее развитие сердечной недостаточности и вне</w:t>
        <w:softHyphen/>
        <w:t xml:space="preserve">запная смерть. Мутация </w:t>
      </w:r>
      <w:r>
        <w:rPr>
          <w:lang w:val="en-US" w:eastAsia="en-US" w:bidi="en-US"/>
          <w:w w:val="100"/>
          <w:spacing w:val="0"/>
          <w:color w:val="000000"/>
          <w:position w:val="0"/>
        </w:rPr>
        <w:t xml:space="preserve">Arg403Gln </w:t>
      </w:r>
      <w:r>
        <w:rPr>
          <w:lang w:val="ru-RU" w:eastAsia="ru-RU" w:bidi="ru-RU"/>
          <w:w w:val="100"/>
          <w:spacing w:val="0"/>
          <w:color w:val="000000"/>
          <w:position w:val="0"/>
        </w:rPr>
        <w:t>ассоциируется с плохим прогнозом и смертью в молодом возрасте. Мутации в гене сердечного тропонина Т составляют примерно 10-20% сре</w:t>
        <w:softHyphen/>
        <w:t>ди всех форм ГКМП. При всех сообщенных вариантах му</w:t>
        <w:softHyphen/>
        <w:t>тации тропонина Т наблюдается относительно благоприят</w:t>
        <w:softHyphen/>
        <w:t>ное течение ГКМП. Гипертрофия миокарда протекает суб</w:t>
        <w:softHyphen/>
        <w:t>клинически и медленно прогрессирует с возрастом. На ос</w:t>
        <w:softHyphen/>
        <w:t>новании результатов обследования и наблюдения за боль</w:t>
        <w:softHyphen/>
        <w:t>шой группой больных ГКМП по тяжести клинических про</w:t>
        <w:softHyphen/>
        <w:t>явлений болезни выделяют 3 варианта течения заболевания (Мухарлямов Н.М., 1983):</w:t>
      </w:r>
    </w:p>
    <w:p>
      <w:pPr>
        <w:pStyle w:val="Style30"/>
        <w:numPr>
          <w:ilvl w:val="0"/>
          <w:numId w:val="75"/>
        </w:numPr>
        <w:tabs>
          <w:tab w:leader="none" w:pos="52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бессимптомное течение при органическом поражении в области пути оттока левого желудочка;</w:t>
      </w:r>
    </w:p>
    <w:p>
      <w:pPr>
        <w:pStyle w:val="Style30"/>
        <w:numPr>
          <w:ilvl w:val="0"/>
          <w:numId w:val="75"/>
        </w:numPr>
        <w:tabs>
          <w:tab w:leader="none" w:pos="52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развитие клинической симптоматики без четких при</w:t>
        <w:softHyphen/>
        <w:t>знаков обструкции выносящего тракта левого желудочка в покое, но появляющейся при различных провокацион</w:t>
        <w:softHyphen/>
        <w:t>ных пробах;</w:t>
      </w:r>
    </w:p>
    <w:p>
      <w:pPr>
        <w:pStyle w:val="Style30"/>
        <w:numPr>
          <w:ilvl w:val="0"/>
          <w:numId w:val="75"/>
        </w:numPr>
        <w:tabs>
          <w:tab w:leader="none" w:pos="52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обструкция выносящего тракта левого желудочка, со</w:t>
        <w:softHyphen/>
        <w:t>провождающаяся характерными симптомами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Такое деление ГКМП во многом условно, так как суще</w:t>
        <w:softHyphen/>
        <w:t>ствует ряд переходных стадий. В то же время эта классифи</w:t>
        <w:softHyphen/>
        <w:t>кация удобна тем, что позволяет дифференцированно под</w:t>
        <w:softHyphen/>
        <w:t>ходить к вопросам лечения.</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Больные с первым вариантом течения ГКМП обычно не предъявляют никаких жалоб. Заболевание выявляется у них чаще всего случайно при медицинском осмотре либо в ре</w:t>
        <w:softHyphen/>
        <w:t>зультате специального генетического исследования род</w:t>
        <w:softHyphen/>
        <w:t>ственников и проявляется наличием систолического шума изгнания с локализацией его максимума над верхушкой сердца, который в некоторых случаях трактуется как шум функционального происхождения. Довольно часто у боль</w:t>
        <w:softHyphen/>
        <w:t>ных данной группы имеются изменения на ЭКГ: увеличен</w:t>
        <w:softHyphen/>
        <w:t xml:space="preserve">ные (широкие и глубокие) зубцы </w:t>
      </w:r>
      <w:r>
        <w:rPr>
          <w:lang w:val="en-US" w:eastAsia="en-US" w:bidi="en-US"/>
          <w:w w:val="100"/>
          <w:spacing w:val="0"/>
          <w:color w:val="000000"/>
          <w:position w:val="0"/>
        </w:rPr>
        <w:t xml:space="preserve">Q </w:t>
      </w:r>
      <w:r>
        <w:rPr>
          <w:lang w:val="ru-RU" w:eastAsia="ru-RU" w:bidi="ru-RU"/>
          <w:w w:val="100"/>
          <w:spacing w:val="0"/>
          <w:color w:val="000000"/>
          <w:position w:val="0"/>
        </w:rPr>
        <w:t>в отведениях от конечно</w:t>
        <w:softHyphen/>
        <w:t>стей и левых грудных отведениях, реже — признаки гипер</w:t>
        <w:softHyphen/>
        <w:t>трофии левого желудочка. Эхокардиографическое исследо</w:t>
        <w:softHyphen/>
        <w:t>вание позволяет выявить главный признак заболевания — асимметричную гипертрофию межжелудочковой перегород</w:t>
        <w:softHyphen/>
        <w:t>ки. Скудность субъективных клинических проявлений у по</w:t>
        <w:softHyphen/>
        <w:t>добных больных обусловлена, по-видимому, отсутствием вы</w:t>
        <w:softHyphen/>
        <w:t>раженного градиента внутрижелудочкового давления, а так</w:t>
        <w:softHyphen/>
        <w:t>же тем, что данная форма течения болезни встречается чаще у лиц молодого возраста, у которых длительность заболева</w:t>
        <w:softHyphen/>
        <w:t>ния невелика, отсутствуют выраженная гипертрофия мио</w:t>
        <w:softHyphen/>
        <w:t>карда и связанная с ней относительная коронарная недоста</w:t>
        <w:softHyphen/>
        <w:t>точность. Такие больные не нуждаются в медикаментозном лечении и подлежат диспансерному наблюдению.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втором варианте течения ГКМП больные предъяв</w:t>
        <w:softHyphen/>
        <w:t>ляют различные жалобы, более или менее характерные для этого заболевания: перебои в работе сердца, сердцебиения, боли неопределенного характера в области сердца. Аускуль- тативно и фонокардиографически определяется систоличе</w:t>
        <w:softHyphen/>
        <w:t>ский шум изгнания, меняющий свою интенсивность при различных функциональных пробах. На ЭКГ обычно име</w:t>
        <w:softHyphen/>
        <w:t>ются признаки гипертрофии левого желудочка, иногда ре</w:t>
        <w:softHyphen/>
        <w:t xml:space="preserve">гистрируются патологические зубцы </w:t>
      </w:r>
      <w:r>
        <w:rPr>
          <w:lang w:val="en-US" w:eastAsia="en-US" w:bidi="en-US"/>
          <w:w w:val="100"/>
          <w:spacing w:val="0"/>
          <w:color w:val="000000"/>
          <w:position w:val="0"/>
        </w:rPr>
        <w:t xml:space="preserve">Q. </w:t>
      </w:r>
      <w:r>
        <w:rPr>
          <w:lang w:val="ru-RU" w:eastAsia="ru-RU" w:bidi="ru-RU"/>
          <w:w w:val="100"/>
          <w:spacing w:val="0"/>
          <w:color w:val="000000"/>
          <w:position w:val="0"/>
        </w:rPr>
        <w:t>Диагноз заболева</w:t>
        <w:softHyphen/>
        <w:t>ния подтверждается при эхокардиографии: определяются асимметричная гипертрофия межжелудочковой перегород</w:t>
        <w:softHyphen/>
        <w:t>ки и систолическое движение вперед передней створки ми</w:t>
        <w:softHyphen/>
        <w:t>трального клапана (разной степени выраженности, в зави</w:t>
        <w:softHyphen/>
        <w:t>симости от величины градиента внутрижелудочкового дав</w:t>
        <w:softHyphen/>
        <w:t>ления). Поскольку у подобных больных градиент давления между левым желудочком и аортой непостоянен и периоди</w:t>
        <w:softHyphen/>
        <w:t>чески появляется или повышается, у них часто наблюдает</w:t>
        <w:softHyphen/>
        <w:t>ся гипертрофия свободной стенки левого желудочка, кото</w:t>
        <w:softHyphen/>
        <w:t>рая выявляется с помощью эхокардиографии и других ме</w:t>
        <w:softHyphen/>
        <w:t>тодов исследования. При данном варианте течения ГКМП больным обычно назначают блокаторы бета-адренорецеп</w:t>
        <w:softHyphen/>
        <w:t>торов в индивидуально подобранных дозах, предупреждаю</w:t>
        <w:softHyphen/>
        <w:t>щие повышение градиента внутрижелудочкового давления и дальнейшее прогрессирование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третьем варианте течения ГКМП у больных обычно определяются выраженный градиент внутрижелудочкового давления в покое и субъективные признаки заболевания: одышка, боли в области сердца, порой даже стенокардиче- ского характера, указания на серьезные нарушения ритма сердечной деятельности. На ЭКГ появляются признаки вы</w:t>
        <w:softHyphen/>
        <w:t>раженной гипертрофии и перегрузки миокарда левого же</w:t>
        <w:softHyphen/>
        <w:t>лудочка и гипертрофии предсердий. При эхокардиографии определяются выраженная гипертрофия межжелудочковой перегородки, свободной стенки левого желудочка, систо</w:t>
        <w:softHyphen/>
        <w:t>лическое движение вперед передней створки митрального клапана, среднесистолическое прикрытие створок аорталь</w:t>
        <w:softHyphen/>
        <w:t>ного клапана и др. При неблагоприятном течении болезни могут присоединиться различные осложнения, усугубляю</w:t>
        <w:softHyphen/>
        <w:t>щие основное заболевание: мерцательная аритмия, накоп</w:t>
        <w:softHyphen/>
        <w:br w:type="column"/>
        <w:t>ление жидкости в полости перикарда, признаки недоста</w:t>
        <w:softHyphen/>
        <w:t>точности кровообращения. Больные с таким вариантом те</w:t>
        <w:softHyphen/>
        <w:t>чения ГКМП подлежат длительному непрерывному меди</w:t>
        <w:softHyphen/>
        <w:t>каментозному лечению. При выявлении у них признаков недостаточности кровообращения оправдано назначение диуретиков. Отсутствие эффекта от консервативной тера</w:t>
        <w:softHyphen/>
        <w:t>пии может служить показанием к хирургическому лечению.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Палеев Н.Р. с соавт. (1992) выделяют 9 клинических вари</w:t>
        <w:softHyphen/>
        <w:t>антов течения заболевания: малосимптомный, вегетодисто- нический, инфарктоподобный, кардиалгический, аритми</w:t>
        <w:softHyphen/>
        <w:t>ческий, декомпенсационный, псевдоклапанный, молние</w:t>
        <w:softHyphen/>
        <w:t>носный, смешанный. Естественно, что выделение вариан</w:t>
        <w:softHyphen/>
        <w:t>тов течения заболевания схематично и условно, однако оно способствует раннему распознаванию ГКМП. Каждому клиническому варианту присущи определенные признаки.</w:t>
      </w:r>
    </w:p>
    <w:p>
      <w:pPr>
        <w:pStyle w:val="Style30"/>
        <w:numPr>
          <w:ilvl w:val="0"/>
          <w:numId w:val="77"/>
        </w:numPr>
        <w:tabs>
          <w:tab w:leader="none" w:pos="514" w:val="left"/>
        </w:tabs>
        <w:widowControl w:val="0"/>
        <w:keepNext w:val="0"/>
        <w:keepLines w:val="0"/>
        <w:shd w:val="clear" w:color="auto" w:fill="auto"/>
        <w:bidi w:val="0"/>
        <w:spacing w:before="0" w:after="0"/>
        <w:ind w:left="0" w:right="0" w:firstLine="280"/>
      </w:pPr>
      <w:r>
        <w:rPr>
          <w:rStyle w:val="CharStyle132"/>
        </w:rPr>
        <w:t>Малосимптомный вариант.</w:t>
      </w:r>
      <w:r>
        <w:rPr>
          <w:rStyle w:val="CharStyle133"/>
        </w:rPr>
        <w:t xml:space="preserve"> </w:t>
      </w:r>
      <w:r>
        <w:rPr>
          <w:lang w:val="ru-RU" w:eastAsia="ru-RU" w:bidi="ru-RU"/>
          <w:w w:val="100"/>
          <w:spacing w:val="0"/>
          <w:color w:val="000000"/>
          <w:position w:val="0"/>
        </w:rPr>
        <w:t>При варианте заболевания больные обычно не предъявляют жалоб. Поводом к актив</w:t>
        <w:softHyphen/>
        <w:t>ному обследованию являются случайно обнаруженный шум в сердце и изменения ЭКГ. Шум обычно систоличес</w:t>
        <w:softHyphen/>
        <w:t>кий, локализуется по левому краю грудины в третьем-чет- вертом межреберье; при ФКГ подтверждается его некла</w:t>
        <w:softHyphen/>
        <w:t>панное происхождение. Рентгенологические симптомы увеличения размеров сердца отсутствуют. Данные ЭКГ ука</w:t>
        <w:softHyphen/>
        <w:t>зывают на наличие признаков гипертрофии левого желу</w:t>
        <w:softHyphen/>
        <w:t>дочка. Эхокардиография выявляет асимметрическую ги</w:t>
        <w:softHyphen/>
        <w:t>пертрофию межжелудочковой перегородки и уменьшение полости левого желудочка, при этом отношение толщины миокарда перегородки к толщине задней стенки левого же</w:t>
        <w:softHyphen/>
        <w:t>лудочка превышает 1,3.</w:t>
      </w:r>
    </w:p>
    <w:p>
      <w:pPr>
        <w:pStyle w:val="Style30"/>
        <w:numPr>
          <w:ilvl w:val="0"/>
          <w:numId w:val="77"/>
        </w:numPr>
        <w:tabs>
          <w:tab w:leader="none" w:pos="514" w:val="left"/>
        </w:tabs>
        <w:widowControl w:val="0"/>
        <w:keepNext w:val="0"/>
        <w:keepLines w:val="0"/>
        <w:shd w:val="clear" w:color="auto" w:fill="auto"/>
        <w:bidi w:val="0"/>
        <w:spacing w:before="0" w:after="0"/>
        <w:ind w:left="0" w:right="0" w:firstLine="280"/>
      </w:pPr>
      <w:r>
        <w:rPr>
          <w:rStyle w:val="CharStyle132"/>
        </w:rPr>
        <w:t>Вегетодистонический вариант</w:t>
      </w:r>
      <w:r>
        <w:rPr>
          <w:rStyle w:val="CharStyle133"/>
        </w:rPr>
        <w:t xml:space="preserve"> </w:t>
      </w:r>
      <w:r>
        <w:rPr>
          <w:lang w:val="ru-RU" w:eastAsia="ru-RU" w:bidi="ru-RU"/>
          <w:w w:val="100"/>
          <w:spacing w:val="0"/>
          <w:color w:val="000000"/>
          <w:position w:val="0"/>
        </w:rPr>
        <w:t>отличается большим количеством и разнообразием жалоб. Болевой синдром в грудной клетке имеет разнообразный, чаще нестенокар- дический характер, больные предъявляют жалобы на сла</w:t>
        <w:softHyphen/>
        <w:t>бость, утомляемость. Нередко у них возникают головокру</w:t>
        <w:softHyphen/>
        <w:t>жения, обморочные состояния, особенно при физической нагрузке, резкой перемене положения тела. Отмечается не</w:t>
        <w:softHyphen/>
        <w:t>устойчивость артериального давления. При осмотре боль</w:t>
        <w:softHyphen/>
        <w:t>ных заметного увеличения размеров сердца не определяет</w:t>
        <w:softHyphen/>
        <w:t>ся, что подтверждается данными рентгенографии. Тоны сердца обычно ритмичные, выслушивается неинтенсивный систолический шум на верхушке. По данным ЭКГ выявля</w:t>
        <w:softHyphen/>
        <w:t>ются признаки гипертрофии левого желудочка, наличие внутрижелудочковых блокад. Эхокардиография обнаружи</w:t>
        <w:softHyphen/>
        <w:t>вает выраженную гипертрофию межжелудочковой перего</w:t>
        <w:softHyphen/>
        <w:t>родки, уменьшение полости левого желудочка (как конеч</w:t>
        <w:softHyphen/>
        <w:t>ного систолического, так и конечного диастолического раз</w:t>
        <w:softHyphen/>
        <w:t>мера), прогибание створок митрального клапана в сторону межжелудочковой перегородки в систолу.</w:t>
      </w:r>
    </w:p>
    <w:p>
      <w:pPr>
        <w:pStyle w:val="Style30"/>
        <w:numPr>
          <w:ilvl w:val="0"/>
          <w:numId w:val="77"/>
        </w:numPr>
        <w:tabs>
          <w:tab w:leader="none" w:pos="514" w:val="left"/>
        </w:tabs>
        <w:widowControl w:val="0"/>
        <w:keepNext w:val="0"/>
        <w:keepLines w:val="0"/>
        <w:shd w:val="clear" w:color="auto" w:fill="auto"/>
        <w:bidi w:val="0"/>
        <w:spacing w:before="0" w:after="0"/>
        <w:ind w:left="0" w:right="0" w:firstLine="280"/>
      </w:pPr>
      <w:r>
        <w:pict>
          <v:shape id="_x0000_s1409" type="#_x0000_t75" style="position:absolute;margin-left:148.2pt;margin-top:738.7pt;width:209.75pt;height:14.9pt;z-index:-125829121;mso-wrap-distance-left:148.1pt;mso-wrap-distance-right:136.55pt;mso-wrap-distance-bottom:10.65pt;mso-position-horizontal-relative:margin;mso-position-vertical-relative:margin" wrapcoords="0 0 21600 0 21600 21600 0 21600 0 0">
            <v:imagedata r:id="rId634" r:href="rId635"/>
            <w10:wrap type="topAndBottom" anchorx="margin" anchory="margin"/>
          </v:shape>
        </w:pict>
      </w:r>
      <w:r>
        <w:rPr>
          <w:rStyle w:val="CharStyle132"/>
        </w:rPr>
        <w:t>Инфарктоподобный вариант</w:t>
      </w:r>
      <w:r>
        <w:rPr>
          <w:rStyle w:val="CharStyle133"/>
        </w:rPr>
        <w:t xml:space="preserve"> </w:t>
      </w:r>
      <w:r>
        <w:rPr>
          <w:lang w:val="ru-RU" w:eastAsia="ru-RU" w:bidi="ru-RU"/>
          <w:w w:val="100"/>
          <w:spacing w:val="0"/>
          <w:color w:val="000000"/>
          <w:position w:val="0"/>
        </w:rPr>
        <w:t>характеризуется наличием болевого синдрома в грудной клетке, имеющего стенокарди- ческий характер. Наличие стенокардии обусловлено нару</w:t>
        <w:softHyphen/>
        <w:t>шением соотношения коронарной перфузии и мышечной массы, сужением интрамуральных артерий, уменьшением коронарного кровотока вследствие нарушения расслабления миокарда в диастолу. Интенсивность болей различная, но, как правило, они не купируются после приема нитроглице</w:t>
        <w:softHyphen/>
        <w:t>рина и пролонгированных нитратов, уменьшаются при ис</w:t>
        <w:softHyphen/>
        <w:t>пользовании бета-адреноблокаторов или антагонистов каль</w:t>
        <w:softHyphen/>
        <w:t>ция. При осмотре больных выявляются увеличение размеров сердца, чаще на 2-3 см влево, систолический шум на верхуш</w:t>
        <w:softHyphen/>
        <w:t>ке и по левому краю грудины. Рентгенологическая картина соответствует гипертрофии левого желудочка. Реже отмеча-</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ется увеличение всех отделов сердца. Основным критерием этой формы заболевания следует считать наличие признаков очагового повреждения миокарда. На ЭКГ зачастую регист</w:t>
        <w:softHyphen/>
        <w:t xml:space="preserve">рируется патологический зубец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w:t>
      </w:r>
      <w:r>
        <w:rPr>
          <w:lang w:val="en-US" w:eastAsia="en-US" w:bidi="en-US"/>
          <w:w w:val="100"/>
          <w:spacing w:val="0"/>
          <w:color w:val="000000"/>
          <w:position w:val="0"/>
        </w:rPr>
        <w:t>I, aVL, V</w:t>
      </w:r>
      <w:r>
        <w:rPr>
          <w:lang w:val="en-US" w:eastAsia="en-US" w:bidi="en-US"/>
          <w:vertAlign w:val="subscript"/>
          <w:w w:val="100"/>
          <w:spacing w:val="0"/>
          <w:color w:val="000000"/>
          <w:position w:val="0"/>
        </w:rPr>
        <w:t>3</w:t>
      </w:r>
      <w:r>
        <w:rPr>
          <w:lang w:val="en-US" w:eastAsia="en-US" w:bidi="en-US"/>
          <w:w w:val="100"/>
          <w:spacing w:val="0"/>
          <w:color w:val="000000"/>
          <w:position w:val="0"/>
        </w:rPr>
        <w:t xml:space="preserve">-V6 </w:t>
      </w:r>
      <w:r>
        <w:rPr>
          <w:lang w:val="ru-RU" w:eastAsia="ru-RU" w:bidi="ru-RU"/>
          <w:w w:val="100"/>
          <w:spacing w:val="0"/>
          <w:color w:val="000000"/>
          <w:position w:val="0"/>
        </w:rPr>
        <w:t>отведениях. Однако в анамнезе больных отсутствуют указания на интен</w:t>
        <w:softHyphen/>
        <w:t>сивный длительный приступ болей в сердце или ангинозный статус. Часто имеют место случаи внезапной смерти близких родственников в молодом возрасте. Так же, как и у больных с другими формами ГКМП, при эхокардиографии выявля</w:t>
        <w:softHyphen/>
        <w:t>ются признаки субаортального стеноза или гипертрофии миокарда. При коронарной ангиографии стенотические из</w:t>
        <w:softHyphen/>
        <w:t>менения просвета сосудов не определяются.</w:t>
      </w:r>
    </w:p>
    <w:p>
      <w:pPr>
        <w:pStyle w:val="Style30"/>
        <w:numPr>
          <w:ilvl w:val="0"/>
          <w:numId w:val="77"/>
        </w:numPr>
        <w:tabs>
          <w:tab w:leader="none" w:pos="510" w:val="left"/>
        </w:tabs>
        <w:widowControl w:val="0"/>
        <w:keepNext w:val="0"/>
        <w:keepLines w:val="0"/>
        <w:shd w:val="clear" w:color="auto" w:fill="auto"/>
        <w:bidi w:val="0"/>
        <w:spacing w:before="0" w:after="0"/>
        <w:ind w:left="0" w:right="0" w:firstLine="280"/>
      </w:pPr>
      <w:r>
        <w:rPr>
          <w:rStyle w:val="CharStyle132"/>
        </w:rPr>
        <w:t>Кардиалгический вариант.</w:t>
      </w:r>
      <w:r>
        <w:rPr>
          <w:rStyle w:val="CharStyle133"/>
        </w:rPr>
        <w:t xml:space="preserve"> </w:t>
      </w:r>
      <w:r>
        <w:rPr>
          <w:lang w:val="ru-RU" w:eastAsia="ru-RU" w:bidi="ru-RU"/>
          <w:w w:val="100"/>
          <w:spacing w:val="0"/>
          <w:color w:val="000000"/>
          <w:position w:val="0"/>
        </w:rPr>
        <w:t>В клинической картине ве</w:t>
        <w:softHyphen/>
        <w:t>дущим является болевой синдром в грудной клетке. Боли сопровождаются снижением АД, бледностью, холодным потом, продолжаются несколько часов и не уступают при</w:t>
        <w:softHyphen/>
        <w:t>ему нитратов, бета-адреноблокаторов, антагонистов каль</w:t>
        <w:softHyphen/>
        <w:t>ция, устраняются с помощью анальгетиков. Кроме того, в клинической картине имеют место нарушения ритма и синкопальные состояния. На ЭКГ выявляются очаговые изменения и инверсия зубцов Т. При эхокардиографичес</w:t>
        <w:softHyphen/>
        <w:t>ком исследовании обращают на себя внимание резкая ги</w:t>
        <w:softHyphen/>
        <w:t>пертрофия межжелудочковой перегородки (от 2 до 3 см), уменьшение полости левого желудочка, изменение движе</w:t>
        <w:softHyphen/>
        <w:t>ния передней створки митрального клапана.</w:t>
      </w:r>
    </w:p>
    <w:p>
      <w:pPr>
        <w:pStyle w:val="Style30"/>
        <w:numPr>
          <w:ilvl w:val="0"/>
          <w:numId w:val="77"/>
        </w:numPr>
        <w:tabs>
          <w:tab w:leader="none" w:pos="524" w:val="left"/>
        </w:tabs>
        <w:widowControl w:val="0"/>
        <w:keepNext w:val="0"/>
        <w:keepLines w:val="0"/>
        <w:shd w:val="clear" w:color="auto" w:fill="auto"/>
        <w:bidi w:val="0"/>
        <w:spacing w:before="0" w:after="0"/>
        <w:ind w:left="0" w:right="0" w:firstLine="280"/>
      </w:pPr>
      <w:r>
        <w:rPr>
          <w:rStyle w:val="CharStyle132"/>
        </w:rPr>
        <w:t>Аритмический вариант</w:t>
      </w:r>
      <w:r>
        <w:rPr>
          <w:rStyle w:val="CharStyle133"/>
        </w:rPr>
        <w:t xml:space="preserve"> </w:t>
      </w:r>
      <w:r>
        <w:rPr>
          <w:lang w:val="ru-RU" w:eastAsia="ru-RU" w:bidi="ru-RU"/>
          <w:w w:val="100"/>
          <w:spacing w:val="0"/>
          <w:color w:val="000000"/>
          <w:position w:val="0"/>
        </w:rPr>
        <w:t>можно выделить в тех случаях, когда в клинической картине преобладают нарушения ритма. Часто нарушения ритма не ощущаются; у больных этой груп</w:t>
        <w:softHyphen/>
        <w:t>пы преобладают жалобы на головокружение, одышку при на</w:t>
        <w:softHyphen/>
        <w:t>грузке, обморочные состояния. Нарушения имеют различ</w:t>
        <w:softHyphen/>
        <w:t>ный характер: фибрилляция и трепетание предсердий, экс</w:t>
        <w:softHyphen/>
        <w:t>тра-, парасистолия и сложная комбинация различных видов нарушений ритма и проводимости. Кроме того, отмечаются синдромы преждевременного возбуждения и ранней реполя</w:t>
        <w:softHyphen/>
        <w:t>ризации желудочков. На ЭхоКГ имеются типичные для ГКМП признаки, на рентгенограммах — указания на гипер</w:t>
        <w:softHyphen/>
        <w:t>трофию левого желудочка и левого предсердия; могут опреде</w:t>
        <w:softHyphen/>
        <w:t>ляться признаки венозного застоя крови в легких.</w:t>
      </w:r>
    </w:p>
    <w:p>
      <w:pPr>
        <w:pStyle w:val="Style30"/>
        <w:numPr>
          <w:ilvl w:val="0"/>
          <w:numId w:val="77"/>
        </w:numPr>
        <w:tabs>
          <w:tab w:leader="none" w:pos="519" w:val="left"/>
        </w:tabs>
        <w:widowControl w:val="0"/>
        <w:keepNext w:val="0"/>
        <w:keepLines w:val="0"/>
        <w:shd w:val="clear" w:color="auto" w:fill="auto"/>
        <w:bidi w:val="0"/>
        <w:spacing w:before="0" w:after="0"/>
        <w:ind w:left="0" w:right="0" w:firstLine="280"/>
      </w:pPr>
      <w:r>
        <w:rPr>
          <w:rStyle w:val="CharStyle132"/>
        </w:rPr>
        <w:t>Декомпенсациотый вариант.</w:t>
      </w:r>
      <w:r>
        <w:rPr>
          <w:rStyle w:val="CharStyle133"/>
        </w:rPr>
        <w:t xml:space="preserve"> </w:t>
      </w:r>
      <w:r>
        <w:rPr>
          <w:lang w:val="ru-RU" w:eastAsia="ru-RU" w:bidi="ru-RU"/>
          <w:w w:val="100"/>
          <w:spacing w:val="0"/>
          <w:color w:val="000000"/>
          <w:position w:val="0"/>
        </w:rPr>
        <w:t>Заболевание начинается с приступов острой левожелудочковой недостаточности, в дальнейшем протекает с симптомами застойной сердечной недостаточности, чаще по малому кругу кровообращения. Кардиалгия не характерна, систолический шум обычно ло</w:t>
        <w:softHyphen/>
        <w:t>кализуется на верхушке сердца. На ЭКГ выявляются призна</w:t>
        <w:softHyphen/>
        <w:t xml:space="preserve">ки гипертрофии левого желудочка, перегрузки предсердий, синусовая тахикардия, изменения интервала </w:t>
      </w:r>
      <w:r>
        <w:rPr>
          <w:lang w:val="en-US" w:eastAsia="en-US" w:bidi="en-US"/>
          <w:w w:val="100"/>
          <w:spacing w:val="0"/>
          <w:color w:val="000000"/>
          <w:position w:val="0"/>
        </w:rPr>
        <w:t>ST</w:t>
      </w:r>
      <w:r>
        <w:rPr>
          <w:lang w:val="ru-RU" w:eastAsia="ru-RU" w:bidi="ru-RU"/>
          <w:w w:val="100"/>
          <w:spacing w:val="0"/>
          <w:color w:val="000000"/>
          <w:position w:val="0"/>
        </w:rPr>
        <w:t>-Т в левых грудных отведениях, внутрижелудочковые блокады. На ЭхоКГ определяются признаки гипертрофии миокарда задней стенки левого желудочка и межжелудочковой перего</w:t>
        <w:softHyphen/>
        <w:t>родки, гипокинезия миокарда, на рентгенограммах — увели</w:t>
        <w:softHyphen/>
        <w:t>чение размеров сердца, выраженный застой крови в легких.</w:t>
      </w:r>
    </w:p>
    <w:p>
      <w:pPr>
        <w:pStyle w:val="Style30"/>
        <w:numPr>
          <w:ilvl w:val="0"/>
          <w:numId w:val="77"/>
        </w:numPr>
        <w:tabs>
          <w:tab w:leader="none" w:pos="510" w:val="left"/>
        </w:tabs>
        <w:widowControl w:val="0"/>
        <w:keepNext w:val="0"/>
        <w:keepLines w:val="0"/>
        <w:shd w:val="clear" w:color="auto" w:fill="auto"/>
        <w:bidi w:val="0"/>
        <w:spacing w:before="0" w:after="0"/>
        <w:ind w:left="0" w:right="0" w:firstLine="280"/>
      </w:pPr>
      <w:r>
        <w:rPr>
          <w:rStyle w:val="CharStyle132"/>
        </w:rPr>
        <w:t>Псевдоклапанный вариант.</w:t>
      </w:r>
      <w:r>
        <w:rPr>
          <w:rStyle w:val="CharStyle133"/>
        </w:rPr>
        <w:t xml:space="preserve"> </w:t>
      </w:r>
      <w:r>
        <w:rPr>
          <w:lang w:val="ru-RU" w:eastAsia="ru-RU" w:bidi="ru-RU"/>
          <w:w w:val="100"/>
          <w:spacing w:val="0"/>
          <w:color w:val="000000"/>
          <w:position w:val="0"/>
        </w:rPr>
        <w:t>В клинической картине имеется указание на шум в сердце, который выслушивается с детства. Больных беспокоят боли в сердце, одышка, пере</w:t>
        <w:softHyphen/>
        <w:t>бои в работе сердца. При аускультации выслушивается громкий шум с локализацией над всеми точками, более ин</w:t>
        <w:softHyphen/>
        <w:t>тенсивный над аортой и точкой Боткина. При эхокардио</w:t>
        <w:softHyphen/>
        <w:t>графии определяются признаки гипертрофии межжелудоч</w:t>
        <w:softHyphen/>
        <w:t>ковой перегородки, задней стенки левого желудочка, уменьшение полости левого желудочка.</w:t>
      </w:r>
    </w:p>
    <w:p>
      <w:pPr>
        <w:pStyle w:val="Style30"/>
        <w:numPr>
          <w:ilvl w:val="0"/>
          <w:numId w:val="77"/>
        </w:numPr>
        <w:tabs>
          <w:tab w:leader="none" w:pos="505" w:val="left"/>
        </w:tabs>
        <w:widowControl w:val="0"/>
        <w:keepNext w:val="0"/>
        <w:keepLines w:val="0"/>
        <w:shd w:val="clear" w:color="auto" w:fill="auto"/>
        <w:bidi w:val="0"/>
        <w:spacing w:before="0" w:after="0"/>
        <w:ind w:left="0" w:right="0" w:firstLine="280"/>
      </w:pPr>
      <w:r>
        <w:rPr>
          <w:rStyle w:val="CharStyle132"/>
        </w:rPr>
        <w:t>Смешанный вариант</w:t>
      </w:r>
      <w:r>
        <w:rPr>
          <w:rStyle w:val="CharStyle133"/>
        </w:rPr>
        <w:t xml:space="preserve"> </w:t>
      </w:r>
      <w:r>
        <w:rPr>
          <w:lang w:val="ru-RU" w:eastAsia="ru-RU" w:bidi="ru-RU"/>
          <w:w w:val="100"/>
          <w:spacing w:val="0"/>
          <w:color w:val="000000"/>
          <w:position w:val="0"/>
        </w:rPr>
        <w:t>— сочетание приведенных выше признаков ГКМП.</w:t>
      </w:r>
    </w:p>
    <w:p>
      <w:pPr>
        <w:pStyle w:val="Style30"/>
        <w:widowControl w:val="0"/>
        <w:keepNext w:val="0"/>
        <w:keepLines w:val="0"/>
        <w:shd w:val="clear" w:color="auto" w:fill="auto"/>
        <w:bidi w:val="0"/>
        <w:spacing w:before="0" w:after="180"/>
        <w:ind w:left="0" w:right="0" w:firstLine="280"/>
      </w:pPr>
      <w:r>
        <w:br w:type="column"/>
      </w:r>
      <w:r>
        <w:rPr>
          <w:lang w:val="ru-RU" w:eastAsia="ru-RU" w:bidi="ru-RU"/>
          <w:w w:val="100"/>
          <w:spacing w:val="0"/>
          <w:color w:val="000000"/>
          <w:position w:val="0"/>
        </w:rPr>
        <w:t xml:space="preserve">9. </w:t>
      </w:r>
      <w:r>
        <w:rPr>
          <w:rStyle w:val="CharStyle132"/>
        </w:rPr>
        <w:t>Молниеносный вариант</w:t>
      </w:r>
      <w:r>
        <w:rPr>
          <w:rStyle w:val="CharStyle133"/>
        </w:rPr>
        <w:t xml:space="preserve"> </w:t>
      </w:r>
      <w:r>
        <w:rPr>
          <w:lang w:val="ru-RU" w:eastAsia="ru-RU" w:bidi="ru-RU"/>
          <w:w w:val="100"/>
          <w:spacing w:val="0"/>
          <w:color w:val="000000"/>
          <w:position w:val="0"/>
        </w:rPr>
        <w:t>— наступление внезапной смерти в первые 6 ч с момента клинических проявлений за</w:t>
        <w:softHyphen/>
        <w:t>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Внезапная сердечная смерть при ГКМП наиболее часто отмечается у подростков и у молодых лиц до 35-летнего возраста. Большинство этих пациентов были бессимптом</w:t>
        <w:softHyphen/>
        <w:t>ными или имели малозначимые симптомы перед смертью. Во многих случаях катастрофическая внезапная смерть яв</w:t>
        <w:softHyphen/>
        <w:t>ляется первым клиническим проявлением ГКМП. В неко</w:t>
        <w:softHyphen/>
        <w:t>торых случаях обморочные эпизоды предшествуют возник</w:t>
        <w:softHyphen/>
        <w:t>новению внезапной смерти.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настоящее время факторами риска по возникновению внезапной смерти являются: молодой возраст, синкопе, указания на внезапную смерть в семейном анамнезе, ише</w:t>
        <w:softHyphen/>
        <w:t>мия миокарда (преимущественно у молодых), доказанная желудочковая тахикардия при электрофизиологическом те</w:t>
        <w:softHyphen/>
        <w:t>стировании, желудочковая тахикардия, обнаруженная при суточном мониторировании ЭКГ. Желудочковая тахикар</w:t>
        <w:softHyphen/>
        <w:t>дия, выявляемая методом суточного мониторирования ЭКГ, менее информативна в предсказании внезапной смер</w:t>
        <w:softHyphen/>
        <w:t>ти по сравнению с электрофизиологическим тестировани</w:t>
        <w:softHyphen/>
        <w:t>ем. Тот факт, что синкопальные приступы могут исчезать при проведении бифокальной кардиостимуляции или мио- эктомии, подтверждает роль обструкции выходного тракта как фактора риска внезапной смерти.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Синкопальные состояния при ГКМП могут быть обус</w:t>
        <w:softHyphen/>
        <w:t>ловлены предсердной или желудочковой тахиаритмией, бра- диаритмией, блокадой, обструкцией выходного тракта, диа</w:t>
        <w:softHyphen/>
        <w:t>столической дисфункцией, патологическими барорефлекса</w:t>
        <w:softHyphen/>
        <w:t>ми и миокардиальной ишемией. К сожалению, во многих исследованиях больных с обмороками при ГКМП авторы не различают, произошел ли обморок в покое или при физиче</w:t>
        <w:softHyphen/>
        <w:t>ской нагрузке, а также имеет ли он аритмогенное происхож</w:t>
        <w:softHyphen/>
        <w:t>дение. По нашим данным, синкопальные состояния у детей с обструктивной формой ГКМП в большинстве случаев обусловлены возникновением транзиторных приступов же</w:t>
        <w:softHyphen/>
        <w:t>лудочковой тахикардии/фибрилляции (рис. 56).</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Предикторами неблагоприятного течения гипертрофи</w:t>
        <w:softHyphen/>
        <w:t xml:space="preserve">ческой кардиомиопатии у детей, по данным </w:t>
      </w:r>
      <w:r>
        <w:rPr>
          <w:lang w:val="en-US" w:eastAsia="en-US" w:bidi="en-US"/>
          <w:w w:val="100"/>
          <w:spacing w:val="0"/>
          <w:color w:val="000000"/>
          <w:position w:val="0"/>
        </w:rPr>
        <w:t xml:space="preserve">M. Suwa et al. </w:t>
      </w:r>
      <w:r>
        <w:rPr>
          <w:lang w:val="ru-RU" w:eastAsia="ru-RU" w:bidi="ru-RU"/>
          <w:w w:val="100"/>
          <w:spacing w:val="0"/>
          <w:color w:val="000000"/>
          <w:position w:val="0"/>
        </w:rPr>
        <w:t>(1987), являются: увеличение конечно диастолического давления в левом желудочке более 22 мм рт. ст., дилатация левого желудочка и фибрилляция предсердий (в том числе транзиторная при холтеровском мониторировании).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 настоящего времени не установлены предикторы внезапной смерти у детей, особенно возникающей на фоне физической нагрузки. В динамике заболевания такие симп</w:t>
        <w:softHyphen/>
        <w:t>томы, как диспноэ, плохая переносимость физических на</w:t>
        <w:softHyphen/>
        <w:t>грузок, сердцебиение, пресинкопе и синкопе, могут усили</w:t>
        <w:softHyphen/>
        <w:t>ваться в пубертатном периоде, затем становятся менее вы</w:t>
        <w:softHyphen/>
        <w:t>раженными. Сердечная недостаточность у детей старше од</w:t>
        <w:softHyphen/>
        <w:t>ного года наблюдается в 4% случаев. Иногда у детей с ГКМП определяется дилатированный, плохо сокращаю</w:t>
        <w:softHyphen/>
        <w:t>щийся левый желудочек, что напоминает картину дилата</w:t>
        <w:softHyphen/>
        <w:t>ционной кардиомиопатии. Причина развития систоличес</w:t>
        <w:softHyphen/>
        <w:t>кой дисфункции и картины подобной дилатационной кар</w:t>
        <w:softHyphen/>
        <w:t>диомиопатии у детей при ГКМП не установлена.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pict>
          <v:shape id="_x0000_s1410" type="#_x0000_t75" style="position:absolute;margin-left:136.8pt;margin-top:738.7pt;width:209.75pt;height:14.9pt;z-index:-125829120;mso-wrap-distance-left:136.8pt;mso-wrap-distance-right:148.1pt;mso-wrap-distance-bottom:10.65pt;mso-position-horizontal-relative:margin;mso-position-vertical-relative:margin" wrapcoords="0 0 21600 0 21600 21600 0 21600 0 0">
            <v:imagedata r:id="rId636" r:href="rId637"/>
            <w10:wrap type="topAndBottom" anchorx="margin" anchory="margin"/>
          </v:shape>
        </w:pict>
      </w:r>
      <w:r>
        <w:rPr>
          <w:lang w:val="ru-RU" w:eastAsia="ru-RU" w:bidi="ru-RU"/>
          <w:w w:val="100"/>
          <w:spacing w:val="0"/>
          <w:color w:val="000000"/>
          <w:position w:val="0"/>
        </w:rPr>
        <w:t>Лечение больных ГКМП определяется в зависимости от морфологической формы, гемодинамических нарушений, наличия синкопальных эпизодов, миокардиальной ише</w:t>
        <w:softHyphen/>
        <w:t>мии, степени и характера обструкции левого желудочка.</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Поскольку функция левого желудочка у больных с ГКМП обычно находится в состоянии гиперконтрактиль- ности, им противопоказано назначение препаратов с пози</w:t>
        <w:softHyphen/>
        <w:t>тивным инотропным действием. В редких случаях инотроп- ные препараты назначают при так называемой «измучен</w:t>
        <w:softHyphen/>
        <w:t>ной» ГКМП, когда развивается систолическая дисфункция и застой в малом круге кровообращения, обычно у пациен</w:t>
        <w:softHyphen/>
        <w:t>тов, находящихся в претерминальном состоянии. Однако инотропная поддержка у таких пациентов может увеличить систолический градиент и спровоцировать возникновение желудочковых аритмий. Изолированное использование ди</w:t>
        <w:softHyphen/>
        <w:t>уретиков приводит к уменьшению преднагрузки и по этой причине может усилить обструкцию выходного тракта. Од</w:t>
        <w:softHyphen/>
        <w:t>нако при совместном применении диуретиков с бета-адре- ноблокаторами наблюдается уменьшение застойных явле</w:t>
        <w:softHyphen/>
        <w:t>ний в малом круге кровообращения. Необходимость лече</w:t>
        <w:softHyphen/>
        <w:t>ния детей с ГКМП при бессимптомном течении заболева</w:t>
        <w:softHyphen/>
        <w:t>ния бета-адреноблокаторами или антагонистами кальцие</w:t>
        <w:softHyphen/>
        <w:t>вых каналов остается предметом дискуссии и, вероятно, должно проводиться только при наличии указаний внезап</w:t>
        <w:softHyphen/>
        <w:t>ной смерти в семейном анамнезе и при выраженной гипер</w:t>
        <w:softHyphen/>
        <w:t>трофии. Эффективность профилактической терапии при бессимптомном течении ГКМП не доказана.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 обструктивных форм ГКМП</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 субаортальной и среднежелудочковой форм обструкции при ГКМП не имеет принципиальных различий.</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обструктивной ГКМП назначаются препараты с отрицательным инотропным действием, такие как Р-блокаторы, антагонисты кальциевых каналов и ди- зопирамид. Основной эффект этих препаратов заклю</w:t>
        <w:softHyphen/>
        <w:t>чается в уменьшении градиента обструкции выходно</w:t>
        <w:softHyphen/>
        <w:t>го тракта левого желудочка. Р-блокаторы особенно эффективны при латентной обструкции или при уме</w:t>
        <w:softHyphen/>
        <w:t>ренно выраженной обструкции в покое, хотя другие авторы отмечают положительный эффект препаратов и при более выраженных формах обструкции.</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Негативный инотропный эффект антагонистов каль</w:t>
        <w:softHyphen/>
        <w:t>циевых каналов, особенно верапамила, также умень</w:t>
        <w:softHyphen/>
        <w:t>шает обструкцию левого желудочка при ГКМП, од</w:t>
        <w:softHyphen/>
        <w:t>нако эффект данного препарата непредсказуем, по</w:t>
        <w:softHyphen/>
        <w:t>скольку вазодилатирующие свойства этих препаратов могут усилить обструкцию, спровоцировать кардио</w:t>
        <w:softHyphen/>
        <w:t>генный шок и отек легких. Негативный инотропный эффект оказывают противоаритмические препараты 1А класса, в частности дизопирамид. Этот препарат значительно уменьшает или даже ликвидирует об</w:t>
        <w:softHyphen/>
        <w:t>струкцию при внутривенном введении или при при</w:t>
        <w:softHyphen/>
        <w:t>еме внутрь в дозе от 600 до 800 мг в сутки. Из-за анти</w:t>
        <w:softHyphen/>
        <w:t>холинергического свойства эффективность препара</w:t>
        <w:softHyphen/>
        <w:t>та снижается при длительном применении.</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Неспецифическая терапия ГКМП включает профи</w:t>
        <w:softHyphen/>
        <w:t>лактику бактериального эндокардита при проведении процедур, сопряженных с возможностью бактериемии.</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Поскольку у больных с ГКМП повышен риск систем</w:t>
        <w:softHyphen/>
        <w:t>ной эмболии, показана длительная терапия антикоагу</w:t>
        <w:softHyphen/>
        <w:t>лянтами, особенно при наличии эпизодов мерцатель</w:t>
        <w:softHyphen/>
        <w:t>ной аритмии. Важно своевременно предпринять все меры при возникновении обезвоживания организма.</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Общая анестезия и беременность увеличивают риск прогрессирования заболевания и смертность. Детям с ГКМП не рекомендуются занятия спортом, потому</w:t>
      </w:r>
    </w:p>
    <w:p>
      <w:pPr>
        <w:framePr w:h="5506" w:wrap="notBeside" w:vAnchor="text" w:hAnchor="text" w:xAlign="center" w:y="1"/>
        <w:widowControl w:val="0"/>
        <w:jc w:val="center"/>
        <w:rPr>
          <w:sz w:val="2"/>
          <w:szCs w:val="2"/>
        </w:rPr>
      </w:pPr>
      <w:r>
        <w:pict>
          <v:shape id="_x0000_s1411" type="#_x0000_t75" style="width:233pt;height:276pt;">
            <v:imagedata r:id="rId638" r:href="rId639"/>
          </v:shape>
        </w:pict>
      </w:r>
    </w:p>
    <w:p>
      <w:pPr>
        <w:pStyle w:val="Style120"/>
        <w:framePr w:h="5506"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56. </w:t>
      </w:r>
      <w:r>
        <w:rPr>
          <w:lang w:val="ru-RU" w:eastAsia="ru-RU" w:bidi="ru-RU"/>
          <w:w w:val="100"/>
          <w:spacing w:val="0"/>
          <w:color w:val="000000"/>
          <w:position w:val="0"/>
        </w:rPr>
        <w:t>ЭКГ ребенка с ГКМП, зарегистрированная во время обмо</w:t>
        <w:softHyphen/>
        <w:t>рочного состояния; трепетание желудочков.</w:t>
      </w:r>
    </w:p>
    <w:p>
      <w:pPr>
        <w:widowControl w:val="0"/>
        <w:rPr>
          <w:sz w:val="2"/>
          <w:szCs w:val="2"/>
        </w:rPr>
      </w:pPr>
    </w:p>
    <w:p>
      <w:pPr>
        <w:pStyle w:val="Style30"/>
        <w:widowControl w:val="0"/>
        <w:keepNext w:val="0"/>
        <w:keepLines w:val="0"/>
        <w:shd w:val="clear" w:color="auto" w:fill="auto"/>
        <w:bidi w:val="0"/>
        <w:spacing w:before="441" w:after="0"/>
        <w:ind w:left="420" w:right="0" w:firstLine="0"/>
      </w:pPr>
      <w:r>
        <w:rPr>
          <w:lang w:val="ru-RU" w:eastAsia="ru-RU" w:bidi="ru-RU"/>
          <w:w w:val="100"/>
          <w:spacing w:val="0"/>
          <w:color w:val="000000"/>
          <w:position w:val="0"/>
        </w:rPr>
        <w:t>что большинство случаев внезапной смерти у под</w:t>
        <w:softHyphen/>
        <w:t>ростков происходит в течение или после физической нагрузки.</w:t>
      </w:r>
    </w:p>
    <w:p>
      <w:pPr>
        <w:pStyle w:val="Style30"/>
        <w:numPr>
          <w:ilvl w:val="0"/>
          <w:numId w:val="69"/>
        </w:numPr>
        <w:tabs>
          <w:tab w:leader="none" w:pos="417" w:val="left"/>
        </w:tabs>
        <w:widowControl w:val="0"/>
        <w:keepNext w:val="0"/>
        <w:keepLines w:val="0"/>
        <w:shd w:val="clear" w:color="auto" w:fill="auto"/>
        <w:bidi w:val="0"/>
        <w:spacing w:before="0" w:after="0"/>
        <w:ind w:left="420" w:right="0" w:hanging="240"/>
      </w:pPr>
      <w:r>
        <w:rPr>
          <w:lang w:val="ru-RU" w:eastAsia="ru-RU" w:bidi="ru-RU"/>
          <w:w w:val="100"/>
          <w:spacing w:val="0"/>
          <w:color w:val="000000"/>
          <w:position w:val="0"/>
        </w:rPr>
        <w:t>Чрезвычайно важна коррекция метаболических от</w:t>
        <w:softHyphen/>
        <w:t>клонений.</w:t>
      </w:r>
    </w:p>
    <w:p>
      <w:pPr>
        <w:pStyle w:val="Style30"/>
        <w:numPr>
          <w:ilvl w:val="0"/>
          <w:numId w:val="69"/>
        </w:numPr>
        <w:tabs>
          <w:tab w:leader="none" w:pos="417" w:val="left"/>
        </w:tabs>
        <w:widowControl w:val="0"/>
        <w:keepNext w:val="0"/>
        <w:keepLines w:val="0"/>
        <w:shd w:val="clear" w:color="auto" w:fill="auto"/>
        <w:bidi w:val="0"/>
        <w:spacing w:before="0" w:after="0"/>
        <w:ind w:left="420" w:right="0" w:hanging="240"/>
      </w:pPr>
      <w:r>
        <w:rPr>
          <w:lang w:val="ru-RU" w:eastAsia="ru-RU" w:bidi="ru-RU"/>
          <w:w w:val="100"/>
          <w:spacing w:val="0"/>
          <w:color w:val="000000"/>
          <w:position w:val="0"/>
        </w:rPr>
        <w:t xml:space="preserve">Имплантация бифокального стимулятора </w:t>
      </w:r>
      <w:r>
        <w:rPr>
          <w:lang w:val="en-US" w:eastAsia="en-US" w:bidi="en-US"/>
          <w:w w:val="100"/>
          <w:spacing w:val="0"/>
          <w:color w:val="000000"/>
          <w:position w:val="0"/>
        </w:rPr>
        <w:t xml:space="preserve">(DDD) </w:t>
      </w:r>
      <w:r>
        <w:rPr>
          <w:lang w:val="ru-RU" w:eastAsia="ru-RU" w:bidi="ru-RU"/>
          <w:w w:val="100"/>
          <w:spacing w:val="0"/>
          <w:color w:val="000000"/>
          <w:position w:val="0"/>
        </w:rPr>
        <w:t>приводит к снижению субаортальной обструкции при ГКМП. Причины снижения градиента при им</w:t>
        <w:softHyphen/>
        <w:t xml:space="preserve">плантации </w:t>
      </w:r>
      <w:r>
        <w:rPr>
          <w:lang w:val="en-US" w:eastAsia="en-US" w:bidi="en-US"/>
          <w:w w:val="100"/>
          <w:spacing w:val="0"/>
          <w:color w:val="000000"/>
          <w:position w:val="0"/>
        </w:rPr>
        <w:t xml:space="preserve">DDD </w:t>
      </w:r>
      <w:r>
        <w:rPr>
          <w:lang w:val="ru-RU" w:eastAsia="ru-RU" w:bidi="ru-RU"/>
          <w:w w:val="100"/>
          <w:spacing w:val="0"/>
          <w:color w:val="000000"/>
          <w:position w:val="0"/>
        </w:rPr>
        <w:t>стимулятора у больных ГКМП пол</w:t>
        <w:softHyphen/>
        <w:t>ностью не выяснены, вероятно, связаны с исчезнове</w:t>
        <w:softHyphen/>
        <w:t>нием парадоксального движения межжелудочковой перегородки, поздней активацией основания перего</w:t>
        <w:softHyphen/>
        <w:t>родки и уменьшением контрактильности левого же</w:t>
        <w:softHyphen/>
        <w:t>лудочка. Имплантация кардиостимулятора показана при неэффективности медикаментозной терапии. В литературе обсуждаются преимущества кардиости</w:t>
        <w:softHyphen/>
        <w:t>муляции перед хирургической миэктомией.</w:t>
      </w:r>
    </w:p>
    <w:p>
      <w:pPr>
        <w:pStyle w:val="Style30"/>
        <w:numPr>
          <w:ilvl w:val="0"/>
          <w:numId w:val="69"/>
        </w:numPr>
        <w:tabs>
          <w:tab w:leader="none" w:pos="417" w:val="left"/>
        </w:tabs>
        <w:widowControl w:val="0"/>
        <w:keepNext w:val="0"/>
        <w:keepLines w:val="0"/>
        <w:shd w:val="clear" w:color="auto" w:fill="auto"/>
        <w:bidi w:val="0"/>
        <w:spacing w:before="0" w:after="0"/>
        <w:ind w:left="420" w:right="0" w:hanging="240"/>
      </w:pPr>
      <w:r>
        <w:rPr>
          <w:lang w:val="ru-RU" w:eastAsia="ru-RU" w:bidi="ru-RU"/>
          <w:w w:val="100"/>
          <w:spacing w:val="0"/>
          <w:color w:val="000000"/>
          <w:position w:val="0"/>
        </w:rPr>
        <w:t>Вероятно, бифокальная кардиостимуляция при об</w:t>
        <w:softHyphen/>
        <w:t>структивных ГКМП более оправдана в детском воз</w:t>
        <w:softHyphen/>
        <w:t>расте.</w:t>
      </w:r>
    </w:p>
    <w:p>
      <w:pPr>
        <w:pStyle w:val="Style30"/>
        <w:widowControl w:val="0"/>
        <w:keepNext w:val="0"/>
        <w:keepLines w:val="0"/>
        <w:shd w:val="clear" w:color="auto" w:fill="auto"/>
        <w:bidi w:val="0"/>
        <w:spacing w:before="0" w:after="0"/>
        <w:ind w:left="420" w:right="0" w:hanging="240"/>
      </w:pPr>
      <w:r>
        <w:rPr>
          <w:lang w:val="ru-RU" w:eastAsia="ru-RU" w:bidi="ru-RU"/>
          <w:w w:val="100"/>
          <w:spacing w:val="0"/>
          <w:color w:val="000000"/>
          <w:position w:val="0"/>
        </w:rPr>
        <w:t>Хирургическая коррекция</w:t>
      </w:r>
    </w:p>
    <w:p>
      <w:pPr>
        <w:pStyle w:val="Style30"/>
        <w:numPr>
          <w:ilvl w:val="0"/>
          <w:numId w:val="69"/>
        </w:numPr>
        <w:tabs>
          <w:tab w:leader="none" w:pos="417" w:val="left"/>
        </w:tabs>
        <w:widowControl w:val="0"/>
        <w:keepNext w:val="0"/>
        <w:keepLines w:val="0"/>
        <w:shd w:val="clear" w:color="auto" w:fill="auto"/>
        <w:bidi w:val="0"/>
        <w:spacing w:before="0" w:after="0"/>
        <w:ind w:left="420" w:right="0" w:hanging="240"/>
      </w:pPr>
      <w:r>
        <w:rPr>
          <w:lang w:val="ru-RU" w:eastAsia="ru-RU" w:bidi="ru-RU"/>
          <w:w w:val="100"/>
          <w:spacing w:val="0"/>
          <w:color w:val="000000"/>
          <w:position w:val="0"/>
        </w:rPr>
        <w:t>Миэктомия применяется при обструктивных ГКМП, рефрактерных к медикаментозной терапии.</w:t>
      </w:r>
    </w:p>
    <w:p>
      <w:pPr>
        <w:pStyle w:val="Style30"/>
        <w:numPr>
          <w:ilvl w:val="0"/>
          <w:numId w:val="69"/>
        </w:numPr>
        <w:tabs>
          <w:tab w:leader="none" w:pos="417" w:val="left"/>
        </w:tabs>
        <w:widowControl w:val="0"/>
        <w:keepNext w:val="0"/>
        <w:keepLines w:val="0"/>
        <w:shd w:val="clear" w:color="auto" w:fill="auto"/>
        <w:bidi w:val="0"/>
        <w:spacing w:before="0" w:after="0"/>
        <w:ind w:left="420" w:right="0" w:hanging="240"/>
      </w:pPr>
      <w:r>
        <w:rPr>
          <w:lang w:val="ru-RU" w:eastAsia="ru-RU" w:bidi="ru-RU"/>
          <w:w w:val="100"/>
          <w:spacing w:val="0"/>
          <w:color w:val="000000"/>
          <w:position w:val="0"/>
        </w:rPr>
        <w:t>Обычно в хирургической коррекции (миэктомия, ми - томия) нуждаются пациенты с градиентом обструк</w:t>
        <w:softHyphen/>
        <w:t>ции свыше 50 мм рт. ст., определенном в состоянии покоя или при проведении провокационных проб.</w:t>
      </w:r>
    </w:p>
    <w:p>
      <w:pPr>
        <w:pStyle w:val="Style30"/>
        <w:numPr>
          <w:ilvl w:val="0"/>
          <w:numId w:val="69"/>
        </w:numPr>
        <w:tabs>
          <w:tab w:leader="none" w:pos="417" w:val="left"/>
        </w:tabs>
        <w:widowControl w:val="0"/>
        <w:keepNext w:val="0"/>
        <w:keepLines w:val="0"/>
        <w:shd w:val="clear" w:color="auto" w:fill="auto"/>
        <w:bidi w:val="0"/>
        <w:spacing w:before="0" w:after="0"/>
        <w:ind w:left="420" w:right="0" w:hanging="240"/>
        <w:sectPr>
          <w:type w:val="continuous"/>
          <w:pgSz w:w="11900" w:h="16840"/>
          <w:pgMar w:top="1533" w:left="1066" w:right="1081" w:bottom="1755" w:header="0" w:footer="3" w:gutter="0"/>
          <w:rtlGutter w:val="0"/>
          <w:cols w:num="2" w:space="102"/>
          <w:noEndnote/>
          <w:docGrid w:linePitch="360"/>
        </w:sectPr>
      </w:pPr>
      <w:r>
        <w:pict>
          <v:shape id="_x0000_s1412" type="#_x0000_t75" style="position:absolute;margin-left:148.2pt;margin-top:738.7pt;width:209.75pt;height:14.9pt;z-index:-125829119;mso-wrap-distance-left:148.1pt;mso-wrap-distance-right:136.55pt;mso-wrap-distance-bottom:10.65pt;mso-position-horizontal-relative:margin;mso-position-vertical-relative:margin" wrapcoords="0 0 21600 0 21600 21600 0 21600 0 0">
            <v:imagedata r:id="rId640" r:href="rId641"/>
            <w10:wrap type="topAndBottom" anchorx="margin" anchory="margin"/>
          </v:shape>
        </w:pict>
      </w:r>
      <w:r>
        <w:rPr>
          <w:lang w:val="ru-RU" w:eastAsia="ru-RU" w:bidi="ru-RU"/>
          <w:w w:val="100"/>
          <w:spacing w:val="0"/>
          <w:color w:val="000000"/>
          <w:position w:val="0"/>
        </w:rPr>
        <w:t>У больных с ГКМП и без обструкции левого желудоч - ка миэктомия не приводит к каким-либо положи - тельным результатам.</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При обструктивной форме ГКМП митомия-миэкто- мия (операция Мороу) приводит к улучшению состо</w:t>
        <w:softHyphen/>
        <w:t>яния, снижению градиента, увеличивается продол</w:t>
        <w:softHyphen/>
        <w:t>жительность жизни. Миэктомия приостанавливает прогрессирование гипертрофии.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Ранняя хирургическая смертность составляет 5-8%, отдаленная — 7%.</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У 70% при катамнестическом наблюдении отмечает</w:t>
        <w:softHyphen/>
        <w:t>ся улучшение и исчезновение симптоматики заболе</w:t>
        <w:softHyphen/>
        <w:t>вания.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После миэктомии митральная регургитация умень</w:t>
        <w:softHyphen/>
        <w:t>шается пропорционально уменьшению величины градиента.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На какой патофизиологический механизм воздей</w:t>
        <w:softHyphen/>
        <w:t>ствует миэктомия — уменьшение обструкции или улучшение диастолической функции, до настоящего времени не выяснено.</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Операция приводит к исчезновению гемодинамичес</w:t>
        <w:softHyphen/>
        <w:t>ких нарушений, обусловленных субаортальной об</w:t>
        <w:softHyphen/>
        <w:t>струкцией.</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Появление мерцательной аритмии является также показанием к проведению миэктомии.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Операция ликвидирует обструкцию и связанную с ней митральную регургитацию, уменьшается размер левого предсердия.</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При проведении миэктомии купирование мерцатель</w:t>
        <w:softHyphen/>
        <w:t>ной аритмии более эффективно, чем при примене</w:t>
        <w:softHyphen/>
        <w:t>нии стандартной противоаритмической терапии. Миэктомия показана больным с обструктивной ГКМП, имеющим в анамнезе обмороки.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Ежегодная смертность больных ГКМП с проведен</w:t>
        <w:softHyphen/>
        <w:t>ной миэктомией составляет 1-2%.</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 ряде центров в качестве первичной хирургической коррекции ГКМП проводят протезирование мит</w:t>
        <w:softHyphen/>
        <w:t>рального клапана. Эта операция проводится с целью предотвращения митрально-септального контакта как причины обструкции и ликвидации митральной регургитации. Однако замена клапана механическим протезом требует пожизненного применения антико</w:t>
        <w:softHyphen/>
        <w:t>агулянтов.</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 этой связи многие авторы проводят протезирова</w:t>
        <w:softHyphen/>
        <w:t>ние митрального клапана при тяжелой митральной регургитации, не связанной с переднесистолическим движением створок клапана.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 ряде случаев при хирургической коррекции ГКМП применяется комбинированная миэктомия и проте</w:t>
        <w:softHyphen/>
        <w:t>зирование митрального клапана. Ежегодная смерт</w:t>
        <w:softHyphen/>
        <w:t>ность при таких операциях менее 2%. Миэктомия тол - стой межжелудочковой перегородки приводит к уве</w:t>
        <w:softHyphen/>
        <w:t>личению подаортального пространства, что приводит к исчезновению переднесистолического движения митральных створок и митральной регургитации, ко</w:t>
        <w:softHyphen/>
        <w:t>нечно диастолическое давление в левом желудочке и давление в левом предсердии уменьшаются, у лиц молодого возраста уменьшается размер предсердия. До настоящего времени не проводилось сравнитель</w:t>
        <w:softHyphen/>
        <w:t>ного изучения эффективности кардиостимуляции и миэктомии. Хотя бифокальная кардиостимуляция может явиться альтернативой миэктомии, однако она не полностью устраняет обструкцию выходного трак</w:t>
        <w:softHyphen/>
        <w:t>та, как это можно добиться при выполнении миэкто- мии. Результаты длительной пейсмекерной терапии</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не изучены. Все же большинство авторов предпочи</w:t>
        <w:softHyphen/>
        <w:t>тают миэктомию как более эффективный и радикаль</w:t>
        <w:softHyphen/>
        <w:t>ный метод лечения больных ГКМП.</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Лечение при необструктивных гипертрофических кардио</w:t>
        <w:softHyphen/>
        <w:t>миопатиях</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Нормальная систолическая функция:</w:t>
      </w:r>
    </w:p>
    <w:p>
      <w:pPr>
        <w:pStyle w:val="Style30"/>
        <w:numPr>
          <w:ilvl w:val="0"/>
          <w:numId w:val="71"/>
        </w:numPr>
        <w:tabs>
          <w:tab w:leader="none" w:pos="74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лечение необструктивных форм ГКМП с нормаль</w:t>
        <w:softHyphen/>
        <w:t>ной систолической функцией левого желудочка проводится антагонистами кальциевых каналов для нормализации нарушенной релаксации мио</w:t>
        <w:softHyphen/>
        <w:t>карда и лечения миокардиальной ишемии.</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Нарушенная систолическая функция:</w:t>
      </w:r>
    </w:p>
    <w:p>
      <w:pPr>
        <w:pStyle w:val="Style30"/>
        <w:numPr>
          <w:ilvl w:val="0"/>
          <w:numId w:val="71"/>
        </w:numPr>
        <w:tabs>
          <w:tab w:leader="none" w:pos="74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лечение необструктивной формы ГКМП с нару</w:t>
        <w:softHyphen/>
        <w:t>шенной систолической функцией левого желудоч</w:t>
        <w:softHyphen/>
        <w:t>ка (конечная стадия ГКМП) отличается от терапии обструктивной формы ГКМП;</w:t>
      </w:r>
    </w:p>
    <w:p>
      <w:pPr>
        <w:pStyle w:val="Style30"/>
        <w:numPr>
          <w:ilvl w:val="0"/>
          <w:numId w:val="71"/>
        </w:numPr>
        <w:tabs>
          <w:tab w:leader="none" w:pos="74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на конечной стадии заболевания при отсутствии обструкции назначают препараты дигиталиса, мо</w:t>
        <w:softHyphen/>
        <w:t>чегонные и вазодилататоры. Этим пациентам по</w:t>
        <w:softHyphen/>
        <w:t>казана трансплантация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 аритмий при гипертрофической кардиомиопатии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Мерцательная аритмия:</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Мерцательная аритмия возникает у многих пациен</w:t>
        <w:softHyphen/>
        <w:t>тов с ГКМП, особенно если размер левого предсер</w:t>
        <w:softHyphen/>
        <w:t>дия больше 50 мм и имеет место значительная мит</w:t>
        <w:softHyphen/>
        <w:t>ральная регургитация.</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Возникновение мерцательной аритмии как при об</w:t>
        <w:softHyphen/>
        <w:t>структивной, так и при необструктивной форме ГКМП обусловливает возникновение сердечной не</w:t>
        <w:softHyphen/>
        <w:t>достаточности, обморочных состояний и системной эмболии.</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 мерцательной аритмии при ГКМП прово</w:t>
        <w:softHyphen/>
        <w:t>дится по общим принципам, как и при аритмии, обусловленной другими причинами.</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 включает фармакологическую и электричес</w:t>
        <w:softHyphen/>
        <w:t>кую кардиоверсию, коррекцию застойной сердечной недостаточности и антикоагулянты.</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Наиболее часто при лечении ГКМП с мерцательной аритмией у детей применяют кордарон.</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Пациенты с ГКМП и мерцательной аритмией явля</w:t>
        <w:softHyphen/>
        <w:t>ются кандидатами на миэктомию, котрая приводит к уменьшению левого предсердия и восстановлению синусового ритма.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Желудочковая тахикардия и фибрилляция:</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 существует стандартных подходов при лечении желудочковой тахикардии и/или желудочковой фиб</w:t>
        <w:softHyphen/>
        <w:t>рилляции у больных с ГКМП.</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пациентов с обструктивной ГКМП и синкопальными состояниями, периодами остановки сердца, желудоч</w:t>
        <w:softHyphen/>
        <w:t>ковой тахикардии/фибрилляции положительный ре</w:t>
        <w:softHyphen/>
        <w:t>зультат может быть получен при имплантации кардио</w:t>
        <w:softHyphen/>
        <w:t>стимулятора или при проведении только миэктомии.</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ряде случаев рекомендуется комбинированная те</w:t>
        <w:softHyphen/>
        <w:t>рапия кордароном с имплантацией бифокального кардиостимулятора.</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необструктивной ГКМП и наличии в анамнезе синкопальных состояний показано проведение элек</w:t>
        <w:softHyphen/>
        <w:t>трофизиологического исследования, в случае поло</w:t>
        <w:softHyphen/>
        <w:t>жительных результатов показано назначение корда- рона или имплантация кардиостимулятора.</w:t>
      </w:r>
    </w:p>
    <w:p>
      <w:pPr>
        <w:pStyle w:val="Style30"/>
        <w:numPr>
          <w:ilvl w:val="0"/>
          <w:numId w:val="69"/>
        </w:numPr>
        <w:tabs>
          <w:tab w:leader="none" w:pos="518" w:val="left"/>
        </w:tabs>
        <w:widowControl w:val="0"/>
        <w:keepNext w:val="0"/>
        <w:keepLines w:val="0"/>
        <w:shd w:val="clear" w:color="auto" w:fill="auto"/>
        <w:bidi w:val="0"/>
        <w:spacing w:before="0" w:after="0"/>
        <w:ind w:left="520" w:right="0" w:hanging="240"/>
      </w:pPr>
      <w:r>
        <w:pict>
          <v:shape id="_x0000_s1413" type="#_x0000_t75" style="position:absolute;margin-left:124.9pt;margin-top:738.3pt;width:209.75pt;height:14.9pt;z-index:-125829118;mso-wrap-distance-left:112.8pt;mso-wrap-distance-right:147.85pt;mso-wrap-distance-bottom:11.5pt;mso-position-horizontal-relative:margin;mso-position-vertical-relative:margin" wrapcoords="0 0 21600 0 21600 21600 0 21600 0 0">
            <v:imagedata r:id="rId642" r:href="rId643"/>
            <w10:wrap type="topAndBottom" anchorx="margin" anchory="margin"/>
          </v:shape>
        </w:pict>
      </w:r>
      <w:r>
        <w:rPr>
          <w:lang w:val="ru-RU" w:eastAsia="ru-RU" w:bidi="ru-RU"/>
          <w:w w:val="100"/>
          <w:spacing w:val="0"/>
          <w:color w:val="000000"/>
          <w:position w:val="0"/>
        </w:rPr>
        <w:t>Подросткам с ГКМП, имеющим в анамнезе синко- пальные состояния и отрицательные результаты во</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время электрофизиолотческого исследования, по</w:t>
        <w:softHyphen/>
        <w:t>казано проведение сцинтиграфии с таллием и при об</w:t>
        <w:softHyphen/>
        <w:t>наружении ишемии миокарда лечение антагониста</w:t>
        <w:softHyphen/>
        <w:t>ми кальциевых каналов или бета-адреноблокатора- ми. Трансплантация сердца проводится в редких слу</w:t>
        <w:softHyphen/>
        <w:t>чаях при рефрактерной желудочковой тахикар- дии/фибрилляции.</w:t>
      </w:r>
    </w:p>
    <w:p>
      <w:pPr>
        <w:pStyle w:val="Style30"/>
        <w:numPr>
          <w:ilvl w:val="0"/>
          <w:numId w:val="6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Детям, у которых медикаментозное лечение оказыва</w:t>
        <w:softHyphen/>
        <w:t>ется неэффективным, в качестве одного из вариантов альтернативной помощи является трансплантация сердца. Этот отчаянный шаг должен быть предпри</w:t>
        <w:softHyphen/>
        <w:t>нят, когда становится ясным, что дальнейшая жизнь пациента находится под большой угрозой. Кандида</w:t>
        <w:softHyphen/>
        <w:t>ты на пересадку сердца должны быть тщательно об</w:t>
        <w:softHyphen/>
        <w:t>следованы, необходимо в первую очередь исключить митохондриальные болезни и болезни накопления, при которых отдельные формы ГКМП могут быть корригированы длительным назначением замести</w:t>
        <w:softHyphen/>
        <w:t>тельной или этиотропной терапии.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Прогноз</w:t>
      </w:r>
    </w:p>
    <w:p>
      <w:pPr>
        <w:pStyle w:val="Style30"/>
        <w:numPr>
          <w:ilvl w:val="0"/>
          <w:numId w:val="6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Прогноз ГКМП у детей в возрасте до одного года про</w:t>
        <w:softHyphen/>
        <w:t>должает быть мрачным.</w:t>
      </w:r>
    </w:p>
    <w:p>
      <w:pPr>
        <w:pStyle w:val="Style30"/>
        <w:numPr>
          <w:ilvl w:val="0"/>
          <w:numId w:val="6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Если начальные признаки проявляются застойной сердечной недостаточностью или цианозом, смерть обычно происходит в течение первого года жизни. Если ГКМП проявляется только в виде систоличес</w:t>
        <w:softHyphen/>
        <w:t>кого шума или протекает бессимптомно, то возмож</w:t>
        <w:softHyphen/>
        <w:t>ности для выживания к одному году больше 50%. Из выживших детей к одному году у 40-50% возника</w:t>
        <w:softHyphen/>
        <w:t>ет улучшение, у 30-40% — летальный исход от застой</w:t>
        <w:softHyphen/>
        <w:t>ной сердечной недостаточности и у 10-20% наблюда</w:t>
        <w:softHyphen/>
        <w:t>ются остаточные проявления заболевания. Состоя</w:t>
        <w:softHyphen/>
        <w:t>ние детей, которые старше одного года, редко ухуд</w:t>
        <w:softHyphen/>
      </w:r>
    </w:p>
    <w:p>
      <w:pPr>
        <w:pStyle w:val="Style30"/>
        <w:widowControl w:val="0"/>
        <w:keepNext w:val="0"/>
        <w:keepLines w:val="0"/>
        <w:shd w:val="clear" w:color="auto" w:fill="auto"/>
        <w:bidi w:val="0"/>
        <w:spacing w:before="0" w:after="0"/>
        <w:ind w:left="500" w:right="0" w:firstLine="0"/>
      </w:pPr>
      <w:r>
        <w:br w:type="column"/>
      </w:r>
      <w:r>
        <w:rPr>
          <w:lang w:val="ru-RU" w:eastAsia="ru-RU" w:bidi="ru-RU"/>
          <w:w w:val="100"/>
          <w:spacing w:val="0"/>
          <w:color w:val="000000"/>
          <w:position w:val="0"/>
        </w:rPr>
        <w:t>шается, и они редко умирают из-за застойной сердеч</w:t>
        <w:softHyphen/>
        <w:t>ной недостаточности. Обычно признаки ГКМП не прогрессируют, хотя некоторые пациенты умирают внезапно.</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Гипертрофическая кардиомиопатия — прогрессиру</w:t>
        <w:softHyphen/>
        <w:t>ющая болезнь, особенно в течение ускоренного рос</w:t>
        <w:softHyphen/>
        <w:t>та. Например, за 4-летний период наблюдения под</w:t>
        <w:softHyphen/>
        <w:t>ростков с ГКМП у 60% по данным эхокардиографии выявлено прогрессирование гипертрофии, хотя ни</w:t>
        <w:softHyphen/>
        <w:t>каких ухудшений в симптоматике заболевания не произошло. Если в анамнезе заболевания имеются указания на внезапную смерть, то дети также имеют повышенный риск внезапной смерти.</w:t>
      </w:r>
    </w:p>
    <w:p>
      <w:pPr>
        <w:pStyle w:val="Style30"/>
        <w:numPr>
          <w:ilvl w:val="0"/>
          <w:numId w:val="6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Ежегодная смертность при ГКМП составляет 4-6% у детей и 3-4% у взрослых. Мультицентровые исследования указывают, что ежегодная смертность составляет около 1%. ГКМП является самой частой причиной внезапной смерти у молодых спортсменов.</w:t>
      </w:r>
    </w:p>
    <w:p>
      <w:pPr>
        <w:pStyle w:val="Style30"/>
        <w:numPr>
          <w:ilvl w:val="0"/>
          <w:numId w:val="69"/>
        </w:numPr>
        <w:tabs>
          <w:tab w:leader="none" w:pos="520" w:val="left"/>
        </w:tabs>
        <w:widowControl w:val="0"/>
        <w:keepNext w:val="0"/>
        <w:keepLines w:val="0"/>
        <w:shd w:val="clear" w:color="auto" w:fill="auto"/>
        <w:bidi w:val="0"/>
        <w:spacing w:before="0" w:after="161"/>
        <w:ind w:left="500" w:right="0" w:hanging="220"/>
      </w:pPr>
      <w:r>
        <w:rPr>
          <w:lang w:val="ru-RU" w:eastAsia="ru-RU" w:bidi="ru-RU"/>
          <w:w w:val="100"/>
          <w:spacing w:val="0"/>
          <w:color w:val="000000"/>
          <w:position w:val="0"/>
        </w:rPr>
        <w:t>Статистический анализ показал, что смертность де</w:t>
        <w:softHyphen/>
        <w:t>тей с ГКМП вдвое выше, чем взрослых.</w:t>
      </w:r>
    </w:p>
    <w:p>
      <w:pPr>
        <w:pStyle w:val="Style48"/>
        <w:widowControl w:val="0"/>
        <w:keepNext/>
        <w:keepLines/>
        <w:shd w:val="clear" w:color="auto" w:fill="auto"/>
        <w:bidi w:val="0"/>
        <w:jc w:val="left"/>
        <w:spacing w:before="0" w:after="79" w:line="240" w:lineRule="exact"/>
        <w:ind w:left="0" w:right="0" w:firstLine="0"/>
      </w:pPr>
      <w:bookmarkStart w:id="451" w:name="bookmark451"/>
      <w:r>
        <w:rPr>
          <w:lang w:val="ru-RU" w:eastAsia="ru-RU" w:bidi="ru-RU"/>
          <w:w w:val="100"/>
          <w:spacing w:val="0"/>
          <w:color w:val="000000"/>
          <w:position w:val="0"/>
        </w:rPr>
        <w:t>Вторичные формы гипертрофических кардиомиопатий</w:t>
      </w:r>
      <w:bookmarkEnd w:id="45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Гипертрофическая кардиомиопатия наблюдается при многих наследственно обусловленных нарушениях обмена веществ, митохондриальной патологии, нейромышечных и эндокринных заболеваниях. Ниже представлены сводные признаки основных наследственных синдромов и заболева</w:t>
        <w:softHyphen/>
        <w:t>ний, при которых может наблюдаться гипертрофическая кардиомиопатия (табл. 13).</w:t>
      </w:r>
    </w:p>
    <w:p>
      <w:pPr>
        <w:pStyle w:val="Style30"/>
        <w:widowControl w:val="0"/>
        <w:keepNext w:val="0"/>
        <w:keepLines w:val="0"/>
        <w:shd w:val="clear" w:color="auto" w:fill="auto"/>
        <w:bidi w:val="0"/>
        <w:spacing w:before="0" w:after="0"/>
        <w:ind w:left="0" w:right="0" w:firstLine="280"/>
        <w:sectPr>
          <w:headerReference w:type="even" r:id="rId644"/>
          <w:headerReference w:type="default" r:id="rId645"/>
          <w:headerReference w:type="first" r:id="rId646"/>
          <w:titlePg/>
          <w:pgSz w:w="11900" w:h="16840"/>
          <w:pgMar w:top="1533" w:left="1066" w:right="1081" w:bottom="1755" w:header="0" w:footer="3" w:gutter="0"/>
          <w:rtlGutter w:val="0"/>
          <w:cols w:num="2" w:space="102"/>
          <w:noEndnote/>
          <w:docGrid w:linePitch="360"/>
        </w:sectPr>
      </w:pPr>
      <w:r>
        <w:rPr>
          <w:lang w:val="ru-RU" w:eastAsia="ru-RU" w:bidi="ru-RU"/>
          <w:w w:val="100"/>
          <w:spacing w:val="0"/>
          <w:color w:val="000000"/>
          <w:position w:val="0"/>
        </w:rPr>
        <w:t>Лечение и прогноз вторичных форм ГКМП определяет</w:t>
        <w:softHyphen/>
        <w:t>ся основным заболеванием.</w:t>
      </w:r>
    </w:p>
    <w:p>
      <w:pPr>
        <w:widowControl w:val="0"/>
        <w:rPr>
          <w:sz w:val="2"/>
          <w:szCs w:val="2"/>
        </w:rPr>
      </w:pPr>
      <w:r>
        <w:pict>
          <v:shape id="_x0000_s1417" type="#_x0000_t202" style="position:static;width:595.pt;height:8.6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514" w:left="0" w:right="0" w:bottom="1696" w:header="0" w:footer="3" w:gutter="0"/>
          <w:rtlGutter w:val="0"/>
          <w:cols w:space="720"/>
          <w:noEndnote/>
          <w:docGrid w:linePitch="360"/>
        </w:sectPr>
      </w:pPr>
    </w:p>
    <w:p>
      <w:pPr>
        <w:pStyle w:val="Style30"/>
        <w:widowControl w:val="0"/>
        <w:keepNext w:val="0"/>
        <w:keepLines w:val="0"/>
        <w:shd w:val="clear" w:color="auto" w:fill="auto"/>
        <w:bidi w:val="0"/>
        <w:jc w:val="center"/>
        <w:spacing w:before="0" w:after="0" w:line="180" w:lineRule="exact"/>
        <w:ind w:left="0" w:right="0" w:firstLine="0"/>
      </w:pPr>
      <w:r>
        <w:pict>
          <v:shape id="_x0000_s1418" type="#_x0000_t75" style="position:absolute;margin-left:146.35pt;margin-top:355.45pt;width:209.75pt;height:14.9pt;z-index:-125829117;mso-wrap-distance-left:147.6pt;mso-wrap-distance-top:63.6pt;mso-wrap-distance-right:137.05pt;mso-wrap-distance-bottom:10.65pt;mso-position-horizontal-relative:margin" wrapcoords="0 0 21600 0 21600 21600 0 21600 0 0">
            <v:imagedata r:id="rId647" r:href="rId648"/>
            <w10:wrap type="topAndBottom" anchorx="margin"/>
          </v:shape>
        </w:pict>
      </w:r>
      <w:r>
        <w:rPr>
          <w:lang w:val="ru-RU" w:eastAsia="ru-RU" w:bidi="ru-RU"/>
          <w:w w:val="100"/>
          <w:spacing w:val="0"/>
          <w:color w:val="000000"/>
          <w:position w:val="0"/>
        </w:rPr>
        <w:t>Наследственные синдромы и заболевания, сопровождающиеся гипертрофической кардиомиопатией</w:t>
      </w:r>
    </w:p>
    <w:p>
      <w:pPr>
        <w:pStyle w:val="Style39"/>
        <w:framePr w:w="9869" w:wrap="notBeside" w:vAnchor="text" w:hAnchor="text" w:xAlign="center" w:y="1"/>
        <w:widowControl w:val="0"/>
        <w:keepNext w:val="0"/>
        <w:keepLines w:val="0"/>
        <w:shd w:val="clear" w:color="auto" w:fill="auto"/>
        <w:bidi w:val="0"/>
        <w:spacing w:before="0" w:after="0" w:line="170" w:lineRule="exact"/>
        <w:ind w:left="0" w:right="0" w:firstLine="0"/>
      </w:pPr>
      <w:r>
        <w:rPr>
          <w:lang w:val="ru-RU" w:eastAsia="ru-RU" w:bidi="ru-RU"/>
          <w:w w:val="100"/>
          <w:spacing w:val="0"/>
          <w:color w:val="000000"/>
          <w:position w:val="0"/>
        </w:rPr>
        <w:t>Таблица 13</w:t>
      </w:r>
    </w:p>
    <w:tbl>
      <w:tblPr>
        <w:tblOverlap w:val="never"/>
        <w:tblLayout w:type="fixed"/>
        <w:jc w:val="center"/>
      </w:tblPr>
      <w:tblGrid>
        <w:gridCol w:w="3173"/>
        <w:gridCol w:w="6696"/>
      </w:tblGrid>
      <w:tr>
        <w:trPr>
          <w:trHeight w:val="245" w:hRule="exact"/>
        </w:trPr>
        <w:tc>
          <w:tcPr>
            <w:shd w:val="clear" w:color="auto" w:fill="FFFFFF"/>
            <w:tcBorders>
              <w:lef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Тип дефекта</w:t>
            </w:r>
          </w:p>
        </w:tc>
        <w:tc>
          <w:tcPr>
            <w:shd w:val="clear" w:color="auto" w:fill="FFFFFF"/>
            <w:tcBorders>
              <w:left w:val="single" w:sz="4"/>
              <w:righ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Фенотипические проявления</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Гликогенозы</w:t>
            </w:r>
          </w:p>
        </w:tc>
        <w:tc>
          <w:tcPr>
            <w:shd w:val="clear" w:color="auto" w:fill="FFFFFF"/>
            <w:tcBorders>
              <w:left w:val="single" w:sz="4"/>
              <w:right w:val="single" w:sz="4"/>
              <w:top w:val="single" w:sz="4"/>
            </w:tcBorders>
            <w:vAlign w:val="top"/>
          </w:tcPr>
          <w:p>
            <w:pPr>
              <w:framePr w:w="9869" w:wrap="notBeside" w:vAnchor="text" w:hAnchor="text" w:xAlign="center" w:y="1"/>
              <w:widowControl w:val="0"/>
              <w:rPr>
                <w:sz w:val="10"/>
                <w:szCs w:val="10"/>
              </w:rPr>
            </w:pPr>
          </w:p>
        </w:tc>
      </w:tr>
      <w:tr>
        <w:trPr>
          <w:trHeight w:val="821"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7" w:lineRule="exact"/>
              <w:ind w:left="0" w:right="0" w:firstLine="0"/>
            </w:pPr>
            <w:r>
              <w:rPr>
                <w:lang w:val="ru-RU" w:eastAsia="ru-RU" w:bidi="ru-RU"/>
                <w:w w:val="100"/>
                <w:spacing w:val="0"/>
                <w:color w:val="000000"/>
                <w:position w:val="0"/>
              </w:rPr>
              <w:t>Болезнь Помпе (гликогеноз 2 типа) — на</w:t>
              <w:softHyphen/>
              <w:t>следственный дефицит кислой альфа-1,4- глюкозидазы.</w:t>
            </w:r>
          </w:p>
        </w:tc>
        <w:tc>
          <w:tcPr>
            <w:shd w:val="clear" w:color="auto" w:fill="FFFFFF"/>
            <w:tcBorders>
              <w:left w:val="single" w:sz="4"/>
              <w:righ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Преобладает у мальчиков, генерализованная мышечная гипотония, снижение глубоких су</w:t>
              <w:softHyphen/>
              <w:t>хожильных рефлексов, затруднение дыхания, гепатомегалия, макроглоссия. Кардиомегалия с явлениями застойной сердечной недостаточности, на ЭКГ гипертрофия миокарда, высо</w:t>
              <w:softHyphen/>
              <w:t xml:space="preserve">кий вольтаж комплека </w:t>
            </w:r>
            <w:r>
              <w:rPr>
                <w:lang w:val="en-US" w:eastAsia="en-US" w:bidi="en-US"/>
                <w:w w:val="100"/>
                <w:spacing w:val="0"/>
                <w:color w:val="000000"/>
                <w:position w:val="0"/>
              </w:rPr>
              <w:t xml:space="preserve">QRS, </w:t>
            </w:r>
            <w:r>
              <w:rPr>
                <w:lang w:val="ru-RU" w:eastAsia="ru-RU" w:bidi="ru-RU"/>
                <w:w w:val="100"/>
                <w:spacing w:val="0"/>
                <w:color w:val="000000"/>
                <w:position w:val="0"/>
              </w:rPr>
              <w:t xml:space="preserve">укороченный интервал </w:t>
            </w:r>
            <w:r>
              <w:rPr>
                <w:lang w:val="en-US" w:eastAsia="en-US" w:bidi="en-US"/>
                <w:w w:val="100"/>
                <w:spacing w:val="0"/>
                <w:color w:val="000000"/>
                <w:position w:val="0"/>
              </w:rPr>
              <w:t>PR.</w:t>
            </w:r>
          </w:p>
        </w:tc>
      </w:tr>
      <w:tr>
        <w:trPr>
          <w:trHeight w:val="619"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Болезнь Кори, или болезнь Фербеса (глико</w:t>
              <w:softHyphen/>
              <w:t>геноз Ш типа) лимитдекстриноз врожденная недостаточность амило-1,6-глюкозидазы.</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Гепатомегалия, гипогликемия, задержка физического развития, миопатия, повторные рес</w:t>
              <w:softHyphen/>
              <w:t>пираторные инфекции, наклонность к ожирению, ксантомы, гиперлипидемия. Необструк</w:t>
              <w:softHyphen/>
              <w:t>тивная ГКМП в 60% случаев.</w:t>
            </w:r>
          </w:p>
        </w:tc>
      </w:tr>
      <w:tr>
        <w:trPr>
          <w:trHeight w:val="619"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Дефицит сердечной фосфорилаткиназы (изолированный гликогеноз сердца).</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Изолированная ГКМП с ранним развитием сердечной недостаточности, укорочение интер</w:t>
              <w:softHyphen/>
              <w:t xml:space="preserve">вала </w:t>
            </w:r>
            <w:r>
              <w:rPr>
                <w:lang w:val="en-US" w:eastAsia="en-US" w:bidi="en-US"/>
                <w:w w:val="100"/>
                <w:spacing w:val="0"/>
                <w:color w:val="000000"/>
                <w:position w:val="0"/>
              </w:rPr>
              <w:t xml:space="preserve">PR, </w:t>
            </w:r>
            <w:r>
              <w:rPr>
                <w:lang w:val="ru-RU" w:eastAsia="ru-RU" w:bidi="ru-RU"/>
                <w:w w:val="100"/>
                <w:spacing w:val="0"/>
                <w:color w:val="000000"/>
                <w:position w:val="0"/>
              </w:rPr>
              <w:t>в сердечной мышце отсутствует активность фосфорилазкиназы, в скелетной мыш</w:t>
              <w:softHyphen/>
              <w:t>це и печени — нормальная.</w:t>
            </w:r>
          </w:p>
        </w:tc>
      </w:tr>
      <w:tr>
        <w:trPr>
          <w:trHeight w:val="806"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Мукополисахаридоз 2 типа (синдром Гур- лера) — дефицит а-Б-идуронидазы.</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Грубые черты лица, гепатоспленомегалия, помутнение роговицы, тугоподвижность суста</w:t>
              <w:softHyphen/>
              <w:t>вов, тораколюмбальный кифоз. Воронкообразная или килевидная грудная клетка, паховые и пупочные грыжи, гипертрихоз. Симметричная ГКМП, клапанная дисфункция, артериаль</w:t>
              <w:softHyphen/>
              <w:t>ная гипертензия.</w:t>
            </w:r>
          </w:p>
        </w:tc>
      </w:tr>
      <w:tr>
        <w:trPr>
          <w:trHeight w:val="432"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 xml:space="preserve">МПС </w:t>
            </w:r>
            <w:r>
              <w:rPr>
                <w:lang w:val="en-US" w:eastAsia="en-US" w:bidi="en-US"/>
                <w:w w:val="100"/>
                <w:spacing w:val="0"/>
                <w:color w:val="000000"/>
                <w:position w:val="0"/>
              </w:rPr>
              <w:t xml:space="preserve">I S </w:t>
            </w:r>
            <w:r>
              <w:rPr>
                <w:lang w:val="ru-RU" w:eastAsia="ru-RU" w:bidi="ru-RU"/>
                <w:w w:val="100"/>
                <w:spacing w:val="0"/>
                <w:color w:val="000000"/>
                <w:position w:val="0"/>
              </w:rPr>
              <w:t>типа (синдром Шейе).</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Грубые черты лица, скелетные аномалии, грыжи, снижение слуха и зрения, гепатоспленоме</w:t>
              <w:softHyphen/>
              <w:t>галия. Симметричная ГКМП, аортальный порок сердца.</w:t>
            </w:r>
          </w:p>
        </w:tc>
      </w:tr>
      <w:tr>
        <w:trPr>
          <w:trHeight w:val="427"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 xml:space="preserve">МПС </w:t>
            </w:r>
            <w:r>
              <w:rPr>
                <w:lang w:val="en-US" w:eastAsia="en-US" w:bidi="en-US"/>
                <w:w w:val="100"/>
                <w:spacing w:val="0"/>
                <w:color w:val="000000"/>
                <w:position w:val="0"/>
              </w:rPr>
              <w:t xml:space="preserve">IH/S </w:t>
            </w:r>
            <w:r>
              <w:rPr>
                <w:lang w:val="ru-RU" w:eastAsia="ru-RU" w:bidi="ru-RU"/>
                <w:w w:val="100"/>
                <w:spacing w:val="0"/>
                <w:color w:val="000000"/>
                <w:position w:val="0"/>
              </w:rPr>
              <w:t>(синдром Гурлера-Шейе).</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Отставание в физическом развитии, грубые черты лица, помутнение роговицы, скелетные изменения. ГКМП в сочетании с митральным стенозом, часто блокады сердца.</w:t>
            </w:r>
          </w:p>
        </w:tc>
      </w:tr>
      <w:tr>
        <w:trPr>
          <w:trHeight w:val="619"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МПС II типа (синдром Хантера)- дефицит фермента а-Б-идуроносульфатсульфатазы.</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Грубые черты лица, обструкция верхних дыхательных путей, паховые и пупочные грыжи, глу</w:t>
              <w:softHyphen/>
              <w:t>хота, тугоподвижность суставов, атипичный пигментный ретинит. Симметричная ГКМП в сочетании с поражением митрального клапана, эндомиокарда, коронарных артерий.</w:t>
            </w:r>
          </w:p>
        </w:tc>
      </w:tr>
      <w:tr>
        <w:trPr>
          <w:trHeight w:val="629" w:hRule="exact"/>
        </w:trPr>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МПС VI типа (синдром Марото-Лами) — дефицит К-ацетилгалактозамин-4-суль- фатсульфатазы.</w:t>
            </w:r>
          </w:p>
        </w:tc>
        <w:tc>
          <w:tcPr>
            <w:shd w:val="clear" w:color="auto" w:fill="FFFFFF"/>
            <w:tcBorders>
              <w:left w:val="single" w:sz="4"/>
              <w:righ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Низкий рост, короткие туловище и конечности, гепатоспленомегалия, помутнение рогови</w:t>
              <w:softHyphen/>
              <w:t>цы, глухота. Симметричная ГКМП в сочетании с дилатацией левого желудочка, эндокарди</w:t>
              <w:softHyphen/>
              <w:t>альным фиброэластозом.</w:t>
            </w:r>
          </w:p>
        </w:tc>
      </w:tr>
    </w:tbl>
    <w:p>
      <w:pPr>
        <w:framePr w:w="9869" w:wrap="notBeside" w:vAnchor="text" w:hAnchor="text" w:xAlign="center" w:y="1"/>
        <w:widowControl w:val="0"/>
        <w:rPr>
          <w:sz w:val="2"/>
          <w:szCs w:val="2"/>
        </w:rPr>
      </w:pPr>
    </w:p>
    <w:p>
      <w:pPr>
        <w:widowControl w:val="0"/>
        <w:rPr>
          <w:sz w:val="2"/>
          <w:szCs w:val="2"/>
        </w:rPr>
      </w:pPr>
      <w:r>
        <w:br w:type="page"/>
      </w:r>
    </w:p>
    <w:p>
      <w:pPr>
        <w:pStyle w:val="Style13"/>
        <w:widowControl w:val="0"/>
        <w:keepNext w:val="0"/>
        <w:keepLines w:val="0"/>
        <w:shd w:val="clear" w:color="auto" w:fill="auto"/>
        <w:bidi w:val="0"/>
        <w:jc w:val="right"/>
        <w:spacing w:before="0" w:after="0" w:line="170" w:lineRule="exact"/>
        <w:ind w:left="0" w:right="0" w:firstLine="0"/>
      </w:pPr>
      <w:r>
        <w:rPr>
          <w:lang w:val="ru-RU" w:eastAsia="ru-RU" w:bidi="ru-RU"/>
          <w:w w:val="100"/>
          <w:spacing w:val="0"/>
          <w:color w:val="000000"/>
          <w:position w:val="0"/>
        </w:rPr>
        <w:t>Продолжение таблицы 13</w:t>
      </w:r>
    </w:p>
    <w:tbl>
      <w:tblPr>
        <w:tblOverlap w:val="never"/>
        <w:tblLayout w:type="fixed"/>
        <w:jc w:val="center"/>
      </w:tblPr>
      <w:tblGrid>
        <w:gridCol w:w="3154"/>
        <w:gridCol w:w="6701"/>
      </w:tblGrid>
      <w:tr>
        <w:trPr>
          <w:trHeight w:val="240"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Тип дефекта</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Фенотипические проявления</w:t>
            </w:r>
          </w:p>
        </w:tc>
      </w:tr>
      <w:tr>
        <w:trPr>
          <w:trHeight w:val="619"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МПС (синдром Слая) — дефицит р-глюку- ронидазы.</w:t>
            </w:r>
          </w:p>
        </w:tc>
        <w:tc>
          <w:tcPr>
            <w:shd w:val="clear" w:color="auto" w:fill="FFFFFF"/>
            <w:tcBorders>
              <w:left w:val="single" w:sz="4"/>
              <w:right w:val="single" w:sz="4"/>
              <w:top w:val="single" w:sz="4"/>
            </w:tcBorders>
            <w:vAlign w:val="bottom"/>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Гепатоспленомегалия, паховые и пупочные грыжи, низкий рост, килевидная грудная клетка, тораколюмбальный кифоз, косолапость, повторные легочные инфекции, грубые черты ли</w:t>
              <w:softHyphen/>
              <w:t>ца. Обструктивная ГКМП в сочетании с аортальной недостаточностью.</w:t>
            </w:r>
          </w:p>
        </w:tc>
      </w:tr>
      <w:tr>
        <w:trPr>
          <w:trHeight w:val="619"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Гликопротеинозы</w:t>
            </w:r>
          </w:p>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Маннозидоз — дефицит кислых изоэнзи</w:t>
              <w:softHyphen/>
              <w:t>мов А и В, а-маннозидазы.</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 xml:space="preserve">Грубые черты лица, задержка психомоторного развития, тугоухость, мышечная гипотония. Симметричная ГКМП, на ЭКГ укорочение интервала </w:t>
            </w:r>
            <w:r>
              <w:rPr>
                <w:rStyle w:val="CharStyle102"/>
                <w:lang w:val="en-US" w:eastAsia="en-US" w:bidi="en-US"/>
              </w:rPr>
              <w:t xml:space="preserve">PR, </w:t>
            </w:r>
            <w:r>
              <w:rPr>
                <w:rStyle w:val="CharStyle102"/>
              </w:rPr>
              <w:t>желудочковая экстрасцстолця.</w:t>
            </w:r>
          </w:p>
        </w:tc>
      </w:tr>
      <w:tr>
        <w:trPr>
          <w:trHeight w:val="427"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60" w:lineRule="exact"/>
              <w:ind w:left="0" w:right="0" w:firstLine="0"/>
            </w:pPr>
            <w:r>
              <w:rPr>
                <w:rStyle w:val="CharStyle102"/>
              </w:rPr>
              <w:t>Фукозидоз — дефицит а-фукозидазы.</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Мышечная гипотония, спастическая тетраплегия, отставание в психомоторном развитии, ангиокератомы в нижних отделах тела. Симметричная ГКМП с дилатацией правых отделов.</w:t>
            </w:r>
          </w:p>
        </w:tc>
      </w:tr>
      <w:tr>
        <w:trPr>
          <w:trHeight w:val="619"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206" w:lineRule="exact"/>
              <w:ind w:left="0" w:right="0" w:firstLine="0"/>
            </w:pPr>
            <w:r>
              <w:rPr>
                <w:rStyle w:val="CharStyle102"/>
              </w:rPr>
              <w:t>Сиалидоз — дефицит а-нейраминидазы (сиалидазы).</w:t>
            </w:r>
          </w:p>
        </w:tc>
        <w:tc>
          <w:tcPr>
            <w:shd w:val="clear" w:color="auto" w:fill="FFFFFF"/>
            <w:tcBorders>
              <w:left w:val="single" w:sz="4"/>
              <w:right w:val="single" w:sz="4"/>
              <w:top w:val="single" w:sz="4"/>
            </w:tcBorders>
            <w:vAlign w:val="bottom"/>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Мцоклонцческце судороги, снижение зрения, симптом «вишневой косточки» на глазном дне, грубые черты лица, умственная отсталость, ангиокератома. Симметричная ГКМП, за</w:t>
              <w:softHyphen/>
              <w:t>стойная сердечная недостаточность, на ЭКГ бивентрикулярная гипертрофия миокарда.</w:t>
            </w:r>
          </w:p>
        </w:tc>
      </w:tr>
      <w:tr>
        <w:trPr>
          <w:trHeight w:val="619"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 xml:space="preserve">Аспартилгликозаминурия — дефицит ли- зосомального фермента </w:t>
            </w:r>
            <w:r>
              <w:rPr>
                <w:rStyle w:val="CharStyle102"/>
                <w:lang w:val="en-US" w:eastAsia="en-US" w:bidi="en-US"/>
              </w:rPr>
              <w:t>N</w:t>
            </w:r>
            <w:r>
              <w:rPr>
                <w:rStyle w:val="CharStyle102"/>
              </w:rPr>
              <w:t>-аспартил-глю- козаминидазы.</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Грубые черты лица, нарушения в формировании костей и соединительной ткани, отставание в умственном развитии, неврологические изменения. Симметричная ГКМП, клапанная ди</w:t>
              <w:softHyphen/>
              <w:t>сфункция.</w:t>
            </w:r>
          </w:p>
        </w:tc>
      </w:tr>
      <w:tr>
        <w:trPr>
          <w:trHeight w:val="845"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7" w:lineRule="exact"/>
              <w:ind w:left="0" w:right="0" w:firstLine="0"/>
            </w:pPr>
            <w:r>
              <w:rPr>
                <w:rStyle w:val="CharStyle102"/>
              </w:rPr>
              <w:t>Муколипидозы.</w:t>
            </w:r>
          </w:p>
          <w:p>
            <w:pPr>
              <w:pStyle w:val="Style30"/>
              <w:framePr w:w="9854" w:wrap="notBeside" w:vAnchor="text" w:hAnchor="text" w:xAlign="center" w:y="1"/>
              <w:widowControl w:val="0"/>
              <w:keepNext w:val="0"/>
              <w:keepLines w:val="0"/>
              <w:shd w:val="clear" w:color="auto" w:fill="auto"/>
              <w:bidi w:val="0"/>
              <w:spacing w:before="0" w:after="0" w:line="197" w:lineRule="exact"/>
              <w:ind w:left="0" w:right="0" w:firstLine="0"/>
            </w:pPr>
            <w:r>
              <w:rPr>
                <w:rStyle w:val="CharStyle102"/>
              </w:rPr>
              <w:t>Муколипидоз II типа (болезнь I клеток) — патология лизосомальных кислых гидро- лаз.</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Грубые черты лица, низкий рост, отставание в психомоторном развитии, скелетно-мышечные аномалии, паховые и пупочные грыжи. ГКМП, поражение аортального и митрального клапа</w:t>
              <w:softHyphen/>
              <w:t xml:space="preserve">нов, гистологически в миокарде фибробласты с множественными включениями </w:t>
            </w:r>
            <w:r>
              <w:rPr>
                <w:rStyle w:val="CharStyle102"/>
                <w:lang w:val="en-US" w:eastAsia="en-US" w:bidi="en-US"/>
              </w:rPr>
              <w:t>(I</w:t>
            </w:r>
            <w:r>
              <w:rPr>
                <w:rStyle w:val="CharStyle102"/>
              </w:rPr>
              <w:t>-клетки).</w:t>
            </w:r>
          </w:p>
        </w:tc>
      </w:tr>
      <w:tr>
        <w:trPr>
          <w:trHeight w:val="1008"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 xml:space="preserve">Ганглиозидозы </w:t>
            </w:r>
            <w:r>
              <w:rPr>
                <w:rStyle w:val="CharStyle102"/>
                <w:lang w:val="en-US" w:eastAsia="en-US" w:bidi="en-US"/>
              </w:rPr>
              <w:t xml:space="preserve">GM1 </w:t>
            </w:r>
            <w:r>
              <w:rPr>
                <w:rStyle w:val="CharStyle102"/>
              </w:rPr>
              <w:t>ганглиозцдоз — де</w:t>
              <w:softHyphen/>
              <w:t>фицит р-галактозидазы.</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Отставание в психомоторном развитии, повышенная возбудимость, судороги, мышечная ги</w:t>
              <w:softHyphen/>
              <w:t>потония, поражение опорно-двигательного аппарата, симптом «вишневой косточки», гепа- тоспленомегалия. ГКМП, рефрактерная сердечная недостаточность, на ЭКГ гипертрофия левого и правого желудочков, субэндокардиальная ишемия миокарда, укорочение интерва</w:t>
              <w:softHyphen/>
              <w:t xml:space="preserve">ла </w:t>
            </w:r>
            <w:r>
              <w:rPr>
                <w:rStyle w:val="CharStyle102"/>
                <w:lang w:val="en-US" w:eastAsia="en-US" w:bidi="en-US"/>
              </w:rPr>
              <w:t>P-R.</w:t>
            </w:r>
          </w:p>
        </w:tc>
      </w:tr>
      <w:tr>
        <w:trPr>
          <w:trHeight w:val="442"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Болезнь Тея-Сакса — дефицит а-гексо- заминидазы.</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 xml:space="preserve">Мышечная гипотония, судороги, бульбарные расстройства, слепота. Симметричная ГКМП, на ЭКГ уширение комплекса </w:t>
            </w:r>
            <w:r>
              <w:rPr>
                <w:rStyle w:val="CharStyle102"/>
                <w:lang w:val="en-US" w:eastAsia="en-US" w:bidi="en-US"/>
              </w:rPr>
              <w:t xml:space="preserve">QRS, </w:t>
            </w:r>
            <w:r>
              <w:rPr>
                <w:rStyle w:val="CharStyle102"/>
              </w:rPr>
              <w:t xml:space="preserve">удлинение интервала </w:t>
            </w:r>
            <w:r>
              <w:rPr>
                <w:rStyle w:val="CharStyle102"/>
                <w:lang w:val="en-US" w:eastAsia="en-US" w:bidi="en-US"/>
              </w:rPr>
              <w:t xml:space="preserve">QT, </w:t>
            </w:r>
            <w:r>
              <w:rPr>
                <w:rStyle w:val="CharStyle102"/>
              </w:rPr>
              <w:t>экстрасистолия.</w:t>
            </w:r>
          </w:p>
        </w:tc>
      </w:tr>
      <w:tr>
        <w:trPr>
          <w:trHeight w:val="634"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7" w:lineRule="exact"/>
              <w:ind w:left="0" w:right="0" w:firstLine="0"/>
            </w:pPr>
            <w:r>
              <w:rPr>
                <w:rStyle w:val="CharStyle102"/>
              </w:rPr>
              <w:t>Болезнь Сандхоффа — дефицит а- и р- гексозаминидазы.</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Мышечная гипотония, отставание в психомоторном развитии, гепатоспленомегалия, судо</w:t>
              <w:softHyphen/>
              <w:t>роги, симптом «вишневой косточки» на глазном дне. Дилатация и симметричная гипертро</w:t>
              <w:softHyphen/>
              <w:t>фия миокарда, фиброэластоз эндокарда, поражение коронарных артерий, склероз клапанов.</w:t>
            </w:r>
          </w:p>
        </w:tc>
      </w:tr>
      <w:tr>
        <w:trPr>
          <w:trHeight w:val="821"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Сфинголипидозы.</w:t>
            </w:r>
          </w:p>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Болезнь Фабри — Х-сцепленный липидоз, обусловленный дефицитом тригексозил- церамид альфа-галактозидазы.</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Парастезии, ангиокератома, помутнение роговицы, протеинурия, нарушения вазомоторной регуляции. ГКМП, клапанная дисфункция, нарушения ритма сердца и проводимости, тром</w:t>
              <w:softHyphen/>
              <w:t>боэмболические нарушения, реноваскулярная гипертензия.</w:t>
            </w:r>
          </w:p>
        </w:tc>
      </w:tr>
      <w:tr>
        <w:trPr>
          <w:trHeight w:val="634"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87" w:lineRule="exact"/>
              <w:ind w:left="0" w:right="0" w:firstLine="0"/>
            </w:pPr>
            <w:r>
              <w:rPr>
                <w:rStyle w:val="CharStyle102"/>
              </w:rPr>
              <w:t>Болезнь Гоше (глюкоцереброзидный ли- пидоз) — дефицит глюкозилцерамид-р- глюкозидазы (глюкоцереброзидазы).</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Тяжелые неврологические нарушения, висцеромегалия, пигментные пятна. Рестриктивная кардиомиопатия в сочетании с симметричной гипертрофией левого желудочка, констрик- тивным перикардитом, поражением клапанного аппарата сердца, легочной гипертензией.</w:t>
            </w:r>
          </w:p>
        </w:tc>
      </w:tr>
      <w:tr>
        <w:trPr>
          <w:trHeight w:val="629"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Болезнь Ниманна-Пика (сфингомиелоли- пидоз) — дефицит сфингомиелинидазы.</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Гепатоспленомегалия, задержка физического и умственного развития, тяжелые неврологи</w:t>
              <w:softHyphen/>
              <w:t>ческие расстройства, симптом «вишневой косточки». Бивентрикулярная гипертрофия, фиб- роэластоз эндокарда, легочная гипертензия.</w:t>
            </w:r>
          </w:p>
        </w:tc>
      </w:tr>
      <w:tr>
        <w:trPr>
          <w:trHeight w:val="634"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Нарушения обмена белков.</w:t>
            </w:r>
          </w:p>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Амилоидная болезнь сердца (точечная му</w:t>
              <w:softHyphen/>
              <w:t>тацией гена транстиретина).</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60" w:lineRule="exact"/>
              <w:ind w:left="0" w:right="0" w:firstLine="0"/>
            </w:pPr>
            <w:r>
              <w:rPr>
                <w:rStyle w:val="CharStyle102"/>
              </w:rPr>
              <w:t>ГКМП в сочетании с блокадами сердца, клапанной дисфункцией.</w:t>
            </w:r>
          </w:p>
        </w:tc>
      </w:tr>
      <w:tr>
        <w:trPr>
          <w:trHeight w:val="634"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jc w:val="left"/>
              <w:spacing w:before="0" w:after="0" w:line="192" w:lineRule="exact"/>
              <w:ind w:left="0" w:right="0" w:firstLine="0"/>
            </w:pPr>
            <w:r>
              <w:rPr>
                <w:rStyle w:val="CharStyle102"/>
              </w:rPr>
              <w:t>Нарушения обмена металлов. Ювенильный первичный гемохроматоз (болезнь накопления железа).</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Цирроз печени, сахарный диабет, гиперпигментация кожи, артропатия, гипогонадизм. Сим</w:t>
              <w:softHyphen/>
              <w:t>метричная гипертрофия миокарда, дилатация полости левого желудочка, фиброз субэндо</w:t>
              <w:softHyphen/>
              <w:t>карда, нарушения ритма сердца и проводимости.</w:t>
            </w:r>
          </w:p>
        </w:tc>
      </w:tr>
      <w:tr>
        <w:trPr>
          <w:trHeight w:val="634"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jc w:val="left"/>
              <w:spacing w:before="0" w:after="0" w:line="192" w:lineRule="exact"/>
              <w:ind w:left="0" w:right="0" w:firstLine="0"/>
            </w:pPr>
            <w:r>
              <w:rPr>
                <w:rStyle w:val="CharStyle102"/>
              </w:rPr>
              <w:t>Нейромышечные заболевания. Мышечная дистрофия Эмери-Дрейфуса.</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Мышечная слабость, мышечные контрактуры, невозможность сгибания шеи, синдром ри</w:t>
              <w:softHyphen/>
              <w:t>гидной спины. Гипертрофическая кардиомиопатия, желудочковые тахиаритмии, нарушения проводимости, тромбоэмболические проявления, клапанная дисфункция.</w:t>
            </w:r>
          </w:p>
        </w:tc>
      </w:tr>
      <w:tr>
        <w:trPr>
          <w:trHeight w:val="629"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60" w:lineRule="exact"/>
              <w:ind w:left="0" w:right="0" w:firstLine="0"/>
            </w:pPr>
            <w:r>
              <w:rPr>
                <w:rStyle w:val="CharStyle102"/>
              </w:rPr>
              <w:t>Атаксия Фридрейха.</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Прогрессирующая атаксия, мышечная слабость, кифосколиоз, дизартрия, поражение зри</w:t>
              <w:softHyphen/>
              <w:t>тельных нервов. Гипертрофическая кардиомиопатия, нередко с обструкцией выходного тракта левого желудочка, нарушения ритма сердца и проводимости.</w:t>
            </w:r>
          </w:p>
        </w:tc>
      </w:tr>
      <w:tr>
        <w:trPr>
          <w:trHeight w:val="830"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87" w:lineRule="exact"/>
              <w:ind w:left="0" w:right="0" w:firstLine="0"/>
            </w:pPr>
            <w:r>
              <w:rPr>
                <w:rStyle w:val="CharStyle102"/>
              </w:rPr>
              <w:t>Болезнь Рефсума (наследственная мото</w:t>
              <w:softHyphen/>
              <w:t>сенсорная нейропатия IV типа) — отсут</w:t>
              <w:softHyphen/>
              <w:t>ствие кислой а-гидралазы фитановой кис</w:t>
              <w:softHyphen/>
              <w:t>лоты.</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Хроническая полинейропатия дистальных участков тела пигментный ретинит, ихтиоз, глу</w:t>
              <w:softHyphen/>
              <w:t>хота, симметричная ГКМП, нарушения ритма сердца и проводимости, удлинение интерва</w:t>
              <w:softHyphen/>
              <w:t xml:space="preserve">ла </w:t>
            </w:r>
            <w:r>
              <w:rPr>
                <w:rStyle w:val="CharStyle102"/>
                <w:lang w:val="en-US" w:eastAsia="en-US" w:bidi="en-US"/>
              </w:rPr>
              <w:t>QT</w:t>
            </w:r>
          </w:p>
        </w:tc>
      </w:tr>
      <w:tr>
        <w:trPr>
          <w:trHeight w:val="634" w:hRule="exact"/>
        </w:trPr>
        <w:tc>
          <w:tcPr>
            <w:shd w:val="clear" w:color="auto" w:fill="FFFFFF"/>
            <w:tcBorders>
              <w:lef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Факомотозы.</w:t>
            </w:r>
          </w:p>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Болезнь Реклингаузена (нейрофиброматоз I типа).</w:t>
            </w:r>
          </w:p>
        </w:tc>
        <w:tc>
          <w:tcPr>
            <w:shd w:val="clear" w:color="auto" w:fill="FFFFFF"/>
            <w:tcBorders>
              <w:left w:val="single" w:sz="4"/>
              <w:right w:val="single" w:sz="4"/>
              <w:top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Невриномы по ходу периферических и черепномозговых нервов, пигментные пятна, липо</w:t>
              <w:softHyphen/>
              <w:t>мы, нейрофибромы. ГКМП, в том числе обусловленная стенозом почечных артерий.</w:t>
            </w:r>
          </w:p>
        </w:tc>
      </w:tr>
      <w:tr>
        <w:trPr>
          <w:trHeight w:val="638" w:hRule="exact"/>
        </w:trPr>
        <w:tc>
          <w:tcPr>
            <w:shd w:val="clear" w:color="auto" w:fill="FFFFFF"/>
            <w:tcBorders>
              <w:left w:val="single" w:sz="4"/>
              <w:top w:val="single" w:sz="4"/>
              <w:bottom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60" w:lineRule="exact"/>
              <w:ind w:left="0" w:right="0" w:firstLine="0"/>
            </w:pPr>
            <w:r>
              <w:rPr>
                <w:rStyle w:val="CharStyle102"/>
              </w:rPr>
              <w:t>Туберозный склероз (болезнь Бурневиля).</w:t>
            </w:r>
          </w:p>
        </w:tc>
        <w:tc>
          <w:tcPr>
            <w:shd w:val="clear" w:color="auto" w:fill="FFFFFF"/>
            <w:tcBorders>
              <w:left w:val="single" w:sz="4"/>
              <w:right w:val="single" w:sz="4"/>
              <w:top w:val="single" w:sz="4"/>
              <w:bottom w:val="single" w:sz="4"/>
            </w:tcBorders>
            <w:vAlign w:val="top"/>
          </w:tcPr>
          <w:p>
            <w:pPr>
              <w:pStyle w:val="Style30"/>
              <w:framePr w:w="9854"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 xml:space="preserve">Умственная отсталость, судороги, аденомы сальных желез лица, фиброматозные подкожные узелки, «кофейные» пятна на теле, кальцификаты </w:t>
            </w:r>
            <w:r>
              <w:rPr>
                <w:rStyle w:val="CharStyle102"/>
                <w:lang w:val="en-US" w:eastAsia="en-US" w:bidi="en-US"/>
              </w:rPr>
              <w:t xml:space="preserve">(tubera) </w:t>
            </w:r>
            <w:r>
              <w:rPr>
                <w:rStyle w:val="CharStyle102"/>
              </w:rPr>
              <w:t>в области желудочков мозга. Сим</w:t>
              <w:softHyphen/>
              <w:t>метричная гипертрофия миокарда, в 50% случаев наблюдаются рабдомиомы сердца.</w:t>
            </w:r>
          </w:p>
        </w:tc>
      </w:tr>
    </w:tbl>
    <w:p>
      <w:pPr>
        <w:framePr w:w="9854" w:wrap="notBeside" w:vAnchor="text" w:hAnchor="text" w:xAlign="center" w:y="1"/>
        <w:widowControl w:val="0"/>
        <w:rPr>
          <w:sz w:val="2"/>
          <w:szCs w:val="2"/>
        </w:rPr>
      </w:pPr>
    </w:p>
    <w:p>
      <w:pPr>
        <w:widowControl w:val="0"/>
        <w:rPr>
          <w:sz w:val="2"/>
          <w:szCs w:val="2"/>
        </w:rPr>
      </w:pPr>
      <w:r>
        <w:br w:type="page"/>
      </w:r>
    </w:p>
    <w:p>
      <w:pPr>
        <w:pStyle w:val="Style13"/>
        <w:widowControl w:val="0"/>
        <w:keepNext w:val="0"/>
        <w:keepLines w:val="0"/>
        <w:shd w:val="clear" w:color="auto" w:fill="auto"/>
        <w:bidi w:val="0"/>
        <w:jc w:val="right"/>
        <w:spacing w:before="0" w:after="0" w:line="170" w:lineRule="exact"/>
        <w:ind w:left="0" w:right="0" w:firstLine="0"/>
      </w:pPr>
      <w:r>
        <w:rPr>
          <w:lang w:val="ru-RU" w:eastAsia="ru-RU" w:bidi="ru-RU"/>
          <w:w w:val="100"/>
          <w:spacing w:val="0"/>
          <w:color w:val="000000"/>
          <w:position w:val="0"/>
        </w:rPr>
        <w:t>Окончание таблицы 13</w:t>
      </w:r>
    </w:p>
    <w:tbl>
      <w:tblPr>
        <w:tblOverlap w:val="never"/>
        <w:tblLayout w:type="fixed"/>
        <w:jc w:val="center"/>
      </w:tblPr>
      <w:tblGrid>
        <w:gridCol w:w="3154"/>
        <w:gridCol w:w="6715"/>
      </w:tblGrid>
      <w:tr>
        <w:trPr>
          <w:trHeight w:val="245" w:hRule="exact"/>
        </w:trPr>
        <w:tc>
          <w:tcPr>
            <w:shd w:val="clear" w:color="auto" w:fill="FFFFFF"/>
            <w:tcBorders>
              <w:lef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Тип дефекта</w:t>
            </w:r>
          </w:p>
        </w:tc>
        <w:tc>
          <w:tcPr>
            <w:shd w:val="clear" w:color="auto" w:fill="FFFFFF"/>
            <w:tcBorders>
              <w:left w:val="single" w:sz="4"/>
              <w:righ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Фенотипические проявления</w:t>
            </w:r>
          </w:p>
        </w:tc>
      </w:tr>
      <w:tr>
        <w:trPr>
          <w:trHeight w:val="619"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Митохондриальные болезни.</w:t>
            </w:r>
          </w:p>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Дефицит </w:t>
            </w:r>
            <w:r>
              <w:rPr>
                <w:lang w:val="en-US" w:eastAsia="en-US" w:bidi="en-US"/>
                <w:w w:val="100"/>
                <w:spacing w:val="0"/>
                <w:color w:val="000000"/>
                <w:position w:val="0"/>
              </w:rPr>
              <w:t>NADH</w:t>
            </w:r>
            <w:r>
              <w:rPr>
                <w:lang w:val="ru-RU" w:eastAsia="ru-RU" w:bidi="ru-RU"/>
                <w:w w:val="100"/>
                <w:spacing w:val="0"/>
                <w:color w:val="000000"/>
                <w:position w:val="0"/>
              </w:rPr>
              <w:t xml:space="preserve">-коэнзим </w:t>
            </w:r>
            <w:r>
              <w:rPr>
                <w:lang w:val="en-US" w:eastAsia="en-US" w:bidi="en-US"/>
                <w:w w:val="100"/>
                <w:spacing w:val="0"/>
                <w:color w:val="000000"/>
                <w:position w:val="0"/>
              </w:rPr>
              <w:t xml:space="preserve">Q </w:t>
            </w:r>
            <w:r>
              <w:rPr>
                <w:lang w:val="ru-RU" w:eastAsia="ru-RU" w:bidi="ru-RU"/>
                <w:w w:val="100"/>
                <w:spacing w:val="0"/>
                <w:color w:val="000000"/>
                <w:position w:val="0"/>
              </w:rPr>
              <w:t>редуктазы.</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Мышечная слабость, умственная отсталость, офтальмоплегия, лактатацидоз. Гипертрофиче</w:t>
              <w:softHyphen/>
              <w:t xml:space="preserve">ская кардиомиопатия в старшем возрасте, при биопсии скелетной мышцы </w:t>
            </w:r>
            <w:r>
              <w:rPr>
                <w:lang w:val="en-US" w:eastAsia="en-US" w:bidi="en-US"/>
                <w:w w:val="100"/>
                <w:spacing w:val="0"/>
                <w:color w:val="000000"/>
                <w:position w:val="0"/>
              </w:rPr>
              <w:t xml:space="preserve">ragged-red </w:t>
            </w:r>
            <w:r>
              <w:rPr>
                <w:lang w:val="ru-RU" w:eastAsia="ru-RU" w:bidi="ru-RU"/>
                <w:w w:val="100"/>
                <w:spacing w:val="0"/>
                <w:color w:val="000000"/>
                <w:position w:val="0"/>
              </w:rPr>
              <w:t>волок</w:t>
              <w:softHyphen/>
              <w:t>на, накопление липидов и паракристаллов в митохондриях.</w:t>
            </w:r>
          </w:p>
        </w:tc>
      </w:tr>
      <w:tr>
        <w:trPr>
          <w:trHeight w:val="854"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Дефицит цитохрома В.</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Симметричная ГКМП (гистиоцитоидная), в 85% страдают девочки, начало заболевания — 3 неделя жизни, тяжелая сердечная недостаточность, гепатомегалия, на ЭКГ укорочение ин</w:t>
              <w:softHyphen/>
              <w:t xml:space="preserve">тервала </w:t>
            </w:r>
            <w:r>
              <w:rPr>
                <w:lang w:val="en-US" w:eastAsia="en-US" w:bidi="en-US"/>
                <w:w w:val="100"/>
                <w:spacing w:val="0"/>
                <w:color w:val="000000"/>
                <w:position w:val="0"/>
              </w:rPr>
              <w:t xml:space="preserve">PQ, </w:t>
            </w:r>
            <w:r>
              <w:rPr>
                <w:lang w:val="ru-RU" w:eastAsia="ru-RU" w:bidi="ru-RU"/>
                <w:w w:val="100"/>
                <w:spacing w:val="0"/>
                <w:color w:val="000000"/>
                <w:position w:val="0"/>
              </w:rPr>
              <w:t>фатальные желудочковые тахиаритмии, в биоптате мышцы сердца «причудли</w:t>
              <w:softHyphen/>
              <w:t>вая» дилатация митохондрий.</w:t>
            </w:r>
          </w:p>
        </w:tc>
      </w:tr>
      <w:tr>
        <w:trPr>
          <w:trHeight w:val="427"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Дефицит цитохрома С оксидазы.</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Лактатацидоз, мышечная слабость, почечная дисфункция. Симметричная ГКМП, артери</w:t>
              <w:softHyphen/>
              <w:t>альная гипотония.</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Дефицит митохондриальной АТФ-азы.</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Прогрессирующая мышечная слабость, энцефаломиопатия, симметричная ГКМП.</w:t>
            </w:r>
          </w:p>
        </w:tc>
      </w:tr>
      <w:tr>
        <w:trPr>
          <w:trHeight w:val="427"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Дефицит аа3 протеина цитохрома.</w:t>
            </w:r>
          </w:p>
        </w:tc>
        <w:tc>
          <w:tcPr>
            <w:shd w:val="clear" w:color="auto" w:fill="FFFFFF"/>
            <w:tcBorders>
              <w:left w:val="single" w:sz="4"/>
              <w:righ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Генерализованная мышечная гипотония, лактат ацидоз. ГКМП, в биоптате жировое перерож</w:t>
              <w:softHyphen/>
              <w:t>дение миокарда с отложением большого количества липидов и гликогена в митохондриях.</w:t>
            </w:r>
          </w:p>
        </w:tc>
      </w:tr>
      <w:tr>
        <w:trPr>
          <w:trHeight w:val="811"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Х-сцепленная кардиомиопатия с аномаль</w:t>
              <w:softHyphen/>
              <w:t>ными митохондриями.</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ГКМП с ранним развитием сердечной недостаточности с летальным исходом на первом го</w:t>
              <w:softHyphen/>
              <w:t>ду, на аутопсии гипертрофия и дилатация камер сердца, эндокардиальный фиброэластоз, в биоптате мышцы сердца циркулярной формы кристы, накопление в митохондриях плотных телец и гликогена.</w:t>
            </w:r>
          </w:p>
        </w:tc>
      </w:tr>
      <w:tr>
        <w:trPr>
          <w:trHeight w:val="619"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Митохондриальная миопатия и врожден</w:t>
              <w:softHyphen/>
              <w:t>ная катаракта.</w:t>
            </w:r>
          </w:p>
        </w:tc>
        <w:tc>
          <w:tcPr>
            <w:shd w:val="clear" w:color="auto" w:fill="FFFFFF"/>
            <w:tcBorders>
              <w:left w:val="single" w:sz="4"/>
              <w:righ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Метаболический ацидоз, миопатический профиль ЭЭГ, врожденная катаракта. Симметрич</w:t>
              <w:softHyphen/>
              <w:t>ная ГКМП, в биоптате увеличение числа митохондрий, аномалии строения крист, наличие включений, избыточное содержание гликогена.</w:t>
            </w:r>
          </w:p>
        </w:tc>
      </w:tr>
      <w:tr>
        <w:trPr>
          <w:trHeight w:val="619"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Митохондриальная миопатия и инфаркт мозга.</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Миотония, повторные церебральные инфаркты. ГКМП в сочетании с синдромом Вольфа- Паркинсона-Уайта, желудочковыми аритмиями, в биоптате мышцы аккумуляция митохон</w:t>
              <w:softHyphen/>
              <w:t>дрий различной формы с большими включениями.</w:t>
            </w:r>
          </w:p>
        </w:tc>
      </w:tr>
      <w:tr>
        <w:trPr>
          <w:trHeight w:val="427"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Дефицит ацил-СоА дегидрогеназы длин</w:t>
              <w:softHyphen/>
              <w:t>ных цепей.</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Генерализованная мышечная слабость. ГКМП с раннего возраста.</w:t>
            </w:r>
          </w:p>
        </w:tc>
      </w:tr>
      <w:tr>
        <w:trPr>
          <w:trHeight w:val="235" w:hRule="exact"/>
        </w:trPr>
        <w:tc>
          <w:tcPr>
            <w:shd w:val="clear" w:color="auto" w:fill="FFFFFF"/>
            <w:tcBorders>
              <w:lef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Дефицит пируват карбоксилазы.</w:t>
            </w:r>
          </w:p>
        </w:tc>
        <w:tc>
          <w:tcPr>
            <w:shd w:val="clear" w:color="auto" w:fill="FFFFFF"/>
            <w:tcBorders>
              <w:left w:val="single" w:sz="4"/>
              <w:righ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Задержка умственного и физического развития, гипотония, ацидоз. ГКМП в раннем возрасте.</w:t>
            </w:r>
          </w:p>
        </w:tc>
      </w:tr>
      <w:tr>
        <w:trPr>
          <w:trHeight w:val="619"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 xml:space="preserve">Наследственные синдромы. Синдром </w:t>
            </w:r>
            <w:r>
              <w:rPr>
                <w:lang w:val="en-US" w:eastAsia="en-US" w:bidi="en-US"/>
                <w:w w:val="100"/>
                <w:spacing w:val="0"/>
                <w:color w:val="000000"/>
                <w:position w:val="0"/>
              </w:rPr>
              <w:t>LEOPARD.</w:t>
            </w:r>
          </w:p>
        </w:tc>
        <w:tc>
          <w:tcPr>
            <w:shd w:val="clear" w:color="auto" w:fill="FFFFFF"/>
            <w:tcBorders>
              <w:left w:val="single" w:sz="4"/>
              <w:righ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Генерализованная веснушчатость, электрокардиографические признаки нарушения прово</w:t>
              <w:softHyphen/>
              <w:t>димости, окулярный гипертелоризм, пульмональный стеноз, аномалии гениталий. Необ</w:t>
              <w:softHyphen/>
              <w:t>структивная ГКМП.</w:t>
            </w:r>
          </w:p>
        </w:tc>
      </w:tr>
      <w:tr>
        <w:trPr>
          <w:trHeight w:val="629" w:hRule="exact"/>
        </w:trPr>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Синдром </w:t>
            </w:r>
            <w:r>
              <w:rPr>
                <w:lang w:val="en-US" w:eastAsia="en-US" w:bidi="en-US"/>
                <w:w w:val="100"/>
                <w:spacing w:val="0"/>
                <w:color w:val="000000"/>
                <w:position w:val="0"/>
              </w:rPr>
              <w:t>Noonan.</w:t>
            </w:r>
          </w:p>
        </w:tc>
        <w:tc>
          <w:tcPr>
            <w:shd w:val="clear" w:color="auto" w:fill="FFFFFF"/>
            <w:tcBorders>
              <w:left w:val="single" w:sz="4"/>
              <w:righ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Умственная отсталость, гипертелоризм, птоз, короткая и широкая шея, низкая линия роста волос сзади, скелетные аномалии, стеноз легочной артерии. Гипертрофическая кардиомио</w:t>
              <w:softHyphen/>
              <w:t>патия, чаще с обструкцией выходных трактов как левого, так и правого желудочков.</w:t>
            </w:r>
          </w:p>
        </w:tc>
      </w:tr>
    </w:tbl>
    <w:p>
      <w:pPr>
        <w:framePr w:w="9869" w:wrap="notBeside" w:vAnchor="text" w:hAnchor="text" w:xAlign="center" w:y="1"/>
        <w:widowControl w:val="0"/>
        <w:rPr>
          <w:sz w:val="2"/>
          <w:szCs w:val="2"/>
        </w:rPr>
      </w:pPr>
    </w:p>
    <w:p>
      <w:pPr>
        <w:widowControl w:val="0"/>
        <w:rPr>
          <w:sz w:val="2"/>
          <w:szCs w:val="2"/>
        </w:rPr>
      </w:pPr>
    </w:p>
    <w:p>
      <w:pPr>
        <w:widowControl w:val="0"/>
        <w:rPr>
          <w:sz w:val="2"/>
          <w:szCs w:val="2"/>
        </w:rPr>
        <w:sectPr>
          <w:type w:val="continuous"/>
          <w:pgSz w:w="11900" w:h="16840"/>
          <w:pgMar w:top="1514" w:left="973" w:right="1034" w:bottom="1696" w:header="0" w:footer="3" w:gutter="0"/>
          <w:rtlGutter w:val="0"/>
          <w:cols w:space="720"/>
          <w:noEndnote/>
          <w:docGrid w:linePitch="360"/>
        </w:sectPr>
      </w:pPr>
    </w:p>
    <w:p>
      <w:pPr>
        <w:widowControl w:val="0"/>
        <w:spacing w:line="240" w:lineRule="exact"/>
        <w:rPr>
          <w:sz w:val="19"/>
          <w:szCs w:val="19"/>
        </w:rPr>
      </w:pPr>
    </w:p>
    <w:p>
      <w:pPr>
        <w:widowControl w:val="0"/>
        <w:spacing w:before="71" w:after="71" w:line="240" w:lineRule="exact"/>
        <w:rPr>
          <w:sz w:val="19"/>
          <w:szCs w:val="19"/>
        </w:rPr>
      </w:pPr>
    </w:p>
    <w:p>
      <w:pPr>
        <w:widowControl w:val="0"/>
        <w:rPr>
          <w:sz w:val="2"/>
          <w:szCs w:val="2"/>
        </w:rPr>
        <w:sectPr>
          <w:type w:val="continuous"/>
          <w:pgSz w:w="11900" w:h="16840"/>
          <w:pgMar w:top="1565" w:left="0" w:right="0" w:bottom="1795" w:header="0" w:footer="3" w:gutter="0"/>
          <w:rtlGutter w:val="0"/>
          <w:cols w:space="720"/>
          <w:noEndnote/>
          <w:docGrid w:linePitch="360"/>
        </w:sectPr>
      </w:pPr>
    </w:p>
    <w:p>
      <w:pPr>
        <w:widowControl w:val="0"/>
        <w:rPr>
          <w:sz w:val="2"/>
          <w:szCs w:val="2"/>
        </w:rPr>
      </w:pPr>
      <w:r>
        <w:pict>
          <v:shape id="_x0000_s1419" type="#_x0000_t75" style="position:absolute;margin-left:145.8pt;margin-top:348.7pt;width:209.75pt;height:14.9pt;z-index:-125829116;mso-wrap-distance-left:148.1pt;mso-wrap-distance-right:136.55pt;mso-wrap-distance-bottom:10.8pt;mso-position-horizontal-relative:margin" wrapcoords="0 0 21600 0 21600 21600 0 21600 0 0">
            <v:imagedata r:id="rId649" r:href="rId650"/>
            <w10:wrap type="topAndBottom" anchorx="margin"/>
          </v:shape>
        </w:pict>
      </w:r>
    </w:p>
    <w:p>
      <w:pPr>
        <w:pStyle w:val="Style28"/>
        <w:widowControl w:val="0"/>
        <w:keepNext/>
        <w:keepLines/>
        <w:shd w:val="clear" w:color="auto" w:fill="auto"/>
        <w:bidi w:val="0"/>
        <w:jc w:val="left"/>
        <w:spacing w:before="0" w:after="153" w:line="220" w:lineRule="exact"/>
        <w:ind w:left="0" w:right="0" w:firstLine="0"/>
      </w:pPr>
      <w:bookmarkStart w:id="452" w:name="bookmark452"/>
      <w:r>
        <w:rPr>
          <w:lang w:val="ru-RU" w:eastAsia="ru-RU" w:bidi="ru-RU"/>
          <w:w w:val="100"/>
          <w:spacing w:val="0"/>
          <w:color w:val="000000"/>
          <w:position w:val="0"/>
        </w:rPr>
        <w:t>Дилатационная кардиомиопатия</w:t>
      </w:r>
      <w:bookmarkEnd w:id="452"/>
    </w:p>
    <w:p>
      <w:pPr>
        <w:pStyle w:val="Style92"/>
        <w:widowControl w:val="0"/>
        <w:keepNext/>
        <w:keepLines/>
        <w:shd w:val="clear" w:color="auto" w:fill="auto"/>
        <w:bidi w:val="0"/>
        <w:spacing w:before="0" w:after="0"/>
        <w:ind w:left="0" w:right="0" w:firstLine="280"/>
      </w:pPr>
      <w:bookmarkStart w:id="453" w:name="bookmark453"/>
      <w:r>
        <w:rPr>
          <w:lang w:val="ru-RU" w:eastAsia="ru-RU" w:bidi="ru-RU"/>
          <w:w w:val="100"/>
          <w:spacing w:val="0"/>
          <w:color w:val="000000"/>
          <w:position w:val="0"/>
        </w:rPr>
        <w:t>Дилатационная кардиомиопатия</w:t>
      </w:r>
      <w:bookmarkEnd w:id="45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Идиопатическая дилатационная кардиомиопатия (ДКМП) является проявлением застойной сердечной недо</w:t>
        <w:softHyphen/>
        <w:t>статочности, вторичной к дилатации и систолической и/или диастолической дисфункции желудочков (преиму</w:t>
        <w:softHyphen/>
        <w:t>щественно левого) в отсутствие врожденных и клапанных пороков, болезней коронарных артерий или любых систем</w:t>
        <w:softHyphen/>
        <w:t>ных заболеваний известной этиологии, приводящих к мио</w:t>
        <w:softHyphen/>
        <w:t>кардиальной дисфункции. ДКМП является самой частой формой идиопатических кардиомиопатий у детей.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этом заболевании дилатируются все камеры сердца. Дилатация значительно преобладает над гипертрофией. Морфологически клапаны сердца не изменены, однако из-за дилатации полостей может возникать относительная недостаточность митрального и трикуспидального клапа</w:t>
        <w:softHyphen/>
        <w:t>нов в различной степени выраженности.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правого желудочка носит менее выражен</w:t>
        <w:softHyphen/>
        <w:t>ный характер. При выраженном вовлечении правых отде</w:t>
        <w:softHyphen/>
        <w:t>лов сердца в патологический процесс при ДКМП следует исключить наследственный генез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numPr>
          <w:ilvl w:val="0"/>
          <w:numId w:val="69"/>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ДКМП встречается у 3-30 на 100 000 детей.</w:t>
      </w:r>
    </w:p>
    <w:p>
      <w:pPr>
        <w:pStyle w:val="Style30"/>
        <w:numPr>
          <w:ilvl w:val="0"/>
          <w:numId w:val="69"/>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Генетические формы ДКМП составляют примерно 30%.</w:t>
      </w:r>
    </w:p>
    <w:p>
      <w:pPr>
        <w:pStyle w:val="Style92"/>
        <w:widowControl w:val="0"/>
        <w:keepNext/>
        <w:keepLines/>
        <w:shd w:val="clear" w:color="auto" w:fill="auto"/>
        <w:bidi w:val="0"/>
        <w:spacing w:before="0" w:after="0"/>
        <w:ind w:left="520" w:right="0" w:hanging="240"/>
      </w:pPr>
      <w:r>
        <w:br w:type="column"/>
      </w:r>
      <w:bookmarkStart w:id="454" w:name="bookmark454"/>
      <w:r>
        <w:rPr>
          <w:lang w:val="ru-RU" w:eastAsia="ru-RU" w:bidi="ru-RU"/>
          <w:w w:val="100"/>
          <w:spacing w:val="0"/>
          <w:color w:val="000000"/>
          <w:position w:val="0"/>
        </w:rPr>
        <w:t>Пол</w:t>
      </w:r>
      <w:bookmarkEnd w:id="454"/>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ДКМП наблюдается с одинаковой частотой у мальчиков и девочек.</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Заболевание отмечается в любом возрасте, чаще всего у детей моложе двух лет.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Причина заболевания остается неустановленной.</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Возникновение ДКМП вследствие перенесенного вирусного миокардита может быть убедительно под</w:t>
        <w:softHyphen/>
        <w:t>тверждено по данным анамнеза иммунобиохимичес</w:t>
        <w:softHyphen/>
        <w:t>ких исследований примерно в 40% случаев.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Поражение миокардиальной клетки приводит к рез - кому падению контрактильности миокарда. В ре</w:t>
        <w:softHyphen/>
        <w:t>зультате низкого сердечного выброса происходит активация компенсаторных механизмов ренин-ан- гиотензин-альдостероновой системы, симпатичес</w:t>
        <w:softHyphen/>
        <w:t>кой нервной системы, продукция предсердного на</w:t>
        <w:softHyphen/>
        <w:t>трийуретического пептида, антидиуретического гормона, тумор некротического фактора. Компенса</w:t>
        <w:softHyphen/>
        <w:t>торно увеличивается конечно диастолическое давле</w:t>
        <w:softHyphen/>
        <w:t>ние в левом желудочке. Когда эти компенсаторные механизмы не в состоянии поддерживать сердечный выброс, развивается застойная сердечная недоста</w:t>
        <w:softHyphen/>
        <w:t>точность.</w:t>
      </w:r>
      <w:r>
        <w:br w:type="page"/>
      </w:r>
    </w:p>
    <w:p>
      <w:pPr>
        <w:framePr w:h="4152" w:wrap="notBeside" w:vAnchor="text" w:hAnchor="text" w:xAlign="center" w:y="1"/>
        <w:widowControl w:val="0"/>
        <w:jc w:val="center"/>
        <w:rPr>
          <w:sz w:val="2"/>
          <w:szCs w:val="2"/>
        </w:rPr>
      </w:pPr>
      <w:r>
        <w:pict>
          <v:shape id="_x0000_s1420" type="#_x0000_t75" style="width:236pt;height:208pt;">
            <v:imagedata r:id="rId651" r:href="rId652"/>
          </v:shape>
        </w:pict>
      </w:r>
    </w:p>
    <w:p>
      <w:pPr>
        <w:pStyle w:val="Style33"/>
        <w:framePr w:h="4152" w:wrap="notBeside" w:vAnchor="text" w:hAnchor="text" w:xAlign="center" w:y="1"/>
        <w:widowControl w:val="0"/>
        <w:keepNext w:val="0"/>
        <w:keepLines w:val="0"/>
        <w:shd w:val="clear" w:color="auto" w:fill="auto"/>
        <w:bidi w:val="0"/>
        <w:jc w:val="both"/>
        <w:spacing w:before="0" w:after="0" w:line="197" w:lineRule="exact"/>
        <w:ind w:left="0" w:right="0" w:firstLine="0"/>
      </w:pPr>
      <w:r>
        <w:rPr>
          <w:lang w:val="ru-RU" w:eastAsia="ru-RU" w:bidi="ru-RU"/>
          <w:w w:val="100"/>
          <w:spacing w:val="0"/>
          <w:color w:val="000000"/>
          <w:position w:val="0"/>
        </w:rPr>
        <w:t>Рис. 57. Электрокардиограмма при дилатационной кардиомиопа</w:t>
        <w:softHyphen/>
        <w:t>тии: перегрузка левого желудочка, нарушение процесса реполяри</w:t>
        <w:softHyphen/>
        <w:t xml:space="preserve">зации (глубокие зубцы </w:t>
      </w:r>
      <w:r>
        <w:rPr>
          <w:lang w:val="en-US" w:eastAsia="en-US" w:bidi="en-US"/>
          <w:w w:val="100"/>
          <w:spacing w:val="0"/>
          <w:color w:val="000000"/>
          <w:position w:val="0"/>
        </w:rPr>
        <w:t>Q 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6, </w:t>
      </w:r>
      <w:r>
        <w:rPr>
          <w:lang w:val="ru-RU" w:eastAsia="ru-RU" w:bidi="ru-RU"/>
          <w:w w:val="100"/>
          <w:spacing w:val="0"/>
          <w:color w:val="000000"/>
          <w:position w:val="0"/>
        </w:rPr>
        <w:t xml:space="preserve">смещение ниже изолинии сегмента </w:t>
      </w:r>
      <w:r>
        <w:rPr>
          <w:lang w:val="en-US" w:eastAsia="en-US" w:bidi="en-US"/>
          <w:w w:val="100"/>
          <w:spacing w:val="0"/>
          <w:color w:val="000000"/>
          <w:position w:val="0"/>
        </w:rPr>
        <w:t xml:space="preserve">ST, </w:t>
      </w:r>
      <w:r>
        <w:rPr>
          <w:lang w:val="ru-RU" w:eastAsia="ru-RU" w:bidi="ru-RU"/>
          <w:w w:val="100"/>
          <w:spacing w:val="0"/>
          <w:color w:val="000000"/>
          <w:position w:val="0"/>
        </w:rPr>
        <w:t>отрицательные зубцы Т).</w:t>
      </w:r>
    </w:p>
    <w:p>
      <w:pPr>
        <w:widowControl w:val="0"/>
        <w:rPr>
          <w:sz w:val="2"/>
          <w:szCs w:val="2"/>
        </w:rPr>
      </w:pPr>
    </w:p>
    <w:p>
      <w:pPr>
        <w:pStyle w:val="Style30"/>
        <w:numPr>
          <w:ilvl w:val="0"/>
          <w:numId w:val="69"/>
        </w:numPr>
        <w:tabs>
          <w:tab w:leader="none" w:pos="478" w:val="left"/>
        </w:tabs>
        <w:widowControl w:val="0"/>
        <w:keepNext w:val="0"/>
        <w:keepLines w:val="0"/>
        <w:shd w:val="clear" w:color="auto" w:fill="auto"/>
        <w:bidi w:val="0"/>
        <w:spacing w:before="741" w:after="0"/>
        <w:ind w:left="460" w:right="0" w:hanging="220"/>
      </w:pPr>
      <w:r>
        <w:rPr>
          <w:lang w:val="ru-RU" w:eastAsia="ru-RU" w:bidi="ru-RU"/>
          <w:w w:val="100"/>
          <w:spacing w:val="0"/>
          <w:color w:val="000000"/>
          <w:position w:val="0"/>
        </w:rPr>
        <w:t>Полость левого желудочка резко дилатируется, разви</w:t>
        <w:softHyphen/>
        <w:t>вается вторичная клапанная регургитация, нарушает</w:t>
        <w:softHyphen/>
        <w:t>ся перфузия миокарда — он истончается, развивается субэндокардиальная ишемия.</w:t>
      </w:r>
    </w:p>
    <w:p>
      <w:pPr>
        <w:pStyle w:val="Style30"/>
        <w:numPr>
          <w:ilvl w:val="0"/>
          <w:numId w:val="69"/>
        </w:numPr>
        <w:tabs>
          <w:tab w:leader="none" w:pos="478" w:val="left"/>
        </w:tabs>
        <w:widowControl w:val="0"/>
        <w:keepNext w:val="0"/>
        <w:keepLines w:val="0"/>
        <w:shd w:val="clear" w:color="auto" w:fill="auto"/>
        <w:bidi w:val="0"/>
        <w:spacing w:before="0" w:after="0"/>
        <w:ind w:left="460" w:right="0" w:hanging="220"/>
      </w:pPr>
      <w:r>
        <w:rPr>
          <w:lang w:val="ru-RU" w:eastAsia="ru-RU" w:bidi="ru-RU"/>
          <w:w w:val="100"/>
          <w:spacing w:val="0"/>
          <w:color w:val="000000"/>
          <w:position w:val="0"/>
        </w:rPr>
        <w:t>Поврежденные миокардиальные клетки замещаются фиброзной тканью, в результате чего падает ком- плайнс левого желудочка.</w:t>
      </w:r>
    </w:p>
    <w:p>
      <w:pPr>
        <w:pStyle w:val="Style30"/>
        <w:numPr>
          <w:ilvl w:val="0"/>
          <w:numId w:val="69"/>
        </w:numPr>
        <w:tabs>
          <w:tab w:leader="none" w:pos="478" w:val="left"/>
        </w:tabs>
        <w:widowControl w:val="0"/>
        <w:keepNext w:val="0"/>
        <w:keepLines w:val="0"/>
        <w:shd w:val="clear" w:color="auto" w:fill="auto"/>
        <w:bidi w:val="0"/>
        <w:spacing w:before="0" w:after="0"/>
        <w:ind w:left="460" w:right="0" w:hanging="220"/>
      </w:pPr>
      <w:r>
        <w:rPr>
          <w:lang w:val="ru-RU" w:eastAsia="ru-RU" w:bidi="ru-RU"/>
          <w:w w:val="100"/>
          <w:spacing w:val="0"/>
          <w:color w:val="000000"/>
          <w:position w:val="0"/>
        </w:rPr>
        <w:t>Усиленная периферическая вазоконстрикция, пато</w:t>
        <w:softHyphen/>
        <w:t>логическое и чрезмерное перемоделирование пери</w:t>
        <w:softHyphen/>
        <w:t>ферической сосудистой сети и недостаточность эндо- телийзависимой вазодилатации усиливают прогрес</w:t>
        <w:softHyphen/>
        <w:t>сию сердечной недостаточности.</w:t>
      </w:r>
    </w:p>
    <w:p>
      <w:pPr>
        <w:pStyle w:val="Style30"/>
        <w:widowControl w:val="0"/>
        <w:keepNext w:val="0"/>
        <w:keepLines w:val="0"/>
        <w:shd w:val="clear" w:color="auto" w:fill="auto"/>
        <w:bidi w:val="0"/>
        <w:spacing w:before="0" w:after="0"/>
        <w:ind w:left="460" w:right="0" w:hanging="220"/>
      </w:pPr>
      <w:r>
        <w:rPr>
          <w:lang w:val="ru-RU" w:eastAsia="ru-RU" w:bidi="ru-RU"/>
          <w:w w:val="100"/>
          <w:spacing w:val="0"/>
          <w:color w:val="000000"/>
          <w:position w:val="0"/>
        </w:rPr>
        <w:t>Анамнез</w:t>
      </w:r>
    </w:p>
    <w:p>
      <w:pPr>
        <w:pStyle w:val="Style30"/>
        <w:numPr>
          <w:ilvl w:val="0"/>
          <w:numId w:val="69"/>
        </w:numPr>
        <w:tabs>
          <w:tab w:leader="none" w:pos="478" w:val="left"/>
        </w:tabs>
        <w:widowControl w:val="0"/>
        <w:keepNext w:val="0"/>
        <w:keepLines w:val="0"/>
        <w:shd w:val="clear" w:color="auto" w:fill="auto"/>
        <w:bidi w:val="0"/>
        <w:spacing w:before="0" w:after="0"/>
        <w:ind w:left="460" w:right="0" w:hanging="220"/>
      </w:pPr>
      <w:r>
        <w:rPr>
          <w:lang w:val="ru-RU" w:eastAsia="ru-RU" w:bidi="ru-RU"/>
          <w:w w:val="100"/>
          <w:spacing w:val="0"/>
          <w:color w:val="000000"/>
          <w:position w:val="0"/>
        </w:rPr>
        <w:t>Заболевание возникает постепенно, но может про</w:t>
        <w:softHyphen/>
        <w:t>явиться остро (25% пациентов), особенно на фоне ос</w:t>
        <w:softHyphen/>
        <w:t>трого респираторного заболевания.</w:t>
      </w:r>
    </w:p>
    <w:p>
      <w:pPr>
        <w:pStyle w:val="Style30"/>
        <w:numPr>
          <w:ilvl w:val="0"/>
          <w:numId w:val="69"/>
        </w:numPr>
        <w:tabs>
          <w:tab w:leader="none" w:pos="478" w:val="left"/>
        </w:tabs>
        <w:widowControl w:val="0"/>
        <w:keepNext w:val="0"/>
        <w:keepLines w:val="0"/>
        <w:shd w:val="clear" w:color="auto" w:fill="auto"/>
        <w:bidi w:val="0"/>
        <w:spacing w:before="0" w:after="0"/>
        <w:ind w:left="460" w:right="0" w:hanging="220"/>
      </w:pPr>
      <w:r>
        <w:rPr>
          <w:lang w:val="ru-RU" w:eastAsia="ru-RU" w:bidi="ru-RU"/>
          <w:w w:val="100"/>
          <w:spacing w:val="0"/>
          <w:color w:val="000000"/>
          <w:position w:val="0"/>
        </w:rPr>
        <w:t>Начальными симптомами обычно являются кашель, снижение аппетита, раздражительность и одышка.</w:t>
      </w:r>
    </w:p>
    <w:p>
      <w:pPr>
        <w:pStyle w:val="Style30"/>
        <w:numPr>
          <w:ilvl w:val="0"/>
          <w:numId w:val="69"/>
        </w:numPr>
        <w:tabs>
          <w:tab w:leader="none" w:pos="478" w:val="left"/>
        </w:tabs>
        <w:widowControl w:val="0"/>
        <w:keepNext w:val="0"/>
        <w:keepLines w:val="0"/>
        <w:shd w:val="clear" w:color="auto" w:fill="auto"/>
        <w:bidi w:val="0"/>
        <w:spacing w:before="0" w:after="0"/>
        <w:ind w:left="460" w:right="0" w:hanging="220"/>
      </w:pPr>
      <w:r>
        <w:rPr>
          <w:lang w:val="ru-RU" w:eastAsia="ru-RU" w:bidi="ru-RU"/>
          <w:w w:val="100"/>
          <w:spacing w:val="0"/>
          <w:color w:val="000000"/>
          <w:position w:val="0"/>
        </w:rPr>
        <w:t>Появляются бледность, повышенная потливость, бы</w:t>
        <w:softHyphen/>
        <w:t>страя утомляемость, низкая прибавка в весе, снижен</w:t>
        <w:softHyphen/>
        <w:t>ный диурез.</w:t>
      </w:r>
    </w:p>
    <w:p>
      <w:pPr>
        <w:pStyle w:val="Style30"/>
        <w:numPr>
          <w:ilvl w:val="0"/>
          <w:numId w:val="69"/>
        </w:numPr>
        <w:tabs>
          <w:tab w:leader="none" w:pos="478" w:val="left"/>
        </w:tabs>
        <w:widowControl w:val="0"/>
        <w:keepNext w:val="0"/>
        <w:keepLines w:val="0"/>
        <w:shd w:val="clear" w:color="auto" w:fill="auto"/>
        <w:bidi w:val="0"/>
        <w:spacing w:before="0" w:after="0"/>
        <w:ind w:left="460" w:right="0" w:hanging="220"/>
      </w:pPr>
      <w:r>
        <w:rPr>
          <w:lang w:val="ru-RU" w:eastAsia="ru-RU" w:bidi="ru-RU"/>
          <w:w w:val="100"/>
          <w:spacing w:val="0"/>
          <w:color w:val="000000"/>
          <w:position w:val="0"/>
        </w:rPr>
        <w:t>Кряхтящее дыхание очень часто наблюдается у ново</w:t>
        <w:softHyphen/>
        <w:t>рожденных.</w:t>
      </w:r>
    </w:p>
    <w:p>
      <w:pPr>
        <w:pStyle w:val="Style30"/>
        <w:numPr>
          <w:ilvl w:val="0"/>
          <w:numId w:val="69"/>
        </w:numPr>
        <w:tabs>
          <w:tab w:leader="none" w:pos="478" w:val="left"/>
        </w:tabs>
        <w:widowControl w:val="0"/>
        <w:keepNext w:val="0"/>
        <w:keepLines w:val="0"/>
        <w:shd w:val="clear" w:color="auto" w:fill="auto"/>
        <w:bidi w:val="0"/>
        <w:spacing w:before="0" w:after="0"/>
        <w:ind w:left="460" w:right="0" w:hanging="220"/>
      </w:pPr>
      <w:r>
        <w:rPr>
          <w:lang w:val="ru-RU" w:eastAsia="ru-RU" w:bidi="ru-RU"/>
          <w:w w:val="100"/>
          <w:spacing w:val="0"/>
          <w:color w:val="000000"/>
          <w:position w:val="0"/>
        </w:rPr>
        <w:t>У детей могут быть боли в грудной клетке, сердцебие</w:t>
        <w:softHyphen/>
        <w:t>ние, ортопноэ, кровохарканье, пенистая мокрота, бо</w:t>
        <w:softHyphen/>
        <w:t>ли в животе, обмороки, неврологические нарушения.</w:t>
      </w:r>
    </w:p>
    <w:p>
      <w:pPr>
        <w:pStyle w:val="Style30"/>
        <w:numPr>
          <w:ilvl w:val="0"/>
          <w:numId w:val="69"/>
        </w:numPr>
        <w:tabs>
          <w:tab w:leader="none" w:pos="478" w:val="left"/>
        </w:tabs>
        <w:widowControl w:val="0"/>
        <w:keepNext w:val="0"/>
        <w:keepLines w:val="0"/>
        <w:shd w:val="clear" w:color="auto" w:fill="auto"/>
        <w:bidi w:val="0"/>
        <w:spacing w:before="0" w:after="0"/>
        <w:ind w:left="460" w:right="0" w:hanging="220"/>
      </w:pPr>
      <w:r>
        <w:rPr>
          <w:lang w:val="ru-RU" w:eastAsia="ru-RU" w:bidi="ru-RU"/>
          <w:w w:val="100"/>
          <w:spacing w:val="0"/>
          <w:color w:val="000000"/>
          <w:position w:val="0"/>
        </w:rPr>
        <w:t>Поводом для обращения к кардиологу может быть кардиомегалия, выявленная случайно при рентгено</w:t>
        <w:softHyphen/>
        <w:t>логическом обследовании, или аритмия на ЭКГ.</w:t>
      </w:r>
    </w:p>
    <w:p>
      <w:pPr>
        <w:pStyle w:val="Style30"/>
        <w:numPr>
          <w:ilvl w:val="0"/>
          <w:numId w:val="69"/>
        </w:numPr>
        <w:tabs>
          <w:tab w:leader="none" w:pos="478" w:val="left"/>
        </w:tabs>
        <w:widowControl w:val="0"/>
        <w:keepNext w:val="0"/>
        <w:keepLines w:val="0"/>
        <w:shd w:val="clear" w:color="auto" w:fill="auto"/>
        <w:bidi w:val="0"/>
        <w:spacing w:before="0" w:after="0"/>
        <w:ind w:left="460" w:right="0" w:hanging="220"/>
      </w:pPr>
      <w:r>
        <w:rPr>
          <w:lang w:val="ru-RU" w:eastAsia="ru-RU" w:bidi="ru-RU"/>
          <w:w w:val="100"/>
          <w:spacing w:val="0"/>
          <w:color w:val="000000"/>
          <w:position w:val="0"/>
        </w:rPr>
        <w:t>Примерно у 50% больных заболеванию предшествует респираторная вирусная инфекция.</w:t>
      </w:r>
    </w:p>
    <w:p>
      <w:pPr>
        <w:pStyle w:val="Style30"/>
        <w:numPr>
          <w:ilvl w:val="0"/>
          <w:numId w:val="69"/>
        </w:numPr>
        <w:tabs>
          <w:tab w:leader="none" w:pos="478" w:val="left"/>
        </w:tabs>
        <w:widowControl w:val="0"/>
        <w:keepNext w:val="0"/>
        <w:keepLines w:val="0"/>
        <w:shd w:val="clear" w:color="auto" w:fill="auto"/>
        <w:bidi w:val="0"/>
        <w:spacing w:before="0" w:after="0"/>
        <w:ind w:left="460" w:right="0" w:hanging="220"/>
      </w:pPr>
      <w:r>
        <w:rPr>
          <w:lang w:val="ru-RU" w:eastAsia="ru-RU" w:bidi="ru-RU"/>
          <w:w w:val="100"/>
          <w:spacing w:val="0"/>
          <w:color w:val="000000"/>
          <w:position w:val="0"/>
        </w:rPr>
        <w:t>В 4-25% случаяев болезнь выявляется при указании на семейную причину заболевания.</w:t>
      </w:r>
    </w:p>
    <w:p>
      <w:pPr>
        <w:pStyle w:val="Style30"/>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Физикальные данные:</w:t>
      </w:r>
    </w:p>
    <w:p>
      <w:pPr>
        <w:pStyle w:val="Style30"/>
        <w:numPr>
          <w:ilvl w:val="0"/>
          <w:numId w:val="6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клинической картине болезни ведущим проявлени</w:t>
        <w:softHyphen/>
        <w:t>ем является застойная сердечная недостаточность.</w:t>
      </w:r>
    </w:p>
    <w:p>
      <w:pPr>
        <w:pStyle w:val="Style30"/>
        <w:numPr>
          <w:ilvl w:val="0"/>
          <w:numId w:val="6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раннего возраста обычно определяются тахи</w:t>
        <w:softHyphen/>
        <w:t>кардия, одышка, слабый периферический пульс, по</w:t>
        <w:softHyphen/>
        <w:t>холодание конечностей, увеличение печени. Артери</w:t>
        <w:softHyphen/>
        <w:t>альное давление обычно понижено, иногда больной может находиться в состоянии шока.</w:t>
      </w:r>
    </w:p>
    <w:p>
      <w:pPr>
        <w:pStyle w:val="Style30"/>
        <w:numPr>
          <w:ilvl w:val="0"/>
          <w:numId w:val="6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старшего возраста появляются отеки, крепи- тирующие хрипы в нижних отделах легких, набухание шейных вен.</w:t>
      </w:r>
    </w:p>
    <w:p>
      <w:pPr>
        <w:pStyle w:val="Style30"/>
        <w:numPr>
          <w:ilvl w:val="0"/>
          <w:numId w:val="6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осмотре ведущими признаками являются кар</w:t>
        <w:softHyphen/>
        <w:t>диомегалия, разлитой сердечный толчок, ритм гало</w:t>
        <w:softHyphen/>
        <w:t>па, акцент второго тона над легочной артерией. Мо</w:t>
        <w:softHyphen/>
        <w:t>жет выслушиваться систолической шум митральной или трикуспидальной недостаточности.</w:t>
      </w:r>
    </w:p>
    <w:p>
      <w:pPr>
        <w:pStyle w:val="Style30"/>
        <w:numPr>
          <w:ilvl w:val="0"/>
          <w:numId w:val="6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новорожденных при ДКМП могут преобладать симптомы дыхательной недостаточности, а кардио</w:t>
        <w:softHyphen/>
        <w:t>мегалия обнаруживается при проведении рентгено</w:t>
        <w:softHyphen/>
        <w:t>графического исследования.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6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Проводится исследование крови для исключения ос</w:t>
        <w:softHyphen/>
        <w:t>трого воспалительного процесса вследствие острого миокардита.</w:t>
      </w:r>
    </w:p>
    <w:p>
      <w:pPr>
        <w:pStyle w:val="Style30"/>
        <w:numPr>
          <w:ilvl w:val="0"/>
          <w:numId w:val="6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Исследуются миокардиальные ферменты для исклю</w:t>
        <w:softHyphen/>
        <w:t>чения острого инфаркта миокарда.</w:t>
      </w:r>
    </w:p>
    <w:p>
      <w:pPr>
        <w:pStyle w:val="Style30"/>
        <w:numPr>
          <w:ilvl w:val="0"/>
          <w:numId w:val="6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Проводят определение содержания общего и сво</w:t>
        <w:softHyphen/>
        <w:t>бодного карнитина в сыворотке крови для исклю</w:t>
        <w:softHyphen/>
        <w:t>чения карнитиновой недостаточности.</w:t>
      </w:r>
    </w:p>
    <w:p>
      <w:pPr>
        <w:pStyle w:val="Style30"/>
        <w:numPr>
          <w:ilvl w:val="0"/>
          <w:numId w:val="6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Проводят анализ газового состава крови, электроли</w:t>
        <w:softHyphen/>
        <w:t>тов и КЩР — для решения вопроса о метаболической коррекции, назначения инотропных средств и необ</w:t>
        <w:softHyphen/>
        <w:t>ходимости вспомогательного дыхания.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 (рис. 57):</w:t>
      </w:r>
    </w:p>
    <w:p>
      <w:pPr>
        <w:pStyle w:val="Style30"/>
        <w:numPr>
          <w:ilvl w:val="0"/>
          <w:numId w:val="6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Наиболее часто определяются: отклонение элек</w:t>
        <w:softHyphen/>
        <w:t>трической оси сердца влево, дилатация (перегруз</w:t>
        <w:softHyphen/>
        <w:t>ка) левого желудочка и левого предсердия, глубо</w:t>
        <w:softHyphen/>
        <w:t xml:space="preserve">кие зубцы </w:t>
      </w:r>
      <w:r>
        <w:rPr>
          <w:lang w:val="en-US" w:eastAsia="en-US" w:bidi="en-US"/>
          <w:w w:val="100"/>
          <w:spacing w:val="0"/>
          <w:color w:val="000000"/>
          <w:position w:val="0"/>
        </w:rPr>
        <w:t xml:space="preserve">q, </w:t>
      </w:r>
      <w:r>
        <w:rPr>
          <w:lang w:val="ru-RU" w:eastAsia="ru-RU" w:bidi="ru-RU"/>
          <w:w w:val="100"/>
          <w:spacing w:val="0"/>
          <w:color w:val="000000"/>
          <w:position w:val="0"/>
        </w:rPr>
        <w:t xml:space="preserve">депрессия сегмента </w:t>
      </w:r>
      <w:r>
        <w:rPr>
          <w:lang w:val="en-US" w:eastAsia="en-US" w:bidi="en-US"/>
          <w:w w:val="100"/>
          <w:spacing w:val="0"/>
          <w:color w:val="000000"/>
          <w:position w:val="0"/>
        </w:rPr>
        <w:t xml:space="preserve">ST, </w:t>
      </w:r>
      <w:r>
        <w:rPr>
          <w:lang w:val="ru-RU" w:eastAsia="ru-RU" w:bidi="ru-RU"/>
          <w:w w:val="100"/>
          <w:spacing w:val="0"/>
          <w:color w:val="000000"/>
          <w:position w:val="0"/>
        </w:rPr>
        <w:t>инверсия зуб</w:t>
        <w:softHyphen/>
        <w:t xml:space="preserve">ца Т в отведениях </w:t>
      </w:r>
      <w:r>
        <w:rPr>
          <w:lang w:val="en-US" w:eastAsia="en-US" w:bidi="en-US"/>
          <w:w w:val="100"/>
          <w:spacing w:val="0"/>
          <w:color w:val="000000"/>
          <w:position w:val="0"/>
        </w:rPr>
        <w:t>I, aVL, 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 </w:t>
      </w:r>
      <w:r>
        <w:rPr>
          <w:lang w:val="ru-RU" w:eastAsia="ru-RU" w:bidi="ru-RU"/>
          <w:w w:val="100"/>
          <w:spacing w:val="0"/>
          <w:color w:val="000000"/>
          <w:position w:val="0"/>
        </w:rPr>
        <w:t>Уб (признак объемной перегрузки левого желудочка).</w:t>
      </w:r>
    </w:p>
    <w:p>
      <w:pPr>
        <w:pStyle w:val="Style30"/>
        <w:numPr>
          <w:ilvl w:val="0"/>
          <w:numId w:val="6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декомпенсации может выявляться отклоне</w:t>
        <w:softHyphen/>
        <w:t>ние электрической оси сердца вправо, гипертро</w:t>
        <w:softHyphen/>
        <w:t>фия правого желудочка и предсердия (из-за легоч</w:t>
        <w:softHyphen/>
        <w:t>ной гипертензии).</w:t>
      </w:r>
    </w:p>
    <w:p>
      <w:pPr>
        <w:pStyle w:val="Style30"/>
        <w:numPr>
          <w:ilvl w:val="0"/>
          <w:numId w:val="6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Электрокардиограмма позволяет исключить ано</w:t>
        <w:softHyphen/>
        <w:t>мальное отхождение левой коронарной артерии от легочного ствола и локальные изменения в мио</w:t>
        <w:softHyphen/>
        <w:t>карде, возникшие в результате инфаркта миокарда.</w:t>
      </w:r>
    </w:p>
    <w:p>
      <w:pPr>
        <w:pStyle w:val="Style30"/>
        <w:numPr>
          <w:ilvl w:val="0"/>
          <w:numId w:val="6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 ЭКГ могут определяться суправентрикулярные и желудочковые аритмии. Иногда аритмия являет</w:t>
        <w:softHyphen/>
        <w:t>ся причиной ДКМП, а не ее результатом.</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w:t>
      </w:r>
    </w:p>
    <w:p>
      <w:pPr>
        <w:pStyle w:val="Style30"/>
        <w:numPr>
          <w:ilvl w:val="0"/>
          <w:numId w:val="6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рентгенографии грудной клетки выявляется кар - диомегалия, дилатация левого желудочка, левого предсердия, легочной артерии. Легочный венозный рисунок усилен, может определяться картина отека легкого.</w:t>
      </w:r>
    </w:p>
    <w:p>
      <w:pPr>
        <w:pStyle w:val="Style30"/>
        <w:numPr>
          <w:ilvl w:val="0"/>
          <w:numId w:val="6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Иногда наблюдается массивная кардиомегалия как при перикардиальном выпоте.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 (рис. 58):</w:t>
      </w:r>
    </w:p>
    <w:p>
      <w:pPr>
        <w:pStyle w:val="Style30"/>
        <w:numPr>
          <w:ilvl w:val="0"/>
          <w:numId w:val="69"/>
        </w:numPr>
        <w:tabs>
          <w:tab w:leader="none" w:pos="237" w:val="left"/>
        </w:tabs>
        <w:widowControl w:val="0"/>
        <w:keepNext w:val="0"/>
        <w:keepLines w:val="0"/>
        <w:shd w:val="clear" w:color="auto" w:fill="auto"/>
        <w:bidi w:val="0"/>
        <w:spacing w:before="0" w:after="0"/>
        <w:ind w:left="280" w:right="0" w:hanging="280"/>
        <w:sectPr>
          <w:type w:val="continuous"/>
          <w:pgSz w:w="11900" w:h="16840"/>
          <w:pgMar w:top="1565" w:left="1019" w:right="997" w:bottom="1795" w:header="0" w:footer="3" w:gutter="0"/>
          <w:rtlGutter w:val="0"/>
          <w:cols w:num="2" w:space="275"/>
          <w:noEndnote/>
          <w:docGrid w:linePitch="360"/>
        </w:sectPr>
      </w:pPr>
      <w:r>
        <w:rPr>
          <w:lang w:val="ru-RU" w:eastAsia="ru-RU" w:bidi="ru-RU"/>
          <w:w w:val="100"/>
          <w:spacing w:val="0"/>
          <w:color w:val="000000"/>
          <w:position w:val="0"/>
        </w:rPr>
        <w:t>Одномерная ЭхоКГ:</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53" w:after="53"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421" type="#_x0000_t75" style="position:absolute;margin-left:130.25pt;margin-top:0;width:209.75pt;height:14.9pt;z-index:-251658694;mso-wrap-distance-left:5.pt;mso-wrap-distance-right:5.pt;mso-position-horizontal-relative:margin" wrapcoords="0 0">
            <v:imagedata r:id="rId653" r:href="rId654"/>
            <w10:wrap anchorx="margin"/>
          </v:shape>
        </w:pict>
      </w:r>
    </w:p>
    <w:p>
      <w:pPr>
        <w:widowControl w:val="0"/>
        <w:rPr>
          <w:sz w:val="2"/>
          <w:szCs w:val="2"/>
        </w:rPr>
        <w:sectPr>
          <w:type w:val="continuous"/>
          <w:pgSz w:w="11900" w:h="16840"/>
          <w:pgMar w:top="1468" w:left="1124" w:right="894" w:bottom="192" w:header="0" w:footer="3" w:gutter="0"/>
          <w:rtlGutter w:val="0"/>
          <w:cols w:space="720"/>
          <w:noEndnote/>
          <w:docGrid w:linePitch="360"/>
        </w:sectPr>
      </w:pPr>
    </w:p>
    <w:p>
      <w:pPr>
        <w:pStyle w:val="Style30"/>
        <w:widowControl w:val="0"/>
        <w:keepNext w:val="0"/>
        <w:keepLines w:val="0"/>
        <w:shd w:val="clear" w:color="auto" w:fill="auto"/>
        <w:bidi w:val="0"/>
        <w:spacing w:before="0" w:after="0" w:line="192" w:lineRule="exact"/>
        <w:ind w:left="0" w:right="0" w:firstLine="0"/>
        <w:sectPr>
          <w:pgSz w:w="11900" w:h="16840"/>
          <w:pgMar w:top="1642" w:left="903" w:right="1124" w:bottom="207" w:header="0" w:footer="3" w:gutter="0"/>
          <w:rtlGutter w:val="0"/>
          <w:cols w:space="720"/>
          <w:noEndnote/>
          <w:docGrid w:linePitch="360"/>
        </w:sectPr>
      </w:pPr>
      <w:r>
        <w:pict>
          <v:shape id="_x0000_s1422" type="#_x0000_t75" style="position:absolute;margin-left:210.95pt;margin-top:-25.7pt;width:282.25pt;height:204.95pt;z-index:-125829115;mso-wrap-distance-left:32.15pt;mso-wrap-distance-right:5.pt;mso-position-horizontal-relative:margin" wrapcoords="0 0 21600 0 21600 21600 0 21600 0 0">
            <v:imagedata r:id="rId655" r:href="rId656"/>
            <w10:wrap type="square" side="left" anchorx="margin"/>
          </v:shape>
        </w:pict>
      </w:r>
      <w:r>
        <w:rPr>
          <w:rStyle w:val="CharStyle102"/>
        </w:rPr>
        <w:t xml:space="preserve">Рис. 58. </w:t>
      </w:r>
      <w:r>
        <w:rPr>
          <w:lang w:val="ru-RU" w:eastAsia="ru-RU" w:bidi="ru-RU"/>
          <w:w w:val="100"/>
          <w:spacing w:val="0"/>
          <w:color w:val="000000"/>
          <w:position w:val="0"/>
        </w:rPr>
        <w:t>Дилатационная кардиомиопатия. Одно</w:t>
        <w:softHyphen/>
        <w:t>мерная и двухмерная эхокардиограмма: большая плохо сокращающаяся полость левого желудочка.</w:t>
      </w:r>
    </w:p>
    <w:p>
      <w:pPr>
        <w:widowControl w:val="0"/>
        <w:spacing w:before="87" w:after="87" w:line="240" w:lineRule="exact"/>
        <w:rPr>
          <w:sz w:val="19"/>
          <w:szCs w:val="19"/>
        </w:rPr>
      </w:pPr>
    </w:p>
    <w:p>
      <w:pPr>
        <w:widowControl w:val="0"/>
        <w:rPr>
          <w:sz w:val="2"/>
          <w:szCs w:val="2"/>
        </w:rPr>
        <w:sectPr>
          <w:type w:val="continuous"/>
          <w:pgSz w:w="11900" w:h="16840"/>
          <w:pgMar w:top="1554" w:left="0" w:right="0" w:bottom="1789" w:header="0" w:footer="3" w:gutter="0"/>
          <w:rtlGutter w:val="0"/>
          <w:cols w:space="720"/>
          <w:noEndnote/>
          <w:docGrid w:linePitch="360"/>
        </w:sectPr>
      </w:pPr>
    </w:p>
    <w:p>
      <w:pPr>
        <w:widowControl w:val="0"/>
        <w:rPr>
          <w:sz w:val="2"/>
          <w:szCs w:val="2"/>
        </w:rPr>
      </w:pPr>
      <w:r>
        <w:pict>
          <v:shape id="_x0000_s1423" type="#_x0000_t75" style="position:absolute;margin-left:141.6pt;margin-top:503.75pt;width:209.75pt;height:14.9pt;z-index:-125829114;mso-wrap-distance-left:135.35pt;mso-wrap-distance-right:136.55pt;mso-wrap-distance-bottom:10.8pt;mso-position-horizontal-relative:margin" wrapcoords="0 0 21600 0 21600 21600 0 21600 0 0">
            <v:imagedata r:id="rId657" r:href="rId658"/>
            <w10:wrap type="topAndBottom" anchorx="margin"/>
          </v:shape>
        </w:pic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увеличение конечно систолического и конечно ди - астолического диаметров левого желудочка;</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уменьшение ударного выброса левого желудочка;</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дилатация левого предсердия (особенно при отно</w:t>
        <w:softHyphen/>
        <w:t>сительной недостаточности митрального клапана);</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дилатация правого желудочка и правого предсердия;</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усиление эхосигнала от эндокардиальной поверх</w:t>
        <w:softHyphen/>
        <w:t>ности левого жедудочка;</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гипокинезия перегородки (при отсутствии мит</w:t>
        <w:softHyphen/>
        <w:t>ральной недостаточности);</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гипокинезия задней стенки левого желудочка;</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увеличение митрально-септальной дистанции (точка Е митрального клапана — межжелудочко</w:t>
        <w:softHyphen/>
        <w:t>вая перегородка);</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снижение показателей систолической функции левого желудочка: ФВ, </w:t>
      </w:r>
      <w:r>
        <w:rPr>
          <w:lang w:val="en-US" w:eastAsia="en-US" w:bidi="en-US"/>
          <w:w w:val="100"/>
          <w:spacing w:val="0"/>
          <w:color w:val="000000"/>
          <w:position w:val="0"/>
        </w:rPr>
        <w:t>Vcf.</w:t>
      </w:r>
    </w:p>
    <w:p>
      <w:pPr>
        <w:pStyle w:val="Style30"/>
        <w:numPr>
          <w:ilvl w:val="0"/>
          <w:numId w:val="69"/>
        </w:numPr>
        <w:tabs>
          <w:tab w:leader="none" w:pos="23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Двухмерная ЭхоКГ:</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округлой формы левый желудочек, гипокинезия его стенок;</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относительная недостаточность митрального кла</w:t>
        <w:softHyphen/>
        <w:t>пана.</w:t>
      </w:r>
    </w:p>
    <w:p>
      <w:pPr>
        <w:pStyle w:val="Style30"/>
        <w:numPr>
          <w:ilvl w:val="0"/>
          <w:numId w:val="69"/>
        </w:numPr>
        <w:tabs>
          <w:tab w:leader="none" w:pos="23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Допплер ЭхоКГ:</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оценка систолической и диастолической функции левого желудочка;</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определение сопутствующей митральной и/или трикуспидальной регургитации;</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определение степени легочной венозной гипер</w:t>
        <w:softHyphen/>
        <w:t>тензии;</w:t>
      </w:r>
    </w:p>
    <w:p>
      <w:pPr>
        <w:pStyle w:val="Style30"/>
        <w:numPr>
          <w:ilvl w:val="0"/>
          <w:numId w:val="71"/>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выявление осложнений: выпот в перикарде, тромб в полости левого желудочка.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Катетеризация сердца и ангиокардиография:</w:t>
      </w:r>
    </w:p>
    <w:p>
      <w:pPr>
        <w:pStyle w:val="Style30"/>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Детям с ДКМП катетеризация сердца проводится только в случае предполагаемой пересадки сердца.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Биопсия миокарда:</w:t>
      </w:r>
    </w:p>
    <w:p>
      <w:pPr>
        <w:pStyle w:val="Style30"/>
        <w:numPr>
          <w:ilvl w:val="0"/>
          <w:numId w:val="69"/>
        </w:numPr>
        <w:tabs>
          <w:tab w:leader="none" w:pos="23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Биопсия миокарда проводится в исключительно ред</w:t>
        <w:softHyphen/>
        <w:t>ких случаях при подозрении на редкие формы мета</w:t>
        <w:softHyphen/>
        <w:t>болических заболеваний (например, изолированный дефицит карнитина в миокарде, редкие формы изо</w:t>
        <w:softHyphen/>
        <w:t>лированного сердечного гликогеноза и дефекта мета</w:t>
        <w:softHyphen/>
        <w:t>болизма жирных кислот).</w:t>
      </w:r>
    </w:p>
    <w:p>
      <w:pPr>
        <w:pStyle w:val="Style92"/>
        <w:widowControl w:val="0"/>
        <w:keepNext/>
        <w:keepLines/>
        <w:shd w:val="clear" w:color="auto" w:fill="auto"/>
        <w:bidi w:val="0"/>
        <w:spacing w:before="0" w:after="0"/>
        <w:ind w:left="0" w:right="0" w:firstLine="280"/>
      </w:pPr>
      <w:r>
        <w:br w:type="column"/>
      </w:r>
      <w:bookmarkStart w:id="455" w:name="bookmark455"/>
      <w:r>
        <w:rPr>
          <w:lang w:val="ru-RU" w:eastAsia="ru-RU" w:bidi="ru-RU"/>
          <w:w w:val="100"/>
          <w:spacing w:val="0"/>
          <w:color w:val="000000"/>
          <w:position w:val="0"/>
        </w:rPr>
        <w:t>Лечение</w:t>
      </w:r>
      <w:bookmarkEnd w:id="455"/>
    </w:p>
    <w:p>
      <w:pPr>
        <w:pStyle w:val="Style30"/>
        <w:numPr>
          <w:ilvl w:val="0"/>
          <w:numId w:val="6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Проводится лечение инотропными препаратами, ди</w:t>
        <w:softHyphen/>
        <w:t>уретиками, препаратами, снижающими преднагрузку и постнагрузку (см. лечение сердечной недостаточно</w:t>
        <w:softHyphen/>
        <w:t>сти).</w:t>
      </w:r>
    </w:p>
    <w:p>
      <w:pPr>
        <w:pStyle w:val="Style30"/>
        <w:numPr>
          <w:ilvl w:val="0"/>
          <w:numId w:val="6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ДКМП рекомендуется назначение внутривен</w:t>
        <w:softHyphen/>
        <w:t>ной инфузии карнитина 100 мг/кг в течение 30 минут, затем 100 мг/кг/день в течение 24-72 часов с последу</w:t>
        <w:softHyphen/>
        <w:t>ющим переходом на прием карнитина внутрь в дозе 25-50 мг/кг/сутки в 2-3 приема (не более 200 мг/кг/сутки).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коррекция</w:t>
      </w:r>
    </w:p>
    <w:p>
      <w:pPr>
        <w:pStyle w:val="Style30"/>
        <w:numPr>
          <w:ilvl w:val="0"/>
          <w:numId w:val="6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Трансплантация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Амбулаторное наблюдение</w:t>
      </w:r>
    </w:p>
    <w:p>
      <w:pPr>
        <w:pStyle w:val="Style30"/>
        <w:numPr>
          <w:ilvl w:val="0"/>
          <w:numId w:val="6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Дети с ДКМП находятся на постоянном амбулатор</w:t>
        <w:softHyphen/>
        <w:t>ном наблюдении с регулярным контролем ЭКГ, ЭхоКГ.</w:t>
      </w:r>
    </w:p>
    <w:p>
      <w:pPr>
        <w:pStyle w:val="Style30"/>
        <w:numPr>
          <w:ilvl w:val="0"/>
          <w:numId w:val="6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ходе наблюдения проводится коррекция доз лекар - ственных препаратов.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Активность</w:t>
      </w:r>
    </w:p>
    <w:p>
      <w:pPr>
        <w:pStyle w:val="Style30"/>
        <w:numPr>
          <w:ilvl w:val="0"/>
          <w:numId w:val="6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Активность должна быть ограничена, однако строгий постельный режим не нужен.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6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заболевания в большинстве случаев небла</w:t>
        <w:softHyphen/>
        <w:t>гоприятный.</w:t>
      </w:r>
    </w:p>
    <w:p>
      <w:pPr>
        <w:pStyle w:val="Style30"/>
        <w:numPr>
          <w:ilvl w:val="0"/>
          <w:numId w:val="6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Известны случаи длительной клинической компен</w:t>
        <w:softHyphen/>
        <w:t>сации симптомов ДКМП.</w:t>
      </w:r>
    </w:p>
    <w:p>
      <w:pPr>
        <w:pStyle w:val="Style30"/>
        <w:numPr>
          <w:ilvl w:val="0"/>
          <w:numId w:val="69"/>
        </w:numPr>
        <w:tabs>
          <w:tab w:leader="none" w:pos="516" w:val="left"/>
        </w:tabs>
        <w:widowControl w:val="0"/>
        <w:keepNext w:val="0"/>
        <w:keepLines w:val="0"/>
        <w:shd w:val="clear" w:color="auto" w:fill="auto"/>
        <w:bidi w:val="0"/>
        <w:spacing w:before="0" w:after="122"/>
        <w:ind w:left="520" w:right="0" w:hanging="240"/>
      </w:pPr>
      <w:r>
        <w:rPr>
          <w:lang w:val="ru-RU" w:eastAsia="ru-RU" w:bidi="ru-RU"/>
          <w:w w:val="100"/>
          <w:spacing w:val="0"/>
          <w:color w:val="000000"/>
          <w:position w:val="0"/>
        </w:rPr>
        <w:t>Возможно выздоровление, если причиной ДКМП была вирусная инфекция.</w:t>
      </w:r>
    </w:p>
    <w:p>
      <w:pPr>
        <w:pStyle w:val="Style28"/>
        <w:widowControl w:val="0"/>
        <w:keepNext/>
        <w:keepLines/>
        <w:shd w:val="clear" w:color="auto" w:fill="auto"/>
        <w:bidi w:val="0"/>
        <w:jc w:val="left"/>
        <w:spacing w:before="0" w:after="118" w:line="288" w:lineRule="exact"/>
        <w:ind w:left="0" w:right="0" w:firstLine="0"/>
      </w:pPr>
      <w:bookmarkStart w:id="456" w:name="bookmark456"/>
      <w:r>
        <w:rPr>
          <w:lang w:val="ru-RU" w:eastAsia="ru-RU" w:bidi="ru-RU"/>
          <w:w w:val="100"/>
          <w:spacing w:val="0"/>
          <w:color w:val="000000"/>
          <w:position w:val="0"/>
        </w:rPr>
        <w:t>Наследственные дилатационные кардиомиопатии</w:t>
      </w:r>
      <w:bookmarkEnd w:id="456"/>
    </w:p>
    <w:p>
      <w:pPr>
        <w:pStyle w:val="Style92"/>
        <w:widowControl w:val="0"/>
        <w:keepNext/>
        <w:keepLines/>
        <w:shd w:val="clear" w:color="auto" w:fill="auto"/>
        <w:bidi w:val="0"/>
        <w:spacing w:before="0" w:after="0"/>
        <w:ind w:left="0" w:right="0" w:firstLine="280"/>
      </w:pPr>
      <w:bookmarkStart w:id="457" w:name="bookmark457"/>
      <w:r>
        <w:rPr>
          <w:lang w:val="ru-RU" w:eastAsia="ru-RU" w:bidi="ru-RU"/>
          <w:w w:val="100"/>
          <w:spacing w:val="0"/>
          <w:color w:val="000000"/>
          <w:position w:val="0"/>
        </w:rPr>
        <w:t>Частота</w:t>
      </w:r>
      <w:bookmarkEnd w:id="45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Наследственные формы ДКМП составляют от 20 до 40% среди всех форм ДКМП.</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Наследственные ДКМП встречаются практически с одинаковой частотой с некоторым преобладанием у маль</w:t>
        <w:softHyphen/>
        <w:t>чиков.</w:t>
      </w:r>
      <w:r>
        <w:br w:type="page"/>
      </w:r>
    </w:p>
    <w:p>
      <w:pPr>
        <w:pStyle w:val="Style92"/>
        <w:widowControl w:val="0"/>
        <w:keepNext/>
        <w:keepLines/>
        <w:shd w:val="clear" w:color="auto" w:fill="auto"/>
        <w:bidi w:val="0"/>
        <w:spacing w:before="0" w:after="0"/>
        <w:ind w:left="260" w:right="0" w:hanging="260"/>
      </w:pPr>
      <w:bookmarkStart w:id="458" w:name="bookmark458"/>
      <w:r>
        <w:rPr>
          <w:lang w:val="ru-RU" w:eastAsia="ru-RU" w:bidi="ru-RU"/>
          <w:w w:val="100"/>
          <w:spacing w:val="0"/>
          <w:color w:val="000000"/>
          <w:position w:val="0"/>
        </w:rPr>
        <w:t>Возраст</w:t>
      </w:r>
      <w:bookmarkEnd w:id="458"/>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Болезнь определяется преимущественно в возрасте 1-3 лет. Причины</w:t>
      </w:r>
    </w:p>
    <w:p>
      <w:pPr>
        <w:pStyle w:val="Style30"/>
        <w:numPr>
          <w:ilvl w:val="0"/>
          <w:numId w:val="69"/>
        </w:numPr>
        <w:tabs>
          <w:tab w:leader="none" w:pos="231"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Аутосомно-доминантные ДКМП </w:t>
      </w:r>
      <w:r>
        <w:rPr>
          <w:lang w:val="en-US" w:eastAsia="en-US" w:bidi="en-US"/>
          <w:w w:val="100"/>
          <w:spacing w:val="0"/>
          <w:color w:val="000000"/>
          <w:position w:val="0"/>
        </w:rPr>
        <w:t>(Gardner-RJ):</w:t>
      </w:r>
    </w:p>
    <w:p>
      <w:pPr>
        <w:pStyle w:val="Style30"/>
        <w:numPr>
          <w:ilvl w:val="0"/>
          <w:numId w:val="69"/>
        </w:numPr>
        <w:tabs>
          <w:tab w:leader="none" w:pos="58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Семейная ДКМП и гипергонадотропный гипого- надизм </w:t>
      </w:r>
      <w:r>
        <w:rPr>
          <w:lang w:val="en-US" w:eastAsia="en-US" w:bidi="en-US"/>
          <w:w w:val="100"/>
          <w:spacing w:val="0"/>
          <w:color w:val="000000"/>
          <w:position w:val="0"/>
        </w:rPr>
        <w:t>(Malouf-J):</w:t>
      </w:r>
    </w:p>
    <w:p>
      <w:pPr>
        <w:pStyle w:val="Style30"/>
        <w:numPr>
          <w:ilvl w:val="0"/>
          <w:numId w:val="7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овариальный дизгенез сопровождается вторич</w:t>
        <w:softHyphen/>
        <w:t>ным гипергонадотропным гипогонадизмом;</w:t>
      </w:r>
    </w:p>
    <w:p>
      <w:pPr>
        <w:pStyle w:val="Style30"/>
        <w:numPr>
          <w:ilvl w:val="0"/>
          <w:numId w:val="7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дилатационная кардиомиопатия носит медленно прогрессирующий характер.</w:t>
      </w:r>
    </w:p>
    <w:p>
      <w:pPr>
        <w:pStyle w:val="Style30"/>
        <w:numPr>
          <w:ilvl w:val="0"/>
          <w:numId w:val="69"/>
        </w:numPr>
        <w:tabs>
          <w:tab w:leader="none" w:pos="231"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Аутосомно-рецессивные </w:t>
      </w:r>
      <w:r>
        <w:rPr>
          <w:lang w:val="en-US" w:eastAsia="en-US" w:bidi="en-US"/>
          <w:w w:val="100"/>
          <w:spacing w:val="0"/>
          <w:color w:val="000000"/>
          <w:position w:val="0"/>
        </w:rPr>
        <w:t xml:space="preserve">(Goldblatt-J) </w:t>
      </w:r>
      <w:r>
        <w:rPr>
          <w:lang w:val="ru-RU" w:eastAsia="ru-RU" w:bidi="ru-RU"/>
          <w:w w:val="100"/>
          <w:spacing w:val="0"/>
          <w:color w:val="000000"/>
          <w:position w:val="0"/>
        </w:rPr>
        <w:t>типы наследо</w:t>
        <w:softHyphen/>
        <w:t>вания ДКМП:</w:t>
      </w:r>
    </w:p>
    <w:p>
      <w:pPr>
        <w:pStyle w:val="Style30"/>
        <w:numPr>
          <w:ilvl w:val="0"/>
          <w:numId w:val="69"/>
        </w:numPr>
        <w:tabs>
          <w:tab w:leader="none" w:pos="58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ДКМП — микроцефалия </w:t>
      </w:r>
      <w:r>
        <w:rPr>
          <w:lang w:val="en-US" w:eastAsia="en-US" w:bidi="en-US"/>
          <w:w w:val="100"/>
          <w:spacing w:val="0"/>
          <w:color w:val="000000"/>
          <w:position w:val="0"/>
        </w:rPr>
        <w:t>Winship-IM:</w:t>
      </w:r>
    </w:p>
    <w:p>
      <w:pPr>
        <w:pStyle w:val="Style30"/>
        <w:numPr>
          <w:ilvl w:val="0"/>
          <w:numId w:val="71"/>
        </w:numPr>
        <w:tabs>
          <w:tab w:leader="none" w:pos="71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дилатационная кардиомиопатия носит медленно прогрессирующий характер. Микроцефалия соче</w:t>
        <w:softHyphen/>
        <w:t>тается с умственной отсталостью, задержкой раз</w:t>
        <w:softHyphen/>
        <w:t>вития, минорным дизморфизмом.</w:t>
      </w:r>
    </w:p>
    <w:p>
      <w:pPr>
        <w:pStyle w:val="Style30"/>
        <w:numPr>
          <w:ilvl w:val="0"/>
          <w:numId w:val="69"/>
        </w:numPr>
        <w:tabs>
          <w:tab w:leader="none" w:pos="58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Врожденная ахроматопсия и дилатационная кар</w:t>
        <w:softHyphen/>
        <w:t xml:space="preserve">диомиопатия </w:t>
      </w:r>
      <w:r>
        <w:rPr>
          <w:lang w:val="en-US" w:eastAsia="en-US" w:bidi="en-US"/>
          <w:w w:val="100"/>
          <w:spacing w:val="0"/>
          <w:color w:val="000000"/>
          <w:position w:val="0"/>
        </w:rPr>
        <w:t>(Puech-B):</w:t>
      </w:r>
    </w:p>
    <w:p>
      <w:pPr>
        <w:pStyle w:val="Style30"/>
        <w:numPr>
          <w:ilvl w:val="0"/>
          <w:numId w:val="7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начало заболевания в раннем возрасте, быстро развиваются явления недостаточности кровообра</w:t>
        <w:softHyphen/>
        <w:t>щения;</w:t>
      </w:r>
    </w:p>
    <w:p>
      <w:pPr>
        <w:pStyle w:val="Style30"/>
        <w:numPr>
          <w:ilvl w:val="0"/>
          <w:numId w:val="71"/>
        </w:numPr>
        <w:tabs>
          <w:tab w:leader="none" w:pos="69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глазные аномалии характеризуются ахроматоп</w:t>
        <w:softHyphen/>
        <w:t>сией.</w:t>
      </w:r>
    </w:p>
    <w:p>
      <w:pPr>
        <w:pStyle w:val="Style30"/>
        <w:numPr>
          <w:ilvl w:val="0"/>
          <w:numId w:val="69"/>
        </w:numPr>
        <w:tabs>
          <w:tab w:leader="none" w:pos="58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Семейная дилатационная кардиомиопатия в соче</w:t>
        <w:softHyphen/>
        <w:t xml:space="preserve">тании с катарактой и искривлением позвоночника </w:t>
      </w:r>
      <w:r>
        <w:rPr>
          <w:lang w:val="en-US" w:eastAsia="en-US" w:bidi="en-US"/>
          <w:w w:val="100"/>
          <w:spacing w:val="0"/>
          <w:color w:val="000000"/>
          <w:position w:val="0"/>
        </w:rPr>
        <w:t>(Krasnow-N):</w:t>
      </w:r>
    </w:p>
    <w:p>
      <w:pPr>
        <w:pStyle w:val="Style30"/>
        <w:numPr>
          <w:ilvl w:val="0"/>
          <w:numId w:val="7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наблюдается типичная картина дилатационной кардиомиопатии, при биопсии базофильные гра</w:t>
        <w:softHyphen/>
        <w:t>нулярные включения в миокарде;</w:t>
      </w:r>
    </w:p>
    <w:p>
      <w:pPr>
        <w:pStyle w:val="Style30"/>
        <w:numPr>
          <w:ilvl w:val="0"/>
          <w:numId w:val="71"/>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рано формируется катаракта и различные изме</w:t>
        <w:softHyphen/>
        <w:t>нения позвоночника (суставная дегенерация, не</w:t>
        <w:softHyphen/>
        <w:t>регулярность межпозвонковых дисков).</w:t>
      </w:r>
    </w:p>
    <w:p>
      <w:pPr>
        <w:pStyle w:val="Style30"/>
        <w:numPr>
          <w:ilvl w:val="0"/>
          <w:numId w:val="69"/>
        </w:numPr>
        <w:tabs>
          <w:tab w:leader="none" w:pos="58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Дилатационная кардиомиопатия, пролапс мит</w:t>
        <w:softHyphen/>
        <w:t xml:space="preserve">рального клапана и гипертауринурия </w:t>
      </w:r>
      <w:r>
        <w:rPr>
          <w:lang w:val="en-US" w:eastAsia="en-US" w:bidi="en-US"/>
          <w:w w:val="100"/>
          <w:spacing w:val="0"/>
          <w:color w:val="000000"/>
          <w:position w:val="0"/>
        </w:rPr>
        <w:t>(Darsee-JR):</w:t>
      </w:r>
    </w:p>
    <w:p>
      <w:pPr>
        <w:pStyle w:val="Style30"/>
        <w:numPr>
          <w:ilvl w:val="0"/>
          <w:numId w:val="7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ДКМП и пролапс митрального клапана является редким сочетанием и связано с недостаточностью в сердечных тканях таурина;</w:t>
      </w:r>
    </w:p>
    <w:p>
      <w:pPr>
        <w:pStyle w:val="Style30"/>
        <w:numPr>
          <w:ilvl w:val="0"/>
          <w:numId w:val="71"/>
        </w:numPr>
        <w:tabs>
          <w:tab w:leader="none" w:pos="69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кардиопатия быстро прогрессирует и в детском возрасте может привести к внезапной сердечной смерти;</w:t>
      </w:r>
    </w:p>
    <w:p>
      <w:pPr>
        <w:pStyle w:val="Style30"/>
        <w:numPr>
          <w:ilvl w:val="0"/>
          <w:numId w:val="7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при биопсии определяется значительное сниже</w:t>
        <w:softHyphen/>
        <w:t>ние таурина в миокарде, фиброз миокарда и па</w:t>
        <w:softHyphen/>
        <w:t>пиллярных мышц;</w:t>
      </w:r>
    </w:p>
    <w:p>
      <w:pPr>
        <w:pStyle w:val="Style30"/>
        <w:numPr>
          <w:ilvl w:val="0"/>
          <w:numId w:val="71"/>
        </w:numPr>
        <w:tabs>
          <w:tab w:leader="none" w:pos="71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пролапс митрального клапана носит голосисто</w:t>
        <w:softHyphen/>
        <w:t>лический характер, часто не сопровождается ти</w:t>
        <w:softHyphen/>
        <w:t>пичной аускультативной картиной;</w:t>
      </w:r>
    </w:p>
    <w:p>
      <w:pPr>
        <w:pStyle w:val="Style30"/>
        <w:numPr>
          <w:ilvl w:val="0"/>
          <w:numId w:val="71"/>
        </w:numPr>
        <w:tabs>
          <w:tab w:leader="none" w:pos="69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 моче определяется резкое (в 5-7 раз) увеличение экскреции таурина.</w:t>
      </w:r>
    </w:p>
    <w:p>
      <w:pPr>
        <w:pStyle w:val="Style30"/>
        <w:numPr>
          <w:ilvl w:val="0"/>
          <w:numId w:val="69"/>
        </w:numPr>
        <w:tabs>
          <w:tab w:leader="none" w:pos="231"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Реже встречается Х-сцепленная форма наследования, характеризующаяся ранним возникновением кар</w:t>
        <w:softHyphen/>
        <w:t xml:space="preserve">диопатии у мальчиков </w:t>
      </w:r>
      <w:r>
        <w:rPr>
          <w:lang w:val="en-US" w:eastAsia="en-US" w:bidi="en-US"/>
          <w:w w:val="100"/>
          <w:spacing w:val="0"/>
          <w:color w:val="000000"/>
          <w:position w:val="0"/>
        </w:rPr>
        <w:t>(Berko-BA).</w:t>
      </w:r>
    </w:p>
    <w:p>
      <w:pPr>
        <w:pStyle w:val="Style30"/>
        <w:numPr>
          <w:ilvl w:val="0"/>
          <w:numId w:val="69"/>
        </w:numPr>
        <w:tabs>
          <w:tab w:leader="none" w:pos="58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Дилатационная кардиомиопатия и аномалии ге</w:t>
        <w:softHyphen/>
        <w:t xml:space="preserve">ниталий </w:t>
      </w:r>
      <w:r>
        <w:rPr>
          <w:lang w:val="en-US" w:eastAsia="en-US" w:bidi="en-US"/>
          <w:w w:val="100"/>
          <w:spacing w:val="0"/>
          <w:color w:val="000000"/>
          <w:position w:val="0"/>
        </w:rPr>
        <w:t>(Najjar-SS):</w:t>
      </w:r>
    </w:p>
    <w:p>
      <w:pPr>
        <w:pStyle w:val="Style30"/>
        <w:numPr>
          <w:ilvl w:val="0"/>
          <w:numId w:val="7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ДКМП наблюдается у мальчиков. Имеет место отставание в умственном развитии, гипоплазия ге</w:t>
        <w:softHyphen/>
        <w:t>ниталий. Кардиомиопатия дилатационного типа носит медленно прогрессирующий характер.</w:t>
      </w:r>
    </w:p>
    <w:p>
      <w:pPr>
        <w:pStyle w:val="Style30"/>
        <w:numPr>
          <w:ilvl w:val="0"/>
          <w:numId w:val="69"/>
        </w:numPr>
        <w:tabs>
          <w:tab w:leader="none" w:pos="231"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Ни в одном случае не наблюдалось передачи заболе</w:t>
        <w:softHyphen/>
        <w:t xml:space="preserve">вания мужчина-мужчине </w:t>
      </w:r>
      <w:r>
        <w:rPr>
          <w:lang w:val="en-US" w:eastAsia="en-US" w:bidi="en-US"/>
          <w:w w:val="100"/>
          <w:spacing w:val="0"/>
          <w:color w:val="000000"/>
          <w:position w:val="0"/>
        </w:rPr>
        <w:t>(Mestroni-L).</w:t>
      </w:r>
    </w:p>
    <w:p>
      <w:pPr>
        <w:pStyle w:val="Style30"/>
        <w:numPr>
          <w:ilvl w:val="0"/>
          <w:numId w:val="69"/>
        </w:numPr>
        <w:tabs>
          <w:tab w:leader="none" w:pos="231"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ДКМП может быть связана с делецией или точечной мутацией митохондриальной ДНК.</w:t>
      </w:r>
    </w:p>
    <w:p>
      <w:pPr>
        <w:pStyle w:val="Style30"/>
        <w:numPr>
          <w:ilvl w:val="0"/>
          <w:numId w:val="69"/>
        </w:numPr>
        <w:tabs>
          <w:tab w:leader="none" w:pos="512"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Известны наследственные формы дилатационной кардиомиопатии, связанные с хромосомными абер</w:t>
        <w:softHyphen/>
        <w:t>рациями:</w:t>
      </w:r>
    </w:p>
    <w:p>
      <w:pPr>
        <w:pStyle w:val="Style30"/>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 xml:space="preserve">• Дилатационная кардиомиопатия при перицентри- ческой инверсии 5 хромосомы </w:t>
      </w:r>
      <w:r>
        <w:rPr>
          <w:lang w:val="en-US" w:eastAsia="en-US" w:bidi="en-US"/>
          <w:w w:val="100"/>
          <w:spacing w:val="0"/>
          <w:color w:val="000000"/>
          <w:position w:val="0"/>
        </w:rPr>
        <w:t>Eberle-F:</w:t>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 кардиомиопатия носит медленно прогрессирую</w:t>
        <w:softHyphen/>
        <w:t>щий характер с развитием симптомов застойной сердечной недостаточности к 17 годам. При кари- отипировании выявляется перицентрическая ин</w:t>
        <w:softHyphen/>
        <w:t>версия 5 хромосомы.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наследования не установлен.</w:t>
      </w:r>
    </w:p>
    <w:p>
      <w:pPr>
        <w:pStyle w:val="Style30"/>
        <w:numPr>
          <w:ilvl w:val="0"/>
          <w:numId w:val="69"/>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Наследственные дилатационные кардиомиопатии мо</w:t>
        <w:softHyphen/>
        <w:t>гут быть связаны с патологией митохондрий (см. главу). Митохондриальная форма дилатационной кардиомио</w:t>
        <w:softHyphen/>
        <w:t>патии должна быть заподозрена при наличии следую</w:t>
        <w:softHyphen/>
        <w:t>щих клинико-лабораторных маркеров: мышечная ги</w:t>
        <w:softHyphen/>
        <w:t>потония (миопатический профиль ЭЭГ), гипоглике</w:t>
        <w:softHyphen/>
        <w:t>мия, печеночная энцефалопатия или стойкая гепато- мегалия, несмотря на лечение диуретиками, лактатаци</w:t>
        <w:softHyphen/>
        <w:t xml:space="preserve">доз. Подтверждает диагноз наличие лохмато-красных </w:t>
      </w:r>
      <w:r>
        <w:rPr>
          <w:lang w:val="en-US" w:eastAsia="en-US" w:bidi="en-US"/>
          <w:w w:val="100"/>
          <w:spacing w:val="0"/>
          <w:color w:val="000000"/>
          <w:position w:val="0"/>
        </w:rPr>
        <w:t xml:space="preserve">(«ragged-red») </w:t>
      </w:r>
      <w:r>
        <w:rPr>
          <w:lang w:val="ru-RU" w:eastAsia="ru-RU" w:bidi="ru-RU"/>
          <w:w w:val="100"/>
          <w:spacing w:val="0"/>
          <w:color w:val="000000"/>
          <w:position w:val="0"/>
        </w:rPr>
        <w:t>волокон при биопсии скелетной мышцы.</w:t>
      </w:r>
    </w:p>
    <w:p>
      <w:pPr>
        <w:pStyle w:val="Style30"/>
        <w:numPr>
          <w:ilvl w:val="0"/>
          <w:numId w:val="69"/>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 дилатационная кардиомиопатия связана с сис</w:t>
        <w:softHyphen/>
        <w:t>темной карнитиновой недостаточностью, дефицитом карнитиновых трансфераз, структурными аномалия</w:t>
        <w:softHyphen/>
        <w:t>ми митохондрий (хроническая прогрессирующая на</w:t>
        <w:softHyphen/>
        <w:t>ружная офтальмоплегия, дилатационная кардиомио</w:t>
        <w:softHyphen/>
        <w:t>патия с нейтропенией и гипостатурой).</w:t>
      </w:r>
    </w:p>
    <w:p>
      <w:pPr>
        <w:pStyle w:val="Style30"/>
        <w:numPr>
          <w:ilvl w:val="0"/>
          <w:numId w:val="69"/>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Дилатационная кардиомиопатия с высокой частотой возникает при наследственных нейромышечных за</w:t>
        <w:softHyphen/>
        <w:t>болеваниях (см. главу). Наиболее часто она наблюда</w:t>
        <w:softHyphen/>
        <w:t>ется при мышечных дистрофиях Дюшенна, Беккера, Эмери-Дрейфуса, немалиновой и миотубулярной миопатиях. Характерно, что у детей с нейромышеч</w:t>
        <w:softHyphen/>
        <w:t>ными заболеваниями болезнь может манифестиро</w:t>
        <w:softHyphen/>
        <w:t>вать преобладанием кардиальных симптомов кардио</w:t>
        <w:softHyphen/>
        <w:t>миопатии, а симптомы мышечной патологии появля</w:t>
        <w:softHyphen/>
        <w:t>ются значительно позже. Существует форма дилата</w:t>
        <w:softHyphen/>
        <w:t>ционной кардиомиопатии, когда поражается только сердце, а симптоматика нейромышечного заболева</w:t>
        <w:softHyphen/>
        <w:t>ния отсутствует. Она наблюдается у девочек — носи</w:t>
        <w:softHyphen/>
        <w:t xml:space="preserve">телей гена дистрофии Дюшенна </w:t>
      </w:r>
      <w:r>
        <w:rPr>
          <w:lang w:val="en-US" w:eastAsia="en-US" w:bidi="en-US"/>
          <w:w w:val="100"/>
          <w:spacing w:val="0"/>
          <w:color w:val="000000"/>
          <w:position w:val="0"/>
        </w:rPr>
        <w:t xml:space="preserve">[Wiegand-V] </w:t>
      </w:r>
      <w:r>
        <w:rPr>
          <w:lang w:val="ru-RU" w:eastAsia="ru-RU" w:bidi="ru-RU"/>
          <w:w w:val="100"/>
          <w:spacing w:val="0"/>
          <w:color w:val="000000"/>
          <w:position w:val="0"/>
        </w:rPr>
        <w:t xml:space="preserve">или гена мышечной дистрофии Беккера </w:t>
      </w:r>
      <w:r>
        <w:rPr>
          <w:lang w:val="en-US" w:eastAsia="en-US" w:bidi="en-US"/>
          <w:w w:val="100"/>
          <w:spacing w:val="0"/>
          <w:color w:val="000000"/>
          <w:position w:val="0"/>
        </w:rPr>
        <w:t>[Palmucci L].</w:t>
      </w:r>
    </w:p>
    <w:p>
      <w:pPr>
        <w:pStyle w:val="Style30"/>
        <w:numPr>
          <w:ilvl w:val="0"/>
          <w:numId w:val="69"/>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Дилатационные кардиомиопатии, связанные с на</w:t>
        <w:softHyphen/>
        <w:t>следственными заболеваниями обмена веществ на</w:t>
        <w:softHyphen/>
        <w:t>блюдаются крайне редко. Нарушения углеводного, белкового и жирового обмена, как правило, приводят к отложению депозитов в сердечной мышце с форми</w:t>
        <w:softHyphen/>
        <w:t>рованием гипертрофической или рестриктивной кар</w:t>
        <w:softHyphen/>
        <w:t xml:space="preserve">диомиопатии. Лишь отдельные формы лизосомаль- ного гликогеноза и </w:t>
      </w:r>
      <w:r>
        <w:rPr>
          <w:lang w:val="en-US" w:eastAsia="en-US" w:bidi="en-US"/>
          <w:w w:val="100"/>
          <w:spacing w:val="0"/>
          <w:color w:val="000000"/>
          <w:position w:val="0"/>
        </w:rPr>
        <w:t xml:space="preserve">GM1 </w:t>
      </w:r>
      <w:r>
        <w:rPr>
          <w:lang w:val="ru-RU" w:eastAsia="ru-RU" w:bidi="ru-RU"/>
          <w:w w:val="100"/>
          <w:spacing w:val="0"/>
          <w:color w:val="000000"/>
          <w:position w:val="0"/>
        </w:rPr>
        <w:t xml:space="preserve">ганглиозидоза могут обусло - вить формирование дилатационной кардиомиопатии </w:t>
      </w:r>
      <w:r>
        <w:rPr>
          <w:lang w:val="en-US" w:eastAsia="en-US" w:bidi="en-US"/>
          <w:w w:val="100"/>
          <w:spacing w:val="0"/>
          <w:color w:val="000000"/>
          <w:position w:val="0"/>
        </w:rPr>
        <w:t xml:space="preserve">[Servidei-S, Simma-B </w:t>
      </w:r>
      <w:r>
        <w:rPr>
          <w:lang w:val="ru-RU" w:eastAsia="ru-RU" w:bidi="ru-RU"/>
          <w:w w:val="100"/>
          <w:spacing w:val="0"/>
          <w:color w:val="000000"/>
          <w:position w:val="0"/>
        </w:rPr>
        <w: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pict>
          <v:shape id="_x0000_s1424" type="#_x0000_t75" style="position:absolute;margin-left:131.15pt;margin-top:736.8pt;width:209.75pt;height:14.9pt;z-index:-125829113;mso-wrap-distance-left:124.1pt;mso-wrap-distance-right:148.1pt;mso-wrap-distance-bottom:10.8pt;mso-position-horizontal-relative:margin;mso-position-vertical-relative:margin" wrapcoords="0 0 21600 0 21600 21600 0 21600 0 0">
            <v:imagedata r:id="rId659" r:href="rId660"/>
            <w10:wrap type="topAndBottom" anchorx="margin" anchory="margin"/>
          </v:shape>
        </w:pict>
      </w:r>
      <w:r>
        <w:rPr>
          <w:lang w:val="ru-RU" w:eastAsia="ru-RU" w:bidi="ru-RU"/>
          <w:w w:val="100"/>
          <w:spacing w:val="0"/>
          <w:color w:val="000000"/>
          <w:position w:val="0"/>
        </w:rPr>
        <w:t>Клиническая симптоматика наследственной дилатаци</w:t>
        <w:softHyphen/>
        <w:t>онной кардиомиопатии вариабельна и определяется харак</w:t>
        <w:softHyphen/>
        <w:t>тером течения болезни. Возможно длительное бессимптом</w:t>
        <w:softHyphen/>
        <w:t>ное течение, так называемая «коварная», подстерегающая кардиомиопатия. Кардиомегалия выявляется случайно при рентгенологическом или эхокардиографическом исследо</w:t>
        <w:softHyphen/>
        <w:t>ваниях. Однако после появления клинических признаков недостаточности кровообращения довольно быстро насту</w:t>
        <w:softHyphen/>
        <w:t>пает летальный исход.</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Встречаются чаще всего больные с медленно прогресси</w:t>
        <w:softHyphen/>
        <w:t>рующими симптомами сердечной недостаточности. К на</w:t>
        <w:softHyphen/>
        <w:t>чальным признакам при таком течении дилатационной кардиомиопатии относят одышку при физической нагруз</w:t>
        <w:softHyphen/>
        <w:t>ке, протодиастолический ритм галопа, тахикардию. В по</w:t>
        <w:softHyphen/>
        <w:t>следующем болезнь характеризуется постоянной одышкой, бледностью кожных покровов, потливостью. Границы сердца значительно расширены, кроме ритма галопа выслу</w:t>
        <w:softHyphen/>
        <w:t>шивается систолический шум относительной недостаточ</w:t>
        <w:softHyphen/>
        <w:t>ности митрального клапана. В нижних отделах легких по</w:t>
        <w:softHyphen/>
        <w:t>стоянно выслушиваются застойные хрипы в легких. Наря</w:t>
        <w:softHyphen/>
        <w:t>ду с левожелудочковой имеют место признаки правожелу</w:t>
        <w:softHyphen/>
        <w:t>дочковой недостаточности, происходит увеличение печени и селезенки (чаще у детей раннего возраста), возникают отеки на нижних конечностях, возможно появление асци</w:t>
        <w:softHyphen/>
        <w:t>та, жидкости в полости перикарда, плевральных полостях. Признаками правожелудочковой недостаточности являют</w:t>
        <w:softHyphen/>
        <w:t>ся также тошнота, рвота, боли в животе.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Заболевание отличается рефрактерным течением недо</w:t>
        <w:softHyphen/>
        <w:t>статочности кровообращения с отсутствием стойкого эф</w:t>
        <w:softHyphen/>
        <w:t>фекта от активного лечения сердечными гликозидами и мо</w:t>
        <w:softHyphen/>
        <w:t>чегонными средствами. Примерно у 10-20% больных раз</w:t>
        <w:softHyphen/>
        <w:t>вивается хроническая непароксизмальная суправентрику</w:t>
        <w:softHyphen/>
        <w:t>лярная тахикардия или мерцательная аритмия, возможны приступы пароксизмальной тахикардии. Тромбоэмболиче</w:t>
        <w:softHyphen/>
        <w:t>ские осложнения с развитием церебральных инсультов воз</w:t>
        <w:softHyphen/>
        <w:t>никают у 10% больных. Продолжительность жизни таких больных после установления диагноза обычно не превыша</w:t>
        <w:softHyphen/>
        <w:t>ет 3-5 лет.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фоне адекватной терапии дилатационной кардио</w:t>
        <w:softHyphen/>
        <w:t>миопатии возможно формирование еще одного варианта течения — рецидивирующего, когда клинические признаки недостаточности кровообращения временно исчезают, од</w:t>
        <w:softHyphen/>
        <w:t>нако кардиомегалия стойко сохраняется.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 ЭКГ типичны признаки перегрузки миокарда левого желудочка и умеренной перегрузки предсердий. Вольтаж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может быть как высоким (при наличии компенсаторной гипертрофии миокарда, так и сниженным (при диффузном кардиосклерозе). Соотношением гипер</w:t>
        <w:softHyphen/>
        <w:t>трофии миокарда), кардиосклероза и уровнем коронарного кровотока определяется состояние обменных процессов в миокарде; зубцы Т могут быть положительными, сгла</w:t>
        <w:softHyphen/>
        <w:t>женными, изоэлектричными, двухфазными, отрицатель</w:t>
        <w:softHyphen/>
        <w:t xml:space="preserve">ными. Сегмент </w:t>
      </w:r>
      <w:r>
        <w:rPr>
          <w:lang w:val="en-US" w:eastAsia="en-US" w:bidi="en-US"/>
          <w:w w:val="100"/>
          <w:spacing w:val="0"/>
          <w:color w:val="000000"/>
          <w:position w:val="0"/>
        </w:rPr>
        <w:t xml:space="preserve">ST </w:t>
      </w:r>
      <w:r>
        <w:rPr>
          <w:lang w:val="ru-RU" w:eastAsia="ru-RU" w:bidi="ru-RU"/>
          <w:w w:val="100"/>
          <w:spacing w:val="0"/>
          <w:color w:val="000000"/>
          <w:position w:val="0"/>
        </w:rPr>
        <w:t>обычно смещен вниз от изоэлектричес</w:t>
        <w:softHyphen/>
        <w:t>кой линии, что косвенно характеризует недостаточность субэндокардиального кровоснабжения миокарда. Возмож</w:t>
        <w:softHyphen/>
        <w:t>ны нарушения сердечного ритма и проводимости: политоп- ные экстрасистолы, атриовентрикулярные, внутрижелу</w:t>
        <w:softHyphen/>
        <w:t>дочковые блокады, мерцание, трепетание предсердий. Од</w:t>
        <w:softHyphen/>
        <w:t>ним из электрокардиографических маркеров семейной ДКМП является блокада левой ножки пучка Гиса в сочета</w:t>
        <w:softHyphen/>
        <w:t>нии с отклонением электрической оси сердца вправо.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рентгенологическом исследовании у больных с се</w:t>
        <w:softHyphen/>
        <w:t>мейной ДКМП отмечается кардиомегалия, увеличение желудочков, преимущественно левого, и левого предсер</w:t>
        <w:softHyphen/>
        <w:t>дия. Тень сердца шаровидная, порой очень больших раз</w:t>
        <w:softHyphen/>
        <w:t>меров («бычье сердце»), в косых проекциях значительно уменьшены ретростернальное и ретрокардиальное про</w:t>
        <w:softHyphen/>
        <w:t>странства.</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Эхокардиография: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 выявляет большой, округлой формы левый желудочек с гипокинезией его стенок. Конечно сис</w:t>
        <w:softHyphen/>
        <w:t>толический и конечно диастолический диаметры левого желудочка увеличены, ударный выброс и фракция выброса снижены. Имеет место дилатация левого предсердия (осо</w:t>
        <w:softHyphen/>
        <w:t>бенно при относительной недостаточности митрального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Допплерэхокардиография позволяет определить степень нарушения систолической и диастолической функции ле</w:t>
        <w:softHyphen/>
        <w:t>вого желудочка, сопутствующую митральную регургитацию и степень легочной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Зондирование полостей сердца и ангиокардиография выявляют значительное уменьшение ударного объема и фракции выброса при увеличении конечных систоличес</w:t>
        <w:softHyphen/>
        <w:t>кого и диастолического объемов левого желудочка, а также конечного диастолического давления в левом желудочке.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Факторами неблагоприятного течения ДКМП у детей являются:</w:t>
      </w:r>
    </w:p>
    <w:p>
      <w:pPr>
        <w:pStyle w:val="Style30"/>
        <w:numPr>
          <w:ilvl w:val="0"/>
          <w:numId w:val="6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Электрокардиографические критерии: полиморфные желудочковые экстрасистолы; групповые желудочко</w:t>
        <w:softHyphen/>
        <w:t>вые экстрасистолы; залпы желудочковой тахикардии; ранние желудочковые экстрасистолы; блокада левой ветви пучка Гиса; стойкие выраженные изменения конечной части желудочкового комплекса ишемиче</w:t>
        <w:softHyphen/>
        <w:t>ского характера; «инфарктоподобные» изменения на ЭКГ.</w:t>
      </w:r>
    </w:p>
    <w:p>
      <w:pPr>
        <w:pStyle w:val="Style30"/>
        <w:numPr>
          <w:ilvl w:val="0"/>
          <w:numId w:val="6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Эхокардиографические критерии: увеличение конеч - ного диастолического диаметра левого желудочка бо</w:t>
        <w:softHyphen/>
        <w:t>лее 5,0 см; снижение фракции выброса менее 0,3; вы</w:t>
        <w:softHyphen/>
        <w:t>сокая легочная гипертензия; акинезия задней стенки левого желудочка с проявлениями фиброэластоза эн</w:t>
        <w:softHyphen/>
        <w:t>докарда.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pict>
          <v:shape id="_x0000_s1425" type="#_x0000_t75" style="position:absolute;margin-left:148.8pt;margin-top:736.8pt;width:209.75pt;height:14.9pt;z-index:-125829112;mso-wrap-distance-left:148.1pt;mso-wrap-distance-right:136.8pt;mso-wrap-distance-bottom:10.8pt;mso-position-horizontal-relative:margin;mso-position-vertical-relative:margin" wrapcoords="0 0 21600 0 21600 21600 0 21600 0 0">
            <v:imagedata r:id="rId661" r:href="rId662"/>
            <w10:wrap type="topAndBottom" anchorx="margin" anchory="margin"/>
          </v:shape>
        </w:pict>
      </w:r>
      <w:r>
        <w:rPr>
          <w:lang w:val="ru-RU" w:eastAsia="ru-RU" w:bidi="ru-RU"/>
          <w:w w:val="100"/>
          <w:spacing w:val="0"/>
          <w:color w:val="000000"/>
          <w:position w:val="0"/>
        </w:rPr>
        <w:t>Детям с дилатационной кардиомиопатией показан по</w:t>
        <w:softHyphen/>
        <w:t>стельный режим при нарастании сердечной недостаточно</w:t>
        <w:softHyphen/>
        <w:t>сти во избежание тромбоэмболических осложнений. Диета предполагает исключение экстрактивных веществ, продук</w:t>
        <w:softHyphen/>
        <w:t>тов, способствующих задержке жидкости в тканях. Назна</w:t>
        <w:softHyphen/>
        <w:t>чение лекарственных препаратов направлено на купирова</w:t>
        <w:softHyphen/>
        <w:t>ние сердечной недостаточности. Ведущее место в терапии занимают препараты трех групп: сердечные гликозиды, ди</w:t>
        <w:softHyphen/>
        <w:t xml:space="preserve">уретики и периферические вазодилататоры. </w:t>
      </w:r>
      <w:r>
        <w:rPr>
          <w:rStyle w:val="CharStyle103"/>
        </w:rPr>
        <w:t>Дигоксин</w:t>
      </w:r>
      <w:r>
        <w:rPr>
          <w:lang w:val="ru-RU" w:eastAsia="ru-RU" w:bidi="ru-RU"/>
          <w:w w:val="100"/>
          <w:spacing w:val="0"/>
          <w:color w:val="000000"/>
          <w:position w:val="0"/>
        </w:rPr>
        <w:t xml:space="preserve"> на</w:t>
        <w:softHyphen/>
        <w:t>значают в меньших без насыщения дозах, т.е. проводится сразу поддерживающая дигитализация. Сердечные глико- зиды дети получают длительный срок в сочетании с препа</w:t>
        <w:softHyphen/>
        <w:t xml:space="preserve">ратами калия и магния </w:t>
      </w:r>
      <w:r>
        <w:rPr>
          <w:rStyle w:val="CharStyle103"/>
        </w:rPr>
        <w:t>(панангин или аспаркам).</w:t>
      </w:r>
      <w:r>
        <w:rPr>
          <w:lang w:val="ru-RU" w:eastAsia="ru-RU" w:bidi="ru-RU"/>
          <w:w w:val="100"/>
          <w:spacing w:val="0"/>
          <w:color w:val="000000"/>
          <w:position w:val="0"/>
        </w:rPr>
        <w:t xml:space="preserve"> Диуретики показаны при </w:t>
      </w:r>
      <w:r>
        <w:rPr>
          <w:lang w:val="en-US" w:eastAsia="en-US" w:bidi="en-US"/>
          <w:w w:val="100"/>
          <w:spacing w:val="0"/>
          <w:color w:val="000000"/>
          <w:position w:val="0"/>
        </w:rPr>
        <w:t xml:space="preserve">II-III </w:t>
      </w:r>
      <w:r>
        <w:rPr>
          <w:lang w:val="ru-RU" w:eastAsia="ru-RU" w:bidi="ru-RU"/>
          <w:w w:val="100"/>
          <w:spacing w:val="0"/>
          <w:color w:val="000000"/>
          <w:position w:val="0"/>
        </w:rPr>
        <w:t xml:space="preserve">степенях сердечной недостаточности; при </w:t>
      </w:r>
      <w:r>
        <w:rPr>
          <w:lang w:val="en-US" w:eastAsia="en-US" w:bidi="en-US"/>
          <w:w w:val="100"/>
          <w:spacing w:val="0"/>
          <w:color w:val="000000"/>
          <w:position w:val="0"/>
        </w:rPr>
        <w:t xml:space="preserve">IIA </w:t>
      </w:r>
      <w:r>
        <w:rPr>
          <w:lang w:val="ru-RU" w:eastAsia="ru-RU" w:bidi="ru-RU"/>
          <w:w w:val="100"/>
          <w:spacing w:val="0"/>
          <w:color w:val="000000"/>
          <w:position w:val="0"/>
        </w:rPr>
        <w:t>степени назначают калийсберегающие диурети</w:t>
        <w:softHyphen/>
        <w:t xml:space="preserve">ки — чаще </w:t>
      </w:r>
      <w:r>
        <w:rPr>
          <w:rStyle w:val="CharStyle103"/>
        </w:rPr>
        <w:t>верошпирон</w:t>
      </w:r>
      <w:r>
        <w:rPr>
          <w:lang w:val="ru-RU" w:eastAsia="ru-RU" w:bidi="ru-RU"/>
          <w:w w:val="100"/>
          <w:spacing w:val="0"/>
          <w:color w:val="000000"/>
          <w:position w:val="0"/>
        </w:rPr>
        <w:t xml:space="preserve"> или </w:t>
      </w:r>
      <w:r>
        <w:rPr>
          <w:rStyle w:val="CharStyle103"/>
        </w:rPr>
        <w:t>триампур.</w:t>
      </w:r>
      <w:r>
        <w:rPr>
          <w:lang w:val="ru-RU" w:eastAsia="ru-RU" w:bidi="ru-RU"/>
          <w:w w:val="100"/>
          <w:spacing w:val="0"/>
          <w:color w:val="000000"/>
          <w:position w:val="0"/>
        </w:rPr>
        <w:t xml:space="preserve"> Нарастание деком</w:t>
        <w:softHyphen/>
        <w:t>пенсации до ПБ</w:t>
      </w:r>
      <w:r>
        <w:rPr>
          <w:lang w:val="en-US" w:eastAsia="en-US" w:bidi="en-US"/>
          <w:w w:val="100"/>
          <w:spacing w:val="0"/>
          <w:color w:val="000000"/>
          <w:position w:val="0"/>
        </w:rPr>
        <w:t xml:space="preserve">-III </w:t>
      </w:r>
      <w:r>
        <w:rPr>
          <w:lang w:val="ru-RU" w:eastAsia="ru-RU" w:bidi="ru-RU"/>
          <w:w w:val="100"/>
          <w:spacing w:val="0"/>
          <w:color w:val="000000"/>
          <w:position w:val="0"/>
        </w:rPr>
        <w:t xml:space="preserve">степени требует подключения салуре- тиков: лазикса </w:t>
      </w:r>
      <w:r>
        <w:rPr>
          <w:rStyle w:val="CharStyle103"/>
        </w:rPr>
        <w:t>(фуросемида).</w:t>
      </w:r>
      <w:r>
        <w:rPr>
          <w:lang w:val="ru-RU" w:eastAsia="ru-RU" w:bidi="ru-RU"/>
          <w:w w:val="100"/>
          <w:spacing w:val="0"/>
          <w:color w:val="000000"/>
          <w:position w:val="0"/>
        </w:rPr>
        <w:t xml:space="preserve"> Из группы периферических вазодилататоров предпочтение отдается блокаторам ангио</w:t>
        <w:softHyphen/>
        <w:t>тензин конвентирующего фермента (каптоприл в дозе 0,3</w:t>
        <w:softHyphen/>
        <w:t>0,8 мг/кг сутки). Наряду с положительным эффектом на центральную и периферическую гемодинамику эти препа</w:t>
        <w:softHyphen/>
        <w:t>раты потенцируют действие мочегонных средств и снижа</w:t>
        <w:softHyphen/>
        <w:t>ют легочную гипертензию. С лечебной и профилактичес</w:t>
        <w:softHyphen/>
        <w:t xml:space="preserve">кой целью (предупреждение тромбоэмболии) назначают лечение слабыми антикоагулянтами и дезагрегантами </w:t>
      </w:r>
      <w:r>
        <w:rPr>
          <w:rStyle w:val="CharStyle103"/>
        </w:rPr>
        <w:t>(пар- мидин, трентал, курантил,</w:t>
      </w:r>
      <w:r>
        <w:rPr>
          <w:lang w:val="ru-RU" w:eastAsia="ru-RU" w:bidi="ru-RU"/>
          <w:w w:val="100"/>
          <w:spacing w:val="0"/>
          <w:color w:val="000000"/>
          <w:position w:val="0"/>
        </w:rPr>
        <w:t xml:space="preserve"> микродозы ацетилсалициловой кислоты). Кроме того назначают препараты, улучшающие</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обменные процессы в миокарде: </w:t>
      </w:r>
      <w:r>
        <w:rPr>
          <w:rStyle w:val="CharStyle103"/>
        </w:rPr>
        <w:t>рибоксин,</w:t>
      </w:r>
      <w:r>
        <w:rPr>
          <w:lang w:val="ru-RU" w:eastAsia="ru-RU" w:bidi="ru-RU"/>
          <w:w w:val="100"/>
          <w:spacing w:val="0"/>
          <w:color w:val="000000"/>
          <w:position w:val="0"/>
        </w:rPr>
        <w:t xml:space="preserve"> биопротекторы </w:t>
      </w:r>
      <w:r>
        <w:rPr>
          <w:rStyle w:val="CharStyle103"/>
        </w:rPr>
        <w:t>(солкосерил).</w:t>
      </w:r>
      <w:r>
        <w:rPr>
          <w:lang w:val="ru-RU" w:eastAsia="ru-RU" w:bidi="ru-RU"/>
          <w:w w:val="100"/>
          <w:spacing w:val="0"/>
          <w:color w:val="000000"/>
          <w:position w:val="0"/>
        </w:rPr>
        <w:t xml:space="preserve"> Всем больным показано назначение </w:t>
      </w:r>
      <w:r>
        <w:rPr>
          <w:rStyle w:val="CharStyle103"/>
        </w:rPr>
        <w:t xml:space="preserve">карнити- на, коэнзима </w:t>
      </w:r>
      <w:r>
        <w:rPr>
          <w:rStyle w:val="CharStyle103"/>
          <w:lang w:val="en-US" w:eastAsia="en-US" w:bidi="en-US"/>
        </w:rPr>
        <w:t>Q10.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6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наследственных форм ДКМП остается не</w:t>
        <w:softHyphen/>
        <w:t>благоприятным. Однако при отдельных формах ДКМП длительная поддерживающая терапия значи</w:t>
        <w:softHyphen/>
        <w:t>тельно продлевает жизнь таких пациентов.</w:t>
      </w:r>
    </w:p>
    <w:p>
      <w:pPr>
        <w:pStyle w:val="Style30"/>
        <w:numPr>
          <w:ilvl w:val="0"/>
          <w:numId w:val="69"/>
        </w:numPr>
        <w:tabs>
          <w:tab w:leader="none" w:pos="520" w:val="left"/>
        </w:tabs>
        <w:widowControl w:val="0"/>
        <w:keepNext w:val="0"/>
        <w:keepLines w:val="0"/>
        <w:shd w:val="clear" w:color="auto" w:fill="auto"/>
        <w:bidi w:val="0"/>
        <w:spacing w:before="0" w:after="193"/>
        <w:ind w:left="0" w:right="0" w:firstLine="280"/>
      </w:pPr>
      <w:r>
        <w:rPr>
          <w:lang w:val="ru-RU" w:eastAsia="ru-RU" w:bidi="ru-RU"/>
          <w:w w:val="100"/>
          <w:spacing w:val="0"/>
          <w:color w:val="000000"/>
          <w:position w:val="0"/>
        </w:rPr>
        <w:t>Известны случаи спонтанного регресса заболевания.</w:t>
      </w:r>
    </w:p>
    <w:p>
      <w:pPr>
        <w:pStyle w:val="Style48"/>
        <w:widowControl w:val="0"/>
        <w:keepNext/>
        <w:keepLines/>
        <w:shd w:val="clear" w:color="auto" w:fill="auto"/>
        <w:bidi w:val="0"/>
        <w:jc w:val="both"/>
        <w:spacing w:before="0" w:after="101" w:line="200" w:lineRule="exact"/>
        <w:ind w:left="0" w:right="0" w:firstLine="0"/>
      </w:pPr>
      <w:bookmarkStart w:id="459" w:name="bookmark459"/>
      <w:r>
        <w:rPr>
          <w:lang w:val="ru-RU" w:eastAsia="ru-RU" w:bidi="ru-RU"/>
          <w:w w:val="100"/>
          <w:spacing w:val="0"/>
          <w:color w:val="000000"/>
          <w:position w:val="0"/>
        </w:rPr>
        <w:t>Карнитиновая кардиомиопатия</w:t>
      </w:r>
      <w:bookmarkEnd w:id="45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Карнитин (бета-гидрокси-гамма-амино-триметилами- номасляная кислота) получил свое наименование от латин</w:t>
        <w:softHyphen/>
        <w:t xml:space="preserve">ского слова </w:t>
      </w:r>
      <w:r>
        <w:rPr>
          <w:lang w:val="en-US" w:eastAsia="en-US" w:bidi="en-US"/>
          <w:w w:val="100"/>
          <w:spacing w:val="0"/>
          <w:color w:val="000000"/>
          <w:position w:val="0"/>
        </w:rPr>
        <w:t xml:space="preserve">came </w:t>
      </w:r>
      <w:r>
        <w:rPr>
          <w:lang w:val="ru-RU" w:eastAsia="ru-RU" w:bidi="ru-RU"/>
          <w:w w:val="100"/>
          <w:spacing w:val="0"/>
          <w:color w:val="000000"/>
          <w:position w:val="0"/>
        </w:rPr>
        <w:t>— мясо, так как впервые был обнаружен в мышечной ткани. Он выполняет центральную роль в ли</w:t>
        <w:softHyphen/>
        <w:t>пидном и энергетическом обмене. Являясь кофактором бе</w:t>
        <w:softHyphen/>
        <w:t>та-окисления жирных кислот, карнитин переносит их через митохондриальные мембраны. Обратимая реакция связы</w:t>
        <w:softHyphen/>
        <w:t>вания карнитина с жирными кислотами катализируется специфическими ферментами — трансферазами. Карнитин также регулирует поступление ацетил-СоА в цикл Кребса при участии фермента карнитин ацетилтрансферазы. Та</w:t>
        <w:softHyphen/>
        <w:t>ким образом, карнитин обеспечивает доставку «топлива» в энергетические системы клеток.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Карнитин синтезируется из лизина и метионина в пече</w:t>
        <w:softHyphen/>
        <w:t>ни и почках, поэтому не относится к витаминам. Однако у детей его синтез может оказаться недостаточным для бур</w:t>
        <w:softHyphen/>
        <w:t>но растущих тканей.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Более 90% карнитина всего организма содержится в ске</w:t>
        <w:softHyphen/>
        <w:t>летных мышцах. Активный транспорт его в мышцы осу</w:t>
        <w:softHyphen/>
        <w:t>ществляется против концентрационного градиента. В плаз</w:t>
        <w:softHyphen/>
        <w:t>ме и моче карнитин представлен в эстерифицированной и свободной форме. У здоровых девочек уровень общего карнитина в плазме составляет 25-65 мкмоль/л, у мальчи</w:t>
        <w:softHyphen/>
        <w:t>ков — 30-70 мкмоль/л, наиболее низкое его содержание в крови отмечается у недоношенных новорожденных, детей на первом году жизни и девочек в пубертатном возрасте. Об - щий дефицит карнитина диагностируют по низкому его со - держанию в плазме (менее 25-30 мкмоль/л) или по увеличе</w:t>
        <w:softHyphen/>
        <w:t>нию соотношения эстерифицированного карнитина к сво</w:t>
        <w:softHyphen/>
        <w:t>бодному более 0,25. Дефицит карнитина в мышцах устанав</w:t>
        <w:softHyphen/>
        <w:t>ливают, если его содержание составляет менее 1,6 ммоль/г, при этом его плазменный уровень может быть не изменен.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Впервые клинические проявления недостаточности кар - нитина были описаны </w:t>
      </w:r>
      <w:r>
        <w:rPr>
          <w:lang w:val="en-US" w:eastAsia="en-US" w:bidi="en-US"/>
          <w:w w:val="100"/>
          <w:spacing w:val="0"/>
          <w:color w:val="000000"/>
          <w:position w:val="0"/>
        </w:rPr>
        <w:t xml:space="preserve">A.G.Engel </w:t>
      </w:r>
      <w:r>
        <w:rPr>
          <w:lang w:val="ru-RU" w:eastAsia="ru-RU" w:bidi="ru-RU"/>
          <w:w w:val="100"/>
          <w:spacing w:val="0"/>
          <w:color w:val="000000"/>
          <w:position w:val="0"/>
        </w:rPr>
        <w:t xml:space="preserve">и </w:t>
      </w:r>
      <w:r>
        <w:rPr>
          <w:lang w:val="en-US" w:eastAsia="en-US" w:bidi="en-US"/>
          <w:w w:val="100"/>
          <w:spacing w:val="0"/>
          <w:color w:val="000000"/>
          <w:position w:val="0"/>
        </w:rPr>
        <w:t xml:space="preserve">C.Angelini </w:t>
      </w:r>
      <w:r>
        <w:rPr>
          <w:lang w:val="ru-RU" w:eastAsia="ru-RU" w:bidi="ru-RU"/>
          <w:w w:val="100"/>
          <w:spacing w:val="0"/>
          <w:color w:val="000000"/>
          <w:position w:val="0"/>
        </w:rPr>
        <w:t>в 1973 году.</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Карнитиновая недостаточность подразделяется на две большие группы: системную и мышечную. У больных с си</w:t>
        <w:softHyphen/>
        <w:t>стемным дефицитом резко понижено содержание карнити</w:t>
        <w:softHyphen/>
        <w:t>на в мышцах и в плазме крови. Больные с мышечной недо</w:t>
        <w:softHyphen/>
        <w:t>статочностью карнитина имеют нормальный его уровень в плазме при низком содержании в мышцах. В свою очередь системная и мышечная (иначе — иопатическая) недоста</w:t>
        <w:softHyphen/>
        <w:t>точность карнитина подразделяется на первичную и вто</w:t>
        <w:softHyphen/>
        <w:t>ричную формы. Первичная карнитиновая недостаточность возникает вследствие генетического дефекта ферментов клеточного карнитинового транспорта или синтеза. Однако наследственные дефекты ферментов, синтезирующих кар</w:t>
        <w:softHyphen/>
        <w:t>нитин, пока не найдены. Многие из ранее описанных на</w:t>
        <w:softHyphen/>
        <w:t>блюдений первичного системного дефицита карнитина в настоящее время рассматриваются как вторичная недо</w:t>
        <w:softHyphen/>
        <w:t>статочность, возникающая из-за первичного генетически</w:t>
        <w:br w:type="column"/>
        <w:t>детерминированного дефицита в митохондриях ацетил- СоА дегидрогеназы жирных кислот со средней длиной уг</w:t>
        <w:softHyphen/>
        <w:t>леводных цепей.</w:t>
      </w:r>
    </w:p>
    <w:p>
      <w:pPr>
        <w:pStyle w:val="Style54"/>
        <w:widowControl w:val="0"/>
        <w:keepNext/>
        <w:keepLines/>
        <w:shd w:val="clear" w:color="auto" w:fill="auto"/>
        <w:bidi w:val="0"/>
        <w:jc w:val="both"/>
        <w:spacing w:before="0" w:after="35" w:line="210" w:lineRule="exact"/>
        <w:ind w:left="0" w:right="0" w:firstLine="0"/>
      </w:pPr>
      <w:bookmarkStart w:id="460" w:name="bookmark460"/>
      <w:r>
        <w:rPr>
          <w:lang w:val="ru-RU" w:eastAsia="ru-RU" w:bidi="ru-RU"/>
          <w:w w:val="100"/>
          <w:spacing w:val="0"/>
          <w:color w:val="000000"/>
          <w:position w:val="0"/>
        </w:rPr>
        <w:t>Первичная карнитиновая недостаточность</w:t>
      </w:r>
      <w:bookmarkEnd w:id="46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Мышечный дефицит карнитина проявляется медленно прогрессирующей миопатией, обычно у детей школьного возраста. Характерно снижение мышечной массы, генера</w:t>
        <w:softHyphen/>
        <w:t>лизованная мышечная слабость в проксимальных отделах конечностей, мышцах шеи и туловища. Мышечная сла</w:t>
        <w:softHyphen/>
        <w:t>бость носит вариабельный характер, иногда внезапно уси</w:t>
        <w:softHyphen/>
        <w:t>ливается с развитием тяжелой дыхательной недостаточнос</w:t>
        <w:softHyphen/>
        <w:t>ти из-за слабости дыхательной мускулатуры. Электромио- грамма выявляет признаки миопатии. В биоптатах скелет</w:t>
        <w:softHyphen/>
        <w:t>ной мышцы при окраске суданом обнаруживается большое количество липидных включений, состоящих преимущест</w:t>
        <w:softHyphen/>
        <w:t>венно из нейтральных жиров. При электронной микроско</w:t>
        <w:softHyphen/>
        <w:t>пии липидные депозиты локализуются преимущественно в мембранных образованиях, наряду с этим часто определя</w:t>
        <w:softHyphen/>
        <w:t>ется изменение структуры митохондрий.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Дифференциальный диагноз карнитиновой миопатии следует проводить с миопатией, обусловленной дефицитом карнитинпалмитил трансферазы (КПТ). Данный фермент катализирует превращение длинной цепи ацетил-СоА в ацетилкарнитин. В отличие от мышечной недостаточнос</w:t>
        <w:softHyphen/>
        <w:t>ти карнитина при дефиците КПТ клиническая картина за</w:t>
        <w:softHyphen/>
        <w:t>болевания проявляется упорными миалгиями и миоглоби</w:t>
        <w:softHyphen/>
        <w:t>нурией, которые обычно возникают в подростковом воз</w:t>
        <w:softHyphen/>
        <w:t>расте после физической нагрузки и длительной ходьбы. В крови при дефиците КПТ может быть увеличен уровень креатининкиназы.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Системный дефицит карнитина проявляется прогресси</w:t>
        <w:softHyphen/>
        <w:t>рующей мышечной слабостью (миопатией), печеночной энцефалопатией, кардиомиопатией, гипогликемией. При</w:t>
        <w:softHyphen/>
        <w:t>знаки системного дефицита карнитина обусловлены край</w:t>
        <w:softHyphen/>
        <w:t>не низким содержанием этого соединения в тканях и устра</w:t>
        <w:softHyphen/>
        <w:t>няются после его введения.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Миопатия наблюдается в 100% системного дефицита карнитина. В отличие от мышечного дефицита карнитина при системной форме гипотония и слабость развиваются в раннем возрасте. Для нее характерна медленно прогрес</w:t>
        <w:softHyphen/>
        <w:t>сирующая мышечная слабость преимущественно прокси</w:t>
        <w:softHyphen/>
        <w:t>мальных отделов конечностей, шеи и туловища. Для этой формы миопатии не характерны боли в мышцах. Обычно у детей с карнитиновой миопатией снижена мышечная масса. Электромиография выявляет типичный миопатиче- ский профиль. В биоптатах скелетной мышцы определяет</w:t>
        <w:softHyphen/>
        <w:t>ся большое число липидных включений (нейтральные жи</w:t>
        <w:softHyphen/>
        <w:t>ры), преимущественно в мышечных волокнах I типа.</w:t>
      </w:r>
    </w:p>
    <w:p>
      <w:pPr>
        <w:pStyle w:val="Style30"/>
        <w:widowControl w:val="0"/>
        <w:keepNext w:val="0"/>
        <w:keepLines w:val="0"/>
        <w:shd w:val="clear" w:color="auto" w:fill="auto"/>
        <w:bidi w:val="0"/>
        <w:spacing w:before="0" w:after="0"/>
        <w:ind w:left="0" w:right="0" w:firstLine="280"/>
      </w:pPr>
      <w:r>
        <w:pict>
          <v:shape id="_x0000_s1426" type="#_x0000_t75" style="position:absolute;margin-left:137.4pt;margin-top:736.8pt;width:209.75pt;height:14.9pt;z-index:-125829111;mso-wrap-distance-left:136.8pt;mso-wrap-distance-right:148.3pt;mso-wrap-distance-bottom:10.8pt;mso-position-horizontal-relative:margin;mso-position-vertical-relative:margin" wrapcoords="0 0 21600 0 21600 21600 0 21600 0 0">
            <v:imagedata r:id="rId663" r:href="rId664"/>
            <w10:wrap type="topAndBottom" anchorx="margin" anchory="margin"/>
          </v:shape>
        </w:pict>
      </w:r>
      <w:r>
        <w:rPr>
          <w:lang w:val="ru-RU" w:eastAsia="ru-RU" w:bidi="ru-RU"/>
          <w:w w:val="100"/>
          <w:spacing w:val="0"/>
          <w:color w:val="000000"/>
          <w:position w:val="0"/>
        </w:rPr>
        <w:t>Печеночная энцефалопатия (синдром Рея) наблюдается в 72% системного дефицита карнитина. В начале развития синдрома 1-2 дня наблюдаются беспричинная рвота, тош</w:t>
        <w:softHyphen/>
        <w:t>нота, анорексия, вялость, появляется апатия, переходящая в сомнолентность. В крови определяются гипогликемия, кетоацидоз, лактатацидоз, увеличенная активность глюта</w:t>
        <w:softHyphen/>
        <w:t>миновых трансаминаз (I стадия). Во II стадии клиническая симптоматика определяется выраженностью гиперактив</w:t>
        <w:softHyphen/>
        <w:t>ности, развиваются беспокойство, напряженность, повы</w:t>
        <w:softHyphen/>
        <w:t>шенная возбудимость, дезориентация. ВIII стадии больные впадают в глубокую кому, развиваются арефлексия, систем</w:t>
        <w:softHyphen/>
        <w:t>ная гипотония. В IV стадии наступают утрата мозговых</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функций, нарушение дыхания, определяются расширен</w:t>
        <w:softHyphen/>
        <w:t>ные и нереагирующие зрачки. В последующем у больных, выведенных из комы, часто возникает задержка умственно</w:t>
        <w:softHyphen/>
        <w:t>го развития и другие неврологические отклонения.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Карнитиновая кардиомиопатия развивается в 30-40% слу</w:t>
        <w:softHyphen/>
        <w:t>чаев системного дефицита. Сердечные проявления при первичном дефиците карнитина могут выступать изолиро</w:t>
        <w:softHyphen/>
        <w:t>ванно или сочетаться с другими симптомами, обычно мио- патией или печеночной энцефалопатией.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Карнитиновая кардиомиопатия характеризуется ранним началом заболевания, наиболее часто в 3-5 мес и при отсут</w:t>
        <w:softHyphen/>
        <w:t>ствии заместительной терапии имеет плохой прогноз. Дети с карнитиновой кардиомиопатией без гипогликемии или энцефалопатии имеют нормальное умственное развитие, у них отсутствуют какие-либо неврологические отклоне</w:t>
        <w:softHyphen/>
        <w:t>ния. Развитие сердечной недостаточности маскирует мы</w:t>
        <w:softHyphen/>
        <w:t>шечную гипотонию. Эпизоды гипогликемии могут задолго предшествовать развитию кардиомиопатии. В клинике встречаются чаще всего больные с симптомами тяжелой сердечной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Признаки сердечной недостаточности проявляются ра</w:t>
        <w:softHyphen/>
        <w:t>но: одышка в покое, увеличение частоты сердечных сокра</w:t>
        <w:softHyphen/>
        <w:t>щений, кардиомегалия, увеличение размеров печени. Од</w:t>
        <w:softHyphen/>
        <w:t>ним из наиболее важных признаков болезни у детей являет</w:t>
        <w:softHyphen/>
        <w:t>ся низкая прибавка в весе, что обусловлено нарастающей сердечной недостаточностью. Поздние стадии заболевания характеризуются постоянной одышкой, бледностью кож</w:t>
        <w:softHyphen/>
        <w:t>ных покровов, потливостью. Границы относительной сер</w:t>
        <w:softHyphen/>
        <w:t>дечной тупости при этом значительно расширены, кроме ритма галопа выслушиваются систолический шум относи</w:t>
        <w:softHyphen/>
        <w:t>тельной недостаточности клапанного аппарата желудоч</w:t>
        <w:softHyphen/>
        <w:t>ков, реже диастолический шум, глухость сердечных тонов, акцент II тона над легочной артерией, тахипноэ, при нарас</w:t>
        <w:softHyphen/>
        <w:t>тающей левожелудочковой недостаточности — застойные хрипы в легких. Заболевание отличается быстрым развити</w:t>
        <w:softHyphen/>
        <w:t>ем недостаточности кровообращения с отсутствием стой</w:t>
        <w:softHyphen/>
        <w:t>кого эффекта от активного лечения сердечными гликозида- ми и мочегонными средствами. Тромбоэмболические ос</w:t>
        <w:softHyphen/>
        <w:t>ложнения возникают у 20-25%. Имеют место признаки правожелудочковой недостаточности, увеличиваются раз</w:t>
        <w:softHyphen/>
        <w:t>меры печени, часто значительно, иногда увеличиваются размеры селезенки, отеки, обычно на ногах, возможно по</w:t>
        <w:softHyphen/>
        <w:t>явление и нарастание асцита, жидкости в полости перикар</w:t>
        <w:softHyphen/>
        <w:t>да, плевральных полостях (при сердечной недостаточности III степени). Часто наблюдаются рвота, боли в животе. Кар</w:t>
        <w:softHyphen/>
        <w:t>нитиновая кардиомиопатия должна быть заподозрена у де</w:t>
        <w:softHyphen/>
        <w:t>тей с кардиомегалией, у которых в динамике заболевания развились предсердные или желудочковые аритмии, что косвенно свидетельствует об отложении липидных депози</w:t>
        <w:softHyphen/>
        <w:t>тов в миокарде.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 ЭКГ определяется высокий вольтаж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за счет компенсаторной гипертрофии субэпикардиаль</w:t>
        <w:softHyphen/>
        <w:t xml:space="preserve">ных слоев миокарда. Обязательным признаком являются смещение сегмента </w:t>
      </w:r>
      <w:r>
        <w:rPr>
          <w:lang w:val="en-US" w:eastAsia="en-US" w:bidi="en-US"/>
          <w:w w:val="100"/>
          <w:spacing w:val="0"/>
          <w:color w:val="000000"/>
          <w:position w:val="0"/>
        </w:rPr>
        <w:t xml:space="preserve">ST </w:t>
      </w:r>
      <w:r>
        <w:rPr>
          <w:lang w:val="ru-RU" w:eastAsia="ru-RU" w:bidi="ru-RU"/>
          <w:w w:val="100"/>
          <w:spacing w:val="0"/>
          <w:color w:val="000000"/>
          <w:position w:val="0"/>
        </w:rPr>
        <w:t>ниже изолинии в стандартных и левых грудных отведениях, отрицательный зубец Т в этих отведени</w:t>
        <w:softHyphen/>
        <w:t xml:space="preserve">ях, однако могут быть «гигантские» зубцы Т, превышающие по величине зубец </w:t>
      </w:r>
      <w:r>
        <w:rPr>
          <w:lang w:val="en-US" w:eastAsia="en-US" w:bidi="en-US"/>
          <w:w w:val="100"/>
          <w:spacing w:val="0"/>
          <w:color w:val="000000"/>
          <w:position w:val="0"/>
        </w:rPr>
        <w:t xml:space="preserve">R </w:t>
      </w:r>
      <w:r>
        <w:rPr>
          <w:lang w:val="ru-RU" w:eastAsia="ru-RU" w:bidi="ru-RU"/>
          <w:w w:val="100"/>
          <w:spacing w:val="0"/>
          <w:color w:val="000000"/>
          <w:position w:val="0"/>
        </w:rPr>
        <w:t>желудочкового комплекса (специфич</w:t>
        <w:softHyphen/>
        <w:t>ный признак карнитиновой кардиомиопатии); признаки ги</w:t>
        <w:softHyphen/>
        <w:t>пертрофии левого желудочка, левого предсердия (рис. 59).</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Рентгенологически определяется кардиомегалия пре</w:t>
        <w:softHyphen/>
        <w:t>имущественно за счет увеличения левого желудочка и лево - го предсердия. Эхокардиография выявляет резкое сниже-</w:t>
      </w:r>
    </w:p>
    <w:p>
      <w:pPr>
        <w:framePr w:h="158" w:wrap="notBeside" w:vAnchor="text" w:hAnchor="text" w:xAlign="center" w:y="1"/>
        <w:widowControl w:val="0"/>
        <w:jc w:val="center"/>
        <w:rPr>
          <w:sz w:val="2"/>
          <w:szCs w:val="2"/>
        </w:rPr>
      </w:pPr>
      <w:r>
        <w:pict>
          <v:shape id="_x0000_s1427" type="#_x0000_t75" style="width:238pt;height:8pt;">
            <v:imagedata r:id="rId665" r:href="rId666"/>
          </v:shape>
        </w:pict>
      </w:r>
    </w:p>
    <w:p>
      <w:pPr>
        <w:widowControl w:val="0"/>
        <w:spacing w:line="1080" w:lineRule="exact"/>
        <w:rPr>
          <w:sz w:val="24"/>
          <w:szCs w:val="24"/>
        </w:rPr>
      </w:pPr>
    </w:p>
    <w:p>
      <w:pPr>
        <w:framePr w:h="1598" w:wrap="notBeside" w:vAnchor="text" w:hAnchor="text" w:xAlign="center" w:y="1"/>
        <w:widowControl w:val="0"/>
        <w:jc w:val="center"/>
        <w:rPr>
          <w:sz w:val="2"/>
          <w:szCs w:val="2"/>
        </w:rPr>
      </w:pPr>
      <w:r>
        <w:pict>
          <v:shape id="_x0000_s1428" type="#_x0000_t75" style="width:238pt;height:80pt;">
            <v:imagedata r:id="rId667" r:href="rId668"/>
          </v:shape>
        </w:pict>
      </w:r>
    </w:p>
    <w:p>
      <w:pPr>
        <w:pStyle w:val="Style120"/>
        <w:framePr w:h="1598"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59. </w:t>
      </w:r>
      <w:r>
        <w:rPr>
          <w:lang w:val="ru-RU" w:eastAsia="ru-RU" w:bidi="ru-RU"/>
          <w:w w:val="100"/>
          <w:spacing w:val="0"/>
          <w:color w:val="000000"/>
          <w:position w:val="0"/>
        </w:rPr>
        <w:t>Электрокардиограмма при карнитиновой кардиомиопа</w:t>
        <w:softHyphen/>
        <w:t>тии: «гигантские» зубцы Т.</w:t>
      </w:r>
    </w:p>
    <w:p>
      <w:pPr>
        <w:widowControl w:val="0"/>
        <w:rPr>
          <w:sz w:val="2"/>
          <w:szCs w:val="2"/>
        </w:rPr>
      </w:pPr>
    </w:p>
    <w:p>
      <w:pPr>
        <w:pStyle w:val="Style30"/>
        <w:widowControl w:val="0"/>
        <w:keepNext w:val="0"/>
        <w:keepLines w:val="0"/>
        <w:shd w:val="clear" w:color="auto" w:fill="auto"/>
        <w:bidi w:val="0"/>
        <w:spacing w:before="681" w:after="0"/>
        <w:ind w:left="0" w:right="0" w:firstLine="0"/>
      </w:pPr>
      <w:r>
        <w:rPr>
          <w:lang w:val="ru-RU" w:eastAsia="ru-RU" w:bidi="ru-RU"/>
          <w:w w:val="100"/>
          <w:spacing w:val="0"/>
          <w:color w:val="000000"/>
          <w:position w:val="0"/>
        </w:rPr>
        <w:t>ние фракции выброса, значительную дилатацию левого же</w:t>
        <w:softHyphen/>
        <w:t>лудочка и левого предсердия, гипокинезию межжелудочко</w:t>
        <w:softHyphen/>
        <w:t>вой перегородки, смещение митрального клапана к задней стенке левого желудочка, уплотнение эхосигнала от эндо</w:t>
        <w:softHyphen/>
        <w:t>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Наряду с дилатационной кардиомиопатией, которая бо</w:t>
        <w:softHyphen/>
        <w:t>лее характерна для детей раннего возраста, в более старшем возрасте карнитиновая недостаточность может проявиться гипертрофической кардиомиопатией.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Гипогликемия развивается у 70-100% детей с системным дефицитом карнитина. Причины гипогликемии при дефи</w:t>
        <w:softHyphen/>
        <w:t>ците карнитина полностью не выяснены. Можно предпо</w:t>
        <w:softHyphen/>
        <w:t>лагать два механизма: 1) подавление процессов глюконео- генеза и кетогенеза; 2) усиление утилизации глюкозы, т.к. глюкоза служит первичным субстратом для всех тканей при нарушении окисления жирных кислот. Во время гипогли</w:t>
        <w:softHyphen/>
        <w:t>кемического криза возникают общая слабость, тахикардия, церебральная дисфункция (повышенная возбудимость, раздражительность). Продолжительная гипогликемия ве</w:t>
        <w:softHyphen/>
        <w:t>дет к угнетению функций ЦНС и развитию комы. В этой связи детям с карнитиновой недостаточностью рекоменду</w:t>
        <w:softHyphen/>
        <w:t>ется контролировать уровень глюкозы в плазме.</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Внезапная смерть наблюдается у 10-20% больных с сис</w:t>
        <w:softHyphen/>
        <w:t>темным дефицитом карнитина, она связана с остановкой сердца в результате нарушения биоэнергетики. Асистолия обусловлена тяжелой гипогликемией или носит аритмоген- ный генез.</w:t>
      </w:r>
    </w:p>
    <w:p>
      <w:pPr>
        <w:pStyle w:val="Style54"/>
        <w:widowControl w:val="0"/>
        <w:keepNext/>
        <w:keepLines/>
        <w:shd w:val="clear" w:color="auto" w:fill="auto"/>
        <w:bidi w:val="0"/>
        <w:jc w:val="both"/>
        <w:spacing w:before="0" w:after="39" w:line="210" w:lineRule="exact"/>
        <w:ind w:left="0" w:right="0" w:firstLine="0"/>
      </w:pPr>
      <w:bookmarkStart w:id="461" w:name="bookmark461"/>
      <w:r>
        <w:rPr>
          <w:lang w:val="ru-RU" w:eastAsia="ru-RU" w:bidi="ru-RU"/>
          <w:w w:val="100"/>
          <w:spacing w:val="0"/>
          <w:color w:val="000000"/>
          <w:position w:val="0"/>
        </w:rPr>
        <w:t>Вторичная карнитиновая недостаточность</w:t>
      </w:r>
      <w:bookmarkEnd w:id="46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часто вторичная карнитиновая недостаточ</w:t>
        <w:softHyphen/>
        <w:t>ность наблюдается при первичных наследственных болез</w:t>
        <w:softHyphen/>
        <w:t>нях обмена веществ, а также при приобретенных состояни</w:t>
        <w:softHyphen/>
        <w:t>ях, влияющих на обмен карнитина. Наследственные пер</w:t>
        <w:softHyphen/>
        <w:t>вичные метаболические заболевания, приводящие к вто</w:t>
        <w:softHyphen/>
        <w:t>ричной карнитиновой недостаточности, условно можно подразделить на три группы: органические ацидемии, нару</w:t>
        <w:softHyphen/>
        <w:t>шение метаболизма жирных кислот, митохондриальная па</w:t>
        <w:softHyphen/>
        <w:t>тология (табл. 14).</w:t>
      </w:r>
    </w:p>
    <w:p>
      <w:pPr>
        <w:pStyle w:val="Style30"/>
        <w:widowControl w:val="0"/>
        <w:keepNext w:val="0"/>
        <w:keepLines w:val="0"/>
        <w:shd w:val="clear" w:color="auto" w:fill="auto"/>
        <w:bidi w:val="0"/>
        <w:spacing w:before="0" w:after="0"/>
        <w:ind w:left="0" w:right="0" w:firstLine="280"/>
        <w:sectPr>
          <w:type w:val="continuous"/>
          <w:pgSz w:w="11900" w:h="16840"/>
          <w:pgMar w:top="1554" w:left="1023" w:right="1119" w:bottom="1789" w:header="0" w:footer="3" w:gutter="0"/>
          <w:rtlGutter w:val="0"/>
          <w:cols w:num="2" w:space="102"/>
          <w:noEndnote/>
          <w:docGrid w:linePitch="360"/>
        </w:sectPr>
      </w:pPr>
      <w:r>
        <w:rPr>
          <w:lang w:val="ru-RU" w:eastAsia="ru-RU" w:bidi="ru-RU"/>
          <w:w w:val="100"/>
          <w:spacing w:val="0"/>
          <w:color w:val="000000"/>
          <w:position w:val="0"/>
        </w:rPr>
        <w:t>Дефицит карнитина при органических ацидемиях обус</w:t>
        <w:softHyphen/>
        <w:t>ловлен расстройствами метаболизма аминокислот, углево-</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60" w:after="60" w:line="240" w:lineRule="exact"/>
        <w:rPr>
          <w:sz w:val="19"/>
          <w:szCs w:val="19"/>
        </w:rPr>
      </w:pPr>
    </w:p>
    <w:p>
      <w:pPr>
        <w:widowControl w:val="0"/>
        <w:rPr>
          <w:sz w:val="2"/>
          <w:szCs w:val="2"/>
        </w:rPr>
        <w:sectPr>
          <w:type w:val="continuous"/>
          <w:pgSz w:w="11900" w:h="16840"/>
          <w:pgMar w:top="1449" w:left="0" w:right="0" w:bottom="192" w:header="0" w:footer="3" w:gutter="0"/>
          <w:rtlGutter w:val="0"/>
          <w:cols w:space="720"/>
          <w:noEndnote/>
          <w:docGrid w:linePitch="360"/>
        </w:sectPr>
      </w:pPr>
    </w:p>
    <w:p>
      <w:pPr>
        <w:widowControl w:val="0"/>
        <w:spacing w:line="645" w:lineRule="exact"/>
      </w:pPr>
      <w:r>
        <w:pict>
          <v:shape id="_x0000_s1429" type="#_x0000_t75" style="position:absolute;margin-left:154.55pt;margin-top:0;width:209.75pt;height:14.9pt;z-index:-251658693;mso-wrap-distance-left:5.pt;mso-wrap-distance-right:5.pt;mso-position-horizontal-relative:margin" wrapcoords="0 0">
            <v:imagedata r:id="rId669" r:href="rId670"/>
            <w10:wrap anchorx="margin"/>
          </v:shape>
        </w:pict>
      </w:r>
    </w:p>
    <w:p>
      <w:pPr>
        <w:widowControl w:val="0"/>
        <w:rPr>
          <w:sz w:val="2"/>
          <w:szCs w:val="2"/>
        </w:rPr>
        <w:sectPr>
          <w:type w:val="continuous"/>
          <w:pgSz w:w="11900" w:h="16840"/>
          <w:pgMar w:top="1449" w:left="893" w:right="1090" w:bottom="192" w:header="0" w:footer="3" w:gutter="0"/>
          <w:rtlGutter w:val="0"/>
          <w:cols w:space="720"/>
          <w:noEndnote/>
          <w:docGrid w:linePitch="360"/>
        </w:sectPr>
      </w:pPr>
    </w:p>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Вторичная карнитиновая недостаточность при первичных метаболических заболеваниях</w:t>
      </w:r>
    </w:p>
    <w:p>
      <w:pPr>
        <w:pStyle w:val="Style139"/>
        <w:framePr w:w="9869"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Таблица 14</w:t>
      </w:r>
    </w:p>
    <w:tbl>
      <w:tblPr>
        <w:tblOverlap w:val="never"/>
        <w:tblLayout w:type="fixed"/>
        <w:jc w:val="center"/>
      </w:tblPr>
      <w:tblGrid>
        <w:gridCol w:w="4306"/>
        <w:gridCol w:w="3778"/>
        <w:gridCol w:w="1786"/>
      </w:tblGrid>
      <w:tr>
        <w:trPr>
          <w:trHeight w:val="240"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Заболевание</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Энзимный дефект</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Тип наследования</w:t>
            </w:r>
          </w:p>
        </w:tc>
      </w:tr>
      <w:tr>
        <w:trPr>
          <w:trHeight w:val="240"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I. Органические ацидемии</w:t>
            </w:r>
          </w:p>
        </w:tc>
        <w:tc>
          <w:tcPr>
            <w:shd w:val="clear" w:color="auto" w:fill="FFFFFF"/>
            <w:tcBorders>
              <w:left w:val="single" w:sz="4"/>
              <w:top w:val="single" w:sz="4"/>
            </w:tcBorders>
            <w:vAlign w:val="top"/>
          </w:tcPr>
          <w:p>
            <w:pPr>
              <w:framePr w:w="9869"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9869" w:wrap="notBeside" w:vAnchor="text" w:hAnchor="text" w:xAlign="center" w:y="1"/>
              <w:widowControl w:val="0"/>
              <w:rPr>
                <w:sz w:val="10"/>
                <w:szCs w:val="10"/>
              </w:rPr>
            </w:pPr>
          </w:p>
        </w:tc>
      </w:tr>
      <w:tr>
        <w:trPr>
          <w:trHeight w:val="427"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Болезнь с запахом мочи кленового сиропа</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Дегидрогеназа кетокислот с разветвленной цепью</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Пропионовая ацидемия</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Пропионил-КоА карбоксилаза</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Метилмалоновая ацидемия</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Метилмалонил-КоА мутаза</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240"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Изовалериановая ацидемия</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Изовалерил-КоА дегидрогеназа</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Множественный карбоксилазный дефицит</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Синтетаза голокарбоксилаз, биотинидаза</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3-гидрокси-3-метилглютаровая ацидурия</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3-гидрокси-3-метилглютарил-КоА лиаза</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240"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3-метилглютаконовая ацидурия</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3-метилглютаконил-КоА гидратаза</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Карбоксипропилцистеинурия</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3-гидроксизобутирил-КоА деацилаза</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427"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Глютаровая ацидурия I типа</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Глютарил-КоА дегидрогеназа</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427"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Глютаровая ацидурия II типа</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Ацил-КоА дегидрогеназа</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240"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II. Нарушение метаболизма жирных кислот</w:t>
            </w:r>
          </w:p>
        </w:tc>
        <w:tc>
          <w:tcPr>
            <w:shd w:val="clear" w:color="auto" w:fill="FFFFFF"/>
            <w:tcBorders>
              <w:left w:val="single" w:sz="4"/>
              <w:top w:val="single" w:sz="4"/>
            </w:tcBorders>
            <w:vAlign w:val="top"/>
          </w:tcPr>
          <w:p>
            <w:pPr>
              <w:framePr w:w="9869"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9869" w:wrap="notBeside" w:vAnchor="text" w:hAnchor="text" w:xAlign="center" w:y="1"/>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Дефицит ацил-КоА дегидрогеназы коротких цепей ЖК</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Ацил-КоА дегидрогеназа коротких цепей</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Дефицит ацил-КоА дегидрогеназы средних цепей ЖК</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Ацил-КоА дегидрогеназа средних цепей</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240"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Дефицит ацил-КоА дегидрогеназы длинных цепей ЖК</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Ацил-КоА дегидрогеназа длинных цепей</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Множественный дефицит ацил-КоА дегидрогеназ</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Ацил-КоА дегидрогеназы</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АР</w:t>
            </w:r>
          </w:p>
        </w:tc>
      </w:tr>
      <w:tr>
        <w:trPr>
          <w:trHeight w:val="235" w:hRule="exact"/>
        </w:trPr>
        <w:tc>
          <w:tcPr>
            <w:shd w:val="clear" w:color="auto" w:fill="FFFFFF"/>
            <w:tcBorders>
              <w:left w:val="single" w:sz="4"/>
              <w:top w:val="single" w:sz="4"/>
            </w:tcBorders>
            <w:vAlign w:val="bottom"/>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III. Патология митохондрий</w:t>
            </w:r>
          </w:p>
        </w:tc>
        <w:tc>
          <w:tcPr>
            <w:shd w:val="clear" w:color="auto" w:fill="FFFFFF"/>
            <w:tcBorders>
              <w:left w:val="single" w:sz="4"/>
              <w:top w:val="single" w:sz="4"/>
            </w:tcBorders>
            <w:vAlign w:val="top"/>
          </w:tcPr>
          <w:p>
            <w:pPr>
              <w:framePr w:w="9869"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9869" w:wrap="notBeside" w:vAnchor="text" w:hAnchor="text" w:xAlign="center" w:y="1"/>
              <w:widowControl w:val="0"/>
              <w:rPr>
                <w:sz w:val="10"/>
                <w:szCs w:val="10"/>
              </w:rPr>
            </w:pPr>
          </w:p>
        </w:tc>
      </w:tr>
      <w:tr>
        <w:trPr>
          <w:trHeight w:val="240"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Дефицит цитохром С оксидазы</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Цитохром С оксидаза</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Мит</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Синдром Кернса-Сейра</w:t>
            </w:r>
          </w:p>
        </w:tc>
        <w:tc>
          <w:tcPr>
            <w:shd w:val="clear" w:color="auto" w:fill="FFFFFF"/>
            <w:tcBorders>
              <w:left w:val="single" w:sz="4"/>
              <w:top w:val="single" w:sz="4"/>
            </w:tcBorders>
            <w:vAlign w:val="top"/>
          </w:tcPr>
          <w:p>
            <w:pPr>
              <w:framePr w:w="9869"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Мит</w:t>
            </w:r>
          </w:p>
        </w:tc>
      </w:tr>
      <w:tr>
        <w:trPr>
          <w:trHeight w:val="235" w:hRule="exact"/>
        </w:trPr>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Дефицит сукцинат-цитохром С оксидоредуктазы</w:t>
            </w:r>
          </w:p>
        </w:tc>
        <w:tc>
          <w:tcPr>
            <w:shd w:val="clear" w:color="auto" w:fill="FFFFFF"/>
            <w:tcBorders>
              <w:lef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Сукцинат-цитохром С оксидоредуктаза</w:t>
            </w:r>
          </w:p>
        </w:tc>
        <w:tc>
          <w:tcPr>
            <w:shd w:val="clear" w:color="auto" w:fill="FFFFFF"/>
            <w:tcBorders>
              <w:left w:val="single" w:sz="4"/>
              <w:right w:val="single" w:sz="4"/>
              <w:top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НУ</w:t>
            </w:r>
          </w:p>
        </w:tc>
      </w:tr>
      <w:tr>
        <w:trPr>
          <w:trHeight w:val="250" w:hRule="exact"/>
        </w:trPr>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Дефицит митохондриальной АТФ-азы</w:t>
            </w:r>
          </w:p>
        </w:tc>
        <w:tc>
          <w:tcPr>
            <w:shd w:val="clear" w:color="auto" w:fill="FFFFFF"/>
            <w:tcBorders>
              <w:lef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Аденозинтрифосфатаза</w:t>
            </w:r>
          </w:p>
        </w:tc>
        <w:tc>
          <w:tcPr>
            <w:shd w:val="clear" w:color="auto" w:fill="FFFFFF"/>
            <w:tcBorders>
              <w:left w:val="single" w:sz="4"/>
              <w:right w:val="single" w:sz="4"/>
              <w:top w:val="single" w:sz="4"/>
              <w:bottom w:val="single" w:sz="4"/>
            </w:tcBorders>
            <w:vAlign w:val="top"/>
          </w:tcPr>
          <w:p>
            <w:pPr>
              <w:pStyle w:val="Style30"/>
              <w:framePr w:w="9869"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НУ</w:t>
            </w:r>
          </w:p>
        </w:tc>
      </w:tr>
    </w:tbl>
    <w:p>
      <w:pPr>
        <w:pStyle w:val="Style96"/>
        <w:framePr w:w="9869" w:wrap="notBeside" w:vAnchor="text" w:hAnchor="text" w:xAlign="center" w:y="1"/>
        <w:widowControl w:val="0"/>
        <w:keepNext w:val="0"/>
        <w:keepLines w:val="0"/>
        <w:shd w:val="clear" w:color="auto" w:fill="auto"/>
        <w:bidi w:val="0"/>
        <w:jc w:val="both"/>
        <w:spacing w:before="0" w:after="0" w:line="202" w:lineRule="exact"/>
        <w:ind w:left="0" w:right="0" w:firstLine="0"/>
      </w:pPr>
      <w:r>
        <w:rPr>
          <w:lang w:val="ru-RU" w:eastAsia="ru-RU" w:bidi="ru-RU"/>
          <w:w w:val="100"/>
          <w:spacing w:val="0"/>
          <w:color w:val="000000"/>
          <w:position w:val="0"/>
        </w:rPr>
        <w:t>Примечание: ТН — тип наследования, АР — аутосомно-рецессивный, Мит — митохондриальный, НУ — не установлен, ЖК — жирные кислоты.</w:t>
      </w:r>
    </w:p>
    <w:p>
      <w:pPr>
        <w:framePr w:w="9869" w:wrap="notBeside" w:vAnchor="text" w:hAnchor="text" w:xAlign="center" w:y="1"/>
        <w:widowControl w:val="0"/>
        <w:rPr>
          <w:sz w:val="2"/>
          <w:szCs w:val="2"/>
        </w:rPr>
      </w:pPr>
    </w:p>
    <w:p>
      <w:pPr>
        <w:widowControl w:val="0"/>
        <w:rPr>
          <w:sz w:val="2"/>
          <w:szCs w:val="2"/>
        </w:rPr>
      </w:pPr>
    </w:p>
    <w:p>
      <w:pPr>
        <w:widowControl w:val="0"/>
        <w:rPr>
          <w:sz w:val="2"/>
          <w:szCs w:val="2"/>
        </w:rPr>
        <w:sectPr>
          <w:pgSz w:w="11900" w:h="16840"/>
          <w:pgMar w:top="1794" w:left="1119" w:right="879" w:bottom="162" w:header="0" w:footer="3" w:gutter="0"/>
          <w:rtlGutter w:val="0"/>
          <w:cols w:space="720"/>
          <w:noEndnote/>
          <w:docGrid w:linePitch="360"/>
        </w:sectPr>
      </w:pPr>
    </w:p>
    <w:p>
      <w:pPr>
        <w:widowControl w:val="0"/>
        <w:rPr>
          <w:sz w:val="2"/>
          <w:szCs w:val="2"/>
        </w:rPr>
      </w:pPr>
      <w:r>
        <w:pict>
          <v:shape id="_x0000_s1430" type="#_x0000_t75" style="position:absolute;margin-left:141.5pt;margin-top:388.3pt;width:209.75pt;height:14.9pt;z-index:-125829110;mso-wrap-distance-left:136.8pt;mso-wrap-distance-right:147.85pt;mso-wrap-distance-bottom:10.8pt;mso-position-horizontal-relative:margin" wrapcoords="0 0 21600 0 21600 21600 0 21600 0 0">
            <v:imagedata r:id="rId671" r:href="rId672"/>
            <w10:wrap type="topAndBottom" anchorx="margin"/>
          </v:shape>
        </w:pic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дов, липидов, а также нарушениями транспорта электронов в дыхательной цепи митохондрий. Большинство органиче</w:t>
        <w:softHyphen/>
        <w:t>ских ацидемий характеризуются накоплением в митохонд</w:t>
        <w:softHyphen/>
        <w:t>риях эстерифицированного КоА. При этом карнитин вы</w:t>
        <w:softHyphen/>
        <w:t>ступает в качестве детоксицирующего вещества, захватывая кислотные остатки от эстерифицированного КоА и превра</w:t>
        <w:softHyphen/>
        <w:t>щая его в свободный коэнзим А. Образовавшийся ацетил- карнитин, а также его соединения с органическими кисло</w:t>
        <w:softHyphen/>
        <w:t>тами (пропионилкарнитин, изовалерилкарнитин и др.) вы</w:t>
        <w:softHyphen/>
        <w:t>водятся с мочой. Но при этом возникает относительная не</w:t>
        <w:softHyphen/>
        <w:t>достаточность свободного карнитина, в крови и моче пре</w:t>
        <w:softHyphen/>
        <w:t>обладают эстерифицированные фракции. В этой связи большинство органических ацидемий сопровождаются вторичной карнитиновой недостаточностью, проявляю</w:t>
        <w:softHyphen/>
        <w:t>щейся мышечной слабостью, кардиомиопатией (наиболее характерной для пропионовой ацидемии), энцефалопати</w:t>
        <w:softHyphen/>
        <w:t xml:space="preserve">ей, гипогликемией. Всем детям с органическими ацидеми- ями показано длительное назначение </w:t>
      </w:r>
      <w:r>
        <w:rPr>
          <w:lang w:val="en-US" w:eastAsia="en-US" w:bidi="en-US"/>
          <w:w w:val="100"/>
          <w:spacing w:val="0"/>
          <w:color w:val="000000"/>
          <w:position w:val="0"/>
        </w:rPr>
        <w:t>L</w:t>
      </w:r>
      <w:r>
        <w:rPr>
          <w:lang w:val="ru-RU" w:eastAsia="ru-RU" w:bidi="ru-RU"/>
          <w:w w:val="100"/>
          <w:spacing w:val="0"/>
          <w:color w:val="000000"/>
          <w:position w:val="0"/>
        </w:rPr>
        <w:t>-карнитина в качес</w:t>
        <w:softHyphen/>
        <w:t>тве естественного «антидота».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Механизм развития карнитиновой недостаточности при дефиците ацил-КоА дегидрогенез полностью не выяснен. При дефекте нормального в-окисления жирных кислот включается омега-окисление и избыточное образование дикарбоксильных кислот, в результате чего развивается не</w:t>
        <w:softHyphen/>
        <w:t>достаточность свободного карнитина в сыворотке и тканях. Наиболее распространенной формой нарушения митохон</w:t>
        <w:softHyphen/>
        <w:t>дриального окисления жирных кислот является дефицит ацил-КоА дегидрогеназы жирных кислот со средней дли</w:t>
        <w:softHyphen/>
        <w:t>ной цепей. Частота этой патологии составляет 1:10 000. Клинически заболевание неотличимо от системного дефи</w:t>
        <w:softHyphen/>
        <w:br w:type="column"/>
        <w:t>цита карнитина. Для него характерны задержка физическо</w:t>
        <w:softHyphen/>
        <w:t>го и нервнопсихического развития, гипогликемия, мышеч</w:t>
        <w:softHyphen/>
        <w:t>ная гипотония, неврологические нарушения, прогрессиру</w:t>
        <w:softHyphen/>
        <w:t>ющая деменция в более поздние сроки, возможно развитие кардиомиопатии. Заболевание нередко заканчивается син</w:t>
        <w:softHyphen/>
        <w:t>дромом внезапной смерти.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Карнитиновая недостаточность описана при большин</w:t>
        <w:softHyphen/>
        <w:t>стве форм митохондриальных болезней. Она возникает вследствие нарушения метаболизма жирных кислот с обра</w:t>
        <w:softHyphen/>
        <w:t>зованием эстерифицированного карнитина, снижения пе</w:t>
        <w:softHyphen/>
        <w:t>ченочного синтеза свободного карнитина. Хотя митохонд</w:t>
        <w:softHyphen/>
        <w:t>риальные болезни могут иметь характерный фенотип (на</w:t>
        <w:softHyphen/>
        <w:t>пример, птоз и атриовентрикулярная блокада при синдро</w:t>
        <w:softHyphen/>
        <w:t>ме Кернса-Сейра), многие симптомы заболеваний обуслов</w:t>
        <w:softHyphen/>
        <w:t>лены непосредственным дефицитом карнитина, в особен</w:t>
        <w:softHyphen/>
        <w:t>ности прогрессирующая мышечная слабость.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Приобретенный дефицит карнитина может наблюдаться при заболеваниях желудочно-кишечного тракта, со про - вождающихся синдромом мальабсорбции или хронической диареей, при заболеваниях печени, почек, при длительном приеме противосудорожных препаратов вальпроевой кис</w:t>
        <w:softHyphen/>
        <w:t>лоты и некоторых антибиотиков. Вторичная карнитиновая недостаточность должна быть заподозрена у детей, имею</w:t>
        <w:softHyphen/>
        <w:t>щих один или несколько из перечисленных симптомов: мышечная слабость, гипогликемия, кардиомиопатия, эн</w:t>
        <w:softHyphen/>
        <w:t>цефалопатия.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Существует «функциональная» (физиологическая) кар- нитиновая недостаточность. Под ней понимают недоста</w:t>
        <w:softHyphen/>
        <w:t>точность, наблюдаемую в отдельные периоды онтогенеза (недоношенные новорожденные, дети грудного возраста,</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пубертатный период) и при некоторых физиологических со - стояниях (беременность, интенсивный физический труд).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Функциональная недостаточность не имеет специфиче</w:t>
        <w:softHyphen/>
        <w:t>ских проявлений. У маленьких детей ее можно заподозрить при задержке физического развития, частых респиратор - ных заболеваниях, снижении мышечного тонуса. У под</w:t>
        <w:softHyphen/>
        <w:t>ростков наблюдается повышенная утомляемость, сниже</w:t>
        <w:softHyphen/>
        <w:t>ние физической работоспособности.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Больным с карнитиновой недостаточностью назначает</w:t>
        <w:softHyphen/>
        <w:t>ся диета с высоким содержанием углеводов, а также про</w:t>
        <w:softHyphen/>
        <w:t>дукты, богатые карнитином (мясо, молоко). Выраженный положительный эффект возникает при заместительной те</w:t>
        <w:softHyphen/>
        <w:t xml:space="preserve">рапии карнитином. С этой целью применяют отечествен - ный препарат карнитина гидрохлорид или зарубежные аналоги </w:t>
      </w:r>
      <w:r>
        <w:rPr>
          <w:lang w:val="en-US" w:eastAsia="en-US" w:bidi="en-US"/>
          <w:w w:val="100"/>
          <w:spacing w:val="0"/>
          <w:color w:val="000000"/>
          <w:position w:val="0"/>
        </w:rPr>
        <w:t xml:space="preserve">(L-Camitine, Levocamitine, Tison, Tartrate, Camitor, Vitaline). </w:t>
      </w:r>
      <w:r>
        <w:rPr>
          <w:lang w:val="ru-RU" w:eastAsia="ru-RU" w:bidi="ru-RU"/>
          <w:w w:val="100"/>
          <w:spacing w:val="0"/>
          <w:color w:val="000000"/>
          <w:position w:val="0"/>
        </w:rPr>
        <w:t>Биологически активной формой считается L-изо</w:t>
        <w:softHyphen/>
        <w:t xml:space="preserve">мер карнитина. Новорожденным и детям раннего возраста рекомендуется назначение </w:t>
      </w:r>
      <w:r>
        <w:rPr>
          <w:lang w:val="en-US" w:eastAsia="en-US" w:bidi="en-US"/>
          <w:w w:val="100"/>
          <w:spacing w:val="0"/>
          <w:color w:val="000000"/>
          <w:position w:val="0"/>
        </w:rPr>
        <w:t>L</w:t>
      </w:r>
      <w:r>
        <w:rPr>
          <w:lang w:val="ru-RU" w:eastAsia="ru-RU" w:bidi="ru-RU"/>
          <w:w w:val="100"/>
          <w:spacing w:val="0"/>
          <w:color w:val="000000"/>
          <w:position w:val="0"/>
        </w:rPr>
        <w:t>-карнитина в начальной суточ</w:t>
        <w:softHyphen/>
        <w:t>ной дозе 50 мг/кг 3-4 раза в день внутрь с постепенным уве</w:t>
        <w:softHyphen/>
        <w:t>личением дозы до 100-200 мг/кг в сутки. При первичной карнитиновой недостаточности дети начинают прибавлять в весе, исчезает гипогликемия, мышечная гипотония. По</w:t>
        <w:softHyphen/>
        <w:t>вторные рентгенологические и эхокардиографические ис</w:t>
        <w:softHyphen/>
        <w:t>следования указывают на нормализацию размеров полос</w:t>
        <w:softHyphen/>
        <w:t>тей сердца и контрактильной способности миокарда. Заме</w:t>
        <w:softHyphen/>
        <w:t>стительная терапия проводится не менее 4-6 мес, в некото</w:t>
        <w:softHyphen/>
        <w:t>рых случаях более 24 мес. При выраженной кардиомегалии заместительная терапия карнитином осуществляется на фоне сердечных гликозидов и диуретиков. Положительный эффект от терапии карнитином может наблюдаться и при вторичных формах дефицита карнитина (наследственные болезни обмена), однако лечение не устраняет ферментный дефект. При лечении вторичной карнитиновой недостаточ</w:t>
        <w:softHyphen/>
        <w:t>ности у детей с органическими ацидемиями наблюдается отчетливый положительный эффект при назначении высо</w:t>
        <w:softHyphen/>
        <w:t>ких доз карнитина, достигающих 350-400 мг/кг в сутки.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 функциональной карнитиновой недостаточности рекомендуют назначение </w:t>
      </w:r>
      <w:r>
        <w:rPr>
          <w:lang w:val="en-US" w:eastAsia="en-US" w:bidi="en-US"/>
          <w:w w:val="100"/>
          <w:spacing w:val="0"/>
          <w:color w:val="000000"/>
          <w:position w:val="0"/>
        </w:rPr>
        <w:t>L</w:t>
      </w:r>
      <w:r>
        <w:rPr>
          <w:lang w:val="ru-RU" w:eastAsia="ru-RU" w:bidi="ru-RU"/>
          <w:w w:val="100"/>
          <w:spacing w:val="0"/>
          <w:color w:val="000000"/>
          <w:position w:val="0"/>
        </w:rPr>
        <w:t>-карнитина до 250 мг/сутки де</w:t>
        <w:softHyphen/>
        <w:t>тям и 500 мг — 1 г в сутки взрослым.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В последние годы карнитин используют для лечения многих заболеваний даже при отсутствии его дефицита в организме. Длительная терапия карнитином эффективна при лечении синдрома Ретта </w:t>
      </w:r>
      <w:r>
        <w:rPr>
          <w:lang w:val="en-US" w:eastAsia="en-US" w:bidi="en-US"/>
          <w:w w:val="100"/>
          <w:spacing w:val="0"/>
          <w:color w:val="000000"/>
          <w:position w:val="0"/>
        </w:rPr>
        <w:t xml:space="preserve">(Rett). </w:t>
      </w:r>
      <w:r>
        <w:rPr>
          <w:lang w:val="ru-RU" w:eastAsia="ru-RU" w:bidi="ru-RU"/>
          <w:w w:val="100"/>
          <w:spacing w:val="0"/>
          <w:color w:val="000000"/>
          <w:position w:val="0"/>
        </w:rPr>
        <w:t>У детей с болезнью Да</w:t>
        <w:softHyphen/>
        <w:t xml:space="preserve">уна длительная терапия </w:t>
      </w:r>
      <w:r>
        <w:rPr>
          <w:lang w:val="en-US" w:eastAsia="en-US" w:bidi="en-US"/>
          <w:w w:val="100"/>
          <w:spacing w:val="0"/>
          <w:color w:val="000000"/>
          <w:position w:val="0"/>
        </w:rPr>
        <w:t xml:space="preserve">L </w:t>
      </w:r>
      <w:r>
        <w:rPr>
          <w:lang w:val="ru-RU" w:eastAsia="ru-RU" w:bidi="ru-RU"/>
          <w:w w:val="100"/>
          <w:spacing w:val="0"/>
          <w:color w:val="000000"/>
          <w:position w:val="0"/>
        </w:rPr>
        <w:t>-ацетилкарнитином улучшает ви</w:t>
        <w:softHyphen/>
        <w:t xml:space="preserve">зуальную память и внимание. Комбинация </w:t>
      </w:r>
      <w:r>
        <w:rPr>
          <w:lang w:val="en-US" w:eastAsia="en-US" w:bidi="en-US"/>
          <w:w w:val="100"/>
          <w:spacing w:val="0"/>
          <w:color w:val="000000"/>
          <w:position w:val="0"/>
        </w:rPr>
        <w:t>L</w:t>
      </w:r>
      <w:r>
        <w:rPr>
          <w:lang w:val="ru-RU" w:eastAsia="ru-RU" w:bidi="ru-RU"/>
          <w:w w:val="100"/>
          <w:spacing w:val="0"/>
          <w:color w:val="000000"/>
          <w:position w:val="0"/>
        </w:rPr>
        <w:t>-карнитина (по 4 г 5 дней) с бетаметазоном (по 2 мг в день) эффективна в антенатальной профилактике респираторного дистресс</w:t>
        <w:softHyphen/>
        <w:t>синдрома новорожденных.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Дефицит карнитин палмитилтрансферазы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Выделяют I (печеночный) и II (мышечный) типы дефи</w:t>
        <w:softHyphen/>
        <w:t>цита.</w:t>
      </w:r>
    </w:p>
    <w:p>
      <w:pPr>
        <w:pStyle w:val="Style30"/>
        <w:widowControl w:val="0"/>
        <w:keepNext w:val="0"/>
        <w:keepLines w:val="0"/>
        <w:shd w:val="clear" w:color="auto" w:fill="auto"/>
        <w:bidi w:val="0"/>
        <w:spacing w:before="0" w:after="0"/>
        <w:ind w:left="0" w:right="0" w:firstLine="280"/>
      </w:pPr>
      <w:r>
        <w:rPr>
          <w:rStyle w:val="CharStyle103"/>
        </w:rPr>
        <w:t>Клиническая симптоматика</w:t>
      </w:r>
      <w:r>
        <w:rPr>
          <w:lang w:val="ru-RU" w:eastAsia="ru-RU" w:bidi="ru-RU"/>
          <w:w w:val="100"/>
          <w:spacing w:val="0"/>
          <w:color w:val="000000"/>
          <w:position w:val="0"/>
        </w:rPr>
        <w:t xml:space="preserve"> проявляется мышечной слабостью, гипогликемией, миоглобинурией, усиливаю</w:t>
        <w:softHyphen/>
        <w:t>щейся при физической нагрузке. Возможно развитие по</w:t>
        <w:softHyphen/>
        <w:t>вторных фебрильных миалгий, хронического панкреатита.</w:t>
      </w:r>
    </w:p>
    <w:p>
      <w:pPr>
        <w:pStyle w:val="Style30"/>
        <w:widowControl w:val="0"/>
        <w:keepNext w:val="0"/>
        <w:keepLines w:val="0"/>
        <w:shd w:val="clear" w:color="auto" w:fill="auto"/>
        <w:bidi w:val="0"/>
        <w:spacing w:before="0" w:after="0"/>
        <w:ind w:left="0" w:right="0" w:firstLine="280"/>
      </w:pPr>
      <w:r>
        <w:rPr>
          <w:rStyle w:val="CharStyle103"/>
        </w:rPr>
        <w:t>Сердечно-сосудистая система.</w:t>
      </w:r>
      <w:r>
        <w:rPr>
          <w:lang w:val="ru-RU" w:eastAsia="ru-RU" w:bidi="ru-RU"/>
          <w:w w:val="100"/>
          <w:spacing w:val="0"/>
          <w:color w:val="000000"/>
          <w:position w:val="0"/>
        </w:rPr>
        <w:t xml:space="preserve"> Поражение сердца прояв</w:t>
        <w:softHyphen/>
        <w:t>ляется дилатационной кардиомиопатией по типу карнити- новой.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Гистологическое исследование скелетной мышцы выяв</w:t>
        <w:softHyphen/>
        <w:t>ляет липидную вакуолизацию в миоцитах.</w:t>
      </w:r>
    </w:p>
    <w:p>
      <w:pPr>
        <w:pStyle w:val="Style30"/>
        <w:widowControl w:val="0"/>
        <w:keepNext w:val="0"/>
        <w:keepLines w:val="0"/>
        <w:shd w:val="clear" w:color="auto" w:fill="auto"/>
        <w:bidi w:val="0"/>
        <w:spacing w:before="0" w:after="0"/>
        <w:ind w:left="0" w:right="0" w:firstLine="280"/>
      </w:pPr>
      <w:r>
        <w:rPr>
          <w:rStyle w:val="CharStyle103"/>
        </w:rPr>
        <w:t>Тип наследования:</w:t>
      </w:r>
      <w:r>
        <w:rPr>
          <w:lang w:val="ru-RU" w:eastAsia="ru-RU" w:bidi="ru-RU"/>
          <w:w w:val="100"/>
          <w:spacing w:val="0"/>
          <w:color w:val="000000"/>
          <w:position w:val="0"/>
        </w:rPr>
        <w:t xml:space="preserve"> аутосомно-рецессивный.</w:t>
      </w:r>
    </w:p>
    <w:p>
      <w:pPr>
        <w:pStyle w:val="Style92"/>
        <w:widowControl w:val="0"/>
        <w:keepNext/>
        <w:keepLines/>
        <w:shd w:val="clear" w:color="auto" w:fill="auto"/>
        <w:bidi w:val="0"/>
        <w:spacing w:before="0" w:after="0"/>
        <w:ind w:left="0" w:right="0" w:firstLine="280"/>
      </w:pPr>
      <w:r>
        <w:br w:type="column"/>
      </w:r>
      <w:bookmarkStart w:id="462" w:name="bookmark462"/>
      <w:r>
        <w:rPr>
          <w:lang w:val="ru-RU" w:eastAsia="ru-RU" w:bidi="ru-RU"/>
          <w:w w:val="100"/>
          <w:spacing w:val="0"/>
          <w:color w:val="000000"/>
          <w:position w:val="0"/>
        </w:rPr>
        <w:t>Дефицит карнитин октаноилтрансферазы</w:t>
      </w:r>
      <w:bookmarkEnd w:id="462"/>
    </w:p>
    <w:p>
      <w:pPr>
        <w:pStyle w:val="Style30"/>
        <w:widowControl w:val="0"/>
        <w:keepNext w:val="0"/>
        <w:keepLines w:val="0"/>
        <w:shd w:val="clear" w:color="auto" w:fill="auto"/>
        <w:bidi w:val="0"/>
        <w:spacing w:before="0" w:after="0"/>
        <w:ind w:left="0" w:right="0" w:firstLine="280"/>
      </w:pPr>
      <w:r>
        <w:rPr>
          <w:rStyle w:val="CharStyle103"/>
        </w:rPr>
        <w:t>Клиническая симптоматика:</w:t>
      </w:r>
      <w:r>
        <w:rPr>
          <w:lang w:val="ru-RU" w:eastAsia="ru-RU" w:bidi="ru-RU"/>
          <w:w w:val="100"/>
          <w:spacing w:val="0"/>
          <w:color w:val="000000"/>
          <w:position w:val="0"/>
        </w:rPr>
        <w:t xml:space="preserve"> энцефалопатия по типу синдрома Рея, гипотония.</w:t>
      </w:r>
    </w:p>
    <w:p>
      <w:pPr>
        <w:pStyle w:val="Style30"/>
        <w:widowControl w:val="0"/>
        <w:keepNext w:val="0"/>
        <w:keepLines w:val="0"/>
        <w:shd w:val="clear" w:color="auto" w:fill="auto"/>
        <w:bidi w:val="0"/>
        <w:spacing w:before="0" w:after="0"/>
        <w:ind w:left="0" w:right="0" w:firstLine="280"/>
      </w:pPr>
      <w:r>
        <w:rPr>
          <w:rStyle w:val="CharStyle103"/>
        </w:rPr>
        <w:t>Сердечно-сосудистая система.</w:t>
      </w:r>
      <w:r>
        <w:rPr>
          <w:lang w:val="ru-RU" w:eastAsia="ru-RU" w:bidi="ru-RU"/>
          <w:w w:val="100"/>
          <w:spacing w:val="0"/>
          <w:color w:val="000000"/>
          <w:position w:val="0"/>
        </w:rPr>
        <w:t xml:space="preserve"> Поражение сердца прояв</w:t>
        <w:softHyphen/>
        <w:t>ляется карнитиновой кардиомиопатии.</w:t>
      </w:r>
    </w:p>
    <w:p>
      <w:pPr>
        <w:pStyle w:val="Style30"/>
        <w:widowControl w:val="0"/>
        <w:keepNext w:val="0"/>
        <w:keepLines w:val="0"/>
        <w:shd w:val="clear" w:color="auto" w:fill="auto"/>
        <w:bidi w:val="0"/>
        <w:spacing w:before="0" w:after="180"/>
        <w:ind w:left="0" w:right="0" w:firstLine="280"/>
      </w:pPr>
      <w:r>
        <w:rPr>
          <w:rStyle w:val="CharStyle103"/>
        </w:rPr>
        <w:t>Тип наследования:</w:t>
      </w:r>
      <w:r>
        <w:rPr>
          <w:lang w:val="ru-RU" w:eastAsia="ru-RU" w:bidi="ru-RU"/>
          <w:w w:val="100"/>
          <w:spacing w:val="0"/>
          <w:color w:val="000000"/>
          <w:position w:val="0"/>
        </w:rPr>
        <w:t xml:space="preserve"> аутосомно-рецессивный.</w:t>
      </w:r>
    </w:p>
    <w:p>
      <w:pPr>
        <w:pStyle w:val="Style92"/>
        <w:widowControl w:val="0"/>
        <w:keepNext/>
        <w:keepLines/>
        <w:shd w:val="clear" w:color="auto" w:fill="auto"/>
        <w:bidi w:val="0"/>
        <w:spacing w:before="0" w:after="0"/>
        <w:ind w:left="0" w:right="0" w:firstLine="280"/>
      </w:pPr>
      <w:bookmarkStart w:id="463" w:name="bookmark463"/>
      <w:r>
        <w:rPr>
          <w:lang w:val="ru-RU" w:eastAsia="ru-RU" w:bidi="ru-RU"/>
          <w:w w:val="100"/>
          <w:spacing w:val="0"/>
          <w:color w:val="000000"/>
          <w:position w:val="0"/>
        </w:rPr>
        <w:t>Дефицит карнитин ацетилтрансферазы</w:t>
      </w:r>
      <w:bookmarkEnd w:id="463"/>
    </w:p>
    <w:p>
      <w:pPr>
        <w:pStyle w:val="Style30"/>
        <w:widowControl w:val="0"/>
        <w:keepNext w:val="0"/>
        <w:keepLines w:val="0"/>
        <w:shd w:val="clear" w:color="auto" w:fill="auto"/>
        <w:bidi w:val="0"/>
        <w:spacing w:before="0" w:after="0"/>
        <w:ind w:left="0" w:right="0" w:firstLine="280"/>
      </w:pPr>
      <w:r>
        <w:rPr>
          <w:rStyle w:val="CharStyle103"/>
        </w:rPr>
        <w:t>Клиническая симптоматика:</w:t>
      </w:r>
      <w:r>
        <w:rPr>
          <w:lang w:val="ru-RU" w:eastAsia="ru-RU" w:bidi="ru-RU"/>
          <w:w w:val="100"/>
          <w:spacing w:val="0"/>
          <w:color w:val="000000"/>
          <w:position w:val="0"/>
        </w:rPr>
        <w:t xml:space="preserve"> нейромышечная дегенера</w:t>
        <w:softHyphen/>
        <w:t>ция, миопатия.</w:t>
      </w:r>
    </w:p>
    <w:p>
      <w:pPr>
        <w:pStyle w:val="Style30"/>
        <w:widowControl w:val="0"/>
        <w:keepNext w:val="0"/>
        <w:keepLines w:val="0"/>
        <w:shd w:val="clear" w:color="auto" w:fill="auto"/>
        <w:bidi w:val="0"/>
        <w:spacing w:before="0" w:after="0"/>
        <w:ind w:left="0" w:right="0" w:firstLine="280"/>
      </w:pPr>
      <w:r>
        <w:rPr>
          <w:rStyle w:val="CharStyle103"/>
        </w:rPr>
        <w:t>Сердечно-сосудистая система.</w:t>
      </w:r>
      <w:r>
        <w:rPr>
          <w:lang w:val="ru-RU" w:eastAsia="ru-RU" w:bidi="ru-RU"/>
          <w:w w:val="100"/>
          <w:spacing w:val="0"/>
          <w:color w:val="000000"/>
          <w:position w:val="0"/>
        </w:rPr>
        <w:t xml:space="preserve"> Поражение сердца прояв</w:t>
        <w:softHyphen/>
        <w:t>ляется рестриктивной формой кардиомиопатией, начало заболевания может быть в подростковом возрасте по типу гипертрофической кардиомиопатии.</w:t>
      </w:r>
    </w:p>
    <w:p>
      <w:pPr>
        <w:pStyle w:val="Style30"/>
        <w:widowControl w:val="0"/>
        <w:keepNext w:val="0"/>
        <w:keepLines w:val="0"/>
        <w:shd w:val="clear" w:color="auto" w:fill="auto"/>
        <w:bidi w:val="0"/>
        <w:spacing w:before="0" w:after="313"/>
        <w:ind w:left="0" w:right="0" w:firstLine="280"/>
      </w:pPr>
      <w:r>
        <w:rPr>
          <w:rStyle w:val="CharStyle103"/>
        </w:rPr>
        <w:t>Тип наследования:</w:t>
      </w:r>
      <w:r>
        <w:rPr>
          <w:lang w:val="ru-RU" w:eastAsia="ru-RU" w:bidi="ru-RU"/>
          <w:w w:val="100"/>
          <w:spacing w:val="0"/>
          <w:color w:val="000000"/>
          <w:position w:val="0"/>
        </w:rPr>
        <w:t xml:space="preserve"> аутосомно-доминантный.</w:t>
      </w:r>
    </w:p>
    <w:p>
      <w:pPr>
        <w:pStyle w:val="Style48"/>
        <w:widowControl w:val="0"/>
        <w:keepNext/>
        <w:keepLines/>
        <w:shd w:val="clear" w:color="auto" w:fill="auto"/>
        <w:bidi w:val="0"/>
        <w:jc w:val="left"/>
        <w:spacing w:before="0" w:after="101" w:line="200" w:lineRule="exact"/>
        <w:ind w:left="0" w:right="0" w:firstLine="0"/>
      </w:pPr>
      <w:bookmarkStart w:id="464" w:name="bookmark464"/>
      <w:r>
        <w:rPr>
          <w:lang w:val="ru-RU" w:eastAsia="ru-RU" w:bidi="ru-RU"/>
          <w:w w:val="100"/>
          <w:spacing w:val="0"/>
          <w:color w:val="000000"/>
          <w:position w:val="0"/>
        </w:rPr>
        <w:t>Болезнь Кешана</w:t>
      </w:r>
      <w:bookmarkEnd w:id="46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Кешана — заболевание сердца, связанное с не</w:t>
        <w:softHyphen/>
        <w:t>достаточностью селена. Чаще всего болезнь Кешана на</w:t>
        <w:softHyphen/>
        <w:t>блюдается в Китае, где годовая заболеваемость составляет 33 случая на 100 000 населения. Наиболее подвержены за</w:t>
        <w:softHyphen/>
        <w:t>болеванию дети моложе 15 лет и женщины детородного возраста.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Кешана имеет три клинические формы: острую, подострую и хроническую. Отношение частоты случаев ос</w:t>
        <w:softHyphen/>
        <w:t>трой формы к хронической составляет у взрослых 1:1,8; у детей — 1:1.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Острая форма болезни Кешана часто имеет бурное нача</w:t>
        <w:softHyphen/>
        <w:t>ло; смертность достигает 80%. Клинически она протекает как кардиогенный шок с пониженным давлением, голово</w:t>
        <w:softHyphen/>
        <w:t>кружением и беспокойством.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тяжелых случаях наблюдается частая неукротимая рвота, по-видимому, связанная с аноксемией центральной нервной системы.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 ЭКГ отмечаются изменения </w:t>
      </w:r>
      <w:r>
        <w:rPr>
          <w:lang w:val="en-US" w:eastAsia="en-US" w:bidi="en-US"/>
          <w:w w:val="100"/>
          <w:spacing w:val="0"/>
          <w:color w:val="000000"/>
          <w:position w:val="0"/>
        </w:rPr>
        <w:t xml:space="preserve">ST-T: </w:t>
      </w:r>
      <w:r>
        <w:rPr>
          <w:lang w:val="ru-RU" w:eastAsia="ru-RU" w:bidi="ru-RU"/>
          <w:w w:val="100"/>
          <w:spacing w:val="0"/>
          <w:color w:val="000000"/>
          <w:position w:val="0"/>
        </w:rPr>
        <w:t xml:space="preserve">инверсия зубца Т и снижение сегмента </w:t>
      </w:r>
      <w:r>
        <w:rPr>
          <w:lang w:val="en-US" w:eastAsia="en-US" w:bidi="en-US"/>
          <w:w w:val="100"/>
          <w:spacing w:val="0"/>
          <w:color w:val="000000"/>
          <w:position w:val="0"/>
        </w:rPr>
        <w:t xml:space="preserve">ST </w:t>
      </w:r>
      <w:r>
        <w:rPr>
          <w:lang w:val="ru-RU" w:eastAsia="ru-RU" w:bidi="ru-RU"/>
          <w:w w:val="100"/>
          <w:spacing w:val="0"/>
          <w:color w:val="000000"/>
          <w:position w:val="0"/>
        </w:rPr>
        <w:t xml:space="preserve">Иногда встречается повышение сегмента </w:t>
      </w:r>
      <w:r>
        <w:rPr>
          <w:lang w:val="en-US" w:eastAsia="en-US" w:bidi="en-US"/>
          <w:w w:val="100"/>
          <w:spacing w:val="0"/>
          <w:color w:val="000000"/>
          <w:position w:val="0"/>
        </w:rPr>
        <w:t xml:space="preserve">ST, </w:t>
      </w:r>
      <w:r>
        <w:rPr>
          <w:lang w:val="ru-RU" w:eastAsia="ru-RU" w:bidi="ru-RU"/>
          <w:w w:val="100"/>
          <w:spacing w:val="0"/>
          <w:color w:val="000000"/>
          <w:position w:val="0"/>
        </w:rPr>
        <w:t>аналогичное картине при инфаркте миокарда. На рентгенограмме грудной клетки обычно можно видеть незначительное или умеренно генерализованное увеличе</w:t>
        <w:softHyphen/>
        <w:t>ние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Хроническая форма болезни Кешана клинически про</w:t>
        <w:softHyphen/>
        <w:t>является рецидивирующей или стойкой сердечной недо</w:t>
        <w:softHyphen/>
        <w:t>статочностью с выраженным увеличением сердца (дилата</w:t>
        <w:softHyphen/>
        <w:t>ционная форма кардиомиопатии).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Как при острой, так и при хронической формах часты аритмии. Наблюдаются желудочковые экстрасистолы, мер</w:t>
        <w:softHyphen/>
        <w:t>цание предсердий, желудочковая тахикардия, атриовентри</w:t>
        <w:softHyphen/>
        <w:t>кулярная блокада и блокада ножек пучка Гиса.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Патоморфологические изменения при болезни Кешана характеризуются изолированным поражением сердца. На первый план выступает некроз миокарда, перемежаю</w:t>
        <w:softHyphen/>
        <w:t>щийся с фиброзом. Макроскопически сердце резко расши</w:t>
        <w:softHyphen/>
        <w:t>рено. По всему миокарду рассеяны серовато-желтые некро</w:t>
        <w:softHyphen/>
        <w:t>тические очаги и беловатые участки фиброза. Области по</w:t>
        <w:softHyphen/>
        <w:t>ражения обычно локализованы и имеют небольшие разме</w:t>
        <w:softHyphen/>
        <w:t>ры, но иногда очаги сливаются. Поражение особенно от</w:t>
        <w:softHyphen/>
        <w:t>четливо выступает в стенке левого желудочка, главным об</w:t>
        <w:softHyphen/>
        <w:t>разом в субэндокардиальной ее части.</w:t>
      </w:r>
    </w:p>
    <w:p>
      <w:pPr>
        <w:pStyle w:val="Style30"/>
        <w:widowControl w:val="0"/>
        <w:keepNext w:val="0"/>
        <w:keepLines w:val="0"/>
        <w:shd w:val="clear" w:color="auto" w:fill="auto"/>
        <w:bidi w:val="0"/>
        <w:spacing w:before="0" w:after="0"/>
        <w:ind w:left="0" w:right="0" w:firstLine="280"/>
      </w:pPr>
      <w:r>
        <w:pict>
          <v:shape id="_x0000_s1431" type="#_x0000_t75" style="position:absolute;margin-left:148.1pt;margin-top:737.05pt;width:209.75pt;height:14.9pt;z-index:-125829109;mso-wrap-distance-left:148.1pt;mso-wrap-distance-right:136.8pt;mso-wrap-distance-bottom:10.8pt;mso-position-horizontal-relative:margin;mso-position-vertical-relative:margin" wrapcoords="0 0 21600 0 21600 21600 0 21600 0 0">
            <v:imagedata r:id="rId673" r:href="rId674"/>
            <w10:wrap type="topAndBottom" anchorx="margin" anchory="margin"/>
          </v:shape>
        </w:pict>
      </w:r>
      <w:r>
        <w:rPr>
          <w:lang w:val="ru-RU" w:eastAsia="ru-RU" w:bidi="ru-RU"/>
          <w:w w:val="100"/>
          <w:spacing w:val="0"/>
          <w:color w:val="000000"/>
          <w:position w:val="0"/>
        </w:rPr>
        <w:t>Микроскопически главными находками являются коа</w:t>
        <w:softHyphen/>
        <w:t>гуляционный некроз, миоцитолиз и фиброз миокарда.</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У умерших от острой болезни Кешана обнаруживают нек</w:t>
        <w:softHyphen/>
        <w:t>ротические очаги, при хронической форме преобладают фиброзные очаги.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диагностика. Дефицит селена выявляют по сниженному его содержанию в крови, волосах и различных органах. В крови снижена активность глутатионпероксида- 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качестве лечебной и профилактической меры приме</w:t>
        <w:softHyphen/>
        <w:t xml:space="preserve">няют перорально селенит натрия </w:t>
      </w:r>
      <w:r>
        <w:rPr>
          <w:lang w:val="en-US" w:eastAsia="en-US" w:bidi="en-US"/>
          <w:w w:val="100"/>
          <w:spacing w:val="0"/>
          <w:color w:val="000000"/>
          <w:position w:val="0"/>
        </w:rPr>
        <w:t>(Na</w:t>
      </w:r>
      <w:r>
        <w:rPr>
          <w:lang w:val="en-US" w:eastAsia="en-US" w:bidi="en-US"/>
          <w:vertAlign w:val="subscript"/>
          <w:w w:val="100"/>
          <w:spacing w:val="0"/>
          <w:color w:val="000000"/>
          <w:position w:val="0"/>
        </w:rPr>
        <w:t>2</w:t>
      </w:r>
      <w:r>
        <w:rPr>
          <w:lang w:val="en-US" w:eastAsia="en-US" w:bidi="en-US"/>
          <w:w w:val="100"/>
          <w:spacing w:val="0"/>
          <w:color w:val="000000"/>
          <w:position w:val="0"/>
        </w:rPr>
        <w:t>SeO</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 </w:t>
      </w:r>
      <w:r>
        <w:rPr>
          <w:lang w:val="ru-RU" w:eastAsia="ru-RU" w:bidi="ru-RU"/>
          <w:w w:val="100"/>
          <w:spacing w:val="0"/>
          <w:color w:val="000000"/>
          <w:position w:val="0"/>
        </w:rPr>
        <w:t>Проспектив</w:t>
        <w:softHyphen/>
        <w:t>ные рандомизированные испытания, проведенные с 1974 года, показали, что заболеваемость и смертность в результате такой профилактики снизились.</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ТИп наследования. В большинстве случаев дефицит селе</w:t>
        <w:softHyphen/>
        <w:t>на является приобретенным вследствие алиментарной не</w:t>
        <w:softHyphen/>
        <w:t>достаточности или возникает у больных, проживающих в селенодефицитном поясе. Наследственные формы обус</w:t>
        <w:softHyphen/>
        <w:t>ловлены первичным дефицитом глутатионпероксидазы.</w:t>
      </w:r>
    </w:p>
    <w:p>
      <w:pPr>
        <w:pStyle w:val="Style28"/>
        <w:widowControl w:val="0"/>
        <w:keepNext/>
        <w:keepLines/>
        <w:shd w:val="clear" w:color="auto" w:fill="auto"/>
        <w:bidi w:val="0"/>
        <w:jc w:val="both"/>
        <w:spacing w:before="0" w:after="153" w:line="220" w:lineRule="exact"/>
        <w:ind w:left="0" w:right="0" w:firstLine="0"/>
      </w:pPr>
      <w:bookmarkStart w:id="465" w:name="bookmark465"/>
      <w:r>
        <w:rPr>
          <w:lang w:val="ru-RU" w:eastAsia="ru-RU" w:bidi="ru-RU"/>
          <w:w w:val="100"/>
          <w:spacing w:val="0"/>
          <w:color w:val="000000"/>
          <w:position w:val="0"/>
        </w:rPr>
        <w:t>Рестриктивная кардиомиопатия</w:t>
      </w:r>
      <w:bookmarkEnd w:id="465"/>
    </w:p>
    <w:p>
      <w:pPr>
        <w:pStyle w:val="Style92"/>
        <w:widowControl w:val="0"/>
        <w:keepNext/>
        <w:keepLines/>
        <w:shd w:val="clear" w:color="auto" w:fill="auto"/>
        <w:bidi w:val="0"/>
        <w:spacing w:before="0" w:after="0"/>
        <w:ind w:left="0" w:right="0" w:firstLine="280"/>
      </w:pPr>
      <w:bookmarkStart w:id="466" w:name="bookmark466"/>
      <w:r>
        <w:rPr>
          <w:lang w:val="ru-RU" w:eastAsia="ru-RU" w:bidi="ru-RU"/>
          <w:w w:val="100"/>
          <w:spacing w:val="0"/>
          <w:color w:val="000000"/>
          <w:position w:val="0"/>
        </w:rPr>
        <w:t>Определение</w:t>
      </w:r>
      <w:bookmarkEnd w:id="46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Рестриктивная кардиомиопатия является редким забо</w:t>
        <w:softHyphen/>
        <w:t>леванием у детей и характеризуется аномальным диастоли</w:t>
        <w:softHyphen/>
        <w:t>ческим наполнением или комплайнсом при нормальном или уменьшенном диастолическом объеме желудочковой камеры.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Введение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Рестриктивная кардиомиопатия является заболеванием сердечной мышцы и возникает в результате нарушения на</w:t>
        <w:softHyphen/>
        <w:t>полнения одного или обоих желудочков, в зависимости от типа заболевания систолическая функция может быть нор</w:t>
        <w:softHyphen/>
        <w:t>мальной, особенно на ранних стадиях заболевания, толщи</w:t>
        <w:softHyphen/>
        <w:t>на стенок миокарда также нормальная или увеличенная. Данное заболевание обычно является результатом увели</w:t>
        <w:softHyphen/>
        <w:t>ченной жесткости миокарда, что приводит к увеличению давления в желудочке (желудочках), без существенного из</w:t>
        <w:softHyphen/>
        <w:t>менения размера полости. Поскольку в патологический процесс вовлекается один или оба желудочка, то клиничес</w:t>
        <w:softHyphen/>
        <w:t>кие признаки и симптомы характеризуются правожелудоч</w:t>
        <w:softHyphen/>
        <w:t>ковой или левожелудочковой недостаточностью. Чаще пра</w:t>
        <w:softHyphen/>
        <w:t>восторонняя симптоматика является доминирующей и проявляется набуханием шейных вен, периферическими отеками и асцитом. Когда поражается левый желудочек, появляются симптомы в виде одышки и отека легкого на рентгенограмме, при этом размеры сердца нормальные. Диагноз рестриктивной КМП должен быть заподозрен у пациентов с признаками сердечной недостаточности без кардиомегалии или систолической дисфункции. Хотя тера</w:t>
        <w:softHyphen/>
        <w:t>пия рестриктивной кардиомиопатии остается неудовлетво</w:t>
        <w:softHyphen/>
        <w:t>рительный, большое значение имеет правильная постанов</w:t>
        <w:softHyphen/>
        <w:t>ка диагноза и дифференциальная диагностика от констрик- тивного перикардита, который проявляется «рестриктив</w:t>
        <w:softHyphen/>
        <w:t>ной патологией», но успешно лечится хирургически.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Сердце имеет нормальную структуру, хотя гистологичес</w:t>
        <w:softHyphen/>
        <w:t>ки могут определяться различные аномалии в зависимости от этиологии рестриктивной кардиомиопатии.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Систолическая функция желудочков обычно не измене</w:t>
        <w:softHyphen/>
        <w:t>на. Рестриктивная кардиомиопатия может проявляться как самостоятельное заболевание, однако рестриктивный пат</w:t>
        <w:softHyphen/>
        <w:t>терн может определяться у больных как с дилатационной, так и с гипертрофической кардиомиопатией. Поскольку за</w:t>
        <w:softHyphen/>
        <w:br w:type="column"/>
        <w:t>болевание очень редкое, его патогенез, клинические прояв</w:t>
        <w:softHyphen/>
        <w:t>ления и лечение до конца не определены. Методы лечения меняются в зависимости от получения новых сведений о данном заболевании.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Рестриктивную кардиомиопатию подразделяют на сле</w:t>
        <w:softHyphen/>
        <w:t>дующие субтипы:</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Истинная рестриктивная форма.</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Гипертрофически рестриктивная форма.</w:t>
      </w:r>
    </w:p>
    <w:p>
      <w:pPr>
        <w:pStyle w:val="Style30"/>
        <w:numPr>
          <w:ilvl w:val="0"/>
          <w:numId w:val="79"/>
        </w:numPr>
        <w:tabs>
          <w:tab w:leader="none" w:pos="517" w:val="left"/>
        </w:tabs>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Умеренно дилатированная рестриктивная форма. 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Этиология заболевания в детском возрасте в большин</w:t>
        <w:softHyphen/>
        <w:t>стве случаев остается неустановленной, по этой причине рестриктивную кардиомиопатию называют идиопатичес</w:t>
        <w:softHyphen/>
        <w:t>кой.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Рестриктивная КМП может возникать в результате раз</w:t>
        <w:softHyphen/>
        <w:t>личных системных заболеваний, многие из которых редко встречаются в клинической практике. При идиопатической рестриктивной КМП гемодинамические аномалии наблю</w:t>
        <w:softHyphen/>
        <w:t>даются при отсутствии специфических гистопатологичес</w:t>
        <w:softHyphen/>
        <w:t>ких изменений.</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Классификация типов рестриктивной КМП: Миокардиальный тип.</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Неинфильтративная:</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Идиопатическая кардиомиопатия.</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семейная кардиомиопатия.</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Гипертрофическая кардиомиопатия.</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Склеродермия.</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Эластическая псевдоксантома.</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Диабетическая кардиомиопатия.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Инфильтративная:</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Амилоидоз.</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Саркоидоз.</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Болезнь Гаушера.</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Болезнь Гурлера.</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Жировая инфильтрация.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Болезни накопления:</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Гемохроматоз.</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Болезнь Фабри.</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Гликогенозы.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Эндомиокардиальный тип:</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Эндомиокардиальный фиброз.</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Гиперэозинофильный синдром.</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Карциноидная болезнь сердца.</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Метастатическое опухолевое поражение сердца.</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Радиация.</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Токсический эффект антрациклинов.</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Лекарства, вызывающие фиброзный эндокардит (се</w:t>
        <w:softHyphen/>
        <w:t>ротонин, метисергид, эрготамин, производные ртути, бусульфан).</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pict>
          <v:shape id="_x0000_s1432" type="#_x0000_t75" style="position:absolute;margin-left:136.9pt;margin-top:737.05pt;width:209.75pt;height:14.9pt;z-index:-125829108;mso-wrap-distance-left:136.8pt;mso-wrap-distance-right:147.85pt;mso-wrap-distance-bottom:10.8pt;mso-position-horizontal-relative:margin;mso-position-vertical-relative:margin" wrapcoords="0 0 21600 0 21600 21600 0 21600 0 0">
            <v:imagedata r:id="rId675" r:href="rId676"/>
            <w10:wrap type="topAndBottom" anchorx="margin" anchory="margin"/>
          </v:shape>
        </w:pict>
      </w:r>
      <w:r>
        <w:rPr>
          <w:lang w:val="ru-RU" w:eastAsia="ru-RU" w:bidi="ru-RU"/>
          <w:w w:val="100"/>
          <w:spacing w:val="0"/>
          <w:color w:val="000000"/>
          <w:position w:val="0"/>
        </w:rPr>
        <w:t>Патофизиология рестриктивной кардиомиопатии различается в зависимости от субтипа и заболеваний, которые ее обусловливают, например, амилоидоз, ге</w:t>
        <w:softHyphen/>
        <w:t>мосидероз, гиперэозинофилия и эндокардиальный фиброэластоз. Она может также возникать в резуль</w:t>
        <w:softHyphen/>
        <w:t>тате радиационной терапии. Рестриктивная кардио</w:t>
        <w:softHyphen/>
        <w:t>миопатия может быть изолированным заболеванием неустановленной этиологии. При истинной рестрик</w:t>
        <w:softHyphen/>
        <w:t>тивной кардиомиопатии определяются гипертрофия миоцитов, хаотическое распределение миофибрилл, увеличение соединительной ткани в интерстиции. Данные эндомиокардиальной биопсии не позволяют</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дифференцировать причину заболевания и характе</w:t>
        <w:softHyphen/>
        <w:t>ризуются гипертрофией миоцитов, интерстициаль</w:t>
        <w:softHyphen/>
        <w:t>ным фиброзом и миоцитолизом.</w:t>
      </w:r>
    </w:p>
    <w:p>
      <w:pPr>
        <w:pStyle w:val="Style30"/>
        <w:numPr>
          <w:ilvl w:val="0"/>
          <w:numId w:val="7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Для всех форм рестриктивной кардиомиопатии, вне зависимости от этиологии болезни, характерно вне</w:t>
        <w:softHyphen/>
        <w:t>запное преждевременное прекращение наполнения желудочков в раннюю диастолу, возникает глубокое плато на кривой внутрижелудочкового давления. На</w:t>
        <w:softHyphen/>
        <w:t>полнение желудочков, следовательно, ограничено в период ранней диастолы. Это непосредственно приводит к падению комплайнса (податливости) же</w:t>
        <w:softHyphen/>
        <w:t>лудочков и развитию дилатации предсердий. Типич</w:t>
        <w:softHyphen/>
        <w:t>ные гемодинамические характеристики включают нормальную систолическую функцию и увеличение конечно диастолического давления в желудочках.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Морфология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Морфологические данные включают дилатацию пред</w:t>
        <w:softHyphen/>
        <w:t>сердий без увеличения толщины миокарда и полости желу</w:t>
        <w:softHyphen/>
        <w:t>дочков. Эозинофильная инфильтрация и перикардиальный выпот отсутствуют.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Гистологические данные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Данные биопсии выявляют в различной степени выра</w:t>
        <w:softHyphen/>
        <w:t>женности гипертрофию миоцитов, интерстициальный фи</w:t>
        <w:softHyphen/>
        <w:t>броз, миоцитолиз и склероз эндокарда. У некоторых боль</w:t>
        <w:softHyphen/>
        <w:t>ных (обычно у взрослых) с инфильтративной рестриктив</w:t>
        <w:softHyphen/>
        <w:t>ной кардиомиопатией может определяться амилоидоз.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numPr>
          <w:ilvl w:val="0"/>
          <w:numId w:val="7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Рестриктивная кардиомиопатия составляет прибли</w:t>
        <w:softHyphen/>
        <w:t>зительно 5% среди всех форм детских кардиомиопа</w:t>
        <w:softHyphen/>
        <w:t>тий.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Заболеваемость/Смертность</w:t>
      </w:r>
    </w:p>
    <w:p>
      <w:pPr>
        <w:pStyle w:val="Style30"/>
        <w:numPr>
          <w:ilvl w:val="0"/>
          <w:numId w:val="7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смертности при идиопатической рестриктив</w:t>
        <w:softHyphen/>
        <w:t>ной кардиомиопатии у детей высокая, в том числе из-за того, что пересадка сердца в детском возрасте проводится ограниченно.</w:t>
      </w:r>
    </w:p>
    <w:p>
      <w:pPr>
        <w:pStyle w:val="Style30"/>
        <w:numPr>
          <w:ilvl w:val="0"/>
          <w:numId w:val="7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Смертность составляет 63% в течение 3 лет с момента постановки диагноза и 75% в течение 6 лет от начала заболевания.</w:t>
      </w:r>
    </w:p>
    <w:p>
      <w:pPr>
        <w:pStyle w:val="Style30"/>
        <w:numPr>
          <w:ilvl w:val="0"/>
          <w:numId w:val="7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44-50% выживают в течение 1-2 лет с момента пре</w:t>
        <w:softHyphen/>
        <w:t>зентации заболевания, 29-37% выживают в течение 3</w:t>
        <w:softHyphen/>
        <w:t>4 лет от начала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w:t>
      </w:r>
    </w:p>
    <w:p>
      <w:pPr>
        <w:pStyle w:val="Style30"/>
        <w:numPr>
          <w:ilvl w:val="0"/>
          <w:numId w:val="79"/>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Отмечается некоторое преобладание заболевания у девочек.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numPr>
          <w:ilvl w:val="0"/>
          <w:numId w:val="79"/>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 детей идиопатическая рестриктивная кардиомио</w:t>
        <w:softHyphen/>
        <w:t>патия может возникнуть в любом возрасте.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заболевания вариабельный и в определенной степени зависит от этиологии рестриктивной кардиомио</w:t>
        <w:softHyphen/>
        <w:t>патии. До настоящего времени не установлено, сколько больных имеют субклиническую рестриктивную кардио</w:t>
        <w:softHyphen/>
        <w:t>миопатию. С момента возникновения симптомов заболева</w:t>
        <w:softHyphen/>
        <w:t>ния прогноз в целом остается неутешительным.</w:t>
      </w:r>
    </w:p>
    <w:p>
      <w:pPr>
        <w:pStyle w:val="Style30"/>
        <w:numPr>
          <w:ilvl w:val="0"/>
          <w:numId w:val="79"/>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Причины, которые позволяют заподозрить заболева</w:t>
        <w:softHyphen/>
        <w:t>ние:</w:t>
      </w:r>
    </w:p>
    <w:p>
      <w:pPr>
        <w:pStyle w:val="Style30"/>
        <w:numPr>
          <w:ilvl w:val="0"/>
          <w:numId w:val="81"/>
        </w:numPr>
        <w:tabs>
          <w:tab w:leader="none" w:pos="756"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изменения на рентгенограмме грудной клетки во время респираторного заболевания;</w:t>
      </w:r>
    </w:p>
    <w:p>
      <w:pPr>
        <w:pStyle w:val="Style30"/>
        <w:numPr>
          <w:ilvl w:val="0"/>
          <w:numId w:val="8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измененные физикальные данные;</w:t>
      </w:r>
    </w:p>
    <w:p>
      <w:pPr>
        <w:pStyle w:val="Style30"/>
        <w:numPr>
          <w:ilvl w:val="0"/>
          <w:numId w:val="8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синкопе;</w:t>
      </w:r>
    </w:p>
    <w:p>
      <w:pPr>
        <w:pStyle w:val="Style30"/>
        <w:numPr>
          <w:ilvl w:val="0"/>
          <w:numId w:val="8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позитивный семейный анамнез.</w:t>
      </w:r>
    </w:p>
    <w:p>
      <w:pPr>
        <w:pStyle w:val="Style30"/>
        <w:numPr>
          <w:ilvl w:val="0"/>
          <w:numId w:val="7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Респираторные симптомы:</w:t>
      </w:r>
    </w:p>
    <w:p>
      <w:pPr>
        <w:pStyle w:val="Style30"/>
        <w:numPr>
          <w:ilvl w:val="0"/>
          <w:numId w:val="81"/>
        </w:numPr>
        <w:tabs>
          <w:tab w:leader="none" w:pos="737" w:val="left"/>
        </w:tabs>
        <w:widowControl w:val="0"/>
        <w:keepNext w:val="0"/>
        <w:keepLines w:val="0"/>
        <w:shd w:val="clear" w:color="auto" w:fill="auto"/>
        <w:bidi w:val="0"/>
        <w:spacing w:before="0" w:after="0"/>
        <w:ind w:left="740" w:right="0" w:hanging="240"/>
      </w:pPr>
      <w:r>
        <w:br w:type="column"/>
      </w:r>
      <w:r>
        <w:rPr>
          <w:lang w:val="ru-RU" w:eastAsia="ru-RU" w:bidi="ru-RU"/>
          <w:w w:val="100"/>
          <w:spacing w:val="0"/>
          <w:color w:val="000000"/>
          <w:position w:val="0"/>
        </w:rPr>
        <w:t>одышка при физической нагрузке или в покое;</w:t>
      </w:r>
    </w:p>
    <w:p>
      <w:pPr>
        <w:pStyle w:val="Style30"/>
        <w:numPr>
          <w:ilvl w:val="0"/>
          <w:numId w:val="81"/>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пароксизмальная ночная одышка;</w:t>
      </w:r>
    </w:p>
    <w:p>
      <w:pPr>
        <w:pStyle w:val="Style30"/>
        <w:numPr>
          <w:ilvl w:val="0"/>
          <w:numId w:val="81"/>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ортопноэ;</w:t>
      </w:r>
    </w:p>
    <w:p>
      <w:pPr>
        <w:pStyle w:val="Style30"/>
        <w:numPr>
          <w:ilvl w:val="0"/>
          <w:numId w:val="81"/>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периферические отеки;</w:t>
      </w:r>
    </w:p>
    <w:p>
      <w:pPr>
        <w:pStyle w:val="Style30"/>
        <w:numPr>
          <w:ilvl w:val="0"/>
          <w:numId w:val="81"/>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асцит;</w:t>
      </w:r>
    </w:p>
    <w:p>
      <w:pPr>
        <w:pStyle w:val="Style30"/>
        <w:numPr>
          <w:ilvl w:val="0"/>
          <w:numId w:val="81"/>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общее недомогание и слабость;</w:t>
      </w:r>
    </w:p>
    <w:p>
      <w:pPr>
        <w:pStyle w:val="Style30"/>
        <w:numPr>
          <w:ilvl w:val="0"/>
          <w:numId w:val="81"/>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типичный анамнез застойной сердечной недоста</w:t>
        <w:softHyphen/>
        <w:t>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Физикальные данные:</w:t>
      </w:r>
    </w:p>
    <w:p>
      <w:pPr>
        <w:pStyle w:val="Style30"/>
        <w:numPr>
          <w:ilvl w:val="0"/>
          <w:numId w:val="7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Физикальные данные обычно выявляют застойные явления, обусловленные диастолической дисфунк</w:t>
        <w:softHyphen/>
        <w:t>цией и снижением сердечного выброса. При легких нарушениях физикальные данные обычно нормаль</w:t>
        <w:softHyphen/>
        <w:t>ные. У больных с выраженными нарушениями левого желудочка при рестриктивной кардиомиопатии воз</w:t>
        <w:softHyphen/>
        <w:t>никают застойные явления в малом круге кровообра</w:t>
        <w:softHyphen/>
        <w:t>щения и тахипноэ.</w:t>
      </w:r>
    </w:p>
    <w:p>
      <w:pPr>
        <w:pStyle w:val="Style30"/>
        <w:numPr>
          <w:ilvl w:val="0"/>
          <w:numId w:val="7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Характерными проявлениями являются шум и ритм галопа.</w:t>
      </w:r>
    </w:p>
    <w:p>
      <w:pPr>
        <w:pStyle w:val="Style30"/>
        <w:numPr>
          <w:ilvl w:val="0"/>
          <w:numId w:val="7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Характерными проявлениями правостороннего по</w:t>
        <w:softHyphen/>
        <w:t>ражения при рестриктивной кардиомиопатии явля</w:t>
        <w:softHyphen/>
        <w:t>ются гепатомегалия, набухание шейных вен, перифе</w:t>
        <w:softHyphen/>
        <w:t>рические отеки и асцит.</w:t>
      </w:r>
    </w:p>
    <w:p>
      <w:pPr>
        <w:pStyle w:val="Style30"/>
        <w:numPr>
          <w:ilvl w:val="0"/>
          <w:numId w:val="7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тяжелых случаях заболевание проявляется перифе - рическими отеками, асцитом и застойной сердечной недостаточностью.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Констриктивный перикардит.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Лабораторные исследования в целом не имеют диагнос</w:t>
        <w:softHyphen/>
        <w:t>тической информации при рестриктивной кардиомиопа</w:t>
        <w:softHyphen/>
        <w:t>тии.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Электрокардиография (рис. 60):</w:t>
      </w:r>
    </w:p>
    <w:p>
      <w:pPr>
        <w:pStyle w:val="Style30"/>
        <w:numPr>
          <w:ilvl w:val="0"/>
          <w:numId w:val="7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 электрокардиограмме обычно выявляются ди</w:t>
        <w:softHyphen/>
        <w:t xml:space="preserve">латация предсердий и </w:t>
      </w:r>
      <w:r>
        <w:rPr>
          <w:lang w:val="en-US" w:eastAsia="en-US" w:bidi="en-US"/>
          <w:w w:val="100"/>
          <w:spacing w:val="0"/>
          <w:color w:val="000000"/>
          <w:position w:val="0"/>
        </w:rPr>
        <w:t xml:space="preserve">ST-T </w:t>
      </w:r>
      <w:r>
        <w:rPr>
          <w:lang w:val="ru-RU" w:eastAsia="ru-RU" w:bidi="ru-RU"/>
          <w:w w:val="100"/>
          <w:spacing w:val="0"/>
          <w:color w:val="000000"/>
          <w:position w:val="0"/>
        </w:rPr>
        <w:t>изменения.</w:t>
      </w:r>
    </w:p>
    <w:p>
      <w:pPr>
        <w:pStyle w:val="Style30"/>
        <w:numPr>
          <w:ilvl w:val="0"/>
          <w:numId w:val="7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Инфильтративные заболевания сопровождаются снижением вольтажа желудочковых комплексов.</w:t>
      </w:r>
    </w:p>
    <w:p>
      <w:pPr>
        <w:pStyle w:val="Style30"/>
        <w:numPr>
          <w:ilvl w:val="0"/>
          <w:numId w:val="7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Могут обнаруживаться различные виды аритмий, включая мерцательную аритмию.</w:t>
      </w:r>
    </w:p>
    <w:p>
      <w:pPr>
        <w:pStyle w:val="Style30"/>
        <w:numPr>
          <w:ilvl w:val="0"/>
          <w:numId w:val="7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Семейная рестриктивная кардиомиопатия ассоци - ируется с атриовентрикулярной блокадой.</w:t>
      </w:r>
    </w:p>
    <w:p>
      <w:pPr>
        <w:pStyle w:val="Style30"/>
        <w:numPr>
          <w:ilvl w:val="0"/>
          <w:numId w:val="7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Поскольку при рестриктивной кардиомиопатии высокий риск аритмогенной сердечной смерти, показано проведение суточного мониторирования ЭКГ для выявления скрытопротекающих аритмий и ишемии миокарда.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Рентгенография грудной клетки:</w:t>
      </w:r>
    </w:p>
    <w:p>
      <w:pPr>
        <w:pStyle w:val="Style30"/>
        <w:numPr>
          <w:ilvl w:val="0"/>
          <w:numId w:val="7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 детей сердце обычно дилатировано, часто опре</w:t>
        <w:softHyphen/>
        <w:t>деляются признаки дилатации левого и правого желудочков.</w:t>
      </w:r>
    </w:p>
    <w:p>
      <w:pPr>
        <w:pStyle w:val="Style30"/>
        <w:numPr>
          <w:ilvl w:val="0"/>
          <w:numId w:val="7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Часто наблюдается легочный венозный застой.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w:t>
      </w:r>
    </w:p>
    <w:p>
      <w:pPr>
        <w:pStyle w:val="Style30"/>
        <w:numPr>
          <w:ilvl w:val="0"/>
          <w:numId w:val="7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Рестриктивную кардиомиопатию диагностируют при проведении эхокардиографии. Обычно выяв</w:t>
        <w:softHyphen/>
        <w:t>ляется значительная дилатация левого предсердия при нормальном конечно диастолическом размере левого желудочка. Может определяться умеренная гипертрофия левого желудочка и дисфункция ат</w:t>
        <w:softHyphen/>
        <w:t>риовентрикулярного клапана.</w:t>
      </w:r>
    </w:p>
    <w:p>
      <w:pPr>
        <w:pStyle w:val="Style30"/>
        <w:numPr>
          <w:ilvl w:val="0"/>
          <w:numId w:val="79"/>
        </w:numPr>
        <w:tabs>
          <w:tab w:leader="none" w:pos="737" w:val="left"/>
        </w:tabs>
        <w:widowControl w:val="0"/>
        <w:keepNext w:val="0"/>
        <w:keepLines w:val="0"/>
        <w:shd w:val="clear" w:color="auto" w:fill="auto"/>
        <w:bidi w:val="0"/>
        <w:spacing w:before="0" w:after="0"/>
        <w:ind w:left="740" w:right="0" w:hanging="240"/>
      </w:pPr>
      <w:r>
        <w:pict>
          <v:shape id="_x0000_s1433" type="#_x0000_t75" style="position:absolute;margin-left:148.1pt;margin-top:737.05pt;width:209.75pt;height:14.9pt;z-index:-125829107;mso-wrap-distance-left:148.1pt;mso-wrap-distance-right:136.8pt;mso-wrap-distance-bottom:10.8pt;mso-position-horizontal-relative:margin;mso-position-vertical-relative:margin" wrapcoords="0 0 21600 0 21600 21600 0 21600 0 0">
            <v:imagedata r:id="rId677" r:href="rId678"/>
            <w10:wrap type="topAndBottom" anchorx="margin" anchory="margin"/>
          </v:shape>
        </w:pict>
      </w:r>
      <w:r>
        <w:rPr>
          <w:lang w:val="ru-RU" w:eastAsia="ru-RU" w:bidi="ru-RU"/>
          <w:w w:val="100"/>
          <w:spacing w:val="0"/>
          <w:color w:val="000000"/>
          <w:position w:val="0"/>
        </w:rPr>
        <w:t>Могут определяться тромбы в предсердиях. Может определяться обратный ток крови в легочные ве-</w:t>
      </w:r>
      <w:r>
        <w:br w:type="page"/>
      </w:r>
    </w:p>
    <w:p>
      <w:pPr>
        <w:framePr w:w="4810" w:h="3384" w:hSpace="13" w:wrap="notBeside" w:vAnchor="text" w:hAnchor="text" w:x="24" w:y="1"/>
        <w:widowControl w:val="0"/>
        <w:rPr>
          <w:sz w:val="2"/>
          <w:szCs w:val="2"/>
        </w:rPr>
      </w:pPr>
      <w:r>
        <w:pict>
          <v:shape id="_x0000_s1434" type="#_x0000_t75" style="width:241pt;height:169pt;">
            <v:imagedata r:id="rId679" r:href="rId680"/>
          </v:shape>
        </w:pict>
      </w:r>
    </w:p>
    <w:p>
      <w:pPr>
        <w:pStyle w:val="Style120"/>
        <w:framePr w:w="4829" w:h="633" w:hSpace="13" w:wrap="notBeside" w:vAnchor="text" w:hAnchor="text" w:x="14" w:y="3812"/>
        <w:widowControl w:val="0"/>
        <w:keepNext w:val="0"/>
        <w:keepLines w:val="0"/>
        <w:shd w:val="clear" w:color="auto" w:fill="auto"/>
        <w:bidi w:val="0"/>
        <w:spacing w:before="0" w:after="0"/>
        <w:ind w:left="0" w:right="0" w:firstLine="0"/>
      </w:pPr>
      <w:r>
        <w:rPr>
          <w:rStyle w:val="CharStyle125"/>
        </w:rPr>
        <w:t xml:space="preserve">Рис. 60. </w:t>
      </w:r>
      <w:r>
        <w:rPr>
          <w:lang w:val="ru-RU" w:eastAsia="ru-RU" w:bidi="ru-RU"/>
          <w:w w:val="100"/>
          <w:spacing w:val="0"/>
          <w:color w:val="000000"/>
          <w:position w:val="0"/>
        </w:rPr>
        <w:t>Электрокардиограмма при рестриктивной КМП: значи</w:t>
        <w:softHyphen/>
        <w:t>тельная перегрузка обоих предсердий, гипертрофия левого желу</w:t>
        <w:softHyphen/>
        <w:t>дочка, субэндокардиальная ишемия миокарда.</w:t>
      </w:r>
    </w:p>
    <w:p>
      <w:pPr>
        <w:widowControl w:val="0"/>
        <w:rPr>
          <w:sz w:val="2"/>
          <w:szCs w:val="2"/>
        </w:rPr>
      </w:pPr>
    </w:p>
    <w:p>
      <w:pPr>
        <w:pStyle w:val="Style30"/>
        <w:widowControl w:val="0"/>
        <w:keepNext w:val="0"/>
        <w:keepLines w:val="0"/>
        <w:shd w:val="clear" w:color="auto" w:fill="auto"/>
        <w:bidi w:val="0"/>
        <w:spacing w:before="458" w:after="0"/>
        <w:ind w:left="740" w:right="0" w:firstLine="0"/>
      </w:pPr>
      <w:r>
        <w:rPr>
          <w:lang w:val="ru-RU" w:eastAsia="ru-RU" w:bidi="ru-RU"/>
          <w:w w:val="100"/>
          <w:spacing w:val="0"/>
          <w:color w:val="000000"/>
          <w:position w:val="0"/>
        </w:rPr>
        <w:t>ны, продолжительность волны а митрального по</w:t>
        <w:softHyphen/>
        <w:t>тока увеличена.</w:t>
      </w:r>
    </w:p>
    <w:p>
      <w:pPr>
        <w:pStyle w:val="Style30"/>
        <w:numPr>
          <w:ilvl w:val="0"/>
          <w:numId w:val="79"/>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Характерна среднедиастолическая реверсия потока через митральный и трикуспидальный клапаны. Допплерэхокардиографические проявления позво</w:t>
        <w:softHyphen/>
        <w:t>ляют дифференцировать рестриктивную кардио</w:t>
        <w:softHyphen/>
        <w:t>миопатию от констриктивного перикардита.</w:t>
      </w:r>
    </w:p>
    <w:p>
      <w:pPr>
        <w:pStyle w:val="Style30"/>
        <w:numPr>
          <w:ilvl w:val="0"/>
          <w:numId w:val="79"/>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 больных с констриктивным перикардитом мо</w:t>
        <w:softHyphen/>
        <w:t>жет определяться утолщение перикарда.</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Компьютерная томография и ядерный магнитный резо</w:t>
        <w:softHyphen/>
        <w:t>нанс позволяют дифференцировать рестриктивную кар</w:t>
        <w:softHyphen/>
        <w:t>диомиопатию от констриктивного перикардита. Катетеризация сердца:</w:t>
      </w:r>
    </w:p>
    <w:p>
      <w:pPr>
        <w:pStyle w:val="Style30"/>
        <w:numPr>
          <w:ilvl w:val="0"/>
          <w:numId w:val="79"/>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Катетеризацию сердца проводят для определения гемодинамических показателей.</w:t>
      </w:r>
    </w:p>
    <w:p>
      <w:pPr>
        <w:pStyle w:val="Style30"/>
        <w:numPr>
          <w:ilvl w:val="0"/>
          <w:numId w:val="79"/>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Легочное артериальное давление обычно повыше</w:t>
        <w:softHyphen/>
        <w:t>но. Конечно диастолическое давление в левом и правом желудочках увеличено, в левом желудоч</w:t>
        <w:softHyphen/>
        <w:t xml:space="preserve">ке конечно диастолическое давление обычно выше (&gt;5 </w:t>
      </w:r>
      <w:r>
        <w:rPr>
          <w:lang w:val="en-US" w:eastAsia="en-US" w:bidi="en-US"/>
          <w:w w:val="100"/>
          <w:spacing w:val="0"/>
          <w:color w:val="000000"/>
          <w:position w:val="0"/>
        </w:rPr>
        <w:t xml:space="preserve">mm Hg), </w:t>
      </w:r>
      <w:r>
        <w:rPr>
          <w:lang w:val="ru-RU" w:eastAsia="ru-RU" w:bidi="ru-RU"/>
          <w:w w:val="100"/>
          <w:spacing w:val="0"/>
          <w:color w:val="000000"/>
          <w:position w:val="0"/>
        </w:rPr>
        <w:t>чем конечно диастолическое давле</w:t>
        <w:softHyphen/>
        <w:t>ние в правом желудочке.</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Эндомиокардиальная биопсия позволяет выявить спе</w:t>
        <w:softHyphen/>
        <w:t>цифическую причину болезни, однако она более инфор</w:t>
        <w:softHyphen/>
        <w:t>мативна у взрослых, чем у детей.</w:t>
      </w:r>
    </w:p>
    <w:p>
      <w:pPr>
        <w:pStyle w:val="Style30"/>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Лечение</w:t>
      </w:r>
    </w:p>
    <w:p>
      <w:pPr>
        <w:pStyle w:val="Style30"/>
        <w:numPr>
          <w:ilvl w:val="0"/>
          <w:numId w:val="7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Лечение рестриктивной кардиомиопатии носит симптоматический характер и не влияет на прогноз заболевания.</w:t>
      </w:r>
    </w:p>
    <w:p>
      <w:pPr>
        <w:pStyle w:val="Style30"/>
        <w:numPr>
          <w:ilvl w:val="0"/>
          <w:numId w:val="7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Мочегонные средства уменьшают легочный или сис</w:t>
        <w:softHyphen/>
        <w:t>темный венозный застой; однако некоторые пациен</w:t>
        <w:softHyphen/>
        <w:t>ты из-за снижения желудочкового давления могут фактически чувствовать себя хуже после диуретиков.</w:t>
      </w:r>
    </w:p>
    <w:p>
      <w:pPr>
        <w:pStyle w:val="Style30"/>
        <w:numPr>
          <w:ilvl w:val="0"/>
          <w:numId w:val="7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Назначение дигоксина при нормальной систоличес</w:t>
        <w:softHyphen/>
        <w:t>кой функции является проблематичным, должен ис</w:t>
        <w:softHyphen/>
        <w:t>пользоваться с предостережением.</w:t>
      </w:r>
    </w:p>
    <w:p>
      <w:pPr>
        <w:pStyle w:val="Style30"/>
        <w:numPr>
          <w:ilvl w:val="0"/>
          <w:numId w:val="79"/>
        </w:numPr>
        <w:tabs>
          <w:tab w:leader="none" w:pos="518"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Показано назначение антикоагулянтов, поскольку повышен риск тромбоэмболических осложнений.</w:t>
      </w:r>
    </w:p>
    <w:p>
      <w:pPr>
        <w:pStyle w:val="Style30"/>
        <w:numPr>
          <w:ilvl w:val="0"/>
          <w:numId w:val="79"/>
        </w:numPr>
        <w:tabs>
          <w:tab w:leader="none" w:pos="518"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Ингибиторы ангиотензин превращающего фермента могут уменьшать системное артериальное давление</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без увеличения сердечного выброса. По этой причине назначение данных препаратов не рекомендуется.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Хирургическая коррекция</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Хирургическое лечение возможно только путем трансплантации сердца.</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Трансплантация сердца у детей с рестриктивной кар - диомиопатией должна быть проведена как можно раньше, поскольку у них рано развивается легочная гипертензия. У детей с рестриктивной кардиомиопа</w:t>
        <w:softHyphen/>
        <w:t>тией развитие легочной гипертензии возникает зна</w:t>
        <w:softHyphen/>
        <w:t>чительно чаще, чем при дилатационной и гипертро</w:t>
        <w:softHyphen/>
        <w:t>фической кардиомиопатиях. Поэтому дети с рестрик</w:t>
        <w:softHyphen/>
        <w:t>тивной кардиомиопатией нуждаются в мониториро- вании легочного артериального давления. У пациен</w:t>
        <w:softHyphen/>
        <w:t>тов с потенциально обратимой легочной гипертензи</w:t>
        <w:softHyphen/>
        <w:t>ей трансплантация сердца должна быть проведена как можно раньше. У пациентов с рестриктивной кардиомиопатией, обусловленной системным ин</w:t>
        <w:softHyphen/>
        <w:t>фильтративным заболеванием, таким как саркоидоз, трансплантация сердца не показана, поскольку ос</w:t>
        <w:softHyphen/>
        <w:t>новной процесс заболевания развивается и в переса</w:t>
        <w:softHyphen/>
        <w:t>женном сердце.</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Используется стандартная технология пересадки сердца, за исключением того, что у детей с рестрик</w:t>
        <w:softHyphen/>
        <w:t>тивной кардиомиопатией в послеоперационном пе</w:t>
        <w:softHyphen/>
        <w:t>риоде необходима коррекция и мониторирование ле</w:t>
        <w:softHyphen/>
        <w:t>гочной гипертензии.</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Результаты трансплантации сердца у детей с рестрик</w:t>
        <w:softHyphen/>
        <w:t>тивной кардиомиопатией в целом хорошие и опреде</w:t>
        <w:softHyphen/>
        <w:t>ляются величиной легочной гипертензии и послеопе</w:t>
        <w:softHyphen/>
        <w:t>рационными осложнениями.</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Дети, которым проведена трансплантация сердца по поводу рестриктивной кардиомиопатии, в последую</w:t>
        <w:softHyphen/>
        <w:t>щем должны проходить лечение иммуносупрессив</w:t>
        <w:softHyphen/>
        <w:t>ными средствами по стандартному протоколу. Если у ребенка после пересадки сердца сохраняется легоч</w:t>
        <w:softHyphen/>
        <w:t xml:space="preserve">ная гипертензия, проводится терапия, включающая дыхание кислородом под повышенным давлением, гипервентиляцию. Назначают вазодилататоры, такие как простагландин </w:t>
      </w:r>
      <w:r>
        <w:rPr>
          <w:lang w:val="en-US" w:eastAsia="en-US" w:bidi="en-US"/>
          <w:w w:val="100"/>
          <w:spacing w:val="0"/>
          <w:color w:val="000000"/>
          <w:position w:val="0"/>
        </w:rPr>
        <w:t xml:space="preserve">E1 (PGE1), </w:t>
      </w:r>
      <w:r>
        <w:rPr>
          <w:lang w:val="ru-RU" w:eastAsia="ru-RU" w:bidi="ru-RU"/>
          <w:w w:val="100"/>
          <w:spacing w:val="0"/>
          <w:color w:val="000000"/>
          <w:position w:val="0"/>
        </w:rPr>
        <w:t xml:space="preserve">простациклин, нитро- пруссид </w:t>
      </w:r>
      <w:r>
        <w:rPr>
          <w:lang w:val="en-US" w:eastAsia="en-US" w:bidi="en-US"/>
          <w:w w:val="100"/>
          <w:spacing w:val="0"/>
          <w:color w:val="000000"/>
          <w:position w:val="0"/>
        </w:rPr>
        <w:t xml:space="preserve">(sodium nitroprusside), </w:t>
      </w:r>
      <w:r>
        <w:rPr>
          <w:lang w:val="ru-RU" w:eastAsia="ru-RU" w:bidi="ru-RU"/>
          <w:w w:val="100"/>
          <w:spacing w:val="0"/>
          <w:color w:val="000000"/>
          <w:position w:val="0"/>
        </w:rPr>
        <w:t xml:space="preserve">эноксимон </w:t>
      </w:r>
      <w:r>
        <w:rPr>
          <w:lang w:val="en-US" w:eastAsia="en-US" w:bidi="en-US"/>
          <w:w w:val="100"/>
          <w:spacing w:val="0"/>
          <w:color w:val="000000"/>
          <w:position w:val="0"/>
        </w:rPr>
        <w:t xml:space="preserve">(enoxi- mone), </w:t>
      </w:r>
      <w:r>
        <w:rPr>
          <w:lang w:val="ru-RU" w:eastAsia="ru-RU" w:bidi="ru-RU"/>
          <w:w w:val="100"/>
          <w:spacing w:val="0"/>
          <w:color w:val="000000"/>
          <w:position w:val="0"/>
        </w:rPr>
        <w:t>алкалинизация крови и оксид азота. В тяже</w:t>
        <w:softHyphen/>
        <w:t>лых случаях осуществляется экстракорпоральная мембранная оксигенация.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Амбулаторное наблюдение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Ребенок с рестриктивной кардиомиопатией находится под постоянным наблюдением кардиолога. Проводится ре</w:t>
        <w:softHyphen/>
        <w:t>гулярный контроль ЭКГ, ЭхоКГ, коррекция проводимой терапии.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Активность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Физическая активность должна быть ограничена из-за гемодинамических нарушений и высокой степени риска внезапной смерти.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Развитие застойной сердечной недостаточности, аритмий (включая внезапную аритмогенную смерть), тромбоэмболия.</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Легочная гипертензия.</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Тромбоэмболические осложнения.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pict>
          <v:shape id="_x0000_s1435" type="#_x0000_t75" style="position:absolute;margin-left:136.7pt;margin-top:737.05pt;width:209.75pt;height:14.9pt;z-index:-125829106;mso-wrap-distance-left:136.3pt;mso-wrap-distance-right:147.85pt;mso-wrap-distance-bottom:10.8pt;mso-position-horizontal-relative:margin;mso-position-vertical-relative:margin" wrapcoords="0 0 21600 0 21600 21600 0 21600 0 0">
            <v:imagedata r:id="rId681" r:href="rId682"/>
            <w10:wrap type="topAndBottom" anchorx="margin" anchory="margin"/>
          </v:shape>
        </w:pict>
      </w:r>
      <w:r>
        <w:rPr>
          <w:lang w:val="ru-RU" w:eastAsia="ru-RU" w:bidi="ru-RU"/>
          <w:w w:val="100"/>
          <w:spacing w:val="0"/>
          <w:color w:val="000000"/>
          <w:position w:val="0"/>
        </w:rPr>
        <w:t>Прогноз у детей с рестриктивной кардиомиопатией неблагоприятный.</w:t>
      </w:r>
      <w:r>
        <w:br w:type="page"/>
      </w:r>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Дети имеют повышенный риск острых и хроничес</w:t>
        <w:softHyphen/>
        <w:t>кий осложнений и поэтому нуждаются в постоянном наблюдении и мониторировании параметров.</w:t>
      </w:r>
    </w:p>
    <w:p>
      <w:pPr>
        <w:pStyle w:val="Style30"/>
        <w:numPr>
          <w:ilvl w:val="0"/>
          <w:numId w:val="79"/>
        </w:numPr>
        <w:tabs>
          <w:tab w:leader="none" w:pos="496" w:val="left"/>
        </w:tabs>
        <w:widowControl w:val="0"/>
        <w:keepNext w:val="0"/>
        <w:keepLines w:val="0"/>
        <w:shd w:val="clear" w:color="auto" w:fill="auto"/>
        <w:bidi w:val="0"/>
        <w:spacing w:before="0" w:after="313"/>
        <w:ind w:left="500" w:right="0" w:hanging="240"/>
      </w:pPr>
      <w:r>
        <w:rPr>
          <w:lang w:val="ru-RU" w:eastAsia="ru-RU" w:bidi="ru-RU"/>
          <w:w w:val="100"/>
          <w:spacing w:val="0"/>
          <w:color w:val="000000"/>
          <w:position w:val="0"/>
        </w:rPr>
        <w:t>Дети, которым была проведена трансплантация серд</w:t>
        <w:softHyphen/>
        <w:t>ца до развития высокой легочной гипертензии, име</w:t>
        <w:softHyphen/>
        <w:t>ют благоприятный прогноз, такой же, как при других типах кардиомиопатий.</w:t>
      </w:r>
    </w:p>
    <w:p>
      <w:pPr>
        <w:pStyle w:val="Style48"/>
        <w:widowControl w:val="0"/>
        <w:keepNext/>
        <w:keepLines/>
        <w:shd w:val="clear" w:color="auto" w:fill="auto"/>
        <w:bidi w:val="0"/>
        <w:jc w:val="left"/>
        <w:spacing w:before="0" w:after="97" w:line="200" w:lineRule="exact"/>
        <w:ind w:left="0" w:right="0" w:firstLine="0"/>
      </w:pPr>
      <w:bookmarkStart w:id="467" w:name="bookmark467"/>
      <w:r>
        <w:rPr>
          <w:lang w:val="ru-RU" w:eastAsia="ru-RU" w:bidi="ru-RU"/>
          <w:w w:val="100"/>
          <w:spacing w:val="0"/>
          <w:color w:val="000000"/>
          <w:position w:val="0"/>
        </w:rPr>
        <w:t>Идиопатическая семейная рестриктивная КМП</w:t>
      </w:r>
      <w:bookmarkEnd w:id="467"/>
    </w:p>
    <w:p>
      <w:pPr>
        <w:pStyle w:val="Style92"/>
        <w:widowControl w:val="0"/>
        <w:keepNext/>
        <w:keepLines/>
        <w:shd w:val="clear" w:color="auto" w:fill="auto"/>
        <w:bidi w:val="0"/>
        <w:spacing w:before="0" w:after="0"/>
        <w:ind w:left="500" w:right="0" w:hanging="240"/>
      </w:pPr>
      <w:bookmarkStart w:id="468" w:name="bookmark468"/>
      <w:r>
        <w:rPr>
          <w:lang w:val="ru-RU" w:eastAsia="ru-RU" w:bidi="ru-RU"/>
          <w:w w:val="100"/>
          <w:spacing w:val="0"/>
          <w:color w:val="000000"/>
          <w:position w:val="0"/>
        </w:rPr>
        <w:t>Причины</w:t>
      </w:r>
      <w:bookmarkEnd w:id="468"/>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Идиопатическая РКМП является семейным заболе</w:t>
        <w:softHyphen/>
        <w:t>ванием. Она может наблюдаться в сочетании с мио- патией дистальной мускулатуры. Известен случай ау- тосомно-доминантной формы рестриктивной КМП в сочетании с атриовентрикулярной блокадой и ске</w:t>
        <w:softHyphen/>
        <w:t xml:space="preserve">летной миопатией в пяти поколениях итальянской семьи </w:t>
      </w:r>
      <w:r>
        <w:rPr>
          <w:lang w:val="en-US" w:eastAsia="en-US" w:bidi="en-US"/>
          <w:w w:val="100"/>
          <w:spacing w:val="0"/>
          <w:color w:val="000000"/>
          <w:position w:val="0"/>
        </w:rPr>
        <w:t>[Fitzpatrick A.P. et al.,1990].</w:t>
      </w:r>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Известно достаточное число наблюдений идиопати</w:t>
        <w:softHyphen/>
        <w:t xml:space="preserve">ческой рестриктивной КМП в детском возрасте. </w:t>
      </w:r>
      <w:r>
        <w:rPr>
          <w:lang w:val="en-US" w:eastAsia="en-US" w:bidi="en-US"/>
          <w:w w:val="100"/>
          <w:spacing w:val="0"/>
          <w:color w:val="000000"/>
          <w:position w:val="0"/>
        </w:rPr>
        <w:t xml:space="preserve">Feld S. </w:t>
      </w:r>
      <w:r>
        <w:rPr>
          <w:lang w:val="ru-RU" w:eastAsia="ru-RU" w:bidi="ru-RU"/>
          <w:w w:val="100"/>
          <w:spacing w:val="0"/>
          <w:color w:val="000000"/>
          <w:position w:val="0"/>
        </w:rPr>
        <w:t xml:space="preserve">и </w:t>
      </w:r>
      <w:r>
        <w:rPr>
          <w:lang w:val="en-US" w:eastAsia="en-US" w:bidi="en-US"/>
          <w:w w:val="100"/>
          <w:spacing w:val="0"/>
          <w:color w:val="000000"/>
          <w:position w:val="0"/>
        </w:rPr>
        <w:t xml:space="preserve">Caspi A. </w:t>
      </w:r>
      <w:r>
        <w:rPr>
          <w:lang w:val="ru-RU" w:eastAsia="ru-RU" w:bidi="ru-RU"/>
          <w:w w:val="100"/>
          <w:spacing w:val="0"/>
          <w:color w:val="000000"/>
          <w:position w:val="0"/>
        </w:rPr>
        <w:t>(1992) описали кардиомиопатию с вари</w:t>
        <w:softHyphen/>
        <w:t>абельными проявлениями гипертрофии и рестрик</w:t>
        <w:softHyphen/>
        <w:t xml:space="preserve">ции в трех поколениях семьи с одинаковым </w:t>
      </w:r>
      <w:r>
        <w:rPr>
          <w:lang w:val="en-US" w:eastAsia="en-US" w:bidi="en-US"/>
          <w:w w:val="100"/>
          <w:spacing w:val="0"/>
          <w:color w:val="000000"/>
          <w:position w:val="0"/>
        </w:rPr>
        <w:t xml:space="preserve">HLA </w:t>
      </w:r>
      <w:r>
        <w:rPr>
          <w:lang w:val="ru-RU" w:eastAsia="ru-RU" w:bidi="ru-RU"/>
          <w:w w:val="100"/>
          <w:spacing w:val="0"/>
          <w:color w:val="000000"/>
          <w:position w:val="0"/>
        </w:rPr>
        <w:t>гап- лотипом. Семейный вариант рестриктивной КМП без дистальной миопатии описан у отца и дочери.</w:t>
      </w:r>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Семейная негипертрофическая рестриктивная КМП с аутосомно-доминантным наследованием и вариа</w:t>
        <w:softHyphen/>
        <w:t>бельной пенетрантностью описана в сочетании с синдромом Нунан. Такая ассоциация подтверждает факт генетической предрасположенности при идио</w:t>
        <w:softHyphen/>
        <w:t>патических рестриктивных КМП. Генетический ло</w:t>
        <w:softHyphen/>
        <w:t>кус заболевания сочетается с дистальным миопатиче- ским синдромом, спорадические случаи заболевания, вероятно, возникают в результате новой мутации.</w:t>
      </w:r>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Установлена миссенс-мутация в гене саркомерного белка тропонина </w:t>
      </w:r>
      <w:r>
        <w:rPr>
          <w:lang w:val="en-US" w:eastAsia="en-US" w:bidi="en-US"/>
          <w:w w:val="100"/>
          <w:spacing w:val="0"/>
          <w:color w:val="000000"/>
          <w:position w:val="0"/>
        </w:rPr>
        <w:t>I.</w:t>
      </w:r>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обследованных семьях часть больных имеют фено</w:t>
        <w:softHyphen/>
        <w:t>типические проявления гипертрофической КМП, а часть — рестриктивной КМП.</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Морфология</w:t>
      </w:r>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Идиопатическая семейная РКМП характеризуется умеренным увеличением массы сердца.</w:t>
      </w:r>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Характерна дилатация обоих предсердий, часто опре</w:t>
        <w:softHyphen/>
        <w:t>деляются тромбы в ушках предсердий.</w:t>
      </w:r>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Размер полости и толщина миокарда желудочков обычно нормальные, глобальная систолическая функция снижена.</w:t>
      </w:r>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Правый желудочек может быть дилатированным в за</w:t>
        <w:softHyphen/>
        <w:t>висимости от степени легочной гипертензии.</w:t>
      </w:r>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Одним из проявлений рестриктивной КМП является различной степени выраженности эндокардиальный фиброз.</w:t>
      </w:r>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микроскопическом исследовании перикард не изменен, выявляется интерстициальный фиброз от минимального (локального) до распространенного.</w:t>
      </w:r>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Определяется фиброз синоатриального и атриовент</w:t>
        <w:softHyphen/>
        <w:t>рикулярного узлов, что может приводить к полной блокаде сердца.</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Анамнез, клиническая симптоматика</w:t>
      </w:r>
    </w:p>
    <w:p>
      <w:pPr>
        <w:pStyle w:val="Style30"/>
        <w:numPr>
          <w:ilvl w:val="0"/>
          <w:numId w:val="7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 детей идиопатическая рестриктивная КМП наблю</w:t>
        <w:softHyphen/>
        <w:t>дается преимущественно у девочек, однако это утвер</w:t>
        <w:softHyphen/>
        <w:t>ждение пока доказано на небольшом числе наблюде</w:t>
        <w:softHyphen/>
      </w:r>
    </w:p>
    <w:p>
      <w:pPr>
        <w:pStyle w:val="Style30"/>
        <w:widowControl w:val="0"/>
        <w:keepNext w:val="0"/>
        <w:keepLines w:val="0"/>
        <w:shd w:val="clear" w:color="auto" w:fill="auto"/>
        <w:bidi w:val="0"/>
        <w:spacing w:before="0" w:after="0"/>
        <w:ind w:left="280" w:right="0" w:firstLine="0"/>
      </w:pPr>
      <w:r>
        <w:br w:type="column"/>
      </w:r>
      <w:r>
        <w:rPr>
          <w:lang w:val="ru-RU" w:eastAsia="ru-RU" w:bidi="ru-RU"/>
          <w:w w:val="100"/>
          <w:spacing w:val="0"/>
          <w:color w:val="000000"/>
          <w:position w:val="0"/>
        </w:rPr>
        <w:t>ний. Клиническое течение идиопатической РКМП вариабельное.</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Клиническая симптоматика не позволяет непосред</w:t>
        <w:softHyphen/>
        <w:t>ственно установить диагноз рестриктивной КМП.</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Признаки включают одышку, пароксизмальную ноч</w:t>
        <w:softHyphen/>
        <w:t>ную одышку, ортопноэ, периферические отеки, ас</w:t>
        <w:softHyphen/>
        <w:t>цит, а также общую усталость и слабость.</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классических случаях определяются симптомы сер - дечной недостаточности при нормальных размерах сердца.</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Клинические данные подобны тем, которые наблю</w:t>
        <w:softHyphen/>
        <w:t>даются при тяжелом констриктивном перикардите.</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одной трети случаев у пациентов с идиопатической рестриктивной КМП могут возникать тромбоэмбо</w:t>
        <w:softHyphen/>
        <w:t>лические осложнения.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Физикальные данные:</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 величине гемодинамических нарушений при РКМП можно судить по характеру югулярного ве</w:t>
        <w:softHyphen/>
        <w:t>нозного пульса и степени повышения венозного дав</w:t>
        <w:softHyphen/>
        <w:t xml:space="preserve">ления. Быстрые х и </w:t>
      </w:r>
      <w:r>
        <w:rPr>
          <w:rStyle w:val="CharStyle103"/>
        </w:rPr>
        <w:t>у</w:t>
      </w:r>
      <w:r>
        <w:rPr>
          <w:lang w:val="ru-RU" w:eastAsia="ru-RU" w:bidi="ru-RU"/>
          <w:w w:val="100"/>
          <w:spacing w:val="0"/>
          <w:color w:val="000000"/>
          <w:position w:val="0"/>
        </w:rPr>
        <w:t xml:space="preserve"> спуски могут присутствовать при синусовом ритме, но самая видная волна — </w:t>
      </w:r>
      <w:r>
        <w:rPr>
          <w:rStyle w:val="CharStyle103"/>
        </w:rPr>
        <w:t>у</w:t>
      </w:r>
      <w:r>
        <w:rPr>
          <w:lang w:val="ru-RU" w:eastAsia="ru-RU" w:bidi="ru-RU"/>
          <w:w w:val="100"/>
          <w:spacing w:val="0"/>
          <w:color w:val="000000"/>
          <w:position w:val="0"/>
        </w:rPr>
        <w:t xml:space="preserve"> спуск.</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Яремный венозный пульс не в состоянии спадаться во время вдоха и может значительно повыситься (признак Куссмауля).</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Периферические отеки и асцит появляются в тяже</w:t>
        <w:softHyphen/>
        <w:t>лых случаях, печень увеличена и пульсирует.</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Левожелудочковый систолический толчок обычно нормален.</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Первый тон обычно нормален, второй тон расщеп - ленный.</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Расщепление второго тона усиливается во время вдо - ха, легочный компонент не акцентуирован.</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Обычно выслушивается третий тон, который имеет правожелудочковое или левожелудочковое проис</w:t>
        <w:softHyphen/>
        <w:t>хождение, реже определяется четвертый тон.</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тяжелых случаях определяется снижение перифе</w:t>
        <w:softHyphen/>
        <w:t>рического пульса и пульса на сонных артериях, свя</w:t>
        <w:softHyphen/>
        <w:t>занное с низким сердечным выбросом.</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 электрокардиограмме определяются неспецифи</w:t>
        <w:softHyphen/>
        <w:t xml:space="preserve">ческие </w:t>
      </w:r>
      <w:r>
        <w:rPr>
          <w:lang w:val="en-US" w:eastAsia="en-US" w:bidi="en-US"/>
          <w:w w:val="100"/>
          <w:spacing w:val="0"/>
          <w:color w:val="000000"/>
          <w:position w:val="0"/>
        </w:rPr>
        <w:t xml:space="preserve">ST-T </w:t>
      </w:r>
      <w:r>
        <w:rPr>
          <w:lang w:val="ru-RU" w:eastAsia="ru-RU" w:bidi="ru-RU"/>
          <w:w w:val="100"/>
          <w:spacing w:val="0"/>
          <w:color w:val="000000"/>
          <w:position w:val="0"/>
        </w:rPr>
        <w:t>нарушения.</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Могут выявляться гипертрофия желудочков, наруше - ние проводимости, включая атриовентрикулярную блокаду.</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Рентгенологически определяется нормальная тень желудочковых камер и дилатация предсердий, осо</w:t>
        <w:softHyphen/>
        <w:t>бенно в случаях митральной регургитации.</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Часто определяются застойные явления в легких, ин</w:t>
        <w:softHyphen/>
        <w:t>терстициальный отек, линии Керли В.</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Может наблюдаться плевральный выпот.</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Допплерэхокардиография:</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допплерэхокардиографии определяются харак</w:t>
        <w:softHyphen/>
        <w:t>терные изменения трансмитрального потока при рес</w:t>
        <w:softHyphen/>
        <w:t>триктивной КМП.</w:t>
      </w:r>
    </w:p>
    <w:p>
      <w:pPr>
        <w:pStyle w:val="Style30"/>
        <w:numPr>
          <w:ilvl w:val="0"/>
          <w:numId w:val="79"/>
        </w:numPr>
        <w:tabs>
          <w:tab w:leader="none" w:pos="238" w:val="left"/>
        </w:tabs>
        <w:widowControl w:val="0"/>
        <w:keepNext w:val="0"/>
        <w:keepLines w:val="0"/>
        <w:shd w:val="clear" w:color="auto" w:fill="auto"/>
        <w:bidi w:val="0"/>
        <w:spacing w:before="0" w:after="0"/>
        <w:ind w:left="280" w:right="0" w:hanging="280"/>
      </w:pPr>
      <w:r>
        <w:pict>
          <v:shape id="_x0000_s1436" type="#_x0000_t75" style="position:absolute;margin-left:147.6pt;margin-top:737.05pt;width:209.75pt;height:14.9pt;z-index:-125829105;mso-wrap-distance-left:147.1pt;mso-wrap-distance-right:136.8pt;mso-wrap-distance-bottom:10.8pt;mso-position-horizontal-relative:margin;mso-position-vertical-relative:margin" wrapcoords="0 0 21600 0 21600 21600 0 21600 0 0">
            <v:imagedata r:id="rId683" r:href="rId684"/>
            <w10:wrap type="topAndBottom" anchorx="margin" anchory="margin"/>
          </v:shape>
        </w:pict>
      </w:r>
      <w:r>
        <w:rPr>
          <w:lang w:val="ru-RU" w:eastAsia="ru-RU" w:bidi="ru-RU"/>
          <w:w w:val="100"/>
          <w:spacing w:val="0"/>
          <w:color w:val="000000"/>
          <w:position w:val="0"/>
        </w:rPr>
        <w:t>Характерны увеличение скорости раннего диастоли</w:t>
        <w:softHyphen/>
        <w:t>ческого наполнения (пик Е больше 1,0 м/с), умень</w:t>
        <w:softHyphen/>
        <w:t>шение скорости предсердного наполнения (пик А меньше 0,5 м/с), увеличение отношения пика Е к А (более 2), уменьшение скорости децелерации по-</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тока (меньше 150 м/с) и времени изоволюметричес</w:t>
        <w:softHyphen/>
        <w:t>кой релаксации (меньше 70 м/с).</w:t>
      </w:r>
    </w:p>
    <w:p>
      <w:pPr>
        <w:pStyle w:val="Style30"/>
        <w:numPr>
          <w:ilvl w:val="0"/>
          <w:numId w:val="7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Определенное диагностическое значение при рест</w:t>
        <w:softHyphen/>
        <w:t>риктивной КМП имеет исследование потоков в ле</w:t>
        <w:softHyphen/>
        <w:t>гочных или портальных венах. Систолический поток меньше, чем диастолический, происходит реверсия диастолического потока во время предсердной конт</w:t>
        <w:softHyphen/>
        <w:t>ракции и во время вдоха. Укорочение времени деце- лерации трансмитрального и транстрикуспидального потоков свидетельствует о внезапном прекращении наполнения желудочков.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Катетеризация сердца:</w:t>
      </w:r>
    </w:p>
    <w:p>
      <w:pPr>
        <w:pStyle w:val="Style30"/>
        <w:numPr>
          <w:ilvl w:val="0"/>
          <w:numId w:val="7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катетеризации сердца выявляются характерные гемодинамические изменения: в начале диастолы форма кривой давления глубокая и быстро прекра</w:t>
        <w:softHyphen/>
        <w:t>щается, в последующем образуя плато. Это так назы</w:t>
        <w:softHyphen/>
        <w:t>ваемый признак «квадратного корня». Давление в правом предсердии увеличено, кривая имеет фор</w:t>
        <w:softHyphen/>
        <w:t xml:space="preserve">му в виде </w:t>
      </w:r>
      <w:r>
        <w:rPr>
          <w:lang w:val="en-US" w:eastAsia="en-US" w:bidi="en-US"/>
          <w:w w:val="100"/>
          <w:spacing w:val="0"/>
          <w:color w:val="000000"/>
          <w:position w:val="0"/>
        </w:rPr>
        <w:t xml:space="preserve">M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W, </w:t>
      </w:r>
      <w:r>
        <w:rPr>
          <w:lang w:val="ru-RU" w:eastAsia="ru-RU" w:bidi="ru-RU"/>
          <w:w w:val="100"/>
          <w:spacing w:val="0"/>
          <w:color w:val="000000"/>
          <w:position w:val="0"/>
        </w:rPr>
        <w:t>как и при констриктивном пери</w:t>
        <w:softHyphen/>
        <w:t>кардите, однако при рестриктивной КМП отсут</w:t>
        <w:softHyphen/>
        <w:t xml:space="preserve">ствуют вариации венозного давления при дыхании, однако нисходящая волна </w:t>
      </w:r>
      <w:r>
        <w:rPr>
          <w:rStyle w:val="CharStyle103"/>
        </w:rPr>
        <w:t>у</w:t>
      </w:r>
      <w:r>
        <w:rPr>
          <w:lang w:val="ru-RU" w:eastAsia="ru-RU" w:bidi="ru-RU"/>
          <w:w w:val="100"/>
          <w:spacing w:val="0"/>
          <w:color w:val="000000"/>
          <w:position w:val="0"/>
        </w:rPr>
        <w:t xml:space="preserve"> может становиться глуб</w:t>
        <w:softHyphen/>
        <w:t>же во время вдоха. Правожелудочковое давление мо</w:t>
        <w:softHyphen/>
        <w:t>жет быть повышено и находиться в пределах 40 мм рт. ст., диастолическое давление обычно значитель</w:t>
        <w:softHyphen/>
        <w:t>но выше (15-20 мм рт. ст.), что не является диффе</w:t>
        <w:softHyphen/>
        <w:t>ренциальным признаком от констриктивного пери</w:t>
        <w:softHyphen/>
        <w:t>кардита. Кривая диастолического давления в левом желудочке имеет тe же характеристики, что и в пра</w:t>
        <w:softHyphen/>
        <w:t>вом желудочке, однако давление обычно на 5 мм рт. ст. выше. Одинаковые показатели диастолического давления в желудочках не исключают рестриктив</w:t>
        <w:softHyphen/>
        <w:t>ную КМП. Разница между конечно диастолическим давлением в левом и правом желудочках увеличива</w:t>
        <w:softHyphen/>
        <w:t>ется во время нагрузки.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Эндомиокардиальная биопсия:</w:t>
      </w:r>
    </w:p>
    <w:p>
      <w:pPr>
        <w:pStyle w:val="Style30"/>
        <w:numPr>
          <w:ilvl w:val="0"/>
          <w:numId w:val="7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Эндомиокардиальная биопсия показана в случаях, когда другие методы диагностики не позволяют уста</w:t>
        <w:softHyphen/>
        <w:t>новить диагноз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Констриктивный перикардит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Указания в анамнезе на перикардит, а также данные о перенесенной туберкулезной инфекции свидетельствуют в пользу констриктивного перикардита. Констриктивный перикардит может возникать также в результате травмы, включая хирургические процедуры. Радиотерапия может вызвать заболевание перикарда, включая острый перикар</w:t>
        <w:softHyphen/>
        <w:t>дит с формированием констриктивного, клиническая кар</w:t>
        <w:softHyphen/>
        <w:t>тина которого возникает через несколько лет от момена об</w:t>
        <w:softHyphen/>
        <w:t>лучения. Хотя и очень редко, в некоторых случаях рестрик</w:t>
        <w:softHyphen/>
        <w:t>тивная КМП может обусловить возникновение констрик- тивного перикардита.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Предложено большое число диагностических процедур, позволяющих дифференцировать эти состояния, включая изучение характера наполнения левого желудочка, радио - нуклидную ангиографию, цифровую эхокардиографию, допплерэхокардиографию, эндомиокардиальную биопсию, компьютерную томографию и магнитный резонанс. Не</w:t>
        <w:softHyphen/>
        <w:t>смотря на совершенствование диагностической техники, до настоящего времени нет стопроцентной гарантии в точ</w:t>
        <w:softHyphen/>
        <w:t>ности диагностики заболевания. Единственным доказа</w:t>
        <w:softHyphen/>
        <w:t>тельством в этих случаях является перикардэктомия.</w:t>
      </w:r>
    </w:p>
    <w:p>
      <w:pPr>
        <w:pStyle w:val="Style92"/>
        <w:widowControl w:val="0"/>
        <w:keepNext/>
        <w:keepLines/>
        <w:shd w:val="clear" w:color="auto" w:fill="auto"/>
        <w:bidi w:val="0"/>
        <w:spacing w:before="0" w:after="0"/>
        <w:ind w:left="0" w:right="0" w:firstLine="280"/>
      </w:pPr>
      <w:r>
        <w:br w:type="column"/>
      </w:r>
      <w:bookmarkStart w:id="469" w:name="bookmark469"/>
      <w:r>
        <w:rPr>
          <w:lang w:val="ru-RU" w:eastAsia="ru-RU" w:bidi="ru-RU"/>
          <w:w w:val="100"/>
          <w:spacing w:val="0"/>
          <w:color w:val="000000"/>
          <w:position w:val="0"/>
        </w:rPr>
        <w:t>Лечение</w:t>
      </w:r>
      <w:bookmarkEnd w:id="469"/>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Назначение диуретиков показано при наличии сис</w:t>
        <w:softHyphen/>
        <w:t>темного или венозного застоя. Их интенсивное при</w:t>
        <w:softHyphen/>
        <w:t>менение при рестриктивной КМП может приводить к уменьшению давления наполнения желудочков, па</w:t>
        <w:softHyphen/>
        <w:t>дению сердечного выброса, что обусловливает сла</w:t>
        <w:softHyphen/>
        <w:t>бость, головокружение и признаки гипотензии.</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Дигоксин, применяемый при семейной РКМП, мо</w:t>
        <w:softHyphen/>
        <w:t>жет оказывать аритмогенный эффект, особенно у больных амилоидозом.</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Возникновение мерцательной аритмии приводит к прекращению наполнения желудочков предсердия</w:t>
        <w:softHyphen/>
        <w:t>ми, усиливается диастолическая дисфункция, в ре</w:t>
        <w:softHyphen/>
        <w:t>зультате снижается сердечный выброс. В этой связи больным с рестриктивной КМП показано назначе</w:t>
        <w:softHyphen/>
        <w:t>ние кордарона. При отсутствии эффекта проводится кардиоверсия.</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Сопутствующие поражения проводящей системы уст</w:t>
        <w:softHyphen/>
        <w:t>раняют имплантацией кардиостимулятора. Посколь</w:t>
        <w:softHyphen/>
        <w:t>ку сердечный выброс при рестриктивной КМП фик</w:t>
        <w:softHyphen/>
        <w:t>сированный, возникновение брадиаритмии предрас</w:t>
        <w:softHyphen/>
        <w:t>полагает к сердечной недостаточности и, следователь</w:t>
        <w:softHyphen/>
        <w:t>но, должно быть корригировано. Возникающие зло</w:t>
        <w:softHyphen/>
        <w:t>качественные желудочковые аритмии устраняют пу</w:t>
        <w:softHyphen/>
        <w:t>тем имплантации автономного дефибриллятора.</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Рекомендуется назначение антикоагулянтов (варфа- рина), поскольку в ушках предсердий образуются тромбы, которые могут явиться причиной эмболиче</w:t>
        <w:softHyphen/>
        <w:t>ских осложнений. Больные с мерцанием предсердий, клапанными вегетациями и низким сердечным вы</w:t>
        <w:softHyphen/>
        <w:t>бросом представляют группу высокого риска.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Трансплантация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Погноз идиопатической семейной РКМП неблагопри</w:t>
        <w:softHyphen/>
        <w:t>ятный, продолжительность жизни с момента появления симптомов заболевания не превышает 2-3 лет.</w:t>
      </w:r>
    </w:p>
    <w:p>
      <w:pPr>
        <w:pStyle w:val="Style30"/>
        <w:widowControl w:val="0"/>
        <w:keepNext w:val="0"/>
        <w:keepLines w:val="0"/>
        <w:shd w:val="clear" w:color="auto" w:fill="auto"/>
        <w:bidi w:val="0"/>
        <w:spacing w:before="0" w:after="313"/>
        <w:ind w:left="0" w:right="0" w:firstLine="280"/>
      </w:pPr>
      <w:r>
        <w:rPr>
          <w:lang w:val="ru-RU" w:eastAsia="ru-RU" w:bidi="ru-RU"/>
          <w:w w:val="100"/>
          <w:spacing w:val="0"/>
          <w:color w:val="000000"/>
          <w:position w:val="0"/>
        </w:rPr>
        <w:t>Прогноз идиопатической семейной РКМП у детей зна</w:t>
        <w:softHyphen/>
        <w:t>чительно хуже, чем у взрослых пациентов.</w:t>
      </w:r>
    </w:p>
    <w:p>
      <w:pPr>
        <w:pStyle w:val="Style48"/>
        <w:widowControl w:val="0"/>
        <w:keepNext/>
        <w:keepLines/>
        <w:shd w:val="clear" w:color="auto" w:fill="auto"/>
        <w:bidi w:val="0"/>
        <w:jc w:val="left"/>
        <w:spacing w:before="0" w:after="97" w:line="200" w:lineRule="exact"/>
        <w:ind w:left="0" w:right="0" w:firstLine="0"/>
      </w:pPr>
      <w:bookmarkStart w:id="470" w:name="bookmark470"/>
      <w:r>
        <w:rPr>
          <w:lang w:val="ru-RU" w:eastAsia="ru-RU" w:bidi="ru-RU"/>
          <w:w w:val="100"/>
          <w:spacing w:val="0"/>
          <w:color w:val="000000"/>
          <w:position w:val="0"/>
        </w:rPr>
        <w:t>Эндомиокардиальный фиброз</w:t>
      </w:r>
      <w:bookmarkEnd w:id="470"/>
    </w:p>
    <w:p>
      <w:pPr>
        <w:pStyle w:val="Style92"/>
        <w:widowControl w:val="0"/>
        <w:keepNext/>
        <w:keepLines/>
        <w:shd w:val="clear" w:color="auto" w:fill="auto"/>
        <w:bidi w:val="0"/>
        <w:spacing w:before="0" w:after="0"/>
        <w:ind w:left="0" w:right="0" w:firstLine="280"/>
      </w:pPr>
      <w:bookmarkStart w:id="471" w:name="bookmark471"/>
      <w:r>
        <w:rPr>
          <w:lang w:val="ru-RU" w:eastAsia="ru-RU" w:bidi="ru-RU"/>
          <w:w w:val="100"/>
          <w:spacing w:val="0"/>
          <w:color w:val="000000"/>
          <w:position w:val="0"/>
        </w:rPr>
        <w:t>Введение</w:t>
      </w:r>
      <w:bookmarkEnd w:id="47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Под эндомиокардиальным фиброзом понимают пато</w:t>
        <w:softHyphen/>
        <w:t>физиологическое состояние, являющееся частью опреде</w:t>
        <w:softHyphen/>
        <w:t>ленного спектра заболеваний, включая эндокардит Лефле- ра (нетропический эозинофильный эндомиокардиальный фиброз или фибропластический париетальный эндокардит с эозинофилией).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Тропический эндомиокардиальный фиброз и эндокар</w:t>
        <w:softHyphen/>
        <w:t>дит Лефлера должны быть дифференцированы от эндокар</w:t>
        <w:softHyphen/>
        <w:t>диального фиброэластоза, который характеризуется хряще</w:t>
        <w:softHyphen/>
        <w:t>вым утолщением мурального эндокарда, в основном левого желудочка. Это заболевание проявляется в первые два года жизни, в ряде случаев наследуется и может сочетаться с врожденными аномалиями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Гистологические данные</w:t>
      </w:r>
    </w:p>
    <w:p>
      <w:pPr>
        <w:pStyle w:val="Style30"/>
        <w:widowControl w:val="0"/>
        <w:keepNext w:val="0"/>
        <w:keepLines w:val="0"/>
        <w:shd w:val="clear" w:color="auto" w:fill="auto"/>
        <w:bidi w:val="0"/>
        <w:spacing w:before="0" w:after="0"/>
        <w:ind w:left="0" w:right="0" w:firstLine="280"/>
      </w:pPr>
      <w:r>
        <w:pict>
          <v:shape id="_x0000_s1437" type="#_x0000_t75" style="position:absolute;margin-left:136.9pt;margin-top:737.05pt;width:209.75pt;height:14.9pt;z-index:-125829104;mso-wrap-distance-left:136.8pt;mso-wrap-distance-right:147.85pt;mso-wrap-distance-bottom:10.8pt;mso-position-horizontal-relative:margin;mso-position-vertical-relative:margin" wrapcoords="0 0 21600 0 21600 21600 0 21600 0 0">
            <v:imagedata r:id="rId685" r:href="rId686"/>
            <w10:wrap type="topAndBottom" anchorx="margin" anchory="margin"/>
          </v:shape>
        </w:pict>
      </w:r>
      <w:r>
        <w:rPr>
          <w:lang w:val="ru-RU" w:eastAsia="ru-RU" w:bidi="ru-RU"/>
          <w:w w:val="100"/>
          <w:spacing w:val="0"/>
          <w:color w:val="000000"/>
          <w:position w:val="0"/>
        </w:rPr>
        <w:t>Размер сердца при эндомиокардиальном фиброзе не увеличен. Желудочковые камеры часто заполнены тромба</w:t>
        <w:softHyphen/>
        <w:t>ми и в тяжелых случаях почти полностью облитерированы утолщенным эндокардом и тромбами. Гистологические данные характеризуются распространенным фиброзом, ин-</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фарктными изменениями в субэндокарде и тромботичес</w:t>
        <w:softHyphen/>
        <w:t>кими образованиями. Дополнительные изменения в виде гемохроматоза или гликогеновой болезни сердца не опре</w:t>
        <w:softHyphen/>
        <w:t>деляются.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Эндомиокардиальный фиброз прежде всего наблю</w:t>
        <w:softHyphen/>
        <w:t>дается в субтропических регионах Африки и в тропи</w:t>
        <w:softHyphen/>
        <w:t>ческих и субтропических регионах других стран мира, включая области Индии и Южной Америки, которые расположены в пределах 15° от экватора.</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Больше чем 90% случаев эндомиокардиального фиб</w:t>
        <w:softHyphen/>
        <w:t>роза возникают в географических местоположениях, которые расположены в пределах 15° от экватора. В экваториальных африканских странах, типа Ниге</w:t>
        <w:softHyphen/>
        <w:t>рии эндомиокардиальный фиброз — четвертая самая общая причина болезней сердца взрослых и обуслов</w:t>
        <w:softHyphen/>
        <w:t>ливает 22% случаев сердечной недостаточности у ни</w:t>
        <w:softHyphen/>
        <w:t>герийских детей. Эндомиокардиальный фиброз явля</w:t>
        <w:softHyphen/>
        <w:t>ется самой частой причиной рестриктивной кардио</w:t>
        <w:softHyphen/>
        <w:t>миопатии в тропических странах.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Заболевание чаще наблюдается у детей и женщин ре</w:t>
        <w:softHyphen/>
        <w:t>продуктивного возраста.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Эндомиокардиальный фиброз не наблюдается у де</w:t>
        <w:softHyphen/>
        <w:t>тей моложе 4-летнего возраста.</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Заболевание чаще всего наблюдается у детей 5-15 лет и молодых женщин.</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Этиологический фактор эндомиокардиального фиброза не установлен. Потенциальными причинами могут быть:</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Инфекция:</w:t>
      </w:r>
    </w:p>
    <w:p>
      <w:pPr>
        <w:pStyle w:val="Style30"/>
        <w:numPr>
          <w:ilvl w:val="0"/>
          <w:numId w:val="8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паразитарная (гельминтоз);</w:t>
      </w:r>
    </w:p>
    <w:p>
      <w:pPr>
        <w:pStyle w:val="Style30"/>
        <w:numPr>
          <w:ilvl w:val="0"/>
          <w:numId w:val="8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протозойная (токсоплазмоз, малярия).</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Воспаление — эозинофилия.</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Алиментарный фактор:</w:t>
      </w:r>
    </w:p>
    <w:p>
      <w:pPr>
        <w:pStyle w:val="Style30"/>
        <w:numPr>
          <w:ilvl w:val="0"/>
          <w:numId w:val="8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общее голодание;</w:t>
      </w:r>
    </w:p>
    <w:p>
      <w:pPr>
        <w:pStyle w:val="Style30"/>
        <w:numPr>
          <w:ilvl w:val="0"/>
          <w:numId w:val="8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питание клубнями (маниока);</w:t>
      </w:r>
    </w:p>
    <w:p>
      <w:pPr>
        <w:pStyle w:val="Style30"/>
        <w:numPr>
          <w:ilvl w:val="0"/>
          <w:numId w:val="8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интоксикация церием;</w:t>
      </w:r>
    </w:p>
    <w:p>
      <w:pPr>
        <w:pStyle w:val="Style30"/>
        <w:numPr>
          <w:ilvl w:val="0"/>
          <w:numId w:val="8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гипомагнезиемия.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эндомиокардиальном фиброзе основной процесс заключается в разрастании фибротических тканей на эндокардиальной поверхности сердца, приводя к уменьшению комплайнса и в конечном счете к рес</w:t>
        <w:softHyphen/>
        <w:t>триктивной патологии. При эндокардиальном фибро</w:t>
        <w:softHyphen/>
        <w:t>зе преимущественно поражаются приточные тракты левого и правого желудочков. В процесс могут вовле</w:t>
        <w:softHyphen/>
        <w:t>каться атриовентрикулярные клапаны, обусловливая трикуспидальную или митральную регургитацию.</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Ранние проявления эндомиокардиального фиброза не установлены, поскольку у большинства больных отсутствует симптоматика заболевания, признаки бо</w:t>
        <w:softHyphen/>
        <w:t>лезни возникают на поздних морфологических ста</w:t>
        <w:softHyphen/>
        <w:t xml:space="preserve">диях. </w:t>
      </w:r>
      <w:r>
        <w:rPr>
          <w:lang w:val="en-US" w:eastAsia="en-US" w:bidi="en-US"/>
          <w:w w:val="100"/>
          <w:spacing w:val="0"/>
          <w:color w:val="000000"/>
          <w:position w:val="0"/>
        </w:rPr>
        <w:t xml:space="preserve">Olsen </w:t>
      </w:r>
      <w:r>
        <w:rPr>
          <w:lang w:val="ru-RU" w:eastAsia="ru-RU" w:bidi="ru-RU"/>
          <w:w w:val="100"/>
          <w:spacing w:val="0"/>
          <w:color w:val="000000"/>
          <w:position w:val="0"/>
        </w:rPr>
        <w:t>описывает 3 фазы эндомиокардиального фиброза. На первой фазе возникает эозинофильная инфильтрация миокарда с некрозом субэндокарда. Такая патологическая картина аналогична острому миокардиту и продолжается около 5 недель заболева</w:t>
        <w:softHyphen/>
        <w:t>ния. Вторая фаза, обычно возникающая через 10 ме</w:t>
        <w:softHyphen/>
        <w:t>сяцев, характеризуется тромботическим формирова</w:t>
        <w:softHyphen/>
        <w:t>нием и стиханием воспалительного процесса. В ко</w:t>
        <w:softHyphen/>
        <w:br w:type="column"/>
        <w:t>нечном счете после нескольких лет болезни развива</w:t>
        <w:softHyphen/>
        <w:t>ется фибротическая стадия, когда эндокард замеща</w:t>
        <w:softHyphen/>
        <w:t>ется коллагеновым фиброзом. Распространенная кальцификация редко сочетается с фиброзом. Данная патоморфологическая схема не всегда происходит в такой последовательности.</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Этиопатогенез эндомиокардиального фиброза не уста</w:t>
        <w:softHyphen/>
        <w:t>новлен. Гипотезы включают инфекцию, воспаление, обменные нарушения. Эндомиокардиальный фиброз часто сочетается с конкомитантной паразитарной ин</w:t>
        <w:softHyphen/>
        <w:t>фекцией (например, гельминтоз), приводящей к эози</w:t>
        <w:softHyphen/>
        <w:t>нофилии. Развитие эндомиокардиального фиброза связывают с миокардитом, обусловленным токсоплаз- мозом, малярийной инфекцией. Однако до настояще</w:t>
        <w:softHyphen/>
        <w:t>го времени возбудитель заболевания не обнаружен.</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Мнения о роли эозинофилии в патогенезе эндомио</w:t>
        <w:softHyphen/>
        <w:t>кардиального фиброза неоднозначны. Вызывает ли эозинофилия миокардиальный некроз и последую</w:t>
        <w:softHyphen/>
        <w:t>щий фиброз или является пусковым фактором, осе</w:t>
        <w:softHyphen/>
        <w:t>дая на поверхности эндокарда, не установлено. При тропическом эндомиокардиальном фиброзе эо</w:t>
        <w:softHyphen/>
        <w:t>зинофилия обычно отсутствует, в то время как при эндокардите Лефлера является диагностическим признаком.</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Эндомиокардиальный фиброз чаще наблюдается у де</w:t>
        <w:softHyphen/>
        <w:t>тей и молодых женщин. Эти лица часто страдают от недоедания, проживают в регионах Африки, районе Сахары, где болезнь наиболее распространена, пита</w:t>
        <w:softHyphen/>
        <w:t>ются клубнями, называемыми маниокой, которая со</w:t>
        <w:softHyphen/>
        <w:t xml:space="preserve">держит относительно высокие концентрации редкого элемента церия </w:t>
      </w:r>
      <w:r>
        <w:rPr>
          <w:lang w:val="en-US" w:eastAsia="en-US" w:bidi="en-US"/>
          <w:w w:val="100"/>
          <w:spacing w:val="0"/>
          <w:color w:val="000000"/>
          <w:position w:val="0"/>
        </w:rPr>
        <w:t xml:space="preserve">(Ce). </w:t>
      </w:r>
      <w:r>
        <w:rPr>
          <w:lang w:val="ru-RU" w:eastAsia="ru-RU" w:bidi="ru-RU"/>
          <w:w w:val="100"/>
          <w:spacing w:val="0"/>
          <w:color w:val="000000"/>
          <w:position w:val="0"/>
        </w:rPr>
        <w:t xml:space="preserve">Комбинация высоких уровней </w:t>
      </w:r>
      <w:r>
        <w:rPr>
          <w:lang w:val="en-US" w:eastAsia="en-US" w:bidi="en-US"/>
          <w:w w:val="100"/>
          <w:spacing w:val="0"/>
          <w:color w:val="000000"/>
          <w:position w:val="0"/>
        </w:rPr>
        <w:t xml:space="preserve">Ce </w:t>
      </w:r>
      <w:r>
        <w:rPr>
          <w:lang w:val="ru-RU" w:eastAsia="ru-RU" w:bidi="ru-RU"/>
          <w:w w:val="100"/>
          <w:spacing w:val="0"/>
          <w:color w:val="000000"/>
          <w:position w:val="0"/>
        </w:rPr>
        <w:t>и гипомагнезиемия вызывает эндомиокардиаль</w:t>
        <w:softHyphen/>
        <w:t>ный фиброз у экспериментальных животных.</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Семейные случаи болезни отмечены в Уганде и Зам</w:t>
        <w:softHyphen/>
        <w:t>бии.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Как правило, болезнь имеет внезапное начало, симпто</w:t>
        <w:softHyphen/>
        <w:t>матика зависит от локализации поражения полости желу</w:t>
        <w:softHyphen/>
        <w:t>дочка и клапанного аппарата.</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Когда поражается правый желудочек или преоблада</w:t>
        <w:softHyphen/>
        <w:t>ет трикуспидальная регургитация, возникают отеки на нижних конечностях, асцит и другие проявления правожелудочковой недостаточности (рвота, набуха</w:t>
        <w:softHyphen/>
        <w:t>ние шейных вен).</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поражении левого желудочка ведущими симпто - мами являются одышка (особенно при нагрузке), слабость, пароксизмальное ночное диспноэ или ор- топноэ.</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эндомиокардиальном фиброзе могут наблюдать</w:t>
        <w:softHyphen/>
        <w:t>ся тромбоэмболические осложнения.</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Редко в течении болезни могут наблюдаться лихорад</w:t>
        <w:softHyphen/>
        <w:t>ка и симптомы сердечной недостаточности, имитиру</w:t>
        <w:softHyphen/>
        <w:t>ющие миокардит.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Физикальные данные: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Физикальные данные зависят от локализации и распро</w:t>
        <w:softHyphen/>
        <w:t>страненности поражения.</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поражении правого желудочка возникают симп - томы недостаточности: набухание шейных вен, пери</w:t>
        <w:softHyphen/>
        <w:t>ферические отеки, асцит, гепатомегалия.</w:t>
      </w:r>
    </w:p>
    <w:p>
      <w:pPr>
        <w:pStyle w:val="Style30"/>
        <w:widowControl w:val="0"/>
        <w:keepNext w:val="0"/>
        <w:keepLines w:val="0"/>
        <w:shd w:val="clear" w:color="auto" w:fill="auto"/>
        <w:bidi w:val="0"/>
        <w:spacing w:before="0" w:after="0"/>
        <w:ind w:left="740" w:right="0" w:hanging="220"/>
      </w:pPr>
      <w:r>
        <w:pict>
          <v:shape id="_x0000_s1438" type="#_x0000_t75" style="position:absolute;margin-left:148.2pt;margin-top:737.05pt;width:209.75pt;height:14.9pt;z-index:-125829103;mso-wrap-distance-left:148.1pt;mso-wrap-distance-right:136.55pt;mso-wrap-distance-bottom:10.8pt;mso-position-horizontal-relative:margin;mso-position-vertical-relative:margin" wrapcoords="0 0 21600 0 21600 21600 0 21600 0 0">
            <v:imagedata r:id="rId687" r:href="rId688"/>
            <w10:wrap type="topAndBottom" anchorx="margin" anchory="margin"/>
          </v:shape>
        </w:pict>
      </w:r>
      <w:r>
        <w:rPr>
          <w:lang w:val="ru-RU" w:eastAsia="ru-RU" w:bidi="ru-RU"/>
          <w:w w:val="100"/>
          <w:spacing w:val="0"/>
          <w:color w:val="000000"/>
          <w:position w:val="0"/>
        </w:rPr>
        <w:t>• Асцит появляется одновременно с периферичес</w:t>
        <w:softHyphen/>
        <w:t>кими отеками. Их возникновению способствует энтеропатия с потерей белка и гипоальбуминемия.</w:t>
      </w:r>
      <w:r>
        <w:br w:type="page"/>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 больных с трикуспидальной регургитацией оп</w:t>
        <w:softHyphen/>
        <w:t>ределяется большая V волна яремного венозного пульса.</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Могут определяться тахикардия, третий и четвер</w:t>
        <w:softHyphen/>
        <w:t>тый тоны сердца.</w:t>
      </w:r>
    </w:p>
    <w:p>
      <w:pPr>
        <w:pStyle w:val="Style30"/>
        <w:numPr>
          <w:ilvl w:val="0"/>
          <w:numId w:val="79"/>
        </w:numPr>
        <w:tabs>
          <w:tab w:leader="none" w:pos="240"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При поражении левого желудочка возникает застой</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малом круге кровообращения.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Лабораторная диагностика</w:t>
      </w:r>
    </w:p>
    <w:p>
      <w:pPr>
        <w:pStyle w:val="Style30"/>
        <w:numPr>
          <w:ilvl w:val="0"/>
          <w:numId w:val="79"/>
        </w:numPr>
        <w:tabs>
          <w:tab w:leader="none" w:pos="240"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Полный анализ крови — может определяться анемия</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 эозинофилия.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Электрокардиография:</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Мерцательная аритмия.</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Низкий вольтаж </w:t>
      </w:r>
      <w:r>
        <w:rPr>
          <w:lang w:val="en-US" w:eastAsia="en-US" w:bidi="en-US"/>
          <w:w w:val="100"/>
          <w:spacing w:val="0"/>
          <w:color w:val="000000"/>
          <w:position w:val="0"/>
        </w:rPr>
        <w:t xml:space="preserve">QRS </w:t>
      </w:r>
      <w:r>
        <w:rPr>
          <w:lang w:val="ru-RU" w:eastAsia="ru-RU" w:bidi="ru-RU"/>
          <w:w w:val="100"/>
          <w:spacing w:val="0"/>
          <w:color w:val="000000"/>
          <w:position w:val="0"/>
        </w:rPr>
        <w:t>комплексов.</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Атриовентрикулярная блокада I степени.</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Дилатация левого предсердия.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Рентгенография:</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Силуэт сердца обычно нормальный. Кардиомега- лия не характерна, поскольку желудочки имеют рестриктивный паттерн.</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Может определяться выраженная дилатация обоих предсердий. При значительной дилатации правого предсердия сердце приобретает характерный ша</w:t>
        <w:softHyphen/>
        <w:t>ровидный силуэт, что часто наблюдается у жителей африканского континента, — так называемое «сердце Африки».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Эхокардиография:</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Эхокардиография играет важную диагностичес</w:t>
        <w:softHyphen/>
        <w:t>кую роль в определении эндомиокардиального фиброза и позволяет дифференцировать его от других заболеваний, таких как ревматическая бо</w:t>
        <w:softHyphen/>
        <w:t>лезнь сердца или врожденные пороки сердца.</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Наличие и локализация фиброза, определяемого при эхокардиографии, коррелирует с аутопсийны- ми данными.</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Характерными данными являются утолщение ниж</w:t>
        <w:softHyphen/>
        <w:t>них и базальных сегментов левожелудочковых сте</w:t>
        <w:softHyphen/>
        <w:t>нок, верхушечная облитерация, тромбы, отходящие от эндокардиальных поверхностей, митральная ре- гургитация, трикуспидальная регургитация.</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Часто определяется перикардиальный выпот, ко</w:t>
        <w:softHyphen/>
        <w:t>торый может быть значительным.</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Допплерография выявляет рестриктивный пат</w:t>
        <w:softHyphen/>
        <w:t>терн, может выявляться увеличенное легочное ар</w:t>
        <w:softHyphen/>
        <w:t>териальное давление.</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Цветовой допплер выявляет трикуспидальную и митральную регургитации.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Ангиография:</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Традиционно ангиография являлась стандартным тестом для постановки диагноза эндомиокарди</w:t>
        <w:softHyphen/>
        <w:t>ального фиброза.</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Левосторонняя и правосторонняя вентрикулогра</w:t>
        <w:softHyphen/>
        <w:t>фия выявляет характерную морфологию желудоч</w:t>
        <w:softHyphen/>
        <w:t>ковых камер — фиброз и облитерацию. Ангиогра</w:t>
        <w:softHyphen/>
        <w:t>фически определяется степень митральной и три</w:t>
        <w:softHyphen/>
        <w:t>куспидальной регургитации.</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«Признак гриба» является типичным для поражен</w:t>
        <w:softHyphen/>
        <w:t>ного желудочка, когда его верхушка полностью об- литерирована фиброзом.</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Компьютерная томография:</w:t>
      </w:r>
    </w:p>
    <w:p>
      <w:pPr>
        <w:pStyle w:val="Style30"/>
        <w:numPr>
          <w:ilvl w:val="0"/>
          <w:numId w:val="7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Компьютерная томография позволяет поставить диагноз эндомиокардиального фиброза и заменяет ангиографию.</w:t>
      </w:r>
    </w:p>
    <w:p>
      <w:pPr>
        <w:pStyle w:val="Style30"/>
        <w:numPr>
          <w:ilvl w:val="0"/>
          <w:numId w:val="79"/>
        </w:numPr>
        <w:tabs>
          <w:tab w:leader="none" w:pos="520"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Фиброз эндокарда выглядит как очерченная от эн</w:t>
        <w:softHyphen/>
        <w:t>докарда структура меньшей плотности.</w:t>
      </w:r>
    </w:p>
    <w:p>
      <w:pPr>
        <w:pStyle w:val="Style30"/>
        <w:numPr>
          <w:ilvl w:val="0"/>
          <w:numId w:val="7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Может выявляться облитерация верхушки и при</w:t>
        <w:softHyphen/>
        <w:t>точных отделов.</w:t>
      </w:r>
    </w:p>
    <w:p>
      <w:pPr>
        <w:pStyle w:val="Style30"/>
        <w:numPr>
          <w:ilvl w:val="0"/>
          <w:numId w:val="7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Компьютерная томография позволяет дифферен</w:t>
        <w:softHyphen/>
        <w:t>цировать эндомиокардиальный фиброз от кон- стриктивного перикардита.</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Эндомиокардиальная биопсия выявляет типичные для эндомиокардиального фиброза данные, однако в типичных случаях нет необходимости в ее прове</w:t>
        <w:softHyphen/>
        <w:t>дении.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Дифференциальный диагноз</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Гемохроматоз.</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Митральный стеноз.</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Констриктивный перикардит.</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Саркоидоз.</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Склеродермия.</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Интоксикация антрациклинами.</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Карциноидная болезнь сердца.</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Лекарственно-индуцированная кардиотоксичность (серотонин, метиергид, эрготамин, препараты ртути, бусульфан).</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Болезнь Фабри.</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Жировая инфильтрация.</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Болезнь Гоше.</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Гликогеновая болезнь.</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Болезнь Гурлера.</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Идиопатическая кардиомиопатия.</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Метастатические опухоли.</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Радиация.</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Ревматическая болезнь сердца.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целом эффект от проводимой медикаментозной те</w:t>
        <w:softHyphen/>
        <w:t>рапии отсутствует.</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Поскольку в большинстве случаев эндомиокардиаль</w:t>
        <w:softHyphen/>
        <w:t>ный период имеет длительное латентное течение и возникает, возможно, после перенесенного миокар</w:t>
        <w:softHyphen/>
        <w:t>дита, в ряде случаев проводится иммуносупрессивная терапия.</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Симптоматическая терапия с применением диурети</w:t>
        <w:softHyphen/>
        <w:t>ков, дигоксина и препаратов, уменьшающих постна</w:t>
        <w:softHyphen/>
        <w:t>грузку, оказывает незначительную роль при эндомио</w:t>
        <w:softHyphen/>
        <w:t>кардиальном фиброзе.</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Больным с тяжелой симптоматикой заболевания, при рефрактерной к медикаментозной терапии сер</w:t>
        <w:softHyphen/>
        <w:t>дечной недостаточности единственно убедительным методом лечения является хирургическая коррекция.</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Поскольку тромбоэмболические осложнения при эн</w:t>
        <w:softHyphen/>
        <w:t>домиокардиальном фиброзе наблюдаются очень ред</w:t>
        <w:softHyphen/>
        <w:t>ко, большинство авторов не рекомендуют примене</w:t>
        <w:softHyphen/>
        <w:t>ние антикоагулянтов.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Хирургическое лечение</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Хирургическое лечение заключается в эндокардиаль</w:t>
        <w:softHyphen/>
        <w:t>ной декортикации. Оперативная смертность высокая (15-20%), однако успешная операция полностью лик</w:t>
        <w:softHyphen/>
        <w:t>видирует симптоматику заболевания и отдаленный прогноз у таких пациентов благоприятный.</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pict>
          <v:shape id="_x0000_s1439" type="#_x0000_t75" style="position:absolute;margin-left:130.9pt;margin-top:737.05pt;width:209.75pt;height:14.9pt;z-index:-125829102;mso-wrap-distance-left:124.8pt;mso-wrap-distance-right:147.85pt;mso-wrap-distance-bottom:10.8pt;mso-position-horizontal-relative:margin;mso-position-vertical-relative:margin" wrapcoords="0 0 21600 0 21600 21600 0 21600 0 0">
            <v:imagedata r:id="rId689" r:href="rId690"/>
            <w10:wrap type="topAndBottom" anchorx="margin" anchory="margin"/>
          </v:shape>
        </w:pict>
      </w:r>
      <w:r>
        <w:rPr>
          <w:lang w:val="ru-RU" w:eastAsia="ru-RU" w:bidi="ru-RU"/>
          <w:w w:val="100"/>
          <w:spacing w:val="0"/>
          <w:color w:val="000000"/>
          <w:position w:val="0"/>
        </w:rPr>
        <w:t>В большинстве случаев эндокардэктомию выполня</w:t>
        <w:softHyphen/>
        <w:t>ют одновременно с протезированием митрального и/или трикуспидального клапанов. Операция прово</w:t>
        <w:softHyphen/>
        <w:t>дится с использованием срединной торакотомии и искусственного кровообращения.</w:t>
      </w:r>
      <w:r>
        <w:br w:type="page"/>
      </w:r>
    </w:p>
    <w:p>
      <w:pPr>
        <w:pStyle w:val="Style30"/>
        <w:numPr>
          <w:ilvl w:val="0"/>
          <w:numId w:val="7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 зависимости от локализации патологического процесса (правый или левый желудочек, верхушка или приточный отдел) применяют трансапикаль</w:t>
        <w:softHyphen/>
        <w:t>ный или трансвентрикулярный доступы.</w:t>
      </w:r>
    </w:p>
    <w:p>
      <w:pPr>
        <w:pStyle w:val="Style30"/>
        <w:numPr>
          <w:ilvl w:val="0"/>
          <w:numId w:val="7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Поскольку при эндомиокардиальном фиброзе име</w:t>
        <w:softHyphen/>
        <w:t>ется четкое отграничение эндокарда от миокарда, эндокардэктомия выполняется без затруднений.</w:t>
      </w:r>
    </w:p>
    <w:p>
      <w:pPr>
        <w:pStyle w:val="Style30"/>
        <w:numPr>
          <w:ilvl w:val="0"/>
          <w:numId w:val="7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Поскольку при эндомиокардиальном фиброзе мио - кард обычно не поврежден, эндокардэктомия не приводит к серьезным нарушениям гемодинамики.</w:t>
      </w:r>
    </w:p>
    <w:p>
      <w:pPr>
        <w:pStyle w:val="Style30"/>
        <w:numPr>
          <w:ilvl w:val="0"/>
          <w:numId w:val="7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После успешной эндокардэктомии заболевание не рецидивирует.</w:t>
      </w:r>
    </w:p>
    <w:p>
      <w:pPr>
        <w:pStyle w:val="Style30"/>
        <w:numPr>
          <w:ilvl w:val="0"/>
          <w:numId w:val="7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Характерные постоперационные осложнения включают низкий сердечный выброс, поперечную блокаду и желудочковые аритмии.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Активность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Ограничение физической активности рекомендуется, особенно при присоединении симптоматики желудочко</w:t>
        <w:softHyphen/>
        <w:t>вых аритмий.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numPr>
          <w:ilvl w:val="0"/>
          <w:numId w:val="7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Постоперативные осложнения включают синдром низкого сердечного выброса, поперечную блокаду и желудочковые аритмии.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7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эндомиокардиального фиброза неблагоприят</w:t>
        <w:softHyphen/>
        <w:t>ный, смерть наступает из-за рефрактерной сердечной недостаточности или внезапно от фатальных аритмий.</w:t>
      </w:r>
    </w:p>
    <w:p>
      <w:pPr>
        <w:pStyle w:val="Style30"/>
        <w:numPr>
          <w:ilvl w:val="0"/>
          <w:numId w:val="79"/>
        </w:numPr>
        <w:tabs>
          <w:tab w:leader="none" w:pos="518" w:val="left"/>
        </w:tabs>
        <w:widowControl w:val="0"/>
        <w:keepNext w:val="0"/>
        <w:keepLines w:val="0"/>
        <w:shd w:val="clear" w:color="auto" w:fill="auto"/>
        <w:bidi w:val="0"/>
        <w:spacing w:before="0" w:after="161"/>
        <w:ind w:left="520" w:right="0" w:hanging="240"/>
      </w:pPr>
      <w:r>
        <w:rPr>
          <w:lang w:val="ru-RU" w:eastAsia="ru-RU" w:bidi="ru-RU"/>
          <w:w w:val="100"/>
          <w:spacing w:val="0"/>
          <w:color w:val="000000"/>
          <w:position w:val="0"/>
        </w:rPr>
        <w:t>У большинства больных болезнь быстро прогресси</w:t>
        <w:softHyphen/>
        <w:t>рует. С момента установления диагноза заболевания 40-95% погибают в течение 1-3 лет.</w:t>
      </w:r>
    </w:p>
    <w:p>
      <w:pPr>
        <w:pStyle w:val="Style48"/>
        <w:widowControl w:val="0"/>
        <w:keepNext/>
        <w:keepLines/>
        <w:shd w:val="clear" w:color="auto" w:fill="auto"/>
        <w:bidi w:val="0"/>
        <w:jc w:val="left"/>
        <w:spacing w:before="0" w:after="84" w:line="240" w:lineRule="exact"/>
        <w:ind w:left="0" w:right="920" w:firstLine="0"/>
      </w:pPr>
      <w:bookmarkStart w:id="472" w:name="bookmark472"/>
      <w:r>
        <w:rPr>
          <w:lang w:val="ru-RU" w:eastAsia="ru-RU" w:bidi="ru-RU"/>
          <w:w w:val="100"/>
          <w:spacing w:val="0"/>
          <w:color w:val="000000"/>
          <w:position w:val="0"/>
        </w:rPr>
        <w:t>Другие инфильтративные заболевания и болезни накопления</w:t>
      </w:r>
      <w:bookmarkEnd w:id="472"/>
    </w:p>
    <w:p>
      <w:pPr>
        <w:pStyle w:val="Style54"/>
        <w:widowControl w:val="0"/>
        <w:keepNext/>
        <w:keepLines/>
        <w:shd w:val="clear" w:color="auto" w:fill="auto"/>
        <w:bidi w:val="0"/>
        <w:jc w:val="left"/>
        <w:spacing w:before="0" w:after="0" w:line="210" w:lineRule="exact"/>
        <w:ind w:left="0" w:right="0" w:firstLine="0"/>
      </w:pPr>
      <w:bookmarkStart w:id="473" w:name="bookmark473"/>
      <w:r>
        <w:rPr>
          <w:lang w:val="ru-RU" w:eastAsia="ru-RU" w:bidi="ru-RU"/>
          <w:w w:val="100"/>
          <w:spacing w:val="0"/>
          <w:color w:val="000000"/>
          <w:position w:val="0"/>
        </w:rPr>
        <w:t>Амилоидоз</w:t>
      </w:r>
      <w:bookmarkEnd w:id="473"/>
    </w:p>
    <w:p>
      <w:pPr>
        <w:pStyle w:val="Style30"/>
        <w:numPr>
          <w:ilvl w:val="0"/>
          <w:numId w:val="7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Существует много типов амилоидоза у человека, од</w:t>
        <w:softHyphen/>
        <w:t>нако поражение сердца наблюдается только при пер</w:t>
        <w:softHyphen/>
        <w:t>вичном амилоидозе, который обусловлен продукци</w:t>
        <w:softHyphen/>
        <w:t>ей иммуноглобулинов плазматическими клетками, часто в результате множественной миеломы. Вторич</w:t>
        <w:softHyphen/>
        <w:t>ный амилоидоз обусловлен отложением протеинов при семейном заболевании или в результате хрониче</w:t>
        <w:softHyphen/>
        <w:t>ского воспалительного процесса. Рестриктивная кар</w:t>
        <w:softHyphen/>
        <w:t>диомиопатия возникает в результате поражения тка</w:t>
        <w:softHyphen/>
        <w:t>ней и замещения сократительного миокарда интер</w:t>
        <w:softHyphen/>
        <w:t>стициальными депозитами.</w:t>
      </w:r>
    </w:p>
    <w:p>
      <w:pPr>
        <w:pStyle w:val="Style30"/>
        <w:numPr>
          <w:ilvl w:val="0"/>
          <w:numId w:val="7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Генетические вариации в плазменном протеине — транстиретине (преальбумине) являются причиной на</w:t>
        <w:softHyphen/>
        <w:t>следственных форм амилоидоза в сочетании с кардио</w:t>
        <w:softHyphen/>
        <w:t>миопатией. В настоящее время известно более 40 раз</w:t>
        <w:softHyphen/>
        <w:t>личных мутаций транстиретина, ассоциированных с от</w:t>
        <w:softHyphen/>
        <w:t>ложением амилоидных депозитов. Большинство случа</w:t>
        <w:softHyphen/>
        <w:t>ев транстиретиновых мутаций белка обусловлены ауто- сомно-доминантным наследованием и ассоциируются с периферической нейропатией и сердечным амилои- дозом. Аномалии диастолического наполнения могут быть обнаружены даже при отсутствии клинических проявлений рестриктивной кардиомиопатии. Боль</w:t>
        <w:softHyphen/>
        <w:t>шинство транстиретин обусловленных амилоидозов связаны с точечной мутацией в одном нуклеотиде, с из</w:t>
        <w:softHyphen/>
        <w:t>менением аминокислотной последовательности в гене транстиретина, в результате чего нарушается синтез</w:t>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протеина, поэтому случаи кластеризованы в родне. Идентифицированы мутации в транстиретине, обус</w:t>
        <w:softHyphen/>
        <w:t>ловливающие семейный амилоидоз, при котором опре</w:t>
        <w:softHyphen/>
        <w:t>деляется только рестриктивная КМП без периферичес</w:t>
        <w:softHyphen/>
        <w:t>кой нейропатии. Так, сообщены случаи манифестации заболевания в виде ишемической болезни сердца без проявлений периферической нейропатии. Такой вари</w:t>
        <w:softHyphen/>
        <w:t>ант рестриктивной КМП обусловлен точечной мутаци</w:t>
        <w:softHyphen/>
        <w:t>ей в гене транстиретина в 59 позиции протеина. При об</w:t>
        <w:softHyphen/>
        <w:t>следовании 52 пациентов с рестриктивной КМП 27% имели амилоидоз, с высокой частотой сочетавшийся с периферической нейропатией и автономной (вегета</w:t>
        <w:softHyphen/>
        <w:t>тивной) нейропатией. Наличие кардиомиопатии при амилоидозе связано с неблагоприятным прогнозом, 55% таких больных умирают от аритмии или сердечной недостаточности. В этом исследовании методом имму</w:t>
        <w:softHyphen/>
        <w:t>ногистохимического анализа был идентифицирован транстиретин в 31 из 34 тканевых культур, его мутации обнаружены в 24 наблюдениях. Картирование антиге</w:t>
        <w:softHyphen/>
        <w:t>нов подтвердило, что в каждом случае была изменена конфигурация транстиретина в амилоидных волокнах.</w:t>
      </w:r>
    </w:p>
    <w:p>
      <w:pPr>
        <w:pStyle w:val="Style30"/>
        <w:numPr>
          <w:ilvl w:val="0"/>
          <w:numId w:val="79"/>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Амилоидная инфильтрация сердца возникает пре</w:t>
        <w:softHyphen/>
        <w:t>имущественно в пожилом возрасте. Депозиты амило</w:t>
        <w:softHyphen/>
        <w:t>ида в предсердиях, содержащие предсердный натрий</w:t>
        <w:softHyphen/>
        <w:t>уретический пептид и амилоидный компонент Р, бы</w:t>
        <w:softHyphen/>
        <w:t>ли обнаружены в 91% из 100 обследованных сердец. Изолированный амилоидоз предсердий значительно чаще встречается в сердцах пациентов старше 80 лет и локализуется в субэндокардиальном слое. Такой амилоидоз характерен и для больных с хроническим заболеванием сердца, например, при ревматизме или при врожденных пороках.</w:t>
      </w:r>
    </w:p>
    <w:p>
      <w:pPr>
        <w:pStyle w:val="Style30"/>
        <w:numPr>
          <w:ilvl w:val="0"/>
          <w:numId w:val="79"/>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Миокард больных с сердечным амилоидозом плот</w:t>
        <w:softHyphen/>
        <w:t>ный, нерастяжимый. Полости желудочков обычно нормальные, в ушках предсердий содержатся тром</w:t>
        <w:softHyphen/>
        <w:t>бы. При гистологическом исследовании интерстици</w:t>
        <w:softHyphen/>
        <w:t>альные депозиты амилоидных волокон определяются во всех четырех камерах</w:t>
      </w:r>
    </w:p>
    <w:p>
      <w:pPr>
        <w:pStyle w:val="Style30"/>
        <w:numPr>
          <w:ilvl w:val="0"/>
          <w:numId w:val="79"/>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Отложение депозитов может привести к увеличению толщины миокарда без дилатации камер. В патологи</w:t>
        <w:softHyphen/>
        <w:t>ческий процесс могут вовлекаться перикард, сердеч</w:t>
        <w:softHyphen/>
        <w:t>ные клапаны и коронарные артерии. Толщина желу</w:t>
        <w:softHyphen/>
        <w:t>дочковых стенок является одной из прогностических переменных; выживаемость пациентов без гипертро</w:t>
        <w:softHyphen/>
        <w:t>фии в среднем составляет 2,4 года, при гипертрофии миокарда — 0,4 года. При двухмерной эхокардиогра</w:t>
        <w:softHyphen/>
        <w:t>фии может определяться неравномерная плотность и гранулярность миокарда, однако эти изменения не</w:t>
        <w:softHyphen/>
        <w:t>специфичны только для амилоидоза сердца. Может выявляться гипертрофия миокарда. Допплерэхокар</w:t>
        <w:softHyphen/>
        <w:t>диографически выявляются аномалии диастоличес</w:t>
        <w:softHyphen/>
        <w:t xml:space="preserve">кого наполнения. </w:t>
      </w:r>
      <w:r>
        <w:rPr>
          <w:lang w:val="en-US" w:eastAsia="en-US" w:bidi="en-US"/>
          <w:w w:val="100"/>
          <w:spacing w:val="0"/>
          <w:color w:val="000000"/>
          <w:position w:val="0"/>
        </w:rPr>
        <w:t xml:space="preserve">Klein et al. </w:t>
      </w:r>
      <w:r>
        <w:rPr>
          <w:lang w:val="ru-RU" w:eastAsia="ru-RU" w:bidi="ru-RU"/>
          <w:w w:val="100"/>
          <w:spacing w:val="0"/>
          <w:color w:val="000000"/>
          <w:position w:val="0"/>
        </w:rPr>
        <w:t>показали, что при сер</w:t>
        <w:softHyphen/>
        <w:t>дечном амилоидозе происходит укорочение времени замедления (децелерации) потока и увеличение отно</w:t>
        <w:softHyphen/>
        <w:t>шения скорости раннего диастолического наполне</w:t>
        <w:softHyphen/>
        <w:t>ния к скорости предсердного наполнения. При ра</w:t>
        <w:softHyphen/>
        <w:t>дионуклидной диагностике определяется увеличение накопления в миокарде технеция-99.</w:t>
      </w:r>
    </w:p>
    <w:p>
      <w:pPr>
        <w:pStyle w:val="Style30"/>
        <w:numPr>
          <w:ilvl w:val="0"/>
          <w:numId w:val="79"/>
        </w:numPr>
        <w:tabs>
          <w:tab w:leader="none" w:pos="232" w:val="left"/>
        </w:tabs>
        <w:widowControl w:val="0"/>
        <w:keepNext w:val="0"/>
        <w:keepLines w:val="0"/>
        <w:shd w:val="clear" w:color="auto" w:fill="auto"/>
        <w:bidi w:val="0"/>
        <w:spacing w:before="0" w:after="0"/>
        <w:ind w:left="260" w:right="0"/>
      </w:pPr>
      <w:r>
        <w:pict>
          <v:shape id="_x0000_s1440" type="#_x0000_t75" style="position:absolute;margin-left:148.1pt;margin-top:737.05pt;width:209.75pt;height:14.9pt;z-index:-125829101;mso-wrap-distance-left:148.1pt;mso-wrap-distance-right:136.8pt;mso-wrap-distance-bottom:10.8pt;mso-position-horizontal-relative:margin;mso-position-vertical-relative:margin" wrapcoords="0 0 21600 0 21600 21600 0 21600 0 0">
            <v:imagedata r:id="rId691" r:href="rId692"/>
            <w10:wrap type="topAndBottom" anchorx="margin" anchory="margin"/>
          </v:shape>
        </w:pict>
      </w:r>
      <w:r>
        <w:rPr>
          <w:lang w:val="ru-RU" w:eastAsia="ru-RU" w:bidi="ru-RU"/>
          <w:w w:val="100"/>
          <w:spacing w:val="0"/>
          <w:color w:val="000000"/>
          <w:position w:val="0"/>
        </w:rPr>
        <w:t>Амилоидные депозиты могут обнаруживаться в сино - атриальном, атриовентрикулярном узлах и ветвях Ги- са. В этой связи у больных с амилоидозом сердца об</w:t>
        <w:softHyphen/>
        <w:t>наруживаются различные желудочковые аритмии,</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коррелирующие с тяжестью сердечной недостаточно</w:t>
        <w:softHyphen/>
        <w:t>сти. Брадиаритмии менее характерны для больных с сердечным амилоидозом. В зависимости от стадии заболевания у больных может определяться такая комбинация признаков, как асимметричная гипер</w:t>
        <w:softHyphen/>
        <w:t>трофия миокарда, стенокардия, сердечная недоста</w:t>
        <w:softHyphen/>
        <w:t>точность, нарушение диастолической функции и снижение фракции изгнания.</w:t>
      </w:r>
    </w:p>
    <w:p>
      <w:pPr>
        <w:pStyle w:val="Style30"/>
        <w:numPr>
          <w:ilvl w:val="0"/>
          <w:numId w:val="79"/>
        </w:numPr>
        <w:tabs>
          <w:tab w:leader="none" w:pos="520" w:val="left"/>
        </w:tabs>
        <w:widowControl w:val="0"/>
        <w:keepNext w:val="0"/>
        <w:keepLines w:val="0"/>
        <w:shd w:val="clear" w:color="auto" w:fill="auto"/>
        <w:bidi w:val="0"/>
        <w:spacing w:before="0" w:after="185"/>
        <w:ind w:left="520" w:right="0" w:hanging="240"/>
      </w:pPr>
      <w:r>
        <w:rPr>
          <w:lang w:val="ru-RU" w:eastAsia="ru-RU" w:bidi="ru-RU"/>
          <w:w w:val="100"/>
          <w:spacing w:val="0"/>
          <w:color w:val="000000"/>
          <w:position w:val="0"/>
        </w:rPr>
        <w:t>Сердечный амилоид может обнаруживаться при эндо</w:t>
        <w:softHyphen/>
        <w:t>миокардиальной биопсии; иммуногистохимический анализ позволяет выявлять различные типы амилоида. Компонент плазменного амилоида Р и аполипротеин Е обнаруживаются в амилоидных фибриллах и могут играть определенную роль в фибриллогенезе.</w:t>
      </w:r>
    </w:p>
    <w:p>
      <w:pPr>
        <w:pStyle w:val="Style54"/>
        <w:widowControl w:val="0"/>
        <w:keepNext/>
        <w:keepLines/>
        <w:shd w:val="clear" w:color="auto" w:fill="auto"/>
        <w:bidi w:val="0"/>
        <w:jc w:val="left"/>
        <w:spacing w:before="0" w:after="39" w:line="210" w:lineRule="exact"/>
        <w:ind w:left="0" w:right="0" w:firstLine="0"/>
      </w:pPr>
      <w:bookmarkStart w:id="474" w:name="bookmark474"/>
      <w:r>
        <w:rPr>
          <w:lang w:val="ru-RU" w:eastAsia="ru-RU" w:bidi="ru-RU"/>
          <w:w w:val="100"/>
          <w:spacing w:val="0"/>
          <w:color w:val="000000"/>
          <w:position w:val="0"/>
        </w:rPr>
        <w:t>Болезнь Гоше</w:t>
      </w:r>
      <w:bookmarkEnd w:id="474"/>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При болезни Гоше из-за дефицита фермента бета-глю- коцереброзидазы возникает накопление цереброзида в большинстве органов, в том числе в сердце. Родственные синдромы вызывают аналогичные дефекты.</w:t>
      </w:r>
    </w:p>
    <w:p>
      <w:pPr>
        <w:pStyle w:val="Style54"/>
        <w:widowControl w:val="0"/>
        <w:keepNext/>
        <w:keepLines/>
        <w:shd w:val="clear" w:color="auto" w:fill="auto"/>
        <w:bidi w:val="0"/>
        <w:jc w:val="left"/>
        <w:spacing w:before="0" w:after="39" w:line="210" w:lineRule="exact"/>
        <w:ind w:left="0" w:right="0" w:firstLine="0"/>
      </w:pPr>
      <w:bookmarkStart w:id="475" w:name="bookmark475"/>
      <w:r>
        <w:rPr>
          <w:lang w:val="ru-RU" w:eastAsia="ru-RU" w:bidi="ru-RU"/>
          <w:w w:val="100"/>
          <w:spacing w:val="0"/>
          <w:color w:val="000000"/>
          <w:position w:val="0"/>
        </w:rPr>
        <w:t>Болезнь Гурлера</w:t>
      </w:r>
      <w:bookmarkEnd w:id="475"/>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При синдроме Гурлера рестриктивная КМП возникает в результате отложения в миокарде, а также в клапанах и коронарных артериях мукополисахаридов.</w:t>
      </w:r>
    </w:p>
    <w:p>
      <w:pPr>
        <w:pStyle w:val="Style54"/>
        <w:widowControl w:val="0"/>
        <w:keepNext/>
        <w:keepLines/>
        <w:shd w:val="clear" w:color="auto" w:fill="auto"/>
        <w:bidi w:val="0"/>
        <w:jc w:val="left"/>
        <w:spacing w:before="0" w:after="44" w:line="210" w:lineRule="exact"/>
        <w:ind w:left="0" w:right="0" w:firstLine="0"/>
      </w:pPr>
      <w:bookmarkStart w:id="476" w:name="bookmark476"/>
      <w:r>
        <w:rPr>
          <w:lang w:val="ru-RU" w:eastAsia="ru-RU" w:bidi="ru-RU"/>
          <w:w w:val="100"/>
          <w:spacing w:val="0"/>
          <w:color w:val="000000"/>
          <w:position w:val="0"/>
        </w:rPr>
        <w:t>Болезнь Фабри</w:t>
      </w:r>
      <w:bookmarkEnd w:id="476"/>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Болезнь Фабри — Х-сцепленное заболевание, обуслов</w:t>
        <w:softHyphen/>
        <w:t>ленное нарушением метаболизма гликосфинголипидов из-за дефицита лизосомальной керамид тригексозидазы. В результате происходит внутриклеточное накопление гли</w:t>
        <w:softHyphen/>
        <w:t>колипидов в различных органах, в том числе и в сердце. Ре</w:t>
        <w:softHyphen/>
        <w:t>стриктивная КМП является основным и ведущим проявле</w:t>
        <w:softHyphen/>
        <w:t>нием болезни Фабри у мальчиков, неполная экспрессия за</w:t>
        <w:softHyphen/>
        <w:t>болевания может быть у девочек.</w:t>
      </w:r>
    </w:p>
    <w:p>
      <w:pPr>
        <w:pStyle w:val="Style54"/>
        <w:widowControl w:val="0"/>
        <w:keepNext/>
        <w:keepLines/>
        <w:shd w:val="clear" w:color="auto" w:fill="auto"/>
        <w:bidi w:val="0"/>
        <w:jc w:val="left"/>
        <w:spacing w:before="0" w:after="39" w:line="210" w:lineRule="exact"/>
        <w:ind w:left="0" w:right="0" w:firstLine="0"/>
      </w:pPr>
      <w:bookmarkStart w:id="477" w:name="bookmark477"/>
      <w:r>
        <w:rPr>
          <w:lang w:val="ru-RU" w:eastAsia="ru-RU" w:bidi="ru-RU"/>
          <w:w w:val="100"/>
          <w:spacing w:val="0"/>
          <w:color w:val="000000"/>
          <w:position w:val="0"/>
        </w:rPr>
        <w:t>Саркоидоз</w:t>
      </w:r>
      <w:bookmarkEnd w:id="477"/>
    </w:p>
    <w:p>
      <w:pPr>
        <w:pStyle w:val="Style30"/>
        <w:numPr>
          <w:ilvl w:val="0"/>
          <w:numId w:val="7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Саркоидоз сердца может сопровождаться воспалени</w:t>
        <w:softHyphen/>
        <w:t>ем интерстиция, вначале возникает диастолическая дисфункция, в то время как систолическая функция остается неизмененной или незначительно снижена. Развивающийся в последующем фиброз приводит к нарушению систолической функции. Возникает диффузная или локальная гипокинезия стенок лево</w:t>
        <w:softHyphen/>
        <w:t>го желудочка, особенно часто поражается перегород</w:t>
        <w:softHyphen/>
        <w:t>ка в области верхушки сердца.</w:t>
      </w:r>
    </w:p>
    <w:p>
      <w:pPr>
        <w:pStyle w:val="Style30"/>
        <w:numPr>
          <w:ilvl w:val="0"/>
          <w:numId w:val="7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Миокард часто поражается при системном саркоидо- зе, обусловливая субклиническую дисфункцию. Тече</w:t>
        <w:softHyphen/>
        <w:t>ние заболевания вариабельное, у некоторых больных болезнь быстро прогрессирует и приводит к внезапной смерти без предшествующих кардиальных симптомов.</w:t>
      </w:r>
    </w:p>
    <w:p>
      <w:pPr>
        <w:pStyle w:val="Style30"/>
        <w:numPr>
          <w:ilvl w:val="0"/>
          <w:numId w:val="7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поражении проводящей системы смерть может наступить внезапно из-за поперечного атриовентри</w:t>
        <w:softHyphen/>
        <w:t>кулярного блока. Фатальный миокардиальный сар- коидоз более характерен для жителей Японии.</w:t>
      </w:r>
    </w:p>
    <w:p>
      <w:pPr>
        <w:pStyle w:val="Style30"/>
        <w:numPr>
          <w:ilvl w:val="0"/>
          <w:numId w:val="7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Сцинтиграфия с таллием-201 или галлиумом-67 оп</w:t>
        <w:softHyphen/>
        <w:t>ределяет сегментарные дефекты перфузии миокарда. Дефекты перфузии, определяемые с помощью галли- ума-67, позволяют предсказать эффективность тера</w:t>
        <w:softHyphen/>
        <w:t>пии кортикостероидами.</w:t>
      </w:r>
    </w:p>
    <w:p>
      <w:pPr>
        <w:pStyle w:val="Style92"/>
        <w:widowControl w:val="0"/>
        <w:keepNext/>
        <w:keepLines/>
        <w:shd w:val="clear" w:color="auto" w:fill="auto"/>
        <w:bidi w:val="0"/>
        <w:spacing w:before="0" w:after="199" w:line="180" w:lineRule="exact"/>
        <w:ind w:left="0" w:right="0" w:firstLine="280"/>
      </w:pPr>
      <w:r>
        <w:br w:type="column"/>
      </w:r>
      <w:bookmarkStart w:id="478" w:name="bookmark478"/>
      <w:r>
        <w:rPr>
          <w:lang w:val="ru-RU" w:eastAsia="ru-RU" w:bidi="ru-RU"/>
          <w:w w:val="100"/>
          <w:spacing w:val="0"/>
          <w:color w:val="000000"/>
          <w:position w:val="0"/>
        </w:rPr>
        <w:t>Другие рестриктивные состояния</w:t>
      </w:r>
      <w:bookmarkEnd w:id="478"/>
    </w:p>
    <w:p>
      <w:pPr>
        <w:pStyle w:val="Style54"/>
        <w:widowControl w:val="0"/>
        <w:keepNext/>
        <w:keepLines/>
        <w:shd w:val="clear" w:color="auto" w:fill="auto"/>
        <w:bidi w:val="0"/>
        <w:jc w:val="left"/>
        <w:spacing w:before="0" w:after="47" w:line="210" w:lineRule="exact"/>
        <w:ind w:left="0" w:right="0" w:firstLine="0"/>
      </w:pPr>
      <w:bookmarkStart w:id="479" w:name="bookmark479"/>
      <w:r>
        <w:rPr>
          <w:lang w:val="ru-RU" w:eastAsia="ru-RU" w:bidi="ru-RU"/>
          <w:w w:val="100"/>
          <w:spacing w:val="0"/>
          <w:color w:val="000000"/>
          <w:position w:val="0"/>
        </w:rPr>
        <w:t>Карциноидная болезнь сердца</w:t>
      </w:r>
      <w:bookmarkEnd w:id="479"/>
    </w:p>
    <w:p>
      <w:pPr>
        <w:pStyle w:val="Style30"/>
        <w:numPr>
          <w:ilvl w:val="0"/>
          <w:numId w:val="79"/>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Карциноидная болезнь сердца является поздним ос</w:t>
        <w:softHyphen/>
        <w:t>ложнением карциноидного синдрома в половине случаев, поражение трикуспидального клапана явля</w:t>
        <w:softHyphen/>
        <w:t>ется доминирующим при данном синдроме.</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Хотя эндомиокардиальная биопсия позволяет уста</w:t>
        <w:softHyphen/>
        <w:t>новить диагноз сердечного саркоидоза, отрицатель</w:t>
        <w:softHyphen/>
        <w:t>ные результаты исследования не исключают данный диагноз. Развитие кардиальной симптоматики имеет тесную корреляцию с уровнем циркулирующего се</w:t>
        <w:softHyphen/>
        <w:t>ротонина и его основного метаболита — 5-гидрокси- индолацетиловой кислоты.</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Патологический процесс проявляется фиброзировани- ем трикуспидального и легочного клапанов, а также эн</w:t>
        <w:softHyphen/>
        <w:t>докарда правого желудочка. Фибротические наложения содержат гладкомышечные клетки, мукополисахариды и коллаген, лишенный эластического компонента.</w:t>
      </w:r>
    </w:p>
    <w:p>
      <w:pPr>
        <w:pStyle w:val="Style30"/>
        <w:numPr>
          <w:ilvl w:val="0"/>
          <w:numId w:val="79"/>
        </w:numPr>
        <w:tabs>
          <w:tab w:leader="none" w:pos="515" w:val="left"/>
        </w:tabs>
        <w:widowControl w:val="0"/>
        <w:keepNext w:val="0"/>
        <w:keepLines w:val="0"/>
        <w:shd w:val="clear" w:color="auto" w:fill="auto"/>
        <w:bidi w:val="0"/>
        <w:spacing w:before="0" w:after="120" w:line="206" w:lineRule="exact"/>
        <w:ind w:left="520" w:right="0" w:hanging="240"/>
      </w:pPr>
      <w:r>
        <w:rPr>
          <w:lang w:val="ru-RU" w:eastAsia="ru-RU" w:bidi="ru-RU"/>
          <w:w w:val="100"/>
          <w:spacing w:val="0"/>
          <w:color w:val="000000"/>
          <w:position w:val="0"/>
        </w:rPr>
        <w:t>При иммуногистохимическом исследовании показа</w:t>
        <w:softHyphen/>
        <w:t>но, что пролиферация фибробластов обусловлена по</w:t>
        <w:softHyphen/>
        <w:t>вышенной экспрессией факторов роста, принимаю</w:t>
        <w:softHyphen/>
        <w:t>щих участие в патогенезе развития карциноидных фибротических изменений в сердце.</w:t>
      </w:r>
    </w:p>
    <w:p>
      <w:pPr>
        <w:pStyle w:val="Style92"/>
        <w:widowControl w:val="0"/>
        <w:keepNext/>
        <w:keepLines/>
        <w:shd w:val="clear" w:color="auto" w:fill="auto"/>
        <w:bidi w:val="0"/>
        <w:spacing w:before="0" w:after="0" w:line="206" w:lineRule="exact"/>
        <w:ind w:left="0" w:right="0" w:firstLine="280"/>
      </w:pPr>
      <w:bookmarkStart w:id="480" w:name="bookmark480"/>
      <w:r>
        <w:rPr>
          <w:lang w:val="ru-RU" w:eastAsia="ru-RU" w:bidi="ru-RU"/>
          <w:w w:val="100"/>
          <w:spacing w:val="0"/>
          <w:color w:val="000000"/>
          <w:position w:val="0"/>
        </w:rPr>
        <w:t>Антрациклины</w:t>
      </w:r>
      <w:bookmarkEnd w:id="480"/>
    </w:p>
    <w:p>
      <w:pPr>
        <w:pStyle w:val="Style30"/>
        <w:numPr>
          <w:ilvl w:val="0"/>
          <w:numId w:val="79"/>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Антрациклины, вызывающие дилатационную КМП, могут приводить к эндомиокардиальному фиброзу. Риск рестриктивной сердечной недостаточности зна</w:t>
        <w:softHyphen/>
        <w:t>чительно увеличивается, если в анамнезе есть указа</w:t>
        <w:softHyphen/>
        <w:t>ния на радиационное воздействие.</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Антрациклиновая кардиомиопатия с нарушением диастолической функции левого желудочка может развиться через несколько лет после применения препарата и не зависит от дозы.</w:t>
      </w:r>
    </w:p>
    <w:p>
      <w:pPr>
        <w:pStyle w:val="Style30"/>
        <w:numPr>
          <w:ilvl w:val="0"/>
          <w:numId w:val="79"/>
        </w:numPr>
        <w:tabs>
          <w:tab w:leader="none" w:pos="515" w:val="left"/>
        </w:tabs>
        <w:widowControl w:val="0"/>
        <w:keepNext w:val="0"/>
        <w:keepLines w:val="0"/>
        <w:shd w:val="clear" w:color="auto" w:fill="auto"/>
        <w:bidi w:val="0"/>
        <w:spacing w:before="0" w:after="120" w:line="206" w:lineRule="exact"/>
        <w:ind w:left="520" w:right="0" w:hanging="240"/>
      </w:pPr>
      <w:r>
        <w:rPr>
          <w:lang w:val="ru-RU" w:eastAsia="ru-RU" w:bidi="ru-RU"/>
          <w:w w:val="100"/>
          <w:spacing w:val="0"/>
          <w:color w:val="000000"/>
          <w:position w:val="0"/>
        </w:rPr>
        <w:t>Для подтверждения фиброза эндокарда, если ранее проводилась терапия антрациклинами или другими препаратами, например, метисергид, проводится эн</w:t>
        <w:softHyphen/>
        <w:t>домиокардиальная биопсия.</w:t>
      </w:r>
    </w:p>
    <w:p>
      <w:pPr>
        <w:pStyle w:val="Style92"/>
        <w:widowControl w:val="0"/>
        <w:keepNext/>
        <w:keepLines/>
        <w:shd w:val="clear" w:color="auto" w:fill="auto"/>
        <w:bidi w:val="0"/>
        <w:spacing w:before="0" w:after="0" w:line="206" w:lineRule="exact"/>
        <w:ind w:left="0" w:right="0" w:firstLine="280"/>
      </w:pPr>
      <w:bookmarkStart w:id="481" w:name="bookmark481"/>
      <w:r>
        <w:rPr>
          <w:lang w:val="ru-RU" w:eastAsia="ru-RU" w:bidi="ru-RU"/>
          <w:w w:val="100"/>
          <w:spacing w:val="0"/>
          <w:color w:val="000000"/>
          <w:position w:val="0"/>
        </w:rPr>
        <w:t>Радиация</w:t>
      </w:r>
      <w:bookmarkEnd w:id="481"/>
    </w:p>
    <w:p>
      <w:pPr>
        <w:pStyle w:val="Style30"/>
        <w:numPr>
          <w:ilvl w:val="0"/>
          <w:numId w:val="79"/>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Радиация индуцирует миокардиальный и эндокарди</w:t>
        <w:softHyphen/>
        <w:t>альный фиброз и, следовательно, приводит к рест</w:t>
        <w:softHyphen/>
        <w:t>риктивной КМП. Интерстициальный фиброз наблю</w:t>
        <w:softHyphen/>
        <w:t>дается преимущественно в правом желудочке. Паци</w:t>
        <w:softHyphen/>
        <w:t>енты, подвергшиеся радиотерапии по поводу болезни Ходжкина, имеют субклиническую кардиомиопатию.</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При облучении биосинтез катехоламинов значитель</w:t>
        <w:softHyphen/>
        <w:t>но уменьшен, плотность сердечных Р-адренергичес- ких рецепторов увеличена по сравнению с контро</w:t>
        <w:softHyphen/>
        <w:t>лем, гемодинамические изменения возникают рань</w:t>
        <w:softHyphen/>
        <w:t>ше, чем структурные повреждения миокарда.</w:t>
      </w:r>
    </w:p>
    <w:p>
      <w:pPr>
        <w:pStyle w:val="Style30"/>
        <w:numPr>
          <w:ilvl w:val="0"/>
          <w:numId w:val="79"/>
        </w:numPr>
        <w:tabs>
          <w:tab w:leader="none" w:pos="515" w:val="left"/>
        </w:tabs>
        <w:widowControl w:val="0"/>
        <w:keepNext w:val="0"/>
        <w:keepLines w:val="0"/>
        <w:shd w:val="clear" w:color="auto" w:fill="auto"/>
        <w:bidi w:val="0"/>
        <w:spacing w:before="0" w:after="183" w:line="206" w:lineRule="exact"/>
        <w:ind w:left="520" w:right="0" w:hanging="240"/>
      </w:pPr>
      <w:r>
        <w:rPr>
          <w:lang w:val="ru-RU" w:eastAsia="ru-RU" w:bidi="ru-RU"/>
          <w:w w:val="100"/>
          <w:spacing w:val="0"/>
          <w:color w:val="000000"/>
          <w:position w:val="0"/>
        </w:rPr>
        <w:t>Причиной сердечной недостаточности при радиаци</w:t>
        <w:softHyphen/>
        <w:t>онном поражении может быть резкое снижение эндо - телиальной щелочной фосфатазы.</w:t>
      </w:r>
    </w:p>
    <w:p>
      <w:pPr>
        <w:pStyle w:val="Style28"/>
        <w:widowControl w:val="0"/>
        <w:keepNext/>
        <w:keepLines/>
        <w:shd w:val="clear" w:color="auto" w:fill="auto"/>
        <w:bidi w:val="0"/>
        <w:jc w:val="left"/>
        <w:spacing w:before="0" w:after="118" w:line="278" w:lineRule="exact"/>
        <w:ind w:left="0" w:right="0" w:firstLine="0"/>
      </w:pPr>
      <w:bookmarkStart w:id="482" w:name="bookmark482"/>
      <w:r>
        <w:rPr>
          <w:lang w:val="ru-RU" w:eastAsia="ru-RU" w:bidi="ru-RU"/>
          <w:w w:val="100"/>
          <w:spacing w:val="0"/>
          <w:color w:val="000000"/>
          <w:position w:val="0"/>
        </w:rPr>
        <w:t>Аритмогенная дисплазия правого желудочка</w:t>
      </w:r>
      <w:bookmarkEnd w:id="482"/>
    </w:p>
    <w:p>
      <w:pPr>
        <w:pStyle w:val="Style30"/>
        <w:widowControl w:val="0"/>
        <w:keepNext w:val="0"/>
        <w:keepLines w:val="0"/>
        <w:shd w:val="clear" w:color="auto" w:fill="auto"/>
        <w:bidi w:val="0"/>
        <w:spacing w:before="0" w:after="0" w:line="206" w:lineRule="exact"/>
        <w:ind w:left="0" w:right="0" w:firstLine="280"/>
      </w:pPr>
      <w:r>
        <w:pict>
          <v:shape id="_x0000_s1441" type="#_x0000_t75" style="position:absolute;margin-left:136.8pt;margin-top:737.05pt;width:209.75pt;height:14.9pt;z-index:-125829100;mso-wrap-distance-left:136.8pt;mso-wrap-distance-right:148.1pt;mso-wrap-distance-bottom:10.8pt;mso-position-horizontal-relative:margin;mso-position-vertical-relative:margin" wrapcoords="0 0 21600 0 21600 21600 0 21600 0 0">
            <v:imagedata r:id="rId693" r:href="rId694"/>
            <w10:wrap type="topAndBottom" anchorx="margin" anchory="margin"/>
          </v:shape>
        </w:pict>
      </w:r>
      <w:r>
        <w:rPr>
          <w:lang w:val="ru-RU" w:eastAsia="ru-RU" w:bidi="ru-RU"/>
          <w:w w:val="100"/>
          <w:spacing w:val="0"/>
          <w:color w:val="000000"/>
          <w:position w:val="0"/>
        </w:rPr>
        <w:t xml:space="preserve">В 1977 году </w:t>
      </w:r>
      <w:r>
        <w:rPr>
          <w:lang w:val="en-US" w:eastAsia="en-US" w:bidi="en-US"/>
          <w:w w:val="100"/>
          <w:spacing w:val="0"/>
          <w:color w:val="000000"/>
          <w:position w:val="0"/>
        </w:rPr>
        <w:t xml:space="preserve">G.Fontaine </w:t>
      </w:r>
      <w:r>
        <w:rPr>
          <w:lang w:val="ru-RU" w:eastAsia="ru-RU" w:bidi="ru-RU"/>
          <w:w w:val="100"/>
          <w:spacing w:val="0"/>
          <w:color w:val="000000"/>
          <w:position w:val="0"/>
        </w:rPr>
        <w:t xml:space="preserve">с соавт. описали своеобразную форму кардиомиопатии, проявляющуюся изолированным поражением правого желудочка. Авторы назвали эту форму заболевания аритмогенной дисплазией правого желудочка (АДПЖ). В 1978 году </w:t>
      </w:r>
      <w:r>
        <w:rPr>
          <w:lang w:val="en-US" w:eastAsia="en-US" w:bidi="en-US"/>
          <w:w w:val="100"/>
          <w:spacing w:val="0"/>
          <w:color w:val="000000"/>
          <w:position w:val="0"/>
        </w:rPr>
        <w:t xml:space="preserve">R. Frank </w:t>
      </w:r>
      <w:r>
        <w:rPr>
          <w:lang w:val="ru-RU" w:eastAsia="ru-RU" w:bidi="ru-RU"/>
          <w:w w:val="100"/>
          <w:spacing w:val="0"/>
          <w:color w:val="000000"/>
          <w:position w:val="0"/>
        </w:rPr>
        <w:t>с соавт. описали случай ло-</w:t>
      </w:r>
      <w:r>
        <w:br w:type="page"/>
      </w:r>
    </w:p>
    <w:p>
      <w:pPr>
        <w:pStyle w:val="Style30"/>
        <w:widowControl w:val="0"/>
        <w:keepNext w:val="0"/>
        <w:keepLines w:val="0"/>
        <w:shd w:val="clear" w:color="auto" w:fill="auto"/>
        <w:bidi w:val="0"/>
        <w:spacing w:before="0" w:after="0" w:line="206" w:lineRule="exact"/>
        <w:ind w:left="0" w:right="0" w:firstLine="0"/>
      </w:pPr>
      <w:r>
        <w:rPr>
          <w:lang w:val="ru-RU" w:eastAsia="ru-RU" w:bidi="ru-RU"/>
          <w:w w:val="100"/>
          <w:spacing w:val="0"/>
          <w:color w:val="000000"/>
          <w:position w:val="0"/>
        </w:rPr>
        <w:t>кальной дисплазии правого желудочка, сопровождавшейся идиопатической желудочковой тахикардией и синкопе.</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Существуют другие определения АДПЖ: правожелудоч</w:t>
        <w:softHyphen/>
        <w:t xml:space="preserve">ковая кардиомиопатия </w:t>
      </w:r>
      <w:r>
        <w:rPr>
          <w:lang w:val="en-US" w:eastAsia="en-US" w:bidi="en-US"/>
          <w:w w:val="100"/>
          <w:spacing w:val="0"/>
          <w:color w:val="000000"/>
          <w:position w:val="0"/>
        </w:rPr>
        <w:t xml:space="preserve">(«parchment» heart), </w:t>
      </w:r>
      <w:r>
        <w:rPr>
          <w:lang w:val="ru-RU" w:eastAsia="ru-RU" w:bidi="ru-RU"/>
          <w:w w:val="100"/>
          <w:spacing w:val="0"/>
          <w:color w:val="000000"/>
          <w:position w:val="0"/>
        </w:rPr>
        <w:t>неполная фор</w:t>
        <w:softHyphen/>
        <w:t>ма аномалии Уля, дисплазия правого желудочка, семейная правожелудочковая дилатационная кардиомиопатия. Клас</w:t>
        <w:softHyphen/>
        <w:t>сически АДПЖ проявляется синкопе или сердцебиением, вторичными к желудочковой тахикардии, имеющей мор</w:t>
        <w:softHyphen/>
        <w:t>фологию блокады левой ножки пучка Гиса и исходящей от диспластической области правого желудочка.</w:t>
      </w:r>
    </w:p>
    <w:p>
      <w:pPr>
        <w:pStyle w:val="Style30"/>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Частота</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Распространенность заболевания в общей популяции не установлена, поскольку выявляемость правожелу</w:t>
        <w:softHyphen/>
        <w:t>дочковой дисплазии трудна, а желудочковая тахикар</w:t>
        <w:softHyphen/>
        <w:t>дия может иметь другую этиологию.</w:t>
      </w:r>
    </w:p>
    <w:p>
      <w:pPr>
        <w:pStyle w:val="Style30"/>
        <w:numPr>
          <w:ilvl w:val="0"/>
          <w:numId w:val="79"/>
        </w:numPr>
        <w:tabs>
          <w:tab w:leader="none" w:pos="519" w:val="left"/>
        </w:tabs>
        <w:widowControl w:val="0"/>
        <w:keepNext w:val="0"/>
        <w:keepLines w:val="0"/>
        <w:shd w:val="clear" w:color="auto" w:fill="auto"/>
        <w:bidi w:val="0"/>
        <w:jc w:val="left"/>
        <w:spacing w:before="0" w:after="0" w:line="206" w:lineRule="exact"/>
        <w:ind w:left="520" w:right="0" w:hanging="240"/>
      </w:pPr>
      <w:r>
        <w:rPr>
          <w:lang w:val="ru-RU" w:eastAsia="ru-RU" w:bidi="ru-RU"/>
          <w:w w:val="100"/>
          <w:spacing w:val="0"/>
          <w:color w:val="000000"/>
          <w:position w:val="0"/>
        </w:rPr>
        <w:t>Около 24-30% больных с идиопатической желудочко</w:t>
        <w:softHyphen/>
        <w:t>вой тахикардией могут иметь АДПЖ.</w:t>
      </w:r>
    </w:p>
    <w:p>
      <w:pPr>
        <w:pStyle w:val="Style30"/>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Имеет место значительное преобладание мужского пола в соотношении 4,3:1.</w:t>
      </w:r>
    </w:p>
    <w:p>
      <w:pPr>
        <w:pStyle w:val="Style30"/>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Большинство больных составляют дети и подростки до 16 лет.</w:t>
      </w:r>
    </w:p>
    <w:p>
      <w:pPr>
        <w:pStyle w:val="Style30"/>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Этиология</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Этиология заболевания не ясна. Ни в одном случае диагностированной АДПЖ не выявлено аномалий коронарных артерий, а также указаний на воспали</w:t>
        <w:softHyphen/>
        <w:t>тельный процесс (миокардит), что, однако, не позво</w:t>
        <w:softHyphen/>
        <w:t>ляет полностью исключить роль этих факторов в ге- незе заболевания.</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Коксаки В3 вирус в экспериментальных моделях может обусловливать уменьшение числа миоцитов в правом желудочке. В этой связи выдвинута гипотеза, что внут</w:t>
        <w:softHyphen/>
        <w:t>риутробная вирусная инфекция может вызвать частич</w:t>
        <w:softHyphen/>
        <w:t>ную деструкцию миоцитов и жировую инфильтрацию стромы. Однако доказать роль предшествующей вирус</w:t>
        <w:softHyphen/>
        <w:t>ной инфекции очень трудно из-за невозможности об</w:t>
        <w:softHyphen/>
        <w:t>наружения вируса в отдаленные сроки заболевания.</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en-US" w:eastAsia="en-US" w:bidi="en-US"/>
          <w:w w:val="100"/>
          <w:spacing w:val="0"/>
          <w:color w:val="000000"/>
          <w:position w:val="0"/>
        </w:rPr>
        <w:t xml:space="preserve">М.Wаynberger c </w:t>
      </w:r>
      <w:r>
        <w:rPr>
          <w:lang w:val="ru-RU" w:eastAsia="ru-RU" w:bidi="ru-RU"/>
          <w:w w:val="100"/>
          <w:spacing w:val="0"/>
          <w:color w:val="000000"/>
          <w:position w:val="0"/>
        </w:rPr>
        <w:t>тоавт. первыми описали случай се</w:t>
        <w:softHyphen/>
        <w:t xml:space="preserve">мейной формы АДПЖ в 1974 году. При обследовании 9 семей, проведенном </w:t>
      </w:r>
      <w:r>
        <w:rPr>
          <w:lang w:val="en-US" w:eastAsia="en-US" w:bidi="en-US"/>
          <w:w w:val="100"/>
          <w:spacing w:val="0"/>
          <w:color w:val="000000"/>
          <w:position w:val="0"/>
        </w:rPr>
        <w:t xml:space="preserve">A. Nava </w:t>
      </w:r>
      <w:r>
        <w:rPr>
          <w:lang w:val="ru-RU" w:eastAsia="ru-RU" w:bidi="ru-RU"/>
          <w:w w:val="100"/>
          <w:spacing w:val="0"/>
          <w:color w:val="000000"/>
          <w:position w:val="0"/>
        </w:rPr>
        <w:t>(23), в 8 семьях выявле</w:t>
        <w:softHyphen/>
        <w:t>на АДПЖ более чем у одного из членов семьи. Дан</w:t>
        <w:softHyphen/>
        <w:t>ный факт доказывает наличие генетического субстра</w:t>
        <w:softHyphen/>
        <w:t>та болезни. В одном наблюдении семейной формы АДПЖ имела место высокая частота поражения сиб- сов (3 из 5), что позволило предположить авторам ау- тосомно-доминантный характер наследования с не</w:t>
        <w:softHyphen/>
        <w:t>полной пенетрантностью. Другие исследователи счи</w:t>
        <w:softHyphen/>
        <w:t>тают, что АДПЖ передается аутосомно-доминантно с полной пенетрантностью. Этот вывод авторы сдела</w:t>
        <w:softHyphen/>
        <w:t>ли на основании обнаружения АДПЖ у отца, всех 7 его детей и 4 членов в III поколении. Учитывая высо</w:t>
        <w:softHyphen/>
        <w:t>кую частоту семейных форм заболевания и возмож</w:t>
        <w:softHyphen/>
        <w:t>ность бессимптомного течения АДПЖ у родителей, оправдано тщательное обследование всех членов се</w:t>
        <w:softHyphen/>
        <w:t>мьи. Это может оказать существенный вклад в сниже</w:t>
        <w:softHyphen/>
        <w:t>ние частоты аритмогенной внезапной смерти.</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Ряд авторов высказывают мнение, что АДПЖ имеет ту же этиологию, что и болезнь Уля. Высказано пред</w:t>
        <w:softHyphen/>
        <w:t>положение, что болезнь Уля является крайней фор</w:t>
        <w:softHyphen/>
        <w:t>мой АДПЖ. Однако клиническая картина данной аномалии существенно отличается от таковой при АДПЖ. При болезни Уля средняя продолжительность жизни составляет 12,8 лет, больные часто имеют диф</w:t>
        <w:softHyphen/>
        <w:br w:type="column"/>
        <w:t>фузный цианоз, заболевание встречается одинаково часто у мужчин и женщин, желудочковая аритмия на</w:t>
        <w:softHyphen/>
        <w:t>блюдается только в 30% случаев. Важным отличием болезни Уля от АДПЖ является отсутствие жировой инфильтрации правого желудочка. Однако известны ранее описанные случаи болезни Уля, когда имело место частичное отсутствие правожелудочковых мио</w:t>
        <w:softHyphen/>
        <w:t>цитов и жировая инфильтрация. Вероятно, эти про</w:t>
        <w:softHyphen/>
        <w:t>явления следует рассматривать как АДПЖ, а не ати</w:t>
        <w:softHyphen/>
        <w:t>пичный вариант аномалии Уля.</w:t>
      </w:r>
    </w:p>
    <w:p>
      <w:pPr>
        <w:pStyle w:val="Style30"/>
        <w:numPr>
          <w:ilvl w:val="0"/>
          <w:numId w:val="79"/>
        </w:numPr>
        <w:tabs>
          <w:tab w:leader="none" w:pos="517"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 xml:space="preserve">В эмбриональную фазу свободная стенка правого же - лудочка формируется из трех компонентов бульбо- вентрикулярной петли: </w:t>
      </w:r>
      <w:r>
        <w:rPr>
          <w:lang w:val="en-US" w:eastAsia="en-US" w:bidi="en-US"/>
          <w:w w:val="100"/>
          <w:spacing w:val="0"/>
          <w:color w:val="000000"/>
          <w:position w:val="0"/>
        </w:rPr>
        <w:t xml:space="preserve">pro-ampulla, meta-ampulla </w:t>
      </w:r>
      <w:r>
        <w:rPr>
          <w:lang w:val="ru-RU" w:eastAsia="ru-RU" w:bidi="ru-RU"/>
          <w:w w:val="100"/>
          <w:spacing w:val="0"/>
          <w:color w:val="000000"/>
          <w:position w:val="0"/>
        </w:rPr>
        <w:t xml:space="preserve">и части </w:t>
      </w:r>
      <w:r>
        <w:rPr>
          <w:lang w:val="en-US" w:eastAsia="en-US" w:bidi="en-US"/>
          <w:w w:val="100"/>
          <w:spacing w:val="0"/>
          <w:color w:val="000000"/>
          <w:position w:val="0"/>
        </w:rPr>
        <w:t xml:space="preserve">bulbus. </w:t>
      </w:r>
      <w:r>
        <w:rPr>
          <w:lang w:val="ru-RU" w:eastAsia="ru-RU" w:bidi="ru-RU"/>
          <w:w w:val="100"/>
          <w:spacing w:val="0"/>
          <w:color w:val="000000"/>
          <w:position w:val="0"/>
        </w:rPr>
        <w:t xml:space="preserve">В этой связи </w:t>
      </w:r>
      <w:r>
        <w:rPr>
          <w:lang w:val="en-US" w:eastAsia="en-US" w:bidi="en-US"/>
          <w:w w:val="100"/>
          <w:spacing w:val="0"/>
          <w:color w:val="000000"/>
          <w:position w:val="0"/>
        </w:rPr>
        <w:t xml:space="preserve">S.Bharati </w:t>
      </w:r>
      <w:r>
        <w:rPr>
          <w:lang w:val="ru-RU" w:eastAsia="ru-RU" w:bidi="ru-RU"/>
          <w:w w:val="100"/>
          <w:spacing w:val="0"/>
          <w:color w:val="000000"/>
          <w:position w:val="0"/>
        </w:rPr>
        <w:t>с соавт. выдви</w:t>
        <w:softHyphen/>
        <w:t>нули гипотезу, что возникновение АДПЖ связано с врожденной несостоятельностью дифференциров- ки элементов правого желудочка.</w:t>
      </w:r>
    </w:p>
    <w:p>
      <w:pPr>
        <w:pStyle w:val="Style30"/>
        <w:numPr>
          <w:ilvl w:val="0"/>
          <w:numId w:val="79"/>
        </w:numPr>
        <w:tabs>
          <w:tab w:leader="none" w:pos="517"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Считают, что АДПЖ обусловлена первичным пора</w:t>
        <w:softHyphen/>
        <w:t>жением миокарда правого желудочка и должна быть отнесена в группу идиопатических (первичных) кар</w:t>
        <w:softHyphen/>
        <w:t>диомиопатий.</w:t>
      </w:r>
    </w:p>
    <w:p>
      <w:pPr>
        <w:pStyle w:val="Style30"/>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Морфология</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Патологоанатомически при АДПЖ имеет место дилата</w:t>
        <w:softHyphen/>
        <w:t>ция полости, часто обнаруживаются аневризмы и истонче</w:t>
        <w:softHyphen/>
        <w:t>ние свободной стенки правого желудочка в области выход</w:t>
        <w:softHyphen/>
        <w:t>ного тракта, верхушки или нижней стенки. Патологичес</w:t>
        <w:softHyphen/>
        <w:t>кий процесс может быть локализованным или распростра</w:t>
        <w:softHyphen/>
        <w:t>ненным. Область дисплазии имеет белый цвет, стенка же</w:t>
        <w:softHyphen/>
        <w:t>лудочка истончена, эндокард в этом месте склерозирован. Миокард замещен фиброзной или жировой тканью. В этой связи выделяют два гистологических варианта АДПЖ: ли</w:t>
        <w:softHyphen/>
        <w:t>поматозная и фиброзная (фибролипоматозная) дисплазия.</w:t>
      </w:r>
    </w:p>
    <w:p>
      <w:pPr>
        <w:pStyle w:val="Style30"/>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Гистология</w:t>
      </w:r>
    </w:p>
    <w:p>
      <w:pPr>
        <w:pStyle w:val="Style30"/>
        <w:numPr>
          <w:ilvl w:val="0"/>
          <w:numId w:val="79"/>
        </w:numPr>
        <w:tabs>
          <w:tab w:leader="none" w:pos="517"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При гистологическом исследовании липоматозной ди - сплазии выявляется в различной степени выраженнос</w:t>
        <w:softHyphen/>
        <w:t>ти редукция числа миофибрилл и замещение их жиро</w:t>
        <w:softHyphen/>
        <w:t>вой тканью, инфильтрация липидными клетками, гис</w:t>
        <w:softHyphen/>
        <w:t>тиоцитами и лимфоцитами. Оставшиеся миофибрил- лы в диспластической области гипертрофированы и могут иметь признаки дегенеративного повреждения. Липоматозная дисплазия чаще локализуется в области верхушки и выходного тракта правого желудочка.</w:t>
      </w:r>
    </w:p>
    <w:p>
      <w:pPr>
        <w:pStyle w:val="Style30"/>
        <w:numPr>
          <w:ilvl w:val="0"/>
          <w:numId w:val="79"/>
        </w:numPr>
        <w:tabs>
          <w:tab w:leader="none" w:pos="517"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Фиброзная или фибролипоматозная дисплазия имеет более распространенный характер, чем липоматозная АДПЖ, имеет место миокардиальный склероз, чаще локализованный в области задней стенки правого же</w:t>
        <w:softHyphen/>
        <w:t>лудочка, сопровождающийся формированием анев</w:t>
        <w:softHyphen/>
        <w:t>ризм. Фиброзируется преимущественно субэндокар</w:t>
        <w:softHyphen/>
        <w:t>диальный слой миокарда, как и при липоматозной дисплазии, в аритмогенной зоне миокарда может быть небольшая мононуклеарная инфильтрация, де</w:t>
        <w:softHyphen/>
        <w:t>генеративные или некротические изменения миоци</w:t>
        <w:softHyphen/>
        <w:t>тов. Наличие мононуклеарной инфильтрации может свидетельствовать о воспалительном генезе заболева</w:t>
        <w:softHyphen/>
        <w:t>ния (вирусный миокардит). Однако она может быть вторичной вследствие некроза кардиомиоцитов.</w:t>
      </w:r>
    </w:p>
    <w:p>
      <w:pPr>
        <w:pStyle w:val="Style30"/>
        <w:numPr>
          <w:ilvl w:val="0"/>
          <w:numId w:val="79"/>
        </w:numPr>
        <w:tabs>
          <w:tab w:leader="none" w:pos="517" w:val="left"/>
        </w:tabs>
        <w:widowControl w:val="0"/>
        <w:keepNext w:val="0"/>
        <w:keepLines w:val="0"/>
        <w:shd w:val="clear" w:color="auto" w:fill="auto"/>
        <w:bidi w:val="0"/>
        <w:spacing w:before="0" w:after="0" w:line="206" w:lineRule="exact"/>
        <w:ind w:left="520" w:right="0" w:hanging="240"/>
      </w:pPr>
      <w:r>
        <w:pict>
          <v:shape id="_x0000_s1442" type="#_x0000_t75" style="position:absolute;margin-left:148.2pt;margin-top:737.05pt;width:209.75pt;height:14.9pt;z-index:-125829099;mso-wrap-distance-left:148.1pt;mso-wrap-distance-right:136.55pt;mso-wrap-distance-bottom:10.8pt;mso-position-horizontal-relative:margin;mso-position-vertical-relative:margin" wrapcoords="0 0 21600 0 21600 21600 0 21600 0 0">
            <v:imagedata r:id="rId695" r:href="rId696"/>
            <w10:wrap type="topAndBottom" anchorx="margin" anchory="margin"/>
          </v:shape>
        </w:pict>
      </w:r>
      <w:r>
        <w:rPr>
          <w:lang w:val="ru-RU" w:eastAsia="ru-RU" w:bidi="ru-RU"/>
          <w:w w:val="100"/>
          <w:spacing w:val="0"/>
          <w:color w:val="000000"/>
          <w:position w:val="0"/>
        </w:rPr>
        <w:t>Указанные гистологические проявления свидетельст</w:t>
        <w:softHyphen/>
        <w:t>вуют о том, что имеет место не врожденное отсут</w:t>
        <w:softHyphen/>
        <w:t>ствие миокарда, а прогрессирующее замещение его жировой или фиброзной тканью. Это фиброзное или жировое замещение миокарда не связано с ишемией, поскольку как эпикардиальные, так и интрамураль</w:t>
        <w:softHyphen/>
        <w:t>ные коронарные артерии в области дисплазии не из</w:t>
        <w:softHyphen/>
        <w:t>менены. В этой связи некоторые авторы рассматри-</w:t>
      </w:r>
      <w:r>
        <w:br w:type="page"/>
      </w:r>
    </w:p>
    <w:p>
      <w:pPr>
        <w:framePr w:h="3586" w:wrap="notBeside" w:vAnchor="text" w:hAnchor="text" w:xAlign="center" w:y="1"/>
        <w:widowControl w:val="0"/>
        <w:jc w:val="center"/>
        <w:rPr>
          <w:sz w:val="2"/>
          <w:szCs w:val="2"/>
        </w:rPr>
      </w:pPr>
      <w:r>
        <w:pict>
          <v:shape id="_x0000_s1443" type="#_x0000_t75" style="width:243pt;height:180pt;">
            <v:imagedata r:id="rId697" r:href="rId698"/>
          </v:shape>
        </w:pict>
      </w:r>
    </w:p>
    <w:p>
      <w:pPr>
        <w:pStyle w:val="Style120"/>
        <w:framePr w:h="3586"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61. </w:t>
      </w:r>
      <w:r>
        <w:rPr>
          <w:lang w:val="ru-RU" w:eastAsia="ru-RU" w:bidi="ru-RU"/>
          <w:w w:val="100"/>
          <w:spacing w:val="0"/>
          <w:color w:val="000000"/>
          <w:position w:val="0"/>
        </w:rPr>
        <w:t>ЭКГ при аритмогенной дисплазии правого желудочка: же</w:t>
        <w:softHyphen/>
        <w:t>лудочковые экстрасистолы, имеющие морфологию блокады левой ножки пучка Гиса.</w:t>
      </w:r>
    </w:p>
    <w:p>
      <w:pPr>
        <w:widowControl w:val="0"/>
        <w:rPr>
          <w:sz w:val="2"/>
          <w:szCs w:val="2"/>
        </w:rPr>
      </w:pPr>
    </w:p>
    <w:p>
      <w:pPr>
        <w:pStyle w:val="Style30"/>
        <w:widowControl w:val="0"/>
        <w:keepNext w:val="0"/>
        <w:keepLines w:val="0"/>
        <w:shd w:val="clear" w:color="auto" w:fill="auto"/>
        <w:bidi w:val="0"/>
        <w:spacing w:before="209" w:after="0" w:line="206" w:lineRule="exact"/>
        <w:ind w:left="500" w:right="0" w:firstLine="0"/>
      </w:pPr>
      <w:r>
        <w:rPr>
          <w:lang w:val="ru-RU" w:eastAsia="ru-RU" w:bidi="ru-RU"/>
          <w:w w:val="100"/>
          <w:spacing w:val="0"/>
          <w:color w:val="000000"/>
          <w:position w:val="0"/>
        </w:rPr>
        <w:t>вают АДПЖ как прогрессирующую кардиомиопатию с первичным вовлечением в патологический процесс миокарда правого желудочка.</w:t>
      </w:r>
    </w:p>
    <w:p>
      <w:pPr>
        <w:pStyle w:val="Style30"/>
        <w:numPr>
          <w:ilvl w:val="0"/>
          <w:numId w:val="79"/>
        </w:numPr>
        <w:tabs>
          <w:tab w:leader="none" w:pos="518"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Другие гистологические находки при АДПЖ связаны со вторичными изменениями гемодинамики. К ним относятся дилатационная кардиомиопатия, хрониче</w:t>
        <w:softHyphen/>
        <w:t>ская объемная перегрузка правого желудочка. Толщи</w:t>
        <w:softHyphen/>
        <w:t>на свободной стенки правого желудочка не является диагностическим критерием АДПЖ, поскольку име</w:t>
        <w:softHyphen/>
        <w:t>ет место замещение недостающих миоцитов жировой или фиброзной тканью. При липоматозной диспла</w:t>
        <w:softHyphen/>
        <w:t>зии толщина стенки правого желудочка обычно со</w:t>
        <w:softHyphen/>
        <w:t>ставляет 4-5 мм, при фибролипоматозной — 2-3 мм.</w:t>
      </w:r>
    </w:p>
    <w:p>
      <w:pPr>
        <w:pStyle w:val="Style30"/>
        <w:numPr>
          <w:ilvl w:val="0"/>
          <w:numId w:val="79"/>
        </w:numPr>
        <w:tabs>
          <w:tab w:leader="none" w:pos="518"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Обычно левый желудочек не вовлекается в патологиче</w:t>
        <w:softHyphen/>
        <w:t>ский процесс. Однако известны случаи смерти детей при АДПЖ, когда обнаруживалась и жировая диспла</w:t>
        <w:softHyphen/>
        <w:t>зия левого желудочка. Локальное поражение левого же</w:t>
        <w:softHyphen/>
        <w:t>лудочка наблюдается примерно у 1/3 больных АДПЖ и протекает бессимптомно. Ни в одном случае при со</w:t>
        <w:softHyphen/>
        <w:t>путствующем вовлечении в патологический процесс ле</w:t>
        <w:softHyphen/>
        <w:t>вого желудочка в нем не выявлено аритмогенных зон.</w:t>
      </w:r>
    </w:p>
    <w:p>
      <w:pPr>
        <w:pStyle w:val="Style30"/>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Анамнез, клиническая симптоматика</w:t>
      </w:r>
    </w:p>
    <w:p>
      <w:pPr>
        <w:pStyle w:val="Style30"/>
        <w:numPr>
          <w:ilvl w:val="0"/>
          <w:numId w:val="79"/>
        </w:numPr>
        <w:tabs>
          <w:tab w:leader="none" w:pos="518"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Клиническая картина заболевания не зависит от воз</w:t>
        <w:softHyphen/>
        <w:t>раста. Известны случаи возникновения заболевания в возрасте 1 года, наиболее часто АДПЖ выявляется во 2 десятилетии.</w:t>
      </w:r>
    </w:p>
    <w:p>
      <w:pPr>
        <w:pStyle w:val="Style30"/>
        <w:numPr>
          <w:ilvl w:val="0"/>
          <w:numId w:val="79"/>
        </w:numPr>
        <w:tabs>
          <w:tab w:leader="none" w:pos="518"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Начало заболевания характеризуется появлением синкопальных эпизодов, сердцебиения и желудочко</w:t>
        <w:softHyphen/>
        <w:t>вой тахикардии.</w:t>
      </w:r>
    </w:p>
    <w:p>
      <w:pPr>
        <w:pStyle w:val="Style30"/>
        <w:numPr>
          <w:ilvl w:val="0"/>
          <w:numId w:val="79"/>
        </w:numPr>
        <w:tabs>
          <w:tab w:leader="none" w:pos="518"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Недиагностированная при жизни АДПЖ может явиться причиной аритмогенной внезапной смерти.</w:t>
      </w:r>
    </w:p>
    <w:p>
      <w:pPr>
        <w:pStyle w:val="Style30"/>
        <w:numPr>
          <w:ilvl w:val="0"/>
          <w:numId w:val="79"/>
        </w:numPr>
        <w:tabs>
          <w:tab w:leader="none" w:pos="518"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Причиной внезапной смерти при АДПЖ являются тахикардия и фибрилляция желудочков.</w:t>
      </w:r>
    </w:p>
    <w:p>
      <w:pPr>
        <w:pStyle w:val="Style30"/>
        <w:numPr>
          <w:ilvl w:val="0"/>
          <w:numId w:val="79"/>
        </w:numPr>
        <w:tabs>
          <w:tab w:leader="none" w:pos="518"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Заболевание не имеет каких-либо специфических проявлений. В отсутствие синкопе больные не имеют жалоб и выглядят здоровыми.</w:t>
      </w:r>
    </w:p>
    <w:p>
      <w:pPr>
        <w:pStyle w:val="Style30"/>
        <w:numPr>
          <w:ilvl w:val="0"/>
          <w:numId w:val="79"/>
        </w:numPr>
        <w:tabs>
          <w:tab w:leader="none" w:pos="518"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В 2% случаев может иметь место правожелудочковая недостаточность, которая более характерна для ново</w:t>
        <w:softHyphen/>
        <w:t>рожденных и детей раннего возраста.</w:t>
      </w:r>
    </w:p>
    <w:p>
      <w:pPr>
        <w:pStyle w:val="Style30"/>
        <w:numPr>
          <w:ilvl w:val="0"/>
          <w:numId w:val="79"/>
        </w:numPr>
        <w:tabs>
          <w:tab w:leader="none" w:pos="518"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В 10% обнаруживается незначительное выбухание передней грудной стенки слева, в 20% случаев выслу</w:t>
        <w:softHyphen/>
        <w:t>шивается акцент II тона над легочной артерией.</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br w:type="column"/>
      </w:r>
      <w:r>
        <w:rPr>
          <w:lang w:val="ru-RU" w:eastAsia="ru-RU" w:bidi="ru-RU"/>
          <w:w w:val="100"/>
          <w:spacing w:val="0"/>
          <w:color w:val="000000"/>
          <w:position w:val="0"/>
        </w:rPr>
        <w:t>Характерным, но неспецифическим признаком АДПЖ является регистрация нерегулярного ритма в межприступный период.</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Во время эпизода желудочковой тахикардии развива</w:t>
        <w:softHyphen/>
        <w:t>ются системная гипотензия, синкопе и циркулятор</w:t>
        <w:softHyphen/>
        <w:t>ный шок.</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Частота синкопальных атак существенно варьирует. Они могут наблюдаться несколько раз в день, 1-2 ра</w:t>
        <w:softHyphen/>
        <w:t>за в месяц, 1-2 раза в год и реже.</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Выделяют 4 группы больных с АДПЖ:</w:t>
      </w:r>
    </w:p>
    <w:p>
      <w:pPr>
        <w:pStyle w:val="Style30"/>
        <w:numPr>
          <w:ilvl w:val="0"/>
          <w:numId w:val="81"/>
        </w:numPr>
        <w:tabs>
          <w:tab w:leader="none" w:pos="495" w:val="left"/>
        </w:tabs>
        <w:widowControl w:val="0"/>
        <w:keepNext w:val="0"/>
        <w:keepLines w:val="0"/>
        <w:shd w:val="clear" w:color="auto" w:fill="auto"/>
        <w:bidi w:val="0"/>
        <w:jc w:val="left"/>
        <w:spacing w:before="0" w:after="0" w:line="206" w:lineRule="exact"/>
        <w:ind w:left="500" w:right="0" w:hanging="240"/>
      </w:pPr>
      <w:r>
        <w:rPr>
          <w:lang w:val="ru-RU" w:eastAsia="ru-RU" w:bidi="ru-RU"/>
          <w:w w:val="100"/>
          <w:spacing w:val="0"/>
          <w:color w:val="000000"/>
          <w:position w:val="0"/>
        </w:rPr>
        <w:t>приступы повторяются несколько раз в день или месяц;</w:t>
      </w:r>
    </w:p>
    <w:p>
      <w:pPr>
        <w:pStyle w:val="Style30"/>
        <w:numPr>
          <w:ilvl w:val="0"/>
          <w:numId w:val="81"/>
        </w:numPr>
        <w:tabs>
          <w:tab w:leader="none" w:pos="495"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повторные атаки тахикардии в течение 2-3 лет;</w:t>
      </w:r>
    </w:p>
    <w:p>
      <w:pPr>
        <w:pStyle w:val="Style30"/>
        <w:numPr>
          <w:ilvl w:val="0"/>
          <w:numId w:val="81"/>
        </w:numPr>
        <w:tabs>
          <w:tab w:leader="none" w:pos="495"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редкие эпизоды тахикардии — 1 раз в 3-9 лет;</w:t>
      </w:r>
    </w:p>
    <w:p>
      <w:pPr>
        <w:pStyle w:val="Style30"/>
        <w:numPr>
          <w:ilvl w:val="0"/>
          <w:numId w:val="81"/>
        </w:numPr>
        <w:tabs>
          <w:tab w:leader="none" w:pos="495" w:val="left"/>
        </w:tabs>
        <w:widowControl w:val="0"/>
        <w:keepNext w:val="0"/>
        <w:keepLines w:val="0"/>
        <w:shd w:val="clear" w:color="auto" w:fill="auto"/>
        <w:bidi w:val="0"/>
        <w:jc w:val="left"/>
        <w:spacing w:before="0" w:after="0" w:line="206" w:lineRule="exact"/>
        <w:ind w:left="500" w:right="0" w:hanging="240"/>
      </w:pPr>
      <w:r>
        <w:rPr>
          <w:lang w:val="ru-RU" w:eastAsia="ru-RU" w:bidi="ru-RU"/>
          <w:w w:val="100"/>
          <w:spacing w:val="0"/>
          <w:color w:val="000000"/>
          <w:position w:val="0"/>
        </w:rPr>
        <w:t>однократный приступ тахикардии при катамнес- тическом наблюдении в течение 10 лет.</w:t>
      </w:r>
    </w:p>
    <w:p>
      <w:pPr>
        <w:pStyle w:val="Style30"/>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Электрокардиография (рис. 61):</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Электрокардиографическое обследование позволяет заподозрить АДПЖ.</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Обычно регистрируется синусовый ритм с частыми желудочковыми экстрасистолами, имеющими мор</w:t>
        <w:softHyphen/>
        <w:t>фологию блокады левой ножки пучка Гиса.</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Может налюдаться мультифокальная желудочковая экстрасистолия по типу бигемении, тригемении или с нерегулярной последовательностью.</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Желудочковая экстрасистолия с блокадой правой ножки пучка Гиса не характерна для больных АДПЖ.</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 xml:space="preserve">По данным холтеровского мониторирования ЭКГ, более чем у 50% больных с семейной формой АДПЖ регистрируется желудочковая аритмия 4 А градации по </w:t>
      </w:r>
      <w:r>
        <w:rPr>
          <w:lang w:val="en-US" w:eastAsia="en-US" w:bidi="en-US"/>
          <w:w w:val="100"/>
          <w:spacing w:val="0"/>
          <w:color w:val="000000"/>
          <w:position w:val="0"/>
        </w:rPr>
        <w:t xml:space="preserve">Lown </w:t>
      </w:r>
      <w:r>
        <w:rPr>
          <w:lang w:val="ru-RU" w:eastAsia="ru-RU" w:bidi="ru-RU"/>
          <w:w w:val="100"/>
          <w:spacing w:val="0"/>
          <w:color w:val="000000"/>
          <w:position w:val="0"/>
        </w:rPr>
        <w:t>и выше.</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en-US" w:eastAsia="en-US" w:bidi="en-US"/>
          <w:w w:val="100"/>
          <w:spacing w:val="0"/>
          <w:color w:val="000000"/>
          <w:position w:val="0"/>
        </w:rPr>
        <w:t xml:space="preserve">QRS </w:t>
      </w:r>
      <w:r>
        <w:rPr>
          <w:lang w:val="ru-RU" w:eastAsia="ru-RU" w:bidi="ru-RU"/>
          <w:w w:val="100"/>
          <w:spacing w:val="0"/>
          <w:color w:val="000000"/>
          <w:position w:val="0"/>
        </w:rPr>
        <w:t>комплекс, зубцы Р и Т в синусовых циклах не изменены.</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 xml:space="preserve">Интервал </w:t>
      </w:r>
      <w:r>
        <w:rPr>
          <w:lang w:val="en-US" w:eastAsia="en-US" w:bidi="en-US"/>
          <w:w w:val="100"/>
          <w:spacing w:val="0"/>
          <w:color w:val="000000"/>
          <w:position w:val="0"/>
        </w:rPr>
        <w:t xml:space="preserve">P-R </w:t>
      </w:r>
      <w:r>
        <w:rPr>
          <w:lang w:val="ru-RU" w:eastAsia="ru-RU" w:bidi="ru-RU"/>
          <w:w w:val="100"/>
          <w:spacing w:val="0"/>
          <w:color w:val="000000"/>
          <w:position w:val="0"/>
        </w:rPr>
        <w:t>в 75% случаев превышает 0,16 с.</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Неполная блокада правой ножки пучка Гиса отмеча</w:t>
        <w:softHyphen/>
        <w:t>ется в 30% случаев.</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Иногда выявляется уменьшение вольтажа желудоч</w:t>
        <w:softHyphen/>
        <w:t xml:space="preserve">кового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в правых грудных отведениях.</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Если в патологический процесс вовлечен левый же</w:t>
        <w:softHyphen/>
        <w:t xml:space="preserve">лудочек, регистрируются глубокий зубец </w:t>
      </w:r>
      <w:r>
        <w:rPr>
          <w:lang w:val="en-US" w:eastAsia="en-US" w:bidi="en-US"/>
          <w:w w:val="100"/>
          <w:spacing w:val="0"/>
          <w:color w:val="000000"/>
          <w:position w:val="0"/>
        </w:rPr>
        <w:t xml:space="preserve">Q </w:t>
      </w:r>
      <w:r>
        <w:rPr>
          <w:lang w:val="ru-RU" w:eastAsia="ru-RU" w:bidi="ru-RU"/>
          <w:w w:val="100"/>
          <w:spacing w:val="0"/>
          <w:color w:val="000000"/>
          <w:position w:val="0"/>
        </w:rPr>
        <w:t>и отрица</w:t>
        <w:softHyphen/>
        <w:t>тельные зубцы Т в левых грудных отведениях.</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В 30% случаев при АДПЖ в правых грудных отведе</w:t>
        <w:softHyphen/>
        <w:t xml:space="preserve">ниях на сегменте </w:t>
      </w:r>
      <w:r>
        <w:rPr>
          <w:lang w:val="en-US" w:eastAsia="en-US" w:bidi="en-US"/>
          <w:w w:val="100"/>
          <w:spacing w:val="0"/>
          <w:color w:val="000000"/>
          <w:position w:val="0"/>
        </w:rPr>
        <w:t xml:space="preserve">ST </w:t>
      </w:r>
      <w:r>
        <w:rPr>
          <w:lang w:val="ru-RU" w:eastAsia="ru-RU" w:bidi="ru-RU"/>
          <w:w w:val="100"/>
          <w:spacing w:val="0"/>
          <w:color w:val="000000"/>
          <w:position w:val="0"/>
        </w:rPr>
        <w:t>отмечается так называемая эпси</w:t>
        <w:softHyphen/>
        <w:t>лон-волна, которая отражает замедленную деполяри</w:t>
        <w:softHyphen/>
        <w:t>зацию и является фактором риска риентри тахикар</w:t>
        <w:softHyphen/>
        <w:t>дии. Электрофизиологической основой риентри та</w:t>
        <w:softHyphen/>
        <w:t>хикардии при АДПЖ является задержка внутрижелу</w:t>
        <w:softHyphen/>
        <w:t>дочковой передачи импульса в диспластической зоне. В этой связи, когда удается зарегистрировать желу</w:t>
        <w:softHyphen/>
        <w:t>дочковую тахикардию, она имеет морфологию, ха</w:t>
        <w:softHyphen/>
        <w:t>рактерную для блокады левой ножки пучка Гиса, с ча</w:t>
        <w:softHyphen/>
        <w:t>стотой 170-300 в мин, при этом электрическая ось сердца не отклонена или имеет девиацию вправо (рис. 62).</w:t>
      </w:r>
    </w:p>
    <w:p>
      <w:pPr>
        <w:pStyle w:val="Style30"/>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Рентгенография:</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При отсутствии правожелудочковой недостаточности сердце на рентгенограмме у детей с АДПЖ не увели</w:t>
        <w:softHyphen/>
        <w:t>чено.</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pPr>
      <w:r>
        <w:rPr>
          <w:lang w:val="ru-RU" w:eastAsia="ru-RU" w:bidi="ru-RU"/>
          <w:w w:val="100"/>
          <w:spacing w:val="0"/>
          <w:color w:val="000000"/>
          <w:position w:val="0"/>
        </w:rPr>
        <w:t>Среди подростков умеренная дилатация (кардиото</w:t>
        <w:softHyphen/>
        <w:t>ракальное отношение более 50%) наблюдается при</w:t>
        <w:softHyphen/>
        <w:t>мерно у половины больных с АДПЖ.</w:t>
      </w:r>
    </w:p>
    <w:p>
      <w:pPr>
        <w:pStyle w:val="Style30"/>
        <w:numPr>
          <w:ilvl w:val="0"/>
          <w:numId w:val="79"/>
        </w:numPr>
        <w:tabs>
          <w:tab w:leader="none" w:pos="238" w:val="left"/>
        </w:tabs>
        <w:widowControl w:val="0"/>
        <w:keepNext w:val="0"/>
        <w:keepLines w:val="0"/>
        <w:shd w:val="clear" w:color="auto" w:fill="auto"/>
        <w:bidi w:val="0"/>
        <w:spacing w:before="0" w:after="0" w:line="206" w:lineRule="exact"/>
        <w:ind w:left="260" w:right="0"/>
        <w:sectPr>
          <w:type w:val="continuous"/>
          <w:pgSz w:w="11900" w:h="16840"/>
          <w:pgMar w:top="1565" w:left="1024" w:right="987" w:bottom="1752" w:header="0" w:footer="3" w:gutter="0"/>
          <w:rtlGutter w:val="0"/>
          <w:cols w:num="2" w:space="217"/>
          <w:noEndnote/>
          <w:docGrid w:linePitch="360"/>
        </w:sectPr>
      </w:pPr>
      <w:r>
        <w:rPr>
          <w:lang w:val="ru-RU" w:eastAsia="ru-RU" w:bidi="ru-RU"/>
          <w:w w:val="100"/>
          <w:spacing w:val="0"/>
          <w:color w:val="000000"/>
          <w:position w:val="0"/>
        </w:rPr>
        <w:t>Легочный сосудистый рисунок как у детей, так и у взрослых не изменен.</w:t>
      </w:r>
    </w:p>
    <w:p>
      <w:pPr>
        <w:widowControl w:val="0"/>
        <w:rPr>
          <w:sz w:val="2"/>
          <w:szCs w:val="2"/>
        </w:rPr>
      </w:pPr>
      <w:r>
        <w:pict>
          <v:shape id="_x0000_s1444" type="#_x0000_t202" style="position:static;width:595.pt;height:67.2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445" type="#_x0000_t75" style="position:absolute;margin-left:131.5pt;margin-top:0;width:209.75pt;height:14.9pt;z-index:-251658692;mso-wrap-distance-left:5.pt;mso-wrap-distance-right:5.pt;mso-position-horizontal-relative:margin" wrapcoords="0 0">
            <v:imagedata r:id="rId699" r:href="rId700"/>
            <w10:wrap anchorx="margin"/>
          </v:shape>
        </w:pict>
      </w:r>
    </w:p>
    <w:p>
      <w:pPr>
        <w:widowControl w:val="0"/>
        <w:rPr>
          <w:sz w:val="2"/>
          <w:szCs w:val="2"/>
        </w:rPr>
        <w:sectPr>
          <w:type w:val="continuous"/>
          <w:pgSz w:w="11900" w:h="16840"/>
          <w:pgMar w:top="1468" w:left="1124" w:right="889" w:bottom="192" w:header="0" w:footer="3" w:gutter="0"/>
          <w:rtlGutter w:val="0"/>
          <w:cols w:space="720"/>
          <w:noEndnote/>
          <w:docGrid w:linePitch="360"/>
        </w:sectPr>
      </w:pPr>
    </w:p>
    <w:p>
      <w:pPr>
        <w:pStyle w:val="Style30"/>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Эхокардиография (рис. 63):</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Одномерная ЭхоКГ:</w:t>
      </w:r>
    </w:p>
    <w:p>
      <w:pPr>
        <w:pStyle w:val="Style30"/>
        <w:numPr>
          <w:ilvl w:val="0"/>
          <w:numId w:val="81"/>
        </w:numPr>
        <w:tabs>
          <w:tab w:leader="none" w:pos="517"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выявляется увеличение индекса отношения конеч - но диастолического диаметра правого желудочка к левому желудочку больше 0,5;</w:t>
      </w:r>
    </w:p>
    <w:p>
      <w:pPr>
        <w:pStyle w:val="Style30"/>
        <w:numPr>
          <w:ilvl w:val="0"/>
          <w:numId w:val="81"/>
        </w:numPr>
        <w:tabs>
          <w:tab w:leader="none" w:pos="517"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конечно диастолический диаметр правого желу</w:t>
        <w:softHyphen/>
        <w:t>дочка обычно превышает 24 мм;</w:t>
      </w:r>
    </w:p>
    <w:p>
      <w:pPr>
        <w:pStyle w:val="Style30"/>
        <w:numPr>
          <w:ilvl w:val="0"/>
          <w:numId w:val="81"/>
        </w:numPr>
        <w:tabs>
          <w:tab w:leader="none" w:pos="517"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фракция выброса — меньше 50%.</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Двухмерная ЭхоКГ и допплер ЭхоКГ:</w:t>
      </w:r>
    </w:p>
    <w:p>
      <w:pPr>
        <w:pStyle w:val="Style30"/>
        <w:numPr>
          <w:ilvl w:val="0"/>
          <w:numId w:val="81"/>
        </w:numPr>
        <w:tabs>
          <w:tab w:leader="none" w:pos="517"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выявляется дисфункция и дилатация правожелу</w:t>
        <w:softHyphen/>
        <w:t>дочковой полости;</w:t>
      </w:r>
    </w:p>
    <w:p>
      <w:pPr>
        <w:pStyle w:val="Style30"/>
        <w:numPr>
          <w:ilvl w:val="0"/>
          <w:numId w:val="81"/>
        </w:numPr>
        <w:tabs>
          <w:tab w:leader="none" w:pos="517"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обнаруживаются дисфункция правого желудочка и регионарные нарушения кинетики его свобод</w:t>
        <w:softHyphen/>
        <w:t>ной стенки;</w:t>
      </w:r>
    </w:p>
    <w:p>
      <w:pPr>
        <w:pStyle w:val="Style30"/>
        <w:numPr>
          <w:ilvl w:val="0"/>
          <w:numId w:val="81"/>
        </w:numPr>
        <w:tabs>
          <w:tab w:leader="none" w:pos="517" w:val="left"/>
        </w:tabs>
        <w:widowControl w:val="0"/>
        <w:keepNext w:val="0"/>
        <w:keepLines w:val="0"/>
        <w:shd w:val="clear" w:color="auto" w:fill="auto"/>
        <w:bidi w:val="0"/>
        <w:spacing w:before="0" w:after="0" w:line="206" w:lineRule="exact"/>
        <w:ind w:left="500" w:right="0" w:hanging="220"/>
      </w:pPr>
      <w:r>
        <w:rPr>
          <w:lang w:val="ru-RU" w:eastAsia="ru-RU" w:bidi="ru-RU"/>
          <w:w w:val="100"/>
          <w:spacing w:val="0"/>
          <w:color w:val="000000"/>
          <w:position w:val="0"/>
        </w:rPr>
        <w:t>возможно обнаружение умеренной трикуспидаль</w:t>
        <w:softHyphen/>
        <w:t>ной регургитации.</w:t>
      </w:r>
    </w:p>
    <w:p>
      <w:pPr>
        <w:pStyle w:val="Style30"/>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Катетеризация сердца, ангиокардиография:</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При подозрении на АДПЖ (т.е. когда имеет место идиопатическая желудочковая тахикардия при отсут</w:t>
        <w:softHyphen/>
        <w:t>ствии видимых органических изменений в сердце) показано проведение катетеризации полостей сердца. Во время исследования обычно обнаруживается нор</w:t>
        <w:softHyphen/>
        <w:t>мальное давление в полостях, характерно увеличение правопредсердной а-волны.</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При вентрикулографии регистрируются дискинезия правого желудочка, сегментарная дилатация, а на бо</w:t>
        <w:softHyphen/>
        <w:t>лее поздних стадиях заболевания — общая дилатация полости, парадоксальное движение в области выход</w:t>
        <w:softHyphen/>
        <w:t>ного тракта.</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Важным диагностическим признаком заболевания является систолическое выбухание свободной стенки правого желудочка по типу «треугольной дисплазии».</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Во время исследования может быть проведена эндо</w:t>
        <w:softHyphen/>
        <w:t>миокардиальная биопсия. Последняя особенно показа</w:t>
        <w:softHyphen/>
        <w:t>на при отсутствии правожелудочковой дискинезии, ко</w:t>
        <w:softHyphen/>
        <w:t>торая не всегда выявляется во время вентрикулографии.</w:t>
      </w:r>
    </w:p>
    <w:p>
      <w:pPr>
        <w:pStyle w:val="Style30"/>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Электрофизиологическое исследование:</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Время предсердного и атриовентрикулярного прове</w:t>
        <w:softHyphen/>
        <w:t>дений у больных АДПЖ не изменено или незначи</w:t>
        <w:softHyphen/>
        <w:t>тельно удлинено.</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Электрофизиологическое исследование проводится в тех случаях, если возникают сомнения о локализа</w:t>
        <w:softHyphen/>
        <w:t>ции аритмогенной зоны в правом желудочке, по</w:t>
        <w:softHyphen/>
        <w:t>скольку данный тест позволяет достоверно подтвер</w:t>
        <w:softHyphen/>
        <w:t>дить правожелудочковое происхождение тахикардии. С другой стороны, электрофизиологическое исследо</w:t>
        <w:softHyphen/>
        <w:t>вание может быть полезно при подборе эффективных противоаритмических средств.</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Дифференциальная диагностика.</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Болезнь Уля.</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Аномалия Эбштейна.</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Частичный аномальный дренаж легочных вен.</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Правожелудочковая тахикардия, обусловленная ин</w:t>
        <w:softHyphen/>
        <w:t>фарктом миокарда.</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Врожденное отсутствие перикарда.</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Опухоль правого желудочка.</w:t>
      </w:r>
    </w:p>
    <w:p>
      <w:pPr>
        <w:pStyle w:val="Style30"/>
        <w:widowControl w:val="0"/>
        <w:keepNext w:val="0"/>
        <w:keepLines w:val="0"/>
        <w:shd w:val="clear" w:color="auto" w:fill="auto"/>
        <w:bidi w:val="0"/>
        <w:spacing w:before="0" w:after="0" w:line="206" w:lineRule="exact"/>
        <w:ind w:left="280" w:right="0" w:hanging="280"/>
      </w:pPr>
      <w:r>
        <w:rPr>
          <w:lang w:val="ru-RU" w:eastAsia="ru-RU" w:bidi="ru-RU"/>
          <w:w w:val="100"/>
          <w:spacing w:val="0"/>
          <w:color w:val="000000"/>
          <w:position w:val="0"/>
        </w:rPr>
        <w:t>Лечение</w:t>
      </w:r>
    </w:p>
    <w:p>
      <w:pPr>
        <w:pStyle w:val="Style30"/>
        <w:numPr>
          <w:ilvl w:val="0"/>
          <w:numId w:val="79"/>
        </w:numPr>
        <w:tabs>
          <w:tab w:leader="none" w:pos="236" w:val="left"/>
        </w:tabs>
        <w:widowControl w:val="0"/>
        <w:keepNext w:val="0"/>
        <w:keepLines w:val="0"/>
        <w:shd w:val="clear" w:color="auto" w:fill="auto"/>
        <w:bidi w:val="0"/>
        <w:spacing w:before="0" w:after="0" w:line="206" w:lineRule="exact"/>
        <w:ind w:left="280" w:right="0" w:hanging="280"/>
        <w:sectPr>
          <w:pgSz w:w="11900" w:h="16840"/>
          <w:pgMar w:top="1584" w:left="1133" w:right="6154" w:bottom="206" w:header="0" w:footer="3" w:gutter="0"/>
          <w:rtlGutter w:val="0"/>
          <w:cols w:space="720"/>
          <w:noEndnote/>
          <w:docGrid w:linePitch="360"/>
        </w:sectPr>
      </w:pPr>
      <w:r>
        <w:pict>
          <v:shape id="_x0000_s1446" type="#_x0000_t202" style="position:absolute;margin-left:240.95pt;margin-top:3.85pt;width:194.15pt;height:342.pt;z-index:-125829098;mso-wrap-distance-left:10.3pt;mso-wrap-distance-right:5.pt;mso-position-horizontal-relative:margin;mso-position-vertical-relative:margin" wrapcoords="2407 0 19812 0 19812 19358 21600 20457 21600 21600 0 21600 0 20457 2407 19358 2407 0" filled="f" stroked="f">
            <v:textbox style="mso-fit-shape-to-text:t" inset="0,0,0,0">
              <w:txbxContent>
                <w:p>
                  <w:pPr>
                    <w:framePr w:h="6840" w:hSpace="206" w:wrap="around" w:hAnchor="margin" w:x="4820" w:y="78"/>
                    <w:widowControl w:val="0"/>
                    <w:jc w:val="center"/>
                    <w:rPr>
                      <w:sz w:val="2"/>
                      <w:szCs w:val="2"/>
                    </w:rPr>
                  </w:pPr>
                  <w:r>
                    <w:pict>
                      <v:shape id="_x0000_s1447" type="#_x0000_t75" style="width:194pt;height:342pt;">
                        <v:imagedata r:id="rId701" r:href="rId702"/>
                      </v:shape>
                    </w:pict>
                  </w:r>
                </w:p>
                <w:p>
                  <w:pPr>
                    <w:pStyle w:val="Style120"/>
                    <w:widowControl w:val="0"/>
                    <w:keepNext w:val="0"/>
                    <w:keepLines w:val="0"/>
                    <w:shd w:val="clear" w:color="auto" w:fill="auto"/>
                    <w:bidi w:val="0"/>
                    <w:spacing w:before="0" w:after="0"/>
                    <w:ind w:left="0" w:right="0" w:firstLine="0"/>
                  </w:pPr>
                  <w:r>
                    <w:rPr>
                      <w:rStyle w:val="CharStyle122"/>
                    </w:rPr>
                    <w:t xml:space="preserve">Рис. 62. </w:t>
                  </w:r>
                  <w:r>
                    <w:rPr>
                      <w:rStyle w:val="CharStyle121"/>
                    </w:rPr>
                    <w:t>Залп желудочковой тахикардии при аритмогенной диспла</w:t>
                    <w:softHyphen/>
                    <w:t>зии правого желудочка.</w:t>
                  </w:r>
                </w:p>
              </w:txbxContent>
            </v:textbox>
            <w10:wrap type="square" side="left" anchorx="margin" anchory="margin"/>
          </v:shape>
        </w:pict>
      </w:r>
      <w:r>
        <w:pict>
          <v:shape id="_x0000_s1448" type="#_x0000_t202" style="position:absolute;margin-left:240.5pt;margin-top:411.35pt;width:240.95pt;height:208.1pt;z-index:-125829097;mso-wrap-distance-left:9.85pt;mso-wrap-distance-right:5.pt;mso-position-horizontal-relative:margin;mso-position-vertical-relative:margin" wrapcoords="40 0 21600 0 21600 21600 0 21600 0 19114 40 17388 40 0" filled="f" stroked="f">
            <v:textbox style="mso-fit-shape-to-text:t" inset="0,0,0,0">
              <w:txbxContent>
                <w:p>
                  <w:pPr>
                    <w:framePr w:h="4162" w:hSpace="197" w:wrap="around" w:hAnchor="margin" w:x="4811" w:y="8228"/>
                    <w:widowControl w:val="0"/>
                    <w:jc w:val="center"/>
                    <w:rPr>
                      <w:sz w:val="2"/>
                      <w:szCs w:val="2"/>
                    </w:rPr>
                  </w:pPr>
                  <w:r>
                    <w:pict>
                      <v:shape id="_x0000_s1449" type="#_x0000_t75" style="width:241pt;height:208pt;">
                        <v:imagedata r:id="rId703" r:href="rId704"/>
                      </v:shape>
                    </w:pict>
                  </w:r>
                </w:p>
                <w:p>
                  <w:pPr>
                    <w:pStyle w:val="Style120"/>
                    <w:widowControl w:val="0"/>
                    <w:keepNext w:val="0"/>
                    <w:keepLines w:val="0"/>
                    <w:shd w:val="clear" w:color="auto" w:fill="auto"/>
                    <w:bidi w:val="0"/>
                    <w:spacing w:before="0" w:after="0"/>
                    <w:ind w:left="0" w:right="0" w:firstLine="0"/>
                  </w:pPr>
                  <w:r>
                    <w:rPr>
                      <w:rStyle w:val="CharStyle122"/>
                    </w:rPr>
                    <w:t xml:space="preserve">Рис. 63. </w:t>
                  </w:r>
                  <w:r>
                    <w:rPr>
                      <w:rStyle w:val="CharStyle121"/>
                    </w:rPr>
                    <w:t>Эхокардиограмма при аритмогенной дисплазии правого желудочка: резко выраженная дилатация полости желудочка и его объемная перегрузка.</w:t>
                  </w:r>
                </w:p>
              </w:txbxContent>
            </v:textbox>
            <w10:wrap type="square" side="left" anchorx="margin" anchory="margin"/>
          </v:shape>
        </w:pict>
      </w:r>
      <w:r>
        <w:rPr>
          <w:lang w:val="ru-RU" w:eastAsia="ru-RU" w:bidi="ru-RU"/>
          <w:w w:val="100"/>
          <w:spacing w:val="0"/>
          <w:color w:val="000000"/>
          <w:position w:val="0"/>
        </w:rPr>
        <w:t>Лечение больных АДПЖ направлено на предупреж</w:t>
        <w:softHyphen/>
        <w:t>дение возникновения желудочковой тахикардии. В основном используются пропранолол, соталол, прокаинамид, априндин и кордарон. Последний на</w:t>
        <w:softHyphen/>
        <w:t>иболее эффективен в детском возрасте. Препараты IБ класса, такие как фенитон и мекселитин, оказыва</w:t>
        <w:softHyphen/>
        <w:t>ют положительный эффект только в 25% случаев.</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68" w:after="68" w:line="240" w:lineRule="exact"/>
        <w:rPr>
          <w:sz w:val="19"/>
          <w:szCs w:val="19"/>
        </w:rPr>
      </w:pPr>
    </w:p>
    <w:p>
      <w:pPr>
        <w:widowControl w:val="0"/>
        <w:rPr>
          <w:sz w:val="2"/>
          <w:szCs w:val="2"/>
        </w:rPr>
        <w:sectPr>
          <w:type w:val="continuous"/>
          <w:pgSz w:w="11900" w:h="16840"/>
          <w:pgMar w:top="1473" w:left="0" w:right="0" w:bottom="192" w:header="0" w:footer="3" w:gutter="0"/>
          <w:rtlGutter w:val="0"/>
          <w:cols w:space="720"/>
          <w:noEndnote/>
          <w:docGrid w:linePitch="360"/>
        </w:sectPr>
      </w:pPr>
    </w:p>
    <w:p>
      <w:pPr>
        <w:widowControl w:val="0"/>
        <w:spacing w:line="645" w:lineRule="exact"/>
      </w:pPr>
      <w:r>
        <w:pict>
          <v:shape id="_x0000_s1450" type="#_x0000_t75" style="position:absolute;margin-left:145.9pt;margin-top:0;width:209.75pt;height:14.9pt;z-index:-251658691;mso-wrap-distance-left:5.pt;mso-wrap-distance-right:5.pt;mso-position-horizontal-relative:margin" wrapcoords="0 0">
            <v:imagedata r:id="rId705" r:href="rId706"/>
            <w10:wrap anchorx="margin"/>
          </v:shape>
        </w:pict>
      </w:r>
    </w:p>
    <w:p>
      <w:pPr>
        <w:widowControl w:val="0"/>
        <w:rPr>
          <w:sz w:val="2"/>
          <w:szCs w:val="2"/>
        </w:rPr>
        <w:sectPr>
          <w:type w:val="continuous"/>
          <w:pgSz w:w="11900" w:h="16840"/>
          <w:pgMar w:top="1473" w:left="936" w:right="1128" w:bottom="192" w:header="0" w:footer="3" w:gutter="0"/>
          <w:rtlGutter w:val="0"/>
          <w:cols w:space="720"/>
          <w:noEndnote/>
          <w:docGrid w:linePitch="360"/>
        </w:sectPr>
      </w:pPr>
    </w:p>
    <w:p>
      <w:pPr>
        <w:widowControl w:val="0"/>
        <w:rPr>
          <w:sz w:val="2"/>
          <w:szCs w:val="2"/>
        </w:rPr>
      </w:pPr>
      <w:r>
        <w:pict>
          <v:shape id="_x0000_s1451" type="#_x0000_t75" style="position:absolute;margin-left:136.8pt;margin-top:736.3pt;width:209.75pt;height:14.9pt;z-index:-125829096;mso-wrap-distance-left:136.8pt;mso-wrap-distance-right:148.1pt;mso-wrap-distance-bottom:10.8pt;mso-position-horizontal-relative:margin" wrapcoords="0 0 21600 0 21600 21600 0 21600 0 0">
            <v:imagedata r:id="rId707" r:href="rId708"/>
            <w10:wrap type="topAndBottom" anchorx="margin"/>
          </v:shape>
        </w:pict>
      </w:r>
    </w:p>
    <w:p>
      <w:pPr>
        <w:pStyle w:val="Style30"/>
        <w:numPr>
          <w:ilvl w:val="0"/>
          <w:numId w:val="79"/>
        </w:numPr>
        <w:tabs>
          <w:tab w:leader="none" w:pos="520" w:val="left"/>
        </w:tabs>
        <w:widowControl w:val="0"/>
        <w:keepNext w:val="0"/>
        <w:keepLines w:val="0"/>
        <w:shd w:val="clear" w:color="auto" w:fill="auto"/>
        <w:bidi w:val="0"/>
        <w:jc w:val="left"/>
        <w:spacing w:before="0" w:after="0" w:line="211" w:lineRule="exact"/>
        <w:ind w:left="520" w:right="0" w:hanging="240"/>
      </w:pPr>
      <w:r>
        <w:rPr>
          <w:lang w:val="ru-RU" w:eastAsia="ru-RU" w:bidi="ru-RU"/>
          <w:w w:val="100"/>
          <w:spacing w:val="0"/>
          <w:color w:val="000000"/>
          <w:position w:val="0"/>
        </w:rPr>
        <w:t>Противоаритмические препараты, даже в комбинации, не всегда эффективны в предупреждении тахикардии.</w:t>
      </w:r>
    </w:p>
    <w:p>
      <w:pPr>
        <w:pStyle w:val="Style30"/>
        <w:numPr>
          <w:ilvl w:val="0"/>
          <w:numId w:val="79"/>
        </w:numPr>
        <w:tabs>
          <w:tab w:leader="none" w:pos="520" w:val="left"/>
        </w:tabs>
        <w:widowControl w:val="0"/>
        <w:keepNext w:val="0"/>
        <w:keepLines w:val="0"/>
        <w:shd w:val="clear" w:color="auto" w:fill="auto"/>
        <w:bidi w:val="0"/>
        <w:jc w:val="left"/>
        <w:spacing w:before="0" w:after="0" w:line="211" w:lineRule="exact"/>
        <w:ind w:left="520" w:right="0" w:hanging="240"/>
      </w:pPr>
      <w:r>
        <w:rPr>
          <w:lang w:val="ru-RU" w:eastAsia="ru-RU" w:bidi="ru-RU"/>
          <w:w w:val="100"/>
          <w:spacing w:val="0"/>
          <w:color w:val="000000"/>
          <w:position w:val="0"/>
        </w:rPr>
        <w:t>Медикаментозное лечение АДПЖ эффективно толь</w:t>
        <w:softHyphen/>
        <w:t>ко в 50% случаев.</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Хирургическая коррекция аритмии заключается в крио</w:t>
        <w:softHyphen/>
        <w:t>деструкции аритмогенной зоны.</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Амбулаторное наблюдение</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Важную роль играет своевременная профилактика арит</w:t>
        <w:softHyphen/>
        <w:t>мии. Учитывая высокую частоту семейных форм заболева</w:t>
        <w:softHyphen/>
        <w:t>ния, все члены семьи должны подвергнуться обследованию для исключения бессимптомного течения заболевания. Им проводятся мониторирование ЭКГ, нагрузочные электро</w:t>
        <w:softHyphen/>
        <w:t>кардиографические тесты (тредмил, велоэргометрия) и эхокардиография. При выявлении потенциально опас</w:t>
        <w:softHyphen/>
        <w:t>ных аритмий назначается профилактическое лечение про</w:t>
        <w:softHyphen/>
        <w:t>тивоаритмическими препаратами.</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Прогноз АДПЖ в детском возрасте плохой.</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5-20% детей с АДПЖ умирают внезапно.</w:t>
      </w:r>
    </w:p>
    <w:p>
      <w:pPr>
        <w:pStyle w:val="Style30"/>
        <w:widowControl w:val="0"/>
        <w:keepNext w:val="0"/>
        <w:keepLines w:val="0"/>
        <w:shd w:val="clear" w:color="auto" w:fill="auto"/>
        <w:bidi w:val="0"/>
        <w:spacing w:before="0" w:after="183" w:line="211" w:lineRule="exact"/>
        <w:ind w:left="0" w:right="0" w:firstLine="280"/>
      </w:pPr>
      <w:r>
        <w:rPr>
          <w:lang w:val="ru-RU" w:eastAsia="ru-RU" w:bidi="ru-RU"/>
          <w:w w:val="100"/>
          <w:spacing w:val="0"/>
          <w:color w:val="000000"/>
          <w:position w:val="0"/>
        </w:rPr>
        <w:t>В других случаях смерть может наступить от прогресси</w:t>
        <w:softHyphen/>
        <w:t>рующей аритмогенной сердечной недостаточности, цирку</w:t>
        <w:softHyphen/>
        <w:t>ляторного шока или эмболии легочной артерии.</w:t>
      </w:r>
    </w:p>
    <w:p>
      <w:pPr>
        <w:pStyle w:val="Style28"/>
        <w:widowControl w:val="0"/>
        <w:keepNext/>
        <w:keepLines/>
        <w:shd w:val="clear" w:color="auto" w:fill="auto"/>
        <w:bidi w:val="0"/>
        <w:jc w:val="left"/>
        <w:spacing w:before="0" w:after="118" w:line="283" w:lineRule="exact"/>
        <w:ind w:left="0" w:right="780" w:firstLine="0"/>
      </w:pPr>
      <w:bookmarkStart w:id="483" w:name="bookmark483"/>
      <w:r>
        <w:rPr>
          <w:lang w:val="ru-RU" w:eastAsia="ru-RU" w:bidi="ru-RU"/>
          <w:w w:val="100"/>
          <w:spacing w:val="0"/>
          <w:color w:val="000000"/>
          <w:position w:val="0"/>
        </w:rPr>
        <w:t>Наследственные кардиомиопатии детей</w:t>
      </w:r>
      <w:bookmarkEnd w:id="483"/>
    </w:p>
    <w:p>
      <w:pPr>
        <w:pStyle w:val="Style92"/>
        <w:widowControl w:val="0"/>
        <w:keepNext/>
        <w:keepLines/>
        <w:shd w:val="clear" w:color="auto" w:fill="auto"/>
        <w:bidi w:val="0"/>
        <w:spacing w:before="0" w:after="0" w:line="211" w:lineRule="exact"/>
        <w:ind w:left="0" w:right="0" w:firstLine="280"/>
      </w:pPr>
      <w:bookmarkStart w:id="484" w:name="bookmark484"/>
      <w:r>
        <w:rPr>
          <w:lang w:val="ru-RU" w:eastAsia="ru-RU" w:bidi="ru-RU"/>
          <w:w w:val="100"/>
          <w:spacing w:val="0"/>
          <w:color w:val="000000"/>
          <w:position w:val="0"/>
        </w:rPr>
        <w:t>Введение</w:t>
      </w:r>
      <w:bookmarkEnd w:id="484"/>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Несмотря на усовершенствования диагностики и тера</w:t>
        <w:softHyphen/>
        <w:t>пии, кардиомиопатии (КМП) остаются одной из ведущих причин смерти в детском возрасте. Исследованиями по</w:t>
        <w:softHyphen/>
        <w:t>следних лет показано, что проводимая современная терапия практически не улучшает прогноз больных. В большинстве случаев причина кардиомиопатий остается не-идентифици- рованной, а прогноз — неблагоприятным. Частота кардио</w:t>
        <w:softHyphen/>
        <w:t>миопатий у детей не известна. Чтобы воздействать на забо</w:t>
        <w:softHyphen/>
        <w:t>леваемость и смертность, необходимо расширение исследо</w:t>
        <w:softHyphen/>
        <w:t>ваний, направленных на уточнение этиологии заболевания и, соответственно, этиолого-специфическое лечение. Диа</w:t>
        <w:softHyphen/>
        <w:t>гностическая оценка генетического начала кардиомиопатий осложнена большим количеством редких генетических при</w:t>
        <w:softHyphen/>
        <w:t>чин, широким диапазоном клинических представлений и необходимостью специализированных молекулярно-ге</w:t>
        <w:softHyphen/>
        <w:t>нетических и биохимических исследований.</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У детей с наследственными КМП могут обнаруживаться различные признаки и симптомы, включая застойную сер</w:t>
        <w:softHyphen/>
        <w:t>дечную недостаточность, аритмии, острый биохимический кризис, энцефалопатию, генерализованную мышечную слабость, дизморфический статус и внезапную смерть. Иногда наследственная КМП выявляется случайно при об</w:t>
        <w:softHyphen/>
        <w:t>следовании по поводу генетического заболевания.</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Генетические состояния, связанные с КМП, могут быть условно классифицированы на четыре категории:</w:t>
      </w:r>
    </w:p>
    <w:p>
      <w:pPr>
        <w:pStyle w:val="Style30"/>
        <w:numPr>
          <w:ilvl w:val="0"/>
          <w:numId w:val="79"/>
        </w:numPr>
        <w:tabs>
          <w:tab w:leader="none" w:pos="520"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Врожденные нарушения метаболизма.</w:t>
      </w:r>
    </w:p>
    <w:p>
      <w:pPr>
        <w:pStyle w:val="Style30"/>
        <w:numPr>
          <w:ilvl w:val="0"/>
          <w:numId w:val="79"/>
        </w:numPr>
        <w:tabs>
          <w:tab w:leader="none" w:pos="520"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Генетические синдромы нарушенного развития.</w:t>
      </w:r>
    </w:p>
    <w:p>
      <w:pPr>
        <w:pStyle w:val="Style30"/>
        <w:numPr>
          <w:ilvl w:val="0"/>
          <w:numId w:val="79"/>
        </w:numPr>
        <w:tabs>
          <w:tab w:leader="none" w:pos="520"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Нейромышечные заболевания.</w:t>
      </w:r>
    </w:p>
    <w:p>
      <w:pPr>
        <w:pStyle w:val="Style30"/>
        <w:numPr>
          <w:ilvl w:val="0"/>
          <w:numId w:val="79"/>
        </w:numPr>
        <w:tabs>
          <w:tab w:leader="none" w:pos="520"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Семейные изолированные кардиомиопатии.</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Кардиомиопатии при врожденных нарушениях метаболиз</w:t>
        <w:softHyphen/>
        <w:t>ма (см. главу) обусловлены либо инфильтрацией миокарда (обычно в результате дефицита ферментных систем), либо из-за болезней клеточной энергетики. В настоящее время возможна диагностика КМП при следующих врожденных нарушениях метаболизма:</w:t>
      </w:r>
    </w:p>
    <w:p>
      <w:pPr>
        <w:pStyle w:val="Style92"/>
        <w:widowControl w:val="0"/>
        <w:keepNext/>
        <w:keepLines/>
        <w:shd w:val="clear" w:color="auto" w:fill="auto"/>
        <w:bidi w:val="0"/>
        <w:spacing w:before="0" w:after="0" w:line="206" w:lineRule="exact"/>
        <w:ind w:left="0" w:right="0" w:firstLine="0"/>
      </w:pPr>
      <w:r>
        <w:br w:type="column"/>
      </w:r>
      <w:bookmarkStart w:id="485" w:name="bookmark485"/>
      <w:r>
        <w:rPr>
          <w:lang w:val="ru-RU" w:eastAsia="ru-RU" w:bidi="ru-RU"/>
          <w:w w:val="100"/>
          <w:spacing w:val="0"/>
          <w:color w:val="000000"/>
          <w:position w:val="0"/>
        </w:rPr>
        <w:t>Инфильтративные (болезни накопления)</w:t>
      </w:r>
      <w:bookmarkEnd w:id="485"/>
    </w:p>
    <w:p>
      <w:pPr>
        <w:pStyle w:val="Style30"/>
        <w:numPr>
          <w:ilvl w:val="0"/>
          <w:numId w:val="79"/>
        </w:numPr>
        <w:tabs>
          <w:tab w:leader="none" w:pos="240" w:val="left"/>
        </w:tabs>
        <w:widowControl w:val="0"/>
        <w:keepNext w:val="0"/>
        <w:keepLines w:val="0"/>
        <w:shd w:val="clear" w:color="auto" w:fill="auto"/>
        <w:bidi w:val="0"/>
        <w:spacing w:before="0" w:after="0" w:line="206" w:lineRule="exact"/>
        <w:ind w:left="0" w:right="0" w:firstLine="0"/>
      </w:pPr>
      <w:r>
        <w:rPr>
          <w:lang w:val="ru-RU" w:eastAsia="ru-RU" w:bidi="ru-RU"/>
          <w:w w:val="100"/>
          <w:spacing w:val="0"/>
          <w:color w:val="000000"/>
          <w:position w:val="0"/>
        </w:rPr>
        <w:t>Нарушения метаболизма гликогена:</w:t>
      </w:r>
    </w:p>
    <w:p>
      <w:pPr>
        <w:pStyle w:val="Style30"/>
        <w:numPr>
          <w:ilvl w:val="0"/>
          <w:numId w:val="81"/>
        </w:numPr>
        <w:tabs>
          <w:tab w:leader="none" w:pos="506" w:val="left"/>
        </w:tabs>
        <w:widowControl w:val="0"/>
        <w:keepNext w:val="0"/>
        <w:keepLines w:val="0"/>
        <w:shd w:val="clear" w:color="auto" w:fill="auto"/>
        <w:bidi w:val="0"/>
        <w:jc w:val="left"/>
        <w:spacing w:before="0" w:after="0" w:line="206" w:lineRule="exact"/>
        <w:ind w:left="480" w:right="0" w:hanging="220"/>
      </w:pPr>
      <w:r>
        <w:rPr>
          <w:lang w:val="ru-RU" w:eastAsia="ru-RU" w:bidi="ru-RU"/>
          <w:w w:val="100"/>
          <w:spacing w:val="0"/>
          <w:color w:val="000000"/>
          <w:position w:val="0"/>
        </w:rPr>
        <w:t>гликогеновая болезнь, тип II (Болезнь Помпе — дефицит кислой мальтазы);</w:t>
      </w:r>
    </w:p>
    <w:p>
      <w:pPr>
        <w:pStyle w:val="Style30"/>
        <w:numPr>
          <w:ilvl w:val="0"/>
          <w:numId w:val="81"/>
        </w:numPr>
        <w:tabs>
          <w:tab w:leader="none" w:pos="506" w:val="left"/>
        </w:tabs>
        <w:widowControl w:val="0"/>
        <w:keepNext w:val="0"/>
        <w:keepLines w:val="0"/>
        <w:shd w:val="clear" w:color="auto" w:fill="auto"/>
        <w:bidi w:val="0"/>
        <w:jc w:val="left"/>
        <w:spacing w:before="0" w:after="0" w:line="206" w:lineRule="exact"/>
        <w:ind w:left="480" w:right="0" w:hanging="220"/>
      </w:pPr>
      <w:r>
        <w:rPr>
          <w:lang w:val="ru-RU" w:eastAsia="ru-RU" w:bidi="ru-RU"/>
          <w:w w:val="100"/>
          <w:spacing w:val="0"/>
          <w:color w:val="000000"/>
          <w:position w:val="0"/>
        </w:rPr>
        <w:t>гликогеновая болезнь, тип III (Болезнь Кори — де</w:t>
        <w:softHyphen/>
        <w:t>фицит амило-1,6-глюкозидазы);</w:t>
      </w:r>
    </w:p>
    <w:p>
      <w:pPr>
        <w:pStyle w:val="Style30"/>
        <w:numPr>
          <w:ilvl w:val="0"/>
          <w:numId w:val="81"/>
        </w:numPr>
        <w:tabs>
          <w:tab w:leader="none" w:pos="506" w:val="left"/>
        </w:tabs>
        <w:widowControl w:val="0"/>
        <w:keepNext w:val="0"/>
        <w:keepLines w:val="0"/>
        <w:shd w:val="clear" w:color="auto" w:fill="auto"/>
        <w:bidi w:val="0"/>
        <w:jc w:val="left"/>
        <w:spacing w:before="0" w:after="0" w:line="206" w:lineRule="exact"/>
        <w:ind w:left="480" w:right="0" w:hanging="220"/>
      </w:pPr>
      <w:r>
        <w:rPr>
          <w:lang w:val="ru-RU" w:eastAsia="ru-RU" w:bidi="ru-RU"/>
          <w:w w:val="100"/>
          <w:spacing w:val="0"/>
          <w:color w:val="000000"/>
          <w:position w:val="0"/>
        </w:rPr>
        <w:t>гликогеновая болезнь, тип IV (Болезнь Андерсе</w:t>
        <w:softHyphen/>
        <w:t>на — амилопектиноз);</w:t>
      </w:r>
    </w:p>
    <w:p>
      <w:pPr>
        <w:pStyle w:val="Style30"/>
        <w:numPr>
          <w:ilvl w:val="0"/>
          <w:numId w:val="81"/>
        </w:numPr>
        <w:tabs>
          <w:tab w:leader="none" w:pos="506" w:val="left"/>
        </w:tabs>
        <w:widowControl w:val="0"/>
        <w:keepNext w:val="0"/>
        <w:keepLines w:val="0"/>
        <w:shd w:val="clear" w:color="auto" w:fill="auto"/>
        <w:bidi w:val="0"/>
        <w:jc w:val="left"/>
        <w:spacing w:before="0" w:after="0" w:line="206" w:lineRule="exact"/>
        <w:ind w:left="480" w:right="0" w:hanging="220"/>
      </w:pPr>
      <w:r>
        <w:rPr>
          <w:lang w:val="ru-RU" w:eastAsia="ru-RU" w:bidi="ru-RU"/>
          <w:w w:val="100"/>
          <w:spacing w:val="0"/>
          <w:color w:val="000000"/>
          <w:position w:val="0"/>
        </w:rPr>
        <w:t>гликогеновая болезнь, тип IX (Дефицит сердечной фосфорилазкиназы);</w:t>
      </w:r>
    </w:p>
    <w:p>
      <w:pPr>
        <w:pStyle w:val="Style30"/>
        <w:numPr>
          <w:ilvl w:val="0"/>
          <w:numId w:val="81"/>
        </w:numPr>
        <w:tabs>
          <w:tab w:leader="none" w:pos="506" w:val="left"/>
        </w:tabs>
        <w:widowControl w:val="0"/>
        <w:keepNext w:val="0"/>
        <w:keepLines w:val="0"/>
        <w:shd w:val="clear" w:color="auto" w:fill="auto"/>
        <w:bidi w:val="0"/>
        <w:jc w:val="left"/>
        <w:spacing w:before="0" w:after="0" w:line="206" w:lineRule="exact"/>
        <w:ind w:left="480" w:right="0" w:hanging="220"/>
      </w:pPr>
      <w:r>
        <w:rPr>
          <w:lang w:val="ru-RU" w:eastAsia="ru-RU" w:bidi="ru-RU"/>
          <w:w w:val="100"/>
          <w:spacing w:val="0"/>
          <w:color w:val="000000"/>
          <w:position w:val="0"/>
        </w:rPr>
        <w:t>гликогеновая болезнь с нормальным содержанием кислой мальтазы.</w:t>
      </w:r>
    </w:p>
    <w:p>
      <w:pPr>
        <w:pStyle w:val="Style30"/>
        <w:numPr>
          <w:ilvl w:val="0"/>
          <w:numId w:val="79"/>
        </w:numPr>
        <w:tabs>
          <w:tab w:leader="none" w:pos="240" w:val="left"/>
        </w:tabs>
        <w:widowControl w:val="0"/>
        <w:keepNext w:val="0"/>
        <w:keepLines w:val="0"/>
        <w:shd w:val="clear" w:color="auto" w:fill="auto"/>
        <w:bidi w:val="0"/>
        <w:spacing w:before="0" w:after="0" w:line="206" w:lineRule="exact"/>
        <w:ind w:left="0" w:right="0" w:firstLine="0"/>
      </w:pPr>
      <w:r>
        <w:rPr>
          <w:lang w:val="ru-RU" w:eastAsia="ru-RU" w:bidi="ru-RU"/>
          <w:w w:val="100"/>
          <w:spacing w:val="0"/>
          <w:color w:val="000000"/>
          <w:position w:val="0"/>
        </w:rPr>
        <w:t>Нарушения деградации мукополисахаридов:</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мукополисахаридоз, тип I (синдром Гурлера);</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мукополисахаридоз, тип II (синдром Хантера);</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мукополисахаридоз, тип III (синдром Санфилиппо);</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мукополисахаридоз, тип IV (синдром Моркио);</w:t>
      </w:r>
    </w:p>
    <w:p>
      <w:pPr>
        <w:pStyle w:val="Style30"/>
        <w:numPr>
          <w:ilvl w:val="0"/>
          <w:numId w:val="81"/>
        </w:numPr>
        <w:tabs>
          <w:tab w:leader="none" w:pos="506" w:val="left"/>
        </w:tabs>
        <w:widowControl w:val="0"/>
        <w:keepNext w:val="0"/>
        <w:keepLines w:val="0"/>
        <w:shd w:val="clear" w:color="auto" w:fill="auto"/>
        <w:bidi w:val="0"/>
        <w:jc w:val="left"/>
        <w:spacing w:before="0" w:after="0" w:line="206" w:lineRule="exact"/>
        <w:ind w:left="480" w:right="0" w:hanging="220"/>
      </w:pPr>
      <w:r>
        <w:rPr>
          <w:lang w:val="ru-RU" w:eastAsia="ru-RU" w:bidi="ru-RU"/>
          <w:w w:val="100"/>
          <w:spacing w:val="0"/>
          <w:color w:val="000000"/>
          <w:position w:val="0"/>
        </w:rPr>
        <w:t>мукополисахаридоз, тип VI (синдром Марото-Ла- ми);</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мукополисахаридоз, тип VII (синдром Слая).</w:t>
      </w:r>
    </w:p>
    <w:p>
      <w:pPr>
        <w:pStyle w:val="Style30"/>
        <w:numPr>
          <w:ilvl w:val="0"/>
          <w:numId w:val="79"/>
        </w:numPr>
        <w:tabs>
          <w:tab w:leader="none" w:pos="240" w:val="left"/>
        </w:tabs>
        <w:widowControl w:val="0"/>
        <w:keepNext w:val="0"/>
        <w:keepLines w:val="0"/>
        <w:shd w:val="clear" w:color="auto" w:fill="auto"/>
        <w:bidi w:val="0"/>
        <w:jc w:val="left"/>
        <w:spacing w:before="0" w:after="0" w:line="206" w:lineRule="exact"/>
        <w:ind w:left="260" w:right="0"/>
      </w:pPr>
      <w:r>
        <w:rPr>
          <w:lang w:val="ru-RU" w:eastAsia="ru-RU" w:bidi="ru-RU"/>
          <w:w w:val="100"/>
          <w:spacing w:val="0"/>
          <w:color w:val="000000"/>
          <w:position w:val="0"/>
        </w:rPr>
        <w:t>Нарушение деградации гликосфинголипидов (бо</w:t>
        <w:softHyphen/>
        <w:t>лезнь Фабри).</w:t>
      </w:r>
    </w:p>
    <w:p>
      <w:pPr>
        <w:pStyle w:val="Style30"/>
        <w:numPr>
          <w:ilvl w:val="0"/>
          <w:numId w:val="79"/>
        </w:numPr>
        <w:tabs>
          <w:tab w:leader="none" w:pos="240" w:val="left"/>
        </w:tabs>
        <w:widowControl w:val="0"/>
        <w:keepNext w:val="0"/>
        <w:keepLines w:val="0"/>
        <w:shd w:val="clear" w:color="auto" w:fill="auto"/>
        <w:bidi w:val="0"/>
        <w:jc w:val="left"/>
        <w:spacing w:before="0" w:after="0" w:line="206" w:lineRule="exact"/>
        <w:ind w:left="260" w:right="0"/>
      </w:pPr>
      <w:r>
        <w:rPr>
          <w:lang w:val="ru-RU" w:eastAsia="ru-RU" w:bidi="ru-RU"/>
          <w:w w:val="100"/>
          <w:spacing w:val="0"/>
          <w:color w:val="000000"/>
          <w:position w:val="0"/>
        </w:rPr>
        <w:t>Нарушение деградации гликозилкерамида (болезнь Гоше).</w:t>
      </w:r>
    </w:p>
    <w:p>
      <w:pPr>
        <w:pStyle w:val="Style30"/>
        <w:numPr>
          <w:ilvl w:val="0"/>
          <w:numId w:val="79"/>
        </w:numPr>
        <w:tabs>
          <w:tab w:leader="none" w:pos="240" w:val="left"/>
        </w:tabs>
        <w:widowControl w:val="0"/>
        <w:keepNext w:val="0"/>
        <w:keepLines w:val="0"/>
        <w:shd w:val="clear" w:color="auto" w:fill="auto"/>
        <w:bidi w:val="0"/>
        <w:jc w:val="left"/>
        <w:spacing w:before="0" w:after="0" w:line="206" w:lineRule="exact"/>
        <w:ind w:left="260" w:right="0"/>
      </w:pPr>
      <w:r>
        <w:rPr>
          <w:lang w:val="ru-RU" w:eastAsia="ru-RU" w:bidi="ru-RU"/>
          <w:w w:val="100"/>
          <w:spacing w:val="0"/>
          <w:color w:val="000000"/>
          <w:position w:val="0"/>
        </w:rPr>
        <w:t>Нарушение окисления фитановой кислоты (болезнь Рефсума).</w:t>
      </w:r>
    </w:p>
    <w:p>
      <w:pPr>
        <w:pStyle w:val="Style30"/>
        <w:numPr>
          <w:ilvl w:val="0"/>
          <w:numId w:val="79"/>
        </w:numPr>
        <w:tabs>
          <w:tab w:leader="none" w:pos="240" w:val="left"/>
        </w:tabs>
        <w:widowControl w:val="0"/>
        <w:keepNext w:val="0"/>
        <w:keepLines w:val="0"/>
        <w:shd w:val="clear" w:color="auto" w:fill="auto"/>
        <w:bidi w:val="0"/>
        <w:jc w:val="left"/>
        <w:spacing w:before="0" w:after="0" w:line="206" w:lineRule="exact"/>
        <w:ind w:left="260" w:right="0"/>
      </w:pPr>
      <w:r>
        <w:rPr>
          <w:lang w:val="ru-RU" w:eastAsia="ru-RU" w:bidi="ru-RU"/>
          <w:w w:val="100"/>
          <w:spacing w:val="0"/>
          <w:color w:val="000000"/>
          <w:position w:val="0"/>
        </w:rPr>
        <w:t>Комбинированные нарушения деградации ганглио- зидов/мукополисахаридов и олигосахаридов:</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en-US" w:eastAsia="en-US" w:bidi="en-US"/>
          <w:w w:val="100"/>
          <w:spacing w:val="0"/>
          <w:color w:val="000000"/>
          <w:position w:val="0"/>
        </w:rPr>
        <w:t xml:space="preserve">GM1 </w:t>
      </w:r>
      <w:r>
        <w:rPr>
          <w:lang w:val="ru-RU" w:eastAsia="ru-RU" w:bidi="ru-RU"/>
          <w:w w:val="100"/>
          <w:spacing w:val="0"/>
          <w:color w:val="000000"/>
          <w:position w:val="0"/>
        </w:rPr>
        <w:t>ганглиозидоз (болезнь Дери);</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en-US" w:eastAsia="en-US" w:bidi="en-US"/>
          <w:w w:val="100"/>
          <w:spacing w:val="0"/>
          <w:color w:val="000000"/>
          <w:position w:val="0"/>
        </w:rPr>
        <w:t xml:space="preserve">GM2 </w:t>
      </w:r>
      <w:r>
        <w:rPr>
          <w:lang w:val="ru-RU" w:eastAsia="ru-RU" w:bidi="ru-RU"/>
          <w:w w:val="100"/>
          <w:spacing w:val="0"/>
          <w:color w:val="000000"/>
          <w:position w:val="0"/>
        </w:rPr>
        <w:t>ганглиозидоз (болезнь Сандхоффа).</w:t>
      </w:r>
    </w:p>
    <w:p>
      <w:pPr>
        <w:pStyle w:val="Style30"/>
        <w:numPr>
          <w:ilvl w:val="0"/>
          <w:numId w:val="79"/>
        </w:numPr>
        <w:tabs>
          <w:tab w:leader="none" w:pos="240" w:val="left"/>
        </w:tabs>
        <w:widowControl w:val="0"/>
        <w:keepNext w:val="0"/>
        <w:keepLines w:val="0"/>
        <w:shd w:val="clear" w:color="auto" w:fill="auto"/>
        <w:bidi w:val="0"/>
        <w:spacing w:before="0" w:after="0" w:line="206" w:lineRule="exact"/>
        <w:ind w:left="0" w:right="0" w:firstLine="0"/>
      </w:pPr>
      <w:r>
        <w:rPr>
          <w:lang w:val="ru-RU" w:eastAsia="ru-RU" w:bidi="ru-RU"/>
          <w:w w:val="100"/>
          <w:spacing w:val="0"/>
          <w:color w:val="000000"/>
          <w:position w:val="0"/>
        </w:rPr>
        <w:t>Нарушения метаболизма гликопротеинов.</w:t>
      </w:r>
    </w:p>
    <w:p>
      <w:pPr>
        <w:pStyle w:val="Style30"/>
        <w:numPr>
          <w:ilvl w:val="0"/>
          <w:numId w:val="79"/>
        </w:numPr>
        <w:tabs>
          <w:tab w:leader="none" w:pos="240" w:val="left"/>
        </w:tabs>
        <w:widowControl w:val="0"/>
        <w:keepNext w:val="0"/>
        <w:keepLines w:val="0"/>
        <w:shd w:val="clear" w:color="auto" w:fill="auto"/>
        <w:bidi w:val="0"/>
        <w:spacing w:before="0" w:after="0" w:line="206" w:lineRule="exact"/>
        <w:ind w:left="0" w:right="0" w:firstLine="0"/>
      </w:pPr>
      <w:r>
        <w:rPr>
          <w:lang w:val="ru-RU" w:eastAsia="ru-RU" w:bidi="ru-RU"/>
          <w:w w:val="100"/>
          <w:spacing w:val="0"/>
          <w:color w:val="000000"/>
          <w:position w:val="0"/>
        </w:rPr>
        <w:t>Нарушения метабол-ма оксалатной кислоты (оксалоз). Болезни клеточной энергетики</w:t>
      </w:r>
    </w:p>
    <w:p>
      <w:pPr>
        <w:pStyle w:val="Style30"/>
        <w:numPr>
          <w:ilvl w:val="0"/>
          <w:numId w:val="79"/>
        </w:numPr>
        <w:tabs>
          <w:tab w:leader="none" w:pos="240" w:val="left"/>
        </w:tabs>
        <w:widowControl w:val="0"/>
        <w:keepNext w:val="0"/>
        <w:keepLines w:val="0"/>
        <w:shd w:val="clear" w:color="auto" w:fill="auto"/>
        <w:bidi w:val="0"/>
        <w:jc w:val="left"/>
        <w:spacing w:before="0" w:after="0" w:line="206" w:lineRule="exact"/>
        <w:ind w:left="260" w:right="0"/>
      </w:pPr>
      <w:r>
        <w:rPr>
          <w:lang w:val="ru-RU" w:eastAsia="ru-RU" w:bidi="ru-RU"/>
          <w:w w:val="100"/>
          <w:spacing w:val="0"/>
          <w:color w:val="000000"/>
          <w:position w:val="0"/>
        </w:rPr>
        <w:t>Комплексный дефицит пируватдегидрогеназы (бо</w:t>
        <w:softHyphen/>
        <w:t xml:space="preserve">лезнь </w:t>
      </w:r>
      <w:r>
        <w:rPr>
          <w:lang w:val="en-US" w:eastAsia="en-US" w:bidi="en-US"/>
          <w:w w:val="100"/>
          <w:spacing w:val="0"/>
          <w:color w:val="000000"/>
          <w:position w:val="0"/>
        </w:rPr>
        <w:t>Leigh).</w:t>
      </w:r>
    </w:p>
    <w:p>
      <w:pPr>
        <w:pStyle w:val="Style30"/>
        <w:numPr>
          <w:ilvl w:val="0"/>
          <w:numId w:val="79"/>
        </w:numPr>
        <w:tabs>
          <w:tab w:leader="none" w:pos="240" w:val="left"/>
        </w:tabs>
        <w:widowControl w:val="0"/>
        <w:keepNext w:val="0"/>
        <w:keepLines w:val="0"/>
        <w:shd w:val="clear" w:color="auto" w:fill="auto"/>
        <w:bidi w:val="0"/>
        <w:spacing w:before="0" w:after="0" w:line="206" w:lineRule="exact"/>
        <w:ind w:left="0" w:right="0" w:firstLine="0"/>
      </w:pPr>
      <w:r>
        <w:rPr>
          <w:lang w:val="ru-RU" w:eastAsia="ru-RU" w:bidi="ru-RU"/>
          <w:w w:val="100"/>
          <w:spacing w:val="0"/>
          <w:color w:val="000000"/>
          <w:position w:val="0"/>
        </w:rPr>
        <w:t>Нарушения окислительного фосфорилирования:</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дефицит комплекса I;</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дефицит комплекса II;</w:t>
      </w:r>
    </w:p>
    <w:p>
      <w:pPr>
        <w:pStyle w:val="Style30"/>
        <w:numPr>
          <w:ilvl w:val="0"/>
          <w:numId w:val="81"/>
        </w:numPr>
        <w:tabs>
          <w:tab w:leader="none" w:pos="506" w:val="left"/>
        </w:tabs>
        <w:widowControl w:val="0"/>
        <w:keepNext w:val="0"/>
        <w:keepLines w:val="0"/>
        <w:shd w:val="clear" w:color="auto" w:fill="auto"/>
        <w:bidi w:val="0"/>
        <w:jc w:val="left"/>
        <w:spacing w:before="0" w:after="0" w:line="206" w:lineRule="exact"/>
        <w:ind w:left="480" w:right="0" w:hanging="220"/>
      </w:pPr>
      <w:r>
        <w:rPr>
          <w:lang w:val="ru-RU" w:eastAsia="ru-RU" w:bidi="ru-RU"/>
          <w:w w:val="100"/>
          <w:spacing w:val="0"/>
          <w:color w:val="000000"/>
          <w:position w:val="0"/>
        </w:rPr>
        <w:t>дефицит комплекса III (гистиоцитоидная кардио</w:t>
        <w:softHyphen/>
        <w:t>миопатия);</w:t>
      </w:r>
    </w:p>
    <w:p>
      <w:pPr>
        <w:pStyle w:val="Style30"/>
        <w:numPr>
          <w:ilvl w:val="0"/>
          <w:numId w:val="81"/>
        </w:numPr>
        <w:tabs>
          <w:tab w:leader="none" w:pos="506" w:val="left"/>
        </w:tabs>
        <w:widowControl w:val="0"/>
        <w:keepNext w:val="0"/>
        <w:keepLines w:val="0"/>
        <w:shd w:val="clear" w:color="auto" w:fill="auto"/>
        <w:bidi w:val="0"/>
        <w:jc w:val="left"/>
        <w:spacing w:before="0" w:after="0" w:line="206" w:lineRule="exact"/>
        <w:ind w:left="480" w:right="0" w:hanging="220"/>
      </w:pPr>
      <w:r>
        <w:rPr>
          <w:lang w:val="ru-RU" w:eastAsia="ru-RU" w:bidi="ru-RU"/>
          <w:w w:val="100"/>
          <w:spacing w:val="0"/>
          <w:color w:val="000000"/>
          <w:position w:val="0"/>
        </w:rPr>
        <w:t>дефицит комплекса IV (мышечный и в форме бо</w:t>
        <w:softHyphen/>
        <w:t xml:space="preserve">лезни </w:t>
      </w:r>
      <w:r>
        <w:rPr>
          <w:lang w:val="en-US" w:eastAsia="en-US" w:bidi="en-US"/>
          <w:w w:val="100"/>
          <w:spacing w:val="0"/>
          <w:color w:val="000000"/>
          <w:position w:val="0"/>
        </w:rPr>
        <w:t>Leigh);</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 xml:space="preserve">дефицит комплекса </w:t>
      </w:r>
      <w:r>
        <w:rPr>
          <w:lang w:val="en-US" w:eastAsia="en-US" w:bidi="en-US"/>
          <w:w w:val="100"/>
          <w:spacing w:val="0"/>
          <w:color w:val="000000"/>
          <w:position w:val="0"/>
        </w:rPr>
        <w:t>V;</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комбинированный дефицит дыхательных цепей;</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мутация митохондриального переносчика РНК;</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 xml:space="preserve">синдром </w:t>
      </w:r>
      <w:r>
        <w:rPr>
          <w:lang w:val="en-US" w:eastAsia="en-US" w:bidi="en-US"/>
          <w:w w:val="100"/>
          <w:spacing w:val="0"/>
          <w:color w:val="000000"/>
          <w:position w:val="0"/>
        </w:rPr>
        <w:t>MELAS;</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 xml:space="preserve">синдром </w:t>
      </w:r>
      <w:r>
        <w:rPr>
          <w:lang w:val="en-US" w:eastAsia="en-US" w:bidi="en-US"/>
          <w:w w:val="100"/>
          <w:spacing w:val="0"/>
          <w:color w:val="000000"/>
          <w:position w:val="0"/>
        </w:rPr>
        <w:t>MERRF;</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делеции и дупликации митохондриальной ДНК;</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синдром Керна-Сейра;</w:t>
      </w:r>
    </w:p>
    <w:p>
      <w:pPr>
        <w:pStyle w:val="Style30"/>
        <w:numPr>
          <w:ilvl w:val="0"/>
          <w:numId w:val="81"/>
        </w:numPr>
        <w:tabs>
          <w:tab w:leader="none" w:pos="506" w:val="left"/>
        </w:tabs>
        <w:widowControl w:val="0"/>
        <w:keepNext w:val="0"/>
        <w:keepLines w:val="0"/>
        <w:shd w:val="clear" w:color="auto" w:fill="auto"/>
        <w:bidi w:val="0"/>
        <w:jc w:val="left"/>
        <w:spacing w:before="0" w:after="0" w:line="206" w:lineRule="exact"/>
        <w:ind w:left="480" w:right="0" w:hanging="220"/>
      </w:pPr>
      <w:r>
        <w:rPr>
          <w:lang w:val="ru-RU" w:eastAsia="ru-RU" w:bidi="ru-RU"/>
          <w:w w:val="100"/>
          <w:spacing w:val="0"/>
          <w:color w:val="000000"/>
          <w:position w:val="0"/>
        </w:rPr>
        <w:t xml:space="preserve">синдром Барта (3-метилглютаровая ацидурия </w:t>
      </w:r>
      <w:r>
        <w:rPr>
          <w:lang w:val="en-US" w:eastAsia="en-US" w:bidi="en-US"/>
          <w:w w:val="100"/>
          <w:spacing w:val="0"/>
          <w:color w:val="000000"/>
          <w:position w:val="0"/>
        </w:rPr>
        <w:t xml:space="preserve">II </w:t>
      </w:r>
      <w:r>
        <w:rPr>
          <w:lang w:val="ru-RU" w:eastAsia="ru-RU" w:bidi="ru-RU"/>
          <w:w w:val="100"/>
          <w:spacing w:val="0"/>
          <w:color w:val="000000"/>
          <w:position w:val="0"/>
        </w:rPr>
        <w:t>типа);</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синдром Сенгерс.</w:t>
      </w:r>
    </w:p>
    <w:p>
      <w:pPr>
        <w:pStyle w:val="Style30"/>
        <w:numPr>
          <w:ilvl w:val="0"/>
          <w:numId w:val="79"/>
        </w:numPr>
        <w:tabs>
          <w:tab w:leader="none" w:pos="240" w:val="left"/>
        </w:tabs>
        <w:widowControl w:val="0"/>
        <w:keepNext w:val="0"/>
        <w:keepLines w:val="0"/>
        <w:shd w:val="clear" w:color="auto" w:fill="auto"/>
        <w:bidi w:val="0"/>
        <w:spacing w:before="0" w:after="0" w:line="206" w:lineRule="exact"/>
        <w:ind w:left="0" w:right="0" w:firstLine="0"/>
      </w:pPr>
      <w:r>
        <w:rPr>
          <w:lang w:val="ru-RU" w:eastAsia="ru-RU" w:bidi="ru-RU"/>
          <w:w w:val="100"/>
          <w:spacing w:val="0"/>
          <w:color w:val="000000"/>
          <w:position w:val="0"/>
        </w:rPr>
        <w:t>Нарушения метаболизма жирных кислот:</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первичный или системный дефицит карнитина;</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мышечный дефицит карнитина;</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дефицит карнитин палмитилтрансферазы II типа;</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дефицит карнитин ацилкарнитин транслоказы;</w:t>
      </w:r>
    </w:p>
    <w:p>
      <w:pPr>
        <w:pStyle w:val="Style30"/>
        <w:numPr>
          <w:ilvl w:val="0"/>
          <w:numId w:val="81"/>
        </w:numPr>
        <w:tabs>
          <w:tab w:leader="none" w:pos="506" w:val="left"/>
        </w:tabs>
        <w:widowControl w:val="0"/>
        <w:keepNext w:val="0"/>
        <w:keepLines w:val="0"/>
        <w:shd w:val="clear" w:color="auto" w:fill="auto"/>
        <w:bidi w:val="0"/>
        <w:jc w:val="left"/>
        <w:spacing w:before="0" w:after="0" w:line="206" w:lineRule="exact"/>
        <w:ind w:left="480" w:right="0" w:hanging="220"/>
      </w:pPr>
      <w:r>
        <w:rPr>
          <w:lang w:val="ru-RU" w:eastAsia="ru-RU" w:bidi="ru-RU"/>
          <w:w w:val="100"/>
          <w:spacing w:val="0"/>
          <w:color w:val="000000"/>
          <w:position w:val="0"/>
        </w:rPr>
        <w:t>дефицит ацил-СоА-дегидрогеназы очень длинных цепей;</w:t>
      </w:r>
    </w:p>
    <w:p>
      <w:pPr>
        <w:pStyle w:val="Style30"/>
        <w:numPr>
          <w:ilvl w:val="0"/>
          <w:numId w:val="81"/>
        </w:numPr>
        <w:tabs>
          <w:tab w:leader="none" w:pos="506" w:val="left"/>
        </w:tabs>
        <w:widowControl w:val="0"/>
        <w:keepNext w:val="0"/>
        <w:keepLines w:val="0"/>
        <w:shd w:val="clear" w:color="auto" w:fill="auto"/>
        <w:bidi w:val="0"/>
        <w:spacing w:before="0" w:after="0" w:line="206" w:lineRule="exact"/>
        <w:ind w:left="260" w:right="0" w:firstLine="0"/>
      </w:pPr>
      <w:r>
        <w:rPr>
          <w:lang w:val="ru-RU" w:eastAsia="ru-RU" w:bidi="ru-RU"/>
          <w:w w:val="100"/>
          <w:spacing w:val="0"/>
          <w:color w:val="000000"/>
          <w:position w:val="0"/>
        </w:rPr>
        <w:t>дефицит ацил-СоА-дегидрогеназы длинных цепей; • дефицит 3-гидроксиацил-СоА-дегидрогеназы</w:t>
      </w:r>
    </w:p>
    <w:p>
      <w:pPr>
        <w:pStyle w:val="Style30"/>
        <w:widowControl w:val="0"/>
        <w:keepNext w:val="0"/>
        <w:keepLines w:val="0"/>
        <w:shd w:val="clear" w:color="auto" w:fill="auto"/>
        <w:bidi w:val="0"/>
        <w:jc w:val="left"/>
        <w:spacing w:before="0" w:after="0" w:line="206" w:lineRule="exact"/>
        <w:ind w:left="480" w:right="0" w:firstLine="0"/>
      </w:pPr>
      <w:r>
        <w:rPr>
          <w:lang w:val="ru-RU" w:eastAsia="ru-RU" w:bidi="ru-RU"/>
          <w:w w:val="100"/>
          <w:spacing w:val="0"/>
          <w:color w:val="000000"/>
          <w:position w:val="0"/>
        </w:rPr>
        <w:t>длинных цепей;</w:t>
      </w:r>
    </w:p>
    <w:p>
      <w:pPr>
        <w:pStyle w:val="Style30"/>
        <w:numPr>
          <w:ilvl w:val="0"/>
          <w:numId w:val="81"/>
        </w:numPr>
        <w:tabs>
          <w:tab w:leader="none" w:pos="506" w:val="left"/>
        </w:tabs>
        <w:widowControl w:val="0"/>
        <w:keepNext w:val="0"/>
        <w:keepLines w:val="0"/>
        <w:shd w:val="clear" w:color="auto" w:fill="auto"/>
        <w:bidi w:val="0"/>
        <w:jc w:val="left"/>
        <w:spacing w:before="0" w:after="0" w:line="206" w:lineRule="exact"/>
        <w:ind w:left="480" w:right="0" w:hanging="220"/>
      </w:pPr>
      <w:r>
        <w:rPr>
          <w:lang w:val="ru-RU" w:eastAsia="ru-RU" w:bidi="ru-RU"/>
          <w:w w:val="100"/>
          <w:spacing w:val="0"/>
          <w:color w:val="000000"/>
          <w:position w:val="0"/>
        </w:rPr>
        <w:t>дефицит 3-гидроксиацил-СоА-дегидрогеназы ко</w:t>
        <w:softHyphen/>
        <w:t>ротких цепей;</w:t>
      </w:r>
      <w:r>
        <w:br w:type="page"/>
      </w:r>
    </w:p>
    <w:p>
      <w:pPr>
        <w:pStyle w:val="Style30"/>
        <w:numPr>
          <w:ilvl w:val="0"/>
          <w:numId w:val="81"/>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множественный дефицит ацил-СоА-дегидрогена- зы (глутаровая ацидемия II типа).</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Кардиотоксичные метаболиты межуточного обмена</w:t>
      </w:r>
    </w:p>
    <w:p>
      <w:pPr>
        <w:pStyle w:val="Style30"/>
        <w:numPr>
          <w:ilvl w:val="0"/>
          <w:numId w:val="79"/>
        </w:numPr>
        <w:tabs>
          <w:tab w:leader="none" w:pos="510" w:val="left"/>
        </w:tabs>
        <w:widowControl w:val="0"/>
        <w:keepNext w:val="0"/>
        <w:keepLines w:val="0"/>
        <w:shd w:val="clear" w:color="auto" w:fill="auto"/>
        <w:bidi w:val="0"/>
        <w:jc w:val="left"/>
        <w:spacing w:before="0" w:after="0" w:line="202" w:lineRule="exact"/>
        <w:ind w:left="500" w:right="0" w:hanging="220"/>
      </w:pPr>
      <w:r>
        <w:rPr>
          <w:lang w:val="ru-RU" w:eastAsia="ru-RU" w:bidi="ru-RU"/>
          <w:w w:val="100"/>
          <w:spacing w:val="0"/>
          <w:color w:val="000000"/>
          <w:position w:val="0"/>
        </w:rPr>
        <w:t>Нарушения метаболизма аминокислот и органичес</w:t>
        <w:softHyphen/>
        <w:t>ких кислот:</w:t>
      </w:r>
    </w:p>
    <w:p>
      <w:pPr>
        <w:pStyle w:val="Style30"/>
        <w:numPr>
          <w:ilvl w:val="0"/>
          <w:numId w:val="81"/>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пропионовая ацидемия;</w:t>
      </w:r>
    </w:p>
    <w:p>
      <w:pPr>
        <w:pStyle w:val="Style30"/>
        <w:numPr>
          <w:ilvl w:val="0"/>
          <w:numId w:val="81"/>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метилмалоновая ацидемия;</w:t>
      </w:r>
    </w:p>
    <w:p>
      <w:pPr>
        <w:pStyle w:val="Style30"/>
        <w:numPr>
          <w:ilvl w:val="0"/>
          <w:numId w:val="81"/>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малоновая ацидемия;</w:t>
      </w:r>
    </w:p>
    <w:p>
      <w:pPr>
        <w:pStyle w:val="Style30"/>
        <w:numPr>
          <w:ilvl w:val="0"/>
          <w:numId w:val="81"/>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дефицит Р-ктотиолазы;</w:t>
      </w:r>
    </w:p>
    <w:p>
      <w:pPr>
        <w:pStyle w:val="Style30"/>
        <w:numPr>
          <w:ilvl w:val="0"/>
          <w:numId w:val="81"/>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мевалоновая ацидемия;</w:t>
      </w:r>
    </w:p>
    <w:p>
      <w:pPr>
        <w:pStyle w:val="Style30"/>
        <w:numPr>
          <w:ilvl w:val="0"/>
          <w:numId w:val="81"/>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тирозинемия.</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Симптоматика заболевания проявляется полиорганной дисфункцией. КМП протекают по гипертрофическому и редко — по смешанному типу. Гипертрофия миокарда не приводит к обструктивным нарушениям, часто сопровож</w:t>
        <w:softHyphen/>
        <w:t>дается различными вариантами нарушения ритма и прово</w:t>
        <w:softHyphen/>
        <w:t>димости. На поздних стадиях развиваются дилатационная или гипертрофическая КМП.</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КМП при врожденных нарушениях метаболизма следу</w:t>
        <w:softHyphen/>
        <w:t>ет заподозрить при наличии хронической энцефалопатии, мышечной слабости, гипотонии, задержке роста, рециди</w:t>
        <w:softHyphen/>
        <w:t>вирующей рвоте, дизморфическом статусе, органомегалии.</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Кардиомиопатии при генетических синдромах нару</w:t>
        <w:softHyphen/>
        <w:t>шенного развития (см. главу)</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Синдромы нарушенного развития часто имеют специ</w:t>
        <w:softHyphen/>
        <w:t>фическую этиологию и распознаются по фенотипическим и генотипическим проявлениям.</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Генетические синдромы, сочетающиеся с кардиомиопа</w:t>
        <w:softHyphen/>
        <w:t>тией.</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Синдромы нарушенного развития часто имеют специ</w:t>
        <w:softHyphen/>
        <w:t>фическую этиологию и распознаются по фенотипическим и генотипическим проявлениям. Они, как правило, обус</w:t>
        <w:softHyphen/>
        <w:t>ловлены дефектом одного гена.</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Дефект одного гена</w:t>
      </w:r>
    </w:p>
    <w:p>
      <w:pPr>
        <w:pStyle w:val="Style30"/>
        <w:numPr>
          <w:ilvl w:val="0"/>
          <w:numId w:val="79"/>
        </w:numPr>
        <w:tabs>
          <w:tab w:leader="none" w:pos="510" w:val="left"/>
        </w:tabs>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Аутосомно-доминантное наследование</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Синдром Нунан.</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Сердечно-лице-кожный синдром.</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 xml:space="preserve">Синдром </w:t>
      </w:r>
      <w:r>
        <w:rPr>
          <w:lang w:val="en-US" w:eastAsia="en-US" w:bidi="en-US"/>
          <w:w w:val="100"/>
          <w:spacing w:val="0"/>
          <w:color w:val="000000"/>
          <w:position w:val="0"/>
        </w:rPr>
        <w:t xml:space="preserve">LEOPARD </w:t>
      </w:r>
      <w:r>
        <w:rPr>
          <w:lang w:val="ru-RU" w:eastAsia="ru-RU" w:bidi="ru-RU"/>
          <w:w w:val="100"/>
          <w:spacing w:val="0"/>
          <w:color w:val="000000"/>
          <w:position w:val="0"/>
        </w:rPr>
        <w:t>.</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Нейрофиброматоз.</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Синдром Биквит-Видемана.</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Телекант, множественных врожденных аномалий синдром.</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Глухонемота.</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Синдром Рубинштейн-Тейби.</w:t>
      </w:r>
    </w:p>
    <w:p>
      <w:pPr>
        <w:pStyle w:val="Style30"/>
        <w:numPr>
          <w:ilvl w:val="0"/>
          <w:numId w:val="79"/>
        </w:numPr>
        <w:tabs>
          <w:tab w:leader="none" w:pos="510" w:val="left"/>
        </w:tabs>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Аутосомно-рецессивное наследование</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Гипогонадизм, множественные врожденные ано</w:t>
        <w:softHyphen/>
        <w:t>малии, умственная отсталость.</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Микроцефалия, умственная отсталость.</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Пальмоплантарный кератоз.</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Тотальная липодистрофия, инсулин-резистент- ный диабет, лепречаунизм.</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Синдром Костелло.</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Макросомия, постнатальная задержка умственно</w:t>
        <w:softHyphen/>
        <w:t>го и физического развития, костеллоподобные проявления.</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Умственная отсталость, необычные черты лица, артрит, глухота.</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Лице-кардио-ренальный синдром.</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Мочеполовые аномалии, умственная отсталость.</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Синдром Алстрома.</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Синдром Марден-Уолкера.</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Коротких конечностей дварфизм.</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ru-RU" w:eastAsia="ru-RU" w:bidi="ru-RU"/>
          <w:w w:val="100"/>
          <w:spacing w:val="0"/>
          <w:color w:val="000000"/>
          <w:position w:val="0"/>
        </w:rPr>
        <w:t>Врожденный амавроз Лебер.</w:t>
      </w:r>
    </w:p>
    <w:p>
      <w:pPr>
        <w:pStyle w:val="Style30"/>
        <w:numPr>
          <w:ilvl w:val="0"/>
          <w:numId w:val="79"/>
        </w:numPr>
        <w:tabs>
          <w:tab w:leader="none" w:pos="510" w:val="left"/>
        </w:tabs>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Х-сцепленное рецессивное наследование</w:t>
      </w:r>
    </w:p>
    <w:p>
      <w:pPr>
        <w:pStyle w:val="Style30"/>
        <w:numPr>
          <w:ilvl w:val="0"/>
          <w:numId w:val="79"/>
        </w:numPr>
        <w:tabs>
          <w:tab w:leader="none" w:pos="737" w:val="left"/>
        </w:tabs>
        <w:widowControl w:val="0"/>
        <w:keepNext w:val="0"/>
        <w:keepLines w:val="0"/>
        <w:shd w:val="clear" w:color="auto" w:fill="auto"/>
        <w:bidi w:val="0"/>
        <w:spacing w:before="0" w:after="0" w:line="202" w:lineRule="exact"/>
        <w:ind w:left="740" w:right="0" w:hanging="240"/>
      </w:pPr>
      <w:r>
        <w:rPr>
          <w:lang w:val="en-US" w:eastAsia="en-US" w:bidi="en-US"/>
          <w:w w:val="100"/>
          <w:spacing w:val="0"/>
          <w:color w:val="000000"/>
          <w:position w:val="0"/>
        </w:rPr>
        <w:t xml:space="preserve">Cutis laxa, </w:t>
      </w:r>
      <w:r>
        <w:rPr>
          <w:lang w:val="ru-RU" w:eastAsia="ru-RU" w:bidi="ru-RU"/>
          <w:w w:val="100"/>
          <w:spacing w:val="0"/>
          <w:color w:val="000000"/>
          <w:position w:val="0"/>
        </w:rPr>
        <w:t>скелетные аномалии.</w:t>
      </w:r>
    </w:p>
    <w:p>
      <w:pPr>
        <w:pStyle w:val="Style30"/>
        <w:numPr>
          <w:ilvl w:val="0"/>
          <w:numId w:val="79"/>
        </w:numPr>
        <w:tabs>
          <w:tab w:leader="none" w:pos="734" w:val="left"/>
        </w:tabs>
        <w:widowControl w:val="0"/>
        <w:keepNext w:val="0"/>
        <w:keepLines w:val="0"/>
        <w:shd w:val="clear" w:color="auto" w:fill="auto"/>
        <w:bidi w:val="0"/>
        <w:spacing w:before="0" w:after="0" w:line="202" w:lineRule="exact"/>
        <w:ind w:left="500" w:right="0" w:firstLine="0"/>
      </w:pPr>
      <w:r>
        <w:br w:type="column"/>
      </w:r>
      <w:r>
        <w:rPr>
          <w:lang w:val="ru-RU" w:eastAsia="ru-RU" w:bidi="ru-RU"/>
          <w:w w:val="100"/>
          <w:spacing w:val="0"/>
          <w:color w:val="000000"/>
          <w:position w:val="0"/>
        </w:rPr>
        <w:t>Микрофталмия, линейные дефекты кожи.</w:t>
      </w:r>
    </w:p>
    <w:p>
      <w:pPr>
        <w:pStyle w:val="Style30"/>
        <w:numPr>
          <w:ilvl w:val="0"/>
          <w:numId w:val="79"/>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Синдром Симпсон-Голабри-Бехмел-Розен.</w:t>
      </w:r>
    </w:p>
    <w:p>
      <w:pPr>
        <w:pStyle w:val="Style30"/>
        <w:numPr>
          <w:ilvl w:val="0"/>
          <w:numId w:val="79"/>
        </w:numPr>
        <w:tabs>
          <w:tab w:leader="none" w:pos="734" w:val="left"/>
        </w:tabs>
        <w:widowControl w:val="0"/>
        <w:keepNext w:val="0"/>
        <w:keepLines w:val="0"/>
        <w:shd w:val="clear" w:color="auto" w:fill="auto"/>
        <w:bidi w:val="0"/>
        <w:jc w:val="left"/>
        <w:spacing w:before="0" w:after="0" w:line="202" w:lineRule="exact"/>
        <w:ind w:left="740" w:right="0" w:hanging="240"/>
      </w:pPr>
      <w:r>
        <w:rPr>
          <w:lang w:val="ru-RU" w:eastAsia="ru-RU" w:bidi="ru-RU"/>
          <w:w w:val="100"/>
          <w:spacing w:val="0"/>
          <w:color w:val="000000"/>
          <w:position w:val="0"/>
        </w:rPr>
        <w:t>Умственная отсталость, преждевременное половое развитие, ожирение.</w:t>
      </w:r>
    </w:p>
    <w:p>
      <w:pPr>
        <w:pStyle w:val="Style30"/>
        <w:numPr>
          <w:ilvl w:val="0"/>
          <w:numId w:val="79"/>
        </w:numPr>
        <w:tabs>
          <w:tab w:leader="none" w:pos="517" w:val="left"/>
        </w:tabs>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Хромосомные дефекты</w:t>
      </w:r>
    </w:p>
    <w:p>
      <w:pPr>
        <w:pStyle w:val="Style30"/>
        <w:numPr>
          <w:ilvl w:val="0"/>
          <w:numId w:val="79"/>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 xml:space="preserve">Делеция </w:t>
      </w:r>
      <w:r>
        <w:rPr>
          <w:lang w:val="en-US" w:eastAsia="en-US" w:bidi="en-US"/>
          <w:w w:val="100"/>
          <w:spacing w:val="0"/>
          <w:color w:val="000000"/>
          <w:position w:val="0"/>
        </w:rPr>
        <w:t>2q23.</w:t>
      </w:r>
    </w:p>
    <w:p>
      <w:pPr>
        <w:pStyle w:val="Style30"/>
        <w:numPr>
          <w:ilvl w:val="0"/>
          <w:numId w:val="79"/>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 xml:space="preserve">Делеция </w:t>
      </w:r>
      <w:r>
        <w:rPr>
          <w:lang w:val="en-US" w:eastAsia="en-US" w:bidi="en-US"/>
          <w:w w:val="100"/>
          <w:spacing w:val="0"/>
          <w:color w:val="000000"/>
          <w:position w:val="0"/>
        </w:rPr>
        <w:t xml:space="preserve">10q25, </w:t>
      </w:r>
      <w:r>
        <w:rPr>
          <w:lang w:val="ru-RU" w:eastAsia="ru-RU" w:bidi="ru-RU"/>
          <w:w w:val="100"/>
          <w:spacing w:val="0"/>
          <w:color w:val="000000"/>
          <w:position w:val="0"/>
        </w:rPr>
        <w:t>мозаицизм.</w:t>
      </w:r>
    </w:p>
    <w:p>
      <w:pPr>
        <w:pStyle w:val="Style30"/>
        <w:numPr>
          <w:ilvl w:val="0"/>
          <w:numId w:val="79"/>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 xml:space="preserve">Делеция </w:t>
      </w:r>
      <w:r>
        <w:rPr>
          <w:lang w:val="en-US" w:eastAsia="en-US" w:bidi="en-US"/>
          <w:w w:val="100"/>
          <w:spacing w:val="0"/>
          <w:color w:val="000000"/>
          <w:position w:val="0"/>
        </w:rPr>
        <w:t xml:space="preserve">11p15 </w:t>
      </w:r>
      <w:r>
        <w:rPr>
          <w:lang w:val="ru-RU" w:eastAsia="ru-RU" w:bidi="ru-RU"/>
          <w:w w:val="100"/>
          <w:spacing w:val="0"/>
          <w:color w:val="000000"/>
          <w:position w:val="0"/>
        </w:rPr>
        <w:t>с аниридией и дефицитом каталазы.</w:t>
      </w:r>
    </w:p>
    <w:p>
      <w:pPr>
        <w:pStyle w:val="Style30"/>
        <w:numPr>
          <w:ilvl w:val="0"/>
          <w:numId w:val="79"/>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 xml:space="preserve">Дупликация </w:t>
      </w:r>
      <w:r>
        <w:rPr>
          <w:lang w:val="en-US" w:eastAsia="en-US" w:bidi="en-US"/>
          <w:w w:val="100"/>
          <w:spacing w:val="0"/>
          <w:color w:val="000000"/>
          <w:position w:val="0"/>
        </w:rPr>
        <w:t>9p22.</w:t>
      </w:r>
    </w:p>
    <w:p>
      <w:pPr>
        <w:pStyle w:val="Style30"/>
        <w:numPr>
          <w:ilvl w:val="0"/>
          <w:numId w:val="79"/>
        </w:numPr>
        <w:tabs>
          <w:tab w:leader="none" w:pos="517" w:val="left"/>
        </w:tabs>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Синдромы неуточненного генеза</w:t>
      </w:r>
    </w:p>
    <w:p>
      <w:pPr>
        <w:pStyle w:val="Style30"/>
        <w:numPr>
          <w:ilvl w:val="0"/>
          <w:numId w:val="79"/>
        </w:numPr>
        <w:tabs>
          <w:tab w:leader="none" w:pos="734" w:val="left"/>
        </w:tabs>
        <w:widowControl w:val="0"/>
        <w:keepNext w:val="0"/>
        <w:keepLines w:val="0"/>
        <w:shd w:val="clear" w:color="auto" w:fill="auto"/>
        <w:bidi w:val="0"/>
        <w:jc w:val="left"/>
        <w:spacing w:before="0" w:after="0" w:line="202" w:lineRule="exact"/>
        <w:ind w:left="740" w:right="0" w:hanging="240"/>
      </w:pPr>
      <w:r>
        <w:rPr>
          <w:lang w:val="ru-RU" w:eastAsia="ru-RU" w:bidi="ru-RU"/>
          <w:w w:val="100"/>
          <w:spacing w:val="0"/>
          <w:color w:val="000000"/>
          <w:position w:val="0"/>
        </w:rPr>
        <w:t xml:space="preserve">Эктодермальная дисплазия, гипотиреоидизм, аге- незия </w:t>
      </w:r>
      <w:r>
        <w:rPr>
          <w:lang w:val="en-US" w:eastAsia="en-US" w:bidi="en-US"/>
          <w:w w:val="100"/>
          <w:spacing w:val="0"/>
          <w:color w:val="000000"/>
          <w:position w:val="0"/>
        </w:rPr>
        <w:t xml:space="preserve">corpus callosum, </w:t>
      </w:r>
      <w:r>
        <w:rPr>
          <w:lang w:val="ru-RU" w:eastAsia="ru-RU" w:bidi="ru-RU"/>
          <w:w w:val="100"/>
          <w:spacing w:val="0"/>
          <w:color w:val="000000"/>
          <w:position w:val="0"/>
        </w:rPr>
        <w:t>умственная отсталость.</w:t>
      </w:r>
    </w:p>
    <w:p>
      <w:pPr>
        <w:pStyle w:val="Style30"/>
        <w:numPr>
          <w:ilvl w:val="0"/>
          <w:numId w:val="79"/>
        </w:numPr>
        <w:tabs>
          <w:tab w:leader="none" w:pos="734" w:val="left"/>
        </w:tabs>
        <w:widowControl w:val="0"/>
        <w:keepNext w:val="0"/>
        <w:keepLines w:val="0"/>
        <w:shd w:val="clear" w:color="auto" w:fill="auto"/>
        <w:bidi w:val="0"/>
        <w:jc w:val="left"/>
        <w:spacing w:before="0" w:after="0" w:line="202" w:lineRule="exact"/>
        <w:ind w:left="740" w:right="0" w:hanging="240"/>
      </w:pPr>
      <w:r>
        <w:rPr>
          <w:lang w:val="ru-RU" w:eastAsia="ru-RU" w:bidi="ru-RU"/>
          <w:w w:val="100"/>
          <w:spacing w:val="0"/>
          <w:color w:val="000000"/>
          <w:position w:val="0"/>
        </w:rPr>
        <w:t>Умственная отсталость, множественные врожден</w:t>
        <w:softHyphen/>
        <w:t>ные аномалии, дисфункция нервной системы.</w:t>
      </w:r>
    </w:p>
    <w:p>
      <w:pPr>
        <w:pStyle w:val="Style30"/>
        <w:numPr>
          <w:ilvl w:val="0"/>
          <w:numId w:val="79"/>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Катаракта, артропатия.</w:t>
      </w:r>
    </w:p>
    <w:p>
      <w:pPr>
        <w:pStyle w:val="Style30"/>
        <w:numPr>
          <w:ilvl w:val="0"/>
          <w:numId w:val="79"/>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Гидротическая эктодермальная дисплазия.</w:t>
      </w:r>
    </w:p>
    <w:p>
      <w:pPr>
        <w:pStyle w:val="Style30"/>
        <w:numPr>
          <w:ilvl w:val="0"/>
          <w:numId w:val="79"/>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Гипогонадизм, коллагенома.</w:t>
      </w:r>
    </w:p>
    <w:p>
      <w:pPr>
        <w:pStyle w:val="Style30"/>
        <w:numPr>
          <w:ilvl w:val="0"/>
          <w:numId w:val="79"/>
        </w:numPr>
        <w:tabs>
          <w:tab w:leader="none" w:pos="734" w:val="left"/>
        </w:tabs>
        <w:widowControl w:val="0"/>
        <w:keepNext w:val="0"/>
        <w:keepLines w:val="0"/>
        <w:shd w:val="clear" w:color="auto" w:fill="auto"/>
        <w:bidi w:val="0"/>
        <w:jc w:val="left"/>
        <w:spacing w:before="0" w:after="0" w:line="202" w:lineRule="exact"/>
        <w:ind w:left="740" w:right="0" w:hanging="240"/>
      </w:pPr>
      <w:r>
        <w:rPr>
          <w:lang w:val="ru-RU" w:eastAsia="ru-RU" w:bidi="ru-RU"/>
          <w:w w:val="100"/>
          <w:spacing w:val="0"/>
          <w:color w:val="000000"/>
          <w:position w:val="0"/>
        </w:rPr>
        <w:t>Умственная отсталость, краниосиностоз, множес</w:t>
        <w:softHyphen/>
        <w:t>твенные врожденные аномалии.</w:t>
      </w:r>
    </w:p>
    <w:p>
      <w:pPr>
        <w:pStyle w:val="Style30"/>
        <w:numPr>
          <w:ilvl w:val="0"/>
          <w:numId w:val="79"/>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Синдром Протеус.</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Кардиомиопатии при нейромышечных заболеваниях (см. главу)</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Нейромышечные заболевания связаны с патологией пе</w:t>
        <w:softHyphen/>
        <w:t>риферических нервов или скелетной мускулатуры и мани</w:t>
        <w:softHyphen/>
        <w:t>фестируют слабостью скелетных мышц. Эта группа вклю</w:t>
        <w:softHyphen/>
        <w:t>чает мышечные дистрофии, врожденные миопатии, мета</w:t>
        <w:softHyphen/>
        <w:t>болические миопатии и атаксии.</w:t>
      </w:r>
    </w:p>
    <w:p>
      <w:pPr>
        <w:pStyle w:val="Style30"/>
        <w:numPr>
          <w:ilvl w:val="0"/>
          <w:numId w:val="79"/>
        </w:numPr>
        <w:tabs>
          <w:tab w:leader="none" w:pos="517" w:val="left"/>
        </w:tabs>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Мышечные дистрофии:</w:t>
      </w:r>
    </w:p>
    <w:p>
      <w:pPr>
        <w:pStyle w:val="Style30"/>
        <w:numPr>
          <w:ilvl w:val="0"/>
          <w:numId w:val="81"/>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мышечная дистрофия Дюшена;</w:t>
      </w:r>
    </w:p>
    <w:p>
      <w:pPr>
        <w:pStyle w:val="Style30"/>
        <w:numPr>
          <w:ilvl w:val="0"/>
          <w:numId w:val="81"/>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мышечная дистрофия Беккера;</w:t>
      </w:r>
    </w:p>
    <w:p>
      <w:pPr>
        <w:pStyle w:val="Style30"/>
        <w:numPr>
          <w:ilvl w:val="0"/>
          <w:numId w:val="81"/>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аутосомно-рецессивная мышечная дистрофия;</w:t>
      </w:r>
    </w:p>
    <w:p>
      <w:pPr>
        <w:pStyle w:val="Style30"/>
        <w:numPr>
          <w:ilvl w:val="0"/>
          <w:numId w:val="81"/>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миотоническая дистрофия;</w:t>
      </w:r>
    </w:p>
    <w:p>
      <w:pPr>
        <w:pStyle w:val="Style30"/>
        <w:numPr>
          <w:ilvl w:val="0"/>
          <w:numId w:val="81"/>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мышечная дистрофия Эмери-Дрейфусса;</w:t>
      </w:r>
    </w:p>
    <w:p>
      <w:pPr>
        <w:pStyle w:val="Style30"/>
        <w:numPr>
          <w:ilvl w:val="0"/>
          <w:numId w:val="81"/>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мышечная дистрофия Эрба-Ротта;</w:t>
      </w:r>
    </w:p>
    <w:p>
      <w:pPr>
        <w:pStyle w:val="Style30"/>
        <w:numPr>
          <w:ilvl w:val="0"/>
          <w:numId w:val="81"/>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врожденная мышечная дистрофия.</w:t>
      </w:r>
    </w:p>
    <w:p>
      <w:pPr>
        <w:pStyle w:val="Style30"/>
        <w:numPr>
          <w:ilvl w:val="0"/>
          <w:numId w:val="79"/>
        </w:numPr>
        <w:tabs>
          <w:tab w:leader="none" w:pos="517" w:val="left"/>
        </w:tabs>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Врожденные миопатии:</w:t>
      </w:r>
    </w:p>
    <w:p>
      <w:pPr>
        <w:pStyle w:val="Style30"/>
        <w:numPr>
          <w:ilvl w:val="0"/>
          <w:numId w:val="81"/>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миотубулярная миопатия;</w:t>
      </w:r>
    </w:p>
    <w:p>
      <w:pPr>
        <w:pStyle w:val="Style30"/>
        <w:numPr>
          <w:ilvl w:val="0"/>
          <w:numId w:val="81"/>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немалиновая миопатия;</w:t>
      </w:r>
    </w:p>
    <w:p>
      <w:pPr>
        <w:pStyle w:val="Style30"/>
        <w:numPr>
          <w:ilvl w:val="0"/>
          <w:numId w:val="81"/>
        </w:numPr>
        <w:tabs>
          <w:tab w:leader="none" w:pos="734" w:val="left"/>
        </w:tabs>
        <w:widowControl w:val="0"/>
        <w:keepNext w:val="0"/>
        <w:keepLines w:val="0"/>
        <w:shd w:val="clear" w:color="auto" w:fill="auto"/>
        <w:bidi w:val="0"/>
        <w:jc w:val="left"/>
        <w:spacing w:before="0" w:after="0" w:line="202" w:lineRule="exact"/>
        <w:ind w:left="740" w:right="0" w:hanging="240"/>
      </w:pPr>
      <w:r>
        <w:rPr>
          <w:lang w:val="ru-RU" w:eastAsia="ru-RU" w:bidi="ru-RU"/>
          <w:w w:val="100"/>
          <w:spacing w:val="0"/>
          <w:color w:val="000000"/>
          <w:position w:val="0"/>
        </w:rPr>
        <w:t>миопатия осевого стержня и множественных осе</w:t>
        <w:softHyphen/>
        <w:t>вых стержней.</w:t>
      </w:r>
    </w:p>
    <w:p>
      <w:pPr>
        <w:pStyle w:val="Style30"/>
        <w:numPr>
          <w:ilvl w:val="0"/>
          <w:numId w:val="79"/>
        </w:numPr>
        <w:tabs>
          <w:tab w:leader="none" w:pos="517" w:val="left"/>
        </w:tabs>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Метаболические миопатии.</w:t>
      </w:r>
    </w:p>
    <w:p>
      <w:pPr>
        <w:pStyle w:val="Style30"/>
        <w:numPr>
          <w:ilvl w:val="0"/>
          <w:numId w:val="79"/>
        </w:numPr>
        <w:tabs>
          <w:tab w:leader="none" w:pos="517" w:val="left"/>
        </w:tabs>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Атаксия:</w:t>
      </w:r>
    </w:p>
    <w:p>
      <w:pPr>
        <w:pStyle w:val="Style30"/>
        <w:numPr>
          <w:ilvl w:val="0"/>
          <w:numId w:val="81"/>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атаксия Фридрейха;</w:t>
      </w:r>
    </w:p>
    <w:p>
      <w:pPr>
        <w:pStyle w:val="Style30"/>
        <w:numPr>
          <w:ilvl w:val="0"/>
          <w:numId w:val="81"/>
        </w:numPr>
        <w:tabs>
          <w:tab w:leader="none" w:pos="734" w:val="left"/>
        </w:tabs>
        <w:widowControl w:val="0"/>
        <w:keepNext w:val="0"/>
        <w:keepLines w:val="0"/>
        <w:shd w:val="clear" w:color="auto" w:fill="auto"/>
        <w:bidi w:val="0"/>
        <w:spacing w:before="0" w:after="0" w:line="202" w:lineRule="exact"/>
        <w:ind w:left="500" w:right="0" w:firstLine="0"/>
      </w:pPr>
      <w:r>
        <w:rPr>
          <w:lang w:val="ru-RU" w:eastAsia="ru-RU" w:bidi="ru-RU"/>
          <w:w w:val="100"/>
          <w:spacing w:val="0"/>
          <w:color w:val="000000"/>
          <w:position w:val="0"/>
        </w:rPr>
        <w:t>болезнь Рефсума.</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Характерно, что при мышечных дистрофиях наблюдает</w:t>
        <w:softHyphen/>
        <w:t>ся преимущественно дилатационная форма КМП, а при метаболических миопатиях и атаксии — гипертрофическая и реже рестриктивная формы.</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Кардиомиопатия может оказаться первой находкой у больного, в последующем длительное время пациенты на</w:t>
        <w:softHyphen/>
        <w:t>блюдаются по поводу кардиологического диагноза, а посте</w:t>
        <w:softHyphen/>
        <w:t>пенное развитие симптоматики нейромышечного заболе</w:t>
        <w:softHyphen/>
        <w:t>вания маскируется сердечной недостаточностью.</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Семейные изолированные кардиомиопатии (без других ор</w:t>
        <w:softHyphen/>
        <w:t>ганных проявлений) могут быть гипертрофическими, дила</w:t>
        <w:softHyphen/>
        <w:t>тационными и рестриктивными. Эти КМП могут иметь разные варианты наследования.</w:t>
      </w:r>
    </w:p>
    <w:p>
      <w:pPr>
        <w:pStyle w:val="Style30"/>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Аутосомно-доминантное наследование</w:t>
      </w:r>
    </w:p>
    <w:p>
      <w:pPr>
        <w:pStyle w:val="Style30"/>
        <w:numPr>
          <w:ilvl w:val="0"/>
          <w:numId w:val="79"/>
        </w:numPr>
        <w:tabs>
          <w:tab w:leader="none" w:pos="517" w:val="left"/>
        </w:tabs>
        <w:widowControl w:val="0"/>
        <w:keepNext w:val="0"/>
        <w:keepLines w:val="0"/>
        <w:shd w:val="clear" w:color="auto" w:fill="auto"/>
        <w:bidi w:val="0"/>
        <w:spacing w:before="0" w:after="0" w:line="202" w:lineRule="exact"/>
        <w:ind w:left="0" w:right="0" w:firstLine="280"/>
      </w:pPr>
      <w:r>
        <w:rPr>
          <w:lang w:val="ru-RU" w:eastAsia="ru-RU" w:bidi="ru-RU"/>
          <w:w w:val="100"/>
          <w:spacing w:val="0"/>
          <w:color w:val="000000"/>
          <w:position w:val="0"/>
        </w:rPr>
        <w:t>Семейная гипертрофическая кардиомиопатия:</w:t>
      </w:r>
    </w:p>
    <w:p>
      <w:pPr>
        <w:pStyle w:val="Style30"/>
        <w:numPr>
          <w:ilvl w:val="0"/>
          <w:numId w:val="81"/>
        </w:numPr>
        <w:tabs>
          <w:tab w:leader="none" w:pos="734" w:val="left"/>
        </w:tabs>
        <w:widowControl w:val="0"/>
        <w:keepNext w:val="0"/>
        <w:keepLines w:val="0"/>
        <w:shd w:val="clear" w:color="auto" w:fill="auto"/>
        <w:bidi w:val="0"/>
        <w:jc w:val="left"/>
        <w:spacing w:before="0" w:after="0" w:line="202" w:lineRule="exact"/>
        <w:ind w:left="740" w:right="0" w:hanging="240"/>
      </w:pPr>
      <w:r>
        <w:rPr>
          <w:lang w:val="ru-RU" w:eastAsia="ru-RU" w:bidi="ru-RU"/>
          <w:w w:val="100"/>
          <w:spacing w:val="0"/>
          <w:color w:val="000000"/>
          <w:position w:val="0"/>
        </w:rPr>
        <w:t xml:space="preserve">дефект сердечного р -миозина тяжелых цепей (свя - занный с хромосомой </w:t>
      </w:r>
      <w:r>
        <w:rPr>
          <w:lang w:val="en-US" w:eastAsia="en-US" w:bidi="en-US"/>
          <w:w w:val="100"/>
          <w:spacing w:val="0"/>
          <w:color w:val="000000"/>
          <w:position w:val="0"/>
        </w:rPr>
        <w:t>14q11-q12);</w:t>
      </w:r>
    </w:p>
    <w:p>
      <w:pPr>
        <w:pStyle w:val="Style30"/>
        <w:numPr>
          <w:ilvl w:val="0"/>
          <w:numId w:val="81"/>
        </w:numPr>
        <w:tabs>
          <w:tab w:leader="none" w:pos="734" w:val="left"/>
        </w:tabs>
        <w:widowControl w:val="0"/>
        <w:keepNext w:val="0"/>
        <w:keepLines w:val="0"/>
        <w:shd w:val="clear" w:color="auto" w:fill="auto"/>
        <w:bidi w:val="0"/>
        <w:jc w:val="left"/>
        <w:spacing w:before="0" w:after="0" w:line="202" w:lineRule="exact"/>
        <w:ind w:left="740" w:right="0" w:hanging="240"/>
      </w:pPr>
      <w:r>
        <w:rPr>
          <w:lang w:val="ru-RU" w:eastAsia="ru-RU" w:bidi="ru-RU"/>
          <w:w w:val="100"/>
          <w:spacing w:val="0"/>
          <w:color w:val="000000"/>
          <w:position w:val="0"/>
        </w:rPr>
        <w:t xml:space="preserve">дефект сердечного тропонина Т (связанный с хро - мосомой </w:t>
      </w:r>
      <w:r>
        <w:rPr>
          <w:lang w:val="en-US" w:eastAsia="en-US" w:bidi="en-US"/>
          <w:w w:val="100"/>
          <w:spacing w:val="0"/>
          <w:color w:val="000000"/>
          <w:position w:val="0"/>
        </w:rPr>
        <w:t>1q3);</w:t>
      </w:r>
    </w:p>
    <w:p>
      <w:pPr>
        <w:pStyle w:val="Style30"/>
        <w:numPr>
          <w:ilvl w:val="0"/>
          <w:numId w:val="81"/>
        </w:numPr>
        <w:tabs>
          <w:tab w:leader="none" w:pos="734" w:val="left"/>
        </w:tabs>
        <w:widowControl w:val="0"/>
        <w:keepNext w:val="0"/>
        <w:keepLines w:val="0"/>
        <w:shd w:val="clear" w:color="auto" w:fill="auto"/>
        <w:bidi w:val="0"/>
        <w:jc w:val="left"/>
        <w:spacing w:before="0" w:after="0" w:line="202" w:lineRule="exact"/>
        <w:ind w:left="740" w:right="0" w:hanging="240"/>
      </w:pPr>
      <w:r>
        <w:pict>
          <v:shape id="_x0000_s1452" type="#_x0000_t75" style="position:absolute;margin-left:148.2pt;margin-top:736.8pt;width:209.75pt;height:14.9pt;z-index:-125829095;mso-wrap-distance-left:148.1pt;mso-wrap-distance-right:136.55pt;mso-wrap-distance-bottom:10.8pt;mso-position-horizontal-relative:margin;mso-position-vertical-relative:margin" wrapcoords="0 0 21600 0 21600 21600 0 21600 0 0">
            <v:imagedata r:id="rId709" r:href="rId710"/>
            <w10:wrap type="topAndBottom" anchorx="margin" anchory="margin"/>
          </v:shape>
        </w:pict>
      </w:r>
      <w:r>
        <w:rPr>
          <w:lang w:val="ru-RU" w:eastAsia="ru-RU" w:bidi="ru-RU"/>
          <w:w w:val="100"/>
          <w:spacing w:val="0"/>
          <w:color w:val="000000"/>
          <w:position w:val="0"/>
        </w:rPr>
        <w:t xml:space="preserve">дефект а-тропомиозина (связанный с хромосомой </w:t>
      </w:r>
      <w:r>
        <w:rPr>
          <w:lang w:val="en-US" w:eastAsia="en-US" w:bidi="en-US"/>
          <w:w w:val="100"/>
          <w:spacing w:val="0"/>
          <w:color w:val="000000"/>
          <w:position w:val="0"/>
        </w:rPr>
        <w:t>15q2);</w:t>
      </w:r>
      <w:r>
        <w:br w:type="page"/>
      </w:r>
    </w:p>
    <w:p>
      <w:pPr>
        <w:pStyle w:val="Style30"/>
        <w:numPr>
          <w:ilvl w:val="0"/>
          <w:numId w:val="81"/>
        </w:numPr>
        <w:tabs>
          <w:tab w:leader="none" w:pos="753" w:val="left"/>
        </w:tabs>
        <w:widowControl w:val="0"/>
        <w:keepNext w:val="0"/>
        <w:keepLines w:val="0"/>
        <w:shd w:val="clear" w:color="auto" w:fill="auto"/>
        <w:bidi w:val="0"/>
        <w:jc w:val="left"/>
        <w:spacing w:before="0" w:after="0" w:line="206" w:lineRule="exact"/>
        <w:ind w:left="740" w:right="0" w:hanging="220"/>
      </w:pPr>
      <w:r>
        <w:rPr>
          <w:lang w:val="ru-RU" w:eastAsia="ru-RU" w:bidi="ru-RU"/>
          <w:w w:val="100"/>
          <w:spacing w:val="0"/>
          <w:color w:val="000000"/>
          <w:position w:val="0"/>
        </w:rPr>
        <w:t xml:space="preserve">дефект сердечного миозина, связывающего проте- ин-С (связанный с хромосомой </w:t>
      </w:r>
      <w:r>
        <w:rPr>
          <w:lang w:val="en-US" w:eastAsia="en-US" w:bidi="en-US"/>
          <w:w w:val="100"/>
          <w:spacing w:val="0"/>
          <w:color w:val="000000"/>
          <w:position w:val="0"/>
        </w:rPr>
        <w:t>11pn.2);</w:t>
      </w:r>
    </w:p>
    <w:p>
      <w:pPr>
        <w:pStyle w:val="Style30"/>
        <w:numPr>
          <w:ilvl w:val="0"/>
          <w:numId w:val="81"/>
        </w:numPr>
        <w:tabs>
          <w:tab w:leader="none" w:pos="753" w:val="left"/>
        </w:tabs>
        <w:widowControl w:val="0"/>
        <w:keepNext w:val="0"/>
        <w:keepLines w:val="0"/>
        <w:shd w:val="clear" w:color="auto" w:fill="auto"/>
        <w:bidi w:val="0"/>
        <w:jc w:val="left"/>
        <w:spacing w:before="0" w:after="0" w:line="206" w:lineRule="exact"/>
        <w:ind w:left="740" w:right="0" w:hanging="220"/>
      </w:pPr>
      <w:r>
        <w:rPr>
          <w:lang w:val="ru-RU" w:eastAsia="ru-RU" w:bidi="ru-RU"/>
          <w:w w:val="100"/>
          <w:spacing w:val="0"/>
          <w:color w:val="000000"/>
          <w:position w:val="0"/>
        </w:rPr>
        <w:t xml:space="preserve">связанный с хромосомой </w:t>
      </w:r>
      <w:r>
        <w:rPr>
          <w:lang w:val="en-US" w:eastAsia="en-US" w:bidi="en-US"/>
          <w:w w:val="100"/>
          <w:spacing w:val="0"/>
          <w:color w:val="000000"/>
          <w:position w:val="0"/>
        </w:rPr>
        <w:t xml:space="preserve">7q3 </w:t>
      </w:r>
      <w:r>
        <w:rPr>
          <w:lang w:val="ru-RU" w:eastAsia="ru-RU" w:bidi="ru-RU"/>
          <w:w w:val="100"/>
          <w:spacing w:val="0"/>
          <w:color w:val="000000"/>
          <w:position w:val="0"/>
        </w:rPr>
        <w:t>и синдром Вольфа- Паркинсона-Уайта.</w:t>
      </w:r>
    </w:p>
    <w:p>
      <w:pPr>
        <w:pStyle w:val="Style30"/>
        <w:widowControl w:val="0"/>
        <w:keepNext w:val="0"/>
        <w:keepLines w:val="0"/>
        <w:shd w:val="clear" w:color="auto" w:fill="auto"/>
        <w:bidi w:val="0"/>
        <w:jc w:val="left"/>
        <w:spacing w:before="0" w:after="0" w:line="206" w:lineRule="exact"/>
        <w:ind w:left="520" w:right="0" w:firstLine="0"/>
      </w:pPr>
      <w:r>
        <w:rPr>
          <w:lang w:val="ru-RU" w:eastAsia="ru-RU" w:bidi="ru-RU"/>
          <w:w w:val="100"/>
          <w:spacing w:val="0"/>
          <w:color w:val="000000"/>
          <w:position w:val="0"/>
        </w:rPr>
        <w:t>Семейная кардиомиопатия с множественной делеци- ей митохондриальной ДНК.</w:t>
      </w:r>
    </w:p>
    <w:p>
      <w:pPr>
        <w:pStyle w:val="Style30"/>
        <w:widowControl w:val="0"/>
        <w:keepNext w:val="0"/>
        <w:keepLines w:val="0"/>
        <w:shd w:val="clear" w:color="auto" w:fill="auto"/>
        <w:bidi w:val="0"/>
        <w:jc w:val="left"/>
        <w:spacing w:before="0" w:after="0" w:line="206" w:lineRule="exact"/>
        <w:ind w:left="520" w:right="0" w:firstLine="0"/>
      </w:pPr>
      <w:r>
        <w:rPr>
          <w:lang w:val="ru-RU" w:eastAsia="ru-RU" w:bidi="ru-RU"/>
          <w:w w:val="100"/>
          <w:spacing w:val="0"/>
          <w:color w:val="000000"/>
          <w:position w:val="0"/>
        </w:rPr>
        <w:t>Семейная дилатационная кардиомиопатия, связан</w:t>
        <w:softHyphen/>
        <w:t xml:space="preserve">ная с хромосомой </w:t>
      </w:r>
      <w:r>
        <w:rPr>
          <w:lang w:val="en-US" w:eastAsia="en-US" w:bidi="en-US"/>
          <w:w w:val="100"/>
          <w:spacing w:val="0"/>
          <w:color w:val="000000"/>
          <w:position w:val="0"/>
        </w:rPr>
        <w:t>1p.</w:t>
      </w:r>
    </w:p>
    <w:p>
      <w:pPr>
        <w:pStyle w:val="Style30"/>
        <w:widowControl w:val="0"/>
        <w:keepNext w:val="0"/>
        <w:keepLines w:val="0"/>
        <w:shd w:val="clear" w:color="auto" w:fill="auto"/>
        <w:bidi w:val="0"/>
        <w:jc w:val="left"/>
        <w:spacing w:before="0" w:after="0" w:line="206" w:lineRule="exact"/>
        <w:ind w:left="520" w:right="0" w:firstLine="0"/>
      </w:pPr>
      <w:r>
        <w:rPr>
          <w:lang w:val="ru-RU" w:eastAsia="ru-RU" w:bidi="ru-RU"/>
          <w:w w:val="100"/>
          <w:spacing w:val="0"/>
          <w:color w:val="000000"/>
          <w:position w:val="0"/>
        </w:rPr>
        <w:t>Семейная рестриктивная кардиомиопатия. Пергаментный правый желудочек и аритмогенная дисплазия правого желудочка.</w:t>
      </w:r>
    </w:p>
    <w:p>
      <w:pPr>
        <w:pStyle w:val="Style30"/>
        <w:widowControl w:val="0"/>
        <w:keepNext w:val="0"/>
        <w:keepLines w:val="0"/>
        <w:shd w:val="clear" w:color="auto" w:fill="auto"/>
        <w:bidi w:val="0"/>
        <w:jc w:val="left"/>
        <w:spacing w:before="0" w:after="0" w:line="206" w:lineRule="exact"/>
        <w:ind w:left="520" w:right="0" w:firstLine="0"/>
      </w:pPr>
      <w:r>
        <w:rPr>
          <w:lang w:val="ru-RU" w:eastAsia="ru-RU" w:bidi="ru-RU"/>
          <w:w w:val="100"/>
          <w:spacing w:val="0"/>
          <w:color w:val="000000"/>
          <w:position w:val="0"/>
        </w:rPr>
        <w:t>Некомпактный левый желудочек.</w:t>
      </w:r>
    </w:p>
    <w:p>
      <w:pPr>
        <w:pStyle w:val="Style30"/>
        <w:widowControl w:val="0"/>
        <w:keepNext w:val="0"/>
        <w:keepLines w:val="0"/>
        <w:shd w:val="clear" w:color="auto" w:fill="auto"/>
        <w:bidi w:val="0"/>
        <w:spacing w:before="0" w:after="0" w:line="206" w:lineRule="exact"/>
        <w:ind w:left="0" w:right="0" w:firstLine="280"/>
      </w:pPr>
      <w:r>
        <w:rPr>
          <w:lang w:val="en-US" w:eastAsia="en-US" w:bidi="en-US"/>
          <w:w w:val="100"/>
          <w:spacing w:val="0"/>
          <w:color w:val="000000"/>
          <w:position w:val="0"/>
        </w:rPr>
        <w:t>X</w:t>
      </w:r>
      <w:r>
        <w:rPr>
          <w:lang w:val="ru-RU" w:eastAsia="ru-RU" w:bidi="ru-RU"/>
          <w:w w:val="100"/>
          <w:spacing w:val="0"/>
          <w:color w:val="000000"/>
          <w:position w:val="0"/>
        </w:rPr>
        <w:t>-сцепленное наследование</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Дилатационная кардиомиопатия (дефект дистрофина).</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Аутосомно-рецессивное наследование</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Дефицит сердечной фосфорилазкиназы.</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Семейная дилатационная кардиомиопатия.</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Семейная гипертрофическая кардиомиопатия.</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Митохондриальное наследование</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en-US" w:eastAsia="en-US" w:bidi="en-US"/>
          <w:w w:val="100"/>
          <w:spacing w:val="0"/>
          <w:color w:val="000000"/>
          <w:position w:val="0"/>
        </w:rPr>
        <w:t>C3303T tRNA Leu.</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en-US" w:eastAsia="en-US" w:bidi="en-US"/>
          <w:w w:val="100"/>
          <w:spacing w:val="0"/>
          <w:color w:val="000000"/>
          <w:position w:val="0"/>
        </w:rPr>
        <w:t>T9997C tRNA Gly</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Хотя в большинстве случаев изолированные КМП не име</w:t>
        <w:softHyphen/>
        <w:t>ют характерных клинических паттернов и рассматриваются, как идиопатические, идентификация специфичных мутаций ДНК и аномалий структуры протеинов в ряде случаев обеспе</w:t>
        <w:softHyphen/>
        <w:t>чивает базу для выяснения этиологического фактора.</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Диагностика наследственных КМП, основанная на клини</w:t>
        <w:softHyphen/>
        <w:t>ческих данных</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Существует немного патогномоничных данных, выявля</w:t>
        <w:softHyphen/>
        <w:t>емых при обследовании сердца, ассоциированных с КМП. В основном это данные ЭКГ-исследования (на</w:t>
        <w:softHyphen/>
        <w:t xml:space="preserve">пример, укороченный </w:t>
      </w:r>
      <w:r>
        <w:rPr>
          <w:lang w:val="en-US" w:eastAsia="en-US" w:bidi="en-US"/>
          <w:w w:val="100"/>
          <w:spacing w:val="0"/>
          <w:color w:val="000000"/>
          <w:position w:val="0"/>
        </w:rPr>
        <w:t>PR</w:t>
      </w:r>
      <w:r>
        <w:rPr>
          <w:lang w:val="ru-RU" w:eastAsia="ru-RU" w:bidi="ru-RU"/>
          <w:w w:val="100"/>
          <w:spacing w:val="0"/>
          <w:color w:val="000000"/>
          <w:position w:val="0"/>
        </w:rPr>
        <w:t xml:space="preserve">-интервал, гигантский вольтаж </w:t>
      </w:r>
      <w:r>
        <w:rPr>
          <w:lang w:val="en-US" w:eastAsia="en-US" w:bidi="en-US"/>
          <w:w w:val="100"/>
          <w:spacing w:val="0"/>
          <w:color w:val="000000"/>
          <w:position w:val="0"/>
        </w:rPr>
        <w:t xml:space="preserve">QRS </w:t>
      </w:r>
      <w:r>
        <w:rPr>
          <w:lang w:val="ru-RU" w:eastAsia="ru-RU" w:bidi="ru-RU"/>
          <w:w w:val="100"/>
          <w:spacing w:val="0"/>
          <w:color w:val="000000"/>
          <w:position w:val="0"/>
        </w:rPr>
        <w:t>комплекса при болезни Помпе). Именно из этих пози</w:t>
        <w:softHyphen/>
        <w:t>ций клиника нуждается в проведении комплексного кли</w:t>
        <w:softHyphen/>
        <w:t>нического и лабораторного исследования, позволяющего повысить уровень и качество диагностики.</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Пациенты с врожденными нарушениями метаболизма, включающими патологию энергообмена или аккумуляцию токсических метаболитов, зачастую сочетают симптомы полиорганной дисфункции. В случаях, когда энергетичес</w:t>
        <w:softHyphen/>
        <w:t>кие потребности клетки высоки (например, во время тече</w:t>
        <w:softHyphen/>
        <w:t>ния заболевания, физического стресса, при недостатке али</w:t>
        <w:softHyphen/>
        <w:t>ментарного фактора), клетка с нарушением функции энер</w:t>
        <w:softHyphen/>
        <w:t>гетического обмена не способна поддерживать гомеостаз на должном уровне. В результате этого развиваются метаболи</w:t>
        <w:softHyphen/>
        <w:t>ческие нарушения, проявляющиеся гипогликемией, мета</w:t>
        <w:softHyphen/>
        <w:t>болическим ацидозом и/или гипераммониемией. Показа</w:t>
        <w:softHyphen/>
        <w:t>ния для скрининга аномалий на биохимическом уровне включают следующие симптомокомплексы:</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Хроническая энцефалопатия.</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Мышечная слабость.</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Мышечная гипотония.</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Задержка роста.</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Рецидивирующая рвота.</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Летаргия.</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В противоположность этому у пациентов с болезнями накопления, которые не могут метаболизировать опреде</w:t>
        <w:softHyphen/>
        <w:t>ленные структурные клеточные компоненты, формируют</w:t>
        <w:softHyphen/>
        <w:t>ся черты дизморфного статуса, органомегалия, низкий рост или хроническая энцефалопатия, ассоциированная с ней</w:t>
        <w:softHyphen/>
        <w:t>родегенеративными процессами. Дизморфные черты могут являться проявлением как синдромов, сочетанных с маль</w:t>
        <w:softHyphen/>
        <w:t>формациями, так и болезней накопления. Должны быть ис</w:t>
        <w:softHyphen/>
        <w:t>ключены как большие, так и малые аномалии.</w:t>
      </w:r>
    </w:p>
    <w:p>
      <w:pPr>
        <w:pStyle w:val="Style30"/>
        <w:widowControl w:val="0"/>
        <w:keepNext w:val="0"/>
        <w:keepLines w:val="0"/>
        <w:shd w:val="clear" w:color="auto" w:fill="auto"/>
        <w:bidi w:val="0"/>
        <w:spacing w:before="0" w:after="0" w:line="206" w:lineRule="exact"/>
        <w:ind w:left="0" w:right="0" w:firstLine="280"/>
      </w:pPr>
      <w:r>
        <w:br w:type="column"/>
      </w:r>
      <w:r>
        <w:rPr>
          <w:lang w:val="ru-RU" w:eastAsia="ru-RU" w:bidi="ru-RU"/>
          <w:w w:val="100"/>
          <w:spacing w:val="0"/>
          <w:color w:val="000000"/>
          <w:position w:val="0"/>
        </w:rPr>
        <w:t>На первичные нейромышечные изменения могут указы - вать симптомы мышечной слабости в отсутствие энцефало</w:t>
        <w:softHyphen/>
        <w:t>патии, в результате патологии энергетического обмена. У этих пациентов симптомы слабости скелетной мускулату</w:t>
        <w:softHyphen/>
        <w:t>ры обычно предшествуют развитию КМП и доминируют в клинике заболевания. Однако симптомы вовлечения ске</w:t>
        <w:softHyphen/>
        <w:t>летной мускулатуры в патологический процесс не всегда являются заметными, и первыми симптомами заболевания в этом случае являются симптомы поражения сердца.</w:t>
      </w:r>
    </w:p>
    <w:p>
      <w:pPr>
        <w:pStyle w:val="Style30"/>
        <w:widowControl w:val="0"/>
        <w:keepNext w:val="0"/>
        <w:keepLines w:val="0"/>
        <w:shd w:val="clear" w:color="auto" w:fill="auto"/>
        <w:bidi w:val="0"/>
        <w:spacing w:before="0" w:after="229" w:line="206" w:lineRule="exact"/>
        <w:ind w:left="0" w:right="0" w:firstLine="280"/>
      </w:pPr>
      <w:r>
        <w:rPr>
          <w:lang w:val="ru-RU" w:eastAsia="ru-RU" w:bidi="ru-RU"/>
          <w:w w:val="100"/>
          <w:spacing w:val="0"/>
          <w:color w:val="000000"/>
          <w:position w:val="0"/>
        </w:rPr>
        <w:t>Отсутствие взаимосвязи между данными физикальных методов исследования и отклонениями в биохимических по - казателях может свидетельствовать об изолированной се</w:t>
        <w:softHyphen/>
        <w:t>мейной КМП или о ранних этапах манифестации мультиси</w:t>
        <w:softHyphen/>
        <w:t>стемного заболевания, что требует проведения комплексно</w:t>
        <w:softHyphen/>
        <w:t>го обследования. Эндомиокардиальная биопсия позволяет сузить спектр нозологий генетического характера, рассмат</w:t>
        <w:softHyphen/>
        <w:t>риваемых в разделе дифференциального диагноза, или под</w:t>
        <w:softHyphen/>
        <w:t>твердить негенетическую природу заболевания. Клинически не проявляющие себя КМП чаще всего диагностируются на аутопсии. Выявленные данные физикального обследования и лабораторные данные, ассоциированные с КМП, позволя</w:t>
        <w:softHyphen/>
        <w:t>ют обеспечить клиническую диагностику.</w:t>
      </w:r>
    </w:p>
    <w:p>
      <w:pPr>
        <w:pStyle w:val="Style28"/>
        <w:widowControl w:val="0"/>
        <w:keepNext/>
        <w:keepLines/>
        <w:shd w:val="clear" w:color="auto" w:fill="auto"/>
        <w:bidi w:val="0"/>
        <w:jc w:val="left"/>
        <w:spacing w:before="0" w:after="161" w:line="220" w:lineRule="exact"/>
        <w:ind w:left="0" w:right="0" w:firstLine="0"/>
      </w:pPr>
      <w:bookmarkStart w:id="486" w:name="bookmark486"/>
      <w:r>
        <w:rPr>
          <w:lang w:val="ru-RU" w:eastAsia="ru-RU" w:bidi="ru-RU"/>
          <w:w w:val="100"/>
          <w:spacing w:val="0"/>
          <w:color w:val="000000"/>
          <w:position w:val="0"/>
        </w:rPr>
        <w:t>Ревматизм</w:t>
      </w:r>
      <w:bookmarkEnd w:id="486"/>
    </w:p>
    <w:p>
      <w:pPr>
        <w:pStyle w:val="Style92"/>
        <w:widowControl w:val="0"/>
        <w:keepNext/>
        <w:keepLines/>
        <w:shd w:val="clear" w:color="auto" w:fill="auto"/>
        <w:bidi w:val="0"/>
        <w:spacing w:before="0" w:after="0" w:line="206" w:lineRule="exact"/>
        <w:ind w:left="0" w:right="0" w:firstLine="280"/>
      </w:pPr>
      <w:bookmarkStart w:id="487" w:name="bookmark487"/>
      <w:r>
        <w:rPr>
          <w:lang w:val="ru-RU" w:eastAsia="ru-RU" w:bidi="ru-RU"/>
          <w:w w:val="100"/>
          <w:spacing w:val="0"/>
          <w:color w:val="000000"/>
          <w:position w:val="0"/>
        </w:rPr>
        <w:t>Частота</w:t>
      </w:r>
      <w:bookmarkEnd w:id="487"/>
    </w:p>
    <w:p>
      <w:pPr>
        <w:pStyle w:val="Style30"/>
        <w:numPr>
          <w:ilvl w:val="0"/>
          <w:numId w:val="79"/>
        </w:numPr>
        <w:tabs>
          <w:tab w:leader="none" w:pos="513"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Частота ревматизма у детей составляет 0,3-0,8 на 1000</w:t>
      </w:r>
    </w:p>
    <w:p>
      <w:pPr>
        <w:pStyle w:val="Style30"/>
        <w:numPr>
          <w:ilvl w:val="0"/>
          <w:numId w:val="79"/>
        </w:numPr>
        <w:tabs>
          <w:tab w:leader="none" w:pos="513" w:val="left"/>
        </w:tabs>
        <w:widowControl w:val="0"/>
        <w:keepNext w:val="0"/>
        <w:keepLines w:val="0"/>
        <w:shd w:val="clear" w:color="auto" w:fill="auto"/>
        <w:bidi w:val="0"/>
        <w:jc w:val="left"/>
        <w:spacing w:before="0" w:after="0" w:line="206" w:lineRule="exact"/>
        <w:ind w:left="520" w:right="0" w:hanging="240"/>
      </w:pPr>
      <w:r>
        <w:rPr>
          <w:lang w:val="ru-RU" w:eastAsia="ru-RU" w:bidi="ru-RU"/>
          <w:w w:val="100"/>
          <w:spacing w:val="0"/>
          <w:color w:val="000000"/>
          <w:position w:val="0"/>
        </w:rPr>
        <w:t>Частота ревматической лихорадки определяется мно</w:t>
        <w:softHyphen/>
        <w:t>гими факторами, основными из которых являются:</w:t>
      </w:r>
    </w:p>
    <w:p>
      <w:pPr>
        <w:pStyle w:val="Style30"/>
        <w:numPr>
          <w:ilvl w:val="0"/>
          <w:numId w:val="79"/>
        </w:numPr>
        <w:tabs>
          <w:tab w:leader="none" w:pos="755" w:val="left"/>
        </w:tabs>
        <w:widowControl w:val="0"/>
        <w:keepNext w:val="0"/>
        <w:keepLines w:val="0"/>
        <w:shd w:val="clear" w:color="auto" w:fill="auto"/>
        <w:bidi w:val="0"/>
        <w:spacing w:before="0" w:after="0" w:line="206" w:lineRule="exact"/>
        <w:ind w:left="740" w:right="0" w:hanging="220"/>
      </w:pPr>
      <w:r>
        <w:rPr>
          <w:lang w:val="ru-RU" w:eastAsia="ru-RU" w:bidi="ru-RU"/>
          <w:w w:val="100"/>
          <w:spacing w:val="0"/>
          <w:color w:val="000000"/>
          <w:position w:val="0"/>
        </w:rPr>
        <w:t>Социально-экономический статус Частота стреп</w:t>
        <w:softHyphen/>
        <w:t>тококковой инфекции и вирулентности бактери</w:t>
        <w:softHyphen/>
        <w:t>ального штамма</w:t>
      </w:r>
    </w:p>
    <w:p>
      <w:pPr>
        <w:pStyle w:val="Style30"/>
        <w:numPr>
          <w:ilvl w:val="0"/>
          <w:numId w:val="79"/>
        </w:numPr>
        <w:tabs>
          <w:tab w:leader="none" w:pos="755" w:val="left"/>
        </w:tabs>
        <w:widowControl w:val="0"/>
        <w:keepNext w:val="0"/>
        <w:keepLines w:val="0"/>
        <w:shd w:val="clear" w:color="auto" w:fill="auto"/>
        <w:bidi w:val="0"/>
        <w:spacing w:before="0" w:after="0" w:line="206" w:lineRule="exact"/>
        <w:ind w:left="740" w:right="0" w:hanging="220"/>
      </w:pPr>
      <w:r>
        <w:rPr>
          <w:lang w:val="ru-RU" w:eastAsia="ru-RU" w:bidi="ru-RU"/>
          <w:w w:val="100"/>
          <w:spacing w:val="0"/>
          <w:color w:val="000000"/>
          <w:position w:val="0"/>
        </w:rPr>
        <w:t>Частота инфекции возрастает в холодное время го - да и в период учебы в школе, когда повышен риск стрептококковой инфекции.</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Ревматизм встречается с одинаковой частотой у мальчи</w:t>
        <w:softHyphen/>
        <w:t>ков и девочек.</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Поскольку пролапс митрального клапана (предраспола</w:t>
        <w:softHyphen/>
        <w:t>гающий фактор) чаще наблюдается у девочек, в подростко</w:t>
        <w:softHyphen/>
        <w:t>вом возрасте можно полагать некоторое его преобладание.</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Наиболее часто ревматизм отмечается у детей 5-15 лет.</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Причины</w:t>
      </w:r>
    </w:p>
    <w:p>
      <w:pPr>
        <w:pStyle w:val="Style30"/>
        <w:numPr>
          <w:ilvl w:val="0"/>
          <w:numId w:val="79"/>
        </w:numPr>
        <w:tabs>
          <w:tab w:leader="none" w:pos="513" w:val="left"/>
        </w:tabs>
        <w:widowControl w:val="0"/>
        <w:keepNext w:val="0"/>
        <w:keepLines w:val="0"/>
        <w:shd w:val="clear" w:color="auto" w:fill="auto"/>
        <w:bidi w:val="0"/>
        <w:jc w:val="left"/>
        <w:spacing w:before="0" w:after="0" w:line="206" w:lineRule="exact"/>
        <w:ind w:left="520" w:right="0" w:hanging="240"/>
      </w:pPr>
      <w:r>
        <w:rPr>
          <w:lang w:val="ru-RU" w:eastAsia="ru-RU" w:bidi="ru-RU"/>
          <w:w w:val="100"/>
          <w:spacing w:val="0"/>
          <w:color w:val="000000"/>
          <w:position w:val="0"/>
        </w:rPr>
        <w:t>Ревматизм обусловлен стрептококковой инфекцией, обычно передающейся через респираторный тракт.</w:t>
      </w:r>
    </w:p>
    <w:p>
      <w:pPr>
        <w:pStyle w:val="Style30"/>
        <w:numPr>
          <w:ilvl w:val="0"/>
          <w:numId w:val="79"/>
        </w:numPr>
        <w:tabs>
          <w:tab w:leader="none" w:pos="513" w:val="left"/>
        </w:tabs>
        <w:widowControl w:val="0"/>
        <w:keepNext w:val="0"/>
        <w:keepLines w:val="0"/>
        <w:shd w:val="clear" w:color="auto" w:fill="auto"/>
        <w:bidi w:val="0"/>
        <w:jc w:val="left"/>
        <w:spacing w:before="0" w:after="0" w:line="206" w:lineRule="exact"/>
        <w:ind w:left="520" w:right="0" w:hanging="240"/>
      </w:pPr>
      <w:r>
        <w:rPr>
          <w:lang w:val="ru-RU" w:eastAsia="ru-RU" w:bidi="ru-RU"/>
          <w:w w:val="100"/>
          <w:spacing w:val="0"/>
          <w:color w:val="000000"/>
          <w:position w:val="0"/>
        </w:rPr>
        <w:t>Хотя стрептококковые инфекции кожи также явля</w:t>
        <w:softHyphen/>
        <w:t>ются чрезвычайно частыми, не отмечено.</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Острая ревматическая лихорадка обусловлена заражени</w:t>
        <w:softHyphen/>
        <w:t>ем стрептококковой инфекцией группы А. Стрептококко</w:t>
        <w:softHyphen/>
        <w:t>вая инфекция обычно поступает через верхние пути. На</w:t>
        <w:softHyphen/>
        <w:t>иболее значимыми в эпидемиологии ревматизма считаются такие штаммы, как М-типы 1.3. 5.6. 14. 18.19.27 и 29. А стрептококковая инфекция, обычно верхнего дыхатель</w:t>
        <w:softHyphen/>
        <w:t xml:space="preserve">ного тракта. Один </w:t>
      </w:r>
      <w:r>
        <w:rPr>
          <w:lang w:val="en-US" w:eastAsia="en-US" w:bidi="en-US"/>
          <w:w w:val="100"/>
          <w:spacing w:val="0"/>
          <w:color w:val="000000"/>
          <w:position w:val="0"/>
        </w:rPr>
        <w:t>beta</w:t>
      </w:r>
      <w:r>
        <w:rPr>
          <w:lang w:val="ru-RU" w:eastAsia="ru-RU" w:bidi="ru-RU"/>
          <w:w w:val="100"/>
          <w:spacing w:val="0"/>
          <w:color w:val="000000"/>
          <w:position w:val="0"/>
        </w:rPr>
        <w:t>-стрептококковый серотип (напри</w:t>
        <w:softHyphen/>
        <w:t>мер, М-типы 3, 5, 18, 19, 24) связан непосредственно с ост</w:t>
        <w:softHyphen/>
        <w:t>рой ревматической лихорадкой.</w:t>
      </w:r>
    </w:p>
    <w:p>
      <w:pPr>
        <w:pStyle w:val="Style30"/>
        <w:widowControl w:val="0"/>
        <w:keepNext w:val="0"/>
        <w:keepLines w:val="0"/>
        <w:shd w:val="clear" w:color="auto" w:fill="auto"/>
        <w:bidi w:val="0"/>
        <w:spacing w:before="0" w:after="0" w:line="206" w:lineRule="exact"/>
        <w:ind w:left="0" w:right="0" w:firstLine="280"/>
      </w:pPr>
      <w:r>
        <w:pict>
          <v:shape id="_x0000_s1453" type="#_x0000_t75" style="position:absolute;margin-left:136.8pt;margin-top:736.8pt;width:209.75pt;height:14.9pt;z-index:-125829094;mso-wrap-distance-left:136.8pt;mso-wrap-distance-right:148.1pt;mso-wrap-distance-bottom:10.8pt;mso-position-horizontal-relative:margin;mso-position-vertical-relative:margin" wrapcoords="0 0 21600 0 21600 21600 0 21600 0 0">
            <v:imagedata r:id="rId711" r:href="rId712"/>
            <w10:wrap type="topAndBottom" anchorx="margin" anchory="margin"/>
          </v:shape>
        </w:pict>
      </w:r>
      <w:r>
        <w:rPr>
          <w:lang w:val="ru-RU" w:eastAsia="ru-RU" w:bidi="ru-RU"/>
          <w:w w:val="100"/>
          <w:spacing w:val="0"/>
          <w:color w:val="000000"/>
          <w:position w:val="0"/>
        </w:rPr>
        <w:t>Стрептококковая инфекция группы А может протекать как обычная и высоковирулентная инфекция, вызывающая и гнойные воспалительные процессы, и генерализованные токсические шокоподобные синдромы (И.М. Воронцов). В последние годы отмечается возрастание частоты развития таких инфекций и синдромов. В перечень заболеваний входят:</w:t>
      </w:r>
      <w:r>
        <w:br w:type="page"/>
      </w:r>
    </w:p>
    <w:p>
      <w:pPr>
        <w:pStyle w:val="Style30"/>
        <w:widowControl w:val="0"/>
        <w:keepNext w:val="0"/>
        <w:keepLines w:val="0"/>
        <w:shd w:val="clear" w:color="auto" w:fill="auto"/>
        <w:bidi w:val="0"/>
        <w:spacing w:before="0" w:after="0" w:line="206" w:lineRule="exact"/>
        <w:ind w:left="0" w:right="0" w:firstLine="0"/>
      </w:pPr>
      <w:r>
        <w:rPr>
          <w:lang w:val="ru-RU" w:eastAsia="ru-RU" w:bidi="ru-RU"/>
          <w:w w:val="100"/>
          <w:spacing w:val="0"/>
          <w:color w:val="000000"/>
          <w:position w:val="0"/>
        </w:rPr>
        <w:t>стрептококковые инфекции дыхательных путей, тонзиллиты, фарингиты, их осложнения — шейные лимфадениты, пери- тонзиллярные и заглоточные абсцессы, синуситы, мастоиди</w:t>
        <w:softHyphen/>
        <w:t>ты, средний отит, пневмонии, кожные заболевания, как по</w:t>
        <w:softHyphen/>
        <w:t>верхностные пиодермии (импетиго), так и глубокие пораже</w:t>
        <w:softHyphen/>
        <w:t>ния. Штаммы микроба, выделяющие протеиназы, могут вы</w:t>
        <w:softHyphen/>
        <w:t>зывать распространенные некротизирующие процессы в ко</w:t>
        <w:softHyphen/>
        <w:t>же, подкожной клетчатке (целлюлиты), а также фасцииты и миозиты. В качестве характерных поражений для стрепто</w:t>
        <w:softHyphen/>
        <w:t>кокка описывают вульвиты-вагиниты у девочек препубертат</w:t>
        <w:softHyphen/>
        <w:t>ного возраста и перианальные дерматиты и проктиты у детей обоего пола. Не являются редкостью и генерализации стреп</w:t>
        <w:softHyphen/>
        <w:t>тококковой инфекции с клиникой менингита, сепсиса или бактериального миокардита. Но наибольшую угрозу для жиз</w:t>
        <w:softHyphen/>
        <w:t>ни пациента представляет шокоподобный токсический синд</w:t>
        <w:softHyphen/>
        <w:t>ром. Его клинико-лабораторные критерии приводятся ниже.</w:t>
      </w:r>
    </w:p>
    <w:p>
      <w:pPr>
        <w:pStyle w:val="Style30"/>
        <w:widowControl w:val="0"/>
        <w:keepNext w:val="0"/>
        <w:keepLines w:val="0"/>
        <w:shd w:val="clear" w:color="auto" w:fill="auto"/>
        <w:bidi w:val="0"/>
        <w:spacing w:before="0" w:after="0" w:line="206" w:lineRule="exact"/>
        <w:ind w:left="280" w:right="0" w:firstLine="0"/>
      </w:pPr>
      <w:r>
        <w:rPr>
          <w:lang w:val="ru-RU" w:eastAsia="ru-RU" w:bidi="ru-RU"/>
          <w:w w:val="100"/>
          <w:spacing w:val="0"/>
          <w:color w:val="000000"/>
          <w:position w:val="0"/>
        </w:rPr>
        <w:t>Критерии стрептококкового токсического шокоподоб</w:t>
        <w:softHyphen/>
        <w:t xml:space="preserve">ного синдрома </w:t>
      </w:r>
      <w:r>
        <w:rPr>
          <w:lang w:val="en-US" w:eastAsia="en-US" w:bidi="en-US"/>
          <w:w w:val="100"/>
          <w:spacing w:val="0"/>
          <w:color w:val="000000"/>
          <w:position w:val="0"/>
        </w:rPr>
        <w:t>(STSS):</w:t>
      </w:r>
    </w:p>
    <w:p>
      <w:pPr>
        <w:pStyle w:val="Style30"/>
        <w:numPr>
          <w:ilvl w:val="0"/>
          <w:numId w:val="81"/>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диссеминированное внутрисосудистое свертывание крови;</w:t>
      </w:r>
    </w:p>
    <w:p>
      <w:pPr>
        <w:pStyle w:val="Style30"/>
        <w:numPr>
          <w:ilvl w:val="0"/>
          <w:numId w:val="81"/>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поражение почек;</w:t>
      </w:r>
    </w:p>
    <w:p>
      <w:pPr>
        <w:pStyle w:val="Style30"/>
        <w:numPr>
          <w:ilvl w:val="0"/>
          <w:numId w:val="81"/>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поражение печени;</w:t>
      </w:r>
    </w:p>
    <w:p>
      <w:pPr>
        <w:pStyle w:val="Style30"/>
        <w:numPr>
          <w:ilvl w:val="0"/>
          <w:numId w:val="81"/>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респираторный дистресс-синдром взрослого типа;</w:t>
      </w:r>
    </w:p>
    <w:p>
      <w:pPr>
        <w:pStyle w:val="Style30"/>
        <w:numPr>
          <w:ilvl w:val="0"/>
          <w:numId w:val="81"/>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скарлатиноподобная сыпь;</w:t>
      </w:r>
    </w:p>
    <w:p>
      <w:pPr>
        <w:pStyle w:val="Style30"/>
        <w:numPr>
          <w:ilvl w:val="0"/>
          <w:numId w:val="81"/>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некротические изменения мягких тканей.</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Болезнь вовлекает сердце, суставы, центральную нерв</w:t>
        <w:softHyphen/>
        <w:t>ную систему, кожу и подкожную клетчатку. Воспаление но</w:t>
        <w:softHyphen/>
        <w:t>сит экссудативный и пролиферативный характер с пораже</w:t>
        <w:softHyphen/>
        <w:t>нием соединительной ткани, особенно сердца, суставов, кровеносных сосудов и подкожной ткани.</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Общая морфология ревматизма</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Изменения соединительной ткани носят стадийный ха</w:t>
        <w:softHyphen/>
        <w:t>рактер. Продуктивное воспаление может носить распро</w:t>
        <w:softHyphen/>
        <w:t>страненный неспецифический характер, реже — очаговый с формированием ревматических гранулем, в развитии кото</w:t>
        <w:softHyphen/>
        <w:t>рых выделяют три стадии:</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Стадия становления — вокруг очага фибриноидного некроза лимфоциты и макрофаги. Затем макрофаги укрупняются, цитоплазма их становится базофиль- ной, хроматин скапливается в центральной части яд</w:t>
        <w:softHyphen/>
        <w:t>ра («клетки-гусеницы», «глазастые клетки» по Сквор</w:t>
        <w:softHyphen/>
        <w:t>цову, клетки «совиный глаз»).</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Стадия расцвета — фиксируется, когда сформирова</w:t>
        <w:softHyphen/>
        <w:t>лись «глазастые клетки».</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Стадия регресса — фибриноид рассасывается макро - фагами, они погибают или эмигрируют, но выделен</w:t>
        <w:softHyphen/>
        <w:t>ные ими монокины стимулируют фибробласты, кото</w:t>
        <w:softHyphen/>
        <w:t>рые продуцируют коллагеновые волокна. Фиброблас</w:t>
        <w:softHyphen/>
        <w:t>ты крупные, сочные, между ними определяются тон</w:t>
        <w:softHyphen/>
        <w:t>кие коллагеновые волоконца, в результате формирует</w:t>
        <w:softHyphen/>
        <w:t>ся волокнисто-клеточный рубец. Если же резорбция фибриноида макрофагами не произошла, то развива</w:t>
        <w:softHyphen/>
        <w:t>ется гиалиноз (бесклеточный, безволокнистый рубец).</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Органная морфология ревматизма</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Сердце. Страдают все три оболочки — эндокард, мио</w:t>
        <w:softHyphen/>
        <w:t>кард и перикард.</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Поражения эндокарда — эндокардиты, по локализации могут быть:</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клапанные;</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пристеночные;</w:t>
      </w:r>
    </w:p>
    <w:p>
      <w:pPr>
        <w:pStyle w:val="Style30"/>
        <w:numPr>
          <w:ilvl w:val="0"/>
          <w:numId w:val="79"/>
        </w:numPr>
        <w:tabs>
          <w:tab w:leader="none" w:pos="515"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хордальные.</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По частоте поражения клапанов на 1-ом месте находится митральный (65-70%), на 2-ом — одновременное поражение митрального и аортального (25%), на 3-ем — аортальный</w:t>
        <w:br w:type="column"/>
        <w:t>(5-10%). Клапаны правой половины сердца поражаются редко и, как правило, в сочетании с поражением слева.</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По морфологии различают следующие типы ревматиче</w:t>
        <w:softHyphen/>
        <w:t>ского эндокардита:</w:t>
      </w:r>
    </w:p>
    <w:p>
      <w:pPr>
        <w:pStyle w:val="Style30"/>
        <w:numPr>
          <w:ilvl w:val="0"/>
          <w:numId w:val="79"/>
        </w:numPr>
        <w:tabs>
          <w:tab w:leader="none" w:pos="514"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простой эндокардит (вальвулит Талалаева) — в толще эндокарда возникают очаги мукоидного и фибрино</w:t>
        <w:softHyphen/>
        <w:t>идного набухания. При своевременной адекватной терапии процесс обратимый, может остаться лишь незначительное утолщение. Если патологический процесс не купирован, то развивается;</w:t>
      </w:r>
    </w:p>
    <w:p>
      <w:pPr>
        <w:pStyle w:val="Style30"/>
        <w:numPr>
          <w:ilvl w:val="0"/>
          <w:numId w:val="79"/>
        </w:numPr>
        <w:tabs>
          <w:tab w:leader="none" w:pos="514"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острый бородавчатый эндокардит — развивается на не - измененном клапане, по линии смыкания клапанов формируются эрозии, на них откладывается фибрин с последующей организацией; происходит постепен</w:t>
        <w:softHyphen/>
        <w:t>ное склерозирование клапана, а в исходе развивается васкуляризация (в норме в клапанах кровеносных со</w:t>
        <w:softHyphen/>
        <w:t>судов нет);</w:t>
      </w:r>
    </w:p>
    <w:p>
      <w:pPr>
        <w:pStyle w:val="Style30"/>
        <w:numPr>
          <w:ilvl w:val="0"/>
          <w:numId w:val="79"/>
        </w:numPr>
        <w:tabs>
          <w:tab w:leader="none" w:pos="514"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возвратный бородавчатый эндокардит — развивается на измененном клапане при повторных атаках ревма</w:t>
        <w:softHyphen/>
        <w:t>тизма. При этом может наблюдаться сращение клапа</w:t>
        <w:softHyphen/>
        <w:t>нов по линии смыкания и склероз свободного края + укорочение хордальных (сухожильных) нитей, в ре</w:t>
        <w:softHyphen/>
        <w:t>зультате чего соответственно формируется стеноз ус</w:t>
        <w:softHyphen/>
        <w:t>тья и/или недостаточность клапанов;</w:t>
      </w:r>
    </w:p>
    <w:p>
      <w:pPr>
        <w:pStyle w:val="Style30"/>
        <w:numPr>
          <w:ilvl w:val="0"/>
          <w:numId w:val="79"/>
        </w:numPr>
        <w:tabs>
          <w:tab w:leader="none" w:pos="514"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фибропластический эндокардит — по современным представлениям не является исходом диффузного эн</w:t>
        <w:softHyphen/>
        <w:t>докардита, а представляет собой самостоятельную форму, которая наблюдается при затяжных и латент</w:t>
        <w:softHyphen/>
        <w:t>ных формах ревматизма, когда мукоидные и фибри</w:t>
        <w:softHyphen/>
        <w:t>ноидные изменения в клапане минимальны, но резко выражена фибропластическая реакция. Клапан по</w:t>
        <w:softHyphen/>
        <w:t>степенно утолщается и укорачивается — развивается недостаточность клапанов.</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Поражения миокарда — миокардиты; если преобладают реакции ГНТ — экссудативные, очагового или диффузного характера, если ГЗТ — продуктивные с формированием гранулем (в современных условиях редко). Продуктивное воспаление сопряжено с периваскулярной соединительной тканью, которая вследствие многократного рецидивирова- ния начинает расширяться с формированием отходящих в паренхиму соединительнотканных лучей.</w:t>
      </w:r>
    </w:p>
    <w:p>
      <w:pPr>
        <w:pStyle w:val="Style30"/>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Поражения перикарда — перикардиты, которые могут быть:</w:t>
      </w:r>
    </w:p>
    <w:p>
      <w:pPr>
        <w:pStyle w:val="Style30"/>
        <w:numPr>
          <w:ilvl w:val="0"/>
          <w:numId w:val="81"/>
        </w:numPr>
        <w:tabs>
          <w:tab w:leader="none" w:pos="514"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серозные;</w:t>
      </w:r>
    </w:p>
    <w:p>
      <w:pPr>
        <w:pStyle w:val="Style30"/>
        <w:numPr>
          <w:ilvl w:val="0"/>
          <w:numId w:val="81"/>
        </w:numPr>
        <w:tabs>
          <w:tab w:leader="none" w:pos="514"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серозно-фибринозные.</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Поражения сосудов с развитием разного рода васкулитов (экссудативных, экссудативно-пролиферативных, продук</w:t>
        <w:softHyphen/>
        <w:t>тивных). Видимых дисциркуляторных расстройств, в том числе инфарктов, обычно не наблюдается. В крупных сосу</w:t>
        <w:softHyphen/>
        <w:t xml:space="preserve">дах первые изменения развиваются в </w:t>
      </w:r>
      <w:r>
        <w:rPr>
          <w:lang w:val="en-US" w:eastAsia="en-US" w:bidi="en-US"/>
          <w:w w:val="100"/>
          <w:spacing w:val="0"/>
          <w:color w:val="000000"/>
          <w:position w:val="0"/>
        </w:rPr>
        <w:t>vasa vasorum.</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 xml:space="preserve">Суставы </w:t>
      </w:r>
      <w:r>
        <w:rPr>
          <w:lang w:val="en-US" w:eastAsia="en-US" w:bidi="en-US"/>
          <w:w w:val="100"/>
          <w:spacing w:val="0"/>
          <w:color w:val="000000"/>
          <w:position w:val="0"/>
        </w:rPr>
        <w:t xml:space="preserve">— </w:t>
      </w:r>
      <w:r>
        <w:rPr>
          <w:lang w:val="ru-RU" w:eastAsia="ru-RU" w:bidi="ru-RU"/>
          <w:w w:val="100"/>
          <w:spacing w:val="0"/>
          <w:color w:val="000000"/>
          <w:position w:val="0"/>
        </w:rPr>
        <w:t>страдают преимущественно крупные сочле</w:t>
        <w:softHyphen/>
        <w:t>нения, клиническая манифестация наблюдается при экссу</w:t>
        <w:softHyphen/>
        <w:t>дативной форме. Особенность заключается в том, что ни</w:t>
        <w:softHyphen/>
        <w:t>когда не поражаются суставные хрящи, следовательно, не развиваются анкилозы (как при ревматоидном артрите). В околосуставной ткани формируются очаги фибриноида с лимфо-макрофагальной реакцией, напоминающие рев</w:t>
        <w:softHyphen/>
        <w:t>матические гранулемы (ревматические узелки).</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ЦНС — ревматическое поражение протекает в 2-х вари</w:t>
        <w:softHyphen/>
        <w:t>антах:</w:t>
      </w:r>
    </w:p>
    <w:p>
      <w:pPr>
        <w:pStyle w:val="Style30"/>
        <w:numPr>
          <w:ilvl w:val="0"/>
          <w:numId w:val="79"/>
        </w:numPr>
        <w:tabs>
          <w:tab w:leader="none" w:pos="514" w:val="left"/>
        </w:tabs>
        <w:widowControl w:val="0"/>
        <w:keepNext w:val="0"/>
        <w:keepLines w:val="0"/>
        <w:shd w:val="clear" w:color="auto" w:fill="auto"/>
        <w:bidi w:val="0"/>
        <w:jc w:val="left"/>
        <w:spacing w:before="0" w:after="0" w:line="206" w:lineRule="exact"/>
        <w:ind w:left="520" w:right="0" w:hanging="240"/>
      </w:pPr>
      <w:r>
        <w:rPr>
          <w:lang w:val="ru-RU" w:eastAsia="ru-RU" w:bidi="ru-RU"/>
          <w:w w:val="100"/>
          <w:spacing w:val="0"/>
          <w:color w:val="000000"/>
          <w:position w:val="0"/>
        </w:rPr>
        <w:t>ревматические васкулиты с соответствующими цирку</w:t>
        <w:softHyphen/>
        <w:t>ляторными нарушениями и клиникой;</w:t>
      </w:r>
    </w:p>
    <w:p>
      <w:pPr>
        <w:pStyle w:val="Style30"/>
        <w:numPr>
          <w:ilvl w:val="0"/>
          <w:numId w:val="79"/>
        </w:numPr>
        <w:tabs>
          <w:tab w:leader="none" w:pos="514" w:val="left"/>
        </w:tabs>
        <w:widowControl w:val="0"/>
        <w:keepNext w:val="0"/>
        <w:keepLines w:val="0"/>
        <w:shd w:val="clear" w:color="auto" w:fill="auto"/>
        <w:bidi w:val="0"/>
        <w:spacing w:before="0" w:after="0" w:line="206" w:lineRule="exact"/>
        <w:ind w:left="520" w:right="0" w:hanging="240"/>
      </w:pPr>
      <w:r>
        <w:pict>
          <v:shape id="_x0000_s1454" type="#_x0000_t75" style="position:absolute;margin-left:147.95pt;margin-top:736.8pt;width:209.75pt;height:14.9pt;z-index:-125829093;mso-wrap-distance-left:147.85pt;mso-wrap-distance-right:136.8pt;mso-wrap-distance-bottom:10.8pt;mso-position-horizontal-relative:margin;mso-position-vertical-relative:margin" wrapcoords="0 0 21600 0 21600 21600 0 21600 0 0">
            <v:imagedata r:id="rId713" r:href="rId714"/>
            <w10:wrap type="topAndBottom" anchorx="margin" anchory="margin"/>
          </v:shape>
        </w:pict>
      </w:r>
      <w:r>
        <w:rPr>
          <w:lang w:val="ru-RU" w:eastAsia="ru-RU" w:bidi="ru-RU"/>
          <w:w w:val="100"/>
          <w:spacing w:val="0"/>
          <w:color w:val="000000"/>
          <w:position w:val="0"/>
        </w:rPr>
        <w:t>малая хорея — неврологическое нарушение с непро</w:t>
        <w:softHyphen/>
        <w:t>извольными, бесцельными, быстро происходящими движениями; механизм развития неясен, страдают</w:t>
      </w:r>
      <w:r>
        <w:br w:type="page"/>
      </w:r>
    </w:p>
    <w:p>
      <w:pPr>
        <w:pStyle w:val="Style30"/>
        <w:widowControl w:val="0"/>
        <w:keepNext w:val="0"/>
        <w:keepLines w:val="0"/>
        <w:shd w:val="clear" w:color="auto" w:fill="auto"/>
        <w:bidi w:val="0"/>
        <w:spacing w:before="0" w:after="0" w:line="206" w:lineRule="exact"/>
        <w:ind w:left="520" w:right="0" w:firstLine="0"/>
      </w:pPr>
      <w:r>
        <w:rPr>
          <w:lang w:val="ru-RU" w:eastAsia="ru-RU" w:bidi="ru-RU"/>
          <w:w w:val="100"/>
          <w:spacing w:val="0"/>
          <w:color w:val="000000"/>
          <w:position w:val="0"/>
        </w:rPr>
        <w:t>ядра стриопаллидум, сосуды, как правило, не вовле</w:t>
        <w:softHyphen/>
        <w:t>чены. Кроме того, васкулиты могут развиваться в лю</w:t>
        <w:softHyphen/>
        <w:t>бом возрасте, хорея — только у детей.</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Почки — поражаются сосуды МГЦР, в первую очередь клубочки, развивается гломерулонефрит (ГН), который но</w:t>
        <w:softHyphen/>
        <w:t>сит очаговый характер (диффузный не типичен), форма ГН зависит от состава иммунных комплексов: при наличии стрептококкового антигена — острый ГН, при наличии тка</w:t>
        <w:softHyphen/>
        <w:t>невых антигенов — чаще всего мезангиопролиферативный.</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Иммунная система — в селезенке и лимфатических узлах наблюдается гиперплазия В-зависимых зон с плазматиза- цией мякотных шнуров и красной пульпы. При декомпен</w:t>
        <w:softHyphen/>
        <w:t>сации эти иммунные реакции угнетаются, лимфатические узлы и селезенка могут быть опустошены (лимфоидное ис</w:t>
        <w:softHyphen/>
        <w:t>тощение).</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Легкие — поражается периваскулярная и перибронхи- альная соединительная ткань, иногда — межальвеолярные капилляры, что ведет к развитию асептической ревматиче</w:t>
        <w:softHyphen/>
        <w:t>ской серозной или серозно-десквамативной пневмонии.</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Печень — могут развиваться типичные стадийные изме</w:t>
        <w:softHyphen/>
        <w:t>нения соединительной ткани стромы портальных трактов, но чаще все нивелируется развитием хронического веноз</w:t>
        <w:softHyphen/>
        <w:t>ного полнокровия с формированием «мускатной» печени.</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Кожа. Повреждения кожи имеют форму подкожных узел</w:t>
        <w:softHyphen/>
        <w:t xml:space="preserve">ков или эритемы </w:t>
      </w:r>
      <w:r>
        <w:rPr>
          <w:lang w:val="en-US" w:eastAsia="en-US" w:bidi="en-US"/>
          <w:w w:val="100"/>
          <w:spacing w:val="0"/>
          <w:color w:val="000000"/>
          <w:position w:val="0"/>
        </w:rPr>
        <w:t xml:space="preserve">marginatum </w:t>
      </w:r>
      <w:r>
        <w:rPr>
          <w:lang w:val="ru-RU" w:eastAsia="ru-RU" w:bidi="ru-RU"/>
          <w:w w:val="100"/>
          <w:spacing w:val="0"/>
          <w:color w:val="000000"/>
          <w:position w:val="0"/>
        </w:rPr>
        <w:t xml:space="preserve">и встречаются в 10-60% случаев, чаще у детей. Подкожные узелки по строению напоминают Ашофф-Талалаевские гранулемы. Эритема </w:t>
      </w:r>
      <w:r>
        <w:rPr>
          <w:lang w:val="en-US" w:eastAsia="en-US" w:bidi="en-US"/>
          <w:w w:val="100"/>
          <w:spacing w:val="0"/>
          <w:color w:val="000000"/>
          <w:position w:val="0"/>
        </w:rPr>
        <w:t xml:space="preserve">marginatum </w:t>
      </w:r>
      <w:r>
        <w:rPr>
          <w:lang w:val="ru-RU" w:eastAsia="ru-RU" w:bidi="ru-RU"/>
          <w:w w:val="100"/>
          <w:spacing w:val="0"/>
          <w:color w:val="000000"/>
          <w:position w:val="0"/>
        </w:rPr>
        <w:t>возни</w:t>
        <w:softHyphen/>
        <w:t>кает в виде ограниченного, немного приподнятого краснова</w:t>
        <w:softHyphen/>
        <w:t>того пятна-папулы, которое прогрессивно увеличивается; имея тенденцию к распространению в виде «купального кос</w:t>
        <w:softHyphen/>
        <w:t>тюма», может также встречаться на бедрах, голенях, лице.</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Клинико-анатомические формы ревматизма (в зависимо</w:t>
        <w:softHyphen/>
        <w:t>сти от преимущественного поражения того или иного орга</w:t>
        <w:softHyphen/>
        <w:t>на или системы):</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Кардиоваскулярная.</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Висцеральная.</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Суставная.</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Церебральная.</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Нодозная.</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Эритематозная.</w:t>
      </w:r>
    </w:p>
    <w:p>
      <w:pPr>
        <w:pStyle w:val="Style30"/>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Особенности ревматизма у детей</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Наряду с эндокардитом, частое вовлечение в воспа</w:t>
        <w:softHyphen/>
        <w:t>лительный процесс миокарда — «Ревматизм лижет суставы, но кусает сердце» (Лаэннек).</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Преобладание экссудативных форм.</w:t>
      </w:r>
    </w:p>
    <w:p>
      <w:pPr>
        <w:pStyle w:val="Style30"/>
        <w:numPr>
          <w:ilvl w:val="0"/>
          <w:numId w:val="79"/>
        </w:numPr>
        <w:tabs>
          <w:tab w:leader="none" w:pos="519" w:val="left"/>
        </w:tabs>
        <w:widowControl w:val="0"/>
        <w:keepNext w:val="0"/>
        <w:keepLines w:val="0"/>
        <w:shd w:val="clear" w:color="auto" w:fill="auto"/>
        <w:bidi w:val="0"/>
        <w:jc w:val="left"/>
        <w:spacing w:before="0" w:after="0" w:line="206" w:lineRule="exact"/>
        <w:ind w:left="520" w:right="0" w:hanging="240"/>
      </w:pPr>
      <w:r>
        <w:rPr>
          <w:lang w:val="ru-RU" w:eastAsia="ru-RU" w:bidi="ru-RU"/>
          <w:w w:val="100"/>
          <w:spacing w:val="0"/>
          <w:color w:val="000000"/>
          <w:position w:val="0"/>
        </w:rPr>
        <w:t>Поражение центральной нервной системы. Малая хорея — печальная привилегия детей..</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Клинико-анатомические варианты течения ревматизма у детей</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Острый ревматизм — длительность атаки до 3 месяцев, протекает бурно, с быстро нарастающей симптомати</w:t>
        <w:softHyphen/>
        <w:t>кой, высокими титрами антистрептококковых антител, преобладанием реакций ГНТ (дезорганизация соеди</w:t>
        <w:softHyphen/>
        <w:t>нительной ткани и экссудативные клеточные реакции).</w:t>
      </w:r>
    </w:p>
    <w:p>
      <w:pPr>
        <w:pStyle w:val="Style30"/>
        <w:numPr>
          <w:ilvl w:val="0"/>
          <w:numId w:val="79"/>
        </w:numPr>
        <w:tabs>
          <w:tab w:leader="none" w:pos="519" w:val="left"/>
        </w:tabs>
        <w:widowControl w:val="0"/>
        <w:keepNext w:val="0"/>
        <w:keepLines w:val="0"/>
        <w:shd w:val="clear" w:color="auto" w:fill="auto"/>
        <w:bidi w:val="0"/>
        <w:jc w:val="left"/>
        <w:spacing w:before="0" w:after="0" w:line="206" w:lineRule="exact"/>
        <w:ind w:left="520" w:right="0" w:hanging="240"/>
      </w:pPr>
      <w:r>
        <w:rPr>
          <w:lang w:val="ru-RU" w:eastAsia="ru-RU" w:bidi="ru-RU"/>
          <w:w w:val="100"/>
          <w:spacing w:val="0"/>
          <w:color w:val="000000"/>
          <w:position w:val="0"/>
        </w:rPr>
        <w:t>Подострый ревматизм — все то же, но атака длится от 3 до 6 месяцев.</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Непрерывно рецидивирующий ревматизм — наслоение атак, в крови высокие титры и антистрептококковых, и антикардиальных антител; морфологически наблю</w:t>
        <w:softHyphen/>
        <w:t>дается сочетание реакций ГНТ и ГЗТ (и экссудатив</w:t>
        <w:softHyphen/>
        <w:t>ные, и продуктивные клеточные реакции).</w:t>
      </w:r>
    </w:p>
    <w:p>
      <w:pPr>
        <w:pStyle w:val="Style30"/>
        <w:numPr>
          <w:ilvl w:val="0"/>
          <w:numId w:val="79"/>
        </w:numPr>
        <w:tabs>
          <w:tab w:leader="none" w:pos="519"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Затяжной ревматизм — клинически слабовыраженная манифестация, торпидный характер течения, по кли</w:t>
        <w:softHyphen/>
        <w:t>нико-лабораторным данным — низкие титры анти</w:t>
        <w:softHyphen/>
        <w:br w:type="column"/>
        <w:t>стрептококковых антител и высокие — антикарди</w:t>
        <w:softHyphen/>
        <w:t>альных; несмотря на преобладание продуктивных клеточных реакций, они носят диффузный неспеци</w:t>
        <w:softHyphen/>
        <w:t>фический характер, гранулемы встречаются редко.</w:t>
      </w:r>
    </w:p>
    <w:p>
      <w:pPr>
        <w:pStyle w:val="Style30"/>
        <w:numPr>
          <w:ilvl w:val="0"/>
          <w:numId w:val="79"/>
        </w:numPr>
        <w:tabs>
          <w:tab w:leader="none" w:pos="512"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Латентный ревматизм — в целом соответствует затяж</w:t>
        <w:softHyphen/>
        <w:t>ному, но, как правило, не зафиксировано или про</w:t>
        <w:softHyphen/>
        <w:t>смотрено начало заболевания.</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Анамнез, клиническая симптоматика</w:t>
      </w:r>
    </w:p>
    <w:p>
      <w:pPr>
        <w:pStyle w:val="Style30"/>
        <w:numPr>
          <w:ilvl w:val="0"/>
          <w:numId w:val="79"/>
        </w:numPr>
        <w:tabs>
          <w:tab w:leader="none" w:pos="512"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Ревматизм обычно начинается остро и возникает как полиартрит спустя 2-6 недель после стрептококково</w:t>
        <w:softHyphen/>
        <w:t>го фарингита, сопровождается лихорадкой и инток</w:t>
        <w:softHyphen/>
        <w:t>сикацией.</w:t>
      </w:r>
    </w:p>
    <w:p>
      <w:pPr>
        <w:pStyle w:val="Style30"/>
        <w:numPr>
          <w:ilvl w:val="0"/>
          <w:numId w:val="79"/>
        </w:numPr>
        <w:tabs>
          <w:tab w:leader="none" w:pos="512"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Если симптоматика заболевания начинается с уме</w:t>
        <w:softHyphen/>
        <w:t>ренного кардита, то ревматизм может протекать ко</w:t>
        <w:softHyphen/>
        <w:t>варно или, наоборот, субклинически.</w:t>
      </w:r>
    </w:p>
    <w:p>
      <w:pPr>
        <w:pStyle w:val="Style30"/>
        <w:numPr>
          <w:ilvl w:val="0"/>
          <w:numId w:val="79"/>
        </w:numPr>
        <w:tabs>
          <w:tab w:leader="none" w:pos="512"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У детей младшего возраста заболевание обычно ма</w:t>
        <w:softHyphen/>
        <w:t>нифестирует кардитом, у старших детей — артритом.</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Физикальные данные</w:t>
      </w:r>
    </w:p>
    <w:p>
      <w:pPr>
        <w:pStyle w:val="Style30"/>
        <w:numPr>
          <w:ilvl w:val="0"/>
          <w:numId w:val="79"/>
        </w:numPr>
        <w:tabs>
          <w:tab w:leader="none" w:pos="512"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Диагностика ревматической лихорадки всегда долж</w:t>
        <w:softHyphen/>
        <w:t>на быть заподозрена при наличии предыдущей стреп</w:t>
        <w:softHyphen/>
        <w:t>тококковой инфекции и, по данным Американской Ассоциации кардиологов, устанавливается на осно</w:t>
        <w:softHyphen/>
        <w:t>вании больших и малых критериев Джонсона.</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Главные критерии:</w:t>
      </w:r>
    </w:p>
    <w:p>
      <w:pPr>
        <w:pStyle w:val="Style30"/>
        <w:numPr>
          <w:ilvl w:val="0"/>
          <w:numId w:val="79"/>
        </w:numPr>
        <w:tabs>
          <w:tab w:leader="none" w:pos="755" w:val="left"/>
        </w:tabs>
        <w:widowControl w:val="0"/>
        <w:keepNext w:val="0"/>
        <w:keepLines w:val="0"/>
        <w:shd w:val="clear" w:color="auto" w:fill="auto"/>
        <w:bidi w:val="0"/>
        <w:spacing w:before="0" w:after="0" w:line="206" w:lineRule="exact"/>
        <w:ind w:left="740" w:right="0" w:hanging="220"/>
      </w:pPr>
      <w:r>
        <w:rPr>
          <w:lang w:val="ru-RU" w:eastAsia="ru-RU" w:bidi="ru-RU"/>
          <w:w w:val="100"/>
          <w:spacing w:val="0"/>
          <w:color w:val="000000"/>
          <w:position w:val="0"/>
        </w:rPr>
        <w:t>Кардит встречается у 40% детей и может включить кардиомегалию, появление нового шума, застой</w:t>
        <w:softHyphen/>
        <w:t>ную сердечную недостаточность, перикардит с или без поражения клапанов.</w:t>
      </w:r>
    </w:p>
    <w:p>
      <w:pPr>
        <w:pStyle w:val="Style30"/>
        <w:numPr>
          <w:ilvl w:val="0"/>
          <w:numId w:val="79"/>
        </w:numPr>
        <w:tabs>
          <w:tab w:leader="none" w:pos="755" w:val="left"/>
        </w:tabs>
        <w:widowControl w:val="0"/>
        <w:keepNext w:val="0"/>
        <w:keepLines w:val="0"/>
        <w:shd w:val="clear" w:color="auto" w:fill="auto"/>
        <w:bidi w:val="0"/>
        <w:spacing w:before="0" w:after="0" w:line="206" w:lineRule="exact"/>
        <w:ind w:left="740" w:right="0" w:hanging="220"/>
      </w:pPr>
      <w:r>
        <w:rPr>
          <w:lang w:val="ru-RU" w:eastAsia="ru-RU" w:bidi="ru-RU"/>
          <w:w w:val="100"/>
          <w:spacing w:val="0"/>
          <w:color w:val="000000"/>
          <w:position w:val="0"/>
        </w:rPr>
        <w:t>Артрит встречается в 75% случаев; многосустав</w:t>
        <w:softHyphen/>
        <w:t>ный, мимолетный и вовлекает преимущественно большие суставы.</w:t>
      </w:r>
    </w:p>
    <w:p>
      <w:pPr>
        <w:pStyle w:val="Style30"/>
        <w:numPr>
          <w:ilvl w:val="0"/>
          <w:numId w:val="79"/>
        </w:numPr>
        <w:tabs>
          <w:tab w:leader="none" w:pos="755" w:val="left"/>
        </w:tabs>
        <w:widowControl w:val="0"/>
        <w:keepNext w:val="0"/>
        <w:keepLines w:val="0"/>
        <w:shd w:val="clear" w:color="auto" w:fill="auto"/>
        <w:bidi w:val="0"/>
        <w:spacing w:before="0" w:after="0" w:line="206" w:lineRule="exact"/>
        <w:ind w:left="740" w:right="0" w:hanging="220"/>
      </w:pPr>
      <w:r>
        <w:rPr>
          <w:lang w:val="ru-RU" w:eastAsia="ru-RU" w:bidi="ru-RU"/>
          <w:w w:val="100"/>
          <w:spacing w:val="0"/>
          <w:color w:val="000000"/>
          <w:position w:val="0"/>
        </w:rPr>
        <w:t xml:space="preserve">Подкожные узелки (то есть </w:t>
      </w:r>
      <w:r>
        <w:rPr>
          <w:lang w:val="en-US" w:eastAsia="en-US" w:bidi="en-US"/>
          <w:w w:val="100"/>
          <w:spacing w:val="0"/>
          <w:color w:val="000000"/>
          <w:position w:val="0"/>
        </w:rPr>
        <w:t xml:space="preserve">Aschoff </w:t>
      </w:r>
      <w:r>
        <w:rPr>
          <w:lang w:val="ru-RU" w:eastAsia="ru-RU" w:bidi="ru-RU"/>
          <w:w w:val="100"/>
          <w:spacing w:val="0"/>
          <w:color w:val="000000"/>
          <w:position w:val="0"/>
        </w:rPr>
        <w:t>тела) встреча</w:t>
        <w:softHyphen/>
        <w:t>ются у 10% пациентов. Это твердые безболезнен</w:t>
        <w:softHyphen/>
        <w:t>ные узелки на поверхностях разгибателей запяс</w:t>
        <w:softHyphen/>
        <w:t>тий, локтей и коленках.</w:t>
      </w:r>
    </w:p>
    <w:p>
      <w:pPr>
        <w:pStyle w:val="Style30"/>
        <w:numPr>
          <w:ilvl w:val="0"/>
          <w:numId w:val="79"/>
        </w:numPr>
        <w:tabs>
          <w:tab w:leader="none" w:pos="755" w:val="left"/>
        </w:tabs>
        <w:widowControl w:val="0"/>
        <w:keepNext w:val="0"/>
        <w:keepLines w:val="0"/>
        <w:shd w:val="clear" w:color="auto" w:fill="auto"/>
        <w:bidi w:val="0"/>
        <w:spacing w:before="0" w:after="0" w:line="206" w:lineRule="exact"/>
        <w:ind w:left="740" w:right="0" w:hanging="220"/>
      </w:pPr>
      <w:r>
        <w:rPr>
          <w:lang w:val="ru-RU" w:eastAsia="ru-RU" w:bidi="ru-RU"/>
          <w:w w:val="100"/>
          <w:spacing w:val="0"/>
          <w:color w:val="000000"/>
          <w:position w:val="0"/>
        </w:rPr>
        <w:t>Краевая эритема наблюдается примерно в 5% слу</w:t>
        <w:softHyphen/>
        <w:t>чаев. Обычно высыпание носит распространен</w:t>
        <w:softHyphen/>
        <w:t>ный и длительный характер.</w:t>
      </w:r>
    </w:p>
    <w:p>
      <w:pPr>
        <w:pStyle w:val="Style30"/>
        <w:numPr>
          <w:ilvl w:val="0"/>
          <w:numId w:val="79"/>
        </w:numPr>
        <w:tabs>
          <w:tab w:leader="none" w:pos="755" w:val="left"/>
        </w:tabs>
        <w:widowControl w:val="0"/>
        <w:keepNext w:val="0"/>
        <w:keepLines w:val="0"/>
        <w:shd w:val="clear" w:color="auto" w:fill="auto"/>
        <w:bidi w:val="0"/>
        <w:spacing w:before="0" w:after="0" w:line="206" w:lineRule="exact"/>
        <w:ind w:left="740" w:right="0" w:hanging="220"/>
      </w:pPr>
      <w:r>
        <w:rPr>
          <w:lang w:val="ru-RU" w:eastAsia="ru-RU" w:bidi="ru-RU"/>
          <w:w w:val="100"/>
          <w:spacing w:val="0"/>
          <w:color w:val="000000"/>
          <w:position w:val="0"/>
        </w:rPr>
        <w:t xml:space="preserve">Хорея </w:t>
      </w:r>
      <w:r>
        <w:rPr>
          <w:lang w:val="en-US" w:eastAsia="en-US" w:bidi="en-US"/>
          <w:w w:val="100"/>
          <w:spacing w:val="0"/>
          <w:color w:val="000000"/>
          <w:position w:val="0"/>
        </w:rPr>
        <w:t xml:space="preserve">Sydenham </w:t>
      </w:r>
      <w:r>
        <w:rPr>
          <w:lang w:val="ru-RU" w:eastAsia="ru-RU" w:bidi="ru-RU"/>
          <w:w w:val="100"/>
          <w:spacing w:val="0"/>
          <w:color w:val="000000"/>
          <w:position w:val="0"/>
        </w:rPr>
        <w:t xml:space="preserve">(то есть танец </w:t>
      </w:r>
      <w:r>
        <w:rPr>
          <w:lang w:val="en-US" w:eastAsia="en-US" w:bidi="en-US"/>
          <w:w w:val="100"/>
          <w:spacing w:val="0"/>
          <w:color w:val="000000"/>
          <w:position w:val="0"/>
        </w:rPr>
        <w:t>C</w:t>
      </w:r>
      <w:r>
        <w:rPr>
          <w:lang w:val="ru-RU" w:eastAsia="ru-RU" w:bidi="ru-RU"/>
          <w:w w:val="100"/>
          <w:spacing w:val="0"/>
          <w:color w:val="000000"/>
          <w:position w:val="0"/>
        </w:rPr>
        <w:t>-Витаса) — харак</w:t>
        <w:softHyphen/>
        <w:t>терное нарушение движения, которое встречается в 5-10% случаев. Хорея состоит из быстрых бес</w:t>
        <w:softHyphen/>
        <w:t>цельных движений лица и верхних конечностей. Начало хореи может быть отсрочено в течение не</w:t>
        <w:softHyphen/>
        <w:t>скольких месяцев и может прекратиться, когда па</w:t>
        <w:softHyphen/>
        <w:t>циент спит.</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Малые клинические критерии:</w:t>
      </w:r>
    </w:p>
    <w:p>
      <w:pPr>
        <w:pStyle w:val="Style30"/>
        <w:numPr>
          <w:ilvl w:val="0"/>
          <w:numId w:val="79"/>
        </w:numPr>
        <w:tabs>
          <w:tab w:leader="none" w:pos="755" w:val="left"/>
        </w:tabs>
        <w:widowControl w:val="0"/>
        <w:keepNext w:val="0"/>
        <w:keepLines w:val="0"/>
        <w:shd w:val="clear" w:color="auto" w:fill="auto"/>
        <w:bidi w:val="0"/>
        <w:spacing w:before="0" w:after="0" w:line="206" w:lineRule="exact"/>
        <w:ind w:left="740" w:right="0" w:hanging="220"/>
      </w:pPr>
      <w:r>
        <w:rPr>
          <w:lang w:val="ru-RU" w:eastAsia="ru-RU" w:bidi="ru-RU"/>
          <w:w w:val="100"/>
          <w:spacing w:val="0"/>
          <w:color w:val="000000"/>
          <w:position w:val="0"/>
        </w:rPr>
        <w:t>Клинические проявления артралгии и лихорадки.</w:t>
      </w:r>
    </w:p>
    <w:p>
      <w:pPr>
        <w:pStyle w:val="Style30"/>
        <w:numPr>
          <w:ilvl w:val="0"/>
          <w:numId w:val="79"/>
        </w:numPr>
        <w:tabs>
          <w:tab w:leader="none" w:pos="755" w:val="left"/>
        </w:tabs>
        <w:widowControl w:val="0"/>
        <w:keepNext w:val="0"/>
        <w:keepLines w:val="0"/>
        <w:shd w:val="clear" w:color="auto" w:fill="auto"/>
        <w:bidi w:val="0"/>
        <w:spacing w:before="0" w:after="0" w:line="206" w:lineRule="exact"/>
        <w:ind w:left="740" w:right="0" w:hanging="220"/>
      </w:pPr>
      <w:r>
        <w:rPr>
          <w:lang w:val="ru-RU" w:eastAsia="ru-RU" w:bidi="ru-RU"/>
          <w:w w:val="100"/>
          <w:spacing w:val="0"/>
          <w:color w:val="000000"/>
          <w:position w:val="0"/>
        </w:rPr>
        <w:t>Лабораторные результаты включают показатели ос</w:t>
        <w:softHyphen/>
        <w:t>трофазной реакции воспаления (например, реак</w:t>
        <w:softHyphen/>
        <w:t xml:space="preserve">цию оседания эритроцитов, </w:t>
      </w:r>
      <w:r>
        <w:rPr>
          <w:lang w:val="en-US" w:eastAsia="en-US" w:bidi="en-US"/>
          <w:w w:val="100"/>
          <w:spacing w:val="0"/>
          <w:color w:val="000000"/>
          <w:position w:val="0"/>
        </w:rPr>
        <w:t>C</w:t>
      </w:r>
      <w:r>
        <w:rPr>
          <w:lang w:val="ru-RU" w:eastAsia="ru-RU" w:bidi="ru-RU"/>
          <w:w w:val="100"/>
          <w:spacing w:val="0"/>
          <w:color w:val="000000"/>
          <w:position w:val="0"/>
        </w:rPr>
        <w:t>-реактивный белок).</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Лечение острой ревматической лихорадки основано на индивидуальной характеристике процесса с учетом выра</w:t>
        <w:softHyphen/>
        <w:t>женности кардита, степени активности, характера клапан</w:t>
        <w:softHyphen/>
        <w:t>ного порока, выраженности сердечной недостаточности, особенностях экстракардиальных поражений. Детям с диа</w:t>
        <w:softHyphen/>
        <w:t>гнозом острая ревматическая лихорадка показана обяза</w:t>
        <w:softHyphen/>
        <w:t>тельная госпитализация с соблюдением постельного режи</w:t>
        <w:softHyphen/>
        <w:t>ма в течение 2-3 недель, до появления стойкой положитель</w:t>
        <w:softHyphen/>
        <w:t>ной клинической и лабораторно-инструментальной дина</w:t>
        <w:softHyphen/>
        <w:t>мики. В последующем режим расширяется до полупостель</w:t>
        <w:softHyphen/>
        <w:t>ного, а затем — тренирующего.</w:t>
      </w:r>
    </w:p>
    <w:p>
      <w:pPr>
        <w:pStyle w:val="Style30"/>
        <w:widowControl w:val="0"/>
        <w:keepNext w:val="0"/>
        <w:keepLines w:val="0"/>
        <w:shd w:val="clear" w:color="auto" w:fill="auto"/>
        <w:bidi w:val="0"/>
        <w:spacing w:before="0" w:after="0" w:line="206" w:lineRule="exact"/>
        <w:ind w:left="0" w:right="0" w:firstLine="280"/>
      </w:pPr>
      <w:r>
        <w:pict>
          <v:shape id="_x0000_s1455" type="#_x0000_t75" style="position:absolute;margin-left:136.8pt;margin-top:736.8pt;width:209.75pt;height:14.9pt;z-index:-125829092;mso-wrap-distance-left:136.8pt;mso-wrap-distance-right:148.1pt;mso-wrap-distance-bottom:10.8pt;mso-position-horizontal-relative:margin;mso-position-vertical-relative:margin" wrapcoords="0 0 21600 0 21600 21600 0 21600 0 0">
            <v:imagedata r:id="rId715" r:href="rId716"/>
            <w10:wrap type="topAndBottom" anchorx="margin" anchory="margin"/>
          </v:shape>
        </w:pict>
      </w:r>
      <w:r>
        <w:rPr>
          <w:lang w:val="ru-RU" w:eastAsia="ru-RU" w:bidi="ru-RU"/>
          <w:w w:val="100"/>
          <w:spacing w:val="0"/>
          <w:color w:val="000000"/>
          <w:position w:val="0"/>
        </w:rPr>
        <w:t>Диета должна включать содержание белка не менее 1 г на 1 кг массы тела, ограничение поваренной соли.</w:t>
      </w:r>
      <w:r>
        <w:br w:type="page"/>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Медикаментозная терапия складывается из следующих позиций:</w:t>
      </w:r>
    </w:p>
    <w:p>
      <w:pPr>
        <w:pStyle w:val="Style30"/>
        <w:numPr>
          <w:ilvl w:val="0"/>
          <w:numId w:val="81"/>
        </w:numPr>
        <w:tabs>
          <w:tab w:leader="none" w:pos="518" w:val="left"/>
        </w:tabs>
        <w:widowControl w:val="0"/>
        <w:keepNext w:val="0"/>
        <w:keepLines w:val="0"/>
        <w:shd w:val="clear" w:color="auto" w:fill="auto"/>
        <w:bidi w:val="0"/>
        <w:jc w:val="left"/>
        <w:spacing w:before="0" w:after="0" w:line="206" w:lineRule="exact"/>
        <w:ind w:left="500" w:right="0" w:hanging="220"/>
      </w:pPr>
      <w:r>
        <w:rPr>
          <w:lang w:val="ru-RU" w:eastAsia="ru-RU" w:bidi="ru-RU"/>
          <w:w w:val="100"/>
          <w:spacing w:val="0"/>
          <w:color w:val="000000"/>
          <w:position w:val="0"/>
        </w:rPr>
        <w:t>этиотропная, направленная на эрадикацию Р-гемо- литического стрептококка группы А;</w:t>
      </w:r>
    </w:p>
    <w:p>
      <w:pPr>
        <w:pStyle w:val="Style30"/>
        <w:numPr>
          <w:ilvl w:val="0"/>
          <w:numId w:val="81"/>
        </w:numPr>
        <w:tabs>
          <w:tab w:leader="none" w:pos="518"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патогенетическая (противовоспалительная);</w:t>
      </w:r>
    </w:p>
    <w:p>
      <w:pPr>
        <w:pStyle w:val="Style30"/>
        <w:numPr>
          <w:ilvl w:val="0"/>
          <w:numId w:val="81"/>
        </w:numPr>
        <w:tabs>
          <w:tab w:leader="none" w:pos="518" w:val="left"/>
        </w:tabs>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симптоматическая.</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Этиотропная терапия включает в себя основной препа</w:t>
        <w:softHyphen/>
        <w:t xml:space="preserve">рат — антибиотик из группы </w:t>
      </w:r>
      <w:r>
        <w:rPr>
          <w:rStyle w:val="CharStyle103"/>
        </w:rPr>
        <w:t xml:space="preserve">бензилпенициллина </w:t>
      </w:r>
      <w:r>
        <w:rPr>
          <w:rStyle w:val="CharStyle103"/>
          <w:lang w:val="en-US" w:eastAsia="en-US" w:bidi="en-US"/>
        </w:rPr>
        <w:t xml:space="preserve">(Benzilpenicillinum Natricum, Benzilpenicillinum Kalicum, Methicillinum -natrium, Oxacillinum-natrium, Dicloxacillinum - natrium, Ampicillinum </w:t>
      </w:r>
      <w:r>
        <w:rPr>
          <w:rStyle w:val="CharStyle103"/>
        </w:rPr>
        <w:t>и др.</w:t>
      </w:r>
      <w:r>
        <w:rPr>
          <w:lang w:val="en-US" w:eastAsia="en-US" w:bidi="en-US"/>
          <w:w w:val="100"/>
          <w:spacing w:val="0"/>
          <w:color w:val="000000"/>
          <w:position w:val="0"/>
        </w:rPr>
        <w:t xml:space="preserve">). </w:t>
      </w:r>
      <w:r>
        <w:rPr>
          <w:lang w:val="ru-RU" w:eastAsia="ru-RU" w:bidi="ru-RU"/>
          <w:w w:val="100"/>
          <w:spacing w:val="0"/>
          <w:color w:val="000000"/>
          <w:position w:val="0"/>
        </w:rPr>
        <w:t>Эти препараты обладают бактери</w:t>
        <w:softHyphen/>
        <w:t>цидным действием, блокируют синтез пептидогликана, что приводит к гибели микроорганизма. Противопоказания: не</w:t>
        <w:softHyphen/>
        <w:t>переносимость препаратов данной группы, осторожно — па</w:t>
        <w:softHyphen/>
        <w:t>циентам с непереносимостью цефалоспоринов. Побочные эффекты: аллергические реакции, при использовании кали</w:t>
        <w:softHyphen/>
        <w:t>евой соли — болезненные инфильтраты. Дозы: 1,5-2 млн. МЕ в сутки внутримышечно, в 4 приема на 10 дней.</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При непереносимости пенициллинов показаны антибио</w:t>
        <w:softHyphen/>
        <w:t xml:space="preserve">тики из группы макролидов </w:t>
      </w:r>
      <w:r>
        <w:rPr>
          <w:rStyle w:val="CharStyle103"/>
        </w:rPr>
        <w:t>(Зитролид, Сумамед, Клабак, Кла- цид, Вильпрапен, Рулид</w:t>
      </w:r>
      <w:r>
        <w:rPr>
          <w:lang w:val="ru-RU" w:eastAsia="ru-RU" w:bidi="ru-RU"/>
          <w:w w:val="100"/>
          <w:spacing w:val="0"/>
          <w:color w:val="000000"/>
          <w:position w:val="0"/>
        </w:rPr>
        <w:t xml:space="preserve"> и др.) или линкозамидов </w:t>
      </w:r>
      <w:r>
        <w:rPr>
          <w:rStyle w:val="CharStyle103"/>
        </w:rPr>
        <w:t>(Далацин, Лин- комицин, Медоглицин</w:t>
      </w:r>
      <w:r>
        <w:rPr>
          <w:lang w:val="ru-RU" w:eastAsia="ru-RU" w:bidi="ru-RU"/>
          <w:w w:val="100"/>
          <w:spacing w:val="0"/>
          <w:color w:val="000000"/>
          <w:position w:val="0"/>
        </w:rPr>
        <w:t xml:space="preserve"> и др.). Механизм действия макролидов обусловлен бактериостатическим влиянием в средних кон</w:t>
        <w:softHyphen/>
        <w:t>центрациях (нарушение синтеза белка рибосомами микроб</w:t>
        <w:softHyphen/>
        <w:t>ной клетки) и бактерицидным — в больших. Противопоказа</w:t>
        <w:softHyphen/>
        <w:t>ния: непереносимость препаратов. При одновременном на</w:t>
        <w:softHyphen/>
        <w:t>значении с дигоксином может увеличиваться биодоступность последнего из-за ослабления его инактивации кишечной ми</w:t>
        <w:softHyphen/>
        <w:t xml:space="preserve">крофлорой. При назначении с </w:t>
      </w:r>
      <w:r>
        <w:rPr>
          <w:rStyle w:val="CharStyle103"/>
        </w:rPr>
        <w:t xml:space="preserve">терфенадином </w:t>
      </w:r>
      <w:r>
        <w:rPr>
          <w:rStyle w:val="CharStyle103"/>
          <w:lang w:val="en-US" w:eastAsia="en-US" w:bidi="en-US"/>
        </w:rPr>
        <w:t xml:space="preserve">(Terfenadine, </w:t>
      </w:r>
      <w:r>
        <w:rPr>
          <w:rStyle w:val="CharStyle103"/>
        </w:rPr>
        <w:t>син. Бронал, Теридин, Трексил</w:t>
      </w:r>
      <w:r>
        <w:rPr>
          <w:lang w:val="ru-RU" w:eastAsia="ru-RU" w:bidi="ru-RU"/>
          <w:w w:val="100"/>
          <w:spacing w:val="0"/>
          <w:color w:val="000000"/>
          <w:position w:val="0"/>
        </w:rPr>
        <w:t xml:space="preserve"> в дозе детям от 6 до 12 лет — по 30 мг 2 раза в сутки, старше 12 лет — по мг 2 раза в сутки), </w:t>
      </w:r>
      <w:r>
        <w:rPr>
          <w:rStyle w:val="CharStyle103"/>
        </w:rPr>
        <w:t xml:space="preserve">астеми- золом </w:t>
      </w:r>
      <w:r>
        <w:rPr>
          <w:rStyle w:val="CharStyle103"/>
          <w:lang w:val="en-US" w:eastAsia="en-US" w:bidi="en-US"/>
        </w:rPr>
        <w:t xml:space="preserve">(Astemizole, </w:t>
      </w:r>
      <w:r>
        <w:rPr>
          <w:rStyle w:val="CharStyle103"/>
        </w:rPr>
        <w:t>син. Астемисан, Семиз, Гисманал</w:t>
      </w:r>
      <w:r>
        <w:rPr>
          <w:lang w:val="ru-RU" w:eastAsia="ru-RU" w:bidi="ru-RU"/>
          <w:w w:val="100"/>
          <w:spacing w:val="0"/>
          <w:color w:val="000000"/>
          <w:position w:val="0"/>
        </w:rPr>
        <w:t xml:space="preserve"> и др. в дозе 2 мг/10 кг сутки) возможно появление сложных нарушений сердечного ритма из-за удлинения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Побочные эффекты: из-за гепатотоксичности возможны повышение ак</w:t>
        <w:softHyphen/>
        <w:t xml:space="preserve">тивности трансаминаз, аллергические реакции. Дозы: </w:t>
      </w:r>
      <w:r>
        <w:rPr>
          <w:rStyle w:val="CharStyle103"/>
        </w:rPr>
        <w:t xml:space="preserve">спира- мицин </w:t>
      </w:r>
      <w:r>
        <w:rPr>
          <w:rStyle w:val="CharStyle103"/>
          <w:lang w:val="en-US" w:eastAsia="en-US" w:bidi="en-US"/>
        </w:rPr>
        <w:t xml:space="preserve">(Spiramycin, </w:t>
      </w:r>
      <w:r>
        <w:rPr>
          <w:rStyle w:val="CharStyle103"/>
        </w:rPr>
        <w:t>син. Ровамицин</w:t>
      </w:r>
      <w:r>
        <w:rPr>
          <w:lang w:val="ru-RU" w:eastAsia="ru-RU" w:bidi="ru-RU"/>
          <w:w w:val="100"/>
          <w:spacing w:val="0"/>
          <w:color w:val="000000"/>
          <w:position w:val="0"/>
        </w:rPr>
        <w:t xml:space="preserve"> — от 2 до 3 млн. </w:t>
      </w:r>
      <w:r>
        <w:rPr>
          <w:lang w:val="en-US" w:eastAsia="en-US" w:bidi="en-US"/>
          <w:w w:val="100"/>
          <w:spacing w:val="0"/>
          <w:color w:val="000000"/>
          <w:position w:val="0"/>
        </w:rPr>
        <w:t xml:space="preserve">ME </w:t>
      </w:r>
      <w:r>
        <w:rPr>
          <w:lang w:val="ru-RU" w:eastAsia="ru-RU" w:bidi="ru-RU"/>
          <w:w w:val="100"/>
          <w:spacing w:val="0"/>
          <w:color w:val="000000"/>
          <w:position w:val="0"/>
        </w:rPr>
        <w:t xml:space="preserve">в день в 2 приема 10 дней; </w:t>
      </w:r>
      <w:r>
        <w:rPr>
          <w:rStyle w:val="CharStyle103"/>
        </w:rPr>
        <w:t xml:space="preserve">азитромицин </w:t>
      </w:r>
      <w:r>
        <w:rPr>
          <w:rStyle w:val="CharStyle103"/>
          <w:lang w:val="en-US" w:eastAsia="en-US" w:bidi="en-US"/>
        </w:rPr>
        <w:t xml:space="preserve">(Azithromycin, </w:t>
      </w:r>
      <w:r>
        <w:rPr>
          <w:rStyle w:val="CharStyle103"/>
        </w:rPr>
        <w:t>син. Сума</w:t>
        <w:softHyphen/>
        <w:t>мед)</w:t>
      </w:r>
      <w:r>
        <w:rPr>
          <w:lang w:val="ru-RU" w:eastAsia="ru-RU" w:bidi="ru-RU"/>
          <w:w w:val="100"/>
          <w:spacing w:val="0"/>
          <w:color w:val="000000"/>
          <w:position w:val="0"/>
        </w:rPr>
        <w:t xml:space="preserve"> — 10 мг/кг массы в 1 прием 3 дня, за 1 час до еды; </w:t>
      </w:r>
      <w:r>
        <w:rPr>
          <w:rStyle w:val="CharStyle103"/>
        </w:rPr>
        <w:t xml:space="preserve">рокси- тромицин </w:t>
      </w:r>
      <w:r>
        <w:rPr>
          <w:rStyle w:val="CharStyle103"/>
          <w:lang w:val="en-US" w:eastAsia="en-US" w:bidi="en-US"/>
        </w:rPr>
        <w:t xml:space="preserve">(Roxithromycin, </w:t>
      </w:r>
      <w:r>
        <w:rPr>
          <w:rStyle w:val="CharStyle103"/>
        </w:rPr>
        <w:t>син. Рулид, Роксибид)</w:t>
      </w:r>
      <w:r>
        <w:rPr>
          <w:lang w:val="ru-RU" w:eastAsia="ru-RU" w:bidi="ru-RU"/>
          <w:w w:val="100"/>
          <w:spacing w:val="0"/>
          <w:color w:val="000000"/>
          <w:position w:val="0"/>
        </w:rPr>
        <w:t xml:space="preserve"> — 5 мг/кг мас</w:t>
        <w:softHyphen/>
        <w:t xml:space="preserve">сы тела в 2 приема 10 дней, за час до еды; </w:t>
      </w:r>
      <w:r>
        <w:rPr>
          <w:rStyle w:val="CharStyle103"/>
        </w:rPr>
        <w:t>кларитромицин (Кла- цид)</w:t>
      </w:r>
      <w:r>
        <w:rPr>
          <w:lang w:val="ru-RU" w:eastAsia="ru-RU" w:bidi="ru-RU"/>
          <w:w w:val="100"/>
          <w:spacing w:val="0"/>
          <w:color w:val="000000"/>
          <w:position w:val="0"/>
        </w:rPr>
        <w:t xml:space="preserve"> — 15 мг/кг массы тела в 2 приема 10 дней.</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 xml:space="preserve">В группу линкозаминов входят природный антибиотик линкомицин и его полусинтетический аналог </w:t>
      </w:r>
      <w:r>
        <w:rPr>
          <w:rStyle w:val="CharStyle103"/>
        </w:rPr>
        <w:t>клиндамицин (син. Далацин, Климицин).</w:t>
      </w:r>
      <w:r>
        <w:rPr>
          <w:lang w:val="ru-RU" w:eastAsia="ru-RU" w:bidi="ru-RU"/>
          <w:w w:val="100"/>
          <w:spacing w:val="0"/>
          <w:color w:val="000000"/>
          <w:position w:val="0"/>
        </w:rPr>
        <w:t xml:space="preserve"> Препараты оказывают бактерио</w:t>
        <w:softHyphen/>
        <w:t>статическое действие, обусловленное ингибированием син</w:t>
        <w:softHyphen/>
        <w:t>теза белка рибосомами. Противопоказания: непереноси</w:t>
        <w:softHyphen/>
        <w:t>мость препаратов, язвенный колит, энтерит или колит, свя</w:t>
        <w:softHyphen/>
        <w:t>занный с использованием антибиотиков, — в анамнезе. По</w:t>
        <w:softHyphen/>
        <w:t xml:space="preserve">бочные эффекты: аллергические реакции, диспептические явления, нейтропения, тромбоцитопения. При выраженных нарушениях функции печени — снижение дозы препарата. Дозы: </w:t>
      </w:r>
      <w:r>
        <w:rPr>
          <w:rStyle w:val="CharStyle103"/>
        </w:rPr>
        <w:t>линкомицин (син. Нелорен)</w:t>
      </w:r>
      <w:r>
        <w:rPr>
          <w:lang w:val="ru-RU" w:eastAsia="ru-RU" w:bidi="ru-RU"/>
          <w:w w:val="100"/>
          <w:spacing w:val="0"/>
          <w:color w:val="000000"/>
          <w:position w:val="0"/>
        </w:rPr>
        <w:t xml:space="preserve"> — 30 мг/кг массы тела в 3 приема 10 дней, за 1-2 часа до еды; </w:t>
      </w:r>
      <w:r>
        <w:rPr>
          <w:rStyle w:val="CharStyle103"/>
        </w:rPr>
        <w:t>клиндамицин</w:t>
      </w:r>
      <w:r>
        <w:rPr>
          <w:lang w:val="ru-RU" w:eastAsia="ru-RU" w:bidi="ru-RU"/>
          <w:w w:val="100"/>
          <w:spacing w:val="0"/>
          <w:color w:val="000000"/>
          <w:position w:val="0"/>
        </w:rPr>
        <w:t xml:space="preserve"> — 20 мг/кг массы тела в 3 приема, 10 дней, запивать стаканом воды.</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Патогенетическая терапия острой ревматической лихо</w:t>
        <w:softHyphen/>
        <w:t>радки направлена на подавление активности ревматическо - го процесса и предупреждение формирования порока серд</w:t>
        <w:softHyphen/>
        <w:t>ца при первичном ревмокардите. К средствам патогенети</w:t>
        <w:softHyphen/>
        <w:t>ческой терапии острой ревматической лихорадки относят</w:t>
        <w:softHyphen/>
        <w:t>ся глюкокортикостероиды и нестероидные противовоспа</w:t>
        <w:softHyphen/>
        <w:t xml:space="preserve">лительные препараты. Из группы глюкокортикостероидов назначают препарат короткого действия — </w:t>
      </w:r>
      <w:r>
        <w:rPr>
          <w:rStyle w:val="CharStyle103"/>
        </w:rPr>
        <w:t>преднизолон.</w:t>
      </w:r>
      <w:r>
        <w:rPr>
          <w:lang w:val="ru-RU" w:eastAsia="ru-RU" w:bidi="ru-RU"/>
          <w:w w:val="100"/>
          <w:spacing w:val="0"/>
          <w:color w:val="000000"/>
          <w:position w:val="0"/>
        </w:rPr>
        <w:t xml:space="preserve"> По</w:t>
        <w:softHyphen/>
        <w:t>казаниями для назначения преднизолона являются: высо</w:t>
        <w:softHyphen/>
        <w:br w:type="column"/>
        <w:t>кая активность процесса с преобладанием экссудативного компонента, яркий кардит, полисерозиты.</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Механизм действия:</w:t>
      </w:r>
    </w:p>
    <w:p>
      <w:pPr>
        <w:pStyle w:val="Style30"/>
        <w:numPr>
          <w:ilvl w:val="0"/>
          <w:numId w:val="81"/>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ингибирование воспалительного процесса за счет из - менения функциональной активности лейкоцитов эндотелиальных клеток;</w:t>
      </w:r>
    </w:p>
    <w:p>
      <w:pPr>
        <w:pStyle w:val="Style30"/>
        <w:numPr>
          <w:ilvl w:val="0"/>
          <w:numId w:val="81"/>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подавление активности фосфолипазы А2, имеющей значение в активации простагландинового каскада;</w:t>
      </w:r>
    </w:p>
    <w:p>
      <w:pPr>
        <w:pStyle w:val="Style30"/>
        <w:numPr>
          <w:ilvl w:val="0"/>
          <w:numId w:val="81"/>
        </w:numPr>
        <w:tabs>
          <w:tab w:leader="none" w:pos="515" w:val="left"/>
        </w:tabs>
        <w:widowControl w:val="0"/>
        <w:keepNext w:val="0"/>
        <w:keepLines w:val="0"/>
        <w:shd w:val="clear" w:color="auto" w:fill="auto"/>
        <w:bidi w:val="0"/>
        <w:spacing w:before="0" w:after="0" w:line="206" w:lineRule="exact"/>
        <w:ind w:left="520" w:right="0" w:hanging="240"/>
      </w:pPr>
      <w:r>
        <w:rPr>
          <w:lang w:val="ru-RU" w:eastAsia="ru-RU" w:bidi="ru-RU"/>
          <w:w w:val="100"/>
          <w:spacing w:val="0"/>
          <w:color w:val="000000"/>
          <w:position w:val="0"/>
        </w:rPr>
        <w:t>появление синтеза и конечных эффектов гумораль</w:t>
        <w:softHyphen/>
        <w:t>ных медиаторов воспаления.</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Противопоказания: язвенная болезнь желудка, повыше</w:t>
        <w:softHyphen/>
        <w:t>ние артериального давления, почечная недостаточность, продуктивная симптоматика при психических заболевани</w:t>
        <w:softHyphen/>
        <w:t>ях, гнойные инфекции, грибковые инфекции, туберкулез, сахарный диабет. При взаимодействии с салицилатами уси</w:t>
        <w:softHyphen/>
        <w:t>ливается вероятность кровотечений, с диуретиками — усу</w:t>
        <w:softHyphen/>
        <w:t>губление электролитных нарушений, с сердечными глико- зидами — риск гликозидной интоксикации. Побочные эф</w:t>
        <w:softHyphen/>
        <w:t>фекты: транзиторная гипертония, синдром Иценко-Ку- шинга, гипертрихоз, диспептические явления, ухудшение заживления ран, психические расстройства. Не рекоменду</w:t>
        <w:softHyphen/>
        <w:t>ется назначать при минимальной активности процесса, особенно при повторных атаках на фоне ревматических по - роков сердца из-за усиления дистрофических изменений в миокарде, а в результате — нарастания сердечной недо</w:t>
        <w:softHyphen/>
        <w:t>статочности. Дозы: 0,5-1 мг/кг массы в сутки на 10-14 дней с последующей постепенной отменой по 2,5-5 мг за 3-5 дней так, чтобы полный курс составил 40-45 дней.</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Нестероидные противовоспалительные препараты (пре</w:t>
        <w:softHyphen/>
        <w:t>имущественно производные органических аминокислот) значительно уступают гормональной терапии у детей, но, тем не менее, их используют при низкой степени активности, при повторных атаках. Наиболее широко используются пре</w:t>
        <w:softHyphen/>
        <w:t xml:space="preserve">параты </w:t>
      </w:r>
      <w:r>
        <w:rPr>
          <w:rStyle w:val="CharStyle103"/>
        </w:rPr>
        <w:t>индометацин (син. Метиндол) и диклофенак натрия (син. Ортофен, Диклофен, Наклофен и др.).</w:t>
      </w:r>
      <w:r>
        <w:rPr>
          <w:lang w:val="ru-RU" w:eastAsia="ru-RU" w:bidi="ru-RU"/>
          <w:w w:val="100"/>
          <w:spacing w:val="0"/>
          <w:color w:val="000000"/>
          <w:position w:val="0"/>
        </w:rPr>
        <w:t xml:space="preserve"> Механизм дей</w:t>
        <w:softHyphen/>
        <w:t>ствия основан на подавлении синтеза простагландинов в раз - личных тканях за счет торможения активности фермента циклооксигеназы. Препараты не показаны при эрозивно-яз</w:t>
        <w:softHyphen/>
        <w:t>венных процессах в стадии обострения, при бронхиальной астме. Препараты усиливают действие непрямых антикоагу</w:t>
        <w:softHyphen/>
        <w:t xml:space="preserve">лянтов. </w:t>
      </w:r>
      <w:r>
        <w:rPr>
          <w:rStyle w:val="CharStyle103"/>
        </w:rPr>
        <w:t>Диклофенак</w:t>
      </w:r>
      <w:r>
        <w:rPr>
          <w:lang w:val="ru-RU" w:eastAsia="ru-RU" w:bidi="ru-RU"/>
          <w:w w:val="100"/>
          <w:spacing w:val="0"/>
          <w:color w:val="000000"/>
          <w:position w:val="0"/>
        </w:rPr>
        <w:t xml:space="preserve"> увеличивает концентрацию </w:t>
      </w:r>
      <w:r>
        <w:rPr>
          <w:rStyle w:val="CharStyle103"/>
        </w:rPr>
        <w:t xml:space="preserve">дигоксина </w:t>
      </w:r>
      <w:r>
        <w:rPr>
          <w:lang w:val="ru-RU" w:eastAsia="ru-RU" w:bidi="ru-RU"/>
          <w:w w:val="100"/>
          <w:spacing w:val="0"/>
          <w:color w:val="000000"/>
          <w:position w:val="0"/>
        </w:rPr>
        <w:t>в плазме. Побочные действия: аллергические реакции, неф</w:t>
        <w:softHyphen/>
        <w:t>ропатии, нарушения водно-электролитного обмена, гастро- патии. Дозы: 2-3 мг/кг массы в 3 приема 1,5-2 месяца или до полной нормализации показателей воспалительной активно - сти, возможно увеличение курса до 3-5 месяцев.</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Учитывая возможные изменения в белковом и минераль</w:t>
        <w:softHyphen/>
        <w:t>ном обмене дополнительно назначают препараты калия, ана</w:t>
        <w:softHyphen/>
        <w:t>болические стероиды, а также препараты, улучшающие мета</w:t>
        <w:softHyphen/>
        <w:t xml:space="preserve">болизм: </w:t>
      </w:r>
      <w:r>
        <w:rPr>
          <w:rStyle w:val="CharStyle103"/>
        </w:rPr>
        <w:t>аспартат калия и магния</w:t>
      </w:r>
      <w:r>
        <w:rPr>
          <w:lang w:val="ru-RU" w:eastAsia="ru-RU" w:bidi="ru-RU"/>
          <w:w w:val="100"/>
          <w:spacing w:val="0"/>
          <w:color w:val="000000"/>
          <w:position w:val="0"/>
        </w:rPr>
        <w:t xml:space="preserve"> по 1 таблетке 2-3 раза в день, </w:t>
      </w:r>
      <w:r>
        <w:rPr>
          <w:rStyle w:val="CharStyle103"/>
        </w:rPr>
        <w:t>инозин</w:t>
      </w:r>
      <w:r>
        <w:rPr>
          <w:lang w:val="ru-RU" w:eastAsia="ru-RU" w:bidi="ru-RU"/>
          <w:w w:val="100"/>
          <w:spacing w:val="0"/>
          <w:color w:val="000000"/>
          <w:position w:val="0"/>
        </w:rPr>
        <w:t xml:space="preserve"> — 0,6-1,2 г в день в 3 приема в течение месяца.</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Безусловно, вопросы лечения острой ревматической ли</w:t>
        <w:softHyphen/>
        <w:t>хорадки требуют дальнейшего изучения и совершенствова</w:t>
        <w:softHyphen/>
        <w:t>ния параллельно с изменением характеристик заболевания.</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Первичная профилактика ревматизма</w:t>
      </w:r>
    </w:p>
    <w:p>
      <w:pPr>
        <w:pStyle w:val="Style30"/>
        <w:widowControl w:val="0"/>
        <w:keepNext w:val="0"/>
        <w:keepLines w:val="0"/>
        <w:shd w:val="clear" w:color="auto" w:fill="auto"/>
        <w:bidi w:val="0"/>
        <w:spacing w:before="0" w:after="0" w:line="206" w:lineRule="exact"/>
        <w:ind w:left="0" w:right="0" w:firstLine="280"/>
        <w:sectPr>
          <w:pgSz w:w="11900" w:h="16840"/>
          <w:pgMar w:top="1569" w:left="1022" w:right="991" w:bottom="1751" w:header="0" w:footer="3" w:gutter="0"/>
          <w:rtlGutter w:val="0"/>
          <w:cols w:num="2" w:space="209"/>
          <w:noEndnote/>
          <w:docGrid w:linePitch="360"/>
        </w:sectPr>
      </w:pPr>
      <w:r>
        <w:pict>
          <v:shape id="_x0000_s1456" type="#_x0000_t75" style="position:absolute;margin-left:148.2pt;margin-top:736.8pt;width:209.75pt;height:14.9pt;z-index:-125829091;mso-wrap-distance-left:148.1pt;mso-wrap-distance-right:136.55pt;mso-wrap-distance-bottom:10.8pt;mso-position-horizontal-relative:margin;mso-position-vertical-relative:margin" wrapcoords="0 0 21600 0 21600 21600 0 21600 0 0">
            <v:imagedata r:id="rId717" r:href="rId718"/>
            <w10:wrap type="topAndBottom" anchorx="margin" anchory="margin"/>
          </v:shape>
        </w:pict>
      </w:r>
      <w:r>
        <w:rPr>
          <w:lang w:val="ru-RU" w:eastAsia="ru-RU" w:bidi="ru-RU"/>
          <w:w w:val="100"/>
          <w:spacing w:val="0"/>
          <w:color w:val="000000"/>
          <w:position w:val="0"/>
        </w:rPr>
        <w:t>Пенициллин является препаратом выбора, если нет ал</w:t>
        <w:softHyphen/>
        <w:t>лергии, т.к. доказана его высокая эффективность в отноше</w:t>
        <w:softHyphen/>
        <w:t>нии стрептококка; устойчивых к пенициллину штаммов ге - молитического стрептококка не выявлено. Путь введе</w:t>
        <w:softHyphen/>
        <w:t>ния — внутримышечно или энтерально, что зависит от бо</w:t>
        <w:softHyphen/>
        <w:t>лее удобного способа для пациента и степени риска разви</w:t>
        <w:softHyphen/>
        <w:t>тия ревматической лихорадки. Пенициллин, даже если он назначен через девять дней от начала острого заболевания, эффективно предупреждает первую ревматическую атаку.</w:t>
      </w:r>
    </w:p>
    <w:p>
      <w:pPr>
        <w:pStyle w:val="Style30"/>
        <w:widowControl w:val="0"/>
        <w:keepNext w:val="0"/>
        <w:keepLines w:val="0"/>
        <w:shd w:val="clear" w:color="auto" w:fill="auto"/>
        <w:bidi w:val="0"/>
        <w:spacing w:before="0" w:after="0" w:line="206" w:lineRule="exact"/>
        <w:ind w:left="0" w:right="0" w:firstLine="0"/>
      </w:pPr>
      <w:r>
        <w:rPr>
          <w:lang w:val="ru-RU" w:eastAsia="ru-RU" w:bidi="ru-RU"/>
          <w:w w:val="100"/>
          <w:spacing w:val="0"/>
          <w:color w:val="000000"/>
          <w:position w:val="0"/>
        </w:rPr>
        <w:t>Небольшая задержка старта антибактериальной терапии для выполнения посевов из ротоглотки не увеличивает ри</w:t>
        <w:softHyphen/>
        <w:t>ска возникновения ревматизма. Больной считается некон</w:t>
        <w:softHyphen/>
        <w:t>тагиозным через 24 часа от начала терапии.</w:t>
      </w:r>
    </w:p>
    <w:p>
      <w:pPr>
        <w:pStyle w:val="Style30"/>
        <w:widowControl w:val="0"/>
        <w:keepNext w:val="0"/>
        <w:keepLines w:val="0"/>
        <w:shd w:val="clear" w:color="auto" w:fill="auto"/>
        <w:bidi w:val="0"/>
        <w:spacing w:before="0" w:after="0" w:line="206" w:lineRule="exact"/>
        <w:ind w:left="0" w:right="0" w:firstLine="280"/>
      </w:pPr>
      <w:r>
        <w:rPr>
          <w:rStyle w:val="CharStyle103"/>
        </w:rPr>
        <w:t>Пенициллины для приема внутрь.</w:t>
      </w:r>
      <w:r>
        <w:rPr>
          <w:lang w:val="ru-RU" w:eastAsia="ru-RU" w:bidi="ru-RU"/>
          <w:w w:val="100"/>
          <w:spacing w:val="0"/>
          <w:color w:val="000000"/>
          <w:position w:val="0"/>
        </w:rPr>
        <w:t xml:space="preserve"> Антибиотиком выбора для приема внутрь считается </w:t>
      </w:r>
      <w:r>
        <w:rPr>
          <w:rStyle w:val="CharStyle103"/>
        </w:rPr>
        <w:t>феноксиметилпетциллш (пени</w:t>
        <w:softHyphen/>
        <w:t>циллин V),</w:t>
      </w:r>
      <w:r>
        <w:rPr>
          <w:lang w:val="ru-RU" w:eastAsia="ru-RU" w:bidi="ru-RU"/>
          <w:w w:val="100"/>
          <w:spacing w:val="0"/>
          <w:color w:val="000000"/>
          <w:position w:val="0"/>
        </w:rPr>
        <w:t xml:space="preserve"> который назначается в дозе 40 мг/кг/сут (разделить на три приема), максимальная суточная доза 750 мг. Обычно детям рекомендуется 250 мг два-три раза в сутки; подросткам и взрослым — по 500 мг два-три раза в сутки. Прием следует продолжать 10 дней, даже если все клинические симптомы исчезли через несколько дней от начала острого заболевания. Несмотря на более широкий спектр действия </w:t>
      </w:r>
      <w:r>
        <w:rPr>
          <w:rStyle w:val="CharStyle103"/>
        </w:rPr>
        <w:t xml:space="preserve">ампициллина </w:t>
      </w:r>
      <w:r>
        <w:rPr>
          <w:lang w:val="ru-RU" w:eastAsia="ru-RU" w:bidi="ru-RU"/>
          <w:w w:val="100"/>
          <w:spacing w:val="0"/>
          <w:color w:val="000000"/>
          <w:position w:val="0"/>
        </w:rPr>
        <w:t xml:space="preserve">и </w:t>
      </w:r>
      <w:r>
        <w:rPr>
          <w:rStyle w:val="CharStyle103"/>
        </w:rPr>
        <w:t>амоксициллина,</w:t>
      </w:r>
      <w:r>
        <w:rPr>
          <w:lang w:val="ru-RU" w:eastAsia="ru-RU" w:bidi="ru-RU"/>
          <w:w w:val="100"/>
          <w:spacing w:val="0"/>
          <w:color w:val="000000"/>
          <w:position w:val="0"/>
        </w:rPr>
        <w:t xml:space="preserve"> не отмечено большего эффекта от их приме</w:t>
        <w:softHyphen/>
        <w:t>нения, а стоимость этих препаратов значительно выше.</w:t>
      </w:r>
    </w:p>
    <w:p>
      <w:pPr>
        <w:pStyle w:val="Style30"/>
        <w:widowControl w:val="0"/>
        <w:keepNext w:val="0"/>
        <w:keepLines w:val="0"/>
        <w:shd w:val="clear" w:color="auto" w:fill="auto"/>
        <w:bidi w:val="0"/>
        <w:spacing w:before="0" w:after="0" w:line="206" w:lineRule="exact"/>
        <w:ind w:left="0" w:right="0" w:firstLine="280"/>
      </w:pPr>
      <w:r>
        <w:rPr>
          <w:rStyle w:val="CharStyle103"/>
        </w:rPr>
        <w:t>Пролонгированные пенициллины для внутримышечного вве</w:t>
        <w:softHyphen/>
        <w:t>дения.</w:t>
      </w:r>
      <w:r>
        <w:rPr>
          <w:lang w:val="ru-RU" w:eastAsia="ru-RU" w:bidi="ru-RU"/>
          <w:w w:val="100"/>
          <w:spacing w:val="0"/>
          <w:color w:val="000000"/>
          <w:position w:val="0"/>
        </w:rPr>
        <w:t xml:space="preserve"> Пролонгированные препараты пенициллина назна</w:t>
        <w:softHyphen/>
        <w:t>чаются внутримышечно, если не представляется реальным завершить лечение стрептококкового заболевания в тече</w:t>
        <w:softHyphen/>
        <w:t xml:space="preserve">ние 10 дней, при указаниях в генеалогическом анамнезе на ревматические заболевания и/или при неблагоприятных социально-экономических условиях. Оптимальная доза пролонгированного пенициллина — </w:t>
      </w:r>
      <w:r>
        <w:rPr>
          <w:rStyle w:val="CharStyle103"/>
        </w:rPr>
        <w:t>бициллина-1(5)</w:t>
      </w:r>
      <w:r>
        <w:rPr>
          <w:lang w:val="ru-RU" w:eastAsia="ru-RU" w:bidi="ru-RU"/>
          <w:w w:val="100"/>
          <w:spacing w:val="0"/>
          <w:color w:val="000000"/>
          <w:position w:val="0"/>
        </w:rPr>
        <w:t xml:space="preserve"> равна 600 000 ЕД в/м при весе 27 кг и меньше либо 1 200 000 ЕД при весе более 27 кг. Для того чтобы введение было менее болезненным, рекомендуется комбинация в одном шприце 900 000 ЕД бициллина + 300 000 ЕД обычного </w:t>
      </w:r>
      <w:r>
        <w:rPr>
          <w:rStyle w:val="CharStyle103"/>
        </w:rPr>
        <w:t>бензилпени</w:t>
        <w:softHyphen/>
        <w:t>циллина натриевой соли.</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Макролиды назначаются детям с аллергией на пеницил</w:t>
        <w:softHyphen/>
        <w:t>лины, курс лечения составляет 10 дней. Обычно рекомен</w:t>
        <w:softHyphen/>
        <w:t xml:space="preserve">дуется </w:t>
      </w:r>
      <w:r>
        <w:rPr>
          <w:rStyle w:val="CharStyle103"/>
        </w:rPr>
        <w:t>эритромицин</w:t>
      </w:r>
      <w:r>
        <w:rPr>
          <w:lang w:val="ru-RU" w:eastAsia="ru-RU" w:bidi="ru-RU"/>
          <w:w w:val="100"/>
          <w:spacing w:val="0"/>
          <w:color w:val="000000"/>
          <w:position w:val="0"/>
        </w:rPr>
        <w:t xml:space="preserve"> 20-40 мг/кг/сут в два приема, макси</w:t>
        <w:softHyphen/>
        <w:t xml:space="preserve">мальная доза 1 г/сут. Терапия второго ряда для возраста 16 лет и старше может проводиться </w:t>
      </w:r>
      <w:r>
        <w:rPr>
          <w:rStyle w:val="CharStyle103"/>
        </w:rPr>
        <w:t>азитромицином</w:t>
      </w:r>
      <w:r>
        <w:rPr>
          <w:lang w:val="ru-RU" w:eastAsia="ru-RU" w:bidi="ru-RU"/>
          <w:w w:val="100"/>
          <w:spacing w:val="0"/>
          <w:color w:val="000000"/>
          <w:position w:val="0"/>
        </w:rPr>
        <w:t xml:space="preserve"> — 500 мг единственная доза в первый день и 250 мг единствен</w:t>
        <w:softHyphen/>
        <w:t>ной дозой в последующие четыре дня.</w:t>
      </w:r>
    </w:p>
    <w:p>
      <w:pPr>
        <w:pStyle w:val="Style30"/>
        <w:widowControl w:val="0"/>
        <w:keepNext w:val="0"/>
        <w:keepLines w:val="0"/>
        <w:shd w:val="clear" w:color="auto" w:fill="auto"/>
        <w:bidi w:val="0"/>
        <w:spacing w:before="0" w:after="0" w:line="206" w:lineRule="exact"/>
        <w:ind w:left="0" w:right="0" w:firstLine="280"/>
      </w:pPr>
      <w:r>
        <w:rPr>
          <w:rStyle w:val="CharStyle103"/>
        </w:rPr>
        <w:t>Цефалоспорины для энтерального приема.</w:t>
      </w:r>
      <w:r>
        <w:rPr>
          <w:lang w:val="ru-RU" w:eastAsia="ru-RU" w:bidi="ru-RU"/>
          <w:w w:val="100"/>
          <w:spacing w:val="0"/>
          <w:color w:val="000000"/>
          <w:position w:val="0"/>
        </w:rPr>
        <w:t xml:space="preserve"> 10-дневный курс цефалоспоринов энтерально является еще одной альтерна</w:t>
        <w:softHyphen/>
        <w:t>тивой для пациентов с аллергией на пенициллины. Более ра</w:t>
        <w:softHyphen/>
        <w:t>циональным является использование цефалоспоринов узко</w:t>
        <w:softHyphen/>
        <w:t xml:space="preserve">го спектра, таких как </w:t>
      </w:r>
      <w:r>
        <w:rPr>
          <w:rStyle w:val="CharStyle103"/>
        </w:rPr>
        <w:t>цефадроксил</w:t>
      </w:r>
      <w:r>
        <w:rPr>
          <w:lang w:val="ru-RU" w:eastAsia="ru-RU" w:bidi="ru-RU"/>
          <w:w w:val="100"/>
          <w:spacing w:val="0"/>
          <w:color w:val="000000"/>
          <w:position w:val="0"/>
        </w:rPr>
        <w:t xml:space="preserve"> (30 мг/кг/сутки в 2 при</w:t>
        <w:softHyphen/>
        <w:t xml:space="preserve">ема) или </w:t>
      </w:r>
      <w:r>
        <w:rPr>
          <w:rStyle w:val="CharStyle103"/>
        </w:rPr>
        <w:t>цефалексин</w:t>
      </w:r>
      <w:r>
        <w:rPr>
          <w:lang w:val="ru-RU" w:eastAsia="ru-RU" w:bidi="ru-RU"/>
          <w:w w:val="100"/>
          <w:spacing w:val="0"/>
          <w:color w:val="000000"/>
          <w:position w:val="0"/>
        </w:rPr>
        <w:t xml:space="preserve"> (25-50 мг/кг в сутки при массе тела ме</w:t>
        <w:softHyphen/>
        <w:t>нее 40 кг, при тяжелой инфекции дозу увеличивают до 100 мг/кг в сутки). Курс лечения также составляет 10 дней.</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Сохранение высева в-гемолитического стрептококка А (БГСА) из носоглотки после одного из указанных выше курсов антибактериальной терапии у клинически бессимп</w:t>
        <w:softHyphen/>
        <w:t>томных пациентов обычно не требует повторного курса лече</w:t>
        <w:softHyphen/>
        <w:t>ния, которое показано перенесшим ревматическую атаку и членам семей, больных ревматизмом. Если же наряду с вы - севом БСГА сохраняются клинические симптомы фарингита после завершения первого курса антибактериальной тера</w:t>
        <w:softHyphen/>
        <w:t xml:space="preserve">пии, рекомендуется второй курс провести по другой схеме — </w:t>
      </w:r>
      <w:r>
        <w:rPr>
          <w:rStyle w:val="CharStyle103"/>
        </w:rPr>
        <w:t>амоксиклавом</w:t>
      </w:r>
      <w:r>
        <w:rPr>
          <w:lang w:val="ru-RU" w:eastAsia="ru-RU" w:bidi="ru-RU"/>
          <w:w w:val="100"/>
          <w:spacing w:val="0"/>
          <w:color w:val="000000"/>
          <w:position w:val="0"/>
        </w:rPr>
        <w:t xml:space="preserve"> (детям от 3 мес до 12 лет — по 30 мг/кг массы тела через 8 часов), цефалоспоринами, </w:t>
      </w:r>
      <w:r>
        <w:rPr>
          <w:rStyle w:val="CharStyle103"/>
        </w:rPr>
        <w:t>клиндамицином</w:t>
      </w:r>
      <w:r>
        <w:rPr>
          <w:lang w:val="ru-RU" w:eastAsia="ru-RU" w:bidi="ru-RU"/>
          <w:w w:val="100"/>
          <w:spacing w:val="0"/>
          <w:color w:val="000000"/>
          <w:position w:val="0"/>
        </w:rPr>
        <w:t xml:space="preserve"> (но</w:t>
        <w:softHyphen/>
        <w:t>ворожденным — 15-20 мг/кг в день в 3-4 приема; детям стар</w:t>
        <w:softHyphen/>
        <w:t xml:space="preserve">ше 1 мес — 20-25 мг/кг в день) либо комбинацией </w:t>
      </w:r>
      <w:r>
        <w:rPr>
          <w:rStyle w:val="CharStyle103"/>
        </w:rPr>
        <w:t>пеницилли</w:t>
        <w:softHyphen/>
        <w:t>на с рифампицином</w:t>
      </w:r>
      <w:r>
        <w:rPr>
          <w:lang w:val="ru-RU" w:eastAsia="ru-RU" w:bidi="ru-RU"/>
          <w:w w:val="100"/>
          <w:spacing w:val="0"/>
          <w:color w:val="000000"/>
          <w:position w:val="0"/>
        </w:rPr>
        <w:t xml:space="preserve"> (средняя суточная доза для детей старше 3-х лет составляет 10 мг/кг, но не более 450 мг в сутки).</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Вторичная профилактика ревматизма</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Проводится всем детям после перенесенной атаки ревма</w:t>
        <w:softHyphen/>
        <w:t>тизма ввиду высокого риска рецидива на фоне стрептококко</w:t>
        <w:softHyphen/>
        <w:t>вого фарингита. Для этого не обязательны явные клинические симптомы фарингита, более того, ревматическая атака может</w:t>
        <w:br w:type="column"/>
        <w:t>развиться, даже если местное лечение проводится эффектив</w:t>
        <w:softHyphen/>
        <w:t>но. Поэтому профилактика рецидивов ревматизма основана на непрерывном профилактическом применении антибакте</w:t>
        <w:softHyphen/>
        <w:t>риальных препаратов. Доказано, что именно постоянная анти</w:t>
        <w:softHyphen/>
        <w:t>бактериальная профилактика обеспечивает максимальную за</w:t>
        <w:softHyphen/>
        <w:t>щиту от повторных ревматических атак. Риск рецидива ревма</w:t>
        <w:softHyphen/>
        <w:t>тической лихорадки выше при множественных предшествую</w:t>
        <w:softHyphen/>
        <w:t>щих атаках и снижается с увеличением интервала времени, прошедшего от последней атаки. Кроме того, вероятность присоединения стрептококковой инфекции верхних дыха</w:t>
        <w:softHyphen/>
        <w:t>тельных путей является серьезным фактором риска рецидива. Для больных с поражением клапанов рекомендуется профи</w:t>
        <w:softHyphen/>
        <w:t>лактика на протяжении по меньшей мере 10 лет от последней ревматической атаки, продолжительность профилактики — по крайней мере до 18 лет. Профилактику следует проводить даже после выполнения операции по поводу клапанного порока, включая протезирование клапанов. Для пациентов, перенес</w:t>
        <w:softHyphen/>
        <w:t>ших ревматический эндокардит без формирования клапанно</w:t>
        <w:softHyphen/>
        <w:t>го порока, профилактика должна продолжаться 10 лет.</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Если же ребенок перенес ревматическую атаку без при</w:t>
        <w:softHyphen/>
        <w:t>знаков кардита, он имеет относительно невысокую степень риска поражения сердца при повторной атаке. Поэтому про - филактика у таких больных может быть прекращена через несколько лет. В целом рекомендуется, чтобы она продолжа</w:t>
        <w:softHyphen/>
        <w:t>лась пять лет с момента последней атаки и до достижения па</w:t>
        <w:softHyphen/>
        <w:t>циентом возраста 21 года, при необходимости — дольше.</w:t>
      </w:r>
    </w:p>
    <w:p>
      <w:pPr>
        <w:pStyle w:val="Style107"/>
        <w:widowControl w:val="0"/>
        <w:keepNext w:val="0"/>
        <w:keepLines w:val="0"/>
        <w:shd w:val="clear" w:color="auto" w:fill="auto"/>
        <w:bidi w:val="0"/>
        <w:spacing w:before="0" w:after="0" w:line="206" w:lineRule="exact"/>
        <w:ind w:left="0" w:right="0"/>
      </w:pPr>
      <w:r>
        <w:rPr>
          <w:lang w:val="ru-RU" w:eastAsia="ru-RU" w:bidi="ru-RU"/>
          <w:w w:val="100"/>
          <w:spacing w:val="0"/>
          <w:color w:val="000000"/>
          <w:position w:val="0"/>
        </w:rPr>
        <w:t>Препараты для вторичной профилактики</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 xml:space="preserve">Внутримышечное введение </w:t>
      </w:r>
      <w:r>
        <w:rPr>
          <w:rStyle w:val="CharStyle103"/>
        </w:rPr>
        <w:t>бициллина-1(5)</w:t>
      </w:r>
      <w:r>
        <w:rPr>
          <w:lang w:val="ru-RU" w:eastAsia="ru-RU" w:bidi="ru-RU"/>
          <w:w w:val="100"/>
          <w:spacing w:val="0"/>
          <w:color w:val="000000"/>
          <w:position w:val="0"/>
        </w:rPr>
        <w:t xml:space="preserve"> каждые че</w:t>
        <w:softHyphen/>
        <w:t>тыре недели. В ситуации высокого риска, например при те</w:t>
        <w:softHyphen/>
        <w:t xml:space="preserve">кущем ревматическом кардите, рекомендуется введение </w:t>
      </w:r>
      <w:r>
        <w:rPr>
          <w:rStyle w:val="CharStyle103"/>
        </w:rPr>
        <w:t>би- циллина-1(5)</w:t>
      </w:r>
      <w:r>
        <w:rPr>
          <w:lang w:val="ru-RU" w:eastAsia="ru-RU" w:bidi="ru-RU"/>
          <w:w w:val="100"/>
          <w:spacing w:val="0"/>
          <w:color w:val="000000"/>
          <w:position w:val="0"/>
        </w:rPr>
        <w:t xml:space="preserve"> каждые три недели. Внутримышечное введе</w:t>
        <w:softHyphen/>
        <w:t xml:space="preserve">ние </w:t>
      </w:r>
      <w:r>
        <w:rPr>
          <w:rStyle w:val="CharStyle103"/>
        </w:rPr>
        <w:t>бициллина</w:t>
      </w:r>
      <w:r>
        <w:rPr>
          <w:lang w:val="ru-RU" w:eastAsia="ru-RU" w:bidi="ru-RU"/>
          <w:w w:val="100"/>
          <w:spacing w:val="0"/>
          <w:color w:val="000000"/>
          <w:position w:val="0"/>
        </w:rPr>
        <w:t xml:space="preserve"> особенно важно при высоком риске рециди</w:t>
        <w:softHyphen/>
        <w:t xml:space="preserve">ва ревматической атаки, для страдающих ревматическим поражением сердца больных. В этих случаях обязательно продолжать постоянную профилактику </w:t>
      </w:r>
      <w:r>
        <w:rPr>
          <w:rStyle w:val="CharStyle103"/>
        </w:rPr>
        <w:t>бициллином,</w:t>
      </w:r>
      <w:r>
        <w:rPr>
          <w:lang w:val="ru-RU" w:eastAsia="ru-RU" w:bidi="ru-RU"/>
          <w:w w:val="100"/>
          <w:spacing w:val="0"/>
          <w:color w:val="000000"/>
          <w:position w:val="0"/>
        </w:rPr>
        <w:t xml:space="preserve"> несмо</w:t>
        <w:softHyphen/>
        <w:t>тря на дискомфорт от инъекций.</w:t>
      </w:r>
    </w:p>
    <w:p>
      <w:pPr>
        <w:pStyle w:val="Style107"/>
        <w:widowControl w:val="0"/>
        <w:keepNext w:val="0"/>
        <w:keepLines w:val="0"/>
        <w:shd w:val="clear" w:color="auto" w:fill="auto"/>
        <w:bidi w:val="0"/>
        <w:spacing w:before="0" w:after="0" w:line="206" w:lineRule="exact"/>
        <w:ind w:left="0" w:right="0"/>
      </w:pPr>
      <w:r>
        <w:rPr>
          <w:lang w:val="ru-RU" w:eastAsia="ru-RU" w:bidi="ru-RU"/>
          <w:w w:val="100"/>
          <w:spacing w:val="0"/>
          <w:color w:val="000000"/>
          <w:position w:val="0"/>
        </w:rPr>
        <w:t>Препараты для энтерального приема</w:t>
      </w:r>
    </w:p>
    <w:p>
      <w:pPr>
        <w:pStyle w:val="Style30"/>
        <w:widowControl w:val="0"/>
        <w:keepNext w:val="0"/>
        <w:keepLines w:val="0"/>
        <w:shd w:val="clear" w:color="auto" w:fill="auto"/>
        <w:bidi w:val="0"/>
        <w:spacing w:before="0" w:after="0" w:line="206" w:lineRule="exact"/>
        <w:ind w:left="0" w:right="0" w:firstLine="280"/>
      </w:pPr>
      <w:r>
        <w:rPr>
          <w:lang w:val="ru-RU" w:eastAsia="ru-RU" w:bidi="ru-RU"/>
          <w:w w:val="100"/>
          <w:spacing w:val="0"/>
          <w:color w:val="000000"/>
          <w:position w:val="0"/>
        </w:rPr>
        <w:t>Успешная профилактика препаратами для энтерального приема зависит прежде всего от аккуратности выполнения назначений пациентом. Однако даже при точном соблюде</w:t>
        <w:softHyphen/>
        <w:t xml:space="preserve">нии режима приема препаратов риск рецидива все-таки вы - ше, чем при внутримышечном введении </w:t>
      </w:r>
      <w:r>
        <w:rPr>
          <w:rStyle w:val="CharStyle103"/>
        </w:rPr>
        <w:t>бициллина.</w:t>
      </w:r>
      <w:r>
        <w:rPr>
          <w:lang w:val="ru-RU" w:eastAsia="ru-RU" w:bidi="ru-RU"/>
          <w:w w:val="100"/>
          <w:spacing w:val="0"/>
          <w:color w:val="000000"/>
          <w:position w:val="0"/>
        </w:rPr>
        <w:t xml:space="preserve"> Поэто</w:t>
        <w:softHyphen/>
        <w:t>му энтеральный прием рекомендуется при сравнительно низком риске, например в позднем подростковом или мо</w:t>
        <w:softHyphen/>
        <w:t>лодом возрасте, когда после последней ревматической ата</w:t>
        <w:softHyphen/>
        <w:t>ки прошло по меньшей мере пять лет.</w:t>
      </w:r>
    </w:p>
    <w:p>
      <w:pPr>
        <w:pStyle w:val="Style30"/>
        <w:widowControl w:val="0"/>
        <w:keepNext w:val="0"/>
        <w:keepLines w:val="0"/>
        <w:shd w:val="clear" w:color="auto" w:fill="auto"/>
        <w:bidi w:val="0"/>
        <w:spacing w:before="0" w:after="0" w:line="206" w:lineRule="exact"/>
        <w:ind w:left="0" w:right="0" w:firstLine="280"/>
      </w:pPr>
      <w:r>
        <w:rPr>
          <w:rStyle w:val="CharStyle103"/>
        </w:rPr>
        <w:t>Феноксиметилпенициллин (пенициллин V).</w:t>
      </w:r>
      <w:r>
        <w:rPr>
          <w:lang w:val="ru-RU" w:eastAsia="ru-RU" w:bidi="ru-RU"/>
          <w:w w:val="100"/>
          <w:spacing w:val="0"/>
          <w:color w:val="000000"/>
          <w:position w:val="0"/>
        </w:rPr>
        <w:t xml:space="preserve"> Доза для детей и взрослых составляет 250 мг два раза в день. Не опублико</w:t>
        <w:softHyphen/>
        <w:t>вано данных об использовании других пенициллинов, мак</w:t>
        <w:softHyphen/>
        <w:t>ролидов или цефалоспоринов для вторичной профилакти</w:t>
        <w:softHyphen/>
        <w:t>ки ревматизма.</w:t>
      </w:r>
    </w:p>
    <w:p>
      <w:pPr>
        <w:pStyle w:val="Style30"/>
        <w:widowControl w:val="0"/>
        <w:keepNext w:val="0"/>
        <w:keepLines w:val="0"/>
        <w:shd w:val="clear" w:color="auto" w:fill="auto"/>
        <w:bidi w:val="0"/>
        <w:spacing w:before="0" w:after="0" w:line="206" w:lineRule="exact"/>
        <w:ind w:left="0" w:right="0" w:firstLine="280"/>
      </w:pPr>
      <w:r>
        <w:rPr>
          <w:rStyle w:val="CharStyle103"/>
        </w:rPr>
        <w:t>Эритромицин.</w:t>
      </w:r>
      <w:r>
        <w:rPr>
          <w:lang w:val="ru-RU" w:eastAsia="ru-RU" w:bidi="ru-RU"/>
          <w:w w:val="100"/>
          <w:spacing w:val="0"/>
          <w:color w:val="000000"/>
          <w:position w:val="0"/>
        </w:rPr>
        <w:t xml:space="preserve"> Для пациентов с аллергией на пеницил- лины можно использовать </w:t>
      </w:r>
      <w:r>
        <w:rPr>
          <w:rStyle w:val="CharStyle103"/>
        </w:rPr>
        <w:t>эритромицин</w:t>
      </w:r>
      <w:r>
        <w:rPr>
          <w:lang w:val="ru-RU" w:eastAsia="ru-RU" w:bidi="ru-RU"/>
          <w:w w:val="100"/>
          <w:spacing w:val="0"/>
          <w:color w:val="000000"/>
          <w:position w:val="0"/>
        </w:rPr>
        <w:t xml:space="preserve"> в дозе для детей школьного возраста и взрослых по 250 мг 2 раза в день.</w:t>
      </w:r>
    </w:p>
    <w:p>
      <w:pPr>
        <w:pStyle w:val="Style30"/>
        <w:widowControl w:val="0"/>
        <w:keepNext w:val="0"/>
        <w:keepLines w:val="0"/>
        <w:shd w:val="clear" w:color="auto" w:fill="auto"/>
        <w:bidi w:val="0"/>
        <w:spacing w:before="0" w:after="0" w:line="206" w:lineRule="exact"/>
        <w:ind w:left="0" w:right="0" w:firstLine="280"/>
        <w:sectPr>
          <w:headerReference w:type="even" r:id="rId719"/>
          <w:headerReference w:type="default" r:id="rId720"/>
          <w:headerReference w:type="first" r:id="rId721"/>
          <w:pgSz w:w="11900" w:h="16840"/>
          <w:pgMar w:top="1569" w:left="1022" w:right="991" w:bottom="1751" w:header="0" w:footer="3" w:gutter="0"/>
          <w:rtlGutter w:val="0"/>
          <w:cols w:num="2" w:space="209"/>
          <w:noEndnote/>
          <w:docGrid w:linePitch="360"/>
        </w:sectPr>
      </w:pPr>
      <w:r>
        <w:rPr>
          <w:rStyle w:val="CharStyle103"/>
        </w:rPr>
        <w:t>Сульфадиазин.</w:t>
      </w:r>
      <w:r>
        <w:rPr>
          <w:lang w:val="ru-RU" w:eastAsia="ru-RU" w:bidi="ru-RU"/>
          <w:w w:val="100"/>
          <w:spacing w:val="0"/>
          <w:color w:val="000000"/>
          <w:position w:val="0"/>
        </w:rPr>
        <w:t xml:space="preserve"> Хотя применение сульфаниламидов неэф</w:t>
        <w:softHyphen/>
        <w:t>фективно с целью эрадикации гемолитического стрептококка группы А, они предупреждают развитие инфекции. Рекомен</w:t>
        <w:softHyphen/>
        <w:t xml:space="preserve">дуемая доза </w:t>
      </w:r>
      <w:r>
        <w:rPr>
          <w:rStyle w:val="CharStyle103"/>
        </w:rPr>
        <w:t>сульфадиазина</w:t>
      </w:r>
      <w:r>
        <w:rPr>
          <w:lang w:val="ru-RU" w:eastAsia="ru-RU" w:bidi="ru-RU"/>
          <w:w w:val="100"/>
          <w:spacing w:val="0"/>
          <w:color w:val="000000"/>
          <w:position w:val="0"/>
        </w:rPr>
        <w:t xml:space="preserve"> составляет 0,5 г один раз в сутки при весе 27 кг и менее; 1,0 г один раз вдень для пациентов ве</w:t>
        <w:softHyphen/>
        <w:t xml:space="preserve">сом более 27 кг. </w:t>
      </w:r>
      <w:r>
        <w:rPr>
          <w:rStyle w:val="CharStyle103"/>
        </w:rPr>
        <w:t>Сульфадиазин</w:t>
      </w:r>
      <w:r>
        <w:rPr>
          <w:lang w:val="ru-RU" w:eastAsia="ru-RU" w:bidi="ru-RU"/>
          <w:w w:val="100"/>
          <w:spacing w:val="0"/>
          <w:color w:val="000000"/>
          <w:position w:val="0"/>
        </w:rPr>
        <w:t xml:space="preserve"> более эффективен для вторич</w:t>
        <w:softHyphen/>
        <w:t>ной профилактики. Профилактика ревматизма сульфанила</w:t>
        <w:softHyphen/>
        <w:t>мидами противопоказана во второй половине беременности в связи с проникновением препарата через плаценту.</w:t>
      </w:r>
    </w:p>
    <w:p>
      <w:pPr>
        <w:widowControl w:val="0"/>
        <w:rPr>
          <w:sz w:val="2"/>
          <w:szCs w:val="2"/>
        </w:rPr>
      </w:pPr>
      <w:r>
        <w:pict>
          <v:shape id="_x0000_s1459" type="#_x0000_t202" style="position:static;width:595.pt;height:79.9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460" type="#_x0000_t75" style="position:absolute;margin-left:132.05pt;margin-top:0;width:209.75pt;height:14.9pt;z-index:-251658688;mso-wrap-distance-left:5.pt;mso-wrap-distance-right:5.pt;mso-position-horizontal-relative:margin" wrapcoords="0 0">
            <v:imagedata r:id="rId722" r:href="rId723"/>
            <w10:wrap anchorx="margin"/>
          </v:shape>
        </w:pict>
      </w:r>
    </w:p>
    <w:p>
      <w:pPr>
        <w:widowControl w:val="0"/>
        <w:rPr>
          <w:sz w:val="2"/>
          <w:szCs w:val="2"/>
        </w:rPr>
        <w:sectPr>
          <w:type w:val="continuous"/>
          <w:pgSz w:w="11900" w:h="16840"/>
          <w:pgMar w:top="1468" w:left="1119" w:right="898" w:bottom="192" w:header="0" w:footer="3" w:gutter="0"/>
          <w:rtlGutter w:val="0"/>
          <w:cols w:space="720"/>
          <w:noEndnote/>
          <w:docGrid w:linePitch="360"/>
        </w:sectPr>
      </w:pPr>
    </w:p>
    <w:p>
      <w:pPr>
        <w:pStyle w:val="Style141"/>
        <w:widowControl w:val="0"/>
        <w:keepNext/>
        <w:keepLines/>
        <w:shd w:val="clear" w:color="auto" w:fill="auto"/>
        <w:bidi w:val="0"/>
        <w:jc w:val="left"/>
        <w:spacing w:before="0" w:after="274" w:line="340" w:lineRule="exact"/>
        <w:ind w:left="2300" w:right="0" w:firstLine="0"/>
      </w:pPr>
      <w:r>
        <w:rPr>
          <w:lang w:val="ru-RU" w:eastAsia="ru-RU" w:bidi="ru-RU"/>
          <w:w w:val="100"/>
          <w:spacing w:val="0"/>
          <w:color w:val="000000"/>
          <w:position w:val="0"/>
        </w:rPr>
        <w:t>ГлаваV</w:t>
      </w:r>
    </w:p>
    <w:p>
      <w:pPr>
        <w:pStyle w:val="Style15"/>
        <w:widowControl w:val="0"/>
        <w:keepNext/>
        <w:keepLines/>
        <w:shd w:val="clear" w:color="auto" w:fill="auto"/>
        <w:bidi w:val="0"/>
        <w:jc w:val="left"/>
        <w:spacing w:before="0" w:after="0" w:line="340" w:lineRule="exact"/>
        <w:ind w:left="2300" w:right="0" w:firstLine="0"/>
        <w:sectPr>
          <w:pgSz w:w="11900" w:h="16840"/>
          <w:pgMar w:top="1800" w:left="903" w:right="1124" w:bottom="206" w:header="0" w:footer="3" w:gutter="0"/>
          <w:rtlGutter w:val="0"/>
          <w:cols w:space="720"/>
          <w:noEndnote/>
          <w:docGrid w:linePitch="360"/>
        </w:sectPr>
      </w:pPr>
      <w:bookmarkStart w:id="488" w:name="bookmark488"/>
      <w:r>
        <w:rPr>
          <w:lang w:val="ru-RU" w:eastAsia="ru-RU" w:bidi="ru-RU"/>
          <w:w w:val="100"/>
          <w:spacing w:val="0"/>
          <w:color w:val="000000"/>
          <w:position w:val="0"/>
        </w:rPr>
        <w:t>БОЛЕЗНИ ЭНДОКАРДА</w:t>
      </w:r>
      <w:bookmarkEnd w:id="488"/>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51" w:after="51" w:line="240" w:lineRule="exact"/>
        <w:rPr>
          <w:sz w:val="19"/>
          <w:szCs w:val="19"/>
        </w:rPr>
      </w:pPr>
    </w:p>
    <w:p>
      <w:pPr>
        <w:widowControl w:val="0"/>
        <w:rPr>
          <w:sz w:val="2"/>
          <w:szCs w:val="2"/>
        </w:rPr>
        <w:sectPr>
          <w:type w:val="continuous"/>
          <w:pgSz w:w="11900" w:h="16840"/>
          <w:pgMar w:top="1569" w:left="0" w:right="0" w:bottom="1795" w:header="0" w:footer="3" w:gutter="0"/>
          <w:rtlGutter w:val="0"/>
          <w:cols w:space="720"/>
          <w:noEndnote/>
          <w:docGrid w:linePitch="360"/>
        </w:sectPr>
      </w:pPr>
    </w:p>
    <w:p>
      <w:pPr>
        <w:widowControl w:val="0"/>
        <w:rPr>
          <w:sz w:val="2"/>
          <w:szCs w:val="2"/>
        </w:rPr>
      </w:pPr>
      <w:r>
        <w:pict>
          <v:shape id="_x0000_s1461" type="#_x0000_t75" style="position:absolute;margin-left:141.4pt;margin-top:608.9pt;width:209.75pt;height:14.9pt;z-index:-125829090;mso-wrap-distance-left:147.6pt;mso-wrap-distance-right:136.55pt;mso-wrap-distance-bottom:10.8pt;mso-position-horizontal-relative:margin" wrapcoords="0 0 21600 0 21600 21600 0 21600 0 0">
            <v:imagedata r:id="rId724" r:href="rId725"/>
            <w10:wrap type="topAndBottom" anchorx="margin"/>
          </v:shape>
        </w:pict>
      </w:r>
    </w:p>
    <w:p>
      <w:pPr>
        <w:pStyle w:val="Style28"/>
        <w:widowControl w:val="0"/>
        <w:keepNext/>
        <w:keepLines/>
        <w:shd w:val="clear" w:color="auto" w:fill="auto"/>
        <w:bidi w:val="0"/>
        <w:jc w:val="left"/>
        <w:spacing w:before="0" w:after="157" w:line="220" w:lineRule="exact"/>
        <w:ind w:left="0" w:right="0" w:firstLine="0"/>
      </w:pPr>
      <w:bookmarkStart w:id="489" w:name="bookmark489"/>
      <w:r>
        <w:rPr>
          <w:lang w:val="ru-RU" w:eastAsia="ru-RU" w:bidi="ru-RU"/>
          <w:w w:val="100"/>
          <w:spacing w:val="0"/>
          <w:color w:val="000000"/>
          <w:position w:val="0"/>
        </w:rPr>
        <w:t>Инфекционный эндокардит</w:t>
      </w:r>
      <w:bookmarkEnd w:id="48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Инфекционный эндокардит (ИЭ) — заболевание сердца инфекционной природы с первичным поражением эндо</w:t>
        <w:softHyphen/>
        <w:t>карда, связочного аппарата или клапанов сердца с последу</w:t>
        <w:softHyphen/>
        <w:t>ющей диссеминацией процесса в различные органы.</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Введение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последнее десятилетие клиническая картина инфек</w:t>
        <w:softHyphen/>
        <w:t>ционного эндокардита (ИЭ) приобрела ряд особенностей по сравнению с «классическим течением», что зависит, в первую очередь, от большого количества так называемых «новых», зачастую нозокомиальных эндокардитов, поли- этиологичности современных форм болезни, от проводи</w:t>
        <w:softHyphen/>
        <w:t>мого в начале заболевания антибактериального лечения при еще неустановленном диагнозе по поводу «лихорадки неясного генеза» (часто неадекватными дозами антибиоти</w:t>
        <w:softHyphen/>
        <w:t>ков, короткими курсами) и других факторов. Заболевание стало устойчивее к антибактериальной терапии, поражает все возрастные группы, в том числе новорожденных. Ин</w:t>
        <w:softHyphen/>
        <w:t>фекционный эндокардит может быть эпизодом поражения сердца в картине генерализованного сепсиса (весьма редко в наши дни) и чаще всего самостоятельным поражением или меньшей генерализацией инфекционного процесса.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Краткая историческая справка</w:t>
      </w:r>
    </w:p>
    <w:p>
      <w:pPr>
        <w:pStyle w:val="Style30"/>
        <w:numPr>
          <w:ilvl w:val="0"/>
          <w:numId w:val="7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Одно из первых описаний эндокардита принадлежит </w:t>
      </w:r>
      <w:r>
        <w:rPr>
          <w:lang w:val="en-US" w:eastAsia="en-US" w:bidi="en-US"/>
          <w:w w:val="100"/>
          <w:spacing w:val="0"/>
          <w:color w:val="000000"/>
          <w:position w:val="0"/>
        </w:rPr>
        <w:t xml:space="preserve">Lazare Riviere </w:t>
      </w:r>
      <w:r>
        <w:rPr>
          <w:lang w:val="ru-RU" w:eastAsia="ru-RU" w:bidi="ru-RU"/>
          <w:w w:val="100"/>
          <w:spacing w:val="0"/>
          <w:color w:val="000000"/>
          <w:position w:val="0"/>
        </w:rPr>
        <w:t>в 1646 году. Автор обнаружил при пато</w:t>
        <w:softHyphen/>
        <w:t>логоанатомическом вскрытии «в полости левого же</w:t>
        <w:softHyphen/>
        <w:t>лудочка округлые образования, напоминающие орешки, расположенные в виде гроздей винограда и закрывающие просвет аорты».</w:t>
      </w:r>
    </w:p>
    <w:p>
      <w:pPr>
        <w:pStyle w:val="Style30"/>
        <w:numPr>
          <w:ilvl w:val="0"/>
          <w:numId w:val="7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В 1883 году </w:t>
      </w:r>
      <w:r>
        <w:rPr>
          <w:lang w:val="en-US" w:eastAsia="en-US" w:bidi="en-US"/>
          <w:w w:val="100"/>
          <w:spacing w:val="0"/>
          <w:color w:val="000000"/>
          <w:position w:val="0"/>
        </w:rPr>
        <w:t xml:space="preserve">Eichhorst </w:t>
      </w:r>
      <w:r>
        <w:rPr>
          <w:lang w:val="ru-RU" w:eastAsia="ru-RU" w:bidi="ru-RU"/>
          <w:w w:val="100"/>
          <w:spacing w:val="0"/>
          <w:color w:val="000000"/>
          <w:position w:val="0"/>
        </w:rPr>
        <w:t>предложил клиническую клас</w:t>
        <w:softHyphen/>
        <w:t>сификацию бактериального эндокардита, выделив следующие формы заболевания: острую (септичес</w:t>
        <w:softHyphen/>
        <w:t>кую), подострую (бородавчатый эндокардит) и хро</w:t>
        <w:softHyphen/>
        <w:t xml:space="preserve">ническую </w:t>
      </w:r>
      <w:r>
        <w:rPr>
          <w:lang w:val="en-US" w:eastAsia="en-US" w:bidi="en-US"/>
          <w:w w:val="100"/>
          <w:spacing w:val="0"/>
          <w:color w:val="000000"/>
          <w:position w:val="0"/>
        </w:rPr>
        <w:t>(retraheus).</w:t>
      </w:r>
    </w:p>
    <w:p>
      <w:pPr>
        <w:pStyle w:val="Style30"/>
        <w:numPr>
          <w:ilvl w:val="0"/>
          <w:numId w:val="7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В России заболевание впервые описал А.П.Лангов в 1884 году. </w:t>
      </w:r>
      <w:r>
        <w:rPr>
          <w:lang w:val="en-US" w:eastAsia="en-US" w:bidi="en-US"/>
          <w:w w:val="100"/>
          <w:spacing w:val="0"/>
          <w:color w:val="000000"/>
          <w:position w:val="0"/>
        </w:rPr>
        <w:t xml:space="preserve">W.Osler </w:t>
      </w:r>
      <w:r>
        <w:rPr>
          <w:lang w:val="ru-RU" w:eastAsia="ru-RU" w:bidi="ru-RU"/>
          <w:w w:val="100"/>
          <w:spacing w:val="0"/>
          <w:color w:val="000000"/>
          <w:position w:val="0"/>
        </w:rPr>
        <w:t>в 1885 году провел клиническое и патологоанатомическое описание случаев ИЭ, по</w:t>
        <w:softHyphen/>
        <w:t>казав, что в 75% случаев заболевание возникает на поврежденном клапане и «микроорганизм является элементом вегетаций». В дальнейшем в изучение за</w:t>
        <w:softHyphen/>
        <w:t>болевания внесли вклад многие отечественные и за</w:t>
        <w:softHyphen/>
        <w:t xml:space="preserve">рубежные ученые — Г.А. Захарьин, Г.Ф. Ланг, Б.А. Черногубов, М.И. Теодори, В.Г. Попов, </w:t>
      </w:r>
      <w:r>
        <w:rPr>
          <w:lang w:val="en-US" w:eastAsia="en-US" w:bidi="en-US"/>
          <w:w w:val="100"/>
          <w:spacing w:val="0"/>
          <w:color w:val="000000"/>
          <w:position w:val="0"/>
        </w:rPr>
        <w:t xml:space="preserve">C. Friedberg </w:t>
      </w:r>
      <w:r>
        <w:rPr>
          <w:lang w:val="ru-RU" w:eastAsia="ru-RU" w:bidi="ru-RU"/>
          <w:w w:val="100"/>
          <w:spacing w:val="0"/>
          <w:color w:val="000000"/>
          <w:position w:val="0"/>
        </w:rPr>
        <w:t>и другие.</w:t>
      </w:r>
    </w:p>
    <w:p>
      <w:pPr>
        <w:pStyle w:val="Style30"/>
        <w:numPr>
          <w:ilvl w:val="0"/>
          <w:numId w:val="7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Установлено, что эндокардит может вызываться не только бактериями, но и хламидиями, риккетсиями, грибами и вирусами. Поэтому в настоящее время бо</w:t>
        <w:softHyphen/>
        <w:t xml:space="preserve">лее приемлем термин «инфекционный эндокардит», предложенный впервые в 1930 г. </w:t>
      </w:r>
      <w:r>
        <w:rPr>
          <w:lang w:val="en-US" w:eastAsia="en-US" w:bidi="en-US"/>
          <w:w w:val="100"/>
          <w:spacing w:val="0"/>
          <w:color w:val="000000"/>
          <w:position w:val="0"/>
        </w:rPr>
        <w:t xml:space="preserve">Gibson </w:t>
      </w:r>
      <w:r>
        <w:rPr>
          <w:lang w:val="ru-RU" w:eastAsia="ru-RU" w:bidi="ru-RU"/>
          <w:w w:val="100"/>
          <w:spacing w:val="0"/>
          <w:color w:val="000000"/>
          <w:position w:val="0"/>
        </w:rPr>
        <w:t>и в дальней</w:t>
        <w:softHyphen/>
        <w:br w:type="column"/>
        <w:t xml:space="preserve">шем популяризированный </w:t>
      </w:r>
      <w:r>
        <w:rPr>
          <w:lang w:val="en-US" w:eastAsia="en-US" w:bidi="en-US"/>
          <w:w w:val="100"/>
          <w:spacing w:val="0"/>
          <w:color w:val="000000"/>
          <w:position w:val="0"/>
        </w:rPr>
        <w:t xml:space="preserve">Lemer </w:t>
      </w:r>
      <w:r>
        <w:rPr>
          <w:lang w:val="ru-RU" w:eastAsia="ru-RU" w:bidi="ru-RU"/>
          <w:w w:val="100"/>
          <w:spacing w:val="0"/>
          <w:color w:val="000000"/>
          <w:position w:val="0"/>
        </w:rPr>
        <w:t xml:space="preserve">и </w:t>
      </w:r>
      <w:r>
        <w:rPr>
          <w:lang w:val="en-US" w:eastAsia="en-US" w:bidi="en-US"/>
          <w:w w:val="100"/>
          <w:spacing w:val="0"/>
          <w:color w:val="000000"/>
          <w:position w:val="0"/>
        </w:rPr>
        <w:t xml:space="preserve">Wfeinstein, </w:t>
      </w:r>
      <w:r>
        <w:rPr>
          <w:lang w:val="ru-RU" w:eastAsia="ru-RU" w:bidi="ru-RU"/>
          <w:w w:val="100"/>
          <w:spacing w:val="0"/>
          <w:color w:val="000000"/>
          <w:position w:val="0"/>
        </w:rPr>
        <w:t>в отли</w:t>
        <w:softHyphen/>
        <w:t>чие от ранее употребляемых терминов — бактериаль</w:t>
        <w:softHyphen/>
        <w:t>ный, cептический, злокачественный эндокардит Ос- лера и Кернса, язвенный тромбоэндокардит.</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Развитие кардиохирургии и анестезиологии, приме</w:t>
        <w:softHyphen/>
        <w:t>нение инвазивных методов диагностики, широкое использование антибиотиков в профилактике и лече</w:t>
        <w:softHyphen/>
        <w:t>нии инфекционных заболеваний, повышение выжи</w:t>
        <w:softHyphen/>
        <w:t>ваемости детей с тяжелыми ВПС привели к значи</w:t>
        <w:softHyphen/>
        <w:t>тельному изменению клинической картины ИЭ за последние десятилетия.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Риск возникновения ИЭ в популяции составляет 0,004% (1 на 25 тыс. человек в год).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Средний возраст детей, подверженных данному заболе</w:t>
        <w:softHyphen/>
        <w:t>ванию, составляет 8,5-13 лет и существенно не отличается в группах детей, леченных хирургически, и не подвергав</w:t>
        <w:softHyphen/>
        <w:t>шихся хирургическому лечению. Мальчики болеют в два раза чаще, чем девочки. За последние десятилетия зарегис</w:t>
        <w:softHyphen/>
        <w:t>трирован рост частоты ИЭ у детей в неонатальном периоде. Это связано с применением постоянных катетеров и зондов для парентерального питания и лечения, особенно у недо</w:t>
        <w:softHyphen/>
        <w:t>ношенных детей.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Предрасполагающие факторы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Неповрежденные структуры сердца обладают высокой устойчивостью к воздействию инфекционного возбудите</w:t>
        <w:softHyphen/>
        <w:t>ля. По этой причине возникновению ИЭ предшествуют врожденные или приобретенные структурные поражения сердца или клапанного аппарата.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ВПС являются причиной ИЭ в 68-90%.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сущности любой ВПС может явиться причиной ИЭ. Наиболее часто ИЭ возникает при следующих неопе</w:t>
        <w:softHyphen/>
        <w:t>рированных врожденных пороках сердца:</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Стеноз аортального клапана — 1,4-8%.</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Дефект межжелудочковой перегородки — 9,7-13%.</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Стеноз легочной артерии — 0,9%.</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Общий артериальный ствол — 7%.</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Транспозиция магистральных сосудов — 4%.</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 развитием кардиохирургии, анестезиологии, с совер</w:t>
        <w:softHyphen/>
        <w:t>шенствованием методик операций и мер профилактики ос</w:t>
        <w:softHyphen/>
        <w:t>ложнений относительное число послеоперационных ИЭ уменьшилось. Но абсолютное их число остается высоким из-за расширения показаний к оперативному лечению. В большинстве исследований послеоперационный ИЭ воз</w:t>
        <w:softHyphen/>
        <w:t>никает после лечения тетрады Фалло или транспозиции ма</w:t>
        <w:softHyphen/>
        <w:t>гистральных сосудов со стенозом легочной артерии. Паци</w:t>
        <w:softHyphen/>
        <w:t>енты после радикальной коррекции тетрады Фалло имеют меньшее число осложнений ИЭ, чем пациенты, подверг</w:t>
        <w:softHyphen/>
        <w:t>шиеся паллиативной операции.</w:t>
      </w:r>
      <w:r>
        <w:br w:type="page"/>
      </w:r>
    </w:p>
    <w:p>
      <w:pPr>
        <w:pStyle w:val="Style30"/>
        <w:numPr>
          <w:ilvl w:val="0"/>
          <w:numId w:val="7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Особенности этиологии, патогенеза и клиники ИЭ после проведенного протезирования клапана позво</w:t>
        <w:softHyphen/>
        <w:t>лили выделить данную патологию в отдельную под</w:t>
        <w:softHyphen/>
        <w:t>группу — инфекционный эндокардит протезирован</w:t>
        <w:softHyphen/>
        <w:t>ного клапана (ИЭПК). ИЭПК встречается примерно в 16% случаев всех ИЭ. Различают ранний ИЭПК (за</w:t>
        <w:softHyphen/>
        <w:t>болевание возникает в первые 2-3 месяца после им</w:t>
        <w:softHyphen/>
        <w:t>плантации клапана) и поздний ИЭПК (заболевание возникает спустя 3 месяца после имплантации про</w:t>
        <w:softHyphen/>
        <w:t>тезного клапана).</w:t>
      </w:r>
    </w:p>
    <w:p>
      <w:pPr>
        <w:pStyle w:val="Style30"/>
        <w:numPr>
          <w:ilvl w:val="0"/>
          <w:numId w:val="7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Ранний ИЭПК возникает в 0,78%, а поздний — в 1,1% случаев клапанного протезирования. В боль</w:t>
        <w:softHyphen/>
        <w:t>шинстве случаев причиной раннего ИЭПК является интраоперационное заражение или раннее послеопе</w:t>
        <w:softHyphen/>
        <w:t>рационное заражение через операционную рану. Воз</w:t>
        <w:softHyphen/>
        <w:t>будителями чаще являются эпидермальный стафило</w:t>
        <w:softHyphen/>
        <w:t>кокк, коринобактерии, внутрибольничные штаммы Гр(-) бактерий.</w:t>
      </w:r>
    </w:p>
    <w:p>
      <w:pPr>
        <w:pStyle w:val="Style30"/>
        <w:numPr>
          <w:ilvl w:val="0"/>
          <w:numId w:val="7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позднем ИЭПК входные ворота инфекции и возбудитель сходны с ИЭ на фоне ВПС. Как прави</w:t>
        <w:softHyphen/>
        <w:t>ло, это дентальные или другие манипуляции, cвязан- ные с бактериемией, и наиболее частым возбудите</w:t>
        <w:softHyphen/>
        <w:t>лем является стрептококк.</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Этиология</w:t>
      </w:r>
    </w:p>
    <w:p>
      <w:pPr>
        <w:pStyle w:val="Style30"/>
        <w:numPr>
          <w:ilvl w:val="0"/>
          <w:numId w:val="7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Во многом клиническая картина заболевания опреде - ляется возбудителем, вызвавшим ИЭ. Изменение спектра микроорганизмов, являющихся причиной ИЭ, за последние 20-30 лет связано с совершенство</w:t>
        <w:softHyphen/>
        <w:t>ванием техники культивирования, а также с возраста</w:t>
        <w:softHyphen/>
        <w:t>нием роли внутрибольничного инфицирования. Усо</w:t>
        <w:softHyphen/>
        <w:t>вершенствование техники культивирования возбуди</w:t>
        <w:softHyphen/>
        <w:t>теля привело к увеличению выявляемости случаев ИЭ, вызванных Гр(-) микроорганизмами и другими редкими микроорганизмами, при этом снизился про</w:t>
        <w:softHyphen/>
        <w:t>цент случаев культуронегативных ИЭ.</w:t>
      </w:r>
    </w:p>
    <w:p>
      <w:pPr>
        <w:pStyle w:val="Style30"/>
        <w:numPr>
          <w:ilvl w:val="0"/>
          <w:numId w:val="7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Внутрибольничное инфицирование ассоциируется с коагулазанегативными стафилококками, Гр(-) бак</w:t>
        <w:softHyphen/>
        <w:t>териями, грибами, условнопатогенной флорой, кото</w:t>
        <w:softHyphen/>
        <w:t>рые не являлись причиной ИЭ в 50-60-х годах. Общее число случаев ИЭ, вызванных стрептококками и ста</w:t>
        <w:softHyphen/>
        <w:t>филококками, не уменьшилось, а, наоборот, отмеча</w:t>
        <w:softHyphen/>
        <w:t>ется рост случаев ИЭ, вызванных другими возбудите</w:t>
        <w:softHyphen/>
        <w:t>лями.</w:t>
      </w:r>
    </w:p>
    <w:p>
      <w:pPr>
        <w:pStyle w:val="Style30"/>
        <w:numPr>
          <w:ilvl w:val="0"/>
          <w:numId w:val="7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Стрептококки и стафилококки являются причиной ИЭ более чем в 80% случаев.</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Стрептококки</w:t>
      </w:r>
    </w:p>
    <w:p>
      <w:pPr>
        <w:pStyle w:val="Style30"/>
        <w:numPr>
          <w:ilvl w:val="0"/>
          <w:numId w:val="7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Наиболее частыми возбудителями ИЭ у детей являют</w:t>
        <w:softHyphen/>
        <w:t>ся стрептококки, представляющие гетерогенную груп</w:t>
        <w:softHyphen/>
        <w:t>пу микроорганизмов и различающиеся между собой по ряду свойств. Их классификация основана на раз</w:t>
        <w:softHyphen/>
        <w:t>личной способности вызывать гемолиз крови на чаш</w:t>
        <w:softHyphen/>
        <w:t>ке с агаром, биохимических свойствах, характере рос</w:t>
        <w:softHyphen/>
        <w:t>та, антигенных реакциях, серологических показателях. Большая этиологическая значимость данных микро</w:t>
        <w:softHyphen/>
        <w:t>организмов связана с их высокой распространеннос</w:t>
        <w:softHyphen/>
        <w:t>тью, а также со способностью некоторых штаммов вы</w:t>
        <w:softHyphen/>
        <w:t>рабатывать на своей поверхности декстран, усиливаю</w:t>
        <w:softHyphen/>
        <w:t>щий их адгезию на поверхности клапанных структур сердца, особенно при их повреждении.</w:t>
      </w:r>
    </w:p>
    <w:p>
      <w:pPr>
        <w:pStyle w:val="Style30"/>
        <w:numPr>
          <w:ilvl w:val="0"/>
          <w:numId w:val="7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 характеру гемолиза, произведенному стрептокок</w:t>
        <w:softHyphen/>
        <w:t>ками на кровяном агаре, различают: альфа-гемолиз (отсутствие гемолиза во внутреннем слое и наличие</w:t>
        <w:br w:type="column"/>
        <w:t>зеленоватого обесцвечивания в наружном слое); Р-ге- молиз (ясная чистая зона вокруг каждой колонии вследствие полного гемолиза); гамма-гемолиз (отсут</w:t>
        <w:softHyphen/>
        <w:t>ствие четкого гемолиза).</w:t>
      </w:r>
    </w:p>
    <w:p>
      <w:pPr>
        <w:pStyle w:val="Style30"/>
        <w:numPr>
          <w:ilvl w:val="0"/>
          <w:numId w:val="7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Термин «зеленящий стрептококк» обозначает в ос</w:t>
        <w:softHyphen/>
        <w:t>новном группу микроорганизмов, вызывающих аль</w:t>
        <w:softHyphen/>
        <w:t>фа-гемолиз. Она неоднородна и состоит из штаммов, различающихся по своим биохимическим и биологи</w:t>
        <w:softHyphen/>
        <w:t>ческим свойствам. Наиболее частыми возбудителя</w:t>
        <w:softHyphen/>
        <w:t>ми, вызывающими ИЭ у детей, из этой группы мик</w:t>
        <w:softHyphen/>
        <w:t xml:space="preserve">роорганизмов являются: </w:t>
      </w:r>
      <w:r>
        <w:rPr>
          <w:lang w:val="en-US" w:eastAsia="en-US" w:bidi="en-US"/>
          <w:w w:val="100"/>
          <w:spacing w:val="0"/>
          <w:color w:val="000000"/>
          <w:position w:val="0"/>
        </w:rPr>
        <w:t xml:space="preserve">Str. sanguis, Str. bovis, Str. mutans, Str. mitior, </w:t>
      </w:r>
      <w:r>
        <w:rPr>
          <w:lang w:val="ru-RU" w:eastAsia="ru-RU" w:bidi="ru-RU"/>
          <w:w w:val="100"/>
          <w:spacing w:val="0"/>
          <w:color w:val="000000"/>
          <w:position w:val="0"/>
        </w:rPr>
        <w:t>а наиболее вирулентными, вызыва</w:t>
        <w:softHyphen/>
        <w:t>ющими внутрисердечные и экстракардиальные ос</w:t>
        <w:softHyphen/>
        <w:t xml:space="preserve">ложнения, — </w:t>
      </w:r>
      <w:r>
        <w:rPr>
          <w:lang w:val="en-US" w:eastAsia="en-US" w:bidi="en-US"/>
          <w:w w:val="100"/>
          <w:spacing w:val="0"/>
          <w:color w:val="000000"/>
          <w:position w:val="0"/>
        </w:rPr>
        <w:t>Str. viridans, Str. milleri.</w:t>
      </w:r>
    </w:p>
    <w:p>
      <w:pPr>
        <w:pStyle w:val="Style30"/>
        <w:numPr>
          <w:ilvl w:val="0"/>
          <w:numId w:val="79"/>
        </w:numPr>
        <w:tabs>
          <w:tab w:leader="none" w:pos="237" w:val="left"/>
        </w:tabs>
        <w:widowControl w:val="0"/>
        <w:keepNext w:val="0"/>
        <w:keepLines w:val="0"/>
        <w:shd w:val="clear" w:color="auto" w:fill="auto"/>
        <w:bidi w:val="0"/>
        <w:spacing w:before="0" w:after="0"/>
        <w:ind w:left="260" w:right="0"/>
      </w:pPr>
      <w:r>
        <w:rPr>
          <w:lang w:val="en-US" w:eastAsia="en-US" w:bidi="en-US"/>
          <w:w w:val="100"/>
          <w:spacing w:val="0"/>
          <w:color w:val="000000"/>
          <w:position w:val="0"/>
        </w:rPr>
        <w:t xml:space="preserve">Lancefield </w:t>
      </w:r>
      <w:r>
        <w:rPr>
          <w:lang w:val="ru-RU" w:eastAsia="ru-RU" w:bidi="ru-RU"/>
          <w:w w:val="100"/>
          <w:spacing w:val="0"/>
          <w:color w:val="000000"/>
          <w:position w:val="0"/>
        </w:rPr>
        <w:t>дифференцировал группу р-гемолитичес</w:t>
        <w:softHyphen/>
        <w:t>ких стрептококков по антигенному различию на ос</w:t>
        <w:softHyphen/>
        <w:t>новании определения в клеточной стенке микроорга</w:t>
        <w:softHyphen/>
        <w:t xml:space="preserve">низма карбогидрата. Различают </w:t>
      </w:r>
      <w:r>
        <w:rPr>
          <w:lang w:val="en-US" w:eastAsia="en-US" w:bidi="en-US"/>
          <w:w w:val="100"/>
          <w:spacing w:val="0"/>
          <w:color w:val="000000"/>
          <w:position w:val="0"/>
        </w:rPr>
        <w:t xml:space="preserve">A, B, C, D </w:t>
      </w:r>
      <w:r>
        <w:rPr>
          <w:lang w:val="ru-RU" w:eastAsia="ru-RU" w:bidi="ru-RU"/>
          <w:w w:val="100"/>
          <w:spacing w:val="0"/>
          <w:color w:val="000000"/>
          <w:position w:val="0"/>
        </w:rPr>
        <w:t>антиген</w:t>
        <w:softHyphen/>
        <w:t>ные штаммы.</w:t>
      </w:r>
    </w:p>
    <w:p>
      <w:pPr>
        <w:pStyle w:val="Style30"/>
        <w:numPr>
          <w:ilvl w:val="0"/>
          <w:numId w:val="7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Зеленящие стрептококки являются наиболее частой причиной возникновения ИЭ у детей. Являясь ос</w:t>
        <w:softHyphen/>
        <w:t>новной флорой полости рта и желудочно-кишечного тракта, они вызывают ИЭ у детей примерно в 40% случаев. Эти микроорганизмы играют важную роль в возникновении ИЭ у пациентов с ВПС. Клиничес</w:t>
        <w:softHyphen/>
        <w:t>кая картина заболевания характеризуется подострым течением. Большинство штаммов чувствительны к пенициллину, лечение которым, как правило, ока</w:t>
        <w:softHyphen/>
        <w:t>зывается эффективным. За последние годы увеличи</w:t>
        <w:softHyphen/>
        <w:t xml:space="preserve">лось число случаев ИЭ у детей, вызванных </w:t>
      </w:r>
      <w:r>
        <w:rPr>
          <w:lang w:val="en-US" w:eastAsia="en-US" w:bidi="en-US"/>
          <w:w w:val="100"/>
          <w:spacing w:val="0"/>
          <w:color w:val="000000"/>
          <w:position w:val="0"/>
        </w:rPr>
        <w:t xml:space="preserve">Nutritionally variant </w:t>
      </w:r>
      <w:r>
        <w:rPr>
          <w:lang w:val="ru-RU" w:eastAsia="ru-RU" w:bidi="ru-RU"/>
          <w:w w:val="100"/>
          <w:spacing w:val="0"/>
          <w:color w:val="000000"/>
          <w:position w:val="0"/>
        </w:rPr>
        <w:t xml:space="preserve">зеленящих стрептококков. Т.к. эти микроорганизмы требовательны к питательным средам и иногда не растут без добавления </w:t>
      </w:r>
      <w:r>
        <w:rPr>
          <w:lang w:val="en-US" w:eastAsia="en-US" w:bidi="en-US"/>
          <w:w w:val="100"/>
          <w:spacing w:val="0"/>
          <w:color w:val="000000"/>
          <w:position w:val="0"/>
        </w:rPr>
        <w:t>L</w:t>
      </w:r>
      <w:r>
        <w:rPr>
          <w:lang w:val="ru-RU" w:eastAsia="ru-RU" w:bidi="ru-RU"/>
          <w:w w:val="100"/>
          <w:spacing w:val="0"/>
          <w:color w:val="000000"/>
          <w:position w:val="0"/>
        </w:rPr>
        <w:t>-цистеина или пиридоксина, то могут являться возбудителем в случаях «культуронегативных» ИЭ.</w:t>
      </w:r>
    </w:p>
    <w:p>
      <w:pPr>
        <w:pStyle w:val="Style30"/>
        <w:numPr>
          <w:ilvl w:val="0"/>
          <w:numId w:val="7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Хотя энтерококковые эндокардиты у детей встреча</w:t>
        <w:softHyphen/>
        <w:t>ются редко и их число не превышает 4% случаев, дан</w:t>
        <w:softHyphen/>
        <w:t>ный микроорганизм менее чувствителен к пеницил</w:t>
        <w:softHyphen/>
        <w:t>лину, что требует назначения дополнительно гента</w:t>
        <w:softHyphen/>
        <w:t>мицина. Заболевание возникает обычно после мани</w:t>
        <w:softHyphen/>
        <w:t>пуляций на желудочно-кишечном тракте и мочевы</w:t>
        <w:softHyphen/>
        <w:t>водящей системе. В 40% случаев энтерококковых эн</w:t>
        <w:softHyphen/>
        <w:t>докардитов пациенты имеют ВПС.</w:t>
      </w:r>
    </w:p>
    <w:p>
      <w:pPr>
        <w:pStyle w:val="Style30"/>
        <w:numPr>
          <w:ilvl w:val="0"/>
          <w:numId w:val="79"/>
        </w:numPr>
        <w:tabs>
          <w:tab w:leader="none" w:pos="237" w:val="left"/>
        </w:tabs>
        <w:widowControl w:val="0"/>
        <w:keepNext w:val="0"/>
        <w:keepLines w:val="0"/>
        <w:shd w:val="clear" w:color="auto" w:fill="auto"/>
        <w:bidi w:val="0"/>
        <w:spacing w:before="0" w:after="0"/>
        <w:ind w:left="260" w:right="0"/>
      </w:pPr>
      <w:r>
        <w:rPr>
          <w:lang w:val="en-US" w:eastAsia="en-US" w:bidi="en-US"/>
          <w:w w:val="100"/>
          <w:spacing w:val="0"/>
          <w:color w:val="000000"/>
          <w:position w:val="0"/>
        </w:rPr>
        <w:t xml:space="preserve">Pneumococcus </w:t>
      </w:r>
      <w:r>
        <w:rPr>
          <w:lang w:val="ru-RU" w:eastAsia="ru-RU" w:bidi="ru-RU"/>
          <w:w w:val="100"/>
          <w:spacing w:val="0"/>
          <w:color w:val="000000"/>
          <w:position w:val="0"/>
        </w:rPr>
        <w:t>oтносится к альфа-гемолитическим стрептококкам, но клиническая картина заболевания отличается от ИЭ, вызванного зеленящими стрепто</w:t>
        <w:softHyphen/>
        <w:t xml:space="preserve">кокками. До эры антибиотиков </w:t>
      </w:r>
      <w:r>
        <w:rPr>
          <w:lang w:val="en-US" w:eastAsia="en-US" w:bidi="en-US"/>
          <w:w w:val="100"/>
          <w:spacing w:val="0"/>
          <w:color w:val="000000"/>
          <w:position w:val="0"/>
        </w:rPr>
        <w:t xml:space="preserve">pneumococcus </w:t>
      </w:r>
      <w:r>
        <w:rPr>
          <w:lang w:val="ru-RU" w:eastAsia="ru-RU" w:bidi="ru-RU"/>
          <w:w w:val="100"/>
          <w:spacing w:val="0"/>
          <w:color w:val="000000"/>
          <w:position w:val="0"/>
        </w:rPr>
        <w:t>являл</w:t>
        <w:softHyphen/>
        <w:t>ся возбудителем ИЭ в 10-15% случаев, в настоящее время — только в 2%. Он чаще поражает митральный клапан, в половине случаев в воспаление вовлекается здоровый клапан. Клиническая картина характеризу</w:t>
        <w:softHyphen/>
        <w:t>ется острым течением, клапанной деструкцией, раз</w:t>
        <w:softHyphen/>
        <w:t>витием застойной сердечной недостаточности, высо</w:t>
        <w:softHyphen/>
        <w:t>кой летальностью, достигающей 75%.</w:t>
      </w:r>
    </w:p>
    <w:p>
      <w:pPr>
        <w:pStyle w:val="Style30"/>
        <w:numPr>
          <w:ilvl w:val="0"/>
          <w:numId w:val="79"/>
        </w:numPr>
        <w:tabs>
          <w:tab w:leader="none" w:pos="237" w:val="left"/>
        </w:tabs>
        <w:widowControl w:val="0"/>
        <w:keepNext w:val="0"/>
        <w:keepLines w:val="0"/>
        <w:shd w:val="clear" w:color="auto" w:fill="auto"/>
        <w:bidi w:val="0"/>
        <w:spacing w:before="0" w:after="0"/>
        <w:ind w:left="260" w:right="0"/>
      </w:pPr>
      <w:r>
        <w:pict>
          <v:shape id="_x0000_s1462" type="#_x0000_t75" style="position:absolute;margin-left:130.55pt;margin-top:736.8pt;width:209.75pt;height:14.9pt;z-index:-125829089;mso-wrap-distance-left:124.3pt;mso-wrap-distance-right:148.1pt;mso-wrap-distance-bottom:10.8pt;mso-position-horizontal-relative:margin;mso-position-vertical-relative:margin" wrapcoords="0 0 21600 0 21600 21600 0 21600 0 0">
            <v:imagedata r:id="rId726" r:href="rId727"/>
            <w10:wrap type="topAndBottom" anchorx="margin" anchory="margin"/>
          </v:shape>
        </w:pict>
      </w:r>
      <w:r>
        <w:rPr>
          <w:lang w:val="ru-RU" w:eastAsia="ru-RU" w:bidi="ru-RU"/>
          <w:w w:val="100"/>
          <w:spacing w:val="0"/>
          <w:color w:val="000000"/>
          <w:position w:val="0"/>
        </w:rPr>
        <w:t>ИЭ, вызванные Р-гемолитическими стрептококками, чаще встречались до эры антибиотиков. Большин</w:t>
        <w:softHyphen/>
        <w:t>ство случаев заболевания вызываются штаммами ан</w:t>
        <w:softHyphen/>
        <w:t xml:space="preserve">тигенной группы </w:t>
      </w:r>
      <w:r>
        <w:rPr>
          <w:lang w:val="en-US" w:eastAsia="en-US" w:bidi="en-US"/>
          <w:w w:val="100"/>
          <w:spacing w:val="0"/>
          <w:color w:val="000000"/>
          <w:position w:val="0"/>
        </w:rPr>
        <w:t xml:space="preserve">B, G, </w:t>
      </w:r>
      <w:r>
        <w:rPr>
          <w:lang w:val="ru-RU" w:eastAsia="ru-RU" w:bidi="ru-RU"/>
          <w:w w:val="100"/>
          <w:spacing w:val="0"/>
          <w:color w:val="000000"/>
          <w:position w:val="0"/>
        </w:rPr>
        <w:t xml:space="preserve">определяемых методом </w:t>
      </w:r>
      <w:r>
        <w:rPr>
          <w:lang w:val="en-US" w:eastAsia="en-US" w:bidi="en-US"/>
          <w:w w:val="100"/>
          <w:spacing w:val="0"/>
          <w:color w:val="000000"/>
          <w:position w:val="0"/>
        </w:rPr>
        <w:t xml:space="preserve">Lancefield, </w:t>
      </w:r>
      <w:r>
        <w:rPr>
          <w:lang w:val="ru-RU" w:eastAsia="ru-RU" w:bidi="ru-RU"/>
          <w:w w:val="100"/>
          <w:spacing w:val="0"/>
          <w:color w:val="000000"/>
          <w:position w:val="0"/>
        </w:rPr>
        <w:t xml:space="preserve">и реже группой </w:t>
      </w:r>
      <w:r>
        <w:rPr>
          <w:lang w:val="en-US" w:eastAsia="en-US" w:bidi="en-US"/>
          <w:w w:val="100"/>
          <w:spacing w:val="0"/>
          <w:color w:val="000000"/>
          <w:position w:val="0"/>
        </w:rPr>
        <w:t xml:space="preserve">C, A </w:t>
      </w:r>
      <w:r>
        <w:rPr>
          <w:lang w:val="ru-RU" w:eastAsia="ru-RU" w:bidi="ru-RU"/>
          <w:w w:val="100"/>
          <w:spacing w:val="0"/>
          <w:color w:val="000000"/>
          <w:position w:val="0"/>
        </w:rPr>
        <w:t xml:space="preserve">Для ИЭ, вызванных Р-гемолитическими стрептококками группы </w:t>
      </w:r>
      <w:r>
        <w:rPr>
          <w:lang w:val="en-US" w:eastAsia="en-US" w:bidi="en-US"/>
          <w:w w:val="100"/>
          <w:spacing w:val="0"/>
          <w:color w:val="000000"/>
          <w:position w:val="0"/>
        </w:rPr>
        <w:t xml:space="preserve">B, </w:t>
      </w:r>
      <w:r>
        <w:rPr>
          <w:lang w:val="ru-RU" w:eastAsia="ru-RU" w:bidi="ru-RU"/>
          <w:w w:val="100"/>
          <w:spacing w:val="0"/>
          <w:color w:val="000000"/>
          <w:position w:val="0"/>
        </w:rPr>
        <w:t>ха</w:t>
        <w:softHyphen/>
        <w:t>рактерны крупные вегетации, определяемые при проведении Эхо-КГ, частые тромбоэмболические ос-</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ложнения. Предрасполагающими экстракардиаль</w:t>
        <w:softHyphen/>
        <w:t>ными факторами являются: сахарный диабет, внутри</w:t>
        <w:softHyphen/>
        <w:t>венные вливания, наркомания, заболевания мочевы</w:t>
        <w:softHyphen/>
        <w:t>водящей системы. Летальность достигает 50% .</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Стафилококки</w:t>
      </w:r>
    </w:p>
    <w:p>
      <w:pPr>
        <w:pStyle w:val="Style30"/>
        <w:numPr>
          <w:ilvl w:val="0"/>
          <w:numId w:val="7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Эра пенициллина охарактеризовалась ростом числа стафилококковых ИЭ. Это обусловлено тем, что большинство штаммов стафилококков способны вы</w:t>
        <w:softHyphen/>
        <w:t>рабатывать пенициллиназу, становясь устойчивыми к воздействию антибиотиков. В среднем стафилокок</w:t>
        <w:softHyphen/>
        <w:t>ки являются возбудителями при ИЭ у детей в 20-30% случаев. Обладая высокой вирулентностью, золотис</w:t>
        <w:softHyphen/>
        <w:t>тый стафилококк может поражать неизмененные клапаны и структуры сердца, часто являясь возбуди</w:t>
        <w:softHyphen/>
        <w:t>телем при острых и первичных ИЭ. В случаях ИЭ, вызванного данным возбудителем, часто возникают осложнения со стороны сердца (абсцесс миокарда, перикардит, абсцесс клапанного кольца). А способ</w:t>
        <w:softHyphen/>
        <w:t>ность вырабатывать фибринрастворяющее вещество приводит к диссеминации инфекции и развитию тромбоэмболических осложнений. При длительном внутривенном введении лекарств через постоянный катетер причиной ИЭ в 50% случаев является золоти</w:t>
        <w:softHyphen/>
        <w:t>стый стафилококк.</w:t>
      </w:r>
    </w:p>
    <w:p>
      <w:pPr>
        <w:pStyle w:val="Style30"/>
        <w:numPr>
          <w:ilvl w:val="0"/>
          <w:numId w:val="7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За последние десятилетия отмечается рост метицил- лин резистентных штаммов </w:t>
      </w:r>
      <w:r>
        <w:rPr>
          <w:lang w:val="en-US" w:eastAsia="en-US" w:bidi="en-US"/>
          <w:w w:val="100"/>
          <w:spacing w:val="0"/>
          <w:color w:val="000000"/>
          <w:position w:val="0"/>
        </w:rPr>
        <w:t xml:space="preserve">Staph. aureus, </w:t>
      </w:r>
      <w:r>
        <w:rPr>
          <w:lang w:val="ru-RU" w:eastAsia="ru-RU" w:bidi="ru-RU"/>
          <w:w w:val="100"/>
          <w:spacing w:val="0"/>
          <w:color w:val="000000"/>
          <w:position w:val="0"/>
        </w:rPr>
        <w:t>что требует применения в лечении комбинаций антибиотиков, обладающих синергизмом действия.</w:t>
      </w:r>
    </w:p>
    <w:p>
      <w:pPr>
        <w:pStyle w:val="Style30"/>
        <w:numPr>
          <w:ilvl w:val="0"/>
          <w:numId w:val="7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С развитием кардиохирургии и эндопротезирования возросла роль коагулазонегативных стафилококков, таких как </w:t>
      </w:r>
      <w:r>
        <w:rPr>
          <w:lang w:val="en-US" w:eastAsia="en-US" w:bidi="en-US"/>
          <w:w w:val="100"/>
          <w:spacing w:val="0"/>
          <w:color w:val="000000"/>
          <w:position w:val="0"/>
        </w:rPr>
        <w:t xml:space="preserve">Staph. epidermidis, staph. hominis. </w:t>
      </w:r>
      <w:r>
        <w:rPr>
          <w:lang w:val="ru-RU" w:eastAsia="ru-RU" w:bidi="ru-RU"/>
          <w:w w:val="100"/>
          <w:spacing w:val="0"/>
          <w:color w:val="000000"/>
          <w:position w:val="0"/>
        </w:rPr>
        <w:t>В госпита</w:t>
        <w:softHyphen/>
        <w:t xml:space="preserve">ле </w:t>
      </w:r>
      <w:r>
        <w:rPr>
          <w:lang w:val="en-US" w:eastAsia="en-US" w:bidi="en-US"/>
          <w:w w:val="100"/>
          <w:spacing w:val="0"/>
          <w:color w:val="000000"/>
          <w:position w:val="0"/>
        </w:rPr>
        <w:t xml:space="preserve">Lonis Pradel </w:t>
      </w:r>
      <w:r>
        <w:rPr>
          <w:lang w:val="ru-RU" w:eastAsia="ru-RU" w:bidi="ru-RU"/>
          <w:w w:val="100"/>
          <w:spacing w:val="0"/>
          <w:color w:val="000000"/>
          <w:position w:val="0"/>
        </w:rPr>
        <w:t>(Леон) не зарегистрировано случаев ИЭ, вызванных данным возбудителем за период с 1970 по 1975 гг., однако за период с 1975 по 1989 гг. выявлено 19 больных из 430 случаев ИЭ (4,4%). Кли</w:t>
        <w:softHyphen/>
        <w:t>ническая картина заболевания характеризуется ост</w:t>
        <w:softHyphen/>
        <w:t>рым началом, частыми неврологическими осложне</w:t>
        <w:softHyphen/>
        <w:t>ниями, развитием застойной сердечной недостаточ</w:t>
        <w:softHyphen/>
        <w:t>ности, высокой летальностью. Характер заболевания сходен с ИЭ, вызванным золотистым стафилокок</w:t>
        <w:softHyphen/>
        <w:t>ком. При раннем ИЭПК коагулазонегативные стафи</w:t>
        <w:softHyphen/>
        <w:t>лококки являются возбудителем в 25-67% случаях, при позднем — в 25-33%. Данные штаммы микроор</w:t>
        <w:softHyphen/>
        <w:t>ганизмов обладают высокой резистентностью к анти</w:t>
        <w:softHyphen/>
        <w:t>биотикотерапии, что часто приводит к необходимос</w:t>
        <w:softHyphen/>
        <w:t>ти проведения хирургического лечения. Летальность составляет 36-75%.</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Грамотрицательные микроорганизмы</w:t>
      </w:r>
    </w:p>
    <w:p>
      <w:pPr>
        <w:pStyle w:val="Style30"/>
        <w:numPr>
          <w:ilvl w:val="0"/>
          <w:numId w:val="7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Гр(-) бактерии являются причиной ИЭ у детей в 4-5% случаев, возникают на фоне ожогового сепсиса, им</w:t>
        <w:softHyphen/>
        <w:t>муносупрессивной терапии, длительного в/в введе</w:t>
        <w:softHyphen/>
        <w:t>ния лекарств, у больных с протезированным клапа</w:t>
        <w:softHyphen/>
        <w:t>ном, после манипуляций на желудочно-кишечном тракте с нарушением его целостности. В клинической картине отмечаются большие вегетации на клапанах, частые тромбоэмболические осложнения, быстрое развитие декомпенсации кровообращения. Леталь</w:t>
        <w:softHyphen/>
        <w:t>ность в этой группе очень высокая.</w:t>
      </w:r>
    </w:p>
    <w:p>
      <w:pPr>
        <w:pStyle w:val="Style30"/>
        <w:numPr>
          <w:ilvl w:val="0"/>
          <w:numId w:val="7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Другую большую группу Гр(-) микроорганизмов со</w:t>
        <w:softHyphen/>
        <w:t xml:space="preserve">ставляют так называемые </w:t>
      </w:r>
      <w:r>
        <w:rPr>
          <w:lang w:val="en-US" w:eastAsia="en-US" w:bidi="en-US"/>
          <w:w w:val="100"/>
          <w:spacing w:val="0"/>
          <w:color w:val="000000"/>
          <w:position w:val="0"/>
        </w:rPr>
        <w:t xml:space="preserve">HACEK </w:t>
      </w:r>
      <w:r>
        <w:rPr>
          <w:lang w:val="ru-RU" w:eastAsia="ru-RU" w:bidi="ru-RU"/>
          <w:w w:val="100"/>
          <w:spacing w:val="0"/>
          <w:color w:val="000000"/>
          <w:position w:val="0"/>
        </w:rPr>
        <w:t xml:space="preserve">коккобациллы: </w:t>
      </w:r>
      <w:r>
        <w:rPr>
          <w:lang w:val="en-US" w:eastAsia="en-US" w:bidi="en-US"/>
          <w:w w:val="100"/>
          <w:spacing w:val="0"/>
          <w:color w:val="000000"/>
          <w:position w:val="0"/>
        </w:rPr>
        <w:t xml:space="preserve">Haemophilus sp., Actinobacillus sp., Cardiobacterium sp., Eikenella sp., Kingella sp. </w:t>
      </w:r>
      <w:r>
        <w:rPr>
          <w:lang w:val="ru-RU" w:eastAsia="ru-RU" w:bidi="ru-RU"/>
          <w:w w:val="100"/>
          <w:spacing w:val="0"/>
          <w:color w:val="000000"/>
          <w:position w:val="0"/>
        </w:rPr>
        <w:t>Эти штаммы микроорганизмов</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 xml:space="preserve">являются возбудителем в 57% случаев ИЭ, вызванных Гр(-) бактериями, в </w:t>
      </w:r>
      <w:r>
        <w:rPr>
          <w:lang w:val="en-US" w:eastAsia="en-US" w:bidi="en-US"/>
          <w:w w:val="100"/>
          <w:spacing w:val="0"/>
          <w:color w:val="000000"/>
          <w:position w:val="0"/>
        </w:rPr>
        <w:t xml:space="preserve">Mayo Clinic </w:t>
      </w:r>
      <w:r>
        <w:rPr>
          <w:lang w:val="ru-RU" w:eastAsia="ru-RU" w:bidi="ru-RU"/>
          <w:w w:val="100"/>
          <w:spacing w:val="0"/>
          <w:color w:val="000000"/>
          <w:position w:val="0"/>
        </w:rPr>
        <w:t xml:space="preserve">с 1958 по 1979 гг. Все коккобациллы </w:t>
      </w:r>
      <w:r>
        <w:rPr>
          <w:lang w:val="en-US" w:eastAsia="en-US" w:bidi="en-US"/>
          <w:w w:val="100"/>
          <w:spacing w:val="0"/>
          <w:color w:val="000000"/>
          <w:position w:val="0"/>
        </w:rPr>
        <w:t xml:space="preserve">HACEK </w:t>
      </w:r>
      <w:r>
        <w:rPr>
          <w:lang w:val="ru-RU" w:eastAsia="ru-RU" w:bidi="ru-RU"/>
          <w:w w:val="100"/>
          <w:spacing w:val="0"/>
          <w:color w:val="000000"/>
          <w:position w:val="0"/>
        </w:rPr>
        <w:t>очень требовательны к культи</w:t>
        <w:softHyphen/>
        <w:t>вированию и растут не менее 2-3 недель. Для улучше</w:t>
        <w:softHyphen/>
        <w:t>ния роста используют шоколадный агар с 5-10% содер</w:t>
        <w:softHyphen/>
        <w:t>жанием СО. Эти микроорганизмы составляют почти все случаи «культуронегативных» эндокардитов. Для клинической картины характерны подострое тече</w:t>
        <w:softHyphen/>
        <w:t>ние, поражение измененных клапанных структур серд</w:t>
        <w:softHyphen/>
        <w:t>ца, эмболические осложнения, поражение ЦНС.</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До эры антибиотиков ИЭ, вызванные </w:t>
      </w:r>
      <w:r>
        <w:rPr>
          <w:lang w:val="en-US" w:eastAsia="en-US" w:bidi="en-US"/>
          <w:w w:val="100"/>
          <w:spacing w:val="0"/>
          <w:color w:val="000000"/>
          <w:position w:val="0"/>
        </w:rPr>
        <w:t xml:space="preserve">Neisseria gonor- rhoeae, </w:t>
      </w:r>
      <w:r>
        <w:rPr>
          <w:lang w:val="ru-RU" w:eastAsia="ru-RU" w:bidi="ru-RU"/>
          <w:w w:val="100"/>
          <w:spacing w:val="0"/>
          <w:color w:val="000000"/>
          <w:position w:val="0"/>
        </w:rPr>
        <w:t>составляли до 10% всех случаев ИЭ. В даль</w:t>
        <w:softHyphen/>
        <w:t xml:space="preserve">нейшем их число резко сократилось. Заболевание протекает остро, поражает часто интактный клапан. В настоящее время чаще выделяются непатогенные </w:t>
      </w:r>
      <w:r>
        <w:rPr>
          <w:lang w:val="en-US" w:eastAsia="en-US" w:bidi="en-US"/>
          <w:w w:val="100"/>
          <w:spacing w:val="0"/>
          <w:color w:val="000000"/>
          <w:position w:val="0"/>
        </w:rPr>
        <w:t xml:space="preserve">Neisseria sp., </w:t>
      </w:r>
      <w:r>
        <w:rPr>
          <w:lang w:val="ru-RU" w:eastAsia="ru-RU" w:bidi="ru-RU"/>
          <w:w w:val="100"/>
          <w:spacing w:val="0"/>
          <w:color w:val="000000"/>
          <w:position w:val="0"/>
        </w:rPr>
        <w:t>поражающие протезный или изменен</w:t>
        <w:softHyphen/>
        <w:t>ный клапан.</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Грибковые микроорганизмы</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последние годы отмечается увеличение частоты грибковых ИЭ. Данная патология возникает чаще после кардиохирургического лечения, длительного применения антибиотиков, при длительном исполь</w:t>
        <w:softHyphen/>
        <w:t xml:space="preserve">зовании внутривенного катетера. Наиболее частым возбудителем является </w:t>
      </w:r>
      <w:r>
        <w:rPr>
          <w:lang w:val="en-US" w:eastAsia="en-US" w:bidi="en-US"/>
          <w:w w:val="100"/>
          <w:spacing w:val="0"/>
          <w:color w:val="000000"/>
          <w:position w:val="0"/>
        </w:rPr>
        <w:t xml:space="preserve">candida albicans, </w:t>
      </w:r>
      <w:r>
        <w:rPr>
          <w:lang w:val="ru-RU" w:eastAsia="ru-RU" w:bidi="ru-RU"/>
          <w:w w:val="100"/>
          <w:spacing w:val="0"/>
          <w:color w:val="000000"/>
          <w:position w:val="0"/>
        </w:rPr>
        <w:t>но описаны и другие грибковые микроорганизмы. Заболевание протекает обычно подостро, тромбоэмболические ос</w:t>
        <w:softHyphen/>
        <w:t>ложнения часто являются первым его проявлением. Диагноз может быть заподозрен на основании отсут</w:t>
        <w:softHyphen/>
        <w:t>ствия роста гемокультуры, наличия грибкового пора</w:t>
        <w:softHyphen/>
        <w:t>жения глаз, кожи, обнаружения при ЭхоКГ больших массивных вегетаций. Терапевтическое лечение ма</w:t>
        <w:softHyphen/>
        <w:t>лоэффективно из-за плохого проникновения проти</w:t>
        <w:softHyphen/>
        <w:t>вогрибковых лекарств в вегетации и их высокой ток</w:t>
        <w:softHyphen/>
        <w:t>сичности. Обычно требуется хирургическое лечение. Летальность достигает 80% .</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Другим наиболее часто встречающимся возбудителем среди грибковых ИЭ у детей является </w:t>
      </w:r>
      <w:r>
        <w:rPr>
          <w:lang w:val="en-US" w:eastAsia="en-US" w:bidi="en-US"/>
          <w:w w:val="100"/>
          <w:spacing w:val="0"/>
          <w:color w:val="000000"/>
          <w:position w:val="0"/>
        </w:rPr>
        <w:t xml:space="preserve">aspergillius sp. </w:t>
      </w:r>
      <w:r>
        <w:rPr>
          <w:lang w:val="ru-RU" w:eastAsia="ru-RU" w:bidi="ru-RU"/>
          <w:w w:val="100"/>
          <w:spacing w:val="0"/>
          <w:color w:val="000000"/>
          <w:position w:val="0"/>
        </w:rPr>
        <w:t>Чаще он поражает протезированный клапан, но мо</w:t>
        <w:softHyphen/>
        <w:t>жет явиться и причиной первичного ИЭ. В клиниче</w:t>
        <w:softHyphen/>
        <w:t>ской картине отмечаются лихорадка, тромбоэмболи</w:t>
        <w:softHyphen/>
        <w:t>ческие осложнения, поражение ЦНС. Диагностика при жизни трудна, летальность достигает 86% .</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Анаэробы</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ИЭ, вызванные анаэробными бактериями, встреча</w:t>
        <w:softHyphen/>
        <w:t xml:space="preserve">ются в 1% случаев. Описано около 100 случаев ИЭ, вызванного </w:t>
      </w:r>
      <w:r>
        <w:rPr>
          <w:lang w:val="en-US" w:eastAsia="en-US" w:bidi="en-US"/>
          <w:w w:val="100"/>
          <w:spacing w:val="0"/>
          <w:color w:val="000000"/>
          <w:position w:val="0"/>
        </w:rPr>
        <w:t xml:space="preserve">Coxiella buretti (Q </w:t>
      </w:r>
      <w:r>
        <w:rPr>
          <w:lang w:val="ru-RU" w:eastAsia="ru-RU" w:bidi="ru-RU"/>
          <w:w w:val="100"/>
          <w:spacing w:val="0"/>
          <w:color w:val="000000"/>
          <w:position w:val="0"/>
        </w:rPr>
        <w:t>лихорадка). Клиничес</w:t>
        <w:softHyphen/>
        <w:t>кие проявления включают анемию, гепатоспленоме- галию, лихорадку, внутрисердечные вегетации. Диа</w:t>
        <w:softHyphen/>
        <w:t>гноз ставится на основании серологических и имму</w:t>
        <w:softHyphen/>
        <w:t xml:space="preserve">нологических исследований. Обычно ИЭ, вызванные </w:t>
      </w:r>
      <w:r>
        <w:rPr>
          <w:lang w:val="en-US" w:eastAsia="en-US" w:bidi="en-US"/>
          <w:w w:val="100"/>
          <w:spacing w:val="0"/>
          <w:color w:val="000000"/>
          <w:position w:val="0"/>
        </w:rPr>
        <w:t xml:space="preserve">Q fever, </w:t>
      </w:r>
      <w:r>
        <w:rPr>
          <w:lang w:val="ru-RU" w:eastAsia="ru-RU" w:bidi="ru-RU"/>
          <w:w w:val="100"/>
          <w:spacing w:val="0"/>
          <w:color w:val="000000"/>
          <w:position w:val="0"/>
        </w:rPr>
        <w:t>диагностируют в США, но стали встречаться случаи заболевания в Англии, Австрии, Австралии.</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Несмотря на совершенствование техники культиви</w:t>
        <w:softHyphen/>
        <w:t>рования гемокультуры, число «культуронегативных» ИЭ остается по-прежнему высоким и достигает 50%, поэтому знание особенностей клинического течения заболевания позволяет предположить этиологию воз</w:t>
        <w:softHyphen/>
        <w:t>будителя и назначить адекватную терапию.</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Патогенез инфекционного эндокардита</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Выделяют пять последовательных этапов развития забо</w:t>
        <w:softHyphen/>
        <w:t>левания:</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pict>
          <v:shape id="_x0000_s1463" type="#_x0000_t75" style="position:absolute;margin-left:141.7pt;margin-top:736.8pt;width:209.75pt;height:14.9pt;z-index:-125829088;mso-wrap-distance-left:135.35pt;mso-wrap-distance-right:136.8pt;mso-wrap-distance-bottom:10.8pt;mso-position-horizontal-relative:margin;mso-position-vertical-relative:margin" wrapcoords="0 0 21600 0 21600 21600 0 21600 0 0">
            <v:imagedata r:id="rId728" r:href="rId729"/>
            <w10:wrap type="topAndBottom" anchorx="margin" anchory="margin"/>
          </v:shape>
        </w:pict>
      </w:r>
      <w:r>
        <w:rPr>
          <w:lang w:val="ru-RU" w:eastAsia="ru-RU" w:bidi="ru-RU"/>
          <w:w w:val="100"/>
          <w:spacing w:val="0"/>
          <w:color w:val="000000"/>
          <w:position w:val="0"/>
        </w:rPr>
        <w:t>Нарушение гемодинамики.</w:t>
      </w:r>
      <w:r>
        <w:br w:type="page"/>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Формирование небактериального тромботического эндокардита.</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Транзиторная бактериемия.</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Взаимодействие микроорганизма с небактериальным тромботическим эндокардитом.</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Иммунологическая реакция организма.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Нарушение гемодинамики</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Неповрежденный эндотелий клапанов высокорезис</w:t>
        <w:softHyphen/>
        <w:t>тентен к инфекции. Нарушение гемодинамики с воз</w:t>
        <w:softHyphen/>
        <w:t>никновением турбулентного регургитантного потока крови приводит к снижению перфузии интимы и травмированию эндотелия.</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Наиболее благоприятные условия создаются при на</w:t>
        <w:softHyphen/>
        <w:t>личии струи регургитации большого градиента давле</w:t>
        <w:softHyphen/>
        <w:t>ния, сужения на пути кровотока.</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 этой причине небольшой септальный дефект или поражение митрального клапана с преобладанием недостаточности значительно чаще осложняются ин</w:t>
        <w:softHyphen/>
        <w:t>фекционным эндокардитом, чем пороки с неболь</w:t>
        <w:softHyphen/>
        <w:t>шим градиентом давления (большой дефект межже</w:t>
        <w:softHyphen/>
        <w:t>лудочковой перегородки, большой дефект межпред</w:t>
        <w:softHyphen/>
        <w:t>сердной перегородки). Излюбленная локализация эндокардита объясняется особенностью гемодина</w:t>
        <w:softHyphen/>
        <w:t>мического фактора.</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недостаточности аортального клапана поражает</w:t>
        <w:softHyphen/>
        <w:t>ся обычно желудочковая поверхность аортального клапана или хорды передней створки митрального клапана. Регургитантный поток при недостаточности митрального клапана способствует повреждению предсердной поверхности митрального клапана и эн</w:t>
        <w:softHyphen/>
        <w:t>докарда левого предсердия.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Формирование небактериального тромботического эндо</w:t>
        <w:softHyphen/>
        <w:t>кардита</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Турбулентный кровоток и удар струи крови травми</w:t>
        <w:softHyphen/>
        <w:t>руют поверхность эндотелия, приводят к оседанию тромбоцитов и фибрина и возникновению так назы</w:t>
        <w:softHyphen/>
        <w:t>ваемого небактериального тромботического эндокар</w:t>
        <w:softHyphen/>
        <w:t>дита. Данная фаза имеет важное значение в возник</w:t>
        <w:softHyphen/>
        <w:t>новении ИЭ, так как в экспериментах на животных практически невозможно вызвать ИЭ инъекцией бактерий, если клапанные структуры не повреждены.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Транзиторная бактериемия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Транзиторная бактериемия ассоциируется со следующи</w:t>
        <w:softHyphen/>
        <w:t>ми манипуляциями: санация полости рта (удаление или пломбирование зуба), бронхоскопия, урологические мани</w:t>
        <w:softHyphen/>
        <w:t>пуляции (цистоскопия, бужирование, катетеризация), гаст</w:t>
        <w:softHyphen/>
        <w:t>роскопия, колоноскопия, чрезкожная биопсия печени, по</w:t>
        <w:softHyphen/>
        <w:t>чек, гинекологические манипуляции и др. У детей наиболее частой причиной транзиторной бактериемии является са</w:t>
        <w:softHyphen/>
        <w:t>нация полости рта. Величина бактериемии при этих проце</w:t>
        <w:softHyphen/>
        <w:t>дурах небольшая (менее 10 колоний на мл) и нестойкая, длится 15-30 минут. В 85% случаев время от бактериемии до развития клинических симптомов не превышает 2 недель.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Взаимодействие микроорганизма с небактериальным тром</w:t>
        <w:softHyphen/>
        <w:t>ботическим эндокардитом</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Способность микроорганизмов оседать на небакте</w:t>
        <w:softHyphen/>
        <w:t>риальном тромботическом эндокардите определяется их патогенными свойствами. Продуцируемый стреп</w:t>
        <w:softHyphen/>
        <w:t>тококками декстран, являющийся комплексом поли</w:t>
        <w:softHyphen/>
        <w:t>сахаридов, способствует адгезии данных микроорга</w:t>
        <w:softHyphen/>
        <w:t>низмов на поверхности небактериального тромботи</w:t>
        <w:softHyphen/>
        <w:t>ческого эндокардита и обусловливает высокую зна-</w:t>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чимость данных возбудителей в развитии ИЭ. Неко</w:t>
        <w:softHyphen/>
        <w:t>торые стафилококки и стрептококки способны вы</w:t>
        <w:softHyphen/>
        <w:t>зывать агрегацию тромбоцитов и оседание их на по</w:t>
        <w:softHyphen/>
        <w:t>верхности клапанов.</w:t>
      </w:r>
    </w:p>
    <w:p>
      <w:pPr>
        <w:pStyle w:val="Style30"/>
        <w:numPr>
          <w:ilvl w:val="0"/>
          <w:numId w:val="7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Механизм данного процесса изучен не полностью, в опытах </w:t>
      </w:r>
      <w:r>
        <w:rPr>
          <w:lang w:val="en-US" w:eastAsia="en-US" w:bidi="en-US"/>
          <w:w w:val="100"/>
          <w:spacing w:val="0"/>
          <w:color w:val="000000"/>
          <w:position w:val="0"/>
        </w:rPr>
        <w:t xml:space="preserve">in vitro </w:t>
      </w:r>
      <w:r>
        <w:rPr>
          <w:lang w:val="ru-RU" w:eastAsia="ru-RU" w:bidi="ru-RU"/>
          <w:w w:val="100"/>
          <w:spacing w:val="0"/>
          <w:color w:val="000000"/>
          <w:position w:val="0"/>
        </w:rPr>
        <w:t>показано, что выделяемый в резуль</w:t>
        <w:softHyphen/>
        <w:t>тате этого фибрин сильно увеличивает адгезию фор</w:t>
        <w:softHyphen/>
        <w:t>менных элементов на поверхности небактериального тромботического эндокардита.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Иммунологическая реакция организма</w:t>
      </w:r>
    </w:p>
    <w:p>
      <w:pPr>
        <w:pStyle w:val="Style30"/>
        <w:numPr>
          <w:ilvl w:val="0"/>
          <w:numId w:val="7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Развитию ИЭ способствует снижение иммунитета в особенности клеточного, со снижением фагоцитар</w:t>
        <w:softHyphen/>
        <w:t>ной активности макрофагов. Особенности микроб - ных агентов также играют роль.</w:t>
      </w:r>
    </w:p>
    <w:p>
      <w:pPr>
        <w:pStyle w:val="Style30"/>
        <w:numPr>
          <w:ilvl w:val="0"/>
          <w:numId w:val="7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Возникновение вторичных иммунологических нару</w:t>
        <w:softHyphen/>
        <w:t>шений при наличии постоянного внутрисосудистого очага инфекции. Они проявляются выработкой анти</w:t>
        <w:softHyphen/>
        <w:t>генов бактериального и тканевого происхождения. Это приводит к циркуляции иммунных комплексов, их отложению и в результате васкулитам, иммунным нефритам, артритам, синовитам.</w:t>
      </w:r>
    </w:p>
    <w:p>
      <w:pPr>
        <w:pStyle w:val="Style30"/>
        <w:numPr>
          <w:ilvl w:val="0"/>
          <w:numId w:val="7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Одним из наиболее сложных компонентов в патоге</w:t>
        <w:softHyphen/>
        <w:t>незе ИЭ является нарушение в системе гемостаза, в частности, развитие ДВС-синдрома. У большинства больных наблюдается увеличение фактора Виллеб- ранта в плазме крови, что свидетельствует о законо</w:t>
        <w:softHyphen/>
        <w:t>мерном повреждении эндотелия сосудов под воздей</w:t>
        <w:softHyphen/>
        <w:t>ствием инфекционных агентов и их токсинов.</w:t>
      </w:r>
    </w:p>
    <w:p>
      <w:pPr>
        <w:pStyle w:val="Style30"/>
        <w:numPr>
          <w:ilvl w:val="0"/>
          <w:numId w:val="7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Основной формой патологии гемостаза при ИЭ явля - ется хронический ДВС-синдром, характеризующий</w:t>
        <w:softHyphen/>
        <w:t>ся чередованием геморрагических и тромботических осложнений, возникновением тромбоцитопении, внутрисосудистой активацией кровяных пластинок, продуктов деградации фибриногена (фибрина), по</w:t>
        <w:softHyphen/>
        <w:t>треблением антитромбина III. Достаточно часто от</w:t>
        <w:softHyphen/>
        <w:t>мечается развитие гиперкоагуляционного статуса без клинически значимых геморрагий и тромбозов.</w:t>
      </w:r>
    </w:p>
    <w:p>
      <w:pPr>
        <w:pStyle w:val="Style30"/>
        <w:numPr>
          <w:ilvl w:val="0"/>
          <w:numId w:val="7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Тромбообразование на клапанах с последующими эм</w:t>
        <w:softHyphen/>
        <w:t>болиями является и проявлением «естественного те</w:t>
        <w:softHyphen/>
        <w:t>чения» ИЭ, поэтому тромбоэмболический синдром или геморрагический васкулит могут развиваться без тесной связи с первичными нарушениями гемостаза.</w:t>
      </w:r>
    </w:p>
    <w:p>
      <w:pPr>
        <w:pStyle w:val="Style30"/>
        <w:numPr>
          <w:ilvl w:val="0"/>
          <w:numId w:val="7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Слабость иммунной защиты является не только пато - генетическим фактором, но и предопределяет разви</w:t>
        <w:softHyphen/>
        <w:t>тие эндокардита. Наиболее характерными изменени</w:t>
        <w:softHyphen/>
        <w:t>ями в иммунологическом статусе больных ИЭ подос</w:t>
        <w:softHyphen/>
        <w:t>трого течения являются снижение показателей кле</w:t>
        <w:softHyphen/>
        <w:t>точного иммунитета, повышение уровня циркулиру</w:t>
        <w:softHyphen/>
        <w:t xml:space="preserve">ющих иммунных комплексов (ЦИК), повышение уровня иммуноглобулинов М и </w:t>
      </w:r>
      <w:r>
        <w:rPr>
          <w:lang w:val="en-US" w:eastAsia="en-US" w:bidi="en-US"/>
          <w:w w:val="100"/>
          <w:spacing w:val="0"/>
          <w:color w:val="000000"/>
          <w:position w:val="0"/>
        </w:rPr>
        <w:t xml:space="preserve">G. </w:t>
      </w:r>
      <w:r>
        <w:rPr>
          <w:lang w:val="ru-RU" w:eastAsia="ru-RU" w:bidi="ru-RU"/>
          <w:w w:val="100"/>
          <w:spacing w:val="0"/>
          <w:color w:val="000000"/>
          <w:position w:val="0"/>
        </w:rPr>
        <w:t>Причем наиболее высокие уровни ЦИК наблюдаются у больных с по</w:t>
        <w:softHyphen/>
        <w:t>зитивной гемокультурой и клиническими проявле</w:t>
        <w:softHyphen/>
        <w:t>ниями иммунопатологии, т.н. иммунологические фе</w:t>
        <w:softHyphen/>
        <w:t>номены — нефрит, васкулит, миокардит, серозит.</w:t>
      </w:r>
    </w:p>
    <w:p>
      <w:pPr>
        <w:pStyle w:val="Style30"/>
        <w:numPr>
          <w:ilvl w:val="0"/>
          <w:numId w:val="7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 мере накопления представлений об антифосфо</w:t>
        <w:softHyphen/>
        <w:t>липидном синдроме было показано, что составляю</w:t>
        <w:softHyphen/>
        <w:t>щим его компонентом является тромбоэндокардит с «небактериальными вегетациями», т.е. та самая тромбофибриновая матрица, которая необходима для инвазии инфекционного агента и инициации ИЭ.</w:t>
      </w:r>
    </w:p>
    <w:p>
      <w:pPr>
        <w:pStyle w:val="Style30"/>
        <w:numPr>
          <w:ilvl w:val="0"/>
          <w:numId w:val="79"/>
        </w:numPr>
        <w:tabs>
          <w:tab w:leader="none" w:pos="239" w:val="left"/>
        </w:tabs>
        <w:widowControl w:val="0"/>
        <w:keepNext w:val="0"/>
        <w:keepLines w:val="0"/>
        <w:shd w:val="clear" w:color="auto" w:fill="auto"/>
        <w:bidi w:val="0"/>
        <w:spacing w:before="0" w:after="0"/>
        <w:ind w:left="260" w:right="0"/>
      </w:pPr>
      <w:r>
        <w:pict>
          <v:shape id="_x0000_s1464" type="#_x0000_t75" style="position:absolute;margin-left:136.8pt;margin-top:736.8pt;width:209.75pt;height:14.9pt;z-index:-125829087;mso-wrap-distance-left:136.8pt;mso-wrap-distance-right:148.1pt;mso-wrap-distance-bottom:10.8pt;mso-position-horizontal-relative:margin;mso-position-vertical-relative:margin" wrapcoords="0 0 21600 0 21600 21600 0 21600 0 0">
            <v:imagedata r:id="rId730" r:href="rId731"/>
            <w10:wrap type="topAndBottom" anchorx="margin" anchory="margin"/>
          </v:shape>
        </w:pict>
      </w:r>
      <w:r>
        <w:rPr>
          <w:lang w:val="ru-RU" w:eastAsia="ru-RU" w:bidi="ru-RU"/>
          <w:w w:val="100"/>
          <w:spacing w:val="0"/>
          <w:color w:val="000000"/>
          <w:position w:val="0"/>
        </w:rPr>
        <w:t>После первоначального повреждения клапанов про</w:t>
        <w:softHyphen/>
        <w:t>исходит дальнейшее увеличение размеров вегетаций</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за счет отложения фибрина, форменных элементов и роста колоний бактерий. Плотные образования, со</w:t>
        <w:softHyphen/>
        <w:t>стоящие из фибрина и форменных элементов, явля</w:t>
        <w:softHyphen/>
        <w:t>ются хорошей защитой для микроорганизмов, пре</w:t>
        <w:softHyphen/>
        <w:t>пятствуя фагоцитозу. Быстрое размножение бактерий приводит к созданию их высокой концентрации, до</w:t>
        <w:softHyphen/>
        <w:t>стигая 109-1010 колоний/грамм вегетаций.</w:t>
      </w:r>
    </w:p>
    <w:p>
      <w:pPr>
        <w:pStyle w:val="Style30"/>
        <w:numPr>
          <w:ilvl w:val="0"/>
          <w:numId w:val="7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Уровень циркулирующих антител играет важную роль в патогенезе ИЭ. Хотя агрегация микроорганизмов ан</w:t>
        <w:softHyphen/>
        <w:t>тителами может привести к такому же эффекту, как при образовании небактериального тромботического эндокардита, в опытах на животных показана их за</w:t>
        <w:softHyphen/>
        <w:t>щитная роль. Внутрисосудистая агглютинация микро</w:t>
        <w:softHyphen/>
        <w:t>организмов антителами уменьшает частоту ИЭ за счет снижения концентрации возбудителя в кровеносном русле. Этим фактом объясняется редкость ИЭ, вы</w:t>
        <w:softHyphen/>
        <w:t>званных Гр(-) аэробными бактериями, так как в крови высок уровень антител к данным микроорганизмам.</w:t>
      </w:r>
    </w:p>
    <w:p>
      <w:pPr>
        <w:pStyle w:val="Style30"/>
        <w:numPr>
          <w:ilvl w:val="0"/>
          <w:numId w:val="7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Снижение активности Т лимфоцитов супрессоров может способствовать формированию абактериаль- ного тромбообразования. Среди поражающих факто</w:t>
        <w:softHyphen/>
        <w:t>ров важную роль играют антимиокардиальные ауто</w:t>
        <w:softHyphen/>
        <w:t xml:space="preserve">антитела, которые </w:t>
      </w:r>
      <w:r>
        <w:rPr>
          <w:lang w:val="en-US" w:eastAsia="en-US" w:bidi="en-US"/>
          <w:w w:val="100"/>
          <w:spacing w:val="0"/>
          <w:color w:val="000000"/>
          <w:position w:val="0"/>
        </w:rPr>
        <w:t xml:space="preserve">in vitro </w:t>
      </w:r>
      <w:r>
        <w:rPr>
          <w:lang w:val="ru-RU" w:eastAsia="ru-RU" w:bidi="ru-RU"/>
          <w:w w:val="100"/>
          <w:spacing w:val="0"/>
          <w:color w:val="000000"/>
          <w:position w:val="0"/>
        </w:rPr>
        <w:t>в присутствии комплемен</w:t>
        <w:softHyphen/>
        <w:t>та оказывают цитотоксическое действие.</w:t>
      </w:r>
    </w:p>
    <w:p>
      <w:pPr>
        <w:pStyle w:val="Style30"/>
        <w:numPr>
          <w:ilvl w:val="0"/>
          <w:numId w:val="7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Уровень циркулирующих иммунных комплексов по</w:t>
        <w:softHyphen/>
        <w:t>вышается в процессе инфекции и нормализуется пос</w:t>
        <w:softHyphen/>
        <w:t>ле антибактериальной терапии. Не исключается уча</w:t>
        <w:softHyphen/>
        <w:t>стие иммунных комплексов в локальных патологиче</w:t>
        <w:softHyphen/>
        <w:t>ских процессах при ИЭ.</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возникновении ИЭ на неповрежденном клапане формирование небактериального тромботического эндо</w:t>
        <w:softHyphen/>
        <w:t>кардита не является необходимым звеном в патогенезе за</w:t>
        <w:softHyphen/>
        <w:t xml:space="preserve">болевания. Очевидно, в данном случае играет важную роль вирулентность микроорганизмов </w:t>
      </w:r>
      <w:r>
        <w:rPr>
          <w:lang w:val="en-US" w:eastAsia="en-US" w:bidi="en-US"/>
          <w:w w:val="100"/>
          <w:spacing w:val="0"/>
          <w:color w:val="000000"/>
          <w:position w:val="0"/>
        </w:rPr>
        <w:t>(Staph. aureus, Str. pneu</w:t>
        <w:softHyphen/>
        <w:t xml:space="preserve">moniae, Neisseria gonorrhaeae, Str. pyogenes) </w:t>
      </w:r>
      <w:r>
        <w:rPr>
          <w:lang w:val="ru-RU" w:eastAsia="ru-RU" w:bidi="ru-RU"/>
          <w:w w:val="100"/>
          <w:spacing w:val="0"/>
          <w:color w:val="000000"/>
          <w:position w:val="0"/>
        </w:rPr>
        <w:t>и их большее количество. Как правило, при первичном ИЭ инфекция метастазирует из других органов — кожи, мышц, легких, достигая высоких концентраций в крови.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проявления ИЭ многообразны и отражают течение патофизиологических процессов заболевания. Они во многом зависят от состояния ребенка, возраста, актив</w:t>
        <w:softHyphen/>
        <w:t>ности его иммунной системы, наличия или отсутствия предшествующего поражения структур сердца, вирулент</w:t>
        <w:softHyphen/>
        <w:t>ности микроорганизма, входных ворот инфекции, наличия осложнений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Инфекционный эндокардит новорожденных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большинстве случаев ИЭ у новорожденных протекает остро, с клинической картиной сепсиса. Диагноз часто ве</w:t>
        <w:softHyphen/>
        <w:t>рифицируется лишь на аутопсии. За последнее десятилетие в связи с развитием реанимационной службы, повышением выживаемости недоношенных детей, частым длительным применением внутривенных катетеров для парентерально</w:t>
        <w:softHyphen/>
        <w:t>го питания и инфузионной терапии отмечается рост числа детей с ИЭ в неонатальном периоде. Персистирующая бак</w:t>
        <w:softHyphen/>
        <w:t>териемия на фоне сниженного местного и гуморального иммунитета, ухудшение функции легких, коагулопатия, тромбоцитопения являются ведущими механизмами в воз</w:t>
        <w:softHyphen/>
        <w:t>никновении ИЭ у новорожденных. При этом ВПС обнару</w:t>
        <w:softHyphen/>
        <w:t>живается только у 1 из 3 пациентов. Возбудителями обычно являются стафилококки, включая условнопатогенные, а также Гр(-) бактерии.</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Основными признаками ИЭ у новорожденных являются:</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Гипертермия.</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Респираторный дистресс-синдром.</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Бледность кожных покровов с серо-землистым от</w:t>
        <w:softHyphen/>
        <w:t>тенком.</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Похолодание конечностей.</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Тахикардия.</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Тахипноэ.</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Гепатоспленомегалия.</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Картина застойной сердечной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Физикальные данные:</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Чаще поражается трехстворчатый клапан.</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Нередки легочные осложнения, включая инфаркт, абсцесс легкого и симптомы поражения плевры.</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Шум недостаточности трехстворчатого клапана, пульсация в эпигастральной области, ритм галопа ре</w:t>
        <w:softHyphen/>
        <w:t>гистрируются в 33% случаев.</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2/3 новорожденных регистрируются экстракарди</w:t>
        <w:softHyphen/>
        <w:t>альные осложнения, которые во многом обусловли</w:t>
        <w:softHyphen/>
        <w:t>вают неблагоприятный прогноз.</w:t>
      </w:r>
    </w:p>
    <w:p>
      <w:pPr>
        <w:pStyle w:val="Style30"/>
        <w:numPr>
          <w:ilvl w:val="0"/>
          <w:numId w:val="7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Летальность, несмотря на адекватное лечение, дости - гает 65-80%.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Инфекционный эндокардит у детей и подростков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Острый ИЭ может протекать по типу бактериального шока или сепсиса. В этих случаях поражение эндокарда мо</w:t>
        <w:softHyphen/>
        <w:t>жет быть обнаружено лишь во время аутопсии.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подострых формах ИЭ из-за скудности клинических проявлений диагноз может быть поставлен лишь спустя не</w:t>
        <w:softHyphen/>
        <w:t>делю или месяцы от начала заболевания. Наличие у ребенка врожденного порока сердца также затрудняет постановку диагноза из-за трудности обнаружения изменения характера аускультативной картины и часто неправильной трактовки субфебрилитета, связываемого с гипоксией ЦНС. Несмотря на многообразие клинических проявлений ИЭ, можно выде</w:t>
        <w:softHyphen/>
        <w:t>лить четыре наиболее важных клинических синдрома:</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Инфекционное поражение клапанов и структур сердца.</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Тромбоэмболические осложнения.</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Бактериемия с метастазированием инфекции.</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Иммунопатологические реакции.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Лихорадка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частым проявлением ИЭ является лихорадка. Повышение температуры отсутствует только в 10% случаев. Гипертермия является неспецифическим проявлением вос</w:t>
        <w:softHyphen/>
        <w:t>паления.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остром течении заболевание может иметь гектичес- кий размах с самостоятельным снижением температуры в вечерние и ночные часы, сопровождающимся обильным потоотделением.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подострых формах температура имеет обычно не</w:t>
        <w:softHyphen/>
        <w:t>высокие цифры.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Симптомы хронической интоксикации</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Недомогание.</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Анорексия.</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Потеря веса.</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Утомляемость.</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Нарушение сна.</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Ригидность шеи.</w:t>
      </w:r>
    </w:p>
    <w:p>
      <w:pPr>
        <w:pStyle w:val="Style30"/>
        <w:numPr>
          <w:ilvl w:val="0"/>
          <w:numId w:val="7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Рвота, тошнота:</w:t>
      </w:r>
    </w:p>
    <w:p>
      <w:pPr>
        <w:pStyle w:val="Style30"/>
        <w:widowControl w:val="0"/>
        <w:keepNext w:val="0"/>
        <w:keepLines w:val="0"/>
        <w:shd w:val="clear" w:color="auto" w:fill="auto"/>
        <w:bidi w:val="0"/>
        <w:spacing w:before="0" w:after="0"/>
        <w:ind w:left="740" w:right="0" w:hanging="220"/>
      </w:pPr>
      <w:r>
        <w:pict>
          <v:shape id="_x0000_s1465" type="#_x0000_t75" style="position:absolute;margin-left:148.1pt;margin-top:736.8pt;width:209.75pt;height:14.9pt;z-index:-125829086;mso-wrap-distance-left:148.1pt;mso-wrap-distance-right:136.8pt;mso-wrap-distance-bottom:10.8pt;mso-position-horizontal-relative:margin;mso-position-vertical-relative:margin" wrapcoords="0 0 21600 0 21600 21600 0 21600 0 0">
            <v:imagedata r:id="rId732" r:href="rId733"/>
            <w10:wrap type="topAndBottom" anchorx="margin" anchory="margin"/>
          </v:shape>
        </w:pict>
      </w:r>
      <w:r>
        <w:rPr>
          <w:lang w:val="ru-RU" w:eastAsia="ru-RU" w:bidi="ru-RU"/>
          <w:w w:val="100"/>
          <w:spacing w:val="0"/>
          <w:color w:val="000000"/>
          <w:position w:val="0"/>
        </w:rPr>
        <w:t>- тошнота, рвота и боли в животе встречаются в 16% случаев, обычно связаны с интоксикацией, но мо</w:t>
        <w:softHyphen/>
        <w:t>гут быть проявлением тромбоэмболии в мезенте</w:t>
        <w:softHyphen/>
        <w:t>риальные сосуды.</w:t>
      </w:r>
      <w:r>
        <w:br w:type="page"/>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Боли в животе.</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Головные боли.</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Симптомы, связанные с бактериемией и иммунопатологи</w:t>
        <w:softHyphen/>
        <w:t>ческими реакциями</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Сыпь.</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Анорексия.</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Миалгии.</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Артралгии, артрит:</w:t>
      </w:r>
    </w:p>
    <w:p>
      <w:pPr>
        <w:pStyle w:val="Style30"/>
        <w:numPr>
          <w:ilvl w:val="0"/>
          <w:numId w:val="81"/>
        </w:numPr>
        <w:tabs>
          <w:tab w:leader="none" w:pos="731"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поражение крупных суставов с артралгией или ар</w:t>
        <w:softHyphen/>
        <w:t>тритом отмечается у 24% пациентов.</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Спленомегалия:</w:t>
      </w:r>
    </w:p>
    <w:p>
      <w:pPr>
        <w:pStyle w:val="Style30"/>
        <w:numPr>
          <w:ilvl w:val="0"/>
          <w:numId w:val="81"/>
        </w:numPr>
        <w:tabs>
          <w:tab w:leader="none" w:pos="731"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увеличение селезенки наблюдается у 55% детей сИЭ;</w:t>
      </w:r>
    </w:p>
    <w:p>
      <w:pPr>
        <w:pStyle w:val="Style30"/>
        <w:numPr>
          <w:ilvl w:val="0"/>
          <w:numId w:val="81"/>
        </w:numPr>
        <w:tabs>
          <w:tab w:leader="none" w:pos="731"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этот симптом чаще отмечается при подостром те</w:t>
        <w:softHyphen/>
        <w:t>чении заболевания и активации иммунной систе</w:t>
        <w:softHyphen/>
        <w:t>мы. При пальпации селезенка, как правило, безбо</w:t>
        <w:softHyphen/>
        <w:t>лезненна;</w:t>
      </w:r>
    </w:p>
    <w:p>
      <w:pPr>
        <w:pStyle w:val="Style30"/>
        <w:numPr>
          <w:ilvl w:val="0"/>
          <w:numId w:val="81"/>
        </w:numPr>
        <w:tabs>
          <w:tab w:leader="none" w:pos="731"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инфаркт или абсцесс селезенки должен быть запо - дозрен при появлении болей в верхнем левом ква</w:t>
        <w:softHyphen/>
        <w:t>дранте живота и иррадиацией в область плеча.</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Неврологические нарушения.</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Узелки Ослера:</w:t>
      </w:r>
    </w:p>
    <w:p>
      <w:pPr>
        <w:pStyle w:val="Style30"/>
        <w:numPr>
          <w:ilvl w:val="0"/>
          <w:numId w:val="81"/>
        </w:numPr>
        <w:tabs>
          <w:tab w:leader="none" w:pos="731"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узелки Ослера, представляющие собой краснова</w:t>
        <w:softHyphen/>
        <w:t>того цвета болезненные очаги уплотнения в коже и подкожной клетчатке, являющиеся воспалитель</w:t>
        <w:softHyphen/>
        <w:t>ными инфильтратами в результате поражения мел</w:t>
        <w:softHyphen/>
        <w:t>ких сосудов, встречаются в 7-8% случаев;</w:t>
      </w:r>
    </w:p>
    <w:p>
      <w:pPr>
        <w:pStyle w:val="Style30"/>
        <w:numPr>
          <w:ilvl w:val="0"/>
          <w:numId w:val="81"/>
        </w:numPr>
        <w:tabs>
          <w:tab w:leader="none" w:pos="731"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располагаются обычно на ладонной поверхности кончиков пальцев рук, в области тенара и гипоте- нара, а также на подошвенной поверхности перво</w:t>
        <w:softHyphen/>
        <w:t>го пальца стоп;</w:t>
      </w:r>
    </w:p>
    <w:p>
      <w:pPr>
        <w:pStyle w:val="Style30"/>
        <w:numPr>
          <w:ilvl w:val="0"/>
          <w:numId w:val="81"/>
        </w:numPr>
        <w:tabs>
          <w:tab w:leader="none" w:pos="731"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узелки Ослера рассматриваются либо как септиче</w:t>
        <w:softHyphen/>
        <w:t>ская эмболия, либо как иммунокомплексный вас</w:t>
        <w:softHyphen/>
        <w:t>кулит.</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Субконъюнктивальные кровоизлияния.</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Петехии.</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Пятна Джейнуэя (7% случаев):</w:t>
      </w:r>
    </w:p>
    <w:p>
      <w:pPr>
        <w:pStyle w:val="Style30"/>
        <w:numPr>
          <w:ilvl w:val="0"/>
          <w:numId w:val="81"/>
        </w:numPr>
        <w:tabs>
          <w:tab w:leader="none" w:pos="731"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пятна Джейнуэя представляют собой красные пят</w:t>
        <w:softHyphen/>
        <w:t>на или болезненные экхимозы на подошвах и ла</w:t>
        <w:softHyphen/>
        <w:t>донях;</w:t>
      </w:r>
    </w:p>
    <w:p>
      <w:pPr>
        <w:pStyle w:val="Style30"/>
        <w:numPr>
          <w:ilvl w:val="0"/>
          <w:numId w:val="81"/>
        </w:numPr>
        <w:tabs>
          <w:tab w:leader="none" w:pos="731"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являются результатом септической эмболии с по</w:t>
        <w:softHyphen/>
        <w:t>следующим развитием некроза и подкожного кро</w:t>
        <w:softHyphen/>
        <w:t>воизлияния.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Симптомы, связанные с поражением сердца</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Усиление шума.</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Появление нового шума.</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Боли в сердце:</w:t>
      </w:r>
    </w:p>
    <w:p>
      <w:pPr>
        <w:pStyle w:val="Style30"/>
        <w:numPr>
          <w:ilvl w:val="0"/>
          <w:numId w:val="81"/>
        </w:numPr>
        <w:tabs>
          <w:tab w:leader="none" w:pos="731"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боли в области грудной клетки встречаются в 10% случаев, чаще при правостороннем ИЭ, могут быть результатом миалгий, но иногда являются прояв</w:t>
        <w:softHyphen/>
        <w:t>лением эмболии легочных сосудов при правосто</w:t>
        <w:softHyphen/>
        <w:t>ронних ИЭ.</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Одышка.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Симптомы, обусловленные тромбоэмболией</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Системная или легочная эмболизация соответствен</w:t>
        <w:softHyphen/>
        <w:t>но обусловлена левосторонней или правосторонней локализацией бактериальных вегетаций.</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Левосторонние симптомы эмболизации проявляются инфарктами или висцеральными кровоизлияниями.</w:t>
      </w:r>
    </w:p>
    <w:p>
      <w:pPr>
        <w:pStyle w:val="Style30"/>
        <w:numPr>
          <w:ilvl w:val="0"/>
          <w:numId w:val="7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Эмболы центральной нервной системы обусловлива</w:t>
        <w:softHyphen/>
        <w:t>ют транзиторные ишемические нарушения кровооб</w:t>
        <w:softHyphen/>
        <w:t>ращения и инсульты:</w:t>
      </w:r>
    </w:p>
    <w:p>
      <w:pPr>
        <w:pStyle w:val="Style30"/>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 поражение ЦНС в виде гемипареза, эпилептических судорог, атаксии, афазии, очаговой неврологической симптоматики, потери чувствительности, изменения психического статуса может сохраняться в течение длительного времени после выздоровления от ИЭ.</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Поражение глазной артерии может привести к потере зрения.</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Системная тромбоэмболия (митральный и аорталь</w:t>
        <w:softHyphen/>
        <w:t>ный клапаны) может вызвать окклюзию любой арте</w:t>
        <w:softHyphen/>
        <w:t>рии, включая коронарные артерии, аорту, почечные, висцеральные или периферические артерии. Возни</w:t>
        <w:softHyphen/>
        <w:t>кает инфаркт или ишемия соответствующего органа.</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Правосторонние вегетации (трикуспидальный кла</w:t>
        <w:softHyphen/>
        <w:t>пан и клапан легочной артерии) обусловливают эм</w:t>
        <w:softHyphen/>
        <w:t>болию легочной артерии и инфаркт легких.</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Множественные повторные микроэмболы могут приводить к возникновению легочной гипертензии или легочному сердцу.</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Частота тромбоэмболических осложнений, обнару</w:t>
        <w:softHyphen/>
        <w:t>живаемых при аутопсии, выше, чем число случаев, выявляемых клинически. Клинические проявления тромбоэмболии определяются у 5-30% пациентов, за</w:t>
        <w:softHyphen/>
        <w:t>висят от места их локализации.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Другие признаки и симптомы</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Застойная сердечная недостаточность возникает у 30% детей, чаще на фоне первичного поражения сердца.</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Неврологическая симптоматика встречается в 20% случаев ИЭ у детей. Часто, внезапное начало заболе</w:t>
        <w:softHyphen/>
        <w:t>вания с клинической картины нарушения мозгового кровообращения является первым проявлением ИЭ, что может затруднить постановку диагноза и проведе</w:t>
        <w:softHyphen/>
        <w:t>ние адекватной терапии.</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Выпотной плеврит.</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Гепатомегалия, причиной которой служит недоста</w:t>
        <w:softHyphen/>
        <w:t>точность кровообращения, токсический гепатит, ау</w:t>
        <w:softHyphen/>
        <w:t>тоиммунное поражение печени.</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Поражение почек при ИЭ может быть следствием микроэмболии с последующим развитием микроин</w:t>
        <w:softHyphen/>
        <w:t>фаркта, обнаруживаемого в 56% аутопсий, или ре</w:t>
        <w:softHyphen/>
        <w:t>зультатом гиперкомплементемии при подостром или хроническом течении заболевания с последующим развитием иммунокомплексного гломерулонефрита, возникающего у 10-15% пациентов. Нередко первы</w:t>
        <w:softHyphen/>
        <w:t>ми проявлениями ИЭ могут быть симптомы диффуз</w:t>
        <w:softHyphen/>
        <w:t>ного гломерулонефрита. Мочевой синдром в виде ге</w:t>
        <w:softHyphen/>
        <w:t>матурии, протеинурии, цилиндрурии, бактериурии встречается в 25-50% случаев.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Посев крови</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Посев крови, по существу, является единственным специфическим методом лабораторной диагностики ИЭ. С одинаковым успехом можно исследовать как венозную, так и артериальную кровь вне зависимости от фазы подъема температуры.</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Посевы крови следует производить в первые сутки после установления диагноза: при подостром ИЭ — 2 и более раз с интервалом 12 часов, при остром ИЭ — 3 и более раз в течение часа.</w:t>
      </w:r>
    </w:p>
    <w:p>
      <w:pPr>
        <w:pStyle w:val="Style30"/>
        <w:numPr>
          <w:ilvl w:val="0"/>
          <w:numId w:val="79"/>
        </w:numPr>
        <w:tabs>
          <w:tab w:leader="none" w:pos="239" w:val="left"/>
        </w:tabs>
        <w:widowControl w:val="0"/>
        <w:keepNext w:val="0"/>
        <w:keepLines w:val="0"/>
        <w:shd w:val="clear" w:color="auto" w:fill="auto"/>
        <w:bidi w:val="0"/>
        <w:spacing w:before="0" w:after="0"/>
        <w:ind w:left="280" w:right="0" w:hanging="280"/>
      </w:pPr>
      <w:r>
        <w:pict>
          <v:shape id="_x0000_s1466" type="#_x0000_t75" style="position:absolute;margin-left:136.55pt;margin-top:736.8pt;width:209.75pt;height:14.9pt;z-index:-125829085;mso-wrap-distance-left:136.3pt;mso-wrap-distance-right:148.1pt;mso-wrap-distance-bottom:10.8pt;mso-position-horizontal-relative:margin;mso-position-vertical-relative:margin" wrapcoords="0 0 21600 0 21600 21600 0 21600 0 0">
            <v:imagedata r:id="rId734" r:href="rId735"/>
            <w10:wrap type="topAndBottom" anchorx="margin" anchory="margin"/>
          </v:shape>
        </w:pict>
      </w:r>
      <w:r>
        <w:rPr>
          <w:lang w:val="ru-RU" w:eastAsia="ru-RU" w:bidi="ru-RU"/>
          <w:w w:val="100"/>
          <w:spacing w:val="0"/>
          <w:color w:val="000000"/>
          <w:position w:val="0"/>
        </w:rPr>
        <w:t>При отрицательных результатах первичных посевов проводят 2-3 дополнительных посева в течение 48 часов.</w:t>
      </w:r>
      <w:r>
        <w:br w:type="page"/>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Кровь берут раздельными венопункциями в объеме около 20 мл у взрослых и 5-10 мл — у детей.</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Нельзя исследовать кровь из постоянных сосудистых катетеров ввиду высокого риска контаминации по</w:t>
        <w:softHyphen/>
        <w:t>сторонней микрофлорой.</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Многократные посевы крови существенно повышают вероятность выделения гемокультуры и позволяют дифференцировать истинные патогены (при повтор</w:t>
        <w:softHyphen/>
        <w:t>ном выявлении микроорганизмов того же вида) от случайных контаминантов, наблюдаемых в 41,5% случаев. При этом среди гемокультур коагулазонега- тивных стафилококков удельный вес контаминантов достигает 81,9%, а среди изолятов зеленящих стрепто</w:t>
        <w:softHyphen/>
        <w:t>кокков — 49,3%, что связано с применением внутри</w:t>
        <w:softHyphen/>
        <w:t>сосудистых катетеров и других инвазивных вмеша</w:t>
        <w:softHyphen/>
        <w:t>тельств, а также с использованием высококачествен</w:t>
        <w:softHyphen/>
        <w:t>ных питательных сред для выделения гемокультур, обеспечивающих рост контаминантов кожи даже пос</w:t>
        <w:softHyphen/>
        <w:t>ле тщательной ее дезинфекции перед венопункцией.</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Высев возбудителя имеет наибольшее значение в по</w:t>
        <w:softHyphen/>
        <w:t>становке диагноза ИЭ. Отрицательные посевы крови встречаются в 10-15% случаев, причем их количество увеличивается до 40% в случаях применения антибак</w:t>
        <w:softHyphen/>
        <w:t>териального лечения до забора крови.</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Идеально, чтобы в первые сутки заболевания было взято 3-5 посевов крови. В пробирку с </w:t>
      </w:r>
      <w:r>
        <w:rPr>
          <w:lang w:val="en-US" w:eastAsia="en-US" w:bidi="en-US"/>
          <w:w w:val="100"/>
          <w:spacing w:val="0"/>
          <w:color w:val="000000"/>
          <w:position w:val="0"/>
        </w:rPr>
        <w:t xml:space="preserve">thioglycollate </w:t>
      </w:r>
      <w:r>
        <w:rPr>
          <w:lang w:val="ru-RU" w:eastAsia="ru-RU" w:bidi="ru-RU"/>
          <w:w w:val="100"/>
          <w:spacing w:val="0"/>
          <w:color w:val="000000"/>
          <w:position w:val="0"/>
        </w:rPr>
        <w:t>берут 3-5 мл крови и инкубируют ее в течение не ме</w:t>
        <w:softHyphen/>
        <w:t>нее 3 недель для выявления медленно растущих мик</w:t>
        <w:softHyphen/>
        <w:t>роорганизмов.</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Медленно растущие микроорганизмы, например стрептококки желудочно-кишечного тракта, лучше растут на средах с добавлением пиридоксальфосфата или </w:t>
      </w:r>
      <w:r>
        <w:rPr>
          <w:lang w:val="en-US" w:eastAsia="en-US" w:bidi="en-US"/>
          <w:w w:val="100"/>
          <w:spacing w:val="0"/>
          <w:color w:val="000000"/>
          <w:position w:val="0"/>
        </w:rPr>
        <w:t>L</w:t>
      </w:r>
      <w:r>
        <w:rPr>
          <w:lang w:val="ru-RU" w:eastAsia="ru-RU" w:bidi="ru-RU"/>
          <w:w w:val="100"/>
          <w:spacing w:val="0"/>
          <w:color w:val="000000"/>
          <w:position w:val="0"/>
        </w:rPr>
        <w:t>-цистеина. Данные микроорганизмы необходи</w:t>
        <w:softHyphen/>
        <w:t>мо заподозрить в случаях роста Гр (+) кокков в мед</w:t>
        <w:softHyphen/>
        <w:t>ленно растущих колониях.</w:t>
      </w:r>
    </w:p>
    <w:p>
      <w:pPr>
        <w:pStyle w:val="Style30"/>
        <w:numPr>
          <w:ilvl w:val="0"/>
          <w:numId w:val="7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Отрицательные посевы крови регистрируются в 10</w:t>
        <w:softHyphen/>
        <w:t>15% случаев ИЭ. Причиной отрицательных посевов крови являются:</w:t>
      </w:r>
    </w:p>
    <w:p>
      <w:pPr>
        <w:pStyle w:val="Style30"/>
        <w:numPr>
          <w:ilvl w:val="0"/>
          <w:numId w:val="81"/>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применение антибиотиков до взятия посевов кро</w:t>
        <w:softHyphen/>
        <w:t>ви;</w:t>
      </w:r>
    </w:p>
    <w:p>
      <w:pPr>
        <w:pStyle w:val="Style30"/>
        <w:numPr>
          <w:ilvl w:val="0"/>
          <w:numId w:val="81"/>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ИЭ, вызванные риккетсиями, хламидиями, виру</w:t>
        <w:softHyphen/>
        <w:t>сами;</w:t>
      </w:r>
    </w:p>
    <w:p>
      <w:pPr>
        <w:pStyle w:val="Style30"/>
        <w:numPr>
          <w:ilvl w:val="0"/>
          <w:numId w:val="81"/>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ИЭ, вызванные медленно растущими микроорга</w:t>
        <w:softHyphen/>
        <w:t xml:space="preserve">низмами </w:t>
      </w:r>
      <w:r>
        <w:rPr>
          <w:lang w:val="en-US" w:eastAsia="en-US" w:bidi="en-US"/>
          <w:w w:val="100"/>
          <w:spacing w:val="0"/>
          <w:color w:val="000000"/>
          <w:position w:val="0"/>
        </w:rPr>
        <w:t xml:space="preserve">(candida, haemophilus, brucella) </w:t>
      </w:r>
      <w:r>
        <w:rPr>
          <w:lang w:val="ru-RU" w:eastAsia="ru-RU" w:bidi="ru-RU"/>
          <w:w w:val="100"/>
          <w:spacing w:val="0"/>
          <w:color w:val="000000"/>
          <w:position w:val="0"/>
        </w:rPr>
        <w:t>или стрептококками желудочно-кишечного тракта;</w:t>
      </w:r>
    </w:p>
    <w:p>
      <w:pPr>
        <w:pStyle w:val="Style30"/>
        <w:numPr>
          <w:ilvl w:val="0"/>
          <w:numId w:val="81"/>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ИЭ, вызванные анаэробными микроорганизмами;</w:t>
      </w:r>
    </w:p>
    <w:p>
      <w:pPr>
        <w:pStyle w:val="Style30"/>
        <w:numPr>
          <w:ilvl w:val="0"/>
          <w:numId w:val="81"/>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небактериальный тромботический эндокардит;</w:t>
      </w:r>
    </w:p>
    <w:p>
      <w:pPr>
        <w:pStyle w:val="Style30"/>
        <w:numPr>
          <w:ilvl w:val="0"/>
          <w:numId w:val="81"/>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пристеночный (внутрисердечный) эндокардит;</w:t>
      </w:r>
    </w:p>
    <w:p>
      <w:pPr>
        <w:pStyle w:val="Style30"/>
        <w:numPr>
          <w:ilvl w:val="0"/>
          <w:numId w:val="81"/>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правосторонний ИЭ;</w:t>
      </w:r>
    </w:p>
    <w:p>
      <w:pPr>
        <w:pStyle w:val="Style30"/>
        <w:numPr>
          <w:ilvl w:val="0"/>
          <w:numId w:val="81"/>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грибковый эндокардит;</w:t>
      </w:r>
    </w:p>
    <w:p>
      <w:pPr>
        <w:pStyle w:val="Style30"/>
        <w:numPr>
          <w:ilvl w:val="0"/>
          <w:numId w:val="81"/>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неправильно установленные диагнозы.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Несмотря на совершенствование техники культивирова</w:t>
        <w:softHyphen/>
        <w:t>ния крови, в последнее десятилетие отмечается рост числа культуронегативных ИЭ, что связано, очевидно, с широким применением антибиотиков на достационарном этапе ле</w:t>
        <w:softHyphen/>
        <w:t>чения, а также с увеличением числа случаев заболевания вызванных возбудителем небактериальной природы и мед</w:t>
        <w:softHyphen/>
        <w:t>ленно растущими штаммами микроорганизмов.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Общий анализ крови</w:t>
      </w:r>
    </w:p>
    <w:p>
      <w:pPr>
        <w:pStyle w:val="Style30"/>
        <w:numPr>
          <w:ilvl w:val="0"/>
          <w:numId w:val="7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Лейкоцитоз:</w:t>
      </w:r>
    </w:p>
    <w:p>
      <w:pPr>
        <w:pStyle w:val="Style30"/>
        <w:numPr>
          <w:ilvl w:val="0"/>
          <w:numId w:val="81"/>
        </w:numPr>
        <w:tabs>
          <w:tab w:leader="none" w:pos="759"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 острых случаях с развитием сепсиса может отме</w:t>
        <w:softHyphen/>
        <w:t>чаться лейкопения.</w:t>
      </w:r>
    </w:p>
    <w:p>
      <w:pPr>
        <w:pStyle w:val="Style30"/>
        <w:numPr>
          <w:ilvl w:val="0"/>
          <w:numId w:val="79"/>
        </w:numPr>
        <w:tabs>
          <w:tab w:leader="none" w:pos="236" w:val="left"/>
        </w:tabs>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Ускорение СОЭ регистрируется у 90% больных с ИЭ, коррелирует с гипергаммаглобулинемией, обнаружи</w:t>
        <w:softHyphen/>
        <w:t>ваемой при этом заболевании:</w:t>
      </w:r>
    </w:p>
    <w:p>
      <w:pPr>
        <w:pStyle w:val="Style30"/>
        <w:numPr>
          <w:ilvl w:val="0"/>
          <w:numId w:val="8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артефактное снижение СОЭ отмечается при со</w:t>
        <w:softHyphen/>
        <w:t>путствующем поражении почек, застойной сер</w:t>
        <w:softHyphen/>
        <w:t>дечной недостаточности, полицитемии, синих ВПС. При адекватной терапии отмечается норма</w:t>
        <w:softHyphen/>
        <w:t>лизация данного лабораторного показателя.</w:t>
      </w:r>
    </w:p>
    <w:p>
      <w:pPr>
        <w:pStyle w:val="Style30"/>
        <w:numPr>
          <w:ilvl w:val="0"/>
          <w:numId w:val="7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Анемия возникает у 40% больных, чаще при хрониче</w:t>
        <w:softHyphen/>
        <w:t>ском течении заболевания:</w:t>
      </w:r>
    </w:p>
    <w:p>
      <w:pPr>
        <w:pStyle w:val="Style30"/>
        <w:numPr>
          <w:ilvl w:val="0"/>
          <w:numId w:val="8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 детей с синими ВПС нормальные или низкие по - казатели гемоглобина крови могут быть проявле</w:t>
        <w:softHyphen/>
        <w:t>нием ИЭ.</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Биохимические и иммунологические анализы крови</w:t>
      </w:r>
    </w:p>
    <w:p>
      <w:pPr>
        <w:pStyle w:val="Style30"/>
        <w:numPr>
          <w:ilvl w:val="0"/>
          <w:numId w:val="7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Ревматоидный фактор положителен у половины па</w:t>
        <w:softHyphen/>
        <w:t>циентов с ИЭ и может подтверждать диагноз при от</w:t>
        <w:softHyphen/>
        <w:t>рицательных посевах крови. Показано, что при адек</w:t>
        <w:softHyphen/>
        <w:t>ватной терапии происходит его нормализация.</w:t>
      </w:r>
    </w:p>
    <w:p>
      <w:pPr>
        <w:pStyle w:val="Style30"/>
        <w:numPr>
          <w:ilvl w:val="0"/>
          <w:numId w:val="7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Установлено, что больные ИЭ имеют повышенную чувствительность тромбоцитов к агрегации, высокий уровень Р-тромбоглобулина в плазме и низкое содер</w:t>
        <w:softHyphen/>
        <w:t>жание антитромбина III при нормальном уровне ин</w:t>
        <w:softHyphen/>
        <w:t>гибитора а-плазмина, что указывает на слабую ги</w:t>
        <w:softHyphen/>
        <w:t>перкоагуляцию без ускорения фибринолиза. Повы</w:t>
        <w:softHyphen/>
        <w:t>шенная наклонность к тромбообразованию у боль</w:t>
        <w:softHyphen/>
        <w:t>ных с ИЭ, наряду с умеренной гиперкоагуляцией, связана с изменением функции тромбоцитов.</w:t>
      </w:r>
    </w:p>
    <w:p>
      <w:pPr>
        <w:pStyle w:val="Style30"/>
        <w:numPr>
          <w:ilvl w:val="0"/>
          <w:numId w:val="7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Изменения гуморальной системы иммунитета при ИЭ характеризуются поликлональной гипериммуноглобу- линемией или повышением уровня </w:t>
      </w:r>
      <w:r>
        <w:rPr>
          <w:lang w:val="en-US" w:eastAsia="en-US" w:bidi="en-US"/>
          <w:w w:val="100"/>
          <w:spacing w:val="0"/>
          <w:color w:val="000000"/>
          <w:position w:val="0"/>
        </w:rPr>
        <w:t xml:space="preserve">Ig </w:t>
      </w:r>
      <w:r>
        <w:rPr>
          <w:lang w:val="ru-RU" w:eastAsia="ru-RU" w:bidi="ru-RU"/>
          <w:w w:val="100"/>
          <w:spacing w:val="0"/>
          <w:color w:val="000000"/>
          <w:position w:val="0"/>
        </w:rPr>
        <w:t xml:space="preserve">класса </w:t>
      </w:r>
      <w:r>
        <w:rPr>
          <w:lang w:val="en-US" w:eastAsia="en-US" w:bidi="en-US"/>
          <w:w w:val="100"/>
          <w:spacing w:val="0"/>
          <w:color w:val="000000"/>
          <w:position w:val="0"/>
        </w:rPr>
        <w:t xml:space="preserve">M </w:t>
      </w:r>
      <w:r>
        <w:rPr>
          <w:lang w:val="ru-RU" w:eastAsia="ru-RU" w:bidi="ru-RU"/>
          <w:w w:val="100"/>
          <w:spacing w:val="0"/>
          <w:color w:val="000000"/>
          <w:position w:val="0"/>
        </w:rPr>
        <w:t xml:space="preserve">и </w:t>
      </w:r>
      <w:r>
        <w:rPr>
          <w:lang w:val="en-US" w:eastAsia="en-US" w:bidi="en-US"/>
          <w:w w:val="100"/>
          <w:spacing w:val="0"/>
          <w:color w:val="000000"/>
          <w:position w:val="0"/>
        </w:rPr>
        <w:t>G.</w:t>
      </w:r>
    </w:p>
    <w:p>
      <w:pPr>
        <w:pStyle w:val="Style30"/>
        <w:numPr>
          <w:ilvl w:val="0"/>
          <w:numId w:val="7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Циркулирующие иммунные комплексы (ЦИК) выяв</w:t>
        <w:softHyphen/>
        <w:t>ляются у 63-93% больных ИЭ. Хотя ЦИК бывают по</w:t>
        <w:softHyphen/>
        <w:t>вышены в 10% случаев у больных при острых инфек</w:t>
        <w:softHyphen/>
        <w:t>циях без поражения клапанов сердца и в контроле, их уровень при ИЭ значительно выше. Уровень ЦИК коррелирует с подострым течением и внесосудистыми проявлениями заболевания, персистированием реф</w:t>
        <w:softHyphen/>
        <w:t>рактерной бактериемии, поражением почек. Повыше</w:t>
        <w:softHyphen/>
        <w:t>ние уровня ЦИК более 12 мг/мл может являться диа</w:t>
        <w:softHyphen/>
        <w:t>гностическим критерием при культуронегативных ИЭ. Однако необходимо учитывать, что при стафило</w:t>
        <w:softHyphen/>
        <w:t>кокковых ИЭ уровень их существенно не отличается от такового у пациентов с бактериемией без ИЭ. Уро</w:t>
        <w:softHyphen/>
        <w:t>вень ЦИК повышается в процессе инфекции и норма</w:t>
        <w:softHyphen/>
        <w:t>лизуется после адекватной антимикробной терапии.</w:t>
      </w:r>
    </w:p>
    <w:p>
      <w:pPr>
        <w:pStyle w:val="Style30"/>
        <w:numPr>
          <w:ilvl w:val="0"/>
          <w:numId w:val="7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Из иммунологических методов исследования с диа</w:t>
        <w:softHyphen/>
        <w:t xml:space="preserve">гностической целью используют также </w:t>
      </w:r>
      <w:r>
        <w:rPr>
          <w:lang w:val="en-US" w:eastAsia="en-US" w:bidi="en-US"/>
          <w:w w:val="100"/>
          <w:spacing w:val="0"/>
          <w:color w:val="000000"/>
          <w:position w:val="0"/>
        </w:rPr>
        <w:t>NBT</w:t>
      </w:r>
      <w:r>
        <w:rPr>
          <w:lang w:val="ru-RU" w:eastAsia="ru-RU" w:bidi="ru-RU"/>
          <w:w w:val="100"/>
          <w:spacing w:val="0"/>
          <w:color w:val="000000"/>
          <w:position w:val="0"/>
        </w:rPr>
        <w:t>-тест, по</w:t>
        <w:softHyphen/>
        <w:t>зволяющий судить о фагоцитарной активности лей</w:t>
        <w:softHyphen/>
        <w:t>коцитов. В активной стадии ИЭ показатели возраста</w:t>
        <w:softHyphen/>
        <w:t>ют в 5-7 раз по сравнению с контролем.</w:t>
      </w:r>
    </w:p>
    <w:p>
      <w:pPr>
        <w:pStyle w:val="Style30"/>
        <w:numPr>
          <w:ilvl w:val="0"/>
          <w:numId w:val="79"/>
        </w:numPr>
        <w:tabs>
          <w:tab w:leader="none" w:pos="236" w:val="left"/>
        </w:tabs>
        <w:widowControl w:val="0"/>
        <w:keepNext w:val="0"/>
        <w:keepLines w:val="0"/>
        <w:shd w:val="clear" w:color="auto" w:fill="auto"/>
        <w:bidi w:val="0"/>
        <w:spacing w:before="0" w:after="0"/>
        <w:ind w:left="260" w:right="0"/>
        <w:sectPr>
          <w:type w:val="continuous"/>
          <w:pgSz w:w="11900" w:h="16840"/>
          <w:pgMar w:top="1569" w:left="1027" w:right="985" w:bottom="1795" w:header="0" w:footer="3" w:gutter="0"/>
          <w:rtlGutter w:val="0"/>
          <w:cols w:num="2" w:space="239"/>
          <w:noEndnote/>
          <w:docGrid w:linePitch="360"/>
        </w:sectPr>
      </w:pPr>
      <w:r>
        <w:rPr>
          <w:lang w:val="ru-RU" w:eastAsia="ru-RU" w:bidi="ru-RU"/>
          <w:w w:val="100"/>
          <w:spacing w:val="0"/>
          <w:color w:val="000000"/>
          <w:position w:val="0"/>
        </w:rPr>
        <w:t>В случаях культуронегативных ИЭ серологические методы исследований, обнаружение антистрептокок</w:t>
        <w:softHyphen/>
        <w:t>ковых, антистафилококковых антител могут быть по - лезны в постановке диагноза. Так, в случаях эндокар</w:t>
        <w:softHyphen/>
        <w:t>дита, вызванного золотистым стафилококком, с по</w:t>
        <w:softHyphen/>
        <w:t>мощью иммуноферментного анализа возможно обна</w:t>
        <w:softHyphen/>
        <w:t>ружение антител к риботолтейхоевой кислоте. При успешном лечении титр антител снижается. Это позволяет раньше и в большем проценте случаев, чем получение гемокультуры, установить стафилококко</w:t>
        <w:softHyphen/>
        <w:t>вую этиологию ИЭ и контролировать эффективность антибактериальной терапии.</w:t>
      </w:r>
    </w:p>
    <w:p>
      <w:pPr>
        <w:widowControl w:val="0"/>
        <w:rPr>
          <w:sz w:val="2"/>
          <w:szCs w:val="2"/>
        </w:rPr>
      </w:pPr>
      <w:r>
        <w:pict>
          <v:shape id="_x0000_s1467" type="#_x0000_t202" style="position:static;width:595.pt;height:65.8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468" type="#_x0000_t75" style="position:absolute;margin-left:154.75pt;margin-top:0;width:209.75pt;height:14.9pt;z-index:-251658687;mso-wrap-distance-left:5.pt;mso-wrap-distance-right:5.pt;mso-position-horizontal-relative:margin" wrapcoords="0 0">
            <v:imagedata r:id="rId736" r:href="rId737"/>
            <w10:wrap anchorx="margin"/>
          </v:shape>
        </w:pict>
      </w:r>
    </w:p>
    <w:p>
      <w:pPr>
        <w:widowControl w:val="0"/>
        <w:rPr>
          <w:sz w:val="2"/>
          <w:szCs w:val="2"/>
        </w:rPr>
        <w:sectPr>
          <w:type w:val="continuous"/>
          <w:pgSz w:w="11900" w:h="16840"/>
          <w:pgMar w:top="1468" w:left="893" w:right="1119" w:bottom="192" w:header="0" w:footer="3" w:gutter="0"/>
          <w:rtlGutter w:val="0"/>
          <w:cols w:space="720"/>
          <w:noEndnote/>
          <w:docGrid w:linePitch="360"/>
        </w:sectPr>
      </w:pPr>
    </w:p>
    <w:p>
      <w:pPr>
        <w:pStyle w:val="Style30"/>
        <w:widowControl w:val="0"/>
        <w:keepNext w:val="0"/>
        <w:keepLines w:val="0"/>
        <w:shd w:val="clear" w:color="auto" w:fill="auto"/>
        <w:bidi w:val="0"/>
        <w:spacing w:before="0" w:after="0" w:line="192" w:lineRule="exact"/>
        <w:ind w:left="0" w:right="0" w:firstLine="0"/>
        <w:sectPr>
          <w:pgSz w:w="11900" w:h="16840"/>
          <w:pgMar w:top="1604" w:left="1124" w:right="894" w:bottom="207" w:header="0" w:footer="3" w:gutter="0"/>
          <w:rtlGutter w:val="0"/>
          <w:cols w:space="720"/>
          <w:noEndnote/>
          <w:docGrid w:linePitch="360"/>
        </w:sectPr>
      </w:pPr>
      <w:r>
        <w:pict>
          <v:shape id="_x0000_s1469" type="#_x0000_t75" style="position:absolute;margin-left:0.95pt;margin-top:-20.65pt;width:273.1pt;height:196.3pt;z-index:-125829084;mso-wrap-distance-left:5.pt;mso-wrap-distance-right:22.8pt;mso-position-horizontal-relative:margin" wrapcoords="0 0 21600 0 21600 21600 0 21600 0 0">
            <v:imagedata r:id="rId738" r:href="rId739"/>
            <w10:wrap type="square" side="right" anchorx="margin"/>
          </v:shape>
        </w:pict>
      </w:r>
      <w:r>
        <w:rPr>
          <w:rStyle w:val="CharStyle102"/>
        </w:rPr>
        <w:t xml:space="preserve">Рис. 64. </w:t>
      </w:r>
      <w:r>
        <w:rPr>
          <w:lang w:val="ru-RU" w:eastAsia="ru-RU" w:bidi="ru-RU"/>
          <w:w w:val="100"/>
          <w:spacing w:val="0"/>
          <w:color w:val="000000"/>
          <w:position w:val="0"/>
        </w:rPr>
        <w:t>Крупная бактериальная вегетация на митраль</w:t>
        <w:softHyphen/>
        <w:t>ном клапане, обтурирующая выходной тракт левого желудочка.</w:t>
      </w:r>
    </w:p>
    <w:p>
      <w:pPr>
        <w:widowControl w:val="0"/>
        <w:spacing w:before="63" w:after="63" w:line="240" w:lineRule="exact"/>
        <w:rPr>
          <w:sz w:val="19"/>
          <w:szCs w:val="19"/>
        </w:rPr>
      </w:pPr>
    </w:p>
    <w:p>
      <w:pPr>
        <w:widowControl w:val="0"/>
        <w:rPr>
          <w:sz w:val="2"/>
          <w:szCs w:val="2"/>
        </w:rPr>
        <w:sectPr>
          <w:type w:val="continuous"/>
          <w:pgSz w:w="11900" w:h="16840"/>
          <w:pgMar w:top="1584" w:left="0" w:right="0" w:bottom="1766" w:header="0" w:footer="3" w:gutter="0"/>
          <w:rtlGutter w:val="0"/>
          <w:cols w:space="720"/>
          <w:noEndnote/>
          <w:docGrid w:linePitch="360"/>
        </w:sectPr>
      </w:pPr>
    </w:p>
    <w:p>
      <w:pPr>
        <w:widowControl w:val="0"/>
        <w:rPr>
          <w:sz w:val="2"/>
          <w:szCs w:val="2"/>
        </w:rPr>
      </w:pPr>
      <w:r>
        <w:pict>
          <v:shape id="_x0000_s1470" type="#_x0000_t75" style="position:absolute;margin-left:140.25pt;margin-top:518.65pt;width:209.75pt;height:14.9pt;z-index:-125829083;mso-wrap-distance-left:136.55pt;mso-wrap-distance-right:148.1pt;mso-wrap-distance-bottom:10.8pt;mso-position-horizontal-relative:margin" wrapcoords="0 0 21600 0 21600 21600 0 21600 0 0">
            <v:imagedata r:id="rId740" r:href="rId741"/>
            <w10:wrap type="topAndBottom" anchorx="margin"/>
          </v:shape>
        </w:pict>
      </w:r>
    </w:p>
    <w:p>
      <w:pPr>
        <w:pStyle w:val="Style92"/>
        <w:widowControl w:val="0"/>
        <w:keepNext/>
        <w:keepLines/>
        <w:shd w:val="clear" w:color="auto" w:fill="auto"/>
        <w:bidi w:val="0"/>
        <w:spacing w:before="0" w:after="0"/>
        <w:ind w:left="520" w:right="0" w:hanging="240"/>
      </w:pPr>
      <w:bookmarkStart w:id="490" w:name="bookmark490"/>
      <w:r>
        <w:rPr>
          <w:lang w:val="ru-RU" w:eastAsia="ru-RU" w:bidi="ru-RU"/>
          <w:w w:val="100"/>
          <w:spacing w:val="0"/>
          <w:color w:val="000000"/>
          <w:position w:val="0"/>
        </w:rPr>
        <w:t>Инструментальная диагностика</w:t>
      </w:r>
      <w:bookmarkEnd w:id="490"/>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Эхокардиография (рис. 64):</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Ведущим критерием диагностики ИЭ является визуали</w:t>
        <w:softHyphen/>
        <w:t>зация бактериальных вегетаций. Первые сообщения о вы</w:t>
        <w:softHyphen/>
        <w:t xml:space="preserve">явлении вегетаций ультразвуковым методом сделаны </w:t>
      </w:r>
      <w:r>
        <w:rPr>
          <w:lang w:val="en-US" w:eastAsia="en-US" w:bidi="en-US"/>
          <w:w w:val="100"/>
          <w:spacing w:val="0"/>
          <w:color w:val="000000"/>
          <w:position w:val="0"/>
        </w:rPr>
        <w:t xml:space="preserve">T Dillon </w:t>
      </w:r>
      <w:r>
        <w:rPr>
          <w:lang w:val="ru-RU" w:eastAsia="ru-RU" w:bidi="ru-RU"/>
          <w:w w:val="100"/>
          <w:spacing w:val="0"/>
          <w:color w:val="000000"/>
          <w:position w:val="0"/>
        </w:rPr>
        <w:t>в 1973 году. Однако отсутствие бактериальных ве</w:t>
        <w:softHyphen/>
        <w:t>гетаций не исключает диагноза ИЭ.</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Одномерная ЭхоКГ:</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Чувствительность одномерной методики (М-эхокар- диографии) в выявлении бактериальных вегетаций составляет от 13 до 48%.</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Характерным М-эхокардиографическим признаком вегетаций является обнаружение грубых, нерегуляр</w:t>
        <w:softHyphen/>
        <w:t xml:space="preserve">ных эхосигналов на створках клапанов (их называют «лохматые», </w:t>
      </w:r>
      <w:r>
        <w:rPr>
          <w:lang w:val="en-US" w:eastAsia="en-US" w:bidi="en-US"/>
          <w:w w:val="100"/>
          <w:spacing w:val="0"/>
          <w:color w:val="000000"/>
          <w:position w:val="0"/>
        </w:rPr>
        <w:t>«shaggy»).</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Этот признак отличается от дрожания створок, обус</w:t>
        <w:softHyphen/>
        <w:t>ловленного регургитантным потоком, возникновени</w:t>
        <w:softHyphen/>
        <w:t>ем в различные фазы систолы и диастолы. Эхосигнал от створок значительно усилен, кинетика клапана на</w:t>
        <w:softHyphen/>
        <w:t>рушается в зависимости от особенностей его пораже</w:t>
        <w:softHyphen/>
        <w:t>ния (стеноз или недостаточность).</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Следует отметить, что «лохматость» и утолщенность створок не является высокоспецифичным проявле</w:t>
        <w:softHyphen/>
        <w:t>нием для ИЭ. Такие изменения могут наблюдаться при миксоматозном поражении створок (например, пролапс митрального клапана, синдром «хлопающе</w:t>
        <w:softHyphen/>
        <w:t>го» клапана).</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Значительные трудности в определении признаков ИЭ при одномерной эхокардиографии возникают у больных с кальцификацией и фиброзированием створок. Такие клапаны выглядят толстыми, с нерегу</w:t>
        <w:softHyphen/>
        <w:t>лярными вибрациями и лохматыми створками.</w:t>
      </w:r>
    </w:p>
    <w:p>
      <w:pPr>
        <w:pStyle w:val="Style30"/>
        <w:numPr>
          <w:ilvl w:val="0"/>
          <w:numId w:val="7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Диагностические проблемы имеют место у больных с эластофиброзом эндокарда вследствие врожденных и приобретенных пороков сердца, а также при опре</w:t>
        <w:softHyphen/>
        <w:t>делении вегетаций на искусственном клапане, осо</w:t>
        <w:softHyphen/>
        <w:t>бенно в аортальной позиции (возникает выраженный эффект реверберации).</w:t>
      </w:r>
    </w:p>
    <w:p>
      <w:pPr>
        <w:pStyle w:val="Style30"/>
        <w:numPr>
          <w:ilvl w:val="0"/>
          <w:numId w:val="79"/>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Одномерная эхокардиография позволяет обнаружить только вегетации, превышающие 5 мм в диаметре.</w:t>
      </w:r>
    </w:p>
    <w:p>
      <w:pPr>
        <w:pStyle w:val="Style30"/>
        <w:numPr>
          <w:ilvl w:val="0"/>
          <w:numId w:val="79"/>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Вновь образующиеся бактериальные вегетации выявля</w:t>
        <w:softHyphen/>
        <w:t>ются значительно труднее, чем кальцифицированные.</w:t>
      </w:r>
    </w:p>
    <w:p>
      <w:pPr>
        <w:pStyle w:val="Style30"/>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Двухмерная ЭхоКГ (рис. 65):</w:t>
      </w:r>
    </w:p>
    <w:p>
      <w:pPr>
        <w:pStyle w:val="Style30"/>
        <w:numPr>
          <w:ilvl w:val="0"/>
          <w:numId w:val="7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Чувствительность двухмерной эхокардиографии в вы</w:t>
        <w:softHyphen/>
        <w:t>явлении бактериальных вегетаций намного превыша</w:t>
        <w:softHyphen/>
        <w:t>ет одномерную методику и составляет от 81 до 100%.</w:t>
      </w:r>
    </w:p>
    <w:p>
      <w:pPr>
        <w:pStyle w:val="Style30"/>
        <w:numPr>
          <w:ilvl w:val="0"/>
          <w:numId w:val="7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Наименьший размер клапанных вегетаций, обнару</w:t>
        <w:softHyphen/>
        <w:t>живаемых с помощью двухмерной эхокардиографии, составляет 2-3 мм.</w:t>
      </w:r>
    </w:p>
    <w:p>
      <w:pPr>
        <w:pStyle w:val="Style30"/>
        <w:numPr>
          <w:ilvl w:val="0"/>
          <w:numId w:val="7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Бактериальные вегетации имеют различную форму, ча</w:t>
        <w:softHyphen/>
        <w:t>ще сферическую, плотно фиксированы на клапанных струкгурах, однако могут быть и подвижными. В по</w:t>
        <w:softHyphen/>
        <w:t>следнем случае они перемещаются по направлению по - тока крови; клинически подтверждаются меняющейся аускультативной симптоматикой, чаще осложняются тромбоэмболическим синдромом (рис. ИЭ АК).</w:t>
      </w:r>
    </w:p>
    <w:p>
      <w:pPr>
        <w:pStyle w:val="Style30"/>
        <w:numPr>
          <w:ilvl w:val="0"/>
          <w:numId w:val="7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Крупные размеры вегетаций не всегда ассоциируют</w:t>
        <w:softHyphen/>
        <w:t>ся с неблагоприятным прогнозом заболевания.</w:t>
      </w:r>
    </w:p>
    <w:p>
      <w:pPr>
        <w:pStyle w:val="Style30"/>
        <w:numPr>
          <w:ilvl w:val="0"/>
          <w:numId w:val="7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Вегетации могут быть представлены в виде единично - го узла или множественными, в виде «гроздьев вино</w:t>
        <w:softHyphen/>
        <w:t>града». Последние отличаются по эхогенности от кла</w:t>
        <w:softHyphen/>
        <w:t>панных структур или поверхности эндокарда, выгля</w:t>
        <w:softHyphen/>
        <w:t>дят плотными, имеют эффект реверберации.</w:t>
      </w:r>
    </w:p>
    <w:p>
      <w:pPr>
        <w:pStyle w:val="Style30"/>
        <w:numPr>
          <w:ilvl w:val="0"/>
          <w:numId w:val="7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Эхокардиографические проявления бактериальных вегетаций при секторном сканировании могут ими</w:t>
        <w:softHyphen/>
        <w:t>тировать следующие состояния: миксоматозная деге</w:t>
        <w:softHyphen/>
        <w:t>нерация при пролапсе митрального клапана, фиброз или кальцификация, вторичные к ревматизму, спон</w:t>
        <w:softHyphen/>
        <w:t>танный отрыв хорд, узелки на створках при сосудис</w:t>
        <w:softHyphen/>
        <w:t>тых коллагеновых заболеваниях.</w:t>
      </w:r>
    </w:p>
    <w:p>
      <w:pPr>
        <w:pStyle w:val="Style30"/>
        <w:numPr>
          <w:ilvl w:val="0"/>
          <w:numId w:val="7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Ложноотрицательные случаи диагностики: вегетации менее 2 мм в диаметре, вегетации локализуются на глубине более 7 мм от датчика, эхокардиографичес</w:t>
        <w:softHyphen/>
        <w:t>кое обследование проведено в первые 2 недели от на</w:t>
        <w:softHyphen/>
        <w:t>чала заболевания.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Чрезпищеводная эхокардиография:</w:t>
      </w:r>
    </w:p>
    <w:p>
      <w:pPr>
        <w:pStyle w:val="Style30"/>
        <w:numPr>
          <w:ilvl w:val="0"/>
          <w:numId w:val="7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Чувствительность и специфичность данного метода во много раз превышает обычное ультразвуковое ис</w:t>
        <w:softHyphen/>
        <w:t>следование.</w:t>
      </w:r>
    </w:p>
    <w:p>
      <w:pPr>
        <w:pStyle w:val="Style30"/>
        <w:numPr>
          <w:ilvl w:val="0"/>
          <w:numId w:val="7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Чрезпищеводная эхокардиография в отличие от стан</w:t>
        <w:softHyphen/>
        <w:t>дартной методики позволяет выявлять: вегетации при стенозе митрального клапана; вегетации при миксо- матозной дегенерации створок; отрыв хорд с вегета</w:t>
        <w:softHyphen/>
        <w:t>циями и без вегетаций; микотические аневризмы</w:t>
      </w:r>
      <w:r>
        <w:br w:type="page"/>
      </w:r>
    </w:p>
    <w:p>
      <w:pPr>
        <w:pStyle w:val="Style30"/>
        <w:widowControl w:val="0"/>
        <w:keepNext w:val="0"/>
        <w:keepLines w:val="0"/>
        <w:shd w:val="clear" w:color="auto" w:fill="auto"/>
        <w:bidi w:val="0"/>
        <w:spacing w:before="0" w:after="0"/>
        <w:ind w:left="500" w:right="0" w:firstLine="0"/>
      </w:pPr>
      <w:r>
        <w:pict>
          <v:shape id="_x0000_s1471" type="#_x0000_t202" style="position:absolute;margin-left:0.1pt;margin-top:19.2pt;width:195.1pt;height:22.1pt;z-index:-125829082;mso-wrap-distance-left:5.pt;mso-wrap-distance-top:18.45pt;mso-wrap-distance-right:24.25pt;mso-position-horizontal-relative:margin;mso-position-vertic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123"/>
                    </w:rPr>
                    <w:t xml:space="preserve">Рис. 65. </w:t>
                  </w:r>
                  <w:r>
                    <w:rPr>
                      <w:rStyle w:val="CharStyle90"/>
                    </w:rPr>
                    <w:t>Бактериальные вегетации на аортальном кла</w:t>
                    <w:softHyphen/>
                    <w:t>пане.</w:t>
                  </w:r>
                </w:p>
              </w:txbxContent>
            </v:textbox>
            <w10:wrap type="topAndBottom" anchorx="margin" anchory="margin"/>
          </v:shape>
        </w:pict>
      </w:r>
      <w:r>
        <w:pict>
          <v:shape id="_x0000_s1472" type="#_x0000_t75" style="position:absolute;margin-left:219.5pt;margin-top:0.7pt;width:275.05pt;height:185.75pt;z-index:-125829081;mso-wrap-distance-left:152.2pt;mso-wrap-distance-right:5.pt;mso-position-horizontal-relative:margin;mso-position-vertical-relative:margin" wrapcoords="0 0 21600 0 21600 21600 0 21600 0 0">
            <v:imagedata r:id="rId742" r:href="rId743"/>
            <w10:wrap type="topAndBottom" anchorx="margin" anchory="margin"/>
          </v:shape>
        </w:pict>
      </w:r>
      <w:r>
        <w:rPr>
          <w:lang w:val="ru-RU" w:eastAsia="ru-RU" w:bidi="ru-RU"/>
          <w:w w:val="100"/>
          <w:spacing w:val="0"/>
          <w:color w:val="000000"/>
          <w:position w:val="0"/>
        </w:rPr>
        <w:t>с образованием фистул; вегетации на двухстворчатом аортальном клапане; перфорацию створок.</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Допплерэхокардиография:</w:t>
      </w:r>
    </w:p>
    <w:p>
      <w:pPr>
        <w:pStyle w:val="Style30"/>
        <w:numPr>
          <w:ilvl w:val="0"/>
          <w:numId w:val="7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Позволяет определить локализацию и подвижность бактериальных вегетаций, величину клапанной ди</w:t>
        <w:softHyphen/>
        <w:t>сфункции, дифференцировать вегетации от тромбов, опухолей и других аномальных образований</w:t>
      </w:r>
    </w:p>
    <w:p>
      <w:pPr>
        <w:pStyle w:val="Style30"/>
        <w:numPr>
          <w:ilvl w:val="0"/>
          <w:numId w:val="7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Допплерэхокардиография оказывает существенную помощь в оценке тяжести и прогноза заболевания.</w:t>
      </w:r>
    </w:p>
    <w:p>
      <w:pPr>
        <w:pStyle w:val="Style30"/>
        <w:numPr>
          <w:ilvl w:val="0"/>
          <w:numId w:val="7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Обнаруженные при первом обследовании вегетации могут несколько видоизменяться в динамике лече</w:t>
        <w:softHyphen/>
        <w:t>ния. Рецидив болезни может быть заподозрен, если по данным Эхо-КГ отмечается значительное увели</w:t>
        <w:softHyphen/>
        <w:t>чение вегетаций или появление новых. Рост вегета</w:t>
        <w:softHyphen/>
        <w:t>ций при сохраняющейся персистирующей инфекции или появление признаков инфильтрации миокарда могут свидетельствовать о неэффективности терапев</w:t>
        <w:softHyphen/>
        <w:t>тического лечения и служить показанием к проведе</w:t>
        <w:softHyphen/>
        <w:t>нию хирургического вмешательства.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Диагностические критерии инфекционного эндокардита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В современной клинической практике для диагностики ИЭ применяют критерии, разработанные научно-исследо</w:t>
        <w:softHyphen/>
        <w:t xml:space="preserve">вательской группой </w:t>
      </w:r>
      <w:r>
        <w:rPr>
          <w:lang w:val="en-US" w:eastAsia="en-US" w:bidi="en-US"/>
          <w:w w:val="100"/>
          <w:spacing w:val="0"/>
          <w:color w:val="000000"/>
          <w:position w:val="0"/>
        </w:rPr>
        <w:t xml:space="preserve">Duke Endocarditis Service </w:t>
      </w:r>
      <w:r>
        <w:rPr>
          <w:lang w:val="ru-RU" w:eastAsia="ru-RU" w:bidi="ru-RU"/>
          <w:w w:val="100"/>
          <w:spacing w:val="0"/>
          <w:color w:val="000000"/>
          <w:position w:val="0"/>
        </w:rPr>
        <w:t>из Даремско</w:t>
        <w:softHyphen/>
        <w:t xml:space="preserve">го университета (США) под руководством </w:t>
      </w:r>
      <w:r>
        <w:rPr>
          <w:lang w:val="en-US" w:eastAsia="en-US" w:bidi="en-US"/>
          <w:w w:val="100"/>
          <w:spacing w:val="0"/>
          <w:color w:val="000000"/>
          <w:position w:val="0"/>
        </w:rPr>
        <w:t xml:space="preserve">D.Durack. </w:t>
      </w:r>
      <w:r>
        <w:rPr>
          <w:lang w:val="ru-RU" w:eastAsia="ru-RU" w:bidi="ru-RU"/>
          <w:w w:val="100"/>
          <w:spacing w:val="0"/>
          <w:color w:val="000000"/>
          <w:position w:val="0"/>
        </w:rPr>
        <w:t>Дан</w:t>
        <w:softHyphen/>
        <w:t>ная система критериев предусматривает диагностические градации определенного, возможного и отвергнутого ИЭ.</w:t>
      </w:r>
    </w:p>
    <w:p>
      <w:pPr>
        <w:pStyle w:val="Style92"/>
        <w:widowControl w:val="0"/>
        <w:keepNext/>
        <w:keepLines/>
        <w:shd w:val="clear" w:color="auto" w:fill="auto"/>
        <w:bidi w:val="0"/>
        <w:jc w:val="left"/>
        <w:spacing w:before="0" w:after="0"/>
        <w:ind w:left="0" w:right="0" w:firstLine="0"/>
      </w:pPr>
      <w:bookmarkStart w:id="491" w:name="bookmark491"/>
      <w:r>
        <w:rPr>
          <w:lang w:val="ru-RU" w:eastAsia="ru-RU" w:bidi="ru-RU"/>
          <w:w w:val="100"/>
          <w:spacing w:val="0"/>
          <w:color w:val="000000"/>
          <w:position w:val="0"/>
        </w:rPr>
        <w:t xml:space="preserve">Диагностические критерии инфекционного эндокардита по </w:t>
      </w:r>
      <w:r>
        <w:rPr>
          <w:lang w:val="en-US" w:eastAsia="en-US" w:bidi="en-US"/>
          <w:w w:val="100"/>
          <w:spacing w:val="0"/>
          <w:color w:val="000000"/>
          <w:position w:val="0"/>
        </w:rPr>
        <w:t>Duke</w:t>
      </w:r>
      <w:bookmarkEnd w:id="491"/>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Определенный ИЭ</w:t>
      </w:r>
    </w:p>
    <w:p>
      <w:pPr>
        <w:pStyle w:val="Style30"/>
        <w:numPr>
          <w:ilvl w:val="0"/>
          <w:numId w:val="7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Патологические критерии: микроорганизмы, выде</w:t>
        <w:softHyphen/>
        <w:t>ленные из вегетаций, эмболов или миокардиальных абсцессов, или патоморфологические изменения — вегетации или абсцессы миокарда, подтвержденные гистологически.</w:t>
      </w:r>
    </w:p>
    <w:p>
      <w:pPr>
        <w:pStyle w:val="Style30"/>
        <w:numPr>
          <w:ilvl w:val="0"/>
          <w:numId w:val="7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Клинические критерии: два больших критерия, или один большой и три малых критерия, или пять малых критериев.</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Возможный ИЭ</w:t>
      </w:r>
    </w:p>
    <w:p>
      <w:pPr>
        <w:pStyle w:val="Style30"/>
        <w:numPr>
          <w:ilvl w:val="0"/>
          <w:numId w:val="7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Результаты исследований согласуются с ИЭ, но для определенного ИЭ недостаточно критериев, а в от</w:t>
        <w:softHyphen/>
        <w:t>вергнутый ИЭ данные не укладываются.</w:t>
      </w:r>
    </w:p>
    <w:p>
      <w:pPr>
        <w:pStyle w:val="Style92"/>
        <w:widowControl w:val="0"/>
        <w:keepNext/>
        <w:keepLines/>
        <w:shd w:val="clear" w:color="auto" w:fill="auto"/>
        <w:bidi w:val="0"/>
        <w:spacing w:before="0" w:after="0"/>
        <w:ind w:left="260" w:right="0" w:hanging="260"/>
      </w:pPr>
      <w:r>
        <w:br w:type="column"/>
      </w:r>
      <w:bookmarkStart w:id="492" w:name="bookmark492"/>
      <w:r>
        <w:rPr>
          <w:lang w:val="ru-RU" w:eastAsia="ru-RU" w:bidi="ru-RU"/>
          <w:w w:val="100"/>
          <w:spacing w:val="0"/>
          <w:color w:val="000000"/>
          <w:position w:val="0"/>
        </w:rPr>
        <w:t>Отвергнутый ИЭ</w:t>
      </w:r>
      <w:bookmarkEnd w:id="492"/>
    </w:p>
    <w:p>
      <w:pPr>
        <w:pStyle w:val="Style30"/>
        <w:numPr>
          <w:ilvl w:val="0"/>
          <w:numId w:val="7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Точный альтернативный диагноз.</w:t>
      </w:r>
    </w:p>
    <w:p>
      <w:pPr>
        <w:pStyle w:val="Style30"/>
        <w:numPr>
          <w:ilvl w:val="0"/>
          <w:numId w:val="7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Регрессирование симптомов болезни при антибиоти - котерапии до 4 дней.</w:t>
      </w:r>
    </w:p>
    <w:p>
      <w:pPr>
        <w:pStyle w:val="Style30"/>
        <w:numPr>
          <w:ilvl w:val="0"/>
          <w:numId w:val="7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Отсутствие патоморфологических признаков ИЭ в операционном или аутопсийном материале при ан</w:t>
        <w:softHyphen/>
        <w:t>тибиотикотерапии до 4 дней.</w:t>
      </w:r>
    </w:p>
    <w:p>
      <w:pPr>
        <w:pStyle w:val="Style30"/>
        <w:widowControl w:val="0"/>
        <w:keepNext w:val="0"/>
        <w:keepLines w:val="0"/>
        <w:shd w:val="clear" w:color="auto" w:fill="auto"/>
        <w:bidi w:val="0"/>
        <w:jc w:val="left"/>
        <w:spacing w:before="0" w:after="0"/>
        <w:ind w:left="0" w:right="2820" w:firstLine="0"/>
      </w:pPr>
      <w:r>
        <w:rPr>
          <w:lang w:val="ru-RU" w:eastAsia="ru-RU" w:bidi="ru-RU"/>
          <w:w w:val="100"/>
          <w:spacing w:val="0"/>
          <w:color w:val="000000"/>
          <w:position w:val="0"/>
        </w:rPr>
        <w:t xml:space="preserve">Клинические критерии </w:t>
      </w:r>
      <w:r>
        <w:rPr>
          <w:rStyle w:val="CharStyle103"/>
        </w:rPr>
        <w:t>Большие критерии</w:t>
      </w:r>
    </w:p>
    <w:p>
      <w:pPr>
        <w:pStyle w:val="Style30"/>
        <w:numPr>
          <w:ilvl w:val="0"/>
          <w:numId w:val="7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Позитивная гемокультура: </w:t>
      </w:r>
      <w:r>
        <w:rPr>
          <w:rStyle w:val="CharStyle103"/>
        </w:rPr>
        <w:t>типичные для ИЭ возбудите</w:t>
        <w:softHyphen/>
        <w:t>ли, выделенные из двух раздельно взятых проб крови:</w:t>
      </w:r>
      <w:r>
        <w:rPr>
          <w:lang w:val="ru-RU" w:eastAsia="ru-RU" w:bidi="ru-RU"/>
          <w:w w:val="100"/>
          <w:spacing w:val="0"/>
          <w:color w:val="000000"/>
          <w:position w:val="0"/>
        </w:rPr>
        <w:t xml:space="preserve"> зе</w:t>
        <w:softHyphen/>
        <w:t>ленящие стрептококки (включая штаммы с изменен</w:t>
        <w:softHyphen/>
        <w:t xml:space="preserve">ными питательными потребностями), или НАСЕК — группа </w:t>
      </w:r>
      <w:r>
        <w:rPr>
          <w:rStyle w:val="CharStyle103"/>
          <w:lang w:val="en-US" w:eastAsia="en-US" w:bidi="en-US"/>
        </w:rPr>
        <w:t>(Haemophilus spp., Actinobacillus actinimycetem- comitans, Cardiobacterium hominis, Eikenella spp., Kingella kingae),</w:t>
      </w:r>
      <w:r>
        <w:rPr>
          <w:lang w:val="en-US" w:eastAsia="en-US" w:bidi="en-US"/>
          <w:w w:val="100"/>
          <w:spacing w:val="0"/>
          <w:color w:val="000000"/>
          <w:position w:val="0"/>
        </w:rPr>
        <w:t xml:space="preserve"> </w:t>
      </w:r>
      <w:r>
        <w:rPr>
          <w:lang w:val="ru-RU" w:eastAsia="ru-RU" w:bidi="ru-RU"/>
          <w:w w:val="100"/>
          <w:spacing w:val="0"/>
          <w:color w:val="000000"/>
          <w:position w:val="0"/>
        </w:rPr>
        <w:t xml:space="preserve">или внебольничные </w:t>
      </w:r>
      <w:r>
        <w:rPr>
          <w:lang w:val="en-US" w:eastAsia="en-US" w:bidi="en-US"/>
          <w:w w:val="100"/>
          <w:spacing w:val="0"/>
          <w:color w:val="000000"/>
          <w:position w:val="0"/>
        </w:rPr>
        <w:t xml:space="preserve">Staphylococcus aureus, </w:t>
      </w:r>
      <w:r>
        <w:rPr>
          <w:lang w:val="ru-RU" w:eastAsia="ru-RU" w:bidi="ru-RU"/>
          <w:w w:val="100"/>
          <w:spacing w:val="0"/>
          <w:color w:val="000000"/>
          <w:position w:val="0"/>
        </w:rPr>
        <w:t>или энтерококки при отсутствии первичного очага, или согласующиеся с ИЭ возбудители, выделенные из ге</w:t>
        <w:softHyphen/>
        <w:t>мокультуры при следующих условиях: как минимум два положительных результата исследования проб крови, взятых с интервалом не менее 12 ч, или три по</w:t>
        <w:softHyphen/>
        <w:t>ложительных результата из трех, или большинство по</w:t>
        <w:softHyphen/>
        <w:t>ложительных результатов из четырех проб крови и бо</w:t>
        <w:softHyphen/>
        <w:t>лее (интервал между взятием первой и последней про</w:t>
        <w:softHyphen/>
        <w:t>бы должен составлять как минимум 1 ч).</w:t>
      </w:r>
    </w:p>
    <w:p>
      <w:pPr>
        <w:pStyle w:val="Style30"/>
        <w:numPr>
          <w:ilvl w:val="0"/>
          <w:numId w:val="7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Доказательства поражения эндокарда:</w:t>
      </w:r>
    </w:p>
    <w:p>
      <w:pPr>
        <w:pStyle w:val="Style30"/>
        <w:numPr>
          <w:ilvl w:val="0"/>
          <w:numId w:val="8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положительные ЭхоКГ-данные: свежие вегетации, или абсцесс, или частичная дегисценция клапан</w:t>
        <w:softHyphen/>
        <w:t>ного протеза;</w:t>
      </w:r>
    </w:p>
    <w:p>
      <w:pPr>
        <w:pStyle w:val="Style30"/>
        <w:numPr>
          <w:ilvl w:val="0"/>
          <w:numId w:val="8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вновь сформированная клапанная регургитация (нарастание или изменение имевшегося сердечно</w:t>
        <w:softHyphen/>
        <w:t>го шума не учитывается).</w:t>
      </w:r>
    </w:p>
    <w:p>
      <w:pPr>
        <w:pStyle w:val="Style30"/>
        <w:numPr>
          <w:ilvl w:val="0"/>
          <w:numId w:val="7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Малые критерии:</w:t>
      </w:r>
    </w:p>
    <w:p>
      <w:pPr>
        <w:pStyle w:val="Style30"/>
        <w:numPr>
          <w:ilvl w:val="0"/>
          <w:numId w:val="8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предрасположенность: кардиогенные факторы или частые внутривенные инъекции лекарств</w:t>
      </w:r>
      <w:r>
        <w:rPr>
          <w:lang w:val="ru-RU" w:eastAsia="ru-RU" w:bidi="ru-RU"/>
          <w:w w:val="100"/>
          <w:spacing w:val="0"/>
          <w:color w:val="000000"/>
          <w:position w:val="0"/>
        </w:rPr>
        <w:footnoteReference w:id="2"/>
      </w:r>
      <w:r>
        <w:rPr>
          <w:lang w:val="ru-RU" w:eastAsia="ru-RU" w:bidi="ru-RU"/>
          <w:w w:val="100"/>
          <w:spacing w:val="0"/>
          <w:color w:val="000000"/>
          <w:position w:val="0"/>
        </w:rPr>
        <w:t>;</w:t>
      </w:r>
    </w:p>
    <w:p>
      <w:pPr>
        <w:pStyle w:val="Style30"/>
        <w:numPr>
          <w:ilvl w:val="0"/>
          <w:numId w:val="8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температура &gt;38°С;</w:t>
      </w:r>
    </w:p>
    <w:p>
      <w:pPr>
        <w:pStyle w:val="Style30"/>
        <w:numPr>
          <w:ilvl w:val="0"/>
          <w:numId w:val="8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сосудистые феномены: эмболии крупных артерий, инфаркт легкого, микотические аневризмы, внут</w:t>
        <w:softHyphen/>
        <w:t>ричерепные кровоизлияния, геморрагии на пере</w:t>
        <w:softHyphen/>
        <w:t>ходной складке конъюнктивы, повреждения Джейнуэя;</w:t>
      </w:r>
      <w:r>
        <w:br w:type="page"/>
      </w:r>
    </w:p>
    <w:p>
      <w:pPr>
        <w:pStyle w:val="Style30"/>
        <w:numPr>
          <w:ilvl w:val="0"/>
          <w:numId w:val="8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иммунологические феномены: гломерулонефрит, узелки Ослера, пятна Рота, ревматоидный фактор;</w:t>
      </w:r>
    </w:p>
    <w:p>
      <w:pPr>
        <w:pStyle w:val="Style30"/>
        <w:numPr>
          <w:ilvl w:val="0"/>
          <w:numId w:val="8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микробиологические данные: положительная ге</w:t>
        <w:softHyphen/>
        <w:t>мокультура, не удовлетворяющая большому крите</w:t>
        <w:softHyphen/>
        <w:t>рию</w:t>
      </w:r>
      <w:r>
        <w:rPr>
          <w:lang w:val="ru-RU" w:eastAsia="ru-RU" w:bidi="ru-RU"/>
          <w:w w:val="100"/>
          <w:spacing w:val="0"/>
          <w:color w:val="000000"/>
          <w:position w:val="0"/>
        </w:rPr>
        <w:footnoteReference w:id="3"/>
      </w:r>
      <w:r>
        <w:rPr>
          <w:lang w:val="ru-RU" w:eastAsia="ru-RU" w:bidi="ru-RU"/>
          <w:w w:val="100"/>
          <w:spacing w:val="0"/>
          <w:color w:val="000000"/>
          <w:position w:val="0"/>
        </w:rPr>
        <w:t>, или серологическое подтверждение актив</w:t>
        <w:softHyphen/>
        <w:t>ной инфекции, обусловленной потенциальным возбудителем ИЭ</w:t>
      </w:r>
      <w:r>
        <w:rPr>
          <w:lang w:val="ru-RU" w:eastAsia="ru-RU" w:bidi="ru-RU"/>
          <w:w w:val="100"/>
          <w:spacing w:val="0"/>
          <w:color w:val="000000"/>
          <w:position w:val="0"/>
        </w:rPr>
        <w:footnoteReference w:id="4"/>
      </w:r>
      <w:r>
        <w:rPr>
          <w:lang w:val="ru-RU" w:eastAsia="ru-RU" w:bidi="ru-RU"/>
          <w:w w:val="100"/>
          <w:spacing w:val="0"/>
          <w:color w:val="000000"/>
          <w:position w:val="0"/>
        </w:rPr>
        <w:t>;</w:t>
      </w:r>
    </w:p>
    <w:p>
      <w:pPr>
        <w:pStyle w:val="Style30"/>
        <w:numPr>
          <w:ilvl w:val="0"/>
          <w:numId w:val="8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ЭхоКГ-данные, согласующиеся с ИЭ, но не удов</w:t>
        <w:softHyphen/>
        <w:t>летворяющие большому критерию</w:t>
      </w:r>
      <w:r>
        <w:rPr>
          <w:lang w:val="ru-RU" w:eastAsia="ru-RU" w:bidi="ru-RU"/>
          <w:w w:val="100"/>
          <w:spacing w:val="0"/>
          <w:color w:val="000000"/>
          <w:position w:val="0"/>
        </w:rPr>
        <w:footnoteReference w:id="5"/>
      </w:r>
      <w:r>
        <w:rPr>
          <w:lang w:val="ru-RU" w:eastAsia="ru-RU" w:bidi="ru-RU"/>
          <w:w w:val="100"/>
          <w:spacing w:val="0"/>
          <w:color w:val="000000"/>
          <w:position w:val="0"/>
        </w:rPr>
        <w:t>.</w:t>
      </w:r>
    </w:p>
    <w:p>
      <w:pPr>
        <w:pStyle w:val="Style30"/>
        <w:numPr>
          <w:ilvl w:val="0"/>
          <w:numId w:val="79"/>
        </w:numPr>
        <w:tabs>
          <w:tab w:leader="none" w:pos="47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Определенный диагноз ИЭ правомочен при наличии либо одного из двух патологических критериев, выяв</w:t>
        <w:softHyphen/>
        <w:t>ляемых при исследовании операционного или аутоп- сийного материала, либо определенной совокупности клинических критериев. Последние в соответствии с их диагностической значимостью подразделяются на большие и малые аналогично критериям Джонса для диагноза острой ревматической лихорадки.</w:t>
      </w:r>
    </w:p>
    <w:p>
      <w:pPr>
        <w:pStyle w:val="Style30"/>
        <w:numPr>
          <w:ilvl w:val="0"/>
          <w:numId w:val="79"/>
        </w:numPr>
        <w:tabs>
          <w:tab w:leader="none" w:pos="47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Диагноз возможного ИЭ ставится в тех случаях, когда имеющаяся клиническая картина и данные дополни</w:t>
        <w:softHyphen/>
        <w:t>тельных исследований в целом соответствуют данному заболеванию, не подпадая под категорию отвергнутого ИЭ, но в то же время не набирается достаточного чис</w:t>
        <w:softHyphen/>
        <w:t>ла критериев для определенного ИЭ. В подобных ситу</w:t>
        <w:softHyphen/>
        <w:t>ациях окончательное решение вопроса о наличии ИЭ и целесообразности проведения эмпирической анти</w:t>
        <w:softHyphen/>
        <w:t>бактериальной терапии принимает лечащий врач.</w:t>
      </w:r>
    </w:p>
    <w:p>
      <w:pPr>
        <w:pStyle w:val="Style30"/>
        <w:numPr>
          <w:ilvl w:val="0"/>
          <w:numId w:val="79"/>
        </w:numPr>
        <w:tabs>
          <w:tab w:leader="none" w:pos="47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Диагноз ИЭ считается отвергнутым при наличии у больного какого-либо иного заболевания, имеюще</w:t>
        <w:softHyphen/>
        <w:t>го сходную с ИЭ клиническую картину (например, онкопатология), или при полном регрессировании симптомов болезни при краткосрочной (4 дня и ме</w:t>
        <w:softHyphen/>
        <w:t>нее) антибиотикотерапии.</w:t>
      </w:r>
    </w:p>
    <w:p>
      <w:pPr>
        <w:pStyle w:val="Style30"/>
        <w:numPr>
          <w:ilvl w:val="0"/>
          <w:numId w:val="79"/>
        </w:numPr>
        <w:tabs>
          <w:tab w:leader="none" w:pos="47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Данные критерии весьма совершенны в смысле спе</w:t>
        <w:softHyphen/>
        <w:t>цифичности (до 95%), более чувствительны по срав</w:t>
        <w:softHyphen/>
        <w:t>нению с ранее предлагавшимися схемами и общепри</w:t>
        <w:softHyphen/>
        <w:t>няты в настоящее время. Однако эта система крите</w:t>
        <w:softHyphen/>
        <w:t>риев ставит во главу угла результаты параклиничес</w:t>
        <w:softHyphen/>
        <w:t>ких исследований и тем самым отводит клиническую симптоматику на второй план.</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Отечественными исследователями были разработаны критерии подострого ИЭ как наиболее часто встречающей</w:t>
        <w:softHyphen/>
        <w:t>ся формы, где выделены максимально информативные клинические и параклинические признаки заболевания (табл. 2).</w:t>
      </w:r>
    </w:p>
    <w:p>
      <w:pPr>
        <w:pStyle w:val="Style107"/>
        <w:widowControl w:val="0"/>
        <w:keepNext w:val="0"/>
        <w:keepLines w:val="0"/>
        <w:shd w:val="clear" w:color="auto" w:fill="auto"/>
        <w:bidi w:val="0"/>
        <w:jc w:val="right"/>
        <w:spacing w:before="0" w:after="0"/>
        <w:ind w:left="0" w:right="0" w:firstLine="0"/>
      </w:pPr>
      <w:r>
        <w:rPr>
          <w:lang w:val="ru-RU" w:eastAsia="ru-RU" w:bidi="ru-RU"/>
          <w:w w:val="100"/>
          <w:spacing w:val="0"/>
          <w:color w:val="000000"/>
          <w:position w:val="0"/>
        </w:rPr>
        <w:t>Таблица 2</w:t>
      </w:r>
    </w:p>
    <w:p>
      <w:pPr>
        <w:pStyle w:val="Style30"/>
        <w:widowControl w:val="0"/>
        <w:keepNext w:val="0"/>
        <w:keepLines w:val="0"/>
        <w:shd w:val="clear" w:color="auto" w:fill="auto"/>
        <w:bidi w:val="0"/>
        <w:jc w:val="right"/>
        <w:spacing w:before="0" w:after="180"/>
        <w:ind w:left="740" w:right="800" w:firstLine="0"/>
      </w:pPr>
      <w:r>
        <w:rPr>
          <w:lang w:val="ru-RU" w:eastAsia="ru-RU" w:bidi="ru-RU"/>
          <w:w w:val="100"/>
          <w:spacing w:val="0"/>
          <w:color w:val="000000"/>
          <w:position w:val="0"/>
        </w:rPr>
        <w:t>Диагностические критерии подострого ИЭ (Виноградова Т.Л., Чипигина Н.С., 1998)</w:t>
      </w:r>
    </w:p>
    <w:p>
      <w:pPr>
        <w:pStyle w:val="Style92"/>
        <w:widowControl w:val="0"/>
        <w:keepNext/>
        <w:keepLines/>
        <w:shd w:val="clear" w:color="auto" w:fill="auto"/>
        <w:bidi w:val="0"/>
        <w:spacing w:before="0" w:after="0"/>
        <w:ind w:left="0" w:right="0" w:firstLine="280"/>
      </w:pPr>
      <w:bookmarkStart w:id="493" w:name="bookmark493"/>
      <w:r>
        <w:rPr>
          <w:lang w:val="ru-RU" w:eastAsia="ru-RU" w:bidi="ru-RU"/>
          <w:w w:val="100"/>
          <w:spacing w:val="0"/>
          <w:color w:val="000000"/>
          <w:position w:val="0"/>
        </w:rPr>
        <w:t>Клинические признаки</w:t>
      </w:r>
      <w:bookmarkEnd w:id="493"/>
    </w:p>
    <w:p>
      <w:pPr>
        <w:pStyle w:val="Style107"/>
        <w:widowControl w:val="0"/>
        <w:keepNext w:val="0"/>
        <w:keepLines w:val="0"/>
        <w:shd w:val="clear" w:color="auto" w:fill="auto"/>
        <w:bidi w:val="0"/>
        <w:spacing w:before="0" w:after="0"/>
        <w:ind w:left="0" w:right="0"/>
      </w:pPr>
      <w:r>
        <w:rPr>
          <w:lang w:val="ru-RU" w:eastAsia="ru-RU" w:bidi="ru-RU"/>
          <w:w w:val="100"/>
          <w:spacing w:val="0"/>
          <w:color w:val="000000"/>
          <w:position w:val="0"/>
        </w:rPr>
        <w:t>Основные:</w:t>
      </w:r>
    </w:p>
    <w:p>
      <w:pPr>
        <w:pStyle w:val="Style30"/>
        <w:numPr>
          <w:ilvl w:val="0"/>
          <w:numId w:val="83"/>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Лихорадка.</w:t>
      </w:r>
    </w:p>
    <w:p>
      <w:pPr>
        <w:pStyle w:val="Style30"/>
        <w:numPr>
          <w:ilvl w:val="0"/>
          <w:numId w:val="83"/>
        </w:numPr>
        <w:tabs>
          <w:tab w:leader="none" w:pos="5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Шум регургитации.</w:t>
      </w:r>
    </w:p>
    <w:p>
      <w:pPr>
        <w:pStyle w:val="Style30"/>
        <w:numPr>
          <w:ilvl w:val="0"/>
          <w:numId w:val="83"/>
        </w:numPr>
        <w:tabs>
          <w:tab w:leader="none" w:pos="5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Спленомегалия.</w:t>
      </w:r>
    </w:p>
    <w:p>
      <w:pPr>
        <w:pStyle w:val="Style30"/>
        <w:numPr>
          <w:ilvl w:val="0"/>
          <w:numId w:val="83"/>
        </w:numPr>
        <w:tabs>
          <w:tab w:leader="none" w:pos="53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Васкулит.</w:t>
      </w:r>
    </w:p>
    <w:p>
      <w:pPr>
        <w:pStyle w:val="Style107"/>
        <w:widowControl w:val="0"/>
        <w:keepNext w:val="0"/>
        <w:keepLines w:val="0"/>
        <w:shd w:val="clear" w:color="auto" w:fill="auto"/>
        <w:bidi w:val="0"/>
        <w:spacing w:before="0" w:after="0"/>
        <w:ind w:left="0" w:right="0"/>
      </w:pPr>
      <w:r>
        <w:rPr>
          <w:lang w:val="ru-RU" w:eastAsia="ru-RU" w:bidi="ru-RU"/>
          <w:w w:val="100"/>
          <w:spacing w:val="0"/>
          <w:color w:val="000000"/>
          <w:position w:val="0"/>
        </w:rPr>
        <w:t>Дополнительные:</w:t>
      </w:r>
    </w:p>
    <w:p>
      <w:pPr>
        <w:pStyle w:val="Style30"/>
        <w:numPr>
          <w:ilvl w:val="0"/>
          <w:numId w:val="8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Гломерулонефрит.</w:t>
      </w:r>
    </w:p>
    <w:p>
      <w:pPr>
        <w:pStyle w:val="Style30"/>
        <w:numPr>
          <w:ilvl w:val="0"/>
          <w:numId w:val="85"/>
        </w:numPr>
        <w:tabs>
          <w:tab w:leader="none" w:pos="53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Тромбоэмболии.</w:t>
      </w:r>
    </w:p>
    <w:p>
      <w:pPr>
        <w:pStyle w:val="Style92"/>
        <w:widowControl w:val="0"/>
        <w:keepNext/>
        <w:keepLines/>
        <w:shd w:val="clear" w:color="auto" w:fill="auto"/>
        <w:bidi w:val="0"/>
        <w:spacing w:before="0" w:after="0"/>
        <w:ind w:left="0" w:right="0" w:firstLine="280"/>
      </w:pPr>
      <w:r>
        <w:br w:type="column"/>
      </w:r>
      <w:bookmarkStart w:id="494" w:name="bookmark494"/>
      <w:r>
        <w:rPr>
          <w:lang w:val="ru-RU" w:eastAsia="ru-RU" w:bidi="ru-RU"/>
          <w:w w:val="100"/>
          <w:spacing w:val="0"/>
          <w:color w:val="000000"/>
          <w:position w:val="0"/>
        </w:rPr>
        <w:t>Параклинические признаки</w:t>
      </w:r>
      <w:bookmarkEnd w:id="494"/>
    </w:p>
    <w:p>
      <w:pPr>
        <w:pStyle w:val="Style30"/>
        <w:numPr>
          <w:ilvl w:val="0"/>
          <w:numId w:val="87"/>
        </w:numPr>
        <w:tabs>
          <w:tab w:leader="none" w:pos="52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ЭхоКГ-подтверждение.</w:t>
      </w:r>
    </w:p>
    <w:p>
      <w:pPr>
        <w:pStyle w:val="Style30"/>
        <w:numPr>
          <w:ilvl w:val="0"/>
          <w:numId w:val="87"/>
        </w:numPr>
        <w:tabs>
          <w:tab w:leader="none" w:pos="53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Лабораторные показатели:</w:t>
      </w:r>
    </w:p>
    <w:p>
      <w:pPr>
        <w:pStyle w:val="Style30"/>
        <w:numPr>
          <w:ilvl w:val="0"/>
          <w:numId w:val="81"/>
        </w:numPr>
        <w:tabs>
          <w:tab w:leader="none" w:pos="47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положительная гемокультура, и/или;</w:t>
      </w:r>
    </w:p>
    <w:p>
      <w:pPr>
        <w:pStyle w:val="Style30"/>
        <w:numPr>
          <w:ilvl w:val="0"/>
          <w:numId w:val="81"/>
        </w:numPr>
        <w:tabs>
          <w:tab w:leader="none" w:pos="47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анемия, и/или ускорение СОЭ (&gt;30 мм/ч).</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Диагностическое правило: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ИЭ достоверный: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2 основных клинических признака плюс 2 параклиничес</w:t>
        <w:softHyphen/>
        <w:t>ких признака при обязательном наличии шума регургитации.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ИЭ вероятный: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Более 2 основных клинических признаков плюс 1 допол</w:t>
        <w:softHyphen/>
        <w:t>нительный клинический признак, или 2 основных клиниче</w:t>
        <w:softHyphen/>
        <w:t>ских признака плюс 1 параклинический признак при обяза</w:t>
        <w:softHyphen/>
        <w:t>тельном наличии шума регургитации во всех вариантах.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 основным клиническим признакам относятся: лихо</w:t>
        <w:softHyphen/>
        <w:t>радка без ограничения уровня температуры тела, шум ре- гургитации, в том числе новый шум или динамика шума у больных с ранее существовавшим пороком сердца, спле</w:t>
        <w:softHyphen/>
        <w:t>номегалия, не объясняемая другими причинами, и васку</w:t>
        <w:softHyphen/>
        <w:t>лит, включая петехиальную сыпь, узелки Ослера и др. К до</w:t>
        <w:softHyphen/>
        <w:t>полнительным клиническим признакам отнесены гломеру- лонефрит и тромбоэмболии. Параклинические проявления разделены на два признака: а) ЭхоКГ-подтверждение, включая вегетации на клапанах и клапанных структурах, протезах, деструктивные изменения клапана, абсцессы, а также подозрение на вегетации при наличии клапанной регургитации; б) лабораторные показатели: положительная гемокультура и/или анемия, и/или ускорение СОЭ&gt;30 мм/ч. Диагностировать достоверный ИЭ можно при сочетании двух основных клинических признаков, од</w:t>
        <w:softHyphen/>
        <w:t>ним из которых обязательно является шум регургитации, и двух параклинических признаков. Для установления ве</w:t>
        <w:softHyphen/>
        <w:t>роятного ИЭ достаточно наличия более двух основных кли</w:t>
        <w:softHyphen/>
        <w:t>нических признаков или двух основных и одного дополни</w:t>
        <w:softHyphen/>
        <w:t>тельного, или двух основных и одного параклинического, при этом во всех случаях обязательно наличие шума регур</w:t>
        <w:softHyphen/>
        <w:t xml:space="preserve">гитации. Данные критерии сопоставимы с критериями </w:t>
      </w:r>
      <w:r>
        <w:rPr>
          <w:lang w:val="en-US" w:eastAsia="en-US" w:bidi="en-US"/>
          <w:w w:val="100"/>
          <w:spacing w:val="0"/>
          <w:color w:val="000000"/>
          <w:position w:val="0"/>
        </w:rPr>
        <w:t xml:space="preserve">Duke </w:t>
      </w:r>
      <w:r>
        <w:rPr>
          <w:lang w:val="ru-RU" w:eastAsia="ru-RU" w:bidi="ru-RU"/>
          <w:w w:val="100"/>
          <w:spacing w:val="0"/>
          <w:color w:val="000000"/>
          <w:position w:val="0"/>
        </w:rPr>
        <w:t>по чувствительности для клинической диагностики ИЭ, более радикальны в диагностике достоверного ИЭ, ме</w:t>
        <w:softHyphen/>
        <w:t>нее зависимы от технического уровня ультразвуковой и бактериологической диагностики, что весьма важно для раннего выявления ИЭ, хотя бы в категории вероятного.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Классификация инфекционных эндокардитов (ИЭ)</w:t>
      </w:r>
    </w:p>
    <w:p>
      <w:pPr>
        <w:pStyle w:val="Style30"/>
        <w:numPr>
          <w:ilvl w:val="0"/>
          <w:numId w:val="89"/>
        </w:numPr>
        <w:tabs>
          <w:tab w:leader="none" w:pos="50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Острый септический эндокардит (возникающий как осложнение сепсиса — хирургического, гинекологическо</w:t>
        <w:softHyphen/>
        <w:t>го, урологического, криптогенного, а также осложнение инъекций, инвазивных диагностических манипуляций).</w:t>
      </w:r>
    </w:p>
    <w:p>
      <w:pPr>
        <w:pStyle w:val="Style30"/>
        <w:numPr>
          <w:ilvl w:val="0"/>
          <w:numId w:val="89"/>
        </w:numPr>
        <w:tabs>
          <w:tab w:leader="none" w:pos="50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Подострый септический (инфекционный) эндокардит (обусловлен наличием внутрисердечного или прилежащего к артериальным сосудам инфекционного очага, приводя</w:t>
        <w:softHyphen/>
        <w:t>щего к рецидивирующей септицемии, эмболиям).</w:t>
      </w:r>
    </w:p>
    <w:p>
      <w:pPr>
        <w:pStyle w:val="Style30"/>
        <w:numPr>
          <w:ilvl w:val="0"/>
          <w:numId w:val="89"/>
        </w:numPr>
        <w:tabs>
          <w:tab w:leader="none" w:pos="50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Затяжной септический эндокардит (вызываемый зеле</w:t>
        <w:softHyphen/>
        <w:t>нящим стрептококком или близкими ему штаммами, с от</w:t>
        <w:softHyphen/>
        <w:t>сутствием гнойных метастазов, преобладанием иммунопа</w:t>
        <w:softHyphen/>
        <w:t>тологических проявлений).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зависимости от предшествующего состояния клапан</w:t>
        <w:softHyphen/>
        <w:t>ного аппарата все ИЭ делят на две группы:</w:t>
      </w:r>
    </w:p>
    <w:p>
      <w:pPr>
        <w:pStyle w:val="Style30"/>
        <w:widowControl w:val="0"/>
        <w:keepNext w:val="0"/>
        <w:keepLines w:val="0"/>
        <w:shd w:val="clear" w:color="auto" w:fill="auto"/>
        <w:bidi w:val="0"/>
        <w:spacing w:before="0" w:after="0"/>
        <w:ind w:left="0" w:right="0" w:firstLine="280"/>
        <w:sectPr>
          <w:type w:val="continuous"/>
          <w:pgSz w:w="11900" w:h="16840"/>
          <w:pgMar w:top="1584" w:left="1050" w:right="967" w:bottom="1766" w:header="0" w:footer="3" w:gutter="0"/>
          <w:rtlGutter w:val="0"/>
          <w:cols w:num="2" w:space="321"/>
          <w:noEndnote/>
          <w:docGrid w:linePitch="360"/>
        </w:sectPr>
      </w:pPr>
      <w:r>
        <w:rPr>
          <w:lang w:val="ru-RU" w:eastAsia="ru-RU" w:bidi="ru-RU"/>
          <w:w w:val="100"/>
          <w:spacing w:val="0"/>
          <w:color w:val="000000"/>
          <w:position w:val="0"/>
        </w:rPr>
        <w:t>Первичные, возникающие на неизмененных клапанах.</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51" w:after="51"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473" type="#_x0000_t75" style="position:absolute;margin-left:132.75pt;margin-top:0;width:209.75pt;height:14.9pt;z-index:-251658686;mso-wrap-distance-left:5.pt;mso-wrap-distance-right:5.pt;mso-position-horizontal-relative:margin" wrapcoords="0 0">
            <v:imagedata r:id="rId744" r:href="rId745"/>
            <w10:wrap anchorx="margin"/>
          </v:shape>
        </w:pict>
      </w:r>
    </w:p>
    <w:p>
      <w:pPr>
        <w:widowControl w:val="0"/>
        <w:rPr>
          <w:sz w:val="2"/>
          <w:szCs w:val="2"/>
        </w:rPr>
        <w:sectPr>
          <w:type w:val="continuous"/>
          <w:pgSz w:w="11900" w:h="16840"/>
          <w:pgMar w:top="1468" w:left="1124" w:right="894" w:bottom="192" w:header="0" w:footer="3" w:gutter="0"/>
          <w:rtlGutter w:val="0"/>
          <w:cols w:space="720"/>
          <w:noEndnote/>
          <w:docGrid w:linePitch="360"/>
        </w:sectPr>
      </w:pPr>
    </w:p>
    <w:p>
      <w:pPr>
        <w:pStyle w:val="Style139"/>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Таблица 15</w:t>
      </w:r>
    </w:p>
    <w:p>
      <w:pPr>
        <w:pStyle w:val="Style96"/>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Клинические и лабораторные критерии активности инфекционного эндокардита</w:t>
      </w:r>
    </w:p>
    <w:tbl>
      <w:tblPr>
        <w:tblOverlap w:val="never"/>
        <w:tblLayout w:type="fixed"/>
        <w:jc w:val="center"/>
      </w:tblPr>
      <w:tblGrid>
        <w:gridCol w:w="3379"/>
        <w:gridCol w:w="2165"/>
        <w:gridCol w:w="2165"/>
        <w:gridCol w:w="2174"/>
      </w:tblGrid>
      <w:tr>
        <w:trPr>
          <w:trHeight w:val="24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Критерии</w:t>
            </w:r>
          </w:p>
        </w:tc>
        <w:tc>
          <w:tcPr>
            <w:shd w:val="clear" w:color="auto" w:fill="FFFFFF"/>
            <w:gridSpan w:val="3"/>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Степень активности</w:t>
            </w:r>
          </w:p>
        </w:tc>
      </w:tr>
      <w:tr>
        <w:trPr>
          <w:trHeight w:val="235" w:hRule="exact"/>
        </w:trPr>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I (минимальная)</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II (умеренная)</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III (высокая)</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Температура</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36,5-37,5°С</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37,6-38°С</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38,1-40°С</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Ознобы</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Отсутствуют</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Познабливание</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Потрясающие</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Потливость</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Отсутствует</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Повышенная</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Профузная</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Формирование порока сердца</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Медленное</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Медленное</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Быстрое</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Гломерулонефрит</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Очаговый</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Очаговый</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Диффузный</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Миокардит</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Очаговый</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Очаговый</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Очаговый</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Эмболии и инфаркты</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Отсутствуют</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Могут быть</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Часты</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Гемоглобин, г/л</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120-150</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119-110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109-90</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СОЭ, мм/ч</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10-20</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19-40</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более 40</w:t>
            </w:r>
          </w:p>
        </w:tc>
      </w:tr>
      <w:tr>
        <w:trPr>
          <w:trHeight w:val="254"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у-глобулиновая фракция, %</w:t>
            </w:r>
          </w:p>
        </w:tc>
        <w:tc>
          <w:tcPr>
            <w:shd w:val="clear" w:color="auto" w:fill="FFFFFF"/>
            <w:tcBorders>
              <w:left w:val="single" w:sz="4"/>
              <w:top w:val="single" w:sz="4"/>
            </w:tcBorders>
            <w:vAlign w:val="center"/>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20-22</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23-25</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26-35</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Фибриноген, мкмоль/л</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11,7-14,6</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14,7-16,9</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17,0-29,3</w:t>
            </w:r>
          </w:p>
        </w:tc>
      </w:tr>
      <w:tr>
        <w:trPr>
          <w:trHeight w:val="235"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 xml:space="preserve">Иммуноглобулины </w:t>
            </w:r>
            <w:r>
              <w:rPr>
                <w:rStyle w:val="CharStyle102"/>
                <w:lang w:val="en-US" w:eastAsia="en-US" w:bidi="en-US"/>
              </w:rPr>
              <w:t xml:space="preserve">A </w:t>
            </w:r>
            <w:r>
              <w:rPr>
                <w:rStyle w:val="CharStyle102"/>
              </w:rPr>
              <w:t>мкмоль/л</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12,5-16,2</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16,3-19,4</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19,5-25,0</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 xml:space="preserve">Иммуноглобулины </w:t>
            </w:r>
            <w:r>
              <w:rPr>
                <w:rStyle w:val="CharStyle102"/>
                <w:lang w:val="en-US" w:eastAsia="en-US" w:bidi="en-US"/>
              </w:rPr>
              <w:t xml:space="preserve">M </w:t>
            </w:r>
            <w:r>
              <w:rPr>
                <w:rStyle w:val="CharStyle102"/>
              </w:rPr>
              <w:t>мкмоль/л</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1,27-1,61</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1,62-2,03</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2,04-2,63</w:t>
            </w:r>
          </w:p>
        </w:tc>
      </w:tr>
      <w:tr>
        <w:trPr>
          <w:trHeight w:val="245" w:hRule="exact"/>
        </w:trPr>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 xml:space="preserve">Иммуноглобулины </w:t>
            </w:r>
            <w:r>
              <w:rPr>
                <w:rStyle w:val="CharStyle102"/>
                <w:lang w:val="en-US" w:eastAsia="en-US" w:bidi="en-US"/>
              </w:rPr>
              <w:t xml:space="preserve">G </w:t>
            </w:r>
            <w:r>
              <w:rPr>
                <w:rStyle w:val="CharStyle102"/>
              </w:rPr>
              <w:t>мкмоль/л</w:t>
            </w:r>
          </w:p>
        </w:tc>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71,2-86,3</w:t>
            </w:r>
          </w:p>
        </w:tc>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86,4-106,5</w:t>
            </w:r>
          </w:p>
        </w:tc>
        <w:tc>
          <w:tcPr>
            <w:shd w:val="clear" w:color="auto" w:fill="FFFFFF"/>
            <w:tcBorders>
              <w:left w:val="single" w:sz="4"/>
              <w:righ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106,6-151,2</w:t>
            </w:r>
          </w:p>
        </w:tc>
      </w:tr>
    </w:tbl>
    <w:p>
      <w:pPr>
        <w:framePr w:w="9883" w:wrap="notBeside" w:vAnchor="text" w:hAnchor="text" w:xAlign="center" w:y="1"/>
        <w:widowControl w:val="0"/>
        <w:rPr>
          <w:sz w:val="2"/>
          <w:szCs w:val="2"/>
        </w:rPr>
      </w:pPr>
    </w:p>
    <w:p>
      <w:pPr>
        <w:widowControl w:val="0"/>
        <w:rPr>
          <w:sz w:val="2"/>
          <w:szCs w:val="2"/>
        </w:rPr>
      </w:pPr>
    </w:p>
    <w:p>
      <w:pPr>
        <w:pStyle w:val="Style30"/>
        <w:widowControl w:val="0"/>
        <w:keepNext w:val="0"/>
        <w:keepLines w:val="0"/>
        <w:shd w:val="clear" w:color="auto" w:fill="auto"/>
        <w:bidi w:val="0"/>
        <w:jc w:val="center"/>
        <w:spacing w:before="410" w:after="0" w:line="180" w:lineRule="exact"/>
        <w:ind w:left="0" w:right="0" w:firstLine="0"/>
      </w:pPr>
      <w:r>
        <w:rPr>
          <w:lang w:val="ru-RU" w:eastAsia="ru-RU" w:bidi="ru-RU"/>
          <w:w w:val="100"/>
          <w:spacing w:val="0"/>
          <w:color w:val="000000"/>
          <w:position w:val="0"/>
        </w:rPr>
        <w:t>Классификация бактериальных эндокардитов, осложняющих врожденные пороки сердца</w:t>
      </w:r>
    </w:p>
    <w:p>
      <w:pPr>
        <w:pStyle w:val="Style139"/>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Таблица16</w:t>
      </w:r>
    </w:p>
    <w:tbl>
      <w:tblPr>
        <w:tblOverlap w:val="never"/>
        <w:tblLayout w:type="fixed"/>
        <w:jc w:val="center"/>
      </w:tblPr>
      <w:tblGrid>
        <w:gridCol w:w="2506"/>
        <w:gridCol w:w="2549"/>
        <w:gridCol w:w="2045"/>
        <w:gridCol w:w="2784"/>
      </w:tblGrid>
      <w:tr>
        <w:trPr>
          <w:trHeight w:val="240" w:hRule="exact"/>
        </w:trPr>
        <w:tc>
          <w:tcPr>
            <w:shd w:val="clear" w:color="auto" w:fill="FFFFFF"/>
            <w:gridSpan w:val="2"/>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Стадия</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Форма</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Характер течения</w:t>
            </w:r>
          </w:p>
        </w:tc>
      </w:tr>
      <w:tr>
        <w:trPr>
          <w:trHeight w:val="235" w:hRule="exact"/>
        </w:trPr>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клинически</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морфологически</w:t>
            </w:r>
          </w:p>
        </w:tc>
        <w:tc>
          <w:tcPr>
            <w:shd w:val="clear" w:color="auto" w:fill="FFFFFF"/>
            <w:tcBorders>
              <w:left w:val="single" w:sz="4"/>
              <w:top w:val="single" w:sz="4"/>
            </w:tcBorders>
            <w:vAlign w:val="top"/>
          </w:tcPr>
          <w:p>
            <w:pPr>
              <w:framePr w:w="9883"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9883" w:wrap="notBeside" w:vAnchor="text" w:hAnchor="text" w:xAlign="center" w:y="1"/>
              <w:widowControl w:val="0"/>
              <w:rPr>
                <w:sz w:val="10"/>
                <w:szCs w:val="10"/>
              </w:rPr>
            </w:pP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начальная</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Мукоидный отек эндокарда</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Типичная</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Острое, подострое, рецидивирующее</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Активная</w:t>
            </w:r>
          </w:p>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II — микросимптомов</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Бородавчатый эндокардит</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Стертая</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Хроническое</w:t>
            </w:r>
          </w:p>
        </w:tc>
      </w:tr>
      <w:tr>
        <w:trPr>
          <w:trHeight w:val="442" w:hRule="exact"/>
        </w:trPr>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Неактивная</w:t>
            </w:r>
          </w:p>
          <w:p>
            <w:pPr>
              <w:pStyle w:val="Style30"/>
              <w:framePr w:w="9883"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III — септических проявлений</w:t>
            </w:r>
          </w:p>
        </w:tc>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60" w:lineRule="exact"/>
              <w:ind w:left="240" w:right="0" w:firstLine="0"/>
            </w:pPr>
            <w:r>
              <w:rPr>
                <w:rStyle w:val="CharStyle102"/>
              </w:rPr>
              <w:t>Тромбоязвенный эндокардит</w:t>
            </w:r>
          </w:p>
        </w:tc>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Атипичная</w:t>
            </w:r>
          </w:p>
        </w:tc>
        <w:tc>
          <w:tcPr>
            <w:shd w:val="clear" w:color="auto" w:fill="FFFFFF"/>
            <w:tcBorders>
              <w:left w:val="single" w:sz="4"/>
              <w:righ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center"/>
              <w:spacing w:before="0" w:after="0" w:line="160" w:lineRule="exact"/>
              <w:ind w:left="0" w:right="0" w:firstLine="0"/>
            </w:pPr>
            <w:r>
              <w:rPr>
                <w:rStyle w:val="CharStyle102"/>
              </w:rPr>
              <w:t>Латентное</w:t>
            </w:r>
          </w:p>
        </w:tc>
      </w:tr>
    </w:tbl>
    <w:p>
      <w:pPr>
        <w:framePr w:w="9883" w:wrap="notBeside" w:vAnchor="text" w:hAnchor="text" w:xAlign="center" w:y="1"/>
        <w:widowControl w:val="0"/>
        <w:rPr>
          <w:sz w:val="2"/>
          <w:szCs w:val="2"/>
        </w:rPr>
      </w:pPr>
    </w:p>
    <w:p>
      <w:pPr>
        <w:widowControl w:val="0"/>
        <w:rPr>
          <w:sz w:val="2"/>
          <w:szCs w:val="2"/>
        </w:rPr>
      </w:pPr>
    </w:p>
    <w:p>
      <w:pPr>
        <w:widowControl w:val="0"/>
        <w:rPr>
          <w:sz w:val="2"/>
          <w:szCs w:val="2"/>
        </w:rPr>
        <w:sectPr>
          <w:pgSz w:w="11900" w:h="16840"/>
          <w:pgMar w:top="2013" w:left="898" w:right="1104" w:bottom="131" w:header="0" w:footer="3" w:gutter="0"/>
          <w:rtlGutter w:val="0"/>
          <w:cols w:space="720"/>
          <w:noEndnote/>
          <w:docGrid w:linePitch="360"/>
        </w:sectPr>
      </w:pPr>
    </w:p>
    <w:p>
      <w:pPr>
        <w:widowControl w:val="0"/>
        <w:spacing w:before="101" w:after="101" w:line="240" w:lineRule="exact"/>
        <w:rPr>
          <w:sz w:val="19"/>
          <w:szCs w:val="19"/>
        </w:rPr>
      </w:pPr>
    </w:p>
    <w:p>
      <w:pPr>
        <w:widowControl w:val="0"/>
        <w:rPr>
          <w:sz w:val="2"/>
          <w:szCs w:val="2"/>
        </w:rPr>
        <w:sectPr>
          <w:type w:val="continuous"/>
          <w:pgSz w:w="11900" w:h="16840"/>
          <w:pgMar w:top="1579" w:left="0" w:right="0" w:bottom="1805" w:header="0" w:footer="3" w:gutter="0"/>
          <w:rtlGutter w:val="0"/>
          <w:cols w:space="720"/>
          <w:noEndnote/>
          <w:docGrid w:linePitch="360"/>
        </w:sectPr>
      </w:pPr>
    </w:p>
    <w:p>
      <w:pPr>
        <w:widowControl w:val="0"/>
        <w:rPr>
          <w:sz w:val="2"/>
          <w:szCs w:val="2"/>
        </w:rPr>
      </w:pPr>
      <w:r>
        <w:pict>
          <v:shape id="_x0000_s1474" type="#_x0000_t75" style="position:absolute;margin-left:144.3pt;margin-top:379.7pt;width:209.75pt;height:14.9pt;z-index:-125829080;mso-wrap-distance-left:147.85pt;mso-wrap-distance-right:136.8pt;mso-wrap-distance-bottom:10.8pt;mso-position-horizontal-relative:margin" wrapcoords="0 0 21600 0 21600 21600 0 21600 0 0">
            <v:imagedata r:id="rId746" r:href="rId747"/>
            <w10:wrap type="topAndBottom" anchorx="margin"/>
          </v:shape>
        </w:pic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Вторичные, возникающие на измененных клапанах.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Случаи заболевания длительностью до 2 мес. относят к острому, свыше этого срока — к подострому ИЭ. Клини</w:t>
        <w:softHyphen/>
        <w:t>ческие и лабораторные характеристики инфекционного эндокардита в зависимости от активности процесса пред</w:t>
        <w:softHyphen/>
        <w:t>ставлены в таблице 15.</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Классификация ИЭ применительно к врожденным по</w:t>
        <w:softHyphen/>
        <w:t>рокам сердца разработана в клинике сердечно-сосудистой хирургии МОНИКИ им. М.Ф.Владимирского (В.И. Фран</w:t>
        <w:softHyphen/>
        <w:t>цев, В.Т. Селиваненко). Данная классификация основана на клинических и морфологических проявлениях ИЭ с уче</w:t>
        <w:softHyphen/>
        <w:t>том стадийности, формы и характера течения эндокардита (табл. 16).</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Морфологическое изучение биопсийного материала и результатов аутопсий позволило выделить три стадии морфологического проявления процесса:</w:t>
      </w:r>
    </w:p>
    <w:p>
      <w:pPr>
        <w:pStyle w:val="Style30"/>
        <w:numPr>
          <w:ilvl w:val="0"/>
          <w:numId w:val="91"/>
        </w:numPr>
        <w:tabs>
          <w:tab w:leader="none" w:pos="45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начальная стадия, характеризующаяся макроскопи</w:t>
        <w:softHyphen/>
        <w:t>чески некоторым утолщением и отеком клапанов, гистоло</w:t>
        <w:softHyphen/>
        <w:t>гически — мукоидным набуханием межуточной субстанции эндокарда, нерезко выраженной лимфоклеточной инфиль</w:t>
        <w:softHyphen/>
        <w:t>трацией с пролиферацией фибробластов, умеренным оча</w:t>
        <w:softHyphen/>
        <w:t>говым склерозом.</w:t>
      </w:r>
    </w:p>
    <w:p>
      <w:pPr>
        <w:pStyle w:val="Style30"/>
        <w:numPr>
          <w:ilvl w:val="0"/>
          <w:numId w:val="91"/>
        </w:numPr>
        <w:tabs>
          <w:tab w:leader="none" w:pos="50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стадия бородавчатых изменений, характеризующа</w:t>
        <w:softHyphen/>
        <w:t>яся наличием бородавок по линии смыкания клапанов или на пристеночном эндокарде. В зависимости от времени их образования бородавки могут быть нежными, рыхлыми или плотными, трудно снимающимися с поверхности клапана или пристеночного эндокарда. Гистологически при этом определяются изменения в соединительной ткани по типу</w:t>
        <w:br w:type="column"/>
        <w:t>фибриноидных превращений, отек и разволокнение соеди</w:t>
        <w:softHyphen/>
        <w:t>нительнотканной стромы сердца, периваскулярные крово</w:t>
        <w:softHyphen/>
        <w:t>излияния, очаговый межуточный миокардит.</w:t>
      </w:r>
    </w:p>
    <w:p>
      <w:pPr>
        <w:pStyle w:val="Style30"/>
        <w:numPr>
          <w:ilvl w:val="0"/>
          <w:numId w:val="91"/>
        </w:numPr>
        <w:tabs>
          <w:tab w:leader="none" w:pos="58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стадия бородавчатополипозных изменений с изъяз</w:t>
        <w:softHyphen/>
        <w:t>влением и наличием бактерий на клапанах. Макроскопичес</w:t>
        <w:softHyphen/>
        <w:t>ки на пристеночном эндокарде и клапанах определяются по</w:t>
        <w:softHyphen/>
        <w:t>липозно-бородавчатые образования с характерной гистоло</w:t>
        <w:softHyphen/>
        <w:t>гической картиной септического эндокардита, с наличием язв и гноеродных бактерий на клапанах (гнойное расплавле</w:t>
        <w:softHyphen/>
        <w:t>ние клапана). Очаг поражения не является строго локализо</w:t>
        <w:softHyphen/>
        <w:t>ванным на клапанах. В патологический процесс вовлекают</w:t>
        <w:softHyphen/>
        <w:t>ся все оболочки сердца (перикард, миокард, эндокард), а также сосуды, фиброзные кольца клапанов, сосочковые мышцы. В миокарде можно отметить выраженный отек стромы, лимфоклеточную инфильтрацию, жировую и бел</w:t>
        <w:softHyphen/>
        <w:t>ковую дегенерацию, расширение синусоидных сосудов со стазом. Как правило, наблюдаются старые и свежие участки дезорганизации соединительной ткани, что свидетельствует</w:t>
      </w:r>
    </w:p>
    <w:p>
      <w:pPr>
        <w:pStyle w:val="Style30"/>
        <w:numPr>
          <w:ilvl w:val="0"/>
          <w:numId w:val="93"/>
        </w:numPr>
        <w:tabs>
          <w:tab w:leader="none" w:pos="222"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непрерывности патоморфологического процесса.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Сравнение морфологических изменений клапанов и пристеночного эндокарда показывает, что эти изменения можно рассматривать как последовательные звенья одного и того же процесса воспалительной деструкции соедини - тельной ткани.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Морфологическим изменениям в эндокарде, миокарде и других органах и системах соответствуют и определенные клинические проявления болезни. В связи с этим целесоо</w:t>
        <w:softHyphen/>
        <w:t>бразно различать три клинические стадии эндокардита:</w:t>
      </w:r>
    </w:p>
    <w:p>
      <w:pPr>
        <w:pStyle w:val="Style30"/>
        <w:numPr>
          <w:ilvl w:val="0"/>
          <w:numId w:val="93"/>
        </w:numPr>
        <w:tabs>
          <w:tab w:leader="none" w:pos="222"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стадию начальных проявлений, II — стадию микро-</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симптомов и III — стадию септических проявлений. Если III стадия, протекающая в форме типично клинически вы</w:t>
        <w:softHyphen/>
        <w:t>раженного затяжного септического эндокардита, не требу</w:t>
        <w:softHyphen/>
        <w:t>ет дополнительных разъяснений, то первые две стадии нельзя характеризовать строго очерченным симптомоком</w:t>
        <w:softHyphen/>
        <w:t>плексом. Дифференцировать первые две стадии только на основании клинической картины очень трудно.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Всем трем стадиям строго соответствуют стадии морфо</w:t>
        <w:softHyphen/>
        <w:t>логических проявлений. Для начальной стадии характерен мукоидный неспецифический эндокардит. Стадии микро - симптомов соответствует морфологическая картина боро</w:t>
        <w:softHyphen/>
        <w:t>давчатого эндокардита. Наконец, для стадии септических проявлений типичными являются тромбоязвенные изме</w:t>
        <w:softHyphen/>
        <w:t>нения эндокарда.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Длительные клинические наблюдения привели к необ</w:t>
        <w:softHyphen/>
        <w:t>ходимости выделения трех форм проявления бактериаль</w:t>
        <w:softHyphen/>
        <w:t>ного эндокардита. Чаще всего встречается типичная форма, где налицо все клинико-лабораторные признаки. В ряде случаев требуется много усилий, чтобы выявить скрыто протекающий эндокардит, когда те или иные симптомы ма</w:t>
        <w:softHyphen/>
        <w:t>ло выражены или проявляются после каких-либо провоци</w:t>
        <w:softHyphen/>
        <w:t>рующих процедур (зондирование полостей сердца, опера</w:t>
        <w:softHyphen/>
        <w:t>ция). Это позволило выделить скрытую форму эндокарди</w:t>
        <w:softHyphen/>
        <w:t>та. Наконец, у ряда больных заболевание может протекать совсем атипично, симулируя другие страдания — невроло</w:t>
        <w:softHyphen/>
        <w:t>гические, церебральные. В связи с этим выделена атипич</w:t>
        <w:softHyphen/>
        <w:t>ная форма бактериального эндокардита.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По характеру течения патологического процесса можно выделить пять вариантов: острое, подострое, рецидивирую</w:t>
        <w:softHyphen/>
        <w:t>щее, хроническое и латентное.</w:t>
      </w:r>
    </w:p>
    <w:p>
      <w:pPr>
        <w:pStyle w:val="Style92"/>
        <w:widowControl w:val="0"/>
        <w:keepNext/>
        <w:keepLines/>
        <w:shd w:val="clear" w:color="auto" w:fill="auto"/>
        <w:bidi w:val="0"/>
        <w:spacing w:before="0" w:after="0"/>
        <w:ind w:left="0" w:right="0" w:firstLine="280"/>
      </w:pPr>
      <w:bookmarkStart w:id="495" w:name="bookmark495"/>
      <w:r>
        <w:rPr>
          <w:lang w:val="ru-RU" w:eastAsia="ru-RU" w:bidi="ru-RU"/>
          <w:w w:val="100"/>
          <w:spacing w:val="0"/>
          <w:color w:val="000000"/>
          <w:position w:val="0"/>
        </w:rPr>
        <w:t>Дифференциальный диагноз</w:t>
      </w:r>
      <w:bookmarkEnd w:id="49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Разнообразие формы и вариантов течения, нередкая стертость клинической и лабораторной симптоматики слу</w:t>
        <w:softHyphen/>
        <w:t>жат источником как гипо-, так и гипердиагностики ИЭ. Спектр нозологических форм, с которыми приходится дифференцировать ИЭ, особенно на ранних стадиях забо</w:t>
        <w:softHyphen/>
        <w:t>левания, чрезвычайно широк. Заболевания, при которых в наибольшей степени возникают дифференциально-диа</w:t>
        <w:softHyphen/>
        <w:t>гностические проблемы, следующие:</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Острая ревматическая лихорадка.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Системная красная волчанка.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Первичный антифосфолипидный синдром.</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Неспецифический аорто-артериит.</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Узелковый полиартериит.</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Лимфопролиферативные болезни.</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Опухоли.</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Хронический пиелонефрит.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острой ревматической лихорадке (ОРЛ) в отличие от первичного ИЭ прослеживается хронологическая связь с А-стрептококковой инфекцией глотки (что подтвержда</w:t>
        <w:softHyphen/>
        <w:t>ется микробиологическими и серологическими исследова</w:t>
        <w:softHyphen/>
        <w:t>ниями), полиартрит имеет симметричный и мигрирующий характер, отмечается преимущественное поражение мит</w:t>
        <w:softHyphen/>
        <w:t>рального клапана сердца с более медленным формировани</w:t>
        <w:softHyphen/>
        <w:t>ем порока, высокая подвижность и быстрое обратное раз</w:t>
        <w:softHyphen/>
        <w:t>витие клинических и лабораторных симптомов на фоне противовоспалительной терапии. Более сложен процесс дифференциальной диагностики повторной атаки ОРЛ и вторичного ИЭ на фоне приобретенного порока сердца. Наличие в ближайшем анамнезе медицинских манипуля</w:t>
        <w:softHyphen/>
        <w:t>ций, сопровождающихся бактериемией (стоматологичес</w:t>
        <w:softHyphen/>
        <w:br w:type="column"/>
        <w:t>ких, урогинекологических и др.), ознобы даже при субфеб</w:t>
        <w:softHyphen/>
        <w:t>рильной температуре тела, быстрое формирование нового порока сердца (или усугубление уже имеющегося) с преоб</w:t>
        <w:softHyphen/>
        <w:t>ладанием клапанной регургитации и развитием застойной недостаточности кровообращения, появление петехий на коже и слизистых, увеличение селезенки, высокие лабора</w:t>
        <w:softHyphen/>
        <w:t>торные параметры воспалительной активности, отсутствие эффекта от противовоспалительной терапии — все это за</w:t>
        <w:softHyphen/>
        <w:t>ставляет заподозрить наличие вторичного ИЭ еще до полу</w:t>
        <w:softHyphen/>
        <w:t>чения данных ЭхоКГ и исследования на гемокультуру.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установления диагноза системной красной волчанки большое значение имеют молодой возраст, женский пол, усиленное выпадение волос, эритема на щеках и над скуло</w:t>
        <w:softHyphen/>
        <w:t>выми дугами, фотосенсибилизация, язвы в полости рта или носа. Наиболее частым симптомом поражения сердца при этом заболевании является перикардит; клапанная патоло</w:t>
        <w:softHyphen/>
        <w:t>гия — эндокардит Либмана-Сакса — развивается значи</w:t>
        <w:softHyphen/>
        <w:t>тельно позднее и относится к категории признаков высо</w:t>
        <w:softHyphen/>
        <w:t>кой активности болезни. Антинуклеарный фактор и анти</w:t>
        <w:softHyphen/>
        <w:t>тела к нативной ДНК могут выявляться и при ИЭ, однако повторное обнаружение данных показателей в высоких ти</w:t>
        <w:softHyphen/>
        <w:t>трах более характерно для системной красной волчанки.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процессе обследования больного нередко требуется проведение дифференциальной диагностики ИЭ с пораже</w:t>
        <w:softHyphen/>
        <w:t>нием сердца в рамках антифосфолипидного синдрома — сво</w:t>
        <w:softHyphen/>
        <w:t>еобразного симптомокомплекса, характеризующегося на</w:t>
        <w:softHyphen/>
        <w:t>личием артериальных и/или венозных тромбозов любой локализации, тромбоцитопенией, а также другими разно - образными неврологическими (хорея, судороги, ишемия мозга), кардиологическими (клапанные пороки, инфаркт миокарда), кожными (сетчатое ливедо, язвы голени), по</w:t>
        <w:softHyphen/>
        <w:t>чечными (почечная недостаточность, нефрогенная артери</w:t>
        <w:softHyphen/>
        <w:t>альная гипертензия), гематологическими (гемолитическая анемия) расстройствами. У некоторых больных возможно быстрое развитие тяжелой клапанной патологии, обуслов</w:t>
        <w:softHyphen/>
        <w:t>ленной тромботическими вегетациями, неотличимыми от ИЭ. В подобных ситуациях решающую дифференциаль</w:t>
        <w:softHyphen/>
        <w:t>но-диагностическую роль играет повторно выделенная ге</w:t>
        <w:softHyphen/>
        <w:t>мокультура.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Определенные проблемы могут возникать при диффе</w:t>
        <w:softHyphen/>
        <w:t>ренциальной диагностике ИЭ и неспецифического аор- то-артериита (болезни Такаясу), протекающего с формиро</w:t>
        <w:softHyphen/>
        <w:t>ванием аортальной недостаточности, обусловленной дила</w:t>
        <w:softHyphen/>
        <w:t>тацией аорты. Последнему чаще свойственны преходящие парестезии, перемежающаяся хромота у молодых женщин, сосудистые шумы, асимметрия или отсутствие пульса (ча</w:t>
        <w:softHyphen/>
        <w:t>ще в зоне локтевой, лучевой и сонной артерий), различия АД на конечностях. Важное значение для верификации ди</w:t>
        <w:softHyphen/>
        <w:t>агноза аорто -артериита имеют данные ультразвукового ска - нирования сосудов и контрастной ангиографии.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Выраженность и стойкость лихорадочного синдрома, особенно в дебюте первичного ИЭ, требует проведения дифференциальной диагностики с узелковым полиартерии</w:t>
        <w:softHyphen/>
        <w:t>том и лимфопролиферативными заболеваниями. При этих но</w:t>
        <w:softHyphen/>
        <w:t>зологических формах не отмечается формирования поро</w:t>
        <w:softHyphen/>
        <w:t>ков сердца и положительной гемокультуры, однако в ряде случаев может потребоваться морфологическое подтвер</w:t>
        <w:softHyphen/>
        <w:t>ждение (соответственно признаки васкулита в биоптате кожно-мышечного лоскута и наличие клеток Березовско</w:t>
        <w:softHyphen/>
        <w:t>го-Штернберга в биоптате лимфоузла).</w:t>
      </w:r>
    </w:p>
    <w:p>
      <w:pPr>
        <w:pStyle w:val="Style30"/>
        <w:widowControl w:val="0"/>
        <w:keepNext w:val="0"/>
        <w:keepLines w:val="0"/>
        <w:shd w:val="clear" w:color="auto" w:fill="auto"/>
        <w:bidi w:val="0"/>
        <w:spacing w:before="0" w:after="0"/>
        <w:ind w:left="0" w:right="0" w:firstLine="280"/>
      </w:pPr>
      <w:r>
        <w:pict>
          <v:shape id="_x0000_s1475" type="#_x0000_t75" style="position:absolute;margin-left:136.9pt;margin-top:736.3pt;width:209.75pt;height:14.9pt;z-index:-125829079;mso-wrap-distance-left:136.8pt;mso-wrap-distance-right:147.85pt;mso-wrap-distance-bottom:10.8pt;mso-position-horizontal-relative:margin;mso-position-vertical-relative:margin" wrapcoords="0 0 21600 0 21600 21600 0 21600 0 0">
            <v:imagedata r:id="rId748" r:href="rId749"/>
            <w10:wrap type="topAndBottom" anchorx="margin" anchory="margin"/>
          </v:shape>
        </w:pict>
      </w:r>
      <w:r>
        <w:rPr>
          <w:lang w:val="ru-RU" w:eastAsia="ru-RU" w:bidi="ru-RU"/>
          <w:w w:val="100"/>
          <w:spacing w:val="0"/>
          <w:color w:val="000000"/>
          <w:position w:val="0"/>
        </w:rPr>
        <w:t>Значительные трудности представляет дифференциаль</w:t>
        <w:softHyphen/>
        <w:t>ная диагностика ИЭ и хронического пиелонефрита в стадии</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обострения. Так, развитие пиелонефрита с характерной клинической картиной (лихорадка с ознобом, анемия, ус</w:t>
        <w:softHyphen/>
        <w:t>корение СОЭ, иногда — бактериемия) может наводить на мысль о наличии ИЭ с вовлечением в процесс почек. С дру</w:t>
        <w:softHyphen/>
        <w:t>гой стороны, у больных, длительно страдающих пиелоне</w:t>
        <w:softHyphen/>
        <w:t>фритом, возможно развитие ИЭ, вызванного микрофло</w:t>
        <w:softHyphen/>
        <w:t>рой, наиболее часто встречающейся при инфекциях моче</w:t>
        <w:softHyphen/>
        <w:t>выводящих путей (кишечная палочка, протей, энтерококки идр.).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Сердечные осложнения</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Застойная сердечная недостаточность.</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Пороки клапанов.</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Абсцесс клапанного кольца.</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Абсцесс миокарда.</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проводящей системы.</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Перикардит.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Внесердечные осложнения</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Инфаркт селезенки.</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Тромбоэмболия легочной артерии.</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Эмболия периферических артерий.</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Микотические аневризмы, часто множественные, могут возникать в любом сосуде.</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Васкулит.</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Эмболия мозговых сосудов, внутричерепное крово</w:t>
        <w:softHyphen/>
        <w:t>излияние, инсульт, менингит.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 эры антибиотиков летальность при ИЭ составляла 85-100%. Использование антибиотиков в лечении данного заболевания позволило значительно уменьшить данный показатель. При лечении ИЭ необходимо соблюдать следу</w:t>
        <w:softHyphen/>
        <w:t>ющие основные принципы:</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Раннее начало лечения.</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Применение антибиотиков с учетом чувствительнос</w:t>
        <w:softHyphen/>
        <w:t>ти возбудителя.</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Внутривенное или внутримышечное введение анти</w:t>
        <w:softHyphen/>
        <w:t>биотиков.</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Достаточно высокие дозировки антибиотиков.</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Курс лечения не менее 4-6 недель.</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Применение антибиотиков бактерицидного механиз - ма действия.</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Применение препаратов, обладающих синергичес</w:t>
        <w:softHyphen/>
        <w:t>ким действием.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Ведущий принцип лечения инфекционного эндокарди</w:t>
        <w:softHyphen/>
        <w:t>та (ИЭ) — ранняя, массивная и длительная (не менее 4-6 нед) антибактериальная терапия с учетом чувствитель</w:t>
        <w:softHyphen/>
        <w:t>ности выделенного возбудителя к антибиотикам. Следует применять антибиотики, оказывающие бактерицидное действие.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Вопрос о назначении эмпирической антибиотикотера</w:t>
        <w:softHyphen/>
        <w:t>пии требует безотлагательного решения, которое зависит от характера течения ИЭ — острый, подострый или неопреде</w:t>
        <w:softHyphen/>
        <w:t>ленный. Такой подход является важным, поскольку острый ИЭ нуждается в немедленной терапии, в то время как лече</w:t>
        <w:softHyphen/>
        <w:t>ние подострого ИЭ может быть отсрочено на 24-48 ч, пока проводится диагностическое обследование и исключаются другие возможные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 </w:t>
      </w:r>
      <w:r>
        <w:rPr>
          <w:rStyle w:val="CharStyle103"/>
        </w:rPr>
        <w:t>остром</w:t>
      </w:r>
      <w:r>
        <w:rPr>
          <w:lang w:val="ru-RU" w:eastAsia="ru-RU" w:bidi="ru-RU"/>
          <w:w w:val="100"/>
          <w:spacing w:val="0"/>
          <w:color w:val="000000"/>
          <w:position w:val="0"/>
        </w:rPr>
        <w:t xml:space="preserve"> ИЭ терапия должна быть назначена немед</w:t>
        <w:softHyphen/>
        <w:t>ленно, так как наиболее вероятным возбудителем является золотистый стафилококк, способный вызывать септичес</w:t>
        <w:softHyphen/>
        <w:t>кий шок, метастатические очаги инфекции и быстрое раз</w:t>
        <w:softHyphen/>
        <w:t>рушение сердечных клапанов. Острое течение ИЭ, возник</w:t>
        <w:softHyphen/>
        <w:br w:type="column"/>
        <w:t>новение или прогрессирование аортальной недостаточнос</w:t>
        <w:softHyphen/>
        <w:t>ти, нахождение больного на хроническом гемодиализе, хи</w:t>
        <w:softHyphen/>
        <w:t>рургические вмешательства на сердце и сосудах в анамнезе или употребление внутривенных наркотиков косвенно сви - детельствуют об ИЭ, вызванном золотистым стафилокок</w:t>
        <w:softHyphen/>
        <w:t>ком, грамотрицательной микрофлорой или грибами. В этом случае антибактериальная химиотерапия проводит</w:t>
        <w:softHyphen/>
        <w:t xml:space="preserve">ся как при ИЭ </w:t>
      </w:r>
      <w:r>
        <w:rPr>
          <w:rStyle w:val="CharStyle103"/>
        </w:rPr>
        <w:t>неизвестной этиологии:</w:t>
      </w:r>
      <w:r>
        <w:rPr>
          <w:lang w:val="ru-RU" w:eastAsia="ru-RU" w:bidi="ru-RU"/>
          <w:w w:val="100"/>
          <w:spacing w:val="0"/>
          <w:color w:val="000000"/>
          <w:position w:val="0"/>
        </w:rPr>
        <w:t xml:space="preserve"> пенициллинами или цефалоспоринами в сочетании с аминогликозидами с по</w:t>
        <w:softHyphen/>
        <w:t>следующей ее коррекцией после получения результатов ми</w:t>
        <w:softHyphen/>
        <w:t>кробиологического исследования.</w:t>
      </w:r>
    </w:p>
    <w:p>
      <w:pPr>
        <w:pStyle w:val="Style30"/>
        <w:widowControl w:val="0"/>
        <w:keepNext w:val="0"/>
        <w:keepLines w:val="0"/>
        <w:shd w:val="clear" w:color="auto" w:fill="auto"/>
        <w:bidi w:val="0"/>
        <w:spacing w:before="0" w:after="0"/>
        <w:ind w:left="0" w:right="0" w:firstLine="280"/>
      </w:pPr>
      <w:r>
        <w:rPr>
          <w:rStyle w:val="CharStyle103"/>
        </w:rPr>
        <w:t>Подострый</w:t>
      </w:r>
      <w:r>
        <w:rPr>
          <w:lang w:val="ru-RU" w:eastAsia="ru-RU" w:bidi="ru-RU"/>
          <w:w w:val="100"/>
          <w:spacing w:val="0"/>
          <w:color w:val="000000"/>
          <w:position w:val="0"/>
        </w:rPr>
        <w:t xml:space="preserve"> ИЭ также характеризуется тяжелым течени</w:t>
        <w:softHyphen/>
        <w:t>ем, но лечение может быть отложено на некоторое время, так как возбудителем обычно является низковирулентный комменсал, который редко вызывает септицемию или шок. Однако тяжелые осложнения могут возникнуть и при под</w:t>
        <w:softHyphen/>
        <w:t>остром ИЭ.</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Некоторая отсрочка начала лечения при подостром ИЭ объясняется стремлением получить в течение 2 сут необхо</w:t>
        <w:softHyphen/>
        <w:t>димые для этиотропной химиотерапии данные, а немед</w:t>
        <w:softHyphen/>
        <w:t>ленное эмпирическое применение антибиотиков значи</w:t>
        <w:softHyphen/>
        <w:t>тельно снижает вероятность выделения в последующих ге</w:t>
        <w:softHyphen/>
        <w:t>мокультурах этиологически значимого микроорганизма.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пациентов с ИЭ, ранее уже получавших антибиотики, достаточные для подавления бактериемии, но не для изле</w:t>
        <w:softHyphen/>
        <w:t>чения, несколько дней перерыва могут привести к выявля</w:t>
        <w:softHyphen/>
        <w:t>емой бактериемии. Если клиническое течение ИЭ пред</w:t>
        <w:softHyphen/>
        <w:t>ставляется нетяжелым, то предполагается маловирулентная инфекция, например зеленящие стрептококки. В этом слу</w:t>
        <w:softHyphen/>
        <w:t>чае начинают противострептококковую терапию с последу</w:t>
        <w:softHyphen/>
        <w:t>ющей коррекцией после исследования гемокультур.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Общие принципы ведения ИЭ заключаются в следую</w:t>
        <w:softHyphen/>
        <w:t>щем. При остром ИЭ антибиотики должны быть назначены в максимально ранние сроки. Очень важными являются клинический мониторинг с серийными ЭхоКГ-исследова- ниями и выбором оптимального времени для хирургичес</w:t>
        <w:softHyphen/>
        <w:t>кого вмешательства. Целью операции, если она необходи</w:t>
        <w:softHyphen/>
        <w:t>ма, является удаление инфицированных и некротических тканей клапанного аппарата путем радикального иссечения и реконструкции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Антибиотикотерапия ИЭ в начале лечения чаще носит эмпирический характер, особенно при остром ИЭ, где про</w:t>
        <w:softHyphen/>
        <w:t>медление с назначением антибиотиков быстро приводит к развитию осложнений и в конечном итоге к летальному исходу. При подостром течении ИЭ без сердечной недоста</w:t>
        <w:softHyphen/>
        <w:t>точности можно дождаться результатов посевов крови, что - бы назначить оптимальную терапию. В табл. 17 и 18 пред</w:t>
        <w:softHyphen/>
        <w:t>ставлены варианты лечения ИЭ естественных и искус</w:t>
        <w:softHyphen/>
        <w:t>ственных клапанов в ожидании результатов посевов крови и при установленной этиологии заболевания.</w:t>
      </w:r>
    </w:p>
    <w:p>
      <w:pPr>
        <w:pStyle w:val="Style30"/>
        <w:widowControl w:val="0"/>
        <w:keepNext w:val="0"/>
        <w:keepLines w:val="0"/>
        <w:shd w:val="clear" w:color="auto" w:fill="auto"/>
        <w:bidi w:val="0"/>
        <w:spacing w:before="0" w:after="0"/>
        <w:ind w:left="0" w:right="0" w:firstLine="280"/>
        <w:sectPr>
          <w:type w:val="continuous"/>
          <w:pgSz w:w="11900" w:h="16840"/>
          <w:pgMar w:top="1579" w:left="968" w:right="1045" w:bottom="1805" w:header="0" w:footer="3" w:gutter="0"/>
          <w:rtlGutter w:val="0"/>
          <w:cols w:num="2" w:space="171"/>
          <w:noEndnote/>
          <w:docGrid w:linePitch="360"/>
        </w:sectPr>
      </w:pPr>
      <w:r>
        <w:rPr>
          <w:lang w:val="ru-RU" w:eastAsia="ru-RU" w:bidi="ru-RU"/>
          <w:w w:val="100"/>
          <w:spacing w:val="0"/>
          <w:color w:val="000000"/>
          <w:position w:val="0"/>
        </w:rPr>
        <w:t>Длительность лечения основывается на клинических проявлениях. При подостром течении заболевания лечение лучше начинать после получения результатов посевов кро</w:t>
        <w:softHyphen/>
        <w:t>ви и определения чувствительности микроорганизма. В случае инфекционного эндокардита, сопровождающего</w:t>
        <w:softHyphen/>
        <w:t>ся тяжелым состоянием ребенка, лечение должно быть на</w:t>
        <w:softHyphen/>
        <w:t>чато немедленно, после взятия посевов крови, основываясь на эмпирическом опыте. При остром начале заболевания, наличии в анамнезе внутривенных вливаний, поражении неизмененных клапанов сердца возбудителем обычно яв</w:t>
        <w:softHyphen/>
        <w:t>ляется золотистый стафилококк. Лечение должно начи</w:t>
        <w:softHyphen/>
        <w:t>наться с использования пенициллиназа устойчивых полу-</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60" w:after="60"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476" type="#_x0000_t75" style="position:absolute;margin-left:151.85pt;margin-top:0;width:209.75pt;height:14.9pt;z-index:-251658685;mso-wrap-distance-left:5.pt;mso-wrap-distance-right:5.pt;mso-position-horizontal-relative:margin" wrapcoords="0 0">
            <v:imagedata r:id="rId750" r:href="rId751"/>
            <w10:wrap anchorx="margin"/>
          </v:shape>
        </w:pict>
      </w:r>
    </w:p>
    <w:p>
      <w:pPr>
        <w:widowControl w:val="0"/>
        <w:rPr>
          <w:sz w:val="2"/>
          <w:szCs w:val="2"/>
        </w:rPr>
        <w:sectPr>
          <w:type w:val="continuous"/>
          <w:pgSz w:w="11900" w:h="16840"/>
          <w:pgMar w:top="1468" w:left="893" w:right="1119" w:bottom="192" w:header="0" w:footer="3" w:gutter="0"/>
          <w:rtlGutter w:val="0"/>
          <w:cols w:space="720"/>
          <w:noEndnote/>
          <w:docGrid w:linePitch="360"/>
        </w:sectPr>
      </w:pPr>
    </w:p>
    <w:tbl>
      <w:tblPr>
        <w:tblOverlap w:val="never"/>
        <w:tblLayout w:type="fixed"/>
        <w:jc w:val="left"/>
      </w:tblPr>
      <w:tblGrid>
        <w:gridCol w:w="2554"/>
        <w:gridCol w:w="4378"/>
        <w:gridCol w:w="2981"/>
      </w:tblGrid>
      <w:tr>
        <w:trPr>
          <w:trHeight w:val="240" w:hRule="exact"/>
        </w:trPr>
        <w:tc>
          <w:tcPr>
            <w:shd w:val="clear" w:color="auto" w:fill="FFFFFF"/>
            <w:tcBorders>
              <w:left w:val="single" w:sz="4"/>
              <w:top w:val="single" w:sz="4"/>
            </w:tcBorders>
            <w:vAlign w:val="bottom"/>
          </w:tcPr>
          <w:p>
            <w:pPr>
              <w:pStyle w:val="Style30"/>
              <w:framePr w:w="9912" w:h="5534" w:hSpace="9812" w:wrap="notBeside" w:vAnchor="text" w:hAnchor="text" w:y="471"/>
              <w:widowControl w:val="0"/>
              <w:keepNext w:val="0"/>
              <w:keepLines w:val="0"/>
              <w:shd w:val="clear" w:color="auto" w:fill="auto"/>
              <w:bidi w:val="0"/>
              <w:spacing w:before="0" w:after="0" w:line="160" w:lineRule="exact"/>
              <w:ind w:left="0" w:right="0" w:firstLine="0"/>
            </w:pPr>
            <w:r>
              <w:rPr>
                <w:rStyle w:val="CharStyle102"/>
              </w:rPr>
              <w:t>Дополнительные условия</w:t>
            </w:r>
          </w:p>
        </w:tc>
        <w:tc>
          <w:tcPr>
            <w:shd w:val="clear" w:color="auto" w:fill="FFFFFF"/>
            <w:tcBorders>
              <w:left w:val="single" w:sz="4"/>
              <w:top w:val="single" w:sz="4"/>
            </w:tcBorders>
            <w:vAlign w:val="bottom"/>
          </w:tcPr>
          <w:p>
            <w:pPr>
              <w:pStyle w:val="Style30"/>
              <w:framePr w:w="9912" w:h="5534" w:hSpace="9812" w:wrap="notBeside" w:vAnchor="text" w:hAnchor="text" w:y="471"/>
              <w:widowControl w:val="0"/>
              <w:keepNext w:val="0"/>
              <w:keepLines w:val="0"/>
              <w:shd w:val="clear" w:color="auto" w:fill="auto"/>
              <w:bidi w:val="0"/>
              <w:spacing w:before="0" w:after="0" w:line="160" w:lineRule="exact"/>
              <w:ind w:left="0" w:right="0" w:firstLine="0"/>
            </w:pPr>
            <w:r>
              <w:rPr>
                <w:rStyle w:val="CharStyle102"/>
              </w:rPr>
              <w:t>Стандартная терапия</w:t>
            </w:r>
          </w:p>
        </w:tc>
        <w:tc>
          <w:tcPr>
            <w:shd w:val="clear" w:color="auto" w:fill="FFFFFF"/>
            <w:tcBorders>
              <w:left w:val="single" w:sz="4"/>
              <w:right w:val="single" w:sz="4"/>
              <w:top w:val="single" w:sz="4"/>
            </w:tcBorders>
            <w:vAlign w:val="bottom"/>
          </w:tcPr>
          <w:p>
            <w:pPr>
              <w:pStyle w:val="Style30"/>
              <w:framePr w:w="9912" w:h="5534" w:hSpace="9812" w:wrap="notBeside" w:vAnchor="text" w:hAnchor="text" w:y="471"/>
              <w:widowControl w:val="0"/>
              <w:keepNext w:val="0"/>
              <w:keepLines w:val="0"/>
              <w:shd w:val="clear" w:color="auto" w:fill="auto"/>
              <w:bidi w:val="0"/>
              <w:spacing w:before="0" w:after="0" w:line="160" w:lineRule="exact"/>
              <w:ind w:left="0" w:right="0" w:firstLine="0"/>
            </w:pPr>
            <w:r>
              <w:rPr>
                <w:rStyle w:val="CharStyle102"/>
              </w:rPr>
              <w:t>Альтернативная терапия</w:t>
            </w:r>
          </w:p>
        </w:tc>
      </w:tr>
      <w:tr>
        <w:trPr>
          <w:trHeight w:val="816" w:hRule="exact"/>
        </w:trPr>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60" w:lineRule="exact"/>
              <w:ind w:left="0" w:right="0" w:firstLine="0"/>
            </w:pPr>
            <w:r>
              <w:rPr>
                <w:rStyle w:val="CharStyle102"/>
              </w:rPr>
              <w:t>До выделения возбудителя</w:t>
            </w:r>
          </w:p>
        </w:tc>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rPr>
              <w:t>Бензилпенициллин 20 млн ЕД/день (или ампициллин 12 г/день) в/в непрерывно или дозированно каждые 4 ч + оксациллин 2 г каждые 4 ч в/в + гентамицин 1 мг/кг каждые 8 ч в/м, в/в</w:t>
            </w:r>
          </w:p>
        </w:tc>
        <w:tc>
          <w:tcPr>
            <w:shd w:val="clear" w:color="auto" w:fill="FFFFFF"/>
            <w:tcBorders>
              <w:left w:val="single" w:sz="4"/>
              <w:righ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rPr>
              <w:t>Ванкомицин 15 мг/кг* каждые 12 ч в/в (не более 2 г/день) + гентамицин 1 мг/кг* каждые 8 ч в/м или в/в</w:t>
            </w:r>
          </w:p>
        </w:tc>
      </w:tr>
      <w:tr>
        <w:trPr>
          <w:trHeight w:val="835" w:hRule="exact"/>
        </w:trPr>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60" w:lineRule="exact"/>
              <w:ind w:left="0" w:right="0" w:firstLine="0"/>
            </w:pPr>
            <w:r>
              <w:rPr>
                <w:rStyle w:val="CharStyle102"/>
                <w:lang w:val="en-US" w:eastAsia="en-US" w:bidi="en-US"/>
              </w:rPr>
              <w:t xml:space="preserve">S.viridans, S.bovis, </w:t>
            </w:r>
            <w:r>
              <w:rPr>
                <w:rStyle w:val="CharStyle102"/>
              </w:rPr>
              <w:t xml:space="preserve">пенициллин </w:t>
            </w:r>
            <w:r>
              <w:rPr>
                <w:rStyle w:val="CharStyle102"/>
                <w:lang w:val="en-US" w:eastAsia="en-US" w:bidi="en-US"/>
              </w:rPr>
              <w:t>(S)</w:t>
            </w:r>
          </w:p>
        </w:tc>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rPr>
              <w:t>Бензилпенициллин 12-18 млн ЕД/день в/в + гентамицин в/в (дозы см. выше) 2 нед., или бензилпенициллин 18 млн ЕД/день в/в 4 нед., или цефтриаксон 2 г/день в/в 4 нед.</w:t>
            </w:r>
          </w:p>
        </w:tc>
        <w:tc>
          <w:tcPr>
            <w:shd w:val="clear" w:color="auto" w:fill="FFFFFF"/>
            <w:tcBorders>
              <w:left w:val="single" w:sz="4"/>
              <w:righ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7" w:lineRule="exact"/>
              <w:ind w:left="0" w:right="0" w:firstLine="0"/>
            </w:pPr>
            <w:r>
              <w:rPr>
                <w:rStyle w:val="CharStyle102"/>
              </w:rPr>
              <w:t>Цефтриаксон 2 г/день в/в + гентамицин в/в (дозы см. выше) 2 нед. При аллергии на пенициллин и цефтриаксон — ван- комицин (дозы см. выше) 4 нед.</w:t>
            </w:r>
          </w:p>
        </w:tc>
      </w:tr>
      <w:tr>
        <w:trPr>
          <w:trHeight w:val="432" w:hRule="exact"/>
        </w:trPr>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60" w:lineRule="exact"/>
              <w:ind w:left="0" w:right="0" w:firstLine="0"/>
            </w:pPr>
            <w:r>
              <w:rPr>
                <w:rStyle w:val="CharStyle102"/>
                <w:lang w:val="en-US" w:eastAsia="en-US" w:bidi="en-US"/>
              </w:rPr>
              <w:t xml:space="preserve">S.viridans, S.bovis, </w:t>
            </w:r>
            <w:r>
              <w:rPr>
                <w:rStyle w:val="CharStyle102"/>
              </w:rPr>
              <w:t xml:space="preserve">пенициллин </w:t>
            </w:r>
            <w:r>
              <w:rPr>
                <w:rStyle w:val="CharStyle102"/>
                <w:lang w:val="en-US" w:eastAsia="en-US" w:bidi="en-US"/>
              </w:rPr>
              <w:t>(I)</w:t>
            </w:r>
          </w:p>
        </w:tc>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rPr>
              <w:t>Бензилпенициллин 18 млн ЕД/день в/в 4 нед. + гентамицин в/в 2 нед.</w:t>
            </w:r>
          </w:p>
        </w:tc>
        <w:tc>
          <w:tcPr>
            <w:shd w:val="clear" w:color="auto" w:fill="FFFFFF"/>
            <w:tcBorders>
              <w:left w:val="single" w:sz="4"/>
              <w:righ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60" w:lineRule="exact"/>
              <w:ind w:left="0" w:right="0" w:firstLine="0"/>
            </w:pPr>
            <w:r>
              <w:rPr>
                <w:rStyle w:val="CharStyle102"/>
              </w:rPr>
              <w:t>Ванкомицин (дозы см. выше) 4 нед.</w:t>
            </w:r>
          </w:p>
        </w:tc>
      </w:tr>
      <w:tr>
        <w:trPr>
          <w:trHeight w:val="432" w:hRule="exact"/>
        </w:trPr>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lang w:val="en-US" w:eastAsia="en-US" w:bidi="en-US"/>
              </w:rPr>
              <w:t xml:space="preserve">Enterococcus, </w:t>
            </w:r>
            <w:r>
              <w:rPr>
                <w:rStyle w:val="CharStyle102"/>
              </w:rPr>
              <w:t xml:space="preserve">пенициллин </w:t>
            </w:r>
            <w:r>
              <w:rPr>
                <w:rStyle w:val="CharStyle102"/>
                <w:lang w:val="en-US" w:eastAsia="en-US" w:bidi="en-US"/>
              </w:rPr>
              <w:t xml:space="preserve">(S), </w:t>
            </w:r>
            <w:r>
              <w:rPr>
                <w:rStyle w:val="CharStyle102"/>
              </w:rPr>
              <w:t xml:space="preserve">гентамицин </w:t>
            </w:r>
            <w:r>
              <w:rPr>
                <w:rStyle w:val="CharStyle102"/>
                <w:lang w:val="en-US" w:eastAsia="en-US" w:bidi="en-US"/>
              </w:rPr>
              <w:t>(S)</w:t>
            </w:r>
          </w:p>
        </w:tc>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rPr>
              <w:t>Бензилпенициллин 18 млн ЕД/день (или ампициллин 12 г/день) в/в + гентамицин в/в 4-6 нед.</w:t>
            </w:r>
          </w:p>
        </w:tc>
        <w:tc>
          <w:tcPr>
            <w:shd w:val="clear" w:color="auto" w:fill="FFFFFF"/>
            <w:tcBorders>
              <w:left w:val="single" w:sz="4"/>
              <w:righ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60" w:lineRule="exact"/>
              <w:ind w:left="0" w:right="0" w:firstLine="0"/>
            </w:pPr>
            <w:r>
              <w:rPr>
                <w:rStyle w:val="CharStyle102"/>
              </w:rPr>
              <w:t>Ванкомицин + гентамицин 4-6 нед.</w:t>
            </w:r>
          </w:p>
        </w:tc>
      </w:tr>
      <w:tr>
        <w:trPr>
          <w:trHeight w:val="442" w:hRule="exact"/>
        </w:trPr>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lang w:val="en-US" w:eastAsia="en-US" w:bidi="en-US"/>
              </w:rPr>
              <w:t xml:space="preserve">Enterococcus, </w:t>
            </w:r>
            <w:r>
              <w:rPr>
                <w:rStyle w:val="CharStyle102"/>
              </w:rPr>
              <w:t xml:space="preserve">пенициллин </w:t>
            </w:r>
            <w:r>
              <w:rPr>
                <w:rStyle w:val="CharStyle102"/>
                <w:lang w:val="en-US" w:eastAsia="en-US" w:bidi="en-US"/>
              </w:rPr>
              <w:t xml:space="preserve">(S), </w:t>
            </w:r>
            <w:r>
              <w:rPr>
                <w:rStyle w:val="CharStyle102"/>
              </w:rPr>
              <w:t xml:space="preserve">гентамицин </w:t>
            </w:r>
            <w:r>
              <w:rPr>
                <w:rStyle w:val="CharStyle102"/>
                <w:lang w:val="en-US" w:eastAsia="en-US" w:bidi="en-US"/>
              </w:rPr>
              <w:t>(R)</w:t>
            </w:r>
          </w:p>
        </w:tc>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rPr>
              <w:t>Бензилпенициллин 18-30 млн ЕД/день в/в 8-12 нед. или ам</w:t>
              <w:softHyphen/>
              <w:t>пициллин 12 г/день в/в 8-12 нед. (излечение в 50% случаев)</w:t>
            </w:r>
          </w:p>
        </w:tc>
        <w:tc>
          <w:tcPr>
            <w:shd w:val="clear" w:color="auto" w:fill="FFFFFF"/>
            <w:tcBorders>
              <w:left w:val="single" w:sz="4"/>
              <w:righ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rPr>
              <w:t>При неэффективности пенициллиноте</w:t>
              <w:softHyphen/>
              <w:t>рапии проводят хирургическое лечение</w:t>
            </w:r>
          </w:p>
        </w:tc>
      </w:tr>
      <w:tr>
        <w:trPr>
          <w:trHeight w:val="432" w:hRule="exact"/>
        </w:trPr>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lang w:val="en-US" w:eastAsia="en-US" w:bidi="en-US"/>
              </w:rPr>
              <w:t xml:space="preserve">Enterococcus, </w:t>
            </w:r>
            <w:r>
              <w:rPr>
                <w:rStyle w:val="CharStyle102"/>
              </w:rPr>
              <w:t xml:space="preserve">пенициллин </w:t>
            </w:r>
            <w:r>
              <w:rPr>
                <w:rStyle w:val="CharStyle102"/>
                <w:lang w:val="en-US" w:eastAsia="en-US" w:bidi="en-US"/>
              </w:rPr>
              <w:t xml:space="preserve">(R), </w:t>
            </w:r>
            <w:r>
              <w:rPr>
                <w:rStyle w:val="CharStyle102"/>
              </w:rPr>
              <w:t xml:space="preserve">гентамицин </w:t>
            </w:r>
            <w:r>
              <w:rPr>
                <w:rStyle w:val="CharStyle102"/>
                <w:lang w:val="en-US" w:eastAsia="en-US" w:bidi="en-US"/>
              </w:rPr>
              <w:t>(S)</w:t>
            </w:r>
          </w:p>
        </w:tc>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rPr>
              <w:t>Ванкомицин 15 мг/кг* каждые 12 ч в/в (не более 2 г/день) + гентамицин 1 мг/кг* каждые 8 ч в/в 4-6 нед.</w:t>
            </w:r>
          </w:p>
        </w:tc>
        <w:tc>
          <w:tcPr>
            <w:shd w:val="clear" w:color="auto" w:fill="FFFFFF"/>
            <w:tcBorders>
              <w:left w:val="single" w:sz="4"/>
              <w:right w:val="single" w:sz="4"/>
              <w:top w:val="single" w:sz="4"/>
            </w:tcBorders>
            <w:vAlign w:val="top"/>
          </w:tcPr>
          <w:p>
            <w:pPr>
              <w:framePr w:w="9912" w:h="5534" w:hSpace="9812" w:wrap="notBeside" w:vAnchor="text" w:hAnchor="text" w:y="471"/>
              <w:widowControl w:val="0"/>
              <w:rPr>
                <w:sz w:val="10"/>
                <w:szCs w:val="10"/>
              </w:rPr>
            </w:pPr>
          </w:p>
        </w:tc>
      </w:tr>
      <w:tr>
        <w:trPr>
          <w:trHeight w:val="634" w:hRule="exact"/>
        </w:trPr>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60" w:lineRule="exact"/>
              <w:ind w:left="0" w:right="0" w:firstLine="0"/>
            </w:pPr>
            <w:r>
              <w:rPr>
                <w:rStyle w:val="CharStyle102"/>
                <w:lang w:val="en-US" w:eastAsia="en-US" w:bidi="en-US"/>
              </w:rPr>
              <w:t>S.aureus (MS)</w:t>
            </w:r>
          </w:p>
        </w:tc>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rPr>
              <w:t>Оксациллин 2 г каждые 4 ч в/в х 4-6 нед. + гентамицин в/в 3-5 дней (у наркоманов 2 нед.)</w:t>
            </w:r>
          </w:p>
        </w:tc>
        <w:tc>
          <w:tcPr>
            <w:shd w:val="clear" w:color="auto" w:fill="FFFFFF"/>
            <w:tcBorders>
              <w:left w:val="single" w:sz="4"/>
              <w:righ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rPr>
              <w:t>Цефазолин 2 г каждые 8 ч в/в 4-6 нед. + гентамицин в/в 3-5 дней, или ванкоми- цин (дозы см. выше) 4-6 нед.</w:t>
            </w:r>
          </w:p>
        </w:tc>
      </w:tr>
      <w:tr>
        <w:trPr>
          <w:trHeight w:val="629" w:hRule="exact"/>
        </w:trPr>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60" w:lineRule="exact"/>
              <w:ind w:left="0" w:right="0" w:firstLine="0"/>
            </w:pPr>
            <w:r>
              <w:rPr>
                <w:rStyle w:val="CharStyle102"/>
                <w:lang w:val="en-US" w:eastAsia="en-US" w:bidi="en-US"/>
              </w:rPr>
              <w:t>S.aureus (MR)</w:t>
            </w:r>
          </w:p>
        </w:tc>
        <w:tc>
          <w:tcPr>
            <w:shd w:val="clear" w:color="auto" w:fill="FFFFFF"/>
            <w:tcBorders>
              <w:left w:val="single" w:sz="4"/>
              <w:top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rPr>
              <w:t xml:space="preserve">Ванкомицин (дозы см. выше) 4-6 нед. Добавление рифам- пицина не имеет преимуществ перед монотерапией ванко- мицином </w:t>
            </w:r>
            <w:r>
              <w:rPr>
                <w:rStyle w:val="CharStyle102"/>
                <w:lang w:val="en-US" w:eastAsia="en-US" w:bidi="en-US"/>
              </w:rPr>
              <w:t xml:space="preserve">(Arch. Intern. Med. </w:t>
            </w:r>
            <w:r>
              <w:rPr>
                <w:rStyle w:val="CharStyle102"/>
              </w:rPr>
              <w:t>1991; 115:674)</w:t>
            </w:r>
          </w:p>
        </w:tc>
        <w:tc>
          <w:tcPr>
            <w:shd w:val="clear" w:color="auto" w:fill="FFFFFF"/>
            <w:tcBorders>
              <w:left w:val="single" w:sz="4"/>
              <w:right w:val="single" w:sz="4"/>
              <w:top w:val="single" w:sz="4"/>
            </w:tcBorders>
            <w:vAlign w:val="top"/>
          </w:tcPr>
          <w:p>
            <w:pPr>
              <w:framePr w:w="9912" w:h="5534" w:hSpace="9812" w:wrap="notBeside" w:vAnchor="text" w:hAnchor="text" w:y="471"/>
              <w:widowControl w:val="0"/>
              <w:rPr>
                <w:sz w:val="10"/>
                <w:szCs w:val="10"/>
              </w:rPr>
            </w:pPr>
          </w:p>
        </w:tc>
      </w:tr>
      <w:tr>
        <w:trPr>
          <w:trHeight w:val="643" w:hRule="exact"/>
        </w:trPr>
        <w:tc>
          <w:tcPr>
            <w:shd w:val="clear" w:color="auto" w:fill="FFFFFF"/>
            <w:tcBorders>
              <w:left w:val="single" w:sz="4"/>
              <w:top w:val="single" w:sz="4"/>
              <w:bottom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60" w:lineRule="exact"/>
              <w:ind w:left="0" w:right="0" w:firstLine="0"/>
            </w:pPr>
            <w:r>
              <w:rPr>
                <w:rStyle w:val="CharStyle102"/>
              </w:rPr>
              <w:t>НАСЕК</w:t>
            </w:r>
          </w:p>
        </w:tc>
        <w:tc>
          <w:tcPr>
            <w:shd w:val="clear" w:color="auto" w:fill="FFFFFF"/>
            <w:tcBorders>
              <w:left w:val="single" w:sz="4"/>
              <w:top w:val="single" w:sz="4"/>
              <w:bottom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60" w:lineRule="exact"/>
              <w:ind w:left="0" w:right="0" w:firstLine="0"/>
            </w:pPr>
            <w:r>
              <w:rPr>
                <w:rStyle w:val="CharStyle102"/>
              </w:rPr>
              <w:t>Цефтриаксон 2 г/день в/в 4 нед.</w:t>
            </w:r>
          </w:p>
        </w:tc>
        <w:tc>
          <w:tcPr>
            <w:shd w:val="clear" w:color="auto" w:fill="FFFFFF"/>
            <w:tcBorders>
              <w:left w:val="single" w:sz="4"/>
              <w:right w:val="single" w:sz="4"/>
              <w:top w:val="single" w:sz="4"/>
              <w:bottom w:val="single" w:sz="4"/>
            </w:tcBorders>
            <w:vAlign w:val="top"/>
          </w:tcPr>
          <w:p>
            <w:pPr>
              <w:pStyle w:val="Style30"/>
              <w:framePr w:w="9912" w:h="5534" w:hSpace="9812" w:wrap="notBeside" w:vAnchor="text" w:hAnchor="text" w:y="471"/>
              <w:widowControl w:val="0"/>
              <w:keepNext w:val="0"/>
              <w:keepLines w:val="0"/>
              <w:shd w:val="clear" w:color="auto" w:fill="auto"/>
              <w:bidi w:val="0"/>
              <w:spacing w:before="0" w:after="0" w:line="192" w:lineRule="exact"/>
              <w:ind w:left="0" w:right="0" w:firstLine="0"/>
            </w:pPr>
            <w:r>
              <w:rPr>
                <w:rStyle w:val="CharStyle102"/>
              </w:rPr>
              <w:t>Ампициллин 12 г/день в/в (непрерывно или дозированно каждые 4 ч) + гента</w:t>
              <w:softHyphen/>
              <w:t>мицин в/в, в/м (дозы см. выше) 4 нед.</w:t>
            </w:r>
          </w:p>
        </w:tc>
      </w:tr>
    </w:tbl>
    <w:p>
      <w:pPr>
        <w:pStyle w:val="Style96"/>
        <w:framePr w:w="7714" w:h="209" w:wrap="notBeside" w:vAnchor="text" w:hAnchor="text" w:x="678" w:y="144"/>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Алгоритмы антимикробной терапии инфекционного эндокардита естественных клапанов</w:t>
      </w:r>
    </w:p>
    <w:p>
      <w:pPr>
        <w:pStyle w:val="Style139"/>
        <w:framePr w:w="917" w:h="238" w:hSpace="5328" w:wrap="notBeside" w:vAnchor="text" w:hAnchor="text" w:x="8996" w:y="-4"/>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Таблица 17</w:t>
      </w:r>
    </w:p>
    <w:p>
      <w:pPr>
        <w:pStyle w:val="Style96"/>
        <w:framePr w:w="9874" w:h="710" w:wrap="notBeside" w:vAnchor="text" w:hAnchor="text" w:y="5952"/>
        <w:widowControl w:val="0"/>
        <w:keepNext w:val="0"/>
        <w:keepLines w:val="0"/>
        <w:shd w:val="clear" w:color="auto" w:fill="auto"/>
        <w:bidi w:val="0"/>
        <w:jc w:val="both"/>
        <w:spacing w:before="0" w:after="0" w:line="216" w:lineRule="exact"/>
        <w:ind w:left="0" w:right="0" w:firstLine="280"/>
      </w:pPr>
      <w:r>
        <w:rPr>
          <w:lang w:val="ru-RU" w:eastAsia="ru-RU" w:bidi="ru-RU"/>
          <w:w w:val="100"/>
          <w:spacing w:val="0"/>
          <w:color w:val="000000"/>
          <w:position w:val="0"/>
        </w:rPr>
        <w:t xml:space="preserve">*Под контролем клиренса креатинина (&gt;80 мл/мин) </w:t>
      </w:r>
      <w:r>
        <w:rPr>
          <w:lang w:val="en-US" w:eastAsia="en-US" w:bidi="en-US"/>
          <w:w w:val="100"/>
          <w:spacing w:val="0"/>
          <w:color w:val="000000"/>
          <w:position w:val="0"/>
        </w:rPr>
        <w:t xml:space="preserve">(S) </w:t>
      </w:r>
      <w:r>
        <w:rPr>
          <w:lang w:val="ru-RU" w:eastAsia="ru-RU" w:bidi="ru-RU"/>
          <w:w w:val="100"/>
          <w:spacing w:val="0"/>
          <w:color w:val="000000"/>
          <w:position w:val="0"/>
        </w:rPr>
        <w:t xml:space="preserve">— чувствительные; (I) — слабочувствительные; </w:t>
      </w:r>
      <w:r>
        <w:rPr>
          <w:lang w:val="en-US" w:eastAsia="en-US" w:bidi="en-US"/>
          <w:w w:val="100"/>
          <w:spacing w:val="0"/>
          <w:color w:val="000000"/>
          <w:position w:val="0"/>
        </w:rPr>
        <w:t xml:space="preserve">(R) </w:t>
      </w:r>
      <w:r>
        <w:rPr>
          <w:lang w:val="ru-RU" w:eastAsia="ru-RU" w:bidi="ru-RU"/>
          <w:w w:val="100"/>
          <w:spacing w:val="0"/>
          <w:color w:val="000000"/>
          <w:position w:val="0"/>
        </w:rPr>
        <w:t>— резис</w:t>
        <w:softHyphen/>
        <w:t xml:space="preserve">тентные; </w:t>
      </w:r>
      <w:r>
        <w:rPr>
          <w:lang w:val="en-US" w:eastAsia="en-US" w:bidi="en-US"/>
          <w:w w:val="100"/>
          <w:spacing w:val="0"/>
          <w:color w:val="000000"/>
          <w:position w:val="0"/>
        </w:rPr>
        <w:t xml:space="preserve">(MS) </w:t>
      </w:r>
      <w:r>
        <w:rPr>
          <w:lang w:val="ru-RU" w:eastAsia="ru-RU" w:bidi="ru-RU"/>
          <w:w w:val="100"/>
          <w:spacing w:val="0"/>
          <w:color w:val="000000"/>
          <w:position w:val="0"/>
        </w:rPr>
        <w:t xml:space="preserve">— метициллинчувствительные; </w:t>
      </w:r>
      <w:r>
        <w:rPr>
          <w:lang w:val="en-US" w:eastAsia="en-US" w:bidi="en-US"/>
          <w:w w:val="100"/>
          <w:spacing w:val="0"/>
          <w:color w:val="000000"/>
          <w:position w:val="0"/>
        </w:rPr>
        <w:t xml:space="preserve">(MR) </w:t>
      </w:r>
      <w:r>
        <w:rPr>
          <w:lang w:val="ru-RU" w:eastAsia="ru-RU" w:bidi="ru-RU"/>
          <w:w w:val="100"/>
          <w:spacing w:val="0"/>
          <w:color w:val="000000"/>
          <w:position w:val="0"/>
        </w:rPr>
        <w:t xml:space="preserve">— метициллинрезистентные; НАСЕК, </w:t>
      </w:r>
      <w:r>
        <w:rPr>
          <w:lang w:val="en-US" w:eastAsia="en-US" w:bidi="en-US"/>
          <w:w w:val="100"/>
          <w:spacing w:val="0"/>
          <w:color w:val="000000"/>
          <w:position w:val="0"/>
        </w:rPr>
        <w:t>H.parainfluenzae, H.aphrophilus, Actinobacillus, Cardiobacterium, Eikenella, Kingella.</w:t>
      </w:r>
    </w:p>
    <w:p>
      <w:pPr>
        <w:widowControl w:val="0"/>
        <w:rPr>
          <w:sz w:val="2"/>
          <w:szCs w:val="2"/>
        </w:rPr>
      </w:pPr>
    </w:p>
    <w:p>
      <w:pPr>
        <w:pStyle w:val="Style92"/>
        <w:widowControl w:val="0"/>
        <w:keepNext/>
        <w:keepLines/>
        <w:shd w:val="clear" w:color="auto" w:fill="auto"/>
        <w:bidi w:val="0"/>
        <w:jc w:val="center"/>
        <w:spacing w:before="110" w:after="0" w:line="180" w:lineRule="exact"/>
        <w:ind w:left="20" w:right="0" w:firstLine="0"/>
      </w:pPr>
      <w:bookmarkStart w:id="496" w:name="bookmark496"/>
      <w:r>
        <w:rPr>
          <w:lang w:val="ru-RU" w:eastAsia="ru-RU" w:bidi="ru-RU"/>
          <w:w w:val="100"/>
          <w:spacing w:val="0"/>
          <w:color w:val="000000"/>
          <w:position w:val="0"/>
        </w:rPr>
        <w:t>Алгоритмы антимикробной терапии инфекционного эндокардита искусственных клапанов</w:t>
      </w:r>
      <w:bookmarkEnd w:id="496"/>
    </w:p>
    <w:p>
      <w:pPr>
        <w:pStyle w:val="Style139"/>
        <w:framePr w:w="9811"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 xml:space="preserve">Таблица </w:t>
      </w:r>
      <w:r>
        <w:rPr>
          <w:lang w:val="en-US" w:eastAsia="en-US" w:bidi="en-US"/>
          <w:w w:val="100"/>
          <w:spacing w:val="0"/>
          <w:color w:val="000000"/>
          <w:position w:val="0"/>
        </w:rPr>
        <w:t>18</w:t>
      </w:r>
    </w:p>
    <w:tbl>
      <w:tblPr>
        <w:tblOverlap w:val="never"/>
        <w:tblLayout w:type="fixed"/>
        <w:jc w:val="center"/>
      </w:tblPr>
      <w:tblGrid>
        <w:gridCol w:w="2030"/>
        <w:gridCol w:w="4483"/>
        <w:gridCol w:w="3298"/>
      </w:tblGrid>
      <w:tr>
        <w:trPr>
          <w:trHeight w:val="240" w:hRule="exact"/>
        </w:trPr>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Дополнительные условия</w:t>
            </w:r>
          </w:p>
        </w:tc>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60" w:lineRule="exact"/>
              <w:ind w:left="0" w:right="0" w:firstLine="0"/>
            </w:pPr>
            <w:r>
              <w:rPr>
                <w:rStyle w:val="CharStyle102"/>
              </w:rPr>
              <w:t>Стандартная терапия</w:t>
            </w:r>
          </w:p>
        </w:tc>
        <w:tc>
          <w:tcPr>
            <w:shd w:val="clear" w:color="auto" w:fill="FFFFFF"/>
            <w:tcBorders>
              <w:left w:val="single" w:sz="4"/>
              <w:right w:val="single" w:sz="4"/>
              <w:top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60" w:lineRule="exact"/>
              <w:ind w:left="0" w:right="0" w:firstLine="0"/>
            </w:pPr>
            <w:r>
              <w:rPr>
                <w:rStyle w:val="CharStyle102"/>
              </w:rPr>
              <w:t>Альтернативная терапия</w:t>
            </w:r>
          </w:p>
        </w:tc>
      </w:tr>
      <w:tr>
        <w:trPr>
          <w:trHeight w:val="432" w:hRule="exact"/>
        </w:trPr>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До выделения возбудителя</w:t>
            </w:r>
          </w:p>
        </w:tc>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 xml:space="preserve">Ванкомицин </w:t>
            </w:r>
            <w:r>
              <w:rPr>
                <w:rStyle w:val="CharStyle102"/>
                <w:lang w:val="en-US" w:eastAsia="en-US" w:bidi="en-US"/>
              </w:rPr>
              <w:t xml:space="preserve">15 </w:t>
            </w:r>
            <w:r>
              <w:rPr>
                <w:rStyle w:val="CharStyle102"/>
              </w:rPr>
              <w:t>мг/кг каждые 12 ч в/в (не более 2 г/день) + рифампицин 600 мг внутрь</w:t>
            </w:r>
          </w:p>
        </w:tc>
        <w:tc>
          <w:tcPr>
            <w:shd w:val="clear" w:color="auto" w:fill="FFFFFF"/>
            <w:tcBorders>
              <w:left w:val="single" w:sz="4"/>
              <w:right w:val="single" w:sz="4"/>
              <w:top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При нарастании сердечной недостаточности решать вопрос о хирургическом лечении</w:t>
            </w:r>
          </w:p>
        </w:tc>
      </w:tr>
      <w:tr>
        <w:trPr>
          <w:trHeight w:val="634" w:hRule="exact"/>
        </w:trPr>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S.epidermidis</w:t>
            </w:r>
          </w:p>
        </w:tc>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Ванкомицин (дозы см. выше) + рифампицин 300 мг каждые 8 ч внутрь 6 нед. + гентамицин 1 мг/кг каждые 8 ч в/в 2 нед.</w:t>
            </w:r>
          </w:p>
        </w:tc>
        <w:tc>
          <w:tcPr>
            <w:shd w:val="clear" w:color="auto" w:fill="FFFFFF"/>
            <w:tcBorders>
              <w:left w:val="single" w:sz="4"/>
              <w:right w:val="single" w:sz="4"/>
              <w:top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 xml:space="preserve">Если </w:t>
            </w:r>
            <w:r>
              <w:rPr>
                <w:rStyle w:val="CharStyle102"/>
                <w:lang w:val="en-US" w:eastAsia="en-US" w:bidi="en-US"/>
              </w:rPr>
              <w:t xml:space="preserve">in vitro </w:t>
            </w:r>
            <w:r>
              <w:rPr>
                <w:rStyle w:val="CharStyle102"/>
              </w:rPr>
              <w:t>стафилококк чувствителен к метициллину, ванкомицин заменяют на оксациллин (2 г каждые 4 ч в/в)</w:t>
            </w:r>
          </w:p>
        </w:tc>
      </w:tr>
      <w:tr>
        <w:trPr>
          <w:trHeight w:val="432" w:hRule="exact"/>
        </w:trPr>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S.aureus (MS)</w:t>
            </w:r>
          </w:p>
        </w:tc>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Оксациллин 2 г каждые 4 ч в/в + рифампицин 300 мг каждые 8 ч внутрь 6 нед. + гентамицин 1 мг/кг каждые 8 ч в/в 2 нед.</w:t>
            </w:r>
          </w:p>
        </w:tc>
        <w:tc>
          <w:tcPr>
            <w:shd w:val="clear" w:color="auto" w:fill="FFFFFF"/>
            <w:tcBorders>
              <w:left w:val="single" w:sz="4"/>
              <w:right w:val="single" w:sz="4"/>
              <w:top w:val="single" w:sz="4"/>
            </w:tcBorders>
            <w:vAlign w:val="top"/>
          </w:tcPr>
          <w:p>
            <w:pPr>
              <w:framePr w:w="9811" w:wrap="notBeside" w:vAnchor="text" w:hAnchor="text" w:xAlign="center" w:y="1"/>
              <w:widowControl w:val="0"/>
              <w:rPr>
                <w:sz w:val="10"/>
                <w:szCs w:val="10"/>
              </w:rPr>
            </w:pPr>
          </w:p>
        </w:tc>
      </w:tr>
      <w:tr>
        <w:trPr>
          <w:trHeight w:val="437" w:hRule="exact"/>
        </w:trPr>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S.aureus (MR)</w:t>
            </w:r>
          </w:p>
        </w:tc>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Ванкомицин в/в + рифампицин внутрь 6 нед. + гентамицин в/в 2 нед. (дозы см. выше)</w:t>
            </w:r>
          </w:p>
        </w:tc>
        <w:tc>
          <w:tcPr>
            <w:shd w:val="clear" w:color="auto" w:fill="FFFFFF"/>
            <w:tcBorders>
              <w:left w:val="single" w:sz="4"/>
              <w:right w:val="single" w:sz="4"/>
              <w:top w:val="single" w:sz="4"/>
            </w:tcBorders>
            <w:vAlign w:val="top"/>
          </w:tcPr>
          <w:p>
            <w:pPr>
              <w:framePr w:w="9811" w:wrap="notBeside" w:vAnchor="text" w:hAnchor="text" w:xAlign="center" w:y="1"/>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S.viridans, Enterococcus</w:t>
            </w:r>
          </w:p>
        </w:tc>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60" w:lineRule="exact"/>
              <w:ind w:left="0" w:right="0" w:firstLine="0"/>
            </w:pPr>
            <w:r>
              <w:rPr>
                <w:rStyle w:val="CharStyle102"/>
              </w:rPr>
              <w:t>См. таблицу 1.</w:t>
            </w:r>
          </w:p>
        </w:tc>
        <w:tc>
          <w:tcPr>
            <w:shd w:val="clear" w:color="auto" w:fill="FFFFFF"/>
            <w:tcBorders>
              <w:left w:val="single" w:sz="4"/>
              <w:right w:val="single" w:sz="4"/>
              <w:top w:val="single" w:sz="4"/>
            </w:tcBorders>
            <w:vAlign w:val="top"/>
          </w:tcPr>
          <w:p>
            <w:pPr>
              <w:framePr w:w="9811" w:wrap="notBeside" w:vAnchor="text" w:hAnchor="text" w:xAlign="center" w:y="1"/>
              <w:widowControl w:val="0"/>
              <w:rPr>
                <w:sz w:val="10"/>
                <w:szCs w:val="10"/>
              </w:rPr>
            </w:pPr>
          </w:p>
        </w:tc>
      </w:tr>
      <w:tr>
        <w:trPr>
          <w:trHeight w:val="811" w:hRule="exact"/>
        </w:trPr>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Enterobacteriacea</w:t>
            </w:r>
          </w:p>
        </w:tc>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В/в аминогликозиды</w:t>
            </w:r>
            <w:r>
              <w:rPr>
                <w:rStyle w:val="CharStyle102"/>
                <w:vertAlign w:val="superscript"/>
              </w:rPr>
              <w:t>1</w:t>
            </w:r>
            <w:r>
              <w:rPr>
                <w:rStyle w:val="CharStyle102"/>
              </w:rPr>
              <w:t xml:space="preserve"> + антисинегнойные пенициллины</w:t>
            </w:r>
            <w:r>
              <w:rPr>
                <w:rStyle w:val="CharStyle102"/>
                <w:vertAlign w:val="superscript"/>
              </w:rPr>
              <w:t xml:space="preserve">2 </w:t>
            </w:r>
            <w:r>
              <w:rPr>
                <w:rStyle w:val="CharStyle102"/>
              </w:rPr>
              <w:t>или цефтриаксон 2 г/сут., или ципрофлоксацин 400 мг каж</w:t>
              <w:softHyphen/>
              <w:t>дые 12 ч, или тиенам (или меропенем) 0,5 г каждые 6 ч. Про</w:t>
              <w:softHyphen/>
              <w:t>должительность лечения не менее 4-6 нед.</w:t>
            </w:r>
          </w:p>
        </w:tc>
        <w:tc>
          <w:tcPr>
            <w:shd w:val="clear" w:color="auto" w:fill="FFFFFF"/>
            <w:tcBorders>
              <w:left w:val="single" w:sz="4"/>
              <w:right w:val="single" w:sz="4"/>
              <w:top w:val="single" w:sz="4"/>
            </w:tcBorders>
            <w:vAlign w:val="top"/>
          </w:tcPr>
          <w:p>
            <w:pPr>
              <w:framePr w:w="9811" w:wrap="notBeside" w:vAnchor="text" w:hAnchor="text" w:xAlign="center" w:y="1"/>
              <w:widowControl w:val="0"/>
              <w:rPr>
                <w:sz w:val="10"/>
                <w:szCs w:val="10"/>
              </w:rPr>
            </w:pPr>
          </w:p>
        </w:tc>
      </w:tr>
      <w:tr>
        <w:trPr>
          <w:trHeight w:val="1589" w:hRule="exact"/>
        </w:trPr>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P.aeruginosa</w:t>
            </w:r>
          </w:p>
        </w:tc>
        <w:tc>
          <w:tcPr>
            <w:shd w:val="clear" w:color="auto" w:fill="FFFFFF"/>
            <w:tcBorders>
              <w:left w:val="single" w:sz="4"/>
              <w:top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В/в тобрамицин 2 мг/кг — ударная доза, затем 1,7 мг/кг каж</w:t>
              <w:softHyphen/>
              <w:t>дые 8 ч (или до 7 мг/кг/день однократно) + цефтазидим (или цефепим) 2 г каждые 12 ч, или антисинегнойные пеницилли- ны, или тиенам (или меропенем) 0,5 г каждые 6 ч. Антибиоти</w:t>
              <w:softHyphen/>
              <w:t>котерапию необходимо сочетать с хирургическим лечением</w:t>
            </w:r>
          </w:p>
        </w:tc>
        <w:tc>
          <w:tcPr>
            <w:shd w:val="clear" w:color="auto" w:fill="FFFFFF"/>
            <w:tcBorders>
              <w:left w:val="single" w:sz="4"/>
              <w:right w:val="single" w:sz="4"/>
              <w:top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Теоретически возможна замена тобрамицина на ципрофлоксацин (400 мг каждые 12 ч в/в), однако клинических наблюдений недоста</w:t>
              <w:softHyphen/>
              <w:t>точно. Добавление рифампицина (600 мг каждые 8 ч внутрь, к комбинации тобрамици</w:t>
              <w:softHyphen/>
              <w:t>на с антисинегнойными пенициллинами уси</w:t>
              <w:softHyphen/>
              <w:t xml:space="preserve">ливает синергический эффект </w:t>
            </w:r>
            <w:r>
              <w:rPr>
                <w:rStyle w:val="CharStyle102"/>
                <w:lang w:val="en-US" w:eastAsia="en-US" w:bidi="en-US"/>
              </w:rPr>
              <w:t xml:space="preserve">(Antimicrob. Agents Chemother. </w:t>
            </w:r>
            <w:r>
              <w:rPr>
                <w:rStyle w:val="CharStyle102"/>
              </w:rPr>
              <w:t>1992; 36: 620-5)</w:t>
            </w:r>
          </w:p>
        </w:tc>
      </w:tr>
      <w:tr>
        <w:trPr>
          <w:trHeight w:val="638" w:hRule="exact"/>
        </w:trPr>
        <w:tc>
          <w:tcPr>
            <w:shd w:val="clear" w:color="auto" w:fill="FFFFFF"/>
            <w:tcBorders>
              <w:left w:val="single" w:sz="4"/>
              <w:top w:val="single" w:sz="4"/>
              <w:bottom w:val="single" w:sz="4"/>
            </w:tcBorders>
            <w:vAlign w:val="top"/>
          </w:tcPr>
          <w:p>
            <w:pPr>
              <w:pStyle w:val="Style30"/>
              <w:framePr w:w="9811"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Candida, Aspergillus</w:t>
            </w:r>
          </w:p>
        </w:tc>
        <w:tc>
          <w:tcPr>
            <w:shd w:val="clear" w:color="auto" w:fill="FFFFFF"/>
            <w:tcBorders>
              <w:left w:val="single" w:sz="4"/>
              <w:top w:val="single" w:sz="4"/>
              <w:bottom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Амфотерицин В 0,6 мг/кг/день в/в 7 дней, затем 0,8 мг/кг/день 2 раза в нед. 6-10 нед. после операции) + флю- коназол 200 мг/день в/в не менее 2 нед.</w:t>
            </w:r>
          </w:p>
        </w:tc>
        <w:tc>
          <w:tcPr>
            <w:shd w:val="clear" w:color="auto" w:fill="FFFFFF"/>
            <w:tcBorders>
              <w:left w:val="single" w:sz="4"/>
              <w:right w:val="single" w:sz="4"/>
              <w:top w:val="single" w:sz="4"/>
              <w:bottom w:val="single" w:sz="4"/>
            </w:tcBorders>
            <w:vAlign w:val="top"/>
          </w:tcPr>
          <w:p>
            <w:pPr>
              <w:pStyle w:val="Style30"/>
              <w:framePr w:w="9811" w:wrap="notBeside" w:vAnchor="text" w:hAnchor="text" w:xAlign="center" w:y="1"/>
              <w:widowControl w:val="0"/>
              <w:keepNext w:val="0"/>
              <w:keepLines w:val="0"/>
              <w:shd w:val="clear" w:color="auto" w:fill="auto"/>
              <w:bidi w:val="0"/>
              <w:spacing w:before="0" w:after="0" w:line="192" w:lineRule="exact"/>
              <w:ind w:left="0" w:right="0" w:firstLine="0"/>
            </w:pPr>
            <w:r>
              <w:rPr>
                <w:rStyle w:val="CharStyle102"/>
              </w:rPr>
              <w:t>В связи с высокой смертностью показано хирургическое лечение</w:t>
            </w:r>
          </w:p>
        </w:tc>
      </w:tr>
    </w:tbl>
    <w:p>
      <w:pPr>
        <w:pStyle w:val="Style96"/>
        <w:framePr w:w="9811" w:wrap="notBeside" w:vAnchor="text" w:hAnchor="text" w:xAlign="center" w:y="1"/>
        <w:widowControl w:val="0"/>
        <w:keepNext w:val="0"/>
        <w:keepLines w:val="0"/>
        <w:shd w:val="clear" w:color="auto" w:fill="auto"/>
        <w:bidi w:val="0"/>
        <w:jc w:val="left"/>
        <w:spacing w:before="0" w:after="0" w:line="216" w:lineRule="exact"/>
        <w:ind w:left="0" w:right="0" w:firstLine="0"/>
      </w:pPr>
      <w:r>
        <w:rPr>
          <w:lang w:val="ru-RU" w:eastAsia="ru-RU" w:bidi="ru-RU"/>
          <w:w w:val="100"/>
          <w:spacing w:val="0"/>
          <w:color w:val="000000"/>
          <w:position w:val="0"/>
        </w:rPr>
        <w:t xml:space="preserve">Тентамицин </w:t>
      </w:r>
      <w:r>
        <w:rPr>
          <w:lang w:val="en-US" w:eastAsia="en-US" w:bidi="en-US"/>
          <w:w w:val="100"/>
          <w:spacing w:val="0"/>
          <w:color w:val="000000"/>
          <w:position w:val="0"/>
        </w:rPr>
        <w:t xml:space="preserve">2 </w:t>
      </w:r>
      <w:r>
        <w:rPr>
          <w:lang w:val="ru-RU" w:eastAsia="ru-RU" w:bidi="ru-RU"/>
          <w:w w:val="100"/>
          <w:spacing w:val="0"/>
          <w:color w:val="000000"/>
          <w:position w:val="0"/>
        </w:rPr>
        <w:t xml:space="preserve">мг/кг </w:t>
      </w:r>
      <w:r>
        <w:rPr>
          <w:lang w:val="en-US" w:eastAsia="en-US" w:bidi="en-US"/>
          <w:w w:val="100"/>
          <w:spacing w:val="0"/>
          <w:color w:val="000000"/>
          <w:position w:val="0"/>
        </w:rPr>
        <w:t xml:space="preserve">— </w:t>
      </w:r>
      <w:r>
        <w:rPr>
          <w:lang w:val="ru-RU" w:eastAsia="ru-RU" w:bidi="ru-RU"/>
          <w:w w:val="100"/>
          <w:spacing w:val="0"/>
          <w:color w:val="000000"/>
          <w:position w:val="0"/>
        </w:rPr>
        <w:t>ударная доза, затем 1,7 мг/кг каждые 8 ч (или 5,1 мг/кг/день однократно); нетилмицим 2 мг/кг/день каждые 8 ч (или 6,5 мг/кг/день однократно); амикацин 7,5 мг/кг/день каждые 12 ч (или 15 мг/кг/день однократно).</w:t>
      </w:r>
    </w:p>
    <w:p>
      <w:pPr>
        <w:pStyle w:val="Style96"/>
        <w:framePr w:w="9811" w:wrap="notBeside" w:vAnchor="text" w:hAnchor="text" w:xAlign="center" w:y="1"/>
        <w:widowControl w:val="0"/>
        <w:keepNext w:val="0"/>
        <w:keepLines w:val="0"/>
        <w:shd w:val="clear" w:color="auto" w:fill="auto"/>
        <w:bidi w:val="0"/>
        <w:jc w:val="left"/>
        <w:spacing w:before="0" w:after="0" w:line="216" w:lineRule="exact"/>
        <w:ind w:left="0" w:right="0" w:firstLine="0"/>
      </w:pPr>
      <w:r>
        <w:rPr>
          <w:lang w:val="ru-RU" w:eastAsia="ru-RU" w:bidi="ru-RU"/>
          <w:vertAlign w:val="superscript"/>
          <w:w w:val="100"/>
          <w:spacing w:val="0"/>
          <w:color w:val="000000"/>
          <w:position w:val="0"/>
        </w:rPr>
        <w:t>2</w:t>
      </w:r>
      <w:r>
        <w:rPr>
          <w:lang w:val="ru-RU" w:eastAsia="ru-RU" w:bidi="ru-RU"/>
          <w:w w:val="100"/>
          <w:spacing w:val="0"/>
          <w:color w:val="000000"/>
          <w:position w:val="0"/>
        </w:rPr>
        <w:t xml:space="preserve">Тикарциллин/клавуланат 3,1 г каждые 6 ч; пиперциллин/тазобактам 3,375 г каждые 6 ч. </w:t>
      </w:r>
      <w:r>
        <w:rPr>
          <w:lang w:val="en-US" w:eastAsia="en-US" w:bidi="en-US"/>
          <w:w w:val="100"/>
          <w:spacing w:val="0"/>
          <w:color w:val="000000"/>
          <w:position w:val="0"/>
        </w:rPr>
        <w:t xml:space="preserve">(MS) </w:t>
      </w:r>
      <w:r>
        <w:rPr>
          <w:lang w:val="ru-RU" w:eastAsia="ru-RU" w:bidi="ru-RU"/>
          <w:w w:val="100"/>
          <w:spacing w:val="0"/>
          <w:color w:val="000000"/>
          <w:position w:val="0"/>
        </w:rPr>
        <w:t xml:space="preserve">— метициллинчувстви- тельные; </w:t>
      </w:r>
      <w:r>
        <w:rPr>
          <w:lang w:val="en-US" w:eastAsia="en-US" w:bidi="en-US"/>
          <w:w w:val="100"/>
          <w:spacing w:val="0"/>
          <w:color w:val="000000"/>
          <w:position w:val="0"/>
        </w:rPr>
        <w:t xml:space="preserve">(MR) </w:t>
      </w:r>
      <w:r>
        <w:rPr>
          <w:lang w:val="ru-RU" w:eastAsia="ru-RU" w:bidi="ru-RU"/>
          <w:w w:val="100"/>
          <w:spacing w:val="0"/>
          <w:color w:val="000000"/>
          <w:position w:val="0"/>
        </w:rPr>
        <w:t>— метициллинрезистентные.</w:t>
      </w:r>
    </w:p>
    <w:p>
      <w:pPr>
        <w:framePr w:w="9811" w:wrap="notBeside" w:vAnchor="text" w:hAnchor="text" w:xAlign="center" w:y="1"/>
        <w:widowControl w:val="0"/>
        <w:rPr>
          <w:sz w:val="2"/>
          <w:szCs w:val="2"/>
        </w:rPr>
      </w:pPr>
    </w:p>
    <w:p>
      <w:pPr>
        <w:widowControl w:val="0"/>
        <w:rPr>
          <w:sz w:val="2"/>
          <w:szCs w:val="2"/>
        </w:rPr>
      </w:pPr>
    </w:p>
    <w:p>
      <w:pPr>
        <w:widowControl w:val="0"/>
        <w:rPr>
          <w:sz w:val="2"/>
          <w:szCs w:val="2"/>
        </w:rPr>
        <w:sectPr>
          <w:pgSz w:w="11900" w:h="16840"/>
          <w:pgMar w:top="2000" w:left="1128" w:right="859" w:bottom="147" w:header="0" w:footer="3" w:gutter="0"/>
          <w:rtlGutter w:val="0"/>
          <w:cols w:space="720"/>
          <w:noEndnote/>
          <w:docGrid w:linePitch="360"/>
        </w:sect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34" w:after="34"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477" type="#_x0000_t75" style="position:absolute;margin-left:136.55pt;margin-top:0;width:209.75pt;height:14.9pt;z-index:-251658684;mso-wrap-distance-left:5.pt;mso-wrap-distance-right:5.pt;mso-position-horizontal-relative:margin" wrapcoords="0 0">
            <v:imagedata r:id="rId752" r:href="rId753"/>
            <w10:wrap anchorx="margin"/>
          </v:shape>
        </w:pict>
      </w:r>
    </w:p>
    <w:p>
      <w:pPr>
        <w:widowControl w:val="0"/>
        <w:rPr>
          <w:sz w:val="2"/>
          <w:szCs w:val="2"/>
        </w:rPr>
        <w:sectPr>
          <w:type w:val="continuous"/>
          <w:pgSz w:w="11900" w:h="16840"/>
          <w:pgMar w:top="1468" w:left="1124" w:right="860" w:bottom="192" w:header="0" w:footer="3" w:gutter="0"/>
          <w:rtlGutter w:val="0"/>
          <w:cols w:space="720"/>
          <w:noEndnote/>
          <w:docGrid w:linePitch="360"/>
        </w:sectPr>
      </w:pPr>
    </w:p>
    <w:p>
      <w:pPr>
        <w:widowControl w:val="0"/>
        <w:rPr>
          <w:sz w:val="2"/>
          <w:szCs w:val="2"/>
        </w:rPr>
      </w:pPr>
      <w:r>
        <w:pict>
          <v:shape id="_x0000_s1478" type="#_x0000_t75" style="position:absolute;margin-left:148.1pt;margin-top:736.3pt;width:209.75pt;height:14.9pt;z-index:-125829078;mso-wrap-distance-left:148.1pt;mso-wrap-distance-right:136.8pt;mso-wrap-distance-bottom:10.8pt;mso-position-horizontal-relative:margin" wrapcoords="0 0 21600 0 21600 21600 0 21600 0 0">
            <v:imagedata r:id="rId754" r:href="rId755"/>
            <w10:wrap type="topAndBottom" anchorx="margin"/>
          </v:shape>
        </w:pic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синтетических пенициллинов: </w:t>
      </w:r>
      <w:r>
        <w:rPr>
          <w:rStyle w:val="CharStyle103"/>
        </w:rPr>
        <w:t xml:space="preserve">метициллин — </w:t>
      </w:r>
      <w:r>
        <w:rPr>
          <w:rStyle w:val="CharStyle103"/>
          <w:lang w:val="en-US" w:eastAsia="en-US" w:bidi="en-US"/>
        </w:rPr>
        <w:t>Methicillinum- natrium</w:t>
      </w:r>
      <w:r>
        <w:rPr>
          <w:lang w:val="en-US" w:eastAsia="en-US" w:bidi="en-US"/>
          <w:w w:val="100"/>
          <w:spacing w:val="0"/>
          <w:color w:val="000000"/>
          <w:position w:val="0"/>
        </w:rPr>
        <w:t xml:space="preserve"> </w:t>
      </w:r>
      <w:r>
        <w:rPr>
          <w:lang w:val="ru-RU" w:eastAsia="ru-RU" w:bidi="ru-RU"/>
          <w:w w:val="100"/>
          <w:spacing w:val="0"/>
          <w:color w:val="000000"/>
          <w:position w:val="0"/>
        </w:rPr>
        <w:t>(200 мг/кг/сутки, детям старше 12 лет — по 1 г каж</w:t>
        <w:softHyphen/>
        <w:t xml:space="preserve">дые 4-6 ч.); </w:t>
      </w:r>
      <w:r>
        <w:rPr>
          <w:rStyle w:val="CharStyle103"/>
        </w:rPr>
        <w:t xml:space="preserve">ампициллин — </w:t>
      </w:r>
      <w:r>
        <w:rPr>
          <w:rStyle w:val="CharStyle103"/>
          <w:lang w:val="en-US" w:eastAsia="en-US" w:bidi="en-US"/>
        </w:rPr>
        <w:t>Ampicillinum</w:t>
      </w:r>
      <w:r>
        <w:rPr>
          <w:lang w:val="en-US" w:eastAsia="en-US" w:bidi="en-US"/>
          <w:w w:val="100"/>
          <w:spacing w:val="0"/>
          <w:color w:val="000000"/>
          <w:position w:val="0"/>
        </w:rPr>
        <w:t xml:space="preserve"> </w:t>
      </w:r>
      <w:r>
        <w:rPr>
          <w:lang w:val="ru-RU" w:eastAsia="ru-RU" w:bidi="ru-RU"/>
          <w:w w:val="100"/>
          <w:spacing w:val="0"/>
          <w:color w:val="000000"/>
          <w:position w:val="0"/>
        </w:rPr>
        <w:t xml:space="preserve">(100-200 мг/кг/сут.); </w:t>
      </w:r>
      <w:r>
        <w:rPr>
          <w:rStyle w:val="CharStyle103"/>
        </w:rPr>
        <w:t xml:space="preserve">оксациллин — </w:t>
      </w:r>
      <w:r>
        <w:rPr>
          <w:rStyle w:val="CharStyle103"/>
          <w:lang w:val="en-US" w:eastAsia="en-US" w:bidi="en-US"/>
        </w:rPr>
        <w:t>Oxacillinum-natrium</w:t>
      </w:r>
      <w:r>
        <w:rPr>
          <w:lang w:val="en-US" w:eastAsia="en-US" w:bidi="en-US"/>
          <w:w w:val="100"/>
          <w:spacing w:val="0"/>
          <w:color w:val="000000"/>
          <w:position w:val="0"/>
        </w:rPr>
        <w:t xml:space="preserve"> </w:t>
      </w:r>
      <w:r>
        <w:rPr>
          <w:lang w:val="ru-RU" w:eastAsia="ru-RU" w:bidi="ru-RU"/>
          <w:w w:val="100"/>
          <w:spacing w:val="0"/>
          <w:color w:val="000000"/>
          <w:position w:val="0"/>
        </w:rPr>
        <w:t>(200-300 мг/кг в сутки) в сочетании с аминогликозидами.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подостром течении заболевания, наличии в анам</w:t>
        <w:softHyphen/>
        <w:t>незе манипуляций в полости рта и желудочно-кишечном тракте возбудителями обычно являются зеленящий стреп</w:t>
        <w:softHyphen/>
        <w:t xml:space="preserve">тококк, энтерококк, большинство штаммов Гр(-) бактерий. Лечение обычно начинают с применения </w:t>
      </w:r>
      <w:r>
        <w:rPr>
          <w:rStyle w:val="CharStyle103"/>
        </w:rPr>
        <w:t>пенициллина</w:t>
      </w:r>
      <w:r>
        <w:rPr>
          <w:lang w:val="ru-RU" w:eastAsia="ru-RU" w:bidi="ru-RU"/>
          <w:w w:val="100"/>
          <w:spacing w:val="0"/>
          <w:color w:val="000000"/>
          <w:position w:val="0"/>
        </w:rPr>
        <w:t xml:space="preserve"> в со</w:t>
        <w:softHyphen/>
        <w:t xml:space="preserve">четании с аминогликозидами — </w:t>
      </w:r>
      <w:r>
        <w:rPr>
          <w:rStyle w:val="CharStyle103"/>
        </w:rPr>
        <w:t xml:space="preserve">гентамицин — </w:t>
      </w:r>
      <w:r>
        <w:rPr>
          <w:rStyle w:val="CharStyle103"/>
          <w:lang w:val="en-US" w:eastAsia="en-US" w:bidi="en-US"/>
        </w:rPr>
        <w:t xml:space="preserve">Gentamicin </w:t>
      </w:r>
      <w:r>
        <w:rPr>
          <w:lang w:val="ru-RU" w:eastAsia="ru-RU" w:bidi="ru-RU"/>
          <w:w w:val="100"/>
          <w:spacing w:val="0"/>
          <w:color w:val="000000"/>
          <w:position w:val="0"/>
        </w:rPr>
        <w:t xml:space="preserve">(4-6 мг/кг/сутки), </w:t>
      </w:r>
      <w:r>
        <w:rPr>
          <w:rStyle w:val="CharStyle103"/>
        </w:rPr>
        <w:t xml:space="preserve">бруломицин, амикацин — </w:t>
      </w:r>
      <w:r>
        <w:rPr>
          <w:rStyle w:val="CharStyle103"/>
          <w:lang w:val="en-US" w:eastAsia="en-US" w:bidi="en-US"/>
        </w:rPr>
        <w:t xml:space="preserve">Amikacin </w:t>
      </w:r>
      <w:r>
        <w:rPr>
          <w:lang w:val="ru-RU" w:eastAsia="ru-RU" w:bidi="ru-RU"/>
          <w:w w:val="100"/>
          <w:spacing w:val="0"/>
          <w:color w:val="000000"/>
          <w:position w:val="0"/>
        </w:rPr>
        <w:t xml:space="preserve">(10-15 мг/кг/сутки), </w:t>
      </w:r>
      <w:r>
        <w:rPr>
          <w:rStyle w:val="CharStyle103"/>
        </w:rPr>
        <w:t xml:space="preserve">тобромицин — </w:t>
      </w:r>
      <w:r>
        <w:rPr>
          <w:rStyle w:val="CharStyle103"/>
          <w:lang w:val="en-US" w:eastAsia="en-US" w:bidi="en-US"/>
        </w:rPr>
        <w:t>Tobramycin</w:t>
      </w:r>
      <w:r>
        <w:rPr>
          <w:lang w:val="en-US" w:eastAsia="en-US" w:bidi="en-US"/>
          <w:w w:val="100"/>
          <w:spacing w:val="0"/>
          <w:color w:val="000000"/>
          <w:position w:val="0"/>
        </w:rPr>
        <w:t xml:space="preserve"> </w:t>
      </w:r>
      <w:r>
        <w:rPr>
          <w:lang w:val="ru-RU" w:eastAsia="ru-RU" w:bidi="ru-RU"/>
          <w:w w:val="100"/>
          <w:spacing w:val="0"/>
          <w:color w:val="000000"/>
          <w:position w:val="0"/>
        </w:rPr>
        <w:t>(6-8 мг/кг в сутки).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 послеоперационном инфекционном эндокардите высок риск поражения эпидермальным стафилококком, который, как правило, устойчив к </w:t>
      </w:r>
      <w:r>
        <w:rPr>
          <w:rStyle w:val="CharStyle103"/>
        </w:rPr>
        <w:t>метициллину</w:t>
      </w:r>
      <w:r>
        <w:rPr>
          <w:lang w:val="ru-RU" w:eastAsia="ru-RU" w:bidi="ru-RU"/>
          <w:w w:val="100"/>
          <w:spacing w:val="0"/>
          <w:color w:val="000000"/>
          <w:position w:val="0"/>
        </w:rPr>
        <w:t xml:space="preserve"> и </w:t>
      </w:r>
      <w:r>
        <w:rPr>
          <w:rStyle w:val="CharStyle103"/>
        </w:rPr>
        <w:t>нафцилли- ну,</w:t>
      </w:r>
      <w:r>
        <w:rPr>
          <w:lang w:val="ru-RU" w:eastAsia="ru-RU" w:bidi="ru-RU"/>
          <w:w w:val="100"/>
          <w:spacing w:val="0"/>
          <w:color w:val="000000"/>
          <w:position w:val="0"/>
        </w:rPr>
        <w:t xml:space="preserve"> поэтому лечение рекомендуют начинать с </w:t>
      </w:r>
      <w:r>
        <w:rPr>
          <w:rStyle w:val="CharStyle103"/>
        </w:rPr>
        <w:t xml:space="preserve">ванкомицина </w:t>
      </w:r>
      <w:r>
        <w:rPr>
          <w:rStyle w:val="CharStyle103"/>
          <w:lang w:val="en-US" w:eastAsia="en-US" w:bidi="en-US"/>
        </w:rPr>
        <w:t xml:space="preserve">(Vancomycin </w:t>
      </w:r>
      <w:r>
        <w:rPr>
          <w:rStyle w:val="CharStyle103"/>
        </w:rPr>
        <w:t>—</w:t>
      </w:r>
      <w:r>
        <w:rPr>
          <w:lang w:val="ru-RU" w:eastAsia="ru-RU" w:bidi="ru-RU"/>
          <w:w w:val="100"/>
          <w:spacing w:val="0"/>
          <w:color w:val="000000"/>
          <w:position w:val="0"/>
        </w:rPr>
        <w:t xml:space="preserve"> 40 мг/кг/сутки) или цефалоспоринов. Если нет клинического улучшения через несколько дней после начала лечения, необходимо взять повторные посевы крови и провести смену антибиотиков. После получения посевов крови терапия может быть скорригирована.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оценки чувствительности микроорганизмов к анти</w:t>
        <w:softHyphen/>
        <w:t>биотикам наиболее часто используют следующие лабора</w:t>
        <w:softHyphen/>
        <w:t>торные тесты:</w:t>
      </w:r>
    </w:p>
    <w:p>
      <w:pPr>
        <w:pStyle w:val="Style30"/>
        <w:numPr>
          <w:ilvl w:val="0"/>
          <w:numId w:val="95"/>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минимальная ингибирующая концентрация (МИК) — наименьшая концентрация препарата, пре</w:t>
        <w:softHyphen/>
        <w:t>кращающая видимый рост микроорганизма в про</w:t>
        <w:softHyphen/>
        <w:t>стом бульоне после инкубации 18-24 часа;</w:t>
      </w:r>
    </w:p>
    <w:p>
      <w:pPr>
        <w:pStyle w:val="Style30"/>
        <w:numPr>
          <w:ilvl w:val="0"/>
          <w:numId w:val="95"/>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минимальная бактерицидная концентрация (МБК);</w:t>
      </w:r>
    </w:p>
    <w:p>
      <w:pPr>
        <w:pStyle w:val="Style30"/>
        <w:numPr>
          <w:ilvl w:val="0"/>
          <w:numId w:val="95"/>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наименьшая концентрация антибиотика, вызываю</w:t>
        <w:softHyphen/>
        <w:t>щая гибель микроорганизмов или снижение их на 99,9%.</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Изучение инфекционного эндокардита в эксперименте на кроликах показало, что бактерицидный титр плазмы 1:8 соответствует терапевтическому эффекту. Однако у людей титр 1:8 не коррелирует с успехом лечения. У детей обычно эффективны начальные титры 1:64 и более, которые при удачном лечении могут быть уменьшены до 1:32. Большин</w:t>
        <w:softHyphen/>
        <w:t xml:space="preserve">ство зеленящих стрептококков, </w:t>
      </w:r>
      <w:r>
        <w:rPr>
          <w:lang w:val="en-US" w:eastAsia="en-US" w:bidi="en-US"/>
          <w:w w:val="100"/>
          <w:spacing w:val="0"/>
          <w:color w:val="000000"/>
          <w:position w:val="0"/>
        </w:rPr>
        <w:t>Strep. pyogenes, Strep. pneu</w:t>
        <w:softHyphen/>
        <w:t xml:space="preserve">moniae, </w:t>
      </w:r>
      <w:r>
        <w:rPr>
          <w:lang w:val="ru-RU" w:eastAsia="ru-RU" w:bidi="ru-RU"/>
          <w:w w:val="100"/>
          <w:spacing w:val="0"/>
          <w:color w:val="000000"/>
          <w:position w:val="0"/>
        </w:rPr>
        <w:t xml:space="preserve">неэнтерококковые стрептококки гр. </w:t>
      </w:r>
      <w:r>
        <w:rPr>
          <w:lang w:val="en-US" w:eastAsia="en-US" w:bidi="en-US"/>
          <w:w w:val="100"/>
          <w:spacing w:val="0"/>
          <w:color w:val="000000"/>
          <w:position w:val="0"/>
        </w:rPr>
        <w:t xml:space="preserve">D </w:t>
      </w:r>
      <w:r>
        <w:rPr>
          <w:lang w:val="ru-RU" w:eastAsia="ru-RU" w:bidi="ru-RU"/>
          <w:w w:val="100"/>
          <w:spacing w:val="0"/>
          <w:color w:val="000000"/>
          <w:position w:val="0"/>
        </w:rPr>
        <w:t>имеют МИК&lt;0,2 мг/мл пенициллина, и поэтому лечение послед</w:t>
        <w:softHyphen/>
        <w:t>ним бывает эффективно. Резистентные микроорганизмы с МИК&gt;0,2 мг/мл составляют примерно 15-20% зеленящих стрептококков. Микроорганизмы считаются устойчивыми к действию антибиотиков, если МБК выше МИК более чем в восемь раз. Применение неадекватной дозы антибиоти</w:t>
        <w:softHyphen/>
        <w:t>ков может приводить к формированию пенициллинрезис- тентных штаммов. При этом МИК может быть и менее 0,1 мг/мл, но МБК — значительно превышать ее.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В опытах </w:t>
      </w:r>
      <w:r>
        <w:rPr>
          <w:lang w:val="en-US" w:eastAsia="en-US" w:bidi="en-US"/>
          <w:w w:val="100"/>
          <w:spacing w:val="0"/>
          <w:color w:val="000000"/>
          <w:position w:val="0"/>
        </w:rPr>
        <w:t xml:space="preserve">in vitro </w:t>
      </w:r>
      <w:r>
        <w:rPr>
          <w:lang w:val="ru-RU" w:eastAsia="ru-RU" w:bidi="ru-RU"/>
          <w:w w:val="100"/>
          <w:spacing w:val="0"/>
          <w:color w:val="000000"/>
          <w:position w:val="0"/>
        </w:rPr>
        <w:t>и в эксперименте на животных показа</w:t>
        <w:softHyphen/>
        <w:t>но, что стрептомицин и гентамицин обладают эффектом синергизма с пенициллином и ванкомицином в отношении многих микроорганизмов.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применении пенициллина у пациентов с инфекци</w:t>
        <w:softHyphen/>
        <w:t>онным эндокардитом, вызванным пенициллинчувстви- тельными штаммами зеленящего стрептококка, не возни</w:t>
        <w:softHyphen/>
        <w:t>кает рецидивов после курса лечения более 2-х недель. Од</w:t>
        <w:softHyphen/>
        <w:t>нако при внутримышечном применении пенициллина и стрептомицина в течение двух недель у 99% пациентов от</w:t>
        <w:softHyphen/>
        <w:t>мечается выздоровление и эффективность лечения выше</w:t>
        <w:br w:type="column"/>
        <w:t>или такая же, как при более чем четырехнедельном курсе пенициллина. При этом риск осложнений, вызванных те</w:t>
        <w:softHyphen/>
        <w:t xml:space="preserve">рапией, минимальный. У детей более предпочтительно применение </w:t>
      </w:r>
      <w:r>
        <w:rPr>
          <w:rStyle w:val="CharStyle103"/>
        </w:rPr>
        <w:t>гентамицина, тобромицина,</w:t>
      </w:r>
      <w:r>
        <w:rPr>
          <w:lang w:val="ru-RU" w:eastAsia="ru-RU" w:bidi="ru-RU"/>
          <w:w w:val="100"/>
          <w:spacing w:val="0"/>
          <w:color w:val="000000"/>
          <w:position w:val="0"/>
        </w:rPr>
        <w:t xml:space="preserve"> которые обладают меньшим ототоксическим действием.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энторококковых инфекционных эндокардитах дли</w:t>
        <w:softHyphen/>
        <w:t xml:space="preserve">тельное применение одного </w:t>
      </w:r>
      <w:r>
        <w:rPr>
          <w:rStyle w:val="CharStyle103"/>
        </w:rPr>
        <w:t>пенициллина</w:t>
      </w:r>
      <w:r>
        <w:rPr>
          <w:lang w:val="ru-RU" w:eastAsia="ru-RU" w:bidi="ru-RU"/>
          <w:w w:val="100"/>
          <w:spacing w:val="0"/>
          <w:color w:val="000000"/>
          <w:position w:val="0"/>
        </w:rPr>
        <w:t xml:space="preserve"> малоэффективно, т.к. большинство штаммов имеют МИК к </w:t>
      </w:r>
      <w:r>
        <w:rPr>
          <w:rStyle w:val="CharStyle103"/>
        </w:rPr>
        <w:t xml:space="preserve">пенициллину </w:t>
      </w:r>
      <w:r>
        <w:rPr>
          <w:lang w:val="ru-RU" w:eastAsia="ru-RU" w:bidi="ru-RU"/>
          <w:w w:val="100"/>
          <w:spacing w:val="0"/>
          <w:color w:val="000000"/>
          <w:position w:val="0"/>
        </w:rPr>
        <w:t xml:space="preserve">&gt;0,4 мг/мл и МБК&gt; 6,25 мг/мл, что диктует необходимость использования синергического эффекта аминогликозидов. Предпочтение отдается комбинации </w:t>
      </w:r>
      <w:r>
        <w:rPr>
          <w:rStyle w:val="CharStyle103"/>
        </w:rPr>
        <w:t>пенициллина с гента</w:t>
        <w:softHyphen/>
        <w:t>мицином,</w:t>
      </w:r>
      <w:r>
        <w:rPr>
          <w:lang w:val="ru-RU" w:eastAsia="ru-RU" w:bidi="ru-RU"/>
          <w:w w:val="100"/>
          <w:spacing w:val="0"/>
          <w:color w:val="000000"/>
          <w:position w:val="0"/>
        </w:rPr>
        <w:t xml:space="preserve"> так как 20-50% штаммов энтерококков устойчивы к </w:t>
      </w:r>
      <w:r>
        <w:rPr>
          <w:rStyle w:val="CharStyle103"/>
        </w:rPr>
        <w:t>стрептомицину</w:t>
      </w:r>
      <w:r>
        <w:rPr>
          <w:lang w:val="ru-RU" w:eastAsia="ru-RU" w:bidi="ru-RU"/>
          <w:w w:val="100"/>
          <w:spacing w:val="0"/>
          <w:color w:val="000000"/>
          <w:position w:val="0"/>
        </w:rPr>
        <w:t xml:space="preserve"> (МИК&gt;2000 мг/мл). Длительность лече</w:t>
        <w:softHyphen/>
        <w:t>ния в этих случаях должна быть не менее 4-6 недель.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инфекционных эндокардитах, вызванных золотис</w:t>
        <w:softHyphen/>
        <w:t>тым стафилококком, используются полусинтетические пе- нициллиназарезистентные пенициллины в течение не ме</w:t>
        <w:softHyphen/>
        <w:t xml:space="preserve">нее шести недель. Предпочтение отдается </w:t>
      </w:r>
      <w:r>
        <w:rPr>
          <w:rStyle w:val="CharStyle103"/>
        </w:rPr>
        <w:t>метициллину, нафциллину, ампициллину.</w:t>
      </w:r>
      <w:r>
        <w:rPr>
          <w:lang w:val="ru-RU" w:eastAsia="ru-RU" w:bidi="ru-RU"/>
          <w:w w:val="100"/>
          <w:spacing w:val="0"/>
          <w:color w:val="000000"/>
          <w:position w:val="0"/>
        </w:rPr>
        <w:t xml:space="preserve"> Однако встречаются пеницил- линчувствительные штаммы золотистого стафилококка (МИК&lt;0,1 мг/мл), в этих случаях возможно назначение </w:t>
      </w:r>
      <w:r>
        <w:rPr>
          <w:rStyle w:val="CharStyle103"/>
        </w:rPr>
        <w:t>пе</w:t>
        <w:softHyphen/>
        <w:t>нициллина.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 модели </w:t>
      </w:r>
      <w:r>
        <w:rPr>
          <w:lang w:val="en-US" w:eastAsia="en-US" w:bidi="en-US"/>
          <w:w w:val="100"/>
          <w:spacing w:val="0"/>
          <w:color w:val="000000"/>
          <w:position w:val="0"/>
        </w:rPr>
        <w:t xml:space="preserve">in vitro </w:t>
      </w:r>
      <w:r>
        <w:rPr>
          <w:lang w:val="ru-RU" w:eastAsia="ru-RU" w:bidi="ru-RU"/>
          <w:w w:val="100"/>
          <w:spacing w:val="0"/>
          <w:color w:val="000000"/>
          <w:position w:val="0"/>
        </w:rPr>
        <w:t xml:space="preserve">доказана эффективность комбинации </w:t>
      </w:r>
      <w:r>
        <w:rPr>
          <w:rStyle w:val="CharStyle103"/>
        </w:rPr>
        <w:t>гентамицина</w:t>
      </w:r>
      <w:r>
        <w:rPr>
          <w:lang w:val="ru-RU" w:eastAsia="ru-RU" w:bidi="ru-RU"/>
          <w:w w:val="100"/>
          <w:spacing w:val="0"/>
          <w:color w:val="000000"/>
          <w:position w:val="0"/>
        </w:rPr>
        <w:t xml:space="preserve"> с </w:t>
      </w:r>
      <w:r>
        <w:rPr>
          <w:rStyle w:val="CharStyle103"/>
        </w:rPr>
        <w:t>нафциллином.</w:t>
      </w:r>
      <w:r>
        <w:rPr>
          <w:lang w:val="ru-RU" w:eastAsia="ru-RU" w:bidi="ru-RU"/>
          <w:w w:val="100"/>
          <w:spacing w:val="0"/>
          <w:color w:val="000000"/>
          <w:position w:val="0"/>
        </w:rPr>
        <w:t xml:space="preserve"> Хотя нет реальной возможно</w:t>
        <w:softHyphen/>
        <w:t xml:space="preserve">сти доказать этот факт </w:t>
      </w:r>
      <w:r>
        <w:rPr>
          <w:lang w:val="en-US" w:eastAsia="en-US" w:bidi="en-US"/>
          <w:w w:val="100"/>
          <w:spacing w:val="0"/>
          <w:color w:val="000000"/>
          <w:position w:val="0"/>
        </w:rPr>
        <w:t xml:space="preserve">in vivo, </w:t>
      </w:r>
      <w:r>
        <w:rPr>
          <w:lang w:val="ru-RU" w:eastAsia="ru-RU" w:bidi="ru-RU"/>
          <w:w w:val="100"/>
          <w:spacing w:val="0"/>
          <w:color w:val="000000"/>
          <w:position w:val="0"/>
        </w:rPr>
        <w:t>данная комбинация с успе</w:t>
        <w:softHyphen/>
        <w:t>хом применяется в клинике для лечения тяжелых больных.</w:t>
      </w:r>
    </w:p>
    <w:p>
      <w:pPr>
        <w:pStyle w:val="Style30"/>
        <w:widowControl w:val="0"/>
        <w:keepNext w:val="0"/>
        <w:keepLines w:val="0"/>
        <w:shd w:val="clear" w:color="auto" w:fill="auto"/>
        <w:bidi w:val="0"/>
        <w:spacing w:before="0" w:after="0"/>
        <w:ind w:left="0" w:right="0" w:firstLine="280"/>
      </w:pPr>
      <w:r>
        <w:rPr>
          <w:rStyle w:val="CharStyle103"/>
        </w:rPr>
        <w:t>Ванкомицин</w:t>
      </w:r>
      <w:r>
        <w:rPr>
          <w:lang w:val="ru-RU" w:eastAsia="ru-RU" w:bidi="ru-RU"/>
          <w:w w:val="100"/>
          <w:spacing w:val="0"/>
          <w:color w:val="000000"/>
          <w:position w:val="0"/>
        </w:rPr>
        <w:t xml:space="preserve"> применяется у пациентов с аллергией к </w:t>
      </w:r>
      <w:r>
        <w:rPr>
          <w:rStyle w:val="CharStyle103"/>
        </w:rPr>
        <w:t>пе</w:t>
        <w:softHyphen/>
        <w:t>нициллину,</w:t>
      </w:r>
      <w:r>
        <w:rPr>
          <w:lang w:val="ru-RU" w:eastAsia="ru-RU" w:bidi="ru-RU"/>
          <w:w w:val="100"/>
          <w:spacing w:val="0"/>
          <w:color w:val="000000"/>
          <w:position w:val="0"/>
        </w:rPr>
        <w:t xml:space="preserve"> а также в случаях, когда подразумеваются мети- циллинрезистентные возбудители. Его применение показа</w:t>
        <w:softHyphen/>
        <w:t>но у пациентов с инфекционным эндокардитом, вызва</w:t>
        <w:softHyphen/>
        <w:t>нным госпитальными штаммами эпидермального стафило</w:t>
        <w:softHyphen/>
        <w:t xml:space="preserve">кокка. Бактерицидный эффект может быть усилен приме - нением </w:t>
      </w:r>
      <w:r>
        <w:rPr>
          <w:rStyle w:val="CharStyle103"/>
        </w:rPr>
        <w:t>гентамицина.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инфекционных эндокардитах, вызванных Гр(-) бак</w:t>
        <w:softHyphen/>
        <w:t>териями, необходимо проводить индивидуальный подбор антибиотиков, основанный на определении чувствитель</w:t>
        <w:softHyphen/>
        <w:t xml:space="preserve">ности </w:t>
      </w:r>
      <w:r>
        <w:rPr>
          <w:lang w:val="en-US" w:eastAsia="en-US" w:bidi="en-US"/>
          <w:w w:val="100"/>
          <w:spacing w:val="0"/>
          <w:color w:val="000000"/>
          <w:position w:val="0"/>
        </w:rPr>
        <w:t xml:space="preserve">in vitro. </w:t>
      </w:r>
      <w:r>
        <w:rPr>
          <w:lang w:val="ru-RU" w:eastAsia="ru-RU" w:bidi="ru-RU"/>
          <w:w w:val="100"/>
          <w:spacing w:val="0"/>
          <w:color w:val="000000"/>
          <w:position w:val="0"/>
        </w:rPr>
        <w:t xml:space="preserve">Чаще предпочтение отдают </w:t>
      </w:r>
      <w:r>
        <w:rPr>
          <w:rStyle w:val="CharStyle103"/>
        </w:rPr>
        <w:t xml:space="preserve">ампициллину, </w:t>
      </w:r>
      <w:r>
        <w:rPr>
          <w:lang w:val="ru-RU" w:eastAsia="ru-RU" w:bidi="ru-RU"/>
          <w:w w:val="100"/>
          <w:spacing w:val="0"/>
          <w:color w:val="000000"/>
          <w:position w:val="0"/>
        </w:rPr>
        <w:t>применяя его не менее четырех недель в сочетании с ами- ногликозидами.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 высеве </w:t>
      </w:r>
      <w:r>
        <w:rPr>
          <w:lang w:val="en-US" w:eastAsia="en-US" w:bidi="en-US"/>
          <w:w w:val="100"/>
          <w:spacing w:val="0"/>
          <w:color w:val="000000"/>
          <w:position w:val="0"/>
        </w:rPr>
        <w:t xml:space="preserve">Clebsiella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Pseudomonas </w:t>
      </w:r>
      <w:r>
        <w:rPr>
          <w:lang w:val="ru-RU" w:eastAsia="ru-RU" w:bidi="ru-RU"/>
          <w:w w:val="100"/>
          <w:spacing w:val="0"/>
          <w:color w:val="000000"/>
          <w:position w:val="0"/>
        </w:rPr>
        <w:t>длительность ле</w:t>
        <w:softHyphen/>
        <w:t>чения двумя или более антибиотиками должна быть 6-8 не</w:t>
        <w:softHyphen/>
        <w:t xml:space="preserve">дель. В случае обнаружения устойчивых штаммов </w:t>
      </w:r>
      <w:r>
        <w:rPr>
          <w:lang w:val="en-US" w:eastAsia="en-US" w:bidi="en-US"/>
          <w:w w:val="100"/>
          <w:spacing w:val="0"/>
          <w:color w:val="000000"/>
          <w:position w:val="0"/>
        </w:rPr>
        <w:t xml:space="preserve">B.fragilis </w:t>
      </w:r>
      <w:r>
        <w:rPr>
          <w:lang w:val="ru-RU" w:eastAsia="ru-RU" w:bidi="ru-RU"/>
          <w:w w:val="100"/>
          <w:spacing w:val="0"/>
          <w:color w:val="000000"/>
          <w:position w:val="0"/>
        </w:rPr>
        <w:t xml:space="preserve">показано назначение </w:t>
      </w:r>
      <w:r>
        <w:rPr>
          <w:rStyle w:val="CharStyle103"/>
        </w:rPr>
        <w:t xml:space="preserve">метронидазола </w:t>
      </w:r>
      <w:r>
        <w:rPr>
          <w:rStyle w:val="CharStyle103"/>
          <w:lang w:val="en-US" w:eastAsia="en-US" w:bidi="en-US"/>
        </w:rPr>
        <w:t>(Metronidazol</w:t>
      </w:r>
      <w:r>
        <w:rPr>
          <w:lang w:val="en-US" w:eastAsia="en-US" w:bidi="en-US"/>
          <w:w w:val="100"/>
          <w:spacing w:val="0"/>
          <w:color w:val="000000"/>
          <w:position w:val="0"/>
        </w:rPr>
        <w:t xml:space="preserve"> </w:t>
      </w:r>
      <w:r>
        <w:rPr>
          <w:lang w:val="ru-RU" w:eastAsia="ru-RU" w:bidi="ru-RU"/>
          <w:w w:val="100"/>
          <w:spacing w:val="0"/>
          <w:color w:val="000000"/>
          <w:position w:val="0"/>
        </w:rPr>
        <w:t>— внут</w:t>
        <w:softHyphen/>
        <w:t>ривенно капельно детям до 12 лет по 7,5 мг/кг массы тела каждые 8 ч.). При инфекционных эндокардитах, вызван</w:t>
        <w:softHyphen/>
        <w:t>ных Гр(-) бактериями, высока вероятность необходимости применения хирургического лечения.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грибковых эндокардитах медикаментозное лечение малоэффективно. Несмотря на успехи в лечении данной нозологической формы, летальность составляет около 80%. Летальность и осложнения связаны не только с тяжелым течением заболевания, но во многом обусловлены поздней диагностикой и поздним началом лечения из-за медленно</w:t>
        <w:softHyphen/>
        <w:t>го роста посевов крови. При этом этиологию возбудителя без использования микроскопии и посевов аутопсийного материала удается установить лишь в 20-25% случаев.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Общепринятым антигрибковым препаратом является </w:t>
      </w:r>
      <w:r>
        <w:rPr>
          <w:rStyle w:val="CharStyle103"/>
        </w:rPr>
        <w:t xml:space="preserve">амфотерицин В </w:t>
      </w:r>
      <w:r>
        <w:rPr>
          <w:rStyle w:val="CharStyle103"/>
          <w:lang w:val="en-US" w:eastAsia="en-US" w:bidi="en-US"/>
        </w:rPr>
        <w:t>(Amphoterricin B),</w:t>
      </w:r>
      <w:r>
        <w:rPr>
          <w:lang w:val="en-US" w:eastAsia="en-US" w:bidi="en-US"/>
          <w:w w:val="100"/>
          <w:spacing w:val="0"/>
          <w:color w:val="000000"/>
          <w:position w:val="0"/>
        </w:rPr>
        <w:t xml:space="preserve"> </w:t>
      </w:r>
      <w:r>
        <w:rPr>
          <w:lang w:val="ru-RU" w:eastAsia="ru-RU" w:bidi="ru-RU"/>
          <w:w w:val="100"/>
          <w:spacing w:val="0"/>
          <w:color w:val="000000"/>
          <w:position w:val="0"/>
        </w:rPr>
        <w:t>внутривенно медленно в дозе 100 мгк/кг массы тела, однако оптимальная доза пре</w:t>
        <w:softHyphen/>
        <w:t>парата не установлена. Эффект от лечения у детей ниже, чем у взрослых, так как появление токсических реакций на вве</w:t>
        <w:softHyphen/>
        <w:t>дение препарата в виде гипертермии, ознобов, флебитов,</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анемии, нефротоксического эффекта, почечного ацидоза, гипокальциемии, тромбоцитопении требует уменьшения терапевтической дозы. </w:t>
      </w:r>
      <w:r>
        <w:rPr>
          <w:rStyle w:val="CharStyle103"/>
        </w:rPr>
        <w:t>Амфотерицин В</w:t>
      </w:r>
      <w:r>
        <w:rPr>
          <w:lang w:val="ru-RU" w:eastAsia="ru-RU" w:bidi="ru-RU"/>
          <w:w w:val="100"/>
          <w:spacing w:val="0"/>
          <w:color w:val="000000"/>
          <w:position w:val="0"/>
        </w:rPr>
        <w:t xml:space="preserve"> плохо проникает в вегетации и не уничтожает полностью грибковый возбуди</w:t>
        <w:softHyphen/>
        <w:t>тель, который может метастазировать в другие органы, вы</w:t>
        <w:softHyphen/>
        <w:t>зывая осложнения. Лечение обычно длится восемь недель, однако рецидив может возникнуть в любое время после его прекращения, поэтому больной требует наблюдения в тече</w:t>
        <w:softHyphen/>
        <w:t>ние не менее двух лет. Большинство авторов считают, что при грибковом инфекционном эндокардите показано соче</w:t>
        <w:softHyphen/>
        <w:t>тание медикаментозного и хирургического лечения.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пациентов с «культуронегативным» эндокардитом на</w:t>
        <w:softHyphen/>
        <w:t>значение лечения основывается на эмпирическом опыте с учетом клинических проявлений. Длительность лече</w:t>
        <w:softHyphen/>
        <w:t>ния — не менее шести недель с использованием двух или более антибиотиков.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результате наблюдения за 150 больными, находящи</w:t>
        <w:softHyphen/>
        <w:t>мися в клинике патологии сердечно-сосудистой системы МНИИ педиатрии и детской хирургии России с 1985 по 2000 годы, мы пришли к выводу, что наилучшим сочетани</w:t>
        <w:softHyphen/>
        <w:t>ем антибактериальных препаратов при неустановленной этиологии заболевания является комбинация полусинтети</w:t>
        <w:softHyphen/>
        <w:t>ческих пенициллинов с аминогликозидами. В случаях дли</w:t>
        <w:softHyphen/>
        <w:t>тельного безуспешного достационарного применения ан</w:t>
        <w:softHyphen/>
        <w:t>тибиотиков пенициллинового ряда назначали цефалоспо- рины, как правило, в комбинации с аминогликозидами. В случаях послеоперационного эндокардита, при котором высока вероятность инфицирования резистентными штам</w:t>
        <w:softHyphen/>
        <w:t xml:space="preserve">мами Гр (-) бактерий, предпочтение отдавали препаратам третьего поколения </w:t>
      </w:r>
      <w:r>
        <w:rPr>
          <w:rStyle w:val="CharStyle103"/>
        </w:rPr>
        <w:t xml:space="preserve">цефалоспоринов (клафоран — </w:t>
      </w:r>
      <w:r>
        <w:rPr>
          <w:rStyle w:val="CharStyle103"/>
          <w:lang w:val="en-US" w:eastAsia="en-US" w:bidi="en-US"/>
        </w:rPr>
        <w:t xml:space="preserve">Clafotan, </w:t>
      </w:r>
      <w:r>
        <w:rPr>
          <w:rStyle w:val="CharStyle103"/>
        </w:rPr>
        <w:t>син. Цефотаксим, Цефтазидим).</w:t>
      </w:r>
      <w:r>
        <w:rPr>
          <w:lang w:val="ru-RU" w:eastAsia="ru-RU" w:bidi="ru-RU"/>
          <w:w w:val="100"/>
          <w:spacing w:val="0"/>
          <w:color w:val="000000"/>
          <w:position w:val="0"/>
        </w:rPr>
        <w:t xml:space="preserve"> При вторичных инфекци</w:t>
        <w:softHyphen/>
        <w:t>онных эндокардитах на фоне врожденных пороков сердца, при котоныр наиболее вероятными возбудителями являют</w:t>
        <w:softHyphen/>
        <w:t xml:space="preserve">ся стафилококки, и стрептококки применяли цефалоспо- рины второго поколения </w:t>
      </w:r>
      <w:r>
        <w:rPr>
          <w:rStyle w:val="CharStyle103"/>
        </w:rPr>
        <w:t xml:space="preserve">(цефуроксим — </w:t>
      </w:r>
      <w:r>
        <w:rPr>
          <w:rStyle w:val="CharStyle103"/>
          <w:lang w:val="en-US" w:eastAsia="en-US" w:bidi="en-US"/>
        </w:rPr>
        <w:t xml:space="preserve">Cefuroxime, </w:t>
      </w:r>
      <w:r>
        <w:rPr>
          <w:rStyle w:val="CharStyle103"/>
        </w:rPr>
        <w:t xml:space="preserve">син. Зи- нацеф, Зиннат, Кетоцеф, Цефоген; цефокситин — </w:t>
      </w:r>
      <w:r>
        <w:rPr>
          <w:rStyle w:val="CharStyle103"/>
          <w:lang w:val="en-US" w:eastAsia="en-US" w:bidi="en-US"/>
        </w:rPr>
        <w:t xml:space="preserve">Cefoxitin, </w:t>
      </w:r>
      <w:r>
        <w:rPr>
          <w:rStyle w:val="CharStyle103"/>
        </w:rPr>
        <w:t>син. Цефобид),</w:t>
      </w:r>
      <w:r>
        <w:rPr>
          <w:lang w:val="ru-RU" w:eastAsia="ru-RU" w:bidi="ru-RU"/>
          <w:w w:val="100"/>
          <w:spacing w:val="0"/>
          <w:color w:val="000000"/>
          <w:position w:val="0"/>
        </w:rPr>
        <w:t xml:space="preserve"> проявляющих большую активность в отно</w:t>
        <w:softHyphen/>
        <w:t>шении данных микроорганизмов. Аминогликозиды назна</w:t>
        <w:softHyphen/>
        <w:t>чали в 2-3 приема под контролем выделительной функции почек курсом 10-14 дней. При необходимости повторное назначение препаратов данной группы проводилось не ра</w:t>
        <w:softHyphen/>
        <w:t>нее чем через 7-10 дней. Такое прерывистое лечение позво</w:t>
        <w:softHyphen/>
        <w:t>лило уменьшить нефротоксические, гепатотоксические, ототоксические осложнения.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тяжелых случаях некурируемой инфекции прибегали к назначению комбинации 3-х антибактериальных препа</w:t>
        <w:softHyphen/>
        <w:t>ратов.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Важное значение в лечении инфекционного эндокарди</w:t>
        <w:softHyphen/>
        <w:t>та играет коррекция иммунологических нарушений.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Глюкокортикоиды для лечения инфекционного эндокар</w:t>
        <w:softHyphen/>
        <w:t xml:space="preserve">дита применяются редко. Систематическое применение </w:t>
      </w:r>
      <w:r>
        <w:rPr>
          <w:rStyle w:val="CharStyle103"/>
        </w:rPr>
        <w:t>преднизолона</w:t>
      </w:r>
      <w:r>
        <w:rPr>
          <w:lang w:val="ru-RU" w:eastAsia="ru-RU" w:bidi="ru-RU"/>
          <w:w w:val="100"/>
          <w:spacing w:val="0"/>
          <w:color w:val="000000"/>
          <w:position w:val="0"/>
        </w:rPr>
        <w:t xml:space="preserve"> внутрь в дозе не более 0,5-1 мг/кг/сутки исполь</w:t>
        <w:softHyphen/>
        <w:t>зуется при так называемом «иммунологическом» варианте с высоким уровнем ЦИК в крови, повышенным уровнем иммуноглобулинов класса М и А, васкулитом, артритом, миокардитом и др. Лечение кортикостероидами необходимо заканчивать за одну неделю до отмены антибиотиков.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больных в иммуновоспалительную стадию заболева</w:t>
        <w:softHyphen/>
        <w:t>ния, проявляющуюся повышением уровня циркулирую</w:t>
        <w:softHyphen/>
        <w:t xml:space="preserve">щих иммунных комплексов в крови, увеличением </w:t>
      </w:r>
      <w:r>
        <w:rPr>
          <w:lang w:val="en-US" w:eastAsia="en-US" w:bidi="en-US"/>
          <w:w w:val="100"/>
          <w:spacing w:val="0"/>
          <w:color w:val="000000"/>
          <w:position w:val="0"/>
        </w:rPr>
        <w:t xml:space="preserve">Ig </w:t>
      </w:r>
      <w:r>
        <w:rPr>
          <w:lang w:val="ru-RU" w:eastAsia="ru-RU" w:bidi="ru-RU"/>
          <w:w w:val="100"/>
          <w:spacing w:val="0"/>
          <w:color w:val="000000"/>
          <w:position w:val="0"/>
        </w:rPr>
        <w:t xml:space="preserve">класса </w:t>
      </w:r>
      <w:r>
        <w:rPr>
          <w:lang w:val="en-US" w:eastAsia="en-US" w:bidi="en-US"/>
          <w:w w:val="100"/>
          <w:spacing w:val="0"/>
          <w:color w:val="000000"/>
          <w:position w:val="0"/>
        </w:rPr>
        <w:t xml:space="preserve">M </w:t>
      </w:r>
      <w:r>
        <w:rPr>
          <w:lang w:val="ru-RU" w:eastAsia="ru-RU" w:bidi="ru-RU"/>
          <w:w w:val="100"/>
          <w:spacing w:val="0"/>
          <w:color w:val="000000"/>
          <w:position w:val="0"/>
        </w:rPr>
        <w:t xml:space="preserve">и </w:t>
      </w:r>
      <w:r>
        <w:rPr>
          <w:lang w:val="en-US" w:eastAsia="en-US" w:bidi="en-US"/>
          <w:w w:val="100"/>
          <w:spacing w:val="0"/>
          <w:color w:val="000000"/>
          <w:position w:val="0"/>
        </w:rPr>
        <w:t xml:space="preserve">A, </w:t>
      </w:r>
      <w:r>
        <w:rPr>
          <w:lang w:val="ru-RU" w:eastAsia="ru-RU" w:bidi="ru-RU"/>
          <w:w w:val="100"/>
          <w:spacing w:val="0"/>
          <w:color w:val="000000"/>
          <w:position w:val="0"/>
        </w:rPr>
        <w:t>васкулитом, артритом, применяют нестероидные противовоспалительные препараты и противоревматичес</w:t>
        <w:softHyphen/>
        <w:br w:type="column"/>
        <w:t>кие средства длительного действия. С этой целью использу</w:t>
        <w:softHyphen/>
        <w:t xml:space="preserve">ют </w:t>
      </w:r>
      <w:r>
        <w:rPr>
          <w:rStyle w:val="CharStyle103"/>
        </w:rPr>
        <w:t xml:space="preserve">делагил </w:t>
      </w:r>
      <w:r>
        <w:rPr>
          <w:rStyle w:val="CharStyle103"/>
          <w:lang w:val="en-US" w:eastAsia="en-US" w:bidi="en-US"/>
        </w:rPr>
        <w:t xml:space="preserve">(Delagil, </w:t>
      </w:r>
      <w:r>
        <w:rPr>
          <w:rStyle w:val="CharStyle103"/>
        </w:rPr>
        <w:t>син. Хлорохин)</w:t>
      </w:r>
      <w:r>
        <w:rPr>
          <w:lang w:val="ru-RU" w:eastAsia="ru-RU" w:bidi="ru-RU"/>
          <w:w w:val="100"/>
          <w:spacing w:val="0"/>
          <w:color w:val="000000"/>
          <w:position w:val="0"/>
        </w:rPr>
        <w:t xml:space="preserve"> в возрастной дозировке 1 раз в день вечером в течение 6 мес. в сочетании с </w:t>
      </w:r>
      <w:r>
        <w:rPr>
          <w:rStyle w:val="CharStyle103"/>
        </w:rPr>
        <w:t>ортофе</w:t>
        <w:softHyphen/>
        <w:t xml:space="preserve">ном </w:t>
      </w:r>
      <w:r>
        <w:rPr>
          <w:rStyle w:val="CharStyle103"/>
          <w:lang w:val="en-US" w:eastAsia="en-US" w:bidi="en-US"/>
        </w:rPr>
        <w:t xml:space="preserve">(Ortophen, </w:t>
      </w:r>
      <w:r>
        <w:rPr>
          <w:rStyle w:val="CharStyle103"/>
        </w:rPr>
        <w:t>син. Диклофенак)</w:t>
      </w:r>
      <w:r>
        <w:rPr>
          <w:lang w:val="ru-RU" w:eastAsia="ru-RU" w:bidi="ru-RU"/>
          <w:w w:val="100"/>
          <w:spacing w:val="0"/>
          <w:color w:val="000000"/>
          <w:position w:val="0"/>
        </w:rPr>
        <w:t xml:space="preserve"> 2-3 мг/кг/сутки — 2 мес. Курс лечения </w:t>
      </w:r>
      <w:r>
        <w:rPr>
          <w:rStyle w:val="CharStyle103"/>
        </w:rPr>
        <w:t>ортофеном</w:t>
      </w:r>
      <w:r>
        <w:rPr>
          <w:lang w:val="ru-RU" w:eastAsia="ru-RU" w:bidi="ru-RU"/>
          <w:w w:val="100"/>
          <w:spacing w:val="0"/>
          <w:color w:val="000000"/>
          <w:position w:val="0"/>
        </w:rPr>
        <w:t xml:space="preserve"> повторяют при необходимости после 2-месячного перерыва.</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У подростков при лечении подострых инфекционных эндокардитов с высоким уровнем циркулирующих иммун</w:t>
        <w:softHyphen/>
        <w:t>ных комплексов рассматривается возможность применения плазмафереза. В острую стадию заболевания с целью имму</w:t>
        <w:softHyphen/>
        <w:t xml:space="preserve">нокоррекции положительно зарекомендовал себя </w:t>
      </w:r>
      <w:r>
        <w:rPr>
          <w:rStyle w:val="CharStyle103"/>
        </w:rPr>
        <w:t>иммуно</w:t>
        <w:softHyphen/>
        <w:t>фан</w:t>
      </w:r>
      <w:r>
        <w:rPr>
          <w:lang w:val="ru-RU" w:eastAsia="ru-RU" w:bidi="ru-RU"/>
          <w:w w:val="100"/>
          <w:spacing w:val="0"/>
          <w:color w:val="000000"/>
          <w:position w:val="0"/>
        </w:rPr>
        <w:t xml:space="preserve"> в дозе 1 мл 5-10 инъекций через день. Совершенствова</w:t>
        <w:softHyphen/>
        <w:t>ние техники кардиохирургических операций позволило с успехом применять данный метод лечения у больных с ин</w:t>
        <w:softHyphen/>
        <w:t>фекционным эндокардитом в остром периоде заболевания.</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Учитывая тот факт, что в патогенезе образования вегета</w:t>
        <w:softHyphen/>
        <w:t xml:space="preserve">ций при инфекционном эндокардите важную роль играет наклонность к тромбообразованию на фоне умеренного повышения свертываемости крови, с целью улучшения реологических свойств крови показаны </w:t>
      </w:r>
      <w:r>
        <w:rPr>
          <w:rStyle w:val="CharStyle103"/>
        </w:rPr>
        <w:t>дипиридамол (Ку- рантил, Персантин)</w:t>
      </w:r>
      <w:r>
        <w:rPr>
          <w:lang w:val="ru-RU" w:eastAsia="ru-RU" w:bidi="ru-RU"/>
          <w:w w:val="100"/>
          <w:spacing w:val="0"/>
          <w:color w:val="000000"/>
          <w:position w:val="0"/>
        </w:rPr>
        <w:t xml:space="preserve"> в суточной дозе 2-4 мг/кг в 3 приема, </w:t>
      </w:r>
      <w:r>
        <w:rPr>
          <w:rStyle w:val="CharStyle103"/>
        </w:rPr>
        <w:t>пентоксифиллин (Трентал)</w:t>
      </w:r>
      <w:r>
        <w:rPr>
          <w:lang w:val="ru-RU" w:eastAsia="ru-RU" w:bidi="ru-RU"/>
          <w:w w:val="100"/>
          <w:spacing w:val="0"/>
          <w:color w:val="000000"/>
          <w:position w:val="0"/>
        </w:rPr>
        <w:t xml:space="preserve"> в возрастной дозировке. </w:t>
      </w:r>
      <w:r>
        <w:rPr>
          <w:rStyle w:val="CharStyle103"/>
        </w:rPr>
        <w:t xml:space="preserve">Куран- тил </w:t>
      </w:r>
      <w:r>
        <w:rPr>
          <w:rStyle w:val="CharStyle103"/>
          <w:lang w:val="en-US" w:eastAsia="en-US" w:bidi="en-US"/>
        </w:rPr>
        <w:t xml:space="preserve">(Kurantyl, </w:t>
      </w:r>
      <w:r>
        <w:rPr>
          <w:rStyle w:val="CharStyle103"/>
        </w:rPr>
        <w:t>син. Дипиридамол)</w:t>
      </w:r>
      <w:r>
        <w:rPr>
          <w:lang w:val="ru-RU" w:eastAsia="ru-RU" w:bidi="ru-RU"/>
          <w:w w:val="100"/>
          <w:spacing w:val="0"/>
          <w:color w:val="000000"/>
          <w:position w:val="0"/>
        </w:rPr>
        <w:t xml:space="preserve"> обладает не только антиаг- регационным эффектом в отношении тромбоцитов, но яв</w:t>
        <w:softHyphen/>
        <w:t xml:space="preserve">ляется активным коронарным препаратом, устраняющим коронарную недостаточность. Положительное действие </w:t>
      </w:r>
      <w:r>
        <w:rPr>
          <w:rStyle w:val="CharStyle103"/>
        </w:rPr>
        <w:t>трентала</w:t>
      </w:r>
      <w:r>
        <w:rPr>
          <w:lang w:val="ru-RU" w:eastAsia="ru-RU" w:bidi="ru-RU"/>
          <w:w w:val="100"/>
          <w:spacing w:val="0"/>
          <w:color w:val="000000"/>
          <w:position w:val="0"/>
        </w:rPr>
        <w:t xml:space="preserve"> обусловлено как улучшением реологических свойств крови, так и блокированием туморнекротического фактора, вырабатываемого активными макрофагами и мо</w:t>
        <w:softHyphen/>
        <w:t>ноцитами и непосредственно повреждающего эндокард.</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Наиболее частой причиной летальности при инфекци</w:t>
        <w:softHyphen/>
        <w:t>онном эндокардите является декомпенсация кровообраще</w:t>
        <w:softHyphen/>
        <w:t>ния с развитием рефрактерной сердечной недостаточности. Причиной последней могут явиться перфорация аорталь</w:t>
        <w:softHyphen/>
        <w:t>ного клапана, отрыв хорд митрального клапана, абсцесс миокарда с развитием внутрисердечного шунта.</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Особенности лечения сердечной недостаточности при инфекционном эндокардите обусловлены тем, что она свя</w:t>
        <w:softHyphen/>
        <w:t>зана больше с гемодинамическим фактором, чем с миокар</w:t>
        <w:softHyphen/>
        <w:t>диальным. Поэтому назначение сердечных гликозидов не дает должного эффекта. Кроме того, повышение тонуса миокарда может способствовать отрыву вегетаций с после</w:t>
        <w:softHyphen/>
        <w:t xml:space="preserve">дующей тромбоэмболией. Назначение </w:t>
      </w:r>
      <w:r>
        <w:rPr>
          <w:rStyle w:val="CharStyle103"/>
        </w:rPr>
        <w:t>дигоксина</w:t>
      </w:r>
      <w:r>
        <w:rPr>
          <w:lang w:val="ru-RU" w:eastAsia="ru-RU" w:bidi="ru-RU"/>
          <w:w w:val="100"/>
          <w:spacing w:val="0"/>
          <w:color w:val="000000"/>
          <w:position w:val="0"/>
        </w:rPr>
        <w:t xml:space="preserve"> и других инотропных средств </w:t>
      </w:r>
      <w:r>
        <w:rPr>
          <w:rStyle w:val="CharStyle103"/>
        </w:rPr>
        <w:t>(допамин, добутамин)</w:t>
      </w:r>
      <w:r>
        <w:rPr>
          <w:lang w:val="ru-RU" w:eastAsia="ru-RU" w:bidi="ru-RU"/>
          <w:w w:val="100"/>
          <w:spacing w:val="0"/>
          <w:color w:val="000000"/>
          <w:position w:val="0"/>
        </w:rPr>
        <w:t xml:space="preserve"> при инфекци</w:t>
        <w:softHyphen/>
        <w:t>онном эндокардите противопоказано из-за высокого риска тромбоэмболических осложнений вследствие отрыва бак</w:t>
        <w:softHyphen/>
        <w:t>териальных вегетаций или усиления клапанной дисфунк</w:t>
        <w:softHyphen/>
        <w:t>ции (например, отрыв хорд митрального клапана). Однако в случаях выраженной недостаточности кровообращения возможно назначение сердечных гликозидов в небольших поддерживающих дозах (дигоксин 5-10 мкг/кг в суточной пероральной поддерживающей дозе).</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Для устранения недостаточности кровообращения пока</w:t>
        <w:softHyphen/>
        <w:t xml:space="preserve">зано применение мочегонных препаратов </w:t>
      </w:r>
      <w:r>
        <w:rPr>
          <w:rStyle w:val="CharStyle103"/>
        </w:rPr>
        <w:t>(фуросемид, три- ампур, верошпирон).</w:t>
      </w:r>
      <w:r>
        <w:rPr>
          <w:lang w:val="ru-RU" w:eastAsia="ru-RU" w:bidi="ru-RU"/>
          <w:w w:val="100"/>
          <w:spacing w:val="0"/>
          <w:color w:val="000000"/>
          <w:position w:val="0"/>
        </w:rPr>
        <w:t xml:space="preserve"> В зависимости от выраженности за</w:t>
        <w:softHyphen/>
        <w:t>стойных явлений назначают один препарат или их комби</w:t>
        <w:softHyphen/>
        <w:t>нацию в возрастной дозировке.</w:t>
      </w:r>
    </w:p>
    <w:p>
      <w:pPr>
        <w:pStyle w:val="Style30"/>
        <w:widowControl w:val="0"/>
        <w:keepNext w:val="0"/>
        <w:keepLines w:val="0"/>
        <w:shd w:val="clear" w:color="auto" w:fill="auto"/>
        <w:bidi w:val="0"/>
        <w:spacing w:before="0" w:after="0"/>
        <w:ind w:left="0" w:right="0" w:firstLine="300"/>
      </w:pPr>
      <w:r>
        <w:pict>
          <v:shape id="_x0000_s1479" type="#_x0000_t75" style="position:absolute;margin-left:136.8pt;margin-top:736.3pt;width:209.75pt;height:14.9pt;z-index:-125829077;mso-wrap-distance-left:136.8pt;mso-wrap-distance-right:148.1pt;mso-wrap-distance-bottom:10.8pt;mso-position-horizontal-relative:margin;mso-position-vertical-relative:margin" wrapcoords="0 0 21600 0 21600 21600 0 21600 0 0">
            <v:imagedata r:id="rId756" r:href="rId757"/>
            <w10:wrap type="topAndBottom" anchorx="margin" anchory="margin"/>
          </v:shape>
        </w:pict>
      </w:r>
      <w:r>
        <w:rPr>
          <w:lang w:val="ru-RU" w:eastAsia="ru-RU" w:bidi="ru-RU"/>
          <w:w w:val="100"/>
          <w:spacing w:val="0"/>
          <w:color w:val="000000"/>
          <w:position w:val="0"/>
        </w:rPr>
        <w:t>Лечение сердечной недостаточности тесно связано с за</w:t>
        <w:softHyphen/>
        <w:t>щитой эндокарда, эндотелия капилляров и миокарда от ги</w:t>
        <w:softHyphen/>
        <w:t>поксического и токсического воздействия. С целью защиты миокарда и эндокарда от гипоксического воздействия при- меняется</w:t>
      </w:r>
      <w:r>
        <w:rPr>
          <w:rStyle w:val="CharStyle103"/>
        </w:rPr>
        <w:t xml:space="preserve">рибоксин </w:t>
      </w:r>
      <w:r>
        <w:rPr>
          <w:rStyle w:val="CharStyle103"/>
          <w:lang w:val="en-US" w:eastAsia="en-US" w:bidi="en-US"/>
        </w:rPr>
        <w:t xml:space="preserve">(Riboxini, </w:t>
      </w:r>
      <w:r>
        <w:rPr>
          <w:rStyle w:val="CharStyle103"/>
        </w:rPr>
        <w:t>син. Инозин).</w:t>
      </w:r>
      <w:r>
        <w:rPr>
          <w:lang w:val="ru-RU" w:eastAsia="ru-RU" w:bidi="ru-RU"/>
          <w:w w:val="100"/>
          <w:spacing w:val="0"/>
          <w:color w:val="000000"/>
          <w:position w:val="0"/>
        </w:rPr>
        <w:t xml:space="preserve"> Наиболее сущес-</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твенные результаты нами были получены от внутривенного применения препарата (5-20 мл в сутки в зависимости от возраста). Выраженным антигипоксическим эффектом об</w:t>
        <w:softHyphen/>
        <w:t xml:space="preserve">ладает также </w:t>
      </w:r>
      <w:r>
        <w:rPr>
          <w:rStyle w:val="CharStyle103"/>
        </w:rPr>
        <w:t>цитохром С</w:t>
      </w:r>
      <w:r>
        <w:rPr>
          <w:lang w:val="ru-RU" w:eastAsia="ru-RU" w:bidi="ru-RU"/>
          <w:w w:val="100"/>
          <w:spacing w:val="0"/>
          <w:color w:val="000000"/>
          <w:position w:val="0"/>
        </w:rPr>
        <w:t xml:space="preserve"> (15 мг/кг сутки) или предуктал 1-2 таблетки в сутки.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настоящее время при лечении инфекционного эндо</w:t>
        <w:softHyphen/>
        <w:t>кардита с успехом применяют ультрафиолетовое облучение крови (ЭУФОК). Фотомодификация аутокрови способству</w:t>
        <w:softHyphen/>
        <w:t>ет нормализации гемостаза в результате ряда неспецифиче</w:t>
        <w:softHyphen/>
        <w:t>ских воздействий (иммуностимуляции, оксигенации крови, бактерицидного вируцидного действия, стимуляции гемо</w:t>
        <w:softHyphen/>
        <w:t>поэза, улучшения реологических свойств крови, раскрытия капилляров периферического русла). Кроме того, показано, что под воздействием УФО-облучения крови происходит снижение агрегационной активности тромбоцитов в резуль</w:t>
        <w:softHyphen/>
        <w:t>тате перехода их в новое качественное состояние, характе</w:t>
        <w:softHyphen/>
        <w:t>ризующееся изменением метаболизма циклических нуклео</w:t>
        <w:softHyphen/>
        <w:t>тидов и арахидоновой кислоты в направлении, приводящем к снижению их реактогенности на агрегационные стимулы. Для лечения используют закрытую методику фракционного облучения крови при помощи отечественного серийно вы</w:t>
        <w:softHyphen/>
        <w:t>пускаемого аппарата «Изольда-MD-73-M».</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После пункции подключичной вены по Сельдингеру, за</w:t>
        <w:softHyphen/>
        <w:t>бора крови в стерильную емкость с цитратом натрия из рас</w:t>
        <w:softHyphen/>
        <w:t>чета 2 мл/кг массы пациента проводится двойное (ревер</w:t>
        <w:softHyphen/>
        <w:t>сивное) облучение крови через кварцевую кювету. Площадь облучения составляет 35 см*Дж. Процедуры продолжитель</w:t>
        <w:softHyphen/>
        <w:t>ностью около 15 мин. проводят ежедневно однократно не менее 5 раз.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комплексном лечении используют также витаминотера</w:t>
        <w:softHyphen/>
        <w:t>пию, препараты, нормализующие детоксикационную функ</w:t>
        <w:softHyphen/>
        <w:t xml:space="preserve">цию печени </w:t>
      </w:r>
      <w:r>
        <w:rPr>
          <w:rStyle w:val="CharStyle103"/>
        </w:rPr>
        <w:t xml:space="preserve">(эссенциале — </w:t>
      </w:r>
      <w:r>
        <w:rPr>
          <w:rStyle w:val="CharStyle103"/>
          <w:lang w:val="en-US" w:eastAsia="en-US" w:bidi="en-US"/>
        </w:rPr>
        <w:t xml:space="preserve">Essentiale, </w:t>
      </w:r>
      <w:r>
        <w:rPr>
          <w:rStyle w:val="CharStyle103"/>
        </w:rPr>
        <w:t>липостабил),</w:t>
      </w:r>
      <w:r>
        <w:rPr>
          <w:lang w:val="ru-RU" w:eastAsia="ru-RU" w:bidi="ru-RU"/>
          <w:w w:val="100"/>
          <w:spacing w:val="0"/>
          <w:color w:val="000000"/>
          <w:position w:val="0"/>
        </w:rPr>
        <w:t xml:space="preserve"> природные адаптогены (настойки элеутерококка, аралии, заманихи).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настоящее время в литературе широко обсуждаются возможности применения медикаментозной иммунокор</w:t>
        <w:softHyphen/>
        <w:t>рекции (тималин, тактивин, препараты интерферона и т.д.) и экстракорпоральных методов лечения (гемосорбция, плазмаферез) у больных ИЭ. Однако достаточно малый опыт применения этих препаратов и процедур при ИЭ не позволяет дать каких-либо однозначных рекомендаций.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случаях неэффективности лекарственной терапии не</w:t>
        <w:softHyphen/>
        <w:t>обходимо хирургическое лечение. Следует подчеркнуть, что активный ИЭ не является противопоказанием к оператив</w:t>
        <w:softHyphen/>
        <w:t>ному лечению.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Показания к оперативному лечению при инфекционном эн</w:t>
        <w:softHyphen/>
        <w:t>докардите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ИЭ нативных клапанов сердца</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Острая аортальная недостаточность, сопровождаю</w:t>
        <w:softHyphen/>
        <w:t>щаяся сердечной недостаточностью.</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Острая аортальная недостаточность, сопровождаю</w:t>
        <w:softHyphen/>
        <w:t>щаяся тахикардией и ранним закрытием митрального клапана.</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Грибковый эндокардит.</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Абсцесс, аневризма синуса или аорты.</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Нарушение функции клапана и персистирование ин</w:t>
        <w:softHyphen/>
        <w:t>фекции (лихорадка, лейкоцитоз, бактериемия) после адекватной антибактериальной терапии.</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Рецидивирующие эмболии после адекватной анти</w:t>
        <w:softHyphen/>
        <w:t>бактериальной терапии.</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ИЭ, вызванный грамотрицательными бактериями или другими микроорганизмами, плохо поддающи</w:t>
        <w:softHyphen/>
        <w:br w:type="column"/>
        <w:t>мися лечению антибиотиками, при наличии призна</w:t>
        <w:softHyphen/>
        <w:t>ков дисфункции клапана.</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Подвижные вегетации размером более 10 мм.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ИЭ искусственных клапанов сердца</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Ранний эндокардит (в течение первых 2 мес после операции).</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Сердечная недостаточность на фоне дисфункции клапана.</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Грибковый эндокардит.</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Стафилококковый эндокардит, не поддающийся те</w:t>
        <w:softHyphen/>
        <w:t>рапии.</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Абсцессы, аневризмы синуса или аорты, образование фистул, появление нарушений проводимости.</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ИЭ, вызванный грамотрицательными бактериями или другими микроорганизмами, плохо поддающи</w:t>
        <w:softHyphen/>
        <w:t>мися лечению.</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Нарушение функции клапана и персистирование ин</w:t>
        <w:softHyphen/>
        <w:t>фекции (лихорадка, лейкоцитоз и бактериемия) пос</w:t>
        <w:softHyphen/>
        <w:t>ле адекватной 7-10 дневной терапии.</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Рецидивирующие эмболии после адекватной анти</w:t>
        <w:softHyphen/>
        <w:t>бактериальной терапии.</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Вегетации любого размера на искусственном клапане или около него.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Абсолютные показания к оперативному лечению ИЭ</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Сердечная недостаточность.</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Обструкция сердечных клапанов.</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Перивальвулярный абсцесс.</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Аневризма синуса Вальсальвы.</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Некандидозный грибковый ИЭ.</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ИЭ искусственных клапанов.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Относительные показания к оперативному лечению ИЭ</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Перивальвулярный абсцесс по данным ЭхоКГ.</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Персистирующая бактериемия.</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Ранний ИЭ искусственных клапанов.</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Аневризма синуса Вальсальвы.</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Кандидозный и эндокардит.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Эхокардиографическими показаниями к ранней хирур</w:t>
        <w:softHyphen/>
        <w:t>гической коррекции инфекционного эндокардита являются:</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Вегетации.</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Персистирующие вегетации после системной эмболии.</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Вегетации на передней митральной створке &gt;10 мм</w:t>
      </w:r>
      <w:r>
        <w:rPr>
          <w:lang w:val="ru-RU" w:eastAsia="ru-RU" w:bidi="ru-RU"/>
          <w:vertAlign w:val="superscript"/>
          <w:w w:val="100"/>
          <w:spacing w:val="0"/>
          <w:color w:val="000000"/>
          <w:position w:val="0"/>
        </w:rPr>
        <w:t>2</w:t>
      </w:r>
      <w:r>
        <w:rPr>
          <w:lang w:val="ru-RU" w:eastAsia="ru-RU" w:bidi="ru-RU"/>
          <w:w w:val="100"/>
          <w:spacing w:val="0"/>
          <w:color w:val="000000"/>
          <w:position w:val="0"/>
        </w:rPr>
        <w:t>.</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Один или более случаев системной эмболии в тече</w:t>
        <w:softHyphen/>
        <w:t>ние двух недель от начала антимикробной терапии</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Два или более случаев системной эмболии после окончания антимикробной терапии.</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Увеличение размера вегетации после четырех недель от начала антибактериальной терапии.</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Клапанная дисфункция.</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Острая аортальная или митральная недостаточность без признаков недостаточности левого желудочка.</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Сердечная недостаточность, рефрактерная к медика</w:t>
        <w:softHyphen/>
        <w:t>ментозной терапии.</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Перфорация или разрыв клапана.</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Перивальвулярный абсцесс.</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Отрыв клапана или формирование фистулы.</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Появление блокады сердца.</w:t>
      </w:r>
    </w:p>
    <w:p>
      <w:pPr>
        <w:pStyle w:val="Style30"/>
        <w:numPr>
          <w:ilvl w:val="0"/>
          <w:numId w:val="95"/>
        </w:numPr>
        <w:tabs>
          <w:tab w:leader="none" w:pos="518" w:val="left"/>
        </w:tabs>
        <w:widowControl w:val="0"/>
        <w:keepNext w:val="0"/>
        <w:keepLines w:val="0"/>
        <w:shd w:val="clear" w:color="auto" w:fill="auto"/>
        <w:bidi w:val="0"/>
        <w:spacing w:before="0" w:after="180"/>
        <w:ind w:left="500" w:right="0" w:hanging="220"/>
      </w:pPr>
      <w:r>
        <w:rPr>
          <w:lang w:val="ru-RU" w:eastAsia="ru-RU" w:bidi="ru-RU"/>
          <w:w w:val="100"/>
          <w:spacing w:val="0"/>
          <w:color w:val="000000"/>
          <w:position w:val="0"/>
        </w:rPr>
        <w:t>Большой абсцесс, рефрактерный к антибактериаль</w:t>
        <w:softHyphen/>
        <w:t>ной терапии.</w:t>
      </w:r>
    </w:p>
    <w:p>
      <w:pPr>
        <w:pStyle w:val="Style30"/>
        <w:widowControl w:val="0"/>
        <w:keepNext w:val="0"/>
        <w:keepLines w:val="0"/>
        <w:shd w:val="clear" w:color="auto" w:fill="auto"/>
        <w:bidi w:val="0"/>
        <w:spacing w:before="0" w:after="0"/>
        <w:ind w:left="0" w:right="0" w:firstLine="280"/>
      </w:pPr>
      <w:r>
        <w:pict>
          <v:shape id="_x0000_s1480" type="#_x0000_t75" style="position:absolute;margin-left:148.1pt;margin-top:736.3pt;width:209.75pt;height:14.9pt;z-index:-125829076;mso-wrap-distance-left:148.1pt;mso-wrap-distance-right:136.8pt;mso-wrap-distance-bottom:10.8pt;mso-position-horizontal-relative:margin;mso-position-vertical-relative:margin" wrapcoords="0 0 21600 0 21600 21600 0 21600 0 0">
            <v:imagedata r:id="rId758" r:href="rId759"/>
            <w10:wrap type="topAndBottom" anchorx="margin" anchory="margin"/>
          </v:shape>
        </w:pict>
      </w:r>
      <w:r>
        <w:rPr>
          <w:lang w:val="ru-RU" w:eastAsia="ru-RU" w:bidi="ru-RU"/>
          <w:w w:val="100"/>
          <w:spacing w:val="0"/>
          <w:color w:val="000000"/>
          <w:position w:val="0"/>
        </w:rPr>
        <w:t>Целью операции является удаление инфицированных и некротических тканей клапанного аппарата путем ради</w:t>
        <w:softHyphen/>
        <w:t>кального иссечения и реконструкции сердца.</w:t>
      </w:r>
      <w:r>
        <w:br w:type="page"/>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Оптимальная реконструкция предполагает восстановле</w:t>
        <w:softHyphen/>
        <w:t>ние нормальной анатомии и функции клапанов при низ</w:t>
        <w:softHyphen/>
        <w:t>ком оперативном риске. В свою очередь оперативный риск зависит от состояния пациента, фоновой патологии, воз</w:t>
        <w:softHyphen/>
        <w:t>можностей и опыта хирурга. Основным непосредственным риском является персистирующая инфекция. Отсрочен</w:t>
        <w:softHyphen/>
        <w:t>ный риск включает развитие рецидивирующего ИЭ и ос</w:t>
        <w:softHyphen/>
        <w:t>ложнений со стороны клапанов.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В.В.Давыдкиным (1993) разработана балльная оценка показаний к раннему хирургическому лечению инфекци</w:t>
        <w:softHyphen/>
        <w:t>онного эндокардита в детском возрасте. Показания к опе</w:t>
        <w:softHyphen/>
        <w:t>рации определяются по клиническим, эхокардиографичес</w:t>
        <w:softHyphen/>
        <w:t>ким и лабораторным признакам.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Застойная сердечная недостаточность — 5 баллов.</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Неконтролируемая инфекция — 5 баллов.</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Застойная сердечная недостаточность, обусловлен</w:t>
        <w:softHyphen/>
        <w:t>ная реканализацией порока, в группе детей с после</w:t>
        <w:softHyphen/>
        <w:t>операционным эндокардитом — 5 баллов.</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Рецидив инфекции в случаях послеоперационного эндокардита и первичного эндокардита — 3 балла.</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Повторные рецидивы в случаях эндокардита на фоне ВПС и приобретенных пороков сердца — 3 балла.</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2-х клапанов — 5 баллов.</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Коронарная недостаточность — 3 балла.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Эхокардиографические:</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Внутрисердечные осложнения — 5 баллов.</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2-х клапанов — 5 баллов.</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Крупные подвижные вегетации на аортальном клапа</w:t>
        <w:softHyphen/>
        <w:t>не — 4 балла.</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Признаки реканализации порока, сочетающиеся с обнаружением вегетаций, — 4 балла.</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Признаки поражения миокарда (увеличение конечно диастолического размера левого желудочка более 150%, снижение фракции выброса менее 0,5-50%) — 3 балла.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Лабораторные:</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Гр (-) флора в случаях послеоперационного инфекци</w:t>
        <w:softHyphen/>
        <w:t>онного эндокардита — 4 балла.</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Эпидермальный стафилококк в случаях послеопера</w:t>
        <w:softHyphen/>
        <w:t>ционного эндокардита и эндокардита на фоне ревма</w:t>
        <w:softHyphen/>
        <w:t>тического поражения клапана — 4 балла.</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Золотистый стафилококк — 3 балла.</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Р-гемолитический стрептококк — 3 балла.</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Длительный лейкоцитоз (лейкоцитоз выше 12 000 более 8 нед), несмотря на адекватную терапию — 3 балла.</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Длительное ускорение СОЭ (СОЭ выше 15 мм/час более 8 нед), несмотря на адекватную терапию — 3 балла.</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Уровень ЦИК выше 0,150 в сочетании с признаками поражения миокарда — 2 балла.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Показанием к раннему хирургическому лечению инфек</w:t>
        <w:softHyphen/>
        <w:t>ционного эндокардита является наличие у больного более 15 баллов. При отсутствии клинических проявлений ин</w:t>
        <w:softHyphen/>
        <w:t>фекционного эндокардита ведущее значение имеют кла</w:t>
        <w:softHyphen/>
        <w:t>панная деструкция и развитие застойной сердечной недо</w:t>
        <w:softHyphen/>
        <w:t>статочности. В данных случаях вопрос об экстренном хи</w:t>
        <w:softHyphen/>
        <w:t>рургическом лечении решается при наличии у больного не менее 10 баллов, в остальных случаях операция проводится в плановом порядке.</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Наиболее распространенные ошибки при ведении паци</w:t>
        <w:softHyphen/>
        <w:t>ентов с ИЭ:</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неправильный забор или исследование образцов кро</w:t>
        <w:softHyphen/>
        <w:t>ви на гемокультуру;</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несвоевременное начало антибиотикотерапии;</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несвоевременное обращение к кардиологу;</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несвоевременное хирургическое вмешательство;</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неадекватное иссечение пораженных тканей при проведении операции;</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неадекватная послеоперационная антибиотикотера</w:t>
        <w:softHyphen/>
        <w:t>пия;</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неполная эрадикация возможного очага инфекции.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Профилактика инфекционного эндокардита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Важное значение имеет профилактика инфекционного эндокардита, которая проводится в соответствии с реко</w:t>
        <w:softHyphen/>
        <w:t>мендациями американской ассоциации кардиологов.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решения вопроса о профилактике ИЭ важно знать, к какой группе риска по возникновению данного заболевания относится ребенок. Согласно Американской Ассоциации кар - диологов выделяют группы высокого и умеренного риска, ко - гда профилактика ИЭ является обязательной. В группу незна</w:t>
        <w:softHyphen/>
        <w:t>чительного риска относят пациентов, у которых вероятность возникновения ИЭ не превышает популяционную.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Группа высокого риска</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Искусственные клапаны сердца (включая биопроте</w:t>
        <w:softHyphen/>
        <w:t>зы и аллотрансплантаты).</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ИЭ в анамнезе.</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Сложные «синие» врожденные пороки сердца (тетра</w:t>
        <w:softHyphen/>
        <w:t>да Фалло, транспозиция крупных артерий и др.).</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Оперированные системные легочные шунты.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Группа умеренного риска</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Неоперированные врожденные пороки сердца: от</w:t>
        <w:softHyphen/>
        <w:t>крытый артериальный проток, дефект межжелудоч</w:t>
        <w:softHyphen/>
        <w:t>ковой перегородки, первичный дефект межпредсерд</w:t>
        <w:softHyphen/>
        <w:t>ной перегородки, коарктация аорты, двустворчатый аортальный клапан.</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Приобретенные пороки сердца.</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Гипертрофическая кардиомиопатия.</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Пролапс митрального клапана с митральной регурги- тацией и/или утолщением створок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Группа незначительного риска (не выше, чем в популяции)</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Изолированный вторичный дефект межпредсердной перегородки.</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Оперированные врожденные пороки сердца: дефект межпредсердной перегородки, дефект межжелудоч</w:t>
        <w:softHyphen/>
        <w:t>ковой перегородки, открытый артериальный проток.</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Аортокоронарное шунтирование в анамнезе.</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Пролапс митрального клапана без митральной регур - гитации.</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Функциональные или «невинные» сердечные шумы.</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Болезнь Кавасаки в анамнезе без клапанной ди</w:t>
        <w:softHyphen/>
        <w:t>сфункции.</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Ревматическая лихорадка в анамнезе без порока сердца.</w:t>
      </w:r>
    </w:p>
    <w:p>
      <w:pPr>
        <w:pStyle w:val="Style30"/>
        <w:numPr>
          <w:ilvl w:val="0"/>
          <w:numId w:val="95"/>
        </w:numPr>
        <w:tabs>
          <w:tab w:leader="none" w:pos="518"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Водители ритма и имплантированные дефибрилля</w:t>
        <w:softHyphen/>
        <w:t>торы.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Показания к профилактике ИЭ в зависимости от проводи</w:t>
        <w:softHyphen/>
        <w:t>мых манипуляций рекомендованы Американской Ассоциацией кардиологов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Профилактика ИЭ показана: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Стоматология:</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pict>
          <v:shape id="_x0000_s1481" type="#_x0000_t75" style="position:absolute;margin-left:136.9pt;margin-top:736.3pt;width:209.75pt;height:14.9pt;z-index:-125829075;mso-wrap-distance-left:136.8pt;mso-wrap-distance-right:147.85pt;mso-wrap-distance-bottom:10.8pt;mso-position-horizontal-relative:margin;mso-position-vertical-relative:margin" wrapcoords="0 0 21600 0 21600 21600 0 21600 0 0">
            <v:imagedata r:id="rId760" r:href="rId761"/>
            <w10:wrap type="topAndBottom" anchorx="margin" anchory="margin"/>
          </v:shape>
        </w:pict>
      </w:r>
      <w:r>
        <w:rPr>
          <w:lang w:val="ru-RU" w:eastAsia="ru-RU" w:bidi="ru-RU"/>
          <w:w w:val="100"/>
          <w:spacing w:val="0"/>
          <w:color w:val="000000"/>
          <w:position w:val="0"/>
        </w:rPr>
        <w:t>Экстракция зубов.</w:t>
      </w:r>
      <w:r>
        <w:br w:type="page"/>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Манипуляции на периодонте.</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Установка имплантатов.</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Вмешательства на корне зуба и др.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Дыхательные пути:</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Тонзиллэктомия и/или аденотомия.</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Операции с нарушением целостности слизистой обо</w:t>
        <w:softHyphen/>
        <w:t>лочки.</w:t>
      </w:r>
    </w:p>
    <w:p>
      <w:pPr>
        <w:pStyle w:val="Style30"/>
        <w:numPr>
          <w:ilvl w:val="0"/>
          <w:numId w:val="95"/>
        </w:numPr>
        <w:tabs>
          <w:tab w:leader="none" w:pos="518" w:val="left"/>
        </w:tabs>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Бронхоскопия жестким бронхоскопом. Желудочно-кишечный тракт*:</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Склеротерапия варикозно расширенных пищевод</w:t>
        <w:softHyphen/>
        <w:t>ных вен.</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Дилатация стриктуры пищевода.</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Эндоскопическая ретроградная холангиография при наличии холестаза.</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Операции на желчных путях.</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Операции с нарушением целостности слизистой обо</w:t>
        <w:softHyphen/>
        <w:t>лочки кишечника.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Урогенитальный тракт:</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Операции на простате.</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Цистоскопия.</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Дилатация уретры.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 показана: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Дыхательные пути:</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Интубация трахеи.</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Бронхоскопия гибким бронхоскопом (в том числе с биопсией)**.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Желудочно-кишечный тракт:</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Чреспищеводная эхокардиография**.</w:t>
      </w:r>
    </w:p>
    <w:p>
      <w:pPr>
        <w:pStyle w:val="Style30"/>
        <w:numPr>
          <w:ilvl w:val="0"/>
          <w:numId w:val="95"/>
        </w:numPr>
        <w:tabs>
          <w:tab w:leader="none" w:pos="518" w:val="left"/>
        </w:tabs>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Эндоскопия (в том числе с биопсией)**. Урогенитальный тракт:</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Чрезвагинальная гистерэктомия**.</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Влагалищное родоразрешение **.</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Кесарево сечение.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отсутствии урогенитальной инфекции:</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Катетеризация уретры.</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Расширение шейки матки и выскабливание.</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Медицинский аборт.</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Стерилизация.</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Установка или удаление внутриматочных противоза</w:t>
        <w:softHyphen/>
        <w:t>чаточных средств.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Прочие:</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Катетеризация сердца, в том числе баллонная ангио</w:t>
        <w:softHyphen/>
        <w:t>пластика.</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Имплантация водителя ритма, дефибриллятора и эн</w:t>
        <w:softHyphen/>
        <w:t>допротеза в коронарные артерии.</w:t>
      </w:r>
    </w:p>
    <w:p>
      <w:pPr>
        <w:pStyle w:val="Style30"/>
        <w:numPr>
          <w:ilvl w:val="0"/>
          <w:numId w:val="9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Разрез или биопсия кожи (с предварительной хирур</w:t>
        <w:softHyphen/>
        <w:t>гической обработкой).</w:t>
      </w:r>
    </w:p>
    <w:p>
      <w:pPr>
        <w:pStyle w:val="Style30"/>
        <w:numPr>
          <w:ilvl w:val="0"/>
          <w:numId w:val="9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Обрезание.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Несмотря на современные достижения в лечении ИЭ, высокая летальность при этом заболевании (20-45%) опре</w:t>
        <w:softHyphen/>
        <w:t>деляет его профилактику как задачу первостепенной важ</w:t>
        <w:softHyphen/>
        <w:t>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Хотя контролируемые исследования, посвященные из</w:t>
        <w:softHyphen/>
        <w:t>учению эффективности антибиотикопрофилактики ИЭ у лиц со структурными дефектами сердца, не проводились, в многочисленных работах показана возможность успеш</w:t>
        <w:softHyphen/>
        <w:t>ного подавления бактериемии, возникающей при различ</w:t>
        <w:softHyphen/>
        <w:t>ных медицинских манипуляциях. В то же время при выпол</w:t>
        <w:softHyphen/>
        <w:t>нении многих процедур у лиц со структурно измененным</w:t>
        <w:br w:type="column"/>
        <w:t>сердцем частота развития ИЭ не отличается от таковой в общей популяции. Поэтому при рациональном подходе к профилактике ИЭ подразумевается учет следующих фак</w:t>
        <w:softHyphen/>
        <w:t>торов:</w:t>
      </w:r>
    </w:p>
    <w:p>
      <w:pPr>
        <w:pStyle w:val="Style30"/>
        <w:numPr>
          <w:ilvl w:val="0"/>
          <w:numId w:val="95"/>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Степень риска развития ИЭ для больного с той или иной фоновой сердечной патологией.</w:t>
      </w:r>
    </w:p>
    <w:p>
      <w:pPr>
        <w:pStyle w:val="Style30"/>
        <w:numPr>
          <w:ilvl w:val="0"/>
          <w:numId w:val="95"/>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Степень риска бактериемии при определенных меди - цинских вмешательствах.</w:t>
      </w:r>
    </w:p>
    <w:p>
      <w:pPr>
        <w:pStyle w:val="Style30"/>
        <w:numPr>
          <w:ilvl w:val="0"/>
          <w:numId w:val="95"/>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Возможные нежелательные эффекты антимикробно</w:t>
        <w:softHyphen/>
        <w:t>го средства.</w:t>
      </w:r>
    </w:p>
    <w:p>
      <w:pPr>
        <w:pStyle w:val="Style30"/>
        <w:numPr>
          <w:ilvl w:val="0"/>
          <w:numId w:val="95"/>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Стоимостные аспекты рекомендуемой профилакти</w:t>
        <w:softHyphen/>
        <w:t>ческой схемы.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соответствии с рекомендациями, разработанными комитетом экспертов Американской кардиологической ассоциации, антибиотикопрофилактика показана в на</w:t>
        <w:softHyphen/>
        <w:t>ибольшей степени таким больным, у которых ИЭ не толь</w:t>
        <w:softHyphen/>
        <w:t>ко развивается значительно чаще по сравнению с популя</w:t>
        <w:softHyphen/>
        <w:t>ционными данными, но и ассоциируется с высокой ле</w:t>
        <w:softHyphen/>
        <w:t>тальностью. В данную категорию (группа высокого рис</w:t>
        <w:softHyphen/>
        <w:t>ка) включены пациенты с сердечными клапанными про</w:t>
        <w:softHyphen/>
        <w:t>тезами, ИЭ в анамнезе (даже при отсутствии иной карди</w:t>
        <w:softHyphen/>
        <w:t>альной патологии), сложными «синими» врожденными пороками сердца и оперированными системными легоч</w:t>
        <w:softHyphen/>
        <w:t>ными шунтами. В группу умеренного риска входят боль</w:t>
        <w:softHyphen/>
        <w:t>ные с иной врожденной неоперированной кардиальной патологией, а также приобретенными клапанными поро</w:t>
        <w:softHyphen/>
        <w:t>ками сердца (обусловленными, как правило, ревматичес</w:t>
        <w:softHyphen/>
        <w:t>кими заболеваниями) и гипертрофической кардиомиопа</w:t>
        <w:softHyphen/>
        <w:t>тией.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Заслуживает отдельного обсуждения вопрос о пролапсе митрального клапана (ПМК). Последний нередко встреча</w:t>
        <w:softHyphen/>
        <w:t>ется в клинической практике, особенно у молодых людей, и не всегда является отражением каких-либо структурных или функциональных клапанных нарушений. В частности, преходящий ПМК отмечается при дегидратации и тахикар</w:t>
        <w:softHyphen/>
        <w:t>дии. При отсутствии структурных изменений клапанных створок, систолического шума и эхокардиографических признаков митральной регургитации (либо при минималь</w:t>
        <w:softHyphen/>
        <w:t>ной степени ее выраженности) риск развития ИЭ у лиц с ПМК не отличается от популяционного. Антибиотико</w:t>
        <w:softHyphen/>
        <w:t>профилактика в этих случаях нецелесообразна. Если ПМК сопровождается умеренной (тем более выраженной) мит</w:t>
        <w:softHyphen/>
        <w:t>ральной регургитацией, последняя способствует возникно</w:t>
        <w:softHyphen/>
        <w:t>вению турбулентных токов крови, тем самым повышается вероятность бактериальной адгезии на клапане во время бактериемии. Следовательно, таким больным антибиоти</w:t>
        <w:softHyphen/>
        <w:t>копрофилактика показана. ПМК может быть следствием миксоматозного клапанного перерождения, сопровождаю</w:t>
        <w:softHyphen/>
        <w:t>щегося утолщением створок; у этих больных риск развития митральной регургитации увеличивается с возрастом. При миксоматозном перерождении митрального клапана развитие регургитации возможно во время физической на</w:t>
        <w:softHyphen/>
        <w:t>грузки у лиц любого возраста.</w:t>
      </w:r>
    </w:p>
    <w:p>
      <w:pPr>
        <w:pStyle w:val="Style30"/>
        <w:widowControl w:val="0"/>
        <w:keepNext w:val="0"/>
        <w:keepLines w:val="0"/>
        <w:shd w:val="clear" w:color="auto" w:fill="auto"/>
        <w:bidi w:val="0"/>
        <w:spacing w:before="0" w:after="0"/>
        <w:ind w:left="0" w:right="0" w:firstLine="280"/>
      </w:pPr>
      <w:r>
        <w:pict>
          <v:shape id="_x0000_s1482" type="#_x0000_t202" style="position:absolute;margin-left:12.7pt;margin-top:646.45pt;width:8.9pt;height:20.6pt;z-index:-125829074;mso-wrap-distance-left:5.pt;mso-wrap-distance-right:5.3pt;mso-wrap-distance-bottom:22.55pt;mso-position-horizontal-relative:margin;mso-position-vertical-relative:margin" filled="f" stroked="f">
            <v:textbox style="mso-fit-shape-to-text:t" inset="0,0,0,0">
              <w:txbxContent>
                <w:p>
                  <w:pPr>
                    <w:pStyle w:val="Style30"/>
                    <w:widowControl w:val="0"/>
                    <w:keepNext w:val="0"/>
                    <w:keepLines w:val="0"/>
                    <w:shd w:val="clear" w:color="auto" w:fill="auto"/>
                    <w:bidi w:val="0"/>
                    <w:spacing w:before="0" w:after="0" w:line="178" w:lineRule="exact"/>
                    <w:ind w:left="0" w:right="0" w:firstLine="0"/>
                  </w:pPr>
                  <w:r>
                    <w:rPr>
                      <w:rStyle w:val="CharStyle90"/>
                    </w:rPr>
                    <w:t>* _ **</w:t>
                  </w:r>
                </w:p>
              </w:txbxContent>
            </v:textbox>
            <w10:wrap type="square" side="right" anchorx="margin" anchory="margin"/>
          </v:shape>
        </w:pict>
      </w:r>
      <w:r>
        <w:pict>
          <v:shape id="_x0000_s1483" type="#_x0000_t202" style="position:absolute;margin-left:26.9pt;margin-top:647.75pt;width:414.25pt;height:22.05pt;z-index:-125829073;mso-wrap-distance-left:5.pt;mso-wrap-distance-right:53.3pt;mso-wrap-distance-bottom:19.8pt;mso-position-horizontal-relative:margin;mso-position-vertic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Профилактика рекомендуется у больных группы высокого риска и возможна у больных группы умеренного риска. - Профилактика возможна у больных группы высокого риска.</w:t>
                  </w:r>
                </w:p>
              </w:txbxContent>
            </v:textbox>
            <w10:wrap type="topAndBottom" anchorx="margin" anchory="margin"/>
          </v:shape>
        </w:pict>
      </w:r>
      <w:r>
        <w:rPr>
          <w:lang w:val="ru-RU" w:eastAsia="ru-RU" w:bidi="ru-RU"/>
          <w:w w:val="100"/>
          <w:spacing w:val="0"/>
          <w:color w:val="000000"/>
          <w:position w:val="0"/>
        </w:rPr>
        <w:t>Транзиторная бактериемия может возникать при повсе</w:t>
        <w:softHyphen/>
        <w:t>дневной активности, например, чистке зубов или переже</w:t>
        <w:softHyphen/>
        <w:t>вывании пищи. Однако антибиотикопрофилактика показа</w:t>
        <w:softHyphen/>
        <w:t>на только при определенных вмешательствах, влекущих за собой бактериемию, вызванную потенциальными возбуди</w:t>
        <w:softHyphen/>
        <w:t>телями ИЭ.</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актуальным является вопрос о профилактиче</w:t>
        <w:softHyphen/>
        <w:t>ском применении антибиотиков в стоматологической практике. Показано, что частота и выраженность бактерие</w:t>
        <w:softHyphen/>
        <w:t>мии орального генеза прямо пропорциональны степени инфицированности ротовой полости. Низкий уровень ги</w:t>
        <w:softHyphen/>
        <w:t>гиены полости рта, наличие периодонтальных и периапи</w:t>
        <w:softHyphen/>
        <w:t>кальных очагов инфекции могут быть причиной бактерие</w:t>
        <w:softHyphen/>
        <w:t>мии даже при отсутствии каких-либо манипуляций. Следо</w:t>
        <w:softHyphen/>
        <w:t>вательно, больным из групп риска необходим регулярный осмотр стоматолога с проведением гигиенических и лечеб</w:t>
        <w:softHyphen/>
        <w:t>ных процедур.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Антибиотикопрофилактика показана всем больным групп риска при стоматологических манипуляциях в поло</w:t>
        <w:softHyphen/>
        <w:t>сти рта, сопровождающихся значительным кровотечением из твердых и мягких тканей, хирургических вмешательствах на периодонте, удалении зубных камней и т.д. При неожи</w:t>
        <w:softHyphen/>
        <w:t>данном развитии кровотечения во время иных стоматоло</w:t>
        <w:softHyphen/>
        <w:t>гических манипуляций (установка ортодонтических ско</w:t>
        <w:softHyphen/>
        <w:t>бок, удаление швов и др.), не требовавших предварительно</w:t>
        <w:softHyphen/>
        <w:t>го приема антимикробных средств, как показывают экспе</w:t>
        <w:softHyphen/>
        <w:t>рименты на животных, назначение антибиотиков в течение 2 ч после вмешательства также будет эффективным. При</w:t>
        <w:softHyphen/>
        <w:t>менение этих препаратов более чем через 4 ч после проце</w:t>
        <w:softHyphen/>
        <w:t>дуры, по всей вероятности, не оказывает профилактическо</w:t>
        <w:softHyphen/>
        <w:t>го эффекта.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Хирургические вмешательства, при которых нарушается целостность слизистой оболочки дыхательных путей, могут привести к бактериемии и, следовательно, являются пока</w:t>
        <w:softHyphen/>
        <w:t>заниями к антибиотикопрофилактике. Применение жест</w:t>
        <w:softHyphen/>
        <w:t>кого бронхоскопа может травмировать слизистую оболочку, в то время как при фибробронхоскопии и эндотрахеальной интубации такие повреждения маловероятны. При боль</w:t>
        <w:softHyphen/>
        <w:t>шинстве эндоскопических процедур на желудочно-кишеч</w:t>
        <w:softHyphen/>
        <w:t>ном тракте риск развития ИЭ невелик, поскольку частота бактериемии составляет 2-5%, а идентифицируемые мик</w:t>
        <w:softHyphen/>
        <w:t>роорганизмы редко вызывают данное заболевание. Не уста</w:t>
        <w:softHyphen/>
        <w:t>новлено нарастания частоты бактериемии при выполнении биопсии слизистой оболочки желудка и полипэктомии той же локализации. Однако некоторые манипуляции на пище</w:t>
        <w:softHyphen/>
        <w:t>варительном тракте ассоциируются с более высокой часто</w:t>
        <w:softHyphen/>
        <w:t>той транзиторной бактериемии. В частности, при дилата</w:t>
        <w:softHyphen/>
        <w:t>ции стриктуры пищевода упомянутый показатель достигает 45%, при склеротерапии варикозно расширенных пище</w:t>
        <w:softHyphen/>
        <w:t>водных вен — 31%. При диагностических и хирургических вмешательствах на желчных путях (особенно при наличии обструктивных процессов), а также операциях с поврежде</w:t>
        <w:softHyphen/>
        <w:t>нием слизистой кишечника возможно возникновение бак</w:t>
        <w:softHyphen/>
        <w:t>териемии, вызванной микробами, ассоциирующимися с ИЭ. Поэтому при всех упомянутых вмешательствах анти</w:t>
        <w:softHyphen/>
        <w:t>биотикопрофилактика представляется оправданной, осо</w:t>
        <w:softHyphen/>
        <w:t>бенно в группах высокого риска.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Урогенитальный тракт представляет собой вторые по счету (вслед за ротовой полостью) «входные ворота» для микроорганизмов, являющихся потенциальными воз</w:t>
        <w:softHyphen/>
        <w:t>будителями ИЭ. Установлено, что при трансуретральной резекции простаты частота бактериемии составляет 31%, после дилатации уретры и цистоскопии — 21 и 17% соответ</w:t>
        <w:softHyphen/>
        <w:t>ственно. Следовательно, при выполнении упомянутых вме</w:t>
        <w:softHyphen/>
        <w:t>шательств антибиотикопрофилактика показана больным обеих групп риска. При наличии инфекции мочевыводя</w:t>
        <w:softHyphen/>
        <w:t>щих путей частота бактериемии существенно возрастает и после иных манипуляций. В этих ситуациях целесообраз</w:t>
        <w:softHyphen/>
        <w:br w:type="column"/>
        <w:t>но проведение курса антибактериальной терапии, направ</w:t>
        <w:softHyphen/>
        <w:t>ленной на эрадикацию возбудителя инфекции, до выпол</w:t>
        <w:softHyphen/>
        <w:t>нения вмешательства.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Антибиотикопрофилактика наиболее эффективна, если она проводится в периоперационном периоде в дозе, доста</w:t>
        <w:softHyphen/>
        <w:t>точной для обеспечения адекватной концентрации анти</w:t>
        <w:softHyphen/>
        <w:t>биотика в сыворотке крови во время и после вмешательст</w:t>
        <w:softHyphen/>
        <w:t>ва. При длительной процедуре или наличии инфекционных осложнений может возникнуть необходимость в дополни</w:t>
        <w:softHyphen/>
        <w:t>тельном применении антимикробных средств.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табл. 19 представлены рекомендации по антибиотико</w:t>
        <w:softHyphen/>
        <w:t>профилактике при различных клинических ситуациях. Од</w:t>
        <w:softHyphen/>
        <w:t>нако эти схемы не являются стандартами лечения и не за</w:t>
        <w:softHyphen/>
        <w:t>меняют клинического мышления. Врач должен руковод</w:t>
        <w:softHyphen/>
        <w:t>ствоваться собственным опытом в выборе препарата и оп</w:t>
        <w:softHyphen/>
        <w:t>ределении кратности его применения в зависимости от особенностей случая.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частой причиной ИЭ, развивающегося после манипуляций в ротовой полости, дыхательных путях и пи</w:t>
        <w:softHyphen/>
        <w:t xml:space="preserve">щеводе, является </w:t>
      </w:r>
      <w:r>
        <w:rPr>
          <w:lang w:val="en-US" w:eastAsia="en-US" w:bidi="en-US"/>
          <w:w w:val="100"/>
          <w:spacing w:val="0"/>
          <w:color w:val="000000"/>
          <w:position w:val="0"/>
        </w:rPr>
        <w:t xml:space="preserve">Str. viridans. </w:t>
      </w:r>
      <w:r>
        <w:rPr>
          <w:lang w:val="ru-RU" w:eastAsia="ru-RU" w:bidi="ru-RU"/>
          <w:w w:val="100"/>
          <w:spacing w:val="0"/>
          <w:color w:val="000000"/>
          <w:position w:val="0"/>
        </w:rPr>
        <w:t>Рекомендуемая стандартная схема профилактики стрептококкового ИЭ — однократный прием амоксициллина (3 г внутрь), который превосходит по биодоступности ампициллин и феноксиметилпеницил- лин. При этом сывороточная концентрация амоксицилли- на, в несколько раз превышающая МПК для большинства стрептококков, поддерживается по меньшей мере в течение 6 ч, и повторное применение препарата не требуется [22]. У больных с аллергией к пенициллинам используют одну из альтернативных схем. Необходимо иметь в виду, что при на</w:t>
        <w:softHyphen/>
        <w:t>личии в анамнезе реакции немедленного типа или систем</w:t>
        <w:softHyphen/>
        <w:t>ных анафилактических реакций на пенициллин цефалос- порины I поколения применять не следует. Эритромицин не считают средством выбора из-за частых нежелательных реакций со стороны желудочно-кишечного тракта. Однако данный препарат можно назначать больным, ранее успеш</w:t>
        <w:softHyphen/>
        <w:t>но его переносившим.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ИЭ, развивающийся после вмешательств на желудоч</w:t>
        <w:softHyphen/>
        <w:t>но-кишечном тракте и мочеполовых путях, чаще всего ас</w:t>
        <w:softHyphen/>
        <w:t xml:space="preserve">социируется с </w:t>
      </w:r>
      <w:r>
        <w:rPr>
          <w:lang w:val="en-US" w:eastAsia="en-US" w:bidi="en-US"/>
          <w:w w:val="100"/>
          <w:spacing w:val="0"/>
          <w:color w:val="000000"/>
          <w:position w:val="0"/>
        </w:rPr>
        <w:t xml:space="preserve">Enterococcus faecalis </w:t>
      </w:r>
      <w:r>
        <w:rPr>
          <w:lang w:val="ru-RU" w:eastAsia="ru-RU" w:bidi="ru-RU"/>
          <w:w w:val="100"/>
          <w:spacing w:val="0"/>
          <w:color w:val="000000"/>
          <w:position w:val="0"/>
        </w:rPr>
        <w:t>и значительно реже — с грамотрицательными бактериями. Больным группы вы</w:t>
        <w:softHyphen/>
        <w:t>сокого риска целесообразно парентеральное введение ан</w:t>
        <w:softHyphen/>
        <w:t>тибактериальных препаратов, а также их применение даже при тех процедурах, которые обычно не считаются показа</w:t>
        <w:softHyphen/>
        <w:t>ниями к применению антибиотикопрофилактики.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клинической практике возможны ситуации, когда больные из групп риска уже получают антибактериальные препараты (по каким-либо иным показаниям), которые ис</w:t>
        <w:softHyphen/>
        <w:t>пользуются для профилактики ИЭ. В подобных случаях це</w:t>
        <w:softHyphen/>
        <w:t>лесообразно не увеличивать дозу применяемого препарата, а назначать антибиотик другой группы. Если позволяют об</w:t>
        <w:softHyphen/>
        <w:t>стоятельства, предполагаемую (в частности, стоматологи</w:t>
        <w:softHyphen/>
        <w:t>ческую) процедуру желательно провести через 9-14 дней после окончания антибиотикотерапии, что дает возмож</w:t>
        <w:softHyphen/>
        <w:t>ность восстановления обычной микрофлоры полости рта.</w:t>
      </w:r>
    </w:p>
    <w:p>
      <w:pPr>
        <w:pStyle w:val="Style30"/>
        <w:widowControl w:val="0"/>
        <w:keepNext w:val="0"/>
        <w:keepLines w:val="0"/>
        <w:shd w:val="clear" w:color="auto" w:fill="auto"/>
        <w:bidi w:val="0"/>
        <w:spacing w:before="0" w:after="0"/>
        <w:ind w:left="0" w:right="0" w:firstLine="280"/>
      </w:pPr>
      <w:r>
        <w:pict>
          <v:shape id="_x0000_s1484" type="#_x0000_t75" style="position:absolute;margin-left:136.8pt;margin-top:736.3pt;width:209.75pt;height:14.9pt;z-index:-125829072;mso-wrap-distance-left:136.8pt;mso-wrap-distance-right:148.1pt;mso-wrap-distance-bottom:10.8pt;mso-position-horizontal-relative:margin;mso-position-vertical-relative:margin" wrapcoords="0 0 21600 0 21600 21600 0 21600 0 0">
            <v:imagedata r:id="rId762" r:href="rId763"/>
            <w10:wrap type="topAndBottom" anchorx="margin" anchory="margin"/>
          </v:shape>
        </w:pict>
      </w:r>
      <w:r>
        <w:rPr>
          <w:lang w:val="ru-RU" w:eastAsia="ru-RU" w:bidi="ru-RU"/>
          <w:w w:val="100"/>
          <w:spacing w:val="0"/>
          <w:color w:val="000000"/>
          <w:position w:val="0"/>
        </w:rPr>
        <w:t>Следует особо подчеркнуть, что схема приема антибио</w:t>
        <w:softHyphen/>
        <w:t>тиков, назначаемых с целью профилактики рецидивов ос</w:t>
        <w:softHyphen/>
        <w:t>трой ревматической лихорадки, не соответствует таковой для предупреждения ИЭ. Кроме того, у этих больных, осо</w:t>
        <w:softHyphen/>
        <w:t>бенно при длительном пероральном приеме пенициллино - вых препаратов, существует высокая вероятность носи- тельства зеленящих стрептококков, являющихся относи</w:t>
        <w:softHyphen/>
        <w:t>тельно устойчивыми к антибиотикам этой группы. В по-</w:t>
      </w:r>
      <w:r>
        <w:br w:type="page"/>
      </w:r>
    </w:p>
    <w:p>
      <w:pPr>
        <w:pStyle w:val="Style30"/>
        <w:widowControl w:val="0"/>
        <w:keepNext w:val="0"/>
        <w:keepLines w:val="0"/>
        <w:shd w:val="clear" w:color="auto" w:fill="auto"/>
        <w:bidi w:val="0"/>
        <w:spacing w:before="0" w:after="0"/>
        <w:ind w:left="0" w:right="0" w:firstLine="0"/>
      </w:pPr>
      <w:r>
        <w:pict>
          <v:shape id="_x0000_s1485" type="#_x0000_t202" style="position:absolute;margin-left:0.5pt;margin-top:-0.25pt;width:495.1pt;height:5.e-002pt;z-index:-125829071;mso-wrap-distance-left:5.pt;mso-wrap-distance-right:5.pt;mso-position-horizontal-relative:margin;mso-position-vertical-relative:margin" filled="f" stroked="f">
            <v:textbox style="mso-fit-shape-to-text:t" inset="0,0,0,0">
              <w:txbxContent>
                <w:p>
                  <w:pPr>
                    <w:pStyle w:val="Style139"/>
                    <w:widowControl w:val="0"/>
                    <w:keepNext w:val="0"/>
                    <w:keepLines w:val="0"/>
                    <w:shd w:val="clear" w:color="auto" w:fill="auto"/>
                    <w:bidi w:val="0"/>
                    <w:spacing w:before="0" w:after="0" w:line="180" w:lineRule="exact"/>
                    <w:ind w:left="0" w:right="0" w:firstLine="0"/>
                  </w:pPr>
                  <w:r>
                    <w:rPr>
                      <w:rStyle w:val="CharStyle143"/>
                      <w:b/>
                      <w:bCs/>
                      <w:i/>
                      <w:iCs/>
                    </w:rPr>
                    <w:t>Таблица 19</w:t>
                  </w:r>
                </w:p>
                <w:p>
                  <w:pPr>
                    <w:pStyle w:val="Style96"/>
                    <w:widowControl w:val="0"/>
                    <w:keepNext w:val="0"/>
                    <w:keepLines w:val="0"/>
                    <w:shd w:val="clear" w:color="auto" w:fill="auto"/>
                    <w:bidi w:val="0"/>
                    <w:jc w:val="left"/>
                    <w:spacing w:before="0" w:after="0" w:line="180" w:lineRule="exact"/>
                    <w:ind w:left="0" w:right="0" w:firstLine="0"/>
                  </w:pPr>
                  <w:r>
                    <w:rPr>
                      <w:rStyle w:val="CharStyle97"/>
                    </w:rPr>
                    <w:t>Рекомендации по антибиотикопрофилактике инфекционного эндокардита у детей</w:t>
                  </w:r>
                </w:p>
                <w:tbl>
                  <w:tblPr>
                    <w:tblOverlap w:val="never"/>
                    <w:tblLayout w:type="fixed"/>
                    <w:jc w:val="center"/>
                  </w:tblPr>
                  <w:tblGrid>
                    <w:gridCol w:w="2410"/>
                    <w:gridCol w:w="2222"/>
                    <w:gridCol w:w="5270"/>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Режим</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Условия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Дозы</w:t>
                        </w:r>
                      </w:p>
                    </w:tc>
                  </w:tr>
                  <w:tr>
                    <w:trPr>
                      <w:trHeight w:val="643"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Манипуляции в полости рта и респираторном тракте</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Процедуры в полости рта, со</w:t>
                          <w:softHyphen/>
                          <w:t>провождающиеся кровотече</w:t>
                          <w:softHyphen/>
                          <w:t>нием</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7" w:lineRule="exact"/>
                          <w:ind w:left="0" w:right="0" w:firstLine="0"/>
                        </w:pPr>
                        <w:r>
                          <w:rPr>
                            <w:lang w:val="ru-RU" w:eastAsia="ru-RU" w:bidi="ru-RU"/>
                            <w:w w:val="100"/>
                            <w:spacing w:val="0"/>
                            <w:color w:val="000000"/>
                            <w:position w:val="0"/>
                          </w:rPr>
                          <w:t xml:space="preserve">Пенициллин V (1,0-2,0 г внутрь за 1ч до процедуры, затем 0,5-1,0 г — 6 ч спустя); кто не может принять внутрь, (пенициллин </w:t>
                        </w:r>
                        <w:r>
                          <w:rPr>
                            <w:lang w:val="en-US" w:eastAsia="en-US" w:bidi="en-US"/>
                            <w:w w:val="100"/>
                            <w:spacing w:val="0"/>
                            <w:color w:val="000000"/>
                            <w:position w:val="0"/>
                          </w:rPr>
                          <w:t xml:space="preserve">G </w:t>
                        </w:r>
                        <w:r>
                          <w:rPr>
                            <w:lang w:val="ru-RU" w:eastAsia="ru-RU" w:bidi="ru-RU"/>
                            <w:w w:val="100"/>
                            <w:spacing w:val="0"/>
                            <w:color w:val="000000"/>
                            <w:position w:val="0"/>
                          </w:rPr>
                          <w:t>в/в или в/м 1-2 млн МЕ за 30-60 мин до процедуры и 0,5-1,0 млн МЕ — 6 ч спустя.</w:t>
                        </w:r>
                      </w:p>
                    </w:tc>
                  </w:tr>
                  <w:tr>
                    <w:trPr>
                      <w:trHeight w:val="658"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Хирургические вмешательст</w:t>
                          <w:softHyphen/>
                          <w:t>ва в полости рта или респира</w:t>
                          <w:softHyphen/>
                          <w:t>торном тракте</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202" w:lineRule="exact"/>
                          <w:ind w:left="0" w:right="0" w:firstLine="0"/>
                        </w:pPr>
                        <w:r>
                          <w:rPr>
                            <w:lang w:val="ru-RU" w:eastAsia="ru-RU" w:bidi="ru-RU"/>
                            <w:w w:val="100"/>
                            <w:spacing w:val="0"/>
                            <w:color w:val="000000"/>
                            <w:position w:val="0"/>
                          </w:rPr>
                          <w:t xml:space="preserve">Пенициллин V (1,0-2,0 г внутрь за 1ч до процедуры, затем 0,5-1,0 — 6 ч спустя); кто не может принять внутрь пенициллин </w:t>
                        </w:r>
                        <w:r>
                          <w:rPr>
                            <w:lang w:val="en-US" w:eastAsia="en-US" w:bidi="en-US"/>
                            <w:w w:val="100"/>
                            <w:spacing w:val="0"/>
                            <w:color w:val="000000"/>
                            <w:position w:val="0"/>
                          </w:rPr>
                          <w:t xml:space="preserve">G </w:t>
                        </w:r>
                        <w:r>
                          <w:rPr>
                            <w:lang w:val="ru-RU" w:eastAsia="ru-RU" w:bidi="ru-RU"/>
                            <w:w w:val="100"/>
                            <w:spacing w:val="0"/>
                            <w:color w:val="000000"/>
                            <w:position w:val="0"/>
                          </w:rPr>
                          <w:t>в/в или в/м 1-2 млн МЕ за 30-60 мин до процедуры и 0,5-1,0 млн. МЕ — 6 часов спустя</w:t>
                        </w:r>
                      </w:p>
                    </w:tc>
                  </w:tr>
                  <w:tr>
                    <w:trPr>
                      <w:trHeight w:val="432"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Вмешательства у пациентов с протезным клапаном</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Ампициллин (50 мг/кг в/м или в/в) плюс гентамицин (2,0 мг/кг в/м или в/в) за 1 час до процедуры; 0,5-1,0 г пенициллина V 6 часов спустя внутрь</w:t>
                        </w:r>
                      </w:p>
                    </w:tc>
                  </w:tr>
                  <w:tr>
                    <w:trPr>
                      <w:trHeight w:val="629"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При аллергии к пенициллину и получающие профилактику при ревматизме</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 xml:space="preserve">Эритромицин (20 мг/кг </w:t>
                        </w:r>
                        <w:r>
                          <w:rPr>
                            <w:lang w:val="en-US" w:eastAsia="en-US" w:bidi="en-US"/>
                            <w:w w:val="100"/>
                            <w:spacing w:val="0"/>
                            <w:color w:val="000000"/>
                            <w:position w:val="0"/>
                          </w:rPr>
                          <w:t xml:space="preserve">per os </w:t>
                        </w:r>
                        <w:r>
                          <w:rPr>
                            <w:lang w:val="ru-RU" w:eastAsia="ru-RU" w:bidi="ru-RU"/>
                            <w:w w:val="100"/>
                            <w:spacing w:val="0"/>
                            <w:color w:val="000000"/>
                            <w:position w:val="0"/>
                          </w:rPr>
                          <w:t>до процедуры, затем 10 мг/кг 6 часов спу</w:t>
                          <w:softHyphen/>
                          <w:t>стя) или ванкомицин (15-20 мг/кг в/в) за 1 час до и половину дозы пос</w:t>
                          <w:softHyphen/>
                          <w:t>ле процедуры</w:t>
                        </w:r>
                      </w:p>
                    </w:tc>
                  </w:tr>
                  <w:tr>
                    <w:trPr>
                      <w:trHeight w:val="634"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Манипуляции на желудоч</w:t>
                          <w:softHyphen/>
                          <w:t>но-кишечном тракте и мочевы</w:t>
                          <w:softHyphen/>
                          <w:t>водящей системе</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У пациентов с риском заболе</w:t>
                          <w:softHyphen/>
                          <w:t>вания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 xml:space="preserve">Ампициллин (50 мг/кг в/м или в/в) плюс гентамицин (2,0 мг/кг в/м или в/в) за 1 час до процедуры, такая же доза 8 часов спустя; или амоксиллин (50 мг/кг </w:t>
                        </w:r>
                        <w:r>
                          <w:rPr>
                            <w:lang w:val="en-US" w:eastAsia="en-US" w:bidi="en-US"/>
                            <w:w w:val="100"/>
                            <w:spacing w:val="0"/>
                            <w:color w:val="000000"/>
                            <w:position w:val="0"/>
                          </w:rPr>
                          <w:t xml:space="preserve">per os </w:t>
                        </w:r>
                        <w:r>
                          <w:rPr>
                            <w:lang w:val="ru-RU" w:eastAsia="ru-RU" w:bidi="ru-RU"/>
                            <w:w w:val="100"/>
                            <w:spacing w:val="0"/>
                            <w:color w:val="000000"/>
                            <w:position w:val="0"/>
                          </w:rPr>
                          <w:t>за 1 час до и 50 мг/кг 6 часов спустя)</w:t>
                        </w:r>
                      </w:p>
                    </w:tc>
                  </w:tr>
                  <w:tr>
                    <w:trPr>
                      <w:trHeight w:val="442" w:hRule="exact"/>
                    </w:trPr>
                    <w:tc>
                      <w:tcPr>
                        <w:shd w:val="clear" w:color="auto" w:fill="FFFFFF"/>
                        <w:tcBorders>
                          <w:left w:val="single" w:sz="4"/>
                          <w:top w:val="single" w:sz="4"/>
                          <w:bottom w:val="single" w:sz="4"/>
                        </w:tcBorders>
                        <w:vAlign w:val="top"/>
                      </w:tcPr>
                      <w:p>
                        <w:pPr>
                          <w:widowControl w:val="0"/>
                          <w:rPr>
                            <w:sz w:val="10"/>
                            <w:szCs w:val="10"/>
                          </w:rPr>
                        </w:pP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При аллергии к пенициллину</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Ванкомицин (15-20 мг/кг в/в) плюс гентамицин (2 мг/кг в/м или в/в) за 1 час до и, если необходимо, 8 часов спустя</w:t>
                        </w:r>
                      </w:p>
                    </w:tc>
                  </w:tr>
                </w:tbl>
                <w:p>
                  <w:pPr>
                    <w:widowControl w:val="0"/>
                    <w:rPr>
                      <w:sz w:val="2"/>
                      <w:szCs w:val="2"/>
                    </w:rPr>
                  </w:pPr>
                </w:p>
              </w:txbxContent>
            </v:textbox>
            <w10:wrap type="topAndBottom" anchorx="margin" anchory="margin"/>
          </v:shape>
        </w:pict>
      </w:r>
      <w:r>
        <w:rPr>
          <w:lang w:val="ru-RU" w:eastAsia="ru-RU" w:bidi="ru-RU"/>
          <w:w w:val="100"/>
          <w:spacing w:val="0"/>
          <w:color w:val="000000"/>
          <w:position w:val="0"/>
        </w:rPr>
        <w:t>добных ситуациях для профилактики ИЭ рекомендуется назначать макролиды (азитромицин, кларитромицин) или клиндамицин.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хирургических вмешательствах на инфицирован</w:t>
        <w:softHyphen/>
        <w:t>ных тканях нередко возникает бактериемия, обусловленная возбудителями первичной инфекции. Для профилактики ИЭ у таких больных используют антибиотики с максималь</w:t>
        <w:softHyphen/>
        <w:t>ной активностью в отношении вероятных возбудителей. В частности, при инфекциях мягких тканей, костей или су</w:t>
        <w:softHyphen/>
        <w:t xml:space="preserve">ставов показано назначение антистафилококковых пени- циллинов или цефалоспоринов </w:t>
      </w:r>
      <w:r>
        <w:rPr>
          <w:lang w:val="en-US" w:eastAsia="en-US" w:bidi="en-US"/>
          <w:w w:val="100"/>
          <w:spacing w:val="0"/>
          <w:color w:val="000000"/>
          <w:position w:val="0"/>
        </w:rPr>
        <w:t xml:space="preserve">I </w:t>
      </w:r>
      <w:r>
        <w:rPr>
          <w:lang w:val="ru-RU" w:eastAsia="ru-RU" w:bidi="ru-RU"/>
          <w:w w:val="100"/>
          <w:spacing w:val="0"/>
          <w:color w:val="000000"/>
          <w:position w:val="0"/>
        </w:rPr>
        <w:t>поколения, а при инфек</w:t>
        <w:softHyphen/>
        <w:t xml:space="preserve">циях мочевых путей — аминогликозидов, цефалоспоринов </w:t>
      </w:r>
      <w:r>
        <w:rPr>
          <w:lang w:val="en-US" w:eastAsia="en-US" w:bidi="en-US"/>
          <w:w w:val="100"/>
          <w:spacing w:val="0"/>
          <w:color w:val="000000"/>
          <w:position w:val="0"/>
        </w:rPr>
        <w:t xml:space="preserve">III </w:t>
      </w:r>
      <w:r>
        <w:rPr>
          <w:lang w:val="ru-RU" w:eastAsia="ru-RU" w:bidi="ru-RU"/>
          <w:w w:val="100"/>
          <w:spacing w:val="0"/>
          <w:color w:val="000000"/>
          <w:position w:val="0"/>
        </w:rPr>
        <w:t>поколения или фторхинолонов.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Учитывая спектр потенциальных возбудителей ИЭ при операциях на открытом сердце </w:t>
      </w:r>
      <w:r>
        <w:rPr>
          <w:lang w:val="en-US" w:eastAsia="en-US" w:bidi="en-US"/>
          <w:w w:val="100"/>
          <w:spacing w:val="0"/>
          <w:color w:val="000000"/>
          <w:position w:val="0"/>
        </w:rPr>
        <w:t xml:space="preserve">(S. aureus, </w:t>
      </w:r>
      <w:r>
        <w:rPr>
          <w:lang w:val="ru-RU" w:eastAsia="ru-RU" w:bidi="ru-RU"/>
          <w:w w:val="100"/>
          <w:spacing w:val="0"/>
          <w:color w:val="000000"/>
          <w:position w:val="0"/>
        </w:rPr>
        <w:t xml:space="preserve">коагулазонега- тивные стафилококки, дифтероиды), в профилактических целях обычно применяют цефалоспорины </w:t>
      </w:r>
      <w:r>
        <w:rPr>
          <w:lang w:val="en-US" w:eastAsia="en-US" w:bidi="en-US"/>
          <w:w w:val="100"/>
          <w:spacing w:val="0"/>
          <w:color w:val="000000"/>
          <w:position w:val="0"/>
        </w:rPr>
        <w:t xml:space="preserve">I </w:t>
      </w:r>
      <w:r>
        <w:rPr>
          <w:lang w:val="ru-RU" w:eastAsia="ru-RU" w:bidi="ru-RU"/>
          <w:w w:val="100"/>
          <w:spacing w:val="0"/>
          <w:color w:val="000000"/>
          <w:position w:val="0"/>
        </w:rPr>
        <w:t>поколения. Однако большое влияние на выбор препарата оказывают данные по антибиотикорезистентности в конкретном ста</w:t>
        <w:softHyphen/>
        <w:t>ционаре. При высокой распространенности метициллин- резистентных стафилококков для периоперационной про</w:t>
        <w:softHyphen/>
        <w:t>филактики рекомендуется использовать ванкомицин.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Доза пенициллина, используемая для профилактики ревматизма, недостаточна для предупреждения ИЭ. Учиты</w:t>
        <w:softHyphen/>
        <w:t>вая тот факт, что у этих пациентов часто обнаруживаются в полости рта пенициллинустойчивые штаммы стрептокок</w:t>
        <w:softHyphen/>
        <w:t>ков, они должны получать для профилактики ИЭ в/м пени- циллиназарезистентные антибиотики в сочетании с ами- ногликозидами.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Отдельные формы инфекционных эндокардитов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Стрептококковый ИЭ, вызванный </w:t>
      </w:r>
      <w:r>
        <w:rPr>
          <w:lang w:val="en-US" w:eastAsia="en-US" w:bidi="en-US"/>
          <w:w w:val="100"/>
          <w:spacing w:val="0"/>
          <w:color w:val="000000"/>
          <w:position w:val="0"/>
        </w:rPr>
        <w:t xml:space="preserve">S.viridans, </w:t>
      </w:r>
      <w:r>
        <w:rPr>
          <w:lang w:val="ru-RU" w:eastAsia="ru-RU" w:bidi="ru-RU"/>
          <w:w w:val="100"/>
          <w:spacing w:val="0"/>
          <w:color w:val="000000"/>
          <w:position w:val="0"/>
        </w:rPr>
        <w:t>развивается преимущественно у детей, имеющих врожденную или при</w:t>
        <w:softHyphen/>
        <w:t>обретенную сердечную патологию, чаще протекает подост</w:t>
        <w:softHyphen/>
        <w:t>ро с относительно меньшей выраженностью септических проявлений и большей частотой развития иммунокомплек</w:t>
        <w:softHyphen/>
        <w:t>сных синдромов (нефрит, васкулит, артрит, миокардит), в связи с чем доля ошибок в диагностике данной формы за</w:t>
        <w:softHyphen/>
        <w:t>болевания превышает 50% случаев. ИЭ, обусловленный Р-гемолитическими стрептококками, напротив, встречается значительно реже, но отличается большей остротой и аг</w:t>
        <w:softHyphen/>
        <w:t>рессивностью течения, частыми эмболическими осложне</w:t>
        <w:softHyphen/>
        <w:t>ниями и высокой летальностью, достигающей 40%.</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Энтерококковый ИЭ чаще развивается у детей и подрост</w:t>
        <w:softHyphen/>
        <w:t>ков после медицинских манипуляций на урогенитальном (&gt;70% случаев) и желудочно-кишечном тракте (20-27%). Предшествующая сердечная патология отмечается пример</w:t>
        <w:softHyphen/>
        <w:t>но у 50% больных. Данной форме в большей степени свой</w:t>
        <w:softHyphen/>
        <w:t>ственно подострое течение с преимущественным вовлече</w:t>
        <w:softHyphen/>
        <w:t>нием в процесс левых отделов сердца и достаточно низкой (10%) частотой развития эмболий.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Пневмококковый ИЭ чаще встречается у детей, страдаю</w:t>
        <w:softHyphen/>
        <w:t>щих хроническими заболеваниями бронхолегочной систе</w:t>
        <w:softHyphen/>
        <w:t>мы. Протекает, как правило, остро (возможно и подострое развитие болезни), с быстро развивающейся деструкцией клапанов (чаще аортального), формированием обширных вегетаций, абсцессов и системных эмболий. Характерны отсутствие «периферических» симптомов ИЭ и высокая смертность (при задержке оперативного лечения).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Стафилококковый ИЭ, вызванный </w:t>
      </w:r>
      <w:r>
        <w:rPr>
          <w:lang w:val="en-US" w:eastAsia="en-US" w:bidi="en-US"/>
          <w:w w:val="100"/>
          <w:spacing w:val="0"/>
          <w:color w:val="000000"/>
          <w:position w:val="0"/>
        </w:rPr>
        <w:t xml:space="preserve">Staph.aureus, </w:t>
      </w:r>
      <w:r>
        <w:rPr>
          <w:lang w:val="ru-RU" w:eastAsia="ru-RU" w:bidi="ru-RU"/>
          <w:w w:val="100"/>
          <w:spacing w:val="0"/>
          <w:color w:val="000000"/>
          <w:position w:val="0"/>
        </w:rPr>
        <w:t>поражает как интактные, так и измененные сердечные клапаны (в том числе клапанные протезы). Наиболее типично острое течение с выраженными явлениями интоксикации, быстрым разру</w:t>
        <w:softHyphen/>
        <w:t>шением клапанов, множественными абсцессами различной локализации (селезенка, почки, миокард), частым поражени</w:t>
        <w:softHyphen/>
        <w:t>ем ЦНС в виде гнойного менингита или геморрагического инсульта. ИЭ, обусловленный коагулазонегативными стафи</w:t>
        <w:softHyphen/>
        <w:t xml:space="preserve">лококками </w:t>
      </w:r>
      <w:r>
        <w:rPr>
          <w:lang w:val="en-US" w:eastAsia="en-US" w:bidi="en-US"/>
          <w:w w:val="100"/>
          <w:spacing w:val="0"/>
          <w:color w:val="000000"/>
          <w:position w:val="0"/>
        </w:rPr>
        <w:t xml:space="preserve">(S.epidermidis), </w:t>
      </w:r>
      <w:r>
        <w:rPr>
          <w:lang w:val="ru-RU" w:eastAsia="ru-RU" w:bidi="ru-RU"/>
          <w:w w:val="100"/>
          <w:spacing w:val="0"/>
          <w:color w:val="000000"/>
          <w:position w:val="0"/>
        </w:rPr>
        <w:t xml:space="preserve">значительно чаще развивается на клапанных протезах и, несмотря на более свойственное ему подострое течение, по частоте осложнений существенно не отличается от ИЭ, вызванного </w:t>
      </w:r>
      <w:r>
        <w:rPr>
          <w:lang w:val="en-US" w:eastAsia="en-US" w:bidi="en-US"/>
          <w:w w:val="100"/>
          <w:spacing w:val="0"/>
          <w:color w:val="000000"/>
          <w:position w:val="0"/>
        </w:rPr>
        <w:t xml:space="preserve">Staph.aureus. </w:t>
      </w:r>
      <w:r>
        <w:rPr>
          <w:lang w:val="ru-RU" w:eastAsia="ru-RU" w:bidi="ru-RU"/>
          <w:w w:val="100"/>
          <w:spacing w:val="0"/>
          <w:color w:val="000000"/>
          <w:position w:val="0"/>
        </w:rPr>
        <w:t xml:space="preserve">В последние годы все большее внимание уделяется еще одному представителю коагулазонегативных стафилококков — </w:t>
      </w:r>
      <w:r>
        <w:rPr>
          <w:lang w:val="en-US" w:eastAsia="en-US" w:bidi="en-US"/>
          <w:w w:val="100"/>
          <w:spacing w:val="0"/>
          <w:color w:val="000000"/>
          <w:position w:val="0"/>
        </w:rPr>
        <w:t xml:space="preserve">Staph.lugdunensis; </w:t>
      </w:r>
      <w:r>
        <w:rPr>
          <w:lang w:val="ru-RU" w:eastAsia="ru-RU" w:bidi="ru-RU"/>
          <w:w w:val="100"/>
          <w:spacing w:val="0"/>
          <w:color w:val="000000"/>
          <w:position w:val="0"/>
        </w:rPr>
        <w:t>ИЭ, вызванный этим возбудителем, несмотря на высокую чув</w:t>
        <w:softHyphen/>
        <w:t>ствительность последнего к большинству антибиотиков, от</w:t>
        <w:softHyphen/>
        <w:t>личается значительной частотой перивальвулярного и экстра</w:t>
        <w:softHyphen/>
        <w:t>кардиального распространения инфекции.</w:t>
      </w:r>
    </w:p>
    <w:p>
      <w:pPr>
        <w:pStyle w:val="Style30"/>
        <w:widowControl w:val="0"/>
        <w:keepNext w:val="0"/>
        <w:keepLines w:val="0"/>
        <w:shd w:val="clear" w:color="auto" w:fill="auto"/>
        <w:bidi w:val="0"/>
        <w:spacing w:before="0" w:after="0"/>
        <w:ind w:left="0" w:right="0" w:firstLine="280"/>
      </w:pPr>
      <w:r>
        <w:pict>
          <v:shape id="_x0000_s1486" type="#_x0000_t75" style="position:absolute;margin-left:148.1pt;margin-top:736.3pt;width:209.75pt;height:14.9pt;z-index:-125829070;mso-wrap-distance-left:148.1pt;mso-wrap-distance-right:136.8pt;mso-wrap-distance-bottom:10.8pt;mso-position-horizontal-relative:margin;mso-position-vertical-relative:margin" wrapcoords="0 0 21600 0 21600 21600 0 21600 0 0">
            <v:imagedata r:id="rId764" r:href="rId765"/>
            <w10:wrap type="topAndBottom" anchorx="margin" anchory="margin"/>
          </v:shape>
        </w:pict>
      </w:r>
      <w:r>
        <w:rPr>
          <w:lang w:val="ru-RU" w:eastAsia="ru-RU" w:bidi="ru-RU"/>
          <w:w w:val="100"/>
          <w:spacing w:val="0"/>
          <w:color w:val="000000"/>
          <w:position w:val="0"/>
        </w:rPr>
        <w:t>Бруцеллезный ИЭ обычно развивается на измененных митральном и/или аортальном клапанах и/или клапанных протезах. В типичных случаях он протекает подостро, сред</w:t>
        <w:softHyphen/>
        <w:t>няя длительность интервала от появления первых симпто</w:t>
        <w:softHyphen/>
        <w:t>мов до момента установления диагноза составляет 2,6 мес. Нередко встречается суставной синдром. Характерны круп</w:t>
        <w:softHyphen/>
        <w:t>ные клапанные вегетации и высокая частота развития тромбоэмболий (&gt;65%).</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Грибковый ИЭ. Наиболее значимыми факторами риска развития грибкового ИЭ являются кардиохирургические опе</w:t>
        <w:softHyphen/>
        <w:t>рации, длительно стоящие катетеры центральных вен, имму</w:t>
        <w:softHyphen/>
        <w:t>носупрессия. В подавляющем большинстве случаев поража</w:t>
        <w:softHyphen/>
        <w:t>ются левые отделы сердца. Характерны крупные вегетации, достигающие в диаметре 2 см и более. Частота развития эмбо</w:t>
        <w:softHyphen/>
        <w:t>лий (преимущественно в сосуды головного мозга и почек) превышает 70%. Перивальвулярное распространение инфек</w:t>
        <w:softHyphen/>
        <w:t>ции с формированием абсцессов миокарда наблюдается более чем у 60% больных, особенно при аспергиллезном ИЭ.</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ИЭ, вызванный бактериями группы НАСЕК, характеризу</w:t>
        <w:softHyphen/>
        <w:t>ется подострым течением с достаточно частым развитием периферических симптомов заболевания, формированием обширных клапанных вегетаций, нередкими осложнениями в виде эмболий крупных артерий и прогрессирующей за</w:t>
        <w:softHyphen/>
        <w:t>стойной недостаточностью кровообращения. Отличитель</w:t>
        <w:softHyphen/>
        <w:t xml:space="preserve">ная особенность </w:t>
      </w:r>
      <w:r>
        <w:rPr>
          <w:lang w:val="en-US" w:eastAsia="en-US" w:bidi="en-US"/>
          <w:w w:val="100"/>
          <w:spacing w:val="0"/>
          <w:color w:val="000000"/>
          <w:position w:val="0"/>
        </w:rPr>
        <w:t>Haemophilus</w:t>
      </w:r>
      <w:r>
        <w:rPr>
          <w:lang w:val="ru-RU" w:eastAsia="ru-RU" w:bidi="ru-RU"/>
          <w:w w:val="100"/>
          <w:spacing w:val="0"/>
          <w:color w:val="000000"/>
          <w:position w:val="0"/>
        </w:rPr>
        <w:t>-ИЭ — преимущественное по</w:t>
        <w:softHyphen/>
        <w:t>ражение женщин молодого возраста (20-40 лет) с преоблада</w:t>
        <w:softHyphen/>
        <w:t>ющей локализацией процесса на митральном клапане.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Псевдомонадный ИЭ в большинстве случаев ассоцииру</w:t>
        <w:softHyphen/>
        <w:t xml:space="preserve">ется с </w:t>
      </w:r>
      <w:r>
        <w:rPr>
          <w:rStyle w:val="CharStyle103"/>
          <w:lang w:val="en-US" w:eastAsia="en-US" w:bidi="en-US"/>
        </w:rPr>
        <w:t>P.aeruginosa,</w:t>
      </w:r>
      <w:r>
        <w:rPr>
          <w:lang w:val="en-US" w:eastAsia="en-US" w:bidi="en-US"/>
          <w:w w:val="100"/>
          <w:spacing w:val="0"/>
          <w:color w:val="000000"/>
          <w:position w:val="0"/>
        </w:rPr>
        <w:t xml:space="preserve"> </w:t>
      </w:r>
      <w:r>
        <w:rPr>
          <w:lang w:val="ru-RU" w:eastAsia="ru-RU" w:bidi="ru-RU"/>
          <w:w w:val="100"/>
          <w:spacing w:val="0"/>
          <w:color w:val="000000"/>
          <w:position w:val="0"/>
        </w:rPr>
        <w:t>протекает подостро с симптоматикой поражения правых отделов сердца и, как правило, хорошо поддается антибактериальной терапии. Псевдомонадный ИЭ обычно развивается на фоне приобретенных пороков сердца или клапанных протезов; основные «входные воро</w:t>
        <w:softHyphen/>
        <w:t>та» инфекции — урогенитальный тракт и инфицированные раны; течение — преимущественно острое; в большинстве случаев ввиду малой эффективности медикаментозной те</w:t>
        <w:softHyphen/>
        <w:t>рапии требуется хирургическое 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Риккетсиозный ИЭ. Клиническая картина риккетсиозно</w:t>
        <w:softHyphen/>
        <w:t xml:space="preserve">го ИЭ, вызванного </w:t>
      </w:r>
      <w:r>
        <w:rPr>
          <w:rStyle w:val="CharStyle103"/>
          <w:lang w:val="en-US" w:eastAsia="en-US" w:bidi="en-US"/>
        </w:rPr>
        <w:t>Coxiela burnetii</w:t>
      </w:r>
      <w:r>
        <w:rPr>
          <w:lang w:val="en-US" w:eastAsia="en-US" w:bidi="en-US"/>
          <w:w w:val="100"/>
          <w:spacing w:val="0"/>
          <w:color w:val="000000"/>
          <w:position w:val="0"/>
        </w:rPr>
        <w:t xml:space="preserve"> </w:t>
      </w:r>
      <w:r>
        <w:rPr>
          <w:lang w:val="ru-RU" w:eastAsia="ru-RU" w:bidi="ru-RU"/>
          <w:w w:val="100"/>
          <w:spacing w:val="0"/>
          <w:color w:val="000000"/>
          <w:position w:val="0"/>
        </w:rPr>
        <w:t>(возбудитель Q-лихорад</w:t>
        <w:softHyphen/>
        <w:t>ки), может разворачиваться в течение достаточно длитель</w:t>
        <w:softHyphen/>
        <w:t>ного времени — от нескольких месяцев до 1 года. Как пра</w:t>
        <w:softHyphen/>
        <w:t>вило, поражаются больные с приобретенными пороками митрального и/или аортального клапанов, а также реципи</w:t>
        <w:softHyphen/>
        <w:t>енты клапанных протезов. Значительно чаще по сравнению с другими формами ИЭ выявляются гепатоспленомегалия, утолщение концевых фаланг пальцев по типу «барабанных палочек», изменения лабораторных параметров функции печени и почек. Клапанные вегетации имеют малые разме</w:t>
        <w:softHyphen/>
        <w:t>ры и визуализируются при ЭхоКГ только в 50% случаев.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 ИЭ, вызванном </w:t>
      </w:r>
      <w:r>
        <w:rPr>
          <w:lang w:val="en-US" w:eastAsia="en-US" w:bidi="en-US"/>
          <w:w w:val="100"/>
          <w:spacing w:val="0"/>
          <w:color w:val="000000"/>
          <w:position w:val="0"/>
        </w:rPr>
        <w:t>HACEK</w:t>
      </w:r>
      <w:r>
        <w:rPr>
          <w:lang w:val="ru-RU" w:eastAsia="ru-RU" w:bidi="ru-RU"/>
          <w:w w:val="100"/>
          <w:spacing w:val="0"/>
          <w:color w:val="000000"/>
          <w:position w:val="0"/>
        </w:rPr>
        <w:t>-группой медленно расту</w:t>
        <w:softHyphen/>
        <w:t>щих грамотрицательных палочек, в недавнем прошлом ус</w:t>
        <w:softHyphen/>
        <w:t>пешно применяли монотерапию ампициллином. Однако в последние годы отмечено нарастание частоты штаммов микроорганизмов данной группы, продуцирующих бета- лактамазы. Принимая во внимание ряд технических труд</w:t>
        <w:softHyphen/>
        <w:t xml:space="preserve">ностей в культурировании и тестировании антимикробной чувствительности, в настоящее время возбудители данной группы условно рассматриваются как ампициллинрезис- тентные. В связи с этим препаратами выбора при </w:t>
      </w:r>
      <w:r>
        <w:rPr>
          <w:lang w:val="en-US" w:eastAsia="en-US" w:bidi="en-US"/>
          <w:w w:val="100"/>
          <w:spacing w:val="0"/>
          <w:color w:val="000000"/>
          <w:position w:val="0"/>
        </w:rPr>
        <w:t xml:space="preserve">HACEK- </w:t>
      </w:r>
      <w:r>
        <w:rPr>
          <w:lang w:val="ru-RU" w:eastAsia="ru-RU" w:bidi="ru-RU"/>
          <w:w w:val="100"/>
          <w:spacing w:val="0"/>
          <w:color w:val="000000"/>
          <w:position w:val="0"/>
        </w:rPr>
        <w:t>ИЭ считаются цефалоспорины III поколения (цефтриак- сон, цефотаксим), которые назначают в течение 4 нед; у больных с поражением клапанных протезов этот срок уд</w:t>
        <w:softHyphen/>
        <w:t>линяется до 6 нед. Учитывая чувствительность данных ми</w:t>
        <w:softHyphen/>
        <w:t>кроорганизмов к ко-тримоксазолу, фторхинолонам и азтре- онаму, эти препараты могут рассматриваться в качестве аль</w:t>
        <w:softHyphen/>
        <w:t xml:space="preserve">тернативы у больных </w:t>
      </w:r>
      <w:r>
        <w:rPr>
          <w:lang w:val="en-US" w:eastAsia="en-US" w:bidi="en-US"/>
          <w:w w:val="100"/>
          <w:spacing w:val="0"/>
          <w:color w:val="000000"/>
          <w:position w:val="0"/>
        </w:rPr>
        <w:t>HACEK</w:t>
      </w:r>
      <w:r>
        <w:rPr>
          <w:lang w:val="ru-RU" w:eastAsia="ru-RU" w:bidi="ru-RU"/>
          <w:w w:val="100"/>
          <w:spacing w:val="0"/>
          <w:color w:val="000000"/>
          <w:position w:val="0"/>
        </w:rPr>
        <w:t>-ИЭ с непереносимостью бе- та-лактамных антибиотиков. Однако их назначение реко</w:t>
        <w:softHyphen/>
        <w:t>мендуется только после тщательно выполненного микро - биологического исследования и консультации клиническо</w:t>
        <w:softHyphen/>
        <w:t>го микробиолога.</w:t>
      </w:r>
    </w:p>
    <w:p>
      <w:pPr>
        <w:pStyle w:val="Style28"/>
        <w:widowControl w:val="0"/>
        <w:keepNext/>
        <w:keepLines/>
        <w:shd w:val="clear" w:color="auto" w:fill="auto"/>
        <w:bidi w:val="0"/>
        <w:jc w:val="left"/>
        <w:spacing w:before="0" w:after="157" w:line="220" w:lineRule="exact"/>
        <w:ind w:left="0" w:right="0" w:firstLine="0"/>
      </w:pPr>
      <w:r>
        <w:br w:type="column"/>
      </w:r>
      <w:bookmarkStart w:id="497" w:name="bookmark497"/>
      <w:r>
        <w:rPr>
          <w:lang w:val="ru-RU" w:eastAsia="ru-RU" w:bidi="ru-RU"/>
          <w:w w:val="100"/>
          <w:spacing w:val="0"/>
          <w:color w:val="000000"/>
          <w:position w:val="0"/>
        </w:rPr>
        <w:t>Врожденный кардиосклероз</w:t>
      </w:r>
      <w:bookmarkEnd w:id="49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Термин «врожденный кардиосклероз» был введен </w:t>
      </w:r>
      <w:r>
        <w:rPr>
          <w:lang w:val="en-US" w:eastAsia="en-US" w:bidi="en-US"/>
          <w:w w:val="100"/>
          <w:spacing w:val="0"/>
          <w:color w:val="000000"/>
          <w:position w:val="0"/>
        </w:rPr>
        <w:t xml:space="preserve">Weinberg </w:t>
      </w:r>
      <w:r>
        <w:rPr>
          <w:lang w:val="ru-RU" w:eastAsia="ru-RU" w:bidi="ru-RU"/>
          <w:w w:val="100"/>
          <w:spacing w:val="0"/>
          <w:color w:val="000000"/>
          <w:position w:val="0"/>
        </w:rPr>
        <w:t xml:space="preserve">и </w:t>
      </w:r>
      <w:r>
        <w:rPr>
          <w:lang w:val="en-US" w:eastAsia="en-US" w:bidi="en-US"/>
          <w:w w:val="100"/>
          <w:spacing w:val="0"/>
          <w:color w:val="000000"/>
          <w:position w:val="0"/>
        </w:rPr>
        <w:t xml:space="preserve">Himmelfarb </w:t>
      </w:r>
      <w:r>
        <w:rPr>
          <w:lang w:val="ru-RU" w:eastAsia="ru-RU" w:bidi="ru-RU"/>
          <w:w w:val="100"/>
          <w:spacing w:val="0"/>
          <w:color w:val="000000"/>
          <w:position w:val="0"/>
        </w:rPr>
        <w:t>в 1943 году. Врожденный кардиосклероз отно</w:t>
        <w:softHyphen/>
        <w:t>сится к явному диффузному уплотнению эндокарда желудоч - ков, что объясняет сердечную недостаточность у младенцев и детей. Болезнь может быть первичной или вторичной к раз</w:t>
        <w:softHyphen/>
        <w:t>нообразию врожденных пороков сердца, особенно артериаль</w:t>
        <w:softHyphen/>
        <w:t>ный стеноз или атрезия. Выделяют 2 патологические формы первичного врожденного кардиосклероза: дилатационный, который является наиболее общим, и рестриктивный. Пер</w:t>
        <w:softHyphen/>
        <w:t>вичный врожденный кардиосклероз не сочетается с другими кардиальными аномалиями. Вторичный тип связывается с другими врожденными пороками сердца. Врожденный кар</w:t>
        <w:softHyphen/>
        <w:t>диосклероз как причина необъясненной сердечной недоста</w:t>
        <w:softHyphen/>
        <w:t>точности в настоящее время рассматривается очень редко.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 Врожденный кардиосклероз характе</w:t>
        <w:softHyphen/>
        <w:t>ризуется диффузным эндокардиальным уплотнением и миокардиальной дисфункцией. Эндокардиальное уплот</w:t>
        <w:softHyphen/>
        <w:t>нение вызвано постоянным и увеличивающимся растяже</w:t>
        <w:softHyphen/>
        <w:t>нием стенок желудочков и вторичной регургитацией крови при недостаточности митрального клапана; однако измене</w:t>
        <w:softHyphen/>
        <w:t>ния прогрессируют с возрастом. Болезнь является споради</w:t>
        <w:softHyphen/>
        <w:t>ческой, но были отмечены и семейные случаи, которые со</w:t>
        <w:softHyphen/>
        <w:t>ставляют около 10%. Имеются данные, что вирусная этио</w:t>
        <w:softHyphen/>
        <w:t xml:space="preserve">логия (вирус Коксаки </w:t>
      </w:r>
      <w:r>
        <w:rPr>
          <w:lang w:val="en-US" w:eastAsia="en-US" w:bidi="en-US"/>
          <w:w w:val="100"/>
          <w:spacing w:val="0"/>
          <w:color w:val="000000"/>
          <w:position w:val="0"/>
        </w:rPr>
        <w:t xml:space="preserve">B) </w:t>
      </w:r>
      <w:r>
        <w:rPr>
          <w:lang w:val="ru-RU" w:eastAsia="ru-RU" w:bidi="ru-RU"/>
          <w:w w:val="100"/>
          <w:spacing w:val="0"/>
          <w:color w:val="000000"/>
          <w:position w:val="0"/>
        </w:rPr>
        <w:t>включает сходные клинические проявления с хроническим миокардитом и может быть от</w:t>
        <w:softHyphen/>
        <w:t>ветственна за возникновение врожденного кардиосклероза. Дилатационная форма врожденного кардиосклероза харак</w:t>
        <w:softHyphen/>
        <w:t>теризуется заметно увеличенным шаровидным сердцем, главным образом вовлекая левый желудочек и левое пред</w:t>
        <w:softHyphen/>
        <w:t>сердие. Эндокард выглядит непрозрачным, молочно белом, утолщенном приблизительно на 1-2 мм. Уплотнение боль</w:t>
        <w:softHyphen/>
        <w:t>ше всего отмечается в пути оттока.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Также происходят фиброз папиллярных мышц, укороче</w:t>
        <w:softHyphen/>
        <w:t>ние сухожильных хорд. Приблизительно у 50% пациентов происходят фиброз и уплотнение митральных и артериаль</w:t>
        <w:softHyphen/>
        <w:t>ных клапанов, что приводит к их деформации и/или кла</w:t>
        <w:softHyphen/>
        <w:t>панной регургитации и стенозу.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Рестриктивный тип первичного врожденного кардио</w:t>
        <w:softHyphen/>
        <w:t>склероза проявляется гипопластическим левым желудоч</w:t>
        <w:softHyphen/>
        <w:t>ком. Правые и левые предсердия и правый желудочек за</w:t>
        <w:softHyphen/>
        <w:t>метно увеличены и гипертрофированы с минимальным эн</w:t>
        <w:softHyphen/>
        <w:t>докардиальным склерозом. Высказано предположение, что врожденный склероз у плода в дальнейшем трансформиру</w:t>
        <w:softHyphen/>
        <w:t>ется в рестриктивную форму.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Вторичный врожденный кардит может быть результатом фиброэластического уплотнения при различных ВПС, свя</w:t>
        <w:softHyphen/>
        <w:t>занных с гипоксемией субаортальных структур.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Идиопатическая форма болезни — спорадическая, се</w:t>
        <w:softHyphen/>
        <w:t>мейные случаи заболевания встречаются крайне редко.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Врожденный кардиосклероз затрагивает оба пола одина</w:t>
        <w:softHyphen/>
        <w:t>ково.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Врожденный кардиосклероз наблюдается в течение пер</w:t>
        <w:softHyphen/>
        <w:t>вых 3-6 месяцев жизни в 80% случаев. Типичный возраст диагноза — 2-12 месяцев.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Симптомы:</w:t>
      </w:r>
    </w:p>
    <w:p>
      <w:pPr>
        <w:pStyle w:val="Style30"/>
        <w:widowControl w:val="0"/>
        <w:keepNext w:val="0"/>
        <w:keepLines w:val="0"/>
        <w:shd w:val="clear" w:color="auto" w:fill="auto"/>
        <w:bidi w:val="0"/>
        <w:spacing w:before="0" w:after="0"/>
        <w:ind w:left="0" w:right="0" w:firstLine="280"/>
      </w:pPr>
      <w:r>
        <w:pict>
          <v:shape id="_x0000_s1487" type="#_x0000_t75" style="position:absolute;margin-left:136.9pt;margin-top:736.3pt;width:209.75pt;height:14.9pt;z-index:-125829069;mso-wrap-distance-left:136.8pt;mso-wrap-distance-right:147.85pt;mso-wrap-distance-bottom:10.8pt;mso-position-horizontal-relative:margin;mso-position-vertical-relative:margin" wrapcoords="0 0 21600 0 21600 21600 0 21600 0 0">
            <v:imagedata r:id="rId766" r:href="rId767"/>
            <w10:wrap type="topAndBottom" anchorx="margin" anchory="margin"/>
          </v:shape>
        </w:pict>
      </w:r>
      <w:r>
        <w:rPr>
          <w:lang w:val="ru-RU" w:eastAsia="ru-RU" w:bidi="ru-RU"/>
          <w:w w:val="100"/>
          <w:spacing w:val="0"/>
          <w:color w:val="000000"/>
          <w:position w:val="0"/>
        </w:rPr>
        <w:t>• Трудности при кормлении.</w:t>
      </w:r>
      <w:r>
        <w:br w:type="page"/>
      </w:r>
    </w:p>
    <w:p>
      <w:pPr>
        <w:pStyle w:val="Style30"/>
        <w:numPr>
          <w:ilvl w:val="0"/>
          <w:numId w:val="95"/>
        </w:numPr>
        <w:tabs>
          <w:tab w:leader="none" w:pos="517"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Чрезмерное потоотделение.</w:t>
      </w:r>
    </w:p>
    <w:p>
      <w:pPr>
        <w:pStyle w:val="Style30"/>
        <w:numPr>
          <w:ilvl w:val="0"/>
          <w:numId w:val="95"/>
        </w:numPr>
        <w:tabs>
          <w:tab w:leader="none" w:pos="517"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Одышка.</w:t>
      </w:r>
    </w:p>
    <w:p>
      <w:pPr>
        <w:pStyle w:val="Style30"/>
        <w:numPr>
          <w:ilvl w:val="0"/>
          <w:numId w:val="95"/>
        </w:numPr>
        <w:tabs>
          <w:tab w:leader="none" w:pos="517"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Задержка развития.</w:t>
      </w:r>
    </w:p>
    <w:p>
      <w:pPr>
        <w:pStyle w:val="Style30"/>
        <w:numPr>
          <w:ilvl w:val="0"/>
          <w:numId w:val="95"/>
        </w:numPr>
        <w:tabs>
          <w:tab w:leader="none" w:pos="517"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Шумное дыхание:</w:t>
      </w:r>
    </w:p>
    <w:p>
      <w:pPr>
        <w:pStyle w:val="Style30"/>
        <w:numPr>
          <w:ilvl w:val="0"/>
          <w:numId w:val="97"/>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начало может быть настолько острым, что произ</w:t>
        <w:softHyphen/>
        <w:t>водит кардиогенный шок и внезапную смерть;</w:t>
      </w:r>
    </w:p>
    <w:p>
      <w:pPr>
        <w:pStyle w:val="Style30"/>
        <w:numPr>
          <w:ilvl w:val="0"/>
          <w:numId w:val="97"/>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приблизительно 20% пациентов имеют историю час</w:t>
        <w:softHyphen/>
        <w:t>тых или недавних респираторных инфекций пути;</w:t>
      </w:r>
    </w:p>
    <w:p>
      <w:pPr>
        <w:pStyle w:val="Style30"/>
        <w:numPr>
          <w:ilvl w:val="0"/>
          <w:numId w:val="97"/>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эпизоды тяжелой внезапной боли в животе могут указать на коронарную недостаточность;</w:t>
      </w:r>
    </w:p>
    <w:p>
      <w:pPr>
        <w:pStyle w:val="Style30"/>
        <w:numPr>
          <w:ilvl w:val="0"/>
          <w:numId w:val="97"/>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рестриктивная форма врожденного кардиосклеро - за напоминает таковую при обструктивной форме сердечной недостаточности.</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Физикальные данные:</w:t>
      </w:r>
    </w:p>
    <w:p>
      <w:pPr>
        <w:pStyle w:val="Style30"/>
        <w:numPr>
          <w:ilvl w:val="0"/>
          <w:numId w:val="95"/>
        </w:numPr>
        <w:tabs>
          <w:tab w:leader="none" w:pos="517"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Врожденный кардиосклероз проявляется в классиче</w:t>
        <w:softHyphen/>
        <w:t>ской форме сердечной недостаточности.</w:t>
      </w:r>
    </w:p>
    <w:p>
      <w:pPr>
        <w:pStyle w:val="Style30"/>
        <w:numPr>
          <w:ilvl w:val="0"/>
          <w:numId w:val="95"/>
        </w:numPr>
        <w:tabs>
          <w:tab w:leader="none" w:pos="517"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Тахипноэ с хрюкающим дыханием ивтяжением уступ</w:t>
        <w:softHyphen/>
        <w:t>чивых мест грудной клетки, экспираторный стридор или хрипы в основаниях легкого являются общими.</w:t>
      </w:r>
    </w:p>
    <w:p>
      <w:pPr>
        <w:pStyle w:val="Style30"/>
        <w:numPr>
          <w:ilvl w:val="0"/>
          <w:numId w:val="95"/>
        </w:numPr>
        <w:tabs>
          <w:tab w:leader="none" w:pos="517"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Во время осмотра определяются:</w:t>
      </w:r>
    </w:p>
    <w:p>
      <w:pPr>
        <w:pStyle w:val="Style30"/>
        <w:numPr>
          <w:ilvl w:val="0"/>
          <w:numId w:val="97"/>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бледность;</w:t>
      </w:r>
    </w:p>
    <w:p>
      <w:pPr>
        <w:pStyle w:val="Style30"/>
        <w:numPr>
          <w:ilvl w:val="0"/>
          <w:numId w:val="97"/>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периферический цианоз;</w:t>
      </w:r>
    </w:p>
    <w:p>
      <w:pPr>
        <w:pStyle w:val="Style30"/>
        <w:numPr>
          <w:ilvl w:val="0"/>
          <w:numId w:val="97"/>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лихорадка;</w:t>
      </w:r>
    </w:p>
    <w:p>
      <w:pPr>
        <w:pStyle w:val="Style30"/>
        <w:numPr>
          <w:ilvl w:val="0"/>
          <w:numId w:val="97"/>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лейкоцитоз;</w:t>
      </w:r>
    </w:p>
    <w:p>
      <w:pPr>
        <w:pStyle w:val="Style30"/>
        <w:numPr>
          <w:ilvl w:val="0"/>
          <w:numId w:val="97"/>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анемия;</w:t>
      </w:r>
    </w:p>
    <w:p>
      <w:pPr>
        <w:pStyle w:val="Style30"/>
        <w:numPr>
          <w:ilvl w:val="0"/>
          <w:numId w:val="97"/>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высыпания на коже.</w:t>
      </w:r>
    </w:p>
    <w:p>
      <w:pPr>
        <w:pStyle w:val="Style30"/>
        <w:numPr>
          <w:ilvl w:val="0"/>
          <w:numId w:val="95"/>
        </w:numPr>
        <w:tabs>
          <w:tab w:leader="none" w:pos="517"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Тромбоэмболические эпизоды могут вести к внезап</w:t>
        <w:softHyphen/>
        <w:t>ной смерти, инфаркту миокарда, цереброваскуляр</w:t>
        <w:softHyphen/>
        <w:t>ным событиям или легочной эмболии.</w:t>
      </w:r>
    </w:p>
    <w:p>
      <w:pPr>
        <w:pStyle w:val="Style30"/>
        <w:numPr>
          <w:ilvl w:val="0"/>
          <w:numId w:val="95"/>
        </w:numPr>
        <w:tabs>
          <w:tab w:leader="none" w:pos="517"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Обычные физикальные результаты следующие:</w:t>
      </w:r>
    </w:p>
    <w:p>
      <w:pPr>
        <w:pStyle w:val="Style30"/>
        <w:numPr>
          <w:ilvl w:val="0"/>
          <w:numId w:val="97"/>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кардиомегалия с ведущими к обмороку первыми и вторыми сердечными звуками, ритм галопа со слышимым третьим сердечным звуком, апикаль</w:t>
        <w:softHyphen/>
        <w:t>ный пансистолический шум регургитации крови при недостаточности митрального клапана и гепа- тоспленомегалия;</w:t>
      </w:r>
    </w:p>
    <w:p>
      <w:pPr>
        <w:pStyle w:val="Style30"/>
        <w:numPr>
          <w:ilvl w:val="0"/>
          <w:numId w:val="97"/>
        </w:numPr>
        <w:tabs>
          <w:tab w:leader="none" w:pos="733" w:val="left"/>
        </w:tabs>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клинически поддающийся обнаружению плев</w:t>
        <w:softHyphen/>
        <w:t>ральный или выпоты в полость перикарда являют</w:t>
        <w:softHyphen/>
        <w:t>ся редкими.</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Возможные причинные факторы включают внутрима</w:t>
        <w:softHyphen/>
        <w:t xml:space="preserve">точную вирусную инфекцию (свинка, вирус Коксаки </w:t>
      </w:r>
      <w:r>
        <w:rPr>
          <w:lang w:val="en-US" w:eastAsia="en-US" w:bidi="en-US"/>
          <w:w w:val="100"/>
          <w:spacing w:val="0"/>
          <w:color w:val="000000"/>
          <w:position w:val="0"/>
        </w:rPr>
        <w:t xml:space="preserve">B), </w:t>
      </w:r>
      <w:r>
        <w:rPr>
          <w:lang w:val="ru-RU" w:eastAsia="ru-RU" w:bidi="ru-RU"/>
          <w:w w:val="100"/>
          <w:spacing w:val="0"/>
          <w:color w:val="000000"/>
          <w:position w:val="0"/>
        </w:rPr>
        <w:t>по</w:t>
        <w:softHyphen/>
        <w:t>стэндокардиальную ишемию, сниженный дренаж лимфати</w:t>
        <w:softHyphen/>
        <w:t>ческого сосуда сердца и системный дефицит карнитина.</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Известны семейные формы заболевания, включая X- сцепленную рецессивную, аутосомную и аутосомно-рецес- сивную формы.</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 xml:space="preserve">Установлена мутация гена </w:t>
      </w:r>
      <w:r>
        <w:rPr>
          <w:lang w:val="en-US" w:eastAsia="en-US" w:bidi="en-US"/>
          <w:w w:val="100"/>
          <w:spacing w:val="0"/>
          <w:color w:val="000000"/>
          <w:position w:val="0"/>
        </w:rPr>
        <w:t xml:space="preserve">G4.5 (tafazzin), </w:t>
      </w:r>
      <w:r>
        <w:rPr>
          <w:lang w:val="ru-RU" w:eastAsia="ru-RU" w:bidi="ru-RU"/>
          <w:w w:val="100"/>
          <w:spacing w:val="0"/>
          <w:color w:val="000000"/>
          <w:position w:val="0"/>
        </w:rPr>
        <w:t>которая ответ</w:t>
        <w:softHyphen/>
        <w:t xml:space="preserve">ственна за семейный </w:t>
      </w:r>
      <w:r>
        <w:rPr>
          <w:lang w:val="en-US" w:eastAsia="en-US" w:bidi="en-US"/>
          <w:w w:val="100"/>
          <w:spacing w:val="0"/>
          <w:color w:val="000000"/>
          <w:position w:val="0"/>
        </w:rPr>
        <w:t>X</w:t>
      </w:r>
      <w:r>
        <w:rPr>
          <w:lang w:val="ru-RU" w:eastAsia="ru-RU" w:bidi="ru-RU"/>
          <w:w w:val="100"/>
          <w:spacing w:val="0"/>
          <w:color w:val="000000"/>
          <w:position w:val="0"/>
        </w:rPr>
        <w:t>-врожденный кардиосклероз и син</w:t>
        <w:softHyphen/>
        <w:t>дром Барда.</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Полагают, что дилатационный первичный кардиоскле</w:t>
        <w:softHyphen/>
        <w:t>роз может быть связан с системным дефицитом карнитина.</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Дилатационная форма врожденного кардиосклероза связана с ВПС и включает следующие пороки: артериаль</w:t>
        <w:softHyphen/>
        <w:t>ный стеноз, атрезию аорты, коарктацию аорты, дефект межжелудочковой перегородки, аномальное отхождение левой коронарной артерии от легочной артерии. Рестрик</w:t>
        <w:softHyphen/>
        <w:t>тивная форма врожденного кардиосклероза обычно обус</w:t>
        <w:softHyphen/>
        <w:t>ловлена синдромом гипоплазии левого сердца. Инструментальная диагностика Рентгенография грудной клетки:</w:t>
      </w:r>
    </w:p>
    <w:p>
      <w:pPr>
        <w:pStyle w:val="Style30"/>
        <w:widowControl w:val="0"/>
        <w:keepNext w:val="0"/>
        <w:keepLines w:val="0"/>
        <w:shd w:val="clear" w:color="auto" w:fill="auto"/>
        <w:bidi w:val="0"/>
        <w:spacing w:before="0" w:after="0" w:line="211" w:lineRule="exact"/>
        <w:ind w:left="740" w:right="0" w:hanging="240"/>
      </w:pPr>
      <w:r>
        <w:rPr>
          <w:lang w:val="ru-RU" w:eastAsia="ru-RU" w:bidi="ru-RU"/>
          <w:w w:val="100"/>
          <w:spacing w:val="0"/>
          <w:color w:val="000000"/>
          <w:position w:val="0"/>
        </w:rPr>
        <w:t>• Кардиомегалия и кардиоторакальное (КТ) отно</w:t>
        <w:softHyphen/>
        <w:t>шение превышает 0,65.</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br w:type="column"/>
      </w:r>
      <w:r>
        <w:rPr>
          <w:lang w:val="ru-RU" w:eastAsia="ru-RU" w:bidi="ru-RU"/>
          <w:w w:val="100"/>
          <w:spacing w:val="0"/>
          <w:color w:val="000000"/>
          <w:position w:val="0"/>
        </w:rPr>
        <w:t>Кардиальное расширение присутствует у некото</w:t>
        <w:softHyphen/>
        <w:t>рых пациентов от рождения. В других случаях сер</w:t>
        <w:softHyphen/>
        <w:t>дечный размер нормален в течение первых не</w:t>
        <w:softHyphen/>
        <w:t>скольких недель и месяцев жизни, но КТ впослед</w:t>
        <w:softHyphen/>
        <w:t>ствии расширяется.</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Форма кардиального силуэта обычно является ша</w:t>
        <w:softHyphen/>
        <w:t>ровидной.</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Характерен легочный венозный застой.</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Может быть ателектаз левой нижней доли, вторич</w:t>
        <w:softHyphen/>
        <w:t>ный к расширенному левому предсердию (25% па</w:t>
        <w:softHyphen/>
        <w:t>циентов).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Увеличение левого предсердия и левого желу</w:t>
        <w:softHyphen/>
        <w:t>дочка.</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Снижение экскурсии септальной и задней стенки левого желудочка.</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Сниженная фракция изгнания </w:t>
      </w:r>
      <w:r>
        <w:rPr>
          <w:lang w:val="en-US" w:eastAsia="en-US" w:bidi="en-US"/>
          <w:w w:val="100"/>
          <w:spacing w:val="0"/>
          <w:color w:val="000000"/>
          <w:position w:val="0"/>
        </w:rPr>
        <w:t>(EF).</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Смещение митрального клапана к задней стенке левого желудочка (т.н. «рыбий рот»).</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Плотный эхосигнал по эндокарду левого желудоч</w:t>
        <w:softHyphen/>
        <w:t>ка (диагностический критерий).</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Увеличенная эндокардиальная яркость эхосигнала и шаровидная форма левого желудочка.</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Различная степень регургитации крови при недо</w:t>
        <w:softHyphen/>
        <w:t>статочности митрального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Электрокардиограмма:</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Высокие </w:t>
      </w:r>
      <w:r>
        <w:rPr>
          <w:lang w:val="en-US" w:eastAsia="en-US" w:bidi="en-US"/>
          <w:w w:val="100"/>
          <w:spacing w:val="0"/>
          <w:color w:val="000000"/>
          <w:position w:val="0"/>
        </w:rPr>
        <w:t xml:space="preserve">R </w:t>
      </w:r>
      <w:r>
        <w:rPr>
          <w:lang w:val="ru-RU" w:eastAsia="ru-RU" w:bidi="ru-RU"/>
          <w:w w:val="100"/>
          <w:spacing w:val="0"/>
          <w:color w:val="000000"/>
          <w:position w:val="0"/>
        </w:rPr>
        <w:t>зубцы в левых грудных отведениях.</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Глубокие </w:t>
      </w:r>
      <w:r>
        <w:rPr>
          <w:lang w:val="en-US" w:eastAsia="en-US" w:bidi="en-US"/>
          <w:w w:val="100"/>
          <w:spacing w:val="0"/>
          <w:color w:val="000000"/>
          <w:position w:val="0"/>
        </w:rPr>
        <w:t xml:space="preserve">Q </w:t>
      </w:r>
      <w:r>
        <w:rPr>
          <w:lang w:val="ru-RU" w:eastAsia="ru-RU" w:bidi="ru-RU"/>
          <w:w w:val="100"/>
          <w:spacing w:val="0"/>
          <w:color w:val="000000"/>
          <w:position w:val="0"/>
        </w:rPr>
        <w:t>зубцы в левых грудных отведениях.</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Инверсия </w:t>
      </w:r>
      <w:r>
        <w:rPr>
          <w:lang w:val="en-US" w:eastAsia="en-US" w:bidi="en-US"/>
          <w:w w:val="100"/>
          <w:spacing w:val="0"/>
          <w:color w:val="000000"/>
          <w:position w:val="0"/>
        </w:rPr>
        <w:t xml:space="preserve">T </w:t>
      </w:r>
      <w:r>
        <w:rPr>
          <w:lang w:val="ru-RU" w:eastAsia="ru-RU" w:bidi="ru-RU"/>
          <w:w w:val="100"/>
          <w:spacing w:val="0"/>
          <w:color w:val="000000"/>
          <w:position w:val="0"/>
        </w:rPr>
        <w:t>зубцов в левых грудных отведениях.</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Результаты изображают </w:t>
      </w:r>
      <w:r>
        <w:rPr>
          <w:lang w:val="en-US" w:eastAsia="en-US" w:bidi="en-US"/>
          <w:w w:val="100"/>
          <w:spacing w:val="0"/>
          <w:color w:val="000000"/>
          <w:position w:val="0"/>
        </w:rPr>
        <w:t xml:space="preserve">LV </w:t>
      </w:r>
      <w:r>
        <w:rPr>
          <w:lang w:val="ru-RU" w:eastAsia="ru-RU" w:bidi="ru-RU"/>
          <w:w w:val="100"/>
          <w:spacing w:val="0"/>
          <w:color w:val="000000"/>
          <w:position w:val="0"/>
        </w:rPr>
        <w:t>гипертрофий (&gt; 75% пациентов).</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 первых неделях жизни преобладает отклонение электрической оси сердца вправо с признаками правожелудочковой гипертрофии.</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 пациентов, которые остаются в живых в течение длительного периода, развиваются легочная арте</w:t>
        <w:softHyphen/>
        <w:t>риальная гипертензия и бивентрикулярная гипер</w:t>
        <w:softHyphen/>
        <w:t>трофия.</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Обычно имеет место левопредсердная, правопред</w:t>
        <w:softHyphen/>
        <w:t>сердная или биатриальная гипертрофия.</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Часто регистрируются феномен </w:t>
      </w:r>
      <w:r>
        <w:rPr>
          <w:lang w:val="en-US" w:eastAsia="en-US" w:bidi="en-US"/>
          <w:w w:val="100"/>
          <w:spacing w:val="0"/>
          <w:color w:val="000000"/>
          <w:position w:val="0"/>
        </w:rPr>
        <w:t xml:space="preserve">WPW, </w:t>
      </w:r>
      <w:r>
        <w:rPr>
          <w:lang w:val="ru-RU" w:eastAsia="ru-RU" w:bidi="ru-RU"/>
          <w:w w:val="100"/>
          <w:spacing w:val="0"/>
          <w:color w:val="000000"/>
          <w:position w:val="0"/>
        </w:rPr>
        <w:t>блокада ле</w:t>
        <w:softHyphen/>
        <w:t>вой ножки пучка Гиса, различные варианты желу</w:t>
        <w:softHyphen/>
        <w:t>дочковых и предсердных эктопий.</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Иногда регистрируется картина инфаркта, указы - вающая на обширный миокардиальный фиброз и некроз.</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24-часовая ЭКГ полезна в документации отсут</w:t>
        <w:softHyphen/>
        <w:t>ствия четкого биологического ритма.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Катетеризация:</w:t>
      </w:r>
    </w:p>
    <w:p>
      <w:pPr>
        <w:pStyle w:val="Style30"/>
        <w:numPr>
          <w:ilvl w:val="0"/>
          <w:numId w:val="95"/>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 сердечных камерах и легочной артерии повы</w:t>
        <w:softHyphen/>
        <w:t>шенные показатели подавления. Обычно систоли</w:t>
        <w:softHyphen/>
        <w:t>ческое давление легочной артерии не больше чем 50% системного давления, за исключением рест</w:t>
        <w:softHyphen/>
        <w:t>риктивного типа и у выживших больных с дилата</w:t>
        <w:softHyphen/>
        <w:t>ционным типом. Отмеченная легочная артериаль</w:t>
        <w:softHyphen/>
        <w:t>ная гипертензия может быть замечена у детей стар - шего возраста.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Гистологические данные</w:t>
      </w:r>
    </w:p>
    <w:p>
      <w:pPr>
        <w:pStyle w:val="Style30"/>
        <w:widowControl w:val="0"/>
        <w:keepNext w:val="0"/>
        <w:keepLines w:val="0"/>
        <w:shd w:val="clear" w:color="auto" w:fill="auto"/>
        <w:bidi w:val="0"/>
        <w:spacing w:before="0" w:after="0"/>
        <w:ind w:left="0" w:right="0" w:firstLine="280"/>
        <w:sectPr>
          <w:pgSz w:w="11900" w:h="16840"/>
          <w:pgMar w:top="1579" w:left="1005" w:right="1007" w:bottom="1771" w:header="0" w:footer="3" w:gutter="0"/>
          <w:rtlGutter w:val="0"/>
          <w:cols w:num="2" w:space="153"/>
          <w:noEndnote/>
          <w:docGrid w:linePitch="360"/>
        </w:sectPr>
      </w:pPr>
      <w:r>
        <w:pict>
          <v:shape id="_x0000_s1488" type="#_x0000_t75" style="position:absolute;margin-left:148.2pt;margin-top:736.3pt;width:209.75pt;height:14.9pt;z-index:-125829068;mso-wrap-distance-left:148.1pt;mso-wrap-distance-right:136.55pt;mso-wrap-distance-bottom:10.8pt;mso-position-horizontal-relative:margin;mso-position-vertical-relative:margin" wrapcoords="0 0 21600 0 21600 21600 0 21600 0 0">
            <v:imagedata r:id="rId768" r:href="rId769"/>
            <w10:wrap type="topAndBottom" anchorx="margin" anchory="margin"/>
          </v:shape>
        </w:pict>
      </w:r>
      <w:r>
        <w:rPr>
          <w:lang w:val="ru-RU" w:eastAsia="ru-RU" w:bidi="ru-RU"/>
          <w:w w:val="100"/>
          <w:spacing w:val="0"/>
          <w:color w:val="000000"/>
          <w:position w:val="0"/>
        </w:rPr>
        <w:t>Эндомиокардиальная биопсия показывает прорастание в эндокард и субэндокард фиброэластической ткани, ги</w:t>
        <w:softHyphen/>
        <w:t>перплазию ее компонентов, особенно коллагена и эласти</w:t>
        <w:softHyphen/>
        <w:t>на. Основной миокард не поражен.</w:t>
      </w:r>
    </w:p>
    <w:p>
      <w:pPr>
        <w:pStyle w:val="Style92"/>
        <w:widowControl w:val="0"/>
        <w:keepNext/>
        <w:keepLines/>
        <w:shd w:val="clear" w:color="auto" w:fill="auto"/>
        <w:bidi w:val="0"/>
        <w:spacing w:before="0" w:after="0"/>
        <w:ind w:left="0" w:right="0" w:firstLine="280"/>
      </w:pPr>
      <w:bookmarkStart w:id="498" w:name="bookmark498"/>
      <w:r>
        <w:rPr>
          <w:lang w:val="ru-RU" w:eastAsia="ru-RU" w:bidi="ru-RU"/>
          <w:w w:val="100"/>
          <w:spacing w:val="0"/>
          <w:color w:val="000000"/>
          <w:position w:val="0"/>
        </w:rPr>
        <w:t>Лечение</w:t>
      </w:r>
      <w:bookmarkEnd w:id="49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Симптоматическое заключается в коррекции сердечной недостаточности: проводится длительное назначение сер</w:t>
        <w:softHyphen/>
        <w:t>дечных гликозидов и мочегонных средств.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Талькаж перикарда и протезирование митрального кла</w:t>
        <w:softHyphen/>
        <w:t>пана не оказывают положительного действия.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терминальной стадии единственным выходом являет</w:t>
        <w:softHyphen/>
        <w:t>ся трансплантация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Прогноз неблагоприятный.</w:t>
      </w:r>
    </w:p>
    <w:p>
      <w:pPr>
        <w:pStyle w:val="Style92"/>
        <w:widowControl w:val="0"/>
        <w:keepNext/>
        <w:keepLines/>
        <w:shd w:val="clear" w:color="auto" w:fill="auto"/>
        <w:bidi w:val="0"/>
        <w:spacing w:before="0" w:after="0"/>
        <w:ind w:left="0" w:right="0" w:firstLine="280"/>
      </w:pPr>
      <w:bookmarkStart w:id="499" w:name="bookmark499"/>
      <w:r>
        <w:rPr>
          <w:lang w:val="ru-RU" w:eastAsia="ru-RU" w:bidi="ru-RU"/>
          <w:w w:val="100"/>
          <w:spacing w:val="0"/>
          <w:color w:val="000000"/>
          <w:position w:val="0"/>
        </w:rPr>
        <w:t>Поражение эндокарда при карциноидной болезни</w:t>
      </w:r>
      <w:bookmarkEnd w:id="49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Карциноидная болезнь обусловлена своеобразной опу</w:t>
        <w:softHyphen/>
        <w:t>холью — аргентаффиномой, обычно локализующейся в ки</w:t>
        <w:softHyphen/>
        <w:t>шечнике.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карциноидная болезнь встречается казуистичес</w:t>
        <w:softHyphen/>
        <w:t>ки редко.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Причиной повреждения эндокарда при карциноидной бо</w:t>
        <w:softHyphen/>
        <w:t>лезни является воздействие высоких концентраций биологи</w:t>
        <w:softHyphen/>
        <w:t>чески активных веществ — серотонина и кининов, выделяе</w:t>
        <w:softHyphen/>
        <w:t>мых опухолью. Повреждаются преимущественно правые от</w:t>
        <w:softHyphen/>
        <w:t>делы сердца, так как серотонин, проходя через легкие, инак</w:t>
        <w:softHyphen/>
        <w:t>тивируется легочной моноаминоксидазой. Значение бради- кинина в патогенезе поражения эндокарда подтверждено экспериментально, при введении этого вещества возникает фиброзный процесс, захватывающий и клапанный аппарат, что приводит к развитию стеноза клапанного отверстия ле</w:t>
        <w:softHyphen/>
        <w:t>гочной артерии или трехстворчатого клапана. Фиброзный процесс распространяется и на хорды, которые укорачивают</w:t>
        <w:softHyphen/>
        <w:t>ся, и развивается клиническая картина недостаточности трехстворчатого клапана. Повреждение клапанного аппарата сердца наблюдается у половины больных с карциноидной бо</w:t>
        <w:softHyphen/>
        <w:t>лезнью, а при наличии метастазов в печень — еще чаще.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Признаки основного заболевания включают:</w:t>
      </w:r>
    </w:p>
    <w:p>
      <w:pPr>
        <w:pStyle w:val="Style30"/>
        <w:numPr>
          <w:ilvl w:val="0"/>
          <w:numId w:val="9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Телеангиэктазии.</w:t>
      </w:r>
    </w:p>
    <w:p>
      <w:pPr>
        <w:pStyle w:val="Style30"/>
        <w:numPr>
          <w:ilvl w:val="0"/>
          <w:numId w:val="9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Гипотонические кризы.</w:t>
      </w:r>
    </w:p>
    <w:p>
      <w:pPr>
        <w:pStyle w:val="Style30"/>
        <w:numPr>
          <w:ilvl w:val="0"/>
          <w:numId w:val="9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Понос.</w:t>
      </w:r>
    </w:p>
    <w:p>
      <w:pPr>
        <w:pStyle w:val="Style30"/>
        <w:numPr>
          <w:ilvl w:val="0"/>
          <w:numId w:val="9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Покраснение кожи.</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Удушье.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Признаки поражения сердца:</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Фиброэластоз эндокарда правых отделов сердца.</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Трикуспидальная недостаточность.</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Стеноз легочной артерии.</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Правожелудочковая недостаточность.</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Лабораторная диагностика</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Определение в моче высоких значений продуктов мета</w:t>
        <w:softHyphen/>
        <w:t>болизма серотонина — 5-гидроксииндол-уксусной кислоты.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Электрокардиография:</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Гипертрофия правого желудочка.</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Перегрузка правого предсердия.</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Неполная блокада правой ножки пучка Гиса.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Рентгенография:</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Дилатация правого желудочка.</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Обеднение легочного сосудистого рисунка.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Допплерэхокардиография:</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Плотные эхосигналы от эндокарда правого желудоч</w:t>
        <w:softHyphen/>
        <w:t>ка, деформация и фиброз сухожильных нитей трику</w:t>
        <w:softHyphen/>
        <w:t>спидального клапана.</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Уплотнение трикуспидального клапана с явлениями регургитации.</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Стеноз (редко недостаточность) клапана легочной артерии.</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Гемодинамические признаки правожелудочковой не</w:t>
        <w:softHyphen/>
        <w:t>достаточности.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Для лечения сердечной недостаточности применяют</w:t>
        <w:softHyphen/>
        <w:t>ся сердечные гликозиды и диуретики.</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Для лечения опухоли используют хирургические ме</w:t>
        <w:softHyphen/>
        <w:t>тоды и химиопрепараты, в частности циклофосфа- мид.</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Назначают антагонисты серотонина.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При развитии тяжелой трикуспидальной недостаточнос</w:t>
        <w:softHyphen/>
        <w:t>ти проводят протезирование клапана.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своевременной диагностике опухоли и ее лече</w:t>
        <w:softHyphen/>
        <w:t>нии прогноз относительно благоприятный.</w:t>
      </w:r>
    </w:p>
    <w:p>
      <w:pPr>
        <w:pStyle w:val="Style30"/>
        <w:numPr>
          <w:ilvl w:val="0"/>
          <w:numId w:val="95"/>
        </w:numPr>
        <w:tabs>
          <w:tab w:leader="none" w:pos="516" w:val="left"/>
        </w:tabs>
        <w:widowControl w:val="0"/>
        <w:keepNext w:val="0"/>
        <w:keepLines w:val="0"/>
        <w:shd w:val="clear" w:color="auto" w:fill="auto"/>
        <w:bidi w:val="0"/>
        <w:spacing w:before="0" w:after="0"/>
        <w:ind w:left="520" w:right="0" w:hanging="240"/>
        <w:sectPr>
          <w:headerReference w:type="even" r:id="rId770"/>
          <w:headerReference w:type="default" r:id="rId771"/>
          <w:pgSz w:w="11900" w:h="16840"/>
          <w:pgMar w:top="1579" w:left="1005" w:right="1007" w:bottom="1771" w:header="0" w:footer="3" w:gutter="0"/>
          <w:rtlGutter w:val="0"/>
          <w:cols w:num="2" w:space="153"/>
          <w:noEndnote/>
          <w:docGrid w:linePitch="360"/>
        </w:sectPr>
      </w:pPr>
      <w:r>
        <w:rPr>
          <w:lang w:val="ru-RU" w:eastAsia="ru-RU" w:bidi="ru-RU"/>
          <w:w w:val="100"/>
          <w:spacing w:val="0"/>
          <w:color w:val="000000"/>
          <w:position w:val="0"/>
        </w:rPr>
        <w:t>Если опухоль не распознана, больные погибают от за</w:t>
        <w:softHyphen/>
        <w:t>стойной сердечной недостаточности или аритмий.</w:t>
      </w:r>
    </w:p>
    <w:p>
      <w:pPr>
        <w:widowControl w:val="0"/>
        <w:rPr>
          <w:sz w:val="2"/>
          <w:szCs w:val="2"/>
        </w:rPr>
      </w:pPr>
      <w:r>
        <w:pict>
          <v:shape id="_x0000_s1491" type="#_x0000_t202" style="position:static;width:595.pt;height:282.0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492" type="#_x0000_t75" style="position:absolute;margin-left:131.35pt;margin-top:0;width:209.75pt;height:14.9pt;z-index:-251658681;mso-wrap-distance-left:5.pt;mso-wrap-distance-right:5.pt;mso-position-horizontal-relative:margin" wrapcoords="0 0">
            <v:imagedata r:id="rId772" r:href="rId773"/>
            <w10:wrap anchorx="margin"/>
          </v:shape>
        </w:pict>
      </w:r>
    </w:p>
    <w:p>
      <w:pPr>
        <w:widowControl w:val="0"/>
        <w:rPr>
          <w:sz w:val="2"/>
          <w:szCs w:val="2"/>
        </w:rPr>
        <w:sectPr>
          <w:type w:val="continuous"/>
          <w:pgSz w:w="11900" w:h="16840"/>
          <w:pgMar w:top="1468" w:left="1119" w:right="898" w:bottom="192" w:header="0" w:footer="3" w:gutter="0"/>
          <w:rtlGutter w:val="0"/>
          <w:cols w:space="720"/>
          <w:noEndnote/>
          <w:docGrid w:linePitch="360"/>
        </w:sectPr>
      </w:pPr>
    </w:p>
    <w:p>
      <w:pPr>
        <w:pStyle w:val="Style5"/>
        <w:widowControl w:val="0"/>
        <w:keepNext w:val="0"/>
        <w:keepLines w:val="0"/>
        <w:shd w:val="clear" w:color="auto" w:fill="auto"/>
        <w:bidi w:val="0"/>
        <w:jc w:val="left"/>
        <w:spacing w:before="0" w:after="226" w:line="340" w:lineRule="exact"/>
        <w:ind w:left="2320" w:right="0" w:firstLine="0"/>
      </w:pPr>
      <w:r>
        <w:rPr>
          <w:rStyle w:val="CharStyle144"/>
          <w:b/>
          <w:bCs/>
        </w:rPr>
        <w:t>ГлаваVI</w:t>
      </w:r>
    </w:p>
    <w:p>
      <w:pPr>
        <w:pStyle w:val="Style15"/>
        <w:widowControl w:val="0"/>
        <w:keepNext/>
        <w:keepLines/>
        <w:shd w:val="clear" w:color="auto" w:fill="auto"/>
        <w:bidi w:val="0"/>
        <w:jc w:val="left"/>
        <w:spacing w:before="0" w:after="0" w:line="340" w:lineRule="exact"/>
        <w:ind w:left="2320" w:right="0" w:firstLine="0"/>
        <w:sectPr>
          <w:pgSz w:w="11900" w:h="16840"/>
          <w:pgMar w:top="1800" w:left="893" w:right="1119" w:bottom="206" w:header="0" w:footer="3" w:gutter="0"/>
          <w:rtlGutter w:val="0"/>
          <w:cols w:space="720"/>
          <w:noEndnote/>
          <w:docGrid w:linePitch="360"/>
        </w:sectPr>
      </w:pPr>
      <w:bookmarkStart w:id="500" w:name="bookmark500"/>
      <w:r>
        <w:rPr>
          <w:rStyle w:val="CharStyle145"/>
          <w:b/>
          <w:bCs/>
        </w:rPr>
        <w:t>ПАТОЛОГИЯ ПЕРИКАРДА У ДЕТЕЙ</w:t>
      </w:r>
      <w:bookmarkEnd w:id="500"/>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28" w:after="28" w:line="240" w:lineRule="exact"/>
        <w:rPr>
          <w:sz w:val="19"/>
          <w:szCs w:val="19"/>
        </w:rPr>
      </w:pPr>
    </w:p>
    <w:p>
      <w:pPr>
        <w:widowControl w:val="0"/>
        <w:rPr>
          <w:sz w:val="2"/>
          <w:szCs w:val="2"/>
        </w:rPr>
        <w:sectPr>
          <w:type w:val="continuous"/>
          <w:pgSz w:w="11900" w:h="16840"/>
          <w:pgMar w:top="1559" w:left="0" w:right="0" w:bottom="1737" w:header="0" w:footer="3" w:gutter="0"/>
          <w:rtlGutter w:val="0"/>
          <w:cols w:space="720"/>
          <w:noEndnote/>
          <w:docGrid w:linePitch="360"/>
        </w:sectPr>
      </w:pPr>
    </w:p>
    <w:p>
      <w:pPr>
        <w:widowControl w:val="0"/>
        <w:rPr>
          <w:sz w:val="2"/>
          <w:szCs w:val="2"/>
        </w:rPr>
      </w:pPr>
      <w:r>
        <w:pict>
          <v:shape id="_x0000_s1493" type="#_x0000_t75" style="position:absolute;margin-left:141.8pt;margin-top:608.9pt;width:209.75pt;height:14.9pt;z-index:-125829067;mso-wrap-distance-left:148.1pt;mso-wrap-distance-right:136.8pt;mso-wrap-distance-bottom:10.8pt;mso-position-horizontal-relative:margin" wrapcoords="0 0 21600 0 21600 21600 0 21600 0 0">
            <v:imagedata r:id="rId774" r:href="rId775"/>
            <w10:wrap type="topAndBottom" anchorx="margin"/>
          </v:shape>
        </w:pict>
      </w:r>
    </w:p>
    <w:p>
      <w:pPr>
        <w:pStyle w:val="Style30"/>
        <w:widowControl w:val="0"/>
        <w:keepNext w:val="0"/>
        <w:keepLines w:val="0"/>
        <w:shd w:val="clear" w:color="auto" w:fill="auto"/>
        <w:bidi w:val="0"/>
        <w:spacing w:before="0" w:after="133"/>
        <w:ind w:left="0" w:right="0" w:firstLine="280"/>
      </w:pPr>
      <w:r>
        <w:rPr>
          <w:lang w:val="ru-RU" w:eastAsia="ru-RU" w:bidi="ru-RU"/>
          <w:w w:val="100"/>
          <w:spacing w:val="0"/>
          <w:color w:val="000000"/>
          <w:position w:val="0"/>
        </w:rPr>
        <w:t>Патология перикарда у детей разнообразна по этиологи</w:t>
        <w:softHyphen/>
        <w:t>ческим и клиническим проявлениям. Большинство случаев болезней перикарда обусловлены воспалительным пораже</w:t>
        <w:softHyphen/>
        <w:t>нием сердечной сорочки, и лишь небольшой процент при</w:t>
        <w:softHyphen/>
        <w:t>ходится на врожденные аномалии, кисты, казуистически редко встречаются опухоли перикарда.</w:t>
      </w:r>
    </w:p>
    <w:p>
      <w:pPr>
        <w:pStyle w:val="Style48"/>
        <w:widowControl w:val="0"/>
        <w:keepNext/>
        <w:keepLines/>
        <w:shd w:val="clear" w:color="auto" w:fill="auto"/>
        <w:bidi w:val="0"/>
        <w:jc w:val="left"/>
        <w:spacing w:before="0" w:after="41" w:line="200" w:lineRule="exact"/>
        <w:ind w:left="0" w:right="0" w:firstLine="0"/>
      </w:pPr>
      <w:bookmarkStart w:id="501" w:name="bookmark501"/>
      <w:r>
        <w:rPr>
          <w:lang w:val="ru-RU" w:eastAsia="ru-RU" w:bidi="ru-RU"/>
          <w:w w:val="100"/>
          <w:spacing w:val="0"/>
          <w:color w:val="000000"/>
          <w:position w:val="0"/>
        </w:rPr>
        <w:t>Анатомия перикарда</w:t>
      </w:r>
      <w:bookmarkEnd w:id="50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Перикард </w:t>
      </w:r>
      <w:r>
        <w:rPr>
          <w:lang w:val="en-US" w:eastAsia="en-US" w:bidi="en-US"/>
          <w:w w:val="100"/>
          <w:spacing w:val="0"/>
          <w:color w:val="000000"/>
          <w:position w:val="0"/>
        </w:rPr>
        <w:t xml:space="preserve">(pericardium) </w:t>
      </w:r>
      <w:r>
        <w:rPr>
          <w:lang w:val="ru-RU" w:eastAsia="ru-RU" w:bidi="ru-RU"/>
          <w:w w:val="100"/>
          <w:spacing w:val="0"/>
          <w:color w:val="000000"/>
          <w:position w:val="0"/>
        </w:rPr>
        <w:t>— сердечная сорочка. Его форма, строение и топография находятся в тесной зависимости от строения сердца, положения окружающих органов, возраста и индивидуальности. Перикард представляет собой мешок, состоящий из двух листков, различных по происхождению: наружного фиброзного и внутреннего серозного. Фиброзный слой переходит в адвентицию крупных сосудов. Серозный слой делится на два листка: висцеральный, или эпикард, по</w:t>
        <w:softHyphen/>
        <w:t>крывающий сердечную мышцу, и париетальный, сращенный с внутренней поверхностью фиброзного листка перикарда. Между висцеральным и париетальным листками серозного слоя перикарда имеется узкая щелевидная полость, в которой в норме содержится 20-40 мл прозрачной жидкости, проду</w:t>
        <w:softHyphen/>
        <w:t>цируемой серозным листком. Перикард имеет форму усечен</w:t>
        <w:softHyphen/>
        <w:t>ного конуса, основание которого лежит на диафрагме, а вер</w:t>
        <w:softHyphen/>
        <w:t>шина (купол) обращена в сторону крупных сосудов. В пери</w:t>
        <w:softHyphen/>
        <w:t>карде можно различить шесть отделов. Передний отдел пери</w:t>
        <w:softHyphen/>
        <w:t>карда обращен к грудинно-реберной части грудной клетки и на участке перикардиального треугольника непосредствен</w:t>
        <w:softHyphen/>
        <w:t>но соприкасается с передней грудной стенкой. Боковые отде</w:t>
        <w:softHyphen/>
        <w:t>лы перикарда прикрыты плевральными листками. В верхней части средостения они отделены от плевры клетчаткой, а в нижней довольно прочно сращены с плеврой. Нижний от</w:t>
        <w:softHyphen/>
        <w:t>дел перикарда тесно сращен с сухожильным центром диаф</w:t>
        <w:softHyphen/>
        <w:t>рагмы. Задний отдел перикарда обращен к дистальному отде</w:t>
        <w:softHyphen/>
        <w:t>лу трахеи, бронхам и вилочковой железе. Справа к нему при</w:t>
        <w:softHyphen/>
        <w:t>лежит верхняя полая вена, слева — конечная часть легочного ствола и левая легочная артерия.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Связки перикарда играют роль буферной системы, пред</w:t>
        <w:softHyphen/>
        <w:t>охраняющей перикард и сердце от резких перемещений. Перикард препятствует также чрезмерному растяжению сердца при диастоле. Различают внешние и внутренние связки перикарда. К внешним относятся верхняя и нижняя грудино -перикардиальные, перикардиально -диафрагмаль</w:t>
        <w:softHyphen/>
        <w:t>ная, поперечно-перикардиальная, вертикально-перикар</w:t>
        <w:softHyphen/>
        <w:t>диальная, трахео-перикардиальная, позвоночно-перикар</w:t>
        <w:softHyphen/>
        <w:t>диальная, левая бронхо-перикардиальная, правая брон</w:t>
        <w:softHyphen/>
        <w:t>хо-перикардиальная связки. Внутренними являются аор</w:t>
        <w:softHyphen/>
        <w:t>то-перикардиальная и перикардиально-легочная связки.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Складки перикарда образуются при переходе листков перикарда на крупные сосуды сердца. Различают артери</w:t>
        <w:softHyphen/>
        <w:t>альную и венозную складки переходной зоны перикарда.</w:t>
      </w:r>
    </w:p>
    <w:p>
      <w:pPr>
        <w:pStyle w:val="Style30"/>
        <w:widowControl w:val="0"/>
        <w:keepNext w:val="0"/>
        <w:keepLines w:val="0"/>
        <w:shd w:val="clear" w:color="auto" w:fill="auto"/>
        <w:bidi w:val="0"/>
        <w:spacing w:before="0" w:after="0"/>
        <w:ind w:left="0" w:right="0" w:firstLine="0"/>
      </w:pPr>
      <w:r>
        <w:br w:type="column"/>
      </w:r>
      <w:r>
        <w:rPr>
          <w:lang w:val="ru-RU" w:eastAsia="ru-RU" w:bidi="ru-RU"/>
          <w:w w:val="100"/>
          <w:spacing w:val="0"/>
          <w:color w:val="000000"/>
          <w:position w:val="0"/>
        </w:rPr>
        <w:t>Они объединяются в вертикальные и горизонтальные складки. Артериальная складка образуется при переходе перикарда на аорту и легочный ствол. Венозной складкой является переход перикарда на полые и легочные вены. Ар</w:t>
        <w:softHyphen/>
        <w:t>териальная складка на задней поверхности перикарда ле</w:t>
        <w:softHyphen/>
        <w:t>жит выше венозных складок.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Количество переходных складок на задней поверхности перикарда колеблется от трех до шести. При наличии трех складок одна находится на правой половине перикарда, идет вертикально (правая вертикальная складка) от устья верхней полой вены к устьям правых легочных вен и к ниж</w:t>
        <w:softHyphen/>
        <w:t>ней полой вене. Другая — левая вертикальная складка ле</w:t>
        <w:softHyphen/>
        <w:t>жит в левой половине задней стенки перикарда и ограничи - вает левые легочные вены. Между правой и левой верти</w:t>
        <w:softHyphen/>
        <w:t>кальными складками перикарда имеется поперечная склад</w:t>
        <w:softHyphen/>
        <w:t>ка, которая располагается горизонтально, между устьями правых и левых легочных вен, и делит заднюю стенку пери - карда на верхнюю и нижнюю части. При наличии шести складок возникает сложный рельеф задней стенки пери</w:t>
        <w:softHyphen/>
        <w:t>карда. Вертикальные складки теряют непрерывность и раз</w:t>
        <w:softHyphen/>
        <w:t>деляются на ряд отдельных сосудистых складок. Встречает</w:t>
        <w:softHyphen/>
        <w:t>ся и самостоятельная складка облитерированной левой верхней полой вены.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Пазухи (синусы) располагаются между перикардом и стенкой сердца. Передненижний синус перикарда нахо</w:t>
        <w:softHyphen/>
        <w:t>дится между сердцем и грудинно-реберной частью пери</w:t>
        <w:softHyphen/>
        <w:t>карда и диафрагмой. Он имеет форму угловатого желоба; широкое основание его находится ниже правого предсер</w:t>
        <w:softHyphen/>
        <w:t>дия. Этот синус перикарда находится между задней поверх</w:t>
        <w:softHyphen/>
        <w:t>ностью сердца и переходом задней стенки перикарда в диа</w:t>
        <w:softHyphen/>
        <w:t>фрагмальную, кнутри от нижней полой вены. Поперечный синус располагается в промежутке между восходящей аор</w:t>
        <w:softHyphen/>
        <w:t>той и верхней полой веной. Косой перикардиальный синус находится между задней стенкой левого предсердия, пра</w:t>
        <w:softHyphen/>
        <w:t>вым краем правого предсердия и задней стенкой перикар</w:t>
        <w:softHyphen/>
        <w:t>да, покрывающей бифуркацию трахеи и главные бронхи. Вход в косой синус ограничивают справа — нижняя полая, слева — легочные вены.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Завороты (карманы) — небольшие щелевидные про</w:t>
        <w:softHyphen/>
        <w:t>странства, образованные при переходе перикарда в эпикард на крупных сосудах. Различают следующие завороты: пере</w:t>
        <w:softHyphen/>
        <w:t>дний аортальный карман, или передневерхний заворот, за</w:t>
        <w:softHyphen/>
        <w:t>ворот верхней полой вены, позадиаортальный заворот, ле</w:t>
        <w:softHyphen/>
        <w:t>вый заворот легочных сосудов, заворот левого предсердия, боковые завороты легочных вен. В 50% случаев наблюдают</w:t>
        <w:softHyphen/>
        <w:t>ся завороты около других сосудов.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перикарде можно различить три оболочки: рыхлую со - единительнотканную, связывающую его с соседними орга</w:t>
        <w:softHyphen/>
        <w:t>нами, фиброзную и серозную. В рыхлой оболочке перикар</w:t>
        <w:softHyphen/>
        <w:t>да располагаются сосуды, нервы, фиброзные пучки. Фиб-</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розная оболочка содержит коллагеновые и эластические волокна, которые направляются к крупным сосудам серд</w:t>
        <w:softHyphen/>
        <w:t>ца. Фиброзная и серозная оболочки представляют собой единое целое и состоят из мезотелия, базальной мембраны, поверхностного слоя коллагеновых волокон, коллагеново</w:t>
        <w:softHyphen/>
        <w:t>эластического слоя, эластического слоя и глубокого слоя толстых коллагеново-эластических волокон.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Кпереди от перикарда проходят внутренние грудные ар</w:t>
        <w:softHyphen/>
        <w:t>терии. Обычно они отстоят на 0,5-1 см от края грудины и отделены от перикарда дупликатурой плевры. При неуме</w:t>
        <w:softHyphen/>
        <w:t>лом выборе точки прокола эти артерии или сопутствующие им вены могут быть повреждены при пункции перикарда.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Перикард получает кровоснабжение из сосудистых вет</w:t>
        <w:softHyphen/>
        <w:t>вей, окружающих его органов и тканей. Внутренняя груд</w:t>
        <w:softHyphen/>
        <w:t>ная артерия отдает ветви к перикарду: вилочковые, диаф</w:t>
        <w:softHyphen/>
        <w:t>рагмальные верхние, перикардиальные, верхние, средние и нижние медиастинально-перикардиальные и межребер</w:t>
        <w:softHyphen/>
        <w:t>но-диафрагмоперикардиальные (от VI межреберной). По</w:t>
        <w:softHyphen/>
        <w:t>следняя является бифуркационной ветвью внутренней грудной артерии. Внутренняя грудная артерия на уровне шестого межреберья делится на VI межреберную и верхне</w:t>
        <w:softHyphen/>
        <w:t>надчревную. От VI межреберной артерии берет начало мы</w:t>
        <w:softHyphen/>
        <w:t>шечно-диафрагмальная артерия. Нижние диафрагмальные артерии отходят от брюшной аорты и отдают ветви к пери</w:t>
        <w:softHyphen/>
        <w:t>карду (нижние перикардиодиафрагмальные артерии). Нис</w:t>
        <w:softHyphen/>
        <w:t>ходящая аорта отдает к перикарду ветви от бронхиальных и пищеводных артерий, а также перикардиальные и медиа</w:t>
        <w:softHyphen/>
        <w:t>стинальные ветви. Ветви этих артерий образуют на пери</w:t>
        <w:softHyphen/>
        <w:t>карде пять крупных сосудистых колец: два вертикальных по боковым поверхностям перикарда и три горизонтальных вокруг перикарда.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Нервная система сердца и сердечной сорочки по сущест</w:t>
        <w:softHyphen/>
        <w:t>ву едина, наибольшее количество рецепторов сосредоточе</w:t>
        <w:softHyphen/>
        <w:t>но в обоих листках перикарда и эндокарде. Перикард явля</w:t>
        <w:softHyphen/>
        <w:t>ется важной рефлексогенной зоной. Раздражение рецептор</w:t>
        <w:softHyphen/>
        <w:t>ного аппарата сердечной сорочки вызывает рефлекторную реакцию не только со стороны сердца (брадикардия, оста</w:t>
        <w:softHyphen/>
        <w:t>новка сердца), но и всей сердечно-сосудистой системы (па</w:t>
        <w:softHyphen/>
        <w:t>дение артериального давления, спазм сосудов кишечника, повышение тонуса вен) и дыхания (углубление и учащение).</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В перикарде различают три лимфатические сети, распо</w:t>
        <w:softHyphen/>
        <w:t>ложенные в разных слоях. В поверхностном коллагеново</w:t>
        <w:softHyphen/>
        <w:t>эластическом слое располагается лимфатическая сеть, из которой формируются лимфатические сосуды первого порядка. В глубоком коллагеново-эластическом слое рас</w:t>
        <w:softHyphen/>
        <w:t>полагается лимфатическая сеть второго порядка, откуда от</w:t>
        <w:softHyphen/>
        <w:t>ток лимфы совершается в лимфатическую сеть третьего по</w:t>
        <w:softHyphen/>
        <w:t>рядка, расположенную в рыхлом слое перикарда. Далее формируются крупные лимфатические сосуды, несущие лимфу в регионарные узлы средостения.</w:t>
      </w:r>
    </w:p>
    <w:p>
      <w:pPr>
        <w:pStyle w:val="Style28"/>
        <w:widowControl w:val="0"/>
        <w:keepNext/>
        <w:keepLines/>
        <w:shd w:val="clear" w:color="auto" w:fill="auto"/>
        <w:bidi w:val="0"/>
        <w:jc w:val="both"/>
        <w:spacing w:before="0" w:after="157" w:line="220" w:lineRule="exact"/>
        <w:ind w:left="0" w:right="0" w:firstLine="0"/>
      </w:pPr>
      <w:bookmarkStart w:id="502" w:name="bookmark502"/>
      <w:r>
        <w:rPr>
          <w:lang w:val="ru-RU" w:eastAsia="ru-RU" w:bidi="ru-RU"/>
          <w:w w:val="100"/>
          <w:spacing w:val="0"/>
          <w:color w:val="000000"/>
          <w:position w:val="0"/>
        </w:rPr>
        <w:t>Перикардиты</w:t>
      </w:r>
      <w:bookmarkEnd w:id="50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Перикардит — воспаление серозной оболочки сердца, которое чаще проявляется как симптом инфекционных, ау</w:t>
        <w:softHyphen/>
        <w:t>тоиммунных, опухолевых и других процессов и реже при</w:t>
        <w:softHyphen/>
        <w:t>обретает форму самостоятельного заболевания.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Краткая историческая справка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Об изменениях, развивающихся в перикарде, о на</w:t>
        <w:softHyphen/>
        <w:t>коплении жидкости, сращениях париетальной и вис</w:t>
        <w:softHyphen/>
        <w:t>церальной пластинок серозного перикарда было из</w:t>
        <w:softHyphen/>
        <w:t>вестно еще античным врачам.</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С началом патологоанатомических вскрытий в Евро</w:t>
        <w:softHyphen/>
        <w:t>пе в 17-18 вв. появились более точные описания пе</w:t>
        <w:softHyphen/>
        <w:t>рикардита в работах Стенона (1669), Ланчизи (1728), Халлора (1756) и др.</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Прижизненная диагностика перикардита стала воз</w:t>
        <w:softHyphen/>
        <w:t>можной в начале 19 века благодаря разработке мето</w:t>
        <w:softHyphen/>
        <w:t>дов перкуссии и аускультации, применение которых позволило установить и описать такие признаки пе</w:t>
        <w:softHyphen/>
        <w:t>рикардита, как расширение абсолютной тупости сердца (при «водянке околосердия») и шум трения перикарда.</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 Нагумович (1823) впервые описал больного, по</w:t>
        <w:softHyphen/>
        <w:t>гибшего от тампонады сердца в результате выпотного перикардита.</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Ж. Буйо (1835) прижизненно диагностировал экссу</w:t>
        <w:softHyphen/>
        <w:t>дативный перикардит при ревматизме. Изолирован</w:t>
        <w:softHyphen/>
        <w:t>ный туберкулезный перикардит впервые описал в 1802 г. Р. Вирлов.</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1839-1840 гг. В.Л. Караваев систематически произ</w:t>
        <w:softHyphen/>
        <w:t>водил парацентез перикарда во время вспышки скор</w:t>
        <w:softHyphen/>
        <w:t>бута в Кронштадте. Пункции перикарда получили распространение в 80-х годах 19 века после экспери</w:t>
        <w:softHyphen/>
        <w:t>ментального изучения тампонады сердца, проведен</w:t>
        <w:softHyphen/>
        <w:t>ного Розе (1884). В тот же период Орловым (1882) и Розенштейном (1881) осуществлены первые пери- кардиотомии по поводу гнойного перикардита.</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Оперативные вмешательства при сдавливающем пе</w:t>
        <w:softHyphen/>
        <w:t>рикардите и экстраперикардиальных сращениях, предпринятые в начале 20 в., получили достаточное диагностическое и техническое обеспечение (А.Н. Бакулев).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Этиология</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У детей наиболее частыми причинами перикардитов яв</w:t>
        <w:softHyphen/>
        <w:t>ляются следующие:</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Острые инфекционные:</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вирусные — коксаки А, коксаки В, эховирусные, аденовирусные, вызываемые вирусом паротита, гриппа, ветрянки (в т.ч. поствакцинальные), моно- нуклеоза, пситтакоза-лимфогранулематоза, цито- мегаловируса, краснухи, простого герпеса, ВИЧ, гепатита В, герпесвируса, парвовируса В19;</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бактериальные — стафилококковые, пневмококко - вые, </w:t>
      </w:r>
      <w:r>
        <w:rPr>
          <w:lang w:val="en-US" w:eastAsia="en-US" w:bidi="en-US"/>
          <w:w w:val="100"/>
          <w:spacing w:val="0"/>
          <w:color w:val="000000"/>
          <w:position w:val="0"/>
        </w:rPr>
        <w:t xml:space="preserve">Haemophilus influenzae, </w:t>
      </w:r>
      <w:r>
        <w:rPr>
          <w:lang w:val="ru-RU" w:eastAsia="ru-RU" w:bidi="ru-RU"/>
          <w:w w:val="100"/>
          <w:spacing w:val="0"/>
          <w:color w:val="000000"/>
          <w:position w:val="0"/>
        </w:rPr>
        <w:t>менингококковые, стрептококковые, сальмонеллезные, вызываемые микобактериями на фоне ВИЧ;</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микоплазменные;</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протозойные — амебиазные, токсоплазмозные;</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риккетсиозные — </w:t>
      </w:r>
      <w:r>
        <w:rPr>
          <w:lang w:val="en-US" w:eastAsia="en-US" w:bidi="en-US"/>
          <w:w w:val="100"/>
          <w:spacing w:val="0"/>
          <w:color w:val="000000"/>
          <w:position w:val="0"/>
        </w:rPr>
        <w:t>Coxiella burnetii.</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Вызываемые физическими причинами:</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гемоперикард, а также перикардиты вследствие травм грудной клетки при операциях на сердце;</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серозные перикардиты после травмы сердца, опе</w:t>
        <w:softHyphen/>
        <w:t>раций на сердце, инфаркта миокарда;</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перфорация правого предсердия при катетериза</w:t>
        <w:softHyphen/>
        <w:t>ции;</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 радиоактивном облучении грудной клетки.</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Хронические инфекционные:</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туберкулезные, актиномикозные;</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фунги-гистоплазмозные, кокцидиомикозные, кандидозные, аспергиллезные, бластомикозные.</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pict>
          <v:shape id="_x0000_s1494" type="#_x0000_t75" style="position:absolute;margin-left:136.8pt;margin-top:736.55pt;width:209.75pt;height:14.9pt;z-index:-125829066;mso-wrap-distance-left:136.8pt;mso-wrap-distance-right:148.1pt;mso-wrap-distance-bottom:10.8pt;mso-position-horizontal-relative:margin;mso-position-vertical-relative:margin" wrapcoords="0 0 21600 0 21600 21600 0 21600 0 0">
            <v:imagedata r:id="rId776" r:href="rId777"/>
            <w10:wrap type="topAndBottom" anchorx="margin" anchory="margin"/>
          </v:shape>
        </w:pict>
      </w:r>
      <w:r>
        <w:rPr>
          <w:lang w:val="ru-RU" w:eastAsia="ru-RU" w:bidi="ru-RU"/>
          <w:w w:val="100"/>
          <w:spacing w:val="0"/>
          <w:color w:val="000000"/>
          <w:position w:val="0"/>
        </w:rPr>
        <w:t>Перикардиты при анасарке вследствие застойной сер</w:t>
        <w:softHyphen/>
        <w:t>дечной недостаточности, нефрита или цирроза печени.</w:t>
      </w:r>
      <w:r>
        <w:br w:type="page"/>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Перикардиты при васкулитах, особенно часто при синдроме </w:t>
      </w:r>
      <w:r>
        <w:rPr>
          <w:lang w:val="en-US" w:eastAsia="en-US" w:bidi="en-US"/>
          <w:w w:val="100"/>
          <w:spacing w:val="0"/>
          <w:color w:val="000000"/>
          <w:position w:val="0"/>
        </w:rPr>
        <w:t xml:space="preserve">lupus erythematosus, </w:t>
      </w:r>
      <w:r>
        <w:rPr>
          <w:lang w:val="ru-RU" w:eastAsia="ru-RU" w:bidi="ru-RU"/>
          <w:w w:val="100"/>
          <w:spacing w:val="0"/>
          <w:color w:val="000000"/>
          <w:position w:val="0"/>
        </w:rPr>
        <w:t>ревматоидном артрите, ревматической лихорадке, а также при склеродер</w:t>
        <w:softHyphen/>
        <w:t xml:space="preserve">мии, полиартрите, гранулематозе </w:t>
      </w:r>
      <w:r>
        <w:rPr>
          <w:lang w:val="en-US" w:eastAsia="en-US" w:bidi="en-US"/>
          <w:w w:val="100"/>
          <w:spacing w:val="0"/>
          <w:color w:val="000000"/>
          <w:position w:val="0"/>
        </w:rPr>
        <w:t xml:space="preserve">Wegener, </w:t>
      </w:r>
      <w:r>
        <w:rPr>
          <w:lang w:val="ru-RU" w:eastAsia="ru-RU" w:bidi="ru-RU"/>
          <w:w w:val="100"/>
          <w:spacing w:val="0"/>
          <w:color w:val="000000"/>
          <w:position w:val="0"/>
        </w:rPr>
        <w:t xml:space="preserve">синдроме Рейтера, синдроме </w:t>
      </w:r>
      <w:r>
        <w:rPr>
          <w:lang w:val="en-US" w:eastAsia="en-US" w:bidi="en-US"/>
          <w:w w:val="100"/>
          <w:spacing w:val="0"/>
          <w:color w:val="000000"/>
          <w:position w:val="0"/>
        </w:rPr>
        <w:t xml:space="preserve">Behcet, </w:t>
      </w:r>
      <w:r>
        <w:rPr>
          <w:lang w:val="ru-RU" w:eastAsia="ru-RU" w:bidi="ru-RU"/>
          <w:w w:val="100"/>
          <w:spacing w:val="0"/>
          <w:color w:val="000000"/>
          <w:position w:val="0"/>
        </w:rPr>
        <w:t xml:space="preserve">болезни </w:t>
      </w:r>
      <w:r>
        <w:rPr>
          <w:lang w:val="en-US" w:eastAsia="en-US" w:bidi="en-US"/>
          <w:w w:val="100"/>
          <w:spacing w:val="0"/>
          <w:color w:val="000000"/>
          <w:position w:val="0"/>
        </w:rPr>
        <w:t>Whipple.</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метаболических расстройствах — уремии, мик- седеме.</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гемодиализе.</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врожденных пороках сердца и кардиомиопатиях.</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доброкачественных или злокачественных опухо - лях.</w:t>
      </w:r>
    </w:p>
    <w:p>
      <w:pPr>
        <w:pStyle w:val="Style30"/>
        <w:numPr>
          <w:ilvl w:val="0"/>
          <w:numId w:val="9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инородных телах в миокарде.</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Лекарственно индуцированные перикардиты: при упо</w:t>
        <w:softHyphen/>
        <w:t>треблении гидралазина, прокаинамида, фенитоина, изониазида, фенилбутазона, метисергида, пеницилли</w:t>
        <w:softHyphen/>
        <w:t>на, антикоагулянтов, практолола, миноксидила.</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анемиях — серповидно-клеточной, талассемии, врожденных апластических анемиях.</w:t>
      </w:r>
    </w:p>
    <w:p>
      <w:pPr>
        <w:pStyle w:val="Style30"/>
        <w:numPr>
          <w:ilvl w:val="0"/>
          <w:numId w:val="95"/>
        </w:numPr>
        <w:tabs>
          <w:tab w:leader="none" w:pos="517"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Другие — при разрыве аневризм, остром панкреати</w:t>
        <w:softHyphen/>
        <w:t>те, саркоидозе, множественных миеломах, амилоидо- зе, болезни Кавасаки, язвенном колите.</w:t>
      </w:r>
    </w:p>
    <w:p>
      <w:pPr>
        <w:pStyle w:val="Style92"/>
        <w:widowControl w:val="0"/>
        <w:keepNext/>
        <w:keepLines/>
        <w:shd w:val="clear" w:color="auto" w:fill="auto"/>
        <w:bidi w:val="0"/>
        <w:spacing w:before="0" w:after="0"/>
        <w:ind w:left="0" w:right="0" w:firstLine="280"/>
      </w:pPr>
      <w:bookmarkStart w:id="503" w:name="bookmark503"/>
      <w:r>
        <w:rPr>
          <w:lang w:val="ru-RU" w:eastAsia="ru-RU" w:bidi="ru-RU"/>
          <w:w w:val="100"/>
          <w:spacing w:val="0"/>
          <w:color w:val="000000"/>
          <w:position w:val="0"/>
        </w:rPr>
        <w:t>Патофизиология</w:t>
      </w:r>
      <w:bookmarkEnd w:id="50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 наиболее изученным механизмам патогенеза перикар - дитов относятся:</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Занос инфекционных возбудителей в полость пери</w:t>
        <w:softHyphen/>
        <w:t>карда по лимфатическим и кровеносным сосудам.</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Развитие гиперэргического воспаления как результат иммунного ответа на эндо- и экзогенные антигены бактериального и тканевого происхождения.</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Контактное воспаление и прорастание опухолевой ткани из соседних органов.</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Асептическая воспалительная реакция на действие токсических веществ.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Причиной накопления экссудата в полости перикарда является дисбаланс между продукцией воспалительного выпота и всасыванием его неповрежденными участками перикарда. По характеру выпот может быть серозно-фиб</w:t>
        <w:softHyphen/>
        <w:t>ринозным, геморрагическим, гнойным или гнилостным. Сухой (фибринозный) перикардит правильнее рассматри</w:t>
        <w:softHyphen/>
        <w:t>вать как стадию экссудативного, однако своеобразие кли</w:t>
        <w:softHyphen/>
        <w:t>нических проявлений дает основание выделить его в от</w:t>
        <w:softHyphen/>
        <w:t>дельную нозологическую форму.</w:t>
      </w:r>
    </w:p>
    <w:p>
      <w:pPr>
        <w:pStyle w:val="Style30"/>
        <w:widowControl w:val="0"/>
        <w:keepNext w:val="0"/>
        <w:keepLines w:val="0"/>
        <w:shd w:val="clear" w:color="auto" w:fill="auto"/>
        <w:bidi w:val="0"/>
        <w:spacing w:before="0" w:after="193"/>
        <w:ind w:left="0" w:right="0" w:firstLine="280"/>
      </w:pPr>
      <w:r>
        <w:rPr>
          <w:lang w:val="ru-RU" w:eastAsia="ru-RU" w:bidi="ru-RU"/>
          <w:w w:val="100"/>
          <w:spacing w:val="0"/>
          <w:color w:val="000000"/>
          <w:position w:val="0"/>
        </w:rPr>
        <w:t>Течение перикардитов бывает острым и хроническим. Последние могут трансформироваться из острого или с на</w:t>
        <w:softHyphen/>
        <w:t>чала заболевания иметь первично-хронический характер. У больных хроническим перикардитом в патоморфологи</w:t>
        <w:softHyphen/>
        <w:t>ческой картине заболевания преобладают склеротические процессы (иногда в сочетании с осумкованием экссудата). Развитием тяжелых адгезивных процессов чаще всего со</w:t>
        <w:softHyphen/>
        <w:t>провождаются туберкулезный, гнойный и геморрагический перикардиты.</w:t>
      </w:r>
    </w:p>
    <w:p>
      <w:pPr>
        <w:pStyle w:val="Style48"/>
        <w:widowControl w:val="0"/>
        <w:keepNext/>
        <w:keepLines/>
        <w:shd w:val="clear" w:color="auto" w:fill="auto"/>
        <w:bidi w:val="0"/>
        <w:jc w:val="left"/>
        <w:spacing w:before="0" w:after="101" w:line="200" w:lineRule="exact"/>
        <w:ind w:left="0" w:right="0" w:firstLine="0"/>
      </w:pPr>
      <w:bookmarkStart w:id="504" w:name="bookmark504"/>
      <w:r>
        <w:rPr>
          <w:lang w:val="ru-RU" w:eastAsia="ru-RU" w:bidi="ru-RU"/>
          <w:w w:val="100"/>
          <w:spacing w:val="0"/>
          <w:color w:val="000000"/>
          <w:position w:val="0"/>
        </w:rPr>
        <w:t>Сухой фибринозный перикардит</w:t>
      </w:r>
      <w:bookmarkEnd w:id="50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Даже при распространенном сухом перикардите значи</w:t>
        <w:softHyphen/>
        <w:t>тельные поверхности перикарда сохраняют способность к всасыванию, функциональную активность и не вовлече</w:t>
        <w:softHyphen/>
        <w:t>ны в воспалительный процесс.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частой причиной его развития является рев</w:t>
        <w:softHyphen/>
        <w:t>матизм. Развивается он в детском и юношеском возрасте от 8 до 20 лет. Изменения перикарда чаще локализуются у ос</w:t>
        <w:softHyphen/>
        <w:br w:type="column"/>
        <w:t>нования сердца, фибрин откладывается на поверхности пе</w:t>
        <w:softHyphen/>
        <w:t>рикарда слоем в виде ворсинок, образуя ворсинчатое серд</w:t>
        <w:softHyphen/>
        <w:t>це. Примесь жидкого экссудата невелика. Воспалительные изменения могут привести к развитию сращения листков перикарда — слипчивый перикардит.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 при перикардите имеет постепенное начало, од</w:t>
        <w:softHyphen/>
        <w:t>нообразна, продолжается в течение нескольких ча</w:t>
        <w:softHyphen/>
        <w:t>сов, снимается или временно ослабевает при приме</w:t>
        <w:softHyphen/>
        <w:t>нении ненаркотических анальгетиков.</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 в области сердца самая различная по характеру: острая, режущая, сверлящая, колющая.</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Движение головой кверху (симптом Герке), повороты туловища усиливают боль.</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 усиливается в положении на спине, на левом бо - ку, ослабевает в положении сидя с наклоном вперед.</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Определяется болезненность при надавливании на левое грудино-ключичное сочленение, что свиде</w:t>
        <w:softHyphen/>
        <w:t>тельствует о раздражении диафрагмального нерва. В этом случае может наблюдаться икота и даже рвота.</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Выраженная перикардиальная боль сопровождается рядом рефлекторных реакций: снижением АД, тахи</w:t>
        <w:softHyphen/>
        <w:t>кардией, тахипноэ.</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базальном перикардите с вовлечением в процесс диафрагмы боль усиливают кашель, глотание, паль</w:t>
        <w:softHyphen/>
        <w:t>пация области сердца.</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Иногда боль может быть настолько интенсивной, что напоминает таковую в ситуациях острого живота, расслоения аорты и инфаркта миокарда.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Другие симптомы:</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Сердцебиение.</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Одышка (ребенок не может сделать глубокого вдоха, дышит поверхностно и часто).</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Сухой кашель.</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Общее недомогание.</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Познабливание.</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Ограниченные фибринозные перикардиты могут быть безболевыми.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Физикальное обследование: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Шум трения перикарда</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Шум трения перикарда может быть выслушан даже при безболевой форме сухого перикардита.</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Шум трения перикарда столь же вариабелен, как и боль в грудной клетке.</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 высоте болевого синдрома шум трения «нежный», ограниченный по протяжению, трудноотличимый от короткого систолического шума.</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 мере усиления шума трения обычно ослабевают болевые ощущения.</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увеличении фибринозных наложений на листках перикарда шум становится грубым, слышен над всей зоной абсолютной тупости сердца.</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Шум может быть двух- или трехфазным, так как воз</w:t>
        <w:softHyphen/>
        <w:t>никает даже при систоле предсердий и в фазу быст</w:t>
        <w:softHyphen/>
        <w:t>рой диастолы. Все компоненты такого шума по ха</w:t>
        <w:softHyphen/>
        <w:t>рактеру и силе сходны, его сравнивают с ритмом «па</w:t>
        <w:softHyphen/>
        <w:t>ровоза».</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Шум трения всегда ограничен зоной абсолютной ту</w:t>
        <w:softHyphen/>
        <w:t>пости сердца или локализуется в какой-то ее части.</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pict>
          <v:shape id="_x0000_s1495" type="#_x0000_t75" style="position:absolute;margin-left:148.1pt;margin-top:736.55pt;width:209.75pt;height:14.9pt;z-index:-125829065;mso-wrap-distance-left:148.1pt;mso-wrap-distance-right:136.8pt;mso-wrap-distance-bottom:10.8pt;mso-position-horizontal-relative:margin;mso-position-vertical-relative:margin" wrapcoords="0 0 21600 0 21600 21600 0 21600 0 0">
            <v:imagedata r:id="rId778" r:href="rId779"/>
            <w10:wrap type="topAndBottom" anchorx="margin" anchory="margin"/>
          </v:shape>
        </w:pict>
      </w:r>
      <w:r>
        <w:rPr>
          <w:lang w:val="ru-RU" w:eastAsia="ru-RU" w:bidi="ru-RU"/>
          <w:w w:val="100"/>
          <w:spacing w:val="0"/>
          <w:color w:val="000000"/>
          <w:position w:val="0"/>
        </w:rPr>
        <w:t>Отличительный признак перикардиального шума — его плохая проводимость, он «умирает там, где родился».</w:t>
      </w:r>
      <w:r>
        <w:br w:type="page"/>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pict>
          <v:shape id="_x0000_s1496" type="#_x0000_t202" style="position:absolute;margin-left:0.35pt;margin-top:2.15pt;width:340.8pt;height:220.8pt;z-index:-125829064;mso-wrap-distance-left:5.pt;mso-wrap-distance-right:5.pt;mso-position-horizontal-relative:margin;mso-position-vertical-relative:margin" wrapcoords="3189 0 18086 0 18086 17713 21600 19157 21600 21600 0 21600 0 19157 3189 17713 3189 0" filled="f" stroked="f">
            <v:textbox style="mso-fit-shape-to-text:t" inset="0,0,0,0">
              <w:txbxContent>
                <w:p>
                  <w:pPr>
                    <w:framePr w:h="4416" w:hSpace="5" w:wrap="notBeside" w:hAnchor="margin" w:x="8" w:y="44"/>
                    <w:widowControl w:val="0"/>
                    <w:jc w:val="center"/>
                    <w:rPr>
                      <w:sz w:val="2"/>
                      <w:szCs w:val="2"/>
                    </w:rPr>
                  </w:pPr>
                  <w:r>
                    <w:pict>
                      <v:shape id="_x0000_s1497" type="#_x0000_t75" style="width:341pt;height:221pt;">
                        <v:imagedata r:id="rId780" r:href="rId781"/>
                      </v:shape>
                    </w:pict>
                  </w:r>
                </w:p>
                <w:p>
                  <w:pPr>
                    <w:pStyle w:val="Style33"/>
                    <w:widowControl w:val="0"/>
                    <w:keepNext w:val="0"/>
                    <w:keepLines w:val="0"/>
                    <w:shd w:val="clear" w:color="auto" w:fill="auto"/>
                    <w:bidi w:val="0"/>
                    <w:jc w:val="both"/>
                    <w:spacing w:before="0" w:after="0" w:line="202" w:lineRule="exact"/>
                    <w:ind w:left="0" w:right="0" w:firstLine="0"/>
                  </w:pPr>
                  <w:r>
                    <w:rPr>
                      <w:rStyle w:val="CharStyle34"/>
                    </w:rPr>
                    <w:t xml:space="preserve">Рис. 66. ЭКГ при остром сухом перикардите: А — начало заболевания, сегмент </w:t>
                  </w:r>
                  <w:r>
                    <w:rPr>
                      <w:rStyle w:val="CharStyle34"/>
                      <w:lang w:val="en-US" w:eastAsia="en-US" w:bidi="en-US"/>
                    </w:rPr>
                    <w:t xml:space="preserve">ST I, </w:t>
                  </w:r>
                  <w:r>
                    <w:rPr>
                      <w:rStyle w:val="CharStyle34"/>
                    </w:rPr>
                    <w:t xml:space="preserve">II, III, </w:t>
                  </w:r>
                  <w:r>
                    <w:rPr>
                      <w:rStyle w:val="CharStyle34"/>
                      <w:lang w:val="en-US" w:eastAsia="en-US" w:bidi="en-US"/>
                    </w:rPr>
                    <w:t>V</w:t>
                  </w:r>
                  <w:r>
                    <w:rPr>
                      <w:rStyle w:val="CharStyle146"/>
                    </w:rPr>
                    <w:t>3</w:t>
                  </w:r>
                  <w:r>
                    <w:rPr>
                      <w:rStyle w:val="CharStyle34"/>
                      <w:lang w:val="en-US" w:eastAsia="en-US" w:bidi="en-US"/>
                    </w:rPr>
                    <w:t>-V</w:t>
                  </w:r>
                  <w:r>
                    <w:rPr>
                      <w:rStyle w:val="CharStyle146"/>
                    </w:rPr>
                    <w:t>6</w:t>
                  </w:r>
                  <w:r>
                    <w:rPr>
                      <w:rStyle w:val="CharStyle34"/>
                      <w:lang w:val="en-US" w:eastAsia="en-US" w:bidi="en-US"/>
                    </w:rPr>
                    <w:t xml:space="preserve"> </w:t>
                  </w:r>
                  <w:r>
                    <w:rPr>
                      <w:rStyle w:val="CharStyle34"/>
                    </w:rPr>
                    <w:t xml:space="preserve">смещен вверх, имеет косовосходящий ход, плавно переходит в зубец Т; Б — на 3 день от начала заболевания, величина и характер смещения сегмента </w:t>
                  </w:r>
                  <w:r>
                    <w:rPr>
                      <w:rStyle w:val="CharStyle34"/>
                      <w:lang w:val="en-US" w:eastAsia="en-US" w:bidi="en-US"/>
                    </w:rPr>
                    <w:t xml:space="preserve">ST </w:t>
                  </w:r>
                  <w:r>
                    <w:rPr>
                      <w:rStyle w:val="CharStyle34"/>
                    </w:rPr>
                    <w:t xml:space="preserve">уменьшились; В — 15 день от начала заболевания, сегмент </w:t>
                  </w:r>
                  <w:r>
                    <w:rPr>
                      <w:rStyle w:val="CharStyle34"/>
                      <w:lang w:val="en-US" w:eastAsia="en-US" w:bidi="en-US"/>
                    </w:rPr>
                    <w:t xml:space="preserve">ST </w:t>
                  </w:r>
                  <w:r>
                    <w:rPr>
                      <w:rStyle w:val="CharStyle34"/>
                    </w:rPr>
                    <w:t xml:space="preserve">находится на изолинии, зубцы Т </w:t>
                  </w:r>
                  <w:r>
                    <w:rPr>
                      <w:rStyle w:val="CharStyle34"/>
                      <w:lang w:val="en-US" w:eastAsia="en-US" w:bidi="en-US"/>
                    </w:rPr>
                    <w:t>V</w:t>
                  </w:r>
                  <w:r>
                    <w:rPr>
                      <w:rStyle w:val="CharStyle146"/>
                      <w:vertAlign w:val="subscript"/>
                    </w:rPr>
                    <w:t>3</w:t>
                  </w:r>
                  <w:r>
                    <w:rPr>
                      <w:rStyle w:val="CharStyle34"/>
                      <w:lang w:val="en-US" w:eastAsia="en-US" w:bidi="en-US"/>
                    </w:rPr>
                    <w:t>-V</w:t>
                  </w:r>
                  <w:r>
                    <w:rPr>
                      <w:rStyle w:val="CharStyle146"/>
                    </w:rPr>
                    <w:t>6</w:t>
                  </w:r>
                  <w:r>
                    <w:rPr>
                      <w:rStyle w:val="CharStyle34"/>
                      <w:lang w:val="en-US" w:eastAsia="en-US" w:bidi="en-US"/>
                    </w:rPr>
                    <w:t xml:space="preserve"> </w:t>
                  </w:r>
                  <w:r>
                    <w:rPr>
                      <w:rStyle w:val="CharStyle34"/>
                    </w:rPr>
                    <w:t>уплощены.</w:t>
                  </w:r>
                </w:p>
              </w:txbxContent>
            </v:textbox>
            <w10:wrap type="topAndBottom" anchorx="margin" anchory="margin"/>
          </v:shape>
        </w:pict>
      </w:r>
      <w:r>
        <w:rPr>
          <w:lang w:val="ru-RU" w:eastAsia="ru-RU" w:bidi="ru-RU"/>
          <w:w w:val="100"/>
          <w:spacing w:val="0"/>
          <w:color w:val="000000"/>
          <w:position w:val="0"/>
        </w:rPr>
        <w:t>Улучшить выслушивание шума трения перикарда по</w:t>
        <w:softHyphen/>
        <w:t>могают определенные положения пациента и приемы врача.</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Перикардиальный шум в отличие от плевроперикар</w:t>
        <w:softHyphen/>
        <w:t>диального лучше выслушивается во время выдоха при наклоне вперед или на левом боку в зоне абсолютной тупости.</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Шум усиливается при надавливании фонендоскопа на грудную клетку.</w:t>
      </w:r>
    </w:p>
    <w:p>
      <w:pPr>
        <w:pStyle w:val="Style30"/>
        <w:numPr>
          <w:ilvl w:val="0"/>
          <w:numId w:val="9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Шум трения перикарда лучше выявляется при поло</w:t>
        <w:softHyphen/>
        <w:t>жении пациента с запрокидыванием головы назад.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Когда при остром перикардите в воспалительный про</w:t>
        <w:softHyphen/>
        <w:t xml:space="preserve">цесс вовлекаются субэпикардиальные слои миокарда, это находит отражение в изменениях ЭКГ (рис. 66). Ранним признаком острого перикардита служит конкордантный подъем сегмента </w:t>
      </w:r>
      <w:r>
        <w:rPr>
          <w:lang w:val="en-US" w:eastAsia="en-US" w:bidi="en-US"/>
          <w:w w:val="100"/>
          <w:spacing w:val="0"/>
          <w:color w:val="000000"/>
          <w:position w:val="0"/>
        </w:rPr>
        <w:t xml:space="preserve">ST, </w:t>
      </w:r>
      <w:r>
        <w:rPr>
          <w:lang w:val="ru-RU" w:eastAsia="ru-RU" w:bidi="ru-RU"/>
          <w:w w:val="100"/>
          <w:spacing w:val="0"/>
          <w:color w:val="000000"/>
          <w:position w:val="0"/>
        </w:rPr>
        <w:t>за 1-2 дня охватывающий все стандарт</w:t>
        <w:softHyphen/>
        <w:t>ные отведения (наибольший подъем отмечают во II отведе</w:t>
        <w:softHyphen/>
        <w:t xml:space="preserve">нии). Сегмент </w:t>
      </w:r>
      <w:r>
        <w:rPr>
          <w:lang w:val="en-US" w:eastAsia="en-US" w:bidi="en-US"/>
          <w:w w:val="100"/>
          <w:spacing w:val="0"/>
          <w:color w:val="000000"/>
          <w:position w:val="0"/>
        </w:rPr>
        <w:t xml:space="preserve">ST </w:t>
      </w:r>
      <w:r>
        <w:rPr>
          <w:lang w:val="ru-RU" w:eastAsia="ru-RU" w:bidi="ru-RU"/>
          <w:w w:val="100"/>
          <w:spacing w:val="0"/>
          <w:color w:val="000000"/>
          <w:position w:val="0"/>
        </w:rPr>
        <w:t>плавно переходит в высокий положитель</w:t>
        <w:softHyphen/>
        <w:t xml:space="preserve">ный зубец Т. Через 1-2 дня интервал </w:t>
      </w:r>
      <w:r>
        <w:rPr>
          <w:lang w:val="en-US" w:eastAsia="en-US" w:bidi="en-US"/>
          <w:w w:val="100"/>
          <w:spacing w:val="0"/>
          <w:color w:val="000000"/>
          <w:position w:val="0"/>
        </w:rPr>
        <w:t xml:space="preserve">ST </w:t>
      </w:r>
      <w:r>
        <w:rPr>
          <w:lang w:val="ru-RU" w:eastAsia="ru-RU" w:bidi="ru-RU"/>
          <w:w w:val="100"/>
          <w:spacing w:val="0"/>
          <w:color w:val="000000"/>
          <w:position w:val="0"/>
        </w:rPr>
        <w:t>опускается ниже изоэлектрической линии, становится выпуклым кверху, за</w:t>
        <w:softHyphen/>
        <w:t>тем в течение нескольких дней возвращается к изоэлектри</w:t>
        <w:softHyphen/>
        <w:t>ческой линии, несмотря на продолжающийся воспалитель</w:t>
        <w:softHyphen/>
        <w:t>ный процесс в перикарде. Положительный и даже несколь</w:t>
        <w:softHyphen/>
        <w:t>ко увеличенный на ранних стадиях перикардита зубец Т за</w:t>
        <w:softHyphen/>
        <w:t>тем уплощается и через 10-15 дней становится отрицатель</w:t>
        <w:softHyphen/>
        <w:t>ным или двухфазным в тех отведениях, в которых происхо</w:t>
        <w:softHyphen/>
        <w:t xml:space="preserve">дила динамика сегмента </w:t>
      </w:r>
      <w:r>
        <w:rPr>
          <w:lang w:val="en-US" w:eastAsia="en-US" w:bidi="en-US"/>
          <w:w w:val="100"/>
          <w:spacing w:val="0"/>
          <w:color w:val="000000"/>
          <w:position w:val="0"/>
        </w:rPr>
        <w:t>ST.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Такая динамика смещения </w:t>
      </w:r>
      <w:r>
        <w:rPr>
          <w:lang w:val="en-US" w:eastAsia="en-US" w:bidi="en-US"/>
          <w:w w:val="100"/>
          <w:spacing w:val="0"/>
          <w:color w:val="000000"/>
          <w:position w:val="0"/>
        </w:rPr>
        <w:t xml:space="preserve">ST </w:t>
      </w:r>
      <w:r>
        <w:rPr>
          <w:lang w:val="ru-RU" w:eastAsia="ru-RU" w:bidi="ru-RU"/>
          <w:w w:val="100"/>
          <w:spacing w:val="0"/>
          <w:color w:val="000000"/>
          <w:position w:val="0"/>
        </w:rPr>
        <w:t>сегмента вверх от изо</w:t>
        <w:softHyphen/>
        <w:t>электрической линии с последующим возвращением к изо</w:t>
        <w:softHyphen/>
        <w:t>линии и формированием отрицательного зубца Т может имитировать острый инфаркт миокарда. В отличие от ин</w:t>
        <w:softHyphen/>
        <w:t>фаркта миокарда эти изменения происходят конкордантно</w:t>
        <w:br w:type="column"/>
        <w:t>(однонаправленно) в трех стандартных отведениях и не со</w:t>
        <w:softHyphen/>
        <w:t xml:space="preserve">провождаются патологическим глубоким зубцом </w:t>
      </w:r>
      <w:r>
        <w:rPr>
          <w:lang w:val="en-US" w:eastAsia="en-US" w:bidi="en-US"/>
          <w:w w:val="100"/>
          <w:spacing w:val="0"/>
          <w:color w:val="000000"/>
          <w:position w:val="0"/>
        </w:rPr>
        <w:t>Q.</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Эхокардиография позволяет обнаруживать неболь</w:t>
        <w:softHyphen/>
        <w:t>шие количества жидкого содержимого в перикарди</w:t>
        <w:softHyphen/>
        <w:t>альной полости, которое всегда присутствует при фи</w:t>
        <w:softHyphen/>
        <w:t>бринозном процессе.</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Висцеральный и париетальный листки перикарда уп - лотнены.</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Полости сердца и клапанный аппарат не изменены (при изолированном сухом перикардите) или обнару</w:t>
        <w:softHyphen/>
        <w:t>живаются изменения, характерные для первичного заболевания (вальвулит, клапанная и желудочковая дисфункция).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Купирование болевого приступа — анальгетики (при выраженном болевом синдроме включая наркотичес</w:t>
        <w:softHyphen/>
        <w:t>кие).</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Нестероидные противовоспалительные средства (вольтарен, индометацин, ибупрофен).</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Специфическое лечение (туберкулезный перикардит, бициллинопрофилактика при ревматическом пери</w:t>
        <w:softHyphen/>
        <w:t>кардите).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коррекция не показана.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Амбулаторное наблюдение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связи с возможным риском перехода сухого перикар</w:t>
        <w:softHyphen/>
        <w:t>дита в экссудативный и констриктивный ребенок должен регулярно посещать кардиолога с контролем анализов кро</w:t>
        <w:softHyphen/>
        <w:t>ви, электрокардиограмм и эхокардиографических показа</w:t>
        <w:softHyphen/>
        <w:t>телей. Ребенок также должен регулярно обследоваться у фтизиатра.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Активность</w:t>
      </w:r>
    </w:p>
    <w:p>
      <w:pPr>
        <w:pStyle w:val="Style30"/>
        <w:widowControl w:val="0"/>
        <w:keepNext w:val="0"/>
        <w:keepLines w:val="0"/>
        <w:shd w:val="clear" w:color="auto" w:fill="auto"/>
        <w:bidi w:val="0"/>
        <w:spacing w:before="0" w:after="0"/>
        <w:ind w:left="0" w:right="0" w:firstLine="280"/>
      </w:pPr>
      <w:r>
        <w:pict>
          <v:shape id="_x0000_s1498" type="#_x0000_t75" style="position:absolute;margin-left:136.9pt;margin-top:736.55pt;width:209.75pt;height:14.9pt;z-index:-125829063;mso-wrap-distance-left:136.8pt;mso-wrap-distance-right:147.85pt;mso-wrap-distance-bottom:10.8pt;mso-position-horizontal-relative:margin;mso-position-vertical-relative:margin" wrapcoords="0 0 21600 0 21600 21600 0 21600 0 0">
            <v:imagedata r:id="rId782" r:href="rId783"/>
            <w10:wrap type="topAndBottom" anchorx="margin" anchory="margin"/>
          </v:shape>
        </w:pict>
      </w:r>
      <w:r>
        <w:rPr>
          <w:lang w:val="ru-RU" w:eastAsia="ru-RU" w:bidi="ru-RU"/>
          <w:w w:val="100"/>
          <w:spacing w:val="0"/>
          <w:color w:val="000000"/>
          <w:position w:val="0"/>
        </w:rPr>
        <w:t>При полном выздоровлении активность ребенка не ог</w:t>
        <w:softHyphen/>
        <w:t>раничивается.</w:t>
      </w:r>
      <w:r>
        <w:br w:type="page"/>
      </w:r>
    </w:p>
    <w:p>
      <w:pPr>
        <w:pStyle w:val="Style92"/>
        <w:widowControl w:val="0"/>
        <w:keepNext/>
        <w:keepLines/>
        <w:shd w:val="clear" w:color="auto" w:fill="auto"/>
        <w:bidi w:val="0"/>
        <w:spacing w:before="0" w:after="14" w:line="180" w:lineRule="exact"/>
        <w:ind w:left="500" w:right="0" w:hanging="220"/>
      </w:pPr>
      <w:bookmarkStart w:id="505" w:name="bookmark505"/>
      <w:r>
        <w:rPr>
          <w:lang w:val="ru-RU" w:eastAsia="ru-RU" w:bidi="ru-RU"/>
          <w:w w:val="100"/>
          <w:spacing w:val="0"/>
          <w:color w:val="000000"/>
          <w:position w:val="0"/>
        </w:rPr>
        <w:t>Прогноз</w:t>
      </w:r>
      <w:bookmarkEnd w:id="505"/>
    </w:p>
    <w:p>
      <w:pPr>
        <w:pStyle w:val="Style30"/>
        <w:widowControl w:val="0"/>
        <w:keepNext w:val="0"/>
        <w:keepLines w:val="0"/>
        <w:shd w:val="clear" w:color="auto" w:fill="auto"/>
        <w:bidi w:val="0"/>
        <w:spacing w:before="0" w:after="313" w:line="180" w:lineRule="exact"/>
        <w:ind w:left="500" w:right="0" w:hanging="220"/>
      </w:pPr>
      <w:r>
        <w:rPr>
          <w:lang w:val="ru-RU" w:eastAsia="ru-RU" w:bidi="ru-RU"/>
          <w:w w:val="100"/>
          <w:spacing w:val="0"/>
          <w:color w:val="000000"/>
          <w:position w:val="0"/>
        </w:rPr>
        <w:t>Прогноз заболевания благоприятный.</w:t>
      </w:r>
    </w:p>
    <w:p>
      <w:pPr>
        <w:pStyle w:val="Style48"/>
        <w:widowControl w:val="0"/>
        <w:keepNext/>
        <w:keepLines/>
        <w:shd w:val="clear" w:color="auto" w:fill="auto"/>
        <w:bidi w:val="0"/>
        <w:jc w:val="left"/>
        <w:spacing w:before="0" w:after="41" w:line="200" w:lineRule="exact"/>
        <w:ind w:left="0" w:right="0" w:firstLine="0"/>
      </w:pPr>
      <w:bookmarkStart w:id="506" w:name="bookmark506"/>
      <w:r>
        <w:rPr>
          <w:lang w:val="ru-RU" w:eastAsia="ru-RU" w:bidi="ru-RU"/>
          <w:w w:val="100"/>
          <w:spacing w:val="0"/>
          <w:color w:val="000000"/>
          <w:position w:val="0"/>
        </w:rPr>
        <w:t>Экссудативный перикардит</w:t>
      </w:r>
      <w:bookmarkEnd w:id="50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Накопление выпота в перикардиальной полости обозна</w:t>
        <w:softHyphen/>
        <w:t>чают экссудативным перикардитом. Обычно у детей экссу</w:t>
        <w:softHyphen/>
        <w:t>дативный перикардит возникает минуя стадию сухого пе</w:t>
        <w:softHyphen/>
        <w:t>рикардита, или она остается нераспознанной.</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Этиология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Основные причины накопления жидкости в сердечной сорочке у детей следующие:</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Идиопатический экссудативный перикардит.</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Гидроперикард:</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застойная сердечная недостаточность;</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клапанная болезнь сердца.</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Опухоли:</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злокачественные;</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доброкачественные.</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Инфекционный перикардит (бактериальный, вирус</w:t>
        <w:softHyphen/>
        <w:t>ный грибковый, паразитарный, туберкулезный, ВИЧ-инфекция).</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Аутоиммунные заболевания соединительной ткани (системная красная волчанка, ревматоидный артрит, системный склероз, васкулиты).</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Травма.</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Уремия.</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Токсическое действие лекарственных препаратов.</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Постперикардиотомный синдром.</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Хилоперикард.</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Микседема.</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Радиация.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Анамнез</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Кардиоваскулярные симптомы:</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боли в грудной клетке, дискомфорт, чувство давле</w:t>
        <w:softHyphen/>
        <w:t>ния;</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головокружение, обмороки;</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сердцебиение.</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Респираторны симптомы:</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кашель;</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одышка;</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хрипы в легких.</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Желудочно-кишечные симптомы:</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икота.</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Неврологические симптомы:</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беспокойство;</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нарушение сознания.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Физикальное обследование:</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Кардиоваскулярные признаки:</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триада Бека — набухание шейных вен, глухие сер</w:t>
        <w:softHyphen/>
        <w:t>дечные тоны, артериальная гипотензия;</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парадоксальный пульс — снижение артериального давления более чем на 10-12 мм рт. ст. во время вдоха;</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перикардиальные «хлопки» — лучше слышны в положении сидя при умеренном надавливании фонендоскопом;</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расширенное пульсовое давление;</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тахикардия;</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гепатоюгулярный рефлюкс.</w:t>
      </w:r>
    </w:p>
    <w:p>
      <w:pPr>
        <w:pStyle w:val="Style30"/>
        <w:numPr>
          <w:ilvl w:val="0"/>
          <w:numId w:val="9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Респираторные признаки</w:t>
      </w:r>
    </w:p>
    <w:p>
      <w:pPr>
        <w:pStyle w:val="Style30"/>
        <w:numPr>
          <w:ilvl w:val="0"/>
          <w:numId w:val="97"/>
        </w:numPr>
        <w:tabs>
          <w:tab w:leader="none" w:pos="74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тахипноэ;</w:t>
      </w:r>
    </w:p>
    <w:p>
      <w:pPr>
        <w:pStyle w:val="Style30"/>
        <w:numPr>
          <w:ilvl w:val="0"/>
          <w:numId w:val="97"/>
        </w:numPr>
        <w:tabs>
          <w:tab w:leader="none" w:pos="758" w:val="left"/>
        </w:tabs>
        <w:widowControl w:val="0"/>
        <w:keepNext w:val="0"/>
        <w:keepLines w:val="0"/>
        <w:shd w:val="clear" w:color="auto" w:fill="auto"/>
        <w:bidi w:val="0"/>
        <w:jc w:val="left"/>
        <w:spacing w:before="0" w:after="0"/>
        <w:ind w:left="740" w:right="0" w:hanging="220"/>
      </w:pPr>
      <w:r>
        <w:br w:type="column"/>
      </w:r>
      <w:r>
        <w:rPr>
          <w:lang w:val="ru-RU" w:eastAsia="ru-RU" w:bidi="ru-RU"/>
          <w:w w:val="100"/>
          <w:spacing w:val="0"/>
          <w:color w:val="000000"/>
          <w:position w:val="0"/>
        </w:rPr>
        <w:t>ослабленное дыхание (обычно вторично к плев</w:t>
        <w:softHyphen/>
        <w:t>ральному выпоту);</w:t>
      </w:r>
    </w:p>
    <w:p>
      <w:pPr>
        <w:pStyle w:val="Style30"/>
        <w:numPr>
          <w:ilvl w:val="0"/>
          <w:numId w:val="97"/>
        </w:numPr>
        <w:tabs>
          <w:tab w:leader="none" w:pos="758"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признак Эварта.</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Желудочно-кишечные признаки:</w:t>
      </w:r>
    </w:p>
    <w:p>
      <w:pPr>
        <w:pStyle w:val="Style30"/>
        <w:numPr>
          <w:ilvl w:val="0"/>
          <w:numId w:val="97"/>
        </w:numPr>
        <w:tabs>
          <w:tab w:leader="none" w:pos="758"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гепатоспленомегалия.</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Конечности:</w:t>
      </w:r>
    </w:p>
    <w:p>
      <w:pPr>
        <w:pStyle w:val="Style30"/>
        <w:numPr>
          <w:ilvl w:val="0"/>
          <w:numId w:val="97"/>
        </w:numPr>
        <w:tabs>
          <w:tab w:leader="none" w:pos="758"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слабый периферический пульс;</w:t>
      </w:r>
    </w:p>
    <w:p>
      <w:pPr>
        <w:pStyle w:val="Style30"/>
        <w:numPr>
          <w:ilvl w:val="0"/>
          <w:numId w:val="97"/>
        </w:numPr>
        <w:tabs>
          <w:tab w:leader="none" w:pos="758"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отеки.</w:t>
      </w:r>
    </w:p>
    <w:p>
      <w:pPr>
        <w:pStyle w:val="Style30"/>
        <w:numPr>
          <w:ilvl w:val="0"/>
          <w:numId w:val="95"/>
        </w:numPr>
        <w:tabs>
          <w:tab w:leader="none" w:pos="517"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Цианоз.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Существует большое число симптомов и признаков, применявшихся ранее врачами для диагностики экссуда</w:t>
        <w:softHyphen/>
        <w:t>тивного перикардита. Многие симптомы не утратили свое</w:t>
        <w:softHyphen/>
        <w:t>го значения и в настоящее время.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(поза) Брейтмана — больной принимает харак</w:t>
        <w:softHyphen/>
        <w:t>терное положение в постели: он сидит, туловище наклоне</w:t>
        <w:softHyphen/>
        <w:t>но вперед, лбом он опирается на подушку.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Ротча — смещение абсолютной сердечной ту</w:t>
        <w:softHyphen/>
        <w:t>пости вправо от грудины в пятом межреберье.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Ауэнбруггера — выпячивание в области сердца и мечевидного отростка.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Эбштейна — тупой (вместо прямого) угол меж</w:t>
        <w:softHyphen/>
        <w:t>ду правой границей абсолютной перкуторной тупости серд</w:t>
        <w:softHyphen/>
        <w:t>ца и верхней границей печеночной тупости.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Потена — увеличение абсолютной и исчезно</w:t>
        <w:softHyphen/>
        <w:t>вение относительной сердечной тупости при выпотном пе</w:t>
        <w:softHyphen/>
        <w:t>рикардите.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Эварта — усиление голосового дрожания и бронхофонии при ослаблении дыхания с бронхиальным оттенком в пределах тупости от угла левой лопатки до сли</w:t>
        <w:softHyphen/>
        <w:t>яния с тупостью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Опполцера — при изменении положения тела меняется локализация сердечного толчка.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Пинса I — притупленный легочный звук с тим- паническим оттенком ниже угла левой лопатки, обусловлен</w:t>
        <w:softHyphen/>
        <w:t>ный сдавлением тканей легкого растянутым перикардом.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Признак Пинса </w:t>
      </w:r>
      <w:r>
        <w:rPr>
          <w:lang w:val="en-US" w:eastAsia="en-US" w:bidi="en-US"/>
          <w:w w:val="100"/>
          <w:spacing w:val="0"/>
          <w:color w:val="000000"/>
          <w:position w:val="0"/>
        </w:rPr>
        <w:t xml:space="preserve">II </w:t>
      </w:r>
      <w:r>
        <w:rPr>
          <w:lang w:val="ru-RU" w:eastAsia="ru-RU" w:bidi="ru-RU"/>
          <w:w w:val="100"/>
          <w:spacing w:val="0"/>
          <w:color w:val="000000"/>
          <w:position w:val="0"/>
        </w:rPr>
        <w:t>— при наклоне тела больного вперед жидкость в перикарде частично освобождает косую пазуху, легкое расправляется, тупость под лопаткой исчезает, нор</w:t>
        <w:softHyphen/>
        <w:t>мализуется дыхание, в этой зоне появляются многочислен</w:t>
        <w:softHyphen/>
        <w:t>ные крепитирующие и глухие мелкопузырчатые хрипы.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Герке — боль в области сердца при быстром от</w:t>
        <w:softHyphen/>
        <w:t>кидывании головы назад.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Винтера — отсутствие активных дыхательных движений мышц эпигастральной области в связи с ограни</w:t>
        <w:softHyphen/>
        <w:t>чением подвижности диафрагмы.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Жандрена — перкуторно определяется расши</w:t>
        <w:softHyphen/>
        <w:t>рение границ сердечной тупости влево кнаружи от сердеч</w:t>
        <w:softHyphen/>
        <w:t>ного толчка.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Электрокардиография:</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 электрокардиограмме определяется низкий вольт</w:t>
        <w:softHyphen/>
        <w:t>аж желудочковых комплексов, уплощенный зубец Т (рис. 67).</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Рентгенография:</w:t>
      </w:r>
    </w:p>
    <w:p>
      <w:pPr>
        <w:pStyle w:val="Style30"/>
        <w:numPr>
          <w:ilvl w:val="0"/>
          <w:numId w:val="9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Увеличение сердечной тени (рентгенография не по</w:t>
        <w:softHyphen/>
        <w:t>зволяет дифференцировать увеличение тени сердца за счет выпота или кардиомегалии).</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 длительно существующем перикардиальном вы</w:t>
        <w:softHyphen/>
        <w:t>поте тень сердца приобретает треугольную форму.</w:t>
      </w:r>
    </w:p>
    <w:p>
      <w:pPr>
        <w:pStyle w:val="Style30"/>
        <w:numPr>
          <w:ilvl w:val="0"/>
          <w:numId w:val="95"/>
        </w:numPr>
        <w:tabs>
          <w:tab w:leader="none" w:pos="517" w:val="left"/>
        </w:tabs>
        <w:widowControl w:val="0"/>
        <w:keepNext w:val="0"/>
        <w:keepLines w:val="0"/>
        <w:shd w:val="clear" w:color="auto" w:fill="auto"/>
        <w:bidi w:val="0"/>
        <w:jc w:val="left"/>
        <w:spacing w:before="0" w:after="0"/>
        <w:ind w:left="520" w:right="0" w:hanging="240"/>
      </w:pPr>
      <w:r>
        <w:pict>
          <v:shape id="_x0000_s1499" type="#_x0000_t75" style="position:absolute;margin-left:148.1pt;margin-top:736.55pt;width:209.75pt;height:14.9pt;z-index:-125829062;mso-wrap-distance-left:148.1pt;mso-wrap-distance-right:136.8pt;mso-wrap-distance-bottom:10.8pt;mso-position-horizontal-relative:margin;mso-position-vertical-relative:margin" wrapcoords="0 0 21600 0 21600 21600 0 21600 0 0">
            <v:imagedata r:id="rId784" r:href="rId785"/>
            <w10:wrap type="topAndBottom" anchorx="margin" anchory="margin"/>
          </v:shape>
        </w:pict>
      </w:r>
      <w:r>
        <w:rPr>
          <w:lang w:val="ru-RU" w:eastAsia="ru-RU" w:bidi="ru-RU"/>
          <w:w w:val="100"/>
          <w:spacing w:val="0"/>
          <w:color w:val="000000"/>
          <w:position w:val="0"/>
        </w:rPr>
        <w:t>Большая шаровидная тень сердца характерна для ги</w:t>
        <w:softHyphen/>
        <w:t>дроперикарда и хилоперикарда (рис. 68).</w:t>
      </w:r>
      <w:r>
        <w:br w:type="page"/>
      </w:r>
    </w:p>
    <w:p>
      <w:pPr>
        <w:framePr w:w="4742" w:h="3168" w:hSpace="52" w:wrap="notBeside" w:vAnchor="text" w:hAnchor="text" w:x="58" w:y="1"/>
        <w:widowControl w:val="0"/>
        <w:rPr>
          <w:sz w:val="2"/>
          <w:szCs w:val="2"/>
        </w:rPr>
      </w:pPr>
      <w:r>
        <w:pict>
          <v:shape id="_x0000_s1500" type="#_x0000_t75" style="width:237pt;height:158pt;">
            <v:imagedata r:id="rId786" r:href="rId787"/>
          </v:shape>
        </w:pict>
      </w:r>
    </w:p>
    <w:p>
      <w:pPr>
        <w:pStyle w:val="Style120"/>
        <w:framePr w:w="4824" w:h="633" w:hSpace="52" w:wrap="notBeside" w:vAnchor="text" w:hAnchor="text" w:x="53" w:y="3514"/>
        <w:widowControl w:val="0"/>
        <w:keepNext w:val="0"/>
        <w:keepLines w:val="0"/>
        <w:shd w:val="clear" w:color="auto" w:fill="auto"/>
        <w:bidi w:val="0"/>
        <w:spacing w:before="0" w:after="0"/>
        <w:ind w:left="0" w:right="0" w:firstLine="0"/>
      </w:pPr>
      <w:r>
        <w:rPr>
          <w:rStyle w:val="CharStyle125"/>
        </w:rPr>
        <w:t xml:space="preserve">Рис. 67. </w:t>
      </w:r>
      <w:r>
        <w:rPr>
          <w:lang w:val="ru-RU" w:eastAsia="ru-RU" w:bidi="ru-RU"/>
          <w:w w:val="100"/>
          <w:spacing w:val="0"/>
          <w:color w:val="000000"/>
          <w:position w:val="0"/>
        </w:rPr>
        <w:t xml:space="preserve">Электрокардиограмма при экссудативном перикардите: тотальное снижение вольтажа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во всех отведени</w:t>
        <w:softHyphen/>
        <w:t>ях, умеренные нарушения процесса реполяризации в миокарде.</w:t>
      </w:r>
    </w:p>
    <w:p>
      <w:pPr>
        <w:widowControl w:val="0"/>
        <w:spacing w:line="480" w:lineRule="exact"/>
        <w:rPr>
          <w:sz w:val="24"/>
          <w:szCs w:val="24"/>
        </w:rPr>
      </w:pPr>
    </w:p>
    <w:p>
      <w:pPr>
        <w:framePr w:h="3758" w:wrap="notBeside" w:vAnchor="text" w:hAnchor="text" w:xAlign="center" w:y="1"/>
        <w:widowControl w:val="0"/>
        <w:jc w:val="center"/>
        <w:rPr>
          <w:sz w:val="2"/>
          <w:szCs w:val="2"/>
        </w:rPr>
      </w:pPr>
      <w:r>
        <w:pict>
          <v:shape id="_x0000_s1501" type="#_x0000_t75" style="width:234pt;height:188pt;">
            <v:imagedata r:id="rId788" r:href="rId789"/>
          </v:shape>
        </w:pict>
      </w:r>
    </w:p>
    <w:p>
      <w:pPr>
        <w:pStyle w:val="Style120"/>
        <w:framePr w:h="3758"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68. </w:t>
      </w:r>
      <w:r>
        <w:rPr>
          <w:lang w:val="ru-RU" w:eastAsia="ru-RU" w:bidi="ru-RU"/>
          <w:w w:val="100"/>
          <w:spacing w:val="0"/>
          <w:color w:val="000000"/>
          <w:position w:val="0"/>
        </w:rPr>
        <w:t>Рентгенограмма при экссудативном перикардите; шаро</w:t>
        <w:softHyphen/>
        <w:t>видная тень сердца, занимающая практически всю грудную по</w:t>
        <w:softHyphen/>
        <w:t>лость.</w:t>
      </w:r>
    </w:p>
    <w:p>
      <w:pPr>
        <w:widowControl w:val="0"/>
        <w:rPr>
          <w:sz w:val="2"/>
          <w:szCs w:val="2"/>
        </w:rPr>
      </w:pPr>
    </w:p>
    <w:p>
      <w:pPr>
        <w:pStyle w:val="Style30"/>
        <w:widowControl w:val="0"/>
        <w:keepNext w:val="0"/>
        <w:keepLines w:val="0"/>
        <w:shd w:val="clear" w:color="auto" w:fill="auto"/>
        <w:bidi w:val="0"/>
        <w:spacing w:before="441" w:after="0"/>
        <w:ind w:left="280" w:right="0" w:firstLine="0"/>
      </w:pPr>
      <w:r>
        <w:rPr>
          <w:lang w:val="ru-RU" w:eastAsia="ru-RU" w:bidi="ru-RU"/>
          <w:w w:val="100"/>
          <w:spacing w:val="0"/>
          <w:color w:val="000000"/>
          <w:position w:val="0"/>
        </w:rPr>
        <w:t>Эхокардиография:</w:t>
      </w:r>
    </w:p>
    <w:p>
      <w:pPr>
        <w:pStyle w:val="Style30"/>
        <w:numPr>
          <w:ilvl w:val="0"/>
          <w:numId w:val="95"/>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Одномерная ЭхоКГ:</w:t>
      </w:r>
    </w:p>
    <w:p>
      <w:pPr>
        <w:pStyle w:val="Style30"/>
        <w:numPr>
          <w:ilvl w:val="0"/>
          <w:numId w:val="97"/>
        </w:numPr>
        <w:tabs>
          <w:tab w:leader="none" w:pos="733"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наличие сепарации между висцеральным и парие</w:t>
        <w:softHyphen/>
        <w:t>тальным перикардом (при небольшом выпоте се</w:t>
        <w:softHyphen/>
        <w:t>парация визуализируется только во время систо</w:t>
        <w:softHyphen/>
        <w:t>лы, при большом выпоте — в систолу и диастолу);</w:t>
      </w:r>
    </w:p>
    <w:p>
      <w:pPr>
        <w:pStyle w:val="Style30"/>
        <w:numPr>
          <w:ilvl w:val="0"/>
          <w:numId w:val="97"/>
        </w:numPr>
        <w:tabs>
          <w:tab w:leader="none" w:pos="733"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снижение экскурсии наружного листка перикарда;</w:t>
      </w:r>
    </w:p>
    <w:p>
      <w:pPr>
        <w:pStyle w:val="Style30"/>
        <w:numPr>
          <w:ilvl w:val="0"/>
          <w:numId w:val="97"/>
        </w:numPr>
        <w:tabs>
          <w:tab w:leader="none" w:pos="733"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увеличение экскурсии задней стенки левого желу</w:t>
        <w:softHyphen/>
        <w:t>дочка;</w:t>
      </w:r>
    </w:p>
    <w:p>
      <w:pPr>
        <w:pStyle w:val="Style30"/>
        <w:numPr>
          <w:ilvl w:val="0"/>
          <w:numId w:val="97"/>
        </w:numPr>
        <w:tabs>
          <w:tab w:leader="none" w:pos="733"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увеличение экскурсии межжелудочковой перего</w:t>
        <w:softHyphen/>
        <w:t>родки.</w:t>
      </w:r>
    </w:p>
    <w:p>
      <w:pPr>
        <w:pStyle w:val="Style30"/>
        <w:numPr>
          <w:ilvl w:val="0"/>
          <w:numId w:val="95"/>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Двухмерная ЭхоКГ (рис. 69, 70):</w:t>
      </w:r>
    </w:p>
    <w:p>
      <w:pPr>
        <w:pStyle w:val="Style30"/>
        <w:numPr>
          <w:ilvl w:val="0"/>
          <w:numId w:val="97"/>
        </w:numPr>
        <w:tabs>
          <w:tab w:leader="none" w:pos="733"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позволяет определить объем выпота и преимущес</w:t>
        <w:softHyphen/>
        <w:t>твенную его локализацию;</w:t>
      </w:r>
    </w:p>
    <w:p>
      <w:pPr>
        <w:pStyle w:val="Style30"/>
        <w:numPr>
          <w:ilvl w:val="0"/>
          <w:numId w:val="97"/>
        </w:numPr>
        <w:tabs>
          <w:tab w:leader="none" w:pos="733"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картина «плавающего» сердца за счет жидкости, окружающей его со всех сторон;</w:t>
      </w:r>
    </w:p>
    <w:p>
      <w:pPr>
        <w:pStyle w:val="Style30"/>
        <w:numPr>
          <w:ilvl w:val="0"/>
          <w:numId w:val="95"/>
        </w:numPr>
        <w:tabs>
          <w:tab w:leader="none" w:pos="753" w:val="left"/>
        </w:tabs>
        <w:widowControl w:val="0"/>
        <w:keepNext w:val="0"/>
        <w:keepLines w:val="0"/>
        <w:shd w:val="clear" w:color="auto" w:fill="auto"/>
        <w:bidi w:val="0"/>
        <w:spacing w:before="0" w:after="0"/>
        <w:ind w:left="740" w:right="0" w:hanging="220"/>
      </w:pPr>
      <w:r>
        <w:br w:type="column"/>
      </w:r>
      <w:r>
        <w:rPr>
          <w:lang w:val="ru-RU" w:eastAsia="ru-RU" w:bidi="ru-RU"/>
          <w:w w:val="100"/>
          <w:spacing w:val="0"/>
          <w:color w:val="000000"/>
          <w:position w:val="0"/>
        </w:rPr>
        <w:t>уплотнение листков перикарда;</w:t>
      </w:r>
    </w:p>
    <w:p>
      <w:pPr>
        <w:pStyle w:val="Style30"/>
        <w:numPr>
          <w:ilvl w:val="0"/>
          <w:numId w:val="95"/>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расширение устья нижней полой вены.</w:t>
      </w:r>
    </w:p>
    <w:p>
      <w:pPr>
        <w:pStyle w:val="Style30"/>
        <w:numPr>
          <w:ilvl w:val="0"/>
          <w:numId w:val="9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Допплерэхокардиография:</w:t>
      </w:r>
    </w:p>
    <w:p>
      <w:pPr>
        <w:pStyle w:val="Style30"/>
        <w:numPr>
          <w:ilvl w:val="0"/>
          <w:numId w:val="95"/>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позволяет выявить ранние признаки тампонады пе - рикарда (на вдохе транстрикуспидальный поток уве</w:t>
        <w:softHyphen/>
        <w:t>личивается, а трансмитральный поток снижается);</w:t>
      </w:r>
    </w:p>
    <w:p>
      <w:pPr>
        <w:pStyle w:val="Style30"/>
        <w:numPr>
          <w:ilvl w:val="0"/>
          <w:numId w:val="95"/>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под контролем допплерэхокардиографии прово</w:t>
        <w:softHyphen/>
        <w:t>дится диагностическая пункция перикарда и пери- кардиоцентез.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Иногда при выпотном перикардите приходится диффе</w:t>
        <w:softHyphen/>
        <w:t>ренцировать его от левостороннего плеврального выпота. Дифференциально-диагностическими критериями являются:</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Перикардиальный выпот обычно не накапливается позади левого предсердия, в то время как плевраль</w:t>
        <w:softHyphen/>
        <w:t>ный — очень часто.</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Большой выпот, определяемый позади левого желу</w:t>
        <w:softHyphen/>
        <w:t>дочка при отсутствии спереди, может быть связан с плевральным выпотом.</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Объем плеврального выпота обычно меняется при дыхании, что не наблюдается при перикардиальном выпоте.</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перикардиальном выпоте появляется эхосвобод</w:t>
        <w:softHyphen/>
        <w:t>ное пространство между нисходящей аортой и задней стенкой левого желудочка; при плевральном выпоте этой сепарации не наблюдается.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Дифференциальная диагностика</w:t>
      </w:r>
    </w:p>
    <w:p>
      <w:pPr>
        <w:pStyle w:val="Style30"/>
        <w:numPr>
          <w:ilvl w:val="0"/>
          <w:numId w:val="9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Кардиомиопатии.</w:t>
      </w:r>
    </w:p>
    <w:p>
      <w:pPr>
        <w:pStyle w:val="Style30"/>
        <w:numPr>
          <w:ilvl w:val="0"/>
          <w:numId w:val="9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Миокардит.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numPr>
          <w:ilvl w:val="0"/>
          <w:numId w:val="95"/>
        </w:numPr>
        <w:tabs>
          <w:tab w:leader="none" w:pos="51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Симптоматическая терапия (мочегонные, инотроп- ные средства, гепатопротекторы).</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После получения результатов перикардиоцентеза проводится этиотропная терапия (см. лечение от</w:t>
        <w:softHyphen/>
        <w:t>дельных форм перикардитов).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Перикардиоцентез проводится с диагностической це</w:t>
        <w:softHyphen/>
        <w:t>лью или при угрозе тампонады перикарда.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Амбулаторное наблюдение</w:t>
      </w:r>
    </w:p>
    <w:p>
      <w:pPr>
        <w:pStyle w:val="Style30"/>
        <w:numPr>
          <w:ilvl w:val="0"/>
          <w:numId w:val="9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Необходимо проходить регулярное обследование с целью исключения рецидива или обострения забо</w:t>
        <w:softHyphen/>
        <w:t>левания.</w:t>
      </w:r>
    </w:p>
    <w:p>
      <w:pPr>
        <w:pStyle w:val="Style30"/>
        <w:numPr>
          <w:ilvl w:val="0"/>
          <w:numId w:val="95"/>
        </w:numPr>
        <w:tabs>
          <w:tab w:leader="none" w:pos="51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 амбулаторных условиях продолжается лечение, на</w:t>
        <w:softHyphen/>
        <w:t>чатое в стационаре, и оценивается его эффективность.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Активность ребенка после перенесенного экссудативно</w:t>
        <w:softHyphen/>
        <w:t>го перикардита и нормализации клинического состояния не ограничивается.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95"/>
        </w:numPr>
        <w:tabs>
          <w:tab w:leader="none" w:pos="51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Прогноз определяется основным заболеванием, в большинстве случаев благоприятный.</w:t>
      </w:r>
    </w:p>
    <w:p>
      <w:pPr>
        <w:pStyle w:val="Style30"/>
        <w:numPr>
          <w:ilvl w:val="0"/>
          <w:numId w:val="95"/>
        </w:numPr>
        <w:tabs>
          <w:tab w:leader="none" w:pos="519" w:val="left"/>
        </w:tabs>
        <w:widowControl w:val="0"/>
        <w:keepNext w:val="0"/>
        <w:keepLines w:val="0"/>
        <w:shd w:val="clear" w:color="auto" w:fill="auto"/>
        <w:bidi w:val="0"/>
        <w:spacing w:before="0" w:after="193"/>
        <w:ind w:left="520" w:right="0" w:hanging="240"/>
      </w:pPr>
      <w:r>
        <w:rPr>
          <w:lang w:val="ru-RU" w:eastAsia="ru-RU" w:bidi="ru-RU"/>
          <w:w w:val="100"/>
          <w:spacing w:val="0"/>
          <w:color w:val="000000"/>
          <w:position w:val="0"/>
        </w:rPr>
        <w:t>При застойной сердечной недостаточности появле</w:t>
        <w:softHyphen/>
        <w:t>ние гидроперикарда свидетельствует о высоком риске неблагоприятного исхода заболевания.</w:t>
      </w:r>
    </w:p>
    <w:p>
      <w:pPr>
        <w:pStyle w:val="Style48"/>
        <w:widowControl w:val="0"/>
        <w:keepNext/>
        <w:keepLines/>
        <w:shd w:val="clear" w:color="auto" w:fill="auto"/>
        <w:bidi w:val="0"/>
        <w:jc w:val="left"/>
        <w:spacing w:before="0" w:after="101" w:line="200" w:lineRule="exact"/>
        <w:ind w:left="0" w:right="0" w:firstLine="0"/>
      </w:pPr>
      <w:bookmarkStart w:id="507" w:name="bookmark507"/>
      <w:r>
        <w:rPr>
          <w:lang w:val="ru-RU" w:eastAsia="ru-RU" w:bidi="ru-RU"/>
          <w:w w:val="100"/>
          <w:spacing w:val="0"/>
          <w:color w:val="000000"/>
          <w:position w:val="0"/>
        </w:rPr>
        <w:t>Констриктивный перикардит</w:t>
      </w:r>
      <w:bookmarkEnd w:id="507"/>
    </w:p>
    <w:p>
      <w:pPr>
        <w:pStyle w:val="Style30"/>
        <w:widowControl w:val="0"/>
        <w:keepNext w:val="0"/>
        <w:keepLines w:val="0"/>
        <w:shd w:val="clear" w:color="auto" w:fill="auto"/>
        <w:bidi w:val="0"/>
        <w:spacing w:before="0" w:after="0"/>
        <w:ind w:left="0" w:right="0" w:firstLine="280"/>
      </w:pPr>
      <w:r>
        <w:pict>
          <v:shape id="_x0000_s1502" type="#_x0000_t75" style="position:absolute;margin-left:136.7pt;margin-top:736.55pt;width:209.75pt;height:14.9pt;z-index:-125829061;mso-wrap-distance-left:136.3pt;mso-wrap-distance-right:147.85pt;mso-wrap-distance-bottom:10.8pt;mso-position-horizontal-relative:margin;mso-position-vertical-relative:margin" wrapcoords="0 0 21600 0 21600 21600 0 21600 0 0">
            <v:imagedata r:id="rId790" r:href="rId791"/>
            <w10:wrap type="topAndBottom" anchorx="margin" anchory="margin"/>
          </v:shape>
        </w:pict>
      </w:r>
      <w:r>
        <w:rPr>
          <w:lang w:val="ru-RU" w:eastAsia="ru-RU" w:bidi="ru-RU"/>
          <w:w w:val="100"/>
          <w:spacing w:val="0"/>
          <w:color w:val="000000"/>
          <w:position w:val="0"/>
        </w:rPr>
        <w:t>Этиология констриктивных перикардитов у детей раз</w:t>
        <w:softHyphen/>
        <w:t>лична. В большинстве случаев она остается идиопатичес</w:t>
        <w:softHyphen/>
        <w:t>кой. В этих случаях предполагается ранее перенесенное ви</w:t>
        <w:softHyphen/>
        <w:t xml:space="preserve">русное заболевание перикарда, особенно </w:t>
      </w:r>
      <w:r>
        <w:rPr>
          <w:lang w:val="en-US" w:eastAsia="en-US" w:bidi="en-US"/>
          <w:w w:val="100"/>
          <w:spacing w:val="0"/>
          <w:color w:val="000000"/>
          <w:position w:val="0"/>
        </w:rPr>
        <w:t xml:space="preserve">coxsackievirus B. </w:t>
      </w:r>
      <w:r>
        <w:rPr>
          <w:lang w:val="ru-RU" w:eastAsia="ru-RU" w:bidi="ru-RU"/>
          <w:w w:val="100"/>
          <w:spacing w:val="0"/>
          <w:color w:val="000000"/>
          <w:position w:val="0"/>
        </w:rPr>
        <w:t xml:space="preserve">Высказывается мнение, что констриктив- ный перикардит может возникать </w:t>
      </w:r>
      <w:r>
        <w:rPr>
          <w:lang w:val="en-US" w:eastAsia="en-US" w:bidi="en-US"/>
          <w:w w:val="100"/>
          <w:spacing w:val="0"/>
          <w:color w:val="000000"/>
          <w:position w:val="0"/>
        </w:rPr>
        <w:t xml:space="preserve">in situ. </w:t>
      </w:r>
      <w:r>
        <w:rPr>
          <w:lang w:val="ru-RU" w:eastAsia="ru-RU" w:bidi="ru-RU"/>
          <w:w w:val="100"/>
          <w:spacing w:val="0"/>
          <w:color w:val="000000"/>
          <w:position w:val="0"/>
        </w:rPr>
        <w:t>Ниже приводятся</w:t>
      </w:r>
      <w:r>
        <w:br w:type="page"/>
      </w:r>
    </w:p>
    <w:p>
      <w:pPr>
        <w:pStyle w:val="Style30"/>
        <w:widowControl w:val="0"/>
        <w:keepNext w:val="0"/>
        <w:keepLines w:val="0"/>
        <w:shd w:val="clear" w:color="auto" w:fill="auto"/>
        <w:bidi w:val="0"/>
        <w:spacing w:before="0" w:after="0"/>
        <w:ind w:left="0" w:right="0" w:firstLine="0"/>
      </w:pPr>
      <w:r>
        <w:pict>
          <v:shape id="_x0000_s1503" type="#_x0000_t202" style="position:absolute;margin-left:0.25pt;margin-top:35.75pt;width:181.9pt;height:22.05pt;z-index:-125829060;mso-wrap-distance-left:5.pt;mso-wrap-distance-top:35.pt;mso-wrap-distance-right:29.5pt;mso-position-horizontal-relative:margin;mso-position-vertical-relative:margin" fillcolor="#FFFFF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123"/>
                    </w:rPr>
                    <w:t xml:space="preserve">Рис. 70. </w:t>
                  </w:r>
                  <w:r>
                    <w:rPr>
                      <w:rStyle w:val="CharStyle90"/>
                    </w:rPr>
                    <w:t>Большой перикардиальный выпот (кар</w:t>
                    <w:softHyphen/>
                    <w:t>тина «плавающего» сердца).</w:t>
                  </w:r>
                </w:p>
              </w:txbxContent>
            </v:textbox>
            <w10:wrap type="topAndBottom" anchorx="margin" anchory="margin"/>
          </v:shape>
        </w:pict>
      </w:r>
      <w:r>
        <w:pict>
          <v:shape id="_x0000_s1504" type="#_x0000_t75" style="position:absolute;margin-left:211.7pt;margin-top:0.7pt;width:282.7pt;height:226.1pt;z-index:-125829059;mso-wrap-distance-left:125.05pt;mso-wrap-distance-right:5.pt;mso-position-horizontal-relative:margin;mso-position-vertical-relative:margin" wrapcoords="0 0 21600 0 21600 21600 0 21600 0 0">
            <v:imagedata r:id="rId792" r:href="rId793"/>
            <w10:wrap type="topAndBottom" anchorx="margin" anchory="margin"/>
          </v:shape>
        </w:pict>
      </w:r>
      <w:r>
        <w:pict>
          <v:shape id="_x0000_s1505" type="#_x0000_t202" style="position:absolute;margin-left:0.5pt;margin-top:253.45pt;width:165.85pt;height:11.85pt;z-index:-125829058;mso-wrap-distance-left:5.pt;mso-wrap-distance-top:195.85pt;mso-wrap-distance-right:44.15pt;mso-position-horizontal-relative:margin;mso-position-vertic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123"/>
                    </w:rPr>
                    <w:t xml:space="preserve">Рис. 69. </w:t>
                  </w:r>
                  <w:r>
                    <w:rPr>
                      <w:rStyle w:val="CharStyle90"/>
                    </w:rPr>
                    <w:t>Небольшой перикардиальный выпот.</w:t>
                  </w:r>
                </w:p>
              </w:txbxContent>
            </v:textbox>
            <w10:wrap type="topAndBottom" anchorx="margin" anchory="margin"/>
          </v:shape>
        </w:pict>
      </w:r>
      <w:r>
        <w:pict>
          <v:shape id="_x0000_s1506" type="#_x0000_t75" style="position:absolute;margin-left:210.5pt;margin-top:234.95pt;width:282.7pt;height:205.45pt;z-index:-125829057;mso-wrap-distance-left:5.pt;mso-wrap-distance-top:8.15pt;mso-wrap-distance-right:5.pt;mso-position-horizontal-relative:margin;mso-position-vertical-relative:margin" wrapcoords="0 0 21600 0 21600 21600 0 21600 0 0">
            <v:imagedata r:id="rId794" r:href="rId795"/>
            <w10:wrap type="topAndBottom" anchorx="margin" anchory="margin"/>
          </v:shape>
        </w:pict>
      </w:r>
      <w:r>
        <w:rPr>
          <w:lang w:val="ru-RU" w:eastAsia="ru-RU" w:bidi="ru-RU"/>
          <w:w w:val="100"/>
          <w:spacing w:val="0"/>
          <w:color w:val="000000"/>
          <w:position w:val="0"/>
        </w:rPr>
        <w:t>причины констриктивного перикардита у детей, которые подразделены на наиболее частые, менее редкие и редкие (казуистические).</w:t>
      </w:r>
    </w:p>
    <w:p>
      <w:pPr>
        <w:pStyle w:val="Style30"/>
        <w:numPr>
          <w:ilvl w:val="0"/>
          <w:numId w:val="95"/>
        </w:numPr>
        <w:tabs>
          <w:tab w:leader="none" w:pos="520"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Наиболее частые причины констриктивного пери</w:t>
        <w:softHyphen/>
        <w:t>кардита:</w:t>
      </w:r>
    </w:p>
    <w:p>
      <w:pPr>
        <w:pStyle w:val="Style30"/>
        <w:numPr>
          <w:ilvl w:val="0"/>
          <w:numId w:val="97"/>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ранее перенесенный острый вирусный перикар</w:t>
        <w:softHyphen/>
        <w:t>дит: коксакивирус А и В, эховирусы, аденовирусы;</w:t>
      </w:r>
    </w:p>
    <w:p>
      <w:pPr>
        <w:pStyle w:val="Style30"/>
        <w:numPr>
          <w:ilvl w:val="0"/>
          <w:numId w:val="97"/>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 xml:space="preserve">бактериальные, возникающие после операции на сердце (стафилококки, стрептококки группы А и В, грам-гегативные возбудители, обычно </w:t>
      </w:r>
      <w:r>
        <w:rPr>
          <w:rStyle w:val="CharStyle103"/>
          <w:lang w:val="en-US" w:eastAsia="en-US" w:bidi="en-US"/>
        </w:rPr>
        <w:t>Pseudomonas, Escherichia coli, Klebsiella);</w:t>
      </w:r>
    </w:p>
    <w:p>
      <w:pPr>
        <w:pStyle w:val="Style30"/>
        <w:numPr>
          <w:ilvl w:val="0"/>
          <w:numId w:val="97"/>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индуцированные радиацией: при длительной ра</w:t>
        <w:softHyphen/>
        <w:t>диотерапии злокачественных новообразований;</w:t>
      </w:r>
    </w:p>
    <w:p>
      <w:pPr>
        <w:pStyle w:val="Style30"/>
        <w:numPr>
          <w:ilvl w:val="0"/>
          <w:numId w:val="97"/>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постхирургические (особенно часто возникают у детей при операциях, проводимых на открытом сердце).</w:t>
      </w:r>
    </w:p>
    <w:p>
      <w:pPr>
        <w:pStyle w:val="Style30"/>
        <w:numPr>
          <w:ilvl w:val="0"/>
          <w:numId w:val="95"/>
        </w:numPr>
        <w:tabs>
          <w:tab w:leader="none" w:pos="520"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Менее редкие причины:</w:t>
      </w:r>
    </w:p>
    <w:p>
      <w:pPr>
        <w:pStyle w:val="Style30"/>
        <w:numPr>
          <w:ilvl w:val="0"/>
          <w:numId w:val="97"/>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 xml:space="preserve">грибковая инфекция </w:t>
      </w:r>
      <w:r>
        <w:rPr>
          <w:rStyle w:val="CharStyle103"/>
          <w:lang w:val="en-US" w:eastAsia="en-US" w:bidi="en-US"/>
        </w:rPr>
        <w:t>Aspergillus, Candida, Coccidioides,</w:t>
      </w:r>
      <w:r>
        <w:rPr>
          <w:lang w:val="en-US" w:eastAsia="en-US" w:bidi="en-US"/>
          <w:w w:val="100"/>
          <w:spacing w:val="0"/>
          <w:color w:val="000000"/>
          <w:position w:val="0"/>
        </w:rPr>
        <w:t xml:space="preserve"> </w:t>
      </w:r>
      <w:r>
        <w:rPr>
          <w:lang w:val="ru-RU" w:eastAsia="ru-RU" w:bidi="ru-RU"/>
          <w:w w:val="100"/>
          <w:spacing w:val="0"/>
          <w:color w:val="000000"/>
          <w:position w:val="0"/>
        </w:rPr>
        <w:t>особенно у ВИЧ-инфицированных</w:t>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или с другими иммунопатологическими состояни</w:t>
        <w:softHyphen/>
        <w:t>ями;</w:t>
      </w:r>
    </w:p>
    <w:p>
      <w:pPr>
        <w:pStyle w:val="Style30"/>
        <w:numPr>
          <w:ilvl w:val="0"/>
          <w:numId w:val="97"/>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опухоли (обычно меланома или мезотелиома);</w:t>
      </w:r>
    </w:p>
    <w:p>
      <w:pPr>
        <w:pStyle w:val="Style30"/>
        <w:numPr>
          <w:ilvl w:val="0"/>
          <w:numId w:val="97"/>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уремия (констриктивный перикардит может воз</w:t>
        <w:softHyphen/>
        <w:t>никнуть при длительно проводимом гемодиализе);</w:t>
      </w:r>
    </w:p>
    <w:p>
      <w:pPr>
        <w:pStyle w:val="Style30"/>
        <w:numPr>
          <w:ilvl w:val="0"/>
          <w:numId w:val="97"/>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аутоиммунные заболевания соединительной ткани (особенно при ревматоидном артрите, системной красной волчанке и склеродермии);</w:t>
      </w:r>
    </w:p>
    <w:p>
      <w:pPr>
        <w:pStyle w:val="Style30"/>
        <w:numPr>
          <w:ilvl w:val="0"/>
          <w:numId w:val="97"/>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лекарственно-индуцированные (наблюдается при длительном приеме прокаинамида, гидралазина, метисергида);</w:t>
      </w:r>
    </w:p>
    <w:p>
      <w:pPr>
        <w:pStyle w:val="Style30"/>
        <w:numPr>
          <w:ilvl w:val="0"/>
          <w:numId w:val="97"/>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травма (наблюдается как при закрытой травме грудной клетки, так и при проникающем ране</w:t>
        <w:softHyphen/>
        <w:t>нии);</w:t>
      </w:r>
    </w:p>
    <w:p>
      <w:pPr>
        <w:pStyle w:val="Style30"/>
        <w:numPr>
          <w:ilvl w:val="0"/>
          <w:numId w:val="97"/>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инфаркт миокарда (у больных в анамнезе характе</w:t>
        <w:softHyphen/>
        <w:t>рен синдром Дресслера и длительное проведение тромболитической терапии).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Редкие причины:</w:t>
      </w:r>
    </w:p>
    <w:p>
      <w:pPr>
        <w:pStyle w:val="Style30"/>
        <w:numPr>
          <w:ilvl w:val="0"/>
          <w:numId w:val="97"/>
        </w:numPr>
        <w:tabs>
          <w:tab w:leader="none" w:pos="232" w:val="left"/>
        </w:tabs>
        <w:widowControl w:val="0"/>
        <w:keepNext w:val="0"/>
        <w:keepLines w:val="0"/>
        <w:shd w:val="clear" w:color="auto" w:fill="auto"/>
        <w:bidi w:val="0"/>
        <w:spacing w:before="0" w:after="0"/>
        <w:ind w:left="260" w:right="0"/>
      </w:pPr>
      <w:r>
        <w:pict>
          <v:shape id="_x0000_s1507" type="#_x0000_t75" style="position:absolute;margin-left:148.1pt;margin-top:736.55pt;width:209.75pt;height:14.9pt;z-index:-125829056;mso-wrap-distance-left:147.6pt;mso-wrap-distance-right:136.3pt;mso-wrap-distance-bottom:10.8pt;mso-position-horizontal-relative:margin;mso-position-vertical-relative:margin" wrapcoords="0 0 21600 0 21600 21600 0 21600 0 0">
            <v:imagedata r:id="rId796" r:href="rId797"/>
            <w10:wrap type="topAndBottom" anchorx="margin" anchory="margin"/>
          </v:shape>
        </w:pict>
      </w:r>
      <w:r>
        <w:rPr>
          <w:lang w:val="ru-RU" w:eastAsia="ru-RU" w:bidi="ru-RU"/>
          <w:w w:val="100"/>
          <w:spacing w:val="0"/>
          <w:color w:val="000000"/>
          <w:position w:val="0"/>
        </w:rPr>
        <w:t>токсикометаболическая;</w:t>
      </w:r>
      <w:r>
        <w:br w:type="page"/>
      </w:r>
    </w:p>
    <w:p>
      <w:pPr>
        <w:pStyle w:val="Style30"/>
        <w:numPr>
          <w:ilvl w:val="0"/>
          <w:numId w:val="97"/>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применение внутриперикардиальных инструмен</w:t>
        <w:softHyphen/>
        <w:t>тов (имплантируемый кардиальный дефибрилля</w:t>
        <w:softHyphen/>
        <w:t>тор, эпикардиальный пейсмекер);</w:t>
      </w:r>
    </w:p>
    <w:p>
      <w:pPr>
        <w:pStyle w:val="Style30"/>
        <w:numPr>
          <w:ilvl w:val="0"/>
          <w:numId w:val="97"/>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наследственная </w:t>
      </w:r>
      <w:r>
        <w:rPr>
          <w:lang w:val="en-US" w:eastAsia="en-US" w:bidi="en-US"/>
          <w:w w:val="100"/>
          <w:spacing w:val="0"/>
          <w:color w:val="000000"/>
          <w:position w:val="0"/>
        </w:rPr>
        <w:t xml:space="preserve">(Mulibrey </w:t>
      </w:r>
      <w:r>
        <w:rPr>
          <w:lang w:val="ru-RU" w:eastAsia="ru-RU" w:bidi="ru-RU"/>
          <w:w w:val="100"/>
          <w:spacing w:val="0"/>
          <w:color w:val="000000"/>
          <w:position w:val="0"/>
        </w:rPr>
        <w:t>нанизм);</w:t>
      </w:r>
    </w:p>
    <w:p>
      <w:pPr>
        <w:pStyle w:val="Style30"/>
        <w:numPr>
          <w:ilvl w:val="0"/>
          <w:numId w:val="97"/>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химическая травма (склеротерапия варикозных вен пищевода);</w:t>
      </w:r>
    </w:p>
    <w:p>
      <w:pPr>
        <w:pStyle w:val="Style30"/>
        <w:numPr>
          <w:ilvl w:val="0"/>
          <w:numId w:val="97"/>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хилоперикард.</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Морфология</w:t>
      </w:r>
    </w:p>
    <w:p>
      <w:pPr>
        <w:pStyle w:val="Style30"/>
        <w:numPr>
          <w:ilvl w:val="0"/>
          <w:numId w:val="95"/>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констриктивном перикардите непосредствен</w:t>
        <w:softHyphen/>
        <w:t>ным результатом стягивающего рубцового процесса является ретракция соединительнотканной сорочки. Такой вариант сдавливающего перикардита обуслов</w:t>
        <w:softHyphen/>
        <w:t>лен особым характером фибропластического компо</w:t>
        <w:softHyphen/>
        <w:t>нента воспаления, наблюдается при хронических ту</w:t>
        <w:softHyphen/>
        <w:t>беркулезных процессах, в ходе гнойного перикарди</w:t>
        <w:softHyphen/>
        <w:t>та, после гемоперикарда. В других случаях наблюда</w:t>
        <w:softHyphen/>
        <w:t>ется недостаточная растяжимость уплотнившегося перикарда. У таких больных развивается дилатация и гипертрофия миокарда без уменьшения исходного объема перикардиальной оболочки. Этот вариант возникает при одновременном поражении двух или всех трех оболочек сердца, чаще всего при ревматиче</w:t>
        <w:softHyphen/>
        <w:t>ских перикардитах, когда формирование клапанного порока, приводящее к компенсаторному расшире</w:t>
        <w:softHyphen/>
        <w:t>нию и гипертрофии желудочков, происходит уже на фоне измененного перикарда.</w:t>
      </w:r>
    </w:p>
    <w:p>
      <w:pPr>
        <w:pStyle w:val="Style30"/>
        <w:numPr>
          <w:ilvl w:val="0"/>
          <w:numId w:val="95"/>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Наиболее интенсивное образование рубцовой ткани наблюдается обычно в области предсердий, у впадения полых вен, по ходу атриовентрикулярной борозды. Но диаметр полых вен и объем полости предсердий у больных с констриктивным перикардитом тем не ме</w:t>
        <w:softHyphen/>
        <w:t>нее превосходят нормальные размеры, так как они растянуты и деформированы, а не стенозированы.</w:t>
      </w:r>
    </w:p>
    <w:p>
      <w:pPr>
        <w:pStyle w:val="Style30"/>
        <w:numPr>
          <w:ilvl w:val="0"/>
          <w:numId w:val="95"/>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формировании сдавливающей капсулы в одних случаях на ранних стадиях процесса происходит спаи</w:t>
        <w:softHyphen/>
        <w:t>вание в единый конгломерат наружного и внутреннего листков сердечной сорочки с включением в него внут</w:t>
        <w:softHyphen/>
        <w:t>риполостных отложений фибрина. В других случаях склерозирующий процесс охватывает преимуществен</w:t>
        <w:softHyphen/>
        <w:t>но наружный листок сердечной сорочки и распростра</w:t>
        <w:softHyphen/>
        <w:t>няется главным образом кнаружи в связи с наличием прослойки жидкого экссудата между листками пери</w:t>
        <w:softHyphen/>
        <w:t>карда. Третьим вариантом является развитие фибро</w:t>
        <w:softHyphen/>
        <w:t>пластического процесса в эпикарде и в отделяющем его от сердечной мышцы слое рыхлой соединительной ткани (внутренняя сдавливающая капсула). Иногда склерозирующий процесс развивается преимущест</w:t>
        <w:softHyphen/>
        <w:t>венно во внутриполостных массах фибрина, образуя так называемую «промежуточную» фиброзную обо</w:t>
        <w:softHyphen/>
        <w:t>лочку. Во внутренней рубцовой капсуле растворяются структуры эпикарда, она прорастает в мышцу сердца. Рубцовая капсула, сформировавшаяся из наружного листка или по типу промежуточной, даже если она приводит к сдавлению сердца, обычно легко отделяет</w:t>
        <w:softHyphen/>
        <w:t>ся от сердца. В отдельных случаях в сдавлении сердца ведущую роль получают участки обызвествления, ко</w:t>
        <w:softHyphen/>
        <w:t>торые подобно шипам проникают в мышцу сердца и врастают в окружающие сердце ткани и органы.</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Патогенез констриктивного перикардита</w:t>
      </w:r>
    </w:p>
    <w:p>
      <w:pPr>
        <w:pStyle w:val="Style30"/>
        <w:numPr>
          <w:ilvl w:val="0"/>
          <w:numId w:val="95"/>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образовании утолщенной и плотной (нерастя</w:t>
        <w:softHyphen/>
        <w:t>жимой) капсулы, которая ограничивает объем диас</w:t>
        <w:softHyphen/>
        <w:t>толического наполнения желудочков сердца, разви-</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вается гиподиастолия. Возникают стойкие гемодина</w:t>
        <w:softHyphen/>
        <w:t>мические нарушения, так называемый констриктив- ный синдром. У больных с констриктивным перикар</w:t>
        <w:softHyphen/>
        <w:t>дитом резко повышаются венозное давление и диас</w:t>
        <w:softHyphen/>
        <w:t>толическое давление в правом желудочке. Компенса</w:t>
        <w:softHyphen/>
        <w:t>торное значение имеет тахикардия, поддерживающая минутный объем кровообращения. Особенностью ретроградных расстройств кровообращения при кон</w:t>
        <w:softHyphen/>
        <w:t>стриктивном перикардите является раннее наруше</w:t>
        <w:softHyphen/>
        <w:t>ние печеночного и портального кровообращения. Ве</w:t>
        <w:softHyphen/>
        <w:t>дущими клиническими признаками сдавления серд</w:t>
        <w:softHyphen/>
        <w:t>ца становятся псевдоцирроз Пика и так называемый преждевременный асцит.</w:t>
      </w:r>
    </w:p>
    <w:p>
      <w:pPr>
        <w:pStyle w:val="Style30"/>
        <w:numPr>
          <w:ilvl w:val="0"/>
          <w:numId w:val="9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Печень и система воротной вены являются физиоло</w:t>
        <w:softHyphen/>
        <w:t>гическим депо крови, которое в условиях длительной венозной гипертонии, возникающей при констрик- тивном перикардите, не в состоянии обеспечить про</w:t>
        <w:softHyphen/>
        <w:t>порционально высокий тонус вен полых органов брюшной полости и печени, что приводит к увеличе</w:t>
        <w:softHyphen/>
        <w:t>нию и уплотнению печени, развиваются атония ки</w:t>
        <w:softHyphen/>
        <w:t>шечника и асцит.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Заболевание длительное время может протекать бес</w:t>
        <w:softHyphen/>
        <w:t>симптомно. Могут возникать боли в области сердца, непо</w:t>
        <w:softHyphen/>
        <w:t>стоянная одышка, слабость, сухой кашель, связанные с на</w:t>
        <w:softHyphen/>
        <w:t>рушенным венозным возвратом. Боли в груди усиливаются при физических нагрузках, определенном положении тела, чаще бывают обусловлены экстраперикардиальными сра</w:t>
        <w:softHyphen/>
        <w:t>щениями. К болям присоединяются функциональные на</w:t>
        <w:softHyphen/>
        <w:t>рушения сердечной деятельности, плохая переносимость физических нагрузок, повышенная утомляемость.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Постепенное увеличение размера живота у ребенка яв</w:t>
        <w:softHyphen/>
        <w:t>ляется симптомом портальной гипертензии подчас неуста</w:t>
        <w:softHyphen/>
        <w:t>новленной этиологии. Основные причины портальной ги</w:t>
        <w:softHyphen/>
        <w:t>пертензии у детей представлены ниже.</w:t>
      </w:r>
    </w:p>
    <w:p>
      <w:pPr>
        <w:pStyle w:val="Style30"/>
        <w:numPr>
          <w:ilvl w:val="0"/>
          <w:numId w:val="95"/>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Препеченочная:</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тромбоз портальной вены;</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тромбоз селезеночных вен;</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врожденная атрезия или стеноз портальной вены;</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наружная компрессия портальной вены (опухоли);</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артериовенозная фистула.</w:t>
      </w:r>
    </w:p>
    <w:p>
      <w:pPr>
        <w:pStyle w:val="Style30"/>
        <w:numPr>
          <w:ilvl w:val="0"/>
          <w:numId w:val="9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Внутрипеченочная, преимущественно пресинусои</w:t>
        <w:softHyphen/>
        <w:t>дальная:</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шистозомиазис (ранняя стадия);</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первичный билиарный цирроз (ранняя стадия);</w:t>
      </w:r>
    </w:p>
    <w:p>
      <w:pPr>
        <w:pStyle w:val="Style30"/>
        <w:numPr>
          <w:ilvl w:val="0"/>
          <w:numId w:val="97"/>
        </w:numPr>
        <w:tabs>
          <w:tab w:leader="none" w:pos="755"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идиопатическая портальная гипертензия (ранняя стадия);</w:t>
      </w:r>
    </w:p>
    <w:p>
      <w:pPr>
        <w:pStyle w:val="Style30"/>
        <w:numPr>
          <w:ilvl w:val="0"/>
          <w:numId w:val="97"/>
        </w:numPr>
        <w:tabs>
          <w:tab w:leader="none" w:pos="755"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узловая регенеративная гиперплазия (в патогенезе вероятна облитеративная венопатия);</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миелопролиферативные заболевания;</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поликистозная болезнь;</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метастазы в печень;</w:t>
      </w:r>
    </w:p>
    <w:p>
      <w:pPr>
        <w:pStyle w:val="Style30"/>
        <w:numPr>
          <w:ilvl w:val="0"/>
          <w:numId w:val="97"/>
        </w:numPr>
        <w:tabs>
          <w:tab w:leader="none" w:pos="755"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грануломатозные заболевания (саркоидоз, тубер</w:t>
        <w:softHyphen/>
        <w:t>кулез).</w:t>
      </w:r>
    </w:p>
    <w:p>
      <w:pPr>
        <w:pStyle w:val="Style30"/>
        <w:numPr>
          <w:ilvl w:val="0"/>
          <w:numId w:val="9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Внутрипеченочная, преимущественно синусоидаль</w:t>
        <w:softHyphen/>
        <w:t>ная и постсинусоидальная:</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печеночный цирроз;</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острый алкогольный гепатит;</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шистозомиазис (начальная стадия);</w:t>
      </w:r>
    </w:p>
    <w:p>
      <w:pPr>
        <w:pStyle w:val="Style30"/>
        <w:numPr>
          <w:ilvl w:val="0"/>
          <w:numId w:val="9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первичный билиарный цирроз (начальная стадия);</w:t>
      </w:r>
    </w:p>
    <w:p>
      <w:pPr>
        <w:pStyle w:val="Style30"/>
        <w:numPr>
          <w:ilvl w:val="0"/>
          <w:numId w:val="97"/>
        </w:numPr>
        <w:tabs>
          <w:tab w:leader="none" w:pos="755" w:val="left"/>
        </w:tabs>
        <w:widowControl w:val="0"/>
        <w:keepNext w:val="0"/>
        <w:keepLines w:val="0"/>
        <w:shd w:val="clear" w:color="auto" w:fill="auto"/>
        <w:bidi w:val="0"/>
        <w:jc w:val="left"/>
        <w:spacing w:before="0" w:after="0"/>
        <w:ind w:left="740" w:right="0" w:hanging="220"/>
      </w:pPr>
      <w:r>
        <w:pict>
          <v:shape id="_x0000_s1508" type="#_x0000_t75" style="position:absolute;margin-left:130.55pt;margin-top:736.55pt;width:209.75pt;height:14.9pt;z-index:-125829055;mso-wrap-distance-left:124.1pt;mso-wrap-distance-right:147.85pt;mso-wrap-distance-bottom:10.8pt;mso-position-horizontal-relative:margin;mso-position-vertical-relative:margin" wrapcoords="0 0 21600 0 21600 21600 0 21600 0 0">
            <v:imagedata r:id="rId798" r:href="rId799"/>
            <w10:wrap type="topAndBottom" anchorx="margin" anchory="margin"/>
          </v:shape>
        </w:pict>
      </w:r>
      <w:r>
        <w:rPr>
          <w:lang w:val="ru-RU" w:eastAsia="ru-RU" w:bidi="ru-RU"/>
          <w:w w:val="100"/>
          <w:spacing w:val="0"/>
          <w:color w:val="000000"/>
          <w:position w:val="0"/>
        </w:rPr>
        <w:t>идиопатическая портальная гипертензия (началь</w:t>
        <w:softHyphen/>
        <w:t>ная стадия);</w:t>
      </w:r>
      <w:r>
        <w:br w:type="page"/>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острый и сверхострый гепатит;</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врожденный фиброз печени;</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интоксикация витамином А;</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веноокклюзивная болезнь;</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синдром Бад-Хиари </w:t>
      </w:r>
      <w:r>
        <w:rPr>
          <w:lang w:val="en-US" w:eastAsia="en-US" w:bidi="en-US"/>
          <w:w w:val="100"/>
          <w:spacing w:val="0"/>
          <w:color w:val="000000"/>
          <w:position w:val="0"/>
        </w:rPr>
        <w:t>(Budd-Chiaii).</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Постпеченочная:</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обструкция нижней полой вены;</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недостаточность правого желудочка;</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констриктивный перикардит;</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недостаточность трикуспидального клапана;</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синдром Бад-Хиари </w:t>
      </w:r>
      <w:r>
        <w:rPr>
          <w:lang w:val="en-US" w:eastAsia="en-US" w:bidi="en-US"/>
          <w:w w:val="100"/>
          <w:spacing w:val="0"/>
          <w:color w:val="000000"/>
          <w:position w:val="0"/>
        </w:rPr>
        <w:t>(Budd-Chiaii);</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артериопортальная венозная фистула;</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увеличение портального кровотока;</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увеличение селезеночного кровотока.</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Жалобы в основном связаны с правожелудочковой сер</w:t>
        <w:softHyphen/>
        <w:t>дечной недостаточностью.</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Боли в грудной клетке.</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Одышка:</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одышка носит стабильный характер, вне зависи</w:t>
        <w:softHyphen/>
        <w:t>мости от времени суток;</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одышка сопровождается периферическим циано - зом.</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Быстрая утомляемость, резкая слабость.</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Лихорадка.</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Тахикардия (на поздних стадиях в связи с рубцовым прорастанием миокарда предсердий возникает мер</w:t>
        <w:softHyphen/>
        <w:t>цательная аритмия).</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Желудочный дискомфорт (часто запоры).</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Сердцебиение.</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Ортопноэ (при развитии правожелудочковой недо</w:t>
        <w:softHyphen/>
        <w:t>статочности).</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Пароксизмальная ночная одышка.</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Повышенная потливость.</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Сухой непродуктивный кашель.</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Признаки повышения системного венозного давления:</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набухание шейных вен;</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гепатоюгулярный рефлюкс;</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гепатомегалия;</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асцит;</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периферические отеки;</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парадоксальный пульс (редко);</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усиленный третий тон сердца;</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уменьшение пульсового объема.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Физикальные данные:</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Обшце данные:</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тяжелые формы констриктивного перикардита проявляются выраженной мышечной слабостью, кахексией и желтухой;</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констрикция перикарда должна быть всегда запо</w:t>
        <w:softHyphen/>
        <w:t>дозрена при наличии набухания шейных вен, пле</w:t>
        <w:softHyphen/>
        <w:t>врального выпота, гепатомегалии и асцита.</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Кардиоваскулярные данные:</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высокое давление в югулярной вене является уни</w:t>
        <w:softHyphen/>
        <w:t>версальным признаком констриктивного пери</w:t>
        <w:softHyphen/>
        <w:t>кардита;</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набухание шейных вен и повышение в них давления следует определять в сидячем положении ребенка;</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характерна синусовая тахикардия, артериальное давление может быть нормальным или снижен - ным в зависимости от стадии заболевания;</w:t>
      </w:r>
    </w:p>
    <w:p>
      <w:pPr>
        <w:pStyle w:val="Style30"/>
        <w:numPr>
          <w:ilvl w:val="0"/>
          <w:numId w:val="97"/>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верхушечный толчок обычно не пальпируется, то</w:t>
        <w:softHyphen/>
        <w:t>ны сердца глухие, отдаленные;</w:t>
      </w:r>
    </w:p>
    <w:p>
      <w:pPr>
        <w:pStyle w:val="Style30"/>
        <w:numPr>
          <w:ilvl w:val="0"/>
          <w:numId w:val="97"/>
        </w:numPr>
        <w:tabs>
          <w:tab w:leader="none" w:pos="735" w:val="left"/>
        </w:tabs>
        <w:widowControl w:val="0"/>
        <w:keepNext w:val="0"/>
        <w:keepLines w:val="0"/>
        <w:shd w:val="clear" w:color="auto" w:fill="auto"/>
        <w:bidi w:val="0"/>
        <w:spacing w:before="0" w:after="0"/>
        <w:ind w:left="740" w:right="0" w:hanging="240"/>
      </w:pPr>
      <w:r>
        <w:br w:type="column"/>
      </w:r>
      <w:r>
        <w:rPr>
          <w:lang w:val="ru-RU" w:eastAsia="ru-RU" w:bidi="ru-RU"/>
          <w:w w:val="100"/>
          <w:spacing w:val="0"/>
          <w:color w:val="000000"/>
          <w:position w:val="0"/>
        </w:rPr>
        <w:t>перикардотон (щелчок) возникает в результате внезапного прекращения желудочкового наполне</w:t>
        <w:softHyphen/>
        <w:t>ния в раннюю диастолу. Иногда перикардотон ошибочно принимают за III тон сердца. В отличие от III тона перикардиальный щелчок возникает раньше и носит высокочастотный характер. На</w:t>
        <w:softHyphen/>
        <w:t>иболее громким перикардотон отмечается в облас</w:t>
        <w:softHyphen/>
        <w:t>ти мечевидного отростка и верхушки сердца;</w:t>
      </w:r>
    </w:p>
    <w:p>
      <w:pPr>
        <w:pStyle w:val="Style30"/>
        <w:numPr>
          <w:ilvl w:val="0"/>
          <w:numId w:val="9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шумы в сердце обычно не выслушиваются. Они появляются при возникновении относительной недостаточности атриовентрикулярных клапанов или при обструкции выходного тракта правого же</w:t>
        <w:softHyphen/>
        <w:t>лудочка (фиброзирование кольца);</w:t>
      </w:r>
    </w:p>
    <w:p>
      <w:pPr>
        <w:pStyle w:val="Style30"/>
        <w:numPr>
          <w:ilvl w:val="0"/>
          <w:numId w:val="9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парадоксальный пульс;</w:t>
      </w:r>
    </w:p>
    <w:p>
      <w:pPr>
        <w:pStyle w:val="Style30"/>
        <w:numPr>
          <w:ilvl w:val="0"/>
          <w:numId w:val="9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признак Куссмауля (подъем системного венозного давления на вдохе). Однако этот признак неспеци</w:t>
        <w:softHyphen/>
        <w:t>фичен и может наблюдаться у пациентов с право</w:t>
        <w:softHyphen/>
        <w:t>желудочковой недостаточностью, рестриктивной кардиомиопатией, инфарктом миокарда правого желудочка, рикуспидальным стенозом.</w:t>
      </w:r>
    </w:p>
    <w:p>
      <w:pPr>
        <w:pStyle w:val="Style30"/>
        <w:numPr>
          <w:ilvl w:val="0"/>
          <w:numId w:val="95"/>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Другие органные симптомы:</w:t>
      </w:r>
    </w:p>
    <w:p>
      <w:pPr>
        <w:pStyle w:val="Style30"/>
        <w:numPr>
          <w:ilvl w:val="0"/>
          <w:numId w:val="9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гепатомегалия с ощутимой пульсацией;</w:t>
      </w:r>
    </w:p>
    <w:p>
      <w:pPr>
        <w:pStyle w:val="Style30"/>
        <w:numPr>
          <w:ilvl w:val="0"/>
          <w:numId w:val="9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 коже живота отчетливо вырисовывается веноз</w:t>
        <w:softHyphen/>
        <w:t>ная сеть, напоминающая «голову медузы»;</w:t>
      </w:r>
    </w:p>
    <w:p>
      <w:pPr>
        <w:pStyle w:val="Style30"/>
        <w:numPr>
          <w:ilvl w:val="0"/>
          <w:numId w:val="9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асцит, эритема подошв;</w:t>
      </w:r>
    </w:p>
    <w:p>
      <w:pPr>
        <w:pStyle w:val="Style30"/>
        <w:numPr>
          <w:ilvl w:val="0"/>
          <w:numId w:val="97"/>
        </w:numPr>
        <w:tabs>
          <w:tab w:leader="none" w:pos="735" w:val="left"/>
        </w:tabs>
        <w:widowControl w:val="0"/>
        <w:keepNext w:val="0"/>
        <w:keepLines w:val="0"/>
        <w:shd w:val="clear" w:color="auto" w:fill="auto"/>
        <w:bidi w:val="0"/>
        <w:spacing w:before="0" w:after="360"/>
        <w:ind w:left="740" w:right="0" w:hanging="240"/>
      </w:pPr>
      <w:r>
        <w:rPr>
          <w:lang w:val="ru-RU" w:eastAsia="ru-RU" w:bidi="ru-RU"/>
          <w:w w:val="100"/>
          <w:spacing w:val="0"/>
          <w:color w:val="000000"/>
          <w:position w:val="0"/>
        </w:rPr>
        <w:t>периферические отеки (наблюдаются чаще при возникновении трикуспидальной регургитации).</w:t>
      </w:r>
    </w:p>
    <w:p>
      <w:pPr>
        <w:pStyle w:val="Style30"/>
        <w:widowControl w:val="0"/>
        <w:keepNext w:val="0"/>
        <w:keepLines w:val="0"/>
        <w:shd w:val="clear" w:color="auto" w:fill="auto"/>
        <w:bidi w:val="0"/>
        <w:jc w:val="right"/>
        <w:spacing w:before="0" w:after="0"/>
        <w:ind w:left="0" w:right="0" w:firstLine="0"/>
      </w:pPr>
      <w:r>
        <w:rPr>
          <w:lang w:val="ru-RU" w:eastAsia="ru-RU" w:bidi="ru-RU"/>
          <w:w w:val="100"/>
          <w:spacing w:val="0"/>
          <w:color w:val="000000"/>
          <w:position w:val="0"/>
        </w:rPr>
        <w:t>Различают 3 стадии течения хронического констриктивно- го перикардита: начальную, выраженную и дистрофическую.</w:t>
      </w:r>
    </w:p>
    <w:p>
      <w:pPr>
        <w:pStyle w:val="Style30"/>
        <w:numPr>
          <w:ilvl w:val="0"/>
          <w:numId w:val="95"/>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начальной стадии больной отмечает слабость и одышку при ходьбе. Повышение венозного давле</w:t>
        <w:softHyphen/>
        <w:t>ния возникает преимущественно после нагрузок.</w:t>
      </w:r>
    </w:p>
    <w:p>
      <w:pPr>
        <w:pStyle w:val="Style30"/>
        <w:numPr>
          <w:ilvl w:val="0"/>
          <w:numId w:val="95"/>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больных в стадии выраженных явлений развивает</w:t>
        <w:softHyphen/>
        <w:t>ся постоянная венозная гипертония с одутловатостью лица, цианозом, набуханием шейных вен, появляется асцит. Характерно сочетание признаков гипертонии в системе верхней полой вены и синдрома нарушения печеночного и портального кровообращения.</w:t>
      </w:r>
    </w:p>
    <w:p>
      <w:pPr>
        <w:pStyle w:val="Style30"/>
        <w:numPr>
          <w:ilvl w:val="0"/>
          <w:numId w:val="95"/>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Дистрофическая стадия характеризуется развитием гипопротеинемии. На этой стадии наряду с асцитом и гидротораксом образуются отеки на нижних конеч</w:t>
        <w:softHyphen/>
        <w:t>ностях, на половых органах, на теле, на лице, на ру</w:t>
        <w:softHyphen/>
        <w:t>ках. Гипопротеинемия является основным патогене</w:t>
        <w:softHyphen/>
        <w:t>тическим механизмом, отличающим дистрофичес</w:t>
        <w:softHyphen/>
        <w:t>кую стадию. Содержание белка в сыворотке крови снижается из-за нарушения функции печени и ухуд</w:t>
        <w:softHyphen/>
        <w:t>шения процесса реабсорбции протеинов из кишеч</w:t>
        <w:softHyphen/>
        <w:t>ника. Развиваются истощение организма, атрофия мышц, появляются трофические язвы, контрактуры суставов, снижается тургор тканей.</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Электрокардиография:</w:t>
      </w:r>
    </w:p>
    <w:p>
      <w:pPr>
        <w:pStyle w:val="Style30"/>
        <w:numPr>
          <w:ilvl w:val="0"/>
          <w:numId w:val="95"/>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Наиболее характерными ЭКГ-признаками констрик- тивного перикардита является триада: расширенный высокий зубец Р, низковольтажный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отрицательный зубец Т (во всех стандартных и пре- кордиальных отведениях (рис. 71).</w:t>
      </w:r>
    </w:p>
    <w:p>
      <w:pPr>
        <w:pStyle w:val="Style30"/>
        <w:numPr>
          <w:ilvl w:val="0"/>
          <w:numId w:val="95"/>
        </w:numPr>
        <w:tabs>
          <w:tab w:leader="none" w:pos="514" w:val="left"/>
        </w:tabs>
        <w:widowControl w:val="0"/>
        <w:keepNext w:val="0"/>
        <w:keepLines w:val="0"/>
        <w:shd w:val="clear" w:color="auto" w:fill="auto"/>
        <w:bidi w:val="0"/>
        <w:spacing w:before="0" w:after="0"/>
        <w:ind w:left="500" w:right="0" w:hanging="220"/>
      </w:pPr>
      <w:r>
        <w:pict>
          <v:shape id="_x0000_s1509" type="#_x0000_t75" style="position:absolute;margin-left:148.2pt;margin-top:736.55pt;width:209.75pt;height:14.9pt;z-index:-125829054;mso-wrap-distance-left:148.1pt;mso-wrap-distance-right:136.55pt;mso-wrap-distance-bottom:10.8pt;mso-position-horizontal-relative:margin;mso-position-vertical-relative:margin" wrapcoords="0 0 21600 0 21600 21600 0 21600 0 0">
            <v:imagedata r:id="rId800" r:href="rId801"/>
            <w10:wrap type="topAndBottom" anchorx="margin" anchory="margin"/>
          </v:shape>
        </w:pict>
      </w:r>
      <w:r>
        <w:rPr>
          <w:lang w:val="ru-RU" w:eastAsia="ru-RU" w:bidi="ru-RU"/>
          <w:w w:val="100"/>
          <w:spacing w:val="0"/>
          <w:color w:val="000000"/>
          <w:position w:val="0"/>
        </w:rPr>
        <w:t xml:space="preserve">При поражении процессом преимущественно правого желудочка зубец Т в отведениях </w:t>
      </w:r>
      <w:r>
        <w:rPr>
          <w:lang w:val="en-US" w:eastAsia="en-US" w:bidi="en-US"/>
          <w:w w:val="100"/>
          <w:spacing w:val="0"/>
          <w:color w:val="000000"/>
          <w:position w:val="0"/>
        </w:rPr>
        <w:t xml:space="preserve">I, II </w:t>
      </w:r>
      <w:r>
        <w:rPr>
          <w:lang w:val="ru-RU" w:eastAsia="ru-RU" w:bidi="ru-RU"/>
          <w:w w:val="100"/>
          <w:spacing w:val="0"/>
          <w:color w:val="000000"/>
          <w:position w:val="0"/>
        </w:rPr>
        <w:t>бывает положи</w:t>
        <w:softHyphen/>
        <w:t xml:space="preserve">тельным, а в отведениях Т III и </w:t>
      </w:r>
      <w:r>
        <w:rPr>
          <w:lang w:val="en-US" w:eastAsia="en-US" w:bidi="en-US"/>
          <w:w w:val="100"/>
          <w:spacing w:val="0"/>
          <w:color w:val="000000"/>
          <w:position w:val="0"/>
        </w:rPr>
        <w:t xml:space="preserve">aVF </w:t>
      </w:r>
      <w:r>
        <w:rPr>
          <w:lang w:val="ru-RU" w:eastAsia="ru-RU" w:bidi="ru-RU"/>
          <w:w w:val="100"/>
          <w:spacing w:val="0"/>
          <w:color w:val="000000"/>
          <w:position w:val="0"/>
        </w:rPr>
        <w:t>— отрицательным.</w:t>
      </w:r>
      <w:r>
        <w:br w:type="page"/>
      </w:r>
    </w:p>
    <w:p>
      <w:pPr>
        <w:framePr w:h="3182" w:wrap="notBeside" w:vAnchor="text" w:hAnchor="text" w:xAlign="center" w:y="1"/>
        <w:widowControl w:val="0"/>
        <w:jc w:val="center"/>
        <w:rPr>
          <w:sz w:val="2"/>
          <w:szCs w:val="2"/>
        </w:rPr>
      </w:pPr>
      <w:r>
        <w:pict>
          <v:shape id="_x0000_s1510" type="#_x0000_t75" style="width:240pt;height:159pt;">
            <v:imagedata r:id="rId802" r:href="rId803"/>
          </v:shape>
        </w:pict>
      </w:r>
    </w:p>
    <w:p>
      <w:pPr>
        <w:pStyle w:val="Style120"/>
        <w:framePr w:h="3182"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71. </w:t>
      </w:r>
      <w:r>
        <w:rPr>
          <w:lang w:val="ru-RU" w:eastAsia="ru-RU" w:bidi="ru-RU"/>
          <w:w w:val="100"/>
          <w:spacing w:val="0"/>
          <w:color w:val="000000"/>
          <w:position w:val="0"/>
        </w:rPr>
        <w:t>Электрокардиограмма при констриктивном перикардите: снижение вольтажа желудочковых комплексов, перегрузка обоих предсердий.</w:t>
      </w:r>
    </w:p>
    <w:p>
      <w:pPr>
        <w:widowControl w:val="0"/>
        <w:rPr>
          <w:sz w:val="2"/>
          <w:szCs w:val="2"/>
        </w:rPr>
      </w:pPr>
    </w:p>
    <w:p>
      <w:pPr>
        <w:pStyle w:val="Style30"/>
        <w:numPr>
          <w:ilvl w:val="0"/>
          <w:numId w:val="95"/>
        </w:numPr>
        <w:tabs>
          <w:tab w:leader="none" w:pos="518" w:val="left"/>
        </w:tabs>
        <w:widowControl w:val="0"/>
        <w:keepNext w:val="0"/>
        <w:keepLines w:val="0"/>
        <w:shd w:val="clear" w:color="auto" w:fill="auto"/>
        <w:bidi w:val="0"/>
        <w:spacing w:before="561" w:after="0"/>
        <w:ind w:left="500" w:right="0" w:hanging="220"/>
      </w:pPr>
      <w:r>
        <w:rPr>
          <w:lang w:val="ru-RU" w:eastAsia="ru-RU" w:bidi="ru-RU"/>
          <w:w w:val="100"/>
          <w:spacing w:val="0"/>
          <w:color w:val="000000"/>
          <w:position w:val="0"/>
        </w:rPr>
        <w:t xml:space="preserve">Изменения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позволяют судить о состо</w:t>
        <w:softHyphen/>
        <w:t>янии миокарда. Кроме снижения амплитуды, наблю</w:t>
        <w:softHyphen/>
        <w:t xml:space="preserve">даются изменения формы: расщепление, образование зазубрин, расширение, углубление зубца </w:t>
      </w:r>
      <w:r>
        <w:rPr>
          <w:lang w:val="en-US" w:eastAsia="en-US" w:bidi="en-US"/>
          <w:w w:val="100"/>
          <w:spacing w:val="0"/>
          <w:color w:val="000000"/>
          <w:position w:val="0"/>
        </w:rPr>
        <w:t xml:space="preserve">Q, </w:t>
      </w:r>
      <w:r>
        <w:rPr>
          <w:lang w:val="ru-RU" w:eastAsia="ru-RU" w:bidi="ru-RU"/>
          <w:w w:val="100"/>
          <w:spacing w:val="0"/>
          <w:color w:val="000000"/>
          <w:position w:val="0"/>
        </w:rPr>
        <w:t>которые свидетельствуют о глубине вовлечения миокарда.</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Удаление рубцовой капсулы не приводит к немедлен</w:t>
        <w:softHyphen/>
        <w:t xml:space="preserve">ному повышению амплитуды («вольтажа»)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поскольку причиной его снижения являются изменения миокарда в результате атрофии мышцы желудочков.</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Увеличенный зубец Р резко контрастирует с низко- вольтажным комплексом </w:t>
      </w:r>
      <w:r>
        <w:rPr>
          <w:lang w:val="en-US" w:eastAsia="en-US" w:bidi="en-US"/>
          <w:w w:val="100"/>
          <w:spacing w:val="0"/>
          <w:color w:val="000000"/>
          <w:position w:val="0"/>
        </w:rPr>
        <w:t xml:space="preserve">QRS, </w:t>
      </w:r>
      <w:r>
        <w:rPr>
          <w:lang w:val="ru-RU" w:eastAsia="ru-RU" w:bidi="ru-RU"/>
          <w:w w:val="100"/>
          <w:spacing w:val="0"/>
          <w:color w:val="000000"/>
          <w:position w:val="0"/>
        </w:rPr>
        <w:t>свидетельствуя о ра</w:t>
        <w:softHyphen/>
        <w:t>бочей гипертрофии предсердий.</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Рентгенография:</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рентгенологическом обследовании тень сердца обычно не изменена, может определяться дилатация верхней полой вены, предсердий, особенно правого.</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рентгеноскопическом исследовании обнаружи</w:t>
        <w:softHyphen/>
        <w:t>вают «тихое» сердце, т.е. амплитуда пульсации очень мала, контуры могут быть деформированы, смещае- мость ограничена, дуги сглажены.</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 поздних стадиях заболевания могут обнаружи</w:t>
        <w:softHyphen/>
        <w:t>ваться перикардиальные сращения, плевроперикар</w:t>
        <w:softHyphen/>
        <w:t>диальные спайки, плевральный выпот, обызвествле</w:t>
        <w:softHyphen/>
        <w:t>ние перикарда.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Эхокардиография:</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эхокардиографическом исследовании визуали</w:t>
        <w:softHyphen/>
        <w:t>зируется утолщенный перикард в виде единой линии, окружающей сердце.</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 задней поверхности сердца выявляются резко уп</w:t>
        <w:softHyphen/>
        <w:t>лотненные массы, листки перикарда нередко диффе</w:t>
        <w:softHyphen/>
        <w:t>ренцировать не удается. Иногда в отдельных участках может быть найдена жидкость.</w:t>
      </w:r>
    </w:p>
    <w:p>
      <w:pPr>
        <w:pStyle w:val="Style30"/>
        <w:numPr>
          <w:ilvl w:val="0"/>
          <w:numId w:val="9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случаях, где дифференцируются перикардиальные листки, расстояние между ними не изменяется в зави</w:t>
        <w:softHyphen/>
        <w:t>симости от фаз сердечного ритма и дыхания. Наряду с этим выявляются гемодинамические проявления кон- стриктивного перикардита, к которым можно отнести дилатацию верхней и нижней полой вены, уменьшение полости желудочков сердца, большие предсердия.</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Допплерэхокардиография: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Допплерэхокардиография существенно помогает в диагностике так называемой «констриктивной кар</w:t>
        <w:softHyphen/>
        <w:t>диопатии». Для констриктивного перикардита пред</w:t>
        <w:softHyphen/>
        <w:t>ложены следующие характеристики:</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значительно ускорено время раннего наполнения с укорочением времени децелерации трансмитрального и транстрикуспидального пото</w:t>
        <w:softHyphen/>
        <w:t>ка (Е волна); фаза предсердного наполнения (А волна) не изменена;</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выражены дыхательные вариации волны Е и А (в противоположность рестриктивной кардио</w:t>
        <w:softHyphen/>
        <w:t>миопатии);</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трансмитральный пик </w:t>
      </w:r>
      <w:r>
        <w:rPr>
          <w:lang w:val="en-US" w:eastAsia="en-US" w:bidi="en-US"/>
          <w:w w:val="100"/>
          <w:spacing w:val="0"/>
          <w:color w:val="000000"/>
          <w:position w:val="0"/>
        </w:rPr>
        <w:t xml:space="preserve">E </w:t>
      </w:r>
      <w:r>
        <w:rPr>
          <w:lang w:val="ru-RU" w:eastAsia="ru-RU" w:bidi="ru-RU"/>
          <w:w w:val="100"/>
          <w:spacing w:val="0"/>
          <w:color w:val="000000"/>
          <w:position w:val="0"/>
        </w:rPr>
        <w:t>значительно уменьшается во время вдоха (этот признак не характерен для здоровых детей и при рестриктивной КМП);</w:t>
      </w:r>
    </w:p>
    <w:p>
      <w:pPr>
        <w:pStyle w:val="Style30"/>
        <w:numPr>
          <w:ilvl w:val="0"/>
          <w:numId w:val="97"/>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пик Е и пик А транстрикуспидального потока зна</w:t>
        <w:softHyphen/>
        <w:t>чительно увеличиваются во время вдоха;</w:t>
      </w:r>
    </w:p>
    <w:p>
      <w:pPr>
        <w:pStyle w:val="Style30"/>
        <w:numPr>
          <w:ilvl w:val="0"/>
          <w:numId w:val="97"/>
        </w:numPr>
        <w:tabs>
          <w:tab w:leader="none" w:pos="754" w:val="left"/>
        </w:tabs>
        <w:widowControl w:val="0"/>
        <w:keepNext w:val="0"/>
        <w:keepLines w:val="0"/>
        <w:shd w:val="clear" w:color="auto" w:fill="auto"/>
        <w:bidi w:val="0"/>
        <w:spacing w:before="0" w:after="180"/>
        <w:ind w:left="740" w:right="0" w:hanging="220"/>
      </w:pPr>
      <w:r>
        <w:rPr>
          <w:lang w:val="ru-RU" w:eastAsia="ru-RU" w:bidi="ru-RU"/>
          <w:w w:val="100"/>
          <w:spacing w:val="0"/>
          <w:color w:val="000000"/>
          <w:position w:val="0"/>
        </w:rPr>
        <w:t>время изоволюметрической релаксации при кон- стриктивном перикардите увеличивается более чем на 25% при вдохе.</w:t>
      </w:r>
    </w:p>
    <w:p>
      <w:pPr>
        <w:pStyle w:val="Style92"/>
        <w:widowControl w:val="0"/>
        <w:keepNext/>
        <w:keepLines/>
        <w:shd w:val="clear" w:color="auto" w:fill="auto"/>
        <w:bidi w:val="0"/>
        <w:spacing w:before="0" w:after="0"/>
        <w:ind w:left="0" w:right="0" w:firstLine="280"/>
      </w:pPr>
      <w:bookmarkStart w:id="508" w:name="bookmark508"/>
      <w:r>
        <w:rPr>
          <w:lang w:val="ru-RU" w:eastAsia="ru-RU" w:bidi="ru-RU"/>
          <w:w w:val="100"/>
          <w:spacing w:val="0"/>
          <w:color w:val="000000"/>
          <w:position w:val="0"/>
        </w:rPr>
        <w:t>Дифференциальная диагностика констриктивного пери</w:t>
        <w:softHyphen/>
        <w:t>кардита</w:t>
      </w:r>
      <w:bookmarkEnd w:id="50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Наибольшие трудности для кардиологов представляет дифференциальная диагностика констриктивного пери</w:t>
        <w:softHyphen/>
        <w:t>кардита от рестриктивной кардиомиопатии (табл. 20).</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Дифференциальная диагностика по гемодинамическим показателям, полученным при проведении катетеризации, приведена в табл. 21.</w:t>
      </w:r>
    </w:p>
    <w:p>
      <w:pPr>
        <w:pStyle w:val="Style92"/>
        <w:widowControl w:val="0"/>
        <w:keepNext/>
        <w:keepLines/>
        <w:shd w:val="clear" w:color="auto" w:fill="auto"/>
        <w:bidi w:val="0"/>
        <w:spacing w:before="0" w:after="0"/>
        <w:ind w:left="0" w:right="0" w:firstLine="280"/>
      </w:pPr>
      <w:bookmarkStart w:id="509" w:name="bookmark509"/>
      <w:r>
        <w:rPr>
          <w:lang w:val="ru-RU" w:eastAsia="ru-RU" w:bidi="ru-RU"/>
          <w:w w:val="100"/>
          <w:spacing w:val="0"/>
          <w:color w:val="000000"/>
          <w:position w:val="0"/>
        </w:rPr>
        <w:t>Лечение</w:t>
      </w:r>
      <w:bookmarkEnd w:id="50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констриктивного перикардита только хирурги</w:t>
        <w:softHyphen/>
        <w:t>ческое. Медикаментозную коррекцию проводят при невоз</w:t>
        <w:softHyphen/>
        <w:t>можности оперативного лечения и в период подготовки к операции.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порядке подготовки к операции перикардэктомии про</w:t>
        <w:softHyphen/>
        <w:t>водят энергичное этиотропное и неспецифическое лечение с целью подавления активного воспалительного процесса.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уменьшения явлений недостаточности кровообра</w:t>
        <w:softHyphen/>
        <w:t>щения, ликвидации отеков и асцита, снижения венозного давления (хотя бы до уровня 180-220 мм вод. ст.) назначают полупостельный режим, диету, бедную натрием, эффектив</w:t>
        <w:softHyphen/>
        <w:t>ные комбинации мочегонных средств.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Обязательна инотропная поддержка для предупрежде</w:t>
        <w:softHyphen/>
        <w:t>ния правожелудочковой декомпенсации (добутамин, сер</w:t>
        <w:softHyphen/>
        <w:t>дечные гликозиды).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Показано назначение гепатопротекторов.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Перикардэктомия.</w:t>
      </w:r>
    </w:p>
    <w:p>
      <w:pPr>
        <w:pStyle w:val="Style30"/>
        <w:widowControl w:val="0"/>
        <w:keepNext w:val="0"/>
        <w:keepLines w:val="0"/>
        <w:shd w:val="clear" w:color="auto" w:fill="auto"/>
        <w:bidi w:val="0"/>
        <w:spacing w:before="0" w:after="193"/>
        <w:ind w:left="0" w:right="0" w:firstLine="280"/>
      </w:pPr>
      <w:r>
        <w:rPr>
          <w:lang w:val="ru-RU" w:eastAsia="ru-RU" w:bidi="ru-RU"/>
          <w:w w:val="100"/>
          <w:spacing w:val="0"/>
          <w:color w:val="000000"/>
          <w:position w:val="0"/>
        </w:rPr>
        <w:t>Послеоперационный период у больных, перенесших пе- рикардэктомию, нередко протекает тяжело, больным тре</w:t>
        <w:softHyphen/>
        <w:t>буется регулярное лечение сердечными гликозидами, они крайне плохо переносят инфузионную терапию. Положи</w:t>
        <w:softHyphen/>
        <w:t>тельный эффект вмешательства сказывается в полной мере только после 4-6 мес планомерной реабилитации.</w:t>
      </w:r>
    </w:p>
    <w:p>
      <w:pPr>
        <w:pStyle w:val="Style48"/>
        <w:widowControl w:val="0"/>
        <w:keepNext/>
        <w:keepLines/>
        <w:shd w:val="clear" w:color="auto" w:fill="auto"/>
        <w:bidi w:val="0"/>
        <w:jc w:val="left"/>
        <w:spacing w:before="0" w:after="97" w:line="200" w:lineRule="exact"/>
        <w:ind w:left="0" w:right="0" w:firstLine="0"/>
      </w:pPr>
      <w:bookmarkStart w:id="510" w:name="bookmark510"/>
      <w:r>
        <w:rPr>
          <w:lang w:val="ru-RU" w:eastAsia="ru-RU" w:bidi="ru-RU"/>
          <w:w w:val="100"/>
          <w:spacing w:val="0"/>
          <w:color w:val="000000"/>
          <w:position w:val="0"/>
        </w:rPr>
        <w:t>Отдельные формы перикардитов</w:t>
      </w:r>
      <w:bookmarkEnd w:id="510"/>
    </w:p>
    <w:p>
      <w:pPr>
        <w:pStyle w:val="Style30"/>
        <w:widowControl w:val="0"/>
        <w:keepNext w:val="0"/>
        <w:keepLines w:val="0"/>
        <w:shd w:val="clear" w:color="auto" w:fill="auto"/>
        <w:bidi w:val="0"/>
        <w:spacing w:before="0" w:after="0"/>
        <w:ind w:left="0" w:right="0" w:firstLine="280"/>
        <w:sectPr>
          <w:type w:val="continuous"/>
          <w:pgSz w:w="11900" w:h="16840"/>
          <w:pgMar w:top="1559" w:left="1019" w:right="994" w:bottom="1737" w:header="0" w:footer="3" w:gutter="0"/>
          <w:rtlGutter w:val="0"/>
          <w:cols w:num="2" w:space="193"/>
          <w:noEndnote/>
          <w:docGrid w:linePitch="360"/>
        </w:sectPr>
      </w:pPr>
      <w:r>
        <w:rPr>
          <w:lang w:val="ru-RU" w:eastAsia="ru-RU" w:bidi="ru-RU"/>
          <w:w w:val="100"/>
          <w:spacing w:val="0"/>
          <w:color w:val="000000"/>
          <w:position w:val="0"/>
        </w:rPr>
        <w:t>Вирусные перикардиты возникают чаще, чем их удается верифицировать. Во время эпидемии гриппа в 1918-1920 гг. («испанка») у каждого четвертого умершего обнаруживали</w:t>
      </w:r>
    </w:p>
    <w:p>
      <w:pPr>
        <w:widowControl w:val="0"/>
        <w:rPr>
          <w:sz w:val="2"/>
          <w:szCs w:val="2"/>
        </w:rPr>
      </w:pPr>
      <w:r>
        <w:pict>
          <v:shape id="_x0000_s1511" type="#_x0000_t202" style="position:static;width:595.pt;height:67.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512" type="#_x0000_t75" style="position:absolute;margin-left:131.45pt;margin-top:0;width:209.75pt;height:14.9pt;z-index:-251658680;mso-wrap-distance-left:5.pt;mso-wrap-distance-right:5.pt;mso-position-horizontal-relative:margin" wrapcoords="0 0">
            <v:imagedata r:id="rId804" r:href="rId805"/>
            <w10:wrap anchorx="margin"/>
          </v:shape>
        </w:pict>
      </w:r>
    </w:p>
    <w:p>
      <w:pPr>
        <w:widowControl w:val="0"/>
        <w:rPr>
          <w:sz w:val="2"/>
          <w:szCs w:val="2"/>
        </w:rPr>
        <w:sectPr>
          <w:type w:val="continuous"/>
          <w:pgSz w:w="11900" w:h="16840"/>
          <w:pgMar w:top="1468" w:left="1124" w:right="898" w:bottom="192" w:header="0" w:footer="3" w:gutter="0"/>
          <w:rtlGutter w:val="0"/>
          <w:cols w:space="720"/>
          <w:noEndnote/>
          <w:docGrid w:linePitch="360"/>
        </w:sectPr>
      </w:pPr>
    </w:p>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 xml:space="preserve">Критерии дифференциальной диагностики от рестриктивной КМП </w:t>
      </w:r>
      <w:r>
        <w:rPr>
          <w:lang w:val="en-US" w:eastAsia="en-US" w:bidi="en-US"/>
          <w:w w:val="100"/>
          <w:spacing w:val="0"/>
          <w:color w:val="000000"/>
          <w:position w:val="0"/>
        </w:rPr>
        <w:t xml:space="preserve">(Kushwaha et al., </w:t>
      </w:r>
      <w:r>
        <w:rPr>
          <w:lang w:val="ru-RU" w:eastAsia="ru-RU" w:bidi="ru-RU"/>
          <w:w w:val="100"/>
          <w:spacing w:val="0"/>
          <w:color w:val="000000"/>
          <w:position w:val="0"/>
        </w:rPr>
        <w:t>1997)</w:t>
      </w:r>
    </w:p>
    <w:p>
      <w:pPr>
        <w:pStyle w:val="Style139"/>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Таблица 20</w:t>
      </w:r>
    </w:p>
    <w:tbl>
      <w:tblPr>
        <w:tblOverlap w:val="never"/>
        <w:tblLayout w:type="fixed"/>
        <w:jc w:val="center"/>
      </w:tblPr>
      <w:tblGrid>
        <w:gridCol w:w="2078"/>
        <w:gridCol w:w="4162"/>
        <w:gridCol w:w="3643"/>
      </w:tblGrid>
      <w:tr>
        <w:trPr>
          <w:trHeight w:val="821"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Данные физикального об</w:t>
              <w:softHyphen/>
              <w:t>следования</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Признак Куссмауля может присутствовать. Верхушечный ипульс может быть усиленным Определяется третий и реже четвертый тон Характерны регургитантные шумы</w:t>
            </w:r>
          </w:p>
        </w:tc>
        <w:tc>
          <w:tcPr>
            <w:shd w:val="clear" w:color="auto" w:fill="FFFFFF"/>
            <w:tcBorders>
              <w:left w:val="single" w:sz="4"/>
              <w:righ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Всегда присутствует признак Куссмауля Верхушечный толчок обычно не определяется Определяются перикардиальные хонки Регургитантные шумы не характерны</w:t>
            </w:r>
          </w:p>
        </w:tc>
      </w:tr>
      <w:tr>
        <w:trPr>
          <w:trHeight w:val="811"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ЭКГ</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Низкий вольтаж (особенно при амилоидозе) ЭКГ-картина псевдоинфаркта</w:t>
            </w:r>
          </w:p>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Характерно отклонение электрической оси сердца, мер</w:t>
              <w:softHyphen/>
              <w:t>цательная аритмия нарушения проводимости</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Низкий вольтаж (у 50%)</w:t>
            </w:r>
          </w:p>
        </w:tc>
      </w:tr>
      <w:tr>
        <w:trPr>
          <w:trHeight w:val="1781"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ЭхоКГ</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Увеличение толщины миокарда, особенно толщины межпредсердной перегородки при амилоидозе Утолщение створок клапана (особенно при амилоидозе) Гранулярная текстура миокарда</w:t>
            </w:r>
          </w:p>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Уменьшение трансмитрального и транстрикуспидально - го кровотока при вдохе</w:t>
            </w:r>
          </w:p>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Реверсия диастолического кровотока в портальной вене при вдохе</w:t>
            </w:r>
          </w:p>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Характерна митральная и трикуспидальная регургитации</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Нормальная толщина миокардиальных стенок Утолщение перикарда</w:t>
            </w:r>
          </w:p>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Увеличенное раннее диастолическое наполнение с быстрым перемещением МЖП Увеличение систолического потока ПЖ и умень</w:t>
              <w:softHyphen/>
              <w:t>шение систолического потока ЛЖ при вдохе Реверсия диастолического потока в портальной вене при вдохе</w:t>
            </w:r>
          </w:p>
        </w:tc>
      </w:tr>
      <w:tr>
        <w:trPr>
          <w:trHeight w:val="816"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Катетеризация сердца</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 xml:space="preserve">LVEDP </w:t>
            </w:r>
            <w:r>
              <w:rPr>
                <w:lang w:val="ru-RU" w:eastAsia="ru-RU" w:bidi="ru-RU"/>
                <w:w w:val="100"/>
                <w:spacing w:val="0"/>
                <w:color w:val="000000"/>
                <w:position w:val="0"/>
              </w:rPr>
              <w:t xml:space="preserve">чаще &gt;на 5 мм </w:t>
            </w:r>
            <w:r>
              <w:rPr>
                <w:lang w:val="en-US" w:eastAsia="en-US" w:bidi="en-US"/>
                <w:w w:val="100"/>
                <w:spacing w:val="0"/>
                <w:color w:val="000000"/>
                <w:position w:val="0"/>
              </w:rPr>
              <w:t xml:space="preserve">Hg </w:t>
            </w:r>
            <w:r>
              <w:rPr>
                <w:lang w:val="ru-RU" w:eastAsia="ru-RU" w:bidi="ru-RU"/>
                <w:w w:val="100"/>
                <w:spacing w:val="0"/>
                <w:color w:val="000000"/>
                <w:position w:val="0"/>
              </w:rPr>
              <w:t xml:space="preserve">чем </w:t>
            </w:r>
            <w:r>
              <w:rPr>
                <w:lang w:val="en-US" w:eastAsia="en-US" w:bidi="en-US"/>
                <w:w w:val="100"/>
                <w:spacing w:val="0"/>
                <w:color w:val="000000"/>
                <w:position w:val="0"/>
              </w:rPr>
              <w:t xml:space="preserve">RVEDP </w:t>
            </w:r>
            <w:r>
              <w:rPr>
                <w:lang w:val="ru-RU" w:eastAsia="ru-RU" w:bidi="ru-RU"/>
                <w:w w:val="100"/>
                <w:spacing w:val="0"/>
                <w:color w:val="000000"/>
                <w:position w:val="0"/>
              </w:rPr>
              <w:t>или эквивалентны</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en-US" w:eastAsia="en-US" w:bidi="en-US"/>
                <w:w w:val="100"/>
                <w:spacing w:val="0"/>
                <w:color w:val="000000"/>
                <w:position w:val="0"/>
              </w:rPr>
              <w:t>RVEDP=LVEDP</w:t>
            </w:r>
          </w:p>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en-US" w:eastAsia="en-US" w:bidi="en-US"/>
                <w:w w:val="100"/>
                <w:spacing w:val="0"/>
                <w:color w:val="000000"/>
                <w:position w:val="0"/>
              </w:rPr>
              <w:t xml:space="preserve">RV </w:t>
            </w:r>
            <w:r>
              <w:rPr>
                <w:lang w:val="ru-RU" w:eastAsia="ru-RU" w:bidi="ru-RU"/>
                <w:w w:val="100"/>
                <w:spacing w:val="0"/>
                <w:color w:val="000000"/>
                <w:position w:val="0"/>
              </w:rPr>
              <w:t>систолическое давление&lt;50 мм рт. ст.</w:t>
            </w:r>
          </w:p>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en-US" w:eastAsia="en-US" w:bidi="en-US"/>
                <w:w w:val="100"/>
                <w:spacing w:val="0"/>
                <w:color w:val="000000"/>
                <w:position w:val="0"/>
              </w:rPr>
              <w:t xml:space="preserve">RVEDP </w:t>
            </w:r>
            <w:r>
              <w:rPr>
                <w:lang w:val="ru-RU" w:eastAsia="ru-RU" w:bidi="ru-RU"/>
                <w:w w:val="100"/>
                <w:spacing w:val="0"/>
                <w:color w:val="000000"/>
                <w:position w:val="0"/>
              </w:rPr>
              <w:t>больше 1/3 систолического давления в пр ж</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Эндомиокардиальная би</w:t>
              <w:softHyphen/>
              <w:t>опсия</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Может выявить специфическую причину КМП</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Не изменена или выявляется неспецифическая гипертрофия и фиброз миокардиальных волокон</w:t>
            </w:r>
          </w:p>
        </w:tc>
      </w:tr>
      <w:tr>
        <w:trPr>
          <w:trHeight w:val="245" w:hRule="exact"/>
        </w:trPr>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Компьютерная томография</w:t>
            </w:r>
          </w:p>
        </w:tc>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Перикард не изменен</w:t>
            </w:r>
          </w:p>
        </w:tc>
        <w:tc>
          <w:tcPr>
            <w:shd w:val="clear" w:color="auto" w:fill="FFFFFF"/>
            <w:tcBorders>
              <w:left w:val="single" w:sz="4"/>
              <w:righ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Перикард утолщен</w:t>
            </w:r>
          </w:p>
        </w:tc>
      </w:tr>
    </w:tbl>
    <w:p>
      <w:pPr>
        <w:framePr w:w="9883" w:wrap="notBeside" w:vAnchor="text" w:hAnchor="text" w:xAlign="center" w:y="1"/>
        <w:widowControl w:val="0"/>
        <w:rPr>
          <w:sz w:val="2"/>
          <w:szCs w:val="2"/>
        </w:rPr>
      </w:pPr>
    </w:p>
    <w:p>
      <w:pPr>
        <w:widowControl w:val="0"/>
        <w:rPr>
          <w:sz w:val="2"/>
          <w:szCs w:val="2"/>
        </w:rPr>
      </w:pPr>
    </w:p>
    <w:p>
      <w:pPr>
        <w:pStyle w:val="Style139"/>
        <w:framePr w:w="9883" w:wrap="notBeside" w:vAnchor="text" w:hAnchor="text" w:xAlign="center" w:y="1"/>
        <w:widowControl w:val="0"/>
        <w:keepNext w:val="0"/>
        <w:keepLines w:val="0"/>
        <w:shd w:val="clear" w:color="auto" w:fill="auto"/>
        <w:bidi w:val="0"/>
        <w:spacing w:before="0" w:after="0" w:line="216" w:lineRule="exact"/>
        <w:ind w:left="0" w:right="0" w:firstLine="0"/>
      </w:pPr>
      <w:r>
        <w:rPr>
          <w:lang w:val="ru-RU" w:eastAsia="ru-RU" w:bidi="ru-RU"/>
          <w:w w:val="100"/>
          <w:spacing w:val="0"/>
          <w:color w:val="000000"/>
          <w:position w:val="0"/>
        </w:rPr>
        <w:t>Таблица 21</w:t>
      </w:r>
    </w:p>
    <w:p>
      <w:pPr>
        <w:pStyle w:val="Style96"/>
        <w:framePr w:w="9883" w:wrap="notBeside" w:vAnchor="text" w:hAnchor="text" w:xAlign="center" w:y="1"/>
        <w:widowControl w:val="0"/>
        <w:keepNext w:val="0"/>
        <w:keepLines w:val="0"/>
        <w:shd w:val="clear" w:color="auto" w:fill="auto"/>
        <w:bidi w:val="0"/>
        <w:jc w:val="center"/>
        <w:spacing w:before="0" w:after="0" w:line="216" w:lineRule="exact"/>
        <w:ind w:left="0" w:right="0" w:firstLine="0"/>
      </w:pPr>
      <w:r>
        <w:rPr>
          <w:lang w:val="ru-RU" w:eastAsia="ru-RU" w:bidi="ru-RU"/>
          <w:w w:val="100"/>
          <w:spacing w:val="0"/>
          <w:color w:val="000000"/>
          <w:position w:val="0"/>
        </w:rPr>
        <w:t xml:space="preserve">Дифференциальный диагноз констриктивного перикардита и рестриктивной кардиомиопатии по данным катетеризации полостей сердца (по </w:t>
      </w:r>
      <w:r>
        <w:rPr>
          <w:lang w:val="en-US" w:eastAsia="en-US" w:bidi="en-US"/>
          <w:w w:val="100"/>
          <w:spacing w:val="0"/>
          <w:color w:val="000000"/>
          <w:position w:val="0"/>
        </w:rPr>
        <w:t xml:space="preserve">J.F. Alpert </w:t>
      </w:r>
      <w:r>
        <w:rPr>
          <w:lang w:val="ru-RU" w:eastAsia="ru-RU" w:bidi="ru-RU"/>
          <w:w w:val="100"/>
          <w:spacing w:val="0"/>
          <w:color w:val="000000"/>
          <w:position w:val="0"/>
        </w:rPr>
        <w:t xml:space="preserve">и </w:t>
      </w:r>
      <w:r>
        <w:rPr>
          <w:lang w:val="en-US" w:eastAsia="en-US" w:bidi="en-US"/>
          <w:w w:val="100"/>
          <w:spacing w:val="0"/>
          <w:color w:val="000000"/>
          <w:position w:val="0"/>
        </w:rPr>
        <w:t xml:space="preserve">J.M. Rippe, </w:t>
      </w:r>
      <w:r>
        <w:rPr>
          <w:lang w:val="ru-RU" w:eastAsia="ru-RU" w:bidi="ru-RU"/>
          <w:w w:val="100"/>
          <w:spacing w:val="0"/>
          <w:color w:val="000000"/>
          <w:position w:val="0"/>
        </w:rPr>
        <w:t>1995)</w:t>
      </w:r>
    </w:p>
    <w:tbl>
      <w:tblPr>
        <w:tblOverlap w:val="never"/>
        <w:tblLayout w:type="fixed"/>
        <w:jc w:val="center"/>
      </w:tblPr>
      <w:tblGrid>
        <w:gridCol w:w="2486"/>
        <w:gridCol w:w="3845"/>
        <w:gridCol w:w="3552"/>
      </w:tblGrid>
      <w:tr>
        <w:trPr>
          <w:trHeight w:val="245" w:hRule="exact"/>
        </w:trPr>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Параметр</w:t>
            </w:r>
          </w:p>
        </w:tc>
        <w:tc>
          <w:tcPr>
            <w:shd w:val="clear" w:color="auto" w:fill="FFFFFF"/>
            <w:tcBorders>
              <w:lef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Констриктивный перикардит</w:t>
            </w:r>
          </w:p>
        </w:tc>
        <w:tc>
          <w:tcPr>
            <w:shd w:val="clear" w:color="auto" w:fill="FFFFFF"/>
            <w:tcBorders>
              <w:left w:val="single" w:sz="4"/>
              <w:right w:val="single" w:sz="4"/>
              <w:top w:val="single" w:sz="4"/>
            </w:tcBorders>
            <w:vAlign w:val="bottom"/>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Рестриктивная кардиомиопатия</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Давление в правом предсердии</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Всегда более 15 мм рт. ст.</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Обычно меньше 15 мм рт. ст., если легочное ка</w:t>
              <w:softHyphen/>
              <w:t>пиллярное давление заклинивания нормальное</w:t>
            </w:r>
          </w:p>
        </w:tc>
      </w:tr>
      <w:tr>
        <w:trPr>
          <w:trHeight w:val="634"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Давление в правом желудочке</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Всегда присутствует симптом квадратного корня. Конечно диастолическое давление &gt; 1/3 систоличе</w:t>
              <w:softHyphen/>
              <w:t>ского давления</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Симптом квадратного корня может исчезать при проведении терапии</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Легочное артериальное давление</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Систолическое давление обычно меньше 40 мм рт. ст.</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Систолическое давление обычно больше 40 мм рт. ст.</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Давление в левом предсердии</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Приблизительно эквивалентно давлению в правом предсердии</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На 10-20 мм рт. ст. выше, чем давление в правом предсердии</w:t>
            </w:r>
          </w:p>
        </w:tc>
      </w:tr>
      <w:tr>
        <w:trPr>
          <w:trHeight w:val="240"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Сердечный выброс</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Обычно нормальный</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Обычно снижен</w:t>
            </w:r>
          </w:p>
        </w:tc>
      </w:tr>
      <w:tr>
        <w:trPr>
          <w:trHeight w:val="432" w:hRule="exact"/>
        </w:trPr>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Насыщение кислородом крови в легочной артерии</w:t>
            </w:r>
          </w:p>
        </w:tc>
        <w:tc>
          <w:tcPr>
            <w:shd w:val="clear" w:color="auto" w:fill="FFFFFF"/>
            <w:tcBorders>
              <w:lef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Обычно нормальное</w:t>
            </w:r>
          </w:p>
        </w:tc>
        <w:tc>
          <w:tcPr>
            <w:shd w:val="clear" w:color="auto" w:fill="FFFFFF"/>
            <w:tcBorders>
              <w:left w:val="single" w:sz="4"/>
              <w:right w:val="single" w:sz="4"/>
              <w:top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Обычно сниженное</w:t>
            </w:r>
          </w:p>
        </w:tc>
      </w:tr>
      <w:tr>
        <w:trPr>
          <w:trHeight w:val="442" w:hRule="exact"/>
        </w:trPr>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Дыхательные вариации показате</w:t>
              <w:softHyphen/>
              <w:t>лей при проведении процедуры</w:t>
            </w:r>
          </w:p>
        </w:tc>
        <w:tc>
          <w:tcPr>
            <w:shd w:val="clear" w:color="auto" w:fill="FFFFFF"/>
            <w:tcBorders>
              <w:lef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Обычно отсутствуют</w:t>
            </w:r>
          </w:p>
        </w:tc>
        <w:tc>
          <w:tcPr>
            <w:shd w:val="clear" w:color="auto" w:fill="FFFFFF"/>
            <w:tcBorders>
              <w:left w:val="single" w:sz="4"/>
              <w:right w:val="single" w:sz="4"/>
              <w:top w:val="single" w:sz="4"/>
              <w:bottom w:val="single" w:sz="4"/>
            </w:tcBorders>
            <w:vAlign w:val="top"/>
          </w:tcPr>
          <w:p>
            <w:pPr>
              <w:pStyle w:val="Style30"/>
              <w:framePr w:w="9883"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Обычно имеются</w:t>
            </w:r>
          </w:p>
        </w:tc>
      </w:tr>
    </w:tbl>
    <w:p>
      <w:pPr>
        <w:framePr w:w="9883" w:wrap="notBeside" w:vAnchor="text" w:hAnchor="text" w:xAlign="center" w:y="1"/>
        <w:widowControl w:val="0"/>
        <w:rPr>
          <w:sz w:val="2"/>
          <w:szCs w:val="2"/>
        </w:rPr>
      </w:pPr>
    </w:p>
    <w:p>
      <w:pPr>
        <w:widowControl w:val="0"/>
        <w:rPr>
          <w:sz w:val="2"/>
          <w:szCs w:val="2"/>
        </w:rPr>
      </w:pPr>
    </w:p>
    <w:p>
      <w:pPr>
        <w:widowControl w:val="0"/>
        <w:rPr>
          <w:sz w:val="2"/>
          <w:szCs w:val="2"/>
        </w:rPr>
        <w:sectPr>
          <w:pgSz w:w="11900" w:h="16840"/>
          <w:pgMar w:top="1769" w:left="888" w:right="1123" w:bottom="132" w:header="0" w:footer="3" w:gutter="0"/>
          <w:rtlGutter w:val="0"/>
          <w:cols w:space="720"/>
          <w:noEndnote/>
          <w:docGrid w:linePitch="360"/>
        </w:sectPr>
      </w:pPr>
    </w:p>
    <w:p>
      <w:pPr>
        <w:widowControl w:val="0"/>
        <w:spacing w:before="12" w:after="12" w:line="240" w:lineRule="exact"/>
        <w:rPr>
          <w:sz w:val="19"/>
          <w:szCs w:val="19"/>
        </w:rPr>
      </w:pPr>
    </w:p>
    <w:p>
      <w:pPr>
        <w:widowControl w:val="0"/>
        <w:rPr>
          <w:sz w:val="2"/>
          <w:szCs w:val="2"/>
        </w:rPr>
        <w:sectPr>
          <w:type w:val="continuous"/>
          <w:pgSz w:w="11900" w:h="16840"/>
          <w:pgMar w:top="1569" w:left="0" w:right="0" w:bottom="1751" w:header="0" w:footer="3" w:gutter="0"/>
          <w:rtlGutter w:val="0"/>
          <w:cols w:space="720"/>
          <w:noEndnote/>
          <w:docGrid w:linePitch="360"/>
        </w:sectPr>
      </w:pPr>
    </w:p>
    <w:p>
      <w:pPr>
        <w:widowControl w:val="0"/>
        <w:rPr>
          <w:sz w:val="2"/>
          <w:szCs w:val="2"/>
        </w:rPr>
      </w:pPr>
      <w:r>
        <w:pict>
          <v:shape id="_x0000_s1513" type="#_x0000_t75" style="position:absolute;margin-left:142.4pt;margin-top:241.2pt;width:209.75pt;height:14.9pt;z-index:-125829053;mso-wrap-distance-left:148.1pt;mso-wrap-distance-right:136.55pt;mso-wrap-distance-bottom:10.8pt;mso-position-horizontal-relative:margin" wrapcoords="0 0 21600 0 21600 21600 0 21600 0 0">
            <v:imagedata r:id="rId806" r:href="rId807"/>
            <w10:wrap type="topAndBottom" anchorx="margin"/>
          </v:shape>
        </w:pic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перикардит (обычно вирусно-бактериальной природы). В последние десятилетия хорошо изучен перикардит, вызы</w:t>
        <w:softHyphen/>
        <w:t>ваемый вирусом гриппа группы А или В. Поражение сердца при гриппе (обычно миоперикардит) может выступать на первый план и при отсутствии специальных серологичес</w:t>
        <w:softHyphen/>
        <w:t>ких и вирусологических исследований как идиопатичес</w:t>
        <w:softHyphen/>
        <w:t>кий, острый неспецифический или доброкачественный пе</w:t>
        <w:softHyphen/>
        <w:t>рикардит.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Возбудителем острого перикардита может быть вирус Коксаки, причем в ряде случаев симптомы перикардита яв</w:t>
        <w:softHyphen/>
        <w:t>ляются главенствующими в проявлениях болезни. Напро</w:t>
        <w:softHyphen/>
        <w:t>тив, при инфекционном мононуклеозе, хотя сердце пора</w:t>
        <w:softHyphen/>
        <w:t>жается часто, перикардит возникает редко.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Описаны случаи перикардита при натуральной оспе, эпидемическом паротите, ветряной оспе, аденовирусных инфекциях.</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Предполагалась вирусная этиология так называемого острого доброкачественного или идиопатического пери</w:t>
        <w:softHyphen/>
        <w:t>кардита, который в качестве особой формы был описан Барнсом и Борчеллом в 1942 г. Вирусная природа заболева</w:t>
        <w:softHyphen/>
        <w:t>ния допускалась ввиду отсутствия микробного возбудителя и с учетом того, что такому перикардиту обычно предшест</w:t>
        <w:softHyphen/>
        <w:t>вует инфекция верхних дыхательных путей. С расширением диагностических возможностей случаи идиопатического перикардита нашли различное этиологическое объяснение: часть из них имеет аллергическую природу.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настоящее время предполагается вирусная этиология острых неспецифических перикардитов, поскольку возни</w:t>
        <w:softHyphen/>
        <w:t>кают они, как правило, после перенесенной острой респи</w:t>
        <w:softHyphen/>
        <w:t>раторной инфекции. В некоторых случаях может быть опре</w:t>
        <w:softHyphen/>
        <w:t>делен конкретный возбудитель. Перикардит, как правило, возникает отсроченно, его появление сопровождается лихо-</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радкой, анорексией, болью в области сердца. У детей отме</w:t>
        <w:softHyphen/>
        <w:t>чаются также одышка и тахикардия. В анализе крови — по- лиморфонуклеарный лейкоцитоз. На ЭКГ — снижение вольтажа желудочкового комплекса, ишемические измене - ния, нередко — признаки перегрузки предсердий. В боль</w:t>
        <w:softHyphen/>
        <w:t>шинстве случаев выпот в перикард небольшой. Возникно</w:t>
        <w:softHyphen/>
        <w:t>вение тампонады сердца или констриктивного перикардита отмечается крайне редко. Обычно даже без лечения наблю</w:t>
        <w:softHyphen/>
        <w:t>дается самопроизвольное выздоровление через 2-4 недели.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Лечение симптоматическое. Назначают нестероидные противовоспалительные средства: </w:t>
      </w:r>
      <w:r>
        <w:rPr>
          <w:lang w:val="en-US" w:eastAsia="en-US" w:bidi="en-US"/>
          <w:w w:val="100"/>
          <w:spacing w:val="0"/>
          <w:color w:val="000000"/>
          <w:position w:val="0"/>
        </w:rPr>
        <w:t xml:space="preserve">Ibuprafen (Motrin, Ibuprin) </w:t>
      </w:r>
      <w:r>
        <w:rPr>
          <w:lang w:val="ru-RU" w:eastAsia="ru-RU" w:bidi="ru-RU"/>
          <w:w w:val="100"/>
          <w:spacing w:val="0"/>
          <w:color w:val="000000"/>
          <w:position w:val="0"/>
        </w:rPr>
        <w:t xml:space="preserve">в дозе 10 мг/кг в сутки; </w:t>
      </w:r>
      <w:r>
        <w:rPr>
          <w:lang w:val="en-US" w:eastAsia="en-US" w:bidi="en-US"/>
          <w:w w:val="100"/>
          <w:spacing w:val="0"/>
          <w:color w:val="000000"/>
          <w:position w:val="0"/>
        </w:rPr>
        <w:t xml:space="preserve">Naproxen (Aleve, Anaprox, Naprosyn) </w:t>
      </w:r>
      <w:r>
        <w:rPr>
          <w:lang w:val="ru-RU" w:eastAsia="ru-RU" w:bidi="ru-RU"/>
          <w:w w:val="100"/>
          <w:spacing w:val="0"/>
          <w:color w:val="000000"/>
          <w:position w:val="0"/>
        </w:rPr>
        <w:t xml:space="preserve">в дозе детям старше двух лет — 10 мг/кг в сутки в 2 приема; </w:t>
      </w:r>
      <w:r>
        <w:rPr>
          <w:lang w:val="en-US" w:eastAsia="en-US" w:bidi="en-US"/>
          <w:w w:val="100"/>
          <w:spacing w:val="0"/>
          <w:color w:val="000000"/>
          <w:position w:val="0"/>
        </w:rPr>
        <w:t xml:space="preserve">Diclofenac sodium (Cataflam, Voltaren) — 1-3 </w:t>
      </w:r>
      <w:r>
        <w:rPr>
          <w:lang w:val="ru-RU" w:eastAsia="ru-RU" w:bidi="ru-RU"/>
          <w:w w:val="100"/>
          <w:spacing w:val="0"/>
          <w:color w:val="000000"/>
          <w:position w:val="0"/>
        </w:rPr>
        <w:t xml:space="preserve">мг/кг в сутки в два приема; </w:t>
      </w:r>
      <w:r>
        <w:rPr>
          <w:lang w:val="en-US" w:eastAsia="en-US" w:bidi="en-US"/>
          <w:w w:val="100"/>
          <w:spacing w:val="0"/>
          <w:color w:val="000000"/>
          <w:position w:val="0"/>
        </w:rPr>
        <w:t xml:space="preserve">Indomethacin (Indocin) </w:t>
      </w:r>
      <w:r>
        <w:rPr>
          <w:lang w:val="ru-RU" w:eastAsia="ru-RU" w:bidi="ru-RU"/>
          <w:w w:val="100"/>
          <w:spacing w:val="0"/>
          <w:color w:val="000000"/>
          <w:position w:val="0"/>
        </w:rPr>
        <w:t>— 0,3-3 мг/кг в сутки в 3 приема.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пору высокой заболеваемости ревматизмом признаки перикардита появлялись обычно на 1-2 неделе суставной атаки, при рецидивах полиартрита — на 3-4 неделе. При кардиальной форме ревматизма перикардит развива</w:t>
        <w:softHyphen/>
        <w:t>ется с первых дней клинических проявлений болезни. Большие перикардиальные выпоты представляют исклю</w:t>
        <w:softHyphen/>
        <w:t>чение, тампонада сердца у взрослых почти никогда не раз</w:t>
        <w:softHyphen/>
        <w:t>вивается. Увеличение границ тупости обусловлено не толь</w:t>
        <w:softHyphen/>
        <w:t>ко накоплением выпота, но и дилатацией самого сердца. Выпотной перикардит при ревматизме служит неблагопри</w:t>
        <w:softHyphen/>
        <w:t>ятным прогностическим признаком, особенно если выпот становится геморрагическим.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Ревматический перикардит относится к проявлениям се- розита. Ревматическую этиологию перикардита можно установить на основании сопутствующего миокардита, по</w:t>
        <w:softHyphen/>
        <w:t xml:space="preserve">лиартрита и других клинических проявлений ревматизма, удлинения интервала </w:t>
      </w:r>
      <w:r>
        <w:rPr>
          <w:lang w:val="en-US" w:eastAsia="en-US" w:bidi="en-US"/>
          <w:w w:val="100"/>
          <w:spacing w:val="0"/>
          <w:color w:val="000000"/>
          <w:position w:val="0"/>
        </w:rPr>
        <w:t xml:space="preserve">РQ </w:t>
      </w:r>
      <w:r>
        <w:rPr>
          <w:lang w:val="ru-RU" w:eastAsia="ru-RU" w:bidi="ru-RU"/>
          <w:w w:val="100"/>
          <w:spacing w:val="0"/>
          <w:color w:val="000000"/>
          <w:position w:val="0"/>
        </w:rPr>
        <w:t xml:space="preserve">на ЭКГ, повышения гиалурони- дазной активности сыворотки, увеличения содержания </w:t>
      </w:r>
      <w:r>
        <w:rPr>
          <w:lang w:val="en-US" w:eastAsia="en-US" w:bidi="en-US"/>
          <w:w w:val="100"/>
          <w:spacing w:val="0"/>
          <w:color w:val="000000"/>
          <w:position w:val="0"/>
        </w:rPr>
        <w:t xml:space="preserve">g- </w:t>
      </w:r>
      <w:r>
        <w:rPr>
          <w:lang w:val="ru-RU" w:eastAsia="ru-RU" w:bidi="ru-RU"/>
          <w:w w:val="100"/>
          <w:spacing w:val="0"/>
          <w:color w:val="000000"/>
          <w:position w:val="0"/>
        </w:rPr>
        <w:t>глобулинов и иммуноглобулинов, высокого титра анти- стрептолизина. В картине крови — нейтрофильный лейко</w:t>
        <w:softHyphen/>
        <w:t>цитоз, ускоренная СОЭ.</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Вовлечение перикарда при ревмокардите обозначает вы</w:t>
        <w:softHyphen/>
        <w:t>сокую степень активности процесса и дает основание диа</w:t>
        <w:softHyphen/>
        <w:t>гностировать ее III степень (панкардит). Сухой перикардит встречается при ревматизме втрое чаще, чем экссудатив</w:t>
        <w:softHyphen/>
        <w:t>ный. При обострении ревматического процесса возникает лихорадка. Шум трения перикарда выслушивается в 3-4-м межреберье слева у основания сердца, по характеру скребу</w:t>
        <w:softHyphen/>
        <w:t>щий, царапающий, мягкий или грубый, но никогда не бы</w:t>
        <w:softHyphen/>
        <w:t>вает дуюшим. Усиливается он либо во время систолы, либо во время диастолы, иногда воспринимается пальпацией. Лучше выслушивается при наклоне тела вперед и при на</w:t>
        <w:softHyphen/>
        <w:t>давливании на грудную клетку в области шума стетоско</w:t>
        <w:softHyphen/>
        <w:t>пом. Аускультативные данные чаще кратковременны.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редких случаях перикардит при ревматизме может воз</w:t>
        <w:softHyphen/>
        <w:t>никать изолированно, без вовлечения миокарда и эндокар</w:t>
        <w:softHyphen/>
        <w:t>да. Развитие тампонады сердца и констриктивного пери</w:t>
        <w:softHyphen/>
        <w:t>кардита крайне редко.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перикардита при ревматизме включает назначе</w:t>
        <w:softHyphen/>
        <w:t>ние курса пенициллинотерапии, даже если в посевах отсут</w:t>
        <w:softHyphen/>
        <w:t>ствует чувствительность бета-гемолитического стрептокок</w:t>
        <w:softHyphen/>
        <w:t xml:space="preserve">ка группы А к антибиотикам группы </w:t>
      </w:r>
      <w:r>
        <w:rPr>
          <w:rStyle w:val="CharStyle103"/>
        </w:rPr>
        <w:t>пенициллина.</w:t>
      </w:r>
      <w:r>
        <w:rPr>
          <w:lang w:val="ru-RU" w:eastAsia="ru-RU" w:bidi="ru-RU"/>
          <w:w w:val="100"/>
          <w:spacing w:val="0"/>
          <w:color w:val="000000"/>
          <w:position w:val="0"/>
        </w:rPr>
        <w:t xml:space="preserve"> Обычная доза — 600 000 ед. два раза в день </w:t>
      </w:r>
      <w:r>
        <w:rPr>
          <w:rStyle w:val="CharStyle103"/>
        </w:rPr>
        <w:t>прокаинпенициллина</w:t>
      </w:r>
      <w:r>
        <w:rPr>
          <w:lang w:val="ru-RU" w:eastAsia="ru-RU" w:bidi="ru-RU"/>
          <w:w w:val="100"/>
          <w:spacing w:val="0"/>
          <w:color w:val="000000"/>
          <w:position w:val="0"/>
        </w:rPr>
        <w:t xml:space="preserve"> или 1 200 000 ед. один раз в день </w:t>
      </w:r>
      <w:r>
        <w:rPr>
          <w:rStyle w:val="CharStyle103"/>
        </w:rPr>
        <w:t>бетилпенициллина.</w:t>
      </w:r>
      <w:r>
        <w:rPr>
          <w:lang w:val="ru-RU" w:eastAsia="ru-RU" w:bidi="ru-RU"/>
          <w:w w:val="100"/>
          <w:spacing w:val="0"/>
          <w:color w:val="000000"/>
          <w:position w:val="0"/>
        </w:rPr>
        <w:t xml:space="preserve"> Курс — 10 дней. Если у больного имеется аллергия на пенициллин, назначают </w:t>
      </w:r>
      <w:r>
        <w:rPr>
          <w:rStyle w:val="CharStyle103"/>
        </w:rPr>
        <w:t>эритромицин</w:t>
      </w:r>
      <w:r>
        <w:rPr>
          <w:lang w:val="ru-RU" w:eastAsia="ru-RU" w:bidi="ru-RU"/>
          <w:w w:val="100"/>
          <w:spacing w:val="0"/>
          <w:color w:val="000000"/>
          <w:position w:val="0"/>
        </w:rPr>
        <w:t xml:space="preserve"> 1 г/сутки </w:t>
      </w:r>
      <w:r>
        <w:rPr>
          <w:lang w:val="en-US" w:eastAsia="en-US" w:bidi="en-US"/>
          <w:w w:val="100"/>
          <w:spacing w:val="0"/>
          <w:color w:val="000000"/>
          <w:position w:val="0"/>
        </w:rPr>
        <w:t xml:space="preserve">per os </w:t>
      </w:r>
      <w:r>
        <w:rPr>
          <w:lang w:val="ru-RU" w:eastAsia="ru-RU" w:bidi="ru-RU"/>
          <w:w w:val="100"/>
          <w:spacing w:val="0"/>
          <w:color w:val="000000"/>
          <w:position w:val="0"/>
        </w:rPr>
        <w:t>на 10 дней. Сразу</w:t>
        <w:br w:type="column"/>
        <w:t>после окончания курса антибиотикотерапии начинают профилактическое введение антибиотиков по схеме: внут</w:t>
        <w:softHyphen/>
        <w:t xml:space="preserve">римышечно </w:t>
      </w:r>
      <w:r>
        <w:rPr>
          <w:rStyle w:val="CharStyle103"/>
        </w:rPr>
        <w:t>бензилпенициллин</w:t>
      </w:r>
      <w:r>
        <w:rPr>
          <w:lang w:val="ru-RU" w:eastAsia="ru-RU" w:bidi="ru-RU"/>
          <w:w w:val="100"/>
          <w:spacing w:val="0"/>
          <w:color w:val="000000"/>
          <w:position w:val="0"/>
        </w:rPr>
        <w:t xml:space="preserve"> 1 200 000 ед. одна инъекция в месяц. Профилактический курс не менее 6 месяцев, но может быть продолжен в связи с особенностями клини</w:t>
        <w:softHyphen/>
        <w:t xml:space="preserve">ческой картины у конкретного ребенка. Альтернативой профилактическому внутримышечному введению является пероральное назначение </w:t>
      </w:r>
      <w:r>
        <w:rPr>
          <w:rStyle w:val="CharStyle103"/>
        </w:rPr>
        <w:t>пенициллина</w:t>
      </w:r>
      <w:r>
        <w:rPr>
          <w:lang w:val="ru-RU" w:eastAsia="ru-RU" w:bidi="ru-RU"/>
          <w:w w:val="100"/>
          <w:spacing w:val="0"/>
          <w:color w:val="000000"/>
          <w:position w:val="0"/>
        </w:rPr>
        <w:t xml:space="preserve"> в дозе 200 000 ед. два раза в день ежедневно или 1 г сульфадиазина один раз в день ежедневно.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Препараты салициловой кислоты также назначаются для купирования острого процесса. Суточная доза не долж</w:t>
        <w:softHyphen/>
        <w:t xml:space="preserve">на превышать 2 г </w:t>
      </w:r>
      <w:r>
        <w:rPr>
          <w:rStyle w:val="CharStyle103"/>
        </w:rPr>
        <w:t>аспирина.</w:t>
      </w:r>
      <w:r>
        <w:rPr>
          <w:lang w:val="ru-RU" w:eastAsia="ru-RU" w:bidi="ru-RU"/>
          <w:w w:val="100"/>
          <w:spacing w:val="0"/>
          <w:color w:val="000000"/>
          <w:position w:val="0"/>
        </w:rPr>
        <w:t xml:space="preserve"> Обычно препарат назначается в дозе от 80 до 100 мг/кг/сут. Препарат принимают в тече</w:t>
        <w:softHyphen/>
        <w:t xml:space="preserve">ние всего острого периода заболевания. Минимальный курс лечения 6 недель. Возможно проведение повторных курсов. Помимо </w:t>
      </w:r>
      <w:r>
        <w:rPr>
          <w:rStyle w:val="CharStyle103"/>
        </w:rPr>
        <w:t>аспирина</w:t>
      </w:r>
      <w:r>
        <w:rPr>
          <w:lang w:val="ru-RU" w:eastAsia="ru-RU" w:bidi="ru-RU"/>
          <w:w w:val="100"/>
          <w:spacing w:val="0"/>
          <w:color w:val="000000"/>
          <w:position w:val="0"/>
        </w:rPr>
        <w:t xml:space="preserve"> может быть использован ортофен (три раза в день; курс лечения от 1,5 до 6 месяцев) или </w:t>
      </w:r>
      <w:r>
        <w:rPr>
          <w:rStyle w:val="CharStyle103"/>
        </w:rPr>
        <w:t>дела- гил</w:t>
      </w:r>
      <w:r>
        <w:rPr>
          <w:lang w:val="ru-RU" w:eastAsia="ru-RU" w:bidi="ru-RU"/>
          <w:w w:val="100"/>
          <w:spacing w:val="0"/>
          <w:color w:val="000000"/>
          <w:position w:val="0"/>
        </w:rPr>
        <w:t xml:space="preserve"> (1 раз в день на ночь; взрослым — 1 таб., детям — от 1/4 до 1/2 таблетки). Монотерапия нестероидными противо</w:t>
        <w:softHyphen/>
        <w:t>воспалительными препаратами у детей с ревматическим перикардитом не показана (обязательно должны быть под</w:t>
        <w:softHyphen/>
        <w:t xml:space="preserve">ключены </w:t>
      </w:r>
      <w:r>
        <w:rPr>
          <w:rStyle w:val="CharStyle103"/>
        </w:rPr>
        <w:t xml:space="preserve">преднизолон </w:t>
      </w:r>
      <w:r>
        <w:rPr>
          <w:rStyle w:val="CharStyle103"/>
          <w:lang w:val="en-US" w:eastAsia="en-US" w:bidi="en-US"/>
        </w:rPr>
        <w:t>(Prednisolon)</w:t>
      </w:r>
      <w:r>
        <w:rPr>
          <w:lang w:val="en-US" w:eastAsia="en-US" w:bidi="en-US"/>
          <w:w w:val="100"/>
          <w:spacing w:val="0"/>
          <w:color w:val="000000"/>
          <w:position w:val="0"/>
        </w:rPr>
        <w:t xml:space="preserve"> </w:t>
      </w:r>
      <w:r>
        <w:rPr>
          <w:lang w:val="ru-RU" w:eastAsia="ru-RU" w:bidi="ru-RU"/>
          <w:w w:val="100"/>
          <w:spacing w:val="0"/>
          <w:color w:val="000000"/>
          <w:position w:val="0"/>
        </w:rPr>
        <w:t>и антибиотикотерапия).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В качестве противовоспалительной терапии может быть использован </w:t>
      </w:r>
      <w:r>
        <w:rPr>
          <w:rStyle w:val="CharStyle103"/>
        </w:rPr>
        <w:t xml:space="preserve">преднизолон </w:t>
      </w:r>
      <w:r>
        <w:rPr>
          <w:rStyle w:val="CharStyle103"/>
          <w:lang w:val="en-US" w:eastAsia="en-US" w:bidi="en-US"/>
        </w:rPr>
        <w:t>(Prednisolon)</w:t>
      </w:r>
      <w:r>
        <w:rPr>
          <w:lang w:val="en-US" w:eastAsia="en-US" w:bidi="en-US"/>
          <w:w w:val="100"/>
          <w:spacing w:val="0"/>
          <w:color w:val="000000"/>
          <w:position w:val="0"/>
        </w:rPr>
        <w:t xml:space="preserve"> </w:t>
      </w:r>
      <w:r>
        <w:rPr>
          <w:lang w:val="ru-RU" w:eastAsia="ru-RU" w:bidi="ru-RU"/>
          <w:w w:val="100"/>
          <w:spacing w:val="0"/>
          <w:color w:val="000000"/>
          <w:position w:val="0"/>
        </w:rPr>
        <w:t>в дозе 1-2 мг/кг/сут. Он особенно эффективен у больных с застойной сердечной недостаточностью, которым должен назначаться обяза</w:t>
        <w:softHyphen/>
        <w:t>тельно.</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Дигоксин может быть назначен больным с ревматичес</w:t>
        <w:softHyphen/>
        <w:t>ким миоперикардитом в случае выраженного снижения со</w:t>
        <w:softHyphen/>
        <w:t>кратительной способности сердечной мышцы. Препарат назначается только в поддерживающей дозе (доза насыще</w:t>
        <w:softHyphen/>
        <w:t>ния не дается), поскольку очень велик риск токсических проявлений дигитализации.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Гнойный перикардит встречается относительно редко и развивается у больных с острым септическим заболевани</w:t>
        <w:softHyphen/>
        <w:t>ем, воспалением легких, эмпиемой плевры. При этом необ</w:t>
        <w:softHyphen/>
        <w:t>ходимо учитывать, что картина основного заболевания мо</w:t>
        <w:softHyphen/>
        <w:t>жет маскировать клинические черты перикардита. Однако выявленные при тщательном обследовании больного одышка, цианоз, отек кожи в области сердца, венозные коллатерали на груди, ограничение подвижности верхнего отдела живота, болезненность при надавливании в эпигас- трии, во время вдоха парадоксальный пульс, выраженная абсолютная тупость сердца, увеличенная, застойная печень и данные рентгенологического исследования помогают ус</w:t>
        <w:softHyphen/>
        <w:t>тановить правильный диагноз.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Гнойный перикардит обычно возникает как осложнение септического очага в легких (пневмония, эмпиема), а также на фоне септицемии или после проведенного кардиохирур</w:t>
        <w:softHyphen/>
        <w:t>гического вмешательства. Заболевание имеет острое начало с фебрильной лихорадкой, значительным полиморфонук- леарным лейкоцитозом и тяжелой интоксикацией. Симп</w:t>
        <w:softHyphen/>
        <w:t>томы заболевания могут быть несколько сглажены, если больной получал антибактериальную терапию по поводу первичного гнойного очага. Обычно именно у таких боль</w:t>
        <w:softHyphen/>
        <w:t>ных очень часто развивается тампонада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Терапия гнойных перикардитов включает в себя следую</w:t>
        <w:softHyphen/>
        <w:t>щие основные моменты:</w:t>
      </w:r>
    </w:p>
    <w:p>
      <w:pPr>
        <w:pStyle w:val="Style30"/>
        <w:widowControl w:val="0"/>
        <w:keepNext w:val="0"/>
        <w:keepLines w:val="0"/>
        <w:shd w:val="clear" w:color="auto" w:fill="auto"/>
        <w:bidi w:val="0"/>
        <w:jc w:val="left"/>
        <w:spacing w:before="0" w:after="0"/>
        <w:ind w:left="520" w:right="0" w:hanging="240"/>
      </w:pPr>
      <w:r>
        <w:pict>
          <v:shape id="_x0000_s1514" type="#_x0000_t75" style="position:absolute;margin-left:136.8pt;margin-top:736.8pt;width:209.75pt;height:14.9pt;z-index:-125829052;mso-wrap-distance-left:136.8pt;mso-wrap-distance-right:148.1pt;mso-wrap-distance-bottom:10.8pt;mso-position-horizontal-relative:margin;mso-position-vertical-relative:margin" wrapcoords="0 0 21600 0 21600 21600 0 21600 0 0">
            <v:imagedata r:id="rId808" r:href="rId809"/>
            <w10:wrap type="topAndBottom" anchorx="margin" anchory="margin"/>
          </v:shape>
        </w:pict>
      </w:r>
      <w:r>
        <w:rPr>
          <w:lang w:val="ru-RU" w:eastAsia="ru-RU" w:bidi="ru-RU"/>
          <w:w w:val="100"/>
          <w:spacing w:val="0"/>
          <w:color w:val="000000"/>
          <w:position w:val="0"/>
        </w:rPr>
        <w:t>• Создание перикардиальной декомпрессии и откры</w:t>
        <w:softHyphen/>
        <w:t>того дренажа.</w:t>
      </w:r>
      <w:r>
        <w:br w:type="page"/>
      </w:r>
    </w:p>
    <w:p>
      <w:pPr>
        <w:pStyle w:val="Style30"/>
        <w:numPr>
          <w:ilvl w:val="0"/>
          <w:numId w:val="95"/>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Назначение антибактериальной терапии.</w:t>
      </w:r>
    </w:p>
    <w:p>
      <w:pPr>
        <w:pStyle w:val="Style30"/>
        <w:numPr>
          <w:ilvl w:val="0"/>
          <w:numId w:val="95"/>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Назначение интенсивной поддерживающей терапии.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Большинство исследователей считают, что около поло</w:t>
        <w:softHyphen/>
        <w:t>вины детей с гнойным перикардитом требуют раннего или срочного дренирования перикарда для предупреждения критической тампонады сердца. Несмотря на то что пери- кардиоцентез может сохранить жизнь и способствовать ранней правильной постановке диагноза, проведение его может сопровождаться такими осложнениями, как арит</w:t>
        <w:softHyphen/>
        <w:t>мии из-за травмирования миокарда, повреждение коронар</w:t>
        <w:softHyphen/>
        <w:t>ных артерий, что приводит к гемоперикарду и тампонаде сердца, а также пневмотораксу. В литературе описан случай формирования аневризмы в результате проведения множе</w:t>
        <w:softHyphen/>
        <w:t>ственных перикардиоцентезов, которые были выполнены для предотвращения тампонады сердца при гнойном пери</w:t>
        <w:softHyphen/>
        <w:t>кардите. Рекомендуемым доступом для выполнения пери- кардиоцентеза является субксифоидальный. Точную техни</w:t>
        <w:softHyphen/>
        <w:t xml:space="preserve">ку проведения описывают </w:t>
      </w:r>
      <w:r>
        <w:rPr>
          <w:lang w:val="en-US" w:eastAsia="en-US" w:bidi="en-US"/>
          <w:w w:val="100"/>
          <w:spacing w:val="0"/>
          <w:color w:val="000000"/>
          <w:position w:val="0"/>
        </w:rPr>
        <w:t>Hoffman and Stenger.</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Декомпрессию и дренаж перикарда наиболее безопасно проводить в условиях операционной или под контролем флуороскопии в катетеризационной. Если ребенок очень беспокойный и возбужденный, можно провести премеди- кацию </w:t>
      </w:r>
      <w:r>
        <w:rPr>
          <w:rStyle w:val="CharStyle103"/>
        </w:rPr>
        <w:t xml:space="preserve">диазепамом (син. </w:t>
      </w:r>
      <w:r>
        <w:rPr>
          <w:rStyle w:val="CharStyle103"/>
          <w:lang w:val="en-US" w:eastAsia="en-US" w:bidi="en-US"/>
        </w:rPr>
        <w:t xml:space="preserve">Sibazonum, </w:t>
      </w:r>
      <w:r>
        <w:rPr>
          <w:rStyle w:val="CharStyle103"/>
        </w:rPr>
        <w:t xml:space="preserve">Седуксен, Реланиум, </w:t>
      </w:r>
      <w:r>
        <w:rPr>
          <w:rStyle w:val="CharStyle103"/>
          <w:lang w:val="en-US" w:eastAsia="en-US" w:bidi="en-US"/>
        </w:rPr>
        <w:t>Valium)</w:t>
      </w:r>
      <w:r>
        <w:rPr>
          <w:lang w:val="en-US" w:eastAsia="en-US" w:bidi="en-US"/>
          <w:w w:val="100"/>
          <w:spacing w:val="0"/>
          <w:color w:val="000000"/>
          <w:position w:val="0"/>
        </w:rPr>
        <w:t xml:space="preserve"> </w:t>
      </w:r>
      <w:r>
        <w:rPr>
          <w:lang w:val="ru-RU" w:eastAsia="ru-RU" w:bidi="ru-RU"/>
          <w:w w:val="100"/>
          <w:spacing w:val="0"/>
          <w:color w:val="000000"/>
          <w:position w:val="0"/>
        </w:rPr>
        <w:t xml:space="preserve">— 1 мг/год) или </w:t>
      </w:r>
      <w:r>
        <w:rPr>
          <w:rStyle w:val="CharStyle103"/>
        </w:rPr>
        <w:t xml:space="preserve">кетамином (син. Калипсол, </w:t>
      </w:r>
      <w:r>
        <w:rPr>
          <w:rStyle w:val="CharStyle103"/>
          <w:lang w:val="en-US" w:eastAsia="en-US" w:bidi="en-US"/>
        </w:rPr>
        <w:t xml:space="preserve">Ketalar) </w:t>
      </w:r>
      <w:r>
        <w:rPr>
          <w:lang w:val="ru-RU" w:eastAsia="ru-RU" w:bidi="ru-RU"/>
          <w:w w:val="100"/>
          <w:spacing w:val="0"/>
          <w:color w:val="000000"/>
          <w:position w:val="0"/>
        </w:rPr>
        <w:t>— 0,5-1 мг/кг).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Если перикардиоцентез произведен неудачно и клини</w:t>
        <w:softHyphen/>
        <w:t>ческие симптомы перикардита нарастают, также как и угро - за тампонады сердца, необходимо немедленно провести хи</w:t>
        <w:softHyphen/>
        <w:t>рургический дренаж. Множественные попытки проведения перикардиоцентеза чаще бывают неуспешными и могут по</w:t>
        <w:softHyphen/>
        <w:t>влечь за собой серьезные осложнения. Гной, окружающий перикард, может быть настолько вязким, что его невозмож</w:t>
        <w:softHyphen/>
        <w:t xml:space="preserve">но аспирировать, особенно в случае инфекции </w:t>
      </w:r>
      <w:r>
        <w:rPr>
          <w:lang w:val="en-US" w:eastAsia="en-US" w:bidi="en-US"/>
          <w:w w:val="100"/>
          <w:spacing w:val="0"/>
          <w:color w:val="000000"/>
          <w:position w:val="0"/>
        </w:rPr>
        <w:t xml:space="preserve">H.influenzae. </w:t>
      </w:r>
      <w:r>
        <w:rPr>
          <w:lang w:val="ru-RU" w:eastAsia="ru-RU" w:bidi="ru-RU"/>
          <w:w w:val="100"/>
          <w:spacing w:val="0"/>
          <w:color w:val="000000"/>
          <w:position w:val="0"/>
        </w:rPr>
        <w:t>Иногда жидкость образуется настолько быстро, что для ее постоянного удаления требуется создание хирургическим путем перикардиального окна с постоянным дренажем. Во время проведения эвакуации перикардиальной жидкос</w:t>
        <w:softHyphen/>
        <w:t>ти при тампонаде сердца необходимо поддерживать адек</w:t>
        <w:softHyphen/>
        <w:t>ватный сердечный выброс путем фармакологической сти</w:t>
        <w:softHyphen/>
        <w:t>муляции сердца препаратами, оказывающими одновремен</w:t>
        <w:softHyphen/>
        <w:t>но положительный ино- и хронотропный эффект. В качес</w:t>
        <w:softHyphen/>
        <w:t xml:space="preserve">тве препарата выбора обычно используется </w:t>
      </w:r>
      <w:r>
        <w:rPr>
          <w:rStyle w:val="CharStyle103"/>
        </w:rPr>
        <w:t xml:space="preserve">изопротеренол </w:t>
      </w:r>
      <w:r>
        <w:rPr>
          <w:rStyle w:val="CharStyle103"/>
          <w:lang w:val="en-US" w:eastAsia="en-US" w:bidi="en-US"/>
        </w:rPr>
        <w:t>(Isoproterenol).</w:t>
      </w:r>
      <w:r>
        <w:rPr>
          <w:lang w:val="en-US" w:eastAsia="en-US" w:bidi="en-US"/>
          <w:w w:val="100"/>
          <w:spacing w:val="0"/>
          <w:color w:val="000000"/>
          <w:position w:val="0"/>
        </w:rPr>
        <w:t xml:space="preserve"> </w:t>
      </w:r>
      <w:r>
        <w:rPr>
          <w:lang w:val="ru-RU" w:eastAsia="ru-RU" w:bidi="ru-RU"/>
          <w:w w:val="100"/>
          <w:spacing w:val="0"/>
          <w:color w:val="000000"/>
          <w:position w:val="0"/>
        </w:rPr>
        <w:t>Он назначается из расчета от 0,05 до 0,10 мкг/кг/мин. Сам препарат не оказывает какого-либо влияния на эвакуацию жидкости из перикардиальной по</w:t>
        <w:softHyphen/>
        <w:t>лости, но он помогает выиграть время, пока аспирация или хирургический дренаж не будут осуществлены.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гнойных перикардитах противопоказаны препара</w:t>
        <w:softHyphen/>
        <w:t>ты, снижающие частоту сердечных сокращений и объем циркулирующей крови, т.к. они вызывают ухудшение со</w:t>
        <w:softHyphen/>
        <w:t>стояния пациента. Если проводится хирургический дре</w:t>
        <w:softHyphen/>
        <w:t>наж, нужно помнить, что анестезия фторотаном вызывает снижение функции миокарда, поэтому при данном заболе</w:t>
        <w:softHyphen/>
        <w:t>вании она не рекомендуется.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Вопросы хирургического подхода и объема хирургичес</w:t>
        <w:softHyphen/>
        <w:t>кого вмешательства до сих пор дискутируются. На сегод</w:t>
        <w:softHyphen/>
        <w:t>няшний день лучшими считаются два подхода: левосторон</w:t>
        <w:softHyphen/>
        <w:t>няя антеролатеральная торакотомия через пятый межре</w:t>
        <w:softHyphen/>
        <w:t>берный промежуток и субксифоидальный подход с удале</w:t>
        <w:softHyphen/>
        <w:t>нием мечевидного отростка. Большинство хирургов пред</w:t>
        <w:softHyphen/>
        <w:t>почитают создавать перикардиальное окно, однако некото</w:t>
        <w:softHyphen/>
        <w:t>рые специалисты советуют более обширное удаление пери</w:t>
        <w:softHyphen/>
        <w:br w:type="column"/>
        <w:t>кардиальной ткани. Вторая точка зрения (более обширное вмешательство) основывается на том, что тяжелое воспале</w:t>
        <w:softHyphen/>
        <w:t>ние перикарда с наличием крови в перикардиальной жид</w:t>
        <w:softHyphen/>
        <w:t>кости может в дальнейшем вызвать острую или хроничес</w:t>
        <w:softHyphen/>
        <w:t>кую констрикцию перикарда. Во время проведения опера</w:t>
        <w:softHyphen/>
        <w:t>тивных мероприятий особое внимание нужно обратить на то, чтобы не повредить диафрагмальный нерв.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Только одной антимикробной терапии недостаточно для успешного лечения гнойных перикардитов. Сохранение жизни у этих пациентов находится в прямой зависимости от проведения раннего дренажа перикарда. До наступления эры антибиотиков одно только применение перикардиаль</w:t>
        <w:softHyphen/>
        <w:t>ного дренажа позволило снизить смертность при гнойном перикардите со 100 до 45 процентов. Только относительно редко встречающийся менингококковый перикардит мож</w:t>
        <w:softHyphen/>
        <w:t>но успешно вылечить без перикардиального дренажа.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Если нельзя быстро установить природу микробного агента, вызвавшего перикардит, стартовая терапия анти</w:t>
        <w:softHyphen/>
        <w:t>биотиками должна состоять из двух или более препаратов. Т.к. золотистый стафилококк является наиболее часто встречающимся возбудителем заболевания, в терапию гнойных перикардитов должны быть включены такие пе- нициллиназоустойчивые препараты пенициллинового ря</w:t>
        <w:softHyphen/>
        <w:t xml:space="preserve">да, как метициллин </w:t>
      </w:r>
      <w:r>
        <w:rPr>
          <w:rStyle w:val="CharStyle103"/>
          <w:lang w:val="en-US" w:eastAsia="en-US" w:bidi="en-US"/>
        </w:rPr>
        <w:t>(Methicillinum-natrium),</w:t>
      </w:r>
      <w:r>
        <w:rPr>
          <w:lang w:val="en-US" w:eastAsia="en-US" w:bidi="en-US"/>
          <w:w w:val="100"/>
          <w:spacing w:val="0"/>
          <w:color w:val="000000"/>
          <w:position w:val="0"/>
        </w:rPr>
        <w:t xml:space="preserve"> </w:t>
      </w:r>
      <w:r>
        <w:rPr>
          <w:lang w:val="ru-RU" w:eastAsia="ru-RU" w:bidi="ru-RU"/>
          <w:w w:val="100"/>
          <w:spacing w:val="0"/>
          <w:color w:val="000000"/>
          <w:position w:val="0"/>
        </w:rPr>
        <w:t xml:space="preserve">ампициллин </w:t>
      </w:r>
      <w:r>
        <w:rPr>
          <w:rStyle w:val="CharStyle103"/>
          <w:lang w:val="en-US" w:eastAsia="en-US" w:bidi="en-US"/>
        </w:rPr>
        <w:t>(Ampicillinum),</w:t>
      </w:r>
      <w:r>
        <w:rPr>
          <w:lang w:val="en-US" w:eastAsia="en-US" w:bidi="en-US"/>
          <w:w w:val="100"/>
          <w:spacing w:val="0"/>
          <w:color w:val="000000"/>
          <w:position w:val="0"/>
        </w:rPr>
        <w:t xml:space="preserve"> </w:t>
      </w:r>
      <w:r>
        <w:rPr>
          <w:lang w:val="ru-RU" w:eastAsia="ru-RU" w:bidi="ru-RU"/>
          <w:w w:val="100"/>
          <w:spacing w:val="0"/>
          <w:color w:val="000000"/>
          <w:position w:val="0"/>
        </w:rPr>
        <w:t xml:space="preserve">оксациллин </w:t>
      </w:r>
      <w:r>
        <w:rPr>
          <w:rStyle w:val="CharStyle103"/>
          <w:lang w:val="en-US" w:eastAsia="en-US" w:bidi="en-US"/>
        </w:rPr>
        <w:t>(Oxacillinum-natrium)</w:t>
      </w:r>
      <w:r>
        <w:rPr>
          <w:lang w:val="en-US" w:eastAsia="en-US" w:bidi="en-US"/>
          <w:w w:val="100"/>
          <w:spacing w:val="0"/>
          <w:color w:val="000000"/>
          <w:position w:val="0"/>
        </w:rPr>
        <w:t xml:space="preserve"> </w:t>
      </w:r>
      <w:r>
        <w:rPr>
          <w:lang w:val="ru-RU" w:eastAsia="ru-RU" w:bidi="ru-RU"/>
          <w:w w:val="100"/>
          <w:spacing w:val="0"/>
          <w:color w:val="000000"/>
          <w:position w:val="0"/>
        </w:rPr>
        <w:t>в дозе 200 мг/кг/сутки (максимум 8 г в сутки). Пациентам с аллер</w:t>
        <w:softHyphen/>
        <w:t>гическими реакциями на эти препараты могут быть назна</w:t>
        <w:softHyphen/>
        <w:t xml:space="preserve">чены ванкомицин </w:t>
      </w:r>
      <w:r>
        <w:rPr>
          <w:rStyle w:val="CharStyle103"/>
          <w:lang w:val="en-US" w:eastAsia="en-US" w:bidi="en-US"/>
        </w:rPr>
        <w:t>(Vancomycin, m^Van^cm)</w:t>
      </w:r>
      <w:r>
        <w:rPr>
          <w:lang w:val="en-US" w:eastAsia="en-US" w:bidi="en-US"/>
          <w:w w:val="100"/>
          <w:spacing w:val="0"/>
          <w:color w:val="000000"/>
          <w:position w:val="0"/>
        </w:rPr>
        <w:t xml:space="preserve"> </w:t>
      </w:r>
      <w:r>
        <w:rPr>
          <w:lang w:val="ru-RU" w:eastAsia="ru-RU" w:bidi="ru-RU"/>
          <w:w w:val="100"/>
          <w:spacing w:val="0"/>
          <w:color w:val="000000"/>
          <w:position w:val="0"/>
        </w:rPr>
        <w:t xml:space="preserve">— 10 мг/кг каждые 12 часов, клиндамицин </w:t>
      </w:r>
      <w:r>
        <w:rPr>
          <w:rStyle w:val="CharStyle103"/>
          <w:lang w:val="en-US" w:eastAsia="en-US" w:bidi="en-US"/>
        </w:rPr>
        <w:t>(Clindamicin)</w:t>
      </w:r>
      <w:r>
        <w:rPr>
          <w:lang w:val="en-US" w:eastAsia="en-US" w:bidi="en-US"/>
          <w:w w:val="100"/>
          <w:spacing w:val="0"/>
          <w:color w:val="000000"/>
          <w:position w:val="0"/>
        </w:rPr>
        <w:t xml:space="preserve"> </w:t>
      </w:r>
      <w:r>
        <w:rPr>
          <w:lang w:val="ru-RU" w:eastAsia="ru-RU" w:bidi="ru-RU"/>
          <w:w w:val="100"/>
          <w:spacing w:val="0"/>
          <w:color w:val="000000"/>
          <w:position w:val="0"/>
        </w:rPr>
        <w:t xml:space="preserve">или цефалос- порины, но нужно учесть, что у пациентов с аллергией на антибиотики пенициллинового ряда может быть аллергия и на цефалоспорины. </w:t>
      </w:r>
      <w:r>
        <w:rPr>
          <w:rStyle w:val="CharStyle103"/>
        </w:rPr>
        <w:t xml:space="preserve">Ампициллин </w:t>
      </w:r>
      <w:r>
        <w:rPr>
          <w:rStyle w:val="CharStyle103"/>
          <w:lang w:val="en-US" w:eastAsia="en-US" w:bidi="en-US"/>
        </w:rPr>
        <w:t>(Ampicillinum)</w:t>
      </w:r>
      <w:r>
        <w:rPr>
          <w:lang w:val="en-US" w:eastAsia="en-US" w:bidi="en-US"/>
          <w:w w:val="100"/>
          <w:spacing w:val="0"/>
          <w:color w:val="000000"/>
          <w:position w:val="0"/>
        </w:rPr>
        <w:t xml:space="preserve"> </w:t>
      </w:r>
      <w:r>
        <w:rPr>
          <w:lang w:val="ru-RU" w:eastAsia="ru-RU" w:bidi="ru-RU"/>
          <w:w w:val="100"/>
          <w:spacing w:val="0"/>
          <w:color w:val="000000"/>
          <w:position w:val="0"/>
        </w:rPr>
        <w:t>назначает</w:t>
        <w:softHyphen/>
        <w:t>ся в дозе 300 мг/сут., что обеспечивает терапевтический эф</w:t>
        <w:softHyphen/>
        <w:t>фект при стрептококковой, менингококковой, пневмокок</w:t>
        <w:softHyphen/>
        <w:t xml:space="preserve">ковой инфекциях, а также при перикардитах, вызванных гемофильной палочкой. </w:t>
      </w:r>
      <w:r>
        <w:rPr>
          <w:rStyle w:val="CharStyle103"/>
        </w:rPr>
        <w:t xml:space="preserve">Хлорамфеникол </w:t>
      </w:r>
      <w:r>
        <w:rPr>
          <w:rStyle w:val="CharStyle103"/>
          <w:lang w:val="en-US" w:eastAsia="en-US" w:bidi="en-US"/>
        </w:rPr>
        <w:t xml:space="preserve">(Chloramphenicol, </w:t>
      </w:r>
      <w:r>
        <w:rPr>
          <w:rStyle w:val="CharStyle103"/>
        </w:rPr>
        <w:t>син. Левомицетин</w:t>
      </w:r>
      <w:r>
        <w:rPr>
          <w:lang w:val="ru-RU" w:eastAsia="ru-RU" w:bidi="ru-RU"/>
          <w:w w:val="100"/>
          <w:spacing w:val="0"/>
          <w:color w:val="000000"/>
          <w:position w:val="0"/>
        </w:rPr>
        <w:t xml:space="preserve"> — детям до 3 лет в разовой дозе 10</w:t>
        <w:softHyphen/>
        <w:t>15 мг/кг массы тела, 3-8 лет — по 0,15-0,2 г, старше 8 лет — по 0,2-0,3 г; принимают 3-4 раза в сутки) назначается, если предполагаемый возбудитель — гемофильная палочка, но чувствительность данного штамма возбудителя к ампи</w:t>
        <w:softHyphen/>
        <w:t>циллину еще не подтверждена. Антибиотики аминоглико- зидного ряда подключают к терапии, если гнойный пери</w:t>
        <w:softHyphen/>
        <w:t>кардит возник после кардиохирургического вмешательства, а также если у больного есть инфекционные заболевания мочеполовой системы или в случае сопутствующих имму</w:t>
        <w:softHyphen/>
        <w:t>нодефицитных состояний. Продолжительность терапии различна и определяется в большей степени природой ин</w:t>
        <w:softHyphen/>
        <w:t>фекционного агента. Обычно после того как идентифици</w:t>
        <w:softHyphen/>
        <w:t>рован возбудитель, внутривенная антибиотикотерапия пре</w:t>
        <w:softHyphen/>
        <w:t>паратами, к которым чувствителен микроорганизм, про</w:t>
        <w:softHyphen/>
        <w:t>должается 3-4 недели.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того чтобы вовремя выявить первые признаки на</w:t>
        <w:softHyphen/>
        <w:t>копления жидкости в перикардиальной сумке и признаки констриктивного перикардита, наблюдение за пациентами должно быть особенно тщательным.</w:t>
      </w:r>
    </w:p>
    <w:p>
      <w:pPr>
        <w:pStyle w:val="Style30"/>
        <w:widowControl w:val="0"/>
        <w:keepNext w:val="0"/>
        <w:keepLines w:val="0"/>
        <w:shd w:val="clear" w:color="auto" w:fill="auto"/>
        <w:bidi w:val="0"/>
        <w:spacing w:before="0" w:after="0"/>
        <w:ind w:left="0" w:right="0" w:firstLine="280"/>
      </w:pPr>
      <w:r>
        <w:pict>
          <v:shape id="_x0000_s1515" type="#_x0000_t75" style="position:absolute;margin-left:148.1pt;margin-top:736.8pt;width:209.75pt;height:14.9pt;z-index:-125829051;mso-wrap-distance-left:148.1pt;mso-wrap-distance-right:136.8pt;mso-wrap-distance-bottom:10.8pt;mso-position-horizontal-relative:margin;mso-position-vertical-relative:margin" wrapcoords="0 0 21600 0 21600 21600 0 21600 0 0">
            <v:imagedata r:id="rId810" r:href="rId811"/>
            <w10:wrap type="topAndBottom" anchorx="margin" anchory="margin"/>
          </v:shape>
        </w:pict>
      </w:r>
      <w:r>
        <w:rPr>
          <w:lang w:val="ru-RU" w:eastAsia="ru-RU" w:bidi="ru-RU"/>
          <w:w w:val="100"/>
          <w:spacing w:val="0"/>
          <w:color w:val="000000"/>
          <w:position w:val="0"/>
        </w:rPr>
        <w:t>Острый констриктивный перикардит может развиться в течение нескольких недель после возникновения пери</w:t>
        <w:softHyphen/>
        <w:t>кардиальной инфекции. Самый ранний зарегистрирован</w:t>
        <w:softHyphen/>
        <w:t>ный случай — развитие констриктивного перикардита за 8 дней. Данная патология может быть заподозрена при по</w:t>
        <w:softHyphen/>
        <w:t>вышении яремного и центрального венозного давления,</w:t>
      </w:r>
      <w:r>
        <w:br w:type="page"/>
      </w:r>
    </w:p>
    <w:p>
      <w:pPr>
        <w:pStyle w:val="Style30"/>
        <w:widowControl w:val="0"/>
        <w:keepNext w:val="0"/>
        <w:keepLines w:val="0"/>
        <w:shd w:val="clear" w:color="auto" w:fill="auto"/>
        <w:bidi w:val="0"/>
        <w:spacing w:before="0" w:after="120"/>
        <w:ind w:left="0" w:right="0" w:firstLine="0"/>
      </w:pPr>
      <w:r>
        <w:rPr>
          <w:lang w:val="ru-RU" w:eastAsia="ru-RU" w:bidi="ru-RU"/>
          <w:w w:val="100"/>
          <w:spacing w:val="0"/>
          <w:color w:val="000000"/>
          <w:position w:val="0"/>
        </w:rPr>
        <w:t>быстрой прибавке веса, увеличении печени, снижении по</w:t>
        <w:softHyphen/>
        <w:t>чечной фильтрации и нарушении дыхания. Появление пер- систирующей сердечной недостаточности при отсутствии расширения границ сердца также должно наводить на мысль о развитии констриктивного перикардита. Тотчас же после обнаружения констрикции перикарда должна быть произведена полная перикардэктомия.</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Риккетсиозные перикардиты наиболее известны при сып</w:t>
        <w:softHyphen/>
        <w:t>ном тифе. Поражение перикарда у умерших от этого забо</w:t>
        <w:softHyphen/>
        <w:t>левания обнаруживалось в 10,5% случаев.</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Грибковые перикардиты встречаются редко. Актиноми</w:t>
        <w:softHyphen/>
        <w:t>коз перикарда возникает в результате контактного распро</w:t>
        <w:softHyphen/>
        <w:t>странения из первичного очага в легких и плевре. В связи с широким применением антибактериальных средств неко</w:t>
        <w:softHyphen/>
        <w:t>торое распространение получил кандидамикоз, при кото</w:t>
        <w:softHyphen/>
        <w:t>ром перикард вовлекается в процесс всегда вторично.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Протозойные перикардиты представляют исключительную редкость. Амебы попадают в перикард только в результате прямого распространения гнойно-воспалительного процесса из печени или легких. Имеются сведения об обнаружении в перикардиальном выпоте малярийного плазмодия.</w:t>
      </w:r>
    </w:p>
    <w:p>
      <w:pPr>
        <w:pStyle w:val="Style30"/>
        <w:widowControl w:val="0"/>
        <w:keepNext w:val="0"/>
        <w:keepLines w:val="0"/>
        <w:shd w:val="clear" w:color="auto" w:fill="auto"/>
        <w:bidi w:val="0"/>
        <w:spacing w:before="0" w:after="0"/>
        <w:ind w:left="0" w:right="0" w:firstLine="280"/>
      </w:pPr>
      <w:r>
        <w:rPr>
          <w:rStyle w:val="CharStyle103"/>
        </w:rPr>
        <w:t>Специфические бактериальные перикардиты</w:t>
      </w:r>
      <w:r>
        <w:rPr>
          <w:lang w:val="ru-RU" w:eastAsia="ru-RU" w:bidi="ru-RU"/>
          <w:w w:val="100"/>
          <w:spacing w:val="0"/>
          <w:color w:val="000000"/>
          <w:position w:val="0"/>
        </w:rPr>
        <w:t xml:space="preserve"> распознают по общему симптомокомплексу заболевания, они всегда трудны для этиологической диагностики при изолирован</w:t>
        <w:softHyphen/>
        <w:t>ном поражении перикарда. Между тем в ряде случаев из всех серозных оболочек поражается один перикард.</w:t>
      </w:r>
    </w:p>
    <w:p>
      <w:pPr>
        <w:pStyle w:val="Style30"/>
        <w:widowControl w:val="0"/>
        <w:keepNext w:val="0"/>
        <w:keepLines w:val="0"/>
        <w:shd w:val="clear" w:color="auto" w:fill="auto"/>
        <w:bidi w:val="0"/>
        <w:spacing w:before="0" w:after="0"/>
        <w:ind w:left="0" w:right="0" w:firstLine="280"/>
      </w:pPr>
      <w:r>
        <w:rPr>
          <w:rStyle w:val="CharStyle103"/>
        </w:rPr>
        <w:t>Туберкулезный перикардит</w:t>
      </w:r>
      <w:r>
        <w:rPr>
          <w:lang w:val="ru-RU" w:eastAsia="ru-RU" w:bidi="ru-RU"/>
          <w:w w:val="100"/>
          <w:spacing w:val="0"/>
          <w:color w:val="000000"/>
          <w:position w:val="0"/>
        </w:rPr>
        <w:t xml:space="preserve"> наиболее часто развивается при ретроградном проникновении бацилл в перикард по лимфатическим путям из средостенных и трахеобронхиаль</w:t>
        <w:softHyphen/>
        <w:t>ных лимфоузлов. Различают две формы поражения: тубер</w:t>
        <w:softHyphen/>
        <w:t>кулезный перикардит и туберкулез перикарда. Под послед</w:t>
        <w:softHyphen/>
        <w:t>ним понимают высыпание специфических бугорков без об</w:t>
        <w:softHyphen/>
        <w:t>разования выпота: милиарный туберкулез, «жемчужница», туберкулома перикарда. О туберкулезном перикардите го</w:t>
        <w:softHyphen/>
        <w:t>ворят при наличии выпота, спаечного процесса или обыз</w:t>
        <w:softHyphen/>
        <w:t>вествлений. В патогенезе туберкулезного перикардита пре</w:t>
        <w:softHyphen/>
        <w:t>обладают инфекционно-аллергические механизмы.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Туберкулезный перикардит возникает чаще у лиц с ги- перэргическим туберкулезным процессом другой локализа</w:t>
        <w:softHyphen/>
        <w:t>ции или у перенесших туберкулез в прошлом. Боль в обла</w:t>
        <w:softHyphen/>
        <w:t>сти сердца редка. Наблюдаются субфебрильная температу</w:t>
        <w:softHyphen/>
        <w:t>ра, потливость ночью, сухой кашель. Течение болезни дли</w:t>
        <w:softHyphen/>
        <w:t>тельное и торпидное, внутриперикардиальный выпот мо</w:t>
        <w:softHyphen/>
        <w:t>жет быть большим без развития тампонады. Иногда выпот стабильно сохраняется годами, почти не сопровождаясь по</w:t>
        <w:softHyphen/>
        <w:t>вышениями температуры и воспалительными изменения</w:t>
        <w:softHyphen/>
        <w:t>ми со стороны крови («холодное» течение). Миокард не во</w:t>
        <w:softHyphen/>
        <w:t>влекается в процесс, и ЭКГ-изменения не возникают. При</w:t>
        <w:softHyphen/>
        <w:t>дают значение высоким туберкулиновым пробам. В позд</w:t>
        <w:softHyphen/>
        <w:t>ние сроки рентгенологически удается обнаружить участки обызвествления.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противотуберкулезными препаратами обычно эффективно. Большое влияние на снижение смертности от туберкулезного перикардита оказало применение химиоте</w:t>
        <w:softHyphen/>
        <w:t>рапии. До ее применения смертность в остром периоде со</w:t>
        <w:softHyphen/>
        <w:t>ставляла от 80 до 90 процентов, а в период констриктивного перикардита и милиарного туберкулеза — 10-20 процентов.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Химиотерапию рекомендуется вести четырьмя препа</w:t>
        <w:softHyphen/>
        <w:t xml:space="preserve">ратами: </w:t>
      </w:r>
      <w:r>
        <w:rPr>
          <w:rStyle w:val="CharStyle103"/>
        </w:rPr>
        <w:t xml:space="preserve">изониазид </w:t>
      </w:r>
      <w:r>
        <w:rPr>
          <w:rStyle w:val="CharStyle103"/>
          <w:lang w:val="en-US" w:eastAsia="en-US" w:bidi="en-US"/>
        </w:rPr>
        <w:t xml:space="preserve">(Isoniazid), </w:t>
      </w:r>
      <w:r>
        <w:rPr>
          <w:rStyle w:val="CharStyle103"/>
        </w:rPr>
        <w:t xml:space="preserve">пиразинамид </w:t>
      </w:r>
      <w:r>
        <w:rPr>
          <w:rStyle w:val="CharStyle103"/>
          <w:lang w:val="en-US" w:eastAsia="en-US" w:bidi="en-US"/>
        </w:rPr>
        <w:t>(Pyrazinamide),</w:t>
        <w:br w:type="column"/>
      </w:r>
      <w:r>
        <w:rPr>
          <w:rStyle w:val="CharStyle103"/>
        </w:rPr>
        <w:t xml:space="preserve">рифампицин </w:t>
      </w:r>
      <w:r>
        <w:rPr>
          <w:rStyle w:val="CharStyle103"/>
          <w:lang w:val="en-US" w:eastAsia="en-US" w:bidi="en-US"/>
        </w:rPr>
        <w:t xml:space="preserve">(Rifampicin, </w:t>
      </w:r>
      <w:r>
        <w:rPr>
          <w:rStyle w:val="CharStyle103"/>
        </w:rPr>
        <w:t xml:space="preserve">син. Бенемицин, Рифампор) </w:t>
      </w:r>
      <w:r>
        <w:rPr>
          <w:lang w:val="ru-RU" w:eastAsia="ru-RU" w:bidi="ru-RU"/>
          <w:w w:val="100"/>
          <w:spacing w:val="0"/>
          <w:color w:val="000000"/>
          <w:position w:val="0"/>
        </w:rPr>
        <w:t xml:space="preserve">и </w:t>
      </w:r>
      <w:r>
        <w:rPr>
          <w:rStyle w:val="CharStyle103"/>
        </w:rPr>
        <w:t xml:space="preserve">стрептомицин </w:t>
      </w:r>
      <w:r>
        <w:rPr>
          <w:rStyle w:val="CharStyle103"/>
          <w:lang w:val="en-US" w:eastAsia="en-US" w:bidi="en-US"/>
        </w:rPr>
        <w:t>(Streptomycin).</w:t>
      </w:r>
      <w:r>
        <w:rPr>
          <w:lang w:val="en-US" w:eastAsia="en-US" w:bidi="en-US"/>
          <w:w w:val="100"/>
          <w:spacing w:val="0"/>
          <w:color w:val="000000"/>
          <w:position w:val="0"/>
        </w:rPr>
        <w:t xml:space="preserve"> </w:t>
      </w:r>
      <w:r>
        <w:rPr>
          <w:lang w:val="ru-RU" w:eastAsia="ru-RU" w:bidi="ru-RU"/>
          <w:w w:val="100"/>
          <w:spacing w:val="0"/>
          <w:color w:val="000000"/>
          <w:position w:val="0"/>
        </w:rPr>
        <w:t>Терапия должна продол</w:t>
        <w:softHyphen/>
        <w:t>жаться от 9 до 18 месяцев. Кортикостероиды могут приме</w:t>
        <w:softHyphen/>
        <w:t>няться для снижения воспалительной реакции и увеличе</w:t>
        <w:softHyphen/>
        <w:t>ния реабсорбции перикардиальной жидкости. Обычно на</w:t>
        <w:softHyphen/>
        <w:t xml:space="preserve">значается </w:t>
      </w:r>
      <w:r>
        <w:rPr>
          <w:rStyle w:val="CharStyle103"/>
        </w:rPr>
        <w:t xml:space="preserve">преднизолон </w:t>
      </w:r>
      <w:r>
        <w:rPr>
          <w:rStyle w:val="CharStyle103"/>
          <w:lang w:val="en-US" w:eastAsia="en-US" w:bidi="en-US"/>
        </w:rPr>
        <w:t>(Prednisolon)</w:t>
      </w:r>
      <w:r>
        <w:rPr>
          <w:lang w:val="en-US" w:eastAsia="en-US" w:bidi="en-US"/>
          <w:w w:val="100"/>
          <w:spacing w:val="0"/>
          <w:color w:val="000000"/>
          <w:position w:val="0"/>
        </w:rPr>
        <w:t xml:space="preserve"> </w:t>
      </w:r>
      <w:r>
        <w:rPr>
          <w:lang w:val="ru-RU" w:eastAsia="ru-RU" w:bidi="ru-RU"/>
          <w:w w:val="100"/>
          <w:spacing w:val="0"/>
          <w:color w:val="000000"/>
          <w:position w:val="0"/>
        </w:rPr>
        <w:t>(80 мг) или эквива</w:t>
        <w:softHyphen/>
        <w:t>лентная доза другого глюкокортикоида на период от 6 до 8 недель. В отдельных случаях для предупреждения разви</w:t>
        <w:softHyphen/>
        <w:t>тия констриктивного перикардита может быть проведена перикардэктомия.</w:t>
      </w:r>
    </w:p>
    <w:p>
      <w:pPr>
        <w:pStyle w:val="Style30"/>
        <w:widowControl w:val="0"/>
        <w:keepNext w:val="0"/>
        <w:keepLines w:val="0"/>
        <w:shd w:val="clear" w:color="auto" w:fill="auto"/>
        <w:bidi w:val="0"/>
        <w:spacing w:before="0" w:after="0"/>
        <w:ind w:left="0" w:right="0" w:firstLine="300"/>
      </w:pPr>
      <w:r>
        <w:rPr>
          <w:rStyle w:val="CharStyle103"/>
        </w:rPr>
        <w:t xml:space="preserve">Амфотерицин В </w:t>
      </w:r>
      <w:r>
        <w:rPr>
          <w:rStyle w:val="CharStyle103"/>
          <w:lang w:val="en-US" w:eastAsia="en-US" w:bidi="en-US"/>
        </w:rPr>
        <w:t>(Amphotericin B)</w:t>
      </w:r>
      <w:r>
        <w:rPr>
          <w:lang w:val="en-US" w:eastAsia="en-US" w:bidi="en-US"/>
          <w:w w:val="100"/>
          <w:spacing w:val="0"/>
          <w:color w:val="000000"/>
          <w:position w:val="0"/>
        </w:rPr>
        <w:t xml:space="preserve"> </w:t>
      </w:r>
      <w:r>
        <w:rPr>
          <w:lang w:val="ru-RU" w:eastAsia="ru-RU" w:bidi="ru-RU"/>
          <w:w w:val="100"/>
          <w:spacing w:val="0"/>
          <w:color w:val="000000"/>
          <w:position w:val="0"/>
        </w:rPr>
        <w:t>или другие препараты, применяемые при системных микозах, могут применяться для лечения грибковых перикардитов. В очень редких слу</w:t>
        <w:softHyphen/>
        <w:t>чаях этот препарат применяется для лечения гистоплазмен</w:t>
        <w:softHyphen/>
        <w:t>ных перикардитов.</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Поддерживающая терапия в острой фазе инфекционно</w:t>
        <w:softHyphen/>
        <w:t xml:space="preserve">го процесса включает назначение кислорода, мероприятия по снижению давления наполнения желудочков и </w:t>
      </w:r>
      <w:r>
        <w:rPr>
          <w:rStyle w:val="CharStyle103"/>
        </w:rPr>
        <w:t xml:space="preserve">изопроте- ренол </w:t>
      </w:r>
      <w:r>
        <w:rPr>
          <w:rStyle w:val="CharStyle103"/>
          <w:lang w:val="en-US" w:eastAsia="en-US" w:bidi="en-US"/>
        </w:rPr>
        <w:t>(Isoproterenol)</w:t>
      </w:r>
      <w:r>
        <w:rPr>
          <w:lang w:val="en-US" w:eastAsia="en-US" w:bidi="en-US"/>
          <w:w w:val="100"/>
          <w:spacing w:val="0"/>
          <w:color w:val="000000"/>
          <w:position w:val="0"/>
        </w:rPr>
        <w:t xml:space="preserve"> </w:t>
      </w:r>
      <w:r>
        <w:rPr>
          <w:lang w:val="ru-RU" w:eastAsia="ru-RU" w:bidi="ru-RU"/>
          <w:w w:val="100"/>
          <w:spacing w:val="0"/>
          <w:color w:val="000000"/>
          <w:position w:val="0"/>
        </w:rPr>
        <w:t>для улучшения систолического опорож</w:t>
        <w:softHyphen/>
        <w:t>нения желудочков. Препараты дигиталиса и диуретики должны применяться с крайней осторожностью и только в случае сниженной миокардиальной функции. Насторо</w:t>
        <w:softHyphen/>
        <w:t>жить врача на заинтересованность миокарда в патологичес</w:t>
        <w:softHyphen/>
        <w:t>ком процессе могут повторные ЭКГ, которые выявляют пе</w:t>
        <w:softHyphen/>
        <w:t>регрузку желудочковых камер,нарушения процесса реполя</w:t>
        <w:softHyphen/>
        <w:t>ризации, суправентрикулярные и желудочковые аритмии.</w:t>
      </w:r>
    </w:p>
    <w:p>
      <w:pPr>
        <w:pStyle w:val="Style30"/>
        <w:widowControl w:val="0"/>
        <w:keepNext w:val="0"/>
        <w:keepLines w:val="0"/>
        <w:shd w:val="clear" w:color="auto" w:fill="auto"/>
        <w:bidi w:val="0"/>
        <w:spacing w:before="0" w:after="193"/>
        <w:ind w:left="0" w:right="0" w:firstLine="300"/>
      </w:pPr>
      <w:r>
        <w:rPr>
          <w:lang w:val="ru-RU" w:eastAsia="ru-RU" w:bidi="ru-RU"/>
          <w:w w:val="100"/>
          <w:spacing w:val="0"/>
          <w:color w:val="000000"/>
          <w:position w:val="0"/>
        </w:rPr>
        <w:t>Поскольку при туберкулезном перикардите даже на фо</w:t>
        <w:softHyphen/>
        <w:t>не успешного терапевтического лечения очень высок риск последующего развития констриктивного перикардита, многие исследователи сходятся во мнении о необходимос</w:t>
        <w:softHyphen/>
        <w:t>ти раннего проведения перикардэктомии во избежание бо</w:t>
        <w:softHyphen/>
        <w:t>лее тяжелой операции по удалению кальцинированного или фиброзного перикарда.</w:t>
      </w:r>
    </w:p>
    <w:p>
      <w:pPr>
        <w:pStyle w:val="Style48"/>
        <w:widowControl w:val="0"/>
        <w:keepNext/>
        <w:keepLines/>
        <w:shd w:val="clear" w:color="auto" w:fill="auto"/>
        <w:bidi w:val="0"/>
        <w:jc w:val="both"/>
        <w:spacing w:before="0" w:after="101" w:line="200" w:lineRule="exact"/>
        <w:ind w:left="0" w:right="0" w:firstLine="0"/>
      </w:pPr>
      <w:bookmarkStart w:id="511" w:name="bookmark511"/>
      <w:r>
        <w:rPr>
          <w:lang w:val="ru-RU" w:eastAsia="ru-RU" w:bidi="ru-RU"/>
          <w:w w:val="100"/>
          <w:spacing w:val="0"/>
          <w:color w:val="000000"/>
          <w:position w:val="0"/>
        </w:rPr>
        <w:t>Неинфекционные (асептические) перикардиты</w:t>
      </w:r>
      <w:bookmarkEnd w:id="511"/>
    </w:p>
    <w:p>
      <w:pPr>
        <w:pStyle w:val="Style30"/>
        <w:widowControl w:val="0"/>
        <w:keepNext w:val="0"/>
        <w:keepLines w:val="0"/>
        <w:shd w:val="clear" w:color="auto" w:fill="auto"/>
        <w:bidi w:val="0"/>
        <w:spacing w:before="0" w:after="180"/>
        <w:ind w:left="0" w:right="0" w:firstLine="300"/>
      </w:pPr>
      <w:r>
        <w:rPr>
          <w:lang w:val="ru-RU" w:eastAsia="ru-RU" w:bidi="ru-RU"/>
          <w:w w:val="100"/>
          <w:spacing w:val="0"/>
          <w:color w:val="000000"/>
          <w:position w:val="0"/>
        </w:rPr>
        <w:t>Травматический перикардит наблюдается при закрытой травме грудной клетки, при интраперикардиальных гемор</w:t>
        <w:softHyphen/>
        <w:t>рагиях с образованием геморрагического выпота в перикар - диальной полости, а также вследствие других непосред</w:t>
        <w:softHyphen/>
        <w:t>ственных повреждений сердца.</w:t>
      </w:r>
    </w:p>
    <w:p>
      <w:pPr>
        <w:pStyle w:val="Style30"/>
        <w:widowControl w:val="0"/>
        <w:keepNext w:val="0"/>
        <w:keepLines w:val="0"/>
        <w:shd w:val="clear" w:color="auto" w:fill="auto"/>
        <w:bidi w:val="0"/>
        <w:spacing w:before="0" w:after="180"/>
        <w:ind w:left="0" w:right="0" w:firstLine="300"/>
      </w:pPr>
      <w:r>
        <w:rPr>
          <w:lang w:val="ru-RU" w:eastAsia="ru-RU" w:bidi="ru-RU"/>
          <w:w w:val="100"/>
          <w:spacing w:val="0"/>
          <w:color w:val="000000"/>
          <w:position w:val="0"/>
        </w:rPr>
        <w:t>Эпистенокардический перикардит является следствием некротических изменений при трансмуральном инфаркте миокарда. Его обнаруживают у 20-30% умерших от инфарк</w:t>
        <w:softHyphen/>
        <w:t>та миокарда. При подагре перикардит связывают с микро</w:t>
        <w:softHyphen/>
        <w:t>травмами, отложениями солей.</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Перикардит при острых лейкозах обусловлен поврежде</w:t>
        <w:softHyphen/>
        <w:t>нием перикарда лейкозными клетками или кровоизлияни</w:t>
        <w:softHyphen/>
        <w:t>ями в перикард. При хронических лейкозах очаги патоло</w:t>
        <w:softHyphen/>
        <w:t>гического кроветворения возникают в сердце почти в поло</w:t>
        <w:softHyphen/>
        <w:t>вине случаев, иногда они образуют узелковые разрастания или инфильтрируют оболочки. В отдельных случаях пери</w:t>
        <w:softHyphen/>
        <w:t>кардит развивается при лимфогранулематозе и некоторых лимфомах.</w:t>
      </w:r>
    </w:p>
    <w:p>
      <w:pPr>
        <w:pStyle w:val="Style30"/>
        <w:widowControl w:val="0"/>
        <w:keepNext w:val="0"/>
        <w:keepLines w:val="0"/>
        <w:shd w:val="clear" w:color="auto" w:fill="auto"/>
        <w:bidi w:val="0"/>
        <w:spacing w:before="0" w:after="0"/>
        <w:ind w:left="0" w:right="0" w:firstLine="300"/>
      </w:pPr>
      <w:r>
        <w:pict>
          <v:shape id="_x0000_s1516" type="#_x0000_t75" style="position:absolute;margin-left:136.8pt;margin-top:736.8pt;width:209.75pt;height:14.9pt;z-index:-125829050;mso-wrap-distance-left:136.8pt;mso-wrap-distance-right:148.1pt;mso-wrap-distance-bottom:10.8pt;mso-position-horizontal-relative:margin;mso-position-vertical-relative:margin" wrapcoords="0 0 21600 0 21600 21600 0 21600 0 0">
            <v:imagedata r:id="rId812" r:href="rId813"/>
            <w10:wrap type="topAndBottom" anchorx="margin" anchory="margin"/>
          </v:shape>
        </w:pict>
      </w:r>
      <w:r>
        <w:rPr>
          <w:lang w:val="ru-RU" w:eastAsia="ru-RU" w:bidi="ru-RU"/>
          <w:w w:val="100"/>
          <w:spacing w:val="0"/>
          <w:color w:val="000000"/>
          <w:position w:val="0"/>
        </w:rPr>
        <w:t>Перикардит при опухолях обычно связан с ростом зло</w:t>
        <w:softHyphen/>
        <w:t>качественных новообразований, исходящих из перикарда или прорастающих его извне. Доброкачественные опухоли редко бывают причиной перикардита, за исключением ге</w:t>
        <w:softHyphen/>
        <w:t>мангиом серозного перикарда, осложняющихся гемопери</w:t>
        <w:softHyphen/>
        <w:t>кардом, который может привести к развитию перикардита.</w:t>
      </w:r>
      <w:r>
        <w:br w:type="page"/>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Лучевые перикардиты при острой лучевой болезни воз</w:t>
        <w:softHyphen/>
        <w:t>никают в результате развития мелких множественных кро</w:t>
        <w:softHyphen/>
        <w:t>воизлияний в обе пластинки перикарда с последующим формированием в ряде случаев серозно-фибринозного пе</w:t>
        <w:softHyphen/>
        <w:t>рикардита. У больных, которым проводилась лучевая тера</w:t>
        <w:softHyphen/>
        <w:t>пия на область средостения и левую половину грудной клетки, перикардит обнаруживается в сроки от 6 мес. до 3 лет после облучения в дозах 2500-4000 Рад.</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Уремический перикардит. До эры гемодиализа частота уре</w:t>
        <w:softHyphen/>
        <w:t>мических перикардитов составляла 35-50% и возникала у больных с почечной недостаточностью, обычно в терми</w:t>
        <w:softHyphen/>
        <w:t>нальных ее стадиях. Уремический перикардит бывает сухим, серофибринозным или геморрагическим. Состояние может быть труднодиагностируемым, поскольку наличие кардио- мегалии и застойной сердечной недостаточности нередко направляет диагностический поиск по другому руслу. С при</w:t>
        <w:softHyphen/>
        <w:t>менением диализа частота перикардитов у почечных боль</w:t>
        <w:softHyphen/>
        <w:t>ных снизилась до 10%. Возникновение перикардита не всег</w:t>
        <w:softHyphen/>
        <w:t>да соответствует высокому уровню гиперазотемии и связано, по-видимому, с выделением серозными оболочками, в т.ч. перикардом, различных токсических веществ, накапливаю</w:t>
        <w:softHyphen/>
        <w:t>щихся в организме. Острый перикардит наблюдается и у больных, находящихся на гемодиализе; у них часто разви</w:t>
        <w:softHyphen/>
        <w:t>вается гемоперикард, что связывают с гепаринизацией, про</w:t>
        <w:softHyphen/>
        <w:t>водимой на фоне уремии. Эти формы протекают особенно тяжело, приводят к тампонаде, а в последующем — к кон- стрикции сердца. Если уремический перикардит не исчезает, несмотря на интенсивный диализ, в течение 7-10 дней, пока</w:t>
        <w:softHyphen/>
        <w:t>зан перикардиоцентез или перикардэктомия.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Иммуногенные перикардиты обусловлены изменениями иммунной системы организма под влиянием разных при</w:t>
        <w:softHyphen/>
        <w:t>чин. Общим для всех перикардитов этой группы является участие в их патогенезе реакций антиген — антитело, что предполагает предварительную сенсибилизацию организма экзоаллергенами (неинфекционной либо инфекционной природы) или эндоаллергенами, которыми могут быть и из</w:t>
        <w:softHyphen/>
        <w:t>мененные собственные ткани организма.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Аллергические перикардиты наблюдаются в ряде случаев после введения сывороток (противостолбнячной и др.), при применении некоторых лекарств при сенной лихорад</w:t>
        <w:softHyphen/>
        <w:t>ке как проявление синдрома Леффлера.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Аллергические перикардиты характеризуются острым началом с резкой болью в области сердца и склонностью к рецидивам, возникают через некоторый срок после воз</w:t>
        <w:softHyphen/>
        <w:t>действия разрешающего фактора (введение сыворотки или аллергизирующего лекарства). Протекают обычно в форме миоперикардита с образованием серофибринозного выпо</w:t>
        <w:softHyphen/>
        <w:t>та, кожными высыпаниями и другими проявлениями ле</w:t>
        <w:softHyphen/>
        <w:t>карственной болезни или аллергического состояния.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Аутоагрессивные (альтерогенные) перикардиты связаны с различными повреждениями сердечной сорочки: постин</w:t>
        <w:softHyphen/>
        <w:t>фарктный, посткомиссуротомный, постперикардотомный.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часто постинфарктный синдром (синдром Дресслера) с четкими, иногда бурными проявлениями воз</w:t>
        <w:softHyphen/>
        <w:t>никает на 3-й неделе острого инфаркта миокарда, когда об</w:t>
        <w:softHyphen/>
        <w:t>наруживается наиболее высокий титр циркулирующих ан</w:t>
        <w:softHyphen/>
        <w:t>тител к антигенам миокарда. Постинфарктный синдром может впервые сформироваться в широком временном ди</w:t>
        <w:softHyphen/>
        <w:br w:type="column"/>
        <w:t>апазоне — от 10 дней до 2 лет после инфаркта в зависимос</w:t>
        <w:softHyphen/>
        <w:t>ти от характера течения ИБС и ряда привходящих факто</w:t>
        <w:softHyphen/>
        <w:t>ров, а при повторном инфаркте возникает часто с первых дней острого коронарного синдрома.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Аналогичные патогенетические механизмы и сходное кли</w:t>
        <w:softHyphen/>
        <w:t>ническое течение имеют посткомиссуротомный, постпери</w:t>
        <w:softHyphen/>
        <w:t>кардотомный, посттравматический синдромы. Все эти вари</w:t>
        <w:softHyphen/>
        <w:t>анты аутоиммунных перикардитов могут протекать с одновре - менным плевритом и очаговой пневмонией, с высокой темпе</w:t>
        <w:softHyphen/>
        <w:t>ратурой в течение нескольких дней. При рецидивах альтеро- генного синдрома у больных может отсутствовать централь</w:t>
        <w:softHyphen/>
        <w:t>ный его клинический признак — шум трения перикарда, если произошла облитерация сердечной сорочки. В этих случаях об активизации процесса говорят боль, изменения ЭКГ и другие признаки рецидива постинфарктного (или постперикардо- томного) синдрома, в том числе процессы внесердечной лока</w:t>
        <w:softHyphen/>
        <w:t>лизации — очаговая пневмония, плеврит, артрит. В крови об</w:t>
        <w:softHyphen/>
        <w:t>наруживают эозинофилию, выпот тоже содержит много эози</w:t>
        <w:softHyphen/>
        <w:t>нофилов, стерилен. Эффективно лечение кортикостероидны</w:t>
        <w:softHyphen/>
        <w:t xml:space="preserve">ми препаратами (диагностика ех </w:t>
      </w:r>
      <w:r>
        <w:rPr>
          <w:lang w:val="en-US" w:eastAsia="en-US" w:bidi="en-US"/>
          <w:w w:val="100"/>
          <w:spacing w:val="0"/>
          <w:color w:val="000000"/>
          <w:position w:val="0"/>
        </w:rPr>
        <w:t>juvantibus).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Постперикардотомный синдром наблюдается у боль</w:t>
        <w:softHyphen/>
        <w:t>ных, перенесших кардиохирургическую операцию, затра</w:t>
        <w:softHyphen/>
        <w:t>гивавшую полость перикарда. Обычно наблюдается у взрослых больных, но описан ряд случаев и у детей. При</w:t>
        <w:softHyphen/>
        <w:t>мерно у 30% больных, перенесших перкардиотомию, через 1-4 недели после операции наблюдается атака острого экс</w:t>
        <w:softHyphen/>
        <w:t>судативного перикардита, сопровождаемая лихорадкой. Максимально отсроченные сроки появления постперикар- диотомического синдрома — 6 месяцев. Обычно наличие перикардиального выпота сопровождается наличием экс</w:t>
        <w:softHyphen/>
        <w:t>судата в плевральной полости. В клиническом анализе кро</w:t>
        <w:softHyphen/>
        <w:t>ви отмечается умеренный полиморфонуклеарный лейко</w:t>
        <w:softHyphen/>
        <w:t>цитоз. У всех больных при иммунологическом исследова</w:t>
        <w:softHyphen/>
        <w:t>нии определяется наличие антикардиальных антител и у 70% — наличие антител к вирусам коксаки В, аденови</w:t>
        <w:softHyphen/>
        <w:t>русам или цитомегаловирусам.</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Лечение заключается в предписании строгого постель</w:t>
        <w:softHyphen/>
        <w:t xml:space="preserve">ного режима и назначении </w:t>
      </w:r>
      <w:r>
        <w:rPr>
          <w:rStyle w:val="CharStyle103"/>
        </w:rPr>
        <w:t xml:space="preserve">ацетилсалициловой кислоты </w:t>
      </w:r>
      <w:r>
        <w:rPr>
          <w:rStyle w:val="CharStyle103"/>
          <w:lang w:val="en-US" w:eastAsia="en-US" w:bidi="en-US"/>
        </w:rPr>
        <w:t>(Acetylsalicylic acid)</w:t>
      </w:r>
      <w:r>
        <w:rPr>
          <w:lang w:val="en-US" w:eastAsia="en-US" w:bidi="en-US"/>
          <w:w w:val="100"/>
          <w:spacing w:val="0"/>
          <w:color w:val="000000"/>
          <w:position w:val="0"/>
        </w:rPr>
        <w:t xml:space="preserve"> </w:t>
      </w:r>
      <w:r>
        <w:rPr>
          <w:lang w:val="ru-RU" w:eastAsia="ru-RU" w:bidi="ru-RU"/>
          <w:w w:val="100"/>
          <w:spacing w:val="0"/>
          <w:color w:val="000000"/>
          <w:position w:val="0"/>
        </w:rPr>
        <w:t>в дозе 120 мг/кг/сут. Если острая атака перикардита снята, лечение может быть постепенно отме</w:t>
        <w:softHyphen/>
        <w:t>нено в течение 6 недель. Более быстрая отмена препарата приводит к повторным атакам перикардита, которые на</w:t>
        <w:softHyphen/>
        <w:t>блюдаются у 10-15% больных. Если не получен ответ на те</w:t>
        <w:softHyphen/>
        <w:t xml:space="preserve">рапию салициловой кислотой </w:t>
      </w:r>
      <w:r>
        <w:rPr>
          <w:rStyle w:val="CharStyle103"/>
          <w:lang w:val="en-US" w:eastAsia="en-US" w:bidi="en-US"/>
        </w:rPr>
        <w:t>(Acetylsalicylic acid)</w:t>
      </w:r>
      <w:r>
        <w:rPr>
          <w:lang w:val="en-US" w:eastAsia="en-US" w:bidi="en-US"/>
          <w:w w:val="100"/>
          <w:spacing w:val="0"/>
          <w:color w:val="000000"/>
          <w:position w:val="0"/>
        </w:rPr>
        <w:t xml:space="preserve"> </w:t>
      </w:r>
      <w:r>
        <w:rPr>
          <w:lang w:val="ru-RU" w:eastAsia="ru-RU" w:bidi="ru-RU"/>
          <w:w w:val="100"/>
          <w:spacing w:val="0"/>
          <w:color w:val="000000"/>
          <w:position w:val="0"/>
        </w:rPr>
        <w:t>и количе</w:t>
        <w:softHyphen/>
        <w:t>ство жидкости в перикарде увеличивается, показано назна</w:t>
        <w:softHyphen/>
        <w:t xml:space="preserve">чение </w:t>
      </w:r>
      <w:r>
        <w:rPr>
          <w:rStyle w:val="CharStyle103"/>
        </w:rPr>
        <w:t xml:space="preserve">преднизолона </w:t>
      </w:r>
      <w:r>
        <w:rPr>
          <w:rStyle w:val="CharStyle103"/>
          <w:lang w:val="en-US" w:eastAsia="en-US" w:bidi="en-US"/>
        </w:rPr>
        <w:t>(Prednisolon)</w:t>
      </w:r>
      <w:r>
        <w:rPr>
          <w:lang w:val="en-US" w:eastAsia="en-US" w:bidi="en-US"/>
          <w:w w:val="100"/>
          <w:spacing w:val="0"/>
          <w:color w:val="000000"/>
          <w:position w:val="0"/>
        </w:rPr>
        <w:t xml:space="preserve"> </w:t>
      </w:r>
      <w:r>
        <w:rPr>
          <w:lang w:val="ru-RU" w:eastAsia="ru-RU" w:bidi="ru-RU"/>
          <w:w w:val="100"/>
          <w:spacing w:val="0"/>
          <w:color w:val="000000"/>
          <w:position w:val="0"/>
        </w:rPr>
        <w:t>в дозе 1-2 мг/кг с постепен</w:t>
        <w:softHyphen/>
        <w:t>ной отменой в те же сроки.</w:t>
      </w:r>
    </w:p>
    <w:p>
      <w:pPr>
        <w:pStyle w:val="Style30"/>
        <w:widowControl w:val="0"/>
        <w:keepNext w:val="0"/>
        <w:keepLines w:val="0"/>
        <w:shd w:val="clear" w:color="auto" w:fill="auto"/>
        <w:bidi w:val="0"/>
        <w:spacing w:before="0" w:after="0"/>
        <w:ind w:left="0" w:right="0" w:firstLine="280"/>
      </w:pPr>
      <w:r>
        <w:pict>
          <v:shape id="_x0000_s1517" type="#_x0000_t75" style="position:absolute;margin-left:148.1pt;margin-top:736.8pt;width:209.75pt;height:14.9pt;z-index:-125829049;mso-wrap-distance-left:148.1pt;mso-wrap-distance-right:136.8pt;mso-wrap-distance-bottom:10.8pt;mso-position-horizontal-relative:margin;mso-position-vertical-relative:margin" wrapcoords="0 0 21600 0 21600 21600 0 21600 0 0">
            <v:imagedata r:id="rId814" r:href="rId815"/>
            <w10:wrap type="topAndBottom" anchorx="margin" anchory="margin"/>
          </v:shape>
        </w:pict>
      </w:r>
      <w:r>
        <w:rPr>
          <w:lang w:val="ru-RU" w:eastAsia="ru-RU" w:bidi="ru-RU"/>
          <w:w w:val="100"/>
          <w:spacing w:val="0"/>
          <w:color w:val="000000"/>
          <w:position w:val="0"/>
        </w:rPr>
        <w:t>Перикардит при системной красной волчанке развивается в 25% случаев, при аутопсии обнаруживается в 62%. Пери</w:t>
        <w:softHyphen/>
        <w:t>кардит чаще возникает у девушек, протекает в виде сухого, экссудативного (чаще геморрагического) или адгезивного процесса. Как правило, одновременно отмечаются плеврит и пневмонит. Иногда перикардит возникает раньше других проявлений системного заболевания, начинается остро, ха</w:t>
        <w:softHyphen/>
        <w:t>рактеризуется упорным рецидивирующим течением. В пе</w:t>
        <w:softHyphen/>
        <w:t>рикардиальном содержимом определяется полиморфонук- леарный лейкоцитоз, нормальное или пониженное содер</w:t>
        <w:softHyphen/>
        <w:t>жание глюкозы. Наряду с этим обнаруживаются аутоанти</w:t>
        <w:softHyphen/>
        <w:t>тела (антинуклеарные антитела). Для волчаночного пери</w:t>
        <w:softHyphen/>
        <w:t>кардита не характерно развитие тампонады и констриктив- ного перикардита.</w:t>
      </w:r>
      <w:r>
        <w:br w:type="page"/>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Появление жидкости в перикарде обычно сопровожда</w:t>
        <w:softHyphen/>
        <w:t>ется значительным повышением температуры у больного. Лечение состоит в первоочередном назначении препаратов салициловой кислоты. В случае рефрактерного течения за</w:t>
        <w:softHyphen/>
        <w:t>болевания или высокой тяжести к лечению может быть подключен стероидный противовоспалительный препа</w:t>
        <w:softHyphen/>
        <w:t xml:space="preserve">рат — как правило, </w:t>
      </w:r>
      <w:r>
        <w:rPr>
          <w:rStyle w:val="CharStyle103"/>
        </w:rPr>
        <w:t xml:space="preserve">преднизолон </w:t>
      </w:r>
      <w:r>
        <w:rPr>
          <w:rStyle w:val="CharStyle103"/>
          <w:lang w:val="en-US" w:eastAsia="en-US" w:bidi="en-US"/>
        </w:rPr>
        <w:t>(Prednisolon).</w:t>
      </w:r>
      <w:r>
        <w:rPr>
          <w:lang w:val="en-US" w:eastAsia="en-US" w:bidi="en-US"/>
          <w:w w:val="100"/>
          <w:spacing w:val="0"/>
          <w:color w:val="000000"/>
          <w:position w:val="0"/>
        </w:rPr>
        <w:t xml:space="preserve"> </w:t>
      </w:r>
      <w:r>
        <w:rPr>
          <w:lang w:val="ru-RU" w:eastAsia="ru-RU" w:bidi="ru-RU"/>
          <w:w w:val="100"/>
          <w:spacing w:val="0"/>
          <w:color w:val="000000"/>
          <w:position w:val="0"/>
        </w:rPr>
        <w:t>Следует отме</w:t>
        <w:softHyphen/>
        <w:t>тить, что выпот в полости перикарда может длительное вре</w:t>
        <w:softHyphen/>
        <w:t>мя персистировать даже при исчезновении других симпто</w:t>
        <w:softHyphen/>
        <w:t>мов на фоне назначения преднизолона. Необходимость в проведении перикардиального дренажа возникает редко.</w:t>
      </w:r>
    </w:p>
    <w:p>
      <w:pPr>
        <w:pStyle w:val="Style92"/>
        <w:widowControl w:val="0"/>
        <w:keepNext/>
        <w:keepLines/>
        <w:shd w:val="clear" w:color="auto" w:fill="auto"/>
        <w:bidi w:val="0"/>
        <w:spacing w:before="0" w:after="0"/>
        <w:ind w:left="0" w:right="0" w:firstLine="280"/>
      </w:pPr>
      <w:bookmarkStart w:id="512" w:name="bookmark512"/>
      <w:r>
        <w:rPr>
          <w:lang w:val="ru-RU" w:eastAsia="ru-RU" w:bidi="ru-RU"/>
          <w:w w:val="100"/>
          <w:spacing w:val="0"/>
          <w:color w:val="000000"/>
          <w:position w:val="0"/>
        </w:rPr>
        <w:t>Перикардит при ревматоидном артрите</w:t>
      </w:r>
      <w:bookmarkEnd w:id="512"/>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Перикардит при ревматоидном артрите наблюдается по аутопсийным данным в 11-15% случаев. Эхокардиография позволяет выявлять выпот в сердечной сорочке с образова</w:t>
        <w:softHyphen/>
        <w:t>нием ревматоидных узелков у 15% больных, без таковых — в 50% случаев. Перикардит обычно протекает бессимптом</w:t>
        <w:softHyphen/>
        <w:t>но и лишь в 5-6% проявляется клинически у подростков. Очень редко перикардит предшествует симптоматике ос</w:t>
        <w:softHyphen/>
        <w:t>новного заболевания. На ЭКГ определяются типичные для перикардита проявления, обычно маскируемые проводи</w:t>
        <w:softHyphen/>
        <w:t>мым основным заболеванием. При пункции перикарда оп</w:t>
        <w:softHyphen/>
        <w:t>ределяется серозное или геморрагическое содержимое, со</w:t>
        <w:softHyphen/>
        <w:t>держание глюкозы — менее 45 мг/дл, лейкоциты — более 15 000/мм</w:t>
      </w:r>
      <w:r>
        <w:rPr>
          <w:lang w:val="ru-RU" w:eastAsia="ru-RU" w:bidi="ru-RU"/>
          <w:vertAlign w:val="superscript"/>
          <w:w w:val="100"/>
          <w:spacing w:val="0"/>
          <w:color w:val="000000"/>
          <w:position w:val="0"/>
        </w:rPr>
        <w:t>2</w:t>
      </w:r>
      <w:r>
        <w:rPr>
          <w:lang w:val="ru-RU" w:eastAsia="ru-RU" w:bidi="ru-RU"/>
          <w:w w:val="100"/>
          <w:spacing w:val="0"/>
          <w:color w:val="000000"/>
          <w:position w:val="0"/>
        </w:rPr>
        <w:t xml:space="preserve"> с цитоплазматическими включениями, уровень протеина — более 5 г/дл, низкий общий плазменный ком</w:t>
        <w:softHyphen/>
        <w:t xml:space="preserve">племент </w:t>
      </w:r>
      <w:r>
        <w:rPr>
          <w:lang w:val="en-US" w:eastAsia="en-US" w:bidi="en-US"/>
          <w:w w:val="100"/>
          <w:spacing w:val="0"/>
          <w:color w:val="000000"/>
          <w:position w:val="0"/>
        </w:rPr>
        <w:t>(CH</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o), </w:t>
      </w:r>
      <w:r>
        <w:rPr>
          <w:lang w:val="ru-RU" w:eastAsia="ru-RU" w:bidi="ru-RU"/>
          <w:w w:val="100"/>
          <w:spacing w:val="0"/>
          <w:color w:val="000000"/>
          <w:position w:val="0"/>
        </w:rPr>
        <w:t xml:space="preserve">высокий уровень </w:t>
      </w:r>
      <w:r>
        <w:rPr>
          <w:lang w:val="en-US" w:eastAsia="en-US" w:bidi="en-US"/>
          <w:w w:val="100"/>
          <w:spacing w:val="0"/>
          <w:color w:val="000000"/>
          <w:position w:val="0"/>
        </w:rPr>
        <w:t xml:space="preserve">IgG </w:t>
      </w:r>
      <w:r>
        <w:rPr>
          <w:lang w:val="ru-RU" w:eastAsia="ru-RU" w:bidi="ru-RU"/>
          <w:w w:val="100"/>
          <w:spacing w:val="0"/>
          <w:color w:val="000000"/>
          <w:position w:val="0"/>
        </w:rPr>
        <w:t>и ревматоидного фактора. Уровень холестерина может быть умеренно повы</w:t>
        <w:softHyphen/>
        <w:t>шенным. При лечении основного заболевания симптомы перикардита исчезают.</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Перикардит при склеродермии обнаруживается в 5-10% случаев данного заболевания, при аутопсии его частота до</w:t>
        <w:softHyphen/>
        <w:t>стигает 70%. Часто перикардит сопровождается миокарди</w:t>
        <w:softHyphen/>
        <w:t>альной недостаточностью. Важной особенностью перикар</w:t>
        <w:softHyphen/>
        <w:t>дита при склеродермии является сочетание его с рестрик</w:t>
        <w:softHyphen/>
        <w:t>тивной кардиомиопатией, легочной гипертензией, выра</w:t>
        <w:softHyphen/>
        <w:t>женной правожелудочковой недостаточностью. В перикар</w:t>
        <w:softHyphen/>
        <w:t xml:space="preserve">диальном содержимом определяется большое содержание белка (больше 5 </w:t>
      </w:r>
      <w:r>
        <w:rPr>
          <w:lang w:val="en-US" w:eastAsia="en-US" w:bidi="en-US"/>
          <w:w w:val="100"/>
          <w:spacing w:val="0"/>
          <w:color w:val="000000"/>
          <w:position w:val="0"/>
        </w:rPr>
        <w:t xml:space="preserve">g/dL), </w:t>
      </w:r>
      <w:r>
        <w:rPr>
          <w:lang w:val="ru-RU" w:eastAsia="ru-RU" w:bidi="ru-RU"/>
          <w:w w:val="100"/>
          <w:spacing w:val="0"/>
          <w:color w:val="000000"/>
          <w:position w:val="0"/>
        </w:rPr>
        <w:t>низкий цитоз, антитела, характер</w:t>
        <w:softHyphen/>
        <w:t>ные для ревматоидного артрита и системной красной вол</w:t>
        <w:softHyphen/>
        <w:t>чанки, не выявляются.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Ксантоматозный (холестериновый) перикардит развивает</w:t>
        <w:softHyphen/>
        <w:t>ся в тех случаях, когда абсорбционная способность пери</w:t>
        <w:softHyphen/>
        <w:t>карда резко снижена независимо от первопричины пери</w:t>
        <w:softHyphen/>
        <w:t>кардита. В этих условиях в результате медленного распада липопротеиновых комплексов, содержащихся в выпоте, в нем образуются многочисленные кристаллы холестерина. Ксантоматозные перикардиты возникают вне зависимости от уровня холестерина в крови, течение их длительное, про</w:t>
        <w:softHyphen/>
        <w:t>гноз благоприятный.</w:t>
      </w:r>
    </w:p>
    <w:p>
      <w:pPr>
        <w:pStyle w:val="Style92"/>
        <w:widowControl w:val="0"/>
        <w:keepNext/>
        <w:keepLines/>
        <w:shd w:val="clear" w:color="auto" w:fill="auto"/>
        <w:bidi w:val="0"/>
        <w:spacing w:before="0" w:after="0"/>
        <w:ind w:left="0" w:right="0" w:firstLine="280"/>
      </w:pPr>
      <w:bookmarkStart w:id="513" w:name="bookmark513"/>
      <w:r>
        <w:rPr>
          <w:lang w:val="ru-RU" w:eastAsia="ru-RU" w:bidi="ru-RU"/>
          <w:w w:val="100"/>
          <w:spacing w:val="0"/>
          <w:color w:val="000000"/>
          <w:position w:val="0"/>
        </w:rPr>
        <w:t>Гидроперикард</w:t>
      </w:r>
      <w:bookmarkEnd w:id="51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больных с сердечной недостаточностью встречается гидроперикард, который обычно не дает характерной кли</w:t>
        <w:softHyphen/>
        <w:t>нической картины, т.к. накопление жидкости в полости пе</w:t>
        <w:softHyphen/>
        <w:t>рикарда происходит медленно. Гидроперикард описан при скорбуте, болезни «бери-бери», микседеме.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 развитию гидроперикарда могут приводить сердечная недостаточность, заболевания почек, различные гидреми-</w:t>
        <w:br w:type="column"/>
        <w:t>ческие, кахектические состояния. Все эти заболевания со</w:t>
        <w:softHyphen/>
        <w:t>провождаются асцитом, анасаркой. При обследовании больных с тяжелыми формами недостаточности кровообра</w:t>
        <w:softHyphen/>
        <w:t>щения при скоплении жидкости в полости перикарда мо</w:t>
        <w:softHyphen/>
        <w:t>жет сложиться ошибочное впечатление о дилатации сердца.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Гидроперикард диагностируют при проведении эхокар</w:t>
        <w:softHyphen/>
        <w:t>диографического исследования. Болей в области сердца и шума трения при гидроперикарде не бывает, но иногда выслушивается шум касания, сходный с коротким легким трением. Накопление большого количества жидкости в пе</w:t>
        <w:softHyphen/>
        <w:t>рикарде служит показанием для эвакуации выпота. Диффе</w:t>
        <w:softHyphen/>
        <w:t>ренциальный диагноз между гидроперикардом и экссуда</w:t>
        <w:softHyphen/>
        <w:t>тивным перикардитом окончательно решается при иссле</w:t>
        <w:softHyphen/>
        <w:t>довании аспирированной жидкости.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Гидроперикард при гипотиреозе обусловливает около 4% случаев выпотных перикардитов у детей. Обычно пораже</w:t>
        <w:softHyphen/>
        <w:t>ние перикарда наблюдается при тяжелых формах заболева</w:t>
        <w:softHyphen/>
        <w:t>ния. У больных перикардиальный выпот достигает боль</w:t>
        <w:softHyphen/>
        <w:t>ших размеров, но обычно не приводит к тампонаде пери</w:t>
        <w:softHyphen/>
        <w:t>карда. Перикардиальная жидкость, полученная при пунк</w:t>
        <w:softHyphen/>
        <w:t>ции, прозрачная, имеет лимонно-желтый цвет, своеобраз</w:t>
        <w:softHyphen/>
        <w:t>ный «слизистый» характер и отличается высокой относи</w:t>
        <w:softHyphen/>
        <w:t>тельной плотностью с высоким содержанием протеинов и белка и небольшим количеством клеточных элементов. Характерен низкий вольтаж предсердных и желудочковых комплексов на ЭКГ, поражения миокарда не наблюдается. Самостоятельного клинического значения гидроперикард при микседеме обычно не имеет. При успешной терапии тиреоидными гормонами выпот быстро и полностью расса</w:t>
        <w:softHyphen/>
        <w:t>сывается.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Хилоперикард. Возникает очень редко в тех случаях, когда в результате ранения, разрушения тканей новообразованием или по иной причине образуется сообщение перикардиаль</w:t>
        <w:softHyphen/>
        <w:t>ной полости с грудным лимфатическим протоком. Развива</w:t>
        <w:softHyphen/>
        <w:t>ются симптомы накопления выпота в перикарде. Диагноз может быть поставлен только после пункции перикарда в ре</w:t>
        <w:softHyphen/>
        <w:t>зультате исследования полученной жидкости. Основным ме</w:t>
        <w:softHyphen/>
        <w:t>тодом лечения при хилоперикарде является хирургическая перевязка сообщения с лимфатическим протоком.</w:t>
      </w:r>
    </w:p>
    <w:p>
      <w:pPr>
        <w:pStyle w:val="Style30"/>
        <w:widowControl w:val="0"/>
        <w:keepNext w:val="0"/>
        <w:keepLines w:val="0"/>
        <w:shd w:val="clear" w:color="auto" w:fill="auto"/>
        <w:bidi w:val="0"/>
        <w:spacing w:before="0" w:after="177"/>
        <w:ind w:left="0" w:right="0" w:firstLine="280"/>
      </w:pPr>
      <w:r>
        <w:rPr>
          <w:lang w:val="ru-RU" w:eastAsia="ru-RU" w:bidi="ru-RU"/>
          <w:w w:val="100"/>
          <w:spacing w:val="0"/>
          <w:color w:val="000000"/>
          <w:position w:val="0"/>
        </w:rPr>
        <w:t>Паразитарные поражения перикарда (эхинококк, цисти- церк, трихинеллы) у детей встречаются казуистически ред</w:t>
        <w:softHyphen/>
        <w:t>ко. Среди эхинококковых поражений всех локализаций на сердце и перикард приходится от 0,9 до 1,75% случаев. Обычно первичной бывает локализация паразитарных кист в сердечной мышце. Они со временем достигают эпикарда и начинают выбухать в полость околосердечной сумки. Иногда происходит разрыв кисты. В ряде случаев наряду с другими признаками аллергизации организма у больных возникают плеврит, полиартралгия, а на более поздних ста</w:t>
        <w:softHyphen/>
        <w:t>диях — выраженная одышка, отеки и цианоз. В случае гибе</w:t>
        <w:softHyphen/>
        <w:t>ли паразита происходит обызвествление кисты. При про</w:t>
        <w:softHyphen/>
        <w:t>грессирующем росте кист необходимо хирургическое лече</w:t>
        <w:softHyphen/>
        <w:t>ние.</w:t>
      </w:r>
    </w:p>
    <w:p>
      <w:pPr>
        <w:pStyle w:val="Style28"/>
        <w:widowControl w:val="0"/>
        <w:keepNext/>
        <w:keepLines/>
        <w:shd w:val="clear" w:color="auto" w:fill="auto"/>
        <w:bidi w:val="0"/>
        <w:jc w:val="both"/>
        <w:spacing w:before="0" w:after="93" w:line="220" w:lineRule="exact"/>
        <w:ind w:left="0" w:right="0" w:firstLine="0"/>
      </w:pPr>
      <w:bookmarkStart w:id="514" w:name="bookmark514"/>
      <w:r>
        <w:rPr>
          <w:lang w:val="ru-RU" w:eastAsia="ru-RU" w:bidi="ru-RU"/>
          <w:w w:val="100"/>
          <w:spacing w:val="0"/>
          <w:color w:val="000000"/>
          <w:position w:val="0"/>
        </w:rPr>
        <w:t>Опухоли перикарда</w:t>
      </w:r>
      <w:bookmarkEnd w:id="514"/>
    </w:p>
    <w:p>
      <w:pPr>
        <w:pStyle w:val="Style92"/>
        <w:widowControl w:val="0"/>
        <w:keepNext/>
        <w:keepLines/>
        <w:shd w:val="clear" w:color="auto" w:fill="auto"/>
        <w:bidi w:val="0"/>
        <w:spacing w:before="0" w:after="0"/>
        <w:ind w:left="0" w:right="0" w:firstLine="280"/>
      </w:pPr>
      <w:bookmarkStart w:id="515" w:name="bookmark515"/>
      <w:r>
        <w:rPr>
          <w:lang w:val="ru-RU" w:eastAsia="ru-RU" w:bidi="ru-RU"/>
          <w:w w:val="100"/>
          <w:spacing w:val="0"/>
          <w:color w:val="000000"/>
          <w:position w:val="0"/>
        </w:rPr>
        <w:t>Злокачественные опухоли перикарда</w:t>
      </w:r>
      <w:bookmarkEnd w:id="515"/>
    </w:p>
    <w:p>
      <w:pPr>
        <w:pStyle w:val="Style30"/>
        <w:widowControl w:val="0"/>
        <w:keepNext w:val="0"/>
        <w:keepLines w:val="0"/>
        <w:shd w:val="clear" w:color="auto" w:fill="auto"/>
        <w:bidi w:val="0"/>
        <w:spacing w:before="0" w:after="0"/>
        <w:ind w:left="0" w:right="0" w:firstLine="280"/>
      </w:pPr>
      <w:r>
        <w:pict>
          <v:shape id="_x0000_s1518" type="#_x0000_t75" style="position:absolute;margin-left:136.8pt;margin-top:736.8pt;width:209.75pt;height:14.9pt;z-index:-125829048;mso-wrap-distance-left:136.8pt;mso-wrap-distance-right:148.1pt;mso-wrap-distance-bottom:10.8pt;mso-position-horizontal-relative:margin;mso-position-vertical-relative:margin" wrapcoords="0 0 21600 0 21600 21600 0 21600 0 0">
            <v:imagedata r:id="rId816" r:href="rId817"/>
            <w10:wrap type="topAndBottom" anchorx="margin" anchory="margin"/>
          </v:shape>
        </w:pict>
      </w:r>
      <w:r>
        <w:rPr>
          <w:lang w:val="ru-RU" w:eastAsia="ru-RU" w:bidi="ru-RU"/>
          <w:w w:val="100"/>
          <w:spacing w:val="0"/>
          <w:color w:val="000000"/>
          <w:position w:val="0"/>
        </w:rPr>
        <w:t>Первичные опухоли перикарда развиваются чаще из эпикарда в области переходной складки. Далеко не всегда</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удается определить место первоначального роста опухоли. Исходной тканью роста злокачественных опухолей пери</w:t>
        <w:softHyphen/>
        <w:t>карда могут быть соединительнотканные структуры обо</w:t>
        <w:softHyphen/>
        <w:t>лочки сердца и покровные клетки мезотелия. Первичные опухоли сердца встречаются в любом возрасте, начиная с детского.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Перикардиальный выпот является частым осложнением здокачественных новообразований у детей и составляет от 5 до 15% по данным аутопсий. Основными злокачествен</w:t>
        <w:softHyphen/>
        <w:t>ными опухолями перикарда или метастазирующими в пе</w:t>
        <w:softHyphen/>
        <w:t>рикард являются: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Первичные злокачественные неоплазмы:</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Перикардиальная мезотелиома.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Фибросаркома.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Ангиосаркома.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Липосаркома.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Лимфома.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Злокачественная перикардиальная тератома.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Рабдомиосаркома с туберозным склерозом.</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Феохромоцитома.</w:t>
      </w:r>
    </w:p>
    <w:p>
      <w:pPr>
        <w:pStyle w:val="Style30"/>
        <w:numPr>
          <w:ilvl w:val="0"/>
          <w:numId w:val="95"/>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Саркома Капоши и первичная сердечная лимфома в сочетании с ВИЧ-инфекцией.</w:t>
      </w:r>
    </w:p>
    <w:p>
      <w:pPr>
        <w:pStyle w:val="Style30"/>
        <w:numPr>
          <w:ilvl w:val="0"/>
          <w:numId w:val="95"/>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Внутриперикардиальная тератома у плода и ново</w:t>
        <w:softHyphen/>
        <w:t>рожденного.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Метастатические неоплазмы:</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Лимфома.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Нейробластома.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Ганглионейробластома.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Феохромоцитома.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Саркома.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Опухоль Вильмса.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Лимфома Ходжкина.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Первичная медиастинальная </w:t>
      </w:r>
      <w:r>
        <w:rPr>
          <w:lang w:val="en-US" w:eastAsia="en-US" w:bidi="en-US"/>
          <w:w w:val="100"/>
          <w:spacing w:val="0"/>
          <w:color w:val="000000"/>
          <w:position w:val="0"/>
        </w:rPr>
        <w:t>B</w:t>
      </w:r>
      <w:r>
        <w:rPr>
          <w:lang w:val="ru-RU" w:eastAsia="ru-RU" w:bidi="ru-RU"/>
          <w:w w:val="100"/>
          <w:spacing w:val="0"/>
          <w:color w:val="000000"/>
          <w:position w:val="0"/>
        </w:rPr>
        <w:t>-клеточная лимфома;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Ааденокарцинома.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Мезотелиома.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Легочный лимфангиоматоз.</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Злокачественная фиброзная гистиоцитома.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Лейомиосаркома.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Липосаркома.</w:t>
      </w:r>
    </w:p>
    <w:p>
      <w:pPr>
        <w:pStyle w:val="Style30"/>
        <w:numPr>
          <w:ilvl w:val="0"/>
          <w:numId w:val="9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Саркома </w:t>
      </w:r>
      <w:r>
        <w:rPr>
          <w:lang w:val="en-US" w:eastAsia="en-US" w:bidi="en-US"/>
          <w:w w:val="100"/>
          <w:spacing w:val="0"/>
          <w:color w:val="000000"/>
          <w:position w:val="0"/>
        </w:rPr>
        <w:t>High-grade.</w:t>
      </w:r>
    </w:p>
    <w:p>
      <w:pPr>
        <w:pStyle w:val="Style30"/>
        <w:numPr>
          <w:ilvl w:val="0"/>
          <w:numId w:val="95"/>
        </w:numPr>
        <w:tabs>
          <w:tab w:leader="none" w:pos="516" w:val="left"/>
        </w:tabs>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 xml:space="preserve">Лимфома </w:t>
      </w:r>
      <w:r>
        <w:rPr>
          <w:lang w:val="en-US" w:eastAsia="en-US" w:bidi="en-US"/>
          <w:w w:val="100"/>
          <w:spacing w:val="0"/>
          <w:color w:val="000000"/>
          <w:position w:val="0"/>
        </w:rPr>
        <w:t>Burkitt.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Характерен низкий вольтаж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неспе</w:t>
        <w:softHyphen/>
        <w:t xml:space="preserve">цифические изменения сегмента </w:t>
      </w:r>
      <w:r>
        <w:rPr>
          <w:lang w:val="en-US" w:eastAsia="en-US" w:bidi="en-US"/>
          <w:w w:val="100"/>
          <w:spacing w:val="0"/>
          <w:color w:val="000000"/>
          <w:position w:val="0"/>
        </w:rPr>
        <w:t xml:space="preserve">ST, </w:t>
      </w:r>
      <w:r>
        <w:rPr>
          <w:lang w:val="ru-RU" w:eastAsia="ru-RU" w:bidi="ru-RU"/>
          <w:w w:val="100"/>
          <w:spacing w:val="0"/>
          <w:color w:val="000000"/>
          <w:position w:val="0"/>
        </w:rPr>
        <w:t>возможно возникно</w:t>
        <w:softHyphen/>
        <w:t>вение аритмии (предсердная тахикардия, мерцательная аритмия, блокады проводящей системы). В 20% случаев отмечается электрическая альтернация желудочковых комплексов.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Обычно определяется различной степени выраженнос</w:t>
        <w:softHyphen/>
        <w:t>ти кардиомегалия в зависимости от количества перикар</w:t>
        <w:softHyphen/>
        <w:t>диального выпота и быстроты его накопления. Быстрое накопление выпота не приводит к большой кардиомега- лии (сердечная сорочка не успевает адаптироваться к большому растяжению). Медленное накопление выпота приводит к развитию кардиомегалии, сердце приобретает треугольную форму, иногда создается впечатление, что тень сердца полностью заполняет полость грудной клетки. Может наблюдаться плевральный выпот, метастатические депозиты.</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Эхокардиография: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Имеет определяющее значение в диагностике перикар</w:t>
        <w:softHyphen/>
        <w:t>диального выпота; при возникновении компрессии сердца окружающим содержимым определяется нарушение диас</w:t>
        <w:softHyphen/>
        <w:t>толического наполнения сердца. Эхокардиография позво</w:t>
        <w:softHyphen/>
        <w:t>ляет выявить перикардиальный выпот у плода с тератомой.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Саркомы встречаются чаще других первичных злокачес</w:t>
        <w:softHyphen/>
        <w:t>твенных опухолей сердечной сорочки. По консистенции эти опухоли варьируют от почти хрящевой плотности до мягкости губки в зависимости от развития соединительнот</w:t>
        <w:softHyphen/>
        <w:t>канных элементов и сосудов, от распространенности нек</w:t>
        <w:softHyphen/>
        <w:t>ротических участков и полостей с жидким содержимым. Саркомы перикарда могут достигать больших размеров, обычно не метастазируют.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Мезотелиомы могут образовывать утолщение оболоч</w:t>
        <w:softHyphen/>
        <w:t>ки — «раковое глазурное сердце». Мезотелиомы сердечной сорочки не достигают крупных размеров, часто метастази- руют. Типичны метастазы в легкие, плевру, медиастиналь</w:t>
        <w:softHyphen/>
        <w:t>ные лимфатические узлы. В большинстве случаев мезоте- лиома обладает высокой секретирующей способностью, что позволяет заподозрить ее в случае любого геморрагиче</w:t>
        <w:softHyphen/>
        <w:t>ского перикардита с рецидивирующим (после повторных пункций) выпотом.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Рабдомиомы — обычно множественные образования, нередко выступают под эпикард. Если они малигнизируют- ся, то быстро прорастают перикард. Рабдомиомы часто ас</w:t>
        <w:softHyphen/>
        <w:t>социируются с туберозным склерозом. У детей до 4-х лет могут иметь обратный регресс.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Метастатические опухоли перикарда. Чаще встречаются первичные злокачественные опухоли перикарда. Чаще сре</w:t>
        <w:softHyphen/>
        <w:t>ди метастатических опухолей сердца встречаются опухоль Вильмса, раки, реже — саркомы и меланомы, лимфомы.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лимфо- и гематогенном метастазировании опухоль растет одним или несколькими узлами. В других случаях ге - матогенная диссеминация происходит в виде множествен</w:t>
        <w:softHyphen/>
        <w:t>ных мелких узелков, главным образом в эпикарде по ходу сосудов, напоминая высыпания туберкулезных узелков. При непосредственном прорастании извне иногда поража</w:t>
        <w:softHyphen/>
        <w:t>ется один париетальный перикард, полость сердечной со</w:t>
        <w:softHyphen/>
        <w:t>рочки служит как бы рубежом опухоли, и эпикард остается нетронутым. Опухоль охватывает сердце с разных сторон, образуя вокруг него мощную оболочку («раковое панцир</w:t>
        <w:softHyphen/>
        <w:t>ное сердце»). Заболевание приобретает черты сходства с констриктивным перикардитом, так как опухоль посте</w:t>
        <w:softHyphen/>
        <w:t>пенно сдавливает сердце и нарушает кровообращение. При росте злокачественной' опухоли узлом она во многом напоминает клиническую картину доброкачественной опу</w:t>
        <w:softHyphen/>
        <w:t>холи и может длительно не вызывать нарушений самочув</w:t>
        <w:softHyphen/>
        <w:t>ствия больного. Сердечная тень увеличивается в одном на</w:t>
        <w:softHyphen/>
        <w:t>правлении, возникает ее многоконтурность или узлова</w:t>
        <w:softHyphen/>
        <w:t>тость. В большинстве случаев симптоматика опухоли опре</w:t>
        <w:softHyphen/>
        <w:t>деляется перикардитом, который осложняет ее. Первыми симптомами бывают неприятные ощущения в области сердца и чувство давления в груди, переходящее в боль по</w:t>
        <w:softHyphen/>
        <w:t>стоянного характера.</w:t>
      </w:r>
    </w:p>
    <w:p>
      <w:pPr>
        <w:pStyle w:val="Style30"/>
        <w:widowControl w:val="0"/>
        <w:keepNext w:val="0"/>
        <w:keepLines w:val="0"/>
        <w:shd w:val="clear" w:color="auto" w:fill="auto"/>
        <w:bidi w:val="0"/>
        <w:spacing w:before="0" w:after="0"/>
        <w:ind w:left="0" w:right="0" w:firstLine="280"/>
      </w:pPr>
      <w:r>
        <w:pict>
          <v:shape id="_x0000_s1519" type="#_x0000_t75" style="position:absolute;margin-left:148.1pt;margin-top:736.8pt;width:209.75pt;height:14.9pt;z-index:-125829047;mso-wrap-distance-left:148.1pt;mso-wrap-distance-right:136.8pt;mso-wrap-distance-bottom:10.8pt;mso-position-horizontal-relative:margin;mso-position-vertical-relative:margin" wrapcoords="0 0 21600 0 21600 21600 0 21600 0 0">
            <v:imagedata r:id="rId818" r:href="rId819"/>
            <w10:wrap type="topAndBottom" anchorx="margin" anchory="margin"/>
          </v:shape>
        </w:pict>
      </w:r>
      <w:r>
        <w:rPr>
          <w:lang w:val="ru-RU" w:eastAsia="ru-RU" w:bidi="ru-RU"/>
          <w:w w:val="100"/>
          <w:spacing w:val="0"/>
          <w:color w:val="000000"/>
          <w:position w:val="0"/>
        </w:rPr>
        <w:t>Доброкачественные опухоли перикарда. К доброкачест</w:t>
        <w:softHyphen/>
        <w:t>венным опухолям перикарда относятся фибромы, липомы, ангиомы, тератомы и дермоидные кисты. Большинство из них протекает бессимптомно и обнаруживается только при патологоанатомическом исследовании. Лишь те редкие опу</w:t>
        <w:softHyphen/>
        <w:t>холи перикарда из числа доброкачественных, которые в ре</w:t>
        <w:softHyphen/>
        <w:t>зультате длительного или быстрого роста достигают боль-</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ших размеров, приводят к различным нарушениям. У боль</w:t>
        <w:softHyphen/>
        <w:t>ных возникают неприятные ощущения в области сердца, они хуже переносят физические нагрузки, появляются одышка, иногда кашель, затруднение глотания. Опухоль мо</w:t>
        <w:softHyphen/>
        <w:t>жет вызвать сдавление той или другой камеры сердца (чаще предсердия) или крупного сосуда — вены, аорты, легочной артерии. Наблюдаются признаки нарушения кровообраще</w:t>
        <w:softHyphen/>
        <w:t>ния. Если опухоль сдавливает проводящие пути сердца, воз</w:t>
        <w:softHyphen/>
        <w:t>никают нарушения сердечного ритма. Определяется нерав</w:t>
        <w:softHyphen/>
        <w:t>номерное расширение сердца. Доброкачественные опухоли могут приводить к быстро или катастрофически развиваю</w:t>
        <w:softHyphen/>
        <w:t>щимся осложнениям: к кровотечению в полость сердечной сорочки с тампонадой сердца, к внезапной остановке сер</w:t>
        <w:softHyphen/>
        <w:t>дечной деятельности, к образованию перикардиального вы</w:t>
        <w:softHyphen/>
        <w:t>пота (обычно серозного). Различные осложнения возника</w:t>
        <w:softHyphen/>
        <w:t>ют при доброкачественных опухолях перикарда нередко. Поэтому прогноз даже при заведомо доброкачественных (по характеру роста) опухолях перикарда следует считать небла</w:t>
        <w:softHyphen/>
        <w:t>гоприятным, когда опухоль достигает таких размеров, кото</w:t>
        <w:softHyphen/>
        <w:t>рые позволяют ее обнаружить прижизненно. Течение раз</w:t>
        <w:softHyphen/>
        <w:t>личных опухолей имеет некоторые особенности.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Ангиомы тесно спаяны с окружающими тканями и при повреждениях сильно кровоточат. Именно эти опухоли ча</w:t>
        <w:softHyphen/>
        <w:t>ще других приводят к смертельным кровотечениям в по</w:t>
        <w:softHyphen/>
        <w:t>лость перикарда или злокачественно перерождаются и в этих случаях могут давать метастазы.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Фибромы представляют собой множественные мелкие мультиформные полипозные образования, которые напо</w:t>
        <w:softHyphen/>
        <w:t>минают бородавки или ворсинки. Размер фибром перикар</w:t>
        <w:softHyphen/>
        <w:t>да редко превышает 2-3 см, поэтому, как правило, они не</w:t>
        <w:softHyphen/>
        <w:t>доступны прижизненной диагностике, тем более, за редким исключением, каких-либо жалоб или нарушений не вызы</w:t>
        <w:softHyphen/>
        <w:t>вают. Ввиду бедности сосудами кровотечений фибромы не дают.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Липомы перикарда — обычно мелкие, бессимптомно протекающие образования. Иногда они служат продолже</w:t>
        <w:softHyphen/>
        <w:t>нием жировой ткани сердечных ушек и не могут быть от</w:t>
        <w:softHyphen/>
        <w:t>четливо выделены. У лиц с ожирением постоянно наблюда</w:t>
        <w:softHyphen/>
        <w:t>ются в сердечной сорочке гроздевидные жировые отложе</w:t>
        <w:softHyphen/>
        <w:t>ния, подобные липомам. Другие липомы так велики, что нарушают венозный приток к сердцу.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Тератомы содержат заполненные слизью полости, вы</w:t>
        <w:softHyphen/>
        <w:t>стланные многослойным эпителием с железистыми обра</w:t>
        <w:softHyphen/>
        <w:t>зованиями. Тератомы перикарда достигают больших разме</w:t>
        <w:softHyphen/>
        <w:t>ров и приводят к тяжелым нарушениям деятельности серд</w:t>
        <w:softHyphen/>
        <w:t>ца. Кроме того, тератомы могут злокачественно перерож</w:t>
        <w:softHyphen/>
        <w:t>даться.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опухолей перикарда. Все опухоли сердечной со</w:t>
        <w:softHyphen/>
        <w:t>рочки являются прямым показанием к оперативному лече</w:t>
        <w:softHyphen/>
        <w:t>нию с целью удаления опухоли. В случаях, когда наличие опухоли сопровождается развитием перикардита, есть ос</w:t>
        <w:softHyphen/>
        <w:t>нования предполагать ее злокачественный характер. Удале</w:t>
        <w:softHyphen/>
        <w:t>ние первичной злокачественной опухоли париетального листка перикарда принципиально возможно, в отдельных случаях имеют смысл также паллиативные операции для уменьшения сдавления сердца опухолью и уточнения структуры новообразования. До тех пор пока характер опу</w:t>
        <w:softHyphen/>
        <w:t>холи не установлен, остается надежда, что обнаруженная опухоль является доброкачественной даже при развитии ге</w:t>
        <w:softHyphen/>
        <w:t>моррагического перикардита. При заведомо неоперабель</w:t>
        <w:softHyphen/>
        <w:t>ных злокачественных опухолях пытаются применять рент</w:t>
        <w:softHyphen/>
        <w:t>генотерапию и цитостатические средства.</w:t>
      </w:r>
    </w:p>
    <w:p>
      <w:pPr>
        <w:pStyle w:val="Style28"/>
        <w:widowControl w:val="0"/>
        <w:keepNext/>
        <w:keepLines/>
        <w:shd w:val="clear" w:color="auto" w:fill="auto"/>
        <w:bidi w:val="0"/>
        <w:jc w:val="left"/>
        <w:spacing w:before="0" w:after="157" w:line="220" w:lineRule="exact"/>
        <w:ind w:left="0" w:right="0" w:firstLine="0"/>
      </w:pPr>
      <w:r>
        <w:br w:type="column"/>
      </w:r>
      <w:bookmarkStart w:id="516" w:name="bookmark516"/>
      <w:r>
        <w:rPr>
          <w:lang w:val="ru-RU" w:eastAsia="ru-RU" w:bidi="ru-RU"/>
          <w:w w:val="100"/>
          <w:spacing w:val="0"/>
          <w:color w:val="000000"/>
          <w:position w:val="0"/>
        </w:rPr>
        <w:t>Пороки развития перикарда</w:t>
      </w:r>
      <w:bookmarkEnd w:id="51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Редкими врожденными аномалиями перикарда у детей являются дивертикулы и целомические кисты сердечной сорочки. Целомическими эти образования называются по</w:t>
        <w:softHyphen/>
        <w:t>тому, что в генетическом отношении они представляют со</w:t>
        <w:softHyphen/>
        <w:t>бой участки эмбриональной полости — целома, так же как и сама полость перикарда, от которой они отделяются. Ди</w:t>
        <w:softHyphen/>
        <w:t>вертикулы сохраняют сообщение с полостью перикарда, кисты не связаны с ней и соединяются с сердечной сороч</w:t>
        <w:softHyphen/>
        <w:t>кой ножкой, напоминающей тяж. Кисты перикарда пред</w:t>
        <w:softHyphen/>
        <w:t>ставляют собой неоднородную группу.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Кисты перикарда могут быть врожденными (целомичес</w:t>
        <w:softHyphen/>
        <w:t>кие кисты, кистозные лимфангиомы (лимфангиоматозные кисты), бронхиальные кисты, тератомы) и приобретенны</w:t>
        <w:softHyphen/>
        <w:t>ми (после гематом в перикарде, образовавшиеся в результа</w:t>
        <w:softHyphen/>
        <w:t>те опухолей перикарда, паразитарные).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Целомические кисты и дивертикулы перикарда представ</w:t>
        <w:softHyphen/>
        <w:t>ляют собой тонкостенные полости, наполненные серозной жидкостью, как правило, без воспалительных изменений вокруг.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Целомические кисты перикарда составляют от 3 до 10% всех опухолей и кист средостения в детском возрасте. Ди</w:t>
        <w:softHyphen/>
        <w:t>вертикулы и кисты перикарда могут быть размерами от до</w:t>
        <w:softHyphen/>
        <w:t>лей сантиметра и объемом до 2-3 л. До 60% из них распола</w:t>
        <w:softHyphen/>
        <w:t>гаются в правом сердечно-диафрагмальном синусе, 30% — в левом сердечно-диафрагмальном синусе, 10% — в сред</w:t>
        <w:softHyphen/>
        <w:t>нем и верхнем отделах средостения. Стенки врожденных дивертикулов и кист состоят из тех же слоев, что и осталь</w:t>
        <w:softHyphen/>
        <w:t>ной перикард. Обычно они тонки и эластичны. Под назва</w:t>
        <w:softHyphen/>
        <w:t>нием «воспалительные дивертикулы» описывают случаи осумкованных экссудативных перикардитов, отличающих</w:t>
        <w:softHyphen/>
        <w:t>ся стабильностью полости осумкования.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Дивертикулы и целомические кисты перикарда обычно содержат прозрачную серозную жидкость — «кисты, содер</w:t>
        <w:softHyphen/>
        <w:t>жащие ключевую воду». Воспалительные дивертикулы со</w:t>
        <w:softHyphen/>
        <w:t>держат серозно-фибринозный или геморрагический экссу</w:t>
        <w:softHyphen/>
        <w:t>дат.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numPr>
          <w:ilvl w:val="0"/>
          <w:numId w:val="95"/>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Обычно целомические кисты являются случайной находкой при рентгенологическом исследовании.</w:t>
      </w:r>
    </w:p>
    <w:p>
      <w:pPr>
        <w:pStyle w:val="Style30"/>
        <w:numPr>
          <w:ilvl w:val="0"/>
          <w:numId w:val="9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воспалении кисты появляются жалобы на не</w:t>
        <w:softHyphen/>
        <w:t>приятные ощущения в области сердца, иногда одыш</w:t>
        <w:softHyphen/>
        <w:t>ку, утомляемость, сухой кашель. Боли в области серд</w:t>
        <w:softHyphen/>
        <w:t>ца, кашель, ощущение нехватки воздуха и одышка усиливаются при резкой перемене положения тела, быстрой ходьбе, физических нагрузках. Возникают симптомы лихорадки и интоксикации.</w:t>
      </w:r>
    </w:p>
    <w:p>
      <w:pPr>
        <w:pStyle w:val="Style30"/>
        <w:numPr>
          <w:ilvl w:val="0"/>
          <w:numId w:val="9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больших кистах или дивертикулах перикарда мо - гут быть симптомы сдавления окружающих орга</w:t>
        <w:softHyphen/>
        <w:t>нов — пищевода, бронхов, предсердий, коронарных артерий.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Рентгенография:</w:t>
      </w:r>
    </w:p>
    <w:p>
      <w:pPr>
        <w:pStyle w:val="Style30"/>
        <w:widowControl w:val="0"/>
        <w:keepNext w:val="0"/>
        <w:keepLines w:val="0"/>
        <w:shd w:val="clear" w:color="auto" w:fill="auto"/>
        <w:bidi w:val="0"/>
        <w:spacing w:before="0" w:after="0"/>
        <w:ind w:left="0" w:right="0" w:firstLine="280"/>
      </w:pPr>
      <w:r>
        <w:pict>
          <v:shape id="_x0000_s1520" type="#_x0000_t75" style="position:absolute;margin-left:136.8pt;margin-top:736.8pt;width:209.75pt;height:14.9pt;z-index:-125829046;mso-wrap-distance-left:136.8pt;mso-wrap-distance-right:148.1pt;mso-wrap-distance-bottom:10.8pt;mso-position-horizontal-relative:margin;mso-position-vertical-relative:margin" wrapcoords="0 0 21600 0 21600 21600 0 21600 0 0">
            <v:imagedata r:id="rId820" r:href="rId821"/>
            <w10:wrap type="topAndBottom" anchorx="margin" anchory="margin"/>
          </v:shape>
        </w:pict>
      </w:r>
      <w:r>
        <w:rPr>
          <w:lang w:val="ru-RU" w:eastAsia="ru-RU" w:bidi="ru-RU"/>
          <w:w w:val="100"/>
          <w:spacing w:val="0"/>
          <w:color w:val="000000"/>
          <w:position w:val="0"/>
        </w:rPr>
        <w:t>Рентгенологическая картина дивертикула перикарда оп</w:t>
        <w:softHyphen/>
        <w:t>ределяется его положением и величиной. Обычно диверти</w:t>
        <w:softHyphen/>
        <w:t>кул имеет форму округлого выступа, который по интенсив</w:t>
        <w:softHyphen/>
        <w:t>ности может не уступать тени сердца. Тень дивертикула имеет ровные контуры или зубчатые очертания. Форма ди</w:t>
        <w:softHyphen/>
        <w:t>вертикула или кисты меняется в зависимости от дыхатель</w:t>
        <w:softHyphen/>
        <w:t>ных фаз. При вдохе тень вытягивается, при выдохе расши</w:t>
        <w:softHyphen/>
        <w:t>ряется и закругляется.</w:t>
      </w:r>
      <w:r>
        <w:br w:type="page"/>
      </w:r>
    </w:p>
    <w:p>
      <w:pPr>
        <w:pStyle w:val="Style92"/>
        <w:widowControl w:val="0"/>
        <w:keepNext/>
        <w:keepLines/>
        <w:shd w:val="clear" w:color="auto" w:fill="auto"/>
        <w:bidi w:val="0"/>
        <w:spacing w:before="0" w:after="0"/>
        <w:ind w:left="0" w:right="0" w:firstLine="280"/>
      </w:pPr>
      <w:bookmarkStart w:id="517" w:name="bookmark517"/>
      <w:r>
        <w:rPr>
          <w:lang w:val="ru-RU" w:eastAsia="ru-RU" w:bidi="ru-RU"/>
          <w:w w:val="100"/>
          <w:spacing w:val="0"/>
          <w:color w:val="000000"/>
          <w:position w:val="0"/>
        </w:rPr>
        <w:t>Дифференциальная диагностика</w:t>
      </w:r>
      <w:bookmarkEnd w:id="517"/>
    </w:p>
    <w:p>
      <w:pPr>
        <w:pStyle w:val="Style30"/>
        <w:numPr>
          <w:ilvl w:val="0"/>
          <w:numId w:val="99"/>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Дермоидные кисты средостения.</w:t>
      </w:r>
    </w:p>
    <w:p>
      <w:pPr>
        <w:pStyle w:val="Style30"/>
        <w:numPr>
          <w:ilvl w:val="0"/>
          <w:numId w:val="99"/>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Кисты легкого.</w:t>
      </w:r>
    </w:p>
    <w:p>
      <w:pPr>
        <w:pStyle w:val="Style30"/>
        <w:numPr>
          <w:ilvl w:val="0"/>
          <w:numId w:val="99"/>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Аневризма аорты.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Хирургическое 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Показанием к операции удаления кисты или дивертику</w:t>
        <w:softHyphen/>
        <w:t>ла перикарда служат угроза развития таких осложнений, как нагноение кисты, прорыв ее в соседние полые органы, перерождение стенки, озлокачествление.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Прогноз благоприятный.</w:t>
      </w:r>
    </w:p>
    <w:p>
      <w:pPr>
        <w:pStyle w:val="Style28"/>
        <w:widowControl w:val="0"/>
        <w:keepNext/>
        <w:keepLines/>
        <w:shd w:val="clear" w:color="auto" w:fill="auto"/>
        <w:bidi w:val="0"/>
        <w:jc w:val="left"/>
        <w:spacing w:before="0" w:after="186" w:line="220" w:lineRule="exact"/>
        <w:ind w:left="0" w:right="0" w:firstLine="0"/>
      </w:pPr>
      <w:bookmarkStart w:id="518" w:name="bookmark518"/>
      <w:r>
        <w:rPr>
          <w:lang w:val="ru-RU" w:eastAsia="ru-RU" w:bidi="ru-RU"/>
          <w:w w:val="100"/>
          <w:spacing w:val="0"/>
          <w:color w:val="000000"/>
          <w:position w:val="0"/>
        </w:rPr>
        <w:t>Наследственные болезни перикарда</w:t>
      </w:r>
      <w:bookmarkEnd w:id="518"/>
    </w:p>
    <w:p>
      <w:pPr>
        <w:pStyle w:val="Style92"/>
        <w:widowControl w:val="0"/>
        <w:keepNext/>
        <w:keepLines/>
        <w:shd w:val="clear" w:color="auto" w:fill="auto"/>
        <w:bidi w:val="0"/>
        <w:spacing w:before="0" w:after="0"/>
        <w:ind w:left="0" w:right="0" w:firstLine="280"/>
      </w:pPr>
      <w:bookmarkStart w:id="519" w:name="bookmark519"/>
      <w:r>
        <w:rPr>
          <w:lang w:val="ru-RU" w:eastAsia="ru-RU" w:bidi="ru-RU"/>
          <w:w w:val="100"/>
          <w:spacing w:val="0"/>
          <w:color w:val="000000"/>
          <w:position w:val="0"/>
        </w:rPr>
        <w:t xml:space="preserve">МУЛИБРЕЙ синдром </w:t>
      </w:r>
      <w:r>
        <w:rPr>
          <w:lang w:val="en-US" w:eastAsia="en-US" w:bidi="en-US"/>
          <w:w w:val="100"/>
          <w:spacing w:val="0"/>
          <w:color w:val="000000"/>
          <w:position w:val="0"/>
        </w:rPr>
        <w:t>(MULIBREY syndrome)</w:t>
      </w:r>
      <w:bookmarkEnd w:id="51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Термин </w:t>
      </w:r>
      <w:r>
        <w:rPr>
          <w:lang w:val="en-US" w:eastAsia="en-US" w:bidi="en-US"/>
          <w:w w:val="100"/>
          <w:spacing w:val="0"/>
          <w:color w:val="000000"/>
          <w:position w:val="0"/>
        </w:rPr>
        <w:t xml:space="preserve">«mulibrey» </w:t>
      </w:r>
      <w:r>
        <w:rPr>
          <w:lang w:val="ru-RU" w:eastAsia="ru-RU" w:bidi="ru-RU"/>
          <w:w w:val="100"/>
          <w:spacing w:val="0"/>
          <w:color w:val="000000"/>
          <w:position w:val="0"/>
        </w:rPr>
        <w:t>образован из аббревиатуры наиболее часто поражающихся систем (мышцы, печень, мозг, зре</w:t>
        <w:softHyphen/>
        <w:t>ние) у больных с констриктивным перикардитом. В основе синдрома лежит первичное поражение тканей мезенхи</w:t>
        <w:softHyphen/>
        <w:t>мального происхождения.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Дети имеют характерную внешность: треугольная голо</w:t>
        <w:softHyphen/>
        <w:t>ва, выдающиеся лобные бугры, вдавленная спинка носа, малый рост. Имеют место отставание в моторном развитии, при этом интеллект обычно не страдает, мышечная гипото</w:t>
        <w:softHyphen/>
        <w:t>ния, ретинопатия, расширение желудочков мозга.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Констриктивный перикардит — главный признак синд</w:t>
        <w:softHyphen/>
        <w:t>рома МУЛИБРЕЙ, проявляется сердечной недостаточнос</w:t>
        <w:softHyphen/>
        <w:t>тью с раннего возраста. Аускультативные данные неспеци</w:t>
        <w:softHyphen/>
        <w:t>фичны, шум трения перикарда встречается редко, всегда присутствуют одышка, гепатомегалия. При прогрессирова</w:t>
        <w:softHyphen/>
        <w:t xml:space="preserve">нии сердечной недостаточности развиваются асцит и отеки на ногах. На ЭКГ обнаруживаются перегрузка предсердий, неспецифические </w:t>
      </w:r>
      <w:r>
        <w:rPr>
          <w:lang w:val="en-US" w:eastAsia="en-US" w:bidi="en-US"/>
          <w:w w:val="100"/>
          <w:spacing w:val="0"/>
          <w:color w:val="000000"/>
          <w:position w:val="0"/>
        </w:rPr>
        <w:t xml:space="preserve">ST-T </w:t>
      </w:r>
      <w:r>
        <w:rPr>
          <w:lang w:val="ru-RU" w:eastAsia="ru-RU" w:bidi="ru-RU"/>
          <w:w w:val="100"/>
          <w:spacing w:val="0"/>
          <w:color w:val="000000"/>
          <w:position w:val="0"/>
        </w:rPr>
        <w:t>изменения в правых грудных отве</w:t>
        <w:softHyphen/>
        <w:t>дениях. При проведении эхокардиографии выявляются утолщенные листки перикарда, по данным катетериза</w:t>
        <w:softHyphen/>
        <w:t>ции — резкое повышение конечного диастолического дав</w:t>
        <w:softHyphen/>
        <w:t>ления в желудочках.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 см. лечение констриктивного перикардита.</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Тип наследования — аутосомно-рецессивный.</w:t>
      </w:r>
    </w:p>
    <w:p>
      <w:pPr>
        <w:pStyle w:val="Style28"/>
        <w:widowControl w:val="0"/>
        <w:keepNext/>
        <w:keepLines/>
        <w:shd w:val="clear" w:color="auto" w:fill="auto"/>
        <w:bidi w:val="0"/>
        <w:jc w:val="left"/>
        <w:spacing w:before="0" w:after="157" w:line="220" w:lineRule="exact"/>
        <w:ind w:left="0" w:right="0" w:firstLine="0"/>
      </w:pPr>
      <w:bookmarkStart w:id="520" w:name="bookmark520"/>
      <w:r>
        <w:rPr>
          <w:lang w:val="ru-RU" w:eastAsia="ru-RU" w:bidi="ru-RU"/>
          <w:w w:val="100"/>
          <w:spacing w:val="0"/>
          <w:color w:val="000000"/>
          <w:position w:val="0"/>
        </w:rPr>
        <w:t>Тампонада сердца</w:t>
      </w:r>
      <w:bookmarkEnd w:id="52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Под тампонадой сердца подразумевается клинический синдром, обусловленный накоплением содержимого в пе</w:t>
        <w:softHyphen/>
        <w:t>рикардиальной полости, приводящим к резкому снижению наполнения желудочков сердца и последующим гемодина</w:t>
        <w:softHyphen/>
        <w:t>мическим нарушением. Во всех случаях тампонада сердца является неотложным состоянием, при отсутствии своевре</w:t>
        <w:softHyphen/>
        <w:t>менно оказанной помощи возникает смерть больного.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Определяется причиной, приведшей к тампонаде (пери</w:t>
        <w:softHyphen/>
        <w:t>кардит, травма, опухоль перикарда).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Тампонада перикарда наблюдается чаще у мальчиков в соотношении 7:3.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Может наблюдаться в любом возрасте.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numPr>
          <w:ilvl w:val="0"/>
          <w:numId w:val="99"/>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Перикардиты (вирусные, бактериальные, грибковые).</w:t>
      </w:r>
    </w:p>
    <w:p>
      <w:pPr>
        <w:pStyle w:val="Style30"/>
        <w:numPr>
          <w:ilvl w:val="0"/>
          <w:numId w:val="99"/>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Травма.</w:t>
      </w:r>
    </w:p>
    <w:p>
      <w:pPr>
        <w:pStyle w:val="Style30"/>
        <w:numPr>
          <w:ilvl w:val="0"/>
          <w:numId w:val="99"/>
        </w:numPr>
        <w:tabs>
          <w:tab w:leader="none" w:pos="514"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Побочное действие лекарственных препаратов (гид- ралазин, прокаинамид, изониазид, миноксидил).</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Операции на коронарных артериях (разрыв, перфо - рация).</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Постоперативный перикардит.</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Осложнение инфаркта миокарда (разрыв желудочко - вой стенки, синдром Дресслера).</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Болезни соединительной ткани (системная красная волчанка, ревматоидный артрит, дерматомиозит).</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Облучение, радиотерапия.</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Ятрогенные (после стернальной биопсии, импланта</w:t>
        <w:softHyphen/>
        <w:t>ции пейсмекера, перикардиоцентеза).</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Уремия.</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Идиопатический перикардит.</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Пневмоперикард (при механической вентиляции легких, гастроперикардиальной фистуле).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Выделяют три гемодинамических фазы развития тампо</w:t>
        <w:softHyphen/>
        <w:t>нады:</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1 фаза. Во время этой фазы происходит накопление перикардиальной жидкости в сердечной сорочке, компенсаторно увеличивается давление наполнения желудочков, которое остается выше, чем внутрипери</w:t>
        <w:softHyphen/>
        <w:t>кардиальное давление.</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2 фаза. Перикардиальное давление продолжает уве</w:t>
        <w:softHyphen/>
        <w:t>личиваться, уменьшается сердечный выброс.</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3 фаза. Продолжается падение сердечного выброса, перикардиальное давление превышает давление на</w:t>
        <w:softHyphen/>
        <w:t>полнения левого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Соответственно происходящим фазам развития тампо</w:t>
        <w:softHyphen/>
        <w:t>нады возникает падение системного венозного возврата. Поскольку сердце сжато вследствие увеличенного внутри</w:t>
        <w:softHyphen/>
        <w:t>перикардиального давления, системный венозный приток резко падает, происходит коллапс правого предсердия. Во время вдоха внутриперикардиальные и давление в пра</w:t>
        <w:softHyphen/>
        <w:t>вом предсердии уменьшаются из-за отрицательного внут</w:t>
        <w:softHyphen/>
        <w:t>ригрудного давления. Это приводит к увеличению систем</w:t>
        <w:softHyphen/>
        <w:t>ного венозного притока к правой стороне сердца и обеспе</w:t>
        <w:softHyphen/>
        <w:t>чивает правожелудочковый выброс. В легочной сосудистой циркуляции скапливается большое количество крови, ле</w:t>
        <w:softHyphen/>
        <w:t>вожелудочковый выброс падает.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Величина внутриперикардиального давления зависит от количества перикардиальной жидкости, скорости ее на</w:t>
        <w:softHyphen/>
        <w:t>копления и растяжимости перикардиальной сорочки. Быс</w:t>
        <w:softHyphen/>
        <w:t>трое накопление около 150 мл жидкости может привести к значительному увеличению перикардиального давления, тогда как медленное накопление даже 1000 мл жидкости может не нарушать диастолическое заполнение сердца. Хо</w:t>
        <w:softHyphen/>
        <w:t>рошо растяжимый перикард допускает значительное на</w:t>
        <w:softHyphen/>
        <w:t>копление жидкости за более длительный период без каких- либо гемодинамических изменений.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тампонада не была диагностирована ранее, у больного определяются выраженная одышка, тахи</w:t>
        <w:softHyphen/>
        <w:t>кардия, похолодание конечностей, слабый перифе</w:t>
        <w:softHyphen/>
        <w:t>рический пульс. Анамнез позволяет предположить причину перикардиального выпота:</w:t>
      </w:r>
    </w:p>
    <w:p>
      <w:pPr>
        <w:pStyle w:val="Style30"/>
        <w:numPr>
          <w:ilvl w:val="0"/>
          <w:numId w:val="10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 больных с системными заболеваниями и злока</w:t>
        <w:softHyphen/>
        <w:t>чественными новообразованиями в анамнезе от</w:t>
        <w:softHyphen/>
        <w:t>мечаются похудание, слабость, анорексия;</w:t>
      </w:r>
    </w:p>
    <w:p>
      <w:pPr>
        <w:pStyle w:val="Style30"/>
        <w:numPr>
          <w:ilvl w:val="0"/>
          <w:numId w:val="10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боли в грудной клетке могут быть симптомом пе</w:t>
        <w:softHyphen/>
        <w:t>рикардита или инфаркта миокарда;</w:t>
      </w:r>
    </w:p>
    <w:p>
      <w:pPr>
        <w:pStyle w:val="Style30"/>
        <w:numPr>
          <w:ilvl w:val="0"/>
          <w:numId w:val="101"/>
        </w:numPr>
        <w:tabs>
          <w:tab w:leader="none" w:pos="755" w:val="left"/>
        </w:tabs>
        <w:widowControl w:val="0"/>
        <w:keepNext w:val="0"/>
        <w:keepLines w:val="0"/>
        <w:shd w:val="clear" w:color="auto" w:fill="auto"/>
        <w:bidi w:val="0"/>
        <w:spacing w:before="0" w:after="0"/>
        <w:ind w:left="740" w:right="0" w:hanging="220"/>
      </w:pPr>
      <w:r>
        <w:pict>
          <v:shape id="_x0000_s1521" type="#_x0000_t75" style="position:absolute;margin-left:148.1pt;margin-top:736.8pt;width:209.75pt;height:14.9pt;z-index:-125829045;mso-wrap-distance-left:148.1pt;mso-wrap-distance-right:136.8pt;mso-wrap-distance-bottom:10.8pt;mso-position-horizontal-relative:margin;mso-position-vertical-relative:margin" wrapcoords="0 0 21600 0 21600 21600 0 21600 0 0">
            <v:imagedata r:id="rId822" r:href="rId823"/>
            <w10:wrap type="topAndBottom" anchorx="margin" anchory="margin"/>
          </v:shape>
        </w:pict>
      </w:r>
      <w:r>
        <w:rPr>
          <w:lang w:val="ru-RU" w:eastAsia="ru-RU" w:bidi="ru-RU"/>
          <w:w w:val="100"/>
          <w:spacing w:val="0"/>
          <w:color w:val="000000"/>
          <w:position w:val="0"/>
        </w:rPr>
        <w:t>мышечные боли и лихорадка могут отмечаться у больных с заболеваниями соединительной ткани.</w:t>
      </w:r>
      <w:r>
        <w:br w:type="page"/>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наличие в анамнезе почечной недостаточности по - зволяет заподозрить уремию как причину пери</w:t>
        <w:softHyphen/>
        <w:t>кардиального выпота;</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длительный прием лекарственных препаратов мо - жет свидетельствовать об индуцированном пери</w:t>
        <w:softHyphen/>
        <w:t>кардите;</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ранее проводимая кардиохирургическая операция может свидетельствовать о том, что у больного тампонада перикарда возникла из-за травмы коро</w:t>
        <w:softHyphen/>
        <w:t>нарного сосуда или вследствие постперикардотом</w:t>
        <w:softHyphen/>
        <w:t>ного синдрома;</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имплантация пейсмекера через катетер централь</w:t>
        <w:softHyphen/>
        <w:t>ной вены может осложниться накоплением выпо</w:t>
        <w:softHyphen/>
        <w:t>та в перикарде и тампонадой;</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 анамнезе могут быть указания на ВИЧ-инфек</w:t>
        <w:softHyphen/>
        <w:t>цию, которая часто осложняется перикардитом, особенно при частых внутривенных манипуляциях и присоединении условно-патогенной инфекции;</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могут быть указания на ранее проводимое облуче</w:t>
        <w:softHyphen/>
        <w:t>ние (особенно при опухолях легких, средостения или пищевода);</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вечерняя (ночная) потливость, лихорадка, потеря в весе могут быть при туберкулезе.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Физикальные данные: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Набухание шейных вен является типичным признаком при тампонаде перикарда. Тахикардия, тахипноэ, глухость тонов сердца и гепатомегалия определяются у большинства больных.</w:t>
      </w:r>
    </w:p>
    <w:p>
      <w:pPr>
        <w:pStyle w:val="Style30"/>
        <w:numPr>
          <w:ilvl w:val="0"/>
          <w:numId w:val="9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Триада Бека (острая компрессионная триада):</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триада Бека описана в 1935 г. и включает увеличе</w:t>
        <w:softHyphen/>
        <w:t>ние венозного давления, артериальную гипотен</w:t>
        <w:softHyphen/>
        <w:t>зию и глухие тоны сердца;</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триада возникает при быстром накоплении пери</w:t>
        <w:softHyphen/>
        <w:t>кардиальной жидкости и характерна для состояний, сопровождающихся острой тампонадой сердца.</w:t>
      </w:r>
    </w:p>
    <w:p>
      <w:pPr>
        <w:pStyle w:val="Style30"/>
        <w:numPr>
          <w:ilvl w:val="0"/>
          <w:numId w:val="9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Парадоксальный пульс </w:t>
      </w:r>
      <w:r>
        <w:rPr>
          <w:lang w:val="en-US" w:eastAsia="en-US" w:bidi="en-US"/>
          <w:w w:val="100"/>
          <w:spacing w:val="0"/>
          <w:color w:val="000000"/>
          <w:position w:val="0"/>
        </w:rPr>
        <w:t>(Pulsus paradoxus):</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снижение системного артериального давления бо</w:t>
        <w:softHyphen/>
        <w:t>лее чем на 12 мм рт. ст. на вдохе;</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парадоксальный пульс может наблюдаться при та</w:t>
        <w:softHyphen/>
        <w:t>ких состояниях, как констриктивный перикардит, тяжелое обструктивное бронхолегочное заболева</w:t>
        <w:softHyphen/>
        <w:t>ние, рестриктивная кардиомиопатия, эмболия ле</w:t>
        <w:softHyphen/>
        <w:t>гочной артерии, инфаркт миокарда правого желу</w:t>
        <w:softHyphen/>
        <w:t>дочка;</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парадоксальный пульс может не определяться при значительном повышении конечно диастоличес</w:t>
        <w:softHyphen/>
        <w:t>кого давления в левом желудочке, дефекте меж</w:t>
        <w:softHyphen/>
        <w:t>предсердной перегородки, легочной гипертензии, аортальной регургитации.</w:t>
      </w:r>
    </w:p>
    <w:p>
      <w:pPr>
        <w:pStyle w:val="Style30"/>
        <w:numPr>
          <w:ilvl w:val="0"/>
          <w:numId w:val="9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 Куссмауля:</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парадоксальное увеличение набухания шейных вен и давления во время вдоха;</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этот признак обычно наблюдается у пациентов с констриктивным перикардитом.</w:t>
      </w:r>
    </w:p>
    <w:p>
      <w:pPr>
        <w:pStyle w:val="Style30"/>
        <w:numPr>
          <w:ilvl w:val="0"/>
          <w:numId w:val="9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Признак Эварта </w:t>
      </w:r>
      <w:r>
        <w:rPr>
          <w:lang w:val="en-US" w:eastAsia="en-US" w:bidi="en-US"/>
          <w:w w:val="100"/>
          <w:spacing w:val="0"/>
          <w:color w:val="000000"/>
          <w:position w:val="0"/>
        </w:rPr>
        <w:t>(Ewart):</w:t>
      </w:r>
    </w:p>
    <w:p>
      <w:pPr>
        <w:pStyle w:val="Style30"/>
        <w:numPr>
          <w:ilvl w:val="0"/>
          <w:numId w:val="10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перкуторное притупление ниже угла левой лопат</w:t>
        <w:softHyphen/>
        <w:t>ки с бронхофонией.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Электрокардиограмма:</w:t>
      </w:r>
    </w:p>
    <w:p>
      <w:pPr>
        <w:pStyle w:val="Style30"/>
        <w:numPr>
          <w:ilvl w:val="0"/>
          <w:numId w:val="9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Электрокардиографические показатели являются</w:t>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суггестивными, но не диагностическими при тампо</w:t>
        <w:softHyphen/>
        <w:t>наде перикарда:</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br w:type="column"/>
      </w:r>
      <w:r>
        <w:rPr>
          <w:lang w:val="ru-RU" w:eastAsia="ru-RU" w:bidi="ru-RU"/>
          <w:w w:val="100"/>
          <w:spacing w:val="0"/>
          <w:color w:val="000000"/>
          <w:position w:val="0"/>
        </w:rPr>
        <w:t>синусовая тахикардия;</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низкий вольтаж желудочкового </w:t>
      </w:r>
      <w:r>
        <w:rPr>
          <w:lang w:val="en-US" w:eastAsia="en-US" w:bidi="en-US"/>
          <w:w w:val="100"/>
          <w:spacing w:val="0"/>
          <w:color w:val="000000"/>
          <w:position w:val="0"/>
        </w:rPr>
        <w:t xml:space="preserve">QRS </w:t>
      </w:r>
      <w:r>
        <w:rPr>
          <w:lang w:val="ru-RU" w:eastAsia="ru-RU" w:bidi="ru-RU"/>
          <w:w w:val="100"/>
          <w:spacing w:val="0"/>
          <w:color w:val="000000"/>
          <w:position w:val="0"/>
        </w:rPr>
        <w:t>комплекса;</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электрическая альтернация (она возникает в ре</w:t>
        <w:softHyphen/>
        <w:t>зультате движения сердца в перикардиальном про</w:t>
        <w:softHyphen/>
        <w:t>странстве), однако может наблюдаться при мио</w:t>
        <w:softHyphen/>
        <w:t>кардиальной ишемии, эмболии легочной артерии и тахиаритмиях;</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депрессия сегмента </w:t>
      </w:r>
      <w:r>
        <w:rPr>
          <w:lang w:val="en-US" w:eastAsia="en-US" w:bidi="en-US"/>
          <w:w w:val="100"/>
          <w:spacing w:val="0"/>
          <w:color w:val="000000"/>
          <w:position w:val="0"/>
        </w:rPr>
        <w:t>PR.</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Рентгенография грудной клетки:</w:t>
      </w:r>
    </w:p>
    <w:p>
      <w:pPr>
        <w:pStyle w:val="Style30"/>
        <w:numPr>
          <w:ilvl w:val="0"/>
          <w:numId w:val="9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Рентгенография выявляет кардиомегалию, трапецие</w:t>
        <w:softHyphen/>
        <w:t>видную форму сердца, кальцификацию перикарда, травму грудной клетки.</w:t>
      </w:r>
    </w:p>
    <w:p>
      <w:pPr>
        <w:pStyle w:val="Style30"/>
        <w:numPr>
          <w:ilvl w:val="0"/>
          <w:numId w:val="9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Допплерэхокардиография:</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эхосвободное пространство спереди и сзади левого желудочка, а также позади левого предсердия;</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ранний диастолический коллапс свободной стен</w:t>
        <w:softHyphen/>
        <w:t>ки правого желудочка;</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покачивание сердца в его «мешке»;</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псевдогипертрофия левого желудочка;</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увеличение потока более чем на 40% на вдохе;</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уменьшение более чем на 25% трансмитрального потока на вдохе.</w:t>
      </w:r>
    </w:p>
    <w:p>
      <w:pPr>
        <w:pStyle w:val="Style30"/>
        <w:numPr>
          <w:ilvl w:val="0"/>
          <w:numId w:val="9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Состояния, которые могут имитировать перикарди</w:t>
        <w:softHyphen/>
        <w:t>альный выпот при проведении эхокардиографии:</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большой левосторонний плевральный выпот;</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опухоли, окружающие сердце;</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кальцификация митрального кольца;</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нисходящая грудная аорта;</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катетер в правом желудочке;</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большая дилатация левого предсердия;</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подклапанная левожелудочковая аневризма;</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бронхогенная киста.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Лечение</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Больные с тампонадой сердца нуждаются в немедлен</w:t>
        <w:softHyphen/>
        <w:t>ном лечении в палате интенсивной терапии.</w:t>
      </w:r>
    </w:p>
    <w:p>
      <w:pPr>
        <w:pStyle w:val="Style30"/>
        <w:numPr>
          <w:ilvl w:val="0"/>
          <w:numId w:val="9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Вне зависимости от причины тампонады сердца больные должны получать:</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кислород;</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поддержание адекватного внутрисосудистого объ</w:t>
        <w:softHyphen/>
        <w:t>ема переливанием плазмы, декстранов или изото</w:t>
        <w:softHyphen/>
        <w:t>нического раствора хлорида натрия;</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положение в постели с приподнятыми ногами (это помогает увеличить венозный возврат);</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введение инотропных средств (например, добута</w:t>
        <w:softHyphen/>
        <w:t>мина). Эти препараты усиливают сердечный вы</w:t>
        <w:softHyphen/>
        <w:t>брос, не влияя на системную сосудистую резис</w:t>
        <w:softHyphen/>
        <w:t>тентность;</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искусственная вентиляция легких (дыхание под положительным давлением опасно, поскольку уменьшает венозный приток).</w:t>
      </w:r>
    </w:p>
    <w:p>
      <w:pPr>
        <w:pStyle w:val="Style30"/>
        <w:numPr>
          <w:ilvl w:val="0"/>
          <w:numId w:val="9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Последующая медицинская помощь включает:</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перикардиоцентез: удаление перикардиальной жидкости — радикальная терапия для тампонады;</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экстренное установление дренажа (катетер вво</w:t>
        <w:softHyphen/>
        <w:t>дится путем пункции под мечевидным отростком);</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установка дренажа проводится под эхокардиогра</w:t>
        <w:softHyphen/>
        <w:t>фическим контролем. Катетер размещается в об</w:t>
        <w:softHyphen/>
        <w:t>ласти максимального выпота;</w:t>
      </w:r>
    </w:p>
    <w:p>
      <w:pPr>
        <w:pStyle w:val="Style30"/>
        <w:numPr>
          <w:ilvl w:val="0"/>
          <w:numId w:val="101"/>
        </w:numPr>
        <w:tabs>
          <w:tab w:leader="none" w:pos="735" w:val="left"/>
        </w:tabs>
        <w:widowControl w:val="0"/>
        <w:keepNext w:val="0"/>
        <w:keepLines w:val="0"/>
        <w:shd w:val="clear" w:color="auto" w:fill="auto"/>
        <w:bidi w:val="0"/>
        <w:spacing w:before="0" w:after="0"/>
        <w:ind w:left="740" w:right="0" w:hanging="240"/>
      </w:pPr>
      <w:r>
        <w:pict>
          <v:shape id="_x0000_s1522" type="#_x0000_t75" style="position:absolute;margin-left:136.7pt;margin-top:736.8pt;width:209.75pt;height:14.9pt;z-index:-125829044;mso-wrap-distance-left:136.55pt;mso-wrap-distance-right:148.1pt;mso-wrap-distance-bottom:10.8pt;mso-position-horizontal-relative:margin;mso-position-vertical-relative:margin" wrapcoords="0 0 21600 0 21600 21600 0 21600 0 0">
            <v:imagedata r:id="rId824" r:href="rId825"/>
            <w10:wrap type="topAndBottom" anchorx="margin" anchory="margin"/>
          </v:shape>
        </w:pict>
      </w:r>
      <w:r>
        <w:rPr>
          <w:lang w:val="ru-RU" w:eastAsia="ru-RU" w:bidi="ru-RU"/>
          <w:w w:val="100"/>
          <w:spacing w:val="0"/>
          <w:color w:val="000000"/>
          <w:position w:val="0"/>
        </w:rPr>
        <w:t>чрезкожная баллонная перикардиотомия. Она проводится под эхокардиографическим контро</w:t>
        <w:softHyphen/>
        <w:t>лем, как и перикардиоцентез. С помощью баллона создается перикардиальное окно, функциониро-</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вание которого более надежно, чем обычного ка</w:t>
        <w:softHyphen/>
        <w:t>тетера;</w:t>
      </w:r>
    </w:p>
    <w:p>
      <w:pPr>
        <w:pStyle w:val="Style30"/>
        <w:numPr>
          <w:ilvl w:val="0"/>
          <w:numId w:val="101"/>
        </w:numPr>
        <w:tabs>
          <w:tab w:leader="none" w:pos="48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лечение основного заболевания, приведшего к тампонаде сердца.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 У пациентов, находящихся в гемодинамически неста</w:t>
        <w:softHyphen/>
        <w:t>бильном состоянии, и при повторных тампонадах вы</w:t>
        <w:softHyphen/>
        <w:t>полняются различные оперативные вмешательства:</w:t>
      </w:r>
    </w:p>
    <w:p>
      <w:pPr>
        <w:pStyle w:val="Style30"/>
        <w:numPr>
          <w:ilvl w:val="0"/>
          <w:numId w:val="101"/>
        </w:numPr>
        <w:tabs>
          <w:tab w:leader="none" w:pos="48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хирургическое создание перикардиального окна (создание сообщения между перикардом и плев</w:t>
        <w:softHyphen/>
        <w:t>ральной полостью);</w:t>
      </w:r>
    </w:p>
    <w:p>
      <w:pPr>
        <w:pStyle w:val="Style30"/>
        <w:numPr>
          <w:ilvl w:val="0"/>
          <w:numId w:val="101"/>
        </w:numPr>
        <w:tabs>
          <w:tab w:leader="none" w:pos="515" w:val="left"/>
        </w:tabs>
        <w:widowControl w:val="0"/>
        <w:keepNext w:val="0"/>
        <w:keepLines w:val="0"/>
        <w:shd w:val="clear" w:color="auto" w:fill="auto"/>
        <w:bidi w:val="0"/>
        <w:spacing w:before="0" w:after="0"/>
        <w:ind w:left="280" w:right="0" w:firstLine="0"/>
      </w:pPr>
      <w:r>
        <w:br w:type="column"/>
      </w:r>
      <w:r>
        <w:rPr>
          <w:lang w:val="ru-RU" w:eastAsia="ru-RU" w:bidi="ru-RU"/>
          <w:w w:val="100"/>
          <w:spacing w:val="0"/>
          <w:color w:val="000000"/>
          <w:position w:val="0"/>
        </w:rPr>
        <w:t>перикардио-перитонеальный шунт;</w:t>
      </w:r>
    </w:p>
    <w:p>
      <w:pPr>
        <w:pStyle w:val="Style30"/>
        <w:numPr>
          <w:ilvl w:val="0"/>
          <w:numId w:val="101"/>
        </w:numPr>
        <w:tabs>
          <w:tab w:leader="none" w:pos="515"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перикардэктомия.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99"/>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Проводится повторный рентгенологический и эхо</w:t>
        <w:softHyphen/>
        <w:t>кардиографический контроль.</w:t>
      </w:r>
    </w:p>
    <w:p>
      <w:pPr>
        <w:pStyle w:val="Style30"/>
        <w:numPr>
          <w:ilvl w:val="0"/>
          <w:numId w:val="99"/>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Контроль эффективности лечения основного заболе - вания.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Прогноз</w:t>
      </w:r>
    </w:p>
    <w:p>
      <w:pPr>
        <w:pStyle w:val="Style30"/>
        <w:numPr>
          <w:ilvl w:val="0"/>
          <w:numId w:val="99"/>
        </w:numPr>
        <w:tabs>
          <w:tab w:leader="none" w:pos="240" w:val="left"/>
        </w:tabs>
        <w:widowControl w:val="0"/>
        <w:keepNext w:val="0"/>
        <w:keepLines w:val="0"/>
        <w:shd w:val="clear" w:color="auto" w:fill="auto"/>
        <w:bidi w:val="0"/>
        <w:spacing w:before="0" w:after="0"/>
        <w:ind w:left="280" w:right="0" w:hanging="280"/>
        <w:sectPr>
          <w:type w:val="continuous"/>
          <w:pgSz w:w="11900" w:h="16840"/>
          <w:pgMar w:top="1569" w:left="1007" w:right="1006" w:bottom="1751" w:header="0" w:footer="3" w:gutter="0"/>
          <w:rtlGutter w:val="0"/>
          <w:cols w:num="2" w:space="151"/>
          <w:noEndnote/>
          <w:docGrid w:linePitch="360"/>
        </w:sectPr>
      </w:pPr>
      <w:r>
        <w:rPr>
          <w:lang w:val="ru-RU" w:eastAsia="ru-RU" w:bidi="ru-RU"/>
          <w:w w:val="100"/>
          <w:spacing w:val="0"/>
          <w:color w:val="000000"/>
          <w:position w:val="0"/>
        </w:rPr>
        <w:t>Прогноз зависит от своевременного распознавания тампонады сердца и возможности лечения основного заболевания.</w:t>
      </w:r>
    </w:p>
    <w:p>
      <w:pPr>
        <w:widowControl w:val="0"/>
        <w:rPr>
          <w:sz w:val="2"/>
          <w:szCs w:val="2"/>
        </w:rPr>
      </w:pPr>
      <w:r>
        <w:pict>
          <v:shape id="_x0000_s1523" type="#_x0000_t202" style="position:static;width:595.pt;height:616.6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73" w:left="0" w:right="0" w:bottom="192" w:header="0" w:footer="3" w:gutter="0"/>
          <w:rtlGutter w:val="0"/>
          <w:cols w:space="720"/>
          <w:noEndnote/>
          <w:docGrid w:linePitch="360"/>
        </w:sectPr>
      </w:pPr>
    </w:p>
    <w:p>
      <w:pPr>
        <w:widowControl w:val="0"/>
        <w:spacing w:line="645" w:lineRule="exact"/>
      </w:pPr>
      <w:r>
        <w:pict>
          <v:shape id="_x0000_s1524" type="#_x0000_t75" style="position:absolute;margin-left:147.65pt;margin-top:0;width:209.75pt;height:14.9pt;z-index:-251658679;mso-wrap-distance-left:5.pt;mso-wrap-distance-right:5.pt;mso-position-horizontal-relative:margin" wrapcoords="0 0">
            <v:imagedata r:id="rId826" r:href="rId827"/>
            <w10:wrap anchorx="margin"/>
          </v:shape>
        </w:pict>
      </w:r>
    </w:p>
    <w:p>
      <w:pPr>
        <w:widowControl w:val="0"/>
        <w:rPr>
          <w:sz w:val="2"/>
          <w:szCs w:val="2"/>
        </w:rPr>
        <w:sectPr>
          <w:type w:val="continuous"/>
          <w:pgSz w:w="11900" w:h="16840"/>
          <w:pgMar w:top="1473" w:left="898" w:right="1124" w:bottom="192" w:header="0" w:footer="3" w:gutter="0"/>
          <w:rtlGutter w:val="0"/>
          <w:cols w:space="720"/>
          <w:noEndnote/>
          <w:docGrid w:linePitch="360"/>
        </w:sectPr>
      </w:pPr>
    </w:p>
    <w:p>
      <w:pPr>
        <w:pStyle w:val="Style5"/>
        <w:widowControl w:val="0"/>
        <w:keepNext w:val="0"/>
        <w:keepLines w:val="0"/>
        <w:shd w:val="clear" w:color="auto" w:fill="auto"/>
        <w:bidi w:val="0"/>
        <w:jc w:val="left"/>
        <w:spacing w:before="0" w:after="205" w:line="340" w:lineRule="exact"/>
        <w:ind w:left="2320" w:right="0" w:firstLine="0"/>
      </w:pPr>
      <w:r>
        <w:rPr>
          <w:rStyle w:val="CharStyle147"/>
          <w:b/>
          <w:bCs/>
        </w:rPr>
        <w:t>Глава VII</w:t>
      </w:r>
    </w:p>
    <w:p>
      <w:pPr>
        <w:pStyle w:val="Style15"/>
        <w:widowControl w:val="0"/>
        <w:keepNext/>
        <w:keepLines/>
        <w:shd w:val="clear" w:color="auto" w:fill="auto"/>
        <w:bidi w:val="0"/>
        <w:jc w:val="left"/>
        <w:spacing w:before="0" w:after="0" w:line="432" w:lineRule="exact"/>
        <w:ind w:left="2320" w:right="2440" w:firstLine="0"/>
        <w:sectPr>
          <w:headerReference w:type="even" r:id="rId828"/>
          <w:headerReference w:type="default" r:id="rId829"/>
          <w:pgSz w:w="11900" w:h="16840"/>
          <w:pgMar w:top="1829" w:left="1119" w:right="893" w:bottom="207" w:header="0" w:footer="3" w:gutter="0"/>
          <w:rtlGutter w:val="0"/>
          <w:cols w:space="720"/>
          <w:noEndnote/>
          <w:docGrid w:linePitch="360"/>
        </w:sectPr>
      </w:pPr>
      <w:bookmarkStart w:id="521" w:name="bookmark521"/>
      <w:r>
        <w:rPr>
          <w:rStyle w:val="CharStyle148"/>
          <w:b/>
          <w:bCs/>
        </w:rPr>
        <w:t>ПАТОЛОГИЯ КОРОНАРНОГО КРОВООБРАЩЕНИЯ</w:t>
      </w:r>
      <w:bookmarkEnd w:id="521"/>
    </w:p>
    <w:p>
      <w:pPr>
        <w:widowControl w:val="0"/>
        <w:spacing w:line="240" w:lineRule="exact"/>
        <w:rPr>
          <w:sz w:val="19"/>
          <w:szCs w:val="19"/>
        </w:rPr>
      </w:pPr>
    </w:p>
    <w:p>
      <w:pPr>
        <w:widowControl w:val="0"/>
        <w:spacing w:line="240" w:lineRule="exact"/>
        <w:rPr>
          <w:sz w:val="19"/>
          <w:szCs w:val="19"/>
        </w:rPr>
      </w:pPr>
    </w:p>
    <w:p>
      <w:pPr>
        <w:widowControl w:val="0"/>
        <w:spacing w:before="41" w:after="41" w:line="240" w:lineRule="exact"/>
        <w:rPr>
          <w:sz w:val="19"/>
          <w:szCs w:val="19"/>
        </w:rPr>
      </w:pPr>
    </w:p>
    <w:p>
      <w:pPr>
        <w:widowControl w:val="0"/>
        <w:rPr>
          <w:sz w:val="2"/>
          <w:szCs w:val="2"/>
        </w:rPr>
        <w:sectPr>
          <w:type w:val="continuous"/>
          <w:pgSz w:w="11900" w:h="16840"/>
          <w:pgMar w:top="1569" w:left="0" w:right="0" w:bottom="1775" w:header="0" w:footer="3" w:gutter="0"/>
          <w:rtlGutter w:val="0"/>
          <w:cols w:space="720"/>
          <w:noEndnote/>
          <w:docGrid w:linePitch="360"/>
        </w:sectPr>
      </w:pPr>
    </w:p>
    <w:p>
      <w:pPr>
        <w:widowControl w:val="0"/>
        <w:rPr>
          <w:sz w:val="2"/>
          <w:szCs w:val="2"/>
        </w:rPr>
      </w:pPr>
      <w:r>
        <w:pict>
          <v:shape id="_x0000_s1527" type="#_x0000_t75" style="position:absolute;margin-left:139.95pt;margin-top:608.9pt;width:209.75pt;height:14.9pt;z-index:-125829043;mso-wrap-distance-left:136.8pt;mso-wrap-distance-right:148.1pt;mso-wrap-distance-bottom:10.8pt;mso-position-horizontal-relative:margin" wrapcoords="0 0 21600 0 21600 21600 0 21600 0 0">
            <v:imagedata r:id="rId830" r:href="rId831"/>
            <w10:wrap type="topAndBottom" anchorx="margin"/>
          </v:shape>
        </w:pict>
      </w:r>
    </w:p>
    <w:p>
      <w:pPr>
        <w:pStyle w:val="Style92"/>
        <w:widowControl w:val="0"/>
        <w:keepNext/>
        <w:keepLines/>
        <w:shd w:val="clear" w:color="auto" w:fill="auto"/>
        <w:bidi w:val="0"/>
        <w:spacing w:before="0" w:after="0"/>
        <w:ind w:left="520" w:right="0" w:hanging="240"/>
      </w:pPr>
      <w:bookmarkStart w:id="522" w:name="bookmark522"/>
      <w:r>
        <w:rPr>
          <w:lang w:val="ru-RU" w:eastAsia="ru-RU" w:bidi="ru-RU"/>
          <w:w w:val="100"/>
          <w:spacing w:val="0"/>
          <w:color w:val="000000"/>
          <w:position w:val="0"/>
        </w:rPr>
        <w:t>Введение</w:t>
      </w:r>
      <w:bookmarkEnd w:id="522"/>
    </w:p>
    <w:p>
      <w:pPr>
        <w:pStyle w:val="Style30"/>
        <w:widowControl w:val="0"/>
        <w:keepNext w:val="0"/>
        <w:keepLines w:val="0"/>
        <w:shd w:val="clear" w:color="auto" w:fill="auto"/>
        <w:bidi w:val="0"/>
        <w:spacing w:before="0" w:after="221"/>
        <w:ind w:left="0" w:right="0" w:firstLine="280"/>
      </w:pPr>
      <w:r>
        <w:rPr>
          <w:lang w:val="ru-RU" w:eastAsia="ru-RU" w:bidi="ru-RU"/>
          <w:w w:val="100"/>
          <w:spacing w:val="0"/>
          <w:color w:val="000000"/>
          <w:position w:val="0"/>
        </w:rPr>
        <w:t>Патология коронарных артерий у детей — до настояще</w:t>
        <w:softHyphen/>
        <w:t>го времени недостаточно изученная область детской кар</w:t>
        <w:softHyphen/>
        <w:t>диологии, особенно мало знакомы с данной патологией практические педиатры и кардиологи. Между тем опас</w:t>
        <w:softHyphen/>
        <w:t>ность гиподиагностики коронарных заболеваний в детстве трудно переоценить. Несмотря на то что этиологический спектр детской коронарной патологии многообразен и зна</w:t>
        <w:softHyphen/>
        <w:t>чительно отличается от взрослых, последствия ее так же се</w:t>
        <w:softHyphen/>
        <w:t>рьезны — ишемия, инфаркт миокарда, аритмии, застойная сердечная недостаточность, внезапная сердечная смерть.</w:t>
      </w:r>
    </w:p>
    <w:p>
      <w:pPr>
        <w:pStyle w:val="Style48"/>
        <w:widowControl w:val="0"/>
        <w:keepNext/>
        <w:keepLines/>
        <w:shd w:val="clear" w:color="auto" w:fill="auto"/>
        <w:bidi w:val="0"/>
        <w:jc w:val="left"/>
        <w:spacing w:before="0" w:after="79" w:line="240" w:lineRule="exact"/>
        <w:ind w:left="0" w:right="0" w:firstLine="0"/>
      </w:pPr>
      <w:bookmarkStart w:id="523" w:name="bookmark523"/>
      <w:r>
        <w:rPr>
          <w:lang w:val="ru-RU" w:eastAsia="ru-RU" w:bidi="ru-RU"/>
          <w:w w:val="100"/>
          <w:spacing w:val="0"/>
          <w:color w:val="000000"/>
          <w:position w:val="0"/>
        </w:rPr>
        <w:t>Эмбриология и нормальная анатомия коронарного кровообращения</w:t>
      </w:r>
      <w:bookmarkEnd w:id="523"/>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Эмбриология коронарных сосудов</w:t>
      </w:r>
    </w:p>
    <w:p>
      <w:pPr>
        <w:pStyle w:val="Style30"/>
        <w:numPr>
          <w:ilvl w:val="0"/>
          <w:numId w:val="9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эмбриональном развитии коронарных артерий можно условно выделить несколько этапов. Первона</w:t>
        <w:softHyphen/>
        <w:t>чально (с 22 дня после овуляции) метаболический об</w:t>
        <w:softHyphen/>
        <w:t>мен совершается между кровью в сердечной камере и сердечной мезенхимой через примитивные синусо</w:t>
        <w:softHyphen/>
        <w:t>иды:. Эти синусоиды: представляют собой спонгиоз- ные маленькие полости в развивающемся миокарде.</w:t>
      </w:r>
    </w:p>
    <w:p>
      <w:pPr>
        <w:pStyle w:val="Style30"/>
        <w:numPr>
          <w:ilvl w:val="0"/>
          <w:numId w:val="9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Следующим этапом развития кровоснабжения сердца является образование в миокарде сосудистой эндоте</w:t>
        <w:softHyphen/>
        <w:t>лиальной сети (31 день после овуляции). Формирова</w:t>
        <w:softHyphen/>
        <w:t>ние проксимальных коронарных артерий происходит обособленно из стенок аортолегочного ствола путем образования выпячиваний («почек», «бутонов»). Этот этап начинается, как только аортолегочный трункус разделится на аорту и легочный ствол. Вначале коро</w:t>
        <w:softHyphen/>
        <w:t>нарные «бутоны» образуются как от аорты, так и от ле</w:t>
        <w:softHyphen/>
        <w:t>гочной артерии, при этом их число варьирует. Затем, когда заканчивается аортолегочная сепарация и фор</w:t>
        <w:softHyphen/>
        <w:t>мируются полулунные клапаны, происходит слияние коронарных «почек» с вторичными и третичными компонентами артериального сосудистого русла и возникает коронарная циркуляция.</w:t>
      </w:r>
    </w:p>
    <w:p>
      <w:pPr>
        <w:pStyle w:val="Style30"/>
        <w:numPr>
          <w:ilvl w:val="0"/>
          <w:numId w:val="9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Последующее развитие коронарной циркуляции ха</w:t>
        <w:softHyphen/>
        <w:t>рактеризуется увеличением числа дистальных коро</w:t>
        <w:softHyphen/>
        <w:t>нарных артерий пропорционально нарастанию мы</w:t>
        <w:softHyphen/>
        <w:t>шечной массы сердца. При гипоплазии миокарда имеет место феномен недоразвития дистальных ко</w:t>
        <w:softHyphen/>
        <w:t>ронарных сосудов. Например, такой порок сердца, как единственный желудочек, при котором отсут</w:t>
        <w:softHyphen/>
        <w:t>ствует межжелудочковая перегородка, сопровождает</w:t>
        <w:softHyphen/>
        <w:t>ся гипоплазией или отсутствием левой передней нис</w:t>
        <w:softHyphen/>
        <w:t>ходящей артерии. Однако интересно отметить тот факт, что врожденная гипоплазия или даже отсут</w:t>
        <w:softHyphen/>
        <w:t>ствие коронарной артерии (например, единственная</w:t>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коронарная артерия) не сопровождается феноменом гипотрофии миокарда. Отсутствие гипотрофии мио</w:t>
        <w:softHyphen/>
        <w:t>карда объясняется компенсаторным перераспределе</w:t>
        <w:softHyphen/>
        <w:t>нием кровотока и увеличением коллатерального кро</w:t>
        <w:softHyphen/>
        <w:t>вообращения в бассейне недостаточной васкуляриза</w:t>
        <w:softHyphen/>
        <w:t>ции. Так, при аномальном отхождении левой коро</w:t>
        <w:softHyphen/>
        <w:t>нарной артерии от легочной правая коронарная арте</w:t>
        <w:softHyphen/>
        <w:t>рия дилатирована, васкуляризация бассейна левой коронарной артерии осуществляется через межкоро</w:t>
        <w:softHyphen/>
        <w:t>нарные анастомозы.</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Нормальная анатомия коронарных сосудов</w:t>
      </w:r>
    </w:p>
    <w:p>
      <w:pPr>
        <w:pStyle w:val="Style30"/>
        <w:numPr>
          <w:ilvl w:val="0"/>
          <w:numId w:val="9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Обозначение сосудов сердца происходит от латин</w:t>
        <w:softHyphen/>
        <w:t xml:space="preserve">ского слова </w:t>
      </w:r>
      <w:r>
        <w:rPr>
          <w:lang w:val="en-US" w:eastAsia="en-US" w:bidi="en-US"/>
          <w:w w:val="100"/>
          <w:spacing w:val="0"/>
          <w:color w:val="000000"/>
          <w:position w:val="0"/>
        </w:rPr>
        <w:t xml:space="preserve">«crown» </w:t>
      </w:r>
      <w:r>
        <w:rPr>
          <w:lang w:val="ru-RU" w:eastAsia="ru-RU" w:bidi="ru-RU"/>
          <w:w w:val="100"/>
          <w:spacing w:val="0"/>
          <w:color w:val="000000"/>
          <w:position w:val="0"/>
        </w:rPr>
        <w:t>— корона, поскольку коронар</w:t>
        <w:softHyphen/>
        <w:t>ные (венечные) артерии покрывают сердце по анало</w:t>
        <w:softHyphen/>
        <w:t>гии с короной, надетой на голову. Обычно сердце имеет две главных коронарных артерии, которые от</w:t>
        <w:softHyphen/>
        <w:t>ходят от правого и левого аортальных синусов Валь</w:t>
        <w:softHyphen/>
        <w:t>сальвы раздельными устьями. Синусы Вальсальвы локализуются между синотубулярным краем и створ</w:t>
        <w:softHyphen/>
        <w:t>ками аортального клапана. Третий, или задний, синус Вальсальвы обычно несколько больше, чем левый и правый синусы. Этот синус не содержит устья коро</w:t>
        <w:softHyphen/>
        <w:t>нарной артерии и обозначается как некоронарный синус.</w:t>
      </w:r>
    </w:p>
    <w:p>
      <w:pPr>
        <w:pStyle w:val="Style30"/>
        <w:numPr>
          <w:ilvl w:val="0"/>
          <w:numId w:val="9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Левая общая коронарная артерия отходит от левого синуса Вальсальвы, имеет короткую протяженность (не более 4 см) и вскоре разделяется на левую огиба</w:t>
        <w:softHyphen/>
        <w:t>ющую и левую переднюю нисходящую артерии. Ле</w:t>
        <w:softHyphen/>
        <w:t>вая огибающая коронарная артерия значительно ва</w:t>
        <w:softHyphen/>
        <w:t>рьирует по размеру в зависимости от того, является ли задняя нисходящая артерия ветвью правой коронар</w:t>
        <w:softHyphen/>
        <w:t>ной артерии (так называемый «право-доминирую</w:t>
        <w:softHyphen/>
        <w:t>щий» тип коронарной системы) или ветвью левой огибающей артерии («лево-доминирующий тип ко</w:t>
        <w:softHyphen/>
        <w:t>ронарной системы»). Если задняя нисходящая коро</w:t>
        <w:softHyphen/>
        <w:t>нарная артерия отходит от огибающей коронарной артерии (наблюдается примерно в 10% случаев), то последняя обычно большая, напротив, при право-до</w:t>
        <w:softHyphen/>
        <w:t>минирующем типе коронарной системы левая огиба</w:t>
        <w:softHyphen/>
        <w:t>ющая артерия маленькая. Эта артерия проходит под ушком левого предсердия и распространяется до ле</w:t>
        <w:softHyphen/>
        <w:t>вого атриовентрикулярного клапана. В 50% случаев артерия, питающая синусовый узел, отходит от левой огибающей артерии. Эта артерия проходит под уш</w:t>
        <w:softHyphen/>
        <w:t>ком левого предсердия, пенетрирует межпредсерд</w:t>
        <w:softHyphen/>
        <w:t>ную перегородку, огибает основание верхней полой вены и подходит к синусовому узлу. В остальных слу</w:t>
        <w:softHyphen/>
        <w:t>чаях синусовый узел кровоснабжается веточкой от правой коронарной артерии или, что наблюдается значительно реже, ветвью, отходящей от левой задне-</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предсердной огибающей артерии. Коронарные арте</w:t>
        <w:softHyphen/>
        <w:t>рии, отходящие от левой огибающей артерии, кро- воснабжают область латеральной стенки левого желу</w:t>
        <w:softHyphen/>
        <w:t>дочка и заднюю стенку левого предсердия.</w:t>
      </w:r>
    </w:p>
    <w:p>
      <w:pPr>
        <w:pStyle w:val="Style30"/>
        <w:numPr>
          <w:ilvl w:val="0"/>
          <w:numId w:val="9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Левая передняя нисходящая коронарная артерия яв</w:t>
        <w:softHyphen/>
        <w:t>ляется прямым продолжением левой общей коронар</w:t>
        <w:softHyphen/>
        <w:t>ной артерии и значительно реже выглядит в виде ее ветви. Эта артерия проходит по межжелудочковой бо</w:t>
        <w:softHyphen/>
        <w:t>розде и распространяется вплоть до верхушки сердца, анастомозируя с задней нисходящей коронарной ар</w:t>
        <w:softHyphen/>
        <w:t>терией. От левой передней нисходящей артерии отхо</w:t>
        <w:softHyphen/>
        <w:t>дит от 4 до 6 септальных веточек, которые пенетриру- ют межжелудочковую перегородку и анастомозируют с задней септальной ветвью, отходящей от задней ни</w:t>
        <w:softHyphen/>
        <w:t>сходящей коронарной артерии. Диагональные ветви левой передней нисходящей артерии кровоснабжают переднюю поверхность правого и левого желудочка, а также инфундибулюм правого желудочка.</w:t>
      </w:r>
    </w:p>
    <w:p>
      <w:pPr>
        <w:pStyle w:val="Style30"/>
        <w:numPr>
          <w:ilvl w:val="0"/>
          <w:numId w:val="9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Правая коронарная артерия отходит от правого коро - нарного синуса Вальсальвы и проходит позади легоч</w:t>
        <w:softHyphen/>
        <w:t>ной артерии книзу от ушка правого предсердия вдоль предсердно-желудочковой бороздки. Артерия огиба</w:t>
        <w:softHyphen/>
        <w:t>ет край сердца кзади и каудально и направляется на диафрагмальную поверхность сердца. От правой ко</w:t>
        <w:softHyphen/>
        <w:t>ронарной артерии отходят ветви, идущие к синусово</w:t>
        <w:softHyphen/>
        <w:t>му узлу, предсердию, правому желудочку, атриовент</w:t>
        <w:softHyphen/>
        <w:t>рикулярному узлу и перегородке.</w:t>
      </w:r>
    </w:p>
    <w:p>
      <w:pPr>
        <w:pStyle w:val="Style30"/>
        <w:numPr>
          <w:ilvl w:val="0"/>
          <w:numId w:val="9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Тип ветвления правой или левой венечной артерии в кровоснабжении сердца образует широкий диапа</w:t>
        <w:softHyphen/>
        <w:t>зон индивидуальной изменчивости, условно разделя</w:t>
        <w:softHyphen/>
        <w:t>емый на лево-, правовенечный и равномерный типы кровоснабжения сердца (Рис. ?.1.).</w:t>
      </w:r>
    </w:p>
    <w:p>
      <w:pPr>
        <w:pStyle w:val="Style30"/>
        <w:numPr>
          <w:ilvl w:val="0"/>
          <w:numId w:val="9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Левовенечный тип характеризуется значительным преобладанием территорий кровоснабжения сердца за счет левой венечной артерии: левое предсердие и левый желудочек, межжелудочковая перегородка, задняя стенка правого предсердия, большая часть задней стенки правого желудочка, часть передней стенки правого желудочка. При левовенечном типе кровоснабжения правая венечная васкуляризирует переднюю и боковую стенки правого предсердия, значительную часть передней стенки правого желу</w:t>
        <w:softHyphen/>
        <w:t>дочка.</w:t>
      </w:r>
    </w:p>
    <w:p>
      <w:pPr>
        <w:pStyle w:val="Style30"/>
        <w:numPr>
          <w:ilvl w:val="0"/>
          <w:numId w:val="9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правовенечном типе кровоснабжения сердца преобладающей является правая венечная артерия, она васкуляризирует все правое предсердие, большую часть передней и всю заднюю стенку правого желу</w:t>
        <w:softHyphen/>
        <w:t>дочка, задние 2/3 межжелудочковой перегородки, заднюю стенку левого предсердия и левого желудоч</w:t>
        <w:softHyphen/>
        <w:t>ка, верхушку сердца. Левая венечная артерия при этой форме кровоснабжает переднюю и боковую стенки левого предсердия, большую часть передней и боковой стенок левого желудочка, переднюю треть межжелудочковой перегородки, небольшую часть пе</w:t>
        <w:softHyphen/>
        <w:t>редней стенки правого желудочка.</w:t>
      </w:r>
    </w:p>
    <w:p>
      <w:pPr>
        <w:pStyle w:val="Style30"/>
        <w:numPr>
          <w:ilvl w:val="0"/>
          <w:numId w:val="9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Между этими крайними формами имеется множест</w:t>
        <w:softHyphen/>
        <w:t>во промежуточных форм кровоснабжения, среди ко</w:t>
        <w:softHyphen/>
        <w:t>торых более частой является равномерная, при кото</w:t>
        <w:softHyphen/>
        <w:t>рой обе венечные артерии имеют примерно одинако</w:t>
        <w:softHyphen/>
        <w:t>вые территории васкуляризации. Левая венечная ар</w:t>
        <w:softHyphen/>
        <w:t>терия кровоснабжает все левое предсердие, пере</w:t>
        <w:softHyphen/>
        <w:t>днюю, боковую и большую часть задней стенки лево-</w:t>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го желудочка, передние 2/3 межжелудочковой пере</w:t>
        <w:softHyphen/>
        <w:t>городки, часть передней стенки правого желудочка. Правая венечная артерия кровоснабжает все правое предсердие, большую часть передней и заднюю стен</w:t>
        <w:softHyphen/>
        <w:t>ку правого желудочка, заднюю треть межжелудочко</w:t>
        <w:softHyphen/>
        <w:t>вой перегородки, небольшую часть задней стенки ле</w:t>
        <w:softHyphen/>
        <w:t>вого желудочка.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У детей диаметр проксимальных отделов коронарных артерий варьирует и в зависимости от возраста может быть от 1 до 4 мм, а у взрослых достигает 3-5 мм </w:t>
      </w:r>
      <w:r>
        <w:rPr>
          <w:lang w:val="en-US" w:eastAsia="en-US" w:bidi="en-US"/>
          <w:w w:val="100"/>
          <w:spacing w:val="0"/>
          <w:color w:val="000000"/>
          <w:position w:val="0"/>
        </w:rPr>
        <w:t>(De Baikey).</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Венозная система сердца включает три основных зве - на, функционально связанных между собой:</w:t>
      </w:r>
    </w:p>
    <w:p>
      <w:pPr>
        <w:pStyle w:val="Style30"/>
        <w:numPr>
          <w:ilvl w:val="0"/>
          <w:numId w:val="10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система венечного синуса;</w:t>
      </w:r>
    </w:p>
    <w:p>
      <w:pPr>
        <w:pStyle w:val="Style30"/>
        <w:numPr>
          <w:ilvl w:val="0"/>
          <w:numId w:val="10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вены предсердий;</w:t>
      </w:r>
    </w:p>
    <w:p>
      <w:pPr>
        <w:pStyle w:val="Style30"/>
        <w:numPr>
          <w:ilvl w:val="0"/>
          <w:numId w:val="10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система тебезиевых вен.</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Венечный синус </w:t>
      </w:r>
      <w:r>
        <w:rPr>
          <w:lang w:val="en-US" w:eastAsia="en-US" w:bidi="en-US"/>
          <w:w w:val="100"/>
          <w:spacing w:val="0"/>
          <w:color w:val="000000"/>
          <w:position w:val="0"/>
        </w:rPr>
        <w:t xml:space="preserve">(sinus coronarius cordis) </w:t>
      </w:r>
      <w:r>
        <w:rPr>
          <w:lang w:val="ru-RU" w:eastAsia="ru-RU" w:bidi="ru-RU"/>
          <w:w w:val="100"/>
          <w:spacing w:val="0"/>
          <w:color w:val="000000"/>
          <w:position w:val="0"/>
        </w:rPr>
        <w:t>представляет собой коллектор, который собирает кровь от желу</w:t>
        <w:softHyphen/>
        <w:t>дочков и частично предсердий. Он расположен в пра</w:t>
        <w:softHyphen/>
        <w:t>вом предсердии, его устье локализуется в углу между нижней частью задней стенки предсердия и межпред</w:t>
        <w:softHyphen/>
        <w:t>сердной перегородкой, тотчас ниже заслонки нижней полой вены. Отверстие синуса прикрыто заслонкой венечного синуса (тебезиевой заслонкой), обычно полулунной формы (Каган И.И., 1987). Размеры ве</w:t>
        <w:softHyphen/>
        <w:t>нечного синуса широко варьируют. Его ширина у ме</w:t>
        <w:softHyphen/>
        <w:t>ста впадения в предсердие составляет от 0,8 до 1,4 см. В венечный синус впадает от 4 до 17 вен, чаще 6-7 вен, основными из которых являются:</w:t>
      </w:r>
    </w:p>
    <w:p>
      <w:pPr>
        <w:pStyle w:val="Style30"/>
        <w:numPr>
          <w:ilvl w:val="0"/>
          <w:numId w:val="9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большая вена сердца собирает кровь с передних отделов левого и частично правого желудочков и межжелудочковой перегородки, а также прини</w:t>
        <w:softHyphen/>
        <w:t>мает в себя вену левого края сердца;</w:t>
      </w:r>
    </w:p>
    <w:p>
      <w:pPr>
        <w:pStyle w:val="Style30"/>
        <w:numPr>
          <w:ilvl w:val="0"/>
          <w:numId w:val="9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задняя вена левого желудочка собирает кровь от верхушки и задней стенки левого желудочка;</w:t>
      </w:r>
    </w:p>
    <w:p>
      <w:pPr>
        <w:pStyle w:val="Style30"/>
        <w:numPr>
          <w:ilvl w:val="0"/>
          <w:numId w:val="9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косая вена левого предсердия;</w:t>
      </w:r>
    </w:p>
    <w:p>
      <w:pPr>
        <w:pStyle w:val="Style30"/>
        <w:numPr>
          <w:ilvl w:val="0"/>
          <w:numId w:val="9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средняя вена сердца собирает кровь с задней по</w:t>
        <w:softHyphen/>
        <w:t>верхности обоих желудочков.</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Вены обоих предсердий вливаются в малую вену сердца, последняя дренирует в среднюю вену сердца, но иногда может впадать непосредственно в венеч</w:t>
        <w:softHyphen/>
        <w:t>ный синус.</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Сосуды Вьессена-Тебезия представляют собой остат</w:t>
        <w:softHyphen/>
        <w:t>ки межтрабекулярного кровообращения эмбриона и состоят из большого числа мельчайших сосудов. Они имеются во всех отделах сердца и соединяют по - лости сердечных камер с мельчайшими сосудами сердца — артериями и венами (рисунок ?.2.). Сосуды Вьессена-Тебезия имеют весьма разнообразное стро</w:t>
        <w:softHyphen/>
        <w:t>ение, отличное в разных отделах сердца. Стенка этих сосудов состоит из слоя эндотелия, расположенного на соединительнотканной основе, содержащей элас</w:t>
        <w:softHyphen/>
        <w:t>тические волокна. Таким образом, по своей морфоло</w:t>
        <w:softHyphen/>
        <w:t>гии сосуды Вьессена-Тебезия занимают промежуточ</w:t>
        <w:softHyphen/>
        <w:t>ное место между обычными кровеносными сосудами и капиллярами.</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pict>
          <v:shape id="_x0000_s1528" type="#_x0000_t75" style="position:absolute;margin-left:147.7pt;margin-top:736.8pt;width:209.75pt;height:14.9pt;z-index:-125829042;mso-wrap-distance-left:147.35pt;mso-wrap-distance-right:136.8pt;mso-wrap-distance-bottom:10.8pt;mso-position-horizontal-relative:margin;mso-position-vertical-relative:margin" wrapcoords="0 0 21600 0 21600 21600 0 21600 0 0">
            <v:imagedata r:id="rId832" r:href="rId833"/>
            <w10:wrap type="topAndBottom" anchorx="margin" anchory="margin"/>
          </v:shape>
        </w:pict>
      </w:r>
      <w:r>
        <w:rPr>
          <w:lang w:val="ru-RU" w:eastAsia="ru-RU" w:bidi="ru-RU"/>
          <w:w w:val="100"/>
          <w:spacing w:val="0"/>
          <w:color w:val="000000"/>
          <w:position w:val="0"/>
        </w:rPr>
        <w:t>В наибольшем количестве сосуды Вьессена-Тебезия наблюдаются у детей, с возрастом число их уменьша</w:t>
        <w:softHyphen/>
        <w:t>ется. Важно отметить, что в некоторых случаях (ише</w:t>
        <w:softHyphen/>
        <w:t>мия и инфаркт миокарда) число сосудов Вьессена-Те- безия увеличивается и они расширяются, что имеет компенсаторное значение.</w:t>
      </w:r>
      <w:r>
        <w:br w:type="page"/>
      </w:r>
    </w:p>
    <w:p>
      <w:pPr>
        <w:pStyle w:val="Style28"/>
        <w:widowControl w:val="0"/>
        <w:keepNext/>
        <w:keepLines/>
        <w:shd w:val="clear" w:color="auto" w:fill="auto"/>
        <w:bidi w:val="0"/>
        <w:jc w:val="left"/>
        <w:spacing w:before="0" w:after="93" w:line="220" w:lineRule="exact"/>
        <w:ind w:left="0" w:right="0" w:firstLine="0"/>
      </w:pPr>
      <w:bookmarkStart w:id="524" w:name="bookmark524"/>
      <w:r>
        <w:rPr>
          <w:lang w:val="ru-RU" w:eastAsia="ru-RU" w:bidi="ru-RU"/>
          <w:w w:val="100"/>
          <w:spacing w:val="0"/>
          <w:color w:val="000000"/>
          <w:position w:val="0"/>
        </w:rPr>
        <w:t>Инфаркт миокарда</w:t>
      </w:r>
      <w:bookmarkEnd w:id="524"/>
    </w:p>
    <w:p>
      <w:pPr>
        <w:pStyle w:val="Style92"/>
        <w:widowControl w:val="0"/>
        <w:keepNext/>
        <w:keepLines/>
        <w:shd w:val="clear" w:color="auto" w:fill="auto"/>
        <w:bidi w:val="0"/>
        <w:spacing w:before="0" w:after="0"/>
        <w:ind w:left="0" w:right="0" w:firstLine="280"/>
      </w:pPr>
      <w:bookmarkStart w:id="525" w:name="bookmark525"/>
      <w:r>
        <w:rPr>
          <w:lang w:val="ru-RU" w:eastAsia="ru-RU" w:bidi="ru-RU"/>
          <w:w w:val="100"/>
          <w:spacing w:val="0"/>
          <w:color w:val="000000"/>
          <w:position w:val="0"/>
        </w:rPr>
        <w:t>Введение</w:t>
      </w:r>
      <w:bookmarkEnd w:id="52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Многие педиатры и кардиологи считают, что инфаркт миокарда в детском возрасте встречается казуистически редко. В отечественной и зарубежной литературе периоди</w:t>
        <w:softHyphen/>
        <w:t>чески появляются описания единичных случаев инфаркта миокарда у детей, в том числе в периоде новорожденности, без какого-либо обобщения по данному вопросу. В этой связи отсутствует настороженность врачей, имеет место ги</w:t>
        <w:softHyphen/>
        <w:t>подиагностика инфарктов и, как результат, зачастую пло</w:t>
        <w:softHyphen/>
        <w:t xml:space="preserve">хой прогноз. Так, например, еще в 1968 году </w:t>
      </w:r>
      <w:r>
        <w:rPr>
          <w:lang w:val="en-US" w:eastAsia="en-US" w:bidi="en-US"/>
          <w:w w:val="100"/>
          <w:spacing w:val="0"/>
          <w:color w:val="000000"/>
          <w:position w:val="0"/>
        </w:rPr>
        <w:t xml:space="preserve">R.A. Franciosi </w:t>
      </w:r>
      <w:r>
        <w:rPr>
          <w:lang w:val="ru-RU" w:eastAsia="ru-RU" w:bidi="ru-RU"/>
          <w:w w:val="100"/>
          <w:spacing w:val="0"/>
          <w:color w:val="000000"/>
          <w:position w:val="0"/>
        </w:rPr>
        <w:t xml:space="preserve">и </w:t>
      </w:r>
      <w:r>
        <w:rPr>
          <w:lang w:val="en-US" w:eastAsia="en-US" w:bidi="en-US"/>
          <w:w w:val="100"/>
          <w:spacing w:val="0"/>
          <w:color w:val="000000"/>
          <w:position w:val="0"/>
        </w:rPr>
        <w:t xml:space="preserve">WA Blanc </w:t>
      </w:r>
      <w:r>
        <w:rPr>
          <w:lang w:val="ru-RU" w:eastAsia="ru-RU" w:bidi="ru-RU"/>
          <w:w w:val="100"/>
          <w:spacing w:val="0"/>
          <w:color w:val="000000"/>
          <w:position w:val="0"/>
        </w:rPr>
        <w:t>отметили, что инфаркт миокарда у детей встре</w:t>
        <w:softHyphen/>
        <w:t>чается значительно чаще, чем принято считать. По данным авторов, при врожденных пороках сердца даже при отсут</w:t>
        <w:softHyphen/>
        <w:t>ствии структурных аномалий коронарных сосудов инфаркт миокарда у детей по данным аутопсии встречается до 75% случаев, при этом половина из них могла быть диагности</w:t>
        <w:softHyphen/>
        <w:t>рована клинически.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numPr>
          <w:ilvl w:val="0"/>
          <w:numId w:val="99"/>
        </w:numPr>
        <w:tabs>
          <w:tab w:leader="none" w:pos="517"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В детской популяции точно не установлена, прибли</w:t>
        <w:softHyphen/>
        <w:t>зительно составляет 20 на 100000 детской популяции.</w:t>
      </w:r>
    </w:p>
    <w:p>
      <w:pPr>
        <w:pStyle w:val="Style30"/>
        <w:numPr>
          <w:ilvl w:val="0"/>
          <w:numId w:val="9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США летальность от острого инфаркта миокарда</w:t>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у детей моложе одного года составляет 0,2 на 100 000.</w:t>
      </w:r>
    </w:p>
    <w:p>
      <w:pPr>
        <w:pStyle w:val="Style30"/>
        <w:numPr>
          <w:ilvl w:val="0"/>
          <w:numId w:val="9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в зависимости от причинного фактора среди</w:t>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детей с инфарктами миокарда следующая:</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аномалии левой коронарной артерии — 20,0%;</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болезнь Кавасаки — 14,0%;</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миокардит — 13,0%;</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критический врожденный стеноз аорты — 11,0%;</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опухоль сердца — 6,1%;</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дилатационная кардиомиопатия — 4,0%;</w:t>
      </w:r>
    </w:p>
    <w:p>
      <w:pPr>
        <w:pStyle w:val="Style30"/>
        <w:numPr>
          <w:ilvl w:val="0"/>
          <w:numId w:val="101"/>
        </w:numPr>
        <w:tabs>
          <w:tab w:leader="none" w:pos="731"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атрезия легочной артерии с интактной межжелу</w:t>
        <w:softHyphen/>
        <w:t>дочковой перегородкой — 4,0%;</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перинатальная асфиксия— 4,0%;</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тромбоз аорты — 4,0%;</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кардиомиопатия при мышечной дистрофии — 2,5%;</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коарктация аорты — 2,5%;</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ревматический кардит — 2,5%;</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лимфома — 2,5%;</w:t>
      </w:r>
    </w:p>
    <w:p>
      <w:pPr>
        <w:pStyle w:val="Style30"/>
        <w:numPr>
          <w:ilvl w:val="0"/>
          <w:numId w:val="101"/>
        </w:numPr>
        <w:tabs>
          <w:tab w:leader="none" w:pos="731"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тотальный аномальный дренаж легочных вен — 2,5%;</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пролапс митрального клапана — 2,5%;</w:t>
      </w:r>
    </w:p>
    <w:p>
      <w:pPr>
        <w:pStyle w:val="Style30"/>
        <w:numPr>
          <w:ilvl w:val="0"/>
          <w:numId w:val="101"/>
        </w:numPr>
        <w:tabs>
          <w:tab w:leader="none" w:pos="731"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врожденная митральная недостаточность — 2,5%;</w:t>
      </w:r>
    </w:p>
    <w:p>
      <w:pPr>
        <w:pStyle w:val="Style30"/>
        <w:numPr>
          <w:ilvl w:val="0"/>
          <w:numId w:val="101"/>
        </w:numPr>
        <w:tabs>
          <w:tab w:leader="none" w:pos="731" w:val="left"/>
        </w:tabs>
        <w:widowControl w:val="0"/>
        <w:keepNext w:val="0"/>
        <w:keepLines w:val="0"/>
        <w:shd w:val="clear" w:color="auto" w:fill="auto"/>
        <w:bidi w:val="0"/>
        <w:spacing w:before="0" w:after="180"/>
        <w:ind w:left="500" w:right="0" w:firstLine="0"/>
      </w:pPr>
      <w:r>
        <w:rPr>
          <w:lang w:val="ru-RU" w:eastAsia="ru-RU" w:bidi="ru-RU"/>
          <w:w w:val="100"/>
          <w:spacing w:val="0"/>
          <w:color w:val="000000"/>
          <w:position w:val="0"/>
        </w:rPr>
        <w:t>закрытая травма грудной клетки — 2,5%.</w:t>
      </w:r>
    </w:p>
    <w:p>
      <w:pPr>
        <w:pStyle w:val="Style92"/>
        <w:widowControl w:val="0"/>
        <w:keepNext/>
        <w:keepLines/>
        <w:shd w:val="clear" w:color="auto" w:fill="auto"/>
        <w:bidi w:val="0"/>
        <w:spacing w:before="0" w:after="0"/>
        <w:ind w:left="0" w:right="0" w:firstLine="280"/>
      </w:pPr>
      <w:bookmarkStart w:id="526" w:name="bookmark526"/>
      <w:r>
        <w:rPr>
          <w:lang w:val="ru-RU" w:eastAsia="ru-RU" w:bidi="ru-RU"/>
          <w:w w:val="100"/>
          <w:spacing w:val="0"/>
          <w:color w:val="000000"/>
          <w:position w:val="0"/>
        </w:rPr>
        <w:t>Причины</w:t>
      </w:r>
      <w:bookmarkEnd w:id="52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отличие от взрослых, у которых ведущей причиной инфаркта миокарда является атеросклероз коронарных ар</w:t>
        <w:softHyphen/>
        <w:t>терий, у детей спектр этиологических факторов значитель</w:t>
        <w:softHyphen/>
        <w:t>но шире.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Основными причинами инфаркта миокарда у детей яв</w:t>
        <w:softHyphen/>
        <w:t>ляются:</w:t>
      </w:r>
    </w:p>
    <w:p>
      <w:pPr>
        <w:pStyle w:val="Style30"/>
        <w:numPr>
          <w:ilvl w:val="0"/>
          <w:numId w:val="9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Аномальное отхождение левой коронарной артерии.</w:t>
      </w:r>
    </w:p>
    <w:p>
      <w:pPr>
        <w:pStyle w:val="Style30"/>
        <w:numPr>
          <w:ilvl w:val="0"/>
          <w:numId w:val="9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Коронарная фистула.</w:t>
      </w:r>
    </w:p>
    <w:p>
      <w:pPr>
        <w:pStyle w:val="Style30"/>
        <w:numPr>
          <w:ilvl w:val="0"/>
          <w:numId w:val="9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Кавасаки.</w:t>
      </w:r>
    </w:p>
    <w:p>
      <w:pPr>
        <w:pStyle w:val="Style30"/>
        <w:numPr>
          <w:ilvl w:val="0"/>
          <w:numId w:val="9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Узелковый периартериит.</w:t>
      </w:r>
    </w:p>
    <w:p>
      <w:pPr>
        <w:pStyle w:val="Style30"/>
        <w:numPr>
          <w:ilvl w:val="0"/>
          <w:numId w:val="9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Стеноз коронарной артерии.</w:t>
      </w:r>
    </w:p>
    <w:p>
      <w:pPr>
        <w:pStyle w:val="Style30"/>
        <w:numPr>
          <w:ilvl w:val="0"/>
          <w:numId w:val="9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Единая коронарная артерия.</w:t>
      </w:r>
    </w:p>
    <w:p>
      <w:pPr>
        <w:pStyle w:val="Style30"/>
        <w:numPr>
          <w:ilvl w:val="0"/>
          <w:numId w:val="9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Васкулит коронарных артерий.</w:t>
      </w:r>
    </w:p>
    <w:p>
      <w:pPr>
        <w:pStyle w:val="Style30"/>
        <w:numPr>
          <w:ilvl w:val="0"/>
          <w:numId w:val="9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Внутриутробная эмболия коронарной артерии.</w:t>
      </w:r>
    </w:p>
    <w:p>
      <w:pPr>
        <w:pStyle w:val="Style30"/>
        <w:numPr>
          <w:ilvl w:val="0"/>
          <w:numId w:val="9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Миокардит.</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Ревматический кардит.</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Критический врожденный стеноз аорты.</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Надклапанный стеноз аорты (синдром Вильямса).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Коарктация аорты.</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Тромбоз аорты.</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Перинатальная асфиксия.</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Кардиомиопатии.</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Атрезия легочной артерии с интактной межжелудоч</w:t>
        <w:softHyphen/>
        <w:t>ковой перегородкой.</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Транспозиция магистральных сосудов.</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Пролапс митрального клапана.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Врожденная митральная недостаточность.</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Миксоматозная дисплазия аортального клапана.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Тотальный аномальный дренаж легочных вен.</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Лимфома.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Опухоль желудочков.</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Критический стеноз легочной артерии.</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Закрытая травма грудной клетки.</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Общий артериальный ствол.</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Гемофилия, леченная инактивированным протром</w:t>
        <w:softHyphen/>
        <w:t>бином.</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Применение оральных противозачаточных средств.</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Отравление кокаином.</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Ранний атеросклероз.</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Семейная гиперхолестеринемия.</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Гипербеталипопротеинемия.</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Прогерия.</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Системная красная волчанка.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Мигрень.</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Серповидноклеточная анемия.</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Эластическая псевдоксантома.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Мукополисахаридоз.</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Болезнь Фабри.</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Алкаптонурия.</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Гомоцистинурия.</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Синдром Хурлера.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Болезнь Ходжкина.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Синдром Тернера.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Синдром гипоплазии левого желудочка.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Эритробластоз.</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Диссеминированная внутрисосудистая коагуляция.</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Гематома пупочного канатика.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Хирургическая травма.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Осложнение операции.</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Тромбоэмболия пупочной вены.</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Тромбоэмболия венозного протока.</w:t>
      </w:r>
    </w:p>
    <w:p>
      <w:pPr>
        <w:pStyle w:val="Style30"/>
        <w:numPr>
          <w:ilvl w:val="0"/>
          <w:numId w:val="99"/>
        </w:numPr>
        <w:tabs>
          <w:tab w:leader="none" w:pos="238" w:val="left"/>
        </w:tabs>
        <w:widowControl w:val="0"/>
        <w:keepNext w:val="0"/>
        <w:keepLines w:val="0"/>
        <w:shd w:val="clear" w:color="auto" w:fill="auto"/>
        <w:bidi w:val="0"/>
        <w:spacing w:before="0" w:after="180"/>
        <w:ind w:left="260" w:right="0"/>
      </w:pPr>
      <w:r>
        <w:rPr>
          <w:lang w:val="ru-RU" w:eastAsia="ru-RU" w:bidi="ru-RU"/>
          <w:w w:val="100"/>
          <w:spacing w:val="0"/>
          <w:color w:val="000000"/>
          <w:position w:val="0"/>
        </w:rPr>
        <w:t>Тромбоз почечной вены.</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Наибольшая частота случаев инфаркта миокарда у детей обусловлена врожденными аномалиями коро - нарных артерий и составляет от 20 до 25% всех случа</w:t>
        <w:softHyphen/>
        <w:t>ев инфарктов в детском возрасте. Возникновение ин</w:t>
        <w:softHyphen/>
        <w:t>фаркта миокарда при врожденных аномалиях коро</w:t>
        <w:softHyphen/>
        <w:t>нарных артерий обусловлено:</w:t>
      </w:r>
    </w:p>
    <w:p>
      <w:pPr>
        <w:pStyle w:val="Style30"/>
        <w:numPr>
          <w:ilvl w:val="0"/>
          <w:numId w:val="101"/>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непосредственным дефицитом перфузии миокарда;</w:t>
      </w:r>
    </w:p>
    <w:p>
      <w:pPr>
        <w:pStyle w:val="Style30"/>
        <w:numPr>
          <w:ilvl w:val="0"/>
          <w:numId w:val="101"/>
        </w:numPr>
        <w:tabs>
          <w:tab w:leader="none" w:pos="51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феноменом «обкрадывания» </w:t>
      </w:r>
      <w:r>
        <w:rPr>
          <w:lang w:val="en-US" w:eastAsia="en-US" w:bidi="en-US"/>
          <w:w w:val="100"/>
          <w:spacing w:val="0"/>
          <w:color w:val="000000"/>
          <w:position w:val="0"/>
        </w:rPr>
        <w:t>(steal</w:t>
      </w:r>
      <w:r>
        <w:rPr>
          <w:lang w:val="ru-RU" w:eastAsia="ru-RU" w:bidi="ru-RU"/>
          <w:w w:val="100"/>
          <w:spacing w:val="0"/>
          <w:color w:val="000000"/>
          <w:position w:val="0"/>
        </w:rPr>
        <w:t>-феномен);</w:t>
      </w:r>
    </w:p>
    <w:p>
      <w:pPr>
        <w:pStyle w:val="Style30"/>
        <w:numPr>
          <w:ilvl w:val="0"/>
          <w:numId w:val="101"/>
        </w:numPr>
        <w:tabs>
          <w:tab w:leader="none" w:pos="513" w:val="left"/>
        </w:tabs>
        <w:widowControl w:val="0"/>
        <w:keepNext w:val="0"/>
        <w:keepLines w:val="0"/>
        <w:shd w:val="clear" w:color="auto" w:fill="auto"/>
        <w:bidi w:val="0"/>
        <w:jc w:val="left"/>
        <w:spacing w:before="0" w:after="0"/>
        <w:ind w:left="480" w:right="0" w:hanging="220"/>
      </w:pPr>
      <w:r>
        <w:rPr>
          <w:lang w:val="ru-RU" w:eastAsia="ru-RU" w:bidi="ru-RU"/>
          <w:w w:val="100"/>
          <w:spacing w:val="0"/>
          <w:color w:val="000000"/>
          <w:position w:val="0"/>
        </w:rPr>
        <w:t>функционированием коронарной артерии в качес</w:t>
        <w:softHyphen/>
        <w:t>тве венозного дренажа (коронарный свищ).</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pict>
          <v:shape id="_x0000_s1529" type="#_x0000_t75" style="position:absolute;margin-left:136.9pt;margin-top:736.8pt;width:209.75pt;height:14.9pt;z-index:-125829041;mso-wrap-distance-left:136.8pt;mso-wrap-distance-right:147.85pt;mso-wrap-distance-bottom:10.8pt;mso-position-horizontal-relative:margin;mso-position-vertical-relative:margin" wrapcoords="0 0 21600 0 21600 21600 0 21600 0 0">
            <v:imagedata r:id="rId834" r:href="rId835"/>
            <w10:wrap type="topAndBottom" anchorx="margin" anchory="margin"/>
          </v:shape>
        </w:pict>
      </w:r>
      <w:r>
        <w:rPr>
          <w:lang w:val="ru-RU" w:eastAsia="ru-RU" w:bidi="ru-RU"/>
          <w:w w:val="100"/>
          <w:spacing w:val="0"/>
          <w:color w:val="000000"/>
          <w:position w:val="0"/>
        </w:rPr>
        <w:t>Заболевания коронарных артерий являются другой частой причиной инфаркта миокарда в детском воз</w:t>
        <w:softHyphen/>
        <w:t>расте. Их обусловливают различные факторы, в том числе такие, как тромбоз коронарных артерий, фор-</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мирование аневризм или стенозирования (при болез</w:t>
        <w:softHyphen/>
        <w:t>ни Кавасаки), атеросклеротическая окклюзия сосуда (врожденная гиперхолестеринемия), субинтимальное кровоизлияние (закрытая травма грудной клетки) и др. При том или ином повреждении коронарных ар - терий инфаркт миокарда возникает в области дефек</w:t>
        <w:softHyphen/>
        <w:t>та перфузии. Обычно у детей инфаркт миокарда воз</w:t>
        <w:softHyphen/>
        <w:t>никает в субэндокардиальной области или в области папиллярных мышц и реже бывает трансмуральным.</w:t>
      </w:r>
    </w:p>
    <w:p>
      <w:pPr>
        <w:pStyle w:val="Style30"/>
        <w:numPr>
          <w:ilvl w:val="0"/>
          <w:numId w:val="9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Относительная коронарная недостаточность:</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под относительной коронарной недостаточностью понимают дефицит коронарного кровотока, воз</w:t>
        <w:softHyphen/>
        <w:t>никающий при отсутствии каких-либо структур</w:t>
        <w:softHyphen/>
        <w:t>ных аномалий коронарных артерий;</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обычно инфаркт миокарда вследствие дефицита коронарного кровотока возникает у детей с гипер</w:t>
        <w:softHyphen/>
        <w:t>трофией правого или левого желудочка;</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инфаркт чаще всего локализуется в области папил</w:t>
        <w:softHyphen/>
        <w:t>лярных мышц (аортальный стеноз, стеноз легоч</w:t>
        <w:softHyphen/>
        <w:t>ной артерии, аномальный дренаж легочных вен) или субэндокардиально;</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при ряде врожденных аномалий, таких как атрезия аорты, атрезия легочной артерии, наряду с относи</w:t>
        <w:softHyphen/>
        <w:t>тельным дефицитом коронарного кровоснабже</w:t>
        <w:softHyphen/>
        <w:t>ния возникает гипоперфузия миокарда из-за ком</w:t>
        <w:softHyphen/>
        <w:t>плекса факторов: недоразвитие коронарных сосу</w:t>
        <w:softHyphen/>
        <w:t>дов, артериальная гипоксемия, эндокардиальный фиброэластоз.</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Патогенез инфаркта миокарда</w:t>
      </w:r>
    </w:p>
    <w:p>
      <w:pPr>
        <w:pStyle w:val="Style30"/>
        <w:numPr>
          <w:ilvl w:val="0"/>
          <w:numId w:val="9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Основными патогенетическими механизмами, при которых транзиторная ишемия трансформирует</w:t>
        <w:softHyphen/>
        <w:t>ся в инфаркт, являются недостаточность поступления кислорода и недостаточность выведения продуктов метаболизма. Смерть миокардиальной клетки наблю</w:t>
        <w:softHyphen/>
        <w:t>дается тогда, когда артериальный кровоток падает ниже уровня, необходимого для снабжения миокар- диоцита основными субстратами (О</w:t>
      </w:r>
      <w:r>
        <w:rPr>
          <w:lang w:val="ru-RU" w:eastAsia="ru-RU" w:bidi="ru-RU"/>
          <w:vertAlign w:val="subscript"/>
          <w:w w:val="100"/>
          <w:spacing w:val="0"/>
          <w:color w:val="000000"/>
          <w:position w:val="0"/>
        </w:rPr>
        <w:t>2</w:t>
      </w:r>
      <w:r>
        <w:rPr>
          <w:lang w:val="ru-RU" w:eastAsia="ru-RU" w:bidi="ru-RU"/>
          <w:w w:val="100"/>
          <w:spacing w:val="0"/>
          <w:color w:val="000000"/>
          <w:position w:val="0"/>
        </w:rPr>
        <w:t>, глюкоза, жир</w:t>
        <w:softHyphen/>
        <w:t>ные кислоты и др.).</w:t>
      </w:r>
    </w:p>
    <w:p>
      <w:pPr>
        <w:pStyle w:val="Style30"/>
        <w:numPr>
          <w:ilvl w:val="0"/>
          <w:numId w:val="9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Недостаточность поступления О</w:t>
      </w:r>
      <w:r>
        <w:rPr>
          <w:lang w:val="ru-RU" w:eastAsia="ru-RU" w:bidi="ru-RU"/>
          <w:vertAlign w:val="subscript"/>
          <w:w w:val="100"/>
          <w:spacing w:val="0"/>
          <w:color w:val="000000"/>
          <w:position w:val="0"/>
        </w:rPr>
        <w:t>2</w:t>
      </w:r>
      <w:r>
        <w:rPr>
          <w:lang w:val="ru-RU" w:eastAsia="ru-RU" w:bidi="ru-RU"/>
          <w:w w:val="100"/>
          <w:spacing w:val="0"/>
          <w:color w:val="000000"/>
          <w:position w:val="0"/>
        </w:rPr>
        <w:t xml:space="preserve"> приводит к резкому падению выработки АТФ в ишемизированной клет</w:t>
        <w:softHyphen/>
        <w:t>ке, что обусловливает активацию анаэробного меха</w:t>
        <w:softHyphen/>
        <w:t>низма, образование лактата, патологический ионный транспорт, увеличение фосфолипазной и протеазной активности ферментов. Низкий клиренс метаболитов при ишемии приводит к аккумуляции лактата, ацидо</w:t>
        <w:softHyphen/>
        <w:t>зу клетки, образованию свободных радикалов, про</w:t>
        <w:softHyphen/>
        <w:t>теолизу и гибели клетки.</w:t>
      </w:r>
    </w:p>
    <w:p>
      <w:pPr>
        <w:pStyle w:val="Style30"/>
        <w:numPr>
          <w:ilvl w:val="0"/>
          <w:numId w:val="9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Реперфузионные нарушения обусловлены:</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перегрузкой кальцием;</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появлением свободных радикалов;</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разрывом миоцитов.</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Морфологические изменения при инфаркте миокарда:</w:t>
      </w:r>
    </w:p>
    <w:p>
      <w:pPr>
        <w:pStyle w:val="Style30"/>
        <w:numPr>
          <w:ilvl w:val="0"/>
          <w:numId w:val="99"/>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Инфаркт миокарда может быть разделен на 2 морфо - логические категории:</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субэндокардиальный (нетрансмуральный) ин</w:t>
        <w:softHyphen/>
        <w:t>фаркт. При этом типе повреждения имеет место некроз субэндокардиального и/или интрамураль</w:t>
        <w:softHyphen/>
        <w:t>ного миокарда без распространения на глубжеле- жащие слои к эпикарду. Обычно при субэндокар</w:t>
        <w:softHyphen/>
        <w:t>диальном инфаркте миокард повреждается не бо</w:t>
        <w:softHyphen/>
        <w:t>лее чем на 50% толщины. В отличие от взрослых, у которых субэндокардиальный инфаркт наблюда</w:t>
        <w:softHyphen/>
        <w:br w:type="column"/>
        <w:t>ется не более чем в 25% случаев, у детей этот вари</w:t>
        <w:softHyphen/>
        <w:t>ант наблюдается значительно чаще. Особенно час</w:t>
        <w:softHyphen/>
        <w:t>то субэндокардиальный инфаркт возникает у но</w:t>
        <w:softHyphen/>
        <w:t>ворожденных и детей раннего возраста в силу того, что эти участки миокарда находятся в наихудших условиях кровоснабжения;</w:t>
      </w:r>
    </w:p>
    <w:p>
      <w:pPr>
        <w:pStyle w:val="Style30"/>
        <w:numPr>
          <w:ilvl w:val="0"/>
          <w:numId w:val="101"/>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трансмуральный инфаркт — при этом морфологи - ческом типе некротизируются все слои миокарда стенки желудочка.</w:t>
      </w:r>
    </w:p>
    <w:p>
      <w:pPr>
        <w:pStyle w:val="Style30"/>
        <w:numPr>
          <w:ilvl w:val="0"/>
          <w:numId w:val="9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Трансмуральный и субэндокардиальный инфаркты вы - зываются различными этиологическими факторами:</w:t>
      </w:r>
    </w:p>
    <w:p>
      <w:pPr>
        <w:pStyle w:val="Style30"/>
        <w:numPr>
          <w:ilvl w:val="0"/>
          <w:numId w:val="101"/>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трансмуральный инфаркт в основном возникает при тромбозе или окклюзии коронарных артерий;</w:t>
      </w:r>
    </w:p>
    <w:p>
      <w:pPr>
        <w:pStyle w:val="Style30"/>
        <w:numPr>
          <w:ilvl w:val="0"/>
          <w:numId w:val="101"/>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субэндокардиальный инфаркт связан с относи</w:t>
        <w:softHyphen/>
        <w:t>тельной коронарной недостаточностью, гипоксией и реже обусловлен частичной окклюзией сосуда.</w:t>
      </w:r>
    </w:p>
    <w:p>
      <w:pPr>
        <w:pStyle w:val="Style30"/>
        <w:numPr>
          <w:ilvl w:val="0"/>
          <w:numId w:val="9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Основным фактором, вызывающим левожелудочко</w:t>
        <w:softHyphen/>
        <w:t>вую дисфункцию, является «выключение» опреде</w:t>
        <w:softHyphen/>
        <w:t>ленного сегмента миокарда левого желудочка из кон</w:t>
        <w:softHyphen/>
        <w:t>трактильной функции. Под «выключением» понима</w:t>
        <w:softHyphen/>
        <w:t>ют следующие патофизиологические состояния:</w:t>
      </w:r>
    </w:p>
    <w:p>
      <w:pPr>
        <w:pStyle w:val="Style30"/>
        <w:numPr>
          <w:ilvl w:val="0"/>
          <w:numId w:val="101"/>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диссинхрония — несинхронное сокращение по</w:t>
        <w:softHyphen/>
        <w:t>врежденного участка;</w:t>
      </w:r>
    </w:p>
    <w:p>
      <w:pPr>
        <w:pStyle w:val="Style30"/>
        <w:numPr>
          <w:ilvl w:val="0"/>
          <w:numId w:val="101"/>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гипокинезия — слабое, неэффективное сокраще</w:t>
        <w:softHyphen/>
        <w:t>ние поврежденного участка миокарда;</w:t>
      </w:r>
    </w:p>
    <w:p>
      <w:pPr>
        <w:pStyle w:val="Style30"/>
        <w:numPr>
          <w:ilvl w:val="0"/>
          <w:numId w:val="101"/>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акинезия — полное прекращение сокращения по</w:t>
        <w:softHyphen/>
        <w:t>врежденного участка миокарда;</w:t>
      </w:r>
    </w:p>
    <w:p>
      <w:pPr>
        <w:pStyle w:val="Style30"/>
        <w:numPr>
          <w:ilvl w:val="0"/>
          <w:numId w:val="101"/>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дискинезия — парадоксальное движение повреж</w:t>
        <w:softHyphen/>
        <w:t>денного участка.</w:t>
      </w:r>
    </w:p>
    <w:p>
      <w:pPr>
        <w:pStyle w:val="Style30"/>
        <w:numPr>
          <w:ilvl w:val="0"/>
          <w:numId w:val="9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Снижение контрактильной функции приводит к уменьшению ударного и минутного объемов, сни</w:t>
        <w:softHyphen/>
        <w:t>жению артериального давления и др. гемодинамичес</w:t>
        <w:softHyphen/>
        <w:t>ких показателей. В последующем в инфарктной зоне развиваются отек, клеточная инфильтрация, замеща</w:t>
        <w:softHyphen/>
        <w:t>ющая поврежденные кардиомиоциты фиброзная ткань. Эти изменения сопровождаются улучшением насосной функции и предупреждают парадоксальное систолическое движение желудочковой стенки, т.е. препятствуют формированию аневризмы.</w:t>
      </w:r>
    </w:p>
    <w:p>
      <w:pPr>
        <w:pStyle w:val="Style30"/>
        <w:numPr>
          <w:ilvl w:val="0"/>
          <w:numId w:val="9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Имеет место параллелизм между величиной левоже</w:t>
        <w:softHyphen/>
        <w:t>лудочковой дискинезии и объемом поврежденного миокарда. Сердечная недостаточность появляется, если повреждено более 25% миокарда левого желу</w:t>
        <w:softHyphen/>
        <w:t>дочка. При повреждении более 40% развивается кар</w:t>
        <w:softHyphen/>
        <w:t>диогенный шок. Если объем поврежденного миокар</w:t>
        <w:softHyphen/>
        <w:t>да не превышает 10%, сердечная недостаточность, как правило, не развивается, несмотря на повышение конечно диастолического давления в левом желудоч</w:t>
        <w:softHyphen/>
        <w:t>ке на 15%. Левожелудочковая недостаточность про</w:t>
        <w:softHyphen/>
        <w:t>является увеличением диастолического давления в камере и развитием легочной венозной гипертен</w:t>
        <w:softHyphen/>
        <w:t>зии. В возникновении легочной гипертензии прини</w:t>
        <w:softHyphen/>
        <w:t>мают участие следующие механизмы:</w:t>
      </w:r>
    </w:p>
    <w:p>
      <w:pPr>
        <w:pStyle w:val="Style30"/>
        <w:numPr>
          <w:ilvl w:val="0"/>
          <w:numId w:val="101"/>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падение диастолического комплайнса левого же</w:t>
        <w:softHyphen/>
        <w:t>лудочка;</w:t>
      </w:r>
    </w:p>
    <w:p>
      <w:pPr>
        <w:pStyle w:val="Style30"/>
        <w:numPr>
          <w:ilvl w:val="0"/>
          <w:numId w:val="101"/>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увеличение конечно диастолического давления и объема левого желудочка;</w:t>
      </w:r>
    </w:p>
    <w:p>
      <w:pPr>
        <w:pStyle w:val="Style30"/>
        <w:numPr>
          <w:ilvl w:val="0"/>
          <w:numId w:val="101"/>
        </w:numPr>
        <w:tabs>
          <w:tab w:leader="none" w:pos="733"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относительная недостаточность митрального кла</w:t>
        <w:softHyphen/>
        <w:t>пана.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Анамнез</w:t>
      </w:r>
    </w:p>
    <w:p>
      <w:pPr>
        <w:pStyle w:val="Style30"/>
        <w:widowControl w:val="0"/>
        <w:keepNext w:val="0"/>
        <w:keepLines w:val="0"/>
        <w:shd w:val="clear" w:color="auto" w:fill="auto"/>
        <w:bidi w:val="0"/>
        <w:jc w:val="right"/>
        <w:spacing w:before="0" w:after="0"/>
        <w:ind w:left="0" w:right="0" w:firstLine="0"/>
      </w:pPr>
      <w:r>
        <w:pict>
          <v:shape id="_x0000_s1530" type="#_x0000_t75" style="position:absolute;margin-left:147.7pt;margin-top:736.8pt;width:209.75pt;height:14.9pt;z-index:-125829040;mso-wrap-distance-left:147.35pt;mso-wrap-distance-right:136.8pt;mso-wrap-distance-bottom:10.8pt;mso-position-horizontal-relative:margin;mso-position-vertical-relative:margin" wrapcoords="0 0 21600 0 21600 21600 0 21600 0 0">
            <v:imagedata r:id="rId836" r:href="rId837"/>
            <w10:wrap type="topAndBottom" anchorx="margin" anchory="margin"/>
          </v:shape>
        </w:pict>
      </w:r>
      <w:r>
        <w:rPr>
          <w:lang w:val="ru-RU" w:eastAsia="ru-RU" w:bidi="ru-RU"/>
          <w:w w:val="100"/>
          <w:spacing w:val="0"/>
          <w:color w:val="000000"/>
          <w:position w:val="0"/>
        </w:rPr>
        <w:t>Возникновение острого инфаркта миокарда происходит внезапно и может привести к летальному исходу. Наиболее</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характерными жалобами (проявлениями) острого инфарк</w:t>
        <w:softHyphen/>
        <w:t>та являются следующие признаки:</w:t>
      </w:r>
    </w:p>
    <w:p>
      <w:pPr>
        <w:pStyle w:val="Style30"/>
        <w:numPr>
          <w:ilvl w:val="0"/>
          <w:numId w:val="99"/>
        </w:numPr>
        <w:tabs>
          <w:tab w:leader="none" w:pos="512"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Новорожденные:</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респираторный дистресс;</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рРвота;</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возбуждение, приступы беспричинного беспокой</w:t>
        <w:softHyphen/>
        <w:t>ства.</w:t>
      </w:r>
    </w:p>
    <w:p>
      <w:pPr>
        <w:pStyle w:val="Style30"/>
        <w:numPr>
          <w:ilvl w:val="0"/>
          <w:numId w:val="99"/>
        </w:numPr>
        <w:tabs>
          <w:tab w:leader="none" w:pos="512"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Дети преддошкольного и школьного возраста:</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боль в груди;</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ощущение сердцебиения;</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одышка;</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признак низкого сердечного выброса;</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слабость;</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боловокружение;</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нарушение сознания;</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раздражительность;</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предобморочное состояние;</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обморок.</w:t>
      </w:r>
    </w:p>
    <w:p>
      <w:pPr>
        <w:pStyle w:val="Style30"/>
        <w:numPr>
          <w:ilvl w:val="0"/>
          <w:numId w:val="99"/>
        </w:numPr>
        <w:tabs>
          <w:tab w:leader="none" w:pos="512"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Характеристика болевого синдрома:</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болевой синдром продолжается от 30 мин до не</w:t>
        <w:softHyphen/>
        <w:t>скольких часов;</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боль дети характеризуют как сдавливающую, сжи</w:t>
        <w:softHyphen/>
        <w:t>мающую, тяжелую;</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боль, в отличие от кардиалгий, локализуется за грудиной и ощущается равномерно как с левой, так и с правой стороны груди, может распростра</w:t>
        <w:softHyphen/>
        <w:t>няться на шею, челюсть, плечи;</w:t>
      </w:r>
    </w:p>
    <w:p>
      <w:pPr>
        <w:pStyle w:val="Style30"/>
        <w:numPr>
          <w:ilvl w:val="0"/>
          <w:numId w:val="101"/>
        </w:numPr>
        <w:tabs>
          <w:tab w:leader="none" w:pos="740" w:val="left"/>
        </w:tabs>
        <w:widowControl w:val="0"/>
        <w:keepNext w:val="0"/>
        <w:keepLines w:val="0"/>
        <w:shd w:val="clear" w:color="auto" w:fill="auto"/>
        <w:bidi w:val="0"/>
        <w:jc w:val="left"/>
        <w:spacing w:before="0" w:after="0"/>
        <w:ind w:left="280" w:right="0" w:firstLine="220"/>
      </w:pPr>
      <w:r>
        <w:rPr>
          <w:lang w:val="ru-RU" w:eastAsia="ru-RU" w:bidi="ru-RU"/>
          <w:w w:val="100"/>
          <w:spacing w:val="0"/>
          <w:color w:val="000000"/>
          <w:position w:val="0"/>
        </w:rPr>
        <w:t>у некоторых детей возникают боли в эпигастрии. Клинические проявления</w:t>
      </w:r>
    </w:p>
    <w:p>
      <w:pPr>
        <w:pStyle w:val="Style30"/>
        <w:numPr>
          <w:ilvl w:val="0"/>
          <w:numId w:val="99"/>
        </w:numPr>
        <w:tabs>
          <w:tab w:leader="none" w:pos="512"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Измененный уровень сознания:</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летаргия;</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бессознательное состояние;</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раздражительность.</w:t>
      </w:r>
    </w:p>
    <w:p>
      <w:pPr>
        <w:pStyle w:val="Style30"/>
        <w:numPr>
          <w:ilvl w:val="0"/>
          <w:numId w:val="99"/>
        </w:numPr>
        <w:tabs>
          <w:tab w:leader="none" w:pos="512"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Аномалии пульса:</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тахикардия;</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брадикардия;</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аритмия;</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ослабление пульса на сонных артериях (низкий сердечный выброс).</w:t>
      </w:r>
    </w:p>
    <w:p>
      <w:pPr>
        <w:pStyle w:val="Style30"/>
        <w:numPr>
          <w:ilvl w:val="0"/>
          <w:numId w:val="99"/>
        </w:numPr>
        <w:tabs>
          <w:tab w:leader="none" w:pos="512"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Дыхательные нарушения:</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асфиксия;</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брадипноэ;</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тахипноэ;</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гиперпноэ;</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хрюканье;</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втяжение уступчивых мест грудной клетки (над</w:t>
        <w:softHyphen/>
        <w:t>ключичное, межреберное, подреберное);</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парадоксальное дыхание;</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хрипы.</w:t>
      </w:r>
    </w:p>
    <w:p>
      <w:pPr>
        <w:pStyle w:val="Style30"/>
        <w:numPr>
          <w:ilvl w:val="0"/>
          <w:numId w:val="99"/>
        </w:numPr>
        <w:tabs>
          <w:tab w:leader="none" w:pos="512"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Сердечные нарушения:</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усиленный разлитой сердечный толчок;</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смещение верхушечного толчка;</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выслушиваются третий и четвертый сердечный тон;</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голосистолический шум на верхушке (митральная недостаточность);</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голосистолический шум в нижней части грудины и над мечевидным отростком (трикуспидальная недостаточность);</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громкий легочный компонент второго тона (ле</w:t>
        <w:softHyphen/>
        <w:t>гочная гипертензия);</w:t>
      </w:r>
    </w:p>
    <w:p>
      <w:pPr>
        <w:pStyle w:val="Style30"/>
        <w:numPr>
          <w:ilvl w:val="0"/>
          <w:numId w:val="10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диастолический шум аортальной или легочной не - достаточности;</w:t>
      </w:r>
    </w:p>
    <w:p>
      <w:pPr>
        <w:pStyle w:val="Style30"/>
        <w:numPr>
          <w:ilvl w:val="0"/>
          <w:numId w:val="101"/>
        </w:numPr>
        <w:tabs>
          <w:tab w:leader="none" w:pos="754" w:val="left"/>
        </w:tabs>
        <w:widowControl w:val="0"/>
        <w:keepNext w:val="0"/>
        <w:keepLines w:val="0"/>
        <w:shd w:val="clear" w:color="auto" w:fill="auto"/>
        <w:bidi w:val="0"/>
        <w:jc w:val="left"/>
        <w:spacing w:before="0" w:after="0"/>
        <w:ind w:left="720" w:right="0" w:hanging="200"/>
      </w:pPr>
      <w:r>
        <w:br w:type="column"/>
      </w:r>
      <w:r>
        <w:rPr>
          <w:lang w:val="ru-RU" w:eastAsia="ru-RU" w:bidi="ru-RU"/>
          <w:w w:val="100"/>
          <w:spacing w:val="0"/>
          <w:color w:val="000000"/>
          <w:position w:val="0"/>
        </w:rPr>
        <w:t>диастолический грохот увеличенного трехстворча- того/митрального потока.</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Гипотензия и признаки низкого сердечного выброса:</w:t>
      </w:r>
    </w:p>
    <w:p>
      <w:pPr>
        <w:pStyle w:val="Style30"/>
        <w:numPr>
          <w:ilvl w:val="0"/>
          <w:numId w:val="101"/>
        </w:numPr>
        <w:tabs>
          <w:tab w:leader="none" w:pos="75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похолодание кожных покровов ;</w:t>
      </w:r>
    </w:p>
    <w:p>
      <w:pPr>
        <w:pStyle w:val="Style30"/>
        <w:numPr>
          <w:ilvl w:val="0"/>
          <w:numId w:val="101"/>
        </w:numPr>
        <w:tabs>
          <w:tab w:leader="none" w:pos="75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увеличение времени капиллярного наполнения;</w:t>
      </w:r>
    </w:p>
    <w:p>
      <w:pPr>
        <w:pStyle w:val="Style30"/>
        <w:numPr>
          <w:ilvl w:val="0"/>
          <w:numId w:val="101"/>
        </w:numPr>
        <w:tabs>
          <w:tab w:leader="none" w:pos="75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повышенное потоотделение ;</w:t>
      </w:r>
    </w:p>
    <w:p>
      <w:pPr>
        <w:pStyle w:val="Style30"/>
        <w:numPr>
          <w:ilvl w:val="0"/>
          <w:numId w:val="101"/>
        </w:numPr>
        <w:tabs>
          <w:tab w:leader="none" w:pos="75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низкий тургор тканей;</w:t>
      </w:r>
    </w:p>
    <w:p>
      <w:pPr>
        <w:pStyle w:val="Style30"/>
        <w:numPr>
          <w:ilvl w:val="0"/>
          <w:numId w:val="101"/>
        </w:numPr>
        <w:tabs>
          <w:tab w:leader="none" w:pos="75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периферический цианоз.</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Признаки недостаточности правого желудочка:</w:t>
      </w:r>
    </w:p>
    <w:p>
      <w:pPr>
        <w:pStyle w:val="Style30"/>
        <w:numPr>
          <w:ilvl w:val="0"/>
          <w:numId w:val="101"/>
        </w:numPr>
        <w:tabs>
          <w:tab w:leader="none" w:pos="75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набухание шейных вен;</w:t>
      </w:r>
    </w:p>
    <w:p>
      <w:pPr>
        <w:pStyle w:val="Style30"/>
        <w:numPr>
          <w:ilvl w:val="0"/>
          <w:numId w:val="101"/>
        </w:numPr>
        <w:tabs>
          <w:tab w:leader="none" w:pos="75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гепатоспленомегалия;</w:t>
      </w:r>
    </w:p>
    <w:p>
      <w:pPr>
        <w:pStyle w:val="Style30"/>
        <w:numPr>
          <w:ilvl w:val="0"/>
          <w:numId w:val="101"/>
        </w:numPr>
        <w:tabs>
          <w:tab w:leader="none" w:pos="75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гепатоюгулярный рефлюкс;</w:t>
      </w:r>
    </w:p>
    <w:p>
      <w:pPr>
        <w:pStyle w:val="Style30"/>
        <w:numPr>
          <w:ilvl w:val="0"/>
          <w:numId w:val="101"/>
        </w:numPr>
        <w:tabs>
          <w:tab w:leader="none" w:pos="75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асцит;</w:t>
      </w:r>
    </w:p>
    <w:p>
      <w:pPr>
        <w:pStyle w:val="Style30"/>
        <w:numPr>
          <w:ilvl w:val="0"/>
          <w:numId w:val="101"/>
        </w:numPr>
        <w:tabs>
          <w:tab w:leader="none" w:pos="754"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периферические отеки.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Электрокардиографическая диагностика инфаркта мио</w:t>
        <w:softHyphen/>
        <w:t>карда</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Электрокардиографическая диагностика инфаркта миокарда основана на том, что инфарктный участок становится электрически инертным. Этот инертный участок приводит к дисбалансу электрического воз</w:t>
        <w:softHyphen/>
        <w:t>буждения, формированию векторов противополож</w:t>
        <w:softHyphen/>
        <w:t>ного направления, что в результате находит отраже</w:t>
        <w:softHyphen/>
        <w:t xml:space="preserve">ние в появлении патологического зубца </w:t>
      </w:r>
      <w:r>
        <w:rPr>
          <w:lang w:val="en-US" w:eastAsia="en-US" w:bidi="en-US"/>
          <w:w w:val="100"/>
          <w:spacing w:val="0"/>
          <w:color w:val="000000"/>
          <w:position w:val="0"/>
        </w:rPr>
        <w:t xml:space="preserve">Q </w:t>
      </w:r>
      <w:r>
        <w:rPr>
          <w:lang w:val="ru-RU" w:eastAsia="ru-RU" w:bidi="ru-RU"/>
          <w:w w:val="100"/>
          <w:spacing w:val="0"/>
          <w:color w:val="000000"/>
          <w:position w:val="0"/>
        </w:rPr>
        <w:t>и измене</w:t>
        <w:softHyphen/>
        <w:t>нии процесса реполяризации.</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Обычно появление зубца </w:t>
      </w:r>
      <w:r>
        <w:rPr>
          <w:lang w:val="en-US" w:eastAsia="en-US" w:bidi="en-US"/>
          <w:w w:val="100"/>
          <w:spacing w:val="0"/>
          <w:color w:val="000000"/>
          <w:position w:val="0"/>
        </w:rPr>
        <w:t xml:space="preserve">Q </w:t>
      </w:r>
      <w:r>
        <w:rPr>
          <w:lang w:val="ru-RU" w:eastAsia="ru-RU" w:bidi="ru-RU"/>
          <w:w w:val="100"/>
          <w:spacing w:val="0"/>
          <w:color w:val="000000"/>
          <w:position w:val="0"/>
        </w:rPr>
        <w:t>сопровождается подъ</w:t>
        <w:softHyphen/>
        <w:t xml:space="preserve">емом сегмента </w:t>
      </w:r>
      <w:r>
        <w:rPr>
          <w:lang w:val="en-US" w:eastAsia="en-US" w:bidi="en-US"/>
          <w:w w:val="100"/>
          <w:spacing w:val="0"/>
          <w:color w:val="000000"/>
          <w:position w:val="0"/>
        </w:rPr>
        <w:t xml:space="preserve">ST </w:t>
      </w:r>
      <w:r>
        <w:rPr>
          <w:lang w:val="ru-RU" w:eastAsia="ru-RU" w:bidi="ru-RU"/>
          <w:w w:val="100"/>
          <w:spacing w:val="0"/>
          <w:color w:val="000000"/>
          <w:position w:val="0"/>
        </w:rPr>
        <w:t>в зоне гибели кардимиоцитов, ин</w:t>
        <w:softHyphen/>
        <w:t xml:space="preserve">версией зубца Т в противоположной инфаркту зоне и удлинением интервала </w:t>
      </w:r>
      <w:r>
        <w:rPr>
          <w:lang w:val="en-US" w:eastAsia="en-US" w:bidi="en-US"/>
          <w:w w:val="100"/>
          <w:spacing w:val="0"/>
          <w:color w:val="000000"/>
          <w:position w:val="0"/>
        </w:rPr>
        <w:t>QT.</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У детей </w:t>
      </w:r>
      <w:r>
        <w:rPr>
          <w:lang w:val="en-US" w:eastAsia="en-US" w:bidi="en-US"/>
          <w:w w:val="100"/>
          <w:spacing w:val="0"/>
          <w:color w:val="000000"/>
          <w:position w:val="0"/>
        </w:rPr>
        <w:t xml:space="preserve">Q </w:t>
      </w:r>
      <w:r>
        <w:rPr>
          <w:lang w:val="ru-RU" w:eastAsia="ru-RU" w:bidi="ru-RU"/>
          <w:w w:val="100"/>
          <w:spacing w:val="0"/>
          <w:color w:val="000000"/>
          <w:position w:val="0"/>
        </w:rPr>
        <w:t>зубец вследствие инфаркта миокарда с воз</w:t>
        <w:softHyphen/>
        <w:t>растом может исчезать, поскольку относительная масса некроза становится меньше массы растущего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Этапы электрокардиографических изменений при ин</w:t>
        <w:softHyphen/>
        <w:t>фаркте миокарда.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Можно условно выделить следующие фазы развития электрокардиографических изменений при инфаркте мио</w:t>
        <w:softHyphen/>
        <w:t>карда:</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«Сверхострый» </w:t>
      </w:r>
      <w:r>
        <w:rPr>
          <w:lang w:val="en-US" w:eastAsia="en-US" w:bidi="en-US"/>
          <w:w w:val="100"/>
          <w:spacing w:val="0"/>
          <w:color w:val="000000"/>
          <w:position w:val="0"/>
        </w:rPr>
        <w:t xml:space="preserve">(hyperacute) </w:t>
      </w:r>
      <w:r>
        <w:rPr>
          <w:lang w:val="ru-RU" w:eastAsia="ru-RU" w:bidi="ru-RU"/>
          <w:w w:val="100"/>
          <w:spacing w:val="0"/>
          <w:color w:val="000000"/>
          <w:position w:val="0"/>
        </w:rPr>
        <w:t>зубец Т — регистрируется в течение нескольких минут и проявляется пикооб</w:t>
        <w:softHyphen/>
        <w:t>разным, узким зубцом Т в зоне инфаркта. В силу кратковременности эта фаза на стандартной ЭКГ ре</w:t>
        <w:softHyphen/>
        <w:t>гистрируется крайне редко, однако может быть выяв</w:t>
        <w:softHyphen/>
        <w:t>лена при мониторном наблюдении за больными с ри</w:t>
        <w:softHyphen/>
        <w:t>ском развития инфаркта.</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Фаза </w:t>
      </w:r>
      <w:r>
        <w:rPr>
          <w:lang w:val="en-US" w:eastAsia="en-US" w:bidi="en-US"/>
          <w:w w:val="100"/>
          <w:spacing w:val="0"/>
          <w:color w:val="000000"/>
          <w:position w:val="0"/>
        </w:rPr>
        <w:t xml:space="preserve">ST-T </w:t>
      </w:r>
      <w:r>
        <w:rPr>
          <w:lang w:val="ru-RU" w:eastAsia="ru-RU" w:bidi="ru-RU"/>
          <w:w w:val="100"/>
          <w:spacing w:val="0"/>
          <w:color w:val="000000"/>
          <w:position w:val="0"/>
        </w:rPr>
        <w:t xml:space="preserve">изменений. Происходит подъем сегмента </w:t>
      </w:r>
      <w:r>
        <w:rPr>
          <w:lang w:val="en-US" w:eastAsia="en-US" w:bidi="en-US"/>
          <w:w w:val="100"/>
          <w:spacing w:val="0"/>
          <w:color w:val="000000"/>
          <w:position w:val="0"/>
        </w:rPr>
        <w:t xml:space="preserve">ST </w:t>
      </w:r>
      <w:r>
        <w:rPr>
          <w:lang w:val="ru-RU" w:eastAsia="ru-RU" w:bidi="ru-RU"/>
          <w:w w:val="100"/>
          <w:spacing w:val="0"/>
          <w:color w:val="000000"/>
          <w:position w:val="0"/>
        </w:rPr>
        <w:t>в отведениях, соответствующих области инфаркта, и его смещение в противоположной инфаркту зоне.</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Появление зубца </w:t>
      </w:r>
      <w:r>
        <w:rPr>
          <w:lang w:val="en-US" w:eastAsia="en-US" w:bidi="en-US"/>
          <w:w w:val="100"/>
          <w:spacing w:val="0"/>
          <w:color w:val="000000"/>
          <w:position w:val="0"/>
        </w:rPr>
        <w:t xml:space="preserve">Q </w:t>
      </w:r>
      <w:r>
        <w:rPr>
          <w:lang w:val="ru-RU" w:eastAsia="ru-RU" w:bidi="ru-RU"/>
          <w:w w:val="100"/>
          <w:spacing w:val="0"/>
          <w:color w:val="000000"/>
          <w:position w:val="0"/>
        </w:rPr>
        <w:t>и изменений зубца Т. В зоне нек</w:t>
        <w:softHyphen/>
        <w:t xml:space="preserve">роза образуется зубец </w:t>
      </w:r>
      <w:r>
        <w:rPr>
          <w:lang w:val="en-US" w:eastAsia="en-US" w:bidi="en-US"/>
          <w:w w:val="100"/>
          <w:spacing w:val="0"/>
          <w:color w:val="000000"/>
          <w:position w:val="0"/>
        </w:rPr>
        <w:t xml:space="preserve">Q </w:t>
      </w:r>
      <w:r>
        <w:rPr>
          <w:lang w:val="ru-RU" w:eastAsia="ru-RU" w:bidi="ru-RU"/>
          <w:w w:val="100"/>
          <w:spacing w:val="0"/>
          <w:color w:val="000000"/>
          <w:position w:val="0"/>
        </w:rPr>
        <w:t>или увеличивается его ам</w:t>
        <w:softHyphen/>
        <w:t>плитуда, при этом продолжительность зубца превы</w:t>
        <w:softHyphen/>
        <w:t>шает 0,035-0,04 с. Зубец Т становится отрицательным в отведении, соответствующем зоне инфаркта, обыч</w:t>
        <w:softHyphen/>
        <w:t>но через несколько дней от начала зарегистрирован</w:t>
        <w:softHyphen/>
        <w:t>ных начальных изменений.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Критерии ЭКГ диагностики ишемии и некроза сердеч</w:t>
        <w:softHyphen/>
        <w:t>ной мышцы: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Субэпикардиальная ишемия:</w:t>
      </w:r>
    </w:p>
    <w:p>
      <w:pPr>
        <w:pStyle w:val="Style30"/>
        <w:numPr>
          <w:ilvl w:val="0"/>
          <w:numId w:val="101"/>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инверсия зубца Т;</w:t>
      </w:r>
    </w:p>
    <w:p>
      <w:pPr>
        <w:pStyle w:val="Style30"/>
        <w:numPr>
          <w:ilvl w:val="0"/>
          <w:numId w:val="101"/>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удлинение интервала </w:t>
      </w:r>
      <w:r>
        <w:rPr>
          <w:lang w:val="en-US" w:eastAsia="en-US" w:bidi="en-US"/>
          <w:w w:val="100"/>
          <w:spacing w:val="0"/>
          <w:color w:val="000000"/>
          <w:position w:val="0"/>
        </w:rPr>
        <w:t>Q^</w:t>
      </w:r>
    </w:p>
    <w:p>
      <w:pPr>
        <w:pStyle w:val="Style30"/>
        <w:numPr>
          <w:ilvl w:val="0"/>
          <w:numId w:val="101"/>
        </w:numPr>
        <w:tabs>
          <w:tab w:leader="none" w:pos="517" w:val="left"/>
        </w:tabs>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 xml:space="preserve">подъем сегмента </w:t>
      </w:r>
      <w:r>
        <w:rPr>
          <w:lang w:val="en-US" w:eastAsia="en-US" w:bidi="en-US"/>
          <w:w w:val="100"/>
          <w:spacing w:val="0"/>
          <w:color w:val="000000"/>
          <w:position w:val="0"/>
        </w:rPr>
        <w:t xml:space="preserve">SТ </w:t>
      </w:r>
      <w:r>
        <w:rPr>
          <w:lang w:val="ru-RU" w:eastAsia="ru-RU" w:bidi="ru-RU"/>
          <w:w w:val="100"/>
          <w:spacing w:val="0"/>
          <w:color w:val="000000"/>
          <w:position w:val="0"/>
        </w:rPr>
        <w:t>в зоне повреждения. Субэндокардиальная ишемия:</w:t>
      </w:r>
    </w:p>
    <w:p>
      <w:pPr>
        <w:pStyle w:val="Style30"/>
        <w:numPr>
          <w:ilvl w:val="0"/>
          <w:numId w:val="101"/>
        </w:numPr>
        <w:tabs>
          <w:tab w:leader="none" w:pos="517" w:val="left"/>
        </w:tabs>
        <w:widowControl w:val="0"/>
        <w:keepNext w:val="0"/>
        <w:keepLines w:val="0"/>
        <w:shd w:val="clear" w:color="auto" w:fill="auto"/>
        <w:bidi w:val="0"/>
        <w:spacing w:before="0" w:after="0"/>
        <w:ind w:left="0" w:right="0" w:firstLine="280"/>
      </w:pPr>
      <w:r>
        <w:pict>
          <v:shape id="_x0000_s1531" type="#_x0000_t75" style="position:absolute;margin-left:136.7pt;margin-top:736.8pt;width:209.75pt;height:14.9pt;z-index:-125829039;mso-wrap-distance-left:136.55pt;mso-wrap-distance-right:148.1pt;mso-wrap-distance-bottom:10.8pt;mso-position-horizontal-relative:margin;mso-position-vertical-relative:margin" wrapcoords="0 0 21600 0 21600 21600 0 21600 0 0">
            <v:imagedata r:id="rId838" r:href="rId839"/>
            <w10:wrap type="topAndBottom" anchorx="margin" anchory="margin"/>
          </v:shape>
        </w:pict>
      </w:r>
      <w:r>
        <w:rPr>
          <w:lang w:val="ru-RU" w:eastAsia="ru-RU" w:bidi="ru-RU"/>
          <w:w w:val="100"/>
          <w:spacing w:val="0"/>
          <w:color w:val="000000"/>
          <w:position w:val="0"/>
        </w:rPr>
        <w:t>заостренный узкий зубец Т;</w:t>
      </w:r>
      <w:r>
        <w:br w:type="page"/>
      </w:r>
    </w:p>
    <w:p>
      <w:pPr>
        <w:pStyle w:val="Style30"/>
        <w:numPr>
          <w:ilvl w:val="0"/>
          <w:numId w:val="101"/>
        </w:numPr>
        <w:tabs>
          <w:tab w:leader="none" w:pos="508" w:val="left"/>
        </w:tabs>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депрессия сегмента </w:t>
      </w:r>
      <w:r>
        <w:rPr>
          <w:lang w:val="en-US" w:eastAsia="en-US" w:bidi="en-US"/>
          <w:w w:val="100"/>
          <w:spacing w:val="0"/>
          <w:color w:val="000000"/>
          <w:position w:val="0"/>
        </w:rPr>
        <w:t xml:space="preserve">ST </w:t>
      </w:r>
      <w:r>
        <w:rPr>
          <w:lang w:val="ru-RU" w:eastAsia="ru-RU" w:bidi="ru-RU"/>
          <w:w w:val="100"/>
          <w:spacing w:val="0"/>
          <w:color w:val="000000"/>
          <w:position w:val="0"/>
        </w:rPr>
        <w:t>в зоне повреждения;</w:t>
      </w:r>
    </w:p>
    <w:p>
      <w:pPr>
        <w:pStyle w:val="Style30"/>
        <w:numPr>
          <w:ilvl w:val="0"/>
          <w:numId w:val="101"/>
        </w:numPr>
        <w:tabs>
          <w:tab w:leader="none" w:pos="508" w:val="left"/>
        </w:tabs>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удлинение интервала </w:t>
      </w:r>
      <w:r>
        <w:rPr>
          <w:lang w:val="en-US" w:eastAsia="en-US" w:bidi="en-US"/>
          <w:w w:val="100"/>
          <w:spacing w:val="0"/>
          <w:color w:val="000000"/>
          <w:position w:val="0"/>
        </w:rPr>
        <w:t>QT.</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Некроз:</w:t>
      </w:r>
    </w:p>
    <w:p>
      <w:pPr>
        <w:pStyle w:val="Style30"/>
        <w:numPr>
          <w:ilvl w:val="0"/>
          <w:numId w:val="101"/>
        </w:numPr>
        <w:tabs>
          <w:tab w:leader="none" w:pos="508" w:val="left"/>
        </w:tabs>
        <w:widowControl w:val="0"/>
        <w:keepNext w:val="0"/>
        <w:keepLines w:val="0"/>
        <w:shd w:val="clear" w:color="auto" w:fill="auto"/>
        <w:bidi w:val="0"/>
        <w:jc w:val="left"/>
        <w:spacing w:before="0" w:after="0" w:line="221" w:lineRule="exact"/>
        <w:ind w:left="520" w:right="0" w:hanging="240"/>
      </w:pPr>
      <w:r>
        <w:rPr>
          <w:lang w:val="ru-RU" w:eastAsia="ru-RU" w:bidi="ru-RU"/>
          <w:w w:val="100"/>
          <w:spacing w:val="0"/>
          <w:color w:val="000000"/>
          <w:position w:val="0"/>
        </w:rPr>
        <w:t xml:space="preserve">появление патологического широкого зубца </w:t>
      </w:r>
      <w:r>
        <w:rPr>
          <w:lang w:val="en-US" w:eastAsia="en-US" w:bidi="en-US"/>
          <w:w w:val="100"/>
          <w:spacing w:val="0"/>
          <w:color w:val="000000"/>
          <w:position w:val="0"/>
        </w:rPr>
        <w:t xml:space="preserve">Q </w:t>
      </w:r>
      <w:r>
        <w:rPr>
          <w:lang w:val="ru-RU" w:eastAsia="ru-RU" w:bidi="ru-RU"/>
          <w:w w:val="100"/>
          <w:spacing w:val="0"/>
          <w:color w:val="000000"/>
          <w:position w:val="0"/>
        </w:rPr>
        <w:t>(&gt;0,035-0,04 с) в зоне повреждения;</w:t>
      </w:r>
    </w:p>
    <w:p>
      <w:pPr>
        <w:pStyle w:val="Style30"/>
        <w:numPr>
          <w:ilvl w:val="0"/>
          <w:numId w:val="101"/>
        </w:numPr>
        <w:tabs>
          <w:tab w:leader="none" w:pos="508" w:val="left"/>
        </w:tabs>
        <w:widowControl w:val="0"/>
        <w:keepNext w:val="0"/>
        <w:keepLines w:val="0"/>
        <w:shd w:val="clear" w:color="auto" w:fill="auto"/>
        <w:bidi w:val="0"/>
        <w:jc w:val="left"/>
        <w:spacing w:before="0" w:after="0" w:line="221" w:lineRule="exact"/>
        <w:ind w:left="520" w:right="0" w:hanging="240"/>
      </w:pPr>
      <w:r>
        <w:rPr>
          <w:lang w:val="ru-RU" w:eastAsia="ru-RU" w:bidi="ru-RU"/>
          <w:w w:val="100"/>
          <w:spacing w:val="0"/>
          <w:color w:val="000000"/>
          <w:position w:val="0"/>
        </w:rPr>
        <w:t xml:space="preserve">уменьшение («провал») зубца </w:t>
      </w:r>
      <w:r>
        <w:rPr>
          <w:lang w:val="en-US" w:eastAsia="en-US" w:bidi="en-US"/>
          <w:w w:val="100"/>
          <w:spacing w:val="0"/>
          <w:color w:val="000000"/>
          <w:position w:val="0"/>
        </w:rPr>
        <w:t xml:space="preserve">R </w:t>
      </w:r>
      <w:r>
        <w:rPr>
          <w:lang w:val="ru-RU" w:eastAsia="ru-RU" w:bidi="ru-RU"/>
          <w:w w:val="100"/>
          <w:spacing w:val="0"/>
          <w:color w:val="000000"/>
          <w:position w:val="0"/>
        </w:rPr>
        <w:t>в ассоциации с зуб</w:t>
        <w:softHyphen/>
        <w:t xml:space="preserve">цом и ишемическими изменениями сегмента </w:t>
      </w:r>
      <w:r>
        <w:rPr>
          <w:lang w:val="en-US" w:eastAsia="en-US" w:bidi="en-US"/>
          <w:w w:val="100"/>
          <w:spacing w:val="0"/>
          <w:color w:val="000000"/>
          <w:position w:val="0"/>
        </w:rPr>
        <w:t>ST</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Наибольшие трудности в диагностике инфаркта мио</w:t>
        <w:softHyphen/>
        <w:t xml:space="preserve">карда вызывает трактовка патологического зубца </w:t>
      </w:r>
      <w:r>
        <w:rPr>
          <w:lang w:val="en-US" w:eastAsia="en-US" w:bidi="en-US"/>
          <w:w w:val="100"/>
          <w:spacing w:val="0"/>
          <w:color w:val="000000"/>
          <w:position w:val="0"/>
        </w:rPr>
        <w:t xml:space="preserve">Q. </w:t>
      </w:r>
      <w:r>
        <w:rPr>
          <w:lang w:val="ru-RU" w:eastAsia="ru-RU" w:bidi="ru-RU"/>
          <w:w w:val="100"/>
          <w:spacing w:val="0"/>
          <w:color w:val="000000"/>
          <w:position w:val="0"/>
        </w:rPr>
        <w:t>В отли</w:t>
        <w:softHyphen/>
        <w:t xml:space="preserve">чие от взрослых, у детей зубец </w:t>
      </w:r>
      <w:r>
        <w:rPr>
          <w:lang w:val="en-US" w:eastAsia="en-US" w:bidi="en-US"/>
          <w:w w:val="100"/>
          <w:spacing w:val="0"/>
          <w:color w:val="000000"/>
          <w:position w:val="0"/>
        </w:rPr>
        <w:t xml:space="preserve">Q </w:t>
      </w:r>
      <w:r>
        <w:rPr>
          <w:lang w:val="ru-RU" w:eastAsia="ru-RU" w:bidi="ru-RU"/>
          <w:w w:val="100"/>
          <w:spacing w:val="0"/>
          <w:color w:val="000000"/>
          <w:position w:val="0"/>
        </w:rPr>
        <w:t>выявляется довольно час</w:t>
        <w:softHyphen/>
        <w:t>то и обычно связан с положением сердца в грудной клетке. Дифференциально-диагностическим критерием позици</w:t>
        <w:softHyphen/>
        <w:t xml:space="preserve">онного зубца </w:t>
      </w:r>
      <w:r>
        <w:rPr>
          <w:lang w:val="en-US" w:eastAsia="en-US" w:bidi="en-US"/>
          <w:w w:val="100"/>
          <w:spacing w:val="0"/>
          <w:color w:val="000000"/>
          <w:position w:val="0"/>
        </w:rPr>
        <w:t xml:space="preserve">Q </w:t>
      </w:r>
      <w:r>
        <w:rPr>
          <w:lang w:val="ru-RU" w:eastAsia="ru-RU" w:bidi="ru-RU"/>
          <w:w w:val="100"/>
          <w:spacing w:val="0"/>
          <w:color w:val="000000"/>
          <w:position w:val="0"/>
        </w:rPr>
        <w:t>от инфарктного является изменение его ам</w:t>
        <w:softHyphen/>
        <w:t>плитуды: при регистрации ЭКГ в момент перехода в орто</w:t>
        <w:softHyphen/>
        <w:t>статическое положение и при глубоком вдохе. Пороговы</w:t>
        <w:softHyphen/>
        <w:t xml:space="preserve">ми, максимально допустимыми в норме величинами зубца </w:t>
      </w:r>
      <w:r>
        <w:rPr>
          <w:lang w:val="en-US" w:eastAsia="en-US" w:bidi="en-US"/>
          <w:w w:val="100"/>
          <w:spacing w:val="0"/>
          <w:color w:val="000000"/>
          <w:position w:val="0"/>
        </w:rPr>
        <w:t xml:space="preserve">Q </w:t>
      </w:r>
      <w:r>
        <w:rPr>
          <w:lang w:val="ru-RU" w:eastAsia="ru-RU" w:bidi="ru-RU"/>
          <w:w w:val="100"/>
          <w:spacing w:val="0"/>
          <w:color w:val="000000"/>
          <w:position w:val="0"/>
        </w:rPr>
        <w:t>являются:</w:t>
      </w:r>
    </w:p>
    <w:p>
      <w:pPr>
        <w:pStyle w:val="Style30"/>
        <w:numPr>
          <w:ilvl w:val="0"/>
          <w:numId w:val="99"/>
        </w:numPr>
        <w:tabs>
          <w:tab w:leader="none" w:pos="508" w:val="left"/>
        </w:tabs>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в I стандартном отведении — 2 мм;</w:t>
      </w:r>
    </w:p>
    <w:p>
      <w:pPr>
        <w:pStyle w:val="Style30"/>
        <w:numPr>
          <w:ilvl w:val="0"/>
          <w:numId w:val="99"/>
        </w:numPr>
        <w:tabs>
          <w:tab w:leader="none" w:pos="508" w:val="left"/>
        </w:tabs>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II — 3 мм;</w:t>
      </w:r>
    </w:p>
    <w:p>
      <w:pPr>
        <w:pStyle w:val="Style30"/>
        <w:numPr>
          <w:ilvl w:val="0"/>
          <w:numId w:val="99"/>
        </w:numPr>
        <w:tabs>
          <w:tab w:leader="none" w:pos="508" w:val="left"/>
        </w:tabs>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III — 5 мм;</w:t>
      </w:r>
    </w:p>
    <w:p>
      <w:pPr>
        <w:pStyle w:val="Style30"/>
        <w:numPr>
          <w:ilvl w:val="0"/>
          <w:numId w:val="99"/>
        </w:numPr>
        <w:tabs>
          <w:tab w:leader="none" w:pos="508" w:val="left"/>
        </w:tabs>
        <w:widowControl w:val="0"/>
        <w:keepNext w:val="0"/>
        <w:keepLines w:val="0"/>
        <w:shd w:val="clear" w:color="auto" w:fill="auto"/>
        <w:bidi w:val="0"/>
        <w:spacing w:before="0" w:after="0" w:line="221" w:lineRule="exact"/>
        <w:ind w:left="0" w:right="0" w:firstLine="280"/>
      </w:pPr>
      <w:r>
        <w:rPr>
          <w:lang w:val="en-US" w:eastAsia="en-US" w:bidi="en-US"/>
          <w:w w:val="100"/>
          <w:spacing w:val="0"/>
          <w:color w:val="000000"/>
          <w:position w:val="0"/>
        </w:rPr>
        <w:t xml:space="preserve">aVL </w:t>
      </w:r>
      <w:r>
        <w:rPr>
          <w:lang w:val="ru-RU" w:eastAsia="ru-RU" w:bidi="ru-RU"/>
          <w:w w:val="100"/>
          <w:spacing w:val="0"/>
          <w:color w:val="000000"/>
          <w:position w:val="0"/>
        </w:rPr>
        <w:t>— 1 мм;</w:t>
      </w:r>
    </w:p>
    <w:p>
      <w:pPr>
        <w:pStyle w:val="Style30"/>
        <w:numPr>
          <w:ilvl w:val="0"/>
          <w:numId w:val="99"/>
        </w:numPr>
        <w:tabs>
          <w:tab w:leader="none" w:pos="508" w:val="left"/>
        </w:tabs>
        <w:widowControl w:val="0"/>
        <w:keepNext w:val="0"/>
        <w:keepLines w:val="0"/>
        <w:shd w:val="clear" w:color="auto" w:fill="auto"/>
        <w:bidi w:val="0"/>
        <w:spacing w:before="0" w:after="0" w:line="221" w:lineRule="exact"/>
        <w:ind w:left="0" w:right="0" w:firstLine="280"/>
      </w:pPr>
      <w:r>
        <w:rPr>
          <w:lang w:val="en-US" w:eastAsia="en-US" w:bidi="en-US"/>
          <w:w w:val="100"/>
          <w:spacing w:val="0"/>
          <w:color w:val="000000"/>
          <w:position w:val="0"/>
        </w:rPr>
        <w:t xml:space="preserve">aVF </w:t>
      </w:r>
      <w:r>
        <w:rPr>
          <w:lang w:val="ru-RU" w:eastAsia="ru-RU" w:bidi="ru-RU"/>
          <w:w w:val="100"/>
          <w:spacing w:val="0"/>
          <w:color w:val="000000"/>
          <w:position w:val="0"/>
        </w:rPr>
        <w:t>— 3 мм;</w:t>
      </w:r>
    </w:p>
    <w:p>
      <w:pPr>
        <w:pStyle w:val="Style30"/>
        <w:numPr>
          <w:ilvl w:val="0"/>
          <w:numId w:val="99"/>
        </w:numPr>
        <w:tabs>
          <w:tab w:leader="none" w:pos="508" w:val="left"/>
        </w:tabs>
        <w:widowControl w:val="0"/>
        <w:keepNext w:val="0"/>
        <w:keepLines w:val="0"/>
        <w:shd w:val="clear" w:color="auto" w:fill="auto"/>
        <w:bidi w:val="0"/>
        <w:spacing w:before="0" w:after="0" w:line="221" w:lineRule="exact"/>
        <w:ind w:left="0" w:right="0" w:firstLine="280"/>
      </w:pPr>
      <w:r>
        <w:rPr>
          <w:lang w:val="en-US" w:eastAsia="en-US" w:bidi="en-US"/>
          <w:w w:val="100"/>
          <w:spacing w:val="0"/>
          <w:color w:val="000000"/>
          <w:position w:val="0"/>
        </w:rPr>
        <w:t>V</w:t>
      </w:r>
      <w:r>
        <w:rPr>
          <w:lang w:val="en-US" w:eastAsia="en-US" w:bidi="en-US"/>
          <w:vertAlign w:val="subscript"/>
          <w:w w:val="100"/>
          <w:spacing w:val="0"/>
          <w:color w:val="000000"/>
          <w:position w:val="0"/>
        </w:rPr>
        <w:t>4</w:t>
      </w:r>
      <w:r>
        <w:rPr>
          <w:lang w:val="en-US" w:eastAsia="en-US" w:bidi="en-US"/>
          <w:w w:val="100"/>
          <w:spacing w:val="0"/>
          <w:color w:val="000000"/>
          <w:position w:val="0"/>
        </w:rPr>
        <w:t xml:space="preserve">-V6 </w:t>
      </w:r>
      <w:r>
        <w:rPr>
          <w:lang w:val="ru-RU" w:eastAsia="ru-RU" w:bidi="ru-RU"/>
          <w:w w:val="100"/>
          <w:spacing w:val="0"/>
          <w:color w:val="000000"/>
          <w:position w:val="0"/>
        </w:rPr>
        <w:t>— 3 мм.</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По данным </w:t>
      </w:r>
      <w:r>
        <w:rPr>
          <w:lang w:val="en-US" w:eastAsia="en-US" w:bidi="en-US"/>
          <w:w w:val="100"/>
          <w:spacing w:val="0"/>
          <w:color w:val="000000"/>
          <w:position w:val="0"/>
        </w:rPr>
        <w:t xml:space="preserve">Towbin </w:t>
      </w:r>
      <w:r>
        <w:rPr>
          <w:lang w:val="ru-RU" w:eastAsia="ru-RU" w:bidi="ru-RU"/>
          <w:w w:val="100"/>
          <w:spacing w:val="0"/>
          <w:color w:val="000000"/>
          <w:position w:val="0"/>
        </w:rPr>
        <w:t>с соавт., более чем у 60% детей с ин</w:t>
        <w:softHyphen/>
        <w:t>фарктом миокарда имеются электрокардиографические его признаки согласно следующим критериям:</w:t>
      </w:r>
    </w:p>
    <w:p>
      <w:pPr>
        <w:pStyle w:val="Style30"/>
        <w:numPr>
          <w:ilvl w:val="0"/>
          <w:numId w:val="99"/>
        </w:numPr>
        <w:tabs>
          <w:tab w:leader="none" w:pos="508" w:val="left"/>
        </w:tabs>
        <w:widowControl w:val="0"/>
        <w:keepNext w:val="0"/>
        <w:keepLines w:val="0"/>
        <w:shd w:val="clear" w:color="auto" w:fill="auto"/>
        <w:bidi w:val="0"/>
        <w:jc w:val="left"/>
        <w:spacing w:before="0" w:after="0" w:line="221" w:lineRule="exact"/>
        <w:ind w:left="520" w:right="0" w:hanging="240"/>
      </w:pPr>
      <w:r>
        <w:rPr>
          <w:lang w:val="ru-RU" w:eastAsia="ru-RU" w:bidi="ru-RU"/>
          <w:w w:val="100"/>
          <w:spacing w:val="0"/>
          <w:color w:val="000000"/>
          <w:position w:val="0"/>
        </w:rPr>
        <w:t xml:space="preserve">вновь появившийся широкий зубец </w:t>
      </w:r>
      <w:r>
        <w:rPr>
          <w:lang w:val="en-US" w:eastAsia="en-US" w:bidi="en-US"/>
          <w:w w:val="100"/>
          <w:spacing w:val="0"/>
          <w:color w:val="000000"/>
          <w:position w:val="0"/>
        </w:rPr>
        <w:t xml:space="preserve">Q </w:t>
      </w:r>
      <w:r>
        <w:rPr>
          <w:lang w:val="ru-RU" w:eastAsia="ru-RU" w:bidi="ru-RU"/>
          <w:w w:val="100"/>
          <w:spacing w:val="0"/>
          <w:color w:val="000000"/>
          <w:position w:val="0"/>
        </w:rPr>
        <w:t xml:space="preserve">(&gt;0,035-0,04 с) или увеличение глубины имевшихся </w:t>
      </w:r>
      <w:r>
        <w:rPr>
          <w:lang w:val="en-US" w:eastAsia="en-US" w:bidi="en-US"/>
          <w:w w:val="100"/>
          <w:spacing w:val="0"/>
          <w:color w:val="000000"/>
          <w:position w:val="0"/>
        </w:rPr>
        <w:t xml:space="preserve">Q </w:t>
      </w:r>
      <w:r>
        <w:rPr>
          <w:lang w:val="ru-RU" w:eastAsia="ru-RU" w:bidi="ru-RU"/>
          <w:w w:val="100"/>
          <w:spacing w:val="0"/>
          <w:color w:val="000000"/>
          <w:position w:val="0"/>
        </w:rPr>
        <w:t>зубцов;</w:t>
      </w:r>
    </w:p>
    <w:p>
      <w:pPr>
        <w:pStyle w:val="Style30"/>
        <w:numPr>
          <w:ilvl w:val="0"/>
          <w:numId w:val="99"/>
        </w:numPr>
        <w:tabs>
          <w:tab w:leader="none" w:pos="508" w:val="left"/>
        </w:tabs>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зазубренный зубец </w:t>
      </w:r>
      <w:r>
        <w:rPr>
          <w:lang w:val="en-US" w:eastAsia="en-US" w:bidi="en-US"/>
          <w:w w:val="100"/>
          <w:spacing w:val="0"/>
          <w:color w:val="000000"/>
          <w:position w:val="0"/>
        </w:rPr>
        <w:t>Q;</w:t>
      </w:r>
    </w:p>
    <w:p>
      <w:pPr>
        <w:pStyle w:val="Style30"/>
        <w:numPr>
          <w:ilvl w:val="0"/>
          <w:numId w:val="99"/>
        </w:numPr>
        <w:tabs>
          <w:tab w:leader="none" w:pos="508" w:val="left"/>
        </w:tabs>
        <w:widowControl w:val="0"/>
        <w:keepNext w:val="0"/>
        <w:keepLines w:val="0"/>
        <w:shd w:val="clear" w:color="auto" w:fill="auto"/>
        <w:bidi w:val="0"/>
        <w:jc w:val="left"/>
        <w:spacing w:before="0" w:after="0" w:line="221" w:lineRule="exact"/>
        <w:ind w:left="520" w:right="0" w:hanging="240"/>
      </w:pPr>
      <w:r>
        <w:rPr>
          <w:lang w:val="ru-RU" w:eastAsia="ru-RU" w:bidi="ru-RU"/>
          <w:w w:val="100"/>
          <w:spacing w:val="0"/>
          <w:color w:val="000000"/>
          <w:position w:val="0"/>
        </w:rPr>
        <w:t xml:space="preserve">вновь появившиеся глубокие зубцы </w:t>
      </w:r>
      <w:r>
        <w:rPr>
          <w:lang w:val="en-US" w:eastAsia="en-US" w:bidi="en-US"/>
          <w:w w:val="100"/>
          <w:spacing w:val="0"/>
          <w:color w:val="000000"/>
          <w:position w:val="0"/>
        </w:rPr>
        <w:t xml:space="preserve">Q </w:t>
      </w:r>
      <w:r>
        <w:rPr>
          <w:lang w:val="ru-RU" w:eastAsia="ru-RU" w:bidi="ru-RU"/>
          <w:w w:val="100"/>
          <w:spacing w:val="0"/>
          <w:color w:val="000000"/>
          <w:position w:val="0"/>
        </w:rPr>
        <w:t>у пациентов с болезнью Кавасаки;</w:t>
      </w:r>
    </w:p>
    <w:p>
      <w:pPr>
        <w:pStyle w:val="Style30"/>
        <w:numPr>
          <w:ilvl w:val="0"/>
          <w:numId w:val="99"/>
        </w:numPr>
        <w:tabs>
          <w:tab w:leader="none" w:pos="508" w:val="left"/>
        </w:tabs>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подъем </w:t>
      </w:r>
      <w:r>
        <w:rPr>
          <w:lang w:val="en-US" w:eastAsia="en-US" w:bidi="en-US"/>
          <w:w w:val="100"/>
          <w:spacing w:val="0"/>
          <w:color w:val="000000"/>
          <w:position w:val="0"/>
        </w:rPr>
        <w:t>ST</w:t>
      </w:r>
      <w:r>
        <w:rPr>
          <w:lang w:val="ru-RU" w:eastAsia="ru-RU" w:bidi="ru-RU"/>
          <w:w w:val="100"/>
          <w:spacing w:val="0"/>
          <w:color w:val="000000"/>
          <w:position w:val="0"/>
        </w:rPr>
        <w:t>-сегмента;</w:t>
      </w:r>
    </w:p>
    <w:p>
      <w:pPr>
        <w:pStyle w:val="Style30"/>
        <w:numPr>
          <w:ilvl w:val="0"/>
          <w:numId w:val="99"/>
        </w:numPr>
        <w:tabs>
          <w:tab w:leader="none" w:pos="508" w:val="left"/>
        </w:tabs>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вновь появившаяся инверсия зубца Т;</w:t>
      </w:r>
    </w:p>
    <w:p>
      <w:pPr>
        <w:pStyle w:val="Style30"/>
        <w:numPr>
          <w:ilvl w:val="0"/>
          <w:numId w:val="99"/>
        </w:numPr>
        <w:tabs>
          <w:tab w:leader="none" w:pos="508" w:val="left"/>
        </w:tabs>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удлинение </w:t>
      </w:r>
      <w:r>
        <w:rPr>
          <w:lang w:val="en-US" w:eastAsia="en-US" w:bidi="en-US"/>
          <w:w w:val="100"/>
          <w:spacing w:val="0"/>
          <w:color w:val="000000"/>
          <w:position w:val="0"/>
        </w:rPr>
        <w:t xml:space="preserve">QT </w:t>
      </w:r>
      <w:r>
        <w:rPr>
          <w:lang w:val="ru-RU" w:eastAsia="ru-RU" w:bidi="ru-RU"/>
          <w:w w:val="100"/>
          <w:spacing w:val="0"/>
          <w:color w:val="000000"/>
          <w:position w:val="0"/>
        </w:rPr>
        <w:t>(более 0,44 сек);</w:t>
      </w:r>
    </w:p>
    <w:p>
      <w:pPr>
        <w:pStyle w:val="Style30"/>
        <w:numPr>
          <w:ilvl w:val="0"/>
          <w:numId w:val="99"/>
        </w:numPr>
        <w:tabs>
          <w:tab w:leader="none" w:pos="508" w:val="left"/>
        </w:tabs>
        <w:widowControl w:val="0"/>
        <w:keepNext w:val="0"/>
        <w:keepLines w:val="0"/>
        <w:shd w:val="clear" w:color="auto" w:fill="auto"/>
        <w:bidi w:val="0"/>
        <w:jc w:val="left"/>
        <w:spacing w:before="0" w:after="0" w:line="221" w:lineRule="exact"/>
        <w:ind w:left="520" w:right="0" w:hanging="240"/>
      </w:pPr>
      <w:r>
        <w:rPr>
          <w:lang w:val="ru-RU" w:eastAsia="ru-RU" w:bidi="ru-RU"/>
          <w:w w:val="100"/>
          <w:spacing w:val="0"/>
          <w:color w:val="000000"/>
          <w:position w:val="0"/>
        </w:rPr>
        <w:t xml:space="preserve">снижение амплитуды зубца </w:t>
      </w:r>
      <w:r>
        <w:rPr>
          <w:lang w:val="en-US" w:eastAsia="en-US" w:bidi="en-US"/>
          <w:w w:val="100"/>
          <w:spacing w:val="0"/>
          <w:color w:val="000000"/>
          <w:position w:val="0"/>
        </w:rPr>
        <w:t xml:space="preserve">R </w:t>
      </w:r>
      <w:r>
        <w:rPr>
          <w:lang w:val="ru-RU" w:eastAsia="ru-RU" w:bidi="ru-RU"/>
          <w:w w:val="100"/>
          <w:spacing w:val="0"/>
          <w:color w:val="000000"/>
          <w:position w:val="0"/>
        </w:rPr>
        <w:t xml:space="preserve">с появлением </w:t>
      </w:r>
      <w:r>
        <w:rPr>
          <w:lang w:val="en-US" w:eastAsia="en-US" w:bidi="en-US"/>
          <w:w w:val="100"/>
          <w:spacing w:val="0"/>
          <w:color w:val="000000"/>
          <w:position w:val="0"/>
        </w:rPr>
        <w:t xml:space="preserve">Q </w:t>
      </w:r>
      <w:r>
        <w:rPr>
          <w:lang w:val="ru-RU" w:eastAsia="ru-RU" w:bidi="ru-RU"/>
          <w:w w:val="100"/>
          <w:spacing w:val="0"/>
          <w:color w:val="000000"/>
          <w:position w:val="0"/>
        </w:rPr>
        <w:t xml:space="preserve">зубца и </w:t>
      </w:r>
      <w:r>
        <w:rPr>
          <w:lang w:val="en-US" w:eastAsia="en-US" w:bidi="en-US"/>
          <w:w w:val="100"/>
          <w:spacing w:val="0"/>
          <w:color w:val="000000"/>
          <w:position w:val="0"/>
        </w:rPr>
        <w:t>ST-T</w:t>
      </w:r>
      <w:r>
        <w:rPr>
          <w:lang w:val="ru-RU" w:eastAsia="ru-RU" w:bidi="ru-RU"/>
          <w:w w:val="100"/>
          <w:spacing w:val="0"/>
          <w:color w:val="000000"/>
          <w:position w:val="0"/>
        </w:rPr>
        <w:t>-изменений.</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Электрокардиографическая диагностика локализации ин</w:t>
        <w:softHyphen/>
        <w:t>фарктной зоны</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Передний инфаркт миокарда:</w:t>
      </w:r>
    </w:p>
    <w:p>
      <w:pPr>
        <w:pStyle w:val="Style30"/>
        <w:numPr>
          <w:ilvl w:val="0"/>
          <w:numId w:val="103"/>
        </w:numPr>
        <w:tabs>
          <w:tab w:leader="none" w:pos="550" w:val="left"/>
        </w:tabs>
        <w:widowControl w:val="0"/>
        <w:keepNext w:val="0"/>
        <w:keepLines w:val="0"/>
        <w:shd w:val="clear" w:color="auto" w:fill="auto"/>
        <w:bidi w:val="0"/>
        <w:spacing w:before="0" w:after="0" w:line="221" w:lineRule="exact"/>
        <w:ind w:left="0" w:right="0" w:firstLine="280"/>
      </w:pPr>
      <w:r>
        <w:rPr>
          <w:lang w:val="en-US" w:eastAsia="en-US" w:bidi="en-US"/>
          <w:w w:val="100"/>
          <w:spacing w:val="0"/>
          <w:color w:val="000000"/>
          <w:position w:val="0"/>
        </w:rPr>
        <w:t xml:space="preserve">RS Vi, QS </w:t>
      </w:r>
      <w:r>
        <w:rPr>
          <w:lang w:val="ru-RU" w:eastAsia="ru-RU" w:bidi="ru-RU"/>
          <w:w w:val="100"/>
          <w:spacing w:val="0"/>
          <w:color w:val="000000"/>
          <w:position w:val="0"/>
        </w:rPr>
        <w:t xml:space="preserve">или </w:t>
      </w:r>
      <w:r>
        <w:rPr>
          <w:lang w:val="en-US" w:eastAsia="en-US" w:bidi="en-US"/>
          <w:w w:val="100"/>
          <w:spacing w:val="0"/>
          <w:color w:val="000000"/>
          <w:position w:val="0"/>
        </w:rPr>
        <w:t>QR V</w:t>
      </w:r>
      <w:r>
        <w:rPr>
          <w:lang w:val="en-US" w:eastAsia="en-US" w:bidi="en-US"/>
          <w:vertAlign w:val="subscript"/>
          <w:w w:val="100"/>
          <w:spacing w:val="0"/>
          <w:color w:val="000000"/>
          <w:position w:val="0"/>
        </w:rPr>
        <w:t>3</w:t>
      </w:r>
      <w:r>
        <w:rPr>
          <w:lang w:val="en-US" w:eastAsia="en-US" w:bidi="en-US"/>
          <w:w w:val="100"/>
          <w:spacing w:val="0"/>
          <w:color w:val="000000"/>
          <w:position w:val="0"/>
        </w:rPr>
        <w:t>-V</w:t>
      </w:r>
      <w:r>
        <w:rPr>
          <w:lang w:val="en-US" w:eastAsia="en-US" w:bidi="en-US"/>
          <w:vertAlign w:val="subscript"/>
          <w:w w:val="100"/>
          <w:spacing w:val="0"/>
          <w:color w:val="000000"/>
          <w:position w:val="0"/>
        </w:rPr>
        <w:t>4</w:t>
      </w:r>
      <w:r>
        <w:rPr>
          <w:lang w:val="en-US" w:eastAsia="en-US" w:bidi="en-US"/>
          <w:w w:val="100"/>
          <w:spacing w:val="0"/>
          <w:color w:val="000000"/>
          <w:position w:val="0"/>
        </w:rPr>
        <w:t xml:space="preserve"> </w:t>
      </w:r>
      <w:r>
        <w:rPr>
          <w:lang w:val="ru-RU" w:eastAsia="ru-RU" w:bidi="ru-RU"/>
          <w:w w:val="100"/>
          <w:spacing w:val="0"/>
          <w:color w:val="000000"/>
          <w:position w:val="0"/>
        </w:rPr>
        <w:t xml:space="preserve">с зубцом </w:t>
      </w:r>
      <w:r>
        <w:rPr>
          <w:lang w:val="en-US" w:eastAsia="en-US" w:bidi="en-US"/>
          <w:w w:val="100"/>
          <w:spacing w:val="0"/>
          <w:color w:val="000000"/>
          <w:position w:val="0"/>
        </w:rPr>
        <w:t xml:space="preserve">Q </w:t>
      </w:r>
      <w:r>
        <w:rPr>
          <w:lang w:val="ru-RU" w:eastAsia="ru-RU" w:bidi="ru-RU"/>
          <w:w w:val="100"/>
          <w:spacing w:val="0"/>
          <w:color w:val="000000"/>
          <w:position w:val="0"/>
        </w:rPr>
        <w:t>продолжительно</w:t>
        <w:softHyphen/>
        <w:t>стью &gt;0,035-0,04 с.</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Б. Уменьшение амплитуды: зубца </w:t>
      </w:r>
      <w:r>
        <w:rPr>
          <w:lang w:val="en-US" w:eastAsia="en-US" w:bidi="en-US"/>
          <w:w w:val="100"/>
          <w:spacing w:val="0"/>
          <w:color w:val="000000"/>
          <w:position w:val="0"/>
        </w:rPr>
        <w:t xml:space="preserve">R </w:t>
      </w:r>
      <w:r>
        <w:rPr>
          <w:lang w:val="ru-RU" w:eastAsia="ru-RU" w:bidi="ru-RU"/>
          <w:w w:val="100"/>
          <w:spacing w:val="0"/>
          <w:color w:val="000000"/>
          <w:position w:val="0"/>
        </w:rPr>
        <w:t xml:space="preserve">с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по </w:t>
      </w:r>
      <w:r>
        <w:rPr>
          <w:lang w:val="en-US" w:eastAsia="en-US" w:bidi="en-US"/>
          <w:w w:val="100"/>
          <w:spacing w:val="0"/>
          <w:color w:val="000000"/>
          <w:position w:val="0"/>
        </w:rPr>
        <w:t>V</w:t>
      </w:r>
      <w:r>
        <w:rPr>
          <w:lang w:val="en-US" w:eastAsia="en-US" w:bidi="en-US"/>
          <w:vertAlign w:val="subscript"/>
          <w:w w:val="100"/>
          <w:spacing w:val="0"/>
          <w:color w:val="000000"/>
          <w:position w:val="0"/>
        </w:rPr>
        <w:t>4</w:t>
      </w:r>
      <w:r>
        <w:rPr>
          <w:lang w:val="en-US" w:eastAsia="en-US" w:bidi="en-US"/>
          <w:w w:val="100"/>
          <w:spacing w:val="0"/>
          <w:color w:val="000000"/>
          <w:position w:val="0"/>
        </w:rPr>
        <w:t>.</w:t>
      </w:r>
    </w:p>
    <w:p>
      <w:pPr>
        <w:pStyle w:val="Style30"/>
        <w:numPr>
          <w:ilvl w:val="0"/>
          <w:numId w:val="103"/>
        </w:numPr>
        <w:tabs>
          <w:tab w:leader="none" w:pos="564" w:val="left"/>
        </w:tabs>
        <w:widowControl w:val="0"/>
        <w:keepNext w:val="0"/>
        <w:keepLines w:val="0"/>
        <w:shd w:val="clear" w:color="auto" w:fill="auto"/>
        <w:bidi w:val="0"/>
        <w:spacing w:before="0" w:after="0" w:line="221" w:lineRule="exact"/>
        <w:ind w:left="0" w:right="0" w:firstLine="280"/>
      </w:pPr>
      <w:r>
        <w:rPr>
          <w:lang w:val="en-US" w:eastAsia="en-US" w:bidi="en-US"/>
          <w:w w:val="100"/>
          <w:spacing w:val="0"/>
          <w:color w:val="000000"/>
          <w:position w:val="0"/>
        </w:rPr>
        <w:t xml:space="preserve">QS </w:t>
      </w:r>
      <w:r>
        <w:rPr>
          <w:lang w:val="ru-RU" w:eastAsia="ru-RU" w:bidi="ru-RU"/>
          <w:w w:val="100"/>
          <w:spacing w:val="0"/>
          <w:color w:val="000000"/>
          <w:position w:val="0"/>
        </w:rPr>
        <w:t>комплекс во всех грудных отведениях (свидетель</w:t>
        <w:softHyphen/>
        <w:t>ствует о распространенном инфаркте).</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Переднесептальный инфаркт миокарда:</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А. </w:t>
      </w:r>
      <w:r>
        <w:rPr>
          <w:lang w:val="en-US" w:eastAsia="en-US" w:bidi="en-US"/>
          <w:w w:val="100"/>
          <w:spacing w:val="0"/>
          <w:color w:val="000000"/>
          <w:position w:val="0"/>
        </w:rPr>
        <w:t xml:space="preserve">QS </w:t>
      </w:r>
      <w:r>
        <w:rPr>
          <w:lang w:val="ru-RU" w:eastAsia="ru-RU" w:bidi="ru-RU"/>
          <w:w w:val="100"/>
          <w:spacing w:val="0"/>
          <w:color w:val="000000"/>
          <w:position w:val="0"/>
        </w:rPr>
        <w:t xml:space="preserve">паттерн с </w:t>
      </w:r>
      <w:r>
        <w:rPr>
          <w:lang w:val="en-US" w:eastAsia="en-US" w:bidi="en-US"/>
          <w:w w:val="100"/>
          <w:spacing w:val="0"/>
          <w:color w:val="000000"/>
          <w:position w:val="0"/>
        </w:rPr>
        <w:t>V</w:t>
      </w:r>
      <w:r>
        <w:rPr>
          <w:rStyle w:val="CharStyle32"/>
          <w:lang w:val="en-US" w:eastAsia="en-US" w:bidi="en-US"/>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по </w:t>
      </w:r>
      <w:r>
        <w:rPr>
          <w:lang w:val="en-US" w:eastAsia="en-US" w:bidi="en-US"/>
          <w:w w:val="100"/>
          <w:spacing w:val="0"/>
          <w:color w:val="000000"/>
          <w:position w:val="0"/>
        </w:rPr>
        <w:t>V</w:t>
      </w:r>
      <w:r>
        <w:rPr>
          <w:rStyle w:val="CharStyle32"/>
          <w:lang w:val="en-US" w:eastAsia="en-US" w:bidi="en-US"/>
        </w:rPr>
        <w:t>3</w:t>
      </w:r>
      <w:r>
        <w:rPr>
          <w:lang w:val="en-US" w:eastAsia="en-US" w:bidi="en-US"/>
          <w:w w:val="100"/>
          <w:spacing w:val="0"/>
          <w:color w:val="000000"/>
          <w:position w:val="0"/>
        </w:rPr>
        <w:t>.</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Б. </w:t>
      </w:r>
      <w:r>
        <w:rPr>
          <w:lang w:val="en-US" w:eastAsia="en-US" w:bidi="en-US"/>
          <w:w w:val="100"/>
          <w:spacing w:val="0"/>
          <w:color w:val="000000"/>
          <w:position w:val="0"/>
        </w:rPr>
        <w:t>QS 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QR </w:t>
      </w:r>
      <w:r>
        <w:rPr>
          <w:lang w:val="ru-RU" w:eastAsia="ru-RU" w:bidi="ru-RU"/>
          <w:w w:val="100"/>
          <w:spacing w:val="0"/>
          <w:color w:val="000000"/>
          <w:position w:val="0"/>
        </w:rPr>
        <w:t xml:space="preserve">или </w:t>
      </w:r>
      <w:r>
        <w:rPr>
          <w:lang w:val="en-US" w:eastAsia="en-US" w:bidi="en-US"/>
          <w:w w:val="100"/>
          <w:spacing w:val="0"/>
          <w:color w:val="000000"/>
          <w:position w:val="0"/>
        </w:rPr>
        <w:t>QRS V</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xml:space="preserve">и </w:t>
      </w:r>
      <w:r>
        <w:rPr>
          <w:lang w:val="en-US" w:eastAsia="en-US" w:bidi="en-US"/>
          <w:w w:val="100"/>
          <w:spacing w:val="0"/>
          <w:color w:val="000000"/>
          <w:position w:val="0"/>
        </w:rPr>
        <w:t>V</w:t>
      </w:r>
      <w:r>
        <w:rPr>
          <w:lang w:val="en-US" w:eastAsia="en-US" w:bidi="en-US"/>
          <w:vertAlign w:val="subscript"/>
          <w:w w:val="100"/>
          <w:spacing w:val="0"/>
          <w:color w:val="000000"/>
          <w:position w:val="0"/>
        </w:rPr>
        <w:t>3</w:t>
      </w:r>
      <w:r>
        <w:rPr>
          <w:lang w:val="en-US" w:eastAsia="en-US" w:bidi="en-US"/>
          <w:w w:val="100"/>
          <w:spacing w:val="0"/>
          <w:color w:val="000000"/>
          <w:position w:val="0"/>
        </w:rPr>
        <w:t>.</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Переднелатеральный инфаркт миокарда:</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А. </w:t>
      </w:r>
      <w:r>
        <w:rPr>
          <w:lang w:val="en-US" w:eastAsia="en-US" w:bidi="en-US"/>
          <w:w w:val="100"/>
          <w:spacing w:val="0"/>
          <w:color w:val="000000"/>
          <w:position w:val="0"/>
        </w:rPr>
        <w:t xml:space="preserve">Q </w:t>
      </w:r>
      <w:r>
        <w:rPr>
          <w:lang w:val="ru-RU" w:eastAsia="ru-RU" w:bidi="ru-RU"/>
          <w:w w:val="100"/>
          <w:spacing w:val="0"/>
          <w:color w:val="000000"/>
          <w:position w:val="0"/>
        </w:rPr>
        <w:t xml:space="preserve">с </w:t>
      </w:r>
      <w:r>
        <w:rPr>
          <w:lang w:val="en-US" w:eastAsia="en-US" w:bidi="en-US"/>
          <w:w w:val="100"/>
          <w:spacing w:val="0"/>
          <w:color w:val="000000"/>
          <w:position w:val="0"/>
        </w:rPr>
        <w:t>V</w:t>
      </w:r>
      <w:r>
        <w:rPr>
          <w:rStyle w:val="CharStyle32"/>
          <w:lang w:val="en-US" w:eastAsia="en-US" w:bidi="en-US"/>
        </w:rPr>
        <w:t>4</w:t>
      </w:r>
      <w:r>
        <w:rPr>
          <w:lang w:val="en-US" w:eastAsia="en-US" w:bidi="en-US"/>
          <w:w w:val="100"/>
          <w:spacing w:val="0"/>
          <w:color w:val="000000"/>
          <w:position w:val="0"/>
        </w:rPr>
        <w:t xml:space="preserve"> </w:t>
      </w:r>
      <w:r>
        <w:rPr>
          <w:lang w:val="ru-RU" w:eastAsia="ru-RU" w:bidi="ru-RU"/>
          <w:w w:val="100"/>
          <w:spacing w:val="0"/>
          <w:color w:val="000000"/>
          <w:position w:val="0"/>
        </w:rPr>
        <w:t xml:space="preserve">по </w:t>
      </w:r>
      <w:r>
        <w:rPr>
          <w:lang w:val="en-US" w:eastAsia="en-US" w:bidi="en-US"/>
          <w:w w:val="100"/>
          <w:spacing w:val="0"/>
          <w:color w:val="000000"/>
          <w:position w:val="0"/>
        </w:rPr>
        <w:t xml:space="preserve">V6 </w:t>
      </w:r>
      <w:r>
        <w:rPr>
          <w:lang w:val="ru-RU" w:eastAsia="ru-RU" w:bidi="ru-RU"/>
          <w:w w:val="100"/>
          <w:spacing w:val="0"/>
          <w:color w:val="000000"/>
          <w:position w:val="0"/>
        </w:rPr>
        <w:t>продолжительностью &gt;0,035-0,04 с.</w:t>
      </w:r>
    </w:p>
    <w:p>
      <w:pPr>
        <w:pStyle w:val="Style30"/>
        <w:widowControl w:val="0"/>
        <w:keepNext w:val="0"/>
        <w:keepLines w:val="0"/>
        <w:shd w:val="clear" w:color="auto" w:fill="auto"/>
        <w:bidi w:val="0"/>
        <w:jc w:val="left"/>
        <w:spacing w:before="0" w:after="0" w:line="221" w:lineRule="exact"/>
        <w:ind w:left="280" w:right="0" w:firstLine="0"/>
      </w:pPr>
      <w:r>
        <w:rPr>
          <w:lang w:val="ru-RU" w:eastAsia="ru-RU" w:bidi="ru-RU"/>
          <w:w w:val="100"/>
          <w:spacing w:val="0"/>
          <w:color w:val="000000"/>
          <w:position w:val="0"/>
        </w:rPr>
        <w:t xml:space="preserve">Б.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I и </w:t>
      </w:r>
      <w:r>
        <w:rPr>
          <w:lang w:val="en-US" w:eastAsia="en-US" w:bidi="en-US"/>
          <w:w w:val="100"/>
          <w:spacing w:val="0"/>
          <w:color w:val="000000"/>
          <w:position w:val="0"/>
        </w:rPr>
        <w:t xml:space="preserve">avL </w:t>
      </w:r>
      <w:r>
        <w:rPr>
          <w:lang w:val="ru-RU" w:eastAsia="ru-RU" w:bidi="ru-RU"/>
          <w:w w:val="100"/>
          <w:spacing w:val="0"/>
          <w:color w:val="000000"/>
          <w:position w:val="0"/>
        </w:rPr>
        <w:t>продолжительностью &gt;0,035-0,04 с. Нижний инфаркт миокарда:</w:t>
      </w:r>
    </w:p>
    <w:p>
      <w:pPr>
        <w:pStyle w:val="Style30"/>
        <w:widowControl w:val="0"/>
        <w:keepNext w:val="0"/>
        <w:keepLines w:val="0"/>
        <w:shd w:val="clear" w:color="auto" w:fill="auto"/>
        <w:bidi w:val="0"/>
        <w:jc w:val="left"/>
        <w:spacing w:before="0" w:after="0" w:line="221" w:lineRule="exact"/>
        <w:ind w:left="280" w:right="0" w:firstLine="0"/>
      </w:pPr>
      <w:r>
        <w:rPr>
          <w:lang w:val="en-US" w:eastAsia="en-US" w:bidi="en-US"/>
          <w:w w:val="100"/>
          <w:spacing w:val="0"/>
          <w:color w:val="000000"/>
          <w:position w:val="0"/>
        </w:rPr>
        <w:t xml:space="preserve">Q </w:t>
      </w:r>
      <w:r>
        <w:rPr>
          <w:lang w:val="ru-RU" w:eastAsia="ru-RU" w:bidi="ru-RU"/>
          <w:w w:val="100"/>
          <w:spacing w:val="0"/>
          <w:color w:val="000000"/>
          <w:position w:val="0"/>
        </w:rPr>
        <w:t xml:space="preserve">II, III и </w:t>
      </w:r>
      <w:r>
        <w:rPr>
          <w:lang w:val="en-US" w:eastAsia="en-US" w:bidi="en-US"/>
          <w:w w:val="100"/>
          <w:spacing w:val="0"/>
          <w:color w:val="000000"/>
          <w:position w:val="0"/>
        </w:rPr>
        <w:t xml:space="preserve">avF </w:t>
      </w:r>
      <w:r>
        <w:rPr>
          <w:lang w:val="ru-RU" w:eastAsia="ru-RU" w:bidi="ru-RU"/>
          <w:w w:val="100"/>
          <w:spacing w:val="0"/>
          <w:color w:val="000000"/>
          <w:position w:val="0"/>
        </w:rPr>
        <w:t>продолжительностью &gt;0,035-0,04 с. Боковой инфаркт миокарда:</w:t>
      </w:r>
    </w:p>
    <w:p>
      <w:pPr>
        <w:pStyle w:val="Style30"/>
        <w:widowControl w:val="0"/>
        <w:keepNext w:val="0"/>
        <w:keepLines w:val="0"/>
        <w:shd w:val="clear" w:color="auto" w:fill="auto"/>
        <w:bidi w:val="0"/>
        <w:jc w:val="left"/>
        <w:spacing w:before="0" w:after="0" w:line="221" w:lineRule="exact"/>
        <w:ind w:left="280" w:right="0" w:firstLine="0"/>
      </w:pPr>
      <w:r>
        <w:rPr>
          <w:lang w:val="en-US" w:eastAsia="en-US" w:bidi="en-US"/>
          <w:w w:val="100"/>
          <w:spacing w:val="0"/>
          <w:color w:val="000000"/>
          <w:position w:val="0"/>
        </w:rPr>
        <w:t xml:space="preserve">Q I, avL </w:t>
      </w:r>
      <w:r>
        <w:rPr>
          <w:lang w:val="ru-RU" w:eastAsia="ru-RU" w:bidi="ru-RU"/>
          <w:w w:val="100"/>
          <w:spacing w:val="0"/>
          <w:color w:val="000000"/>
          <w:position w:val="0"/>
        </w:rPr>
        <w:t>продолжительностью &gt;0,035-0,04 с. Нижнебоковой инфаркт миокарда:</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А. </w:t>
      </w:r>
      <w:r>
        <w:rPr>
          <w:lang w:val="en-US" w:eastAsia="en-US" w:bidi="en-US"/>
          <w:w w:val="100"/>
          <w:spacing w:val="0"/>
          <w:color w:val="000000"/>
          <w:position w:val="0"/>
        </w:rPr>
        <w:t xml:space="preserve">Q II, III, avF </w:t>
      </w:r>
      <w:r>
        <w:rPr>
          <w:lang w:val="ru-RU" w:eastAsia="ru-RU" w:bidi="ru-RU"/>
          <w:w w:val="100"/>
          <w:spacing w:val="0"/>
          <w:color w:val="000000"/>
          <w:position w:val="0"/>
        </w:rPr>
        <w:t>продолжительностью &gt;0,035-0,04 с.</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Б. </w:t>
      </w:r>
      <w:r>
        <w:rPr>
          <w:lang w:val="en-US" w:eastAsia="en-US" w:bidi="en-US"/>
          <w:w w:val="100"/>
          <w:spacing w:val="0"/>
          <w:color w:val="000000"/>
          <w:position w:val="0"/>
        </w:rPr>
        <w:t>Q 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 V6 </w:t>
      </w:r>
      <w:r>
        <w:rPr>
          <w:lang w:val="ru-RU" w:eastAsia="ru-RU" w:bidi="ru-RU"/>
          <w:w w:val="100"/>
          <w:spacing w:val="0"/>
          <w:color w:val="000000"/>
          <w:position w:val="0"/>
        </w:rPr>
        <w:t>продолжительностью &gt;0,035-0,04 с.</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Задний инфаркт миокарда:</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А. </w:t>
      </w:r>
      <w:r>
        <w:rPr>
          <w:lang w:val="en-US" w:eastAsia="en-US" w:bidi="en-US"/>
          <w:w w:val="100"/>
          <w:spacing w:val="0"/>
          <w:color w:val="000000"/>
          <w:position w:val="0"/>
        </w:rPr>
        <w:t>RSR V</w:t>
      </w:r>
      <w:r>
        <w:rPr>
          <w:lang w:val="en-US" w:eastAsia="en-US" w:bidi="en-US"/>
          <w:vertAlign w:val="subscript"/>
          <w:w w:val="100"/>
          <w:spacing w:val="0"/>
          <w:color w:val="000000"/>
          <w:position w:val="0"/>
        </w:rPr>
        <w:t>2</w:t>
      </w:r>
      <w:r>
        <w:rPr>
          <w:lang w:val="en-US" w:eastAsia="en-US" w:bidi="en-US"/>
          <w:w w:val="100"/>
          <w:spacing w:val="0"/>
          <w:color w:val="000000"/>
          <w:position w:val="0"/>
        </w:rPr>
        <w:t>, V</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xml:space="preserve">при продолжительности </w:t>
      </w:r>
      <w:r>
        <w:rPr>
          <w:lang w:val="en-US" w:eastAsia="en-US" w:bidi="en-US"/>
          <w:w w:val="100"/>
          <w:spacing w:val="0"/>
          <w:color w:val="000000"/>
          <w:position w:val="0"/>
        </w:rPr>
        <w:t xml:space="preserve">R </w:t>
      </w:r>
      <w:r>
        <w:rPr>
          <w:lang w:val="ru-RU" w:eastAsia="ru-RU" w:bidi="ru-RU"/>
          <w:w w:val="100"/>
          <w:spacing w:val="0"/>
          <w:color w:val="000000"/>
          <w:position w:val="0"/>
        </w:rPr>
        <w:t>&gt;0,035-0,04 с.</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 xml:space="preserve">Б. </w:t>
      </w:r>
      <w:r>
        <w:rPr>
          <w:lang w:val="en-US" w:eastAsia="en-US" w:bidi="en-US"/>
          <w:w w:val="100"/>
          <w:spacing w:val="0"/>
          <w:color w:val="000000"/>
          <w:position w:val="0"/>
        </w:rPr>
        <w:t>R/S 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&gt; 1,0.</w:t>
      </w:r>
    </w:p>
    <w:p>
      <w:pPr>
        <w:framePr w:h="3686" w:wrap="notBeside" w:vAnchor="text" w:hAnchor="text" w:xAlign="center" w:y="1"/>
        <w:widowControl w:val="0"/>
        <w:jc w:val="center"/>
        <w:rPr>
          <w:sz w:val="2"/>
          <w:szCs w:val="2"/>
        </w:rPr>
      </w:pPr>
      <w:r>
        <w:pict>
          <v:shape id="_x0000_s1532" type="#_x0000_t75" style="width:238pt;height:184pt;">
            <v:imagedata r:id="rId840" r:href="rId841"/>
          </v:shape>
        </w:pict>
      </w:r>
    </w:p>
    <w:p>
      <w:pPr>
        <w:pStyle w:val="Style120"/>
        <w:framePr w:h="3686"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72. </w:t>
      </w:r>
      <w:r>
        <w:rPr>
          <w:lang w:val="ru-RU" w:eastAsia="ru-RU" w:bidi="ru-RU"/>
          <w:w w:val="100"/>
          <w:spacing w:val="0"/>
          <w:color w:val="000000"/>
          <w:position w:val="0"/>
        </w:rPr>
        <w:t>ЭКГ ребенка с аномальным отхождением левой коронар</w:t>
        <w:softHyphen/>
        <w:t>ной артерии от легочной. Картина переднелатерального инфаркта миокарда.</w:t>
      </w:r>
    </w:p>
    <w:p>
      <w:pPr>
        <w:widowControl w:val="0"/>
        <w:rPr>
          <w:sz w:val="2"/>
          <w:szCs w:val="2"/>
        </w:rPr>
      </w:pPr>
    </w:p>
    <w:p>
      <w:pPr>
        <w:pStyle w:val="Style30"/>
        <w:widowControl w:val="0"/>
        <w:keepNext w:val="0"/>
        <w:keepLines w:val="0"/>
        <w:shd w:val="clear" w:color="auto" w:fill="auto"/>
        <w:bidi w:val="0"/>
        <w:spacing w:before="381" w:after="0"/>
        <w:ind w:left="520" w:right="0" w:hanging="240"/>
      </w:pPr>
      <w:r>
        <w:rPr>
          <w:lang w:val="ru-RU" w:eastAsia="ru-RU" w:bidi="ru-RU"/>
          <w:w w:val="100"/>
          <w:spacing w:val="0"/>
          <w:color w:val="000000"/>
          <w:position w:val="0"/>
        </w:rPr>
        <w:t>Инфаркт папиллярных мышц:</w:t>
      </w:r>
    </w:p>
    <w:p>
      <w:pPr>
        <w:pStyle w:val="Style30"/>
        <w:numPr>
          <w:ilvl w:val="0"/>
          <w:numId w:val="10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Появление зубца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отведении </w:t>
      </w:r>
      <w:r>
        <w:rPr>
          <w:lang w:val="en-US" w:eastAsia="en-US" w:bidi="en-US"/>
          <w:w w:val="100"/>
          <w:spacing w:val="0"/>
          <w:color w:val="000000"/>
          <w:position w:val="0"/>
        </w:rPr>
        <w:t>V</w:t>
      </w:r>
      <w:r>
        <w:rPr>
          <w:lang w:val="en-US" w:eastAsia="en-US" w:bidi="en-US"/>
          <w:vertAlign w:val="subscript"/>
          <w:w w:val="100"/>
          <w:spacing w:val="0"/>
          <w:color w:val="000000"/>
          <w:position w:val="0"/>
        </w:rPr>
        <w:t>3</w:t>
      </w:r>
      <w:r>
        <w:rPr>
          <w:lang w:val="en-US" w:eastAsia="en-US" w:bidi="en-US"/>
          <w:w w:val="100"/>
          <w:spacing w:val="0"/>
          <w:color w:val="000000"/>
          <w:position w:val="0"/>
        </w:rPr>
        <w:t>R</w:t>
      </w:r>
    </w:p>
    <w:p>
      <w:pPr>
        <w:pStyle w:val="Style30"/>
        <w:numPr>
          <w:ilvl w:val="0"/>
          <w:numId w:val="105"/>
        </w:numPr>
        <w:tabs>
          <w:tab w:leader="none" w:pos="50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Уменьшение величины зубца </w:t>
      </w:r>
      <w:r>
        <w:rPr>
          <w:lang w:val="en-US" w:eastAsia="en-US" w:bidi="en-US"/>
          <w:w w:val="100"/>
          <w:spacing w:val="0"/>
          <w:color w:val="000000"/>
          <w:position w:val="0"/>
        </w:rPr>
        <w:t xml:space="preserve">R </w:t>
      </w:r>
      <w:r>
        <w:rPr>
          <w:lang w:val="ru-RU" w:eastAsia="ru-RU" w:bidi="ru-RU"/>
          <w:w w:val="100"/>
          <w:spacing w:val="0"/>
          <w:color w:val="000000"/>
          <w:position w:val="0"/>
        </w:rPr>
        <w:t>в правых грудных от</w:t>
        <w:softHyphen/>
        <w:t>ведениях.</w:t>
      </w:r>
    </w:p>
    <w:p>
      <w:pPr>
        <w:pStyle w:val="Style30"/>
        <w:numPr>
          <w:ilvl w:val="0"/>
          <w:numId w:val="105"/>
        </w:numPr>
        <w:tabs>
          <w:tab w:leader="none" w:pos="53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Инверсия зубца Т в </w:t>
      </w:r>
      <w:r>
        <w:rPr>
          <w:lang w:val="en-US" w:eastAsia="en-US" w:bidi="en-US"/>
          <w:w w:val="100"/>
          <w:spacing w:val="0"/>
          <w:color w:val="000000"/>
          <w:position w:val="0"/>
        </w:rPr>
        <w:t xml:space="preserve">III, avF </w:t>
      </w:r>
      <w:r>
        <w:rPr>
          <w:lang w:val="ru-RU" w:eastAsia="ru-RU" w:bidi="ru-RU"/>
          <w:w w:val="100"/>
          <w:spacing w:val="0"/>
          <w:color w:val="000000"/>
          <w:position w:val="0"/>
        </w:rPr>
        <w:t>отведениях.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Характерный пример переднелатерального инфаркта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миокарда у ребенка с аномальным отхождением левой ко</w:t>
        <w:softHyphen/>
        <w:t>ронарной артерии от легочной представлен на рис. 72.</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Электрокардиографические проявления инфаркта мио</w:t>
        <w:softHyphen/>
        <w:t>карда имитируют многие патологические состояния. Ос</w:t>
        <w:softHyphen/>
        <w:t>новными причинами так называемого псевдоинфаркта яв</w:t>
        <w:softHyphen/>
        <w:t>ляются:</w:t>
      </w:r>
    </w:p>
    <w:p>
      <w:pPr>
        <w:pStyle w:val="Style30"/>
        <w:numPr>
          <w:ilvl w:val="0"/>
          <w:numId w:val="99"/>
        </w:numPr>
        <w:tabs>
          <w:tab w:leader="none" w:pos="501"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Гипертрофия левого желудочка с явлениями перена</w:t>
        <w:softHyphen/>
        <w:t xml:space="preserve">пряжения (феномен </w:t>
      </w:r>
      <w:r>
        <w:rPr>
          <w:lang w:val="en-US" w:eastAsia="en-US" w:bidi="en-US"/>
          <w:w w:val="100"/>
          <w:spacing w:val="0"/>
          <w:color w:val="000000"/>
          <w:position w:val="0"/>
        </w:rPr>
        <w:t xml:space="preserve">strain). QRS </w:t>
      </w:r>
      <w:r>
        <w:rPr>
          <w:lang w:val="ru-RU" w:eastAsia="ru-RU" w:bidi="ru-RU"/>
          <w:w w:val="100"/>
          <w:spacing w:val="0"/>
          <w:color w:val="000000"/>
          <w:position w:val="0"/>
        </w:rPr>
        <w:t>форма желудочково</w:t>
        <w:softHyphen/>
        <w:t xml:space="preserve">го комплекса с подъемом сегмента </w:t>
      </w:r>
      <w:r>
        <w:rPr>
          <w:lang w:val="en-US" w:eastAsia="en-US" w:bidi="en-US"/>
          <w:w w:val="100"/>
          <w:spacing w:val="0"/>
          <w:color w:val="000000"/>
          <w:position w:val="0"/>
        </w:rPr>
        <w:t xml:space="preserve">ST </w:t>
      </w:r>
      <w:r>
        <w:rPr>
          <w:lang w:val="ru-RU" w:eastAsia="ru-RU" w:bidi="ru-RU"/>
          <w:w w:val="100"/>
          <w:spacing w:val="0"/>
          <w:color w:val="000000"/>
          <w:position w:val="0"/>
        </w:rPr>
        <w:t xml:space="preserve">в отведении 1 в сочетании со снижением сегмента </w:t>
      </w:r>
      <w:r>
        <w:rPr>
          <w:lang w:val="en-US" w:eastAsia="en-US" w:bidi="en-US"/>
          <w:w w:val="100"/>
          <w:spacing w:val="0"/>
          <w:color w:val="000000"/>
          <w:position w:val="0"/>
        </w:rPr>
        <w:t xml:space="preserve">ST </w:t>
      </w:r>
      <w:r>
        <w:rPr>
          <w:lang w:val="ru-RU" w:eastAsia="ru-RU" w:bidi="ru-RU"/>
          <w:w w:val="100"/>
          <w:spacing w:val="0"/>
          <w:color w:val="000000"/>
          <w:position w:val="0"/>
        </w:rPr>
        <w:t xml:space="preserve">и зубца Т в отведении </w:t>
      </w:r>
      <w:r>
        <w:rPr>
          <w:lang w:val="en-US" w:eastAsia="en-US" w:bidi="en-US"/>
          <w:w w:val="100"/>
          <w:spacing w:val="0"/>
          <w:color w:val="000000"/>
          <w:position w:val="0"/>
        </w:rPr>
        <w:t>V6.</w:t>
      </w:r>
    </w:p>
    <w:p>
      <w:pPr>
        <w:pStyle w:val="Style30"/>
        <w:numPr>
          <w:ilvl w:val="0"/>
          <w:numId w:val="99"/>
        </w:numPr>
        <w:tabs>
          <w:tab w:leader="none" w:pos="501"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Гипертрофия правого желудочка. </w:t>
      </w:r>
      <w:r>
        <w:rPr>
          <w:lang w:val="en-US" w:eastAsia="en-US" w:bidi="en-US"/>
          <w:w w:val="100"/>
          <w:spacing w:val="0"/>
          <w:color w:val="000000"/>
          <w:position w:val="0"/>
        </w:rPr>
        <w:t xml:space="preserve">QR </w:t>
      </w:r>
      <w:r>
        <w:rPr>
          <w:lang w:val="ru-RU" w:eastAsia="ru-RU" w:bidi="ru-RU"/>
          <w:w w:val="100"/>
          <w:spacing w:val="0"/>
          <w:color w:val="000000"/>
          <w:position w:val="0"/>
        </w:rPr>
        <w:t xml:space="preserve">форма желудоч - кового комплекса в отведении </w:t>
      </w:r>
      <w:r>
        <w:rPr>
          <w:lang w:val="en-US" w:eastAsia="en-US" w:bidi="en-US"/>
          <w:w w:val="100"/>
          <w:spacing w:val="0"/>
          <w:color w:val="000000"/>
          <w:position w:val="0"/>
        </w:rPr>
        <w:t>V</w:t>
      </w:r>
      <w:r>
        <w:rPr>
          <w:rStyle w:val="CharStyle32"/>
          <w:lang w:val="en-US" w:eastAsia="en-US" w:bidi="en-US"/>
        </w:rPr>
        <w:t>1</w:t>
      </w:r>
      <w:r>
        <w:rPr>
          <w:lang w:val="en-US" w:eastAsia="en-US" w:bidi="en-US"/>
          <w:w w:val="100"/>
          <w:spacing w:val="0"/>
          <w:color w:val="000000"/>
          <w:position w:val="0"/>
        </w:rPr>
        <w:t xml:space="preserve"> </w:t>
      </w:r>
      <w:r>
        <w:rPr>
          <w:lang w:val="ru-RU" w:eastAsia="ru-RU" w:bidi="ru-RU"/>
          <w:w w:val="100"/>
          <w:spacing w:val="0"/>
          <w:color w:val="000000"/>
          <w:position w:val="0"/>
        </w:rPr>
        <w:t>и инверсия зубца Т.</w:t>
      </w:r>
    </w:p>
    <w:p>
      <w:pPr>
        <w:pStyle w:val="Style30"/>
        <w:numPr>
          <w:ilvl w:val="0"/>
          <w:numId w:val="99"/>
        </w:numPr>
        <w:tabs>
          <w:tab w:leader="none" w:pos="501" w:val="left"/>
        </w:tabs>
        <w:widowControl w:val="0"/>
        <w:keepNext w:val="0"/>
        <w:keepLines w:val="0"/>
        <w:shd w:val="clear" w:color="auto" w:fill="auto"/>
        <w:bidi w:val="0"/>
        <w:spacing w:before="0" w:after="0" w:line="221" w:lineRule="exact"/>
        <w:ind w:left="520" w:right="0" w:hanging="240"/>
      </w:pPr>
      <w:r>
        <w:rPr>
          <w:lang w:val="ru-RU" w:eastAsia="ru-RU" w:bidi="ru-RU"/>
          <w:w w:val="100"/>
          <w:spacing w:val="0"/>
          <w:color w:val="000000"/>
          <w:position w:val="0"/>
        </w:rPr>
        <w:t>Корригированная транспозиция магистральных со</w:t>
        <w:softHyphen/>
        <w:t xml:space="preserve">судов (инверсия желудочков). Зубец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отведении </w:t>
      </w:r>
      <w:r>
        <w:rPr>
          <w:lang w:val="en-US" w:eastAsia="en-US" w:bidi="en-US"/>
          <w:w w:val="100"/>
          <w:spacing w:val="0"/>
          <w:color w:val="000000"/>
          <w:position w:val="0"/>
        </w:rPr>
        <w:t>V</w:t>
      </w:r>
      <w:r>
        <w:rPr>
          <w:lang w:val="en-US" w:eastAsia="en-US" w:bidi="en-US"/>
          <w:vertAlign w:val="subscript"/>
          <w:w w:val="100"/>
          <w:spacing w:val="0"/>
          <w:color w:val="000000"/>
          <w:position w:val="0"/>
        </w:rPr>
        <w:t xml:space="preserve">1 </w:t>
      </w:r>
      <w:r>
        <w:rPr>
          <w:lang w:val="ru-RU" w:eastAsia="ru-RU" w:bidi="ru-RU"/>
          <w:w w:val="100"/>
          <w:spacing w:val="0"/>
          <w:color w:val="000000"/>
          <w:position w:val="0"/>
        </w:rPr>
        <w:t xml:space="preserve">и его отсутствие в отведении </w:t>
      </w:r>
      <w:r>
        <w:rPr>
          <w:lang w:val="en-US" w:eastAsia="en-US" w:bidi="en-US"/>
          <w:w w:val="100"/>
          <w:spacing w:val="0"/>
          <w:color w:val="000000"/>
          <w:position w:val="0"/>
        </w:rPr>
        <w:t>V6.</w:t>
      </w:r>
    </w:p>
    <w:p>
      <w:pPr>
        <w:pStyle w:val="Style30"/>
        <w:numPr>
          <w:ilvl w:val="0"/>
          <w:numId w:val="99"/>
        </w:numPr>
        <w:tabs>
          <w:tab w:leader="none" w:pos="501"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Гипертрофическая кардиомиопатия. Глубокий зубец </w:t>
      </w:r>
      <w:r>
        <w:rPr>
          <w:lang w:val="en-US" w:eastAsia="en-US" w:bidi="en-US"/>
          <w:w w:val="100"/>
          <w:spacing w:val="0"/>
          <w:color w:val="000000"/>
          <w:position w:val="0"/>
        </w:rPr>
        <w:t xml:space="preserve">Q </w:t>
      </w:r>
      <w:r>
        <w:rPr>
          <w:lang w:val="ru-RU" w:eastAsia="ru-RU" w:bidi="ru-RU"/>
          <w:w w:val="100"/>
          <w:spacing w:val="0"/>
          <w:color w:val="000000"/>
          <w:position w:val="0"/>
        </w:rPr>
        <w:t>в левых грудных отведениях.</w:t>
      </w:r>
    </w:p>
    <w:p>
      <w:pPr>
        <w:pStyle w:val="Style30"/>
        <w:numPr>
          <w:ilvl w:val="0"/>
          <w:numId w:val="99"/>
        </w:numPr>
        <w:tabs>
          <w:tab w:leader="none" w:pos="501"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Феномен Вольфа-Паркинсона-Уайта </w:t>
      </w:r>
      <w:r>
        <w:rPr>
          <w:lang w:val="en-US" w:eastAsia="en-US" w:bidi="en-US"/>
          <w:w w:val="100"/>
          <w:spacing w:val="0"/>
          <w:color w:val="000000"/>
          <w:position w:val="0"/>
        </w:rPr>
        <w:t xml:space="preserve">(WPW). </w:t>
      </w:r>
      <w:r>
        <w:rPr>
          <w:lang w:val="ru-RU" w:eastAsia="ru-RU" w:bidi="ru-RU"/>
          <w:w w:val="100"/>
          <w:spacing w:val="0"/>
          <w:color w:val="000000"/>
          <w:position w:val="0"/>
        </w:rPr>
        <w:t>Пато</w:t>
        <w:softHyphen/>
        <w:t xml:space="preserve">логический зубец </w:t>
      </w:r>
      <w:r>
        <w:rPr>
          <w:lang w:val="en-US" w:eastAsia="en-US" w:bidi="en-US"/>
          <w:w w:val="100"/>
          <w:spacing w:val="0"/>
          <w:color w:val="000000"/>
          <w:position w:val="0"/>
        </w:rPr>
        <w:t xml:space="preserve">Q </w:t>
      </w:r>
      <w:r>
        <w:rPr>
          <w:lang w:val="ru-RU" w:eastAsia="ru-RU" w:bidi="ru-RU"/>
          <w:w w:val="100"/>
          <w:spacing w:val="0"/>
          <w:color w:val="000000"/>
          <w:position w:val="0"/>
        </w:rPr>
        <w:t>с дельта-волной.</w:t>
      </w:r>
    </w:p>
    <w:p>
      <w:pPr>
        <w:pStyle w:val="Style30"/>
        <w:numPr>
          <w:ilvl w:val="0"/>
          <w:numId w:val="99"/>
        </w:numPr>
        <w:tabs>
          <w:tab w:leader="none" w:pos="501"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Блокада левой передней ветви пучка Гиса. Глубокий зубец </w:t>
      </w:r>
      <w:r>
        <w:rPr>
          <w:lang w:val="en-US" w:eastAsia="en-US" w:bidi="en-US"/>
          <w:w w:val="100"/>
          <w:spacing w:val="0"/>
          <w:color w:val="000000"/>
          <w:position w:val="0"/>
        </w:rPr>
        <w:t xml:space="preserve">Q </w:t>
      </w:r>
      <w:r>
        <w:rPr>
          <w:lang w:val="ru-RU" w:eastAsia="ru-RU" w:bidi="ru-RU"/>
          <w:w w:val="100"/>
          <w:spacing w:val="0"/>
          <w:color w:val="000000"/>
          <w:position w:val="0"/>
        </w:rPr>
        <w:t>в левых грудных отведениях, патологическое отклонение электрической оси сердца влево.</w:t>
      </w:r>
    </w:p>
    <w:p>
      <w:pPr>
        <w:pStyle w:val="Style30"/>
        <w:numPr>
          <w:ilvl w:val="0"/>
          <w:numId w:val="99"/>
        </w:numPr>
        <w:tabs>
          <w:tab w:leader="none" w:pos="501"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Внутричерепное (субарахноидальное) кровоизлия</w:t>
        <w:softHyphen/>
        <w:t xml:space="preserve">ние. </w:t>
      </w:r>
      <w:r>
        <w:rPr>
          <w:lang w:val="en-US" w:eastAsia="en-US" w:bidi="en-US"/>
          <w:w w:val="100"/>
          <w:spacing w:val="0"/>
          <w:color w:val="000000"/>
          <w:position w:val="0"/>
        </w:rPr>
        <w:t>QS V</w:t>
      </w:r>
      <w:r>
        <w:rPr>
          <w:lang w:val="en-US" w:eastAsia="en-US" w:bidi="en-US"/>
          <w:vertAlign w:val="subscript"/>
          <w:w w:val="100"/>
          <w:spacing w:val="0"/>
          <w:color w:val="000000"/>
          <w:position w:val="0"/>
        </w:rPr>
        <w:t>1</w:t>
      </w:r>
      <w:r>
        <w:rPr>
          <w:lang w:val="en-US" w:eastAsia="en-US" w:bidi="en-US"/>
          <w:w w:val="100"/>
          <w:spacing w:val="0"/>
          <w:color w:val="000000"/>
          <w:position w:val="0"/>
        </w:rPr>
        <w:t>-V</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xml:space="preserve">изменения сегмента </w:t>
      </w:r>
      <w:r>
        <w:rPr>
          <w:lang w:val="en-US" w:eastAsia="en-US" w:bidi="en-US"/>
          <w:w w:val="100"/>
          <w:spacing w:val="0"/>
          <w:color w:val="000000"/>
          <w:position w:val="0"/>
        </w:rPr>
        <w:t xml:space="preserve">ST </w:t>
      </w:r>
      <w:r>
        <w:rPr>
          <w:lang w:val="ru-RU" w:eastAsia="ru-RU" w:bidi="ru-RU"/>
          <w:w w:val="100"/>
          <w:spacing w:val="0"/>
          <w:color w:val="000000"/>
          <w:position w:val="0"/>
        </w:rPr>
        <w:t xml:space="preserve">(подъем или опущение), удлинение интервала </w:t>
      </w:r>
      <w:r>
        <w:rPr>
          <w:lang w:val="en-US" w:eastAsia="en-US" w:bidi="en-US"/>
          <w:w w:val="100"/>
          <w:spacing w:val="0"/>
          <w:color w:val="000000"/>
          <w:position w:val="0"/>
        </w:rPr>
        <w:t>QT.</w:t>
      </w:r>
    </w:p>
    <w:p>
      <w:pPr>
        <w:pStyle w:val="Style30"/>
        <w:numPr>
          <w:ilvl w:val="0"/>
          <w:numId w:val="99"/>
        </w:numPr>
        <w:tabs>
          <w:tab w:leader="none" w:pos="501"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Перикардиты. Подъем сегмента </w:t>
      </w:r>
      <w:r>
        <w:rPr>
          <w:lang w:val="en-US" w:eastAsia="en-US" w:bidi="en-US"/>
          <w:w w:val="100"/>
          <w:spacing w:val="0"/>
          <w:color w:val="000000"/>
          <w:position w:val="0"/>
        </w:rPr>
        <w:t xml:space="preserve">ST </w:t>
      </w:r>
      <w:r>
        <w:rPr>
          <w:lang w:val="ru-RU" w:eastAsia="ru-RU" w:bidi="ru-RU"/>
          <w:w w:val="100"/>
          <w:spacing w:val="0"/>
          <w:color w:val="000000"/>
          <w:position w:val="0"/>
        </w:rPr>
        <w:t xml:space="preserve">в </w:t>
      </w:r>
      <w:r>
        <w:rPr>
          <w:lang w:val="en-US" w:eastAsia="en-US" w:bidi="en-US"/>
          <w:w w:val="100"/>
          <w:spacing w:val="0"/>
          <w:color w:val="000000"/>
          <w:position w:val="0"/>
        </w:rPr>
        <w:t>aVR, V</w:t>
      </w:r>
      <w:r>
        <w:rPr>
          <w:rStyle w:val="CharStyle32"/>
          <w:lang w:val="en-US" w:eastAsia="en-US" w:bidi="en-US"/>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или </w:t>
      </w:r>
      <w:r>
        <w:rPr>
          <w:lang w:val="en-US" w:eastAsia="en-US" w:bidi="en-US"/>
          <w:w w:val="100"/>
          <w:spacing w:val="0"/>
          <w:color w:val="000000"/>
          <w:position w:val="0"/>
        </w:rPr>
        <w:t>III.</w:t>
      </w:r>
    </w:p>
    <w:p>
      <w:pPr>
        <w:pStyle w:val="Style30"/>
        <w:numPr>
          <w:ilvl w:val="0"/>
          <w:numId w:val="99"/>
        </w:numPr>
        <w:tabs>
          <w:tab w:leader="none" w:pos="501" w:val="left"/>
        </w:tabs>
        <w:widowControl w:val="0"/>
        <w:keepNext w:val="0"/>
        <w:keepLines w:val="0"/>
        <w:shd w:val="clear" w:color="auto" w:fill="auto"/>
        <w:bidi w:val="0"/>
        <w:spacing w:before="0" w:after="0" w:line="180" w:lineRule="exact"/>
        <w:ind w:left="520" w:right="0" w:hanging="240"/>
      </w:pPr>
      <w:r>
        <w:rPr>
          <w:lang w:val="ru-RU" w:eastAsia="ru-RU" w:bidi="ru-RU"/>
          <w:w w:val="100"/>
          <w:spacing w:val="0"/>
          <w:color w:val="000000"/>
          <w:position w:val="0"/>
        </w:rPr>
        <w:t xml:space="preserve">Легочное сердце.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III, </w:t>
      </w:r>
      <w:r>
        <w:rPr>
          <w:lang w:val="en-US" w:eastAsia="en-US" w:bidi="en-US"/>
          <w:w w:val="100"/>
          <w:spacing w:val="0"/>
          <w:color w:val="000000"/>
          <w:position w:val="0"/>
        </w:rPr>
        <w:t>aVF, 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небольшой зубец </w:t>
      </w:r>
      <w:r>
        <w:rPr>
          <w:lang w:val="en-US" w:eastAsia="en-US" w:bidi="en-US"/>
          <w:w w:val="100"/>
          <w:spacing w:val="0"/>
          <w:color w:val="000000"/>
          <w:position w:val="0"/>
        </w:rPr>
        <w:t>R.</w:t>
      </w:r>
    </w:p>
    <w:p>
      <w:pPr>
        <w:pStyle w:val="Style30"/>
        <w:numPr>
          <w:ilvl w:val="0"/>
          <w:numId w:val="99"/>
        </w:numPr>
        <w:tabs>
          <w:tab w:leader="none" w:pos="501"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Гиперкалиемия. Подъем сегмента </w:t>
      </w:r>
      <w:r>
        <w:rPr>
          <w:lang w:val="en-US" w:eastAsia="en-US" w:bidi="en-US"/>
          <w:w w:val="100"/>
          <w:spacing w:val="0"/>
          <w:color w:val="000000"/>
          <w:position w:val="0"/>
        </w:rPr>
        <w:t xml:space="preserve">ST </w:t>
      </w:r>
      <w:r>
        <w:rPr>
          <w:lang w:val="ru-RU" w:eastAsia="ru-RU" w:bidi="ru-RU"/>
          <w:w w:val="100"/>
          <w:spacing w:val="0"/>
          <w:color w:val="000000"/>
          <w:position w:val="0"/>
        </w:rPr>
        <w:t>в правых груд</w:t>
        <w:softHyphen/>
        <w:t>ных отведениях.</w:t>
      </w:r>
    </w:p>
    <w:p>
      <w:pPr>
        <w:pStyle w:val="Style30"/>
        <w:numPr>
          <w:ilvl w:val="0"/>
          <w:numId w:val="99"/>
        </w:numPr>
        <w:tabs>
          <w:tab w:leader="none" w:pos="501" w:val="left"/>
        </w:tabs>
        <w:widowControl w:val="0"/>
        <w:keepNext w:val="0"/>
        <w:keepLines w:val="0"/>
        <w:shd w:val="clear" w:color="auto" w:fill="auto"/>
        <w:bidi w:val="0"/>
        <w:jc w:val="left"/>
        <w:spacing w:before="0" w:after="0"/>
        <w:ind w:left="520" w:right="0" w:hanging="240"/>
      </w:pPr>
      <w:r>
        <w:pict>
          <v:shape id="_x0000_s1533" type="#_x0000_t75" style="position:absolute;margin-left:148.2pt;margin-top:736.8pt;width:209.75pt;height:14.9pt;z-index:-125829038;mso-wrap-distance-left:148.1pt;mso-wrap-distance-right:136.55pt;mso-wrap-distance-bottom:10.8pt;mso-position-horizontal-relative:margin;mso-position-vertical-relative:margin" wrapcoords="0 0 21600 0 21600 21600 0 21600 0 0">
            <v:imagedata r:id="rId842" r:href="rId843"/>
            <w10:wrap type="topAndBottom" anchorx="margin" anchory="margin"/>
          </v:shape>
        </w:pict>
      </w:r>
      <w:r>
        <w:rPr>
          <w:lang w:val="ru-RU" w:eastAsia="ru-RU" w:bidi="ru-RU"/>
          <w:w w:val="100"/>
          <w:spacing w:val="0"/>
          <w:color w:val="000000"/>
          <w:position w:val="0"/>
        </w:rPr>
        <w:t>Острые экстракардиальные повреждения (эмболия легких, пневмония, панкреатит). Появление зубца</w:t>
      </w:r>
      <w:r>
        <w:br w:type="page"/>
      </w:r>
    </w:p>
    <w:p>
      <w:pPr>
        <w:framePr w:w="4757" w:h="3802" w:hSpace="53" w:wrap="notBeside" w:vAnchor="text" w:hAnchor="text" w:x="116" w:y="1"/>
        <w:widowControl w:val="0"/>
        <w:rPr>
          <w:sz w:val="2"/>
          <w:szCs w:val="2"/>
        </w:rPr>
      </w:pPr>
      <w:r>
        <w:pict>
          <v:shape id="_x0000_s1534" type="#_x0000_t75" style="width:238pt;height:190pt;">
            <v:imagedata r:id="rId844" r:href="rId845"/>
          </v:shape>
        </w:pict>
      </w:r>
    </w:p>
    <w:p>
      <w:pPr>
        <w:pStyle w:val="Style120"/>
        <w:framePr w:w="4829" w:h="441" w:hSpace="53" w:wrap="notBeside" w:vAnchor="text" w:hAnchor="text" w:x="54" w:y="4129"/>
        <w:widowControl w:val="0"/>
        <w:keepNext w:val="0"/>
        <w:keepLines w:val="0"/>
        <w:shd w:val="clear" w:color="auto" w:fill="auto"/>
        <w:bidi w:val="0"/>
        <w:spacing w:before="0" w:after="0"/>
        <w:ind w:left="0" w:right="0" w:firstLine="0"/>
      </w:pPr>
      <w:r>
        <w:rPr>
          <w:rStyle w:val="CharStyle125"/>
        </w:rPr>
        <w:t xml:space="preserve">Рис. 73. </w:t>
      </w:r>
      <w:r>
        <w:rPr>
          <w:lang w:val="ru-RU" w:eastAsia="ru-RU" w:bidi="ru-RU"/>
          <w:w w:val="100"/>
          <w:spacing w:val="0"/>
          <w:color w:val="000000"/>
          <w:position w:val="0"/>
        </w:rPr>
        <w:t>ЭКГ при болезни Ленегра. Картина, имитирующая пере</w:t>
        <w:softHyphen/>
        <w:t>днесептальный инфаркт миокарда.</w:t>
      </w:r>
    </w:p>
    <w:p>
      <w:pPr>
        <w:widowControl w:val="0"/>
        <w:rPr>
          <w:sz w:val="2"/>
          <w:szCs w:val="2"/>
        </w:rPr>
      </w:pPr>
    </w:p>
    <w:p>
      <w:pPr>
        <w:pStyle w:val="Style30"/>
        <w:widowControl w:val="0"/>
        <w:keepNext w:val="0"/>
        <w:keepLines w:val="0"/>
        <w:shd w:val="clear" w:color="auto" w:fill="auto"/>
        <w:bidi w:val="0"/>
        <w:spacing w:before="741" w:after="0"/>
        <w:ind w:left="520" w:right="0" w:firstLine="0"/>
      </w:pPr>
      <w:r>
        <w:rPr>
          <w:lang w:val="en-US" w:eastAsia="en-US" w:bidi="en-US"/>
          <w:w w:val="100"/>
          <w:spacing w:val="0"/>
          <w:color w:val="000000"/>
          <w:position w:val="0"/>
        </w:rPr>
        <w:t xml:space="preserve">Q </w:t>
      </w:r>
      <w:r>
        <w:rPr>
          <w:lang w:val="ru-RU" w:eastAsia="ru-RU" w:bidi="ru-RU"/>
          <w:w w:val="100"/>
          <w:spacing w:val="0"/>
          <w:color w:val="000000"/>
          <w:position w:val="0"/>
        </w:rPr>
        <w:t xml:space="preserve">в III, </w:t>
      </w:r>
      <w:r>
        <w:rPr>
          <w:lang w:val="en-US" w:eastAsia="en-US" w:bidi="en-US"/>
          <w:w w:val="100"/>
          <w:spacing w:val="0"/>
          <w:color w:val="000000"/>
          <w:position w:val="0"/>
        </w:rPr>
        <w:t xml:space="preserve">aVF </w:t>
      </w:r>
      <w:r>
        <w:rPr>
          <w:lang w:val="ru-RU" w:eastAsia="ru-RU" w:bidi="ru-RU"/>
          <w:w w:val="100"/>
          <w:spacing w:val="0"/>
          <w:color w:val="000000"/>
          <w:position w:val="0"/>
        </w:rPr>
        <w:t xml:space="preserve">отведениях и изменение сегмента </w:t>
      </w:r>
      <w:r>
        <w:rPr>
          <w:lang w:val="en-US" w:eastAsia="en-US" w:bidi="en-US"/>
          <w:w w:val="100"/>
          <w:spacing w:val="0"/>
          <w:color w:val="000000"/>
          <w:position w:val="0"/>
        </w:rPr>
        <w:t xml:space="preserve">ST, </w:t>
      </w:r>
      <w:r>
        <w:rPr>
          <w:lang w:val="ru-RU" w:eastAsia="ru-RU" w:bidi="ru-RU"/>
          <w:w w:val="100"/>
          <w:spacing w:val="0"/>
          <w:color w:val="000000"/>
          <w:position w:val="0"/>
        </w:rPr>
        <w:t>обычно связанные с острой правожелудочковой недо</w:t>
        <w:softHyphen/>
        <w:t>статочностью или ротацией сердца по часовой стрелке.</w:t>
      </w:r>
    </w:p>
    <w:p>
      <w:pPr>
        <w:pStyle w:val="Style30"/>
        <w:numPr>
          <w:ilvl w:val="0"/>
          <w:numId w:val="9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Замещение миокарда нефункционирующей тканью (амилоидоз, опухоль сердца, атаксия Фридрейха, мы</w:t>
        <w:softHyphen/>
        <w:t>шечные дистрофии, миокардиты).</w:t>
      </w:r>
    </w:p>
    <w:p>
      <w:pPr>
        <w:pStyle w:val="Style30"/>
        <w:numPr>
          <w:ilvl w:val="0"/>
          <w:numId w:val="9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Пролапс митрального клапана. Изменения сегмента </w:t>
      </w:r>
      <w:r>
        <w:rPr>
          <w:lang w:val="en-US" w:eastAsia="en-US" w:bidi="en-US"/>
          <w:w w:val="100"/>
          <w:spacing w:val="0"/>
          <w:color w:val="000000"/>
          <w:position w:val="0"/>
        </w:rPr>
        <w:t xml:space="preserve">ST </w:t>
      </w:r>
      <w:r>
        <w:rPr>
          <w:lang w:val="ru-RU" w:eastAsia="ru-RU" w:bidi="ru-RU"/>
          <w:w w:val="100"/>
          <w:spacing w:val="0"/>
          <w:color w:val="000000"/>
          <w:position w:val="0"/>
        </w:rPr>
        <w:t xml:space="preserve">и зубца Т, иногда появление позиционного </w:t>
      </w:r>
      <w:r>
        <w:rPr>
          <w:lang w:val="en-US" w:eastAsia="en-US" w:bidi="en-US"/>
          <w:w w:val="100"/>
          <w:spacing w:val="0"/>
          <w:color w:val="000000"/>
          <w:position w:val="0"/>
        </w:rPr>
        <w:t xml:space="preserve">Q, </w:t>
      </w:r>
      <w:r>
        <w:rPr>
          <w:lang w:val="ru-RU" w:eastAsia="ru-RU" w:bidi="ru-RU"/>
          <w:w w:val="100"/>
          <w:spacing w:val="0"/>
          <w:color w:val="000000"/>
          <w:position w:val="0"/>
        </w:rPr>
        <w:t>свя</w:t>
        <w:softHyphen/>
        <w:t>занные с симпатическим дисбалансом.</w:t>
      </w:r>
    </w:p>
    <w:p>
      <w:pPr>
        <w:pStyle w:val="Style30"/>
        <w:numPr>
          <w:ilvl w:val="0"/>
          <w:numId w:val="9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Блокада правой ножки пучка Гиса (болезнь Ленегра). </w:t>
      </w:r>
      <w:r>
        <w:rPr>
          <w:lang w:val="en-US" w:eastAsia="en-US" w:bidi="en-US"/>
          <w:w w:val="100"/>
          <w:spacing w:val="0"/>
          <w:color w:val="000000"/>
          <w:position w:val="0"/>
        </w:rPr>
        <w:t xml:space="preserve">QR </w:t>
      </w:r>
      <w:r>
        <w:rPr>
          <w:lang w:val="ru-RU" w:eastAsia="ru-RU" w:bidi="ru-RU"/>
          <w:w w:val="100"/>
          <w:spacing w:val="0"/>
          <w:color w:val="000000"/>
          <w:position w:val="0"/>
        </w:rPr>
        <w:t xml:space="preserve">форма в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с подъемом сегмента </w:t>
      </w:r>
      <w:r>
        <w:rPr>
          <w:lang w:val="en-US" w:eastAsia="en-US" w:bidi="en-US"/>
          <w:w w:val="100"/>
          <w:spacing w:val="0"/>
          <w:color w:val="000000"/>
          <w:position w:val="0"/>
        </w:rPr>
        <w:t>ST</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На электрокардиограмме представлена характерная кар</w:t>
        <w:softHyphen/>
        <w:t>тина, имитирующая инфаркт миокарда при болезни Ленег</w:t>
        <w:softHyphen/>
        <w:t>ра (рис. 73).</w:t>
      </w:r>
    </w:p>
    <w:p>
      <w:pPr>
        <w:pStyle w:val="Style92"/>
        <w:widowControl w:val="0"/>
        <w:keepNext/>
        <w:keepLines/>
        <w:shd w:val="clear" w:color="auto" w:fill="auto"/>
        <w:bidi w:val="0"/>
        <w:spacing w:before="0" w:after="0"/>
        <w:ind w:left="0" w:right="0" w:firstLine="280"/>
      </w:pPr>
      <w:bookmarkStart w:id="527" w:name="bookmark527"/>
      <w:r>
        <w:rPr>
          <w:lang w:val="ru-RU" w:eastAsia="ru-RU" w:bidi="ru-RU"/>
          <w:w w:val="100"/>
          <w:spacing w:val="0"/>
          <w:color w:val="000000"/>
          <w:position w:val="0"/>
        </w:rPr>
        <w:t>Лабораторная диагностика</w:t>
      </w:r>
      <w:bookmarkEnd w:id="52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Общий анализ крови:</w:t>
      </w:r>
    </w:p>
    <w:p>
      <w:pPr>
        <w:pStyle w:val="Style30"/>
        <w:numPr>
          <w:ilvl w:val="0"/>
          <w:numId w:val="9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Ускорение СОЭ:</w:t>
      </w:r>
    </w:p>
    <w:p>
      <w:pPr>
        <w:pStyle w:val="Style30"/>
        <w:numPr>
          <w:ilvl w:val="0"/>
          <w:numId w:val="10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 общем анализе крови на 2-3 день инфаркта про</w:t>
        <w:softHyphen/>
        <w:t>исходит значительное увеличение СОЭ с пиком на 4-5 день;</w:t>
      </w:r>
    </w:p>
    <w:p>
      <w:pPr>
        <w:pStyle w:val="Style30"/>
        <w:numPr>
          <w:ilvl w:val="0"/>
          <w:numId w:val="10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ускоренное СОЭ сохраняется несколько недель;</w:t>
      </w:r>
    </w:p>
    <w:p>
      <w:pPr>
        <w:pStyle w:val="Style30"/>
        <w:numPr>
          <w:ilvl w:val="0"/>
          <w:numId w:val="10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причина ускоренного оседания эритроцитов свя</w:t>
        <w:softHyphen/>
        <w:t>зана с увеличением в плазме альфа-2-глобулинов и фибриногена.</w:t>
      </w:r>
    </w:p>
    <w:p>
      <w:pPr>
        <w:pStyle w:val="Style30"/>
        <w:numPr>
          <w:ilvl w:val="0"/>
          <w:numId w:val="9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Лейкоцитоз:</w:t>
      </w:r>
    </w:p>
    <w:p>
      <w:pPr>
        <w:pStyle w:val="Style30"/>
        <w:numPr>
          <w:ilvl w:val="0"/>
          <w:numId w:val="10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 первые дни инфаркта миокарда развивается лей</w:t>
        <w:softHyphen/>
        <w:t>коцитоз, вторичный к образованию тканевого нек</w:t>
        <w:softHyphen/>
        <w:t>роза и адреналовой глюкокортикоидной активации;</w:t>
      </w:r>
    </w:p>
    <w:p>
      <w:pPr>
        <w:pStyle w:val="Style30"/>
        <w:numPr>
          <w:ilvl w:val="0"/>
          <w:numId w:val="10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пик лейкоцитоза наблюдается на 2-4 день от нача</w:t>
        <w:softHyphen/>
        <w:t>ла инфаркта.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Биохимический анализ крови:</w:t>
      </w:r>
    </w:p>
    <w:p>
      <w:pPr>
        <w:pStyle w:val="Style30"/>
        <w:numPr>
          <w:ilvl w:val="0"/>
          <w:numId w:val="99"/>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Гипергликемия, сменяющаяся гипогликемией:</w:t>
      </w:r>
    </w:p>
    <w:p>
      <w:pPr>
        <w:pStyle w:val="Style30"/>
        <w:numPr>
          <w:ilvl w:val="0"/>
          <w:numId w:val="10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возникновение гипергликемии обусловлено вы</w:t>
        <w:softHyphen/>
        <w:t>бросом в циркуляторное русло катехоламинов;</w:t>
      </w:r>
    </w:p>
    <w:p>
      <w:pPr>
        <w:pStyle w:val="Style30"/>
        <w:numPr>
          <w:ilvl w:val="0"/>
          <w:numId w:val="101"/>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 дальнейшем, особенно у новорожденных, из-за деплеции гликогена развивается гипогликемия;</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br w:type="column"/>
      </w:r>
      <w:r>
        <w:rPr>
          <w:lang w:val="ru-RU" w:eastAsia="ru-RU" w:bidi="ru-RU"/>
          <w:w w:val="100"/>
          <w:spacing w:val="0"/>
          <w:color w:val="000000"/>
          <w:position w:val="0"/>
        </w:rPr>
        <w:t>гипогликемия приводит к возникновению ткане</w:t>
        <w:softHyphen/>
        <w:t>вого ацидоза, увеличению рСО</w:t>
      </w:r>
      <w:r>
        <w:rPr>
          <w:rStyle w:val="CharStyle32"/>
        </w:rPr>
        <w:t>2</w:t>
      </w:r>
      <w:r>
        <w:rPr>
          <w:lang w:val="ru-RU" w:eastAsia="ru-RU" w:bidi="ru-RU"/>
          <w:w w:val="100"/>
          <w:spacing w:val="0"/>
          <w:color w:val="000000"/>
          <w:position w:val="0"/>
        </w:rPr>
        <w:t>, бикарбонатов и Са в крови.</w:t>
      </w:r>
    </w:p>
    <w:p>
      <w:pPr>
        <w:pStyle w:val="Style30"/>
        <w:numPr>
          <w:ilvl w:val="0"/>
          <w:numId w:val="99"/>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Гиперлипидемия:</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 острую фазу инфаркта миокарда может происхо - дить увеличение липидов плазмы крови;</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гиперлипидемия ассоциируется с плохим прогно</w:t>
        <w:softHyphen/>
        <w:t>зом. Это связано с тем, что аккумулируемые триг</w:t>
        <w:softHyphen/>
        <w:t>лицериды миокардиальными клетками способ</w:t>
        <w:softHyphen/>
        <w:t>ствуют увеличению формированию фиброзных тканей.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Кардиальные ферменты:</w:t>
      </w:r>
    </w:p>
    <w:p>
      <w:pPr>
        <w:pStyle w:val="Style30"/>
        <w:numPr>
          <w:ilvl w:val="0"/>
          <w:numId w:val="99"/>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Увеличение в плазме крови сердечных энзимов:</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миокардиальной фракции креатининкиназы, пик ферментемии в первые сутки с момента инфаркта, нормализация на 3-4 сутки;</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глютамат оксалоацетат трансферазы, пик фермен- темии на вторые сутки с момента инфаркта, нор</w:t>
        <w:softHyphen/>
        <w:t>мализация на 6-7 сутки;</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лактатдегидрогеназы, пик ферментемии на 4-5 сутки с момента инфаркта, нормализация пос</w:t>
        <w:softHyphen/>
        <w:t>ле 10 дня.</w:t>
      </w:r>
    </w:p>
    <w:p>
      <w:pPr>
        <w:pStyle w:val="Style30"/>
        <w:numPr>
          <w:ilvl w:val="0"/>
          <w:numId w:val="99"/>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Антитела к миозину:</w:t>
      </w:r>
    </w:p>
    <w:p>
      <w:pPr>
        <w:pStyle w:val="Style30"/>
        <w:numPr>
          <w:ilvl w:val="0"/>
          <w:numId w:val="101"/>
        </w:numPr>
        <w:tabs>
          <w:tab w:leader="none" w:pos="756" w:val="left"/>
        </w:tabs>
        <w:widowControl w:val="0"/>
        <w:keepNext w:val="0"/>
        <w:keepLines w:val="0"/>
        <w:shd w:val="clear" w:color="auto" w:fill="auto"/>
        <w:bidi w:val="0"/>
        <w:spacing w:before="0" w:after="180"/>
        <w:ind w:left="740" w:right="0" w:hanging="220"/>
      </w:pPr>
      <w:r>
        <w:rPr>
          <w:lang w:val="ru-RU" w:eastAsia="ru-RU" w:bidi="ru-RU"/>
          <w:w w:val="100"/>
          <w:spacing w:val="0"/>
          <w:color w:val="000000"/>
          <w:position w:val="0"/>
        </w:rPr>
        <w:t>использование этого метода помогает в диагности</w:t>
        <w:softHyphen/>
        <w:t>ке необратимого повреждения миокарда на экспе</w:t>
        <w:softHyphen/>
        <w:t>риментальных моделях и может быть полезно в распознавании очагов инфаркта миокарда и оп</w:t>
        <w:softHyphen/>
        <w:t>ределении их размера. В настоящее время метод находится в стадии экспериментального изучения.</w:t>
      </w:r>
    </w:p>
    <w:p>
      <w:pPr>
        <w:pStyle w:val="Style92"/>
        <w:widowControl w:val="0"/>
        <w:keepNext/>
        <w:keepLines/>
        <w:shd w:val="clear" w:color="auto" w:fill="auto"/>
        <w:bidi w:val="0"/>
        <w:spacing w:before="0" w:after="0"/>
        <w:ind w:left="0" w:right="0" w:firstLine="280"/>
      </w:pPr>
      <w:bookmarkStart w:id="528" w:name="bookmark528"/>
      <w:r>
        <w:rPr>
          <w:lang w:val="ru-RU" w:eastAsia="ru-RU" w:bidi="ru-RU"/>
          <w:w w:val="100"/>
          <w:spacing w:val="0"/>
          <w:color w:val="000000"/>
          <w:position w:val="0"/>
        </w:rPr>
        <w:t>Инструментальная диагностика</w:t>
      </w:r>
      <w:bookmarkEnd w:id="52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w:t>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При инфаркте миокарда с помощью двухмерной эхо</w:t>
        <w:softHyphen/>
        <w:t>кардиографии выявляют:</w:t>
      </w:r>
    </w:p>
    <w:p>
      <w:pPr>
        <w:pStyle w:val="Style30"/>
        <w:numPr>
          <w:ilvl w:val="0"/>
          <w:numId w:val="99"/>
        </w:numPr>
        <w:tabs>
          <w:tab w:leader="none" w:pos="756"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Региональные аномалии движения миокардиаль</w:t>
        <w:softHyphen/>
        <w:t>ной стенки.</w:t>
      </w:r>
    </w:p>
    <w:p>
      <w:pPr>
        <w:pStyle w:val="Style30"/>
        <w:numPr>
          <w:ilvl w:val="0"/>
          <w:numId w:val="99"/>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Снижение общей сократимости миокарда.</w:t>
      </w:r>
    </w:p>
    <w:p>
      <w:pPr>
        <w:pStyle w:val="Style30"/>
        <w:numPr>
          <w:ilvl w:val="0"/>
          <w:numId w:val="99"/>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Клапанную регургитацию.</w:t>
      </w:r>
    </w:p>
    <w:p>
      <w:pPr>
        <w:pStyle w:val="Style30"/>
        <w:numPr>
          <w:ilvl w:val="0"/>
          <w:numId w:val="99"/>
        </w:numPr>
        <w:tabs>
          <w:tab w:leader="none" w:pos="756"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Систолическую и диастолическую дисфункцию миокарда.</w:t>
      </w:r>
    </w:p>
    <w:p>
      <w:pPr>
        <w:pStyle w:val="Style30"/>
        <w:numPr>
          <w:ilvl w:val="0"/>
          <w:numId w:val="99"/>
        </w:numPr>
        <w:tabs>
          <w:tab w:leader="none" w:pos="756"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Отрыв митральной створки при инфаркте папил</w:t>
        <w:softHyphen/>
        <w:t>лярной мышцы.</w:t>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В ряде случаев данный метод непосредственно позво - ляет установить этиологический фактор, приведший к инфаркту:</w:t>
      </w:r>
    </w:p>
    <w:p>
      <w:pPr>
        <w:pStyle w:val="Style30"/>
        <w:numPr>
          <w:ilvl w:val="0"/>
          <w:numId w:val="99"/>
        </w:numPr>
        <w:tabs>
          <w:tab w:leader="none" w:pos="756"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Аномальное отхождение левой коронарной арте</w:t>
        <w:softHyphen/>
        <w:t>рии от легочного ствола.</w:t>
      </w:r>
    </w:p>
    <w:p>
      <w:pPr>
        <w:pStyle w:val="Style30"/>
        <w:numPr>
          <w:ilvl w:val="0"/>
          <w:numId w:val="99"/>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Эктазию или аневризму коронарной артерии.</w:t>
      </w:r>
    </w:p>
    <w:p>
      <w:pPr>
        <w:pStyle w:val="Style30"/>
        <w:numPr>
          <w:ilvl w:val="0"/>
          <w:numId w:val="99"/>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Внутрижелудочковые тромбы.</w:t>
      </w:r>
    </w:p>
    <w:p>
      <w:pPr>
        <w:pStyle w:val="Style30"/>
        <w:numPr>
          <w:ilvl w:val="0"/>
          <w:numId w:val="99"/>
        </w:numPr>
        <w:tabs>
          <w:tab w:leader="none" w:pos="756"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Инфекционный эндокардит аортального клапана с эмболией, бактериальной вегетацией в бассейн левой коронарной артерии (рисунок).</w:t>
      </w:r>
    </w:p>
    <w:p>
      <w:pPr>
        <w:pStyle w:val="Style30"/>
        <w:numPr>
          <w:ilvl w:val="0"/>
          <w:numId w:val="99"/>
        </w:numPr>
        <w:tabs>
          <w:tab w:leader="none" w:pos="756"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Опухоли сердца, сопровождающиеся системной эмболизацией.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Коронарография: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Коронарография позволяет выявить место обструкции сосуда, оценить функцию левого желудочка, а также обна</w:t>
        <w:softHyphen/>
        <w:t>ружить врожденные аномалии (фистулы, аневризмы, ано</w:t>
        <w:softHyphen/>
        <w:t>мальное отхождение коронарных артерий).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Сцинтиграфия:</w:t>
      </w:r>
    </w:p>
    <w:p>
      <w:pPr>
        <w:pStyle w:val="Style30"/>
        <w:numPr>
          <w:ilvl w:val="0"/>
          <w:numId w:val="99"/>
        </w:numPr>
        <w:tabs>
          <w:tab w:leader="none" w:pos="514" w:val="left"/>
        </w:tabs>
        <w:widowControl w:val="0"/>
        <w:keepNext w:val="0"/>
        <w:keepLines w:val="0"/>
        <w:shd w:val="clear" w:color="auto" w:fill="auto"/>
        <w:bidi w:val="0"/>
        <w:jc w:val="left"/>
        <w:spacing w:before="0" w:after="0"/>
        <w:ind w:left="520" w:right="0" w:hanging="240"/>
      </w:pPr>
      <w:r>
        <w:pict>
          <v:shape id="_x0000_s1535" type="#_x0000_t75" style="position:absolute;margin-left:136.7pt;margin-top:736.8pt;width:209.75pt;height:14.9pt;z-index:-125829037;mso-wrap-distance-left:136.55pt;mso-wrap-distance-right:148.1pt;mso-wrap-distance-bottom:10.8pt;mso-position-horizontal-relative:margin;mso-position-vertical-relative:margin" wrapcoords="0 0 21600 0 21600 21600 0 21600 0 0">
            <v:imagedata r:id="rId846" r:href="rId847"/>
            <w10:wrap type="topAndBottom" anchorx="margin" anchory="margin"/>
          </v:shape>
        </w:pict>
      </w:r>
      <w:r>
        <w:rPr>
          <w:lang w:val="ru-RU" w:eastAsia="ru-RU" w:bidi="ru-RU"/>
          <w:w w:val="100"/>
          <w:spacing w:val="0"/>
          <w:color w:val="000000"/>
          <w:position w:val="0"/>
        </w:rPr>
        <w:t xml:space="preserve">Сцинтиграфия миокарда с </w:t>
      </w:r>
      <w:r>
        <w:rPr>
          <w:lang w:val="en-US" w:eastAsia="en-US" w:bidi="en-US"/>
          <w:w w:val="100"/>
          <w:spacing w:val="0"/>
          <w:color w:val="000000"/>
          <w:position w:val="0"/>
        </w:rPr>
        <w:t xml:space="preserve">Tl-201 </w:t>
      </w:r>
      <w:r>
        <w:rPr>
          <w:lang w:val="ru-RU" w:eastAsia="ru-RU" w:bidi="ru-RU"/>
          <w:w w:val="100"/>
          <w:spacing w:val="0"/>
          <w:color w:val="000000"/>
          <w:position w:val="0"/>
        </w:rPr>
        <w:t>позволяет оценить состояние перфузии миокарда и наличие «холодных»</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областей при остром инфаркте миокарда (которые имеют сниженную способность к захвату изотопа таллия). Способность к захвату таллия определяется региональным кровотоком в миокарде, целостью клеточных мембран кардиомиоцитов и активностью работы калий-натриевого фосфатного насоса. Этот метод исследования успешно используется как у де</w:t>
        <w:softHyphen/>
        <w:t>тей старшего возраста, так и у младенцев. Этим мето</w:t>
        <w:softHyphen/>
        <w:t>дом можно также подтвердить диагноз транзиторной и стойкой ишемии на фоне перинатальной асфиксии и респираторного дистресс-синдрома у младенцев, а также аномального отхождения левой коронарной артерии от легочной.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Сцинтиграфия миокарда с таллием-201 может про</w:t>
        <w:softHyphen/>
        <w:t>водиться также с введением внутривенно дипири- дамола. Дипиридамол вызывает увеличение коро</w:t>
        <w:softHyphen/>
        <w:t>нарного кровотока путем прямой коронарной вазо</w:t>
        <w:softHyphen/>
        <w:t>дилатации, в связи с этим эффектом дипиридамо- ловый тест может быть использован вместо физи</w:t>
        <w:softHyphen/>
        <w:t>ческой нагрузки у пациентов, которые по каким- либо причинам не могут быть ей подвергнуты (мла</w:t>
        <w:softHyphen/>
        <w:t>денцы либо больные в тяжелом состоянии). При использовании дипиридамолового теста вы</w:t>
        <w:softHyphen/>
        <w:t>полняются сцинтиграммы в режиме «покой» и «стресс-индуцированные» и производится их сравнение. Это полезно в выявлении ишемии в ус</w:t>
        <w:softHyphen/>
        <w:t>ловиях стресс-нагрузки.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Компьютерная томография:</w:t>
      </w:r>
    </w:p>
    <w:p>
      <w:pPr>
        <w:pStyle w:val="Style30"/>
        <w:numPr>
          <w:ilvl w:val="0"/>
          <w:numId w:val="9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Кардиоваскулярная компьютерная томография начала применяться с 1978 г. Использование объемных измерений позволяет определить удельный вес подвергшейся ишемии и некрозу ткани, визуализировать аневризмы и ассоцииро</w:t>
        <w:softHyphen/>
        <w:t>ванные с ними тромбы, оценить массу и толщи</w:t>
        <w:softHyphen/>
        <w:t>ну миокарда и исследовать анатомические осо</w:t>
        <w:softHyphen/>
        <w:t>бенности коронарного русла. При динамичес</w:t>
        <w:softHyphen/>
        <w:t>ком исследовании в виде серий последователь</w:t>
        <w:softHyphen/>
        <w:t>ных снимков с частотой 17 кадров в секунду из</w:t>
        <w:softHyphen/>
        <w:t>меряются объем крови в желудочках, фракция изгнания, сократимость и кинетика стенок лево</w:t>
        <w:softHyphen/>
        <w:t>го желудочка.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Ядерно-магнитный резонанс:</w:t>
      </w:r>
    </w:p>
    <w:p>
      <w:pPr>
        <w:pStyle w:val="Style30"/>
        <w:numPr>
          <w:ilvl w:val="0"/>
          <w:numId w:val="9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Данный метод также позволяет оценить объем по - раженного миокарда благодаря разнице в интен</w:t>
        <w:softHyphen/>
        <w:t xml:space="preserve">сивности </w:t>
      </w:r>
      <w:r>
        <w:rPr>
          <w:lang w:val="en-US" w:eastAsia="en-US" w:bidi="en-US"/>
          <w:w w:val="100"/>
          <w:spacing w:val="0"/>
          <w:color w:val="000000"/>
          <w:position w:val="0"/>
        </w:rPr>
        <w:t xml:space="preserve">T1 </w:t>
      </w:r>
      <w:r>
        <w:rPr>
          <w:lang w:val="ru-RU" w:eastAsia="ru-RU" w:bidi="ru-RU"/>
          <w:w w:val="100"/>
          <w:spacing w:val="0"/>
          <w:color w:val="000000"/>
          <w:position w:val="0"/>
        </w:rPr>
        <w:t xml:space="preserve">и </w:t>
      </w:r>
      <w:r>
        <w:rPr>
          <w:lang w:val="en-US" w:eastAsia="en-US" w:bidi="en-US"/>
          <w:w w:val="100"/>
          <w:spacing w:val="0"/>
          <w:color w:val="000000"/>
          <w:position w:val="0"/>
        </w:rPr>
        <w:t xml:space="preserve">T2 </w:t>
      </w:r>
      <w:r>
        <w:rPr>
          <w:lang w:val="ru-RU" w:eastAsia="ru-RU" w:bidi="ru-RU"/>
          <w:w w:val="100"/>
          <w:spacing w:val="0"/>
          <w:color w:val="000000"/>
          <w:position w:val="0"/>
        </w:rPr>
        <w:t>сигнала от инфарктной зоны. Кроме того, определяется также утолщение мио</w:t>
        <w:softHyphen/>
        <w:t>карда в этой области, и измерения объема пора</w:t>
        <w:softHyphen/>
        <w:t>женных участков с определением их топики позво</w:t>
        <w:softHyphen/>
        <w:t>ляют точнее оценить распространенность ин</w:t>
        <w:softHyphen/>
        <w:t>фарктных изменений. В настоящее время с помо</w:t>
        <w:softHyphen/>
        <w:t>щью ядерно-магнитного резонанса можно визуа</w:t>
        <w:softHyphen/>
        <w:t>лизировать внутрисердечный кровоток в режиме реального времени. В будущем этот метод должен получить широкое распространение при диагнос</w:t>
        <w:softHyphen/>
        <w:t>тике детских инфарктов миокарда.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 инфаркта миокарда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Дизритмии:</w:t>
      </w:r>
    </w:p>
    <w:p>
      <w:pPr>
        <w:pStyle w:val="Style30"/>
        <w:numPr>
          <w:ilvl w:val="0"/>
          <w:numId w:val="9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Брадикардия. Наблюдается часто при нижних ин</w:t>
        <w:softHyphen/>
        <w:t xml:space="preserve">фарктах, возникает рефлекторно (рефлекс </w:t>
      </w:r>
      <w:r>
        <w:rPr>
          <w:lang w:val="en-US" w:eastAsia="en-US" w:bidi="en-US"/>
          <w:w w:val="100"/>
          <w:spacing w:val="0"/>
          <w:color w:val="000000"/>
          <w:position w:val="0"/>
        </w:rPr>
        <w:t>Bezold- Jarisch).</w:t>
      </w:r>
    </w:p>
    <w:p>
      <w:pPr>
        <w:pStyle w:val="Style30"/>
        <w:numPr>
          <w:ilvl w:val="0"/>
          <w:numId w:val="9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Желудочковые аритмии (экстрасистолия, тахикар - дия). Наблюдаются в 10-40% случаев. Квозникно-</w:t>
      </w:r>
    </w:p>
    <w:p>
      <w:pPr>
        <w:pStyle w:val="Style30"/>
        <w:widowControl w:val="0"/>
        <w:keepNext w:val="0"/>
        <w:keepLines w:val="0"/>
        <w:shd w:val="clear" w:color="auto" w:fill="auto"/>
        <w:bidi w:val="0"/>
        <w:spacing w:before="0" w:after="0"/>
        <w:ind w:left="740" w:right="0" w:firstLine="0"/>
      </w:pPr>
      <w:r>
        <w:br w:type="column"/>
      </w:r>
      <w:r>
        <w:rPr>
          <w:lang w:val="ru-RU" w:eastAsia="ru-RU" w:bidi="ru-RU"/>
          <w:w w:val="100"/>
          <w:spacing w:val="0"/>
          <w:color w:val="000000"/>
          <w:position w:val="0"/>
        </w:rPr>
        <w:t xml:space="preserve">вению желудочковой тахикардии предрасполагает удлиненный интервал </w:t>
      </w:r>
      <w:r>
        <w:rPr>
          <w:lang w:val="en-US" w:eastAsia="en-US" w:bidi="en-US"/>
          <w:w w:val="100"/>
          <w:spacing w:val="0"/>
          <w:color w:val="000000"/>
          <w:position w:val="0"/>
        </w:rPr>
        <w:t>QT.</w:t>
      </w:r>
    </w:p>
    <w:p>
      <w:pPr>
        <w:pStyle w:val="Style30"/>
        <w:numPr>
          <w:ilvl w:val="0"/>
          <w:numId w:val="99"/>
        </w:numPr>
        <w:tabs>
          <w:tab w:leader="none" w:pos="494" w:val="left"/>
        </w:tabs>
        <w:widowControl w:val="0"/>
        <w:keepNext w:val="0"/>
        <w:keepLines w:val="0"/>
        <w:shd w:val="clear" w:color="auto" w:fill="auto"/>
        <w:bidi w:val="0"/>
        <w:spacing w:before="0" w:after="0"/>
        <w:ind w:left="0" w:right="0" w:firstLine="260"/>
      </w:pPr>
      <w:r>
        <w:rPr>
          <w:lang w:val="ru-RU" w:eastAsia="ru-RU" w:bidi="ru-RU"/>
          <w:w w:val="100"/>
          <w:spacing w:val="0"/>
          <w:color w:val="000000"/>
          <w:position w:val="0"/>
        </w:rPr>
        <w:t>Нарушения проводимости.</w:t>
      </w:r>
    </w:p>
    <w:p>
      <w:pPr>
        <w:pStyle w:val="Style30"/>
        <w:widowControl w:val="0"/>
        <w:keepNext w:val="0"/>
        <w:keepLines w:val="0"/>
        <w:shd w:val="clear" w:color="auto" w:fill="auto"/>
        <w:bidi w:val="0"/>
        <w:spacing w:before="0" w:after="0"/>
        <w:ind w:left="0" w:right="0" w:firstLine="260"/>
      </w:pPr>
      <w:r>
        <w:rPr>
          <w:lang w:val="ru-RU" w:eastAsia="ru-RU" w:bidi="ru-RU"/>
          <w:w w:val="100"/>
          <w:spacing w:val="0"/>
          <w:color w:val="000000"/>
          <w:position w:val="0"/>
        </w:rPr>
        <w:t>Ишемия и некроз в зависимости от локализации могут приводить к возникновению блокад в проводящей системе сердца. Наиболее часто встречаются:</w:t>
      </w:r>
    </w:p>
    <w:p>
      <w:pPr>
        <w:pStyle w:val="Style30"/>
        <w:numPr>
          <w:ilvl w:val="0"/>
          <w:numId w:val="99"/>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Атриовентрикулярная блокада </w:t>
      </w:r>
      <w:r>
        <w:rPr>
          <w:lang w:val="en-US" w:eastAsia="en-US" w:bidi="en-US"/>
          <w:w w:val="100"/>
          <w:spacing w:val="0"/>
          <w:color w:val="000000"/>
          <w:position w:val="0"/>
        </w:rPr>
        <w:t xml:space="preserve">I-III </w:t>
      </w:r>
      <w:r>
        <w:rPr>
          <w:lang w:val="ru-RU" w:eastAsia="ru-RU" w:bidi="ru-RU"/>
          <w:w w:val="100"/>
          <w:spacing w:val="0"/>
          <w:color w:val="000000"/>
          <w:position w:val="0"/>
        </w:rPr>
        <w:t>степени.</w:t>
      </w:r>
    </w:p>
    <w:p>
      <w:pPr>
        <w:pStyle w:val="Style30"/>
        <w:numPr>
          <w:ilvl w:val="0"/>
          <w:numId w:val="99"/>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Блокада левой передней ветви пучка Гиса.</w:t>
      </w:r>
    </w:p>
    <w:p>
      <w:pPr>
        <w:pStyle w:val="Style30"/>
        <w:numPr>
          <w:ilvl w:val="0"/>
          <w:numId w:val="99"/>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Блокада левой задней ветви пучка Гиса.</w:t>
      </w:r>
    </w:p>
    <w:p>
      <w:pPr>
        <w:pStyle w:val="Style30"/>
        <w:numPr>
          <w:ilvl w:val="0"/>
          <w:numId w:val="99"/>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Блокада правой ножки пучка Гиса.</w:t>
      </w:r>
    </w:p>
    <w:p>
      <w:pPr>
        <w:pStyle w:val="Style30"/>
        <w:numPr>
          <w:ilvl w:val="0"/>
          <w:numId w:val="99"/>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Двухпучковые блокады.</w:t>
      </w:r>
    </w:p>
    <w:p>
      <w:pPr>
        <w:pStyle w:val="Style30"/>
        <w:widowControl w:val="0"/>
        <w:keepNext w:val="0"/>
        <w:keepLines w:val="0"/>
        <w:shd w:val="clear" w:color="auto" w:fill="auto"/>
        <w:bidi w:val="0"/>
        <w:spacing w:before="0" w:after="0"/>
        <w:ind w:left="0" w:right="0" w:firstLine="260"/>
      </w:pPr>
      <w:r>
        <w:rPr>
          <w:lang w:val="ru-RU" w:eastAsia="ru-RU" w:bidi="ru-RU"/>
          <w:w w:val="100"/>
          <w:spacing w:val="0"/>
          <w:color w:val="000000"/>
          <w:position w:val="0"/>
        </w:rPr>
        <w:t>Митральная недостаточность:</w:t>
      </w:r>
    </w:p>
    <w:p>
      <w:pPr>
        <w:pStyle w:val="Style30"/>
        <w:numPr>
          <w:ilvl w:val="0"/>
          <w:numId w:val="99"/>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Возникает вторично вследствие дисфункции па</w:t>
        <w:softHyphen/>
        <w:t>пиллярных мышц и дилатации левого атриовент</w:t>
        <w:softHyphen/>
        <w:t>рикулярного кольца.</w:t>
      </w:r>
    </w:p>
    <w:p>
      <w:pPr>
        <w:pStyle w:val="Style30"/>
        <w:widowControl w:val="0"/>
        <w:keepNext w:val="0"/>
        <w:keepLines w:val="0"/>
        <w:shd w:val="clear" w:color="auto" w:fill="auto"/>
        <w:bidi w:val="0"/>
        <w:spacing w:before="0" w:after="0"/>
        <w:ind w:left="0" w:right="0" w:firstLine="260"/>
      </w:pPr>
      <w:r>
        <w:rPr>
          <w:lang w:val="ru-RU" w:eastAsia="ru-RU" w:bidi="ru-RU"/>
          <w:w w:val="100"/>
          <w:spacing w:val="0"/>
          <w:color w:val="000000"/>
          <w:position w:val="0"/>
        </w:rPr>
        <w:t>Дефект межжелудочковой перегородки:</w:t>
      </w:r>
    </w:p>
    <w:p>
      <w:pPr>
        <w:pStyle w:val="Style30"/>
        <w:numPr>
          <w:ilvl w:val="0"/>
          <w:numId w:val="99"/>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Возникает при септальной локализации инфаркта с формированием аневризмы и ее разрыва.</w:t>
      </w:r>
    </w:p>
    <w:p>
      <w:pPr>
        <w:pStyle w:val="Style30"/>
        <w:widowControl w:val="0"/>
        <w:keepNext w:val="0"/>
        <w:keepLines w:val="0"/>
        <w:shd w:val="clear" w:color="auto" w:fill="auto"/>
        <w:bidi w:val="0"/>
        <w:spacing w:before="0" w:after="0"/>
        <w:ind w:left="0" w:right="0" w:firstLine="260"/>
      </w:pPr>
      <w:r>
        <w:rPr>
          <w:lang w:val="ru-RU" w:eastAsia="ru-RU" w:bidi="ru-RU"/>
          <w:w w:val="100"/>
          <w:spacing w:val="0"/>
          <w:color w:val="000000"/>
          <w:position w:val="0"/>
        </w:rPr>
        <w:t>Аневризма левого желудочка:</w:t>
      </w:r>
    </w:p>
    <w:p>
      <w:pPr>
        <w:pStyle w:val="Style30"/>
        <w:numPr>
          <w:ilvl w:val="0"/>
          <w:numId w:val="99"/>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 детей чаще всего возникает вследствие травма</w:t>
        <w:softHyphen/>
        <w:t>тического инфаркта.</w:t>
      </w:r>
    </w:p>
    <w:p>
      <w:pPr>
        <w:pStyle w:val="Style30"/>
        <w:numPr>
          <w:ilvl w:val="0"/>
          <w:numId w:val="99"/>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Диагноз аневризмы левого желудочка подтвержда - ется при эхокардиографическом исследовании.</w:t>
      </w:r>
    </w:p>
    <w:p>
      <w:pPr>
        <w:pStyle w:val="Style30"/>
        <w:numPr>
          <w:ilvl w:val="0"/>
          <w:numId w:val="99"/>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Формирование аневризмы связано с воздействием внутрижелудочкового напряжения на несокраща</w:t>
        <w:softHyphen/>
        <w:t>ющуюся податливую инфарктную зону, что приво</w:t>
        <w:softHyphen/>
        <w:t>дит к ее выпячиванию.</w:t>
      </w:r>
    </w:p>
    <w:p>
      <w:pPr>
        <w:pStyle w:val="Style30"/>
        <w:numPr>
          <w:ilvl w:val="0"/>
          <w:numId w:val="99"/>
        </w:numPr>
        <w:tabs>
          <w:tab w:leader="none" w:pos="759" w:val="left"/>
        </w:tabs>
        <w:widowControl w:val="0"/>
        <w:keepNext w:val="0"/>
        <w:keepLines w:val="0"/>
        <w:shd w:val="clear" w:color="auto" w:fill="auto"/>
        <w:bidi w:val="0"/>
        <w:spacing w:before="0" w:after="180"/>
        <w:ind w:left="740" w:right="0" w:hanging="240"/>
      </w:pPr>
      <w:r>
        <w:rPr>
          <w:lang w:val="ru-RU" w:eastAsia="ru-RU" w:bidi="ru-RU"/>
          <w:w w:val="100"/>
          <w:spacing w:val="0"/>
          <w:color w:val="000000"/>
          <w:position w:val="0"/>
        </w:rPr>
        <w:t>У детей аневризмы левого желудочка после ин</w:t>
        <w:softHyphen/>
        <w:t>фаркта миокарда часто сопровождаются сердеч</w:t>
        <w:softHyphen/>
        <w:t>ной недостаточностью, аритмиями и образовани</w:t>
        <w:softHyphen/>
        <w:t>ем тромбов.</w:t>
      </w:r>
    </w:p>
    <w:p>
      <w:pPr>
        <w:pStyle w:val="Style30"/>
        <w:widowControl w:val="0"/>
        <w:keepNext w:val="0"/>
        <w:keepLines w:val="0"/>
        <w:shd w:val="clear" w:color="auto" w:fill="auto"/>
        <w:bidi w:val="0"/>
        <w:spacing w:before="0" w:after="0"/>
        <w:ind w:left="0" w:right="0" w:firstLine="260"/>
      </w:pPr>
      <w:r>
        <w:rPr>
          <w:lang w:val="ru-RU" w:eastAsia="ru-RU" w:bidi="ru-RU"/>
          <w:w w:val="100"/>
          <w:spacing w:val="0"/>
          <w:color w:val="000000"/>
          <w:position w:val="0"/>
        </w:rPr>
        <w:t>Кардиогенный шок:</w:t>
      </w:r>
    </w:p>
    <w:p>
      <w:pPr>
        <w:pStyle w:val="Style30"/>
        <w:numPr>
          <w:ilvl w:val="0"/>
          <w:numId w:val="99"/>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Может явиться фатальным осложнением острого инфаркта миокарда.</w:t>
      </w:r>
    </w:p>
    <w:p>
      <w:pPr>
        <w:pStyle w:val="Style30"/>
        <w:numPr>
          <w:ilvl w:val="0"/>
          <w:numId w:val="99"/>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Наблюдается при обширных инфарктах, приводя</w:t>
        <w:softHyphen/>
        <w:t>щих к выключению большой зоны рабочего мио</w:t>
        <w:softHyphen/>
        <w:t>карда.</w:t>
      </w:r>
    </w:p>
    <w:p>
      <w:pPr>
        <w:pStyle w:val="Style30"/>
        <w:numPr>
          <w:ilvl w:val="0"/>
          <w:numId w:val="99"/>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Возникающая артериальная гипотензия обуслов</w:t>
        <w:softHyphen/>
        <w:t>ливает коронарную гипоперфузию, что может привести к увеличению инфарктной зоны.</w:t>
      </w:r>
    </w:p>
    <w:p>
      <w:pPr>
        <w:pStyle w:val="Style30"/>
        <w:widowControl w:val="0"/>
        <w:keepNext w:val="0"/>
        <w:keepLines w:val="0"/>
        <w:shd w:val="clear" w:color="auto" w:fill="auto"/>
        <w:bidi w:val="0"/>
        <w:spacing w:before="0" w:after="0"/>
        <w:ind w:left="0" w:right="0" w:firstLine="260"/>
      </w:pPr>
      <w:r>
        <w:rPr>
          <w:lang w:val="ru-RU" w:eastAsia="ru-RU" w:bidi="ru-RU"/>
          <w:w w:val="100"/>
          <w:spacing w:val="0"/>
          <w:color w:val="000000"/>
          <w:position w:val="0"/>
        </w:rPr>
        <w:t>Лечение инфаркта миокарда</w:t>
      </w:r>
    </w:p>
    <w:p>
      <w:pPr>
        <w:pStyle w:val="Style30"/>
        <w:widowControl w:val="0"/>
        <w:keepNext w:val="0"/>
        <w:keepLines w:val="0"/>
        <w:shd w:val="clear" w:color="auto" w:fill="auto"/>
        <w:bidi w:val="0"/>
        <w:spacing w:before="0" w:after="0"/>
        <w:ind w:left="0" w:right="0" w:firstLine="260"/>
      </w:pPr>
      <w:r>
        <w:rPr>
          <w:lang w:val="ru-RU" w:eastAsia="ru-RU" w:bidi="ru-RU"/>
          <w:w w:val="100"/>
          <w:spacing w:val="0"/>
          <w:color w:val="000000"/>
          <w:position w:val="0"/>
        </w:rPr>
        <w:t>Лечение инфаркта миокарда должно включать следую - щие патогенетические направления:</w:t>
      </w:r>
    </w:p>
    <w:p>
      <w:pPr>
        <w:pStyle w:val="Style30"/>
        <w:numPr>
          <w:ilvl w:val="0"/>
          <w:numId w:val="99"/>
        </w:numPr>
        <w:tabs>
          <w:tab w:leader="none" w:pos="494"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Увеличение миокардиальной перфузии и оксигена</w:t>
        <w:softHyphen/>
        <w:t>ции в зоне ишемии.</w:t>
      </w:r>
    </w:p>
    <w:p>
      <w:pPr>
        <w:pStyle w:val="Style30"/>
        <w:numPr>
          <w:ilvl w:val="0"/>
          <w:numId w:val="99"/>
        </w:numPr>
        <w:tabs>
          <w:tab w:leader="none" w:pos="494"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Уменьшение потребности в кислороде поврежденной зоны миокарда.</w:t>
      </w:r>
    </w:p>
    <w:p>
      <w:pPr>
        <w:pStyle w:val="Style30"/>
        <w:numPr>
          <w:ilvl w:val="0"/>
          <w:numId w:val="99"/>
        </w:numPr>
        <w:tabs>
          <w:tab w:leader="none" w:pos="494"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Уменьшение выхода лизосомальных энзимов, актив</w:t>
        <w:softHyphen/>
        <w:t>ности фосфолипаз и отека миоцитов в очаге ишемии.</w:t>
      </w:r>
    </w:p>
    <w:p>
      <w:pPr>
        <w:pStyle w:val="Style30"/>
        <w:numPr>
          <w:ilvl w:val="0"/>
          <w:numId w:val="99"/>
        </w:numPr>
        <w:tabs>
          <w:tab w:leader="none" w:pos="494"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Увеличение поступления метаболических субстратов в поврежденную зону.</w:t>
      </w:r>
    </w:p>
    <w:p>
      <w:pPr>
        <w:pStyle w:val="Style30"/>
        <w:widowControl w:val="0"/>
        <w:keepNext w:val="0"/>
        <w:keepLines w:val="0"/>
        <w:shd w:val="clear" w:color="auto" w:fill="auto"/>
        <w:bidi w:val="0"/>
        <w:spacing w:before="0" w:after="0"/>
        <w:ind w:left="0" w:right="0" w:firstLine="260"/>
      </w:pPr>
      <w:r>
        <w:rPr>
          <w:lang w:val="ru-RU" w:eastAsia="ru-RU" w:bidi="ru-RU"/>
          <w:w w:val="100"/>
          <w:spacing w:val="0"/>
          <w:color w:val="000000"/>
          <w:position w:val="0"/>
        </w:rPr>
        <w:t>План лечения инфаркта миокарда:</w:t>
      </w:r>
    </w:p>
    <w:p>
      <w:pPr>
        <w:pStyle w:val="Style30"/>
        <w:numPr>
          <w:ilvl w:val="0"/>
          <w:numId w:val="99"/>
        </w:numPr>
        <w:tabs>
          <w:tab w:leader="none" w:pos="494" w:val="left"/>
        </w:tabs>
        <w:widowControl w:val="0"/>
        <w:keepNext w:val="0"/>
        <w:keepLines w:val="0"/>
        <w:shd w:val="clear" w:color="auto" w:fill="auto"/>
        <w:bidi w:val="0"/>
        <w:spacing w:before="0" w:after="0"/>
        <w:ind w:left="0" w:right="0" w:firstLine="260"/>
      </w:pPr>
      <w:r>
        <w:rPr>
          <w:lang w:val="ru-RU" w:eastAsia="ru-RU" w:bidi="ru-RU"/>
          <w:w w:val="100"/>
          <w:spacing w:val="0"/>
          <w:color w:val="000000"/>
          <w:position w:val="0"/>
        </w:rPr>
        <w:t>Острая фаза инфаркта миокарда:</w:t>
      </w:r>
    </w:p>
    <w:p>
      <w:pPr>
        <w:pStyle w:val="Style30"/>
        <w:numPr>
          <w:ilvl w:val="0"/>
          <w:numId w:val="101"/>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поддержание сердечного выброса:</w:t>
      </w:r>
    </w:p>
    <w:p>
      <w:pPr>
        <w:pStyle w:val="Style30"/>
        <w:numPr>
          <w:ilvl w:val="0"/>
          <w:numId w:val="101"/>
        </w:numPr>
        <w:tabs>
          <w:tab w:leader="none" w:pos="947"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добутамин;</w:t>
      </w:r>
    </w:p>
    <w:p>
      <w:pPr>
        <w:pStyle w:val="Style30"/>
        <w:numPr>
          <w:ilvl w:val="0"/>
          <w:numId w:val="101"/>
        </w:numPr>
        <w:tabs>
          <w:tab w:leader="none" w:pos="947"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внутривенная инфузионная терапия.</w:t>
      </w:r>
    </w:p>
    <w:p>
      <w:pPr>
        <w:pStyle w:val="Style30"/>
        <w:numPr>
          <w:ilvl w:val="0"/>
          <w:numId w:val="101"/>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борьба с болевым синдромом:</w:t>
      </w:r>
    </w:p>
    <w:p>
      <w:pPr>
        <w:pStyle w:val="Style30"/>
        <w:numPr>
          <w:ilvl w:val="0"/>
          <w:numId w:val="101"/>
        </w:numPr>
        <w:tabs>
          <w:tab w:leader="none" w:pos="947"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анальгетики, включая наркотические.</w:t>
      </w:r>
    </w:p>
    <w:p>
      <w:pPr>
        <w:pStyle w:val="Style30"/>
        <w:numPr>
          <w:ilvl w:val="0"/>
          <w:numId w:val="101"/>
        </w:numPr>
        <w:tabs>
          <w:tab w:leader="none" w:pos="75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лечение дизритмии:</w:t>
      </w:r>
    </w:p>
    <w:p>
      <w:pPr>
        <w:pStyle w:val="Style30"/>
        <w:numPr>
          <w:ilvl w:val="0"/>
          <w:numId w:val="101"/>
        </w:numPr>
        <w:tabs>
          <w:tab w:leader="none" w:pos="947"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желудочковые аритмии — лидокаин;</w:t>
      </w:r>
    </w:p>
    <w:p>
      <w:pPr>
        <w:pStyle w:val="Style30"/>
        <w:numPr>
          <w:ilvl w:val="0"/>
          <w:numId w:val="101"/>
        </w:numPr>
        <w:tabs>
          <w:tab w:leader="none" w:pos="947" w:val="left"/>
        </w:tabs>
        <w:widowControl w:val="0"/>
        <w:keepNext w:val="0"/>
        <w:keepLines w:val="0"/>
        <w:shd w:val="clear" w:color="auto" w:fill="auto"/>
        <w:bidi w:val="0"/>
        <w:spacing w:before="0" w:after="0"/>
        <w:ind w:left="740" w:right="0" w:firstLine="0"/>
      </w:pPr>
      <w:r>
        <w:pict>
          <v:shape id="_x0000_s1536" type="#_x0000_t75" style="position:absolute;margin-left:142.2pt;margin-top:736.8pt;width:209.75pt;height:14.9pt;z-index:-125829036;mso-wrap-distance-left:136.1pt;mso-wrap-distance-right:136.55pt;mso-wrap-distance-bottom:10.8pt;mso-position-horizontal-relative:margin;mso-position-vertical-relative:margin" wrapcoords="0 0 21600 0 21600 21600 0 21600 0 0">
            <v:imagedata r:id="rId848" r:href="rId849"/>
            <w10:wrap type="topAndBottom" anchorx="margin" anchory="margin"/>
          </v:shape>
        </w:pict>
      </w:r>
      <w:r>
        <w:rPr>
          <w:lang w:val="ru-RU" w:eastAsia="ru-RU" w:bidi="ru-RU"/>
          <w:w w:val="100"/>
          <w:spacing w:val="0"/>
          <w:color w:val="000000"/>
          <w:position w:val="0"/>
        </w:rPr>
        <w:t>брадиаритмии — атропин.</w:t>
      </w:r>
      <w:r>
        <w:br w:type="page"/>
      </w:r>
    </w:p>
    <w:p>
      <w:pPr>
        <w:pStyle w:val="Style30"/>
        <w:numPr>
          <w:ilvl w:val="0"/>
          <w:numId w:val="9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Подострая фаза инфаркта миокарда:</w:t>
      </w:r>
    </w:p>
    <w:p>
      <w:pPr>
        <w:pStyle w:val="Style30"/>
        <w:numPr>
          <w:ilvl w:val="0"/>
          <w:numId w:val="101"/>
        </w:numPr>
        <w:tabs>
          <w:tab w:leader="none" w:pos="56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Ограничение инфарктной зоны:</w:t>
      </w:r>
    </w:p>
    <w:p>
      <w:pPr>
        <w:pStyle w:val="Style30"/>
        <w:numPr>
          <w:ilvl w:val="0"/>
          <w:numId w:val="10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бета-блокаторы;</w:t>
      </w:r>
    </w:p>
    <w:p>
      <w:pPr>
        <w:pStyle w:val="Style30"/>
        <w:numPr>
          <w:ilvl w:val="0"/>
          <w:numId w:val="10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оксигенотерапия;</w:t>
      </w:r>
    </w:p>
    <w:p>
      <w:pPr>
        <w:pStyle w:val="Style30"/>
        <w:numPr>
          <w:ilvl w:val="0"/>
          <w:numId w:val="10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метаболическая терапия.</w:t>
      </w:r>
    </w:p>
    <w:p>
      <w:pPr>
        <w:pStyle w:val="Style30"/>
        <w:numPr>
          <w:ilvl w:val="0"/>
          <w:numId w:val="101"/>
        </w:numPr>
        <w:tabs>
          <w:tab w:leader="none" w:pos="56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Предупреждение инфекционных осложнений:</w:t>
      </w:r>
    </w:p>
    <w:p>
      <w:pPr>
        <w:pStyle w:val="Style30"/>
        <w:numPr>
          <w:ilvl w:val="0"/>
          <w:numId w:val="10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стероиды;</w:t>
      </w:r>
    </w:p>
    <w:p>
      <w:pPr>
        <w:pStyle w:val="Style30"/>
        <w:numPr>
          <w:ilvl w:val="0"/>
          <w:numId w:val="10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антибиотики.</w:t>
      </w:r>
    </w:p>
    <w:p>
      <w:pPr>
        <w:pStyle w:val="Style30"/>
        <w:numPr>
          <w:ilvl w:val="0"/>
          <w:numId w:val="9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Лечение осложнений инфаркта миокарда:</w:t>
      </w:r>
    </w:p>
    <w:p>
      <w:pPr>
        <w:pStyle w:val="Style30"/>
        <w:numPr>
          <w:ilvl w:val="0"/>
          <w:numId w:val="101"/>
        </w:numPr>
        <w:tabs>
          <w:tab w:leader="none" w:pos="56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сердечная недостаточность с отеком легких:</w:t>
      </w:r>
    </w:p>
    <w:p>
      <w:pPr>
        <w:pStyle w:val="Style30"/>
        <w:numPr>
          <w:ilvl w:val="0"/>
          <w:numId w:val="10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мочегонные.</w:t>
      </w:r>
    </w:p>
    <w:p>
      <w:pPr>
        <w:pStyle w:val="Style30"/>
        <w:numPr>
          <w:ilvl w:val="0"/>
          <w:numId w:val="101"/>
        </w:numPr>
        <w:tabs>
          <w:tab w:leader="none" w:pos="56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сердечная недостаточность с низким сердечным</w:t>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выбросом:</w:t>
      </w:r>
    </w:p>
    <w:p>
      <w:pPr>
        <w:pStyle w:val="Style30"/>
        <w:numPr>
          <w:ilvl w:val="0"/>
          <w:numId w:val="10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нитропруссид;</w:t>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-амринон;</w:t>
      </w:r>
    </w:p>
    <w:p>
      <w:pPr>
        <w:pStyle w:val="Style30"/>
        <w:numPr>
          <w:ilvl w:val="0"/>
          <w:numId w:val="10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блокаторы кальциевых каналов.</w:t>
      </w:r>
    </w:p>
    <w:p>
      <w:pPr>
        <w:pStyle w:val="Style30"/>
        <w:numPr>
          <w:ilvl w:val="0"/>
          <w:numId w:val="101"/>
        </w:numPr>
        <w:tabs>
          <w:tab w:leader="none" w:pos="56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сердечная недостаточность с низкой коронарной</w:t>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перфузией (кардиогенный шок):</w:t>
      </w:r>
    </w:p>
    <w:p>
      <w:pPr>
        <w:pStyle w:val="Style30"/>
        <w:numPr>
          <w:ilvl w:val="0"/>
          <w:numId w:val="10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добутамин;</w:t>
      </w:r>
    </w:p>
    <w:p>
      <w:pPr>
        <w:pStyle w:val="Style30"/>
        <w:numPr>
          <w:ilvl w:val="0"/>
          <w:numId w:val="101"/>
        </w:numPr>
        <w:tabs>
          <w:tab w:leader="none" w:pos="693" w:val="left"/>
        </w:tabs>
        <w:widowControl w:val="0"/>
        <w:keepNext w:val="0"/>
        <w:keepLines w:val="0"/>
        <w:shd w:val="clear" w:color="auto" w:fill="auto"/>
        <w:bidi w:val="0"/>
        <w:spacing w:before="0" w:after="180"/>
        <w:ind w:left="500" w:right="0" w:firstLine="0"/>
      </w:pPr>
      <w:r>
        <w:rPr>
          <w:lang w:val="ru-RU" w:eastAsia="ru-RU" w:bidi="ru-RU"/>
          <w:w w:val="100"/>
          <w:spacing w:val="0"/>
          <w:color w:val="000000"/>
          <w:position w:val="0"/>
        </w:rPr>
        <w:t>допамин.</w:t>
      </w:r>
    </w:p>
    <w:p>
      <w:pPr>
        <w:pStyle w:val="Style30"/>
        <w:numPr>
          <w:ilvl w:val="0"/>
          <w:numId w:val="9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Метаболическая терапия включает борьбу с ацидозом и гипогликемией под контролем показателей газов, электролитов и глюкозы крови. Для корреции выяв</w:t>
        <w:softHyphen/>
        <w:t>ленных нарушений используют введение глюкозы, инсулина и калия. Введение поляризующей смеси способствует уменьшению анаэробного гликолиза и выведению свободных жирных кислот из ин</w:t>
        <w:softHyphen/>
        <w:t>фарктной зоны.</w:t>
      </w:r>
    </w:p>
    <w:p>
      <w:pPr>
        <w:pStyle w:val="Style30"/>
        <w:numPr>
          <w:ilvl w:val="0"/>
          <w:numId w:val="9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Анальгезия включает применение как наркотичес</w:t>
        <w:softHyphen/>
        <w:t>ких, так и ненаркотических анальгетиков. У ново</w:t>
        <w:softHyphen/>
        <w:t>рожденных обычно используют хлоралгидрат 50 мг/кг ректально. У детей старшего возраста препа</w:t>
        <w:softHyphen/>
        <w:t>ратом выбора является промедол в дозе 0,1 мл/год жизни (не более 1,0 мл однократно).</w:t>
      </w:r>
    </w:p>
    <w:p>
      <w:pPr>
        <w:pStyle w:val="Style30"/>
        <w:numPr>
          <w:ilvl w:val="0"/>
          <w:numId w:val="9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Лечение сердечной недостаточности проводится дифференцированно с учетом легочной венозной ги</w:t>
        <w:softHyphen/>
        <w:t>пертензии, величины сердечного выброса и характе</w:t>
        <w:softHyphen/>
        <w:t>ра периферической циркуляции.</w:t>
      </w:r>
    </w:p>
    <w:p>
      <w:pPr>
        <w:pStyle w:val="Style30"/>
        <w:numPr>
          <w:ilvl w:val="0"/>
          <w:numId w:val="9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развитии венозного застоя в легких осуществляет</w:t>
        <w:softHyphen/>
        <w:t>ся внутривенное введение фуросемида (лазикса) в дозе 1 мг/кг. При возникновении угрозы отека легких могут быть подключены бронходилататоры, воздействую</w:t>
        <w:softHyphen/>
        <w:t>щие на бета-2-адренорецепторы: тербуталин или мета- протеренол в ингаляциях, при этом необходимо конт</w:t>
        <w:softHyphen/>
        <w:t>ролировать пульс, поскольку данные препараты по</w:t>
        <w:softHyphen/>
        <w:t>тенцируют тахикардию. С целью предотвращения отека легких может быть использован эуфиллин.</w:t>
      </w:r>
    </w:p>
    <w:p>
      <w:pPr>
        <w:pStyle w:val="Style30"/>
        <w:numPr>
          <w:ilvl w:val="0"/>
          <w:numId w:val="9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резком снижении сердечного выброса и угрозе развития кардиогенного шока назначаются неглико- зидные инотропные средства. С этой целью исполь</w:t>
        <w:softHyphen/>
        <w:t>зуют добутамин (от 5 до 20 мкг/кг/мин), возможно в комбинации с допамином (5-20 мкг/кг/мин). Эти препараты используют при низком сердечном выбро</w:t>
        <w:softHyphen/>
        <w:t>се, сопровождающемся падением системной сосуди</w:t>
        <w:softHyphen/>
        <w:t>стой резистентности, артериальной гипотензией.</w:t>
      </w:r>
    </w:p>
    <w:p>
      <w:pPr>
        <w:pStyle w:val="Style30"/>
        <w:numPr>
          <w:ilvl w:val="0"/>
          <w:numId w:val="9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больных с неизмененной системной резистентнос</w:t>
        <w:softHyphen/>
        <w:t>тью сосудов используют введение адреналина (0,1-10 мкг/кг/мин) или норадреналин (2-10 мкг/кг/мин).</w:t>
      </w:r>
    </w:p>
    <w:p>
      <w:pPr>
        <w:pStyle w:val="Style30"/>
        <w:numPr>
          <w:ilvl w:val="0"/>
          <w:numId w:val="9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Другая тактика должна быть при высокой системной резистентности сосудов, обычно сочетающейся с от</w:t>
        <w:softHyphen/>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носительной митральной регургитацией. В этой ситуа</w:t>
        <w:softHyphen/>
        <w:t>ции используют введение периферических вазодила- таторов, увеличивающих сердечный выброс за счет увеличения преднагрузки: каптоприл (новорожден</w:t>
        <w:softHyphen/>
        <w:t>ным в разовой дозе 0,1-0,4 мг/кг, каждые 6 часов в су</w:t>
        <w:softHyphen/>
        <w:t>точной дозе максимально 4 мг/кг; детям до года — ра</w:t>
        <w:softHyphen/>
        <w:t>зовая доза 0,1-2,0 мг/кг, суточная доза максимально 6 мг/кг; подросткам — разовая доза 6,25-12,5 мг, мак</w:t>
        <w:softHyphen/>
        <w:t>симальная суточная доза 50-75 мг); амринон (от 2,0 до 20 мкг/кг/мин). Амринон наряду с вазодилатирующим эффектом является негликозидным и несимпатоми</w:t>
        <w:softHyphen/>
        <w:t>метическим инотропным средством, действие которо</w:t>
        <w:softHyphen/>
        <w:t>го основано на ингибировании фосфодиэстераз.</w:t>
      </w:r>
    </w:p>
    <w:p>
      <w:pPr>
        <w:pStyle w:val="Style30"/>
        <w:numPr>
          <w:ilvl w:val="0"/>
          <w:numId w:val="99"/>
        </w:numPr>
        <w:tabs>
          <w:tab w:leader="none" w:pos="51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Для борьбы с желудочковыми аритмиями использует</w:t>
        <w:softHyphen/>
        <w:t>ся лидокаин внутривенно из расчета 10-50 мкг/кг/мин. При развитии брадикардии применяют атропин (разо</w:t>
        <w:softHyphen/>
        <w:t>вая доза — 0,01 мг/кг внутривенно).</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Хирургическое лечение инфаркта миокарда у детей не разработано.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Аортокоронарное шунтирование проводят в случаях ин</w:t>
        <w:softHyphen/>
        <w:t>фаркта миокарда, возникших на фоне врожденных анома</w:t>
        <w:softHyphen/>
        <w:t>лий развития коронарных артерий: единственная коронар</w:t>
        <w:softHyphen/>
        <w:t>ная артерия, разрыв коронарной артерии, коронарная фис</w:t>
        <w:softHyphen/>
        <w:t>тула, аневризма коронарной артерии и др.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99"/>
        </w:numPr>
        <w:tabs>
          <w:tab w:leader="none" w:pos="51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острого инфаркта миокарда в большинстве случаев благоприятный, однако определяется основ</w:t>
        <w:softHyphen/>
        <w:t>ным заболеванием и размером инфарктной зоны.</w:t>
      </w:r>
    </w:p>
    <w:p>
      <w:pPr>
        <w:pStyle w:val="Style30"/>
        <w:numPr>
          <w:ilvl w:val="0"/>
          <w:numId w:val="99"/>
        </w:numPr>
        <w:tabs>
          <w:tab w:leader="none" w:pos="51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Критериями неблагоприятного прогноза являются:</w:t>
      </w:r>
    </w:p>
    <w:p>
      <w:pPr>
        <w:pStyle w:val="Style30"/>
        <w:numPr>
          <w:ilvl w:val="0"/>
          <w:numId w:val="10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застойная сердечная недостаточность;</w:t>
      </w:r>
    </w:p>
    <w:p>
      <w:pPr>
        <w:pStyle w:val="Style30"/>
        <w:numPr>
          <w:ilvl w:val="0"/>
          <w:numId w:val="10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частая желудочковая экстрасистолия или желудоч - ковая тахикардия спустя 48 часов от начала ин</w:t>
        <w:softHyphen/>
        <w:t>фаркта миокарда;</w:t>
      </w:r>
    </w:p>
    <w:p>
      <w:pPr>
        <w:pStyle w:val="Style30"/>
        <w:numPr>
          <w:ilvl w:val="0"/>
          <w:numId w:val="101"/>
        </w:numPr>
        <w:tabs>
          <w:tab w:leader="none" w:pos="755" w:val="left"/>
        </w:tabs>
        <w:widowControl w:val="0"/>
        <w:keepNext w:val="0"/>
        <w:keepLines w:val="0"/>
        <w:shd w:val="clear" w:color="auto" w:fill="auto"/>
        <w:bidi w:val="0"/>
        <w:spacing w:before="0" w:after="180"/>
        <w:ind w:left="740" w:right="0" w:hanging="220"/>
      </w:pPr>
      <w:r>
        <w:rPr>
          <w:lang w:val="ru-RU" w:eastAsia="ru-RU" w:bidi="ru-RU"/>
          <w:w w:val="100"/>
          <w:spacing w:val="0"/>
          <w:color w:val="000000"/>
          <w:position w:val="0"/>
        </w:rPr>
        <w:t>фракция выброса левого желудочка менее 40%.</w:t>
      </w:r>
    </w:p>
    <w:p>
      <w:pPr>
        <w:pStyle w:val="Style92"/>
        <w:widowControl w:val="0"/>
        <w:keepNext/>
        <w:keepLines/>
        <w:shd w:val="clear" w:color="auto" w:fill="auto"/>
        <w:bidi w:val="0"/>
        <w:spacing w:before="0" w:after="0"/>
        <w:ind w:left="0" w:right="0" w:firstLine="280"/>
      </w:pPr>
      <w:bookmarkStart w:id="529" w:name="bookmark529"/>
      <w:r>
        <w:rPr>
          <w:lang w:val="ru-RU" w:eastAsia="ru-RU" w:bidi="ru-RU"/>
          <w:w w:val="100"/>
          <w:spacing w:val="0"/>
          <w:color w:val="000000"/>
          <w:position w:val="0"/>
        </w:rPr>
        <w:t>Профилактика инфаркта миокарда у детей</w:t>
      </w:r>
      <w:bookmarkEnd w:id="52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Профилактика инфаркта миокарда включает антиагре- гантную антикоагулянтную терапию микродозами аспири</w:t>
        <w:softHyphen/>
        <w:t>на 1 мг/кг в утренние часы длительно (6-12 мес). Назначе</w:t>
        <w:softHyphen/>
        <w:t>ние данной терапии показано детям с высоким риском раз - вития инфаркта миокарда:</w:t>
      </w:r>
    </w:p>
    <w:p>
      <w:pPr>
        <w:pStyle w:val="Style30"/>
        <w:numPr>
          <w:ilvl w:val="0"/>
          <w:numId w:val="99"/>
        </w:numPr>
        <w:tabs>
          <w:tab w:leader="none" w:pos="51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Детям с ВПС: стеноз аорты или стеноз легочной арте</w:t>
        <w:softHyphen/>
        <w:t>рии с градиентом обструкции более 50 мм рт. ст.</w:t>
      </w:r>
    </w:p>
    <w:p>
      <w:pPr>
        <w:pStyle w:val="Style30"/>
        <w:numPr>
          <w:ilvl w:val="0"/>
          <w:numId w:val="99"/>
        </w:numPr>
        <w:tabs>
          <w:tab w:leader="none" w:pos="51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Детям с перенесенной болезнью Кавасаки, даже без выявляемого поражения коронарных артерий (по данным эхокардиографии и/или ангиографии).</w:t>
      </w:r>
    </w:p>
    <w:p>
      <w:pPr>
        <w:pStyle w:val="Style30"/>
        <w:numPr>
          <w:ilvl w:val="0"/>
          <w:numId w:val="99"/>
        </w:numPr>
        <w:tabs>
          <w:tab w:leader="none" w:pos="51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Детям с органической патологией сердца при нали</w:t>
        <w:softHyphen/>
        <w:t>чии гиперлипидемии, феномена гиперкоагуляции, выраженной гипертрофии миокарда или артериаль</w:t>
        <w:softHyphen/>
        <w:t>ной гипоксемии</w:t>
      </w:r>
    </w:p>
    <w:p>
      <w:pPr>
        <w:pStyle w:val="Style30"/>
        <w:numPr>
          <w:ilvl w:val="0"/>
          <w:numId w:val="99"/>
        </w:numPr>
        <w:tabs>
          <w:tab w:leader="none" w:pos="510" w:val="left"/>
        </w:tabs>
        <w:widowControl w:val="0"/>
        <w:keepNext w:val="0"/>
        <w:keepLines w:val="0"/>
        <w:shd w:val="clear" w:color="auto" w:fill="auto"/>
        <w:bidi w:val="0"/>
        <w:spacing w:before="0" w:after="242"/>
        <w:ind w:left="520" w:right="0" w:hanging="240"/>
      </w:pPr>
      <w:r>
        <w:rPr>
          <w:lang w:val="ru-RU" w:eastAsia="ru-RU" w:bidi="ru-RU"/>
          <w:w w:val="100"/>
          <w:spacing w:val="0"/>
          <w:color w:val="000000"/>
          <w:position w:val="0"/>
        </w:rPr>
        <w:t>Детям с наследственной отягощенностью и высокой концентрацией факторов риска раннего развития атеросклероза.</w:t>
      </w:r>
    </w:p>
    <w:p>
      <w:pPr>
        <w:pStyle w:val="Style28"/>
        <w:widowControl w:val="0"/>
        <w:keepNext/>
        <w:keepLines/>
        <w:shd w:val="clear" w:color="auto" w:fill="auto"/>
        <w:bidi w:val="0"/>
        <w:jc w:val="left"/>
        <w:spacing w:before="0" w:after="118" w:line="288" w:lineRule="exact"/>
        <w:ind w:left="0" w:right="0" w:firstLine="0"/>
      </w:pPr>
      <w:bookmarkStart w:id="530" w:name="bookmark530"/>
      <w:r>
        <w:rPr>
          <w:lang w:val="ru-RU" w:eastAsia="ru-RU" w:bidi="ru-RU"/>
          <w:w w:val="100"/>
          <w:spacing w:val="0"/>
          <w:color w:val="000000"/>
          <w:position w:val="0"/>
        </w:rPr>
        <w:t>Врожденные аномалии коронарных артерий</w:t>
      </w:r>
      <w:bookmarkEnd w:id="530"/>
    </w:p>
    <w:p>
      <w:pPr>
        <w:pStyle w:val="Style92"/>
        <w:widowControl w:val="0"/>
        <w:keepNext/>
        <w:keepLines/>
        <w:shd w:val="clear" w:color="auto" w:fill="auto"/>
        <w:bidi w:val="0"/>
        <w:spacing w:before="0" w:after="0"/>
        <w:ind w:left="0" w:right="0" w:firstLine="280"/>
      </w:pPr>
      <w:bookmarkStart w:id="531" w:name="bookmark531"/>
      <w:r>
        <w:rPr>
          <w:lang w:val="ru-RU" w:eastAsia="ru-RU" w:bidi="ru-RU"/>
          <w:w w:val="100"/>
          <w:spacing w:val="0"/>
          <w:color w:val="000000"/>
          <w:position w:val="0"/>
        </w:rPr>
        <w:t>Введение</w:t>
      </w:r>
      <w:bookmarkEnd w:id="531"/>
    </w:p>
    <w:p>
      <w:pPr>
        <w:pStyle w:val="Style30"/>
        <w:widowControl w:val="0"/>
        <w:keepNext w:val="0"/>
        <w:keepLines w:val="0"/>
        <w:shd w:val="clear" w:color="auto" w:fill="auto"/>
        <w:bidi w:val="0"/>
        <w:spacing w:before="0" w:after="0"/>
        <w:ind w:left="0" w:right="0" w:firstLine="280"/>
      </w:pPr>
      <w:r>
        <w:pict>
          <v:shape id="_x0000_s1537" type="#_x0000_t75" style="position:absolute;margin-left:130.55pt;margin-top:736.8pt;width:209.75pt;height:14.9pt;z-index:-125829035;mso-wrap-distance-left:124.1pt;mso-wrap-distance-right:147.85pt;mso-wrap-distance-bottom:10.8pt;mso-position-horizontal-relative:margin;mso-position-vertical-relative:margin" wrapcoords="0 0 21600 0 21600 21600 0 21600 0 0">
            <v:imagedata r:id="rId850" r:href="rId851"/>
            <w10:wrap type="topAndBottom" anchorx="margin" anchory="margin"/>
          </v:shape>
        </w:pict>
      </w:r>
      <w:r>
        <w:rPr>
          <w:lang w:val="ru-RU" w:eastAsia="ru-RU" w:bidi="ru-RU"/>
          <w:w w:val="100"/>
          <w:spacing w:val="0"/>
          <w:color w:val="000000"/>
          <w:position w:val="0"/>
        </w:rPr>
        <w:t>Аномалии коронарных артерий являются потенциаль</w:t>
        <w:softHyphen/>
        <w:t>ной причиной миокардиальной ишемии с исходом в арит-</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мию, стенокардию, инфаркт миокарда и внезапную сердеч</w:t>
        <w:softHyphen/>
        <w:t>ную смерть. Поэтому при серьезных «необъяснимых» кар</w:t>
        <w:softHyphen/>
        <w:t>диальных симптомах в молодом возрасте необходимо ис</w:t>
        <w:softHyphen/>
        <w:t>ключать коронарные аномалии. Однако опасная особен</w:t>
        <w:softHyphen/>
        <w:t>ность этой патологии заключается в том, что врожденные аномалии коронарных сосудов могут протекать длительное время латентно, не сопровождаясь какой-либо клиничес</w:t>
        <w:softHyphen/>
        <w:t>кой симптоматикой.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9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Истинная частота встречаемости врожденных коро</w:t>
        <w:softHyphen/>
        <w:t>нарных аномалий неизвестна.</w:t>
      </w:r>
    </w:p>
    <w:p>
      <w:pPr>
        <w:pStyle w:val="Style30"/>
        <w:numPr>
          <w:ilvl w:val="0"/>
          <w:numId w:val="9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Приблизительно для взрослой популяции она оцени</w:t>
        <w:softHyphen/>
        <w:t xml:space="preserve">вается в 2% </w:t>
      </w:r>
      <w:r>
        <w:rPr>
          <w:lang w:val="en-US" w:eastAsia="en-US" w:bidi="en-US"/>
          <w:w w:val="100"/>
          <w:spacing w:val="0"/>
          <w:color w:val="000000"/>
          <w:position w:val="0"/>
        </w:rPr>
        <w:t xml:space="preserve">(Rao C. et al., </w:t>
      </w:r>
      <w:r>
        <w:rPr>
          <w:lang w:val="ru-RU" w:eastAsia="ru-RU" w:bidi="ru-RU"/>
          <w:w w:val="100"/>
          <w:spacing w:val="0"/>
          <w:color w:val="000000"/>
          <w:position w:val="0"/>
        </w:rPr>
        <w:t>1994), следовательно, у де</w:t>
        <w:softHyphen/>
        <w:t>тей частота встречаемости этой патологии должна быть еще выше.</w:t>
      </w:r>
    </w:p>
    <w:p>
      <w:pPr>
        <w:pStyle w:val="Style30"/>
        <w:numPr>
          <w:ilvl w:val="0"/>
          <w:numId w:val="9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При анализе данных 7857 педиатрических аутопсий </w:t>
      </w:r>
      <w:r>
        <w:rPr>
          <w:lang w:val="en-US" w:eastAsia="en-US" w:bidi="en-US"/>
          <w:w w:val="100"/>
          <w:spacing w:val="0"/>
          <w:color w:val="000000"/>
          <w:position w:val="0"/>
        </w:rPr>
        <w:t xml:space="preserve">J.Lipsett </w:t>
      </w:r>
      <w:r>
        <w:rPr>
          <w:lang w:val="ru-RU" w:eastAsia="ru-RU" w:bidi="ru-RU"/>
          <w:w w:val="100"/>
          <w:spacing w:val="0"/>
          <w:color w:val="000000"/>
          <w:position w:val="0"/>
        </w:rPr>
        <w:t>и соавт. (1994) выявили врожденные анома</w:t>
        <w:softHyphen/>
        <w:t>лии коронарных артерий в 0,5% случаев, т.е. практи</w:t>
        <w:softHyphen/>
        <w:t>чески с той же частотой, что и миокардиты. В указан</w:t>
        <w:softHyphen/>
        <w:t>ном исследовании наиболее часто (43%) встречалось эктопическое отхождение коронарных артерий от аорты, а также от легочного ствола (40%). Средний возраст на момент смерти составил 2,2 года (с колеба</w:t>
        <w:softHyphen/>
        <w:t>ниями от 4-х часов до 14 лет).</w:t>
      </w:r>
    </w:p>
    <w:p>
      <w:pPr>
        <w:pStyle w:val="Style30"/>
        <w:numPr>
          <w:ilvl w:val="0"/>
          <w:numId w:val="9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По данным коронарографии частота врожденных аномалий составляет 5,6% </w:t>
      </w:r>
      <w:r>
        <w:rPr>
          <w:lang w:val="en-US" w:eastAsia="en-US" w:bidi="en-US"/>
          <w:w w:val="100"/>
          <w:spacing w:val="0"/>
          <w:color w:val="000000"/>
          <w:position w:val="0"/>
        </w:rPr>
        <w:t xml:space="preserve">(Angelini). </w:t>
      </w:r>
      <w:r>
        <w:rPr>
          <w:lang w:val="ru-RU" w:eastAsia="ru-RU" w:bidi="ru-RU"/>
          <w:w w:val="100"/>
          <w:spacing w:val="0"/>
          <w:color w:val="000000"/>
          <w:position w:val="0"/>
        </w:rPr>
        <w:t>Наиболее часто встречаются врожденные аномалии правой коронар</w:t>
        <w:softHyphen/>
        <w:t>ной артерии: добавочная ПКА (1,23%), эктопическое отхождение около правого коронарного синуса (1,13%).</w:t>
      </w:r>
    </w:p>
    <w:p>
      <w:pPr>
        <w:pStyle w:val="Style30"/>
        <w:numPr>
          <w:ilvl w:val="0"/>
          <w:numId w:val="99"/>
        </w:numPr>
        <w:tabs>
          <w:tab w:leader="none" w:pos="520"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Между тем даже при бессимптомном течении врож</w:t>
        <w:softHyphen/>
        <w:t xml:space="preserve">денных коронарных аномалий прогностически они крайне серьезны. </w:t>
      </w:r>
      <w:r>
        <w:rPr>
          <w:lang w:val="en-US" w:eastAsia="en-US" w:bidi="en-US"/>
          <w:w w:val="100"/>
          <w:spacing w:val="0"/>
          <w:color w:val="000000"/>
          <w:position w:val="0"/>
        </w:rPr>
        <w:t xml:space="preserve">Van Camp S.P. et al. (1995), </w:t>
      </w:r>
      <w:r>
        <w:rPr>
          <w:lang w:val="ru-RU" w:eastAsia="ru-RU" w:bidi="ru-RU"/>
          <w:w w:val="100"/>
          <w:spacing w:val="0"/>
          <w:color w:val="000000"/>
          <w:position w:val="0"/>
        </w:rPr>
        <w:t>по дан</w:t>
        <w:softHyphen/>
        <w:t>ным Национального Центра исследований спортив</w:t>
        <w:softHyphen/>
        <w:t>ных катастроф в США, установили, что основными причинами нетравматических внезапных смертей у молодых спортсменов были гипертрофическая кар</w:t>
        <w:softHyphen/>
        <w:t>диомиопатия и врожденные аномалии коронарных артерий. Частота внезапной сердечной смерти у мо</w:t>
        <w:softHyphen/>
        <w:t>лодых спортсменов составляет 7,47 случая у мужчин и 1,3 — у женщин на 1 000 000 в год. В связи с этим су</w:t>
        <w:softHyphen/>
        <w:t>ществует мнение о необходимости эхокардиографи</w:t>
        <w:softHyphen/>
        <w:t>ческого скрининга на наличие коронарных аномалий для молодежи, имеющей наиболее серьезные спор</w:t>
        <w:softHyphen/>
        <w:t>тивные нагрузки.</w:t>
      </w:r>
    </w:p>
    <w:p>
      <w:pPr>
        <w:pStyle w:val="Style92"/>
        <w:widowControl w:val="0"/>
        <w:keepNext/>
        <w:keepLines/>
        <w:shd w:val="clear" w:color="auto" w:fill="auto"/>
        <w:bidi w:val="0"/>
        <w:spacing w:before="0" w:after="0"/>
        <w:ind w:left="520" w:right="0" w:hanging="240"/>
      </w:pPr>
      <w:bookmarkStart w:id="532" w:name="bookmark532"/>
      <w:r>
        <w:rPr>
          <w:lang w:val="ru-RU" w:eastAsia="ru-RU" w:bidi="ru-RU"/>
          <w:w w:val="100"/>
          <w:spacing w:val="0"/>
          <w:color w:val="000000"/>
          <w:position w:val="0"/>
        </w:rPr>
        <w:t>Классификация аномалий коронарных артерий</w:t>
      </w:r>
      <w:bookmarkEnd w:id="532"/>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Аномалии устья:</w:t>
      </w:r>
    </w:p>
    <w:p>
      <w:pPr>
        <w:pStyle w:val="Style30"/>
        <w:numPr>
          <w:ilvl w:val="0"/>
          <w:numId w:val="101"/>
        </w:numPr>
        <w:tabs>
          <w:tab w:leader="none" w:pos="789"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гипоплазия устья;</w:t>
      </w:r>
    </w:p>
    <w:p>
      <w:pPr>
        <w:pStyle w:val="Style30"/>
        <w:numPr>
          <w:ilvl w:val="0"/>
          <w:numId w:val="101"/>
        </w:numPr>
        <w:tabs>
          <w:tab w:leader="none" w:pos="789"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фиброзная эндопролиферация устья (фиброзные «гребни» устья);</w:t>
      </w:r>
    </w:p>
    <w:p>
      <w:pPr>
        <w:pStyle w:val="Style30"/>
        <w:numPr>
          <w:ilvl w:val="0"/>
          <w:numId w:val="101"/>
        </w:numPr>
        <w:tabs>
          <w:tab w:leader="none" w:pos="789"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атрезия устья;</w:t>
      </w:r>
    </w:p>
    <w:p>
      <w:pPr>
        <w:pStyle w:val="Style30"/>
        <w:numPr>
          <w:ilvl w:val="0"/>
          <w:numId w:val="101"/>
        </w:numPr>
        <w:tabs>
          <w:tab w:leader="none" w:pos="789"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тангенциальное отхождение коронарной артерии.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Эктопическое отхождение коронарной артерии:</w:t>
      </w:r>
    </w:p>
    <w:p>
      <w:pPr>
        <w:pStyle w:val="Style30"/>
        <w:numPr>
          <w:ilvl w:val="0"/>
          <w:numId w:val="101"/>
        </w:numPr>
        <w:tabs>
          <w:tab w:leader="none" w:pos="789"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аномальное отхождение коронарной артерии от легочного ствола;</w:t>
      </w:r>
    </w:p>
    <w:p>
      <w:pPr>
        <w:pStyle w:val="Style30"/>
        <w:numPr>
          <w:ilvl w:val="0"/>
          <w:numId w:val="101"/>
        </w:numPr>
        <w:tabs>
          <w:tab w:leader="none" w:pos="789"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аномальное отхождение коронарной артерии от аорты:</w:t>
      </w:r>
    </w:p>
    <w:p>
      <w:pPr>
        <w:pStyle w:val="Style30"/>
        <w:numPr>
          <w:ilvl w:val="0"/>
          <w:numId w:val="101"/>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отхождение коронарной артерии от некоронар</w:t>
        <w:softHyphen/>
        <w:t>ного синуса;</w:t>
      </w:r>
    </w:p>
    <w:p>
      <w:pPr>
        <w:pStyle w:val="Style30"/>
        <w:numPr>
          <w:ilvl w:val="0"/>
          <w:numId w:val="101"/>
        </w:numPr>
        <w:tabs>
          <w:tab w:leader="none" w:pos="93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отхождение коронарной артерии выше уровня синуса;</w:t>
      </w:r>
    </w:p>
    <w:p>
      <w:pPr>
        <w:pStyle w:val="Style30"/>
        <w:widowControl w:val="0"/>
        <w:keepNext w:val="0"/>
        <w:keepLines w:val="0"/>
        <w:shd w:val="clear" w:color="auto" w:fill="auto"/>
        <w:bidi w:val="0"/>
        <w:spacing w:before="0" w:after="0"/>
        <w:ind w:left="500" w:right="0" w:firstLine="0"/>
      </w:pPr>
      <w:r>
        <w:br w:type="column"/>
      </w:r>
      <w:r>
        <w:rPr>
          <w:lang w:val="ru-RU" w:eastAsia="ru-RU" w:bidi="ru-RU"/>
          <w:w w:val="100"/>
          <w:spacing w:val="0"/>
          <w:color w:val="000000"/>
          <w:position w:val="0"/>
        </w:rPr>
        <w:t>- аномальное отхождение коронарной артерии от противоположного синуса.</w:t>
      </w:r>
    </w:p>
    <w:p>
      <w:pPr>
        <w:pStyle w:val="Style30"/>
        <w:numPr>
          <w:ilvl w:val="0"/>
          <w:numId w:val="101"/>
        </w:numPr>
        <w:tabs>
          <w:tab w:leader="none" w:pos="51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аномальное отхождение коронарной артерии от других коронарных артерий;</w:t>
      </w:r>
    </w:p>
    <w:p>
      <w:pPr>
        <w:pStyle w:val="Style30"/>
        <w:numPr>
          <w:ilvl w:val="0"/>
          <w:numId w:val="101"/>
        </w:numPr>
        <w:tabs>
          <w:tab w:leader="none" w:pos="51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аномальное отхождение коронарной артерии от экстракардиальных сосудов (подключичной, бронхиальной и др.);</w:t>
      </w:r>
    </w:p>
    <w:p>
      <w:pPr>
        <w:pStyle w:val="Style30"/>
        <w:numPr>
          <w:ilvl w:val="0"/>
          <w:numId w:val="101"/>
        </w:numPr>
        <w:tabs>
          <w:tab w:leader="none" w:pos="51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аномальное отхождение коронарной артерии от желудочковой камеры.</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Интрамуральный ход коронарной артерии («ныряющие» коронарные артерии).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Аномалии дистального соединения коронарных артерий (коронарные фистулы):</w:t>
      </w:r>
    </w:p>
    <w:p>
      <w:pPr>
        <w:pStyle w:val="Style30"/>
        <w:numPr>
          <w:ilvl w:val="0"/>
          <w:numId w:val="101"/>
        </w:numPr>
        <w:tabs>
          <w:tab w:leader="none" w:pos="51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фистула коронарной артерии в правые сердечные камеры (артериовенозные);</w:t>
      </w:r>
    </w:p>
    <w:p>
      <w:pPr>
        <w:pStyle w:val="Style30"/>
        <w:numPr>
          <w:ilvl w:val="0"/>
          <w:numId w:val="101"/>
        </w:numPr>
        <w:tabs>
          <w:tab w:leader="none" w:pos="51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фистула коронарной артерии в левые сердечные камеры (артериоартериальные);</w:t>
      </w:r>
    </w:p>
    <w:p>
      <w:pPr>
        <w:pStyle w:val="Style30"/>
        <w:numPr>
          <w:ilvl w:val="0"/>
          <w:numId w:val="101"/>
        </w:numPr>
        <w:tabs>
          <w:tab w:leader="none" w:pos="51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фистула коронарной артерии в экстракардиальные сосуды (коронарно-бронхиальная, коронарно-пе</w:t>
        <w:softHyphen/>
        <w:t>рикардиальная и другие).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Аномалии числа коронарных артерий:</w:t>
      </w:r>
    </w:p>
    <w:p>
      <w:pPr>
        <w:pStyle w:val="Style30"/>
        <w:numPr>
          <w:ilvl w:val="0"/>
          <w:numId w:val="101"/>
        </w:numPr>
        <w:tabs>
          <w:tab w:leader="none" w:pos="51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единственная правая коронарная артерия;</w:t>
      </w:r>
    </w:p>
    <w:p>
      <w:pPr>
        <w:pStyle w:val="Style30"/>
        <w:numPr>
          <w:ilvl w:val="0"/>
          <w:numId w:val="101"/>
        </w:numPr>
        <w:tabs>
          <w:tab w:leader="none" w:pos="510" w:val="left"/>
        </w:tabs>
        <w:widowControl w:val="0"/>
        <w:keepNext w:val="0"/>
        <w:keepLines w:val="0"/>
        <w:shd w:val="clear" w:color="auto" w:fill="auto"/>
        <w:bidi w:val="0"/>
        <w:jc w:val="left"/>
        <w:spacing w:before="0" w:after="180"/>
        <w:ind w:left="0" w:right="0" w:firstLine="280"/>
      </w:pPr>
      <w:r>
        <w:rPr>
          <w:lang w:val="ru-RU" w:eastAsia="ru-RU" w:bidi="ru-RU"/>
          <w:w w:val="100"/>
          <w:spacing w:val="0"/>
          <w:color w:val="000000"/>
          <w:position w:val="0"/>
        </w:rPr>
        <w:t>единственная левая коронарная артерия. Гипоплазия коронарных артерий.</w:t>
      </w:r>
    </w:p>
    <w:p>
      <w:pPr>
        <w:pStyle w:val="Style92"/>
        <w:widowControl w:val="0"/>
        <w:keepNext/>
        <w:keepLines/>
        <w:shd w:val="clear" w:color="auto" w:fill="auto"/>
        <w:bidi w:val="0"/>
        <w:spacing w:before="0" w:after="0"/>
        <w:ind w:left="280" w:right="0"/>
      </w:pPr>
      <w:bookmarkStart w:id="533" w:name="bookmark533"/>
      <w:r>
        <w:rPr>
          <w:lang w:val="ru-RU" w:eastAsia="ru-RU" w:bidi="ru-RU"/>
          <w:w w:val="100"/>
          <w:spacing w:val="0"/>
          <w:color w:val="000000"/>
          <w:position w:val="0"/>
        </w:rPr>
        <w:t>Малые врожденные коронарные аномалии</w:t>
      </w:r>
      <w:bookmarkEnd w:id="533"/>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Вариации числа устий главных коронарных арте</w:t>
        <w:softHyphen/>
        <w:t>рий встречаются так часто, что можно считать на</w:t>
        <w:softHyphen/>
        <w:t>личие 2 или 3 устий нормальным анатомическим вариантом. Примерно в 50% случаев правая конус</w:t>
        <w:softHyphen/>
        <w:t>ная артерия отходит самостоятельным устьем от правого коронарного устья. Даже три устья могут встречаться, если левая огибающая коронарная ар</w:t>
        <w:softHyphen/>
        <w:t>терия начинается самостоятельно от левой коро</w:t>
        <w:softHyphen/>
        <w:t>нарной створки. Могут встречаться и 4 устья, если правая конусная коронарная артерия и левая оги</w:t>
        <w:softHyphen/>
        <w:t>бающая артерия отходят самостоятельно. В 1 из 200 случаев левая огибающая коронарная артерия отходит от правого синуса Вальсальвы и направля</w:t>
        <w:softHyphen/>
        <w:t>ется позади аорты, пока не достигнет места деле</w:t>
        <w:softHyphen/>
        <w:t>ния. Эту аномалию важно учитывать во время опе</w:t>
        <w:softHyphen/>
        <w:t>раций на сердце, так как, если она не распознана, левая огибающая коронарная артерия может быть случайно повреждена.</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Коронарные устья обычно располагаются сразу под соединением синусной и тубулярной частей аорты или в пределах 1 см над этим местом у взрослых. Ле</w:t>
        <w:softHyphen/>
        <w:t>вая главная коронарная артерия начинается на уров</w:t>
        <w:softHyphen/>
        <w:t>не свободного края аортальных створок в 48% случа</w:t>
        <w:softHyphen/>
        <w:t>ев, над этим уровнем — в 34%, ниже — в 18%. Правая главная коронарная артерия начинается на уровне свободного края аортальных створок в 71% случаев, над ним — в 19%, под ним — в 10%.</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Большие врожденные коронарные аномалии</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 наиболее серьезным коронарным аномалиям отно - сится отхождение коронарных артерий от легочного ствола, причем этот врожденный порок составляет 1,5-2,3% среди всех врожденных пороков сердца.</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pict>
          <v:shape id="_x0000_s1538" type="#_x0000_t75" style="position:absolute;margin-left:148.2pt;margin-top:736.8pt;width:209.75pt;height:14.9pt;z-index:-125829034;mso-wrap-distance-left:148.1pt;mso-wrap-distance-right:136.55pt;mso-wrap-distance-bottom:10.8pt;mso-position-horizontal-relative:margin;mso-position-vertical-relative:margin" wrapcoords="0 0 21600 0 21600 21600 0 21600 0 0">
            <v:imagedata r:id="rId852" r:href="rId853"/>
            <w10:wrap type="topAndBottom" anchorx="margin" anchory="margin"/>
          </v:shape>
        </w:pict>
      </w:r>
      <w:r>
        <w:rPr>
          <w:lang w:val="ru-RU" w:eastAsia="ru-RU" w:bidi="ru-RU"/>
          <w:w w:val="100"/>
          <w:spacing w:val="0"/>
          <w:color w:val="000000"/>
          <w:position w:val="0"/>
        </w:rPr>
        <w:t>Чаще от легочной артерии отходит левая главная ко</w:t>
        <w:softHyphen/>
        <w:t>ронарная артерия, реже — правая главная коронарная артерия, еще реже — обе главные коронарные арте</w:t>
        <w:softHyphen/>
        <w:t>рии либо ветви левой главной коронарной артерии.</w:t>
      </w:r>
      <w:r>
        <w:br w:type="page"/>
      </w:r>
    </w:p>
    <w:p>
      <w:pPr>
        <w:pStyle w:val="Style92"/>
        <w:widowControl w:val="0"/>
        <w:keepNext/>
        <w:keepLines/>
        <w:shd w:val="clear" w:color="auto" w:fill="auto"/>
        <w:bidi w:val="0"/>
        <w:spacing w:before="0" w:after="0"/>
        <w:ind w:left="280" w:right="0"/>
      </w:pPr>
      <w:bookmarkStart w:id="534" w:name="bookmark534"/>
      <w:r>
        <w:rPr>
          <w:lang w:val="ru-RU" w:eastAsia="ru-RU" w:bidi="ru-RU"/>
          <w:w w:val="100"/>
          <w:spacing w:val="0"/>
          <w:color w:val="000000"/>
          <w:position w:val="0"/>
        </w:rPr>
        <w:t>Анамнез</w:t>
      </w:r>
      <w:bookmarkEnd w:id="534"/>
    </w:p>
    <w:p>
      <w:pPr>
        <w:pStyle w:val="Style30"/>
        <w:numPr>
          <w:ilvl w:val="0"/>
          <w:numId w:val="99"/>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Врожденные аномалии коронарных артерий могут манифестировать клиническими симптомами, свя</w:t>
        <w:softHyphen/>
        <w:t>занными с миокардиальной ишемией:</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стенокардия;</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дизритмии;</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миокардиальная дисфункция;</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инфаркт;</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внезапная смерть.</w:t>
      </w:r>
    </w:p>
    <w:p>
      <w:pPr>
        <w:pStyle w:val="Style30"/>
        <w:numPr>
          <w:ilvl w:val="0"/>
          <w:numId w:val="99"/>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симптоматика, связанная с аномалиями коро</w:t>
        <w:softHyphen/>
        <w:t>нарных сосудов, может возникнуть в любом возрасте и проявляется при нагрузке (у новорожденных и детей грудного возраста — при кормлении; у детей и под</w:t>
        <w:softHyphen/>
        <w:t>ростков — при выполнении физических нагрузок).</w:t>
      </w:r>
    </w:p>
    <w:p>
      <w:pPr>
        <w:pStyle w:val="Style30"/>
        <w:numPr>
          <w:ilvl w:val="0"/>
          <w:numId w:val="99"/>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новорожденных стенокардия может быть заподо</w:t>
        <w:softHyphen/>
        <w:t>зрена при наличии следующих симптомов:</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повышенная возбудимость;</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повышенное потоотделение;</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бледность или сероватый оттенок кожных покровов;</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появление признаков застойной сердечной недо</w:t>
        <w:softHyphen/>
        <w:t>статочности.</w:t>
      </w:r>
    </w:p>
    <w:p>
      <w:pPr>
        <w:pStyle w:val="Style30"/>
        <w:numPr>
          <w:ilvl w:val="0"/>
          <w:numId w:val="99"/>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грудном возрасте наиболее характерными симпто</w:t>
        <w:softHyphen/>
        <w:t>мами являются:</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низкие масса тела и рост;</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одышка;</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кряхтение;</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периоды внезапного побледнения.</w:t>
      </w:r>
    </w:p>
    <w:p>
      <w:pPr>
        <w:pStyle w:val="Style30"/>
        <w:numPr>
          <w:ilvl w:val="0"/>
          <w:numId w:val="99"/>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и подростков характерными симптомами яв</w:t>
        <w:softHyphen/>
        <w:t>ляются:</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стенокардитические боли, возникающие при фи</w:t>
        <w:softHyphen/>
        <w:t>зической нагрузке;</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обморочные состояния.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Клиническая симптоматика манифестирует:</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Левожелудочковой дисфункцией.</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Хронической ишемией миокарда.</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Острым инфарктом миокарда.</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Кардиогенным шоком.</w:t>
      </w:r>
    </w:p>
    <w:p>
      <w:pPr>
        <w:pStyle w:val="Style30"/>
        <w:numPr>
          <w:ilvl w:val="0"/>
          <w:numId w:val="10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Внезапной сердечной смертью.</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99"/>
        </w:numPr>
        <w:tabs>
          <w:tab w:leader="none" w:pos="234"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новорожденного, находящегося в критическом со</w:t>
        <w:softHyphen/>
        <w:t>стоянии, в первую очередь проводят исследование водного и электролитного баланса, анализы крови для исключения сепсиса и анализ сердечных энзи</w:t>
        <w:softHyphen/>
        <w:t>мов. Сердечные энзимы (креатинкиназа, лактатдеги</w:t>
        <w:softHyphen/>
        <w:t>дрогеназа, глютаминовая оксалоацетат трансамина- за) увеличиваются в сыворотке крови, что свидетель</w:t>
        <w:softHyphen/>
        <w:t>ствует о поражении мышцы миокарда.</w:t>
      </w:r>
    </w:p>
    <w:p>
      <w:pPr>
        <w:pStyle w:val="Style30"/>
        <w:numPr>
          <w:ilvl w:val="0"/>
          <w:numId w:val="9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Обычно повышение трансаминазы при пораже</w:t>
        <w:softHyphen/>
        <w:t>нии сердечной мышцы возникает через 6 часов, пик ферментемии достигает к 18-36 часам, норма</w:t>
        <w:softHyphen/>
        <w:t>лизация — на 3-4 день. Увеличение уровня ЛДГ происходит несколько позже, пик ферментемии возникает на 3-6 день, нормализация показателя — на 8-14 день. Содержание креатинкиназы увеличи</w:t>
        <w:softHyphen/>
        <w:t>вается на 4-6 часу, пик — через 24 часа, нормализа</w:t>
        <w:softHyphen/>
        <w:t>ция — на 3-4 день.</w:t>
      </w:r>
    </w:p>
    <w:p>
      <w:pPr>
        <w:pStyle w:val="Style30"/>
        <w:numPr>
          <w:ilvl w:val="0"/>
          <w:numId w:val="9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Большую диагностическую значимость имеет изо - энзим МВ креатинкиназы, который содержится только в сердечной мышце. Повышение уровня МВ креатинкиназы специфично для миокарди</w:t>
        <w:softHyphen/>
        <w:t>альной ишемии и некроза кардиомиоцитов.</w:t>
      </w:r>
    </w:p>
    <w:p>
      <w:pPr>
        <w:pStyle w:val="Style30"/>
        <w:numPr>
          <w:ilvl w:val="0"/>
          <w:numId w:val="99"/>
        </w:numPr>
        <w:tabs>
          <w:tab w:leader="none" w:pos="739" w:val="left"/>
        </w:tabs>
        <w:widowControl w:val="0"/>
        <w:keepNext w:val="0"/>
        <w:keepLines w:val="0"/>
        <w:shd w:val="clear" w:color="auto" w:fill="auto"/>
        <w:bidi w:val="0"/>
        <w:spacing w:before="0" w:after="0"/>
        <w:ind w:left="740" w:right="0" w:hanging="240"/>
      </w:pPr>
      <w:r>
        <w:br w:type="column"/>
      </w:r>
      <w:r>
        <w:rPr>
          <w:lang w:val="ru-RU" w:eastAsia="ru-RU" w:bidi="ru-RU"/>
          <w:w w:val="100"/>
          <w:spacing w:val="0"/>
          <w:color w:val="000000"/>
          <w:position w:val="0"/>
        </w:rPr>
        <w:t>Высокую специфичность для диагностики мио</w:t>
        <w:softHyphen/>
        <w:t>кардиальной ишемии и инфаркта имеют карди</w:t>
        <w:softHyphen/>
        <w:t xml:space="preserve">альные тропонины. Тропониновые белки </w:t>
      </w:r>
      <w:r>
        <w:rPr>
          <w:lang w:val="en-US" w:eastAsia="en-US" w:bidi="en-US"/>
          <w:w w:val="100"/>
          <w:spacing w:val="0"/>
          <w:color w:val="000000"/>
          <w:position w:val="0"/>
        </w:rPr>
        <w:t xml:space="preserve">(I, C, T) </w:t>
      </w:r>
      <w:r>
        <w:rPr>
          <w:lang w:val="ru-RU" w:eastAsia="ru-RU" w:bidi="ru-RU"/>
          <w:w w:val="100"/>
          <w:spacing w:val="0"/>
          <w:color w:val="000000"/>
          <w:position w:val="0"/>
        </w:rPr>
        <w:t xml:space="preserve">регулируют кальцийзависимое взаимодействие миозина и актина. Тропонин </w:t>
      </w:r>
      <w:r>
        <w:rPr>
          <w:lang w:val="en-US" w:eastAsia="en-US" w:bidi="en-US"/>
          <w:w w:val="100"/>
          <w:spacing w:val="0"/>
          <w:color w:val="000000"/>
          <w:position w:val="0"/>
        </w:rPr>
        <w:t xml:space="preserve">C </w:t>
      </w:r>
      <w:r>
        <w:rPr>
          <w:lang w:val="ru-RU" w:eastAsia="ru-RU" w:bidi="ru-RU"/>
          <w:w w:val="100"/>
          <w:spacing w:val="0"/>
          <w:color w:val="000000"/>
          <w:position w:val="0"/>
        </w:rPr>
        <w:t>содержится в ске</w:t>
        <w:softHyphen/>
        <w:t xml:space="preserve">летной и сердечной мышце, тропонины </w:t>
      </w:r>
      <w:r>
        <w:rPr>
          <w:lang w:val="en-US" w:eastAsia="en-US" w:bidi="en-US"/>
          <w:w w:val="100"/>
          <w:spacing w:val="0"/>
          <w:color w:val="000000"/>
          <w:position w:val="0"/>
        </w:rPr>
        <w:t xml:space="preserve">I </w:t>
      </w:r>
      <w:r>
        <w:rPr>
          <w:lang w:val="ru-RU" w:eastAsia="ru-RU" w:bidi="ru-RU"/>
          <w:w w:val="100"/>
          <w:spacing w:val="0"/>
          <w:color w:val="000000"/>
          <w:position w:val="0"/>
        </w:rPr>
        <w:t xml:space="preserve">и </w:t>
      </w:r>
      <w:r>
        <w:rPr>
          <w:lang w:val="en-US" w:eastAsia="en-US" w:bidi="en-US"/>
          <w:w w:val="100"/>
          <w:spacing w:val="0"/>
          <w:color w:val="000000"/>
          <w:position w:val="0"/>
        </w:rPr>
        <w:t xml:space="preserve">T </w:t>
      </w:r>
      <w:r>
        <w:rPr>
          <w:lang w:val="ru-RU" w:eastAsia="ru-RU" w:bidi="ru-RU"/>
          <w:w w:val="100"/>
          <w:spacing w:val="0"/>
          <w:color w:val="000000"/>
          <w:position w:val="0"/>
        </w:rPr>
        <w:t>— только в миокарде.</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Электрокардиография:</w:t>
      </w:r>
    </w:p>
    <w:p>
      <w:pPr>
        <w:pStyle w:val="Style30"/>
        <w:numPr>
          <w:ilvl w:val="0"/>
          <w:numId w:val="9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 ЭКГ определяются признаки ишемии или ин</w:t>
        <w:softHyphen/>
        <w:t>фаркта сердечной мышцы, аритмии, проявления перегрузки и/или гипертрофии сердечных камер в зависимости от варианта аномалии коронарных артерий.</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Рентгенография грудной клетки:</w:t>
      </w:r>
    </w:p>
    <w:p>
      <w:pPr>
        <w:pStyle w:val="Style30"/>
        <w:numPr>
          <w:ilvl w:val="0"/>
          <w:numId w:val="9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Рентгенологические изменения при врожденных аномалиях коронарного кровообращения такие же, как при застойной сердечной недостаточности. Определяются кардиомегалия, легочный веноз</w:t>
        <w:softHyphen/>
        <w:t>ный застой, интерстициальный отек легочной па</w:t>
        <w:softHyphen/>
        <w:t>ренхимы, дилатация левого предсердия.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Эхокардиография:</w:t>
      </w:r>
    </w:p>
    <w:p>
      <w:pPr>
        <w:pStyle w:val="Style30"/>
        <w:numPr>
          <w:ilvl w:val="0"/>
          <w:numId w:val="9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 детей с поражением миокарда эхокардиография позволяет выявить слабо сокращающийся расши</w:t>
        <w:softHyphen/>
        <w:t>ренный, плохо функционирующий левый желу</w:t>
        <w:softHyphen/>
        <w:t>дочек.</w:t>
      </w:r>
    </w:p>
    <w:p>
      <w:pPr>
        <w:pStyle w:val="Style30"/>
        <w:numPr>
          <w:ilvl w:val="0"/>
          <w:numId w:val="9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Определяется глобальная или региональная мио</w:t>
        <w:softHyphen/>
        <w:t>кардиальная дисфункция.</w:t>
      </w:r>
    </w:p>
    <w:p>
      <w:pPr>
        <w:pStyle w:val="Style30"/>
        <w:numPr>
          <w:ilvl w:val="0"/>
          <w:numId w:val="9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Часто обнаруживается митральная регургитация из-за дисфункции папиллярных мышц.</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Радионуклидная диагностика:</w:t>
      </w:r>
    </w:p>
    <w:p>
      <w:pPr>
        <w:pStyle w:val="Style30"/>
        <w:numPr>
          <w:ilvl w:val="0"/>
          <w:numId w:val="9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Проводится изучение миокардиальной перфузии с помощью таллия -201 или технеция-99м как в по</w:t>
        <w:softHyphen/>
        <w:t>кое, так и при выполнении физической нагрузки. Этот метод позволяет выявить дефекты перфузии миокарда в зоне, кровоснабжаемой аномальным сосудом.</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Катетеризация сердца, ангиография:</w:t>
      </w:r>
    </w:p>
    <w:p>
      <w:pPr>
        <w:pStyle w:val="Style30"/>
        <w:numPr>
          <w:ilvl w:val="0"/>
          <w:numId w:val="99"/>
        </w:numPr>
        <w:tabs>
          <w:tab w:leader="none" w:pos="739"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 помощью этих методов устанавливается точный диагноз аномалии коронарных сосудов.</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Лечение</w:t>
      </w:r>
    </w:p>
    <w:p>
      <w:pPr>
        <w:pStyle w:val="Style30"/>
        <w:numPr>
          <w:ilvl w:val="0"/>
          <w:numId w:val="99"/>
        </w:numPr>
        <w:tabs>
          <w:tab w:leader="none" w:pos="512"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Лечение коронарной ишемии и инфаркта миокарда осуществляется в палате интенсивной терапии (см ).</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Хирургическая коррекция</w:t>
      </w:r>
    </w:p>
    <w:p>
      <w:pPr>
        <w:pStyle w:val="Style30"/>
        <w:numPr>
          <w:ilvl w:val="0"/>
          <w:numId w:val="99"/>
        </w:numPr>
        <w:tabs>
          <w:tab w:leader="none" w:pos="512"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Метод хирургического лечения зависит от варианта аномалии, в большинстве случаев возможна ради</w:t>
        <w:softHyphen/>
        <w:t>кальная коррекция.</w:t>
      </w:r>
    </w:p>
    <w:p>
      <w:pPr>
        <w:pStyle w:val="Style30"/>
        <w:numPr>
          <w:ilvl w:val="0"/>
          <w:numId w:val="99"/>
        </w:numPr>
        <w:tabs>
          <w:tab w:leader="none" w:pos="512" w:val="left"/>
        </w:tabs>
        <w:widowControl w:val="0"/>
        <w:keepNext w:val="0"/>
        <w:keepLines w:val="0"/>
        <w:shd w:val="clear" w:color="auto" w:fill="auto"/>
        <w:bidi w:val="0"/>
        <w:spacing w:before="0" w:after="161"/>
        <w:ind w:left="500" w:right="0" w:hanging="220"/>
      </w:pPr>
      <w:r>
        <w:rPr>
          <w:lang w:val="ru-RU" w:eastAsia="ru-RU" w:bidi="ru-RU"/>
          <w:w w:val="100"/>
          <w:spacing w:val="0"/>
          <w:color w:val="000000"/>
          <w:position w:val="0"/>
        </w:rPr>
        <w:t>Успешно разработаны способы коррекции при ано</w:t>
        <w:softHyphen/>
        <w:t xml:space="preserve">мальном отхождении левой коронарной артерии от легочной (операция </w:t>
      </w:r>
      <w:r>
        <w:rPr>
          <w:lang w:val="en-US" w:eastAsia="en-US" w:bidi="en-US"/>
          <w:w w:val="100"/>
          <w:spacing w:val="0"/>
          <w:color w:val="000000"/>
          <w:position w:val="0"/>
        </w:rPr>
        <w:t xml:space="preserve">Tekeushi, </w:t>
      </w:r>
      <w:r>
        <w:rPr>
          <w:lang w:val="ru-RU" w:eastAsia="ru-RU" w:bidi="ru-RU"/>
          <w:w w:val="100"/>
          <w:spacing w:val="0"/>
          <w:color w:val="000000"/>
          <w:position w:val="0"/>
        </w:rPr>
        <w:t xml:space="preserve">операция </w:t>
      </w:r>
      <w:r>
        <w:rPr>
          <w:lang w:val="en-US" w:eastAsia="en-US" w:bidi="en-US"/>
          <w:w w:val="100"/>
          <w:spacing w:val="0"/>
          <w:color w:val="000000"/>
          <w:position w:val="0"/>
        </w:rPr>
        <w:t xml:space="preserve">Jatene), </w:t>
      </w:r>
      <w:r>
        <w:rPr>
          <w:lang w:val="ru-RU" w:eastAsia="ru-RU" w:bidi="ru-RU"/>
          <w:w w:val="100"/>
          <w:spacing w:val="0"/>
          <w:color w:val="000000"/>
          <w:position w:val="0"/>
        </w:rPr>
        <w:t>опе</w:t>
        <w:softHyphen/>
        <w:t>рации по устранению сужения коронарного устья.</w:t>
      </w:r>
    </w:p>
    <w:p>
      <w:pPr>
        <w:pStyle w:val="Style48"/>
        <w:widowControl w:val="0"/>
        <w:keepNext/>
        <w:keepLines/>
        <w:shd w:val="clear" w:color="auto" w:fill="auto"/>
        <w:bidi w:val="0"/>
        <w:jc w:val="left"/>
        <w:spacing w:before="0" w:after="79" w:line="240" w:lineRule="exact"/>
        <w:ind w:left="0" w:right="0" w:firstLine="0"/>
      </w:pPr>
      <w:bookmarkStart w:id="535" w:name="bookmark535"/>
      <w:r>
        <w:rPr>
          <w:lang w:val="ru-RU" w:eastAsia="ru-RU" w:bidi="ru-RU"/>
          <w:w w:val="100"/>
          <w:spacing w:val="0"/>
          <w:color w:val="000000"/>
          <w:position w:val="0"/>
        </w:rPr>
        <w:t>Аномальное отхождение левой главной коронарной артерии от легочной артерии (АОЛКА от ЛА)</w:t>
      </w:r>
      <w:bookmarkEnd w:id="535"/>
    </w:p>
    <w:p>
      <w:pPr>
        <w:pStyle w:val="Style30"/>
        <w:numPr>
          <w:ilvl w:val="0"/>
          <w:numId w:val="99"/>
        </w:numPr>
        <w:tabs>
          <w:tab w:leader="none" w:pos="512" w:val="left"/>
        </w:tabs>
        <w:widowControl w:val="0"/>
        <w:keepNext w:val="0"/>
        <w:keepLines w:val="0"/>
        <w:shd w:val="clear" w:color="auto" w:fill="auto"/>
        <w:bidi w:val="0"/>
        <w:spacing w:before="0" w:after="0"/>
        <w:ind w:left="500" w:right="0" w:hanging="220"/>
      </w:pPr>
      <w:r>
        <w:pict>
          <v:shape id="_x0000_s1539" type="#_x0000_t75" style="position:absolute;margin-left:130.8pt;margin-top:736.8pt;width:209.75pt;height:14.9pt;z-index:-125829033;mso-wrap-distance-left:124.8pt;mso-wrap-distance-right:148.1pt;mso-wrap-distance-bottom:10.8pt;mso-position-horizontal-relative:margin;mso-position-vertical-relative:margin" wrapcoords="0 0 21600 0 21600 21600 0 21600 0 0">
            <v:imagedata r:id="rId854" r:href="rId855"/>
            <w10:wrap type="topAndBottom" anchorx="margin" anchory="margin"/>
          </v:shape>
        </w:pict>
      </w:r>
      <w:r>
        <w:rPr>
          <w:lang w:val="ru-RU" w:eastAsia="ru-RU" w:bidi="ru-RU"/>
          <w:w w:val="100"/>
          <w:spacing w:val="0"/>
          <w:color w:val="000000"/>
          <w:position w:val="0"/>
        </w:rPr>
        <w:t>Аномальное отхождение левой главной коронарной артерии от легочного ствола может быть изолирован</w:t>
        <w:softHyphen/>
        <w:t>ной аномалией либо сочетается с другими врожден</w:t>
        <w:softHyphen/>
        <w:t>ными пороками сердца: межжелудочковым дефек</w:t>
        <w:softHyphen/>
        <w:t>том, тетрадой Фалло, окрытым атриовентрикуляр</w:t>
        <w:softHyphen/>
        <w:t>ным каналом и общим артериальным стволом. До-</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полнительно к аномальному отхождению левой глав</w:t>
        <w:softHyphen/>
        <w:t>ной коронарной артерии от легочной левая передняя нисходящая или огибающая артерии тоже могут на</w:t>
        <w:softHyphen/>
        <w:t>чинаться от легочного ствола.</w:t>
      </w:r>
    </w:p>
    <w:p>
      <w:pPr>
        <w:pStyle w:val="Style30"/>
        <w:numPr>
          <w:ilvl w:val="0"/>
          <w:numId w:val="9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Чаще левая аномальная артерия отходит от левого си</w:t>
        <w:softHyphen/>
        <w:t>нуса легочной артерии. Однако она может начинать</w:t>
        <w:softHyphen/>
        <w:t>ся от ее ствола над комиссурой, разделяющей правый и задний синусы легочной артерии, или от правой или левой ее ветвей.</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Краткая историческая справка</w:t>
      </w:r>
    </w:p>
    <w:p>
      <w:pPr>
        <w:pStyle w:val="Style30"/>
        <w:numPr>
          <w:ilvl w:val="0"/>
          <w:numId w:val="9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Этот порок был впервые описан </w:t>
      </w:r>
      <w:r>
        <w:rPr>
          <w:lang w:val="en-US" w:eastAsia="en-US" w:bidi="en-US"/>
          <w:w w:val="100"/>
          <w:spacing w:val="0"/>
          <w:color w:val="000000"/>
          <w:position w:val="0"/>
        </w:rPr>
        <w:t xml:space="preserve">Brooks H. St. J. </w:t>
      </w:r>
      <w:r>
        <w:rPr>
          <w:lang w:val="ru-RU" w:eastAsia="ru-RU" w:bidi="ru-RU"/>
          <w:w w:val="100"/>
          <w:spacing w:val="0"/>
          <w:color w:val="000000"/>
          <w:position w:val="0"/>
        </w:rPr>
        <w:t xml:space="preserve">в 1886 г. и </w:t>
      </w:r>
      <w:r>
        <w:rPr>
          <w:lang w:val="en-US" w:eastAsia="en-US" w:bidi="en-US"/>
          <w:w w:val="100"/>
          <w:spacing w:val="0"/>
          <w:color w:val="000000"/>
          <w:position w:val="0"/>
        </w:rPr>
        <w:t xml:space="preserve">Abbot </w:t>
      </w:r>
      <w:r>
        <w:rPr>
          <w:lang w:val="ru-RU" w:eastAsia="ru-RU" w:bidi="ru-RU"/>
          <w:w w:val="100"/>
          <w:spacing w:val="0"/>
          <w:color w:val="000000"/>
          <w:position w:val="0"/>
        </w:rPr>
        <w:t>М.</w:t>
      </w:r>
    </w:p>
    <w:p>
      <w:pPr>
        <w:pStyle w:val="Style30"/>
        <w:numPr>
          <w:ilvl w:val="0"/>
          <w:numId w:val="9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В 1908 г. </w:t>
      </w:r>
      <w:r>
        <w:rPr>
          <w:lang w:val="en-US" w:eastAsia="en-US" w:bidi="en-US"/>
          <w:w w:val="100"/>
          <w:spacing w:val="0"/>
          <w:color w:val="000000"/>
          <w:position w:val="0"/>
        </w:rPr>
        <w:t xml:space="preserve">Bland E., White P. </w:t>
      </w:r>
      <w:r>
        <w:rPr>
          <w:lang w:val="ru-RU" w:eastAsia="ru-RU" w:bidi="ru-RU"/>
          <w:w w:val="100"/>
          <w:spacing w:val="0"/>
          <w:color w:val="000000"/>
          <w:position w:val="0"/>
        </w:rPr>
        <w:t xml:space="preserve">и </w:t>
      </w:r>
      <w:r>
        <w:rPr>
          <w:lang w:val="en-US" w:eastAsia="en-US" w:bidi="en-US"/>
          <w:w w:val="100"/>
          <w:spacing w:val="0"/>
          <w:color w:val="000000"/>
          <w:position w:val="0"/>
        </w:rPr>
        <w:t xml:space="preserve">Garland J. (1933) </w:t>
      </w:r>
      <w:r>
        <w:rPr>
          <w:lang w:val="ru-RU" w:eastAsia="ru-RU" w:bidi="ru-RU"/>
          <w:w w:val="100"/>
          <w:spacing w:val="0"/>
          <w:color w:val="000000"/>
          <w:position w:val="0"/>
        </w:rPr>
        <w:t>наблю</w:t>
        <w:softHyphen/>
        <w:t>дали младенца с этой аномалией и отмечали эпизо</w:t>
        <w:softHyphen/>
        <w:t>ды: резкого ухудшения в состоянии при кормлении, вероятно, в связи с острой коронарной недостаточ</w:t>
        <w:softHyphen/>
        <w:t>ностью.</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Частота</w:t>
      </w:r>
    </w:p>
    <w:p>
      <w:pPr>
        <w:pStyle w:val="Style30"/>
        <w:numPr>
          <w:ilvl w:val="0"/>
          <w:numId w:val="9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АОЛКА от ЛА встречается в 0,25-0,4% случаев среди всех врожденных пороков сердца, а выживаемость в периоде новорожденности составляет всего 59% </w:t>
      </w:r>
      <w:r>
        <w:rPr>
          <w:lang w:val="en-US" w:eastAsia="en-US" w:bidi="en-US"/>
          <w:w w:val="100"/>
          <w:spacing w:val="0"/>
          <w:color w:val="000000"/>
          <w:position w:val="0"/>
        </w:rPr>
        <w:t xml:space="preserve">(Berdjis F. et al., </w:t>
      </w:r>
      <w:r>
        <w:rPr>
          <w:lang w:val="ru-RU" w:eastAsia="ru-RU" w:bidi="ru-RU"/>
          <w:w w:val="100"/>
          <w:spacing w:val="0"/>
          <w:color w:val="000000"/>
          <w:position w:val="0"/>
        </w:rPr>
        <w:t>1994).</w:t>
      </w:r>
    </w:p>
    <w:p>
      <w:pPr>
        <w:pStyle w:val="Style30"/>
        <w:numPr>
          <w:ilvl w:val="0"/>
          <w:numId w:val="9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Аномальное отхождение левой главной коронарной артерии от легочной встречается у одного из </w:t>
      </w:r>
      <w:r>
        <w:rPr>
          <w:lang w:val="en-US" w:eastAsia="en-US" w:bidi="en-US"/>
          <w:w w:val="100"/>
          <w:spacing w:val="0"/>
          <w:color w:val="000000"/>
          <w:position w:val="0"/>
        </w:rPr>
        <w:t xml:space="preserve">300 000 </w:t>
      </w:r>
      <w:r>
        <w:rPr>
          <w:lang w:val="ru-RU" w:eastAsia="ru-RU" w:bidi="ru-RU"/>
          <w:w w:val="100"/>
          <w:spacing w:val="0"/>
          <w:color w:val="000000"/>
          <w:position w:val="0"/>
        </w:rPr>
        <w:t>родившихся ежегодно детей и регистрируется при</w:t>
        <w:softHyphen/>
        <w:t>жизненно в 0,26% случаев среди врожденных поро</w:t>
        <w:softHyphen/>
        <w:t xml:space="preserve">ков сердца </w:t>
      </w:r>
      <w:r>
        <w:rPr>
          <w:lang w:val="en-US" w:eastAsia="en-US" w:bidi="en-US"/>
          <w:w w:val="100"/>
          <w:spacing w:val="0"/>
          <w:color w:val="000000"/>
          <w:position w:val="0"/>
        </w:rPr>
        <w:t xml:space="preserve">(Cherian K.M. et al., </w:t>
      </w:r>
      <w:r>
        <w:rPr>
          <w:lang w:val="ru-RU" w:eastAsia="ru-RU" w:bidi="ru-RU"/>
          <w:w w:val="100"/>
          <w:spacing w:val="0"/>
          <w:color w:val="000000"/>
          <w:position w:val="0"/>
        </w:rPr>
        <w:t>1994).</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Патогенез</w:t>
      </w:r>
    </w:p>
    <w:p>
      <w:pPr>
        <w:pStyle w:val="Style30"/>
        <w:numPr>
          <w:ilvl w:val="0"/>
          <w:numId w:val="9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Во внутриутробном периоде вследствие высокого давления и насыщения крови кислородом в легочной артерии обе коронарные артерии снабжают миокард равноценной кровью, и ишемия не развивается.</w:t>
      </w:r>
    </w:p>
    <w:p>
      <w:pPr>
        <w:pStyle w:val="Style30"/>
        <w:numPr>
          <w:ilvl w:val="0"/>
          <w:numId w:val="9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После рождения в связи со снижением насыщения крови кислородом и снижением давления в легочной артерии прогрессивно нарастает ишемия миокарда, в первую очередь передней стенки левого желудочка. Выделяют два типа этого порока: «инфантильный» и «взрослый». При «инфантильном» типе межкоро - нарные анастомозы плохо развиты, у всех больных обнаруживают увеличение полости левого желудоч</w:t>
        <w:softHyphen/>
        <w:t>ка, рубцы и очаги инфарктов в миокарде, а также диффузный его фиброз.</w:t>
      </w:r>
    </w:p>
    <w:p>
      <w:pPr>
        <w:pStyle w:val="Style30"/>
        <w:numPr>
          <w:ilvl w:val="0"/>
          <w:numId w:val="9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Компенсация кровотока в системе левой главной ко - ронарной артерии частично возможна за счет правого типа коронарного кровообращения, а также поступ</w:t>
        <w:softHyphen/>
        <w:t>ления крови непосредственно из полости левого же</w:t>
        <w:softHyphen/>
        <w:t>лудочка в левую главную коронарную артерию по эм</w:t>
        <w:softHyphen/>
        <w:t>бриональным синусоидам и сосудам Вьессена-Тебе- зия, число которых у детей велико.</w:t>
      </w:r>
    </w:p>
    <w:p>
      <w:pPr>
        <w:pStyle w:val="Style30"/>
        <w:numPr>
          <w:ilvl w:val="0"/>
          <w:numId w:val="9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Даже если не развивается инфаркт, хроническая ги</w:t>
        <w:softHyphen/>
        <w:t>поперфузия миокарда приводит к развитию очагов фиброза в миокарде, составляющих в среднем 51,3% от общей его массы, а 46,3% сохранившихся миоци</w:t>
        <w:softHyphen/>
        <w:t xml:space="preserve">тов имеет сниженную контрактильность </w:t>
      </w:r>
      <w:r>
        <w:rPr>
          <w:lang w:val="en-US" w:eastAsia="en-US" w:bidi="en-US"/>
          <w:w w:val="100"/>
          <w:spacing w:val="0"/>
          <w:color w:val="000000"/>
          <w:position w:val="0"/>
        </w:rPr>
        <w:t xml:space="preserve">(Shivalkar B. et al., </w:t>
      </w:r>
      <w:r>
        <w:rPr>
          <w:lang w:val="ru-RU" w:eastAsia="ru-RU" w:bidi="ru-RU"/>
          <w:w w:val="100"/>
          <w:spacing w:val="0"/>
          <w:color w:val="000000"/>
          <w:position w:val="0"/>
        </w:rPr>
        <w:t>1994).</w:t>
      </w:r>
    </w:p>
    <w:p>
      <w:pPr>
        <w:pStyle w:val="Style30"/>
        <w:numPr>
          <w:ilvl w:val="0"/>
          <w:numId w:val="9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«взрослом» типе порока хорошо развиты межко - ронарные анастомозы, правая коронарная артерия резко расширена и извита, выражены дистрофичес</w:t>
        <w:softHyphen/>
        <w:t>кие изменения кардиомиоцитов, интерстициальный фиброз в миокарде левого желудочка.</w:t>
      </w:r>
    </w:p>
    <w:p>
      <w:pPr>
        <w:pStyle w:val="Style30"/>
        <w:numPr>
          <w:ilvl w:val="0"/>
          <w:numId w:val="9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Формируется синдром «обкрадывания» — </w:t>
      </w:r>
      <w:r>
        <w:rPr>
          <w:lang w:val="en-US" w:eastAsia="en-US" w:bidi="en-US"/>
          <w:w w:val="100"/>
          <w:spacing w:val="0"/>
          <w:color w:val="000000"/>
          <w:position w:val="0"/>
        </w:rPr>
        <w:t>steal</w:t>
      </w:r>
      <w:r>
        <w:rPr>
          <w:lang w:val="ru-RU" w:eastAsia="ru-RU" w:bidi="ru-RU"/>
          <w:w w:val="100"/>
          <w:spacing w:val="0"/>
          <w:color w:val="000000"/>
          <w:position w:val="0"/>
        </w:rPr>
        <w:t>-синд</w:t>
        <w:softHyphen/>
        <w:t>ром, и вследствие длительного неадекватного кровос</w:t>
        <w:softHyphen/>
        <w:br w:type="column"/>
        <w:t>набжения правого желудочка может сформироваться кардиомиопатия в задненижних участках миокарда.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Клинические проявления</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«Инфантильный» и «взрослый» типы АОЛКА от ЛА представляют собой две крайние разновидности все</w:t>
        <w:softHyphen/>
        <w:t>го спектра проявлений данного порока. Индивиду</w:t>
        <w:softHyphen/>
        <w:t>альные проявления у каждого конкретного больного зависят от степени развития коллатералей между сис</w:t>
        <w:softHyphen/>
        <w:t>темой правой и левой главных коронарных артерий. Развитие коллатералей является определяющим фак</w:t>
        <w:softHyphen/>
        <w:t>тором выживаемости.</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младенцев с аномальным отхождением левой глав</w:t>
        <w:softHyphen/>
        <w:t>ной коронарной артерии от легочной некрозы в мио</w:t>
        <w:softHyphen/>
        <w:t>карде развиваются вскоре после рождения. У тех, кто выжил, остаются локальные очаги перенесенных по</w:t>
        <w:softHyphen/>
        <w:t>стинфарктных изменений и почти полностью завися</w:t>
        <w:softHyphen/>
        <w:t>щая от развития коллатералей перфузия левого желу</w:t>
        <w:softHyphen/>
        <w:t>дочка, что приводит к резкому снижению его сокра</w:t>
        <w:softHyphen/>
        <w:t>тительной способности. В связи с тяжелой застойной сердечной недостаточностью больные редко пережи</w:t>
        <w:softHyphen/>
        <w:t>вают младенческий возраст.</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Больные с аномальным отхождением левой главной коронарной артерии от легочной не только в младен</w:t>
        <w:softHyphen/>
        <w:t>ческом, но и в раннем детском возрасте могут стра</w:t>
        <w:softHyphen/>
        <w:t>дать от застойной сердечной недостаточности. Появ</w:t>
        <w:softHyphen/>
        <w:t>ляются одышка, бледность, плохой аппетит, гипотро</w:t>
        <w:softHyphen/>
        <w:t xml:space="preserve">фия. Согласно классическому описанию </w:t>
      </w:r>
      <w:r>
        <w:rPr>
          <w:lang w:val="en-US" w:eastAsia="en-US" w:bidi="en-US"/>
          <w:w w:val="100"/>
          <w:spacing w:val="0"/>
          <w:color w:val="000000"/>
          <w:position w:val="0"/>
        </w:rPr>
        <w:t xml:space="preserve">Bland </w:t>
      </w:r>
      <w:r>
        <w:rPr>
          <w:lang w:val="ru-RU" w:eastAsia="ru-RU" w:bidi="ru-RU"/>
          <w:w w:val="100"/>
          <w:spacing w:val="0"/>
          <w:color w:val="000000"/>
          <w:position w:val="0"/>
        </w:rPr>
        <w:t xml:space="preserve">Е., </w:t>
      </w:r>
      <w:r>
        <w:rPr>
          <w:lang w:val="en-US" w:eastAsia="en-US" w:bidi="en-US"/>
          <w:w w:val="100"/>
          <w:spacing w:val="0"/>
          <w:color w:val="000000"/>
          <w:position w:val="0"/>
        </w:rPr>
        <w:t xml:space="preserve">White </w:t>
      </w:r>
      <w:r>
        <w:rPr>
          <w:lang w:val="ru-RU" w:eastAsia="ru-RU" w:bidi="ru-RU"/>
          <w:w w:val="100"/>
          <w:spacing w:val="0"/>
          <w:color w:val="000000"/>
          <w:position w:val="0"/>
        </w:rPr>
        <w:t xml:space="preserve">Р., </w:t>
      </w:r>
      <w:r>
        <w:rPr>
          <w:lang w:val="en-US" w:eastAsia="en-US" w:bidi="en-US"/>
          <w:w w:val="100"/>
          <w:spacing w:val="0"/>
          <w:color w:val="000000"/>
          <w:position w:val="0"/>
        </w:rPr>
        <w:t xml:space="preserve">Garland J. </w:t>
      </w:r>
      <w:r>
        <w:rPr>
          <w:lang w:val="ru-RU" w:eastAsia="ru-RU" w:bidi="ru-RU"/>
          <w:w w:val="100"/>
          <w:spacing w:val="0"/>
          <w:color w:val="000000"/>
          <w:position w:val="0"/>
        </w:rPr>
        <w:t>(1933), для них типичны внезап</w:t>
        <w:softHyphen/>
        <w:t>ный плач, бледность, возбуждение, потливость, что обусловлено миокардиальной ишемией.</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Признаки застойной сердечной недостаточности мо</w:t>
        <w:softHyphen/>
        <w:t>гут быть выявлены при физикальном обследовании.</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Нередко выслушивается ритм галопа и шум митраль</w:t>
        <w:softHyphen/>
        <w:t>ной недостаточности.</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Клиническая симптоматика аномального отхожде</w:t>
        <w:softHyphen/>
        <w:t>ния левой главной коронарной артерии от легочной у детей младшего возраста напоминает таковую при миокардите или дилатационной кардиомиопатии, и поэтому при дифференциальном диагнозе причин застойной сердечной недостаточности всегда следу</w:t>
        <w:softHyphen/>
        <w:t>ет помнить о врожденных аномалиях коронарных артерий.</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выявлении аномального отхождения левой глав</w:t>
        <w:softHyphen/>
        <w:t>ной коронарной артерии от легочной в подростковом возрасте первыми симптомами бывают плохое само</w:t>
        <w:softHyphen/>
        <w:t>чувствие при спортивных занятиях и симптомы мит</w:t>
        <w:softHyphen/>
        <w:t xml:space="preserve">ральной недостаточности. </w:t>
      </w:r>
      <w:r>
        <w:rPr>
          <w:lang w:val="en-US" w:eastAsia="en-US" w:bidi="en-US"/>
          <w:w w:val="100"/>
          <w:spacing w:val="0"/>
          <w:color w:val="000000"/>
          <w:position w:val="0"/>
        </w:rPr>
        <w:t xml:space="preserve">H.Neufeld </w:t>
      </w:r>
      <w:r>
        <w:rPr>
          <w:lang w:val="ru-RU" w:eastAsia="ru-RU" w:bidi="ru-RU"/>
          <w:w w:val="100"/>
          <w:spacing w:val="0"/>
          <w:color w:val="000000"/>
          <w:position w:val="0"/>
        </w:rPr>
        <w:t xml:space="preserve">и </w:t>
      </w:r>
      <w:r>
        <w:rPr>
          <w:lang w:val="en-US" w:eastAsia="en-US" w:bidi="en-US"/>
          <w:w w:val="100"/>
          <w:spacing w:val="0"/>
          <w:color w:val="000000"/>
          <w:position w:val="0"/>
        </w:rPr>
        <w:t xml:space="preserve">A.Schneeweiss (1983) </w:t>
      </w:r>
      <w:r>
        <w:rPr>
          <w:lang w:val="ru-RU" w:eastAsia="ru-RU" w:bidi="ru-RU"/>
          <w:w w:val="100"/>
          <w:spacing w:val="0"/>
          <w:color w:val="000000"/>
          <w:position w:val="0"/>
        </w:rPr>
        <w:t xml:space="preserve">проанализировали </w:t>
      </w:r>
      <w:r>
        <w:rPr>
          <w:lang w:val="en-US" w:eastAsia="en-US" w:bidi="en-US"/>
          <w:w w:val="100"/>
          <w:spacing w:val="0"/>
          <w:color w:val="000000"/>
          <w:position w:val="0"/>
        </w:rPr>
        <w:t xml:space="preserve">460 </w:t>
      </w:r>
      <w:r>
        <w:rPr>
          <w:lang w:val="ru-RU" w:eastAsia="ru-RU" w:bidi="ru-RU"/>
          <w:w w:val="100"/>
          <w:spacing w:val="0"/>
          <w:color w:val="000000"/>
          <w:position w:val="0"/>
        </w:rPr>
        <w:t xml:space="preserve">случаев заболевания, описанных в литературе, и обнаружили, что у </w:t>
      </w:r>
      <w:r>
        <w:rPr>
          <w:lang w:val="en-US" w:eastAsia="en-US" w:bidi="en-US"/>
          <w:w w:val="100"/>
          <w:spacing w:val="0"/>
          <w:color w:val="000000"/>
          <w:position w:val="0"/>
        </w:rPr>
        <w:t xml:space="preserve">60 </w:t>
      </w:r>
      <w:r>
        <w:rPr>
          <w:lang w:val="ru-RU" w:eastAsia="ru-RU" w:bidi="ru-RU"/>
          <w:w w:val="100"/>
          <w:spacing w:val="0"/>
          <w:color w:val="000000"/>
          <w:position w:val="0"/>
        </w:rPr>
        <w:t>больных (13%) симптомы появились только во взрос</w:t>
        <w:softHyphen/>
        <w:t>лом возрасте. У подростков и взрослых наличие ано</w:t>
        <w:softHyphen/>
        <w:t>мального отхождения левой главной коронарной ар</w:t>
        <w:softHyphen/>
        <w:t>терии от легочной можно предполагать при «необъ</w:t>
        <w:softHyphen/>
        <w:t>яснимой» кардиомегалии, митральной недостаточно</w:t>
        <w:softHyphen/>
        <w:t>сти или стойком систолическом шуме. Вследствие феномена обкрадывания возможно также наличие ангинозных болей. Иногда присутствуют симптомы, не связанные, на первый взгляд, с кардиальной пато</w:t>
        <w:softHyphen/>
        <w:t>логией, и поэтому заболевание может быть диагнос</w:t>
        <w:softHyphen/>
        <w:t>тировано только на аутопсии.</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pict>
          <v:shape id="_x0000_s1540" type="#_x0000_t75" style="position:absolute;margin-left:141.85pt;margin-top:736.8pt;width:209.75pt;height:14.9pt;z-index:-125829032;mso-wrap-distance-left:135.6pt;mso-wrap-distance-right:136.8pt;mso-wrap-distance-bottom:10.8pt;mso-position-horizontal-relative:margin;mso-position-vertical-relative:margin" wrapcoords="0 0 21600 0 21600 21600 0 21600 0 0">
            <v:imagedata r:id="rId856" r:href="rId857"/>
            <w10:wrap type="topAndBottom" anchorx="margin" anchory="margin"/>
          </v:shape>
        </w:pict>
      </w:r>
      <w:r>
        <w:rPr>
          <w:lang w:val="ru-RU" w:eastAsia="ru-RU" w:bidi="ru-RU"/>
          <w:w w:val="100"/>
          <w:spacing w:val="0"/>
          <w:color w:val="000000"/>
          <w:position w:val="0"/>
        </w:rPr>
        <w:t>В отдельных случаях этот порок протекает настолько малосимптомно, что впервые выявляется у взрослых</w:t>
      </w:r>
      <w:r>
        <w:br w:type="page"/>
      </w:r>
    </w:p>
    <w:p>
      <w:pPr>
        <w:framePr w:w="4882" w:h="4877" w:hSpace="4773" w:wrap="notBeside" w:vAnchor="text" w:hAnchor="text" w:x="-5" w:y="1"/>
        <w:widowControl w:val="0"/>
        <w:rPr>
          <w:sz w:val="2"/>
          <w:szCs w:val="2"/>
        </w:rPr>
      </w:pPr>
      <w:r>
        <w:pict>
          <v:shape id="_x0000_s1541" type="#_x0000_t75" style="width:244pt;height:244pt;">
            <v:imagedata r:id="rId858" r:href="rId859"/>
          </v:shape>
        </w:pict>
      </w:r>
    </w:p>
    <w:p>
      <w:pPr>
        <w:pStyle w:val="Style120"/>
        <w:framePr w:w="4824" w:h="633" w:wrap="notBeside" w:vAnchor="text" w:hAnchor="text" w:x="-7" w:y="5098"/>
        <w:widowControl w:val="0"/>
        <w:keepNext w:val="0"/>
        <w:keepLines w:val="0"/>
        <w:shd w:val="clear" w:color="auto" w:fill="auto"/>
        <w:bidi w:val="0"/>
        <w:spacing w:before="0" w:after="0"/>
        <w:ind w:left="0" w:right="0" w:firstLine="0"/>
      </w:pPr>
      <w:r>
        <w:rPr>
          <w:rStyle w:val="CharStyle125"/>
        </w:rPr>
        <w:t xml:space="preserve">Рис. 74. </w:t>
      </w:r>
      <w:r>
        <w:rPr>
          <w:lang w:val="ru-RU" w:eastAsia="ru-RU" w:bidi="ru-RU"/>
          <w:w w:val="100"/>
          <w:spacing w:val="0"/>
          <w:color w:val="000000"/>
          <w:position w:val="0"/>
        </w:rPr>
        <w:t>ЭКГ при аномальном отхождении левой коронарной арте</w:t>
        <w:softHyphen/>
        <w:t>рии от легочной у подростка 14 лет: появление ишемических изме</w:t>
        <w:softHyphen/>
        <w:t>нений в миокарде (Б) при физической нагрузке.</w:t>
      </w:r>
    </w:p>
    <w:p>
      <w:pPr>
        <w:widowControl w:val="0"/>
        <w:rPr>
          <w:sz w:val="2"/>
          <w:szCs w:val="2"/>
        </w:rPr>
      </w:pPr>
    </w:p>
    <w:p>
      <w:pPr>
        <w:pStyle w:val="Style30"/>
        <w:widowControl w:val="0"/>
        <w:keepNext w:val="0"/>
        <w:keepLines w:val="0"/>
        <w:shd w:val="clear" w:color="auto" w:fill="auto"/>
        <w:bidi w:val="0"/>
        <w:spacing w:before="871" w:after="0"/>
        <w:ind w:left="500" w:right="0" w:firstLine="0"/>
      </w:pPr>
      <w:r>
        <w:rPr>
          <w:lang w:val="ru-RU" w:eastAsia="ru-RU" w:bidi="ru-RU"/>
          <w:w w:val="100"/>
          <w:spacing w:val="0"/>
          <w:color w:val="000000"/>
          <w:position w:val="0"/>
        </w:rPr>
        <w:t>в возрасте 50-60 лет при проведении стандартной электрокардиографии либо в связи с инфарктом мио - карда и/или проведением коронарографии.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Мы наблюдали подростка, у которого аномальное от</w:t>
        <w:softHyphen/>
        <w:t>хождение левой коронарной артерии выявлено слу</w:t>
        <w:softHyphen/>
        <w:t>чайно при диспансеризации. Важно отметить, что при проведении велоэргометрии выявлялись ишеми</w:t>
        <w:softHyphen/>
        <w:t>ческие изменения, не сопровождающиеся ангиноз</w:t>
        <w:softHyphen/>
        <w:t>ными болями (рис. 74).</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Электрокардиография (см. рис. 2-3):</w:t>
      </w:r>
    </w:p>
    <w:p>
      <w:pPr>
        <w:pStyle w:val="Style30"/>
        <w:numPr>
          <w:ilvl w:val="0"/>
          <w:numId w:val="9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Отклонение электрической оси сердца влево из-за блокады передней левой ветви пучка Гиса.</w:t>
      </w:r>
    </w:p>
    <w:p>
      <w:pPr>
        <w:pStyle w:val="Style30"/>
        <w:numPr>
          <w:ilvl w:val="0"/>
          <w:numId w:val="9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Глубокий, уширенный зубец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отведениях </w:t>
      </w:r>
      <w:r>
        <w:rPr>
          <w:lang w:val="en-US" w:eastAsia="en-US" w:bidi="en-US"/>
          <w:w w:val="100"/>
          <w:spacing w:val="0"/>
          <w:color w:val="000000"/>
          <w:position w:val="0"/>
        </w:rPr>
        <w:t>I, aVL,</w:t>
      </w:r>
    </w:p>
    <w:p>
      <w:pPr>
        <w:pStyle w:val="Style30"/>
        <w:widowControl w:val="0"/>
        <w:keepNext w:val="0"/>
        <w:keepLines w:val="0"/>
        <w:shd w:val="clear" w:color="auto" w:fill="auto"/>
        <w:bidi w:val="0"/>
        <w:jc w:val="left"/>
        <w:spacing w:before="0" w:after="0"/>
        <w:ind w:left="740" w:right="0" w:firstLine="0"/>
      </w:pPr>
      <w:r>
        <w:rPr>
          <w:lang w:val="en-US" w:eastAsia="en-US" w:bidi="en-US"/>
          <w:w w:val="100"/>
          <w:spacing w:val="0"/>
          <w:color w:val="000000"/>
          <w:position w:val="0"/>
        </w:rPr>
        <w:t>V</w:t>
      </w:r>
      <w:r>
        <w:rPr>
          <w:rStyle w:val="CharStyle32"/>
          <w:lang w:val="en-US" w:eastAsia="en-US" w:bidi="en-US"/>
        </w:rPr>
        <w:t>5</w:t>
      </w:r>
      <w:r>
        <w:rPr>
          <w:lang w:val="en-US" w:eastAsia="en-US" w:bidi="en-US"/>
          <w:w w:val="100"/>
          <w:spacing w:val="0"/>
          <w:color w:val="000000"/>
          <w:position w:val="0"/>
        </w:rPr>
        <w:t xml:space="preserve">, </w:t>
      </w:r>
      <w:r>
        <w:rPr>
          <w:rStyle w:val="CharStyle32"/>
        </w:rPr>
        <w:t>6</w:t>
      </w:r>
      <w:r>
        <w:rPr>
          <w:lang w:val="ru-RU" w:eastAsia="ru-RU" w:bidi="ru-RU"/>
          <w:w w:val="100"/>
          <w:spacing w:val="0"/>
          <w:color w:val="000000"/>
          <w:position w:val="0"/>
        </w:rPr>
        <w:t>.</w:t>
      </w:r>
    </w:p>
    <w:p>
      <w:pPr>
        <w:pStyle w:val="Style30"/>
        <w:numPr>
          <w:ilvl w:val="0"/>
          <w:numId w:val="9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«Провал» амплитуды зубца </w:t>
      </w:r>
      <w:r>
        <w:rPr>
          <w:lang w:val="en-US" w:eastAsia="en-US" w:bidi="en-US"/>
          <w:w w:val="100"/>
          <w:spacing w:val="0"/>
          <w:color w:val="000000"/>
          <w:position w:val="0"/>
        </w:rPr>
        <w:t xml:space="preserve">R </w:t>
      </w:r>
      <w:r>
        <w:rPr>
          <w:lang w:val="ru-RU" w:eastAsia="ru-RU" w:bidi="ru-RU"/>
          <w:w w:val="100"/>
          <w:spacing w:val="0"/>
          <w:color w:val="000000"/>
          <w:position w:val="0"/>
        </w:rPr>
        <w:t xml:space="preserve">в отведениях </w:t>
      </w:r>
      <w:r>
        <w:rPr>
          <w:lang w:val="en-US" w:eastAsia="en-US" w:bidi="en-US"/>
          <w:w w:val="100"/>
          <w:spacing w:val="0"/>
          <w:color w:val="000000"/>
          <w:position w:val="0"/>
        </w:rPr>
        <w:t>V</w:t>
      </w:r>
      <w:r>
        <w:rPr>
          <w:lang w:val="en-US" w:eastAsia="en-US" w:bidi="en-US"/>
          <w:vertAlign w:val="subscript"/>
          <w:w w:val="100"/>
          <w:spacing w:val="0"/>
          <w:color w:val="000000"/>
          <w:position w:val="0"/>
        </w:rPr>
        <w:t>3</w:t>
      </w:r>
      <w:r>
        <w:rPr>
          <w:lang w:val="en-US" w:eastAsia="en-US" w:bidi="en-US"/>
          <w:w w:val="100"/>
          <w:spacing w:val="0"/>
          <w:color w:val="000000"/>
          <w:position w:val="0"/>
        </w:rPr>
        <w:t>, V</w:t>
      </w:r>
      <w:r>
        <w:rPr>
          <w:lang w:val="en-US" w:eastAsia="en-US" w:bidi="en-US"/>
          <w:vertAlign w:val="subscript"/>
          <w:w w:val="100"/>
          <w:spacing w:val="0"/>
          <w:color w:val="000000"/>
          <w:position w:val="0"/>
        </w:rPr>
        <w:t>4</w:t>
      </w:r>
      <w:r>
        <w:rPr>
          <w:lang w:val="en-US" w:eastAsia="en-US" w:bidi="en-US"/>
          <w:w w:val="100"/>
          <w:spacing w:val="0"/>
          <w:color w:val="000000"/>
          <w:position w:val="0"/>
        </w:rPr>
        <w:t xml:space="preserve">, </w:t>
      </w:r>
      <w:r>
        <w:rPr>
          <w:lang w:val="ru-RU" w:eastAsia="ru-RU" w:bidi="ru-RU"/>
          <w:w w:val="100"/>
          <w:spacing w:val="0"/>
          <w:color w:val="000000"/>
          <w:position w:val="0"/>
        </w:rPr>
        <w:t xml:space="preserve">морфология комплекса становится типа </w:t>
      </w:r>
      <w:r>
        <w:rPr>
          <w:lang w:val="en-US" w:eastAsia="en-US" w:bidi="en-US"/>
          <w:w w:val="100"/>
          <w:spacing w:val="0"/>
          <w:color w:val="000000"/>
          <w:position w:val="0"/>
        </w:rPr>
        <w:t>rS, QS, Qr.</w:t>
      </w:r>
    </w:p>
    <w:p>
      <w:pPr>
        <w:pStyle w:val="Style30"/>
        <w:numPr>
          <w:ilvl w:val="0"/>
          <w:numId w:val="9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Признаки гипертрофии миокарда левого желудоч</w:t>
        <w:softHyphen/>
        <w:t xml:space="preserve">ка с субэндокардиальной ишемией (смещение на 2-2 мм ниже изолинии сегмента </w:t>
      </w:r>
      <w:r>
        <w:rPr>
          <w:lang w:val="en-US" w:eastAsia="en-US" w:bidi="en-US"/>
          <w:w w:val="100"/>
          <w:spacing w:val="0"/>
          <w:color w:val="000000"/>
          <w:position w:val="0"/>
        </w:rPr>
        <w:t xml:space="preserve">ST </w:t>
      </w:r>
      <w:r>
        <w:rPr>
          <w:lang w:val="ru-RU" w:eastAsia="ru-RU" w:bidi="ru-RU"/>
          <w:w w:val="100"/>
          <w:spacing w:val="0"/>
          <w:color w:val="000000"/>
          <w:position w:val="0"/>
        </w:rPr>
        <w:t xml:space="preserve">в отведениях I, </w:t>
      </w:r>
      <w:r>
        <w:rPr>
          <w:lang w:val="en-US" w:eastAsia="en-US" w:bidi="en-US"/>
          <w:w w:val="100"/>
          <w:spacing w:val="0"/>
          <w:color w:val="000000"/>
          <w:position w:val="0"/>
        </w:rPr>
        <w:t>aVL, 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 </w:t>
      </w:r>
      <w:r>
        <w:rPr>
          <w:lang w:val="ru-RU" w:eastAsia="ru-RU" w:bidi="ru-RU"/>
          <w:w w:val="100"/>
          <w:spacing w:val="0"/>
          <w:color w:val="000000"/>
          <w:position w:val="0"/>
        </w:rPr>
        <w:t xml:space="preserve">6, отрицательные зубцы Т), зубец </w:t>
      </w:r>
      <w:r>
        <w:rPr>
          <w:lang w:val="en-US" w:eastAsia="en-US" w:bidi="en-US"/>
          <w:w w:val="100"/>
          <w:spacing w:val="0"/>
          <w:color w:val="000000"/>
          <w:position w:val="0"/>
        </w:rPr>
        <w:t xml:space="preserve">Q </w:t>
      </w:r>
      <w:r>
        <w:rPr>
          <w:lang w:val="ru-RU" w:eastAsia="ru-RU" w:bidi="ru-RU"/>
          <w:w w:val="100"/>
          <w:spacing w:val="0"/>
          <w:color w:val="000000"/>
          <w:position w:val="0"/>
        </w:rPr>
        <w:t>остает</w:t>
        <w:softHyphen/>
        <w:t xml:space="preserve">ся глубоким в отведении </w:t>
      </w:r>
      <w:r>
        <w:rPr>
          <w:lang w:val="en-US" w:eastAsia="en-US" w:bidi="en-US"/>
          <w:w w:val="100"/>
          <w:spacing w:val="0"/>
          <w:color w:val="000000"/>
          <w:position w:val="0"/>
        </w:rPr>
        <w:t>aVL.</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Рентгенография грудной клетки:</w:t>
      </w:r>
    </w:p>
    <w:p>
      <w:pPr>
        <w:pStyle w:val="Style30"/>
        <w:numPr>
          <w:ilvl w:val="0"/>
          <w:numId w:val="9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 рентгенограмме грудной клетки часто отмечает</w:t>
        <w:softHyphen/>
        <w:t>ся кардиомегалия за счет левых отделов сердца.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Эхокардиография:</w:t>
      </w:r>
    </w:p>
    <w:p>
      <w:pPr>
        <w:pStyle w:val="Style30"/>
        <w:numPr>
          <w:ilvl w:val="0"/>
          <w:numId w:val="99"/>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Высокоразрешающая двухмерная эхокардиогра</w:t>
        <w:softHyphen/>
        <w:t>фия с цветным допплером позволяет непосред</w:t>
        <w:softHyphen/>
        <w:t>ственно визуализировать аномально отходящую левую коронарную артерию, характер и направле</w:t>
        <w:softHyphen/>
        <w:t>ние потока в сосуде.</w:t>
      </w:r>
    </w:p>
    <w:p>
      <w:pPr>
        <w:pStyle w:val="Style30"/>
        <w:numPr>
          <w:ilvl w:val="0"/>
          <w:numId w:val="99"/>
        </w:numPr>
        <w:tabs>
          <w:tab w:leader="none" w:pos="558"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Косвенными признаками порока являются:</w:t>
      </w:r>
    </w:p>
    <w:p>
      <w:pPr>
        <w:pStyle w:val="Style30"/>
        <w:numPr>
          <w:ilvl w:val="0"/>
          <w:numId w:val="101"/>
        </w:numPr>
        <w:tabs>
          <w:tab w:leader="none" w:pos="71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дилатированная, плохо сокращающаяся камера левого желудочка;</w:t>
      </w:r>
    </w:p>
    <w:p>
      <w:pPr>
        <w:pStyle w:val="Style30"/>
        <w:numPr>
          <w:ilvl w:val="0"/>
          <w:numId w:val="10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снижение фракции выброса левого желудочка;</w:t>
      </w:r>
    </w:p>
    <w:p>
      <w:pPr>
        <w:pStyle w:val="Style30"/>
        <w:numPr>
          <w:ilvl w:val="0"/>
          <w:numId w:val="10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дилатация правой коронарной артерии;</w:t>
      </w:r>
    </w:p>
    <w:p>
      <w:pPr>
        <w:pStyle w:val="Style30"/>
        <w:numPr>
          <w:ilvl w:val="0"/>
          <w:numId w:val="10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уплотнение эндокарда левого желудочка;</w:t>
      </w:r>
    </w:p>
    <w:p>
      <w:pPr>
        <w:pStyle w:val="Style30"/>
        <w:numPr>
          <w:ilvl w:val="0"/>
          <w:numId w:val="10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левая коронарная артерия (обычно расположена на 3-х часах) не определяется.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Допплерография:</w:t>
      </w:r>
    </w:p>
    <w:p>
      <w:pPr>
        <w:pStyle w:val="Style30"/>
        <w:numPr>
          <w:ilvl w:val="0"/>
          <w:numId w:val="99"/>
        </w:numPr>
        <w:tabs>
          <w:tab w:leader="none" w:pos="55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Оценка систолической и диастолической функции левого желудочка</w:t>
      </w:r>
    </w:p>
    <w:p>
      <w:pPr>
        <w:pStyle w:val="Style30"/>
        <w:numPr>
          <w:ilvl w:val="0"/>
          <w:numId w:val="99"/>
        </w:numPr>
        <w:tabs>
          <w:tab w:leader="none" w:pos="55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Определение характера трансмитрального крово</w:t>
        <w:softHyphen/>
        <w:t>тока (часто возникает относительная недостаточ</w:t>
        <w:softHyphen/>
        <w:t>ность митрального клапана).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Катетеризация, ангиография:</w:t>
      </w:r>
    </w:p>
    <w:p>
      <w:pPr>
        <w:pStyle w:val="Style30"/>
        <w:numPr>
          <w:ilvl w:val="0"/>
          <w:numId w:val="99"/>
        </w:numPr>
        <w:tabs>
          <w:tab w:leader="none" w:pos="55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Введение контраста в корень аорты демонстрирует отхождение только резко расширенной правой главной коронарной артерии от правого синуса Вальсальвы.</w:t>
      </w:r>
    </w:p>
    <w:p>
      <w:pPr>
        <w:pStyle w:val="Style30"/>
        <w:numPr>
          <w:ilvl w:val="0"/>
          <w:numId w:val="99"/>
        </w:numPr>
        <w:tabs>
          <w:tab w:leader="none" w:pos="55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Введение контраста в легочную артерию может по</w:t>
        <w:softHyphen/>
        <w:t>казать аномальное отхождение от нее левой глав</w:t>
        <w:softHyphen/>
        <w:t>ной коронарной артерии. Однако довольно часто это увидеть не удается вследствие слабого антег- радного кровотока из легочной артерии в левую главную коронарную артерию.</w:t>
      </w:r>
    </w:p>
    <w:p>
      <w:pPr>
        <w:pStyle w:val="Style30"/>
        <w:numPr>
          <w:ilvl w:val="0"/>
          <w:numId w:val="99"/>
        </w:numPr>
        <w:tabs>
          <w:tab w:leader="none" w:pos="55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Диагноз не всегда удается подтвердить даже при ангиографии корня аорты. Левая главная коро</w:t>
        <w:softHyphen/>
        <w:t>нарная артерия может быстро наполняться кро</w:t>
        <w:softHyphen/>
        <w:t>вью из правой главной коронарной артерии и ка</w:t>
        <w:softHyphen/>
        <w:t>заться исходящей из области левой коронарной створки. Если в дополнение к фронтальному и бо</w:t>
        <w:softHyphen/>
        <w:t>ковым снимкам выполнены левая и правая косые проекции, можно установить начало левой глав</w:t>
        <w:softHyphen/>
        <w:t>ной коронарной артерии от легочного ствола, а не от аорты.</w:t>
      </w:r>
    </w:p>
    <w:p>
      <w:pPr>
        <w:pStyle w:val="Style30"/>
        <w:numPr>
          <w:ilvl w:val="0"/>
          <w:numId w:val="99"/>
        </w:numPr>
        <w:tabs>
          <w:tab w:leader="none" w:pos="55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Визуализация аномального отхождения левой главной коронарной артерии от легочной может быть затруднена, если она сочетается с другими сердечными дефектами, создающими лево-пра</w:t>
        <w:softHyphen/>
        <w:t>вый шунт.</w:t>
      </w:r>
    </w:p>
    <w:p>
      <w:pPr>
        <w:pStyle w:val="Style30"/>
        <w:numPr>
          <w:ilvl w:val="0"/>
          <w:numId w:val="9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Гамма-сцинтиграфия с таллием-201 позволяет вы</w:t>
        <w:softHyphen/>
        <w:t>явить распространенную ишемию миокарда левого желудочка.</w:t>
      </w:r>
    </w:p>
    <w:p>
      <w:pPr>
        <w:pStyle w:val="Style30"/>
        <w:numPr>
          <w:ilvl w:val="0"/>
          <w:numId w:val="9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Ядерно-магнитный резонанс является одним из на</w:t>
        <w:softHyphen/>
        <w:t>иболее точных методов диагностики аномального от</w:t>
        <w:softHyphen/>
        <w:t>хождения левой главной коронарной артерии от ле</w:t>
        <w:softHyphen/>
        <w:t>гочной даже в тех случаях, когда ангиография не дает уверенного диагностического результата.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9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Единственным методом лечения является хирургиче - ская коррекция аномального отхождения левой коро</w:t>
        <w:softHyphen/>
        <w:t>нарной артерии.</w:t>
      </w:r>
    </w:p>
    <w:p>
      <w:pPr>
        <w:pStyle w:val="Style30"/>
        <w:numPr>
          <w:ilvl w:val="0"/>
          <w:numId w:val="9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 аномальным отхождением левой главной коронарной артерии от легочной при неплохом само</w:t>
        <w:softHyphen/>
        <w:t>чувствии ребенка операция может быть отложена до возраста 1 года, но при этом следует проводить посто</w:t>
        <w:softHyphen/>
        <w:t>янную поддерживающую терапию по поводу застой</w:t>
        <w:softHyphen/>
        <w:t>ной недостаточности кровообращения.</w:t>
      </w:r>
    </w:p>
    <w:p>
      <w:pPr>
        <w:pStyle w:val="Style30"/>
        <w:numPr>
          <w:ilvl w:val="0"/>
          <w:numId w:val="99"/>
        </w:numPr>
        <w:tabs>
          <w:tab w:leader="none" w:pos="235" w:val="left"/>
        </w:tabs>
        <w:widowControl w:val="0"/>
        <w:keepNext w:val="0"/>
        <w:keepLines w:val="0"/>
        <w:shd w:val="clear" w:color="auto" w:fill="auto"/>
        <w:bidi w:val="0"/>
        <w:spacing w:before="0" w:after="0"/>
        <w:ind w:left="280" w:right="0" w:hanging="280"/>
      </w:pPr>
      <w:r>
        <w:pict>
          <v:shape id="_x0000_s1542" type="#_x0000_t75" style="position:absolute;margin-left:136.7pt;margin-top:736.8pt;width:209.75pt;height:14.9pt;z-index:-125829031;mso-wrap-distance-left:136.3pt;mso-wrap-distance-right:147.85pt;mso-wrap-distance-bottom:10.8pt;mso-position-horizontal-relative:margin;mso-position-vertical-relative:margin" wrapcoords="0 0 21600 0 21600 21600 0 21600 0 0">
            <v:imagedata r:id="rId860" r:href="rId861"/>
            <w10:wrap type="topAndBottom" anchorx="margin" anchory="margin"/>
          </v:shape>
        </w:pict>
      </w:r>
      <w:r>
        <w:rPr>
          <w:lang w:val="ru-RU" w:eastAsia="ru-RU" w:bidi="ru-RU"/>
          <w:w w:val="100"/>
          <w:spacing w:val="0"/>
          <w:color w:val="000000"/>
          <w:position w:val="0"/>
        </w:rPr>
        <w:t>Если ребенок находится в относительно стабильном состоянии, для развития коллатералей рекомендуется назначение препаратов, улучшающих коронарное кровообращение (курантил, трентал, антиагреганты).</w:t>
      </w:r>
      <w:r>
        <w:br w:type="page"/>
      </w:r>
    </w:p>
    <w:p>
      <w:pPr>
        <w:pStyle w:val="Style92"/>
        <w:widowControl w:val="0"/>
        <w:keepNext/>
        <w:keepLines/>
        <w:shd w:val="clear" w:color="auto" w:fill="auto"/>
        <w:bidi w:val="0"/>
        <w:spacing w:before="0" w:after="0"/>
        <w:ind w:left="520" w:right="0" w:hanging="240"/>
      </w:pPr>
      <w:bookmarkStart w:id="536" w:name="bookmark536"/>
      <w:r>
        <w:rPr>
          <w:lang w:val="ru-RU" w:eastAsia="ru-RU" w:bidi="ru-RU"/>
          <w:w w:val="100"/>
          <w:spacing w:val="0"/>
          <w:color w:val="000000"/>
          <w:position w:val="0"/>
        </w:rPr>
        <w:t>Кардиохирургическая коррекция</w:t>
      </w:r>
      <w:bookmarkEnd w:id="536"/>
    </w:p>
    <w:p>
      <w:pPr>
        <w:pStyle w:val="Style30"/>
        <w:numPr>
          <w:ilvl w:val="0"/>
          <w:numId w:val="9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Одним из наиболее старых хирургических методов лечения был метод лигирования аномального отхож</w:t>
        <w:softHyphen/>
        <w:t>дения левой главной коронарной артерии от легоч</w:t>
        <w:softHyphen/>
        <w:t xml:space="preserve">ной с очень высокой летальностью — до 66,7% </w:t>
      </w:r>
      <w:r>
        <w:rPr>
          <w:lang w:val="en-US" w:eastAsia="en-US" w:bidi="en-US"/>
          <w:w w:val="100"/>
          <w:spacing w:val="0"/>
          <w:color w:val="000000"/>
          <w:position w:val="0"/>
        </w:rPr>
        <w:t xml:space="preserve">(Wollenek G. et al., </w:t>
      </w:r>
      <w:r>
        <w:rPr>
          <w:lang w:val="ru-RU" w:eastAsia="ru-RU" w:bidi="ru-RU"/>
          <w:w w:val="100"/>
          <w:spacing w:val="0"/>
          <w:color w:val="000000"/>
          <w:position w:val="0"/>
        </w:rPr>
        <w:t>1993).</w:t>
      </w:r>
    </w:p>
    <w:p>
      <w:pPr>
        <w:pStyle w:val="Style30"/>
        <w:numPr>
          <w:ilvl w:val="0"/>
          <w:numId w:val="9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Наиболее физиологичной и успешной для пациентов любого возраста является реимплантация левой глав</w:t>
        <w:softHyphen/>
        <w:t>ной коронарной артерии в аорту. У детей раннего воз</w:t>
        <w:softHyphen/>
        <w:t>раста метод реимплантации приводит к прогрессив</w:t>
        <w:softHyphen/>
        <w:t>ному улучшению функции миокарда левого желудоч</w:t>
        <w:softHyphen/>
        <w:t>ка даже при тяжелом предшествующем его пораже</w:t>
        <w:softHyphen/>
        <w:t>нии. В случаях, когда аортальная реимплантация не</w:t>
        <w:softHyphen/>
        <w:t>возможна по анатомическим причинам, рекоменду</w:t>
        <w:softHyphen/>
        <w:t>ется выполнение аортолегочного туннеля для левой главной коронарной артерии.</w:t>
      </w:r>
    </w:p>
    <w:p>
      <w:pPr>
        <w:pStyle w:val="Style30"/>
        <w:numPr>
          <w:ilvl w:val="0"/>
          <w:numId w:val="9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старшего возраста и взрослых может потребо - ваться дополнительное протезирование митрального клапана вследствие развившейся митральной недо</w:t>
        <w:softHyphen/>
        <w:t>статочности.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161"/>
        <w:ind w:left="0" w:right="0" w:firstLine="280"/>
      </w:pPr>
      <w:r>
        <w:rPr>
          <w:lang w:val="ru-RU" w:eastAsia="ru-RU" w:bidi="ru-RU"/>
          <w:w w:val="100"/>
          <w:spacing w:val="0"/>
          <w:color w:val="000000"/>
          <w:position w:val="0"/>
        </w:rPr>
        <w:t>Можно лишь констатировать, что младенцы с аномаль</w:t>
        <w:softHyphen/>
        <w:t>ным отхождением левой главной коронарной артерии от легочной и низкой фракцией изгнания левого желудочка (менее 20%) имеют плохой прогноз уже в раннем возрасте, независимо от применяемого хирургического или консер</w:t>
        <w:softHyphen/>
        <w:t>вативного лечебных подходов.</w:t>
      </w:r>
    </w:p>
    <w:p>
      <w:pPr>
        <w:pStyle w:val="Style48"/>
        <w:widowControl w:val="0"/>
        <w:keepNext/>
        <w:keepLines/>
        <w:shd w:val="clear" w:color="auto" w:fill="auto"/>
        <w:bidi w:val="0"/>
        <w:jc w:val="left"/>
        <w:spacing w:before="0" w:after="79" w:line="240" w:lineRule="exact"/>
        <w:ind w:left="0" w:right="0" w:firstLine="0"/>
      </w:pPr>
      <w:bookmarkStart w:id="537" w:name="bookmark537"/>
      <w:r>
        <w:rPr>
          <w:lang w:val="ru-RU" w:eastAsia="ru-RU" w:bidi="ru-RU"/>
          <w:w w:val="100"/>
          <w:spacing w:val="0"/>
          <w:color w:val="000000"/>
          <w:position w:val="0"/>
        </w:rPr>
        <w:t>Аномальное отхождение правой коронарной артерии от легочной артерии</w:t>
      </w:r>
      <w:bookmarkEnd w:id="537"/>
    </w:p>
    <w:p>
      <w:pPr>
        <w:pStyle w:val="Style30"/>
        <w:numPr>
          <w:ilvl w:val="0"/>
          <w:numId w:val="9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Этот дефект встречается значительно реже, чем ано</w:t>
        <w:softHyphen/>
        <w:t>мальное отхождение левой главной коронарной арте</w:t>
        <w:softHyphen/>
        <w:t>рии от легочной, в связи с чем трудно оценить его прогноз для формирования серьезной патологии и смертности. Обычно правая главная коронарная ар</w:t>
        <w:softHyphen/>
        <w:t>терия отходит от правого синуса легочной артерии и далее дает распределение своих ветвей как при нор - мально исходящей правой коронарной артерии. Воз</w:t>
        <w:softHyphen/>
        <w:t>можно аномальное отхождение как целиком ствола главной правой коронарной артерии от легочной, так и отхождение от нее крупных ветвей правой главной коронарной артерии.</w:t>
      </w:r>
    </w:p>
    <w:p>
      <w:pPr>
        <w:pStyle w:val="Style30"/>
        <w:numPr>
          <w:ilvl w:val="0"/>
          <w:numId w:val="9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отличие от аномального отхождения левой главной коронарной артерии от легочной, отхождение правой главной коронарной артерии от легочного ствола не сопровождается развитием инфаркта миокарда и тя</w:t>
        <w:softHyphen/>
        <w:t>желой застойной сердечной недостаточностью у мла</w:t>
        <w:softHyphen/>
        <w:t>денцев и детей раннего возраста. Большинство паци</w:t>
        <w:softHyphen/>
        <w:t>ентов не имеют при жизни никаких клинических симптомов, но в ряде случаев порок сопровождается остановкой сердца и внезапной смертью.</w:t>
      </w:r>
    </w:p>
    <w:p>
      <w:pPr>
        <w:pStyle w:val="Style30"/>
        <w:numPr>
          <w:ilvl w:val="0"/>
          <w:numId w:val="9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Аномальное отхождение правой главной коронарной артерии от легочной можно заподозрить при наличии стойкого или прерывистого сердечного шума. Для диагностики, помимо коронарографии и ангио</w:t>
        <w:softHyphen/>
        <w:t>графии, может быть использована чрезпищеводная эхокардиография и метод цветного допплеровского картирования.</w:t>
      </w:r>
    </w:p>
    <w:p>
      <w:pPr>
        <w:pStyle w:val="Style30"/>
        <w:numPr>
          <w:ilvl w:val="0"/>
          <w:numId w:val="99"/>
        </w:numPr>
        <w:tabs>
          <w:tab w:leader="none" w:pos="516" w:val="left"/>
        </w:tabs>
        <w:widowControl w:val="0"/>
        <w:keepNext w:val="0"/>
        <w:keepLines w:val="0"/>
        <w:shd w:val="clear" w:color="auto" w:fill="auto"/>
        <w:bidi w:val="0"/>
        <w:spacing w:before="0" w:after="221"/>
        <w:ind w:left="520" w:right="0" w:hanging="240"/>
      </w:pPr>
      <w:r>
        <w:rPr>
          <w:lang w:val="ru-RU" w:eastAsia="ru-RU" w:bidi="ru-RU"/>
          <w:w w:val="100"/>
          <w:spacing w:val="0"/>
          <w:color w:val="000000"/>
          <w:position w:val="0"/>
        </w:rPr>
        <w:t>В связи с возможной ролью отхождения правой глав</w:t>
        <w:softHyphen/>
        <w:t>ной коронарной артерии от легочного ствола в генезе внезапной сердечной смерти при диагностике данно</w:t>
        <w:softHyphen/>
        <w:br w:type="column"/>
        <w:t>го порока нередко рекомендуется оперативное лече</w:t>
        <w:softHyphen/>
        <w:t>ние способом реимплантации правой главной коро</w:t>
        <w:softHyphen/>
        <w:t>нарной артерии в аорту, даже если у пациента отсут</w:t>
        <w:softHyphen/>
        <w:t>ствуют субъективные симптомы заболевания.</w:t>
      </w:r>
    </w:p>
    <w:p>
      <w:pPr>
        <w:pStyle w:val="Style48"/>
        <w:widowControl w:val="0"/>
        <w:keepNext/>
        <w:keepLines/>
        <w:shd w:val="clear" w:color="auto" w:fill="auto"/>
        <w:bidi w:val="0"/>
        <w:jc w:val="left"/>
        <w:spacing w:before="0" w:after="79" w:line="240" w:lineRule="exact"/>
        <w:ind w:left="0" w:right="0" w:firstLine="0"/>
      </w:pPr>
      <w:bookmarkStart w:id="538" w:name="bookmark538"/>
      <w:r>
        <w:rPr>
          <w:lang w:val="ru-RU" w:eastAsia="ru-RU" w:bidi="ru-RU"/>
          <w:w w:val="100"/>
          <w:spacing w:val="0"/>
          <w:color w:val="000000"/>
          <w:position w:val="0"/>
        </w:rPr>
        <w:t>Аномальное отхождение обеих коронарных артерий от легочной артерии</w:t>
      </w:r>
      <w:bookmarkEnd w:id="538"/>
    </w:p>
    <w:p>
      <w:pPr>
        <w:pStyle w:val="Style30"/>
        <w:numPr>
          <w:ilvl w:val="0"/>
          <w:numId w:val="9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Этот порок не совместим с жизнью.</w:t>
      </w:r>
    </w:p>
    <w:p>
      <w:pPr>
        <w:pStyle w:val="Style30"/>
        <w:numPr>
          <w:ilvl w:val="0"/>
          <w:numId w:val="99"/>
        </w:numPr>
        <w:tabs>
          <w:tab w:leader="none" w:pos="520" w:val="left"/>
        </w:tabs>
        <w:widowControl w:val="0"/>
        <w:keepNext w:val="0"/>
        <w:keepLines w:val="0"/>
        <w:shd w:val="clear" w:color="auto" w:fill="auto"/>
        <w:bidi w:val="0"/>
        <w:spacing w:before="0" w:after="221"/>
        <w:ind w:left="500" w:right="0" w:hanging="220"/>
      </w:pPr>
      <w:r>
        <w:rPr>
          <w:lang w:val="en-US" w:eastAsia="en-US" w:bidi="en-US"/>
          <w:w w:val="100"/>
          <w:spacing w:val="0"/>
          <w:color w:val="000000"/>
          <w:position w:val="0"/>
        </w:rPr>
        <w:t xml:space="preserve">S.Heifetz </w:t>
      </w:r>
      <w:r>
        <w:rPr>
          <w:lang w:val="ru-RU" w:eastAsia="ru-RU" w:bidi="ru-RU"/>
          <w:w w:val="100"/>
          <w:spacing w:val="0"/>
          <w:color w:val="000000"/>
          <w:position w:val="0"/>
        </w:rPr>
        <w:t>и соавт. сообщили о 25 случаях этого порока. Семнадцать из этих 25-ти имели сопутствующие кар</w:t>
        <w:softHyphen/>
        <w:t>диоваскулярные аномалии, в том числе дефекты меж</w:t>
        <w:softHyphen/>
        <w:t>предсердной и межжелудочковой перегородок, тетра</w:t>
        <w:softHyphen/>
        <w:t>ду Фалло, атрезию легочной артерии. Все описанные в этом сообщении пациенты с аномальным отхожде</w:t>
        <w:softHyphen/>
        <w:t>нием обеих главных коронарных артерий от легочно - го ствола умерли. Те из них, у кого не было сопутству</w:t>
        <w:softHyphen/>
        <w:t>ющих сердечных дефектов, погибли в первые дни жизни.</w:t>
      </w:r>
    </w:p>
    <w:p>
      <w:pPr>
        <w:pStyle w:val="Style48"/>
        <w:widowControl w:val="0"/>
        <w:keepNext/>
        <w:keepLines/>
        <w:shd w:val="clear" w:color="auto" w:fill="auto"/>
        <w:bidi w:val="0"/>
        <w:jc w:val="left"/>
        <w:spacing w:before="0" w:after="79" w:line="240" w:lineRule="exact"/>
        <w:ind w:left="0" w:right="0" w:firstLine="0"/>
      </w:pPr>
      <w:bookmarkStart w:id="539" w:name="bookmark539"/>
      <w:r>
        <w:rPr>
          <w:lang w:val="ru-RU" w:eastAsia="ru-RU" w:bidi="ru-RU"/>
          <w:w w:val="100"/>
          <w:spacing w:val="0"/>
          <w:color w:val="000000"/>
          <w:position w:val="0"/>
        </w:rPr>
        <w:t>Аномальное отхождение левой коронарной артерии от правого или заднего (некоронарного) синуса Вальсальвы</w:t>
      </w:r>
      <w:bookmarkEnd w:id="539"/>
    </w:p>
    <w:p>
      <w:pPr>
        <w:pStyle w:val="Style30"/>
        <w:numPr>
          <w:ilvl w:val="0"/>
          <w:numId w:val="9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Отхождение левой главной коронарной артерии от правого или заднего (некоронарного) синуса или пра</w:t>
        <w:softHyphen/>
        <w:t>вой главной коронарной артерии — редкая аномалия, но она может быть причиной инфаркта миокарда и внезапной смерти в молодом возрасте, несмотря на предшествующее бессимптомное течение.</w:t>
      </w:r>
    </w:p>
    <w:p>
      <w:pPr>
        <w:pStyle w:val="Style30"/>
        <w:numPr>
          <w:ilvl w:val="0"/>
          <w:numId w:val="9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данном типе аномального отхождения левая главная коронарная артерия может идти четырьмя путями:</w:t>
      </w:r>
    </w:p>
    <w:p>
      <w:pPr>
        <w:pStyle w:val="Style30"/>
        <w:numPr>
          <w:ilvl w:val="0"/>
          <w:numId w:val="101"/>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перед легочной артерией;</w:t>
      </w:r>
    </w:p>
    <w:p>
      <w:pPr>
        <w:pStyle w:val="Style30"/>
        <w:numPr>
          <w:ilvl w:val="0"/>
          <w:numId w:val="101"/>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позади аорты;</w:t>
      </w:r>
    </w:p>
    <w:p>
      <w:pPr>
        <w:pStyle w:val="Style30"/>
        <w:numPr>
          <w:ilvl w:val="0"/>
          <w:numId w:val="101"/>
        </w:numPr>
        <w:tabs>
          <w:tab w:leader="none" w:pos="735" w:val="left"/>
        </w:tabs>
        <w:widowControl w:val="0"/>
        <w:keepNext w:val="0"/>
        <w:keepLines w:val="0"/>
        <w:shd w:val="clear" w:color="auto" w:fill="auto"/>
        <w:bidi w:val="0"/>
        <w:jc w:val="left"/>
        <w:spacing w:before="0" w:after="0"/>
        <w:ind w:left="720" w:right="0" w:hanging="220"/>
      </w:pPr>
      <w:r>
        <w:rPr>
          <w:lang w:val="ru-RU" w:eastAsia="ru-RU" w:bidi="ru-RU"/>
          <w:w w:val="100"/>
          <w:spacing w:val="0"/>
          <w:color w:val="000000"/>
          <w:position w:val="0"/>
        </w:rPr>
        <w:t>в межжелудочковой перегородке под выходным трактом правого желудочка;</w:t>
      </w:r>
    </w:p>
    <w:p>
      <w:pPr>
        <w:pStyle w:val="Style30"/>
        <w:numPr>
          <w:ilvl w:val="0"/>
          <w:numId w:val="101"/>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между аортой и легочной артерией.</w:t>
      </w:r>
    </w:p>
    <w:p>
      <w:pPr>
        <w:pStyle w:val="Style30"/>
        <w:numPr>
          <w:ilvl w:val="0"/>
          <w:numId w:val="9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Расположение левой главной коронарной артерии между аортой и легочной артерией предрасполагает к инфаркту миокарда и внезапной сердечной смерти, особенно при физической нагрузке у спортсменов. При этом внезапная сердечная смерть происходит вследствие миокардиальной ишемии как результат компрессии левой главной коронарной артерии меж</w:t>
        <w:softHyphen/>
        <w:t>ду аортой и стволом легочной артерии и прикрытия просвета левой главной коронарной артерии из-за резкого изгиба ее у устья.</w:t>
      </w:r>
    </w:p>
    <w:p>
      <w:pPr>
        <w:pStyle w:val="Style30"/>
        <w:numPr>
          <w:ilvl w:val="0"/>
          <w:numId w:val="9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Известны случаи аномального отхождения ветвей ле</w:t>
        <w:softHyphen/>
        <w:t>вой главной коронарной артерии — левой передней нисходящей либо огибающей коронарных артерий от правого синуса Вальсальвы, которые явились причи</w:t>
        <w:softHyphen/>
        <w:t xml:space="preserve">ной инфаркта миокарда и внезапной сердечной смер - ти </w:t>
      </w:r>
      <w:r>
        <w:rPr>
          <w:lang w:val="en-US" w:eastAsia="en-US" w:bidi="en-US"/>
          <w:w w:val="100"/>
          <w:spacing w:val="0"/>
          <w:color w:val="000000"/>
          <w:position w:val="0"/>
        </w:rPr>
        <w:t xml:space="preserve">(Rozenman Y. et al., </w:t>
      </w:r>
      <w:r>
        <w:rPr>
          <w:lang w:val="ru-RU" w:eastAsia="ru-RU" w:bidi="ru-RU"/>
          <w:w w:val="100"/>
          <w:spacing w:val="0"/>
          <w:color w:val="000000"/>
          <w:position w:val="0"/>
        </w:rPr>
        <w:t xml:space="preserve">1993; </w:t>
      </w:r>
      <w:r>
        <w:rPr>
          <w:lang w:val="en-US" w:eastAsia="en-US" w:bidi="en-US"/>
          <w:w w:val="100"/>
          <w:spacing w:val="0"/>
          <w:color w:val="000000"/>
          <w:position w:val="0"/>
        </w:rPr>
        <w:t>Ruszkiewicz A., Opeskin K., 1993).</w:t>
      </w:r>
    </w:p>
    <w:p>
      <w:pPr>
        <w:pStyle w:val="Style30"/>
        <w:numPr>
          <w:ilvl w:val="0"/>
          <w:numId w:val="99"/>
        </w:numPr>
        <w:tabs>
          <w:tab w:leader="none" w:pos="520" w:val="left"/>
        </w:tabs>
        <w:widowControl w:val="0"/>
        <w:keepNext w:val="0"/>
        <w:keepLines w:val="0"/>
        <w:shd w:val="clear" w:color="auto" w:fill="auto"/>
        <w:bidi w:val="0"/>
        <w:spacing w:before="0" w:after="0"/>
        <w:ind w:left="500" w:right="0" w:hanging="220"/>
      </w:pPr>
      <w:r>
        <w:pict>
          <v:shape id="_x0000_s1543" type="#_x0000_t75" style="position:absolute;margin-left:148.2pt;margin-top:736.8pt;width:209.75pt;height:14.9pt;z-index:-125829030;mso-wrap-distance-left:148.1pt;mso-wrap-distance-right:136.55pt;mso-wrap-distance-bottom:10.8pt;mso-position-horizontal-relative:margin;mso-position-vertical-relative:margin" wrapcoords="0 0 21600 0 21600 21600 0 21600 0 0">
            <v:imagedata r:id="rId862" r:href="rId863"/>
            <w10:wrap type="topAndBottom" anchorx="margin" anchory="margin"/>
          </v:shape>
        </w:pict>
      </w:r>
      <w:r>
        <w:rPr>
          <w:lang w:val="en-US" w:eastAsia="en-US" w:bidi="en-US"/>
          <w:w w:val="100"/>
          <w:spacing w:val="0"/>
          <w:color w:val="000000"/>
          <w:position w:val="0"/>
        </w:rPr>
        <w:t xml:space="preserve">M.Chetlin </w:t>
      </w:r>
      <w:r>
        <w:rPr>
          <w:lang w:val="ru-RU" w:eastAsia="ru-RU" w:bidi="ru-RU"/>
          <w:w w:val="100"/>
          <w:spacing w:val="0"/>
          <w:color w:val="000000"/>
          <w:position w:val="0"/>
        </w:rPr>
        <w:t xml:space="preserve">и соавт. проанализировали </w:t>
      </w:r>
      <w:r>
        <w:rPr>
          <w:lang w:val="en-US" w:eastAsia="en-US" w:bidi="en-US"/>
          <w:w w:val="100"/>
          <w:spacing w:val="0"/>
          <w:color w:val="000000"/>
          <w:position w:val="0"/>
        </w:rPr>
        <w:t xml:space="preserve">33 </w:t>
      </w:r>
      <w:r>
        <w:rPr>
          <w:lang w:val="ru-RU" w:eastAsia="ru-RU" w:bidi="ru-RU"/>
          <w:w w:val="100"/>
          <w:spacing w:val="0"/>
          <w:color w:val="000000"/>
          <w:position w:val="0"/>
        </w:rPr>
        <w:t>случая ано</w:t>
        <w:softHyphen/>
        <w:t>мального отхождения левой главной коронарной ар</w:t>
        <w:softHyphen/>
        <w:t>терии от правого некоронарного синуса Вальсальвы по результатам аутопсии. При этом в 27,3% случаев смерть была внезапной и на первый взгляд совершен</w:t>
        <w:softHyphen/>
        <w:t>но необъяснимой. Помимо гипертрофической кар</w:t>
        <w:softHyphen/>
        <w:t>диомиопатии, аномальное отхождение левой главной</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коронарной артерии от правого синуса Вальсальвы является одной из наиболее частых причин врожден</w:t>
        <w:softHyphen/>
        <w:t>ных сердечных аномалий, ассоциирующихся с вне</w:t>
        <w:softHyphen/>
        <w:t>запной необъяснимой смертью у подростков и моло</w:t>
        <w:softHyphen/>
        <w:t>дых взрослых.</w:t>
      </w:r>
    </w:p>
    <w:p>
      <w:pPr>
        <w:pStyle w:val="Style30"/>
        <w:numPr>
          <w:ilvl w:val="0"/>
          <w:numId w:val="9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 сожалению, в основном такие больные не имеют никаких клинических симптомов заболевания вплоть до момента своей внезапной гибели. Однако в некоторых случаях при жизни могут отмечаться ангинозные боли либо другие симптомы коронар</w:t>
        <w:softHyphen/>
        <w:t>ной недостаточности. Возможны синкопальные со</w:t>
        <w:softHyphen/>
        <w:t>стояния либо головокружения при физических уп</w:t>
        <w:softHyphen/>
        <w:t>ражнениях. Рекомендуется исключать аномальное отхождение левой главной коронарной артерии от правого некоронарного синуса Вальсальвы у детей и подростков со стенокардитическими болями в грудной клетке, синкопальными и пресинкопаль- ными состояниями.</w:t>
      </w:r>
    </w:p>
    <w:p>
      <w:pPr>
        <w:pStyle w:val="Style30"/>
        <w:numPr>
          <w:ilvl w:val="0"/>
          <w:numId w:val="99"/>
        </w:numPr>
        <w:tabs>
          <w:tab w:leader="none" w:pos="515" w:val="left"/>
        </w:tabs>
        <w:widowControl w:val="0"/>
        <w:keepNext w:val="0"/>
        <w:keepLines w:val="0"/>
        <w:shd w:val="clear" w:color="auto" w:fill="auto"/>
        <w:bidi w:val="0"/>
        <w:spacing w:before="0" w:after="221"/>
        <w:ind w:left="500" w:right="0" w:hanging="220"/>
      </w:pPr>
      <w:r>
        <w:rPr>
          <w:lang w:val="ru-RU" w:eastAsia="ru-RU" w:bidi="ru-RU"/>
          <w:w w:val="100"/>
          <w:spacing w:val="0"/>
          <w:color w:val="000000"/>
          <w:position w:val="0"/>
        </w:rPr>
        <w:t>При подозрении на этот порок исследования с помо - щью велоэргометрии или тредмила могут показать электрокардиографические признаки миокардиаль</w:t>
        <w:softHyphen/>
        <w:t>ной ишемии, однако нормальный результат исследо</w:t>
        <w:softHyphen/>
        <w:t>вания еще не исключает этот диагноз. В любом случае необходимо также проведение коронарной ангиогра</w:t>
        <w:softHyphen/>
        <w:t>фии. Однако появились шансы на возможность под</w:t>
        <w:softHyphen/>
        <w:t>тверждения аномального отхождения левой главной коронарной артерии от правого некоронарного сину</w:t>
        <w:softHyphen/>
        <w:t>са Вальсальвы с помощью эхокардиографии высоко</w:t>
        <w:softHyphen/>
        <w:t>го разрешения. Если левая главная коронарная арте</w:t>
        <w:softHyphen/>
        <w:t>рия при этом проходит между аортой и легочным стволом, показано оперативное лечение для предуп</w:t>
        <w:softHyphen/>
        <w:t>реждения внезапной сердечной смерти.</w:t>
      </w:r>
    </w:p>
    <w:p>
      <w:pPr>
        <w:pStyle w:val="Style48"/>
        <w:widowControl w:val="0"/>
        <w:keepNext/>
        <w:keepLines/>
        <w:shd w:val="clear" w:color="auto" w:fill="auto"/>
        <w:bidi w:val="0"/>
        <w:jc w:val="left"/>
        <w:spacing w:before="0" w:after="79" w:line="240" w:lineRule="exact"/>
        <w:ind w:left="0" w:right="0" w:firstLine="0"/>
      </w:pPr>
      <w:bookmarkStart w:id="540" w:name="bookmark540"/>
      <w:r>
        <w:rPr>
          <w:lang w:val="ru-RU" w:eastAsia="ru-RU" w:bidi="ru-RU"/>
          <w:w w:val="100"/>
          <w:spacing w:val="0"/>
          <w:color w:val="000000"/>
          <w:position w:val="0"/>
        </w:rPr>
        <w:t>Аномальное отхождение правой коронарной артерии от левого коронарного синуса Вальсальвы</w:t>
      </w:r>
      <w:bookmarkEnd w:id="540"/>
    </w:p>
    <w:p>
      <w:pPr>
        <w:pStyle w:val="Style30"/>
        <w:numPr>
          <w:ilvl w:val="0"/>
          <w:numId w:val="9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Аномальное отхождение правой главной коронарной артерии от левого коронарного синуса Вальсальвы встречается намного реже, чем аномальное отхожде</w:t>
        <w:softHyphen/>
        <w:t>ние левой главной коронарной артерии от правого некоронарного синуса. Если нет никаких клиничес</w:t>
        <w:softHyphen/>
        <w:t>ких симптомов, заболевание может быть обнаружено при ангиокардиографии по другому поводу.</w:t>
      </w:r>
    </w:p>
    <w:p>
      <w:pPr>
        <w:pStyle w:val="Style30"/>
        <w:numPr>
          <w:ilvl w:val="0"/>
          <w:numId w:val="99"/>
        </w:numPr>
        <w:tabs>
          <w:tab w:leader="none" w:pos="515" w:val="left"/>
        </w:tabs>
        <w:widowControl w:val="0"/>
        <w:keepNext w:val="0"/>
        <w:keepLines w:val="0"/>
        <w:shd w:val="clear" w:color="auto" w:fill="auto"/>
        <w:bidi w:val="0"/>
        <w:spacing w:before="0" w:after="221"/>
        <w:ind w:left="500" w:right="0" w:hanging="220"/>
      </w:pPr>
      <w:r>
        <w:rPr>
          <w:lang w:val="ru-RU" w:eastAsia="ru-RU" w:bidi="ru-RU"/>
          <w:w w:val="100"/>
          <w:spacing w:val="0"/>
          <w:color w:val="000000"/>
          <w:position w:val="0"/>
        </w:rPr>
        <w:t xml:space="preserve">Мнение клиницистов по поводу риска инфаркта миокарда и внезапной сердечной смерти при этом пороке противоречиво: этот риск оценивается как минимальный </w:t>
      </w:r>
      <w:r>
        <w:rPr>
          <w:lang w:val="en-US" w:eastAsia="en-US" w:bidi="en-US"/>
          <w:w w:val="100"/>
          <w:spacing w:val="0"/>
          <w:color w:val="000000"/>
          <w:position w:val="0"/>
        </w:rPr>
        <w:t xml:space="preserve">D.Driscoll </w:t>
      </w:r>
      <w:r>
        <w:rPr>
          <w:lang w:val="ru-RU" w:eastAsia="ru-RU" w:bidi="ru-RU"/>
          <w:w w:val="100"/>
          <w:spacing w:val="0"/>
          <w:color w:val="000000"/>
          <w:position w:val="0"/>
        </w:rPr>
        <w:t xml:space="preserve">(1990), но как значимый — </w:t>
      </w:r>
      <w:r>
        <w:rPr>
          <w:lang w:val="en-US" w:eastAsia="en-US" w:bidi="en-US"/>
          <w:w w:val="100"/>
          <w:spacing w:val="0"/>
          <w:color w:val="000000"/>
          <w:position w:val="0"/>
        </w:rPr>
        <w:t xml:space="preserve">A.Duran </w:t>
      </w:r>
      <w:r>
        <w:rPr>
          <w:lang w:val="ru-RU" w:eastAsia="ru-RU" w:bidi="ru-RU"/>
          <w:w w:val="100"/>
          <w:spacing w:val="0"/>
          <w:color w:val="000000"/>
          <w:position w:val="0"/>
        </w:rPr>
        <w:t>и соавт. (1994). При своевременной диагнос</w:t>
        <w:softHyphen/>
        <w:t>тике и наличии симптомов миокардиальной ишемии, не связанных с другими причинами, производится оперативное лечение.</w:t>
      </w:r>
    </w:p>
    <w:p>
      <w:pPr>
        <w:pStyle w:val="Style48"/>
        <w:widowControl w:val="0"/>
        <w:keepNext/>
        <w:keepLines/>
        <w:shd w:val="clear" w:color="auto" w:fill="auto"/>
        <w:bidi w:val="0"/>
        <w:jc w:val="left"/>
        <w:spacing w:before="0" w:after="79" w:line="240" w:lineRule="exact"/>
        <w:ind w:left="0" w:right="0" w:firstLine="0"/>
      </w:pPr>
      <w:bookmarkStart w:id="541" w:name="bookmark541"/>
      <w:r>
        <w:rPr>
          <w:lang w:val="ru-RU" w:eastAsia="ru-RU" w:bidi="ru-RU"/>
          <w:w w:val="100"/>
          <w:spacing w:val="0"/>
          <w:color w:val="000000"/>
          <w:position w:val="0"/>
        </w:rPr>
        <w:t>Интрамуральный ход коронарных артерий («ныряющие» КА)</w:t>
      </w:r>
      <w:bookmarkEnd w:id="541"/>
    </w:p>
    <w:p>
      <w:pPr>
        <w:pStyle w:val="Style30"/>
        <w:numPr>
          <w:ilvl w:val="0"/>
          <w:numId w:val="9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До настоящего времени остается спорным вопрос, являются ли «ныряющие» коронарные артерии вари</w:t>
        <w:softHyphen/>
        <w:t>антом нормы либо относятся к аномалии развития.</w:t>
      </w:r>
    </w:p>
    <w:p>
      <w:pPr>
        <w:pStyle w:val="Style30"/>
        <w:numPr>
          <w:ilvl w:val="0"/>
          <w:numId w:val="9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Большинство авторов склонны относить интраму</w:t>
        <w:softHyphen/>
        <w:t>ральный ход коронарных артерий к нормальному ва</w:t>
        <w:softHyphen/>
        <w:t>рианту анатомического развития венечных сосудов.</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На аутопсии эта аномалия встречается часто.</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Интрамуральный ход коронарных артерий при ан</w:t>
        <w:softHyphen/>
        <w:t>гиографии обнаруживается реже — в среднем у 0,82% больных. Эти пациенты имеют благоприятный дол</w:t>
        <w:softHyphen/>
        <w:t>говременный прогноз.</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коронарной ангиографии систолическая ком</w:t>
        <w:softHyphen/>
        <w:t>прессия в первую очередь левой передней нисходя</w:t>
        <w:softHyphen/>
        <w:t>щей коронарной артерии определяется у 1-3% паци</w:t>
        <w:softHyphen/>
        <w:t>ентов.</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Глубокое интрамуральное расположение левой нис</w:t>
        <w:softHyphen/>
        <w:t>ходящей коронарной артерии — это не вариант ана</w:t>
        <w:softHyphen/>
        <w:t>томической нормы. У таких больных чаще отмечают</w:t>
        <w:softHyphen/>
        <w:t>ся случаи внезапной смерти во время физических уп</w:t>
        <w:softHyphen/>
        <w:t>ражнений.</w:t>
      </w:r>
    </w:p>
    <w:p>
      <w:pPr>
        <w:pStyle w:val="Style30"/>
        <w:numPr>
          <w:ilvl w:val="0"/>
          <w:numId w:val="99"/>
        </w:numPr>
        <w:tabs>
          <w:tab w:leader="none" w:pos="517" w:val="left"/>
        </w:tabs>
        <w:widowControl w:val="0"/>
        <w:keepNext w:val="0"/>
        <w:keepLines w:val="0"/>
        <w:shd w:val="clear" w:color="auto" w:fill="auto"/>
        <w:bidi w:val="0"/>
        <w:spacing w:before="0" w:after="161"/>
        <w:ind w:left="520" w:right="0" w:hanging="240"/>
      </w:pPr>
      <w:r>
        <w:rPr>
          <w:lang w:val="ru-RU" w:eastAsia="ru-RU" w:bidi="ru-RU"/>
          <w:w w:val="100"/>
          <w:spacing w:val="0"/>
          <w:color w:val="000000"/>
          <w:position w:val="0"/>
        </w:rPr>
        <w:t>У пациентов с интрамуральным ходом коронарных артерий чаще обнаруживаются микроскопические повреждения миокарда, интерстициальный фиброз.</w:t>
      </w:r>
    </w:p>
    <w:p>
      <w:pPr>
        <w:pStyle w:val="Style48"/>
        <w:widowControl w:val="0"/>
        <w:keepNext/>
        <w:keepLines/>
        <w:shd w:val="clear" w:color="auto" w:fill="auto"/>
        <w:bidi w:val="0"/>
        <w:jc w:val="left"/>
        <w:spacing w:before="0" w:after="79" w:line="240" w:lineRule="exact"/>
        <w:ind w:left="0" w:right="400" w:firstLine="0"/>
      </w:pPr>
      <w:bookmarkStart w:id="542" w:name="bookmark542"/>
      <w:r>
        <w:rPr>
          <w:lang w:val="ru-RU" w:eastAsia="ru-RU" w:bidi="ru-RU"/>
          <w:w w:val="100"/>
          <w:spacing w:val="0"/>
          <w:color w:val="000000"/>
          <w:position w:val="0"/>
        </w:rPr>
        <w:t>Аномалии дистального соединения коронарных артерий (коронарные фистулы)</w:t>
      </w:r>
      <w:bookmarkEnd w:id="54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Коронарная фистула — врожденная аномалия, при ко</w:t>
        <w:softHyphen/>
        <w:t>торой коронарный сосуд непосредственно впадает в каме</w:t>
        <w:softHyphen/>
        <w:t>ры сердца, это приводит к шунтированию крови, синдрому «обкрадывания» и ишемии миокарда. Впервые фистула ко</w:t>
        <w:softHyphen/>
        <w:t xml:space="preserve">ронарной артерии была описана </w:t>
      </w:r>
      <w:r>
        <w:rPr>
          <w:lang w:val="en-US" w:eastAsia="en-US" w:bidi="en-US"/>
          <w:w w:val="100"/>
          <w:spacing w:val="0"/>
          <w:color w:val="000000"/>
          <w:position w:val="0"/>
        </w:rPr>
        <w:t xml:space="preserve">W.Krause </w:t>
      </w:r>
      <w:r>
        <w:rPr>
          <w:lang w:val="ru-RU" w:eastAsia="ru-RU" w:bidi="ru-RU"/>
          <w:w w:val="100"/>
          <w:spacing w:val="0"/>
          <w:color w:val="000000"/>
          <w:position w:val="0"/>
        </w:rPr>
        <w:t>в 1865 г.</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99"/>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Ориентировочная частота этой аномалии составляет 0,2-0,4% среди всех ВПС.</w:t>
      </w:r>
    </w:p>
    <w:p>
      <w:pPr>
        <w:pStyle w:val="Style30"/>
        <w:numPr>
          <w:ilvl w:val="0"/>
          <w:numId w:val="99"/>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Среди всех врожденных аномалий коронарных арте</w:t>
        <w:softHyphen/>
        <w:t>рий фистулы составляют 50%.</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Анатомия, 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Выделяют следующие основные варианты коронарных фистул правой КА, левой КА или инфундибулярной арте</w:t>
        <w:softHyphen/>
        <w:t>рии, сообщающиеся с:</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Правым желудочком.</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Правым предсердием.</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Коронарным синусом.</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Верхней полой веной.</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Легочной артерией.</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Легочной веной.</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Левым предсердием.</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Левым желудочком.</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Множественные фистулы (левый и правый желудочки)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Фистулы коронарных артерий, сообщающиеся с правы</w:t>
        <w:softHyphen/>
        <w:t>ми отделами сердца, обозначают артериовенозными, а фи</w:t>
        <w:softHyphen/>
        <w:t>стулы коронарных артерий в левые отделы сердца — арте- риоартериальными.</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Большинство коронарных фистул (около 90%) дре</w:t>
        <w:softHyphen/>
        <w:t>нируется в правые сердечные камеры либо легочную артерию одним или несколькими отверстиями. Фис</w:t>
        <w:softHyphen/>
        <w:t>тулы в правое предсердие в 2/3 случаев исходят из правой главной венечной артерии. Реже коронарные фистулы дренируются в легочный ствол, левое пред</w:t>
        <w:softHyphen/>
        <w:t>сердие, левый желудочек, верхнюю полую вену, коро</w:t>
        <w:softHyphen/>
        <w:t>нарный синус. Дренирующая коронарная артерия обычно аневризматически расширена, а сердечная камера, куда она открывается, увеличена.</w:t>
      </w:r>
    </w:p>
    <w:p>
      <w:pPr>
        <w:pStyle w:val="Style30"/>
        <w:numPr>
          <w:ilvl w:val="0"/>
          <w:numId w:val="99"/>
        </w:numPr>
        <w:tabs>
          <w:tab w:leader="none" w:pos="517" w:val="left"/>
        </w:tabs>
        <w:widowControl w:val="0"/>
        <w:keepNext w:val="0"/>
        <w:keepLines w:val="0"/>
        <w:shd w:val="clear" w:color="auto" w:fill="auto"/>
        <w:bidi w:val="0"/>
        <w:spacing w:before="0" w:after="0"/>
        <w:ind w:left="520" w:right="0" w:hanging="240"/>
      </w:pPr>
      <w:r>
        <w:pict>
          <v:shape id="_x0000_s1544" type="#_x0000_t75" style="position:absolute;margin-left:136.55pt;margin-top:736.8pt;width:209.75pt;height:14.9pt;z-index:-125829029;mso-wrap-distance-left:136.3pt;mso-wrap-distance-right:148.1pt;mso-wrap-distance-bottom:10.8pt;mso-position-horizontal-relative:margin;mso-position-vertical-relative:margin" wrapcoords="0 0 21600 0 21600 21600 0 21600 0 0">
            <v:imagedata r:id="rId864" r:href="rId865"/>
            <w10:wrap type="topAndBottom" anchorx="margin" anchory="margin"/>
          </v:shape>
        </w:pict>
      </w:r>
      <w:r>
        <w:rPr>
          <w:lang w:val="ru-RU" w:eastAsia="ru-RU" w:bidi="ru-RU"/>
          <w:w w:val="100"/>
          <w:spacing w:val="0"/>
          <w:color w:val="000000"/>
          <w:position w:val="0"/>
        </w:rPr>
        <w:t>Морфология фистул при коронарографии разнооб</w:t>
        <w:softHyphen/>
        <w:t>разна — от маленького единственного канала до сложной разветвленной плексиформной сети, состо</w:t>
        <w:softHyphen/>
        <w:t>ящей из массы тонких сосудов.</w:t>
      </w:r>
      <w:r>
        <w:br w:type="page"/>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26% больных коронарным фистулам сопутствуют аневризмы, причем локализуются они либо по ходу фистулы, либо у ее конца, но никогда у начала.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жалобы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Фистула коронарного сосуда может не сопровождаться какими-либо симптомами и обнаруживается случайно при физикальном обследовании ребенка.</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умеренной величине шунтирования (100-200 мл/мин) наиболее частыми жалобами явля</w:t>
        <w:softHyphen/>
        <w:t>ются:</w:t>
      </w:r>
    </w:p>
    <w:p>
      <w:pPr>
        <w:pStyle w:val="Style30"/>
        <w:numPr>
          <w:ilvl w:val="0"/>
          <w:numId w:val="10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отставание в физическом развитии;</w:t>
      </w:r>
    </w:p>
    <w:p>
      <w:pPr>
        <w:pStyle w:val="Style30"/>
        <w:numPr>
          <w:ilvl w:val="0"/>
          <w:numId w:val="10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снижение толерантности к физическим нагрузкам;</w:t>
      </w:r>
    </w:p>
    <w:p>
      <w:pPr>
        <w:pStyle w:val="Style30"/>
        <w:numPr>
          <w:ilvl w:val="0"/>
          <w:numId w:val="10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быстрая утомляемость, слабость;</w:t>
      </w:r>
    </w:p>
    <w:p>
      <w:pPr>
        <w:pStyle w:val="Style30"/>
        <w:numPr>
          <w:ilvl w:val="0"/>
          <w:numId w:val="10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одышка при нагрузке;</w:t>
      </w:r>
    </w:p>
    <w:p>
      <w:pPr>
        <w:pStyle w:val="Style30"/>
        <w:numPr>
          <w:ilvl w:val="0"/>
          <w:numId w:val="10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сердцебиение.</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большой величине шунтирования (&gt; 300 мл/мин):</w:t>
      </w:r>
    </w:p>
    <w:p>
      <w:pPr>
        <w:pStyle w:val="Style30"/>
        <w:numPr>
          <w:ilvl w:val="0"/>
          <w:numId w:val="101"/>
        </w:numPr>
        <w:tabs>
          <w:tab w:leader="none" w:pos="756"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признаки гиперволемии легких;</w:t>
      </w:r>
    </w:p>
    <w:p>
      <w:pPr>
        <w:pStyle w:val="Style30"/>
        <w:numPr>
          <w:ilvl w:val="0"/>
          <w:numId w:val="101"/>
        </w:numPr>
        <w:tabs>
          <w:tab w:leader="none" w:pos="756" w:val="left"/>
        </w:tabs>
        <w:widowControl w:val="0"/>
        <w:keepNext w:val="0"/>
        <w:keepLines w:val="0"/>
        <w:shd w:val="clear" w:color="auto" w:fill="auto"/>
        <w:bidi w:val="0"/>
        <w:jc w:val="left"/>
        <w:spacing w:before="0" w:after="0"/>
        <w:ind w:left="280" w:right="0" w:firstLine="240"/>
      </w:pPr>
      <w:r>
        <w:rPr>
          <w:lang w:val="ru-RU" w:eastAsia="ru-RU" w:bidi="ru-RU"/>
          <w:w w:val="100"/>
          <w:spacing w:val="0"/>
          <w:color w:val="000000"/>
          <w:position w:val="0"/>
        </w:rPr>
        <w:t>право- или левожелудочковая дисфункция. Клиническая симптоматика</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Клиническая симптоматика зависит от объема шун</w:t>
        <w:softHyphen/>
        <w:t>тируемой крови и локализации шунта. Клиническая картина варьирует от бессимптомной до симптомо</w:t>
        <w:softHyphen/>
        <w:t>комплекса тяжелой легочно-сердечной недостаточ</w:t>
        <w:softHyphen/>
        <w:t>ности, требующей экстракорпоральной мембранной оксигенации в раннем возрасте.</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Наличие большой фистулы чаще сопровождается про</w:t>
        <w:softHyphen/>
        <w:t>должительным грубым шумом над областью сердца.</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Возможен феномен прекордиального систолического дрожания, снижение систолического и повышение пульсового артериального давления. Эти клиничес</w:t>
        <w:softHyphen/>
        <w:t>кие симптомы могут быть ошибочно приняты как от</w:t>
        <w:softHyphen/>
        <w:t>крытый артериальный проток. Однако шум при от</w:t>
        <w:softHyphen/>
        <w:t>крытом артериальном протоке лучше слышен в левой подключичной области, а при коронарной фистуле — в 3-4 межреберье слева от грудины.</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значительном количестве шунтируемой крови создаются феномен обкрадывания, гипертрофия сердечной камеры, куда сбрасывается значительный объем шунтируемой крови, ишемия либо инфаркт миокарда, внезапная сердечная смерть, поэтому не</w:t>
        <w:softHyphen/>
        <w:t>обходимо долговременное медицинское наблюде</w:t>
        <w:softHyphen/>
        <w:t>ние даже за прооперированными больными. Объем шунта, измеренный во время операции, может со</w:t>
        <w:softHyphen/>
        <w:t>ставлять до 700-1800 мл/мин. Помимо клинических проявлений феномена обкрадывания в отдельных случаях коронарные фистулы могут осложняться спонтанным тромбозом или бактериальным эндо</w:t>
        <w:softHyphen/>
        <w:t>кардитом.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подтверждения диагноза коронарных фистул ис</w:t>
        <w:softHyphen/>
        <w:t>пользуются трансторакальная цветная допплерэхокардиог</w:t>
        <w:softHyphen/>
        <w:t>рафия, чрезпищеводная эхокардиография, коронарная ан</w:t>
        <w:softHyphen/>
        <w:t>гиография, катетеризация сердечных полостей. При этом в качестве параллельных находок встречаются аневризмы коронарных артерий, интеркоронарные анастомозы, плек- сиформные венечные деформации.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Дифференциальная диагностика коронарных фистул включает открытый артериальный проток, сочетание де</w:t>
        <w:softHyphen/>
        <w:t>фекта межжелудочковой перегородки с недостаточностью аортального клапана, фенестрацию створок аортального клапана, легочные артериовенозные фистулы.</w:t>
      </w:r>
    </w:p>
    <w:p>
      <w:pPr>
        <w:pStyle w:val="Style92"/>
        <w:widowControl w:val="0"/>
        <w:keepNext/>
        <w:keepLines/>
        <w:shd w:val="clear" w:color="auto" w:fill="auto"/>
        <w:bidi w:val="0"/>
        <w:spacing w:before="0" w:after="0"/>
        <w:ind w:left="520" w:right="0" w:hanging="240"/>
      </w:pPr>
      <w:r>
        <w:br w:type="column"/>
      </w:r>
      <w:bookmarkStart w:id="543" w:name="bookmark543"/>
      <w:r>
        <w:rPr>
          <w:lang w:val="ru-RU" w:eastAsia="ru-RU" w:bidi="ru-RU"/>
          <w:w w:val="100"/>
          <w:spacing w:val="0"/>
          <w:color w:val="000000"/>
          <w:position w:val="0"/>
        </w:rPr>
        <w:t>Лечение</w:t>
      </w:r>
      <w:bookmarkEnd w:id="543"/>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Обычно обнаружение коронарных фистул является показанием к их оперативному лечению. Цель опера</w:t>
        <w:softHyphen/>
        <w:t>тивного вмешательства — устранение фистулы для предупреждения развития застойной сердечной не</w:t>
        <w:softHyphen/>
        <w:t>достаточности вследствие большого лево-правого сброса, возможного разрыва дилатированной шунти</w:t>
        <w:softHyphen/>
        <w:t>рующей венечной артерии, а также миокардиального инфаркта либо ишемии.</w:t>
      </w:r>
    </w:p>
    <w:p>
      <w:pPr>
        <w:pStyle w:val="Style30"/>
        <w:numPr>
          <w:ilvl w:val="0"/>
          <w:numId w:val="99"/>
        </w:numPr>
        <w:tabs>
          <w:tab w:leader="none" w:pos="519" w:val="left"/>
        </w:tabs>
        <w:widowControl w:val="0"/>
        <w:keepNext w:val="0"/>
        <w:keepLines w:val="0"/>
        <w:shd w:val="clear" w:color="auto" w:fill="auto"/>
        <w:bidi w:val="0"/>
        <w:spacing w:before="0" w:after="133"/>
        <w:ind w:left="520" w:right="0" w:hanging="240"/>
      </w:pPr>
      <w:r>
        <w:rPr>
          <w:lang w:val="ru-RU" w:eastAsia="ru-RU" w:bidi="ru-RU"/>
          <w:w w:val="100"/>
          <w:spacing w:val="0"/>
          <w:color w:val="000000"/>
          <w:position w:val="0"/>
        </w:rPr>
        <w:t>В некоторых случаях возможно спонтанное закрытие коронарных фистул у детей с возрастом. Однако в связи с низким риском и хорошими отдаленными результатами рекомендуется хирургическое закрытие коронарных фистул, если они были своевременно ди</w:t>
        <w:softHyphen/>
        <w:t>агностированы.</w:t>
      </w:r>
    </w:p>
    <w:p>
      <w:pPr>
        <w:pStyle w:val="Style48"/>
        <w:widowControl w:val="0"/>
        <w:keepNext/>
        <w:keepLines/>
        <w:shd w:val="clear" w:color="auto" w:fill="auto"/>
        <w:bidi w:val="0"/>
        <w:jc w:val="left"/>
        <w:spacing w:before="0" w:after="66" w:line="200" w:lineRule="exact"/>
        <w:ind w:left="0" w:right="0" w:firstLine="0"/>
      </w:pPr>
      <w:bookmarkStart w:id="544" w:name="bookmark544"/>
      <w:r>
        <w:rPr>
          <w:lang w:val="ru-RU" w:eastAsia="ru-RU" w:bidi="ru-RU"/>
          <w:w w:val="100"/>
          <w:spacing w:val="0"/>
          <w:color w:val="000000"/>
          <w:position w:val="0"/>
        </w:rPr>
        <w:t>Аномалии числа коронарных артерий</w:t>
      </w:r>
      <w:bookmarkEnd w:id="544"/>
    </w:p>
    <w:p>
      <w:pPr>
        <w:pStyle w:val="Style54"/>
        <w:widowControl w:val="0"/>
        <w:keepNext/>
        <w:keepLines/>
        <w:shd w:val="clear" w:color="auto" w:fill="auto"/>
        <w:bidi w:val="0"/>
        <w:jc w:val="left"/>
        <w:spacing w:before="0" w:after="39" w:line="210" w:lineRule="exact"/>
        <w:ind w:left="0" w:right="0" w:firstLine="0"/>
      </w:pPr>
      <w:bookmarkStart w:id="545" w:name="bookmark545"/>
      <w:r>
        <w:rPr>
          <w:lang w:val="ru-RU" w:eastAsia="ru-RU" w:bidi="ru-RU"/>
          <w:w w:val="100"/>
          <w:spacing w:val="0"/>
          <w:color w:val="000000"/>
          <w:position w:val="0"/>
        </w:rPr>
        <w:t>Единственная коронарная артерия</w:t>
      </w:r>
      <w:bookmarkEnd w:id="545"/>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Единственная коронарная артерия обнаруживается примерно в 3% среди пациентов с врожденными ко</w:t>
        <w:softHyphen/>
        <w:t>ронарными аномалиями и в 0,3% при коронарогра- фии.</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Эта аномалия часто сочетается с транспозицией ма</w:t>
        <w:softHyphen/>
        <w:t>гистральных артерий, коронарными фистулами, дву</w:t>
        <w:softHyphen/>
        <w:t>створчатым аортальным клапаном.</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Выделяют три разновидности данной аномалии:</w:t>
      </w:r>
    </w:p>
    <w:p>
      <w:pPr>
        <w:pStyle w:val="Style30"/>
        <w:numPr>
          <w:ilvl w:val="0"/>
          <w:numId w:val="101"/>
        </w:numPr>
        <w:tabs>
          <w:tab w:leader="none" w:pos="754"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единственная коронарная артерия, повторяющая ход правой или левой главной коронарной артерии;</w:t>
      </w:r>
    </w:p>
    <w:p>
      <w:pPr>
        <w:pStyle w:val="Style30"/>
        <w:numPr>
          <w:ilvl w:val="0"/>
          <w:numId w:val="101"/>
        </w:numPr>
        <w:tabs>
          <w:tab w:leader="none" w:pos="754"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разделяющаяся сразу на две ветви, повторяющие ход правой и левой главных коронарных артерий;</w:t>
      </w:r>
    </w:p>
    <w:p>
      <w:pPr>
        <w:pStyle w:val="Style30"/>
        <w:numPr>
          <w:ilvl w:val="0"/>
          <w:numId w:val="101"/>
        </w:numPr>
        <w:tabs>
          <w:tab w:leader="none" w:pos="754"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не повторяющая нормальный ход ни одной из нормальных главных коронарных артерий.</w:t>
      </w:r>
    </w:p>
    <w:p>
      <w:pPr>
        <w:pStyle w:val="Style30"/>
        <w:widowControl w:val="0"/>
        <w:keepNext w:val="0"/>
        <w:keepLines w:val="0"/>
        <w:shd w:val="clear" w:color="auto" w:fill="auto"/>
        <w:bidi w:val="0"/>
        <w:spacing w:before="0" w:after="305"/>
        <w:ind w:left="0" w:right="0" w:firstLine="280"/>
      </w:pPr>
      <w:r>
        <w:rPr>
          <w:lang w:val="ru-RU" w:eastAsia="ru-RU" w:bidi="ru-RU"/>
          <w:w w:val="100"/>
          <w:spacing w:val="0"/>
          <w:color w:val="000000"/>
          <w:position w:val="0"/>
        </w:rPr>
        <w:t>Клиническая значимость этого порока неясна. Отмечено, что пациенты, у которых единственная коронарная артерия отходит от правого коронарного синуса и ветвь ее проходит между аортой и легочным стволом и затем располагается согласно локализации левой главной коронарной артерии, имеют повышенный риск внезапной сердечной смерти ввиду отхождения этой ветви под острым углом. Аналогич</w:t>
        <w:softHyphen/>
        <w:t>ная ситуация существует, когда единственная коронарная артерия отходит от правого синуса Вальсальвы.</w:t>
      </w:r>
    </w:p>
    <w:p>
      <w:pPr>
        <w:pStyle w:val="Style54"/>
        <w:widowControl w:val="0"/>
        <w:keepNext/>
        <w:keepLines/>
        <w:shd w:val="clear" w:color="auto" w:fill="auto"/>
        <w:bidi w:val="0"/>
        <w:jc w:val="left"/>
        <w:spacing w:before="0" w:after="39" w:line="210" w:lineRule="exact"/>
        <w:ind w:left="0" w:right="0" w:firstLine="0"/>
      </w:pPr>
      <w:bookmarkStart w:id="546" w:name="bookmark546"/>
      <w:r>
        <w:rPr>
          <w:lang w:val="ru-RU" w:eastAsia="ru-RU" w:bidi="ru-RU"/>
          <w:w w:val="100"/>
          <w:spacing w:val="0"/>
          <w:color w:val="000000"/>
          <w:position w:val="0"/>
        </w:rPr>
        <w:t>Гипоплазия коронарных артерий</w:t>
      </w:r>
      <w:bookmarkEnd w:id="546"/>
    </w:p>
    <w:p>
      <w:pPr>
        <w:pStyle w:val="Style30"/>
        <w:widowControl w:val="0"/>
        <w:keepNext w:val="0"/>
        <w:keepLines w:val="0"/>
        <w:shd w:val="clear" w:color="auto" w:fill="auto"/>
        <w:bidi w:val="0"/>
        <w:spacing w:before="0" w:after="258"/>
        <w:ind w:left="0" w:right="0" w:firstLine="280"/>
      </w:pPr>
      <w:r>
        <w:rPr>
          <w:lang w:val="ru-RU" w:eastAsia="ru-RU" w:bidi="ru-RU"/>
          <w:w w:val="100"/>
          <w:spacing w:val="0"/>
          <w:color w:val="000000"/>
          <w:position w:val="0"/>
        </w:rPr>
        <w:t>Существует мнение, что это крайне редкая аномалия, в силу этого не составляющая серьезной проблемы. В про</w:t>
        <w:softHyphen/>
        <w:t>тиворечии с этим сложившимся мнением находятся дан</w:t>
        <w:softHyphen/>
        <w:t xml:space="preserve">ные </w:t>
      </w:r>
      <w:r>
        <w:rPr>
          <w:lang w:val="en-US" w:eastAsia="en-US" w:bidi="en-US"/>
          <w:w w:val="100"/>
          <w:spacing w:val="0"/>
          <w:color w:val="000000"/>
          <w:position w:val="0"/>
        </w:rPr>
        <w:t xml:space="preserve">Zugibe F.T. et al. </w:t>
      </w:r>
      <w:r>
        <w:rPr>
          <w:lang w:val="ru-RU" w:eastAsia="ru-RU" w:bidi="ru-RU"/>
          <w:w w:val="100"/>
          <w:spacing w:val="0"/>
          <w:color w:val="000000"/>
          <w:position w:val="0"/>
        </w:rPr>
        <w:t>(1993), которые описали 7 случаев вне</w:t>
        <w:softHyphen/>
        <w:t>запной смерти вследствие врожденной гипоплазии коро</w:t>
        <w:softHyphen/>
        <w:t>нарных артерий, диагностированной при патологоанато</w:t>
        <w:softHyphen/>
        <w:t>мическом исследовании.</w:t>
      </w:r>
    </w:p>
    <w:p>
      <w:pPr>
        <w:pStyle w:val="Style54"/>
        <w:widowControl w:val="0"/>
        <w:keepNext/>
        <w:keepLines/>
        <w:shd w:val="clear" w:color="auto" w:fill="auto"/>
        <w:bidi w:val="0"/>
        <w:jc w:val="left"/>
        <w:spacing w:before="0" w:after="0" w:line="269" w:lineRule="exact"/>
        <w:ind w:left="0" w:right="0" w:firstLine="0"/>
      </w:pPr>
      <w:bookmarkStart w:id="547" w:name="bookmark547"/>
      <w:r>
        <w:rPr>
          <w:lang w:val="ru-RU" w:eastAsia="ru-RU" w:bidi="ru-RU"/>
          <w:w w:val="100"/>
          <w:spacing w:val="0"/>
          <w:color w:val="000000"/>
          <w:position w:val="0"/>
        </w:rPr>
        <w:t>Аномалии коронарных артерий при врожденных пороках сердца</w:t>
      </w:r>
      <w:bookmarkEnd w:id="547"/>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Тетрада Фалло</w:t>
      </w:r>
    </w:p>
    <w:p>
      <w:pPr>
        <w:pStyle w:val="Style30"/>
        <w:numPr>
          <w:ilvl w:val="0"/>
          <w:numId w:val="99"/>
        </w:numPr>
        <w:tabs>
          <w:tab w:leader="none" w:pos="519" w:val="left"/>
        </w:tabs>
        <w:widowControl w:val="0"/>
        <w:keepNext w:val="0"/>
        <w:keepLines w:val="0"/>
        <w:shd w:val="clear" w:color="auto" w:fill="auto"/>
        <w:bidi w:val="0"/>
        <w:spacing w:before="0" w:after="0"/>
        <w:ind w:left="520" w:right="0" w:hanging="240"/>
        <w:sectPr>
          <w:type w:val="continuous"/>
          <w:pgSz w:w="11900" w:h="16840"/>
          <w:pgMar w:top="1569" w:left="1056" w:right="956" w:bottom="1775" w:header="0" w:footer="3" w:gutter="0"/>
          <w:rtlGutter w:val="0"/>
          <w:cols w:num="2" w:space="160"/>
          <w:noEndnote/>
          <w:docGrid w:linePitch="360"/>
        </w:sectPr>
      </w:pPr>
      <w:r>
        <w:pict>
          <v:shape id="_x0000_s1545" type="#_x0000_t75" style="position:absolute;margin-left:148.1pt;margin-top:736.8pt;width:209.75pt;height:14.9pt;z-index:-125829028;mso-wrap-distance-left:147.85pt;mso-wrap-distance-right:136.55pt;mso-wrap-distance-bottom:10.8pt;mso-position-horizontal-relative:margin;mso-position-vertical-relative:margin" wrapcoords="0 0 21600 0 21600 21600 0 21600 0 0">
            <v:imagedata r:id="rId866" r:href="rId867"/>
            <w10:wrap type="topAndBottom" anchorx="margin" anchory="margin"/>
          </v:shape>
        </w:pict>
      </w:r>
      <w:r>
        <w:rPr>
          <w:lang w:val="ru-RU" w:eastAsia="ru-RU" w:bidi="ru-RU"/>
          <w:w w:val="100"/>
          <w:spacing w:val="0"/>
          <w:color w:val="000000"/>
          <w:position w:val="0"/>
        </w:rPr>
        <w:t xml:space="preserve">Врожденные коронарные аномалии встречаются при тетраде Фалло с частотой 11,8-13,3% </w:t>
      </w:r>
      <w:r>
        <w:rPr>
          <w:lang w:val="en-US" w:eastAsia="en-US" w:bidi="en-US"/>
          <w:w w:val="100"/>
          <w:spacing w:val="0"/>
          <w:color w:val="000000"/>
          <w:position w:val="0"/>
        </w:rPr>
        <w:t xml:space="preserve">(Carvalho J.S. et al., </w:t>
      </w:r>
      <w:r>
        <w:rPr>
          <w:lang w:val="ru-RU" w:eastAsia="ru-RU" w:bidi="ru-RU"/>
          <w:w w:val="100"/>
          <w:spacing w:val="0"/>
          <w:color w:val="000000"/>
          <w:position w:val="0"/>
        </w:rPr>
        <w:t xml:space="preserve">1993; </w:t>
      </w:r>
      <w:r>
        <w:rPr>
          <w:lang w:val="en-US" w:eastAsia="en-US" w:bidi="en-US"/>
          <w:w w:val="100"/>
          <w:spacing w:val="0"/>
          <w:color w:val="000000"/>
          <w:position w:val="0"/>
        </w:rPr>
        <w:t xml:space="preserve">O'Sullivan J. et al., 1994). </w:t>
      </w:r>
      <w:r>
        <w:rPr>
          <w:lang w:val="ru-RU" w:eastAsia="ru-RU" w:bidi="ru-RU"/>
          <w:w w:val="100"/>
          <w:spacing w:val="0"/>
          <w:color w:val="000000"/>
          <w:position w:val="0"/>
        </w:rPr>
        <w:t>Предоперационное распознавание их крайне важно для избежания инт</w:t>
        <w:softHyphen/>
        <w:t>раоперационного повреждения, т.к. часто аномаль-</w:t>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ные артерии пересекают выходной тракт правого же</w:t>
        <w:softHyphen/>
        <w:t>лудочка.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 выявленным при тетраде Фалло аномалиям коро</w:t>
        <w:softHyphen/>
        <w:t>нарных артерий относятся: единственная левая коро</w:t>
        <w:softHyphen/>
        <w:t>нарная артерия, единственная правая коронарная ар</w:t>
        <w:softHyphen/>
        <w:t>терия, отдельное высокое отхождение ветвей левой главной коронарной артерии от аорты, отхождение левой передней нисходящей артерии от правой глав</w:t>
        <w:softHyphen/>
        <w:t>ной коронарной артерии, аномальное отхождение ле</w:t>
        <w:softHyphen/>
        <w:t>вой главной коронарной артерии от легочного ствола.</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Когда левая передняя нисходящая артерия начинает</w:t>
        <w:softHyphen/>
        <w:t>ся от правой главной коронарной артерии, она пере</w:t>
        <w:softHyphen/>
        <w:t>секает выходной тракт правого желудочка. Следует избегать нечаянного пересечения этого сосуда при выполнении правой вентрикулотомии.</w:t>
      </w:r>
    </w:p>
    <w:p>
      <w:pPr>
        <w:pStyle w:val="Style30"/>
        <w:numPr>
          <w:ilvl w:val="0"/>
          <w:numId w:val="99"/>
        </w:numPr>
        <w:tabs>
          <w:tab w:leader="none" w:pos="238" w:val="left"/>
        </w:tabs>
        <w:widowControl w:val="0"/>
        <w:keepNext w:val="0"/>
        <w:keepLines w:val="0"/>
        <w:shd w:val="clear" w:color="auto" w:fill="auto"/>
        <w:bidi w:val="0"/>
        <w:spacing w:before="0" w:after="180"/>
        <w:ind w:left="260" w:right="0"/>
      </w:pPr>
      <w:r>
        <w:rPr>
          <w:lang w:val="ru-RU" w:eastAsia="ru-RU" w:bidi="ru-RU"/>
          <w:w w:val="100"/>
          <w:spacing w:val="0"/>
          <w:color w:val="000000"/>
          <w:position w:val="0"/>
        </w:rPr>
        <w:t>Единственная коронарная артерия — это вторая по частоте врожденная коронарная аномалия, которая ассоциируется с тетрадой Фалло. У 40% больных с те</w:t>
        <w:softHyphen/>
        <w:t>традой Фалло имеется длинная крупная правая ко</w:t>
        <w:softHyphen/>
        <w:t>нусная артерия, и, хотя это не относится к истинной врожденной аномалии, важно помнить об этой ана</w:t>
        <w:softHyphen/>
        <w:t>томической особенности во избежание оперативной травматизации данной ветви.</w:t>
      </w:r>
    </w:p>
    <w:p>
      <w:pPr>
        <w:pStyle w:val="Style92"/>
        <w:widowControl w:val="0"/>
        <w:keepNext/>
        <w:keepLines/>
        <w:shd w:val="clear" w:color="auto" w:fill="auto"/>
        <w:bidi w:val="0"/>
        <w:spacing w:before="0" w:after="0"/>
        <w:ind w:left="260" w:right="0" w:hanging="260"/>
      </w:pPr>
      <w:bookmarkStart w:id="548" w:name="bookmark548"/>
      <w:r>
        <w:rPr>
          <w:lang w:val="ru-RU" w:eastAsia="ru-RU" w:bidi="ru-RU"/>
          <w:w w:val="100"/>
          <w:spacing w:val="0"/>
          <w:color w:val="000000"/>
          <w:position w:val="0"/>
        </w:rPr>
        <w:t>Транспозиция магистральных артерий</w:t>
      </w:r>
      <w:bookmarkEnd w:id="548"/>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Нормальное отхождение коронарных артерий от аор</w:t>
        <w:softHyphen/>
        <w:t>ты чаще отмечается при правостороннем переднем расположении аорты — в 74,8% случаев, а при распо</w:t>
        <w:softHyphen/>
        <w:t xml:space="preserve">ложении магистральных артерий бок о бок </w:t>
      </w:r>
      <w:r>
        <w:rPr>
          <w:lang w:val="en-US" w:eastAsia="en-US" w:bidi="en-US"/>
          <w:w w:val="100"/>
          <w:spacing w:val="0"/>
          <w:color w:val="000000"/>
          <w:position w:val="0"/>
        </w:rPr>
        <w:t>(side-by</w:t>
        <w:softHyphen/>
        <w:t xml:space="preserve">side) </w:t>
      </w:r>
      <w:r>
        <w:rPr>
          <w:lang w:val="ru-RU" w:eastAsia="ru-RU" w:bidi="ru-RU"/>
          <w:w w:val="100"/>
          <w:spacing w:val="0"/>
          <w:color w:val="000000"/>
          <w:position w:val="0"/>
        </w:rPr>
        <w:t xml:space="preserve">— лишь в 38,9% случаев </w:t>
      </w:r>
      <w:r>
        <w:rPr>
          <w:lang w:val="en-US" w:eastAsia="en-US" w:bidi="en-US"/>
          <w:w w:val="100"/>
          <w:spacing w:val="0"/>
          <w:color w:val="000000"/>
          <w:position w:val="0"/>
        </w:rPr>
        <w:t>(E.Sim).</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Несмотря на то что главные коронарные артерии при транспозиции магистральных артерий чаще отходят от правого и левого коронарных синусов, вариации их дальнейшего дистального строения и расположе</w:t>
        <w:softHyphen/>
        <w:t>ния встречаются значительно чаще, чем обычно, крайне разнообразны и плохо поддаются определен</w:t>
        <w:softHyphen/>
        <w:t>ной классификации.</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Коронарные аномалии считаются серьезным факто</w:t>
        <w:softHyphen/>
        <w:t>ром риска в отношении исхода оперативного вмеша</w:t>
        <w:softHyphen/>
        <w:t>тельства при транспозиции магистральных артерий, особенно такие, как: интрамуральный ход коронар</w:t>
        <w:softHyphen/>
        <w:t>ных артерий в аорте, прохождение левой главной ко</w:t>
        <w:softHyphen/>
        <w:t>ронарной артерии позади легочного ствола, отхожде</w:t>
        <w:softHyphen/>
        <w:t>ние правой главной венечной артерии и левой пере</w:t>
        <w:softHyphen/>
        <w:t>дней восходящей артерии от переднего синуса с рас</w:t>
        <w:softHyphen/>
        <w:t>положенной позади огибающей артерией.</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Анатомия коронарных сосудов является основным фактором, влияющим на выживаемость детей ранне</w:t>
        <w:softHyphen/>
        <w:t>го возраста после радикальной оперативной коррек</w:t>
        <w:softHyphen/>
        <w:t xml:space="preserve">ции транспозиции магистральных артерий </w:t>
      </w:r>
      <w:r>
        <w:rPr>
          <w:lang w:val="en-US" w:eastAsia="en-US" w:bidi="en-US"/>
          <w:w w:val="100"/>
          <w:spacing w:val="0"/>
          <w:color w:val="000000"/>
          <w:position w:val="0"/>
        </w:rPr>
        <w:t>(Serraf A. et al., 1993).</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en-US" w:eastAsia="en-US" w:bidi="en-US"/>
          <w:w w:val="100"/>
          <w:spacing w:val="0"/>
          <w:color w:val="000000"/>
          <w:position w:val="0"/>
        </w:rPr>
        <w:t xml:space="preserve">I.Chiu </w:t>
      </w:r>
      <w:r>
        <w:rPr>
          <w:lang w:val="ru-RU" w:eastAsia="ru-RU" w:bidi="ru-RU"/>
          <w:w w:val="100"/>
          <w:spacing w:val="0"/>
          <w:color w:val="000000"/>
          <w:position w:val="0"/>
        </w:rPr>
        <w:t xml:space="preserve">и соавт. </w:t>
      </w:r>
      <w:r>
        <w:rPr>
          <w:lang w:val="en-US" w:eastAsia="en-US" w:bidi="en-US"/>
          <w:w w:val="100"/>
          <w:spacing w:val="0"/>
          <w:color w:val="000000"/>
          <w:position w:val="0"/>
        </w:rPr>
        <w:t xml:space="preserve">(1995) </w:t>
      </w:r>
      <w:r>
        <w:rPr>
          <w:lang w:val="ru-RU" w:eastAsia="ru-RU" w:bidi="ru-RU"/>
          <w:w w:val="100"/>
          <w:spacing w:val="0"/>
          <w:color w:val="000000"/>
          <w:position w:val="0"/>
        </w:rPr>
        <w:t>предпринята попытка группи</w:t>
        <w:softHyphen/>
        <w:t>ровки коронарных аномалий при транспозиции ма</w:t>
        <w:softHyphen/>
        <w:t>гистральных артерий на 5 главных типов: когда аорта поворачивается от передней левой к прямой пере</w:t>
        <w:softHyphen/>
        <w:t>дней позиции относительно легочного ствола, левая передняя нисходящая артерия поднимается от сину</w:t>
        <w:softHyphen/>
        <w:t>са, расположенного по левую руку, совместно с пра</w:t>
        <w:softHyphen/>
        <w:t>вой главной коронарной артерией. При дальнейшем повороте аорты она перемещается влево, имея нача</w:t>
        <w:softHyphen/>
        <w:t>ло, как и левая огибающая артерия, от праворасполо</w:t>
        <w:softHyphen/>
        <w:t>женного синуса. Когда аорта поворачивается далее по</w:t>
      </w:r>
    </w:p>
    <w:p>
      <w:pPr>
        <w:pStyle w:val="Style30"/>
        <w:widowControl w:val="0"/>
        <w:keepNext w:val="0"/>
        <w:keepLines w:val="0"/>
        <w:shd w:val="clear" w:color="auto" w:fill="auto"/>
        <w:bidi w:val="0"/>
        <w:spacing w:before="0" w:after="180"/>
        <w:ind w:left="520" w:right="0" w:firstLine="0"/>
      </w:pPr>
      <w:r>
        <w:br w:type="column"/>
      </w:r>
      <w:r>
        <w:rPr>
          <w:lang w:val="ru-RU" w:eastAsia="ru-RU" w:bidi="ru-RU"/>
          <w:w w:val="100"/>
          <w:spacing w:val="0"/>
          <w:color w:val="000000"/>
          <w:position w:val="0"/>
        </w:rPr>
        <w:t>часовой стрелке, переходя из прямой передней пози</w:t>
        <w:softHyphen/>
        <w:t>ции в переднюю правую или из передней правой по</w:t>
        <w:softHyphen/>
        <w:t>зиции в правую латеральную, левая огибающая арте</w:t>
        <w:softHyphen/>
        <w:t>рия приобретает тенденцию к расположению за ле</w:t>
        <w:softHyphen/>
        <w:t>гочным стволом и исходит из синуса, расположенно</w:t>
        <w:softHyphen/>
        <w:t>го по левую руку, вместе с правой коронарной артери</w:t>
        <w:softHyphen/>
        <w:t>ей. Когда аорта смещается из прямой правой в лате</w:t>
        <w:softHyphen/>
        <w:t>ральную правую позицию или из латеральной правой в заднюю правую позицию, правая венечная артерия исходит из расположенного по правую руку синуса и поднимается антеаортально до соединения с левой передней нисходящей артерией. Наконец, левая пе</w:t>
        <w:softHyphen/>
        <w:t>редняя нисходящая артерия может соединяться с ле</w:t>
        <w:softHyphen/>
        <w:t>вой огибающей артерией так же, как в норме, при обычном соотношении магистральных артерий.</w:t>
      </w:r>
    </w:p>
    <w:p>
      <w:pPr>
        <w:pStyle w:val="Style92"/>
        <w:widowControl w:val="0"/>
        <w:keepNext/>
        <w:keepLines/>
        <w:shd w:val="clear" w:color="auto" w:fill="auto"/>
        <w:bidi w:val="0"/>
        <w:spacing w:before="0" w:after="0"/>
        <w:ind w:left="520" w:right="0" w:hanging="240"/>
      </w:pPr>
      <w:bookmarkStart w:id="549" w:name="bookmark549"/>
      <w:r>
        <w:rPr>
          <w:lang w:val="ru-RU" w:eastAsia="ru-RU" w:bidi="ru-RU"/>
          <w:w w:val="100"/>
          <w:spacing w:val="0"/>
          <w:color w:val="000000"/>
          <w:position w:val="0"/>
        </w:rPr>
        <w:t>Другие врожденные пороки сердца</w:t>
      </w:r>
      <w:bookmarkEnd w:id="549"/>
    </w:p>
    <w:p>
      <w:pPr>
        <w:pStyle w:val="Style30"/>
        <w:widowControl w:val="0"/>
        <w:keepNext w:val="0"/>
        <w:keepLines w:val="0"/>
        <w:shd w:val="clear" w:color="auto" w:fill="auto"/>
        <w:bidi w:val="0"/>
        <w:spacing w:before="0" w:after="177"/>
        <w:ind w:left="0" w:right="0" w:firstLine="280"/>
      </w:pPr>
      <w:r>
        <w:rPr>
          <w:lang w:val="ru-RU" w:eastAsia="ru-RU" w:bidi="ru-RU"/>
          <w:w w:val="100"/>
          <w:spacing w:val="0"/>
          <w:color w:val="000000"/>
          <w:position w:val="0"/>
        </w:rPr>
        <w:t>Другие врожденные пороки сердца — атрезия трехствор</w:t>
        <w:softHyphen/>
        <w:t>чатого клапана, клапана легочной артерии, септальные де</w:t>
        <w:softHyphen/>
        <w:t>фекты и другие — также могут сопровождаться врожденны</w:t>
        <w:softHyphen/>
        <w:t>ми аномалиями коронарных артерий, причем даже после успешной радикальной коррекции врожденного порока сердца ряд коронарных аномалий может оказать решающее влияние на выживаемость пациентов.</w:t>
      </w:r>
    </w:p>
    <w:p>
      <w:pPr>
        <w:pStyle w:val="Style28"/>
        <w:widowControl w:val="0"/>
        <w:keepNext/>
        <w:keepLines/>
        <w:shd w:val="clear" w:color="auto" w:fill="auto"/>
        <w:bidi w:val="0"/>
        <w:jc w:val="left"/>
        <w:spacing w:before="0" w:after="93" w:line="220" w:lineRule="exact"/>
        <w:ind w:left="0" w:right="0" w:firstLine="0"/>
      </w:pPr>
      <w:bookmarkStart w:id="550" w:name="bookmark550"/>
      <w:r>
        <w:rPr>
          <w:lang w:val="ru-RU" w:eastAsia="ru-RU" w:bidi="ru-RU"/>
          <w:w w:val="100"/>
          <w:spacing w:val="0"/>
          <w:color w:val="000000"/>
          <w:position w:val="0"/>
        </w:rPr>
        <w:t>Болезнь Кавасаки</w:t>
      </w:r>
      <w:bookmarkEnd w:id="550"/>
    </w:p>
    <w:p>
      <w:pPr>
        <w:pStyle w:val="Style92"/>
        <w:widowControl w:val="0"/>
        <w:keepNext/>
        <w:keepLines/>
        <w:shd w:val="clear" w:color="auto" w:fill="auto"/>
        <w:bidi w:val="0"/>
        <w:spacing w:before="0" w:after="0"/>
        <w:ind w:left="520" w:right="0" w:hanging="240"/>
      </w:pPr>
      <w:bookmarkStart w:id="551" w:name="bookmark551"/>
      <w:r>
        <w:rPr>
          <w:lang w:val="ru-RU" w:eastAsia="ru-RU" w:bidi="ru-RU"/>
          <w:w w:val="100"/>
          <w:spacing w:val="0"/>
          <w:color w:val="000000"/>
          <w:position w:val="0"/>
        </w:rPr>
        <w:t>Определение</w:t>
      </w:r>
      <w:bookmarkEnd w:id="551"/>
    </w:p>
    <w:p>
      <w:pPr>
        <w:pStyle w:val="Style30"/>
        <w:numPr>
          <w:ilvl w:val="0"/>
          <w:numId w:val="9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Болезнь Кавасаки — остро начинающийся мультиси</w:t>
        <w:softHyphen/>
        <w:t>стемный васкулит неизвестной этиологии, с преиму</w:t>
        <w:softHyphen/>
        <w:t>щественным поражением коронарных артерий. Забо</w:t>
        <w:softHyphen/>
        <w:t>левание включает шесть основных клинических ком</w:t>
        <w:softHyphen/>
        <w:t>понентов: лихорадку, конъюнктивит, поражение сли</w:t>
        <w:softHyphen/>
        <w:t>зистой оболочки полости рта и зева, воспалительное покраснение и шелушение ладоней и подошв, кож</w:t>
        <w:softHyphen/>
        <w:t>ные высыпания и увеличение шейных лимфатичес</w:t>
        <w:softHyphen/>
        <w:t>ких узлов.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Синонимы: синдром Кавасаки, слизисто-кожно-лимфа</w:t>
        <w:softHyphen/>
        <w:t xml:space="preserve">тический синдром </w:t>
      </w:r>
      <w:r>
        <w:rPr>
          <w:lang w:val="en-US" w:eastAsia="en-US" w:bidi="en-US"/>
          <w:w w:val="100"/>
          <w:spacing w:val="0"/>
          <w:color w:val="000000"/>
          <w:position w:val="0"/>
        </w:rPr>
        <w:t>(mucocutaneolis lymph node syndrome).</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Введение</w:t>
      </w:r>
    </w:p>
    <w:p>
      <w:pPr>
        <w:pStyle w:val="Style30"/>
        <w:numPr>
          <w:ilvl w:val="0"/>
          <w:numId w:val="9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Болезнь Кавасаки названа именем педиатра </w:t>
      </w:r>
      <w:r>
        <w:rPr>
          <w:lang w:val="en-US" w:eastAsia="en-US" w:bidi="en-US"/>
          <w:w w:val="100"/>
          <w:spacing w:val="0"/>
          <w:color w:val="000000"/>
          <w:position w:val="0"/>
        </w:rPr>
        <w:t xml:space="preserve">T Kawasaki, </w:t>
      </w:r>
      <w:r>
        <w:rPr>
          <w:lang w:val="ru-RU" w:eastAsia="ru-RU" w:bidi="ru-RU"/>
          <w:w w:val="100"/>
          <w:spacing w:val="0"/>
          <w:color w:val="000000"/>
          <w:position w:val="0"/>
        </w:rPr>
        <w:t>который первым исследовал заболевание и сделал сообщение о нем. Заболевание наблюдается преимущественно у детей младше 5 лет. Кроме дли</w:t>
        <w:softHyphen/>
        <w:t>тельной лихорадки и экзантемы, болезнь Кавасаки характеризуется риском внезапной смерти вслед</w:t>
        <w:softHyphen/>
        <w:t>ствие коронарного артериита, сопровождающегося аневризмами и тромбоэмболическим синдромом. В связи с увеличением числа заболевающих в раннем детстве болезнь приобретает важное значение в этио</w:t>
        <w:softHyphen/>
        <w:t>логии ишемических миокардиальных повреждений и для более старших возрастных групп.</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Краткая историческая справка</w:t>
      </w:r>
    </w:p>
    <w:p>
      <w:pPr>
        <w:pStyle w:val="Style30"/>
        <w:numPr>
          <w:ilvl w:val="0"/>
          <w:numId w:val="99"/>
        </w:numPr>
        <w:tabs>
          <w:tab w:leader="none" w:pos="520" w:val="left"/>
        </w:tabs>
        <w:widowControl w:val="0"/>
        <w:keepNext w:val="0"/>
        <w:keepLines w:val="0"/>
        <w:shd w:val="clear" w:color="auto" w:fill="auto"/>
        <w:bidi w:val="0"/>
        <w:spacing w:before="0" w:after="0"/>
        <w:ind w:left="520" w:right="0" w:hanging="240"/>
      </w:pPr>
      <w:r>
        <w:pict>
          <v:shape id="_x0000_s1546" type="#_x0000_t75" style="position:absolute;margin-left:130.55pt;margin-top:736.8pt;width:209.75pt;height:14.9pt;z-index:-125829027;mso-wrap-distance-left:124.3pt;mso-wrap-distance-right:148.1pt;mso-wrap-distance-bottom:10.8pt;mso-position-horizontal-relative:margin;mso-position-vertical-relative:margin" wrapcoords="0 0 21600 0 21600 21600 0 21600 0 0">
            <v:imagedata r:id="rId868" r:href="rId869"/>
            <w10:wrap type="topAndBottom" anchorx="margin" anchory="margin"/>
          </v:shape>
        </w:pict>
      </w:r>
      <w:r>
        <w:rPr>
          <w:lang w:val="ru-RU" w:eastAsia="ru-RU" w:bidi="ru-RU"/>
          <w:w w:val="100"/>
          <w:spacing w:val="0"/>
          <w:color w:val="000000"/>
          <w:position w:val="0"/>
        </w:rPr>
        <w:t xml:space="preserve">В январе 1961 г. </w:t>
      </w:r>
      <w:r>
        <w:rPr>
          <w:lang w:val="en-US" w:eastAsia="en-US" w:bidi="en-US"/>
          <w:w w:val="100"/>
          <w:spacing w:val="0"/>
          <w:color w:val="000000"/>
          <w:position w:val="0"/>
        </w:rPr>
        <w:t xml:space="preserve">Т.Каwasaki </w:t>
      </w:r>
      <w:r>
        <w:rPr>
          <w:lang w:val="ru-RU" w:eastAsia="ru-RU" w:bidi="ru-RU"/>
          <w:w w:val="100"/>
          <w:spacing w:val="0"/>
          <w:color w:val="000000"/>
          <w:position w:val="0"/>
        </w:rPr>
        <w:t>наблюдал 4-летнего маль</w:t>
        <w:softHyphen/>
        <w:t>чика с лихорадкой более 7 дней. У него были припух</w:t>
        <w:softHyphen/>
        <w:t>шие шейные лимфатические узлы, трещины губ с не</w:t>
        <w:softHyphen/>
        <w:t>большой кровоточивостью, инъекция конъюнктив, экзантема на теле. Ладони и подошвы мальчика были гиперемированы, с индуративным отеком. Позже произошло шелушение кожи конечностей. Ребенок был пролечен пенициллином и стероидами. Темпера</w:t>
        <w:softHyphen/>
        <w:t>тура снизилась через 2 недели, и постепенно исчезли</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остальные симптомы. После пребывания в больнице в течение 1 месяца ребенок был выписан домой. В 1962 г. </w:t>
      </w:r>
      <w:r>
        <w:rPr>
          <w:lang w:val="en-US" w:eastAsia="en-US" w:bidi="en-US"/>
          <w:w w:val="100"/>
          <w:spacing w:val="0"/>
          <w:color w:val="000000"/>
          <w:position w:val="0"/>
        </w:rPr>
        <w:t xml:space="preserve">T. Kawasaki </w:t>
      </w:r>
      <w:r>
        <w:rPr>
          <w:lang w:val="ru-RU" w:eastAsia="ru-RU" w:bidi="ru-RU"/>
          <w:w w:val="100"/>
          <w:spacing w:val="0"/>
          <w:color w:val="000000"/>
          <w:position w:val="0"/>
        </w:rPr>
        <w:t>наблюдал 6 пациентов с такими же клиническими симптомами. Это было за 2-3 года до того, как другие японские врачи начали распозна</w:t>
        <w:softHyphen/>
        <w:t>вать данный клинический синдром как новое заболе</w:t>
        <w:softHyphen/>
        <w:t>вание. До этого заболевание диагностировалось под клиническими масками многоформной экссудатив</w:t>
        <w:softHyphen/>
        <w:t xml:space="preserve">ной эритемы, синдрома Стивенса-Джонсона и/или ювенильного ревматоидного артрита. В 1967 г. доктор </w:t>
      </w:r>
      <w:r>
        <w:rPr>
          <w:lang w:val="en-US" w:eastAsia="en-US" w:bidi="en-US"/>
          <w:w w:val="100"/>
          <w:spacing w:val="0"/>
          <w:color w:val="000000"/>
          <w:position w:val="0"/>
        </w:rPr>
        <w:t xml:space="preserve">TKawasaki </w:t>
      </w:r>
      <w:r>
        <w:rPr>
          <w:lang w:val="ru-RU" w:eastAsia="ru-RU" w:bidi="ru-RU"/>
          <w:w w:val="100"/>
          <w:spacing w:val="0"/>
          <w:color w:val="000000"/>
          <w:position w:val="0"/>
        </w:rPr>
        <w:t>сделал сообщение о первых 50 случаях это</w:t>
        <w:softHyphen/>
        <w:t>го необычного синдрома, назвав его «фебрильным окуло-оро-кутанео-акро-десквамативным синдро</w:t>
        <w:softHyphen/>
        <w:t>мом с наличием или без негнойного шейного лимфа</w:t>
        <w:softHyphen/>
        <w:t>денита).</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1970 г. в Японии был создан при Министерстве здравоохранения специальный Комитет по исследо</w:t>
        <w:softHyphen/>
        <w:t xml:space="preserve">ваниям слизисто-кожно-лимфатического синдрома </w:t>
      </w:r>
      <w:r>
        <w:rPr>
          <w:lang w:val="en-US" w:eastAsia="en-US" w:bidi="en-US"/>
          <w:w w:val="100"/>
          <w:spacing w:val="0"/>
          <w:color w:val="000000"/>
          <w:position w:val="0"/>
        </w:rPr>
        <w:t xml:space="preserve">(mucocutaneous lymph node syndrome, MCLNS) </w:t>
      </w:r>
      <w:r>
        <w:rPr>
          <w:lang w:val="ru-RU" w:eastAsia="ru-RU" w:bidi="ru-RU"/>
          <w:w w:val="100"/>
          <w:spacing w:val="0"/>
          <w:color w:val="000000"/>
          <w:position w:val="0"/>
        </w:rPr>
        <w:t>и про</w:t>
        <w:softHyphen/>
        <w:t>ведено первое общенациональное исследование, в котором впервые из 1857 пациентов было выявлено 26 со «стертыми» симптомами заболевания (так назы</w:t>
        <w:softHyphen/>
        <w:t>ваемая неполная форма болезни).</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Число заболевших детей в Японии, как и во всем ми</w:t>
        <w:softHyphen/>
        <w:t>ре, продолжает увеличиваться. При этом было отме</w:t>
        <w:softHyphen/>
        <w:t>чено 3 общенациональные вспышки: в 1979 (6967 за</w:t>
        <w:softHyphen/>
        <w:t>регистрированных случаев), в 1982 (15 519) и в 1986 (12 847 пациентов). Хотя эта болезнь отчетливо пре</w:t>
        <w:softHyphen/>
        <w:t>обладает в Японии, среди младенцев и детей раннего возраста, заболевание постепенно распространяется по всему миру. В 1973 г. появилось первое сообщение о 8 случаях слизисто-кожно-лимфатического синд</w:t>
        <w:softHyphen/>
        <w:t>рома в Корее, затем — публикации из США. Публи</w:t>
        <w:softHyphen/>
        <w:t xml:space="preserve">кации </w:t>
      </w:r>
      <w:r>
        <w:rPr>
          <w:lang w:val="en-US" w:eastAsia="en-US" w:bidi="en-US"/>
          <w:w w:val="100"/>
          <w:spacing w:val="0"/>
          <w:color w:val="000000"/>
          <w:position w:val="0"/>
        </w:rPr>
        <w:t xml:space="preserve">T.Kawasaki </w:t>
      </w:r>
      <w:r>
        <w:rPr>
          <w:lang w:val="ru-RU" w:eastAsia="ru-RU" w:bidi="ru-RU"/>
          <w:w w:val="100"/>
          <w:spacing w:val="0"/>
          <w:color w:val="000000"/>
          <w:position w:val="0"/>
        </w:rPr>
        <w:t>в англоязычных журналах распро</w:t>
        <w:softHyphen/>
        <w:t>странили информацию об этом синдроме, и он стал чаще диагностироваться. Начали стремительно появ</w:t>
        <w:softHyphen/>
        <w:t>ляться сообщения о регистрации новых случаев забо</w:t>
        <w:softHyphen/>
        <w:t>левания из Канады, Центральной и Южной Амери</w:t>
        <w:softHyphen/>
        <w:t>ки, Европы, Австралии и других стран мира.</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России первый случай заболевания наблюдался в 1980 г., был описан в 1982 г., в настоящее время име</w:t>
        <w:softHyphen/>
        <w:t>ется всего 15 публикаций по болезни Кавасаки.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Частота</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соответствии с национальным эпидемиологичес</w:t>
        <w:softHyphen/>
        <w:t>ким обследованием, проведенным в Японии, к концу 1986 г. число пациентов достигло 83 577 (мальчиков — 48 570, девочек — 35 287), с 349 смертельными исхо</w:t>
        <w:softHyphen/>
        <w:t>дами (0,4%). В США к концу 1985 г. было сообщено о 2091 случае, значительное увеличение числа новых случаев заболевания отмечено в 1984-1985 гг. и 1987</w:t>
        <w:softHyphen/>
        <w:t>1989 гг. Ежегодный уровень заболеваемости в настоя</w:t>
        <w:softHyphen/>
        <w:t>щее время составляет 15,2 на 100 000 детей младше 5 лет.</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 1986 г. в Швейцарии насчитывалось порядка 115 000 сообщений о случаях болезни Кавасаки. Заболе</w:t>
        <w:softHyphen/>
        <w:t>ваемость составила 6-11 на 100 000 в основном у детей до 5 лет.</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России (данные Брегель Л.В. по Иркутской облас</w:t>
        <w:softHyphen/>
        <w:t>ти) болезнь Кавасаки ориентировочно составляет 4,4 на 100 000 детского населения в год.</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Большинство заболевших — дети японской нацио</w:t>
        <w:softHyphen/>
        <w:t>нальности или уроженцы Японии. Согласно данным</w:t>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 xml:space="preserve">Центра по контролю за заболеваниями </w:t>
      </w:r>
      <w:r>
        <w:rPr>
          <w:lang w:val="en-US" w:eastAsia="en-US" w:bidi="en-US"/>
          <w:w w:val="100"/>
          <w:spacing w:val="0"/>
          <w:color w:val="000000"/>
          <w:position w:val="0"/>
        </w:rPr>
        <w:t xml:space="preserve">(CDC), </w:t>
      </w:r>
      <w:r>
        <w:rPr>
          <w:lang w:val="ru-RU" w:eastAsia="ru-RU" w:bidi="ru-RU"/>
          <w:w w:val="100"/>
          <w:spacing w:val="0"/>
          <w:color w:val="000000"/>
          <w:position w:val="0"/>
        </w:rPr>
        <w:t>часто</w:t>
        <w:softHyphen/>
        <w:t>та среди детей 8 лет и младше, проживающих в США, в три раза выше среди американцев азиатского про</w:t>
        <w:softHyphen/>
        <w:t>исхождения, чем у черных, и в семь раз выше у амери - канцев азиатского происхождения, чем у белых аме</w:t>
        <w:softHyphen/>
        <w:t>риканцев. Частота в Японии — более 90 случаев в год на 100 000 детей 5 лет и младше.</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Пол</w:t>
      </w:r>
    </w:p>
    <w:p>
      <w:pPr>
        <w:pStyle w:val="Style30"/>
        <w:numPr>
          <w:ilvl w:val="0"/>
          <w:numId w:val="9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Японии отношение М/Д среди детей с болезнью Кавасаки — около 1,4:1.</w:t>
      </w:r>
    </w:p>
    <w:p>
      <w:pPr>
        <w:pStyle w:val="Style30"/>
        <w:numPr>
          <w:ilvl w:val="0"/>
          <w:numId w:val="9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США отношение М/Д среди детей с болезнью Ка</w:t>
        <w:softHyphen/>
        <w:t>васаки составляет 1,67:1.</w:t>
      </w:r>
    </w:p>
    <w:p>
      <w:pPr>
        <w:pStyle w:val="Style30"/>
        <w:numPr>
          <w:ilvl w:val="0"/>
          <w:numId w:val="9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России мальчики заболевают в 2,1 раза чаще, чем девочки. Смертельные исходы при болезни Кавасаки наблюдаются значительно чаще у мальчиков.</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Возраст</w:t>
      </w:r>
    </w:p>
    <w:p>
      <w:pPr>
        <w:pStyle w:val="Style30"/>
        <w:numPr>
          <w:ilvl w:val="0"/>
          <w:numId w:val="9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Болезнь Кавасаки возникает преимущественно у младенцев и детей раннего возраста.</w:t>
      </w:r>
    </w:p>
    <w:p>
      <w:pPr>
        <w:pStyle w:val="Style30"/>
        <w:numPr>
          <w:ilvl w:val="0"/>
          <w:numId w:val="9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Примерно 1% больных моложе 2 мес либо старше 9 лет.</w:t>
      </w:r>
    </w:p>
    <w:p>
      <w:pPr>
        <w:pStyle w:val="Style30"/>
        <w:numPr>
          <w:ilvl w:val="0"/>
          <w:numId w:val="9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Наиболее частый возраст, в котором начинается забо - левание, — 1 год, как среди мальчиков, так и среди девочек.</w:t>
      </w:r>
    </w:p>
    <w:p>
      <w:pPr>
        <w:pStyle w:val="Style30"/>
        <w:numPr>
          <w:ilvl w:val="0"/>
          <w:numId w:val="9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Болезнь очень редко наблюдается среди взрослых.</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География</w:t>
      </w:r>
    </w:p>
    <w:p>
      <w:pPr>
        <w:pStyle w:val="Style30"/>
        <w:numPr>
          <w:ilvl w:val="0"/>
          <w:numId w:val="9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Болезнь Кавасаки диагностируется в 48 странах мира. Вслед за Японией ряд стран сообщает о распростра</w:t>
        <w:softHyphen/>
        <w:t>нении данного заболевания (список составлен по убывающей частоте): Корея, США, Канада, Герма</w:t>
        <w:softHyphen/>
        <w:t>ния, Финляндия, Франция, Англия, Новая Зеландия, Австралия, Тайвань, Швеция, Бельгия, Нидерланды.</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Сезонность</w:t>
      </w:r>
    </w:p>
    <w:p>
      <w:pPr>
        <w:pStyle w:val="Style30"/>
        <w:numPr>
          <w:ilvl w:val="0"/>
          <w:numId w:val="9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Японии болезнь Кавасаки регистрируется в течение всего года. Хотя наблюдалось увеличение числа паци - ентов в апреле-июне, преимущественно во время двух вспышек заболевания в 1979 и 1982 гг., эта зако</w:t>
        <w:softHyphen/>
        <w:t>номерность не сохраняется ежегодно. В Корее также было 2 вспышки, с ноября 1979 по январь 1980 гг. и с мая 1983 по сентябрь 1983 г.</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Контагиозность</w:t>
      </w:r>
    </w:p>
    <w:p>
      <w:pPr>
        <w:pStyle w:val="Style30"/>
        <w:numPr>
          <w:ilvl w:val="0"/>
          <w:numId w:val="9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настоящее время нет убедительных данных о том, что болезнь Кавасаки передается от человека к чело</w:t>
        <w:softHyphen/>
        <w:t>веку. В Японии от 1,5 до 2% описанных случаев на</w:t>
        <w:softHyphen/>
        <w:t>блюдались у двух сиблингов, и у 50% из них заболева</w:t>
        <w:softHyphen/>
        <w:t>ние началось последовательно (у второго — в течение 7 дней после начала заболевания у первого). Этот процент слишком велик, чтобы быть случайным, но в то же время слишком низок, чтобы признать бес</w:t>
        <w:softHyphen/>
        <w:t>спорным доказательством инфекционной этиологии синдрома. В Японии частота рецидивов 3%, один из пациентов имел 4 рецидива.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Этиология</w:t>
      </w:r>
    </w:p>
    <w:p>
      <w:pPr>
        <w:pStyle w:val="Style30"/>
        <w:numPr>
          <w:ilvl w:val="0"/>
          <w:numId w:val="99"/>
        </w:numPr>
        <w:tabs>
          <w:tab w:leader="none" w:pos="240" w:val="left"/>
        </w:tabs>
        <w:widowControl w:val="0"/>
        <w:keepNext w:val="0"/>
        <w:keepLines w:val="0"/>
        <w:shd w:val="clear" w:color="auto" w:fill="auto"/>
        <w:bidi w:val="0"/>
        <w:spacing w:before="0" w:after="0"/>
        <w:ind w:left="260" w:right="0"/>
      </w:pPr>
      <w:r>
        <w:pict>
          <v:shape id="_x0000_s1547" type="#_x0000_t75" style="position:absolute;margin-left:141.95pt;margin-top:736.8pt;width:209.75pt;height:14.9pt;z-index:-125829026;mso-wrap-distance-left:135.6pt;mso-wrap-distance-right:136.55pt;mso-wrap-distance-bottom:10.8pt;mso-position-horizontal-relative:margin;mso-position-vertical-relative:margin" wrapcoords="0 0 21600 0 21600 21600 0 21600 0 0">
            <v:imagedata r:id="rId870" r:href="rId871"/>
            <w10:wrap type="topAndBottom" anchorx="margin" anchory="margin"/>
          </v:shape>
        </w:pict>
      </w:r>
      <w:r>
        <w:rPr>
          <w:lang w:val="ru-RU" w:eastAsia="ru-RU" w:bidi="ru-RU"/>
          <w:w w:val="100"/>
          <w:spacing w:val="0"/>
          <w:color w:val="000000"/>
          <w:position w:val="0"/>
        </w:rPr>
        <w:t>Несмотря на интенсивные исследования, этиология болезни Кавасаки остается неизвестной. Эпидеми</w:t>
        <w:softHyphen/>
        <w:t>ческие вспышки заболевания, случаи заболеваний у сиблингов, географические особенности распро</w:t>
        <w:softHyphen/>
        <w:t>странения заболевания свидетельствуют об инфек</w:t>
        <w:softHyphen/>
        <w:t>ционной природе болезни. Однако подверженность заболеванию лиц мужского пола и высокая его час</w:t>
        <w:softHyphen/>
        <w:t>тота среди младенцев в Японии и лиц японского происхождения свидетельствуют против этого пред</w:t>
        <w:softHyphen/>
        <w:t>положения.</w:t>
      </w:r>
      <w:r>
        <w:br w:type="page"/>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Стрептококки:</w:t>
      </w:r>
    </w:p>
    <w:p>
      <w:pPr>
        <w:pStyle w:val="Style30"/>
        <w:numPr>
          <w:ilvl w:val="0"/>
          <w:numId w:val="101"/>
        </w:numPr>
        <w:tabs>
          <w:tab w:leader="none" w:pos="491"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установлено повышение титров антистрептокок</w:t>
        <w:softHyphen/>
        <w:t>ковых антител у части пациентов с болезнью Кава</w:t>
        <w:softHyphen/>
        <w:t>саки;</w:t>
      </w:r>
    </w:p>
    <w:p>
      <w:pPr>
        <w:pStyle w:val="Style30"/>
        <w:numPr>
          <w:ilvl w:val="0"/>
          <w:numId w:val="101"/>
        </w:numPr>
        <w:tabs>
          <w:tab w:leader="none" w:pos="491"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предполагается участие стрептококкового экзоток</w:t>
        <w:softHyphen/>
        <w:t>сина как суперантигена, вызывающего запуск им</w:t>
        <w:softHyphen/>
        <w:t>мунопатологических сдвигов в патогенезе заболе</w:t>
        <w:softHyphen/>
        <w:t>вания, однако не удалось выделить стрептококк из поврежденных тканей при этом заболевании.</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Иерсении:</w:t>
      </w:r>
    </w:p>
    <w:p>
      <w:pPr>
        <w:pStyle w:val="Style30"/>
        <w:numPr>
          <w:ilvl w:val="0"/>
          <w:numId w:val="101"/>
        </w:numPr>
        <w:tabs>
          <w:tab w:leader="none" w:pos="491"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возбудитель псевдотуберкулеза может вызывать клинические симптомы острой стадии болезни Кавасаки, и он выделен из стула у части пациентов с диагностическими симптомами этого заболева</w:t>
        <w:softHyphen/>
        <w:t>ния. Наблюдается значительное повышение тит</w:t>
        <w:softHyphen/>
        <w:t>ров антител к иерсениям;</w:t>
      </w:r>
    </w:p>
    <w:p>
      <w:pPr>
        <w:pStyle w:val="Style30"/>
        <w:numPr>
          <w:ilvl w:val="0"/>
          <w:numId w:val="101"/>
        </w:numPr>
        <w:tabs>
          <w:tab w:leader="none" w:pos="491"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известны случаи псевдотуберкулеза у детей с пол</w:t>
        <w:softHyphen/>
        <w:t>ными диагностическими критериями болезни Ка</w:t>
        <w:softHyphen/>
        <w:t>васаки, у которых также были обнаружены коро</w:t>
        <w:softHyphen/>
        <w:t>нарные аневризмы.</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Вирусы:</w:t>
      </w:r>
    </w:p>
    <w:p>
      <w:pPr>
        <w:pStyle w:val="Style30"/>
        <w:numPr>
          <w:ilvl w:val="0"/>
          <w:numId w:val="101"/>
        </w:numPr>
        <w:tabs>
          <w:tab w:leader="none" w:pos="491"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вирус Эпштейна-Барр обнаруживается у 93% па</w:t>
        <w:softHyphen/>
        <w:t>циентов с болезнью Кавасаки в течение 3 месяцев после острого начала болезни, но титры его очень низкие;</w:t>
      </w:r>
    </w:p>
    <w:p>
      <w:pPr>
        <w:pStyle w:val="Style30"/>
        <w:numPr>
          <w:ilvl w:val="0"/>
          <w:numId w:val="101"/>
        </w:numPr>
        <w:tabs>
          <w:tab w:leader="none" w:pos="491"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ротавирусы;</w:t>
      </w:r>
    </w:p>
    <w:p>
      <w:pPr>
        <w:pStyle w:val="Style30"/>
        <w:numPr>
          <w:ilvl w:val="0"/>
          <w:numId w:val="101"/>
        </w:numPr>
        <w:tabs>
          <w:tab w:leader="none" w:pos="491"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аденовирусы 3-го типа;</w:t>
      </w:r>
    </w:p>
    <w:p>
      <w:pPr>
        <w:pStyle w:val="Style30"/>
        <w:numPr>
          <w:ilvl w:val="0"/>
          <w:numId w:val="101"/>
        </w:numPr>
        <w:tabs>
          <w:tab w:leader="none" w:pos="491"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вирусы простого герпеса;</w:t>
      </w:r>
    </w:p>
    <w:p>
      <w:pPr>
        <w:pStyle w:val="Style30"/>
        <w:numPr>
          <w:ilvl w:val="0"/>
          <w:numId w:val="101"/>
        </w:numPr>
        <w:tabs>
          <w:tab w:leader="none" w:pos="491"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вирусы </w:t>
      </w:r>
      <w:r>
        <w:rPr>
          <w:lang w:val="en-US" w:eastAsia="en-US" w:bidi="en-US"/>
          <w:w w:val="100"/>
          <w:spacing w:val="0"/>
          <w:color w:val="000000"/>
          <w:position w:val="0"/>
        </w:rPr>
        <w:t xml:space="preserve">ECHO </w:t>
      </w:r>
      <w:r>
        <w:rPr>
          <w:lang w:val="ru-RU" w:eastAsia="ru-RU" w:bidi="ru-RU"/>
          <w:w w:val="100"/>
          <w:spacing w:val="0"/>
          <w:color w:val="000000"/>
          <w:position w:val="0"/>
        </w:rPr>
        <w:t>11.</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Патогенез</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острую фазу болезни Кавасаки отмечаются недо</w:t>
        <w:softHyphen/>
        <w:t xml:space="preserve">статочность Т-супрессоров, активация Т-хелперов, увеличение количества В-клеток, спонтанно секре- тируюших </w:t>
      </w:r>
      <w:r>
        <w:rPr>
          <w:lang w:val="en-US" w:eastAsia="en-US" w:bidi="en-US"/>
          <w:w w:val="100"/>
          <w:spacing w:val="0"/>
          <w:color w:val="000000"/>
          <w:position w:val="0"/>
        </w:rPr>
        <w:t xml:space="preserve">IgG- </w:t>
      </w:r>
      <w:r>
        <w:rPr>
          <w:lang w:val="ru-RU" w:eastAsia="ru-RU" w:bidi="ru-RU"/>
          <w:w w:val="100"/>
          <w:spacing w:val="0"/>
          <w:color w:val="000000"/>
          <w:position w:val="0"/>
        </w:rPr>
        <w:t xml:space="preserve">и </w:t>
      </w:r>
      <w:r>
        <w:rPr>
          <w:lang w:val="en-US" w:eastAsia="en-US" w:bidi="en-US"/>
          <w:w w:val="100"/>
          <w:spacing w:val="0"/>
          <w:color w:val="000000"/>
          <w:position w:val="0"/>
        </w:rPr>
        <w:t>IgM</w:t>
      </w:r>
      <w:r>
        <w:rPr>
          <w:lang w:val="ru-RU" w:eastAsia="ru-RU" w:bidi="ru-RU"/>
          <w:w w:val="100"/>
          <w:spacing w:val="0"/>
          <w:color w:val="000000"/>
          <w:position w:val="0"/>
        </w:rPr>
        <w:t>-антитела. Установлена связь иммунологических изменений с повреждениями со</w:t>
        <w:softHyphen/>
        <w:t xml:space="preserve">судистого эндотелия антиэндотелиальными </w:t>
      </w:r>
      <w:r>
        <w:rPr>
          <w:lang w:val="en-US" w:eastAsia="en-US" w:bidi="en-US"/>
          <w:w w:val="100"/>
          <w:spacing w:val="0"/>
          <w:color w:val="000000"/>
          <w:position w:val="0"/>
        </w:rPr>
        <w:t xml:space="preserve">IgM- </w:t>
      </w:r>
      <w:r>
        <w:rPr>
          <w:lang w:val="ru-RU" w:eastAsia="ru-RU" w:bidi="ru-RU"/>
          <w:w w:val="100"/>
          <w:spacing w:val="0"/>
          <w:color w:val="000000"/>
          <w:position w:val="0"/>
        </w:rPr>
        <w:t xml:space="preserve">и </w:t>
      </w:r>
      <w:r>
        <w:rPr>
          <w:lang w:val="en-US" w:eastAsia="en-US" w:bidi="en-US"/>
          <w:w w:val="100"/>
          <w:spacing w:val="0"/>
          <w:color w:val="000000"/>
          <w:position w:val="0"/>
        </w:rPr>
        <w:t>IgG</w:t>
      </w:r>
      <w:r>
        <w:rPr>
          <w:lang w:val="ru-RU" w:eastAsia="ru-RU" w:bidi="ru-RU"/>
          <w:w w:val="100"/>
          <w:spacing w:val="0"/>
          <w:color w:val="000000"/>
          <w:position w:val="0"/>
        </w:rPr>
        <w:t>-антителами. Подтверждено присутствие анти</w:t>
        <w:softHyphen/>
        <w:t xml:space="preserve">эндотелиальных клеточных антител и их цитотоксич - ность. Сывороточный титр </w:t>
      </w:r>
      <w:r>
        <w:rPr>
          <w:lang w:val="en-US" w:eastAsia="en-US" w:bidi="en-US"/>
          <w:w w:val="100"/>
          <w:spacing w:val="0"/>
          <w:color w:val="000000"/>
          <w:position w:val="0"/>
        </w:rPr>
        <w:t xml:space="preserve">IgM </w:t>
      </w:r>
      <w:r>
        <w:rPr>
          <w:lang w:val="ru-RU" w:eastAsia="ru-RU" w:bidi="ru-RU"/>
          <w:w w:val="100"/>
          <w:spacing w:val="0"/>
          <w:color w:val="000000"/>
          <w:position w:val="0"/>
        </w:rPr>
        <w:t xml:space="preserve">антиэндотелиальных клеточных антител у пациентов с болезнью Кавасаки положительно коррелирует с цитотоксичностью. Предполагается, что </w:t>
      </w:r>
      <w:r>
        <w:rPr>
          <w:lang w:val="en-US" w:eastAsia="en-US" w:bidi="en-US"/>
          <w:w w:val="100"/>
          <w:spacing w:val="0"/>
          <w:color w:val="000000"/>
          <w:position w:val="0"/>
        </w:rPr>
        <w:t xml:space="preserve">IgM </w:t>
      </w:r>
      <w:r>
        <w:rPr>
          <w:lang w:val="ru-RU" w:eastAsia="ru-RU" w:bidi="ru-RU"/>
          <w:w w:val="100"/>
          <w:spacing w:val="0"/>
          <w:color w:val="000000"/>
          <w:position w:val="0"/>
        </w:rPr>
        <w:t>антиэндотелиальных кле</w:t>
        <w:softHyphen/>
        <w:t>точных антител обусловливает комплемент-зависи- мую цитотоксичность против эндотелиальных клеток у пациентов с болезнью Кавасаки, и иммуноглобулин может уменьшать комплемент-зависимую цитоток</w:t>
        <w:softHyphen/>
        <w:t>сичность антиэндотелиальных клеточных антител против эндотелиальных клеток.</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Тромбоцитоз, который наблюдается на 3-4-й неделе от начала заболевания, связан с появлением в цирку</w:t>
        <w:softHyphen/>
        <w:t>лирующей крови тромбоцитагрегирующего фактора. Последний индуцирует агрегацию тромбоцитов и вы</w:t>
        <w:softHyphen/>
        <w:t>ход из них серотонина. Агрегирующий фактор имеет большую молекулярную массу, его активность снижа</w:t>
        <w:softHyphen/>
        <w:t xml:space="preserve">ется при уменьшении рН крови. Установлена тесная корреляция агрегирующего фактора тромбоцитов с наличием </w:t>
      </w:r>
      <w:r>
        <w:rPr>
          <w:lang w:val="en-US" w:eastAsia="en-US" w:bidi="en-US"/>
          <w:w w:val="100"/>
          <w:spacing w:val="0"/>
          <w:color w:val="000000"/>
          <w:position w:val="0"/>
        </w:rPr>
        <w:t>IgG</w:t>
      </w:r>
      <w:r>
        <w:rPr>
          <w:lang w:val="ru-RU" w:eastAsia="ru-RU" w:bidi="ru-RU"/>
          <w:w w:val="100"/>
          <w:spacing w:val="0"/>
          <w:color w:val="000000"/>
          <w:position w:val="0"/>
        </w:rPr>
        <w:t>-иммунных комплексов, которые, ве</w:t>
        <w:softHyphen/>
        <w:t>роятно, ответственны за агрегационную активность тромбоцитов. Предрасполагают к тромбообразова</w:t>
        <w:softHyphen/>
        <w:t>нию повышенный уровень антител к кардиолипину.</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Поражение коронарных артерий при болезни Кава</w:t>
        <w:softHyphen/>
        <w:t>саки возникает в результате агрессивной активации</w:t>
        <w:br w:type="column"/>
        <w:t>иммунокомпетентных клеток. Обнаружено значи</w:t>
        <w:softHyphen/>
        <w:t>тельное повышение уровня у-интерферона и интер</w:t>
        <w:softHyphen/>
        <w:t>лейкина-2, 4, 6, 8, 10 в острую фазу заболевания у де</w:t>
        <w:softHyphen/>
        <w:t>тей с поражением коронарных сосудов по сравне</w:t>
        <w:softHyphen/>
        <w:t>нию с группой детей с интактными коронарными артериями.</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Плазменные уровни интерлейкина-4 у пациентов с болезнью Кавасаки в острой стадии значительно выше, чем в стадии выздоровления и в группе конт</w:t>
        <w:softHyphen/>
        <w:t xml:space="preserve">роля. Эти результаты подразумевают, что </w:t>
      </w:r>
      <w:r>
        <w:rPr>
          <w:lang w:val="en-US" w:eastAsia="en-US" w:bidi="en-US"/>
          <w:w w:val="100"/>
          <w:spacing w:val="0"/>
          <w:color w:val="000000"/>
          <w:position w:val="0"/>
        </w:rPr>
        <w:t xml:space="preserve">Th2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Th0) </w:t>
      </w:r>
      <w:r>
        <w:rPr>
          <w:lang w:val="ru-RU" w:eastAsia="ru-RU" w:bidi="ru-RU"/>
          <w:w w:val="100"/>
          <w:spacing w:val="0"/>
          <w:color w:val="000000"/>
          <w:position w:val="0"/>
        </w:rPr>
        <w:t>клетки могут энергично стимулироваться в ост</w:t>
        <w:softHyphen/>
        <w:t>рой стадии, и интерлейкин-4, произведенный этими клетками, может модулировать патологические усло</w:t>
        <w:softHyphen/>
        <w:t>вия этой болезни. Плазменные уровни интерлейки</w:t>
        <w:softHyphen/>
        <w:t>на-10 у пациентов с болезнью Кавасаки в острой ста</w:t>
        <w:softHyphen/>
        <w:t>дии были выше, чем в стадии выздоровления или в группе контроля. В большинстве случаев интерлей</w:t>
        <w:softHyphen/>
        <w:t>кин-10 имеет временную высокую концентрацию в острой стадии и быстро уменьшается впоследствии.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Патоморфология</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Патоморфологической основой заболевания являет</w:t>
        <w:softHyphen/>
        <w:t>ся острый неспецифический системный васкулит.</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Патоморфологические стадии заболевания </w:t>
      </w:r>
      <w:r>
        <w:rPr>
          <w:lang w:val="en-US" w:eastAsia="en-US" w:bidi="en-US"/>
          <w:w w:val="100"/>
          <w:spacing w:val="0"/>
          <w:color w:val="000000"/>
          <w:position w:val="0"/>
        </w:rPr>
        <w:t xml:space="preserve">(G.Oshio et al., </w:t>
      </w:r>
      <w:r>
        <w:rPr>
          <w:lang w:val="ru-RU" w:eastAsia="ru-RU" w:bidi="ru-RU"/>
          <w:w w:val="100"/>
          <w:spacing w:val="0"/>
          <w:color w:val="000000"/>
          <w:position w:val="0"/>
        </w:rPr>
        <w:t>1985):</w:t>
      </w:r>
    </w:p>
    <w:p>
      <w:pPr>
        <w:pStyle w:val="Style30"/>
        <w:numPr>
          <w:ilvl w:val="0"/>
          <w:numId w:val="10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стадия 1 (0-12 день) — острый васкулит микросо</w:t>
        <w:softHyphen/>
        <w:t>судов и артерий малого калибра, а также острая пе- риваскулярная реакция и эндартериит крупных артерий, указанные изменения выражены в венеч</w:t>
        <w:softHyphen/>
        <w:t>ных артериях;</w:t>
      </w:r>
    </w:p>
    <w:p>
      <w:pPr>
        <w:pStyle w:val="Style30"/>
        <w:numPr>
          <w:ilvl w:val="0"/>
          <w:numId w:val="10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стадия 2 (12-25 день) — панваскулит и формирова</w:t>
        <w:softHyphen/>
        <w:t>нием аневризм в коронарных артериях с исходом в тромбоз и локальную обструкцию;</w:t>
      </w:r>
    </w:p>
    <w:p>
      <w:pPr>
        <w:pStyle w:val="Style30"/>
        <w:numPr>
          <w:ilvl w:val="0"/>
          <w:numId w:val="10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стадия 3 (26-40 день) — появляются грануляции в стенках и периваскулярном ложе артерий сред</w:t>
        <w:softHyphen/>
        <w:t>него калибра, особенно в коронарных, в то же вре</w:t>
        <w:softHyphen/>
        <w:t>мя происходит регресс воспаления в микрососудах и мелких артериях;</w:t>
      </w:r>
    </w:p>
    <w:p>
      <w:pPr>
        <w:pStyle w:val="Style30"/>
        <w:numPr>
          <w:ilvl w:val="0"/>
          <w:numId w:val="10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стадия 4 (с 40 дня и далее) — рубцевание и утолще</w:t>
        <w:softHyphen/>
        <w:t>ние интимы, кальцификация, формирование тромбов, реканализация первично тромбирован</w:t>
        <w:softHyphen/>
        <w:t>ных крупных артерий.</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Артериит особенно резко выражен и часто наблюда</w:t>
        <w:softHyphen/>
        <w:t>ется в коронарном русле и подвздошных артериях, однако большинство ветвей аорты (мезентериальные, почечные, подключичные, сонные, печеночная) так</w:t>
        <w:softHyphen/>
        <w:t>же могут быть вовлечены в патологический процесс.</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Формирование аневризм в главных коронарных арте</w:t>
        <w:softHyphen/>
        <w:t>риях является наиболее характерным признаком за</w:t>
        <w:softHyphen/>
        <w:t>болевания:</w:t>
      </w:r>
    </w:p>
    <w:p>
      <w:pPr>
        <w:pStyle w:val="Style30"/>
        <w:numPr>
          <w:ilvl w:val="0"/>
          <w:numId w:val="10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обычно у 10-20% больных развиваются коронар</w:t>
        <w:softHyphen/>
        <w:t>ные повреждения;</w:t>
      </w:r>
    </w:p>
    <w:p>
      <w:pPr>
        <w:pStyle w:val="Style30"/>
        <w:numPr>
          <w:ilvl w:val="0"/>
          <w:numId w:val="10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аневризмы периферических артерий обычно со</w:t>
        <w:softHyphen/>
        <w:t>путствуют коронарным аневризмам.</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Наблюдаются интерстициальный миокардит, пери</w:t>
        <w:softHyphen/>
        <w:t>кардит, воспаление синусового узла и атриовентрику</w:t>
        <w:softHyphen/>
        <w:t>лярной проводящей системы, вальвулит.</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pict>
          <v:shape id="_x0000_s1548" type="#_x0000_t75" style="position:absolute;margin-left:130.45pt;margin-top:736.8pt;width:209.75pt;height:14.9pt;z-index:-125829025;mso-wrap-distance-left:124.1pt;mso-wrap-distance-right:148.1pt;mso-wrap-distance-bottom:10.8pt;mso-position-horizontal-relative:margin;mso-position-vertical-relative:margin" wrapcoords="0 0 21600 0 21600 21600 0 21600 0 0">
            <v:imagedata r:id="rId872" r:href="rId873"/>
            <w10:wrap type="topAndBottom" anchorx="margin" anchory="margin"/>
          </v:shape>
        </w:pict>
      </w:r>
      <w:r>
        <w:rPr>
          <w:lang w:val="ru-RU" w:eastAsia="ru-RU" w:bidi="ru-RU"/>
          <w:w w:val="100"/>
          <w:spacing w:val="0"/>
          <w:color w:val="000000"/>
          <w:position w:val="0"/>
        </w:rPr>
        <w:t>Гистологические находки при болезни Кавасаки ха</w:t>
        <w:softHyphen/>
        <w:t>рактеризуются панваскулитом с некрозом эндотелия и диффузной мононуклеарной инфильтрацией в стенках мелких и средних артерий. Гистологическое исследование тканей конъюнктивы при болезни Ка</w:t>
        <w:softHyphen/>
        <w:t>васаки показало неспецифическое, умеренно выра-</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женное воспаление с диффузной инфильтрацией лимфоцитами и плазматическими клетками.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Клинические симптомы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Диагностические признаки болезни Кавасаки.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 — Основные:</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Лихорадка 5 дней и более.</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Изменения со стороны кожи конечностей:</w:t>
      </w:r>
    </w:p>
    <w:p>
      <w:pPr>
        <w:pStyle w:val="Style30"/>
        <w:numPr>
          <w:ilvl w:val="0"/>
          <w:numId w:val="101"/>
        </w:numPr>
        <w:tabs>
          <w:tab w:leader="none" w:pos="515"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в начальной стадии — краснота и отек ладоней и подошв;</w:t>
      </w:r>
    </w:p>
    <w:p>
      <w:pPr>
        <w:pStyle w:val="Style30"/>
        <w:numPr>
          <w:ilvl w:val="0"/>
          <w:numId w:val="101"/>
        </w:numPr>
        <w:tabs>
          <w:tab w:leader="none" w:pos="515"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в стадии реконвалесценции — шелушение кончи</w:t>
        <w:softHyphen/>
        <w:t>ков пальцев.</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Полиморфная экзантема.</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2-сторонний катаральный конъюнктивит.</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Изменения губ и/или слизистых полости рта: крас</w:t>
        <w:softHyphen/>
        <w:t>ные сухие потрескавшиеся губы, «земляничный» язык, диффузная краснота слизистых ротоглотки.</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Острый негнойный шейный лимфаденит.</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 — Другие важные симптомы и находки:</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Кардиоваскулярные: аускультативные (сердечные шумы, ритм галопа, слышимые на расстоянии сер</w:t>
        <w:softHyphen/>
        <w:t>дечные тоны), изменения на ЭКГ (удлинение интер</w:t>
        <w:softHyphen/>
        <w:t xml:space="preserve">вала </w:t>
      </w:r>
      <w:r>
        <w:rPr>
          <w:lang w:val="en-US" w:eastAsia="en-US" w:bidi="en-US"/>
          <w:w w:val="100"/>
          <w:spacing w:val="0"/>
          <w:color w:val="000000"/>
          <w:position w:val="0"/>
        </w:rPr>
        <w:t xml:space="preserve">PQ-QT, </w:t>
      </w:r>
      <w:r>
        <w:rPr>
          <w:lang w:val="ru-RU" w:eastAsia="ru-RU" w:bidi="ru-RU"/>
          <w:w w:val="100"/>
          <w:spacing w:val="0"/>
          <w:color w:val="000000"/>
          <w:position w:val="0"/>
        </w:rPr>
        <w:t xml:space="preserve">аномальные </w:t>
      </w:r>
      <w:r>
        <w:rPr>
          <w:lang w:val="en-US" w:eastAsia="en-US" w:bidi="en-US"/>
          <w:w w:val="100"/>
          <w:spacing w:val="0"/>
          <w:color w:val="000000"/>
          <w:position w:val="0"/>
        </w:rPr>
        <w:t>Q</w:t>
      </w:r>
      <w:r>
        <w:rPr>
          <w:lang w:val="ru-RU" w:eastAsia="ru-RU" w:bidi="ru-RU"/>
          <w:w w:val="100"/>
          <w:spacing w:val="0"/>
          <w:color w:val="000000"/>
          <w:position w:val="0"/>
        </w:rPr>
        <w:t xml:space="preserve">-зубцы, низкий вольтаж </w:t>
      </w:r>
      <w:r>
        <w:rPr>
          <w:lang w:val="en-US" w:eastAsia="en-US" w:bidi="en-US"/>
          <w:w w:val="100"/>
          <w:spacing w:val="0"/>
          <w:color w:val="000000"/>
          <w:position w:val="0"/>
        </w:rPr>
        <w:t>QRS, ST-T</w:t>
      </w:r>
      <w:r>
        <w:rPr>
          <w:lang w:val="ru-RU" w:eastAsia="ru-RU" w:bidi="ru-RU"/>
          <w:w w:val="100"/>
          <w:spacing w:val="0"/>
          <w:color w:val="000000"/>
          <w:position w:val="0"/>
        </w:rPr>
        <w:t>-нарушения, аритмии), изменения на рентгенограмме грудной клетки (кардиомегалия), из</w:t>
        <w:softHyphen/>
        <w:t>менения при двухмерной эхокардиографии (пери</w:t>
        <w:softHyphen/>
        <w:t>кардиальный выпот, коронарные аневризмы), анев</w:t>
        <w:softHyphen/>
        <w:t>ризмы периферических артерий (помимо коронар</w:t>
        <w:softHyphen/>
        <w:t>ных), стенокардия или инфаркт миокарда.</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Со стороны желудочно-кишечного тракта: диарея, тошнота, рвота, абдоминальные боли, водянка желч</w:t>
        <w:softHyphen/>
        <w:t>ного пузыря, кишечная непроходимость, умеренная желтуха, слабое увеличение сывороточных трансами- наз.</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Гематологические: лейкоцитоз со сдвигом влево, тромбоцитоз, повышение альфа-2-глобулина, слабое снижение уровня эритроцитов и гемоглобина.</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Изменения в анализах мочи: протеинурия, стериль</w:t>
        <w:softHyphen/>
        <w:t>ная лейкоцитурия.</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Кожные изменения: краснота и корочки на месте проведения прививки БЦЖ, мелкие пустулы, попе</w:t>
        <w:softHyphen/>
        <w:t>речная исчерченность ногтей.</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Респираторные симптомы: кашель, насморк, тени в легких при рентгенографии.</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Суставной синдром: боль, припухлость.</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Неврологические нарушения: мононуклеарный плейоцитоз ликвора, судороги, потеря сознания, па</w:t>
        <w:softHyphen/>
        <w:t>ралич лицевого нерва, параличи конечностей.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Лихорадка:</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Является первым симптомом болезни, ее продолжи</w:t>
        <w:softHyphen/>
        <w:t>тельность 5 и более дней.</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Эффект от антипиретиков временный.</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Чаще лихорадка исчезает через 1-2 недели, но в от</w:t>
        <w:softHyphen/>
        <w:t>дельных случаях фебрильная температура повторя</w:t>
        <w:softHyphen/>
        <w:t>ется 2-3 раза после 1-2-х дней нормальной темпера</w:t>
        <w:softHyphen/>
        <w:t>туры.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Изменения со стороны кожи и конечностей:</w:t>
      </w:r>
    </w:p>
    <w:p>
      <w:pPr>
        <w:pStyle w:val="Style30"/>
        <w:numPr>
          <w:ilvl w:val="0"/>
          <w:numId w:val="9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Эритема ладоней и подошв с их индуративным отеком начинается через несколько дней после нача</w:t>
        <w:softHyphen/>
        <w:t>ла лихорадки.</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Мелко- либо крупнопластинчатое шелушение начи</w:t>
        <w:softHyphen/>
        <w:t>нается через 10-15 дней после начала заболевания, когда температура обычно падает. В противополож</w:t>
        <w:softHyphen/>
        <w:t>ность скарлатине шелушение ограничивается ладо</w:t>
        <w:softHyphen/>
        <w:t>нями и стопами.</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Макуло -папулезная сыпь различного диаметра появ - ляется через несколько дней от начала лихорадки, преимущественно на коже туловища.</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Сыпь полиморфна и не имеет каких-либо харак</w:t>
        <w:softHyphen/>
        <w:t>терных черт, однако напоминает сыпь при кори в начале заболевания. Пациенты редко жалуются на зуд.</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Стерильные мелкие пустулы над коленными и локте - выми суставами и вокруг них, в промежности и на ягодицах появляются у 3-10% пациентов на первой- второй неделе болезни.</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Покраснение кожи на месте БЦЖ с последующим образованием корочек является одним из относи</w:t>
        <w:softHyphen/>
        <w:t>тельно ранних признаков болезни Кавасаки, особен</w:t>
        <w:softHyphen/>
        <w:t>но у детей в течение первого года после проведения этой прививки.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Конъюнктивит:</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2-сторонний катаральный конъюнктивит наблюда</w:t>
        <w:softHyphen/>
        <w:t>ется в течение нескольких дней от начала лихорад</w:t>
        <w:softHyphen/>
        <w:t>ки.</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Коньюнктивальная гиперемия сочетается с передним увеитом в 1-ю неделю заболевания и наблюдается у 83% детей.</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Гнойный конъюнктивит отмечается редко.</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Склеры инъецированы.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Изменения губ и/или слизистых полости рта:</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Губы становятся красными, сухими, с трещинами и изредка с кровоточивостью из них.</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Обычно наблюдается «земляничный» язык и гипер</w:t>
        <w:softHyphen/>
        <w:t>емия слизистых ротоглотки.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Лимфаденит:</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Негнойный шейный лимфаденит отмечается более чем в 70% случаев, особенно на ранних стадиях.</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Лимфаденит не всегда двусторонний и может быстро исчезнуть.</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Иногда лимфаденит настолько выражен, что имити</w:t>
        <w:softHyphen/>
        <w:t>рует эпидемический паротит с припуханием в подче</w:t>
        <w:softHyphen/>
        <w:t>люстных областях.</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Лимфаденопатия ограничена областью шеи.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Другие симптомы:</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Водянистый стул с умеренными болями в животе и рвотой бывает в ранней стадии болезни у 35% паци</w:t>
        <w:softHyphen/>
        <w:t>ентов. Частая рвота и менингеальные знаки требуют проведения люмбальной пункции.</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Напряжение мышц в правом верхнем квадранте жи</w:t>
        <w:softHyphen/>
        <w:t>вота может быть следствием водянки желчного пузы</w:t>
        <w:softHyphen/>
        <w:t>ря при болезни Кавасаки, в этом случае необходимо ультразвуковое исследование органов брюшной по</w:t>
        <w:softHyphen/>
        <w:t>лости.</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Возможны боли в крупных суставах и артрит с болью и опуханием.</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sectPr>
          <w:headerReference w:type="even" r:id="rId874"/>
          <w:headerReference w:type="default" r:id="rId875"/>
          <w:headerReference w:type="first" r:id="rId876"/>
          <w:titlePg/>
          <w:pgSz w:w="11900" w:h="16840"/>
          <w:pgMar w:top="1569" w:left="1056" w:right="956" w:bottom="1775" w:header="0" w:footer="3" w:gutter="0"/>
          <w:rtlGutter w:val="0"/>
          <w:cols w:num="2" w:space="160"/>
          <w:noEndnote/>
          <w:docGrid w:linePitch="360"/>
        </w:sectPr>
      </w:pPr>
      <w:r>
        <w:rPr>
          <w:lang w:val="ru-RU" w:eastAsia="ru-RU" w:bidi="ru-RU"/>
          <w:w w:val="100"/>
          <w:spacing w:val="0"/>
          <w:color w:val="000000"/>
          <w:position w:val="0"/>
        </w:rPr>
        <w:t>Панкреатит развивается примерно на 2-й неделе от начала заболевания, проявляется болями в животе и спине, рвотой, повышением активности амилазы</w:t>
      </w:r>
    </w:p>
    <w:p>
      <w:pPr>
        <w:widowControl w:val="0"/>
        <w:rPr>
          <w:sz w:val="2"/>
          <w:szCs w:val="2"/>
        </w:rPr>
      </w:pPr>
      <w:r>
        <w:pict>
          <v:shape id="_x0000_s1552" type="#_x0000_t202" style="position:static;width:595.pt;height:8.7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594" w:left="0" w:right="0" w:bottom="1848" w:header="0" w:footer="3" w:gutter="0"/>
          <w:rtlGutter w:val="0"/>
          <w:cols w:space="720"/>
          <w:noEndnote/>
          <w:docGrid w:linePitch="360"/>
        </w:sectPr>
      </w:pPr>
    </w:p>
    <w:p>
      <w:pPr>
        <w:pStyle w:val="Style30"/>
        <w:widowControl w:val="0"/>
        <w:keepNext w:val="0"/>
        <w:keepLines w:val="0"/>
        <w:shd w:val="clear" w:color="auto" w:fill="auto"/>
        <w:bidi w:val="0"/>
        <w:jc w:val="left"/>
        <w:spacing w:before="0" w:after="0" w:line="192" w:lineRule="exact"/>
        <w:ind w:left="0" w:right="0" w:firstLine="260"/>
        <w:sectPr>
          <w:type w:val="continuous"/>
          <w:pgSz w:w="11900" w:h="16840"/>
          <w:pgMar w:top="1594" w:left="903" w:right="1124" w:bottom="1848" w:header="0" w:footer="3" w:gutter="0"/>
          <w:rtlGutter w:val="0"/>
          <w:cols w:space="720"/>
          <w:noEndnote/>
          <w:docGrid w:linePitch="360"/>
        </w:sectPr>
      </w:pPr>
      <w:r>
        <w:rPr>
          <w:rStyle w:val="CharStyle149"/>
        </w:rPr>
        <w:t>Примечание:</w:t>
      </w:r>
      <w:r>
        <w:rPr>
          <w:lang w:val="ru-RU" w:eastAsia="ru-RU" w:bidi="ru-RU"/>
          <w:w w:val="100"/>
          <w:spacing w:val="0"/>
          <w:color w:val="000000"/>
          <w:position w:val="0"/>
        </w:rPr>
        <w:t xml:space="preserve"> при наличии 5 из 6 главных симптомов либо 4-х, ассоциированных с признаками коронарных повреждений при двухмер</w:t>
        <w:softHyphen/>
        <w:t>ной эхокардиографии или ангиографии, может быть поставлен диагноз болезни Кавасаки.</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72" w:after="72" w:line="240" w:lineRule="exact"/>
        <w:rPr>
          <w:sz w:val="19"/>
          <w:szCs w:val="19"/>
        </w:rPr>
      </w:pPr>
    </w:p>
    <w:p>
      <w:pPr>
        <w:widowControl w:val="0"/>
        <w:rPr>
          <w:sz w:val="2"/>
          <w:szCs w:val="2"/>
        </w:rPr>
        <w:sectPr>
          <w:type w:val="continuous"/>
          <w:pgSz w:w="11900" w:h="16840"/>
          <w:pgMar w:top="1473" w:left="0" w:right="0" w:bottom="192" w:header="0" w:footer="3" w:gutter="0"/>
          <w:rtlGutter w:val="0"/>
          <w:cols w:space="720"/>
          <w:noEndnote/>
          <w:docGrid w:linePitch="360"/>
        </w:sectPr>
      </w:pPr>
    </w:p>
    <w:p>
      <w:pPr>
        <w:widowControl w:val="0"/>
        <w:spacing w:line="645" w:lineRule="exact"/>
      </w:pPr>
      <w:r>
        <w:pict>
          <v:shape id="_x0000_s1553" type="#_x0000_t75" style="position:absolute;margin-left:150.1pt;margin-top:0;width:209.75pt;height:14.9pt;z-index:-251658673;mso-wrap-distance-left:5.pt;mso-wrap-distance-right:5.pt;mso-position-horizontal-relative:margin" wrapcoords="0 0">
            <v:imagedata r:id="rId877" r:href="rId878"/>
            <w10:wrap anchorx="margin"/>
          </v:shape>
        </w:pict>
      </w:r>
    </w:p>
    <w:p>
      <w:pPr>
        <w:widowControl w:val="0"/>
        <w:rPr>
          <w:sz w:val="2"/>
          <w:szCs w:val="2"/>
        </w:rPr>
        <w:sectPr>
          <w:type w:val="continuous"/>
          <w:pgSz w:w="11900" w:h="16840"/>
          <w:pgMar w:top="1473" w:left="898" w:right="1124" w:bottom="192" w:header="0" w:footer="3" w:gutter="0"/>
          <w:rtlGutter w:val="0"/>
          <w:cols w:space="720"/>
          <w:noEndnote/>
          <w:docGrid w:linePitch="360"/>
        </w:sectPr>
      </w:pPr>
    </w:p>
    <w:p>
      <w:pPr>
        <w:widowControl w:val="0"/>
        <w:rPr>
          <w:sz w:val="2"/>
          <w:szCs w:val="2"/>
        </w:rPr>
      </w:pPr>
      <w:r>
        <w:pict>
          <v:shape id="_x0000_s1554" type="#_x0000_t75" style="position:absolute;margin-left:130.45pt;margin-top:734.15pt;width:209.75pt;height:14.9pt;z-index:-125829024;mso-wrap-distance-left:124.1pt;mso-wrap-distance-right:148.1pt;mso-wrap-distance-bottom:10.8pt;mso-position-horizontal-relative:margin" wrapcoords="0 0 21600 0 21600 21600 0 21600 0 0">
            <v:imagedata r:id="rId879" r:href="rId880"/>
            <w10:wrap type="topAndBottom" anchorx="margin"/>
          </v:shape>
        </w:pict>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в плазме крови, типичными изменениями при ульт</w:t>
        <w:softHyphen/>
        <w:t>развуковом исследовании.</w:t>
      </w:r>
    </w:p>
    <w:p>
      <w:pPr>
        <w:pStyle w:val="Style30"/>
        <w:numPr>
          <w:ilvl w:val="0"/>
          <w:numId w:val="9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Редко в острой стадии заболевания отмечаются изо</w:t>
        <w:softHyphen/>
        <w:t>лированный паралич лицевого нерва, нарушения слуха (сенсорная глухота, не связанная с приемом са- лицилатов), синкопе и параличи.</w:t>
      </w:r>
    </w:p>
    <w:p>
      <w:pPr>
        <w:pStyle w:val="Style30"/>
        <w:numPr>
          <w:ilvl w:val="0"/>
          <w:numId w:val="9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Асептический менингит, который возникает обычно в течение первых 10 дней заболевания, когда есть ли</w:t>
        <w:softHyphen/>
        <w:t>хорадка, — это довольно частое проявление заболева</w:t>
        <w:softHyphen/>
        <w:t>ния, наблюдаемое в 10-53% случаев. У детей первого года жизни наблюдается чаще, но общая гипересте</w:t>
        <w:softHyphen/>
        <w:t>зия и менингеальные знаки при этом выражены сла</w:t>
        <w:softHyphen/>
        <w:t>бо или умеренно.</w:t>
      </w:r>
    </w:p>
    <w:p>
      <w:pPr>
        <w:pStyle w:val="Style30"/>
        <w:numPr>
          <w:ilvl w:val="0"/>
          <w:numId w:val="9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Среди неврологических проявлений заболевания редко встречаются явления церебрального васкулита и пирамидные расстройства в виде нарушений по</w:t>
        <w:softHyphen/>
        <w:t>ходки, которые исчезают спонтанно в течение меся</w:t>
        <w:softHyphen/>
        <w:t>ца без последствий. Грозным проявлением заболева</w:t>
        <w:softHyphen/>
        <w:t>ния может быть миозит и миопатия, в биохимичес</w:t>
        <w:softHyphen/>
        <w:t>ких анализах крови значительно повышен уровень креатинкиназы. В случаях поражения дыхательной мускулатуры наблюдается тяжелая дыхательная не</w:t>
        <w:softHyphen/>
        <w:t>достаточность.</w:t>
      </w:r>
    </w:p>
    <w:p>
      <w:pPr>
        <w:pStyle w:val="Style30"/>
        <w:numPr>
          <w:ilvl w:val="0"/>
          <w:numId w:val="9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Очень редко в патологический процесс при болезни Кавасаки вовлекаются почки. При тяжелом течении заболевания возможно возникновение острой почеч</w:t>
        <w:softHyphen/>
        <w:t>ной недостаточности на фоне острого тубулярного некроза, без поражений клубочков. При этом отмеча</w:t>
        <w:softHyphen/>
        <w:t>ется миоглобинемия и миоглобинурия, которые, ве</w:t>
        <w:softHyphen/>
        <w:t>роятно, возникают вследствие длительной злокачест</w:t>
        <w:softHyphen/>
        <w:t>венной гипертермии.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Различают 4 клинических стадии заболевания:</w:t>
      </w:r>
    </w:p>
    <w:p>
      <w:pPr>
        <w:pStyle w:val="Style30"/>
        <w:numPr>
          <w:ilvl w:val="0"/>
          <w:numId w:val="9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Острая стадия (1-11 день):</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высокая температура </w:t>
      </w:r>
      <w:r>
        <w:rPr>
          <w:lang w:val="en-US" w:eastAsia="en-US" w:bidi="en-US"/>
          <w:w w:val="100"/>
          <w:spacing w:val="0"/>
          <w:color w:val="000000"/>
          <w:position w:val="0"/>
        </w:rPr>
        <w:t>(&gt;104°F);</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ребенок раздражителен;</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двусторонний конъюнктивит и сыпь;</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эритема и отек рук и ног;</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язык и слизистая оболочка полости рта красные, сухие, с трещинами;</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дисфункция печени;</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осложнения со стороны сердца на первой стадии проявляются миокардитом и перикардитом.</w:t>
      </w:r>
    </w:p>
    <w:p>
      <w:pPr>
        <w:pStyle w:val="Style30"/>
        <w:numPr>
          <w:ilvl w:val="0"/>
          <w:numId w:val="9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Подострая стадия (11-21 день):</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сохраняются раздражительность, анорексия, инъекция конъюнктив;</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лихорадка обычно прекращается;</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если лихорадка сохраняется, то исход заболевания менее благоприятный, поскольку возникает высо</w:t>
        <w:softHyphen/>
        <w:t>кий риск кардиоваскулярных осложнений;</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тромбоцитоз;</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десквамация на пальцах рук и ног;</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формирование аневризм коронарных артерий.</w:t>
      </w:r>
    </w:p>
    <w:p>
      <w:pPr>
        <w:pStyle w:val="Style30"/>
        <w:numPr>
          <w:ilvl w:val="0"/>
          <w:numId w:val="9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Стадия выздоровления (21-60 день):</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наиболее значительным клиническим признаком являются аневризмы коронарных артерий.</w:t>
      </w:r>
    </w:p>
    <w:p>
      <w:pPr>
        <w:pStyle w:val="Style30"/>
        <w:numPr>
          <w:ilvl w:val="0"/>
          <w:numId w:val="9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Хроническая стадия:</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эта стадия имеет клиническую значимость только у больных с сердечными осложнениями;</w:t>
      </w:r>
    </w:p>
    <w:p>
      <w:pPr>
        <w:pStyle w:val="Style30"/>
        <w:numPr>
          <w:ilvl w:val="0"/>
          <w:numId w:val="101"/>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ее продолжительность имеет пожизненное значе</w:t>
        <w:softHyphen/>
        <w:t>ние, потому что аневризма, сформированная в детстве, может осложниться разрывом или тром</w:t>
        <w:softHyphen/>
        <w:t>бозом у взрослых;</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br w:type="column"/>
      </w:r>
      <w:r>
        <w:rPr>
          <w:lang w:val="ru-RU" w:eastAsia="ru-RU" w:bidi="ru-RU"/>
          <w:w w:val="100"/>
          <w:spacing w:val="0"/>
          <w:color w:val="000000"/>
          <w:position w:val="0"/>
        </w:rPr>
        <w:t>в некоторых случаях разрывающихся у взрослых аневризм тщательно собранный анамнез указыва</w:t>
        <w:softHyphen/>
        <w:t>ет на лихорадочные болезни детства неизвестной этиологии.</w:t>
      </w:r>
    </w:p>
    <w:p>
      <w:pPr>
        <w:pStyle w:val="Style30"/>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Поражение сердечно-сосудистой системы при болезни Кавасаки:</w:t>
      </w:r>
    </w:p>
    <w:p>
      <w:pPr>
        <w:pStyle w:val="Style30"/>
        <w:numPr>
          <w:ilvl w:val="0"/>
          <w:numId w:val="99"/>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Признаки поражения сердечно-сосудистой системы обычно появляются со второй недели заболевания и включают ритм галопа, слышимые на расстоянии сердечные тоны, электрокардиографические измене</w:t>
        <w:softHyphen/>
        <w:t>ния, кардиомегалию на обзорной рентгенограмме грудной клетки. Эти симптомы нарастают ко второй- третьей неделе заболевания и, за исключением на</w:t>
        <w:softHyphen/>
        <w:t>иболее тяжелых случаев, обычно регрессируют к кон</w:t>
        <w:softHyphen/>
        <w:t>цу четвертой-шестой недели.</w:t>
      </w:r>
    </w:p>
    <w:p>
      <w:pPr>
        <w:pStyle w:val="Style30"/>
        <w:numPr>
          <w:ilvl w:val="0"/>
          <w:numId w:val="99"/>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Кардиоваскулярные проявления включают корона- рит и формирование аневризм коронарных артерий, миокардит, перикардит, выпот в перикард, аритмии, вальвулит.</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Поражение коронарных артерий:</w:t>
      </w:r>
    </w:p>
    <w:p>
      <w:pPr>
        <w:pStyle w:val="Style30"/>
        <w:numPr>
          <w:ilvl w:val="0"/>
          <w:numId w:val="99"/>
        </w:numPr>
        <w:tabs>
          <w:tab w:leader="none" w:pos="499"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Васкулит при болезни Кавасаки имеет преимущест</w:t>
        <w:softHyphen/>
        <w:t>венную локализацию в коронарном бассейне.</w:t>
      </w:r>
    </w:p>
    <w:p>
      <w:pPr>
        <w:pStyle w:val="Style30"/>
        <w:numPr>
          <w:ilvl w:val="0"/>
          <w:numId w:val="99"/>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Аневризмы или эктазии коронарных артерий обнару</w:t>
        <w:softHyphen/>
        <w:t>живают у 15-25% детей, они диагностируются с помо</w:t>
        <w:softHyphen/>
        <w:t>щью ультразвуковых методов начиная с 7-го дня от начала лихорадки, пик этих осложнений отмечается через 3-4 нед. от начала заболевания (рис. 75).</w:t>
      </w:r>
    </w:p>
    <w:p>
      <w:pPr>
        <w:pStyle w:val="Style30"/>
        <w:numPr>
          <w:ilvl w:val="0"/>
          <w:numId w:val="99"/>
        </w:numPr>
        <w:tabs>
          <w:tab w:leader="none" w:pos="499"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Шкала оценки риска развития патологии коронар</w:t>
        <w:softHyphen/>
        <w:t>ных артерий включает:</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мужской пол;</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возраст менее 1 года;</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лихорадка более 14 дней или рецидивирующая ли</w:t>
        <w:softHyphen/>
        <w:t>хорадка;</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содержание гемоглобина в крови менее 100 г/л;</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число лейкоцитов более 30x1097л;</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повышение уровня С-реактивного белка;</w:t>
      </w:r>
    </w:p>
    <w:p>
      <w:pPr>
        <w:pStyle w:val="Style30"/>
        <w:numPr>
          <w:ilvl w:val="0"/>
          <w:numId w:val="101"/>
        </w:numPr>
        <w:tabs>
          <w:tab w:leader="none" w:pos="736"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электрокардиографические признаки ишемии миокарда.</w:t>
      </w:r>
    </w:p>
    <w:p>
      <w:pPr>
        <w:pStyle w:val="Style30"/>
        <w:numPr>
          <w:ilvl w:val="0"/>
          <w:numId w:val="99"/>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Риск развития аневризм коронарных артерий не за</w:t>
        <w:softHyphen/>
        <w:t>висит от дозы аспирина, назначенного в раннем пе</w:t>
        <w:softHyphen/>
        <w:t>риоде заболевания.</w:t>
      </w:r>
    </w:p>
    <w:p>
      <w:pPr>
        <w:pStyle w:val="Style30"/>
        <w:numPr>
          <w:ilvl w:val="0"/>
          <w:numId w:val="99"/>
        </w:numPr>
        <w:tabs>
          <w:tab w:leader="none" w:pos="499"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Позднее начало терапии аспирином существенно увеличивает риск развития аневризм.</w:t>
      </w:r>
    </w:p>
    <w:p>
      <w:pPr>
        <w:pStyle w:val="Style30"/>
        <w:numPr>
          <w:ilvl w:val="0"/>
          <w:numId w:val="99"/>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ультразвуковом исследовании предикторами формирования аневризм коронарных артерий явля</w:t>
        <w:softHyphen/>
        <w:t>ются митральная регургитация и выпот в перикарде, наблюдаемые в острую фазу заболевания (5-10-й день от начала лихорадки).</w:t>
      </w:r>
    </w:p>
    <w:p>
      <w:pPr>
        <w:pStyle w:val="Style30"/>
        <w:numPr>
          <w:ilvl w:val="0"/>
          <w:numId w:val="99"/>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наличии токсической зернистости нейтрофилов риск возникновения коронарных аномалий сущест</w:t>
        <w:softHyphen/>
        <w:t>венно повышается.</w:t>
      </w:r>
    </w:p>
    <w:p>
      <w:pPr>
        <w:pStyle w:val="Style30"/>
        <w:numPr>
          <w:ilvl w:val="0"/>
          <w:numId w:val="99"/>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Самостоятельным фактором риска развития коро</w:t>
        <w:softHyphen/>
        <w:t>нарных аневризм является увеличение в плазме кро</w:t>
        <w:softHyphen/>
        <w:t>ви содержания Р-тромбоглобулина более 43 нг/мл.</w:t>
      </w:r>
    </w:p>
    <w:p>
      <w:pPr>
        <w:pStyle w:val="Style30"/>
        <w:numPr>
          <w:ilvl w:val="0"/>
          <w:numId w:val="99"/>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большинстве случаев небольшие аневризмы или эктазии коронарных артерий протекают бессимптом</w:t>
        <w:softHyphen/>
        <w:t>но и только в 1-2% случаев приводят в последующем к обструктивным повреждениям коронарных сосудов с развитием инфаркта миокарда или внезапной смер</w:t>
        <w:softHyphen/>
        <w:t>ти. У ряда больных аневризмы коронарных артерий клинически могут проявляться нестабильной стено</w:t>
        <w:softHyphen/>
        <w:t>кардией. Иногда аневризмы коронарных артерий до-</w:t>
      </w:r>
      <w:r>
        <w:br w:type="page"/>
      </w:r>
    </w:p>
    <w:p>
      <w:pPr>
        <w:pStyle w:val="Style30"/>
        <w:widowControl w:val="0"/>
        <w:keepNext w:val="0"/>
        <w:keepLines w:val="0"/>
        <w:shd w:val="clear" w:color="auto" w:fill="auto"/>
        <w:bidi w:val="0"/>
        <w:spacing w:before="0" w:after="0"/>
        <w:ind w:left="260" w:right="0" w:firstLine="0"/>
      </w:pPr>
      <w:r>
        <w:pict>
          <v:shape id="_x0000_s1555" type="#_x0000_t202" style="position:absolute;margin-left:-6.1pt;margin-top:18.45pt;width:124.55pt;height:41.25pt;z-index:-125829023;mso-wrap-distance-left:5.pt;mso-wrap-distance-right: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22"/>
                    </w:rPr>
                    <w:t xml:space="preserve">Рис. 75. </w:t>
                  </w:r>
                  <w:r>
                    <w:rPr>
                      <w:rStyle w:val="CharStyle121"/>
                    </w:rPr>
                    <w:t>Эхокардиограмма боль</w:t>
                    <w:softHyphen/>
                    <w:t>шой аневризмы левой коронар</w:t>
                    <w:softHyphen/>
                    <w:t>ной артерии в длинном и попе</w:t>
                    <w:softHyphen/>
                    <w:t>речном сечениях.</w:t>
                  </w:r>
                </w:p>
              </w:txbxContent>
            </v:textbox>
            <w10:wrap type="topAndBottom" anchorx="margin" anchory="margin"/>
          </v:shape>
        </w:pict>
      </w:r>
      <w:r>
        <w:pict>
          <v:shape id="_x0000_s1556" type="#_x0000_t75" style="position:absolute;margin-left:152.05pt;margin-top:2.15pt;width:335.5pt;height:162.25pt;z-index:-125829022;mso-wrap-distance-left:5.pt;mso-wrap-distance-right:5.pt;mso-position-horizontal-relative:margin;mso-position-vertical-relative:margin">
            <v:imagedata r:id="rId881" r:href="rId882"/>
            <w10:wrap type="topAndBottom" anchorx="margin" anchory="margin"/>
          </v:shape>
        </w:pict>
      </w:r>
      <w:r>
        <w:rPr>
          <w:lang w:val="ru-RU" w:eastAsia="ru-RU" w:bidi="ru-RU"/>
          <w:w w:val="100"/>
          <w:spacing w:val="0"/>
          <w:color w:val="000000"/>
          <w:position w:val="0"/>
        </w:rPr>
        <w:t>стигают больших размеров (более 8 мм в диаметре по данным ангиографии), причем чаще повреждается правая коронарная артерия.</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Большинство коронарных аневризм не сопровожда</w:t>
        <w:softHyphen/>
        <w:t>ется снижением коронарного резерва и даже при ги</w:t>
        <w:softHyphen/>
        <w:t>гантских аневризмах региональный коронарный кро</w:t>
        <w:softHyphen/>
        <w:t>воток может быть нормальным.</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Исчезновение аневризм наблюдается достоверно ча</w:t>
        <w:softHyphen/>
        <w:t>ще при начале заболевания в возрасте до 1 года у де</w:t>
        <w:softHyphen/>
        <w:t>вочек и при веретенообразной (реже мешотчатой) форме аневризм по данным ангиографии.</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Тромбоз либо сегментарный стеноз правой главной коронарной артерии обнаруживается при коронарог- рафии у 3% детей, перенесших болезнь Кавасаки. Па</w:t>
        <w:softHyphen/>
        <w:t>циенты без каких-либо кардиальных симптомов име</w:t>
        <w:softHyphen/>
        <w:t>ют высокий риск инфаркта миокарда, если у них при сцинтиграфии миокарда обнаруживаются дефекты перфузии. Сроки возникновения коронарной окклю</w:t>
        <w:softHyphen/>
        <w:t>зии колеблются от 0,5 года до 7 лет, составляют в среднем 4 года от начала болезни.</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Стенотические изменения коронарных артерий, по данным селективной коронарографии, обнаружи</w:t>
        <w:softHyphen/>
        <w:t>ваются спустя 2-3 года, при этом клинически призна</w:t>
        <w:softHyphen/>
        <w:t>ки коронарной недостаточности у детей не проявля</w:t>
        <w:softHyphen/>
        <w:t>ются.</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Пациенты после острого эпизода болезни Кавасаки с хроническими коронарными аневризмами могут иметь сопутствующее стенозирование коронарных артерий, что распознается при ангиографии и приво</w:t>
        <w:softHyphen/>
        <w:t>дит к дефектам перфузии прилежащего миокарда и нарушениям его кинетики.</w:t>
      </w:r>
    </w:p>
    <w:p>
      <w:pPr>
        <w:pStyle w:val="Style30"/>
        <w:numPr>
          <w:ilvl w:val="0"/>
          <w:numId w:val="9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Сниженная растяжимость коронарных артерий, воз</w:t>
        <w:softHyphen/>
        <w:t>никшая в результате перенесенного заболевания, яв</w:t>
        <w:softHyphen/>
        <w:t>ляется основной причиной развития атеросклероза коронарных артерий у лиц молодого возраста. Факт преждевременного развития атеросклероза коронар</w:t>
        <w:softHyphen/>
        <w:t>ных сосудов подтверждается возникновением атеро- генных сдвигов в липидном спектре после перенесен</w:t>
        <w:softHyphen/>
        <w:t>ного острого периода болезни Кавасаки. Перенесен</w:t>
        <w:softHyphen/>
        <w:t>ная болезнь Кавасаки, даже при отсутствии клиниче</w:t>
        <w:softHyphen/>
        <w:t>ских признаков коронарных аневризм или окклюзии, является предрасполагающим фактором для сниже</w:t>
        <w:softHyphen/>
        <w:t>ния функционального коронарного резерва и ранне</w:t>
        <w:softHyphen/>
        <w:t>го формирования венечного атеросклероза.</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В 9,0% случаев в исходе болезни Кавасаки наблюда</w:t>
        <w:softHyphen/>
        <w:t>ется кальцификация коронарных артерий с образова</w:t>
        <w:softHyphen/>
        <w:t>нием окклюзии коронарного сосуда. Чаще поражает</w:t>
        <w:softHyphen/>
        <w:t>ся правая коронарная артерия. Кальцификация раз</w:t>
        <w:softHyphen/>
        <w:t>вивается на 17-61-ом месяце от начала заболевания, имеет прогрессирующий характер и может приводить к повторным инфарктам миокарда.</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Аневризмы при болезни Кавасаки могут развиваться и в других артериях — бедренной, подвздошной, по</w:t>
        <w:softHyphen/>
        <w:t>чечной, подмышечной, плечевой.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Миокардит:</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Миокардит наблюдается на I и II стадиях синдрома, может иметь различную степень выраженности — от латентного до крайне выраженного по типу Абрамо- ва-Фидлера.</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Отмечаются умеренная кардиомегалия, признаки ле - вожелудочковой (одышка, застойные хрипы в легких) и правожелудочковой (гепатомегалия, набухание шейных вен, пастозность тканей и отеки) недостаточ</w:t>
        <w:softHyphen/>
        <w:t>ности.</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Тяжесть миокардита не влияет на риск развития ане - вризм коронарных артерий.</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острую фазу миокардит может осложниться разви</w:t>
        <w:softHyphen/>
        <w:t>тием застойной сердечной недостаточности, в хрони</w:t>
        <w:softHyphen/>
        <w:t>ческую — дисфункцией миокарда вследствие ише</w:t>
        <w:softHyphen/>
        <w:t>мии или инфаркта миокарда.</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Миокардит может встречаться независимо от по</w:t>
        <w:softHyphen/>
        <w:t>вреждений коронарных артерий.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Дилатационная кардиомиопатия:</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Формирование дилатационной кардиомиопатии воз - можно через 1-3 года от начала заболевания.</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Дилатационной кардиомиопатии у больных часто со - путствует аневризматическая дилатация коронарных артерий, которая в отдаленном периоде заболевания является единственным подтверждением того, что в основе кардиопатии лежала болезнь Кавасаки.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Митральная недостаточность:</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Митральная недостаточность в острую фазу болезни (до 2 недель от начала заболевания) наблюдается у 47% детей и может быть обусловлена:</w:t>
      </w:r>
    </w:p>
    <w:p>
      <w:pPr>
        <w:pStyle w:val="Style30"/>
        <w:numPr>
          <w:ilvl w:val="0"/>
          <w:numId w:val="101"/>
        </w:numPr>
        <w:tabs>
          <w:tab w:leader="none" w:pos="514"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преходящей дисфункцией сосочковых мышц;</w:t>
      </w:r>
    </w:p>
    <w:p>
      <w:pPr>
        <w:pStyle w:val="Style30"/>
        <w:numPr>
          <w:ilvl w:val="0"/>
          <w:numId w:val="101"/>
        </w:numPr>
        <w:tabs>
          <w:tab w:leader="none" w:pos="514"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развитием миокардита;</w:t>
      </w:r>
    </w:p>
    <w:p>
      <w:pPr>
        <w:pStyle w:val="Style30"/>
        <w:numPr>
          <w:ilvl w:val="0"/>
          <w:numId w:val="101"/>
        </w:numPr>
        <w:tabs>
          <w:tab w:leader="none" w:pos="514"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инфарктом миокарда;</w:t>
      </w:r>
    </w:p>
    <w:p>
      <w:pPr>
        <w:pStyle w:val="Style30"/>
        <w:numPr>
          <w:ilvl w:val="0"/>
          <w:numId w:val="101"/>
        </w:numPr>
        <w:tabs>
          <w:tab w:leader="none" w:pos="514" w:val="left"/>
        </w:tabs>
        <w:widowControl w:val="0"/>
        <w:keepNext w:val="0"/>
        <w:keepLines w:val="0"/>
        <w:shd w:val="clear" w:color="auto" w:fill="auto"/>
        <w:bidi w:val="0"/>
        <w:spacing w:before="0" w:after="0"/>
        <w:ind w:left="280" w:right="0" w:firstLine="0"/>
      </w:pPr>
      <w:r>
        <w:pict>
          <v:shape id="_x0000_s1557" type="#_x0000_t75" style="position:absolute;margin-left:141.7pt;margin-top:736.3pt;width:209.75pt;height:14.9pt;z-index:-125829021;mso-wrap-distance-left:135.35pt;mso-wrap-distance-right:136.8pt;mso-wrap-distance-bottom:10.8pt;mso-position-horizontal-relative:margin;mso-position-vertical-relative:margin" wrapcoords="0 0 21600 0 21600 21600 0 21600 0 0">
            <v:imagedata r:id="rId883" r:href="rId884"/>
            <w10:wrap type="topAndBottom" anchorx="margin" anchory="margin"/>
          </v:shape>
        </w:pict>
      </w:r>
      <w:r>
        <w:rPr>
          <w:lang w:val="ru-RU" w:eastAsia="ru-RU" w:bidi="ru-RU"/>
          <w:w w:val="100"/>
          <w:spacing w:val="0"/>
          <w:color w:val="000000"/>
          <w:position w:val="0"/>
        </w:rPr>
        <w:t>вальвулитом.</w:t>
      </w:r>
      <w:r>
        <w:br w:type="page"/>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Обычно митральная регургитация носит транзитор- ный характер и умеренно выражена.</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Митральная недостаточность чаще встречается у мальчиков, чем у девочек.</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 поздних стадиях болезни (через 1 мес.-1 год с мо</w:t>
        <w:softHyphen/>
        <w:t>мента постановки диагноза) митральная недостаточ</w:t>
        <w:softHyphen/>
        <w:t>ность, как правило, обусловлена стенотическими по</w:t>
        <w:softHyphen/>
        <w:t>ражениями левой коронарной артерии с развитием рубцовых изменений и дилатацией левого желудочка, реже связана с перенесенным панкардитом с вовле</w:t>
        <w:softHyphen/>
        <w:t>чением в процесс створок клапана.</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Редко тяжелая митральная недостаточность развива</w:t>
        <w:softHyphen/>
        <w:t>ется в результате деструктивных изменений створок или отрыва хорд от створок после острой стадии бо</w:t>
        <w:softHyphen/>
        <w:t>лезни Кавасаки.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Аортальная недостаточность:</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Вальвулит аортального клапана при болезни Каваса</w:t>
        <w:softHyphen/>
        <w:t>ки возникает на 36 дне-18 месяце от начала болезни. Эхокардиографически определяются утолщение створок и регургитация.</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Тяжелая аортальная недостаточность может потребо - вать протезирования клапана.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Перикардит:</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Перикардиальный выпот может появиться в конце ос</w:t>
        <w:softHyphen/>
        <w:t>трой стадии, вторично по отношению к миокардиту. В большинстве случаев выпот разрешается спонтанно.</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Перикардит, обычно с небольшим выпотом, наблю</w:t>
        <w:softHyphen/>
        <w:t>дается у 30% больных на первой-второй неделе забо</w:t>
        <w:softHyphen/>
        <w:t>левания, редко он приводит к сердечной тампонаде с необходимостью перикардиоцентеза.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Нарушения ритма и проводимости:</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Синдром слабости синусового узла.</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Бинодальная болезнь.</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Гемифасцикулярная и полная блокады левой ножки пучка Гиса.</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Полная блокада правой ножки пучка Гиса.</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Атриовентрикулярные блокады.</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Экстрасистолии высокой градации по </w:t>
      </w:r>
      <w:r>
        <w:rPr>
          <w:lang w:val="en-US" w:eastAsia="en-US" w:bidi="en-US"/>
          <w:w w:val="100"/>
          <w:spacing w:val="0"/>
          <w:color w:val="000000"/>
          <w:position w:val="0"/>
        </w:rPr>
        <w:t>B.Lown.</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Пароксизмальные и хронические возвратные тахи</w:t>
        <w:softHyphen/>
        <w:t>кардии.</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Спонтанная фибрилляция желудочков.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Клиническая симптоматика</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Постановка диагноза болезни Кавасаки полностью основана на клинических симптомах, и какие-либо специфические лабораторные тесты отсутствуют. Ру</w:t>
        <w:softHyphen/>
        <w:t>ководство по диагностике было впервые подготовле</w:t>
        <w:softHyphen/>
        <w:t>но Центром по изучению болезни Кавасаки в Японии с использованием диагностических критериев, пред</w:t>
        <w:softHyphen/>
        <w:t>ложенных Центром контроля над заболеваниями:</w:t>
      </w:r>
    </w:p>
    <w:p>
      <w:pPr>
        <w:pStyle w:val="Style30"/>
        <w:numPr>
          <w:ilvl w:val="0"/>
          <w:numId w:val="101"/>
        </w:numPr>
        <w:tabs>
          <w:tab w:leader="none" w:pos="51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лихорадка в течение 5 дней или более в присутствии хотя бы четырех из пяти следующих критериев: дву</w:t>
        <w:softHyphen/>
        <w:t>сторонний конъюнктивит, один или более призна</w:t>
        <w:softHyphen/>
        <w:t>ков изменений слизистых оболочек респираторного тракта, включая фарингит, сухие, красные и потрес</w:t>
        <w:softHyphen/>
        <w:t>кавшиеся губы, «земляничный» язык, один или бо</w:t>
        <w:softHyphen/>
        <w:t>лее признаков со стороны кожи конечностей, вклю</w:t>
        <w:softHyphen/>
        <w:t>чая периферический отек, десквамацию вокруг ко</w:t>
        <w:softHyphen/>
        <w:t>жи ногтей, а также на ладонях и стопах, сыпь пре</w:t>
        <w:softHyphen/>
        <w:t>имущественно на туловище, шейный лимфаденит;</w:t>
      </w:r>
    </w:p>
    <w:p>
      <w:pPr>
        <w:pStyle w:val="Style30"/>
        <w:numPr>
          <w:ilvl w:val="0"/>
          <w:numId w:val="101"/>
        </w:numPr>
        <w:tabs>
          <w:tab w:leader="none" w:pos="51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отсутствие другой известной болезни подтвер</w:t>
        <w:softHyphen/>
        <w:t>жденной этиологии, которая вызвала появление этих симптомов. Однако диагностика значительно</w:t>
        <w:br w:type="column"/>
        <w:t>затруднена в атипичных или легких случаях в свя</w:t>
        <w:softHyphen/>
        <w:t>зи с отсутствием отчетливых лабораторных при</w:t>
        <w:softHyphen/>
        <w:t>знаков заболевания.</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Заболевание может начаться с симптомов шока, рез</w:t>
        <w:softHyphen/>
        <w:t>кой бледности, рвоты, одышки, внезапного плача, за- грудинных болей, судорог.</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аускультации можно выслушать ритм галопа и громкие («дистанционные») сердечные тоны у 80% пациентов, обычно со второй недели болезни. Изред</w:t>
        <w:softHyphen/>
        <w:t>ка выслушивается шум митральной регургитации. Кардиомегалия на обзорной рентгенограмме грудной клетки отмечается у 30% пациентов.</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большинстве случаев небольшие аневризмы или эк</w:t>
        <w:softHyphen/>
        <w:t>тазии коронарных артерий протекают бессимптомно и только в 1-2% случаев приводят в последующем к об</w:t>
        <w:softHyphen/>
        <w:t>структивным повреждениям коронарных сосудов с развитием инфаркта миокарда или внезапной смерти.</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ряда больных аневризмы коронарных артерий клини - чески могут проявляться нестабильной стенокардией.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Лейкоцитоз со сдвигом влево является обычной на</w:t>
        <w:softHyphen/>
        <w:t>ходкой. Число лейкоцитов свыше 20-10/л встречается у 25% пациентов, а свыше 15-10/л — более чем у 50%.</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Нормохромная анемия также наблюдается примерно у 50% больных.</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СОЭ обычно ускорено, повышен уровень альфа-2- глобулинов. С-реактивный протеин повышен более чем у 90% больных.</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Повышение числа тромбоцитов до 500 000-10/л и вы</w:t>
        <w:softHyphen/>
        <w:t>ше часто наблюдается на второй неделе болезни. Обычно он сохраняется в течение 4-6 недель.</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Часто обнаруживается повышение уровня в крови щелочной фосфатазы, лактатдегидрогеназы, пече</w:t>
        <w:softHyphen/>
        <w:t>ночных трансаминаз, фибриногена, у четверти детей увеличены титры антистрептококковых антител.</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Обычными находками являются лейкоцитурия и протеинурия, однако диагностический титр бакте- риурии обычно не обнаруживается.</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Плейоцитоз за счет мононуклеаров в ликворе отмеча</w:t>
        <w:softHyphen/>
        <w:t>ется часто, при нормальном уровне глюкозы и белка.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Электрокардиографические нарушения на 1-3 неделе заболевания включают:</w:t>
      </w:r>
    </w:p>
    <w:p>
      <w:pPr>
        <w:pStyle w:val="Style30"/>
        <w:numPr>
          <w:ilvl w:val="0"/>
          <w:numId w:val="101"/>
        </w:numPr>
        <w:tabs>
          <w:tab w:leader="none" w:pos="511"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 xml:space="preserve">низкий вольтаж </w:t>
      </w:r>
      <w:r>
        <w:rPr>
          <w:lang w:val="en-US" w:eastAsia="en-US" w:bidi="en-US"/>
          <w:w w:val="100"/>
          <w:spacing w:val="0"/>
          <w:color w:val="000000"/>
          <w:position w:val="0"/>
        </w:rPr>
        <w:t xml:space="preserve">QRS </w:t>
      </w:r>
      <w:r>
        <w:rPr>
          <w:lang w:val="ru-RU" w:eastAsia="ru-RU" w:bidi="ru-RU"/>
          <w:w w:val="100"/>
          <w:spacing w:val="0"/>
          <w:color w:val="000000"/>
          <w:position w:val="0"/>
        </w:rPr>
        <w:t>комплексов (6-43%);</w:t>
      </w:r>
    </w:p>
    <w:p>
      <w:pPr>
        <w:pStyle w:val="Style30"/>
        <w:numPr>
          <w:ilvl w:val="0"/>
          <w:numId w:val="101"/>
        </w:numPr>
        <w:tabs>
          <w:tab w:leader="none" w:pos="511"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 xml:space="preserve">удлинение </w:t>
      </w:r>
      <w:r>
        <w:rPr>
          <w:lang w:val="en-US" w:eastAsia="en-US" w:bidi="en-US"/>
          <w:w w:val="100"/>
          <w:spacing w:val="0"/>
          <w:color w:val="000000"/>
          <w:position w:val="0"/>
        </w:rPr>
        <w:t xml:space="preserve">PR </w:t>
      </w:r>
      <w:r>
        <w:rPr>
          <w:lang w:val="ru-RU" w:eastAsia="ru-RU" w:bidi="ru-RU"/>
          <w:w w:val="100"/>
          <w:spacing w:val="0"/>
          <w:color w:val="000000"/>
          <w:position w:val="0"/>
        </w:rPr>
        <w:t>(41%);</w:t>
      </w:r>
    </w:p>
    <w:p>
      <w:pPr>
        <w:pStyle w:val="Style30"/>
        <w:numPr>
          <w:ilvl w:val="0"/>
          <w:numId w:val="101"/>
        </w:numPr>
        <w:tabs>
          <w:tab w:leader="none" w:pos="511"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 xml:space="preserve">удлинение </w:t>
      </w:r>
      <w:r>
        <w:rPr>
          <w:lang w:val="en-US" w:eastAsia="en-US" w:bidi="en-US"/>
          <w:w w:val="100"/>
          <w:spacing w:val="0"/>
          <w:color w:val="000000"/>
          <w:position w:val="0"/>
        </w:rPr>
        <w:t xml:space="preserve">QT </w:t>
      </w:r>
      <w:r>
        <w:rPr>
          <w:lang w:val="ru-RU" w:eastAsia="ru-RU" w:bidi="ru-RU"/>
          <w:w w:val="100"/>
          <w:spacing w:val="0"/>
          <w:color w:val="000000"/>
          <w:position w:val="0"/>
        </w:rPr>
        <w:t>(59%);</w:t>
      </w:r>
    </w:p>
    <w:p>
      <w:pPr>
        <w:pStyle w:val="Style30"/>
        <w:numPr>
          <w:ilvl w:val="0"/>
          <w:numId w:val="101"/>
        </w:numPr>
        <w:tabs>
          <w:tab w:leader="none" w:pos="511"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 xml:space="preserve">депрессия сегмента </w:t>
      </w:r>
      <w:r>
        <w:rPr>
          <w:lang w:val="en-US" w:eastAsia="en-US" w:bidi="en-US"/>
          <w:w w:val="100"/>
          <w:spacing w:val="0"/>
          <w:color w:val="000000"/>
          <w:position w:val="0"/>
        </w:rPr>
        <w:t xml:space="preserve">ST </w:t>
      </w:r>
      <w:r>
        <w:rPr>
          <w:lang w:val="ru-RU" w:eastAsia="ru-RU" w:bidi="ru-RU"/>
          <w:w w:val="100"/>
          <w:spacing w:val="0"/>
          <w:color w:val="000000"/>
          <w:position w:val="0"/>
        </w:rPr>
        <w:t>(23-56%);</w:t>
      </w:r>
    </w:p>
    <w:p>
      <w:pPr>
        <w:pStyle w:val="Style30"/>
        <w:numPr>
          <w:ilvl w:val="0"/>
          <w:numId w:val="101"/>
        </w:numPr>
        <w:tabs>
          <w:tab w:leader="none" w:pos="511"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 xml:space="preserve">подъем сегмента </w:t>
      </w:r>
      <w:r>
        <w:rPr>
          <w:lang w:val="en-US" w:eastAsia="en-US" w:bidi="en-US"/>
          <w:w w:val="100"/>
          <w:spacing w:val="0"/>
          <w:color w:val="000000"/>
          <w:position w:val="0"/>
        </w:rPr>
        <w:t xml:space="preserve">ST </w:t>
      </w:r>
      <w:r>
        <w:rPr>
          <w:lang w:val="ru-RU" w:eastAsia="ru-RU" w:bidi="ru-RU"/>
          <w:w w:val="100"/>
          <w:spacing w:val="0"/>
          <w:color w:val="000000"/>
          <w:position w:val="0"/>
        </w:rPr>
        <w:t>(20%).</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Аритмии в острой стадии заболевания обычно явля</w:t>
        <w:softHyphen/>
        <w:t>ются умеренно выраженными и транзиторными.</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Развитие пароксизмальной суправентрикулярной та</w:t>
        <w:softHyphen/>
        <w:t>хикардии, предсердной фибрилляции, желудочковой тахикардии и полной атриовентрикулярной блокады возможно при серьезных коронарных повреждениях.</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Появление зубца </w:t>
      </w:r>
      <w:r>
        <w:rPr>
          <w:lang w:val="en-US" w:eastAsia="en-US" w:bidi="en-US"/>
          <w:w w:val="100"/>
          <w:spacing w:val="0"/>
          <w:color w:val="000000"/>
          <w:position w:val="0"/>
        </w:rPr>
        <w:t xml:space="preserve">Q </w:t>
      </w:r>
      <w:r>
        <w:rPr>
          <w:lang w:val="ru-RU" w:eastAsia="ru-RU" w:bidi="ru-RU"/>
          <w:w w:val="100"/>
          <w:spacing w:val="0"/>
          <w:color w:val="000000"/>
          <w:position w:val="0"/>
        </w:rPr>
        <w:t>свидетельствует об ишемическом повреждении миокарда.</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Нестабильная стенокардия диагностируется при су</w:t>
        <w:softHyphen/>
        <w:t xml:space="preserve">точном мониторировании сегмента </w:t>
      </w:r>
      <w:r>
        <w:rPr>
          <w:lang w:val="en-US" w:eastAsia="en-US" w:bidi="en-US"/>
          <w:w w:val="100"/>
          <w:spacing w:val="0"/>
          <w:color w:val="000000"/>
          <w:position w:val="0"/>
        </w:rPr>
        <w:t>ST.</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pict>
          <v:shape id="_x0000_s1558" type="#_x0000_t75" style="position:absolute;margin-left:130.9pt;margin-top:736.3pt;width:209.75pt;height:14.9pt;z-index:-125829020;mso-wrap-distance-left:124.8pt;mso-wrap-distance-right:147.85pt;mso-wrap-distance-bottom:10.8pt;mso-position-horizontal-relative:margin;mso-position-vertical-relative:margin" wrapcoords="0 0 21600 0 21600 21600 0 21600 0 0">
            <v:imagedata r:id="rId885" r:href="rId886"/>
            <w10:wrap type="topAndBottom" anchorx="margin" anchory="margin"/>
          </v:shape>
        </w:pict>
      </w:r>
      <w:r>
        <w:rPr>
          <w:lang w:val="ru-RU" w:eastAsia="ru-RU" w:bidi="ru-RU"/>
          <w:w w:val="100"/>
          <w:spacing w:val="0"/>
          <w:color w:val="000000"/>
          <w:position w:val="0"/>
        </w:rPr>
        <w:t>Поздние желудочковые потенциалы позволяют вы</w:t>
        <w:softHyphen/>
        <w:t>явить скрытую миокардиальную ишемию при отсут</w:t>
        <w:softHyphen/>
        <w:t>ствии ее признаков на стандартной ЭКГ.</w:t>
      </w:r>
      <w:r>
        <w:br w:type="page"/>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Двухмерная эхокардиография:</w:t>
      </w:r>
    </w:p>
    <w:p>
      <w:pPr>
        <w:pStyle w:val="Style30"/>
        <w:numPr>
          <w:ilvl w:val="0"/>
          <w:numId w:val="9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Диагностика коронарных повреждений с помощью двухмерной эхокардиографии высокоинформативна и обладает чувствительностью от 80 до 90%.</w:t>
      </w:r>
    </w:p>
    <w:p>
      <w:pPr>
        <w:pStyle w:val="Style30"/>
        <w:numPr>
          <w:ilvl w:val="0"/>
          <w:numId w:val="9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эхокардиографии можно видеть аневризмы или эктазии коронарных артерий. Аневризмы сосудов проявляются в виде ограниченного выпячивания стенок. При болезни Кавасаки аневризмы чаще ве</w:t>
        <w:softHyphen/>
        <w:t>ретенообразные, множественные, реже мешотча</w:t>
        <w:softHyphen/>
        <w:t>тые, занимают центральные участки левой, реже правой коронарной артерии, определяется эктазия в области устья левой коронарной артерии. Стено- тические изменения коронарных сосудов могут быть заподозрены по наличию локальных нарушений со</w:t>
        <w:softHyphen/>
        <w:t>кратимости определенных сегментов левого или правого желудочка. Для выявления скрытых (ла</w:t>
        <w:softHyphen/>
        <w:t>тентных) поражений коронарных артерий у детей проводится эхокардиография на фоне введения до</w:t>
        <w:softHyphen/>
        <w:t>бутамина.</w:t>
      </w:r>
    </w:p>
    <w:p>
      <w:pPr>
        <w:pStyle w:val="Style30"/>
        <w:numPr>
          <w:ilvl w:val="0"/>
          <w:numId w:val="9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Эхокардиографический паттерн коронарита на ран</w:t>
        <w:softHyphen/>
        <w:t>них стадиях заболевания включает:</w:t>
      </w:r>
    </w:p>
    <w:p>
      <w:pPr>
        <w:pStyle w:val="Style30"/>
        <w:numPr>
          <w:ilvl w:val="0"/>
          <w:numId w:val="10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утолщение и уплотнение стенок коронарных арте</w:t>
        <w:softHyphen/>
        <w:t>рий и их периваскулярного ложа;</w:t>
      </w:r>
    </w:p>
    <w:p>
      <w:pPr>
        <w:pStyle w:val="Style30"/>
        <w:numPr>
          <w:ilvl w:val="0"/>
          <w:numId w:val="10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гиперэхогенную зернистость коронарных стенок и периваскулярного ложа;</w:t>
      </w:r>
    </w:p>
    <w:p>
      <w:pPr>
        <w:pStyle w:val="Style30"/>
        <w:numPr>
          <w:ilvl w:val="0"/>
          <w:numId w:val="10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дилатацию и/или сужение просвета коронарных артерий;</w:t>
      </w:r>
    </w:p>
    <w:p>
      <w:pPr>
        <w:pStyle w:val="Style30"/>
        <w:numPr>
          <w:ilvl w:val="0"/>
          <w:numId w:val="10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неровность внутреннего сосудистого контура;</w:t>
      </w:r>
    </w:p>
    <w:p>
      <w:pPr>
        <w:pStyle w:val="Style30"/>
        <w:numPr>
          <w:ilvl w:val="0"/>
          <w:numId w:val="10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когда участки расширения чередуются с участками сужения просвета коронарных артерий и окаймле</w:t>
        <w:softHyphen/>
        <w:t>ны утолщенными стенками с вкраплением гипер</w:t>
        <w:softHyphen/>
        <w:t>эхогенной зернистости, это создает так называе</w:t>
        <w:softHyphen/>
        <w:t>мую картину «ожерелья» (один из наиболее харак</w:t>
        <w:softHyphen/>
        <w:t>терных эхокардиографических признаков корона- рита при болезни Кавасаки, рис. 76).</w:t>
      </w:r>
    </w:p>
    <w:p>
      <w:pPr>
        <w:pStyle w:val="Style30"/>
        <w:numPr>
          <w:ilvl w:val="0"/>
          <w:numId w:val="9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отдаленных стадиях заболевания преобладают уп</w:t>
        <w:softHyphen/>
        <w:t>лотнение и утолщение артериальных стенок и суже</w:t>
        <w:softHyphen/>
        <w:t>ние их просвета при сохраняющейся неровности вну</w:t>
        <w:softHyphen/>
        <w:t>треннего контура.</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Коронарография:</w:t>
      </w:r>
    </w:p>
    <w:p>
      <w:pPr>
        <w:pStyle w:val="Style30"/>
        <w:numPr>
          <w:ilvl w:val="0"/>
          <w:numId w:val="9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Шкала показаний к коронарографии для пациентов, имеющих наибольший риск развития коронарных повреждений, включает следующие признаки:</w:t>
      </w:r>
    </w:p>
    <w:p>
      <w:pPr>
        <w:pStyle w:val="Style30"/>
        <w:numPr>
          <w:ilvl w:val="0"/>
          <w:numId w:val="10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мальчики младше 1 года;</w:t>
      </w:r>
    </w:p>
    <w:p>
      <w:pPr>
        <w:pStyle w:val="Style30"/>
        <w:numPr>
          <w:ilvl w:val="0"/>
          <w:numId w:val="10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длительная лихорадка на протяжении более 16 дней либо возвратная лихорадка;</w:t>
      </w:r>
    </w:p>
    <w:p>
      <w:pPr>
        <w:pStyle w:val="Style30"/>
        <w:numPr>
          <w:ilvl w:val="0"/>
          <w:numId w:val="10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уровень лейкоцитов в периферической крови бо</w:t>
        <w:softHyphen/>
        <w:t>лее 30 х 10</w:t>
      </w:r>
      <w:r>
        <w:rPr>
          <w:lang w:val="ru-RU" w:eastAsia="ru-RU" w:bidi="ru-RU"/>
          <w:vertAlign w:val="superscript"/>
          <w:w w:val="100"/>
          <w:spacing w:val="0"/>
          <w:color w:val="000000"/>
          <w:position w:val="0"/>
        </w:rPr>
        <w:t>9</w:t>
      </w:r>
      <w:r>
        <w:rPr>
          <w:lang w:val="ru-RU" w:eastAsia="ru-RU" w:bidi="ru-RU"/>
          <w:w w:val="100"/>
          <w:spacing w:val="0"/>
          <w:color w:val="000000"/>
          <w:position w:val="0"/>
        </w:rPr>
        <w:t>/л;</w:t>
      </w:r>
    </w:p>
    <w:p>
      <w:pPr>
        <w:pStyle w:val="Style30"/>
        <w:numPr>
          <w:ilvl w:val="0"/>
          <w:numId w:val="10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СОЭ свыше 101 мм в час;</w:t>
      </w:r>
    </w:p>
    <w:p>
      <w:pPr>
        <w:pStyle w:val="Style30"/>
        <w:numPr>
          <w:ilvl w:val="0"/>
          <w:numId w:val="10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стойкое ускорение СОЭ и/или повышение титра С-реактивного протеина (более 30 дней);</w:t>
      </w:r>
    </w:p>
    <w:p>
      <w:pPr>
        <w:pStyle w:val="Style30"/>
        <w:numPr>
          <w:ilvl w:val="0"/>
          <w:numId w:val="10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повторное повышение СОЭ и уровня С-реактив- ного протеина;</w:t>
      </w:r>
    </w:p>
    <w:p>
      <w:pPr>
        <w:pStyle w:val="Style30"/>
        <w:numPr>
          <w:ilvl w:val="0"/>
          <w:numId w:val="10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электрокардиографические изменения (аномаль</w:t>
        <w:softHyphen/>
        <w:t xml:space="preserve">ные </w:t>
      </w:r>
      <w:r>
        <w:rPr>
          <w:lang w:val="en-US" w:eastAsia="en-US" w:bidi="en-US"/>
          <w:w w:val="100"/>
          <w:spacing w:val="0"/>
          <w:color w:val="000000"/>
          <w:position w:val="0"/>
        </w:rPr>
        <w:t>Q</w:t>
      </w:r>
      <w:r>
        <w:rPr>
          <w:lang w:val="ru-RU" w:eastAsia="ru-RU" w:bidi="ru-RU"/>
          <w:w w:val="100"/>
          <w:spacing w:val="0"/>
          <w:color w:val="000000"/>
          <w:position w:val="0"/>
        </w:rPr>
        <w:t xml:space="preserve">-зубцы в отведениях II, III, </w:t>
      </w:r>
      <w:r>
        <w:rPr>
          <w:lang w:val="en-US" w:eastAsia="en-US" w:bidi="en-US"/>
          <w:w w:val="100"/>
          <w:spacing w:val="0"/>
          <w:color w:val="000000"/>
          <w:position w:val="0"/>
        </w:rPr>
        <w:t>aVF).</w:t>
      </w:r>
    </w:p>
    <w:p>
      <w:pPr>
        <w:pStyle w:val="Style30"/>
        <w:numPr>
          <w:ilvl w:val="0"/>
          <w:numId w:val="9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ангиокоронарографии выявляются в зависимос</w:t>
        <w:softHyphen/>
        <w:t>ти от стадии заболевания мешотчатые аневризмы, участки дилатации и/или стенозирования коронар</w:t>
        <w:softHyphen/>
        <w:t>ных артерий, симптом «ожерелья».</w:t>
      </w:r>
    </w:p>
    <w:p>
      <w:pPr>
        <w:pStyle w:val="Style30"/>
        <w:numPr>
          <w:ilvl w:val="0"/>
          <w:numId w:val="9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Мнение о роли селективной коронарной ангиогра</w:t>
        <w:softHyphen/>
        <w:t>фии при наблюдении детей с болезнью Кавасаки яв</w:t>
        <w:softHyphen/>
        <w:t>ляется противоречивым.</w:t>
      </w:r>
    </w:p>
    <w:p>
      <w:pPr>
        <w:framePr w:h="3566" w:wrap="notBeside" w:vAnchor="text" w:hAnchor="text" w:xAlign="center" w:y="1"/>
        <w:widowControl w:val="0"/>
        <w:jc w:val="center"/>
        <w:rPr>
          <w:sz w:val="2"/>
          <w:szCs w:val="2"/>
        </w:rPr>
      </w:pPr>
      <w:r>
        <w:pict>
          <v:shape id="_x0000_s1559" type="#_x0000_t75" style="width:243pt;height:179pt;">
            <v:imagedata r:id="rId887" r:href="rId888"/>
          </v:shape>
        </w:pict>
      </w:r>
    </w:p>
    <w:p>
      <w:pPr>
        <w:pStyle w:val="Style120"/>
        <w:framePr w:h="3566"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76. </w:t>
      </w:r>
      <w:r>
        <w:rPr>
          <w:lang w:val="ru-RU" w:eastAsia="ru-RU" w:bidi="ru-RU"/>
          <w:w w:val="100"/>
          <w:spacing w:val="0"/>
          <w:color w:val="000000"/>
          <w:position w:val="0"/>
        </w:rPr>
        <w:t>Эхокардиограмма при болезни Кавасаки: феномен «оже</w:t>
        <w:softHyphen/>
        <w:t>релья» правой и левой коронарной артерий.</w:t>
      </w:r>
    </w:p>
    <w:p>
      <w:pPr>
        <w:widowControl w:val="0"/>
        <w:rPr>
          <w:sz w:val="2"/>
          <w:szCs w:val="2"/>
        </w:rPr>
      </w:pPr>
    </w:p>
    <w:p>
      <w:pPr>
        <w:pStyle w:val="Style30"/>
        <w:numPr>
          <w:ilvl w:val="0"/>
          <w:numId w:val="99"/>
        </w:numPr>
        <w:tabs>
          <w:tab w:leader="none" w:pos="494" w:val="left"/>
        </w:tabs>
        <w:widowControl w:val="0"/>
        <w:keepNext w:val="0"/>
        <w:keepLines w:val="0"/>
        <w:shd w:val="clear" w:color="auto" w:fill="auto"/>
        <w:bidi w:val="0"/>
        <w:spacing w:before="621" w:after="0"/>
        <w:ind w:left="500" w:right="0" w:hanging="240"/>
      </w:pPr>
      <w:r>
        <w:rPr>
          <w:lang w:val="ru-RU" w:eastAsia="ru-RU" w:bidi="ru-RU"/>
          <w:w w:val="100"/>
          <w:spacing w:val="0"/>
          <w:color w:val="000000"/>
          <w:position w:val="0"/>
        </w:rPr>
        <w:t>Считается, что коронарографию следует выполнять детям с уже установленными признаками коронар</w:t>
        <w:softHyphen/>
        <w:t>ных повреждений.</w:t>
      </w:r>
    </w:p>
    <w:p>
      <w:pPr>
        <w:pStyle w:val="Style30"/>
        <w:numPr>
          <w:ilvl w:val="0"/>
          <w:numId w:val="99"/>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Коронарографию рекомендуют проводить одним го</w:t>
        <w:softHyphen/>
        <w:t>дом позже у пациентов, которые имели признаки ко</w:t>
        <w:softHyphen/>
        <w:t>ронарного поражения при первом исследовании. По</w:t>
        <w:softHyphen/>
        <w:t>вторное обследование через год выявляет как увели</w:t>
        <w:softHyphen/>
        <w:t>чение степени стенотических изменений (29%), так и уменьшение размеров аневризмы (61%).</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Перфузионная сцинтиграфия:</w:t>
      </w:r>
    </w:p>
    <w:p>
      <w:pPr>
        <w:pStyle w:val="Style30"/>
        <w:numPr>
          <w:ilvl w:val="0"/>
          <w:numId w:val="99"/>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Перфузионная сцинтиграфия миокарда после пред</w:t>
        <w:softHyphen/>
        <w:t>варительного введения дипиридамола с целью коро</w:t>
        <w:softHyphen/>
        <w:t>нарной вазодилатации позволяет выявить регионар</w:t>
        <w:softHyphen/>
        <w:t>ные нарушения перфузии миокарда, обусловленные поражением коронарных артерий.</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Ядерная магниторезонансная томография:</w:t>
      </w:r>
    </w:p>
    <w:p>
      <w:pPr>
        <w:pStyle w:val="Style30"/>
        <w:numPr>
          <w:ilvl w:val="0"/>
          <w:numId w:val="99"/>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Ядерная магниторезонансная томография дает воз</w:t>
        <w:softHyphen/>
        <w:t>можность диагностировать миокардит на ранней ста</w:t>
        <w:softHyphen/>
        <w:t>дии заболевания, визуализировать аневризмы коро</w:t>
        <w:softHyphen/>
        <w:t>нарных артерий и очаги миокарда, подвергшиеся ишемии.</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Дифференциальная диагностика:</w:t>
      </w:r>
    </w:p>
    <w:p>
      <w:pPr>
        <w:pStyle w:val="Style30"/>
        <w:numPr>
          <w:ilvl w:val="0"/>
          <w:numId w:val="99"/>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Дифференциальную диагностику болезни Кавасаки проводят с васкулитами (васкулопатиями), сопро</w:t>
        <w:softHyphen/>
        <w:t>вождающимися коронаритами:</w:t>
      </w:r>
    </w:p>
    <w:p>
      <w:pPr>
        <w:pStyle w:val="Style30"/>
        <w:numPr>
          <w:ilvl w:val="0"/>
          <w:numId w:val="10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узелковый периартериит;</w:t>
      </w:r>
    </w:p>
    <w:p>
      <w:pPr>
        <w:pStyle w:val="Style30"/>
        <w:numPr>
          <w:ilvl w:val="0"/>
          <w:numId w:val="10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гигантоклеточный артериит;</w:t>
      </w:r>
    </w:p>
    <w:p>
      <w:pPr>
        <w:pStyle w:val="Style30"/>
        <w:numPr>
          <w:ilvl w:val="0"/>
          <w:numId w:val="10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артериит Такаясу;</w:t>
      </w:r>
    </w:p>
    <w:p>
      <w:pPr>
        <w:pStyle w:val="Style30"/>
        <w:numPr>
          <w:ilvl w:val="0"/>
          <w:numId w:val="10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болезнь Бехчета;</w:t>
      </w:r>
    </w:p>
    <w:p>
      <w:pPr>
        <w:pStyle w:val="Style30"/>
        <w:numPr>
          <w:ilvl w:val="0"/>
          <w:numId w:val="10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синдром Когана;</w:t>
      </w:r>
    </w:p>
    <w:p>
      <w:pPr>
        <w:pStyle w:val="Style30"/>
        <w:numPr>
          <w:ilvl w:val="0"/>
          <w:numId w:val="10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саркоидоз;</w:t>
      </w:r>
    </w:p>
    <w:p>
      <w:pPr>
        <w:pStyle w:val="Style30"/>
        <w:numPr>
          <w:ilvl w:val="0"/>
          <w:numId w:val="10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сифилис;</w:t>
      </w:r>
    </w:p>
    <w:p>
      <w:pPr>
        <w:pStyle w:val="Style30"/>
        <w:numPr>
          <w:ilvl w:val="0"/>
          <w:numId w:val="101"/>
        </w:numPr>
        <w:tabs>
          <w:tab w:leader="none" w:pos="737" w:val="left"/>
        </w:tabs>
        <w:widowControl w:val="0"/>
        <w:keepNext w:val="0"/>
        <w:keepLines w:val="0"/>
        <w:shd w:val="clear" w:color="auto" w:fill="auto"/>
        <w:bidi w:val="0"/>
        <w:spacing w:before="0" w:after="0"/>
        <w:ind w:left="500" w:right="0" w:firstLine="0"/>
      </w:pPr>
      <w:r>
        <w:rPr>
          <w:lang w:val="en-US" w:eastAsia="en-US" w:bidi="en-US"/>
          <w:w w:val="100"/>
          <w:spacing w:val="0"/>
          <w:color w:val="000000"/>
          <w:position w:val="0"/>
        </w:rPr>
        <w:t xml:space="preserve">HLA-B27 </w:t>
      </w:r>
      <w:r>
        <w:rPr>
          <w:lang w:val="ru-RU" w:eastAsia="ru-RU" w:bidi="ru-RU"/>
          <w:w w:val="100"/>
          <w:spacing w:val="0"/>
          <w:color w:val="000000"/>
          <w:position w:val="0"/>
        </w:rPr>
        <w:t>ассоциированная спондилоартропатия;</w:t>
      </w:r>
    </w:p>
    <w:p>
      <w:pPr>
        <w:pStyle w:val="Style30"/>
        <w:numPr>
          <w:ilvl w:val="0"/>
          <w:numId w:val="10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атеросклероз;</w:t>
      </w:r>
    </w:p>
    <w:p>
      <w:pPr>
        <w:pStyle w:val="Style30"/>
        <w:numPr>
          <w:ilvl w:val="0"/>
          <w:numId w:val="10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антифосфолипидный синдром;</w:t>
      </w:r>
    </w:p>
    <w:p>
      <w:pPr>
        <w:pStyle w:val="Style30"/>
        <w:numPr>
          <w:ilvl w:val="0"/>
          <w:numId w:val="10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синдром Элерса-Данлоса;</w:t>
      </w:r>
    </w:p>
    <w:p>
      <w:pPr>
        <w:pStyle w:val="Style30"/>
        <w:numPr>
          <w:ilvl w:val="0"/>
          <w:numId w:val="10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синдром Марфана;</w:t>
      </w:r>
    </w:p>
    <w:p>
      <w:pPr>
        <w:pStyle w:val="Style30"/>
        <w:numPr>
          <w:ilvl w:val="0"/>
          <w:numId w:val="101"/>
        </w:numPr>
        <w:tabs>
          <w:tab w:leader="none" w:pos="737" w:val="left"/>
        </w:tabs>
        <w:widowControl w:val="0"/>
        <w:keepNext w:val="0"/>
        <w:keepLines w:val="0"/>
        <w:shd w:val="clear" w:color="auto" w:fill="auto"/>
        <w:bidi w:val="0"/>
        <w:spacing w:before="0" w:after="0"/>
        <w:ind w:left="500" w:right="0" w:firstLine="0"/>
      </w:pPr>
      <w:r>
        <w:pict>
          <v:shape id="_x0000_s1560" type="#_x0000_t75" style="position:absolute;margin-left:147.35pt;margin-top:736.3pt;width:209.75pt;height:14.9pt;z-index:-125829019;mso-wrap-distance-left:147.35pt;mso-wrap-distance-right:137.5pt;mso-wrap-distance-bottom:10.8pt;mso-position-horizontal-relative:margin;mso-position-vertical-relative:margin" wrapcoords="0 0 21600 0 21600 21600 0 21600 0 0">
            <v:imagedata r:id="rId889" r:href="rId890"/>
            <w10:wrap type="topAndBottom" anchorx="margin" anchory="margin"/>
          </v:shape>
        </w:pict>
      </w:r>
      <w:r>
        <w:rPr>
          <w:lang w:val="ru-RU" w:eastAsia="ru-RU" w:bidi="ru-RU"/>
          <w:w w:val="100"/>
          <w:spacing w:val="0"/>
          <w:color w:val="000000"/>
          <w:position w:val="0"/>
        </w:rPr>
        <w:t>гомоцистинурия;</w:t>
      </w:r>
      <w:r>
        <w:br w:type="page"/>
      </w:r>
    </w:p>
    <w:p>
      <w:pPr>
        <w:pStyle w:val="Style30"/>
        <w:numPr>
          <w:ilvl w:val="0"/>
          <w:numId w:val="101"/>
        </w:numPr>
        <w:tabs>
          <w:tab w:leader="none" w:pos="49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болезнь Бюргера;</w:t>
      </w:r>
    </w:p>
    <w:p>
      <w:pPr>
        <w:pStyle w:val="Style30"/>
        <w:numPr>
          <w:ilvl w:val="0"/>
          <w:numId w:val="101"/>
        </w:numPr>
        <w:tabs>
          <w:tab w:leader="none" w:pos="49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фибромышечная дисплазия;</w:t>
      </w:r>
    </w:p>
    <w:p>
      <w:pPr>
        <w:pStyle w:val="Style30"/>
        <w:numPr>
          <w:ilvl w:val="0"/>
          <w:numId w:val="101"/>
        </w:numPr>
        <w:tabs>
          <w:tab w:leader="none" w:pos="49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злокачественные опухоли;</w:t>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синдром Рейтера.</w:t>
      </w:r>
    </w:p>
    <w:p>
      <w:pPr>
        <w:pStyle w:val="Style30"/>
        <w:numPr>
          <w:ilvl w:val="0"/>
          <w:numId w:val="9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Болезнь Кавасаки часто «просматривается» и прини</w:t>
        <w:softHyphen/>
        <w:t>мается ошибочно за скарлатину или стрептококко</w:t>
        <w:softHyphen/>
        <w:t>вую инфекцию в связи с перекрестно наблюдающи</w:t>
        <w:softHyphen/>
        <w:t>мися клиническими симптомами — такими как сыпь, лихорадка, «земляничный» язык, шейный лимфаде</w:t>
        <w:softHyphen/>
        <w:t>нит, шелушение кожи. Однако при скарлатине сыпь не полиморфна, отсутствует инъекция склер, десква- мация кожи наблюдается по всему телу и отмечается эффект от антибиотикотерапии. Важно и то, что скарлатина редко встречается у детей младше 3-х лет.</w:t>
      </w:r>
    </w:p>
    <w:p>
      <w:pPr>
        <w:pStyle w:val="Style30"/>
        <w:numPr>
          <w:ilvl w:val="0"/>
          <w:numId w:val="9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Ранее многие врачи принимали болезнь Кавасаки за синдром Стивенса-Джонсона. Хотя тяжелые формы синдрома Стивенса-Джонсона относительно нетруд</w:t>
        <w:softHyphen/>
        <w:t>но диагностировать, легкие его формы действительно похожи на болезнь Кавасаки.</w:t>
      </w:r>
    </w:p>
    <w:p>
      <w:pPr>
        <w:pStyle w:val="Style30"/>
        <w:numPr>
          <w:ilvl w:val="0"/>
          <w:numId w:val="9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Острое начало ювенильного ревматоидного артри</w:t>
        <w:softHyphen/>
        <w:t>та — это другая частая причина диагностических ошибок. В ранних стадиях болезни действительно трудно различить сходные симптомы этих заболева</w:t>
        <w:softHyphen/>
        <w:t>ний, такие как сыпь, лихорадка и опухание суставов рук или ног. При ювенильном ревматоидном артрите отсутствие инъекции склер, изменений губ и шелу</w:t>
        <w:softHyphen/>
        <w:t>шения кожи конечностей полезно для дифференци</w:t>
        <w:softHyphen/>
        <w:t>альной диагностики с болезнью Кавасаки.</w:t>
      </w:r>
    </w:p>
    <w:p>
      <w:pPr>
        <w:pStyle w:val="Style30"/>
        <w:numPr>
          <w:ilvl w:val="0"/>
          <w:numId w:val="9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Дифференциальная диагностика с сепсисом основы</w:t>
        <w:softHyphen/>
        <w:t>вается в первую очередь на наличии септикопиеми- ческих очагов и эффективности при этом заболева</w:t>
        <w:softHyphen/>
        <w:t>нии антибиотикотерапии.</w:t>
      </w:r>
    </w:p>
    <w:p>
      <w:pPr>
        <w:pStyle w:val="Style30"/>
        <w:numPr>
          <w:ilvl w:val="0"/>
          <w:numId w:val="9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Корь, краснуха и другие вирусные фебрильные эк</w:t>
        <w:softHyphen/>
        <w:t>зантемы требуют наблюдения для дифференциально - го диагноза с болезнью Кавасаки, и при этом обычно не возникает особых затруднений, так как динамиче</w:t>
        <w:softHyphen/>
        <w:t>ское развитие симптомов этих заболеваний и болезни Кавасаки различно.</w:t>
      </w:r>
    </w:p>
    <w:p>
      <w:pPr>
        <w:pStyle w:val="Style30"/>
        <w:numPr>
          <w:ilvl w:val="0"/>
          <w:numId w:val="9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Дифференциально-диагностический ряд может так</w:t>
        <w:softHyphen/>
        <w:t>же включать иерсениоз, лептоспироз, пятнистую ли</w:t>
        <w:softHyphen/>
        <w:t>хорадку скалистых гор и другие риккетсиозы, и эти заболевания могут быть исключены на основании специальных бактериологических и серологических исследований.</w:t>
      </w:r>
    </w:p>
    <w:p>
      <w:pPr>
        <w:pStyle w:val="Style30"/>
        <w:numPr>
          <w:ilvl w:val="0"/>
          <w:numId w:val="9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Сходство клинических и патоморфологических при</w:t>
        <w:softHyphen/>
        <w:t>знаков заболевания с детским узелковым периартери- итом было отмечено многими исследователями. В то же время очевидно, что детский узелковый периарте- риит и болезнь Кавасаки резко отличаются от взросло</w:t>
        <w:softHyphen/>
        <w:t>го типа узелкового периартериита. В отличие от узел</w:t>
        <w:softHyphen/>
        <w:t>кового периартериита, болезнь Кавасаки начинается характерным острым симптомокомплексом, в боль</w:t>
        <w:softHyphen/>
        <w:t>шинстве случаев имеет спонтанно абортивное течение и исключительно высокую избирательность коронар</w:t>
        <w:softHyphen/>
        <w:t>ных поражений. Согласно данным исследований по</w:t>
        <w:softHyphen/>
        <w:t>следнего десятилетия патоморфологические признаки васкулита при болезни Кавасаки отличаются от тако</w:t>
        <w:softHyphen/>
        <w:t>вых при узелковом периартериите, и два этих заболе</w:t>
        <w:softHyphen/>
        <w:t>вания имеют различные принципы лечения.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Осложнения</w:t>
      </w:r>
    </w:p>
    <w:p>
      <w:pPr>
        <w:pStyle w:val="Style30"/>
        <w:numPr>
          <w:ilvl w:val="0"/>
          <w:numId w:val="99"/>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Кардиоваскулярные осложнения:</w:t>
      </w:r>
    </w:p>
    <w:p>
      <w:pPr>
        <w:pStyle w:val="Style30"/>
        <w:numPr>
          <w:ilvl w:val="0"/>
          <w:numId w:val="101"/>
        </w:numPr>
        <w:tabs>
          <w:tab w:leader="none" w:pos="498"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ишемическая болезнь сердца;</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br w:type="column"/>
      </w:r>
      <w:r>
        <w:rPr>
          <w:lang w:val="ru-RU" w:eastAsia="ru-RU" w:bidi="ru-RU"/>
          <w:w w:val="100"/>
          <w:spacing w:val="0"/>
          <w:color w:val="000000"/>
          <w:position w:val="0"/>
        </w:rPr>
        <w:t>инфаркт миокарда возникает в результате тромбо</w:t>
        <w:softHyphen/>
        <w:t>эмболической окклюзии аневризмы либо стеноза коронарной артерии. Часто инфаркт миокарда у детей протекает в безболевой форме;</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дилатационная кардиомиопатия;</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застойная сердечная недостаточность;</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аневризма левого желудочка;</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стойкие нарушения ритма сердца и проводимости;</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внезапная сердечная смерть.</w:t>
      </w:r>
    </w:p>
    <w:p>
      <w:pPr>
        <w:pStyle w:val="Style30"/>
        <w:numPr>
          <w:ilvl w:val="0"/>
          <w:numId w:val="9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Внесердечные осложнения:</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первичная дисфункция печени характеризуется повышением трансаминаз, но не билирубина на первой неделе заболевания, наблюдается у 17-26% пациентов. По этой причине пациентам не назна</w:t>
        <w:softHyphen/>
        <w:t>чают ряд препаратов, включая аспирин;</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водянка желчного пузыря наблюдается у 10% боль</w:t>
        <w:softHyphen/>
        <w:t>ных, чаще у мальчиков в возрасте до 5 лет. Разви</w:t>
        <w:softHyphen/>
        <w:t>тие водянки желчного пузыря связано с отеком об</w:t>
        <w:softHyphen/>
        <w:t>щего желчного протока вследствие панваскулита. Клинические симптомы при водянке желчного пу</w:t>
        <w:softHyphen/>
        <w:t>зыря включают боли в животе вследствие напря</w:t>
        <w:softHyphen/>
        <w:t>жения мышц передней брюшной стенки, редко рвоту и диарею;</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острый холецистит;</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вторичная дисфункция печени, индуцированная лекарственными препаратами;</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серозный менингит.</w:t>
      </w:r>
    </w:p>
    <w:p>
      <w:pPr>
        <w:pStyle w:val="Style30"/>
        <w:numPr>
          <w:ilvl w:val="0"/>
          <w:numId w:val="9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Редкие осложнения:</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болезнь Пертеса;</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острая кишечная непроходимость;</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нефрит;</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энтеропатия;</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экссудативный плеврит;</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уретрит;</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гангрена пальцев;</w:t>
      </w:r>
    </w:p>
    <w:p>
      <w:pPr>
        <w:pStyle w:val="Style30"/>
        <w:numPr>
          <w:ilvl w:val="0"/>
          <w:numId w:val="101"/>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аневризмы периферических артерий.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Медикаментозная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острой стадии заболевания требуется госпитализация и ограничение двигательного режима. У большинства детей в острой стадии выражена возбудимость и резко снижен ап</w:t>
        <w:softHyphen/>
        <w:t>петит, поэтому может потребоваться внутривенная инфузи</w:t>
        <w:softHyphen/>
        <w:t>онная терапия. После снижения температуры самочувствие улучшается, однако, несмотря на это, вторая и третья неде</w:t>
        <w:softHyphen/>
        <w:t>ли заболевания являются наиболее опасными ввиду самого высокого риска коронарного тромбоза, инфаркта миокарда и летального исхода. Во время пребывания в больнице, по</w:t>
        <w:softHyphen/>
        <w:t>мимо ежедневного врачебного осмотра, рекомендуется 1-2 раза в неделю контроль СОЭ, количества лейкоцитов и тромбоцитов, уровня С-реактивного протеина, креатини</w:t>
        <w:softHyphen/>
        <w:t>на, остаточного азота, сывороточных трансаминаз, анали</w:t>
        <w:softHyphen/>
        <w:t>зов мочи, рентгенографии грудной клетки и серийной двух</w:t>
        <w:softHyphen/>
        <w:t>мерной эхокардиографии.</w:t>
      </w:r>
    </w:p>
    <w:p>
      <w:pPr>
        <w:pStyle w:val="Style30"/>
        <w:numPr>
          <w:ilvl w:val="0"/>
          <w:numId w:val="99"/>
        </w:numPr>
        <w:tabs>
          <w:tab w:leader="none" w:pos="520" w:val="left"/>
        </w:tabs>
        <w:widowControl w:val="0"/>
        <w:keepNext w:val="0"/>
        <w:keepLines w:val="0"/>
        <w:shd w:val="clear" w:color="auto" w:fill="auto"/>
        <w:bidi w:val="0"/>
        <w:spacing w:before="0" w:after="0"/>
        <w:ind w:left="520" w:right="0" w:hanging="240"/>
      </w:pPr>
      <w:r>
        <w:pict>
          <v:shape id="_x0000_s1561" type="#_x0000_t75" style="position:absolute;margin-left:130.45pt;margin-top:736.3pt;width:209.75pt;height:14.9pt;z-index:-125829018;mso-wrap-distance-left:124.1pt;mso-wrap-distance-right:148.1pt;mso-wrap-distance-bottom:10.8pt;mso-position-horizontal-relative:margin;mso-position-vertical-relative:margin" wrapcoords="0 0 21600 0 21600 21600 0 21600 0 0">
            <v:imagedata r:id="rId891" r:href="rId892"/>
            <w10:wrap type="topAndBottom" anchorx="margin" anchory="margin"/>
          </v:shape>
        </w:pict>
      </w:r>
      <w:r>
        <w:rPr>
          <w:lang w:val="ru-RU" w:eastAsia="ru-RU" w:bidi="ru-RU"/>
          <w:w w:val="100"/>
          <w:spacing w:val="0"/>
          <w:color w:val="000000"/>
          <w:position w:val="0"/>
        </w:rPr>
        <w:t>В настоящее время наиболее эффективной считается трехкомпонентная схема лечения болезни Кавасаки в острой стадии, включающая аспирин в дозе от 30 до 100 мг/кг/сут + трентал 10-15 мг/кг/сут + внутривен</w:t>
        <w:softHyphen/>
        <w:t>ный человеческий иммуноглобулин в дозе 0,2-0,4 г/кг/сут капельно, в течение 5 дней. Длитель</w:t>
        <w:softHyphen/>
        <w:t>ность курса лечения аспирином 1-2 мес, при этом че</w:t>
        <w:softHyphen/>
        <w:t>рез 2-3 недели от начала применения доза может быть снижена до 20 мг/кг/сут. Курс трентала обычно со</w:t>
        <w:softHyphen/>
        <w:t>ставляет 1,5 мес. Ряд авторов предлагает другую схему</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применения внутривенного человеческого иммуно</w:t>
        <w:softHyphen/>
        <w:t>глобулина — по 1,0 г/кг однократным введением. Трентал рекомендуется назначать орально. Он блоки</w:t>
        <w:softHyphen/>
        <w:t xml:space="preserve">рует выработку агрессивного цитокина </w:t>
      </w:r>
      <w:r>
        <w:rPr>
          <w:lang w:val="en-US" w:eastAsia="en-US" w:bidi="en-US"/>
          <w:w w:val="100"/>
          <w:spacing w:val="0"/>
          <w:color w:val="000000"/>
          <w:position w:val="0"/>
        </w:rPr>
        <w:t xml:space="preserve">TNF-alpha, </w:t>
      </w:r>
      <w:r>
        <w:rPr>
          <w:lang w:val="ru-RU" w:eastAsia="ru-RU" w:bidi="ru-RU"/>
          <w:w w:val="100"/>
          <w:spacing w:val="0"/>
          <w:color w:val="000000"/>
          <w:position w:val="0"/>
        </w:rPr>
        <w:t>который вырабатывается активированными макро</w:t>
        <w:softHyphen/>
        <w:t>фагами и моноцитами и непосредственно повреждает сосудистый эндотелий при болезни Кавасаки. Дипи- ридамол не обладает этим эффектом, но может на</w:t>
        <w:softHyphen/>
        <w:t>значаться как дезагрегантный препарат в дозе 1-2 мг/кг/сут при непереносимости трентала.</w:t>
      </w:r>
    </w:p>
    <w:p>
      <w:pPr>
        <w:pStyle w:val="Style30"/>
        <w:numPr>
          <w:ilvl w:val="0"/>
          <w:numId w:val="9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Продолжительность лихорадочного периода в группе, получавшей комбинированное лечение, значительно меньше, а частота формирования аневризм коронарных артерий значительно ниже, чем в группе, получавшей только ацетилсалицило</w:t>
        <w:softHyphen/>
        <w:t>вую кислоту.</w:t>
      </w:r>
    </w:p>
    <w:p>
      <w:pPr>
        <w:pStyle w:val="Style30"/>
        <w:numPr>
          <w:ilvl w:val="0"/>
          <w:numId w:val="9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Комбинированная терапия </w:t>
      </w:r>
      <w:r>
        <w:rPr>
          <w:lang w:val="en-US" w:eastAsia="en-US" w:bidi="en-US"/>
          <w:w w:val="100"/>
          <w:spacing w:val="0"/>
          <w:color w:val="000000"/>
          <w:position w:val="0"/>
        </w:rPr>
        <w:t>g</w:t>
      </w:r>
      <w:r>
        <w:rPr>
          <w:lang w:val="ru-RU" w:eastAsia="ru-RU" w:bidi="ru-RU"/>
          <w:w w:val="100"/>
          <w:spacing w:val="0"/>
          <w:color w:val="000000"/>
          <w:position w:val="0"/>
        </w:rPr>
        <w:t>-глобулином и аце</w:t>
        <w:softHyphen/>
        <w:t>тилсалициловой кислотой уменьшает частоту раз</w:t>
        <w:softHyphen/>
        <w:t>вития аневризм коронарных артерий (8%) по срав</w:t>
        <w:softHyphen/>
        <w:t>нению с терапией одной ацетилсалициловой кис</w:t>
        <w:softHyphen/>
        <w:t>лотой (23%) через 2 нед от начала лечения, а через 7 нед эти показатели составляют 4 и 18%.</w:t>
      </w:r>
    </w:p>
    <w:p>
      <w:pPr>
        <w:pStyle w:val="Style30"/>
        <w:numPr>
          <w:ilvl w:val="0"/>
          <w:numId w:val="9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Комбинированное лечение способствует более быстрому восстановлению функции левого желу</w:t>
        <w:softHyphen/>
        <w:t>дочка в острую фазу заболевания.</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Тромболитическую терапию проводят в случаях ин</w:t>
        <w:softHyphen/>
        <w:t>фаркта миокарда, развившегося вследствие тромбоза. Стрепто- и урокиназа наиболее эффективны в пер</w:t>
        <w:softHyphen/>
        <w:t>вые 3-4 часа с момента появления клинических симп</w:t>
        <w:softHyphen/>
        <w:t>томов. После растворения тромба сразу начинают введение гепарина с ацетилсалициловой кислотой, позже — ацетилсалициловой кислоты и дипиридамо- ла или варфарина и дипиридамола.</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наличии больших аневризм, приводящих к тромботической окклюзии сосуда, применяют уро</w:t>
        <w:softHyphen/>
        <w:t>киназу в дозе 8-10 ед/кг, вводимую непосредственно в коронарную артерию каждые 10 мин до полного рассасывания тромба.</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Кортикостероиды при болезни Кавасаки противопо</w:t>
        <w:softHyphen/>
        <w:t>казаны, так как они способствуют развитию анев</w:t>
        <w:softHyphen/>
        <w:t>ризм и образованию тромбозов.</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Ранние заменные плазмотрансфузии в сочетании с высокими дозами внутривенно вводимого у-глобу- лина предупреждают формирование аневризм коро</w:t>
        <w:softHyphen/>
        <w:t>нарных артерий.</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Если присутствует симптоматика инфаркта миокар</w:t>
        <w:softHyphen/>
        <w:t>да, в лечении дополнительно требуются оксигеноте- рапия, вазодилататоры (нитропруссид, нитроглице</w:t>
        <w:softHyphen/>
        <w:t>рин) и катехоламины (допамин, добутамин), а также гепарин либо прямая инфузия урокиназы в коронар</w:t>
        <w:softHyphen/>
        <w:t>ное русло, неотложная антиаритмическая терапия.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Показания к аорто-коронарному шунтированию обычно следующие:</w:t>
      </w:r>
    </w:p>
    <w:p>
      <w:pPr>
        <w:pStyle w:val="Style30"/>
        <w:numPr>
          <w:ilvl w:val="0"/>
          <w:numId w:val="10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значительная степень окклюзии левой главной ко - ронарной артерии либо более чем одной из коро</w:t>
        <w:softHyphen/>
        <w:t>нарных ветвей;</w:t>
      </w:r>
    </w:p>
    <w:p>
      <w:pPr>
        <w:pStyle w:val="Style30"/>
        <w:numPr>
          <w:ilvl w:val="0"/>
          <w:numId w:val="10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значительная окклюзия проксимального участка левой передней нисходящей артерии и плохой коллатеральный кровоток.</w:t>
      </w:r>
    </w:p>
    <w:p>
      <w:pPr>
        <w:pStyle w:val="Style30"/>
        <w:numPr>
          <w:ilvl w:val="0"/>
          <w:numId w:val="9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аорто-коронарном шунтировании предпочтите</w:t>
        <w:softHyphen/>
        <w:t xml:space="preserve">лен аллографт из </w:t>
      </w:r>
      <w:r>
        <w:rPr>
          <w:lang w:val="en-US" w:eastAsia="en-US" w:bidi="en-US"/>
          <w:w w:val="100"/>
          <w:spacing w:val="0"/>
          <w:color w:val="000000"/>
          <w:position w:val="0"/>
        </w:rPr>
        <w:t xml:space="preserve">internal mammary artery, </w:t>
      </w:r>
      <w:r>
        <w:rPr>
          <w:lang w:val="ru-RU" w:eastAsia="ru-RU" w:bidi="ru-RU"/>
          <w:w w:val="100"/>
          <w:spacing w:val="0"/>
          <w:color w:val="000000"/>
          <w:position w:val="0"/>
        </w:rPr>
        <w:t>так как,</w:t>
        <w:br w:type="column"/>
        <w:t xml:space="preserve">в отличие от </w:t>
      </w:r>
      <w:r>
        <w:rPr>
          <w:lang w:val="en-US" w:eastAsia="en-US" w:bidi="en-US"/>
          <w:w w:val="100"/>
          <w:spacing w:val="0"/>
          <w:color w:val="000000"/>
          <w:position w:val="0"/>
        </w:rPr>
        <w:t xml:space="preserve">vena saphenous, </w:t>
      </w:r>
      <w:r>
        <w:rPr>
          <w:lang w:val="ru-RU" w:eastAsia="ru-RU" w:bidi="ru-RU"/>
          <w:w w:val="100"/>
          <w:spacing w:val="0"/>
          <w:color w:val="000000"/>
          <w:position w:val="0"/>
        </w:rPr>
        <w:t>он редко подвергается в дальнейшем атеросклеротической трансформации.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Рекомендуется продолжение наблюдения за всеми детьми, перенесшими болезнь Кавасаки, ввиду пред</w:t>
        <w:softHyphen/>
        <w:t>расположенности их к развитию атеросклероза коро</w:t>
        <w:softHyphen/>
        <w:t>нарных артерий в молодом возрасте.</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Курс аспирина можно закончить спустя 2 месяца от начала заболевания, если нет коронарных поврежде</w:t>
        <w:softHyphen/>
        <w:t>ний, документированных при эхокардиографии и/или коронарографии. Вакцинацию можно разре</w:t>
        <w:softHyphen/>
        <w:t>шить спустя 2 месяца.</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Для больных с кардиоваскулярными поражениями в дальнейшем целесообразно продолжение длительно - го лечения низкими дозами аспирина (5-10 мг/кг/сут), так как коронарный васкулит при болезни Кавасаки имеет хроническое течение и даже спустя много лет может привести к коронарному тромбозу, разрыву ко</w:t>
        <w:softHyphen/>
        <w:t>ронарных аневризм, фатальным аритмиям.</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Следует проводить тщательное наблюдение за паци</w:t>
        <w:softHyphen/>
        <w:t>ентами с выполнением ЭКГ, двухмерной эхокардио</w:t>
        <w:softHyphen/>
        <w:t xml:space="preserve">графии, стресс-теста либо холтеровского монитори- рования ЭКГ, сцинтиграфии миокарда с </w:t>
      </w:r>
      <w:r>
        <w:rPr>
          <w:lang w:val="en-US" w:eastAsia="en-US" w:bidi="en-US"/>
          <w:w w:val="100"/>
          <w:spacing w:val="0"/>
          <w:color w:val="000000"/>
          <w:position w:val="0"/>
        </w:rPr>
        <w:t xml:space="preserve">Tl-201, </w:t>
      </w:r>
      <w:r>
        <w:rPr>
          <w:lang w:val="ru-RU" w:eastAsia="ru-RU" w:bidi="ru-RU"/>
          <w:w w:val="100"/>
          <w:spacing w:val="0"/>
          <w:color w:val="000000"/>
          <w:position w:val="0"/>
        </w:rPr>
        <w:t>ко- ронарографии.</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Интервалы между исследованиями определяются ин</w:t>
        <w:softHyphen/>
        <w:t>дивидуально и могут варьировать от 1 недели до 6 мес.</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Физическая активность</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Как правило, нет показаний к ограничению физиче</w:t>
        <w:softHyphen/>
        <w:t>ской активности у больных с коронарными повреж</w:t>
        <w:softHyphen/>
        <w:t>дениями вне признаков венечной обструкции, хотя тяжелые спортивные нагрузки (марафон, борьба, штанга) нежелательны.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Прогноз</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Летальность при болезни Кавасаки составляла до применения человеческого внутривенного иммуно</w:t>
        <w:softHyphen/>
        <w:t>глобулина 2-3%.</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 современном этапе использование внутривенного человеческого иммуноглобулина позволило снизить летальность до 0,02-0,04%.</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38% смертельных исходов наблюдаются у детей от 6 до 12 мес, 68% — у детей младше 2-х лет, 78% — у де</w:t>
        <w:softHyphen/>
        <w:t>тей младше 3-х лет, 39% смертей в острой стадии при</w:t>
        <w:softHyphen/>
        <w:t>ходится на возраст младше 6 мес жизни.</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Причинами смерти больных на 1 -ой стадии являются миокардит и аритмии, на 2-ой стадии — недостаточ</w:t>
        <w:softHyphen/>
        <w:t>ность коронарного кровообращения, разрывы анев</w:t>
        <w:softHyphen/>
        <w:t>ризм коронарных артерий и миокардит, включая по</w:t>
        <w:softHyphen/>
        <w:t>ражения проводящей системы, на 3-ей и 4-ой стади</w:t>
        <w:softHyphen/>
        <w:t>ях ведущая причина — коронарная недостаточность.</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Максимальная смертность приходится на период 3-4 нед. от начала заболевания.</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отдаленные сроки смерть больных связана с окклю - зией коронарных сосудов, разрывом аневризм коро</w:t>
        <w:softHyphen/>
        <w:t>нарных артерий и образованием гемоперикарда.</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Частота синдрома внезапной сердечной смерти при болезни Кавасаки достигает 16,2%.</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Внезапная смерть обусловлена диффузным пораже</w:t>
        <w:softHyphen/>
        <w:t>нием проводящей системы с развитием фатальных аритмий или асистолии.</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sectPr>
          <w:pgSz w:w="11900" w:h="16840"/>
          <w:pgMar w:top="1579" w:left="1112" w:right="999" w:bottom="1809" w:header="0" w:footer="3" w:gutter="0"/>
          <w:rtlGutter w:val="0"/>
          <w:cols w:num="2" w:space="102"/>
          <w:noEndnote/>
          <w:docGrid w:linePitch="360"/>
        </w:sectPr>
      </w:pPr>
      <w:r>
        <w:rPr>
          <w:lang w:val="ru-RU" w:eastAsia="ru-RU" w:bidi="ru-RU"/>
          <w:w w:val="100"/>
          <w:spacing w:val="0"/>
          <w:color w:val="000000"/>
          <w:position w:val="0"/>
        </w:rPr>
        <w:t>Внезапная смерть от инфаркта миокарда может на</w:t>
        <w:softHyphen/>
        <w:t>ступить через много лет после перенесенного в дет</w:t>
        <w:softHyphen/>
        <w:t>стве заболевания.</w:t>
      </w:r>
    </w:p>
    <w:p>
      <w:pPr>
        <w:widowControl w:val="0"/>
        <w:rPr>
          <w:sz w:val="2"/>
          <w:szCs w:val="2"/>
        </w:rPr>
      </w:pPr>
      <w:r>
        <w:pict>
          <v:shape id="_x0000_s1562" type="#_x0000_t202" style="position:static;width:595.pt;height:66.0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73" w:left="0" w:right="0" w:bottom="192" w:header="0" w:footer="3" w:gutter="0"/>
          <w:rtlGutter w:val="0"/>
          <w:cols w:space="720"/>
          <w:noEndnote/>
          <w:docGrid w:linePitch="360"/>
        </w:sectPr>
      </w:pPr>
    </w:p>
    <w:p>
      <w:pPr>
        <w:widowControl w:val="0"/>
        <w:spacing w:line="645" w:lineRule="exact"/>
      </w:pPr>
      <w:r>
        <w:pict>
          <v:shape id="_x0000_s1563" type="#_x0000_t75" style="position:absolute;margin-left:152.65pt;margin-top:0;width:209.75pt;height:14.9pt;z-index:-251658672;mso-wrap-distance-left:5.pt;mso-wrap-distance-right:5.pt;mso-position-horizontal-relative:margin" wrapcoords="0 0">
            <v:imagedata r:id="rId893" r:href="rId894"/>
            <w10:wrap anchorx="margin"/>
          </v:shape>
        </w:pict>
      </w:r>
    </w:p>
    <w:p>
      <w:pPr>
        <w:widowControl w:val="0"/>
        <w:rPr>
          <w:sz w:val="2"/>
          <w:szCs w:val="2"/>
        </w:rPr>
        <w:sectPr>
          <w:type w:val="continuous"/>
          <w:pgSz w:w="11900" w:h="16840"/>
          <w:pgMar w:top="1473" w:left="898" w:right="1119" w:bottom="192" w:header="0" w:footer="3" w:gutter="0"/>
          <w:rtlGutter w:val="0"/>
          <w:cols w:space="720"/>
          <w:noEndnote/>
          <w:docGrid w:linePitch="360"/>
        </w:sectPr>
      </w:pPr>
    </w:p>
    <w:p>
      <w:pPr>
        <w:pStyle w:val="Style5"/>
        <w:widowControl w:val="0"/>
        <w:keepNext w:val="0"/>
        <w:keepLines w:val="0"/>
        <w:shd w:val="clear" w:color="auto" w:fill="auto"/>
        <w:bidi w:val="0"/>
        <w:jc w:val="left"/>
        <w:spacing w:before="0" w:after="274" w:line="340" w:lineRule="exact"/>
        <w:ind w:left="2060" w:right="0" w:firstLine="0"/>
      </w:pPr>
      <w:r>
        <w:rPr>
          <w:rStyle w:val="CharStyle147"/>
          <w:b/>
          <w:bCs/>
        </w:rPr>
        <w:t>Глава VIII</w:t>
      </w:r>
    </w:p>
    <w:p>
      <w:pPr>
        <w:pStyle w:val="Style15"/>
        <w:widowControl w:val="0"/>
        <w:keepNext/>
        <w:keepLines/>
        <w:shd w:val="clear" w:color="auto" w:fill="auto"/>
        <w:bidi w:val="0"/>
        <w:jc w:val="left"/>
        <w:spacing w:before="0" w:after="0" w:line="340" w:lineRule="exact"/>
        <w:ind w:left="2060" w:right="0" w:firstLine="0"/>
        <w:sectPr>
          <w:headerReference w:type="even" r:id="rId895"/>
          <w:headerReference w:type="default" r:id="rId896"/>
          <w:headerReference w:type="first" r:id="rId897"/>
          <w:pgSz w:w="11900" w:h="16840"/>
          <w:pgMar w:top="1829" w:left="1359" w:right="898" w:bottom="207" w:header="0" w:footer="3" w:gutter="0"/>
          <w:rtlGutter w:val="0"/>
          <w:cols w:space="720"/>
          <w:noEndnote/>
          <w:docGrid w:linePitch="360"/>
        </w:sectPr>
      </w:pPr>
      <w:bookmarkStart w:id="552" w:name="bookmark552"/>
      <w:r>
        <w:rPr>
          <w:rStyle w:val="CharStyle148"/>
          <w:b/>
          <w:bCs/>
        </w:rPr>
        <w:t>ЛЕГОЧНАЯ ГИПЕРТЕНЗИЯ</w:t>
      </w:r>
      <w:bookmarkEnd w:id="552"/>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29" w:after="29" w:line="240" w:lineRule="exact"/>
        <w:rPr>
          <w:sz w:val="19"/>
          <w:szCs w:val="19"/>
        </w:rPr>
      </w:pPr>
    </w:p>
    <w:p>
      <w:pPr>
        <w:widowControl w:val="0"/>
        <w:rPr>
          <w:sz w:val="2"/>
          <w:szCs w:val="2"/>
        </w:rPr>
        <w:sectPr>
          <w:type w:val="continuous"/>
          <w:pgSz w:w="11900" w:h="16840"/>
          <w:pgMar w:top="1574" w:left="0" w:right="0" w:bottom="1752" w:header="0" w:footer="3" w:gutter="0"/>
          <w:rtlGutter w:val="0"/>
          <w:cols w:space="720"/>
          <w:noEndnote/>
          <w:docGrid w:linePitch="360"/>
        </w:sectPr>
      </w:pPr>
    </w:p>
    <w:p>
      <w:pPr>
        <w:widowControl w:val="0"/>
        <w:rPr>
          <w:sz w:val="2"/>
          <w:szCs w:val="2"/>
        </w:rPr>
      </w:pPr>
      <w:r>
        <w:pict>
          <v:shape id="_x0000_s1566" type="#_x0000_t75" style="position:absolute;margin-left:139.4pt;margin-top:608.65pt;width:209.75pt;height:14.9pt;z-index:-125829017;mso-wrap-distance-left:124.8pt;mso-wrap-distance-right:147.85pt;mso-wrap-distance-bottom:10.8pt;mso-position-horizontal-relative:margin" wrapcoords="0 0 21600 0 21600 21600 0 21600 0 0">
            <v:imagedata r:id="rId898" r:href="rId899"/>
            <w10:wrap type="topAndBottom" anchorx="margin"/>
          </v:shape>
        </w:pict>
      </w:r>
    </w:p>
    <w:p>
      <w:pPr>
        <w:pStyle w:val="Style92"/>
        <w:widowControl w:val="0"/>
        <w:keepNext/>
        <w:keepLines/>
        <w:shd w:val="clear" w:color="auto" w:fill="auto"/>
        <w:bidi w:val="0"/>
        <w:spacing w:before="0" w:after="0"/>
        <w:ind w:left="280" w:right="0"/>
      </w:pPr>
      <w:bookmarkStart w:id="553" w:name="bookmark553"/>
      <w:r>
        <w:rPr>
          <w:lang w:val="ru-RU" w:eastAsia="ru-RU" w:bidi="ru-RU"/>
          <w:w w:val="100"/>
          <w:spacing w:val="0"/>
          <w:color w:val="000000"/>
          <w:position w:val="0"/>
        </w:rPr>
        <w:t>Введение</w:t>
      </w:r>
      <w:bookmarkEnd w:id="553"/>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Легочная гипертензия — состояние, при котором среднее давление в легочной артерии в покое превы</w:t>
        <w:softHyphen/>
        <w:t>шает 25 мм рт. ст. Различают артериальную (при ней капиллярное давление или давление в левом предсер - дии менее 15 мм рт. ст.), венозную и смешанную фор</w:t>
        <w:softHyphen/>
        <w:t>мы (при этих формах повышено капиллярное давле</w:t>
        <w:softHyphen/>
        <w:t>ние и в левом предсердии) гипертензии. Повышение давления в малом круге кровообращения представля</w:t>
        <w:softHyphen/>
        <w:t>ет собой частое явление и наблюдается при многих заболеваниях сердечно-сосудистой системы и аппа</w:t>
        <w:softHyphen/>
        <w:t>рата внешнего дыхания. Легочная гемодинамика оп</w:t>
        <w:softHyphen/>
        <w:t>ределяет исход большинства сердечно-сосудистых за</w:t>
        <w:softHyphen/>
        <w:t>болеваний, развитие высокой легочной гипертензии, как правило, характеризует неблагоприятный про</w:t>
        <w:softHyphen/>
        <w:t>гноз. По этой причине ранняя диагностика легочной гипертензии имеет весьма актуальное значение.</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развитии легочной гипертензии можно выделить три стадии заболевания.</w:t>
      </w:r>
    </w:p>
    <w:p>
      <w:pPr>
        <w:pStyle w:val="Style30"/>
        <w:numPr>
          <w:ilvl w:val="0"/>
          <w:numId w:val="9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 1 стадии увеличенное легочное давление является единственной гемодинамической аномалией, боль</w:t>
        <w:softHyphen/>
        <w:t>ные не имеют отчетливых симптомов заболевания, может отмечаться одышка при физической нагрузке, которая часто не настораживает врачей и больного на наличие данного заболевания и, как правило, свя</w:t>
        <w:softHyphen/>
        <w:t>зывается с детренированностью организма.</w:t>
      </w:r>
    </w:p>
    <w:p>
      <w:pPr>
        <w:pStyle w:val="Style30"/>
        <w:numPr>
          <w:ilvl w:val="0"/>
          <w:numId w:val="9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Когда происходит уменьшение сердечного выбро</w:t>
        <w:softHyphen/>
        <w:t>са (2 стадия), появляется развернутая клиническая симптоматика в виде гипоксемии, одышки, син</w:t>
        <w:softHyphen/>
        <w:t>копе, давление в легочной артерии сохраняется на стабильно высоком уровне.</w:t>
      </w:r>
    </w:p>
    <w:p>
      <w:pPr>
        <w:pStyle w:val="Style30"/>
        <w:numPr>
          <w:ilvl w:val="0"/>
          <w:numId w:val="9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 появлением правожелудочковой недостаточнос</w:t>
        <w:softHyphen/>
        <w:t>ти наступает 3 стадия заболевания: при этом, не</w:t>
        <w:softHyphen/>
        <w:t>смотря на стабильно высокие значения легочного давления, резко падает сердечный выброс, появля</w:t>
        <w:softHyphen/>
        <w:t>ются венозный застой и периферические отеки. Продолжительность каждой стадии может быть различной.</w:t>
      </w:r>
    </w:p>
    <w:p>
      <w:pPr>
        <w:pStyle w:val="Style30"/>
        <w:numPr>
          <w:ilvl w:val="0"/>
          <w:numId w:val="9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одних больных болезнь протекает быстро, от ста</w:t>
        <w:softHyphen/>
        <w:t>дии минимальных гемодинамических изменений до летального исхода проходит не более 6 мес. В других случаях этот период достигает 6 лет и бо</w:t>
        <w:softHyphen/>
        <w:t>лее. Следовательно, течение легочной гипертензии может быть острым и хроническим; быстро, уме</w:t>
        <w:softHyphen/>
        <w:t>ренно и медленно прогрессирующим.</w:t>
      </w:r>
    </w:p>
    <w:p>
      <w:pPr>
        <w:pStyle w:val="Style30"/>
        <w:numPr>
          <w:ilvl w:val="0"/>
          <w:numId w:val="99"/>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Известны случаи спонтанного регресса заболева</w:t>
        <w:softHyphen/>
        <w:t>ния, однако они наблюдаются редко.</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Анатомические особенности легочного кровообращения</w:t>
      </w:r>
    </w:p>
    <w:p>
      <w:pPr>
        <w:pStyle w:val="Style30"/>
        <w:numPr>
          <w:ilvl w:val="0"/>
          <w:numId w:val="9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Переход от плацентарного кислородного обмена к легочному требует включения сложной системы ре -</w:t>
        <w:br w:type="column"/>
        <w:t>гуляции циркуляции, при этом перемены в легочной гемодинамике определяют жизнедеятельность и вы</w:t>
        <w:softHyphen/>
        <w:t>живание новорожденного. После рождения ребенка происходит сложный процесс перестройки легочной и системной гемодинамики.</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течение первых часов жизни происходит функцио - нальное закрытие артериального протока, а в течение нескольких минут после рождения закрывается овальное окно. Одновременно расширяется сосудис</w:t>
        <w:softHyphen/>
        <w:t>тое ложе легких, уменьшается легочное сосудистое сопротивление, кровоток в малом круге кровообра</w:t>
        <w:softHyphen/>
        <w:t>щения увеличивается с 1-15% внутриутробно до нор</w:t>
        <w:softHyphen/>
        <w:t>мальных величин.</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Строение сосудов малого круга — артерий, капилля</w:t>
        <w:softHyphen/>
        <w:t>ров и вен — у детей значительно отличается от струк</w:t>
        <w:softHyphen/>
        <w:t>туры соответствующих сосудов большого круга. Ле</w:t>
        <w:softHyphen/>
        <w:t>гочные артерии в связи со слаборазвитым мышечным слоем и малым количеством коллагеновых волокон обладают большой растяжимостью, что обусловлива</w:t>
        <w:softHyphen/>
        <w:t>ет во много раз меньшее сосудистое сопротивление малого круга по сравнению с сопротивлением сосу</w:t>
        <w:softHyphen/>
        <w:t>дистой системы большого круга. С другой стороны, в патологических условиях активное сокращение со</w:t>
        <w:softHyphen/>
        <w:t>судов малого кровообращения может обусловить зна</w:t>
        <w:softHyphen/>
        <w:t>чительное повышение давления в легочной артерии. При этом уровень легочного артериального давления в большей степени определяется тонусом мелких ар</w:t>
        <w:softHyphen/>
        <w:t>терий, а не артериол, поскольку последние, в проти</w:t>
        <w:softHyphen/>
        <w:t>воположность артериолам большого круга, имеют слабую мускулатуру.</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Легочные вены, напротив, менее растяжимы по срав</w:t>
        <w:softHyphen/>
        <w:t>нению с соответствующими венозными сосудами большого круга. Вследствие этого, а также в связи с отсутствием клапанов в легочных венах и относи</w:t>
        <w:softHyphen/>
        <w:t>тельно широкими капиллярами легких первично воз</w:t>
        <w:softHyphen/>
        <w:t>никающее повышение давления в венозном отделе малого круга легко передается на его капиллярную сеть и артериальную систему.</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Физиология малого круга кровообращения</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повышении давления в малом круге рефлектор- но возникают изменения кровообращения в большом круге («разгрузочный» рефлекс Парина). Данный ре</w:t>
        <w:softHyphen/>
        <w:t>флекс осуществляет снижение венозного притока к легким (замедление ЧСС, уменьшение артериаль</w:t>
        <w:softHyphen/>
        <w:t>ного давления в большом круге кровообращения, увеличение объема селезенки).</w:t>
      </w:r>
    </w:p>
    <w:p>
      <w:pPr>
        <w:pStyle w:val="Style30"/>
        <w:numPr>
          <w:ilvl w:val="0"/>
          <w:numId w:val="9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Рефлекс Китаева обусловливает повышение давле</w:t>
        <w:softHyphen/>
        <w:t>ния в легочной артерии при повышении давления в левом предсердии. Давление в легочной артерии в 5-6 раз меньше давления в аорте.</w:t>
      </w:r>
      <w:r>
        <w:br w:type="page"/>
      </w:r>
    </w:p>
    <w:p>
      <w:pPr>
        <w:pStyle w:val="Style30"/>
        <w:numPr>
          <w:ilvl w:val="0"/>
          <w:numId w:val="99"/>
        </w:numPr>
        <w:tabs>
          <w:tab w:leader="none" w:pos="515" w:val="left"/>
        </w:tabs>
        <w:widowControl w:val="0"/>
        <w:keepNext w:val="0"/>
        <w:keepLines w:val="0"/>
        <w:shd w:val="clear" w:color="auto" w:fill="auto"/>
        <w:bidi w:val="0"/>
        <w:spacing w:before="0" w:after="0"/>
        <w:ind w:left="500" w:right="0" w:hanging="220"/>
      </w:pPr>
      <w:r>
        <w:pict>
          <v:shape id="_x0000_s1567" type="#_x0000_t202" style="position:absolute;margin-left:0.25pt;margin-top:378.pt;width:240.7pt;height:5.e-002pt;z-index:-125829016;mso-wrap-distance-left:5.pt;mso-wrap-distance-right:5.pt;mso-wrap-distance-bottom:63.6pt;mso-position-horizontal-relative:margin;mso-position-vertical-relative:margin" filled="f" stroked="f">
            <v:textbox style="mso-fit-shape-to-text:t" inset="0,0,0,0">
              <w:txbxContent>
                <w:p>
                  <w:pPr>
                    <w:pStyle w:val="Style139"/>
                    <w:widowControl w:val="0"/>
                    <w:keepNext w:val="0"/>
                    <w:keepLines w:val="0"/>
                    <w:shd w:val="clear" w:color="auto" w:fill="auto"/>
                    <w:bidi w:val="0"/>
                    <w:spacing w:before="0" w:after="0" w:line="216" w:lineRule="exact"/>
                    <w:ind w:left="0" w:right="0" w:firstLine="0"/>
                  </w:pPr>
                  <w:r>
                    <w:rPr>
                      <w:rStyle w:val="CharStyle150"/>
                      <w:b/>
                      <w:bCs/>
                      <w:i/>
                      <w:iCs/>
                    </w:rPr>
                    <w:t>Таблица 22</w:t>
                  </w:r>
                </w:p>
                <w:tbl>
                  <w:tblPr>
                    <w:tblOverlap w:val="never"/>
                    <w:tblLayout w:type="fixed"/>
                    <w:jc w:val="center"/>
                  </w:tblPr>
                  <w:tblGrid>
                    <w:gridCol w:w="782"/>
                    <w:gridCol w:w="2011"/>
                    <w:gridCol w:w="2021"/>
                  </w:tblGrid>
                  <w:tr>
                    <w:trPr>
                      <w:trHeight w:val="432"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Возраст</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Систолическое давление (мм рт. ст.)</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Диастолическое давление (мм рт. ст.)</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 мин</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80</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26</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20 мин</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49</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20</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30 мин</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62</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22</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40 мин</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60</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22</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60 мин</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59</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20</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90 мин</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52</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16</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150 мин</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52</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16</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180 мин</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51</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16</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4 час</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47</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15</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 час</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44</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15</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 час</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36</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11</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24 час</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32</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11</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 суток</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35</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 суток</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35</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 мес.</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33</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 год</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32</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 лет</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30</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 лет</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30</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Взрослые</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25</w:t>
                        </w:r>
                      </w:p>
                    </w:tc>
                    <w:tc>
                      <w:tcPr>
                        <w:shd w:val="clear" w:color="auto" w:fill="FFFFFF"/>
                        <w:tcBorders>
                          <w:left w:val="single" w:sz="4"/>
                          <w:right w:val="single" w:sz="4"/>
                          <w:top w:val="single" w:sz="4"/>
                          <w:bottom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6</w:t>
                        </w:r>
                      </w:p>
                    </w:tc>
                  </w:tr>
                </w:tbl>
                <w:p>
                  <w:pPr>
                    <w:widowControl w:val="0"/>
                    <w:rPr>
                      <w:sz w:val="2"/>
                      <w:szCs w:val="2"/>
                    </w:rPr>
                  </w:pPr>
                </w:p>
              </w:txbxContent>
            </v:textbox>
            <w10:wrap type="square" side="right" anchorx="margin" anchory="margin"/>
          </v:shape>
        </w:pict>
      </w:r>
      <w:r>
        <w:rPr>
          <w:lang w:val="ru-RU" w:eastAsia="ru-RU" w:bidi="ru-RU"/>
          <w:w w:val="100"/>
          <w:spacing w:val="0"/>
          <w:color w:val="000000"/>
          <w:position w:val="0"/>
        </w:rPr>
        <w:t>Легкие выполняют активную метаболическую функ</w:t>
        <w:softHyphen/>
        <w:t>цию: они захватывают, инактивируют или активиру</w:t>
        <w:softHyphen/>
        <w:t>ют циркулирующие биологически активные соедине</w:t>
        <w:softHyphen/>
        <w:t>ния, а также синтезируют или освобождают их. По</w:t>
        <w:softHyphen/>
        <w:t>средством этого механизма осуществляется регуля</w:t>
        <w:softHyphen/>
        <w:t>ция сосудистого и бронхиального тонуса, легочный кровоток. Метаболизм некоторых биологических со</w:t>
        <w:softHyphen/>
        <w:t>единений в легких сопряжен с их активацией и появ</w:t>
        <w:softHyphen/>
        <w:t>лением новых физиологических свойств.</w:t>
      </w:r>
    </w:p>
    <w:p>
      <w:pPr>
        <w:pStyle w:val="Style30"/>
        <w:numPr>
          <w:ilvl w:val="0"/>
          <w:numId w:val="9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Большую роль в регуляции легочного артериального давления оказывают нейрогуморальные воздей</w:t>
        <w:softHyphen/>
        <w:t>ствия. Симпатические импульсы вызывают кон- стрикторную реакцию в артериальном и венозном отделах малого круга. Вагусные импульсы расширя</w:t>
        <w:softHyphen/>
        <w:t>ют легочные сосуды, в особенности при повышен</w:t>
        <w:softHyphen/>
        <w:t>ном их тонусе в исходном состоянии. В норме через легкие экстрагируется около 25% циркулирующего норадреналина.</w:t>
      </w:r>
    </w:p>
    <w:p>
      <w:pPr>
        <w:pStyle w:val="Style30"/>
        <w:numPr>
          <w:ilvl w:val="0"/>
          <w:numId w:val="9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Легочная вазоконстрикция может возникать вслед</w:t>
        <w:softHyphen/>
        <w:t>ствие нарушения метаболизма арахидоновой кисло</w:t>
        <w:softHyphen/>
        <w:t>ты, субстраты которой (простагландины, лейкотри- ены) принимают непосредственное участие в регу</w:t>
        <w:softHyphen/>
        <w:t xml:space="preserve">ляции сосудистого тонуса. Легкие инактивируют около 90% простагландинов (ПГ) серий Е1 и </w:t>
      </w:r>
      <w:r>
        <w:rPr>
          <w:lang w:val="en-US" w:eastAsia="en-US" w:bidi="en-US"/>
          <w:w w:val="100"/>
          <w:spacing w:val="0"/>
          <w:color w:val="000000"/>
          <w:position w:val="0"/>
        </w:rPr>
        <w:t xml:space="preserve">F2 </w:t>
      </w:r>
      <w:r>
        <w:rPr>
          <w:lang w:val="ru-RU" w:eastAsia="ru-RU" w:bidi="ru-RU"/>
          <w:w w:val="100"/>
          <w:spacing w:val="0"/>
          <w:color w:val="000000"/>
          <w:position w:val="0"/>
        </w:rPr>
        <w:t>и не оказывают влияния на циркулирующие ПГ А2 и простациклин. Простагландины с вазодилатирую- щими свойствами и простациклин, освобождаемые при гипервентиляции, способствуют увеличению легочного кровотока. Простагландины с констрик- торными свойствами являются медиаторами вазо- констрикции при гипоксии, усиливают агрегацию тромбоцитов.</w:t>
      </w:r>
    </w:p>
    <w:p>
      <w:pPr>
        <w:pStyle w:val="Style30"/>
        <w:numPr>
          <w:ilvl w:val="0"/>
          <w:numId w:val="9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табл. 22 представлены показатели давления в легоч</w:t>
        <w:softHyphen/>
        <w:t>ной артерии у здоровых детей.</w:t>
      </w:r>
    </w:p>
    <w:p>
      <w:pPr>
        <w:pStyle w:val="Style30"/>
        <w:widowControl w:val="0"/>
        <w:keepNext w:val="0"/>
        <w:keepLines w:val="0"/>
        <w:shd w:val="clear" w:color="auto" w:fill="auto"/>
        <w:bidi w:val="0"/>
        <w:jc w:val="center"/>
        <w:spacing w:before="0" w:after="0"/>
        <w:ind w:left="20" w:right="0" w:firstLine="0"/>
      </w:pPr>
      <w:r>
        <w:rPr>
          <w:lang w:val="ru-RU" w:eastAsia="ru-RU" w:bidi="ru-RU"/>
          <w:w w:val="100"/>
          <w:spacing w:val="0"/>
          <w:color w:val="000000"/>
          <w:position w:val="0"/>
        </w:rPr>
        <w:t>Показатели легочного артериального давления</w:t>
        <w:br/>
        <w:t>у здоровых детей (Зернов с соавт.)</w:t>
      </w:r>
    </w:p>
    <w:p>
      <w:pPr>
        <w:pStyle w:val="Style92"/>
        <w:widowControl w:val="0"/>
        <w:keepNext/>
        <w:keepLines/>
        <w:shd w:val="clear" w:color="auto" w:fill="auto"/>
        <w:bidi w:val="0"/>
        <w:spacing w:before="0" w:after="0" w:line="211" w:lineRule="exact"/>
        <w:ind w:left="520" w:right="0" w:hanging="240"/>
      </w:pPr>
      <w:r>
        <w:br w:type="column"/>
      </w:r>
      <w:bookmarkStart w:id="554" w:name="bookmark554"/>
      <w:r>
        <w:rPr>
          <w:lang w:val="ru-RU" w:eastAsia="ru-RU" w:bidi="ru-RU"/>
          <w:w w:val="100"/>
          <w:spacing w:val="0"/>
          <w:color w:val="000000"/>
          <w:position w:val="0"/>
        </w:rPr>
        <w:t>Классификация легочной гипертензии</w:t>
      </w:r>
      <w:bookmarkEnd w:id="554"/>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Согласно классификации Всемирной Организации Здравоохранения (ВОЗ, 1998) выделяют следующие формы легочной гипертензии:</w:t>
      </w:r>
    </w:p>
    <w:p>
      <w:pPr>
        <w:pStyle w:val="Style30"/>
        <w:numPr>
          <w:ilvl w:val="0"/>
          <w:numId w:val="107"/>
        </w:numPr>
        <w:tabs>
          <w:tab w:leader="none" w:pos="576"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Легочная артериальная гипертензия.</w:t>
      </w:r>
    </w:p>
    <w:p>
      <w:pPr>
        <w:pStyle w:val="Style30"/>
        <w:numPr>
          <w:ilvl w:val="1"/>
          <w:numId w:val="107"/>
        </w:numPr>
        <w:tabs>
          <w:tab w:leader="none" w:pos="710"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Первичная легочная гипертензия:</w:t>
      </w:r>
    </w:p>
    <w:p>
      <w:pPr>
        <w:pStyle w:val="Style30"/>
        <w:numPr>
          <w:ilvl w:val="2"/>
          <w:numId w:val="107"/>
        </w:numPr>
        <w:tabs>
          <w:tab w:leader="none" w:pos="84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Спорадическая.</w:t>
      </w:r>
    </w:p>
    <w:p>
      <w:pPr>
        <w:pStyle w:val="Style30"/>
        <w:numPr>
          <w:ilvl w:val="2"/>
          <w:numId w:val="107"/>
        </w:numPr>
        <w:tabs>
          <w:tab w:leader="none" w:pos="84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Семейная.</w:t>
      </w:r>
    </w:p>
    <w:p>
      <w:pPr>
        <w:pStyle w:val="Style30"/>
        <w:numPr>
          <w:ilvl w:val="1"/>
          <w:numId w:val="107"/>
        </w:numPr>
        <w:tabs>
          <w:tab w:leader="none" w:pos="84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Имеющая отношение к:</w:t>
      </w:r>
    </w:p>
    <w:p>
      <w:pPr>
        <w:pStyle w:val="Style30"/>
        <w:numPr>
          <w:ilvl w:val="2"/>
          <w:numId w:val="107"/>
        </w:numPr>
        <w:tabs>
          <w:tab w:leader="none" w:pos="84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Коллагеновое сосудистое заболевание.</w:t>
      </w:r>
    </w:p>
    <w:p>
      <w:pPr>
        <w:pStyle w:val="Style30"/>
        <w:numPr>
          <w:ilvl w:val="2"/>
          <w:numId w:val="107"/>
        </w:numPr>
        <w:tabs>
          <w:tab w:leader="none" w:pos="828"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Врожденный шунт между системным и легочным кровообращением.</w:t>
      </w:r>
    </w:p>
    <w:p>
      <w:pPr>
        <w:pStyle w:val="Style30"/>
        <w:numPr>
          <w:ilvl w:val="2"/>
          <w:numId w:val="107"/>
        </w:numPr>
        <w:tabs>
          <w:tab w:leader="none" w:pos="84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Портальная гипертензия.</w:t>
      </w:r>
    </w:p>
    <w:p>
      <w:pPr>
        <w:pStyle w:val="Style30"/>
        <w:numPr>
          <w:ilvl w:val="2"/>
          <w:numId w:val="107"/>
        </w:numPr>
        <w:tabs>
          <w:tab w:leader="none" w:pos="84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ВИЧ-инфекция.</w:t>
      </w:r>
    </w:p>
    <w:p>
      <w:pPr>
        <w:pStyle w:val="Style30"/>
        <w:numPr>
          <w:ilvl w:val="2"/>
          <w:numId w:val="107"/>
        </w:numPr>
        <w:tabs>
          <w:tab w:leader="none" w:pos="84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Лекарства/токсины:</w:t>
      </w:r>
    </w:p>
    <w:p>
      <w:pPr>
        <w:pStyle w:val="Style30"/>
        <w:numPr>
          <w:ilvl w:val="3"/>
          <w:numId w:val="107"/>
        </w:numPr>
        <w:tabs>
          <w:tab w:leader="none" w:pos="984"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Анорексики.</w:t>
      </w:r>
    </w:p>
    <w:p>
      <w:pPr>
        <w:pStyle w:val="Style30"/>
        <w:numPr>
          <w:ilvl w:val="3"/>
          <w:numId w:val="107"/>
        </w:numPr>
        <w:tabs>
          <w:tab w:leader="none" w:pos="988"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Другие.</w:t>
      </w:r>
    </w:p>
    <w:p>
      <w:pPr>
        <w:pStyle w:val="Style30"/>
        <w:numPr>
          <w:ilvl w:val="1"/>
          <w:numId w:val="107"/>
        </w:numPr>
        <w:tabs>
          <w:tab w:leader="none" w:pos="704"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Персистирующая легочная гипертензия новорож</w:t>
        <w:softHyphen/>
        <w:t>денных.</w:t>
      </w:r>
    </w:p>
    <w:p>
      <w:pPr>
        <w:pStyle w:val="Style30"/>
        <w:numPr>
          <w:ilvl w:val="1"/>
          <w:numId w:val="107"/>
        </w:numPr>
        <w:tabs>
          <w:tab w:leader="none" w:pos="715"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Другие.</w:t>
      </w:r>
    </w:p>
    <w:p>
      <w:pPr>
        <w:pStyle w:val="Style30"/>
        <w:numPr>
          <w:ilvl w:val="0"/>
          <w:numId w:val="107"/>
        </w:numPr>
        <w:tabs>
          <w:tab w:leader="none" w:pos="595"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Легочная венозная гипертензия.</w:t>
      </w:r>
    </w:p>
    <w:p>
      <w:pPr>
        <w:pStyle w:val="Style30"/>
        <w:numPr>
          <w:ilvl w:val="1"/>
          <w:numId w:val="107"/>
        </w:numPr>
        <w:tabs>
          <w:tab w:leader="none" w:pos="72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Патология левого предсердия или левого желудочка.</w:t>
      </w:r>
    </w:p>
    <w:p>
      <w:pPr>
        <w:pStyle w:val="Style30"/>
        <w:numPr>
          <w:ilvl w:val="1"/>
          <w:numId w:val="107"/>
        </w:numPr>
        <w:tabs>
          <w:tab w:leader="none" w:pos="704"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Левосторонняя болезнь клапанов (митрального и/или аортального).</w:t>
      </w:r>
    </w:p>
    <w:p>
      <w:pPr>
        <w:pStyle w:val="Style30"/>
        <w:numPr>
          <w:ilvl w:val="1"/>
          <w:numId w:val="107"/>
        </w:numPr>
        <w:tabs>
          <w:tab w:leader="none" w:pos="73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Наружная компрессия центральных легочных вен:</w:t>
      </w:r>
    </w:p>
    <w:p>
      <w:pPr>
        <w:pStyle w:val="Style30"/>
        <w:numPr>
          <w:ilvl w:val="2"/>
          <w:numId w:val="107"/>
        </w:numPr>
        <w:tabs>
          <w:tab w:leader="none" w:pos="864"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Фиброзирующий медиастинит.</w:t>
      </w:r>
    </w:p>
    <w:p>
      <w:pPr>
        <w:pStyle w:val="Style30"/>
        <w:numPr>
          <w:ilvl w:val="2"/>
          <w:numId w:val="107"/>
        </w:numPr>
        <w:tabs>
          <w:tab w:leader="none" w:pos="864"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Аденопатия/опухоль.</w:t>
      </w:r>
    </w:p>
    <w:p>
      <w:pPr>
        <w:pStyle w:val="Style30"/>
        <w:numPr>
          <w:ilvl w:val="1"/>
          <w:numId w:val="107"/>
        </w:numPr>
        <w:tabs>
          <w:tab w:leader="none" w:pos="72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Легочное веноокклюзивное заболевание.</w:t>
      </w:r>
    </w:p>
    <w:p>
      <w:pPr>
        <w:pStyle w:val="Style30"/>
        <w:numPr>
          <w:ilvl w:val="1"/>
          <w:numId w:val="107"/>
        </w:numPr>
        <w:tabs>
          <w:tab w:leader="none" w:pos="72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Другие.</w:t>
      </w:r>
    </w:p>
    <w:p>
      <w:pPr>
        <w:pStyle w:val="Style30"/>
        <w:numPr>
          <w:ilvl w:val="0"/>
          <w:numId w:val="107"/>
        </w:numPr>
        <w:tabs>
          <w:tab w:leader="none" w:pos="569"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Легочная гипертензия, обусловленная нарушением дыхательной системы и/или гипоксемией.</w:t>
      </w:r>
    </w:p>
    <w:p>
      <w:pPr>
        <w:pStyle w:val="Style30"/>
        <w:numPr>
          <w:ilvl w:val="1"/>
          <w:numId w:val="107"/>
        </w:numPr>
        <w:tabs>
          <w:tab w:leader="none" w:pos="72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Хроническое обструктивное легочное заболевание.</w:t>
      </w:r>
    </w:p>
    <w:p>
      <w:pPr>
        <w:pStyle w:val="Style30"/>
        <w:numPr>
          <w:ilvl w:val="1"/>
          <w:numId w:val="107"/>
        </w:numPr>
        <w:tabs>
          <w:tab w:leader="none" w:pos="72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Интерстициальная болезнь легких.</w:t>
      </w:r>
    </w:p>
    <w:p>
      <w:pPr>
        <w:pStyle w:val="Style30"/>
        <w:numPr>
          <w:ilvl w:val="1"/>
          <w:numId w:val="107"/>
        </w:numPr>
        <w:tabs>
          <w:tab w:leader="none" w:pos="72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Нарушение дыхания во сне.</w:t>
      </w:r>
    </w:p>
    <w:p>
      <w:pPr>
        <w:pStyle w:val="Style30"/>
        <w:numPr>
          <w:ilvl w:val="1"/>
          <w:numId w:val="107"/>
        </w:numPr>
        <w:tabs>
          <w:tab w:leader="none" w:pos="694"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Расстройства, обусловленные альвеолярной гипо</w:t>
        <w:softHyphen/>
        <w:t>вентиляцией.</w:t>
      </w:r>
    </w:p>
    <w:p>
      <w:pPr>
        <w:pStyle w:val="Style30"/>
        <w:numPr>
          <w:ilvl w:val="1"/>
          <w:numId w:val="107"/>
        </w:numPr>
        <w:tabs>
          <w:tab w:leader="none" w:pos="72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Длительное проживание на высокогорье.</w:t>
      </w:r>
    </w:p>
    <w:p>
      <w:pPr>
        <w:pStyle w:val="Style30"/>
        <w:numPr>
          <w:ilvl w:val="1"/>
          <w:numId w:val="107"/>
        </w:numPr>
        <w:tabs>
          <w:tab w:leader="none" w:pos="72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Неонатальная болезнь легких.</w:t>
      </w:r>
    </w:p>
    <w:p>
      <w:pPr>
        <w:pStyle w:val="Style30"/>
        <w:numPr>
          <w:ilvl w:val="1"/>
          <w:numId w:val="107"/>
        </w:numPr>
        <w:tabs>
          <w:tab w:leader="none" w:pos="72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Альвеолокапиллярная дисплазия.</w:t>
      </w:r>
    </w:p>
    <w:p>
      <w:pPr>
        <w:pStyle w:val="Style30"/>
        <w:numPr>
          <w:ilvl w:val="1"/>
          <w:numId w:val="107"/>
        </w:numPr>
        <w:tabs>
          <w:tab w:leader="none" w:pos="729"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Другие.</w:t>
      </w:r>
    </w:p>
    <w:p>
      <w:pPr>
        <w:pStyle w:val="Style30"/>
        <w:numPr>
          <w:ilvl w:val="0"/>
          <w:numId w:val="107"/>
        </w:numPr>
        <w:tabs>
          <w:tab w:leader="none" w:pos="564"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Легочная гипертензия, обусловленная хронической тромботической и/или эмболической болезнью.</w:t>
      </w:r>
    </w:p>
    <w:p>
      <w:pPr>
        <w:pStyle w:val="Style30"/>
        <w:numPr>
          <w:ilvl w:val="1"/>
          <w:numId w:val="107"/>
        </w:numPr>
        <w:tabs>
          <w:tab w:leader="none" w:pos="704"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Тромбоэмболическая обструкция проксимальных легочных артерий.</w:t>
      </w:r>
    </w:p>
    <w:p>
      <w:pPr>
        <w:pStyle w:val="Style30"/>
        <w:numPr>
          <w:ilvl w:val="1"/>
          <w:numId w:val="107"/>
        </w:numPr>
        <w:tabs>
          <w:tab w:leader="none" w:pos="734"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Обструкция дистальных легочных артерий:</w:t>
      </w:r>
    </w:p>
    <w:p>
      <w:pPr>
        <w:pStyle w:val="Style30"/>
        <w:numPr>
          <w:ilvl w:val="2"/>
          <w:numId w:val="107"/>
        </w:numPr>
        <w:tabs>
          <w:tab w:leader="none" w:pos="828"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Легочная эмболия (тромбом, опухолью, паразита</w:t>
        <w:softHyphen/>
        <w:t>ми, инородными материалами).</w:t>
      </w:r>
    </w:p>
    <w:p>
      <w:pPr>
        <w:pStyle w:val="Style30"/>
        <w:numPr>
          <w:ilvl w:val="2"/>
          <w:numId w:val="107"/>
        </w:numPr>
        <w:tabs>
          <w:tab w:leader="none" w:pos="873"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 xml:space="preserve">Тромбоз </w:t>
      </w:r>
      <w:r>
        <w:rPr>
          <w:lang w:val="en-US" w:eastAsia="en-US" w:bidi="en-US"/>
          <w:w w:val="100"/>
          <w:spacing w:val="0"/>
          <w:color w:val="000000"/>
          <w:position w:val="0"/>
        </w:rPr>
        <w:t>in situ.</w:t>
      </w:r>
    </w:p>
    <w:p>
      <w:pPr>
        <w:pStyle w:val="Style30"/>
        <w:numPr>
          <w:ilvl w:val="2"/>
          <w:numId w:val="107"/>
        </w:numPr>
        <w:tabs>
          <w:tab w:leader="none" w:pos="873"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Серповидноклеточная анемия.</w:t>
      </w:r>
    </w:p>
    <w:p>
      <w:pPr>
        <w:pStyle w:val="Style30"/>
        <w:numPr>
          <w:ilvl w:val="0"/>
          <w:numId w:val="107"/>
        </w:numPr>
        <w:tabs>
          <w:tab w:leader="none" w:pos="574"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Легочная гипертензия, обусловленная прямым пора</w:t>
        <w:softHyphen/>
        <w:t>жением легочных сосудов.</w:t>
      </w:r>
    </w:p>
    <w:p>
      <w:pPr>
        <w:pStyle w:val="Style30"/>
        <w:numPr>
          <w:ilvl w:val="1"/>
          <w:numId w:val="107"/>
        </w:numPr>
        <w:tabs>
          <w:tab w:leader="none" w:pos="724"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Воспаление.</w:t>
      </w:r>
    </w:p>
    <w:p>
      <w:pPr>
        <w:pStyle w:val="Style30"/>
        <w:numPr>
          <w:ilvl w:val="1"/>
          <w:numId w:val="107"/>
        </w:numPr>
        <w:tabs>
          <w:tab w:leader="none" w:pos="724"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Саркоидоз.</w:t>
      </w:r>
    </w:p>
    <w:p>
      <w:pPr>
        <w:pStyle w:val="Style30"/>
        <w:numPr>
          <w:ilvl w:val="1"/>
          <w:numId w:val="107"/>
        </w:numPr>
        <w:tabs>
          <w:tab w:leader="none" w:pos="724"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Другие.</w:t>
      </w:r>
    </w:p>
    <w:p>
      <w:pPr>
        <w:pStyle w:val="Style30"/>
        <w:numPr>
          <w:ilvl w:val="1"/>
          <w:numId w:val="107"/>
        </w:numPr>
        <w:tabs>
          <w:tab w:leader="none" w:pos="724"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Легочный капиллярный гемангиоматоз:</w:t>
      </w:r>
    </w:p>
    <w:p>
      <w:pPr>
        <w:pStyle w:val="Style30"/>
        <w:numPr>
          <w:ilvl w:val="0"/>
          <w:numId w:val="99"/>
        </w:numPr>
        <w:tabs>
          <w:tab w:leader="none" w:pos="508"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По уровню среднего артериального давления в легоч</w:t>
        <w:softHyphen/>
        <w:t>ной артерии выделяют 4 степени легочной гипертензии: первая — 25-40 мм рт. ст., вторая — 41-75 мм рт. ст., тре</w:t>
        <w:softHyphen/>
        <w:t>тья — 76-110 мм рт. ст., четвертая — выше 110 мм рт. ст.</w:t>
      </w:r>
    </w:p>
    <w:p>
      <w:pPr>
        <w:pStyle w:val="Style30"/>
        <w:numPr>
          <w:ilvl w:val="0"/>
          <w:numId w:val="99"/>
        </w:numPr>
        <w:tabs>
          <w:tab w:leader="none" w:pos="508" w:val="left"/>
        </w:tabs>
        <w:widowControl w:val="0"/>
        <w:keepNext w:val="0"/>
        <w:keepLines w:val="0"/>
        <w:shd w:val="clear" w:color="auto" w:fill="auto"/>
        <w:bidi w:val="0"/>
        <w:spacing w:before="0" w:after="0" w:line="211" w:lineRule="exact"/>
        <w:ind w:left="520" w:right="0" w:hanging="240"/>
      </w:pPr>
      <w:r>
        <w:pict>
          <v:shape id="_x0000_s1568" type="#_x0000_t75" style="position:absolute;margin-left:147.85pt;margin-top:736.55pt;width:209.75pt;height:14.9pt;z-index:-125829015;mso-wrap-distance-left:147.6pt;mso-wrap-distance-right:136.8pt;mso-wrap-distance-bottom:10.8pt;mso-position-horizontal-relative:margin;mso-position-vertical-relative:margin" wrapcoords="0 0 21600 0 21600 21600 0 21600 0 0">
            <v:imagedata r:id="rId900" r:href="rId901"/>
            <w10:wrap type="topAndBottom" anchorx="margin" anchory="margin"/>
          </v:shape>
        </w:pict>
      </w:r>
      <w:r>
        <w:rPr>
          <w:lang w:val="ru-RU" w:eastAsia="ru-RU" w:bidi="ru-RU"/>
          <w:w w:val="100"/>
          <w:spacing w:val="0"/>
          <w:color w:val="000000"/>
          <w:position w:val="0"/>
        </w:rPr>
        <w:t>По уровню легочного сосудистого сопротивления (в единицах Вуда — 1 единица = 80 дин.с.см</w:t>
      </w:r>
      <w:r>
        <w:rPr>
          <w:lang w:val="ru-RU" w:eastAsia="ru-RU" w:bidi="ru-RU"/>
          <w:vertAlign w:val="superscript"/>
          <w:w w:val="100"/>
          <w:spacing w:val="0"/>
          <w:color w:val="000000"/>
          <w:position w:val="0"/>
        </w:rPr>
        <w:t>-5</w:t>
      </w:r>
      <w:r>
        <w:rPr>
          <w:lang w:val="ru-RU" w:eastAsia="ru-RU" w:bidi="ru-RU"/>
          <w:w w:val="100"/>
          <w:spacing w:val="0"/>
          <w:color w:val="000000"/>
          <w:position w:val="0"/>
        </w:rPr>
        <w:t>) выделя</w:t>
        <w:softHyphen/>
        <w:t>ют легкую (ЛСС=2-5 ед.), умеренную (ЛСС=5-10 ед.) и тяжелую (ЛСС&gt;10 ед.) легочную гипертензию.</w:t>
      </w:r>
      <w:r>
        <w:br w:type="page"/>
      </w:r>
    </w:p>
    <w:p>
      <w:pPr>
        <w:pStyle w:val="Style28"/>
        <w:widowControl w:val="0"/>
        <w:keepNext/>
        <w:keepLines/>
        <w:shd w:val="clear" w:color="auto" w:fill="auto"/>
        <w:bidi w:val="0"/>
        <w:jc w:val="both"/>
        <w:spacing w:before="0" w:after="118" w:line="288" w:lineRule="exact"/>
        <w:ind w:left="0" w:right="0" w:firstLine="0"/>
      </w:pPr>
      <w:bookmarkStart w:id="555" w:name="bookmark555"/>
      <w:r>
        <w:rPr>
          <w:lang w:val="ru-RU" w:eastAsia="ru-RU" w:bidi="ru-RU"/>
          <w:w w:val="100"/>
          <w:spacing w:val="0"/>
          <w:color w:val="000000"/>
          <w:position w:val="0"/>
        </w:rPr>
        <w:t>Персистирующая легочная гипертензия новорожденных</w:t>
      </w:r>
      <w:bookmarkEnd w:id="555"/>
    </w:p>
    <w:p>
      <w:pPr>
        <w:pStyle w:val="Style92"/>
        <w:widowControl w:val="0"/>
        <w:keepNext/>
        <w:keepLines/>
        <w:shd w:val="clear" w:color="auto" w:fill="auto"/>
        <w:bidi w:val="0"/>
        <w:spacing w:before="0" w:after="0"/>
        <w:ind w:left="520" w:right="0" w:hanging="240"/>
      </w:pPr>
      <w:bookmarkStart w:id="556" w:name="bookmark556"/>
      <w:r>
        <w:rPr>
          <w:lang w:val="ru-RU" w:eastAsia="ru-RU" w:bidi="ru-RU"/>
          <w:w w:val="100"/>
          <w:spacing w:val="0"/>
          <w:color w:val="000000"/>
          <w:position w:val="0"/>
        </w:rPr>
        <w:t>Введение</w:t>
      </w:r>
      <w:bookmarkEnd w:id="55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 время внутриутробного развития легочный кровоток составляет меньше 10% общего сердечного выброса, на</w:t>
        <w:softHyphen/>
        <w:t>правленного к легким. Сразу после рождения легочное со</w:t>
        <w:softHyphen/>
        <w:t>противление сосудов резко падает, как только легкие при</w:t>
        <w:softHyphen/>
        <w:t>нимают функцию газового обмена. У некоторых новорож</w:t>
        <w:softHyphen/>
        <w:t>денных должного уменьшения легочного сосудистого тону</w:t>
        <w:softHyphen/>
        <w:t>са не происходит, что приводит к возникновению синдрома персистирующей легочной артериальной гипертензии но</w:t>
        <w:softHyphen/>
        <w:t>ворожденных. Этот синдром обусловливает существенную заболеваемость и летальность.</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99"/>
        </w:numPr>
        <w:tabs>
          <w:tab w:leader="none" w:pos="53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Персистирующая легочная гипертензия наблюдается с частотой 2-6 на 1000 новорожденных, рожденных живыми. Синдром является главным фактором, ос</w:t>
        <w:softHyphen/>
        <w:t>ложняющим у доношенных и недоношенных ново</w:t>
        <w:softHyphen/>
        <w:t>рожденных течение паренхиматозных болезней лег</w:t>
        <w:softHyphen/>
        <w:t>ких, таких как мекониальная аспирация или пневмо</w:t>
        <w:softHyphen/>
        <w:t>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Персистирующая легочная гипертензия новорожденных наиболее часто обусловлена одним из трех этиологических факторов:</w:t>
      </w:r>
    </w:p>
    <w:p>
      <w:pPr>
        <w:pStyle w:val="Style30"/>
        <w:numPr>
          <w:ilvl w:val="0"/>
          <w:numId w:val="99"/>
        </w:numPr>
        <w:tabs>
          <w:tab w:leader="none" w:pos="53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Острая легочная вазоконстрикция, возникающая на</w:t>
        <w:softHyphen/>
        <w:t>иболее часто при следующих состояниях:</w:t>
      </w:r>
    </w:p>
    <w:p>
      <w:pPr>
        <w:pStyle w:val="Style30"/>
        <w:numPr>
          <w:ilvl w:val="0"/>
          <w:numId w:val="101"/>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альвеолярная гипоксия, вторичная к паренхима</w:t>
        <w:softHyphen/>
        <w:t>тозной болезни легких;</w:t>
      </w:r>
    </w:p>
    <w:p>
      <w:pPr>
        <w:pStyle w:val="Style30"/>
        <w:numPr>
          <w:ilvl w:val="0"/>
          <w:numId w:val="101"/>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гиповентиляция в результате асфиксии или пора</w:t>
        <w:softHyphen/>
        <w:t>жения мозга;</w:t>
      </w:r>
    </w:p>
    <w:p>
      <w:pPr>
        <w:pStyle w:val="Style30"/>
        <w:numPr>
          <w:ilvl w:val="0"/>
          <w:numId w:val="101"/>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гипотермия;</w:t>
      </w:r>
    </w:p>
    <w:p>
      <w:pPr>
        <w:pStyle w:val="Style30"/>
        <w:numPr>
          <w:ilvl w:val="0"/>
          <w:numId w:val="101"/>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гипогликемия;</w:t>
      </w:r>
    </w:p>
    <w:p>
      <w:pPr>
        <w:pStyle w:val="Style30"/>
        <w:numPr>
          <w:ilvl w:val="0"/>
          <w:numId w:val="101"/>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пневмония.</w:t>
      </w:r>
    </w:p>
    <w:p>
      <w:pPr>
        <w:pStyle w:val="Style30"/>
        <w:numPr>
          <w:ilvl w:val="0"/>
          <w:numId w:val="99"/>
        </w:numPr>
        <w:tabs>
          <w:tab w:leader="none" w:pos="53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Идиопатическая персистирующая легочная гипер</w:t>
        <w:softHyphen/>
        <w:t>тензия новорожденных с нормальными данными при рентгенографии легких:</w:t>
      </w:r>
    </w:p>
    <w:p>
      <w:pPr>
        <w:pStyle w:val="Style30"/>
        <w:numPr>
          <w:ilvl w:val="0"/>
          <w:numId w:val="101"/>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некоторые авторы такой синдром обозначают как «ясное» легкое при синдроме персистирующей ле</w:t>
        <w:softHyphen/>
        <w:t>гочной гипертензии новорожденных;</w:t>
      </w:r>
    </w:p>
    <w:p>
      <w:pPr>
        <w:pStyle w:val="Style30"/>
        <w:numPr>
          <w:ilvl w:val="0"/>
          <w:numId w:val="101"/>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полагают, что данный синдром возникает из не</w:t>
        <w:softHyphen/>
        <w:t>правильно повторно смоделированного легочного артериального ложа, возможно вторично к хрони</w:t>
        <w:softHyphen/>
        <w:t xml:space="preserve">ческому стрессу </w:t>
      </w:r>
      <w:r>
        <w:rPr>
          <w:lang w:val="en-US" w:eastAsia="en-US" w:bidi="en-US"/>
          <w:w w:val="100"/>
          <w:spacing w:val="0"/>
          <w:color w:val="000000"/>
          <w:position w:val="0"/>
        </w:rPr>
        <w:t>in utero.</w:t>
      </w:r>
    </w:p>
    <w:p>
      <w:pPr>
        <w:pStyle w:val="Style30"/>
        <w:numPr>
          <w:ilvl w:val="0"/>
          <w:numId w:val="99"/>
        </w:numPr>
        <w:tabs>
          <w:tab w:leader="none" w:pos="53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Другие возможные причины персистирующей легоч</w:t>
        <w:softHyphen/>
        <w:t>ной гипертензии включают:</w:t>
      </w:r>
    </w:p>
    <w:p>
      <w:pPr>
        <w:pStyle w:val="Style30"/>
        <w:numPr>
          <w:ilvl w:val="0"/>
          <w:numId w:val="101"/>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гипоплазию сосудистого ложа легких из-за врож</w:t>
        <w:softHyphen/>
        <w:t>денной диафрагмальной грыжи;</w:t>
      </w:r>
    </w:p>
    <w:p>
      <w:pPr>
        <w:pStyle w:val="Style30"/>
        <w:numPr>
          <w:ilvl w:val="0"/>
          <w:numId w:val="101"/>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маловодие во время внутриутробного развития;</w:t>
      </w:r>
    </w:p>
    <w:p>
      <w:pPr>
        <w:pStyle w:val="Style30"/>
        <w:numPr>
          <w:ilvl w:val="0"/>
          <w:numId w:val="101"/>
        </w:numPr>
        <w:tabs>
          <w:tab w:leader="none" w:pos="754" w:val="left"/>
        </w:tabs>
        <w:widowControl w:val="0"/>
        <w:keepNext w:val="0"/>
        <w:keepLines w:val="0"/>
        <w:shd w:val="clear" w:color="auto" w:fill="auto"/>
        <w:bidi w:val="0"/>
        <w:spacing w:before="0" w:after="60"/>
        <w:ind w:left="740" w:right="0" w:hanging="220"/>
      </w:pPr>
      <w:r>
        <w:rPr>
          <w:lang w:val="ru-RU" w:eastAsia="ru-RU" w:bidi="ru-RU"/>
          <w:w w:val="100"/>
          <w:spacing w:val="0"/>
          <w:color w:val="000000"/>
          <w:position w:val="0"/>
        </w:rPr>
        <w:t>врожденный кистозно-аденоматозный порок раз</w:t>
        <w:softHyphen/>
        <w:t>вития легких.</w:t>
      </w:r>
    </w:p>
    <w:p>
      <w:pPr>
        <w:pStyle w:val="Style92"/>
        <w:widowControl w:val="0"/>
        <w:keepNext/>
        <w:keepLines/>
        <w:shd w:val="clear" w:color="auto" w:fill="auto"/>
        <w:bidi w:val="0"/>
        <w:spacing w:before="0" w:after="0"/>
        <w:ind w:left="0" w:right="0" w:firstLine="280"/>
      </w:pPr>
      <w:bookmarkStart w:id="557" w:name="bookmark557"/>
      <w:r>
        <w:rPr>
          <w:lang w:val="ru-RU" w:eastAsia="ru-RU" w:bidi="ru-RU"/>
          <w:w w:val="100"/>
          <w:spacing w:val="0"/>
          <w:color w:val="000000"/>
          <w:position w:val="0"/>
        </w:rPr>
        <w:t>Основные причины стойкой легочной гипертензии ново</w:t>
        <w:softHyphen/>
        <w:t>рожденных</w:t>
      </w:r>
      <w:bookmarkEnd w:id="557"/>
    </w:p>
    <w:p>
      <w:pPr>
        <w:pStyle w:val="Style92"/>
        <w:numPr>
          <w:ilvl w:val="0"/>
          <w:numId w:val="109"/>
        </w:numPr>
        <w:tabs>
          <w:tab w:leader="none" w:pos="536" w:val="left"/>
        </w:tabs>
        <w:widowControl w:val="0"/>
        <w:keepNext/>
        <w:keepLines/>
        <w:shd w:val="clear" w:color="auto" w:fill="auto"/>
        <w:bidi w:val="0"/>
        <w:spacing w:before="0" w:after="0"/>
        <w:ind w:left="0" w:right="0" w:firstLine="280"/>
      </w:pPr>
      <w:bookmarkStart w:id="558" w:name="bookmark558"/>
      <w:r>
        <w:rPr>
          <w:lang w:val="ru-RU" w:eastAsia="ru-RU" w:bidi="ru-RU"/>
          <w:w w:val="100"/>
          <w:spacing w:val="0"/>
          <w:color w:val="000000"/>
          <w:position w:val="0"/>
        </w:rPr>
        <w:t>Легочные расстройства:</w:t>
      </w:r>
      <w:bookmarkEnd w:id="558"/>
    </w:p>
    <w:p>
      <w:pPr>
        <w:pStyle w:val="Style30"/>
        <w:numPr>
          <w:ilvl w:val="1"/>
          <w:numId w:val="109"/>
        </w:numPr>
        <w:tabs>
          <w:tab w:leader="none" w:pos="65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Переходное тахипноэ новорожденных.</w:t>
      </w:r>
    </w:p>
    <w:p>
      <w:pPr>
        <w:pStyle w:val="Style30"/>
        <w:numPr>
          <w:ilvl w:val="1"/>
          <w:numId w:val="109"/>
        </w:numPr>
        <w:tabs>
          <w:tab w:leader="none" w:pos="65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Аспирация мекония, крови, амниотической жидкости.</w:t>
      </w:r>
    </w:p>
    <w:p>
      <w:pPr>
        <w:pStyle w:val="Style30"/>
        <w:numPr>
          <w:ilvl w:val="1"/>
          <w:numId w:val="109"/>
        </w:numPr>
        <w:tabs>
          <w:tab w:leader="none" w:pos="65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Идиопатическая гипертензия.</w:t>
      </w:r>
    </w:p>
    <w:p>
      <w:pPr>
        <w:pStyle w:val="Style30"/>
        <w:numPr>
          <w:ilvl w:val="1"/>
          <w:numId w:val="109"/>
        </w:numPr>
        <w:tabs>
          <w:tab w:leader="none" w:pos="65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Диафрагмальная грыжа.</w:t>
      </w:r>
    </w:p>
    <w:p>
      <w:pPr>
        <w:pStyle w:val="Style30"/>
        <w:numPr>
          <w:ilvl w:val="1"/>
          <w:numId w:val="109"/>
        </w:numPr>
        <w:tabs>
          <w:tab w:leader="none" w:pos="65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гиалиновых мембран.</w:t>
      </w:r>
    </w:p>
    <w:p>
      <w:pPr>
        <w:pStyle w:val="Style30"/>
        <w:numPr>
          <w:ilvl w:val="1"/>
          <w:numId w:val="109"/>
        </w:numPr>
        <w:tabs>
          <w:tab w:leader="none" w:pos="65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Тромбоэмболические расстройства.</w:t>
      </w:r>
    </w:p>
    <w:p>
      <w:pPr>
        <w:pStyle w:val="Style30"/>
        <w:numPr>
          <w:ilvl w:val="1"/>
          <w:numId w:val="109"/>
        </w:numPr>
        <w:tabs>
          <w:tab w:leader="none" w:pos="704" w:val="left"/>
        </w:tabs>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Легочные инфекции — стрептококк группы В, лис- териоз.</w:t>
      </w:r>
    </w:p>
    <w:p>
      <w:pPr>
        <w:pStyle w:val="Style30"/>
        <w:numPr>
          <w:ilvl w:val="1"/>
          <w:numId w:val="109"/>
        </w:numPr>
        <w:tabs>
          <w:tab w:leader="none" w:pos="7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Легочные мальформации:</w:t>
      </w:r>
    </w:p>
    <w:p>
      <w:pPr>
        <w:pStyle w:val="Style30"/>
        <w:numPr>
          <w:ilvl w:val="2"/>
          <w:numId w:val="109"/>
        </w:numPr>
        <w:tabs>
          <w:tab w:leader="none" w:pos="85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Гипоплазия.</w:t>
      </w:r>
    </w:p>
    <w:p>
      <w:pPr>
        <w:pStyle w:val="Style30"/>
        <w:numPr>
          <w:ilvl w:val="2"/>
          <w:numId w:val="109"/>
        </w:numPr>
        <w:tabs>
          <w:tab w:leader="none" w:pos="85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Альвеолярно-капиллярная дисплазия.</w:t>
      </w:r>
    </w:p>
    <w:p>
      <w:pPr>
        <w:pStyle w:val="Style30"/>
        <w:numPr>
          <w:ilvl w:val="2"/>
          <w:numId w:val="109"/>
        </w:numPr>
        <w:tabs>
          <w:tab w:leader="none" w:pos="85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Флебэктазия.</w:t>
      </w:r>
    </w:p>
    <w:p>
      <w:pPr>
        <w:pStyle w:val="Style30"/>
        <w:numPr>
          <w:ilvl w:val="2"/>
          <w:numId w:val="109"/>
        </w:numPr>
        <w:tabs>
          <w:tab w:leader="none" w:pos="85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Невыравнивание легочных сосудов.</w:t>
      </w:r>
    </w:p>
    <w:p>
      <w:pPr>
        <w:pStyle w:val="Style30"/>
        <w:numPr>
          <w:ilvl w:val="2"/>
          <w:numId w:val="109"/>
        </w:numPr>
        <w:tabs>
          <w:tab w:leader="none" w:pos="85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Врожденная лобарная эмфизема.</w:t>
      </w:r>
    </w:p>
    <w:p>
      <w:pPr>
        <w:pStyle w:val="Style30"/>
        <w:numPr>
          <w:ilvl w:val="2"/>
          <w:numId w:val="109"/>
        </w:numPr>
        <w:tabs>
          <w:tab w:leader="none" w:pos="85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Кистозная аденоматозная мальформация.</w:t>
      </w:r>
    </w:p>
    <w:p>
      <w:pPr>
        <w:pStyle w:val="Style30"/>
        <w:numPr>
          <w:ilvl w:val="1"/>
          <w:numId w:val="109"/>
        </w:numPr>
        <w:tabs>
          <w:tab w:leader="none" w:pos="7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Расстройства дыхательных путей:</w:t>
      </w:r>
    </w:p>
    <w:p>
      <w:pPr>
        <w:pStyle w:val="Style30"/>
        <w:numPr>
          <w:ilvl w:val="2"/>
          <w:numId w:val="109"/>
        </w:numPr>
        <w:tabs>
          <w:tab w:leader="none" w:pos="85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Атрезия хоан.</w:t>
      </w:r>
    </w:p>
    <w:p>
      <w:pPr>
        <w:pStyle w:val="Style30"/>
        <w:numPr>
          <w:ilvl w:val="2"/>
          <w:numId w:val="109"/>
        </w:numPr>
        <w:tabs>
          <w:tab w:leader="none" w:pos="85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Трахеопищеводная фистула.</w:t>
      </w:r>
    </w:p>
    <w:p>
      <w:pPr>
        <w:pStyle w:val="Style30"/>
        <w:numPr>
          <w:ilvl w:val="2"/>
          <w:numId w:val="109"/>
        </w:numPr>
        <w:tabs>
          <w:tab w:leader="none" w:pos="85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Пьерра-Робина.</w:t>
      </w:r>
    </w:p>
    <w:p>
      <w:pPr>
        <w:pStyle w:val="Style30"/>
        <w:numPr>
          <w:ilvl w:val="2"/>
          <w:numId w:val="109"/>
        </w:numPr>
        <w:tabs>
          <w:tab w:leader="none" w:pos="85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Аномалии гортани.</w:t>
      </w:r>
    </w:p>
    <w:p>
      <w:pPr>
        <w:pStyle w:val="Style92"/>
        <w:numPr>
          <w:ilvl w:val="0"/>
          <w:numId w:val="109"/>
        </w:numPr>
        <w:tabs>
          <w:tab w:leader="none" w:pos="605" w:val="left"/>
        </w:tabs>
        <w:widowControl w:val="0"/>
        <w:keepNext/>
        <w:keepLines/>
        <w:shd w:val="clear" w:color="auto" w:fill="auto"/>
        <w:bidi w:val="0"/>
        <w:spacing w:before="0" w:after="0"/>
        <w:ind w:left="0" w:right="0" w:firstLine="280"/>
      </w:pPr>
      <w:bookmarkStart w:id="559" w:name="bookmark559"/>
      <w:r>
        <w:rPr>
          <w:lang w:val="ru-RU" w:eastAsia="ru-RU" w:bidi="ru-RU"/>
          <w:w w:val="100"/>
          <w:spacing w:val="0"/>
          <w:color w:val="000000"/>
          <w:position w:val="0"/>
        </w:rPr>
        <w:t>Сердечно-сосудистые расстройства:</w:t>
      </w:r>
      <w:bookmarkEnd w:id="559"/>
    </w:p>
    <w:p>
      <w:pPr>
        <w:pStyle w:val="Style30"/>
        <w:numPr>
          <w:ilvl w:val="1"/>
          <w:numId w:val="109"/>
        </w:numPr>
        <w:tabs>
          <w:tab w:leader="none" w:pos="7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Врожденный стеноз легочных вен.</w:t>
      </w:r>
    </w:p>
    <w:p>
      <w:pPr>
        <w:pStyle w:val="Style30"/>
        <w:numPr>
          <w:ilvl w:val="1"/>
          <w:numId w:val="109"/>
        </w:numPr>
        <w:tabs>
          <w:tab w:leader="none" w:pos="7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Трехкамерное сердце.</w:t>
      </w:r>
    </w:p>
    <w:p>
      <w:pPr>
        <w:pStyle w:val="Style30"/>
        <w:numPr>
          <w:ilvl w:val="1"/>
          <w:numId w:val="109"/>
        </w:numPr>
        <w:tabs>
          <w:tab w:leader="none" w:pos="7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Тотальный аномальный дренаж легочных вен.</w:t>
      </w:r>
    </w:p>
    <w:p>
      <w:pPr>
        <w:pStyle w:val="Style30"/>
        <w:numPr>
          <w:ilvl w:val="1"/>
          <w:numId w:val="109"/>
        </w:numPr>
        <w:tabs>
          <w:tab w:leader="none" w:pos="7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Врожденный периферический легочный стеноз.</w:t>
      </w:r>
    </w:p>
    <w:p>
      <w:pPr>
        <w:pStyle w:val="Style30"/>
        <w:numPr>
          <w:ilvl w:val="1"/>
          <w:numId w:val="109"/>
        </w:numPr>
        <w:tabs>
          <w:tab w:leader="none" w:pos="7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Врожденное отсутствие легочного клапана.</w:t>
      </w:r>
    </w:p>
    <w:p>
      <w:pPr>
        <w:pStyle w:val="Style30"/>
        <w:numPr>
          <w:ilvl w:val="1"/>
          <w:numId w:val="109"/>
        </w:numPr>
        <w:tabs>
          <w:tab w:leader="none" w:pos="7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Церебральная артериовенозная аневризма.</w:t>
      </w:r>
    </w:p>
    <w:p>
      <w:pPr>
        <w:pStyle w:val="Style30"/>
        <w:numPr>
          <w:ilvl w:val="1"/>
          <w:numId w:val="109"/>
        </w:numPr>
        <w:tabs>
          <w:tab w:leader="none" w:pos="7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Печеночная артериовенозная мальформация.</w:t>
      </w:r>
    </w:p>
    <w:p>
      <w:pPr>
        <w:pStyle w:val="Style30"/>
        <w:numPr>
          <w:ilvl w:val="1"/>
          <w:numId w:val="109"/>
        </w:numPr>
        <w:tabs>
          <w:tab w:leader="none" w:pos="7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Трикуспидальная регургитация.</w:t>
      </w:r>
    </w:p>
    <w:p>
      <w:pPr>
        <w:pStyle w:val="Style30"/>
        <w:numPr>
          <w:ilvl w:val="1"/>
          <w:numId w:val="109"/>
        </w:numPr>
        <w:tabs>
          <w:tab w:leader="none" w:pos="7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Внутрисердечные расстройства:</w:t>
      </w:r>
    </w:p>
    <w:p>
      <w:pPr>
        <w:pStyle w:val="Style30"/>
        <w:numPr>
          <w:ilvl w:val="2"/>
          <w:numId w:val="109"/>
        </w:numPr>
        <w:tabs>
          <w:tab w:leader="none" w:pos="86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Митральный стеноз.</w:t>
      </w:r>
    </w:p>
    <w:p>
      <w:pPr>
        <w:pStyle w:val="Style30"/>
        <w:numPr>
          <w:ilvl w:val="2"/>
          <w:numId w:val="109"/>
        </w:numPr>
        <w:tabs>
          <w:tab w:leader="none" w:pos="86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Фиброэластоз эндомиокарда.</w:t>
      </w:r>
    </w:p>
    <w:p>
      <w:pPr>
        <w:pStyle w:val="Style30"/>
        <w:numPr>
          <w:ilvl w:val="2"/>
          <w:numId w:val="109"/>
        </w:numPr>
        <w:tabs>
          <w:tab w:leader="none" w:pos="86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Помпе.</w:t>
      </w:r>
    </w:p>
    <w:p>
      <w:pPr>
        <w:pStyle w:val="Style30"/>
        <w:numPr>
          <w:ilvl w:val="2"/>
          <w:numId w:val="109"/>
        </w:numPr>
        <w:tabs>
          <w:tab w:leader="none" w:pos="86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Асфиктическое поражение миокарда.</w:t>
      </w:r>
    </w:p>
    <w:p>
      <w:pPr>
        <w:pStyle w:val="Style30"/>
        <w:numPr>
          <w:ilvl w:val="2"/>
          <w:numId w:val="109"/>
        </w:numPr>
        <w:tabs>
          <w:tab w:leader="none" w:pos="86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Миокардит.</w:t>
      </w:r>
    </w:p>
    <w:p>
      <w:pPr>
        <w:pStyle w:val="Style30"/>
        <w:numPr>
          <w:ilvl w:val="2"/>
          <w:numId w:val="109"/>
        </w:numPr>
        <w:tabs>
          <w:tab w:leader="none" w:pos="86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Инфаркт миокарда.</w:t>
      </w:r>
    </w:p>
    <w:p>
      <w:pPr>
        <w:pStyle w:val="Style30"/>
        <w:numPr>
          <w:ilvl w:val="2"/>
          <w:numId w:val="109"/>
        </w:numPr>
        <w:tabs>
          <w:tab w:leader="none" w:pos="86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Атрезия аорты.</w:t>
      </w:r>
    </w:p>
    <w:p>
      <w:pPr>
        <w:pStyle w:val="Style30"/>
        <w:numPr>
          <w:ilvl w:val="2"/>
          <w:numId w:val="109"/>
        </w:numPr>
        <w:tabs>
          <w:tab w:leader="none" w:pos="86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Выраженный аортальный стеноз.</w:t>
      </w:r>
    </w:p>
    <w:p>
      <w:pPr>
        <w:pStyle w:val="Style30"/>
        <w:numPr>
          <w:ilvl w:val="2"/>
          <w:numId w:val="109"/>
        </w:numPr>
        <w:tabs>
          <w:tab w:leader="none" w:pos="86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Коарктация аорты.</w:t>
      </w:r>
    </w:p>
    <w:p>
      <w:pPr>
        <w:pStyle w:val="Style30"/>
        <w:numPr>
          <w:ilvl w:val="2"/>
          <w:numId w:val="109"/>
        </w:numPr>
        <w:tabs>
          <w:tab w:leader="none" w:pos="95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Патология дуги аорты.</w:t>
      </w:r>
    </w:p>
    <w:p>
      <w:pPr>
        <w:pStyle w:val="Style30"/>
        <w:numPr>
          <w:ilvl w:val="2"/>
          <w:numId w:val="109"/>
        </w:numPr>
        <w:tabs>
          <w:tab w:leader="none" w:pos="95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Выраженный лево-правый шунт.</w:t>
      </w:r>
    </w:p>
    <w:p>
      <w:pPr>
        <w:pStyle w:val="Style30"/>
        <w:numPr>
          <w:ilvl w:val="2"/>
          <w:numId w:val="109"/>
        </w:numPr>
        <w:tabs>
          <w:tab w:leader="none" w:pos="95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Последствия гипопластического повреждения.</w:t>
      </w:r>
    </w:p>
    <w:p>
      <w:pPr>
        <w:pStyle w:val="Style30"/>
        <w:numPr>
          <w:ilvl w:val="3"/>
          <w:numId w:val="109"/>
        </w:numPr>
        <w:tabs>
          <w:tab w:leader="none" w:pos="109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Трикуспидальная атрезия.</w:t>
      </w:r>
    </w:p>
    <w:p>
      <w:pPr>
        <w:pStyle w:val="Style30"/>
        <w:numPr>
          <w:ilvl w:val="3"/>
          <w:numId w:val="109"/>
        </w:numPr>
        <w:tabs>
          <w:tab w:leader="none" w:pos="109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Легочная атрезия.</w:t>
      </w:r>
    </w:p>
    <w:p>
      <w:pPr>
        <w:pStyle w:val="Style30"/>
        <w:numPr>
          <w:ilvl w:val="3"/>
          <w:numId w:val="109"/>
        </w:numPr>
        <w:tabs>
          <w:tab w:leader="none" w:pos="109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Транспозиция магистральных сосудов.</w:t>
      </w:r>
    </w:p>
    <w:p>
      <w:pPr>
        <w:pStyle w:val="Style30"/>
        <w:numPr>
          <w:ilvl w:val="3"/>
          <w:numId w:val="109"/>
        </w:numPr>
        <w:tabs>
          <w:tab w:leader="none" w:pos="109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Аномалия Эбштейна.</w:t>
      </w:r>
    </w:p>
    <w:p>
      <w:pPr>
        <w:pStyle w:val="Style92"/>
        <w:numPr>
          <w:ilvl w:val="0"/>
          <w:numId w:val="109"/>
        </w:numPr>
        <w:tabs>
          <w:tab w:leader="none" w:pos="605" w:val="left"/>
        </w:tabs>
        <w:widowControl w:val="0"/>
        <w:keepNext/>
        <w:keepLines/>
        <w:shd w:val="clear" w:color="auto" w:fill="auto"/>
        <w:bidi w:val="0"/>
        <w:spacing w:before="0" w:after="0"/>
        <w:ind w:left="0" w:right="0" w:firstLine="280"/>
      </w:pPr>
      <w:bookmarkStart w:id="560" w:name="bookmark560"/>
      <w:r>
        <w:rPr>
          <w:lang w:val="ru-RU" w:eastAsia="ru-RU" w:bidi="ru-RU"/>
          <w:w w:val="100"/>
          <w:spacing w:val="0"/>
          <w:color w:val="000000"/>
          <w:position w:val="0"/>
        </w:rPr>
        <w:t>Дисвентиляционные расстройства:</w:t>
      </w:r>
      <w:bookmarkEnd w:id="560"/>
    </w:p>
    <w:p>
      <w:pPr>
        <w:pStyle w:val="Style30"/>
        <w:numPr>
          <w:ilvl w:val="1"/>
          <w:numId w:val="109"/>
        </w:numPr>
        <w:tabs>
          <w:tab w:leader="none" w:pos="7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Неврологического генеза.</w:t>
      </w:r>
    </w:p>
    <w:p>
      <w:pPr>
        <w:pStyle w:val="Style30"/>
        <w:numPr>
          <w:ilvl w:val="1"/>
          <w:numId w:val="109"/>
        </w:numPr>
        <w:tabs>
          <w:tab w:leader="none" w:pos="7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Вернига-Гоффмана.</w:t>
      </w:r>
    </w:p>
    <w:p>
      <w:pPr>
        <w:pStyle w:val="Style30"/>
        <w:numPr>
          <w:ilvl w:val="2"/>
          <w:numId w:val="109"/>
        </w:numPr>
        <w:tabs>
          <w:tab w:leader="none" w:pos="86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Миотоническая дистрофия.</w:t>
      </w:r>
    </w:p>
    <w:p>
      <w:pPr>
        <w:pStyle w:val="Style30"/>
        <w:numPr>
          <w:ilvl w:val="2"/>
          <w:numId w:val="109"/>
        </w:numPr>
        <w:tabs>
          <w:tab w:leader="none" w:pos="86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Тяжелая миастения.</w:t>
      </w:r>
    </w:p>
    <w:p>
      <w:pPr>
        <w:pStyle w:val="Style30"/>
        <w:numPr>
          <w:ilvl w:val="1"/>
          <w:numId w:val="109"/>
        </w:numPr>
        <w:tabs>
          <w:tab w:leader="none" w:pos="7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Апноэ, обусловленное поражением ЦНС.</w:t>
      </w:r>
    </w:p>
    <w:p>
      <w:pPr>
        <w:pStyle w:val="Style30"/>
        <w:numPr>
          <w:ilvl w:val="1"/>
          <w:numId w:val="109"/>
        </w:numPr>
        <w:tabs>
          <w:tab w:leader="none" w:pos="73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Деформации грудной клетки.</w:t>
      </w:r>
    </w:p>
    <w:p>
      <w:pPr>
        <w:pStyle w:val="Style92"/>
        <w:numPr>
          <w:ilvl w:val="0"/>
          <w:numId w:val="109"/>
        </w:numPr>
        <w:tabs>
          <w:tab w:leader="none" w:pos="605" w:val="left"/>
        </w:tabs>
        <w:widowControl w:val="0"/>
        <w:keepNext/>
        <w:keepLines/>
        <w:shd w:val="clear" w:color="auto" w:fill="auto"/>
        <w:bidi w:val="0"/>
        <w:spacing w:before="0" w:after="0"/>
        <w:ind w:left="0" w:right="0" w:firstLine="280"/>
      </w:pPr>
      <w:bookmarkStart w:id="561" w:name="bookmark561"/>
      <w:r>
        <w:rPr>
          <w:lang w:val="ru-RU" w:eastAsia="ru-RU" w:bidi="ru-RU"/>
          <w:w w:val="100"/>
          <w:spacing w:val="0"/>
          <w:color w:val="000000"/>
          <w:position w:val="0"/>
        </w:rPr>
        <w:t>Различные расстройства и осложнения:</w:t>
      </w:r>
      <w:bookmarkEnd w:id="561"/>
    </w:p>
    <w:p>
      <w:pPr>
        <w:pStyle w:val="Style30"/>
        <w:numPr>
          <w:ilvl w:val="1"/>
          <w:numId w:val="109"/>
        </w:numPr>
        <w:tabs>
          <w:tab w:leader="none" w:pos="69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Полицитемия — позднее перевязывание или нало</w:t>
        <w:softHyphen/>
        <w:t>жение скобок, фето-фетальная трансфузия.</w:t>
      </w:r>
    </w:p>
    <w:p>
      <w:pPr>
        <w:pStyle w:val="Style30"/>
        <w:numPr>
          <w:ilvl w:val="1"/>
          <w:numId w:val="109"/>
        </w:numPr>
        <w:tabs>
          <w:tab w:leader="none" w:pos="73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Тромбоцитопения.</w:t>
      </w:r>
    </w:p>
    <w:p>
      <w:pPr>
        <w:pStyle w:val="Style30"/>
        <w:numPr>
          <w:ilvl w:val="1"/>
          <w:numId w:val="109"/>
        </w:numPr>
        <w:tabs>
          <w:tab w:leader="none" w:pos="70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Метаболический и респираторный ацидоз, метабо</w:t>
        <w:softHyphen/>
        <w:t>лическая гипоксия.</w:t>
      </w:r>
    </w:p>
    <w:p>
      <w:pPr>
        <w:pStyle w:val="Style30"/>
        <w:numPr>
          <w:ilvl w:val="1"/>
          <w:numId w:val="109"/>
        </w:numPr>
        <w:tabs>
          <w:tab w:leader="none" w:pos="73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Беременность и роды.</w:t>
      </w:r>
    </w:p>
    <w:p>
      <w:pPr>
        <w:pStyle w:val="Style30"/>
        <w:numPr>
          <w:ilvl w:val="2"/>
          <w:numId w:val="109"/>
        </w:numPr>
        <w:tabs>
          <w:tab w:leader="none" w:pos="86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Заболевания матери.</w:t>
      </w:r>
    </w:p>
    <w:p>
      <w:pPr>
        <w:pStyle w:val="Style30"/>
        <w:numPr>
          <w:ilvl w:val="2"/>
          <w:numId w:val="109"/>
        </w:numPr>
        <w:tabs>
          <w:tab w:leader="none" w:pos="83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Гипоксия, гипотензия, анемия, заболевания лег</w:t>
        <w:softHyphen/>
        <w:t>ких, лихорадка, гепатит, терапия тербуталином, сложное родоразрешение.</w:t>
      </w:r>
    </w:p>
    <w:p>
      <w:pPr>
        <w:pStyle w:val="Style30"/>
        <w:numPr>
          <w:ilvl w:val="2"/>
          <w:numId w:val="109"/>
        </w:numPr>
        <w:tabs>
          <w:tab w:leader="none" w:pos="87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Заболевания плода.</w:t>
      </w:r>
    </w:p>
    <w:p>
      <w:pPr>
        <w:pStyle w:val="Style30"/>
        <w:numPr>
          <w:ilvl w:val="3"/>
          <w:numId w:val="109"/>
        </w:numPr>
        <w:tabs>
          <w:tab w:leader="none" w:pos="100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Недоношенность.</w:t>
      </w:r>
    </w:p>
    <w:p>
      <w:pPr>
        <w:pStyle w:val="Style30"/>
        <w:numPr>
          <w:ilvl w:val="3"/>
          <w:numId w:val="109"/>
        </w:numPr>
        <w:tabs>
          <w:tab w:leader="none" w:pos="10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Переношенность.</w:t>
      </w:r>
    </w:p>
    <w:p>
      <w:pPr>
        <w:pStyle w:val="Style30"/>
        <w:numPr>
          <w:ilvl w:val="3"/>
          <w:numId w:val="109"/>
        </w:numPr>
        <w:tabs>
          <w:tab w:leader="none" w:pos="1013" w:val="left"/>
        </w:tabs>
        <w:widowControl w:val="0"/>
        <w:keepNext w:val="0"/>
        <w:keepLines w:val="0"/>
        <w:shd w:val="clear" w:color="auto" w:fill="auto"/>
        <w:bidi w:val="0"/>
        <w:spacing w:before="0" w:after="0"/>
        <w:ind w:left="0" w:right="0" w:firstLine="280"/>
      </w:pPr>
      <w:r>
        <w:pict>
          <v:shape id="_x0000_s1569" type="#_x0000_t75" style="position:absolute;margin-left:137.05pt;margin-top:736.55pt;width:209.75pt;height:14.9pt;z-index:-125829014;mso-wrap-distance-left:136.8pt;mso-wrap-distance-right:147.6pt;mso-wrap-distance-bottom:10.8pt;mso-position-horizontal-relative:margin;mso-position-vertical-relative:margin" wrapcoords="0 0 21600 0 21600 21600 0 21600 0 0">
            <v:imagedata r:id="rId902" r:href="rId903"/>
            <w10:wrap type="topAndBottom" anchorx="margin" anchory="margin"/>
          </v:shape>
        </w:pict>
      </w:r>
      <w:r>
        <w:rPr>
          <w:lang w:val="ru-RU" w:eastAsia="ru-RU" w:bidi="ru-RU"/>
          <w:w w:val="100"/>
          <w:spacing w:val="0"/>
          <w:color w:val="000000"/>
          <w:position w:val="0"/>
        </w:rPr>
        <w:t>Гипогликемия.</w:t>
      </w:r>
      <w:r>
        <w:br w:type="page"/>
      </w:r>
    </w:p>
    <w:p>
      <w:pPr>
        <w:pStyle w:val="Style30"/>
        <w:numPr>
          <w:ilvl w:val="0"/>
          <w:numId w:val="111"/>
        </w:numPr>
        <w:tabs>
          <w:tab w:leader="none" w:pos="94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Гипокальциемия.</w:t>
      </w:r>
    </w:p>
    <w:p>
      <w:pPr>
        <w:pStyle w:val="Style30"/>
        <w:numPr>
          <w:ilvl w:val="0"/>
          <w:numId w:val="111"/>
        </w:numPr>
        <w:tabs>
          <w:tab w:leader="none" w:pos="9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Преждевременное (до родов) закрытие артери</w:t>
        <w:softHyphen/>
        <w:t>ального протока при приеме матерью аспирина, индомета- цина.</w:t>
      </w:r>
    </w:p>
    <w:p>
      <w:pPr>
        <w:pStyle w:val="Style30"/>
        <w:numPr>
          <w:ilvl w:val="0"/>
          <w:numId w:val="113"/>
        </w:numPr>
        <w:tabs>
          <w:tab w:leader="none" w:pos="80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Плодоплацентарная трансфузия.</w:t>
      </w:r>
    </w:p>
    <w:p>
      <w:pPr>
        <w:pStyle w:val="Style30"/>
        <w:numPr>
          <w:ilvl w:val="1"/>
          <w:numId w:val="113"/>
        </w:numPr>
        <w:tabs>
          <w:tab w:leader="none" w:pos="94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Ятрогенные заболевания — выхождение воздуха:</w:t>
      </w:r>
    </w:p>
    <w:p>
      <w:pPr>
        <w:pStyle w:val="Style30"/>
        <w:numPr>
          <w:ilvl w:val="2"/>
          <w:numId w:val="113"/>
        </w:numPr>
        <w:tabs>
          <w:tab w:leader="none" w:pos="80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Пневмоторакс.</w:t>
      </w:r>
    </w:p>
    <w:p>
      <w:pPr>
        <w:pStyle w:val="Style30"/>
        <w:numPr>
          <w:ilvl w:val="2"/>
          <w:numId w:val="113"/>
        </w:numPr>
        <w:tabs>
          <w:tab w:leader="none" w:pos="80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Пневмомедиастинум.</w:t>
      </w:r>
    </w:p>
    <w:p>
      <w:pPr>
        <w:pStyle w:val="Style30"/>
        <w:numPr>
          <w:ilvl w:val="2"/>
          <w:numId w:val="113"/>
        </w:numPr>
        <w:tabs>
          <w:tab w:leader="none" w:pos="809"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Интерстициальная эмфизема.</w:t>
      </w:r>
    </w:p>
    <w:p>
      <w:pPr>
        <w:pStyle w:val="Style92"/>
        <w:widowControl w:val="0"/>
        <w:keepNext/>
        <w:keepLines/>
        <w:shd w:val="clear" w:color="auto" w:fill="auto"/>
        <w:bidi w:val="0"/>
        <w:spacing w:before="0" w:after="0"/>
        <w:ind w:left="520" w:right="0" w:hanging="240"/>
      </w:pPr>
      <w:bookmarkStart w:id="562" w:name="bookmark562"/>
      <w:r>
        <w:rPr>
          <w:lang w:val="ru-RU" w:eastAsia="ru-RU" w:bidi="ru-RU"/>
          <w:w w:val="100"/>
          <w:spacing w:val="0"/>
          <w:color w:val="000000"/>
          <w:position w:val="0"/>
        </w:rPr>
        <w:t>Патофизиология</w:t>
      </w:r>
      <w:bookmarkEnd w:id="562"/>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Персистирующая легочная гипертензия — синдром, ха</w:t>
        <w:softHyphen/>
        <w:t>рактеризующийся значительной легочной артериальной гипертензией, которая приводит к право-левому экстра- пульмонарному шунтированию крови и гипоксемии. Син</w:t>
        <w:softHyphen/>
        <w:t>дром может встречаться идиопатически или возникает как осложнение сердечно -легочных нарушений, включая ас</w:t>
        <w:softHyphen/>
        <w:t>фиксию, мекониальный аспирационный синдром, респи</w:t>
        <w:softHyphen/>
        <w:t>раторный дистресс-синдром, врожденную диафрагмаль</w:t>
        <w:softHyphen/>
        <w:t>ную грыжу и др.</w:t>
      </w:r>
    </w:p>
    <w:p>
      <w:pPr>
        <w:pStyle w:val="Style92"/>
        <w:widowControl w:val="0"/>
        <w:keepNext/>
        <w:keepLines/>
        <w:shd w:val="clear" w:color="auto" w:fill="auto"/>
        <w:bidi w:val="0"/>
        <w:spacing w:before="0" w:after="0"/>
        <w:ind w:left="520" w:right="0" w:hanging="240"/>
      </w:pPr>
      <w:bookmarkStart w:id="563" w:name="bookmark563"/>
      <w:r>
        <w:rPr>
          <w:lang w:val="ru-RU" w:eastAsia="ru-RU" w:bidi="ru-RU"/>
          <w:w w:val="100"/>
          <w:spacing w:val="0"/>
          <w:color w:val="000000"/>
          <w:position w:val="0"/>
        </w:rPr>
        <w:t>Анамнез</w:t>
      </w:r>
      <w:bookmarkEnd w:id="563"/>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Новорожденные с персистирующей легочной гипер</w:t>
        <w:softHyphen/>
        <w:t>тензией при рождении имеют диффузный цианоз и тахипноэ.</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анамнезе у новорожденных с синдромом персисти- рующей легочной гипертензии часто отмечается пе</w:t>
        <w:softHyphen/>
        <w:t>ринатальный дистресс, амниотическая жидкость ок</w:t>
        <w:softHyphen/>
        <w:t>рашена меконием.</w:t>
      </w:r>
    </w:p>
    <w:p>
      <w:pPr>
        <w:pStyle w:val="Style30"/>
        <w:numPr>
          <w:ilvl w:val="0"/>
          <w:numId w:val="115"/>
        </w:numPr>
        <w:tabs>
          <w:tab w:leader="none" w:pos="518" w:val="left"/>
        </w:tabs>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Часто определяется неустойчивая оксигенация. Клиническая характеристика</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осмотре новорожденного определяется цианоз, который обычно ассоциируется с тахипноэ и респи</w:t>
        <w:softHyphen/>
        <w:t>раторным дистресс-синдромом.</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Выслушивается громкий легочный компонент II тона и грубый систолический шум трикуспидальной недо</w:t>
        <w:softHyphen/>
        <w:t>статочности.</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Из-за функциональной нагрузки на правый желудо</w:t>
        <w:softHyphen/>
        <w:t>чек сердца повреждается его эндокардиальная зона с развитием ишемии и даже инфаркта.</w:t>
      </w:r>
    </w:p>
    <w:p>
      <w:pPr>
        <w:pStyle w:val="Style30"/>
        <w:widowControl w:val="0"/>
        <w:keepNext w:val="0"/>
        <w:keepLines w:val="0"/>
        <w:shd w:val="clear" w:color="auto" w:fill="auto"/>
        <w:bidi w:val="0"/>
        <w:jc w:val="left"/>
        <w:spacing w:before="0" w:after="0"/>
        <w:ind w:left="280" w:right="2500" w:firstLine="0"/>
      </w:pPr>
      <w:r>
        <w:rPr>
          <w:lang w:val="ru-RU" w:eastAsia="ru-RU" w:bidi="ru-RU"/>
          <w:w w:val="100"/>
          <w:spacing w:val="0"/>
          <w:color w:val="000000"/>
          <w:position w:val="0"/>
        </w:rPr>
        <w:t>Лабораторная диагностика Газы крови:</w:t>
      </w:r>
    </w:p>
    <w:p>
      <w:pPr>
        <w:pStyle w:val="Style30"/>
        <w:numPr>
          <w:ilvl w:val="0"/>
          <w:numId w:val="115"/>
        </w:numPr>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 Низкие значения </w:t>
      </w:r>
      <w:r>
        <w:rPr>
          <w:lang w:val="en-US" w:eastAsia="en-US" w:bidi="en-US"/>
          <w:w w:val="100"/>
          <w:spacing w:val="0"/>
          <w:color w:val="000000"/>
          <w:position w:val="0"/>
        </w:rPr>
        <w:t>PaO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xml:space="preserve">и высокие — </w:t>
      </w:r>
      <w:r>
        <w:rPr>
          <w:lang w:val="en-US" w:eastAsia="en-US" w:bidi="en-US"/>
          <w:w w:val="100"/>
          <w:spacing w:val="0"/>
          <w:color w:val="000000"/>
          <w:position w:val="0"/>
        </w:rPr>
        <w:t>PaCO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Если у ребенка сохраняется лево-правый шунт через от</w:t>
        <w:softHyphen/>
        <w:t xml:space="preserve">крытый артериальный проток, </w:t>
      </w:r>
      <w:r>
        <w:rPr>
          <w:lang w:val="en-US" w:eastAsia="en-US" w:bidi="en-US"/>
          <w:w w:val="100"/>
          <w:spacing w:val="0"/>
          <w:color w:val="000000"/>
          <w:position w:val="0"/>
        </w:rPr>
        <w:t>PaO</w:t>
      </w:r>
      <w:r>
        <w:rPr>
          <w:rStyle w:val="CharStyle32"/>
          <w:lang w:val="en-US" w:eastAsia="en-US" w:bidi="en-US"/>
        </w:rPr>
        <w:t>2</w:t>
      </w:r>
      <w:r>
        <w:rPr>
          <w:lang w:val="en-US" w:eastAsia="en-US" w:bidi="en-US"/>
          <w:w w:val="100"/>
          <w:spacing w:val="0"/>
          <w:color w:val="000000"/>
          <w:position w:val="0"/>
        </w:rPr>
        <w:t xml:space="preserve"> </w:t>
      </w:r>
      <w:r>
        <w:rPr>
          <w:lang w:val="ru-RU" w:eastAsia="ru-RU" w:bidi="ru-RU"/>
          <w:w w:val="100"/>
          <w:spacing w:val="0"/>
          <w:color w:val="000000"/>
          <w:position w:val="0"/>
        </w:rPr>
        <w:t>может быть высоким.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Анализ крови:</w:t>
      </w:r>
    </w:p>
    <w:p>
      <w:pPr>
        <w:pStyle w:val="Style30"/>
        <w:numPr>
          <w:ilvl w:val="0"/>
          <w:numId w:val="115"/>
        </w:numPr>
        <w:tabs>
          <w:tab w:leader="none" w:pos="77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 персистирующей легочной гипертензии но</w:t>
        <w:softHyphen/>
        <w:t>ворожденных определяется высокий гематокрит, который обусловлен повышенной вязкостью кро</w:t>
        <w:softHyphen/>
        <w:t>ви и полицитемией.</w:t>
      </w:r>
    </w:p>
    <w:p>
      <w:pPr>
        <w:pStyle w:val="Style30"/>
        <w:numPr>
          <w:ilvl w:val="0"/>
          <w:numId w:val="115"/>
        </w:numPr>
        <w:tabs>
          <w:tab w:leader="none" w:pos="77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Общий анализ крови позволяет дифференциро</w:t>
        <w:softHyphen/>
        <w:t>вать персистирующую легочную гипертензию но</w:t>
        <w:softHyphen/>
        <w:t>ворожденных от состояний, связанных с воспале</w:t>
        <w:softHyphen/>
        <w:t>нием (сепсис, пневмония).</w:t>
      </w:r>
    </w:p>
    <w:p>
      <w:pPr>
        <w:pStyle w:val="Style30"/>
        <w:numPr>
          <w:ilvl w:val="0"/>
          <w:numId w:val="115"/>
        </w:numPr>
        <w:tabs>
          <w:tab w:leader="none" w:pos="77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Количество тромбоцитов обычно снижено, осо</w:t>
        <w:softHyphen/>
        <w:t>бенно у новорожденных с мекониальной аспира</w:t>
        <w:softHyphen/>
        <w:t>цией или асфиксией.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Электролиты плазмы:</w:t>
      </w:r>
    </w:p>
    <w:p>
      <w:pPr>
        <w:pStyle w:val="Style30"/>
        <w:numPr>
          <w:ilvl w:val="0"/>
          <w:numId w:val="115"/>
        </w:numPr>
        <w:tabs>
          <w:tab w:leader="none" w:pos="77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 новорожденных с персистирующей легочной ги</w:t>
        <w:softHyphen/>
        <w:t>пертензией необходимо постоянно мониториро</w:t>
        <w:softHyphen/>
        <w:t>вать содержание электролитов и глюкозы в крови.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br w:type="column"/>
      </w:r>
      <w:r>
        <w:rPr>
          <w:lang w:val="ru-RU" w:eastAsia="ru-RU" w:bidi="ru-RU"/>
          <w:w w:val="100"/>
          <w:spacing w:val="0"/>
          <w:color w:val="000000"/>
          <w:position w:val="0"/>
        </w:rPr>
        <w:t>В частности, поддержание глюкозы и ионизиро</w:t>
        <w:softHyphen/>
        <w:t>ванного уровня кальция в пределах нормальных диапазонов очень важно, так как гипогликемия и гипокальциемия имеют тенденцию ухудшать те</w:t>
        <w:softHyphen/>
        <w:t>чение персистирующей легочной гипертензии.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 ЭКГ у новорожденных с персистирующей ле</w:t>
        <w:softHyphen/>
        <w:t>гочной гипертензией регистрируются перегрузка правого желудочка, изменения процесса реполя</w:t>
        <w:softHyphen/>
        <w:t xml:space="preserve">ризации в виде смещения сегмента </w:t>
      </w:r>
      <w:r>
        <w:rPr>
          <w:lang w:val="en-US" w:eastAsia="en-US" w:bidi="en-US"/>
          <w:w w:val="100"/>
          <w:spacing w:val="0"/>
          <w:color w:val="000000"/>
          <w:position w:val="0"/>
        </w:rPr>
        <w:t xml:space="preserve">ST </w:t>
      </w:r>
      <w:r>
        <w:rPr>
          <w:lang w:val="ru-RU" w:eastAsia="ru-RU" w:bidi="ru-RU"/>
          <w:w w:val="100"/>
          <w:spacing w:val="0"/>
          <w:color w:val="000000"/>
          <w:position w:val="0"/>
        </w:rPr>
        <w:t>вниз от изо</w:t>
        <w:softHyphen/>
        <w:t>линии в правых грудных отведениях, часто опреде - ляется неполная блокада правой ветви пучка Гиса.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Рентгенография грудной клетки: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Рентгенография грудной клетки позволяет опреде - лить, присутствует ли паренхиматозная болезнь легкого типа мекониальной аспирации, пневмо</w:t>
        <w:softHyphen/>
        <w:t>нии или дефицита сурфактанта. Она также помо</w:t>
        <w:softHyphen/>
        <w:t>гает в исключении врожденных пороков сердца и врожденной диафрагмальной грыжи.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легочной гипертензией, легочные поля выглядят чистыми, с обедненным сосудистым рисунком.</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Размеры сердца обычно нормальные или несколь</w:t>
        <w:softHyphen/>
        <w:t>ко увеличены.</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Эхокардиографическое обследование необходимо для исключения цианотических пороков сердца. Выявление аномалии легочных вен может быть очень трудным, если присутствует внелегочный право-левый шунт. В этих случаях может потребо</w:t>
        <w:softHyphen/>
        <w:t>ваться катетеризация сердца.</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Эхокардиография позволяет выявить при персис</w:t>
        <w:softHyphen/>
        <w:t>тирующей легочной гипертензии право-левый шунт крови через артериальный проток или от</w:t>
        <w:softHyphen/>
        <w:t>крытое овальное окно. Допплерографически опре</w:t>
        <w:softHyphen/>
        <w:t>деляют пиковую скорость регургитантного трикус</w:t>
        <w:softHyphen/>
        <w:t>пидального потока. На основании данного показа</w:t>
        <w:softHyphen/>
        <w:t>теля рассчитывают систолическое давление в пра</w:t>
        <w:softHyphen/>
        <w:t>вом желудочке и легочную сосудистую резистент</w:t>
        <w:softHyphen/>
        <w:t>ность.</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Ультразвуковое исследование мозга:</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Данное исследование проводят для исключения внутричерепных кровоизлияний.</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Допплеровское исследование помогает выявить негеморрагический инсульт.</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Другие тесты:</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Пульсоксиметрия:</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Непрерывная оксиметрия пульса чрезвычайно важна в определении тактики лечения новорож</w:t>
        <w:softHyphen/>
        <w:t>денных с персистирующей легочной гипертензи</w:t>
        <w:softHyphen/>
        <w:t>ей. Этот метод позволяет оценить адекватность до - ставки кислорода на уровне ткани.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Зонд оксигемометра устанавливают предуктально (правая рука) и постдуктально (любая нога), чтобы определить величину право -левого сброса на уров</w:t>
        <w:softHyphen/>
        <w:t>не артериального протока.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 Катетеризацию сердца проводят в редких случаях, ес</w:t>
        <w:softHyphen/>
        <w:t>ли эхокардиография не позволяет полностью исклю</w:t>
        <w:softHyphen/>
        <w:t>чить врожденный порок сердца, например, аномаль</w:t>
        <w:softHyphen/>
        <w:t>ный дренаж легочных вен.</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Процедуры:</w:t>
      </w:r>
    </w:p>
    <w:p>
      <w:pPr>
        <w:pStyle w:val="Style30"/>
        <w:widowControl w:val="0"/>
        <w:keepNext w:val="0"/>
        <w:keepLines w:val="0"/>
        <w:shd w:val="clear" w:color="auto" w:fill="auto"/>
        <w:bidi w:val="0"/>
        <w:spacing w:before="0" w:after="0"/>
        <w:ind w:left="260" w:right="0"/>
      </w:pPr>
      <w:r>
        <w:pict>
          <v:shape id="_x0000_s1570" type="#_x0000_t75" style="position:absolute;margin-left:148.1pt;margin-top:736.55pt;width:209.75pt;height:14.9pt;z-index:-125829013;mso-wrap-distance-left:148.1pt;mso-wrap-distance-right:136.8pt;mso-wrap-distance-bottom:10.8pt;mso-position-horizontal-relative:margin;mso-position-vertical-relative:margin" wrapcoords="0 0 21600 0 21600 21600 0 21600 0 0">
            <v:imagedata r:id="rId904" r:href="rId905"/>
            <w10:wrap type="topAndBottom" anchorx="margin" anchory="margin"/>
          </v:shape>
        </w:pict>
      </w:r>
      <w:r>
        <w:rPr>
          <w:lang w:val="ru-RU" w:eastAsia="ru-RU" w:bidi="ru-RU"/>
          <w:w w:val="100"/>
          <w:spacing w:val="0"/>
          <w:color w:val="000000"/>
          <w:position w:val="0"/>
        </w:rPr>
        <w:t>Искусственная вентиляция легких:</w:t>
      </w:r>
      <w:r>
        <w:br w:type="page"/>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Эндотрахеальная интубация и искусственная вен</w:t>
        <w:softHyphen/>
        <w:t>тиляция легких практически всегда необходимы новорожденным с персистирующей легочной ги</w:t>
        <w:softHyphen/>
        <w:t>пертензией.</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Искусственная вентиляция легких должна поддер - живать нормальную экспансию легочного объема и частоту дыхания. Чрезмерная экспансия легких увеличивает легочное сопротивление сосудов и шунтирование через артериальный проток.</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 новорожденных с тяжелым поражением легких может потребоваться высокопиковое давление при вдохе (&gt;30). В этих случаях применяется высо</w:t>
        <w:softHyphen/>
        <w:t>кочастотная вентиляция, которая уменьшает баро</w:t>
        <w:softHyphen/>
        <w:t>травму.</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Катетеризация центральной вены:</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Всем новорожденным показана катетеризация ве</w:t>
        <w:softHyphen/>
        <w:t>ны (вена пупочного канатика или бедренная вена) для введения гипертонических растворов (напри</w:t>
        <w:softHyphen/>
        <w:t>мер, глюконата кальция) и инотропных средств.</w:t>
      </w:r>
    </w:p>
    <w:p>
      <w:pPr>
        <w:pStyle w:val="Style30"/>
        <w:numPr>
          <w:ilvl w:val="0"/>
          <w:numId w:val="115"/>
        </w:numPr>
        <w:tabs>
          <w:tab w:leader="none" w:pos="498"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Венозный катетер устанавливают не более чем на 5 дней, поскольку в дальнейшем возникает высо</w:t>
        <w:softHyphen/>
        <w:t>кий риск развития инфекционных осложнений. •Не рекомендуется катетеризировать яремную ве</w:t>
        <w:softHyphen/>
        <w:t>ну, она может потребоваться для проведения экс</w:t>
        <w:softHyphen/>
        <w:t>тракорпорального кровообращения.</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Катетеризация артерии: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Постоянный катетер устанавливается в пупочную артерию или в периферическую артерию (напри</w:t>
        <w:softHyphen/>
        <w:t>мер, лучевую артерию, заднюю большеберцовую артерию), чтобы проводить частый контроль газов артериальной крови.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Введение сурфактанта: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Хотя назначение сурфактанта может быть полезно при персистирующей легочной гипертензии ново</w:t>
        <w:softHyphen/>
        <w:t>рожденных, его применение еще не одобрено для других использований кроме лечения респиратор</w:t>
        <w:softHyphen/>
        <w:t>ного дистресс-синдрома.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Назначение сурфактанта уменьшает потребность в экстракорпоральной поддержке и наиболее эф</w:t>
        <w:softHyphen/>
        <w:t>фективно на ранних стадиях течения болезни.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Высокочастотная вентиляция:</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Высокочастотная вентиляция — другая важная методика, если новорожденный имеет основную паренхиматозную болезнь легкого с низкими его объемами. Эта методика лучше всего используется для поддержания оптимального растяжения лег</w:t>
        <w:softHyphen/>
        <w:t>кого.</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Высокочастотную вентиляцию необходимо прово</w:t>
        <w:softHyphen/>
        <w:t>дить с большой осторожностью, чтобы избежать перерастяжения легких.</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Экстракорпоральная мембранная оксигенация:</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Экстракорпоральная мембранная оксигенация ис</w:t>
        <w:softHyphen/>
        <w:t>пользуется, для оптимальной поддержки оксиге</w:t>
        <w:softHyphen/>
        <w:t>нации и перфузии.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последние годы экстракорпоральная мембран</w:t>
        <w:softHyphen/>
        <w:t>ная оксигенация проводится двухпросветным ка</w:t>
        <w:softHyphen/>
        <w:t>тетером, введенным через внутреннюю яремную вену, что позволяет избежать необходимость пере</w:t>
        <w:softHyphen/>
        <w:t>вязки правой общей сонной артерии.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Основные критерии, позволяющие проводить экс</w:t>
        <w:softHyphen/>
        <w:t>тракорпоральную мембранную оксигенацию но</w:t>
        <w:softHyphen/>
        <w:t>ворожденным, следующие:</w:t>
      </w:r>
    </w:p>
    <w:p>
      <w:pPr>
        <w:pStyle w:val="Style30"/>
        <w:numPr>
          <w:ilvl w:val="0"/>
          <w:numId w:val="117"/>
        </w:numPr>
        <w:tabs>
          <w:tab w:leader="none" w:pos="953" w:val="left"/>
        </w:tabs>
        <w:widowControl w:val="0"/>
        <w:keepNext w:val="0"/>
        <w:keepLines w:val="0"/>
        <w:shd w:val="clear" w:color="auto" w:fill="auto"/>
        <w:bidi w:val="0"/>
        <w:spacing w:before="0" w:after="0"/>
        <w:ind w:left="760" w:right="0" w:firstLine="0"/>
      </w:pPr>
      <w:r>
        <w:br w:type="column"/>
      </w:r>
      <w:r>
        <w:rPr>
          <w:lang w:val="ru-RU" w:eastAsia="ru-RU" w:bidi="ru-RU"/>
          <w:w w:val="100"/>
          <w:spacing w:val="0"/>
          <w:color w:val="000000"/>
          <w:position w:val="0"/>
        </w:rPr>
        <w:t>срок беременности больше 34 недель;</w:t>
      </w:r>
    </w:p>
    <w:p>
      <w:pPr>
        <w:pStyle w:val="Style30"/>
        <w:numPr>
          <w:ilvl w:val="0"/>
          <w:numId w:val="117"/>
        </w:numPr>
        <w:tabs>
          <w:tab w:leader="none" w:pos="953" w:val="left"/>
        </w:tabs>
        <w:widowControl w:val="0"/>
        <w:keepNext w:val="0"/>
        <w:keepLines w:val="0"/>
        <w:shd w:val="clear" w:color="auto" w:fill="auto"/>
        <w:bidi w:val="0"/>
        <w:spacing w:before="0" w:after="0"/>
        <w:ind w:left="760" w:right="0" w:firstLine="0"/>
      </w:pPr>
      <w:r>
        <w:rPr>
          <w:lang w:val="ru-RU" w:eastAsia="ru-RU" w:bidi="ru-RU"/>
          <w:w w:val="100"/>
          <w:spacing w:val="0"/>
          <w:color w:val="000000"/>
          <w:position w:val="0"/>
        </w:rPr>
        <w:t>вес больше 2000 г;</w:t>
      </w:r>
    </w:p>
    <w:p>
      <w:pPr>
        <w:pStyle w:val="Style30"/>
        <w:numPr>
          <w:ilvl w:val="0"/>
          <w:numId w:val="117"/>
        </w:numPr>
        <w:tabs>
          <w:tab w:leader="none" w:pos="953" w:val="left"/>
        </w:tabs>
        <w:widowControl w:val="0"/>
        <w:keepNext w:val="0"/>
        <w:keepLines w:val="0"/>
        <w:shd w:val="clear" w:color="auto" w:fill="auto"/>
        <w:bidi w:val="0"/>
        <w:spacing w:before="0" w:after="0"/>
        <w:ind w:left="760" w:right="0" w:firstLine="0"/>
      </w:pPr>
      <w:r>
        <w:rPr>
          <w:lang w:val="ru-RU" w:eastAsia="ru-RU" w:bidi="ru-RU"/>
          <w:w w:val="100"/>
          <w:spacing w:val="0"/>
          <w:color w:val="000000"/>
          <w:position w:val="0"/>
        </w:rPr>
        <w:t>нет крупных внутричерепных кровоизлияний;</w:t>
      </w:r>
    </w:p>
    <w:p>
      <w:pPr>
        <w:pStyle w:val="Style30"/>
        <w:numPr>
          <w:ilvl w:val="0"/>
          <w:numId w:val="117"/>
        </w:numPr>
        <w:tabs>
          <w:tab w:leader="none" w:pos="953" w:val="left"/>
        </w:tabs>
        <w:widowControl w:val="0"/>
        <w:keepNext w:val="0"/>
        <w:keepLines w:val="0"/>
        <w:shd w:val="clear" w:color="auto" w:fill="auto"/>
        <w:bidi w:val="0"/>
        <w:jc w:val="left"/>
        <w:spacing w:before="0" w:after="0"/>
        <w:ind w:left="760" w:right="520" w:firstLine="0"/>
      </w:pPr>
      <w:r>
        <w:rPr>
          <w:lang w:val="ru-RU" w:eastAsia="ru-RU" w:bidi="ru-RU"/>
          <w:w w:val="100"/>
          <w:spacing w:val="0"/>
          <w:color w:val="000000"/>
          <w:position w:val="0"/>
        </w:rPr>
        <w:t>искусственная вентиляция легких не более 10-14 дней;</w:t>
      </w:r>
    </w:p>
    <w:p>
      <w:pPr>
        <w:pStyle w:val="Style30"/>
        <w:numPr>
          <w:ilvl w:val="0"/>
          <w:numId w:val="117"/>
        </w:numPr>
        <w:tabs>
          <w:tab w:leader="none" w:pos="953" w:val="left"/>
        </w:tabs>
        <w:widowControl w:val="0"/>
        <w:keepNext w:val="0"/>
        <w:keepLines w:val="0"/>
        <w:shd w:val="clear" w:color="auto" w:fill="auto"/>
        <w:bidi w:val="0"/>
        <w:jc w:val="left"/>
        <w:spacing w:before="0" w:after="0"/>
        <w:ind w:left="760" w:right="0" w:firstLine="0"/>
      </w:pPr>
      <w:r>
        <w:rPr>
          <w:lang w:val="ru-RU" w:eastAsia="ru-RU" w:bidi="ru-RU"/>
          <w:w w:val="100"/>
          <w:spacing w:val="0"/>
          <w:color w:val="000000"/>
          <w:position w:val="0"/>
        </w:rPr>
        <w:t>отсутствуют потенциально летальные или не</w:t>
        <w:softHyphen/>
        <w:t>операбельные пороки сердца.</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Лечение персистирующей легочной гипертензии новорож</w:t>
        <w:softHyphen/>
        <w:t>денных</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Для проведения лечения персистирующей легочной гипертензии новорожденных необходим непрерыв</w:t>
        <w:softHyphen/>
        <w:t>ный контроль оксигенации, кровяного давления и перфузии.</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оказании помощи новорожденным используют оптимальный протокол ведения, чтобы минимизиро</w:t>
        <w:softHyphen/>
        <w:t>вать инвазивные процедуры.</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Проводится коррекция водного и электролитного ба</w:t>
        <w:softHyphen/>
        <w:t>лансов. Адекватный объем циркулирующей крови поддерживают введением кристалл оидных и колло</w:t>
        <w:softHyphen/>
        <w:t>идных растворов. Повторные введения коллоидных растворов необоснованны. В этих случаях инотроп- ная поддержка допамином или добутамином оказы</w:t>
        <w:softHyphen/>
        <w:t>вается более эффективной для адекватного функцио</w:t>
        <w:softHyphen/>
        <w:t>нального состояния сердца и системного давления.</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Искусственная вентиляция легких обычно необходи</w:t>
        <w:softHyphen/>
        <w:t>ма, чтобы поддержать адекватную оксигенацию. Не</w:t>
        <w:softHyphen/>
        <w:t>обходимо определить точную стратегию режима вен</w:t>
        <w:softHyphen/>
        <w:t>тиляции в зависимости от сопутствующего заболева</w:t>
        <w:softHyphen/>
        <w:t>ния легких. Например, у новорожденных со значи</w:t>
        <w:softHyphen/>
        <w:t>тельным снижением воздушного объема легких (ме- кониальная аспирация, пневмония) требуется ИВ Л с более высоким давлением в дыхательных путях, чем у новорожденных с идиопатической персистирую</w:t>
        <w:softHyphen/>
        <w:t>щей легочной гипертензией. Точно так же новорож</w:t>
        <w:softHyphen/>
        <w:t>денные с легочной гипертензией и значительным снижением легочного объема более нуждаются в на</w:t>
        <w:softHyphen/>
        <w:t>значении сурфактанта и/или высокочастотной вен</w:t>
        <w:softHyphen/>
        <w:t>тиляции.</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Уровень </w:t>
      </w:r>
      <w:r>
        <w:rPr>
          <w:lang w:val="en-US" w:eastAsia="en-US" w:bidi="en-US"/>
          <w:w w:val="100"/>
          <w:spacing w:val="0"/>
          <w:color w:val="000000"/>
          <w:position w:val="0"/>
        </w:rPr>
        <w:t>PaO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50 мм рт. ст. и более свидетельствует об адекватной доставке кислорода. Поддержание значи</w:t>
        <w:softHyphen/>
        <w:t xml:space="preserve">тельно высоких концентраций </w:t>
      </w:r>
      <w:r>
        <w:rPr>
          <w:lang w:val="en-US" w:eastAsia="en-US" w:bidi="en-US"/>
          <w:w w:val="100"/>
          <w:spacing w:val="0"/>
          <w:color w:val="000000"/>
          <w:position w:val="0"/>
        </w:rPr>
        <w:t>PaO</w:t>
      </w:r>
      <w:r>
        <w:rPr>
          <w:rStyle w:val="CharStyle32"/>
          <w:lang w:val="en-US" w:eastAsia="en-US" w:bidi="en-US"/>
        </w:rPr>
        <w:t>2</w:t>
      </w:r>
      <w:r>
        <w:rPr>
          <w:lang w:val="en-US" w:eastAsia="en-US" w:bidi="en-US"/>
          <w:w w:val="100"/>
          <w:spacing w:val="0"/>
          <w:color w:val="000000"/>
          <w:position w:val="0"/>
        </w:rPr>
        <w:t xml:space="preserve"> </w:t>
      </w:r>
      <w:r>
        <w:rPr>
          <w:lang w:val="ru-RU" w:eastAsia="ru-RU" w:bidi="ru-RU"/>
          <w:w w:val="100"/>
          <w:spacing w:val="0"/>
          <w:color w:val="000000"/>
          <w:position w:val="0"/>
        </w:rPr>
        <w:t>может привести к баротравме. Для исключения баротравмы (ребенок «борется» с ИВЛ) необходимо назначение седатив - ных препаратов.</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Необходимо проведение коррекции метаболического и дыхательного ацидоза. Для лечения метаболическо</w:t>
        <w:softHyphen/>
        <w:t>го ацидоза обычно используют бикарбонат натрия. Однако если клиренс углекислого газа нарушен, при</w:t>
        <w:softHyphen/>
        <w:t>менение бикарбоната может привести к дыхательно</w:t>
        <w:softHyphen/>
        <w:t xml:space="preserve">му ацидозу. В этих случаях применяют трометамин </w:t>
      </w:r>
      <w:r>
        <w:rPr>
          <w:lang w:val="en-US" w:eastAsia="en-US" w:bidi="en-US"/>
          <w:w w:val="100"/>
          <w:spacing w:val="0"/>
          <w:color w:val="000000"/>
          <w:position w:val="0"/>
        </w:rPr>
        <w:t xml:space="preserve">(tromethamine </w:t>
      </w:r>
      <w:r>
        <w:rPr>
          <w:lang w:val="ru-RU" w:eastAsia="ru-RU" w:bidi="ru-RU"/>
          <w:w w:val="100"/>
          <w:spacing w:val="0"/>
          <w:color w:val="000000"/>
          <w:position w:val="0"/>
        </w:rPr>
        <w:t xml:space="preserve">- </w:t>
      </w:r>
      <w:r>
        <w:rPr>
          <w:lang w:val="en-US" w:eastAsia="en-US" w:bidi="en-US"/>
          <w:w w:val="100"/>
          <w:spacing w:val="0"/>
          <w:color w:val="000000"/>
          <w:position w:val="0"/>
        </w:rPr>
        <w:t xml:space="preserve">THAM), </w:t>
      </w:r>
      <w:r>
        <w:rPr>
          <w:lang w:val="ru-RU" w:eastAsia="ru-RU" w:bidi="ru-RU"/>
          <w:w w:val="100"/>
          <w:spacing w:val="0"/>
          <w:color w:val="000000"/>
          <w:position w:val="0"/>
        </w:rPr>
        <w:t>1-2 ммоль/кг. Трометамин противопоказан новорожденным с анурией и/или уремией.</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pict>
          <v:shape id="_x0000_s1571" type="#_x0000_t75" style="position:absolute;margin-left:130.55pt;margin-top:736.55pt;width:209.75pt;height:14.9pt;z-index:-125829012;mso-wrap-distance-left:124.3pt;mso-wrap-distance-right:148.1pt;mso-wrap-distance-bottom:10.8pt;mso-position-horizontal-relative:margin;mso-position-vertical-relative:margin" wrapcoords="0 0 21600 0 21600 21600 0 21600 0 0">
            <v:imagedata r:id="rId906" r:href="rId907"/>
            <w10:wrap type="topAndBottom" anchorx="margin" anchory="margin"/>
          </v:shape>
        </w:pict>
      </w:r>
      <w:r>
        <w:rPr>
          <w:lang w:val="ru-RU" w:eastAsia="ru-RU" w:bidi="ru-RU"/>
          <w:w w:val="100"/>
          <w:spacing w:val="0"/>
          <w:color w:val="000000"/>
          <w:position w:val="0"/>
        </w:rPr>
        <w:t>Принудительный алкалоз при использовании бикар</w:t>
        <w:softHyphen/>
        <w:t>боната натрия и гипервентиляции ранее были попу</w:t>
        <w:softHyphen/>
        <w:t xml:space="preserve">лярными методами лечения из -за их способности вы - зывать легочную вазодилатацию и увеличение </w:t>
      </w:r>
      <w:r>
        <w:rPr>
          <w:lang w:val="en-US" w:eastAsia="en-US" w:bidi="en-US"/>
          <w:w w:val="100"/>
          <w:spacing w:val="0"/>
          <w:color w:val="000000"/>
          <w:position w:val="0"/>
        </w:rPr>
        <w:t>PaO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однако гипокарбия приводит к спазму мозговых со</w:t>
        <w:softHyphen/>
        <w:t>судов и уменьшению мозгового кровотока. Выражен</w:t>
        <w:softHyphen/>
        <w:t>ный алкалоз и гипокарбия приводят к неврологичес</w:t>
        <w:softHyphen/>
        <w:t>ким нарушениям, включая сенсоневральную глухоту.</w:t>
      </w:r>
      <w:r>
        <w:br w:type="page"/>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Инфузии бикарбоната натрия должны проводиться в таком объеме, чтобы pH было в пределах 7,45-7,5, при этом необходимо контролировать уровень на</w:t>
        <w:softHyphen/>
        <w:t>трия в сыворотке крови и параметры вентиляции для поддержания адекватного клиренса углекислого газа.</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Если удается поддерживать уровень </w:t>
      </w:r>
      <w:r>
        <w:rPr>
          <w:lang w:val="en-US" w:eastAsia="en-US" w:bidi="en-US"/>
          <w:w w:val="100"/>
          <w:spacing w:val="0"/>
          <w:color w:val="000000"/>
          <w:position w:val="0"/>
        </w:rPr>
        <w:t>PaO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xml:space="preserve">в пределах 50-70 мм рт. ст., а </w:t>
      </w:r>
      <w:r>
        <w:rPr>
          <w:lang w:val="en-US" w:eastAsia="en-US" w:bidi="en-US"/>
          <w:w w:val="100"/>
          <w:spacing w:val="0"/>
          <w:color w:val="000000"/>
          <w:position w:val="0"/>
        </w:rPr>
        <w:t>PaCO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ниже 60 мм рт. ст. (так на</w:t>
        <w:softHyphen/>
        <w:t>зываемая «нежная вентиляция»), то можно не прово</w:t>
        <w:softHyphen/>
        <w:t xml:space="preserve">дить алкалинизацию крови. При этом, по данным </w:t>
      </w:r>
      <w:r>
        <w:rPr>
          <w:lang w:val="en-US" w:eastAsia="en-US" w:bidi="en-US"/>
          <w:w w:val="100"/>
          <w:spacing w:val="0"/>
          <w:color w:val="000000"/>
          <w:position w:val="0"/>
        </w:rPr>
        <w:t xml:space="preserve">Wung et al., </w:t>
      </w:r>
      <w:r>
        <w:rPr>
          <w:lang w:val="ru-RU" w:eastAsia="ru-RU" w:bidi="ru-RU"/>
          <w:w w:val="100"/>
          <w:spacing w:val="0"/>
          <w:color w:val="000000"/>
          <w:position w:val="0"/>
        </w:rPr>
        <w:t>значительно ниже частота формирования хронических болезней легких.</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Желательно ИВЛ проводить с применением седатив</w:t>
        <w:softHyphen/>
        <w:t>ных препаратов без использования миорелаксантов, выключающих спонтанное дыхание. Использование миорелаксантов ассоциируется с повышенной ле</w:t>
        <w:softHyphen/>
        <w:t>тальностью.</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Назначение внутривенных сосудорасширяющих средств, таких как толазолин </w:t>
      </w:r>
      <w:r>
        <w:rPr>
          <w:lang w:val="en-US" w:eastAsia="en-US" w:bidi="en-US"/>
          <w:w w:val="100"/>
          <w:spacing w:val="0"/>
          <w:color w:val="000000"/>
          <w:position w:val="0"/>
        </w:rPr>
        <w:t xml:space="preserve">(tolazoline), </w:t>
      </w:r>
      <w:r>
        <w:rPr>
          <w:lang w:val="ru-RU" w:eastAsia="ru-RU" w:bidi="ru-RU"/>
          <w:w w:val="100"/>
          <w:spacing w:val="0"/>
          <w:color w:val="000000"/>
          <w:position w:val="0"/>
        </w:rPr>
        <w:t>антагонистов а-адренорецепторов, является чрезвычайно спорным.</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Применение оксида азота </w:t>
      </w:r>
      <w:r>
        <w:rPr>
          <w:lang w:val="en-US" w:eastAsia="en-US" w:bidi="en-US"/>
          <w:w w:val="100"/>
          <w:spacing w:val="0"/>
          <w:color w:val="000000"/>
          <w:position w:val="0"/>
        </w:rPr>
        <w:t xml:space="preserve">(NO) </w:t>
      </w:r>
      <w:r>
        <w:rPr>
          <w:lang w:val="ru-RU" w:eastAsia="ru-RU" w:bidi="ru-RU"/>
          <w:w w:val="100"/>
          <w:spacing w:val="0"/>
          <w:color w:val="000000"/>
          <w:position w:val="0"/>
        </w:rPr>
        <w:t>оказывает селектив</w:t>
        <w:softHyphen/>
        <w:t>ную вазодилатацию в легких и уменьшает потреб</w:t>
        <w:softHyphen/>
        <w:t>ность в инвазивных методах лечения (например, экс</w:t>
        <w:softHyphen/>
        <w:t>тракорпоральная мембранная оксигенация).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Вспомогательная терапия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Новорожденный с персистирующей легочной гипертен</w:t>
        <w:softHyphen/>
        <w:t>зией должен получать парентеральное питание:</w:t>
      </w:r>
    </w:p>
    <w:p>
      <w:pPr>
        <w:pStyle w:val="Style30"/>
        <w:numPr>
          <w:ilvl w:val="0"/>
          <w:numId w:val="115"/>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В качестве источника белка при парентеральном питании используются растворы кристаллических аминокислот (аминовеноз, альвезин и др.). На</w:t>
        <w:softHyphen/>
        <w:t>чальная доза белка составляет 0,5 г/кг массы тела в сутки с постепенным (каждый день на 0,5 г) уве</w:t>
        <w:softHyphen/>
        <w:t>личением до 2,5-3,0 г/кг/сутки. Количество угле</w:t>
        <w:softHyphen/>
        <w:t>водов и жиров рассчитывается исходя из потреб</w:t>
        <w:softHyphen/>
        <w:t>ности и с учетом, что на 1 грамм белка требуется 30 небелковых килокалорий. В качестве источника углеводов используются растворы глюкозы, а жи</w:t>
        <w:softHyphen/>
        <w:t>ра — жировые эмульсии, такие как липофундин, инфузолипол и др. Жиры назначаются с 0,5 г/кг, увеличиваются постепенно до 2,0 г/кг в сутки (поддерживающая доза), вводятся со скоростью 0,5 г/кг/час.</w:t>
      </w:r>
    </w:p>
    <w:p>
      <w:pPr>
        <w:pStyle w:val="Style30"/>
        <w:numPr>
          <w:ilvl w:val="0"/>
          <w:numId w:val="115"/>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При использовании парентерального питания с первых суток жизни в 1-2 день назначаются толь</w:t>
        <w:softHyphen/>
        <w:t>ко растворы глюкозы, со 2-3 дня подключаются растворы аминокислот, а с 4-5 дня — жировые эмульсии (с добавлением 50 ед. гепарина на 1 г жи</w:t>
        <w:softHyphen/>
        <w:t>ра). Использование жировых эмульсий должно проводиться под контролем уровня триглицеридов крови (не должны превышать 2,2 мг/л).</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Восстановление легких:</w:t>
      </w:r>
    </w:p>
    <w:p>
      <w:pPr>
        <w:pStyle w:val="Style30"/>
        <w:numPr>
          <w:ilvl w:val="0"/>
          <w:numId w:val="115"/>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В целом выживание новорожденных с персистиру- ющей легочной гипертензией при выполнении всех адекватных терапевтических мероприятий, включая экстракорпоральную мембранную окси</w:t>
        <w:softHyphen/>
        <w:t>генацию, достигает 75%.</w:t>
      </w:r>
    </w:p>
    <w:p>
      <w:pPr>
        <w:pStyle w:val="Style30"/>
        <w:numPr>
          <w:ilvl w:val="0"/>
          <w:numId w:val="115"/>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Обычно выжившие новорожденные не имеют ос</w:t>
        <w:softHyphen/>
        <w:t>таточных изменений в легких, легочное артериаль</w:t>
        <w:softHyphen/>
        <w:t>ное давление нормализуется.</w:t>
      </w:r>
    </w:p>
    <w:p>
      <w:pPr>
        <w:pStyle w:val="Style30"/>
        <w:numPr>
          <w:ilvl w:val="0"/>
          <w:numId w:val="115"/>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При длительной искусственной вентиляции лег</w:t>
        <w:softHyphen/>
        <w:t>ких возможно формирование высокой легочной гипертензии, которая протекает как первичная ле</w:t>
        <w:softHyphen/>
      </w:r>
    </w:p>
    <w:p>
      <w:pPr>
        <w:pStyle w:val="Style30"/>
        <w:widowControl w:val="0"/>
        <w:keepNext w:val="0"/>
        <w:keepLines w:val="0"/>
        <w:shd w:val="clear" w:color="auto" w:fill="auto"/>
        <w:bidi w:val="0"/>
        <w:spacing w:before="0" w:after="0"/>
        <w:ind w:left="740" w:right="0" w:firstLine="0"/>
      </w:pPr>
      <w:r>
        <w:br w:type="column"/>
      </w:r>
      <w:r>
        <w:rPr>
          <w:lang w:val="ru-RU" w:eastAsia="ru-RU" w:bidi="ru-RU"/>
          <w:w w:val="100"/>
          <w:spacing w:val="0"/>
          <w:color w:val="000000"/>
          <w:position w:val="0"/>
        </w:rPr>
        <w:t>гочная гипертензия и имеет обычно неблагоприят</w:t>
        <w:softHyphen/>
        <w:t>ный прогноз.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Неврологические осложнения:</w:t>
      </w:r>
    </w:p>
    <w:p>
      <w:pPr>
        <w:pStyle w:val="Style30"/>
        <w:numPr>
          <w:ilvl w:val="0"/>
          <w:numId w:val="115"/>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Большинство новорожденных, выживших от пер- систирующей легочной гипертензии, в последую</w:t>
        <w:softHyphen/>
        <w:t>щем имеют нормальное неврологическое развитие.</w:t>
      </w:r>
    </w:p>
    <w:p>
      <w:pPr>
        <w:pStyle w:val="Style30"/>
        <w:numPr>
          <w:ilvl w:val="0"/>
          <w:numId w:val="115"/>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Длительная искусственная вентиляция легких ас</w:t>
        <w:softHyphen/>
        <w:t>социируется с высокой частотой неврологических нарушений, включая нейросенсорную тугоухость.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Заболеваемость, смертность</w:t>
      </w:r>
    </w:p>
    <w:p>
      <w:pPr>
        <w:pStyle w:val="Style30"/>
        <w:numPr>
          <w:ilvl w:val="0"/>
          <w:numId w:val="11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Еще 15 лет назад летальность от персистирующей ле - гочной гипертензии достигала 40%, а частота невро</w:t>
        <w:softHyphen/>
        <w:t>логических осложнений — 60%.</w:t>
      </w:r>
    </w:p>
    <w:p>
      <w:pPr>
        <w:pStyle w:val="Style30"/>
        <w:numPr>
          <w:ilvl w:val="0"/>
          <w:numId w:val="115"/>
        </w:numPr>
        <w:tabs>
          <w:tab w:leader="none" w:pos="520" w:val="left"/>
        </w:tabs>
        <w:widowControl w:val="0"/>
        <w:keepNext w:val="0"/>
        <w:keepLines w:val="0"/>
        <w:shd w:val="clear" w:color="auto" w:fill="auto"/>
        <w:bidi w:val="0"/>
        <w:spacing w:before="0" w:after="120"/>
        <w:ind w:left="520" w:right="0" w:hanging="240"/>
      </w:pPr>
      <w:r>
        <w:rPr>
          <w:lang w:val="ru-RU" w:eastAsia="ru-RU" w:bidi="ru-RU"/>
          <w:w w:val="100"/>
          <w:spacing w:val="0"/>
          <w:color w:val="000000"/>
          <w:position w:val="0"/>
        </w:rPr>
        <w:t>Внедрение в клиническую практику экстракорпо</w:t>
        <w:softHyphen/>
        <w:t>ральной мембранной оксигенации и других новых технологий привело к существенному снижению ле</w:t>
        <w:softHyphen/>
        <w:t>тальности. Так, в рандомизированном исследовании, проведенном в Великобритании, применение экстра</w:t>
        <w:softHyphen/>
        <w:t>корпоральной мембранной оксигенации позволило снизить летальность с 60 до 30%, а частоту неврологи</w:t>
        <w:softHyphen/>
        <w:t>ческих осложнений — с 60 до 15%.</w:t>
      </w:r>
    </w:p>
    <w:p>
      <w:pPr>
        <w:pStyle w:val="Style92"/>
        <w:widowControl w:val="0"/>
        <w:keepNext/>
        <w:keepLines/>
        <w:shd w:val="clear" w:color="auto" w:fill="auto"/>
        <w:bidi w:val="0"/>
        <w:spacing w:before="0" w:after="120"/>
        <w:ind w:left="0" w:right="0" w:firstLine="280"/>
      </w:pPr>
      <w:bookmarkStart w:id="564" w:name="bookmark564"/>
      <w:r>
        <w:rPr>
          <w:lang w:val="ru-RU" w:eastAsia="ru-RU" w:bidi="ru-RU"/>
          <w:w w:val="100"/>
          <w:spacing w:val="0"/>
          <w:color w:val="000000"/>
          <w:position w:val="0"/>
        </w:rPr>
        <w:t>Лекарственные препараты, применяемые при лечении пер</w:t>
        <w:softHyphen/>
        <w:t>систирующей легочной гипертензии новорожденных</w:t>
      </w:r>
      <w:bookmarkEnd w:id="56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Опиоидные анальгетики используются для глубокого се</w:t>
        <w:softHyphen/>
        <w:t>дативного эффекта и анальгезии, чтобы проводить адекват</w:t>
        <w:softHyphen/>
        <w:t>ную искусственную вентиляцию легких. Использование наркотических анальгетиков (например, фентанил) умень</w:t>
        <w:softHyphen/>
        <w:t>шает симпатический тонус во время инвазивных вмеша</w:t>
        <w:softHyphen/>
        <w:t>тельств и поддерживает легочное сосудистое русло в более релаксированном состоянии.</w:t>
      </w:r>
    </w:p>
    <w:p>
      <w:pPr>
        <w:pStyle w:val="Style30"/>
        <w:widowControl w:val="0"/>
        <w:keepNext w:val="0"/>
        <w:keepLines w:val="0"/>
        <w:shd w:val="clear" w:color="auto" w:fill="auto"/>
        <w:bidi w:val="0"/>
        <w:spacing w:before="0" w:after="0"/>
        <w:ind w:left="0" w:right="0" w:firstLine="280"/>
      </w:pPr>
      <w:r>
        <w:rPr>
          <w:rStyle w:val="CharStyle103"/>
        </w:rPr>
        <w:t>Фентанил</w:t>
      </w:r>
      <w:r>
        <w:rPr>
          <w:lang w:val="ru-RU" w:eastAsia="ru-RU" w:bidi="ru-RU"/>
          <w:w w:val="100"/>
          <w:spacing w:val="0"/>
          <w:color w:val="000000"/>
          <w:position w:val="0"/>
        </w:rPr>
        <w:t xml:space="preserve"> </w:t>
      </w:r>
      <w:r>
        <w:rPr>
          <w:lang w:val="en-US" w:eastAsia="en-US" w:bidi="en-US"/>
          <w:w w:val="100"/>
          <w:spacing w:val="0"/>
          <w:color w:val="000000"/>
          <w:position w:val="0"/>
        </w:rPr>
        <w:t xml:space="preserve">(Fentanyl Sublimaze) </w:t>
      </w:r>
      <w:r>
        <w:rPr>
          <w:lang w:val="ru-RU" w:eastAsia="ru-RU" w:bidi="ru-RU"/>
          <w:w w:val="100"/>
          <w:spacing w:val="0"/>
          <w:color w:val="000000"/>
          <w:position w:val="0"/>
        </w:rPr>
        <w:t>новорожденным назна</w:t>
        <w:softHyphen/>
        <w:t>чают в виде однократных внутривенных введений в дозе</w:t>
      </w:r>
    </w:p>
    <w:p>
      <w:pPr>
        <w:pStyle w:val="Style30"/>
        <w:numPr>
          <w:ilvl w:val="0"/>
          <w:numId w:val="119"/>
        </w:numPr>
        <w:tabs>
          <w:tab w:leader="none" w:pos="289" w:val="left"/>
        </w:tabs>
        <w:widowControl w:val="0"/>
        <w:keepNext w:val="0"/>
        <w:keepLines w:val="0"/>
        <w:shd w:val="clear" w:color="auto" w:fill="auto"/>
        <w:bidi w:val="0"/>
        <w:spacing w:before="0" w:after="120"/>
        <w:ind w:left="0" w:right="0" w:firstLine="0"/>
      </w:pPr>
      <w:r>
        <w:rPr>
          <w:lang w:val="ru-RU" w:eastAsia="ru-RU" w:bidi="ru-RU"/>
          <w:w w:val="100"/>
          <w:spacing w:val="0"/>
          <w:color w:val="000000"/>
          <w:position w:val="0"/>
        </w:rPr>
        <w:t>5 мкг/кг медленно, повторные введения через 2 часа. По</w:t>
        <w:softHyphen/>
        <w:t>стоянную инфузию проводят методом титрования вначале в дозе 1-2 мкг/кг/час, в последующем — 0,5-1 мкг/кг/час.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Недеполяризующие миорелаксанты применяют, если но</w:t>
        <w:softHyphen/>
        <w:t>ворожденный остается нестабильным (сохраняется спон</w:t>
        <w:softHyphen/>
        <w:t>танное дыхание на ИВЛ), несмотря на адекватную седа- цию.</w:t>
      </w:r>
    </w:p>
    <w:p>
      <w:pPr>
        <w:pStyle w:val="Style30"/>
        <w:widowControl w:val="0"/>
        <w:keepNext w:val="0"/>
        <w:keepLines w:val="0"/>
        <w:shd w:val="clear" w:color="auto" w:fill="auto"/>
        <w:bidi w:val="0"/>
        <w:spacing w:before="0" w:after="0"/>
        <w:ind w:left="0" w:right="0" w:firstLine="280"/>
      </w:pPr>
      <w:r>
        <w:rPr>
          <w:rStyle w:val="CharStyle103"/>
        </w:rPr>
        <w:t>Панкурониум</w:t>
      </w:r>
      <w:r>
        <w:rPr>
          <w:lang w:val="ru-RU" w:eastAsia="ru-RU" w:bidi="ru-RU"/>
          <w:w w:val="100"/>
          <w:spacing w:val="0"/>
          <w:color w:val="000000"/>
          <w:position w:val="0"/>
        </w:rPr>
        <w:t xml:space="preserve"> </w:t>
      </w:r>
      <w:r>
        <w:rPr>
          <w:lang w:val="en-US" w:eastAsia="en-US" w:bidi="en-US"/>
          <w:w w:val="100"/>
          <w:spacing w:val="0"/>
          <w:color w:val="000000"/>
          <w:position w:val="0"/>
        </w:rPr>
        <w:t xml:space="preserve">(Pancuronium Pavulon) </w:t>
      </w:r>
      <w:r>
        <w:rPr>
          <w:lang w:val="ru-RU" w:eastAsia="ru-RU" w:bidi="ru-RU"/>
          <w:w w:val="100"/>
          <w:spacing w:val="0"/>
          <w:color w:val="000000"/>
          <w:position w:val="0"/>
        </w:rPr>
        <w:t>новорожденным на</w:t>
        <w:softHyphen/>
        <w:t>значают в виде однократных внутривенных введений в дозе 0,05-0,15 мг/кг медленно. Постоянную инфузию проводят методом титрования в дозе 0,01-0,1 мг/кг/час.</w:t>
      </w:r>
    </w:p>
    <w:p>
      <w:pPr>
        <w:pStyle w:val="Style30"/>
        <w:widowControl w:val="0"/>
        <w:keepNext w:val="0"/>
        <w:keepLines w:val="0"/>
        <w:shd w:val="clear" w:color="auto" w:fill="auto"/>
        <w:bidi w:val="0"/>
        <w:spacing w:before="0" w:after="120"/>
        <w:ind w:left="0" w:right="0" w:firstLine="280"/>
      </w:pPr>
      <w:r>
        <w:rPr>
          <w:rStyle w:val="CharStyle103"/>
        </w:rPr>
        <w:t>Векурониум</w:t>
      </w:r>
      <w:r>
        <w:rPr>
          <w:lang w:val="ru-RU" w:eastAsia="ru-RU" w:bidi="ru-RU"/>
          <w:w w:val="100"/>
          <w:spacing w:val="0"/>
          <w:color w:val="000000"/>
          <w:position w:val="0"/>
        </w:rPr>
        <w:t xml:space="preserve"> </w:t>
      </w:r>
      <w:r>
        <w:rPr>
          <w:lang w:val="en-US" w:eastAsia="en-US" w:bidi="en-US"/>
          <w:w w:val="100"/>
          <w:spacing w:val="0"/>
          <w:color w:val="000000"/>
          <w:position w:val="0"/>
        </w:rPr>
        <w:t xml:space="preserve">(Vecuronium Norcuron) </w:t>
      </w:r>
      <w:r>
        <w:rPr>
          <w:lang w:val="ru-RU" w:eastAsia="ru-RU" w:bidi="ru-RU"/>
          <w:w w:val="100"/>
          <w:spacing w:val="0"/>
          <w:color w:val="000000"/>
          <w:position w:val="0"/>
        </w:rPr>
        <w:t>новорожденным на</w:t>
        <w:softHyphen/>
        <w:t>значают в виде однократных внутривенных введений в дозе 0,05-0,15 мкг/кг медленно.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Вазопрессоры позволяют увеличить функциональную активность сердца, не вызывая изменений системного или легочного сопротивления сосудов.</w:t>
      </w:r>
    </w:p>
    <w:p>
      <w:pPr>
        <w:pStyle w:val="Style30"/>
        <w:widowControl w:val="0"/>
        <w:keepNext w:val="0"/>
        <w:keepLines w:val="0"/>
        <w:shd w:val="clear" w:color="auto" w:fill="auto"/>
        <w:bidi w:val="0"/>
        <w:spacing w:before="0" w:after="0"/>
        <w:ind w:left="0" w:right="0" w:firstLine="280"/>
      </w:pPr>
      <w:r>
        <w:rPr>
          <w:rStyle w:val="CharStyle103"/>
        </w:rPr>
        <w:t>Допамин</w:t>
      </w:r>
      <w:r>
        <w:rPr>
          <w:lang w:val="ru-RU" w:eastAsia="ru-RU" w:bidi="ru-RU"/>
          <w:w w:val="100"/>
          <w:spacing w:val="0"/>
          <w:color w:val="000000"/>
          <w:position w:val="0"/>
        </w:rPr>
        <w:t xml:space="preserve"> </w:t>
      </w:r>
      <w:r>
        <w:rPr>
          <w:lang w:val="en-US" w:eastAsia="en-US" w:bidi="en-US"/>
          <w:w w:val="100"/>
          <w:spacing w:val="0"/>
          <w:color w:val="000000"/>
          <w:position w:val="0"/>
        </w:rPr>
        <w:t xml:space="preserve">(Dopamine, Intropin) </w:t>
      </w:r>
      <w:r>
        <w:rPr>
          <w:lang w:val="ru-RU" w:eastAsia="ru-RU" w:bidi="ru-RU"/>
          <w:w w:val="100"/>
          <w:spacing w:val="0"/>
          <w:color w:val="000000"/>
          <w:position w:val="0"/>
        </w:rPr>
        <w:t>новорожденным назнача</w:t>
        <w:softHyphen/>
        <w:t>ют в виде постоянной внутривенной инфузии в дозе</w:t>
      </w:r>
    </w:p>
    <w:p>
      <w:pPr>
        <w:pStyle w:val="Style30"/>
        <w:numPr>
          <w:ilvl w:val="0"/>
          <w:numId w:val="119"/>
        </w:numPr>
        <w:tabs>
          <w:tab w:leader="none" w:pos="284"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20 мкг/кг/мин.</w:t>
      </w:r>
    </w:p>
    <w:p>
      <w:pPr>
        <w:pStyle w:val="Style30"/>
        <w:widowControl w:val="0"/>
        <w:keepNext w:val="0"/>
        <w:keepLines w:val="0"/>
        <w:shd w:val="clear" w:color="auto" w:fill="auto"/>
        <w:bidi w:val="0"/>
        <w:spacing w:before="0" w:after="120"/>
        <w:ind w:left="0" w:right="0" w:firstLine="280"/>
      </w:pPr>
      <w:r>
        <w:rPr>
          <w:rStyle w:val="CharStyle103"/>
        </w:rPr>
        <w:t>Добутамин</w:t>
      </w:r>
      <w:r>
        <w:rPr>
          <w:lang w:val="ru-RU" w:eastAsia="ru-RU" w:bidi="ru-RU"/>
          <w:w w:val="100"/>
          <w:spacing w:val="0"/>
          <w:color w:val="000000"/>
          <w:position w:val="0"/>
        </w:rPr>
        <w:t xml:space="preserve"> </w:t>
      </w:r>
      <w:r>
        <w:rPr>
          <w:lang w:val="en-US" w:eastAsia="en-US" w:bidi="en-US"/>
          <w:w w:val="100"/>
          <w:spacing w:val="0"/>
          <w:color w:val="000000"/>
          <w:position w:val="0"/>
        </w:rPr>
        <w:t xml:space="preserve">(Dobutamine, Dobutrex) </w:t>
      </w:r>
      <w:r>
        <w:rPr>
          <w:lang w:val="ru-RU" w:eastAsia="ru-RU" w:bidi="ru-RU"/>
          <w:w w:val="100"/>
          <w:spacing w:val="0"/>
          <w:color w:val="000000"/>
          <w:position w:val="0"/>
        </w:rPr>
        <w:t>в педиатрической практике назначают в виде постоянной внутривенной ин</w:t>
        <w:softHyphen/>
        <w:t>фузии в дозе 2-25 мкг/кг/мин.</w:t>
      </w:r>
    </w:p>
    <w:p>
      <w:pPr>
        <w:pStyle w:val="Style30"/>
        <w:widowControl w:val="0"/>
        <w:keepNext w:val="0"/>
        <w:keepLines w:val="0"/>
        <w:shd w:val="clear" w:color="auto" w:fill="auto"/>
        <w:bidi w:val="0"/>
        <w:spacing w:before="0" w:after="0"/>
        <w:ind w:left="0" w:right="0" w:firstLine="280"/>
      </w:pPr>
      <w:r>
        <w:pict>
          <v:shape id="_x0000_s1572" type="#_x0000_t75" style="position:absolute;margin-left:141.85pt;margin-top:736.55pt;width:209.75pt;height:14.9pt;z-index:-125829011;mso-wrap-distance-left:135.6pt;mso-wrap-distance-right:136.8pt;mso-wrap-distance-bottom:10.8pt;mso-position-horizontal-relative:margin;mso-position-vertical-relative:margin" wrapcoords="0 0 21600 0 21600 21600 0 21600 0 0">
            <v:imagedata r:id="rId908" r:href="rId909"/>
            <w10:wrap type="topAndBottom" anchorx="margin" anchory="margin"/>
          </v:shape>
        </w:pict>
      </w:r>
      <w:r>
        <w:rPr>
          <w:lang w:val="ru-RU" w:eastAsia="ru-RU" w:bidi="ru-RU"/>
          <w:w w:val="100"/>
          <w:spacing w:val="0"/>
          <w:color w:val="000000"/>
          <w:position w:val="0"/>
        </w:rPr>
        <w:t>Сурфактанты при персистирующей легочной гипертен</w:t>
        <w:softHyphen/>
        <w:t>зии новорожденным назначают в случаях респираторного дистресс-синдрома или при мекониальной аспирации.</w:t>
      </w:r>
      <w:r>
        <w:br w:type="page"/>
      </w:r>
    </w:p>
    <w:p>
      <w:pPr>
        <w:pStyle w:val="Style30"/>
        <w:widowControl w:val="0"/>
        <w:keepNext w:val="0"/>
        <w:keepLines w:val="0"/>
        <w:shd w:val="clear" w:color="auto" w:fill="auto"/>
        <w:bidi w:val="0"/>
        <w:spacing w:before="0" w:after="0"/>
        <w:ind w:left="0" w:right="0" w:firstLine="280"/>
      </w:pPr>
      <w:r>
        <w:rPr>
          <w:rStyle w:val="CharStyle103"/>
        </w:rPr>
        <w:t>Берактант</w:t>
      </w:r>
      <w:r>
        <w:rPr>
          <w:lang w:val="ru-RU" w:eastAsia="ru-RU" w:bidi="ru-RU"/>
          <w:w w:val="100"/>
          <w:spacing w:val="0"/>
          <w:color w:val="000000"/>
          <w:position w:val="0"/>
        </w:rPr>
        <w:t xml:space="preserve"> </w:t>
      </w:r>
      <w:r>
        <w:rPr>
          <w:lang w:val="en-US" w:eastAsia="en-US" w:bidi="en-US"/>
          <w:w w:val="100"/>
          <w:spacing w:val="0"/>
          <w:color w:val="000000"/>
          <w:position w:val="0"/>
        </w:rPr>
        <w:t xml:space="preserve">(Beractant, Survanta) </w:t>
      </w:r>
      <w:r>
        <w:rPr>
          <w:lang w:val="ru-RU" w:eastAsia="ru-RU" w:bidi="ru-RU"/>
          <w:w w:val="100"/>
          <w:spacing w:val="0"/>
          <w:color w:val="000000"/>
          <w:position w:val="0"/>
        </w:rPr>
        <w:t>вводят интратрахеально 100 мг (4 мл)/кг в 4 приема через каждые 6 часов.</w:t>
      </w:r>
    </w:p>
    <w:p>
      <w:pPr>
        <w:pStyle w:val="Style30"/>
        <w:widowControl w:val="0"/>
        <w:keepNext w:val="0"/>
        <w:keepLines w:val="0"/>
        <w:shd w:val="clear" w:color="auto" w:fill="auto"/>
        <w:bidi w:val="0"/>
        <w:spacing w:before="0" w:after="180"/>
        <w:ind w:left="0" w:right="0" w:firstLine="280"/>
      </w:pPr>
      <w:r>
        <w:rPr>
          <w:rStyle w:val="CharStyle103"/>
        </w:rPr>
        <w:t>Калфактант</w:t>
      </w:r>
      <w:r>
        <w:rPr>
          <w:lang w:val="ru-RU" w:eastAsia="ru-RU" w:bidi="ru-RU"/>
          <w:w w:val="100"/>
          <w:spacing w:val="0"/>
          <w:color w:val="000000"/>
          <w:position w:val="0"/>
        </w:rPr>
        <w:t xml:space="preserve"> </w:t>
      </w:r>
      <w:r>
        <w:rPr>
          <w:lang w:val="en-US" w:eastAsia="en-US" w:bidi="en-US"/>
          <w:w w:val="100"/>
          <w:spacing w:val="0"/>
          <w:color w:val="000000"/>
          <w:position w:val="0"/>
        </w:rPr>
        <w:t xml:space="preserve">(Calfactant, Infasurf) </w:t>
      </w:r>
      <w:r>
        <w:rPr>
          <w:lang w:val="ru-RU" w:eastAsia="ru-RU" w:bidi="ru-RU"/>
          <w:w w:val="100"/>
          <w:spacing w:val="0"/>
          <w:color w:val="000000"/>
          <w:position w:val="0"/>
        </w:rPr>
        <w:t>— интратрахеально 3 мл/кг каждые 6-12 часов, не более 3-4 введений.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Алкалинизирующие средства применяются для коррек</w:t>
        <w:softHyphen/>
        <w:t>ции метаболического ацидоза. Умеренное защелачивание плазмы бикарбонатом натрия уменьшает легочное сосудис</w:t>
        <w:softHyphen/>
        <w:t>тое сопротивление.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Натрия бикарбонат </w:t>
      </w:r>
      <w:r>
        <w:rPr>
          <w:lang w:val="en-US" w:eastAsia="en-US" w:bidi="en-US"/>
          <w:w w:val="100"/>
          <w:spacing w:val="0"/>
          <w:color w:val="000000"/>
          <w:position w:val="0"/>
        </w:rPr>
        <w:t xml:space="preserve">(Sodium bicarbonate) </w:t>
      </w:r>
      <w:r>
        <w:rPr>
          <w:lang w:val="ru-RU" w:eastAsia="ru-RU" w:bidi="ru-RU"/>
          <w:w w:val="100"/>
          <w:spacing w:val="0"/>
          <w:color w:val="000000"/>
          <w:position w:val="0"/>
        </w:rPr>
        <w:t>— медленное внутривенное введение 2-3 мэкв/кг.</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 xml:space="preserve">Трометамин </w:t>
      </w:r>
      <w:r>
        <w:rPr>
          <w:lang w:val="en-US" w:eastAsia="en-US" w:bidi="en-US"/>
          <w:w w:val="100"/>
          <w:spacing w:val="0"/>
          <w:color w:val="000000"/>
          <w:position w:val="0"/>
        </w:rPr>
        <w:t xml:space="preserve">(Tromethamine, THAM) </w:t>
      </w:r>
      <w:r>
        <w:rPr>
          <w:lang w:val="ru-RU" w:eastAsia="ru-RU" w:bidi="ru-RU"/>
          <w:w w:val="100"/>
          <w:spacing w:val="0"/>
          <w:color w:val="000000"/>
          <w:position w:val="0"/>
        </w:rPr>
        <w:t xml:space="preserve">— обычно начальная доза составляет 3-16 мл/кг/час, в последующем титруется в зависимости от </w:t>
      </w:r>
      <w:r>
        <w:rPr>
          <w:lang w:val="en-US" w:eastAsia="en-US" w:bidi="en-US"/>
          <w:w w:val="100"/>
          <w:spacing w:val="0"/>
          <w:color w:val="000000"/>
          <w:position w:val="0"/>
        </w:rPr>
        <w:t xml:space="preserve">pH </w:t>
      </w:r>
      <w:r>
        <w:rPr>
          <w:lang w:val="ru-RU" w:eastAsia="ru-RU" w:bidi="ru-RU"/>
          <w:w w:val="100"/>
          <w:spacing w:val="0"/>
          <w:color w:val="000000"/>
          <w:position w:val="0"/>
        </w:rPr>
        <w:t>плазмы.</w:t>
      </w:r>
    </w:p>
    <w:p>
      <w:pPr>
        <w:pStyle w:val="Style30"/>
        <w:widowControl w:val="0"/>
        <w:keepNext w:val="0"/>
        <w:keepLines w:val="0"/>
        <w:shd w:val="clear" w:color="auto" w:fill="auto"/>
        <w:bidi w:val="0"/>
        <w:spacing w:before="0" w:after="177"/>
        <w:ind w:left="0" w:right="0" w:firstLine="280"/>
      </w:pPr>
      <w:r>
        <w:rPr>
          <w:lang w:val="ru-RU" w:eastAsia="ru-RU" w:bidi="ru-RU"/>
          <w:w w:val="100"/>
          <w:spacing w:val="0"/>
          <w:color w:val="000000"/>
          <w:position w:val="0"/>
        </w:rPr>
        <w:t xml:space="preserve">Легочные вазодилататоры — оксид азота </w:t>
      </w:r>
      <w:r>
        <w:rPr>
          <w:lang w:val="en-US" w:eastAsia="en-US" w:bidi="en-US"/>
          <w:w w:val="100"/>
          <w:spacing w:val="0"/>
          <w:color w:val="000000"/>
          <w:position w:val="0"/>
        </w:rPr>
        <w:t xml:space="preserve">(NO) </w:t>
      </w:r>
      <w:r>
        <w:rPr>
          <w:lang w:val="ru-RU" w:eastAsia="ru-RU" w:bidi="ru-RU"/>
          <w:w w:val="100"/>
          <w:spacing w:val="0"/>
          <w:color w:val="000000"/>
          <w:position w:val="0"/>
        </w:rPr>
        <w:t>оказывает селективную дилатацию легочных сосудов. Оптимальная доза для новорожденных с персистирующей легочной ги</w:t>
        <w:softHyphen/>
        <w:t xml:space="preserve">пертензией не определена. Обычно применяют ингаляции 5-20 </w:t>
      </w:r>
      <w:r>
        <w:rPr>
          <w:lang w:val="en-US" w:eastAsia="en-US" w:bidi="en-US"/>
          <w:w w:val="100"/>
          <w:spacing w:val="0"/>
          <w:color w:val="000000"/>
          <w:position w:val="0"/>
        </w:rPr>
        <w:t>ppm.</w:t>
      </w:r>
    </w:p>
    <w:p>
      <w:pPr>
        <w:pStyle w:val="Style28"/>
        <w:widowControl w:val="0"/>
        <w:keepNext/>
        <w:keepLines/>
        <w:shd w:val="clear" w:color="auto" w:fill="auto"/>
        <w:bidi w:val="0"/>
        <w:jc w:val="left"/>
        <w:spacing w:before="0" w:after="97" w:line="220" w:lineRule="exact"/>
        <w:ind w:left="0" w:right="0" w:firstLine="0"/>
      </w:pPr>
      <w:bookmarkStart w:id="565" w:name="bookmark565"/>
      <w:r>
        <w:rPr>
          <w:lang w:val="ru-RU" w:eastAsia="ru-RU" w:bidi="ru-RU"/>
          <w:w w:val="100"/>
          <w:spacing w:val="0"/>
          <w:color w:val="000000"/>
          <w:position w:val="0"/>
        </w:rPr>
        <w:t>Пограничная легочная гипертензия</w:t>
      </w:r>
      <w:bookmarkEnd w:id="56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Под пограничной легочной гипертензией понимают на</w:t>
        <w:softHyphen/>
        <w:t>рушения циркуляции в малом круге кровообращения, со</w:t>
        <w:softHyphen/>
        <w:t>провождающиеся повышением легочного артериального давления, однако не превышающие 25 мм рт. ст. (давление на грани нормы и патологии).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 определена.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Возникновение пограничной легочной гипертензии у детей обусловлено, по крайней мере, 2 патогенети</w:t>
        <w:softHyphen/>
        <w:t>ческими механизмами:</w:t>
      </w:r>
    </w:p>
    <w:p>
      <w:pPr>
        <w:pStyle w:val="Style30"/>
        <w:numPr>
          <w:ilvl w:val="0"/>
          <w:numId w:val="117"/>
        </w:numPr>
        <w:tabs>
          <w:tab w:leader="none" w:pos="74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высокая сосудистая реактивность малого круга кровообращения;</w:t>
      </w:r>
    </w:p>
    <w:p>
      <w:pPr>
        <w:pStyle w:val="Style30"/>
        <w:numPr>
          <w:ilvl w:val="0"/>
          <w:numId w:val="117"/>
        </w:numPr>
        <w:tabs>
          <w:tab w:leader="none" w:pos="74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гиперкинетический кардиальный синдром, при</w:t>
        <w:softHyphen/>
        <w:t>водящий к относительной гиперволемии малого круга и нарушению венозного оттока из легочных сосудов.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большинства детей с пограничной легочной гипер</w:t>
        <w:softHyphen/>
        <w:t>тензией имеет место неблагоприятный перинаталь</w:t>
        <w:softHyphen/>
        <w:t>ный анамнез.</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генеалогическом анамнезе определяется наслед</w:t>
        <w:softHyphen/>
        <w:t>ственная отягощенность по психосоматическим за</w:t>
        <w:softHyphen/>
        <w:t>болеваниям, реализующаяся через парасимпатичес</w:t>
        <w:softHyphen/>
        <w:t>кую нервную систему, реже отмечаются заболевания, сопряженные с эрготропными нарушениями преиму</w:t>
        <w:softHyphen/>
        <w:t>щественно во втором поколении.</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Сведения, полученные из анамнеза (патология пери</w:t>
        <w:softHyphen/>
        <w:t>натального периода развития вегетативной нервной системы), и генеалогические данные (наследственная отягощенность по психосоматическим заболевани</w:t>
        <w:softHyphen/>
        <w:t>ям, подтверждают роль вегетативной дизрегуляции нарушений в малом круге кровообращения у детей с пограничной легочной гипертензией.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Жалобы</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Кардиалгии.</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Болевые ощущения, возникающие в правом подребе</w:t>
        <w:softHyphen/>
        <w:t>рье при продолжительном беге, спортивных заняти</w:t>
        <w:softHyphen/>
        <w:t>ях. Данный симптом является клиническим проявле-</w:t>
      </w:r>
    </w:p>
    <w:p>
      <w:pPr>
        <w:pStyle w:val="Style30"/>
        <w:widowControl w:val="0"/>
        <w:keepNext w:val="0"/>
        <w:keepLines w:val="0"/>
        <w:shd w:val="clear" w:color="auto" w:fill="auto"/>
        <w:bidi w:val="0"/>
        <w:spacing w:before="0" w:after="0"/>
        <w:ind w:left="280" w:right="0" w:firstLine="0"/>
      </w:pPr>
      <w:r>
        <w:br w:type="column"/>
      </w:r>
      <w:r>
        <w:rPr>
          <w:lang w:val="ru-RU" w:eastAsia="ru-RU" w:bidi="ru-RU"/>
          <w:w w:val="100"/>
          <w:spacing w:val="0"/>
          <w:color w:val="000000"/>
          <w:position w:val="0"/>
        </w:rPr>
        <w:t>нием несоответствия производительности правого желудочка возросшему притоку крови к сердцу.</w:t>
      </w:r>
    </w:p>
    <w:p>
      <w:pPr>
        <w:pStyle w:val="Style30"/>
        <w:numPr>
          <w:ilvl w:val="0"/>
          <w:numId w:val="115"/>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Ощущение нехватки воздуха.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Клиническая характеристика</w:t>
      </w:r>
    </w:p>
    <w:p>
      <w:pPr>
        <w:pStyle w:val="Style30"/>
        <w:numPr>
          <w:ilvl w:val="0"/>
          <w:numId w:val="115"/>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Показатели физического развития детей с погранич</w:t>
        <w:softHyphen/>
        <w:t>ной легочной гипертензией существенно не отлича</w:t>
        <w:softHyphen/>
        <w:t>ются от среднестатистических, однако часто наблю</w:t>
        <w:softHyphen/>
        <w:t>дается дисгармоничное развитие, преимущественно в результате дефицита массы тела.</w:t>
      </w:r>
    </w:p>
    <w:p>
      <w:pPr>
        <w:pStyle w:val="Style30"/>
        <w:numPr>
          <w:ilvl w:val="0"/>
          <w:numId w:val="115"/>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осмотре границы сердца не расширены, отсут</w:t>
        <w:softHyphen/>
        <w:t>ствуют патологические шумы, может выслушиваться акцент II тона над легочной артерией.</w:t>
      </w:r>
    </w:p>
    <w:p>
      <w:pPr>
        <w:pStyle w:val="Style30"/>
        <w:numPr>
          <w:ilvl w:val="0"/>
          <w:numId w:val="115"/>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Признаки НЦД по гипотензивному или кардиально</w:t>
        <w:softHyphen/>
        <w:t>му типам.</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Психоэмоциональные особенности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Гипостенические нарушения:</w:t>
      </w:r>
    </w:p>
    <w:p>
      <w:pPr>
        <w:pStyle w:val="Style30"/>
        <w:numPr>
          <w:ilvl w:val="0"/>
          <w:numId w:val="117"/>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утомляемость;</w:t>
      </w:r>
    </w:p>
    <w:p>
      <w:pPr>
        <w:pStyle w:val="Style30"/>
        <w:numPr>
          <w:ilvl w:val="0"/>
          <w:numId w:val="117"/>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вялость;</w:t>
      </w:r>
    </w:p>
    <w:p>
      <w:pPr>
        <w:pStyle w:val="Style30"/>
        <w:numPr>
          <w:ilvl w:val="0"/>
          <w:numId w:val="117"/>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слабость4</w:t>
      </w:r>
    </w:p>
    <w:p>
      <w:pPr>
        <w:pStyle w:val="Style30"/>
        <w:numPr>
          <w:ilvl w:val="0"/>
          <w:numId w:val="117"/>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подавленность;</w:t>
      </w:r>
    </w:p>
    <w:p>
      <w:pPr>
        <w:pStyle w:val="Style30"/>
        <w:numPr>
          <w:ilvl w:val="0"/>
          <w:numId w:val="117"/>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апатия;</w:t>
      </w:r>
    </w:p>
    <w:p>
      <w:pPr>
        <w:pStyle w:val="Style30"/>
        <w:numPr>
          <w:ilvl w:val="0"/>
          <w:numId w:val="117"/>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снижение работоспособности.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Гиперстенические состояния:</w:t>
      </w:r>
    </w:p>
    <w:p>
      <w:pPr>
        <w:pStyle w:val="Style30"/>
        <w:numPr>
          <w:ilvl w:val="0"/>
          <w:numId w:val="117"/>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раздражительность;</w:t>
      </w:r>
    </w:p>
    <w:p>
      <w:pPr>
        <w:pStyle w:val="Style30"/>
        <w:numPr>
          <w:ilvl w:val="0"/>
          <w:numId w:val="117"/>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психомоторная возбудимость;</w:t>
      </w:r>
    </w:p>
    <w:p>
      <w:pPr>
        <w:pStyle w:val="Style30"/>
        <w:numPr>
          <w:ilvl w:val="0"/>
          <w:numId w:val="117"/>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аффективные реакции;</w:t>
      </w:r>
    </w:p>
    <w:p>
      <w:pPr>
        <w:pStyle w:val="Style30"/>
        <w:numPr>
          <w:ilvl w:val="0"/>
          <w:numId w:val="117"/>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тревога;</w:t>
      </w:r>
    </w:p>
    <w:p>
      <w:pPr>
        <w:pStyle w:val="Style30"/>
        <w:numPr>
          <w:ilvl w:val="0"/>
          <w:numId w:val="117"/>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страх.</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Электрокардиография выявляет неспецифические ЭКГ- феномены, которые довольно часто встречаются в дет</w:t>
        <w:softHyphen/>
        <w:t>ской популяции и отражают в первую очередь особенно сти нейровегетативной регуляции пейсмекерных обра зований сердца:</w:t>
      </w:r>
    </w:p>
    <w:p>
      <w:pPr>
        <w:pStyle w:val="Style30"/>
        <w:numPr>
          <w:ilvl w:val="0"/>
          <w:numId w:val="115"/>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Синусовая брадикардия.</w:t>
      </w:r>
    </w:p>
    <w:p>
      <w:pPr>
        <w:pStyle w:val="Style30"/>
        <w:numPr>
          <w:ilvl w:val="0"/>
          <w:numId w:val="115"/>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Замедление атриовентрикулярного проведения.</w:t>
      </w:r>
    </w:p>
    <w:p>
      <w:pPr>
        <w:pStyle w:val="Style30"/>
        <w:numPr>
          <w:ilvl w:val="0"/>
          <w:numId w:val="115"/>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Неполная блокада правой ножки пучка Гиса.</w:t>
      </w:r>
    </w:p>
    <w:p>
      <w:pPr>
        <w:pStyle w:val="Style30"/>
        <w:numPr>
          <w:ilvl w:val="0"/>
          <w:numId w:val="115"/>
        </w:numPr>
        <w:tabs>
          <w:tab w:leader="none" w:pos="516"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Синдром ранней реполяризации миокарда желу</w:t>
        <w:softHyphen/>
        <w:t>дочков.</w:t>
      </w:r>
    </w:p>
    <w:p>
      <w:pPr>
        <w:pStyle w:val="Style30"/>
        <w:numPr>
          <w:ilvl w:val="0"/>
          <w:numId w:val="115"/>
        </w:numPr>
        <w:tabs>
          <w:tab w:leader="none" w:pos="516"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Транзиторный феномен Вольфа-Паркинсона - Уайта.</w:t>
      </w:r>
    </w:p>
    <w:p>
      <w:pPr>
        <w:pStyle w:val="Style30"/>
        <w:numPr>
          <w:ilvl w:val="0"/>
          <w:numId w:val="115"/>
        </w:numPr>
        <w:tabs>
          <w:tab w:leader="none" w:pos="516"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Парциальный феномен преэкзитации.</w:t>
      </w:r>
    </w:p>
    <w:p>
      <w:pPr>
        <w:pStyle w:val="Style30"/>
        <w:numPr>
          <w:ilvl w:val="0"/>
          <w:numId w:val="115"/>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w:t>
      </w:r>
    </w:p>
    <w:p>
      <w:pPr>
        <w:pStyle w:val="Style30"/>
        <w:numPr>
          <w:ilvl w:val="0"/>
          <w:numId w:val="115"/>
        </w:numPr>
        <w:tabs>
          <w:tab w:leader="none" w:pos="516"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Нормальные границы сердца и сосудистый рису</w:t>
        <w:softHyphen/>
        <w:t>нок легких.</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115"/>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Медикаментозная коррекция пограничной легочной гипертензии проводится препаратами белладоны (беллоид, настойка красавки, белласпон, беллатами- нал, беллалгин). Фармакологические свойства дан</w:t>
        <w:softHyphen/>
        <w:t>ных препаратов способствуют уменьшению возбуди</w:t>
        <w:softHyphen/>
        <w:t>мости центральных и периферических адренергичес</w:t>
        <w:softHyphen/>
        <w:t>ких и холинергических систем организма. Наряду с коррекцией вегетативных нарушений производные белладонны оказывают спазмолитическое действие, что производит благоприятный эффект на легочное кровообращение.</w:t>
      </w:r>
    </w:p>
    <w:p>
      <w:pPr>
        <w:pStyle w:val="Style30"/>
        <w:numPr>
          <w:ilvl w:val="0"/>
          <w:numId w:val="115"/>
        </w:numPr>
        <w:tabs>
          <w:tab w:leader="none" w:pos="238" w:val="left"/>
        </w:tabs>
        <w:widowControl w:val="0"/>
        <w:keepNext w:val="0"/>
        <w:keepLines w:val="0"/>
        <w:shd w:val="clear" w:color="auto" w:fill="auto"/>
        <w:bidi w:val="0"/>
        <w:spacing w:before="0" w:after="0"/>
        <w:ind w:left="280" w:right="0" w:hanging="280"/>
      </w:pPr>
      <w:r>
        <w:pict>
          <v:shape id="_x0000_s1573" type="#_x0000_t75" style="position:absolute;margin-left:136.8pt;margin-top:736.55pt;width:209.75pt;height:14.9pt;z-index:-125829010;mso-wrap-distance-left:136.8pt;mso-wrap-distance-right:148.1pt;mso-wrap-distance-bottom:10.8pt;mso-position-horizontal-relative:margin;mso-position-vertical-relative:margin" wrapcoords="0 0 21600 0 21600 21600 0 21600 0 0">
            <v:imagedata r:id="rId910" r:href="rId911"/>
            <w10:wrap type="topAndBottom" anchorx="margin" anchory="margin"/>
          </v:shape>
        </w:pict>
      </w:r>
      <w:r>
        <w:rPr>
          <w:lang w:val="ru-RU" w:eastAsia="ru-RU" w:bidi="ru-RU"/>
          <w:w w:val="100"/>
          <w:spacing w:val="0"/>
          <w:color w:val="000000"/>
          <w:position w:val="0"/>
        </w:rPr>
        <w:t>Дифосфонат (ксидифон) по механизму действия имеет сходство с антагонистами кальциевых каналов (верапамил, нифедипин). Подобно верапамилу, он вызывает расслабление гладкой мускулатуры сосу</w:t>
        <w:softHyphen/>
        <w:t>дов, усиливает коронарный кровоток, понижает то-</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нус периферических сосудов и уменьшает уровень ар - териального давления.</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Физиотерапия для коррекции гиперкинетического кардиального синдрома:</w:t>
      </w:r>
    </w:p>
    <w:p>
      <w:pPr>
        <w:pStyle w:val="Style30"/>
        <w:numPr>
          <w:ilvl w:val="0"/>
          <w:numId w:val="117"/>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электрофорез по воротниковой методике с препа</w:t>
        <w:softHyphen/>
        <w:t>ратами, обладающими спазмолитическим и седа</w:t>
        <w:softHyphen/>
        <w:t>тивным действием (1% раствор папаверина, 5% раствор бромистого натрия);</w:t>
      </w:r>
    </w:p>
    <w:p>
      <w:pPr>
        <w:pStyle w:val="Style30"/>
        <w:numPr>
          <w:ilvl w:val="0"/>
          <w:numId w:val="117"/>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электросон по глазнично -затылочной методике.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Профилактика</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Активная пропаганда вреда курения.</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Контроль правильной аэрации (проветривание поме</w:t>
        <w:softHyphen/>
        <w:t>щений, прогулки на свежем воздухе).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Благоприятный.</w:t>
      </w:r>
    </w:p>
    <w:p>
      <w:pPr>
        <w:pStyle w:val="Style30"/>
        <w:numPr>
          <w:ilvl w:val="0"/>
          <w:numId w:val="115"/>
        </w:numPr>
        <w:tabs>
          <w:tab w:leader="none" w:pos="518"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Нет доказательств, что пограничная легочная гипер</w:t>
        <w:softHyphen/>
        <w:t>тензия у детей и подростков является фактором рис</w:t>
        <w:softHyphen/>
        <w:t>ка возникновения высокой легочной гипертензии у взрослых.</w:t>
      </w:r>
    </w:p>
    <w:p>
      <w:pPr>
        <w:pStyle w:val="Style92"/>
        <w:widowControl w:val="0"/>
        <w:keepNext/>
        <w:keepLines/>
        <w:shd w:val="clear" w:color="auto" w:fill="auto"/>
        <w:bidi w:val="0"/>
        <w:spacing w:before="0" w:after="180"/>
        <w:ind w:left="0" w:right="0" w:firstLine="280"/>
      </w:pPr>
      <w:bookmarkStart w:id="566" w:name="bookmark566"/>
      <w:r>
        <w:rPr>
          <w:lang w:val="ru-RU" w:eastAsia="ru-RU" w:bidi="ru-RU"/>
          <w:w w:val="100"/>
          <w:spacing w:val="0"/>
          <w:color w:val="000000"/>
          <w:position w:val="0"/>
        </w:rPr>
        <w:t>Лекарственные препараты, применяемые при лечении по</w:t>
        <w:softHyphen/>
        <w:t>граничной легочной гипертензии</w:t>
      </w:r>
      <w:bookmarkEnd w:id="566"/>
    </w:p>
    <w:p>
      <w:pPr>
        <w:pStyle w:val="Style30"/>
        <w:widowControl w:val="0"/>
        <w:keepNext w:val="0"/>
        <w:keepLines w:val="0"/>
        <w:shd w:val="clear" w:color="auto" w:fill="auto"/>
        <w:bidi w:val="0"/>
        <w:spacing w:before="0" w:after="177"/>
        <w:ind w:left="0" w:right="0" w:firstLine="280"/>
      </w:pPr>
      <w:r>
        <w:rPr>
          <w:rStyle w:val="CharStyle103"/>
        </w:rPr>
        <w:t>Ксидифон</w:t>
      </w:r>
      <w:r>
        <w:rPr>
          <w:lang w:val="ru-RU" w:eastAsia="ru-RU" w:bidi="ru-RU"/>
          <w:w w:val="100"/>
          <w:spacing w:val="0"/>
          <w:color w:val="000000"/>
          <w:position w:val="0"/>
        </w:rPr>
        <w:t xml:space="preserve"> назначают в виде 2% раствора (стандартный 20% раствор разводят 0,9% раствором хлорида натрия) внутрь в суточной дозе 15 мг/кг массы тела ребенка, в три приема. Продолжительность приема препарата составляет от 7 до 15 дней.</w:t>
      </w:r>
    </w:p>
    <w:p>
      <w:pPr>
        <w:pStyle w:val="Style28"/>
        <w:widowControl w:val="0"/>
        <w:keepNext/>
        <w:keepLines/>
        <w:shd w:val="clear" w:color="auto" w:fill="auto"/>
        <w:bidi w:val="0"/>
        <w:jc w:val="left"/>
        <w:spacing w:before="0" w:after="93" w:line="220" w:lineRule="exact"/>
        <w:ind w:left="0" w:right="0" w:firstLine="0"/>
      </w:pPr>
      <w:bookmarkStart w:id="567" w:name="bookmark567"/>
      <w:r>
        <w:rPr>
          <w:lang w:val="ru-RU" w:eastAsia="ru-RU" w:bidi="ru-RU"/>
          <w:w w:val="100"/>
          <w:spacing w:val="0"/>
          <w:color w:val="000000"/>
          <w:position w:val="0"/>
        </w:rPr>
        <w:t>Первичная легочная гипертензия</w:t>
      </w:r>
      <w:bookmarkEnd w:id="567"/>
    </w:p>
    <w:p>
      <w:pPr>
        <w:pStyle w:val="Style92"/>
        <w:widowControl w:val="0"/>
        <w:keepNext/>
        <w:keepLines/>
        <w:shd w:val="clear" w:color="auto" w:fill="auto"/>
        <w:bidi w:val="0"/>
        <w:spacing w:before="0" w:after="0"/>
        <w:ind w:left="520" w:right="0" w:hanging="240"/>
      </w:pPr>
      <w:bookmarkStart w:id="568" w:name="bookmark568"/>
      <w:r>
        <w:rPr>
          <w:lang w:val="ru-RU" w:eastAsia="ru-RU" w:bidi="ru-RU"/>
          <w:w w:val="100"/>
          <w:spacing w:val="0"/>
          <w:color w:val="000000"/>
          <w:position w:val="0"/>
        </w:rPr>
        <w:t>Определение</w:t>
      </w:r>
      <w:bookmarkEnd w:id="56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Под первичной легочной гипертензией понимают пре</w:t>
        <w:softHyphen/>
        <w:t>капиллярную легочную гипертензию (среднее давление в легочной артерии в покое превышает 25 мм рт. ст., легоч</w:t>
        <w:softHyphen/>
        <w:t>ное капиллярное давление или давление в левом предсер</w:t>
        <w:softHyphen/>
        <w:t>дии меньше 15 мм рт. ст.) при отсутствии врожденных поро</w:t>
        <w:softHyphen/>
        <w:t xml:space="preserve">ков сердца, клинических проявлений тромбоэмболической болезни и значительных нарушений вентиляционной функции легких </w:t>
      </w:r>
      <w:r>
        <w:rPr>
          <w:lang w:val="en-US" w:eastAsia="en-US" w:bidi="en-US"/>
          <w:w w:val="100"/>
          <w:spacing w:val="0"/>
          <w:color w:val="000000"/>
          <w:position w:val="0"/>
        </w:rPr>
        <w:t xml:space="preserve">(J.D. Hughes </w:t>
      </w:r>
      <w:r>
        <w:rPr>
          <w:lang w:val="ru-RU" w:eastAsia="ru-RU" w:bidi="ru-RU"/>
          <w:w w:val="100"/>
          <w:spacing w:val="0"/>
          <w:color w:val="000000"/>
          <w:position w:val="0"/>
        </w:rPr>
        <w:t xml:space="preserve">и </w:t>
      </w:r>
      <w:r>
        <w:rPr>
          <w:lang w:val="en-US" w:eastAsia="en-US" w:bidi="en-US"/>
          <w:w w:val="100"/>
          <w:spacing w:val="0"/>
          <w:color w:val="000000"/>
          <w:position w:val="0"/>
        </w:rPr>
        <w:t xml:space="preserve">L.J. Rubin). </w:t>
      </w:r>
      <w:r>
        <w:rPr>
          <w:lang w:val="ru-RU" w:eastAsia="ru-RU" w:bidi="ru-RU"/>
          <w:w w:val="100"/>
          <w:spacing w:val="0"/>
          <w:color w:val="000000"/>
          <w:position w:val="0"/>
        </w:rPr>
        <w:t>Это определение исключает заболевания, приводящие к посткапиллярной гипертензии, такие как митральный стеноз, опухоли левого предсердия, болезни легочных вен и левожелудочковую ди</w:t>
        <w:softHyphen/>
        <w:t>сфункцию. Таким образом, диагноз первичной легочной гипертензии устанавливается, когда проведенное обследо</w:t>
        <w:softHyphen/>
        <w:t>вание не позволяет выявить причину, обусловившую забо</w:t>
        <w:softHyphen/>
        <w:t>левание (идиопатическая болезнь).</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Исторические сведения</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Ранее существовало более 20 названий первичной ле</w:t>
        <w:softHyphen/>
        <w:t>гочной гипертензии: идиопатическая гипертрофия правого желудочка, первичный склероз легочной ар</w:t>
        <w:softHyphen/>
        <w:t>терии, болезнь Айерсы, первичное легочное сердце, «черная болезнь» сердца, легочная болезнь Рейно, первично-сосудистая гипертония малого круга кро</w:t>
        <w:softHyphen/>
        <w:t>вообращения, идиопатическая прекапиллярная ле</w:t>
        <w:softHyphen/>
        <w:t>гочная гипертензия.</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отечественной литературе наиболее часто употреб</w:t>
        <w:softHyphen/>
        <w:t>ляются два термина: первичная легочная гипертензия и болезнь Айерсы. Последний термин обозначает крайнюю степень выраженности легочной гипертен</w:t>
        <w:softHyphen/>
        <w:t>зии (резкий диффузный цианоз, полицитемия, одышка, выраженная гипертрофия правых отделов).</w:t>
      </w:r>
    </w:p>
    <w:p>
      <w:pPr>
        <w:pStyle w:val="Style30"/>
        <w:numPr>
          <w:ilvl w:val="0"/>
          <w:numId w:val="115"/>
        </w:numPr>
        <w:tabs>
          <w:tab w:leader="none" w:pos="234" w:val="left"/>
        </w:tabs>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 xml:space="preserve">Аргентинский врач и ученый Айерса </w:t>
      </w:r>
      <w:r>
        <w:rPr>
          <w:lang w:val="en-US" w:eastAsia="en-US" w:bidi="en-US"/>
          <w:w w:val="100"/>
          <w:spacing w:val="0"/>
          <w:color w:val="000000"/>
          <w:position w:val="0"/>
        </w:rPr>
        <w:t xml:space="preserve">(A. Ayerza) </w:t>
      </w:r>
      <w:r>
        <w:rPr>
          <w:lang w:val="ru-RU" w:eastAsia="ru-RU" w:bidi="ru-RU"/>
          <w:w w:val="100"/>
          <w:spacing w:val="0"/>
          <w:color w:val="000000"/>
          <w:position w:val="0"/>
        </w:rPr>
        <w:t>в 1901 году описал случай сифилитического заболева</w:t>
        <w:softHyphen/>
        <w:t>ния легких, сопровождавшегося своеобразным лило</w:t>
        <w:softHyphen/>
        <w:t>во-вишневым цианозом кожи и слизистых оболочек, одышкой при нагрузке и кашлем с мокротой. Его уче</w:t>
        <w:softHyphen/>
        <w:t>ники в дальнейшем показали, что при этом заболева</w:t>
        <w:softHyphen/>
        <w:t>нии у больных встречается бронхосклероз и склероз легочной артерии. Анализ многих работ показывает, что болезнь или синдром Айерсы может встречаться как при бронхолегочной патологии, так и при врож</w:t>
        <w:softHyphen/>
        <w:t>денных и приобретенных пороках сердца, хроничес</w:t>
        <w:softHyphen/>
        <w:t>ких миокардитах, поэтому применение термина «бо</w:t>
        <w:softHyphen/>
        <w:t>лезнь Айерсы» как синонима первичной легочной ги - пертензии не оправдано ни исторически (Айерса рас</w:t>
        <w:softHyphen/>
        <w:t>познал склероз легочных сосудов у больного с пер</w:t>
        <w:softHyphen/>
        <w:t>вичным поражением бронхов и легких), ни класси</w:t>
        <w:softHyphen/>
        <w:t>фикационно, так как описанный синдром не являет</w:t>
        <w:softHyphen/>
        <w:t>ся самостоятельной болезнью, он даже неспецифи</w:t>
        <w:softHyphen/>
        <w:t>чен для какой-либо одной нозологической формы и наблюдается как при бронхолегочной патологии, так и без нее.</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Частота</w:t>
      </w:r>
    </w:p>
    <w:p>
      <w:pPr>
        <w:pStyle w:val="Style30"/>
        <w:numPr>
          <w:ilvl w:val="0"/>
          <w:numId w:val="11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Точные данные о распространенности первичной ле - гочной гипертензии неизвестны, поскольку клиниче</w:t>
        <w:softHyphen/>
        <w:t>ская симптоматика данного заболевания на ранних стадиях во многом неспецифична.</w:t>
      </w:r>
    </w:p>
    <w:p>
      <w:pPr>
        <w:pStyle w:val="Style30"/>
        <w:numPr>
          <w:ilvl w:val="0"/>
          <w:numId w:val="11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До 1987 года в медицинской литературе сообщено примерно о 2000 больных первичной легочной гипер - тензией.</w:t>
      </w:r>
    </w:p>
    <w:p>
      <w:pPr>
        <w:pStyle w:val="Style30"/>
        <w:numPr>
          <w:ilvl w:val="0"/>
          <w:numId w:val="11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По данным </w:t>
      </w:r>
      <w:r>
        <w:rPr>
          <w:lang w:val="en-US" w:eastAsia="en-US" w:bidi="en-US"/>
          <w:w w:val="100"/>
          <w:spacing w:val="0"/>
          <w:color w:val="000000"/>
          <w:position w:val="0"/>
        </w:rPr>
        <w:t xml:space="preserve">P.F. Mc Donnell et al., </w:t>
      </w:r>
      <w:r>
        <w:rPr>
          <w:lang w:val="ru-RU" w:eastAsia="ru-RU" w:bidi="ru-RU"/>
          <w:w w:val="100"/>
          <w:spacing w:val="0"/>
          <w:color w:val="000000"/>
          <w:position w:val="0"/>
        </w:rPr>
        <w:t xml:space="preserve">из </w:t>
      </w:r>
      <w:r>
        <w:rPr>
          <w:lang w:val="en-US" w:eastAsia="en-US" w:bidi="en-US"/>
          <w:w w:val="100"/>
          <w:spacing w:val="0"/>
          <w:color w:val="000000"/>
          <w:position w:val="0"/>
        </w:rPr>
        <w:t xml:space="preserve">17 901 </w:t>
      </w:r>
      <w:r>
        <w:rPr>
          <w:lang w:val="ru-RU" w:eastAsia="ru-RU" w:bidi="ru-RU"/>
          <w:w w:val="100"/>
          <w:spacing w:val="0"/>
          <w:color w:val="000000"/>
          <w:position w:val="0"/>
        </w:rPr>
        <w:t>проведен</w:t>
        <w:softHyphen/>
        <w:t>ных аутопсий у взрослых первичная легочная гипер</w:t>
        <w:softHyphen/>
        <w:t xml:space="preserve">тензия выявлена в 24 случаях, что составляет 0,13%. Примерная аналогичная частота (0,17%) отмечена </w:t>
      </w:r>
      <w:r>
        <w:rPr>
          <w:lang w:val="en-US" w:eastAsia="en-US" w:bidi="en-US"/>
          <w:w w:val="100"/>
          <w:spacing w:val="0"/>
          <w:color w:val="000000"/>
          <w:position w:val="0"/>
        </w:rPr>
        <w:t>P WOod.</w:t>
      </w:r>
    </w:p>
    <w:p>
      <w:pPr>
        <w:pStyle w:val="Style30"/>
        <w:numPr>
          <w:ilvl w:val="0"/>
          <w:numId w:val="11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У детей, по аутопсийным данным </w:t>
      </w:r>
      <w:r>
        <w:rPr>
          <w:lang w:val="en-US" w:eastAsia="en-US" w:bidi="en-US"/>
          <w:w w:val="100"/>
          <w:spacing w:val="0"/>
          <w:color w:val="000000"/>
          <w:position w:val="0"/>
        </w:rPr>
        <w:t xml:space="preserve">FJ. Goodale </w:t>
      </w:r>
      <w:r>
        <w:rPr>
          <w:lang w:val="ru-RU" w:eastAsia="ru-RU" w:bidi="ru-RU"/>
          <w:w w:val="100"/>
          <w:spacing w:val="0"/>
          <w:color w:val="000000"/>
          <w:position w:val="0"/>
        </w:rPr>
        <w:t xml:space="preserve">и </w:t>
      </w:r>
      <w:r>
        <w:rPr>
          <w:lang w:val="en-US" w:eastAsia="en-US" w:bidi="en-US"/>
          <w:w w:val="100"/>
          <w:spacing w:val="0"/>
          <w:color w:val="000000"/>
          <w:position w:val="0"/>
        </w:rPr>
        <w:t xml:space="preserve">WA Thomas, </w:t>
      </w:r>
      <w:r>
        <w:rPr>
          <w:lang w:val="ru-RU" w:eastAsia="ru-RU" w:bidi="ru-RU"/>
          <w:w w:val="100"/>
          <w:spacing w:val="0"/>
          <w:color w:val="000000"/>
          <w:position w:val="0"/>
        </w:rPr>
        <w:t>первичная легочная гипертензия об</w:t>
        <w:softHyphen/>
        <w:t>наружена только в 2 случаях на 10 000 вскрытий, что составляет 0,02%.</w:t>
      </w:r>
    </w:p>
    <w:p>
      <w:pPr>
        <w:pStyle w:val="Style30"/>
        <w:numPr>
          <w:ilvl w:val="0"/>
          <w:numId w:val="11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Среди больных, подвергшихся катетеризации сердца, первичная легочная гипертензия наблюдается при</w:t>
        <w:softHyphen/>
        <w:t>мерно в 1% случаев у взрослых и 0,3-0,5% — у детей.</w:t>
      </w:r>
    </w:p>
    <w:p>
      <w:pPr>
        <w:pStyle w:val="Style30"/>
        <w:numPr>
          <w:ilvl w:val="0"/>
          <w:numId w:val="11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детей заболевание встречается намного реже, чем у взрослых.</w:t>
      </w:r>
    </w:p>
    <w:p>
      <w:pPr>
        <w:pStyle w:val="Style30"/>
        <w:numPr>
          <w:ilvl w:val="0"/>
          <w:numId w:val="11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Спорадические формы заболевания встречаются во много раз чаще, чем семейные.</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Возраст, пол</w:t>
      </w:r>
    </w:p>
    <w:p>
      <w:pPr>
        <w:pStyle w:val="Style30"/>
        <w:numPr>
          <w:ilvl w:val="0"/>
          <w:numId w:val="11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Первичная легочная гипертензия может наблюдаться в любом возрасте.</w:t>
      </w:r>
    </w:p>
    <w:p>
      <w:pPr>
        <w:pStyle w:val="Style30"/>
        <w:numPr>
          <w:ilvl w:val="0"/>
          <w:numId w:val="11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детей первичная легочная гипертензия может на</w:t>
        <w:softHyphen/>
        <w:t>блюдаться с периода новорожденности, однако чаще регистрируется в пре- и пубертатном периоде.</w:t>
      </w:r>
    </w:p>
    <w:p>
      <w:pPr>
        <w:pStyle w:val="Style30"/>
        <w:numPr>
          <w:ilvl w:val="0"/>
          <w:numId w:val="11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Заболевание отмечается одинаково часто у девочек и мальчиков.</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Этиология</w:t>
      </w:r>
    </w:p>
    <w:p>
      <w:pPr>
        <w:pStyle w:val="Style30"/>
        <w:numPr>
          <w:ilvl w:val="0"/>
          <w:numId w:val="115"/>
        </w:numPr>
        <w:tabs>
          <w:tab w:leader="none" w:pos="234" w:val="left"/>
        </w:tabs>
        <w:widowControl w:val="0"/>
        <w:keepNext w:val="0"/>
        <w:keepLines w:val="0"/>
        <w:shd w:val="clear" w:color="auto" w:fill="auto"/>
        <w:bidi w:val="0"/>
        <w:spacing w:before="0" w:after="0"/>
        <w:ind w:left="260" w:right="0"/>
      </w:pPr>
      <w:r>
        <w:pict>
          <v:shape id="_x0000_s1574" type="#_x0000_t75" style="position:absolute;margin-left:148.1pt;margin-top:736.55pt;width:209.75pt;height:14.9pt;z-index:-125829009;mso-wrap-distance-left:148.1pt;mso-wrap-distance-right:136.8pt;mso-wrap-distance-bottom:10.8pt;mso-position-horizontal-relative:margin;mso-position-vertical-relative:margin" wrapcoords="0 0 21600 0 21600 21600 0 21600 0 0">
            <v:imagedata r:id="rId912" r:href="rId913"/>
            <w10:wrap type="topAndBottom" anchorx="margin" anchory="margin"/>
          </v:shape>
        </w:pict>
      </w:r>
      <w:r>
        <w:rPr>
          <w:lang w:val="ru-RU" w:eastAsia="ru-RU" w:bidi="ru-RU"/>
          <w:w w:val="100"/>
          <w:spacing w:val="0"/>
          <w:color w:val="000000"/>
          <w:position w:val="0"/>
        </w:rPr>
        <w:t>Причина возникновения первичной легочной гипер - тензии до настоящего времени остается неизвестной. Существует большое количество предположений, с тех или иных позиций объясняющих этиологию за</w:t>
        <w:softHyphen/>
        <w:t>болевания. Данный факт скорее свидетельствует о том, что первичная легочная гипертензия включает определенный спектр состояний, а не болезнь с еди</w:t>
        <w:softHyphen/>
        <w:t>ной этиологией. Вероятно, первичная легочная ги-</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пертензия является полигенным мультифакториаль</w:t>
        <w:softHyphen/>
        <w:t>ным состоянием. Имеет значение сочетание несколь</w:t>
        <w:softHyphen/>
        <w:t>ких факторов, предрасполагающих к развитию забо</w:t>
        <w:softHyphen/>
        <w:t>левания или провоцирующих его, основными из ко</w:t>
        <w:softHyphen/>
        <w:t>торых являются:</w:t>
      </w:r>
    </w:p>
    <w:p>
      <w:pPr>
        <w:pStyle w:val="Style30"/>
        <w:numPr>
          <w:ilvl w:val="0"/>
          <w:numId w:val="117"/>
        </w:numPr>
        <w:tabs>
          <w:tab w:leader="none" w:pos="514"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генетическая предрасположенность;</w:t>
      </w:r>
    </w:p>
    <w:p>
      <w:pPr>
        <w:pStyle w:val="Style30"/>
        <w:numPr>
          <w:ilvl w:val="0"/>
          <w:numId w:val="117"/>
        </w:numPr>
        <w:tabs>
          <w:tab w:leader="none" w:pos="514"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токсико-метаболическая;</w:t>
      </w:r>
    </w:p>
    <w:p>
      <w:pPr>
        <w:pStyle w:val="Style30"/>
        <w:numPr>
          <w:ilvl w:val="0"/>
          <w:numId w:val="117"/>
        </w:numPr>
        <w:tabs>
          <w:tab w:leader="none" w:pos="514"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аутоиммунная;</w:t>
      </w:r>
    </w:p>
    <w:p>
      <w:pPr>
        <w:pStyle w:val="Style30"/>
        <w:numPr>
          <w:ilvl w:val="0"/>
          <w:numId w:val="117"/>
        </w:numPr>
        <w:tabs>
          <w:tab w:leader="none" w:pos="514"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гормональная;</w:t>
      </w:r>
    </w:p>
    <w:p>
      <w:pPr>
        <w:pStyle w:val="Style30"/>
        <w:numPr>
          <w:ilvl w:val="0"/>
          <w:numId w:val="117"/>
        </w:numPr>
        <w:tabs>
          <w:tab w:leader="none" w:pos="514"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тромботическая;</w:t>
      </w:r>
    </w:p>
    <w:p>
      <w:pPr>
        <w:pStyle w:val="Style30"/>
        <w:numPr>
          <w:ilvl w:val="0"/>
          <w:numId w:val="117"/>
        </w:numPr>
        <w:tabs>
          <w:tab w:leader="none" w:pos="514"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нейрогуморальная;</w:t>
      </w:r>
    </w:p>
    <w:p>
      <w:pPr>
        <w:pStyle w:val="Style30"/>
        <w:numPr>
          <w:ilvl w:val="0"/>
          <w:numId w:val="117"/>
        </w:numPr>
        <w:tabs>
          <w:tab w:leader="none" w:pos="514"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концепция нарушенной реактивности легочных сосудов;</w:t>
      </w:r>
    </w:p>
    <w:p>
      <w:pPr>
        <w:pStyle w:val="Style30"/>
        <w:numPr>
          <w:ilvl w:val="0"/>
          <w:numId w:val="117"/>
        </w:numPr>
        <w:tabs>
          <w:tab w:leader="none" w:pos="514"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концепция дисфункции клеток эндотелия.</w:t>
      </w:r>
    </w:p>
    <w:p>
      <w:pPr>
        <w:pStyle w:val="Style107"/>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Концепция генетической предрасположенности</w:t>
      </w:r>
    </w:p>
    <w:p>
      <w:pPr>
        <w:pStyle w:val="Style30"/>
        <w:numPr>
          <w:ilvl w:val="0"/>
          <w:numId w:val="11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большинстве случаев заболевание носит споради</w:t>
        <w:softHyphen/>
        <w:t>ческий характер, однако в литературе приведено до</w:t>
        <w:softHyphen/>
        <w:t>статочное число наблюдений о семейном характере заболевания. Подтверждение о том, что первичная легочная гипертензия может носить семейный харак</w:t>
        <w:softHyphen/>
        <w:t xml:space="preserve">тер, сделано </w:t>
      </w:r>
      <w:r>
        <w:rPr>
          <w:lang w:val="en-US" w:eastAsia="en-US" w:bidi="en-US"/>
          <w:w w:val="100"/>
          <w:spacing w:val="0"/>
          <w:color w:val="000000"/>
          <w:position w:val="0"/>
        </w:rPr>
        <w:t xml:space="preserve">R.C. Clark et al. </w:t>
      </w:r>
      <w:r>
        <w:rPr>
          <w:lang w:val="ru-RU" w:eastAsia="ru-RU" w:bidi="ru-RU"/>
          <w:w w:val="100"/>
          <w:spacing w:val="0"/>
          <w:color w:val="000000"/>
          <w:position w:val="0"/>
        </w:rPr>
        <w:t>Авторы описали двух се</w:t>
        <w:softHyphen/>
        <w:t xml:space="preserve">стер с легочным сосудистым склерозом неизвестной этиологии. </w:t>
      </w:r>
      <w:r>
        <w:rPr>
          <w:lang w:val="en-US" w:eastAsia="en-US" w:bidi="en-US"/>
          <w:w w:val="100"/>
          <w:spacing w:val="0"/>
          <w:color w:val="000000"/>
          <w:position w:val="0"/>
        </w:rPr>
        <w:t xml:space="preserve">W.B. Hood et al. </w:t>
      </w:r>
      <w:r>
        <w:rPr>
          <w:lang w:val="ru-RU" w:eastAsia="ru-RU" w:bidi="ru-RU"/>
          <w:w w:val="100"/>
          <w:spacing w:val="0"/>
          <w:color w:val="000000"/>
          <w:position w:val="0"/>
        </w:rPr>
        <w:t>сообщили о семье, в кото</w:t>
        <w:softHyphen/>
        <w:t>рой у трех сестер развилась легочная гипертензия, и предположили, что первичная легочная гипертен</w:t>
        <w:softHyphen/>
        <w:t>зия представляет собой аутосомно-рецессивную мо</w:t>
        <w:softHyphen/>
        <w:t>дель наследования с неполной мужской пенетрант- ностью.</w:t>
      </w:r>
    </w:p>
    <w:p>
      <w:pPr>
        <w:pStyle w:val="Style30"/>
        <w:numPr>
          <w:ilvl w:val="0"/>
          <w:numId w:val="11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Другие авторы считают, что первичная легочная ги</w:t>
        <w:softHyphen/>
        <w:t>пертензия наследуется аутосомно-доминантно с раз</w:t>
        <w:softHyphen/>
        <w:t xml:space="preserve">личной пенетрантностью. </w:t>
      </w:r>
      <w:r>
        <w:rPr>
          <w:lang w:val="en-US" w:eastAsia="en-US" w:bidi="en-US"/>
          <w:w w:val="100"/>
          <w:spacing w:val="0"/>
          <w:color w:val="000000"/>
          <w:position w:val="0"/>
        </w:rPr>
        <w:t xml:space="preserve">J. Loyd et al. </w:t>
      </w:r>
      <w:r>
        <w:rPr>
          <w:lang w:val="ru-RU" w:eastAsia="ru-RU" w:bidi="ru-RU"/>
          <w:w w:val="100"/>
          <w:spacing w:val="0"/>
          <w:color w:val="000000"/>
          <w:position w:val="0"/>
        </w:rPr>
        <w:t>провели де</w:t>
        <w:softHyphen/>
        <w:t>тальный генеалогический анализ в 14 североамери</w:t>
        <w:softHyphen/>
        <w:t>канских семьях, члены которых страдали первичной легочной гипертензией. По мнению авторов, первич</w:t>
        <w:softHyphen/>
        <w:t>ная легочная гипертензия передается, как правило, по аутосомно-доминантному типу. Вовлечение боль</w:t>
        <w:softHyphen/>
        <w:t>шинства членов семьи в одной генерации является косвенным доказательством того, что ген доминант</w:t>
        <w:softHyphen/>
        <w:t>ный. Анализ родословных в большинстве случаев до</w:t>
        <w:softHyphen/>
        <w:t>казывает Х-сцепленность с полом. Факторы мигра</w:t>
        <w:softHyphen/>
        <w:t>ции генетической экспрессии неизвестны.</w:t>
      </w:r>
    </w:p>
    <w:p>
      <w:pPr>
        <w:pStyle w:val="Style30"/>
        <w:numPr>
          <w:ilvl w:val="0"/>
          <w:numId w:val="11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Средняя продолжительность жизни от начала появ</w:t>
        <w:softHyphen/>
        <w:t>ления симптоматики и клинические проявления пер</w:t>
        <w:softHyphen/>
        <w:t>вичной легочной гипертензии при семейных формах заболевания аналогичны таковым при спорадических формах первичной легочной гипертензии. Характер</w:t>
        <w:softHyphen/>
        <w:t>но, что в семейных случаях заболевания соотношение женского пола к мужскому составляет 2:1, в то время как в несемейных случаях заболевания это отноше</w:t>
        <w:softHyphen/>
        <w:t>ние достигает 10:1. Установлена тенденция более ран</w:t>
        <w:softHyphen/>
        <w:t>него проявления семейной формы первичной легоч</w:t>
        <w:softHyphen/>
        <w:t xml:space="preserve">ной гипертензии в последующих поколениях. Так, методом генетического прогнозирования (тест </w:t>
      </w:r>
      <w:r>
        <w:rPr>
          <w:lang w:val="en-US" w:eastAsia="en-US" w:bidi="en-US"/>
          <w:w w:val="100"/>
          <w:spacing w:val="0"/>
          <w:color w:val="000000"/>
          <w:position w:val="0"/>
        </w:rPr>
        <w:t xml:space="preserve">Wilcoxon) </w:t>
      </w:r>
      <w:r>
        <w:rPr>
          <w:lang w:val="ru-RU" w:eastAsia="ru-RU" w:bidi="ru-RU"/>
          <w:w w:val="100"/>
          <w:spacing w:val="0"/>
          <w:color w:val="000000"/>
          <w:position w:val="0"/>
        </w:rPr>
        <w:t xml:space="preserve">показано, что основные пределы возраста возникновения смерти от 45,7±3,5 </w:t>
      </w:r>
      <w:r>
        <w:rPr>
          <w:lang w:val="en-US" w:eastAsia="en-US" w:bidi="en-US"/>
          <w:w w:val="100"/>
          <w:spacing w:val="0"/>
          <w:color w:val="000000"/>
          <w:position w:val="0"/>
        </w:rPr>
        <w:t xml:space="preserve">SEM </w:t>
      </w:r>
      <w:r>
        <w:rPr>
          <w:lang w:val="ru-RU" w:eastAsia="ru-RU" w:bidi="ru-RU"/>
          <w:w w:val="100"/>
          <w:spacing w:val="0"/>
          <w:color w:val="000000"/>
          <w:position w:val="0"/>
        </w:rPr>
        <w:t>в первой от</w:t>
        <w:softHyphen/>
        <w:t xml:space="preserve">меченной генерации снижаются до 31,4±4,0 </w:t>
      </w:r>
      <w:r>
        <w:rPr>
          <w:lang w:val="en-US" w:eastAsia="en-US" w:bidi="en-US"/>
          <w:w w:val="100"/>
          <w:spacing w:val="0"/>
          <w:color w:val="000000"/>
          <w:position w:val="0"/>
        </w:rPr>
        <w:t xml:space="preserve">SEM </w:t>
      </w:r>
      <w:r>
        <w:rPr>
          <w:lang w:val="ru-RU" w:eastAsia="ru-RU" w:bidi="ru-RU"/>
          <w:w w:val="100"/>
          <w:spacing w:val="0"/>
          <w:color w:val="000000"/>
          <w:position w:val="0"/>
        </w:rPr>
        <w:t>в последующей генерации. Наряду с этим имеет место возрастание тяжести заболевания в последую</w:t>
        <w:softHyphen/>
        <w:t>щих генерациях.</w:t>
      </w:r>
    </w:p>
    <w:p>
      <w:pPr>
        <w:pStyle w:val="Style30"/>
        <w:numPr>
          <w:ilvl w:val="0"/>
          <w:numId w:val="115"/>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Описаны случаи заболевания, когда плексогенная и тромботическая артериопатии наблюдались у чле</w:t>
        <w:softHyphen/>
        <w:t>нов одной и той же семьи. Данный факт свидетельст-</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вует, что разные морфологические проявления болез</w:t>
        <w:softHyphen/>
        <w:t>ни могут иметь общий генез.</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Исследования, проведенные в последнее время, вы</w:t>
        <w:softHyphen/>
        <w:t>явили ген семейной первичной легочной гипертен</w:t>
        <w:softHyphen/>
        <w:t xml:space="preserve">зии </w:t>
      </w:r>
      <w:r>
        <w:rPr>
          <w:lang w:val="en-US" w:eastAsia="en-US" w:bidi="en-US"/>
          <w:w w:val="100"/>
          <w:spacing w:val="0"/>
          <w:color w:val="000000"/>
          <w:position w:val="0"/>
        </w:rPr>
        <w:t xml:space="preserve">(BMPR-II), </w:t>
      </w:r>
      <w:r>
        <w:rPr>
          <w:lang w:val="ru-RU" w:eastAsia="ru-RU" w:bidi="ru-RU"/>
          <w:w w:val="100"/>
          <w:spacing w:val="0"/>
          <w:color w:val="000000"/>
          <w:position w:val="0"/>
        </w:rPr>
        <w:t xml:space="preserve">регулирующий рост и пролиферацию клеток и локализованный на </w:t>
      </w:r>
      <w:r>
        <w:rPr>
          <w:lang w:val="en-US" w:eastAsia="en-US" w:bidi="en-US"/>
          <w:w w:val="100"/>
          <w:spacing w:val="0"/>
          <w:color w:val="000000"/>
          <w:position w:val="0"/>
        </w:rPr>
        <w:t xml:space="preserve">2q33 </w:t>
      </w:r>
      <w:r>
        <w:rPr>
          <w:lang w:val="ru-RU" w:eastAsia="ru-RU" w:bidi="ru-RU"/>
          <w:w w:val="100"/>
          <w:spacing w:val="0"/>
          <w:color w:val="000000"/>
          <w:position w:val="0"/>
        </w:rPr>
        <w:t>хромосоме.</w:t>
      </w:r>
    </w:p>
    <w:p>
      <w:pPr>
        <w:pStyle w:val="Style107"/>
        <w:widowControl w:val="0"/>
        <w:keepNext w:val="0"/>
        <w:keepLines w:val="0"/>
        <w:shd w:val="clear" w:color="auto" w:fill="auto"/>
        <w:bidi w:val="0"/>
        <w:jc w:val="left"/>
        <w:spacing w:before="0" w:after="0"/>
        <w:ind w:left="0" w:right="0"/>
      </w:pPr>
      <w:r>
        <w:rPr>
          <w:lang w:val="ru-RU" w:eastAsia="ru-RU" w:bidi="ru-RU"/>
          <w:w w:val="100"/>
          <w:spacing w:val="0"/>
          <w:color w:val="000000"/>
          <w:position w:val="0"/>
        </w:rPr>
        <w:t>Токсико-метаболическая концепция первичной легочной гипертензии</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H.P.Gurtner </w:t>
      </w:r>
      <w:r>
        <w:rPr>
          <w:lang w:val="ru-RU" w:eastAsia="ru-RU" w:bidi="ru-RU"/>
          <w:w w:val="100"/>
          <w:spacing w:val="0"/>
          <w:color w:val="000000"/>
          <w:position w:val="0"/>
        </w:rPr>
        <w:t>отметил внезапное резкое увеличение ча</w:t>
        <w:softHyphen/>
        <w:t>стоты случаев первичной легочной гипертензии, при этом в анамнезе более 80% больных принимали аминорекс. Структурная формула аминорекса близка к адреналину. Препарат используется для подавления аппетита путем стимуляции а- и Р-адренергических рецепторов. Хотя в экспериментальных исследовани</w:t>
        <w:softHyphen/>
        <w:t>ях на лабораторных животных аминорекс ни в одном случае не вызывал первичной легочной гипертензии, его роль в возникновении легочной гипертензии у людей доказана клиническими и эпидемиологичес</w:t>
        <w:softHyphen/>
        <w:t>кими корреляциями.</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J. G. Douglas et al. </w:t>
      </w:r>
      <w:r>
        <w:rPr>
          <w:lang w:val="ru-RU" w:eastAsia="ru-RU" w:bidi="ru-RU"/>
          <w:w w:val="100"/>
          <w:spacing w:val="0"/>
          <w:color w:val="000000"/>
          <w:position w:val="0"/>
        </w:rPr>
        <w:t>сообщили о двух случаях возникно - вения легочной гипертензии у женщин, принимав</w:t>
        <w:softHyphen/>
        <w:t>ших фенлюрамин, являющийся также анорексичес</w:t>
        <w:softHyphen/>
        <w:t>ким средством. Легочное артериальное давление и клиническая симптоматика заболевания исчезли после прекращения приема препарата. Гипертрофия правого желудочка, выявляемая по данным эхокар</w:t>
        <w:softHyphen/>
        <w:t>диографии, исчезла через 4 недели после окончания приема фенлюрамина.</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экспериментальных и клинических исследованиях показано, что первичная легочная гипертензия может возникать вследствие приема ряда пищевых субстан</w:t>
        <w:softHyphen/>
        <w:t>ций. В этом отношении детально изучена роль алка</w:t>
        <w:softHyphen/>
        <w:t xml:space="preserve">лоидных дериватов кустарниковых растений рода </w:t>
      </w:r>
      <w:r>
        <w:rPr>
          <w:lang w:val="en-US" w:eastAsia="en-US" w:bidi="en-US"/>
          <w:w w:val="100"/>
          <w:spacing w:val="0"/>
          <w:color w:val="000000"/>
          <w:position w:val="0"/>
        </w:rPr>
        <w:t xml:space="preserve">Crotalaria </w:t>
      </w:r>
      <w:r>
        <w:rPr>
          <w:lang w:val="ru-RU" w:eastAsia="ru-RU" w:bidi="ru-RU"/>
          <w:w w:val="100"/>
          <w:spacing w:val="0"/>
          <w:color w:val="000000"/>
          <w:position w:val="0"/>
        </w:rPr>
        <w:t xml:space="preserve">и рода </w:t>
      </w:r>
      <w:r>
        <w:rPr>
          <w:lang w:val="en-US" w:eastAsia="en-US" w:bidi="en-US"/>
          <w:w w:val="100"/>
          <w:spacing w:val="0"/>
          <w:color w:val="000000"/>
          <w:position w:val="0"/>
        </w:rPr>
        <w:t>Senecio.</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Описаны случаи первичной легочной гипертензии в Танзании при употреблении </w:t>
      </w:r>
      <w:r>
        <w:rPr>
          <w:lang w:val="en-US" w:eastAsia="en-US" w:bidi="en-US"/>
          <w:w w:val="100"/>
          <w:spacing w:val="0"/>
          <w:color w:val="000000"/>
          <w:position w:val="0"/>
        </w:rPr>
        <w:t xml:space="preserve">Crotalaria laburnoides. </w:t>
      </w:r>
      <w:r>
        <w:rPr>
          <w:lang w:val="ru-RU" w:eastAsia="ru-RU" w:bidi="ru-RU"/>
          <w:w w:val="100"/>
          <w:spacing w:val="0"/>
          <w:color w:val="000000"/>
          <w:position w:val="0"/>
        </w:rPr>
        <w:t>В Испании описана эпидемия легочной гипертензии при нелегальном использовании сурепного масла. У больных развивалась легочная гипертензия после перенесенного острого токсического синдрома, про</w:t>
        <w:softHyphen/>
        <w:t>являющегося сыпью, гастральными, неврологичес</w:t>
        <w:softHyphen/>
        <w:t>кими и легочными симптомами. Последние характе</w:t>
        <w:softHyphen/>
        <w:t>ризовались острым интерстициальным пневмонитом и в ряде случаев резидуальным легочным фиброзом.</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pict>
          <v:shape id="_x0000_s1575" type="#_x0000_t75" style="position:absolute;margin-left:130.7pt;margin-top:736.55pt;width:209.75pt;height:14.9pt;z-index:-125829008;mso-wrap-distance-left:124.55pt;mso-wrap-distance-right:148.1pt;mso-wrap-distance-bottom:10.8pt;mso-position-horizontal-relative:margin;mso-position-vertical-relative:margin" wrapcoords="0 0 21600 0 21600 21600 0 21600 0 0">
            <v:imagedata r:id="rId914" r:href="rId915"/>
            <w10:wrap type="topAndBottom" anchorx="margin" anchory="margin"/>
          </v:shape>
        </w:pict>
      </w:r>
      <w:r>
        <w:rPr>
          <w:lang w:val="ru-RU" w:eastAsia="ru-RU" w:bidi="ru-RU"/>
          <w:w w:val="100"/>
          <w:spacing w:val="0"/>
          <w:color w:val="000000"/>
          <w:position w:val="0"/>
        </w:rPr>
        <w:t>До настоящего времени остается дискутабельным во</w:t>
        <w:softHyphen/>
        <w:t>прос, возникает ли легочная гипертензия при приеме сурепного масла первично или является вторичной к легочному фиброзу. Клинико-морфологические проявления «аминорексовой» легочной гипертензии и при других токсических воздействиях аналогичны таковым при первичной легочной гипертензии, не связанной с приемом каких-либо веществ. С другой стороны, в случае отмены препарата возможно спон</w:t>
        <w:softHyphen/>
        <w:t>танное выздоровление больных. В этой связи одни авторы считают неправомочным рассматривать «аминорексовую» легочную гипертензию в качестве первичной легочной гипертензии, другие — рассмат</w:t>
        <w:softHyphen/>
        <w:t>ривают токсико-метаболическое воздействие амино- рекса и других субстанций в качестве провоцирующе</w:t>
        <w:softHyphen/>
        <w:t>го фактора у лиц с определенной предрасположенно</w:t>
        <w:softHyphen/>
        <w:t>стью к данному заболеванию.</w:t>
      </w:r>
      <w:r>
        <w:br w:type="page"/>
      </w:r>
    </w:p>
    <w:p>
      <w:pPr>
        <w:pStyle w:val="Style107"/>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Аутоиммунная концепция первичной легочной гипертензии</w:t>
      </w:r>
    </w:p>
    <w:p>
      <w:pPr>
        <w:pStyle w:val="Style30"/>
        <w:numPr>
          <w:ilvl w:val="0"/>
          <w:numId w:val="115"/>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Точка зрения на аутоиммунную этиологию первич</w:t>
        <w:softHyphen/>
        <w:t>ной легочной гипертензии основана на частой встре</w:t>
        <w:softHyphen/>
        <w:t>чаемости феномена Рейно у таких больных, а имен</w:t>
        <w:softHyphen/>
        <w:t>но в 7-30% по данным разных авторов, а также на на</w:t>
        <w:softHyphen/>
        <w:t>личии ассоциации легочной гипертензии с различ</w:t>
        <w:softHyphen/>
        <w:t>ными коллагеновыми заболеваниями. Имеются со</w:t>
        <w:softHyphen/>
        <w:t>общения о возникновении высокой легочной гипер</w:t>
        <w:softHyphen/>
        <w:t>тензии у больных со склеродермией при минималь</w:t>
        <w:softHyphen/>
        <w:t>ных фибротических изменениях в легких или пол</w:t>
        <w:softHyphen/>
        <w:t xml:space="preserve">ном отсутствии таковых. </w:t>
      </w:r>
      <w:r>
        <w:rPr>
          <w:lang w:val="en-US" w:eastAsia="en-US" w:bidi="en-US"/>
          <w:w w:val="100"/>
          <w:spacing w:val="0"/>
          <w:color w:val="000000"/>
          <w:position w:val="0"/>
        </w:rPr>
        <w:t xml:space="preserve">TW.Caldwell </w:t>
      </w:r>
      <w:r>
        <w:rPr>
          <w:lang w:val="ru-RU" w:eastAsia="ru-RU" w:bidi="ru-RU"/>
          <w:w w:val="100"/>
          <w:spacing w:val="0"/>
          <w:color w:val="000000"/>
          <w:position w:val="0"/>
        </w:rPr>
        <w:t xml:space="preserve">и </w:t>
      </w:r>
      <w:r>
        <w:rPr>
          <w:lang w:val="en-US" w:eastAsia="en-US" w:bidi="en-US"/>
          <w:w w:val="100"/>
          <w:spacing w:val="0"/>
          <w:color w:val="000000"/>
          <w:position w:val="0"/>
        </w:rPr>
        <w:t xml:space="preserve">J.D.Aitchison </w:t>
      </w:r>
      <w:r>
        <w:rPr>
          <w:lang w:val="ru-RU" w:eastAsia="ru-RU" w:bidi="ru-RU"/>
          <w:w w:val="100"/>
          <w:spacing w:val="0"/>
          <w:color w:val="000000"/>
          <w:position w:val="0"/>
        </w:rPr>
        <w:t>наблюдали мужчину с 3-летним анамнезом дермато</w:t>
        <w:softHyphen/>
        <w:t>миозита и высокой легочной гипертензией, при этом обнаруживались рестриктивные вентиляционные нарушения по данным спирометрии при отсутствии рентгенологических проявлений паренхиматозного фиброза.</w:t>
      </w:r>
    </w:p>
    <w:p>
      <w:pPr>
        <w:pStyle w:val="Style30"/>
        <w:numPr>
          <w:ilvl w:val="0"/>
          <w:numId w:val="115"/>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Ряд авторов отметили ассоциацию легочной гипер</w:t>
        <w:softHyphen/>
        <w:t>тензии с ревматоидным артритом. Неоднократно в литературе упоминается о наличии высокой легоч</w:t>
        <w:softHyphen/>
        <w:t>ной гипертензии у больных системной красной вол</w:t>
        <w:softHyphen/>
        <w:t>чанкой. Развитие легочной гипертензии при этом за</w:t>
        <w:softHyphen/>
        <w:t>болевании наблюдается чаще у больных с длитель</w:t>
        <w:softHyphen/>
        <w:t>ным анамнезом заболевания (более 5-7 лет). У боль</w:t>
        <w:softHyphen/>
        <w:t>ных первичной легочной гипертензией часто обнару</w:t>
        <w:softHyphen/>
        <w:t>живается положительный тест на циркулирующие антинуклеарные антитела.</w:t>
      </w:r>
    </w:p>
    <w:p>
      <w:pPr>
        <w:pStyle w:val="Style30"/>
        <w:numPr>
          <w:ilvl w:val="0"/>
          <w:numId w:val="115"/>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По данным </w:t>
      </w:r>
      <w:r>
        <w:rPr>
          <w:lang w:val="en-US" w:eastAsia="en-US" w:bidi="en-US"/>
          <w:w w:val="100"/>
          <w:spacing w:val="0"/>
          <w:color w:val="000000"/>
          <w:position w:val="0"/>
        </w:rPr>
        <w:t xml:space="preserve">S.Rich, </w:t>
      </w:r>
      <w:r>
        <w:rPr>
          <w:lang w:val="ru-RU" w:eastAsia="ru-RU" w:bidi="ru-RU"/>
          <w:w w:val="100"/>
          <w:spacing w:val="0"/>
          <w:color w:val="000000"/>
          <w:position w:val="0"/>
        </w:rPr>
        <w:t>при обследовании 39 больных с первичной легочной гипертензией без каких-либо клинических проявлений коллагеноза в 40% случаев обнаруживались высокие титры антител в разведе</w:t>
        <w:softHyphen/>
        <w:t>нии от 1:80 до 1:1280. В контроле только в 1 случае из 20 обнаружен положительный титр антинуклеарных антител, не превышающий 1:40. У больных с вторич</w:t>
        <w:softHyphen/>
        <w:t>ными формами легочной гипертензии при врожден</w:t>
        <w:softHyphen/>
        <w:t>ных или приобретенных пороках сердца положи</w:t>
        <w:softHyphen/>
        <w:t>тельный титр выявлен только у одного из 16 пациен</w:t>
        <w:softHyphen/>
        <w:t>тов в разведении 1:160. Данные исследования под</w:t>
        <w:softHyphen/>
        <w:t>тверждают, что по крайней мере у 40% больных пер</w:t>
        <w:softHyphen/>
        <w:t>вичной легочной гипертензией этиологическим фак</w:t>
        <w:softHyphen/>
        <w:t>тором заболевания может явиться васкулит, иден</w:t>
        <w:softHyphen/>
        <w:t>тичный таковому при диффузных заболеваниях со</w:t>
        <w:softHyphen/>
        <w:t>единительной ткани.</w:t>
      </w:r>
    </w:p>
    <w:p>
      <w:pPr>
        <w:pStyle w:val="Style30"/>
        <w:numPr>
          <w:ilvl w:val="0"/>
          <w:numId w:val="115"/>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Возможность аутоиммунной причины первичной ле</w:t>
        <w:softHyphen/>
        <w:t>гочной гипертензии у детей подтверждают также ис</w:t>
        <w:softHyphen/>
        <w:t xml:space="preserve">следования </w:t>
      </w:r>
      <w:r>
        <w:rPr>
          <w:lang w:val="en-US" w:eastAsia="en-US" w:bidi="en-US"/>
          <w:w w:val="100"/>
          <w:spacing w:val="0"/>
          <w:color w:val="000000"/>
          <w:position w:val="0"/>
        </w:rPr>
        <w:t xml:space="preserve">R.J. Barst. </w:t>
      </w:r>
      <w:r>
        <w:rPr>
          <w:lang w:val="ru-RU" w:eastAsia="ru-RU" w:bidi="ru-RU"/>
          <w:w w:val="100"/>
          <w:spacing w:val="0"/>
          <w:color w:val="000000"/>
          <w:position w:val="0"/>
        </w:rPr>
        <w:t xml:space="preserve">Автор обследовал 15 детей с первичной легочной гипертензией и обнаружил в 3 случаях антинуклеарные антитела. Наряду с этим установлена ассоциация заболевания с </w:t>
      </w:r>
      <w:r>
        <w:rPr>
          <w:lang w:val="en-US" w:eastAsia="en-US" w:bidi="en-US"/>
          <w:w w:val="100"/>
          <w:spacing w:val="0"/>
          <w:color w:val="000000"/>
          <w:position w:val="0"/>
        </w:rPr>
        <w:t xml:space="preserve">HLA </w:t>
      </w:r>
      <w:r>
        <w:rPr>
          <w:lang w:val="ru-RU" w:eastAsia="ru-RU" w:bidi="ru-RU"/>
          <w:w w:val="100"/>
          <w:spacing w:val="0"/>
          <w:color w:val="000000"/>
          <w:position w:val="0"/>
        </w:rPr>
        <w:t xml:space="preserve">гаплоти- пами </w:t>
      </w:r>
      <w:r>
        <w:rPr>
          <w:lang w:val="en-US" w:eastAsia="en-US" w:bidi="en-US"/>
          <w:w w:val="100"/>
          <w:spacing w:val="0"/>
          <w:color w:val="000000"/>
          <w:position w:val="0"/>
        </w:rPr>
        <w:t xml:space="preserve">DR3 </w:t>
      </w:r>
      <w:r>
        <w:rPr>
          <w:lang w:val="ru-RU" w:eastAsia="ru-RU" w:bidi="ru-RU"/>
          <w:w w:val="100"/>
          <w:spacing w:val="0"/>
          <w:color w:val="000000"/>
          <w:position w:val="0"/>
        </w:rPr>
        <w:t xml:space="preserve">и </w:t>
      </w:r>
      <w:r>
        <w:rPr>
          <w:lang w:val="en-US" w:eastAsia="en-US" w:bidi="en-US"/>
          <w:w w:val="100"/>
          <w:spacing w:val="0"/>
          <w:color w:val="000000"/>
          <w:position w:val="0"/>
        </w:rPr>
        <w:t xml:space="preserve">DR6. </w:t>
      </w:r>
      <w:r>
        <w:rPr>
          <w:lang w:val="ru-RU" w:eastAsia="ru-RU" w:bidi="ru-RU"/>
          <w:w w:val="100"/>
          <w:spacing w:val="0"/>
          <w:color w:val="000000"/>
          <w:position w:val="0"/>
        </w:rPr>
        <w:t>Это позволило предположить авто</w:t>
        <w:softHyphen/>
        <w:t>ру, что первичная легочная гипертензия в ряде случа</w:t>
        <w:softHyphen/>
        <w:t>ев является стертой формой аутоиммунного заболе</w:t>
        <w:softHyphen/>
        <w:t>вания соединительной ткани.</w:t>
      </w:r>
    </w:p>
    <w:p>
      <w:pPr>
        <w:pStyle w:val="Style107"/>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Гормональная концепция первичной легочной гипертензии</w:t>
      </w:r>
    </w:p>
    <w:p>
      <w:pPr>
        <w:pStyle w:val="Style30"/>
        <w:numPr>
          <w:ilvl w:val="0"/>
          <w:numId w:val="115"/>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Возникновение первичной легочной гипертензии у девочек в пубертатном периоде после наступления менархе, а также у женщин во время беременности по</w:t>
        <w:softHyphen/>
        <w:t>зволило ряду авторов высказать точку зрения о гормо</w:t>
        <w:softHyphen/>
        <w:t>нальной причине первичной легочной гипертензии. Вероятно, женские половые гормоны могут вызывать развитие легочной гипертензии при наличии индиви</w:t>
        <w:softHyphen/>
        <w:t>дуальной предрасположенности к этой болезни.</w:t>
      </w:r>
    </w:p>
    <w:p>
      <w:pPr>
        <w:pStyle w:val="Style107"/>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Тромботическая концепция первичной легочной гипертензии</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Согласно данной концепции у больных первичной легочной гипертензией происходит тромбоз мелких сосудов легких, который, в отличие от микроэмбо</w:t>
        <w:softHyphen/>
        <w:t xml:space="preserve">лии, развивается </w:t>
      </w:r>
      <w:r>
        <w:rPr>
          <w:lang w:val="en-US" w:eastAsia="en-US" w:bidi="en-US"/>
          <w:w w:val="100"/>
          <w:spacing w:val="0"/>
          <w:color w:val="000000"/>
          <w:position w:val="0"/>
        </w:rPr>
        <w:t>in situ.</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Повреждение эндотелия — одно из неизменных усло - вий микротромбообразования, может быть индуци</w:t>
        <w:softHyphen/>
        <w:t>ровано как патологическими изменениями сосудис</w:t>
        <w:softHyphen/>
        <w:t>той стенки, так и гемодинамическими факторами. В этой связи процессы облитерации микрососудов легких необходимо рассматривать на основании со</w:t>
        <w:softHyphen/>
        <w:t>временных представлений о взаимодействии эндоте</w:t>
        <w:softHyphen/>
        <w:t>лия с кровью и тканевыми факторами тромбогенеза.</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Тромбообразование может начинаться в легочных ар- териолах мышечного типа у детей со значительным сбросом крови слева направо после 6-месячного воз</w:t>
        <w:softHyphen/>
        <w:t>раста.</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 важную роль микротромбоэмболий мышечных артериол в патогенезе первичной легочной гипертен</w:t>
        <w:softHyphen/>
        <w:t xml:space="preserve">зии на основании обследования 120 больных указали </w:t>
      </w:r>
      <w:r>
        <w:rPr>
          <w:lang w:val="en-US" w:eastAsia="en-US" w:bidi="en-US"/>
          <w:w w:val="100"/>
          <w:spacing w:val="0"/>
          <w:color w:val="000000"/>
          <w:position w:val="0"/>
        </w:rPr>
        <w:t xml:space="preserve">VFuster et al. </w:t>
      </w:r>
      <w:r>
        <w:rPr>
          <w:lang w:val="ru-RU" w:eastAsia="ru-RU" w:bidi="ru-RU"/>
          <w:w w:val="100"/>
          <w:spacing w:val="0"/>
          <w:color w:val="000000"/>
          <w:position w:val="0"/>
        </w:rPr>
        <w:t>Факторы, активирующие тромбообразо</w:t>
        <w:softHyphen/>
        <w:t xml:space="preserve">вание, например, действие люпус-антикоагулянта, могут также вызвать развитие первичной легочной гипертензии. Этот белок </w:t>
      </w:r>
      <w:r>
        <w:rPr>
          <w:lang w:val="en-US" w:eastAsia="en-US" w:bidi="en-US"/>
          <w:w w:val="100"/>
          <w:spacing w:val="0"/>
          <w:color w:val="000000"/>
          <w:position w:val="0"/>
        </w:rPr>
        <w:t xml:space="preserve">(Ig M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Ig G) </w:t>
      </w:r>
      <w:r>
        <w:rPr>
          <w:lang w:val="ru-RU" w:eastAsia="ru-RU" w:bidi="ru-RU"/>
          <w:w w:val="100"/>
          <w:spacing w:val="0"/>
          <w:color w:val="000000"/>
          <w:position w:val="0"/>
        </w:rPr>
        <w:t>подавляет систему простациклина.</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Наследственные нарушения тромбообразования, на</w:t>
        <w:softHyphen/>
        <w:t xml:space="preserve">пример дефицит антитромбина </w:t>
      </w:r>
      <w:r>
        <w:rPr>
          <w:lang w:val="en-US" w:eastAsia="en-US" w:bidi="en-US"/>
          <w:w w:val="100"/>
          <w:spacing w:val="0"/>
          <w:color w:val="000000"/>
          <w:position w:val="0"/>
        </w:rPr>
        <w:t xml:space="preserve">III </w:t>
      </w:r>
      <w:r>
        <w:rPr>
          <w:lang w:val="ru-RU" w:eastAsia="ru-RU" w:bidi="ru-RU"/>
          <w:w w:val="100"/>
          <w:spacing w:val="0"/>
          <w:color w:val="000000"/>
          <w:position w:val="0"/>
        </w:rPr>
        <w:t xml:space="preserve">или кофактора синтеза гепарина II, могут обусловить возникновение семейных случаев первичной легочной гипертензии. </w:t>
      </w:r>
      <w:r>
        <w:rPr>
          <w:lang w:val="en-US" w:eastAsia="en-US" w:bidi="en-US"/>
          <w:w w:val="100"/>
          <w:spacing w:val="0"/>
          <w:color w:val="000000"/>
          <w:position w:val="0"/>
        </w:rPr>
        <w:t xml:space="preserve">E.K. Wfeir </w:t>
      </w:r>
      <w:r>
        <w:rPr>
          <w:lang w:val="ru-RU" w:eastAsia="ru-RU" w:bidi="ru-RU"/>
          <w:w w:val="100"/>
          <w:spacing w:val="0"/>
          <w:color w:val="000000"/>
          <w:position w:val="0"/>
        </w:rPr>
        <w:t>из 13 больных первичной легочной гипер</w:t>
        <w:softHyphen/>
        <w:t>тензией у 7 выявил значительное снижение фибрино</w:t>
        <w:softHyphen/>
        <w:t>литической активности после окклюзии перифериче</w:t>
        <w:softHyphen/>
        <w:t>ской вены по сравнению с контрольной группой. Данное наблюдение может косвенно свидетельство</w:t>
        <w:softHyphen/>
        <w:t xml:space="preserve">вать, что процесс тромбообразования </w:t>
      </w:r>
      <w:r>
        <w:rPr>
          <w:lang w:val="en-US" w:eastAsia="en-US" w:bidi="en-US"/>
          <w:w w:val="100"/>
          <w:spacing w:val="0"/>
          <w:color w:val="000000"/>
          <w:position w:val="0"/>
        </w:rPr>
        <w:t xml:space="preserve">in situ </w:t>
      </w:r>
      <w:r>
        <w:rPr>
          <w:lang w:val="ru-RU" w:eastAsia="ru-RU" w:bidi="ru-RU"/>
          <w:w w:val="100"/>
          <w:spacing w:val="0"/>
          <w:color w:val="000000"/>
          <w:position w:val="0"/>
        </w:rPr>
        <w:t>может быть связан с патологией фибринолиза или функции эндотелиальных клеток.</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Важную роль в процессе тромбообразования играют тромбоциты. Наряду с этим они вырабатывают фак</w:t>
        <w:softHyphen/>
        <w:t>тор, который стимулирует пролиферацию гладких мышечных волокон в сосудистой стенке. Установле</w:t>
        <w:softHyphen/>
        <w:t xml:space="preserve">но, что у больных первичной легочной гипертензией продолжительность жизни тромбоцитов </w:t>
      </w:r>
      <w:r>
        <w:rPr>
          <w:lang w:val="en-US" w:eastAsia="en-US" w:bidi="en-US"/>
          <w:w w:val="100"/>
          <w:spacing w:val="0"/>
          <w:color w:val="000000"/>
          <w:position w:val="0"/>
        </w:rPr>
        <w:t xml:space="preserve">in vivo </w:t>
      </w:r>
      <w:r>
        <w:rPr>
          <w:lang w:val="ru-RU" w:eastAsia="ru-RU" w:bidi="ru-RU"/>
          <w:w w:val="100"/>
          <w:spacing w:val="0"/>
          <w:color w:val="000000"/>
          <w:position w:val="0"/>
        </w:rPr>
        <w:t>суще</w:t>
        <w:softHyphen/>
        <w:t>ственно снижена. Причина этих изменений не ясна, однако большинство авторов полагают, что патология со стороны тромбоцитов может также оказаться веду</w:t>
        <w:softHyphen/>
        <w:t>щей этиологической причиной первичной легочной гипертензии.</w:t>
      </w:r>
    </w:p>
    <w:p>
      <w:pPr>
        <w:pStyle w:val="Style107"/>
        <w:widowControl w:val="0"/>
        <w:keepNext w:val="0"/>
        <w:keepLines w:val="0"/>
        <w:shd w:val="clear" w:color="auto" w:fill="auto"/>
        <w:bidi w:val="0"/>
        <w:jc w:val="left"/>
        <w:spacing w:before="0" w:after="0"/>
        <w:ind w:left="0" w:right="0"/>
      </w:pPr>
      <w:r>
        <w:rPr>
          <w:lang w:val="ru-RU" w:eastAsia="ru-RU" w:bidi="ru-RU"/>
          <w:w w:val="100"/>
          <w:spacing w:val="0"/>
          <w:color w:val="000000"/>
          <w:position w:val="0"/>
        </w:rPr>
        <w:t>Нейрогуморальная концепция первичной легочной гипер</w:t>
        <w:softHyphen/>
        <w:t>тензии</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Согласно данной концепции первичную легочную гипертензию следует рассматривать как следствие на</w:t>
        <w:softHyphen/>
        <w:t>рушения регуляции тонуса сосудов легочной артерии с их констрикцией, обусловленное центральными нейрорефлекторными влияниями или расстройством взаимодействия систем биологически активных ве</w:t>
        <w:softHyphen/>
        <w:t>ществ, определяющих уровень легочно-артериоляр- ного сопротивления.</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pict>
          <v:shape id="_x0000_s1576" type="#_x0000_t75" style="position:absolute;margin-left:142.2pt;margin-top:736.55pt;width:209.75pt;height:14.9pt;z-index:-125829007;mso-wrap-distance-left:136.3pt;mso-wrap-distance-right:136.8pt;mso-wrap-distance-bottom:10.8pt;mso-position-horizontal-relative:margin;mso-position-vertical-relative:margin" wrapcoords="0 0 21600 0 21600 21600 0 21600 0 0">
            <v:imagedata r:id="rId916" r:href="rId917"/>
            <w10:wrap type="topAndBottom" anchorx="margin" anchory="margin"/>
          </v:shape>
        </w:pict>
      </w:r>
      <w:r>
        <w:rPr>
          <w:lang w:val="ru-RU" w:eastAsia="ru-RU" w:bidi="ru-RU"/>
          <w:w w:val="100"/>
          <w:spacing w:val="0"/>
          <w:color w:val="000000"/>
          <w:position w:val="0"/>
        </w:rPr>
        <w:t>Легочная вазоконстрикция может возникать вслед</w:t>
        <w:softHyphen/>
        <w:t>ствие нарушения метаболизма арахидоновой кисло - ты, субстраты которой (простагландины, лейкотрие- ны) принимают непосредственное участие в регуля-</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ции сосудистого тонуса. Легкие инактивируют около 90% простагландинов (ПГ) серий Е1 и </w:t>
      </w:r>
      <w:r>
        <w:rPr>
          <w:lang w:val="en-US" w:eastAsia="en-US" w:bidi="en-US"/>
          <w:w w:val="100"/>
          <w:spacing w:val="0"/>
          <w:color w:val="000000"/>
          <w:position w:val="0"/>
        </w:rPr>
        <w:t xml:space="preserve">F2 </w:t>
      </w:r>
      <w:r>
        <w:rPr>
          <w:lang w:val="ru-RU" w:eastAsia="ru-RU" w:bidi="ru-RU"/>
          <w:w w:val="100"/>
          <w:spacing w:val="0"/>
          <w:color w:val="000000"/>
          <w:position w:val="0"/>
        </w:rPr>
        <w:t>и не оказы</w:t>
        <w:softHyphen/>
        <w:t>вают влияния на циркулирующие ПГ А2 и проста- циклин.</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Простагландины с вазодилатирующими свойствами и простациклин, освобождаемые при гипервентиля</w:t>
        <w:softHyphen/>
        <w:t>ции, способствуют увеличению кровотока. Простаг- ландины с констрикторными свойствами являются медиаторами вазоконстрикции при гипоксии и уси</w:t>
        <w:softHyphen/>
        <w:t>ливают агрегацию тромбоцитов.</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экспериментальных исследованиях показано, что при первичной легочной гипертензии в легочной тка</w:t>
        <w:softHyphen/>
        <w:t>ни происходит резкое увеличение содержания тром- боксана. Клинические наблюдения свидетельствуют о резком нарушении синтеза тромбоксана у больных первичной легочной гипертензией. Однако назначе</w:t>
        <w:softHyphen/>
        <w:t>ние препаратов, вызывающих блокаду синтеза тром- боксана, не предупреждает развитие морфологичес</w:t>
        <w:softHyphen/>
        <w:t>ких изменений в легких при экспериментальной мо</w:t>
        <w:softHyphen/>
        <w:t>дели первичной легочной гипертензии. Данный факт подтверждает, что тромбоксан не является непосред</w:t>
        <w:softHyphen/>
        <w:t>ственным этиологическим фактором первичной ле</w:t>
        <w:softHyphen/>
        <w:t>гочной гипертензии, однако выступает в роли потен</w:t>
        <w:softHyphen/>
        <w:t>циального модулятора патологического процесса.</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Прием ингибиторов синтеза простагландинов (индо- метацина) во время беременности может явиться причиной первичной легочной гипертензии у ново</w:t>
        <w:softHyphen/>
        <w:t xml:space="preserve">рожденных. </w:t>
      </w:r>
      <w:r>
        <w:rPr>
          <w:lang w:val="en-US" w:eastAsia="en-US" w:bidi="en-US"/>
          <w:w w:val="100"/>
          <w:spacing w:val="0"/>
          <w:color w:val="000000"/>
          <w:position w:val="0"/>
        </w:rPr>
        <w:t xml:space="preserve">D.Manchester et al. </w:t>
      </w:r>
      <w:r>
        <w:rPr>
          <w:lang w:val="ru-RU" w:eastAsia="ru-RU" w:bidi="ru-RU"/>
          <w:w w:val="100"/>
          <w:spacing w:val="0"/>
          <w:color w:val="000000"/>
          <w:position w:val="0"/>
        </w:rPr>
        <w:t>сообщили о двух на</w:t>
        <w:softHyphen/>
        <w:t>блюдениях первичной легочной гипертензии у ново</w:t>
        <w:softHyphen/>
        <w:t>рожденных, рожденных от матерей, принимавших в течение 4-7 дней перед родами индометацин. Авто</w:t>
        <w:softHyphen/>
        <w:t>ры предполагают, что ингибиторы синтеза простаг</w:t>
        <w:softHyphen/>
        <w:t>ландинов обусловливают нарушение адаптации ле</w:t>
        <w:softHyphen/>
        <w:t>гочных сосудов во время внутриутробного развития.</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en-US" w:eastAsia="en-US" w:bidi="en-US"/>
          <w:w w:val="100"/>
          <w:spacing w:val="0"/>
          <w:color w:val="000000"/>
          <w:position w:val="0"/>
        </w:rPr>
        <w:t xml:space="preserve">D.L.Levin et al. </w:t>
      </w:r>
      <w:r>
        <w:rPr>
          <w:lang w:val="ru-RU" w:eastAsia="ru-RU" w:bidi="ru-RU"/>
          <w:w w:val="100"/>
          <w:spacing w:val="0"/>
          <w:color w:val="000000"/>
          <w:position w:val="0"/>
        </w:rPr>
        <w:t>приводят наблюдение за 2 детьми, умершими в неонатальном периоде от первичной ле</w:t>
        <w:softHyphen/>
        <w:t>гочной гипертензии. Матери этих детей принимали аспирин или индометацин. У первого новорожденно</w:t>
        <w:softHyphen/>
        <w:t>го, мать которого принимала аспирин 2 г в сутки, при катетеризации полостей сердца выявлены высо</w:t>
        <w:softHyphen/>
        <w:t>кая легочная гипертензия и открытое овальное окно, при этом артериальный проток был закрыт. На аутоп</w:t>
        <w:softHyphen/>
        <w:t>сии выявлена гипертрофия правого желудочка, гипер</w:t>
        <w:softHyphen/>
        <w:t>трофия медии легочных артериол и только 28% от нормы функционирующих легочных сосудов. У дру</w:t>
        <w:softHyphen/>
        <w:t>гого ребенка, рожденного на 38 неделе беременности, мать которого в течение 3-х дней принимала индоме</w:t>
        <w:softHyphen/>
        <w:t>тацин (25 мг в день) за 2 недели до родов, на аутопсии обнаружена гипертрофия медии легочных артериол при нормальном количестве легочных сосудов. Авто</w:t>
        <w:softHyphen/>
        <w:t xml:space="preserve">рами высказано предположение, что ингибиторы синтеза простагландинов могут приводить к кон- стрикции артериального протока </w:t>
      </w:r>
      <w:r>
        <w:rPr>
          <w:lang w:val="en-US" w:eastAsia="en-US" w:bidi="en-US"/>
          <w:w w:val="100"/>
          <w:spacing w:val="0"/>
          <w:color w:val="000000"/>
          <w:position w:val="0"/>
        </w:rPr>
        <w:t xml:space="preserve">in utero, </w:t>
      </w:r>
      <w:r>
        <w:rPr>
          <w:lang w:val="ru-RU" w:eastAsia="ru-RU" w:bidi="ru-RU"/>
          <w:w w:val="100"/>
          <w:spacing w:val="0"/>
          <w:color w:val="000000"/>
          <w:position w:val="0"/>
        </w:rPr>
        <w:t>при этом резко увеличивается кровоток через легочные сосуды.</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Другое альтернативное мнение основывается на предположении о непосредственной констрикции легочных артериол под воздействием ингибиторов синтеза простагландинов.</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Ряд авторов связывают возникновение первичной ле</w:t>
        <w:softHyphen/>
        <w:t>гочной гипертензии с патологией ренинангиотензи- новой системы. Известно, что неактивный ангиотен- зин</w:t>
      </w:r>
      <w:r>
        <w:rPr>
          <w:lang w:val="en-US" w:eastAsia="en-US" w:bidi="en-US"/>
          <w:w w:val="100"/>
          <w:spacing w:val="0"/>
          <w:color w:val="000000"/>
          <w:position w:val="0"/>
        </w:rPr>
        <w:t xml:space="preserve">-I </w:t>
      </w:r>
      <w:r>
        <w:rPr>
          <w:lang w:val="ru-RU" w:eastAsia="ru-RU" w:bidi="ru-RU"/>
          <w:w w:val="100"/>
          <w:spacing w:val="0"/>
          <w:color w:val="000000"/>
          <w:position w:val="0"/>
        </w:rPr>
        <w:t>с помощью ангиотензин превращающего фер</w:t>
        <w:softHyphen/>
        <w:br w:type="column"/>
        <w:t>мента превращается в обладающий мощным прес</w:t>
        <w:softHyphen/>
        <w:t>сорным эффектом ангиотензин</w:t>
      </w:r>
      <w:r>
        <w:rPr>
          <w:lang w:val="en-US" w:eastAsia="en-US" w:bidi="en-US"/>
          <w:w w:val="100"/>
          <w:spacing w:val="0"/>
          <w:color w:val="000000"/>
          <w:position w:val="0"/>
        </w:rPr>
        <w:t xml:space="preserve">-II. </w:t>
      </w:r>
      <w:r>
        <w:rPr>
          <w:lang w:val="ru-RU" w:eastAsia="ru-RU" w:bidi="ru-RU"/>
          <w:w w:val="100"/>
          <w:spacing w:val="0"/>
          <w:color w:val="000000"/>
          <w:position w:val="0"/>
        </w:rPr>
        <w:t>Этот фермент ло</w:t>
        <w:softHyphen/>
        <w:t>кализован в эндотелии легочных сосудов. Значение активности ренинангиотензиновой системы в пато</w:t>
        <w:softHyphen/>
        <w:t>генезе первичной легочной гипертензии подтвержде</w:t>
        <w:softHyphen/>
        <w:t>но в эксперименте на крысах с хронической гипокси</w:t>
        <w:softHyphen/>
        <w:t>ей. Это позволяет предположить в некоторых случаях сходный патогенез эссенциальной гипертонии в большом и малом кругах и определяет некоторые сходные направления в тактике лечения.</w:t>
      </w:r>
    </w:p>
    <w:p>
      <w:pPr>
        <w:pStyle w:val="Style30"/>
        <w:numPr>
          <w:ilvl w:val="0"/>
          <w:numId w:val="115"/>
        </w:numPr>
        <w:tabs>
          <w:tab w:leader="none" w:pos="235" w:val="left"/>
        </w:tabs>
        <w:widowControl w:val="0"/>
        <w:keepNext w:val="0"/>
        <w:keepLines w:val="0"/>
        <w:shd w:val="clear" w:color="auto" w:fill="auto"/>
        <w:bidi w:val="0"/>
        <w:spacing w:before="0" w:after="0"/>
        <w:ind w:left="280" w:right="0" w:hanging="280"/>
      </w:pPr>
      <w:r>
        <w:rPr>
          <w:lang w:val="en-US" w:eastAsia="en-US" w:bidi="en-US"/>
          <w:w w:val="100"/>
          <w:spacing w:val="0"/>
          <w:color w:val="000000"/>
          <w:position w:val="0"/>
        </w:rPr>
        <w:t xml:space="preserve">TKaoro et al. </w:t>
      </w:r>
      <w:r>
        <w:rPr>
          <w:lang w:val="ru-RU" w:eastAsia="ru-RU" w:bidi="ru-RU"/>
          <w:w w:val="100"/>
          <w:spacing w:val="0"/>
          <w:color w:val="000000"/>
          <w:position w:val="0"/>
        </w:rPr>
        <w:t>высказали предположение о том, что ле</w:t>
        <w:softHyphen/>
        <w:t>гочная гипертензия может быть связана с повышени</w:t>
        <w:softHyphen/>
        <w:t>ем содержания циркулирующих катехоламинов. Дан</w:t>
        <w:softHyphen/>
        <w:t>ное утверждение основано на обнаружении повы</w:t>
        <w:softHyphen/>
        <w:t>шенного содержания катехоламинов в верхней полой вене и бедренной артерии у больных с вторичными формами легочной гипертензии. В норме через лег</w:t>
        <w:softHyphen/>
        <w:t>кие экстрагируется около 25% циркулирующего но</w:t>
        <w:softHyphen/>
        <w:t>радреналина. У больных с легочной гипертензией этот показатель существенно снижен. Однако до на</w:t>
        <w:softHyphen/>
        <w:t>стоящего времени не установлено, является ли повы</w:t>
        <w:softHyphen/>
        <w:t>шение содержания катехоламинов в крови и сниже</w:t>
        <w:softHyphen/>
        <w:t>ние их экстракции легкими причиной легочной ги</w:t>
        <w:softHyphen/>
        <w:t>пертензии или данные изменения отражают тяжесть гемодинамических нарушений в малом круге крово</w:t>
        <w:softHyphen/>
        <w:t>обращения.</w:t>
      </w:r>
    </w:p>
    <w:p>
      <w:pPr>
        <w:pStyle w:val="Style30"/>
        <w:numPr>
          <w:ilvl w:val="0"/>
          <w:numId w:val="115"/>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отношении метаболизма гистамина существуют противоположные суждения. Повышенное содержа</w:t>
        <w:softHyphen/>
        <w:t>ние гистамина, обнаруженное в легочной артерии во время гипоксии в эксперименте на собаках, также может иметь отношение к патогенезу первичной ле</w:t>
        <w:softHyphen/>
        <w:t>гочной гипертензии.</w:t>
      </w:r>
    </w:p>
    <w:p>
      <w:pPr>
        <w:pStyle w:val="Style30"/>
        <w:numPr>
          <w:ilvl w:val="0"/>
          <w:numId w:val="115"/>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Наряду с гуморальными медиаторами и биологичес</w:t>
        <w:softHyphen/>
        <w:t>ки активными соединениями подтверждена роль ве</w:t>
        <w:softHyphen/>
        <w:t>гетативной и центральной нервной системы в генезе легочной гипертензии. Стимуляция верхнего ларин</w:t>
        <w:softHyphen/>
        <w:t xml:space="preserve">геального нерва (веточка </w:t>
      </w:r>
      <w:r>
        <w:rPr>
          <w:lang w:val="en-US" w:eastAsia="en-US" w:bidi="en-US"/>
          <w:w w:val="100"/>
          <w:spacing w:val="0"/>
          <w:color w:val="000000"/>
          <w:position w:val="0"/>
        </w:rPr>
        <w:t xml:space="preserve">n.vagus) </w:t>
      </w:r>
      <w:r>
        <w:rPr>
          <w:lang w:val="ru-RU" w:eastAsia="ru-RU" w:bidi="ru-RU"/>
          <w:w w:val="100"/>
          <w:spacing w:val="0"/>
          <w:color w:val="000000"/>
          <w:position w:val="0"/>
        </w:rPr>
        <w:t>в эксперименталь</w:t>
        <w:softHyphen/>
        <w:t>ной модели приводит к увеличению легочного арте</w:t>
        <w:softHyphen/>
        <w:t>риального давления. Перерезка вагусного нерва дис</w:t>
        <w:softHyphen/>
        <w:t>тальнее гортанного нерва не изменяет величину ле</w:t>
        <w:softHyphen/>
        <w:t>гочной вазоконстрикции. В ряде экспериментальных исследований показано, что перерезка нерва каро</w:t>
        <w:softHyphen/>
        <w:t>тидного синуса устраняет легочную вазоконстрик- цию гипоксического происхождения.</w:t>
      </w:r>
    </w:p>
    <w:p>
      <w:pPr>
        <w:pStyle w:val="Style107"/>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Концепция нарушенной реактивности легочных сосудов</w:t>
      </w:r>
    </w:p>
    <w:p>
      <w:pPr>
        <w:pStyle w:val="Style30"/>
        <w:numPr>
          <w:ilvl w:val="0"/>
          <w:numId w:val="115"/>
        </w:numPr>
        <w:tabs>
          <w:tab w:leader="none" w:pos="235" w:val="left"/>
        </w:tabs>
        <w:widowControl w:val="0"/>
        <w:keepNext w:val="0"/>
        <w:keepLines w:val="0"/>
        <w:shd w:val="clear" w:color="auto" w:fill="auto"/>
        <w:bidi w:val="0"/>
        <w:spacing w:before="0" w:after="0"/>
        <w:ind w:left="280" w:right="0" w:hanging="280"/>
      </w:pPr>
      <w:r>
        <w:pict>
          <v:shape id="_x0000_s1577" type="#_x0000_t75" style="position:absolute;margin-left:130.45pt;margin-top:736.55pt;width:209.75pt;height:14.9pt;z-index:-125829006;mso-wrap-distance-left:124.1pt;mso-wrap-distance-right:148.1pt;mso-wrap-distance-bottom:10.8pt;mso-position-horizontal-relative:margin;mso-position-vertical-relative:margin" wrapcoords="0 0 21600 0 21600 21600 0 21600 0 0">
            <v:imagedata r:id="rId918" r:href="rId919"/>
            <w10:wrap type="topAndBottom" anchorx="margin" anchory="margin"/>
          </v:shape>
        </w:pict>
      </w:r>
      <w:r>
        <w:rPr>
          <w:lang w:val="ru-RU" w:eastAsia="ru-RU" w:bidi="ru-RU"/>
          <w:w w:val="100"/>
          <w:spacing w:val="0"/>
          <w:color w:val="000000"/>
          <w:position w:val="0"/>
        </w:rPr>
        <w:t>Данная концепция основана на обнаружении особой гиперреактивности легочных сосудов у детей и взрос</w:t>
        <w:softHyphen/>
        <w:t>лых при первичной легочной гипертензии по сравне</w:t>
        <w:softHyphen/>
        <w:t>нию с контрольными группами. Мысль о значении индивидуальной гиперчувствительности и гиперре</w:t>
        <w:softHyphen/>
        <w:t>активности легочных сосудов возникла при анализе случаев избирательного повреждающего действия ле</w:t>
        <w:softHyphen/>
        <w:t>карств и других веществ (аминорекс, сурепное мас</w:t>
        <w:softHyphen/>
        <w:t>ло). Было отмечено, что первичная легочная гипер</w:t>
        <w:softHyphen/>
        <w:t>тензия возникает у определенной группы людей, имеющих предрасположенность к легочному вазос</w:t>
        <w:softHyphen/>
        <w:t>пазму. В дальнейшем наличие высокой индивидуаль</w:t>
        <w:softHyphen/>
        <w:t>ной чувствительности сосудистого русла легких было продемонстрировано с помощью фармакологическо</w:t>
        <w:softHyphen/>
        <w:t>го тестирования с ацетилхолином. Показано, что ре</w:t>
        <w:softHyphen/>
        <w:t>активность легочных сосудов у детей существенно выше, чем у взрослых.</w:t>
      </w:r>
      <w:r>
        <w:br w:type="page"/>
      </w:r>
    </w:p>
    <w:p>
      <w:pPr>
        <w:pStyle w:val="Style30"/>
        <w:numPr>
          <w:ilvl w:val="0"/>
          <w:numId w:val="115"/>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Высказано предположение, что не известный до на</w:t>
        <w:softHyphen/>
        <w:t>стоящего времени стимул при наличии индивидуаль</w:t>
        <w:softHyphen/>
        <w:t>ной гиперчувствительности легочных сосудов вызы</w:t>
        <w:softHyphen/>
        <w:t>вает вазоконстрикцию и приводит к «стерильному» воспалению легких. Этот процесс сопровождается активацией макрофагов, тучных клеток, в нем также принимают участие лейкотриены, факторы, активи</w:t>
        <w:softHyphen/>
        <w:t>рующие тромбоциты и ускоряющие вазоконстрик- цию. Возникает несоответствие между величиной кровотока и объемом сосудистого русла, приводящее к подъему давления в легочных артериях. При этом значение вазоконстрикции велико в начале заболева</w:t>
        <w:softHyphen/>
        <w:t>ния, затем оно снижается.</w:t>
      </w:r>
    </w:p>
    <w:p>
      <w:pPr>
        <w:pStyle w:val="Style107"/>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Концепция дисфункции клеток эндотелия</w:t>
      </w:r>
    </w:p>
    <w:p>
      <w:pPr>
        <w:pStyle w:val="Style30"/>
        <w:numPr>
          <w:ilvl w:val="0"/>
          <w:numId w:val="115"/>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Эндотелий микрососудов легких играет важную роль в регуляции сосудистого тонуса и функции тромбо</w:t>
        <w:softHyphen/>
        <w:t>цитов, вырабатывая так называемые эндотелиальные релаксирующий и сокращающий факторы. Эти фак</w:t>
        <w:softHyphen/>
        <w:t>торы отличаются от метаболитов арахидоновой кис</w:t>
        <w:softHyphen/>
        <w:t>лоты, простациклина и тромбоксана А2, также обла</w:t>
        <w:softHyphen/>
        <w:t>дающих вазоактивным свойством.</w:t>
      </w:r>
    </w:p>
    <w:p>
      <w:pPr>
        <w:pStyle w:val="Style30"/>
        <w:numPr>
          <w:ilvl w:val="0"/>
          <w:numId w:val="115"/>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Эндотелиальный релаксирующий фактор (ЭРФ) об</w:t>
        <w:softHyphen/>
        <w:t>ладает мощным вазодилатирующим действием, вы</w:t>
        <w:softHyphen/>
        <w:t>свобождается в эндотелии в ответ на стимуляцию му</w:t>
        <w:softHyphen/>
        <w:t xml:space="preserve">скариновых, альфа-1-адренергических, пуринерги- ческих рецепторов, Р1-рецепторов, гистаминергиче- ских Н1-рецепторов, серотонинергических, </w:t>
      </w:r>
      <w:r>
        <w:rPr>
          <w:lang w:val="en-US" w:eastAsia="en-US" w:bidi="en-US"/>
          <w:w w:val="100"/>
          <w:spacing w:val="0"/>
          <w:color w:val="000000"/>
          <w:position w:val="0"/>
        </w:rPr>
        <w:t xml:space="preserve">S1^- </w:t>
      </w:r>
      <w:r>
        <w:rPr>
          <w:lang w:val="ru-RU" w:eastAsia="ru-RU" w:bidi="ru-RU"/>
          <w:w w:val="100"/>
          <w:spacing w:val="0"/>
          <w:color w:val="000000"/>
          <w:position w:val="0"/>
        </w:rPr>
        <w:t>цепторов, тромбиновых и вазопрессинергических ре</w:t>
        <w:softHyphen/>
        <w:t>цепторов. Выделение ЭРФ могут спровоцировать ги</w:t>
        <w:softHyphen/>
        <w:t>стамин, брадикинин, серотонин, АТФ, АДФ, вазоп- рессин, тромбин, арахидоновая кислота. Некоторые авторы считают, что выделение ЭРФ является конеч</w:t>
        <w:softHyphen/>
        <w:t>ным результатом действия практически всех вазоди- лататоров, влияющих непосредственно на гладкую мускулатуру сосудов. ЭРФ является также потенци</w:t>
        <w:softHyphen/>
        <w:t>альным модулятором взаимодействия между тромбо</w:t>
        <w:softHyphen/>
        <w:t>цитами и сосудистой стенкой. ЭРФ ингибирует агре</w:t>
        <w:softHyphen/>
        <w:t>гацию тромбоцитов, препятствует адгезии тромбоци</w:t>
        <w:softHyphen/>
        <w:t>тов к клеткам эндотелия. Предполагают, что ЭРФ яв</w:t>
        <w:softHyphen/>
        <w:t>ляется оксидом азота. Возможно, ЭРФ вырабатыва</w:t>
        <w:softHyphen/>
        <w:t>ется в клетках эндотелия в виде нестойкого промежу</w:t>
        <w:softHyphen/>
        <w:t>точного вещества (аммиака или вещества, обусловли</w:t>
        <w:softHyphen/>
        <w:t>вающего гиперполяризацию гладкомышечных сосу</w:t>
        <w:softHyphen/>
        <w:t>дистых стенок), которое затем быстро превращается в окись азота.</w:t>
      </w:r>
    </w:p>
    <w:p>
      <w:pPr>
        <w:pStyle w:val="Style30"/>
        <w:numPr>
          <w:ilvl w:val="0"/>
          <w:numId w:val="115"/>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последние годы идентифицирован эндотелиальный сокращающий фактор (ЭСФ), являющийся пепти</w:t>
        <w:softHyphen/>
        <w:t>дом и состоящий из 21 аминокислоты. Его называют эндотелином. ЭСФ выделяется из эндотелия под вли</w:t>
        <w:softHyphen/>
        <w:t>янием гипоксии, серотонина, действия ряда механи</w:t>
        <w:softHyphen/>
        <w:t>ческих факторов и обладает выраженным вазокон- стрикторным свойством.</w:t>
      </w:r>
    </w:p>
    <w:p>
      <w:pPr>
        <w:pStyle w:val="Style30"/>
        <w:numPr>
          <w:ilvl w:val="0"/>
          <w:numId w:val="115"/>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этой связи ряд авторов считает, что дисфункция клеток эндотелия может быть одним из патогенетиче</w:t>
        <w:softHyphen/>
        <w:t>ских факторов первичной легочной гипертензии. Ус</w:t>
        <w:softHyphen/>
        <w:t>тановлено, что при повреждении эндотелия, напри</w:t>
        <w:softHyphen/>
        <w:t>мер, во время введения катетера в легочную артерию, возникает резкий вазоспазм и увеличение чувстви</w:t>
        <w:softHyphen/>
        <w:t>тельности сосудов к вазоконстрикторным стимулам. При гипоксии происходит ингибирование синтеза окиси азота в клетках эндотелия и синтез цГМФ в подлежащих гладкомышечных клетках. Вследствие</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этого у больных первичной легочной гипертензией может возникать стойкая вазоконстрикция. Возник</w:t>
        <w:softHyphen/>
        <w:t>новение первичной легочной гипертензии может быть связано как с увеличением продукции ЭСФ, так и с уменьшением продукции ЭРФ. Первичная легоч</w:t>
        <w:softHyphen/>
        <w:t>ная гипертензия может быть обусловлена нарушени</w:t>
        <w:softHyphen/>
        <w:t>ем взаимодействия между ЭРФ и ЭСФ, поскольку у ЭСФ более длительный период полураспада, чем у ЭРФ, и при относительном его преобладании воз</w:t>
        <w:softHyphen/>
        <w:t>никает длительная констрикция сосудов.</w:t>
      </w:r>
    </w:p>
    <w:p>
      <w:pPr>
        <w:pStyle w:val="Style107"/>
        <w:widowControl w:val="0"/>
        <w:keepNext w:val="0"/>
        <w:keepLines w:val="0"/>
        <w:shd w:val="clear" w:color="auto" w:fill="auto"/>
        <w:bidi w:val="0"/>
        <w:spacing w:before="0" w:after="0"/>
        <w:ind w:left="0" w:right="0"/>
      </w:pPr>
      <w:r>
        <w:rPr>
          <w:lang w:val="ru-RU" w:eastAsia="ru-RU" w:bidi="ru-RU"/>
          <w:w w:val="100"/>
          <w:spacing w:val="0"/>
          <w:color w:val="000000"/>
          <w:position w:val="0"/>
        </w:rPr>
        <w:t>Морфологические изменения при первичной легочной гипер</w:t>
        <w:softHyphen/>
        <w:t>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Характерными гистологическими проявлениями при первичной легочной гипертензии являются:</w:t>
      </w:r>
    </w:p>
    <w:p>
      <w:pPr>
        <w:pStyle w:val="Style30"/>
        <w:numPr>
          <w:ilvl w:val="0"/>
          <w:numId w:val="115"/>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Гипертрофия мышечного слоя (медии) мышечных артерий на уровне респираторных бронхиол. В норме толщина медии по отношению к наружному диамет</w:t>
        <w:softHyphen/>
        <w:t>ру артерии не превышает 6%. При умеренной гипер</w:t>
        <w:softHyphen/>
        <w:t>трофии она составляет от 6 до 15%, среднетяжелой — от 16 до 25%, тяжелой — более 25%.</w:t>
      </w:r>
    </w:p>
    <w:p>
      <w:pPr>
        <w:pStyle w:val="Style30"/>
        <w:numPr>
          <w:ilvl w:val="0"/>
          <w:numId w:val="115"/>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Клеточная пролиферация интимы (концентрическая или эксцентрическая) или фиброз (фиброэластоз) интимы (концентрический или эксцентрический) мышечных артерий на уровне респираторных брон</w:t>
        <w:softHyphen/>
        <w:t>хиол.</w:t>
      </w:r>
    </w:p>
    <w:p>
      <w:pPr>
        <w:pStyle w:val="Style30"/>
        <w:numPr>
          <w:ilvl w:val="0"/>
          <w:numId w:val="115"/>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Тромбы разной степени организации (свежие, ста</w:t>
        <w:softHyphen/>
        <w:t>рые, реканализация тромба).</w:t>
      </w:r>
    </w:p>
    <w:p>
      <w:pPr>
        <w:pStyle w:val="Style30"/>
        <w:numPr>
          <w:ilvl w:val="0"/>
          <w:numId w:val="115"/>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Плексиформные изменения мелких артерий и арте- риол.</w:t>
      </w:r>
    </w:p>
    <w:p>
      <w:pPr>
        <w:pStyle w:val="Style30"/>
        <w:numPr>
          <w:ilvl w:val="0"/>
          <w:numId w:val="115"/>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Окклюзивное поражение венул в виде гипертрофии медии (в норме толщина мышечного слоя не превы</w:t>
        <w:softHyphen/>
        <w:t>шает 6% от наружного диаметра сосуда), фиброза или фиброэластоза интимы и образования тромбов.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Дополнительными гистологическими проявлениями могут быть:</w:t>
      </w:r>
    </w:p>
    <w:p>
      <w:pPr>
        <w:pStyle w:val="Style30"/>
        <w:numPr>
          <w:ilvl w:val="0"/>
          <w:numId w:val="115"/>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Фибриноидный некроз (дегенерация).</w:t>
      </w:r>
    </w:p>
    <w:p>
      <w:pPr>
        <w:pStyle w:val="Style30"/>
        <w:numPr>
          <w:ilvl w:val="0"/>
          <w:numId w:val="115"/>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Активный или «отзвучавший» артериит.</w:t>
      </w:r>
    </w:p>
    <w:p>
      <w:pPr>
        <w:pStyle w:val="Style30"/>
        <w:numPr>
          <w:ilvl w:val="0"/>
          <w:numId w:val="115"/>
        </w:numPr>
        <w:tabs>
          <w:tab w:leader="none" w:pos="515" w:val="left"/>
        </w:tabs>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Дилатационные повреждения мелких сосудов.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Гистологические типы при клинически диагностирован</w:t>
        <w:softHyphen/>
        <w:t>ной первичной легочной гипертензии впервые были выде</w:t>
        <w:softHyphen/>
        <w:t xml:space="preserve">лены </w:t>
      </w:r>
      <w:r>
        <w:rPr>
          <w:lang w:val="en-US" w:eastAsia="en-US" w:bidi="en-US"/>
          <w:w w:val="100"/>
          <w:spacing w:val="0"/>
          <w:color w:val="000000"/>
          <w:position w:val="0"/>
        </w:rPr>
        <w:t xml:space="preserve">C.A.Wagenvoort </w:t>
      </w:r>
      <w:r>
        <w:rPr>
          <w:lang w:val="ru-RU" w:eastAsia="ru-RU" w:bidi="ru-RU"/>
          <w:w w:val="100"/>
          <w:spacing w:val="0"/>
          <w:color w:val="000000"/>
          <w:position w:val="0"/>
        </w:rPr>
        <w:t xml:space="preserve">и </w:t>
      </w:r>
      <w:r>
        <w:rPr>
          <w:lang w:val="en-US" w:eastAsia="en-US" w:bidi="en-US"/>
          <w:w w:val="100"/>
          <w:spacing w:val="0"/>
          <w:color w:val="000000"/>
          <w:position w:val="0"/>
        </w:rPr>
        <w:t xml:space="preserve">N.Wagenvoort </w:t>
      </w:r>
      <w:r>
        <w:rPr>
          <w:lang w:val="ru-RU" w:eastAsia="ru-RU" w:bidi="ru-RU"/>
          <w:w w:val="100"/>
          <w:spacing w:val="0"/>
          <w:color w:val="000000"/>
          <w:position w:val="0"/>
        </w:rPr>
        <w:t xml:space="preserve">в 1970 г. на основании изучения 156 аутопсийных случаев болезни, а также </w:t>
      </w:r>
      <w:r>
        <w:rPr>
          <w:lang w:val="en-US" w:eastAsia="en-US" w:bidi="en-US"/>
          <w:w w:val="100"/>
          <w:spacing w:val="0"/>
          <w:color w:val="000000"/>
          <w:position w:val="0"/>
        </w:rPr>
        <w:t xml:space="preserve">C.AWagenvoort </w:t>
      </w:r>
      <w:r>
        <w:rPr>
          <w:lang w:val="ru-RU" w:eastAsia="ru-RU" w:bidi="ru-RU"/>
          <w:w w:val="100"/>
          <w:spacing w:val="0"/>
          <w:color w:val="000000"/>
          <w:position w:val="0"/>
        </w:rPr>
        <w:t>в 1980 г. при обследовании 40 больных, ко</w:t>
        <w:softHyphen/>
        <w:t>торым была проведена открытая биопсия легкого.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настоящее время выделяют три гистологических вари</w:t>
        <w:softHyphen/>
        <w:t>анта первичной легочной гипертензии:</w:t>
      </w:r>
    </w:p>
    <w:p>
      <w:pPr>
        <w:pStyle w:val="Style30"/>
        <w:numPr>
          <w:ilvl w:val="0"/>
          <w:numId w:val="117"/>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плексогенная легочная артериопатия;</w:t>
      </w:r>
    </w:p>
    <w:p>
      <w:pPr>
        <w:pStyle w:val="Style30"/>
        <w:numPr>
          <w:ilvl w:val="0"/>
          <w:numId w:val="117"/>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тромботическая легочная артериопатия;</w:t>
      </w:r>
    </w:p>
    <w:p>
      <w:pPr>
        <w:pStyle w:val="Style30"/>
        <w:numPr>
          <w:ilvl w:val="0"/>
          <w:numId w:val="117"/>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веноокклюзивное поражение легких.</w:t>
      </w:r>
    </w:p>
    <w:p>
      <w:pPr>
        <w:pStyle w:val="Style30"/>
        <w:widowControl w:val="0"/>
        <w:keepNext w:val="0"/>
        <w:keepLines w:val="0"/>
        <w:shd w:val="clear" w:color="auto" w:fill="auto"/>
        <w:bidi w:val="0"/>
        <w:spacing w:before="0" w:after="0"/>
        <w:ind w:left="0" w:right="0" w:firstLine="280"/>
      </w:pPr>
      <w:r>
        <w:rPr>
          <w:rStyle w:val="CharStyle103"/>
        </w:rPr>
        <w:t>Плексогенная легочная артериопатия</w:t>
      </w:r>
      <w:r>
        <w:rPr>
          <w:lang w:val="ru-RU" w:eastAsia="ru-RU" w:bidi="ru-RU"/>
          <w:w w:val="100"/>
          <w:spacing w:val="0"/>
          <w:color w:val="000000"/>
          <w:position w:val="0"/>
        </w:rPr>
        <w:t xml:space="preserve"> возникает вслед</w:t>
        <w:softHyphen/>
        <w:t>ствие хронической высокой легочной гипертензии различ</w:t>
        <w:softHyphen/>
        <w:t>ной этиологии.</w:t>
      </w:r>
    </w:p>
    <w:p>
      <w:pPr>
        <w:pStyle w:val="Style30"/>
        <w:widowControl w:val="0"/>
        <w:keepNext w:val="0"/>
        <w:keepLines w:val="0"/>
        <w:shd w:val="clear" w:color="auto" w:fill="auto"/>
        <w:bidi w:val="0"/>
        <w:spacing w:before="0" w:after="0"/>
        <w:ind w:left="0" w:right="0" w:firstLine="280"/>
      </w:pPr>
      <w:r>
        <w:pict>
          <v:shape id="_x0000_s1578" type="#_x0000_t75" style="position:absolute;margin-left:141.95pt;margin-top:736.55pt;width:209.75pt;height:14.9pt;z-index:-125829005;mso-wrap-distance-left:135.85pt;mso-wrap-distance-right:136.8pt;mso-wrap-distance-bottom:10.8pt;mso-position-horizontal-relative:margin;mso-position-vertical-relative:margin" wrapcoords="0 0 21600 0 21600 21600 0 21600 0 0">
            <v:imagedata r:id="rId920" r:href="rId921"/>
            <w10:wrap type="topAndBottom" anchorx="margin" anchory="margin"/>
          </v:shape>
        </w:pict>
      </w:r>
      <w:r>
        <w:rPr>
          <w:lang w:val="ru-RU" w:eastAsia="ru-RU" w:bidi="ru-RU"/>
          <w:w w:val="100"/>
          <w:spacing w:val="0"/>
          <w:color w:val="000000"/>
          <w:position w:val="0"/>
        </w:rPr>
        <w:t>Развитие плексогенной артериопатии характеризуется следующей последовательностью: гипертрофия медии, утолщение интимы и ее пролиферация (по типу «лукович</w:t>
        <w:softHyphen/>
        <w:t>ных» слоев), приводящие к окклюзии просвета сосуда; раз</w:t>
        <w:softHyphen/>
        <w:t>витие плексиформных образований. Плексиформные об</w:t>
        <w:softHyphen/>
        <w:t>разования проявляются как сплетения канальцев, исходя</w:t>
        <w:softHyphen/>
        <w:t>щих из артериолярной стенки. Точная причина образова</w:t>
        <w:softHyphen/>
        <w:t>ния плексусов не установлена. Поскольку плексиформные изменения гистологически возникают вслед за прогресси-</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рующей интимальной пролиферацией и гипертрофией ме- дии, можно полагать, что пусковым механизмом образова</w:t>
        <w:softHyphen/>
        <w:t>ния плексусов является артериальная вазоконстрикция. Некоторые авторы считают, что плексусы отражают стадию пролиферативного замещения области фибриноидного не</w:t>
        <w:softHyphen/>
        <w:t>кроза или возникают в результате локального реактивного повреждения сосудов. Другие авторы полагают, что плексу- сы являются «анастомозами» между легочными артериями и венами или «аневризмами», возникшими вследствие не</w:t>
        <w:softHyphen/>
        <w:t>доразвития медии сосуда или ее слабости. Во всех случаях плексиформные изменения наблюдаются только при пре</w:t>
        <w:softHyphen/>
        <w:t>капиллярной легочной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Ультраструктурные исследования показывают, что плек- сусы состоят из миофибробластов и примитивных сосудо</w:t>
        <w:softHyphen/>
        <w:t>формирующих резервных клеток. В настоящее время под</w:t>
        <w:softHyphen/>
        <w:t>тверждено, что клетки, находящиеся в просвете сосуда, имеют мышечное происхождение и мигрируют из медии артериол. Причина такой пролиферации и миграции этих клеток не установлена.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Пролиферация интимы и гипертрофия медии не всегда взаимосвязаны. Гипертрофия медии мышечных легочных артерий и артериол при тяжелой первичной легочной ги</w:t>
        <w:softHyphen/>
        <w:t>пертензии может наблюдаться без интимальных измене</w:t>
        <w:softHyphen/>
        <w:t>ний. До настоящего времени остается не выясненным, яв</w:t>
        <w:softHyphen/>
        <w:t>ляется ли «изолированная» гипертрофия медии самостоя</w:t>
        <w:softHyphen/>
        <w:t>тельным патологическим проявлением или это стадия плексогенной легочной артериопатии. Корреляционные сопоставления свидетельствуют о том, что толщина медии в мышечных легочных артериях пропорциональна легочно - му артериальному давлению. Однако в детском возрасте ги</w:t>
        <w:softHyphen/>
        <w:t>пертрофия медии может иметь более выраженный харак</w:t>
        <w:softHyphen/>
        <w:t>тер, неадекватный уровню легочной гипертензии. Крупные эластические артерии при плексогенной артериопатии обычно расширены. Характерно, что капилляры и легоч</w:t>
        <w:softHyphen/>
        <w:t>ные вены не изменены. Представляет интерес тот факт, что у ряда больных при плексогенной артериопатии обнаружи</w:t>
        <w:softHyphen/>
        <w:t>вается увеличение числа бронхиолярных эндокринных эпителиальных клеток, которые ответственны за выработку кальцитонина. Плексиформные изменения у больных пер</w:t>
        <w:softHyphen/>
        <w:t>вичной легочной гипертензией, по гистологическим дан</w:t>
        <w:softHyphen/>
        <w:t>ным, наблюдаются в 28-71% случаев. Они более характерны для детей и молодых лиц по сравнению со старшими возра</w:t>
        <w:softHyphen/>
        <w:t>стными группами.</w:t>
      </w:r>
    </w:p>
    <w:p>
      <w:pPr>
        <w:pStyle w:val="Style30"/>
        <w:widowControl w:val="0"/>
        <w:keepNext w:val="0"/>
        <w:keepLines w:val="0"/>
        <w:shd w:val="clear" w:color="auto" w:fill="auto"/>
        <w:bidi w:val="0"/>
        <w:spacing w:before="0" w:after="0"/>
        <w:ind w:left="0" w:right="0" w:firstLine="280"/>
      </w:pPr>
      <w:r>
        <w:rPr>
          <w:rStyle w:val="CharStyle103"/>
        </w:rPr>
        <w:t>Тромботическая артериопатия</w:t>
      </w:r>
      <w:r>
        <w:rPr>
          <w:lang w:val="ru-RU" w:eastAsia="ru-RU" w:bidi="ru-RU"/>
          <w:w w:val="100"/>
          <w:spacing w:val="0"/>
          <w:color w:val="000000"/>
          <w:position w:val="0"/>
        </w:rPr>
        <w:t xml:space="preserve"> легких гистологически характеризуется следующими изменениями сосудистого ложа легких (мелких артерий и артериол): преимуществен</w:t>
        <w:softHyphen/>
        <w:t>но эксцентрическим фиброзом интимы, разной стадии ор</w:t>
        <w:softHyphen/>
        <w:t>ганизации микротромбов, гипертрофией медии и фибро</w:t>
        <w:softHyphen/>
        <w:t>эластическими сетевидными изменениями в просвете сосу</w:t>
        <w:softHyphen/>
        <w:t>да, исходящими из интимы. При этом изменений интимы по типу «луковичных слоев» или плексусов не наблюдается. Микротромбы не связаны с эмболией из системной цирку</w:t>
        <w:softHyphen/>
        <w:t xml:space="preserve">ляции и образуются вследствие тромбоза </w:t>
      </w:r>
      <w:r>
        <w:rPr>
          <w:lang w:val="en-US" w:eastAsia="en-US" w:bidi="en-US"/>
          <w:w w:val="100"/>
          <w:spacing w:val="0"/>
          <w:color w:val="000000"/>
          <w:position w:val="0"/>
        </w:rPr>
        <w:t xml:space="preserve">in situ. </w:t>
      </w:r>
      <w:r>
        <w:rPr>
          <w:lang w:val="ru-RU" w:eastAsia="ru-RU" w:bidi="ru-RU"/>
          <w:w w:val="100"/>
          <w:spacing w:val="0"/>
          <w:color w:val="000000"/>
          <w:position w:val="0"/>
        </w:rPr>
        <w:t>Экспери</w:t>
        <w:softHyphen/>
        <w:t>ментальными исследованиями показано, что субэндотели</w:t>
        <w:softHyphen/>
        <w:t>альные клеточные структуры могут образовывать субстраты сосудистого тромбоза. Повышенное внутрисосудистое дав</w:t>
        <w:softHyphen/>
        <w:t>ление разрушает эндотелиальный сосудистый слой, приво</w:t>
        <w:softHyphen/>
        <w:t>дит к изменению физиологической функции эндотелиаль</w:t>
        <w:softHyphen/>
        <w:t>ной клетки, что в конечном итоге активирует прокоагу- лянтное звено гемостаза. Вероятно, при тромботической легочной артериопатии существуют не изученные до насто - ящего времени стимуляторы, приводящие к изменению ан</w:t>
        <w:softHyphen/>
        <w:br w:type="column"/>
        <w:t>тикоагулянтных свойств эндотелия в направлении прекоа- гулянтных на микроциркуляторном уровне. Генерализация данного процесса в артериальном сосудистом ложе легких приводит к диффузной интимальной пролиферации и тромбозу, развитию легочной гипертензии пропорцио</w:t>
        <w:softHyphen/>
        <w:t>нально тяжести окклюзии сосудов.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Тромботическая легочная артериопатия носит прогрес</w:t>
        <w:softHyphen/>
        <w:t>сирующий характер. Механизмы коагуляционных наруше</w:t>
        <w:softHyphen/>
        <w:t>ний у больных первичной легочной гипертензией не изуче</w:t>
        <w:softHyphen/>
        <w:t>ны. Коагуляционный профиль у больных первичной легоч</w:t>
        <w:softHyphen/>
        <w:t>ной гипертензией, включая протромбиновое время, тром</w:t>
        <w:softHyphen/>
        <w:t>биновое время, время кровотечения, уровень фибрина и продуктов его дегенерации, а также уровень тромбина III, обычно не изменен. Отсутствуют также изменения тромбо- цитарного звена гемостаза, включая размер, количество и агрегационную способность тромбоцитов. Имеются ука</w:t>
        <w:softHyphen/>
        <w:t>зания на удлинение времени эуглобулинового лизиса, од</w:t>
        <w:softHyphen/>
        <w:t>нако механизм данных изменений не выяснен. Возможно, что нарушены плазменные фибринолитические компонен</w:t>
        <w:softHyphen/>
        <w:t>ты. Определение антигенов плазминогена, функциональ</w:t>
        <w:softHyphen/>
        <w:t>ной концентрации плазминогена и уровня альфа</w:t>
      </w:r>
      <w:r>
        <w:rPr>
          <w:lang w:val="en-US" w:eastAsia="en-US" w:bidi="en-US"/>
          <w:w w:val="100"/>
          <w:spacing w:val="0"/>
          <w:color w:val="000000"/>
          <w:position w:val="0"/>
        </w:rPr>
        <w:t xml:space="preserve">-II </w:t>
      </w:r>
      <w:r>
        <w:rPr>
          <w:lang w:val="ru-RU" w:eastAsia="ru-RU" w:bidi="ru-RU"/>
          <w:w w:val="100"/>
          <w:spacing w:val="0"/>
          <w:color w:val="000000"/>
          <w:position w:val="0"/>
        </w:rPr>
        <w:t>анти- плазмина пока не позволяет выявить предполагаемые от</w:t>
        <w:softHyphen/>
        <w:t>клонения.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Ряд авторов у больных первичной легочной гипертензи</w:t>
        <w:softHyphen/>
        <w:t>ей обнаруживают угнетение фибринолиза и повышенную агрегацию тромбоцитов. До настоящего времени остается неясным, являются ли данные изменения этиопатогенети- ческим фактором первичной легочной гипертензии или возникают вторично вследствие гемодинамических нару</w:t>
        <w:softHyphen/>
        <w:t xml:space="preserve">шений. В последнее время </w:t>
      </w:r>
      <w:r>
        <w:rPr>
          <w:lang w:val="en-US" w:eastAsia="en-US" w:bidi="en-US"/>
          <w:w w:val="100"/>
          <w:spacing w:val="0"/>
          <w:color w:val="000000"/>
          <w:position w:val="0"/>
        </w:rPr>
        <w:t xml:space="preserve">P.R.Eisenberg </w:t>
      </w:r>
      <w:r>
        <w:rPr>
          <w:lang w:val="ru-RU" w:eastAsia="ru-RU" w:bidi="ru-RU"/>
          <w:w w:val="100"/>
          <w:spacing w:val="0"/>
          <w:color w:val="000000"/>
          <w:position w:val="0"/>
        </w:rPr>
        <w:t>с соавт. при обсле</w:t>
        <w:softHyphen/>
        <w:t>довании 12 больных с первичной легочной гипертензией у 11 обнаружили увеличенный уровень фибринопептида А. Уровень этого пептида резко уменьшается при внутри</w:t>
        <w:softHyphen/>
        <w:t>венном введении гепарина. Эти наблюдения подтвержда</w:t>
        <w:softHyphen/>
        <w:t>ют, что увеличение тромбиновой активности у больных первичной легочной гипертензией связано с повреждением эндотелия.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Дифференцировать тромботическую и плексогенную формы артериопатии бывает трудно, поскольку у некото</w:t>
        <w:softHyphen/>
        <w:t xml:space="preserve">рых больных обе формы поражения могут обнаруживаться одновременно. Так, по данным </w:t>
      </w:r>
      <w:r>
        <w:rPr>
          <w:lang w:val="en-US" w:eastAsia="en-US" w:bidi="en-US"/>
          <w:w w:val="100"/>
          <w:spacing w:val="0"/>
          <w:color w:val="000000"/>
          <w:position w:val="0"/>
        </w:rPr>
        <w:t xml:space="preserve">J.Bjornsson </w:t>
      </w:r>
      <w:r>
        <w:rPr>
          <w:lang w:val="ru-RU" w:eastAsia="ru-RU" w:bidi="ru-RU"/>
          <w:w w:val="100"/>
          <w:spacing w:val="0"/>
          <w:color w:val="000000"/>
          <w:position w:val="0"/>
        </w:rPr>
        <w:t xml:space="preserve">и </w:t>
      </w:r>
      <w:r>
        <w:rPr>
          <w:lang w:val="en-US" w:eastAsia="en-US" w:bidi="en-US"/>
          <w:w w:val="100"/>
          <w:spacing w:val="0"/>
          <w:color w:val="000000"/>
          <w:position w:val="0"/>
        </w:rPr>
        <w:t xml:space="preserve">WD.Edwards, </w:t>
      </w:r>
      <w:r>
        <w:rPr>
          <w:lang w:val="ru-RU" w:eastAsia="ru-RU" w:bidi="ru-RU"/>
          <w:w w:val="100"/>
          <w:spacing w:val="0"/>
          <w:color w:val="000000"/>
          <w:position w:val="0"/>
        </w:rPr>
        <w:t>при гистологическом исследовании 80 случаев первичной легочной гипертензии установлено, что микроскопические проявления легочной артериопатии на гистопрепаратах в 36% специфичны для плексогенной артериопатии и в 4% — для тромботической артериопатии. В основном критерии дифференциации этих двух состояний основаны на том, что при плексиформной артериопатии имеет место концентрический фиброз интимы, а при тромботичес</w:t>
        <w:softHyphen/>
        <w:t>кой — эксцентрическая интимальная пролиферация и фи</w:t>
        <w:softHyphen/>
        <w:t>броз. Следует также отметить, что проявления тромботиче</w:t>
        <w:softHyphen/>
        <w:t>ской артериопатии могут наблюдаться при всех морфоло</w:t>
        <w:softHyphen/>
        <w:t>гических формах первичной легочной гипертензии, в то время как гипертрофия медии более специфична для плек- согенной артериопатии.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Тромботическая артериопатия среди больных первич</w:t>
        <w:softHyphen/>
        <w:t>ной легочной гипертензией наблюдается с частотой от 20 до 56%.</w:t>
      </w:r>
    </w:p>
    <w:p>
      <w:pPr>
        <w:pStyle w:val="Style30"/>
        <w:widowControl w:val="0"/>
        <w:keepNext w:val="0"/>
        <w:keepLines w:val="0"/>
        <w:shd w:val="clear" w:color="auto" w:fill="auto"/>
        <w:bidi w:val="0"/>
        <w:spacing w:before="0" w:after="0"/>
        <w:ind w:left="0" w:right="0" w:firstLine="280"/>
      </w:pPr>
      <w:r>
        <w:pict>
          <v:shape id="_x0000_s1579" type="#_x0000_t75" style="position:absolute;margin-left:136.8pt;margin-top:736.55pt;width:209.75pt;height:14.9pt;z-index:-125829004;mso-wrap-distance-left:136.8pt;mso-wrap-distance-right:148.1pt;mso-wrap-distance-bottom:10.8pt;mso-position-horizontal-relative:margin;mso-position-vertical-relative:margin" wrapcoords="0 0 21600 0 21600 21600 0 21600 0 0">
            <v:imagedata r:id="rId922" r:href="rId923"/>
            <w10:wrap type="topAndBottom" anchorx="margin" anchory="margin"/>
          </v:shape>
        </w:pict>
      </w:r>
      <w:r>
        <w:rPr>
          <w:rStyle w:val="CharStyle103"/>
        </w:rPr>
        <w:t>Веноокклюзивная форма</w:t>
      </w:r>
      <w:r>
        <w:rPr>
          <w:lang w:val="ru-RU" w:eastAsia="ru-RU" w:bidi="ru-RU"/>
          <w:w w:val="100"/>
          <w:spacing w:val="0"/>
          <w:color w:val="000000"/>
          <w:position w:val="0"/>
        </w:rPr>
        <w:t xml:space="preserve"> поражения является другим ва</w:t>
        <w:softHyphen/>
        <w:t>риантом гистологических изменений при первичной легоч - ной гипертензии. Она характеризуется пролиферацией ин</w:t>
        <w:softHyphen/>
        <w:t>тимы и фиброзом внутрилегочных мелких вен и венул, час-</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то приводящих к полной облитерации венозного русла, их тромбозу и последующей реканализации. В артериолах об</w:t>
        <w:softHyphen/>
        <w:t>наруживается гипертрофия медии, возникающая вторично при повышении давления в легочной артерии из-за веноз</w:t>
        <w:softHyphen/>
        <w:t>ной обструкции.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Веноокклюзивная форма возникает при увеличении ле</w:t>
        <w:softHyphen/>
        <w:t>гочного капиллярного давления и наблюдается на конеч</w:t>
        <w:softHyphen/>
        <w:t>ных стадиях заболевания. В настоящее время изменения интимы артериолярного и венулярного ложа обозначают как легочное окклюзивное заболевание сосудов. Существу</w:t>
        <w:softHyphen/>
        <w:t xml:space="preserve">ет несколько утверждений, позволяющих считать веноок- клюзивную болезнь легких отдельной, не зависимой от первичной легочной гипертензии формой заболевания. С патофизиологической точки зрения, веноокклюзивные проявления отражают синдром фиброзирования венозного русла легких, при котором изменяется интима вен и имеет место предрасположенность к тромбообразованию </w:t>
      </w:r>
      <w:r>
        <w:rPr>
          <w:lang w:val="en-US" w:eastAsia="en-US" w:bidi="en-US"/>
          <w:w w:val="100"/>
          <w:spacing w:val="0"/>
          <w:color w:val="000000"/>
          <w:position w:val="0"/>
        </w:rPr>
        <w:t xml:space="preserve">in situ. </w:t>
      </w:r>
      <w:r>
        <w:rPr>
          <w:lang w:val="ru-RU" w:eastAsia="ru-RU" w:bidi="ru-RU"/>
          <w:w w:val="100"/>
          <w:spacing w:val="0"/>
          <w:color w:val="000000"/>
          <w:position w:val="0"/>
        </w:rPr>
        <w:t>Веноокклюзивное поражение при первичной легочной ги</w:t>
        <w:softHyphen/>
        <w:t>пертензии наблюдается значительно реже по сравнению с плексиформной и тромботической артериопатией; по ча</w:t>
        <w:softHyphen/>
        <w:t>стоте составляет менее 7% всех случаев первичной легоч</w:t>
        <w:softHyphen/>
        <w:t>ной гипертензии. Эта форма поражения несколько чаще наблюдается у мальчиков и у новорожденных.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Гипертрофия правого желудочка имеет место при любой форме легочной гипертензии. Морфологически степень ги</w:t>
        <w:softHyphen/>
        <w:t>пертрофии правого желудочка определяют по увеличению толщины его стенки и методом раздельного взвешивания сердца, соответственно свободных частей правого и левого желудочков. В норме чистая масса правого желудочка не должна превышать у лиц 6-15 лет 80 г. Желудочковый ин</w:t>
        <w:softHyphen/>
        <w:t>декс (отношение чистой массы правого желудочка к лево</w:t>
        <w:softHyphen/>
        <w:t>му) при легочной гипертензии, как правило, выше 0,6. Же</w:t>
        <w:softHyphen/>
        <w:t>лудочковый индекс выше 0,9 характеризует фазу клиничес</w:t>
        <w:softHyphen/>
        <w:t>кой декомпенсации кровообращения.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Дилатация ствола легочной артерии и ее крупных ветвей является характерным морфологическим признаком пер</w:t>
        <w:softHyphen/>
        <w:t>вичной легочной гипертензии. Расширение ствола легоч</w:t>
        <w:softHyphen/>
        <w:t>ной артерии достигает 8-12 см в периметре. Помимо дила</w:t>
        <w:softHyphen/>
        <w:t>тации возникает гипертрофия стенок ствола легочной арте</w:t>
        <w:softHyphen/>
        <w:t>рии. Мышечные волокна гипертрофируются, раздвигают эластические волокна, коллагеновые утолщаются, подвер</w:t>
        <w:softHyphen/>
        <w:t>гаются гиалинозу, между ними накапливается большое ко</w:t>
        <w:softHyphen/>
        <w:t>личество сульфатированных мукополисахаридов; в резуль</w:t>
        <w:softHyphen/>
        <w:t>тате всех этих процессов стенка ствола и крупных ветвей становится во много раз толще. Указанные изменения ра</w:t>
        <w:softHyphen/>
        <w:t>нее обозначали как первичный склероз легочной артерии.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 первичной легочной гипертензии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Повышение общего легочного сосудистого сопротив</w:t>
        <w:softHyphen/>
        <w:t>ления ведет к повышению давления в легочной арте</w:t>
        <w:softHyphen/>
        <w:t>рии, перегрузке правого желудочка и гипоксемии. Одновременно при первичной легочной гипертензии происходит снижение функциональной способности левого желудочка. Правый желудочек компенсирует свою работу с помощью утолщения стенки и закона Франка Старлинга. С увеличением давления в легоч</w:t>
        <w:softHyphen/>
        <w:t>ной артерии возрастает конечно диастолическое дав</w:t>
        <w:softHyphen/>
        <w:t>ление в правом желудочке, что сопровождается сни</w:t>
        <w:softHyphen/>
        <w:t>жением коронарного кровотока в систолу. Одновре</w:t>
        <w:softHyphen/>
        <w:t>менно он снижен из-за гипертрофии миокарда пра</w:t>
        <w:softHyphen/>
        <w:t>вого желудочка. Все это способствует субэндокарди</w:t>
        <w:softHyphen/>
        <w:t>альной ишемии и недостаточности миокарда правого желудочка.</w:t>
      </w:r>
    </w:p>
    <w:p>
      <w:pPr>
        <w:pStyle w:val="Style30"/>
        <w:numPr>
          <w:ilvl w:val="0"/>
          <w:numId w:val="115"/>
        </w:numPr>
        <w:tabs>
          <w:tab w:leader="none" w:pos="240" w:val="left"/>
        </w:tabs>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Повышение давления в правом желудочке приводит к смещению межжелудочковой перегородки в по</w:t>
        <w:softHyphen/>
        <w:t>лость левого желудочка. Нарушается его диастоличе</w:t>
        <w:softHyphen/>
        <w:t>ская функция, повышается конечно диастолическое давление левого желудочка, что способствует сниже</w:t>
        <w:softHyphen/>
        <w:t>нию сердечного выброса и повышению давления в легочных венах. Снижение сердечного выброса — патофизиологическая сущность прогрессирования сердечной недостаточности при первичной легочной гипертензии, т.к. давление в легочной артерии дли</w:t>
        <w:softHyphen/>
        <w:t>тельно остается на стабильно высоком уровне и не отражает прогноза.</w:t>
      </w:r>
    </w:p>
    <w:p>
      <w:pPr>
        <w:pStyle w:val="Style30"/>
        <w:numPr>
          <w:ilvl w:val="0"/>
          <w:numId w:val="115"/>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первичной легочной гипертензии из-за высоко</w:t>
        <w:softHyphen/>
        <w:t>го давления в правом желудочке поднимается давле</w:t>
        <w:softHyphen/>
        <w:t>ние и в правом предсердии, происходит его дилата</w:t>
        <w:softHyphen/>
        <w:t>ция вместе с межпредсердной перегородкой. Оваль</w:t>
        <w:softHyphen/>
        <w:t>ное окно увеличивается в размерах и полностью не прикрывается клапаном («клапанно-некомпетентное овальное окно»); через него идет патологический право-левый сброс, который способствует усилению гипоксемии и может быть причиной парадоксальных эмболий.</w:t>
      </w:r>
    </w:p>
    <w:p>
      <w:pPr>
        <w:pStyle w:val="Style30"/>
        <w:numPr>
          <w:ilvl w:val="0"/>
          <w:numId w:val="115"/>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ответ на гипоксию и ацидоз развиваются, поначалу компенсаторно, полицитемия, полиглобулия, кото</w:t>
        <w:softHyphen/>
        <w:t>рые в дальнейшем способствуют повышению гидро</w:t>
        <w:softHyphen/>
        <w:t>динамического сопротивления в малом круге кровоо</w:t>
        <w:softHyphen/>
        <w:t>бращения. Одновременно возникает повышенная аг- регационная способность тромбоцитов, меняются реологические свойства крови. В основе повышения вязкости крови могут лежать несколько причин:</w:t>
      </w:r>
    </w:p>
    <w:p>
      <w:pPr>
        <w:pStyle w:val="Style30"/>
        <w:numPr>
          <w:ilvl w:val="0"/>
          <w:numId w:val="117"/>
        </w:numPr>
        <w:tabs>
          <w:tab w:leader="none" w:pos="510"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сгущение крови (повышение гематокрита) вслед</w:t>
        <w:softHyphen/>
        <w:t>ствие полицитемии или экстравазации плазмы в ин</w:t>
        <w:softHyphen/>
        <w:t>терстициальное пространство;</w:t>
      </w:r>
    </w:p>
    <w:p>
      <w:pPr>
        <w:pStyle w:val="Style30"/>
        <w:numPr>
          <w:ilvl w:val="0"/>
          <w:numId w:val="117"/>
        </w:numPr>
        <w:tabs>
          <w:tab w:leader="none" w:pos="510"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повышение агрегационной активности эритроци</w:t>
        <w:softHyphen/>
        <w:t>тов и образование из них крупных конгломератов;</w:t>
      </w:r>
    </w:p>
    <w:p>
      <w:pPr>
        <w:pStyle w:val="Style30"/>
        <w:numPr>
          <w:ilvl w:val="0"/>
          <w:numId w:val="117"/>
        </w:numPr>
        <w:tabs>
          <w:tab w:leader="none" w:pos="510"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снижение деформируемости эритроцитов, нару</w:t>
        <w:softHyphen/>
        <w:t>шение эластических свойств их мембран.</w:t>
      </w:r>
    </w:p>
    <w:p>
      <w:pPr>
        <w:pStyle w:val="Style30"/>
        <w:numPr>
          <w:ilvl w:val="0"/>
          <w:numId w:val="115"/>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Нарушение микроциркуляции еще более снижает ок</w:t>
        <w:softHyphen/>
        <w:t>сигенацию крови в легких и усиливает гипоксию. На</w:t>
        <w:softHyphen/>
        <w:t>ряду с этим перфузия эритроцитов в условиях «гемоди</w:t>
        <w:softHyphen/>
        <w:t>намического стресса» сопровождается их гемолизом и повышением концентрации АДФ. Это вызывает ак</w:t>
        <w:softHyphen/>
        <w:t>тивную адгезию тромбоцитов к эндотелию и тромбоо</w:t>
        <w:softHyphen/>
        <w:t xml:space="preserve">бразованию </w:t>
      </w:r>
      <w:r>
        <w:rPr>
          <w:lang w:val="en-US" w:eastAsia="en-US" w:bidi="en-US"/>
          <w:w w:val="100"/>
          <w:spacing w:val="0"/>
          <w:color w:val="000000"/>
          <w:position w:val="0"/>
        </w:rPr>
        <w:t xml:space="preserve">in situ. </w:t>
      </w:r>
      <w:r>
        <w:rPr>
          <w:lang w:val="ru-RU" w:eastAsia="ru-RU" w:bidi="ru-RU"/>
          <w:w w:val="100"/>
          <w:spacing w:val="0"/>
          <w:color w:val="000000"/>
          <w:position w:val="0"/>
        </w:rPr>
        <w:t>Адгезировавшие тромбоциты выде</w:t>
        <w:softHyphen/>
        <w:t>ляют фактор, стимулирующий митозы, что способ</w:t>
        <w:softHyphen/>
        <w:t>ствует пролиферации мышечного слоя легочных арте</w:t>
        <w:softHyphen/>
        <w:t>рий и повышению степени легочной гипертензии.</w:t>
      </w:r>
    </w:p>
    <w:p>
      <w:pPr>
        <w:pStyle w:val="Style30"/>
        <w:numPr>
          <w:ilvl w:val="0"/>
          <w:numId w:val="115"/>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ответ на гипоксию происходит компенсаторное увеличение минутного объема крови и сердечного выброса, что способствует сохранению достаточного снабжения тканей кислородом. Однако увеличение минутного объема более чем в 3 раза превышает ре</w:t>
        <w:softHyphen/>
        <w:t>зервные возможности расширения легочных сосудов, что в дальнейшем способствует поддержанию легоч</w:t>
        <w:softHyphen/>
        <w:t>ной гипертензии. Гиперволемия на фоне уменьшения сосудистого ложа и растяжимости легких линейно повышает давление в легочной артерии.</w:t>
      </w:r>
    </w:p>
    <w:p>
      <w:pPr>
        <w:pStyle w:val="Style30"/>
        <w:numPr>
          <w:ilvl w:val="0"/>
          <w:numId w:val="115"/>
        </w:numPr>
        <w:tabs>
          <w:tab w:leader="none" w:pos="240" w:val="left"/>
        </w:tabs>
        <w:widowControl w:val="0"/>
        <w:keepNext w:val="0"/>
        <w:keepLines w:val="0"/>
        <w:shd w:val="clear" w:color="auto" w:fill="auto"/>
        <w:bidi w:val="0"/>
        <w:spacing w:before="0" w:after="0"/>
        <w:ind w:left="260" w:right="0"/>
      </w:pPr>
      <w:r>
        <w:pict>
          <v:shape id="_x0000_s1580" type="#_x0000_t75" style="position:absolute;margin-left:148.1pt;margin-top:736.55pt;width:209.75pt;height:14.9pt;z-index:-125829003;mso-wrap-distance-left:148.1pt;mso-wrap-distance-right:136.8pt;mso-wrap-distance-bottom:10.8pt;mso-position-horizontal-relative:margin;mso-position-vertical-relative:margin" wrapcoords="0 0 21600 0 21600 21600 0 21600 0 0">
            <v:imagedata r:id="rId924" r:href="rId925"/>
            <w10:wrap type="topAndBottom" anchorx="margin" anchory="margin"/>
          </v:shape>
        </w:pict>
      </w:r>
      <w:r>
        <w:rPr>
          <w:lang w:val="ru-RU" w:eastAsia="ru-RU" w:bidi="ru-RU"/>
          <w:w w:val="100"/>
          <w:spacing w:val="0"/>
          <w:color w:val="000000"/>
          <w:position w:val="0"/>
        </w:rPr>
        <w:t>При стабильной и значительной гипертензии в малом круге кровообращения отмечается увеличение числа функционирующих артериовенозных анастомозов в легких, снижающих сопротивление кровотоку, т.к. через них, в обход артерий и капилляров, осуществ-</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ляется ток от 10 до 30% всей крови легких. Однако кровь, протекающая через них, не насыщается кисло</w:t>
        <w:softHyphen/>
        <w:t>родом, что увеличивает гипоксемию и давление в ма</w:t>
        <w:softHyphen/>
        <w:t>лом круге кровообращения.</w:t>
      </w:r>
    </w:p>
    <w:p>
      <w:pPr>
        <w:pStyle w:val="Style30"/>
        <w:numPr>
          <w:ilvl w:val="0"/>
          <w:numId w:val="115"/>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Большое значение имеют генетические факторы, оп</w:t>
        <w:softHyphen/>
        <w:t>ределяющие различную чувствительность к альвео</w:t>
        <w:softHyphen/>
        <w:t>лярной гипоксии, особенности развития недостаточ</w:t>
        <w:softHyphen/>
        <w:t>ности и гипертрофии правого желудочка, возникно</w:t>
        <w:softHyphen/>
        <w:t>вение бронхолегочных анастомозов.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w:t>
      </w:r>
    </w:p>
    <w:p>
      <w:pPr>
        <w:pStyle w:val="Style30"/>
        <w:numPr>
          <w:ilvl w:val="0"/>
          <w:numId w:val="115"/>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Ранние стадии первичной легочной гипертензии, как правило, не распознаются, больной становится объ</w:t>
        <w:softHyphen/>
        <w:t>ектом наблюдения врача уже при выраженном пора</w:t>
        <w:softHyphen/>
        <w:t>жении сосудов, когда появляются жалобы.</w:t>
      </w:r>
    </w:p>
    <w:p>
      <w:pPr>
        <w:pStyle w:val="Style30"/>
        <w:numPr>
          <w:ilvl w:val="0"/>
          <w:numId w:val="115"/>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Начало заболевания невозможно связать с предшест</w:t>
        <w:softHyphen/>
        <w:t>вующей инфекцией или каким-либо фактором, хотя в анамнезе отмечаются повторные ОРВИ, ангины, пневмонии.</w:t>
      </w:r>
    </w:p>
    <w:p>
      <w:pPr>
        <w:pStyle w:val="Style30"/>
        <w:numPr>
          <w:ilvl w:val="0"/>
          <w:numId w:val="115"/>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Первые признаки заболевания могут появиться в лю</w:t>
        <w:softHyphen/>
        <w:t>бом возрасте.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Жалобы</w:t>
      </w:r>
    </w:p>
    <w:p>
      <w:pPr>
        <w:pStyle w:val="Style30"/>
        <w:numPr>
          <w:ilvl w:val="0"/>
          <w:numId w:val="115"/>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Одышка:</w:t>
      </w:r>
    </w:p>
    <w:p>
      <w:pPr>
        <w:pStyle w:val="Style30"/>
        <w:numPr>
          <w:ilvl w:val="0"/>
          <w:numId w:val="115"/>
        </w:numPr>
        <w:tabs>
          <w:tab w:leader="none" w:pos="54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основе механизма развития одышки лежит ком</w:t>
        <w:softHyphen/>
        <w:t>пенсаторная гипервентиляция в ответ на артери</w:t>
        <w:softHyphen/>
        <w:t>альную гипоксемию. Последняя обусловлена ря</w:t>
        <w:softHyphen/>
        <w:t>дом факторов, основными из которых являются снижение сердечного выброса и нарушение венти- ляционно-перфузионного соотношения в легких.</w:t>
      </w:r>
    </w:p>
    <w:p>
      <w:pPr>
        <w:pStyle w:val="Style30"/>
        <w:numPr>
          <w:ilvl w:val="0"/>
          <w:numId w:val="115"/>
        </w:numPr>
        <w:tabs>
          <w:tab w:leader="none" w:pos="54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Возникновение одышки может быть обусловлено уменьшением минутного объема кровообращения.</w:t>
      </w:r>
    </w:p>
    <w:p>
      <w:pPr>
        <w:pStyle w:val="Style30"/>
        <w:numPr>
          <w:ilvl w:val="0"/>
          <w:numId w:val="115"/>
        </w:numPr>
        <w:tabs>
          <w:tab w:leader="none" w:pos="54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Одышка у больных первичной легочной гипертен</w:t>
        <w:softHyphen/>
        <w:t>зией может носить рефлекторный характер при возбуждении дыхательного центра с прессорных рецепторов стенки легочной артерии.</w:t>
      </w:r>
    </w:p>
    <w:p>
      <w:pPr>
        <w:pStyle w:val="Style30"/>
        <w:numPr>
          <w:ilvl w:val="0"/>
          <w:numId w:val="115"/>
        </w:numPr>
        <w:tabs>
          <w:tab w:leader="none" w:pos="54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Вначале одышка выявляется только при физичес</w:t>
        <w:softHyphen/>
        <w:t>кой нагрузке, затем, при прогрессировании забо</w:t>
        <w:softHyphen/>
        <w:t>левания, появляется в покое, иногда сопровожда</w:t>
        <w:softHyphen/>
        <w:t>ется приступами удушья.</w:t>
      </w:r>
    </w:p>
    <w:p>
      <w:pPr>
        <w:pStyle w:val="Style30"/>
        <w:numPr>
          <w:ilvl w:val="0"/>
          <w:numId w:val="115"/>
        </w:numPr>
        <w:tabs>
          <w:tab w:leader="none" w:pos="54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Чем выше давление в легочной артерии, тем ярче выражена одышка.</w:t>
      </w:r>
    </w:p>
    <w:p>
      <w:pPr>
        <w:pStyle w:val="Style30"/>
        <w:numPr>
          <w:ilvl w:val="0"/>
          <w:numId w:val="115"/>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Обмороки:</w:t>
      </w:r>
    </w:p>
    <w:p>
      <w:pPr>
        <w:pStyle w:val="Style30"/>
        <w:numPr>
          <w:ilvl w:val="0"/>
          <w:numId w:val="115"/>
        </w:numPr>
        <w:tabs>
          <w:tab w:leader="none" w:pos="54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Хотя обморочные состояния являются ранним проявлением заболевания, частое их возникнове</w:t>
        <w:softHyphen/>
        <w:t>ние свидетельствует о наступлении тяжелого пери</w:t>
        <w:softHyphen/>
        <w:t>ода болезни.</w:t>
      </w:r>
    </w:p>
    <w:p>
      <w:pPr>
        <w:pStyle w:val="Style30"/>
        <w:numPr>
          <w:ilvl w:val="0"/>
          <w:numId w:val="115"/>
        </w:numPr>
        <w:tabs>
          <w:tab w:leader="none" w:pos="54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Синкопе появляются при физической нагрузке, во время игр, эмоционального перенапряжения, однако в ряде случаев могут возникать в покое.</w:t>
      </w:r>
    </w:p>
    <w:p>
      <w:pPr>
        <w:pStyle w:val="Style30"/>
        <w:numPr>
          <w:ilvl w:val="0"/>
          <w:numId w:val="115"/>
        </w:numPr>
        <w:tabs>
          <w:tab w:leader="none" w:pos="54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Предположительные механизмы синкопе могут быть следующие:</w:t>
      </w:r>
    </w:p>
    <w:p>
      <w:pPr>
        <w:pStyle w:val="Style30"/>
        <w:numPr>
          <w:ilvl w:val="0"/>
          <w:numId w:val="117"/>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вазовагальный рефлекс с легочной артерии;</w:t>
      </w:r>
    </w:p>
    <w:p>
      <w:pPr>
        <w:pStyle w:val="Style30"/>
        <w:numPr>
          <w:ilvl w:val="0"/>
          <w:numId w:val="117"/>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острая правожелудочковая недостаточность;</w:t>
      </w:r>
    </w:p>
    <w:p>
      <w:pPr>
        <w:pStyle w:val="Style30"/>
        <w:numPr>
          <w:ilvl w:val="0"/>
          <w:numId w:val="117"/>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снижение минутного объема;</w:t>
      </w:r>
    </w:p>
    <w:p>
      <w:pPr>
        <w:pStyle w:val="Style30"/>
        <w:numPr>
          <w:ilvl w:val="0"/>
          <w:numId w:val="117"/>
        </w:numPr>
        <w:tabs>
          <w:tab w:leader="none" w:pos="69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приступ фибрилляции желудочков из-за сниже</w:t>
        <w:softHyphen/>
        <w:t>ния коронарного кровотока при нагрузке.</w:t>
      </w:r>
    </w:p>
    <w:p>
      <w:pPr>
        <w:pStyle w:val="Style30"/>
        <w:numPr>
          <w:ilvl w:val="0"/>
          <w:numId w:val="115"/>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Боли в грудной клетке:</w:t>
      </w:r>
    </w:p>
    <w:p>
      <w:pPr>
        <w:pStyle w:val="Style30"/>
        <w:numPr>
          <w:ilvl w:val="0"/>
          <w:numId w:val="115"/>
        </w:numPr>
        <w:tabs>
          <w:tab w:leader="none" w:pos="54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 в грудной клетке связана с ишемией правого желудочка. Возникновение болей также может быть обусловлено влиянием общей гипоксии на миокард, относительной недостаточностью коро</w:t>
        <w:softHyphen/>
        <w:t>нарного кровотока при гипертрофии миокарда правого желудочка и снижении сердечного выбро</w:t>
        <w:softHyphen/>
        <w:br w:type="column"/>
        <w:t>са, рефлекторным спазмом коронарных артерий из-за расширения ствола легочной артерии.</w:t>
      </w:r>
    </w:p>
    <w:p>
      <w:pPr>
        <w:pStyle w:val="Style30"/>
        <w:numPr>
          <w:ilvl w:val="0"/>
          <w:numId w:val="115"/>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Болевой синдром возникает при физической на</w:t>
        <w:softHyphen/>
        <w:t>грузке или психоэмоциональном напряжении, со</w:t>
        <w:softHyphen/>
        <w:t>провождается усилением одышки, общим беспо</w:t>
        <w:softHyphen/>
        <w:t>койством, страхом.</w:t>
      </w:r>
    </w:p>
    <w:p>
      <w:pPr>
        <w:pStyle w:val="Style30"/>
        <w:numPr>
          <w:ilvl w:val="0"/>
          <w:numId w:val="115"/>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 характеру боли сжимающие, давящие, купиру</w:t>
        <w:softHyphen/>
        <w:t>ются дачей кислорода, могут наблюдаться и при не</w:t>
        <w:softHyphen/>
        <w:t>большом повышении давления в легочной артерии.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Клиническая характеристика</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Бледность кожных покровов с яркой окраской щек, мочек ушей, кончиков пальцев, «малиновый» отте</w:t>
        <w:softHyphen/>
        <w:t>нок слизистых губ.</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Цианоз при первичной легочной гипертензии дли</w:t>
        <w:softHyphen/>
        <w:t>тельное время отсутствует и усиливается при появле</w:t>
        <w:softHyphen/>
        <w:t>нии полицитемии.</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10-30% больных первичной легочной гипертензией может определяться синдром Рейно (ангиотрофонев</w:t>
        <w:softHyphen/>
        <w:t>роз, онемение, похолодание конечностей), связан</w:t>
        <w:softHyphen/>
        <w:t>ный с нарушением иннервации периферических со</w:t>
        <w:softHyphen/>
        <w:t>судов, обладающих повышенной чувствительностью к симпатическим влияниям и катехоламинам.</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Границы сердца длительное время остаются нормаль</w:t>
        <w:softHyphen/>
        <w:t>ными и расширяются с прогрессированием правоже</w:t>
        <w:softHyphen/>
        <w:t>лудочковой недостаточности.</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Сердечный горб не характерен для больных первич</w:t>
        <w:softHyphen/>
        <w:t>ной легочной гипертензией, наличие его всегда тре</w:t>
        <w:softHyphen/>
        <w:t>бует исключения ВПС как причины вторичной ле</w:t>
        <w:softHyphen/>
        <w:t>гочной гипертензии.</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Усиленная пульсация во II межреберье слева и в эпи</w:t>
        <w:softHyphen/>
        <w:t>гастральной области, обусловленная гипертрофией правого желудочка.</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При пальпации определяется симптом «двух молоточ - ков»: </w:t>
      </w:r>
      <w:r>
        <w:rPr>
          <w:lang w:val="en-US" w:eastAsia="en-US" w:bidi="en-US"/>
          <w:w w:val="100"/>
          <w:spacing w:val="0"/>
          <w:color w:val="000000"/>
          <w:position w:val="0"/>
        </w:rPr>
        <w:t xml:space="preserve">I </w:t>
      </w:r>
      <w:r>
        <w:rPr>
          <w:lang w:val="ru-RU" w:eastAsia="ru-RU" w:bidi="ru-RU"/>
          <w:w w:val="100"/>
          <w:spacing w:val="0"/>
          <w:color w:val="000000"/>
          <w:position w:val="0"/>
        </w:rPr>
        <w:t xml:space="preserve">тон хлопающий, </w:t>
      </w:r>
      <w:r>
        <w:rPr>
          <w:lang w:val="en-US" w:eastAsia="en-US" w:bidi="en-US"/>
          <w:w w:val="100"/>
          <w:spacing w:val="0"/>
          <w:color w:val="000000"/>
          <w:position w:val="0"/>
        </w:rPr>
        <w:t xml:space="preserve">II </w:t>
      </w:r>
      <w:r>
        <w:rPr>
          <w:lang w:val="ru-RU" w:eastAsia="ru-RU" w:bidi="ru-RU"/>
          <w:w w:val="100"/>
          <w:spacing w:val="0"/>
          <w:color w:val="000000"/>
          <w:position w:val="0"/>
        </w:rPr>
        <w:t>тон резко акцентуирован.</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аускультации определяется расщепление I тона на верхушке (запаздывание закрытия трехстворчато</w:t>
        <w:softHyphen/>
        <w:t>го клапана в условиях легочной гипертензии).</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II тон над легочной артерией резко усилен, акцентуи</w:t>
        <w:softHyphen/>
        <w:t xml:space="preserve">рован, иногда приобретает металлический оттенок. Расщепление </w:t>
      </w:r>
      <w:r>
        <w:rPr>
          <w:lang w:val="en-US" w:eastAsia="en-US" w:bidi="en-US"/>
          <w:w w:val="100"/>
          <w:spacing w:val="0"/>
          <w:color w:val="000000"/>
          <w:position w:val="0"/>
        </w:rPr>
        <w:t xml:space="preserve">II </w:t>
      </w:r>
      <w:r>
        <w:rPr>
          <w:lang w:val="ru-RU" w:eastAsia="ru-RU" w:bidi="ru-RU"/>
          <w:w w:val="100"/>
          <w:spacing w:val="0"/>
          <w:color w:val="000000"/>
          <w:position w:val="0"/>
        </w:rPr>
        <w:t>тона наблюдается только при невы</w:t>
        <w:softHyphen/>
        <w:t>сокой легочной гипертензии. При выраженном по</w:t>
        <w:softHyphen/>
        <w:t xml:space="preserve">вышении давления в малом круге кровообращения захлопывание клапана легочной артерии происходит быстрее, в результате чего аортальный и легочный компоненты </w:t>
      </w:r>
      <w:r>
        <w:rPr>
          <w:lang w:val="en-US" w:eastAsia="en-US" w:bidi="en-US"/>
          <w:w w:val="100"/>
          <w:spacing w:val="0"/>
          <w:color w:val="000000"/>
          <w:position w:val="0"/>
        </w:rPr>
        <w:t xml:space="preserve">II </w:t>
      </w:r>
      <w:r>
        <w:rPr>
          <w:lang w:val="ru-RU" w:eastAsia="ru-RU" w:bidi="ru-RU"/>
          <w:w w:val="100"/>
          <w:spacing w:val="0"/>
          <w:color w:val="000000"/>
          <w:position w:val="0"/>
        </w:rPr>
        <w:t>тона сливаются.</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Характерно наличие III тона, выслушиваемого спра</w:t>
        <w:softHyphen/>
        <w:t>ва от грудины, усиливающегося при появлении пра</w:t>
        <w:softHyphen/>
        <w:t>вожелудочковой недостаточности. В этой точке могут выслушиваться щелчки — результат удара струи кро</w:t>
        <w:softHyphen/>
        <w:t>ви о расширенную легочную артерию.</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Систолический шум легочного изгнания вдоль лево</w:t>
        <w:softHyphen/>
        <w:t>го края грудины.</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Систолический шум относительной недостаточности трехстворчатого клапана в </w:t>
      </w:r>
      <w:r>
        <w:rPr>
          <w:lang w:val="en-US" w:eastAsia="en-US" w:bidi="en-US"/>
          <w:w w:val="100"/>
          <w:spacing w:val="0"/>
          <w:color w:val="000000"/>
          <w:position w:val="0"/>
        </w:rPr>
        <w:t xml:space="preserve">V-VI </w:t>
      </w:r>
      <w:r>
        <w:rPr>
          <w:lang w:val="ru-RU" w:eastAsia="ru-RU" w:bidi="ru-RU"/>
          <w:w w:val="100"/>
          <w:spacing w:val="0"/>
          <w:color w:val="000000"/>
          <w:position w:val="0"/>
        </w:rPr>
        <w:t>межреберьях слева от грудины и на мечевидном отростке, усиливающийся при вдохе (симптом Риверо-Корвалло).</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pict>
          <v:shape id="_x0000_s1581" type="#_x0000_t75" style="position:absolute;margin-left:130.9pt;margin-top:736.55pt;width:209.75pt;height:14.9pt;z-index:-125829002;mso-wrap-distance-left:124.8pt;mso-wrap-distance-right:147.85pt;mso-wrap-distance-bottom:10.8pt;mso-position-horizontal-relative:margin;mso-position-vertical-relative:margin" wrapcoords="0 0 21600 0 21600 21600 0 21600 0 0">
            <v:imagedata r:id="rId926" r:href="rId927"/>
            <w10:wrap type="topAndBottom" anchorx="margin" anchory="margin"/>
          </v:shape>
        </w:pict>
      </w:r>
      <w:r>
        <w:rPr>
          <w:lang w:val="ru-RU" w:eastAsia="ru-RU" w:bidi="ru-RU"/>
          <w:w w:val="100"/>
          <w:spacing w:val="0"/>
          <w:color w:val="000000"/>
          <w:position w:val="0"/>
        </w:rPr>
        <w:t>Систолический шум недостаточности трехстворчато - го клапана при значительной гипертрофии и дилата</w:t>
        <w:softHyphen/>
        <w:t>ции правого желудочка может выслушиваться на вер</w:t>
        <w:softHyphen/>
        <w:t>хушке сердца из-за ротации желудочка кпереди, при этом он образует практически всю переднюю по</w:t>
        <w:softHyphen/>
        <w:t>верхность сердца.</w:t>
      </w:r>
      <w:r>
        <w:br w:type="page"/>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pict>
          <v:shape id="_x0000_s1582" type="#_x0000_t202" style="position:absolute;margin-left:252.5pt;margin-top:0.7pt;width:241.45pt;height:207.6pt;z-index:-125829001;mso-wrap-distance-left:5.pt;mso-wrap-distance-top:0.5pt;mso-wrap-distance-right:5.pt;mso-wrap-distance-bottom:288.25pt;mso-position-horizontal-relative:margin;mso-position-vertical-relative:margin" wrapcoords="40 0 21600 0 21600 10451 21493 11166 21493 20151 21537 20848 21537 21600 40 21600 40 20848 299 20151 299 11166 0 10451 0 8929 40 8030 40 0" filled="f" stroked="f">
            <v:textbox style="mso-fit-shape-to-text:t" inset="0,0,0,0">
              <w:txbxContent>
                <w:p>
                  <w:pPr>
                    <w:framePr w:h="4152" w:vSpace="10" w:wrap="around" w:hAnchor="margin" w:x="5051" w:y="15"/>
                    <w:widowControl w:val="0"/>
                    <w:jc w:val="center"/>
                    <w:rPr>
                      <w:sz w:val="2"/>
                      <w:szCs w:val="2"/>
                    </w:rPr>
                  </w:pPr>
                  <w:r>
                    <w:pict>
                      <v:shape id="_x0000_s1583" type="#_x0000_t75" style="width:241pt;height:208pt;">
                        <v:imagedata r:id="rId928" r:href="rId929"/>
                      </v:shape>
                    </w:pict>
                  </w:r>
                </w:p>
                <w:p>
                  <w:pPr>
                    <w:pStyle w:val="Style120"/>
                    <w:widowControl w:val="0"/>
                    <w:keepNext w:val="0"/>
                    <w:keepLines w:val="0"/>
                    <w:shd w:val="clear" w:color="auto" w:fill="auto"/>
                    <w:bidi w:val="0"/>
                    <w:spacing w:before="0" w:after="0"/>
                    <w:ind w:left="0" w:right="0" w:firstLine="0"/>
                  </w:pPr>
                  <w:r>
                    <w:rPr>
                      <w:rStyle w:val="CharStyle122"/>
                    </w:rPr>
                    <w:t xml:space="preserve">Рис. 77. </w:t>
                  </w:r>
                  <w:r>
                    <w:rPr>
                      <w:rStyle w:val="CharStyle121"/>
                    </w:rPr>
                    <w:t>ЭКГ при первичной легочной гипертензии: признаки вы</w:t>
                    <w:softHyphen/>
                    <w:t>раженной гипертрофии миокарда правого желудочка — электри</w:t>
                    <w:softHyphen/>
                    <w:t xml:space="preserve">ческая ось сердца отклонена вправо (угол </w:t>
                  </w:r>
                  <w:r>
                    <w:rPr>
                      <w:rStyle w:val="CharStyle121"/>
                      <w:lang w:val="en-US" w:eastAsia="en-US" w:bidi="en-US"/>
                    </w:rPr>
                    <w:t xml:space="preserve">A QRS </w:t>
                  </w:r>
                  <w:r>
                    <w:rPr>
                      <w:rStyle w:val="CharStyle121"/>
                    </w:rPr>
                    <w:t xml:space="preserve">+ 122°), форма </w:t>
                  </w:r>
                  <w:r>
                    <w:rPr>
                      <w:rStyle w:val="CharStyle121"/>
                      <w:lang w:val="en-US" w:eastAsia="en-US" w:bidi="en-US"/>
                    </w:rPr>
                    <w:t>qR V</w:t>
                  </w:r>
                  <w:r>
                    <w:rPr>
                      <w:rStyle w:val="CharStyle121"/>
                      <w:lang w:val="en-US" w:eastAsia="en-US" w:bidi="en-US"/>
                      <w:vertAlign w:val="subscript"/>
                    </w:rPr>
                    <w:t>1</w:t>
                  </w:r>
                  <w:r>
                    <w:rPr>
                      <w:rStyle w:val="CharStyle121"/>
                      <w:lang w:val="en-US" w:eastAsia="en-US" w:bidi="en-US"/>
                    </w:rPr>
                    <w:t xml:space="preserve">, </w:t>
                  </w:r>
                  <w:r>
                    <w:rPr>
                      <w:rStyle w:val="CharStyle121"/>
                    </w:rPr>
                    <w:t xml:space="preserve">высокие </w:t>
                  </w:r>
                  <w:r>
                    <w:rPr>
                      <w:rStyle w:val="CharStyle121"/>
                      <w:lang w:val="en-US" w:eastAsia="en-US" w:bidi="en-US"/>
                    </w:rPr>
                    <w:t>R aVR, V</w:t>
                  </w:r>
                  <w:r>
                    <w:rPr>
                      <w:rStyle w:val="CharStyle121"/>
                      <w:lang w:val="en-US" w:eastAsia="en-US" w:bidi="en-US"/>
                      <w:vertAlign w:val="subscript"/>
                    </w:rPr>
                    <w:t>1</w:t>
                  </w:r>
                  <w:r>
                    <w:rPr>
                      <w:rStyle w:val="CharStyle121"/>
                      <w:lang w:val="en-US" w:eastAsia="en-US" w:bidi="en-US"/>
                    </w:rPr>
                    <w:t>, V</w:t>
                  </w:r>
                  <w:r>
                    <w:rPr>
                      <w:rStyle w:val="CharStyle121"/>
                      <w:lang w:val="en-US" w:eastAsia="en-US" w:bidi="en-US"/>
                      <w:vertAlign w:val="subscript"/>
                    </w:rPr>
                    <w:t>2</w:t>
                  </w:r>
                  <w:r>
                    <w:rPr>
                      <w:rStyle w:val="CharStyle121"/>
                      <w:lang w:val="en-US" w:eastAsia="en-US" w:bidi="en-US"/>
                    </w:rPr>
                    <w:t xml:space="preserve">, </w:t>
                  </w:r>
                  <w:r>
                    <w:rPr>
                      <w:rStyle w:val="CharStyle121"/>
                    </w:rPr>
                    <w:t xml:space="preserve">отрицательные зубцы Т </w:t>
                  </w:r>
                  <w:r>
                    <w:rPr>
                      <w:rStyle w:val="CharStyle121"/>
                      <w:lang w:val="en-US" w:eastAsia="en-US" w:bidi="en-US"/>
                    </w:rPr>
                    <w:t>V</w:t>
                  </w:r>
                  <w:r>
                    <w:rPr>
                      <w:rStyle w:val="CharStyle121"/>
                      <w:lang w:val="en-US" w:eastAsia="en-US" w:bidi="en-US"/>
                      <w:vertAlign w:val="subscript"/>
                    </w:rPr>
                    <w:t>1-4</w:t>
                  </w:r>
                  <w:r>
                    <w:rPr>
                      <w:rStyle w:val="CharStyle121"/>
                      <w:lang w:val="en-US" w:eastAsia="en-US" w:bidi="en-US"/>
                    </w:rPr>
                    <w:t>.</w:t>
                  </w:r>
                </w:p>
              </w:txbxContent>
            </v:textbox>
            <w10:wrap type="square" side="left" anchorx="margin" anchory="margin"/>
          </v:shape>
        </w:pict>
      </w:r>
      <w:r>
        <w:pict>
          <v:shape id="_x0000_s1584" type="#_x0000_t202" style="position:absolute;margin-left:252.95pt;margin-top:289.45pt;width:237.35pt;height:232.3pt;z-index:-125829000;mso-wrap-distance-left:5.pt;mso-wrap-distance-top:289.2pt;mso-wrap-distance-right:5.pt;mso-position-horizontal-relative:margin;mso-position-vertical-relative:margin" wrapcoords="40 0 21600 0 21600 10451 21493 11166 21493 20151 21537 20848 21537 21600 40 21600 40 20848 299 20151 299 11166 0 10451 0 8929 40 8030 40 0" filled="f" stroked="f">
            <v:textbox style="mso-fit-shape-to-text:t" inset="0,0,0,0">
              <w:txbxContent>
                <w:p>
                  <w:pPr>
                    <w:framePr w:h="4646" w:hSpace="10" w:vSpace="5784" w:wrap="around" w:hAnchor="margin" w:x="5060" w:y="5790"/>
                    <w:widowControl w:val="0"/>
                    <w:jc w:val="center"/>
                    <w:rPr>
                      <w:sz w:val="2"/>
                      <w:szCs w:val="2"/>
                    </w:rPr>
                  </w:pPr>
                  <w:r>
                    <w:pict>
                      <v:shape id="_x0000_s1585" type="#_x0000_t75" style="width:238pt;height:232pt;">
                        <v:imagedata r:id="rId930" r:href="rId931"/>
                      </v:shape>
                    </w:pict>
                  </w:r>
                </w:p>
                <w:p>
                  <w:pPr>
                    <w:pStyle w:val="Style120"/>
                    <w:widowControl w:val="0"/>
                    <w:keepNext w:val="0"/>
                    <w:keepLines w:val="0"/>
                    <w:shd w:val="clear" w:color="auto" w:fill="auto"/>
                    <w:bidi w:val="0"/>
                    <w:spacing w:before="0" w:after="0"/>
                    <w:ind w:left="0" w:right="0" w:firstLine="0"/>
                  </w:pPr>
                  <w:r>
                    <w:rPr>
                      <w:rStyle w:val="CharStyle122"/>
                    </w:rPr>
                    <w:t xml:space="preserve">Рис. 78. </w:t>
                  </w:r>
                  <w:r>
                    <w:rPr>
                      <w:rStyle w:val="CharStyle121"/>
                    </w:rPr>
                    <w:t>Высокая легочная гипертензия: отрицательные зубцы Т во всех отведениях.</w:t>
                  </w:r>
                </w:p>
              </w:txbxContent>
            </v:textbox>
            <w10:wrap type="square" side="left" anchorx="margin" anchory="margin"/>
          </v:shape>
        </w:pict>
      </w:r>
      <w:r>
        <w:rPr>
          <w:lang w:val="ru-RU" w:eastAsia="ru-RU" w:bidi="ru-RU"/>
          <w:w w:val="100"/>
          <w:spacing w:val="0"/>
          <w:color w:val="000000"/>
          <w:position w:val="0"/>
        </w:rPr>
        <w:t>Частота относительной недостаточности трехстворча</w:t>
        <w:softHyphen/>
        <w:t>того клапана при первичной легочной гипертензии со</w:t>
        <w:softHyphen/>
        <w:t>ставляет от 10 до 40%, чаще регистрируется у детей и ас</w:t>
        <w:softHyphen/>
        <w:t>социируется с правожелудочковой недостаточностью.</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Диастолический шум во II межреберье слева из-за недо - статочности клапанов легочной артерии (шум Грехэма- Стилла). Недостаточность клапана легочной артерии возникает из-за растяжения устья в области створок. Шум Грехэма-Стилла, нежный по тембру, дующий про</w:t>
        <w:softHyphen/>
        <w:t>тодиастолический, лучше всего выслушивается по ле</w:t>
        <w:softHyphen/>
        <w:t>вому краю грудины с эпицентром звучания во II межре</w:t>
        <w:softHyphen/>
        <w:t>берье слева. Характерно, что этот шум сочетается с ак</w:t>
        <w:softHyphen/>
        <w:t xml:space="preserve">центом </w:t>
      </w:r>
      <w:r>
        <w:rPr>
          <w:lang w:val="en-US" w:eastAsia="en-US" w:bidi="en-US"/>
          <w:w w:val="100"/>
          <w:spacing w:val="0"/>
          <w:color w:val="000000"/>
          <w:position w:val="0"/>
        </w:rPr>
        <w:t xml:space="preserve">II </w:t>
      </w:r>
      <w:r>
        <w:rPr>
          <w:lang w:val="ru-RU" w:eastAsia="ru-RU" w:bidi="ru-RU"/>
          <w:w w:val="100"/>
          <w:spacing w:val="0"/>
          <w:color w:val="000000"/>
          <w:position w:val="0"/>
        </w:rPr>
        <w:t>тона, выслушиваемого в той же проекции.</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Системная артериальная гипотензия, причиной ко</w:t>
        <w:softHyphen/>
        <w:t>торой являются рефлекторное перераспределение со - судистого тонуса, уменьшение минутного объема кровообращения, артериальная гипоксемия.</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Системная гипотензия более выражена, когда давле</w:t>
        <w:softHyphen/>
        <w:t>ние в легочной артерии достигает или превышает си</w:t>
        <w:softHyphen/>
        <w:t>стемное.</w:t>
      </w:r>
    </w:p>
    <w:p>
      <w:pPr>
        <w:pStyle w:val="Style30"/>
        <w:numPr>
          <w:ilvl w:val="0"/>
          <w:numId w:val="11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Признаки правожелудочковой недостаточности:</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периферические отеки;</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гепатомегалия;</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периферический цианоз.</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Из-за компрессии гортанного нерва расширенной легочной артерией может появиться осиплость голо</w:t>
        <w:softHyphen/>
        <w:t xml:space="preserve">са (симптом </w:t>
      </w:r>
      <w:r>
        <w:rPr>
          <w:lang w:val="en-US" w:eastAsia="en-US" w:bidi="en-US"/>
          <w:w w:val="100"/>
          <w:spacing w:val="0"/>
          <w:color w:val="000000"/>
          <w:position w:val="0"/>
        </w:rPr>
        <w:t>Ortner).</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диагностика необходима для исключения состояний, связанных с патологической гиперкоагуляцией, васкулитами при системных заболеваниях соединительной ткани, патологии печени, нарушениями обмена катехола</w:t>
        <w:softHyphen/>
        <w:t>минов.</w:t>
      </w:r>
    </w:p>
    <w:p>
      <w:pPr>
        <w:pStyle w:val="Style30"/>
        <w:numPr>
          <w:ilvl w:val="0"/>
          <w:numId w:val="11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Развернутый анализ крови.</w:t>
      </w:r>
    </w:p>
    <w:p>
      <w:pPr>
        <w:pStyle w:val="Style30"/>
        <w:numPr>
          <w:ilvl w:val="0"/>
          <w:numId w:val="11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Печеночные функциональные тесты.</w:t>
      </w:r>
    </w:p>
    <w:p>
      <w:pPr>
        <w:pStyle w:val="Style30"/>
        <w:numPr>
          <w:ilvl w:val="0"/>
          <w:numId w:val="11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Коагуляционный статус:</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коагуляционный профиль;</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время кровотечения;</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агрегация тромбоцитов;</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факторы коагуляции (фактор VIII, фактор Виллеб - ранта, антитромбин III, протеин </w:t>
      </w:r>
      <w:r>
        <w:rPr>
          <w:lang w:val="en-US" w:eastAsia="en-US" w:bidi="en-US"/>
          <w:w w:val="100"/>
          <w:spacing w:val="0"/>
          <w:color w:val="000000"/>
          <w:position w:val="0"/>
        </w:rPr>
        <w:t xml:space="preserve">S, </w:t>
      </w:r>
      <w:r>
        <w:rPr>
          <w:lang w:val="ru-RU" w:eastAsia="ru-RU" w:bidi="ru-RU"/>
          <w:w w:val="100"/>
          <w:spacing w:val="0"/>
          <w:color w:val="000000"/>
          <w:position w:val="0"/>
        </w:rPr>
        <w:t xml:space="preserve">протеин </w:t>
      </w:r>
      <w:r>
        <w:rPr>
          <w:lang w:val="en-US" w:eastAsia="en-US" w:bidi="en-US"/>
          <w:w w:val="100"/>
          <w:spacing w:val="0"/>
          <w:color w:val="000000"/>
          <w:position w:val="0"/>
        </w:rPr>
        <w:t xml:space="preserve">C, </w:t>
      </w:r>
      <w:r>
        <w:rPr>
          <w:lang w:val="ru-RU" w:eastAsia="ru-RU" w:bidi="ru-RU"/>
          <w:w w:val="100"/>
          <w:spacing w:val="0"/>
          <w:color w:val="000000"/>
          <w:position w:val="0"/>
        </w:rPr>
        <w:t>фактор VII, фактор II, фактор V).</w:t>
      </w:r>
    </w:p>
    <w:p>
      <w:pPr>
        <w:pStyle w:val="Style30"/>
        <w:numPr>
          <w:ilvl w:val="0"/>
          <w:numId w:val="11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Вязкость плазмы.</w:t>
      </w:r>
    </w:p>
    <w:p>
      <w:pPr>
        <w:pStyle w:val="Style30"/>
        <w:numPr>
          <w:ilvl w:val="0"/>
          <w:numId w:val="11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Электрофорез протеинов плазмы.</w:t>
      </w:r>
    </w:p>
    <w:p>
      <w:pPr>
        <w:pStyle w:val="Style30"/>
        <w:numPr>
          <w:ilvl w:val="0"/>
          <w:numId w:val="11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Электрофорез гемоглобина.</w:t>
      </w:r>
    </w:p>
    <w:p>
      <w:pPr>
        <w:pStyle w:val="Style30"/>
        <w:numPr>
          <w:ilvl w:val="0"/>
          <w:numId w:val="11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Количественный состав иммуноглобулинов.</w:t>
      </w:r>
    </w:p>
    <w:p>
      <w:pPr>
        <w:pStyle w:val="Style30"/>
        <w:numPr>
          <w:ilvl w:val="0"/>
          <w:numId w:val="11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Катехоламины и их производные в плазме.</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Тесты на функциональное состояние щитовидной железы.</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Группа тестов на коллагеновые сосудистые заболева</w:t>
        <w:softHyphen/>
        <w:t>ния:</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люпус антикоагулянт;</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скорость оседания эритроцитов;</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антитела к ДНК;</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антикардиолипиновые антитела;</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en-US" w:eastAsia="en-US" w:bidi="en-US"/>
          <w:w w:val="100"/>
          <w:spacing w:val="0"/>
          <w:color w:val="000000"/>
          <w:position w:val="0"/>
        </w:rPr>
        <w:t xml:space="preserve">CH50 </w:t>
      </w:r>
      <w:r>
        <w:rPr>
          <w:lang w:val="ru-RU" w:eastAsia="ru-RU" w:bidi="ru-RU"/>
          <w:w w:val="100"/>
          <w:spacing w:val="0"/>
          <w:color w:val="000000"/>
          <w:position w:val="0"/>
        </w:rPr>
        <w:t>комплемент и компоненты;</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антинуклеарные антитела;</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ревматоидный фактор;</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латекс фиксация;</w:t>
      </w:r>
    </w:p>
    <w:p>
      <w:pPr>
        <w:pStyle w:val="Style30"/>
        <w:numPr>
          <w:ilvl w:val="0"/>
          <w:numId w:val="117"/>
        </w:numPr>
        <w:tabs>
          <w:tab w:leader="none" w:pos="735" w:val="left"/>
        </w:tabs>
        <w:widowControl w:val="0"/>
        <w:keepNext w:val="0"/>
        <w:keepLines w:val="0"/>
        <w:shd w:val="clear" w:color="auto" w:fill="auto"/>
        <w:bidi w:val="0"/>
        <w:spacing w:before="0" w:after="0"/>
        <w:ind w:left="740" w:right="0" w:hanging="240"/>
      </w:pPr>
      <w:r>
        <w:rPr>
          <w:lang w:val="en-US" w:eastAsia="en-US" w:bidi="en-US"/>
          <w:w w:val="100"/>
          <w:spacing w:val="0"/>
          <w:color w:val="000000"/>
          <w:position w:val="0"/>
        </w:rPr>
        <w:t xml:space="preserve">HLA </w:t>
      </w:r>
      <w:r>
        <w:rPr>
          <w:lang w:val="ru-RU" w:eastAsia="ru-RU" w:bidi="ru-RU"/>
          <w:w w:val="100"/>
          <w:spacing w:val="0"/>
          <w:color w:val="000000"/>
          <w:position w:val="0"/>
        </w:rPr>
        <w:t>типирование.</w:t>
      </w:r>
    </w:p>
    <w:p>
      <w:pPr>
        <w:pStyle w:val="Style30"/>
        <w:widowControl w:val="0"/>
        <w:keepNext w:val="0"/>
        <w:keepLines w:val="0"/>
        <w:shd w:val="clear" w:color="auto" w:fill="auto"/>
        <w:bidi w:val="0"/>
        <w:jc w:val="left"/>
        <w:spacing w:before="0" w:after="0"/>
        <w:ind w:left="280" w:right="1720" w:firstLine="0"/>
      </w:pPr>
      <w:r>
        <w:rPr>
          <w:lang w:val="ru-RU" w:eastAsia="ru-RU" w:bidi="ru-RU"/>
          <w:w w:val="100"/>
          <w:spacing w:val="0"/>
          <w:color w:val="000000"/>
          <w:position w:val="0"/>
        </w:rPr>
        <w:t>Инструментальная диагностика Электрокардиография (рис. 77, 78):</w:t>
      </w:r>
    </w:p>
    <w:p>
      <w:pPr>
        <w:pStyle w:val="Style30"/>
        <w:numPr>
          <w:ilvl w:val="0"/>
          <w:numId w:val="115"/>
        </w:numPr>
        <w:tabs>
          <w:tab w:leader="none" w:pos="240" w:val="left"/>
        </w:tabs>
        <w:widowControl w:val="0"/>
        <w:keepNext w:val="0"/>
        <w:keepLines w:val="0"/>
        <w:shd w:val="clear" w:color="auto" w:fill="auto"/>
        <w:bidi w:val="0"/>
        <w:spacing w:before="0" w:after="0" w:line="221" w:lineRule="exact"/>
        <w:ind w:left="260" w:right="0"/>
      </w:pPr>
      <w:r>
        <w:br w:type="column"/>
      </w:r>
      <w:r>
        <w:rPr>
          <w:lang w:val="ru-RU" w:eastAsia="ru-RU" w:bidi="ru-RU"/>
          <w:w w:val="100"/>
          <w:spacing w:val="0"/>
          <w:color w:val="000000"/>
          <w:position w:val="0"/>
        </w:rPr>
        <w:t xml:space="preserve">Гипертрофия правого желудочка. Наиболее типично значительное отклонение электрической оси сердца вправо до +110° — +140°, в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комплекс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имеет форму </w:t>
      </w:r>
      <w:r>
        <w:rPr>
          <w:lang w:val="en-US" w:eastAsia="en-US" w:bidi="en-US"/>
          <w:w w:val="100"/>
          <w:spacing w:val="0"/>
          <w:color w:val="000000"/>
          <w:position w:val="0"/>
        </w:rPr>
        <w:t>R, qR, QR, R/S&gt;1, R 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 S 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&gt;10,5 </w:t>
      </w:r>
      <w:r>
        <w:rPr>
          <w:lang w:val="ru-RU" w:eastAsia="ru-RU" w:bidi="ru-RU"/>
          <w:w w:val="100"/>
          <w:spacing w:val="0"/>
          <w:color w:val="000000"/>
          <w:position w:val="0"/>
        </w:rPr>
        <w:t>мм, ин</w:t>
        <w:softHyphen/>
        <w:t xml:space="preserve">декс Соди-Поллареса </w:t>
      </w:r>
      <w:r>
        <w:rPr>
          <w:lang w:val="en-US" w:eastAsia="en-US" w:bidi="en-US"/>
          <w:w w:val="100"/>
          <w:spacing w:val="0"/>
          <w:color w:val="000000"/>
          <w:position w:val="0"/>
        </w:rPr>
        <w:t>(R/S V5:R/S 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)&lt;10 </w:t>
      </w:r>
      <w:r>
        <w:rPr>
          <w:lang w:val="ru-RU" w:eastAsia="ru-RU" w:bidi="ru-RU"/>
          <w:w w:val="100"/>
          <w:spacing w:val="0"/>
          <w:color w:val="000000"/>
          <w:position w:val="0"/>
        </w:rPr>
        <w:t xml:space="preserve">(рис. </w:t>
      </w:r>
      <w:r>
        <w:rPr>
          <w:lang w:val="en-US" w:eastAsia="en-US" w:bidi="en-US"/>
          <w:w w:val="100"/>
          <w:spacing w:val="0"/>
          <w:color w:val="000000"/>
          <w:position w:val="0"/>
        </w:rPr>
        <w:t>77).</w:t>
      </w:r>
    </w:p>
    <w:p>
      <w:pPr>
        <w:pStyle w:val="Style30"/>
        <w:numPr>
          <w:ilvl w:val="0"/>
          <w:numId w:val="115"/>
        </w:numPr>
        <w:tabs>
          <w:tab w:leader="none" w:pos="240" w:val="left"/>
        </w:tabs>
        <w:widowControl w:val="0"/>
        <w:keepNext w:val="0"/>
        <w:keepLines w:val="0"/>
        <w:shd w:val="clear" w:color="auto" w:fill="auto"/>
        <w:bidi w:val="0"/>
        <w:spacing w:before="0" w:after="0" w:line="221" w:lineRule="exact"/>
        <w:ind w:left="260" w:right="0"/>
        <w:sectPr>
          <w:type w:val="continuous"/>
          <w:pgSz w:w="11900" w:h="16840"/>
          <w:pgMar w:top="1574" w:left="1067" w:right="945" w:bottom="1752" w:header="0" w:footer="3" w:gutter="0"/>
          <w:rtlGutter w:val="0"/>
          <w:cols w:num="2" w:space="188"/>
          <w:noEndnote/>
          <w:docGrid w:linePitch="360"/>
        </w:sectPr>
      </w:pPr>
      <w:r>
        <w:rPr>
          <w:lang w:val="ru-RU" w:eastAsia="ru-RU" w:bidi="ru-RU"/>
          <w:w w:val="100"/>
          <w:spacing w:val="0"/>
          <w:color w:val="000000"/>
          <w:position w:val="0"/>
        </w:rPr>
        <w:t xml:space="preserve">При наличии блокады правой ножки пучка Гиса поздний зубец </w:t>
      </w:r>
      <w:r>
        <w:rPr>
          <w:lang w:val="en-US" w:eastAsia="en-US" w:bidi="en-US"/>
          <w:w w:val="100"/>
          <w:spacing w:val="0"/>
          <w:color w:val="000000"/>
          <w:position w:val="0"/>
        </w:rPr>
        <w:t xml:space="preserve">R </w:t>
      </w:r>
      <w:r>
        <w:rPr>
          <w:lang w:val="ru-RU" w:eastAsia="ru-RU" w:bidi="ru-RU"/>
          <w:w w:val="100"/>
          <w:spacing w:val="0"/>
          <w:color w:val="000000"/>
          <w:position w:val="0"/>
        </w:rPr>
        <w:t xml:space="preserve">в отведении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больше 15 мм.</w:t>
      </w:r>
    </w:p>
    <w:p>
      <w:pPr>
        <w:widowControl w:val="0"/>
        <w:rPr>
          <w:sz w:val="2"/>
          <w:szCs w:val="2"/>
        </w:rPr>
      </w:pPr>
      <w:r>
        <w:pict>
          <v:shape id="_x0000_s1586" type="#_x0000_t202" style="position:static;width:595.pt;height:65.1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92" w:left="0" w:right="0" w:bottom="192" w:header="0" w:footer="3" w:gutter="0"/>
          <w:rtlGutter w:val="0"/>
          <w:cols w:space="720"/>
          <w:noEndnote/>
          <w:docGrid w:linePitch="360"/>
        </w:sectPr>
      </w:pPr>
    </w:p>
    <w:p>
      <w:pPr>
        <w:widowControl w:val="0"/>
        <w:spacing w:line="645" w:lineRule="exact"/>
      </w:pPr>
      <w:r>
        <w:pict>
          <v:shape id="_x0000_s1587" type="#_x0000_t75" style="position:absolute;margin-left:156.55pt;margin-top:0;width:209.75pt;height:14.9pt;z-index:-251658669;mso-wrap-distance-left:5.pt;mso-wrap-distance-right:5.pt;mso-position-horizontal-relative:margin" wrapcoords="0 0">
            <v:imagedata r:id="rId932" r:href="rId933"/>
            <w10:wrap anchorx="margin"/>
          </v:shape>
        </w:pict>
      </w:r>
    </w:p>
    <w:p>
      <w:pPr>
        <w:widowControl w:val="0"/>
        <w:rPr>
          <w:sz w:val="2"/>
          <w:szCs w:val="2"/>
        </w:rPr>
        <w:sectPr>
          <w:type w:val="continuous"/>
          <w:pgSz w:w="11900" w:h="16840"/>
          <w:pgMar w:top="1492" w:left="898" w:right="1119" w:bottom="192" w:header="0" w:footer="3" w:gutter="0"/>
          <w:rtlGutter w:val="0"/>
          <w:cols w:space="720"/>
          <w:noEndnote/>
          <w:docGrid w:linePitch="360"/>
        </w:sectPr>
      </w:pPr>
    </w:p>
    <w:p>
      <w:pPr>
        <w:widowControl w:val="0"/>
        <w:spacing w:line="122" w:lineRule="exact"/>
        <w:rPr>
          <w:sz w:val="10"/>
          <w:szCs w:val="10"/>
        </w:rPr>
      </w:pPr>
    </w:p>
    <w:p>
      <w:pPr>
        <w:widowControl w:val="0"/>
        <w:rPr>
          <w:sz w:val="2"/>
          <w:szCs w:val="2"/>
        </w:rPr>
        <w:sectPr>
          <w:pgSz w:w="11900" w:h="16840"/>
          <w:pgMar w:top="1492" w:left="0" w:right="0" w:bottom="192" w:header="0" w:footer="3" w:gutter="0"/>
          <w:rtlGutter w:val="0"/>
          <w:cols w:space="720"/>
          <w:noEndnote/>
          <w:docGrid w:linePitch="360"/>
        </w:sectPr>
      </w:pPr>
    </w:p>
    <w:p>
      <w:pPr>
        <w:widowControl w:val="0"/>
        <w:spacing w:line="360" w:lineRule="exact"/>
      </w:pPr>
      <w:r>
        <w:pict>
          <v:shape id="_x0000_s1588" type="#_x0000_t75" style="position:absolute;margin-left:3.85pt;margin-top:0;width:238.1pt;height:173.75pt;z-index:-251658668;mso-wrap-distance-left:5.pt;mso-wrap-distance-right:5.pt;mso-position-horizontal-relative:margin" wrapcoords="0 0">
            <v:imagedata r:id="rId934" r:href="rId935"/>
            <w10:wrap anchorx="margin"/>
          </v:shape>
        </w:pict>
      </w:r>
      <w:r>
        <w:pict>
          <v:shape id="_x0000_s1589" type="#_x0000_t75" style="position:absolute;margin-left:255.85pt;margin-top:0;width:238.1pt;height:173.75pt;z-index:-251658667;mso-wrap-distance-left:5.pt;mso-wrap-distance-right:5.pt;mso-position-horizontal-relative:margin" wrapcoords="0 0">
            <v:imagedata r:id="rId936" r:href="rId937"/>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82" w:lineRule="exact"/>
      </w:pPr>
    </w:p>
    <w:p>
      <w:pPr>
        <w:widowControl w:val="0"/>
        <w:rPr>
          <w:sz w:val="2"/>
          <w:szCs w:val="2"/>
        </w:rPr>
        <w:sectPr>
          <w:type w:val="continuous"/>
          <w:pgSz w:w="11900" w:h="16840"/>
          <w:pgMar w:top="1492" w:left="1119" w:right="898" w:bottom="192" w:header="0" w:footer="3" w:gutter="0"/>
          <w:rtlGutter w:val="0"/>
          <w:cols w:space="720"/>
          <w:noEndnote/>
          <w:docGrid w:linePitch="360"/>
        </w:sectPr>
      </w:pPr>
    </w:p>
    <w:p>
      <w:pPr>
        <w:widowControl w:val="0"/>
        <w:spacing w:before="22" w:after="22" w:line="240" w:lineRule="exact"/>
        <w:rPr>
          <w:sz w:val="19"/>
          <w:szCs w:val="19"/>
        </w:rPr>
      </w:pPr>
    </w:p>
    <w:p>
      <w:pPr>
        <w:widowControl w:val="0"/>
        <w:rPr>
          <w:sz w:val="2"/>
          <w:szCs w:val="2"/>
        </w:rPr>
        <w:sectPr>
          <w:type w:val="continuous"/>
          <w:pgSz w:w="11900" w:h="16840"/>
          <w:pgMar w:top="5424" w:left="0" w:right="0" w:bottom="1882" w:header="0" w:footer="3" w:gutter="0"/>
          <w:rtlGutter w:val="0"/>
          <w:cols w:space="720"/>
          <w:noEndnote/>
          <w:docGrid w:linePitch="360"/>
        </w:sectPr>
      </w:pPr>
    </w:p>
    <w:p>
      <w:pPr>
        <w:pStyle w:val="Style30"/>
        <w:widowControl w:val="0"/>
        <w:keepNext w:val="0"/>
        <w:keepLines w:val="0"/>
        <w:shd w:val="clear" w:color="auto" w:fill="auto"/>
        <w:bidi w:val="0"/>
        <w:spacing w:before="0" w:after="0" w:line="192" w:lineRule="exact"/>
        <w:ind w:left="0" w:right="0" w:firstLine="0"/>
        <w:sectPr>
          <w:type w:val="continuous"/>
          <w:pgSz w:w="11900" w:h="16840"/>
          <w:pgMar w:top="5424" w:left="1119" w:right="898" w:bottom="1882" w:header="0" w:footer="3" w:gutter="0"/>
          <w:rtlGutter w:val="0"/>
          <w:cols w:space="720"/>
          <w:noEndnote/>
          <w:docGrid w:linePitch="360"/>
        </w:sectPr>
      </w:pPr>
      <w:r>
        <w:rPr>
          <w:rStyle w:val="CharStyle102"/>
        </w:rPr>
        <w:t xml:space="preserve">Рис. 79. </w:t>
      </w:r>
      <w:r>
        <w:rPr>
          <w:lang w:val="ru-RU" w:eastAsia="ru-RU" w:bidi="ru-RU"/>
          <w:w w:val="100"/>
          <w:spacing w:val="0"/>
          <w:color w:val="000000"/>
          <w:position w:val="0"/>
        </w:rPr>
        <w:t>Эхокардиограмма при первичной легочной гипертензии: резкая дилатация ствола легочной артерии и правого желудочка, левый желудочек имеет форму «полумесяца».</w:t>
      </w:r>
    </w:p>
    <w:p>
      <w:pPr>
        <w:widowControl w:val="0"/>
        <w:spacing w:line="240" w:lineRule="exact"/>
        <w:rPr>
          <w:sz w:val="19"/>
          <w:szCs w:val="19"/>
        </w:rPr>
      </w:pPr>
    </w:p>
    <w:p>
      <w:pPr>
        <w:widowControl w:val="0"/>
        <w:spacing w:before="65" w:after="65" w:line="240" w:lineRule="exact"/>
        <w:rPr>
          <w:sz w:val="19"/>
          <w:szCs w:val="19"/>
        </w:rPr>
      </w:pPr>
    </w:p>
    <w:p>
      <w:pPr>
        <w:widowControl w:val="0"/>
        <w:rPr>
          <w:sz w:val="2"/>
          <w:szCs w:val="2"/>
        </w:rPr>
        <w:sectPr>
          <w:type w:val="continuous"/>
          <w:pgSz w:w="11900" w:h="16840"/>
          <w:pgMar w:top="1385" w:left="0" w:right="0" w:bottom="1562" w:header="0" w:footer="3" w:gutter="0"/>
          <w:rtlGutter w:val="0"/>
          <w:cols w:space="720"/>
          <w:noEndnote/>
          <w:docGrid w:linePitch="360"/>
        </w:sectPr>
      </w:pPr>
    </w:p>
    <w:p>
      <w:pPr>
        <w:widowControl w:val="0"/>
        <w:rPr>
          <w:sz w:val="2"/>
          <w:szCs w:val="2"/>
        </w:rPr>
      </w:pPr>
      <w:r>
        <w:pict>
          <v:shape id="_x0000_s1590" type="#_x0000_t75" style="position:absolute;margin-left:139.4pt;margin-top:491.75pt;width:209.75pt;height:14.9pt;z-index:-125828999;mso-wrap-distance-left:124.8pt;mso-wrap-distance-right:147.6pt;mso-wrap-distance-bottom:10.8pt;mso-position-horizontal-relative:margin" wrapcoords="0 0 21600 0 21600 21600 0 21600 0 0">
            <v:imagedata r:id="rId938" r:href="rId939"/>
            <w10:wrap type="topAndBottom" anchorx="margin"/>
          </v:shape>
        </w:pic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Изменения процесса реполяризации не всегда идут параллельно с тяжестью легочной гипертен</w:t>
        <w:softHyphen/>
        <w:t>зии, особенно при остром ее возникновении, и свидетельствуют о наличии диффузно-дистро</w:t>
        <w:softHyphen/>
        <w:t>фических изменений в миокарде.</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Блокада передней ветви левой ножки пучка Гиса (вследствие компрессии межжелудочковой пере</w:t>
        <w:softHyphen/>
        <w:t>городки при высокой степени легочной гипер</w:t>
        <w:softHyphen/>
        <w:t>тензии).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Инверсия зубца Т в грудных отведениях с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до </w:t>
      </w:r>
      <w:r>
        <w:rPr>
          <w:lang w:val="en-US" w:eastAsia="en-US" w:bidi="en-US"/>
          <w:w w:val="100"/>
          <w:spacing w:val="0"/>
          <w:color w:val="000000"/>
          <w:position w:val="0"/>
        </w:rPr>
        <w:t xml:space="preserve">V6 </w:t>
      </w:r>
      <w:r>
        <w:rPr>
          <w:lang w:val="ru-RU" w:eastAsia="ru-RU" w:bidi="ru-RU"/>
          <w:w w:val="100"/>
          <w:spacing w:val="0"/>
          <w:color w:val="000000"/>
          <w:position w:val="0"/>
        </w:rPr>
        <w:t>является прогностически неблагоприятным при</w:t>
        <w:softHyphen/>
        <w:t>знаком (рис. 78).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Рентгенография грудной клетки: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Легочный рисунок при первичной легочной ги</w:t>
        <w:softHyphen/>
        <w:t>пертензии усилен в прикорневой зоне и обеднен по периферии.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Тень сердца долго остается нормальных размеров и увеличивается при сердечной недостаточности за счет дилатации полостей правого желудочка и правого предсердия.</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Полость правого предсердия особенно увеличива</w:t>
        <w:softHyphen/>
        <w:t>ется при появлении недостаточности трехстворча</w:t>
        <w:softHyphen/>
        <w:t>того клапана.</w:t>
      </w:r>
    </w:p>
    <w:p>
      <w:pPr>
        <w:pStyle w:val="Style30"/>
        <w:numPr>
          <w:ilvl w:val="0"/>
          <w:numId w:val="115"/>
        </w:numPr>
        <w:tabs>
          <w:tab w:leader="none" w:pos="495" w:val="left"/>
        </w:tabs>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Характерно выбухание дуги легочной артерии. Эхокардиография необходима для исключения врож</w:t>
        <w:softHyphen/>
        <w:t>денных аномалий сердца, а также с целью оценки тяже</w:t>
        <w:softHyphen/>
        <w:t>сти гемодинамических нарушений (рис. 79). М-эхокардиография:</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Отсутствие или уменьшение А волны клапана ле</w:t>
        <w:softHyphen/>
        <w:t>гочной артерии (при присоединении правожелу</w:t>
        <w:softHyphen/>
        <w:t>дочковой недостаточности волна вновь появля</w:t>
        <w:softHyphen/>
        <w:t>ется).</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Уменьшение </w:t>
      </w:r>
      <w:r>
        <w:rPr>
          <w:lang w:val="en-US" w:eastAsia="en-US" w:bidi="en-US"/>
          <w:w w:val="100"/>
          <w:spacing w:val="0"/>
          <w:color w:val="000000"/>
          <w:position w:val="0"/>
        </w:rPr>
        <w:t xml:space="preserve">EF </w:t>
      </w:r>
      <w:r>
        <w:rPr>
          <w:lang w:val="ru-RU" w:eastAsia="ru-RU" w:bidi="ru-RU"/>
          <w:w w:val="100"/>
          <w:spacing w:val="0"/>
          <w:color w:val="000000"/>
          <w:position w:val="0"/>
        </w:rPr>
        <w:t>наклона створки легочной артерии.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Среднесистолическое прикрытие створки легоч</w:t>
        <w:softHyphen/>
        <w:t>ной артерии.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Изменение кинетики перегородки (в раннюю сис</w:t>
        <w:softHyphen/>
        <w:t>толу перегородка движется парадоксально, затем быстро совершает заднее движение).</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Задержка открытия клапана легочной артерии.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br w:type="column"/>
      </w:r>
      <w:r>
        <w:rPr>
          <w:lang w:val="ru-RU" w:eastAsia="ru-RU" w:bidi="ru-RU"/>
          <w:w w:val="100"/>
          <w:spacing w:val="0"/>
          <w:color w:val="000000"/>
          <w:position w:val="0"/>
        </w:rPr>
        <w:t xml:space="preserve">Пологий </w:t>
      </w:r>
      <w:r>
        <w:rPr>
          <w:lang w:val="en-US" w:eastAsia="en-US" w:bidi="en-US"/>
          <w:w w:val="100"/>
          <w:spacing w:val="0"/>
          <w:color w:val="000000"/>
          <w:position w:val="0"/>
        </w:rPr>
        <w:t xml:space="preserve">EF </w:t>
      </w:r>
      <w:r>
        <w:rPr>
          <w:lang w:val="ru-RU" w:eastAsia="ru-RU" w:bidi="ru-RU"/>
          <w:w w:val="100"/>
          <w:spacing w:val="0"/>
          <w:color w:val="000000"/>
          <w:position w:val="0"/>
        </w:rPr>
        <w:t>наклон передней створки митрально</w:t>
        <w:softHyphen/>
        <w:t>го клапана (при нормальном движении его задней створки)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Гипертрофия передней стенки правого желудочка</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Гипертрофия межжелудочковой перегородки.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Систолическое трепетание створок клапана легоч - ной артерии.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Дилатация правого желудочка.</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Двухмерная эхокардиография:</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«Вдавливание» перегородки в полость левого же</w:t>
        <w:softHyphen/>
        <w:t>лудочка в парастернальной проекции длинной и поперечной оси сканирования.</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Изменение нормальной кривизны межжелудочко - вой перегородки связано с перегрузкой правого желудочка давлением. Данный феномен обуслов</w:t>
        <w:softHyphen/>
        <w:t>ливает нарушение функции диастолы левого желу</w:t>
        <w:softHyphen/>
        <w:t>дочка.</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Дилатация ствола легочной артерии.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Диастолическое выбухание створок клапана легоч - ной артерии в выходной тракт правого желудочка.</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Уменьшение полости левого желудочка.</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Допплерэхокардиография:</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Уточняет величину легочной гипертензии и позво</w:t>
        <w:softHyphen/>
        <w:t>ляет количественно определить основные гемоди</w:t>
        <w:softHyphen/>
        <w:t>намические показатели: давление в легочной арте</w:t>
        <w:softHyphen/>
        <w:t>рии, легочное сосудистое сопротивление.</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Давление в легочной артерии рассчитывается по величине трикуспидальной регургитации или по времени ускорения (АТ) потока крови в легочной артерии.</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Примерно в 40% случаев выявляется трикуспи</w:t>
        <w:softHyphen/>
        <w:t>дальная регургитация.</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Относительная недостаточность клапана легочной артерии обнаруживается в 25-30% случаев.</w:t>
      </w:r>
    </w:p>
    <w:p>
      <w:pPr>
        <w:pStyle w:val="Style30"/>
        <w:numPr>
          <w:ilvl w:val="0"/>
          <w:numId w:val="11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Позволяет выявить право-левый шунт через от</w:t>
        <w:softHyphen/>
        <w:t>крытое овальное окно.</w:t>
      </w:r>
    </w:p>
    <w:p>
      <w:pPr>
        <w:pStyle w:val="Style30"/>
        <w:widowControl w:val="0"/>
        <w:keepNext w:val="0"/>
        <w:keepLines w:val="0"/>
        <w:shd w:val="clear" w:color="auto" w:fill="auto"/>
        <w:bidi w:val="0"/>
        <w:jc w:val="right"/>
        <w:spacing w:before="0" w:after="0"/>
        <w:ind w:left="0" w:right="0" w:firstLine="0"/>
      </w:pPr>
      <w:r>
        <w:rPr>
          <w:lang w:val="ru-RU" w:eastAsia="ru-RU" w:bidi="ru-RU"/>
          <w:w w:val="100"/>
          <w:spacing w:val="0"/>
          <w:color w:val="000000"/>
          <w:position w:val="0"/>
        </w:rPr>
        <w:t>• Катетеризация правых отделов сердца и легочной ар</w:t>
        <w:softHyphen/>
        <w:t>терии у больных первичной легочной гипертензией</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является необходимой диагностической процедурой.</w:t>
      </w:r>
      <w:r>
        <w:br w:type="page"/>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 Катетеризация проводится для исключения карди</w:t>
        <w:softHyphen/>
        <w:t>альных причин легочной гипертензии (ВПС), опре</w:t>
        <w:softHyphen/>
        <w:t>деления основных параметров легочной и централь</w:t>
        <w:softHyphen/>
        <w:t>ной гемодинамики, а также для подбора эффектив</w:t>
        <w:softHyphen/>
        <w:t>ных вазодилататоров. О наличии легочной гипертен</w:t>
        <w:softHyphen/>
        <w:t>зии достоверно свидетельствуют показатели среднего давления в легочной артерии более 25 мм рт. ст.</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Антикоагулянты:</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Диффузный микроваскулярный тромбоз у боль</w:t>
        <w:softHyphen/>
        <w:t>ных легочной гипертензией свидетельствует о не</w:t>
        <w:softHyphen/>
        <w:t>обходимости проведения антикоагулянтной тера</w:t>
        <w:softHyphen/>
        <w:t>пии.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Так, V. </w:t>
      </w:r>
      <w:r>
        <w:rPr>
          <w:lang w:val="en-US" w:eastAsia="en-US" w:bidi="en-US"/>
          <w:w w:val="100"/>
          <w:spacing w:val="0"/>
          <w:color w:val="000000"/>
          <w:position w:val="0"/>
        </w:rPr>
        <w:t xml:space="preserve">Fuster </w:t>
      </w:r>
      <w:r>
        <w:rPr>
          <w:lang w:val="ru-RU" w:eastAsia="ru-RU" w:bidi="ru-RU"/>
          <w:w w:val="100"/>
          <w:spacing w:val="0"/>
          <w:color w:val="000000"/>
          <w:position w:val="0"/>
        </w:rPr>
        <w:t>с соавт. в течение 15 лет успешно ле</w:t>
        <w:softHyphen/>
        <w:t>чат антикоагулянтами больных с легочной гипер</w:t>
        <w:softHyphen/>
        <w:t>тензией. На основании ретроспективного анализа течения заболевания у 120 больных авторы отмеча</w:t>
        <w:softHyphen/>
        <w:t>ют, что продолжительность жизни и прогноз забо</w:t>
        <w:softHyphen/>
        <w:t>левания у больных, получавших антикоагулянты, лучше, чем в контрольной группе.</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Известны случаи исчезновения легочной гипер</w:t>
        <w:softHyphen/>
        <w:t>тензии у больных, получавших только антикоагу</w:t>
        <w:softHyphen/>
        <w:t>лянтную терапию, что свидетельствует о наличии у них активного тромботического процесса.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По мнению </w:t>
      </w:r>
      <w:r>
        <w:rPr>
          <w:lang w:val="en-US" w:eastAsia="en-US" w:bidi="en-US"/>
          <w:w w:val="100"/>
          <w:spacing w:val="0"/>
          <w:color w:val="000000"/>
          <w:position w:val="0"/>
        </w:rPr>
        <w:t xml:space="preserve">J. Bjornsson </w:t>
      </w:r>
      <w:r>
        <w:rPr>
          <w:lang w:val="ru-RU" w:eastAsia="ru-RU" w:bidi="ru-RU"/>
          <w:w w:val="100"/>
          <w:spacing w:val="0"/>
          <w:color w:val="000000"/>
          <w:position w:val="0"/>
        </w:rPr>
        <w:t>с соавт., учитывая гистопа</w:t>
        <w:softHyphen/>
        <w:t>тологические данные, все больные легочной ги</w:t>
        <w:softHyphen/>
        <w:t>пертензией должны получать антикоагулянты и препараты, предупреждающие агрегацию тром</w:t>
        <w:softHyphen/>
        <w:t>боцитов: варфарин, гепарин, малые дозы ацетил</w:t>
        <w:softHyphen/>
        <w:t>салициловой кислоты (1 мг/кг), курантил.</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Положительный эффект этих препаратов связан с улучшением микроциркуляции на уровне альве</w:t>
        <w:softHyphen/>
        <w:t>оло-капиллярных мембран за счет нормализации их электрических потенциалов и уменьшения аг- регационных свойств тромбоцитов.</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 другой стороны, у больных первичной легочной гипертензией назначение антикоагулянтов сопря</w:t>
        <w:softHyphen/>
        <w:t>жено с риском тромбоэмболии, поскольку заболе</w:t>
        <w:softHyphen/>
        <w:t>вание часто сопровождается венозным застоем, предрасполагающим к тромбообразованию и к пе</w:t>
        <w:softHyphen/>
        <w:t>ченочной недостаточности, приводящей к крово</w:t>
        <w:softHyphen/>
        <w:t>точивости. В этой связи назначение антикоагулян</w:t>
        <w:softHyphen/>
        <w:t>тов должно проводиться строго по индивидуаль</w:t>
        <w:softHyphen/>
        <w:t>ным показаниям с учетом данных коагулограммы и клинической симптоматики.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Дигоксин:</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Назначение дигоксина показано при развитии или для предупреждения правожелудочковой недоста</w:t>
        <w:softHyphen/>
        <w:t>точности.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Экспериментальными исследованиями показано, что предварительное введение дигоксина при мо</w:t>
        <w:softHyphen/>
        <w:t>делировании систолической перегрузки правого желудочка предупреждает падение его контрак- тильности.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В этой связи </w:t>
      </w:r>
      <w:r>
        <w:rPr>
          <w:lang w:val="en-US" w:eastAsia="en-US" w:bidi="en-US"/>
          <w:w w:val="100"/>
          <w:spacing w:val="0"/>
          <w:color w:val="000000"/>
          <w:position w:val="0"/>
        </w:rPr>
        <w:t xml:space="preserve">S. Rich </w:t>
      </w:r>
      <w:r>
        <w:rPr>
          <w:lang w:val="ru-RU" w:eastAsia="ru-RU" w:bidi="ru-RU"/>
          <w:w w:val="100"/>
          <w:spacing w:val="0"/>
          <w:color w:val="000000"/>
          <w:position w:val="0"/>
        </w:rPr>
        <w:t>рекомендует назначение ди</w:t>
        <w:softHyphen/>
        <w:t>гоксина всем больным с высокой легочной гипер</w:t>
        <w:softHyphen/>
        <w:t>тензией в качестве средства профилактики право</w:t>
        <w:softHyphen/>
        <w:t>желудочковой недостаточности, даже несмотря на отсутствие ее клинических проявлений.</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Диуретики: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Положительный эффект лечения диуретиками у больных легочной гипертензией основан на</w:t>
        <w:br w:type="column"/>
        <w:t>уменьшении объемной перегрузки правого желу</w:t>
        <w:softHyphen/>
        <w:t>дочка и периферического венозного застоя.</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Наряду с этим диуретики снижают легочный ка</w:t>
        <w:softHyphen/>
        <w:t>пиллярный застой, возникающий при высоком давлении в артериолах и приводящий к левожелу</w:t>
        <w:softHyphen/>
        <w:t>дочковой диастолической дисфункции.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Клинически при назначении диуретиков умень</w:t>
        <w:softHyphen/>
        <w:t>шается одышка и ортопноэ.</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По мнению </w:t>
      </w:r>
      <w:r>
        <w:rPr>
          <w:lang w:val="en-US" w:eastAsia="en-US" w:bidi="en-US"/>
          <w:w w:val="100"/>
          <w:spacing w:val="0"/>
          <w:color w:val="000000"/>
          <w:position w:val="0"/>
        </w:rPr>
        <w:t xml:space="preserve">S. Rich, </w:t>
      </w:r>
      <w:r>
        <w:rPr>
          <w:lang w:val="ru-RU" w:eastAsia="ru-RU" w:bidi="ru-RU"/>
          <w:w w:val="100"/>
          <w:spacing w:val="0"/>
          <w:color w:val="000000"/>
          <w:position w:val="0"/>
        </w:rPr>
        <w:t>назначение диуретиков пока</w:t>
        <w:softHyphen/>
        <w:t>зано больным с легочной гипертензией при нали</w:t>
        <w:softHyphen/>
        <w:t>чии одышки и увеличении венозного давления.</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Ингаляции кислорода: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Хотя гипоксия не является единственным этиоло</w:t>
        <w:softHyphen/>
        <w:t>гическим фактором легочной гипертензии, однако развивающаяся гипоксемия у этих больных обус</w:t>
        <w:softHyphen/>
        <w:t>ловливает необходимость применения кислорода в качестве терапевтического средства.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Однако ингаляция кислорода приводит к увеличе - нию системной сосудистой резистентности, что может неблагоприятно отразиться на больных с высокой легочной гипертензией.</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легкой и умеренной гипоксемии желательно избегать назначение кислорода.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тяжелых формах первичной легочной гипер</w:t>
        <w:softHyphen/>
        <w:t>тензии, сопровождающихся уменьшением напря</w:t>
        <w:softHyphen/>
        <w:t>жения кислорода в крови ниже 50 мм рт. ст., пока</w:t>
        <w:softHyphen/>
        <w:t>заны длительные ингаляции кислорода.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Рекомендуется давать кислород в небольших кон</w:t>
        <w:softHyphen/>
        <w:t>центрациях (30-60%) в дозе до 3-5 л/мин. Сеансы кислородотерапии проводят 3-4 раза в день по 20-30 мин.</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Терапия вазодилататорами: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Антагонисты кальциевых каналов приводят к ре</w:t>
        <w:softHyphen/>
        <w:t>лаксации гладких мышц сосудов путем внутрикле</w:t>
        <w:softHyphen/>
        <w:t>точного перемещения кальция.</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экспериментальных исследованиях блокаторы кальциевых каналов уменьшают легочную вазо- констрикцию, обусловленную гипоксией и воз</w:t>
        <w:softHyphen/>
        <w:t xml:space="preserve">действием простагландинов ПГ </w:t>
      </w:r>
      <w:r>
        <w:rPr>
          <w:lang w:val="en-US" w:eastAsia="en-US" w:bidi="en-US"/>
          <w:w w:val="100"/>
          <w:spacing w:val="0"/>
          <w:color w:val="000000"/>
          <w:position w:val="0"/>
        </w:rPr>
        <w:t>F-2</w:t>
      </w:r>
      <w:r>
        <w:rPr>
          <w:lang w:val="ru-RU" w:eastAsia="ru-RU" w:bidi="ru-RU"/>
          <w:w w:val="100"/>
          <w:spacing w:val="0"/>
          <w:color w:val="000000"/>
          <w:position w:val="0"/>
        </w:rPr>
        <w:t>-альфа.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Среди антагонистов кальциевых каналов при лече - нии легочной гипертензии наибольшее предпочте</w:t>
        <w:softHyphen/>
        <w:t>ние отдается нифедипину (коринфару). Этот пре</w:t>
        <w:softHyphen/>
        <w:t>парат, по сравнению с другими кальциевыми бло</w:t>
        <w:softHyphen/>
        <w:t>каторами, оказывает более выраженное снижение легочного артериального давления и сосудистой резистентности.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Имеются сообщения об улучшении легочной ге</w:t>
        <w:softHyphen/>
        <w:t>модинамики и фракции выброса правого желудоч</w:t>
        <w:softHyphen/>
        <w:t>ка как в покое, так и при нагрузке у больных легоч</w:t>
        <w:softHyphen/>
        <w:t>ной гипертензией при использовании нифедипи- на.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ряде работ показано, что положительные резуль</w:t>
        <w:softHyphen/>
        <w:t>таты у больных наблюдаются только при длитель</w:t>
        <w:softHyphen/>
        <w:t>ном использовании препарата.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Однако известны данные о неблагоприятном вли</w:t>
        <w:softHyphen/>
        <w:t>янии нифедипина с развитием отека легкого, сис</w:t>
        <w:softHyphen/>
        <w:t>темной гипотензии, правожелудочковой недоста</w:t>
        <w:softHyphen/>
        <w:t>точности, кардиогенного шока, остановки синусо</w:t>
        <w:softHyphen/>
        <w:t>вого узла и внезапной смерти.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pict>
          <v:shape id="_x0000_s1591" type="#_x0000_t75" style="position:absolute;margin-left:142.1pt;margin-top:740.2pt;width:209.75pt;height:14.9pt;z-index:-125828998;mso-wrap-distance-left:136.1pt;mso-wrap-distance-right:136.8pt;mso-wrap-distance-bottom:20.pt;mso-position-horizontal-relative:margin;mso-position-vertical-relative:margin" wrapcoords="0 0 21600 0 21600 21600 0 21600 0 0">
            <v:imagedata r:id="rId940" r:href="rId941"/>
            <w10:wrap type="topAndBottom" anchorx="margin" anchory="margin"/>
          </v:shape>
        </w:pict>
      </w:r>
      <w:r>
        <w:rPr>
          <w:lang w:val="ru-RU" w:eastAsia="ru-RU" w:bidi="ru-RU"/>
          <w:w w:val="100"/>
          <w:spacing w:val="0"/>
          <w:color w:val="000000"/>
          <w:position w:val="0"/>
        </w:rPr>
        <w:t>Неоднозначные результаты лечения нифедипи- ном, вероятно, связаны с различной чувствитель</w:t>
        <w:softHyphen/>
        <w:t>ностью к данному препарату у больных, а также со</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степенью нарушения функции правого желудоч</w:t>
        <w:softHyphen/>
        <w:t>ка. В этой связи при назначении нифедипина ре</w:t>
        <w:softHyphen/>
        <w:t>комендуется проводить гемодинамический мони</w:t>
        <w:softHyphen/>
        <w:t>торинг.</w:t>
      </w:r>
    </w:p>
    <w:p>
      <w:pPr>
        <w:pStyle w:val="Style30"/>
        <w:numPr>
          <w:ilvl w:val="0"/>
          <w:numId w:val="115"/>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Другие антагонисты кальциевых каналов (дилтиа- зем, верапамил) при лечении больных легочной гипертензией используются редко. При этом так</w:t>
        <w:softHyphen/>
        <w:t>же сообщены положительные и отрицательные эффекты использования данных препаратов.</w:t>
      </w:r>
    </w:p>
    <w:p>
      <w:pPr>
        <w:pStyle w:val="Style30"/>
        <w:numPr>
          <w:ilvl w:val="0"/>
          <w:numId w:val="115"/>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последние годы в кардиологической практике для лечения первичной легочной гипертензии широко используются антагонисты кальциевых каналов с пролонгированным механизмом действия (исра- дипин, амлодипин, лацидипин). Эффективность пролонгированных форм в детстве не изучена.</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Хирургические методы коррекции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Межпредсердное шунтирование:</w:t>
      </w:r>
    </w:p>
    <w:p>
      <w:pPr>
        <w:pStyle w:val="Style30"/>
        <w:numPr>
          <w:ilvl w:val="0"/>
          <w:numId w:val="115"/>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Замечено, что открытое овальное окно у больных с высокой легочной гипертензией улучшает про</w:t>
        <w:softHyphen/>
        <w:t>гноз заболевания и увеличивает продолжитель</w:t>
        <w:softHyphen/>
        <w:t>ность жизни. Данные клинические наблюдения подтверждаются в эксперименте путем хирургиче</w:t>
        <w:softHyphen/>
        <w:t>ской атриосептостомии. Межпредсердный шунт при высокой легочной гипертензии способствует увеличению наполнения левого желудочка и тем самым предупреждает развитие системной гипо</w:t>
        <w:softHyphen/>
        <w:t>тензии, синкопе и в конечном итоге внезапной смерти. При отсутствии шунта правый желудочек не способен увеличивать на физическую нагрузку выброс крови, что приводит к уменьшению коро</w:t>
        <w:softHyphen/>
        <w:t>нарной перфузии с развитием субэндокардиаль</w:t>
        <w:softHyphen/>
        <w:t>ной ишемии, системной гипотензии, синкопе и внезапной смерти.</w:t>
      </w:r>
    </w:p>
    <w:p>
      <w:pPr>
        <w:pStyle w:val="Style30"/>
        <w:numPr>
          <w:ilvl w:val="0"/>
          <w:numId w:val="115"/>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Однако попытки создания шунта путем атриосеп- тостомии у больных высокой легочной гипертен</w:t>
        <w:softHyphen/>
        <w:t>зией оказались неэффективными из-за резко воз</w:t>
        <w:softHyphen/>
        <w:t>никающей нагрузки на левый желудочек в бли</w:t>
        <w:softHyphen/>
        <w:t>жайшем послеоперационном периоде.</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Трансплантация легкого:</w:t>
      </w:r>
    </w:p>
    <w:p>
      <w:pPr>
        <w:pStyle w:val="Style30"/>
        <w:numPr>
          <w:ilvl w:val="0"/>
          <w:numId w:val="115"/>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Трансплантация легкого проводится при неэффек</w:t>
        <w:softHyphen/>
        <w:t>тивности медикаментозного лечения.</w:t>
      </w:r>
    </w:p>
    <w:p>
      <w:pPr>
        <w:pStyle w:val="Style30"/>
        <w:numPr>
          <w:ilvl w:val="0"/>
          <w:numId w:val="115"/>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большинстве случаев для снижения давления в легочной артерии достаточно пересадки одного легкого.</w:t>
      </w:r>
    </w:p>
    <w:p>
      <w:pPr>
        <w:pStyle w:val="Style30"/>
        <w:numPr>
          <w:ilvl w:val="0"/>
          <w:numId w:val="115"/>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Трансплантация одного легкого позволяет снизить систолическое давление в легочной артерии в среднем с 92 мм рт. ст. до 29 мм рт. ст., при этом каждый донор обеспечивает двух реципиентов.</w:t>
      </w:r>
    </w:p>
    <w:p>
      <w:pPr>
        <w:pStyle w:val="Style30"/>
        <w:numPr>
          <w:ilvl w:val="0"/>
          <w:numId w:val="115"/>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Трансплантация обоих легких обеспечивает боль</w:t>
        <w:softHyphen/>
        <w:t>шее снижение легочного сосудистого сопротивле</w:t>
        <w:softHyphen/>
        <w:t>ния и больший функциональный резерв в случае острого отторжения, однако эта операция техниче</w:t>
        <w:softHyphen/>
        <w:t>ски сложнее.</w:t>
      </w:r>
    </w:p>
    <w:p>
      <w:pPr>
        <w:pStyle w:val="Style30"/>
        <w:numPr>
          <w:ilvl w:val="0"/>
          <w:numId w:val="115"/>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Двухлетняя выживаемость при трансплантации легкого составляет 60%.</w:t>
      </w:r>
    </w:p>
    <w:p>
      <w:pPr>
        <w:pStyle w:val="Style30"/>
        <w:numPr>
          <w:ilvl w:val="0"/>
          <w:numId w:val="115"/>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отдаленные сроки у 50% больных развивается облитерирующий бронхиолит (проявление хрони</w:t>
        <w:softHyphen/>
        <w:t>ческой реакции отторжения).</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Легочно-сердечная трансплантация:</w:t>
      </w:r>
    </w:p>
    <w:p>
      <w:pPr>
        <w:pStyle w:val="Style30"/>
        <w:numPr>
          <w:ilvl w:val="0"/>
          <w:numId w:val="115"/>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Ранняя смертность в послеоперационном периоде наблюдается в 25-30% и обусловлена кровотечени</w:t>
        <w:softHyphen/>
        <w:t>ем или инфекционным процессом.</w:t>
      </w:r>
    </w:p>
    <w:p>
      <w:pPr>
        <w:pStyle w:val="Style30"/>
        <w:numPr>
          <w:ilvl w:val="0"/>
          <w:numId w:val="115"/>
        </w:numPr>
        <w:tabs>
          <w:tab w:leader="none" w:pos="760" w:val="left"/>
        </w:tabs>
        <w:widowControl w:val="0"/>
        <w:keepNext w:val="0"/>
        <w:keepLines w:val="0"/>
        <w:shd w:val="clear" w:color="auto" w:fill="auto"/>
        <w:bidi w:val="0"/>
        <w:spacing w:before="0" w:after="0"/>
        <w:ind w:left="740" w:right="0" w:hanging="220"/>
      </w:pPr>
      <w:r>
        <w:br w:type="column"/>
      </w:r>
      <w:r>
        <w:rPr>
          <w:lang w:val="ru-RU" w:eastAsia="ru-RU" w:bidi="ru-RU"/>
          <w:w w:val="100"/>
          <w:spacing w:val="0"/>
          <w:color w:val="000000"/>
          <w:position w:val="0"/>
        </w:rPr>
        <w:t>В отдаленных периодах летальность связана с ре</w:t>
        <w:softHyphen/>
        <w:t>цидивирующими инфекциями и развитием хрони</w:t>
        <w:softHyphen/>
        <w:t>ческого облитеративного бронхиолита.</w:t>
      </w:r>
    </w:p>
    <w:p>
      <w:pPr>
        <w:pStyle w:val="Style30"/>
        <w:numPr>
          <w:ilvl w:val="0"/>
          <w:numId w:val="115"/>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Во всех случаях проведение операции оправдано на конечных стадиях первичной легочной гипер</w:t>
        <w:softHyphen/>
        <w:t>тензии.</w:t>
      </w:r>
    </w:p>
    <w:p>
      <w:pPr>
        <w:pStyle w:val="Style30"/>
        <w:numPr>
          <w:ilvl w:val="0"/>
          <w:numId w:val="115"/>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На начальных стадиях заболевания даже успешно выполненная операция не увеличивает продолжи</w:t>
        <w:softHyphen/>
        <w:t>тельность жизни таких больных.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Несмотря на большие достижения в лечении первичной легочной гипертензии, прогноз остается неблагоприятным.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Лекарственные препараты, применяемые при лечении пер</w:t>
        <w:softHyphen/>
        <w:t>вичной легочной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Антикоагулянты показаны при вторичной легочной ги</w:t>
        <w:softHyphen/>
        <w:t>пертензии, обусловленной хронической легочной тромбо</w:t>
        <w:softHyphen/>
        <w:t>эмболией, веноокклюзивной болезнью легких, мерцатель</w:t>
        <w:softHyphen/>
        <w:t>ной аритмией из-за лево- или правожелудочковой ди</w:t>
        <w:softHyphen/>
        <w:t>сфункции.</w:t>
      </w:r>
    </w:p>
    <w:p>
      <w:pPr>
        <w:pStyle w:val="Style30"/>
        <w:widowControl w:val="0"/>
        <w:keepNext w:val="0"/>
        <w:keepLines w:val="0"/>
        <w:shd w:val="clear" w:color="auto" w:fill="auto"/>
        <w:bidi w:val="0"/>
        <w:spacing w:before="0" w:after="180"/>
        <w:ind w:left="0" w:right="0" w:firstLine="280"/>
      </w:pPr>
      <w:r>
        <w:rPr>
          <w:rStyle w:val="CharStyle103"/>
        </w:rPr>
        <w:t>Варфарин</w:t>
      </w:r>
      <w:r>
        <w:rPr>
          <w:lang w:val="ru-RU" w:eastAsia="ru-RU" w:bidi="ru-RU"/>
          <w:w w:val="100"/>
          <w:spacing w:val="0"/>
          <w:color w:val="000000"/>
          <w:position w:val="0"/>
        </w:rPr>
        <w:t xml:space="preserve"> </w:t>
      </w:r>
      <w:r>
        <w:rPr>
          <w:lang w:val="en-US" w:eastAsia="en-US" w:bidi="en-US"/>
          <w:w w:val="100"/>
          <w:spacing w:val="0"/>
          <w:color w:val="000000"/>
          <w:position w:val="0"/>
        </w:rPr>
        <w:t xml:space="preserve">(Warfarin, Coumadin) </w:t>
      </w:r>
      <w:r>
        <w:rPr>
          <w:lang w:val="ru-RU" w:eastAsia="ru-RU" w:bidi="ru-RU"/>
          <w:w w:val="100"/>
          <w:spacing w:val="0"/>
          <w:color w:val="000000"/>
          <w:position w:val="0"/>
        </w:rPr>
        <w:t>внутрь 0,05</w:t>
        <w:softHyphen/>
        <w:t>0,34 мг/кг/сутки.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Блокаторы кальциевых каналов назначаются больным с первичной легочной гипертензией, если был отмечен по</w:t>
        <w:softHyphen/>
        <w:t>ложительный эффект при краткосрочном применении или фармакологическом тестировании при проведении мони</w:t>
        <w:softHyphen/>
        <w:t>торинга легочного артериального давления во время кате</w:t>
        <w:softHyphen/>
        <w:t>теризации.</w:t>
      </w:r>
    </w:p>
    <w:p>
      <w:pPr>
        <w:pStyle w:val="Style30"/>
        <w:widowControl w:val="0"/>
        <w:keepNext w:val="0"/>
        <w:keepLines w:val="0"/>
        <w:shd w:val="clear" w:color="auto" w:fill="auto"/>
        <w:bidi w:val="0"/>
        <w:spacing w:before="0" w:after="0"/>
        <w:ind w:left="0" w:right="0" w:firstLine="280"/>
      </w:pPr>
      <w:r>
        <w:rPr>
          <w:rStyle w:val="CharStyle103"/>
        </w:rPr>
        <w:t>Нифедипин</w:t>
      </w:r>
      <w:r>
        <w:rPr>
          <w:lang w:val="ru-RU" w:eastAsia="ru-RU" w:bidi="ru-RU"/>
          <w:w w:val="100"/>
          <w:spacing w:val="0"/>
          <w:color w:val="000000"/>
          <w:position w:val="0"/>
        </w:rPr>
        <w:t xml:space="preserve"> </w:t>
      </w:r>
      <w:r>
        <w:rPr>
          <w:lang w:val="en-US" w:eastAsia="en-US" w:bidi="en-US"/>
          <w:w w:val="100"/>
          <w:spacing w:val="0"/>
          <w:color w:val="000000"/>
          <w:position w:val="0"/>
        </w:rPr>
        <w:t xml:space="preserve">(Nifedipine, Adalat, Procardia) </w:t>
      </w:r>
      <w:r>
        <w:rPr>
          <w:lang w:val="ru-RU" w:eastAsia="ru-RU" w:bidi="ru-RU"/>
          <w:w w:val="100"/>
          <w:spacing w:val="0"/>
          <w:color w:val="000000"/>
          <w:position w:val="0"/>
        </w:rPr>
        <w:t>— внутрь 0,6</w:t>
        <w:softHyphen/>
        <w:t>0,9 мг/кг/сутки в 3 приема.</w:t>
      </w:r>
    </w:p>
    <w:p>
      <w:pPr>
        <w:pStyle w:val="Style30"/>
        <w:widowControl w:val="0"/>
        <w:keepNext w:val="0"/>
        <w:keepLines w:val="0"/>
        <w:shd w:val="clear" w:color="auto" w:fill="auto"/>
        <w:bidi w:val="0"/>
        <w:spacing w:before="0" w:after="180"/>
        <w:ind w:left="0" w:right="0" w:firstLine="280"/>
      </w:pPr>
      <w:r>
        <w:rPr>
          <w:rStyle w:val="CharStyle103"/>
        </w:rPr>
        <w:t>Амлодипин</w:t>
      </w:r>
      <w:r>
        <w:rPr>
          <w:lang w:val="ru-RU" w:eastAsia="ru-RU" w:bidi="ru-RU"/>
          <w:w w:val="100"/>
          <w:spacing w:val="0"/>
          <w:color w:val="000000"/>
          <w:position w:val="0"/>
        </w:rPr>
        <w:t xml:space="preserve"> </w:t>
      </w:r>
      <w:r>
        <w:rPr>
          <w:lang w:val="en-US" w:eastAsia="en-US" w:bidi="en-US"/>
          <w:w w:val="100"/>
          <w:spacing w:val="0"/>
          <w:color w:val="000000"/>
          <w:position w:val="0"/>
        </w:rPr>
        <w:t xml:space="preserve">(Amlodipine, Norvasc) </w:t>
      </w:r>
      <w:r>
        <w:rPr>
          <w:lang w:val="ru-RU" w:eastAsia="ru-RU" w:bidi="ru-RU"/>
          <w:w w:val="100"/>
          <w:spacing w:val="0"/>
          <w:color w:val="000000"/>
          <w:position w:val="0"/>
        </w:rPr>
        <w:t>— внутрь 2,5 мг в сутки.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Периферические вазодилататоры оказывают неселек</w:t>
        <w:softHyphen/>
        <w:t>тивный вазодилатирующий эффект как в системной, так и легочной циркуляции. В настоящее время предпочтение отдается вазодилататорам, осуществляющим действие че</w:t>
        <w:softHyphen/>
        <w:t>рез эндотелиальные рецепторы простациклина.</w:t>
      </w:r>
    </w:p>
    <w:p>
      <w:pPr>
        <w:pStyle w:val="Style30"/>
        <w:widowControl w:val="0"/>
        <w:keepNext w:val="0"/>
        <w:keepLines w:val="0"/>
        <w:shd w:val="clear" w:color="auto" w:fill="auto"/>
        <w:bidi w:val="0"/>
        <w:spacing w:before="0" w:after="0"/>
        <w:ind w:left="0" w:right="0" w:firstLine="280"/>
      </w:pPr>
      <w:r>
        <w:rPr>
          <w:rStyle w:val="CharStyle103"/>
        </w:rPr>
        <w:t>Эпопростенол</w:t>
      </w:r>
      <w:r>
        <w:rPr>
          <w:lang w:val="ru-RU" w:eastAsia="ru-RU" w:bidi="ru-RU"/>
          <w:w w:val="100"/>
          <w:spacing w:val="0"/>
          <w:color w:val="000000"/>
          <w:position w:val="0"/>
        </w:rPr>
        <w:t xml:space="preserve"> </w:t>
      </w:r>
      <w:r>
        <w:rPr>
          <w:lang w:val="en-US" w:eastAsia="en-US" w:bidi="en-US"/>
          <w:w w:val="100"/>
          <w:spacing w:val="0"/>
          <w:color w:val="000000"/>
          <w:position w:val="0"/>
        </w:rPr>
        <w:t xml:space="preserve">(Epoprostenol, Flolan) </w:t>
      </w:r>
      <w:r>
        <w:rPr>
          <w:lang w:val="ru-RU" w:eastAsia="ru-RU" w:bidi="ru-RU"/>
          <w:w w:val="100"/>
          <w:spacing w:val="0"/>
          <w:color w:val="000000"/>
          <w:position w:val="0"/>
        </w:rPr>
        <w:t>— вводится методом титрования через центральный венозный катетер 1</w:t>
        <w:softHyphen/>
        <w:t>2 мг/кг/мин, под постоянным мониторированием парамет</w:t>
        <w:softHyphen/>
        <w:t>ров гемодинамики.</w:t>
      </w:r>
    </w:p>
    <w:p>
      <w:pPr>
        <w:pStyle w:val="Style30"/>
        <w:widowControl w:val="0"/>
        <w:keepNext w:val="0"/>
        <w:keepLines w:val="0"/>
        <w:shd w:val="clear" w:color="auto" w:fill="auto"/>
        <w:bidi w:val="0"/>
        <w:spacing w:before="0" w:after="180"/>
        <w:ind w:left="0" w:right="0" w:firstLine="280"/>
      </w:pPr>
      <w:r>
        <w:rPr>
          <w:rStyle w:val="CharStyle103"/>
        </w:rPr>
        <w:t>Бозентан</w:t>
      </w:r>
      <w:r>
        <w:rPr>
          <w:lang w:val="ru-RU" w:eastAsia="ru-RU" w:bidi="ru-RU"/>
          <w:w w:val="100"/>
          <w:spacing w:val="0"/>
          <w:color w:val="000000"/>
          <w:position w:val="0"/>
        </w:rPr>
        <w:t xml:space="preserve"> </w:t>
      </w:r>
      <w:r>
        <w:rPr>
          <w:lang w:val="en-US" w:eastAsia="en-US" w:bidi="en-US"/>
          <w:w w:val="100"/>
          <w:spacing w:val="0"/>
          <w:color w:val="000000"/>
          <w:position w:val="0"/>
        </w:rPr>
        <w:t xml:space="preserve">(Bosentan, Tracleer) </w:t>
      </w:r>
      <w:r>
        <w:rPr>
          <w:lang w:val="ru-RU" w:eastAsia="ru-RU" w:bidi="ru-RU"/>
          <w:w w:val="100"/>
          <w:spacing w:val="0"/>
          <w:color w:val="000000"/>
          <w:position w:val="0"/>
        </w:rPr>
        <w:t>внутрь 62,5 мг/сутки, детям &gt; 12 лет не более 125 мг/сутки.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Сердечные гликозиды назначаются при первичной ле</w:t>
        <w:softHyphen/>
        <w:t>гочной артериальной гипертензии для предупреждения развития правожелудочковой недостаточности или супра</w:t>
        <w:softHyphen/>
        <w:t>вентрикулярных аритмий.</w:t>
      </w:r>
    </w:p>
    <w:p>
      <w:pPr>
        <w:pStyle w:val="Style30"/>
        <w:widowControl w:val="0"/>
        <w:keepNext w:val="0"/>
        <w:keepLines w:val="0"/>
        <w:shd w:val="clear" w:color="auto" w:fill="auto"/>
        <w:bidi w:val="0"/>
        <w:spacing w:before="0" w:after="180"/>
        <w:ind w:left="0" w:right="0" w:firstLine="280"/>
      </w:pPr>
      <w:r>
        <w:rPr>
          <w:rStyle w:val="CharStyle103"/>
        </w:rPr>
        <w:t>Дигоксин</w:t>
      </w:r>
      <w:r>
        <w:rPr>
          <w:lang w:val="ru-RU" w:eastAsia="ru-RU" w:bidi="ru-RU"/>
          <w:w w:val="100"/>
          <w:spacing w:val="0"/>
          <w:color w:val="000000"/>
          <w:position w:val="0"/>
        </w:rPr>
        <w:t xml:space="preserve"> </w:t>
      </w:r>
      <w:r>
        <w:rPr>
          <w:lang w:val="en-US" w:eastAsia="en-US" w:bidi="en-US"/>
          <w:w w:val="100"/>
          <w:spacing w:val="0"/>
          <w:color w:val="000000"/>
          <w:position w:val="0"/>
        </w:rPr>
        <w:t xml:space="preserve">(Digoxin, Lanoxin). </w:t>
      </w:r>
      <w:r>
        <w:rPr>
          <w:lang w:val="ru-RU" w:eastAsia="ru-RU" w:bidi="ru-RU"/>
          <w:w w:val="100"/>
          <w:spacing w:val="0"/>
          <w:color w:val="000000"/>
          <w:position w:val="0"/>
        </w:rPr>
        <w:t>Доза насыщения: 5-10 лет — 20-35 мкг/кг внутрь; &gt;10 лет — 10-15 мгк/кг внутрь. Под</w:t>
        <w:softHyphen/>
        <w:t>держивающая доза составляет 25-35% от дозы насыщения.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Диуретики при первичной легочной гипертензии назна</w:t>
        <w:softHyphen/>
        <w:t>чают в случаях развития правожелудочковой недостаточно</w:t>
        <w:softHyphen/>
        <w:t>сти; гепатомегалии, асцита, отеков нижних конечностей.</w:t>
      </w:r>
    </w:p>
    <w:p>
      <w:pPr>
        <w:pStyle w:val="Style30"/>
        <w:widowControl w:val="0"/>
        <w:keepNext w:val="0"/>
        <w:keepLines w:val="0"/>
        <w:shd w:val="clear" w:color="auto" w:fill="auto"/>
        <w:bidi w:val="0"/>
        <w:spacing w:before="0" w:after="196" w:line="180" w:lineRule="exact"/>
        <w:ind w:left="0" w:right="0" w:firstLine="280"/>
      </w:pPr>
      <w:r>
        <w:rPr>
          <w:rStyle w:val="CharStyle103"/>
        </w:rPr>
        <w:t>Фуросемид</w:t>
      </w:r>
      <w:r>
        <w:rPr>
          <w:lang w:val="ru-RU" w:eastAsia="ru-RU" w:bidi="ru-RU"/>
          <w:w w:val="100"/>
          <w:spacing w:val="0"/>
          <w:color w:val="000000"/>
          <w:position w:val="0"/>
        </w:rPr>
        <w:t xml:space="preserve"> </w:t>
      </w:r>
      <w:r>
        <w:rPr>
          <w:lang w:val="en-US" w:eastAsia="en-US" w:bidi="en-US"/>
          <w:w w:val="100"/>
          <w:spacing w:val="0"/>
          <w:color w:val="000000"/>
          <w:position w:val="0"/>
        </w:rPr>
        <w:t xml:space="preserve">(Furosemide, Lasix) </w:t>
      </w:r>
      <w:r>
        <w:rPr>
          <w:lang w:val="ru-RU" w:eastAsia="ru-RU" w:bidi="ru-RU"/>
          <w:w w:val="100"/>
          <w:spacing w:val="0"/>
          <w:color w:val="000000"/>
          <w:position w:val="0"/>
        </w:rPr>
        <w:t>внутрь 1-2 мг/кг/сутки.</w:t>
      </w:r>
    </w:p>
    <w:p>
      <w:pPr>
        <w:pStyle w:val="Style28"/>
        <w:widowControl w:val="0"/>
        <w:keepNext/>
        <w:keepLines/>
        <w:shd w:val="clear" w:color="auto" w:fill="auto"/>
        <w:bidi w:val="0"/>
        <w:jc w:val="left"/>
        <w:spacing w:before="0" w:after="153" w:line="220" w:lineRule="exact"/>
        <w:ind w:left="0" w:right="0" w:firstLine="0"/>
      </w:pPr>
      <w:bookmarkStart w:id="569" w:name="bookmark569"/>
      <w:r>
        <w:rPr>
          <w:lang w:val="ru-RU" w:eastAsia="ru-RU" w:bidi="ru-RU"/>
          <w:w w:val="100"/>
          <w:spacing w:val="0"/>
          <w:color w:val="000000"/>
          <w:position w:val="0"/>
        </w:rPr>
        <w:t>Вторичная легочная гипертензия</w:t>
      </w:r>
      <w:bookmarkEnd w:id="569"/>
    </w:p>
    <w:p>
      <w:pPr>
        <w:pStyle w:val="Style92"/>
        <w:widowControl w:val="0"/>
        <w:keepNext/>
        <w:keepLines/>
        <w:shd w:val="clear" w:color="auto" w:fill="auto"/>
        <w:bidi w:val="0"/>
        <w:spacing w:before="0" w:after="0"/>
        <w:ind w:left="0" w:right="0" w:firstLine="280"/>
      </w:pPr>
      <w:bookmarkStart w:id="570" w:name="bookmark570"/>
      <w:r>
        <w:rPr>
          <w:lang w:val="ru-RU" w:eastAsia="ru-RU" w:bidi="ru-RU"/>
          <w:w w:val="100"/>
          <w:spacing w:val="0"/>
          <w:color w:val="000000"/>
          <w:position w:val="0"/>
        </w:rPr>
        <w:t>Введение</w:t>
      </w:r>
      <w:bookmarkEnd w:id="570"/>
    </w:p>
    <w:p>
      <w:pPr>
        <w:pStyle w:val="Style30"/>
        <w:widowControl w:val="0"/>
        <w:keepNext w:val="0"/>
        <w:keepLines w:val="0"/>
        <w:shd w:val="clear" w:color="auto" w:fill="auto"/>
        <w:bidi w:val="0"/>
        <w:jc w:val="right"/>
        <w:spacing w:before="0" w:after="0"/>
        <w:ind w:left="0" w:right="0" w:firstLine="0"/>
      </w:pPr>
      <w:r>
        <w:pict>
          <v:shape id="_x0000_s1592" type="#_x0000_t75" style="position:absolute;margin-left:130.7pt;margin-top:740.2pt;width:209.75pt;height:14.9pt;z-index:-125828997;mso-wrap-distance-left:124.55pt;mso-wrap-distance-right:148.1pt;mso-wrap-distance-bottom:20.pt;mso-position-horizontal-relative:margin;mso-position-vertical-relative:margin" wrapcoords="0 0 21600 0 21600 21600 0 21600 0 0">
            <v:imagedata r:id="rId942" r:href="rId943"/>
            <w10:wrap type="topAndBottom" anchorx="margin" anchory="margin"/>
          </v:shape>
        </w:pict>
      </w:r>
      <w:r>
        <w:rPr>
          <w:lang w:val="ru-RU" w:eastAsia="ru-RU" w:bidi="ru-RU"/>
          <w:w w:val="100"/>
          <w:spacing w:val="0"/>
          <w:color w:val="000000"/>
          <w:position w:val="0"/>
        </w:rPr>
        <w:t>• Вторичная легочная артериальная гипертензия может быть определена в том случае, когда систолическое</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давление в легочной артерии выше 30 мм рт. ст. или среднее давление в легочной артерии выше 20 мм рт. ст. при наличии легочного или кардиального заболева</w:t>
        <w:softHyphen/>
        <w:t>ния. Если никакая этиология не может быть иденти</w:t>
        <w:softHyphen/>
        <w:t>фицирована, легочная артериальная гипертензия яв</w:t>
        <w:softHyphen/>
        <w:t>ляется идиопатической (первичной). Повышение ле</w:t>
        <w:softHyphen/>
        <w:t>гочного артериального давления может быть обуслов</w:t>
        <w:softHyphen/>
        <w:t>лено увеличенным объемом легочного кровотока, вы</w:t>
        <w:softHyphen/>
        <w:t>соким сопротивлением в легочном сосудистом русле или большим давлением в легочном венозном русле.</w:t>
      </w:r>
    </w:p>
    <w:p>
      <w:pPr>
        <w:pStyle w:val="Style30"/>
        <w:numPr>
          <w:ilvl w:val="0"/>
          <w:numId w:val="11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Сердечная и легочная патология, отдельно или в ком</w:t>
        <w:softHyphen/>
        <w:t>бинации — самые общие причины вторичной легоч</w:t>
        <w:softHyphen/>
        <w:t>ной артериальной гипертензии. Болезни сердца обус</w:t>
        <w:softHyphen/>
        <w:t>ловливают легочную артериальную гипертензию пу</w:t>
        <w:softHyphen/>
        <w:t>тем перегрузки давлением или объемом. Развивается пролиферация интимы легочных сосудов, которая дополнительно увеличивает сопротивление легочных сосудов, возникает их обструкция. Периваскулярные паренхиматозные изменения наряду с легочной вазо- констрикцией — главный механизм легочной артери</w:t>
        <w:softHyphen/>
        <w:t>альной гипертензии при легочных заболеваниях.</w:t>
      </w:r>
    </w:p>
    <w:p>
      <w:pPr>
        <w:pStyle w:val="Style30"/>
        <w:numPr>
          <w:ilvl w:val="0"/>
          <w:numId w:val="11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Терапия вторичной легочной артериальной гипертен</w:t>
        <w:softHyphen/>
        <w:t>зии должна включать лечение основного заболевания и коррекцию легочной гипертензии. Новые терапев</w:t>
        <w:softHyphen/>
        <w:t>тические средства, такие как простациклин и другие, позволили существенно улучшить прогноз ранее не</w:t>
        <w:softHyphen/>
        <w:t>излечимых нарушений.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numPr>
          <w:ilvl w:val="0"/>
          <w:numId w:val="115"/>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 вторичной легочной артериальной гипертен - зии не установлена. Вторичная легочная гипертензия является осложнением легочных или сердечных забо</w:t>
        <w:softHyphen/>
        <w:t>леваний, однако развивается не у всех больных.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 обусловливающие вторичную легочную ги</w:t>
        <w:softHyphen/>
        <w:t>пертензию в зависимости от первичного патофизиологиче</w:t>
        <w:softHyphen/>
        <w:t>ского механизма, следующие: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Гипоксическая вазоконстрикция:</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Хроническое обструктивное легочное заболевание.</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Апноэ во время сна, альвеолярная гиповентиля</w:t>
        <w:softHyphen/>
        <w:t>ция.</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Нейромышечные заболевания, обусловливающие гиповентиляцию (например, полиомиелит, миа</w:t>
        <w:softHyphen/>
        <w:t>стения, кифосколиоз).</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Интерстициальные заболевания легких.</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Высокогорное место жительства.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Облитерация легочного сосудистого русла:</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Системные заболевания соединительной ткани.</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Острая эмболия легочных сосудов.</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Хроническая эмболия проксимальных сосудов легких.</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ВИЧ-инфекция.</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Воздействие токсинов.</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Портальная гипертензи.я</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Воздействие лекарственных препаратов (напри</w:t>
        <w:softHyphen/>
        <w:t>мер, фенфлюрамин, амфетамин, аминорекс, хи</w:t>
        <w:softHyphen/>
        <w:t>миотерапевтические средства, триптофан).</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Шистозомоз.</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Серповидноклеточная болезнь.</w:t>
      </w:r>
    </w:p>
    <w:p>
      <w:pPr>
        <w:pStyle w:val="Style30"/>
        <w:numPr>
          <w:ilvl w:val="0"/>
          <w:numId w:val="115"/>
        </w:numPr>
        <w:tabs>
          <w:tab w:leader="none" w:pos="737" w:val="left"/>
        </w:tabs>
        <w:widowControl w:val="0"/>
        <w:keepNext w:val="0"/>
        <w:keepLines w:val="0"/>
        <w:shd w:val="clear" w:color="auto" w:fill="auto"/>
        <w:bidi w:val="0"/>
        <w:jc w:val="left"/>
        <w:spacing w:before="0" w:after="0"/>
        <w:ind w:left="280" w:right="0" w:firstLine="220"/>
      </w:pPr>
      <w:r>
        <w:rPr>
          <w:lang w:val="ru-RU" w:eastAsia="ru-RU" w:bidi="ru-RU"/>
          <w:w w:val="100"/>
          <w:spacing w:val="0"/>
          <w:color w:val="000000"/>
          <w:position w:val="0"/>
        </w:rPr>
        <w:t>Легочный капиллярный гемангиоматоз. Перегрузка объемом и/или давлением:</w:t>
      </w:r>
    </w:p>
    <w:p>
      <w:pPr>
        <w:pStyle w:val="Style30"/>
        <w:numPr>
          <w:ilvl w:val="0"/>
          <w:numId w:val="115"/>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Межпредсердный и межжелудочковый септаль</w:t>
        <w:softHyphen/>
        <w:t>ные дефекты.</w:t>
      </w:r>
    </w:p>
    <w:p>
      <w:pPr>
        <w:pStyle w:val="Style30"/>
        <w:numPr>
          <w:ilvl w:val="0"/>
          <w:numId w:val="115"/>
        </w:numPr>
        <w:tabs>
          <w:tab w:leader="none" w:pos="735" w:val="left"/>
        </w:tabs>
        <w:widowControl w:val="0"/>
        <w:keepNext w:val="0"/>
        <w:keepLines w:val="0"/>
        <w:shd w:val="clear" w:color="auto" w:fill="auto"/>
        <w:bidi w:val="0"/>
        <w:spacing w:before="0" w:after="0"/>
        <w:ind w:left="740" w:right="0" w:hanging="240"/>
      </w:pPr>
      <w:r>
        <w:br w:type="column"/>
      </w:r>
      <w:r>
        <w:rPr>
          <w:lang w:val="ru-RU" w:eastAsia="ru-RU" w:bidi="ru-RU"/>
          <w:w w:val="100"/>
          <w:spacing w:val="0"/>
          <w:color w:val="000000"/>
          <w:position w:val="0"/>
        </w:rPr>
        <w:t>Левопредсердная гипертензия, вторичная к пато</w:t>
        <w:softHyphen/>
        <w:t>логии митрального клапана, левожелудочковая си</w:t>
        <w:softHyphen/>
        <w:t>столическая или диастолическая дисфункция.</w:t>
      </w:r>
    </w:p>
    <w:p>
      <w:pPr>
        <w:pStyle w:val="Style30"/>
        <w:numPr>
          <w:ilvl w:val="0"/>
          <w:numId w:val="115"/>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Обструкция легочных венозных сосудов при лим- фаденопатии, медиастинальном фиброзе, легоч</w:t>
        <w:softHyphen/>
        <w:t>ной веноокклюзивной болезни.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Три преобладающих патофизиологических механизма могут быть вовлечены в патогенез вторичной легочной ги</w:t>
        <w:softHyphen/>
        <w:t>пертензии: 1) гипоксическая вазоконстрикция, 2) умень</w:t>
        <w:softHyphen/>
        <w:t>шение легочного сосудистого русла и 3) перегрузка объ- емом/давлением.</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Гипоксическая вазоконстрикция</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Хроническая гипоксемия вызывает легочную вазо- констрикцию путем воздействия на эндотелий и гладкую мышцу легочной артерии, включая нару</w:t>
        <w:softHyphen/>
        <w:t>шение регуляции эндотелиальной синтетазы оксида азота и сниженную продукцию а субъединиц калие</w:t>
        <w:softHyphen/>
        <w:t>вых каналов.</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Хроническая гипоксемия, ведущая к легочной арте</w:t>
        <w:softHyphen/>
        <w:t>риальной гипертензии, наблюдается у больных с хро</w:t>
        <w:softHyphen/>
        <w:t>ническими обструктивными легочными заболевани</w:t>
        <w:softHyphen/>
        <w:t>ями, высокогорными нарушениями и гиповентиля</w:t>
        <w:softHyphen/>
        <w:t>цией (например, обструктивное апноэ во время сна).</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Хронические обструктивные заболевания легких яв</w:t>
        <w:softHyphen/>
        <w:t>ляются самой частой причиной вторичной легочной гипертензии. Другие нарушения, такие как обструк</w:t>
        <w:softHyphen/>
        <w:t>тивные сонные апноэ, нервно-мышечные нарушения и деформации грудной клетки, также могут привести к гипоксической легочной вазоконстрикции и в ко</w:t>
        <w:softHyphen/>
        <w:t>нечном счете вторичной легочной гипертензии.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Облитерация легочной сосудистой сети</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Разнообразные причины могут обусловить уменьше</w:t>
        <w:softHyphen/>
        <w:t>ние легочного сосудистого русла, прежде всего болез</w:t>
        <w:softHyphen/>
        <w:t>ни паренхимы легкого. Легочное артериальное давле - ние повышается тогда, когда уменьшение легочного сосудистого русла превышает 60% от общей легочной сосудистой сети.</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Пациенты с коллагенозами имеют высокую частоту вторичной легочной артериальной гипертензии, осо</w:t>
        <w:softHyphen/>
        <w:t xml:space="preserve">бенно с системной склеродермией или синдромом </w:t>
      </w:r>
      <w:r>
        <w:rPr>
          <w:lang w:val="en-US" w:eastAsia="en-US" w:bidi="en-US"/>
          <w:w w:val="100"/>
          <w:spacing w:val="0"/>
          <w:color w:val="000000"/>
          <w:position w:val="0"/>
        </w:rPr>
        <w:t xml:space="preserve">CREST </w:t>
      </w:r>
      <w:r>
        <w:rPr>
          <w:lang w:val="ru-RU" w:eastAsia="ru-RU" w:bidi="ru-RU"/>
          <w:w w:val="100"/>
          <w:spacing w:val="0"/>
          <w:color w:val="000000"/>
          <w:position w:val="0"/>
        </w:rPr>
        <w:t>(кальциноз кожи, феномен Рейно, наруше</w:t>
        <w:softHyphen/>
        <w:t>ние подвижности пищевода, склеродактилия, телеан</w:t>
        <w:softHyphen/>
        <w:t>гиэктазия).</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Повышение среднего давления в легочной артерии наблюдается при острой легочной эмболии. Однако систолическое давление обычно не выше 50 мм рт. ст. и нормализуется при адекватной терапии. Хроничес</w:t>
        <w:softHyphen/>
        <w:t>кая легочная эмболия, напротив, обычно приводит к прогрессирующей легочной гипертензии.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Перегрузка объемом и давлением</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pict>
          <v:shape id="_x0000_s1593" type="#_x0000_t75" style="position:absolute;margin-left:147.85pt;margin-top:740.2pt;width:209.75pt;height:14.9pt;z-index:-125828996;mso-wrap-distance-left:147.6pt;mso-wrap-distance-right:136.8pt;mso-wrap-distance-bottom:20.pt;mso-position-horizontal-relative:margin;mso-position-vertical-relative:margin" wrapcoords="0 0 21600 0 21600 21600 0 21600 0 0">
            <v:imagedata r:id="rId944" r:href="rId945"/>
            <w10:wrap type="topAndBottom" anchorx="margin" anchory="margin"/>
          </v:shape>
        </w:pict>
      </w:r>
      <w:r>
        <w:rPr>
          <w:lang w:val="ru-RU" w:eastAsia="ru-RU" w:bidi="ru-RU"/>
          <w:w w:val="100"/>
          <w:spacing w:val="0"/>
          <w:color w:val="000000"/>
          <w:position w:val="0"/>
        </w:rPr>
        <w:t>Недостаточность левого желудочка может привести к перегрузке легочного сосудистого русла объемом и давлением. Объемная перегрузка легких наблюда</w:t>
        <w:softHyphen/>
        <w:t>ется у больных ВПС с лево-правым шунтом, напри</w:t>
        <w:softHyphen/>
        <w:t>мер при септальных дефектах. Левопредсердная ги</w:t>
        <w:softHyphen/>
        <w:t>пертензия вызывает пассивное повышение легочного артериального систолического давления, чтобы под</w:t>
        <w:softHyphen/>
        <w:t>держать продвижение крови через сосудистую сеть легких. Постепенно может развиться постоянная ле</w:t>
        <w:softHyphen/>
        <w:t>гочная артериальная гипертензия, сопровождаемая васкулопатией. Это может наблюдаться при левоже-</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лудочковой дисфункции, патологии митрального клапана, констриктивном перикардите, аортальном стенозе и кардиомиопатиях.</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Легочная венозная обструкция — редкая причина ле</w:t>
        <w:softHyphen/>
        <w:t>гочной артериальной гипертензии. Она может на</w:t>
        <w:softHyphen/>
        <w:t>блюдаться при медиастинальном фиброзе, аномаль</w:t>
        <w:softHyphen/>
        <w:t>ном дренаже легочных вен или веноокклюзивной бо</w:t>
        <w:softHyphen/>
        <w:t>лезни легких.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Гистология</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Гистологические изменения у больных с вторичной ле</w:t>
        <w:softHyphen/>
        <w:t>гочной гипертензией аналогичны таковым при пер</w:t>
        <w:softHyphen/>
        <w:t>вичной гипертензии. Патологические изменения в ги</w:t>
        <w:softHyphen/>
        <w:t>стологической картине обусловлены длительно сущес</w:t>
        <w:softHyphen/>
        <w:t>твующей легочной гипертензией и, в меньшей степе</w:t>
        <w:softHyphen/>
        <w:t>ни, зависят от основной причины заболевания.</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Обычно выявляются плексиформные изменения, включая гипертрофию меди, эксцентричную или концентричную пролиферацию интимы, фиброз, фибриноидную дегенерацию и тромботическую арте- риопатию. В мелких сосудах легких могут обнаружи</w:t>
        <w:softHyphen/>
        <w:t>ваться свежие или организованные тромбы с рекана</w:t>
        <w:softHyphen/>
        <w:t>лизацией.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проявления вторичной легочной гипер</w:t>
        <w:softHyphen/>
        <w:t>тензии обычно маскируются симптомами основного забо</w:t>
        <w:softHyphen/>
        <w:t>левания. Анализ истории заболевания может помочь ис</w:t>
        <w:softHyphen/>
        <w:t>ключать некоторые из многочисленных причин вторичной легочной артериальной гипертензии. Важными признака</w:t>
        <w:softHyphen/>
        <w:t>ми для выявления вторичной легочной гипертензии явля</w:t>
        <w:softHyphen/>
        <w:t>ются динамика сердечного шума, тромбоз глубоких вен, ле</w:t>
        <w:softHyphen/>
        <w:t>гочная эмболия, феномен Рейно, артрит или артралгии, ге</w:t>
        <w:softHyphen/>
        <w:t>патит, тяжелый храп, дневная сонливость, утренние голов</w:t>
        <w:softHyphen/>
        <w:t>ные боли, ожирение, семейные формы легочной артери</w:t>
        <w:softHyphen/>
        <w:t>альной гипертензии.</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Пациенты с вторичной легочной гипертензией часто имеют неопределенные симптомы, которые отража</w:t>
        <w:softHyphen/>
        <w:t>ют основную болезнь.</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Другие симптомы:</w:t>
      </w:r>
    </w:p>
    <w:p>
      <w:pPr>
        <w:pStyle w:val="Style30"/>
        <w:numPr>
          <w:ilvl w:val="0"/>
          <w:numId w:val="117"/>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одышка при физической нагрузке;</w:t>
      </w:r>
    </w:p>
    <w:p>
      <w:pPr>
        <w:pStyle w:val="Style30"/>
        <w:numPr>
          <w:ilvl w:val="0"/>
          <w:numId w:val="117"/>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усталость;</w:t>
      </w:r>
    </w:p>
    <w:p>
      <w:pPr>
        <w:pStyle w:val="Style30"/>
        <w:numPr>
          <w:ilvl w:val="0"/>
          <w:numId w:val="117"/>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летаргия;</w:t>
      </w:r>
    </w:p>
    <w:p>
      <w:pPr>
        <w:pStyle w:val="Style30"/>
        <w:numPr>
          <w:ilvl w:val="0"/>
          <w:numId w:val="117"/>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обморок, связанный с физическим напряжением;</w:t>
      </w:r>
    </w:p>
    <w:p>
      <w:pPr>
        <w:pStyle w:val="Style30"/>
        <w:numPr>
          <w:ilvl w:val="0"/>
          <w:numId w:val="117"/>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боль в груди.</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Менее характерные симптомы:</w:t>
      </w:r>
    </w:p>
    <w:p>
      <w:pPr>
        <w:pStyle w:val="Style30"/>
        <w:numPr>
          <w:ilvl w:val="0"/>
          <w:numId w:val="117"/>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кашель;</w:t>
      </w:r>
    </w:p>
    <w:p>
      <w:pPr>
        <w:pStyle w:val="Style30"/>
        <w:numPr>
          <w:ilvl w:val="0"/>
          <w:numId w:val="117"/>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кровохарканье;</w:t>
      </w:r>
    </w:p>
    <w:p>
      <w:pPr>
        <w:pStyle w:val="Style30"/>
        <w:numPr>
          <w:ilvl w:val="0"/>
          <w:numId w:val="117"/>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дисфония, осиплость голоса (вследствие сжатия возвратного гортанного нерва расширенной легоч</w:t>
        <w:softHyphen/>
        <w:t>ной артерией).</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Типичная стенокардия напряжения наблюдается в 8,5% случаев при легочной гипертензии, вторичной к митральному стенозу. Наиболее вероятно она воз</w:t>
        <w:softHyphen/>
        <w:t>никает из-за растяжения легочной артерии и/или правожелудочковой ишемии.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Физикальные данные могут включать следующие при</w:t>
        <w:softHyphen/>
        <w:t>знаки:</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Интенсивность легочного компонента второго тона увеличена, выслушивается систолический шум из</w:t>
        <w:softHyphen/>
        <w:t>гнания в левой стернальной области. Может опреде</w:t>
        <w:softHyphen/>
        <w:t>ляться парадоксальное расщепление II тона. Пальпи</w:t>
        <w:softHyphen/>
        <w:t>руется пульсация правого желудочка.</w:t>
      </w:r>
    </w:p>
    <w:p>
      <w:pPr>
        <w:pStyle w:val="Style30"/>
        <w:numPr>
          <w:ilvl w:val="0"/>
          <w:numId w:val="115"/>
        </w:numPr>
        <w:tabs>
          <w:tab w:leader="none" w:pos="240"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 xml:space="preserve">Определяется увеличенная волна </w:t>
      </w:r>
      <w:r>
        <w:rPr>
          <w:rStyle w:val="CharStyle103"/>
        </w:rPr>
        <w:t>а</w:t>
      </w:r>
      <w:r>
        <w:rPr>
          <w:lang w:val="ru-RU" w:eastAsia="ru-RU" w:bidi="ru-RU"/>
          <w:w w:val="100"/>
          <w:spacing w:val="0"/>
          <w:color w:val="000000"/>
          <w:position w:val="0"/>
        </w:rPr>
        <w:t xml:space="preserve"> яремного венного пульса, правосторонний четвертый сердечный тон.</w:t>
      </w:r>
    </w:p>
    <w:p>
      <w:pPr>
        <w:pStyle w:val="Style30"/>
        <w:numPr>
          <w:ilvl w:val="0"/>
          <w:numId w:val="115"/>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Правожелудочковая сердечная недостаточность при</w:t>
        <w:softHyphen/>
        <w:t>водит к системной венозной гипертензии и легочно</w:t>
        <w:softHyphen/>
        <w:t>му сердцу. Определяются высокочастотный систоли</w:t>
        <w:softHyphen/>
        <w:t>ческий шум трикуспидальной недостаточности, гепа- томегалия, пульсация печени, асцит, периферические отеки, правожелудочковый третий тон.</w:t>
      </w:r>
    </w:p>
    <w:p>
      <w:pPr>
        <w:pStyle w:val="Style30"/>
        <w:numPr>
          <w:ilvl w:val="0"/>
          <w:numId w:val="115"/>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Обычно определяются признаки основного заболева</w:t>
        <w:softHyphen/>
        <w:t>ния: порок сердца, патология печени, легких, диф</w:t>
        <w:softHyphen/>
        <w:t>фузные заболевания соединительной ткани (коллаге- нозы).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115"/>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Содержание газов в артериальной крови свидетельст</w:t>
        <w:softHyphen/>
        <w:t>вует о наличии гипоксемии.</w:t>
      </w:r>
    </w:p>
    <w:p>
      <w:pPr>
        <w:pStyle w:val="Style30"/>
        <w:numPr>
          <w:ilvl w:val="0"/>
          <w:numId w:val="115"/>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Проводятся тесты на системное заболевание соеди</w:t>
        <w:softHyphen/>
        <w:t>нительной ткани (скорость оседания эритроцитов, ревматоидный фактор, антинуклеарные антитела).</w:t>
      </w:r>
    </w:p>
    <w:p>
      <w:pPr>
        <w:pStyle w:val="Style30"/>
        <w:numPr>
          <w:ilvl w:val="0"/>
          <w:numId w:val="115"/>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Проводятся тесты на синтетическую функцию пече</w:t>
        <w:softHyphen/>
        <w:t>ни (например, уровень альбумина, протромбина, би</w:t>
        <w:softHyphen/>
        <w:t>лирубина), которые свидетельствуют о ее поражении из-за портальной гипертензии.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 (рис. 80):</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Признаки перегрузки и гипертрофии правого же</w:t>
        <w:softHyphen/>
        <w:t>лудочка.</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Бивентрикулярная гипертрофия.</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Определяется отклонение электрической оси сердца вправо, соотношение </w:t>
      </w:r>
      <w:r>
        <w:rPr>
          <w:lang w:val="en-US" w:eastAsia="en-US" w:bidi="en-US"/>
          <w:w w:val="100"/>
          <w:spacing w:val="0"/>
          <w:color w:val="000000"/>
          <w:position w:val="0"/>
        </w:rPr>
        <w:t xml:space="preserve">R </w:t>
      </w:r>
      <w:r>
        <w:rPr>
          <w:lang w:val="ru-RU" w:eastAsia="ru-RU" w:bidi="ru-RU"/>
          <w:w w:val="100"/>
          <w:spacing w:val="0"/>
          <w:color w:val="000000"/>
          <w:position w:val="0"/>
        </w:rPr>
        <w:t xml:space="preserve">к </w:t>
      </w:r>
      <w:r>
        <w:rPr>
          <w:lang w:val="en-US" w:eastAsia="en-US" w:bidi="en-US"/>
          <w:w w:val="100"/>
          <w:spacing w:val="0"/>
          <w:color w:val="000000"/>
          <w:position w:val="0"/>
        </w:rPr>
        <w:t xml:space="preserve">S </w:t>
      </w:r>
      <w:r>
        <w:rPr>
          <w:lang w:val="ru-RU" w:eastAsia="ru-RU" w:bidi="ru-RU"/>
          <w:w w:val="100"/>
          <w:spacing w:val="0"/>
          <w:color w:val="000000"/>
          <w:position w:val="0"/>
        </w:rPr>
        <w:t xml:space="preserve">в отведении </w:t>
      </w:r>
      <w:r>
        <w:rPr>
          <w:lang w:val="en-US" w:eastAsia="en-US" w:bidi="en-US"/>
          <w:w w:val="100"/>
          <w:spacing w:val="0"/>
          <w:color w:val="000000"/>
          <w:position w:val="0"/>
        </w:rPr>
        <w:t>V</w:t>
      </w:r>
      <w:r>
        <w:rPr>
          <w:lang w:val="en-US" w:eastAsia="en-US" w:bidi="en-US"/>
          <w:vertAlign w:val="subscript"/>
          <w:w w:val="100"/>
          <w:spacing w:val="0"/>
          <w:color w:val="000000"/>
          <w:position w:val="0"/>
        </w:rPr>
        <w:t xml:space="preserve">1 </w:t>
      </w:r>
      <w:r>
        <w:rPr>
          <w:lang w:val="ru-RU" w:eastAsia="ru-RU" w:bidi="ru-RU"/>
          <w:w w:val="100"/>
          <w:spacing w:val="0"/>
          <w:color w:val="000000"/>
          <w:position w:val="0"/>
        </w:rPr>
        <w:t xml:space="preserve">больше 1, увеличена амплитуда зубца </w:t>
      </w:r>
      <w:r>
        <w:rPr>
          <w:lang w:val="en-US" w:eastAsia="en-US" w:bidi="en-US"/>
          <w:w w:val="100"/>
          <w:spacing w:val="0"/>
          <w:color w:val="000000"/>
          <w:position w:val="0"/>
        </w:rPr>
        <w:t xml:space="preserve">P, </w:t>
      </w:r>
      <w:r>
        <w:rPr>
          <w:lang w:val="ru-RU" w:eastAsia="ru-RU" w:bidi="ru-RU"/>
          <w:w w:val="100"/>
          <w:spacing w:val="0"/>
          <w:color w:val="000000"/>
          <w:position w:val="0"/>
        </w:rPr>
        <w:t>неполная или полная блокада правой ножки пучка Гиса.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Выявляются признаки хронического повышения давления в правом желудочке: увеличение толщи</w:t>
        <w:softHyphen/>
        <w:t>ны стенок, парадоксальное выбухание перегород</w:t>
        <w:softHyphen/>
        <w:t>ки в левый желудочек во время систолы.</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 поздних стадиях заболевания выявляются ди</w:t>
        <w:softHyphen/>
        <w:t>латация правого желудочка, гипокинезия его сте</w:t>
        <w:softHyphen/>
        <w:t>нок.</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Определяются признаки дилатации правого желу</w:t>
        <w:softHyphen/>
        <w:t>дочка и трикуспидальная регургитация.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Обычно у пациентов с вторичной легочной гипер</w:t>
        <w:softHyphen/>
        <w:t>тензией определяются расширение центральных легочных артерий, обеднение периферической ва</w:t>
        <w:softHyphen/>
        <w:t>скуляризации и гиповолемия легочных полей.</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Дилатация правого желудочка и правого предсердия.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Допплерэхокардиография:</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Допплерэхокардиография — надежный неинва</w:t>
        <w:softHyphen/>
        <w:t>зивный метод оценки легочного артериального давления.</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Давление в легочной артерии определяют по трику</w:t>
        <w:softHyphen/>
        <w:t>спидальному регургитантному потоку с помощью модифицированного уравнения Бернулли. Воз</w:t>
        <w:softHyphen/>
        <w:t>можности данного метода ограничены у больных с хроническими обструктивными заболеваниями легких из-за узкого акустического пространства.</w:t>
      </w:r>
    </w:p>
    <w:p>
      <w:pPr>
        <w:pStyle w:val="Style30"/>
        <w:numPr>
          <w:ilvl w:val="0"/>
          <w:numId w:val="115"/>
        </w:numPr>
        <w:tabs>
          <w:tab w:leader="none" w:pos="516" w:val="left"/>
        </w:tabs>
        <w:widowControl w:val="0"/>
        <w:keepNext w:val="0"/>
        <w:keepLines w:val="0"/>
        <w:shd w:val="clear" w:color="auto" w:fill="auto"/>
        <w:bidi w:val="0"/>
        <w:spacing w:before="0" w:after="0"/>
        <w:ind w:left="500" w:right="0" w:hanging="220"/>
      </w:pPr>
      <w:r>
        <w:pict>
          <v:shape id="_x0000_s1594" type="#_x0000_t75" style="position:absolute;margin-left:136.8pt;margin-top:740.2pt;width:209.75pt;height:14.9pt;z-index:-125828995;mso-wrap-distance-left:136.8pt;mso-wrap-distance-right:148.1pt;mso-wrap-distance-bottom:20.pt;mso-position-horizontal-relative:margin;mso-position-vertical-relative:margin" wrapcoords="0 0 21600 0 21600 21600 0 21600 0 0">
            <v:imagedata r:id="rId946" r:href="rId947"/>
            <w10:wrap type="topAndBottom" anchorx="margin" anchory="margin"/>
          </v:shape>
        </w:pict>
      </w:r>
      <w:r>
        <w:rPr>
          <w:lang w:val="ru-RU" w:eastAsia="ru-RU" w:bidi="ru-RU"/>
          <w:w w:val="100"/>
          <w:spacing w:val="0"/>
          <w:color w:val="000000"/>
          <w:position w:val="0"/>
        </w:rPr>
        <w:t>Трикуспидальная регургитация выявляется у 90% больных с вторичной легочной артериальной ги</w:t>
        <w:softHyphen/>
        <w:t>пертензией, расчетная величина давления в легоч</w:t>
        <w:softHyphen/>
        <w:t>ной артерии в 95% случаев совпадает с данными, полученными при катетеризации.</w:t>
      </w:r>
      <w:r>
        <w:br w:type="page"/>
      </w:r>
    </w:p>
    <w:p>
      <w:pPr>
        <w:pStyle w:val="Style30"/>
        <w:widowControl w:val="0"/>
        <w:keepNext w:val="0"/>
        <w:keepLines w:val="0"/>
        <w:shd w:val="clear" w:color="auto" w:fill="auto"/>
        <w:bidi w:val="0"/>
        <w:spacing w:before="0" w:after="0" w:line="221" w:lineRule="exact"/>
        <w:ind w:left="0" w:right="0" w:firstLine="280"/>
      </w:pPr>
      <w:r>
        <w:pict>
          <v:shape id="_x0000_s1595" type="#_x0000_t202" style="position:absolute;margin-left:5.e-002pt;margin-top:27.85pt;width:157.2pt;height:100.55pt;z-index:-125828994;mso-wrap-distance-left:5.pt;mso-wrap-distance-right:5.pt;mso-position-horizontal-relative:margin;mso-position-vertical-relative:margin" filled="f" stroked="f">
            <v:textbox style="mso-fit-shape-to-text:t" inset="0,0,0,0">
              <w:txbxContent>
                <w:p>
                  <w:pPr>
                    <w:pStyle w:val="Style33"/>
                    <w:widowControl w:val="0"/>
                    <w:keepNext w:val="0"/>
                    <w:keepLines w:val="0"/>
                    <w:shd w:val="clear" w:color="auto" w:fill="auto"/>
                    <w:bidi w:val="0"/>
                    <w:jc w:val="both"/>
                    <w:spacing w:before="0" w:after="0" w:line="192" w:lineRule="exact"/>
                    <w:ind w:left="0" w:right="0" w:firstLine="0"/>
                  </w:pPr>
                  <w:r>
                    <w:rPr>
                      <w:rStyle w:val="CharStyle34"/>
                    </w:rPr>
                    <w:t>Рис. 80. ЭКГ при высокой легочной гипер</w:t>
                    <w:softHyphen/>
                    <w:t>тензии у ребенка с врожденным пороком сердца (дефект аортолегочной перегород</w:t>
                    <w:softHyphen/>
                    <w:t>ки): признаки комбинированной гипер</w:t>
                    <w:softHyphen/>
                    <w:t>трофии миокарда желудочков; электричес</w:t>
                    <w:softHyphen/>
                    <w:t xml:space="preserve">кая ось сердца отклонена вправо (угол </w:t>
                  </w:r>
                  <w:r>
                    <w:rPr>
                      <w:rStyle w:val="CharStyle34"/>
                      <w:lang w:val="en-US" w:eastAsia="en-US" w:bidi="en-US"/>
                    </w:rPr>
                    <w:t xml:space="preserve">A QRS+112°), </w:t>
                  </w:r>
                  <w:r>
                    <w:rPr>
                      <w:rStyle w:val="CharStyle34"/>
                    </w:rPr>
                    <w:t xml:space="preserve">высокоамплитудные зубцы </w:t>
                  </w:r>
                  <w:r>
                    <w:rPr>
                      <w:rStyle w:val="CharStyle34"/>
                      <w:lang w:val="en-US" w:eastAsia="en-US" w:bidi="en-US"/>
                    </w:rPr>
                    <w:t>R Vj_</w:t>
                  </w:r>
                  <w:r>
                    <w:rPr>
                      <w:rStyle w:val="CharStyle34"/>
                      <w:lang w:val="en-US" w:eastAsia="en-US" w:bidi="en-US"/>
                      <w:vertAlign w:val="subscript"/>
                    </w:rPr>
                    <w:t>2</w:t>
                  </w:r>
                  <w:r>
                    <w:rPr>
                      <w:rStyle w:val="CharStyle34"/>
                      <w:lang w:val="en-US" w:eastAsia="en-US" w:bidi="en-US"/>
                    </w:rPr>
                    <w:t xml:space="preserve">, aVF </w:t>
                  </w:r>
                  <w:r>
                    <w:rPr>
                      <w:rStyle w:val="CharStyle34"/>
                    </w:rPr>
                    <w:t xml:space="preserve">(признаки гипертрофии правого желудочка), </w:t>
                  </w:r>
                  <w:r>
                    <w:rPr>
                      <w:rStyle w:val="CharStyle34"/>
                      <w:lang w:val="en-US" w:eastAsia="en-US" w:bidi="en-US"/>
                    </w:rPr>
                    <w:t>RV6&gt;RV</w:t>
                  </w:r>
                  <w:r>
                    <w:rPr>
                      <w:rStyle w:val="CharStyle34"/>
                      <w:lang w:val="en-US" w:eastAsia="en-US" w:bidi="en-US"/>
                      <w:vertAlign w:val="subscript"/>
                    </w:rPr>
                    <w:t>5</w:t>
                  </w:r>
                  <w:r>
                    <w:rPr>
                      <w:rStyle w:val="CharStyle34"/>
                      <w:lang w:val="en-US" w:eastAsia="en-US" w:bidi="en-US"/>
                    </w:rPr>
                    <w:t xml:space="preserve">, </w:t>
                  </w:r>
                  <w:r>
                    <w:rPr>
                      <w:rStyle w:val="CharStyle34"/>
                    </w:rPr>
                    <w:t xml:space="preserve">глубокий </w:t>
                  </w:r>
                  <w:r>
                    <w:rPr>
                      <w:rStyle w:val="CharStyle34"/>
                      <w:lang w:val="en-US" w:eastAsia="en-US" w:bidi="en-US"/>
                    </w:rPr>
                    <w:t>Q V</w:t>
                  </w:r>
                  <w:r>
                    <w:rPr>
                      <w:rStyle w:val="CharStyle34"/>
                      <w:lang w:val="en-US" w:eastAsia="en-US" w:bidi="en-US"/>
                      <w:vertAlign w:val="subscript"/>
                    </w:rPr>
                    <w:t>4-</w:t>
                  </w:r>
                  <w:r>
                    <w:rPr>
                      <w:rStyle w:val="CharStyle34"/>
                      <w:lang w:val="en-US" w:eastAsia="en-US" w:bidi="en-US"/>
                    </w:rPr>
                    <w:t xml:space="preserve">6 </w:t>
                  </w:r>
                  <w:r>
                    <w:rPr>
                      <w:rStyle w:val="CharStyle34"/>
                    </w:rPr>
                    <w:t>(признак гипертрофии левого желудочка).</w:t>
                  </w:r>
                </w:p>
              </w:txbxContent>
            </v:textbox>
            <w10:wrap type="topAndBottom" anchorx="margin" anchory="margin"/>
          </v:shape>
        </w:pict>
      </w:r>
      <w:r>
        <w:pict>
          <v:shape id="_x0000_s1596" type="#_x0000_t75" style="position:absolute;margin-left:176.7pt;margin-top:7.95pt;width:313.45pt;height:216.5pt;z-index:-125828993;mso-wrap-distance-left:5.pt;mso-wrap-distance-right:5.pt;mso-position-horizontal-relative:margin;mso-position-vertical-relative:margin">
            <v:imagedata r:id="rId948" r:href="rId949"/>
            <w10:wrap type="topAndBottom" anchorx="margin" anchory="margin"/>
          </v:shape>
        </w:pict>
      </w:r>
      <w:r>
        <w:rPr>
          <w:lang w:val="ru-RU" w:eastAsia="ru-RU" w:bidi="ru-RU"/>
          <w:w w:val="100"/>
          <w:spacing w:val="0"/>
          <w:color w:val="000000"/>
          <w:position w:val="0"/>
        </w:rPr>
        <w:t>Перфузионно-вентиляционная сцинтиграфия легких:</w:t>
      </w:r>
    </w:p>
    <w:p>
      <w:pPr>
        <w:pStyle w:val="Style30"/>
        <w:numPr>
          <w:ilvl w:val="0"/>
          <w:numId w:val="115"/>
        </w:numPr>
        <w:tabs>
          <w:tab w:leader="none" w:pos="760" w:val="left"/>
        </w:tabs>
        <w:widowControl w:val="0"/>
        <w:keepNext w:val="0"/>
        <w:keepLines w:val="0"/>
        <w:shd w:val="clear" w:color="auto" w:fill="auto"/>
        <w:bidi w:val="0"/>
        <w:spacing w:before="0" w:after="0" w:line="221" w:lineRule="exact"/>
        <w:ind w:left="740" w:right="0" w:hanging="240"/>
      </w:pPr>
      <w:r>
        <w:rPr>
          <w:lang w:val="ru-RU" w:eastAsia="ru-RU" w:bidi="ru-RU"/>
          <w:w w:val="100"/>
          <w:spacing w:val="0"/>
          <w:color w:val="000000"/>
          <w:position w:val="0"/>
        </w:rPr>
        <w:t>Проводится для исключения легочной гипертен</w:t>
        <w:softHyphen/>
        <w:t>зии в результате хронической тромбоэмболии.</w:t>
      </w:r>
    </w:p>
    <w:p>
      <w:pPr>
        <w:pStyle w:val="Style30"/>
        <w:numPr>
          <w:ilvl w:val="0"/>
          <w:numId w:val="115"/>
        </w:numPr>
        <w:tabs>
          <w:tab w:leader="none" w:pos="760" w:val="left"/>
        </w:tabs>
        <w:widowControl w:val="0"/>
        <w:keepNext w:val="0"/>
        <w:keepLines w:val="0"/>
        <w:shd w:val="clear" w:color="auto" w:fill="auto"/>
        <w:bidi w:val="0"/>
        <w:spacing w:before="0" w:after="0" w:line="221" w:lineRule="exact"/>
        <w:ind w:left="740" w:right="0" w:hanging="240"/>
      </w:pPr>
      <w:r>
        <w:rPr>
          <w:lang w:val="ru-RU" w:eastAsia="ru-RU" w:bidi="ru-RU"/>
          <w:w w:val="100"/>
          <w:spacing w:val="0"/>
          <w:color w:val="000000"/>
          <w:position w:val="0"/>
        </w:rPr>
        <w:t>При вторичной легочной гипертензии определяют</w:t>
        <w:softHyphen/>
        <w:t>ся сегментарные или субсегментарные дефекты перфузии легких, не характерные для первичной легочной гипертензии, при которой обнаруживают</w:t>
        <w:softHyphen/>
        <w:t>ся диффузные мелкопятнистые дефекты перфузии.</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Легочные функциональные тесты:</w:t>
      </w:r>
    </w:p>
    <w:p>
      <w:pPr>
        <w:pStyle w:val="Style30"/>
        <w:numPr>
          <w:ilvl w:val="0"/>
          <w:numId w:val="115"/>
        </w:numPr>
        <w:tabs>
          <w:tab w:leader="none" w:pos="760" w:val="left"/>
        </w:tabs>
        <w:widowControl w:val="0"/>
        <w:keepNext w:val="0"/>
        <w:keepLines w:val="0"/>
        <w:shd w:val="clear" w:color="auto" w:fill="auto"/>
        <w:bidi w:val="0"/>
        <w:spacing w:before="0" w:after="0" w:line="221" w:lineRule="exact"/>
        <w:ind w:left="740" w:right="0" w:hanging="240"/>
      </w:pPr>
      <w:r>
        <w:rPr>
          <w:lang w:val="ru-RU" w:eastAsia="ru-RU" w:bidi="ru-RU"/>
          <w:w w:val="100"/>
          <w:spacing w:val="0"/>
          <w:color w:val="000000"/>
          <w:position w:val="0"/>
        </w:rPr>
        <w:t>Спирометрия позволяет выявить обструктивные и/или рестриктивные нарушения, характерные для больных с хроническими бронхолегочными заболеваниями.</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Правосторонняя катетеризация сердца:</w:t>
      </w:r>
    </w:p>
    <w:p>
      <w:pPr>
        <w:pStyle w:val="Style30"/>
        <w:numPr>
          <w:ilvl w:val="0"/>
          <w:numId w:val="115"/>
        </w:numPr>
        <w:tabs>
          <w:tab w:leader="none" w:pos="760" w:val="left"/>
        </w:tabs>
        <w:widowControl w:val="0"/>
        <w:keepNext w:val="0"/>
        <w:keepLines w:val="0"/>
        <w:shd w:val="clear" w:color="auto" w:fill="auto"/>
        <w:bidi w:val="0"/>
        <w:spacing w:before="0" w:after="0" w:line="221" w:lineRule="exact"/>
        <w:ind w:left="740" w:right="0" w:hanging="240"/>
      </w:pPr>
      <w:r>
        <w:rPr>
          <w:lang w:val="ru-RU" w:eastAsia="ru-RU" w:bidi="ru-RU"/>
          <w:w w:val="100"/>
          <w:spacing w:val="0"/>
          <w:color w:val="000000"/>
          <w:position w:val="0"/>
        </w:rPr>
        <w:t>Правосторонняя катетеризация сердца является стандартной диагностической процедурой для вы</w:t>
        <w:softHyphen/>
        <w:t>явления величины давления в легочной артерии, исключения левожелудочковой дисфункции и внутрисердечных шунтов.</w:t>
      </w:r>
    </w:p>
    <w:p>
      <w:pPr>
        <w:pStyle w:val="Style30"/>
        <w:numPr>
          <w:ilvl w:val="0"/>
          <w:numId w:val="115"/>
        </w:numPr>
        <w:tabs>
          <w:tab w:leader="none" w:pos="760" w:val="left"/>
        </w:tabs>
        <w:widowControl w:val="0"/>
        <w:keepNext w:val="0"/>
        <w:keepLines w:val="0"/>
        <w:shd w:val="clear" w:color="auto" w:fill="auto"/>
        <w:bidi w:val="0"/>
        <w:spacing w:before="0" w:after="0" w:line="221" w:lineRule="exact"/>
        <w:ind w:left="740" w:right="0" w:hanging="240"/>
      </w:pPr>
      <w:r>
        <w:rPr>
          <w:lang w:val="ru-RU" w:eastAsia="ru-RU" w:bidi="ru-RU"/>
          <w:w w:val="100"/>
          <w:spacing w:val="0"/>
          <w:color w:val="000000"/>
          <w:position w:val="0"/>
        </w:rPr>
        <w:t>Показаниями для проведения правосторонней ка</w:t>
        <w:softHyphen/>
        <w:t>тетеризации сердца у больных с вторичной легоч</w:t>
        <w:softHyphen/>
        <w:t>ной гипертензией являются:</w:t>
      </w:r>
    </w:p>
    <w:p>
      <w:pPr>
        <w:pStyle w:val="Style30"/>
        <w:numPr>
          <w:ilvl w:val="0"/>
          <w:numId w:val="117"/>
        </w:numPr>
        <w:tabs>
          <w:tab w:leader="none" w:pos="942" w:val="left"/>
        </w:tabs>
        <w:widowControl w:val="0"/>
        <w:keepNext w:val="0"/>
        <w:keepLines w:val="0"/>
        <w:shd w:val="clear" w:color="auto" w:fill="auto"/>
        <w:bidi w:val="0"/>
        <w:spacing w:before="0" w:after="0" w:line="221" w:lineRule="exact"/>
        <w:ind w:left="740" w:right="0" w:firstLine="0"/>
      </w:pPr>
      <w:r>
        <w:rPr>
          <w:lang w:val="ru-RU" w:eastAsia="ru-RU" w:bidi="ru-RU"/>
          <w:w w:val="100"/>
          <w:spacing w:val="0"/>
          <w:color w:val="000000"/>
          <w:position w:val="0"/>
        </w:rPr>
        <w:t>невозможность определения легочного артери</w:t>
        <w:softHyphen/>
        <w:t>ального давления с помощью допплерэхокардио</w:t>
        <w:softHyphen/>
        <w:t>графии;</w:t>
      </w:r>
    </w:p>
    <w:p>
      <w:pPr>
        <w:pStyle w:val="Style30"/>
        <w:numPr>
          <w:ilvl w:val="0"/>
          <w:numId w:val="117"/>
        </w:numPr>
        <w:tabs>
          <w:tab w:leader="none" w:pos="942" w:val="left"/>
        </w:tabs>
        <w:widowControl w:val="0"/>
        <w:keepNext w:val="0"/>
        <w:keepLines w:val="0"/>
        <w:shd w:val="clear" w:color="auto" w:fill="auto"/>
        <w:bidi w:val="0"/>
        <w:spacing w:before="0" w:after="0" w:line="221" w:lineRule="exact"/>
        <w:ind w:left="740" w:right="0" w:firstLine="0"/>
      </w:pPr>
      <w:r>
        <w:rPr>
          <w:lang w:val="ru-RU" w:eastAsia="ru-RU" w:bidi="ru-RU"/>
          <w:w w:val="100"/>
          <w:spacing w:val="0"/>
          <w:color w:val="000000"/>
          <w:position w:val="0"/>
        </w:rPr>
        <w:t>определение реактивности легочных сосудов при остром фармакологическом тестировании для подбора эффективных вазодилататоров.</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Терапевтическая коррекция вторичной легочной гипер</w:t>
        <w:softHyphen/>
        <w:t>тензии прежде всего должна быть направлена на лечение основной болезни. Эффективная терапия должна быть на</w:t>
        <w:softHyphen/>
        <w:t>значена на начальных стадиях прежде, чем возникнут необ</w:t>
        <w:softHyphen/>
        <w:t>ратимые изменения в легочной сосудистой сети. Методы коррекции вторичной легочной гипертензии включают: хи</w:t>
        <w:softHyphen/>
        <w:t>рургическую коррекцию, специфическую медикаментоз</w:t>
        <w:softHyphen/>
        <w:t>ную терапию и общую поддерживающую терапию.</w:t>
      </w:r>
    </w:p>
    <w:p>
      <w:pPr>
        <w:pStyle w:val="Style30"/>
        <w:widowControl w:val="0"/>
        <w:keepNext w:val="0"/>
        <w:keepLines w:val="0"/>
        <w:shd w:val="clear" w:color="auto" w:fill="auto"/>
        <w:bidi w:val="0"/>
        <w:spacing w:before="0" w:after="0" w:line="221" w:lineRule="exact"/>
        <w:ind w:left="0" w:right="0" w:firstLine="280"/>
      </w:pPr>
      <w:r>
        <w:rPr>
          <w:lang w:val="ru-RU" w:eastAsia="ru-RU" w:bidi="ru-RU"/>
          <w:w w:val="100"/>
          <w:spacing w:val="0"/>
          <w:color w:val="000000"/>
          <w:position w:val="0"/>
        </w:rPr>
        <w:t>Хирургическая коррекция и специфическая медикамен</w:t>
        <w:softHyphen/>
        <w:t>тозная терапия необходимы при таких состояниях, как де</w:t>
        <w:softHyphen/>
        <w:br w:type="column"/>
        <w:t>фект межпредсердной перегородки, митральный стеноз, сонные апноэ, хроническая эмболия легочной артерии. Под</w:t>
        <w:softHyphen/>
        <w:t>держивающая терапия назначается больным, у которых про</w:t>
        <w:softHyphen/>
        <w:t>ведение хирургической коррекции не представляется воз</w:t>
        <w:softHyphen/>
        <w:t>можным, и больным с необратимыми склеротическими из</w:t>
        <w:softHyphen/>
        <w:t>менениями в легочных сосудах. Обычно поддерживающая терапия включает следующие основные пути коррекции. Кислородотерапия:</w:t>
      </w:r>
    </w:p>
    <w:p>
      <w:pPr>
        <w:pStyle w:val="Style30"/>
        <w:numPr>
          <w:ilvl w:val="0"/>
          <w:numId w:val="11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Назначение кислорода оказывает благоприятный ре</w:t>
        <w:softHyphen/>
        <w:t>зультат при вторичной легочной гипертензии, обус</w:t>
        <w:softHyphen/>
        <w:t>ловленной хроническими обструктивными бронхо</w:t>
        <w:softHyphen/>
        <w:t>легочными заболеваниями. Сравнительные исследо</w:t>
        <w:softHyphen/>
        <w:t>вания свидетельствуют о более длительной выживае</w:t>
        <w:softHyphen/>
        <w:t>мости и меньшей частоте летальности у пациентов с хроническими бронхолегочными заболеваниями, получавших ингаляции кислорода.</w:t>
      </w:r>
    </w:p>
    <w:p>
      <w:pPr>
        <w:pStyle w:val="Style30"/>
        <w:numPr>
          <w:ilvl w:val="0"/>
          <w:numId w:val="11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Назначение кислорода также оказывает положитель</w:t>
        <w:softHyphen/>
        <w:t>ный результат при других формах вторичной легоч</w:t>
        <w:softHyphen/>
        <w:t xml:space="preserve">ной гипертензии, особенно если </w:t>
      </w:r>
      <w:r>
        <w:rPr>
          <w:lang w:val="en-US" w:eastAsia="en-US" w:bidi="en-US"/>
          <w:w w:val="100"/>
          <w:spacing w:val="0"/>
          <w:color w:val="000000"/>
          <w:position w:val="0"/>
        </w:rPr>
        <w:t>PaO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менее 55 мм рт. ст. в покое или происходит десатурация при выполне</w:t>
        <w:softHyphen/>
        <w:t>нии физических нагрузок.</w:t>
      </w:r>
    </w:p>
    <w:p>
      <w:pPr>
        <w:pStyle w:val="Style30"/>
        <w:numPr>
          <w:ilvl w:val="0"/>
          <w:numId w:val="11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Медицинские показания для длительной кислородо - терапии следующие:</w:t>
      </w:r>
    </w:p>
    <w:p>
      <w:pPr>
        <w:pStyle w:val="Style30"/>
        <w:numPr>
          <w:ilvl w:val="0"/>
          <w:numId w:val="117"/>
        </w:numPr>
        <w:tabs>
          <w:tab w:leader="none" w:pos="80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артериальное </w:t>
      </w:r>
      <w:r>
        <w:rPr>
          <w:lang w:val="en-US" w:eastAsia="en-US" w:bidi="en-US"/>
          <w:w w:val="100"/>
          <w:spacing w:val="0"/>
          <w:color w:val="000000"/>
          <w:position w:val="0"/>
        </w:rPr>
        <w:t>PaO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меньше 55 мм рт. ст., артериаль</w:t>
        <w:softHyphen/>
        <w:t xml:space="preserve">ная сатурация кислорода </w:t>
      </w:r>
      <w:r>
        <w:rPr>
          <w:lang w:val="en-US" w:eastAsia="en-US" w:bidi="en-US"/>
          <w:w w:val="100"/>
          <w:spacing w:val="0"/>
          <w:color w:val="000000"/>
          <w:position w:val="0"/>
        </w:rPr>
        <w:t>(SaO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меньше 88%;</w:t>
      </w:r>
    </w:p>
    <w:p>
      <w:pPr>
        <w:pStyle w:val="Style30"/>
        <w:numPr>
          <w:ilvl w:val="0"/>
          <w:numId w:val="117"/>
        </w:numPr>
        <w:tabs>
          <w:tab w:leader="none" w:pos="802" w:val="left"/>
        </w:tabs>
        <w:widowControl w:val="0"/>
        <w:keepNext w:val="0"/>
        <w:keepLines w:val="0"/>
        <w:shd w:val="clear" w:color="auto" w:fill="auto"/>
        <w:bidi w:val="0"/>
        <w:spacing w:before="0" w:after="0" w:line="221" w:lineRule="exact"/>
        <w:ind w:left="740" w:right="0" w:hanging="220"/>
      </w:pPr>
      <w:r>
        <w:rPr>
          <w:lang w:val="en-US" w:eastAsia="en-US" w:bidi="en-US"/>
          <w:w w:val="100"/>
          <w:spacing w:val="0"/>
          <w:color w:val="000000"/>
          <w:position w:val="0"/>
        </w:rPr>
        <w:t>PaO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xml:space="preserve">56-59 мм рт. ст. или </w:t>
      </w:r>
      <w:r>
        <w:rPr>
          <w:lang w:val="en-US" w:eastAsia="en-US" w:bidi="en-US"/>
          <w:w w:val="100"/>
          <w:spacing w:val="0"/>
          <w:color w:val="000000"/>
          <w:position w:val="0"/>
        </w:rPr>
        <w:t>SaO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меньше 89% при на</w:t>
        <w:softHyphen/>
        <w:t xml:space="preserve">личии </w:t>
      </w:r>
      <w:r>
        <w:rPr>
          <w:lang w:val="en-US" w:eastAsia="en-US" w:bidi="en-US"/>
          <w:w w:val="100"/>
          <w:spacing w:val="0"/>
          <w:color w:val="000000"/>
          <w:position w:val="0"/>
        </w:rPr>
        <w:t xml:space="preserve">cor pulmonale, </w:t>
      </w:r>
      <w:r>
        <w:rPr>
          <w:lang w:val="ru-RU" w:eastAsia="ru-RU" w:bidi="ru-RU"/>
          <w:w w:val="100"/>
          <w:spacing w:val="0"/>
          <w:color w:val="000000"/>
          <w:position w:val="0"/>
        </w:rPr>
        <w:t>правожелудочковой недоста</w:t>
        <w:softHyphen/>
        <w:t>точности или эритроцитоза (гематокрит &gt;55%);</w:t>
      </w:r>
    </w:p>
    <w:p>
      <w:pPr>
        <w:pStyle w:val="Style30"/>
        <w:numPr>
          <w:ilvl w:val="0"/>
          <w:numId w:val="117"/>
        </w:numPr>
        <w:tabs>
          <w:tab w:leader="none" w:pos="802" w:val="left"/>
        </w:tabs>
        <w:widowControl w:val="0"/>
        <w:keepNext w:val="0"/>
        <w:keepLines w:val="0"/>
        <w:shd w:val="clear" w:color="auto" w:fill="auto"/>
        <w:bidi w:val="0"/>
        <w:spacing w:before="0" w:after="0" w:line="221" w:lineRule="exact"/>
        <w:ind w:left="740" w:right="0" w:hanging="220"/>
      </w:pPr>
      <w:r>
        <w:rPr>
          <w:lang w:val="ru-RU" w:eastAsia="ru-RU" w:bidi="ru-RU"/>
          <w:w w:val="100"/>
          <w:spacing w:val="0"/>
          <w:color w:val="000000"/>
          <w:position w:val="0"/>
        </w:rPr>
        <w:t>ночные ингаляции кислорода показаны пациен</w:t>
        <w:softHyphen/>
        <w:t>там с сонными апноэ, если:</w:t>
      </w:r>
    </w:p>
    <w:p>
      <w:pPr>
        <w:pStyle w:val="Style30"/>
        <w:numPr>
          <w:ilvl w:val="0"/>
          <w:numId w:val="117"/>
        </w:numPr>
        <w:tabs>
          <w:tab w:leader="none" w:pos="942" w:val="left"/>
        </w:tabs>
        <w:widowControl w:val="0"/>
        <w:keepNext w:val="0"/>
        <w:keepLines w:val="0"/>
        <w:shd w:val="clear" w:color="auto" w:fill="auto"/>
        <w:bidi w:val="0"/>
        <w:spacing w:before="0" w:after="0" w:line="221" w:lineRule="exact"/>
        <w:ind w:left="740" w:right="0" w:firstLine="0"/>
      </w:pPr>
      <w:r>
        <w:rPr>
          <w:lang w:val="en-US" w:eastAsia="en-US" w:bidi="en-US"/>
          <w:w w:val="100"/>
          <w:spacing w:val="0"/>
          <w:color w:val="000000"/>
          <w:position w:val="0"/>
        </w:rPr>
        <w:t>PaO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xml:space="preserve">55 мм рт. ст. или меньше, </w:t>
      </w:r>
      <w:r>
        <w:rPr>
          <w:lang w:val="en-US" w:eastAsia="en-US" w:bidi="en-US"/>
          <w:w w:val="100"/>
          <w:spacing w:val="0"/>
          <w:color w:val="000000"/>
          <w:position w:val="0"/>
        </w:rPr>
        <w:t>SaO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xml:space="preserve">88% или меньше, снижение </w:t>
      </w:r>
      <w:r>
        <w:rPr>
          <w:lang w:val="en-US" w:eastAsia="en-US" w:bidi="en-US"/>
          <w:w w:val="100"/>
          <w:spacing w:val="0"/>
          <w:color w:val="000000"/>
          <w:position w:val="0"/>
        </w:rPr>
        <w:t>PaO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на 10 мм рт. ст. или сниже</w:t>
        <w:softHyphen/>
        <w:t xml:space="preserve">ние </w:t>
      </w:r>
      <w:r>
        <w:rPr>
          <w:lang w:val="en-US" w:eastAsia="en-US" w:bidi="en-US"/>
          <w:w w:val="100"/>
          <w:spacing w:val="0"/>
          <w:color w:val="000000"/>
          <w:position w:val="0"/>
        </w:rPr>
        <w:t>SaO</w:t>
      </w:r>
      <w:r>
        <w:rPr>
          <w:rStyle w:val="CharStyle32"/>
          <w:lang w:val="en-US" w:eastAsia="en-US" w:bidi="en-US"/>
        </w:rPr>
        <w:t>2</w:t>
      </w:r>
      <w:r>
        <w:rPr>
          <w:lang w:val="en-US" w:eastAsia="en-US" w:bidi="en-US"/>
          <w:w w:val="100"/>
          <w:spacing w:val="0"/>
          <w:color w:val="000000"/>
          <w:position w:val="0"/>
        </w:rPr>
        <w:t xml:space="preserve"> </w:t>
      </w:r>
      <w:r>
        <w:rPr>
          <w:lang w:val="ru-RU" w:eastAsia="ru-RU" w:bidi="ru-RU"/>
          <w:w w:val="100"/>
          <w:spacing w:val="0"/>
          <w:color w:val="000000"/>
          <w:position w:val="0"/>
        </w:rPr>
        <w:t>более чем на 5% во время сна;</w:t>
      </w:r>
    </w:p>
    <w:p>
      <w:pPr>
        <w:pStyle w:val="Style30"/>
        <w:numPr>
          <w:ilvl w:val="0"/>
          <w:numId w:val="117"/>
        </w:numPr>
        <w:tabs>
          <w:tab w:leader="none" w:pos="938" w:val="left"/>
        </w:tabs>
        <w:widowControl w:val="0"/>
        <w:keepNext w:val="0"/>
        <w:keepLines w:val="0"/>
        <w:shd w:val="clear" w:color="auto" w:fill="auto"/>
        <w:bidi w:val="0"/>
        <w:spacing w:before="0" w:after="0" w:line="221" w:lineRule="exact"/>
        <w:ind w:left="740" w:right="0" w:firstLine="0"/>
      </w:pPr>
      <w:r>
        <w:rPr>
          <w:lang w:val="ru-RU" w:eastAsia="ru-RU" w:bidi="ru-RU"/>
          <w:w w:val="100"/>
          <w:spacing w:val="0"/>
          <w:color w:val="000000"/>
          <w:position w:val="0"/>
        </w:rPr>
        <w:t xml:space="preserve">снижение </w:t>
      </w:r>
      <w:r>
        <w:rPr>
          <w:lang w:val="en-US" w:eastAsia="en-US" w:bidi="en-US"/>
          <w:w w:val="100"/>
          <w:spacing w:val="0"/>
          <w:color w:val="000000"/>
          <w:position w:val="0"/>
        </w:rPr>
        <w:t>PaO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xml:space="preserve">на 55 мм рт. ст. и меньше или </w:t>
      </w:r>
      <w:r>
        <w:rPr>
          <w:lang w:val="en-US" w:eastAsia="en-US" w:bidi="en-US"/>
          <w:w w:val="100"/>
          <w:spacing w:val="0"/>
          <w:color w:val="000000"/>
          <w:position w:val="0"/>
        </w:rPr>
        <w:t>SaO</w:t>
      </w:r>
      <w:r>
        <w:rPr>
          <w:lang w:val="en-US" w:eastAsia="en-US" w:bidi="en-US"/>
          <w:vertAlign w:val="subscript"/>
          <w:w w:val="100"/>
          <w:spacing w:val="0"/>
          <w:color w:val="000000"/>
          <w:position w:val="0"/>
        </w:rPr>
        <w:t xml:space="preserve">2 </w:t>
      </w:r>
      <w:r>
        <w:rPr>
          <w:lang w:val="en-US" w:eastAsia="en-US" w:bidi="en-US"/>
          <w:w w:val="100"/>
          <w:spacing w:val="0"/>
          <w:color w:val="000000"/>
          <w:position w:val="0"/>
        </w:rPr>
        <w:t xml:space="preserve">88% </w:t>
      </w:r>
      <w:r>
        <w:rPr>
          <w:lang w:val="ru-RU" w:eastAsia="ru-RU" w:bidi="ru-RU"/>
          <w:w w:val="100"/>
          <w:spacing w:val="0"/>
          <w:color w:val="000000"/>
          <w:position w:val="0"/>
        </w:rPr>
        <w:t>и меньше во время физической нагрузки.</w:t>
      </w:r>
    </w:p>
    <w:p>
      <w:pPr>
        <w:pStyle w:val="Style30"/>
        <w:widowControl w:val="0"/>
        <w:keepNext w:val="0"/>
        <w:keepLines w:val="0"/>
        <w:shd w:val="clear" w:color="auto" w:fill="auto"/>
        <w:bidi w:val="0"/>
        <w:spacing w:before="0" w:after="0" w:line="221" w:lineRule="exact"/>
        <w:ind w:left="520" w:right="0" w:hanging="240"/>
      </w:pPr>
      <w:r>
        <w:rPr>
          <w:lang w:val="ru-RU" w:eastAsia="ru-RU" w:bidi="ru-RU"/>
          <w:w w:val="100"/>
          <w:spacing w:val="0"/>
          <w:color w:val="000000"/>
          <w:position w:val="0"/>
        </w:rPr>
        <w:t>Вазодилататоры:</w:t>
      </w:r>
    </w:p>
    <w:p>
      <w:pPr>
        <w:pStyle w:val="Style30"/>
        <w:widowControl w:val="0"/>
        <w:keepNext w:val="0"/>
        <w:keepLines w:val="0"/>
        <w:shd w:val="clear" w:color="auto" w:fill="auto"/>
        <w:bidi w:val="0"/>
        <w:spacing w:before="0" w:after="0" w:line="221" w:lineRule="exact"/>
        <w:ind w:left="740" w:right="0" w:hanging="220"/>
      </w:pPr>
      <w:r>
        <w:pict>
          <v:shape id="_x0000_s1597" type="#_x0000_t75" style="position:absolute;margin-left:148.1pt;margin-top:740.2pt;width:209.75pt;height:14.9pt;z-index:-125828992;mso-wrap-distance-left:147.85pt;mso-wrap-distance-right:136.55pt;mso-wrap-distance-bottom:20.pt;mso-position-horizontal-relative:margin;mso-position-vertical-relative:margin" wrapcoords="0 0 21600 0 21600 21600 0 21600 0 0">
            <v:imagedata r:id="rId950" r:href="rId951"/>
            <w10:wrap type="topAndBottom" anchorx="margin" anchory="margin"/>
          </v:shape>
        </w:pict>
      </w:r>
      <w:r>
        <w:rPr>
          <w:lang w:val="ru-RU" w:eastAsia="ru-RU" w:bidi="ru-RU"/>
          <w:w w:val="100"/>
          <w:spacing w:val="0"/>
          <w:color w:val="000000"/>
          <w:position w:val="0"/>
        </w:rPr>
        <w:t>• Хотя сосудорасширяющая терапия может умень</w:t>
        <w:softHyphen/>
        <w:t>шить легочное сопротивление сосудов, очень немно</w:t>
        <w:softHyphen/>
        <w:t>го исследований свидетельствуют о клиническом</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выздоровлении больных со вторичной легочной гипертензией в отдаленные сроки. Сосудорасширя</w:t>
        <w:softHyphen/>
        <w:t>ющие средства увеличивают сердечный выброс и снижают периферическое сопротивление сосудов и лишь незначительно снижают давление в легочной артерии. Кроме того, сосудорасширяющие средства могут оказывать неблагоприятное воздействие на больных с вторичной легочной гипертензией. Эти неблагоприятные эффекты включают ухудшение правожелудочковой функции, тяжелую системную гипотензию, ухудшение вентиляции из-за несоот</w:t>
        <w:softHyphen/>
        <w:t>ветствия перфузии и вентиляции, гипоксемию.</w:t>
      </w:r>
    </w:p>
    <w:p>
      <w:pPr>
        <w:pStyle w:val="Style30"/>
        <w:numPr>
          <w:ilvl w:val="0"/>
          <w:numId w:val="115"/>
        </w:numPr>
        <w:tabs>
          <w:tab w:leader="none" w:pos="493"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Эффективность антагонистов кальциевых каналов при лечении вторичных форм легочной артериаль</w:t>
        <w:softHyphen/>
        <w:t>ной гипертензии не доказана. Получены противо</w:t>
        <w:softHyphen/>
        <w:t>положные результаты при кратковременном лече</w:t>
        <w:softHyphen/>
        <w:t>нии вторичной легочной гипертензии антагонис</w:t>
        <w:softHyphen/>
        <w:t>тами кальциевых каналов. При длительном назна</w:t>
        <w:softHyphen/>
        <w:t>чении этих препаратов положительного результата не наблюдается. В этой связи длительная терапия вазодилататорами этой группы возможна только у пациентов с положительным эффектом при краткосрочном лечении.</w:t>
      </w:r>
    </w:p>
    <w:p>
      <w:pPr>
        <w:pStyle w:val="Style30"/>
        <w:numPr>
          <w:ilvl w:val="0"/>
          <w:numId w:val="115"/>
        </w:numPr>
        <w:tabs>
          <w:tab w:leader="none" w:pos="493"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Улучшение состояния, снижение легочного арте</w:t>
        <w:softHyphen/>
        <w:t>риального давления и легочной сосудистой резис</w:t>
        <w:softHyphen/>
        <w:t>тентности отмечено у больных с врожденными по</w:t>
        <w:softHyphen/>
        <w:t>роками сердца, коллагенозами, саркоидозом, хро</w:t>
        <w:softHyphen/>
        <w:t>нической проксимальной тромбоэмболией при длительном назначении инфузий простациклина.</w:t>
      </w:r>
    </w:p>
    <w:p>
      <w:pPr>
        <w:pStyle w:val="Style30"/>
        <w:numPr>
          <w:ilvl w:val="0"/>
          <w:numId w:val="115"/>
        </w:numPr>
        <w:tabs>
          <w:tab w:leader="none" w:pos="493"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Положительный эффект длительных внутривен</w:t>
        <w:softHyphen/>
        <w:t>ных инфузий простациклина связывают с влияни</w:t>
        <w:softHyphen/>
        <w:t>ем его на эндотелиальные факторы и ремодулиро</w:t>
        <w:softHyphen/>
        <w:t>вание сосудов.</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Другие препараты:</w:t>
      </w:r>
    </w:p>
    <w:p>
      <w:pPr>
        <w:pStyle w:val="Style30"/>
        <w:numPr>
          <w:ilvl w:val="0"/>
          <w:numId w:val="115"/>
        </w:numPr>
        <w:tabs>
          <w:tab w:leader="none" w:pos="493"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Антикоагулянты могут оказывать положительный эффект, предупреждая тромбообразование </w:t>
      </w:r>
      <w:r>
        <w:rPr>
          <w:lang w:val="en-US" w:eastAsia="en-US" w:bidi="en-US"/>
          <w:w w:val="100"/>
          <w:spacing w:val="0"/>
          <w:color w:val="000000"/>
          <w:position w:val="0"/>
        </w:rPr>
        <w:t xml:space="preserve">in situ, </w:t>
      </w:r>
      <w:r>
        <w:rPr>
          <w:lang w:val="ru-RU" w:eastAsia="ru-RU" w:bidi="ru-RU"/>
          <w:w w:val="100"/>
          <w:spacing w:val="0"/>
          <w:color w:val="000000"/>
          <w:position w:val="0"/>
        </w:rPr>
        <w:t>при лечении больных, склонных к гиперкоагуля</w:t>
        <w:softHyphen/>
        <w:t>ции. Назначение варфарина показано пациентам с вторичной легочной гипертензией, обусловлен</w:t>
        <w:softHyphen/>
        <w:t>ной хронической тромбоэмболией, первичной ве- ноокклюзивной болезнью легких, мерцательной аритмией, индуцированной левожелудочковой или правожелудочковой недостаточностью. Дли</w:t>
        <w:softHyphen/>
        <w:t>тельная терапия антикоагулянтами показана всем больным с факторами риска тромбоэмболизации (например, при легочном сердце у больных, нахо</w:t>
        <w:softHyphen/>
        <w:t>дящихся на длительном постельном режиме).</w:t>
      </w:r>
    </w:p>
    <w:p>
      <w:pPr>
        <w:pStyle w:val="Style30"/>
        <w:numPr>
          <w:ilvl w:val="0"/>
          <w:numId w:val="115"/>
        </w:numPr>
        <w:tabs>
          <w:tab w:leader="none" w:pos="493"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Диуретики уменьшают застой в печени, легких, периферические отеки. Однако диуретики вызы</w:t>
        <w:softHyphen/>
        <w:t>вают гипокалиемию, метаболический алкалоз и снижают сердечный выброс. Кровопускания по</w:t>
        <w:softHyphen/>
        <w:t>казаны пациентам, если уровень гематокрита больше 60%.</w:t>
      </w:r>
    </w:p>
    <w:p>
      <w:pPr>
        <w:pStyle w:val="Style30"/>
        <w:numPr>
          <w:ilvl w:val="0"/>
          <w:numId w:val="115"/>
        </w:numPr>
        <w:tabs>
          <w:tab w:leader="none" w:pos="493"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Назначение дигоксина показано при правожелу</w:t>
        <w:softHyphen/>
        <w:t>дочковой недостаточности, суправентрикулярной тахикардии или левожелудочковой дисфункции.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 Если вторичная легочная гипертензия еще не достиг</w:t>
        <w:softHyphen/>
        <w:t>ла фазы декомпенсации, необходимо проведение хи</w:t>
        <w:softHyphen/>
        <w:t>рургической коррекции больных с врожденными по</w:t>
        <w:softHyphen/>
        <w:t>роками сердца, митральным стенозом, хронической легочной тромбоэмболией.</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Операция трансплантации легких является резерв - ной у пациентов с вторичной легочной гипертензией.</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хронической легочной тромбоэмболии методом хирургической коррекции является тромбоэндарте- риоэктомия. В последующем всем таким больным ус</w:t>
        <w:softHyphen/>
        <w:t>танавливают фильтр в нижнюю полую вену, назнача</w:t>
        <w:softHyphen/>
        <w:t>ется длительная антикоагулянтная терапия.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зависит от тяжести гемодинамических нару</w:t>
        <w:softHyphen/>
        <w:t>шений и основного заболевания.</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больных с тяжелой (среднее давление в легочной артерии более 55 мм рт. ст.) при присоединении пра</w:t>
        <w:softHyphen/>
        <w:t>вожелудочковой недостаточности продолжитель</w:t>
        <w:softHyphen/>
        <w:t>ность жизни в среднем не превышает 1 года.</w:t>
      </w:r>
    </w:p>
    <w:p>
      <w:pPr>
        <w:pStyle w:val="Style30"/>
        <w:numPr>
          <w:ilvl w:val="0"/>
          <w:numId w:val="115"/>
        </w:numPr>
        <w:tabs>
          <w:tab w:leader="none" w:pos="518"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Больные с вторичной легочной гипертензией имеют гораздо худший прогноз и высокую смертность по сравнению с пациентами, заболевание у которых протекает без легочной гипертензии.</w:t>
      </w:r>
    </w:p>
    <w:p>
      <w:pPr>
        <w:pStyle w:val="Style92"/>
        <w:widowControl w:val="0"/>
        <w:keepNext/>
        <w:keepLines/>
        <w:shd w:val="clear" w:color="auto" w:fill="auto"/>
        <w:bidi w:val="0"/>
        <w:spacing w:before="0" w:after="180"/>
        <w:ind w:left="0" w:right="0" w:firstLine="280"/>
      </w:pPr>
      <w:bookmarkStart w:id="571" w:name="bookmark571"/>
      <w:r>
        <w:rPr>
          <w:lang w:val="ru-RU" w:eastAsia="ru-RU" w:bidi="ru-RU"/>
          <w:w w:val="100"/>
          <w:spacing w:val="0"/>
          <w:color w:val="000000"/>
          <w:position w:val="0"/>
        </w:rPr>
        <w:t>Лекарственные препараты, применяемые при лечении вто</w:t>
        <w:softHyphen/>
        <w:t>ричных форм легочной гипертензии</w:t>
      </w:r>
      <w:bookmarkEnd w:id="57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Антикоагулянты показаны при вторичной легочной ги</w:t>
        <w:softHyphen/>
        <w:t>пертензии, обусловленной хронической легочной тромбо</w:t>
        <w:softHyphen/>
        <w:t>эмболией, веноокклюзивной болезнью легких, мерцатель</w:t>
        <w:softHyphen/>
        <w:t>ной аритмией из-за лево- или правожелудочковой ди</w:t>
        <w:softHyphen/>
        <w:t>сфункции.</w:t>
      </w:r>
    </w:p>
    <w:p>
      <w:pPr>
        <w:pStyle w:val="Style30"/>
        <w:widowControl w:val="0"/>
        <w:keepNext w:val="0"/>
        <w:keepLines w:val="0"/>
        <w:shd w:val="clear" w:color="auto" w:fill="auto"/>
        <w:bidi w:val="0"/>
        <w:spacing w:before="0" w:after="180"/>
        <w:ind w:left="0" w:right="0" w:firstLine="280"/>
      </w:pPr>
      <w:r>
        <w:rPr>
          <w:rStyle w:val="CharStyle103"/>
        </w:rPr>
        <w:t>Варфарин</w:t>
      </w:r>
      <w:r>
        <w:rPr>
          <w:lang w:val="ru-RU" w:eastAsia="ru-RU" w:bidi="ru-RU"/>
          <w:w w:val="100"/>
          <w:spacing w:val="0"/>
          <w:color w:val="000000"/>
          <w:position w:val="0"/>
        </w:rPr>
        <w:t xml:space="preserve"> </w:t>
      </w:r>
      <w:r>
        <w:rPr>
          <w:lang w:val="en-US" w:eastAsia="en-US" w:bidi="en-US"/>
          <w:w w:val="100"/>
          <w:spacing w:val="0"/>
          <w:color w:val="000000"/>
          <w:position w:val="0"/>
        </w:rPr>
        <w:t xml:space="preserve">(Warfarin, Coumadin) </w:t>
      </w:r>
      <w:r>
        <w:rPr>
          <w:lang w:val="ru-RU" w:eastAsia="ru-RU" w:bidi="ru-RU"/>
          <w:w w:val="100"/>
          <w:spacing w:val="0"/>
          <w:color w:val="000000"/>
          <w:position w:val="0"/>
        </w:rPr>
        <w:t>внутрь 0,05-0,34 мг/кг/сутки.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Блокаторы кальциевых каналов назначаются больным с вторичной легочной гипертензией, если был отмечен по</w:t>
        <w:softHyphen/>
        <w:t>ложительный эффект при краткосрочном применении.</w:t>
      </w:r>
    </w:p>
    <w:p>
      <w:pPr>
        <w:pStyle w:val="Style30"/>
        <w:widowControl w:val="0"/>
        <w:keepNext w:val="0"/>
        <w:keepLines w:val="0"/>
        <w:shd w:val="clear" w:color="auto" w:fill="auto"/>
        <w:bidi w:val="0"/>
        <w:spacing w:before="0" w:after="0"/>
        <w:ind w:left="0" w:right="0" w:firstLine="280"/>
      </w:pPr>
      <w:r>
        <w:rPr>
          <w:rStyle w:val="CharStyle103"/>
        </w:rPr>
        <w:t>Нифедипин</w:t>
      </w:r>
      <w:r>
        <w:rPr>
          <w:lang w:val="ru-RU" w:eastAsia="ru-RU" w:bidi="ru-RU"/>
          <w:w w:val="100"/>
          <w:spacing w:val="0"/>
          <w:color w:val="000000"/>
          <w:position w:val="0"/>
        </w:rPr>
        <w:t xml:space="preserve"> </w:t>
      </w:r>
      <w:r>
        <w:rPr>
          <w:lang w:val="en-US" w:eastAsia="en-US" w:bidi="en-US"/>
          <w:w w:val="100"/>
          <w:spacing w:val="0"/>
          <w:color w:val="000000"/>
          <w:position w:val="0"/>
        </w:rPr>
        <w:t xml:space="preserve">(Nifedipine, Adalat, Procardia) </w:t>
      </w:r>
      <w:r>
        <w:rPr>
          <w:lang w:val="ru-RU" w:eastAsia="ru-RU" w:bidi="ru-RU"/>
          <w:w w:val="100"/>
          <w:spacing w:val="0"/>
          <w:color w:val="000000"/>
          <w:position w:val="0"/>
        </w:rPr>
        <w:t>— внутрь 0,6-0,9 мг/кг/сутки в 3 приема.</w:t>
      </w:r>
    </w:p>
    <w:p>
      <w:pPr>
        <w:pStyle w:val="Style30"/>
        <w:widowControl w:val="0"/>
        <w:keepNext w:val="0"/>
        <w:keepLines w:val="0"/>
        <w:shd w:val="clear" w:color="auto" w:fill="auto"/>
        <w:bidi w:val="0"/>
        <w:spacing w:before="0" w:after="180"/>
        <w:ind w:left="0" w:right="0" w:firstLine="280"/>
      </w:pPr>
      <w:r>
        <w:rPr>
          <w:rStyle w:val="CharStyle103"/>
        </w:rPr>
        <w:t>Амлодипин</w:t>
      </w:r>
      <w:r>
        <w:rPr>
          <w:lang w:val="ru-RU" w:eastAsia="ru-RU" w:bidi="ru-RU"/>
          <w:w w:val="100"/>
          <w:spacing w:val="0"/>
          <w:color w:val="000000"/>
          <w:position w:val="0"/>
        </w:rPr>
        <w:t xml:space="preserve"> </w:t>
      </w:r>
      <w:r>
        <w:rPr>
          <w:lang w:val="en-US" w:eastAsia="en-US" w:bidi="en-US"/>
          <w:w w:val="100"/>
          <w:spacing w:val="0"/>
          <w:color w:val="000000"/>
          <w:position w:val="0"/>
        </w:rPr>
        <w:t xml:space="preserve">(Amlodipine, Norvasc) </w:t>
      </w:r>
      <w:r>
        <w:rPr>
          <w:lang w:val="ru-RU" w:eastAsia="ru-RU" w:bidi="ru-RU"/>
          <w:w w:val="100"/>
          <w:spacing w:val="0"/>
          <w:color w:val="000000"/>
          <w:position w:val="0"/>
        </w:rPr>
        <w:t>— внутрь 2,5 мг в сутки.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Периферические вазодилататоры оказывают неселек</w:t>
        <w:softHyphen/>
        <w:t>тивный вазодилатирующий эффект как в системной, так и легочной циркуляции. В настоящее время предпочтение отдается вазодилататорам, осуществляющим действие че</w:t>
        <w:softHyphen/>
        <w:t>рез эндотелиальные рецепторы простациклина.</w:t>
      </w:r>
    </w:p>
    <w:p>
      <w:pPr>
        <w:pStyle w:val="Style30"/>
        <w:widowControl w:val="0"/>
        <w:keepNext w:val="0"/>
        <w:keepLines w:val="0"/>
        <w:shd w:val="clear" w:color="auto" w:fill="auto"/>
        <w:bidi w:val="0"/>
        <w:spacing w:before="0" w:after="0"/>
        <w:ind w:left="0" w:right="0" w:firstLine="280"/>
      </w:pPr>
      <w:r>
        <w:rPr>
          <w:rStyle w:val="CharStyle103"/>
        </w:rPr>
        <w:t>Эпопростенол</w:t>
      </w:r>
      <w:r>
        <w:rPr>
          <w:lang w:val="ru-RU" w:eastAsia="ru-RU" w:bidi="ru-RU"/>
          <w:w w:val="100"/>
          <w:spacing w:val="0"/>
          <w:color w:val="000000"/>
          <w:position w:val="0"/>
        </w:rPr>
        <w:t xml:space="preserve"> </w:t>
      </w:r>
      <w:r>
        <w:rPr>
          <w:lang w:val="en-US" w:eastAsia="en-US" w:bidi="en-US"/>
          <w:w w:val="100"/>
          <w:spacing w:val="0"/>
          <w:color w:val="000000"/>
          <w:position w:val="0"/>
        </w:rPr>
        <w:t xml:space="preserve">(Epoprostenol, Flolan) </w:t>
      </w:r>
      <w:r>
        <w:rPr>
          <w:lang w:val="ru-RU" w:eastAsia="ru-RU" w:bidi="ru-RU"/>
          <w:w w:val="100"/>
          <w:spacing w:val="0"/>
          <w:color w:val="000000"/>
          <w:position w:val="0"/>
        </w:rPr>
        <w:t>— вводится методом титрования через центральный венозный катетер 1-2 мг/кг/мин, под постоянным мониторированием пара</w:t>
        <w:softHyphen/>
        <w:t>метров гемодинамики.</w:t>
      </w:r>
    </w:p>
    <w:p>
      <w:pPr>
        <w:pStyle w:val="Style30"/>
        <w:widowControl w:val="0"/>
        <w:keepNext w:val="0"/>
        <w:keepLines w:val="0"/>
        <w:shd w:val="clear" w:color="auto" w:fill="auto"/>
        <w:bidi w:val="0"/>
        <w:spacing w:before="0" w:after="180"/>
        <w:ind w:left="0" w:right="0" w:firstLine="280"/>
      </w:pPr>
      <w:r>
        <w:rPr>
          <w:rStyle w:val="CharStyle103"/>
        </w:rPr>
        <w:t>Бозентан</w:t>
      </w:r>
      <w:r>
        <w:rPr>
          <w:lang w:val="ru-RU" w:eastAsia="ru-RU" w:bidi="ru-RU"/>
          <w:w w:val="100"/>
          <w:spacing w:val="0"/>
          <w:color w:val="000000"/>
          <w:position w:val="0"/>
        </w:rPr>
        <w:t xml:space="preserve"> </w:t>
      </w:r>
      <w:r>
        <w:rPr>
          <w:lang w:val="en-US" w:eastAsia="en-US" w:bidi="en-US"/>
          <w:w w:val="100"/>
          <w:spacing w:val="0"/>
          <w:color w:val="000000"/>
          <w:position w:val="0"/>
        </w:rPr>
        <w:t xml:space="preserve">(Bosentan, Tracleer) </w:t>
      </w:r>
      <w:r>
        <w:rPr>
          <w:lang w:val="ru-RU" w:eastAsia="ru-RU" w:bidi="ru-RU"/>
          <w:w w:val="100"/>
          <w:spacing w:val="0"/>
          <w:color w:val="000000"/>
          <w:position w:val="0"/>
        </w:rPr>
        <w:t>внутрь 62,5 мг/сутки, детям &gt; 12 лет не более 125 мг/сутки.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Сердечные гликозиды назначаются при вторичной ле</w:t>
        <w:softHyphen/>
        <w:t>гочной артериальной гипертензии при развитии правоже</w:t>
        <w:softHyphen/>
        <w:t>лудочковой недостаточности или суправентрикулярных аритмий.</w:t>
      </w:r>
    </w:p>
    <w:p>
      <w:pPr>
        <w:pStyle w:val="Style30"/>
        <w:widowControl w:val="0"/>
        <w:keepNext w:val="0"/>
        <w:keepLines w:val="0"/>
        <w:shd w:val="clear" w:color="auto" w:fill="auto"/>
        <w:bidi w:val="0"/>
        <w:spacing w:before="0" w:after="180"/>
        <w:ind w:left="0" w:right="0" w:firstLine="280"/>
      </w:pPr>
      <w:r>
        <w:rPr>
          <w:rStyle w:val="CharStyle103"/>
        </w:rPr>
        <w:t>Дигоксин</w:t>
      </w:r>
      <w:r>
        <w:rPr>
          <w:lang w:val="ru-RU" w:eastAsia="ru-RU" w:bidi="ru-RU"/>
          <w:w w:val="100"/>
          <w:spacing w:val="0"/>
          <w:color w:val="000000"/>
          <w:position w:val="0"/>
        </w:rPr>
        <w:t xml:space="preserve"> </w:t>
      </w:r>
      <w:r>
        <w:rPr>
          <w:lang w:val="en-US" w:eastAsia="en-US" w:bidi="en-US"/>
          <w:w w:val="100"/>
          <w:spacing w:val="0"/>
          <w:color w:val="000000"/>
          <w:position w:val="0"/>
        </w:rPr>
        <w:t xml:space="preserve">(Digoxin, Lanoxin). </w:t>
      </w:r>
      <w:r>
        <w:rPr>
          <w:lang w:val="ru-RU" w:eastAsia="ru-RU" w:bidi="ru-RU"/>
          <w:w w:val="100"/>
          <w:spacing w:val="0"/>
          <w:color w:val="000000"/>
          <w:position w:val="0"/>
        </w:rPr>
        <w:t>Доза насыщения: 5-10 лет — 20-35 мкг/кг внутрь; &gt;10 лет — 10-15 мгк/кг внутрь. Под</w:t>
        <w:softHyphen/>
        <w:t>держивающая доза составляет 25-35% от дозы насыщения.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Диуретики при вторичной легочной гипертензии на</w:t>
        <w:softHyphen/>
        <w:t>значают в случаях развития правожелудочковой недоста</w:t>
        <w:softHyphen/>
        <w:t>точности; гепатомегалии, асцита, отеков нижних конеч</w:t>
        <w:softHyphen/>
        <w:t>ностей.</w:t>
      </w:r>
    </w:p>
    <w:p>
      <w:pPr>
        <w:pStyle w:val="Style30"/>
        <w:widowControl w:val="0"/>
        <w:keepNext w:val="0"/>
        <w:keepLines w:val="0"/>
        <w:shd w:val="clear" w:color="auto" w:fill="auto"/>
        <w:bidi w:val="0"/>
        <w:spacing w:before="0" w:after="0" w:line="180" w:lineRule="exact"/>
        <w:ind w:left="0" w:right="0" w:firstLine="280"/>
        <w:sectPr>
          <w:type w:val="continuous"/>
          <w:pgSz w:w="11900" w:h="16840"/>
          <w:pgMar w:top="1385" w:left="1067" w:right="976" w:bottom="1562" w:header="0" w:footer="3" w:gutter="0"/>
          <w:rtlGutter w:val="0"/>
          <w:cols w:num="2" w:space="142"/>
          <w:noEndnote/>
          <w:docGrid w:linePitch="360"/>
        </w:sectPr>
      </w:pPr>
      <w:r>
        <w:pict>
          <v:shape id="_x0000_s1598" type="#_x0000_t75" style="position:absolute;margin-left:130.8pt;margin-top:740.2pt;width:209.75pt;height:14.9pt;z-index:-125828991;mso-wrap-distance-left:124.8pt;mso-wrap-distance-right:148.1pt;mso-wrap-distance-bottom:20.pt;mso-position-horizontal-relative:margin;mso-position-vertical-relative:margin" wrapcoords="0 0 21600 0 21600 21600 0 21600 0 0">
            <v:imagedata r:id="rId952" r:href="rId953"/>
            <w10:wrap type="topAndBottom" anchorx="margin" anchory="margin"/>
          </v:shape>
        </w:pict>
      </w:r>
      <w:r>
        <w:rPr>
          <w:rStyle w:val="CharStyle103"/>
        </w:rPr>
        <w:t>Фуросемид</w:t>
      </w:r>
      <w:r>
        <w:rPr>
          <w:lang w:val="ru-RU" w:eastAsia="ru-RU" w:bidi="ru-RU"/>
          <w:w w:val="100"/>
          <w:spacing w:val="0"/>
          <w:color w:val="000000"/>
          <w:position w:val="0"/>
        </w:rPr>
        <w:t xml:space="preserve"> </w:t>
      </w:r>
      <w:r>
        <w:rPr>
          <w:lang w:val="en-US" w:eastAsia="en-US" w:bidi="en-US"/>
          <w:w w:val="100"/>
          <w:spacing w:val="0"/>
          <w:color w:val="000000"/>
          <w:position w:val="0"/>
        </w:rPr>
        <w:t xml:space="preserve">(Furosemide, Lasix) </w:t>
      </w:r>
      <w:r>
        <w:rPr>
          <w:lang w:val="ru-RU" w:eastAsia="ru-RU" w:bidi="ru-RU"/>
          <w:w w:val="100"/>
          <w:spacing w:val="0"/>
          <w:color w:val="000000"/>
          <w:position w:val="0"/>
        </w:rPr>
        <w:t>внутрь 1-2 мг/кг/сутки.</w:t>
      </w:r>
    </w:p>
    <w:p>
      <w:pPr>
        <w:pStyle w:val="Style112"/>
        <w:widowControl w:val="0"/>
        <w:keepNext/>
        <w:keepLines/>
        <w:shd w:val="clear" w:color="auto" w:fill="auto"/>
        <w:bidi w:val="0"/>
        <w:jc w:val="left"/>
        <w:spacing w:before="0" w:after="0" w:line="427" w:lineRule="exact"/>
        <w:ind w:left="0" w:right="0" w:firstLine="0"/>
      </w:pPr>
      <w:bookmarkStart w:id="572" w:name="bookmark572"/>
      <w:r>
        <w:rPr>
          <w:lang w:val="ru-RU" w:eastAsia="ru-RU" w:bidi="ru-RU"/>
          <w:rFonts w:ascii="Microsoft Sans Serif" w:eastAsia="Microsoft Sans Serif" w:hAnsi="Microsoft Sans Serif" w:cs="Microsoft Sans Serif"/>
          <w:w w:val="100"/>
          <w:spacing w:val="0"/>
          <w:color w:val="000000"/>
          <w:position w:val="0"/>
        </w:rPr>
        <w:t>Глава VIII. Легочная гипертензия</w:t>
      </w:r>
      <w:bookmarkEnd w:id="572"/>
    </w:p>
    <w:p>
      <w:pPr>
        <w:pStyle w:val="Style28"/>
        <w:widowControl w:val="0"/>
        <w:keepNext/>
        <w:keepLines/>
        <w:shd w:val="clear" w:color="auto" w:fill="auto"/>
        <w:bidi w:val="0"/>
        <w:jc w:val="left"/>
        <w:spacing w:before="0" w:after="0" w:line="427" w:lineRule="exact"/>
        <w:ind w:left="0" w:right="0" w:firstLine="0"/>
      </w:pPr>
      <w:bookmarkStart w:id="573" w:name="bookmark573"/>
      <w:r>
        <w:rPr>
          <w:lang w:val="ru-RU" w:eastAsia="ru-RU" w:bidi="ru-RU"/>
          <w:w w:val="100"/>
          <w:spacing w:val="0"/>
          <w:color w:val="000000"/>
          <w:position w:val="0"/>
        </w:rPr>
        <w:t>Синдром Эйзенменгера</w:t>
      </w:r>
      <w:bookmarkEnd w:id="573"/>
    </w:p>
    <w:p>
      <w:pPr>
        <w:pStyle w:val="Style92"/>
        <w:widowControl w:val="0"/>
        <w:keepNext/>
        <w:keepLines/>
        <w:shd w:val="clear" w:color="auto" w:fill="auto"/>
        <w:bidi w:val="0"/>
        <w:spacing w:before="0" w:after="0"/>
        <w:ind w:left="520" w:right="0" w:hanging="240"/>
      </w:pPr>
      <w:bookmarkStart w:id="574" w:name="bookmark574"/>
      <w:r>
        <w:rPr>
          <w:lang w:val="ru-RU" w:eastAsia="ru-RU" w:bidi="ru-RU"/>
          <w:w w:val="100"/>
          <w:spacing w:val="0"/>
          <w:color w:val="000000"/>
          <w:position w:val="0"/>
        </w:rPr>
        <w:t>Определение</w:t>
      </w:r>
      <w:bookmarkEnd w:id="57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Высокая, необратимая легочная гипертензия, возника</w:t>
        <w:softHyphen/>
        <w:t>ющая при врожденных пороках сердца с лево-правым шун</w:t>
        <w:softHyphen/>
        <w:t>тированием, проявляется склеротическими изменениями в легочных сосудах, цианозом, мультиорганными пораже</w:t>
        <w:softHyphen/>
        <w:t>ниями.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Краткая историческая справка</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1897 г. Эйзенменгер привел случай заболевания 32-летнего мужчины, который имел интолерантность к физической нагрузке, цианоз, сердечную недостаточ</w:t>
        <w:softHyphen/>
        <w:t>ность и кровохарканье до смерти. Аутопсия показала большой дефект межжелудочковой перегородки, пра</w:t>
        <w:softHyphen/>
        <w:t>востороннюю аорту. Это было первым описанием свя</w:t>
        <w:softHyphen/>
        <w:t>зи между большим врожденным кардиальным дефек</w:t>
        <w:softHyphen/>
        <w:t>том и развитием легочной артериальной гипертензии.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легочной артериальной гипертензии и после</w:t>
        <w:softHyphen/>
        <w:t>дующего развития синдрома Эйзенменгера зависит от типа порока сердца и варианта операционного вмешательства.</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Приблизительно у 50% новорожденных с большим дефектом межжелудочковой перегородки или откры</w:t>
        <w:softHyphen/>
        <w:t>тым артериальным протоком развивается легочная артериальная гипертензия в раннем детстве.</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40% детей с дефектом межжелудочковой перего</w:t>
        <w:softHyphen/>
        <w:t>родки или открытым артериальным протоком с транспозицией магистральных сосудов развивается легочная артериальная гипертензия в течение перво</w:t>
        <w:softHyphen/>
        <w:t>го года жизни.</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неоперированном вторичном дефекте межпред</w:t>
        <w:softHyphen/>
        <w:t>сердной перегородки легочная гипертензия развивает</w:t>
        <w:softHyphen/>
        <w:t>ся медленно и только в 10% случаев возникает синд</w:t>
        <w:softHyphen/>
        <w:t>ром Эйзенменгера после третьего десятилетия жизни.</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всех пациентов с постоянным общим артериаль</w:t>
        <w:softHyphen/>
        <w:t>ным стволом и неограниченным легочным кровото</w:t>
        <w:softHyphen/>
        <w:t>ком и почти у всех пациентов с открытым предсерд</w:t>
        <w:softHyphen/>
        <w:t>но-желудочковым каналом возникает тяжелая легоч</w:t>
        <w:softHyphen/>
        <w:t>ная артериальная гипертензия на втором году жизни.</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легочной артериальной гипертензии при хи</w:t>
        <w:softHyphen/>
        <w:t>рургически созданных системно -легочных шунтах за</w:t>
        <w:softHyphen/>
        <w:t>висит от размера и типа анастомоза.</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10% пациентов с анастомозом Блелок-Тауссинг (подключичная артерия — легочная артерия) возни - кает легочная артериальная гипертензия по сравне</w:t>
        <w:softHyphen/>
        <w:t>нию с 30% детей с анастомозом Ватерстон (восходя</w:t>
        <w:softHyphen/>
        <w:t>щая аорта — легочная артерия) или анастомозом Потс (нисходящая аорта — легочная артерия).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Большой некорригированный сердечный шунт или хирургически созданный паллиативный систем</w:t>
        <w:softHyphen/>
        <w:t>но-легочный шунт при врожденных пороках сердца.</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Большой дефект межжелудочковой перегородки.</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Большой открытый артериальный проток.</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Открытый атриовентрикулярный канал, включая большой первичный дефект межпредсердной перего - родки без септального дефекта.</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Дефект аортолегочной перегородки.</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Паллиативный, хирургически созданный систем</w:t>
        <w:softHyphen/>
        <w:t>но-легочный анастомоз при врожденных пороках сердца.</w:t>
      </w:r>
    </w:p>
    <w:p>
      <w:pPr>
        <w:pStyle w:val="Style92"/>
        <w:widowControl w:val="0"/>
        <w:keepNext/>
        <w:keepLines/>
        <w:shd w:val="clear" w:color="auto" w:fill="auto"/>
        <w:bidi w:val="0"/>
        <w:spacing w:before="0" w:after="0"/>
        <w:ind w:left="0" w:right="0" w:firstLine="280"/>
      </w:pPr>
      <w:r>
        <w:br w:type="column"/>
      </w:r>
      <w:bookmarkStart w:id="575" w:name="bookmark575"/>
      <w:r>
        <w:rPr>
          <w:lang w:val="ru-RU" w:eastAsia="ru-RU" w:bidi="ru-RU"/>
          <w:w w:val="100"/>
          <w:spacing w:val="0"/>
          <w:color w:val="000000"/>
          <w:position w:val="0"/>
        </w:rPr>
        <w:t>Патофизиология</w:t>
      </w:r>
      <w:bookmarkEnd w:id="575"/>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Синдром Эйзенменгера наблюдается у больных с «большими» врожденными пороками сердца или хирургически созданными внесердечными систем</w:t>
        <w:softHyphen/>
        <w:t>но-легочными шунтами. Лево-правый сброс перво</w:t>
        <w:softHyphen/>
        <w:t>начально вызывает увеличение легочного кровотока. Впоследствии, обычно перед половой зрелостью, ле</w:t>
        <w:softHyphen/>
        <w:t>гочная сосудистая болезнь вызывает легочную арте</w:t>
        <w:softHyphen/>
        <w:t>риальную гипертензию, в конечном счете приводя</w:t>
        <w:softHyphen/>
        <w:t>щую к обратному или двунаправленному шунтирова</w:t>
        <w:softHyphen/>
        <w:t>нию крови с развитием цианоза.</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синдроме Эйзенменгера сердце неспособно увеличить легочный кровоток при физических на</w:t>
        <w:softHyphen/>
        <w:t>грузках, что приводит к ограничению поглощения кислорода. Системное сосудистое русло склонно к сосудорасширению и последующей системной ар</w:t>
        <w:softHyphen/>
        <w:t>териальной гипотензии, которая может вызвать об</w:t>
        <w:softHyphen/>
        <w:t>морок.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Классификация легочной гипертензии при врожденных по</w:t>
        <w:softHyphen/>
        <w:t>роках сердца</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Классификация легочной гипертензии применитель - но к врожденным порокам сердца разработана В.И. Бураковским с соавт. (1996). В данной класси</w:t>
        <w:softHyphen/>
        <w:t>фикации больные разделены на группы в зависимос</w:t>
        <w:softHyphen/>
        <w:t>ти от стадии гипертензии, отношения систолическо</w:t>
        <w:softHyphen/>
        <w:t>го давления в легочном стволе к системному артери</w:t>
        <w:softHyphen/>
        <w:t>альному давлению, сброса крови по отношению к минутному объему малого круга кровообращения, отношения между общим легочным сосудистым и пе</w:t>
        <w:softHyphen/>
        <w:t>риферическим сопротивлением.</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 времени развития легочной гипертензии при ВПС выделяют 3 категории больных:</w:t>
      </w:r>
    </w:p>
    <w:p>
      <w:pPr>
        <w:pStyle w:val="Style30"/>
        <w:numPr>
          <w:ilvl w:val="0"/>
          <w:numId w:val="117"/>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больные с так называемым «врожденным ком</w:t>
        <w:softHyphen/>
        <w:t>плексом Эйзенменгера», при котором сохраняет</w:t>
        <w:softHyphen/>
        <w:t>ся эмбриональное строение легочных сосудов. Легочная гипертензия выявляется с рождения ре</w:t>
        <w:softHyphen/>
        <w:t>бенка;</w:t>
      </w:r>
    </w:p>
    <w:p>
      <w:pPr>
        <w:pStyle w:val="Style30"/>
        <w:numPr>
          <w:ilvl w:val="0"/>
          <w:numId w:val="117"/>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больные, у которых очень рано, в возрасте от 1 до 2 лет, развиваются необратимые структурные из</w:t>
        <w:softHyphen/>
        <w:t>менения в легочных сосудах;</w:t>
      </w:r>
    </w:p>
    <w:p>
      <w:pPr>
        <w:pStyle w:val="Style30"/>
        <w:numPr>
          <w:ilvl w:val="0"/>
          <w:numId w:val="117"/>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больные, у которых длительное время сохраняется большой артериовенозный сброс крови с поздним развитием легочной гипертензии (иногда после 30 лет).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Симптомы, относящиеся непосредственно к легочной артериальной гипертензии, возникают из-за неспособнос</w:t>
        <w:softHyphen/>
        <w:t>ти увеличивать легочный кровоток в ответ на физическое напряжение. Другие симптомы вызваны разнообразием мультисистемных осложнений, связанных с цианотичес- ким врожденным пороком сердца.</w:t>
      </w:r>
    </w:p>
    <w:p>
      <w:pPr>
        <w:pStyle w:val="Style30"/>
        <w:numPr>
          <w:ilvl w:val="0"/>
          <w:numId w:val="11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Легочная гипертензия:</w:t>
      </w:r>
    </w:p>
    <w:p>
      <w:pPr>
        <w:pStyle w:val="Style30"/>
        <w:numPr>
          <w:ilvl w:val="0"/>
          <w:numId w:val="117"/>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одышка;</w:t>
      </w:r>
    </w:p>
    <w:p>
      <w:pPr>
        <w:pStyle w:val="Style30"/>
        <w:numPr>
          <w:ilvl w:val="0"/>
          <w:numId w:val="117"/>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утомляемость;</w:t>
      </w:r>
    </w:p>
    <w:p>
      <w:pPr>
        <w:pStyle w:val="Style30"/>
        <w:numPr>
          <w:ilvl w:val="0"/>
          <w:numId w:val="117"/>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летаргия;</w:t>
      </w:r>
    </w:p>
    <w:p>
      <w:pPr>
        <w:pStyle w:val="Style30"/>
        <w:numPr>
          <w:ilvl w:val="0"/>
          <w:numId w:val="117"/>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выраженное снижение толерантности к физичес</w:t>
        <w:softHyphen/>
        <w:t>кой нагрузке с пролонгированной фазой восста</w:t>
        <w:softHyphen/>
        <w:t>новления;</w:t>
      </w:r>
    </w:p>
    <w:p>
      <w:pPr>
        <w:pStyle w:val="Style30"/>
        <w:numPr>
          <w:ilvl w:val="0"/>
          <w:numId w:val="117"/>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пресинкопе;</w:t>
      </w:r>
    </w:p>
    <w:p>
      <w:pPr>
        <w:pStyle w:val="Style30"/>
        <w:numPr>
          <w:ilvl w:val="0"/>
          <w:numId w:val="117"/>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синкопе.</w:t>
      </w:r>
    </w:p>
    <w:p>
      <w:pPr>
        <w:pStyle w:val="Style30"/>
        <w:numPr>
          <w:ilvl w:val="0"/>
          <w:numId w:val="115"/>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Сердечная недостаточность:</w:t>
      </w:r>
    </w:p>
    <w:p>
      <w:pPr>
        <w:pStyle w:val="Style30"/>
        <w:numPr>
          <w:ilvl w:val="0"/>
          <w:numId w:val="117"/>
        </w:numPr>
        <w:tabs>
          <w:tab w:leader="none" w:pos="756" w:val="left"/>
        </w:tabs>
        <w:widowControl w:val="0"/>
        <w:keepNext w:val="0"/>
        <w:keepLines w:val="0"/>
        <w:shd w:val="clear" w:color="auto" w:fill="auto"/>
        <w:bidi w:val="0"/>
        <w:spacing w:before="0" w:after="0"/>
        <w:ind w:left="740" w:right="0" w:hanging="220"/>
        <w:sectPr>
          <w:headerReference w:type="even" r:id="rId954"/>
          <w:headerReference w:type="default" r:id="rId955"/>
          <w:headerReference w:type="first" r:id="rId956"/>
          <w:titlePg/>
          <w:pgSz w:w="11900" w:h="16840"/>
          <w:pgMar w:top="1385" w:left="1067" w:right="976" w:bottom="1562" w:header="0" w:footer="3" w:gutter="0"/>
          <w:rtlGutter w:val="0"/>
          <w:cols w:num="2" w:space="142"/>
          <w:noEndnote/>
          <w:docGrid w:linePitch="360"/>
        </w:sectPr>
      </w:pPr>
      <w:r>
        <w:rPr>
          <w:lang w:val="ru-RU" w:eastAsia="ru-RU" w:bidi="ru-RU"/>
          <w:w w:val="100"/>
          <w:spacing w:val="0"/>
          <w:color w:val="000000"/>
          <w:position w:val="0"/>
        </w:rPr>
        <w:t>одышка;</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48" w:after="48" w:line="240" w:lineRule="exact"/>
        <w:rPr>
          <w:sz w:val="19"/>
          <w:szCs w:val="19"/>
        </w:rPr>
      </w:pPr>
    </w:p>
    <w:p>
      <w:pPr>
        <w:widowControl w:val="0"/>
        <w:rPr>
          <w:sz w:val="2"/>
          <w:szCs w:val="2"/>
        </w:rPr>
        <w:sectPr>
          <w:type w:val="continuous"/>
          <w:pgSz w:w="11900" w:h="16840"/>
          <w:pgMar w:top="1482" w:left="0" w:right="0" w:bottom="192" w:header="0" w:footer="3" w:gutter="0"/>
          <w:rtlGutter w:val="0"/>
          <w:cols w:space="720"/>
          <w:noEndnote/>
          <w:docGrid w:linePitch="360"/>
        </w:sectPr>
      </w:pPr>
    </w:p>
    <w:p>
      <w:pPr>
        <w:widowControl w:val="0"/>
        <w:spacing w:line="455" w:lineRule="exact"/>
      </w:pPr>
      <w:r>
        <w:pict>
          <v:shape id="_x0000_s1602" type="#_x0000_t75" style="position:absolute;margin-left:156.4pt;margin-top:0;width:209.75pt;height:14.9pt;z-index:-251658663;mso-wrap-distance-left:5.pt;mso-wrap-distance-right:5.pt;mso-position-horizontal-relative:margin" wrapcoords="0 0">
            <v:imagedata r:id="rId957" r:href="rId958"/>
            <w10:wrap anchorx="margin"/>
          </v:shape>
        </w:pict>
      </w:r>
    </w:p>
    <w:p>
      <w:pPr>
        <w:widowControl w:val="0"/>
        <w:rPr>
          <w:sz w:val="2"/>
          <w:szCs w:val="2"/>
        </w:rPr>
        <w:sectPr>
          <w:type w:val="continuous"/>
          <w:pgSz w:w="11900" w:h="16840"/>
          <w:pgMar w:top="1482" w:left="898" w:right="1119" w:bottom="192" w:header="0" w:footer="3" w:gutter="0"/>
          <w:rtlGutter w:val="0"/>
          <w:cols w:space="720"/>
          <w:noEndnote/>
          <w:docGrid w:linePitch="360"/>
        </w:sectPr>
      </w:pPr>
    </w:p>
    <w:p>
      <w:pPr>
        <w:widowControl w:val="0"/>
        <w:rPr>
          <w:sz w:val="2"/>
          <w:szCs w:val="2"/>
        </w:rPr>
      </w:pPr>
      <w:r>
        <w:pict>
          <v:shape id="_x0000_s1603" type="#_x0000_t75" style="position:absolute;margin-left:130.55pt;margin-top:736.3pt;width:209.75pt;height:14.9pt;z-index:-125828990;mso-wrap-distance-left:124.1pt;mso-wrap-distance-right:148.1pt;mso-wrap-distance-bottom:10.8pt;mso-position-horizontal-relative:margin" wrapcoords="0 0 21600 0 21600 21600 0 21600 0 0">
            <v:imagedata r:id="rId959" r:href="rId960"/>
            <w10:wrap type="topAndBottom" anchorx="margin"/>
          </v:shape>
        </w:pic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ортопноэ;</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пароксизмальная ночная одышка;</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отеки;</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асцит;</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анорексия;</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тошнота.</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Эритроцитоз:</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миалгия;</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мышечная слабость;</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анорексия;</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утомляемость;</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усталость;</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парестезии пальцев и губ;</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шум в ушах;</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нарушение зрения (двоение или пелена изображе</w:t>
        <w:softHyphen/>
        <w:t>ния перед глазами);</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скотома;</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головная боль;</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головокружение;</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замедленный процесс мышления;</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сниженная настороженность;</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раздражительность.</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Склонность к кровотечениям:</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умеренное кожно-слизистое кровотечение;</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носовое кровотечение;</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меноррагия;</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легочное кровотечение.</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Вазодилатация:</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предобморок;</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обморок.</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Холелитиаз:</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боль правого верхнего квадранта живота;</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билиарная колика;</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лихорадка;</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светлый кал;</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желтуха.</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Нефролитиаз:</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почечная колика;</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вторичная подагра;</w:t>
      </w:r>
    </w:p>
    <w:p>
      <w:pPr>
        <w:pStyle w:val="Style30"/>
        <w:numPr>
          <w:ilvl w:val="0"/>
          <w:numId w:val="117"/>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боль в суставах и припухлость.</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Парадоксальная эмболия может привести к симпто</w:t>
        <w:softHyphen/>
        <w:t>матике сосудистого поражения органа мишени или его ишемии.</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Гипертрофическая остеоартропатия может вызвать боли в трубчатых длинных костях и сухожилиях.</w:t>
      </w:r>
    </w:p>
    <w:p>
      <w:pPr>
        <w:pStyle w:val="Style30"/>
        <w:numPr>
          <w:ilvl w:val="0"/>
          <w:numId w:val="115"/>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Осложнения со стороны сетчатки глаз проявляются эпизодами преходящей потери зрения и цветового восприятия.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Кардиоваскулярная:</w:t>
      </w:r>
    </w:p>
    <w:p>
      <w:pPr>
        <w:pStyle w:val="Style30"/>
        <w:numPr>
          <w:ilvl w:val="0"/>
          <w:numId w:val="115"/>
        </w:numPr>
        <w:tabs>
          <w:tab w:leader="none" w:pos="494"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Центральный цианоз (дифференциальный цианоз в случае открытого артериального протока).</w:t>
      </w:r>
    </w:p>
    <w:p>
      <w:pPr>
        <w:pStyle w:val="Style30"/>
        <w:numPr>
          <w:ilvl w:val="0"/>
          <w:numId w:val="115"/>
        </w:numPr>
        <w:tabs>
          <w:tab w:leader="none" w:pos="494"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Утолщение концевых фаланг пальцев.</w:t>
      </w:r>
    </w:p>
    <w:p>
      <w:pPr>
        <w:pStyle w:val="Style30"/>
        <w:numPr>
          <w:ilvl w:val="0"/>
          <w:numId w:val="115"/>
        </w:numPr>
        <w:tabs>
          <w:tab w:leader="none" w:pos="494"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Яремная а волна венного пульса может быть до</w:t>
        <w:softHyphen/>
        <w:t>минантной при наличии значительной регургита- ции крови из-за недостаточности трикуспидаль</w:t>
        <w:softHyphen/>
        <w:t>ного клапана. Центральное венозное давление увеличено.</w:t>
      </w:r>
    </w:p>
    <w:p>
      <w:pPr>
        <w:pStyle w:val="Style30"/>
        <w:numPr>
          <w:ilvl w:val="0"/>
          <w:numId w:val="115"/>
        </w:numPr>
        <w:tabs>
          <w:tab w:leader="none" w:pos="494"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Прекордиальная пальпация показывает правое желудочковое выбухание и, часто, осязаемый ле</w:t>
        <w:softHyphen/>
        <w:t xml:space="preserve">гочный компонент </w:t>
      </w:r>
      <w:r>
        <w:rPr>
          <w:lang w:val="en-US" w:eastAsia="en-US" w:bidi="en-US"/>
          <w:w w:val="100"/>
          <w:spacing w:val="0"/>
          <w:color w:val="000000"/>
          <w:position w:val="0"/>
        </w:rPr>
        <w:t xml:space="preserve">II </w:t>
      </w:r>
      <w:r>
        <w:rPr>
          <w:lang w:val="ru-RU" w:eastAsia="ru-RU" w:bidi="ru-RU"/>
          <w:w w:val="100"/>
          <w:spacing w:val="0"/>
          <w:color w:val="000000"/>
          <w:position w:val="0"/>
        </w:rPr>
        <w:t>тона.</w:t>
      </w:r>
    </w:p>
    <w:p>
      <w:pPr>
        <w:pStyle w:val="Style30"/>
        <w:numPr>
          <w:ilvl w:val="0"/>
          <w:numId w:val="115"/>
        </w:numPr>
        <w:tabs>
          <w:tab w:leader="none" w:pos="494"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Громкий легочный компонент </w:t>
      </w:r>
      <w:r>
        <w:rPr>
          <w:lang w:val="en-US" w:eastAsia="en-US" w:bidi="en-US"/>
          <w:w w:val="100"/>
          <w:spacing w:val="0"/>
          <w:color w:val="000000"/>
          <w:position w:val="0"/>
        </w:rPr>
        <w:t xml:space="preserve">II </w:t>
      </w:r>
      <w:r>
        <w:rPr>
          <w:lang w:val="ru-RU" w:eastAsia="ru-RU" w:bidi="ru-RU"/>
          <w:w w:val="100"/>
          <w:spacing w:val="0"/>
          <w:color w:val="000000"/>
          <w:position w:val="0"/>
        </w:rPr>
        <w:t>тона.</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Высокочастотный ранний диастолический шум недостаточности клапана легочной артерии (диас</w:t>
        <w:softHyphen/>
        <w:t>толический шум Грехэма-Стилла).</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Правосторонний четвертый тон сердца.</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Легочный щелчок изгнания.</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Фиксированный, широко расщепленный второй тон наблюдается при дефекте межпредсердной пе</w:t>
        <w:softHyphen/>
        <w:t>регородки в сочетании с синдромом Эйзенменге- ра, при этом также выслушивается пансистоличес</w:t>
        <w:softHyphen/>
        <w:t>кий шум регургитации крови недостаточности трикуспидального клапана.</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Непрерывный («машинный») шум открытого ар</w:t>
        <w:softHyphen/>
        <w:t>териального протока при развитии синдрома Эй- зенменгера исчезает; остается слышимым только короткий систолический шум.</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Другие симптомы:</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Дыхательные симптомы включают цианоз и та- хипноэ.</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Гематологические симптомы включают кровоиз</w:t>
        <w:softHyphen/>
        <w:t>лияния и кровотечение. Со стороны глазного дна отклонения, связанные с эритремией, включают извилистость сосудов, отек диска зрительного не</w:t>
        <w:softHyphen/>
        <w:t>рва, микроаневризмы и пятнистые геморрагии.</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Абдоминальные симптомы включают желтуху, бо</w:t>
        <w:softHyphen/>
        <w:t>лезненность правого верхнего квадранта и поло</w:t>
        <w:softHyphen/>
        <w:t>жительный признак Мерфи (острый холецистит).</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Сосудистые симптомы включают постуральную гипотензию и локальную ишемию (парадоксаль</w:t>
        <w:softHyphen/>
        <w:t>ный эмбол).</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Скелетно-мышечные симптомы включают утол</w:t>
        <w:softHyphen/>
        <w:t>щение концевых фаланг пальцев, болезненность в метакарпальных или метатарзальных суставах (гипертрофическая остеоартропатия), суставной выпот.</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Глазные симптомы включают инъецированность конъюнктивы, покраснение радужной оболочки глаза и изменения сетчатки, связанные с повы</w:t>
        <w:softHyphen/>
        <w:t>шенной вязкостью крови.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Лабораторная диагностика</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Полный анализ крови:</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Эритроцитоз, увеличение гемоглобина и гемато- крита.</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Время кровотечения удлинено из-за дисфункции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тромбоцитов.</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Биохимический профиль:</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Увеличение конъюгированного билирубина.</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Увеличение мочевой кислоты.</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Увеличение мочевины и кретинина.</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Эритроцитарная гипогликемия — низкий уровень глюкозы в крови из-за увеличенной эритроцитар</w:t>
        <w:softHyphen/>
        <w:t>ной массы.</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Содержание железа увеличено.</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Протеинурия в анализах мочи.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Газы крови:</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Снижение </w:t>
      </w:r>
      <w:r>
        <w:rPr>
          <w:lang w:val="en-US" w:eastAsia="en-US" w:bidi="en-US"/>
          <w:w w:val="100"/>
          <w:spacing w:val="0"/>
          <w:color w:val="000000"/>
          <w:position w:val="0"/>
        </w:rPr>
        <w:t>PaCO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xml:space="preserve">из-за тахипноэ и </w:t>
      </w:r>
      <w:r>
        <w:rPr>
          <w:lang w:val="en-US" w:eastAsia="en-US" w:bidi="en-US"/>
          <w:w w:val="100"/>
          <w:spacing w:val="0"/>
          <w:color w:val="000000"/>
          <w:position w:val="0"/>
        </w:rPr>
        <w:t>PaO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из-за пра</w:t>
        <w:softHyphen/>
        <w:t>во-левого шунта.</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Смешанный респираторный и метаболический ацидоз.</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Электрокардиография:</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Почти всегда на ЭКГ выявляются патологические изменения, связанные с правожелудочковой ги-</w:t>
      </w:r>
      <w:r>
        <w:br w:type="page"/>
      </w:r>
    </w:p>
    <w:p>
      <w:pPr>
        <w:pStyle w:val="Style30"/>
        <w:widowControl w:val="0"/>
        <w:keepNext w:val="0"/>
        <w:keepLines w:val="0"/>
        <w:shd w:val="clear" w:color="auto" w:fill="auto"/>
        <w:bidi w:val="0"/>
        <w:spacing w:before="0" w:after="0" w:line="221" w:lineRule="exact"/>
        <w:ind w:left="500" w:right="0" w:firstLine="0"/>
      </w:pPr>
      <w:r>
        <w:rPr>
          <w:lang w:val="ru-RU" w:eastAsia="ru-RU" w:bidi="ru-RU"/>
          <w:w w:val="100"/>
          <w:spacing w:val="0"/>
          <w:color w:val="000000"/>
          <w:position w:val="0"/>
        </w:rPr>
        <w:t>пертрофией, в дополнение к отклонениям, связан</w:t>
        <w:softHyphen/>
        <w:t>ным с основным пороком сердца.</w:t>
      </w:r>
    </w:p>
    <w:p>
      <w:pPr>
        <w:pStyle w:val="Style30"/>
        <w:numPr>
          <w:ilvl w:val="0"/>
          <w:numId w:val="115"/>
        </w:numPr>
        <w:tabs>
          <w:tab w:leader="none" w:pos="498" w:val="left"/>
        </w:tabs>
        <w:widowControl w:val="0"/>
        <w:keepNext w:val="0"/>
        <w:keepLines w:val="0"/>
        <w:shd w:val="clear" w:color="auto" w:fill="auto"/>
        <w:bidi w:val="0"/>
        <w:spacing w:before="0" w:after="0" w:line="221" w:lineRule="exact"/>
        <w:ind w:left="500" w:right="0" w:hanging="240"/>
      </w:pPr>
      <w:r>
        <w:rPr>
          <w:lang w:val="ru-RU" w:eastAsia="ru-RU" w:bidi="ru-RU"/>
          <w:w w:val="100"/>
          <w:spacing w:val="0"/>
          <w:color w:val="000000"/>
          <w:position w:val="0"/>
        </w:rPr>
        <w:t xml:space="preserve">Высокий зубец </w:t>
      </w:r>
      <w:r>
        <w:rPr>
          <w:lang w:val="en-US" w:eastAsia="en-US" w:bidi="en-US"/>
          <w:w w:val="100"/>
          <w:spacing w:val="0"/>
          <w:color w:val="000000"/>
          <w:position w:val="0"/>
        </w:rPr>
        <w:t xml:space="preserve">R </w:t>
      </w:r>
      <w:r>
        <w:rPr>
          <w:lang w:val="ru-RU" w:eastAsia="ru-RU" w:bidi="ru-RU"/>
          <w:w w:val="100"/>
          <w:spacing w:val="0"/>
          <w:color w:val="000000"/>
          <w:position w:val="0"/>
        </w:rPr>
        <w:t xml:space="preserve">в отведении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глубокий зубец </w:t>
      </w:r>
      <w:r>
        <w:rPr>
          <w:lang w:val="en-US" w:eastAsia="en-US" w:bidi="en-US"/>
          <w:w w:val="100"/>
          <w:spacing w:val="0"/>
          <w:color w:val="000000"/>
          <w:position w:val="0"/>
        </w:rPr>
        <w:t xml:space="preserve">S </w:t>
      </w:r>
      <w:r>
        <w:rPr>
          <w:lang w:val="ru-RU" w:eastAsia="ru-RU" w:bidi="ru-RU"/>
          <w:w w:val="100"/>
          <w:spacing w:val="0"/>
          <w:color w:val="000000"/>
          <w:position w:val="0"/>
        </w:rPr>
        <w:t xml:space="preserve">в отведении </w:t>
      </w:r>
      <w:r>
        <w:rPr>
          <w:lang w:val="en-US" w:eastAsia="en-US" w:bidi="en-US"/>
          <w:w w:val="100"/>
          <w:spacing w:val="0"/>
          <w:color w:val="000000"/>
          <w:position w:val="0"/>
        </w:rPr>
        <w:t xml:space="preserve">V6, </w:t>
      </w:r>
      <w:r>
        <w:rPr>
          <w:lang w:val="ru-RU" w:eastAsia="ru-RU" w:bidi="ru-RU"/>
          <w:w w:val="100"/>
          <w:spacing w:val="0"/>
          <w:color w:val="000000"/>
          <w:position w:val="0"/>
        </w:rPr>
        <w:t xml:space="preserve">в сочетании с </w:t>
      </w:r>
      <w:r>
        <w:rPr>
          <w:lang w:val="en-US" w:eastAsia="en-US" w:bidi="en-US"/>
          <w:w w:val="100"/>
          <w:spacing w:val="0"/>
          <w:color w:val="000000"/>
          <w:position w:val="0"/>
        </w:rPr>
        <w:t xml:space="preserve">ST-T </w:t>
      </w:r>
      <w:r>
        <w:rPr>
          <w:lang w:val="ru-RU" w:eastAsia="ru-RU" w:bidi="ru-RU"/>
          <w:w w:val="100"/>
          <w:spacing w:val="0"/>
          <w:color w:val="000000"/>
          <w:position w:val="0"/>
        </w:rPr>
        <w:t>аномалиями.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en-US" w:eastAsia="en-US" w:bidi="en-US"/>
          <w:w w:val="100"/>
          <w:spacing w:val="0"/>
          <w:color w:val="000000"/>
          <w:position w:val="0"/>
        </w:rPr>
        <w:t>P pulmonale.</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Предсердные и желудочковые аритмии.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Неполная блокада правой ножки пучка Гиса на</w:t>
        <w:softHyphen/>
        <w:t>блюдается у 95% с вторичным дефектом межпред</w:t>
        <w:softHyphen/>
        <w:t>сердной перегородки, осложненным синдромом Эйзенменгера.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Вертикальное положение электрической оси серд</w:t>
        <w:softHyphen/>
        <w:t>ца определяется при синдроме Эйзенменгера вследствие вторичного дефекта межпредсердной перегородки.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Отклонение электрической оси сердца влево ха</w:t>
        <w:softHyphen/>
        <w:t>рактерно для первичного дефекта межпредсерд</w:t>
        <w:softHyphen/>
        <w:t>ной перегородки.</w:t>
      </w:r>
    </w:p>
    <w:p>
      <w:pPr>
        <w:pStyle w:val="Style30"/>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Рентгенография грудной клетки: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Дилатация правого желудочка и предсердия.</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Проявления легочной гипертензии, включая дила</w:t>
        <w:softHyphen/>
        <w:t>тацию основного ствола легочной артерии, усиле</w:t>
        <w:softHyphen/>
        <w:t>ние прикорневого сосудистого рисунка и обедне</w:t>
        <w:softHyphen/>
        <w:t>ние его по периферии.</w:t>
      </w:r>
    </w:p>
    <w:p>
      <w:pPr>
        <w:pStyle w:val="Style30"/>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Эхокардиография:</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Позволяет выявить сердечный дефект и локализа</w:t>
        <w:softHyphen/>
        <w:t>цию системно-легочного шунта.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Определение величины градиента через дефект.</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Определение величины систолического и диасто</w:t>
        <w:softHyphen/>
        <w:t>лического давления в легочной артерии.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Идентификация сопутствующих структурных ано - малий в сердце.</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Определение размеров и функции левого и право</w:t>
        <w:softHyphen/>
        <w:t>го желудочков.</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Идентификация хирургически созданного систем - но-легочного шунта.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Эхокардиография, выполненная при проведении велоэргометрии, демонстрирует увеличение пра</w:t>
        <w:softHyphen/>
        <w:t>во-левого шунта.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Чрезпищеводная эхокардиография позволяет</w:t>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определить состояние задних структур сердца, вклю</w:t>
        <w:softHyphen/>
        <w:t>чая предсердия и легочные вены.</w:t>
      </w:r>
    </w:p>
    <w:p>
      <w:pPr>
        <w:pStyle w:val="Style30"/>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Магниторезонансная томография:</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Выявление величины право -левого шунта.</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Дифференцированный анализ анатомического де</w:t>
        <w:softHyphen/>
        <w:t>фекта сердца.</w:t>
      </w:r>
    </w:p>
    <w:p>
      <w:pPr>
        <w:pStyle w:val="Style30"/>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Катетеризация сердца выполняется после проведения</w:t>
      </w:r>
    </w:p>
    <w:p>
      <w:pPr>
        <w:pStyle w:val="Style30"/>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неинвазивных методов исследования и позволяет</w:t>
      </w:r>
    </w:p>
    <w:p>
      <w:pPr>
        <w:pStyle w:val="Style30"/>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определить следующие показатели: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Тяжесть легочной сосудистой гипертензии.</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Функциональное состояние кондуита и наличие градиента давления.</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Сопутствующие аномалии коронарных артерий.</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Величину шунтирования крови.</w:t>
      </w:r>
    </w:p>
    <w:p>
      <w:pPr>
        <w:pStyle w:val="Style30"/>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Открытая биопсия легкого:</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Если при катетеризации получены данные, позво</w:t>
        <w:softHyphen/>
        <w:t>ляющие заподозрить обратимость легочной гипер</w:t>
        <w:softHyphen/>
        <w:t>тензии, проводится открытая биопсия легкого.</w:t>
      </w:r>
    </w:p>
    <w:p>
      <w:pPr>
        <w:pStyle w:val="Style30"/>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Лечение</w:t>
      </w:r>
    </w:p>
    <w:p>
      <w:pPr>
        <w:pStyle w:val="Style30"/>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 Коррекция водного обмена и климатический конт</w:t>
        <w:softHyphen/>
        <w:t>роль:</w:t>
      </w:r>
    </w:p>
    <w:p>
      <w:pPr>
        <w:pStyle w:val="Style30"/>
        <w:numPr>
          <w:ilvl w:val="0"/>
          <w:numId w:val="115"/>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Необходимо избегать дегидратации, которая мо</w:t>
        <w:softHyphen/>
        <w:t>жет увеличить право-левое шунтирование.</w:t>
      </w:r>
    </w:p>
    <w:p>
      <w:pPr>
        <w:pStyle w:val="Style30"/>
        <w:numPr>
          <w:ilvl w:val="0"/>
          <w:numId w:val="115"/>
        </w:numPr>
        <w:tabs>
          <w:tab w:leader="none" w:pos="757" w:val="left"/>
        </w:tabs>
        <w:widowControl w:val="0"/>
        <w:keepNext w:val="0"/>
        <w:keepLines w:val="0"/>
        <w:shd w:val="clear" w:color="auto" w:fill="auto"/>
        <w:bidi w:val="0"/>
        <w:spacing w:before="0" w:after="0"/>
        <w:ind w:left="740" w:right="0" w:hanging="220"/>
      </w:pPr>
      <w:r>
        <w:br w:type="column"/>
      </w:r>
      <w:r>
        <w:rPr>
          <w:lang w:val="ru-RU" w:eastAsia="ru-RU" w:bidi="ru-RU"/>
          <w:w w:val="100"/>
          <w:spacing w:val="0"/>
          <w:color w:val="000000"/>
          <w:position w:val="0"/>
        </w:rPr>
        <w:t>Необходимо избегать жаркий и влажный климат, которые могут усилить вазодилатацию, приводить к обмороку и увеличенному право-левому шунти</w:t>
        <w:softHyphen/>
        <w:t>рованию.</w:t>
      </w:r>
    </w:p>
    <w:p>
      <w:pPr>
        <w:pStyle w:val="Style30"/>
        <w:numPr>
          <w:ilvl w:val="0"/>
          <w:numId w:val="11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Кислородотерапия:</w:t>
      </w:r>
    </w:p>
    <w:p>
      <w:pPr>
        <w:pStyle w:val="Style30"/>
        <w:numPr>
          <w:ilvl w:val="0"/>
          <w:numId w:val="115"/>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Использование кислорода у пациентов с синдро</w:t>
        <w:softHyphen/>
        <w:t>мом Эйзенменгера спорно.</w:t>
      </w:r>
    </w:p>
    <w:p>
      <w:pPr>
        <w:pStyle w:val="Style30"/>
        <w:numPr>
          <w:ilvl w:val="0"/>
          <w:numId w:val="115"/>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 некоторых пациентов отмечен положительный результат ингаляций кислорода во время ночного сна.</w:t>
      </w:r>
    </w:p>
    <w:p>
      <w:pPr>
        <w:pStyle w:val="Style30"/>
        <w:numPr>
          <w:ilvl w:val="0"/>
          <w:numId w:val="115"/>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Домашняя кислородотерапия улучшает выжива</w:t>
        <w:softHyphen/>
        <w:t>ние и симптоматику болезни, хотя она наиболее полезна, если больному планируется транспланта</w:t>
        <w:softHyphen/>
        <w:t>ция сердце-легкие.</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у больного развивается эритроцитоз, высокая вязкость крови, гематокрит больше 65%, проводят кровопускание 250 мл крови и замещают данный объ</w:t>
        <w:softHyphen/>
        <w:t>ем изотоническим раствором хлорида натрия или 5% раствором декстрозы.</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Для восстановления массивного кровотечения при</w:t>
        <w:softHyphen/>
        <w:t>меняют свежезамороженную плазму, криопреципи</w:t>
        <w:softHyphen/>
        <w:t>таты и тромбоциты.</w:t>
      </w:r>
    </w:p>
    <w:p>
      <w:pPr>
        <w:pStyle w:val="Style30"/>
        <w:numPr>
          <w:ilvl w:val="0"/>
          <w:numId w:val="115"/>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Проводится профилактика инфекционного эндокар</w:t>
        <w:softHyphen/>
        <w:t>дита (гигиена полости рта).</w:t>
      </w:r>
    </w:p>
    <w:p>
      <w:pPr>
        <w:pStyle w:val="Style30"/>
        <w:numPr>
          <w:ilvl w:val="0"/>
          <w:numId w:val="11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Сердечно-легочная трансплантация:</w:t>
      </w:r>
    </w:p>
    <w:p>
      <w:pPr>
        <w:pStyle w:val="Style30"/>
        <w:numPr>
          <w:ilvl w:val="0"/>
          <w:numId w:val="115"/>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Сердечно-легочную трансплантацию проводят, ес</w:t>
        <w:softHyphen/>
        <w:t>ли порок сердца не подлежит хирургической кор</w:t>
        <w:softHyphen/>
        <w:t>рекции.</w:t>
      </w:r>
    </w:p>
    <w:p>
      <w:pPr>
        <w:pStyle w:val="Style30"/>
        <w:numPr>
          <w:ilvl w:val="0"/>
          <w:numId w:val="115"/>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Сердечно-легочная трансплантация впервые вы</w:t>
        <w:softHyphen/>
        <w:t>полнена успешно в 1981 г. С тех пор результаты операции значительно улучшились вследствие бо</w:t>
        <w:softHyphen/>
        <w:t>лее эффективной иммуносупрессии и антивирус</w:t>
        <w:softHyphen/>
        <w:t>ной терапии, а также более селективного отбора пациентов.</w:t>
      </w:r>
    </w:p>
    <w:p>
      <w:pPr>
        <w:pStyle w:val="Style30"/>
        <w:numPr>
          <w:ilvl w:val="0"/>
          <w:numId w:val="115"/>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Выживаемость после трансплантации в течение года составляет 68%, 5 лет — 43% и 10 лет — 23%.</w:t>
      </w:r>
    </w:p>
    <w:p>
      <w:pPr>
        <w:pStyle w:val="Style30"/>
        <w:numPr>
          <w:ilvl w:val="0"/>
          <w:numId w:val="115"/>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Основными осложнениями после пересадки серд</w:t>
        <w:softHyphen/>
        <w:t>це-легкие являются отторжение трансплантата, инфекции, облитеративный бронхиолит.</w:t>
      </w:r>
    </w:p>
    <w:p>
      <w:pPr>
        <w:pStyle w:val="Style30"/>
        <w:numPr>
          <w:ilvl w:val="0"/>
          <w:numId w:val="11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Двусторонняя трансплантация легкого:</w:t>
      </w:r>
    </w:p>
    <w:p>
      <w:pPr>
        <w:pStyle w:val="Style30"/>
        <w:numPr>
          <w:ilvl w:val="0"/>
          <w:numId w:val="115"/>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Может осуществляться, если синдром Эйзенмен- гера возник в результате простого дефекта, устра</w:t>
        <w:softHyphen/>
        <w:t>няемого хирургически (например, при дефекте межпредсердной перегородки).</w:t>
      </w:r>
    </w:p>
    <w:p>
      <w:pPr>
        <w:pStyle w:val="Style30"/>
        <w:numPr>
          <w:ilvl w:val="0"/>
          <w:numId w:val="115"/>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Кардиохирургическая коррекция:</w:t>
      </w:r>
    </w:p>
    <w:p>
      <w:pPr>
        <w:pStyle w:val="Style30"/>
        <w:numPr>
          <w:ilvl w:val="0"/>
          <w:numId w:val="115"/>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Устранение порока сердца противопоказано при установленной тяжелой легочной артериальной гипертензии. Однако хирургическая коррекция порока может быть возможна в некоторых случаях, если сохраняется двунаправленное шунтирование крови и при фармакологическом тестировании происходит снижение легочного сосудистого со</w:t>
        <w:softHyphen/>
        <w:t>противления. В сомнительных случаях проводится открытая биопсия легкого.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Лекарственные препараты, применяемые при лечении син</w:t>
        <w:softHyphen/>
        <w:t>дрома Эйзенменгера</w:t>
      </w:r>
    </w:p>
    <w:p>
      <w:pPr>
        <w:pStyle w:val="Style30"/>
        <w:widowControl w:val="0"/>
        <w:keepNext w:val="0"/>
        <w:keepLines w:val="0"/>
        <w:shd w:val="clear" w:color="auto" w:fill="auto"/>
        <w:bidi w:val="0"/>
        <w:spacing w:before="0" w:after="0"/>
        <w:ind w:left="0" w:right="0" w:firstLine="280"/>
      </w:pPr>
      <w:r>
        <w:pict>
          <v:shape id="_x0000_s1604" type="#_x0000_t75" style="position:absolute;margin-left:142.3pt;margin-top:736.55pt;width:209.75pt;height:14.9pt;z-index:-125828989;mso-wrap-distance-left:136.1pt;mso-wrap-distance-right:136.55pt;mso-wrap-distance-bottom:10.8pt;mso-position-horizontal-relative:margin;mso-position-vertical-relative:margin" wrapcoords="0 0 21600 0 21600 21600 0 21600 0 0">
            <v:imagedata r:id="rId961" r:href="rId962"/>
            <w10:wrap type="topAndBottom" anchorx="margin" anchory="margin"/>
          </v:shape>
        </w:pict>
      </w:r>
      <w:r>
        <w:rPr>
          <w:lang w:val="ru-RU" w:eastAsia="ru-RU" w:bidi="ru-RU"/>
          <w:w w:val="100"/>
          <w:spacing w:val="0"/>
          <w:color w:val="000000"/>
          <w:position w:val="0"/>
        </w:rPr>
        <w:t>Лечение синдрома Эйзенменгера должно быть сосредо</w:t>
        <w:softHyphen/>
        <w:t>точено на: 1) адекватной коррекции сердечной недостаточ</w:t>
        <w:softHyphen/>
        <w:t>ности, легочной артериальной гипертензии и аритмий; 2) предупреждении осложнений цианотического врожден</w:t>
        <w:softHyphen/>
        <w:t>ного порока сердца; 3) предупреждении инфекционного эндокардита.</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Диуретики применяют для устранения застойных явле</w:t>
        <w:softHyphen/>
        <w:t>ний в малом и большом кругах кровообращения.</w:t>
      </w:r>
    </w:p>
    <w:p>
      <w:pPr>
        <w:pStyle w:val="Style30"/>
        <w:widowControl w:val="0"/>
        <w:keepNext w:val="0"/>
        <w:keepLines w:val="0"/>
        <w:shd w:val="clear" w:color="auto" w:fill="auto"/>
        <w:bidi w:val="0"/>
        <w:spacing w:before="0" w:after="0"/>
        <w:ind w:left="520" w:right="0" w:hanging="240"/>
      </w:pPr>
      <w:r>
        <w:rPr>
          <w:rStyle w:val="CharStyle103"/>
        </w:rPr>
        <w:t>Фуросемид</w:t>
      </w:r>
      <w:r>
        <w:rPr>
          <w:lang w:val="ru-RU" w:eastAsia="ru-RU" w:bidi="ru-RU"/>
          <w:w w:val="100"/>
          <w:spacing w:val="0"/>
          <w:color w:val="000000"/>
          <w:position w:val="0"/>
        </w:rPr>
        <w:t xml:space="preserve"> </w:t>
      </w:r>
      <w:r>
        <w:rPr>
          <w:lang w:val="en-US" w:eastAsia="en-US" w:bidi="en-US"/>
          <w:w w:val="100"/>
          <w:spacing w:val="0"/>
          <w:color w:val="000000"/>
          <w:position w:val="0"/>
        </w:rPr>
        <w:t xml:space="preserve">(Furosemide, Lasix) </w:t>
      </w:r>
      <w:r>
        <w:rPr>
          <w:lang w:val="ru-RU" w:eastAsia="ru-RU" w:bidi="ru-RU"/>
          <w:w w:val="100"/>
          <w:spacing w:val="0"/>
          <w:color w:val="000000"/>
          <w:position w:val="0"/>
        </w:rPr>
        <w:t>— внутрь 1-2 мг/кг/сутки.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Сердечные гликозиды назначают с целью позитивного инотропного и негативного хронотропного эффекта при развитии бивентрикулярной сердечной недостаточности.</w:t>
      </w:r>
    </w:p>
    <w:p>
      <w:pPr>
        <w:pStyle w:val="Style30"/>
        <w:widowControl w:val="0"/>
        <w:keepNext w:val="0"/>
        <w:keepLines w:val="0"/>
        <w:shd w:val="clear" w:color="auto" w:fill="auto"/>
        <w:bidi w:val="0"/>
        <w:spacing w:before="0" w:after="0"/>
        <w:ind w:left="0" w:right="0" w:firstLine="280"/>
      </w:pPr>
      <w:r>
        <w:rPr>
          <w:rStyle w:val="CharStyle103"/>
        </w:rPr>
        <w:t>Дигоксин</w:t>
      </w:r>
      <w:r>
        <w:rPr>
          <w:lang w:val="ru-RU" w:eastAsia="ru-RU" w:bidi="ru-RU"/>
          <w:w w:val="100"/>
          <w:spacing w:val="0"/>
          <w:color w:val="000000"/>
          <w:position w:val="0"/>
        </w:rPr>
        <w:t xml:space="preserve"> </w:t>
      </w:r>
      <w:r>
        <w:rPr>
          <w:lang w:val="en-US" w:eastAsia="en-US" w:bidi="en-US"/>
          <w:w w:val="100"/>
          <w:spacing w:val="0"/>
          <w:color w:val="000000"/>
          <w:position w:val="0"/>
        </w:rPr>
        <w:t xml:space="preserve">(Digoxin, Lanoxin, Lanoxicaps). </w:t>
      </w:r>
      <w:r>
        <w:rPr>
          <w:lang w:val="ru-RU" w:eastAsia="ru-RU" w:bidi="ru-RU"/>
          <w:w w:val="100"/>
          <w:spacing w:val="0"/>
          <w:color w:val="000000"/>
          <w:position w:val="0"/>
        </w:rPr>
        <w:t>Доза насыще</w:t>
        <w:softHyphen/>
        <w:t>ния: 5-10 лет — 20-35 мкг/кг внутрь; &gt;10 лет — 10-15 мгк/кг внутрь. Поддерживающая доза составляет 25-35% от дозы насыщения.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Легочные вазодилататоры (см. лечение вторичной ле</w:t>
        <w:softHyphen/>
        <w:t>гочной гипертензии).</w:t>
      </w:r>
    </w:p>
    <w:p>
      <w:pPr>
        <w:pStyle w:val="Style30"/>
        <w:widowControl w:val="0"/>
        <w:keepNext w:val="0"/>
        <w:keepLines w:val="0"/>
        <w:shd w:val="clear" w:color="auto" w:fill="auto"/>
        <w:bidi w:val="0"/>
        <w:spacing w:before="0" w:after="221"/>
        <w:ind w:left="0" w:right="0" w:firstLine="280"/>
      </w:pPr>
      <w:r>
        <w:rPr>
          <w:lang w:val="ru-RU" w:eastAsia="ru-RU" w:bidi="ru-RU"/>
          <w:w w:val="100"/>
          <w:spacing w:val="0"/>
          <w:color w:val="000000"/>
          <w:position w:val="0"/>
        </w:rPr>
        <w:t>Антибиотики используются для профилактики инфек</w:t>
        <w:softHyphen/>
        <w:t>ционного эндокардита (см. главу).</w:t>
      </w:r>
    </w:p>
    <w:p>
      <w:pPr>
        <w:pStyle w:val="Style48"/>
        <w:widowControl w:val="0"/>
        <w:keepNext/>
        <w:keepLines/>
        <w:shd w:val="clear" w:color="auto" w:fill="auto"/>
        <w:bidi w:val="0"/>
        <w:jc w:val="left"/>
        <w:spacing w:before="0" w:after="79" w:line="240" w:lineRule="exact"/>
        <w:ind w:left="0" w:right="0" w:firstLine="0"/>
      </w:pPr>
      <w:bookmarkStart w:id="576" w:name="bookmark576"/>
      <w:r>
        <w:rPr>
          <w:lang w:val="ru-RU" w:eastAsia="ru-RU" w:bidi="ru-RU"/>
          <w:w w:val="100"/>
          <w:spacing w:val="0"/>
          <w:color w:val="000000"/>
          <w:position w:val="0"/>
        </w:rPr>
        <w:t>Легочная гипертензия при приобретенных пороках сердца</w:t>
      </w:r>
      <w:bookmarkEnd w:id="57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Легочная гипертензия является обычным этапом в раз</w:t>
        <w:softHyphen/>
        <w:t>витии митрального стеноза (см. главу). На начальных ста</w:t>
        <w:softHyphen/>
        <w:t>диях она носит венозный характер, однако, если она выра</w:t>
        <w:softHyphen/>
        <w:t>жена значительно, т.е. возникает артериальная легочная ги</w:t>
        <w:softHyphen/>
        <w:t>пертензия, это состояние следует рассматривать как ослож</w:t>
        <w:softHyphen/>
        <w:t>нение порока. Характерно, что прямые аускультативные признаки порока (хлопающий тон, щелчок открытия, диа</w:t>
        <w:softHyphen/>
        <w:t>столический шум) при развитии легочной гипертензии мо</w:t>
        <w:softHyphen/>
        <w:t xml:space="preserve">гут исчезать, и на первое место выступает симптоматика высокого давления в легочной артерии: акцент </w:t>
      </w:r>
      <w:r>
        <w:rPr>
          <w:lang w:val="en-US" w:eastAsia="en-US" w:bidi="en-US"/>
          <w:w w:val="100"/>
          <w:spacing w:val="0"/>
          <w:color w:val="000000"/>
          <w:position w:val="0"/>
        </w:rPr>
        <w:t xml:space="preserve">II </w:t>
      </w:r>
      <w:r>
        <w:rPr>
          <w:lang w:val="ru-RU" w:eastAsia="ru-RU" w:bidi="ru-RU"/>
          <w:w w:val="100"/>
          <w:spacing w:val="0"/>
          <w:color w:val="000000"/>
          <w:position w:val="0"/>
        </w:rPr>
        <w:t>тона, одышка, приступы сердечной астмы, правожелудочковая недостаточность. Часто развивается мерцательная аритмия, кровохарканье.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ЭКГ при митральном стенозе выявляется перегрузка левого предсердия, при присоединении легочной гипертен</w:t>
        <w:softHyphen/>
        <w:t>зии — бивентрикулярная гипертрофия желудочков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рентгенологическом обследовании характерно от</w:t>
        <w:softHyphen/>
        <w:t>клонение пищевода по дуге большого радиуса.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Диагноз митрального стеноза подтверждается при эхо</w:t>
        <w:softHyphen/>
        <w:t>кардиографическом исследовании.</w:t>
      </w:r>
    </w:p>
    <w:p>
      <w:pPr>
        <w:pStyle w:val="Style30"/>
        <w:widowControl w:val="0"/>
        <w:keepNext w:val="0"/>
        <w:keepLines w:val="0"/>
        <w:shd w:val="clear" w:color="auto" w:fill="auto"/>
        <w:bidi w:val="0"/>
        <w:spacing w:before="0" w:after="237"/>
        <w:ind w:left="520" w:right="0" w:hanging="240"/>
      </w:pPr>
      <w:r>
        <w:rPr>
          <w:lang w:val="ru-RU" w:eastAsia="ru-RU" w:bidi="ru-RU"/>
          <w:w w:val="100"/>
          <w:spacing w:val="0"/>
          <w:color w:val="000000"/>
          <w:position w:val="0"/>
        </w:rPr>
        <w:t>Лечение (см. вторичная легочная гипертензия).</w:t>
      </w:r>
    </w:p>
    <w:p>
      <w:pPr>
        <w:pStyle w:val="Style28"/>
        <w:widowControl w:val="0"/>
        <w:keepNext/>
        <w:keepLines/>
        <w:shd w:val="clear" w:color="auto" w:fill="auto"/>
        <w:bidi w:val="0"/>
        <w:jc w:val="left"/>
        <w:spacing w:before="0" w:after="153" w:line="220" w:lineRule="exact"/>
        <w:ind w:left="0" w:right="0" w:firstLine="0"/>
      </w:pPr>
      <w:bookmarkStart w:id="577" w:name="bookmark577"/>
      <w:r>
        <w:rPr>
          <w:lang w:val="ru-RU" w:eastAsia="ru-RU" w:bidi="ru-RU"/>
          <w:w w:val="100"/>
          <w:spacing w:val="0"/>
          <w:color w:val="000000"/>
          <w:position w:val="0"/>
        </w:rPr>
        <w:t xml:space="preserve">Легочное сердце </w:t>
      </w:r>
      <w:r>
        <w:rPr>
          <w:lang w:val="en-US" w:eastAsia="en-US" w:bidi="en-US"/>
          <w:w w:val="100"/>
          <w:spacing w:val="0"/>
          <w:color w:val="000000"/>
          <w:position w:val="0"/>
        </w:rPr>
        <w:t>(cor pulmonale)</w:t>
      </w:r>
      <w:bookmarkEnd w:id="577"/>
    </w:p>
    <w:p>
      <w:pPr>
        <w:pStyle w:val="Style92"/>
        <w:widowControl w:val="0"/>
        <w:keepNext/>
        <w:keepLines/>
        <w:shd w:val="clear" w:color="auto" w:fill="auto"/>
        <w:bidi w:val="0"/>
        <w:spacing w:before="0" w:after="0"/>
        <w:ind w:left="520" w:right="0" w:hanging="240"/>
      </w:pPr>
      <w:bookmarkStart w:id="578" w:name="bookmark578"/>
      <w:r>
        <w:rPr>
          <w:lang w:val="ru-RU" w:eastAsia="ru-RU" w:bidi="ru-RU"/>
          <w:w w:val="100"/>
          <w:spacing w:val="0"/>
          <w:color w:val="000000"/>
          <w:position w:val="0"/>
        </w:rPr>
        <w:t>Определение</w:t>
      </w:r>
      <w:bookmarkEnd w:id="578"/>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Существует несколько определений легочного сердца:</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Легочное сердце — это гипертрофия правого желу</w:t>
        <w:softHyphen/>
        <w:t>дочка в результате заболеваний, влияющих на функ</w:t>
        <w:softHyphen/>
        <w:t>цию и структуру легких, за исключением тех легоч</w:t>
        <w:softHyphen/>
        <w:t>ных изменений, которые являются результатом забо</w:t>
        <w:softHyphen/>
        <w:t>леваний, непосредственно действующих на левые от</w:t>
        <w:softHyphen/>
        <w:t>делы сердца, например, при врожденных пороках сердца (Экспертный комитет ВОЗ, 1961).</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«Под легочным сердцем следует понимать весь ком</w:t>
        <w:softHyphen/>
        <w:t>плекс нарушений гемодинамики (в первую очередь вторичную легочную гипертензию), развивающийся вследствие заболеваний бронхолегочного аппарата и проявляющийся на конечном этапе необратимым морфологическим изменением правого желудочка с развитием прогрессирующего нарушения кровооб</w:t>
        <w:softHyphen/>
        <w:t>ращения» (Сильвестров В.П. с соавт., 1991).</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Краткая историческая справка</w:t>
      </w:r>
    </w:p>
    <w:p>
      <w:pPr>
        <w:pStyle w:val="Style30"/>
        <w:numPr>
          <w:ilvl w:val="0"/>
          <w:numId w:val="11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Изменения в сердце на фоне заболеваний легких бы</w:t>
        <w:softHyphen/>
        <w:t>ли впервые описаны Р. Лаэннеком в 1819 г.</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 xml:space="preserve">Термин «легочное сердце» был введен в практику </w:t>
      </w:r>
      <w:r>
        <w:rPr>
          <w:lang w:val="en-US" w:eastAsia="en-US" w:bidi="en-US"/>
          <w:w w:val="100"/>
          <w:spacing w:val="0"/>
          <w:color w:val="000000"/>
          <w:position w:val="0"/>
        </w:rPr>
        <w:t xml:space="preserve">Paul D. White </w:t>
      </w:r>
      <w:r>
        <w:rPr>
          <w:lang w:val="ru-RU" w:eastAsia="ru-RU" w:bidi="ru-RU"/>
          <w:w w:val="100"/>
          <w:spacing w:val="0"/>
          <w:color w:val="000000"/>
          <w:position w:val="0"/>
        </w:rPr>
        <w:t>в 1931 г. Этот термин встречается прак</w:t>
        <w:softHyphen/>
        <w:t>тически во всей литературе и является наиболее упо</w:t>
        <w:softHyphen/>
        <w:t>требляемым для обозначения поражения сердеч</w:t>
        <w:softHyphen/>
        <w:t>но-сосудистой системы при заболеваниях бронхоле</w:t>
        <w:softHyphen/>
        <w:t>гочного аппарата.</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Из отечественных ученых в XIX веке проблему легоч - ного сердца изучали Г. И. Сокольский (1838), Э.И. Изаксон (1870), С.П. Боткин (1886), Г.Ф. Ланг (1935).</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Основоположником изучения легочного сердца у де</w:t>
        <w:softHyphen/>
        <w:t>тей является Ю.Ф. Домбровская.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 распространенности и частоте летальных исходов легочное сердце в последние годы находится почти на одном уровне с заболеваниями сердца другой этиоло</w:t>
        <w:softHyphen/>
        <w:t>гии.</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Среди всех случаев легочной недостаточности хрони</w:t>
        <w:softHyphen/>
        <w:t>ческое сердце составляет 25%.</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Являясь основным и наиболее тяжелым осложнением хронических неспецифических заболеваний легких (ХНЗЛ), оно определяет их клинику и течение, приво</w:t>
        <w:softHyphen/>
        <w:t>дит к ранней инвалидизации больных и в большин</w:t>
        <w:softHyphen/>
        <w:t>стве случаев является причиной летальных исходов.</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Этот синдром составляет 1/3 всех заболеваний серд</w:t>
        <w:softHyphen/>
        <w:t>ца.</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патологоанатомических исследованиях умерших от хронических неспецифических заболеваний лег</w:t>
        <w:softHyphen/>
        <w:t>ких обнаруживается в 80-82,1% случаев.</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Этиология</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Легочное сердце является следствием заболеваний трех групп:</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Заболевания бронхов и легких, первично влияющих на прохождение воздуха и альвеол. Являются причи</w:t>
        <w:softHyphen/>
        <w:t>ной развития легочного сердца в 80% случаев:</w:t>
      </w:r>
    </w:p>
    <w:p>
      <w:pPr>
        <w:pStyle w:val="Style30"/>
        <w:numPr>
          <w:ilvl w:val="0"/>
          <w:numId w:val="117"/>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хронический обструктивный бронхит;</w:t>
      </w:r>
    </w:p>
    <w:p>
      <w:pPr>
        <w:pStyle w:val="Style30"/>
        <w:numPr>
          <w:ilvl w:val="0"/>
          <w:numId w:val="117"/>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пневмосклероз любой этиологии;</w:t>
      </w:r>
    </w:p>
    <w:p>
      <w:pPr>
        <w:pStyle w:val="Style30"/>
        <w:numPr>
          <w:ilvl w:val="0"/>
          <w:numId w:val="117"/>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пневмокониозы;</w:t>
      </w:r>
    </w:p>
    <w:p>
      <w:pPr>
        <w:pStyle w:val="Style30"/>
        <w:numPr>
          <w:ilvl w:val="0"/>
          <w:numId w:val="117"/>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туберкулез легких;</w:t>
      </w:r>
    </w:p>
    <w:p>
      <w:pPr>
        <w:pStyle w:val="Style30"/>
        <w:numPr>
          <w:ilvl w:val="0"/>
          <w:numId w:val="117"/>
        </w:numPr>
        <w:tabs>
          <w:tab w:leader="none" w:pos="735"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 xml:space="preserve">СКВ, саркоидоиз Бека </w:t>
      </w:r>
      <w:r>
        <w:rPr>
          <w:lang w:val="en-US" w:eastAsia="en-US" w:bidi="en-US"/>
          <w:w w:val="100"/>
          <w:spacing w:val="0"/>
          <w:color w:val="000000"/>
          <w:position w:val="0"/>
        </w:rPr>
        <w:t xml:space="preserve">(Boeck), </w:t>
      </w:r>
      <w:r>
        <w:rPr>
          <w:lang w:val="ru-RU" w:eastAsia="ru-RU" w:bidi="ru-RU"/>
          <w:w w:val="100"/>
          <w:spacing w:val="0"/>
          <w:color w:val="000000"/>
          <w:position w:val="0"/>
        </w:rPr>
        <w:t>фиброзирующие альвеолиты (эндо- и экзогенные).</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Заболевания, первично поражающие грудную клетку, диафрагму с ограничением их подвижности:</w:t>
      </w:r>
    </w:p>
    <w:p>
      <w:pPr>
        <w:pStyle w:val="Style30"/>
        <w:numPr>
          <w:ilvl w:val="0"/>
          <w:numId w:val="117"/>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кифосколиозы;</w:t>
      </w:r>
    </w:p>
    <w:p>
      <w:pPr>
        <w:pStyle w:val="Style30"/>
        <w:numPr>
          <w:ilvl w:val="0"/>
          <w:numId w:val="117"/>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множественные повреждения ребер;</w:t>
      </w:r>
    </w:p>
    <w:p>
      <w:pPr>
        <w:pStyle w:val="Style30"/>
        <w:numPr>
          <w:ilvl w:val="0"/>
          <w:numId w:val="117"/>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синдром Пиквика при ожирении;</w:t>
      </w:r>
    </w:p>
    <w:p>
      <w:pPr>
        <w:pStyle w:val="Style30"/>
        <w:numPr>
          <w:ilvl w:val="0"/>
          <w:numId w:val="117"/>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болезнь Бехтерева;</w:t>
      </w:r>
    </w:p>
    <w:p>
      <w:pPr>
        <w:pStyle w:val="Style30"/>
        <w:numPr>
          <w:ilvl w:val="0"/>
          <w:numId w:val="117"/>
        </w:numPr>
        <w:tabs>
          <w:tab w:leader="none" w:pos="735"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плевральные нагноения после перенесенных плев - ритов.</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Заболевания, первично поражающие легочные сосу</w:t>
        <w:softHyphen/>
        <w:t>ды:</w:t>
      </w:r>
    </w:p>
    <w:p>
      <w:pPr>
        <w:pStyle w:val="Style30"/>
        <w:numPr>
          <w:ilvl w:val="0"/>
          <w:numId w:val="117"/>
        </w:numPr>
        <w:tabs>
          <w:tab w:leader="none" w:pos="735"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первичная артериальная гипертония малого круга кровообращения;</w:t>
      </w:r>
    </w:p>
    <w:p>
      <w:pPr>
        <w:pStyle w:val="Style30"/>
        <w:numPr>
          <w:ilvl w:val="0"/>
          <w:numId w:val="117"/>
        </w:numPr>
        <w:tabs>
          <w:tab w:leader="none" w:pos="735"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рецидивирующая тромбоэмболия легочной арте</w:t>
        <w:softHyphen/>
        <w:t>рии (ТЭЛА);</w:t>
      </w:r>
    </w:p>
    <w:p>
      <w:pPr>
        <w:pStyle w:val="Style30"/>
        <w:numPr>
          <w:ilvl w:val="0"/>
          <w:numId w:val="117"/>
        </w:numPr>
        <w:tabs>
          <w:tab w:leader="none" w:pos="735"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сдавление легочной артерии или вен (аневризма, опухоли и т.д.).</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В зависимости от характера течения выделяют острое, подострое и хроническое легочное сердце (табл. 23).</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Стадии развития хронического легочного сердца (ХЛС):</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pict>
          <v:shape id="_x0000_s1605" type="#_x0000_t75" style="position:absolute;margin-left:136.9pt;margin-top:736.55pt;width:209.75pt;height:14.9pt;z-index:-125828988;mso-wrap-distance-left:136.8pt;mso-wrap-distance-right:148.1pt;mso-wrap-distance-bottom:10.8pt;mso-position-horizontal-relative:margin;mso-position-vertical-relative:margin" wrapcoords="0 0 21600 0 21600 21600 0 21600 0 0">
            <v:imagedata r:id="rId963" r:href="rId964"/>
            <w10:wrap type="topAndBottom" anchorx="margin" anchory="margin"/>
          </v:shape>
        </w:pict>
      </w:r>
      <w:r>
        <w:rPr>
          <w:lang w:val="ru-RU" w:eastAsia="ru-RU" w:bidi="ru-RU"/>
          <w:w w:val="100"/>
          <w:spacing w:val="0"/>
          <w:color w:val="000000"/>
          <w:position w:val="0"/>
        </w:rPr>
        <w:t>Начальная стадия — увеличение резистентности ле</w:t>
        <w:softHyphen/>
        <w:t>гочных сосудов, проявляется как легочная гипертен-</w:t>
      </w:r>
      <w:r>
        <w:br w:type="page"/>
      </w:r>
    </w:p>
    <w:p>
      <w:pPr>
        <w:pStyle w:val="Style30"/>
        <w:widowControl w:val="0"/>
        <w:keepNext w:val="0"/>
        <w:keepLines w:val="0"/>
        <w:shd w:val="clear" w:color="auto" w:fill="auto"/>
        <w:bidi w:val="0"/>
        <w:spacing w:before="0" w:after="0"/>
        <w:ind w:left="520" w:right="0" w:firstLine="0"/>
      </w:pPr>
      <w:r>
        <w:pict>
          <v:shape id="_x0000_s1606" type="#_x0000_t202" style="position:absolute;margin-left:-0.35pt;margin-top:24.95pt;width:494.4pt;height:212.4pt;z-index:-125828987;mso-wrap-distance-left:5.pt;mso-wrap-distance-right:5.pt;mso-position-horizontal-relative:margin;mso-position-vertical-relative:margin" filled="f" stroked="f">
            <v:textbox style="mso-fit-shape-to-text:t" inset="0,0,0,0">
              <w:txbxContent>
                <w:tbl>
                  <w:tblPr>
                    <w:tblOverlap w:val="never"/>
                    <w:tblLayout w:type="fixed"/>
                    <w:jc w:val="left"/>
                  </w:tblPr>
                  <w:tblGrid>
                    <w:gridCol w:w="1627"/>
                    <w:gridCol w:w="1680"/>
                    <w:gridCol w:w="1891"/>
                    <w:gridCol w:w="4690"/>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Течение</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Компенсация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Генез</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Клиника</w:t>
                        </w:r>
                      </w:p>
                    </w:tc>
                  </w:tr>
                  <w:tr>
                    <w:trPr>
                      <w:trHeight w:val="619" w:hRule="exact"/>
                    </w:trPr>
                    <w:tc>
                      <w:tcPr>
                        <w:shd w:val="clear" w:color="auto" w:fill="FFFFFF"/>
                        <w:vMerge w:val="restart"/>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Острое легочное сердце (развитие в течение нескольких часов, дней)</w:t>
                        </w:r>
                      </w:p>
                    </w:tc>
                    <w:tc>
                      <w:tcPr>
                        <w:shd w:val="clear" w:color="auto" w:fill="FFFFFF"/>
                        <w:vMerge w:val="restart"/>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Декомпенсированное</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Преимущественно вас</w:t>
                          <w:softHyphen/>
                          <w:t>кулярный</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Тромбоэмболия легочной артерии (тромб, эмболия жировая, га</w:t>
                          <w:softHyphen/>
                          <w:t>зовая, опухолевая), вентильный пневмоторакс, пневмомедиа- стинум</w:t>
                        </w:r>
                      </w:p>
                    </w:tc>
                  </w:tr>
                  <w:tr>
                    <w:trPr>
                      <w:trHeight w:val="427" w:hRule="exact"/>
                    </w:trPr>
                    <w:tc>
                      <w:tcPr>
                        <w:shd w:val="clear" w:color="auto" w:fill="FFFFFF"/>
                        <w:vMerge/>
                        <w:tcBorders>
                          <w:left w:val="single" w:sz="4"/>
                        </w:tcBorders>
                        <w:vAlign w:val="top"/>
                      </w:tcPr>
                      <w:p>
                        <w:pPr/>
                      </w:p>
                    </w:tc>
                    <w:tc>
                      <w:tcPr>
                        <w:shd w:val="clear" w:color="auto" w:fill="FFFFFF"/>
                        <w:vMerge/>
                        <w:tcBorders>
                          <w:left w:val="single" w:sz="4"/>
                        </w:tcBorders>
                        <w:vAlign w:val="top"/>
                      </w:tcPr>
                      <w:p>
                        <w:pP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Бронхолегочный</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Приступ бронхиальной астмы, распространенная пневмония со значительным цианозом</w:t>
                        </w:r>
                      </w:p>
                    </w:tc>
                  </w:tr>
                  <w:tr>
                    <w:trPr>
                      <w:trHeight w:val="432" w:hRule="exact"/>
                    </w:trPr>
                    <w:tc>
                      <w:tcPr>
                        <w:shd w:val="clear" w:color="auto" w:fill="FFFFFF"/>
                        <w:vMerge w:val="restart"/>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Подострое легочное сердце (развитие в течение нескольких недель, месяцев)</w:t>
                        </w:r>
                      </w:p>
                    </w:tc>
                    <w:tc>
                      <w:tcPr>
                        <w:shd w:val="clear" w:color="auto" w:fill="FFFFFF"/>
                        <w:vMerge w:val="restart"/>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Компенсированное. Декомпенсированное по правожелудочко</w:t>
                          <w:softHyphen/>
                          <w:t>вому типу</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Васкулярный</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Повторные мелкие тромбоэмболии (тромбы, яйца паразитов, обломки эритроцитов при серповидноклеточной анемии)</w:t>
                        </w:r>
                      </w:p>
                    </w:tc>
                  </w:tr>
                  <w:tr>
                    <w:trPr>
                      <w:trHeight w:val="427" w:hRule="exact"/>
                    </w:trPr>
                    <w:tc>
                      <w:tcPr>
                        <w:shd w:val="clear" w:color="auto" w:fill="FFFFFF"/>
                        <w:vMerge/>
                        <w:tcBorders>
                          <w:left w:val="single" w:sz="4"/>
                        </w:tcBorders>
                        <w:vAlign w:val="top"/>
                      </w:tcPr>
                      <w:p>
                        <w:pPr/>
                      </w:p>
                    </w:tc>
                    <w:tc>
                      <w:tcPr>
                        <w:shd w:val="clear" w:color="auto" w:fill="FFFFFF"/>
                        <w:vMerge/>
                        <w:tcBorders>
                          <w:left w:val="single" w:sz="4"/>
                        </w:tcBorders>
                        <w:vAlign w:val="top"/>
                      </w:tcPr>
                      <w:p>
                        <w:pP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Бронхолегочный</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Повторные тяжелые приступы бронхиальной астмы, раковый лимфангиит легких</w:t>
                        </w:r>
                      </w:p>
                    </w:tc>
                  </w:tr>
                  <w:tr>
                    <w:trPr>
                      <w:trHeight w:val="427" w:hRule="exact"/>
                    </w:trPr>
                    <w:tc>
                      <w:tcPr>
                        <w:shd w:val="clear" w:color="auto" w:fill="FFFFFF"/>
                        <w:vMerge/>
                        <w:tcBorders>
                          <w:left w:val="single" w:sz="4"/>
                        </w:tcBorders>
                        <w:vAlign w:val="top"/>
                      </w:tcPr>
                      <w:p>
                        <w:pPr/>
                      </w:p>
                    </w:tc>
                    <w:tc>
                      <w:tcPr>
                        <w:shd w:val="clear" w:color="auto" w:fill="FFFFFF"/>
                        <w:vMerge/>
                        <w:tcBorders>
                          <w:left w:val="single" w:sz="4"/>
                        </w:tcBorders>
                        <w:vAlign w:val="top"/>
                      </w:tcPr>
                      <w:p>
                        <w:pP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Торакодиафрагмальный</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Хроническая гиповентиляция центрального и периферического происхождения (ботулизм, полиомиелит, миастения)</w:t>
                        </w:r>
                      </w:p>
                    </w:tc>
                  </w:tr>
                  <w:tr>
                    <w:trPr>
                      <w:trHeight w:val="427" w:hRule="exact"/>
                    </w:trPr>
                    <w:tc>
                      <w:tcPr>
                        <w:shd w:val="clear" w:color="auto" w:fill="FFFFFF"/>
                        <w:vMerge w:val="restart"/>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Хроническое легоч</w:t>
                          <w:softHyphen/>
                          <w:t>ное сердце (развитие в течение ряда лет)</w:t>
                        </w:r>
                      </w:p>
                    </w:tc>
                    <w:tc>
                      <w:tcPr>
                        <w:shd w:val="clear" w:color="auto" w:fill="FFFFFF"/>
                        <w:vMerge w:val="restart"/>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Компенсированное</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Васкулярный</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Первичная легочная гипертония, артерииты, повторные эмбо</w:t>
                          <w:softHyphen/>
                          <w:t>лии, резекция легкого</w:t>
                        </w:r>
                      </w:p>
                    </w:tc>
                  </w:tr>
                  <w:tr>
                    <w:trPr>
                      <w:trHeight w:val="811" w:hRule="exact"/>
                    </w:trPr>
                    <w:tc>
                      <w:tcPr>
                        <w:shd w:val="clear" w:color="auto" w:fill="FFFFFF"/>
                        <w:vMerge/>
                        <w:tcBorders>
                          <w:left w:val="single" w:sz="4"/>
                        </w:tcBorders>
                        <w:vAlign w:val="top"/>
                      </w:tcPr>
                      <w:p>
                        <w:pPr/>
                      </w:p>
                    </w:tc>
                    <w:tc>
                      <w:tcPr>
                        <w:shd w:val="clear" w:color="auto" w:fill="FFFFFF"/>
                        <w:vMerge/>
                        <w:tcBorders>
                          <w:left w:val="single" w:sz="4"/>
                        </w:tcBorders>
                        <w:vAlign w:val="top"/>
                      </w:tcPr>
                      <w:p>
                        <w:pP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Бронхолегочный</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Обструктивные процессы в бронхах (эмфизема, астма, хрониче</w:t>
                          <w:softHyphen/>
                          <w:t>ские бронхиты, диффузный пневмосклероз с эмфиземой) раз</w:t>
                          <w:softHyphen/>
                          <w:t>личной этиологии; рестриктивные процессы — фиброзы и гра- нулематозы; поликистоз легких</w:t>
                        </w:r>
                      </w:p>
                    </w:tc>
                  </w:tr>
                  <w:tr>
                    <w:trPr>
                      <w:trHeight w:val="437" w:hRule="exact"/>
                    </w:trPr>
                    <w:tc>
                      <w:tcPr>
                        <w:shd w:val="clear" w:color="auto" w:fill="FFFFFF"/>
                        <w:vMerge/>
                        <w:tcBorders>
                          <w:left w:val="single" w:sz="4"/>
                          <w:bottom w:val="single" w:sz="4"/>
                        </w:tcBorders>
                        <w:vAlign w:val="top"/>
                      </w:tcPr>
                      <w:p>
                        <w:pPr/>
                      </w:p>
                    </w:tc>
                    <w:tc>
                      <w:tcPr>
                        <w:shd w:val="clear" w:color="auto" w:fill="FFFFFF"/>
                        <w:vMerge/>
                        <w:tcBorders>
                          <w:left w:val="single" w:sz="4"/>
                          <w:bottom w:val="single" w:sz="4"/>
                        </w:tcBorders>
                        <w:vAlign w:val="top"/>
                      </w:tcPr>
                      <w:p>
                        <w:pP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Торакодиафрагмальный</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Поражения позвоночника и грудной клетки с деформацией ее; плевральные шварты; ожирение (синдром Пикквика)*</w:t>
                        </w:r>
                      </w:p>
                    </w:tc>
                  </w:tr>
                </w:tbl>
              </w:txbxContent>
            </v:textbox>
            <w10:wrap type="topAndBottom" anchorx="margin" anchory="margin"/>
          </v:shape>
        </w:pict>
      </w:r>
      <w:r>
        <w:pict>
          <v:shape id="_x0000_s1607" type="#_x0000_t202" style="position:absolute;margin-left:153.pt;margin-top:10.55pt;width:187.2pt;height:11.85pt;z-index:-125828986;mso-wrap-distance-left:5.pt;mso-wrap-distance-right:5.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Классификация легочного сердца (В.Е. Вотчал)</w:t>
                  </w:r>
                </w:p>
              </w:txbxContent>
            </v:textbox>
            <w10:wrap type="topAndBottom" anchorx="margin" anchory="margin"/>
          </v:shape>
        </w:pict>
      </w:r>
      <w:r>
        <w:pict>
          <v:shape id="_x0000_s1608" type="#_x0000_t202" style="position:absolute;margin-left:449.15pt;margin-top:0;width:44.65pt;height:11.65pt;z-index:-125828985;mso-wrap-distance-left:5.pt;mso-wrap-distance-right:5.pt;mso-position-horizontal-relative:margin;mso-position-vertical-relative:margin" filled="f" stroked="f">
            <v:textbox style="mso-fit-shape-to-text:t" inset="0,0,0,0">
              <w:txbxContent>
                <w:p>
                  <w:pPr>
                    <w:pStyle w:val="Style139"/>
                    <w:widowControl w:val="0"/>
                    <w:keepNext w:val="0"/>
                    <w:keepLines w:val="0"/>
                    <w:shd w:val="clear" w:color="auto" w:fill="auto"/>
                    <w:bidi w:val="0"/>
                    <w:jc w:val="left"/>
                    <w:spacing w:before="0" w:after="0" w:line="180" w:lineRule="exact"/>
                    <w:ind w:left="0" w:right="0" w:firstLine="0"/>
                  </w:pPr>
                  <w:r>
                    <w:rPr>
                      <w:rStyle w:val="CharStyle143"/>
                      <w:b/>
                      <w:bCs/>
                      <w:i/>
                      <w:iCs/>
                    </w:rPr>
                    <w:t>Таблица 23</w:t>
                  </w:r>
                </w:p>
              </w:txbxContent>
            </v:textbox>
            <w10:wrap type="topAndBottom" anchorx="margin" anchory="margin"/>
          </v:shape>
        </w:pict>
      </w:r>
      <w:r>
        <w:rPr>
          <w:lang w:val="ru-RU" w:eastAsia="ru-RU" w:bidi="ru-RU"/>
          <w:w w:val="100"/>
          <w:spacing w:val="0"/>
          <w:color w:val="000000"/>
          <w:position w:val="0"/>
        </w:rPr>
        <w:t>зия. Это мягкое и интермиттирующее повышение ар</w:t>
        <w:softHyphen/>
        <w:t>териального давления требует небольших компенса</w:t>
        <w:softHyphen/>
        <w:t>торных усилий правого желудочка и не проявляется клинически.</w:t>
      </w:r>
    </w:p>
    <w:p>
      <w:pPr>
        <w:pStyle w:val="Style30"/>
        <w:numPr>
          <w:ilvl w:val="0"/>
          <w:numId w:val="115"/>
        </w:numPr>
        <w:tabs>
          <w:tab w:leader="none" w:pos="49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Вторая стадия — развитие гипертрофии правого же</w:t>
        <w:softHyphen/>
        <w:t>лудочка в ответ на повышение легочного артериаль</w:t>
        <w:softHyphen/>
        <w:t>ного давления. На этой стадии может употребляться диагноз «легочное сердце».</w:t>
      </w:r>
    </w:p>
    <w:p>
      <w:pPr>
        <w:pStyle w:val="Style30"/>
        <w:numPr>
          <w:ilvl w:val="0"/>
          <w:numId w:val="115"/>
        </w:numPr>
        <w:tabs>
          <w:tab w:leader="none" w:pos="49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Третья стадия — гипертрофия и дилатация правого желудочка. В легочной васкуляризации происходят резко выраженные изменения, может быть недоста</w:t>
        <w:softHyphen/>
        <w:t>точность правого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Функциональные классы хронического легочного серд</w:t>
        <w:softHyphen/>
        <w:t>ца (В.П. Сильвестров с соавт.):</w:t>
      </w:r>
    </w:p>
    <w:p>
      <w:pPr>
        <w:pStyle w:val="Style30"/>
        <w:numPr>
          <w:ilvl w:val="0"/>
          <w:numId w:val="121"/>
        </w:numPr>
        <w:tabs>
          <w:tab w:leader="none" w:pos="45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функциональный класс — начальные изменения, кото</w:t>
        <w:softHyphen/>
        <w:t>рые еще не проявляются четкими клиническими и инстру</w:t>
        <w:softHyphen/>
        <w:t>ментальными признаками ХЛС. В клинической картине преобладают симптомы хронически текущего заболевания легких. Наблюдаются умеренные нарушения вентиляцион</w:t>
        <w:softHyphen/>
        <w:t>ной функции легких или, чаще, синдром изолированной обструкции мелких бронхов. В генезе легочной гипертен</w:t>
        <w:softHyphen/>
        <w:t>зии ведущую роль играет гипоксическая вазоконстрикция и перестройка гемодинамики с формированием увеличен</w:t>
        <w:softHyphen/>
        <w:t>ного МОК. Нарушения кровообращения в системе легоч</w:t>
        <w:softHyphen/>
        <w:t>ной артерии, в том числе и легочная гипертензия, выявля</w:t>
        <w:softHyphen/>
        <w:t>ются только в условиях физической нагрузки.</w:t>
      </w:r>
    </w:p>
    <w:p>
      <w:pPr>
        <w:pStyle w:val="Style30"/>
        <w:numPr>
          <w:ilvl w:val="0"/>
          <w:numId w:val="121"/>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функциональный класс — по-прежнему в клиничес</w:t>
        <w:softHyphen/>
        <w:t>кой картине преобладают симптомы заболевания легких и выявляется нарушение функции внешнего дыхания (ФВД), прогрессирование поражения бронхиального дере</w:t>
        <w:softHyphen/>
        <w:t>ва приводит к развитию умеренных или значительных на</w:t>
        <w:softHyphen/>
        <w:t xml:space="preserve">рушений вентиляционной функции легких, появлению признаков дыхательной недостаточности </w:t>
      </w:r>
      <w:r>
        <w:rPr>
          <w:lang w:val="en-US" w:eastAsia="en-US" w:bidi="en-US"/>
          <w:w w:val="100"/>
          <w:spacing w:val="0"/>
          <w:color w:val="000000"/>
          <w:position w:val="0"/>
        </w:rPr>
        <w:t xml:space="preserve">I </w:t>
      </w:r>
      <w:r>
        <w:rPr>
          <w:lang w:val="ru-RU" w:eastAsia="ru-RU" w:bidi="ru-RU"/>
          <w:w w:val="100"/>
          <w:spacing w:val="0"/>
          <w:color w:val="000000"/>
          <w:position w:val="0"/>
        </w:rPr>
        <w:t>степени. В этих условиях формируется стабильная легочная гипертензия за счет не только гипоксической вазоконстрикции и увеличе</w:t>
        <w:softHyphen/>
        <w:t>ния МОК, но и повышения легочного сосудистого сопро</w:t>
        <w:softHyphen/>
        <w:t>тивления, обусловленного развитием структурных измене</w:t>
        <w:softHyphen/>
        <w:t>ний сосудистого русла легких.</w:t>
      </w:r>
    </w:p>
    <w:p>
      <w:pPr>
        <w:pStyle w:val="Style30"/>
        <w:numPr>
          <w:ilvl w:val="0"/>
          <w:numId w:val="121"/>
        </w:numPr>
        <w:tabs>
          <w:tab w:leader="none" w:pos="582" w:val="left"/>
        </w:tabs>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функциональный класс характеризуется присоедине</w:t>
        <w:softHyphen/>
        <w:t>нием к симптомам дыхательной недостаточности (ДН) признаков начинающейся сердечной недостаточности: одышка становится постоянной, нарастает тахикардия, на</w:t>
        <w:softHyphen/>
        <w:t>бухают шейные вены. При обострении бронхолегочного процесса появляется пастозность голеней, при инструмен</w:t>
        <w:softHyphen/>
        <w:t>тальном исследовании диагностируется выраженная легоч</w:t>
        <w:softHyphen/>
        <w:t>ная гипертензия, сочетающаяся с резкой перегрузкой пра</w:t>
        <w:softHyphen/>
        <w:t>вого желудочка сердца и высоким сопротивлением сосуди</w:t>
        <w:softHyphen/>
        <w:t>стого русла легких кровотоку. Появляются (чаще всего только на этой стадии) электрокардиографические и рент</w:t>
        <w:softHyphen/>
        <w:t>генологические признаки гипертрофии и дилатации право</w:t>
        <w:softHyphen/>
        <w:t>го желудочка сердца. Компенсаторные возможности право - го желудочка на этой стадии уже близки к истощению, что проявляется явлениями декомпенсации при обострении воспалительного процесса в легких.</w:t>
      </w:r>
    </w:p>
    <w:p>
      <w:pPr>
        <w:pStyle w:val="Style30"/>
        <w:numPr>
          <w:ilvl w:val="0"/>
          <w:numId w:val="121"/>
        </w:numPr>
        <w:tabs>
          <w:tab w:leader="none" w:pos="59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функциональный класс — особенности клинической картины в первую очередь связаны с тяжестью развивших</w:t>
        <w:softHyphen/>
        <w:t>ся осложнений — ДН и сердечной недостаточностью. Ком</w:t>
        <w:softHyphen/>
        <w:t>пенсаторные возможности дыхательной и сердечно-сосу</w:t>
        <w:softHyphen/>
        <w:t xml:space="preserve">дистой систем исчерпаны. Выявляются резкие нарушения вентиляционной функции легких, ДН </w:t>
      </w:r>
      <w:r>
        <w:rPr>
          <w:lang w:val="en-US" w:eastAsia="en-US" w:bidi="en-US"/>
          <w:w w:val="100"/>
          <w:spacing w:val="0"/>
          <w:color w:val="000000"/>
          <w:position w:val="0"/>
        </w:rPr>
        <w:t xml:space="preserve">III </w:t>
      </w:r>
      <w:r>
        <w:rPr>
          <w:lang w:val="ru-RU" w:eastAsia="ru-RU" w:bidi="ru-RU"/>
          <w:w w:val="100"/>
          <w:spacing w:val="0"/>
          <w:color w:val="000000"/>
          <w:position w:val="0"/>
        </w:rPr>
        <w:t>степени с выра</w:t>
        <w:softHyphen/>
        <w:t xml:space="preserve">женной гипоксемией, а иногда и гиперкапнией, картина правожелудочковой недостаточности отчетливо выражена и ее тяжесть соответствует </w:t>
      </w:r>
      <w:r>
        <w:rPr>
          <w:lang w:val="en-US" w:eastAsia="en-US" w:bidi="en-US"/>
          <w:w w:val="100"/>
          <w:spacing w:val="0"/>
          <w:color w:val="000000"/>
          <w:position w:val="0"/>
        </w:rPr>
        <w:t xml:space="preserve">II-III </w:t>
      </w:r>
      <w:r>
        <w:rPr>
          <w:lang w:val="ru-RU" w:eastAsia="ru-RU" w:bidi="ru-RU"/>
          <w:w w:val="100"/>
          <w:spacing w:val="0"/>
          <w:color w:val="000000"/>
          <w:position w:val="0"/>
        </w:rPr>
        <w:t>стадии по классификации Стражеско — Василенко. В генезе легочной гипертензии преобладают структурные изменения сосудистого русла легких, повышение вязкости крови, полицитемия. Помимо гипертрофии правого желудочка сердца, регистрируются выраженные дистрофические изменения миокарда. Про</w:t>
        <w:softHyphen/>
        <w:t>грессирующая тканевая гипоксия приводит к углублению вторичной иммунологической недостаточности, с чем свя</w:t>
        <w:softHyphen/>
        <w:t>зано прогрессирование основного легочного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Основные нозологические заболевания, при которых развивается легочное сердце у детей </w:t>
      </w:r>
      <w:r>
        <w:rPr>
          <w:lang w:val="en-US" w:eastAsia="en-US" w:bidi="en-US"/>
          <w:w w:val="100"/>
          <w:spacing w:val="0"/>
          <w:color w:val="000000"/>
          <w:position w:val="0"/>
        </w:rPr>
        <w:t xml:space="preserve">(D.A.Parrish </w:t>
      </w:r>
      <w:r>
        <w:rPr>
          <w:lang w:val="ru-RU" w:eastAsia="ru-RU" w:bidi="ru-RU"/>
          <w:w w:val="100"/>
          <w:spacing w:val="0"/>
          <w:color w:val="000000"/>
          <w:position w:val="0"/>
        </w:rPr>
        <w:t xml:space="preserve">и </w:t>
      </w:r>
      <w:r>
        <w:rPr>
          <w:lang w:val="en-US" w:eastAsia="en-US" w:bidi="en-US"/>
          <w:w w:val="100"/>
          <w:spacing w:val="0"/>
          <w:color w:val="000000"/>
          <w:position w:val="0"/>
        </w:rPr>
        <w:t>D.K.Seilheimer).</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Обструктивные заболевания:</w:t>
      </w:r>
    </w:p>
    <w:p>
      <w:pPr>
        <w:pStyle w:val="Style30"/>
        <w:widowControl w:val="0"/>
        <w:keepNext w:val="0"/>
        <w:keepLines w:val="0"/>
        <w:shd w:val="clear" w:color="auto" w:fill="auto"/>
        <w:bidi w:val="0"/>
        <w:jc w:val="left"/>
        <w:spacing w:before="0" w:after="0"/>
        <w:ind w:left="500" w:right="0" w:firstLine="0"/>
      </w:pPr>
      <w:r>
        <w:pict>
          <v:shape id="_x0000_s1609" type="#_x0000_t75" style="position:absolute;margin-left:148.2pt;margin-top:736.55pt;width:209.75pt;height:14.9pt;z-index:-125828984;mso-wrap-distance-left:148.1pt;mso-wrap-distance-right:136.8pt;mso-wrap-distance-bottom:10.8pt;mso-position-horizontal-relative:margin;mso-position-vertical-relative:margin" wrapcoords="0 0 21600 0 21600 21600 0 21600 0 0">
            <v:imagedata r:id="rId965" r:href="rId966"/>
            <w10:wrap type="topAndBottom" anchorx="margin" anchory="margin"/>
          </v:shape>
        </w:pict>
      </w:r>
      <w:r>
        <w:rPr>
          <w:lang w:val="ru-RU" w:eastAsia="ru-RU" w:bidi="ru-RU"/>
          <w:w w:val="100"/>
          <w:spacing w:val="0"/>
          <w:color w:val="000000"/>
          <w:position w:val="0"/>
        </w:rPr>
        <w:t>• Муковисцидоз.</w:t>
      </w:r>
      <w:r>
        <w:br w:type="page"/>
      </w:r>
    </w:p>
    <w:p>
      <w:pPr>
        <w:pStyle w:val="Style30"/>
        <w:numPr>
          <w:ilvl w:val="0"/>
          <w:numId w:val="115"/>
        </w:numPr>
        <w:tabs>
          <w:tab w:leader="none" w:pos="792"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Бронхиальная астма.</w:t>
      </w:r>
    </w:p>
    <w:p>
      <w:pPr>
        <w:pStyle w:val="Style30"/>
        <w:numPr>
          <w:ilvl w:val="0"/>
          <w:numId w:val="115"/>
        </w:numPr>
        <w:tabs>
          <w:tab w:leader="none" w:pos="792"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Облитерирующий бронхиолит.</w:t>
      </w:r>
    </w:p>
    <w:p>
      <w:pPr>
        <w:pStyle w:val="Style30"/>
        <w:numPr>
          <w:ilvl w:val="0"/>
          <w:numId w:val="115"/>
        </w:numPr>
        <w:tabs>
          <w:tab w:leader="none" w:pos="792"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Обструкция верхних дыхательных путей:</w:t>
      </w:r>
    </w:p>
    <w:p>
      <w:pPr>
        <w:pStyle w:val="Style30"/>
        <w:numPr>
          <w:ilvl w:val="0"/>
          <w:numId w:val="117"/>
        </w:numPr>
        <w:tabs>
          <w:tab w:leader="none" w:pos="96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гипертрофический тонзиллит, аденоидит;</w:t>
      </w:r>
    </w:p>
    <w:p>
      <w:pPr>
        <w:pStyle w:val="Style30"/>
        <w:numPr>
          <w:ilvl w:val="0"/>
          <w:numId w:val="117"/>
        </w:numPr>
        <w:tabs>
          <w:tab w:leader="none" w:pos="96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врожденная трахеобронхиальная обструкция:</w:t>
      </w:r>
    </w:p>
    <w:p>
      <w:pPr>
        <w:pStyle w:val="Style30"/>
        <w:numPr>
          <w:ilvl w:val="0"/>
          <w:numId w:val="117"/>
        </w:numPr>
        <w:tabs>
          <w:tab w:leader="none" w:pos="1128" w:val="left"/>
        </w:tabs>
        <w:widowControl w:val="0"/>
        <w:keepNext w:val="0"/>
        <w:keepLines w:val="0"/>
        <w:shd w:val="clear" w:color="auto" w:fill="auto"/>
        <w:bidi w:val="0"/>
        <w:spacing w:before="0" w:after="0"/>
        <w:ind w:left="900" w:right="0" w:firstLine="0"/>
      </w:pPr>
      <w:r>
        <w:rPr>
          <w:lang w:val="ru-RU" w:eastAsia="ru-RU" w:bidi="ru-RU"/>
          <w:w w:val="100"/>
          <w:spacing w:val="0"/>
          <w:color w:val="000000"/>
          <w:position w:val="0"/>
        </w:rPr>
        <w:t>сосудистое кольцо;</w:t>
      </w:r>
    </w:p>
    <w:p>
      <w:pPr>
        <w:pStyle w:val="Style30"/>
        <w:numPr>
          <w:ilvl w:val="0"/>
          <w:numId w:val="117"/>
        </w:numPr>
        <w:tabs>
          <w:tab w:leader="none" w:pos="1128" w:val="left"/>
        </w:tabs>
        <w:widowControl w:val="0"/>
        <w:keepNext w:val="0"/>
        <w:keepLines w:val="0"/>
        <w:shd w:val="clear" w:color="auto" w:fill="auto"/>
        <w:bidi w:val="0"/>
        <w:spacing w:before="0" w:after="0"/>
        <w:ind w:left="900" w:right="0" w:firstLine="0"/>
      </w:pPr>
      <w:r>
        <w:rPr>
          <w:lang w:val="ru-RU" w:eastAsia="ru-RU" w:bidi="ru-RU"/>
          <w:w w:val="100"/>
          <w:spacing w:val="0"/>
          <w:color w:val="000000"/>
          <w:position w:val="0"/>
        </w:rPr>
        <w:t>аномалия безымянной артерии;</w:t>
      </w:r>
    </w:p>
    <w:p>
      <w:pPr>
        <w:pStyle w:val="Style30"/>
        <w:numPr>
          <w:ilvl w:val="0"/>
          <w:numId w:val="117"/>
        </w:numPr>
        <w:tabs>
          <w:tab w:leader="none" w:pos="1128" w:val="left"/>
        </w:tabs>
        <w:widowControl w:val="0"/>
        <w:keepNext w:val="0"/>
        <w:keepLines w:val="0"/>
        <w:shd w:val="clear" w:color="auto" w:fill="auto"/>
        <w:bidi w:val="0"/>
        <w:spacing w:before="0" w:after="0"/>
        <w:ind w:left="900" w:right="0" w:firstLine="0"/>
      </w:pPr>
      <w:r>
        <w:rPr>
          <w:lang w:val="ru-RU" w:eastAsia="ru-RU" w:bidi="ru-RU"/>
          <w:w w:val="100"/>
          <w:spacing w:val="0"/>
          <w:color w:val="000000"/>
          <w:position w:val="0"/>
        </w:rPr>
        <w:t>врожденный стеноз трахеи;</w:t>
      </w:r>
    </w:p>
    <w:p>
      <w:pPr>
        <w:pStyle w:val="Style30"/>
        <w:numPr>
          <w:ilvl w:val="0"/>
          <w:numId w:val="117"/>
        </w:numPr>
        <w:tabs>
          <w:tab w:leader="none" w:pos="1128" w:val="left"/>
        </w:tabs>
        <w:widowControl w:val="0"/>
        <w:keepNext w:val="0"/>
        <w:keepLines w:val="0"/>
        <w:shd w:val="clear" w:color="auto" w:fill="auto"/>
        <w:bidi w:val="0"/>
        <w:spacing w:before="0" w:after="0"/>
        <w:ind w:left="900" w:right="0" w:firstLine="0"/>
      </w:pPr>
      <w:r>
        <w:rPr>
          <w:lang w:val="ru-RU" w:eastAsia="ru-RU" w:bidi="ru-RU"/>
          <w:w w:val="100"/>
          <w:spacing w:val="0"/>
          <w:color w:val="000000"/>
          <w:position w:val="0"/>
        </w:rPr>
        <w:t>сегментарный бронхиальный стеноз;</w:t>
      </w:r>
    </w:p>
    <w:p>
      <w:pPr>
        <w:pStyle w:val="Style30"/>
        <w:numPr>
          <w:ilvl w:val="0"/>
          <w:numId w:val="117"/>
        </w:numPr>
        <w:tabs>
          <w:tab w:leader="none" w:pos="1128" w:val="left"/>
        </w:tabs>
        <w:widowControl w:val="0"/>
        <w:keepNext w:val="0"/>
        <w:keepLines w:val="0"/>
        <w:shd w:val="clear" w:color="auto" w:fill="auto"/>
        <w:bidi w:val="0"/>
        <w:spacing w:before="0" w:after="0"/>
        <w:ind w:left="900" w:right="0" w:firstLine="0"/>
      </w:pPr>
      <w:r>
        <w:rPr>
          <w:lang w:val="ru-RU" w:eastAsia="ru-RU" w:bidi="ru-RU"/>
          <w:w w:val="100"/>
          <w:spacing w:val="0"/>
          <w:color w:val="000000"/>
          <w:position w:val="0"/>
        </w:rPr>
        <w:t>сдавление легочной артерией главного бронха.</w:t>
      </w:r>
    </w:p>
    <w:p>
      <w:pPr>
        <w:pStyle w:val="Style30"/>
        <w:numPr>
          <w:ilvl w:val="0"/>
          <w:numId w:val="115"/>
        </w:numPr>
        <w:tabs>
          <w:tab w:leader="none" w:pos="792"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Структурные и функциональные дефекты: синд</w:t>
        <w:softHyphen/>
        <w:t>ром Пьера-Робина, болезнь Крузона, болезнь Гур- лера, микрогнатия, глоссоптоз, макроглоссия, ля- ринготрахеомаляция, паралич голосовых связок.</w:t>
      </w:r>
    </w:p>
    <w:p>
      <w:pPr>
        <w:pStyle w:val="Style30"/>
        <w:numPr>
          <w:ilvl w:val="0"/>
          <w:numId w:val="11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Рестриктивные заболевания:</w:t>
      </w:r>
    </w:p>
    <w:p>
      <w:pPr>
        <w:pStyle w:val="Style30"/>
        <w:numPr>
          <w:ilvl w:val="0"/>
          <w:numId w:val="115"/>
        </w:numPr>
        <w:tabs>
          <w:tab w:leader="none" w:pos="792"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Интерстициальная (десквамативная, лимфоцитар -</w:t>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ная) пневмония</w:t>
      </w:r>
    </w:p>
    <w:p>
      <w:pPr>
        <w:pStyle w:val="Style30"/>
        <w:numPr>
          <w:ilvl w:val="0"/>
          <w:numId w:val="115"/>
        </w:numPr>
        <w:tabs>
          <w:tab w:leader="none" w:pos="792"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Диффузный фиброз легких</w:t>
      </w:r>
    </w:p>
    <w:p>
      <w:pPr>
        <w:pStyle w:val="Style30"/>
        <w:numPr>
          <w:ilvl w:val="0"/>
          <w:numId w:val="115"/>
        </w:numPr>
        <w:tabs>
          <w:tab w:leader="none" w:pos="792"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Саркоидоз</w:t>
      </w:r>
    </w:p>
    <w:p>
      <w:pPr>
        <w:pStyle w:val="Style30"/>
        <w:numPr>
          <w:ilvl w:val="0"/>
          <w:numId w:val="115"/>
        </w:numPr>
        <w:tabs>
          <w:tab w:leader="none" w:pos="792"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Гемосидероз.</w:t>
      </w:r>
    </w:p>
    <w:p>
      <w:pPr>
        <w:pStyle w:val="Style30"/>
        <w:numPr>
          <w:ilvl w:val="0"/>
          <w:numId w:val="11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Рестриктивно -обструктивные заболевания легких:</w:t>
      </w:r>
    </w:p>
    <w:p>
      <w:pPr>
        <w:pStyle w:val="Style30"/>
        <w:numPr>
          <w:ilvl w:val="0"/>
          <w:numId w:val="115"/>
        </w:numPr>
        <w:tabs>
          <w:tab w:leader="none" w:pos="792"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Бронхолегочная дисплазия</w:t>
      </w:r>
    </w:p>
    <w:p>
      <w:pPr>
        <w:pStyle w:val="Style30"/>
        <w:numPr>
          <w:ilvl w:val="0"/>
          <w:numId w:val="115"/>
        </w:numPr>
        <w:tabs>
          <w:tab w:leader="none" w:pos="792"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Синдром Вильсона-Микити</w:t>
      </w:r>
    </w:p>
    <w:p>
      <w:pPr>
        <w:pStyle w:val="Style30"/>
        <w:numPr>
          <w:ilvl w:val="0"/>
          <w:numId w:val="115"/>
        </w:numPr>
        <w:tabs>
          <w:tab w:leader="none" w:pos="792"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Легочная лимфангиэктазия.</w:t>
      </w:r>
    </w:p>
    <w:p>
      <w:pPr>
        <w:pStyle w:val="Style30"/>
        <w:numPr>
          <w:ilvl w:val="0"/>
          <w:numId w:val="115"/>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Легочное сердце при рестриктивных нарушениях, не</w:t>
      </w:r>
    </w:p>
    <w:p>
      <w:pPr>
        <w:pStyle w:val="Style30"/>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связанных с заболеванием легких:</w:t>
      </w:r>
    </w:p>
    <w:p>
      <w:pPr>
        <w:pStyle w:val="Style30"/>
        <w:numPr>
          <w:ilvl w:val="0"/>
          <w:numId w:val="115"/>
        </w:numPr>
        <w:tabs>
          <w:tab w:leader="none" w:pos="792"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Нейромышечные заболевания:</w:t>
      </w:r>
    </w:p>
    <w:p>
      <w:pPr>
        <w:pStyle w:val="Style30"/>
        <w:numPr>
          <w:ilvl w:val="0"/>
          <w:numId w:val="117"/>
        </w:numPr>
        <w:tabs>
          <w:tab w:leader="none" w:pos="96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болезнь Верднига-Гоффмана;</w:t>
      </w:r>
    </w:p>
    <w:p>
      <w:pPr>
        <w:pStyle w:val="Style30"/>
        <w:numPr>
          <w:ilvl w:val="0"/>
          <w:numId w:val="117"/>
        </w:numPr>
        <w:tabs>
          <w:tab w:leader="none" w:pos="96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прогрессирующая мышечная дистрофия Дюшенна;</w:t>
      </w:r>
    </w:p>
    <w:p>
      <w:pPr>
        <w:pStyle w:val="Style30"/>
        <w:numPr>
          <w:ilvl w:val="0"/>
          <w:numId w:val="117"/>
        </w:numPr>
        <w:tabs>
          <w:tab w:leader="none" w:pos="96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миотоническая мышечная дистрофия;</w:t>
      </w:r>
    </w:p>
    <w:p>
      <w:pPr>
        <w:pStyle w:val="Style30"/>
        <w:numPr>
          <w:ilvl w:val="0"/>
          <w:numId w:val="117"/>
        </w:numPr>
        <w:tabs>
          <w:tab w:leader="none" w:pos="96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мышечная дистрофия Ландузи Дежерина;</w:t>
      </w:r>
    </w:p>
    <w:p>
      <w:pPr>
        <w:pStyle w:val="Style30"/>
        <w:numPr>
          <w:ilvl w:val="0"/>
          <w:numId w:val="117"/>
        </w:numPr>
        <w:tabs>
          <w:tab w:leader="none" w:pos="96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синдром Жулиан-Барре;</w:t>
      </w:r>
    </w:p>
    <w:p>
      <w:pPr>
        <w:pStyle w:val="Style30"/>
        <w:numPr>
          <w:ilvl w:val="0"/>
          <w:numId w:val="117"/>
        </w:numPr>
        <w:tabs>
          <w:tab w:leader="none" w:pos="96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немалиновая миопатия;</w:t>
      </w:r>
    </w:p>
    <w:p>
      <w:pPr>
        <w:pStyle w:val="Style30"/>
        <w:numPr>
          <w:ilvl w:val="0"/>
          <w:numId w:val="117"/>
        </w:numPr>
        <w:tabs>
          <w:tab w:leader="none" w:pos="96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полиомиелит.</w:t>
      </w:r>
    </w:p>
    <w:p>
      <w:pPr>
        <w:pStyle w:val="Style30"/>
        <w:numPr>
          <w:ilvl w:val="0"/>
          <w:numId w:val="115"/>
        </w:numPr>
        <w:tabs>
          <w:tab w:leader="none" w:pos="792"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Торако-диафрагмальные аномалии:</w:t>
      </w:r>
    </w:p>
    <w:p>
      <w:pPr>
        <w:pStyle w:val="Style30"/>
        <w:numPr>
          <w:ilvl w:val="0"/>
          <w:numId w:val="117"/>
        </w:numPr>
        <w:tabs>
          <w:tab w:leader="none" w:pos="96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кифосколиоз;</w:t>
      </w:r>
    </w:p>
    <w:p>
      <w:pPr>
        <w:pStyle w:val="Style30"/>
        <w:numPr>
          <w:ilvl w:val="0"/>
          <w:numId w:val="117"/>
        </w:numPr>
        <w:tabs>
          <w:tab w:leader="none" w:pos="96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воронкообразная деформация грудной клетки;</w:t>
      </w:r>
    </w:p>
    <w:p>
      <w:pPr>
        <w:pStyle w:val="Style30"/>
        <w:numPr>
          <w:ilvl w:val="0"/>
          <w:numId w:val="117"/>
        </w:numPr>
        <w:tabs>
          <w:tab w:leader="none" w:pos="96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килевидная грудная клетка;</w:t>
      </w:r>
    </w:p>
    <w:p>
      <w:pPr>
        <w:pStyle w:val="Style30"/>
        <w:numPr>
          <w:ilvl w:val="0"/>
          <w:numId w:val="117"/>
        </w:numPr>
        <w:tabs>
          <w:tab w:leader="none" w:pos="96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паралич диафрагмы у новорожденных.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Патогенез развития ХЛС сложен, включает в себя ком</w:t>
        <w:softHyphen/>
        <w:t>плекс анатомических и функциональных факторов, приво</w:t>
        <w:softHyphen/>
        <w:t>дящих к гипертрофии правого желудочка, а затем к право</w:t>
        <w:softHyphen/>
        <w:t>желудочковой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Ведущее значение в патогенезе ХЛС имеют: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Альвеолярная гипоксия (при нарушениях вентиляции альвеол у больных с бронхиальной обструкцией, кифоско- лиозом, при горной болезни и др.).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Анатомическое уменьшение просвета артериального ле</w:t>
        <w:softHyphen/>
        <w:t>гочного русла за счет склероза, облитерации (в зонах пнев</w:t>
        <w:softHyphen/>
        <w:t>москлероза, легочного фиброза, при васкулитах), тромбоза или тромбоэмболии, после хирургического иссечения (при пульмонэктомии).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Легочная артериальная гипертензия, обусловленная па</w:t>
        <w:softHyphen/>
        <w:t>тологическим повышением сопротивления кровотоку при гипертонии легочных артериол — первичной (при первич</w:t>
        <w:softHyphen/>
        <w:t>ной легочной гипертензии). При дыхательной недостаточ</w:t>
        <w:softHyphen/>
        <w:t>ности у больных с обширным поражением паренхимы лег</w:t>
        <w:softHyphen/>
        <w:t>ких патогенетическое значение имеет и нагрузка сердца вследствие компенсаторного повышения объема кровооб</w:t>
        <w:softHyphen/>
        <w:t>ращения за счет усиленного венозного возврата крови к сердцу.</w:t>
      </w:r>
    </w:p>
    <w:p>
      <w:pPr>
        <w:pStyle w:val="Style92"/>
        <w:widowControl w:val="0"/>
        <w:keepNext/>
        <w:keepLines/>
        <w:shd w:val="clear" w:color="auto" w:fill="auto"/>
        <w:bidi w:val="0"/>
        <w:spacing w:before="0" w:after="0"/>
        <w:ind w:left="0" w:right="0" w:firstLine="280"/>
      </w:pPr>
      <w:r>
        <w:br w:type="column"/>
      </w:r>
      <w:bookmarkStart w:id="579" w:name="bookmark579"/>
      <w:r>
        <w:rPr>
          <w:lang w:val="ru-RU" w:eastAsia="ru-RU" w:bidi="ru-RU"/>
          <w:w w:val="100"/>
          <w:spacing w:val="0"/>
          <w:color w:val="000000"/>
          <w:position w:val="0"/>
        </w:rPr>
        <w:t>Жалобы</w:t>
      </w:r>
      <w:bookmarkEnd w:id="579"/>
    </w:p>
    <w:p>
      <w:pPr>
        <w:pStyle w:val="Style30"/>
        <w:numPr>
          <w:ilvl w:val="0"/>
          <w:numId w:val="11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Упорный и длительный кашель.</w:t>
      </w:r>
    </w:p>
    <w:p>
      <w:pPr>
        <w:pStyle w:val="Style30"/>
        <w:numPr>
          <w:ilvl w:val="0"/>
          <w:numId w:val="11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Кровохарканье:</w:t>
      </w:r>
    </w:p>
    <w:p>
      <w:pPr>
        <w:pStyle w:val="Style30"/>
        <w:numPr>
          <w:ilvl w:val="0"/>
          <w:numId w:val="117"/>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может наблюдаться при средних степенях легоч</w:t>
        <w:softHyphen/>
        <w:t>ной гипертензии;</w:t>
      </w:r>
    </w:p>
    <w:p>
      <w:pPr>
        <w:pStyle w:val="Style30"/>
        <w:numPr>
          <w:ilvl w:val="0"/>
          <w:numId w:val="117"/>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легочное кровотечение возникает только при вы</w:t>
        <w:softHyphen/>
        <w:t>сокой гипертензии и является признаком разгруз</w:t>
        <w:softHyphen/>
        <w:t>ки малого круга кровообращения через бронхиаль</w:t>
        <w:softHyphen/>
        <w:t>ные вены.</w:t>
      </w:r>
    </w:p>
    <w:p>
      <w:pPr>
        <w:pStyle w:val="Style30"/>
        <w:numPr>
          <w:ilvl w:val="0"/>
          <w:numId w:val="11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Одышка при физической нагрузке.</w:t>
      </w:r>
    </w:p>
    <w:p>
      <w:pPr>
        <w:pStyle w:val="Style30"/>
        <w:numPr>
          <w:ilvl w:val="0"/>
          <w:numId w:val="11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Одышка в покое.</w:t>
      </w:r>
    </w:p>
    <w:p>
      <w:pPr>
        <w:pStyle w:val="Style30"/>
        <w:numPr>
          <w:ilvl w:val="0"/>
          <w:numId w:val="11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Ортопноэ.</w:t>
      </w:r>
    </w:p>
    <w:p>
      <w:pPr>
        <w:pStyle w:val="Style30"/>
        <w:numPr>
          <w:ilvl w:val="0"/>
          <w:numId w:val="11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Предсинкопальное состояние.</w:t>
      </w:r>
    </w:p>
    <w:p>
      <w:pPr>
        <w:pStyle w:val="Style30"/>
        <w:numPr>
          <w:ilvl w:val="0"/>
          <w:numId w:val="11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Обморок.</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Кашлевой обморок (кашлевое повышение внутриг</w:t>
        <w:softHyphen/>
        <w:t>рудного давления снижает венозный возврат к сердцу и ведет к снижению сердечного выброса).</w:t>
      </w:r>
    </w:p>
    <w:p>
      <w:pPr>
        <w:pStyle w:val="Style30"/>
        <w:numPr>
          <w:ilvl w:val="0"/>
          <w:numId w:val="11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Цианоз:</w:t>
      </w:r>
    </w:p>
    <w:p>
      <w:pPr>
        <w:pStyle w:val="Style30"/>
        <w:numPr>
          <w:ilvl w:val="0"/>
          <w:numId w:val="117"/>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бывает нередко диффузным, усиленным на кончи</w:t>
        <w:softHyphen/>
        <w:t>ках пальцев, носе и мочках ушей;</w:t>
      </w:r>
    </w:p>
    <w:p>
      <w:pPr>
        <w:pStyle w:val="Style30"/>
        <w:numPr>
          <w:ilvl w:val="0"/>
          <w:numId w:val="117"/>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характерен «теплый» цианоз (в отличие от «холод</w:t>
        <w:softHyphen/>
        <w:t>ного» цианоза при поражении сердца). Цианоз на</w:t>
        <w:softHyphen/>
        <w:t>чинает определяться при уменьшении насыщения крови кислородом менее 85%. Причиной цианоза при легочном сердце может быть сброс крови че</w:t>
        <w:softHyphen/>
        <w:t>рез открывшееся овальное окно, а также шунтиро</w:t>
        <w:softHyphen/>
        <w:t>вание крови через артериовенозные анастомозы.</w:t>
      </w:r>
    </w:p>
    <w:p>
      <w:pPr>
        <w:pStyle w:val="Style30"/>
        <w:numPr>
          <w:ilvl w:val="0"/>
          <w:numId w:val="115"/>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Приступы болей в грудной клетке.</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Снижение толерантности сердечно-сосудистой сис</w:t>
        <w:softHyphen/>
        <w:t>темы к физическим нагрузкам.</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Боли в ногах, руках (связано с нарушением иннерва</w:t>
        <w:softHyphen/>
        <w:t>ции периферических сосудов, обладающих повы</w:t>
        <w:softHyphen/>
        <w:t>шенной чувствительностью к симпатическим влия</w:t>
        <w:softHyphen/>
        <w:t>ниям и катехоламинам).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Развитие легочного сердца — это динамический про</w:t>
        <w:softHyphen/>
        <w:t>цесс, который может становиться клинически проявляе</w:t>
        <w:softHyphen/>
        <w:t>мым только на поздних стадиях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Обычно легочное сердце является хроническим состоя</w:t>
        <w:softHyphen/>
        <w:t>нием, которое развивается за длительный период времени в ответ на прогрессирующее повышение резистентности легочных сосудов. Сначала появляется гипертензия напря</w:t>
        <w:softHyphen/>
        <w:t>жения (скрытая гипертензия), которая выявляется посред</w:t>
        <w:softHyphen/>
        <w:t>ством физической нагрузки, затем гипертензия покоя.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Развитие правожелудочковой недостаточности обуслов</w:t>
        <w:softHyphen/>
        <w:t>лено совместным действием двух факторов: перегрузкой правого желудочка и повреждающим миокард (вплоть до ди</w:t>
        <w:softHyphen/>
        <w:t>строфии и некротических изменений) влиянием гипоксии и интоксикации миокарда микробными, вирусными токси</w:t>
        <w:softHyphen/>
        <w:t>нами и продуктами воспаления — факторами повреждения.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Различное соотношение перегрузки правого желудочка и факторов повреждения определяет особенности развития легочного сердца в каждом отдельном случае.</w:t>
      </w:r>
    </w:p>
    <w:p>
      <w:pPr>
        <w:pStyle w:val="Style30"/>
        <w:widowControl w:val="0"/>
        <w:keepNext w:val="0"/>
        <w:keepLines w:val="0"/>
        <w:shd w:val="clear" w:color="auto" w:fill="auto"/>
        <w:bidi w:val="0"/>
        <w:spacing w:before="0" w:after="0"/>
        <w:ind w:left="0" w:right="0" w:firstLine="280"/>
      </w:pPr>
      <w:r>
        <w:pict>
          <v:shape id="_x0000_s1610" type="#_x0000_t75" style="position:absolute;margin-left:136.9pt;margin-top:736.55pt;width:209.75pt;height:14.9pt;z-index:-125828983;mso-wrap-distance-left:136.8pt;mso-wrap-distance-right:148.1pt;mso-wrap-distance-bottom:10.8pt;mso-position-horizontal-relative:margin;mso-position-vertical-relative:margin" wrapcoords="0 0 21600 0 21600 21600 0 21600 0 0">
            <v:imagedata r:id="rId967" r:href="rId968"/>
            <w10:wrap type="topAndBottom" anchorx="margin" anchory="margin"/>
          </v:shape>
        </w:pict>
      </w:r>
      <w:r>
        <w:rPr>
          <w:lang w:val="ru-RU" w:eastAsia="ru-RU" w:bidi="ru-RU"/>
          <w:w w:val="100"/>
          <w:spacing w:val="0"/>
          <w:color w:val="000000"/>
          <w:position w:val="0"/>
        </w:rPr>
        <w:t>Иногда сердечная недостаточность развивается минуя фазу гипертрофии правого желудочка ввиду ранних дистро</w:t>
        <w:softHyphen/>
        <w:t>фических изменений миокарда, вызванных инфекцией, интоксикацией и гипоксией. Для данной формы легочного сердца характерно раннее снижение сократительной функ</w:t>
        <w:softHyphen/>
        <w:t>ции миокарда. В ускорении появления правожелудочковой недостаточности важное значение имеют обострения ин</w:t>
        <w:softHyphen/>
        <w:t>фекционного процесса в бронхолегочной системе и неаде</w:t>
        <w:softHyphen/>
        <w:t>кватная физическая нагрузка.</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хроническом легочном сердце на первый план дли</w:t>
        <w:softHyphen/>
        <w:t>тельно выступают признаки основного заболевания. Веро</w:t>
        <w:softHyphen/>
        <w:t>ятность того, что врач диагностирует у больного с заболева</w:t>
        <w:softHyphen/>
        <w:t>ниями легких легочное сердце, зависит от осознавания воз</w:t>
        <w:softHyphen/>
        <w:t>можности такого осложнения. Важно диагностировать уве</w:t>
        <w:softHyphen/>
        <w:t>личение правого желудочка до развития сердечной недоста</w:t>
        <w:softHyphen/>
        <w:t>точности. К сожалению, раннее клиническое распознава</w:t>
        <w:softHyphen/>
        <w:t>ние легочного сердца может быть затруднено, так как пред</w:t>
        <w:softHyphen/>
        <w:t>ставленные симптомы часто неспецифичны и могут быть атрибутами легочных заболеваний.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Основные клинические проявления следующие:</w:t>
      </w:r>
    </w:p>
    <w:p>
      <w:pPr>
        <w:pStyle w:val="Style30"/>
        <w:numPr>
          <w:ilvl w:val="0"/>
          <w:numId w:val="11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Деформация ногтей в виде «часовых стекол» и фаланг пальцев в виде «барабанных палочек».</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Усиленная пульсация во втором межреберье слева и в эпигастральной области, обусловленная гипер</w:t>
        <w:softHyphen/>
        <w:t>трофией правого желудочка.</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аускультации часто отмечается глухость сердеч</w:t>
        <w:softHyphen/>
        <w:t>ных тонов за счет увеличения воздушности легких, оттеснения сердца кзади и нарушения сократимости миокарда.</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Определяется расщепление первого тона на верхушке (запоздавшее закрытие трехстворчатого клапана в усло</w:t>
        <w:softHyphen/>
        <w:t>виях повышенного давления в системе малого круга).</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Громкий легочный компонент второго тона.</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Фиксированное расщепление второго тона.</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Выслушиваются дополнительные III и IV сердечные тоны, усиливающиеся при появлении правожелудоч</w:t>
        <w:softHyphen/>
        <w:t>ковой недостаточности.</w:t>
      </w:r>
    </w:p>
    <w:p>
      <w:pPr>
        <w:pStyle w:val="Style30"/>
        <w:numPr>
          <w:ilvl w:val="0"/>
          <w:numId w:val="115"/>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Высокочастотный систолический шум недостаточно - сти трикуспидального клапана.</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Признаки правожелудочковой недостаточности (на</w:t>
        <w:softHyphen/>
        <w:t>бухание шейных вен, гепатомегалия, периферичес</w:t>
        <w:softHyphen/>
        <w:t>кие отеки, асцит).</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Гепатомегалия:</w:t>
      </w:r>
    </w:p>
    <w:p>
      <w:pPr>
        <w:pStyle w:val="Style30"/>
        <w:numPr>
          <w:ilvl w:val="0"/>
          <w:numId w:val="117"/>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печень при легочном сердце увеличивается про</w:t>
        <w:softHyphen/>
        <w:t>порционально степени правожелудочковой недо</w:t>
        <w:softHyphen/>
        <w:t>статочности;</w:t>
      </w:r>
    </w:p>
    <w:p>
      <w:pPr>
        <w:pStyle w:val="Style30"/>
        <w:numPr>
          <w:ilvl w:val="0"/>
          <w:numId w:val="117"/>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 эмфиземе легких может наблюдаться смеще</w:t>
        <w:softHyphen/>
        <w:t>ние печени вниз вследствие низкого стояния диа</w:t>
        <w:softHyphen/>
        <w:t>фрагмы и без признаков правожелудочковой недо</w:t>
        <w:softHyphen/>
        <w:t>статочности;</w:t>
      </w:r>
    </w:p>
    <w:p>
      <w:pPr>
        <w:pStyle w:val="Style30"/>
        <w:numPr>
          <w:ilvl w:val="0"/>
          <w:numId w:val="117"/>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 выраженной правожелудочковой декомпенса</w:t>
        <w:softHyphen/>
        <w:t>ции надавливание на область печени усиливает на</w:t>
        <w:softHyphen/>
        <w:t>бухание шейных вен (гепато-югулярный реф</w:t>
        <w:softHyphen/>
        <w:t>люкс).</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Лабораторная диагностика</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Развернутый анализ крови:</w:t>
      </w:r>
    </w:p>
    <w:p>
      <w:pPr>
        <w:pStyle w:val="Style30"/>
        <w:numPr>
          <w:ilvl w:val="0"/>
          <w:numId w:val="117"/>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эритремия, гиперволемия, увеличение вязкости крови, высокий гематокрит.</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Газы крови:</w:t>
      </w:r>
    </w:p>
    <w:p>
      <w:pPr>
        <w:pStyle w:val="Style30"/>
        <w:numPr>
          <w:ilvl w:val="0"/>
          <w:numId w:val="117"/>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снижение РаО</w:t>
      </w:r>
      <w:r>
        <w:rPr>
          <w:lang w:val="ru-RU" w:eastAsia="ru-RU" w:bidi="ru-RU"/>
          <w:vertAlign w:val="subscript"/>
          <w:w w:val="100"/>
          <w:spacing w:val="0"/>
          <w:color w:val="000000"/>
          <w:position w:val="0"/>
        </w:rPr>
        <w:t>2</w:t>
      </w:r>
      <w:r>
        <w:rPr>
          <w:lang w:val="ru-RU" w:eastAsia="ru-RU" w:bidi="ru-RU"/>
          <w:w w:val="100"/>
          <w:spacing w:val="0"/>
          <w:color w:val="000000"/>
          <w:position w:val="0"/>
        </w:rPr>
        <w:t>, гиперкапния.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Электрокардиография:</w:t>
      </w:r>
    </w:p>
    <w:p>
      <w:pPr>
        <w:pStyle w:val="Style30"/>
        <w:numPr>
          <w:ilvl w:val="0"/>
          <w:numId w:val="115"/>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Диагностическая ценность электрокардиографии при легочном сердце зависит от выраженности изме</w:t>
        <w:softHyphen/>
        <w:t>нений в легких и вентиляционных нарушений. Более ценно ЭКГ-обследование при сосудистых заболева</w:t>
        <w:softHyphen/>
        <w:t>ниях легких, поражении интерстициальной ткани, при альвеолярной гиповентиляции. При легочном сердце, развившемся вследствие хронического брон</w:t>
        <w:softHyphen/>
        <w:t>хита, эмфиземы, диагностические признаки встреча</w:t>
        <w:softHyphen/>
        <w:t>ются редко — в результате ротации и смещения серд</w:t>
        <w:softHyphen/>
        <w:br w:type="column"/>
        <w:t>ца, увеличения расстояния между электродами и по</w:t>
        <w:softHyphen/>
        <w:t>верхностью сердца.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 диагностическим признакам легочного сердца относят:</w:t>
      </w:r>
    </w:p>
    <w:p>
      <w:pPr>
        <w:pStyle w:val="Style30"/>
        <w:numPr>
          <w:ilvl w:val="0"/>
          <w:numId w:val="115"/>
        </w:numPr>
        <w:tabs>
          <w:tab w:leader="none" w:pos="518" w:val="left"/>
        </w:tabs>
        <w:widowControl w:val="0"/>
        <w:keepNext w:val="0"/>
        <w:keepLines w:val="0"/>
        <w:shd w:val="clear" w:color="auto" w:fill="auto"/>
        <w:bidi w:val="0"/>
        <w:spacing w:before="0" w:after="0" w:line="235" w:lineRule="exact"/>
        <w:ind w:left="500" w:right="0" w:hanging="220"/>
      </w:pPr>
      <w:r>
        <w:rPr>
          <w:lang w:val="ru-RU" w:eastAsia="ru-RU" w:bidi="ru-RU"/>
          <w:w w:val="100"/>
          <w:spacing w:val="0"/>
          <w:color w:val="000000"/>
          <w:position w:val="0"/>
        </w:rPr>
        <w:t xml:space="preserve">Классические признаки в </w:t>
      </w:r>
      <w:r>
        <w:rPr>
          <w:lang w:val="en-US" w:eastAsia="en-US" w:bidi="en-US"/>
          <w:w w:val="100"/>
          <w:spacing w:val="0"/>
          <w:color w:val="000000"/>
          <w:position w:val="0"/>
        </w:rPr>
        <w:t xml:space="preserve">Vi </w:t>
      </w:r>
      <w:r>
        <w:rPr>
          <w:lang w:val="ru-RU" w:eastAsia="ru-RU" w:bidi="ru-RU"/>
          <w:w w:val="100"/>
          <w:spacing w:val="0"/>
          <w:color w:val="000000"/>
          <w:position w:val="0"/>
        </w:rPr>
        <w:t xml:space="preserve">(доминирующий зубец </w:t>
      </w:r>
      <w:r>
        <w:rPr>
          <w:lang w:val="en-US" w:eastAsia="en-US" w:bidi="en-US"/>
          <w:w w:val="100"/>
          <w:spacing w:val="0"/>
          <w:color w:val="000000"/>
          <w:position w:val="0"/>
        </w:rPr>
        <w:t xml:space="preserve">R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R' </w:t>
      </w:r>
      <w:r>
        <w:rPr>
          <w:lang w:val="ru-RU" w:eastAsia="ru-RU" w:bidi="ru-RU"/>
          <w:w w:val="100"/>
          <w:spacing w:val="0"/>
          <w:color w:val="000000"/>
          <w:position w:val="0"/>
        </w:rPr>
        <w:t xml:space="preserve">с инверсией зубца </w:t>
      </w:r>
      <w:r>
        <w:rPr>
          <w:lang w:val="en-US" w:eastAsia="en-US" w:bidi="en-US"/>
          <w:w w:val="100"/>
          <w:spacing w:val="0"/>
          <w:color w:val="000000"/>
          <w:position w:val="0"/>
        </w:rPr>
        <w:t>T).</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Сочетание с вероятными критериями.</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Постоянная гипоксия и влияние инфекции приводят к диффузным изменениям миокарда в виде снижения амплитуды зубцов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и сдвига сегмента </w:t>
      </w:r>
      <w:r>
        <w:rPr>
          <w:lang w:val="en-US" w:eastAsia="en-US" w:bidi="en-US"/>
          <w:w w:val="100"/>
          <w:spacing w:val="0"/>
          <w:color w:val="000000"/>
          <w:position w:val="0"/>
        </w:rPr>
        <w:t xml:space="preserve">ST-T, </w:t>
      </w:r>
      <w:r>
        <w:rPr>
          <w:lang w:val="ru-RU" w:eastAsia="ru-RU" w:bidi="ru-RU"/>
          <w:w w:val="100"/>
          <w:spacing w:val="0"/>
          <w:color w:val="000000"/>
          <w:position w:val="0"/>
        </w:rPr>
        <w:t>преимущественно в правых грудных отведениях.</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Квероятным признакам легочного сердца удетей относят:</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en-US" w:eastAsia="en-US" w:bidi="en-US"/>
          <w:w w:val="100"/>
          <w:spacing w:val="0"/>
          <w:color w:val="000000"/>
          <w:position w:val="0"/>
        </w:rPr>
        <w:t xml:space="preserve">P-pulmonale </w:t>
      </w:r>
      <w:r>
        <w:rPr>
          <w:lang w:val="ru-RU" w:eastAsia="ru-RU" w:bidi="ru-RU"/>
          <w:w w:val="100"/>
          <w:spacing w:val="0"/>
          <w:color w:val="000000"/>
          <w:position w:val="0"/>
        </w:rPr>
        <w:t xml:space="preserve">в отведениях II, III, </w:t>
      </w:r>
      <w:r>
        <w:rPr>
          <w:lang w:val="en-US" w:eastAsia="en-US" w:bidi="en-US"/>
          <w:w w:val="100"/>
          <w:spacing w:val="0"/>
          <w:color w:val="000000"/>
          <w:position w:val="0"/>
        </w:rPr>
        <w:t>aVF.</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Отклонение электрической оси сердца вправо более 110°.</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Соотношение </w:t>
      </w:r>
      <w:r>
        <w:rPr>
          <w:lang w:val="en-US" w:eastAsia="en-US" w:bidi="en-US"/>
          <w:w w:val="100"/>
          <w:spacing w:val="0"/>
          <w:color w:val="000000"/>
          <w:position w:val="0"/>
        </w:rPr>
        <w:t xml:space="preserve">R/S </w:t>
      </w:r>
      <w:r>
        <w:rPr>
          <w:lang w:val="ru-RU" w:eastAsia="ru-RU" w:bidi="ru-RU"/>
          <w:w w:val="100"/>
          <w:spacing w:val="0"/>
          <w:color w:val="000000"/>
          <w:position w:val="0"/>
        </w:rPr>
        <w:t xml:space="preserve">в </w:t>
      </w:r>
      <w:r>
        <w:rPr>
          <w:lang w:val="en-US" w:eastAsia="en-US" w:bidi="en-US"/>
          <w:w w:val="100"/>
          <w:spacing w:val="0"/>
          <w:color w:val="000000"/>
          <w:position w:val="0"/>
        </w:rPr>
        <w:t xml:space="preserve">V6 </w:t>
      </w:r>
      <w:r>
        <w:rPr>
          <w:lang w:val="ru-RU" w:eastAsia="ru-RU" w:bidi="ru-RU"/>
          <w:w w:val="100"/>
          <w:spacing w:val="0"/>
          <w:color w:val="000000"/>
          <w:position w:val="0"/>
        </w:rPr>
        <w:t>меньше или равно 1.</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en-US" w:eastAsia="en-US" w:bidi="en-US"/>
          <w:w w:val="100"/>
          <w:spacing w:val="0"/>
          <w:color w:val="000000"/>
          <w:position w:val="0"/>
        </w:rPr>
        <w:t xml:space="preserve">rRS </w:t>
      </w:r>
      <w:r>
        <w:rPr>
          <w:lang w:val="ru-RU" w:eastAsia="ru-RU" w:bidi="ru-RU"/>
          <w:w w:val="100"/>
          <w:spacing w:val="0"/>
          <w:color w:val="000000"/>
          <w:position w:val="0"/>
        </w:rPr>
        <w:t>в правых грудных отведениях.</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Блокада правой ножки пучка Гиса.</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ЭКГ-признаки легочной гипертензии могут быть кос</w:t>
        <w:softHyphen/>
        <w:t xml:space="preserve">венно определеньг по критериям </w:t>
      </w:r>
      <w:r>
        <w:rPr>
          <w:lang w:val="en-US" w:eastAsia="en-US" w:bidi="en-US"/>
          <w:w w:val="100"/>
          <w:spacing w:val="0"/>
          <w:color w:val="000000"/>
          <w:position w:val="0"/>
        </w:rPr>
        <w:t>Bernard R.</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Зубцы Т в отведениях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,V</w:t>
      </w:r>
      <w:r>
        <w:rPr>
          <w:lang w:val="en-US" w:eastAsia="en-US" w:bidi="en-US"/>
          <w:vertAlign w:val="subscript"/>
          <w:w w:val="100"/>
          <w:spacing w:val="0"/>
          <w:color w:val="000000"/>
          <w:position w:val="0"/>
        </w:rPr>
        <w:t>2</w:t>
      </w:r>
      <w:r>
        <w:rPr>
          <w:lang w:val="en-US" w:eastAsia="en-US" w:bidi="en-US"/>
          <w:w w:val="100"/>
          <w:spacing w:val="0"/>
          <w:color w:val="000000"/>
          <w:position w:val="0"/>
        </w:rPr>
        <w:t>,V</w:t>
      </w:r>
      <w:r>
        <w:rPr>
          <w:lang w:val="en-US" w:eastAsia="en-US" w:bidi="en-US"/>
          <w:vertAlign w:val="subscript"/>
          <w:w w:val="100"/>
          <w:spacing w:val="0"/>
          <w:color w:val="000000"/>
          <w:position w:val="0"/>
        </w:rPr>
        <w:t>3</w:t>
      </w:r>
      <w:r>
        <w:rPr>
          <w:lang w:val="en-US" w:eastAsia="en-US" w:bidi="en-US"/>
          <w:w w:val="100"/>
          <w:spacing w:val="0"/>
          <w:color w:val="000000"/>
          <w:position w:val="0"/>
        </w:rPr>
        <w:t xml:space="preserve"> </w:t>
      </w:r>
      <w:r>
        <w:rPr>
          <w:lang w:val="ru-RU" w:eastAsia="ru-RU" w:bidi="ru-RU"/>
          <w:w w:val="100"/>
          <w:spacing w:val="0"/>
          <w:color w:val="000000"/>
          <w:position w:val="0"/>
        </w:rPr>
        <w:t>— отрицательные.</w:t>
      </w:r>
    </w:p>
    <w:p>
      <w:pPr>
        <w:pStyle w:val="Style30"/>
        <w:numPr>
          <w:ilvl w:val="0"/>
          <w:numId w:val="115"/>
        </w:numPr>
        <w:tabs>
          <w:tab w:leader="none" w:pos="518" w:val="left"/>
        </w:tabs>
        <w:widowControl w:val="0"/>
        <w:keepNext w:val="0"/>
        <w:keepLines w:val="0"/>
        <w:shd w:val="clear" w:color="auto" w:fill="auto"/>
        <w:bidi w:val="0"/>
        <w:spacing w:before="0" w:after="24" w:line="180" w:lineRule="exact"/>
        <w:ind w:left="500" w:right="0" w:hanging="220"/>
      </w:pPr>
      <w:r>
        <w:rPr>
          <w:lang w:val="ru-RU" w:eastAsia="ru-RU" w:bidi="ru-RU"/>
          <w:w w:val="100"/>
          <w:spacing w:val="0"/>
          <w:color w:val="000000"/>
          <w:position w:val="0"/>
        </w:rPr>
        <w:t xml:space="preserve">Ось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&gt; 90°.</w:t>
      </w:r>
    </w:p>
    <w:p>
      <w:pPr>
        <w:pStyle w:val="Style30"/>
        <w:numPr>
          <w:ilvl w:val="0"/>
          <w:numId w:val="115"/>
        </w:numPr>
        <w:tabs>
          <w:tab w:leader="none" w:pos="518" w:val="left"/>
        </w:tabs>
        <w:widowControl w:val="0"/>
        <w:keepNext w:val="0"/>
        <w:keepLines w:val="0"/>
        <w:shd w:val="clear" w:color="auto" w:fill="auto"/>
        <w:bidi w:val="0"/>
        <w:spacing w:before="0" w:after="0" w:line="180" w:lineRule="exact"/>
        <w:ind w:left="500" w:right="0" w:hanging="220"/>
      </w:pPr>
      <w:r>
        <w:rPr>
          <w:lang w:val="ru-RU" w:eastAsia="ru-RU" w:bidi="ru-RU"/>
          <w:w w:val="100"/>
          <w:spacing w:val="0"/>
          <w:color w:val="000000"/>
          <w:position w:val="0"/>
        </w:rPr>
        <w:t xml:space="preserve">Отношение 100 </w:t>
      </w:r>
      <w:r>
        <w:rPr>
          <w:lang w:val="en-US" w:eastAsia="en-US" w:bidi="en-US"/>
          <w:w w:val="100"/>
          <w:spacing w:val="0"/>
          <w:color w:val="000000"/>
          <w:position w:val="0"/>
        </w:rPr>
        <w:t xml:space="preserve">R/(R+S) </w:t>
      </w:r>
      <w:r>
        <w:rPr>
          <w:lang w:val="ru-RU" w:eastAsia="ru-RU" w:bidi="ru-RU"/>
          <w:w w:val="100"/>
          <w:spacing w:val="0"/>
          <w:color w:val="000000"/>
          <w:position w:val="0"/>
        </w:rPr>
        <w:t xml:space="preserve">в отведении </w:t>
      </w:r>
      <w:r>
        <w:rPr>
          <w:lang w:val="en-US" w:eastAsia="en-US" w:bidi="en-US"/>
          <w:w w:val="100"/>
          <w:spacing w:val="0"/>
          <w:color w:val="000000"/>
          <w:position w:val="0"/>
        </w:rPr>
        <w:t>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 </w:t>
      </w:r>
      <w:r>
        <w:rPr>
          <w:lang w:val="ru-RU" w:eastAsia="ru-RU" w:bidi="ru-RU"/>
          <w:w w:val="100"/>
          <w:spacing w:val="0"/>
          <w:color w:val="000000"/>
          <w:position w:val="0"/>
        </w:rPr>
        <w:t>&lt; 50%.</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Размеры зубца Р во II отведении &gt; 2 мм.</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Отношение 100 </w:t>
      </w:r>
      <w:r>
        <w:rPr>
          <w:lang w:val="en-US" w:eastAsia="en-US" w:bidi="en-US"/>
          <w:w w:val="100"/>
          <w:spacing w:val="0"/>
          <w:color w:val="000000"/>
          <w:position w:val="0"/>
        </w:rPr>
        <w:t xml:space="preserve">P/(R+S) </w:t>
      </w:r>
      <w:r>
        <w:rPr>
          <w:lang w:val="ru-RU" w:eastAsia="ru-RU" w:bidi="ru-RU"/>
          <w:w w:val="100"/>
          <w:spacing w:val="0"/>
          <w:color w:val="000000"/>
          <w:position w:val="0"/>
        </w:rPr>
        <w:t>во II отведении &gt; 26%.</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Отношение 100 </w:t>
      </w:r>
      <w:r>
        <w:rPr>
          <w:lang w:val="en-US" w:eastAsia="en-US" w:bidi="en-US"/>
          <w:w w:val="100"/>
          <w:spacing w:val="0"/>
          <w:color w:val="000000"/>
          <w:position w:val="0"/>
        </w:rPr>
        <w:t xml:space="preserve">R/(R+Q) </w:t>
      </w:r>
      <w:r>
        <w:rPr>
          <w:lang w:val="ru-RU" w:eastAsia="ru-RU" w:bidi="ru-RU"/>
          <w:w w:val="100"/>
          <w:spacing w:val="0"/>
          <w:color w:val="000000"/>
          <w:position w:val="0"/>
        </w:rPr>
        <w:t xml:space="preserve">в отведении </w:t>
      </w:r>
      <w:r>
        <w:rPr>
          <w:lang w:val="en-US" w:eastAsia="en-US" w:bidi="en-US"/>
          <w:w w:val="100"/>
          <w:spacing w:val="0"/>
          <w:color w:val="000000"/>
          <w:position w:val="0"/>
        </w:rPr>
        <w:t xml:space="preserve">aVR </w:t>
      </w:r>
      <w:r>
        <w:rPr>
          <w:lang w:val="ru-RU" w:eastAsia="ru-RU" w:bidi="ru-RU"/>
          <w:w w:val="100"/>
          <w:spacing w:val="0"/>
          <w:color w:val="000000"/>
          <w:position w:val="0"/>
        </w:rPr>
        <w:t>&gt; 50%.</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Отношение 100 </w:t>
      </w:r>
      <w:r>
        <w:rPr>
          <w:lang w:val="en-US" w:eastAsia="en-US" w:bidi="en-US"/>
          <w:w w:val="100"/>
          <w:spacing w:val="0"/>
          <w:color w:val="000000"/>
          <w:position w:val="0"/>
        </w:rPr>
        <w:t xml:space="preserve">R/(R+S) </w:t>
      </w:r>
      <w:r>
        <w:rPr>
          <w:lang w:val="ru-RU" w:eastAsia="ru-RU" w:bidi="ru-RU"/>
          <w:w w:val="100"/>
          <w:spacing w:val="0"/>
          <w:color w:val="000000"/>
          <w:position w:val="0"/>
        </w:rPr>
        <w:t xml:space="preserve">в отведении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&gt; 50%.</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Эхокардиография:</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Эхокардиография позволяет обнаружить увеличение размеров полости и гипертрофию миокарда правого желудочка, утолщение и парадоксальное движение межжелудочковой перегородки, расширение легоч</w:t>
        <w:softHyphen/>
        <w:t>ного ствола. С помощью допплерэхокардиографии определяют легочное артериальное давление, вели</w:t>
        <w:softHyphen/>
        <w:t>чины клапанных регургитаций. Данный метод имеет существенные преимущества в диагностике легочной гипертензии перед сложными инвазивными и неин</w:t>
        <w:softHyphen/>
        <w:t>вазивными методами.</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Допплерэхокардиография позволяет провести коли</w:t>
        <w:softHyphen/>
        <w:t>чественную и качественную оценку легочной гипер</w:t>
        <w:softHyphen/>
        <w:t>тензии по величине трикуспидальной регургитации. О величине легочной гипертензии можно также су</w:t>
        <w:softHyphen/>
        <w:t>дить по времени ускорения потока в легочной арте</w:t>
        <w:softHyphen/>
        <w:t>рии (АсТ). Данный показатель определяется как вре</w:t>
        <w:softHyphen/>
        <w:t>мя от начала тока крови в легочную артерию до пико - вого потока. Время ускорения в легочной артерии имеет тесную обратную корреляцию с систолическим и средним артериальным давлением в легочной арте</w:t>
        <w:softHyphen/>
        <w:t>рии.</w:t>
      </w:r>
    </w:p>
    <w:p>
      <w:pPr>
        <w:pStyle w:val="Style30"/>
        <w:numPr>
          <w:ilvl w:val="0"/>
          <w:numId w:val="115"/>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Расчетные показатели верифицированы с данными, полученными при правожелудочковой катетериза</w:t>
        <w:softHyphen/>
        <w:t xml:space="preserve">ции, и имеют хорошую сопоставимость </w:t>
      </w:r>
      <w:r>
        <w:rPr>
          <w:lang w:val="en-US" w:eastAsia="en-US" w:bidi="en-US"/>
          <w:w w:val="100"/>
          <w:spacing w:val="0"/>
          <w:color w:val="000000"/>
          <w:position w:val="0"/>
        </w:rPr>
        <w:t>(r=+0,87).</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Формулы расчета гемодинамических показателей имеют следующий вид (Белозеров Ю.М):</w:t>
      </w:r>
    </w:p>
    <w:p>
      <w:pPr>
        <w:pStyle w:val="Style30"/>
        <w:widowControl w:val="0"/>
        <w:keepNext w:val="0"/>
        <w:keepLines w:val="0"/>
        <w:shd w:val="clear" w:color="auto" w:fill="auto"/>
        <w:bidi w:val="0"/>
        <w:jc w:val="center"/>
        <w:spacing w:before="0" w:after="0"/>
        <w:ind w:left="40" w:right="0" w:firstLine="0"/>
      </w:pPr>
      <w:r>
        <w:rPr>
          <w:lang w:val="en-US" w:eastAsia="en-US" w:bidi="en-US"/>
          <w:w w:val="100"/>
          <w:spacing w:val="0"/>
          <w:color w:val="000000"/>
          <w:position w:val="0"/>
        </w:rPr>
        <w:t xml:space="preserve">PASP </w:t>
      </w:r>
      <w:r>
        <w:rPr>
          <w:lang w:val="ru-RU" w:eastAsia="ru-RU" w:bidi="ru-RU"/>
          <w:w w:val="100"/>
          <w:spacing w:val="0"/>
          <w:color w:val="000000"/>
          <w:position w:val="0"/>
        </w:rPr>
        <w:t xml:space="preserve">= 7 + </w:t>
      </w:r>
      <w:r>
        <w:rPr>
          <w:lang w:val="en-US" w:eastAsia="en-US" w:bidi="en-US"/>
          <w:w w:val="100"/>
          <w:spacing w:val="0"/>
          <w:color w:val="000000"/>
          <w:position w:val="0"/>
        </w:rPr>
        <w:t xml:space="preserve">666PREP </w:t>
      </w:r>
      <w:r>
        <w:rPr>
          <w:lang w:val="ru-RU" w:eastAsia="ru-RU" w:bidi="ru-RU"/>
          <w:w w:val="100"/>
          <w:spacing w:val="0"/>
          <w:color w:val="000000"/>
          <w:position w:val="0"/>
        </w:rPr>
        <w:t xml:space="preserve">— </w:t>
      </w:r>
      <w:r>
        <w:rPr>
          <w:lang w:val="en-US" w:eastAsia="en-US" w:bidi="en-US"/>
          <w:w w:val="100"/>
          <w:spacing w:val="0"/>
          <w:color w:val="000000"/>
          <w:position w:val="0"/>
        </w:rPr>
        <w:t xml:space="preserve">78-AcT </w:t>
      </w:r>
      <w:r>
        <w:rPr>
          <w:lang w:val="ru-RU" w:eastAsia="ru-RU" w:bidi="ru-RU"/>
          <w:w w:val="100"/>
          <w:spacing w:val="0"/>
          <w:color w:val="000000"/>
          <w:position w:val="0"/>
        </w:rPr>
        <w:t xml:space="preserve">— </w:t>
      </w:r>
      <w:r>
        <w:rPr>
          <w:lang w:val="en-US" w:eastAsia="en-US" w:bidi="en-US"/>
          <w:w w:val="100"/>
          <w:spacing w:val="0"/>
          <w:color w:val="000000"/>
          <w:position w:val="0"/>
        </w:rPr>
        <w:t>49-RVET</w:t>
        <w:br/>
        <w:t xml:space="preserve">PADP </w:t>
      </w:r>
      <w:r>
        <w:rPr>
          <w:lang w:val="ru-RU" w:eastAsia="ru-RU" w:bidi="ru-RU"/>
          <w:w w:val="100"/>
          <w:spacing w:val="0"/>
          <w:color w:val="000000"/>
          <w:position w:val="0"/>
        </w:rPr>
        <w:t xml:space="preserve">= </w:t>
      </w:r>
      <w:r>
        <w:rPr>
          <w:lang w:val="en-US" w:eastAsia="en-US" w:bidi="en-US"/>
          <w:w w:val="100"/>
          <w:spacing w:val="0"/>
          <w:color w:val="000000"/>
          <w:position w:val="0"/>
        </w:rPr>
        <w:t>483-PREP + 96-AcT — 4.5-RVET — 28</w:t>
        <w:br/>
        <w:t>PAMP = 613-PREP + 71-AcT — 26-RVET — 19</w:t>
        <w:br/>
        <w:t>TPR = 2738 — (22 • AcT),</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где </w:t>
      </w:r>
      <w:r>
        <w:rPr>
          <w:lang w:val="en-US" w:eastAsia="en-US" w:bidi="en-US"/>
          <w:w w:val="100"/>
          <w:spacing w:val="0"/>
          <w:color w:val="000000"/>
          <w:position w:val="0"/>
        </w:rPr>
        <w:t xml:space="preserve">PASP — </w:t>
      </w:r>
      <w:r>
        <w:rPr>
          <w:lang w:val="ru-RU" w:eastAsia="ru-RU" w:bidi="ru-RU"/>
          <w:w w:val="100"/>
          <w:spacing w:val="0"/>
          <w:color w:val="000000"/>
          <w:position w:val="0"/>
        </w:rPr>
        <w:t>систолическое давление в легочной артерии;</w:t>
      </w:r>
    </w:p>
    <w:p>
      <w:pPr>
        <w:pStyle w:val="Style30"/>
        <w:widowControl w:val="0"/>
        <w:keepNext w:val="0"/>
        <w:keepLines w:val="0"/>
        <w:shd w:val="clear" w:color="auto" w:fill="auto"/>
        <w:bidi w:val="0"/>
        <w:spacing w:before="0" w:after="0"/>
        <w:ind w:left="500" w:right="0" w:hanging="220"/>
      </w:pPr>
      <w:r>
        <w:rPr>
          <w:lang w:val="en-US" w:eastAsia="en-US" w:bidi="en-US"/>
          <w:w w:val="100"/>
          <w:spacing w:val="0"/>
          <w:color w:val="000000"/>
          <w:position w:val="0"/>
        </w:rPr>
        <w:t xml:space="preserve">PADP — </w:t>
      </w:r>
      <w:r>
        <w:rPr>
          <w:lang w:val="ru-RU" w:eastAsia="ru-RU" w:bidi="ru-RU"/>
          <w:w w:val="100"/>
          <w:spacing w:val="0"/>
          <w:color w:val="000000"/>
          <w:position w:val="0"/>
        </w:rPr>
        <w:t>диастолическое давление в легочной артерии;</w:t>
      </w:r>
    </w:p>
    <w:p>
      <w:pPr>
        <w:pStyle w:val="Style30"/>
        <w:widowControl w:val="0"/>
        <w:keepNext w:val="0"/>
        <w:keepLines w:val="0"/>
        <w:shd w:val="clear" w:color="auto" w:fill="auto"/>
        <w:bidi w:val="0"/>
        <w:spacing w:before="0" w:after="0"/>
        <w:ind w:left="500" w:right="0" w:hanging="220"/>
      </w:pPr>
      <w:r>
        <w:rPr>
          <w:lang w:val="en-US" w:eastAsia="en-US" w:bidi="en-US"/>
          <w:w w:val="100"/>
          <w:spacing w:val="0"/>
          <w:color w:val="000000"/>
          <w:position w:val="0"/>
        </w:rPr>
        <w:t xml:space="preserve">PAMP — </w:t>
      </w:r>
      <w:r>
        <w:rPr>
          <w:lang w:val="ru-RU" w:eastAsia="ru-RU" w:bidi="ru-RU"/>
          <w:w w:val="100"/>
          <w:spacing w:val="0"/>
          <w:color w:val="000000"/>
          <w:position w:val="0"/>
        </w:rPr>
        <w:t>среднее давление в легочной артерии;</w:t>
      </w:r>
    </w:p>
    <w:p>
      <w:pPr>
        <w:pStyle w:val="Style30"/>
        <w:widowControl w:val="0"/>
        <w:keepNext w:val="0"/>
        <w:keepLines w:val="0"/>
        <w:shd w:val="clear" w:color="auto" w:fill="auto"/>
        <w:bidi w:val="0"/>
        <w:spacing w:before="0" w:after="0"/>
        <w:ind w:left="500" w:right="0" w:hanging="220"/>
      </w:pPr>
      <w:r>
        <w:pict>
          <v:shape id="_x0000_s1611" type="#_x0000_t75" style="position:absolute;margin-left:148.1pt;margin-top:736.55pt;width:209.75pt;height:14.9pt;z-index:-125828982;mso-wrap-distance-left:148.1pt;mso-wrap-distance-right:137.05pt;mso-wrap-distance-bottom:10.8pt;mso-position-horizontal-relative:margin;mso-position-vertical-relative:margin" wrapcoords="0 0 21600 0 21600 21600 0 21600 0 0">
            <v:imagedata r:id="rId969" r:href="rId970"/>
            <w10:wrap type="topAndBottom" anchorx="margin" anchory="margin"/>
          </v:shape>
        </w:pict>
      </w:r>
      <w:r>
        <w:rPr>
          <w:lang w:val="en-US" w:eastAsia="en-US" w:bidi="en-US"/>
          <w:w w:val="100"/>
          <w:spacing w:val="0"/>
          <w:color w:val="000000"/>
          <w:position w:val="0"/>
        </w:rPr>
        <w:t xml:space="preserve">TRP — </w:t>
      </w:r>
      <w:r>
        <w:rPr>
          <w:lang w:val="ru-RU" w:eastAsia="ru-RU" w:bidi="ru-RU"/>
          <w:w w:val="100"/>
          <w:spacing w:val="0"/>
          <w:color w:val="000000"/>
          <w:position w:val="0"/>
        </w:rPr>
        <w:t>общее легочное сопротивление;</w:t>
      </w:r>
      <w:r>
        <w:br w:type="page"/>
      </w:r>
    </w:p>
    <w:p>
      <w:pPr>
        <w:pStyle w:val="Style30"/>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PREP </w:t>
      </w:r>
      <w:r>
        <w:rPr>
          <w:lang w:val="ru-RU" w:eastAsia="ru-RU" w:bidi="ru-RU"/>
          <w:w w:val="100"/>
          <w:spacing w:val="0"/>
          <w:color w:val="000000"/>
          <w:position w:val="0"/>
        </w:rPr>
        <w:t>— период предъизгнания правого желудочка;</w:t>
      </w:r>
    </w:p>
    <w:p>
      <w:pPr>
        <w:pStyle w:val="Style30"/>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AcT </w:t>
      </w:r>
      <w:r>
        <w:rPr>
          <w:lang w:val="ru-RU" w:eastAsia="ru-RU" w:bidi="ru-RU"/>
          <w:w w:val="100"/>
          <w:spacing w:val="0"/>
          <w:color w:val="000000"/>
          <w:position w:val="0"/>
        </w:rPr>
        <w:t>— время ускорения потока;</w:t>
      </w:r>
    </w:p>
    <w:p>
      <w:pPr>
        <w:pStyle w:val="Style30"/>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RVET </w:t>
      </w:r>
      <w:r>
        <w:rPr>
          <w:lang w:val="ru-RU" w:eastAsia="ru-RU" w:bidi="ru-RU"/>
          <w:w w:val="100"/>
          <w:spacing w:val="0"/>
          <w:color w:val="000000"/>
          <w:position w:val="0"/>
        </w:rPr>
        <w:t>— период правожелудочкового изгнания.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Рентгенография:</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рентгенографии легких выявляются специфиче</w:t>
        <w:softHyphen/>
        <w:t>ские для основного заболевания изменения брон</w:t>
        <w:softHyphen/>
        <w:t>хо-сосудистого рисунка. Однако в 10% случаев они могут не обнаруживаться.</w:t>
      </w:r>
    </w:p>
    <w:p>
      <w:pPr>
        <w:pStyle w:val="Style30"/>
        <w:numPr>
          <w:ilvl w:val="0"/>
          <w:numId w:val="11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На рентгенограмме при хроническом легочном серд</w:t>
        <w:softHyphen/>
        <w:t>це определяются:</w:t>
      </w:r>
    </w:p>
    <w:p>
      <w:pPr>
        <w:pStyle w:val="Style30"/>
        <w:numPr>
          <w:ilvl w:val="0"/>
          <w:numId w:val="117"/>
        </w:numPr>
        <w:tabs>
          <w:tab w:leader="none" w:pos="752"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выбухание дуги легочной артерии;</w:t>
      </w:r>
    </w:p>
    <w:p>
      <w:pPr>
        <w:pStyle w:val="Style30"/>
        <w:numPr>
          <w:ilvl w:val="0"/>
          <w:numId w:val="117"/>
        </w:numPr>
        <w:tabs>
          <w:tab w:leader="none" w:pos="752"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легочный рисунок обеднен по периферии;</w:t>
      </w:r>
    </w:p>
    <w:p>
      <w:pPr>
        <w:pStyle w:val="Style30"/>
        <w:numPr>
          <w:ilvl w:val="0"/>
          <w:numId w:val="117"/>
        </w:numPr>
        <w:tabs>
          <w:tab w:leader="none" w:pos="752"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расширен контур правого желудочка;</w:t>
      </w:r>
    </w:p>
    <w:p>
      <w:pPr>
        <w:pStyle w:val="Style30"/>
        <w:numPr>
          <w:ilvl w:val="0"/>
          <w:numId w:val="117"/>
        </w:numPr>
        <w:tabs>
          <w:tab w:leader="none" w:pos="752"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правый атриовазальный угол приподнят;</w:t>
      </w:r>
    </w:p>
    <w:p>
      <w:pPr>
        <w:pStyle w:val="Style30"/>
        <w:numPr>
          <w:ilvl w:val="0"/>
          <w:numId w:val="117"/>
        </w:numPr>
        <w:tabs>
          <w:tab w:leader="none" w:pos="752"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наибольшая выпуклость тени правого желудочка примыкает к диафрагме.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Томография:</w:t>
      </w:r>
    </w:p>
    <w:p>
      <w:pPr>
        <w:pStyle w:val="Style30"/>
        <w:numPr>
          <w:ilvl w:val="0"/>
          <w:numId w:val="11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Томография помогает дифференцированно оценить состояние легочных артерий и вен.</w:t>
      </w:r>
    </w:p>
    <w:p>
      <w:pPr>
        <w:pStyle w:val="Style30"/>
        <w:numPr>
          <w:ilvl w:val="0"/>
          <w:numId w:val="115"/>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 легочном сердце обычно отмечается увеличение ширины междолевой части правой легочной артерии.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Функция внешнего дыхания:</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легочном сердце наблюдаются изменения функ</w:t>
        <w:softHyphen/>
        <w:t>ции внешнего дыхания по обструктивному, рестрик</w:t>
        <w:softHyphen/>
        <w:t>тивному или смешанному типам, жизненная емкость легких обычно снижена.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Перфузионная сцинтиграфия:</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Перфузионная сцинтиграфия легких с альбумином, меченным </w:t>
      </w:r>
      <w:r>
        <w:rPr>
          <w:lang w:val="en-US" w:eastAsia="en-US" w:bidi="en-US"/>
          <w:w w:val="100"/>
          <w:spacing w:val="0"/>
          <w:color w:val="000000"/>
          <w:position w:val="0"/>
        </w:rPr>
        <w:t xml:space="preserve">Tc99m, </w:t>
      </w:r>
      <w:r>
        <w:rPr>
          <w:lang w:val="ru-RU" w:eastAsia="ru-RU" w:bidi="ru-RU"/>
          <w:w w:val="100"/>
          <w:spacing w:val="0"/>
          <w:color w:val="000000"/>
          <w:position w:val="0"/>
        </w:rPr>
        <w:t>при легочном сердце выявляет оп</w:t>
        <w:softHyphen/>
        <w:t>ределенную закономерность — чем выше легочное давление, тем интенсивнее включение метки в верх</w:t>
        <w:softHyphen/>
        <w:t>них отделах легких.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Катетеризация правых отделов сердца и легочной артерии:</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Проводится в случаях неинформативности допп</w:t>
        <w:softHyphen/>
        <w:t>лерэхокардиографии в определении гемодинамичес</w:t>
        <w:softHyphen/>
        <w:t>ких показателей, при подозрении на недиагностиро</w:t>
        <w:softHyphen/>
        <w:t>ванный порок сердца (например, частичный ано</w:t>
        <w:softHyphen/>
        <w:t>мальный дренаж легочных вен), а также используется в определении легочной сосудистой реактивности при остром фармакологическом тестировании вазо- дилататорами.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определении комплекса лечебных мероприятий и времени его проведения у больных с легочным сердцем необходимо исходить из следующих принципиальных по</w:t>
        <w:softHyphen/>
        <w:t>ложений.</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Наибольшая эффективность лечения достигается в случае, если оно начато в ранний период болезни с обязательным исключением курения, в т.ч. пассив</w:t>
        <w:softHyphen/>
        <w:t>ного, и применением средств, повышающих реактив</w:t>
        <w:softHyphen/>
        <w:t>ность организма (лечебная физкультура, массаж, ис</w:t>
        <w:softHyphen/>
        <w:t>пользование климатических факторов, иммуномоду</w:t>
        <w:softHyphen/>
        <w:t>ляторов).</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выборе метода воздействия на бронхиальную об</w:t>
        <w:softHyphen/>
        <w:t>струкцию следует учитывать ведущий ее механизм: бронхоспазм, нарушение реологических свойств мо</w:t>
        <w:softHyphen/>
        <w:t>кроты, воспалительные изменения бронхов или кол</w:t>
        <w:softHyphen/>
        <w:t>лапс мелких бронхов на выдохе вследствие снижения или утраты легкими эластических свойств.</w:t>
      </w:r>
    </w:p>
    <w:p>
      <w:pPr>
        <w:pStyle w:val="Style30"/>
        <w:numPr>
          <w:ilvl w:val="0"/>
          <w:numId w:val="11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Антибактериальные препараты включаются в ком</w:t>
        <w:softHyphen/>
        <w:t>плексную терапию только при наличии симптомов активной бактериальной инфекции.</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Лечение проводится непрерывно с соблюдением пре</w:t>
        <w:softHyphen/>
        <w:t>емственности между стационаром, поликлиникой и санаторием-профилакторием; важность этого прин</w:t>
        <w:softHyphen/>
        <w:t>ципа вытекает из особенностей течения обструктив</w:t>
        <w:softHyphen/>
        <w:t>ного бронхита, для которого и в фазе ремиссии необ</w:t>
        <w:softHyphen/>
        <w:t>ходима постоянная поддерживающая терапия.</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лечении больных с бронхиальной обструкцией, ос</w:t>
        <w:softHyphen/>
        <w:t>ложненной легочной гипертензией, применение ад</w:t>
        <w:softHyphen/>
        <w:t>реналина, норадреналина, эфедрина требует особой осторожности, так как они помимо бронходилатиру- ющего действия вызывают гипертензивные реакции в малом круге кровообращения.</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Гипотензивную терапию необходимо начинать рано, в период становления легочной гипертензии.</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Комплексное лечение легочного сердца при хроничес</w:t>
        <w:softHyphen/>
        <w:t>ких бронхолегочных заболеваниях должно включать:</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Лечение основного заболевания.</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Ликвидацию гипоксии и ацидоза.</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Снижение давления в малом круге кровообращения.</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Лечение правожелудочковой недостаточности.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Лечение основного заболевания:</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Поскольку хроническое легочное сердце является синдромом, который развивается как осложнение бо</w:t>
        <w:softHyphen/>
        <w:t>лезней органов дыхания, терапия должна обязатель</w:t>
        <w:softHyphen/>
        <w:t>но включать лечение основного заболевания.</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большинстве случаев причина обострения хрони</w:t>
        <w:softHyphen/>
        <w:t>ческих неспецифических заболеваний легких обус</w:t>
        <w:softHyphen/>
        <w:t xml:space="preserve">ловлена присоединением инфекции. Наиболее часто этиологическими возбудителями являются </w:t>
      </w:r>
      <w:r>
        <w:rPr>
          <w:lang w:val="en-US" w:eastAsia="en-US" w:bidi="en-US"/>
          <w:w w:val="100"/>
          <w:spacing w:val="0"/>
          <w:color w:val="000000"/>
          <w:position w:val="0"/>
        </w:rPr>
        <w:t>Str. pneu</w:t>
        <w:softHyphen/>
        <w:t xml:space="preserve">moniae, H.influenzae, Legionella spp., Chlamidia pneu- monae. </w:t>
      </w:r>
      <w:r>
        <w:rPr>
          <w:lang w:val="ru-RU" w:eastAsia="ru-RU" w:bidi="ru-RU"/>
          <w:w w:val="100"/>
          <w:spacing w:val="0"/>
          <w:color w:val="000000"/>
          <w:position w:val="0"/>
        </w:rPr>
        <w:t>Учитывая современную структуру этиологи</w:t>
        <w:softHyphen/>
        <w:t>ческих возбудителей, первое место в терапии обост</w:t>
        <w:softHyphen/>
        <w:t>рения болезни должны занимать современные мак</w:t>
        <w:softHyphen/>
        <w:t>ролиды.</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Наряду с антибиотиками необходимо применять от</w:t>
        <w:softHyphen/>
        <w:t>харкивающие и муколитические средства (ацетилци</w:t>
        <w:softHyphen/>
        <w:t>стеин, мукосальвин, мукомист, бромгексин, йодис</w:t>
        <w:softHyphen/>
        <w:t>тый калий, отхаркивающий настой лиственных трав, влажные ингаляции). Назначаются бронхорасширя</w:t>
        <w:softHyphen/>
        <w:t>ющие средства: теофиллин пролонгированного дей</w:t>
        <w:softHyphen/>
        <w:t>ствия — теопек, дурофиллин, теодур и сверхдюрант- ные препараты (эфидонг, унифиллин, энпрофиллин идр.).</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Ликвидация гипоксии и ацидоза:</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Оксигенотерапия:</w:t>
      </w:r>
    </w:p>
    <w:p>
      <w:pPr>
        <w:pStyle w:val="Style30"/>
        <w:numPr>
          <w:ilvl w:val="0"/>
          <w:numId w:val="11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Дыхание воздухом с повышенным содержанием кислорода ведет к снижению давления в легочной артерии, общего легочного и легочно-артериоляр- ного сопротивления, увеличению фракции выбро</w:t>
        <w:softHyphen/>
        <w:t>са правого желудочка.</w:t>
      </w:r>
    </w:p>
    <w:p>
      <w:pPr>
        <w:pStyle w:val="Style30"/>
        <w:numPr>
          <w:ilvl w:val="0"/>
          <w:numId w:val="11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Назначается длительная оксигенотерапия, прово</w:t>
        <w:softHyphen/>
        <w:t>димая сначала в стационаре, а затем на дому.</w:t>
      </w:r>
    </w:p>
    <w:p>
      <w:pPr>
        <w:pStyle w:val="Style30"/>
        <w:numPr>
          <w:ilvl w:val="0"/>
          <w:numId w:val="11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При высокой легочной гипертонии проводят низ</w:t>
        <w:softHyphen/>
        <w:t>копоточную оксигенотерапию. Она показана при тяжелой форме легочного сердца, сопровождаю</w:t>
        <w:softHyphen/>
        <w:t>щейся постоянной гипоксемией с насыщением ар</w:t>
        <w:softHyphen/>
        <w:t>териальной крови менее 80% (РаО</w:t>
      </w:r>
      <w:r>
        <w:rPr>
          <w:lang w:val="ru-RU" w:eastAsia="ru-RU" w:bidi="ru-RU"/>
          <w:vertAlign w:val="subscript"/>
          <w:w w:val="100"/>
          <w:spacing w:val="0"/>
          <w:color w:val="000000"/>
          <w:position w:val="0"/>
        </w:rPr>
        <w:t>2</w:t>
      </w:r>
      <w:r>
        <w:rPr>
          <w:lang w:val="ru-RU" w:eastAsia="ru-RU" w:bidi="ru-RU"/>
          <w:w w:val="100"/>
          <w:spacing w:val="0"/>
          <w:color w:val="000000"/>
          <w:position w:val="0"/>
        </w:rPr>
        <w:t xml:space="preserve"> ниже 55 мм рт. ст., рСО</w:t>
      </w:r>
      <w:r>
        <w:rPr>
          <w:lang w:val="ru-RU" w:eastAsia="ru-RU" w:bidi="ru-RU"/>
          <w:vertAlign w:val="subscript"/>
          <w:w w:val="100"/>
          <w:spacing w:val="0"/>
          <w:color w:val="000000"/>
          <w:position w:val="0"/>
        </w:rPr>
        <w:t>2</w:t>
      </w:r>
      <w:r>
        <w:rPr>
          <w:lang w:val="ru-RU" w:eastAsia="ru-RU" w:bidi="ru-RU"/>
          <w:w w:val="100"/>
          <w:spacing w:val="0"/>
          <w:color w:val="000000"/>
          <w:position w:val="0"/>
        </w:rPr>
        <w:t xml:space="preserve"> 40 мм рт. ст.).</w:t>
      </w:r>
    </w:p>
    <w:p>
      <w:pPr>
        <w:pStyle w:val="Style30"/>
        <w:numPr>
          <w:ilvl w:val="0"/>
          <w:numId w:val="115"/>
        </w:numPr>
        <w:tabs>
          <w:tab w:leader="none" w:pos="736" w:val="left"/>
        </w:tabs>
        <w:widowControl w:val="0"/>
        <w:keepNext w:val="0"/>
        <w:keepLines w:val="0"/>
        <w:shd w:val="clear" w:color="auto" w:fill="auto"/>
        <w:bidi w:val="0"/>
        <w:spacing w:before="0" w:after="0"/>
        <w:ind w:left="740" w:right="0" w:hanging="240"/>
      </w:pPr>
      <w:r>
        <w:pict>
          <v:shape id="_x0000_s1612" type="#_x0000_t75" style="position:absolute;margin-left:137.05pt;margin-top:736.55pt;width:209.75pt;height:14.9pt;z-index:-125828981;mso-wrap-distance-left:136.8pt;mso-wrap-distance-right:147.85pt;mso-wrap-distance-bottom:10.8pt;mso-position-horizontal-relative:margin;mso-position-vertical-relative:margin" wrapcoords="0 0 21600 0 21600 21600 0 21600 0 0">
            <v:imagedata r:id="rId971" r:href="rId972"/>
            <w10:wrap type="topAndBottom" anchorx="margin" anchory="margin"/>
          </v:shape>
        </w:pict>
      </w:r>
      <w:r>
        <w:rPr>
          <w:lang w:val="ru-RU" w:eastAsia="ru-RU" w:bidi="ru-RU"/>
          <w:w w:val="100"/>
          <w:spacing w:val="0"/>
          <w:color w:val="000000"/>
          <w:position w:val="0"/>
        </w:rPr>
        <w:t>Оксигенотерапия не менее 15 ч в сутки, преимуще</w:t>
        <w:softHyphen/>
        <w:t>ственно в ночное время, при концентрации кисло</w:t>
        <w:softHyphen/>
        <w:t>рода 28-34% со скоростью подачи 1-2 л/мин спе</w:t>
        <w:softHyphen/>
        <w:t>циальными аппаратами в течение ряда месяцев</w:t>
      </w:r>
      <w:r>
        <w:br w:type="page"/>
      </w:r>
    </w:p>
    <w:p>
      <w:pPr>
        <w:pStyle w:val="Style30"/>
        <w:widowControl w:val="0"/>
        <w:keepNext w:val="0"/>
        <w:keepLines w:val="0"/>
        <w:shd w:val="clear" w:color="auto" w:fill="auto"/>
        <w:bidi w:val="0"/>
        <w:spacing w:before="0" w:after="0" w:line="226" w:lineRule="exact"/>
        <w:ind w:left="480" w:right="0" w:firstLine="0"/>
      </w:pPr>
      <w:r>
        <w:rPr>
          <w:lang w:val="ru-RU" w:eastAsia="ru-RU" w:bidi="ru-RU"/>
          <w:w w:val="100"/>
          <w:spacing w:val="0"/>
          <w:color w:val="000000"/>
          <w:position w:val="0"/>
        </w:rPr>
        <w:t>может уменьшить давление в легочной артерии на 20-30%. К концу курса лечения у больных умень</w:t>
        <w:softHyphen/>
        <w:t xml:space="preserve">шается гипоксемия </w:t>
      </w:r>
      <w:r>
        <w:rPr>
          <w:lang w:val="en-US" w:eastAsia="en-US" w:bidi="en-US"/>
          <w:w w:val="100"/>
          <w:spacing w:val="0"/>
          <w:color w:val="000000"/>
          <w:position w:val="0"/>
        </w:rPr>
        <w:t>(PaO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xml:space="preserve">увеличиватся на 13-17%) и гиперкапния </w:t>
      </w:r>
      <w:r>
        <w:rPr>
          <w:lang w:val="en-US" w:eastAsia="en-US" w:bidi="en-US"/>
          <w:w w:val="100"/>
          <w:spacing w:val="0"/>
          <w:color w:val="000000"/>
          <w:position w:val="0"/>
        </w:rPr>
        <w:t>(PaCO</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 на 12-16%).</w:t>
      </w:r>
    </w:p>
    <w:p>
      <w:pPr>
        <w:pStyle w:val="Style30"/>
        <w:numPr>
          <w:ilvl w:val="0"/>
          <w:numId w:val="115"/>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Оксигенотерапия при наличии гиперкапнии мо</w:t>
        <w:softHyphen/>
        <w:t>жет проводиться лишь при условии тщательного наблюдения врача и контроля за кислотно-щелоч</w:t>
        <w:softHyphen/>
        <w:t>ным состоянием крови. Рекомендуется 30% кон</w:t>
        <w:softHyphen/>
        <w:t>центрация кислорода во вдыхаемом воздухе с по</w:t>
        <w:softHyphen/>
        <w:t>степенным (в течение 1 ч или даже нескольких дней) повышением ее до 50%. При гиперкапнии предпочтительна прерывистая ингаляция кисло</w:t>
        <w:softHyphen/>
        <w:t>рода.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Снижение давления в малом круге кровообращения:</w:t>
      </w:r>
    </w:p>
    <w:p>
      <w:pPr>
        <w:pStyle w:val="Style30"/>
        <w:numPr>
          <w:ilvl w:val="0"/>
          <w:numId w:val="115"/>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Спазмолитики: (теофиллин, эуфиллин) расслабляют мускулатуру бронхов, расширяют коронарные сосу</w:t>
        <w:softHyphen/>
        <w:t>ды, уменьшают ОПСС, понижают давление в системе легочной артерии, увеличивают почечный кровоток, оказывают диуретическое действие, вызывают увели</w:t>
        <w:softHyphen/>
        <w:t>чение выведения воды, ионов хлора, натрия и др., тормозят агрегацию тромбоцитов. Назначение этих препаратов эффективно на ранних стадиях развития легочной гипертензии</w:t>
      </w:r>
    </w:p>
    <w:p>
      <w:pPr>
        <w:pStyle w:val="Style30"/>
        <w:numPr>
          <w:ilvl w:val="0"/>
          <w:numId w:val="115"/>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Вазодилататоры:</w:t>
      </w:r>
    </w:p>
    <w:p>
      <w:pPr>
        <w:pStyle w:val="Style30"/>
        <w:numPr>
          <w:ilvl w:val="0"/>
          <w:numId w:val="115"/>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Возможности лечения легочного сердца значи</w:t>
        <w:softHyphen/>
        <w:t>тельно повысились в связи с применением инги</w:t>
        <w:softHyphen/>
        <w:t>биторов ангиотензин превращающего фермента (ИАПФ). В нашей стране популярны каптоприл (капотен) и эналаприл — ИАПФ второго поколе</w:t>
        <w:softHyphen/>
        <w:t>ния, оказывающие пролонгированное действие. Они дают хороший гемодинамический эффект как в начале лечения, так и при длительном примене</w:t>
        <w:softHyphen/>
        <w:t>нии, им присуще не только вазодилатирующее, но и мочегонное действие, они снижают секрецию альдостерона. Благоприятное действие ИАПФ связано с дилатацией периферических сосудов, снижением как пред-, так и постнагрузки, улучше</w:t>
        <w:softHyphen/>
        <w:t>нием гемодинамики малого круга кровообраще</w:t>
        <w:softHyphen/>
        <w:t>ния, за счет чего удается уменьшить резко выра</w:t>
        <w:softHyphen/>
        <w:t>женную дилатацию полостей сердца, снизить на</w:t>
        <w:softHyphen/>
        <w:t>пряжение миокарда и потребность сердечной мышцы в кислороде.</w:t>
      </w:r>
    </w:p>
    <w:p>
      <w:pPr>
        <w:pStyle w:val="Style30"/>
        <w:numPr>
          <w:ilvl w:val="0"/>
          <w:numId w:val="115"/>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ИАПФ блокируют образование ангиотензина II, стимулируют выработку простагландина Е2, влия</w:t>
        <w:softHyphen/>
        <w:t>ют на обмен брадикинина. ИАПФ хорошо сочета</w:t>
        <w:softHyphen/>
        <w:t>ются с сердечными гликозидами и диуретиками.</w:t>
      </w:r>
    </w:p>
    <w:p>
      <w:pPr>
        <w:pStyle w:val="Style30"/>
        <w:numPr>
          <w:ilvl w:val="0"/>
          <w:numId w:val="115"/>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Венозные вазодилататоры:</w:t>
      </w:r>
    </w:p>
    <w:p>
      <w:pPr>
        <w:pStyle w:val="Style30"/>
        <w:numPr>
          <w:ilvl w:val="0"/>
          <w:numId w:val="115"/>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Венозные вазодилататоры (нитроглицерин, про</w:t>
        <w:softHyphen/>
        <w:t>лонгированные нитраты, молсидомин) приводят к депонированию крови, вызывая эффект «бес</w:t>
        <w:softHyphen/>
        <w:t>кровного кровопускания».</w:t>
      </w:r>
    </w:p>
    <w:p>
      <w:pPr>
        <w:pStyle w:val="Style30"/>
        <w:numPr>
          <w:ilvl w:val="0"/>
          <w:numId w:val="115"/>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Уменьшение венозного возврата крови к сердцу обусловливает соответствующую гемодинамичес</w:t>
        <w:softHyphen/>
        <w:t>кую его разгрузку и уменьшение потребности мио</w:t>
        <w:softHyphen/>
        <w:t>карда в кислороде.</w:t>
      </w:r>
    </w:p>
    <w:p>
      <w:pPr>
        <w:pStyle w:val="Style30"/>
        <w:numPr>
          <w:ilvl w:val="0"/>
          <w:numId w:val="115"/>
        </w:numPr>
        <w:tabs>
          <w:tab w:leader="none" w:pos="49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Снижая конечное диастолическое давление в же</w:t>
        <w:softHyphen/>
        <w:t>лудочках сердца, эти препараты уменьшают транс</w:t>
        <w:softHyphen/>
        <w:t>миокардиальный градиент и улучшают субэндо</w:t>
        <w:softHyphen/>
        <w:t>кардиальный кровоток.</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Коррекция правожелудочковой недостаточности:</w:t>
      </w:r>
    </w:p>
    <w:p>
      <w:pPr>
        <w:pStyle w:val="Style30"/>
        <w:numPr>
          <w:ilvl w:val="0"/>
          <w:numId w:val="115"/>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Диуретики:</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Применение диуретиков при хроническом деком</w:t>
        <w:softHyphen/>
        <w:t>пенсированном легочном сердце показано при на</w:t>
        <w:softHyphen/>
        <w:t>личии признаков застойной сердечной недоста</w:t>
        <w:softHyphen/>
        <w:t>точности. Применение длительной терапии диуре - тиками (от 1/2 до 5 лет) способствует снижению объема циркулирующей крови, снижению артери</w:t>
        <w:softHyphen/>
        <w:t>альной гипоксемии и гиперкапнии, исчезновению застойных явлений в большом круге кровообраще</w:t>
        <w:softHyphen/>
        <w:t>ния и улучшению клинического состояния боль</w:t>
        <w:softHyphen/>
        <w:t>ных.</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Назначение мочегонных средств больным хрони</w:t>
        <w:softHyphen/>
        <w:t>ческим легочным сердцем способствует снижению первоначально повышенного объема циркулирую</w:t>
        <w:softHyphen/>
        <w:t>щей крови, уменьшению легочно-сосудистого со</w:t>
        <w:softHyphen/>
        <w:t>противления и давления в легочной артерии при несущественном изменении минутного объема сердца. Альвеолярно-артериальный градиент на</w:t>
        <w:softHyphen/>
        <w:t>пряжения кислорода понижается, парциальное напряжение кислорода в артериальной крови уве</w:t>
        <w:softHyphen/>
        <w:t>личивается, углекислого газа — существенно не изменяется.</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Для эффективного выведения жидкости из орга</w:t>
        <w:softHyphen/>
        <w:t>низма используют петлевые диуретики (фуросе- мид, лазикс). Верошпирон улучшает альвеоляр</w:t>
        <w:softHyphen/>
        <w:t>ную диффузию, уменьшает потерю калия с мочой, усиливает диуретический эффект других мочегон</w:t>
        <w:softHyphen/>
        <w:t>ных средств.</w:t>
      </w:r>
    </w:p>
    <w:p>
      <w:pPr>
        <w:pStyle w:val="Style30"/>
        <w:numPr>
          <w:ilvl w:val="0"/>
          <w:numId w:val="115"/>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Сердечные гликозиды:</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Показанием к назначению сердечных гликозидов не должна служить тахикардия, которая при рес</w:t>
        <w:softHyphen/>
        <w:t>пираторной недостаточности является компенса</w:t>
        <w:softHyphen/>
        <w:t>торной в ответ на гипоксемию и гипоксию тканей.</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Сердечные гликозиды применяются только при выраженных симптомах застойной недостаточно</w:t>
        <w:softHyphen/>
        <w:t>сти кровообращения.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Другие методы лечения:</w:t>
      </w:r>
    </w:p>
    <w:p>
      <w:pPr>
        <w:pStyle w:val="Style30"/>
        <w:numPr>
          <w:ilvl w:val="0"/>
          <w:numId w:val="115"/>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Антикоагулянты:</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Рекомендуется терапия малыми дозами гепарина, которая снижает у больных хроническим легоч</w:t>
        <w:softHyphen/>
        <w:t>ным сердцем частоту тромбоэмболитических ос</w:t>
        <w:softHyphen/>
        <w:t>ложнений, связывает большую часть серотонина, улучшает вентиляционно-перфузионные соотно</w:t>
        <w:softHyphen/>
        <w:t>шения в легких</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Гепарин оказывает фибринолитический, муколи</w:t>
        <w:softHyphen/>
        <w:t>тический, диуретический, антигипоксический, антиальдостероновый эффекты.</w:t>
      </w:r>
    </w:p>
    <w:p>
      <w:pPr>
        <w:pStyle w:val="Style30"/>
        <w:numPr>
          <w:ilvl w:val="0"/>
          <w:numId w:val="115"/>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Назначают малые дозы гепарина, затем постепен</w:t>
        <w:softHyphen/>
        <w:t>но уменьшают суточную дозу до отмены препара</w:t>
        <w:softHyphen/>
        <w:t>та. Длительность лечения составляет не менее 3-4 нед.</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Диспансеризация</w:t>
      </w:r>
    </w:p>
    <w:p>
      <w:pPr>
        <w:pStyle w:val="Style30"/>
        <w:numPr>
          <w:ilvl w:val="0"/>
          <w:numId w:val="115"/>
        </w:numPr>
        <w:tabs>
          <w:tab w:leader="none" w:pos="235" w:val="left"/>
        </w:tabs>
        <w:widowControl w:val="0"/>
        <w:keepNext w:val="0"/>
        <w:keepLines w:val="0"/>
        <w:shd w:val="clear" w:color="auto" w:fill="auto"/>
        <w:bidi w:val="0"/>
        <w:spacing w:before="0" w:after="0"/>
        <w:ind w:left="280" w:right="0" w:hanging="280"/>
      </w:pPr>
      <w:r>
        <w:pict>
          <v:shape id="_x0000_s1613" type="#_x0000_t75" style="position:absolute;margin-left:141.95pt;margin-top:736.55pt;width:209.75pt;height:14.9pt;z-index:-125828980;mso-wrap-distance-left:135.35pt;mso-wrap-distance-right:136.55pt;mso-wrap-distance-bottom:10.8pt;mso-position-horizontal-relative:margin;mso-position-vertical-relative:margin" wrapcoords="0 0 21600 0 21600 21600 0 21600 0 0">
            <v:imagedata r:id="rId973" r:href="rId974"/>
            <w10:wrap type="topAndBottom" anchorx="margin" anchory="margin"/>
          </v:shape>
        </w:pict>
      </w:r>
      <w:r>
        <w:rPr>
          <w:lang w:val="ru-RU" w:eastAsia="ru-RU" w:bidi="ru-RU"/>
          <w:w w:val="100"/>
          <w:spacing w:val="0"/>
          <w:color w:val="000000"/>
          <w:position w:val="0"/>
        </w:rPr>
        <w:t>Все больные с синдромом бронхиальной обструкции должны находиться под диспансерным наблюдени</w:t>
        <w:softHyphen/>
        <w:t>ем. В период диспансерного обследования выделяют</w:t>
        <w:softHyphen/>
        <w:t>ся 2 группы больных: 1-я — больные с бронхиальной обструкцией, не осложненной ЛГ, 2-я — больные с ЛГ. 2-я группа делится на 3 подгруппы диспансерно - го учета: к 1-й подгруппе относят больных с I (транзи - торной) стадией ЛГ, ко 2-й — больных со II (стабиль</w:t>
        <w:softHyphen/>
        <w:t xml:space="preserve">ной) стадией ЛГ, к 3-й — больных с </w:t>
      </w:r>
      <w:r>
        <w:rPr>
          <w:lang w:val="en-US" w:eastAsia="en-US" w:bidi="en-US"/>
          <w:w w:val="100"/>
          <w:spacing w:val="0"/>
          <w:color w:val="000000"/>
          <w:position w:val="0"/>
        </w:rPr>
        <w:t xml:space="preserve">III </w:t>
      </w:r>
      <w:r>
        <w:rPr>
          <w:lang w:val="ru-RU" w:eastAsia="ru-RU" w:bidi="ru-RU"/>
          <w:w w:val="100"/>
          <w:spacing w:val="0"/>
          <w:color w:val="000000"/>
          <w:position w:val="0"/>
        </w:rPr>
        <w:t>(стабильной с недостаточностью кровообращения) стадией ЛГ.</w:t>
      </w:r>
      <w:r>
        <w:br w:type="page"/>
      </w:r>
    </w:p>
    <w:p>
      <w:pPr>
        <w:pStyle w:val="Style30"/>
        <w:numPr>
          <w:ilvl w:val="0"/>
          <w:numId w:val="11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возникновении обострения показано стацио</w:t>
        <w:softHyphen/>
        <w:t>нарное лечение, в фазе ремиссии проводится поддер</w:t>
        <w:softHyphen/>
        <w:t>живающая дифференцированная терапия по прин</w:t>
        <w:softHyphen/>
        <w:t>ципам, изложенным выше; поддерживающая тера</w:t>
        <w:softHyphen/>
        <w:t>пия осуществляется в условиях поликлиники, сана</w:t>
        <w:softHyphen/>
        <w:t>тория-профилактория.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Профилактика</w:t>
      </w:r>
    </w:p>
    <w:p>
      <w:pPr>
        <w:pStyle w:val="Style30"/>
        <w:numPr>
          <w:ilvl w:val="0"/>
          <w:numId w:val="11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Профилактика состоит в предупреждении, а также своевременном и эффективном лечении болезней, осложняющихся развитием легочного сердца. Боль</w:t>
        <w:softHyphen/>
        <w:t>ные хроническими бронхолегочными заболеваниями подлежат диспансерному наблюдению с целью пред</w:t>
        <w:softHyphen/>
        <w:t>упреждения обострений и проведения рациональной терапии дыхательной недостаточности.</w:t>
      </w:r>
    </w:p>
    <w:p>
      <w:pPr>
        <w:pStyle w:val="Style30"/>
        <w:numPr>
          <w:ilvl w:val="0"/>
          <w:numId w:val="115"/>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процессе комплексного лечения и реабилитации больных с легочным сердцем важное место должны занимать меры профилактического (лечебно-профи</w:t>
        <w:softHyphen/>
        <w:t>лактического) характера — исключение курения, в том числе пассивного, физиотерапия, лечебная гимнастика, особенно эффективная при обогащении вдыхаемого воздуха кислородом. Большое значение имеет ограничение физической нагрузки, способ</w:t>
        <w:softHyphen/>
        <w:t>ствующей возрастанию гипоксемии и легочной ги</w:t>
        <w:softHyphen/>
        <w:t>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У детей зависит от тяжести основного заболевания.</w:t>
      </w:r>
    </w:p>
    <w:p>
      <w:pPr>
        <w:pStyle w:val="Style92"/>
        <w:widowControl w:val="0"/>
        <w:keepNext/>
        <w:keepLines/>
        <w:shd w:val="clear" w:color="auto" w:fill="auto"/>
        <w:bidi w:val="0"/>
        <w:spacing w:before="0" w:after="180"/>
        <w:ind w:left="0" w:right="0" w:firstLine="280"/>
      </w:pPr>
      <w:bookmarkStart w:id="580" w:name="bookmark580"/>
      <w:r>
        <w:rPr>
          <w:lang w:val="ru-RU" w:eastAsia="ru-RU" w:bidi="ru-RU"/>
          <w:w w:val="100"/>
          <w:spacing w:val="0"/>
          <w:color w:val="000000"/>
          <w:position w:val="0"/>
        </w:rPr>
        <w:t>Лекарственные препараты, применяемые при лечении ле</w:t>
        <w:softHyphen/>
        <w:t>гочного сердца</w:t>
      </w:r>
      <w:bookmarkEnd w:id="58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Спазмолитики из группы ксантинов расслабляют муску</w:t>
        <w:softHyphen/>
        <w:t>латуру бронхов, расширяют коронарные сосуды, уменьша</w:t>
        <w:softHyphen/>
        <w:t>ют ОПСС, понижают давление в системе легочной арте</w:t>
        <w:softHyphen/>
        <w:t>рии, увеличивают почечный кровоток, оказывают диурети</w:t>
        <w:softHyphen/>
        <w:t>ческое действие, вызывают увеличение выведения воды, ионов хлора, натрия и др., тормозят агрегацию тромбоци</w:t>
        <w:softHyphen/>
        <w:t>тов.</w:t>
      </w:r>
    </w:p>
    <w:p>
      <w:pPr>
        <w:pStyle w:val="Style30"/>
        <w:widowControl w:val="0"/>
        <w:keepNext w:val="0"/>
        <w:keepLines w:val="0"/>
        <w:shd w:val="clear" w:color="auto" w:fill="auto"/>
        <w:bidi w:val="0"/>
        <w:spacing w:before="0" w:after="180"/>
        <w:ind w:left="0" w:right="0" w:firstLine="280"/>
      </w:pPr>
      <w:r>
        <w:rPr>
          <w:rStyle w:val="CharStyle103"/>
        </w:rPr>
        <w:t>Эуфиллин</w:t>
      </w:r>
      <w:r>
        <w:rPr>
          <w:lang w:val="ru-RU" w:eastAsia="ru-RU" w:bidi="ru-RU"/>
          <w:w w:val="100"/>
          <w:spacing w:val="0"/>
          <w:color w:val="000000"/>
          <w:position w:val="0"/>
        </w:rPr>
        <w:t xml:space="preserve"> (Аминофиллин) — высшая разовая доза для детей 0,002-0,003 г/кг.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Диуретики при хроническом декомпенсированном ле</w:t>
        <w:softHyphen/>
        <w:t>гочном сердце назначают при наличии признаков застой</w:t>
        <w:softHyphen/>
        <w:t>ной сердечной недостаточности.</w:t>
      </w:r>
    </w:p>
    <w:p>
      <w:pPr>
        <w:pStyle w:val="Style30"/>
        <w:widowControl w:val="0"/>
        <w:keepNext w:val="0"/>
        <w:keepLines w:val="0"/>
        <w:shd w:val="clear" w:color="auto" w:fill="auto"/>
        <w:bidi w:val="0"/>
        <w:spacing w:before="0" w:after="165" w:line="180" w:lineRule="exact"/>
        <w:ind w:left="0" w:right="0" w:firstLine="280"/>
      </w:pPr>
      <w:r>
        <w:rPr>
          <w:rStyle w:val="CharStyle103"/>
        </w:rPr>
        <w:t>Фуросемид</w:t>
      </w:r>
      <w:r>
        <w:rPr>
          <w:lang w:val="ru-RU" w:eastAsia="ru-RU" w:bidi="ru-RU"/>
          <w:w w:val="100"/>
          <w:spacing w:val="0"/>
          <w:color w:val="000000"/>
          <w:position w:val="0"/>
        </w:rPr>
        <w:t xml:space="preserve"> </w:t>
      </w:r>
      <w:r>
        <w:rPr>
          <w:lang w:val="en-US" w:eastAsia="en-US" w:bidi="en-US"/>
          <w:w w:val="100"/>
          <w:spacing w:val="0"/>
          <w:color w:val="000000"/>
          <w:position w:val="0"/>
        </w:rPr>
        <w:t xml:space="preserve">(Furosemide, Lasix) </w:t>
      </w:r>
      <w:r>
        <w:rPr>
          <w:lang w:val="ru-RU" w:eastAsia="ru-RU" w:bidi="ru-RU"/>
          <w:w w:val="100"/>
          <w:spacing w:val="0"/>
          <w:color w:val="000000"/>
          <w:position w:val="0"/>
        </w:rPr>
        <w:t>— внутрь 1-2 мг/кг/сутки.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Ингибиторы ангиотензин превращающего фермен</w:t>
        <w:softHyphen/>
        <w:t>та при легочном сердце оказывают гипотензивное, сосудо</w:t>
        <w:softHyphen/>
        <w:t>расширяющее, кардиопротективное, натрийуретическое действие.</w:t>
      </w:r>
    </w:p>
    <w:p>
      <w:pPr>
        <w:pStyle w:val="Style30"/>
        <w:widowControl w:val="0"/>
        <w:keepNext w:val="0"/>
        <w:keepLines w:val="0"/>
        <w:shd w:val="clear" w:color="auto" w:fill="auto"/>
        <w:bidi w:val="0"/>
        <w:spacing w:before="0" w:after="161"/>
        <w:ind w:left="0" w:right="0" w:firstLine="280"/>
      </w:pPr>
      <w:r>
        <w:rPr>
          <w:rStyle w:val="CharStyle103"/>
        </w:rPr>
        <w:t>Каптоприл</w:t>
      </w:r>
      <w:r>
        <w:rPr>
          <w:lang w:val="ru-RU" w:eastAsia="ru-RU" w:bidi="ru-RU"/>
          <w:w w:val="100"/>
          <w:spacing w:val="0"/>
          <w:color w:val="000000"/>
          <w:position w:val="0"/>
        </w:rPr>
        <w:t xml:space="preserve"> </w:t>
      </w:r>
      <w:r>
        <w:rPr>
          <w:lang w:val="en-US" w:eastAsia="en-US" w:bidi="en-US"/>
          <w:w w:val="100"/>
          <w:spacing w:val="0"/>
          <w:color w:val="000000"/>
          <w:position w:val="0"/>
        </w:rPr>
        <w:t xml:space="preserve">(Kaptopril) </w:t>
      </w:r>
      <w:r>
        <w:rPr>
          <w:lang w:val="ru-RU" w:eastAsia="ru-RU" w:bidi="ru-RU"/>
          <w:w w:val="100"/>
          <w:spacing w:val="0"/>
          <w:color w:val="000000"/>
          <w:position w:val="0"/>
        </w:rPr>
        <w:t>новорожденным — 0,01 мг/кг 2-3 раза в сутки; детям старше 1 года — 0,15-0,3 мг/кг 3 раза в сутки.</w:t>
      </w:r>
    </w:p>
    <w:p>
      <w:pPr>
        <w:pStyle w:val="Style48"/>
        <w:widowControl w:val="0"/>
        <w:keepNext/>
        <w:keepLines/>
        <w:shd w:val="clear" w:color="auto" w:fill="auto"/>
        <w:bidi w:val="0"/>
        <w:jc w:val="left"/>
        <w:spacing w:before="0" w:after="79" w:line="240" w:lineRule="exact"/>
        <w:ind w:left="0" w:right="0" w:firstLine="0"/>
      </w:pPr>
      <w:bookmarkStart w:id="581" w:name="bookmark581"/>
      <w:r>
        <w:rPr>
          <w:lang w:val="ru-RU" w:eastAsia="ru-RU" w:bidi="ru-RU"/>
          <w:w w:val="100"/>
          <w:spacing w:val="0"/>
          <w:color w:val="000000"/>
          <w:position w:val="0"/>
        </w:rPr>
        <w:t>Легочная гипертензия при рестриктивных нарушениях, не связанных с заболеванием легких</w:t>
      </w:r>
      <w:bookmarkEnd w:id="58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Условно можно выделить две группы заболеваний, при</w:t>
        <w:softHyphen/>
        <w:t>водящих к легочной гипертензии вследствие рестриктив</w:t>
        <w:softHyphen/>
        <w:t>ных нарушений вторичного характера:</w:t>
      </w:r>
    </w:p>
    <w:p>
      <w:pPr>
        <w:pStyle w:val="Style30"/>
        <w:numPr>
          <w:ilvl w:val="0"/>
          <w:numId w:val="115"/>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Нейромышечные заболевания:</w:t>
      </w:r>
    </w:p>
    <w:p>
      <w:pPr>
        <w:pStyle w:val="Style30"/>
        <w:widowControl w:val="0"/>
        <w:keepNext w:val="0"/>
        <w:keepLines w:val="0"/>
        <w:shd w:val="clear" w:color="auto" w:fill="auto"/>
        <w:bidi w:val="0"/>
        <w:jc w:val="left"/>
        <w:spacing w:before="0" w:after="0"/>
        <w:ind w:left="520" w:right="0" w:firstLine="0"/>
      </w:pPr>
      <w:r>
        <w:rPr>
          <w:lang w:val="ru-RU" w:eastAsia="ru-RU" w:bidi="ru-RU"/>
          <w:w w:val="100"/>
          <w:spacing w:val="0"/>
          <w:color w:val="000000"/>
          <w:position w:val="0"/>
        </w:rPr>
        <w:t>- болезнь Верднига-Гоффмана;</w:t>
      </w:r>
    </w:p>
    <w:p>
      <w:pPr>
        <w:pStyle w:val="Style30"/>
        <w:numPr>
          <w:ilvl w:val="0"/>
          <w:numId w:val="117"/>
        </w:numPr>
        <w:tabs>
          <w:tab w:leader="none" w:pos="453" w:val="left"/>
        </w:tabs>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прогрессирующая мышечная дистрофия Дюшенна;</w:t>
      </w:r>
    </w:p>
    <w:p>
      <w:pPr>
        <w:pStyle w:val="Style30"/>
        <w:numPr>
          <w:ilvl w:val="0"/>
          <w:numId w:val="117"/>
        </w:numPr>
        <w:tabs>
          <w:tab w:leader="none" w:pos="45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миотоническая мышечная дистрофия;</w:t>
      </w:r>
    </w:p>
    <w:p>
      <w:pPr>
        <w:pStyle w:val="Style30"/>
        <w:numPr>
          <w:ilvl w:val="0"/>
          <w:numId w:val="117"/>
        </w:numPr>
        <w:tabs>
          <w:tab w:leader="none" w:pos="45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мышечная дистрофия Ландузи Дежерина;</w:t>
      </w:r>
    </w:p>
    <w:p>
      <w:pPr>
        <w:pStyle w:val="Style30"/>
        <w:numPr>
          <w:ilvl w:val="0"/>
          <w:numId w:val="117"/>
        </w:numPr>
        <w:tabs>
          <w:tab w:leader="none" w:pos="45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синдром Жулиан-Барре;</w:t>
      </w:r>
    </w:p>
    <w:p>
      <w:pPr>
        <w:pStyle w:val="Style30"/>
        <w:numPr>
          <w:ilvl w:val="0"/>
          <w:numId w:val="117"/>
        </w:numPr>
        <w:tabs>
          <w:tab w:leader="none" w:pos="45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немалиновая миопатия;</w:t>
      </w:r>
    </w:p>
    <w:p>
      <w:pPr>
        <w:pStyle w:val="Style30"/>
        <w:numPr>
          <w:ilvl w:val="0"/>
          <w:numId w:val="117"/>
        </w:numPr>
        <w:tabs>
          <w:tab w:leader="none" w:pos="45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полиомиелит.</w:t>
      </w:r>
    </w:p>
    <w:p>
      <w:pPr>
        <w:pStyle w:val="Style30"/>
        <w:numPr>
          <w:ilvl w:val="0"/>
          <w:numId w:val="115"/>
        </w:numPr>
        <w:tabs>
          <w:tab w:leader="none" w:pos="31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Торакодиафрагмальные аномалии:</w:t>
      </w:r>
    </w:p>
    <w:p>
      <w:pPr>
        <w:pStyle w:val="Style30"/>
        <w:numPr>
          <w:ilvl w:val="0"/>
          <w:numId w:val="117"/>
        </w:numPr>
        <w:tabs>
          <w:tab w:leader="none" w:pos="45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кифосколиоз;</w:t>
      </w:r>
    </w:p>
    <w:p>
      <w:pPr>
        <w:pStyle w:val="Style30"/>
        <w:numPr>
          <w:ilvl w:val="0"/>
          <w:numId w:val="117"/>
        </w:numPr>
        <w:tabs>
          <w:tab w:leader="none" w:pos="45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воронкообразная деформация грудной клетки;</w:t>
      </w:r>
    </w:p>
    <w:p>
      <w:pPr>
        <w:pStyle w:val="Style30"/>
        <w:numPr>
          <w:ilvl w:val="0"/>
          <w:numId w:val="117"/>
        </w:numPr>
        <w:tabs>
          <w:tab w:leader="none" w:pos="45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килевидная грудная клетка;</w:t>
      </w:r>
    </w:p>
    <w:p>
      <w:pPr>
        <w:pStyle w:val="Style30"/>
        <w:numPr>
          <w:ilvl w:val="0"/>
          <w:numId w:val="117"/>
        </w:numPr>
        <w:tabs>
          <w:tab w:leader="none" w:pos="45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паралич диафрагмы у новорожденных.</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Патогенез</w:t>
      </w:r>
    </w:p>
    <w:p>
      <w:pPr>
        <w:pStyle w:val="Style30"/>
        <w:numPr>
          <w:ilvl w:val="0"/>
          <w:numId w:val="115"/>
        </w:numPr>
        <w:tabs>
          <w:tab w:leader="none" w:pos="31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Легочная гипертензия при нейромышечных заболе</w:t>
        <w:softHyphen/>
        <w:t>ваниях развивается по трем основным причинам: слабость дыхательной мускулатуры, деформации грудной клетки и позвоночника, миопатическое по</w:t>
        <w:softHyphen/>
        <w:t>ражение миокарда.</w:t>
      </w:r>
    </w:p>
    <w:p>
      <w:pPr>
        <w:pStyle w:val="Style30"/>
        <w:numPr>
          <w:ilvl w:val="0"/>
          <w:numId w:val="115"/>
        </w:numPr>
        <w:tabs>
          <w:tab w:leader="none" w:pos="31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результате слабости дыхательной мускулатуры воз</w:t>
        <w:softHyphen/>
        <w:t>никает уменьшение дыхательного резерва и малый объем вентиляции. Альвеолярная гиповентиляция приводит к уменьшению парциального давления в альвеолах и вызывает рефлекторный спазм легоч</w:t>
        <w:softHyphen/>
        <w:t>ных артериол (рефлекс Эйлера-Лильестранда).</w:t>
      </w:r>
    </w:p>
    <w:p>
      <w:pPr>
        <w:pStyle w:val="Style30"/>
        <w:numPr>
          <w:ilvl w:val="0"/>
          <w:numId w:val="115"/>
        </w:numPr>
        <w:tabs>
          <w:tab w:leader="none" w:pos="31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Торакодиафрагмальные аномалии из-за компрессии легких обусловливают уменьшение дыхательного объема, что, в свою очередь, приводит к хронической альвеолярной гиповентиляции, гипоксии, ацидемии и, как следствие, к легочной вазоконстрикции.</w:t>
      </w:r>
    </w:p>
    <w:p>
      <w:pPr>
        <w:pStyle w:val="Style30"/>
        <w:numPr>
          <w:ilvl w:val="0"/>
          <w:numId w:val="115"/>
        </w:numPr>
        <w:tabs>
          <w:tab w:leader="none" w:pos="31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Поражение миокарда при нейромышечных заболева</w:t>
        <w:softHyphen/>
        <w:t>ниях может носить первичный характер (например, прогрессирующая атрофия кардиомиоцитов из -за не</w:t>
        <w:softHyphen/>
        <w:t>достатка дистрофина и дистрофин-ассоциированно- го гликопротеина при мышечной дистрофии Дюшен</w:t>
        <w:softHyphen/>
        <w:t>на); при торакодиафрагмальных аномалиях оно име</w:t>
        <w:softHyphen/>
        <w:t>ет вторичный к гипоксии и ацидозу характер. Лево</w:t>
        <w:softHyphen/>
        <w:t>желудочковая дисфункция обусловливает застой кро</w:t>
        <w:softHyphen/>
        <w:t>ви в малом круге кровообращения, возникновение венозной легочной гипертензии.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Клиническая симптоматика</w:t>
      </w:r>
    </w:p>
    <w:p>
      <w:pPr>
        <w:pStyle w:val="Style30"/>
        <w:numPr>
          <w:ilvl w:val="0"/>
          <w:numId w:val="115"/>
        </w:numPr>
        <w:tabs>
          <w:tab w:leader="none" w:pos="31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нейромышечных заболеваниях (см. главу) воз</w:t>
        <w:softHyphen/>
        <w:t>никновение легочной гипертензии зависит от харак</w:t>
        <w:softHyphen/>
        <w:t>тера миопатического процесса. Так, при болезни Верднига-Гоффмана (спинальная мышечная атрофия I типа) из-за генерализованной мышечной слабости дыхательная недостаточность развивается в первые месяцы жизни. Быстро возникает легочно-сердечная недостаточность, сопровождаемая высокой легочной гипертензией прекапиллярного типа. Постоянными симптомами являются одышка, нередко диффузный цианоз, обморочные состояния. При других мышеч</w:t>
        <w:softHyphen/>
        <w:t>ных дистрофиях легочная гипертензия, как правило, возникает на поздних стадиях заболевания, когда прогрессирует миопатический процесс в самом серд</w:t>
        <w:softHyphen/>
        <w:t>це. Обычно имеет место легочно-сердечная недоста</w:t>
        <w:softHyphen/>
        <w:t>точность с преимущественным поражением правых отделов сердца. Из-за мышечной слабости, неэффек</w:t>
        <w:softHyphen/>
        <w:t>тивности кашлевого рефлекса и плохого отхождения мокроты у таких больных могут возникать повторные ателектазы и пневмонии, усугубляющие правожелу</w:t>
        <w:softHyphen/>
        <w:t>дочковую недостаточность и легочную гипертензию.</w:t>
      </w:r>
    </w:p>
    <w:p>
      <w:pPr>
        <w:pStyle w:val="Style30"/>
        <w:numPr>
          <w:ilvl w:val="0"/>
          <w:numId w:val="115"/>
        </w:numPr>
        <w:tabs>
          <w:tab w:leader="none" w:pos="312" w:val="left"/>
        </w:tabs>
        <w:widowControl w:val="0"/>
        <w:keepNext w:val="0"/>
        <w:keepLines w:val="0"/>
        <w:shd w:val="clear" w:color="auto" w:fill="auto"/>
        <w:bidi w:val="0"/>
        <w:spacing w:before="0" w:after="0"/>
        <w:ind w:left="260" w:right="0"/>
      </w:pPr>
      <w:r>
        <w:pict>
          <v:shape id="_x0000_s1614" type="#_x0000_t75" style="position:absolute;margin-left:136.9pt;margin-top:736.55pt;width:209.75pt;height:14.9pt;z-index:-125828979;mso-wrap-distance-left:136.8pt;mso-wrap-distance-right:148.1pt;mso-wrap-distance-bottom:10.8pt;mso-position-horizontal-relative:margin;mso-position-vertical-relative:margin" wrapcoords="0 0 21600 0 21600 21600 0 21600 0 0">
            <v:imagedata r:id="rId975" r:href="rId976"/>
            <w10:wrap type="topAndBottom" anchorx="margin" anchory="margin"/>
          </v:shape>
        </w:pict>
      </w:r>
      <w:r>
        <w:rPr>
          <w:lang w:val="ru-RU" w:eastAsia="ru-RU" w:bidi="ru-RU"/>
          <w:w w:val="100"/>
          <w:spacing w:val="0"/>
          <w:color w:val="000000"/>
          <w:position w:val="0"/>
        </w:rPr>
        <w:t>У детей с торакодиафрагмальными аномалиями, за исключением новорожденных с параличом диаф-</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рагмы, легочная гипертензия развивается постепен</w:t>
        <w:softHyphen/>
        <w:t>но, зависит от величины сдавления легочной ткани и редукции дыхательного объема. Первыми симпто</w:t>
        <w:softHyphen/>
        <w:t>мами заболевания обычно являются одышка и право</w:t>
        <w:softHyphen/>
        <w:t>желудочковая недостаточность. Несмотря на альвео</w:t>
        <w:softHyphen/>
        <w:t>лярную гипоксемию и нарушение легочного крово</w:t>
        <w:softHyphen/>
        <w:t>обращения, высокая легочная гипертензия развива</w:t>
        <w:softHyphen/>
        <w:t>ется редко, при хирургическом устранении дефекта легочная гипертензия претерпевает обратное разви</w:t>
        <w:softHyphen/>
        <w:t>тие.</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Диагностика</w:t>
      </w:r>
    </w:p>
    <w:p>
      <w:pPr>
        <w:pStyle w:val="Style30"/>
        <w:numPr>
          <w:ilvl w:val="0"/>
          <w:numId w:val="11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 ЭКГ у больных с нейромышечными заболевания</w:t>
        <w:softHyphen/>
        <w:t>ми регистрируется бивентрикулярная перегрузка миокарда желудочков и нарушение процесса реполя</w:t>
        <w:softHyphen/>
        <w:t>ризации, связанное с гипоксемией и ацидозом мио</w:t>
        <w:softHyphen/>
        <w:t>карда. Однако при торакодиафрагмальных наруше</w:t>
        <w:softHyphen/>
        <w:t>ниях диагностика перегрузки правого желудочка с помощью ЭКГ из-за позиционных изменений серд</w:t>
        <w:softHyphen/>
        <w:t>ца значительно затруднена.</w:t>
      </w:r>
    </w:p>
    <w:p>
      <w:pPr>
        <w:pStyle w:val="Style30"/>
        <w:numPr>
          <w:ilvl w:val="0"/>
          <w:numId w:val="11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газовом составе крови определяется альвеолярная гиповентиляция (снижение парциального давления кислорода обычно ниже 70 мм рт. ст. и повышение парциального напряжения углекислоты выше 44 мм рт. ст.).</w:t>
      </w:r>
    </w:p>
    <w:p>
      <w:pPr>
        <w:pStyle w:val="Style30"/>
        <w:numPr>
          <w:ilvl w:val="0"/>
          <w:numId w:val="11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Рентгенография сердца бывает малоинформативной из-за нарушения позиции сердца в грудной клетке вследствие деформации скелета.</w:t>
      </w:r>
    </w:p>
    <w:p>
      <w:pPr>
        <w:pStyle w:val="Style30"/>
        <w:numPr>
          <w:ilvl w:val="0"/>
          <w:numId w:val="11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Основное диагностическое значение в постановке ле</w:t>
        <w:softHyphen/>
        <w:t>гочной гипертензии при рестриктивных нарушениях, не связанных с заболеванием легких, имеет доппле</w:t>
        <w:softHyphen/>
        <w:t>рэхокардиография.</w:t>
      </w:r>
    </w:p>
    <w:p>
      <w:pPr>
        <w:pStyle w:val="Style30"/>
        <w:numPr>
          <w:ilvl w:val="0"/>
          <w:numId w:val="11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 инвазивным исследованиям следует прибегать, ес</w:t>
        <w:softHyphen/>
        <w:t>ли есть подозрение на врожденный порок сердца или аномалию сосудов легких.</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Лечение (см. главу)</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161"/>
        <w:ind w:left="500" w:right="0" w:hanging="220"/>
      </w:pPr>
      <w:r>
        <w:rPr>
          <w:lang w:val="ru-RU" w:eastAsia="ru-RU" w:bidi="ru-RU"/>
          <w:w w:val="100"/>
          <w:spacing w:val="0"/>
          <w:color w:val="000000"/>
          <w:position w:val="0"/>
        </w:rPr>
        <w:t>Прогноз определяется основным заболеванием.</w:t>
      </w:r>
    </w:p>
    <w:p>
      <w:pPr>
        <w:pStyle w:val="Style48"/>
        <w:widowControl w:val="0"/>
        <w:keepNext/>
        <w:keepLines/>
        <w:shd w:val="clear" w:color="auto" w:fill="auto"/>
        <w:bidi w:val="0"/>
        <w:jc w:val="left"/>
        <w:spacing w:before="0" w:after="79" w:line="240" w:lineRule="exact"/>
        <w:ind w:left="0" w:right="0" w:firstLine="0"/>
      </w:pPr>
      <w:bookmarkStart w:id="582" w:name="bookmark582"/>
      <w:r>
        <w:rPr>
          <w:lang w:val="ru-RU" w:eastAsia="ru-RU" w:bidi="ru-RU"/>
          <w:w w:val="100"/>
          <w:spacing w:val="0"/>
          <w:color w:val="000000"/>
          <w:position w:val="0"/>
        </w:rPr>
        <w:t>Легочная гипертензия при заболеваниях миокарда</w:t>
      </w:r>
      <w:bookmarkEnd w:id="58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Высокое давление в легочной артерии является незави</w:t>
        <w:softHyphen/>
        <w:t>симым прогностическим критерием, определяющим не</w:t>
        <w:softHyphen/>
        <w:t>благоприятное течение заболеваний миокарда, основными из которых являются:</w:t>
      </w:r>
    </w:p>
    <w:p>
      <w:pPr>
        <w:pStyle w:val="Style30"/>
        <w:numPr>
          <w:ilvl w:val="0"/>
          <w:numId w:val="11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Фиброэластоз эндомиокарда.</w:t>
      </w:r>
    </w:p>
    <w:p>
      <w:pPr>
        <w:pStyle w:val="Style30"/>
        <w:numPr>
          <w:ilvl w:val="0"/>
          <w:numId w:val="11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Болезнь Помпе.</w:t>
      </w:r>
    </w:p>
    <w:p>
      <w:pPr>
        <w:pStyle w:val="Style30"/>
        <w:numPr>
          <w:ilvl w:val="0"/>
          <w:numId w:val="11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Миокардит.</w:t>
      </w:r>
    </w:p>
    <w:p>
      <w:pPr>
        <w:pStyle w:val="Style30"/>
        <w:numPr>
          <w:ilvl w:val="0"/>
          <w:numId w:val="11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Инфаркт миокарда.</w:t>
      </w:r>
    </w:p>
    <w:p>
      <w:pPr>
        <w:pStyle w:val="Style30"/>
        <w:numPr>
          <w:ilvl w:val="0"/>
          <w:numId w:val="11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Первичная кардиомиопатия:</w:t>
      </w:r>
    </w:p>
    <w:p>
      <w:pPr>
        <w:pStyle w:val="Style30"/>
        <w:numPr>
          <w:ilvl w:val="0"/>
          <w:numId w:val="117"/>
        </w:numPr>
        <w:tabs>
          <w:tab w:leader="none" w:pos="729"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дилатационная;</w:t>
      </w:r>
    </w:p>
    <w:p>
      <w:pPr>
        <w:pStyle w:val="Style30"/>
        <w:numPr>
          <w:ilvl w:val="0"/>
          <w:numId w:val="117"/>
        </w:numPr>
        <w:tabs>
          <w:tab w:leader="none" w:pos="729"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гипертрофическая;</w:t>
      </w:r>
    </w:p>
    <w:p>
      <w:pPr>
        <w:pStyle w:val="Style30"/>
        <w:numPr>
          <w:ilvl w:val="0"/>
          <w:numId w:val="117"/>
        </w:numPr>
        <w:tabs>
          <w:tab w:leader="none" w:pos="729"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рестриктивная.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Патогенез</w:t>
      </w:r>
    </w:p>
    <w:p>
      <w:pPr>
        <w:pStyle w:val="Style30"/>
        <w:numPr>
          <w:ilvl w:val="0"/>
          <w:numId w:val="115"/>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Механизм развития легочной гипертензии при забо</w:t>
        <w:softHyphen/>
        <w:t>леваниях миокарда является сложным и малоизучен</w:t>
        <w:softHyphen/>
        <w:t>ным. Непосредственными причинами повышения давления в малом круге кровообращения при болез</w:t>
        <w:softHyphen/>
        <w:t>нях миокарда являются два фактора: затруднение от</w:t>
        <w:softHyphen/>
        <w:t>тока крови из легочных вен (так называемая веноз</w:t>
        <w:softHyphen/>
        <w:t>ная — застойная, пассивная форма легочной гипер</w:t>
        <w:softHyphen/>
        <w:t>тензии); увеличение легочного сосудистого сопро-</w:t>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тивления (так называемая сосудистая, артериальная (прекапиллярная) форма легочной гипертензии).</w:t>
      </w:r>
    </w:p>
    <w:p>
      <w:pPr>
        <w:pStyle w:val="Style30"/>
        <w:numPr>
          <w:ilvl w:val="0"/>
          <w:numId w:val="115"/>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возникновении венозной (застойной) легочной ги</w:t>
        <w:softHyphen/>
        <w:t>пертензии при болезнях сердечной мышцы ведущую роль играют левожелудочковая недостаточность и митральная регургитация. Последняя обнаружива</w:t>
        <w:softHyphen/>
        <w:t>ется примерно у 40-60% детей, больных КМП. Боль</w:t>
        <w:softHyphen/>
        <w:t>ные с митральной регургитацией отличаются боль</w:t>
        <w:softHyphen/>
        <w:t xml:space="preserve">шей степенью декомпенсации кровообращения, большими размерами левого желудочка и меньшей фракцией выброса. Установлена тесная корреляция легочного артериального давления и митрального ре- гургитантного потока </w:t>
      </w:r>
      <w:r>
        <w:rPr>
          <w:lang w:val="en-US" w:eastAsia="en-US" w:bidi="en-US"/>
          <w:w w:val="100"/>
          <w:spacing w:val="0"/>
          <w:color w:val="000000"/>
          <w:position w:val="0"/>
        </w:rPr>
        <w:t xml:space="preserve">(Dubiel J.P. </w:t>
      </w:r>
      <w:r>
        <w:rPr>
          <w:lang w:val="ru-RU" w:eastAsia="ru-RU" w:bidi="ru-RU"/>
          <w:w w:val="100"/>
          <w:spacing w:val="0"/>
          <w:color w:val="000000"/>
          <w:position w:val="0"/>
        </w:rPr>
        <w:t>с соавт.).</w:t>
      </w:r>
    </w:p>
    <w:p>
      <w:pPr>
        <w:pStyle w:val="Style30"/>
        <w:numPr>
          <w:ilvl w:val="0"/>
          <w:numId w:val="115"/>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Митральная регургитация при заболеваниях мио</w:t>
        <w:softHyphen/>
        <w:t>карда может возникать по многим причинам, основ</w:t>
        <w:softHyphen/>
        <w:t>ными из которых являются: дилатация митрального фиброзного кольца, дисфункция папиллярных мышц, высокое конечно диастолическое давление в левом желудочке (более 17 мм рт. ст.), недостаточ</w:t>
        <w:softHyphen/>
        <w:t>ность коронарного кровообращения. Затруднение оттока крови из легочных вен вследствие левожелу</w:t>
        <w:softHyphen/>
        <w:t>дочковой дисфункции и митральной регургитации приводит к легочной артериальной гипертензии по двум причинам: путем механической передачи дав</w:t>
        <w:softHyphen/>
        <w:t>ления с вен через капилляры на артериальную сис</w:t>
        <w:softHyphen/>
        <w:t>тему; путем рефлекторного повышения тонуса ле</w:t>
        <w:softHyphen/>
        <w:t>гочных сосудов.</w:t>
      </w:r>
    </w:p>
    <w:p>
      <w:pPr>
        <w:pStyle w:val="Style30"/>
        <w:numPr>
          <w:ilvl w:val="0"/>
          <w:numId w:val="115"/>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возникновении легочной гипертензии у детей с за</w:t>
        <w:softHyphen/>
        <w:t>болеваниями миокарда определенную роль играет снижение напряжения кислорода и повышение на</w:t>
        <w:softHyphen/>
        <w:t>пряжения углекислоты в крови. Гипоксия вызывает констрикцию легочных сосудов и повышение легоч</w:t>
        <w:softHyphen/>
        <w:t>ного сосудистого сопротивления.</w:t>
      </w:r>
    </w:p>
    <w:p>
      <w:pPr>
        <w:pStyle w:val="Style30"/>
        <w:numPr>
          <w:ilvl w:val="0"/>
          <w:numId w:val="115"/>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Поскольку важную роль в регуляции сосудистого то</w:t>
        <w:softHyphen/>
        <w:t>нуса играют вазоактивные субстанции и нейрогенные механизмы, легочная гипертензия у больных с забо</w:t>
        <w:softHyphen/>
        <w:t>леваниями миокарда может возникать как следствие нарушения регуляции тонуса сосудов легочной арте</w:t>
        <w:softHyphen/>
        <w:t>рии с их констрикцией, обусловленной центральны</w:t>
        <w:softHyphen/>
        <w:t>ми нервнорефлекторными влияниями или расстрой</w:t>
        <w:softHyphen/>
        <w:t>ством взаимодействия систем биологически актив</w:t>
        <w:softHyphen/>
        <w:t>ных веществ, определяющих уровень легочно-арте- риолярного сопротивления.</w:t>
      </w:r>
    </w:p>
    <w:p>
      <w:pPr>
        <w:pStyle w:val="Style30"/>
        <w:numPr>
          <w:ilvl w:val="0"/>
          <w:numId w:val="115"/>
        </w:numPr>
        <w:tabs>
          <w:tab w:leader="none" w:pos="240" w:val="left"/>
        </w:tabs>
        <w:widowControl w:val="0"/>
        <w:keepNext w:val="0"/>
        <w:keepLines w:val="0"/>
        <w:shd w:val="clear" w:color="auto" w:fill="auto"/>
        <w:bidi w:val="0"/>
        <w:spacing w:before="0" w:after="0"/>
        <w:ind w:left="260" w:right="0"/>
      </w:pPr>
      <w:r>
        <w:pict>
          <v:shape id="_x0000_s1615" type="#_x0000_t75" style="position:absolute;margin-left:147.95pt;margin-top:736.55pt;width:209.75pt;height:14.9pt;z-index:-125828978;mso-wrap-distance-left:147.6pt;mso-wrap-distance-right:136.8pt;mso-wrap-distance-bottom:10.8pt;mso-position-horizontal-relative:margin;mso-position-vertical-relative:margin" wrapcoords="0 0 21600 0 21600 21600 0 21600 0 0">
            <v:imagedata r:id="rId977" r:href="rId978"/>
            <w10:wrap type="topAndBottom" anchorx="margin" anchory="margin"/>
          </v:shape>
        </w:pict>
      </w:r>
      <w:r>
        <w:rPr>
          <w:lang w:val="ru-RU" w:eastAsia="ru-RU" w:bidi="ru-RU"/>
          <w:w w:val="100"/>
          <w:spacing w:val="0"/>
          <w:color w:val="000000"/>
          <w:position w:val="0"/>
        </w:rPr>
        <w:t>В последние годы большое внимание исследователи уделяют проблеме симпатоадреналового дисбаланса при идиопатических кардиомиопатиях. У больных с кардиомиопатиями различной этиологии обнару</w:t>
        <w:softHyphen/>
        <w:t>живаются увеличение уровня циркулирующих в кро</w:t>
        <w:softHyphen/>
        <w:t>ви катехоламинов и снижение Р-адренергического контрактильного резерва. Антитела против Pi-адре</w:t>
        <w:softHyphen/>
        <w:t>норецепторов при кардиомиопатиях обнаруживают</w:t>
        <w:softHyphen/>
        <w:t xml:space="preserve">ся у 73% больных </w:t>
      </w:r>
      <w:r>
        <w:rPr>
          <w:lang w:val="en-US" w:eastAsia="en-US" w:bidi="en-US"/>
          <w:w w:val="100"/>
          <w:spacing w:val="0"/>
          <w:color w:val="000000"/>
          <w:position w:val="0"/>
        </w:rPr>
        <w:t xml:space="preserve">(Wallukat G. </w:t>
      </w:r>
      <w:r>
        <w:rPr>
          <w:lang w:val="ru-RU" w:eastAsia="ru-RU" w:bidi="ru-RU"/>
          <w:w w:val="100"/>
          <w:spacing w:val="0"/>
          <w:color w:val="000000"/>
          <w:position w:val="0"/>
        </w:rPr>
        <w:t>с соавт.,1992). Развива</w:t>
        <w:softHyphen/>
        <w:t xml:space="preserve">ется так называемый синдром «потери регуляции» </w:t>
      </w:r>
      <w:r>
        <w:rPr>
          <w:lang w:val="en-US" w:eastAsia="en-US" w:bidi="en-US"/>
          <w:w w:val="100"/>
          <w:spacing w:val="0"/>
          <w:color w:val="000000"/>
          <w:position w:val="0"/>
        </w:rPr>
        <w:t xml:space="preserve">(«down-regulation») </w:t>
      </w:r>
      <w:r>
        <w:rPr>
          <w:lang w:val="ru-RU" w:eastAsia="ru-RU" w:bidi="ru-RU"/>
          <w:w w:val="100"/>
          <w:spacing w:val="0"/>
          <w:color w:val="000000"/>
          <w:position w:val="0"/>
        </w:rPr>
        <w:t>миокарда Р-рецепторами. Хрони</w:t>
        <w:softHyphen/>
        <w:t>ческое увеличение эндогенных катехоламинов в кро</w:t>
        <w:softHyphen/>
        <w:t>ви и повреждение р-адренергических рецепторов миокарда приводит к адреналовому поражению мио</w:t>
        <w:softHyphen/>
        <w:t>карда. С другой стороны, катехоламинемия и гипер- симпатикотония являются патогенетическими фак</w:t>
        <w:softHyphen/>
        <w:t>торами артериальной легочной гипертензии. Так, у детей с дилатационной кардиомиопатией обнару</w:t>
        <w:softHyphen/>
        <w:t>жена прямая корреляционная связь между уровнем</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катехоламинов в плазме, давлением заклинивания легочной артерии и объемами сердца, а также обрат</w:t>
        <w:softHyphen/>
        <w:t>ная корреляция между уровнем катехоламинов в плазме и сердечным выбросом (Калачанова Е.П., 1996).</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Застойная сердечная недостаточность при кардио</w:t>
        <w:softHyphen/>
        <w:t>миопатиях обусловливает развитие тяжелых орган</w:t>
        <w:softHyphen/>
        <w:t>ных нарушений со стороны мозга, печени, почек. Возникающие при этом различные метаболические и токсические нарушения могут быть ответственны за развитие гипертензии в малом круге кровообраще</w:t>
        <w:softHyphen/>
        <w:t>ния.</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Возникновение легочной гипертензии при пораже</w:t>
        <w:softHyphen/>
        <w:t>нии печени у больных с заболеваниями миокарда связывают со стойкой вазоконстрикцией под влия</w:t>
        <w:softHyphen/>
        <w:t>нием вазоактивных субстанций, не инактивирую</w:t>
        <w:softHyphen/>
        <w:t>щихся в печени. Возможно, такой субстанцией явля</w:t>
        <w:softHyphen/>
        <w:t xml:space="preserve">ется простагландин </w:t>
      </w:r>
      <w:r>
        <w:rPr>
          <w:lang w:val="en-US" w:eastAsia="en-US" w:bidi="en-US"/>
          <w:w w:val="100"/>
          <w:spacing w:val="0"/>
          <w:color w:val="000000"/>
          <w:position w:val="0"/>
        </w:rPr>
        <w:t>F-2</w:t>
      </w:r>
      <w:r>
        <w:rPr>
          <w:lang w:val="ru-RU" w:eastAsia="ru-RU" w:bidi="ru-RU"/>
          <w:w w:val="100"/>
          <w:spacing w:val="0"/>
          <w:color w:val="000000"/>
          <w:position w:val="0"/>
        </w:rPr>
        <w:t>-альфа, который оказывает вазоконстрикторный эффект как на легочную, так и портальную циркуляцию.</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Прекапиллярная легочная гипертензия у больных с кардиомиопатиями может быть обусловлена легоч</w:t>
        <w:softHyphen/>
        <w:t>ной тромбоэмболией. При дилатационной кардио</w:t>
        <w:softHyphen/>
        <w:t>миопатии тромбоэмболические осложнения в систе</w:t>
        <w:softHyphen/>
        <w:t>му легочной артерии наблюдаются в 28,6% случаев и нередко определяют рефрактерность течения и прогноз болезни. Только у 13% больных с данным заболеванием тромбоэмболия в систему легочной ар</w:t>
        <w:softHyphen/>
        <w:t>терии диагностируется клинически.</w:t>
      </w:r>
    </w:p>
    <w:p>
      <w:pPr>
        <w:pStyle w:val="Style30"/>
        <w:numPr>
          <w:ilvl w:val="0"/>
          <w:numId w:val="115"/>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Определенную роль в возникновении легочной ги</w:t>
        <w:softHyphen/>
        <w:t>пертензии у детей с кардиомиопатиями играет вирус</w:t>
        <w:softHyphen/>
        <w:t>ная инфекция. Имеются наблюдения, когда развитие кардиомиопатии и высокой легочной гипертензии у детей происходит одновременно. Не исключена ве</w:t>
        <w:softHyphen/>
        <w:t>роятность единого патологического аутоиммунного процесса в сердце (миокардит) и сосудах малого кру</w:t>
        <w:softHyphen/>
        <w:t>га кровообращения (легочный васкулит).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проявления при болезнях сердечной мыш</w:t>
        <w:softHyphen/>
        <w:t>цы обусловлены в первую очередь развитием сердечной не</w:t>
        <w:softHyphen/>
        <w:t>достаточности. Кардиомегалия или различного варианта аритмии могут длительно предшествовать развитию за</w:t>
        <w:softHyphen/>
        <w:t>стойной сердечной недостаточности. Ранние стадии легоч</w:t>
        <w:softHyphen/>
        <w:t>ной гипертензии у больных, как правило, клинически не выявляются и диагностируются только при проведении специальных исследований.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прогрессировании заболевания появляется одыш</w:t>
        <w:softHyphen/>
        <w:t>ка, вначале при физической нагрузке, затем и без нее, ино</w:t>
        <w:softHyphen/>
        <w:t>гда сопровождается приступами удушья (сердечная астма), которые в ряде случаев также могут возникать в покое. Многие дети предъявляют жалобы на быструю утомляе</w:t>
        <w:softHyphen/>
        <w:t>мость, потливость, сердцебиение, головную боль.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Кашель у детей с дилатационной кардиомиопатией и ле</w:t>
        <w:softHyphen/>
        <w:t>гочной гипертензией характеризует наличие венозного за</w:t>
        <w:softHyphen/>
        <w:t>стоя в малом круге кровообращения и отражает повышение легочного капиллярного давления.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клиническом осмотре детей определяются блед</w:t>
        <w:softHyphen/>
        <w:t>ность кожных покровов, цианотический оттенок слизис</w:t>
        <w:softHyphen/>
        <w:t>тых. Диффузный цианоз появляется при развитии сердеч</w:t>
        <w:softHyphen/>
        <w:t>ной астмы. При аускультации определяются глухость то</w:t>
        <w:softHyphen/>
        <w:t>нов, расщепление I тона на верхушке, акцент II тона над ле</w:t>
        <w:softHyphen/>
        <w:t>гочной артерией.</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Часто выслушивается систолический шум митральной недостаточности, а при декомпенсации кровообращения — шум относительной недостаточности трехстворчатого кла</w:t>
        <w:softHyphen/>
        <w:t>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Обычно отмечается системная артериальная гипотен</w:t>
        <w:softHyphen/>
        <w:t>зия, причиной которой является низкая фракция выброса левого желудочка, рефлекторное перераспределение сосу</w:t>
        <w:softHyphen/>
        <w:t>дистого тонуса, уменьшение минутного объема кровообра</w:t>
        <w:softHyphen/>
        <w:t>щения, артериальная гипоксемия. Гипотония более выра</w:t>
        <w:softHyphen/>
        <w:t>жена, когда давление в легочной артерии достигает высо</w:t>
        <w:softHyphen/>
        <w:t>ких цифр. При прогрессировании признаков правожелу</w:t>
        <w:softHyphen/>
        <w:t>дочковой недостаточности появляются периферические отеки, гепатоспленомегалия.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Кровохарканье и легочное кровотечение возникают только на поздних стадиях заболевания и являются призна</w:t>
        <w:softHyphen/>
        <w:t>ком разгрузки малого круга кровообращения через бронхи</w:t>
        <w:softHyphen/>
        <w:t>альные вены.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Инструментальная диагностика</w:t>
      </w:r>
    </w:p>
    <w:p>
      <w:pPr>
        <w:pStyle w:val="Style30"/>
        <w:numPr>
          <w:ilvl w:val="0"/>
          <w:numId w:val="11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Электрокардиография для выявления легочной ги</w:t>
        <w:softHyphen/>
        <w:t>пертензии у детей с поражением миокарда малоин</w:t>
        <w:softHyphen/>
        <w:t>формативна, поскольку перегрузка левожелудочко</w:t>
        <w:softHyphen/>
        <w:t>вой камеры нивелирует признаки недостаточности правого желудочка. Обычно имеет место бивентрику</w:t>
        <w:softHyphen/>
        <w:t>лярная перегрузка, часто определяются нарушения процесса реполяризации в миокарде.</w:t>
      </w:r>
    </w:p>
    <w:p>
      <w:pPr>
        <w:pStyle w:val="Style30"/>
        <w:numPr>
          <w:ilvl w:val="0"/>
          <w:numId w:val="11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Для выявления легочной гипертензии при заболева</w:t>
        <w:softHyphen/>
        <w:t>ниях сердечной мышцы используется допплерогра</w:t>
        <w:softHyphen/>
        <w:t>фический метод регистрации трикуспидального ре- гургитантного потока. При скорости трикуспидаль</w:t>
        <w:softHyphen/>
        <w:t>ного регургитантного потока более 2,5 м/сек с высо</w:t>
        <w:softHyphen/>
        <w:t>кой вероятностью подтверждается легочная гипер</w:t>
        <w:softHyphen/>
        <w:t>тензия.</w:t>
      </w:r>
    </w:p>
    <w:p>
      <w:pPr>
        <w:pStyle w:val="Style30"/>
        <w:numPr>
          <w:ilvl w:val="0"/>
          <w:numId w:val="11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Катетеризация полостей сердца для определения дав - ления в легочной артерии проводится в исключитель</w:t>
        <w:softHyphen/>
        <w:t>ных случаях, когда решается вопрос о легочно-сер</w:t>
        <w:softHyphen/>
        <w:t>дечной трансплантации.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(см. главу).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115"/>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Определяется основным заболеванием.</w:t>
      </w:r>
    </w:p>
    <w:p>
      <w:pPr>
        <w:pStyle w:val="Style30"/>
        <w:numPr>
          <w:ilvl w:val="0"/>
          <w:numId w:val="115"/>
        </w:numPr>
        <w:tabs>
          <w:tab w:leader="none" w:pos="514" w:val="left"/>
        </w:tabs>
        <w:widowControl w:val="0"/>
        <w:keepNext w:val="0"/>
        <w:keepLines w:val="0"/>
        <w:shd w:val="clear" w:color="auto" w:fill="auto"/>
        <w:bidi w:val="0"/>
        <w:spacing w:before="0" w:after="179"/>
        <w:ind w:left="520" w:right="0" w:hanging="240"/>
      </w:pPr>
      <w:r>
        <w:rPr>
          <w:lang w:val="ru-RU" w:eastAsia="ru-RU" w:bidi="ru-RU"/>
          <w:w w:val="100"/>
          <w:spacing w:val="0"/>
          <w:color w:val="000000"/>
          <w:position w:val="0"/>
        </w:rPr>
        <w:t>Легочная гипертензия при кардиомиопатиях являет</w:t>
        <w:softHyphen/>
        <w:t>ся самостоятельным фактором риска неблагоприят</w:t>
        <w:softHyphen/>
        <w:t>ного исхода заболевания.</w:t>
      </w:r>
    </w:p>
    <w:p>
      <w:pPr>
        <w:pStyle w:val="Style28"/>
        <w:widowControl w:val="0"/>
        <w:keepNext/>
        <w:keepLines/>
        <w:shd w:val="clear" w:color="auto" w:fill="auto"/>
        <w:bidi w:val="0"/>
        <w:jc w:val="both"/>
        <w:spacing w:before="0" w:after="122" w:line="293" w:lineRule="exact"/>
        <w:ind w:left="0" w:right="240" w:firstLine="0"/>
      </w:pPr>
      <w:bookmarkStart w:id="583" w:name="bookmark583"/>
      <w:r>
        <w:rPr>
          <w:lang w:val="ru-RU" w:eastAsia="ru-RU" w:bidi="ru-RU"/>
          <w:w w:val="100"/>
          <w:spacing w:val="0"/>
          <w:color w:val="000000"/>
          <w:position w:val="0"/>
        </w:rPr>
        <w:t xml:space="preserve">Веноокклюзивное заболевание легких </w:t>
      </w:r>
      <w:r>
        <w:rPr>
          <w:lang w:val="en-US" w:eastAsia="en-US" w:bidi="en-US"/>
          <w:w w:val="100"/>
          <w:spacing w:val="0"/>
          <w:color w:val="000000"/>
          <w:position w:val="0"/>
        </w:rPr>
        <w:t>(Pulmonary venoocclusive disease)</w:t>
      </w:r>
      <w:bookmarkEnd w:id="583"/>
    </w:p>
    <w:p>
      <w:pPr>
        <w:pStyle w:val="Style92"/>
        <w:widowControl w:val="0"/>
        <w:keepNext/>
        <w:keepLines/>
        <w:shd w:val="clear" w:color="auto" w:fill="auto"/>
        <w:bidi w:val="0"/>
        <w:spacing w:before="0" w:after="0"/>
        <w:ind w:left="0" w:right="0" w:firstLine="280"/>
      </w:pPr>
      <w:bookmarkStart w:id="584" w:name="bookmark584"/>
      <w:r>
        <w:rPr>
          <w:lang w:val="ru-RU" w:eastAsia="ru-RU" w:bidi="ru-RU"/>
          <w:w w:val="100"/>
          <w:spacing w:val="0"/>
          <w:color w:val="000000"/>
          <w:position w:val="0"/>
        </w:rPr>
        <w:t>Определение</w:t>
      </w:r>
      <w:bookmarkEnd w:id="58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Веноокклюзивное заболевание связано с обструктив</w:t>
        <w:softHyphen/>
        <w:t>ным поражением дистального и проксимального венозного русла легких, вплоть до впадения в левое предсердие.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Болезнь впервые описана </w:t>
      </w:r>
      <w:r>
        <w:rPr>
          <w:lang w:val="en-US" w:eastAsia="en-US" w:bidi="en-US"/>
          <w:w w:val="100"/>
          <w:spacing w:val="0"/>
          <w:color w:val="000000"/>
          <w:position w:val="0"/>
        </w:rPr>
        <w:t xml:space="preserve">J. Horn </w:t>
      </w:r>
      <w:r>
        <w:rPr>
          <w:lang w:val="ru-RU" w:eastAsia="ru-RU" w:bidi="ru-RU"/>
          <w:w w:val="100"/>
          <w:spacing w:val="0"/>
          <w:color w:val="000000"/>
          <w:position w:val="0"/>
        </w:rPr>
        <w:t>в 1934 году.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Ранее данное патологическое состояние обозначали раз - личными терминами: «изолированный склероз легочных вен», «обструктивная болезнь легочных вен», «венозная форма первичной легочной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Этиология веноокклюзивной болезни легких неизвестна.</w:t>
      </w:r>
    </w:p>
    <w:p>
      <w:pPr>
        <w:pStyle w:val="Style30"/>
        <w:widowControl w:val="0"/>
        <w:keepNext w:val="0"/>
        <w:keepLines w:val="0"/>
        <w:shd w:val="clear" w:color="auto" w:fill="auto"/>
        <w:bidi w:val="0"/>
        <w:spacing w:before="0" w:after="0"/>
        <w:ind w:left="0" w:right="0" w:firstLine="280"/>
      </w:pPr>
      <w:r>
        <w:pict>
          <v:shape id="_x0000_s1616" type="#_x0000_t75" style="position:absolute;margin-left:136.9pt;margin-top:736.55pt;width:209.75pt;height:14.9pt;z-index:-125828977;mso-wrap-distance-left:136.8pt;mso-wrap-distance-right:148.1pt;mso-wrap-distance-bottom:10.8pt;mso-position-horizontal-relative:margin;mso-position-vertical-relative:margin" wrapcoords="0 0 21600 0 21600 21600 0 21600 0 0">
            <v:imagedata r:id="rId979" r:href="rId980"/>
            <w10:wrap type="topAndBottom" anchorx="margin" anchory="margin"/>
          </v:shape>
        </w:pict>
      </w:r>
      <w:r>
        <w:rPr>
          <w:lang w:val="ru-RU" w:eastAsia="ru-RU" w:bidi="ru-RU"/>
          <w:w w:val="100"/>
          <w:spacing w:val="0"/>
          <w:color w:val="000000"/>
          <w:position w:val="0"/>
        </w:rPr>
        <w:t>Большинство авторов высказываются в пользу вирусно</w:t>
        <w:softHyphen/>
        <w:t>го происхождения заболевания. Данный факт косвенно подтверждают анамнестические сведения, согласно кото</w:t>
        <w:softHyphen/>
        <w:t>рым у большинства больных с веноокклюзивным заболева-</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нием легочных вен клиническим проявлениям болезни предшествует симптоматика острой респираторно-вирус</w:t>
        <w:softHyphen/>
        <w:t>ной инфекции. В качестве инфекционного агента предпо</w:t>
        <w:softHyphen/>
        <w:t xml:space="preserve">лагают вирус кори, вирус </w:t>
      </w:r>
      <w:r>
        <w:rPr>
          <w:lang w:val="en-US" w:eastAsia="en-US" w:bidi="en-US"/>
          <w:w w:val="100"/>
          <w:spacing w:val="0"/>
          <w:color w:val="000000"/>
          <w:position w:val="0"/>
        </w:rPr>
        <w:t xml:space="preserve">Epstein-Barr, </w:t>
      </w:r>
      <w:r>
        <w:rPr>
          <w:lang w:val="ru-RU" w:eastAsia="ru-RU" w:bidi="ru-RU"/>
          <w:w w:val="100"/>
          <w:spacing w:val="0"/>
          <w:color w:val="000000"/>
          <w:position w:val="0"/>
        </w:rPr>
        <w:t>цитомегаловирус, токсоплазмоз, ВИЧ-инфекцию.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ряде случаев отмечена связь с воздействием токсичес</w:t>
        <w:softHyphen/>
        <w:t>ких субстанций.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Возникновение веноокклюзивной болезни легких ассо</w:t>
        <w:softHyphen/>
        <w:t>циируется с проводимой химиотерапией по поводу онколо</w:t>
        <w:softHyphen/>
        <w:t xml:space="preserve">гических заболеваний. Высокий риск возникновения вено- окклюзивной болезни отмечен при проведении терапии блеомицином </w:t>
      </w:r>
      <w:r>
        <w:rPr>
          <w:lang w:val="en-US" w:eastAsia="en-US" w:bidi="en-US"/>
          <w:w w:val="100"/>
          <w:spacing w:val="0"/>
          <w:color w:val="000000"/>
          <w:position w:val="0"/>
        </w:rPr>
        <w:t xml:space="preserve">(Bleomycin), </w:t>
      </w:r>
      <w:r>
        <w:rPr>
          <w:lang w:val="ru-RU" w:eastAsia="ru-RU" w:bidi="ru-RU"/>
          <w:w w:val="100"/>
          <w:spacing w:val="0"/>
          <w:color w:val="000000"/>
          <w:position w:val="0"/>
        </w:rPr>
        <w:t xml:space="preserve">митомицином </w:t>
      </w:r>
      <w:r>
        <w:rPr>
          <w:lang w:val="en-US" w:eastAsia="en-US" w:bidi="en-US"/>
          <w:w w:val="100"/>
          <w:spacing w:val="0"/>
          <w:color w:val="000000"/>
          <w:position w:val="0"/>
        </w:rPr>
        <w:t xml:space="preserve">(Mitomycin) </w:t>
      </w:r>
      <w:r>
        <w:rPr>
          <w:lang w:val="ru-RU" w:eastAsia="ru-RU" w:bidi="ru-RU"/>
          <w:w w:val="100"/>
          <w:spacing w:val="0"/>
          <w:color w:val="000000"/>
          <w:position w:val="0"/>
        </w:rPr>
        <w:t xml:space="preserve">и кармустином </w:t>
      </w:r>
      <w:r>
        <w:rPr>
          <w:lang w:val="en-US" w:eastAsia="en-US" w:bidi="en-US"/>
          <w:w w:val="100"/>
          <w:spacing w:val="0"/>
          <w:color w:val="000000"/>
          <w:position w:val="0"/>
        </w:rPr>
        <w:t>(Carmustine).</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Веноокклюзивная болезнь легких может иметь ауто</w:t>
        <w:softHyphen/>
        <w:t>иммунную природу. Иммунную природу болезни под</w:t>
        <w:softHyphen/>
        <w:t>тверждают случаи возникновения окклюзии венозного русла легких у больных после трансплантации почек. По данным электронной микроскопии и иммунофлюо</w:t>
        <w:softHyphen/>
        <w:t>ресцентного метода у больных, погибших от веноокклю- зивной болезни, обнаруживаются иммунные комплексы, возникновение которых авторы связали с вирусной ин</w:t>
        <w:softHyphen/>
        <w:t>фекцией.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Генетические факторы. Большое значение в различии реакций сердца на, казалось бы, аналогичные морфологи</w:t>
        <w:softHyphen/>
        <w:t>ческие и функциональные изменения в легких имеют гене</w:t>
        <w:softHyphen/>
        <w:t>тические факторы, определяющие различную чувствитель</w:t>
        <w:softHyphen/>
        <w:t>ность к альвеолярной гипоксии, особенности развития не</w:t>
        <w:softHyphen/>
        <w:t>достаточности и гипертрофии правого желудочка, возник</w:t>
        <w:softHyphen/>
        <w:t>новение бронхолегочных анастомозов. Описаны случаи се</w:t>
        <w:softHyphen/>
        <w:t xml:space="preserve">мейных форм заболевания. Так, </w:t>
      </w:r>
      <w:r>
        <w:rPr>
          <w:lang w:val="en-US" w:eastAsia="en-US" w:bidi="en-US"/>
          <w:w w:val="100"/>
          <w:spacing w:val="0"/>
          <w:color w:val="000000"/>
          <w:position w:val="0"/>
        </w:rPr>
        <w:t xml:space="preserve">C.G.Voordes et al. </w:t>
      </w:r>
      <w:r>
        <w:rPr>
          <w:lang w:val="ru-RU" w:eastAsia="ru-RU" w:bidi="ru-RU"/>
          <w:w w:val="100"/>
          <w:spacing w:val="0"/>
          <w:color w:val="000000"/>
          <w:position w:val="0"/>
        </w:rPr>
        <w:t>привели сообщение о семье, в которой один мальчик умер в возрас</w:t>
        <w:softHyphen/>
        <w:t>те 8 мес, а его брат — в возрасте 3 мес от веноокклюзивного заболевания легочных сосудов. Сообщены наблюдения со</w:t>
        <w:softHyphen/>
        <w:t>четания веноокклюзивной болезни легких с семейной фор</w:t>
        <w:softHyphen/>
        <w:t>мой гипертрофической кардиомиопатии.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Распространенность заболевания не установлена. Бо</w:t>
        <w:softHyphen/>
        <w:t>лезнь может отмечаться в любом возрасте, однако более ха</w:t>
        <w:softHyphen/>
        <w:t>рактерно ее возникновение в детском и юношеском возрас</w:t>
        <w:softHyphen/>
        <w:t xml:space="preserve">те. Так, из 67 пациентов с веноокклюзивным заболеванием легких, по наблюдениям </w:t>
      </w:r>
      <w:r>
        <w:rPr>
          <w:lang w:val="en-US" w:eastAsia="en-US" w:bidi="en-US"/>
          <w:w w:val="100"/>
          <w:spacing w:val="0"/>
          <w:color w:val="000000"/>
          <w:position w:val="0"/>
        </w:rPr>
        <w:t xml:space="preserve">C.A Wagenvoort et al., </w:t>
      </w:r>
      <w:r>
        <w:rPr>
          <w:lang w:val="ru-RU" w:eastAsia="ru-RU" w:bidi="ru-RU"/>
          <w:w w:val="100"/>
          <w:spacing w:val="0"/>
          <w:color w:val="000000"/>
          <w:position w:val="0"/>
        </w:rPr>
        <w:t>более поло</w:t>
        <w:softHyphen/>
        <w:t>вины составили лица молодого возраста, при этом было 20 детей до 10-летнего возраста и 7 новорожденных. Среди всех форм первичной легочной гипертензии веноокклю- зивная болезнь легких составляет от 5 до 25%. Ориентиру</w:t>
        <w:softHyphen/>
        <w:t>ясь на частоту первичной легочной гипертензии в популя</w:t>
        <w:softHyphen/>
        <w:t>ции, расчетная частота веноокклюзивной болезни легких составляет 1 на 1 000 000.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Заболевание встречается с одинаковой частотой у маль</w:t>
        <w:softHyphen/>
        <w:t>чиков и девочек. У взрослых веноокклюзивная болезнь лег</w:t>
        <w:softHyphen/>
        <w:t>ких чаще наблюдается у мужчин.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Морфология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Ведущим патологическим проявлением веноокклюзив- ной болезни легких является распространенная диффузная окклюзия легочных вен фиброзной тканью. Эта ткань плотная и склерозированная, наличие фиброзной ткани от</w:t>
        <w:softHyphen/>
        <w:t>ражает начальные стадии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Утолщение интимы наблюдается в венулах и мелких ве</w:t>
        <w:softHyphen/>
        <w:t>нах. Утолщение имеет обычно эксцентричный характер, аналогичный таковому при тромботической окклюзии ар- териол.</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В отличие от веноокклюзивной формы первичной ле</w:t>
        <w:softHyphen/>
        <w:t>гочной гипертензии, для веноокклюзивной болезни легоч</w:t>
        <w:softHyphen/>
        <w:t>ных вен не характерно вовлечение в патологический про</w:t>
        <w:softHyphen/>
        <w:t>цесс артериального русла легких. В ряде случаев может от</w:t>
        <w:softHyphen/>
        <w:t>мечаться умеренная гипертрофия медии и пролиферация интимы артериол, более характерные для детского возрас</w:t>
        <w:softHyphen/>
        <w:t>та, наблюдается в 50% случаев. Плексиформная артериопа- тия не характерна.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веноокклюзивной болезни легких обструкция ле</w:t>
        <w:softHyphen/>
        <w:t>гочных вен имеет распространенный характер, вплоть до впадения легочных вен в левое предсердие. В редких случа</w:t>
        <w:softHyphen/>
        <w:t>ях патологический процесс распространяется на левое предсердие, при этом выявляется эндомиокардиальный фиброз его стенок.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мелких венах и венулах может происходить развитие мышечного слоя («артериализация» венул) и пролифера</w:t>
        <w:softHyphen/>
        <w:t>ция интимы. Данные изменения связывают с предшеству</w:t>
        <w:softHyphen/>
        <w:t>ющей окклюзией более крупных вен, что приводит к резко - му увеличению давления в мелких сосудах.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Характерной морфологической чертой веноокклюзив</w:t>
        <w:softHyphen/>
        <w:t>ного заболевания легких является обструкция легочных вен и венул интимальной фиброзной тканью, которая состоит из мукоидной околоклеточной соединительной ткани, включая значительное количество коллагена. Сужение просвета вен носит различный характер и колеблется от 13 до 91,2%. В отдельных венах определяется реканализация с формированием внутрисосудистых фиброзных перегоро</w:t>
        <w:softHyphen/>
        <w:t>док. Реканализация иногда приводит к «пенетрации» сосу</w:t>
        <w:softHyphen/>
        <w:t>дистой стенки в виде деструкции мышечного слоя и фор</w:t>
        <w:softHyphen/>
        <w:t>мирования ангиоматозных структур. Легочные и плевраль</w:t>
        <w:softHyphen/>
        <w:t>ные лимфатические образования дилатированы.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прогрессировании заболевания в паренхиме легких возникает интерстициальный отек и фиброзирование меж</w:t>
        <w:softHyphen/>
        <w:t>дольковых перегородок. Эти изменения аналогичны тако</w:t>
        <w:softHyphen/>
        <w:t>вым при тяжелом митральном стенозе (основная причина легочной венозной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конечных стадиях заболевания фиброз может быть настолько выраженным, что требует проведения диффе</w:t>
        <w:softHyphen/>
        <w:t>ренциального диагноза от интерстициального пневмонита.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редких случаях может наблюдаться отложение макро</w:t>
        <w:softHyphen/>
        <w:t>фагов и гемосидерина.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новорожденных и детей обычно присутствуют симп</w:t>
        <w:softHyphen/>
        <w:t>томы и признаки малого сердечного выброса.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Плохой аппетит.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Задержка роста.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Тошнота.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Рвота.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Сонливость.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Потливость.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Тахипноэ. В ряде случаев одышка сопровождается при</w:t>
        <w:softHyphen/>
        <w:t>ступообразными болями в животе. У новорожденных одышка может сопровождаться появлением патологичес</w:t>
        <w:softHyphen/>
        <w:t>кого дыхания типа Чейна-Стокса.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Тахикардия.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новорожденных с открытым овальным окном может возникать транзиторный цианоз при беспокойстве, корм</w:t>
        <w:softHyphen/>
        <w:t>лении и даже в покое.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без право-левого шунта через овальное окно мо</w:t>
        <w:softHyphen/>
        <w:t>гут быть синкопальные эпизоды в анамнезе.</w:t>
      </w:r>
    </w:p>
    <w:p>
      <w:pPr>
        <w:pStyle w:val="Style30"/>
        <w:widowControl w:val="0"/>
        <w:keepNext w:val="0"/>
        <w:keepLines w:val="0"/>
        <w:shd w:val="clear" w:color="auto" w:fill="auto"/>
        <w:bidi w:val="0"/>
        <w:spacing w:before="0" w:after="0"/>
        <w:ind w:left="0" w:right="0" w:firstLine="280"/>
      </w:pPr>
      <w:r>
        <w:pict>
          <v:shape id="_x0000_s1617" type="#_x0000_t75" style="position:absolute;margin-left:148.2pt;margin-top:736.55pt;width:209.75pt;height:14.9pt;z-index:-125828976;mso-wrap-distance-left:148.1pt;mso-wrap-distance-right:136.8pt;mso-wrap-distance-bottom:10.8pt;mso-position-horizontal-relative:margin;mso-position-vertical-relative:margin" wrapcoords="0 0 21600 0 21600 21600 0 21600 0 0">
            <v:imagedata r:id="rId981" r:href="rId982"/>
            <w10:wrap type="topAndBottom" anchorx="margin" anchory="margin"/>
          </v:shape>
        </w:pict>
      </w:r>
      <w:r>
        <w:rPr>
          <w:lang w:val="ru-RU" w:eastAsia="ru-RU" w:bidi="ru-RU"/>
          <w:w w:val="100"/>
          <w:spacing w:val="0"/>
          <w:color w:val="000000"/>
          <w:position w:val="0"/>
        </w:rPr>
        <w:t>У подростков в анамнезе обычно отмечаются одышка при физической нагрузке или в покое, боли в грудной клетке.</w:t>
      </w:r>
      <w:r>
        <w:br w:type="page"/>
      </w:r>
    </w:p>
    <w:p>
      <w:pPr>
        <w:pStyle w:val="Style92"/>
        <w:widowControl w:val="0"/>
        <w:keepNext/>
        <w:keepLines/>
        <w:shd w:val="clear" w:color="auto" w:fill="auto"/>
        <w:bidi w:val="0"/>
        <w:spacing w:before="0" w:after="0"/>
        <w:ind w:left="0" w:right="0" w:firstLine="280"/>
      </w:pPr>
      <w:bookmarkStart w:id="585" w:name="bookmark585"/>
      <w:r>
        <w:rPr>
          <w:lang w:val="ru-RU" w:eastAsia="ru-RU" w:bidi="ru-RU"/>
          <w:w w:val="100"/>
          <w:spacing w:val="0"/>
          <w:color w:val="000000"/>
          <w:position w:val="0"/>
        </w:rPr>
        <w:t>Физикальные данные</w:t>
      </w:r>
      <w:bookmarkEnd w:id="58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 клиническим проявлениям болезнь клинически не дифференцируется от первичной легочной гипертензии, и заподозрить ее можно по наличию ортопноэ и резко вы</w:t>
        <w:softHyphen/>
        <w:t>раженной одышке как при тяжелой левожелудочковой не</w:t>
        <w:softHyphen/>
        <w:t>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Одышка. В основе механизма развития одышки лежит компенсаторная гипервентиляция в ответ на артериальную гипоксемию. Последняя обусловлена рядом факторов, ос</w:t>
        <w:softHyphen/>
        <w:t>новными из которых являются снижение сердечного вы</w:t>
        <w:softHyphen/>
        <w:t>броса и нарушение вентиляционно-перфузионного соот</w:t>
        <w:softHyphen/>
        <w:t>ношения в легких. Ряд авторов связывают возникновение одышки с уменьшением минутного объема кровообраще</w:t>
        <w:softHyphen/>
        <w:t>ния. Одышка у больных с веноокклюзивной болезнью мо</w:t>
        <w:softHyphen/>
        <w:t>жет носить рефлекторный характер при возбуждении дыха</w:t>
        <w:softHyphen/>
        <w:t>тельного центра с прессорных рецепторов стенок легочных вен. Вначале одышка выявляется только при физической нагрузке, затем, при прогрессировании заболевания, появ</w:t>
        <w:softHyphen/>
        <w:t>ляется в покое, иногда сопровождается приступами уду</w:t>
        <w:softHyphen/>
        <w:t>шья. Чем выше давление в легочной артерии, тем ярче вы</w:t>
        <w:softHyphen/>
        <w:t>ражена одышка.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Боли в грудной клетке. Боли в грудной клетке с ишеми</w:t>
        <w:softHyphen/>
        <w:t>ей правого желудочка. Возникновение болей также может быть обусловлено влиянием общей гипоксии на миокард, относительной недостаточностью коронарного кровотока при гипертрофии миокарда правого желудочка и снижении сердечного выброса, рефлекторным спазмом коронарных артерий из-за расширения ствола легочной артерии. Боле</w:t>
        <w:softHyphen/>
        <w:t>вой синдром возникает при физической нагрузке или пси</w:t>
        <w:softHyphen/>
        <w:t>хоэмоциональном напряжении, сопровождается усилени</w:t>
        <w:softHyphen/>
        <w:t>ем одышки, общим беспокойством, страхом. По характеру боли сжимающие, давящие, купируются при подаче кисло</w:t>
        <w:softHyphen/>
        <w:t>рода, могут наблюдаться и при небольшом повышении дав</w:t>
        <w:softHyphen/>
        <w:t>ления в легочной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Непродуктивный кашель рассматривается как эквива</w:t>
        <w:softHyphen/>
        <w:t>лент одышки.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Обмороки. Хотя обморочные состояния являются ран</w:t>
        <w:softHyphen/>
        <w:t>ним проявлением заболевания, частое их возникновение свидетельствует о наступлении тяжелого периода болезни. Синкопе появляются при физической нагрузке, во время игр, эмоционального перенапряжения, однако в ряде слу</w:t>
        <w:softHyphen/>
        <w:t>чаев могут возникать в покое. Предположительные меха</w:t>
        <w:softHyphen/>
        <w:t>низмы синкопе могут быть следующие: вазовагальный реф</w:t>
        <w:softHyphen/>
        <w:t>лекс легочной артерии, острая правожелудочковая недоста</w:t>
        <w:softHyphen/>
        <w:t>точность, снижение минутного объема, приступ фибрилля</w:t>
        <w:softHyphen/>
        <w:t>ции желудочков из-за снижения коронарного кровотока при нагрузке. Появление синкопальных состояний счита</w:t>
        <w:softHyphen/>
        <w:t>ется неблагоприятным прогностическим признаком, сви</w:t>
        <w:softHyphen/>
        <w:t>детельствующим о снижении церебрального кровотока.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Слабость, плохая переносимость физических нагрузок.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Границы сердца длительное время остаются нормальны</w:t>
        <w:softHyphen/>
        <w:t>ми и расширяются с прогрессированием правожелудочко</w:t>
        <w:softHyphen/>
        <w:t>вой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Сердечный горб не характерен для больных с веноокклю - зивной болезнью легких, наличие его всегда требует исклю</w:t>
        <w:softHyphen/>
        <w:t>чения ВПС как причины вторичной легочной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Обращает внимание усиленная пульсация во II межре- берье слева и в эпигастральной области, обусловленная ги</w:t>
        <w:softHyphen/>
        <w:t>пертрофией правого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пальпации можно отметить характерный для легоч</w:t>
        <w:softHyphen/>
        <w:t>ной гипертензии симптом «двух молоточков»: I тон хлопа</w:t>
        <w:softHyphen/>
        <w:t xml:space="preserve">ющий, </w:t>
      </w:r>
      <w:r>
        <w:rPr>
          <w:lang w:val="en-US" w:eastAsia="en-US" w:bidi="en-US"/>
          <w:w w:val="100"/>
          <w:spacing w:val="0"/>
          <w:color w:val="000000"/>
          <w:position w:val="0"/>
        </w:rPr>
        <w:t xml:space="preserve">II </w:t>
      </w:r>
      <w:r>
        <w:rPr>
          <w:lang w:val="ru-RU" w:eastAsia="ru-RU" w:bidi="ru-RU"/>
          <w:w w:val="100"/>
          <w:spacing w:val="0"/>
          <w:color w:val="000000"/>
          <w:position w:val="0"/>
        </w:rPr>
        <w:t>тон резко акцентуирован.</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 xml:space="preserve">При аускультации определяется расщепление </w:t>
      </w:r>
      <w:r>
        <w:rPr>
          <w:lang w:val="en-US" w:eastAsia="en-US" w:bidi="en-US"/>
          <w:w w:val="100"/>
          <w:spacing w:val="0"/>
          <w:color w:val="000000"/>
          <w:position w:val="0"/>
        </w:rPr>
        <w:t xml:space="preserve">I </w:t>
      </w:r>
      <w:r>
        <w:rPr>
          <w:lang w:val="ru-RU" w:eastAsia="ru-RU" w:bidi="ru-RU"/>
          <w:w w:val="100"/>
          <w:spacing w:val="0"/>
          <w:color w:val="000000"/>
          <w:position w:val="0"/>
        </w:rPr>
        <w:t>тона на верхушке (запаздывание закрытия трехстворчатого кла</w:t>
        <w:softHyphen/>
        <w:t>пана в условиях легочной гипертензии), II тон над легоч</w:t>
        <w:softHyphen/>
        <w:t>ной артерией резко усилен, акцентуирован, иногда при</w:t>
        <w:softHyphen/>
        <w:t xml:space="preserve">обретает металлический оттенок. Расщепление </w:t>
      </w:r>
      <w:r>
        <w:rPr>
          <w:lang w:val="en-US" w:eastAsia="en-US" w:bidi="en-US"/>
          <w:w w:val="100"/>
          <w:spacing w:val="0"/>
          <w:color w:val="000000"/>
          <w:position w:val="0"/>
        </w:rPr>
        <w:t xml:space="preserve">II </w:t>
      </w:r>
      <w:r>
        <w:rPr>
          <w:lang w:val="ru-RU" w:eastAsia="ru-RU" w:bidi="ru-RU"/>
          <w:w w:val="100"/>
          <w:spacing w:val="0"/>
          <w:color w:val="000000"/>
          <w:position w:val="0"/>
        </w:rPr>
        <w:t>тона наблюдается только при невысокой легочной гипертен</w:t>
        <w:softHyphen/>
        <w:t>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выраженном повышении давления в малом круге кровообращения захлопывание клапана легочной артерии происходит быстрее, в результате чего аортальный и легоч</w:t>
        <w:softHyphen/>
        <w:t xml:space="preserve">ный компоненты </w:t>
      </w:r>
      <w:r>
        <w:rPr>
          <w:lang w:val="en-US" w:eastAsia="en-US" w:bidi="en-US"/>
          <w:w w:val="100"/>
          <w:spacing w:val="0"/>
          <w:color w:val="000000"/>
          <w:position w:val="0"/>
        </w:rPr>
        <w:t xml:space="preserve">II </w:t>
      </w:r>
      <w:r>
        <w:rPr>
          <w:lang w:val="ru-RU" w:eastAsia="ru-RU" w:bidi="ru-RU"/>
          <w:w w:val="100"/>
          <w:spacing w:val="0"/>
          <w:color w:val="000000"/>
          <w:position w:val="0"/>
        </w:rPr>
        <w:t>тона сливаются.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Характерно наличие </w:t>
      </w:r>
      <w:r>
        <w:rPr>
          <w:lang w:val="en-US" w:eastAsia="en-US" w:bidi="en-US"/>
          <w:w w:val="100"/>
          <w:spacing w:val="0"/>
          <w:color w:val="000000"/>
          <w:position w:val="0"/>
        </w:rPr>
        <w:t xml:space="preserve">III </w:t>
      </w:r>
      <w:r>
        <w:rPr>
          <w:lang w:val="ru-RU" w:eastAsia="ru-RU" w:bidi="ru-RU"/>
          <w:w w:val="100"/>
          <w:spacing w:val="0"/>
          <w:color w:val="000000"/>
          <w:position w:val="0"/>
        </w:rPr>
        <w:t>тона, выслушиваемого справа от грудины, усиливающегося при появлении правожелудоч</w:t>
        <w:softHyphen/>
        <w:t>ковой недостаточности. В этой точке могут выслушиваться клики — результат удара струи крови о расширенную легоч - ную артерию.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Шумы чаще отсутствуют, однако могут выслушиваться систолический шум легочного изгнания вдоль левого края грудины, диастолический шум во </w:t>
      </w:r>
      <w:r>
        <w:rPr>
          <w:lang w:val="en-US" w:eastAsia="en-US" w:bidi="en-US"/>
          <w:w w:val="100"/>
          <w:spacing w:val="0"/>
          <w:color w:val="000000"/>
          <w:position w:val="0"/>
        </w:rPr>
        <w:t xml:space="preserve">II </w:t>
      </w:r>
      <w:r>
        <w:rPr>
          <w:lang w:val="ru-RU" w:eastAsia="ru-RU" w:bidi="ru-RU"/>
          <w:w w:val="100"/>
          <w:spacing w:val="0"/>
          <w:color w:val="000000"/>
          <w:position w:val="0"/>
        </w:rPr>
        <w:t>межреберье слева из-за недостаточности клапанов легочной артерии (шум Грехэ- ма-Стилла). Недостаточность клапана легочной артерии возникает из-за растяжения устья в области створок. Шум Грехэма-Стилла нежный по тембру, дующий протодиасто</w:t>
        <w:softHyphen/>
        <w:t>лический, лучше всего выслушивается по левому краю гру</w:t>
        <w:softHyphen/>
        <w:t xml:space="preserve">дины с эпицентром звучания во втором межреберье слева. Характерно, что этот шум сочетается с акцентом </w:t>
      </w:r>
      <w:r>
        <w:rPr>
          <w:lang w:val="en-US" w:eastAsia="en-US" w:bidi="en-US"/>
          <w:w w:val="100"/>
          <w:spacing w:val="0"/>
          <w:color w:val="000000"/>
          <w:position w:val="0"/>
        </w:rPr>
        <w:t xml:space="preserve">II </w:t>
      </w:r>
      <w:r>
        <w:rPr>
          <w:lang w:val="ru-RU" w:eastAsia="ru-RU" w:bidi="ru-RU"/>
          <w:w w:val="100"/>
          <w:spacing w:val="0"/>
          <w:color w:val="000000"/>
          <w:position w:val="0"/>
        </w:rPr>
        <w:t>тона, выслушиваемого в той же проекции.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Систолический шум относительной недостаточности трехстворчатого клапана — в </w:t>
      </w:r>
      <w:r>
        <w:rPr>
          <w:lang w:val="en-US" w:eastAsia="en-US" w:bidi="en-US"/>
          <w:w w:val="100"/>
          <w:spacing w:val="0"/>
          <w:color w:val="000000"/>
          <w:position w:val="0"/>
        </w:rPr>
        <w:t xml:space="preserve">V-VI </w:t>
      </w:r>
      <w:r>
        <w:rPr>
          <w:lang w:val="ru-RU" w:eastAsia="ru-RU" w:bidi="ru-RU"/>
          <w:w w:val="100"/>
          <w:spacing w:val="0"/>
          <w:color w:val="000000"/>
          <w:position w:val="0"/>
        </w:rPr>
        <w:t>межреберьях слева от грудины и на мечевидном отростке, усиливающийся при вдохе (симптом Риверо-Корвалло). Систолический шум недостаточности трехстворчатого клапана при значитель</w:t>
        <w:softHyphen/>
        <w:t>ной гипертрофии и дилатации правого желудочка может выслушиваться на верхушке сердца из -за ротации желудоч - ка кпереди, при этом он образует практически всю пере</w:t>
        <w:softHyphen/>
        <w:t>днюю поверхность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Может отмечаться системная артериальная гипотензия, причиной которой является рефлекторное перераспределе</w:t>
        <w:softHyphen/>
        <w:t>ние сосудистого тонуса, уменьшение минутного объема кровообращения, артериальная гипоксемия. Гипотония бо</w:t>
        <w:softHyphen/>
        <w:t>лее выражена, когда давление в легочной артерии достига</w:t>
        <w:softHyphen/>
        <w:t>ет или превышает системное.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возникновении признаков правожелудочковой не</w:t>
        <w:softHyphen/>
        <w:t>достаточности появляются периферические отеки, гепато- мегалия, периферический цианоз. Из-за компрессии гор</w:t>
        <w:softHyphen/>
        <w:t>танного нерва расширенной легочной артерией может по</w:t>
        <w:softHyphen/>
        <w:t xml:space="preserve">явиться осиплость голоса (симптом </w:t>
      </w:r>
      <w:r>
        <w:rPr>
          <w:lang w:val="en-US" w:eastAsia="en-US" w:bidi="en-US"/>
          <w:w w:val="100"/>
          <w:spacing w:val="0"/>
          <w:color w:val="000000"/>
          <w:position w:val="0"/>
        </w:rPr>
        <w:t>Ortner).</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симптомы болезни более выражены у де</w:t>
        <w:softHyphen/>
        <w:t>вочек, чем у мальчиков.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Проводится в плане исключения других форм легочной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Общие показатели крови.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Печеночные тесты.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Коагуляционные тесты.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Коагуляционный профиль.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Время кровотечения.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Агрегационная способность тромбоцитов.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Коагуляционные факторы (фактор VIII, фактор Виллеб- ранта, антитромбин III, протеин </w:t>
      </w:r>
      <w:r>
        <w:rPr>
          <w:lang w:val="en-US" w:eastAsia="en-US" w:bidi="en-US"/>
          <w:w w:val="100"/>
          <w:spacing w:val="0"/>
          <w:color w:val="000000"/>
          <w:position w:val="0"/>
        </w:rPr>
        <w:t xml:space="preserve">S, </w:t>
      </w:r>
      <w:r>
        <w:rPr>
          <w:lang w:val="ru-RU" w:eastAsia="ru-RU" w:bidi="ru-RU"/>
          <w:w w:val="100"/>
          <w:spacing w:val="0"/>
          <w:color w:val="000000"/>
          <w:position w:val="0"/>
        </w:rPr>
        <w:t xml:space="preserve">протеин </w:t>
      </w:r>
      <w:r>
        <w:rPr>
          <w:lang w:val="en-US" w:eastAsia="en-US" w:bidi="en-US"/>
          <w:w w:val="100"/>
          <w:spacing w:val="0"/>
          <w:color w:val="000000"/>
          <w:position w:val="0"/>
        </w:rPr>
        <w:t xml:space="preserve">C, </w:t>
      </w:r>
      <w:r>
        <w:rPr>
          <w:lang w:val="ru-RU" w:eastAsia="ru-RU" w:bidi="ru-RU"/>
          <w:w w:val="100"/>
          <w:spacing w:val="0"/>
          <w:color w:val="000000"/>
          <w:position w:val="0"/>
        </w:rPr>
        <w:t xml:space="preserve">фактор VII, фактор </w:t>
      </w:r>
      <w:r>
        <w:rPr>
          <w:lang w:val="en-US" w:eastAsia="en-US" w:bidi="en-US"/>
          <w:w w:val="100"/>
          <w:spacing w:val="0"/>
          <w:color w:val="000000"/>
          <w:position w:val="0"/>
        </w:rPr>
        <w:t xml:space="preserve">II, </w:t>
      </w:r>
      <w:r>
        <w:rPr>
          <w:lang w:val="ru-RU" w:eastAsia="ru-RU" w:bidi="ru-RU"/>
          <w:w w:val="100"/>
          <w:spacing w:val="0"/>
          <w:color w:val="000000"/>
          <w:position w:val="0"/>
        </w:rPr>
        <w:t xml:space="preserve">фактор </w:t>
      </w:r>
      <w:r>
        <w:rPr>
          <w:lang w:val="en-US" w:eastAsia="en-US" w:bidi="en-US"/>
          <w:w w:val="100"/>
          <w:spacing w:val="0"/>
          <w:color w:val="000000"/>
          <w:position w:val="0"/>
        </w:rPr>
        <w:t>V).</w:t>
      </w:r>
    </w:p>
    <w:p>
      <w:pPr>
        <w:pStyle w:val="Style30"/>
        <w:widowControl w:val="0"/>
        <w:keepNext w:val="0"/>
        <w:keepLines w:val="0"/>
        <w:shd w:val="clear" w:color="auto" w:fill="auto"/>
        <w:bidi w:val="0"/>
        <w:spacing w:before="0" w:after="0"/>
        <w:ind w:left="0" w:right="0" w:firstLine="280"/>
      </w:pPr>
      <w:r>
        <w:pict>
          <v:shape id="_x0000_s1618" type="#_x0000_t75" style="position:absolute;margin-left:137.05pt;margin-top:736.55pt;width:209.75pt;height:14.9pt;z-index:-125828975;mso-wrap-distance-left:136.8pt;mso-wrap-distance-right:147.85pt;mso-wrap-distance-bottom:10.8pt;mso-position-horizontal-relative:margin;mso-position-vertical-relative:margin" wrapcoords="0 0 21600 0 21600 21600 0 21600 0 0">
            <v:imagedata r:id="rId983" r:href="rId984"/>
            <w10:wrap type="topAndBottom" anchorx="margin" anchory="margin"/>
          </v:shape>
        </w:pict>
      </w:r>
      <w:r>
        <w:rPr>
          <w:lang w:val="ru-RU" w:eastAsia="ru-RU" w:bidi="ru-RU"/>
          <w:w w:val="100"/>
          <w:spacing w:val="0"/>
          <w:color w:val="000000"/>
          <w:position w:val="0"/>
        </w:rPr>
        <w:t>Вязкость крови.</w:t>
      </w:r>
      <w:r>
        <w:br w:type="page"/>
      </w:r>
    </w:p>
    <w:p>
      <w:pPr>
        <w:pStyle w:val="Style30"/>
        <w:widowControl w:val="0"/>
        <w:keepNext w:val="0"/>
        <w:keepLines w:val="0"/>
        <w:shd w:val="clear" w:color="auto" w:fill="auto"/>
        <w:bidi w:val="0"/>
        <w:spacing w:before="0" w:after="0"/>
        <w:ind w:left="0" w:right="0" w:firstLine="280"/>
      </w:pPr>
      <w:r>
        <w:pict>
          <v:shape id="_x0000_s1619" type="#_x0000_t202" style="position:absolute;margin-left:0.25pt;margin-top:17.75pt;width:144.25pt;height:51.6pt;z-index:-125828974;mso-wrap-distance-left:5.pt;mso-wrap-distance-right: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51"/>
                    </w:rPr>
                    <w:t xml:space="preserve">Рис. 81. </w:t>
                  </w:r>
                  <w:r>
                    <w:rPr>
                      <w:rStyle w:val="CharStyle121"/>
                    </w:rPr>
                    <w:t>ЭКГ при веноокклюзивной бо</w:t>
                    <w:softHyphen/>
                    <w:t>лезни легких. Патологическое отклоне</w:t>
                    <w:softHyphen/>
                    <w:t xml:space="preserve">ние электической оси сердца вправо, высокий зубец </w:t>
                  </w:r>
                  <w:r>
                    <w:rPr>
                      <w:rStyle w:val="CharStyle121"/>
                      <w:lang w:val="en-US" w:eastAsia="en-US" w:bidi="en-US"/>
                    </w:rPr>
                    <w:t>R V</w:t>
                  </w:r>
                  <w:r>
                    <w:rPr>
                      <w:rStyle w:val="CharStyle121"/>
                      <w:lang w:val="en-US" w:eastAsia="en-US" w:bidi="en-US"/>
                      <w:vertAlign w:val="subscript"/>
                    </w:rPr>
                    <w:t>1</w:t>
                  </w:r>
                  <w:r>
                    <w:rPr>
                      <w:rStyle w:val="CharStyle121"/>
                      <w:lang w:val="en-US" w:eastAsia="en-US" w:bidi="en-US"/>
                    </w:rPr>
                    <w:t xml:space="preserve">, </w:t>
                  </w:r>
                  <w:r>
                    <w:rPr>
                      <w:rStyle w:val="CharStyle121"/>
                    </w:rPr>
                    <w:t>выраженные при</w:t>
                    <w:softHyphen/>
                    <w:t>знаки гипертрофии правого желудочка.</w:t>
                  </w:r>
                </w:p>
              </w:txbxContent>
            </v:textbox>
            <w10:wrap type="topAndBottom" anchorx="margin" anchory="margin"/>
          </v:shape>
        </w:pict>
      </w:r>
      <w:r>
        <w:pict>
          <v:shape id="_x0000_s1620" type="#_x0000_t75" style="position:absolute;margin-left:183.6pt;margin-top:6.5pt;width:309.1pt;height:260.15pt;z-index:-125828973;mso-wrap-distance-left:5.pt;mso-wrap-distance-right:5.pt;mso-position-horizontal-relative:margin;mso-position-vertical-relative:margin">
            <v:imagedata r:id="rId985" r:href="rId986"/>
            <w10:wrap type="topAndBottom" anchorx="margin" anchory="margin"/>
          </v:shape>
        </w:pict>
      </w:r>
      <w:r>
        <w:rPr>
          <w:lang w:val="ru-RU" w:eastAsia="ru-RU" w:bidi="ru-RU"/>
          <w:w w:val="100"/>
          <w:spacing w:val="0"/>
          <w:color w:val="000000"/>
          <w:position w:val="0"/>
        </w:rPr>
        <w:t>Белковые фракции крови.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Иммуноглобулины крови.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Катехоламины плазмы крови.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Тест на ВИЧ.</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Гормоны шитовидной железы.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Тесты на коллагеновые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Люпус антикоагулянт.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Скорость оседания эритроцитов.</w:t>
      </w:r>
    </w:p>
    <w:p>
      <w:pPr>
        <w:pStyle w:val="Style30"/>
        <w:widowControl w:val="0"/>
        <w:keepNext w:val="0"/>
        <w:keepLines w:val="0"/>
        <w:shd w:val="clear" w:color="auto" w:fill="auto"/>
        <w:bidi w:val="0"/>
        <w:jc w:val="left"/>
        <w:spacing w:before="0" w:after="0"/>
        <w:ind w:left="280" w:right="1560" w:firstLine="0"/>
      </w:pPr>
      <w:r>
        <w:rPr>
          <w:lang w:val="ru-RU" w:eastAsia="ru-RU" w:bidi="ru-RU"/>
          <w:w w:val="100"/>
          <w:spacing w:val="0"/>
          <w:color w:val="000000"/>
          <w:position w:val="0"/>
        </w:rPr>
        <w:t>Антикардиолипиновые антител.а СН50 комплемент и его компоненты.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Антинуклеарные антитела.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Ревматоидный фактор.</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HLA </w:t>
      </w:r>
      <w:r>
        <w:rPr>
          <w:lang w:val="ru-RU" w:eastAsia="ru-RU" w:bidi="ru-RU"/>
          <w:w w:val="100"/>
          <w:spacing w:val="0"/>
          <w:color w:val="000000"/>
          <w:position w:val="0"/>
        </w:rPr>
        <w:t>гаплотипы.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Правильный диагноз может быть установлен только при проведении открытой биопсии легкого. Трансбронхиаль</w:t>
        <w:softHyphen/>
        <w:t>ный биоптат не позволяет точно дифференцировать вено- окклюзивную болезнь легких. В этой связи веноокклюзив- ная болезнь легких устанавливается по диагностической триаде: легочная артериальная гипертензия, проявления (транзиторные или постоянные) отека легкого, нормальное капиллярное давление.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Электрокардиография:</w:t>
      </w:r>
    </w:p>
    <w:p>
      <w:pPr>
        <w:pStyle w:val="Style30"/>
        <w:numPr>
          <w:ilvl w:val="0"/>
          <w:numId w:val="123"/>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 начальных стадиях заболевания ЭКГ не изме</w:t>
        <w:softHyphen/>
        <w:t>нена.</w:t>
      </w:r>
    </w:p>
    <w:p>
      <w:pPr>
        <w:pStyle w:val="Style30"/>
        <w:numPr>
          <w:ilvl w:val="0"/>
          <w:numId w:val="123"/>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Патологическое отклонение электрической оси сердца вправо.</w:t>
      </w:r>
    </w:p>
    <w:p>
      <w:pPr>
        <w:pStyle w:val="Style30"/>
        <w:numPr>
          <w:ilvl w:val="0"/>
          <w:numId w:val="123"/>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Гипертрофия правого желудочка и предсердия (рис. 81).</w:t>
      </w:r>
    </w:p>
    <w:p>
      <w:pPr>
        <w:pStyle w:val="Style30"/>
        <w:numPr>
          <w:ilvl w:val="0"/>
          <w:numId w:val="123"/>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Нарушение внутрипредсердного проведения (при фиброзе эндокарда левого предсердия).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Рентгенография грудной клетки:</w:t>
      </w:r>
    </w:p>
    <w:p>
      <w:pPr>
        <w:pStyle w:val="Style30"/>
        <w:numPr>
          <w:ilvl w:val="0"/>
          <w:numId w:val="123"/>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Визуализируются линии Керли-В, которые отра</w:t>
        <w:softHyphen/>
        <w:t>жают признак хронического увеличения легочного капиллярного давления.</w:t>
      </w:r>
    </w:p>
    <w:p>
      <w:pPr>
        <w:pStyle w:val="Style30"/>
        <w:numPr>
          <w:ilvl w:val="0"/>
          <w:numId w:val="123"/>
        </w:numPr>
        <w:tabs>
          <w:tab w:leader="none" w:pos="501" w:val="left"/>
        </w:tabs>
        <w:widowControl w:val="0"/>
        <w:keepNext w:val="0"/>
        <w:keepLines w:val="0"/>
        <w:shd w:val="clear" w:color="auto" w:fill="auto"/>
        <w:bidi w:val="0"/>
        <w:spacing w:before="0" w:after="0"/>
        <w:ind w:left="500" w:right="0" w:hanging="240"/>
      </w:pPr>
      <w:r>
        <w:br w:type="column"/>
      </w:r>
      <w:r>
        <w:rPr>
          <w:lang w:val="ru-RU" w:eastAsia="ru-RU" w:bidi="ru-RU"/>
          <w:w w:val="100"/>
          <w:spacing w:val="0"/>
          <w:color w:val="000000"/>
          <w:position w:val="0"/>
        </w:rPr>
        <w:t>Кардиомегалия, преимущественно за счет правых отделов.</w:t>
      </w:r>
    </w:p>
    <w:p>
      <w:pPr>
        <w:pStyle w:val="Style30"/>
        <w:numPr>
          <w:ilvl w:val="0"/>
          <w:numId w:val="123"/>
        </w:numPr>
        <w:tabs>
          <w:tab w:leader="none" w:pos="50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Расширенные проксимальные сегменты легочной артерии.</w:t>
      </w:r>
    </w:p>
    <w:p>
      <w:pPr>
        <w:pStyle w:val="Style30"/>
        <w:numPr>
          <w:ilvl w:val="0"/>
          <w:numId w:val="123"/>
        </w:numPr>
        <w:tabs>
          <w:tab w:leader="none" w:pos="501"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Периферическая интерстициальная инфильтра</w:t>
        <w:softHyphen/>
        <w:t>ция по септальной линии, от легкой степени выра</w:t>
        <w:softHyphen/>
        <w:t>женности до умеренной.</w:t>
      </w:r>
    </w:p>
    <w:p>
      <w:pPr>
        <w:pStyle w:val="Style30"/>
        <w:numPr>
          <w:ilvl w:val="0"/>
          <w:numId w:val="123"/>
        </w:numPr>
        <w:tabs>
          <w:tab w:leader="none" w:pos="501"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Плевральный выпот (35%).</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Функция внешнего дыхания:</w:t>
      </w:r>
    </w:p>
    <w:p>
      <w:pPr>
        <w:pStyle w:val="Style30"/>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Нормальные показатели функции внешнего дыхания, могут быть умеренные рестриктивные нарушения. Эхокардиография:</w:t>
      </w:r>
    </w:p>
    <w:p>
      <w:pPr>
        <w:pStyle w:val="Style30"/>
        <w:numPr>
          <w:ilvl w:val="0"/>
          <w:numId w:val="123"/>
        </w:numPr>
        <w:tabs>
          <w:tab w:leader="none" w:pos="501"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Признаки высокой легочной гипертензии.</w:t>
      </w:r>
    </w:p>
    <w:p>
      <w:pPr>
        <w:pStyle w:val="Style30"/>
        <w:numPr>
          <w:ilvl w:val="0"/>
          <w:numId w:val="123"/>
        </w:numPr>
        <w:tabs>
          <w:tab w:leader="none" w:pos="501"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Скорость регургитантного трикуспидального по</w:t>
        <w:softHyphen/>
        <w:t>тока &gt;3,0 м/с.</w:t>
      </w:r>
    </w:p>
    <w:p>
      <w:pPr>
        <w:pStyle w:val="Style30"/>
        <w:numPr>
          <w:ilvl w:val="0"/>
          <w:numId w:val="123"/>
        </w:numPr>
        <w:tabs>
          <w:tab w:leader="none" w:pos="501"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Отсутствуют внутрисердечные кардиальные ано</w:t>
        <w:softHyphen/>
        <w:t>малии.</w:t>
      </w:r>
    </w:p>
    <w:p>
      <w:pPr>
        <w:pStyle w:val="Style30"/>
        <w:numPr>
          <w:ilvl w:val="0"/>
          <w:numId w:val="123"/>
        </w:numPr>
        <w:tabs>
          <w:tab w:leader="none" w:pos="501"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В ряде случаев выявляется фиброз эндокарда лево - го предсердия, сужение устья легочных вен.</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Катетеризация сердца:</w:t>
      </w:r>
    </w:p>
    <w:p>
      <w:pPr>
        <w:pStyle w:val="Style30"/>
        <w:numPr>
          <w:ilvl w:val="0"/>
          <w:numId w:val="123"/>
        </w:numPr>
        <w:tabs>
          <w:tab w:leader="none" w:pos="501"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Увеличение легочного артериолярного (прекапил</w:t>
        <w:softHyphen/>
        <w:t>лярного) артериального давления более 30 мм рт. ст.</w:t>
      </w:r>
    </w:p>
    <w:p>
      <w:pPr>
        <w:pStyle w:val="Style30"/>
        <w:numPr>
          <w:ilvl w:val="0"/>
          <w:numId w:val="123"/>
        </w:numPr>
        <w:tabs>
          <w:tab w:leader="none" w:pos="501"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Увеличение легочного капиллярного давления (давления заклинивания).</w:t>
      </w:r>
    </w:p>
    <w:p>
      <w:pPr>
        <w:pStyle w:val="Style30"/>
        <w:numPr>
          <w:ilvl w:val="0"/>
          <w:numId w:val="123"/>
        </w:numPr>
        <w:tabs>
          <w:tab w:leader="none" w:pos="501"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Различие показателей капиллярного давления в отдельных сегментах легких.</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Компьютерная томография:</w:t>
      </w:r>
    </w:p>
    <w:p>
      <w:pPr>
        <w:pStyle w:val="Style30"/>
        <w:numPr>
          <w:ilvl w:val="0"/>
          <w:numId w:val="123"/>
        </w:numPr>
        <w:tabs>
          <w:tab w:leader="none" w:pos="501"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Утолщение междолевых перегородок.</w:t>
      </w:r>
    </w:p>
    <w:p>
      <w:pPr>
        <w:pStyle w:val="Style30"/>
        <w:numPr>
          <w:ilvl w:val="0"/>
          <w:numId w:val="123"/>
        </w:numPr>
        <w:tabs>
          <w:tab w:leader="none" w:pos="501"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Снижение прозрачности легочной паренхимы.</w:t>
      </w:r>
    </w:p>
    <w:p>
      <w:pPr>
        <w:pStyle w:val="Style30"/>
        <w:numPr>
          <w:ilvl w:val="0"/>
          <w:numId w:val="123"/>
        </w:numPr>
        <w:tabs>
          <w:tab w:leader="none" w:pos="501"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Небольшой плевральный выпот.</w:t>
      </w:r>
    </w:p>
    <w:p>
      <w:pPr>
        <w:pStyle w:val="Style30"/>
        <w:numPr>
          <w:ilvl w:val="0"/>
          <w:numId w:val="123"/>
        </w:numPr>
        <w:tabs>
          <w:tab w:leader="none" w:pos="501"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Дилатация проксимальных ветвей легочной арте</w:t>
        <w:softHyphen/>
        <w:t>рии.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Перфузионная сцинтиграфия:</w:t>
      </w:r>
    </w:p>
    <w:p>
      <w:pPr>
        <w:pStyle w:val="Style30"/>
        <w:numPr>
          <w:ilvl w:val="0"/>
          <w:numId w:val="123"/>
        </w:numPr>
        <w:tabs>
          <w:tab w:leader="none" w:pos="501" w:val="left"/>
        </w:tabs>
        <w:widowControl w:val="0"/>
        <w:keepNext w:val="0"/>
        <w:keepLines w:val="0"/>
        <w:shd w:val="clear" w:color="auto" w:fill="auto"/>
        <w:bidi w:val="0"/>
        <w:spacing w:before="0" w:after="0"/>
        <w:ind w:left="260" w:right="0" w:firstLine="0"/>
      </w:pPr>
      <w:r>
        <w:pict>
          <v:shape id="_x0000_s1621" type="#_x0000_t75" style="position:absolute;margin-left:148.1pt;margin-top:736.55pt;width:209.75pt;height:14.9pt;z-index:-125828972;mso-wrap-distance-left:147.85pt;mso-wrap-distance-right:136.8pt;mso-wrap-distance-bottom:10.8pt;mso-position-horizontal-relative:margin;mso-position-vertical-relative:margin" wrapcoords="0 0 21600 0 21600 21600 0 21600 0 0">
            <v:imagedata r:id="rId987" r:href="rId988"/>
            <w10:wrap type="topAndBottom" anchorx="margin" anchory="margin"/>
          </v:shape>
        </w:pict>
      </w:r>
      <w:r>
        <w:rPr>
          <w:lang w:val="ru-RU" w:eastAsia="ru-RU" w:bidi="ru-RU"/>
          <w:w w:val="100"/>
          <w:spacing w:val="0"/>
          <w:color w:val="000000"/>
          <w:position w:val="0"/>
        </w:rPr>
        <w:t>Множественные сегментарные и субсегментарные дефекты перфузии обоих легких.</w:t>
      </w:r>
      <w:r>
        <w:br w:type="page"/>
      </w:r>
    </w:p>
    <w:p>
      <w:pPr>
        <w:pStyle w:val="Style92"/>
        <w:widowControl w:val="0"/>
        <w:keepNext/>
        <w:keepLines/>
        <w:shd w:val="clear" w:color="auto" w:fill="auto"/>
        <w:bidi w:val="0"/>
        <w:spacing w:before="0" w:after="0"/>
        <w:ind w:left="0" w:right="0" w:firstLine="280"/>
      </w:pPr>
      <w:bookmarkStart w:id="586" w:name="bookmark586"/>
      <w:r>
        <w:rPr>
          <w:lang w:val="ru-RU" w:eastAsia="ru-RU" w:bidi="ru-RU"/>
          <w:w w:val="100"/>
          <w:spacing w:val="0"/>
          <w:color w:val="000000"/>
          <w:position w:val="0"/>
        </w:rPr>
        <w:t>Дифференциальная диагностика</w:t>
      </w:r>
      <w:bookmarkEnd w:id="58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Дилатационная кардиомиопатия.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Легочное сердце.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Митральный стеноз.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Гипотиреоидизм.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Смешанные заболевания соединительной ткани.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Портальная гипертензия.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Кардиогенный отек легких.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Легочная эмболия.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Вторичная легочная гипертензия.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Первичная легочная гипертензия.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Системная красная волчанка.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Склеродермия.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Стеноз легочной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Бронхиальная астма.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Гранулематозная болезнь легких.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Врожденная диафрагмальная грыжа.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Гипоплазия легких.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Ревматическая болезнь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Серповидноклеточная анемия.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Микротромбоэмболия сосудов легких.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Легочная венозная гипертензия (при левосторонних об</w:t>
        <w:softHyphen/>
        <w:t>структивных заболеваниях).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Обструкция верхних дыхательных путей.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Деформации грудной клетки.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Воздействие экзогенных субстанций (анорексические препараты, кокаин).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Отек легких. Может быть спровоцирован введением ва- зодилататоров при проведении фармакологических проб или длительном приеме препарата (никардипин, блокато</w:t>
        <w:softHyphen/>
        <w:t>ры кальциевых каналов).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Правожелудочковая декомпенсация.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веноокклюзивной болезни легочных вен не разработано.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Терапия антикоагулянтами (варфарин, малые дозы ас</w:t>
        <w:softHyphen/>
        <w:t>пирина) во всех случаях оказывается неэффективной.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Используемые обычно в терапии легочной гипертензии блокаторы кальциевых каналов или эпопростенол (простаг- ландин 2) неэффективны при веноокклюзивной болезни лег</w:t>
        <w:softHyphen/>
        <w:t>ких, могут приводить к отеку легкого и летальным исходам.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предупреждения правожелудочковой декомпенса</w:t>
        <w:softHyphen/>
        <w:t>ции рекомендуют применение дигоксина.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Известны случаи успешного лечения веноокклюзивной болезни иммуносупрессорами (азатиоприном в комбина</w:t>
        <w:softHyphen/>
        <w:t>ции с преднизолоном).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Оксид азота в концентрации от 10 до 40 </w:t>
      </w:r>
      <w:r>
        <w:rPr>
          <w:lang w:val="en-US" w:eastAsia="en-US" w:bidi="en-US"/>
          <w:w w:val="100"/>
          <w:spacing w:val="0"/>
          <w:color w:val="000000"/>
          <w:position w:val="0"/>
        </w:rPr>
        <w:t xml:space="preserve">ppm. </w:t>
      </w:r>
      <w:r>
        <w:rPr>
          <w:lang w:val="ru-RU" w:eastAsia="ru-RU" w:bidi="ru-RU"/>
          <w:w w:val="100"/>
          <w:spacing w:val="0"/>
          <w:color w:val="000000"/>
          <w:position w:val="0"/>
        </w:rPr>
        <w:t xml:space="preserve">Поскольку мишенью для </w:t>
      </w:r>
      <w:r>
        <w:rPr>
          <w:lang w:val="en-US" w:eastAsia="en-US" w:bidi="en-US"/>
          <w:w w:val="100"/>
          <w:spacing w:val="0"/>
          <w:color w:val="000000"/>
          <w:position w:val="0"/>
        </w:rPr>
        <w:t xml:space="preserve">NO </w:t>
      </w:r>
      <w:r>
        <w:rPr>
          <w:lang w:val="ru-RU" w:eastAsia="ru-RU" w:bidi="ru-RU"/>
          <w:w w:val="100"/>
          <w:spacing w:val="0"/>
          <w:color w:val="000000"/>
          <w:position w:val="0"/>
        </w:rPr>
        <w:t>являются гладкомышечные клетки рези</w:t>
        <w:softHyphen/>
        <w:t>стивных сосудов (артерий и артериол), эффект данного препарата на безмышечные вены не ясен и, вероятно, опо</w:t>
        <w:softHyphen/>
        <w:t>средован.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Трансплантация доли легкого.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Физическая активность у детей с веноокклюзивной бо</w:t>
        <w:softHyphen/>
        <w:t>лезнью легких должна быть ограничена.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 рекомендуется проводить приемы, аналогичные про</w:t>
        <w:softHyphen/>
        <w:t>бе Вальсальвы, которые могут спровоцировать синкопе.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 заболевания неблагоприятный, особенно у де</w:t>
        <w:softHyphen/>
        <w:t>тей раннего возраста.</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Отдаленные результаты в течение 9 лет указывают на от</w:t>
        <w:softHyphen/>
        <w:t>носительно благоприятный прогноз при проведении транс</w:t>
        <w:softHyphen/>
        <w:t>плантации легких.</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Лекарственные препараты, применяемые для лечения ве</w:t>
        <w:softHyphen/>
        <w:t>ноокклюзивной болезни легких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Сердечные гликозиды применяют для профилактики декомпенсации правого желудочка.</w:t>
      </w:r>
    </w:p>
    <w:p>
      <w:pPr>
        <w:pStyle w:val="Style30"/>
        <w:widowControl w:val="0"/>
        <w:keepNext w:val="0"/>
        <w:keepLines w:val="0"/>
        <w:shd w:val="clear" w:color="auto" w:fill="auto"/>
        <w:bidi w:val="0"/>
        <w:spacing w:before="0" w:after="0"/>
        <w:ind w:left="0" w:right="0" w:firstLine="280"/>
      </w:pPr>
      <w:r>
        <w:rPr>
          <w:rStyle w:val="CharStyle103"/>
        </w:rPr>
        <w:t>Дигоксин.</w:t>
      </w:r>
      <w:r>
        <w:rPr>
          <w:lang w:val="ru-RU" w:eastAsia="ru-RU" w:bidi="ru-RU"/>
          <w:w w:val="100"/>
          <w:spacing w:val="0"/>
          <w:color w:val="000000"/>
          <w:position w:val="0"/>
        </w:rPr>
        <w:t xml:space="preserve"> Недоношенные новорожденные: 5-7,5 мкг/кг/сутки в два приема.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Доношенные новорожденные: 6-10 мкг/кг/сутки в два приема.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 1 месяца до 2-х лет: 10-15 мкг/кг/сутки в два приема.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2-5 лет: 7,5-10 мкг/кг/сутки в два приема.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5-10 лет: 5-10 мкг/кг/сутки в два приема.</w:t>
      </w:r>
    </w:p>
    <w:p>
      <w:pPr>
        <w:pStyle w:val="Style30"/>
        <w:widowControl w:val="0"/>
        <w:keepNext w:val="0"/>
        <w:keepLines w:val="0"/>
        <w:shd w:val="clear" w:color="auto" w:fill="auto"/>
        <w:bidi w:val="0"/>
        <w:spacing w:before="0" w:after="161"/>
        <w:ind w:left="0" w:right="0" w:firstLine="280"/>
      </w:pPr>
      <w:r>
        <w:rPr>
          <w:lang w:val="ru-RU" w:eastAsia="ru-RU" w:bidi="ru-RU"/>
          <w:w w:val="100"/>
          <w:spacing w:val="0"/>
          <w:color w:val="000000"/>
          <w:position w:val="0"/>
        </w:rPr>
        <w:t>&gt;10 лет: 2,5-5 мкг/кг/сутки в два приема.</w:t>
      </w:r>
    </w:p>
    <w:p>
      <w:pPr>
        <w:pStyle w:val="Style48"/>
        <w:widowControl w:val="0"/>
        <w:keepNext/>
        <w:keepLines/>
        <w:shd w:val="clear" w:color="auto" w:fill="auto"/>
        <w:bidi w:val="0"/>
        <w:jc w:val="left"/>
        <w:spacing w:before="0" w:after="79" w:line="240" w:lineRule="exact"/>
        <w:ind w:left="0" w:right="0" w:firstLine="0"/>
      </w:pPr>
      <w:bookmarkStart w:id="587" w:name="bookmark587"/>
      <w:r>
        <w:rPr>
          <w:lang w:val="ru-RU" w:eastAsia="ru-RU" w:bidi="ru-RU"/>
          <w:w w:val="100"/>
          <w:spacing w:val="0"/>
          <w:color w:val="000000"/>
          <w:position w:val="0"/>
        </w:rPr>
        <w:t>Хроническая постэмболическая легочная гипертензия</w:t>
      </w:r>
      <w:bookmarkEnd w:id="58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Одной из причин развития высокой легочной гипертен</w:t>
        <w:softHyphen/>
        <w:t>зии может явиться микроэмболия легочных сосудов. Хро</w:t>
        <w:softHyphen/>
        <w:t>ническая постэмболическая легочная гипертензия по кли</w:t>
        <w:softHyphen/>
        <w:t>ническим проявлениям и данным инструментального об</w:t>
        <w:softHyphen/>
        <w:t>следования практически не отличается от первичной легоч - 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Распространенность микроэмболии легких в детском возрасте не установлена.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Источниками микроэмболов могут явиться скопления клеток крови, жировые комплексы, пузырьки газа и другие компоненты тканей или инородных веществ, имеющих размеры от 15 до 250 мкм.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Микроэмболия легочных артериол может возникать при гемотрансфузиях. Источником эмболии в этом случае яв</w:t>
        <w:softHyphen/>
        <w:t>ляются тромбо-лейкоцитарные микроагрегаты. Они обра</w:t>
        <w:softHyphen/>
        <w:t>зуются в крови, находящейся вне организма (консервиро</w:t>
        <w:softHyphen/>
        <w:t>ванной крови, перфузионных системах). На начальных эта</w:t>
        <w:softHyphen/>
        <w:t>пах образование микроагрегатов связано с адгезией, агрега</w:t>
        <w:softHyphen/>
        <w:t>цией и вязким метаморфозом тромбоцитов. Со временем в состав микроагрегатов включаются фибрин, гранулоциты и эритроциты. Количество микроагрегатов зависит не толь</w:t>
        <w:softHyphen/>
        <w:t>ко от сроков хранения крови, но и от ряда других причин: индивидуальных свойств донора (пол, прием медикамен</w:t>
        <w:softHyphen/>
        <w:t>тов, наличие воспалительных процессов и пр.), способа за</w:t>
        <w:softHyphen/>
        <w:t>готовки, состава консерванта, механических и температур</w:t>
        <w:softHyphen/>
        <w:t>ных воздействий и др.</w:t>
      </w:r>
    </w:p>
    <w:p>
      <w:pPr>
        <w:pStyle w:val="Style30"/>
        <w:widowControl w:val="0"/>
        <w:keepNext w:val="0"/>
        <w:keepLines w:val="0"/>
        <w:shd w:val="clear" w:color="auto" w:fill="auto"/>
        <w:bidi w:val="0"/>
        <w:spacing w:before="0" w:after="0"/>
        <w:ind w:left="0" w:right="0" w:firstLine="280"/>
      </w:pPr>
      <w:r>
        <w:pict>
          <v:shape id="_x0000_s1622" type="#_x0000_t75" style="position:absolute;margin-left:136.9pt;margin-top:736.55pt;width:209.75pt;height:14.9pt;z-index:-125828971;mso-wrap-distance-left:136.8pt;mso-wrap-distance-right:148.1pt;mso-wrap-distance-bottom:10.8pt;mso-position-horizontal-relative:margin;mso-position-vertical-relative:margin" wrapcoords="0 0 21600 0 21600 21600 0 21600 0 0">
            <v:imagedata r:id="rId989" r:href="rId990"/>
            <w10:wrap type="topAndBottom" anchorx="margin" anchory="margin"/>
          </v:shape>
        </w:pict>
      </w:r>
      <w:r>
        <w:rPr>
          <w:lang w:val="ru-RU" w:eastAsia="ru-RU" w:bidi="ru-RU"/>
          <w:w w:val="100"/>
          <w:spacing w:val="0"/>
          <w:color w:val="000000"/>
          <w:position w:val="0"/>
        </w:rPr>
        <w:t>Газовая микроэмболия. Входными воротами для газа мо</w:t>
        <w:softHyphen/>
        <w:t>гут явиться трансфузионные и перфузионные системы в процессе их неправильной эксплуатации, поврежденные при травмах венозные синусы или сплетения, устройства для проведения пневмоперитонеума, пневмоторакса и др. У детей причиной воздушной эмболии может явиться часто используемая при реанимации и интенсивной терапии ка</w:t>
        <w:softHyphen/>
        <w:t>тетеризация подключичной вены. В связи с присасываю</w:t>
        <w:softHyphen/>
        <w:t>щим действием грудной клетки в процессе катетеризации возникает угроза засасывания атмосферного воздуха в вену. Эта опасность возрастает при гиповолемии, форсирован</w:t>
        <w:softHyphen/>
        <w:t>ном дыхании, одышке, кашле. Другой причиной попадания воздуха в кровь является внутривенное капельное введение инфузионных растворов. Мелкие пузырьки воздуха (менее</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1 мм) не всегда обнаруживаются визуально, хотя они не ме</w:t>
        <w:softHyphen/>
        <w:t>нее опасны последующими осложнениями, чем крупные воздушные эмболы.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Жировая микроэмболия легочных артериол может воз</w:t>
        <w:softHyphen/>
        <w:t>никать после травм длинных трубчатых костей при наруше</w:t>
        <w:softHyphen/>
        <w:t>ниях жирового метаболизма, синтетической функции пече</w:t>
        <w:softHyphen/>
        <w:t>ни. Высвобождение липидов в кровь при травмах обуслов</w:t>
        <w:softHyphen/>
        <w:t>лено стрессорной реакцией, при этом под действием кате</w:t>
        <w:softHyphen/>
        <w:t>холаминов и глюкокортикоидов происходит активация ли</w:t>
        <w:softHyphen/>
        <w:t>политических энзимов, которые стимулируют метаболизм и освобождение жира из депо. Липиды по каким-то причи</w:t>
        <w:softHyphen/>
        <w:t>нам не связываются с белками и поступают в кровоток в ви</w:t>
        <w:softHyphen/>
        <w:t>де неэмульгированных частиц.</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Микроэмболия легочных артериол может возникать при инфекционных заболеваниях вследствие гнойно-бактери</w:t>
        <w:softHyphen/>
        <w:t>альной микроэмболии. У детей данные осложнения наблю</w:t>
        <w:softHyphen/>
        <w:t>даются при септических процессах, инфекционном эндо</w:t>
        <w:softHyphen/>
        <w:t>кардите правосторонней локализации. В легкие заносятся из первичного очага микробные клетки, разрушенные тка</w:t>
        <w:softHyphen/>
        <w:t>ни, фибриновые массы. Следует отметить, что повреждение легких в результате микроэмболии различной природы слу</w:t>
        <w:softHyphen/>
        <w:t>жит благоприятным фоном для развития инфекционного процесса. В тех случаях, когда установить источник микро</w:t>
        <w:softHyphen/>
        <w:t>эмболизации не представляется возможным, говорят об идиопатических формах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Нарушения гемодинамики и возникновение гипертен</w:t>
        <w:softHyphen/>
        <w:t>зии в малом круге кровообращения при микроэмболии раз - личной природы определяют ряд факторов: распространен</w:t>
        <w:softHyphen/>
        <w:t>ность окклюзии сосудов, состояние системы гемостаза, ре</w:t>
        <w:softHyphen/>
        <w:t>активность сосудов легких и др. В основе повышения сосу</w:t>
        <w:softHyphen/>
        <w:t>дистого сопротивления в легких лежит несколько механиз</w:t>
        <w:softHyphen/>
        <w:t>мов, основными из которых являются механическая об</w:t>
        <w:softHyphen/>
        <w:t>струкция сосудов, вазоконстрикция, артериальная гипо- ксемия и нарушение микроциркуляции.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Множественная микроэмболизация легочных сосудов сопровождается более выраженной легочной гипертензией, чем эмболия одной либо нескольких сегментарных или до</w:t>
        <w:softHyphen/>
        <w:t>левых артерий. Вазоконстрикция обусловлена в первую очередь наличием регионарного контура сосудистой регу</w:t>
        <w:softHyphen/>
        <w:t>ляции: чувствительные рецепторы в стенке сосуда — аффе</w:t>
        <w:softHyphen/>
        <w:t>рентный нейрон — ганглий — эфферентный нейрон — гладкомышечные клетки мелких сосудов. Этот вазовагаль</w:t>
        <w:softHyphen/>
        <w:t>ный рефлекс приводит к диффузному сужению прекапил</w:t>
        <w:softHyphen/>
        <w:t>ляров, а также бронхолегочных артериовенозных анастомо</w:t>
        <w:softHyphen/>
        <w:t>зов. В дальнейшем в поддержании прессорной реакции участвуют медиаторы и биологически активные соедине</w:t>
        <w:softHyphen/>
        <w:t>ния, а также другие вазоактивные вещества. Несомненное участие в развитии гемодинамических нарушений при ми</w:t>
        <w:softHyphen/>
        <w:t>кроэмболии принимают серотонин, гистамин, катехолами</w:t>
        <w:softHyphen/>
        <w:t>ны, простагландины.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Важное патогенетическое значение при постэмболичес</w:t>
        <w:softHyphen/>
        <w:t>кой легочной гипертензии имеет низкая деформируемость эритроцитов. Она может быть обусловлена рядом факто</w:t>
        <w:softHyphen/>
        <w:t>ров: изменением соотношения поверхность/объем, холес- теринозом мембраны, угнетением синтеза АТФ, накопле</w:t>
        <w:softHyphen/>
        <w:t>нием внутриклеточного Са+2, адсорбцией на поверхност</w:t>
        <w:softHyphen/>
        <w:t>ной мембране эндотоксинов, нарушением кислотно-ще</w:t>
        <w:softHyphen/>
        <w:t>лочного состояния крови. Ригидные эритроциты теряют способность проходить через капилляры диаметром мень</w:t>
        <w:softHyphen/>
        <w:t>ше 7 мкр, окклюзируют капиллярное русло, в связи с чем ухудшается течение обменных процессов.</w:t>
      </w:r>
    </w:p>
    <w:p>
      <w:pPr>
        <w:pStyle w:val="Style92"/>
        <w:widowControl w:val="0"/>
        <w:keepNext/>
        <w:keepLines/>
        <w:shd w:val="clear" w:color="auto" w:fill="auto"/>
        <w:bidi w:val="0"/>
        <w:spacing w:before="0" w:after="0"/>
        <w:ind w:left="0" w:right="0" w:firstLine="280"/>
      </w:pPr>
      <w:r>
        <w:br w:type="column"/>
      </w:r>
      <w:bookmarkStart w:id="588" w:name="bookmark588"/>
      <w:r>
        <w:rPr>
          <w:lang w:val="ru-RU" w:eastAsia="ru-RU" w:bidi="ru-RU"/>
          <w:w w:val="100"/>
          <w:spacing w:val="0"/>
          <w:color w:val="000000"/>
          <w:position w:val="0"/>
        </w:rPr>
        <w:t>Анамнез</w:t>
      </w:r>
      <w:bookmarkEnd w:id="58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Заподозрить постэмболическую легочную гипертензию позволяют указания на возможные факторы риска микро</w:t>
        <w:softHyphen/>
        <w:t>эмболизации:</w:t>
      </w:r>
    </w:p>
    <w:p>
      <w:pPr>
        <w:pStyle w:val="Style30"/>
        <w:numPr>
          <w:ilvl w:val="0"/>
          <w:numId w:val="125"/>
        </w:numPr>
        <w:tabs>
          <w:tab w:leader="none" w:pos="50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катетеризация магистральных вен;</w:t>
      </w:r>
    </w:p>
    <w:p>
      <w:pPr>
        <w:pStyle w:val="Style30"/>
        <w:numPr>
          <w:ilvl w:val="0"/>
          <w:numId w:val="125"/>
        </w:numPr>
        <w:tabs>
          <w:tab w:leader="none" w:pos="50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переливание крови;</w:t>
      </w:r>
    </w:p>
    <w:p>
      <w:pPr>
        <w:pStyle w:val="Style30"/>
        <w:numPr>
          <w:ilvl w:val="0"/>
          <w:numId w:val="125"/>
        </w:numPr>
        <w:tabs>
          <w:tab w:leader="none" w:pos="50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травмы;</w:t>
      </w:r>
    </w:p>
    <w:p>
      <w:pPr>
        <w:pStyle w:val="Style30"/>
        <w:numPr>
          <w:ilvl w:val="0"/>
          <w:numId w:val="125"/>
        </w:numPr>
        <w:tabs>
          <w:tab w:leader="none" w:pos="50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гнойно-бактериальные заболевания, осложненные пневмонией и др.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Возникновение дыхательных расстройств при заболева</w:t>
        <w:softHyphen/>
        <w:t>ниях других органов и систем либо на фоне травм (особен</w:t>
        <w:softHyphen/>
        <w:t>но переломы трубчатых костей), ожога должно вызвать у врача подозрение о том, что в генезе этих нарушений мог</w:t>
        <w:softHyphen/>
        <w:t>ла быть микроэмболия легких. Обычно эти легочные ос</w:t>
        <w:softHyphen/>
        <w:t>ложнения развиваются через 1-5 суток с момента первич</w:t>
        <w:softHyphen/>
        <w:t>ной микроэмболии.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Нередко микроэмболическое поражение легких вообще не диагностируется, при этом заболевание изначально рас</w:t>
        <w:softHyphen/>
        <w:t>сматривается как первичная легочная гипертензия.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проявления на ранних стадиях характери</w:t>
        <w:softHyphen/>
        <w:t>зуются респираторными и гемодинамическими нарушени</w:t>
        <w:softHyphen/>
        <w:t>ями. К ним относятся одышка, цианоз, тахикардия, артери</w:t>
        <w:softHyphen/>
        <w:t>альная гипотензия.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массивной микроэмболии может возникнуть симп</w:t>
        <w:softHyphen/>
        <w:t>томатика «шокового» легкого. После проведения основно</w:t>
        <w:softHyphen/>
        <w:t>го комплекса лечебных мероприятий обычно удается сни</w:t>
        <w:softHyphen/>
        <w:t>зить уровень гемодинамических и респираторных наруше</w:t>
        <w:softHyphen/>
        <w:t>ний, заболевание переходит в латентную стадию с последу</w:t>
        <w:softHyphen/>
        <w:t>ющей трансформацией в легочную гипертензию.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и 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Показатели газового состава крови не дают возможность дифференцировать постэмболическую легочную гипертен</w:t>
        <w:softHyphen/>
        <w:t>зию от первичной легочной гипертензии. Газовый дисба</w:t>
        <w:softHyphen/>
        <w:t>ланс в виде снижения парциального давления кислорода ниже 70 мм рт. ст. на фоне гипокапнии отражает тяжесть на</w:t>
        <w:softHyphen/>
        <w:t>рушений гемодинамики и тканевой перфузии.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Радиоизотопное сканирование легких позволяет устано - вить диагноз постэмболической легочной гипертензии в случае обтурации регионарного сосуда по наличию зоны гипоперфузии не менее 5 см в диаметре. Определение мик</w:t>
        <w:softHyphen/>
        <w:t>роэмболизации с помощью данного метода весьма пробле</w:t>
        <w:softHyphen/>
        <w:t>матично вследствие естественного ослабления радиоактив</w:t>
        <w:softHyphen/>
        <w:t>ности в краевых зонах легочных полей.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Ангиопульмонография также не имеет решающего зна</w:t>
        <w:softHyphen/>
        <w:t>чения в дифференциации первичной легочной гипертен</w:t>
        <w:softHyphen/>
        <w:t>зии от постмикроэмболической формы легочной гипер</w:t>
        <w:softHyphen/>
        <w:t>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Тактика ведения больных с хронической постэмболиче</w:t>
        <w:softHyphen/>
        <w:t>ской легочной гипертензией такая же, как и при первичной легочной гипертензии (см главу).</w:t>
      </w:r>
    </w:p>
    <w:p>
      <w:pPr>
        <w:pStyle w:val="Style30"/>
        <w:widowControl w:val="0"/>
        <w:keepNext w:val="0"/>
        <w:keepLines w:val="0"/>
        <w:shd w:val="clear" w:color="auto" w:fill="auto"/>
        <w:bidi w:val="0"/>
        <w:spacing w:before="0" w:after="161"/>
        <w:ind w:left="0" w:right="0" w:firstLine="280"/>
      </w:pPr>
      <w:r>
        <w:rPr>
          <w:lang w:val="ru-RU" w:eastAsia="ru-RU" w:bidi="ru-RU"/>
          <w:w w:val="100"/>
          <w:spacing w:val="0"/>
          <w:color w:val="000000"/>
          <w:position w:val="0"/>
        </w:rPr>
        <w:t>Основное внимание следует уделять назначению анти</w:t>
        <w:softHyphen/>
        <w:t>коагулянтной терапии и средств, улучшающих микроцир</w:t>
        <w:softHyphen/>
        <w:t>куляцию в легких.</w:t>
      </w:r>
    </w:p>
    <w:p>
      <w:pPr>
        <w:pStyle w:val="Style48"/>
        <w:widowControl w:val="0"/>
        <w:keepNext/>
        <w:keepLines/>
        <w:shd w:val="clear" w:color="auto" w:fill="auto"/>
        <w:bidi w:val="0"/>
        <w:jc w:val="left"/>
        <w:spacing w:before="0" w:after="84" w:line="240" w:lineRule="exact"/>
        <w:ind w:left="0" w:right="0" w:firstLine="0"/>
      </w:pPr>
      <w:bookmarkStart w:id="589" w:name="bookmark589"/>
      <w:r>
        <w:rPr>
          <w:lang w:val="ru-RU" w:eastAsia="ru-RU" w:bidi="ru-RU"/>
          <w:w w:val="100"/>
          <w:spacing w:val="0"/>
          <w:color w:val="000000"/>
          <w:position w:val="0"/>
        </w:rPr>
        <w:t>Легочная гипертензия при наследственных формах тромбоэмболических заболеваний</w:t>
      </w:r>
      <w:bookmarkEnd w:id="589"/>
    </w:p>
    <w:p>
      <w:pPr>
        <w:pStyle w:val="Style54"/>
        <w:widowControl w:val="0"/>
        <w:keepNext/>
        <w:keepLines/>
        <w:shd w:val="clear" w:color="auto" w:fill="auto"/>
        <w:bidi w:val="0"/>
        <w:jc w:val="left"/>
        <w:spacing w:before="0" w:after="0" w:line="210" w:lineRule="exact"/>
        <w:ind w:left="0" w:right="0" w:firstLine="0"/>
      </w:pPr>
      <w:bookmarkStart w:id="590" w:name="bookmark590"/>
      <w:r>
        <w:rPr>
          <w:lang w:val="ru-RU" w:eastAsia="ru-RU" w:bidi="ru-RU"/>
          <w:w w:val="100"/>
          <w:spacing w:val="0"/>
          <w:color w:val="000000"/>
          <w:position w:val="0"/>
        </w:rPr>
        <w:t xml:space="preserve">Дефицит протеина </w:t>
      </w:r>
      <w:r>
        <w:rPr>
          <w:lang w:val="en-US" w:eastAsia="en-US" w:bidi="en-US"/>
          <w:w w:val="100"/>
          <w:spacing w:val="0"/>
          <w:color w:val="000000"/>
          <w:position w:val="0"/>
        </w:rPr>
        <w:t>C</w:t>
      </w:r>
      <w:bookmarkEnd w:id="590"/>
    </w:p>
    <w:p>
      <w:pPr>
        <w:pStyle w:val="Style30"/>
        <w:widowControl w:val="0"/>
        <w:keepNext w:val="0"/>
        <w:keepLines w:val="0"/>
        <w:shd w:val="clear" w:color="auto" w:fill="auto"/>
        <w:bidi w:val="0"/>
        <w:spacing w:before="0" w:after="0"/>
        <w:ind w:left="0" w:right="0" w:firstLine="280"/>
      </w:pPr>
      <w:r>
        <w:pict>
          <v:shape id="_x0000_s1623" type="#_x0000_t75" style="position:absolute;margin-left:148.3pt;margin-top:736.55pt;width:209.75pt;height:14.9pt;z-index:-125828970;mso-wrap-distance-left:148.1pt;mso-wrap-distance-right:136.55pt;mso-wrap-distance-bottom:10.8pt;mso-position-horizontal-relative:margin;mso-position-vertical-relative:margin" wrapcoords="0 0 21600 0 21600 21600 0 21600 0 0">
            <v:imagedata r:id="rId991" r:href="rId992"/>
            <w10:wrap type="topAndBottom" anchorx="margin" anchory="margin"/>
          </v:shape>
        </w:pict>
      </w:r>
      <w:r>
        <w:rPr>
          <w:lang w:val="ru-RU" w:eastAsia="ru-RU" w:bidi="ru-RU"/>
          <w:w w:val="100"/>
          <w:spacing w:val="0"/>
          <w:color w:val="000000"/>
          <w:position w:val="0"/>
        </w:rPr>
        <w:t>Протеин С является физиологическим ингибитором свертывания крови, инактивирует V и VIII коагуляционные</w:t>
      </w:r>
      <w:r>
        <w:br w:type="page"/>
      </w:r>
    </w:p>
    <w:p>
      <w:pPr>
        <w:pStyle w:val="Style30"/>
        <w:widowControl w:val="0"/>
        <w:keepNext w:val="0"/>
        <w:keepLines w:val="0"/>
        <w:shd w:val="clear" w:color="auto" w:fill="auto"/>
        <w:bidi w:val="0"/>
        <w:jc w:val="right"/>
        <w:spacing w:before="0" w:after="0"/>
        <w:ind w:left="0" w:right="0" w:firstLine="0"/>
      </w:pPr>
      <w:r>
        <w:rPr>
          <w:lang w:val="ru-RU" w:eastAsia="ru-RU" w:bidi="ru-RU"/>
          <w:w w:val="100"/>
          <w:spacing w:val="0"/>
          <w:color w:val="000000"/>
          <w:position w:val="0"/>
        </w:rPr>
        <w:t>факторы. Под дефицитом протеина С понимают снижение его уровня в крови менее 65% от долженствующего уровня.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не зависит от величины де</w:t>
        <w:softHyphen/>
        <w:t>фицита протеина С, у гетерозигот проявляется ранним воз</w:t>
        <w:softHyphen/>
        <w:t>никновением тромбоэмболических эпизодов. Как правило, имеет место венозная тромбоэмболия и редко — артериаль</w:t>
        <w:softHyphen/>
        <w:t>ная. Микротромбоз проявляется наличием мелких подкож</w:t>
        <w:softHyphen/>
        <w:t>ных узелков на фоне голубоватого оттенка кожи.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неонатальном периоде у гетерозигот дефицит протеи</w:t>
        <w:softHyphen/>
        <w:t>на С более 50% может обусловить тромбоз портальной ве</w:t>
        <w:softHyphen/>
        <w:t>ны, особенно в случае катетеризации пупочной вены и об</w:t>
        <w:softHyphen/>
        <w:t>менных гемотрансфузий. У гомозигот в неонатальном пе</w:t>
        <w:softHyphen/>
        <w:t xml:space="preserve">риоде развивается катастрофический тромбоз — </w:t>
      </w:r>
      <w:r>
        <w:rPr>
          <w:lang w:val="en-US" w:eastAsia="en-US" w:bidi="en-US"/>
          <w:w w:val="100"/>
          <w:spacing w:val="0"/>
          <w:color w:val="000000"/>
          <w:position w:val="0"/>
        </w:rPr>
        <w:t xml:space="preserve">purpura fulminans, </w:t>
      </w:r>
      <w:r>
        <w:rPr>
          <w:lang w:val="ru-RU" w:eastAsia="ru-RU" w:bidi="ru-RU"/>
          <w:w w:val="100"/>
          <w:spacing w:val="0"/>
          <w:color w:val="000000"/>
          <w:position w:val="0"/>
        </w:rPr>
        <w:t>выживаемость их возможна только при замести</w:t>
        <w:softHyphen/>
        <w:t>тельной терапии протеином 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и профилактика заключается в назначении гепа</w:t>
        <w:softHyphen/>
        <w:t>рина и антивитамин К содержащих препаратов.</w:t>
      </w:r>
    </w:p>
    <w:p>
      <w:pPr>
        <w:pStyle w:val="Style30"/>
        <w:widowControl w:val="0"/>
        <w:keepNext w:val="0"/>
        <w:keepLines w:val="0"/>
        <w:shd w:val="clear" w:color="auto" w:fill="auto"/>
        <w:bidi w:val="0"/>
        <w:spacing w:before="0" w:after="125"/>
        <w:ind w:left="0" w:right="0" w:firstLine="280"/>
      </w:pPr>
      <w:r>
        <w:rPr>
          <w:lang w:val="ru-RU" w:eastAsia="ru-RU" w:bidi="ru-RU"/>
          <w:w w:val="100"/>
          <w:spacing w:val="0"/>
          <w:color w:val="000000"/>
          <w:position w:val="0"/>
        </w:rPr>
        <w:t>Тип наследования — аутосомно-доминантный.</w:t>
      </w:r>
    </w:p>
    <w:p>
      <w:pPr>
        <w:pStyle w:val="Style54"/>
        <w:widowControl w:val="0"/>
        <w:keepNext/>
        <w:keepLines/>
        <w:shd w:val="clear" w:color="auto" w:fill="auto"/>
        <w:bidi w:val="0"/>
        <w:jc w:val="left"/>
        <w:spacing w:before="0" w:after="39" w:line="210" w:lineRule="exact"/>
        <w:ind w:left="0" w:right="0" w:firstLine="0"/>
      </w:pPr>
      <w:bookmarkStart w:id="591" w:name="bookmark591"/>
      <w:r>
        <w:rPr>
          <w:lang w:val="ru-RU" w:eastAsia="ru-RU" w:bidi="ru-RU"/>
          <w:w w:val="100"/>
          <w:spacing w:val="0"/>
          <w:color w:val="000000"/>
          <w:position w:val="0"/>
        </w:rPr>
        <w:t xml:space="preserve">Дефицит протеина </w:t>
      </w:r>
      <w:r>
        <w:rPr>
          <w:lang w:val="en-US" w:eastAsia="en-US" w:bidi="en-US"/>
          <w:w w:val="100"/>
          <w:spacing w:val="0"/>
          <w:color w:val="000000"/>
          <w:position w:val="0"/>
        </w:rPr>
        <w:t>S</w:t>
      </w:r>
      <w:bookmarkEnd w:id="59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Протеин </w:t>
      </w:r>
      <w:r>
        <w:rPr>
          <w:lang w:val="en-US" w:eastAsia="en-US" w:bidi="en-US"/>
          <w:w w:val="100"/>
          <w:spacing w:val="0"/>
          <w:color w:val="000000"/>
          <w:position w:val="0"/>
        </w:rPr>
        <w:t xml:space="preserve">S </w:t>
      </w:r>
      <w:r>
        <w:rPr>
          <w:lang w:val="ru-RU" w:eastAsia="ru-RU" w:bidi="ru-RU"/>
          <w:w w:val="100"/>
          <w:spacing w:val="0"/>
          <w:color w:val="000000"/>
          <w:position w:val="0"/>
        </w:rPr>
        <w:t>является естественным антикоагулянтом, вита</w:t>
        <w:softHyphen/>
        <w:t>мин К зависящий кофактор антитромботической активности и активатор протеина С. Данный протеин выполняет важную роль в регуляции свертываемости крови и фибринолизе.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проявляется тромбозом глу</w:t>
        <w:softHyphen/>
        <w:t xml:space="preserve">боких вен, тромбофлебитами, тромбозом портальной вены, мезентериальных вен, тромбоэмболией в систему легочной артерии. Тромботические осложнения типичны в детском возрасте, начиная с 2 лет. В отличие от дефицита протеина С при дефиците протеина </w:t>
      </w:r>
      <w:r>
        <w:rPr>
          <w:lang w:val="en-US" w:eastAsia="en-US" w:bidi="en-US"/>
          <w:w w:val="100"/>
          <w:spacing w:val="0"/>
          <w:color w:val="000000"/>
          <w:position w:val="0"/>
        </w:rPr>
        <w:t xml:space="preserve">S </w:t>
      </w:r>
      <w:r>
        <w:rPr>
          <w:lang w:val="ru-RU" w:eastAsia="ru-RU" w:bidi="ru-RU"/>
          <w:w w:val="100"/>
          <w:spacing w:val="0"/>
          <w:color w:val="000000"/>
          <w:position w:val="0"/>
        </w:rPr>
        <w:t>чаще наблюдаются артериаль</w:t>
        <w:softHyphen/>
        <w:t>ные тромбозы.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и профилактика. Для предупреждения тромбо</w:t>
        <w:softHyphen/>
        <w:t>зов рекомендуется длительное использование антикоагу</w:t>
        <w:softHyphen/>
        <w:t>лянтов.</w:t>
      </w:r>
    </w:p>
    <w:p>
      <w:pPr>
        <w:pStyle w:val="Style30"/>
        <w:widowControl w:val="0"/>
        <w:keepNext w:val="0"/>
        <w:keepLines w:val="0"/>
        <w:shd w:val="clear" w:color="auto" w:fill="auto"/>
        <w:bidi w:val="0"/>
        <w:spacing w:before="0" w:after="125"/>
        <w:ind w:left="0" w:right="0" w:firstLine="280"/>
      </w:pPr>
      <w:r>
        <w:rPr>
          <w:lang w:val="ru-RU" w:eastAsia="ru-RU" w:bidi="ru-RU"/>
          <w:w w:val="100"/>
          <w:spacing w:val="0"/>
          <w:color w:val="000000"/>
          <w:position w:val="0"/>
        </w:rPr>
        <w:t>Тип наследования — аутосомно-доминантный.</w:t>
      </w:r>
    </w:p>
    <w:p>
      <w:pPr>
        <w:pStyle w:val="Style54"/>
        <w:widowControl w:val="0"/>
        <w:keepNext/>
        <w:keepLines/>
        <w:shd w:val="clear" w:color="auto" w:fill="auto"/>
        <w:bidi w:val="0"/>
        <w:jc w:val="left"/>
        <w:spacing w:before="0" w:after="39" w:line="210" w:lineRule="exact"/>
        <w:ind w:left="0" w:right="0" w:firstLine="0"/>
      </w:pPr>
      <w:bookmarkStart w:id="592" w:name="bookmark592"/>
      <w:r>
        <w:rPr>
          <w:lang w:val="ru-RU" w:eastAsia="ru-RU" w:bidi="ru-RU"/>
          <w:w w:val="100"/>
          <w:spacing w:val="0"/>
          <w:color w:val="000000"/>
          <w:position w:val="0"/>
        </w:rPr>
        <w:t>Дефицит антитромбина III</w:t>
      </w:r>
      <w:bookmarkEnd w:id="59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включает тромботические (тромбоз глубоких вен, портальной системы), тромбоэмбо</w:t>
        <w:softHyphen/>
        <w:t>лические (легочные) проявления. Провоцирующими тром</w:t>
        <w:softHyphen/>
        <w:t>боэмболию факторами являются: интеркурентная инфек</w:t>
        <w:softHyphen/>
        <w:t>ция, травмы, беременность. Выделяют несколько типов де</w:t>
        <w:softHyphen/>
        <w:t xml:space="preserve">фицита антитромбина </w:t>
      </w:r>
      <w:r>
        <w:rPr>
          <w:lang w:val="en-US" w:eastAsia="en-US" w:bidi="en-US"/>
          <w:w w:val="100"/>
          <w:spacing w:val="0"/>
          <w:color w:val="000000"/>
          <w:position w:val="0"/>
        </w:rPr>
        <w:t xml:space="preserve">III: </w:t>
      </w:r>
      <w:r>
        <w:rPr>
          <w:lang w:val="ru-RU" w:eastAsia="ru-RU" w:bidi="ru-RU"/>
          <w:w w:val="100"/>
          <w:spacing w:val="0"/>
          <w:color w:val="000000"/>
          <w:position w:val="0"/>
        </w:rPr>
        <w:t>при лабораторном исследовании рутинные показатели свертывающей системы крови нор</w:t>
        <w:softHyphen/>
        <w:t xml:space="preserve">мальные, снижена активность антитромбина III и уровень антигена антитромбина </w:t>
      </w:r>
      <w:r>
        <w:rPr>
          <w:lang w:val="en-US" w:eastAsia="en-US" w:bidi="en-US"/>
          <w:w w:val="100"/>
          <w:spacing w:val="0"/>
          <w:color w:val="000000"/>
          <w:position w:val="0"/>
        </w:rPr>
        <w:t>III.</w:t>
      </w:r>
    </w:p>
    <w:p>
      <w:pPr>
        <w:pStyle w:val="Style30"/>
        <w:widowControl w:val="0"/>
        <w:keepNext w:val="0"/>
        <w:keepLines w:val="0"/>
        <w:shd w:val="clear" w:color="auto" w:fill="auto"/>
        <w:bidi w:val="0"/>
        <w:spacing w:before="0" w:after="125"/>
        <w:ind w:left="0" w:right="0" w:firstLine="280"/>
      </w:pPr>
      <w:r>
        <w:rPr>
          <w:lang w:val="ru-RU" w:eastAsia="ru-RU" w:bidi="ru-RU"/>
          <w:w w:val="100"/>
          <w:spacing w:val="0"/>
          <w:color w:val="000000"/>
          <w:position w:val="0"/>
        </w:rPr>
        <w:t>Тип наследования — аутосомно-доминантный.</w:t>
      </w:r>
    </w:p>
    <w:p>
      <w:pPr>
        <w:pStyle w:val="Style54"/>
        <w:widowControl w:val="0"/>
        <w:keepNext/>
        <w:keepLines/>
        <w:shd w:val="clear" w:color="auto" w:fill="auto"/>
        <w:bidi w:val="0"/>
        <w:jc w:val="left"/>
        <w:spacing w:before="0" w:after="39" w:line="210" w:lineRule="exact"/>
        <w:ind w:left="0" w:right="0" w:firstLine="0"/>
      </w:pPr>
      <w:bookmarkStart w:id="593" w:name="bookmark593"/>
      <w:r>
        <w:rPr>
          <w:lang w:val="ru-RU" w:eastAsia="ru-RU" w:bidi="ru-RU"/>
          <w:w w:val="100"/>
          <w:spacing w:val="0"/>
          <w:color w:val="000000"/>
          <w:position w:val="0"/>
        </w:rPr>
        <w:t>Дефицит цистатионин синтетазы</w:t>
      </w:r>
      <w:bookmarkEnd w:id="593"/>
    </w:p>
    <w:p>
      <w:pPr>
        <w:pStyle w:val="Style30"/>
        <w:widowControl w:val="0"/>
        <w:keepNext w:val="0"/>
        <w:keepLines w:val="0"/>
        <w:shd w:val="clear" w:color="auto" w:fill="auto"/>
        <w:bidi w:val="0"/>
        <w:spacing w:before="0" w:after="125"/>
        <w:ind w:left="0" w:right="0" w:firstLine="280"/>
      </w:pPr>
      <w:r>
        <w:rPr>
          <w:lang w:val="ru-RU" w:eastAsia="ru-RU" w:bidi="ru-RU"/>
          <w:w w:val="100"/>
          <w:spacing w:val="0"/>
          <w:color w:val="000000"/>
          <w:position w:val="0"/>
        </w:rPr>
        <w:t>Клиническая симптоматика при данной форме гомоцис- тинурии, особенно у гомозигот, обусловлена предрасполо</w:t>
        <w:softHyphen/>
        <w:t>женностью к различным тромбоэмболическим проявлени</w:t>
        <w:softHyphen/>
        <w:t>ям и раннему развитию атеросклеротического процесса. У гетерозигот наблюдается артериальная окклюзия, приво</w:t>
        <w:softHyphen/>
        <w:t>дящая к раннему возникновению вазоренальной гипертен</w:t>
        <w:softHyphen/>
        <w:t>зии, цереброваскулярной патологии, инфаркту миокарда.</w:t>
      </w:r>
    </w:p>
    <w:p>
      <w:pPr>
        <w:pStyle w:val="Style54"/>
        <w:widowControl w:val="0"/>
        <w:keepNext/>
        <w:keepLines/>
        <w:shd w:val="clear" w:color="auto" w:fill="auto"/>
        <w:bidi w:val="0"/>
        <w:jc w:val="left"/>
        <w:spacing w:before="0" w:after="35" w:line="210" w:lineRule="exact"/>
        <w:ind w:left="0" w:right="0" w:firstLine="0"/>
      </w:pPr>
      <w:bookmarkStart w:id="594" w:name="bookmark594"/>
      <w:r>
        <w:rPr>
          <w:lang w:val="ru-RU" w:eastAsia="ru-RU" w:bidi="ru-RU"/>
          <w:w w:val="100"/>
          <w:spacing w:val="0"/>
          <w:color w:val="000000"/>
          <w:position w:val="0"/>
        </w:rPr>
        <w:t>Семейная дисфибриногенемия</w:t>
      </w:r>
      <w:bookmarkEnd w:id="594"/>
    </w:p>
    <w:p>
      <w:pPr>
        <w:pStyle w:val="Style92"/>
        <w:widowControl w:val="0"/>
        <w:keepNext/>
        <w:keepLines/>
        <w:shd w:val="clear" w:color="auto" w:fill="auto"/>
        <w:bidi w:val="0"/>
        <w:spacing w:before="0" w:after="0"/>
        <w:ind w:left="0" w:right="0" w:firstLine="280"/>
      </w:pPr>
      <w:bookmarkStart w:id="595" w:name="bookmark595"/>
      <w:r>
        <w:rPr>
          <w:lang w:val="ru-RU" w:eastAsia="ru-RU" w:bidi="ru-RU"/>
          <w:w w:val="100"/>
          <w:spacing w:val="0"/>
          <w:color w:val="000000"/>
          <w:position w:val="0"/>
        </w:rPr>
        <w:t>Клиническая симптоматика</w:t>
      </w:r>
      <w:bookmarkEnd w:id="595"/>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Обычно заболевание протекает латентно. У лиц с семей</w:t>
        <w:softHyphen/>
        <w:t>ной дисфибриногенемией имеется склонность к тромбооб</w:t>
        <w:softHyphen/>
        <w:br w:type="column"/>
        <w:t>разованию благодаря ускоренной конверсии фибриногена в стабилизированный фибрин.</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Тип наследования — аутосомно-доминантный.</w:t>
      </w:r>
    </w:p>
    <w:p>
      <w:pPr>
        <w:pStyle w:val="Style54"/>
        <w:widowControl w:val="0"/>
        <w:keepNext/>
        <w:keepLines/>
        <w:shd w:val="clear" w:color="auto" w:fill="auto"/>
        <w:bidi w:val="0"/>
        <w:jc w:val="left"/>
        <w:spacing w:before="0" w:after="95" w:line="210" w:lineRule="exact"/>
        <w:ind w:left="0" w:right="0" w:firstLine="0"/>
      </w:pPr>
      <w:bookmarkStart w:id="596" w:name="bookmark596"/>
      <w:r>
        <w:rPr>
          <w:lang w:val="ru-RU" w:eastAsia="ru-RU" w:bidi="ru-RU"/>
          <w:w w:val="100"/>
          <w:spacing w:val="0"/>
          <w:color w:val="000000"/>
          <w:position w:val="0"/>
        </w:rPr>
        <w:t>Врожденная аномалия плазминогена</w:t>
      </w:r>
      <w:bookmarkEnd w:id="596"/>
    </w:p>
    <w:p>
      <w:pPr>
        <w:pStyle w:val="Style92"/>
        <w:widowControl w:val="0"/>
        <w:keepNext/>
        <w:keepLines/>
        <w:shd w:val="clear" w:color="auto" w:fill="auto"/>
        <w:bidi w:val="0"/>
        <w:spacing w:before="0" w:after="0"/>
        <w:ind w:left="0" w:right="0" w:firstLine="280"/>
      </w:pPr>
      <w:bookmarkStart w:id="597" w:name="bookmark597"/>
      <w:r>
        <w:rPr>
          <w:lang w:val="ru-RU" w:eastAsia="ru-RU" w:bidi="ru-RU"/>
          <w:w w:val="100"/>
          <w:spacing w:val="0"/>
          <w:color w:val="000000"/>
          <w:position w:val="0"/>
        </w:rPr>
        <w:t>Клиническая симптоматика</w:t>
      </w:r>
      <w:bookmarkEnd w:id="59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Имеет место склонность к повторным тромбозам глубо</w:t>
        <w:softHyphen/>
        <w:t>ких вен. Чаще всего в процесс вовлекаются портальные, ме</w:t>
        <w:softHyphen/>
        <w:t>зентериальные и подключичные вены. Артериальные тром</w:t>
        <w:softHyphen/>
        <w:t>бозы не характерны. Обычные гемостатические тесты в пределах нормы, снижен уровень общего плазмина, выяв</w:t>
        <w:softHyphen/>
        <w:t>ляется плазминоген с нарушенной функциональной актив</w:t>
        <w:softHyphen/>
        <w:t>ностью.</w:t>
      </w:r>
    </w:p>
    <w:p>
      <w:pPr>
        <w:pStyle w:val="Style30"/>
        <w:widowControl w:val="0"/>
        <w:keepNext w:val="0"/>
        <w:keepLines w:val="0"/>
        <w:shd w:val="clear" w:color="auto" w:fill="auto"/>
        <w:bidi w:val="0"/>
        <w:spacing w:before="0" w:after="161"/>
        <w:ind w:left="0" w:right="0" w:firstLine="280"/>
      </w:pPr>
      <w:r>
        <w:rPr>
          <w:lang w:val="ru-RU" w:eastAsia="ru-RU" w:bidi="ru-RU"/>
          <w:w w:val="100"/>
          <w:spacing w:val="0"/>
          <w:color w:val="000000"/>
          <w:position w:val="0"/>
        </w:rPr>
        <w:t>Тип наследования — аутосомно-доминантный.</w:t>
      </w:r>
    </w:p>
    <w:p>
      <w:pPr>
        <w:pStyle w:val="Style48"/>
        <w:widowControl w:val="0"/>
        <w:keepNext/>
        <w:keepLines/>
        <w:shd w:val="clear" w:color="auto" w:fill="auto"/>
        <w:bidi w:val="0"/>
        <w:jc w:val="left"/>
        <w:spacing w:before="0" w:after="0" w:line="240" w:lineRule="exact"/>
        <w:ind w:left="0" w:right="0" w:firstLine="0"/>
      </w:pPr>
      <w:bookmarkStart w:id="598" w:name="bookmark598"/>
      <w:r>
        <w:rPr>
          <w:lang w:val="ru-RU" w:eastAsia="ru-RU" w:bidi="ru-RU"/>
          <w:w w:val="100"/>
          <w:spacing w:val="0"/>
          <w:color w:val="000000"/>
          <w:position w:val="0"/>
        </w:rPr>
        <w:t>Легочная гипертензия при артериовенозных свищах легких</w:t>
      </w:r>
      <w:bookmarkEnd w:id="59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артериовенозных свищах легких (сообщение между артериями и венами малого круга кровообращения) проис</w:t>
        <w:softHyphen/>
        <w:t>ходит значительный сброс венозной крови в артериальное русло, чаще в нижних долях легких. Основные клинические симптомы: одышка, цианоз, положительный симптом ча</w:t>
        <w:softHyphen/>
        <w:t>совых стекол и барабанных палочек, над легкими выслуши</w:t>
        <w:softHyphen/>
        <w:t>вается систоло-диастолический шум. Больные страдают обмороками, носовыми кровотечениями, кровохарканьем, в анализах крови — полицитемия.</w:t>
      </w:r>
    </w:p>
    <w:p>
      <w:pPr>
        <w:pStyle w:val="Style30"/>
        <w:widowControl w:val="0"/>
        <w:keepNext w:val="0"/>
        <w:keepLines w:val="0"/>
        <w:shd w:val="clear" w:color="auto" w:fill="auto"/>
        <w:bidi w:val="0"/>
        <w:spacing w:before="0" w:after="193"/>
        <w:ind w:left="0" w:right="0" w:firstLine="280"/>
      </w:pPr>
      <w:r>
        <w:rPr>
          <w:lang w:val="ru-RU" w:eastAsia="ru-RU" w:bidi="ru-RU"/>
          <w:w w:val="100"/>
          <w:spacing w:val="0"/>
          <w:color w:val="000000"/>
          <w:position w:val="0"/>
        </w:rPr>
        <w:t>На рентгенограмме легких — множественные группы плотных теней округлой формы с извилистыми дорожка</w:t>
        <w:softHyphen/>
        <w:t>ми, связанными с корнем легкого («картина кометы»). Ди</w:t>
        <w:softHyphen/>
        <w:t>агноз устанавливается при ангиопульмонографии.</w:t>
      </w:r>
    </w:p>
    <w:p>
      <w:pPr>
        <w:pStyle w:val="Style48"/>
        <w:widowControl w:val="0"/>
        <w:keepNext/>
        <w:keepLines/>
        <w:shd w:val="clear" w:color="auto" w:fill="auto"/>
        <w:bidi w:val="0"/>
        <w:jc w:val="left"/>
        <w:spacing w:before="0" w:after="79" w:line="200" w:lineRule="exact"/>
        <w:ind w:left="0" w:right="0" w:firstLine="0"/>
      </w:pPr>
      <w:bookmarkStart w:id="599" w:name="bookmark599"/>
      <w:r>
        <w:rPr>
          <w:lang w:val="ru-RU" w:eastAsia="ru-RU" w:bidi="ru-RU"/>
          <w:w w:val="100"/>
          <w:spacing w:val="0"/>
          <w:color w:val="000000"/>
          <w:position w:val="0"/>
        </w:rPr>
        <w:t>Легочная гипертензия при васкулитах</w:t>
      </w:r>
      <w:bookmarkEnd w:id="599"/>
    </w:p>
    <w:p>
      <w:pPr>
        <w:pStyle w:val="Style54"/>
        <w:widowControl w:val="0"/>
        <w:keepNext/>
        <w:keepLines/>
        <w:shd w:val="clear" w:color="auto" w:fill="auto"/>
        <w:bidi w:val="0"/>
        <w:jc w:val="left"/>
        <w:spacing w:before="0" w:after="0" w:line="269" w:lineRule="exact"/>
        <w:ind w:left="0" w:right="0" w:firstLine="0"/>
      </w:pPr>
      <w:bookmarkStart w:id="600" w:name="bookmark600"/>
      <w:r>
        <w:rPr>
          <w:lang w:val="ru-RU" w:eastAsia="ru-RU" w:bidi="ru-RU"/>
          <w:w w:val="100"/>
          <w:spacing w:val="0"/>
          <w:color w:val="000000"/>
          <w:position w:val="0"/>
        </w:rPr>
        <w:t>Легочная гипертензия при системной красной волчанке</w:t>
      </w:r>
      <w:bookmarkEnd w:id="60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соответствии с современными представлениями сис</w:t>
        <w:softHyphen/>
        <w:t>темную красную волчанку можно определить как хрониче</w:t>
        <w:softHyphen/>
        <w:t>ское полисиндромное заболевание, развивающееся на фо</w:t>
        <w:softHyphen/>
        <w:t>не генетически обусловленного несовершенства иммуноре</w:t>
        <w:softHyphen/>
        <w:t>гуляторных процессов, приводящего к неконтролируемой продукции антител к соответственным клеткам и их компо - нентам, с развитием аутоиммунного и иммунокомплексно</w:t>
        <w:softHyphen/>
        <w:t>го хронического воспаления.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Гистологические данные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Возникновение легочной гипертензии при системной красной волчанке связано с поражением паренхимы лег</w:t>
        <w:softHyphen/>
        <w:t>ких — люпус-пневмонитом. Морфологически в легких оп</w:t>
        <w:softHyphen/>
        <w:t>ределяется утолщение альвеолярных перегородок за счет фибриноидного набухания, инфильтации их лимфоцитами и пролиферации септальных клеток. Такой интерстициаль</w:t>
        <w:softHyphen/>
        <w:t>ный пневмонит при системной красной волчанке развива</w:t>
        <w:softHyphen/>
        <w:t>ется обычно на 2-4 году болезни и проявляется в первую очередь дыхательной недостаточностью.</w:t>
      </w:r>
    </w:p>
    <w:p>
      <w:pPr>
        <w:pStyle w:val="Style30"/>
        <w:widowControl w:val="0"/>
        <w:keepNext w:val="0"/>
        <w:keepLines w:val="0"/>
        <w:shd w:val="clear" w:color="auto" w:fill="auto"/>
        <w:bidi w:val="0"/>
        <w:spacing w:before="0" w:after="0"/>
        <w:ind w:left="0" w:right="0" w:firstLine="280"/>
      </w:pPr>
      <w:r>
        <w:pict>
          <v:shape id="_x0000_s1624" type="#_x0000_t75" style="position:absolute;margin-left:136.9pt;margin-top:736.55pt;width:209.75pt;height:14.9pt;z-index:-125828969;mso-wrap-distance-left:136.8pt;mso-wrap-distance-right:148.1pt;mso-wrap-distance-bottom:10.8pt;mso-position-horizontal-relative:margin;mso-position-vertical-relative:margin" wrapcoords="0 0 21600 0 21600 21600 0 21600 0 0">
            <v:imagedata r:id="rId993" r:href="rId994"/>
            <w10:wrap type="topAndBottom" anchorx="margin" anchory="margin"/>
          </v:shape>
        </w:pict>
      </w:r>
      <w:r>
        <w:rPr>
          <w:lang w:val="ru-RU" w:eastAsia="ru-RU" w:bidi="ru-RU"/>
          <w:w w:val="100"/>
          <w:spacing w:val="0"/>
          <w:color w:val="000000"/>
          <w:position w:val="0"/>
        </w:rPr>
        <w:t xml:space="preserve">В 1975 году </w:t>
      </w:r>
      <w:r>
        <w:rPr>
          <w:lang w:val="en-US" w:eastAsia="en-US" w:bidi="en-US"/>
          <w:w w:val="100"/>
          <w:spacing w:val="0"/>
          <w:color w:val="000000"/>
          <w:position w:val="0"/>
        </w:rPr>
        <w:t xml:space="preserve">N.Kanemoto at al. </w:t>
      </w:r>
      <w:r>
        <w:rPr>
          <w:lang w:val="ru-RU" w:eastAsia="ru-RU" w:bidi="ru-RU"/>
          <w:w w:val="100"/>
          <w:spacing w:val="0"/>
          <w:color w:val="000000"/>
          <w:position w:val="0"/>
        </w:rPr>
        <w:t>описали 2 случая высокой легочной гипертензии в сочетании с синдромом Рейно у больных системной красной волчанкой без каких-либо интерстициальных изменений в легких. Об аналогичных случаях возникновения высокой легочной гипертензии со</w:t>
        <w:softHyphen/>
        <w:t xml:space="preserve">общено при прогрессирующем системном склерозе, </w:t>
      </w:r>
      <w:r>
        <w:rPr>
          <w:lang w:val="en-US" w:eastAsia="en-US" w:bidi="en-US"/>
          <w:w w:val="100"/>
          <w:spacing w:val="0"/>
          <w:color w:val="000000"/>
          <w:position w:val="0"/>
        </w:rPr>
        <w:t>CREST</w:t>
      </w:r>
      <w:r>
        <w:rPr>
          <w:lang w:val="ru-RU" w:eastAsia="ru-RU" w:bidi="ru-RU"/>
          <w:w w:val="100"/>
          <w:spacing w:val="0"/>
          <w:color w:val="000000"/>
          <w:position w:val="0"/>
        </w:rPr>
        <w:t>-синдроме (кальциноз, феномен Рейно, эзофагаль-</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ная дисфункция, склеродактилия, телеангиоэктазия), дер</w:t>
        <w:softHyphen/>
        <w:t>матомиозите.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Гистологические исследования, проведенные </w:t>
      </w:r>
      <w:r>
        <w:rPr>
          <w:lang w:val="en-US" w:eastAsia="en-US" w:bidi="en-US"/>
          <w:w w:val="100"/>
          <w:spacing w:val="0"/>
          <w:color w:val="000000"/>
          <w:position w:val="0"/>
        </w:rPr>
        <w:t xml:space="preserve">J.Brentjens et al., </w:t>
      </w:r>
      <w:r>
        <w:rPr>
          <w:lang w:val="ru-RU" w:eastAsia="ru-RU" w:bidi="ru-RU"/>
          <w:w w:val="100"/>
          <w:spacing w:val="0"/>
          <w:color w:val="000000"/>
          <w:position w:val="0"/>
        </w:rPr>
        <w:t>позволили у больных системной красной волчанкой обнаружить в мелких сосудах легких депозиты иммуногло</w:t>
        <w:softHyphen/>
        <w:t xml:space="preserve">булинов и комплемента. </w:t>
      </w:r>
      <w:r>
        <w:rPr>
          <w:lang w:val="en-US" w:eastAsia="en-US" w:bidi="en-US"/>
          <w:w w:val="100"/>
          <w:spacing w:val="0"/>
          <w:color w:val="000000"/>
          <w:position w:val="0"/>
        </w:rPr>
        <w:t xml:space="preserve">A.O.Fayemi </w:t>
      </w:r>
      <w:r>
        <w:rPr>
          <w:lang w:val="ru-RU" w:eastAsia="ru-RU" w:bidi="ru-RU"/>
          <w:w w:val="100"/>
          <w:spacing w:val="0"/>
          <w:color w:val="000000"/>
          <w:position w:val="0"/>
        </w:rPr>
        <w:t>у 8 из 20 больных сис</w:t>
        <w:softHyphen/>
        <w:t>темной красной волчанкой выявил выраженные изменения в сосудах легких, включающие артериолярный фибриноид</w:t>
        <w:softHyphen/>
        <w:t>ный некроз, острый васкулит с лимфоцитарной инфильт</w:t>
        <w:softHyphen/>
        <w:t>рацией и фибриноидный некроз мышечных артерий лег</w:t>
        <w:softHyphen/>
        <w:t>ких. Указанные гистологические изменения убедительно свидетельствуют о том, что легочная гипертензия у больных системной красной волчанкой связана с васкулитом.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Характерно, что в клинической картине болезни на первое место выступают проявления легочной гипертен</w:t>
        <w:softHyphen/>
        <w:t>зии: одышка, синкопе, правожелудочковая недостаточ</w:t>
        <w:softHyphen/>
        <w:t>ность. Другие проявления системной красной волчанки (суставные, кожные, поражение почек и др.) носят стер</w:t>
        <w:softHyphen/>
        <w:t>тый характер.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Описаны наблюдения, когда заболевание длительно трактовалось как первичная легочная гипертензия, и лишь через 2-3 года постепенное вовлечение в процесс других ор</w:t>
        <w:softHyphen/>
        <w:t>ганов и систем позволило установить диагноз системной красной волчанки. Известно, что при хроническом течении системной красной волчанки заболевание длительное вре</w:t>
        <w:softHyphen/>
        <w:t>мя может проявляться рецидивом того или иного синдрома (суставного, полисерозита, синдрома Рейно) и только спус</w:t>
        <w:softHyphen/>
        <w:t>тя ряд лет присоединяются другие органные проявления.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Несмотря на то что системная красная волчанка, как и первичная легочная гипертензия, наблюдаются чаще у лиц женского пола, возникновение высокой легочной ги</w:t>
        <w:softHyphen/>
        <w:t>пертензии при волчаночном васкулите чаще отмечается у юношей. Характерно, что системная красная волчанка в сочетании с легочным васкулитом имеет хроническое те</w:t>
        <w:softHyphen/>
        <w:t>чение с медленным прогрессированием.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и 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Обычно в крови обнаруживаются антинуклеарные анти</w:t>
        <w:softHyphen/>
        <w:t>тела, ревматоидный фактор, гипергаммаглобулинемия.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Рентгенологически отмечаются высокое стояние диаф</w:t>
        <w:softHyphen/>
        <w:t>рагмы, стойкое усиление легочного рисунка, снижение прозрачности ткани легких, очагово-сетчатые деформации сосудистого рисунка преимущественно в нижних отделах.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Легочная гипертензия при люпус-пневмоните может уменьшаться на фоне кортикостероидной терапии.</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Сам факт легочной гипертензии значительно усугубляет прогноз заболевания. Несмотря на проводимое лечение, включая кортикостероиды и цитостатические иммунодеп</w:t>
        <w:softHyphen/>
        <w:t>рессанты, прогноз таких форм системной красной волчан</w:t>
        <w:softHyphen/>
        <w:t>ки остается неопределенным.</w:t>
      </w:r>
    </w:p>
    <w:p>
      <w:pPr>
        <w:pStyle w:val="Style54"/>
        <w:widowControl w:val="0"/>
        <w:keepNext/>
        <w:keepLines/>
        <w:shd w:val="clear" w:color="auto" w:fill="auto"/>
        <w:bidi w:val="0"/>
        <w:jc w:val="both"/>
        <w:spacing w:before="0" w:after="39" w:line="210" w:lineRule="exact"/>
        <w:ind w:left="0" w:right="0" w:firstLine="0"/>
      </w:pPr>
      <w:bookmarkStart w:id="601" w:name="bookmark601"/>
      <w:r>
        <w:rPr>
          <w:lang w:val="ru-RU" w:eastAsia="ru-RU" w:bidi="ru-RU"/>
          <w:w w:val="100"/>
          <w:spacing w:val="0"/>
          <w:color w:val="000000"/>
          <w:position w:val="0"/>
        </w:rPr>
        <w:t>Легочная гипертензия при болезни Такаясу</w:t>
      </w:r>
      <w:bookmarkEnd w:id="60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болезни Такаясу (множественный облитерирую</w:t>
        <w:softHyphen/>
        <w:t>щий панартериит, болезнь отсутствия пульса) наблюдается преимущественное поражение дуги аорты и ее крупных ветвей и развитие синдрома ишемии кровоснабжаемых ими органов, в первую очередь головного мозга и конечностей с выраженной асимметрией пульса и артериального давле</w:t>
        <w:softHyphen/>
        <w:t>ния. В активной стадии болезни Такаясу в повышенных ко</w:t>
        <w:softHyphen/>
        <w:t>личествах секретируется эндотелин-1, который вызывает</w:t>
        <w:br w:type="column"/>
        <w:t>констрикцию и пролиферацию гладкой мускулатуры сосу</w:t>
        <w:softHyphen/>
        <w:t>дистой стенки и, как результат, сужение просвета поражен</w:t>
        <w:softHyphen/>
        <w:t>ных сосудов.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Симптомы легочного васкулита не столь отчетливы, хо</w:t>
        <w:softHyphen/>
        <w:t>тя поражение легочного артериального русла является обычным для болезни Такаясу. Изредка легочный васкулит может быть единственным клиническим симптомом забо</w:t>
        <w:softHyphen/>
        <w:t>левания, и диагноз должен быть подтвержден биопсией ткани легкого. При этом первичные симптомы могут ими</w:t>
        <w:softHyphen/>
        <w:t>тировать легочную тромбоэмболию, грануломатоз Вегене</w:t>
        <w:softHyphen/>
        <w:t>ра, саркоидоз либо (реже) опухоль легкого.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болезни Такаясу легочная гипертензия может быть следствием поражения артериального русла легких (чаще) и/или повышенного конечно диастолического давления в левом желудочке вследствие вторичной ишемической кардиомиопатии, инфаркта миокарда, гипертрофии или дилатации левого желудочка в связи с поражением восходя - щей аорты. Кроме того, описана легочная гипертензия при аортоартериите Такаясу вследствие ангиоматоза капилля</w:t>
        <w:softHyphen/>
        <w:t xml:space="preserve">ров легочного русла. Это редкий тип поражения легочных сосудов при данном заболевании, и таких случаев описано всего 20 в мировой литературе </w:t>
      </w:r>
      <w:r>
        <w:rPr>
          <w:lang w:val="en-US" w:eastAsia="en-US" w:bidi="en-US"/>
          <w:w w:val="100"/>
          <w:spacing w:val="0"/>
          <w:color w:val="000000"/>
          <w:position w:val="0"/>
        </w:rPr>
        <w:t xml:space="preserve">(Kakkar N. et al., </w:t>
      </w:r>
      <w:r>
        <w:rPr>
          <w:lang w:val="ru-RU" w:eastAsia="ru-RU" w:bidi="ru-RU"/>
          <w:w w:val="100"/>
          <w:spacing w:val="0"/>
          <w:color w:val="000000"/>
          <w:position w:val="0"/>
        </w:rPr>
        <w:t>1997).</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 легочного васкулита при болезни Такаясу проводится с использованием классических диагностичес</w:t>
        <w:softHyphen/>
        <w:t>ких симптомов этого системного заболевания (усталость и боли в нижних конечностях, перемежающаяся хромота, синдром Рейно, систолический шум над стенозированными сосудами, асимметрия пульса и артериального давления, ги</w:t>
        <w:softHyphen/>
        <w:t>пертензия, нарушения зрения), рентгенологических призна</w:t>
        <w:softHyphen/>
        <w:t>ков легочной гипертензии, данных ангиокардиографии, данных биопсии легочной ткани. Гистологически выявляют</w:t>
        <w:softHyphen/>
        <w:t>ся классический грануломатозный гигантоклеточный арте</w:t>
        <w:softHyphen/>
        <w:t>риит, специфический тип организованных тромбов с река</w:t>
        <w:softHyphen/>
        <w:t>нализацией и неоангиогенезом, плексогенная артериопатия. Таким образом, гистопатологическая картина при легочном артериите Такаясу имеет много специфических отличий от системного Такаясу артериита. Но в то же время она доста</w:t>
        <w:softHyphen/>
        <w:t>точно специфична и отличается от других форм легочной ги</w:t>
        <w:softHyphen/>
        <w:t xml:space="preserve">пертензии, саркоидоза и других форм легочных васкулитов, включая грануломатоз Вегенера </w:t>
      </w:r>
      <w:r>
        <w:rPr>
          <w:lang w:val="en-US" w:eastAsia="en-US" w:bidi="en-US"/>
          <w:w w:val="100"/>
          <w:spacing w:val="0"/>
          <w:color w:val="000000"/>
          <w:position w:val="0"/>
        </w:rPr>
        <w:t xml:space="preserve">(Lie J.T., </w:t>
      </w:r>
      <w:r>
        <w:rPr>
          <w:lang w:val="ru-RU" w:eastAsia="ru-RU" w:bidi="ru-RU"/>
          <w:w w:val="100"/>
          <w:spacing w:val="0"/>
          <w:color w:val="000000"/>
          <w:position w:val="0"/>
        </w:rPr>
        <w:t>1996).</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Легочный васкулит при болезни Такаясу в активной ста</w:t>
        <w:softHyphen/>
        <w:t>дии сопровождается подъемом СОЭ, и одновременным по</w:t>
        <w:softHyphen/>
        <w:t>вышением уровня сывороточного эндотелина-1, тогда как уровень тромбомодулина не имеет существенной корреля</w:t>
        <w:softHyphen/>
        <w:t>ции с ускорением СОЭ. Повышен также уровень иммуно</w:t>
        <w:softHyphen/>
        <w:t xml:space="preserve">глобулинов А и </w:t>
      </w:r>
      <w:r>
        <w:rPr>
          <w:lang w:val="en-US" w:eastAsia="en-US" w:bidi="en-US"/>
          <w:w w:val="100"/>
          <w:spacing w:val="0"/>
          <w:color w:val="000000"/>
          <w:position w:val="0"/>
        </w:rPr>
        <w:t xml:space="preserve">G, </w:t>
      </w:r>
      <w:r>
        <w:rPr>
          <w:lang w:val="ru-RU" w:eastAsia="ru-RU" w:bidi="ru-RU"/>
          <w:w w:val="100"/>
          <w:spacing w:val="0"/>
          <w:color w:val="000000"/>
          <w:position w:val="0"/>
        </w:rPr>
        <w:t>снижено содержание комплемента и по</w:t>
        <w:softHyphen/>
        <w:t xml:space="preserve">вышен уровень эндотелина-1 в сыворотке крови </w:t>
      </w:r>
      <w:r>
        <w:rPr>
          <w:lang w:val="en-US" w:eastAsia="en-US" w:bidi="en-US"/>
          <w:w w:val="100"/>
          <w:spacing w:val="0"/>
          <w:color w:val="000000"/>
          <w:position w:val="0"/>
        </w:rPr>
        <w:t xml:space="preserve">(AkazawaH. et al., </w:t>
      </w:r>
      <w:r>
        <w:rPr>
          <w:lang w:val="ru-RU" w:eastAsia="ru-RU" w:bidi="ru-RU"/>
          <w:w w:val="100"/>
          <w:spacing w:val="0"/>
          <w:color w:val="000000"/>
          <w:position w:val="0"/>
        </w:rPr>
        <w:t>1996).</w:t>
      </w:r>
    </w:p>
    <w:p>
      <w:pPr>
        <w:pStyle w:val="Style54"/>
        <w:widowControl w:val="0"/>
        <w:keepNext/>
        <w:keepLines/>
        <w:shd w:val="clear" w:color="auto" w:fill="auto"/>
        <w:bidi w:val="0"/>
        <w:jc w:val="both"/>
        <w:spacing w:before="0" w:after="39" w:line="210" w:lineRule="exact"/>
        <w:ind w:left="0" w:right="0" w:firstLine="0"/>
      </w:pPr>
      <w:bookmarkStart w:id="602" w:name="bookmark602"/>
      <w:r>
        <w:rPr>
          <w:lang w:val="ru-RU" w:eastAsia="ru-RU" w:bidi="ru-RU"/>
          <w:w w:val="100"/>
          <w:spacing w:val="0"/>
          <w:color w:val="000000"/>
          <w:position w:val="0"/>
        </w:rPr>
        <w:t>Легочная гипертензия при болезни Вегенера</w:t>
      </w:r>
      <w:bookmarkEnd w:id="60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Грануломатоз Вегенера имеет аутоиммунный генез и морфологически характеризуется грануломатозно-некро- тическими поражениями сосудов верхних и нижних дыха</w:t>
        <w:softHyphen/>
        <w:t>тельных путей, легких и почек.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pict>
          <v:shape id="_x0000_s1625" type="#_x0000_t75" style="position:absolute;margin-left:148.2pt;margin-top:736.55pt;width:209.75pt;height:14.9pt;z-index:-125828968;mso-wrap-distance-left:148.1pt;mso-wrap-distance-right:136.8pt;mso-wrap-distance-bottom:10.8pt;mso-position-horizontal-relative:margin;mso-position-vertical-relative:margin" wrapcoords="0 0 21600 0 21600 21600 0 21600 0 0">
            <v:imagedata r:id="rId995" r:href="rId996"/>
            <w10:wrap type="topAndBottom" anchorx="margin" anchory="margin"/>
          </v:shape>
        </w:pict>
      </w:r>
      <w:r>
        <w:rPr>
          <w:lang w:val="ru-RU" w:eastAsia="ru-RU" w:bidi="ru-RU"/>
          <w:w w:val="100"/>
          <w:spacing w:val="0"/>
          <w:color w:val="000000"/>
          <w:position w:val="0"/>
        </w:rPr>
        <w:t>Клинические симптомы грануломатозного васкулита Вегенера характеризуются, наряду с панваскулитом, фор</w:t>
        <w:softHyphen/>
        <w:t>мированием тканевых гигантоклеточных гранулем, связан</w:t>
        <w:softHyphen/>
        <w:t>ных с близлежащим сосудом или отделенных от него.</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Среди клинических симптомов заболевания присутству</w:t>
        <w:softHyphen/>
        <w:t>ют явления хронического ринита с язвенно-некротически</w:t>
        <w:softHyphen/>
        <w:t>ми изменениями слизистой оболочки придаточных пазух, гортани, трахеи, полости рта. Возможны отиты и перфора</w:t>
        <w:softHyphen/>
        <w:t>ция носовой перегородки.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легких считается постоянным признаком грануломатоза Вегенера. Пневмония при этом заболевании двухсторонняя, с множественными инфильтратами и час</w:t>
        <w:softHyphen/>
        <w:t>тым формированием полостей в легочной ткани.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симптомы легочного васкулита присут</w:t>
        <w:softHyphen/>
        <w:t>ствуют менее чем у половины больных (кашель, одышка, боли в грудной клетке, легочное кровотечение), однако при инструментальных исследованиях признаки легочного по</w:t>
        <w:softHyphen/>
        <w:t>ражения выявляются практически у всех больных. Так, по</w:t>
        <w:softHyphen/>
        <w:t>мимо инфильтратов в легочной ткани либо узелковых из</w:t>
        <w:softHyphen/>
        <w:t>менений при обзорной рентгенографии грудной клетки ме</w:t>
        <w:softHyphen/>
        <w:t>нее выраженные изменения могут быть выявлены с помо</w:t>
        <w:softHyphen/>
        <w:t>щью компьютерной томографии. При этом определяются «размытые» и «пушистые» тени в центре долек и периваску- лярно. Эти признаки определяются в активной фазе в нача</w:t>
        <w:softHyphen/>
        <w:t>ле заболевания и при обострении длительно текущего про</w:t>
        <w:softHyphen/>
        <w:t>цесса. Им также сопутствуют ускорение СОЭ и цитоморфо</w:t>
        <w:softHyphen/>
        <w:t>логическая идентификация васкулита в биоптатах ткани почек, ротоглотки, кожи, лимфатических узлов и миокар</w:t>
        <w:softHyphen/>
        <w:t>да. После терапии эти изменения на компьютерной томо</w:t>
        <w:softHyphen/>
        <w:t xml:space="preserve">грамме исчезают </w:t>
      </w:r>
      <w:r>
        <w:rPr>
          <w:lang w:val="en-US" w:eastAsia="en-US" w:bidi="en-US"/>
          <w:w w:val="100"/>
          <w:spacing w:val="0"/>
          <w:color w:val="000000"/>
          <w:position w:val="0"/>
        </w:rPr>
        <w:t xml:space="preserve">(Connolly B. et al., </w:t>
      </w:r>
      <w:r>
        <w:rPr>
          <w:lang w:val="ru-RU" w:eastAsia="ru-RU" w:bidi="ru-RU"/>
          <w:w w:val="100"/>
          <w:spacing w:val="0"/>
          <w:color w:val="000000"/>
          <w:position w:val="0"/>
        </w:rPr>
        <w:t>1996).</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Кроме поражения легких, часто развивается гломеруло- нефрит с выраженной протеинурией и гематурией вслед</w:t>
        <w:softHyphen/>
        <w:t>ствие грануломатозного гломерулита, нередко с исходом в почечную недостаточность. При ренальном поражении лабораторные показатели активности заболевания обычно выше и прогноз значительно серьезнее.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и 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 грануломатоза Вегенера с поражением сосу</w:t>
        <w:softHyphen/>
        <w:t>дистого русла легких и формированием легочной гипертен</w:t>
        <w:softHyphen/>
        <w:t>зии, помимо перечисленных клинических симптомов, осно</w:t>
        <w:softHyphen/>
        <w:t>вана на ангиокардиографическом исследовании, лаборатор</w:t>
        <w:softHyphen/>
        <w:t xml:space="preserve">ном иммунологическом тесте на присутствие антинейтро- фильных цитоплазматических аутоантител — </w:t>
      </w:r>
      <w:r>
        <w:rPr>
          <w:lang w:val="en-US" w:eastAsia="en-US" w:bidi="en-US"/>
          <w:w w:val="100"/>
          <w:spacing w:val="0"/>
          <w:color w:val="000000"/>
          <w:position w:val="0"/>
        </w:rPr>
        <w:t>antineutrophil cytoplasm autoantibody (ANCA) (Bajema I.M., 1997).</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 xml:space="preserve">По данным </w:t>
      </w:r>
      <w:r>
        <w:rPr>
          <w:lang w:val="en-US" w:eastAsia="en-US" w:bidi="en-US"/>
          <w:w w:val="100"/>
          <w:spacing w:val="0"/>
          <w:color w:val="000000"/>
          <w:position w:val="0"/>
        </w:rPr>
        <w:t xml:space="preserve">Davenport A. et al. (1994), </w:t>
      </w:r>
      <w:r>
        <w:rPr>
          <w:lang w:val="ru-RU" w:eastAsia="ru-RU" w:bidi="ru-RU"/>
          <w:w w:val="100"/>
          <w:spacing w:val="0"/>
          <w:color w:val="000000"/>
          <w:position w:val="0"/>
        </w:rPr>
        <w:t>этот тест имеет до</w:t>
        <w:softHyphen/>
        <w:t>статочно высокую чувствительность (65%) и специфич</w:t>
        <w:softHyphen/>
        <w:t>ность (77%), но для постановки диагноза должен использо</w:t>
        <w:softHyphen/>
        <w:t>ваться в комплексе с клиническими данными и биопсией ткани легкого. При обследовании 335 детей с хронически</w:t>
        <w:softHyphen/>
        <w:t xml:space="preserve">ми заболеваниями верхних и нижних дыхательных путей антинейтрофильные аутоантитела были обнаружены у 106, из них грануломатоз Вегенера был выявлен в 45 случаях (44% от детей с положительным </w:t>
      </w:r>
      <w:r>
        <w:rPr>
          <w:lang w:val="en-US" w:eastAsia="en-US" w:bidi="en-US"/>
          <w:w w:val="100"/>
          <w:spacing w:val="0"/>
          <w:color w:val="000000"/>
          <w:position w:val="0"/>
        </w:rPr>
        <w:t>ANCA</w:t>
      </w:r>
      <w:r>
        <w:rPr>
          <w:lang w:val="ru-RU" w:eastAsia="ru-RU" w:bidi="ru-RU"/>
          <w:w w:val="100"/>
          <w:spacing w:val="0"/>
          <w:color w:val="000000"/>
          <w:position w:val="0"/>
        </w:rPr>
        <w:t>-титром).</w:t>
      </w:r>
    </w:p>
    <w:p>
      <w:pPr>
        <w:pStyle w:val="Style54"/>
        <w:widowControl w:val="0"/>
        <w:keepNext/>
        <w:keepLines/>
        <w:shd w:val="clear" w:color="auto" w:fill="auto"/>
        <w:bidi w:val="0"/>
        <w:jc w:val="left"/>
        <w:spacing w:before="0" w:after="39" w:line="210" w:lineRule="exact"/>
        <w:ind w:left="0" w:right="0" w:firstLine="0"/>
      </w:pPr>
      <w:bookmarkStart w:id="603" w:name="bookmark603"/>
      <w:r>
        <w:rPr>
          <w:lang w:val="ru-RU" w:eastAsia="ru-RU" w:bidi="ru-RU"/>
          <w:w w:val="100"/>
          <w:spacing w:val="0"/>
          <w:color w:val="000000"/>
          <w:position w:val="0"/>
        </w:rPr>
        <w:t>Легочная гипертензия при болезни Кавасаки</w:t>
      </w:r>
      <w:bookmarkEnd w:id="60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Кавасаки также относится к системным васку</w:t>
        <w:softHyphen/>
        <w:t>литам неизвестной этиологии, протекает на фоне иммун</w:t>
        <w:softHyphen/>
        <w:t xml:space="preserve">ного воспаления, возникающего после эндотелиального повреждения, вызванного в первую очередь агрессивными цитокинами </w:t>
      </w:r>
      <w:r>
        <w:rPr>
          <w:lang w:val="en-US" w:eastAsia="en-US" w:bidi="en-US"/>
          <w:w w:val="100"/>
          <w:spacing w:val="0"/>
          <w:color w:val="000000"/>
          <w:position w:val="0"/>
        </w:rPr>
        <w:t>TNF</w:t>
      </w:r>
      <w:r>
        <w:rPr>
          <w:lang w:val="ru-RU" w:eastAsia="ru-RU" w:bidi="ru-RU"/>
          <w:w w:val="100"/>
          <w:spacing w:val="0"/>
          <w:color w:val="000000"/>
          <w:position w:val="0"/>
        </w:rPr>
        <w:t xml:space="preserve">-альфа и </w:t>
      </w:r>
      <w:r>
        <w:rPr>
          <w:lang w:val="en-US" w:eastAsia="en-US" w:bidi="en-US"/>
          <w:w w:val="100"/>
          <w:spacing w:val="0"/>
          <w:color w:val="000000"/>
          <w:position w:val="0"/>
        </w:rPr>
        <w:t>TNF</w:t>
      </w:r>
      <w:r>
        <w:rPr>
          <w:lang w:val="ru-RU" w:eastAsia="ru-RU" w:bidi="ru-RU"/>
          <w:w w:val="100"/>
          <w:spacing w:val="0"/>
          <w:color w:val="000000"/>
          <w:position w:val="0"/>
        </w:rPr>
        <w:t>-бета, которые продуциру</w:t>
        <w:softHyphen/>
        <w:t>ются мононуклеарами периферической крови (лимфоцита</w:t>
        <w:softHyphen/>
        <w:t>ми и моноцитами).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Симптоматика заболевания в острой стадии схожа с дет</w:t>
        <w:softHyphen/>
        <w:t>скими фебрильными экзантемами (лихорадка, сыпь, диф</w:t>
        <w:softHyphen/>
        <w:br w:type="column"/>
        <w:t>фузная эритема ротоглотки, негнойный шейный лимфаде</w:t>
        <w:softHyphen/>
        <w:t>нит, катаральный конъюнктивит, изменения кожи конеч</w:t>
        <w:softHyphen/>
        <w:t>ностей), однако после регресса острых симптомов заболе</w:t>
        <w:softHyphen/>
        <w:t>вание протекает длительно с преимущественно кардиовас</w:t>
        <w:softHyphen/>
        <w:t>кулярными поражениями.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Излюбленной локализацией процесса являются коро</w:t>
        <w:softHyphen/>
        <w:t>нарные артерии с формированием аневризматических и окклюзионных поражений. Реже поражается сосудистое русло почек, головного мозга и других внутренних органов, еще реже — крупные ветви аорты.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Среди многочисленных публикаций по болезни Каваса</w:t>
        <w:softHyphen/>
        <w:t>ки в зарубежной литературе относительно легочного васку</w:t>
        <w:softHyphen/>
        <w:t>лита при этом заболевании имеется лишь единичное описа</w:t>
        <w:softHyphen/>
        <w:t xml:space="preserve">ние </w:t>
      </w:r>
      <w:r>
        <w:rPr>
          <w:lang w:val="en-US" w:eastAsia="en-US" w:bidi="en-US"/>
          <w:w w:val="100"/>
          <w:spacing w:val="0"/>
          <w:color w:val="000000"/>
          <w:position w:val="0"/>
        </w:rPr>
        <w:t xml:space="preserve">T.Umezawa et al. </w:t>
      </w:r>
      <w:r>
        <w:rPr>
          <w:lang w:val="ru-RU" w:eastAsia="ru-RU" w:bidi="ru-RU"/>
          <w:w w:val="100"/>
          <w:spacing w:val="0"/>
          <w:color w:val="000000"/>
          <w:position w:val="0"/>
        </w:rPr>
        <w:t>(1989).</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 заболевания основывается на классичес</w:t>
        <w:softHyphen/>
        <w:t>ких диагностических симптомах острой стадии заболева</w:t>
        <w:softHyphen/>
        <w:t>ния, перечисленных выше, а также наличии клинического и эхокардиографического паттерна коронарита и данных ангиокардиографии. Гистопатологические признаки арте</w:t>
        <w:softHyphen/>
        <w:t>риита при болезни Кавасаки включают некротическое по</w:t>
        <w:softHyphen/>
        <w:t>вреждение интимального и среднего слоя, в более поздних стадиях — полную потерю нормальной трехслойной струк</w:t>
        <w:softHyphen/>
        <w:t>туры артериальной стенки с заместительным фиброзом и/или образованием аневризм, преимущественно в мелких и средних артериях, хотя возможно поражение крупных ар - териальных стволов и аорты, а также венул.</w:t>
      </w:r>
    </w:p>
    <w:p>
      <w:pPr>
        <w:pStyle w:val="Style30"/>
        <w:widowControl w:val="0"/>
        <w:keepNext w:val="0"/>
        <w:keepLines w:val="0"/>
        <w:shd w:val="clear" w:color="auto" w:fill="auto"/>
        <w:bidi w:val="0"/>
        <w:spacing w:before="0" w:after="0"/>
        <w:ind w:left="0" w:right="0" w:firstLine="280"/>
      </w:pPr>
      <w:r>
        <w:pict>
          <v:shape id="_x0000_s1626" type="#_x0000_t75" style="position:absolute;margin-left:136.9pt;margin-top:736.55pt;width:209.75pt;height:14.9pt;z-index:-125828967;mso-wrap-distance-left:136.8pt;mso-wrap-distance-right:148.1pt;mso-wrap-distance-bottom:10.8pt;mso-position-horizontal-relative:margin;mso-position-vertical-relative:margin" wrapcoords="0 0 21600 0 21600 21600 0 21600 0 0">
            <v:imagedata r:id="rId997" r:href="rId998"/>
            <w10:wrap type="topAndBottom" anchorx="margin" anchory="margin"/>
          </v:shape>
        </w:pict>
      </w:r>
      <w:r>
        <w:rPr>
          <w:lang w:val="ru-RU" w:eastAsia="ru-RU" w:bidi="ru-RU"/>
          <w:w w:val="100"/>
          <w:spacing w:val="0"/>
          <w:color w:val="000000"/>
          <w:position w:val="0"/>
        </w:rPr>
        <w:t>Среди 137 пациентов с болезнью Кавасаки в возрасте от 0 до 38 лет, находящихся под нашим наблюдением (Бе</w:t>
        <w:softHyphen/>
        <w:t>лозеров Ю.М., Брегель Л.В.), у троих по данным кардиоло</w:t>
        <w:softHyphen/>
        <w:t>гического исследования, включая ангиокардиографию, вы</w:t>
        <w:softHyphen/>
        <w:t>явлена стойкая легочная гипертензия. Все 3 пациента с ле</w:t>
        <w:softHyphen/>
        <w:t>гочным васкулитом — мальчики, их возраст 8 (первый слу</w:t>
        <w:softHyphen/>
        <w:t>чай), 12 (второй случай) и 13 лет (третий случай). На обзор</w:t>
        <w:softHyphen/>
        <w:t>ной рентгенограмме грудной клетки определялись стан</w:t>
        <w:softHyphen/>
        <w:t>дартные признаки усиления легочного сосудистого рисунка по смешанному типу и выбухание дуги легочной артерии. С учетом данных ангиокардиографии степень легочной ги</w:t>
        <w:softHyphen/>
        <w:t>пертензии варьировала от первой с давлением в легочной артерии 27-30 мм рт. ст. (второй и третий случаи) до треть</w:t>
        <w:softHyphen/>
        <w:t>ей — 120 мм рт. ст. (первый случай). У всех детей ретроспек</w:t>
        <w:softHyphen/>
        <w:t>тивно выявлен типичный эпизод болезни Кавасаки, воз</w:t>
        <w:softHyphen/>
        <w:t>никший задолго до появления клинических симптомов ле</w:t>
        <w:softHyphen/>
        <w:t>гочной гипертензии. Этот острый эпизод возник в первом случае — на первом месяце жизни, во втором — в 3 года, в третьем — в 11 мес. В третьем случае также отмечались не</w:t>
        <w:softHyphen/>
        <w:t>однократные рецидивы заболевания, причем в 9 лет такой рецидив (длительная лихорадка, гиперемия слизистых ро</w:t>
        <w:softHyphen/>
        <w:t>тоглотки, кашель, слабость, одышка) сопровождался кар- диомегалией, интерпретированной как осложнение остро</w:t>
        <w:softHyphen/>
        <w:t>го бронхита неревматическим кардитом. В острой стадии во всех трех случаях болезнь Кавасаки не была диагностирова</w:t>
        <w:softHyphen/>
        <w:t>на и необходимое лечение по этому поводу не проводилось. У всех трех детей при позднем кардиологическом обследо</w:t>
        <w:softHyphen/>
        <w:t>вании были исключены тяжелые врожденные пороки серд</w:t>
        <w:softHyphen/>
        <w:t>ца как причина стойкой легочной гипертензии и с помо</w:t>
        <w:softHyphen/>
        <w:t>щью клиническо-инструментальных данных подтверждено наличие коронарита, причем в первом случае осложненно</w:t>
        <w:softHyphen/>
        <w:t>го трансмуральным инфарктом миокарда боковой и ниж</w:t>
        <w:softHyphen/>
        <w:t>ней областей миокарда левого желудочка. Таким образом, легочный васкулит с исходом в стойкую легочную гипер</w:t>
        <w:softHyphen/>
        <w:t>тензию наблюдался нами у 2,1% пациентов. Установлено, что он формируется при поздней диагностике болезни Ка-</w:t>
      </w:r>
      <w:r>
        <w:br w:type="page"/>
      </w:r>
    </w:p>
    <w:p>
      <w:pPr>
        <w:pStyle w:val="Style30"/>
        <w:widowControl w:val="0"/>
        <w:keepNext w:val="0"/>
        <w:keepLines w:val="0"/>
        <w:shd w:val="clear" w:color="auto" w:fill="auto"/>
        <w:bidi w:val="0"/>
        <w:spacing w:before="0" w:after="142"/>
        <w:ind w:left="0" w:right="0" w:firstLine="0"/>
      </w:pPr>
      <w:r>
        <w:rPr>
          <w:lang w:val="ru-RU" w:eastAsia="ru-RU" w:bidi="ru-RU"/>
          <w:w w:val="100"/>
          <w:spacing w:val="0"/>
          <w:color w:val="000000"/>
          <w:position w:val="0"/>
        </w:rPr>
        <w:t>васаки и отсутствии необходимого лечения в острой стадии (трентал, аспирин, внутривенный человеческий иммуно</w:t>
        <w:softHyphen/>
        <w:t>глобулин). При этом спустя много лет возможно формиро</w:t>
        <w:softHyphen/>
        <w:t>вание в том числе необратимой легочной гипертензии с плохим прогнозом.</w:t>
      </w:r>
    </w:p>
    <w:p>
      <w:pPr>
        <w:pStyle w:val="Style54"/>
        <w:widowControl w:val="0"/>
        <w:keepNext/>
        <w:keepLines/>
        <w:shd w:val="clear" w:color="auto" w:fill="auto"/>
        <w:bidi w:val="0"/>
        <w:jc w:val="both"/>
        <w:spacing w:before="0" w:after="0" w:line="264" w:lineRule="exact"/>
        <w:ind w:left="0" w:right="200" w:firstLine="0"/>
      </w:pPr>
      <w:bookmarkStart w:id="604" w:name="bookmark604"/>
      <w:r>
        <w:rPr>
          <w:lang w:val="ru-RU" w:eastAsia="ru-RU" w:bidi="ru-RU"/>
          <w:w w:val="100"/>
          <w:spacing w:val="0"/>
          <w:color w:val="000000"/>
          <w:position w:val="0"/>
        </w:rPr>
        <w:t>Легочная гипертензия при других редких формах васкулитов</w:t>
      </w:r>
      <w:bookmarkEnd w:id="60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настоящее время описывается также системный вас</w:t>
        <w:softHyphen/>
        <w:t>кулит с поражением микроциркуляторного русла и присут</w:t>
        <w:softHyphen/>
        <w:t xml:space="preserve">ствием антинейтрофильных аутоантител </w:t>
      </w:r>
      <w:r>
        <w:rPr>
          <w:lang w:val="en-US" w:eastAsia="en-US" w:bidi="en-US"/>
          <w:w w:val="100"/>
          <w:spacing w:val="0"/>
          <w:color w:val="000000"/>
          <w:position w:val="0"/>
        </w:rPr>
        <w:t xml:space="preserve">(ANCA), </w:t>
      </w:r>
      <w:r>
        <w:rPr>
          <w:lang w:val="ru-RU" w:eastAsia="ru-RU" w:bidi="ru-RU"/>
          <w:w w:val="100"/>
          <w:spacing w:val="0"/>
          <w:color w:val="000000"/>
          <w:position w:val="0"/>
        </w:rPr>
        <w:t>не отно</w:t>
        <w:softHyphen/>
        <w:t>сящийся к грануломатозу Вегенера, — так называемый ми</w:t>
        <w:softHyphen/>
        <w:t xml:space="preserve">кроскопический полиангиит. Как указывают </w:t>
      </w:r>
      <w:r>
        <w:rPr>
          <w:lang w:val="en-US" w:eastAsia="en-US" w:bidi="en-US"/>
          <w:w w:val="100"/>
          <w:spacing w:val="0"/>
          <w:color w:val="000000"/>
          <w:position w:val="0"/>
        </w:rPr>
        <w:t xml:space="preserve">P.B.Gaudin et al. </w:t>
      </w:r>
      <w:r>
        <w:rPr>
          <w:lang w:val="ru-RU" w:eastAsia="ru-RU" w:bidi="ru-RU"/>
          <w:w w:val="100"/>
          <w:spacing w:val="0"/>
          <w:color w:val="000000"/>
          <w:position w:val="0"/>
        </w:rPr>
        <w:t>(1995), при этом могут обнаруживаться цитоплазматиче</w:t>
        <w:softHyphen/>
        <w:t xml:space="preserve">ские антинейтрофильные аутоантитела </w:t>
      </w:r>
      <w:r>
        <w:rPr>
          <w:lang w:val="en-US" w:eastAsia="en-US" w:bidi="en-US"/>
          <w:w w:val="100"/>
          <w:spacing w:val="0"/>
          <w:color w:val="000000"/>
          <w:position w:val="0"/>
        </w:rPr>
        <w:t xml:space="preserve">(c-ANCA) </w:t>
      </w:r>
      <w:r>
        <w:rPr>
          <w:lang w:val="ru-RU" w:eastAsia="ru-RU" w:bidi="ru-RU"/>
          <w:w w:val="100"/>
          <w:spacing w:val="0"/>
          <w:color w:val="000000"/>
          <w:position w:val="0"/>
        </w:rPr>
        <w:t xml:space="preserve">либо пе- ринуклеарные антинейтрофильные аутоантитела </w:t>
      </w:r>
      <w:r>
        <w:rPr>
          <w:lang w:val="en-US" w:eastAsia="en-US" w:bidi="en-US"/>
          <w:w w:val="100"/>
          <w:spacing w:val="0"/>
          <w:color w:val="000000"/>
          <w:position w:val="0"/>
        </w:rPr>
        <w:t>(P-ANCA).</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Поражение легочных сосудов может наблюдаться при любом из васкулитов с наличием антинейтрофильных ауто - антител </w:t>
      </w:r>
      <w:r>
        <w:rPr>
          <w:lang w:val="en-US" w:eastAsia="en-US" w:bidi="en-US"/>
          <w:w w:val="100"/>
          <w:spacing w:val="0"/>
          <w:color w:val="000000"/>
          <w:position w:val="0"/>
        </w:rPr>
        <w:t>(ANCA</w:t>
      </w:r>
      <w:r>
        <w:rPr>
          <w:lang w:val="ru-RU" w:eastAsia="ru-RU" w:bidi="ru-RU"/>
          <w:w w:val="100"/>
          <w:spacing w:val="0"/>
          <w:color w:val="000000"/>
          <w:position w:val="0"/>
        </w:rPr>
        <w:t>-ассоциированные васкулиты). Гистопато</w:t>
        <w:softHyphen/>
        <w:t>логические признаки (биопсия легочной ткани) были ис</w:t>
        <w:softHyphen/>
        <w:t>следованы у 27 больных с цитоплазматическими антиней- трофильными антителами, у больных в возрасте от 8 до 79 лет, с антинейтрофильными цитоплазматическими ан</w:t>
        <w:softHyphen/>
        <w:t xml:space="preserve">тителами </w:t>
      </w:r>
      <w:r>
        <w:rPr>
          <w:lang w:val="en-US" w:eastAsia="en-US" w:bidi="en-US"/>
          <w:w w:val="100"/>
          <w:spacing w:val="0"/>
          <w:color w:val="000000"/>
          <w:position w:val="0"/>
        </w:rPr>
        <w:t xml:space="preserve">(Gaudin P.B. et al., </w:t>
      </w:r>
      <w:r>
        <w:rPr>
          <w:lang w:val="ru-RU" w:eastAsia="ru-RU" w:bidi="ru-RU"/>
          <w:w w:val="100"/>
          <w:spacing w:val="0"/>
          <w:color w:val="000000"/>
          <w:position w:val="0"/>
        </w:rPr>
        <w:t>1995). Сосудистые поражения были обнаружены у 21 больного (78%), поражения брон</w:t>
        <w:softHyphen/>
        <w:t>хов — у 11-ти (41%). Капилляриты являются наиболее час</w:t>
        <w:softHyphen/>
        <w:t>тым типом сосудистых изменений (17,63%). Поражение экстраваскулярных структур присутствует всегда: облите</w:t>
        <w:softHyphen/>
        <w:t>рирующий бронхиолит и организующаяся пневмония — у 19%, некротизирующее грануломатозное воспаление ды</w:t>
        <w:softHyphen/>
        <w:t>хательных путей — у 15%, признаки негрануломатозного воспаления дыхательных путей — у 11%, интерстициальные поражения — всего у 20 (74%), включая некротизирующее интерстициальное грануломатозное воспаление у 8 (30%), фиброз у 13 (48%), хроническое интерстициальное негра- нуломатозное воспаление у 12 (44%).</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 xml:space="preserve">Как указывает </w:t>
      </w:r>
      <w:r>
        <w:rPr>
          <w:lang w:val="en-US" w:eastAsia="en-US" w:bidi="en-US"/>
          <w:w w:val="100"/>
          <w:spacing w:val="0"/>
          <w:color w:val="000000"/>
          <w:position w:val="0"/>
        </w:rPr>
        <w:t xml:space="preserve">S.L.Hogan et al. </w:t>
      </w:r>
      <w:r>
        <w:rPr>
          <w:lang w:val="ru-RU" w:eastAsia="ru-RU" w:bidi="ru-RU"/>
          <w:w w:val="100"/>
          <w:spacing w:val="0"/>
          <w:color w:val="000000"/>
          <w:position w:val="0"/>
        </w:rPr>
        <w:t>(1996), при так называе</w:t>
        <w:softHyphen/>
        <w:t xml:space="preserve">мых </w:t>
      </w:r>
      <w:r>
        <w:rPr>
          <w:lang w:val="en-US" w:eastAsia="en-US" w:bidi="en-US"/>
          <w:w w:val="100"/>
          <w:spacing w:val="0"/>
          <w:color w:val="000000"/>
          <w:position w:val="0"/>
        </w:rPr>
        <w:t>ANCA</w:t>
      </w:r>
      <w:r>
        <w:rPr>
          <w:lang w:val="ru-RU" w:eastAsia="ru-RU" w:bidi="ru-RU"/>
          <w:w w:val="100"/>
          <w:spacing w:val="0"/>
          <w:color w:val="000000"/>
          <w:position w:val="0"/>
        </w:rPr>
        <w:t>-ассоциированных васкулитах с поражением мелких артерий (так называемый микроскопический поли</w:t>
        <w:softHyphen/>
        <w:t>ангиит и гломерулонефрит, исключая грануломатоз Вегене</w:t>
        <w:softHyphen/>
        <w:t>ра) поражение легочного русла является прогностическим неблагоприятным фактором, в противоположность изоли</w:t>
        <w:softHyphen/>
        <w:t>рованному ренальному поражению. Верификация диагноза с помощью иммунологических и гистопатологических ис</w:t>
        <w:softHyphen/>
        <w:t>следований крайне важна, так как лечение циклофосфаном снижает риск летального исхода вдвое в противополож</w:t>
        <w:softHyphen/>
        <w:t>ность монотерапии стероидами.</w:t>
      </w:r>
    </w:p>
    <w:p>
      <w:pPr>
        <w:pStyle w:val="Style54"/>
        <w:widowControl w:val="0"/>
        <w:keepNext/>
        <w:keepLines/>
        <w:shd w:val="clear" w:color="auto" w:fill="auto"/>
        <w:bidi w:val="0"/>
        <w:jc w:val="both"/>
        <w:spacing w:before="0" w:after="39" w:line="210" w:lineRule="exact"/>
        <w:ind w:left="0" w:right="0" w:firstLine="0"/>
      </w:pPr>
      <w:bookmarkStart w:id="605" w:name="bookmark605"/>
      <w:r>
        <w:rPr>
          <w:lang w:val="ru-RU" w:eastAsia="ru-RU" w:bidi="ru-RU"/>
          <w:w w:val="100"/>
          <w:spacing w:val="0"/>
          <w:color w:val="000000"/>
          <w:position w:val="0"/>
        </w:rPr>
        <w:t>Эозинофильный легочный васкулит</w:t>
      </w:r>
      <w:bookmarkEnd w:id="60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Существование данной нозологической формы в качес</w:t>
        <w:softHyphen/>
        <w:t xml:space="preserve">тве самостоятельного заболевания является спорным. Так, эозинофильный легочный васкулит описан как отдельное заболевание в отечественной литературе В.И.Насоновой, и предложено считать его промежуточной формой </w:t>
      </w:r>
      <w:r>
        <w:rPr>
          <w:lang w:val="en-US" w:eastAsia="en-US" w:bidi="en-US"/>
          <w:w w:val="100"/>
          <w:spacing w:val="0"/>
          <w:color w:val="000000"/>
          <w:position w:val="0"/>
        </w:rPr>
        <w:t xml:space="preserve">(overlap) </w:t>
      </w:r>
      <w:r>
        <w:rPr>
          <w:lang w:val="ru-RU" w:eastAsia="ru-RU" w:bidi="ru-RU"/>
          <w:w w:val="100"/>
          <w:spacing w:val="0"/>
          <w:color w:val="000000"/>
          <w:position w:val="0"/>
        </w:rPr>
        <w:t>между некротизирующими (узелковый периартериит) и грануломатозными васкулитами. В то же время большин</w:t>
        <w:softHyphen/>
        <w:t>ство зарубежных авторов все же относят подобный васку</w:t>
        <w:softHyphen/>
        <w:t>лит к грануломатозному типу, а обнаруживаемый в отдель</w:t>
        <w:softHyphen/>
        <w:t>ных случаях эозинофильный тип изменений считают вто</w:t>
        <w:softHyphen/>
        <w:t>ричным к какой-либо иной патологии.</w:t>
      </w:r>
    </w:p>
    <w:p>
      <w:pPr>
        <w:pStyle w:val="Style30"/>
        <w:widowControl w:val="0"/>
        <w:keepNext w:val="0"/>
        <w:keepLines w:val="0"/>
        <w:shd w:val="clear" w:color="auto" w:fill="auto"/>
        <w:bidi w:val="0"/>
        <w:spacing w:before="0" w:after="161"/>
        <w:ind w:left="0" w:right="0" w:firstLine="280"/>
      </w:pPr>
      <w:r>
        <w:br w:type="column"/>
      </w:r>
      <w:r>
        <w:rPr>
          <w:lang w:val="ru-RU" w:eastAsia="ru-RU" w:bidi="ru-RU"/>
          <w:w w:val="100"/>
          <w:spacing w:val="0"/>
          <w:color w:val="000000"/>
          <w:position w:val="0"/>
        </w:rPr>
        <w:t>Так, описана легочная гипертензия на фоне эозинофи</w:t>
        <w:softHyphen/>
        <w:t xml:space="preserve">лии у трех сиблингов, которые умерли в течение 18 месяцев при явлениях высокой легочной гипертензии с низким сердечным выбросом </w:t>
      </w:r>
      <w:r>
        <w:rPr>
          <w:lang w:val="en-US" w:eastAsia="en-US" w:bidi="en-US"/>
          <w:w w:val="100"/>
          <w:spacing w:val="0"/>
          <w:color w:val="000000"/>
          <w:position w:val="0"/>
        </w:rPr>
        <w:t xml:space="preserve">(Kawashima A. et al., 1995). </w:t>
      </w:r>
      <w:r>
        <w:rPr>
          <w:lang w:val="ru-RU" w:eastAsia="ru-RU" w:bidi="ru-RU"/>
          <w:w w:val="100"/>
          <w:spacing w:val="0"/>
          <w:color w:val="000000"/>
          <w:position w:val="0"/>
        </w:rPr>
        <w:t>Среди этих больных был 3-летний мальчик (первый случай), 9-летний мальчик (второй случай) и 13-летняя девочка (третий случай). В первом и втором случаях эозинофилия была выраженной, а в третьем — слабой. Открытая легоч</w:t>
        <w:softHyphen/>
        <w:t>ная биопсия в первом случае продемонстрировала легоч</w:t>
        <w:softHyphen/>
        <w:t>ный артериит с массивной эозинофильной инфильтрацией и утолщением интимального слоя мелких артерий и арте- риол. На аутопсии в случаях 2 и 3 обнаружены такие же из</w:t>
        <w:softHyphen/>
        <w:t>менения, а также распространенная облитерация артерий легочного русла с концентрическим утолщением интимы, гипертрофией среднего слоя и реканализацией тромбов в артериолах. Отмечены мелкоочаговые инфаркты в ткани легких и миокарда. Однако васкулит других артерий (коро</w:t>
        <w:softHyphen/>
        <w:t>нарных) был умеренно выражен по сравнению с легочным. Поэтому данный васкулит неустановленной этиологии следует считать преимущественно легочным вследствие документированного эндотелиального повреждения с ис</w:t>
        <w:softHyphen/>
        <w:t>ходом в фиброз.</w:t>
      </w:r>
    </w:p>
    <w:p>
      <w:pPr>
        <w:pStyle w:val="Style48"/>
        <w:widowControl w:val="0"/>
        <w:keepNext/>
        <w:keepLines/>
        <w:shd w:val="clear" w:color="auto" w:fill="auto"/>
        <w:bidi w:val="0"/>
        <w:jc w:val="left"/>
        <w:spacing w:before="0" w:after="41" w:line="240" w:lineRule="exact"/>
        <w:ind w:left="0" w:right="0" w:firstLine="0"/>
      </w:pPr>
      <w:bookmarkStart w:id="606" w:name="bookmark606"/>
      <w:r>
        <w:rPr>
          <w:lang w:val="ru-RU" w:eastAsia="ru-RU" w:bidi="ru-RU"/>
          <w:w w:val="100"/>
          <w:spacing w:val="0"/>
          <w:color w:val="000000"/>
          <w:position w:val="0"/>
        </w:rPr>
        <w:t>Легочная гипертензия при других заболеваниях и осложнениях</w:t>
      </w:r>
      <w:bookmarkEnd w:id="606"/>
    </w:p>
    <w:p>
      <w:pPr>
        <w:pStyle w:val="Style54"/>
        <w:widowControl w:val="0"/>
        <w:keepNext/>
        <w:keepLines/>
        <w:shd w:val="clear" w:color="auto" w:fill="auto"/>
        <w:bidi w:val="0"/>
        <w:jc w:val="left"/>
        <w:spacing w:before="0" w:after="0" w:line="264" w:lineRule="exact"/>
        <w:ind w:left="0" w:right="0" w:firstLine="0"/>
      </w:pPr>
      <w:bookmarkStart w:id="607" w:name="bookmark607"/>
      <w:r>
        <w:rPr>
          <w:lang w:val="ru-RU" w:eastAsia="ru-RU" w:bidi="ru-RU"/>
          <w:w w:val="100"/>
          <w:spacing w:val="0"/>
          <w:color w:val="000000"/>
          <w:position w:val="0"/>
        </w:rPr>
        <w:t>Легочная гипертензия при серповидноклеточной анемии</w:t>
      </w:r>
      <w:bookmarkEnd w:id="607"/>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Легочная гипертензия при серповидноклеточной ане</w:t>
        <w:softHyphen/>
        <w:t>мии возникает в результате замедленного передвижения серповидных эритроцитов по микроциркуляторному руслу. В легких развиваются гемостаз, тромбоз и микроинфаркты. Диагностировать серповидноклеточную анемию позволя</w:t>
        <w:softHyphen/>
        <w:t>ют данные клиники: семейная форма заболевания, боль</w:t>
        <w:softHyphen/>
        <w:t>ные чаще высокого роста, худые, с удлиненной фигурой и искривленным позвоночником, высоким башенным че</w:t>
        <w:softHyphen/>
        <w:t>репом, измененными зубами. Кожа бледная, с характерной желтушностью склер. Часто имеют место суставной синд</w:t>
        <w:softHyphen/>
        <w:t>ром (артралгии, артриты вследствие тромбоза мелких сосу</w:t>
        <w:softHyphen/>
        <w:t>дов синовиальной ткани и кровоизлияний в полость суста</w:t>
        <w:softHyphen/>
        <w:t>ва), нарушения зрения (из-за поражения сосудов сетчатки), увеличение селезенки. При кризовом течении болезни мо</w:t>
        <w:softHyphen/>
        <w:t>гут возникать осложнения со стороны сердечно-сосудистой и центральной нервной систем (шок).</w:t>
      </w:r>
    </w:p>
    <w:p>
      <w:pPr>
        <w:pStyle w:val="Style54"/>
        <w:widowControl w:val="0"/>
        <w:keepNext/>
        <w:keepLines/>
        <w:shd w:val="clear" w:color="auto" w:fill="auto"/>
        <w:bidi w:val="0"/>
        <w:jc w:val="left"/>
        <w:spacing w:before="0" w:after="0" w:line="210" w:lineRule="exact"/>
        <w:ind w:left="0" w:right="0" w:firstLine="0"/>
      </w:pPr>
      <w:bookmarkStart w:id="608" w:name="bookmark608"/>
      <w:r>
        <w:rPr>
          <w:lang w:val="ru-RU" w:eastAsia="ru-RU" w:bidi="ru-RU"/>
          <w:w w:val="100"/>
          <w:spacing w:val="0"/>
          <w:color w:val="000000"/>
          <w:position w:val="0"/>
        </w:rPr>
        <w:t>Легочная гипертензия при полицитемии</w:t>
      </w:r>
      <w:bookmarkEnd w:id="60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Полицитемия часто сопутствует многим порокам сердца и легких, высокогорной болезни, опухолям гипофиза, ги</w:t>
        <w:softHyphen/>
        <w:t>пернефроме, обезвоживанию и др. Первичная полиците</w:t>
        <w:softHyphen/>
        <w:t>мия — болезнь Вакеза — связана с гиперплазией и проли</w:t>
        <w:softHyphen/>
        <w:t>ферацией костного мозга с преимущественным преоблада</w:t>
        <w:softHyphen/>
        <w:t>нием эритропоэтической функции.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Патогенез легочной гипертензии во многом схож с сер</w:t>
        <w:softHyphen/>
        <w:t>повидноклеточной анемией. Наряду с этим легочная пато</w:t>
        <w:softHyphen/>
        <w:t>логия усугубляется повторными тромбозами сосудов.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манифестация полицитемии очень вариа</w:t>
        <w:softHyphen/>
        <w:t>бельна. В ряде случаев отмечается головная боль или общая слабость. Часто отмечаются боли в грудной клетке, артрал- гии, анорексия, диспноэ и нарушения зрения.</w:t>
      </w:r>
    </w:p>
    <w:p>
      <w:pPr>
        <w:pStyle w:val="Style30"/>
        <w:widowControl w:val="0"/>
        <w:keepNext w:val="0"/>
        <w:keepLines w:val="0"/>
        <w:shd w:val="clear" w:color="auto" w:fill="auto"/>
        <w:bidi w:val="0"/>
        <w:spacing w:before="0" w:after="0"/>
        <w:ind w:left="0" w:right="0" w:firstLine="280"/>
        <w:sectPr>
          <w:pgSz w:w="11900" w:h="16840"/>
          <w:pgMar w:top="1574" w:left="1027" w:right="981" w:bottom="1747" w:header="0" w:footer="3" w:gutter="0"/>
          <w:rtlGutter w:val="0"/>
          <w:cols w:num="2" w:space="195"/>
          <w:noEndnote/>
          <w:docGrid w:linePitch="360"/>
        </w:sectPr>
      </w:pPr>
      <w:r>
        <w:pict>
          <v:shape id="_x0000_s1627" type="#_x0000_t75" style="position:absolute;margin-left:148.3pt;margin-top:736.55pt;width:209.75pt;height:14.9pt;z-index:-125828966;mso-wrap-distance-left:148.1pt;mso-wrap-distance-right:136.55pt;mso-wrap-distance-bottom:10.8pt;mso-position-horizontal-relative:margin;mso-position-vertical-relative:margin" wrapcoords="0 0 21600 0 21600 21600 0 21600 0 0">
            <v:imagedata r:id="rId999" r:href="rId1000"/>
            <w10:wrap type="topAndBottom" anchorx="margin" anchory="margin"/>
          </v:shape>
        </w:pict>
      </w:r>
      <w:r>
        <w:rPr>
          <w:lang w:val="ru-RU" w:eastAsia="ru-RU" w:bidi="ru-RU"/>
          <w:w w:val="100"/>
          <w:spacing w:val="0"/>
          <w:color w:val="000000"/>
          <w:position w:val="0"/>
        </w:rPr>
        <w:t>Диагноз ставится на основании клинико-гематологичес</w:t>
        <w:softHyphen/>
        <w:t>кой картины.</w:t>
      </w:r>
    </w:p>
    <w:p>
      <w:pPr>
        <w:pStyle w:val="Style30"/>
        <w:widowControl w:val="0"/>
        <w:keepNext w:val="0"/>
        <w:keepLines w:val="0"/>
        <w:shd w:val="clear" w:color="auto" w:fill="auto"/>
        <w:bidi w:val="0"/>
        <w:spacing w:before="0" w:after="142"/>
        <w:ind w:left="0" w:right="0" w:firstLine="280"/>
      </w:pPr>
      <w:r>
        <w:rPr>
          <w:lang w:val="ru-RU" w:eastAsia="ru-RU" w:bidi="ru-RU"/>
          <w:w w:val="100"/>
          <w:spacing w:val="0"/>
          <w:color w:val="000000"/>
          <w:position w:val="0"/>
        </w:rPr>
        <w:t>Лечение истинной полицитемии проводится кровопус</w:t>
        <w:softHyphen/>
        <w:t>каниями, химиотерапией, лучевой терапией. При относи</w:t>
        <w:softHyphen/>
        <w:t>тельной полицитемии проводится лечение основного забо</w:t>
        <w:softHyphen/>
        <w:t>левания.</w:t>
      </w:r>
    </w:p>
    <w:p>
      <w:pPr>
        <w:pStyle w:val="Style54"/>
        <w:widowControl w:val="0"/>
        <w:keepNext/>
        <w:keepLines/>
        <w:shd w:val="clear" w:color="auto" w:fill="auto"/>
        <w:bidi w:val="0"/>
        <w:jc w:val="left"/>
        <w:spacing w:before="0" w:after="0" w:line="264" w:lineRule="exact"/>
        <w:ind w:left="0" w:right="0" w:firstLine="0"/>
      </w:pPr>
      <w:bookmarkStart w:id="609" w:name="bookmark609"/>
      <w:r>
        <w:rPr>
          <w:lang w:val="ru-RU" w:eastAsia="ru-RU" w:bidi="ru-RU"/>
          <w:w w:val="100"/>
          <w:spacing w:val="0"/>
          <w:color w:val="000000"/>
          <w:position w:val="0"/>
        </w:rPr>
        <w:t>Легочная гипертензия при длительной искусственной вентиляции легких</w:t>
      </w:r>
      <w:bookmarkEnd w:id="60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Патогенез высокой легочной гипертензии при длитель</w:t>
        <w:softHyphen/>
        <w:t>ной механической вентиляции легких не изучен. Длитель</w:t>
        <w:softHyphen/>
        <w:t>ная ИВЛ может привести к развитию хронической бронхо</w:t>
        <w:softHyphen/>
        <w:t>легочной патологии (бронхолегочная дисплазия), обуслов</w:t>
        <w:softHyphen/>
        <w:t>ливающей вентиляционные нарушения, гипоксемию и в исходе высокую легочную гипертензию.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отделе кардиологии МНИИПиДХ под нашим наблю</w:t>
        <w:softHyphen/>
        <w:t>дением находятся 3 ребенка, которые в раннем неонаталь</w:t>
        <w:softHyphen/>
        <w:t>ном периоде перенесли длительную ИВЛ продолжительно</w:t>
        <w:softHyphen/>
        <w:t>стью от 10 до 36 дней (Белозеров Ю.М. с соавт.). Ни в одном случае в последующем не наблюдалось клинических и рентгенологических признаков бронхолегочного заболе</w:t>
        <w:softHyphen/>
        <w:t>вания. В этой связи мы предполагаем следующий механизм развития легочной гипертензии при данной патологии.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Длительная ИВЛ может приводить к деградации эласти</w:t>
        <w:softHyphen/>
        <w:t>на механическим путем. Кроме того, гемодинамические нарушения в малом круге кровообращения при ИВЛ могут вызвать усиление секреции эластазы в субэндокардиальном пространстве артериол. В норме в безмышечных артерио- лах эта протеаза разрушает эластин и другие экстрацеллю- лярные компоненты матрикса и тем самым индуцирует дифференциацию гладких мышечных клеток из клеток- предшественников. Повышение эластазной активности может приводить к следующим неблагоприятным измене</w:t>
        <w:softHyphen/>
        <w:t>ниям: гипертрофия и гиперплазия гладких мышечных кле</w:t>
        <w:softHyphen/>
        <w:t>ток артериол; дезорганизации вновь синтезируемых в арте- риолах эластина и коллагена, обусловливающей ригид</w:t>
        <w:softHyphen/>
        <w:t>ность сосудистой стенки.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Дезорганизация эластина потенцирует пролиферацию интимы, что приводит к сужению просвета артериолы, а также способствует перемещению гладких мышечных клеток в субэндотелий (мускуляризация безмышечных ар- териол).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и данные обследования у на</w:t>
        <w:softHyphen/>
        <w:t>блюдаемых детей с длительной ИВЛ в неонатальном пери</w:t>
        <w:softHyphen/>
        <w:t>оде полностью соответствуют диагнозу первичной легочной гипертензии, однако указание на раннюю ИВЛ позволило нам рассматривать ее как основной этиопатогенетический фактор возникновения легочной гипертензии у этих детей.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профилактика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Вопросы профилактики легочной гипертензии при дли</w:t>
        <w:softHyphen/>
        <w:t>тельной ИВЛ не разработаны. Решение данной проблемы мы видим в усовершенствовании эффективных режимов ИВЛ, а также в разработке новых лекарственных препара</w:t>
        <w:softHyphen/>
        <w:t>тов, ингибирующих эластазу.</w:t>
      </w:r>
    </w:p>
    <w:p>
      <w:pPr>
        <w:pStyle w:val="Style30"/>
        <w:widowControl w:val="0"/>
        <w:keepNext w:val="0"/>
        <w:keepLines w:val="0"/>
        <w:shd w:val="clear" w:color="auto" w:fill="auto"/>
        <w:bidi w:val="0"/>
        <w:spacing w:before="0" w:after="157"/>
        <w:ind w:left="0" w:right="0" w:firstLine="280"/>
      </w:pPr>
      <w:r>
        <w:rPr>
          <w:lang w:val="ru-RU" w:eastAsia="ru-RU" w:bidi="ru-RU"/>
          <w:w w:val="100"/>
          <w:spacing w:val="0"/>
          <w:color w:val="000000"/>
          <w:position w:val="0"/>
        </w:rPr>
        <w:t xml:space="preserve">По данным </w:t>
      </w:r>
      <w:r>
        <w:rPr>
          <w:lang w:val="en-US" w:eastAsia="en-US" w:bidi="en-US"/>
          <w:w w:val="100"/>
          <w:spacing w:val="0"/>
          <w:color w:val="000000"/>
          <w:position w:val="0"/>
        </w:rPr>
        <w:t xml:space="preserve">M.Rabinovitch </w:t>
      </w:r>
      <w:r>
        <w:rPr>
          <w:lang w:val="ru-RU" w:eastAsia="ru-RU" w:bidi="ru-RU"/>
          <w:w w:val="100"/>
          <w:spacing w:val="0"/>
          <w:color w:val="000000"/>
          <w:position w:val="0"/>
        </w:rPr>
        <w:t xml:space="preserve">(1989), ингибитор эластазы </w:t>
      </w:r>
      <w:r>
        <w:rPr>
          <w:lang w:val="en-US" w:eastAsia="en-US" w:bidi="en-US"/>
          <w:w w:val="100"/>
          <w:spacing w:val="0"/>
          <w:color w:val="000000"/>
          <w:position w:val="0"/>
        </w:rPr>
        <w:t xml:space="preserve">SC-39026 («Searle», </w:t>
      </w:r>
      <w:r>
        <w:rPr>
          <w:lang w:val="ru-RU" w:eastAsia="ru-RU" w:bidi="ru-RU"/>
          <w:w w:val="100"/>
          <w:spacing w:val="0"/>
          <w:color w:val="000000"/>
          <w:position w:val="0"/>
        </w:rPr>
        <w:t>Англия) эффективно предупреждал раз</w:t>
        <w:softHyphen/>
        <w:br w:type="column"/>
        <w:t>витие легочной гипертензии у экспериментальных живот</w:t>
        <w:softHyphen/>
        <w:t>ных, получавших монокроталин или находившихся в усло</w:t>
        <w:softHyphen/>
        <w:t>виях длительной гипоксии при пониженном атмосферном давлении.</w:t>
      </w:r>
    </w:p>
    <w:p>
      <w:pPr>
        <w:pStyle w:val="Style48"/>
        <w:widowControl w:val="0"/>
        <w:keepNext/>
        <w:keepLines/>
        <w:shd w:val="clear" w:color="auto" w:fill="auto"/>
        <w:bidi w:val="0"/>
        <w:jc w:val="left"/>
        <w:spacing w:before="0" w:after="83" w:line="245" w:lineRule="exact"/>
        <w:ind w:left="0" w:right="0" w:firstLine="0"/>
      </w:pPr>
      <w:bookmarkStart w:id="610" w:name="bookmark610"/>
      <w:r>
        <w:rPr>
          <w:lang w:val="ru-RU" w:eastAsia="ru-RU" w:bidi="ru-RU"/>
          <w:w w:val="100"/>
          <w:spacing w:val="0"/>
          <w:color w:val="000000"/>
          <w:position w:val="0"/>
        </w:rPr>
        <w:t>Легочная гипертензия при патологии дыхательного центра</w:t>
      </w:r>
      <w:bookmarkEnd w:id="610"/>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Легочную гипертензию может вызывать патология ды</w:t>
        <w:softHyphen/>
        <w:t>хательного центра. К такой патологии относятся альвео</w:t>
        <w:softHyphen/>
        <w:t>лярная гиповентиляция и гиповентиляционный синдром с ожирением. Альвеолярная гиповентиляция диагностиру</w:t>
        <w:softHyphen/>
        <w:t>ется в случае повышения РаСО</w:t>
      </w:r>
      <w:r>
        <w:rPr>
          <w:lang w:val="ru-RU" w:eastAsia="ru-RU" w:bidi="ru-RU"/>
          <w:vertAlign w:val="subscript"/>
          <w:w w:val="100"/>
          <w:spacing w:val="0"/>
          <w:color w:val="000000"/>
          <w:position w:val="0"/>
        </w:rPr>
        <w:t>2</w:t>
      </w:r>
      <w:r>
        <w:rPr>
          <w:lang w:val="ru-RU" w:eastAsia="ru-RU" w:bidi="ru-RU"/>
          <w:w w:val="100"/>
          <w:spacing w:val="0"/>
          <w:color w:val="000000"/>
          <w:position w:val="0"/>
        </w:rPr>
        <w:t xml:space="preserve"> более 44 мм рт. ст. Наравне с этим наблюдается артериальная гипоксемия с РаО</w:t>
      </w:r>
      <w:r>
        <w:rPr>
          <w:lang w:val="ru-RU" w:eastAsia="ru-RU" w:bidi="ru-RU"/>
          <w:vertAlign w:val="subscript"/>
          <w:w w:val="100"/>
          <w:spacing w:val="0"/>
          <w:color w:val="000000"/>
          <w:position w:val="0"/>
        </w:rPr>
        <w:t>2</w:t>
      </w:r>
      <w:r>
        <w:rPr>
          <w:lang w:val="ru-RU" w:eastAsia="ru-RU" w:bidi="ru-RU"/>
          <w:w w:val="100"/>
          <w:spacing w:val="0"/>
          <w:color w:val="000000"/>
          <w:position w:val="0"/>
        </w:rPr>
        <w:t xml:space="preserve"> менее 70 мм рт. ст. Подобные изменения в газовом составе крови приводят к снижению возбудимости дыхательного центра. Если у пациента отсутствуют изменения со стороны парен</w:t>
        <w:softHyphen/>
        <w:t>химы легочной ткани и грудной клетки, патология дыха</w:t>
        <w:softHyphen/>
        <w:t>тельного центра называется первичной. Если гиповентиля</w:t>
        <w:softHyphen/>
        <w:t xml:space="preserve">ция или апноэ наблюдаются только во время ночного сна, патология носит название «проклятье Ондина» </w:t>
      </w:r>
      <w:r>
        <w:rPr>
          <w:lang w:val="en-US" w:eastAsia="en-US" w:bidi="en-US"/>
          <w:w w:val="100"/>
          <w:spacing w:val="0"/>
          <w:color w:val="000000"/>
          <w:position w:val="0"/>
        </w:rPr>
        <w:t xml:space="preserve">(«Ondine's curse»). </w:t>
      </w:r>
      <w:r>
        <w:rPr>
          <w:lang w:val="ru-RU" w:eastAsia="ru-RU" w:bidi="ru-RU"/>
          <w:w w:val="100"/>
          <w:spacing w:val="0"/>
          <w:color w:val="000000"/>
          <w:position w:val="0"/>
        </w:rPr>
        <w:t>Ее причина — в деструкции медуллярных респира</w:t>
        <w:softHyphen/>
        <w:t>торных нейронов. Первичная гиповентиляция или апноэ рассматривается в рамках нейропатии, захватывающей ди</w:t>
        <w:softHyphen/>
        <w:t>афрагмальный нерв, а также может возникать после била</w:t>
        <w:softHyphen/>
        <w:t>теральной хордотомии. В целом проблемы патологии дыха</w:t>
        <w:softHyphen/>
        <w:t>тельного центра и связанной с ней легочной гипертензии весьма мало изучены на данный момент и с трудом подда</w:t>
        <w:softHyphen/>
        <w:t>ются лечению. Применение медикаментозных стимулято</w:t>
        <w:softHyphen/>
        <w:t>ров дыхания эффекта, как правило, не дает. Для борьбы с развивающимся легочным сердцем используют механиче</w:t>
        <w:softHyphen/>
        <w:t>скую вентиляцию легких.</w:t>
      </w:r>
    </w:p>
    <w:p>
      <w:pPr>
        <w:pStyle w:val="Style54"/>
        <w:widowControl w:val="0"/>
        <w:keepNext/>
        <w:keepLines/>
        <w:shd w:val="clear" w:color="auto" w:fill="auto"/>
        <w:bidi w:val="0"/>
        <w:jc w:val="both"/>
        <w:spacing w:before="0" w:after="0" w:line="210" w:lineRule="exact"/>
        <w:ind w:left="0" w:right="0" w:firstLine="0"/>
      </w:pPr>
      <w:bookmarkStart w:id="611" w:name="bookmark611"/>
      <w:r>
        <w:rPr>
          <w:lang w:val="ru-RU" w:eastAsia="ru-RU" w:bidi="ru-RU"/>
          <w:w w:val="100"/>
          <w:spacing w:val="0"/>
          <w:color w:val="000000"/>
          <w:position w:val="0"/>
        </w:rPr>
        <w:t>Легочная гипертензия при ожирении</w:t>
      </w:r>
      <w:bookmarkEnd w:id="61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Ожирение высокой степени может ассоциироваться с одним из четырех видов нарушения вентиляции:</w:t>
      </w:r>
    </w:p>
    <w:p>
      <w:pPr>
        <w:pStyle w:val="Style30"/>
        <w:numPr>
          <w:ilvl w:val="0"/>
          <w:numId w:val="127"/>
        </w:numPr>
        <w:tabs>
          <w:tab w:leader="none" w:pos="54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выраженное ожирение без аномалий вентиляции лег</w:t>
        <w:softHyphen/>
        <w:t>ких;</w:t>
      </w:r>
    </w:p>
    <w:p>
      <w:pPr>
        <w:pStyle w:val="Style30"/>
        <w:numPr>
          <w:ilvl w:val="0"/>
          <w:numId w:val="127"/>
        </w:numPr>
        <w:tabs>
          <w:tab w:leader="none" w:pos="55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выраженное ожирение с апноэ во время сна;</w:t>
      </w:r>
    </w:p>
    <w:p>
      <w:pPr>
        <w:pStyle w:val="Style30"/>
        <w:numPr>
          <w:ilvl w:val="0"/>
          <w:numId w:val="127"/>
        </w:numPr>
        <w:tabs>
          <w:tab w:leader="none" w:pos="554"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выраженное ожирение с альвеолярной гиповентиля</w:t>
        <w:softHyphen/>
        <w:t>цией в дневное время и апноэ во время сна;</w:t>
      </w:r>
    </w:p>
    <w:p>
      <w:pPr>
        <w:pStyle w:val="Style30"/>
        <w:numPr>
          <w:ilvl w:val="0"/>
          <w:numId w:val="127"/>
        </w:numPr>
        <w:tabs>
          <w:tab w:leader="none" w:pos="55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выраженное ожирение с альвеолярной гиповентиля</w:t>
        <w:softHyphen/>
        <w:t>цией и непродолжительными апноэ во время сна или их отсутствием.</w:t>
      </w:r>
    </w:p>
    <w:p>
      <w:pPr>
        <w:pStyle w:val="Style30"/>
        <w:widowControl w:val="0"/>
        <w:keepNext w:val="0"/>
        <w:keepLines w:val="0"/>
        <w:shd w:val="clear" w:color="auto" w:fill="auto"/>
        <w:bidi w:val="0"/>
        <w:spacing w:before="0" w:after="0"/>
        <w:ind w:left="0" w:right="0" w:firstLine="280"/>
        <w:sectPr>
          <w:headerReference w:type="even" r:id="rId1001"/>
          <w:headerReference w:type="default" r:id="rId1002"/>
          <w:headerReference w:type="first" r:id="rId1003"/>
          <w:pgSz w:w="11900" w:h="16840"/>
          <w:pgMar w:top="1574" w:left="1027" w:right="981" w:bottom="1747" w:header="0" w:footer="3" w:gutter="0"/>
          <w:rtlGutter w:val="0"/>
          <w:cols w:num="2" w:space="195"/>
          <w:noEndnote/>
          <w:docGrid w:linePitch="360"/>
        </w:sectPr>
      </w:pPr>
      <w:r>
        <w:rPr>
          <w:lang w:val="ru-RU" w:eastAsia="ru-RU" w:bidi="ru-RU"/>
          <w:w w:val="100"/>
          <w:spacing w:val="0"/>
          <w:color w:val="000000"/>
          <w:position w:val="0"/>
        </w:rPr>
        <w:t>Термин «пиквикский синдром» употребляется, чтобы как-то связать наличие у ребенка ожирения и апноэ во вре</w:t>
        <w:softHyphen/>
        <w:t>мя сна. Однако термин не отражает всех особенностей на</w:t>
        <w:softHyphen/>
        <w:t>рушения вентиляции, которые могут наблюдаться у детей с ожирением. Всем детям с ожирением и гиповентиляцией должна проводиться полисомнограмма (изучение парамет</w:t>
        <w:softHyphen/>
        <w:t>ров дыхания во время сна), которая помогает выявить об</w:t>
        <w:softHyphen/>
        <w:t>структивное апноэ. Оно может быть корригировано, и это уменьшает или приводит к исчезновению гиповентиляции и, следовательно, легочной гипертензии.</w:t>
      </w:r>
    </w:p>
    <w:p>
      <w:pPr>
        <w:widowControl w:val="0"/>
        <w:rPr>
          <w:sz w:val="2"/>
          <w:szCs w:val="2"/>
        </w:rPr>
      </w:pPr>
      <w:r>
        <w:pict>
          <v:shape id="_x0000_s1630" type="#_x0000_t202" style="position:static;width:595.pt;height:142.3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631" type="#_x0000_t75" style="position:absolute;margin-left:132.45pt;margin-top:0;width:209.75pt;height:14.9pt;z-index:-251658660;mso-wrap-distance-left:5.pt;mso-wrap-distance-right:5.pt;mso-position-horizontal-relative:margin" wrapcoords="0 0">
            <v:imagedata r:id="rId1004" r:href="rId1005"/>
            <w10:wrap anchorx="margin"/>
          </v:shape>
        </w:pict>
      </w:r>
    </w:p>
    <w:p>
      <w:pPr>
        <w:widowControl w:val="0"/>
        <w:rPr>
          <w:sz w:val="2"/>
          <w:szCs w:val="2"/>
        </w:rPr>
        <w:sectPr>
          <w:type w:val="continuous"/>
          <w:pgSz w:w="11900" w:h="16840"/>
          <w:pgMar w:top="1468" w:left="1119" w:right="898" w:bottom="192" w:header="0" w:footer="3" w:gutter="0"/>
          <w:rtlGutter w:val="0"/>
          <w:cols w:space="720"/>
          <w:noEndnote/>
          <w:docGrid w:linePitch="360"/>
        </w:sectPr>
      </w:pPr>
    </w:p>
    <w:p>
      <w:pPr>
        <w:pStyle w:val="Style5"/>
        <w:widowControl w:val="0"/>
        <w:keepNext w:val="0"/>
        <w:keepLines w:val="0"/>
        <w:shd w:val="clear" w:color="auto" w:fill="auto"/>
        <w:bidi w:val="0"/>
        <w:jc w:val="left"/>
        <w:spacing w:before="0" w:after="274" w:line="340" w:lineRule="exact"/>
        <w:ind w:left="2320" w:right="0" w:firstLine="0"/>
      </w:pPr>
      <w:r>
        <w:rPr>
          <w:rStyle w:val="CharStyle144"/>
          <w:b/>
          <w:bCs/>
        </w:rPr>
        <w:t>Глава IX</w:t>
      </w:r>
    </w:p>
    <w:p>
      <w:pPr>
        <w:pStyle w:val="Style15"/>
        <w:widowControl w:val="0"/>
        <w:keepNext/>
        <w:keepLines/>
        <w:shd w:val="clear" w:color="auto" w:fill="auto"/>
        <w:bidi w:val="0"/>
        <w:jc w:val="left"/>
        <w:spacing w:before="0" w:after="34" w:line="340" w:lineRule="exact"/>
        <w:ind w:left="2320" w:right="0" w:firstLine="0"/>
      </w:pPr>
      <w:bookmarkStart w:id="612" w:name="bookmark612"/>
      <w:r>
        <w:rPr>
          <w:rStyle w:val="CharStyle145"/>
          <w:b/>
          <w:bCs/>
        </w:rPr>
        <w:t>ПОРАЖЕНИЕ СЕРДЦА</w:t>
      </w:r>
      <w:bookmarkEnd w:id="612"/>
    </w:p>
    <w:p>
      <w:pPr>
        <w:pStyle w:val="Style15"/>
        <w:widowControl w:val="0"/>
        <w:keepNext/>
        <w:keepLines/>
        <w:shd w:val="clear" w:color="auto" w:fill="auto"/>
        <w:bidi w:val="0"/>
        <w:jc w:val="left"/>
        <w:spacing w:before="0" w:after="0" w:line="340" w:lineRule="exact"/>
        <w:ind w:left="2320" w:right="0" w:firstLine="0"/>
        <w:sectPr>
          <w:pgSz w:w="11900" w:h="16840"/>
          <w:pgMar w:top="1800" w:left="893" w:right="1114" w:bottom="206" w:header="0" w:footer="3" w:gutter="0"/>
          <w:rtlGutter w:val="0"/>
          <w:cols w:space="720"/>
          <w:noEndnote/>
          <w:docGrid w:linePitch="360"/>
        </w:sectPr>
      </w:pPr>
      <w:bookmarkStart w:id="613" w:name="bookmark613"/>
      <w:r>
        <w:rPr>
          <w:rStyle w:val="CharStyle145"/>
          <w:b/>
          <w:bCs/>
        </w:rPr>
        <w:t>ПРИ НАСЛЕДСТВЕННЫХ ЗАБОЛЕВАНИЯХ</w:t>
      </w:r>
      <w:bookmarkEnd w:id="613"/>
    </w:p>
    <w:p>
      <w:pPr>
        <w:widowControl w:val="0"/>
        <w:spacing w:line="240" w:lineRule="exact"/>
        <w:rPr>
          <w:sz w:val="19"/>
          <w:szCs w:val="19"/>
        </w:rPr>
      </w:pPr>
    </w:p>
    <w:p>
      <w:pPr>
        <w:widowControl w:val="0"/>
        <w:spacing w:line="240" w:lineRule="exact"/>
        <w:rPr>
          <w:sz w:val="19"/>
          <w:szCs w:val="19"/>
        </w:rPr>
      </w:pPr>
    </w:p>
    <w:p>
      <w:pPr>
        <w:widowControl w:val="0"/>
        <w:spacing w:before="41" w:after="41" w:line="240" w:lineRule="exact"/>
        <w:rPr>
          <w:sz w:val="19"/>
          <w:szCs w:val="19"/>
        </w:rPr>
      </w:pPr>
    </w:p>
    <w:p>
      <w:pPr>
        <w:widowControl w:val="0"/>
        <w:rPr>
          <w:sz w:val="2"/>
          <w:szCs w:val="2"/>
        </w:rPr>
        <w:sectPr>
          <w:type w:val="continuous"/>
          <w:pgSz w:w="11900" w:h="16840"/>
          <w:pgMar w:top="1554" w:left="0" w:right="0" w:bottom="1736" w:header="0" w:footer="3" w:gutter="0"/>
          <w:rtlGutter w:val="0"/>
          <w:cols w:space="720"/>
          <w:noEndnote/>
          <w:docGrid w:linePitch="360"/>
        </w:sectPr>
      </w:pPr>
    </w:p>
    <w:p>
      <w:pPr>
        <w:widowControl w:val="0"/>
        <w:rPr>
          <w:sz w:val="2"/>
          <w:szCs w:val="2"/>
        </w:rPr>
      </w:pPr>
      <w:r>
        <w:pict>
          <v:shape id="_x0000_s1632" type="#_x0000_t75" style="position:absolute;margin-left:142.95pt;margin-top:608.9pt;width:209.75pt;height:14.9pt;z-index:-125828965;mso-wrap-distance-left:148.1pt;mso-wrap-distance-right:137.05pt;mso-wrap-distance-bottom:10.8pt;mso-position-horizontal-relative:margin" wrapcoords="0 0 21600 0 21600 21600 0 21600 0 0">
            <v:imagedata r:id="rId1006" r:href="rId1007"/>
            <w10:wrap type="topAndBottom" anchorx="margin"/>
          </v:shape>
        </w:pict>
      </w:r>
    </w:p>
    <w:p>
      <w:pPr>
        <w:pStyle w:val="Style28"/>
        <w:widowControl w:val="0"/>
        <w:keepNext/>
        <w:keepLines/>
        <w:shd w:val="clear" w:color="auto" w:fill="auto"/>
        <w:bidi w:val="0"/>
        <w:jc w:val="both"/>
        <w:spacing w:before="0" w:after="190" w:line="288" w:lineRule="exact"/>
        <w:ind w:left="0" w:right="0" w:firstLine="0"/>
      </w:pPr>
      <w:bookmarkStart w:id="614" w:name="bookmark614"/>
      <w:r>
        <w:rPr>
          <w:lang w:val="ru-RU" w:eastAsia="ru-RU" w:bidi="ru-RU"/>
          <w:w w:val="100"/>
          <w:spacing w:val="0"/>
          <w:color w:val="000000"/>
          <w:position w:val="0"/>
        </w:rPr>
        <w:t>Поражение сердца при наследственных нарушениях обмена веществ</w:t>
      </w:r>
      <w:bookmarkEnd w:id="614"/>
    </w:p>
    <w:p>
      <w:pPr>
        <w:pStyle w:val="Style48"/>
        <w:widowControl w:val="0"/>
        <w:keepNext/>
        <w:keepLines/>
        <w:shd w:val="clear" w:color="auto" w:fill="auto"/>
        <w:bidi w:val="0"/>
        <w:jc w:val="both"/>
        <w:spacing w:before="0" w:after="41" w:line="200" w:lineRule="exact"/>
        <w:ind w:left="0" w:right="0" w:firstLine="0"/>
      </w:pPr>
      <w:bookmarkStart w:id="615" w:name="bookmark615"/>
      <w:r>
        <w:rPr>
          <w:lang w:val="ru-RU" w:eastAsia="ru-RU" w:bidi="ru-RU"/>
          <w:w w:val="100"/>
          <w:spacing w:val="0"/>
          <w:color w:val="000000"/>
          <w:position w:val="0"/>
        </w:rPr>
        <w:t>Гликогенозы</w:t>
      </w:r>
      <w:bookmarkEnd w:id="61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Нарушения, вызванные мутациями структурных или ре</w:t>
        <w:softHyphen/>
        <w:t>гуляторных генов, ответственных за синтез и активность различных ферментов обмена гликогена, приводят к ано</w:t>
        <w:softHyphen/>
        <w:t>мальному его накоплению и/или изменению его структу</w:t>
        <w:softHyphen/>
        <w:t>ры — гликогенозу.</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Ранее считалось, что из XI типов гликогенозов сердце поражается только при одном из них — II типе (сердечный гликогеноз). Теперь установлено, что сердце часто поража</w:t>
        <w:softHyphen/>
        <w:t xml:space="preserve">ется и при </w:t>
      </w:r>
      <w:r>
        <w:rPr>
          <w:lang w:val="en-US" w:eastAsia="en-US" w:bidi="en-US"/>
          <w:w w:val="100"/>
          <w:spacing w:val="0"/>
          <w:color w:val="000000"/>
          <w:position w:val="0"/>
        </w:rPr>
        <w:t xml:space="preserve">III </w:t>
      </w:r>
      <w:r>
        <w:rPr>
          <w:lang w:val="ru-RU" w:eastAsia="ru-RU" w:bidi="ru-RU"/>
          <w:w w:val="100"/>
          <w:spacing w:val="0"/>
          <w:color w:val="000000"/>
          <w:position w:val="0"/>
        </w:rPr>
        <w:t xml:space="preserve">типе, а также в той или иной мере при </w:t>
      </w:r>
      <w:r>
        <w:rPr>
          <w:lang w:val="en-US" w:eastAsia="en-US" w:bidi="en-US"/>
          <w:w w:val="100"/>
          <w:spacing w:val="0"/>
          <w:color w:val="000000"/>
          <w:position w:val="0"/>
        </w:rPr>
        <w:t xml:space="preserve">IV, V </w:t>
      </w:r>
      <w:r>
        <w:rPr>
          <w:lang w:val="ru-RU" w:eastAsia="ru-RU" w:bidi="ru-RU"/>
          <w:w w:val="100"/>
          <w:spacing w:val="0"/>
          <w:color w:val="000000"/>
          <w:position w:val="0"/>
        </w:rPr>
        <w:t xml:space="preserve">и VI типах гликогенозов. С другой стороны, гликогенозы I, </w:t>
      </w:r>
      <w:r>
        <w:rPr>
          <w:lang w:val="en-US" w:eastAsia="en-US" w:bidi="en-US"/>
          <w:w w:val="100"/>
          <w:spacing w:val="0"/>
          <w:color w:val="000000"/>
          <w:position w:val="0"/>
        </w:rPr>
        <w:t xml:space="preserve">III, VI </w:t>
      </w:r>
      <w:r>
        <w:rPr>
          <w:lang w:val="ru-RU" w:eastAsia="ru-RU" w:bidi="ru-RU"/>
          <w:w w:val="100"/>
          <w:spacing w:val="0"/>
          <w:color w:val="000000"/>
          <w:position w:val="0"/>
        </w:rPr>
        <w:t xml:space="preserve">и </w:t>
      </w:r>
      <w:r>
        <w:rPr>
          <w:lang w:val="en-US" w:eastAsia="en-US" w:bidi="en-US"/>
          <w:w w:val="100"/>
          <w:spacing w:val="0"/>
          <w:color w:val="000000"/>
          <w:position w:val="0"/>
        </w:rPr>
        <w:t xml:space="preserve">VIII </w:t>
      </w:r>
      <w:r>
        <w:rPr>
          <w:lang w:val="ru-RU" w:eastAsia="ru-RU" w:bidi="ru-RU"/>
          <w:w w:val="100"/>
          <w:spacing w:val="0"/>
          <w:color w:val="000000"/>
          <w:position w:val="0"/>
        </w:rPr>
        <w:t>типов сопровождаются гипертриглицеридеми- ей или смешанной гиперлипидемией, что предрасполагает к раннему развитию атеросклероза коронарных артерий.</w:t>
      </w:r>
    </w:p>
    <w:p>
      <w:pPr>
        <w:pStyle w:val="Style92"/>
        <w:widowControl w:val="0"/>
        <w:keepNext/>
        <w:keepLines/>
        <w:shd w:val="clear" w:color="auto" w:fill="auto"/>
        <w:bidi w:val="0"/>
        <w:spacing w:before="0" w:after="0"/>
        <w:ind w:left="0" w:right="0" w:firstLine="280"/>
      </w:pPr>
      <w:bookmarkStart w:id="616" w:name="bookmark616"/>
      <w:r>
        <w:rPr>
          <w:lang w:val="ru-RU" w:eastAsia="ru-RU" w:bidi="ru-RU"/>
          <w:w w:val="100"/>
          <w:spacing w:val="0"/>
          <w:color w:val="000000"/>
          <w:position w:val="0"/>
        </w:rPr>
        <w:t>Гликогеноз II типа (болезнь Помпе)</w:t>
      </w:r>
      <w:bookmarkEnd w:id="61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Наследственный дефицит кислой альфа-1,4-глюкозида- зы (кислой мальтозы). Кислая мальтоза локализуется в ли- зосомах и осуществляет гидролиз гликогена и других олиго - сахаридов до свободной глюкозы. Гликоген накапливается в лизосомах и цитоплазме миокарда (сократительной и проводящей системе), скелетных мышц и печени.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Выделяют две формы заболевания: гликогеновую кар- диомегалию грудных детей (гликогеноз Па типа) и псевдо- миотоническую форму (гликогеноз </w:t>
      </w:r>
      <w:r>
        <w:rPr>
          <w:lang w:val="en-US" w:eastAsia="en-US" w:bidi="en-US"/>
          <w:w w:val="100"/>
          <w:spacing w:val="0"/>
          <w:color w:val="000000"/>
          <w:position w:val="0"/>
        </w:rPr>
        <w:t xml:space="preserve">IIb). </w:t>
      </w:r>
      <w:r>
        <w:rPr>
          <w:lang w:val="ru-RU" w:eastAsia="ru-RU" w:bidi="ru-RU"/>
          <w:w w:val="100"/>
          <w:spacing w:val="0"/>
          <w:color w:val="000000"/>
          <w:position w:val="0"/>
        </w:rPr>
        <w:t>Гликогеноз Па ти</w:t>
        <w:softHyphen/>
        <w:t xml:space="preserve">па встречается значительно чаще, чем </w:t>
      </w:r>
      <w:r>
        <w:rPr>
          <w:lang w:val="en-US" w:eastAsia="en-US" w:bidi="en-US"/>
          <w:w w:val="100"/>
          <w:spacing w:val="0"/>
          <w:color w:val="000000"/>
          <w:position w:val="0"/>
        </w:rPr>
        <w:t xml:space="preserve">IIb </w:t>
      </w:r>
      <w:r>
        <w:rPr>
          <w:lang w:val="ru-RU" w:eastAsia="ru-RU" w:bidi="ru-RU"/>
          <w:w w:val="100"/>
          <w:spacing w:val="0"/>
          <w:color w:val="000000"/>
          <w:position w:val="0"/>
        </w:rPr>
        <w:t>тип. Возможно сочетание этих форм. Болезнью Помпе называют лишь первую — кардиальную форму. В зависимости от времени появления симптоматики заболевания выделяют инфан</w:t>
        <w:softHyphen/>
        <w:t>тильную, юношескую и взрослую формы. Заболевание пре</w:t>
        <w:softHyphen/>
        <w:t>обладает у лиц мужского пола.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Ведущими экстракардиальными проявлениями при ин</w:t>
        <w:softHyphen/>
        <w:t>фантильной форме являются генерализованная мышечная гипотония, снижение глубоких сухожильных рефлексов, затруднение дыхания, гепатомегалия, макроглоссия. У под</w:t>
        <w:softHyphen/>
        <w:t>ростков и взрослых болезнь обычно проявляется прогрес</w:t>
        <w:softHyphen/>
        <w:t>сирующей слабостью мышц тазового пояса, спинального отдела и диафрагмы.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Заболевание развивается еще во внутриутробном пери</w:t>
        <w:softHyphen/>
        <w:t>оде, при этом может быть внутриутробная смерть плода из-за тяжелой сердечной недостаточности, приводящей к водянке плода. При инфантильной форме болезнь мани</w:t>
        <w:softHyphen/>
        <w:t>фестирует в возрасте 2-7 месяцев кардиомегалией с явлени</w:t>
        <w:softHyphen/>
        <w:t>ями застойной сердечной недостаточности (выраженная</w:t>
        <w:br w:type="column"/>
        <w:t>гепатомегалия, цианоз конечностей, отеки). В редких слу</w:t>
        <w:softHyphen/>
        <w:t>чаях начало болезни у новорожденных может проявиться патологической брадикардией. При аускультации обычно регистрируются тахикардия, ритм галопа, грубый систоли</w:t>
        <w:softHyphen/>
        <w:t>ческий шум обструкции выходного тракта левого желудоч</w:t>
        <w:softHyphen/>
        <w:t>ка. При юношеской форме кардиомегалия может явиться случайной находкой при обследовании по поводу мышеч</w:t>
        <w:softHyphen/>
        <w:t>ной слабости, а хроническая сердечная недостаточность длительное время носит латентный характер.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 гликогенозе </w:t>
      </w:r>
      <w:r>
        <w:rPr>
          <w:lang w:val="en-US" w:eastAsia="en-US" w:bidi="en-US"/>
          <w:w w:val="100"/>
          <w:spacing w:val="0"/>
          <w:color w:val="000000"/>
          <w:position w:val="0"/>
        </w:rPr>
        <w:t xml:space="preserve">II </w:t>
      </w:r>
      <w:r>
        <w:rPr>
          <w:lang w:val="ru-RU" w:eastAsia="ru-RU" w:bidi="ru-RU"/>
          <w:w w:val="100"/>
          <w:spacing w:val="0"/>
          <w:color w:val="000000"/>
          <w:position w:val="0"/>
        </w:rPr>
        <w:t>типа может развиваться симптома</w:t>
        <w:softHyphen/>
        <w:t>тика легочной гипертензии с правожелудочковой недоста</w:t>
        <w:softHyphen/>
        <w:t xml:space="preserve">точностью. Последняя более характерна для взрослого типа </w:t>
      </w:r>
      <w:r>
        <w:rPr>
          <w:lang w:val="en-US" w:eastAsia="en-US" w:bidi="en-US"/>
          <w:w w:val="100"/>
          <w:spacing w:val="0"/>
          <w:color w:val="000000"/>
          <w:position w:val="0"/>
        </w:rPr>
        <w:t xml:space="preserve">IIb </w:t>
      </w:r>
      <w:r>
        <w:rPr>
          <w:lang w:val="ru-RU" w:eastAsia="ru-RU" w:bidi="ru-RU"/>
          <w:w w:val="100"/>
          <w:spacing w:val="0"/>
          <w:color w:val="000000"/>
          <w:position w:val="0"/>
        </w:rPr>
        <w:t>гликогеноза. Она усиливается в ночные часы и связана с гиповентиляцией из-за прогрессирующего нервномы</w:t>
        <w:softHyphen/>
        <w:t>шечного поражения диафрагмы. Наряду с этим сердечная недостаточность прогрессирует из-за частых аспирацион</w:t>
        <w:softHyphen/>
        <w:t xml:space="preserve">ных пневмоний. Другим возможным проявлением гликоге- ноза </w:t>
      </w:r>
      <w:r>
        <w:rPr>
          <w:lang w:val="en-US" w:eastAsia="en-US" w:bidi="en-US"/>
          <w:w w:val="100"/>
          <w:spacing w:val="0"/>
          <w:color w:val="000000"/>
          <w:position w:val="0"/>
        </w:rPr>
        <w:t xml:space="preserve">II </w:t>
      </w:r>
      <w:r>
        <w:rPr>
          <w:lang w:val="ru-RU" w:eastAsia="ru-RU" w:bidi="ru-RU"/>
          <w:w w:val="100"/>
          <w:spacing w:val="0"/>
          <w:color w:val="000000"/>
          <w:position w:val="0"/>
        </w:rPr>
        <w:t>типа у подростков и взрослых является вакуольная дегенерация артериальных сосудов, иногда приводящая к субарахноидальному кровоизлиянию.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ЭКГ характерна левожелудочковая или бивентрику</w:t>
        <w:softHyphen/>
        <w:t>лярная гипертрофия миокарда, высокий вольтаж комплек</w:t>
        <w:softHyphen/>
        <w:t xml:space="preserve">сов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и зубцов Т, укороченный интервал </w:t>
      </w:r>
      <w:r>
        <w:rPr>
          <w:lang w:val="en-US" w:eastAsia="en-US" w:bidi="en-US"/>
          <w:w w:val="100"/>
          <w:spacing w:val="0"/>
          <w:color w:val="000000"/>
          <w:position w:val="0"/>
        </w:rPr>
        <w:t xml:space="preserve">P-R. </w:t>
      </w:r>
      <w:r>
        <w:rPr>
          <w:lang w:val="ru-RU" w:eastAsia="ru-RU" w:bidi="ru-RU"/>
          <w:w w:val="100"/>
          <w:spacing w:val="0"/>
          <w:color w:val="000000"/>
          <w:position w:val="0"/>
        </w:rPr>
        <w:t xml:space="preserve">Интервал </w:t>
      </w:r>
      <w:r>
        <w:rPr>
          <w:lang w:val="en-US" w:eastAsia="en-US" w:bidi="en-US"/>
          <w:w w:val="100"/>
          <w:spacing w:val="0"/>
          <w:color w:val="000000"/>
          <w:position w:val="0"/>
        </w:rPr>
        <w:t xml:space="preserve">P-R </w:t>
      </w:r>
      <w:r>
        <w:rPr>
          <w:lang w:val="ru-RU" w:eastAsia="ru-RU" w:bidi="ru-RU"/>
          <w:w w:val="100"/>
          <w:spacing w:val="0"/>
          <w:color w:val="000000"/>
          <w:position w:val="0"/>
        </w:rPr>
        <w:t>в большинстве случаев укорочен до 0,04-0,08 с, послед</w:t>
        <w:softHyphen/>
        <w:t xml:space="preserve">ний (синдром укороченного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предрасполагает к суправентрикулярной тахикардии. У 1/3 больных наблюда</w:t>
        <w:softHyphen/>
        <w:t>ется отклонение электрической оси сердца влево, гипертро</w:t>
        <w:softHyphen/>
        <w:t xml:space="preserve">фия правого предсердия и правого желудочка. Амплитуда </w:t>
      </w:r>
      <w:r>
        <w:rPr>
          <w:lang w:val="en-US" w:eastAsia="en-US" w:bidi="en-US"/>
          <w:w w:val="100"/>
          <w:spacing w:val="0"/>
          <w:color w:val="000000"/>
          <w:position w:val="0"/>
        </w:rPr>
        <w:t xml:space="preserve">RII+RIII (RI+SIII </w:t>
      </w:r>
      <w:r>
        <w:rPr>
          <w:lang w:val="ru-RU" w:eastAsia="ru-RU" w:bidi="ru-RU"/>
          <w:w w:val="100"/>
          <w:spacing w:val="0"/>
          <w:color w:val="000000"/>
          <w:position w:val="0"/>
        </w:rPr>
        <w:t>при отклонении оси сердца влево) высо</w:t>
        <w:softHyphen/>
        <w:t xml:space="preserve">кая (превышает 30 мм, достигает 50-70 и даже 90 мм). Реже регистрируются узкие и глубокие зубцы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отведениях </w:t>
      </w:r>
      <w:r>
        <w:rPr>
          <w:lang w:val="en-US" w:eastAsia="en-US" w:bidi="en-US"/>
          <w:w w:val="100"/>
          <w:spacing w:val="0"/>
          <w:color w:val="000000"/>
          <w:position w:val="0"/>
        </w:rPr>
        <w:t xml:space="preserve">II, </w:t>
      </w:r>
      <w:r>
        <w:rPr>
          <w:lang w:val="ru-RU" w:eastAsia="ru-RU" w:bidi="ru-RU"/>
          <w:w w:val="100"/>
          <w:spacing w:val="0"/>
          <w:color w:val="000000"/>
          <w:position w:val="0"/>
        </w:rPr>
        <w:t xml:space="preserve">III, </w:t>
      </w:r>
      <w:r>
        <w:rPr>
          <w:lang w:val="en-US" w:eastAsia="en-US" w:bidi="en-US"/>
          <w:w w:val="100"/>
          <w:spacing w:val="0"/>
          <w:color w:val="000000"/>
          <w:position w:val="0"/>
        </w:rPr>
        <w:t>aVF, V</w:t>
      </w:r>
      <w:r>
        <w:rPr>
          <w:lang w:val="en-US" w:eastAsia="en-US" w:bidi="en-US"/>
          <w:vertAlign w:val="subscript"/>
          <w:w w:val="100"/>
          <w:spacing w:val="0"/>
          <w:color w:val="000000"/>
          <w:position w:val="0"/>
        </w:rPr>
        <w:t>4</w:t>
      </w:r>
      <w:r>
        <w:rPr>
          <w:lang w:val="en-US" w:eastAsia="en-US" w:bidi="en-US"/>
          <w:w w:val="100"/>
          <w:spacing w:val="0"/>
          <w:color w:val="000000"/>
          <w:position w:val="0"/>
        </w:rPr>
        <w:t xml:space="preserve">-V </w:t>
      </w:r>
      <w:r>
        <w:rPr>
          <w:lang w:val="ru-RU" w:eastAsia="ru-RU" w:bidi="ru-RU"/>
          <w:w w:val="100"/>
          <w:spacing w:val="0"/>
          <w:color w:val="000000"/>
          <w:position w:val="0"/>
        </w:rPr>
        <w:t xml:space="preserve">6. Могут обнаруживаться признаки нарушения внутрижелудочковой проводимости. Почти всегда имеются нарушения реполяризации в виде депрессии, реже подъема сегмента </w:t>
      </w:r>
      <w:r>
        <w:rPr>
          <w:lang w:val="en-US" w:eastAsia="en-US" w:bidi="en-US"/>
          <w:w w:val="100"/>
          <w:spacing w:val="0"/>
          <w:color w:val="000000"/>
          <w:position w:val="0"/>
        </w:rPr>
        <w:t xml:space="preserve">ST </w:t>
      </w:r>
      <w:r>
        <w:rPr>
          <w:lang w:val="ru-RU" w:eastAsia="ru-RU" w:bidi="ru-RU"/>
          <w:w w:val="100"/>
          <w:spacing w:val="0"/>
          <w:color w:val="000000"/>
          <w:position w:val="0"/>
        </w:rPr>
        <w:t>и симметричной инверсии зубца Т, преимуще</w:t>
        <w:softHyphen/>
        <w:t xml:space="preserve">ственно в </w:t>
      </w:r>
      <w:r>
        <w:rPr>
          <w:lang w:val="en-US" w:eastAsia="en-US" w:bidi="en-US"/>
          <w:w w:val="100"/>
          <w:spacing w:val="0"/>
          <w:color w:val="000000"/>
          <w:position w:val="0"/>
        </w:rPr>
        <w:t xml:space="preserve">I, </w:t>
      </w:r>
      <w:r>
        <w:rPr>
          <w:lang w:val="ru-RU" w:eastAsia="ru-RU" w:bidi="ru-RU"/>
          <w:w w:val="100"/>
          <w:spacing w:val="0"/>
          <w:color w:val="000000"/>
          <w:position w:val="0"/>
        </w:rPr>
        <w:t>II и левых грудных отведениях. При юношес</w:t>
        <w:softHyphen/>
        <w:t xml:space="preserve">ком типе и у взрослых может наблюдаться синдром </w:t>
      </w:r>
      <w:r>
        <w:rPr>
          <w:lang w:val="en-US" w:eastAsia="en-US" w:bidi="en-US"/>
          <w:w w:val="100"/>
          <w:spacing w:val="0"/>
          <w:color w:val="000000"/>
          <w:position w:val="0"/>
        </w:rPr>
        <w:t xml:space="preserve">WPW </w:t>
      </w:r>
      <w:r>
        <w:rPr>
          <w:lang w:val="ru-RU" w:eastAsia="ru-RU" w:bidi="ru-RU"/>
          <w:w w:val="100"/>
          <w:spacing w:val="0"/>
          <w:color w:val="000000"/>
          <w:position w:val="0"/>
        </w:rPr>
        <w:t xml:space="preserve">и атриовентрикулярная блокада </w:t>
      </w:r>
      <w:r>
        <w:rPr>
          <w:lang w:val="en-US" w:eastAsia="en-US" w:bidi="en-US"/>
          <w:w w:val="100"/>
          <w:spacing w:val="0"/>
          <w:color w:val="000000"/>
          <w:position w:val="0"/>
        </w:rPr>
        <w:t xml:space="preserve">I-II </w:t>
      </w:r>
      <w:r>
        <w:rPr>
          <w:lang w:val="ru-RU" w:eastAsia="ru-RU" w:bidi="ru-RU"/>
          <w:w w:val="100"/>
          <w:spacing w:val="0"/>
          <w:color w:val="000000"/>
          <w:position w:val="0"/>
        </w:rPr>
        <w:t>степени.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Рентгенологически определяются шаровидной формы тень сердца, кардиомегалия, преимущественно за счет ле</w:t>
        <w:softHyphen/>
        <w:t>вых отделов, усиление сосудистого рисунка легких.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эхокардиографическом исследовании у новорожден</w:t>
        <w:softHyphen/>
        <w:t>ных с гликогенозом Па типа обнаруживается гипертрофия задней стенки левого желудочка и межжелудочковой перего</w:t>
        <w:softHyphen/>
        <w:t>родки, при этом полость левого желудочка уменьшена. Дан</w:t>
        <w:softHyphen/>
        <w:t>ная гипертрофия может носить концентрический симмет</w:t>
        <w:softHyphen/>
        <w:t>ричный характер или асимметричный при преимуществен</w:t>
        <w:softHyphen/>
        <w:t>ной гипертрофии межжелудочковой перегородки. При нали</w:t>
        <w:softHyphen/>
        <w:t>чии асимметричной септальной гипертрофии появляется пе-</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реднесистолическое движение митрального клапана, а при допплерографии регистрируется градиент давления между аортой и левым желудочком. Наряду с гипертрофией левого желудочка определяется гипертрофия свободной стенки пра</w:t>
        <w:softHyphen/>
        <w:t>вого желудочка и увеличение его контрактильности.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 данным магниторезонансной томографии сердца оп</w:t>
        <w:softHyphen/>
        <w:t>ределяются участки негомогенной плотности миокарда.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аутопсии определяется значительное увеличение массы сердца из-за его гипертрофии. Сердечные камеры, коронарные артерии и клапаны не изменены. Может опре</w:t>
        <w:softHyphen/>
        <w:t>деляться умеренный фиброэластоз эндокарда. При световой микроскопии определяется диффузная вакуолизация мио</w:t>
        <w:softHyphen/>
        <w:t>карда, в том числе в области проводящей системы сердца с накоплением в вакуолях гликогена. Электронная микро</w:t>
        <w:softHyphen/>
        <w:t>скопия выявляет аккумуляцию гликогена в пределах мем</w:t>
        <w:softHyphen/>
        <w:t>бранозных структур и в саркоплазме.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Достоверные диагностические данные дает биопсия ске</w:t>
        <w:softHyphen/>
        <w:t>летной мышцы при гистологическом (вакуолизация), био</w:t>
        <w:softHyphen/>
        <w:t>химическом (повышенное в несколько раз против нормы — 1,0-1,5 г/% — содержание гликогена), ферментном (отсут</w:t>
        <w:softHyphen/>
        <w:t>ствие или чрезвычайно низкое содержание кислой мальто</w:t>
        <w:softHyphen/>
        <w:t>зы) и ультраструктурном исследовании (перегрузка глико</w:t>
        <w:softHyphen/>
        <w:t>геном лизосом и цитоплазмы). Сниженное содержание кислой мальтозы определяют, кроме того, в биоптатах пече</w:t>
        <w:softHyphen/>
        <w:t>ни ив лейкоцитах, а также в фибробластах из культуры кле</w:t>
        <w:softHyphen/>
        <w:t>ток кожи. У большинства больных болезнью Помпе увели</w:t>
        <w:softHyphen/>
        <w:t>чена экспрессия предсердного натрий уретического пепти</w:t>
        <w:softHyphen/>
        <w:t>да пропорционально величине гипертрофии миокарда.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болезни Помпе летальный исход может быть не</w:t>
        <w:softHyphen/>
        <w:t>сколько отсрочен введением кислой мальтозы, извлекае</w:t>
        <w:softHyphen/>
        <w:t xml:space="preserve">мой из плаценты человека или из культуры </w:t>
      </w:r>
      <w:r>
        <w:rPr>
          <w:lang w:val="en-US" w:eastAsia="en-US" w:bidi="en-US"/>
          <w:w w:val="100"/>
          <w:spacing w:val="0"/>
          <w:color w:val="000000"/>
          <w:position w:val="0"/>
        </w:rPr>
        <w:t xml:space="preserve">Aspergillus niger. </w:t>
      </w:r>
      <w:r>
        <w:rPr>
          <w:lang w:val="ru-RU" w:eastAsia="ru-RU" w:bidi="ru-RU"/>
          <w:w w:val="100"/>
          <w:spacing w:val="0"/>
          <w:color w:val="000000"/>
          <w:position w:val="0"/>
        </w:rPr>
        <w:t>Введением последнего экстракта удавалось временно нор</w:t>
        <w:softHyphen/>
        <w:t>мализовать содержание гликогена в мышцах и длитель</w:t>
        <w:softHyphen/>
        <w:t xml:space="preserve">ность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на ЭКГ. Но, к сожалению, экзогенная кислая мальтоза, очевидно, не проникает в лизосомы и не может поэтому приостановить развитие болезни. Назначе</w:t>
        <w:softHyphen/>
        <w:t>ние дигоксина оказывается неэффективным, последний провоцирует желудочковые аритмии и развитие гипертро</w:t>
        <w:softHyphen/>
        <w:t>фии миокарда. При обструктивной форме кардиомиопатии оправдано в качестве симптоматической терапии длитель</w:t>
        <w:softHyphen/>
        <w:t>ное лечение бета-адреноблокаторами.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наследования: аутосомно-рецессивный.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Прогноз неблагоприятный, смерть при инфантильной форме наступает к концу второго года жизни, при ювениль</w:t>
        <w:softHyphen/>
        <w:t>ной форме — до пубертатного периода.</w:t>
      </w:r>
    </w:p>
    <w:p>
      <w:pPr>
        <w:pStyle w:val="Style92"/>
        <w:widowControl w:val="0"/>
        <w:keepNext/>
        <w:keepLines/>
        <w:shd w:val="clear" w:color="auto" w:fill="auto"/>
        <w:bidi w:val="0"/>
        <w:spacing w:before="0" w:after="0"/>
        <w:ind w:left="0" w:right="0" w:firstLine="280"/>
      </w:pPr>
      <w:bookmarkStart w:id="617" w:name="bookmark617"/>
      <w:r>
        <w:rPr>
          <w:lang w:val="ru-RU" w:eastAsia="ru-RU" w:bidi="ru-RU"/>
          <w:w w:val="100"/>
          <w:spacing w:val="0"/>
          <w:color w:val="000000"/>
          <w:position w:val="0"/>
        </w:rPr>
        <w:t>Гликогеноз III типа (Болезнь Кори, или болезнь Фербеса, лимитдекстриноз)</w:t>
      </w:r>
      <w:bookmarkEnd w:id="61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Недостаточность амило-1,6-глюкозидазы, в нормаль</w:t>
        <w:softHyphen/>
        <w:t>ных условиях содержащейся в большинстве тканей, в ре</w:t>
        <w:softHyphen/>
        <w:t>зультате чего гликоген имеет аномальную структуру. Выде</w:t>
        <w:softHyphen/>
        <w:t xml:space="preserve">ляют 2 типа болезни: гликогеноз </w:t>
      </w:r>
      <w:r>
        <w:rPr>
          <w:lang w:val="en-US" w:eastAsia="en-US" w:bidi="en-US"/>
          <w:w w:val="100"/>
          <w:spacing w:val="0"/>
          <w:color w:val="000000"/>
          <w:position w:val="0"/>
        </w:rPr>
        <w:t xml:space="preserve">IIIA </w:t>
      </w:r>
      <w:r>
        <w:rPr>
          <w:lang w:val="ru-RU" w:eastAsia="ru-RU" w:bidi="ru-RU"/>
          <w:w w:val="100"/>
          <w:spacing w:val="0"/>
          <w:color w:val="000000"/>
          <w:position w:val="0"/>
        </w:rPr>
        <w:t>типа — поражение пе</w:t>
        <w:softHyphen/>
        <w:t xml:space="preserve">чени и мышечной системы, </w:t>
      </w:r>
      <w:r>
        <w:rPr>
          <w:lang w:val="en-US" w:eastAsia="en-US" w:bidi="en-US"/>
          <w:w w:val="100"/>
          <w:spacing w:val="0"/>
          <w:color w:val="000000"/>
          <w:position w:val="0"/>
        </w:rPr>
        <w:t xml:space="preserve">IIIB </w:t>
      </w:r>
      <w:r>
        <w:rPr>
          <w:lang w:val="ru-RU" w:eastAsia="ru-RU" w:bidi="ru-RU"/>
          <w:w w:val="100"/>
          <w:spacing w:val="0"/>
          <w:color w:val="000000"/>
          <w:position w:val="0"/>
        </w:rPr>
        <w:t>— изолированное пораже</w:t>
        <w:softHyphen/>
        <w:t>ние печени (составляет примерно 15% среди всех больных с гликогенозом III типа).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Заболевание проявляется в возрасте 7-16 месяцев гепа- томегалией, гипогликемией и задержкой развития, поэтому клинически не отличается от гликогеноза I типа. Затем симптоматика поражения печени исчезает и начинают до</w:t>
        <w:softHyphen/>
        <w:t>минировать миопатические признаки (мышечная гипото</w:t>
        <w:softHyphen/>
        <w:br w:type="column"/>
        <w:t>ния, слабость дистальной мускулатуры, мышечные атро</w:t>
        <w:softHyphen/>
        <w:t>фии). Характерны повторные респираторные инфекции, наклонность к ожирению. Могут определяться ксантомы на локтях, коленях, ягодицах, гиперлипидемия, увеличение уровня печеночных трансаминаз в крови, гипогликемичес</w:t>
        <w:softHyphen/>
        <w:t>кие кризы. Течение может быть сравнительно благоприят</w:t>
        <w:softHyphen/>
        <w:t>ным (больные живут 20 лет и более, если нет выраженного поражения сердца). Возможны непродолжительные ремис</w:t>
        <w:softHyphen/>
        <w:t>сии с уменьшением миопатической симптоматики и уреже- нием частоты гипогликемических кризов.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Поражение сердца наблюдается более чем у 60% с глико - генозом </w:t>
      </w:r>
      <w:r>
        <w:rPr>
          <w:lang w:val="en-US" w:eastAsia="en-US" w:bidi="en-US"/>
          <w:w w:val="100"/>
          <w:spacing w:val="0"/>
          <w:color w:val="000000"/>
          <w:position w:val="0"/>
        </w:rPr>
        <w:t xml:space="preserve">IIIA </w:t>
      </w:r>
      <w:r>
        <w:rPr>
          <w:lang w:val="ru-RU" w:eastAsia="ru-RU" w:bidi="ru-RU"/>
          <w:w w:val="100"/>
          <w:spacing w:val="0"/>
          <w:color w:val="000000"/>
          <w:position w:val="0"/>
        </w:rPr>
        <w:t>и в детском возрасте протекает субклиничес</w:t>
        <w:softHyphen/>
        <w:t>ки. Выявляются электрокардиографические и эхокардио</w:t>
        <w:softHyphen/>
        <w:t>графические признаки гипертрофии левого желудочка при нормальных или несколько увеличенных рентгенографиче</w:t>
        <w:softHyphen/>
        <w:t>ских границах сердца. Гипертрофическая кардиопатия обычно носит необструктивный характер, реже наблюда</w:t>
        <w:softHyphen/>
        <w:t>ются обструктивные формы. Сердечная декомпенсация по застойному типу манифестирует с 13-15-летнего возраста.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ЭКГ выявляются признаки гипертрофии левого же</w:t>
        <w:softHyphen/>
        <w:t>лудочка, нарушение процесса реполяризации, реже — глу</w:t>
        <w:softHyphen/>
        <w:t xml:space="preserve">бокий зубец </w:t>
      </w:r>
      <w:r>
        <w:rPr>
          <w:lang w:val="en-US" w:eastAsia="en-US" w:bidi="en-US"/>
          <w:w w:val="100"/>
          <w:spacing w:val="0"/>
          <w:color w:val="000000"/>
          <w:position w:val="0"/>
        </w:rPr>
        <w:t xml:space="preserve">Q, </w:t>
      </w:r>
      <w:r>
        <w:rPr>
          <w:lang w:val="ru-RU" w:eastAsia="ru-RU" w:bidi="ru-RU"/>
          <w:w w:val="100"/>
          <w:spacing w:val="0"/>
          <w:color w:val="000000"/>
          <w:position w:val="0"/>
        </w:rPr>
        <w:t xml:space="preserve">незначительное укорочение интервала </w:t>
      </w:r>
      <w:r>
        <w:rPr>
          <w:lang w:val="en-US" w:eastAsia="en-US" w:bidi="en-US"/>
          <w:w w:val="100"/>
          <w:spacing w:val="0"/>
          <w:color w:val="000000"/>
          <w:position w:val="0"/>
        </w:rPr>
        <w:t>P-R.</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Рентгенологически выявляется умеренное увеличение тени сердца, так как гипертрофия левого желудочка носит преимущественно концентрический характер.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эхокардиографическом исследовании определяется симметричная форма гипертрофической кардиомиопатии, нормальные или увеличенные размеры полости левого же</w:t>
        <w:softHyphen/>
        <w:t>лудочка. Обструктивная форма гипертрофической кардио</w:t>
        <w:softHyphen/>
        <w:t>миопатии обычно не сопровождается высоким градиентом давления между аортой и левым желудочком.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диагностика. У большинства больных оп</w:t>
        <w:softHyphen/>
        <w:t>ределяются гипогликемия, гиперлипидемия, увеличение уровня печеночных трансаминаз, креатининкиназы (сви</w:t>
        <w:softHyphen/>
        <w:t>детельствует о вовлечении в патологический процесс мы</w:t>
        <w:softHyphen/>
        <w:t>шечной системы).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биоптатах мышц и печени обнаруживаются перегруз</w:t>
        <w:softHyphen/>
        <w:t>ка клеток гликогеном, снижение уровня амило-1,6-глюко- зидазы при нормальном содержании кислой мальтозы, вто</w:t>
        <w:softHyphen/>
        <w:t>ричное снижение активности таких ферментов, как глюко- зо-6-фосфатаза или фосфорилаза.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Больным назначается диета, основанная на данных био</w:t>
        <w:softHyphen/>
        <w:t>химического определения в крови содержания глюкозы, лактата и жиров. Поскольку глюконеогенез при этом забо</w:t>
        <w:softHyphen/>
        <w:t>левании не нарушен, обычно рекомендуется диета, богатая белками.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развитии обструктивной формы гипертрофической кардиопатии назначается обзидан, симптоматическое лече</w:t>
        <w:softHyphen/>
        <w:t>ние сердечной недостаточности (мочегонные, препараты калия, осторожно дигоксин).</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18" w:name="bookmark618"/>
      <w:r>
        <w:rPr>
          <w:lang w:val="ru-RU" w:eastAsia="ru-RU" w:bidi="ru-RU"/>
          <w:w w:val="100"/>
          <w:spacing w:val="0"/>
          <w:color w:val="000000"/>
          <w:position w:val="0"/>
        </w:rPr>
        <w:t>Гликогеноз IV типа (Болезнь Андерсена, амилопектиноз)</w:t>
      </w:r>
      <w:bookmarkEnd w:id="61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Дефицит амило-1,4,1,6-трансглюкозидазы. Аномаль</w:t>
        <w:softHyphen/>
        <w:t>ный гликоген накапливается в печени, почках, мышцах, се</w:t>
        <w:softHyphen/>
        <w:t>лезенке, миокарде.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pict>
          <v:shape id="_x0000_s1633" type="#_x0000_t75" style="position:absolute;margin-left:137.4pt;margin-top:736.8pt;width:209.75pt;height:14.9pt;z-index:-125828964;mso-wrap-distance-left:136.8pt;mso-wrap-distance-right:147.85pt;mso-wrap-distance-bottom:10.8pt;mso-position-horizontal-relative:margin;mso-position-vertical-relative:margin" wrapcoords="0 0 21600 0 21600 21600 0 21600 0 0">
            <v:imagedata r:id="rId1008" r:href="rId1009"/>
            <w10:wrap type="topAndBottom" anchorx="margin" anchory="margin"/>
          </v:shape>
        </w:pict>
      </w:r>
      <w:r>
        <w:rPr>
          <w:lang w:val="ru-RU" w:eastAsia="ru-RU" w:bidi="ru-RU"/>
          <w:w w:val="100"/>
          <w:spacing w:val="0"/>
          <w:color w:val="000000"/>
          <w:position w:val="0"/>
        </w:rPr>
        <w:t>Заболевание возникает в периоде новорожденности и реже в раннем детстве. Основными экстракардиальными</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проявлениями являются гепатомегалия, с последующим развитием цирроза печени, спленомегалии, портальной ги</w:t>
        <w:softHyphen/>
        <w:t>пертензии, варикозного расширения вен пищевода, асцита. Обычно имеет место задержка соматического развития. В классических случаях болезнь быстро прогрессирует, смерть наступает в возрасте до 5 лет. Иногда могут отме</w:t>
        <w:softHyphen/>
        <w:t>чаться гипогликемия, мышечная гипотония, мышечные ат</w:t>
        <w:softHyphen/>
        <w:t>рофии.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наблюдается у половины больных и характеризуется дилатационной кардиомиопатией с выра</w:t>
        <w:softHyphen/>
        <w:t>женными проявлениями застойной сердечной недостаточно</w:t>
        <w:softHyphen/>
        <w:t>сти. В основном больные погибают в возрасте 1-2 лет, одна</w:t>
        <w:softHyphen/>
        <w:t>ко известны случаи дилатационной кардиомиопатии, при которых больные жили до 12 лет.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аутопсии определяется типичная картина дилата</w:t>
        <w:softHyphen/>
        <w:t>ционной кардиомиопатии, выраженный фиброз и базо- фильная дегенерация кардиомиоцитов, умеренная их ги</w:t>
        <w:softHyphen/>
        <w:t>пертрофия, внутриклеточные включения телец, содержа</w:t>
        <w:softHyphen/>
        <w:t>щих аномальный гликоген.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эхокардиографическом исследовании определяется картина дилатационной кардиомиопатии, левый и правый желудочек значительно дилатированы, резко снижена их контрактильная функция. Имеются описания ювенильного амилопектиноза с сердечно-мышечной миопатией. Пора</w:t>
        <w:softHyphen/>
        <w:t>жение сердца проявляется симметричной гипертрофичес</w:t>
        <w:softHyphen/>
        <w:t>кой кардиомиопатией. Продолжительность жизни таких детей достигает 13-15 лет.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 разработано. Коррекция сердечной недостаточности сердечными гликозидами и диуретиками оказывает вре</w:t>
        <w:softHyphen/>
        <w:t>менный эффект.</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19" w:name="bookmark619"/>
      <w:r>
        <w:rPr>
          <w:lang w:val="ru-RU" w:eastAsia="ru-RU" w:bidi="ru-RU"/>
          <w:w w:val="100"/>
          <w:spacing w:val="0"/>
          <w:color w:val="000000"/>
          <w:position w:val="0"/>
        </w:rPr>
        <w:t>Гликогеноз V типа (Болезнь Мак-Ардля)</w:t>
      </w:r>
      <w:bookmarkEnd w:id="61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Недостаток мышечной фосфорилазной активности, в связи с чем гликоген накапливается в избытке в мышцах.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Слабовыраженные признаки болезни в виде сниженной двигательной активности, плохой переносимости физичес</w:t>
        <w:softHyphen/>
        <w:t>ких нагрузок появляются в 6-10 лет. Затем, обычно в под</w:t>
        <w:softHyphen/>
        <w:t>ростковом возрасте, появляются слабость, боли в мышцах, мышечная ригидность при нагрузках, часто выявляется миоглобинурия. Характерен феномен «второго окна», ког</w:t>
        <w:softHyphen/>
        <w:t>да мышечные боли, провоцирующиеся физической нагруз</w:t>
        <w:softHyphen/>
        <w:t>кой, исчезают через несколько минут, даже если нагрузка не прекращена. Этот феномен объясняется активацией ме</w:t>
        <w:softHyphen/>
        <w:t>таболизма свободных жирных кислот.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сердечно-сосудистой системы обычно про</w:t>
        <w:softHyphen/>
        <w:t>текает латентно в виде функциональных нарушений.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 ЭКГ может обнаруживаться: синусовая брадикардия, удлинение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 xml:space="preserve">увеличение амплитуды комплекса </w:t>
      </w:r>
      <w:r>
        <w:rPr>
          <w:lang w:val="en-US" w:eastAsia="en-US" w:bidi="en-US"/>
          <w:w w:val="100"/>
          <w:spacing w:val="0"/>
          <w:color w:val="000000"/>
          <w:position w:val="0"/>
        </w:rPr>
        <w:t>QRS.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диагностика. При проведении физичес</w:t>
        <w:softHyphen/>
        <w:t>кой нагрузки в плазме крови обнаруживается увеличение активности креатининкиназы и трансаминаз. Наряду с этим из-за усиления деградации мышечных пуриновых нуклеотидов в крови возрастает содержание инозина, гипо</w:t>
        <w:softHyphen/>
        <w:t>ксантина, мочевых кислот, аммиака. Окончательный диа</w:t>
        <w:softHyphen/>
        <w:br w:type="column"/>
        <w:t>гноз устанавливается при мышечной биопсии с определе</w:t>
        <w:softHyphen/>
        <w:t>нием ферментной активности.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Рекомендуется назначение диеты с высоким содержани</w:t>
        <w:softHyphen/>
        <w:t>ем протеинов. Показано курсовое лечение препаратами АТФ, цитохрома С.</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20" w:name="bookmark620"/>
      <w:r>
        <w:rPr>
          <w:lang w:val="ru-RU" w:eastAsia="ru-RU" w:bidi="ru-RU"/>
          <w:w w:val="100"/>
          <w:spacing w:val="0"/>
          <w:color w:val="000000"/>
          <w:position w:val="0"/>
        </w:rPr>
        <w:t>Гликогеноз VI типа (болезнь Херса)</w:t>
      </w:r>
      <w:bookmarkEnd w:id="62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Дефицит печеночной фосфорилазы. В печени образует</w:t>
        <w:softHyphen/>
        <w:t>ся достаточное количество гликогена с нормальной струк</w:t>
        <w:softHyphen/>
        <w:t>турой, но он не может метаболизироваться из-за энзимного дефекта.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Заболевание проявляется замедлением роста, гепатоме- галией, повышением активности аминотрансфераз, содер</w:t>
        <w:softHyphen/>
        <w:t>жания холестерина, а также триглицеридов в сыворотке крови. Возможны гипогликемические состояния.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сердечно-сосудистой системы протекает ла</w:t>
        <w:softHyphen/>
        <w:t>тентно в виде функциональных нарушений. Могут обнару</w:t>
        <w:softHyphen/>
        <w:t>живаться изменения ЭКГ (нарушение процесса реполяри</w:t>
        <w:softHyphen/>
        <w:t xml:space="preserve">зации, увеличение вольтажа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 xml:space="preserve">укорочение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при отсутствии клинических признаков).</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21" w:name="bookmark621"/>
      <w:r>
        <w:rPr>
          <w:lang w:val="ru-RU" w:eastAsia="ru-RU" w:bidi="ru-RU"/>
          <w:w w:val="100"/>
          <w:spacing w:val="0"/>
          <w:color w:val="000000"/>
          <w:position w:val="0"/>
        </w:rPr>
        <w:t>Дефицит сердечной фосфорилазкиназы (изолированным гликогеноз сердца)</w:t>
      </w:r>
      <w:bookmarkEnd w:id="62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Раннее развитие кардиомегалии и сердечной недоста</w:t>
        <w:softHyphen/>
        <w:t>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 ЭКГ регистрируется укорочение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уве</w:t>
        <w:softHyphen/>
        <w:t xml:space="preserve">личение вольтажа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комплекса, депрессия сегмента </w:t>
      </w:r>
      <w:r>
        <w:rPr>
          <w:lang w:val="en-US" w:eastAsia="en-US" w:bidi="en-US"/>
          <w:w w:val="100"/>
          <w:spacing w:val="0"/>
          <w:color w:val="000000"/>
          <w:position w:val="0"/>
        </w:rPr>
        <w:t xml:space="preserve">S-T </w:t>
      </w:r>
      <w:r>
        <w:rPr>
          <w:lang w:val="ru-RU" w:eastAsia="ru-RU" w:bidi="ru-RU"/>
          <w:w w:val="100"/>
          <w:spacing w:val="0"/>
          <w:color w:val="000000"/>
          <w:position w:val="0"/>
        </w:rPr>
        <w:t xml:space="preserve">с инверсией зубца Т, глубокий зубец </w:t>
      </w:r>
      <w:r>
        <w:rPr>
          <w:lang w:val="en-US" w:eastAsia="en-US" w:bidi="en-US"/>
          <w:w w:val="100"/>
          <w:spacing w:val="0"/>
          <w:color w:val="000000"/>
          <w:position w:val="0"/>
        </w:rPr>
        <w:t>Q.</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 выявляет увеличение толщины мио</w:t>
        <w:softHyphen/>
        <w:t>карда задней стенки левого желудочка, межжелудочковой перегородки и правого желудочка, дилатацию предсердий.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аутопсии в сердечной мышце определяется боль</w:t>
        <w:softHyphen/>
        <w:t>шое отложение структурно нормального гликогена, при этом депозиты гликогена отсутствуют в скелетной мышце и печени (изолированный гликогеноз сердца). Электронная микроскопия выявляет разрывы миофиб- рилл, депозиты гранул гликогена в цитоплазме.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диагностика. При ферментном анализе активность мальтазы, амило-1,6-глюкозидазы и фосфори- лазы в сердце, скелетной мышце и печени не нарушена. В сердечной мышце полностью отсутствует активность фо- сфорилазкиназы, в то время как в скелетной мышце и пече</w:t>
        <w:softHyphen/>
        <w:t>ни она нормальная.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не разработано.</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22" w:name="bookmark622"/>
      <w:r>
        <w:rPr>
          <w:lang w:val="ru-RU" w:eastAsia="ru-RU" w:bidi="ru-RU"/>
          <w:w w:val="100"/>
          <w:spacing w:val="0"/>
          <w:color w:val="000000"/>
          <w:position w:val="0"/>
        </w:rPr>
        <w:t>Лизосомальный гликогеноз с сердечно-мышечной миопа- тией</w:t>
      </w:r>
      <w:bookmarkEnd w:id="62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pict>
          <v:shape id="_x0000_s1634" type="#_x0000_t75" style="position:absolute;margin-left:148.55pt;margin-top:736.8pt;width:209.75pt;height:14.9pt;z-index:-125828963;mso-wrap-distance-left:148.1pt;mso-wrap-distance-right:136.8pt;mso-wrap-distance-bottom:10.8pt;mso-position-horizontal-relative:margin;mso-position-vertical-relative:margin" wrapcoords="0 0 21600 0 21600 21600 0 21600 0 0">
            <v:imagedata r:id="rId1010" r:href="rId1011"/>
            <w10:wrap type="topAndBottom" anchorx="margin" anchory="margin"/>
          </v:shape>
        </w:pict>
      </w:r>
      <w:r>
        <w:rPr>
          <w:lang w:val="ru-RU" w:eastAsia="ru-RU" w:bidi="ru-RU"/>
          <w:w w:val="100"/>
          <w:spacing w:val="0"/>
          <w:color w:val="000000"/>
          <w:position w:val="0"/>
        </w:rPr>
        <w:t>Болезнь развивается в раннем возрасте и проявляется задержкой умственного развития, умеренной миопатией и кардиомиопатией. У мальчиков более выражена мио- патия, у девочек происходит преимущественное пораже</w:t>
        <w:softHyphen/>
        <w:t>ние сердца при минимальных системных проявлениях болезни.</w:t>
      </w:r>
      <w:r>
        <w:br w:type="page"/>
      </w:r>
    </w:p>
    <w:p>
      <w:pPr>
        <w:pStyle w:val="Style92"/>
        <w:widowControl w:val="0"/>
        <w:keepNext/>
        <w:keepLines/>
        <w:shd w:val="clear" w:color="auto" w:fill="auto"/>
        <w:bidi w:val="0"/>
        <w:spacing w:before="0" w:after="0"/>
        <w:ind w:left="0" w:right="0" w:firstLine="280"/>
      </w:pPr>
      <w:bookmarkStart w:id="623" w:name="bookmark623"/>
      <w:r>
        <w:rPr>
          <w:lang w:val="ru-RU" w:eastAsia="ru-RU" w:bidi="ru-RU"/>
          <w:w w:val="100"/>
          <w:spacing w:val="0"/>
          <w:color w:val="000000"/>
          <w:position w:val="0"/>
        </w:rPr>
        <w:t>Сердечно-сосудистая система</w:t>
      </w:r>
      <w:bookmarkEnd w:id="62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 всех сообщенных случаях определялась симметрич</w:t>
        <w:softHyphen/>
        <w:t>ная гипертрофическая кардиомиопатия с выраженными про</w:t>
        <w:softHyphen/>
        <w:t>явлениями застойной сердечной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биопсии скелетной и сердечной мышцы обнаружи</w:t>
        <w:softHyphen/>
        <w:t>вается вакуольная миопатия со значительным отложением свободного и внутрилизосомального гликогена. При мор</w:t>
        <w:softHyphen/>
        <w:t>фологическом исследовании сердца определяются кардио</w:t>
        <w:softHyphen/>
        <w:t>миопатия с дилатацией и гипертрофией преимущественно левого желудочка, распространенный миокардиальный фиброз.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 ферментного дефекта до настоящего времени не установлен. При ферментологическом исследовании актив</w:t>
        <w:softHyphen/>
        <w:t>ность кислой мальтазы и фосфорилазы в пределах нормы.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не разработано. Симптоматическое лечение за</w:t>
        <w:softHyphen/>
        <w:t>стойной сердечной недостаточности оказывает временное улучшение.</w:t>
      </w:r>
    </w:p>
    <w:p>
      <w:pPr>
        <w:pStyle w:val="Style30"/>
        <w:widowControl w:val="0"/>
        <w:keepNext w:val="0"/>
        <w:keepLines w:val="0"/>
        <w:shd w:val="clear" w:color="auto" w:fill="auto"/>
        <w:bidi w:val="0"/>
        <w:spacing w:before="0" w:after="0" w:line="456" w:lineRule="exact"/>
        <w:ind w:left="0" w:right="0" w:firstLine="280"/>
      </w:pPr>
      <w:r>
        <w:rPr>
          <w:lang w:val="ru-RU" w:eastAsia="ru-RU" w:bidi="ru-RU"/>
          <w:w w:val="100"/>
          <w:spacing w:val="0"/>
          <w:color w:val="000000"/>
          <w:position w:val="0"/>
        </w:rPr>
        <w:t>Тип наследования: аутосомно-доминантный.</w:t>
      </w:r>
    </w:p>
    <w:p>
      <w:pPr>
        <w:pStyle w:val="Style48"/>
        <w:widowControl w:val="0"/>
        <w:keepNext/>
        <w:keepLines/>
        <w:shd w:val="clear" w:color="auto" w:fill="auto"/>
        <w:bidi w:val="0"/>
        <w:jc w:val="left"/>
        <w:spacing w:before="0" w:after="0" w:line="456" w:lineRule="exact"/>
        <w:ind w:left="0" w:right="0" w:firstLine="0"/>
      </w:pPr>
      <w:bookmarkStart w:id="624" w:name="bookmark624"/>
      <w:r>
        <w:rPr>
          <w:lang w:val="ru-RU" w:eastAsia="ru-RU" w:bidi="ru-RU"/>
          <w:w w:val="100"/>
          <w:spacing w:val="0"/>
          <w:color w:val="000000"/>
          <w:position w:val="0"/>
        </w:rPr>
        <w:t>Мукополисахаридозы</w:t>
      </w:r>
      <w:bookmarkEnd w:id="624"/>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Группа заболеваний, обусловленных генетическим де</w:t>
        <w:softHyphen/>
        <w:t>фектом ферментного расщепления углеводной части моле</w:t>
        <w:softHyphen/>
        <w:t>кулы мукополисахаридов (гликозоаминогликанов), при этом в тканях (преимущественно в фибробластах и ме</w:t>
        <w:softHyphen/>
        <w:t>зенхимальных клетках) накапливаются хондроитинсульфат В и/или гепаранмоносульфат, что ведет к неполноценному строению соединительной ткани.</w:t>
      </w:r>
    </w:p>
    <w:p>
      <w:pPr>
        <w:pStyle w:val="Style92"/>
        <w:widowControl w:val="0"/>
        <w:keepNext/>
        <w:keepLines/>
        <w:shd w:val="clear" w:color="auto" w:fill="auto"/>
        <w:bidi w:val="0"/>
        <w:spacing w:before="0" w:after="0"/>
        <w:ind w:left="0" w:right="0" w:firstLine="280"/>
      </w:pPr>
      <w:bookmarkStart w:id="625" w:name="bookmark625"/>
      <w:r>
        <w:rPr>
          <w:lang w:val="ru-RU" w:eastAsia="ru-RU" w:bidi="ru-RU"/>
          <w:w w:val="100"/>
          <w:spacing w:val="0"/>
          <w:color w:val="000000"/>
          <w:position w:val="0"/>
        </w:rPr>
        <w:t xml:space="preserve">Мукополисахаридоз </w:t>
      </w:r>
      <w:r>
        <w:rPr>
          <w:lang w:val="en-US" w:eastAsia="en-US" w:bidi="en-US"/>
          <w:w w:val="100"/>
          <w:spacing w:val="0"/>
          <w:color w:val="000000"/>
          <w:position w:val="0"/>
        </w:rPr>
        <w:t xml:space="preserve">I H </w:t>
      </w:r>
      <w:r>
        <w:rPr>
          <w:lang w:val="ru-RU" w:eastAsia="ru-RU" w:bidi="ru-RU"/>
          <w:w w:val="100"/>
          <w:spacing w:val="0"/>
          <w:color w:val="000000"/>
          <w:position w:val="0"/>
        </w:rPr>
        <w:t xml:space="preserve">(синдром Гурлера, </w:t>
      </w:r>
      <w:r>
        <w:rPr>
          <w:lang w:val="en-US" w:eastAsia="en-US" w:bidi="en-US"/>
          <w:w w:val="100"/>
          <w:spacing w:val="0"/>
          <w:color w:val="000000"/>
          <w:position w:val="0"/>
        </w:rPr>
        <w:t>Hurler syn</w:t>
        <w:softHyphen/>
        <w:t>drome)</w:t>
      </w:r>
      <w:bookmarkEnd w:id="62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Отсутствие фермента </w:t>
      </w:r>
      <w:r>
        <w:rPr>
          <w:lang w:val="en-US" w:eastAsia="en-US" w:bidi="en-US"/>
          <w:w w:val="100"/>
          <w:spacing w:val="0"/>
          <w:color w:val="000000"/>
          <w:position w:val="0"/>
        </w:rPr>
        <w:t>a-L</w:t>
      </w:r>
      <w:r>
        <w:rPr>
          <w:lang w:val="ru-RU" w:eastAsia="ru-RU" w:bidi="ru-RU"/>
          <w:w w:val="100"/>
          <w:spacing w:val="0"/>
          <w:color w:val="000000"/>
          <w:position w:val="0"/>
        </w:rPr>
        <w:t>-идуронидазы, в результате че</w:t>
        <w:softHyphen/>
        <w:t>го в соединительной ткани органов накапливается дерма</w:t>
        <w:softHyphen/>
        <w:t>тансульфат и гепарансульфат.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выявляется в первые месяцы жизни по харак</w:t>
        <w:softHyphen/>
        <w:t>терным чертам лица (грубые черты с запавшей переноси</w:t>
        <w:softHyphen/>
        <w:t>цей, открытый рот). Имеют место гепатоспленомегалия, помутнение роговицы, тугоподвижность суставов, торако</w:t>
        <w:softHyphen/>
        <w:t>люмбальный кифоз. На втором году жизни отчетливо выяв</w:t>
        <w:softHyphen/>
        <w:t>ляются короткая шея, воронкообразная или килевидная грудная клетка, паховые и пупочные грыжи, гипертрихоз, особенно на разгибательных поверхностях конечностей и спине, ринит со слизистым отделяемым, шумное дыха</w:t>
        <w:softHyphen/>
        <w:t>ние, ограничение подвижности в межфаланговых, локте</w:t>
        <w:softHyphen/>
        <w:t>вых, плечевых и тазобедренных суставах, кожа сухая, гру</w:t>
        <w:softHyphen/>
        <w:t>бая, бледная. Характерными являются краниофациальные дисморфии: выпуклый и нависающий лоб, плоский нос с широким основанием, грубые и утолщенные губы, гипер</w:t>
        <w:softHyphen/>
        <w:t>телоризм. Волосы на голове густые и жесткие. Язык увели</w:t>
        <w:softHyphen/>
        <w:t>чен, зубы мелкие. На поздних стадиях развития болезни развиваются глухота, слепота, глубокая деменция. Больные погибают в возрасте до 10 лет.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наблюдается в большинстве случаев синдрома Гурлера. При этой болезни наблюдаются: измене</w:t>
        <w:softHyphen/>
        <w:t>ния клапанов сердца, миокарда, эндокарда, крупных арте</w:t>
        <w:softHyphen/>
        <w:t>рий, в том числе коронарных сосудов.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Отложение гликозоаминогликанов в строме клапанов обусловливает развитие клапанной дисфункции. Клапаны в левой половине сердца повреждаются в большей степени,</w:t>
        <w:br w:type="column"/>
        <w:t>чем правосторонние. Наиболее характерно развитие мит</w:t>
        <w:softHyphen/>
        <w:t>ральной недостаточности и реже — аортальной.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Запирательная функция клапанов, несмотря на отложе</w:t>
        <w:softHyphen/>
        <w:t>ние в них мукополисахаридов, может некоторое время не нарушаться. В этих случаях поражение клапанных структур выявляется при эхокардиографическом исследовании лиц с характерным фенотипом заболевания. Затем, когда разви</w:t>
        <w:softHyphen/>
        <w:t>вается несостоятельность клапана, появляется характер</w:t>
        <w:softHyphen/>
        <w:t>ный систолический шум митральной регургитации, реже отмечается диастолический шум аортальной недостаточно</w:t>
        <w:softHyphen/>
        <w:t>сти. Ограничение подвижности створок митрального кла</w:t>
        <w:softHyphen/>
        <w:t>пана вследствие укорочения хорд и фиброзирования коль</w:t>
        <w:softHyphen/>
        <w:t>ца могут обусловить симптоматику стенозирования левого атриовентрикулярного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Увеличение размеров сердца при мукополисахаридозе </w:t>
      </w:r>
      <w:r>
        <w:rPr>
          <w:lang w:val="en-US" w:eastAsia="en-US" w:bidi="en-US"/>
          <w:w w:val="100"/>
          <w:spacing w:val="0"/>
          <w:color w:val="000000"/>
          <w:position w:val="0"/>
        </w:rPr>
        <w:t xml:space="preserve">IH </w:t>
      </w:r>
      <w:r>
        <w:rPr>
          <w:lang w:val="ru-RU" w:eastAsia="ru-RU" w:bidi="ru-RU"/>
          <w:w w:val="100"/>
          <w:spacing w:val="0"/>
          <w:color w:val="000000"/>
          <w:position w:val="0"/>
        </w:rPr>
        <w:t>связано с распространенным поражением миокарда или с формированием клапанного порока сердца. При отсут</w:t>
        <w:softHyphen/>
        <w:t>ствии выраженной клапанной дисфункции и гипертензии кардиомегалия обусловлена необструктивной гипертрофи</w:t>
        <w:softHyphen/>
        <w:t>ческой кардиомиопатией. Усугубляет прогрессирование сер</w:t>
        <w:softHyphen/>
        <w:t>дечной недостаточности фиброзирование эндокарда.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Реже при мукополисахаридозе </w:t>
      </w:r>
      <w:r>
        <w:rPr>
          <w:lang w:val="en-US" w:eastAsia="en-US" w:bidi="en-US"/>
          <w:w w:val="100"/>
          <w:spacing w:val="0"/>
          <w:color w:val="000000"/>
          <w:position w:val="0"/>
        </w:rPr>
        <w:t xml:space="preserve">IH </w:t>
      </w:r>
      <w:r>
        <w:rPr>
          <w:lang w:val="ru-RU" w:eastAsia="ru-RU" w:bidi="ru-RU"/>
          <w:w w:val="100"/>
          <w:spacing w:val="0"/>
          <w:color w:val="000000"/>
          <w:position w:val="0"/>
        </w:rPr>
        <w:t>типа происходит по</w:t>
        <w:softHyphen/>
        <w:t>ражение крупных артериальных сосудов с развитием арте</w:t>
        <w:softHyphen/>
        <w:t>риальной гипертензии. Артериальная гипертензия может но</w:t>
        <w:softHyphen/>
        <w:t>сить вторичный характер из-за фибротического поражения почечных артерий. Поражение коронарных сосудов приво</w:t>
        <w:softHyphen/>
        <w:t>дит к раннему возникновению коронарной недостаточности, инфаркта миокарда.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ЭКГ определяются гипертрофия миокарда левого же</w:t>
        <w:softHyphen/>
        <w:t>лудочка, неспецифические изменения процесса реполяриза</w:t>
        <w:softHyphen/>
        <w:t xml:space="preserve">ции, удлинение интервалов </w:t>
      </w:r>
      <w:r>
        <w:rPr>
          <w:lang w:val="en-US" w:eastAsia="en-US" w:bidi="en-US"/>
          <w:w w:val="100"/>
          <w:spacing w:val="0"/>
          <w:color w:val="000000"/>
          <w:position w:val="0"/>
        </w:rPr>
        <w:t xml:space="preserve">P-R </w:t>
      </w:r>
      <w:r>
        <w:rPr>
          <w:lang w:val="ru-RU" w:eastAsia="ru-RU" w:bidi="ru-RU"/>
          <w:w w:val="100"/>
          <w:spacing w:val="0"/>
          <w:color w:val="000000"/>
          <w:position w:val="0"/>
        </w:rPr>
        <w:t xml:space="preserve">и </w:t>
      </w:r>
      <w:r>
        <w:rPr>
          <w:lang w:val="en-US" w:eastAsia="en-US" w:bidi="en-US"/>
          <w:w w:val="100"/>
          <w:spacing w:val="0"/>
          <w:color w:val="000000"/>
          <w:position w:val="0"/>
        </w:rPr>
        <w:t xml:space="preserve">Q-T, </w:t>
      </w:r>
      <w:r>
        <w:rPr>
          <w:lang w:val="ru-RU" w:eastAsia="ru-RU" w:bidi="ru-RU"/>
          <w:w w:val="100"/>
          <w:spacing w:val="0"/>
          <w:color w:val="000000"/>
          <w:position w:val="0"/>
        </w:rPr>
        <w:t>вольтаж желудочко</w:t>
        <w:softHyphen/>
        <w:t xml:space="preserve">вого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комплекса снижен из-за инфильтрации миокарда мукополисахаридными комплексами. Могут определяться признаки ишемии миокарда, патологический зубец </w:t>
      </w:r>
      <w:r>
        <w:rPr>
          <w:lang w:val="en-US" w:eastAsia="en-US" w:bidi="en-US"/>
          <w:w w:val="100"/>
          <w:spacing w:val="0"/>
          <w:color w:val="000000"/>
          <w:position w:val="0"/>
        </w:rPr>
        <w:t>Q.</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рентгенологическом исследовании обнаруживается кардиомегалия, иногда кальцификация кольца митрально</w:t>
        <w:softHyphen/>
        <w:t>го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 данным эхокардиографии определяются утолщение створок преимущественно митрального клапана, варьиру</w:t>
        <w:softHyphen/>
        <w:t>ющее от легкого до выраженного, дилатация левого пред</w:t>
        <w:softHyphen/>
        <w:t>сердия, симметричное увеличение толщины перегородки и задней стенки левого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патоморфологическом исследовании отмечается узловое утолщение створок, хорды также утолщены, укоро</w:t>
        <w:softHyphen/>
        <w:t>чены, отмечается кальцификация в области левого фибро</w:t>
        <w:softHyphen/>
        <w:t>зного кольца. При световой микроскопии обнаруживаются большие овальные или округлые соединительнотканные клетки (клетки Гурлера) с множеством вакуолей, в которых отложены мукополисахариды, коллагеновые волокна фраг</w:t>
        <w:softHyphen/>
        <w:t>ментированы, отмечается повышенное разрастание соеди</w:t>
        <w:softHyphen/>
        <w:t>нительной ткани. Стенки крупных веночных артерий утол</w:t>
        <w:softHyphen/>
        <w:t>щены, их просвет сужен.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Специфическая терапия не разработана. Проводится коррекция сердечной недостаточности сердечными глико- зидами и диуретиками. Вазодилататоры назначают при раз</w:t>
        <w:softHyphen/>
        <w:t>витии артериальной гипертензии. При развитии тяжелой клапанной дисфункции показано протезирование. При клапанных поражениях проводится антибактериаль</w:t>
        <w:softHyphen/>
        <w:t>ная профилактика инфекционного эндокардита.</w:t>
      </w:r>
    </w:p>
    <w:p>
      <w:pPr>
        <w:pStyle w:val="Style30"/>
        <w:widowControl w:val="0"/>
        <w:keepNext w:val="0"/>
        <w:keepLines w:val="0"/>
        <w:shd w:val="clear" w:color="auto" w:fill="auto"/>
        <w:bidi w:val="0"/>
        <w:spacing w:before="0" w:after="0"/>
        <w:ind w:left="0" w:right="0" w:firstLine="280"/>
      </w:pPr>
      <w:r>
        <w:pict>
          <v:shape id="_x0000_s1635" type="#_x0000_t75" style="position:absolute;margin-left:137.3pt;margin-top:736.8pt;width:209.75pt;height:14.9pt;z-index:-125828962;mso-wrap-distance-left:136.8pt;mso-wrap-distance-right:148.1pt;mso-wrap-distance-bottom:10.8pt;mso-position-horizontal-relative:margin;mso-position-vertical-relative:margin" wrapcoords="0 0 21600 0 21600 21600 0 21600 0 0">
            <v:imagedata r:id="rId1012" r:href="rId1013"/>
            <w10:wrap type="topAndBottom" anchorx="margin" anchory="margin"/>
          </v:shape>
        </w:pict>
      </w:r>
      <w:r>
        <w:rPr>
          <w:lang w:val="ru-RU" w:eastAsia="ru-RU" w:bidi="ru-RU"/>
          <w:w w:val="100"/>
          <w:spacing w:val="0"/>
          <w:color w:val="000000"/>
          <w:position w:val="0"/>
        </w:rPr>
        <w:t>Тип наследования: аутосомно-рецессивный.</w:t>
      </w:r>
      <w:r>
        <w:br w:type="page"/>
      </w:r>
    </w:p>
    <w:p>
      <w:pPr>
        <w:pStyle w:val="Style92"/>
        <w:widowControl w:val="0"/>
        <w:keepNext/>
        <w:keepLines/>
        <w:shd w:val="clear" w:color="auto" w:fill="auto"/>
        <w:bidi w:val="0"/>
        <w:spacing w:before="0" w:after="0"/>
        <w:ind w:left="0" w:right="0" w:firstLine="280"/>
      </w:pPr>
      <w:bookmarkStart w:id="626" w:name="bookmark626"/>
      <w:r>
        <w:rPr>
          <w:lang w:val="ru-RU" w:eastAsia="ru-RU" w:bidi="ru-RU"/>
          <w:w w:val="100"/>
          <w:spacing w:val="0"/>
          <w:color w:val="000000"/>
          <w:position w:val="0"/>
        </w:rPr>
        <w:t xml:space="preserve">Мукополисахаридоз </w:t>
      </w:r>
      <w:r>
        <w:rPr>
          <w:lang w:val="en-US" w:eastAsia="en-US" w:bidi="en-US"/>
          <w:w w:val="100"/>
          <w:spacing w:val="0"/>
          <w:color w:val="000000"/>
          <w:position w:val="0"/>
        </w:rPr>
        <w:t xml:space="preserve">IS </w:t>
      </w:r>
      <w:r>
        <w:rPr>
          <w:lang w:val="ru-RU" w:eastAsia="ru-RU" w:bidi="ru-RU"/>
          <w:w w:val="100"/>
          <w:spacing w:val="0"/>
          <w:color w:val="000000"/>
          <w:position w:val="0"/>
        </w:rPr>
        <w:t xml:space="preserve">(синдром Шейе, </w:t>
      </w:r>
      <w:r>
        <w:rPr>
          <w:lang w:val="en-US" w:eastAsia="en-US" w:bidi="en-US"/>
          <w:w w:val="100"/>
          <w:spacing w:val="0"/>
          <w:color w:val="000000"/>
          <w:position w:val="0"/>
        </w:rPr>
        <w:t>Scheie syndrome)</w:t>
      </w:r>
      <w:bookmarkEnd w:id="62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Начальные признаки заболевания проявляются в ран</w:t>
        <w:softHyphen/>
        <w:t>нем возрасте. Отмечаются грыжи и помутнение роговицы. В школьном возрасте наблюдаются изменения черт лица: широкое лицо, мандибулярный прогнатизм, опущенные углы рта, иногда макроглоссия. Скелетные аномалии вклю</w:t>
        <w:softHyphen/>
        <w:t>чают умеренное отставание в росте, короткую шею, укоро</w:t>
        <w:softHyphen/>
        <w:t>ченное по отношению к конечностям туловище, широкие и короткие кисти и стопы с фиксацией пальцев в виде «ког</w:t>
        <w:softHyphen/>
        <w:t>тистой лапы», умеренное ограничение подвижности локте</w:t>
        <w:softHyphen/>
        <w:t>вых и плечевых суставов, вальгусную деформацию суставов. У большинства больных наблюдаются грыжи, снижение слуха и зрения, гепатоспленомегалия. Интеллект обычно не страдает.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Поражение сердца наблюдается у большинства больных. Характер поражения аналогичен таковому при мукополи- сахаридозе </w:t>
      </w:r>
      <w:r>
        <w:rPr>
          <w:lang w:val="en-US" w:eastAsia="en-US" w:bidi="en-US"/>
          <w:w w:val="100"/>
          <w:spacing w:val="0"/>
          <w:color w:val="000000"/>
          <w:position w:val="0"/>
        </w:rPr>
        <w:t xml:space="preserve">IH, </w:t>
      </w:r>
      <w:r>
        <w:rPr>
          <w:lang w:val="ru-RU" w:eastAsia="ru-RU" w:bidi="ru-RU"/>
          <w:w w:val="100"/>
          <w:spacing w:val="0"/>
          <w:color w:val="000000"/>
          <w:position w:val="0"/>
        </w:rPr>
        <w:t>однако более типично развитие аортального порока сердца. Аортальная регургитация развивается в школьном возрасте, обусловливает появление левожелу</w:t>
        <w:softHyphen/>
        <w:t>дочковой застойной недостаточности. Реже при этом типе мукополисахаридоза развивается аортальный стеноз.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 ЭКГ регистрируется гипертрофия левого желудочка или, наоборот, снижение вольтажа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из-за замещения миокарда нефункционирующей тканью, при этом определяется изменение процесса реполяризации по типу субэндокардиальной ишемии.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Рентгенография выявляет чаще умеренную, реже выра</w:t>
        <w:softHyphen/>
        <w:t>женную кардиомегалию.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эхокардиографическом обследовании определяется преимущественное изменение аортальных створок в виде их уплотнения и утолщения из-за отложения в них мукопо</w:t>
        <w:softHyphen/>
        <w:t>лисахаридов. Аналогичное поражение визуализируется и в других клапанах, однако не имеет клинического значе</w:t>
        <w:softHyphen/>
        <w:t>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аутопсии определяются узелковые изменения и утолщение полулунных и атриовентрикулярных клапа</w:t>
        <w:softHyphen/>
        <w:t>нов. Хорды митрального клапана короткие и утолщены, просвет коронарных артерий узкий, стенки толстые. При световой микроскопии отложения мукополисахарид</w:t>
        <w:softHyphen/>
        <w:t>ных комплексов обнаруживаются в эндокарде, клапанах, медиальном и интимальном слое коронарных сосудов.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Специфическая терапия не разработана. Коррекция сердечной недостаточности проводится назначением сер</w:t>
        <w:softHyphen/>
        <w:t>дечных гликозидов, диуретиков, вазодилататоров. При от</w:t>
        <w:softHyphen/>
        <w:t>сутствии эффекта от медикаментозной терапии осуществ</w:t>
        <w:softHyphen/>
        <w:t>ляется протезирование аортального клапана.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27" w:name="bookmark627"/>
      <w:r>
        <w:rPr>
          <w:lang w:val="ru-RU" w:eastAsia="ru-RU" w:bidi="ru-RU"/>
          <w:w w:val="100"/>
          <w:spacing w:val="0"/>
          <w:color w:val="000000"/>
          <w:position w:val="0"/>
        </w:rPr>
        <w:t xml:space="preserve">Мукополисахаридоз </w:t>
      </w:r>
      <w:r>
        <w:rPr>
          <w:lang w:val="en-US" w:eastAsia="en-US" w:bidi="en-US"/>
          <w:w w:val="100"/>
          <w:spacing w:val="0"/>
          <w:color w:val="000000"/>
          <w:position w:val="0"/>
        </w:rPr>
        <w:t xml:space="preserve">I H/S </w:t>
      </w:r>
      <w:r>
        <w:rPr>
          <w:lang w:val="ru-RU" w:eastAsia="ru-RU" w:bidi="ru-RU"/>
          <w:w w:val="100"/>
          <w:spacing w:val="0"/>
          <w:color w:val="000000"/>
          <w:position w:val="0"/>
        </w:rPr>
        <w:t xml:space="preserve">(синдром Гурлера-Шейе, </w:t>
      </w:r>
      <w:r>
        <w:rPr>
          <w:lang w:val="en-US" w:eastAsia="en-US" w:bidi="en-US"/>
          <w:w w:val="100"/>
          <w:spacing w:val="0"/>
          <w:color w:val="000000"/>
          <w:position w:val="0"/>
        </w:rPr>
        <w:t>Hurler-Scheie syndrome)</w:t>
      </w:r>
      <w:bookmarkEnd w:id="62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Характерны умеренное отставание в физическом разви</w:t>
        <w:softHyphen/>
        <w:t>тии, грубые черты лица, помутнение роговицы, ограниче</w:t>
        <w:softHyphen/>
        <w:t>ние подвижности суставов и другие скелетные изменения.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наблюдается у большинства больных и характеризуется изменением клапанного аппарата в соче</w:t>
        <w:softHyphen/>
        <w:t>тании с застойной сердечной недостаточностью. Чаще от</w:t>
        <w:softHyphen/>
        <w:br w:type="column"/>
        <w:t>мечается стеноз левого атриовентрикулярного отверстия всо- четании с митральной недостаточностью. Реже определяют</w:t>
        <w:softHyphen/>
        <w:t>ся изолированная митральная или аортальная недостаточ</w:t>
        <w:softHyphen/>
        <w:t>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ЭКГ выявляет гипертрофию левого желудочка, пере</w:t>
        <w:softHyphen/>
        <w:t>грузку предсердий, атриовентрикулярную блокаду I степе</w:t>
        <w:softHyphen/>
        <w:t>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рентгенологическом обследовании обнаруживается умеренная кардиомегалия, можно визуализировать кальци</w:t>
        <w:softHyphen/>
        <w:t>фикацию митрального кольца.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 информативна в оценке величины клапанной и левожелудочковой дисфункции.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морфологическом исследовании определяется ди</w:t>
        <w:softHyphen/>
        <w:t>латация всех камер сердца, утолщение и узловая деформа</w:t>
        <w:softHyphen/>
        <w:t>ция клапанных структур, кальцификация митрального и аортального кольца. При световой микроскопии выявля</w:t>
        <w:softHyphen/>
        <w:t>ют депозиты мукополисахаридов в строме атриовентрику</w:t>
        <w:softHyphen/>
        <w:t>лярных и полулунных створок, эндокарде. Аналогичные изменения могут обнаруживаться в проводящей системе синусового и атриовентрикулярного узлов.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не разработано. Сердечная недостаточность корригируется назначением сердечных гликозидов, диуре</w:t>
        <w:softHyphen/>
        <w:t>тиков, препаратов калия, вазодилататоров.</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28" w:name="bookmark628"/>
      <w:r>
        <w:rPr>
          <w:lang w:val="ru-RU" w:eastAsia="ru-RU" w:bidi="ru-RU"/>
          <w:w w:val="100"/>
          <w:spacing w:val="0"/>
          <w:color w:val="000000"/>
          <w:position w:val="0"/>
        </w:rPr>
        <w:t>Мукополисахаридоз II типа (синдром Хантера)</w:t>
      </w:r>
      <w:bookmarkEnd w:id="62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Дефицит фермента </w:t>
      </w:r>
      <w:r>
        <w:rPr>
          <w:lang w:val="en-US" w:eastAsia="en-US" w:bidi="en-US"/>
          <w:w w:val="100"/>
          <w:spacing w:val="0"/>
          <w:color w:val="000000"/>
          <w:position w:val="0"/>
        </w:rPr>
        <w:t>a-L</w:t>
      </w:r>
      <w:r>
        <w:rPr>
          <w:lang w:val="ru-RU" w:eastAsia="ru-RU" w:bidi="ru-RU"/>
          <w:w w:val="100"/>
          <w:spacing w:val="0"/>
          <w:color w:val="000000"/>
          <w:position w:val="0"/>
        </w:rPr>
        <w:t>-идуроносульфатсульфатазы, в результате чего в соединительной ткани накапливаются гликозаминогликан дерматансульфат и гепарансульфат.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Типичны шумное дыхание вследствие обструкции верхних дыхательных путей, паховые и пупочные грыжи. Характерен внешний вид мальчиков: утолщенная кожа, короткая шея, редкие зубы, утолщенные ноздри, губы, язык. В более старшем возрасте возникают глухота, туго- подвижность суставов и другие костные изменения, обна</w:t>
        <w:softHyphen/>
        <w:t>руживается атипичный пигментный ретинит, интеллект сохранен.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наблюдается у большинства больных. Как и при мукополисахаридозе I типа, могут возникать по - ражение клапанов, эндомиокарда, коронарных артерий. Чаще отмечается патология митрального клапана, при этом могут быть как недостаточность, так и стеноз левого атрио</w:t>
        <w:softHyphen/>
        <w:t>вентрикулярного отверстия. Поражение мио- и эндокарда протекает по рестриктивному типу, длительное время ла</w:t>
        <w:softHyphen/>
        <w:t>тентно.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выраженном замещении миокарда нефункциони</w:t>
        <w:softHyphen/>
        <w:t xml:space="preserve">рующей тканью на ЭКГ регистрируется снижение вольтажа желудочковых </w:t>
      </w:r>
      <w:r>
        <w:rPr>
          <w:lang w:val="en-US" w:eastAsia="en-US" w:bidi="en-US"/>
          <w:w w:val="100"/>
          <w:spacing w:val="0"/>
          <w:color w:val="000000"/>
          <w:position w:val="0"/>
        </w:rPr>
        <w:t xml:space="preserve">QRS </w:t>
      </w:r>
      <w:r>
        <w:rPr>
          <w:lang w:val="ru-RU" w:eastAsia="ru-RU" w:bidi="ru-RU"/>
          <w:w w:val="100"/>
          <w:spacing w:val="0"/>
          <w:color w:val="000000"/>
          <w:position w:val="0"/>
        </w:rPr>
        <w:t>комплексов.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Эхокардиографически определяются утолщенность и высокая плотность эхосигнала от кольца и створок, без выраженных нарушений запирательной функции клапана. Морфологически створки митрального клапана утолщены, ригидные.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Морфологически в миокарде и эндокарде обнаружива</w:t>
        <w:softHyphen/>
        <w:t>ются небольшие суданофильные клетки (отложение глико</w:t>
        <w:softHyphen/>
        <w:t>липидов).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не разработано.</w:t>
      </w:r>
    </w:p>
    <w:p>
      <w:pPr>
        <w:pStyle w:val="Style30"/>
        <w:widowControl w:val="0"/>
        <w:keepNext w:val="0"/>
        <w:keepLines w:val="0"/>
        <w:shd w:val="clear" w:color="auto" w:fill="auto"/>
        <w:bidi w:val="0"/>
        <w:spacing w:before="0" w:after="0"/>
        <w:ind w:left="0" w:right="0" w:firstLine="280"/>
      </w:pPr>
      <w:r>
        <w:pict>
          <v:shape id="_x0000_s1636" type="#_x0000_t75" style="position:absolute;margin-left:148.7pt;margin-top:736.8pt;width:209.75pt;height:14.9pt;z-index:-125828961;mso-wrap-distance-left:148.1pt;mso-wrap-distance-right:136.55pt;mso-wrap-distance-bottom:10.8pt;mso-position-horizontal-relative:margin;mso-position-vertical-relative:margin" wrapcoords="0 0 21600 0 21600 21600 0 21600 0 0">
            <v:imagedata r:id="rId1014" r:href="rId1015"/>
            <w10:wrap type="topAndBottom" anchorx="margin" anchory="margin"/>
          </v:shape>
        </w:pict>
      </w:r>
      <w:r>
        <w:rPr>
          <w:lang w:val="ru-RU" w:eastAsia="ru-RU" w:bidi="ru-RU"/>
          <w:w w:val="100"/>
          <w:spacing w:val="0"/>
          <w:color w:val="000000"/>
          <w:position w:val="0"/>
        </w:rPr>
        <w:t>Тип наследования: Х-сцепленный рецессивный.</w:t>
      </w:r>
      <w:r>
        <w:br w:type="page"/>
      </w:r>
    </w:p>
    <w:p>
      <w:pPr>
        <w:pStyle w:val="Style92"/>
        <w:widowControl w:val="0"/>
        <w:keepNext/>
        <w:keepLines/>
        <w:shd w:val="clear" w:color="auto" w:fill="auto"/>
        <w:bidi w:val="0"/>
        <w:spacing w:before="0" w:after="0"/>
        <w:ind w:left="0" w:right="0" w:firstLine="280"/>
      </w:pPr>
      <w:bookmarkStart w:id="629" w:name="bookmark629"/>
      <w:r>
        <w:rPr>
          <w:lang w:val="ru-RU" w:eastAsia="ru-RU" w:bidi="ru-RU"/>
          <w:w w:val="100"/>
          <w:spacing w:val="0"/>
          <w:color w:val="000000"/>
          <w:position w:val="0"/>
        </w:rPr>
        <w:t>Мукополисахаридоз III типа (синдром Санфилиппо)</w:t>
      </w:r>
      <w:bookmarkEnd w:id="62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Дефицит разных ферментов, но во всех случаях в лизо- сомах накапливается один тип гликозаминогликанов — ге- парансульфат.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Заболевание характеризуется грубыми нарушениями психики, умственной отсталостью, ригидностью суставов, гепатоспленомегалией. Черепно-лицевые аномалии незна</w:t>
        <w:softHyphen/>
        <w:t>чительны. Больные умирают в возрасте до 30 лет.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Наблюдается недостаточность или стеноз митрального клапана с соответствующими проявлениями на электро- и эхокардиограмме.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Морфологически створки ригидные, утолщенные, де</w:t>
        <w:softHyphen/>
        <w:t>формированные и укороченные хорды митрального кла</w:t>
        <w:softHyphen/>
        <w:t>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не разработано.</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30" w:name="bookmark630"/>
      <w:r>
        <w:rPr>
          <w:lang w:val="ru-RU" w:eastAsia="ru-RU" w:bidi="ru-RU"/>
          <w:w w:val="100"/>
          <w:spacing w:val="0"/>
          <w:color w:val="000000"/>
          <w:position w:val="0"/>
        </w:rPr>
        <w:t>Мукополисахаридоз IV типа (болезнь Моркио)</w:t>
      </w:r>
      <w:bookmarkEnd w:id="63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Дефицит лизосомальных гидролаз: галактозамин-6-сул- фат-сульфатазы (тип А) или Р-галактозидазы (тип В) с от</w:t>
        <w:softHyphen/>
        <w:t>ложением в соединительной ткани кератансульфата.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проявляется на 2 году жизни скелетными де</w:t>
        <w:softHyphen/>
        <w:t>формациями, выраженным отставанием в росте. Больные карликового роста, с типичным лицом: широкий рот, ко</w:t>
        <w:softHyphen/>
        <w:t>роткий нос, широко поставленные зубы; руки уродливой формы, шея короткая, интеллект умеренно снижен.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типична недостаточность аортального клапана,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развивающаяся в подростковом возрасте. Поражение дру</w:t>
        <w:softHyphen/>
        <w:t>гих клапанов протекает латентно и выявляется при ультра</w:t>
        <w:softHyphen/>
        <w:t>звуковом исследовании.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Морфологически определяется кальцификация легоч</w:t>
        <w:softHyphen/>
        <w:t>ного и аортального клапанов, утолщение по свободному краю всех створок, пристеночного эндокарда, сужение про</w:t>
        <w:softHyphen/>
        <w:t>света коронарных сосудов. Электронно-микроскопическое исследование обнаруживает вакуоли в цитоплазме гладко</w:t>
        <w:softHyphen/>
        <w:t>мышечных клеток интимы венечных артерий.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не разработано. Учитывая высокую частоту ла</w:t>
        <w:softHyphen/>
        <w:t>тентно протекающей клапанной дисфунции, всем больным с синдромом Моркио показана антибактериальная профи</w:t>
        <w:softHyphen/>
        <w:t>лактика инфекционного эндокардита во время хирургичес</w:t>
        <w:softHyphen/>
        <w:t>ких манипуляций.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31" w:name="bookmark631"/>
      <w:r>
        <w:rPr>
          <w:lang w:val="ru-RU" w:eastAsia="ru-RU" w:bidi="ru-RU"/>
          <w:w w:val="100"/>
          <w:spacing w:val="0"/>
          <w:color w:val="000000"/>
          <w:position w:val="0"/>
        </w:rPr>
        <w:t>Мукополисахаридоз VI типа (синдром Марото-Лами)</w:t>
      </w:r>
      <w:bookmarkEnd w:id="63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Дефицит М-ацетилгалактозамин-4-сульфатсульфатазы (арилсульфатаза-В) с отложением в тканях дорматансуль- фата.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синдрома типичны отставание в росте, короткие ту</w:t>
        <w:softHyphen/>
        <w:t>ловище и конечности, гепатоспленомегалия, помутнение роговицы, возможна глухота; интеллект нормальный. Больные погибают в возрасте до 20 лет.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может манифестировать тяжелой сердечной недостаточностью вследствие дилатационной кар</w:t>
        <w:softHyphen/>
        <w:t>диомиопатии и эндокардиального фиброэластоза в период новорожденности и у детей грудного возраста. Характерно, что симптоматика тяжелого сердечного заболевания может</w:t>
        <w:br w:type="column"/>
        <w:t>предшествовать соматической манифестации болезни. Ме</w:t>
        <w:softHyphen/>
        <w:t>нее тяжелые случаи болезни проявляются стенозом или не</w:t>
        <w:softHyphen/>
        <w:t>достаточностью митрального и аортального клапанов. Тече</w:t>
        <w:softHyphen/>
        <w:t>ние порока усугубляется дыхательной недостаточностью из-за обструкции верхних дыхательных путей.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аутопсии имеют место гипертрофия и дилатация ле</w:t>
        <w:softHyphen/>
        <w:t>вого желудочка, выраженный эндокардиальный фиброэла- стоз, утолщение эндокарда митрального и аортального кла</w:t>
        <w:softHyphen/>
        <w:t>панов, их кальцификация. Электронная микроскопия вы</w:t>
        <w:softHyphen/>
        <w:t>являет фибробласты с большим числом вакуолей в миокар</w:t>
        <w:softHyphen/>
        <w:t>де.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Специфическое лечение не разработано.</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32" w:name="bookmark632"/>
      <w:r>
        <w:rPr>
          <w:lang w:val="ru-RU" w:eastAsia="ru-RU" w:bidi="ru-RU"/>
          <w:w w:val="100"/>
          <w:spacing w:val="0"/>
          <w:color w:val="000000"/>
          <w:position w:val="0"/>
        </w:rPr>
        <w:t xml:space="preserve">Мукополисахаридоз </w:t>
      </w:r>
      <w:r>
        <w:rPr>
          <w:lang w:val="en-US" w:eastAsia="en-US" w:bidi="en-US"/>
          <w:w w:val="100"/>
          <w:spacing w:val="0"/>
          <w:color w:val="000000"/>
          <w:position w:val="0"/>
        </w:rPr>
        <w:t xml:space="preserve">VII </w:t>
      </w:r>
      <w:r>
        <w:rPr>
          <w:lang w:val="ru-RU" w:eastAsia="ru-RU" w:bidi="ru-RU"/>
          <w:w w:val="100"/>
          <w:spacing w:val="0"/>
          <w:color w:val="000000"/>
          <w:position w:val="0"/>
        </w:rPr>
        <w:t>типа (синдром Слая)</w:t>
      </w:r>
      <w:bookmarkEnd w:id="63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Дефицит Р-глюкуронидазы с отложением в тканях хонд- роитинсульфатов.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Характерными проявлениями синдрома являются: гепа- тоспленомегалия, паховые и пупочные грыжи, низкий рост, килевидная грудная клетка, тораколюмбальный кифоз, ко</w:t>
        <w:softHyphen/>
        <w:t>солапость, повторные легочные инфекции. Типичны гру</w:t>
        <w:softHyphen/>
        <w:t>бые черты лица с гипертелоризмом, запавшей переноси</w:t>
        <w:softHyphen/>
        <w:t>цей, вывернутыми вперед ноздрями.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Наблюдаются клапанные изменения в виде аортальной регургитации или обструктивная гипертрофическая кар</w:t>
        <w:softHyphen/>
        <w:t>диомиопатия. Возможно развитие артериальной гипертен</w:t>
        <w:softHyphen/>
        <w:t>зии из-за фибромышечной дисплазии почечных сосудов.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не разработано. Показана профилактика ин</w:t>
        <w:softHyphen/>
        <w:t>фекционного эндокардита, учитывая высокую частоту ла</w:t>
        <w:softHyphen/>
        <w:t>тентно протекающих клапанных аномалий.</w:t>
      </w:r>
    </w:p>
    <w:p>
      <w:pPr>
        <w:pStyle w:val="Style30"/>
        <w:widowControl w:val="0"/>
        <w:keepNext w:val="0"/>
        <w:keepLines w:val="0"/>
        <w:shd w:val="clear" w:color="auto" w:fill="auto"/>
        <w:bidi w:val="0"/>
        <w:spacing w:before="0" w:after="313"/>
        <w:ind w:left="0" w:right="0" w:firstLine="280"/>
      </w:pPr>
      <w:r>
        <w:rPr>
          <w:lang w:val="ru-RU" w:eastAsia="ru-RU" w:bidi="ru-RU"/>
          <w:w w:val="100"/>
          <w:spacing w:val="0"/>
          <w:color w:val="000000"/>
          <w:position w:val="0"/>
        </w:rPr>
        <w:t>Тип наследования: аутосомно-рецессивный.</w:t>
      </w:r>
    </w:p>
    <w:p>
      <w:pPr>
        <w:pStyle w:val="Style48"/>
        <w:widowControl w:val="0"/>
        <w:keepNext/>
        <w:keepLines/>
        <w:shd w:val="clear" w:color="auto" w:fill="auto"/>
        <w:bidi w:val="0"/>
        <w:jc w:val="both"/>
        <w:spacing w:before="0" w:after="101" w:line="200" w:lineRule="exact"/>
        <w:ind w:left="0" w:right="0" w:firstLine="0"/>
      </w:pPr>
      <w:bookmarkStart w:id="633" w:name="bookmark633"/>
      <w:r>
        <w:rPr>
          <w:lang w:val="ru-RU" w:eastAsia="ru-RU" w:bidi="ru-RU"/>
          <w:w w:val="100"/>
          <w:spacing w:val="0"/>
          <w:color w:val="000000"/>
          <w:position w:val="0"/>
        </w:rPr>
        <w:t>Ганглиозидозы</w:t>
      </w:r>
      <w:bookmarkEnd w:id="63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Ганглиозидоз </w:t>
      </w:r>
      <w:r>
        <w:rPr>
          <w:lang w:val="en-US" w:eastAsia="en-US" w:bidi="en-US"/>
          <w:w w:val="100"/>
          <w:spacing w:val="0"/>
          <w:color w:val="000000"/>
          <w:position w:val="0"/>
        </w:rPr>
        <w:t xml:space="preserve">GMl </w:t>
      </w:r>
      <w:r>
        <w:rPr>
          <w:lang w:val="ru-RU" w:eastAsia="ru-RU" w:bidi="ru-RU"/>
          <w:w w:val="100"/>
          <w:spacing w:val="0"/>
          <w:color w:val="000000"/>
          <w:position w:val="0"/>
        </w:rPr>
        <w:t>(ганглиозидоз ювенильная форма, бо</w:t>
        <w:softHyphen/>
        <w:t>лезнь Дери)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Типичны отставание в психомоторном развитии, судо</w:t>
        <w:softHyphen/>
        <w:t>роги, деменция, поражение паренхиматозных органов.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Характерно развитие дилатационной кардиомиопатии,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приводящей к возникновению рефракторной сердечной не</w:t>
        <w:softHyphen/>
        <w:t>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ЭКГ определяются гипертрофия левого и правого желудочков, субэндокардиальная ишемия миокарда, уко</w:t>
        <w:softHyphen/>
        <w:t xml:space="preserve">рочение интервала </w:t>
      </w:r>
      <w:r>
        <w:rPr>
          <w:lang w:val="en-US" w:eastAsia="en-US" w:bidi="en-US"/>
          <w:w w:val="100"/>
          <w:spacing w:val="0"/>
          <w:color w:val="000000"/>
          <w:position w:val="0"/>
        </w:rPr>
        <w:t>P-R.</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 выявляет большую, плохо сокращаю</w:t>
        <w:softHyphen/>
        <w:t>щуюся камеру левого желудочка без признаков гипертро</w:t>
        <w:softHyphen/>
        <w:t>фии миокарда.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аутопсии сердце значительно увеличено, имеют мес</w:t>
        <w:softHyphen/>
        <w:t>то признаки эндокардиального фиброэластоза, узелковое утолщение створок клапанов. Гистологически в миокарде обнаруживаются гистиоциты с большим количеством жи</w:t>
        <w:softHyphen/>
        <w:t>ровых включений, содержащих ганглиозиды. Аналогичные изменения определяются в створках митрального и аор</w:t>
        <w:softHyphen/>
        <w:t>тального клапанов, стенках коронарных артерий.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не разработано.</w:t>
      </w:r>
    </w:p>
    <w:p>
      <w:pPr>
        <w:pStyle w:val="Style30"/>
        <w:widowControl w:val="0"/>
        <w:keepNext w:val="0"/>
        <w:keepLines w:val="0"/>
        <w:shd w:val="clear" w:color="auto" w:fill="auto"/>
        <w:bidi w:val="0"/>
        <w:spacing w:before="0" w:after="0"/>
        <w:ind w:left="0" w:right="0" w:firstLine="280"/>
      </w:pPr>
      <w:r>
        <w:pict>
          <v:shape id="_x0000_s1637" type="#_x0000_t75" style="position:absolute;margin-left:137.5pt;margin-top:736.8pt;width:209.75pt;height:14.9pt;z-index:-125828960;mso-wrap-distance-left:136.8pt;mso-wrap-distance-right:147.6pt;mso-wrap-distance-bottom:10.8pt;mso-position-horizontal-relative:margin;mso-position-vertical-relative:margin" wrapcoords="0 0 21600 0 21600 21600 0 21600 0 0">
            <v:imagedata r:id="rId1016" r:href="rId1017"/>
            <w10:wrap type="topAndBottom" anchorx="margin" anchory="margin"/>
          </v:shape>
        </w:pict>
      </w:r>
      <w:r>
        <w:rPr>
          <w:lang w:val="ru-RU" w:eastAsia="ru-RU" w:bidi="ru-RU"/>
          <w:w w:val="100"/>
          <w:spacing w:val="0"/>
          <w:color w:val="000000"/>
          <w:position w:val="0"/>
        </w:rPr>
        <w:t>Тип наследования: аутосомно-рецессивный. Ген локали</w:t>
        <w:softHyphen/>
        <w:t>зован на коротком плече 3 хромосомы (Зр21).</w:t>
      </w:r>
      <w:r>
        <w:br w:type="page"/>
      </w:r>
    </w:p>
    <w:p>
      <w:pPr>
        <w:pStyle w:val="Style92"/>
        <w:widowControl w:val="0"/>
        <w:keepNext/>
        <w:keepLines/>
        <w:shd w:val="clear" w:color="auto" w:fill="auto"/>
        <w:bidi w:val="0"/>
        <w:spacing w:before="0" w:after="0"/>
        <w:ind w:left="0" w:right="0" w:firstLine="280"/>
      </w:pPr>
      <w:bookmarkStart w:id="634" w:name="bookmark634"/>
      <w:r>
        <w:rPr>
          <w:lang w:val="ru-RU" w:eastAsia="ru-RU" w:bidi="ru-RU"/>
          <w:w w:val="100"/>
          <w:spacing w:val="0"/>
          <w:color w:val="000000"/>
          <w:position w:val="0"/>
        </w:rPr>
        <w:t xml:space="preserve">Ганглиозидоз </w:t>
      </w:r>
      <w:r>
        <w:rPr>
          <w:lang w:val="en-US" w:eastAsia="en-US" w:bidi="en-US"/>
          <w:w w:val="100"/>
          <w:spacing w:val="0"/>
          <w:color w:val="000000"/>
          <w:position w:val="0"/>
        </w:rPr>
        <w:t xml:space="preserve">GM2 </w:t>
      </w:r>
      <w:r>
        <w:rPr>
          <w:lang w:val="ru-RU" w:eastAsia="ru-RU" w:bidi="ru-RU"/>
          <w:w w:val="100"/>
          <w:spacing w:val="0"/>
          <w:color w:val="000000"/>
          <w:position w:val="0"/>
        </w:rPr>
        <w:t>(болезнь Тея-Сакса, семейная амавро</w:t>
        <w:softHyphen/>
        <w:t>тическая идиотия)</w:t>
      </w:r>
      <w:bookmarkEnd w:id="63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Дефицит а-гексозаминидазы с накоплением в тканях </w:t>
      </w:r>
      <w:r>
        <w:rPr>
          <w:lang w:val="en-US" w:eastAsia="en-US" w:bidi="en-US"/>
          <w:w w:val="100"/>
          <w:spacing w:val="0"/>
          <w:color w:val="000000"/>
          <w:position w:val="0"/>
        </w:rPr>
        <w:t xml:space="preserve">GM2 </w:t>
      </w:r>
      <w:r>
        <w:rPr>
          <w:lang w:val="ru-RU" w:eastAsia="ru-RU" w:bidi="ru-RU"/>
          <w:w w:val="100"/>
          <w:spacing w:val="0"/>
          <w:color w:val="000000"/>
          <w:position w:val="0"/>
        </w:rPr>
        <w:t>ганглиозида.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Заболевание проявляется в 5-6 месяцев. Вначале наблю</w:t>
        <w:softHyphen/>
        <w:t>даются апатия и гиперакузия, мышечная гипотония. По</w:t>
        <w:softHyphen/>
        <w:t>степенно развивается полная обездвиженность, появляют</w:t>
        <w:softHyphen/>
        <w:t>ся судороги, бульбарные расстройства, слепота.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проявляется кардиомиопатией и на</w:t>
        <w:softHyphen/>
        <w:t>рушением ритма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 ЭКГ характерно уширение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удлине</w:t>
        <w:softHyphen/>
        <w:t xml:space="preserve">ние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выраженная синусовая аритмия, пред</w:t>
        <w:softHyphen/>
        <w:t>сердная и желудочковая экстрасистолия. Зубцы Т высокие и заостренные.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Рентгенологически сердце незначительно увеличено в поперечнике.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эхокардиографии может определяться неравномер</w:t>
        <w:softHyphen/>
        <w:t>ная плотность и гипертрофия миокарда.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Гистологически определяется аккумуляция в миокарде ганглиозидов.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симптоматическое. Назначаются широкий ком</w:t>
        <w:softHyphen/>
        <w:t>плекс витаминотерапии, противосудорожные препараты, гепатопротекторы.</w:t>
      </w:r>
    </w:p>
    <w:p>
      <w:pPr>
        <w:pStyle w:val="Style30"/>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Тип наследования: аутосомно-рецессивный. Локализа</w:t>
        <w:softHyphen/>
        <w:t xml:space="preserve">ция гена установлена на 15 хромосоме </w:t>
      </w:r>
      <w:r>
        <w:rPr>
          <w:lang w:val="en-US" w:eastAsia="en-US" w:bidi="en-US"/>
          <w:w w:val="100"/>
          <w:spacing w:val="0"/>
          <w:color w:val="000000"/>
          <w:position w:val="0"/>
        </w:rPr>
        <w:t>(15q22-q25,1).</w:t>
      </w:r>
    </w:p>
    <w:p>
      <w:pPr>
        <w:pStyle w:val="Style92"/>
        <w:widowControl w:val="0"/>
        <w:keepNext/>
        <w:keepLines/>
        <w:shd w:val="clear" w:color="auto" w:fill="auto"/>
        <w:bidi w:val="0"/>
        <w:spacing w:before="0" w:after="0"/>
        <w:ind w:left="0" w:right="0" w:firstLine="280"/>
      </w:pPr>
      <w:bookmarkStart w:id="635" w:name="bookmark635"/>
      <w:r>
        <w:rPr>
          <w:lang w:val="ru-RU" w:eastAsia="ru-RU" w:bidi="ru-RU"/>
          <w:w w:val="100"/>
          <w:spacing w:val="0"/>
          <w:color w:val="000000"/>
          <w:position w:val="0"/>
        </w:rPr>
        <w:t xml:space="preserve">Ганглиозидоз </w:t>
      </w:r>
      <w:r>
        <w:rPr>
          <w:lang w:val="en-US" w:eastAsia="en-US" w:bidi="en-US"/>
          <w:w w:val="100"/>
          <w:spacing w:val="0"/>
          <w:color w:val="000000"/>
          <w:position w:val="0"/>
        </w:rPr>
        <w:t xml:space="preserve">GM2 </w:t>
      </w:r>
      <w:r>
        <w:rPr>
          <w:lang w:val="ru-RU" w:eastAsia="ru-RU" w:bidi="ru-RU"/>
          <w:w w:val="100"/>
          <w:spacing w:val="0"/>
          <w:color w:val="000000"/>
          <w:position w:val="0"/>
        </w:rPr>
        <w:t>(болезнь Сандхоффа, амавротическая идиотия Сандхоффа)</w:t>
      </w:r>
      <w:bookmarkEnd w:id="63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Дефицит а- и Р-гексозаминидазы с накоплением в тка</w:t>
        <w:softHyphen/>
        <w:t>нях GМ2-ганглиозида и глобозида.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Заболевание проявляется в первые 6 мес. жизни мышеч</w:t>
        <w:softHyphen/>
        <w:t>ной гипотонией и отставанием в психомоторном развитии. Характерны гепатоспленомегалия, судороги, симптом «вишневой косточки» на глазном дне. Смерть наступает в 2-3 года.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Тяжелое поражение сердечной мышцы с развитием фиб- роэластоза эндокарда, дилатационной кардиомиопатии и за</w:t>
        <w:softHyphen/>
        <w:t>стойной сердечной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 ЭКГ регистрируются перегрузка левого желудочка, увеличение вольтажа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нарушение про</w:t>
        <w:softHyphen/>
        <w:t>цесса реполяризации. Эхокардиография выявляет дила</w:t>
        <w:softHyphen/>
        <w:t>тацию и симметричную гипертрофию левого желудочка, плотные эхосигналы от эндокарда. Морфологически оп</w:t>
        <w:softHyphen/>
        <w:t>ределяется склероз эндокарда, клапанов, хорд. Элек</w:t>
        <w:softHyphen/>
        <w:t>тронная микроскопия выявляет значительное отложение в лизосомах миокарда липидов, разрастание коллагено</w:t>
        <w:softHyphen/>
        <w:t>вых и эластичных волокон в эндокарде и створках клапа</w:t>
        <w:softHyphen/>
        <w:t>нов. Может наблюдаться поражение коронарных арте</w:t>
        <w:softHyphen/>
        <w:t>рий.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симптоматическое. Показано назначение сер</w:t>
        <w:softHyphen/>
        <w:t>дечных гликозидов, диуретиков, вазодилататоров при за</w:t>
        <w:softHyphen/>
        <w:t>стойной сердечной недостаточности. Применяются широ</w:t>
        <w:softHyphen/>
        <w:t>кий комплекс витаминотерапии, противосудорожные пре</w:t>
        <w:softHyphen/>
        <w:t>параты, гепатопротекторы.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наследования: аутосомно-рецессивный. Локализа</w:t>
        <w:softHyphen/>
        <w:t xml:space="preserve">ция гена установлена на 5 хромосоме </w:t>
      </w:r>
      <w:r>
        <w:rPr>
          <w:lang w:val="en-US" w:eastAsia="en-US" w:bidi="en-US"/>
          <w:w w:val="100"/>
          <w:spacing w:val="0"/>
          <w:color w:val="000000"/>
          <w:position w:val="0"/>
        </w:rPr>
        <w:t>(5ql3).</w:t>
      </w:r>
    </w:p>
    <w:p>
      <w:pPr>
        <w:pStyle w:val="Style48"/>
        <w:widowControl w:val="0"/>
        <w:keepNext/>
        <w:keepLines/>
        <w:shd w:val="clear" w:color="auto" w:fill="auto"/>
        <w:bidi w:val="0"/>
        <w:jc w:val="left"/>
        <w:spacing w:before="0" w:after="101" w:line="200" w:lineRule="exact"/>
        <w:ind w:left="0" w:right="0" w:firstLine="0"/>
      </w:pPr>
      <w:r>
        <w:br w:type="column"/>
      </w:r>
      <w:bookmarkStart w:id="636" w:name="bookmark636"/>
      <w:r>
        <w:rPr>
          <w:lang w:val="ru-RU" w:eastAsia="ru-RU" w:bidi="ru-RU"/>
          <w:w w:val="100"/>
          <w:spacing w:val="0"/>
          <w:color w:val="000000"/>
          <w:position w:val="0"/>
        </w:rPr>
        <w:t>Муколипидозы</w:t>
      </w:r>
      <w:bookmarkEnd w:id="63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Муколипидоз II типа (болезнь </w:t>
      </w:r>
      <w:r>
        <w:rPr>
          <w:lang w:val="en-US" w:eastAsia="en-US" w:bidi="en-US"/>
          <w:w w:val="100"/>
          <w:spacing w:val="0"/>
          <w:color w:val="000000"/>
          <w:position w:val="0"/>
        </w:rPr>
        <w:t>I</w:t>
      </w:r>
      <w:r>
        <w:rPr>
          <w:lang w:val="ru-RU" w:eastAsia="ru-RU" w:bidi="ru-RU"/>
          <w:w w:val="100"/>
          <w:spacing w:val="0"/>
          <w:color w:val="000000"/>
          <w:position w:val="0"/>
        </w:rPr>
        <w:t>-клеток)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Патология лизосомальных кислых гидролаз.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Фенотипически муколипидоз II типа сходен с мукополи- сахаридозом </w:t>
      </w:r>
      <w:r>
        <w:rPr>
          <w:lang w:val="en-US" w:eastAsia="en-US" w:bidi="en-US"/>
          <w:w w:val="100"/>
          <w:spacing w:val="0"/>
          <w:color w:val="000000"/>
          <w:position w:val="0"/>
        </w:rPr>
        <w:t xml:space="preserve">I H </w:t>
      </w:r>
      <w:r>
        <w:rPr>
          <w:lang w:val="ru-RU" w:eastAsia="ru-RU" w:bidi="ru-RU"/>
          <w:w w:val="100"/>
          <w:spacing w:val="0"/>
          <w:color w:val="000000"/>
          <w:position w:val="0"/>
        </w:rPr>
        <w:t>типа. Больные резко отстают в росте и пси</w:t>
        <w:softHyphen/>
        <w:t>хомоторном развитии. Отмечаются характерные лицевые признаки: мелкие орбиты, отекшие веки, небольшой экзоф</w:t>
        <w:softHyphen/>
        <w:t>тальм, выраженная подкожная венозная сеть вокруг глаз и в височных областях, сглаженные надбровные дуги, пол</w:t>
        <w:softHyphen/>
        <w:t>ные щеки с множественными телеангиэктазиями, выражен</w:t>
        <w:softHyphen/>
        <w:t>ная гиперплазия десен. Скелетно-мышечные аномалии включают короткую шею и короткую грудную клетку, пахо</w:t>
        <w:softHyphen/>
        <w:t>вые и пупочные грыжи, ограничение подвижности суставов.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наблюдается у большинства больных. У новорожденных синдром может манифестировать кардио- мегалией с развитием застойной сердечной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 выявляет симметричную гипертро</w:t>
        <w:softHyphen/>
        <w:t>фию левого желудочка, реже обструктивную (септальную) гипертрофическую кардиомиопатию. У подростков опре</w:t>
        <w:softHyphen/>
        <w:t>деляется поражение аортального и митрального клапанов с развитием соответствующей клинической симптоматики.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Гистологически в миокарде и клапанных структурах вы</w:t>
        <w:softHyphen/>
        <w:t xml:space="preserve">являются фибробласты с множественными включениями </w:t>
      </w:r>
      <w:r>
        <w:rPr>
          <w:lang w:val="en-US" w:eastAsia="en-US" w:bidi="en-US"/>
          <w:w w:val="100"/>
          <w:spacing w:val="0"/>
          <w:color w:val="000000"/>
          <w:position w:val="0"/>
        </w:rPr>
        <w:t xml:space="preserve">(I- </w:t>
      </w:r>
      <w:r>
        <w:rPr>
          <w:lang w:val="ru-RU" w:eastAsia="ru-RU" w:bidi="ru-RU"/>
          <w:w w:val="100"/>
          <w:spacing w:val="0"/>
          <w:color w:val="000000"/>
          <w:position w:val="0"/>
        </w:rPr>
        <w:t>клетки). Створки митрального и аортального клапанов утол</w:t>
        <w:softHyphen/>
        <w:t>щены, ригидные. В ряде случаев обнаруживается субинти- мальная пролиферация в грудной и абдоминальной аорте.</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Муколипидоз III типа (псевдо </w:t>
      </w:r>
      <w:r>
        <w:rPr>
          <w:lang w:val="en-US" w:eastAsia="en-US" w:bidi="en-US"/>
          <w:w w:val="100"/>
          <w:spacing w:val="0"/>
          <w:color w:val="000000"/>
          <w:position w:val="0"/>
        </w:rPr>
        <w:t xml:space="preserve">Hurltr </w:t>
      </w:r>
      <w:r>
        <w:rPr>
          <w:lang w:val="ru-RU" w:eastAsia="ru-RU" w:bidi="ru-RU"/>
          <w:w w:val="100"/>
          <w:spacing w:val="0"/>
          <w:color w:val="000000"/>
          <w:position w:val="0"/>
        </w:rPr>
        <w:t>полидистрофия)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Нарушение активности кислых гидролаз.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Клиника фенотипически сходна с мукополисахаридозом </w:t>
      </w:r>
      <w:r>
        <w:rPr>
          <w:lang w:val="en-US" w:eastAsia="en-US" w:bidi="en-US"/>
          <w:w w:val="100"/>
          <w:spacing w:val="0"/>
          <w:color w:val="000000"/>
          <w:position w:val="0"/>
        </w:rPr>
        <w:t xml:space="preserve">IH </w:t>
      </w:r>
      <w:r>
        <w:rPr>
          <w:lang w:val="ru-RU" w:eastAsia="ru-RU" w:bidi="ru-RU"/>
          <w:w w:val="100"/>
          <w:spacing w:val="0"/>
          <w:color w:val="000000"/>
          <w:position w:val="0"/>
        </w:rPr>
        <w:t>типа (синдром Гурлера). Отмечаются низкий рост, укоро</w:t>
        <w:softHyphen/>
        <w:t>чение туловища и верхних конечностей, короткие и утолщен</w:t>
        <w:softHyphen/>
        <w:t>ные ключицы, тугоподвижность суставов, грубые черты лица.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Наблюдается поражение клапанного аппарата сердца с развитием аортальной недостаточности, реже аортального стеноза. Реже в процесс вовлекается митральный клапан. Морфологические изменения в сердце и сосудах носят ана</w:t>
        <w:softHyphen/>
        <w:t>логичный характер, что и при муколипидозе II типа.</w:t>
      </w:r>
    </w:p>
    <w:p>
      <w:pPr>
        <w:pStyle w:val="Style30"/>
        <w:widowControl w:val="0"/>
        <w:keepNext w:val="0"/>
        <w:keepLines w:val="0"/>
        <w:shd w:val="clear" w:color="auto" w:fill="auto"/>
        <w:bidi w:val="0"/>
        <w:spacing w:before="0" w:after="313"/>
        <w:ind w:left="0" w:right="0" w:firstLine="280"/>
      </w:pPr>
      <w:r>
        <w:rPr>
          <w:lang w:val="ru-RU" w:eastAsia="ru-RU" w:bidi="ru-RU"/>
          <w:w w:val="100"/>
          <w:spacing w:val="0"/>
          <w:color w:val="000000"/>
          <w:position w:val="0"/>
        </w:rPr>
        <w:t>Тип наследования: аутосомно-рецессивный.</w:t>
      </w:r>
    </w:p>
    <w:p>
      <w:pPr>
        <w:pStyle w:val="Style48"/>
        <w:widowControl w:val="0"/>
        <w:keepNext/>
        <w:keepLines/>
        <w:shd w:val="clear" w:color="auto" w:fill="auto"/>
        <w:bidi w:val="0"/>
        <w:jc w:val="left"/>
        <w:spacing w:before="0" w:after="101" w:line="200" w:lineRule="exact"/>
        <w:ind w:left="0" w:right="0" w:firstLine="0"/>
      </w:pPr>
      <w:bookmarkStart w:id="637" w:name="bookmark637"/>
      <w:r>
        <w:rPr>
          <w:lang w:val="ru-RU" w:eastAsia="ru-RU" w:bidi="ru-RU"/>
          <w:w w:val="100"/>
          <w:spacing w:val="0"/>
          <w:color w:val="000000"/>
          <w:position w:val="0"/>
        </w:rPr>
        <w:t>Сфинголипидозы</w:t>
      </w:r>
      <w:bookmarkEnd w:id="63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Фабри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Накопление в тканях сфинголипидов галактозилцера- мида вследствие генетически детерминированного дефи</w:t>
        <w:softHyphen/>
        <w:t>цита лизосомального фермента тригексозилцерамид аль- фа-галактозидазы.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pict>
          <v:shape id="_x0000_s1638" type="#_x0000_t75" style="position:absolute;margin-left:148.7pt;margin-top:736.8pt;width:209.75pt;height:14.9pt;z-index:-125828959;mso-wrap-distance-left:148.1pt;mso-wrap-distance-right:136.55pt;mso-wrap-distance-bottom:10.8pt;mso-position-horizontal-relative:margin;mso-position-vertical-relative:margin" wrapcoords="0 0 21600 0 21600 21600 0 21600 0 0">
            <v:imagedata r:id="rId1018" r:href="rId1019"/>
            <w10:wrap type="topAndBottom" anchorx="margin" anchory="margin"/>
          </v:shape>
        </w:pict>
      </w:r>
      <w:r>
        <w:rPr>
          <w:lang w:val="ru-RU" w:eastAsia="ru-RU" w:bidi="ru-RU"/>
          <w:w w:val="100"/>
          <w:spacing w:val="0"/>
          <w:color w:val="000000"/>
          <w:position w:val="0"/>
        </w:rPr>
        <w:t>Начальными проявлениями заболевания обычно явля</w:t>
        <w:softHyphen/>
        <w:t>ются болезненность и жжение в руках и ногах, возникаю</w:t>
        <w:softHyphen/>
        <w:t>щие в пре- или пубертатном периоде. Парестезии в конеч</w:t>
        <w:softHyphen/>
        <w:t>ностях усиливаются от воздействия горячей воды и могут провоцироваться физической нагрузкой. Дети часто отме</w:t>
        <w:softHyphen/>
        <w:t>чают утомляемость и слабость. Кожные проявления харак</w:t>
        <w:softHyphen/>
        <w:t>теризуются небольшими красными макулопапулезными высыпаниями (ангиокератома) на ягодицах, в области пуп-</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ка, паховой области, в области губ и пальцев рук. Другим симптомом болезни является помутнение роговицы, кото</w:t>
        <w:softHyphen/>
        <w:t>рое на начальных стадиях болезни диагностируется только с помощью щелевой лампы. У гетерозиготных девочек с бо</w:t>
        <w:softHyphen/>
        <w:t>лезнью Фабри поражение роговицы более характерно, а ак- ропарестезии и ангиокератоз встречаются редко.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Характерным симптомом является протеинурия. Данная болезнь должна быть заподозрена у всех подростков с аль</w:t>
        <w:softHyphen/>
        <w:t>буминурией неясного генеза. При развитии почечной недо</w:t>
        <w:softHyphen/>
        <w:t>статочности может развиться симптоматическая артериаль</w:t>
        <w:softHyphen/>
        <w:t>ная гипертензия.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Вегетативные проявления связаны с нарушением функ</w:t>
        <w:softHyphen/>
        <w:t>ции как симпатического, так и парасимпатического отде</w:t>
        <w:softHyphen/>
        <w:t>лов нервной системы. У1/3 детей с болезнью Фабри наблю</w:t>
        <w:softHyphen/>
        <w:t>дается суставной синдром, нередко имитирующий ревма</w:t>
        <w:softHyphen/>
        <w:t>тическую болезнь.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проявляется гипертрофической кар</w:t>
        <w:softHyphen/>
        <w:t>диомиопатией, клапанной дисфункцией, нарушением ритма сердца и проводимости, тромбоэмболическими нарушениями, артериальной гипертензией.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Гипертрофическая кардиомиопатия характеризуется необ</w:t>
        <w:softHyphen/>
        <w:t>структивной симметричной формой, реже встречаются об</w:t>
        <w:softHyphen/>
        <w:t>структивные и верхушечные варианты. При наличии вазо</w:t>
        <w:softHyphen/>
        <w:t>ренальной гипертензии гипертрофия миокарда наряду со специфическим поражением (аккумуляция липидов) свя</w:t>
        <w:softHyphen/>
        <w:t>зана со стойкой артериальной гипертензией. Появляется левожелудочковая недостаточность, которая прогрессирует даже несмотря на своевременно проведенную транспланта</w:t>
        <w:softHyphen/>
        <w:t>цию почек. Обструктивная форма гипертрофической кар</w:t>
        <w:softHyphen/>
        <w:t>диопатии возникает при чрезмерной гипертрофии межже</w:t>
        <w:softHyphen/>
        <w:t>лудочковой перегородки (обычно более 20 мм), однако вы</w:t>
        <w:softHyphen/>
        <w:t>сокий градиент не характерен.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Клапанная дисфункция проявляется возникновением клапанной регургитации. Чаще всего развивается аорталь</w:t>
        <w:softHyphen/>
        <w:t>ная недостаточность из-за отложения в строме клапана фо</w:t>
        <w:softHyphen/>
        <w:t>сфолипидных депозитов, реже из-за дилатации корня аор</w:t>
        <w:softHyphen/>
        <w:t>ты. У 50% больных определяется пролапс митрального кла</w:t>
        <w:softHyphen/>
        <w:t>пана в сочетании с дилатацией аорты и латентно протекаю</w:t>
        <w:softHyphen/>
        <w:t>щей кардиомиопатией.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Нарушения ритма сердца и проводимости проявляются различными вариантами гетеротопных аритмий и блокад и связаны с поражением синусового и атриовентрикуляр</w:t>
        <w:softHyphen/>
        <w:t>ного узлов. Слабость синусового узла диагностируется по наличию патологической (симптомной) брадикардии, мер</w:t>
        <w:softHyphen/>
        <w:t>цания-трепетания предсердий; при поражении атриовент</w:t>
        <w:softHyphen/>
        <w:t>рикулярного соединения развивается поперечная атрио</w:t>
        <w:softHyphen/>
        <w:t>вентрикулярная блокада, возникновение которой обуслов</w:t>
        <w:softHyphen/>
        <w:t>лено аккумуляцией липидов в атриовентрикулярном узле. Распространенное поражение проводящей системы может обусловить сочетание поперечного атриовентрикулярного блока со слабостью синусового узла. Слабость синусового и атриовентрикулярного узлов лежит в основе синдрома внезапной смерти больных болезнью Фабри.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Тромбоэмболические нарушения связаны с увеличен</w:t>
        <w:softHyphen/>
        <w:t>ной тромбоцитарной агрегацией и высоким уровнем бета- тромбоглобулинов в плазме крови. Способствуют тромбо</w:t>
        <w:softHyphen/>
        <w:t>эмболии раннее возникновение варикозного расширения вен, а также сосудистые спазмы, подобные синдрому Рей- но. Обычно имеет место тромбоз глубоких периферических вен и портальной системы, венозная тромбоэмболия в сис</w:t>
        <w:softHyphen/>
        <w:t>тему легочной артерии. Нарушение тромбоцитарного го</w:t>
        <w:softHyphen/>
        <w:br w:type="column"/>
        <w:t>меостаза наряду с сосудистой дизрегуляцией способствуют раннему развитию атеросклеротического процесса (моложе 20 лет).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 ЭКГ определяются укорочение интервала </w:t>
      </w:r>
      <w:r>
        <w:rPr>
          <w:lang w:val="en-US" w:eastAsia="en-US" w:bidi="en-US"/>
          <w:w w:val="100"/>
          <w:spacing w:val="0"/>
          <w:color w:val="000000"/>
          <w:position w:val="0"/>
        </w:rPr>
        <w:t xml:space="preserve">PR, ST-T </w:t>
      </w:r>
      <w:r>
        <w:rPr>
          <w:lang w:val="ru-RU" w:eastAsia="ru-RU" w:bidi="ru-RU"/>
          <w:w w:val="100"/>
          <w:spacing w:val="0"/>
          <w:color w:val="000000"/>
          <w:position w:val="0"/>
        </w:rPr>
        <w:t>нарушения в виде инверсии зубца Т изолированно в отведе</w:t>
        <w:softHyphen/>
        <w:t xml:space="preserve">ниях III и </w:t>
      </w:r>
      <w:r>
        <w:rPr>
          <w:lang w:val="en-US" w:eastAsia="en-US" w:bidi="en-US"/>
          <w:w w:val="100"/>
          <w:spacing w:val="0"/>
          <w:color w:val="000000"/>
          <w:position w:val="0"/>
        </w:rPr>
        <w:t xml:space="preserve">aVF </w:t>
      </w:r>
      <w:r>
        <w:rPr>
          <w:lang w:val="ru-RU" w:eastAsia="ru-RU" w:bidi="ru-RU"/>
          <w:w w:val="100"/>
          <w:spacing w:val="0"/>
          <w:color w:val="000000"/>
          <w:position w:val="0"/>
        </w:rPr>
        <w:t xml:space="preserve">или в сочетании с инверсией в левых грудных отведениях, гипертрофия левого желудочка. Изолированная инверсия зубца Т в отведениях </w:t>
      </w:r>
      <w:r>
        <w:rPr>
          <w:lang w:val="en-US" w:eastAsia="en-US" w:bidi="en-US"/>
          <w:w w:val="100"/>
          <w:spacing w:val="0"/>
          <w:color w:val="000000"/>
          <w:position w:val="0"/>
        </w:rPr>
        <w:t>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6 </w:t>
      </w:r>
      <w:r>
        <w:rPr>
          <w:lang w:val="ru-RU" w:eastAsia="ru-RU" w:bidi="ru-RU"/>
          <w:w w:val="100"/>
          <w:spacing w:val="0"/>
          <w:color w:val="000000"/>
          <w:position w:val="0"/>
        </w:rPr>
        <w:t>может свидетельствовать о верхушечной форме гипертрофической кардиопатии.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эхокардиографическом исследовании выявляются уплотненные контуры миокарда, «гранулярные» включе</w:t>
        <w:softHyphen/>
        <w:t>ния в нем, гипертрофия межжелудочковой перегородки и задней стенки левого желудочка. Створки аортального клапана выглядят утолщенными с неполным смыканием.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сцинтиграфии миокарда с Т1-201 увеличено по</w:t>
        <w:softHyphen/>
        <w:t>ступление изотопа в миокард преимущественно в области верхушки сердца. Данные изменения, связанные с депони</w:t>
        <w:softHyphen/>
        <w:t>рованием гликосфинголипидов в миокарде, регистрируют</w:t>
        <w:softHyphen/>
        <w:t>ся еще до развития гипертрофии сердца. Световая микро</w:t>
        <w:softHyphen/>
        <w:t>скопия эндомиокардиального биоптата правого желудочка выявляет вакуолизацию цитоплазмы, а при электронной микроскопии обнаруживаются электрон-плотные миели</w:t>
        <w:softHyphen/>
        <w:t>ноподобные депозиты, имеющие параллельную или кон</w:t>
        <w:softHyphen/>
        <w:t>центрическую ориентацию.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диагностики болезни Фабри используется биопсия почечной ткани, при которой обнаруживается аккумуляция гликолипидов в гломерулах и почечных канальцах. Более простым способом диагностики является определение аль- фа-галактозидазной активности в лейкоцитах или культи</w:t>
        <w:softHyphen/>
        <w:t>вированных кожных фибробластах.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болезни Фабри симптоматическое. Заместитель</w:t>
        <w:softHyphen/>
        <w:t>ная терапия ферментом керамидтригексозидазой, изолиро</w:t>
        <w:softHyphen/>
        <w:t>ванной из человеческой плаценты, не способствует выведе</w:t>
        <w:softHyphen/>
        <w:t>нию аккумулированных гликолипидов из различных орга</w:t>
        <w:softHyphen/>
        <w:t>нов. Также не отмечено положительного эффекта от прово</w:t>
        <w:softHyphen/>
        <w:t>димого плазмафереза. При парестезиях положительный эф</w:t>
        <w:softHyphen/>
        <w:t>фект оказывает карбамазепин. Показаны тромбоцитарные антиагреганты, витамин Е. При развитии сердечной недо</w:t>
        <w:softHyphen/>
        <w:t>статочности назначаются гликозиды, диуретики, перифери</w:t>
        <w:softHyphen/>
        <w:t>ческие вазодилататоры (каптоприл). При возникновении поперечной блокады имплантируют кардиостимулятор.</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Х-сцепленный рецессивный с пол</w:t>
        <w:softHyphen/>
        <w:t>ной пенетрантностью и различной экспрессивностью у ге</w:t>
        <w:softHyphen/>
        <w:t>мизигот. Проявления у женщин гетерозигот сильно варьи</w:t>
        <w:softHyphen/>
        <w:t>руют.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Гоше (глюкоцереброзидный липидоз; глюкоце- реброзидоз)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Дефицит глюкозилцерамид- в -глюкозидазы (глюкоцере - брозидазы).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pict>
          <v:shape id="_x0000_s1639" type="#_x0000_t75" style="position:absolute;margin-left:137.3pt;margin-top:736.8pt;width:209.75pt;height:14.9pt;z-index:-125828958;mso-wrap-distance-left:136.8pt;mso-wrap-distance-right:148.1pt;mso-wrap-distance-bottom:10.8pt;mso-position-horizontal-relative:margin;mso-position-vertical-relative:margin" wrapcoords="0 0 21600 0 21600 21600 0 21600 0 0">
            <v:imagedata r:id="rId1020" r:href="rId1021"/>
            <w10:wrap type="topAndBottom" anchorx="margin" anchory="margin"/>
          </v:shape>
        </w:pict>
      </w:r>
      <w:r>
        <w:rPr>
          <w:lang w:val="ru-RU" w:eastAsia="ru-RU" w:bidi="ru-RU"/>
          <w:w w:val="100"/>
          <w:spacing w:val="0"/>
          <w:color w:val="000000"/>
          <w:position w:val="0"/>
        </w:rPr>
        <w:t>Выделяют три формы болезни: инфантильную (острую), ювенильную и взрослую (хроническую). Инфантильная форма проявляется тяжелыми неврологическими наруше</w:t>
        <w:softHyphen/>
        <w:t>ниями (псевдобульбарный паралич, косоглазие, задержка психомоторного развития), гипотрофией, гепатоспленоме- галией, повторными аспирациоными пневмониями. Смерть наступает в раннем детстве. При ювенильной фор</w:t>
        <w:softHyphen/>
        <w:t>ме преобладают неврологические нарушения: судороги, экстрапирамидные и мозжечковые расстройства, демен-</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ция. Висцеромегалия носит менее выраженный характер. Хроническая форма (составляет более 90% всех случаев) проявляется висцеромегалией, пигментными пятнами на теле, патологическими переломами трубчатых костей, уме</w:t>
        <w:softHyphen/>
        <w:t>ренными неврологическими нарушениями. Из-за сплено- мегалии и тромбоцитопении часто возникают внутренние кровотечения.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наблюдается у большинства больных при хронической форме болезни и характеризуется рест</w:t>
        <w:softHyphen/>
        <w:t>риктивной кардиомиопатией, констриктивным перикардитом, поражением клапанного аппарата сердца, легочной гипертен</w:t>
        <w:softHyphen/>
        <w:t>зией.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Развитие рестриктивной кардиомиопатии обусловлено инфильтрацией миокарда клетками Гоше, содержащими большое количество цереброзида. Данный вариант кардио</w:t>
        <w:softHyphen/>
        <w:t>миопатии характеризуется симптомами легочной гипертен</w:t>
        <w:softHyphen/>
        <w:t>зии и правожелудочковой недостаточностью. Снижение сердечного выброса обусловливает артериальную гипотен</w:t>
        <w:softHyphen/>
        <w:t>зию, низкое пульсовое давление. Выслушиваются синусо</w:t>
        <w:softHyphen/>
        <w:t xml:space="preserve">вая тахикардия, </w:t>
      </w:r>
      <w:r>
        <w:rPr>
          <w:lang w:val="en-US" w:eastAsia="en-US" w:bidi="en-US"/>
          <w:w w:val="100"/>
          <w:spacing w:val="0"/>
          <w:color w:val="000000"/>
          <w:position w:val="0"/>
        </w:rPr>
        <w:t xml:space="preserve">III </w:t>
      </w:r>
      <w:r>
        <w:rPr>
          <w:lang w:val="ru-RU" w:eastAsia="ru-RU" w:bidi="ru-RU"/>
          <w:w w:val="100"/>
          <w:spacing w:val="0"/>
          <w:color w:val="000000"/>
          <w:position w:val="0"/>
        </w:rPr>
        <w:t>сердечный тон на верхушке, систоличе</w:t>
        <w:softHyphen/>
        <w:t>ский шум митральной недостаточности. Высокое давление в левом желудочке на фоне тромбоцитопатии и коагулопа- тии может обусловить острый геморрагический некроз миокарда и внезапную смерть детей.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Митральная недостаточность может носить как вторич</w:t>
        <w:softHyphen/>
        <w:t>ный к рестриктивной кардиомиопатии характер, так и воз</w:t>
        <w:softHyphen/>
        <w:t>никает из-за фиброзирования и кальцификации створки ле</w:t>
        <w:softHyphen/>
        <w:t>вого атриовентрикулярного отверстия. Структурная дефор</w:t>
        <w:softHyphen/>
        <w:t>мация клапана обусловливает развитие митрального стено- зирования. В патологический процесс может вовлекаться аортальный клапан с развитием стеноза и/или регургитации.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Легочная гипертензия при болезни Гоше обусловлена инфильтрационным процессом в легких, жировой эмболи</w:t>
        <w:softHyphen/>
        <w:t>ей, высоким конечным давлением в левом желудочке, мит</w:t>
        <w:softHyphen/>
        <w:t>ральной регургитацией, нарушенной детоксикационной функцией печени.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Перикардит может развиться как из-за нарушенной ди</w:t>
        <w:softHyphen/>
        <w:t>астолической функции сердца, так и в результате геморра</w:t>
        <w:softHyphen/>
        <w:t>гического синдрома. Организация выпота с последующим фиброзированием и кальцификацией обусловливает разви</w:t>
        <w:softHyphen/>
        <w:t>тие констриктивного перикардита.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ЭКГ выявляются бивентрикулярная гипертрофия с преобладанием гипертрофии правого желудочка, пере</w:t>
        <w:softHyphen/>
        <w:t>грузка предсердий, нарушение процесса реполяризации, иногда блокада ножек пучка Гиса, суправентрикулярные и желудочковые аритмии.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Рентгенография указывает на умеренное увеличение же</w:t>
        <w:softHyphen/>
        <w:t>лудочков сердца с отчетливыми симптомами увеличения левого предсердия, застой в малом круге кровообращения.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 подтверждает изменение размеров, неравномерность контуров полости левого желудочка, предсердную атриомегалию, легочную гипертензию.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Зондирование полостей сердца свидетельствует о повы</w:t>
        <w:softHyphen/>
        <w:t>шении конечного диастолического давления в левом желу</w:t>
        <w:softHyphen/>
        <w:t>дочке, высоком легочном давлении, снижении фракции выброса.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последние годы рассматривается вопрос заместитель</w:t>
        <w:softHyphen/>
        <w:t xml:space="preserve">ной ферментной терапии. Глюкоцереброзидаза человека </w:t>
      </w:r>
      <w:r>
        <w:rPr>
          <w:lang w:val="en-US" w:eastAsia="en-US" w:bidi="en-US"/>
          <w:w w:val="100"/>
          <w:spacing w:val="0"/>
          <w:color w:val="000000"/>
          <w:position w:val="0"/>
        </w:rPr>
        <w:t xml:space="preserve">(Ceredase) </w:t>
      </w:r>
      <w:r>
        <w:rPr>
          <w:lang w:val="ru-RU" w:eastAsia="ru-RU" w:bidi="ru-RU"/>
          <w:w w:val="100"/>
          <w:spacing w:val="0"/>
          <w:color w:val="000000"/>
          <w:position w:val="0"/>
        </w:rPr>
        <w:t>вводится внутривенно 2 раза в неделю и оказыва</w:t>
        <w:softHyphen/>
        <w:br w:type="column"/>
        <w:t>ет благоприятный эффект на течение заболевания. При развитии рестриктивной кардиомиопатии назначают</w:t>
        <w:softHyphen/>
        <w:t>ся небольшие дозы сердечных гликозидов, диуретики, ва- зодилататоры. При наличии массивного рецидивирующего перикардиального выпота прибегают к перикардиальному шунтированию. Протезирование клапанов проводят при их выраженном фиброзировании и кальцификации.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Ниманна-Пика (сфингомиелолипидоз)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Недостаточность энзима сфингомиелинидазы, что при</w:t>
        <w:softHyphen/>
        <w:t>водит к нарушению катаболизма сфингомиелина и накоп</w:t>
        <w:softHyphen/>
        <w:t>лению его в клетках пораженных органов.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Выделяют четыре варианта болезни — А, В, С, 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А — классическая инфантильная форма. Заболева</w:t>
        <w:softHyphen/>
        <w:t>ние начинается в 2-3-месячном возрасте, проявляется вы</w:t>
        <w:softHyphen/>
        <w:t>раженной гепатоспленомегалией, задержкой физического и умственного развития, тяжелыми неврологическими рас</w:t>
        <w:softHyphen/>
        <w:t>стройствами (мышечная гипотония, отсутствие реакции на окружающее, утрата приобретенных навыков). Возможно развитие вишнево-красных пятен на глазном дне (симптом «вишневой косточки»), глаукомы, тугоухости. Большин</w:t>
        <w:softHyphen/>
        <w:t>ство детей погибают в возрасте до 3 лет.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В — висцеральная или хроническая форма болезни Ниманна-Пика. Характеризуется поздним началом заболе</w:t>
        <w:softHyphen/>
        <w:t>вания, распространенным поражением висцеральных орга</w:t>
        <w:softHyphen/>
        <w:t>нов (гепатоспленомегалия, инфильтрация легких), органов зрения, отсутствием неврологической симптоматики.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С — подострая или юношеская форма болезни, ха</w:t>
        <w:softHyphen/>
        <w:t>рактеризуется медленным прогрессированием неврологи</w:t>
        <w:softHyphen/>
        <w:t>ческих симптомов (судороги, мозжечковые расстройства, мышечная гипотония, спастические параличи), гепато- спленомегалией, умственной отсталостью, анемией. Боль</w:t>
        <w:softHyphen/>
        <w:t>шинство больных умирает на втором-третьем десятилетии жизни.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Д — описан в семьях Новой Шотландии и по своим клиническим проявлениям сходен с типом 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 поражения сердца определяется типом сфин- гомиелолипидоза, а также длительностью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типе А болезни развивается фиброэластоз эндокар</w:t>
        <w:softHyphen/>
        <w:t>да. На ЭКГ регистрируется бивентрикулярная гипертро</w:t>
        <w:softHyphen/>
        <w:t>фия, нарушение процесса реполяризации. Рентгенологиче</w:t>
        <w:softHyphen/>
        <w:t>ски определяется шаровидная тень сердца. Морфологичес</w:t>
        <w:softHyphen/>
        <w:t>ки выявляется распространенный фиброз эндокарда, пре</w:t>
        <w:softHyphen/>
        <w:t>имущественно левого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болезни Ниманна-Пика типа В развивается тяже</w:t>
        <w:softHyphen/>
        <w:t>лая легочная гипертензия, вторичная к инфильтрационному процессу в легких. Усугубляет легочную гипертензию нару</w:t>
        <w:softHyphen/>
        <w:t>шенная детоксикационная функция печени, что приводит к поступлению в малый круг кровообращения большого количества токсических субстанций. В миокарде обнару</w:t>
        <w:softHyphen/>
        <w:t>живаются жировые клетки, однако сердечная недостаточ</w:t>
        <w:softHyphen/>
        <w:t>ность развивается на поздних стадиях болезни.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pict>
          <v:shape id="_x0000_s1640" type="#_x0000_t75" style="position:absolute;margin-left:148.55pt;margin-top:736.8pt;width:209.75pt;height:14.9pt;z-index:-125828957;mso-wrap-distance-left:148.1pt;mso-wrap-distance-right:136.8pt;mso-wrap-distance-bottom:10.8pt;mso-position-horizontal-relative:margin;mso-position-vertical-relative:margin" wrapcoords="0 0 21600 0 21600 21600 0 21600 0 0">
            <v:imagedata r:id="rId1022" r:href="rId1023"/>
            <w10:wrap type="topAndBottom" anchorx="margin" anchory="margin"/>
          </v:shape>
        </w:pict>
      </w:r>
      <w:r>
        <w:rPr>
          <w:lang w:val="ru-RU" w:eastAsia="ru-RU" w:bidi="ru-RU"/>
          <w:w w:val="100"/>
          <w:spacing w:val="0"/>
          <w:color w:val="000000"/>
          <w:position w:val="0"/>
        </w:rPr>
        <w:t>В мазках периферической крови при болезни Ниман</w:t>
        <w:softHyphen/>
        <w:t>на-Пика определяются вакуолизированные лимфоциты. В пунктате костного мозга или печени выявляют скопления так называемых «пенистых клеток». При типе С обнаружи</w:t>
        <w:softHyphen/>
        <w:t>вается дефектная внутриклеточная эстерификация холесте</w:t>
        <w:softHyphen/>
        <w:t>рина.</w:t>
      </w:r>
      <w:r>
        <w:br w:type="page"/>
      </w:r>
    </w:p>
    <w:p>
      <w:pPr>
        <w:pStyle w:val="Style92"/>
        <w:widowControl w:val="0"/>
        <w:keepNext/>
        <w:keepLines/>
        <w:shd w:val="clear" w:color="auto" w:fill="auto"/>
        <w:bidi w:val="0"/>
        <w:spacing w:before="0" w:after="0"/>
        <w:ind w:left="0" w:right="0" w:firstLine="280"/>
      </w:pPr>
      <w:bookmarkStart w:id="638" w:name="bookmark638"/>
      <w:r>
        <w:rPr>
          <w:lang w:val="ru-RU" w:eastAsia="ru-RU" w:bidi="ru-RU"/>
          <w:w w:val="100"/>
          <w:spacing w:val="0"/>
          <w:color w:val="000000"/>
          <w:position w:val="0"/>
        </w:rPr>
        <w:t>Лечение</w:t>
      </w:r>
      <w:bookmarkEnd w:id="63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Назначают гиполипидемические препараты типа холес- тирамина, ловастатин, никотиновую кислоту. Предложены повторные имплантации амниотических эпителиальных клеток, содержащих экзогенную сфингомиелиназу. Данная терапия способствует уменьшению инфильтрационного процесса в легких и, следовательно, предупреждает прогрес</w:t>
        <w:softHyphen/>
        <w:t>сирование легочной гипертензии. При развитии сердечной недостаточности проводится терапия сердечными гликози- дами, диуретиками, препаратами калия. Показаны препара</w:t>
        <w:softHyphen/>
        <w:t>ты, улучшающие метаболические процессы в миокарде.</w:t>
      </w:r>
    </w:p>
    <w:p>
      <w:pPr>
        <w:pStyle w:val="Style30"/>
        <w:widowControl w:val="0"/>
        <w:keepNext w:val="0"/>
        <w:keepLines w:val="0"/>
        <w:shd w:val="clear" w:color="auto" w:fill="auto"/>
        <w:bidi w:val="0"/>
        <w:spacing w:before="0" w:after="182"/>
        <w:ind w:left="0" w:right="0" w:firstLine="280"/>
      </w:pPr>
      <w:r>
        <w:rPr>
          <w:lang w:val="ru-RU" w:eastAsia="ru-RU" w:bidi="ru-RU"/>
          <w:w w:val="100"/>
          <w:spacing w:val="0"/>
          <w:color w:val="000000"/>
          <w:position w:val="0"/>
        </w:rPr>
        <w:t>Тип наследования: аутосомно-рецессивный. Типы А и В обусловлены генетически детерминированным дефи</w:t>
        <w:softHyphen/>
        <w:t>цитом лизосомального фермента сфингомиелиназы. При ва</w:t>
        <w:softHyphen/>
        <w:t>риантах С и Д активность этого фермента нормальная.</w:t>
      </w:r>
    </w:p>
    <w:p>
      <w:pPr>
        <w:pStyle w:val="Style28"/>
        <w:widowControl w:val="0"/>
        <w:keepNext/>
        <w:keepLines/>
        <w:shd w:val="clear" w:color="auto" w:fill="auto"/>
        <w:bidi w:val="0"/>
        <w:jc w:val="both"/>
        <w:spacing w:before="0" w:after="190" w:line="288" w:lineRule="exact"/>
        <w:ind w:left="0" w:right="0" w:firstLine="0"/>
      </w:pPr>
      <w:bookmarkStart w:id="639" w:name="bookmark639"/>
      <w:r>
        <w:rPr>
          <w:lang w:val="ru-RU" w:eastAsia="ru-RU" w:bidi="ru-RU"/>
          <w:w w:val="100"/>
          <w:spacing w:val="0"/>
          <w:color w:val="000000"/>
          <w:position w:val="0"/>
        </w:rPr>
        <w:t>Поражение сердца при наследственных заболеваниях соединительной ткани</w:t>
      </w:r>
      <w:bookmarkEnd w:id="639"/>
    </w:p>
    <w:p>
      <w:pPr>
        <w:pStyle w:val="Style48"/>
        <w:widowControl w:val="0"/>
        <w:keepNext/>
        <w:keepLines/>
        <w:shd w:val="clear" w:color="auto" w:fill="auto"/>
        <w:bidi w:val="0"/>
        <w:jc w:val="both"/>
        <w:spacing w:before="0" w:after="41" w:line="200" w:lineRule="exact"/>
        <w:ind w:left="0" w:right="0" w:firstLine="0"/>
      </w:pPr>
      <w:bookmarkStart w:id="640" w:name="bookmark640"/>
      <w:r>
        <w:rPr>
          <w:lang w:val="ru-RU" w:eastAsia="ru-RU" w:bidi="ru-RU"/>
          <w:w w:val="100"/>
          <w:spacing w:val="0"/>
          <w:color w:val="000000"/>
          <w:position w:val="0"/>
        </w:rPr>
        <w:t>Синдром Марфана</w:t>
      </w:r>
      <w:bookmarkEnd w:id="64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Наследственное системное заболевание соединительной ткани с классической триадой основных поражений опор</w:t>
        <w:softHyphen/>
        <w:t>но-двигательного аппарата, глаз и сердечно-сосудистой си</w:t>
        <w:softHyphen/>
        <w:t>стемы.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картина заболевания характеризуется пора</w:t>
        <w:softHyphen/>
        <w:t>жением жизненно важных органов и систем организма: опорно-двигательного аппарата (долихопластический мор</w:t>
        <w:softHyphen/>
        <w:t>фотип, кифосколиозы, деформации грудной клетки, плос</w:t>
        <w:softHyphen/>
        <w:t>костопие, узкий лицевой скелет, арахнодактилия), глаз (вы</w:t>
        <w:softHyphen/>
        <w:t>вих и подвывих хрусталиков), сердечно-сосудистой систе</w:t>
        <w:softHyphen/>
        <w:t>мы, органов дыхания (спонтанный пневмоторакс, наруше</w:t>
        <w:softHyphen/>
        <w:t>ние функции внешнего дыхания), центральной нервной системы (снижение интеллекта, личностные особенности).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Патология аорты при синдроме Марфана встречается от 65 до 100%. Наиболее часто дилатируется корень аорты, причем значительное расширение наступает после 13 лет. Увеличение диаметра корня аорты происходит равномерно и симметрично, более выражено у мальчиков. Изолирован</w:t>
        <w:softHyphen/>
        <w:t>ная дилатация корня аорты протекает бессимптомно, ино</w:t>
        <w:softHyphen/>
        <w:t>гда могут отмечаться боли за грудиной при физической на</w:t>
        <w:softHyphen/>
        <w:t>грузке, связанные с рефлексом перерастянутой аортальной стенки. Дилатация аорты может происходить на уровне си</w:t>
        <w:softHyphen/>
        <w:t>нусов Вальсальвы или в восходящей части, составляя соот</w:t>
        <w:softHyphen/>
        <w:t>ветственно 56,9% и 63,6%. Дилатация аорты на уровне си</w:t>
        <w:softHyphen/>
        <w:t>нусов при выраженном патоморфологическом поражении стенки и ее истончении приводит к формированию анев</w:t>
        <w:softHyphen/>
        <w:t>ризмы синусов Вальсальвы. Частота аневризм в области си</w:t>
        <w:softHyphen/>
        <w:t>нусов Вальсальвы при популяционном исследовании со</w:t>
        <w:softHyphen/>
        <w:t>ставляет 0,26%, достигая при синдроме Марфана 15,0%. Чаще повреждается правый коронарный синус — 69%, про</w:t>
        <w:softHyphen/>
        <w:t>рываясь в правое предсердие или правый желудочек. Неко</w:t>
        <w:softHyphen/>
        <w:t>ронарный синус повреждается в 26% и прорывается в пра</w:t>
        <w:softHyphen/>
        <w:t>вое предсердие. Левый коронарный синус повреждается в 5% случаев. Аневризма синуса Вальсальвы до прорыва не вызывает гемодинамических нарушений и является случай</w:t>
        <w:softHyphen/>
        <w:t>ной находкой при эхокардиографическом исследовании. Иногда могут отмечаться кардиалгии, нарушения ритма, а при выбухании аневризмы в выходной отдел правого же</w:t>
        <w:softHyphen/>
        <w:t>лудочка — симптоматика его обструкции. Прорыв аневриз</w:t>
        <w:softHyphen/>
        <w:t>мы провоцируют физическая нагрузка, бактериальный эн</w:t>
        <w:softHyphen/>
        <w:br w:type="column"/>
        <w:t>докардит, артериальная гипертензия. Внезапно развивают</w:t>
        <w:softHyphen/>
        <w:t>ся одышка, тахикардия, боли в области сердца. Появляют</w:t>
        <w:softHyphen/>
        <w:t>ся «машинный» систоло-диастолический шум над облас</w:t>
        <w:softHyphen/>
        <w:t>тью сердца, систолическое дрожание, диастолическая ги</w:t>
        <w:softHyphen/>
        <w:t>потензия.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Реже наблюдаются аневризмы восходящей части аорты, дуги, нисходящей части аорты и брюшного отдела аорты. Расслоение стенки аорты может заканчиваться острым раз</w:t>
        <w:softHyphen/>
        <w:t>рывом или хроническим расслоением с формированием аневризматического «мешка» огромных размеров. Процесс расслоения и аневризматического выпячивания протекает в двух направлениях: в антероградном — дуга аорты и ее ни</w:t>
        <w:softHyphen/>
        <w:t>сходящая часть, достигает иногда брюшного отдела и/или в ретроградном — коронарные артерии, выпячивание в ме- диастинум и перикардиальное пространство с последую</w:t>
        <w:softHyphen/>
        <w:t>щей тампонадой.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Симптоматика аневризм зависит от места локализации и наличия сдавления окружающих органов. При аневризме восходящей аорты из-за компрессии верхней полой вены могут отмечаться головные боли, отечность лица. При ане</w:t>
        <w:softHyphen/>
        <w:t>вризме дуги аорты могут наблюдаться боли за грудиной и в межлопаточной области, осиплость голоса, обусловлен</w:t>
        <w:softHyphen/>
        <w:t>ная сдавлением возвратного нерва, рефлекторный кашель, дисфагия. При торакоабдоминальных аневризмах на пер</w:t>
        <w:softHyphen/>
        <w:t>вый план выступают симптомы поражения висцеральных артерий брюшной аорты. Больные отмечают боли в животе, эпигастральной области, чувство тяжести, усиленной пуль</w:t>
        <w:softHyphen/>
        <w:t>сации в животе. Осложнения аневризм с их разрывом в со</w:t>
        <w:softHyphen/>
        <w:t>седние органы возникают остро, приводят к шоку и сердеч</w:t>
        <w:softHyphen/>
        <w:t>но-сосудистому коллапсу. Бурно развивается симптоматика внутреннего кровотечения в соответствующие органы (ле</w:t>
        <w:softHyphen/>
        <w:t>гочное кровотечение, в плевральную полость, перикард, за- брюшинное пространство).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Аортальная недостаточность связана с аннуло-аорталь</w:t>
        <w:softHyphen/>
        <w:t>ной эктазией и миксоматозной трансформацией клапана. Существует тесная связь между размером корня аорты и ве</w:t>
        <w:softHyphen/>
        <w:t>личиной аортальной регургитации. При диаметре корня аорты более 4 см регургитация минимальна, при диаметре более 5 см отмечается регургитация 1-2 степени у 81% боль</w:t>
        <w:softHyphen/>
        <w:t>ных, а при диаметре, равном или более 6 см, имеет место ре</w:t>
        <w:softHyphen/>
        <w:t>гургитация выше 2 степени у всех пациентов. Другой причи- ной аортальной недостаточности при синдроме Марфана является инфекционный эндокардит аортального клапана.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пролапса митрального клапана при синдроме Марфана варьирует от 61 до 100%. Аускультативно выслу</w:t>
        <w:softHyphen/>
        <w:t>шиваются изолированные среднесистолические щелчки, сочетание щелчков с поздним систолическим шумом, голо</w:t>
        <w:softHyphen/>
        <w:t>систолический шум. Основными осложнениями пролапса митрального клапана при синдроме Марфана являются ми</w:t>
        <w:softHyphen/>
        <w:t>тральная регургитация, инфекционный эндокардит, тром</w:t>
        <w:softHyphen/>
        <w:t>боэмболия с миксоматозно измененных створок.</w:t>
      </w:r>
    </w:p>
    <w:p>
      <w:pPr>
        <w:pStyle w:val="Style30"/>
        <w:widowControl w:val="0"/>
        <w:keepNext w:val="0"/>
        <w:keepLines w:val="0"/>
        <w:shd w:val="clear" w:color="auto" w:fill="auto"/>
        <w:bidi w:val="0"/>
        <w:spacing w:before="0" w:after="0"/>
        <w:ind w:left="0" w:right="0" w:firstLine="280"/>
      </w:pPr>
      <w:r>
        <w:pict>
          <v:shape id="_x0000_s1641" type="#_x0000_t75" style="position:absolute;margin-left:137.3pt;margin-top:736.8pt;width:209.75pt;height:14.9pt;z-index:-125828956;mso-wrap-distance-left:136.8pt;mso-wrap-distance-right:148.1pt;mso-wrap-distance-bottom:10.8pt;mso-position-horizontal-relative:margin;mso-position-vertical-relative:margin" wrapcoords="0 0 21600 0 21600 21600 0 21600 0 0">
            <v:imagedata r:id="rId1024" r:href="rId1025"/>
            <w10:wrap type="topAndBottom" anchorx="margin" anchory="margin"/>
          </v:shape>
        </w:pict>
      </w:r>
      <w:r>
        <w:rPr>
          <w:lang w:val="ru-RU" w:eastAsia="ru-RU" w:bidi="ru-RU"/>
          <w:w w:val="100"/>
          <w:spacing w:val="0"/>
          <w:color w:val="000000"/>
          <w:position w:val="0"/>
        </w:rPr>
        <w:t>Хроническая митральная регургитация обусловлена зна</w:t>
        <w:softHyphen/>
        <w:t>чительным расширением левого атриовентрикулярного фиброзного кольца и неполным смыканием створок. Ост</w:t>
        <w:softHyphen/>
        <w:t>рая митральная регургитация возникает при отрыве сухо</w:t>
        <w:softHyphen/>
        <w:t xml:space="preserve">жильных нитей от створки </w:t>
      </w:r>
      <w:r>
        <w:rPr>
          <w:lang w:val="en-US" w:eastAsia="en-US" w:bidi="en-US"/>
          <w:w w:val="100"/>
          <w:spacing w:val="0"/>
          <w:color w:val="000000"/>
          <w:position w:val="0"/>
        </w:rPr>
        <w:t xml:space="preserve">(«floppy mitral valve»). </w:t>
      </w:r>
      <w:r>
        <w:rPr>
          <w:lang w:val="ru-RU" w:eastAsia="ru-RU" w:bidi="ru-RU"/>
          <w:w w:val="100"/>
          <w:spacing w:val="0"/>
          <w:color w:val="000000"/>
          <w:position w:val="0"/>
        </w:rPr>
        <w:t>Обе фор</w:t>
        <w:softHyphen/>
        <w:t>мы митральной недостаточности приводят к левожелудоч</w:t>
        <w:softHyphen/>
        <w:t>ковой дисфункции, предсердным аритмиям, застойной сердечной недостаточности. Особенно тяжело митральная регургитация протекает у детей раннего возраста, посколь</w:t>
        <w:softHyphen/>
        <w:t>ку она сочетается с т.н. «функциональной» атрезией трику</w:t>
        <w:softHyphen/>
        <w:t>спидального клапана.</w:t>
      </w:r>
      <w:r>
        <w:br w:type="page"/>
      </w:r>
    </w:p>
    <w:p>
      <w:pPr>
        <w:pStyle w:val="Style92"/>
        <w:widowControl w:val="0"/>
        <w:keepNext/>
        <w:keepLines/>
        <w:shd w:val="clear" w:color="auto" w:fill="auto"/>
        <w:bidi w:val="0"/>
        <w:spacing w:before="0" w:after="0"/>
        <w:ind w:left="0" w:right="0" w:firstLine="280"/>
      </w:pPr>
      <w:bookmarkStart w:id="641" w:name="bookmark641"/>
      <w:r>
        <w:rPr>
          <w:lang w:val="ru-RU" w:eastAsia="ru-RU" w:bidi="ru-RU"/>
          <w:w w:val="100"/>
          <w:spacing w:val="0"/>
          <w:color w:val="000000"/>
          <w:position w:val="0"/>
        </w:rPr>
        <w:t>Диагностика</w:t>
      </w:r>
      <w:bookmarkEnd w:id="64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ЭКГ у больных синдромом Марфана часто определя</w:t>
        <w:softHyphen/>
        <w:t xml:space="preserve">ются гипертрофия левого желудочка, различные аритмии, нарушения процесса реполяризации, реже синдром </w:t>
      </w:r>
      <w:r>
        <w:rPr>
          <w:lang w:val="en-US" w:eastAsia="en-US" w:bidi="en-US"/>
          <w:w w:val="100"/>
          <w:spacing w:val="0"/>
          <w:color w:val="000000"/>
          <w:position w:val="0"/>
        </w:rPr>
        <w:t xml:space="preserve">WPW, </w:t>
      </w:r>
      <w:r>
        <w:rPr>
          <w:lang w:val="ru-RU" w:eastAsia="ru-RU" w:bidi="ru-RU"/>
          <w:w w:val="100"/>
          <w:spacing w:val="0"/>
          <w:color w:val="000000"/>
          <w:position w:val="0"/>
        </w:rPr>
        <w:t>внутрижелудочковые и атриовентрикулярные блокады. На</w:t>
        <w:softHyphen/>
        <w:t xml:space="preserve">рушения процесса реполяризации связаны с симпатоадре- наловым дисбалансом, проявляются инверсией зубцов Т в стандартных и левых грудных отведениях, удлинением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Данные изменения предрасполагают к элек</w:t>
        <w:softHyphen/>
        <w:t>трической нестабильности миокарда и аритмиям. При про</w:t>
        <w:softHyphen/>
        <w:t>бе с обзиданом инверсия зубцов Т исчезает.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 выявляет локализацию и характер по</w:t>
        <w:softHyphen/>
        <w:t>ражения аорты, состояние клапанного аппарата (рис).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с синдромом Марфана должна быть исключена физическая активность, нельзя заниматься контактными видами спорта и тяжелым физическим трудом.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предотвращения тяжелых аортальных поражений по</w:t>
        <w:softHyphen/>
        <w:t>казан прием Р-адреноблокаторов. Сравнительные исследова</w:t>
        <w:softHyphen/>
        <w:t>ния свидетельствуют о том, что при лечении обзиданом у больных, имеющих легкую степень дилатации аорты, сни</w:t>
        <w:softHyphen/>
        <w:t>жается риск аортальной регургитации и расслаивающей анев - ризмы аорты, при этом снижается частота прогрессирования дилатации аорты. Доза обзидана (пропранолола) должна быть оптимизирована с использованием измеряемых с помощью ЭхоКГ систолических интервалов левого желудочка. Эффек</w:t>
        <w:softHyphen/>
        <w:t>тивной считается такая доза препарата, которая удлиняет вре</w:t>
        <w:softHyphen/>
        <w:t>мя левожелудочкового изгнания на 30%. Препарат назначает</w:t>
        <w:softHyphen/>
        <w:t>ся длительно 3-4 раза в день. Вместо обзидана может быть на</w:t>
        <w:softHyphen/>
        <w:t>значен атенолол, являющийся р^селективным адреноблока- тором и обладающий меньшими побочными эффектами.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профилактики инфекционного эндокардита при синдроме Марфана рекомендуется проведение антибакте</w:t>
        <w:softHyphen/>
        <w:t>риальной терапии во время санации зубов и оперативных вмешательств.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расслоении стенки и аневризмах аорты показано протезирование пораженного участка сосуда. Показаниями для оперативного вмешательства являются: 1) увеличение диаметра корня аорты более 55 мм и относительная аор</w:t>
        <w:softHyphen/>
        <w:t>тальная регургитация, 2) аортальная регургитация с выра</w:t>
        <w:softHyphen/>
        <w:t>женной левожелудочковой дисфункцией, 3) хроническое расслоение стенки аорты. Детям после проведения селек</w:t>
        <w:softHyphen/>
        <w:t>тивной аортографии выполняется операция по протезиро</w:t>
        <w:softHyphen/>
        <w:t>ванию сосуда. Однако результаты операции бывают часто неудовлетворительными, отмечаются высокий процент по</w:t>
        <w:softHyphen/>
        <w:t>вторного расслоения аорты, несостоятельность анастомоза и возникновение множественных аневризматических вы</w:t>
        <w:softHyphen/>
        <w:t>пячиваний аорты. Операционная смертность составляет 17%, при повторных операциях достигает 33%.</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 в 75% случаев аутосомно-доми- нантный с высокой пенетрантностью гена, 25% приходится на долю новых мутаций. Ген синдрома Марфана картиро</w:t>
        <w:softHyphen/>
        <w:t xml:space="preserve">ван на 15 хромосоме между локусами </w:t>
      </w:r>
      <w:r>
        <w:rPr>
          <w:lang w:val="en-US" w:eastAsia="en-US" w:bidi="en-US"/>
          <w:w w:val="100"/>
          <w:spacing w:val="0"/>
          <w:color w:val="000000"/>
          <w:position w:val="0"/>
        </w:rPr>
        <w:t xml:space="preserve">D15, S1 </w:t>
      </w:r>
      <w:r>
        <w:rPr>
          <w:lang w:val="ru-RU" w:eastAsia="ru-RU" w:bidi="ru-RU"/>
          <w:w w:val="100"/>
          <w:spacing w:val="0"/>
          <w:color w:val="000000"/>
          <w:position w:val="0"/>
        </w:rPr>
        <w:t xml:space="preserve">и </w:t>
      </w:r>
      <w:r>
        <w:rPr>
          <w:lang w:val="en-US" w:eastAsia="en-US" w:bidi="en-US"/>
          <w:w w:val="100"/>
          <w:spacing w:val="0"/>
          <w:color w:val="000000"/>
          <w:position w:val="0"/>
        </w:rPr>
        <w:t xml:space="preserve">D15, S48. </w:t>
      </w:r>
      <w:r>
        <w:rPr>
          <w:lang w:val="ru-RU" w:eastAsia="ru-RU" w:bidi="ru-RU"/>
          <w:w w:val="100"/>
          <w:spacing w:val="0"/>
          <w:color w:val="000000"/>
          <w:position w:val="0"/>
        </w:rPr>
        <w:t xml:space="preserve">Установлено тесное сцепление гена синдрома Марфана с геном фибриллина в области хромосомы </w:t>
      </w:r>
      <w:r>
        <w:rPr>
          <w:lang w:val="en-US" w:eastAsia="en-US" w:bidi="en-US"/>
          <w:w w:val="100"/>
          <w:spacing w:val="0"/>
          <w:color w:val="000000"/>
          <w:position w:val="0"/>
        </w:rPr>
        <w:t>15q21.1.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Врожденная контрактурная арахнодактилия (синдром Билса) </w:t>
      </w:r>
      <w:r>
        <w:rPr>
          <w:lang w:val="en-US" w:eastAsia="en-US" w:bidi="en-US"/>
          <w:w w:val="100"/>
          <w:spacing w:val="0"/>
          <w:color w:val="000000"/>
          <w:position w:val="0"/>
        </w:rPr>
        <w:t>(Congenital contractual arachnodactyly)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синдрома характерны сочетанные контрактуры пальцев и крупных суставов, уменьшающиеся с возрастом, арахнодактилия, сколиоз, «раздавленные» уши, дисфунк</w:t>
        <w:softHyphen/>
        <w:br w:type="column"/>
        <w:t>ция слухового аппарата. Зрение в отличие от синдрома Марфана поражается очень редко.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новорожденных может наблюдаться тяжелая митраль</w:t>
        <w:softHyphen/>
        <w:t>ная недостаточность, обусловленная несостоятельностью створок и фиброзного кольца. В подростковом возрасте на</w:t>
        <w:softHyphen/>
        <w:t>иболее часто обнаруживается пролапс митрального клапана и дилатация аорты. Формирование аневризм грудной аорты и митральной регургитации наблюдается значительно ре</w:t>
        <w:softHyphen/>
        <w:t>же, чем при синдроме Марфана. Другими редкими анома</w:t>
        <w:softHyphen/>
        <w:t>лиями могут быть дефект межжелудочковой перегородки и аневризма брюшной аорты.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Если обнаруживается пролапс митрального клапана или расширение корня аорты, то лечение проводится как при синдроме Марфана. Больные без сердечных изменений должны быть обследованы с помощью эхокардиографии для исключения пролапса митрального клапана и расшире</w:t>
        <w:softHyphen/>
        <w:t>ния корня аорты.</w:t>
      </w:r>
    </w:p>
    <w:p>
      <w:pPr>
        <w:pStyle w:val="Style30"/>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Тип наследования: аутосомно-доминантный. Предпола</w:t>
        <w:softHyphen/>
        <w:t>гают, что фенотипическая близость синдромов Билса и Марфана может быть проявлением генетической гетеро</w:t>
        <w:softHyphen/>
        <w:t>генности либо плейотропии.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Синдром Стиклера (наследственная артроофтальмопа- тия, Sticklег </w:t>
      </w:r>
      <w:r>
        <w:rPr>
          <w:lang w:val="en-US" w:eastAsia="en-US" w:bidi="en-US"/>
          <w:w w:val="100"/>
          <w:spacing w:val="0"/>
          <w:color w:val="000000"/>
          <w:position w:val="0"/>
        </w:rPr>
        <w:t>syndrome)</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этом заболевании поражаются многие системы и органы, включая зрение, слух, суставы, лицо. Поражение зрения при этом заболевании офтальмологи называют син</w:t>
        <w:softHyphen/>
        <w:t>дромом Вагнера. Зрение страдает преимущественно из-за прогрессирующей ретинальной дегенерации. Часто разви</w:t>
        <w:softHyphen/>
        <w:t>ваются миопия, катаракта, изменения сетчатки и слепота. Нарушения скелета вариабельны и могут быть обнаружены наиболее достоверно при рентгенографии. Эпифизарная дисплазия приводит к поражению крупных суставов, гене</w:t>
        <w:softHyphen/>
        <w:t>рализованной артропатии и тяжелым дегенеративным из</w:t>
        <w:softHyphen/>
        <w:t>менениям. Больные малоподвижны, суставы у них в поло</w:t>
        <w:softHyphen/>
        <w:t>жении переразгибания, что напоминает синдром Марфана. У больных характерное лицо, гипогнатизм, депрессивное грустное выражение лица, маленькая нижняя челюсть, зад</w:t>
        <w:softHyphen/>
        <w:t>няя расщелина неба. Могут быть аномалии прикуса и дру</w:t>
        <w:softHyphen/>
        <w:t>гие поражения зубов. У всех больных рано возникают сен</w:t>
        <w:softHyphen/>
        <w:t>сорно-невральные поражения различной степени тяжести.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раннем возрасте синдром может проявляться тяжелым течением гипертрофической кардиомиопатии с летальным исходом на первом году жизни. У большинства больных оп - ределяется пролапс митрального клапана, не сопровождаю</w:t>
        <w:softHyphen/>
        <w:t>щийся митральной регургитацией.</w:t>
      </w:r>
    </w:p>
    <w:p>
      <w:pPr>
        <w:pStyle w:val="Style30"/>
        <w:widowControl w:val="0"/>
        <w:keepNext w:val="0"/>
        <w:keepLines w:val="0"/>
        <w:shd w:val="clear" w:color="auto" w:fill="auto"/>
        <w:bidi w:val="0"/>
        <w:spacing w:before="0" w:after="60"/>
        <w:ind w:left="0" w:right="0" w:firstLine="280"/>
      </w:pPr>
      <w:r>
        <w:rPr>
          <w:lang w:val="ru-RU" w:eastAsia="ru-RU" w:bidi="ru-RU"/>
          <w:w w:val="100"/>
          <w:spacing w:val="0"/>
          <w:color w:val="000000"/>
          <w:position w:val="0"/>
        </w:rPr>
        <w:t>Тип наследования: аутосомно-доминантный.</w:t>
      </w:r>
    </w:p>
    <w:p>
      <w:pPr>
        <w:pStyle w:val="Style92"/>
        <w:widowControl w:val="0"/>
        <w:keepNext/>
        <w:keepLines/>
        <w:shd w:val="clear" w:color="auto" w:fill="auto"/>
        <w:bidi w:val="0"/>
        <w:spacing w:before="0" w:after="0"/>
        <w:ind w:left="0" w:right="0" w:firstLine="280"/>
      </w:pPr>
      <w:bookmarkStart w:id="642" w:name="bookmark642"/>
      <w:r>
        <w:rPr>
          <w:lang w:val="ru-RU" w:eastAsia="ru-RU" w:bidi="ru-RU"/>
          <w:w w:val="100"/>
          <w:spacing w:val="0"/>
          <w:color w:val="000000"/>
          <w:position w:val="0"/>
        </w:rPr>
        <w:t>Синдром Элерса-Данлоса I типа</w:t>
      </w:r>
      <w:bookmarkEnd w:id="64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pict>
          <v:shape id="_x0000_s1642" type="#_x0000_t75" style="position:absolute;margin-left:148.7pt;margin-top:736.8pt;width:209.75pt;height:14.9pt;z-index:-125828955;mso-wrap-distance-left:148.1pt;mso-wrap-distance-right:136.55pt;mso-wrap-distance-bottom:10.8pt;mso-position-horizontal-relative:margin;mso-position-vertical-relative:margin" wrapcoords="0 0 21600 0 21600 21600 0 21600 0 0">
            <v:imagedata r:id="rId1026" r:href="rId1027"/>
            <w10:wrap type="topAndBottom" anchorx="margin" anchory="margin"/>
          </v:shape>
        </w:pict>
      </w:r>
      <w:r>
        <w:rPr>
          <w:lang w:val="ru-RU" w:eastAsia="ru-RU" w:bidi="ru-RU"/>
          <w:w w:val="100"/>
          <w:spacing w:val="0"/>
          <w:color w:val="000000"/>
          <w:position w:val="0"/>
        </w:rPr>
        <w:t>Дети рождаются недоношенными из-за преждевремен</w:t>
        <w:softHyphen/>
        <w:t>ного разрыва плодных оболочек. Течение болезни тяжелое. Характерны генерализованная разболтанность суставов, склонность к вывихам, выраженная гиперрастяжимость кожи, ранимость ее повышена, на месте травмы образуют</w:t>
        <w:softHyphen/>
        <w:t>ся пергаментные рубцы. В местах наибольшего давления (коленные и локтевые суставы) часто образуются псевдо</w:t>
        <w:softHyphen/>
        <w:t>опухоли, состоящие из конгломератов деструктивных эле</w:t>
        <w:softHyphen/>
        <w:t>ментов соединительной ткани и организующихся гематом.</w:t>
      </w:r>
      <w:r>
        <w:br w:type="page"/>
      </w:r>
    </w:p>
    <w:p>
      <w:pPr>
        <w:pStyle w:val="Style92"/>
        <w:widowControl w:val="0"/>
        <w:keepNext/>
        <w:keepLines/>
        <w:shd w:val="clear" w:color="auto" w:fill="auto"/>
        <w:bidi w:val="0"/>
        <w:spacing w:before="0" w:after="0"/>
        <w:ind w:left="0" w:right="0" w:firstLine="280"/>
      </w:pPr>
      <w:bookmarkStart w:id="643" w:name="bookmark643"/>
      <w:r>
        <w:rPr>
          <w:lang w:val="ru-RU" w:eastAsia="ru-RU" w:bidi="ru-RU"/>
          <w:w w:val="100"/>
          <w:spacing w:val="0"/>
          <w:color w:val="000000"/>
          <w:position w:val="0"/>
        </w:rPr>
        <w:t>Сердечно-сосудистая система</w:t>
      </w:r>
      <w:bookmarkEnd w:id="64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Патология сердца сходна с таковой при синдроме Мар- фана. Наиболее характерно возникновение пролапса мит</w:t>
        <w:softHyphen/>
        <w:t>рального клапана, который у большинства больных проте</w:t>
        <w:softHyphen/>
        <w:t>кает бессимптомно и лишь в ряде случаев обусловливает возникновение митральной недостаточности. Если дилата</w:t>
        <w:softHyphen/>
        <w:t>ция аорты не выявляется в подростковом возрасте, то она, в отличие от синдрома Марфана, не развивается и у взрос</w:t>
        <w:softHyphen/>
        <w:t>лых. Митральная недостаточность возникает на поздних стадиях заболевания и связана с деформацией створок кла</w:t>
        <w:softHyphen/>
        <w:t>пана и дилатацией атриовентрикулярного кольца. Врож</w:t>
        <w:softHyphen/>
        <w:t>денные пороки сердца наблюдаются у 5-10% больных. На</w:t>
        <w:softHyphen/>
        <w:t>иболее часто наблюдаются дефект межпредсердной перего</w:t>
        <w:softHyphen/>
        <w:t>родки и дефект межжелудочковой перегородки, реже — декстрокардия, коарктация аорты, периферические стено</w:t>
        <w:softHyphen/>
        <w:t>зы легочной артерии, двустворчатый трикуспидальный кла</w:t>
        <w:softHyphen/>
        <w:t>пан, аневризма мембранозной части межжелудочковой пе</w:t>
        <w:softHyphen/>
        <w:t>регородки.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Дети с синдромом Элерса Данлоса I типа должны нахо</w:t>
        <w:softHyphen/>
        <w:t>диться под регулярным наблюдением кардиолога. Прово</w:t>
        <w:softHyphen/>
        <w:t>дится динамичный эхокардиографический контроль за со</w:t>
        <w:softHyphen/>
        <w:t>стоянием митрального клапана и размером аорты. При на</w:t>
        <w:softHyphen/>
        <w:t>рушении процесса реполяризации в миокарде рекоменду</w:t>
        <w:softHyphen/>
        <w:t>ется проведение курсов кардиотрофической терапии. Сана</w:t>
        <w:softHyphen/>
        <w:t>ция очагов инфекции и оперативные вмешательства долж</w:t>
        <w:softHyphen/>
        <w:t>ны проводиться на фоне антибактериальной терапии с це</w:t>
        <w:softHyphen/>
        <w:t>лью профилактики инфекционного эндокардита.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аутосомно-доминантный.</w:t>
      </w:r>
    </w:p>
    <w:p>
      <w:pPr>
        <w:pStyle w:val="Style92"/>
        <w:widowControl w:val="0"/>
        <w:keepNext/>
        <w:keepLines/>
        <w:shd w:val="clear" w:color="auto" w:fill="auto"/>
        <w:bidi w:val="0"/>
        <w:spacing w:before="0" w:after="0"/>
        <w:ind w:left="0" w:right="0" w:firstLine="280"/>
      </w:pPr>
      <w:bookmarkStart w:id="644" w:name="bookmark644"/>
      <w:r>
        <w:rPr>
          <w:lang w:val="ru-RU" w:eastAsia="ru-RU" w:bidi="ru-RU"/>
          <w:w w:val="100"/>
          <w:spacing w:val="0"/>
          <w:color w:val="000000"/>
          <w:position w:val="0"/>
        </w:rPr>
        <w:t>Синдром Элерса-Данлоса II типа</w:t>
      </w:r>
      <w:bookmarkEnd w:id="64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Характерны все классические проявления болезни, как при </w:t>
      </w:r>
      <w:r>
        <w:rPr>
          <w:lang w:val="en-US" w:eastAsia="en-US" w:bidi="en-US"/>
          <w:w w:val="100"/>
          <w:spacing w:val="0"/>
          <w:color w:val="000000"/>
          <w:position w:val="0"/>
        </w:rPr>
        <w:t xml:space="preserve">I </w:t>
      </w:r>
      <w:r>
        <w:rPr>
          <w:lang w:val="ru-RU" w:eastAsia="ru-RU" w:bidi="ru-RU"/>
          <w:w w:val="100"/>
          <w:spacing w:val="0"/>
          <w:color w:val="000000"/>
          <w:position w:val="0"/>
        </w:rPr>
        <w:t>типе синдрома, однако болезнь имеет менее тяжелое течение. Гиперподвижность суставов может ограничиваться кистями и стопами, кожные изменения могут быть мини</w:t>
        <w:softHyphen/>
        <w:t>мальными, возможна склонность к кровотечениям и кро</w:t>
        <w:softHyphen/>
        <w:t>воизлияниям.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протекает субклинически, как и при I типе, характеризуется пролапсом митрального клапана, редко осложняющимся митральной регургитацией. Аневриз</w:t>
        <w:softHyphen/>
        <w:t>мы магистральных сосудов наблюдаются казуистически редко. Для данного типа более характерно развитие варико</w:t>
        <w:softHyphen/>
        <w:t>за вен нижних конечностей, наблюдаемого уже в подрост</w:t>
        <w:softHyphen/>
        <w:t>ковом возрасте.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Как при I типе синдрома.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аутосомно-доминантный.</w:t>
      </w:r>
    </w:p>
    <w:p>
      <w:pPr>
        <w:pStyle w:val="Style92"/>
        <w:widowControl w:val="0"/>
        <w:keepNext/>
        <w:keepLines/>
        <w:shd w:val="clear" w:color="auto" w:fill="auto"/>
        <w:bidi w:val="0"/>
        <w:spacing w:before="0" w:after="0"/>
        <w:ind w:left="0" w:right="0" w:firstLine="280"/>
      </w:pPr>
      <w:bookmarkStart w:id="645" w:name="bookmark645"/>
      <w:r>
        <w:rPr>
          <w:lang w:val="ru-RU" w:eastAsia="ru-RU" w:bidi="ru-RU"/>
          <w:w w:val="100"/>
          <w:spacing w:val="0"/>
          <w:color w:val="000000"/>
          <w:position w:val="0"/>
        </w:rPr>
        <w:t xml:space="preserve">Синдром Элерса-Данлоса </w:t>
      </w:r>
      <w:r>
        <w:rPr>
          <w:lang w:val="en-US" w:eastAsia="en-US" w:bidi="en-US"/>
          <w:w w:val="100"/>
          <w:spacing w:val="0"/>
          <w:color w:val="000000"/>
          <w:position w:val="0"/>
        </w:rPr>
        <w:t xml:space="preserve">III </w:t>
      </w:r>
      <w:r>
        <w:rPr>
          <w:lang w:val="ru-RU" w:eastAsia="ru-RU" w:bidi="ru-RU"/>
          <w:w w:val="100"/>
          <w:spacing w:val="0"/>
          <w:color w:val="000000"/>
          <w:position w:val="0"/>
        </w:rPr>
        <w:t>типа</w:t>
      </w:r>
      <w:bookmarkEnd w:id="64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Заболевание имеет доброкачественное течение. Харак</w:t>
        <w:softHyphen/>
        <w:t>терна гиперподвижность крупных суставов, кожные изме</w:t>
        <w:softHyphen/>
        <w:t>нения минимальны.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часто патология сердца проявляется пролап</w:t>
        <w:softHyphen/>
        <w:t>сом митрального клапана, возможно развитие эктопических аритмий, блокад атриовентрикулярного проведения.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Как при I типе синдрома.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Тип наследования: аутосомно-доминантный.</w:t>
      </w:r>
    </w:p>
    <w:p>
      <w:pPr>
        <w:pStyle w:val="Style92"/>
        <w:widowControl w:val="0"/>
        <w:keepNext/>
        <w:keepLines/>
        <w:shd w:val="clear" w:color="auto" w:fill="auto"/>
        <w:bidi w:val="0"/>
        <w:spacing w:before="0" w:after="0"/>
        <w:ind w:left="0" w:right="0" w:firstLine="280"/>
      </w:pPr>
      <w:r>
        <w:br w:type="column"/>
      </w:r>
      <w:bookmarkStart w:id="646" w:name="bookmark646"/>
      <w:r>
        <w:rPr>
          <w:lang w:val="ru-RU" w:eastAsia="ru-RU" w:bidi="ru-RU"/>
          <w:w w:val="100"/>
          <w:spacing w:val="0"/>
          <w:color w:val="000000"/>
          <w:position w:val="0"/>
        </w:rPr>
        <w:t>Синдром Элерса-Данлоса IV типа</w:t>
      </w:r>
      <w:bookmarkEnd w:id="64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болезни характерны гиперподвижность суставов пальцев, тонкая малорастяжимая кожа, склонность к кро</w:t>
        <w:softHyphen/>
        <w:t>вотечениям, кровоизлияниям, экхимозам. Заболевание имеет злокачественное течение из-за разрыва крупных ар</w:t>
        <w:softHyphen/>
        <w:t>терий и полых внутренних органов.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болезни характерно поражение больших и среднего калибра артериальных сосудов с развитием мешотчатых аневризм и разрывов при незначительной травме. Болезнь носит прогрессирующий характер. При разрыве артерии возникают гематомы, внутреннее кровотечение, могут об</w:t>
        <w:softHyphen/>
        <w:t>разовываться артериовенозные фистулы. Наиболее часто по</w:t>
        <w:softHyphen/>
        <w:t>вреждаются сосуды, отходящие от дуги аорты.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Дети должны быть полностью ограничены от ситуаций, сопряженных с риском травмы. При возникновении раз</w:t>
        <w:softHyphen/>
        <w:t>рыва артерии только экстренное хирургическое вмешатель</w:t>
        <w:softHyphen/>
        <w:t>ство может спасти жизнь таких больных.</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аутосомно-доминантный и аутосо- мно-рецессивный.</w:t>
      </w:r>
    </w:p>
    <w:p>
      <w:pPr>
        <w:pStyle w:val="Style92"/>
        <w:widowControl w:val="0"/>
        <w:keepNext/>
        <w:keepLines/>
        <w:shd w:val="clear" w:color="auto" w:fill="auto"/>
        <w:bidi w:val="0"/>
        <w:spacing w:before="0" w:after="0"/>
        <w:ind w:left="0" w:right="0" w:firstLine="280"/>
      </w:pPr>
      <w:bookmarkStart w:id="647" w:name="bookmark647"/>
      <w:r>
        <w:rPr>
          <w:lang w:val="ru-RU" w:eastAsia="ru-RU" w:bidi="ru-RU"/>
          <w:w w:val="100"/>
          <w:spacing w:val="0"/>
          <w:color w:val="000000"/>
          <w:position w:val="0"/>
        </w:rPr>
        <w:t>Синдром Элерса-Данлоса V типа</w:t>
      </w:r>
      <w:bookmarkEnd w:id="64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Идентична признакам II типа синдрома Элерса-Данло</w:t>
        <w:softHyphen/>
        <w:t>са, ведущими из которых являются гиперподвижность сус</w:t>
        <w:softHyphen/>
        <w:t>тавов и большая растяжимость кожи.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большинстве случаев синдрома больные имеют тяже</w:t>
        <w:softHyphen/>
        <w:t>лую митральную регургитацию с ранним развитием застой</w:t>
        <w:softHyphen/>
        <w:t>ной сердечной недостаточности. Аускультативно определя</w:t>
        <w:softHyphen/>
        <w:t>ется грубый систолический шум на верхушке с проведени</w:t>
        <w:softHyphen/>
        <w:t>ем в подмышечную область, акцент II тона на легочной ар</w:t>
        <w:softHyphen/>
        <w:t>терии. При эхокардиографии створки митрального клапана и фиброзное кольцо увеличены в размерах, створки имеют большое прогибание в полость левого предсердия.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развитии кардиомегалии, легочной гипертензии (не выше 2 стадии), мерцания-трепетания предсердий показа</w:t>
        <w:softHyphen/>
        <w:t>но протезирование клапана. В остальных случаях прово</w:t>
        <w:softHyphen/>
        <w:t>дится консервативная терапия сердечными гликозидами, диуретиками, вазодилататорами. Всем детям должна про</w:t>
        <w:softHyphen/>
        <w:t>водиться антибактериальная профилактика инфекционно</w:t>
        <w:softHyphen/>
        <w:t>го эндокардита.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рецессивный, сцепленный с Х-хро- мосомой.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Элерса-Данлоса VI типа (глазо-сколиотическая форма синдрома Элерса-Данлоса)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больных характерна тяжелая патология глаз: спон</w:t>
        <w:softHyphen/>
        <w:t>танная отслойка сетчатки, кровоизлияния в стекловидное тело, разрывы глазного яблока и роговицы. Отмечаются ги</w:t>
        <w:softHyphen/>
        <w:t>перподвижность суставов, кифосколиозы, перерастяжи- мость кожи.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pict>
          <v:shape id="_x0000_s1643" type="#_x0000_t75" style="position:absolute;margin-left:137.15pt;margin-top:736.8pt;width:209.75pt;height:14.9pt;z-index:-125828954;mso-wrap-distance-left:136.8pt;mso-wrap-distance-right:148.3pt;mso-wrap-distance-bottom:10.8pt;mso-position-horizontal-relative:margin;mso-position-vertical-relative:margin" wrapcoords="0 0 21600 0 21600 21600 0 21600 0 0">
            <v:imagedata r:id="rId1028" r:href="rId1029"/>
            <w10:wrap type="topAndBottom" anchorx="margin" anchory="margin"/>
          </v:shape>
        </w:pict>
      </w:r>
      <w:r>
        <w:rPr>
          <w:lang w:val="ru-RU" w:eastAsia="ru-RU" w:bidi="ru-RU"/>
          <w:w w:val="100"/>
          <w:spacing w:val="0"/>
          <w:color w:val="000000"/>
          <w:position w:val="0"/>
        </w:rPr>
        <w:t xml:space="preserve">У большинства больных, как и при </w:t>
      </w:r>
      <w:r>
        <w:rPr>
          <w:lang w:val="en-US" w:eastAsia="en-US" w:bidi="en-US"/>
          <w:w w:val="100"/>
          <w:spacing w:val="0"/>
          <w:color w:val="000000"/>
          <w:position w:val="0"/>
        </w:rPr>
        <w:t xml:space="preserve">I-II </w:t>
      </w:r>
      <w:r>
        <w:rPr>
          <w:lang w:val="ru-RU" w:eastAsia="ru-RU" w:bidi="ru-RU"/>
          <w:w w:val="100"/>
          <w:spacing w:val="0"/>
          <w:color w:val="000000"/>
          <w:position w:val="0"/>
        </w:rPr>
        <w:t xml:space="preserve">типах синдрома, определяются пролапс митрального клапана, митральная ре- гургитация, аневризмы аорты. У ряда больных, как и при </w:t>
      </w:r>
      <w:r>
        <w:rPr>
          <w:lang w:val="en-US" w:eastAsia="en-US" w:bidi="en-US"/>
          <w:w w:val="100"/>
          <w:spacing w:val="0"/>
          <w:color w:val="000000"/>
          <w:position w:val="0"/>
        </w:rPr>
        <w:t xml:space="preserve">IV </w:t>
      </w:r>
      <w:r>
        <w:rPr>
          <w:lang w:val="ru-RU" w:eastAsia="ru-RU" w:bidi="ru-RU"/>
          <w:w w:val="100"/>
          <w:spacing w:val="0"/>
          <w:color w:val="000000"/>
          <w:position w:val="0"/>
        </w:rPr>
        <w:t>типе синдрома, наблюдаются разрывы артерий, аневризмы головного мозга, артериовенозные фистулы.</w:t>
      </w:r>
      <w:r>
        <w:br w:type="page"/>
      </w:r>
    </w:p>
    <w:p>
      <w:pPr>
        <w:pStyle w:val="Style92"/>
        <w:widowControl w:val="0"/>
        <w:keepNext/>
        <w:keepLines/>
        <w:shd w:val="clear" w:color="auto" w:fill="auto"/>
        <w:bidi w:val="0"/>
        <w:spacing w:before="0" w:after="0"/>
        <w:ind w:left="0" w:right="0" w:firstLine="280"/>
      </w:pPr>
      <w:bookmarkStart w:id="648" w:name="bookmark648"/>
      <w:r>
        <w:rPr>
          <w:lang w:val="ru-RU" w:eastAsia="ru-RU" w:bidi="ru-RU"/>
          <w:w w:val="100"/>
          <w:spacing w:val="0"/>
          <w:color w:val="000000"/>
          <w:position w:val="0"/>
        </w:rPr>
        <w:t>Лечение</w:t>
      </w:r>
      <w:bookmarkEnd w:id="64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Как при синдроме Элерса-Данлоса I типа.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Элерса-Данлоса VII типа (врожденная множес</w:t>
        <w:softHyphen/>
        <w:t>твенная артрохалазия)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Характерны задержка роста, разболтанность и подвывих голеностопных и локтевых суставов, надколенника, врож</w:t>
        <w:softHyphen/>
        <w:t>денный вывих бедер, гипоплазия средней части лица, ги</w:t>
        <w:softHyphen/>
        <w:t>пертелоризм глаз, эпикант.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протекает субклинически, возможно развитие пролапса митрального клапана.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49" w:name="bookmark649"/>
      <w:r>
        <w:rPr>
          <w:lang w:val="ru-RU" w:eastAsia="ru-RU" w:bidi="ru-RU"/>
          <w:w w:val="100"/>
          <w:spacing w:val="0"/>
          <w:color w:val="000000"/>
          <w:position w:val="0"/>
        </w:rPr>
        <w:t>Синдром Элерса-Данлоса VIII типа</w:t>
      </w:r>
      <w:bookmarkEnd w:id="64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Характерен тяжелый перидонтит с разрушением альвео</w:t>
        <w:softHyphen/>
        <w:t>лярных костей. Возможно фенотипическое сходство с син</w:t>
        <w:softHyphen/>
        <w:t>дромом Марфана.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большинстве сообщенных случаев заболевания отме</w:t>
        <w:softHyphen/>
        <w:t>чается превалирование пролапса митрального клапана без дилатации аорты.</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аутосомно-доминантный.</w:t>
      </w:r>
    </w:p>
    <w:p>
      <w:pPr>
        <w:pStyle w:val="Style92"/>
        <w:widowControl w:val="0"/>
        <w:keepNext/>
        <w:keepLines/>
        <w:shd w:val="clear" w:color="auto" w:fill="auto"/>
        <w:bidi w:val="0"/>
        <w:spacing w:before="0" w:after="0"/>
        <w:ind w:left="0" w:right="0" w:firstLine="280"/>
      </w:pPr>
      <w:bookmarkStart w:id="650" w:name="bookmark650"/>
      <w:r>
        <w:rPr>
          <w:lang w:val="ru-RU" w:eastAsia="ru-RU" w:bidi="ru-RU"/>
          <w:w w:val="100"/>
          <w:spacing w:val="0"/>
          <w:color w:val="000000"/>
          <w:position w:val="0"/>
        </w:rPr>
        <w:t>Синдром Элерса-Данлоса IX типа</w:t>
      </w:r>
      <w:bookmarkEnd w:id="65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Характерны повышенная подвижность суставов, «мяг</w:t>
        <w:softHyphen/>
        <w:t>кая» кожа, своеобразное строение лицевого скелета (крюч</w:t>
        <w:softHyphen/>
        <w:t>коватый нос, длинный фильтр), деформация грудины, пло</w:t>
        <w:softHyphen/>
        <w:t>скостопие, экзостозы в области затылочной кости, грыжи, дивертикулы мочевого пузыря. В сыворотке крови и воло</w:t>
        <w:softHyphen/>
        <w:t>сах пробандов повышено содержание меди и снижен уро</w:t>
        <w:softHyphen/>
        <w:t>вень церулоплазмина.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Преимущественно наблюдается варикоз вен нижних ко</w:t>
        <w:softHyphen/>
        <w:t>нечностей.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рецессивный, сцепленный с Х-хро- мосомой.</w:t>
      </w:r>
    </w:p>
    <w:p>
      <w:pPr>
        <w:pStyle w:val="Style92"/>
        <w:widowControl w:val="0"/>
        <w:keepNext/>
        <w:keepLines/>
        <w:shd w:val="clear" w:color="auto" w:fill="auto"/>
        <w:bidi w:val="0"/>
        <w:spacing w:before="0" w:after="0"/>
        <w:ind w:left="0" w:right="0" w:firstLine="280"/>
      </w:pPr>
      <w:bookmarkStart w:id="651" w:name="bookmark651"/>
      <w:r>
        <w:rPr>
          <w:lang w:val="ru-RU" w:eastAsia="ru-RU" w:bidi="ru-RU"/>
          <w:w w:val="100"/>
          <w:spacing w:val="0"/>
          <w:color w:val="000000"/>
          <w:position w:val="0"/>
        </w:rPr>
        <w:t>Синдром Элерса-Данлоса X типа</w:t>
      </w:r>
      <w:bookmarkEnd w:id="65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Характерны разболтанность суставов, повышенная рас</w:t>
        <w:softHyphen/>
        <w:t>тяжимость кожи, поражение слизистых, кровоподтеки, пе- техии.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большинства больных обнаруживаются пролапс мит</w:t>
        <w:softHyphen/>
        <w:t>рального клапана, умеренная дилатация аорты в области си</w:t>
        <w:softHyphen/>
        <w:t>нусов Вальсальвы без развития аневризм. На ЭКГ может определяться атриовентрикулярная блокада I степени.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52" w:name="bookmark652"/>
      <w:r>
        <w:rPr>
          <w:lang w:val="ru-RU" w:eastAsia="ru-RU" w:bidi="ru-RU"/>
          <w:w w:val="100"/>
          <w:spacing w:val="0"/>
          <w:color w:val="000000"/>
          <w:position w:val="0"/>
        </w:rPr>
        <w:t>Синдром Элерса-Данлоса XI типа</w:t>
      </w:r>
      <w:bookmarkEnd w:id="65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характеризуется разболтан</w:t>
        <w:softHyphen/>
        <w:t>ностью суставов, сопровождающейся вывихами в 2/3 слу</w:t>
        <w:softHyphen/>
        <w:t>чаев, а также отсутствием изменений кожи, глаз и других органов.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большинства больных обнаруживается пролапс мит</w:t>
        <w:softHyphen/>
        <w:t>рального клапана.</w:t>
      </w:r>
    </w:p>
    <w:p>
      <w:pPr>
        <w:pStyle w:val="Style30"/>
        <w:widowControl w:val="0"/>
        <w:keepNext w:val="0"/>
        <w:keepLines w:val="0"/>
        <w:shd w:val="clear" w:color="auto" w:fill="auto"/>
        <w:bidi w:val="0"/>
        <w:spacing w:before="0" w:after="180"/>
        <w:ind w:left="0" w:right="0" w:firstLine="280"/>
      </w:pPr>
      <w:r>
        <w:br w:type="column"/>
      </w:r>
      <w:r>
        <w:rPr>
          <w:lang w:val="ru-RU" w:eastAsia="ru-RU" w:bidi="ru-RU"/>
          <w:w w:val="100"/>
          <w:spacing w:val="0"/>
          <w:color w:val="000000"/>
          <w:position w:val="0"/>
        </w:rPr>
        <w:t>Тип наследования: аутосомно-доминантный, молеку</w:t>
        <w:softHyphen/>
        <w:t>лярный механизм патологии не известен.</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Cutis Laxa </w:t>
      </w:r>
      <w:r>
        <w:rPr>
          <w:lang w:val="ru-RU" w:eastAsia="ru-RU" w:bidi="ru-RU"/>
          <w:w w:val="100"/>
          <w:spacing w:val="0"/>
          <w:color w:val="000000"/>
          <w:position w:val="0"/>
        </w:rPr>
        <w:t>(аутосомно-рецессивная форма)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Характерны генерализованное поражение кожи, выра</w:t>
        <w:softHyphen/>
        <w:t>женная задержка постнатального развития. Новорожден</w:t>
        <w:softHyphen/>
        <w:t>ные имеют низкие массо-ростовые показатели, разболтан</w:t>
        <w:softHyphen/>
        <w:t>ность суставов, дислокацию бедренных суставов, большой родничок с отсроченным закрытием, отставание в мотор</w:t>
        <w:softHyphen/>
        <w:t>ном и интеллектуальном развитии. Рано развиваются об</w:t>
        <w:softHyphen/>
        <w:t>струкция дыхательных путей, пневмонии, сопровождаю</w:t>
        <w:softHyphen/>
        <w:t>щиеся прогрессирующей эмфиземой. Смерть от легочных осложнений может наступить уже в первые месяцы жизни, большинство больных умирают к третьему году. Патомор</w:t>
        <w:softHyphen/>
        <w:t>фологически в легочной ткани обнаруживается разрушение и истончение альвеолярных перегородок, эластические во</w:t>
        <w:softHyphen/>
        <w:t>локна отсутствуют или резко уменьшены в количестве.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Большинство новорожденных имеют признаки сердеч</w:t>
        <w:softHyphen/>
        <w:t>ной недостаточности, обусловленные тяжелым поражени</w:t>
        <w:softHyphen/>
        <w:t xml:space="preserve">ем легких </w:t>
      </w:r>
      <w:r>
        <w:rPr>
          <w:lang w:val="en-US" w:eastAsia="en-US" w:bidi="en-US"/>
          <w:w w:val="100"/>
          <w:spacing w:val="0"/>
          <w:color w:val="000000"/>
          <w:position w:val="0"/>
        </w:rPr>
        <w:t xml:space="preserve">(cor pulmonale). </w:t>
      </w:r>
      <w:r>
        <w:rPr>
          <w:lang w:val="ru-RU" w:eastAsia="ru-RU" w:bidi="ru-RU"/>
          <w:w w:val="100"/>
          <w:spacing w:val="0"/>
          <w:color w:val="000000"/>
          <w:position w:val="0"/>
        </w:rPr>
        <w:t>Аускультативно выслушивается шум систолического изгнания над легочной артерией. На ЭКГ регистрируются правожелудочковая гипертрофия с признаками перенапряжения, задержка проведения им</w:t>
        <w:softHyphen/>
        <w:t>пульса по правому желудочку. Рентгенологически выявля</w:t>
        <w:softHyphen/>
        <w:t>ется кардиомегалия. При катетеризации правых отделов обнаруживается высокое давление в легочной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магистральных сосудов проявляется перифе</w:t>
        <w:softHyphen/>
        <w:t>рическими стенозами легочной артерии и аортальной дилата</w:t>
        <w:softHyphen/>
        <w:t>цией. Морфологически участки сужения легочной артерии чередуются с областями ее дилатации. Гистопатологически в периферических легочных артериях значительно умень</w:t>
        <w:softHyphen/>
        <w:t>шено количество эластических волокон. Аналогичные гис</w:t>
        <w:softHyphen/>
        <w:t>тологические изменения определяются в сосудистой стенке аорты.</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Лечение не разработано.</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Cutis Laxa </w:t>
      </w:r>
      <w:r>
        <w:rPr>
          <w:lang w:val="ru-RU" w:eastAsia="ru-RU" w:bidi="ru-RU"/>
          <w:w w:val="100"/>
          <w:spacing w:val="0"/>
          <w:color w:val="000000"/>
          <w:position w:val="0"/>
        </w:rPr>
        <w:t>(аутосомно-доминантная форма)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этом заболевании преобладают кожные изменения, а висцеральные проявления менее выражены и могут по</w:t>
        <w:softHyphen/>
        <w:t>явиться в подростковом возрасте. Наиболее характерно развитие бронхоэктатической болезни. Умственное и фи</w:t>
        <w:softHyphen/>
        <w:t>зическое развитие не страдают.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больных могут наблюдаться аневризмы синусов Валь</w:t>
        <w:softHyphen/>
        <w:t>сальвы, периферические аневризмы сонных артерий, пролапс митрального клапана.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Лечение не разработано.</w:t>
      </w:r>
    </w:p>
    <w:p>
      <w:pPr>
        <w:pStyle w:val="Style92"/>
        <w:widowControl w:val="0"/>
        <w:keepNext/>
        <w:keepLines/>
        <w:shd w:val="clear" w:color="auto" w:fill="auto"/>
        <w:bidi w:val="0"/>
        <w:spacing w:before="0" w:after="0"/>
        <w:ind w:left="0" w:right="0" w:firstLine="280"/>
      </w:pPr>
      <w:bookmarkStart w:id="653" w:name="bookmark653"/>
      <w:r>
        <w:rPr>
          <w:lang w:val="ru-RU" w:eastAsia="ru-RU" w:bidi="ru-RU"/>
          <w:w w:val="100"/>
          <w:spacing w:val="0"/>
          <w:color w:val="000000"/>
          <w:position w:val="0"/>
        </w:rPr>
        <w:t>Несовершенный остеогенез</w:t>
      </w:r>
      <w:bookmarkEnd w:id="653"/>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Наследственное заболевание, обусловленное нарушени</w:t>
        <w:softHyphen/>
        <w:t>ем синтеза коллагена I типа в костной ткани. В зависимос</w:t>
        <w:softHyphen/>
        <w:t>ти от типа биохимического дефекта выделяют четыре фор</w:t>
        <w:softHyphen/>
        <w:t>мы болезни.</w:t>
      </w:r>
    </w:p>
    <w:p>
      <w:pPr>
        <w:pStyle w:val="Style92"/>
        <w:widowControl w:val="0"/>
        <w:keepNext/>
        <w:keepLines/>
        <w:shd w:val="clear" w:color="auto" w:fill="auto"/>
        <w:bidi w:val="0"/>
        <w:spacing w:before="0" w:after="0"/>
        <w:ind w:left="0" w:right="0" w:firstLine="280"/>
      </w:pPr>
      <w:bookmarkStart w:id="654" w:name="bookmark654"/>
      <w:r>
        <w:rPr>
          <w:lang w:val="ru-RU" w:eastAsia="ru-RU" w:bidi="ru-RU"/>
          <w:w w:val="100"/>
          <w:spacing w:val="0"/>
          <w:color w:val="000000"/>
          <w:position w:val="0"/>
        </w:rPr>
        <w:t xml:space="preserve">Несовершенный остеогенез </w:t>
      </w:r>
      <w:r>
        <w:rPr>
          <w:lang w:val="en-US" w:eastAsia="en-US" w:bidi="en-US"/>
          <w:w w:val="100"/>
          <w:spacing w:val="0"/>
          <w:color w:val="000000"/>
          <w:position w:val="0"/>
        </w:rPr>
        <w:t xml:space="preserve">I </w:t>
      </w:r>
      <w:r>
        <w:rPr>
          <w:lang w:val="ru-RU" w:eastAsia="ru-RU" w:bidi="ru-RU"/>
          <w:w w:val="100"/>
          <w:spacing w:val="0"/>
          <w:color w:val="000000"/>
          <w:position w:val="0"/>
        </w:rPr>
        <w:t>типа</w:t>
      </w:r>
      <w:bookmarkEnd w:id="65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pict>
          <v:shape id="_x0000_s1644" type="#_x0000_t75" style="position:absolute;margin-left:148.55pt;margin-top:736.8pt;width:209.75pt;height:14.9pt;z-index:-125828953;mso-wrap-distance-left:148.1pt;mso-wrap-distance-right:136.8pt;mso-wrap-distance-bottom:10.8pt;mso-position-horizontal-relative:margin;mso-position-vertical-relative:margin" wrapcoords="0 0 21600 0 21600 21600 0 21600 0 0">
            <v:imagedata r:id="rId1030" r:href="rId1031"/>
            <w10:wrap type="topAndBottom" anchorx="margin" anchory="margin"/>
          </v:shape>
        </w:pict>
      </w:r>
      <w:r>
        <w:rPr>
          <w:lang w:val="ru-RU" w:eastAsia="ru-RU" w:bidi="ru-RU"/>
          <w:w w:val="100"/>
          <w:spacing w:val="0"/>
          <w:color w:val="000000"/>
          <w:position w:val="0"/>
        </w:rPr>
        <w:t>Для заболевания характерны остеопороз, спонтанные пе</w:t>
        <w:softHyphen/>
        <w:t>реломы костей, голубые склеры, кондуктивная глухота, низ- корослость. Переломы костей возникают после незначи-</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тельной травмы и в 10% случаев наблюдаются сразу после рождения. Характерно возникновение костных деформа</w:t>
        <w:softHyphen/>
        <w:t>ций, у 20% больных наблюдается прогрессирующий кифос- колиоз. Обычно определяется переразгибаемость преимуще</w:t>
        <w:softHyphen/>
        <w:t>ственно мелких суставов. У некоторых больных может на</w:t>
        <w:softHyphen/>
        <w:t>блюдаться характерная опалесценция зубной эмали. Рентге</w:t>
        <w:softHyphen/>
        <w:t>нологически выявляется генерализованный остеопороз.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характерными аномалиями являются аорталь</w:t>
        <w:softHyphen/>
        <w:t>ная и/или митральная недостаточность, дилатация аорталь</w:t>
        <w:softHyphen/>
        <w:t>ного корня и инфаркт миокарда. Частота клапанной ди</w:t>
        <w:softHyphen/>
        <w:t>сфункции значительно превышает популяционную. Пора</w:t>
        <w:softHyphen/>
        <w:t>жение аортального клапана проявляется недостаточностью и реже стенозом. Створки морфологически могут быть фи</w:t>
        <w:softHyphen/>
        <w:t>брозированными и кальцифицированными. Аортальная недостаточность может также возникать из-за дилатации корня аорты, однако она не носит выраженного характера. Стеноз аортального клапана обусловлен врожденным дву</w:t>
        <w:softHyphen/>
        <w:t>створчатым аортальным клапаном, который может ослож</w:t>
        <w:softHyphen/>
        <w:t>ниться инфекционным эндокардитом.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митрального клапана может быть в изолиро</w:t>
        <w:softHyphen/>
        <w:t>ванном виде или в комбинации с пороком аортального кла</w:t>
        <w:softHyphen/>
        <w:t>пана. Наиболее часто наблюдается пролапс митрального клапана, частота которого в 3 раза превышает популяцион</w:t>
        <w:softHyphen/>
        <w:t>ную. Прогрессирование пролабирования створок приводит к развитию митральной недостаточности и застойной сер</w:t>
        <w:softHyphen/>
        <w:t>дечной недостаточности в молодом возрасте. Митральная недостаточность у детей наряду с пролапсом клапана может быть обусловлена значительной дилатацией левого атрио</w:t>
        <w:softHyphen/>
        <w:t>вентрикулярного кольца.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Специфическое лечение не разработано. Назначение препаратов кальция, окиси магния, витамина С не предуп</w:t>
        <w:softHyphen/>
        <w:t>реждает частоту переломов костей. Некоторое улучшение может быть получено при применении кальцитонина.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Больные с клапанными аномалиями должны наблю</w:t>
        <w:softHyphen/>
        <w:t>даться кардиологом и получать антибактериальную профи</w:t>
        <w:softHyphen/>
        <w:t>лактику инфекционного эндокардита. Фармакотерапия сердечной недостаточности включает назначение препара</w:t>
        <w:softHyphen/>
        <w:t>тов трех различных классов: 1) средства позитивного инот</w:t>
        <w:softHyphen/>
        <w:t>ропного действия, 2) диуретики, 3) препараты, уменьшаю</w:t>
        <w:softHyphen/>
        <w:t>щие нагрузку на сердце (вазодилататоры). При развитии тя - желой клапанной дисфункции проводится хирургическое лечение (вальвулопластика, аннулопластика при расшире</w:t>
        <w:softHyphen/>
        <w:t>нии фиброзного кольца с подшиванием опорного кольца Карпанье, протезирование митрального или аортального клапанов).</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аутосомно-доминантный. Обнаруже</w:t>
        <w:softHyphen/>
        <w:t>на мутация гена, кодирующего синтез проколлагена А1(1).</w:t>
      </w:r>
    </w:p>
    <w:p>
      <w:pPr>
        <w:pStyle w:val="Style92"/>
        <w:widowControl w:val="0"/>
        <w:keepNext/>
        <w:keepLines/>
        <w:shd w:val="clear" w:color="auto" w:fill="auto"/>
        <w:bidi w:val="0"/>
        <w:spacing w:before="0" w:after="0"/>
        <w:ind w:left="0" w:right="0" w:firstLine="280"/>
      </w:pPr>
      <w:bookmarkStart w:id="655" w:name="bookmark655"/>
      <w:r>
        <w:rPr>
          <w:lang w:val="ru-RU" w:eastAsia="ru-RU" w:bidi="ru-RU"/>
          <w:w w:val="100"/>
          <w:spacing w:val="0"/>
          <w:color w:val="000000"/>
          <w:position w:val="0"/>
        </w:rPr>
        <w:t>Несовершенный остеогенез II типа</w:t>
      </w:r>
      <w:bookmarkEnd w:id="65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Этот тип относится к летальным синдромам и характе</w:t>
        <w:softHyphen/>
        <w:t>ризуется низкими весовыми и ростовыми показателями при рождении, рентгенологическими признаками множес</w:t>
        <w:softHyphen/>
        <w:t>твенных переломов трубчатых костей и ребер, возникших внутриутробно. Вскоре после рождения развивается тяже</w:t>
        <w:softHyphen/>
        <w:t>лая дыхательная недостаточность.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Новорожденные имеют рефракторную сердечную недо</w:t>
        <w:softHyphen/>
        <w:t>статочность, обусловленную клапанной дисфункцией и вентиляционными нарушениями. При морфологическом</w:t>
        <w:br w:type="column"/>
        <w:t>исследовании могут обнаруживаться миксоматоз полулун</w:t>
        <w:softHyphen/>
        <w:t>ных створок митрального и трикуспидального клапанов, кальцификация легочных, мозговых и периферических со</w:t>
        <w:softHyphen/>
        <w:t>судов. Возможны множественные периферические стенозы легочной артерии, коарктация аорты, аномалии Эбштейна.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не разработано.</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 многие случаи синдрома представляют свежую доминантную мута</w:t>
        <w:softHyphen/>
        <w:t>цию. Вероятна множественная точечная мутация гена с за</w:t>
        <w:softHyphen/>
        <w:t>меной глицина на цистеин или аргинин.</w:t>
      </w:r>
    </w:p>
    <w:p>
      <w:pPr>
        <w:pStyle w:val="Style92"/>
        <w:widowControl w:val="0"/>
        <w:keepNext/>
        <w:keepLines/>
        <w:shd w:val="clear" w:color="auto" w:fill="auto"/>
        <w:bidi w:val="0"/>
        <w:spacing w:before="0" w:after="0"/>
        <w:ind w:left="0" w:right="0" w:firstLine="280"/>
      </w:pPr>
      <w:bookmarkStart w:id="656" w:name="bookmark656"/>
      <w:r>
        <w:rPr>
          <w:lang w:val="ru-RU" w:eastAsia="ru-RU" w:bidi="ru-RU"/>
          <w:w w:val="100"/>
          <w:spacing w:val="0"/>
          <w:color w:val="000000"/>
          <w:position w:val="0"/>
        </w:rPr>
        <w:t xml:space="preserve">Несовершенный остеогенез </w:t>
      </w:r>
      <w:r>
        <w:rPr>
          <w:lang w:val="en-US" w:eastAsia="en-US" w:bidi="en-US"/>
          <w:w w:val="100"/>
          <w:spacing w:val="0"/>
          <w:color w:val="000000"/>
          <w:position w:val="0"/>
        </w:rPr>
        <w:t xml:space="preserve">III </w:t>
      </w:r>
      <w:r>
        <w:rPr>
          <w:lang w:val="ru-RU" w:eastAsia="ru-RU" w:bidi="ru-RU"/>
          <w:w w:val="100"/>
          <w:spacing w:val="0"/>
          <w:color w:val="000000"/>
          <w:position w:val="0"/>
        </w:rPr>
        <w:t>типа</w:t>
      </w:r>
      <w:bookmarkEnd w:id="65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Заболевание проявляется в раннем возрасте и характе</w:t>
        <w:softHyphen/>
        <w:t>ризуется множественными переломами, приводящими к грубым деформациям скелета. Характерны голубые скле</w:t>
        <w:softHyphen/>
        <w:t>ры. Кифоз развивается в подростковом возрасте. Рентгено</w:t>
        <w:softHyphen/>
        <w:t>логически выявляется остеопения с множественными де</w:t>
        <w:softHyphen/>
        <w:t>формациями скелета.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проявляется латентно протекающим пролапсом митрального клапана, обычно не приводящим к развитию митральной недостаточности. Возможно разви</w:t>
        <w:softHyphen/>
        <w:t>тие легочного сердца из-за грубых деформаций грудной клетки.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 Вероятен дефект в гене, кодирующем синтез проколлагена А2(1).</w:t>
      </w:r>
    </w:p>
    <w:p>
      <w:pPr>
        <w:pStyle w:val="Style92"/>
        <w:widowControl w:val="0"/>
        <w:keepNext/>
        <w:keepLines/>
        <w:shd w:val="clear" w:color="auto" w:fill="auto"/>
        <w:bidi w:val="0"/>
        <w:spacing w:before="0" w:after="0"/>
        <w:ind w:left="0" w:right="0" w:firstLine="280"/>
      </w:pPr>
      <w:bookmarkStart w:id="657" w:name="bookmark657"/>
      <w:r>
        <w:rPr>
          <w:lang w:val="ru-RU" w:eastAsia="ru-RU" w:bidi="ru-RU"/>
          <w:w w:val="100"/>
          <w:spacing w:val="0"/>
          <w:color w:val="000000"/>
          <w:position w:val="0"/>
        </w:rPr>
        <w:t xml:space="preserve">Несовершенный остеогенез </w:t>
      </w:r>
      <w:r>
        <w:rPr>
          <w:lang w:val="en-US" w:eastAsia="en-US" w:bidi="en-US"/>
          <w:w w:val="100"/>
          <w:spacing w:val="0"/>
          <w:color w:val="000000"/>
          <w:position w:val="0"/>
        </w:rPr>
        <w:t xml:space="preserve">IV </w:t>
      </w:r>
      <w:r>
        <w:rPr>
          <w:lang w:val="ru-RU" w:eastAsia="ru-RU" w:bidi="ru-RU"/>
          <w:w w:val="100"/>
          <w:spacing w:val="0"/>
          <w:color w:val="000000"/>
          <w:position w:val="0"/>
        </w:rPr>
        <w:t>типа</w:t>
      </w:r>
      <w:bookmarkEnd w:id="65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наблюдается остеопороз, приводящий к перело</w:t>
        <w:softHyphen/>
        <w:t>мам костей при их незначительной травме. Склеры у ново</w:t>
        <w:softHyphen/>
        <w:t>рожденных могут быть голубыми, но к подростковому воз</w:t>
        <w:softHyphen/>
        <w:t>расту этот симптом исчезает. Глухота не характерна. Воз</w:t>
        <w:softHyphen/>
        <w:t>можно спонтанное выздоровление после наступления пу</w:t>
        <w:softHyphen/>
        <w:t>бертатного периода.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сердца может быть связано с аортальной ре- гургитацией, как при I типе заболевания.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аутосомно-доминантный. Определя</w:t>
        <w:softHyphen/>
        <w:t>ется точечная мутация гена, кодирующего синтез прокол</w:t>
        <w:softHyphen/>
        <w:t>лагена А2(1).</w:t>
      </w:r>
    </w:p>
    <w:p>
      <w:pPr>
        <w:pStyle w:val="Style92"/>
        <w:widowControl w:val="0"/>
        <w:keepNext/>
        <w:keepLines/>
        <w:shd w:val="clear" w:color="auto" w:fill="auto"/>
        <w:bidi w:val="0"/>
        <w:spacing w:before="0" w:after="0"/>
        <w:ind w:left="0" w:right="0" w:firstLine="280"/>
      </w:pPr>
      <w:bookmarkStart w:id="658" w:name="bookmark658"/>
      <w:r>
        <w:rPr>
          <w:lang w:val="ru-RU" w:eastAsia="ru-RU" w:bidi="ru-RU"/>
          <w:w w:val="100"/>
          <w:spacing w:val="0"/>
          <w:color w:val="000000"/>
          <w:position w:val="0"/>
        </w:rPr>
        <w:t>Эластическая псевдоксантома (синдром Дарье-Гренблад- Страндберга)</w:t>
      </w:r>
      <w:bookmarkEnd w:id="65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Наследственное системное заболевание, сопровождаю</w:t>
        <w:softHyphen/>
        <w:t>щееся деструкцией соединительной ткани, протекающее с поражением кожи, глаз, сердечно-сосудистой и других систем.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Проявления заболевания могут обнаруживаться с детства, но нередко замечаются впервые в более старшем возрасте. Клиническому выявлению страдания могут способствовать некоторые эндогенные влияния, такие как эндокринные за</w:t>
        <w:softHyphen/>
        <w:t>болевания (диабет, опухоли гипофиза, заболевания щито</w:t>
        <w:softHyphen/>
        <w:t>видной железы и др.), а также пубертатный период.</w:t>
      </w:r>
    </w:p>
    <w:p>
      <w:pPr>
        <w:pStyle w:val="Style30"/>
        <w:widowControl w:val="0"/>
        <w:keepNext w:val="0"/>
        <w:keepLines w:val="0"/>
        <w:shd w:val="clear" w:color="auto" w:fill="auto"/>
        <w:bidi w:val="0"/>
        <w:spacing w:before="0" w:after="0"/>
        <w:ind w:left="0" w:right="0" w:firstLine="280"/>
      </w:pPr>
      <w:r>
        <w:pict>
          <v:shape id="_x0000_s1645" type="#_x0000_t75" style="position:absolute;margin-left:137.3pt;margin-top:736.8pt;width:209.75pt;height:14.9pt;z-index:-125828952;mso-wrap-distance-left:136.8pt;mso-wrap-distance-right:148.1pt;mso-wrap-distance-bottom:10.8pt;mso-position-horizontal-relative:margin;mso-position-vertical-relative:margin" wrapcoords="0 0 21600 0 21600 21600 0 21600 0 0">
            <v:imagedata r:id="rId1032" r:href="rId1033"/>
            <w10:wrap type="topAndBottom" anchorx="margin" anchory="margin"/>
          </v:shape>
        </w:pict>
      </w:r>
      <w:r>
        <w:rPr>
          <w:lang w:val="ru-RU" w:eastAsia="ru-RU" w:bidi="ru-RU"/>
          <w:w w:val="100"/>
          <w:spacing w:val="0"/>
          <w:color w:val="000000"/>
          <w:position w:val="0"/>
        </w:rPr>
        <w:t>Поражение кожи характеризуется образованием мелких желтоватых папул, густо расположенных, образующих ли</w:t>
        <w:softHyphen/>
        <w:t>нейные и сетчатые очаги, иногда сливающихся в бляшки. В пределах очагов кожа вялая, морщинистая, иногда свисает складками. Такие изменения кожи обнаруживаются чаще всего на боковых поверхностях шеи, в подмышечных, пахо-</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вых складках, подключичных областях, на животе, бедрах. Иногда такие образования появляются на слизистой оболоч</w:t>
        <w:softHyphen/>
        <w:t>ке твердого неба, губ, желудка, кишечника, вагины. При ги</w:t>
        <w:softHyphen/>
        <w:t>стологическом исследовании участка измененной кожи, взя - той при биопсии, найдены изменения эластической ткани глубоких слоев, эпидермис и сосочковый слой кожи нор</w:t>
        <w:softHyphen/>
        <w:t>мальные. Количество эластической ткани не увеличено, имеются ограниченные очаги дегенерации и распада, волок</w:t>
        <w:softHyphen/>
        <w:t>на скручены, разорваны, местами утолщены в виде комков.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половины больных обнаруживаются ангиоидные по</w:t>
        <w:softHyphen/>
        <w:t>лосы сетчатки глаз. У 70% больных с ангиоидными полоса</w:t>
        <w:softHyphen/>
        <w:t>ми сетчатки развивается потеря центрального зрения. Большинство офтальмологов расценивает ангиоидные по</w:t>
        <w:softHyphen/>
        <w:t>лосы как трещины и надрывы в эластическом слое стекло</w:t>
        <w:softHyphen/>
        <w:t>видной пластинки (бруховской мембране) сосудистой обо</w:t>
        <w:softHyphen/>
        <w:t>лочки. В результате дегенеративного разрушения эластиче</w:t>
        <w:softHyphen/>
        <w:t>ских волокон стенок сосудов хориоидеи могут наблюдаться кровоизлияния на глазном дне, которые вначале проявля</w:t>
        <w:softHyphen/>
        <w:t>ются скотомами, а затем приводят к полной слепоте.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почек проявляется микро- и макрогематури</w:t>
        <w:softHyphen/>
        <w:t>ей, альбуминурией, сопровождается болями в животе, рво</w:t>
        <w:softHyphen/>
        <w:t>той. Возможны поражения желудочно-кишечного тракта: кровоизлияния в желудок, толстый кишечник.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большинства больных обнаруживается системное по</w:t>
        <w:softHyphen/>
        <w:t>ражение артерий с расстройством кровообращения в соот</w:t>
        <w:softHyphen/>
        <w:t>ветствующих бассейнах. Наиболее часто поражаются сосу</w:t>
        <w:softHyphen/>
        <w:t>ды нижних конечностей, аорты, коронарные и мозговые арте</w:t>
        <w:softHyphen/>
        <w:t>рии. Ведущим проявлением сосудистых нарушений являет</w:t>
        <w:softHyphen/>
        <w:t>ся артериальная гипертензия (особенно повышается диасто</w:t>
        <w:softHyphen/>
        <w:t>лическое давление), сопровождающаяся перемежающейся хромотой, кардиалгиями, головной болью, головокружени</w:t>
        <w:softHyphen/>
        <w:t>ем, транзиторными нарушениями мозгового кровообраще</w:t>
        <w:softHyphen/>
        <w:t>ния. Артериальная гипертензия усугубляется гипоксичес</w:t>
        <w:softHyphen/>
        <w:t>кими изменениями в центральной нервной системе. По</w:t>
        <w:softHyphen/>
        <w:t>вреждение мозговых сосудов на фоне стойкой артериаль</w:t>
        <w:softHyphen/>
        <w:t>ной гипертензии может приводить к инсультам, нервно-ве</w:t>
        <w:softHyphen/>
        <w:t>гетативным и психическим расстройствам.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Гистологически в сосудистой стенке артерий обнаружи</w:t>
        <w:softHyphen/>
        <w:t>ваются дегенеративные изменения эластических волокон с базофильным окрашиванием и инфильтрацией кальцием, гипертрофия мышечной оболочки.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результате поражения коронарных сосудов возможно возникновение приступов стенокардии. Развивающаяся гипертрофия миокарда носит смешанный характер: с одной стороны, это гипертрофия повреждения в ответ на гипо</w:t>
        <w:softHyphen/>
        <w:t>ксию, с другой — результат длительной и выраженной арте</w:t>
        <w:softHyphen/>
        <w:t>риальной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Изменения на ЭКГ в виде нарушения метаболических процессов в миокарде связаны с дефицитом коронарного кровотока (вторично к гипертрофии миокарда) и, возмож</w:t>
        <w:softHyphen/>
        <w:t>но, с поражением сосудистой стенки.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 выявляет симметричную гипертро</w:t>
        <w:softHyphen/>
        <w:t>фию левого желудочка, утолщение эндокарда, пролапс ми</w:t>
        <w:softHyphen/>
        <w:t>трального клапана, не сопровождающийся какими-либо значимыми клиническими проявлениями в детстве.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гистологическом исследовании обнаруживается фиброэластозное утолщение эндокарда преимущественно в левом предсердии. Гистологически в эндокарде выявля</w:t>
        <w:softHyphen/>
        <w:t>ются дезорганизация, фрагментация и кальцификация эла</w:t>
        <w:softHyphen/>
        <w:t>стических волокон.</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Для синдрома Гренблад-Страндберга характерно хрони</w:t>
        <w:softHyphen/>
        <w:t>ческое прогрессирующее течение. Прогноз заболевания определяется распространенностью и локализацией сосу</w:t>
        <w:softHyphen/>
        <w:t>дистых поражений. В некоторых случаях может наступить выздоровление без остаточных явлений.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Эффективного лечения не существует. Рекомендуется назначение витаминотерапии (группы В, Е, А, аскорбино</w:t>
        <w:softHyphen/>
        <w:t>вой кислоты), а также биогенных стимуляторов. Отмечено улучшение со стороны глаз при лечении АКТГ и преднизо- лоном. В лечении артериальной гипертензии используют мочегонные, антиадренергические препараты (клофелин), алкалоиды раувольфии (резерпин), ингибиторы ангиотен- зинпревращающего фермента.</w:t>
      </w:r>
    </w:p>
    <w:p>
      <w:pPr>
        <w:pStyle w:val="Style30"/>
        <w:widowControl w:val="0"/>
        <w:keepNext w:val="0"/>
        <w:keepLines w:val="0"/>
        <w:shd w:val="clear" w:color="auto" w:fill="auto"/>
        <w:bidi w:val="0"/>
        <w:spacing w:before="0" w:after="177"/>
        <w:ind w:left="0" w:right="0" w:firstLine="280"/>
      </w:pPr>
      <w:r>
        <w:rPr>
          <w:lang w:val="ru-RU" w:eastAsia="ru-RU" w:bidi="ru-RU"/>
          <w:w w:val="100"/>
          <w:spacing w:val="0"/>
          <w:color w:val="000000"/>
          <w:position w:val="0"/>
        </w:rPr>
        <w:t>Тип наследования: аутосомно-рецессивный, реже — ау- тосомно-доминантный.</w:t>
      </w:r>
    </w:p>
    <w:p>
      <w:pPr>
        <w:pStyle w:val="Style28"/>
        <w:widowControl w:val="0"/>
        <w:keepNext/>
        <w:keepLines/>
        <w:shd w:val="clear" w:color="auto" w:fill="auto"/>
        <w:bidi w:val="0"/>
        <w:jc w:val="left"/>
        <w:spacing w:before="0" w:after="93" w:line="220" w:lineRule="exact"/>
        <w:ind w:left="0" w:right="0" w:firstLine="0"/>
      </w:pPr>
      <w:bookmarkStart w:id="659" w:name="bookmark659"/>
      <w:r>
        <w:rPr>
          <w:lang w:val="ru-RU" w:eastAsia="ru-RU" w:bidi="ru-RU"/>
          <w:w w:val="100"/>
          <w:spacing w:val="0"/>
          <w:color w:val="000000"/>
          <w:position w:val="0"/>
        </w:rPr>
        <w:t>Хромосомные аномалии</w:t>
      </w:r>
      <w:bookmarkEnd w:id="659"/>
    </w:p>
    <w:p>
      <w:pPr>
        <w:pStyle w:val="Style92"/>
        <w:numPr>
          <w:ilvl w:val="0"/>
          <w:numId w:val="129"/>
        </w:numPr>
        <w:tabs>
          <w:tab w:leader="none" w:pos="478" w:val="left"/>
        </w:tabs>
        <w:widowControl w:val="0"/>
        <w:keepNext/>
        <w:keepLines/>
        <w:shd w:val="clear" w:color="auto" w:fill="auto"/>
        <w:bidi w:val="0"/>
        <w:spacing w:before="0" w:after="0"/>
        <w:ind w:left="0" w:right="0" w:firstLine="280"/>
      </w:pPr>
      <w:bookmarkStart w:id="660" w:name="bookmark660"/>
      <w:r>
        <w:rPr>
          <w:lang w:val="ru-RU" w:eastAsia="ru-RU" w:bidi="ru-RU"/>
          <w:w w:val="100"/>
          <w:spacing w:val="0"/>
          <w:color w:val="000000"/>
          <w:position w:val="0"/>
        </w:rPr>
        <w:t>хромосома</w:t>
      </w:r>
      <w:bookmarkEnd w:id="660"/>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1q32_qter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низкий вес при рождении (&lt;2500 г), широкий лоб, гипоплазия средней части лица, микрогнатия, удли</w:t>
        <w:softHyphen/>
        <w:t>ненные одинакового размера пальцы, крипторхизм, стеноз или атрезия тонкого кишечника, пилоростеноз.</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общий артериальный ствол, де</w:t>
        <w:softHyphen/>
        <w:t>фект межпредсердной перегородки, дефект межжелудочко</w:t>
        <w:softHyphen/>
        <w:t>вой перегородки, открытый артериальный проток, недо</w:t>
        <w:softHyphen/>
        <w:t>статочность митрального клапана, недостаточность трикус</w:t>
        <w:softHyphen/>
        <w:t>пидального клапана, сосудистое кольцо.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1</w:t>
      </w:r>
      <w:r>
        <w:rPr>
          <w:lang w:val="en-US" w:eastAsia="en-US" w:bidi="en-US"/>
          <w:w w:val="100"/>
          <w:spacing w:val="0"/>
          <w:color w:val="000000"/>
          <w:position w:val="0"/>
        </w:rPr>
        <w:t>(q23-q25)</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задержка роста и психомоторного развития, рас</w:t>
        <w:softHyphen/>
        <w:t>щепление мягкого и твердого неба, скелетные аномалии рук.</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комбинированные врожденные пороки сердца.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1q23 </w:t>
      </w:r>
      <w:r>
        <w:rPr>
          <w:lang w:val="ru-RU" w:eastAsia="ru-RU" w:bidi="ru-RU"/>
          <w:w w:val="100"/>
          <w:spacing w:val="0"/>
          <w:color w:val="000000"/>
          <w:position w:val="0"/>
        </w:rPr>
        <w:t xml:space="preserve">или </w:t>
      </w:r>
      <w:r>
        <w:rPr>
          <w:lang w:val="en-US" w:eastAsia="en-US" w:bidi="en-US"/>
          <w:w w:val="100"/>
          <w:spacing w:val="0"/>
          <w:color w:val="000000"/>
          <w:position w:val="0"/>
        </w:rPr>
        <w:t>5_qter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Фенотип: тот же, что и при </w:t>
      </w:r>
      <w:r>
        <w:rPr>
          <w:lang w:val="en-US" w:eastAsia="en-US" w:bidi="en-US"/>
          <w:w w:val="100"/>
          <w:spacing w:val="0"/>
          <w:color w:val="000000"/>
          <w:position w:val="0"/>
        </w:rPr>
        <w:t xml:space="preserve">1q32_qter, </w:t>
      </w:r>
      <w:r>
        <w:rPr>
          <w:lang w:val="ru-RU" w:eastAsia="ru-RU" w:bidi="ru-RU"/>
          <w:w w:val="100"/>
          <w:spacing w:val="0"/>
          <w:color w:val="000000"/>
          <w:position w:val="0"/>
        </w:rPr>
        <w:t>однако висцераль</w:t>
        <w:softHyphen/>
        <w:t>ные аномалии более выражены.</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общий артериальный ствол, от</w:t>
        <w:softHyphen/>
        <w:t>крытый артериальный проток, дефект межпредсердной пе</w:t>
        <w:softHyphen/>
        <w:t>регородки, стеноз аорты.</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1p25_q32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глубоко посаженные глаза, маленькая че</w:t>
        <w:softHyphen/>
        <w:t>люсть, микрогнатия, умственная отсталость.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тетрада Фалло.</w:t>
      </w:r>
    </w:p>
    <w:p>
      <w:pPr>
        <w:pStyle w:val="Style30"/>
        <w:tabs>
          <w:tab w:leader="hyphen" w:pos="1269"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dup(1p31</w:t>
      </w:r>
      <w:r>
        <w:rPr>
          <w:lang w:val="ru-RU" w:eastAsia="ru-RU" w:bidi="ru-RU"/>
          <w:w w:val="100"/>
          <w:spacing w:val="0"/>
          <w:color w:val="000000"/>
          <w:position w:val="0"/>
        </w:rPr>
        <w:tab/>
        <w:t>35)</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билатеральное расщепление мягкого и твердо - го неба, микроцефалия, задержка внутриутробного разви</w:t>
        <w:softHyphen/>
        <w:t>тия, одновременное присутствие внутренних и наружных мужских и женских гениталий.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тетрада Фалло.</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1q4 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брахицефалия, микрогнатия, эпикант, гипоспадия, крипторхизм, умственная отсталость.</w:t>
      </w:r>
    </w:p>
    <w:p>
      <w:pPr>
        <w:pStyle w:val="Style30"/>
        <w:widowControl w:val="0"/>
        <w:keepNext w:val="0"/>
        <w:keepLines w:val="0"/>
        <w:shd w:val="clear" w:color="auto" w:fill="auto"/>
        <w:bidi w:val="0"/>
        <w:spacing w:before="0" w:after="0"/>
        <w:ind w:left="0" w:right="0" w:firstLine="280"/>
      </w:pPr>
      <w:r>
        <w:pict>
          <v:shape id="_x0000_s1646" type="#_x0000_t75" style="position:absolute;margin-left:148.55pt;margin-top:736.8pt;width:209.75pt;height:14.9pt;z-index:-125828951;mso-wrap-distance-left:148.1pt;mso-wrap-distance-right:136.8pt;mso-wrap-distance-bottom:10.8pt;mso-position-horizontal-relative:margin;mso-position-vertical-relative:margin" wrapcoords="0 0 21600 0 21600 21600 0 21600 0 0">
            <v:imagedata r:id="rId1034" r:href="rId1035"/>
            <w10:wrap type="topAndBottom" anchorx="margin" anchory="margin"/>
          </v:shape>
        </w:pict>
      </w:r>
      <w:r>
        <w:rPr>
          <w:lang w:val="ru-RU" w:eastAsia="ru-RU" w:bidi="ru-RU"/>
          <w:w w:val="100"/>
          <w:spacing w:val="0"/>
          <w:color w:val="000000"/>
          <w:position w:val="0"/>
        </w:rPr>
        <w:t>Сердечные аномалии: общий артериальный ствол, де</w:t>
        <w:softHyphen/>
        <w:t>фект межжелудочковой перегородки.</w:t>
      </w:r>
      <w:r>
        <w:br w:type="page"/>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1q43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дисморфии лица, головы, шеи, конечностей, гениталий, задержка умственного и физического развития.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различные ВПС.</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1q34-43 duplicated 1q44 deleted</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низкий вес при рождении, лицевые аномалии, переразгибаемость пальцев.</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различные врожденные дефекты сердца.</w:t>
      </w:r>
    </w:p>
    <w:p>
      <w:pPr>
        <w:pStyle w:val="Style92"/>
        <w:numPr>
          <w:ilvl w:val="0"/>
          <w:numId w:val="129"/>
        </w:numPr>
        <w:tabs>
          <w:tab w:leader="none" w:pos="502" w:val="left"/>
        </w:tabs>
        <w:widowControl w:val="0"/>
        <w:keepNext/>
        <w:keepLines/>
        <w:shd w:val="clear" w:color="auto" w:fill="auto"/>
        <w:bidi w:val="0"/>
        <w:spacing w:before="0" w:after="0"/>
        <w:ind w:left="0" w:right="0" w:firstLine="280"/>
      </w:pPr>
      <w:bookmarkStart w:id="661" w:name="bookmark661"/>
      <w:r>
        <w:rPr>
          <w:lang w:val="ru-RU" w:eastAsia="ru-RU" w:bidi="ru-RU"/>
          <w:w w:val="100"/>
          <w:spacing w:val="0"/>
          <w:color w:val="000000"/>
          <w:position w:val="0"/>
        </w:rPr>
        <w:t>хромосома</w:t>
      </w:r>
      <w:bookmarkEnd w:id="661"/>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2p2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высокий лоб, гипертелоризм, мягкие крылья носа, микрогнатия, маленькая челюсть, арахнодакгилия, мы</w:t>
        <w:softHyphen/>
        <w:t>шечная слабость, сколиоз, дислокация бедер, гипоплазия ге</w:t>
        <w:softHyphen/>
        <w:t>ниталий, гипоспадия, крипторхизм, умственная отсталость.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стеноз аорты, двойное отхожде</w:t>
        <w:softHyphen/>
        <w:t>ние магистральных сосудов от правого желудочка, откры</w:t>
        <w:softHyphen/>
        <w:t>тый артериальный проток.</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2q3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микрогнатия, гипертелоризм, короткий нос, тонкие руки, «вывернутые» ноги, кифоско- лиоз, воронкообразная деформация грудной клетки, ум</w:t>
        <w:softHyphen/>
        <w:t xml:space="preserve">ственная отсталость </w:t>
      </w:r>
      <w:r>
        <w:rPr>
          <w:lang w:val="en-US" w:eastAsia="en-US" w:bidi="en-US"/>
          <w:w w:val="100"/>
          <w:spacing w:val="0"/>
          <w:color w:val="000000"/>
          <w:position w:val="0"/>
        </w:rPr>
        <w:t xml:space="preserve">(IQ </w:t>
      </w:r>
      <w:r>
        <w:rPr>
          <w:lang w:val="ru-RU" w:eastAsia="ru-RU" w:bidi="ru-RU"/>
          <w:w w:val="100"/>
          <w:spacing w:val="0"/>
          <w:color w:val="000000"/>
          <w:position w:val="0"/>
        </w:rPr>
        <w:t>около 50).</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стеноз аорты, коарктация аорты, дефект межжелудочковой перегородки.</w:t>
      </w:r>
    </w:p>
    <w:p>
      <w:pPr>
        <w:pStyle w:val="Style92"/>
        <w:numPr>
          <w:ilvl w:val="0"/>
          <w:numId w:val="129"/>
        </w:numPr>
        <w:tabs>
          <w:tab w:leader="none" w:pos="502" w:val="left"/>
        </w:tabs>
        <w:widowControl w:val="0"/>
        <w:keepNext/>
        <w:keepLines/>
        <w:shd w:val="clear" w:color="auto" w:fill="auto"/>
        <w:bidi w:val="0"/>
        <w:spacing w:before="0" w:after="0"/>
        <w:ind w:left="0" w:right="0" w:firstLine="280"/>
      </w:pPr>
      <w:bookmarkStart w:id="662" w:name="bookmark662"/>
      <w:r>
        <w:rPr>
          <w:lang w:val="ru-RU" w:eastAsia="ru-RU" w:bidi="ru-RU"/>
          <w:w w:val="100"/>
          <w:spacing w:val="0"/>
          <w:color w:val="000000"/>
          <w:position w:val="0"/>
        </w:rPr>
        <w:t>хромосома</w:t>
      </w:r>
      <w:bookmarkEnd w:id="662"/>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3p2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короткий тонкий нос, короткая шея, гипопла</w:t>
        <w:softHyphen/>
        <w:t>зия гениталий, умственная отсталость тяжелой степени.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открытый артериальный проток, дефект межжелудочковой перегородки, дефект межпред</w:t>
        <w:softHyphen/>
        <w:t>сердной перегородки. В редких случаях наблюдается тетра</w:t>
        <w:softHyphen/>
        <w:t>да Фалло.</w:t>
      </w:r>
    </w:p>
    <w:p>
      <w:pPr>
        <w:pStyle w:val="Style30"/>
        <w:widowControl w:val="0"/>
        <w:keepNext w:val="0"/>
        <w:keepLines w:val="0"/>
        <w:shd w:val="clear" w:color="auto" w:fill="auto"/>
        <w:bidi w:val="0"/>
        <w:jc w:val="left"/>
        <w:spacing w:before="0" w:after="0"/>
        <w:ind w:left="500" w:right="0" w:firstLine="0"/>
      </w:pPr>
      <w:r>
        <w:rPr>
          <w:lang w:val="en-US" w:eastAsia="en-US" w:bidi="en-US"/>
          <w:w w:val="100"/>
          <w:spacing w:val="0"/>
          <w:color w:val="000000"/>
          <w:position w:val="0"/>
        </w:rPr>
        <w:t>3p (p21 leads t-3pter)</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брахицефалия, выступающий лоб, квадратной формы лицо, гипертелоризм, эпикант, выступающий фильтр, короткая шея, задержка моторного развития.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дефект межпредсердной перегородки, открытый ар</w:t>
        <w:softHyphen/>
        <w:t>териальный проток, двойное отхождение магистральных сосудов от правого желудочка.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3q2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гипертелоризм, аномалии глаз, короткий нос, короткая шея, короткие конечности, синдактилия, анома</w:t>
        <w:softHyphen/>
        <w:t>лии позвоночника, крипторхизм, гипоплазия мошонки, аномалии почек (поликистоз, аплазия, добавочная почка).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коарктация аорты, дефект межпредсердной перего</w:t>
        <w:softHyphen/>
        <w:t>родки, тетрада Фалло в сочетании с атриовентрикулярной коммуникацией.</w:t>
      </w:r>
    </w:p>
    <w:p>
      <w:pPr>
        <w:pStyle w:val="Style92"/>
        <w:numPr>
          <w:ilvl w:val="0"/>
          <w:numId w:val="129"/>
        </w:numPr>
        <w:tabs>
          <w:tab w:leader="none" w:pos="502" w:val="left"/>
        </w:tabs>
        <w:widowControl w:val="0"/>
        <w:keepNext/>
        <w:keepLines/>
        <w:shd w:val="clear" w:color="auto" w:fill="auto"/>
        <w:bidi w:val="0"/>
        <w:spacing w:before="0" w:after="0"/>
        <w:ind w:left="0" w:right="0" w:firstLine="280"/>
      </w:pPr>
      <w:bookmarkStart w:id="663" w:name="bookmark663"/>
      <w:r>
        <w:rPr>
          <w:lang w:val="ru-RU" w:eastAsia="ru-RU" w:bidi="ru-RU"/>
          <w:w w:val="100"/>
          <w:spacing w:val="0"/>
          <w:color w:val="000000"/>
          <w:position w:val="0"/>
        </w:rPr>
        <w:t>хромосома</w:t>
      </w:r>
      <w:bookmarkEnd w:id="663"/>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4p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низкий рост волос, глубоко посаженные глаза, короткий нос, микрофтальмия, атрезия ануса, сколиоз, аномалии позвоночника, умственная отсталость тяжелая.</w:t>
      </w:r>
    </w:p>
    <w:p>
      <w:pPr>
        <w:pStyle w:val="Style30"/>
        <w:widowControl w:val="0"/>
        <w:keepNext w:val="0"/>
        <w:keepLines w:val="0"/>
        <w:shd w:val="clear" w:color="auto" w:fill="auto"/>
        <w:bidi w:val="0"/>
        <w:spacing w:before="0" w:after="180"/>
        <w:ind w:left="0" w:right="0" w:firstLine="280"/>
      </w:pPr>
      <w:r>
        <w:br w:type="column"/>
      </w:r>
      <w:r>
        <w:rPr>
          <w:lang w:val="ru-RU" w:eastAsia="ru-RU" w:bidi="ru-RU"/>
          <w:w w:val="100"/>
          <w:spacing w:val="0"/>
          <w:color w:val="000000"/>
          <w:position w:val="0"/>
        </w:rPr>
        <w:t>Сердечные аномалии: дефект межпредсердной перего</w:t>
        <w:softHyphen/>
        <w:t>родки, коарктация аорты.</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4q2 </w:t>
      </w:r>
      <w:r>
        <w:rPr>
          <w:lang w:val="ru-RU" w:eastAsia="ru-RU" w:bidi="ru-RU"/>
          <w:w w:val="100"/>
          <w:spacing w:val="0"/>
          <w:color w:val="000000"/>
          <w:position w:val="0"/>
        </w:rPr>
        <w:t xml:space="preserve">и 3 </w:t>
      </w:r>
      <w:r>
        <w:rPr>
          <w:lang w:val="en-US" w:eastAsia="en-US" w:bidi="en-US"/>
          <w:w w:val="100"/>
          <w:spacing w:val="0"/>
          <w:color w:val="000000"/>
          <w:position w:val="0"/>
        </w:rPr>
        <w:t>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брахицефалия, длинный нос, короткие руки, аномалии гениталий, крипторхизм, анома</w:t>
        <w:softHyphen/>
        <w:t>лии почек (гипоплазия, гидронефроз), умственная отста</w:t>
        <w:softHyphen/>
        <w:t xml:space="preserve">лость </w:t>
      </w:r>
      <w:r>
        <w:rPr>
          <w:lang w:val="en-US" w:eastAsia="en-US" w:bidi="en-US"/>
          <w:w w:val="100"/>
          <w:spacing w:val="0"/>
          <w:color w:val="000000"/>
          <w:position w:val="0"/>
        </w:rPr>
        <w:t>(IQ=50).</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коарктация аорты, дефект меж</w:t>
        <w:softHyphen/>
        <w:t>предсердной перегородки, стеноз легочной артерии, общий артериальный ствол, тетрада Фалло, атрезия трикуспидаль</w:t>
        <w:softHyphen/>
        <w:t>ного клапана.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4p Monosomy </w:t>
      </w:r>
      <w:r>
        <w:rPr>
          <w:lang w:val="ru-RU" w:eastAsia="ru-RU" w:bidi="ru-RU"/>
          <w:w w:val="100"/>
          <w:spacing w:val="0"/>
          <w:color w:val="000000"/>
          <w:position w:val="0"/>
        </w:rPr>
        <w:t>(синдром Вольфа)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низкий вес при рождении (&lt;2000 г), микроце</w:t>
        <w:softHyphen/>
        <w:t>фалия, долихоцефалия, гипертелоризм, короткие руки, гипо</w:t>
        <w:softHyphen/>
        <w:t>спадия, крипторхизм, задержка психомоторного развития.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межпредсердной перего</w:t>
        <w:softHyphen/>
        <w:t>родки. В редких случаях: дефект межжелудочковой перего</w:t>
        <w:softHyphen/>
        <w:t>родки, открытый артериальный проток, атрезия аорты, декстрокардия, тетрада Фалло, атрезия трикуспидального клапана.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4q3 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короткий нос, расщепление мягкого и твердо</w:t>
        <w:softHyphen/>
        <w:t>го неба, маленькая челюсть, деформация ног, клинодакти- лия 5 пальца, синдактилия, аномалии почек, умственная отсталость.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тетрада Фалло, дефект межжелу</w:t>
        <w:softHyphen/>
        <w:t>дочковой перегородки, дефект межпредсердной перегород</w:t>
        <w:softHyphen/>
        <w:t>ки, открытый артериальный проток.</w:t>
      </w:r>
    </w:p>
    <w:p>
      <w:pPr>
        <w:pStyle w:val="Style30"/>
        <w:widowControl w:val="0"/>
        <w:keepNext w:val="0"/>
        <w:keepLines w:val="0"/>
        <w:shd w:val="clear" w:color="auto" w:fill="auto"/>
        <w:bidi w:val="0"/>
        <w:jc w:val="left"/>
        <w:spacing w:before="0" w:after="0"/>
        <w:ind w:left="500" w:right="0" w:firstLine="0"/>
      </w:pPr>
      <w:r>
        <w:rPr>
          <w:lang w:val="en-US" w:eastAsia="en-US" w:bidi="en-US"/>
          <w:w w:val="100"/>
          <w:spacing w:val="0"/>
          <w:color w:val="000000"/>
          <w:position w:val="0"/>
        </w:rPr>
        <w:t>4q33 leads t- qter</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краниофациальные дисморфии (высокий лоб, глубокая переносица, приподнятый нос, микрогнатия), за</w:t>
        <w:softHyphen/>
        <w:t>держка умственного и физического развития, аномалии пальцев рук и ног.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Сердечные аномалии: различные септальные пороки.</w:t>
      </w:r>
    </w:p>
    <w:p>
      <w:pPr>
        <w:pStyle w:val="Style30"/>
        <w:numPr>
          <w:ilvl w:val="0"/>
          <w:numId w:val="131"/>
        </w:numPr>
        <w:tabs>
          <w:tab w:leader="none" w:pos="506"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ring</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фенотип больных аналогичен 4р-, более выра</w:t>
        <w:softHyphen/>
        <w:t>жены умственная отсталость и задержка физического раз</w:t>
        <w:softHyphen/>
        <w:t>вития.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w:t>
      </w:r>
    </w:p>
    <w:p>
      <w:pPr>
        <w:pStyle w:val="Style92"/>
        <w:numPr>
          <w:ilvl w:val="0"/>
          <w:numId w:val="131"/>
        </w:numPr>
        <w:tabs>
          <w:tab w:leader="none" w:pos="506" w:val="left"/>
        </w:tabs>
        <w:widowControl w:val="0"/>
        <w:keepNext/>
        <w:keepLines/>
        <w:shd w:val="clear" w:color="auto" w:fill="auto"/>
        <w:bidi w:val="0"/>
        <w:spacing w:before="0" w:after="0"/>
        <w:ind w:left="0" w:right="0" w:firstLine="280"/>
      </w:pPr>
      <w:bookmarkStart w:id="664" w:name="bookmark664"/>
      <w:r>
        <w:rPr>
          <w:lang w:val="ru-RU" w:eastAsia="ru-RU" w:bidi="ru-RU"/>
          <w:w w:val="100"/>
          <w:spacing w:val="0"/>
          <w:color w:val="000000"/>
          <w:position w:val="0"/>
        </w:rPr>
        <w:t>хромосома</w:t>
      </w:r>
      <w:bookmarkEnd w:id="664"/>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5p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агенезия корпус калозум.</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5q3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гипертелоризм, большие гла</w:t>
        <w:softHyphen/>
        <w:t>за, маленький рот, умственная отсталость тяжелая.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межпредсердной перего</w:t>
        <w:softHyphen/>
        <w:t>родки, дефект межжелудочковой перегородки, легочная ги</w:t>
        <w:softHyphen/>
        <w:t>пертензия.</w:t>
      </w:r>
    </w:p>
    <w:p>
      <w:pPr>
        <w:pStyle w:val="Style30"/>
        <w:widowControl w:val="0"/>
        <w:keepNext w:val="0"/>
        <w:keepLines w:val="0"/>
        <w:shd w:val="clear" w:color="auto" w:fill="auto"/>
        <w:bidi w:val="0"/>
        <w:jc w:val="left"/>
        <w:spacing w:before="0" w:after="0"/>
        <w:ind w:left="500" w:right="0" w:firstLine="0"/>
      </w:pPr>
      <w:r>
        <w:rPr>
          <w:lang w:val="en-US" w:eastAsia="en-US" w:bidi="en-US"/>
          <w:w w:val="100"/>
          <w:spacing w:val="0"/>
          <w:color w:val="000000"/>
          <w:position w:val="0"/>
        </w:rPr>
        <w:t>5q33 t-qter</w:t>
      </w:r>
    </w:p>
    <w:p>
      <w:pPr>
        <w:pStyle w:val="Style30"/>
        <w:widowControl w:val="0"/>
        <w:keepNext w:val="0"/>
        <w:keepLines w:val="0"/>
        <w:shd w:val="clear" w:color="auto" w:fill="auto"/>
        <w:bidi w:val="0"/>
        <w:spacing w:before="0" w:after="0"/>
        <w:ind w:left="0" w:right="0" w:firstLine="280"/>
      </w:pPr>
      <w:r>
        <w:pict>
          <v:shape id="_x0000_s1647" type="#_x0000_t75" style="position:absolute;margin-left:137.5pt;margin-top:736.8pt;width:209.75pt;height:14.9pt;z-index:-125828950;mso-wrap-distance-left:136.8pt;mso-wrap-distance-right:147.6pt;mso-wrap-distance-bottom:10.8pt;mso-position-horizontal-relative:margin;mso-position-vertical-relative:margin" wrapcoords="0 0 21600 0 21600 21600 0 21600 0 0">
            <v:imagedata r:id="rId1036" r:href="rId1037"/>
            <w10:wrap type="topAndBottom" anchorx="margin" anchory="margin"/>
          </v:shape>
        </w:pict>
      </w:r>
      <w:r>
        <w:rPr>
          <w:lang w:val="ru-RU" w:eastAsia="ru-RU" w:bidi="ru-RU"/>
          <w:w w:val="100"/>
          <w:spacing w:val="0"/>
          <w:color w:val="000000"/>
          <w:position w:val="0"/>
        </w:rPr>
        <w:t>Фенотип: низко посаженные глаза, мягкая широкая пе</w:t>
        <w:softHyphen/>
        <w:t>реносица, выступающий фильтр, маленькая нижняя че</w:t>
        <w:softHyphen/>
        <w:t>люсть.</w:t>
      </w:r>
      <w:r>
        <w:br w:type="page"/>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дефект межпредсердной перегородки, двойное от</w:t>
        <w:softHyphen/>
        <w:t>хождение магистральных сосудов от правого желудочка.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5p 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или голопрозэнцефалия, ок</w:t>
        <w:softHyphen/>
        <w:t>руглое лицо, гипертелоризм, микрогнатия, патология же</w:t>
        <w:softHyphen/>
        <w:t>лудочно-кишечного тракта (атрезия пищевода), умствен</w:t>
        <w:softHyphen/>
        <w:t xml:space="preserve">ная отсталость </w:t>
      </w:r>
      <w:r>
        <w:rPr>
          <w:lang w:val="en-US" w:eastAsia="en-US" w:bidi="en-US"/>
          <w:w w:val="100"/>
          <w:spacing w:val="0"/>
          <w:color w:val="000000"/>
          <w:position w:val="0"/>
        </w:rPr>
        <w:t>(IQ=20).</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дефект межпредсердной перегородки, открытый ар</w:t>
        <w:softHyphen/>
        <w:t>териальный проток, тетрада Фалло.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Перицентрическая инверсия 5 хромосомы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умственная отсталость.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дилатационная кардиомиопатия, нарушения ритма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Делеция короткого плеча 5 хромосомы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укороченные с синдактилией пальцы, диспла</w:t>
        <w:softHyphen/>
        <w:t>зия тимуса.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комбинированные пороки серд</w:t>
        <w:softHyphen/>
        <w:t>ца: атрезия легочной артерии с дефектом межжелудочковой перегородки, открытый артериальный проток, тетрада Фалло.</w:t>
      </w:r>
    </w:p>
    <w:p>
      <w:pPr>
        <w:pStyle w:val="Style92"/>
        <w:numPr>
          <w:ilvl w:val="0"/>
          <w:numId w:val="131"/>
        </w:numPr>
        <w:tabs>
          <w:tab w:leader="none" w:pos="497" w:val="left"/>
        </w:tabs>
        <w:widowControl w:val="0"/>
        <w:keepNext/>
        <w:keepLines/>
        <w:shd w:val="clear" w:color="auto" w:fill="auto"/>
        <w:bidi w:val="0"/>
        <w:spacing w:before="0" w:after="0"/>
        <w:ind w:left="0" w:right="0" w:firstLine="280"/>
      </w:pPr>
      <w:bookmarkStart w:id="665" w:name="bookmark665"/>
      <w:r>
        <w:rPr>
          <w:lang w:val="ru-RU" w:eastAsia="ru-RU" w:bidi="ru-RU"/>
          <w:w w:val="100"/>
          <w:spacing w:val="0"/>
          <w:color w:val="000000"/>
          <w:position w:val="0"/>
        </w:rPr>
        <w:t>хромосома</w:t>
      </w:r>
      <w:bookmarkEnd w:id="665"/>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6p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лицевые аномали (широкий лоб, гипоплазия средней части лица, гипертелоризм), низкий вес при рожде</w:t>
        <w:softHyphen/>
        <w:t>нии, гипоплазия почек, задержка психомоторного развития.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высокий дефект межжелудочко</w:t>
        <w:softHyphen/>
        <w:t>вой перегородки, синдром Эйзенменгера.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6p2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высокий лоб, блефарофимоз, страбизм, ко</w:t>
        <w:softHyphen/>
        <w:t>роткий нос, низко посаженные глаза, задержка развития, аномалии почек.</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межпредсердной перего</w:t>
        <w:softHyphen/>
        <w:t>родки, дефект межжелудочковой перегородки, открытый артериальный проток.</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6q2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брахицефалия, короткая шея, сколиоз, за</w:t>
        <w:softHyphen/>
        <w:t>держка развития, умственная отсталость тяжелая.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двустворчатый аортальный клапан, преддуктальная коарктация аорты.</w:t>
      </w:r>
    </w:p>
    <w:p>
      <w:pPr>
        <w:pStyle w:val="Style92"/>
        <w:numPr>
          <w:ilvl w:val="0"/>
          <w:numId w:val="131"/>
        </w:numPr>
        <w:tabs>
          <w:tab w:leader="none" w:pos="502" w:val="left"/>
        </w:tabs>
        <w:widowControl w:val="0"/>
        <w:keepNext/>
        <w:keepLines/>
        <w:shd w:val="clear" w:color="auto" w:fill="auto"/>
        <w:bidi w:val="0"/>
        <w:spacing w:before="0" w:after="0"/>
        <w:ind w:left="0" w:right="0" w:firstLine="280"/>
      </w:pPr>
      <w:bookmarkStart w:id="666" w:name="bookmark666"/>
      <w:r>
        <w:rPr>
          <w:lang w:val="ru-RU" w:eastAsia="ru-RU" w:bidi="ru-RU"/>
          <w:w w:val="100"/>
          <w:spacing w:val="0"/>
          <w:color w:val="000000"/>
          <w:position w:val="0"/>
        </w:rPr>
        <w:t>хромосома</w:t>
      </w:r>
      <w:bookmarkEnd w:id="66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Дупликация </w:t>
      </w:r>
      <w:r>
        <w:rPr>
          <w:lang w:val="en-US" w:eastAsia="en-US" w:bidi="en-US"/>
          <w:w w:val="100"/>
          <w:spacing w:val="0"/>
          <w:color w:val="000000"/>
          <w:position w:val="0"/>
        </w:rPr>
        <w:t>7p with t(7;11)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краниоцеребральная асимметрия, ариненце- фалия, краниосиностоз ламбдовидного шва, гипертело</w:t>
        <w:softHyphen/>
        <w:t>ризм, низко посаженные глаза, гипоплазия гениталий.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дисплазия трикуспидального клапана и клапана ле</w:t>
        <w:softHyphen/>
        <w:t>гочной артерии.</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7p2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удлиненная челюсть, гипертелоризм, микро - гнатия, короткий нос, деформации конечностей, умствен</w:t>
        <w:softHyphen/>
        <w:t>ная отсталость.</w:t>
      </w:r>
    </w:p>
    <w:p>
      <w:pPr>
        <w:pStyle w:val="Style30"/>
        <w:widowControl w:val="0"/>
        <w:keepNext w:val="0"/>
        <w:keepLines w:val="0"/>
        <w:shd w:val="clear" w:color="auto" w:fill="auto"/>
        <w:bidi w:val="0"/>
        <w:spacing w:before="0" w:after="180"/>
        <w:ind w:left="0" w:right="0" w:firstLine="280"/>
      </w:pPr>
      <w:r>
        <w:br w:type="column"/>
      </w:r>
      <w:r>
        <w:rPr>
          <w:lang w:val="ru-RU" w:eastAsia="ru-RU" w:bidi="ru-RU"/>
          <w:w w:val="100"/>
          <w:spacing w:val="0"/>
          <w:color w:val="000000"/>
          <w:position w:val="0"/>
        </w:rPr>
        <w:t>Сердечные аномалии: коарктация аорты, дефект межже</w:t>
        <w:softHyphen/>
        <w:t>лудочковой перегородки, тетрада Фалло, полная форма от</w:t>
        <w:softHyphen/>
        <w:t>крытого атриовентрикулярного канала.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7p2 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высокий лоб, гипотелоризм, длинные пальцы с контрактурами, маленький треугольный рот, умственная отсталость.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w:t>
      </w:r>
    </w:p>
    <w:p>
      <w:pPr>
        <w:pStyle w:val="Style30"/>
        <w:tabs>
          <w:tab w:leader="hyphen" w:pos="1461"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[del(7) (pter</w:t>
      </w:r>
      <w:r>
        <w:rPr>
          <w:lang w:val="ru-RU" w:eastAsia="ru-RU" w:bidi="ru-RU"/>
          <w:w w:val="100"/>
          <w:spacing w:val="0"/>
          <w:color w:val="000000"/>
          <w:position w:val="0"/>
        </w:rPr>
        <w:tab/>
      </w:r>
      <w:r>
        <w:rPr>
          <w:lang w:val="en-US" w:eastAsia="en-US" w:bidi="en-US"/>
          <w:w w:val="100"/>
          <w:spacing w:val="0"/>
          <w:color w:val="000000"/>
          <w:position w:val="0"/>
        </w:rPr>
        <w:t>q34:)]</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низкий вес при рождении, гипертелоризм, расщепление губы и неба, крипторхизм.</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комплексные ВПС: дефект меж</w:t>
        <w:softHyphen/>
        <w:t>желудочковой перегородки с гипоплазией легочной арте</w:t>
        <w:softHyphen/>
        <w:t>рии.</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7q1 </w:t>
      </w:r>
      <w:r>
        <w:rPr>
          <w:lang w:val="ru-RU" w:eastAsia="ru-RU" w:bidi="ru-RU"/>
          <w:w w:val="100"/>
          <w:spacing w:val="0"/>
          <w:color w:val="000000"/>
          <w:position w:val="0"/>
        </w:rPr>
        <w:t xml:space="preserve">и </w:t>
      </w:r>
      <w:r>
        <w:rPr>
          <w:lang w:val="en-US" w:eastAsia="en-US" w:bidi="en-US"/>
          <w:w w:val="100"/>
          <w:spacing w:val="0"/>
          <w:color w:val="000000"/>
          <w:position w:val="0"/>
        </w:rPr>
        <w:t>7q2 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брахицефалия, большой рот, длинная шея, ум</w:t>
        <w:softHyphen/>
        <w:t>ственная отсталость тяжелая.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в сочетании с инфундибулярным стенозом легочной артерии, гипоплазия легочной артерии.</w:t>
      </w:r>
    </w:p>
    <w:p>
      <w:pPr>
        <w:pStyle w:val="Style30"/>
        <w:numPr>
          <w:ilvl w:val="0"/>
          <w:numId w:val="133"/>
        </w:numPr>
        <w:tabs>
          <w:tab w:leader="none" w:pos="717" w:val="left"/>
        </w:tabs>
        <w:widowControl w:val="0"/>
        <w:keepNext w:val="0"/>
        <w:keepLines w:val="0"/>
        <w:shd w:val="clear" w:color="auto" w:fill="auto"/>
        <w:bidi w:val="0"/>
        <w:spacing w:before="0" w:after="0"/>
        <w:ind w:left="500" w:right="0" w:firstLine="0"/>
      </w:pPr>
      <w:r>
        <w:rPr>
          <w:lang w:val="en-US" w:eastAsia="en-US" w:bidi="en-US"/>
          <w:w w:val="100"/>
          <w:spacing w:val="0"/>
          <w:color w:val="000000"/>
          <w:position w:val="0"/>
        </w:rPr>
        <w:t>(p13 leads t-p21)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эпилепсия.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w:t>
      </w:r>
    </w:p>
    <w:p>
      <w:pPr>
        <w:pStyle w:val="Style30"/>
        <w:tabs>
          <w:tab w:leader="hyphen" w:pos="923"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7p21</w:t>
      </w:r>
      <w:r>
        <w:rPr>
          <w:lang w:val="ru-RU" w:eastAsia="ru-RU" w:bidi="ru-RU"/>
          <w:w w:val="100"/>
          <w:spacing w:val="0"/>
          <w:color w:val="000000"/>
          <w:position w:val="0"/>
        </w:rPr>
        <w:tab/>
      </w:r>
      <w:r>
        <w:rPr>
          <w:lang w:val="en-US" w:eastAsia="en-US" w:bidi="en-US"/>
          <w:w w:val="100"/>
          <w:spacing w:val="0"/>
          <w:color w:val="000000"/>
          <w:position w:val="0"/>
        </w:rPr>
        <w:t>pter</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тригоноцефалия с краниосиностозом, атрезия ануса, высокое небо, легкая задержка психомоторного раз</w:t>
        <w:softHyphen/>
        <w:t>вития.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межпредсердной перего</w:t>
        <w:softHyphen/>
        <w:t>родки.</w:t>
      </w:r>
    </w:p>
    <w:p>
      <w:pPr>
        <w:pStyle w:val="Style92"/>
        <w:numPr>
          <w:ilvl w:val="0"/>
          <w:numId w:val="133"/>
        </w:numPr>
        <w:tabs>
          <w:tab w:leader="none" w:pos="502" w:val="left"/>
        </w:tabs>
        <w:widowControl w:val="0"/>
        <w:keepNext/>
        <w:keepLines/>
        <w:shd w:val="clear" w:color="auto" w:fill="auto"/>
        <w:bidi w:val="0"/>
        <w:spacing w:before="0" w:after="0"/>
        <w:ind w:left="0" w:right="0" w:firstLine="280"/>
      </w:pPr>
      <w:bookmarkStart w:id="667" w:name="bookmark667"/>
      <w:r>
        <w:rPr>
          <w:lang w:val="ru-RU" w:eastAsia="ru-RU" w:bidi="ru-RU"/>
          <w:w w:val="100"/>
          <w:spacing w:val="0"/>
          <w:color w:val="000000"/>
          <w:position w:val="0"/>
        </w:rPr>
        <w:t>хромосома</w:t>
      </w:r>
      <w:bookmarkEnd w:id="66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8 </w:t>
      </w:r>
      <w:r>
        <w:rPr>
          <w:lang w:val="en-US" w:eastAsia="en-US" w:bidi="en-US"/>
          <w:w w:val="100"/>
          <w:spacing w:val="0"/>
          <w:color w:val="000000"/>
          <w:position w:val="0"/>
        </w:rPr>
        <w:t xml:space="preserve">Trisomy </w:t>
      </w:r>
      <w:r>
        <w:rPr>
          <w:lang w:val="ru-RU" w:eastAsia="ru-RU" w:bidi="ru-RU"/>
          <w:w w:val="100"/>
          <w:spacing w:val="0"/>
          <w:color w:val="000000"/>
          <w:position w:val="0"/>
        </w:rPr>
        <w:t xml:space="preserve">(синдром </w:t>
      </w:r>
      <w:r>
        <w:rPr>
          <w:lang w:val="en-US" w:eastAsia="en-US" w:bidi="en-US"/>
          <w:w w:val="100"/>
          <w:spacing w:val="0"/>
          <w:color w:val="000000"/>
          <w:position w:val="0"/>
        </w:rPr>
        <w:t>Warkany)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Фенотип: чаще страдают мальчики, удлиненное лицо, длинные руки, деформация ног, высокое небо, короткая шея, умственная отсталость </w:t>
      </w:r>
      <w:r>
        <w:rPr>
          <w:lang w:val="en-US" w:eastAsia="en-US" w:bidi="en-US"/>
          <w:w w:val="100"/>
          <w:spacing w:val="0"/>
          <w:color w:val="000000"/>
          <w:position w:val="0"/>
        </w:rPr>
        <w:t xml:space="preserve">(IQ=40-75), </w:t>
      </w:r>
      <w:r>
        <w:rPr>
          <w:lang w:val="ru-RU" w:eastAsia="ru-RU" w:bidi="ru-RU"/>
          <w:w w:val="100"/>
          <w:spacing w:val="0"/>
          <w:color w:val="000000"/>
          <w:position w:val="0"/>
        </w:rPr>
        <w:t>сколиоз, длинные или короткие пальцы с контрактурами, гипоплазия генита</w:t>
        <w:softHyphen/>
        <w:t>лий, аномалии почек и мочеточников.</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открытый артериальный проток, стеноз легочной артерии, коарктация аорты, аномальный дренаж легочных вен тотальный, общий артериальный ствол.</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8p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длинное туловище с контрактурами, малень</w:t>
        <w:softHyphen/>
        <w:t>кий половой член, крипторхизм, умственная отсталость тя</w:t>
        <w:softHyphen/>
        <w:t>желая.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межпредсердной перего</w:t>
        <w:softHyphen/>
        <w:t>родки, дефект межжелудочковой перегородки, коарктация аорты, атрезия митрального клапана в сочетании с ано</w:t>
        <w:softHyphen/>
        <w:t>мальным дренажем легочных вен.</w:t>
      </w:r>
    </w:p>
    <w:p>
      <w:pPr>
        <w:pStyle w:val="Style30"/>
        <w:numPr>
          <w:ilvl w:val="0"/>
          <w:numId w:val="131"/>
        </w:numPr>
        <w:tabs>
          <w:tab w:leader="none" w:pos="717" w:val="left"/>
        </w:tabs>
        <w:widowControl w:val="0"/>
        <w:keepNext w:val="0"/>
        <w:keepLines w:val="0"/>
        <w:shd w:val="clear" w:color="auto" w:fill="auto"/>
        <w:bidi w:val="0"/>
        <w:spacing w:before="0" w:after="0"/>
        <w:ind w:left="500" w:right="0" w:firstLine="0"/>
      </w:pPr>
      <w:r>
        <w:rPr>
          <w:lang w:val="en-US" w:eastAsia="en-US" w:bidi="en-US"/>
          <w:w w:val="100"/>
          <w:spacing w:val="0"/>
          <w:color w:val="000000"/>
          <w:position w:val="0"/>
        </w:rPr>
        <w:t>(p12 leads t-pter) t(8:15)(p12:q25)</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задержка развития, дисморфический статус, скелетные аномалии.</w:t>
      </w:r>
    </w:p>
    <w:p>
      <w:pPr>
        <w:pStyle w:val="Style30"/>
        <w:widowControl w:val="0"/>
        <w:keepNext w:val="0"/>
        <w:keepLines w:val="0"/>
        <w:shd w:val="clear" w:color="auto" w:fill="auto"/>
        <w:bidi w:val="0"/>
        <w:spacing w:before="0" w:after="0"/>
        <w:ind w:left="0" w:right="0" w:firstLine="280"/>
      </w:pPr>
      <w:r>
        <w:pict>
          <v:shape id="_x0000_s1648" type="#_x0000_t75" style="position:absolute;margin-left:148.55pt;margin-top:736.8pt;width:209.75pt;height:14.9pt;z-index:-125828949;mso-wrap-distance-left:148.1pt;mso-wrap-distance-right:136.8pt;mso-wrap-distance-bottom:10.8pt;mso-position-horizontal-relative:margin;mso-position-vertical-relative:margin" wrapcoords="0 0 21600 0 21600 21600 0 21600 0 0">
            <v:imagedata r:id="rId1038" r:href="rId1039"/>
            <w10:wrap type="topAndBottom" anchorx="margin" anchory="margin"/>
          </v:shape>
        </w:pict>
      </w:r>
      <w:r>
        <w:rPr>
          <w:lang w:val="ru-RU" w:eastAsia="ru-RU" w:bidi="ru-RU"/>
          <w:w w:val="100"/>
          <w:spacing w:val="0"/>
          <w:color w:val="000000"/>
          <w:position w:val="0"/>
        </w:rPr>
        <w:t>Сердечные аномалии: комбинированные пороки сердца.</w:t>
      </w:r>
      <w:r>
        <w:br w:type="page"/>
      </w:r>
    </w:p>
    <w:p>
      <w:pPr>
        <w:pStyle w:val="Style30"/>
        <w:tabs>
          <w:tab w:leader="hyphen" w:pos="1058"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8p21.1</w:t>
      </w:r>
      <w:r>
        <w:rPr>
          <w:lang w:val="ru-RU" w:eastAsia="ru-RU" w:bidi="ru-RU"/>
          <w:w w:val="100"/>
          <w:spacing w:val="0"/>
          <w:color w:val="000000"/>
          <w:position w:val="0"/>
        </w:rPr>
        <w:tab/>
      </w:r>
      <w:r>
        <w:rPr>
          <w:lang w:val="en-US" w:eastAsia="en-US" w:bidi="en-US"/>
          <w:w w:val="100"/>
          <w:spacing w:val="0"/>
          <w:color w:val="000000"/>
          <w:position w:val="0"/>
        </w:rPr>
        <w:t>8pter</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задержка постнатального развития, микроце</w:t>
        <w:softHyphen/>
        <w:t>фалия, умственная отсталость, эпикант, аномалия глаз, ко</w:t>
        <w:softHyphen/>
        <w:t>роткая шея.</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Сердечные аномалии: комбинированные пороки сердца.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8q2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выступающий лоб, гипертелоризм, микрогна- тия, гипоплазия гениталий, удлиненная грудная клетка, умственная отсталость.</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Сердечные аномалии: дефект межжелудочковой перего</w:t>
        <w:softHyphen/>
        <w:t>родки, стеноз легочной артерии.</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8p2 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умственная отсталость различной степени вы</w:t>
        <w:softHyphen/>
        <w:t>раженности, аномалии лица и висцеральная патология не характерны.</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Сердечные аномалии: стеноз легочной артерии и/или в сочетании с дефектом межжелудочковой перегородки, от</w:t>
        <w:softHyphen/>
        <w:t>крытый атриовентрикулярный канал.</w:t>
      </w:r>
    </w:p>
    <w:p>
      <w:pPr>
        <w:pStyle w:val="Style30"/>
        <w:numPr>
          <w:ilvl w:val="0"/>
          <w:numId w:val="135"/>
        </w:numPr>
        <w:tabs>
          <w:tab w:leader="none" w:pos="497"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[inv(8)(p23q22)]</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задержка умственного и физического разви</w:t>
        <w:softHyphen/>
        <w:t>тия, лицевые дисморфии, крипторхизм.</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Сердечные аномалии: различные ВПС.</w:t>
      </w:r>
    </w:p>
    <w:p>
      <w:pPr>
        <w:pStyle w:val="Style92"/>
        <w:numPr>
          <w:ilvl w:val="0"/>
          <w:numId w:val="135"/>
        </w:numPr>
        <w:tabs>
          <w:tab w:leader="none" w:pos="497" w:val="left"/>
        </w:tabs>
        <w:widowControl w:val="0"/>
        <w:keepNext/>
        <w:keepLines/>
        <w:shd w:val="clear" w:color="auto" w:fill="auto"/>
        <w:bidi w:val="0"/>
        <w:spacing w:before="0" w:after="0"/>
        <w:ind w:left="0" w:right="0" w:firstLine="280"/>
      </w:pPr>
      <w:bookmarkStart w:id="668" w:name="bookmark668"/>
      <w:r>
        <w:rPr>
          <w:lang w:val="ru-RU" w:eastAsia="ru-RU" w:bidi="ru-RU"/>
          <w:w w:val="100"/>
          <w:spacing w:val="0"/>
          <w:color w:val="000000"/>
          <w:position w:val="0"/>
        </w:rPr>
        <w:t>хромосома</w:t>
      </w:r>
      <w:bookmarkEnd w:id="668"/>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9Trisomy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глубоко посаженные глаза, маленький подбородок, гипоплазия гениталий, умственная отсталость, аномалии мозга, скелетные аномалии (дислока</w:t>
        <w:softHyphen/>
        <w:t>ция бедер, брахидактилия).</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Сердечные аномалии: открытый артериальный проток, дефект межжелудочковой перегородки, атрезия легочной артерии, двойное отхождение магистральных сосудов от правого желудочка, коарктация аорты, открытый атриовен</w:t>
        <w:softHyphen/>
        <w:t>трикулярный канал.</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9p Tetrasomy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дисморфии лица, микро- или гидроцефалия, аномалии почек, скелетные аномалии (дислокация бедер).</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Сердечные аномалии: дефект межжелудочковой перего</w:t>
        <w:softHyphen/>
        <w:t>родки, стеноз легочной артерии, гипоплазия легочной ар</w:t>
        <w:softHyphen/>
        <w:t>терии.</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9q3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тяжелое отставание в умственном и физичес</w:t>
        <w:softHyphen/>
        <w:t>ком развитии, маленькое лицо, клювовидный нос, длин</w:t>
        <w:softHyphen/>
        <w:t>ные пальцы, слабое развитие мышц.</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Сердечные аномалии: дефект межжелудочковой перего</w:t>
        <w:softHyphen/>
        <w:t>родки, тетрада Фалло, двойная дуга аорты.</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9p2 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тригоноцефалия, длинные руки, низко поса</w:t>
        <w:softHyphen/>
        <w:t>женные глаза, гипоплазия гениталий, умственная отста</w:t>
        <w:softHyphen/>
        <w:t>лость.</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Сердечные аномалии: дефект межжелудочковой перего</w:t>
        <w:softHyphen/>
        <w:t>родки, открытый артериальный проток, стеноз легочной артерии.</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Ring </w:t>
      </w:r>
      <w:r>
        <w:rPr>
          <w:lang w:val="ru-RU" w:eastAsia="ru-RU" w:bidi="ru-RU"/>
          <w:w w:val="100"/>
          <w:spacing w:val="0"/>
          <w:color w:val="000000"/>
          <w:position w:val="0"/>
        </w:rPr>
        <w:t>9</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тригоноцефалия, длинные ру</w:t>
        <w:softHyphen/>
        <w:t>ки, ретрогнатия, умственная отсталость.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Сердечные аномалии: тетрада Фалло.</w:t>
      </w:r>
    </w:p>
    <w:p>
      <w:pPr>
        <w:pStyle w:val="Style92"/>
        <w:numPr>
          <w:ilvl w:val="0"/>
          <w:numId w:val="135"/>
        </w:numPr>
        <w:tabs>
          <w:tab w:leader="none" w:pos="578" w:val="left"/>
        </w:tabs>
        <w:widowControl w:val="0"/>
        <w:keepNext/>
        <w:keepLines/>
        <w:shd w:val="clear" w:color="auto" w:fill="auto"/>
        <w:bidi w:val="0"/>
        <w:spacing w:before="0" w:after="0"/>
        <w:ind w:left="0" w:right="0" w:firstLine="280"/>
      </w:pPr>
      <w:r>
        <w:br w:type="column"/>
      </w:r>
      <w:bookmarkStart w:id="669" w:name="bookmark669"/>
      <w:r>
        <w:rPr>
          <w:lang w:val="ru-RU" w:eastAsia="ru-RU" w:bidi="ru-RU"/>
          <w:w w:val="100"/>
          <w:spacing w:val="0"/>
          <w:color w:val="000000"/>
          <w:position w:val="0"/>
        </w:rPr>
        <w:t>хромосома</w:t>
      </w:r>
      <w:bookmarkEnd w:id="669"/>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10p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тяжелое отставание в умственном и физичес</w:t>
        <w:softHyphen/>
        <w:t>ком развитии, долихоцефалия, мышечная гипотония, ко- лобома, аномалии почек.</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коарктация аорты, открытый ар</w:t>
        <w:softHyphen/>
        <w:t>териальный проток, декстрокардия.</w:t>
      </w:r>
    </w:p>
    <w:p>
      <w:pPr>
        <w:pStyle w:val="Style30"/>
        <w:widowControl w:val="0"/>
        <w:keepNext w:val="0"/>
        <w:keepLines w:val="0"/>
        <w:shd w:val="clear" w:color="auto" w:fill="auto"/>
        <w:bidi w:val="0"/>
        <w:jc w:val="left"/>
        <w:spacing w:before="0" w:after="0"/>
        <w:ind w:left="520" w:right="0" w:firstLine="0"/>
      </w:pPr>
      <w:r>
        <w:rPr>
          <w:lang w:val="en-US" w:eastAsia="en-US" w:bidi="en-US"/>
          <w:w w:val="100"/>
          <w:spacing w:val="0"/>
          <w:color w:val="000000"/>
          <w:position w:val="0"/>
        </w:rPr>
        <w:t>10p13 leads t- pter 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антимонголоидный разрез глаз, птоз, эпикант, низко посаженные глаза, микрогнатия, мягкая переносица, аномалии пальцев рук и ног, аномалии мочевыделительной системы, задержка психомоторного и физического разви</w:t>
        <w:softHyphen/>
        <w:t>тия.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септальные дефекты.</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10q2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тяжелое отставание в умственном и физичес</w:t>
        <w:softHyphen/>
        <w:t>ком развитии, аномалии почек.</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межпредсердной перего</w:t>
        <w:softHyphen/>
        <w:t>родки, дефект межжелудочковой перегородки, атрезия ле</w:t>
        <w:softHyphen/>
        <w:t>гочной артерии, тетрада Фалло, декстрокардия.</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del 10q</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краниофациальный дисморфизм, задержка умственного развития.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Ring </w:t>
      </w:r>
      <w:r>
        <w:rPr>
          <w:lang w:val="ru-RU" w:eastAsia="ru-RU" w:bidi="ru-RU"/>
          <w:w w:val="100"/>
          <w:spacing w:val="0"/>
          <w:color w:val="000000"/>
          <w:position w:val="0"/>
        </w:rPr>
        <w:t>10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нет характерного фенотипа.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врожденная митральная недоста</w:t>
        <w:softHyphen/>
        <w:t>точность, суправентрикулярная тахикардия.</w:t>
      </w:r>
    </w:p>
    <w:p>
      <w:pPr>
        <w:pStyle w:val="Style92"/>
        <w:numPr>
          <w:ilvl w:val="0"/>
          <w:numId w:val="135"/>
        </w:numPr>
        <w:tabs>
          <w:tab w:leader="none" w:pos="578" w:val="left"/>
        </w:tabs>
        <w:widowControl w:val="0"/>
        <w:keepNext/>
        <w:keepLines/>
        <w:shd w:val="clear" w:color="auto" w:fill="auto"/>
        <w:bidi w:val="0"/>
        <w:spacing w:before="0" w:after="0"/>
        <w:ind w:left="0" w:right="0" w:firstLine="280"/>
      </w:pPr>
      <w:bookmarkStart w:id="670" w:name="bookmark670"/>
      <w:r>
        <w:rPr>
          <w:lang w:val="ru-RU" w:eastAsia="ru-RU" w:bidi="ru-RU"/>
          <w:w w:val="100"/>
          <w:spacing w:val="0"/>
          <w:color w:val="000000"/>
          <w:position w:val="0"/>
        </w:rPr>
        <w:t>хромосома</w:t>
      </w:r>
      <w:bookmarkEnd w:id="67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11р </w:t>
      </w:r>
      <w:r>
        <w:rPr>
          <w:lang w:val="en-US" w:eastAsia="en-US" w:bidi="en-US"/>
          <w:w w:val="100"/>
          <w:spacing w:val="0"/>
          <w:color w:val="000000"/>
          <w:position w:val="0"/>
        </w:rPr>
        <w:t>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мышечная гипотония, переразгибаемость сус</w:t>
        <w:softHyphen/>
        <w:t>тавов, макроглоссия, гепатоспленомегалия.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аневризма межпредсердной пере</w:t>
        <w:softHyphen/>
        <w:t>городки.</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del(11)(q23)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задержка внутриутробного развития, чаще страдают девочки, краниофациальные аномалии (отсут</w:t>
        <w:softHyphen/>
        <w:t>ствие фильтра), ортопедические аномалии (контрактуры больших суставов), пигментация кожи.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патология грудной аорты, сеп</w:t>
        <w:softHyphen/>
        <w:t>тальные дефекты, общий артериальный ствол.</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del(11)(p15.1p12)</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включает триаду признаков: аниридия, дефи</w:t>
        <w:softHyphen/>
        <w:t>цит каталазы и гипертрофическая кардиомиопатия.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гипертрофическая кардиомио</w:t>
        <w:softHyphen/>
        <w:t>патия.</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11q2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лунообразная форма лица, короткий нос, длинный выступающий фильтр, микроретрогнатия, сгиба</w:t>
        <w:softHyphen/>
        <w:t>тельные контрактуры конечностей.</w:t>
      </w:r>
    </w:p>
    <w:p>
      <w:pPr>
        <w:pStyle w:val="Style30"/>
        <w:widowControl w:val="0"/>
        <w:keepNext w:val="0"/>
        <w:keepLines w:val="0"/>
        <w:shd w:val="clear" w:color="auto" w:fill="auto"/>
        <w:bidi w:val="0"/>
        <w:spacing w:before="0" w:after="0"/>
        <w:ind w:left="0" w:right="0" w:firstLine="280"/>
      </w:pPr>
      <w:r>
        <w:pict>
          <v:shape id="_x0000_s1649" type="#_x0000_t75" style="position:absolute;margin-left:137.4pt;margin-top:736.8pt;width:209.75pt;height:14.9pt;z-index:-125828948;mso-wrap-distance-left:136.8pt;mso-wrap-distance-right:147.85pt;mso-wrap-distance-bottom:10.8pt;mso-position-horizontal-relative:margin;mso-position-vertical-relative:margin" wrapcoords="0 0 21600 0 21600 21600 0 21600 0 0">
            <v:imagedata r:id="rId1040" r:href="rId1041"/>
            <w10:wrap type="topAndBottom" anchorx="margin" anchory="margin"/>
          </v:shape>
        </w:pict>
      </w:r>
      <w:r>
        <w:rPr>
          <w:lang w:val="ru-RU" w:eastAsia="ru-RU" w:bidi="ru-RU"/>
          <w:w w:val="100"/>
          <w:spacing w:val="0"/>
          <w:color w:val="000000"/>
          <w:position w:val="0"/>
        </w:rPr>
        <w:t>Сердечные аномалии: дефект межжелудочковой перего</w:t>
        <w:softHyphen/>
        <w:t>родки, открытый артериальный проток, гипоплазия право</w:t>
        <w:softHyphen/>
        <w:t>го желудочка, транспозиция магистральных сосудов.</w:t>
      </w:r>
      <w:r>
        <w:br w:type="page"/>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11q Trisomy </w:t>
      </w:r>
      <w:r>
        <w:rPr>
          <w:lang w:val="ru-RU" w:eastAsia="ru-RU" w:bidi="ru-RU"/>
          <w:w w:val="100"/>
          <w:spacing w:val="0"/>
          <w:color w:val="000000"/>
          <w:position w:val="0"/>
        </w:rPr>
        <w:t xml:space="preserve">с </w:t>
      </w:r>
      <w:r>
        <w:rPr>
          <w:lang w:val="en-US" w:eastAsia="en-US" w:bidi="en-US"/>
          <w:w w:val="100"/>
          <w:spacing w:val="0"/>
          <w:color w:val="000000"/>
          <w:position w:val="0"/>
        </w:rPr>
        <w:t>t(11:22)</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широкое лицо, длинный вы</w:t>
        <w:softHyphen/>
        <w:t>ступающий фильтр, микроретрогнатия, гипоплазия генита</w:t>
        <w:softHyphen/>
        <w:t>лий, атрезия или стеноз ануса, задержка развития, умствен</w:t>
        <w:softHyphen/>
        <w:t>ная отсталость выраженная.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общий артериальный ствол, дефект межпредсердной перегородки, открытый артериальный про</w:t>
        <w:softHyphen/>
        <w:t>ток, стеноз легочной артерии, атрезия трикуспидального клапана, коарктация аорты, клапанный стеноз аорты.</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11q2 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тригоноцефалия, широкая переносица, низко посаженные глаза, гипертелоризм, деформации конечнос</w:t>
        <w:softHyphen/>
        <w:t>тей, задержка развития, умственная отсталость тяжелая.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Реже встречаются: транспозиция магистральных со</w:t>
        <w:softHyphen/>
        <w:t>судов, единственный желудочек, общий артериальный ствол, тетрада Фалло, гипоплазия левого желудочка с атре- зией митрального клапана.</w:t>
      </w:r>
    </w:p>
    <w:p>
      <w:pPr>
        <w:pStyle w:val="Style92"/>
        <w:numPr>
          <w:ilvl w:val="0"/>
          <w:numId w:val="135"/>
        </w:numPr>
        <w:tabs>
          <w:tab w:leader="none" w:pos="578" w:val="left"/>
        </w:tabs>
        <w:widowControl w:val="0"/>
        <w:keepNext/>
        <w:keepLines/>
        <w:shd w:val="clear" w:color="auto" w:fill="auto"/>
        <w:bidi w:val="0"/>
        <w:spacing w:before="0" w:after="0"/>
        <w:ind w:left="0" w:right="0" w:firstLine="280"/>
      </w:pPr>
      <w:bookmarkStart w:id="671" w:name="bookmark671"/>
      <w:r>
        <w:rPr>
          <w:lang w:val="ru-RU" w:eastAsia="ru-RU" w:bidi="ru-RU"/>
          <w:w w:val="100"/>
          <w:spacing w:val="0"/>
          <w:color w:val="000000"/>
          <w:position w:val="0"/>
        </w:rPr>
        <w:t>хромосома</w:t>
      </w:r>
      <w:bookmarkEnd w:id="671"/>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12p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высокий лоб, короткий нос, плоское лицо, тучное тело, мышечная гипотония, умственная отсталость тяжелая.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двойное отхождение магистраль</w:t>
        <w:softHyphen/>
        <w:t>ных сосудов от правого желудочка, атрезия митрального клапана, гипоплазия левого желудочка.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12q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расщепление губы и неба.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12q2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большая голова, маленький подбородок, корот</w:t>
        <w:softHyphen/>
        <w:t>кий фильтр, короткие шея и конечности, аномалии почек.</w:t>
      </w:r>
    </w:p>
    <w:p>
      <w:pPr>
        <w:pStyle w:val="Style30"/>
        <w:widowControl w:val="0"/>
        <w:keepNext w:val="0"/>
        <w:keepLines w:val="0"/>
        <w:shd w:val="clear" w:color="auto" w:fill="auto"/>
        <w:bidi w:val="0"/>
        <w:spacing w:before="0" w:after="209"/>
        <w:ind w:left="0" w:right="0" w:firstLine="280"/>
      </w:pPr>
      <w:r>
        <w:rPr>
          <w:lang w:val="ru-RU" w:eastAsia="ru-RU" w:bidi="ru-RU"/>
          <w:w w:val="100"/>
          <w:spacing w:val="0"/>
          <w:color w:val="000000"/>
          <w:position w:val="0"/>
        </w:rPr>
        <w:t>Сердечные аномалии: открытый артериальный проток.</w:t>
      </w:r>
    </w:p>
    <w:p>
      <w:pPr>
        <w:pStyle w:val="Style30"/>
        <w:widowControl w:val="0"/>
        <w:keepNext w:val="0"/>
        <w:keepLines w:val="0"/>
        <w:shd w:val="clear" w:color="auto" w:fill="auto"/>
        <w:bidi w:val="0"/>
        <w:spacing w:before="0" w:after="0" w:line="180" w:lineRule="exact"/>
        <w:ind w:left="0" w:right="0" w:firstLine="280"/>
      </w:pPr>
      <w:r>
        <w:rPr>
          <w:lang w:val="en-US" w:eastAsia="en-US" w:bidi="en-US"/>
          <w:w w:val="100"/>
          <w:spacing w:val="0"/>
          <w:color w:val="000000"/>
          <w:position w:val="0"/>
        </w:rPr>
        <w:t>12p 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узкий лоб, микрогнатия, низ</w:t>
        <w:softHyphen/>
        <w:t>ко посаженные глаза, задержка развития, умственная от</w:t>
        <w:softHyphen/>
        <w:t>сталость.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коарктация аорты.</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Mosaic tetrasomy 12p. (Pallister mosaic syndrome, Teschler- Nicola/Killian syndrome)</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дисморфический синдром, включающий ли</w:t>
        <w:softHyphen/>
        <w:t>цевые, костные аномалии.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гипертрофическая кардиомиопатия.</w:t>
      </w:r>
    </w:p>
    <w:p>
      <w:pPr>
        <w:pStyle w:val="Style92"/>
        <w:numPr>
          <w:ilvl w:val="0"/>
          <w:numId w:val="135"/>
        </w:numPr>
        <w:tabs>
          <w:tab w:leader="none" w:pos="578" w:val="left"/>
        </w:tabs>
        <w:widowControl w:val="0"/>
        <w:keepNext/>
        <w:keepLines/>
        <w:shd w:val="clear" w:color="auto" w:fill="auto"/>
        <w:bidi w:val="0"/>
        <w:spacing w:before="0" w:after="0"/>
        <w:ind w:left="0" w:right="0" w:firstLine="280"/>
      </w:pPr>
      <w:bookmarkStart w:id="672" w:name="bookmark672"/>
      <w:r>
        <w:rPr>
          <w:lang w:val="ru-RU" w:eastAsia="ru-RU" w:bidi="ru-RU"/>
          <w:w w:val="100"/>
          <w:spacing w:val="0"/>
          <w:color w:val="000000"/>
          <w:position w:val="0"/>
        </w:rPr>
        <w:t>хромосома</w:t>
      </w:r>
      <w:bookmarkEnd w:id="67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13 </w:t>
      </w:r>
      <w:r>
        <w:rPr>
          <w:lang w:val="en-US" w:eastAsia="en-US" w:bidi="en-US"/>
          <w:w w:val="100"/>
          <w:spacing w:val="0"/>
          <w:color w:val="000000"/>
          <w:position w:val="0"/>
        </w:rPr>
        <w:t xml:space="preserve">Trisomy </w:t>
      </w:r>
      <w:r>
        <w:rPr>
          <w:lang w:val="ru-RU" w:eastAsia="ru-RU" w:bidi="ru-RU"/>
          <w:w w:val="100"/>
          <w:spacing w:val="0"/>
          <w:color w:val="000000"/>
          <w:position w:val="0"/>
        </w:rPr>
        <w:t>Cиндром Патау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Патау наблюдается у 0,01% всех живорожденных детей и со значительно большей частотой регистрируется сре</w:t>
        <w:softHyphen/>
        <w:t>ди мертворожденных и при спонтанных абортах. У больных сильно изменен морфо-фенотип. Смерть наступает вслед</w:t>
        <w:softHyphen/>
        <w:t>ствие тяжелой полиорганной патологии, в частности тяжело</w:t>
        <w:softHyphen/>
        <w:t>го поражения сердца, выживаемость в пределах нескольких недель крайне редка. Сердечно-сосудистые аномалии при трисомии 13 встречаются немного реже, чем при трисомии 18</w:t>
        <w:br w:type="column"/>
        <w:t>и выражаются в совсем другом спектре нарушений. Наиболее часто встречаются изолированные септальные пороки. Декс</w:t>
        <w:softHyphen/>
        <w:t>трокардия и двустворчатые полулунные клапаны встречают</w:t>
        <w:softHyphen/>
        <w:t>ся в сочетании с другими пороками сердца.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Больные, прожившие более месяца, обычно имеют гене</w:t>
        <w:softHyphen/>
        <w:t>тический мозаицизм.</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13q1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микрогнатия, маленький лоб, клинодактилия, умственная отсталость.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13q2 </w:t>
      </w:r>
      <w:r>
        <w:rPr>
          <w:lang w:val="ru-RU" w:eastAsia="ru-RU" w:bidi="ru-RU"/>
          <w:w w:val="100"/>
          <w:spacing w:val="0"/>
          <w:color w:val="000000"/>
          <w:position w:val="0"/>
        </w:rPr>
        <w:t xml:space="preserve">и </w:t>
      </w:r>
      <w:r>
        <w:rPr>
          <w:lang w:val="en-US" w:eastAsia="en-US" w:bidi="en-US"/>
          <w:w w:val="100"/>
          <w:spacing w:val="0"/>
          <w:color w:val="000000"/>
          <w:position w:val="0"/>
        </w:rPr>
        <w:t>13q3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тригоноцефалия, гемангиомы лица, маленькие глазные щели, длинный фильтр, пупочная грыжа, деформация конечностей, умственная отсталость тяжелая.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транспозиция магистральных сосудов, открытый артериальный проток.</w:t>
      </w:r>
    </w:p>
    <w:p>
      <w:pPr>
        <w:pStyle w:val="Style30"/>
        <w:numPr>
          <w:ilvl w:val="0"/>
          <w:numId w:val="137"/>
        </w:numPr>
        <w:tabs>
          <w:tab w:leader="none" w:pos="576"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trisomy t(8;13)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умственная отсталость.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различные ВПС.</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13q 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гипертелоризм, короткий фильтр, аномалии скелета, гипоплазия или аплазия боль</w:t>
        <w:softHyphen/>
        <w:t>шого пальца, умственная отсталость.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дефект межпредсердной перегородки, открытый ар</w:t>
        <w:softHyphen/>
        <w:t>териальный проток, коарктация аорты.</w:t>
      </w:r>
    </w:p>
    <w:p>
      <w:pPr>
        <w:pStyle w:val="Style92"/>
        <w:numPr>
          <w:ilvl w:val="0"/>
          <w:numId w:val="137"/>
        </w:numPr>
        <w:tabs>
          <w:tab w:leader="none" w:pos="581" w:val="left"/>
        </w:tabs>
        <w:widowControl w:val="0"/>
        <w:keepNext/>
        <w:keepLines/>
        <w:shd w:val="clear" w:color="auto" w:fill="auto"/>
        <w:bidi w:val="0"/>
        <w:spacing w:before="0" w:after="0"/>
        <w:ind w:left="0" w:right="0" w:firstLine="280"/>
      </w:pPr>
      <w:bookmarkStart w:id="673" w:name="bookmark673"/>
      <w:r>
        <w:rPr>
          <w:lang w:val="ru-RU" w:eastAsia="ru-RU" w:bidi="ru-RU"/>
          <w:w w:val="100"/>
          <w:spacing w:val="0"/>
          <w:color w:val="000000"/>
          <w:position w:val="0"/>
        </w:rPr>
        <w:t>хромосома</w:t>
      </w:r>
      <w:bookmarkEnd w:id="67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14 </w:t>
      </w:r>
      <w:r>
        <w:rPr>
          <w:lang w:val="en-US" w:eastAsia="en-US" w:bidi="en-US"/>
          <w:w w:val="100"/>
          <w:spacing w:val="0"/>
          <w:color w:val="000000"/>
          <w:position w:val="0"/>
        </w:rPr>
        <w:t>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птоз, длинная верхняя губа, микроретрогна- тия, низко посаженные глаза, короткая шея, умственная отсталость тяжелая.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тетрада Фалло.</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14q1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выступающий нос и челюсть, расщелина неба, короткая шея, деформации конечностей, умственная отсталость тяжелая.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тетрада Фалло, общий артериальный ствол.</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proximal </w:t>
      </w:r>
      <w:r>
        <w:rPr>
          <w:lang w:val="ru-RU" w:eastAsia="ru-RU" w:bidi="ru-RU"/>
          <w:w w:val="100"/>
          <w:spacing w:val="0"/>
          <w:color w:val="000000"/>
          <w:position w:val="0"/>
        </w:rPr>
        <w:t xml:space="preserve">14 </w:t>
      </w:r>
      <w:r>
        <w:rPr>
          <w:lang w:val="en-US" w:eastAsia="en-US" w:bidi="en-US"/>
          <w:w w:val="100"/>
          <w:spacing w:val="0"/>
          <w:color w:val="000000"/>
          <w:position w:val="0"/>
        </w:rPr>
        <w:t>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лицевые, урогенитальные аномалии, патоло</w:t>
        <w:softHyphen/>
        <w:t>гия легких.</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различные ВПС.</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Distal trisomy 14q</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Фенотип: агенезия </w:t>
      </w:r>
      <w:r>
        <w:rPr>
          <w:lang w:val="en-US" w:eastAsia="en-US" w:bidi="en-US"/>
          <w:w w:val="100"/>
          <w:spacing w:val="0"/>
          <w:color w:val="000000"/>
          <w:position w:val="0"/>
        </w:rPr>
        <w:t xml:space="preserve">corpus callosus, </w:t>
      </w:r>
      <w:r>
        <w:rPr>
          <w:lang w:val="ru-RU" w:eastAsia="ru-RU" w:bidi="ru-RU"/>
          <w:w w:val="100"/>
          <w:spacing w:val="0"/>
          <w:color w:val="000000"/>
          <w:position w:val="0"/>
        </w:rPr>
        <w:t>умственная отста</w:t>
        <w:softHyphen/>
        <w:t>лость.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общий артериальный ствол.</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Trisomy </w:t>
      </w:r>
      <w:r>
        <w:rPr>
          <w:lang w:val="ru-RU" w:eastAsia="ru-RU" w:bidi="ru-RU"/>
          <w:w w:val="100"/>
          <w:spacing w:val="0"/>
          <w:color w:val="000000"/>
          <w:position w:val="0"/>
        </w:rPr>
        <w:t xml:space="preserve">14 </w:t>
      </w:r>
      <w:r>
        <w:rPr>
          <w:lang w:val="en-US" w:eastAsia="en-US" w:bidi="en-US"/>
          <w:w w:val="100"/>
          <w:spacing w:val="0"/>
          <w:color w:val="000000"/>
          <w:position w:val="0"/>
        </w:rPr>
        <w:t>mosaicism with t(14;15)(q11;p11)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минорные лицевые аномалии, асимметрия лица и тела, гиперпигментация кожи.</w:t>
      </w:r>
    </w:p>
    <w:p>
      <w:pPr>
        <w:pStyle w:val="Style30"/>
        <w:widowControl w:val="0"/>
        <w:keepNext w:val="0"/>
        <w:keepLines w:val="0"/>
        <w:shd w:val="clear" w:color="auto" w:fill="auto"/>
        <w:bidi w:val="0"/>
        <w:spacing w:before="0" w:after="0"/>
        <w:ind w:left="0" w:right="0" w:firstLine="280"/>
      </w:pPr>
      <w:r>
        <w:pict>
          <v:shape id="_x0000_s1650" type="#_x0000_t75" style="position:absolute;margin-left:148.7pt;margin-top:736.8pt;width:209.75pt;height:14.9pt;z-index:-125828947;mso-wrap-distance-left:148.1pt;mso-wrap-distance-right:136.55pt;mso-wrap-distance-bottom:10.8pt;mso-position-horizontal-relative:margin;mso-position-vertical-relative:margin" wrapcoords="0 0 21600 0 21600 21600 0 21600 0 0">
            <v:imagedata r:id="rId1042" r:href="rId1043"/>
            <w10:wrap type="topAndBottom" anchorx="margin" anchory="margin"/>
          </v:shape>
        </w:pict>
      </w:r>
      <w:r>
        <w:rPr>
          <w:lang w:val="ru-RU" w:eastAsia="ru-RU" w:bidi="ru-RU"/>
          <w:w w:val="100"/>
          <w:spacing w:val="0"/>
          <w:color w:val="000000"/>
          <w:position w:val="0"/>
        </w:rPr>
        <w:t>Сердечные аномалии: тетрада Фалло.</w:t>
      </w:r>
      <w:r>
        <w:br w:type="page"/>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Ring </w:t>
      </w:r>
      <w:r>
        <w:rPr>
          <w:lang w:val="ru-RU" w:eastAsia="ru-RU" w:bidi="ru-RU"/>
          <w:w w:val="100"/>
          <w:spacing w:val="0"/>
          <w:color w:val="000000"/>
          <w:position w:val="0"/>
        </w:rPr>
        <w:t>14</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долихоцефалия, высокий лоб, большие низко посаженные глаза, короткая шея, умственная отсталость тяжелая.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стеноз легочной артерии, ано</w:t>
        <w:softHyphen/>
        <w:t>мальный дренаж легочных вен.</w:t>
      </w:r>
    </w:p>
    <w:p>
      <w:pPr>
        <w:pStyle w:val="Style92"/>
        <w:numPr>
          <w:ilvl w:val="0"/>
          <w:numId w:val="137"/>
        </w:numPr>
        <w:tabs>
          <w:tab w:leader="none" w:pos="594" w:val="left"/>
        </w:tabs>
        <w:widowControl w:val="0"/>
        <w:keepNext/>
        <w:keepLines/>
        <w:shd w:val="clear" w:color="auto" w:fill="auto"/>
        <w:bidi w:val="0"/>
        <w:spacing w:before="0" w:after="0"/>
        <w:ind w:left="0" w:right="0" w:firstLine="280"/>
      </w:pPr>
      <w:bookmarkStart w:id="674" w:name="bookmark674"/>
      <w:r>
        <w:rPr>
          <w:lang w:val="ru-RU" w:eastAsia="ru-RU" w:bidi="ru-RU"/>
          <w:w w:val="100"/>
          <w:spacing w:val="0"/>
          <w:color w:val="000000"/>
          <w:position w:val="0"/>
        </w:rPr>
        <w:t>хромосома</w:t>
      </w:r>
      <w:bookmarkEnd w:id="674"/>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15q2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микродолихоцефалия, выступающий фильтр, микрогнатия, низко посаженные глаза, костносуставные деформации, тяжелая умственная отсталость.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стеноз легочной артерии, дефект межжелудочковой перегородки, открытый артериальный проток.</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Duplication 15q22 t-15qter</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лицевые аномалии, микроцефалия.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аортальный стеноз.</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del(15q) mosaicism</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дисморфический статус.</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различные ВПС, легочная гипер</w:t>
        <w:softHyphen/>
        <w:t>тензия.</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Del(15)(q22q24) syndrome</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аномалии почек (поликистоз).</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открытый атриовентрикулярный канал.</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Ring </w:t>
      </w:r>
      <w:r>
        <w:rPr>
          <w:lang w:val="ru-RU" w:eastAsia="ru-RU" w:bidi="ru-RU"/>
          <w:w w:val="100"/>
          <w:spacing w:val="0"/>
          <w:color w:val="000000"/>
          <w:position w:val="0"/>
        </w:rPr>
        <w:t>15</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задержка развития, микроцефалия, умствен</w:t>
        <w:softHyphen/>
        <w:t>ная отсталость.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открытый артериальный проток.</w:t>
      </w:r>
    </w:p>
    <w:p>
      <w:pPr>
        <w:pStyle w:val="Style92"/>
        <w:numPr>
          <w:ilvl w:val="0"/>
          <w:numId w:val="137"/>
        </w:numPr>
        <w:tabs>
          <w:tab w:leader="none" w:pos="599" w:val="left"/>
        </w:tabs>
        <w:widowControl w:val="0"/>
        <w:keepNext/>
        <w:keepLines/>
        <w:shd w:val="clear" w:color="auto" w:fill="auto"/>
        <w:bidi w:val="0"/>
        <w:spacing w:before="0" w:after="0"/>
        <w:ind w:left="0" w:right="0" w:firstLine="280"/>
      </w:pPr>
      <w:bookmarkStart w:id="675" w:name="bookmark675"/>
      <w:r>
        <w:rPr>
          <w:lang w:val="ru-RU" w:eastAsia="ru-RU" w:bidi="ru-RU"/>
          <w:w w:val="100"/>
          <w:spacing w:val="0"/>
          <w:color w:val="000000"/>
          <w:position w:val="0"/>
        </w:rPr>
        <w:t>хромосома</w:t>
      </w:r>
      <w:bookmarkEnd w:id="675"/>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16p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микрогнатия, гипертелоризм, круглые низко посаженные глаза, гипоплазия или аплазия большого пальца, умственная отсталость тяжелая.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тетрада Фалло.</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16q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анофтальмия, короткий выступающий нос, тонкая верхняя губа, костносуставные аномалии, контрак</w:t>
        <w:softHyphen/>
        <w:t>туры суставов, умственная отсталость тяжелая.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межпредсердной перего</w:t>
        <w:softHyphen/>
        <w:t>родки, дефект межжелудочковой перегородки.</w:t>
      </w:r>
    </w:p>
    <w:p>
      <w:pPr>
        <w:pStyle w:val="Style92"/>
        <w:numPr>
          <w:ilvl w:val="0"/>
          <w:numId w:val="137"/>
        </w:numPr>
        <w:tabs>
          <w:tab w:leader="none" w:pos="599" w:val="left"/>
        </w:tabs>
        <w:widowControl w:val="0"/>
        <w:keepNext/>
        <w:keepLines/>
        <w:shd w:val="clear" w:color="auto" w:fill="auto"/>
        <w:bidi w:val="0"/>
        <w:spacing w:before="0" w:after="0"/>
        <w:ind w:left="0" w:right="0" w:firstLine="280"/>
      </w:pPr>
      <w:bookmarkStart w:id="676" w:name="bookmark676"/>
      <w:r>
        <w:rPr>
          <w:lang w:val="ru-RU" w:eastAsia="ru-RU" w:bidi="ru-RU"/>
          <w:w w:val="100"/>
          <w:spacing w:val="0"/>
          <w:color w:val="000000"/>
          <w:position w:val="0"/>
        </w:rPr>
        <w:t>хромосома</w:t>
      </w:r>
      <w:bookmarkEnd w:id="676"/>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17p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пре- и постнатальная задержка роста, микро</w:t>
        <w:softHyphen/>
        <w:t>цефалия, антимонголоидный разрез глаз, длинный фильтр, гипертелоризм, тонкая верхняя губа, микрогнатия, высокое небо.</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в 50% дефект межжелудочковой перегородки.</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17q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асимметрия лица, гипертелоризм, широкий лоб, узкий затылок, широкая переносица, эпикант, тонкая</w:t>
        <w:br w:type="column"/>
        <w:t>верхняя губа, низко посаженные глаза, микрогнатия, поли</w:t>
        <w:softHyphen/>
        <w:t>дактилия, сгибательные контрактуры пальцев, мышечная гипотония.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различные ВПС.</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17q2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микроцефалия, высокий лоб, полидактилия, умственная отсталость тяжелая.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межпредсердной перего</w:t>
        <w:softHyphen/>
        <w:t>родки, субаортальный стеноз, единственный желудочек, атрезия митрального клапана, транспозиция магистраль - ных сосудов.</w:t>
      </w:r>
    </w:p>
    <w:p>
      <w:pPr>
        <w:pStyle w:val="Style92"/>
        <w:numPr>
          <w:ilvl w:val="0"/>
          <w:numId w:val="137"/>
        </w:numPr>
        <w:tabs>
          <w:tab w:leader="none" w:pos="578" w:val="left"/>
        </w:tabs>
        <w:widowControl w:val="0"/>
        <w:keepNext/>
        <w:keepLines/>
        <w:shd w:val="clear" w:color="auto" w:fill="auto"/>
        <w:bidi w:val="0"/>
        <w:spacing w:before="0" w:after="0"/>
        <w:ind w:left="0" w:right="0" w:firstLine="280"/>
      </w:pPr>
      <w:bookmarkStart w:id="677" w:name="bookmark677"/>
      <w:r>
        <w:rPr>
          <w:lang w:val="ru-RU" w:eastAsia="ru-RU" w:bidi="ru-RU"/>
          <w:w w:val="100"/>
          <w:spacing w:val="0"/>
          <w:color w:val="000000"/>
          <w:position w:val="0"/>
        </w:rPr>
        <w:t>хромосома</w:t>
      </w:r>
      <w:bookmarkEnd w:id="67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18 </w:t>
      </w:r>
      <w:r>
        <w:rPr>
          <w:lang w:val="en-US" w:eastAsia="en-US" w:bidi="en-US"/>
          <w:w w:val="100"/>
          <w:spacing w:val="0"/>
          <w:color w:val="000000"/>
          <w:position w:val="0"/>
        </w:rPr>
        <w:t xml:space="preserve">Trisomy </w:t>
      </w:r>
      <w:r>
        <w:rPr>
          <w:lang w:val="ru-RU" w:eastAsia="ru-RU" w:bidi="ru-RU"/>
          <w:w w:val="100"/>
          <w:spacing w:val="0"/>
          <w:color w:val="000000"/>
          <w:position w:val="0"/>
        </w:rPr>
        <w:t>(синдром Эдвардса)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Большинство случаев синдрома возникает вследствие нарушения мейотического деления. Тяжесть клинических проявлений заболевания ведет к смерти больных в течение первых месяцев жизни, однако некоторые дети доживают до 1 года, а в редких случаях и до подросткового возраста (хотя в таких ситуациях речь идет, как правило, о нераспо</w:t>
        <w:softHyphen/>
        <w:t>знанном мозаицизме).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Нервно-психическое развитие при данном синдроме нарушено в значительно большей степени, чем при синд</w:t>
        <w:softHyphen/>
        <w:t>роме Дауна, и поддержание жизненных функций требует постоянной помощи ребенку со стороны родителей и врачей.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Врожденные пороки сердца диагностируются приблизи</w:t>
        <w:softHyphen/>
        <w:t>тельно у 90% больных. Комплексность пороков в виде ди- спластических изменений клапанов (которые, однако, ред</w:t>
        <w:softHyphen/>
        <w:t>ко бывают гемодинамически значимыми), открытого арте</w:t>
        <w:softHyphen/>
        <w:t>риального протока и персистирования передней левой по</w:t>
        <w:softHyphen/>
        <w:t>лой вены наиболее характерны. Типично увеличение пра</w:t>
        <w:softHyphen/>
        <w:t>вого желудочка, причем не только из-за лево-правого шун</w:t>
        <w:softHyphen/>
        <w:t>та, но и вследствие легочной гипертензии, которая возни</w:t>
        <w:softHyphen/>
        <w:t>кает из-за аномалий развития сосудов легких. Диагноз врожденного порока сердца устанавливается методом эхо</w:t>
        <w:softHyphen/>
        <w:t>кардиографии, сложные инвазивные процедуры при синд</w:t>
        <w:softHyphen/>
        <w:t>роме Эдвардса обычно не требуются.</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18q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задержка физического и умственного разви</w:t>
        <w:softHyphen/>
        <w:t>тия, низко посаженные глаза, выступающий затылок, кост</w:t>
        <w:softHyphen/>
        <w:t>носуставные деформации.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открытый артериальный проток, аномалии коронарных артерий.</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18p 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задержка умственного и физического разви</w:t>
        <w:softHyphen/>
        <w:t>тия, микроцефалия, круглое лицо, гипертелоризм, птоз, страбизм, эпикант, большие глаза, микроретрогнатия, ко</w:t>
        <w:softHyphen/>
        <w:t>роткая шея, гипоплазия гениталий, крипторхизм.</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открытый артериальный проток, коарктация аорты, атриовентрикулярная коммуникация, транспозиция маги</w:t>
        <w:softHyphen/>
        <w:t>стральных сосудов.</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18q2 Monosomy</w:t>
      </w:r>
    </w:p>
    <w:p>
      <w:pPr>
        <w:pStyle w:val="Style30"/>
        <w:widowControl w:val="0"/>
        <w:keepNext w:val="0"/>
        <w:keepLines w:val="0"/>
        <w:shd w:val="clear" w:color="auto" w:fill="auto"/>
        <w:bidi w:val="0"/>
        <w:spacing w:before="0" w:after="0"/>
        <w:ind w:left="0" w:right="0" w:firstLine="280"/>
      </w:pPr>
      <w:r>
        <w:pict>
          <v:shape id="_x0000_s1651" type="#_x0000_t75" style="position:absolute;margin-left:137.3pt;margin-top:736.8pt;width:209.75pt;height:14.9pt;z-index:-125828946;mso-wrap-distance-left:136.8pt;mso-wrap-distance-right:148.1pt;mso-wrap-distance-bottom:10.8pt;mso-position-horizontal-relative:margin;mso-position-vertical-relative:margin" wrapcoords="0 0 21600 0 21600 21600 0 21600 0 0">
            <v:imagedata r:id="rId1044" r:href="rId1045"/>
            <w10:wrap type="topAndBottom" anchorx="margin" anchory="margin"/>
          </v:shape>
        </w:pict>
      </w:r>
      <w:r>
        <w:rPr>
          <w:lang w:val="ru-RU" w:eastAsia="ru-RU" w:bidi="ru-RU"/>
          <w:w w:val="100"/>
          <w:spacing w:val="0"/>
          <w:color w:val="000000"/>
          <w:position w:val="0"/>
        </w:rPr>
        <w:t>Фенотип: задержка умственного и физического разви</w:t>
        <w:softHyphen/>
        <w:t>тия, микроцефалия, глубоко посаженные глаза, гипертело</w:t>
        <w:softHyphen/>
        <w:t>ризм, страбизм, недоразвитие средней части лица, малень</w:t>
        <w:softHyphen/>
        <w:t xml:space="preserve">кий нос, скелетные аномалии, клинодактилия </w:t>
      </w:r>
      <w:r>
        <w:rPr>
          <w:lang w:val="en-US" w:eastAsia="en-US" w:bidi="en-US"/>
          <w:w w:val="100"/>
          <w:spacing w:val="0"/>
          <w:color w:val="000000"/>
          <w:position w:val="0"/>
        </w:rPr>
        <w:t xml:space="preserve">5 </w:t>
      </w:r>
      <w:r>
        <w:rPr>
          <w:lang w:val="ru-RU" w:eastAsia="ru-RU" w:bidi="ru-RU"/>
          <w:w w:val="100"/>
          <w:spacing w:val="0"/>
          <w:color w:val="000000"/>
          <w:position w:val="0"/>
        </w:rPr>
        <w:t>пальца.</w:t>
      </w:r>
      <w:r>
        <w:br w:type="page"/>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межпредсердной перего</w:t>
        <w:softHyphen/>
        <w:t>родки, стеноз легочной артерии, открытый артериальный проток, дефект межжелудочковой перегородки.</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Ring </w:t>
      </w:r>
      <w:r>
        <w:rPr>
          <w:lang w:val="ru-RU" w:eastAsia="ru-RU" w:bidi="ru-RU"/>
          <w:w w:val="100"/>
          <w:spacing w:val="0"/>
          <w:color w:val="000000"/>
          <w:position w:val="0"/>
        </w:rPr>
        <w:t>18</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маленькая длина тела при рождении, микро</w:t>
        <w:softHyphen/>
        <w:t>цефалия, гипоплазия средней части лица, гипертелоризм, страбизм, птоз, колобома, нистагм, расщепление неба (25%), короткая шея, голопрозэнцефалия (5-10%), ум</w:t>
        <w:softHyphen/>
        <w:t>ственная отсталость умеренно выражена.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гипертрофическая кардиомиопатия с обструкцией.</w:t>
      </w:r>
    </w:p>
    <w:p>
      <w:pPr>
        <w:pStyle w:val="Style92"/>
        <w:numPr>
          <w:ilvl w:val="0"/>
          <w:numId w:val="137"/>
        </w:numPr>
        <w:tabs>
          <w:tab w:leader="none" w:pos="574" w:val="left"/>
        </w:tabs>
        <w:widowControl w:val="0"/>
        <w:keepNext/>
        <w:keepLines/>
        <w:shd w:val="clear" w:color="auto" w:fill="auto"/>
        <w:bidi w:val="0"/>
        <w:spacing w:before="0" w:after="0"/>
        <w:ind w:left="0" w:right="0" w:firstLine="280"/>
      </w:pPr>
      <w:bookmarkStart w:id="678" w:name="bookmark678"/>
      <w:r>
        <w:rPr>
          <w:lang w:val="ru-RU" w:eastAsia="ru-RU" w:bidi="ru-RU"/>
          <w:w w:val="100"/>
          <w:spacing w:val="0"/>
          <w:color w:val="000000"/>
          <w:position w:val="0"/>
        </w:rPr>
        <w:t>хромосома</w:t>
      </w:r>
      <w:bookmarkEnd w:id="678"/>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19q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низкий вес при рождении, микроцефалия, ги</w:t>
        <w:softHyphen/>
        <w:t>пертелоризм, короткий нос, расщелина неба, короткая шея, гипертелоризм, умственная отсталость.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межпредсердной перего</w:t>
        <w:softHyphen/>
        <w:t>родки, открытый артериальный проток, стеноз легочной артерии, общий артериальный ствол.</w:t>
      </w:r>
    </w:p>
    <w:p>
      <w:pPr>
        <w:pStyle w:val="Style92"/>
        <w:numPr>
          <w:ilvl w:val="0"/>
          <w:numId w:val="137"/>
        </w:numPr>
        <w:tabs>
          <w:tab w:leader="none" w:pos="593" w:val="left"/>
        </w:tabs>
        <w:widowControl w:val="0"/>
        <w:keepNext/>
        <w:keepLines/>
        <w:shd w:val="clear" w:color="auto" w:fill="auto"/>
        <w:bidi w:val="0"/>
        <w:spacing w:before="0" w:after="0"/>
        <w:ind w:left="0" w:right="0" w:firstLine="280"/>
      </w:pPr>
      <w:bookmarkStart w:id="679" w:name="bookmark679"/>
      <w:r>
        <w:rPr>
          <w:lang w:val="ru-RU" w:eastAsia="ru-RU" w:bidi="ru-RU"/>
          <w:w w:val="100"/>
          <w:spacing w:val="0"/>
          <w:color w:val="000000"/>
          <w:position w:val="0"/>
        </w:rPr>
        <w:t>хромосома</w:t>
      </w:r>
      <w:bookmarkEnd w:id="679"/>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20pter_q11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задержка моторного развития, круглое лицо, микроретрогнатия, гипертелоризм, страбизм, короткий нос, низко посаженные глаза, сколиоз.</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тетрада Фалло, открытый артериальный проток.</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20q 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умственная отсталость, лицевые аномалии.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различные ВПС.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20р13 </w:t>
      </w:r>
      <w:r>
        <w:rPr>
          <w:lang w:val="en-US" w:eastAsia="en-US" w:bidi="en-US"/>
          <w:w w:val="100"/>
          <w:spacing w:val="0"/>
          <w:color w:val="000000"/>
          <w:position w:val="0"/>
        </w:rPr>
        <w:t>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низкий вес при рождении, плоское лицо, длинный фильтр, короткая шея, деформации грудной клет</w:t>
        <w:softHyphen/>
        <w:t>ки, кифосколиоз.</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различные ВПС.</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Trisomy </w:t>
      </w:r>
      <w:r>
        <w:rPr>
          <w:lang w:val="ru-RU" w:eastAsia="ru-RU" w:bidi="ru-RU"/>
          <w:w w:val="100"/>
          <w:spacing w:val="0"/>
          <w:color w:val="000000"/>
          <w:position w:val="0"/>
        </w:rPr>
        <w:t xml:space="preserve">20 </w:t>
      </w:r>
      <w:r>
        <w:rPr>
          <w:lang w:val="en-US" w:eastAsia="en-US" w:bidi="en-US"/>
          <w:w w:val="100"/>
          <w:spacing w:val="0"/>
          <w:color w:val="000000"/>
          <w:position w:val="0"/>
        </w:rPr>
        <w:t>mosaicism</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лицевой дисморфизм, почечные аномалии.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Ring </w:t>
      </w:r>
      <w:r>
        <w:rPr>
          <w:lang w:val="ru-RU" w:eastAsia="ru-RU" w:bidi="ru-RU"/>
          <w:w w:val="100"/>
          <w:spacing w:val="0"/>
          <w:color w:val="000000"/>
          <w:position w:val="0"/>
        </w:rPr>
        <w:t>20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задержка постнатального развития, аномалии мочевыводящей системы (везикулоуретральный рефлюкс), умственная отсталость. Краниофациальные изменения не характерны.</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w:t>
      </w:r>
    </w:p>
    <w:p>
      <w:pPr>
        <w:pStyle w:val="Style92"/>
        <w:numPr>
          <w:ilvl w:val="0"/>
          <w:numId w:val="137"/>
        </w:numPr>
        <w:tabs>
          <w:tab w:leader="none" w:pos="593" w:val="left"/>
        </w:tabs>
        <w:widowControl w:val="0"/>
        <w:keepNext/>
        <w:keepLines/>
        <w:shd w:val="clear" w:color="auto" w:fill="auto"/>
        <w:bidi w:val="0"/>
        <w:spacing w:before="0" w:after="0"/>
        <w:ind w:left="0" w:right="0" w:firstLine="280"/>
      </w:pPr>
      <w:bookmarkStart w:id="680" w:name="bookmark680"/>
      <w:r>
        <w:rPr>
          <w:lang w:val="ru-RU" w:eastAsia="ru-RU" w:bidi="ru-RU"/>
          <w:w w:val="100"/>
          <w:spacing w:val="0"/>
          <w:color w:val="000000"/>
          <w:position w:val="0"/>
        </w:rPr>
        <w:t>хромосома</w:t>
      </w:r>
      <w:bookmarkEnd w:id="68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21 </w:t>
      </w:r>
      <w:r>
        <w:rPr>
          <w:lang w:val="en-US" w:eastAsia="en-US" w:bidi="en-US"/>
          <w:w w:val="100"/>
          <w:spacing w:val="0"/>
          <w:color w:val="000000"/>
          <w:position w:val="0"/>
        </w:rPr>
        <w:t xml:space="preserve">Trisomy </w:t>
      </w:r>
      <w:r>
        <w:rPr>
          <w:lang w:val="ru-RU" w:eastAsia="ru-RU" w:bidi="ru-RU"/>
          <w:w w:val="100"/>
          <w:spacing w:val="0"/>
          <w:color w:val="000000"/>
          <w:position w:val="0"/>
        </w:rPr>
        <w:t>(шндром Дауна)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Этот синдром встречается с частотой 1 на 600 новорож</w:t>
        <w:softHyphen/>
        <w:t>денных. У большинства больных обнаруживается ненасле</w:t>
        <w:softHyphen/>
        <w:t>дуемая трисомия 21. В 3% случаев синдром Дауна возника</w:t>
        <w:softHyphen/>
        <w:t>ет вследствие дополнительной копии части или всего длин</w:t>
        <w:softHyphen/>
        <w:t>ного плеча 21 хромосомы, транслоцированной на другую хромосому (13-15). Эта причина чаще выявляется у матерей в возрасте до 30 лет. Фенотип синдрома Дауна в обоих слу</w:t>
        <w:softHyphen/>
        <w:br w:type="column"/>
        <w:t>чаях различий не имеет. Частота возникновения синдрома возрастает прямо пропорционально возрасту матери. У ма</w:t>
        <w:softHyphen/>
        <w:t>терей в возрасте до 35 лет риск минимален, после 35 он воз</w:t>
        <w:softHyphen/>
        <w:t>растает, достигая 4% у матерей старше 45 лет.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Самой частой причиной смерти при синдроме Дауна яв</w:t>
        <w:softHyphen/>
        <w:t>ляется сердечная недостаточность вследствие врожденного порока сердца. На втором месте — злокачественные заболе</w:t>
        <w:softHyphen/>
        <w:t>вания крови, на третьем — атрезия 12-перстной кишки. Больные, благополучно пережившие вышеуказанные проб</w:t>
        <w:softHyphen/>
        <w:t>лемы, доживают до пятой декады жизни и даже более того. Однако их социальная адаптация в значительной мере стра</w:t>
        <w:softHyphen/>
        <w:t>дает из-за прогрессирующей деменции по типу болезни Альцгеймера. Описано преждевременное старение стенок сосудов у таких больных, однако достоверных и обширных исследований по этой проблеме не проводилось.</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Наиболее частой патологией со стороны сердечно-сосу</w:t>
        <w:softHyphen/>
        <w:t>дистой системы у больных синдромом Дауна является порок сердца, развивающийся вследствие нарушения закрытия эндокардиальных подушек (первичный дефект межпред</w:t>
        <w:softHyphen/>
        <w:t>сердной перегородки, открытый атриовентрикулярный ка</w:t>
        <w:softHyphen/>
        <w:t>нал). Клиническую картину у больных с дефектом межпред</w:t>
        <w:softHyphen/>
        <w:t>сердной перегородки осложняет быстро развивающаяся ле</w:t>
        <w:softHyphen/>
        <w:t>гочная гипертензия. У трети больных с синдромом Дауна пороки сердца бывают сочетанными. У них синдром проте</w:t>
        <w:softHyphen/>
        <w:t>кает наиболее тяжело и продолжительность жизни на</w:t>
        <w:softHyphen/>
        <w:t>именьшая. С возрастом у больных значительно увеличива</w:t>
        <w:softHyphen/>
        <w:t>ется частота выявления пролапса митрального клапана, воз</w:t>
        <w:softHyphen/>
        <w:t>никает фенестрация створок аортального и пульмонального клапанов. При исследовании больных с трисомией части 21 хромосомы обнаружено, что регионом, критическим по раз</w:t>
        <w:softHyphen/>
        <w:t>витию врожденных пороков сердца, является участок хро</w:t>
        <w:softHyphen/>
        <w:t xml:space="preserve">мосомы протяженностью 1,5-2 мегабаз в области </w:t>
      </w:r>
      <w:r>
        <w:rPr>
          <w:lang w:val="en-US" w:eastAsia="en-US" w:bidi="en-US"/>
          <w:w w:val="100"/>
          <w:spacing w:val="0"/>
          <w:color w:val="000000"/>
          <w:position w:val="0"/>
        </w:rPr>
        <w:t xml:space="preserve">21q22.2 </w:t>
      </w:r>
      <w:r>
        <w:rPr>
          <w:lang w:val="ru-RU" w:eastAsia="ru-RU" w:bidi="ru-RU"/>
          <w:w w:val="100"/>
          <w:spacing w:val="0"/>
          <w:color w:val="000000"/>
          <w:position w:val="0"/>
        </w:rPr>
        <w:t>(все длинное плечо 21 хромосомы составляет 35 мегаба).</w:t>
      </w:r>
    </w:p>
    <w:p>
      <w:pPr>
        <w:pStyle w:val="Style30"/>
        <w:numPr>
          <w:ilvl w:val="0"/>
          <w:numId w:val="139"/>
        </w:numPr>
        <w:tabs>
          <w:tab w:leader="none" w:pos="574" w:val="left"/>
        </w:tabs>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Monosomy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антимонголоидный разрез глаз, широкий длинный нос, микрогнатия, расщепление мягкого и твер</w:t>
        <w:softHyphen/>
        <w:t>дого неба, кифосколиоз.</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коарктация аорты предуктальная, открытый артериальный проток.</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Ring </w:t>
      </w:r>
      <w:r>
        <w:rPr>
          <w:lang w:val="ru-RU" w:eastAsia="ru-RU" w:bidi="ru-RU"/>
          <w:w w:val="100"/>
          <w:spacing w:val="0"/>
          <w:color w:val="000000"/>
          <w:position w:val="0"/>
        </w:rPr>
        <w:t>21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задержка развития, мышечная гипертония, микроцефалия, долихоцефалия, микрофтальмия, катарак</w:t>
        <w:softHyphen/>
        <w:t>та, паховая грыжа, гипоспадия, крипторхизм.</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дефект межжелудочковой перего</w:t>
        <w:softHyphen/>
        <w:t>родки, коарктация аорты, тетрада Фалло.</w:t>
      </w:r>
    </w:p>
    <w:p>
      <w:pPr>
        <w:pStyle w:val="Style92"/>
        <w:numPr>
          <w:ilvl w:val="0"/>
          <w:numId w:val="139"/>
        </w:numPr>
        <w:tabs>
          <w:tab w:leader="none" w:pos="593" w:val="left"/>
        </w:tabs>
        <w:widowControl w:val="0"/>
        <w:keepNext/>
        <w:keepLines/>
        <w:shd w:val="clear" w:color="auto" w:fill="auto"/>
        <w:bidi w:val="0"/>
        <w:spacing w:before="0" w:after="0"/>
        <w:ind w:left="0" w:right="0" w:firstLine="280"/>
      </w:pPr>
      <w:bookmarkStart w:id="681" w:name="bookmark681"/>
      <w:r>
        <w:rPr>
          <w:lang w:val="ru-RU" w:eastAsia="ru-RU" w:bidi="ru-RU"/>
          <w:w w:val="100"/>
          <w:spacing w:val="0"/>
          <w:color w:val="000000"/>
          <w:position w:val="0"/>
        </w:rPr>
        <w:t>хромосома</w:t>
      </w:r>
      <w:bookmarkEnd w:id="68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22 </w:t>
      </w:r>
      <w:r>
        <w:rPr>
          <w:lang w:val="en-US" w:eastAsia="en-US" w:bidi="en-US"/>
          <w:w w:val="100"/>
          <w:spacing w:val="0"/>
          <w:color w:val="000000"/>
          <w:position w:val="0"/>
        </w:rPr>
        <w:t>Trisomy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задержка развития, микроцефалия, расщепле</w:t>
        <w:softHyphen/>
        <w:t>ние неба, маленькая челюсть, длинные пальцы, мышечная гипотония.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стеноз легочной артерии, дефект межжелудочковой перегородки, открытый артериальный проток, дефект межпредсердной перегородки, атрезия три</w:t>
        <w:softHyphen/>
        <w:t>куспидального клапана.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Mosaic-trisomy </w:t>
      </w:r>
      <w:r>
        <w:rPr>
          <w:lang w:val="ru-RU" w:eastAsia="ru-RU" w:bidi="ru-RU"/>
          <w:w w:val="100"/>
          <w:spacing w:val="0"/>
          <w:color w:val="000000"/>
          <w:position w:val="0"/>
        </w:rPr>
        <w:t>22</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Фенотип: задержка развития, мембранозная атрезия ануса, частичная (кожная) синдактилия </w:t>
      </w:r>
      <w:r>
        <w:rPr>
          <w:lang w:val="en-US" w:eastAsia="en-US" w:bidi="en-US"/>
          <w:w w:val="100"/>
          <w:spacing w:val="0"/>
          <w:color w:val="000000"/>
          <w:position w:val="0"/>
        </w:rPr>
        <w:t xml:space="preserve">2 </w:t>
      </w:r>
      <w:r>
        <w:rPr>
          <w:lang w:val="ru-RU" w:eastAsia="ru-RU" w:bidi="ru-RU"/>
          <w:w w:val="100"/>
          <w:spacing w:val="0"/>
          <w:color w:val="000000"/>
          <w:position w:val="0"/>
        </w:rPr>
        <w:t xml:space="preserve">и </w:t>
      </w:r>
      <w:r>
        <w:rPr>
          <w:lang w:val="en-US" w:eastAsia="en-US" w:bidi="en-US"/>
          <w:w w:val="100"/>
          <w:spacing w:val="0"/>
          <w:color w:val="000000"/>
          <w:position w:val="0"/>
        </w:rPr>
        <w:t xml:space="preserve">3 </w:t>
      </w:r>
      <w:r>
        <w:rPr>
          <w:lang w:val="ru-RU" w:eastAsia="ru-RU" w:bidi="ru-RU"/>
          <w:w w:val="100"/>
          <w:spacing w:val="0"/>
          <w:color w:val="000000"/>
          <w:position w:val="0"/>
        </w:rPr>
        <w:t>пальцев.</w:t>
      </w:r>
    </w:p>
    <w:p>
      <w:pPr>
        <w:pStyle w:val="Style30"/>
        <w:widowControl w:val="0"/>
        <w:keepNext w:val="0"/>
        <w:keepLines w:val="0"/>
        <w:shd w:val="clear" w:color="auto" w:fill="auto"/>
        <w:bidi w:val="0"/>
        <w:spacing w:before="0" w:after="0"/>
        <w:ind w:left="0" w:right="0" w:firstLine="280"/>
      </w:pPr>
      <w:r>
        <w:pict>
          <v:shape id="_x0000_s1652" type="#_x0000_t75" style="position:absolute;margin-left:148.55pt;margin-top:736.8pt;width:209.75pt;height:14.9pt;z-index:-125828945;mso-wrap-distance-left:148.1pt;mso-wrap-distance-right:136.8pt;mso-wrap-distance-bottom:10.8pt;mso-position-horizontal-relative:margin;mso-position-vertical-relative:margin" wrapcoords="0 0 21600 0 21600 21600 0 21600 0 0">
            <v:imagedata r:id="rId1046" r:href="rId1047"/>
            <w10:wrap type="topAndBottom" anchorx="margin" anchory="margin"/>
          </v:shape>
        </w:pict>
      </w:r>
      <w:r>
        <w:rPr>
          <w:lang w:val="ru-RU" w:eastAsia="ru-RU" w:bidi="ru-RU"/>
          <w:w w:val="100"/>
          <w:spacing w:val="0"/>
          <w:color w:val="000000"/>
          <w:position w:val="0"/>
        </w:rPr>
        <w:t>Сердечные аномалии: комбинированные ВПС.</w:t>
      </w:r>
      <w:r>
        <w:br w:type="page"/>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Incomplete trisomy </w:t>
      </w:r>
      <w:r>
        <w:rPr>
          <w:lang w:val="ru-RU" w:eastAsia="ru-RU" w:bidi="ru-RU"/>
          <w:w w:val="100"/>
          <w:spacing w:val="0"/>
          <w:color w:val="000000"/>
          <w:position w:val="0"/>
        </w:rPr>
        <w:t xml:space="preserve">22 (11/22 </w:t>
      </w:r>
      <w:r>
        <w:rPr>
          <w:lang w:val="en-US" w:eastAsia="en-US" w:bidi="en-US"/>
          <w:w w:val="100"/>
          <w:spacing w:val="0"/>
          <w:color w:val="000000"/>
          <w:position w:val="0"/>
        </w:rPr>
        <w:t>translocation)</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характерное лицо (глубоко посаженные глаза, мягкий нос, выступающая верхняя губа, недоразвитие ниж</w:t>
        <w:softHyphen/>
        <w:t>ней челюсти), аномалии ануса, расщепление неба.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различные ВПС.</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22pter_q11 Trisomy </w:t>
      </w:r>
      <w:r>
        <w:rPr>
          <w:lang w:val="ru-RU" w:eastAsia="ru-RU" w:bidi="ru-RU"/>
          <w:w w:val="100"/>
          <w:spacing w:val="0"/>
          <w:color w:val="000000"/>
          <w:position w:val="0"/>
        </w:rPr>
        <w:t>(синдром кошачьих глаз)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билатеральная колобома, гипертелоризм, ан</w:t>
        <w:softHyphen/>
        <w:t>тимонголоидный разрез глаз, эпикант, микрофтальмия, аномалии почек (аплазия, гипоплазия, дисплазия), задерж</w:t>
        <w:softHyphen/>
        <w:t>ка умственного и физического развития, сколиоз (30%).</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Сердечные аномалии: примерно в 30% случаев синдрома наблюдаются комплексные цианотические пороки сердца: тетрада Фалло с атрезией легочной артерии, открытый ар</w:t>
        <w:softHyphen/>
        <w:t>териальный проток со стенозом левой ветви легочной арте</w:t>
        <w:softHyphen/>
        <w:t>рии, атрезия трикуспидального клапана.</w:t>
      </w:r>
    </w:p>
    <w:p>
      <w:pPr>
        <w:pStyle w:val="Style92"/>
        <w:widowControl w:val="0"/>
        <w:keepNext/>
        <w:keepLines/>
        <w:shd w:val="clear" w:color="auto" w:fill="auto"/>
        <w:bidi w:val="0"/>
        <w:spacing w:before="0" w:after="0"/>
        <w:ind w:left="0" w:right="0" w:firstLine="280"/>
      </w:pPr>
      <w:bookmarkStart w:id="682" w:name="bookmark682"/>
      <w:r>
        <w:rPr>
          <w:lang w:val="ru-RU" w:eastAsia="ru-RU" w:bidi="ru-RU"/>
          <w:w w:val="100"/>
          <w:spacing w:val="0"/>
          <w:color w:val="000000"/>
          <w:position w:val="0"/>
        </w:rPr>
        <w:t>45, ХО (Синдром Тернера-Шерешевского)</w:t>
      </w:r>
      <w:bookmarkEnd w:id="68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Приблизительно у одной из 2500 девочек недостает од</w:t>
        <w:softHyphen/>
        <w:t>ной Х хромосомы, и кариотип в таком случае выглядит как 45,Х, а не 46ХХ, как у здоровых. Частота выявления карио</w:t>
        <w:softHyphen/>
        <w:t>типа 45,Х значительно выше среди плодов, подвергшихся спонтанным абортам. Среди них кариотип 45,Х составляет около 2% от всех случаев. Клинический фенотип при забо</w:t>
        <w:softHyphen/>
        <w:t>левании может значительно варьировать, но превалируют стертые клинические случаи. Характерны кожные складки на шее, низкий рост, отеки кистей и стоп при рождении, первичная аменорея. При синдроме Тернера нередко на</w:t>
        <w:softHyphen/>
        <w:t>блюдается хромосомный мозаицизм.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Среди больных с синдромом Тернера-Шерешевского частота выявления врожденных пороков сердца варьирует, по данным различных исследований, от 20 до 50% в зави</w:t>
        <w:softHyphen/>
        <w:t>симости от того, кем был поставлен диагноз: педиатром, генетиком или кардиологом. 50-70% больных с пороком сердца имеют клинически значимую коарктацию аорты (чаще постдуктальную форму). Помимо коарктации аор</w:t>
        <w:softHyphen/>
        <w:t>ты, у пациентов может наблюдаться целый спектр других изолированных или сочетанных сердечно-сосудистых ано</w:t>
        <w:softHyphen/>
        <w:t>малий. Большинство из них связано с аномальным крово</w:t>
        <w:softHyphen/>
        <w:t>током в левых отделах сердца. Двустворчатый аортальный клапан и дилатация корня аорты сочетаются с высоким ри</w:t>
        <w:softHyphen/>
        <w:t>ском развития расслаивающей аневризмы восходящей аорты, поскольку при синдроме Тернера-Шерешевского гистологически определяется дефект строения коллагено</w:t>
        <w:softHyphen/>
        <w:t>вых волокон. Поскольку в настоящее время неинвазивные допплерэхокардиографические методы диагностики врож</w:t>
        <w:softHyphen/>
        <w:t>денных пороков сердца стали общедоступными, можно ожидать некоторого увеличения частоты встречаемости врожденных пороков сердца у больных с синдромом Тер</w:t>
        <w:softHyphen/>
        <w:t>нера.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Артериальная гипертензия также весьма часто встреча</w:t>
        <w:softHyphen/>
        <w:t>ется у больных синдромом Тернера-Шерешевского как на фоне наличия коарктации аорты, так и после операции ра</w:t>
        <w:softHyphen/>
        <w:t>дикальной коррекции дефекта, а также у больных, не име</w:t>
        <w:softHyphen/>
        <w:t>ющих коарктации аорты. Возможно, артериальная гипер</w:t>
        <w:softHyphen/>
        <w:t>тензия обусловлена аномалиями почек, которые часто вы</w:t>
        <w:softHyphen/>
        <w:t>являются при данном синдроме.</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45,X,t(y;18) (p11;p11)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умственная отсталость, задержка полового развития, вирилизация, низкорослость.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Сердечные аномалии: септальные дефекты.</w:t>
      </w:r>
    </w:p>
    <w:p>
      <w:pPr>
        <w:pStyle w:val="Style92"/>
        <w:widowControl w:val="0"/>
        <w:keepNext/>
        <w:keepLines/>
        <w:shd w:val="clear" w:color="auto" w:fill="auto"/>
        <w:bidi w:val="0"/>
        <w:spacing w:before="0" w:after="0"/>
        <w:ind w:left="0" w:right="0" w:firstLine="280"/>
      </w:pPr>
      <w:r>
        <w:br w:type="column"/>
      </w:r>
      <w:bookmarkStart w:id="683" w:name="bookmark683"/>
      <w:r>
        <w:rPr>
          <w:lang w:val="en-US" w:eastAsia="en-US" w:bidi="en-US"/>
          <w:w w:val="100"/>
          <w:spacing w:val="0"/>
          <w:color w:val="000000"/>
          <w:position w:val="0"/>
        </w:rPr>
        <w:t xml:space="preserve">XXY </w:t>
      </w:r>
      <w:r>
        <w:rPr>
          <w:lang w:val="ru-RU" w:eastAsia="ru-RU" w:bidi="ru-RU"/>
          <w:w w:val="100"/>
          <w:spacing w:val="0"/>
          <w:color w:val="000000"/>
          <w:position w:val="0"/>
        </w:rPr>
        <w:t>(синдром Клайнфельтера)</w:t>
      </w:r>
      <w:bookmarkEnd w:id="68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высокий рост, длинные конечности, гипопла</w:t>
        <w:softHyphen/>
        <w:t>зия гениталий, брахицефалия, клинодактилия 5 пальца, низкий рост волос.</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Сердечные аномалии: характерны различные церебро</w:t>
        <w:softHyphen/>
        <w:t>васкулярные аномалии, патология аорты, пролапс мит</w:t>
        <w:softHyphen/>
        <w:t>рального клапана.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Double trisomy 48,XXX,+ </w:t>
      </w:r>
      <w:r>
        <w:rPr>
          <w:lang w:val="ru-RU" w:eastAsia="ru-RU" w:bidi="ru-RU"/>
          <w:w w:val="100"/>
          <w:spacing w:val="0"/>
          <w:color w:val="000000"/>
          <w:position w:val="0"/>
        </w:rPr>
        <w:t>18</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аномалии почек, рук, глаз (преимущественно с правой стороны) и сердца, пальцы длинные, переразгиба- ющиеся.</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Сердечные аномалии: дефект межжелудочковой перего</w:t>
        <w:softHyphen/>
        <w:t>родки.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49,ХХХХУ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круглое лицо, гипертелоризм, прогнатизм, умственная отсталость, скелетные деформации, гипопла</w:t>
        <w:softHyphen/>
        <w:t>зия гениталий.</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Сердечные аномалии: открытый артериальный проток, дефект межжелудочковой перегородки, стеноз легочной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48ХХХХ и 49ХХХХХ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овальное лицо, гипертелоризм, скелетные де</w:t>
        <w:softHyphen/>
        <w:t>формации, задержка умственного развития.</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Сердечные аномалии: коарктация аорты, открытый арте</w:t>
        <w:softHyphen/>
        <w:t>риальный проток, дефект межжелудочковой перегородки.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ХУУ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короткий рост, задержка пубертатного созре</w:t>
        <w:softHyphen/>
        <w:t>вания, крипторхизм.</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Сердечные аномалии: экстрасистолия, связанная с уко</w:t>
        <w:softHyphen/>
        <w:t>рочением интервала Р</w:t>
      </w:r>
      <w:r>
        <w:rPr>
          <w:lang w:val="en-US" w:eastAsia="en-US" w:bidi="en-US"/>
          <w:w w:val="100"/>
          <w:spacing w:val="0"/>
          <w:color w:val="000000"/>
          <w:position w:val="0"/>
        </w:rPr>
        <w:t>-Q.</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69 </w:t>
      </w:r>
      <w:r>
        <w:rPr>
          <w:lang w:val="en-US" w:eastAsia="en-US" w:bidi="en-US"/>
          <w:w w:val="100"/>
          <w:spacing w:val="0"/>
          <w:color w:val="000000"/>
          <w:position w:val="0"/>
        </w:rPr>
        <w:t>TOploidy</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Фенотип: низкий вес при рождении, асимметрия тела, гипотония, синдактилия 3 и 4 пальцев, умственная отста</w:t>
        <w:softHyphen/>
        <w:t>лость, гидроцефалия, голопрозэнцефалия, гипоспадия, крипторхизм.</w:t>
      </w:r>
    </w:p>
    <w:p>
      <w:pPr>
        <w:pStyle w:val="Style30"/>
        <w:widowControl w:val="0"/>
        <w:keepNext w:val="0"/>
        <w:keepLines w:val="0"/>
        <w:shd w:val="clear" w:color="auto" w:fill="auto"/>
        <w:bidi w:val="0"/>
        <w:spacing w:before="0" w:after="182"/>
        <w:ind w:left="0" w:right="0" w:firstLine="280"/>
      </w:pPr>
      <w:r>
        <w:rPr>
          <w:lang w:val="ru-RU" w:eastAsia="ru-RU" w:bidi="ru-RU"/>
          <w:w w:val="100"/>
          <w:spacing w:val="0"/>
          <w:color w:val="000000"/>
          <w:position w:val="0"/>
        </w:rPr>
        <w:t>Сердечные аномалии: дефект межжелудочковой перего</w:t>
        <w:softHyphen/>
        <w:t>родки, дефект межпредсердной перегородки, открытый ар</w:t>
        <w:softHyphen/>
        <w:t>териальный проток.</w:t>
      </w:r>
    </w:p>
    <w:p>
      <w:pPr>
        <w:pStyle w:val="Style28"/>
        <w:widowControl w:val="0"/>
        <w:keepNext/>
        <w:keepLines/>
        <w:shd w:val="clear" w:color="auto" w:fill="auto"/>
        <w:bidi w:val="0"/>
        <w:jc w:val="left"/>
        <w:spacing w:before="0" w:after="178" w:line="288" w:lineRule="exact"/>
        <w:ind w:left="0" w:right="0" w:firstLine="0"/>
      </w:pPr>
      <w:bookmarkStart w:id="684" w:name="bookmark684"/>
      <w:r>
        <w:rPr>
          <w:lang w:val="ru-RU" w:eastAsia="ru-RU" w:bidi="ru-RU"/>
          <w:w w:val="100"/>
          <w:spacing w:val="0"/>
          <w:color w:val="000000"/>
          <w:position w:val="0"/>
        </w:rPr>
        <w:t>Поражение миокарда при нервно-мышечных заболеваниях</w:t>
      </w:r>
      <w:bookmarkEnd w:id="68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Эпидемиология, этиология и патогенетические меха</w:t>
        <w:softHyphen/>
        <w:t>низмы развития кардиомиопатий до сих пор вызывают множество вопросов. В настоящее время, когда полностью расшифрован геном человека, возможен новый взгляд на эти проблемы. На современном этапе выделяют три основ</w:t>
        <w:softHyphen/>
        <w:t>ные причины возникновения кардиомиопатий: генетичес</w:t>
        <w:softHyphen/>
        <w:t xml:space="preserve">кий дефект, воздействие вирусов, аутоиммунный конфликт </w:t>
      </w:r>
      <w:r>
        <w:rPr>
          <w:lang w:val="en-US" w:eastAsia="en-US" w:bidi="en-US"/>
          <w:w w:val="100"/>
          <w:spacing w:val="0"/>
          <w:color w:val="000000"/>
          <w:position w:val="0"/>
        </w:rPr>
        <w:t xml:space="preserve">(Bender J.R. </w:t>
      </w:r>
      <w:r>
        <w:rPr>
          <w:lang w:val="ru-RU" w:eastAsia="ru-RU" w:bidi="ru-RU"/>
          <w:w w:val="100"/>
          <w:spacing w:val="0"/>
          <w:color w:val="000000"/>
          <w:position w:val="0"/>
        </w:rPr>
        <w:t xml:space="preserve">1997; </w:t>
      </w:r>
      <w:r>
        <w:rPr>
          <w:lang w:val="en-US" w:eastAsia="en-US" w:bidi="en-US"/>
          <w:w w:val="100"/>
          <w:spacing w:val="0"/>
          <w:color w:val="000000"/>
          <w:position w:val="0"/>
        </w:rPr>
        <w:t xml:space="preserve">Matsumori A., </w:t>
      </w:r>
      <w:r>
        <w:rPr>
          <w:lang w:val="ru-RU" w:eastAsia="ru-RU" w:bidi="ru-RU"/>
          <w:w w:val="100"/>
          <w:spacing w:val="0"/>
          <w:color w:val="000000"/>
          <w:position w:val="0"/>
        </w:rPr>
        <w:t xml:space="preserve">1997; </w:t>
      </w:r>
      <w:r>
        <w:rPr>
          <w:lang w:val="en-US" w:eastAsia="en-US" w:bidi="en-US"/>
          <w:w w:val="100"/>
          <w:spacing w:val="0"/>
          <w:color w:val="000000"/>
          <w:position w:val="0"/>
        </w:rPr>
        <w:t xml:space="preserve">Matsumori A., Sasayama S., 2000; Shiga N. et al., 2000). </w:t>
      </w:r>
      <w:r>
        <w:rPr>
          <w:lang w:val="ru-RU" w:eastAsia="ru-RU" w:bidi="ru-RU"/>
          <w:w w:val="100"/>
          <w:spacing w:val="0"/>
          <w:color w:val="000000"/>
          <w:position w:val="0"/>
        </w:rPr>
        <w:t>В данной главе мы хотим остановиться на генетически детерминированных кардиомиопатиях, которые развиваются на фоне наслед</w:t>
        <w:softHyphen/>
        <w:t>ственных нервно-мышечных заболеваний, а именно про</w:t>
        <w:softHyphen/>
        <w:t>грессирующих мышечных дистрофий (ПМД).</w:t>
      </w:r>
    </w:p>
    <w:p>
      <w:pPr>
        <w:pStyle w:val="Style30"/>
        <w:widowControl w:val="0"/>
        <w:keepNext w:val="0"/>
        <w:keepLines w:val="0"/>
        <w:shd w:val="clear" w:color="auto" w:fill="auto"/>
        <w:bidi w:val="0"/>
        <w:spacing w:before="0" w:after="0"/>
        <w:ind w:left="0" w:right="0" w:firstLine="280"/>
      </w:pPr>
      <w:r>
        <w:pict>
          <v:shape id="_x0000_s1653" type="#_x0000_t75" style="position:absolute;margin-left:137.3pt;margin-top:736.8pt;width:209.75pt;height:14.9pt;z-index:-125828944;mso-wrap-distance-left:136.8pt;mso-wrap-distance-right:148.1pt;mso-wrap-distance-bottom:10.8pt;mso-position-horizontal-relative:margin;mso-position-vertical-relative:margin" wrapcoords="0 0 21600 0 21600 21600 0 21600 0 0">
            <v:imagedata r:id="rId1048" r:href="rId1049"/>
            <w10:wrap type="topAndBottom" anchorx="margin" anchory="margin"/>
          </v:shape>
        </w:pict>
      </w:r>
      <w:r>
        <w:rPr>
          <w:lang w:val="ru-RU" w:eastAsia="ru-RU" w:bidi="ru-RU"/>
          <w:w w:val="100"/>
          <w:spacing w:val="0"/>
          <w:color w:val="000000"/>
          <w:position w:val="0"/>
        </w:rPr>
        <w:t>В ряду причин, вызывающих кардиомиопатии, весьма значительна роль генов, ответственных за развитие про-</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грессирующей мышечной дистрофии: по данным </w:t>
      </w:r>
      <w:r>
        <w:rPr>
          <w:lang w:val="en-US" w:eastAsia="en-US" w:bidi="en-US"/>
          <w:w w:val="100"/>
          <w:spacing w:val="0"/>
          <w:color w:val="000000"/>
          <w:position w:val="0"/>
        </w:rPr>
        <w:t xml:space="preserve">Heart Muscle Disease Study Group, </w:t>
      </w:r>
      <w:r>
        <w:rPr>
          <w:lang w:val="ru-RU" w:eastAsia="ru-RU" w:bidi="ru-RU"/>
          <w:w w:val="100"/>
          <w:spacing w:val="0"/>
          <w:color w:val="000000"/>
          <w:position w:val="0"/>
        </w:rPr>
        <w:t>среди всех аутосомно-доми- нантно наследуемых дилатационных кардиомиопатий (а они составляют около 56% всех дилатационных кардио</w:t>
        <w:softHyphen/>
        <w:t>миопатий) 10% приходится на долю гена, ответственного за развитие прогрессирующей мышечной дистрофии Эмери- Дрейфусса (ламин А/С ген). При этом поражение скелет</w:t>
        <w:softHyphen/>
        <w:t>ных мышц нередко бывает субклиническим. Среди Х-сцеп- ленно наследуемых дилатационных кардиомиопатий (по данным тех же исследователей, они составляют 10% всех дилатационных кардиомиопатий) большинство вызвано делециями гена дистрофина, ответственного за развитие миодистрофий Дюшенна и Беккера. При этом поражения скелетных мышц может не быть вообще (если делеция за</w:t>
        <w:softHyphen/>
        <w:t>хватывает только область гена, ответственную за синтез ди- строфина сердечной мышцы) или наблюдаться в различной степени тяжести, что зависит от конкретной делеции.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Вышеуказанные факты подтверждаются и другими ис</w:t>
        <w:softHyphen/>
        <w:t>следователями: «модное» в настоящее время проведение скрининговых обследований больных дилатационной кар</w:t>
        <w:softHyphen/>
        <w:t>диомиопатией (без клинически видимого сопутствующего поражения скелетных мышц) на предмет выявления мута</w:t>
        <w:softHyphen/>
        <w:t>ций гена дистрофии Эмери-Дрейфусса (ламин А/С ген) весьма часто и неожиданно дает положительные результа</w:t>
        <w:softHyphen/>
        <w:t>ты. Причем мышечная слабость диагностируется уже по</w:t>
        <w:softHyphen/>
        <w:t>том, после обнаружения делеции гена, когда больного при</w:t>
        <w:softHyphen/>
        <w:t>стально опрашивают и исследуют на предмет наличия мио- патического синдрома.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наследственных нервно-мышечных заболеваний составляет от 2 до 12,9 на 100 000 населения (П.АТемин, М.Ю.Никанорова, 1998). Около половины данной частоты составляют больные ПМД. К наиболее часто встречающим</w:t>
        <w:softHyphen/>
        <w:t>ся в детском возрасте прогрессирующим мышечным дистро</w:t>
        <w:softHyphen/>
        <w:t>фиям относят: ПМД Дюшенна, ПМД Беккера, ПМД Эмери- Дрейфусса, ПМД Эрба-Ротта и ПМД Ландузи-Дежерина.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Этиология поражения сердечной мышцы при прогрес</w:t>
        <w:softHyphen/>
        <w:t>сирующих мышечных дистрофиях в последние годы под</w:t>
        <w:softHyphen/>
        <w:t>верглась внимательному изучению. Широко известен тот факт, что летальный исход большинства прогрессирующих мышечных дистрофий определяется именно поражением сердечно-сосудистой системы с развитием застойной сер</w:t>
        <w:softHyphen/>
        <w:t>дечной недостаточности или жизнеугрожаемых нарушений ритма и проводимости сердца (Темин П.А. с соавт., 1997; Белозеров Ю.М. с соавт., 1999; Страхова О.С., 1999). Вовле</w:t>
        <w:softHyphen/>
        <w:t>чение в процесс сердечной мышцы определяется тем, что структурные белки, генетически детерминированный недо</w:t>
        <w:softHyphen/>
        <w:t>статок которых определяется в скелетных мышцах, отсут</w:t>
        <w:softHyphen/>
        <w:t xml:space="preserve">ствуют и в мышце сердца </w:t>
      </w:r>
      <w:r>
        <w:rPr>
          <w:lang w:val="en-US" w:eastAsia="en-US" w:bidi="en-US"/>
          <w:w w:val="100"/>
          <w:spacing w:val="0"/>
          <w:color w:val="000000"/>
          <w:position w:val="0"/>
        </w:rPr>
        <w:t xml:space="preserve">(Bione S., </w:t>
      </w:r>
      <w:r>
        <w:rPr>
          <w:lang w:val="ru-RU" w:eastAsia="ru-RU" w:bidi="ru-RU"/>
          <w:w w:val="100"/>
          <w:spacing w:val="0"/>
          <w:color w:val="000000"/>
          <w:position w:val="0"/>
        </w:rPr>
        <w:t xml:space="preserve">1994; </w:t>
      </w:r>
      <w:r>
        <w:rPr>
          <w:lang w:val="en-US" w:eastAsia="en-US" w:bidi="en-US"/>
          <w:w w:val="100"/>
          <w:spacing w:val="0"/>
          <w:color w:val="000000"/>
          <w:position w:val="0"/>
        </w:rPr>
        <w:t>Maeda M. et al., 1995; Nagano A. et al., 1996).</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В </w:t>
      </w:r>
      <w:r>
        <w:rPr>
          <w:lang w:val="en-US" w:eastAsia="en-US" w:bidi="en-US"/>
          <w:w w:val="100"/>
          <w:spacing w:val="0"/>
          <w:color w:val="000000"/>
          <w:position w:val="0"/>
        </w:rPr>
        <w:t xml:space="preserve">1998 </w:t>
      </w:r>
      <w:r>
        <w:rPr>
          <w:lang w:val="ru-RU" w:eastAsia="ru-RU" w:bidi="ru-RU"/>
          <w:w w:val="100"/>
          <w:spacing w:val="0"/>
          <w:color w:val="000000"/>
          <w:position w:val="0"/>
        </w:rPr>
        <w:t xml:space="preserve">году </w:t>
      </w:r>
      <w:r>
        <w:rPr>
          <w:lang w:val="en-US" w:eastAsia="en-US" w:bidi="en-US"/>
          <w:w w:val="100"/>
          <w:spacing w:val="0"/>
          <w:color w:val="000000"/>
          <w:position w:val="0"/>
        </w:rPr>
        <w:t xml:space="preserve">Towbin </w:t>
      </w:r>
      <w:r>
        <w:rPr>
          <w:lang w:val="ru-RU" w:eastAsia="ru-RU" w:bidi="ru-RU"/>
          <w:w w:val="100"/>
          <w:spacing w:val="0"/>
          <w:color w:val="000000"/>
          <w:position w:val="0"/>
        </w:rPr>
        <w:t>с соавторами на основе иммуногисто</w:t>
        <w:softHyphen/>
        <w:t>химического окрашивания эндомиокардиальных биопта- тов у больных прогрессирующей мышечной дистрофией Дюшенна доказали, что причиной развития кардиомиопа</w:t>
        <w:softHyphen/>
        <w:t xml:space="preserve">тии у этих больных является дефицит белка дистрофина в сердечной мышце. В 1996 году </w:t>
      </w:r>
      <w:r>
        <w:rPr>
          <w:lang w:val="en-US" w:eastAsia="en-US" w:bidi="en-US"/>
          <w:w w:val="100"/>
          <w:spacing w:val="0"/>
          <w:color w:val="000000"/>
          <w:position w:val="0"/>
        </w:rPr>
        <w:t xml:space="preserve">Nagano A. </w:t>
      </w:r>
      <w:r>
        <w:rPr>
          <w:lang w:val="ru-RU" w:eastAsia="ru-RU" w:bidi="ru-RU"/>
          <w:w w:val="100"/>
          <w:spacing w:val="0"/>
          <w:color w:val="000000"/>
          <w:position w:val="0"/>
        </w:rPr>
        <w:t>с соавторами до</w:t>
        <w:softHyphen/>
        <w:t>казали этиологическую роль белка эмерина в развитии кар</w:t>
        <w:softHyphen/>
        <w:t>диомиопатии и нарушений ритма и проводимости сердца у больных ПМД Эмери-Дрейфусса. В настоящее время ак</w:t>
        <w:softHyphen/>
        <w:t>тивную дискуссию вызывает вопрос развития кардиомио</w:t>
        <w:softHyphen/>
        <w:t>патии при различных формах ПМД Эрба-Ротта и ПМД Ландузи-Дежерина. Известны локализация генов, ответ</w:t>
        <w:softHyphen/>
        <w:t>ственных за развитие заболевания, и даже отдельные про</w:t>
        <w:softHyphen/>
        <w:br w:type="column"/>
        <w:t>дукты генов. Однако роль их в этиологии кардиомиопати- ческого процесса изучена недостаточно.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Патогенетические механизмы течения патологического процесса в сердечной мышце при ПМД также еще далеки от окончательного понимания. Наиболее вероятными на настоящий момент представляются следующие патогене</w:t>
        <w:softHyphen/>
        <w:t>тические пути реализации генетического дефекта: отсут</w:t>
        <w:softHyphen/>
        <w:t>ствие или резкий дефицит какого -либо из структурных бел - ков приводит к дефекту строения кардиомиоцита. Первич</w:t>
        <w:softHyphen/>
        <w:t>ный дефект строения сердечной мышцы ведет к легкости повреждения кардиомиоцитов даже при обычной физиоло - гической нагрузке на сердечную мышцу. Повреждение кле</w:t>
        <w:softHyphen/>
        <w:t>ток на фоне первичного дефекта их строения лишь в малой степени может быть восполнено за счет процессов регене</w:t>
        <w:softHyphen/>
        <w:t>рации. В большинстве случаев повреждение клетки приво</w:t>
        <w:softHyphen/>
        <w:t>дит к ее некрозу, который сопровождается асептической воспалительной реакцией и выделением цитокинов. Цито</w:t>
        <w:softHyphen/>
        <w:t>кины и факторы роста, высвобождающиеся в результате воспалительных реакций, стимулируют пролиферацию фи</w:t>
        <w:softHyphen/>
        <w:t>бробластов и разрастание соединительной ткани, что ведет к фиброзу.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Такой механизм повреждения сердечной мышцы харак</w:t>
        <w:softHyphen/>
        <w:t>терен для всех форм ПМД, а вот темпы фиброзирования миокарда различны: наиболее быстро процесс протекает при ПМД Дюшенна. ПМД Беккера характеризуется посте</w:t>
        <w:softHyphen/>
        <w:t>пенным развитием фиброза. В обоих случаях развивается диффузный фиброз сердечной мышцы, который изначаль</w:t>
        <w:softHyphen/>
        <w:t>но локализуется, как правило, в области задней стенки ле</w:t>
        <w:softHyphen/>
        <w:t>вого желудочка. В дальнейшем фиброз распространяется на весь миокард левого, а потом и правого желудочков. Имен</w:t>
        <w:softHyphen/>
        <w:t>но раннее фиброзирование, по-видимому, препятствует развитию выраженной кардиомегалии даже при резком снижении сократительной способности миокарда у этих больных.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больных ПМД Эмери-Дрейфусса фиброзирование сердечной мышцы идет медленнее, а компенсаторные про</w:t>
        <w:softHyphen/>
        <w:t>цессы гипертрофии кардиомиоцитов настолько активны, что приводят к утолщению миокарда. Функциональные возможности сердечной мышцы остаются сохранными на протяжении нескольких десятилетий. Характер фиброза при ПМД Эмери-Дрейфусса особый — сначала наблюдает</w:t>
        <w:softHyphen/>
        <w:t>ся достаточно быстрое фиброзирование правого предсер</w:t>
        <w:softHyphen/>
        <w:t>дия, из-за чего оно резко дилатируется, затем — левого, и на этом фоне происходит также мелкоочаговый фиброз в об</w:t>
        <w:softHyphen/>
        <w:t>ласти межжелудочковой перегородки. Плотность гиперэхо - генных образований может варьировать от плотности кла</w:t>
        <w:softHyphen/>
        <w:t>панов до почти кальцинатов. Размер фиброзных включе</w:t>
        <w:softHyphen/>
        <w:t>ний достигает 5 мм в диаметре. По нашим наблюдениям, именно очаговое фиброзирование миокарда в области меж</w:t>
        <w:softHyphen/>
        <w:t>желудочковой перегородки сопровождается выраженными нарушениями ритма и проводимости сердца.</w:t>
      </w:r>
    </w:p>
    <w:p>
      <w:pPr>
        <w:pStyle w:val="Style30"/>
        <w:widowControl w:val="0"/>
        <w:keepNext w:val="0"/>
        <w:keepLines w:val="0"/>
        <w:shd w:val="clear" w:color="auto" w:fill="auto"/>
        <w:bidi w:val="0"/>
        <w:spacing w:before="0" w:after="0"/>
        <w:ind w:left="0" w:right="0" w:firstLine="280"/>
      </w:pPr>
      <w:r>
        <w:pict>
          <v:shape id="_x0000_s1654" type="#_x0000_t75" style="position:absolute;margin-left:148.55pt;margin-top:736.8pt;width:209.75pt;height:14.9pt;z-index:-125828943;mso-wrap-distance-left:148.1pt;mso-wrap-distance-right:136.8pt;mso-wrap-distance-bottom:10.8pt;mso-position-horizontal-relative:margin;mso-position-vertical-relative:margin" wrapcoords="0 0 21600 0 21600 21600 0 21600 0 0">
            <v:imagedata r:id="rId1050" r:href="rId1051"/>
            <w10:wrap type="topAndBottom" anchorx="margin" anchory="margin"/>
          </v:shape>
        </w:pict>
      </w:r>
      <w:r>
        <w:rPr>
          <w:lang w:val="ru-RU" w:eastAsia="ru-RU" w:bidi="ru-RU"/>
          <w:w w:val="100"/>
          <w:spacing w:val="0"/>
          <w:color w:val="000000"/>
          <w:position w:val="0"/>
        </w:rPr>
        <w:t>У больных ПМД Ландузи-Дежерина развитие дилатаци</w:t>
        <w:softHyphen/>
        <w:t>онной или гипертрофической кардиомиопатии наблюдает</w:t>
        <w:softHyphen/>
        <w:t>ся значительно реже, чем при миопатии Дюшенна/Беккера или Эмери-Дрейфусса. Однако, по данным наших наблю</w:t>
        <w:softHyphen/>
        <w:t>дений (более 20 больных), у них диагностируются выражен</w:t>
        <w:softHyphen/>
        <w:t>ные соединительнотканные нарушения (резкая дилатация синусов Вальсальвы вплоть до формирования аневризмати</w:t>
        <w:softHyphen/>
        <w:t>ческих выпячиваний, пролабирование створок митрально</w:t>
        <w:softHyphen/>
        <w:t>го и трехстворчатого клапанов с наличием регургитации), на фоне которых впоследствии может возникать дилатация желудочков сердца.</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Многообразие форм ПМД Эрба-Ротта, а также недавнее появление возможности ДНК-диагностики заболевания не позволяют в настоящее время с точностью говорить о вари</w:t>
        <w:softHyphen/>
        <w:t>антах поражения сердечной мышцы у таких больных.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Течение кардиомиопатий у больных нервно-мышечны</w:t>
        <w:softHyphen/>
        <w:t>ми заболеваниями, как правило, неуклонно и медленно прогрессирующее.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проявления сердечно-сосудистых наруше</w:t>
        <w:softHyphen/>
        <w:t>ний при ПМД разнообразны как по спектру аномалий, так и по степени тяжести. У больных ПМД Эмери-Дрейфусса наиболее часто в ранних стадиях заболевания выявляется гипертрофическая кардиомиопатия, в поздних — дилата</w:t>
        <w:softHyphen/>
        <w:t>ционная с развитием застойной сердечной недостаточнос</w:t>
        <w:softHyphen/>
        <w:t xml:space="preserve">ти </w:t>
      </w:r>
      <w:r>
        <w:rPr>
          <w:lang w:val="en-US" w:eastAsia="en-US" w:bidi="en-US"/>
          <w:w w:val="100"/>
          <w:spacing w:val="0"/>
          <w:color w:val="000000"/>
          <w:position w:val="0"/>
        </w:rPr>
        <w:t xml:space="preserve">(Buckley A. E. et al., 1999). </w:t>
      </w:r>
      <w:r>
        <w:rPr>
          <w:lang w:val="ru-RU" w:eastAsia="ru-RU" w:bidi="ru-RU"/>
          <w:w w:val="100"/>
          <w:spacing w:val="0"/>
          <w:color w:val="000000"/>
          <w:position w:val="0"/>
        </w:rPr>
        <w:t>Помимо этого могут возникать различные нарушения ритма и проводимости сердца: пред</w:t>
        <w:softHyphen/>
        <w:t>сердная и желудочковая экстрасистолия, мерцание или трепетание предсердий, периоды узлового ритма, синдром слабости синусового узла, атриовентрикулярная блокада с возможным развитием приступов Морганьи-Адамса- Стокса, пароксизмальная тахикардия, паралич предсердий (Белозеров Ю.М., Страхова О.С., 2000). Сердечно-сосудис</w:t>
        <w:softHyphen/>
        <w:t>тые нарушения выявлены у всех наблюдаемых нами боль</w:t>
        <w:softHyphen/>
        <w:t>ных ПМД Эмери-Дрейфусса (7 больных).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Спектр сердечно-сосудистых нарушений у больных ПМД Дюшенна/Беккера на ранних стадиях включает выра</w:t>
        <w:softHyphen/>
        <w:t xml:space="preserve">женную синусовую тахикардию, предсердную экстрасисто- лию, признаки миокардиального фиброза (глубокий зубец </w:t>
      </w:r>
      <w:r>
        <w:rPr>
          <w:lang w:val="en-US" w:eastAsia="en-US" w:bidi="en-US"/>
          <w:w w:val="100"/>
          <w:spacing w:val="0"/>
          <w:color w:val="000000"/>
          <w:position w:val="0"/>
        </w:rPr>
        <w:t xml:space="preserve">Q </w:t>
      </w:r>
      <w:r>
        <w:rPr>
          <w:lang w:val="ru-RU" w:eastAsia="ru-RU" w:bidi="ru-RU"/>
          <w:w w:val="100"/>
          <w:spacing w:val="0"/>
          <w:color w:val="000000"/>
          <w:position w:val="0"/>
        </w:rPr>
        <w:t>в левых грудных отведениях), фиброза предсердий (про</w:t>
        <w:softHyphen/>
        <w:t xml:space="preserve">грессирующее укорочение интервала </w:t>
      </w:r>
      <w:r>
        <w:rPr>
          <w:lang w:val="en-US" w:eastAsia="en-US" w:bidi="en-US"/>
          <w:w w:val="100"/>
          <w:spacing w:val="0"/>
          <w:color w:val="000000"/>
          <w:position w:val="0"/>
        </w:rPr>
        <w:t xml:space="preserve">PQ), </w:t>
      </w:r>
      <w:r>
        <w:rPr>
          <w:lang w:val="ru-RU" w:eastAsia="ru-RU" w:bidi="ru-RU"/>
          <w:w w:val="100"/>
          <w:spacing w:val="0"/>
          <w:color w:val="000000"/>
          <w:position w:val="0"/>
        </w:rPr>
        <w:t>эндомиокарди</w:t>
        <w:softHyphen/>
        <w:t xml:space="preserve">ального фиброза (прогрессирующее удлинение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При развернутой клинической картине заболевания диагностируется дилатационная кардиомиопатия, а также легочная гипертензия (Страхова О.С., 1999). Частота выяв</w:t>
        <w:softHyphen/>
        <w:t>ления сердечно-сосудистых нарушений у больных ПМД Дюшенна/Беккера приближается к 100%.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Следует отметить, что при определенной локализации делеции гена дистрофина (в центромерной области локуса прогрессирующей мышечной дистрофии Дюшенна или между первым экзоном и интроном — </w:t>
      </w:r>
      <w:r>
        <w:rPr>
          <w:lang w:val="en-US" w:eastAsia="en-US" w:bidi="en-US"/>
          <w:w w:val="100"/>
          <w:spacing w:val="0"/>
          <w:color w:val="000000"/>
          <w:position w:val="0"/>
        </w:rPr>
        <w:t xml:space="preserve">Thierfelder L., </w:t>
      </w:r>
      <w:r>
        <w:rPr>
          <w:lang w:val="ru-RU" w:eastAsia="ru-RU" w:bidi="ru-RU"/>
          <w:w w:val="100"/>
          <w:spacing w:val="0"/>
          <w:color w:val="000000"/>
          <w:position w:val="0"/>
        </w:rPr>
        <w:t>1998) дилатационная кардиомиопатия может развиться без ка</w:t>
        <w:softHyphen/>
        <w:t>ких-либо клинических проявлений миопатического синд</w:t>
        <w:softHyphen/>
        <w:t>рома. Молекулярные исследования показали, что при та</w:t>
        <w:softHyphen/>
        <w:t xml:space="preserve">кой мутации страдает синтез </w:t>
      </w:r>
      <w:r>
        <w:rPr>
          <w:lang w:val="en-US" w:eastAsia="en-US" w:bidi="en-US"/>
          <w:w w:val="100"/>
          <w:spacing w:val="0"/>
          <w:color w:val="000000"/>
          <w:position w:val="0"/>
        </w:rPr>
        <w:t>Nffi</w:t>
      </w:r>
      <w:r>
        <w:rPr>
          <w:lang w:val="ru-RU" w:eastAsia="ru-RU" w:bidi="ru-RU"/>
          <w:w w:val="100"/>
          <w:spacing w:val="0"/>
          <w:color w:val="000000"/>
          <w:position w:val="0"/>
        </w:rPr>
        <w:t>-терминала белка дистро- фина и не происходит синтез дистрофина сердечной мыш</w:t>
        <w:softHyphen/>
        <w:t>цы, в то время как дистрофин скелетной мышцы синтези</w:t>
        <w:softHyphen/>
        <w:t xml:space="preserve">руется в полном объеме </w:t>
      </w:r>
      <w:r>
        <w:rPr>
          <w:lang w:val="en-US" w:eastAsia="en-US" w:bidi="en-US"/>
          <w:w w:val="100"/>
          <w:spacing w:val="0"/>
          <w:color w:val="000000"/>
          <w:position w:val="0"/>
        </w:rPr>
        <w:t xml:space="preserve">(Gertz E.W., </w:t>
      </w:r>
      <w:r>
        <w:rPr>
          <w:lang w:val="ru-RU" w:eastAsia="ru-RU" w:bidi="ru-RU"/>
          <w:w w:val="100"/>
          <w:spacing w:val="0"/>
          <w:color w:val="000000"/>
          <w:position w:val="0"/>
        </w:rPr>
        <w:t>1993). Дилатационная кардиомиопатия со сходными клиническими проявления</w:t>
        <w:softHyphen/>
        <w:t>ми может развиваться также у женщин-носителей повреж</w:t>
        <w:softHyphen/>
        <w:t xml:space="preserve">денного гена </w:t>
      </w:r>
      <w:r>
        <w:rPr>
          <w:lang w:val="en-US" w:eastAsia="en-US" w:bidi="en-US"/>
          <w:w w:val="100"/>
          <w:spacing w:val="0"/>
          <w:color w:val="000000"/>
          <w:position w:val="0"/>
        </w:rPr>
        <w:t xml:space="preserve">(Arbustini E., </w:t>
      </w:r>
      <w:r>
        <w:rPr>
          <w:lang w:val="ru-RU" w:eastAsia="ru-RU" w:bidi="ru-RU"/>
          <w:w w:val="100"/>
          <w:spacing w:val="0"/>
          <w:color w:val="000000"/>
          <w:position w:val="0"/>
        </w:rPr>
        <w:t>2000).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сердечно-сосудистых нарушений при ПМД должно быть дифференцированным в зависимости от нозо</w:t>
        <w:softHyphen/>
        <w:t>логической формы, стадии заболевания и спектра выявляе</w:t>
        <w:softHyphen/>
        <w:t>мых аномалий. Однако есть некоторые общие аспекты. Те</w:t>
        <w:softHyphen/>
        <w:t>рапия сердечными гликозидами даже при развитии застой</w:t>
        <w:softHyphen/>
        <w:t>ной сердечной недостаточности имеет весьма малую эф</w:t>
        <w:softHyphen/>
        <w:t>фективность у больных ПМД. Сомнительную эффектив</w:t>
        <w:softHyphen/>
        <w:t xml:space="preserve">ность показывает применение ингибиторов ангиотензин конвертирующего фермента </w:t>
      </w:r>
      <w:r>
        <w:rPr>
          <w:rStyle w:val="CharStyle103"/>
        </w:rPr>
        <w:t>(капотен).</w:t>
      </w:r>
      <w:r>
        <w:rPr>
          <w:lang w:val="ru-RU" w:eastAsia="ru-RU" w:bidi="ru-RU"/>
          <w:w w:val="100"/>
          <w:spacing w:val="0"/>
          <w:color w:val="000000"/>
          <w:position w:val="0"/>
        </w:rPr>
        <w:t xml:space="preserve"> Для терапии сер</w:t>
        <w:softHyphen/>
        <w:t>дечно-сосудистых нарушений у больных ПМД Дюшен- на/Беккера наиболее эффективно использование бета-бло</w:t>
        <w:softHyphen/>
        <w:t xml:space="preserve">каторов </w:t>
      </w:r>
      <w:r>
        <w:rPr>
          <w:rStyle w:val="CharStyle103"/>
        </w:rPr>
        <w:t xml:space="preserve">(атенолол), предуктала, цитохрома-С, </w:t>
      </w:r>
      <w:r>
        <w:rPr>
          <w:rStyle w:val="CharStyle103"/>
          <w:lang w:val="en-US" w:eastAsia="en-US" w:bidi="en-US"/>
        </w:rPr>
        <w:t>L</w:t>
      </w:r>
      <w:r>
        <w:rPr>
          <w:rStyle w:val="CharStyle103"/>
        </w:rPr>
        <w:t xml:space="preserve">-карнитина и коэнзима </w:t>
      </w:r>
      <w:r>
        <w:rPr>
          <w:rStyle w:val="CharStyle103"/>
          <w:lang w:val="en-US" w:eastAsia="en-US" w:bidi="en-US"/>
        </w:rPr>
        <w:t>Q10.</w:t>
      </w:r>
      <w:r>
        <w:rPr>
          <w:lang w:val="en-US" w:eastAsia="en-US" w:bidi="en-US"/>
          <w:w w:val="100"/>
          <w:spacing w:val="0"/>
          <w:color w:val="000000"/>
          <w:position w:val="0"/>
        </w:rPr>
        <w:t xml:space="preserve"> </w:t>
      </w:r>
      <w:r>
        <w:rPr>
          <w:lang w:val="ru-RU" w:eastAsia="ru-RU" w:bidi="ru-RU"/>
          <w:w w:val="100"/>
          <w:spacing w:val="0"/>
          <w:color w:val="000000"/>
          <w:position w:val="0"/>
        </w:rPr>
        <w:t>У больных ПМД Эмери-Дрейфусса для</w:t>
        <w:br w:type="column"/>
        <w:t>коррекции нарушений ритма сердца (включая мерцание- трепетание предсердий, пароксизмальную тахикардию, экстрасистолию) эффективно назначение больших доз пре</w:t>
        <w:softHyphen/>
        <w:t xml:space="preserve">паратов калия (панангин) наряду с высокими дозами </w:t>
      </w:r>
      <w:r>
        <w:rPr>
          <w:lang w:val="en-US" w:eastAsia="en-US" w:bidi="en-US"/>
          <w:w w:val="100"/>
          <w:spacing w:val="0"/>
          <w:color w:val="000000"/>
          <w:position w:val="0"/>
        </w:rPr>
        <w:t>L</w:t>
      </w:r>
      <w:r>
        <w:rPr>
          <w:lang w:val="ru-RU" w:eastAsia="ru-RU" w:bidi="ru-RU"/>
          <w:w w:val="100"/>
          <w:spacing w:val="0"/>
          <w:color w:val="000000"/>
          <w:position w:val="0"/>
        </w:rPr>
        <w:t xml:space="preserve">-карнитина и коэнзима </w:t>
      </w:r>
      <w:r>
        <w:rPr>
          <w:lang w:val="en-US" w:eastAsia="en-US" w:bidi="en-US"/>
          <w:w w:val="100"/>
          <w:spacing w:val="0"/>
          <w:color w:val="000000"/>
          <w:position w:val="0"/>
        </w:rPr>
        <w:t xml:space="preserve">Q10. </w:t>
      </w:r>
      <w:r>
        <w:rPr>
          <w:lang w:val="ru-RU" w:eastAsia="ru-RU" w:bidi="ru-RU"/>
          <w:w w:val="100"/>
          <w:spacing w:val="0"/>
          <w:color w:val="000000"/>
          <w:position w:val="0"/>
        </w:rPr>
        <w:t>Следует отметить, что боль</w:t>
        <w:softHyphen/>
        <w:t>ные ПМД Эмери-Дрейфусса, как правило, имеют противо</w:t>
        <w:softHyphen/>
        <w:t>показания к назначению антиаритмических препаратов (атриовентрикулярная блокада и длительные паузы ритма). Больным ПМД Ландузи-Дежерина при наличии выражен</w:t>
        <w:softHyphen/>
        <w:t xml:space="preserve">ных соединительнотканных нарушений на фоне учащенно - го ритма рекомендовано назначение атенолола в сочетании с кардиотрофической терапией </w:t>
      </w:r>
      <w:r>
        <w:rPr>
          <w:rStyle w:val="CharStyle103"/>
        </w:rPr>
        <w:t>(солкосерил,</w:t>
      </w:r>
      <w:r>
        <w:rPr>
          <w:lang w:val="ru-RU" w:eastAsia="ru-RU" w:bidi="ru-RU"/>
          <w:w w:val="100"/>
          <w:spacing w:val="0"/>
          <w:color w:val="000000"/>
          <w:position w:val="0"/>
        </w:rPr>
        <w:t xml:space="preserve"> </w:t>
      </w:r>
      <w:r>
        <w:rPr>
          <w:lang w:val="en-US" w:eastAsia="en-US" w:bidi="en-US"/>
          <w:w w:val="100"/>
          <w:spacing w:val="0"/>
          <w:color w:val="000000"/>
          <w:position w:val="0"/>
        </w:rPr>
        <w:t>L</w:t>
      </w:r>
      <w:r>
        <w:rPr>
          <w:lang w:val="ru-RU" w:eastAsia="ru-RU" w:bidi="ru-RU"/>
          <w:w w:val="100"/>
          <w:spacing w:val="0"/>
          <w:color w:val="000000"/>
          <w:position w:val="0"/>
        </w:rPr>
        <w:t>-карнитин) и витаминотерапией.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больных с кардиомиопатией, развивающейся на фоне прогрессирующей мышечной дистрофии, имеет некоторые особенности по сравнению с терапией больных изолированной кардиомиопатией. Применение симптома</w:t>
        <w:softHyphen/>
        <w:t>тической терапии препаратами дигиталиса в сочетании с мочегонными препаратами практически не приводит к увеличению сократительной способности миокарда. Больным с дилатационной кардиомиопатией и сопутству</w:t>
        <w:softHyphen/>
        <w:t>ющей сердечной недостаточностью возможно назначение сердечных гликозидов (дигоксин, обычно не более 0,05 мг 2 раза в сутки) в минимальных терапевтических дозах и ди</w:t>
        <w:softHyphen/>
        <w:t>уретиков (чаще всего фуросемид) — до 25 мг в сутки (в за</w:t>
        <w:softHyphen/>
        <w:t>висимости от степени проявлений отечного синдрома). Од</w:t>
        <w:softHyphen/>
        <w:t>нако следует отметить, что исключительно симптоматичес</w:t>
        <w:softHyphen/>
        <w:t>кая коррекция сердечной недостаточности сердечными гликозидами и диуретиками у больных прогрессирующей мышечной дистрофией хотя и позволяет временно улуч</w:t>
        <w:softHyphen/>
        <w:t>шить состояние пациента, тем не менее не способствует продлению срока жизни.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Более целесообразно в случае развития кардиомиопатии и застойной сердечной недостаточности назначение селек</w:t>
        <w:softHyphen/>
        <w:t xml:space="preserve">тивных Р-адреноблокаторов — атенолола в дозе до 0,5-1 мг/кг/сутки (доза делится на два приема) в сочетании с комплексным кардиотрофическим лечением: </w:t>
      </w:r>
      <w:r>
        <w:rPr>
          <w:rStyle w:val="CharStyle103"/>
        </w:rPr>
        <w:t xml:space="preserve">рибоксин </w:t>
      </w:r>
      <w:r>
        <w:rPr>
          <w:lang w:val="ru-RU" w:eastAsia="ru-RU" w:bidi="ru-RU"/>
          <w:w w:val="100"/>
          <w:spacing w:val="0"/>
          <w:color w:val="000000"/>
          <w:position w:val="0"/>
        </w:rPr>
        <w:t xml:space="preserve">0,2 г три раза в день, </w:t>
      </w:r>
      <w:r>
        <w:rPr>
          <w:rStyle w:val="CharStyle103"/>
          <w:lang w:val="en-US" w:eastAsia="en-US" w:bidi="en-US"/>
        </w:rPr>
        <w:t>L</w:t>
      </w:r>
      <w:r>
        <w:rPr>
          <w:rStyle w:val="CharStyle103"/>
        </w:rPr>
        <w:t>-карнитин</w:t>
      </w:r>
      <w:r>
        <w:rPr>
          <w:lang w:val="ru-RU" w:eastAsia="ru-RU" w:bidi="ru-RU"/>
          <w:w w:val="100"/>
          <w:spacing w:val="0"/>
          <w:color w:val="000000"/>
          <w:position w:val="0"/>
        </w:rPr>
        <w:t xml:space="preserve"> в дозе от 10 мг/кг/сутки до 50 мг/кг/сутки во время еды или </w:t>
      </w:r>
      <w:r>
        <w:rPr>
          <w:rStyle w:val="CharStyle103"/>
        </w:rPr>
        <w:t>милдронат</w:t>
      </w:r>
      <w:r>
        <w:rPr>
          <w:lang w:val="ru-RU" w:eastAsia="ru-RU" w:bidi="ru-RU"/>
          <w:w w:val="100"/>
          <w:spacing w:val="0"/>
          <w:color w:val="000000"/>
          <w:position w:val="0"/>
        </w:rPr>
        <w:t xml:space="preserve"> по одной кап</w:t>
        <w:softHyphen/>
        <w:t>суле два раза в день (прием препарата через день). Хороший эффект у больных с выраженными нарушениями процес</w:t>
        <w:softHyphen/>
        <w:t xml:space="preserve">сов реполяризации в миокарде оказывает назначение </w:t>
      </w:r>
      <w:r>
        <w:rPr>
          <w:rStyle w:val="CharStyle103"/>
        </w:rPr>
        <w:t>пред- уктала</w:t>
      </w:r>
      <w:r>
        <w:rPr>
          <w:lang w:val="ru-RU" w:eastAsia="ru-RU" w:bidi="ru-RU"/>
          <w:w w:val="100"/>
          <w:spacing w:val="0"/>
          <w:color w:val="000000"/>
          <w:position w:val="0"/>
        </w:rPr>
        <w:t xml:space="preserve"> в дозе одна таблетка три раза в день во время еды, </w:t>
      </w:r>
      <w:r>
        <w:rPr>
          <w:rStyle w:val="CharStyle103"/>
        </w:rPr>
        <w:t xml:space="preserve">коэнзима </w:t>
      </w:r>
      <w:r>
        <w:rPr>
          <w:rStyle w:val="CharStyle103"/>
          <w:lang w:val="en-US" w:eastAsia="en-US" w:bidi="en-US"/>
        </w:rPr>
        <w:t>Q10</w:t>
      </w:r>
      <w:r>
        <w:rPr>
          <w:lang w:val="en-US" w:eastAsia="en-US" w:bidi="en-US"/>
          <w:w w:val="100"/>
          <w:spacing w:val="0"/>
          <w:color w:val="000000"/>
          <w:position w:val="0"/>
        </w:rPr>
        <w:t xml:space="preserve"> </w:t>
      </w:r>
      <w:r>
        <w:rPr>
          <w:lang w:val="ru-RU" w:eastAsia="ru-RU" w:bidi="ru-RU"/>
          <w:w w:val="100"/>
          <w:spacing w:val="0"/>
          <w:color w:val="000000"/>
          <w:position w:val="0"/>
        </w:rPr>
        <w:t>в дозе не менее 2 мг/кг/сутки (лучший эффект достигается при дозе препарата 100 мг в сутки вне зависи</w:t>
        <w:softHyphen/>
        <w:t>мости от веса ребенка).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Также больным с застойной сердечной недостаточнос</w:t>
        <w:softHyphen/>
        <w:t>тью при прогрессирующих мышечных дистрофиях возмож</w:t>
        <w:softHyphen/>
        <w:t>но назначение ингибиторов ангиотензин конвертирующего фермента в субгипотензивной дозе (</w:t>
      </w:r>
      <w:r>
        <w:rPr>
          <w:rStyle w:val="CharStyle103"/>
        </w:rPr>
        <w:t>капотен</w:t>
      </w:r>
      <w:r>
        <w:rPr>
          <w:lang w:val="ru-RU" w:eastAsia="ru-RU" w:bidi="ru-RU"/>
          <w:w w:val="100"/>
          <w:spacing w:val="0"/>
          <w:color w:val="000000"/>
          <w:position w:val="0"/>
        </w:rPr>
        <w:t xml:space="preserve"> 0,5 мг/кг/сут- ки). Однако мнение исследователей по поводу эффективно</w:t>
        <w:softHyphen/>
        <w:t>сти и целесообразности назначения капотена таким боль</w:t>
        <w:softHyphen/>
        <w:t>ным неоднозначно. Существуют различные схемы приме</w:t>
        <w:softHyphen/>
        <w:t>нения препарата (от 1 мг/кг в сутки до 0,25 мг/кг в сутки; продолжительность лечения в среднем 36 недель). Можно также назначать</w:t>
      </w:r>
      <w:r>
        <w:rPr>
          <w:rStyle w:val="CharStyle103"/>
        </w:rPr>
        <w:t>рамиприл</w:t>
      </w:r>
      <w:r>
        <w:rPr>
          <w:lang w:val="ru-RU" w:eastAsia="ru-RU" w:bidi="ru-RU"/>
          <w:w w:val="100"/>
          <w:spacing w:val="0"/>
          <w:color w:val="000000"/>
          <w:position w:val="0"/>
        </w:rPr>
        <w:t xml:space="preserve"> 2,5 мг/сут в 1-2 приема или </w:t>
      </w:r>
      <w:r>
        <w:rPr>
          <w:rStyle w:val="CharStyle103"/>
        </w:rPr>
        <w:t>фози- ноприл</w:t>
      </w:r>
      <w:r>
        <w:rPr>
          <w:lang w:val="ru-RU" w:eastAsia="ru-RU" w:bidi="ru-RU"/>
          <w:w w:val="100"/>
          <w:spacing w:val="0"/>
          <w:color w:val="000000"/>
          <w:position w:val="0"/>
        </w:rPr>
        <w:t xml:space="preserve"> 10 мг/сут. Назначение ингибиторов ангиотензин конвертирующего фермента не влияет на действие таких препаратов, как сердечные гликозиды, антиаритмические препараты, антагонисты кальциевых каналов, диуретики.</w:t>
      </w:r>
    </w:p>
    <w:p>
      <w:pPr>
        <w:pStyle w:val="Style30"/>
        <w:widowControl w:val="0"/>
        <w:keepNext w:val="0"/>
        <w:keepLines w:val="0"/>
        <w:shd w:val="clear" w:color="auto" w:fill="auto"/>
        <w:bidi w:val="0"/>
        <w:spacing w:before="0" w:after="0"/>
        <w:ind w:left="0" w:right="0" w:firstLine="280"/>
      </w:pPr>
      <w:r>
        <w:pict>
          <v:shape id="_x0000_s1655" type="#_x0000_t75" style="position:absolute;margin-left:137.3pt;margin-top:736.8pt;width:209.75pt;height:14.9pt;z-index:-125828942;mso-wrap-distance-left:136.8pt;mso-wrap-distance-right:148.1pt;mso-wrap-distance-bottom:10.8pt;mso-position-horizontal-relative:margin;mso-position-vertical-relative:margin" wrapcoords="0 0 21600 0 21600 21600 0 21600 0 0">
            <v:imagedata r:id="rId1052" r:href="rId1053"/>
            <w10:wrap type="topAndBottom" anchorx="margin" anchory="margin"/>
          </v:shape>
        </w:pict>
      </w:r>
      <w:r>
        <w:rPr>
          <w:lang w:val="ru-RU" w:eastAsia="ru-RU" w:bidi="ru-RU"/>
          <w:w w:val="100"/>
          <w:spacing w:val="0"/>
          <w:color w:val="000000"/>
          <w:position w:val="0"/>
        </w:rPr>
        <w:t>Поскольку у больных прогрессирующими мышечными дистрофиями и сопутствующей кардиомиопатией, сопро-</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вождающейся застойной сердечной недостаточностью, вы</w:t>
        <w:softHyphen/>
        <w:t>сок риск тромбоэмболических осложнений, необходимо назначение антикоагулянтов. Предотвращение тромбоэм</w:t>
        <w:softHyphen/>
        <w:t xml:space="preserve">болий осуществляется назначением </w:t>
      </w:r>
      <w:r>
        <w:rPr>
          <w:rStyle w:val="CharStyle103"/>
        </w:rPr>
        <w:t>варфарина</w:t>
      </w:r>
      <w:r>
        <w:rPr>
          <w:lang w:val="ru-RU" w:eastAsia="ru-RU" w:bidi="ru-RU"/>
          <w:w w:val="100"/>
          <w:spacing w:val="0"/>
          <w:color w:val="000000"/>
          <w:position w:val="0"/>
        </w:rPr>
        <w:t xml:space="preserve"> в дозе, сни</w:t>
        <w:softHyphen/>
        <w:t>жающей протромбиновый индекс на одну треть (подбира</w:t>
        <w:softHyphen/>
        <w:t>ется индивидуально под контролем коагулограммы). Доза препарата не должна превышать 10 мг/сутки (обычно око</w:t>
        <w:softHyphen/>
        <w:t>ло 2 мг/сут). Дозу меняют в зависимости от показателей ко- агулограммы. При отсутствии возможности контроля коа- гулограммы имеет смысл назначение аспирина в микродо</w:t>
        <w:softHyphen/>
        <w:t>зах (0,5-1 мг/кг/сут утром).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Эффективность противоаритмических препаратов у больных прогрессирующей мышечной дистрофией изуче</w:t>
        <w:softHyphen/>
        <w:t xml:space="preserve">на недостаточно. С целью коррекции аритмий возможно применение препаратов хинидинового ряда </w:t>
      </w:r>
      <w:r>
        <w:rPr>
          <w:rStyle w:val="CharStyle103"/>
        </w:rPr>
        <w:t>(хинидин</w:t>
      </w:r>
      <w:r>
        <w:rPr>
          <w:lang w:val="ru-RU" w:eastAsia="ru-RU" w:bidi="ru-RU"/>
          <w:w w:val="100"/>
          <w:spacing w:val="0"/>
          <w:color w:val="000000"/>
          <w:position w:val="0"/>
        </w:rPr>
        <w:t xml:space="preserve"> и пр.), Р-адреноблокаторов (атенолол 0,5-1 мг/кг/сутки и пр.), бло</w:t>
        <w:softHyphen/>
        <w:t xml:space="preserve">каторов кальциевых каналов </w:t>
      </w:r>
      <w:r>
        <w:rPr>
          <w:rStyle w:val="CharStyle103"/>
        </w:rPr>
        <w:t>(изоптин</w:t>
      </w:r>
      <w:r>
        <w:rPr>
          <w:lang w:val="ru-RU" w:eastAsia="ru-RU" w:bidi="ru-RU"/>
          <w:w w:val="100"/>
          <w:spacing w:val="0"/>
          <w:color w:val="000000"/>
          <w:position w:val="0"/>
        </w:rPr>
        <w:t xml:space="preserve"> в зависимости от веса от 120 мг/сутки, максимальная доза — 480 мг/сут; дозы под</w:t>
        <w:softHyphen/>
        <w:t xml:space="preserve">бирают индивидуально под контролем ЭКГ), </w:t>
      </w:r>
      <w:r>
        <w:rPr>
          <w:rStyle w:val="CharStyle103"/>
        </w:rPr>
        <w:t xml:space="preserve">лидокаина. </w:t>
      </w:r>
      <w:r>
        <w:rPr>
          <w:lang w:val="ru-RU" w:eastAsia="ru-RU" w:bidi="ru-RU"/>
          <w:w w:val="100"/>
          <w:spacing w:val="0"/>
          <w:color w:val="000000"/>
          <w:position w:val="0"/>
        </w:rPr>
        <w:t>Предпочтительное назначение того или иного препарата оп</w:t>
        <w:softHyphen/>
        <w:t>ределяется характером аритмии. Для больных прогрессиру</w:t>
        <w:softHyphen/>
        <w:t>ющей мышечной дистрофией с нарушениями ритма сердца не подходит обычная «рутинная» терапия аритмий, приме</w:t>
        <w:softHyphen/>
        <w:t>няемая у пациентов, не имеющих нервно-мышечных заболе</w:t>
        <w:softHyphen/>
        <w:t>ваний. Лечение аритмий следует проводить, если они сопро</w:t>
        <w:softHyphen/>
        <w:t>вождаются субъективно неприятными ощущениями, спо</w:t>
        <w:softHyphen/>
        <w:t>собствуют появлению недостаточности кровообращения, сопровождаются пресинкопальными и/или синкопальными состояниями или являются жизнеугрожаемыми. И даже при наличии желудочковых аритмий, которые являются жизне</w:t>
        <w:softHyphen/>
        <w:t>угрожаемыми, необходимость проведения противоаритми</w:t>
        <w:softHyphen/>
        <w:t>ческой терапии не является однозначно необходимой, по</w:t>
        <w:softHyphen/>
        <w:t>скольку имеются сведения о меньшей выживаемости боль</w:t>
        <w:softHyphen/>
        <w:t>ных прогрессирующей мышечной дистрофией Дюшен- на/Беккера, имеющих желудочковые эктопии и находящих</w:t>
        <w:softHyphen/>
        <w:t>ся на антиаритмической терапии, по сравнению с аналогич</w:t>
        <w:softHyphen/>
        <w:t>ными пациентами, не получающими антиаритмических препаратов [19; 20]. Подбор антиаритмической терапии не</w:t>
        <w:softHyphen/>
        <w:t>обходимо вести в условиях кардиологического стационара.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синусовой тахикардии на фоне нормальной фракции выброса левого желудочка используют селективные блокато</w:t>
        <w:softHyphen/>
        <w:t>ры Р</w:t>
      </w:r>
      <w:r>
        <w:rPr>
          <w:rStyle w:val="CharStyle32"/>
        </w:rPr>
        <w:t>1</w:t>
      </w:r>
      <w:r>
        <w:rPr>
          <w:lang w:val="ru-RU" w:eastAsia="ru-RU" w:bidi="ru-RU"/>
          <w:w w:val="100"/>
          <w:spacing w:val="0"/>
          <w:color w:val="000000"/>
          <w:position w:val="0"/>
        </w:rPr>
        <w:t xml:space="preserve">-адренорецепторов </w:t>
      </w:r>
      <w:r>
        <w:rPr>
          <w:rStyle w:val="CharStyle103"/>
        </w:rPr>
        <w:t>(бисопролол</w:t>
      </w:r>
      <w:r>
        <w:rPr>
          <w:lang w:val="ru-RU" w:eastAsia="ru-RU" w:bidi="ru-RU"/>
          <w:w w:val="100"/>
          <w:spacing w:val="0"/>
          <w:color w:val="000000"/>
          <w:position w:val="0"/>
        </w:rPr>
        <w:t xml:space="preserve"> или </w:t>
      </w:r>
      <w:r>
        <w:rPr>
          <w:rStyle w:val="CharStyle103"/>
        </w:rPr>
        <w:t>метопролол).</w:t>
      </w:r>
      <w:r>
        <w:rPr>
          <w:lang w:val="ru-RU" w:eastAsia="ru-RU" w:bidi="ru-RU"/>
          <w:w w:val="100"/>
          <w:spacing w:val="0"/>
          <w:color w:val="000000"/>
          <w:position w:val="0"/>
        </w:rPr>
        <w:t xml:space="preserve"> Стар</w:t>
        <w:softHyphen/>
        <w:t>товая доза составляет 0,5 мг/сутки бисопролола или 5 мг/сут</w:t>
        <w:softHyphen/>
        <w:t>ки метопролола соответственно. В последующем дозировку увеличивают до 2,5 мг/сутки бисопролола или 25 мг/сутки метопролола. Увеличение дозы проводят постепенно в тече</w:t>
        <w:softHyphen/>
        <w:t>ние 5-8 недель. Темп наращивания дозы определяется инди</w:t>
        <w:softHyphen/>
        <w:t>видуальной чувствительностью больного. Курс терапии се</w:t>
        <w:softHyphen/>
        <w:t>лективными Р-блокаторами продолжается несколько меся</w:t>
        <w:softHyphen/>
        <w:t>цев. Контроль лечения осуществляется путем исследования уровня норэпинефрина в плазме крови больных. Нормальная концентрация норэпинефрина в плазме крови 450 пг/мл. У больных прогрессирующей мышечной дистрофией, имею</w:t>
        <w:softHyphen/>
        <w:t>щих синусовую тахикардию, она, как правило, превышает нормальные показатели. За время терапии селективными р</w:t>
      </w:r>
      <w:r>
        <w:rPr>
          <w:lang w:val="ru-RU" w:eastAsia="ru-RU" w:bidi="ru-RU"/>
          <w:vertAlign w:val="subscript"/>
          <w:w w:val="100"/>
          <w:spacing w:val="0"/>
          <w:color w:val="000000"/>
          <w:position w:val="0"/>
        </w:rPr>
        <w:t>1</w:t>
      </w:r>
      <w:r>
        <w:rPr>
          <w:lang w:val="ru-RU" w:eastAsia="ru-RU" w:bidi="ru-RU"/>
          <w:w w:val="100"/>
          <w:spacing w:val="0"/>
          <w:color w:val="000000"/>
          <w:position w:val="0"/>
        </w:rPr>
        <w:t>-адреноблокаторами концентрация норэпинефрина в плазме крови снижается до нормальных значений.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Приступы желудочковой тахикардии у больных прогрес</w:t>
        <w:softHyphen/>
        <w:t>сирующей мышечной дистрофией наиболее часто купиру</w:t>
        <w:softHyphen/>
        <w:t xml:space="preserve">ются </w:t>
      </w:r>
      <w:r>
        <w:rPr>
          <w:rStyle w:val="CharStyle103"/>
        </w:rPr>
        <w:t>лидокаином.</w:t>
      </w:r>
      <w:r>
        <w:rPr>
          <w:lang w:val="ru-RU" w:eastAsia="ru-RU" w:bidi="ru-RU"/>
          <w:w w:val="100"/>
          <w:spacing w:val="0"/>
          <w:color w:val="000000"/>
          <w:position w:val="0"/>
        </w:rPr>
        <w:t xml:space="preserve"> Препарат вводят внутривенно вначале струйно в течение 3-4 мин, вводя за это время 50-100 мг препарата, затем продолжают введение капельно, вводя</w:t>
        <w:br w:type="column"/>
        <w:t>в среднем 2 мг/мин до купирования приступа. При супра</w:t>
        <w:softHyphen/>
        <w:t>вентрикулярной пароксизмальной тахикардии более целе</w:t>
        <w:softHyphen/>
        <w:t>сообразным является назначение прокаинамида (внутри</w:t>
        <w:softHyphen/>
        <w:t>венно в дозе 0,2-0,5 г со скоростью 25-50 мг/мин либо вво</w:t>
        <w:softHyphen/>
        <w:t>дят «нагрузочную дозу» 10-12 мг/кг в течение 40-60 минут, а затем производят поддерживающую инфузию из расчета 2-3 мг в минуту). После купирования приступа назначают поддерживающую дозу внутрь по 0,25-0,5 г каждые 4-6 ча</w:t>
        <w:softHyphen/>
        <w:t>сов или внутривенное введение препаратов дигиталиса. Не - обходимо заметить, что сердечные гликозиды у больных прогрессирующей мышечной дистрофией должны исполь</w:t>
        <w:softHyphen/>
        <w:t>зоваться с крайней осторожностью из-за легкости их пере</w:t>
        <w:softHyphen/>
        <w:t>дозировки (к ней предрасполагают гипоксия, снижение по</w:t>
        <w:softHyphen/>
        <w:t>чечной функции и низкий уровень калия в сыворотке кро</w:t>
        <w:softHyphen/>
        <w:t>ви). В отдельных случаях у больных прогрессирующей мы</w:t>
        <w:softHyphen/>
        <w:t>шечной дистрофией Эмери-Дрейфусса для купирования суправентрикулярной тахикардии может быть необходима имплантация дефибриллятора.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Брадиаритмии (брадикардия, паузы синусового ритма, превышающие нормативные значения, атриовентрикуляр</w:t>
        <w:softHyphen/>
        <w:t>ные блокады различной степени) и мерцание-трепетание предсердий наиболее часто встречаются у больных прогрес</w:t>
        <w:softHyphen/>
        <w:t>сирующей мышечной дистрофией Эмери-Дрейфусса, но могут возникать и у больных другими формами прогрес</w:t>
        <w:softHyphen/>
        <w:t>сирующих мышечных дистрофий. Для купирования при</w:t>
        <w:softHyphen/>
        <w:t>ступов брадикардии, сопровождающихся пресинкопальны- ми и/или синкопальными состояниями, используют внут</w:t>
        <w:softHyphen/>
        <w:t>ривенное введение атропина (одномоментно в момент син- копэ для детей старше 10 лет — 1 мл атропина внутривен</w:t>
        <w:softHyphen/>
        <w:t>но). Наиболее часто причиной развития атриовентрикуляр - ной блокады и/или брадиаритмии является передозировка препаратами группы дигиталиса (у больных, имеющих кар</w:t>
        <w:softHyphen/>
        <w:t>диомиопатию, даже стандартно рекомендуемые дозы сер</w:t>
        <w:softHyphen/>
        <w:t>дечных гликозидов могут вызвать симптомы передозиров</w:t>
        <w:softHyphen/>
        <w:t>ки, поскольку масса миокарда у них значительно ниже, чем у здоровых детей, и соответственно меньше рецепторов к препаратам дигиталиса). Поэтому, если у больного воз</w:t>
        <w:softHyphen/>
        <w:t>никла брадиаритмия и/или атриовентрикулярная блокада, нужно сразу же уточнить, получает ли пациент препараты группы дигиталиса. В случае приема препарата необходимо сначала попробовать снизить дозу дигоксина. Если же на</w:t>
        <w:softHyphen/>
        <w:t>рушение проводимости сохраняется и оно сопровождается пресинкопальными и/или синкопальными состояниями, следует использовать внутривенное введение атропина. Хо</w:t>
        <w:softHyphen/>
        <w:t>рошую эффективность при купировании приступов мерца</w:t>
        <w:softHyphen/>
        <w:t>ния-трепетания предсердий у больных миопатией Эмери- Дрейфусса дает применение препаратов калия (детям стар</w:t>
        <w:softHyphen/>
        <w:t>ше 10 лет панангин до 8 таблеток в сутки в течение 2 недель, затем постепенное снижение дозы).</w:t>
      </w:r>
    </w:p>
    <w:p>
      <w:pPr>
        <w:pStyle w:val="Style30"/>
        <w:widowControl w:val="0"/>
        <w:keepNext w:val="0"/>
        <w:keepLines w:val="0"/>
        <w:shd w:val="clear" w:color="auto" w:fill="auto"/>
        <w:bidi w:val="0"/>
        <w:spacing w:before="0" w:after="221"/>
        <w:ind w:left="0" w:right="0" w:firstLine="280"/>
      </w:pPr>
      <w:r>
        <w:rPr>
          <w:lang w:val="ru-RU" w:eastAsia="ru-RU" w:bidi="ru-RU"/>
          <w:w w:val="100"/>
          <w:spacing w:val="0"/>
          <w:color w:val="000000"/>
          <w:position w:val="0"/>
        </w:rPr>
        <w:t>К сожалению, в настоящее время не разработано ради</w:t>
        <w:softHyphen/>
        <w:t>кальных методов лечения прогрессирующих мышечных ди</w:t>
        <w:softHyphen/>
        <w:t>строфий. Но если еще 10 лет назад будущее таких больных представлялось однозначно пессимистичным, то в настоя</w:t>
        <w:softHyphen/>
        <w:t>щее время успехи генной инженерии, а также методов трансплантации мышечной ткани внушают определенный оптимизм в не столь отдаленном будущем.</w:t>
      </w:r>
    </w:p>
    <w:p>
      <w:pPr>
        <w:pStyle w:val="Style48"/>
        <w:widowControl w:val="0"/>
        <w:keepNext/>
        <w:keepLines/>
        <w:shd w:val="clear" w:color="auto" w:fill="auto"/>
        <w:bidi w:val="0"/>
        <w:jc w:val="left"/>
        <w:spacing w:before="0" w:after="79" w:line="240" w:lineRule="exact"/>
        <w:ind w:left="0" w:right="0" w:firstLine="0"/>
      </w:pPr>
      <w:bookmarkStart w:id="685" w:name="bookmark685"/>
      <w:r>
        <w:rPr>
          <w:lang w:val="ru-RU" w:eastAsia="ru-RU" w:bidi="ru-RU"/>
          <w:w w:val="100"/>
          <w:spacing w:val="0"/>
          <w:color w:val="000000"/>
          <w:position w:val="0"/>
        </w:rPr>
        <w:t>Прогрессирующая мышечная дистрофия Дюшенна/Беккера</w:t>
      </w:r>
      <w:bookmarkEnd w:id="685"/>
    </w:p>
    <w:p>
      <w:pPr>
        <w:pStyle w:val="Style30"/>
        <w:widowControl w:val="0"/>
        <w:keepNext w:val="0"/>
        <w:keepLines w:val="0"/>
        <w:shd w:val="clear" w:color="auto" w:fill="auto"/>
        <w:bidi w:val="0"/>
        <w:spacing w:before="0" w:after="0"/>
        <w:ind w:left="0" w:right="0" w:firstLine="280"/>
      </w:pPr>
      <w:r>
        <w:pict>
          <v:shape id="_x0000_s1656" type="#_x0000_t75" style="position:absolute;margin-left:148.55pt;margin-top:736.8pt;width:209.75pt;height:14.9pt;z-index:-125828941;mso-wrap-distance-left:148.1pt;mso-wrap-distance-right:136.8pt;mso-wrap-distance-bottom:10.8pt;mso-position-horizontal-relative:margin;mso-position-vertical-relative:margin" wrapcoords="0 0 21600 0 21600 21600 0 21600 0 0">
            <v:imagedata r:id="rId1054" r:href="rId1055"/>
            <w10:wrap type="topAndBottom" anchorx="margin" anchory="margin"/>
          </v:shape>
        </w:pict>
      </w:r>
      <w:r>
        <w:rPr>
          <w:lang w:val="ru-RU" w:eastAsia="ru-RU" w:bidi="ru-RU"/>
          <w:w w:val="100"/>
          <w:spacing w:val="0"/>
          <w:color w:val="000000"/>
          <w:position w:val="0"/>
        </w:rPr>
        <w:t>Первое наблюдение псевдогипертрофической прогрес</w:t>
        <w:softHyphen/>
        <w:t>сирующей мышечной дистрофии Дюшенна относится к се-</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редине XIX века </w:t>
      </w:r>
      <w:r>
        <w:rPr>
          <w:lang w:val="en-US" w:eastAsia="en-US" w:bidi="en-US"/>
          <w:w w:val="100"/>
          <w:spacing w:val="0"/>
          <w:color w:val="000000"/>
          <w:position w:val="0"/>
        </w:rPr>
        <w:t xml:space="preserve">(E.Meryon, </w:t>
      </w:r>
      <w:r>
        <w:rPr>
          <w:lang w:val="ru-RU" w:eastAsia="ru-RU" w:bidi="ru-RU"/>
          <w:w w:val="100"/>
          <w:spacing w:val="0"/>
          <w:color w:val="000000"/>
          <w:position w:val="0"/>
        </w:rPr>
        <w:t xml:space="preserve">1852). В 1868 году </w:t>
      </w:r>
      <w:r>
        <w:rPr>
          <w:lang w:val="en-US" w:eastAsia="en-US" w:bidi="en-US"/>
          <w:w w:val="100"/>
          <w:spacing w:val="0"/>
          <w:color w:val="000000"/>
          <w:position w:val="0"/>
        </w:rPr>
        <w:t xml:space="preserve">G.Duchenne </w:t>
      </w:r>
      <w:r>
        <w:rPr>
          <w:lang w:val="ru-RU" w:eastAsia="ru-RU" w:bidi="ru-RU"/>
          <w:w w:val="100"/>
          <w:spacing w:val="0"/>
          <w:color w:val="000000"/>
          <w:position w:val="0"/>
        </w:rPr>
        <w:t>представил систематизированный анализ болезни, полу</w:t>
        <w:softHyphen/>
        <w:t>чившей впоследствии его имя. Самые ранние симптомы за</w:t>
        <w:softHyphen/>
        <w:t>болевания появляются в 3-5-летнем возрасте (быстрая утом</w:t>
        <w:softHyphen/>
        <w:t>ляемость, трудности при подъеме по лестнице, частые паде</w:t>
        <w:softHyphen/>
        <w:t>ния, псевдогипертрофия мышц). Постепенно прогрессиру</w:t>
        <w:softHyphen/>
        <w:t>ет мышечная слабость (в первую очередь в проксимальных, а затем в дистальных группах мышц конечностей), появля</w:t>
        <w:softHyphen/>
        <w:t>ются гипотрофия, а затем и атрофия мышц, возникают ги</w:t>
        <w:softHyphen/>
        <w:t>перлордоз, сгибательные контрактуры суставов конечнос</w:t>
        <w:softHyphen/>
        <w:t>тей. К 8-10 годам дети теряют способность к самостоятель</w:t>
        <w:softHyphen/>
        <w:t>ной ходьбе (Темин П.А., 1988; Темин П.А. с соавт., 1987). К концу второй декады жизни больные начинают предъяв</w:t>
        <w:softHyphen/>
        <w:t>лять жалобы на одышку и частое сердцебиение особенно в положении лежа, периодически — боли в области сердца (чаще ноющего характера). Летальный исход наступает обычно на рубеже третьей декады жизни от сердечно-легоч</w:t>
        <w:softHyphen/>
        <w:t>ной недостаточности (Бадалян Л.А. с соавт., 1988).</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В 1955 году </w:t>
      </w:r>
      <w:r>
        <w:rPr>
          <w:lang w:val="en-US" w:eastAsia="en-US" w:bidi="en-US"/>
          <w:w w:val="100"/>
          <w:spacing w:val="0"/>
          <w:color w:val="000000"/>
          <w:position w:val="0"/>
        </w:rPr>
        <w:t xml:space="preserve">P.E.Becker </w:t>
      </w:r>
      <w:r>
        <w:rPr>
          <w:lang w:val="ru-RU" w:eastAsia="ru-RU" w:bidi="ru-RU"/>
          <w:w w:val="100"/>
          <w:spacing w:val="0"/>
          <w:color w:val="000000"/>
          <w:position w:val="0"/>
        </w:rPr>
        <w:t xml:space="preserve">и </w:t>
      </w:r>
      <w:r>
        <w:rPr>
          <w:lang w:val="en-US" w:eastAsia="en-US" w:bidi="en-US"/>
          <w:w w:val="100"/>
          <w:spacing w:val="0"/>
          <w:color w:val="000000"/>
          <w:position w:val="0"/>
        </w:rPr>
        <w:t xml:space="preserve">EKiener </w:t>
      </w:r>
      <w:r>
        <w:rPr>
          <w:lang w:val="ru-RU" w:eastAsia="ru-RU" w:bidi="ru-RU"/>
          <w:w w:val="100"/>
          <w:spacing w:val="0"/>
          <w:color w:val="000000"/>
          <w:position w:val="0"/>
        </w:rPr>
        <w:t>на основании собствен</w:t>
        <w:softHyphen/>
        <w:t>ных наблюдений и данных литературы выделили среди па</w:t>
        <w:softHyphen/>
        <w:t>циентов с прогрессирующей мышечной дистрофией Дю- шенна новую нозологическую форму Х-сцепленной мы</w:t>
        <w:softHyphen/>
        <w:t>шечной дистрофии, получившей название прогрессирую</w:t>
        <w:softHyphen/>
        <w:t>щей мышечной дистрофии Беккера. Она отличается более поздним дебютом и доброкачественным течением; часто</w:t>
        <w:softHyphen/>
        <w:t xml:space="preserve">та — 3,2-5 на 100 000 живорожденных мальчиков </w:t>
      </w:r>
      <w:r>
        <w:rPr>
          <w:lang w:val="en-US" w:eastAsia="en-US" w:bidi="en-US"/>
          <w:w w:val="100"/>
          <w:spacing w:val="0"/>
          <w:color w:val="000000"/>
          <w:position w:val="0"/>
        </w:rPr>
        <w:t xml:space="preserve">(Emery A.H., </w:t>
      </w:r>
      <w:r>
        <w:rPr>
          <w:lang w:val="ru-RU" w:eastAsia="ru-RU" w:bidi="ru-RU"/>
          <w:w w:val="100"/>
          <w:spacing w:val="0"/>
          <w:color w:val="000000"/>
          <w:position w:val="0"/>
        </w:rPr>
        <w:t>1991). Первые признаки заболевания появляются позднее, чем при миопатии Дюшенна — в конце первого десятилетия жизни, чаще всего это трудности при подъеме по лестнице, быстрая утомляемость, «утиная» походка с преимущественной опорой на передний отдел стопы, псевдогипертрофия икроножных мышц. Заболевание про</w:t>
        <w:softHyphen/>
        <w:t>грессирует медленно. Сначала в патологический процесс вовлекаются проксимальные отделы конечностей, затем дистальные. Нарастает атрофия мышц. Способность к са</w:t>
        <w:softHyphen/>
        <w:t>мостоятельной ходьбе нередко сохраняется до сорока лет. Летальный исход наступает чаще всего от сердечной недо</w:t>
        <w:softHyphen/>
        <w:t>статочности, нередки случаи внезапной сердечной смерти (Бадалян Л.А. с соавт., 1971).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Этиология. В 1987 году клонирован ген прогрессирую</w:t>
        <w:softHyphen/>
        <w:t xml:space="preserve">щей мышечной дистрофии Дюшенна (Беккера) </w:t>
      </w:r>
      <w:r>
        <w:rPr>
          <w:lang w:val="en-US" w:eastAsia="en-US" w:bidi="en-US"/>
          <w:w w:val="100"/>
          <w:spacing w:val="0"/>
          <w:color w:val="000000"/>
          <w:position w:val="0"/>
        </w:rPr>
        <w:t xml:space="preserve">(Koenig M., </w:t>
      </w:r>
      <w:r>
        <w:rPr>
          <w:lang w:val="ru-RU" w:eastAsia="ru-RU" w:bidi="ru-RU"/>
          <w:w w:val="100"/>
          <w:spacing w:val="0"/>
          <w:color w:val="000000"/>
          <w:position w:val="0"/>
        </w:rPr>
        <w:t>1987). Он картирован в локусе Хр21. Оба заболевания обус</w:t>
        <w:softHyphen/>
        <w:t xml:space="preserve">ловлены мутациями одного и того же гена — гена дистро- фина. В 1988 году обнаружен продукт гена — белок дистро- фин </w:t>
      </w:r>
      <w:r>
        <w:rPr>
          <w:lang w:val="en-US" w:eastAsia="en-US" w:bidi="en-US"/>
          <w:w w:val="100"/>
          <w:spacing w:val="0"/>
          <w:color w:val="000000"/>
          <w:position w:val="0"/>
        </w:rPr>
        <w:t xml:space="preserve">(Hoffman E.P. et al., </w:t>
      </w:r>
      <w:r>
        <w:rPr>
          <w:lang w:val="ru-RU" w:eastAsia="ru-RU" w:bidi="ru-RU"/>
          <w:w w:val="100"/>
          <w:spacing w:val="0"/>
          <w:color w:val="000000"/>
          <w:position w:val="0"/>
        </w:rPr>
        <w:t>1988).</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Дистрофин содержится в скелетных, гладких мышцах, кардиомиоцитах и волокнах Пуркинье </w:t>
      </w:r>
      <w:r>
        <w:rPr>
          <w:lang w:val="en-US" w:eastAsia="en-US" w:bidi="en-US"/>
          <w:w w:val="100"/>
          <w:spacing w:val="0"/>
          <w:color w:val="000000"/>
          <w:position w:val="0"/>
        </w:rPr>
        <w:t xml:space="preserve">(Maeda M. et al.,1995; Boland B.J. et al.,1996), </w:t>
      </w:r>
      <w:r>
        <w:rPr>
          <w:lang w:val="ru-RU" w:eastAsia="ru-RU" w:bidi="ru-RU"/>
          <w:w w:val="100"/>
          <w:spacing w:val="0"/>
          <w:color w:val="000000"/>
          <w:position w:val="0"/>
        </w:rPr>
        <w:t>атакже в клетках централь</w:t>
        <w:softHyphen/>
        <w:t xml:space="preserve">ной нервной системы </w:t>
      </w:r>
      <w:r>
        <w:rPr>
          <w:lang w:val="en-US" w:eastAsia="en-US" w:bidi="en-US"/>
          <w:w w:val="100"/>
          <w:spacing w:val="0"/>
          <w:color w:val="000000"/>
          <w:position w:val="0"/>
        </w:rPr>
        <w:t>(Uchino M. et al.,1994).</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Критериями диагноза ПМД Дюшенна являются:</w:t>
      </w:r>
    </w:p>
    <w:p>
      <w:pPr>
        <w:pStyle w:val="Style30"/>
        <w:numPr>
          <w:ilvl w:val="0"/>
          <w:numId w:val="141"/>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Мужской пол пациента.</w:t>
      </w:r>
    </w:p>
    <w:p>
      <w:pPr>
        <w:pStyle w:val="Style30"/>
        <w:numPr>
          <w:ilvl w:val="0"/>
          <w:numId w:val="141"/>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Тип наследования — рецессивный, связанный с Х-хромосомой.</w:t>
      </w:r>
    </w:p>
    <w:p>
      <w:pPr>
        <w:pStyle w:val="Style30"/>
        <w:numPr>
          <w:ilvl w:val="0"/>
          <w:numId w:val="141"/>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Характерный возраст дебюта: до 5 лет.</w:t>
      </w:r>
    </w:p>
    <w:p>
      <w:pPr>
        <w:pStyle w:val="Style30"/>
        <w:numPr>
          <w:ilvl w:val="0"/>
          <w:numId w:val="141"/>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Поражение сначала проксимальных отделов конеч</w:t>
        <w:softHyphen/>
        <w:t>ностей.</w:t>
      </w:r>
    </w:p>
    <w:p>
      <w:pPr>
        <w:pStyle w:val="Style30"/>
        <w:numPr>
          <w:ilvl w:val="0"/>
          <w:numId w:val="141"/>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Отсутствие птоза и слабости экстраокулярных мышц.</w:t>
      </w:r>
    </w:p>
    <w:p>
      <w:pPr>
        <w:pStyle w:val="Style30"/>
        <w:numPr>
          <w:ilvl w:val="0"/>
          <w:numId w:val="141"/>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Псевдогипертрофии мышц.</w:t>
      </w:r>
    </w:p>
    <w:p>
      <w:pPr>
        <w:pStyle w:val="Style30"/>
        <w:numPr>
          <w:ilvl w:val="0"/>
          <w:numId w:val="141"/>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Отсутствие кожных высыпаний и нарушений чув</w:t>
        <w:softHyphen/>
        <w:t>ствительности.</w:t>
      </w:r>
    </w:p>
    <w:p>
      <w:pPr>
        <w:pStyle w:val="Style30"/>
        <w:numPr>
          <w:ilvl w:val="0"/>
          <w:numId w:val="141"/>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Резко повышенный уровень креатинфосфокиназы в сыворотке крови (как минимум в 10 раз по сравне</w:t>
        <w:softHyphen/>
        <w:br w:type="column"/>
        <w:t>нию с нормативными показателями в какой-либо пе</w:t>
        <w:softHyphen/>
        <w:t>риод болезни).</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Первично-мышечный тип поражения при проведе</w:t>
        <w:softHyphen/>
        <w:t>нии электромиографии; и/или</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Первично-мышечный тип поражения мышц, выяв</w:t>
        <w:softHyphen/>
        <w:t>ляемый при биопсии скелетной мышцы; и/или нали</w:t>
        <w:softHyphen/>
        <w:t>чие в семье родственника(ов) мужского пола, страда- ющего(их) ПМД Дюшенна.</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Быстро прогрессирующее течение с летальным исхо - дом в начале третьего десятилетия жизни.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Критериями диагноза ПМД Беккера являются:</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Мужской пол пациента.</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Тип наследования — рецессивный, связанный с Х-хромосомой.</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Характерный возраст дебюта: после 5 лет (в конце первого десятилетия) жизни.</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Поражение сначала проксимальных отделов конеч</w:t>
        <w:softHyphen/>
        <w:t>ностей.</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Отсутствие птоза и/или слабости экстраокулярных мышц.</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Псевдогипертрофии мышц.</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Отсутствие кожных высыпаний и нарушений чув</w:t>
        <w:softHyphen/>
        <w:t>ствительности.</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Резко повышенный уровень креатинфосфокиназы в сыворотке крови (как минимум в 10 раз по сравне</w:t>
        <w:softHyphen/>
        <w:t>нию с нормативными показателями в какой-либо пе</w:t>
        <w:softHyphen/>
        <w:t>риод болезни).</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Первично-мышечный тип поражения при проведе</w:t>
        <w:softHyphen/>
        <w:t>нии электромиографии; и/или</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Первично-мышечный тип поражения мышц, выяв</w:t>
        <w:softHyphen/>
        <w:t>ляемый при биопсии скелетной мышцы; и/или нали</w:t>
        <w:softHyphen/>
        <w:t>чие в семье родственника(ов) мужского пола, страда- ющего(их) ПМД Беккера.</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Медленно прогрессирующее течение с летальным ис</w:t>
        <w:softHyphen/>
        <w:t>ходом после сорока лет жизни.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Одной из серьезнейших проблем, возникающих у боль</w:t>
        <w:softHyphen/>
        <w:t>ных прогрессирующей мышечной дистрофией Дюшен- на/Беккера, является поражение. В отдельных случаях на ранних стадиях заболевания кардиальные нарушения могут преобладать над поражением скелетных мышц.</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Актуальность проблемы поражения сердечно-сосудис</w:t>
        <w:softHyphen/>
        <w:t>той системы у больных прогрессирующей мышечной дист</w:t>
        <w:softHyphen/>
        <w:t>рофией (ПМД) Дюшенна/Беккера определяется:</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Высокой частотой встречаемости заболевания и тя</w:t>
        <w:softHyphen/>
        <w:t>жестью его проявлений.</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Высокой частотой кардиальных причин смерти (с 1968 по 1993 год она возросла у пациентов с про</w:t>
        <w:softHyphen/>
        <w:t xml:space="preserve">грессирующими мышечными дистрофиями Дюшен- на и Беккера с 44 до 66%; среди них 12% пациентов с миопатией Дюшенна и 22% пациентов с миопатией Беккера умерли от внезапной сердечной смерти </w:t>
      </w:r>
      <w:r>
        <w:rPr>
          <w:lang w:val="en-US" w:eastAsia="en-US" w:bidi="en-US"/>
          <w:w w:val="100"/>
          <w:spacing w:val="0"/>
          <w:color w:val="000000"/>
          <w:position w:val="0"/>
        </w:rPr>
        <w:t xml:space="preserve">(G.Nigro et al., </w:t>
      </w:r>
      <w:r>
        <w:rPr>
          <w:lang w:val="ru-RU" w:eastAsia="ru-RU" w:bidi="ru-RU"/>
          <w:w w:val="100"/>
          <w:spacing w:val="0"/>
          <w:color w:val="000000"/>
          <w:position w:val="0"/>
        </w:rPr>
        <w:t>1993).</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Частым вовлечением сердечно-сосудистой системы в патологический процесс (по данным различных ис</w:t>
        <w:softHyphen/>
        <w:t>следователей, кардиомиопатия с застойной сердеч</w:t>
        <w:softHyphen/>
        <w:t>ной недостаточностью развивается практически у всех пациентов с миопатией Дюшенна старше 18 лет и у большинства пациентов с миопатией Беккера старше 25 лет).</w:t>
      </w:r>
    </w:p>
    <w:p>
      <w:pPr>
        <w:pStyle w:val="Style30"/>
        <w:numPr>
          <w:ilvl w:val="0"/>
          <w:numId w:val="141"/>
        </w:numPr>
        <w:tabs>
          <w:tab w:leader="none" w:pos="519" w:val="left"/>
        </w:tabs>
        <w:widowControl w:val="0"/>
        <w:keepNext w:val="0"/>
        <w:keepLines w:val="0"/>
        <w:shd w:val="clear" w:color="auto" w:fill="auto"/>
        <w:bidi w:val="0"/>
        <w:spacing w:before="0" w:after="0"/>
        <w:ind w:left="520" w:right="0" w:hanging="240"/>
      </w:pPr>
      <w:r>
        <w:pict>
          <v:shape id="_x0000_s1657" type="#_x0000_t75" style="position:absolute;margin-left:137.3pt;margin-top:736.8pt;width:209.75pt;height:14.9pt;z-index:-125828940;mso-wrap-distance-left:136.8pt;mso-wrap-distance-right:148.1pt;mso-wrap-distance-bottom:10.8pt;mso-position-horizontal-relative:margin;mso-position-vertical-relative:margin" wrapcoords="0 0 21600 0 21600 21600 0 21600 0 0">
            <v:imagedata r:id="rId1056" r:href="rId1057"/>
            <w10:wrap type="topAndBottom" anchorx="margin" anchory="margin"/>
          </v:shape>
        </w:pict>
      </w:r>
      <w:r>
        <w:rPr>
          <w:lang w:val="ru-RU" w:eastAsia="ru-RU" w:bidi="ru-RU"/>
          <w:w w:val="100"/>
          <w:spacing w:val="0"/>
          <w:color w:val="000000"/>
          <w:position w:val="0"/>
        </w:rPr>
        <w:t>Высокой частотой выявления поражения сердца при проведении различных функциональных методов ис</w:t>
        <w:softHyphen/>
        <w:t xml:space="preserve">следования </w:t>
      </w:r>
      <w:r>
        <w:rPr>
          <w:lang w:val="en-US" w:eastAsia="en-US" w:bidi="en-US"/>
          <w:w w:val="100"/>
          <w:spacing w:val="0"/>
          <w:color w:val="000000"/>
          <w:position w:val="0"/>
        </w:rPr>
        <w:t xml:space="preserve">Ishikawa Y. et al. </w:t>
      </w:r>
      <w:r>
        <w:rPr>
          <w:lang w:val="ru-RU" w:eastAsia="ru-RU" w:bidi="ru-RU"/>
          <w:w w:val="100"/>
          <w:spacing w:val="0"/>
          <w:color w:val="000000"/>
          <w:position w:val="0"/>
        </w:rPr>
        <w:t>(1995) выявили патологи-</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ческие электрокардиографические изменения прак</w:t>
        <w:softHyphen/>
        <w:t xml:space="preserve">тически у 100% пациентов с миопатией Дюшенна, аналогичный показатель у пациентов с миопатией Беккера составил 70% </w:t>
      </w:r>
      <w:r>
        <w:rPr>
          <w:lang w:val="en-US" w:eastAsia="en-US" w:bidi="en-US"/>
          <w:w w:val="100"/>
          <w:spacing w:val="0"/>
          <w:color w:val="000000"/>
          <w:position w:val="0"/>
        </w:rPr>
        <w:t xml:space="preserve">(Melacini P et al.,1993). </w:t>
      </w:r>
      <w:r>
        <w:rPr>
          <w:lang w:val="ru-RU" w:eastAsia="ru-RU" w:bidi="ru-RU"/>
          <w:w w:val="100"/>
          <w:spacing w:val="0"/>
          <w:color w:val="000000"/>
          <w:position w:val="0"/>
        </w:rPr>
        <w:t>Эхокар</w:t>
        <w:softHyphen/>
        <w:t xml:space="preserve">диографическое обследование </w:t>
      </w:r>
      <w:r>
        <w:rPr>
          <w:lang w:val="en-US" w:eastAsia="en-US" w:bidi="en-US"/>
          <w:w w:val="100"/>
          <w:spacing w:val="0"/>
          <w:color w:val="000000"/>
          <w:position w:val="0"/>
        </w:rPr>
        <w:t xml:space="preserve">(De Kermadek et al., 1994) </w:t>
      </w:r>
      <w:r>
        <w:rPr>
          <w:lang w:val="ru-RU" w:eastAsia="ru-RU" w:bidi="ru-RU"/>
          <w:w w:val="100"/>
          <w:spacing w:val="0"/>
          <w:color w:val="000000"/>
          <w:position w:val="0"/>
        </w:rPr>
        <w:t xml:space="preserve">обнаруживает у </w:t>
      </w:r>
      <w:r>
        <w:rPr>
          <w:lang w:val="en-US" w:eastAsia="en-US" w:bidi="en-US"/>
          <w:w w:val="100"/>
          <w:spacing w:val="0"/>
          <w:color w:val="000000"/>
          <w:position w:val="0"/>
        </w:rPr>
        <w:t xml:space="preserve">85% </w:t>
      </w:r>
      <w:r>
        <w:rPr>
          <w:lang w:val="ru-RU" w:eastAsia="ru-RU" w:bidi="ru-RU"/>
          <w:w w:val="100"/>
          <w:spacing w:val="0"/>
          <w:color w:val="000000"/>
          <w:position w:val="0"/>
        </w:rPr>
        <w:t>больных с дистрофинопа- тией патологические изменения.</w:t>
      </w:r>
    </w:p>
    <w:p>
      <w:pPr>
        <w:pStyle w:val="Style30"/>
        <w:numPr>
          <w:ilvl w:val="0"/>
          <w:numId w:val="141"/>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Малой изученностью проблема: поражения сердеч</w:t>
        <w:softHyphen/>
        <w:t>но-сосудистой системы у пациентов с миопатией Дю- шенна/Беккера, особенно на ранних стадиях заболе</w:t>
        <w:softHyphen/>
        <w:t>вания. В основном исследования 80-х — 90-х годов ох</w:t>
        <w:softHyphen/>
        <w:t>ватывают группы пациентов со средним возрастом около 13 лет при миопатии Дюшенна и около 20 лет при миопатии Беккера, т.е. период ярких клинических проявлений заболевания, сопровождающийся выра</w:t>
        <w:softHyphen/>
        <w:t>женной атрофией мышц. Комплексных исследований сердечно-сосудистой системы на ранних стадиях бо</w:t>
        <w:softHyphen/>
        <w:t>лезни практически не проводилось. Не было попыток выделить клинико-патогенетические варианты пора</w:t>
        <w:softHyphen/>
        <w:t>жения сердечно-сосудистой системы у пациентов с прогрессирующей мышечной дистрофией Дюшенна и Беккера, а также связать стадийность поражения скелетных мышц с клинико-патогенетическими ста</w:t>
        <w:softHyphen/>
        <w:t>диями поражения сердечной мышцы.</w:t>
      </w:r>
    </w:p>
    <w:p>
      <w:pPr>
        <w:pStyle w:val="Style30"/>
        <w:numPr>
          <w:ilvl w:val="0"/>
          <w:numId w:val="141"/>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Отсутствием четких показаний к коррекции сердеч</w:t>
        <w:softHyphen/>
        <w:t>но-сосудистых нарушений у пациентов с прогресси</w:t>
        <w:softHyphen/>
        <w:t>рующей мышечной дистрофией Дюшенна/Беккера на ранних и развернутых стадиях заболевания и дан</w:t>
        <w:softHyphen/>
        <w:t>ных контролируемых исследований по применению лекарств, действующих на сердечно-сосудистую сис</w:t>
        <w:softHyphen/>
        <w:t>тему. Попытки медикаментозной коррекции кардио- миопатических и гемодинамических нарушений у па</w:t>
        <w:softHyphen/>
        <w:t>циентов с миопатиями Дюшенна/Беккера проводи - лись только на стадии сердечной недостаточности (назначение сердечных гликозидов, диуретиков, пре</w:t>
        <w:softHyphen/>
        <w:t>паратов калия, блокаторов ангиотензин конвертиру</w:t>
        <w:softHyphen/>
        <w:t>ющего фермента). Однако введение даже только это</w:t>
        <w:softHyphen/>
        <w:t>го курса терапии позволило с 60-х до 90-х годов про</w:t>
        <w:softHyphen/>
        <w:t>длить жизнь пациентам с прогрессирующей мышеч</w:t>
        <w:softHyphen/>
        <w:t xml:space="preserve">ной дистрофией Дюшенна с 19 до 22 лет </w:t>
      </w:r>
      <w:r>
        <w:rPr>
          <w:lang w:val="en-US" w:eastAsia="en-US" w:bidi="en-US"/>
          <w:w w:val="100"/>
          <w:spacing w:val="0"/>
          <w:color w:val="000000"/>
          <w:position w:val="0"/>
        </w:rPr>
        <w:t xml:space="preserve">(G.Nigro et al., </w:t>
      </w:r>
      <w:r>
        <w:rPr>
          <w:lang w:val="ru-RU" w:eastAsia="ru-RU" w:bidi="ru-RU"/>
          <w:w w:val="100"/>
          <w:spacing w:val="0"/>
          <w:color w:val="000000"/>
          <w:position w:val="0"/>
        </w:rPr>
        <w:t>1993). Попыток выявления и коррекции наруше</w:t>
        <w:softHyphen/>
        <w:t>ний со стороны сердечно-сосудистой системы у па</w:t>
        <w:softHyphen/>
        <w:t>циентов на ранних стадиях заболевания не проводи</w:t>
        <w:softHyphen/>
        <w:t>лось, несмотря на то что кардиологическое лечение способствует продлению срока самостоятельной ходьбы, а это жизненно важно для больных с прогрес</w:t>
        <w:softHyphen/>
        <w:t>сирующими мышечными дистрофиями Дюшенна и Беккера (радикальное лечение — пересадка мио- бластов — наиболее эффективна у больных, не утра</w:t>
        <w:softHyphen/>
        <w:t>тивших способности к самостоятельной ходьбе).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Уже в 70-х годах XX века внимание исследователей при</w:t>
        <w:softHyphen/>
        <w:t>влек тот факт, что, несмотря на выраженные изменения в скелетной мускулатуре, слабость дыхательных мышц и дыхательную недостаточность (это, по мнению исследо</w:t>
        <w:softHyphen/>
        <w:t>вателей, должно было стать основной причиной летального исхода), на первое место в структуре смертности при дан</w:t>
        <w:softHyphen/>
        <w:t xml:space="preserve">ных нозологиях стали выходить миокардиальные причины. По данным </w:t>
      </w:r>
      <w:r>
        <w:rPr>
          <w:lang w:val="en-US" w:eastAsia="en-US" w:bidi="en-US"/>
          <w:w w:val="100"/>
          <w:spacing w:val="0"/>
          <w:color w:val="000000"/>
          <w:position w:val="0"/>
        </w:rPr>
        <w:t xml:space="preserve">G.Nigro et al. </w:t>
      </w:r>
      <w:r>
        <w:rPr>
          <w:lang w:val="ru-RU" w:eastAsia="ru-RU" w:bidi="ru-RU"/>
          <w:w w:val="100"/>
          <w:spacing w:val="0"/>
          <w:color w:val="000000"/>
          <w:position w:val="0"/>
        </w:rPr>
        <w:t>(1993), с 1968 по 1993 год частота миокардиальных причин смерти возросла у пациентов с прогрессирующими мышечными дистрофиями Дюшенна и Беккера с 44 до 66%; среди них 12% пациентов с миопати- ей Дюшенна и 22% пациентов с миопатией Беккера умерли</w:t>
        <w:br w:type="column"/>
        <w:t>от внезапной сердечной смерти. В то же время смертность от дыхательной недостаточности вследствие слабости дыха</w:t>
        <w:softHyphen/>
        <w:t>тельных мышц значительно снизилась благодаря широко - му внедрению в практику миниатюрных аппаратов спон</w:t>
        <w:softHyphen/>
        <w:t>танного дыхания под повышенным парциальным давлени</w:t>
        <w:softHyphen/>
        <w:t>ем (см. табл. 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больных дистрофинопатиями поражение сердеч</w:t>
        <w:softHyphen/>
        <w:t>но-сосудистой системы может быть первичным, вторич</w:t>
        <w:softHyphen/>
        <w:t>ным и смешанного генеза.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настоящее время ученые выделяют три основные при</w:t>
        <w:softHyphen/>
        <w:t>чины первичного вовлечения сердечно-сосудистой системы в патологический процесс при прогрессирующей мышеч</w:t>
        <w:softHyphen/>
        <w:t>ной дистрофии (ПМД) Дюшенна (однако окончательного взгляда на проблему пока еще нет):</w:t>
      </w:r>
    </w:p>
    <w:p>
      <w:pPr>
        <w:pStyle w:val="Style30"/>
        <w:numPr>
          <w:ilvl w:val="0"/>
          <w:numId w:val="141"/>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Дефицит дистрофина в кардиомиоцитах, вставочных дисках и волокнах Пуркинье, обусловленный генети</w:t>
        <w:softHyphen/>
        <w:t>ческим дефектом.</w:t>
      </w:r>
    </w:p>
    <w:p>
      <w:pPr>
        <w:pStyle w:val="Style30"/>
        <w:numPr>
          <w:ilvl w:val="0"/>
          <w:numId w:val="141"/>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Дефицит дистрофинассоциированного гликопротеи - на и других дистрофинассоциированных белков в сердечной мышце </w:t>
      </w:r>
      <w:r>
        <w:rPr>
          <w:lang w:val="en-US" w:eastAsia="en-US" w:bidi="en-US"/>
          <w:w w:val="100"/>
          <w:spacing w:val="0"/>
          <w:color w:val="000000"/>
          <w:position w:val="0"/>
        </w:rPr>
        <w:t>(Roberds S.L. et al.,1993).</w:t>
      </w:r>
    </w:p>
    <w:p>
      <w:pPr>
        <w:pStyle w:val="Style30"/>
        <w:numPr>
          <w:ilvl w:val="0"/>
          <w:numId w:val="141"/>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Наличие у больных миопатией Дюшенна особого ге</w:t>
        <w:softHyphen/>
        <w:t xml:space="preserve">нетически детерминированного варианта строения ангиотензин конвертирующего фермента </w:t>
      </w:r>
      <w:r>
        <w:rPr>
          <w:lang w:val="en-US" w:eastAsia="en-US" w:bidi="en-US"/>
          <w:w w:val="100"/>
          <w:spacing w:val="0"/>
          <w:color w:val="000000"/>
          <w:position w:val="0"/>
        </w:rPr>
        <w:t>(Reynolds M.V. et al.,1993).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Вторичное поражение сердечной мышцы при прогресси</w:t>
        <w:softHyphen/>
        <w:t>рующей мышечной дистрофии Дюшенна возникает вслед</w:t>
        <w:softHyphen/>
        <w:t>ствие:</w:t>
      </w:r>
    </w:p>
    <w:p>
      <w:pPr>
        <w:pStyle w:val="Style30"/>
        <w:numPr>
          <w:ilvl w:val="0"/>
          <w:numId w:val="141"/>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Легочной гипертензии, которая формируется вслед</w:t>
        <w:softHyphen/>
        <w:t>ствие слабости дыхательных мышц. Это приводит к развитию правожелудочковой недостаточности.</w:t>
      </w:r>
    </w:p>
    <w:p>
      <w:pPr>
        <w:pStyle w:val="Style30"/>
        <w:numPr>
          <w:ilvl w:val="0"/>
          <w:numId w:val="141"/>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Сниженной потребности организма в достаточном сердечном выбросе из-за гипоактивности скелетной мускулатуры. Это приводит к снижению массы мио</w:t>
        <w:softHyphen/>
        <w:t>карда левого желудочка.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Наконец, смешанный генез поражения сердечной мыш</w:t>
        <w:softHyphen/>
        <w:t>цы при прогрессирующей мышечной дистрофии Дюшенна объясняется наличием вторичных факторов на фоне уже развившейся кардиомиопатии.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картина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Самые ранние симптомы заболевания при миопатии Дюшенна появляются в 3-5-летнем возрасте (быстрая утомляемость, трудности при подъеме по лестнице, частые падения, псевдогипертрофия мышц). Постепенно прогрес</w:t>
        <w:softHyphen/>
        <w:t>сирует мышечная слабость (в первую очередь в прокси</w:t>
        <w:softHyphen/>
        <w:t>мальных, а затем в дистальных группах мышц конечнос</w:t>
        <w:softHyphen/>
        <w:t>тей), появляется гипотрофия, а затем и атрофия мышц, воз</w:t>
        <w:softHyphen/>
        <w:t>никают гиперлордоз, сгибательные контрактуры суставов конечностей. К 8-10 годам дети теряют способность к само - стоятельной ходьбе. К концу второй декады жизни больные начинают предъявлять жалобы на одышку и частое сердце</w:t>
        <w:softHyphen/>
        <w:t>биение особенно в положении лежа, периодически — боли в области сердца (чаще ноющего характера). Летальный ис</w:t>
        <w:softHyphen/>
        <w:t>ход наступает обычно на рубеже третьей декады жизни от сердечно-легочной недостаточности.</w:t>
      </w:r>
    </w:p>
    <w:p>
      <w:pPr>
        <w:pStyle w:val="Style30"/>
        <w:widowControl w:val="0"/>
        <w:keepNext w:val="0"/>
        <w:keepLines w:val="0"/>
        <w:shd w:val="clear" w:color="auto" w:fill="auto"/>
        <w:bidi w:val="0"/>
        <w:spacing w:before="0" w:after="0"/>
        <w:ind w:left="0" w:right="0" w:firstLine="280"/>
      </w:pPr>
      <w:r>
        <w:pict>
          <v:shape id="_x0000_s1658" type="#_x0000_t75" style="position:absolute;margin-left:148.3pt;margin-top:736.8pt;width:209.75pt;height:14.9pt;z-index:-125828939;mso-wrap-distance-left:147.6pt;mso-wrap-distance-right:136.8pt;mso-wrap-distance-bottom:10.8pt;mso-position-horizontal-relative:margin;mso-position-vertical-relative:margin" wrapcoords="0 0 21600 0 21600 21600 0 21600 0 0">
            <v:imagedata r:id="rId1058" r:href="rId1059"/>
            <w10:wrap type="topAndBottom" anchorx="margin" anchory="margin"/>
          </v:shape>
        </w:pict>
      </w:r>
      <w:r>
        <w:rPr>
          <w:lang w:val="ru-RU" w:eastAsia="ru-RU" w:bidi="ru-RU"/>
          <w:w w:val="100"/>
          <w:spacing w:val="0"/>
          <w:color w:val="000000"/>
          <w:position w:val="0"/>
        </w:rPr>
        <w:t>Первые признаки заболевания при миопатии Беккера появляются позднее, чем при миопатии Дюшенна — в кон</w:t>
        <w:softHyphen/>
        <w:t>це первого десятилетия жизни, чаще всего это трудности при подъеме по лестнице, быстрая утомляемость, «утиная» походка с преимущественной опорой на передний отдел стопы, псевдогипертрофия икроножных мышц. Заболева</w:t>
        <w:softHyphen/>
        <w:t>ние прогрессирует медленно. Сначала в патологический</w:t>
      </w:r>
      <w:r>
        <w:br w:type="page"/>
      </w:r>
    </w:p>
    <w:p>
      <w:pPr>
        <w:pStyle w:val="Style30"/>
        <w:widowControl w:val="0"/>
        <w:keepNext w:val="0"/>
        <w:keepLines w:val="0"/>
        <w:shd w:val="clear" w:color="auto" w:fill="auto"/>
        <w:bidi w:val="0"/>
        <w:spacing w:before="0" w:after="0"/>
        <w:ind w:left="0" w:right="0" w:firstLine="0"/>
      </w:pPr>
      <w:r>
        <w:pict>
          <v:shape id="_x0000_s1659" type="#_x0000_t202" style="position:absolute;margin-left:251.65pt;margin-top:142.1pt;width:241.2pt;height:5.e-002pt;z-index:-125828938;mso-wrap-distance-left:5.pt;mso-wrap-distance-right:5.pt;mso-position-horizontal-relative:margin;mso-position-vertical-relative:margin" filled="f" stroked="f">
            <v:textbox style="mso-fit-shape-to-text:t" inset="0,0,0,0">
              <w:txbxContent>
                <w:p>
                  <w:pPr>
                    <w:pStyle w:val="Style139"/>
                    <w:widowControl w:val="0"/>
                    <w:keepNext w:val="0"/>
                    <w:keepLines w:val="0"/>
                    <w:shd w:val="clear" w:color="auto" w:fill="auto"/>
                    <w:bidi w:val="0"/>
                    <w:spacing w:before="0" w:after="0" w:line="216" w:lineRule="exact"/>
                    <w:ind w:left="0" w:right="0" w:firstLine="0"/>
                  </w:pPr>
                  <w:r>
                    <w:rPr>
                      <w:rStyle w:val="CharStyle143"/>
                      <w:b/>
                      <w:bCs/>
                      <w:i/>
                      <w:iCs/>
                    </w:rPr>
                    <w:t>Таблица 24</w:t>
                  </w:r>
                </w:p>
                <w:p>
                  <w:pPr>
                    <w:pStyle w:val="Style96"/>
                    <w:widowControl w:val="0"/>
                    <w:keepNext w:val="0"/>
                    <w:keepLines w:val="0"/>
                    <w:shd w:val="clear" w:color="auto" w:fill="auto"/>
                    <w:bidi w:val="0"/>
                    <w:jc w:val="center"/>
                    <w:spacing w:before="0" w:after="0" w:line="216" w:lineRule="exact"/>
                    <w:ind w:left="0" w:right="0" w:firstLine="0"/>
                  </w:pPr>
                  <w:r>
                    <w:rPr>
                      <w:rStyle w:val="CharStyle97"/>
                    </w:rPr>
                    <w:t>Электрокардиографические нарушения у больных с ПМД Дюшенна и ПМД Беккера в зависимости от возраста (указан % больных с выявленными изменениями)</w:t>
                  </w:r>
                </w:p>
                <w:tbl>
                  <w:tblPr>
                    <w:tblOverlap w:val="never"/>
                    <w:tblLayout w:type="fixed"/>
                    <w:jc w:val="center"/>
                  </w:tblPr>
                  <w:tblGrid>
                    <w:gridCol w:w="2237"/>
                    <w:gridCol w:w="518"/>
                    <w:gridCol w:w="514"/>
                    <w:gridCol w:w="518"/>
                    <w:gridCol w:w="514"/>
                    <w:gridCol w:w="523"/>
                  </w:tblGrid>
                  <w:tr>
                    <w:trPr>
                      <w:trHeight w:val="245" w:hRule="exact"/>
                    </w:trPr>
                    <w:tc>
                      <w:tcPr>
                        <w:shd w:val="clear" w:color="auto" w:fill="FFFFFF"/>
                        <w:gridSpan w:val="6"/>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Больные прогрессирующей мышечной дистрофией Дюшенна</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Возраст (годы)</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80" w:right="0" w:firstLine="0"/>
                        </w:pPr>
                        <w:r>
                          <w:rPr>
                            <w:lang w:val="ru-RU" w:eastAsia="ru-RU" w:bidi="ru-RU"/>
                            <w:w w:val="100"/>
                            <w:spacing w:val="0"/>
                            <w:color w:val="000000"/>
                            <w:position w:val="0"/>
                          </w:rPr>
                          <w:t>2-5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80" w:right="0" w:firstLine="0"/>
                        </w:pPr>
                        <w:r>
                          <w:rPr>
                            <w:lang w:val="ru-RU" w:eastAsia="ru-RU" w:bidi="ru-RU"/>
                            <w:w w:val="100"/>
                            <w:spacing w:val="0"/>
                            <w:color w:val="000000"/>
                            <w:position w:val="0"/>
                          </w:rPr>
                          <w:t>6-7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40" w:right="0" w:firstLine="0"/>
                        </w:pPr>
                        <w:r>
                          <w:rPr>
                            <w:lang w:val="ru-RU" w:eastAsia="ru-RU" w:bidi="ru-RU"/>
                            <w:w w:val="100"/>
                            <w:spacing w:val="0"/>
                            <w:color w:val="000000"/>
                            <w:position w:val="0"/>
                          </w:rPr>
                          <w:t>8-10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11-14</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15-23</w:t>
                        </w:r>
                      </w:p>
                    </w:tc>
                  </w:tr>
                  <w:tr>
                    <w:trPr>
                      <w:trHeight w:val="619"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Процент больных с выявлен</w:t>
                          <w:softHyphen/>
                          <w:t>ными патологическими из</w:t>
                          <w:softHyphen/>
                          <w:t>менениями на ЭКГ</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8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80" w:right="0" w:firstLine="0"/>
                        </w:pPr>
                        <w:r>
                          <w:rPr>
                            <w:lang w:val="ru-RU" w:eastAsia="ru-RU" w:bidi="ru-RU"/>
                            <w:w w:val="100"/>
                            <w:spacing w:val="0"/>
                            <w:color w:val="000000"/>
                            <w:position w:val="0"/>
                          </w:rPr>
                          <w:t>92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40" w:right="0" w:firstLine="0"/>
                        </w:pPr>
                        <w:r>
                          <w:rPr>
                            <w:lang w:val="ru-RU" w:eastAsia="ru-RU" w:bidi="ru-RU"/>
                            <w:w w:val="100"/>
                            <w:spacing w:val="0"/>
                            <w:color w:val="000000"/>
                            <w:position w:val="0"/>
                          </w:rPr>
                          <w:t>100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100</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100</w:t>
                        </w:r>
                      </w:p>
                    </w:tc>
                  </w:tr>
                  <w:tr>
                    <w:trPr>
                      <w:trHeight w:val="235" w:hRule="exact"/>
                    </w:trPr>
                    <w:tc>
                      <w:tcPr>
                        <w:shd w:val="clear" w:color="auto" w:fill="FFFFFF"/>
                        <w:gridSpan w:val="6"/>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Больные прогрессирующей мышечной дистрофией Беккера</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Возраст (годы)</w:t>
                        </w:r>
                      </w:p>
                    </w:tc>
                    <w:tc>
                      <w:tcPr>
                        <w:shd w:val="clear" w:color="auto" w:fill="FFFFFF"/>
                        <w:gridSpan w:val="3"/>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5-12</w:t>
                        </w:r>
                      </w:p>
                    </w:tc>
                    <w:tc>
                      <w:tcPr>
                        <w:shd w:val="clear" w:color="auto" w:fill="FFFFFF"/>
                        <w:gridSpan w:val="2"/>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14-23</w:t>
                        </w:r>
                      </w:p>
                    </w:tc>
                  </w:tr>
                  <w:tr>
                    <w:trPr>
                      <w:trHeight w:val="629"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Процент больных с выявлен</w:t>
                          <w:softHyphen/>
                          <w:t>ными патологическими из</w:t>
                          <w:softHyphen/>
                          <w:t>менениями на ЭКГ</w:t>
                        </w:r>
                      </w:p>
                    </w:tc>
                    <w:tc>
                      <w:tcPr>
                        <w:shd w:val="clear" w:color="auto" w:fill="FFFFFF"/>
                        <w:gridSpan w:val="3"/>
                        <w:tcBorders>
                          <w:lef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75</w:t>
                        </w:r>
                      </w:p>
                    </w:tc>
                    <w:tc>
                      <w:tcPr>
                        <w:shd w:val="clear" w:color="auto" w:fill="FFFFFF"/>
                        <w:gridSpan w:val="2"/>
                        <w:tcBorders>
                          <w:left w:val="single" w:sz="4"/>
                          <w:righ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100</w:t>
                        </w:r>
                      </w:p>
                    </w:tc>
                  </w:tr>
                </w:tbl>
                <w:p>
                  <w:pPr>
                    <w:widowControl w:val="0"/>
                    <w:rPr>
                      <w:sz w:val="2"/>
                      <w:szCs w:val="2"/>
                    </w:rPr>
                  </w:pPr>
                </w:p>
              </w:txbxContent>
            </v:textbox>
            <w10:wrap type="square" side="left" anchorx="margin" anchory="margin"/>
          </v:shape>
        </w:pict>
      </w:r>
      <w:r>
        <w:rPr>
          <w:lang w:val="ru-RU" w:eastAsia="ru-RU" w:bidi="ru-RU"/>
          <w:w w:val="100"/>
          <w:spacing w:val="0"/>
          <w:color w:val="000000"/>
          <w:position w:val="0"/>
        </w:rPr>
        <w:t>процесс вовлекаются проксимальные отделы конечностей, затем дистальные. Нарастает атрофия мышц. Способность к самостоятельной ходьбе нередко сохраняется до сорока лет. Летальный исход наступает чаще всего от сердечной недостаточности, нередки случаи внезапной сердечной смерти.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Функциональные показатели состояния сердечно-сосудис</w:t>
        <w:softHyphen/>
        <w:t>той системы при прогрессирующей мышечной дистрофии Дю- шенна/Беккера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Именно электрокардиография является наиболее до</w:t>
        <w:softHyphen/>
        <w:t>ступным и широко применяемым методом для выявления поражения сердца у больных прогрессирующей мышечной дистрофией Дюшенна/Беккера. Частота выявления элек</w:t>
        <w:softHyphen/>
        <w:t>трокардиографических нарушений у данного контингента больных настолько высока, что этот метод диагностики ре</w:t>
        <w:softHyphen/>
        <w:t>комендуется как скрининговый и обязательный для всех больных данной нозологией.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Именно благодаря широкой доступности метод электро</w:t>
        <w:softHyphen/>
        <w:t>кардиографии позволяет рано диагностировать и просле</w:t>
        <w:softHyphen/>
        <w:t>дить в динамике патологические процессы, протекающие в сердечной мышце при прогрессирующей мышечной дис</w:t>
        <w:softHyphen/>
        <w:t>трофии Дюшенна/Беккера.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По-видимому, электрокардиографические аномалии на</w:t>
        <w:softHyphen/>
        <w:t>блюдаются у больных прогрессирующей мышечной дист</w:t>
        <w:softHyphen/>
        <w:t>рофией Дюшенна/Беккера с первых дней жизни ребенка. Это предположение подтверждает тот факт, что практичес</w:t>
        <w:softHyphen/>
        <w:t>ки не описана такая возрастная группа детей с прогрессиру</w:t>
        <w:softHyphen/>
        <w:t>ющей мышечной дистрофией Дюшенна, в которой данные электрокардиографии были бы сравнимы с общепопуляци</w:t>
        <w:softHyphen/>
        <w:t xml:space="preserve">онными. </w:t>
      </w:r>
      <w:r>
        <w:rPr>
          <w:lang w:val="en-US" w:eastAsia="en-US" w:bidi="en-US"/>
          <w:w w:val="100"/>
          <w:spacing w:val="0"/>
          <w:color w:val="000000"/>
          <w:position w:val="0"/>
        </w:rPr>
        <w:t xml:space="preserve">Backman E. </w:t>
      </w:r>
      <w:r>
        <w:rPr>
          <w:lang w:val="ru-RU" w:eastAsia="ru-RU" w:bidi="ru-RU"/>
          <w:w w:val="100"/>
          <w:spacing w:val="0"/>
          <w:color w:val="000000"/>
          <w:position w:val="0"/>
        </w:rPr>
        <w:t xml:space="preserve">и </w:t>
      </w:r>
      <w:r>
        <w:rPr>
          <w:lang w:val="en-US" w:eastAsia="en-US" w:bidi="en-US"/>
          <w:w w:val="100"/>
          <w:spacing w:val="0"/>
          <w:color w:val="000000"/>
          <w:position w:val="0"/>
        </w:rPr>
        <w:t xml:space="preserve">Nylander E. </w:t>
      </w:r>
      <w:r>
        <w:rPr>
          <w:lang w:val="ru-RU" w:eastAsia="ru-RU" w:bidi="ru-RU"/>
          <w:w w:val="100"/>
          <w:spacing w:val="0"/>
          <w:color w:val="000000"/>
          <w:position w:val="0"/>
        </w:rPr>
        <w:t xml:space="preserve">(1992) описали наличие электрокардиографических аномалий у детей, страдающих мышечной дистрофией Дюшенна, в возрасте 6 лет. </w:t>
      </w:r>
      <w:r>
        <w:rPr>
          <w:lang w:val="en-US" w:eastAsia="en-US" w:bidi="en-US"/>
          <w:w w:val="100"/>
          <w:spacing w:val="0"/>
          <w:color w:val="000000"/>
          <w:position w:val="0"/>
        </w:rPr>
        <w:t xml:space="preserve">Craig M. et al. </w:t>
      </w:r>
      <w:r>
        <w:rPr>
          <w:lang w:val="ru-RU" w:eastAsia="ru-RU" w:bidi="ru-RU"/>
          <w:w w:val="100"/>
          <w:spacing w:val="0"/>
          <w:color w:val="000000"/>
          <w:position w:val="0"/>
        </w:rPr>
        <w:t xml:space="preserve">(1995) выявили электрокардиографические аномалии у больных миопатией Дюшенна уже в 5-летнем возрасте (средний возраст больных в исследовании </w:t>
      </w:r>
      <w:r>
        <w:rPr>
          <w:lang w:val="en-US" w:eastAsia="en-US" w:bidi="en-US"/>
          <w:w w:val="100"/>
          <w:spacing w:val="0"/>
          <w:color w:val="000000"/>
          <w:position w:val="0"/>
        </w:rPr>
        <w:t>Craig M. et al.</w:t>
      </w:r>
    </w:p>
    <w:p>
      <w:pPr>
        <w:pStyle w:val="Style30"/>
        <w:numPr>
          <w:ilvl w:val="0"/>
          <w:numId w:val="143"/>
        </w:numPr>
        <w:tabs>
          <w:tab w:leader="none" w:pos="61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составил 12 лет, а минимальный — 5 лет (около 60% больных к моменту обследования утратили способность к самостоятельной ходьбе). В то же время </w:t>
      </w:r>
      <w:r>
        <w:rPr>
          <w:lang w:val="en-US" w:eastAsia="en-US" w:bidi="en-US"/>
          <w:w w:val="100"/>
          <w:spacing w:val="0"/>
          <w:color w:val="000000"/>
          <w:position w:val="0"/>
        </w:rPr>
        <w:t>Boland B.J. et al.</w:t>
      </w:r>
    </w:p>
    <w:p>
      <w:pPr>
        <w:pStyle w:val="Style30"/>
        <w:numPr>
          <w:ilvl w:val="0"/>
          <w:numId w:val="143"/>
        </w:numPr>
        <w:tabs>
          <w:tab w:leader="none" w:pos="620"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считают, что патологические изменения на электро</w:t>
        <w:softHyphen/>
        <w:t xml:space="preserve">кардиограмме у больных данной нозологией появляются впервые лишь в 13 лет. Такой разброс мнений возник из-за того, что в исследования </w:t>
      </w:r>
      <w:r>
        <w:rPr>
          <w:lang w:val="en-US" w:eastAsia="en-US" w:bidi="en-US"/>
          <w:w w:val="100"/>
          <w:spacing w:val="0"/>
          <w:color w:val="000000"/>
          <w:position w:val="0"/>
        </w:rPr>
        <w:t xml:space="preserve">Boland B.J. et al. (1996) </w:t>
      </w:r>
      <w:r>
        <w:rPr>
          <w:lang w:val="ru-RU" w:eastAsia="ru-RU" w:bidi="ru-RU"/>
          <w:w w:val="100"/>
          <w:spacing w:val="0"/>
          <w:color w:val="000000"/>
          <w:position w:val="0"/>
        </w:rPr>
        <w:t>вошли только больные старше 10 лет.</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Ishikawa Y. et al. (1995) </w:t>
      </w:r>
      <w:r>
        <w:rPr>
          <w:lang w:val="ru-RU" w:eastAsia="ru-RU" w:bidi="ru-RU"/>
          <w:w w:val="100"/>
          <w:spacing w:val="0"/>
          <w:color w:val="000000"/>
          <w:position w:val="0"/>
        </w:rPr>
        <w:t>выявили патологические электро</w:t>
        <w:softHyphen/>
        <w:t>кардиографические изменения практически у 100% боль</w:t>
        <w:softHyphen/>
        <w:t xml:space="preserve">ных с миопатией Дюшенна. Сходные цифры приводят в своих исследованиях </w:t>
      </w:r>
      <w:r>
        <w:rPr>
          <w:lang w:val="en-US" w:eastAsia="en-US" w:bidi="en-US"/>
          <w:w w:val="100"/>
          <w:spacing w:val="0"/>
          <w:color w:val="000000"/>
          <w:position w:val="0"/>
        </w:rPr>
        <w:t xml:space="preserve">Bhattacharyaa K.B. et al. </w:t>
      </w:r>
      <w:r>
        <w:rPr>
          <w:lang w:val="ru-RU" w:eastAsia="ru-RU" w:bidi="ru-RU"/>
          <w:w w:val="100"/>
          <w:spacing w:val="0"/>
          <w:color w:val="000000"/>
          <w:position w:val="0"/>
        </w:rPr>
        <w:t xml:space="preserve">(1997). В спектре выявляемых изменений зарегистрированы глубо - кий зубец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левых грудных и стандартных отведениях, высокий зубец </w:t>
      </w:r>
      <w:r>
        <w:rPr>
          <w:lang w:val="en-US" w:eastAsia="en-US" w:bidi="en-US"/>
          <w:w w:val="100"/>
          <w:spacing w:val="0"/>
          <w:color w:val="000000"/>
          <w:position w:val="0"/>
        </w:rPr>
        <w:t xml:space="preserve">R </w:t>
      </w:r>
      <w:r>
        <w:rPr>
          <w:lang w:val="ru-RU" w:eastAsia="ru-RU" w:bidi="ru-RU"/>
          <w:w w:val="100"/>
          <w:spacing w:val="0"/>
          <w:color w:val="000000"/>
          <w:position w:val="0"/>
        </w:rPr>
        <w:t xml:space="preserve">в правых грудных отведениях, удлинение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признаки перегрузки левого желудочка, ишемии миокарда и т.п.</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Аналогичный показатель у больных прогрессирующей мышечной дистрофией Беккера составил 70% </w:t>
      </w:r>
      <w:r>
        <w:rPr>
          <w:lang w:val="en-US" w:eastAsia="en-US" w:bidi="en-US"/>
          <w:w w:val="100"/>
          <w:spacing w:val="0"/>
          <w:color w:val="000000"/>
          <w:position w:val="0"/>
        </w:rPr>
        <w:t>(Melacini P et al.,1993).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 другим данным, электрокардиографические анома</w:t>
        <w:softHyphen/>
        <w:t xml:space="preserve">лии у больных прогрессирующей мышечной дистрофией Беккера выявляются в 74% </w:t>
      </w:r>
      <w:r>
        <w:rPr>
          <w:lang w:val="en-US" w:eastAsia="en-US" w:bidi="en-US"/>
          <w:w w:val="100"/>
          <w:spacing w:val="0"/>
          <w:color w:val="000000"/>
          <w:position w:val="0"/>
        </w:rPr>
        <w:t xml:space="preserve">(Steare S.E. et al., </w:t>
      </w:r>
      <w:r>
        <w:rPr>
          <w:lang w:val="ru-RU" w:eastAsia="ru-RU" w:bidi="ru-RU"/>
          <w:w w:val="100"/>
          <w:spacing w:val="0"/>
          <w:color w:val="000000"/>
          <w:position w:val="0"/>
        </w:rPr>
        <w:t xml:space="preserve">1992) — 95% </w:t>
      </w:r>
      <w:r>
        <w:rPr>
          <w:lang w:val="en-US" w:eastAsia="en-US" w:bidi="en-US"/>
          <w:w w:val="100"/>
          <w:spacing w:val="0"/>
          <w:color w:val="000000"/>
          <w:position w:val="0"/>
        </w:rPr>
        <w:t xml:space="preserve">(Ishikawa Y. et al.,1995) </w:t>
      </w:r>
      <w:r>
        <w:rPr>
          <w:lang w:val="ru-RU" w:eastAsia="ru-RU" w:bidi="ru-RU"/>
          <w:w w:val="100"/>
          <w:spacing w:val="0"/>
          <w:color w:val="000000"/>
          <w:position w:val="0"/>
        </w:rPr>
        <w:t>случаев. Такой разброс показателей определяется включением или не включением в категорию «аномалий» пограничных изменений на электрокардио</w:t>
        <w:softHyphen/>
        <w:t>грамме.</w:t>
      </w:r>
    </w:p>
    <w:p>
      <w:pPr>
        <w:pStyle w:val="Style30"/>
        <w:widowControl w:val="0"/>
        <w:keepNext w:val="0"/>
        <w:keepLines w:val="0"/>
        <w:shd w:val="clear" w:color="auto" w:fill="auto"/>
        <w:bidi w:val="0"/>
        <w:spacing w:before="0" w:after="300"/>
        <w:ind w:left="0" w:right="0" w:firstLine="280"/>
      </w:pPr>
      <w:r>
        <w:br w:type="column"/>
      </w:r>
      <w:r>
        <w:rPr>
          <w:lang w:val="ru-RU" w:eastAsia="ru-RU" w:bidi="ru-RU"/>
          <w:w w:val="100"/>
          <w:spacing w:val="0"/>
          <w:color w:val="000000"/>
          <w:position w:val="0"/>
        </w:rPr>
        <w:t>По нашим данным, включившим наблюдение за 68 больными прогрессирующей мышечной дистрофией Дю- шенна и 20 больными прогрессирующей мышечной дист</w:t>
        <w:softHyphen/>
        <w:t>рофией Беккера, патологические изменения при проведе</w:t>
        <w:softHyphen/>
        <w:t>нии электрокардиографических исследований выявляются у всех больных прогрессирующей мышечной дистрофией Дюшенна в возрасте 8 лет и старше, у 92% больных в воз</w:t>
        <w:softHyphen/>
        <w:t>расте 6-7 лет и у 72% больных 2-5-летнего возраста. Среди больных с прогрессирующей мышечной дистрофией Бек</w:t>
        <w:softHyphen/>
        <w:t>кера в возрасте до 14 лет 75% имеют электрокардиографи</w:t>
        <w:softHyphen/>
        <w:t>ческие нарушения, а в возрасте старше 14 лет — 100% (табл. 24).</w:t>
      </w:r>
    </w:p>
    <w:p>
      <w:pPr>
        <w:pStyle w:val="Style30"/>
        <w:widowControl w:val="0"/>
        <w:keepNext w:val="0"/>
        <w:keepLines w:val="0"/>
        <w:shd w:val="clear" w:color="auto" w:fill="auto"/>
        <w:bidi w:val="0"/>
        <w:spacing w:before="0" w:after="0"/>
        <w:ind w:left="0" w:right="0" w:firstLine="280"/>
      </w:pPr>
      <w:r>
        <w:pict>
          <v:shape id="_x0000_s1660" type="#_x0000_t75" style="position:absolute;margin-left:136.9pt;margin-top:736.8pt;width:209.75pt;height:14.9pt;z-index:-125828937;mso-wrap-distance-left:136.8pt;mso-wrap-distance-right:148.8pt;mso-wrap-distance-bottom:10.8pt;mso-position-horizontal-relative:margin;mso-position-vertical-relative:margin" wrapcoords="0 0 21600 0 21600 21600 0 21600 0 0">
            <v:imagedata r:id="rId1060" r:href="rId1061"/>
            <w10:wrap type="topAndBottom" anchorx="margin" anchory="margin"/>
          </v:shape>
        </w:pict>
      </w:r>
      <w:r>
        <w:rPr>
          <w:lang w:val="ru-RU" w:eastAsia="ru-RU" w:bidi="ru-RU"/>
          <w:w w:val="100"/>
          <w:spacing w:val="0"/>
          <w:color w:val="000000"/>
          <w:position w:val="0"/>
        </w:rPr>
        <w:t>Спектр электрокардиографических аномалий, выявляе</w:t>
        <w:softHyphen/>
        <w:t>мых у больных миопатией Беккера, практически не отлича</w:t>
        <w:softHyphen/>
        <w:t>ется от такового у больных миопатией Дюшенна. Характер</w:t>
        <w:softHyphen/>
        <w:t>но наличие «псевдоинфарктных» изменений, чаще в облас</w:t>
        <w:softHyphen/>
        <w:t xml:space="preserve">ти заднебазальной и/или боковой стенки левого желудочка </w:t>
      </w:r>
      <w:r>
        <w:rPr>
          <w:lang w:val="en-US" w:eastAsia="en-US" w:bidi="en-US"/>
          <w:w w:val="100"/>
          <w:spacing w:val="0"/>
          <w:color w:val="000000"/>
          <w:position w:val="0"/>
        </w:rPr>
        <w:t xml:space="preserve">(Steare S.E. et al., 1992): </w:t>
      </w:r>
      <w:r>
        <w:rPr>
          <w:lang w:val="ru-RU" w:eastAsia="ru-RU" w:bidi="ru-RU"/>
          <w:w w:val="100"/>
          <w:spacing w:val="0"/>
          <w:color w:val="000000"/>
          <w:position w:val="0"/>
        </w:rPr>
        <w:t xml:space="preserve">высокий зубец </w:t>
      </w:r>
      <w:r>
        <w:rPr>
          <w:lang w:val="en-US" w:eastAsia="en-US" w:bidi="en-US"/>
          <w:w w:val="100"/>
          <w:spacing w:val="0"/>
          <w:color w:val="000000"/>
          <w:position w:val="0"/>
        </w:rPr>
        <w:t xml:space="preserve">R </w:t>
      </w:r>
      <w:r>
        <w:rPr>
          <w:lang w:val="ru-RU" w:eastAsia="ru-RU" w:bidi="ru-RU"/>
          <w:w w:val="100"/>
          <w:spacing w:val="0"/>
          <w:color w:val="000000"/>
          <w:position w:val="0"/>
        </w:rPr>
        <w:t xml:space="preserve">в отведении </w:t>
      </w:r>
      <w:r>
        <w:rPr>
          <w:lang w:val="en-US" w:eastAsia="en-US" w:bidi="en-US"/>
          <w:w w:val="100"/>
          <w:spacing w:val="0"/>
          <w:color w:val="000000"/>
          <w:position w:val="0"/>
        </w:rPr>
        <w:t>V</w:t>
      </w:r>
      <w:r>
        <w:rPr>
          <w:lang w:val="en-US" w:eastAsia="en-US" w:bidi="en-US"/>
          <w:vertAlign w:val="subscript"/>
          <w:w w:val="100"/>
          <w:spacing w:val="0"/>
          <w:color w:val="000000"/>
          <w:position w:val="0"/>
        </w:rPr>
        <w:t xml:space="preserve">1 </w:t>
      </w:r>
      <w:r>
        <w:rPr>
          <w:lang w:val="ru-RU" w:eastAsia="ru-RU" w:bidi="ru-RU"/>
          <w:w w:val="100"/>
          <w:spacing w:val="0"/>
          <w:color w:val="000000"/>
          <w:position w:val="0"/>
        </w:rPr>
        <w:t>(в отличие от пациентов с миопатией Дюшенна, высоким считается зубец выше 4 мм при стандартном усилении); зу</w:t>
        <w:softHyphen/>
        <w:t xml:space="preserve">бец </w:t>
      </w:r>
      <w:r>
        <w:rPr>
          <w:lang w:val="en-US" w:eastAsia="en-US" w:bidi="en-US"/>
          <w:w w:val="100"/>
          <w:spacing w:val="0"/>
          <w:color w:val="000000"/>
          <w:position w:val="0"/>
        </w:rPr>
        <w:t xml:space="preserve">R </w:t>
      </w:r>
      <w:r>
        <w:rPr>
          <w:lang w:val="ru-RU" w:eastAsia="ru-RU" w:bidi="ru-RU"/>
          <w:w w:val="100"/>
          <w:spacing w:val="0"/>
          <w:color w:val="000000"/>
          <w:position w:val="0"/>
        </w:rPr>
        <w:t xml:space="preserve">выше зубца </w:t>
      </w:r>
      <w:r>
        <w:rPr>
          <w:lang w:val="en-US" w:eastAsia="en-US" w:bidi="en-US"/>
          <w:w w:val="100"/>
          <w:spacing w:val="0"/>
          <w:color w:val="000000"/>
          <w:position w:val="0"/>
        </w:rPr>
        <w:t xml:space="preserve">S </w:t>
      </w:r>
      <w:r>
        <w:rPr>
          <w:lang w:val="ru-RU" w:eastAsia="ru-RU" w:bidi="ru-RU"/>
          <w:w w:val="100"/>
          <w:spacing w:val="0"/>
          <w:color w:val="000000"/>
          <w:position w:val="0"/>
        </w:rPr>
        <w:t xml:space="preserve">в отведении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патологические зубцы </w:t>
      </w:r>
      <w:r>
        <w:rPr>
          <w:lang w:val="en-US" w:eastAsia="en-US" w:bidi="en-US"/>
          <w:w w:val="100"/>
          <w:spacing w:val="0"/>
          <w:color w:val="000000"/>
          <w:position w:val="0"/>
        </w:rPr>
        <w:t xml:space="preserve">Q </w:t>
      </w:r>
      <w:r>
        <w:rPr>
          <w:lang w:val="ru-RU" w:eastAsia="ru-RU" w:bidi="ru-RU"/>
          <w:w w:val="100"/>
          <w:spacing w:val="0"/>
          <w:color w:val="000000"/>
          <w:position w:val="0"/>
        </w:rPr>
        <w:t xml:space="preserve">в отведениях II, III и </w:t>
      </w:r>
      <w:r>
        <w:rPr>
          <w:lang w:val="en-US" w:eastAsia="en-US" w:bidi="en-US"/>
          <w:w w:val="100"/>
          <w:spacing w:val="0"/>
          <w:color w:val="000000"/>
          <w:position w:val="0"/>
        </w:rPr>
        <w:t xml:space="preserve">aVF; </w:t>
      </w:r>
      <w:r>
        <w:rPr>
          <w:lang w:val="ru-RU" w:eastAsia="ru-RU" w:bidi="ru-RU"/>
          <w:w w:val="100"/>
          <w:spacing w:val="0"/>
          <w:color w:val="000000"/>
          <w:position w:val="0"/>
        </w:rPr>
        <w:t xml:space="preserve">сумма амплитуд зубцов </w:t>
      </w:r>
      <w:r>
        <w:rPr>
          <w:lang w:val="en-US" w:eastAsia="en-US" w:bidi="en-US"/>
          <w:w w:val="100"/>
          <w:spacing w:val="0"/>
          <w:color w:val="000000"/>
          <w:position w:val="0"/>
        </w:rPr>
        <w:t xml:space="preserve">Q </w:t>
      </w:r>
      <w:r>
        <w:rPr>
          <w:lang w:val="ru-RU" w:eastAsia="ru-RU" w:bidi="ru-RU"/>
          <w:w w:val="100"/>
          <w:spacing w:val="0"/>
          <w:color w:val="000000"/>
          <w:position w:val="0"/>
        </w:rPr>
        <w:t>в от</w:t>
        <w:softHyphen/>
        <w:t xml:space="preserve">ведениях </w:t>
      </w:r>
      <w:r>
        <w:rPr>
          <w:lang w:val="en-US" w:eastAsia="en-US" w:bidi="en-US"/>
          <w:w w:val="100"/>
          <w:spacing w:val="0"/>
          <w:color w:val="000000"/>
          <w:position w:val="0"/>
        </w:rPr>
        <w:t>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 V6, </w:t>
      </w:r>
      <w:r>
        <w:rPr>
          <w:lang w:val="ru-RU" w:eastAsia="ru-RU" w:bidi="ru-RU"/>
          <w:w w:val="100"/>
          <w:spacing w:val="0"/>
          <w:color w:val="000000"/>
          <w:position w:val="0"/>
        </w:rPr>
        <w:t xml:space="preserve">I и </w:t>
      </w:r>
      <w:r>
        <w:rPr>
          <w:lang w:val="en-US" w:eastAsia="en-US" w:bidi="en-US"/>
          <w:w w:val="100"/>
          <w:spacing w:val="0"/>
          <w:color w:val="000000"/>
          <w:position w:val="0"/>
        </w:rPr>
        <w:t xml:space="preserve">aVL, </w:t>
      </w:r>
      <w:r>
        <w:rPr>
          <w:lang w:val="ru-RU" w:eastAsia="ru-RU" w:bidi="ru-RU"/>
          <w:w w:val="100"/>
          <w:spacing w:val="0"/>
          <w:color w:val="000000"/>
          <w:position w:val="0"/>
        </w:rPr>
        <w:t>превышающая 8 мм при стандарт</w:t>
        <w:softHyphen/>
        <w:t>ном усилении (в отличие от пациентов с миопатией Бекке</w:t>
        <w:softHyphen/>
        <w:t xml:space="preserve">ра, у пациентов с миопатией Дюшенна зубцы </w:t>
      </w:r>
      <w:r>
        <w:rPr>
          <w:lang w:val="en-US" w:eastAsia="en-US" w:bidi="en-US"/>
          <w:w w:val="100"/>
          <w:spacing w:val="0"/>
          <w:color w:val="000000"/>
          <w:position w:val="0"/>
        </w:rPr>
        <w:t xml:space="preserve">Q </w:t>
      </w:r>
      <w:r>
        <w:rPr>
          <w:lang w:val="ru-RU" w:eastAsia="ru-RU" w:bidi="ru-RU"/>
          <w:w w:val="100"/>
          <w:spacing w:val="0"/>
          <w:color w:val="000000"/>
          <w:position w:val="0"/>
        </w:rPr>
        <w:t>считаются патологическими, только если в любом из отведений они превышают 4 мм при стандартном усилении). Гистологиче</w:t>
        <w:softHyphen/>
        <w:t>ской основой для этих изменений является диффузный миокардиальный фиброз с преимущественно ранним во</w:t>
        <w:softHyphen/>
        <w:t>влечением заднебазальной и боковой стенок левого желу</w:t>
        <w:softHyphen/>
        <w:t xml:space="preserve">дочка, выявляемый при гистологическом исследовании сердечной мышцы </w:t>
      </w:r>
      <w:r>
        <w:rPr>
          <w:lang w:val="en-US" w:eastAsia="en-US" w:bidi="en-US"/>
          <w:w w:val="100"/>
          <w:spacing w:val="0"/>
          <w:color w:val="000000"/>
          <w:position w:val="0"/>
        </w:rPr>
        <w:t xml:space="preserve">(Frankel K.A. et al.,1976). </w:t>
      </w:r>
      <w:r>
        <w:rPr>
          <w:lang w:val="ru-RU" w:eastAsia="ru-RU" w:bidi="ru-RU"/>
          <w:w w:val="100"/>
          <w:spacing w:val="0"/>
          <w:color w:val="000000"/>
          <w:position w:val="0"/>
        </w:rPr>
        <w:t>Также опреде</w:t>
        <w:softHyphen/>
        <w:t xml:space="preserve">ляется аномальная морфология </w:t>
      </w:r>
      <w:r>
        <w:rPr>
          <w:lang w:val="en-US" w:eastAsia="en-US" w:bidi="en-US"/>
          <w:w w:val="100"/>
          <w:spacing w:val="0"/>
          <w:color w:val="000000"/>
          <w:position w:val="0"/>
        </w:rPr>
        <w:t>QRS</w:t>
      </w:r>
      <w:r>
        <w:rPr>
          <w:lang w:val="ru-RU" w:eastAsia="ru-RU" w:bidi="ru-RU"/>
          <w:w w:val="100"/>
          <w:spacing w:val="0"/>
          <w:color w:val="000000"/>
          <w:position w:val="0"/>
        </w:rPr>
        <w:t>-комплекса в отведе</w:t>
        <w:softHyphen/>
        <w:t xml:space="preserve">нии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(часто это неполная блокада правой ножки пучка Ги- са, приводящая к возникновению </w:t>
      </w:r>
      <w:r>
        <w:rPr>
          <w:lang w:val="en-US" w:eastAsia="en-US" w:bidi="en-US"/>
          <w:w w:val="100"/>
          <w:spacing w:val="0"/>
          <w:color w:val="000000"/>
          <w:position w:val="0"/>
        </w:rPr>
        <w:t>QRS</w:t>
      </w:r>
      <w:r>
        <w:rPr>
          <w:lang w:val="ru-RU" w:eastAsia="ru-RU" w:bidi="ru-RU"/>
          <w:w w:val="100"/>
          <w:spacing w:val="0"/>
          <w:color w:val="000000"/>
          <w:position w:val="0"/>
        </w:rPr>
        <w:t xml:space="preserve">-комплекса типа </w:t>
      </w:r>
      <w:r>
        <w:rPr>
          <w:lang w:val="en-US" w:eastAsia="en-US" w:bidi="en-US"/>
          <w:w w:val="100"/>
          <w:spacing w:val="0"/>
          <w:color w:val="000000"/>
          <w:position w:val="0"/>
        </w:rPr>
        <w:t xml:space="preserve">rSr); </w:t>
      </w:r>
      <w:r>
        <w:rPr>
          <w:lang w:val="ru-RU" w:eastAsia="ru-RU" w:bidi="ru-RU"/>
          <w:w w:val="100"/>
          <w:spacing w:val="0"/>
          <w:color w:val="000000"/>
          <w:position w:val="0"/>
        </w:rPr>
        <w:t xml:space="preserve">нарушение внутрижелудочковой проводимости и </w:t>
      </w:r>
      <w:r>
        <w:rPr>
          <w:lang w:val="en-US" w:eastAsia="en-US" w:bidi="en-US"/>
          <w:w w:val="100"/>
          <w:spacing w:val="0"/>
          <w:color w:val="000000"/>
          <w:position w:val="0"/>
        </w:rPr>
        <w:t>ST-T</w:t>
      </w:r>
      <w:r>
        <w:rPr>
          <w:lang w:val="ru-RU" w:eastAsia="ru-RU" w:bidi="ru-RU"/>
          <w:w w:val="100"/>
          <w:spacing w:val="0"/>
          <w:color w:val="000000"/>
          <w:position w:val="0"/>
        </w:rPr>
        <w:t>-нарушения. Локальное нарушение процессов репо</w:t>
        <w:softHyphen/>
        <w:t xml:space="preserve">ляризации в миокарде левого желудочка </w:t>
      </w:r>
      <w:r>
        <w:rPr>
          <w:lang w:val="en-US" w:eastAsia="en-US" w:bidi="en-US"/>
          <w:w w:val="100"/>
          <w:spacing w:val="0"/>
          <w:color w:val="000000"/>
          <w:position w:val="0"/>
        </w:rPr>
        <w:t>(ST-T</w:t>
      </w:r>
      <w:r>
        <w:rPr>
          <w:lang w:val="ru-RU" w:eastAsia="ru-RU" w:bidi="ru-RU"/>
          <w:w w:val="100"/>
          <w:spacing w:val="0"/>
          <w:color w:val="000000"/>
          <w:position w:val="0"/>
        </w:rPr>
        <w:t xml:space="preserve">-наруше- ния), по мнению </w:t>
      </w:r>
      <w:r>
        <w:rPr>
          <w:lang w:val="en-US" w:eastAsia="en-US" w:bidi="en-US"/>
          <w:w w:val="100"/>
          <w:spacing w:val="0"/>
          <w:color w:val="000000"/>
          <w:position w:val="0"/>
        </w:rPr>
        <w:t xml:space="preserve">Steare J.K. et al. </w:t>
      </w:r>
      <w:r>
        <w:rPr>
          <w:lang w:val="ru-RU" w:eastAsia="ru-RU" w:bidi="ru-RU"/>
          <w:w w:val="100"/>
          <w:spacing w:val="0"/>
          <w:color w:val="000000"/>
          <w:position w:val="0"/>
        </w:rPr>
        <w:t>(1992), отражает неадек</w:t>
        <w:softHyphen/>
        <w:t xml:space="preserve">ватную перфузию миокарда. По результатам наблюдения этих авторов, </w:t>
      </w:r>
      <w:r>
        <w:rPr>
          <w:lang w:val="en-US" w:eastAsia="en-US" w:bidi="en-US"/>
          <w:w w:val="100"/>
          <w:spacing w:val="0"/>
          <w:color w:val="000000"/>
          <w:position w:val="0"/>
        </w:rPr>
        <w:t>ST-T</w:t>
      </w:r>
      <w:r>
        <w:rPr>
          <w:lang w:val="ru-RU" w:eastAsia="ru-RU" w:bidi="ru-RU"/>
          <w:w w:val="100"/>
          <w:spacing w:val="0"/>
          <w:color w:val="000000"/>
          <w:position w:val="0"/>
        </w:rPr>
        <w:t>-нарушения у больных прогрессирую - щей мышечной дистрофией Беккера появляются на очень ранних стадиях заболевания (задолго до выявления участ</w:t>
        <w:softHyphen/>
        <w:t>ков гипокинезии сердечной стенки на эхокардиограммах).</w:t>
      </w:r>
      <w:r>
        <w:br w:type="page"/>
      </w:r>
    </w:p>
    <w:p>
      <w:pPr>
        <w:pStyle w:val="Style30"/>
        <w:widowControl w:val="0"/>
        <w:keepNext w:val="0"/>
        <w:keepLines w:val="0"/>
        <w:shd w:val="clear" w:color="auto" w:fill="auto"/>
        <w:bidi w:val="0"/>
        <w:spacing w:before="0" w:after="0"/>
        <w:ind w:left="0" w:right="0" w:firstLine="300"/>
      </w:pPr>
      <w:r>
        <w:pict>
          <v:shape id="_x0000_s1661" type="#_x0000_t202" style="position:absolute;margin-left:5.e-002pt;margin-top:250.1pt;width:242.15pt;height:5.e-002pt;z-index:-125828936;mso-wrap-distance-left:5.pt;mso-wrap-distance-right:5.pt;mso-position-horizontal-relative:margin;mso-position-vertical-relative:margin" filled="f" stroked="f">
            <v:textbox style="mso-fit-shape-to-text:t" inset="0,0,0,0">
              <w:txbxContent>
                <w:p>
                  <w:pPr>
                    <w:pStyle w:val="Style139"/>
                    <w:widowControl w:val="0"/>
                    <w:keepNext w:val="0"/>
                    <w:keepLines w:val="0"/>
                    <w:shd w:val="clear" w:color="auto" w:fill="auto"/>
                    <w:bidi w:val="0"/>
                    <w:spacing w:before="0" w:after="0" w:line="216" w:lineRule="exact"/>
                    <w:ind w:left="0" w:right="0" w:firstLine="0"/>
                  </w:pPr>
                  <w:r>
                    <w:rPr>
                      <w:rStyle w:val="CharStyle143"/>
                      <w:b/>
                      <w:bCs/>
                      <w:i/>
                      <w:iCs/>
                    </w:rPr>
                    <w:t>Таблица 25</w:t>
                  </w:r>
                </w:p>
                <w:p>
                  <w:pPr>
                    <w:pStyle w:val="Style96"/>
                    <w:widowControl w:val="0"/>
                    <w:keepNext w:val="0"/>
                    <w:keepLines w:val="0"/>
                    <w:shd w:val="clear" w:color="auto" w:fill="auto"/>
                    <w:bidi w:val="0"/>
                    <w:jc w:val="center"/>
                    <w:spacing w:before="0" w:after="0" w:line="216" w:lineRule="exact"/>
                    <w:ind w:left="0" w:right="0" w:firstLine="0"/>
                  </w:pPr>
                  <w:r>
                    <w:rPr>
                      <w:rStyle w:val="CharStyle97"/>
                    </w:rPr>
                    <w:t>Спектр выявляемых электрокардиографических нарушений у больных прогрессирующей мышечной дистрофией Дюшенна и Беккера в зависимости от возраста (приводится % больных с выявленными нарушениями)</w:t>
                  </w:r>
                </w:p>
                <w:tbl>
                  <w:tblPr>
                    <w:tblOverlap w:val="never"/>
                    <w:tblLayout w:type="fixed"/>
                    <w:jc w:val="center"/>
                  </w:tblPr>
                  <w:tblGrid>
                    <w:gridCol w:w="2184"/>
                    <w:gridCol w:w="398"/>
                    <w:gridCol w:w="403"/>
                    <w:gridCol w:w="461"/>
                    <w:gridCol w:w="662"/>
                    <w:gridCol w:w="734"/>
                  </w:tblGrid>
                  <w:tr>
                    <w:trPr>
                      <w:trHeight w:val="245" w:hRule="exact"/>
                    </w:trPr>
                    <w:tc>
                      <w:tcPr>
                        <w:shd w:val="clear" w:color="auto" w:fill="FFFFFF"/>
                        <w:gridSpan w:val="6"/>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Больные прогрессирующей мышечной дистрофией Дюшенна</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Возраст (годы)</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8-10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80" w:right="0" w:firstLine="0"/>
                        </w:pPr>
                        <w:r>
                          <w:rPr>
                            <w:lang w:val="ru-RU" w:eastAsia="ru-RU" w:bidi="ru-RU"/>
                            <w:w w:val="100"/>
                            <w:spacing w:val="0"/>
                            <w:color w:val="000000"/>
                            <w:position w:val="0"/>
                          </w:rPr>
                          <w:t>11-14</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15-23</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Нарушения ритма сердца*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80" w:right="0" w:firstLine="0"/>
                        </w:pPr>
                        <w:r>
                          <w:rPr>
                            <w:lang w:val="ru-RU" w:eastAsia="ru-RU" w:bidi="ru-RU"/>
                            <w:w w:val="100"/>
                            <w:spacing w:val="0"/>
                            <w:color w:val="000000"/>
                            <w:position w:val="0"/>
                          </w:rPr>
                          <w:t>100%</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100%</w:t>
                        </w:r>
                      </w:p>
                    </w:tc>
                  </w:tr>
                  <w:tr>
                    <w:trPr>
                      <w:trHeight w:val="432"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Нарушения проводимости сердца**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80" w:right="0" w:firstLine="0"/>
                        </w:pPr>
                        <w:r>
                          <w:rPr>
                            <w:lang w:val="ru-RU" w:eastAsia="ru-RU" w:bidi="ru-RU"/>
                            <w:w w:val="100"/>
                            <w:spacing w:val="0"/>
                            <w:color w:val="000000"/>
                            <w:position w:val="0"/>
                          </w:rPr>
                          <w:t>88%</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100%</w:t>
                        </w:r>
                      </w:p>
                    </w:tc>
                  </w:tr>
                  <w:tr>
                    <w:trPr>
                      <w:trHeight w:val="806"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Косвенные признаки фибро - за предсердий, миокардиаль</w:t>
                          <w:softHyphen/>
                          <w:t>ного фиброза, эндокарди</w:t>
                          <w:softHyphen/>
                          <w:t>ального фиброза***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80" w:right="0" w:firstLine="0"/>
                        </w:pPr>
                        <w:r>
                          <w:rPr>
                            <w:lang w:val="ru-RU" w:eastAsia="ru-RU" w:bidi="ru-RU"/>
                            <w:w w:val="100"/>
                            <w:spacing w:val="0"/>
                            <w:color w:val="000000"/>
                            <w:position w:val="0"/>
                          </w:rPr>
                          <w:t>82%</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100%</w:t>
                        </w:r>
                      </w:p>
                    </w:tc>
                  </w:tr>
                  <w:tr>
                    <w:trPr>
                      <w:trHeight w:val="427"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Ишемические изменения миокарда****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80" w:right="0" w:firstLine="0"/>
                        </w:pPr>
                        <w:r>
                          <w:rPr>
                            <w:lang w:val="ru-RU" w:eastAsia="ru-RU" w:bidi="ru-RU"/>
                            <w:w w:val="100"/>
                            <w:spacing w:val="0"/>
                            <w:color w:val="000000"/>
                            <w:position w:val="0"/>
                          </w:rPr>
                          <w:t>100%</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100%</w:t>
                        </w:r>
                      </w:p>
                    </w:tc>
                  </w:tr>
                  <w:tr>
                    <w:trPr>
                      <w:trHeight w:val="240" w:hRule="exact"/>
                    </w:trPr>
                    <w:tc>
                      <w:tcPr>
                        <w:shd w:val="clear" w:color="auto" w:fill="FFFFFF"/>
                        <w:gridSpan w:val="4"/>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Больные прогрессирующей мышечной дистрос</w:t>
                        </w:r>
                      </w:p>
                    </w:tc>
                    <w:tc>
                      <w:tcPr>
                        <w:shd w:val="clear" w:color="auto" w:fill="FFFFFF"/>
                        <w:gridSpan w:val="2"/>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ией Беккера</w:t>
                        </w:r>
                      </w:p>
                    </w:tc>
                  </w:tr>
                  <w:tr>
                    <w:trPr>
                      <w:trHeight w:val="235" w:hRule="exact"/>
                    </w:trPr>
                    <w:tc>
                      <w:tcPr>
                        <w:shd w:val="clear" w:color="auto" w:fill="FFFFFF"/>
                        <w:gridSpan w:val="4"/>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Возраст (годы)</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5-13</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14-23</w:t>
                        </w:r>
                      </w:p>
                    </w:tc>
                  </w:tr>
                  <w:tr>
                    <w:trPr>
                      <w:trHeight w:val="235" w:hRule="exact"/>
                    </w:trPr>
                    <w:tc>
                      <w:tcPr>
                        <w:shd w:val="clear" w:color="auto" w:fill="FFFFFF"/>
                        <w:gridSpan w:val="4"/>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Нарушения ритма сердца*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75%</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88%</w:t>
                        </w:r>
                      </w:p>
                    </w:tc>
                  </w:tr>
                  <w:tr>
                    <w:trPr>
                      <w:trHeight w:val="432" w:hRule="exact"/>
                    </w:trPr>
                    <w:tc>
                      <w:tcPr>
                        <w:shd w:val="clear" w:color="auto" w:fill="FFFFFF"/>
                        <w:gridSpan w:val="4"/>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Нарушения проводимости сердца**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67%**+</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100%**+</w:t>
                        </w:r>
                      </w:p>
                    </w:tc>
                  </w:tr>
                  <w:tr>
                    <w:trPr>
                      <w:trHeight w:val="614" w:hRule="exact"/>
                    </w:trPr>
                    <w:tc>
                      <w:tcPr>
                        <w:shd w:val="clear" w:color="auto" w:fill="FFFFFF"/>
                        <w:gridSpan w:val="4"/>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Косвенные признаки фиброза предсердий, миокардиального фиброза, эндокардиального фиброза***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58%</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62%</w:t>
                        </w:r>
                      </w:p>
                    </w:tc>
                  </w:tr>
                  <w:tr>
                    <w:trPr>
                      <w:trHeight w:val="250" w:hRule="exact"/>
                    </w:trPr>
                    <w:tc>
                      <w:tcPr>
                        <w:shd w:val="clear" w:color="auto" w:fill="FFFFFF"/>
                        <w:gridSpan w:val="4"/>
                        <w:tcBorders>
                          <w:left w:val="single" w:sz="4"/>
                          <w:top w:val="single" w:sz="4"/>
                          <w:bottom w:val="single" w:sz="4"/>
                        </w:tcBorders>
                        <w:vAlign w:val="center"/>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Ишемические изменения миокарда****</w:t>
                        </w:r>
                      </w:p>
                    </w:tc>
                    <w:tc>
                      <w:tcPr>
                        <w:shd w:val="clear" w:color="auto" w:fill="FFFFFF"/>
                        <w:tcBorders>
                          <w:left w:val="single" w:sz="4"/>
                          <w:top w:val="single" w:sz="4"/>
                          <w:bottom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66%</w:t>
                        </w:r>
                      </w:p>
                    </w:tc>
                    <w:tc>
                      <w:tcPr>
                        <w:shd w:val="clear" w:color="auto" w:fill="FFFFFF"/>
                        <w:tcBorders>
                          <w:left w:val="single" w:sz="4"/>
                          <w:right w:val="single" w:sz="4"/>
                          <w:top w:val="single" w:sz="4"/>
                          <w:bottom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100%</w:t>
                        </w:r>
                      </w:p>
                    </w:tc>
                  </w:tr>
                </w:tbl>
                <w:p>
                  <w:pPr>
                    <w:widowControl w:val="0"/>
                    <w:rPr>
                      <w:sz w:val="2"/>
                      <w:szCs w:val="2"/>
                    </w:rPr>
                  </w:pPr>
                </w:p>
              </w:txbxContent>
            </v:textbox>
            <w10:wrap type="square" side="right" anchorx="margin" anchory="margin"/>
          </v:shape>
        </w:pict>
      </w:r>
      <w:r>
        <w:rPr>
          <w:lang w:val="ru-RU" w:eastAsia="ru-RU" w:bidi="ru-RU"/>
          <w:w w:val="100"/>
          <w:spacing w:val="0"/>
          <w:color w:val="000000"/>
          <w:position w:val="0"/>
        </w:rPr>
        <w:t>Помимо вышеперечисленных электрокардиографичес</w:t>
        <w:softHyphen/>
        <w:t>ких аномалий, встречающихся и у больных с миопатией Дюшенна, для пациентов с миопатией Беккера характерно гораздо более часто наблюдаемое нарушение проводимости сердца (атриовентрикулярные блокады различных степе</w:t>
        <w:softHyphen/>
        <w:t>ней). Также для больных прогрессирующей мышечной дис</w:t>
        <w:softHyphen/>
        <w:t xml:space="preserve">трофией Беккера характерно удлинение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(ве</w:t>
        <w:softHyphen/>
        <w:t xml:space="preserve">роятнее всего, вследствие эндомиокардиального фиброза) и укорочение интервала </w:t>
      </w:r>
      <w:r>
        <w:rPr>
          <w:lang w:val="en-US" w:eastAsia="en-US" w:bidi="en-US"/>
          <w:w w:val="100"/>
          <w:spacing w:val="0"/>
          <w:color w:val="000000"/>
          <w:position w:val="0"/>
        </w:rPr>
        <w:t xml:space="preserve">PQ </w:t>
      </w:r>
      <w:r>
        <w:rPr>
          <w:lang w:val="ru-RU" w:eastAsia="ru-RU" w:bidi="ru-RU"/>
          <w:w w:val="100"/>
          <w:spacing w:val="0"/>
          <w:color w:val="000000"/>
          <w:position w:val="0"/>
        </w:rPr>
        <w:t xml:space="preserve">(отражение прогрессирующего фиброза предсердий), что приводит к увеличению кардио- миопатического индекса (отношение </w:t>
      </w:r>
      <w:r>
        <w:rPr>
          <w:lang w:val="en-US" w:eastAsia="en-US" w:bidi="en-US"/>
          <w:w w:val="100"/>
          <w:spacing w:val="0"/>
          <w:color w:val="000000"/>
          <w:position w:val="0"/>
        </w:rPr>
        <w:t xml:space="preserve">QT </w:t>
      </w:r>
      <w:r>
        <w:rPr>
          <w:lang w:val="ru-RU" w:eastAsia="ru-RU" w:bidi="ru-RU"/>
          <w:w w:val="100"/>
          <w:spacing w:val="0"/>
          <w:color w:val="000000"/>
          <w:position w:val="0"/>
        </w:rPr>
        <w:t xml:space="preserve">к </w:t>
      </w:r>
      <w:r>
        <w:rPr>
          <w:lang w:val="en-US" w:eastAsia="en-US" w:bidi="en-US"/>
          <w:w w:val="100"/>
          <w:spacing w:val="0"/>
          <w:color w:val="000000"/>
          <w:position w:val="0"/>
        </w:rPr>
        <w:t>PQ).</w:t>
      </w:r>
    </w:p>
    <w:p>
      <w:pPr>
        <w:pStyle w:val="Style30"/>
        <w:widowControl w:val="0"/>
        <w:keepNext w:val="0"/>
        <w:keepLines w:val="0"/>
        <w:shd w:val="clear" w:color="auto" w:fill="auto"/>
        <w:bidi w:val="0"/>
        <w:spacing w:before="0" w:after="120"/>
        <w:ind w:left="0" w:right="0" w:firstLine="300"/>
      </w:pPr>
      <w:r>
        <w:rPr>
          <w:lang w:val="ru-RU" w:eastAsia="ru-RU" w:bidi="ru-RU"/>
          <w:w w:val="100"/>
          <w:spacing w:val="0"/>
          <w:color w:val="000000"/>
          <w:position w:val="0"/>
        </w:rPr>
        <w:t>Наши данные по спектру наблюдаемых электрокардио</w:t>
        <w:softHyphen/>
        <w:t>графических нарушений у больных прогрессирующей мы</w:t>
        <w:softHyphen/>
        <w:t>шечной дистрофией Дюшенна и Беккера в целом совпада</w:t>
        <w:softHyphen/>
        <w:t>ют с результатами, полученными другими исследователя</w:t>
        <w:softHyphen/>
        <w:t>ми. Однако мы хотим обратить внимание на очень раннее появление электрокардиографических нарушений у данно</w:t>
        <w:softHyphen/>
        <w:t>го контингента больных. Практически уже в 2 года при миопатии Дюшенна и в 5 лет при миопатии Беккера (то есть еще до ярких клинических проявлений миопатическо - го синдрома) на электрокардиограмме можно видеть нару</w:t>
        <w:softHyphen/>
        <w:t>шения, характерные для этих заболеваний (табл. 25).</w:t>
      </w:r>
    </w:p>
    <w:p>
      <w:pPr>
        <w:pStyle w:val="Style30"/>
        <w:widowControl w:val="0"/>
        <w:keepNext w:val="0"/>
        <w:keepLines w:val="0"/>
        <w:shd w:val="clear" w:color="auto" w:fill="auto"/>
        <w:bidi w:val="0"/>
        <w:spacing w:before="0" w:after="120"/>
        <w:ind w:left="0" w:right="0" w:firstLine="300"/>
      </w:pPr>
      <w:r>
        <w:rPr>
          <w:lang w:val="ru-RU" w:eastAsia="ru-RU" w:bidi="ru-RU"/>
          <w:w w:val="100"/>
          <w:spacing w:val="0"/>
          <w:color w:val="000000"/>
          <w:position w:val="0"/>
        </w:rPr>
        <w:t>* — синусовая тахиаритмия, суправентрикулярная экс- трасистолия, миграция водителя ритма; ** — нарушение проведения по ножкам пучка Гиса; **+ — в том числе сино</w:t>
        <w:softHyphen/>
        <w:t>атриальная блокада 2 ст.; **++ — в том числе атриовентри</w:t>
        <w:softHyphen/>
        <w:t xml:space="preserve">кулярная блокада 1 ст.; *** — прогрессирующее укорочение интервала </w:t>
      </w:r>
      <w:r>
        <w:rPr>
          <w:lang w:val="en-US" w:eastAsia="en-US" w:bidi="en-US"/>
          <w:w w:val="100"/>
          <w:spacing w:val="0"/>
          <w:color w:val="000000"/>
          <w:position w:val="0"/>
        </w:rPr>
        <w:t xml:space="preserve">PQ, </w:t>
      </w:r>
      <w:r>
        <w:rPr>
          <w:lang w:val="ru-RU" w:eastAsia="ru-RU" w:bidi="ru-RU"/>
          <w:w w:val="100"/>
          <w:spacing w:val="0"/>
          <w:color w:val="000000"/>
          <w:position w:val="0"/>
        </w:rPr>
        <w:t xml:space="preserve">патологический </w:t>
      </w:r>
      <w:r>
        <w:rPr>
          <w:lang w:val="en-US" w:eastAsia="en-US" w:bidi="en-US"/>
          <w:w w:val="100"/>
          <w:spacing w:val="0"/>
          <w:color w:val="000000"/>
          <w:position w:val="0"/>
        </w:rPr>
        <w:t>Q</w:t>
      </w:r>
      <w:r>
        <w:rPr>
          <w:lang w:val="ru-RU" w:eastAsia="ru-RU" w:bidi="ru-RU"/>
          <w:w w:val="100"/>
          <w:spacing w:val="0"/>
          <w:color w:val="000000"/>
          <w:position w:val="0"/>
        </w:rPr>
        <w:t xml:space="preserve">-зубец, прогрессирующее удлинение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 — зональное уплощение зуб</w:t>
        <w:softHyphen/>
        <w:t xml:space="preserve">ца Т или отрицательный зубец Т, зональная элевация или депрессия сегмента </w:t>
      </w:r>
      <w:r>
        <w:rPr>
          <w:lang w:val="en-US" w:eastAsia="en-US" w:bidi="en-US"/>
          <w:w w:val="100"/>
          <w:spacing w:val="0"/>
          <w:color w:val="000000"/>
          <w:position w:val="0"/>
        </w:rPr>
        <w:t>ST</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Еще одним методом электрокардиографического иссле</w:t>
        <w:softHyphen/>
        <w:t>дования является проведение суточного электрокардиогра</w:t>
        <w:softHyphen/>
        <w:br w:type="column"/>
        <w:t>фического мониторирования. Этот метод позволяет с высо - кой достоверностью выявить наличие явных и скрытых на</w:t>
        <w:softHyphen/>
        <w:t>рушений ритма сердца у больных с прогрессирующей мы</w:t>
        <w:softHyphen/>
        <w:t xml:space="preserve">шечной дистрофией Дюшенна/Беккера, а также оценить частоту встречаемости аритмий в данной нозологической группе. По данным </w:t>
      </w:r>
      <w:r>
        <w:rPr>
          <w:lang w:val="en-US" w:eastAsia="en-US" w:bidi="en-US"/>
          <w:w w:val="100"/>
          <w:spacing w:val="0"/>
          <w:color w:val="000000"/>
          <w:position w:val="0"/>
        </w:rPr>
        <w:t xml:space="preserve">AYanagisawa </w:t>
      </w:r>
      <w:r>
        <w:rPr>
          <w:lang w:val="ru-RU" w:eastAsia="ru-RU" w:bidi="ru-RU"/>
          <w:w w:val="100"/>
          <w:spacing w:val="0"/>
          <w:color w:val="000000"/>
          <w:position w:val="0"/>
        </w:rPr>
        <w:t>с соавт. (1992), различные типы нарушений ритма сердца наблюдаются у 63,8% боль</w:t>
        <w:softHyphen/>
        <w:t>ных миопатией Дюшенна. Самым частым нарушением рит</w:t>
        <w:softHyphen/>
        <w:t>ма является синусовая тахикардия. Желудочковые эктопии обнаруживаются у 30% больных, при этом частота выявле</w:t>
        <w:softHyphen/>
        <w:t>ния желудочковых экстрасистол напрямую кореллирует с тяжестью клинических проявлений поражения скелетных мышц. По прошествии 5-летнего катамнеза частота выяв</w:t>
        <w:softHyphen/>
        <w:t>ления желудочковых аритмий в группе больных с яркими клиническими проявлениями миопатического синдрома возросла до 74,5%, а смертность среди больных составила 56%.</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более детальном изучении характера аритмий у больных с прогрессирующей мышечной дистрофией Дю</w:t>
        <w:softHyphen/>
        <w:t>шенна оказалось, что простые желудочковые эктопии (1 и 2 градации по Лауну) выявляются у 33% пациентов, а ком</w:t>
        <w:softHyphen/>
        <w:t xml:space="preserve">плексные (3, 4А, 4Б градаций по Лауну) — у 27% пациентов </w:t>
      </w:r>
      <w:r>
        <w:rPr>
          <w:lang w:val="en-US" w:eastAsia="en-US" w:bidi="en-US"/>
          <w:w w:val="100"/>
          <w:spacing w:val="0"/>
          <w:color w:val="000000"/>
          <w:position w:val="0"/>
        </w:rPr>
        <w:t xml:space="preserve">(Chenard A.A. et al.,1993). </w:t>
      </w:r>
      <w:r>
        <w:rPr>
          <w:lang w:val="ru-RU" w:eastAsia="ru-RU" w:bidi="ru-RU"/>
          <w:w w:val="100"/>
          <w:spacing w:val="0"/>
          <w:color w:val="000000"/>
          <w:position w:val="0"/>
        </w:rPr>
        <w:t>При этом среди больных, умер</w:t>
        <w:softHyphen/>
        <w:t>ших в течение 3 лет после начала наблюдений, желудочко</w:t>
        <w:softHyphen/>
        <w:t>вые экстрасистолы были диагностированы у 40%, а среди выживших — только у 10%. Среди внезапно умерших боль</w:t>
        <w:softHyphen/>
        <w:t>ных с прогрессирующей мышечной дистрофией Дюшенна комплексные желудочковые аритмии выявлялись значи</w:t>
        <w:softHyphen/>
        <w:t xml:space="preserve">тельно чаще — у 66% </w:t>
      </w:r>
      <w:r>
        <w:rPr>
          <w:lang w:val="en-US" w:eastAsia="en-US" w:bidi="en-US"/>
          <w:w w:val="100"/>
          <w:spacing w:val="0"/>
          <w:color w:val="000000"/>
          <w:position w:val="0"/>
        </w:rPr>
        <w:t>(Chenard A.A. et al.,1993).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Примерно </w:t>
      </w:r>
      <w:r>
        <w:rPr>
          <w:lang w:val="en-US" w:eastAsia="en-US" w:bidi="en-US"/>
          <w:w w:val="100"/>
          <w:spacing w:val="0"/>
          <w:color w:val="000000"/>
          <w:position w:val="0"/>
        </w:rPr>
        <w:t xml:space="preserve">12% </w:t>
      </w:r>
      <w:r>
        <w:rPr>
          <w:lang w:val="ru-RU" w:eastAsia="ru-RU" w:bidi="ru-RU"/>
          <w:w w:val="100"/>
          <w:spacing w:val="0"/>
          <w:color w:val="000000"/>
          <w:position w:val="0"/>
        </w:rPr>
        <w:t xml:space="preserve">больных с прогрессирующей мышечной дистрофией Дюшенна и 22% больных с миопатией Беккера умирают внезапно </w:t>
      </w:r>
      <w:r>
        <w:rPr>
          <w:lang w:val="en-US" w:eastAsia="en-US" w:bidi="en-US"/>
          <w:w w:val="100"/>
          <w:spacing w:val="0"/>
          <w:color w:val="000000"/>
          <w:position w:val="0"/>
        </w:rPr>
        <w:t xml:space="preserve">(G.Nigro et al., </w:t>
      </w:r>
      <w:r>
        <w:rPr>
          <w:lang w:val="ru-RU" w:eastAsia="ru-RU" w:bidi="ru-RU"/>
          <w:w w:val="100"/>
          <w:spacing w:val="0"/>
          <w:color w:val="000000"/>
          <w:position w:val="0"/>
        </w:rPr>
        <w:t xml:space="preserve">1993). Причем в группе внезапно умерших больных желудочковые аритмии наблю - даются в 75% случаев (чаще всего выявляются спаренные желудочковые экстрасистолы, желудочковая тахикардия, а также желудочковые экстрасистолы типа </w:t>
      </w:r>
      <w:r>
        <w:rPr>
          <w:lang w:val="en-US" w:eastAsia="en-US" w:bidi="en-US"/>
          <w:w w:val="100"/>
          <w:spacing w:val="0"/>
          <w:color w:val="000000"/>
          <w:position w:val="0"/>
        </w:rPr>
        <w:t xml:space="preserve">R </w:t>
      </w:r>
      <w:r>
        <w:rPr>
          <w:lang w:val="ru-RU" w:eastAsia="ru-RU" w:bidi="ru-RU"/>
          <w:w w:val="100"/>
          <w:spacing w:val="0"/>
          <w:color w:val="000000"/>
          <w:position w:val="0"/>
        </w:rPr>
        <w:t xml:space="preserve">на Т) </w:t>
      </w:r>
      <w:r>
        <w:rPr>
          <w:lang w:val="en-US" w:eastAsia="en-US" w:bidi="en-US"/>
          <w:w w:val="100"/>
          <w:spacing w:val="0"/>
          <w:color w:val="000000"/>
          <w:position w:val="0"/>
        </w:rPr>
        <w:t xml:space="preserve">(Yanagisawa A. et al.,1992). </w:t>
      </w:r>
      <w:r>
        <w:rPr>
          <w:lang w:val="ru-RU" w:eastAsia="ru-RU" w:bidi="ru-RU"/>
          <w:w w:val="100"/>
          <w:spacing w:val="0"/>
          <w:color w:val="000000"/>
          <w:position w:val="0"/>
        </w:rPr>
        <w:t>Аритмии сердца являются весьма частым осложнением мышечной дистрофии Дюшенна, и частота выявления желудочковых аритмий растет по мере прогрессирования поражения сердечной мышцы. Возмож</w:t>
        <w:softHyphen/>
        <w:t>но, существует связь между наличием желудочковой арит</w:t>
        <w:softHyphen/>
        <w:t>мии у больных и внезапной смертью, однако характер и си</w:t>
        <w:softHyphen/>
        <w:t xml:space="preserve">ла данной связи подлежат исследованию, так как полное медикаментозное устранение данного нарушения ритма у больных не приводит к устранению риска внезапной смерти </w:t>
      </w:r>
      <w:r>
        <w:rPr>
          <w:lang w:val="en-US" w:eastAsia="en-US" w:bidi="en-US"/>
          <w:w w:val="100"/>
          <w:spacing w:val="0"/>
          <w:color w:val="000000"/>
          <w:position w:val="0"/>
        </w:rPr>
        <w:t>(Yanagisawa A. et al.,1992).</w:t>
      </w:r>
    </w:p>
    <w:p>
      <w:pPr>
        <w:pStyle w:val="Style30"/>
        <w:widowControl w:val="0"/>
        <w:keepNext w:val="0"/>
        <w:keepLines w:val="0"/>
        <w:shd w:val="clear" w:color="auto" w:fill="auto"/>
        <w:bidi w:val="0"/>
        <w:spacing w:before="0" w:after="0"/>
        <w:ind w:left="0" w:right="0" w:firstLine="280"/>
      </w:pPr>
      <w:r>
        <w:pict>
          <v:shape id="_x0000_s1662" type="#_x0000_t75" style="position:absolute;margin-left:149.05pt;margin-top:736.8pt;width:209.75pt;height:14.9pt;z-index:-125828935;mso-wrap-distance-left:149.05pt;mso-wrap-distance-right:136.8pt;mso-wrap-distance-bottom:10.8pt;mso-position-horizontal-relative:margin;mso-position-vertical-relative:margin" wrapcoords="0 0 21600 0 21600 21600 0 21600 0 0">
            <v:imagedata r:id="rId1062" r:href="rId1063"/>
            <w10:wrap type="topAndBottom" anchorx="margin" anchory="margin"/>
          </v:shape>
        </w:pict>
      </w:r>
      <w:r>
        <w:rPr>
          <w:lang w:val="ru-RU" w:eastAsia="ru-RU" w:bidi="ru-RU"/>
          <w:w w:val="100"/>
          <w:spacing w:val="0"/>
          <w:color w:val="000000"/>
          <w:position w:val="0"/>
        </w:rPr>
        <w:t>До сих пор дискутируется вопрос о чувствительности и информативности метода регистрации поздних желудоч</w:t>
        <w:softHyphen/>
        <w:t>ковых потенциалов для выявления больных группы высо</w:t>
        <w:softHyphen/>
        <w:t>кого риска по развитию жизнеугрожаемых желудочковых аритмий. Однако ряд авторов придает им большое значе</w:t>
        <w:softHyphen/>
        <w:t xml:space="preserve">ние. Так, в работе </w:t>
      </w:r>
      <w:r>
        <w:rPr>
          <w:lang w:val="en-US" w:eastAsia="en-US" w:bidi="en-US"/>
          <w:w w:val="100"/>
          <w:spacing w:val="0"/>
          <w:color w:val="000000"/>
          <w:position w:val="0"/>
        </w:rPr>
        <w:t xml:space="preserve">M.Kubo </w:t>
      </w:r>
      <w:r>
        <w:rPr>
          <w:lang w:val="ru-RU" w:eastAsia="ru-RU" w:bidi="ru-RU"/>
          <w:w w:val="100"/>
          <w:spacing w:val="0"/>
          <w:color w:val="000000"/>
          <w:position w:val="0"/>
        </w:rPr>
        <w:t>с соавт. (1993) исследовалось на</w:t>
        <w:softHyphen/>
        <w:t>личие связи между выявлением поздних желудочковых по</w:t>
        <w:softHyphen/>
        <w:t>тенциалов и ишемическим поражением миокарда, а также желудочковыми аритмиями у больных с прогрессирующей мышечной дистрофией Дюшенна. Поздние желудочковые потенциалы были выявлены у 31% больных. В контрольной группе здоровых людей их зарегистрировано не было. Па</w:t>
        <w:softHyphen/>
        <w:t xml:space="preserve">циенты с поздними желудочковыми потенциалами более часто имели желудочковые аритмии и </w:t>
      </w:r>
      <w:r>
        <w:rPr>
          <w:lang w:val="en-US" w:eastAsia="en-US" w:bidi="en-US"/>
          <w:w w:val="100"/>
          <w:spacing w:val="0"/>
          <w:color w:val="000000"/>
          <w:position w:val="0"/>
        </w:rPr>
        <w:t>ST-T</w:t>
      </w:r>
      <w:r>
        <w:rPr>
          <w:lang w:val="ru-RU" w:eastAsia="ru-RU" w:bidi="ru-RU"/>
          <w:w w:val="100"/>
          <w:spacing w:val="0"/>
          <w:color w:val="000000"/>
          <w:position w:val="0"/>
        </w:rPr>
        <w:t>-нарушения, чем пациенты без поздних потенциалов. По мнению авто</w:t>
        <w:softHyphen/>
        <w:t>ров, данный метод обследования имеет 60% чувствитель-</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ность и 87% специфичность при документировании желу</w:t>
        <w:softHyphen/>
        <w:t>дочковых аритмий. Было сделано заключение, что поздние желудочковые потенциалы у больных прогрессирующей мышечной дистрофией Дюшенна являются индикаторами наличия у данной категории больных субстрата для возник</w:t>
        <w:softHyphen/>
        <w:t>новения жизнеугрожаемых желудочковых аритмий в виде очагов локального миокардиального фиброза. Поздние же</w:t>
        <w:softHyphen/>
        <w:t>лудочковые потенциалы, таким образом, могут выступать в роли индикаторов для выявления больных группы высо</w:t>
        <w:softHyphen/>
        <w:t>кого риска по развитию жизнеугрожаемых желудочковых аритмий.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 нашим данным, среди больных прогрессирующей мышечной дистрофией Дюшенна в возрасте до 11 лет позд</w:t>
        <w:softHyphen/>
        <w:t>ние желудочковые потенциалы выявляются в 12,5% случа</w:t>
        <w:softHyphen/>
        <w:t>ев. Причем возраст не коррелирует напрямую с частотой выявления поздних желудочковых потенциалов.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Прогностически значимые аритмии у больных мышеч</w:t>
        <w:softHyphen/>
        <w:t>ной дистрофией Дюшенна могут сочетаться с бессимптом</w:t>
        <w:softHyphen/>
        <w:t>ной дисфункцией левого желудочка и аномалиями подвиж</w:t>
        <w:softHyphen/>
        <w:t xml:space="preserve">ности сердечной стенки при отсутствии клиники застойной сердечной недостаточности. Например, в исследованиях </w:t>
      </w:r>
      <w:r>
        <w:rPr>
          <w:lang w:val="en-US" w:eastAsia="en-US" w:bidi="en-US"/>
          <w:w w:val="100"/>
          <w:spacing w:val="0"/>
          <w:color w:val="000000"/>
          <w:position w:val="0"/>
        </w:rPr>
        <w:t xml:space="preserve">A.Chenard c </w:t>
      </w:r>
      <w:r>
        <w:rPr>
          <w:lang w:val="ru-RU" w:eastAsia="ru-RU" w:bidi="ru-RU"/>
          <w:w w:val="100"/>
          <w:spacing w:val="0"/>
          <w:color w:val="000000"/>
          <w:position w:val="0"/>
        </w:rPr>
        <w:t>соавт. (1993) у всех больных с выявленными же</w:t>
        <w:softHyphen/>
        <w:t>лудочковыми аритмиями наблюдались патологические значения отношения времени систолических интервалов (отношение периода предъизгнания к времени изгнания левого желудочка) — больше 0,48, а также имелись области дискинезии и акинезии сердечной мышцы. Таким образом, больным с прогрессирующей мышечной дистрофией Дю- шенна, имеющим нарушения ритма, обязательно необхо</w:t>
        <w:softHyphen/>
        <w:t>димо проводить допплерэхокардиографическое исследова</w:t>
        <w:softHyphen/>
        <w:t>ние для выявления аритмогенных изменений миокарда.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Эхокардиографические аномалии также весьма часты у больных прогрессирующей мышечной дистрофией Бек</w:t>
        <w:softHyphen/>
        <w:t>кера. Прежде всего это кардиомиопатии, выявляемые в ос</w:t>
        <w:softHyphen/>
        <w:t xml:space="preserve">новном на поздних этапах заболевания. По данным </w:t>
      </w:r>
      <w:r>
        <w:rPr>
          <w:lang w:val="en-US" w:eastAsia="en-US" w:bidi="en-US"/>
          <w:w w:val="100"/>
          <w:spacing w:val="0"/>
          <w:color w:val="000000"/>
          <w:position w:val="0"/>
        </w:rPr>
        <w:t xml:space="preserve">Nigro G. et al. </w:t>
      </w:r>
      <w:r>
        <w:rPr>
          <w:lang w:val="ru-RU" w:eastAsia="ru-RU" w:bidi="ru-RU"/>
          <w:w w:val="100"/>
          <w:spacing w:val="0"/>
          <w:color w:val="000000"/>
          <w:position w:val="0"/>
        </w:rPr>
        <w:t>(1995), в возрасте до 20 лет клинические и инстру</w:t>
        <w:softHyphen/>
        <w:t>ментально определяемые признаки кардиомиопатии (дила</w:t>
        <w:softHyphen/>
        <w:t xml:space="preserve">тационной, гипертрофической или аритмогенной) имеют 44% больных; в возрасте 20-30 лет этот процент возрастает до 68; в 30-40 лет — 75%; старше 40 лет — 81%. При этом значительно больше половины из этих пациентов имеют дилатационную кардиомиопатию. По мнению </w:t>
      </w:r>
      <w:r>
        <w:rPr>
          <w:lang w:val="en-US" w:eastAsia="en-US" w:bidi="en-US"/>
          <w:w w:val="100"/>
          <w:spacing w:val="0"/>
          <w:color w:val="000000"/>
          <w:position w:val="0"/>
        </w:rPr>
        <w:t xml:space="preserve">Steare S.E. et al. </w:t>
      </w:r>
      <w:r>
        <w:rPr>
          <w:lang w:val="ru-RU" w:eastAsia="ru-RU" w:bidi="ru-RU"/>
          <w:w w:val="100"/>
          <w:spacing w:val="0"/>
          <w:color w:val="000000"/>
          <w:position w:val="0"/>
        </w:rPr>
        <w:t>(1992), для пациентов с миопатией Беккера наиболее ха</w:t>
        <w:softHyphen/>
        <w:t>рактерно появление сначала диастолической дисфункции миокарда, к которой затем присоединяется систолическая.</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De Kermadek </w:t>
      </w:r>
      <w:r>
        <w:rPr>
          <w:lang w:val="ru-RU" w:eastAsia="ru-RU" w:bidi="ru-RU"/>
          <w:w w:val="100"/>
          <w:spacing w:val="0"/>
          <w:color w:val="000000"/>
          <w:position w:val="0"/>
        </w:rPr>
        <w:t>с соавт. (1994), проводя эхокардиографиче</w:t>
        <w:softHyphen/>
        <w:t>ское обследование пациентов с прогрессирующей мышеч</w:t>
        <w:softHyphen/>
        <w:t>ной дистрофией Дюшенна, обнаружили у 85% больных па</w:t>
        <w:softHyphen/>
        <w:t xml:space="preserve">тологические изменения (дилатационная кардиомиопатия, гипертрофическая кардиомиопатия, гипокинезия стенок левого желудочка, фиброз миокарда, пролапс митрального клапана и т.п.). </w:t>
      </w:r>
      <w:r>
        <w:rPr>
          <w:lang w:val="en-US" w:eastAsia="en-US" w:bidi="en-US"/>
          <w:w w:val="100"/>
          <w:spacing w:val="0"/>
          <w:color w:val="000000"/>
          <w:position w:val="0"/>
        </w:rPr>
        <w:t xml:space="preserve">Yanagisava A. </w:t>
      </w:r>
      <w:r>
        <w:rPr>
          <w:lang w:val="ru-RU" w:eastAsia="ru-RU" w:bidi="ru-RU"/>
          <w:w w:val="100"/>
          <w:spacing w:val="0"/>
          <w:color w:val="000000"/>
          <w:position w:val="0"/>
        </w:rPr>
        <w:t>с соавт. (1992) при помощи холтеровского мониторирования выявили нарушения сер</w:t>
        <w:softHyphen/>
        <w:t>дечного ритма у 64% пациентов с миопатией Дюшенна (си</w:t>
        <w:softHyphen/>
        <w:t>нусовая тахикардия, экстрасистолия, желудочковая тахи</w:t>
        <w:softHyphen/>
        <w:t>кардия, замедление атриовентрикулярного проведения и т.п.). Однако следует отметить, что исследованию сердеч</w:t>
        <w:softHyphen/>
        <w:t xml:space="preserve">ного ритма подвергались в основном пациенты с дистрофи- нопатиями старше 16 лет </w:t>
      </w:r>
      <w:r>
        <w:rPr>
          <w:lang w:val="en-US" w:eastAsia="en-US" w:bidi="en-US"/>
          <w:w w:val="100"/>
          <w:spacing w:val="0"/>
          <w:color w:val="000000"/>
          <w:position w:val="0"/>
        </w:rPr>
        <w:t xml:space="preserve">(Yotsukura M. et al.,1995). </w:t>
      </w:r>
      <w:r>
        <w:rPr>
          <w:lang w:val="ru-RU" w:eastAsia="ru-RU" w:bidi="ru-RU"/>
          <w:w w:val="100"/>
          <w:spacing w:val="0"/>
          <w:color w:val="000000"/>
          <w:position w:val="0"/>
        </w:rPr>
        <w:t>На более ранних стадиях заболевания подобные исследования прак</w:t>
        <w:softHyphen/>
        <w:t xml:space="preserve">тически не проводились. </w:t>
      </w:r>
      <w:r>
        <w:rPr>
          <w:lang w:val="en-US" w:eastAsia="en-US" w:bidi="en-US"/>
          <w:w w:val="100"/>
          <w:spacing w:val="0"/>
          <w:color w:val="000000"/>
          <w:position w:val="0"/>
        </w:rPr>
        <w:t xml:space="preserve">Chenard </w:t>
      </w:r>
      <w:r>
        <w:rPr>
          <w:lang w:val="ru-RU" w:eastAsia="ru-RU" w:bidi="ru-RU"/>
          <w:w w:val="100"/>
          <w:spacing w:val="0"/>
          <w:color w:val="000000"/>
          <w:position w:val="0"/>
        </w:rPr>
        <w:t xml:space="preserve">А.А. </w:t>
      </w:r>
      <w:r>
        <w:rPr>
          <w:lang w:val="en-US" w:eastAsia="en-US" w:bidi="en-US"/>
          <w:w w:val="100"/>
          <w:spacing w:val="0"/>
          <w:color w:val="000000"/>
          <w:position w:val="0"/>
        </w:rPr>
        <w:t xml:space="preserve">et al. </w:t>
      </w:r>
      <w:r>
        <w:rPr>
          <w:lang w:val="ru-RU" w:eastAsia="ru-RU" w:bidi="ru-RU"/>
          <w:w w:val="100"/>
          <w:spacing w:val="0"/>
          <w:color w:val="000000"/>
          <w:position w:val="0"/>
        </w:rPr>
        <w:t>(1993) исследо</w:t>
        <w:softHyphen/>
        <w:t>вали жизнеугрожаемые аритмии у пациентов с миопатией</w:t>
      </w:r>
    </w:p>
    <w:p>
      <w:pPr>
        <w:pStyle w:val="Style30"/>
        <w:widowControl w:val="0"/>
        <w:keepNext w:val="0"/>
        <w:keepLines w:val="0"/>
        <w:shd w:val="clear" w:color="auto" w:fill="auto"/>
        <w:bidi w:val="0"/>
        <w:spacing w:before="0" w:after="0"/>
        <w:ind w:left="0" w:right="0" w:firstLine="0"/>
      </w:pPr>
      <w:r>
        <w:br w:type="column"/>
      </w:r>
      <w:r>
        <w:rPr>
          <w:lang w:val="ru-RU" w:eastAsia="ru-RU" w:bidi="ru-RU"/>
          <w:w w:val="100"/>
          <w:spacing w:val="0"/>
          <w:color w:val="000000"/>
          <w:position w:val="0"/>
        </w:rPr>
        <w:t xml:space="preserve">Дюшенна. </w:t>
      </w:r>
      <w:r>
        <w:rPr>
          <w:lang w:val="en-US" w:eastAsia="en-US" w:bidi="en-US"/>
          <w:w w:val="100"/>
          <w:spacing w:val="0"/>
          <w:color w:val="000000"/>
          <w:position w:val="0"/>
        </w:rPr>
        <w:t xml:space="preserve">Kubo M. </w:t>
      </w:r>
      <w:r>
        <w:rPr>
          <w:lang w:val="ru-RU" w:eastAsia="ru-RU" w:bidi="ru-RU"/>
          <w:w w:val="100"/>
          <w:spacing w:val="0"/>
          <w:color w:val="000000"/>
          <w:position w:val="0"/>
        </w:rPr>
        <w:t>с соавт. (1993) определили поздние же</w:t>
        <w:softHyphen/>
        <w:t>лудочковые потенциалы у 31% пациентов с прогрессирую</w:t>
        <w:softHyphen/>
        <w:t>щей мышечной дистрофией Дюшенна и Беккера.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Данные допплерэхокардиографического исследования у больных прогрессирующей мышечной дистрофией Дю</w:t>
        <w:softHyphen/>
        <w:t xml:space="preserve">шенна, проведенные </w:t>
      </w:r>
      <w:r>
        <w:rPr>
          <w:lang w:val="en-US" w:eastAsia="en-US" w:bidi="en-US"/>
          <w:w w:val="100"/>
          <w:spacing w:val="0"/>
          <w:color w:val="000000"/>
          <w:position w:val="0"/>
        </w:rPr>
        <w:t xml:space="preserve">Takenaka A. </w:t>
      </w:r>
      <w:r>
        <w:rPr>
          <w:lang w:val="ru-RU" w:eastAsia="ru-RU" w:bidi="ru-RU"/>
          <w:w w:val="100"/>
          <w:spacing w:val="0"/>
          <w:color w:val="000000"/>
          <w:position w:val="0"/>
        </w:rPr>
        <w:t>с соавт. (1993), показыва</w:t>
        <w:softHyphen/>
        <w:t>ют, что систолическая дисфункция миокарда (со снижени</w:t>
        <w:softHyphen/>
        <w:t>ем сократительной способности сердечной мышцы) появ</w:t>
        <w:softHyphen/>
        <w:t>ляется уже в первой декаде жизни (в исследования вошли больные с миопатией Дюшенна в возрасте старше 8 лет). Случаи дебюта систолической дисфункции миокарда после 10 лет крайне редки, а после 14 лет ее манифестация прак</w:t>
        <w:softHyphen/>
        <w:t>тически не встречается. В отличие от больных с ишемичес</w:t>
        <w:softHyphen/>
        <w:t>кой болезнью сердца или гипертоническими заболевания</w:t>
        <w:softHyphen/>
        <w:t>ми, у пациентов с прогрессирующей мышечной дистрофи</w:t>
        <w:softHyphen/>
        <w:t>ей Дюшенна диастолическая дисфункция не всегда сопут</w:t>
        <w:softHyphen/>
        <w:t>ствует систолической, не наблюдается прямой зависимости между наличием систолической дисфункции миокарда и возрастом больного, а также не происходит хотя бы час</w:t>
        <w:softHyphen/>
        <w:t xml:space="preserve">тичной компенсации левожелудочковой дисфункции за счет левого предсердия </w:t>
      </w:r>
      <w:r>
        <w:rPr>
          <w:lang w:val="en-US" w:eastAsia="en-US" w:bidi="en-US"/>
          <w:w w:val="100"/>
          <w:spacing w:val="0"/>
          <w:color w:val="000000"/>
          <w:position w:val="0"/>
        </w:rPr>
        <w:t>(Takenaka A. et al.,1993).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целом частота выявления эхокардиографических на</w:t>
        <w:softHyphen/>
        <w:t>рушений у больных с мышечной дистрофией Дюшенна со</w:t>
        <w:softHyphen/>
        <w:t xml:space="preserve">ставляет от 47 до 85% </w:t>
      </w:r>
      <w:r>
        <w:rPr>
          <w:lang w:val="en-US" w:eastAsia="en-US" w:bidi="en-US"/>
          <w:w w:val="100"/>
          <w:spacing w:val="0"/>
          <w:color w:val="000000"/>
          <w:position w:val="0"/>
        </w:rPr>
        <w:t xml:space="preserve">(De Kermadec J.M. et al.,1994). </w:t>
      </w:r>
      <w:r>
        <w:rPr>
          <w:lang w:val="ru-RU" w:eastAsia="ru-RU" w:bidi="ru-RU"/>
          <w:w w:val="100"/>
          <w:spacing w:val="0"/>
          <w:color w:val="000000"/>
          <w:position w:val="0"/>
        </w:rPr>
        <w:t>Такой разброс данных зависит от того, включаются ли в понятие эхокардиографических признаков патологии минимальные и пограничные нарушения подвижности стенки сердца. Ес</w:t>
        <w:softHyphen/>
        <w:t>ли сравнить две группы больных — с минимальными нару</w:t>
        <w:softHyphen/>
        <w:t>шениями подвижности стенок левого желудочка и с выра</w:t>
        <w:softHyphen/>
        <w:t>женными нарушениями, то оказывается, что индекс по</w:t>
        <w:softHyphen/>
        <w:t>движности сердечной стенки, конечный диастолический диаметр и длительность систолы значительно повышаются при переходе из группы с минимальными нарушениями в группу с выраженными изменениями. В начальной ста</w:t>
        <w:softHyphen/>
        <w:t>дии заболевания чаще регистрируется гипокинезия в обла</w:t>
        <w:softHyphen/>
        <w:t>сти задней стенки левого желудочка. Среди больных второй группы примерно у 23% наблюдается сердечная недоста</w:t>
        <w:softHyphen/>
        <w:t>точность, а смертность составляет до 12% за несколько ме</w:t>
        <w:softHyphen/>
        <w:t>сяцев. В целом строгая корреляция выявляется между ин</w:t>
        <w:softHyphen/>
        <w:t>дексом подвижности сердечной стенки и величиной систо</w:t>
        <w:softHyphen/>
        <w:t>лического интервала. В результате нарастания величин вы</w:t>
        <w:softHyphen/>
        <w:t>шеуказанных параметров происходит дилатация левого же</w:t>
        <w:softHyphen/>
        <w:t>лудочка, прогрессирование сердечной недостаточности и, наконец, наступает смерть.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больных с развернутой клинической картиной заболе</w:t>
        <w:softHyphen/>
        <w:t>вания, а также у больных в терминальной стадии миопати- ческого процесса наиболее часто выявляются гипертрофи</w:t>
        <w:softHyphen/>
        <w:t>ческая кардиомиопатия (около 55% случаев, в основном при прогрессирующей мышечной дистрофии Беккера), ди</w:t>
        <w:softHyphen/>
        <w:t>латационная кардиомиопатия (примерно 25% случаев), а также встречаются такие нарушения, как дефект меж</w:t>
        <w:softHyphen/>
        <w:t xml:space="preserve">предсердной перегородки, пролапс митрального клапана и миксома левого желудочка </w:t>
      </w:r>
      <w:r>
        <w:rPr>
          <w:lang w:val="en-US" w:eastAsia="en-US" w:bidi="en-US"/>
          <w:w w:val="100"/>
          <w:spacing w:val="0"/>
          <w:color w:val="000000"/>
          <w:position w:val="0"/>
        </w:rPr>
        <w:t>(Adzija D. et al.,1994).</w:t>
      </w:r>
    </w:p>
    <w:p>
      <w:pPr>
        <w:pStyle w:val="Style30"/>
        <w:widowControl w:val="0"/>
        <w:keepNext w:val="0"/>
        <w:keepLines w:val="0"/>
        <w:shd w:val="clear" w:color="auto" w:fill="auto"/>
        <w:bidi w:val="0"/>
        <w:spacing w:before="0" w:after="0"/>
        <w:ind w:left="0" w:right="0" w:firstLine="280"/>
        <w:sectPr>
          <w:type w:val="continuous"/>
          <w:pgSz w:w="11900" w:h="16840"/>
          <w:pgMar w:top="1554" w:left="996" w:right="997" w:bottom="1736" w:header="0" w:footer="3" w:gutter="0"/>
          <w:rtlGutter w:val="0"/>
          <w:cols w:num="2" w:space="139"/>
          <w:noEndnote/>
          <w:docGrid w:linePitch="360"/>
        </w:sectPr>
      </w:pPr>
      <w:r>
        <w:rPr>
          <w:lang w:val="ru-RU" w:eastAsia="ru-RU" w:bidi="ru-RU"/>
          <w:w w:val="100"/>
          <w:spacing w:val="0"/>
          <w:color w:val="000000"/>
          <w:position w:val="0"/>
        </w:rPr>
        <w:t>Полученные нами эхокардиографические данные (об</w:t>
        <w:softHyphen/>
        <w:t>следовано 88 больных с прогрессирующей мышечной дист</w:t>
        <w:softHyphen/>
        <w:t>рофией Дюшенна/Беккера) в целом совпадают по спектру выявляемых изменений с результатами обследований, про</w:t>
        <w:softHyphen/>
        <w:t>веденных другими учеными. Действительно, наиболее ха</w:t>
        <w:softHyphen/>
        <w:t>рактерными и часто встречающимися эхокардиографичес</w:t>
        <w:softHyphen/>
        <w:t>кими нарушениями у больных с прогрессирующей мышеч</w:t>
        <w:softHyphen/>
        <w:t>ной дистрофией Дюшенна/Беккера являются различные варианты миокардиальной дисфункции (систолической,</w:t>
      </w:r>
    </w:p>
    <w:p>
      <w:pPr>
        <w:widowControl w:val="0"/>
        <w:rPr>
          <w:sz w:val="2"/>
          <w:szCs w:val="2"/>
        </w:rPr>
      </w:pPr>
      <w:r>
        <w:pict>
          <v:shape id="_x0000_s1663" type="#_x0000_t202" style="position:static;width:595.pt;height:65.8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664" type="#_x0000_t75" style="position:absolute;margin-left:131.15pt;margin-top:0;width:209.75pt;height:14.9pt;z-index:-251658659;mso-wrap-distance-left:5.pt;mso-wrap-distance-right:5.pt;mso-position-horizontal-relative:margin" wrapcoords="0 0">
            <v:imagedata r:id="rId1064" r:href="rId1065"/>
            <w10:wrap anchorx="margin"/>
          </v:shape>
        </w:pict>
      </w:r>
    </w:p>
    <w:p>
      <w:pPr>
        <w:widowControl w:val="0"/>
        <w:rPr>
          <w:sz w:val="2"/>
          <w:szCs w:val="2"/>
        </w:rPr>
        <w:sectPr>
          <w:type w:val="continuous"/>
          <w:pgSz w:w="11900" w:h="16840"/>
          <w:pgMar w:top="1468" w:left="1119" w:right="893" w:bottom="192" w:header="0" w:footer="3" w:gutter="0"/>
          <w:rtlGutter w:val="0"/>
          <w:cols w:space="720"/>
          <w:noEndnote/>
          <w:docGrid w:linePitch="360"/>
        </w:sectPr>
      </w:pPr>
    </w:p>
    <w:p>
      <w:pPr>
        <w:pStyle w:val="Style139"/>
        <w:framePr w:w="9888" w:wrap="notBeside" w:vAnchor="text" w:hAnchor="text" w:xAlign="center" w:y="1"/>
        <w:widowControl w:val="0"/>
        <w:keepNext w:val="0"/>
        <w:keepLines w:val="0"/>
        <w:shd w:val="clear" w:color="auto" w:fill="auto"/>
        <w:bidi w:val="0"/>
        <w:spacing w:before="0" w:after="14" w:line="180" w:lineRule="exact"/>
        <w:ind w:left="0" w:right="0" w:firstLine="0"/>
      </w:pPr>
      <w:r>
        <w:rPr>
          <w:lang w:val="ru-RU" w:eastAsia="ru-RU" w:bidi="ru-RU"/>
          <w:w w:val="100"/>
          <w:spacing w:val="0"/>
          <w:color w:val="000000"/>
          <w:position w:val="0"/>
        </w:rPr>
        <w:t>Таблица 26</w:t>
      </w:r>
    </w:p>
    <w:p>
      <w:pPr>
        <w:pStyle w:val="Style96"/>
        <w:framePr w:w="988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 xml:space="preserve">Состояние сердечно-сосудистой системы у больных прогрессирующей мышечной дистрофией Дюшенна </w:t>
      </w:r>
      <w:r>
        <w:rPr>
          <w:lang w:val="en-US" w:eastAsia="en-US" w:bidi="en-US"/>
          <w:w w:val="100"/>
          <w:spacing w:val="0"/>
          <w:color w:val="000000"/>
          <w:position w:val="0"/>
        </w:rPr>
        <w:t xml:space="preserve">(Ishikava Y. </w:t>
      </w:r>
      <w:r>
        <w:rPr>
          <w:lang w:val="ru-RU" w:eastAsia="ru-RU" w:bidi="ru-RU"/>
          <w:w w:val="100"/>
          <w:spacing w:val="0"/>
          <w:color w:val="000000"/>
          <w:position w:val="0"/>
        </w:rPr>
        <w:t>с соавт. 1995)</w:t>
      </w:r>
    </w:p>
    <w:tbl>
      <w:tblPr>
        <w:tblOverlap w:val="never"/>
        <w:tblLayout w:type="fixed"/>
        <w:jc w:val="center"/>
      </w:tblPr>
      <w:tblGrid>
        <w:gridCol w:w="2314"/>
        <w:gridCol w:w="672"/>
        <w:gridCol w:w="2712"/>
        <w:gridCol w:w="1066"/>
        <w:gridCol w:w="2678"/>
        <w:gridCol w:w="446"/>
      </w:tblGrid>
      <w:tr>
        <w:trPr>
          <w:trHeight w:val="432" w:hRule="exact"/>
        </w:trPr>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Конечный диастолический ди</w:t>
              <w:softHyphen/>
              <w:t>аметр левого желудочка</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ФВ</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Эхокардиографическое заключение</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60" w:line="180" w:lineRule="exact"/>
              <w:ind w:left="0" w:right="0" w:firstLine="0"/>
            </w:pPr>
            <w:r>
              <w:rPr>
                <w:lang w:val="ru-RU" w:eastAsia="ru-RU" w:bidi="ru-RU"/>
                <w:w w:val="100"/>
                <w:spacing w:val="0"/>
                <w:color w:val="000000"/>
                <w:position w:val="0"/>
              </w:rPr>
              <w:t>Клинические</w:t>
            </w:r>
          </w:p>
          <w:p>
            <w:pPr>
              <w:pStyle w:val="Style30"/>
              <w:framePr w:w="9888" w:wrap="notBeside" w:vAnchor="text" w:hAnchor="text" w:xAlign="center" w:y="1"/>
              <w:widowControl w:val="0"/>
              <w:keepNext w:val="0"/>
              <w:keepLines w:val="0"/>
              <w:shd w:val="clear" w:color="auto" w:fill="auto"/>
              <w:bidi w:val="0"/>
              <w:jc w:val="left"/>
              <w:spacing w:before="60" w:after="0" w:line="180" w:lineRule="exact"/>
              <w:ind w:left="0" w:right="0" w:firstLine="0"/>
            </w:pPr>
            <w:r>
              <w:rPr>
                <w:lang w:val="ru-RU" w:eastAsia="ru-RU" w:bidi="ru-RU"/>
                <w:w w:val="100"/>
                <w:spacing w:val="0"/>
                <w:color w:val="000000"/>
                <w:position w:val="0"/>
              </w:rPr>
              <w:t>симптомы</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Характеристика кардиомиопатии</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Р*</w:t>
            </w:r>
          </w:p>
        </w:tc>
      </w:tr>
      <w:tr>
        <w:trPr>
          <w:trHeight w:val="427" w:hRule="exact"/>
        </w:trPr>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Норма</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N</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Норма</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Нет</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Субклиническая кардиомиопатия или норма</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61%</w:t>
            </w:r>
          </w:p>
        </w:tc>
      </w:tr>
      <w:tr>
        <w:trPr>
          <w:trHeight w:val="619" w:hRule="exact"/>
        </w:trPr>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Увеличен в пределах 2-х стандартных отклонений от нормы</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&gt;0,4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Дисфункция левого желудочка (систолическая или диастолическая)</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Нет</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Дисфункция левого желудочка (си</w:t>
              <w:softHyphen/>
              <w:t>столическая или диастолическая)</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w:t>
            </w:r>
          </w:p>
        </w:tc>
      </w:tr>
      <w:tr>
        <w:trPr>
          <w:trHeight w:val="240" w:hRule="exact"/>
        </w:trPr>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То же</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&lt;0,4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Дилатация левого желудочка</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Нет</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Дилатация левого желудочка</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20%</w:t>
            </w:r>
          </w:p>
        </w:tc>
      </w:tr>
      <w:tr>
        <w:trPr>
          <w:trHeight w:val="446" w:hRule="exact"/>
        </w:trPr>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Увеличен более 2-х стандарт</w:t>
              <w:softHyphen/>
              <w:t>ных отклонений от нормы</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0,4-0,25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Дилатационная кардиомиопатия</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Нет</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Дилатационная кардиомиопатия</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w:t>
            </w:r>
          </w:p>
        </w:tc>
      </w:tr>
      <w:tr>
        <w:trPr>
          <w:trHeight w:val="264" w:hRule="exact"/>
        </w:trPr>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То же</w:t>
            </w: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&lt;0,25</w:t>
            </w: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Дилатационная кардиомиопатия</w:t>
            </w: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НК ПЫУст.</w:t>
            </w: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Дилатационная кардиомиопатия</w:t>
            </w:r>
          </w:p>
        </w:tc>
        <w:tc>
          <w:tcPr>
            <w:shd w:val="clear" w:color="auto" w:fill="FFFFFF"/>
            <w:tcBorders>
              <w:left w:val="single" w:sz="4"/>
              <w:righ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w:t>
            </w:r>
          </w:p>
        </w:tc>
      </w:tr>
    </w:tbl>
    <w:p>
      <w:pPr>
        <w:framePr w:w="9888" w:wrap="notBeside" w:vAnchor="text" w:hAnchor="text" w:xAlign="center" w:y="1"/>
        <w:widowControl w:val="0"/>
        <w:rPr>
          <w:sz w:val="2"/>
          <w:szCs w:val="2"/>
        </w:rPr>
      </w:pPr>
    </w:p>
    <w:p>
      <w:pPr>
        <w:widowControl w:val="0"/>
        <w:rPr>
          <w:sz w:val="2"/>
          <w:szCs w:val="2"/>
        </w:rPr>
      </w:pPr>
    </w:p>
    <w:p>
      <w:pPr>
        <w:pStyle w:val="Style30"/>
        <w:widowControl w:val="0"/>
        <w:keepNext w:val="0"/>
        <w:keepLines w:val="0"/>
        <w:shd w:val="clear" w:color="auto" w:fill="auto"/>
        <w:bidi w:val="0"/>
        <w:jc w:val="left"/>
        <w:spacing w:before="21" w:after="0"/>
        <w:ind w:left="280" w:right="0" w:firstLine="0"/>
      </w:pPr>
      <w:r>
        <w:rPr>
          <w:lang w:val="en-US" w:eastAsia="en-US" w:bidi="en-US"/>
          <w:w w:val="100"/>
          <w:spacing w:val="0"/>
          <w:color w:val="000000"/>
          <w:position w:val="0"/>
        </w:rPr>
        <w:t xml:space="preserve">N </w:t>
      </w:r>
      <w:r>
        <w:rPr>
          <w:lang w:val="ru-RU" w:eastAsia="ru-RU" w:bidi="ru-RU"/>
          <w:w w:val="100"/>
          <w:spacing w:val="0"/>
          <w:color w:val="000000"/>
          <w:position w:val="0"/>
        </w:rPr>
        <w:t>— показатель в пределах нормы;</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ФВ — фракция выброса левого желудочка;</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НК — недостаточность кровообращения;</w:t>
      </w:r>
    </w:p>
    <w:p>
      <w:pPr>
        <w:pStyle w:val="Style30"/>
        <w:widowControl w:val="0"/>
        <w:keepNext w:val="0"/>
        <w:keepLines w:val="0"/>
        <w:shd w:val="clear" w:color="auto" w:fill="auto"/>
        <w:bidi w:val="0"/>
        <w:jc w:val="left"/>
        <w:spacing w:before="0" w:after="0"/>
        <w:ind w:left="280" w:right="0" w:firstLine="0"/>
        <w:sectPr>
          <w:pgSz w:w="11900" w:h="16840"/>
          <w:pgMar w:top="2058" w:left="884" w:right="1119" w:bottom="176" w:header="0" w:footer="3" w:gutter="0"/>
          <w:rtlGutter w:val="0"/>
          <w:cols w:space="720"/>
          <w:noEndnote/>
          <w:docGrid w:linePitch="360"/>
        </w:sectPr>
      </w:pPr>
      <w:r>
        <w:rPr>
          <w:lang w:val="ru-RU" w:eastAsia="ru-RU" w:bidi="ru-RU"/>
          <w:w w:val="100"/>
          <w:spacing w:val="0"/>
          <w:color w:val="000000"/>
          <w:position w:val="0"/>
        </w:rPr>
        <w:t>Р* — процент больных с прогрессирующей мышечной дистрофией Дюшенна, имеющих данные нарушения.</w:t>
      </w:r>
    </w:p>
    <w:p>
      <w:pPr>
        <w:widowControl w:val="0"/>
        <w:spacing w:before="87" w:after="87" w:line="240" w:lineRule="exact"/>
        <w:rPr>
          <w:sz w:val="19"/>
          <w:szCs w:val="19"/>
        </w:rPr>
      </w:pPr>
    </w:p>
    <w:p>
      <w:pPr>
        <w:widowControl w:val="0"/>
        <w:rPr>
          <w:sz w:val="2"/>
          <w:szCs w:val="2"/>
        </w:rPr>
        <w:sectPr>
          <w:type w:val="continuous"/>
          <w:pgSz w:w="11900" w:h="16840"/>
          <w:pgMar w:top="1569" w:left="0" w:right="0" w:bottom="1761" w:header="0" w:footer="3" w:gutter="0"/>
          <w:rtlGutter w:val="0"/>
          <w:cols w:space="720"/>
          <w:noEndnote/>
          <w:docGrid w:linePitch="360"/>
        </w:sectPr>
      </w:pPr>
    </w:p>
    <w:p>
      <w:pPr>
        <w:widowControl w:val="0"/>
        <w:rPr>
          <w:sz w:val="2"/>
          <w:szCs w:val="2"/>
        </w:rPr>
      </w:pPr>
      <w:r>
        <w:pict>
          <v:shape id="_x0000_s1665" type="#_x0000_t75" style="position:absolute;margin-left:142.45pt;margin-top:518.15pt;width:209.75pt;height:14.9pt;z-index:-125828934;mso-wrap-distance-left:148.1pt;mso-wrap-distance-right:136.8pt;mso-wrap-distance-bottom:10.8pt;mso-position-horizontal-relative:margin" wrapcoords="0 0 21600 0 21600 21600 0 21600 0 0">
            <v:imagedata r:id="rId1066" r:href="rId1067"/>
            <w10:wrap type="topAndBottom" anchorx="margin"/>
          </v:shape>
        </w:pic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диастолической или систоло-диастолической). На поздних стадиях заболевания практически у всех больных они при</w:t>
        <w:softHyphen/>
        <w:t>водят к дилатации полости левого желудочка и выражен</w:t>
        <w:softHyphen/>
        <w:t>ным гемодинамическим нарушениям вплоть до развития застойной сердечной недостаточности. Чаще, чем в целом в популяции, встречается пролапс митрального клапана. Миокардиальный фиброз в виде участков диффузного уп</w:t>
        <w:softHyphen/>
        <w:t>лотнения сердечной мышцы, а также уплотнение контура эндокарда визуализируется при проведении эхокардиогра</w:t>
        <w:softHyphen/>
        <w:t>фического исследования у больных прогрессирующей мы</w:t>
        <w:softHyphen/>
        <w:t xml:space="preserve">шечной дистрофией Дюшенна/Беккера уже в 10 лет. </w:t>
      </w:r>
      <w:r>
        <w:rPr>
          <w:lang w:val="en-US" w:eastAsia="en-US" w:bidi="en-US"/>
          <w:w w:val="100"/>
          <w:spacing w:val="0"/>
          <w:color w:val="000000"/>
          <w:position w:val="0"/>
        </w:rPr>
        <w:t xml:space="preserve">Miyoshi K. </w:t>
      </w:r>
      <w:r>
        <w:rPr>
          <w:lang w:val="ru-RU" w:eastAsia="ru-RU" w:bidi="ru-RU"/>
          <w:w w:val="100"/>
          <w:spacing w:val="0"/>
          <w:color w:val="000000"/>
          <w:position w:val="0"/>
        </w:rPr>
        <w:t>(1991) в своих исследованиях также обращает внимание на массивные диффузные фиброзные включения в миокарде больных прогрессирующей мышечной дистро</w:t>
        <w:softHyphen/>
        <w:t>фией Дюшенна, выявляемые при проведении эхокардио</w:t>
        <w:softHyphen/>
        <w:t>графии. Однако в его исследования вошли больные более старшего возраста — 12-30 лет.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Пожалуй, единственным показателем, реально отлича</w:t>
        <w:softHyphen/>
        <w:t>ющимся от результатов других исследователей, была часто</w:t>
        <w:softHyphen/>
        <w:t>та выявления гипертрофической кардиомиопатии при про</w:t>
        <w:softHyphen/>
        <w:t>грессирующей мышечной дистрофии Дюшенна/Беккера. Мы объясняем этот факт тем, что в нашей стране и за рубе</w:t>
        <w:softHyphen/>
        <w:t xml:space="preserve">жом существуют различные методы оценки гипертрофии миокарда. Так, </w:t>
      </w:r>
      <w:r>
        <w:rPr>
          <w:lang w:val="en-US" w:eastAsia="en-US" w:bidi="en-US"/>
          <w:w w:val="100"/>
          <w:spacing w:val="0"/>
          <w:color w:val="000000"/>
          <w:position w:val="0"/>
        </w:rPr>
        <w:t xml:space="preserve">Nigro G. </w:t>
      </w:r>
      <w:r>
        <w:rPr>
          <w:lang w:val="ru-RU" w:eastAsia="ru-RU" w:bidi="ru-RU"/>
          <w:w w:val="100"/>
          <w:spacing w:val="0"/>
          <w:color w:val="000000"/>
          <w:position w:val="0"/>
        </w:rPr>
        <w:t>с соавт. (1995), заслуженно призна</w:t>
        <w:softHyphen/>
        <w:t>ваемые ведущими исследователями в области сердечно-со</w:t>
        <w:softHyphen/>
        <w:t>судистых нарушений при прогрессирующих мышечных ди</w:t>
        <w:softHyphen/>
        <w:t>строфиях, в основу диагноза гипертрофической кардио</w:t>
        <w:softHyphen/>
        <w:t>миопатии ставят эхокардиографический сердечный ин</w:t>
        <w:softHyphen/>
        <w:t>декс. Он равен отношению толщины межжелудочковой пе</w:t>
        <w:softHyphen/>
        <w:t>регородки в диастолу к толщине задней стенки левого же</w:t>
        <w:softHyphen/>
        <w:t>лудочка в диастолу (причем измерения проводятся в В-ре- жиме). Если индекс превышает 1,5, то больному ставится диагноз гипертрофической кардиомиопатии. Однако вы</w:t>
        <w:softHyphen/>
        <w:t>шеописанный метод приводит к значительной гипердиа</w:t>
        <w:softHyphen/>
        <w:t>гностике. Мы считаем более правильным оценивать тол</w:t>
        <w:softHyphen/>
        <w:t>щину миокарда, исходя из перцентильных таблиц в зависи</w:t>
        <w:softHyphen/>
        <w:t>мости от пола и веса ребенка. Кроме того, в наших исследо</w:t>
        <w:softHyphen/>
        <w:t>ваниях гипертрофия миокарда межжелудочковой перего</w:t>
        <w:softHyphen/>
        <w:t>родки и задней стенки левого желудочка в основном на</w:t>
        <w:softHyphen/>
        <w:t>блюдалась у больных прогрессирующей мышечной дистро</w:t>
        <w:softHyphen/>
        <w:t>фией Дюшенна/Беккера, находящихся на терапии предни- золоном (ниже об этом будет рассказано более подробно).</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Особенности поражения сердечно-сосудистой системы при ПМД Дюшенна приведены в табл. 26. Важно отметить, что трактовка результатов кардиологического обследования больных прогрессирующей мышечной дистрофией Дюшен</w:t>
        <w:softHyphen/>
        <w:t>на/Беккера до сих пор является предметом дискуссии иссле</w:t>
        <w:softHyphen/>
        <w:t>дователей всего мира. На сегодняшний день нет единого мнения ученых о том, как должна звучать формулировка ди</w:t>
        <w:softHyphen/>
        <w:t>агноза у больного с теми или иными выявленными сердеч</w:t>
        <w:softHyphen/>
        <w:t>но-сосудистыми нарушениями, поскольку недостаточно из</w:t>
        <w:softHyphen/>
        <w:t>учена динамика кардиомиопатического процесса у больных с прогрессирующей мышечной дистрофией Дюшенна/Бек</w:t>
        <w:softHyphen/>
        <w:t>кера, а наличие миопатического синдрома накладывает свой отпечаток на клинические проявления кардиомиопатии.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Конечно, трактовка сердечно-сосудистых нарушений у больных прогрессирующей мышечной дистрофией Дю</w:t>
        <w:softHyphen/>
        <w:t xml:space="preserve">шенна, предложенная </w:t>
      </w:r>
      <w:r>
        <w:rPr>
          <w:lang w:val="en-US" w:eastAsia="en-US" w:bidi="en-US"/>
          <w:w w:val="100"/>
          <w:spacing w:val="0"/>
          <w:color w:val="000000"/>
          <w:position w:val="0"/>
        </w:rPr>
        <w:t xml:space="preserve">Ishikava Y. </w:t>
      </w:r>
      <w:r>
        <w:rPr>
          <w:lang w:val="ru-RU" w:eastAsia="ru-RU" w:bidi="ru-RU"/>
          <w:w w:val="100"/>
          <w:spacing w:val="0"/>
          <w:color w:val="000000"/>
          <w:position w:val="0"/>
        </w:rPr>
        <w:t>с соавт. (1995) и представ</w:t>
        <w:softHyphen/>
        <w:t>ленная в таблице, несовершенна: в наблюдениях нет боль</w:t>
        <w:softHyphen/>
        <w:t>ных с первой, второй-А и второй-Б стадиями недостаточ</w:t>
        <w:softHyphen/>
        <w:t>ности кровообращения на фоне кардиомиопатии, средний возраст наблюдаемых больных очень велик для подобного заболевания, мало раскрыты ранние стадии поражения сердечной мышцы.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Проведение протонно-эмиссионной компьютерной то</w:t>
        <w:softHyphen/>
        <w:t>мографии также позволяет выявить поражение миокарда на ранних стадиях и исследовать сердечно-легочную функ</w:t>
        <w:softHyphen/>
        <w:t>цию у больных прогрессирующей мышечной дистрофией Дюшенна. Дефицит перфузии наблюдается у 96% пациен</w:t>
        <w:softHyphen/>
        <w:t>тов и дебютирует уже к 6-летнему возрасту. Дефект перфу</w:t>
        <w:softHyphen/>
        <w:t>зии распространяется чаще всего от латеральной стенки ле</w:t>
        <w:softHyphen/>
        <w:t>вого желудочка до передней стенки и/или межжелудочко</w:t>
        <w:softHyphen/>
        <w:t>вой перегородки. Худший прогноз в отношении риска воз</w:t>
        <w:softHyphen/>
        <w:t>никновения сердечно-легочной недостаточности в бли</w:t>
        <w:softHyphen/>
        <w:t>жайшее от проведения исследования время имеют пациен</w:t>
        <w:softHyphen/>
        <w:t xml:space="preserve">ты с дефицитом перфузии более 10% и в возрасте моложе 15 лет </w:t>
      </w:r>
      <w:r>
        <w:rPr>
          <w:lang w:val="en-US" w:eastAsia="en-US" w:bidi="en-US"/>
          <w:w w:val="100"/>
          <w:spacing w:val="0"/>
          <w:color w:val="000000"/>
          <w:position w:val="0"/>
        </w:rPr>
        <w:t>(Tamura T. et al.,1993).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основном исследования 80-х — 90-х годов охватывают группы больных со средним возрастом около 13 лет при миопатии Дюшенна и около 20 лет при миопатии Беккера, т.е. период ярких клинических проявлений заболевания, со</w:t>
        <w:softHyphen/>
        <w:t>провождающийся выраженной атрофией мышц. Комплекс</w:t>
        <w:softHyphen/>
        <w:t>ных исследований сердечно-сосудистой системы на более ранних стадиях болезни практически не проводилось.</w:t>
      </w:r>
      <w:r>
        <w:br w:type="page"/>
      </w:r>
    </w:p>
    <w:p>
      <w:pPr>
        <w:pStyle w:val="Style92"/>
        <w:widowControl w:val="0"/>
        <w:keepNext/>
        <w:keepLines/>
        <w:shd w:val="clear" w:color="auto" w:fill="auto"/>
        <w:bidi w:val="0"/>
        <w:spacing w:before="0" w:after="0"/>
        <w:ind w:left="0" w:right="0" w:firstLine="280"/>
      </w:pPr>
      <w:bookmarkStart w:id="686" w:name="bookmark686"/>
      <w:r>
        <w:rPr>
          <w:lang w:val="ru-RU" w:eastAsia="ru-RU" w:bidi="ru-RU"/>
          <w:w w:val="100"/>
          <w:spacing w:val="0"/>
          <w:color w:val="000000"/>
          <w:position w:val="0"/>
        </w:rPr>
        <w:t>Лечение</w:t>
      </w:r>
      <w:bookmarkEnd w:id="68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целом подходы к лечению сердечно-сосудистых нару</w:t>
        <w:softHyphen/>
        <w:t>шений у больных миопатией Дюшенна/Беккера описаны выше. Отдельно следует остановиться на возможностях кардиохирургического лечения.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Имплантация искусственного водителя ритма у больных миопатией Дюшенна и Беккера производится крайне ред</w:t>
        <w:softHyphen/>
        <w:t>ко, поскольку наличие электродов в правом желудочке мо</w:t>
        <w:softHyphen/>
        <w:t>жет провоцировать возникновение тяжелых желудочковых аритмий. В то же время больным прогрессирующей мы</w:t>
        <w:softHyphen/>
        <w:t>шечной дистрофией Эмери-Дрейфусса необходимо уже в первой декаде жизни следить за нарушениями ритма сердца и определять при необходимости показания к под</w:t>
        <w:softHyphen/>
        <w:t>шиванию электрокардиостимулятора.</w:t>
      </w:r>
    </w:p>
    <w:p>
      <w:pPr>
        <w:pStyle w:val="Style30"/>
        <w:widowControl w:val="0"/>
        <w:keepNext w:val="0"/>
        <w:keepLines w:val="0"/>
        <w:shd w:val="clear" w:color="auto" w:fill="auto"/>
        <w:bidi w:val="0"/>
        <w:spacing w:before="0" w:after="221"/>
        <w:ind w:left="0" w:right="0" w:firstLine="280"/>
      </w:pPr>
      <w:r>
        <w:rPr>
          <w:lang w:val="ru-RU" w:eastAsia="ru-RU" w:bidi="ru-RU"/>
          <w:w w:val="100"/>
          <w:spacing w:val="0"/>
          <w:color w:val="000000"/>
          <w:position w:val="0"/>
        </w:rPr>
        <w:t>Всем больным прогрессирующей мышечной дистрофи</w:t>
        <w:softHyphen/>
        <w:t>ей, находящимся в крайней стадии течения кардиомиопа- тического процесса, при котором медикаментозная тера</w:t>
        <w:softHyphen/>
        <w:t>пия сердечно-сосудистых нарушений не дает желаемого эффекта, необходимо определять показания для проведе</w:t>
        <w:softHyphen/>
        <w:t>ния операции трансплантации сердца. Критерием для опе</w:t>
        <w:softHyphen/>
        <w:t>рации трансплантации сердца у больных прогрессирующей мышечной дистрофией Дюшенна/Беккера является сниже</w:t>
        <w:softHyphen/>
        <w:t>ние сократительной способности миокарда левого желу</w:t>
        <w:softHyphen/>
        <w:t>дочка менее 25% с явлениями неконтролируемой застой</w:t>
        <w:softHyphen/>
        <w:t>ной сердечной недостаточности.</w:t>
      </w:r>
    </w:p>
    <w:p>
      <w:pPr>
        <w:pStyle w:val="Style48"/>
        <w:widowControl w:val="0"/>
        <w:keepNext/>
        <w:keepLines/>
        <w:shd w:val="clear" w:color="auto" w:fill="auto"/>
        <w:bidi w:val="0"/>
        <w:jc w:val="left"/>
        <w:spacing w:before="0" w:after="79" w:line="240" w:lineRule="exact"/>
        <w:ind w:left="0" w:right="0" w:firstLine="0"/>
      </w:pPr>
      <w:bookmarkStart w:id="687" w:name="bookmark687"/>
      <w:r>
        <w:rPr>
          <w:lang w:val="ru-RU" w:eastAsia="ru-RU" w:bidi="ru-RU"/>
          <w:w w:val="100"/>
          <w:spacing w:val="0"/>
          <w:color w:val="000000"/>
          <w:position w:val="0"/>
        </w:rPr>
        <w:t>Прогрессирующая мышечная дистрофия Эмери-Дрейфусса</w:t>
      </w:r>
      <w:bookmarkEnd w:id="68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Прогрессирующая мышечная дистрофия Эмери-Дрейфус</w:t>
        <w:softHyphen/>
        <w:t>са — Х-сцепленная наследственная дегенеративная мышеч</w:t>
        <w:softHyphen/>
        <w:t>ная дистрофия, характеризующаяся мышечной слабостью и прогрессирующей атрофией мышц без вовлечения в про</w:t>
        <w:softHyphen/>
        <w:t xml:space="preserve">цесс нервной системы. Развитие сгибательных контрактур в локтевых суставах в раннем возрасте, умеренно выраженный </w:t>
      </w:r>
      <w:r>
        <w:rPr>
          <w:lang w:val="en-US" w:eastAsia="en-US" w:bidi="en-US"/>
          <w:w w:val="100"/>
          <w:spacing w:val="0"/>
          <w:color w:val="000000"/>
          <w:position w:val="0"/>
        </w:rPr>
        <w:t xml:space="preserve">pectus excavatum, </w:t>
      </w:r>
      <w:r>
        <w:rPr>
          <w:lang w:val="ru-RU" w:eastAsia="ru-RU" w:bidi="ru-RU"/>
          <w:w w:val="100"/>
          <w:spacing w:val="0"/>
          <w:color w:val="000000"/>
          <w:position w:val="0"/>
        </w:rPr>
        <w:t>поражение сердечно-сосудистой системы с развитием тяжелых нарушений ритма сердца и проводимос</w:t>
        <w:softHyphen/>
        <w:t>ти, а также отсутствие выраженных псевдогипертрофий, ум</w:t>
        <w:softHyphen/>
        <w:t>ственной отсталости и преимущественное поражение мышц предплечья позволяют четко разграничить миопатию Эмери- Дрейфусса от миопатии Дюшенна/Беккера.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Первое описание заболевания принадлежит </w:t>
      </w:r>
      <w:r>
        <w:rPr>
          <w:lang w:val="en-US" w:eastAsia="en-US" w:bidi="en-US"/>
          <w:w w:val="100"/>
          <w:spacing w:val="0"/>
          <w:color w:val="000000"/>
          <w:position w:val="0"/>
        </w:rPr>
        <w:t xml:space="preserve">Dreifuss J.R. </w:t>
      </w:r>
      <w:r>
        <w:rPr>
          <w:lang w:val="ru-RU" w:eastAsia="ru-RU" w:bidi="ru-RU"/>
          <w:w w:val="100"/>
          <w:spacing w:val="0"/>
          <w:color w:val="000000"/>
          <w:position w:val="0"/>
        </w:rPr>
        <w:t xml:space="preserve">и </w:t>
      </w:r>
      <w:r>
        <w:rPr>
          <w:lang w:val="en-US" w:eastAsia="en-US" w:bidi="en-US"/>
          <w:w w:val="100"/>
          <w:spacing w:val="0"/>
          <w:color w:val="000000"/>
          <w:position w:val="0"/>
        </w:rPr>
        <w:t xml:space="preserve">Hogan G. </w:t>
      </w:r>
      <w:r>
        <w:rPr>
          <w:lang w:val="ru-RU" w:eastAsia="ru-RU" w:bidi="ru-RU"/>
          <w:w w:val="100"/>
          <w:spacing w:val="0"/>
          <w:color w:val="000000"/>
          <w:position w:val="0"/>
        </w:rPr>
        <w:t xml:space="preserve">(1961), а также </w:t>
      </w:r>
      <w:r>
        <w:rPr>
          <w:lang w:val="en-US" w:eastAsia="en-US" w:bidi="en-US"/>
          <w:w w:val="100"/>
          <w:spacing w:val="0"/>
          <w:color w:val="000000"/>
          <w:position w:val="0"/>
        </w:rPr>
        <w:t xml:space="preserve">Emery </w:t>
      </w:r>
      <w:r>
        <w:rPr>
          <w:lang w:val="ru-RU" w:eastAsia="ru-RU" w:bidi="ru-RU"/>
          <w:w w:val="100"/>
          <w:spacing w:val="0"/>
          <w:color w:val="000000"/>
          <w:position w:val="0"/>
        </w:rPr>
        <w:t xml:space="preserve">А.Е.Н. и </w:t>
      </w:r>
      <w:r>
        <w:rPr>
          <w:lang w:val="en-US" w:eastAsia="en-US" w:bidi="en-US"/>
          <w:w w:val="100"/>
          <w:spacing w:val="0"/>
          <w:color w:val="000000"/>
          <w:position w:val="0"/>
        </w:rPr>
        <w:t xml:space="preserve">Dreifuss J.R. </w:t>
      </w:r>
      <w:r>
        <w:rPr>
          <w:lang w:val="ru-RU" w:eastAsia="ru-RU" w:bidi="ru-RU"/>
          <w:w w:val="100"/>
          <w:spacing w:val="0"/>
          <w:color w:val="000000"/>
          <w:position w:val="0"/>
        </w:rPr>
        <w:t>(1966). Они описали семью, в которой 8 родственников в 3 поколениях страдали миопатией, передающейся Х-сцеп- ленным путем, причем клинические проявления заболева</w:t>
        <w:softHyphen/>
        <w:t>ния отличались от миопатии Дюшенна/Беккера.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Emery A. E. H. (1987) </w:t>
      </w:r>
      <w:r>
        <w:rPr>
          <w:lang w:val="ru-RU" w:eastAsia="ru-RU" w:bidi="ru-RU"/>
          <w:w w:val="100"/>
          <w:spacing w:val="0"/>
          <w:color w:val="000000"/>
          <w:position w:val="0"/>
        </w:rPr>
        <w:t>выделил следующие три основных критерия заболевания:</w:t>
      </w:r>
    </w:p>
    <w:p>
      <w:pPr>
        <w:pStyle w:val="Style30"/>
        <w:numPr>
          <w:ilvl w:val="0"/>
          <w:numId w:val="141"/>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Медленно прогрессирующая мышечная слабость с первичным поражением мышц плеча и перонеаль- ных мышц.</w:t>
      </w:r>
    </w:p>
    <w:p>
      <w:pPr>
        <w:pStyle w:val="Style30"/>
        <w:numPr>
          <w:ilvl w:val="0"/>
          <w:numId w:val="141"/>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Раннее развитие контрактур локтевых суставов, ахил</w:t>
        <w:softHyphen/>
        <w:t>ловых сухожилий и тугоподвижность мышц шеи.</w:t>
      </w:r>
    </w:p>
    <w:p>
      <w:pPr>
        <w:pStyle w:val="Style30"/>
        <w:numPr>
          <w:ilvl w:val="0"/>
          <w:numId w:val="141"/>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Нарушения деятельности сердечно-сосудистой сис</w:t>
        <w:softHyphen/>
        <w:t>темы (нарушения ритма и проводимости сердца, кар</w:t>
        <w:softHyphen/>
        <w:t>диомиопатия).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Помимо этих признаков к критериям диагноза относятся Х-сцепленный рецессивный характер наследования, дебют в возрасте 4-15 лет и медленно прогрессирующее течение.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Этиология. Причиной заболевания является мутация ге</w:t>
        <w:softHyphen/>
        <w:t xml:space="preserve">на, локализованного в дистальной части </w:t>
      </w:r>
      <w:r>
        <w:rPr>
          <w:lang w:val="en-US" w:eastAsia="en-US" w:bidi="en-US"/>
          <w:w w:val="100"/>
          <w:spacing w:val="0"/>
          <w:color w:val="000000"/>
          <w:position w:val="0"/>
        </w:rPr>
        <w:t xml:space="preserve">Xq28. </w:t>
      </w:r>
      <w:r>
        <w:rPr>
          <w:lang w:val="ru-RU" w:eastAsia="ru-RU" w:bidi="ru-RU"/>
          <w:w w:val="100"/>
          <w:spacing w:val="0"/>
          <w:color w:val="000000"/>
          <w:position w:val="0"/>
        </w:rPr>
        <w:t>Ген неболь</w:t>
        <w:softHyphen/>
        <w:br w:type="column"/>
        <w:t xml:space="preserve">шой — протяженностью всего 2 </w:t>
      </w:r>
      <w:r>
        <w:rPr>
          <w:lang w:val="en-US" w:eastAsia="en-US" w:bidi="en-US"/>
          <w:w w:val="100"/>
          <w:spacing w:val="0"/>
          <w:color w:val="000000"/>
          <w:position w:val="0"/>
        </w:rPr>
        <w:t xml:space="preserve">kb, </w:t>
      </w:r>
      <w:r>
        <w:rPr>
          <w:lang w:val="ru-RU" w:eastAsia="ru-RU" w:bidi="ru-RU"/>
          <w:w w:val="100"/>
          <w:spacing w:val="0"/>
          <w:color w:val="000000"/>
          <w:position w:val="0"/>
        </w:rPr>
        <w:t>состоит из 6 экзонов и 5 интронов. Продукт гена — белок эмерин, состоящей из 254 аминокислот, локализуется в ядерной мембране клеток ске</w:t>
        <w:softHyphen/>
        <w:t xml:space="preserve">летных мышц, сердца и головного мозга </w:t>
      </w:r>
      <w:r>
        <w:rPr>
          <w:lang w:val="en-US" w:eastAsia="en-US" w:bidi="en-US"/>
          <w:w w:val="100"/>
          <w:spacing w:val="0"/>
          <w:color w:val="000000"/>
          <w:position w:val="0"/>
        </w:rPr>
        <w:t xml:space="preserve">(Bione S. et al., </w:t>
      </w:r>
      <w:r>
        <w:rPr>
          <w:lang w:val="ru-RU" w:eastAsia="ru-RU" w:bidi="ru-RU"/>
          <w:w w:val="100"/>
          <w:spacing w:val="0"/>
          <w:color w:val="000000"/>
          <w:position w:val="0"/>
        </w:rPr>
        <w:t>1994). Функция данного белка до сих пор недостаточно яс</w:t>
        <w:softHyphen/>
        <w:t xml:space="preserve">на </w:t>
      </w:r>
      <w:r>
        <w:rPr>
          <w:lang w:val="en-US" w:eastAsia="en-US" w:bidi="en-US"/>
          <w:w w:val="100"/>
          <w:spacing w:val="0"/>
          <w:color w:val="000000"/>
          <w:position w:val="0"/>
        </w:rPr>
        <w:t xml:space="preserve">(Toniolo D., </w:t>
      </w:r>
      <w:r>
        <w:rPr>
          <w:lang w:val="ru-RU" w:eastAsia="ru-RU" w:bidi="ru-RU"/>
          <w:w w:val="100"/>
          <w:spacing w:val="0"/>
          <w:color w:val="000000"/>
          <w:position w:val="0"/>
        </w:rPr>
        <w:t>2001). В настоящее время описано более 70 мутаций данного гена, которые приводят к развитию забо</w:t>
        <w:softHyphen/>
        <w:t xml:space="preserve">левания </w:t>
      </w:r>
      <w:r>
        <w:rPr>
          <w:lang w:val="en-US" w:eastAsia="en-US" w:bidi="en-US"/>
          <w:w w:val="100"/>
          <w:spacing w:val="0"/>
          <w:color w:val="000000"/>
          <w:position w:val="0"/>
        </w:rPr>
        <w:t xml:space="preserve">Ellis J.A. </w:t>
      </w:r>
      <w:r>
        <w:rPr>
          <w:lang w:val="ru-RU" w:eastAsia="ru-RU" w:bidi="ru-RU"/>
          <w:w w:val="100"/>
          <w:spacing w:val="0"/>
          <w:color w:val="000000"/>
          <w:position w:val="0"/>
        </w:rPr>
        <w:t>(1999).</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Emery A. E. H. (1989) </w:t>
      </w:r>
      <w:r>
        <w:rPr>
          <w:lang w:val="ru-RU" w:eastAsia="ru-RU" w:bidi="ru-RU"/>
          <w:w w:val="100"/>
          <w:spacing w:val="0"/>
          <w:color w:val="000000"/>
          <w:position w:val="0"/>
        </w:rPr>
        <w:t xml:space="preserve">считает, что заболевание может в редких случаях наследоваться не только Х-сцепленным рецессивным, но и аутосомно-доминантным </w:t>
      </w:r>
      <w:r>
        <w:rPr>
          <w:lang w:val="en-US" w:eastAsia="en-US" w:bidi="en-US"/>
          <w:w w:val="100"/>
          <w:spacing w:val="0"/>
          <w:color w:val="000000"/>
          <w:position w:val="0"/>
        </w:rPr>
        <w:t xml:space="preserve">(Bonne G. et al., </w:t>
      </w:r>
      <w:r>
        <w:rPr>
          <w:lang w:val="ru-RU" w:eastAsia="ru-RU" w:bidi="ru-RU"/>
          <w:w w:val="100"/>
          <w:spacing w:val="0"/>
          <w:color w:val="000000"/>
          <w:position w:val="0"/>
        </w:rPr>
        <w:t xml:space="preserve">1999), а также аутосомно-рецессивным путем </w:t>
      </w:r>
      <w:r>
        <w:rPr>
          <w:lang w:val="en-US" w:eastAsia="en-US" w:bidi="en-US"/>
          <w:w w:val="100"/>
          <w:spacing w:val="0"/>
          <w:color w:val="000000"/>
          <w:position w:val="0"/>
        </w:rPr>
        <w:t xml:space="preserve">(Raffaele di Barletta M. et al., 2000). </w:t>
      </w:r>
      <w:r>
        <w:rPr>
          <w:lang w:val="ru-RU" w:eastAsia="ru-RU" w:bidi="ru-RU"/>
          <w:w w:val="100"/>
          <w:spacing w:val="0"/>
          <w:color w:val="000000"/>
          <w:position w:val="0"/>
        </w:rPr>
        <w:t>При этом аутосомные формы мо</w:t>
        <w:softHyphen/>
        <w:t>гут иметь также неврогенную основу проявления. Исходя из этих предпосылок, некоторые исследователи рассматри</w:t>
        <w:softHyphen/>
        <w:t xml:space="preserve">вают прогрессирующую мышечную дистрофию Эмери- Дрейфусса как «синдром Эмери-Дрейфусса» </w:t>
      </w:r>
      <w:r>
        <w:rPr>
          <w:lang w:val="en-US" w:eastAsia="en-US" w:bidi="en-US"/>
          <w:w w:val="100"/>
          <w:spacing w:val="0"/>
          <w:color w:val="000000"/>
          <w:position w:val="0"/>
        </w:rPr>
        <w:t xml:space="preserve">(Emery A.E.H., </w:t>
      </w:r>
      <w:r>
        <w:rPr>
          <w:lang w:val="ru-RU" w:eastAsia="ru-RU" w:bidi="ru-RU"/>
          <w:w w:val="100"/>
          <w:spacing w:val="0"/>
          <w:color w:val="000000"/>
          <w:position w:val="0"/>
        </w:rPr>
        <w:t>1993).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Клиническая картина. </w:t>
      </w:r>
      <w:r>
        <w:rPr>
          <w:lang w:val="en-US" w:eastAsia="en-US" w:bidi="en-US"/>
          <w:w w:val="100"/>
          <w:spacing w:val="0"/>
          <w:color w:val="000000"/>
          <w:position w:val="0"/>
        </w:rPr>
        <w:t xml:space="preserve">Takahashi K. </w:t>
      </w:r>
      <w:r>
        <w:rPr>
          <w:lang w:val="ru-RU" w:eastAsia="ru-RU" w:bidi="ru-RU"/>
          <w:w w:val="100"/>
          <w:spacing w:val="0"/>
          <w:color w:val="000000"/>
          <w:position w:val="0"/>
        </w:rPr>
        <w:t xml:space="preserve">(1971), </w:t>
      </w:r>
      <w:r>
        <w:rPr>
          <w:lang w:val="en-US" w:eastAsia="en-US" w:bidi="en-US"/>
          <w:w w:val="100"/>
          <w:spacing w:val="0"/>
          <w:color w:val="000000"/>
          <w:position w:val="0"/>
        </w:rPr>
        <w:t xml:space="preserve">Mawatari S. </w:t>
      </w:r>
      <w:r>
        <w:rPr>
          <w:lang w:val="ru-RU" w:eastAsia="ru-RU" w:bidi="ru-RU"/>
          <w:w w:val="100"/>
          <w:spacing w:val="0"/>
          <w:color w:val="000000"/>
          <w:position w:val="0"/>
        </w:rPr>
        <w:t xml:space="preserve">и </w:t>
      </w:r>
      <w:r>
        <w:rPr>
          <w:lang w:val="en-US" w:eastAsia="en-US" w:bidi="en-US"/>
          <w:w w:val="100"/>
          <w:spacing w:val="0"/>
          <w:color w:val="000000"/>
          <w:position w:val="0"/>
        </w:rPr>
        <w:t xml:space="preserve">Katayama K. (1973) </w:t>
      </w:r>
      <w:r>
        <w:rPr>
          <w:lang w:val="ru-RU" w:eastAsia="ru-RU" w:bidi="ru-RU"/>
          <w:w w:val="100"/>
          <w:spacing w:val="0"/>
          <w:color w:val="000000"/>
          <w:position w:val="0"/>
        </w:rPr>
        <w:t xml:space="preserve">и </w:t>
      </w:r>
      <w:r>
        <w:rPr>
          <w:lang w:val="en-US" w:eastAsia="en-US" w:bidi="en-US"/>
          <w:w w:val="100"/>
          <w:spacing w:val="0"/>
          <w:color w:val="000000"/>
          <w:position w:val="0"/>
        </w:rPr>
        <w:t xml:space="preserve">Waters D. D. (1975) </w:t>
      </w:r>
      <w:r>
        <w:rPr>
          <w:lang w:val="ru-RU" w:eastAsia="ru-RU" w:bidi="ru-RU"/>
          <w:w w:val="100"/>
          <w:spacing w:val="0"/>
          <w:color w:val="000000"/>
          <w:position w:val="0"/>
        </w:rPr>
        <w:t>дают характерное клиническое описание ПМД Эмери-Дрейфусса: дебют за</w:t>
        <w:softHyphen/>
        <w:t>болевания наблюдается обычно в возрасте 4-15 лет. Наибо</w:t>
        <w:softHyphen/>
        <w:t>лее часто в возрасте 7-10 лет появляется укорочение ахил</w:t>
        <w:softHyphen/>
        <w:t>ловых сухожилий, вследствие чего больные не могут опус</w:t>
        <w:softHyphen/>
        <w:t>титься на пятки. Затем симметрично возникает слабость мышц плечелопаточной области и перонеальных мышц, а также отмечается ограничение сгибания шейного отдела позвоночника из-за атрофии задних затылочных мышц. Возникают и постепенно прогрессируют контрактуры лок</w:t>
        <w:softHyphen/>
        <w:t>тевых суставов, изменяется походка вследствие контрактур голеностопных суставов, умеренный лордоз поясничного отдела позвоночника. Мозжечковых, бульбарных, пира</w:t>
        <w:softHyphen/>
        <w:t>мидных симптомов, а также нарушений чувствительности не наблюдается. В мировой литературе не описано случаев умственной отсталости у больных ПМД Эмери-Дрейфусса.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Миопатический синдром прогрессирует очень медлен</w:t>
        <w:softHyphen/>
        <w:t>но, развернутая клиническая картина мышечной слабости обычно представлена на третьей декаде жизни. Летальный исход наступает около 50 лет. В подавляющем большинстве случаев причиной смерти являются жизнеугрожаемые на</w:t>
        <w:softHyphen/>
        <w:t>рушения ритма и проводимости или сердечная недостаточ</w:t>
        <w:softHyphen/>
        <w:t>ность вследствие развившейся кардиомиопатии.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Нарушения ритма и проводимости сердца, как правило, «опережают» по тяжести поражение скелетных мышц. Проблема сердечно-сосудистых нарушений является жиз</w:t>
        <w:softHyphen/>
        <w:t xml:space="preserve">ненно важной и жизнелимитирующей для больных ПМД Эмери-Дрейфусса </w:t>
      </w:r>
      <w:r>
        <w:rPr>
          <w:lang w:val="en-US" w:eastAsia="en-US" w:bidi="en-US"/>
          <w:w w:val="100"/>
          <w:spacing w:val="0"/>
          <w:color w:val="000000"/>
          <w:position w:val="0"/>
        </w:rPr>
        <w:t xml:space="preserve">(Toniolo D., </w:t>
      </w:r>
      <w:r>
        <w:rPr>
          <w:lang w:val="ru-RU" w:eastAsia="ru-RU" w:bidi="ru-RU"/>
          <w:w w:val="100"/>
          <w:spacing w:val="0"/>
          <w:color w:val="000000"/>
          <w:position w:val="0"/>
        </w:rPr>
        <w:t>2001).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Спектр сердечно-сосудистых нарушений у больных ПМД Эмери-Дрейфусса разнообразен и включает различ</w:t>
        <w:softHyphen/>
        <w:t>ные варианты кардиомиопатий (гипертрофическую или дилатационную), а также нарушения ритма и проводимос</w:t>
        <w:softHyphen/>
        <w:t>ти сердца (атриовентрикулярная блокада, пароксизмальная и непароксизмальная предсердная или желудочковая тахи</w:t>
        <w:softHyphen/>
        <w:t xml:space="preserve">кардия, трепетание предсердий, экстрасистолия и пр.) </w:t>
      </w:r>
      <w:r>
        <w:rPr>
          <w:lang w:val="en-US" w:eastAsia="en-US" w:bidi="en-US"/>
          <w:w w:val="100"/>
          <w:spacing w:val="0"/>
          <w:color w:val="000000"/>
          <w:position w:val="0"/>
        </w:rPr>
        <w:t xml:space="preserve">(Yates J.R.W., </w:t>
      </w:r>
      <w:r>
        <w:rPr>
          <w:lang w:val="ru-RU" w:eastAsia="ru-RU" w:bidi="ru-RU"/>
          <w:w w:val="100"/>
          <w:spacing w:val="0"/>
          <w:color w:val="000000"/>
          <w:position w:val="0"/>
        </w:rPr>
        <w:t xml:space="preserve">1997; </w:t>
      </w:r>
      <w:r>
        <w:rPr>
          <w:lang w:val="en-US" w:eastAsia="en-US" w:bidi="en-US"/>
          <w:w w:val="100"/>
          <w:spacing w:val="0"/>
          <w:color w:val="000000"/>
          <w:position w:val="0"/>
        </w:rPr>
        <w:t>Toniolo D. et al., 1998).</w:t>
      </w:r>
    </w:p>
    <w:p>
      <w:pPr>
        <w:pStyle w:val="Style30"/>
        <w:widowControl w:val="0"/>
        <w:keepNext w:val="0"/>
        <w:keepLines w:val="0"/>
        <w:shd w:val="clear" w:color="auto" w:fill="auto"/>
        <w:bidi w:val="0"/>
        <w:spacing w:before="0" w:after="0"/>
        <w:ind w:left="0" w:right="0" w:firstLine="280"/>
      </w:pPr>
      <w:r>
        <w:pict>
          <v:shape id="_x0000_s1666" type="#_x0000_t75" style="position:absolute;margin-left:136.8pt;margin-top:736.8pt;width:209.75pt;height:14.9pt;z-index:-125828933;mso-wrap-distance-left:136.8pt;mso-wrap-distance-right:148.1pt;mso-wrap-distance-bottom:10.8pt;mso-position-horizontal-relative:margin;mso-position-vertical-relative:margin" wrapcoords="0 0 21600 0 21600 21600 0 21600 0 0">
            <v:imagedata r:id="rId1068" r:href="rId1069"/>
            <w10:wrap type="topAndBottom" anchorx="margin" anchory="margin"/>
          </v:shape>
        </w:pict>
      </w:r>
      <w:r>
        <w:rPr>
          <w:lang w:val="ru-RU" w:eastAsia="ru-RU" w:bidi="ru-RU"/>
          <w:w w:val="100"/>
          <w:spacing w:val="0"/>
          <w:color w:val="000000"/>
          <w:position w:val="0"/>
        </w:rPr>
        <w:t xml:space="preserve">Поражение проводящей системы сердца дебютирует обычно уже в подростковом возрасте </w:t>
      </w:r>
      <w:r>
        <w:rPr>
          <w:lang w:val="en-US" w:eastAsia="en-US" w:bidi="en-US"/>
          <w:w w:val="100"/>
          <w:spacing w:val="0"/>
          <w:color w:val="000000"/>
          <w:position w:val="0"/>
        </w:rPr>
        <w:t xml:space="preserve">(Buckley A. E. et al., 1999). </w:t>
      </w:r>
      <w:r>
        <w:rPr>
          <w:lang w:val="ru-RU" w:eastAsia="ru-RU" w:bidi="ru-RU"/>
          <w:w w:val="100"/>
          <w:spacing w:val="0"/>
          <w:color w:val="000000"/>
          <w:position w:val="0"/>
        </w:rPr>
        <w:t xml:space="preserve">Вначале наблюдается экстрасистолия обычно с узким, но может быть и с широким </w:t>
      </w:r>
      <w:r>
        <w:rPr>
          <w:lang w:val="en-US" w:eastAsia="en-US" w:bidi="en-US"/>
          <w:w w:val="100"/>
          <w:spacing w:val="0"/>
          <w:color w:val="000000"/>
          <w:position w:val="0"/>
        </w:rPr>
        <w:t>QRS</w:t>
      </w:r>
      <w:r>
        <w:rPr>
          <w:lang w:val="ru-RU" w:eastAsia="ru-RU" w:bidi="ru-RU"/>
          <w:w w:val="100"/>
          <w:spacing w:val="0"/>
          <w:color w:val="000000"/>
          <w:position w:val="0"/>
        </w:rPr>
        <w:t>-комплексом на фоне про</w:t>
        <w:softHyphen/>
        <w:t xml:space="preserve">грессирующего снижения вольтажа Р-зубца и удлинения </w:t>
      </w:r>
      <w:r>
        <w:rPr>
          <w:lang w:val="en-US" w:eastAsia="en-US" w:bidi="en-US"/>
          <w:w w:val="100"/>
          <w:spacing w:val="0"/>
          <w:color w:val="000000"/>
          <w:position w:val="0"/>
        </w:rPr>
        <w:t>PQ</w:t>
      </w:r>
      <w:r>
        <w:rPr>
          <w:lang w:val="ru-RU" w:eastAsia="ru-RU" w:bidi="ru-RU"/>
          <w:w w:val="100"/>
          <w:spacing w:val="0"/>
          <w:color w:val="000000"/>
          <w:position w:val="0"/>
        </w:rPr>
        <w:t>-интервала. Причиной этих нарушений, по-видимому, является прогрессирующий фиброз предсердий и инфильт-</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рация миокарда фиброзной и жировой тканью вследствие гибели эмериндефицитных кардиомиоцитов и замещения их соединительной тканью. Постепенно атриовентрикулярная блокада усугубляется от I степени до полной атриовентрику</w:t>
        <w:softHyphen/>
        <w:t>лярной блокады. На поздних стадиях развивается идеовент</w:t>
        <w:softHyphen/>
        <w:t>рикулярный ритм вследствие паралича предсердий, что тре</w:t>
        <w:softHyphen/>
        <w:t>бует имплантации электрокардиостимулятора.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Больные с легкой формой течения мышечной дистро</w:t>
        <w:softHyphen/>
        <w:t>фии Эмери-Дрейфусса (они составляют около 30%) также нуждаются в особом внимании кардиологов, поскольку около половины из них, по данным обследования, имеют кардиомиопатию, несмотря на отсутствие жалоб.</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Emery A. E. H. (1987), </w:t>
      </w:r>
      <w:r>
        <w:rPr>
          <w:lang w:val="ru-RU" w:eastAsia="ru-RU" w:bidi="ru-RU"/>
          <w:w w:val="100"/>
          <w:spacing w:val="0"/>
          <w:color w:val="000000"/>
          <w:position w:val="0"/>
        </w:rPr>
        <w:t>исследовав сердечно-сосудистые нарушения у больных миопатией Эмери-Дрейфусса, счита</w:t>
        <w:softHyphen/>
        <w:t>ет развитие атриовентрикулярной блокады типичным при</w:t>
        <w:softHyphen/>
        <w:t>знаком заболевания. При этом у женщин-носителей гена также высока вероятность развития блокады.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Самый ранний возраст пациента, перенесшего имплан</w:t>
        <w:softHyphen/>
        <w:t>тацию электрокардиостимулятора (из описываемых групп больных), — 20 лет. При этом авторы обращают внимание, что больной на момент проведения операции еще мог зани</w:t>
        <w:softHyphen/>
        <w:t>маться тяжелым физическим трудом. Несмотря на отсут</w:t>
        <w:softHyphen/>
        <w:t>ствие заметной атрофии мышц, больной имел значимое по</w:t>
        <w:softHyphen/>
        <w:t>вышение активности креатинфосфокиназы в сыворотке крови. Контрактуры у данного пациента впервые появи</w:t>
        <w:softHyphen/>
        <w:t>лись в 13-летнем возрасте.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Еще одной серьезной жизнеугрожаемой кардиологичес</w:t>
        <w:softHyphen/>
        <w:t xml:space="preserve">кой проблемой у больных ПМД Эмери-Дрейфусса является постепенное развитие паралича предсердий </w:t>
      </w:r>
      <w:r>
        <w:rPr>
          <w:lang w:val="en-US" w:eastAsia="en-US" w:bidi="en-US"/>
          <w:w w:val="100"/>
          <w:spacing w:val="0"/>
          <w:color w:val="000000"/>
          <w:position w:val="0"/>
        </w:rPr>
        <w:t xml:space="preserve">(Buckley A. E. et al., 1999). </w:t>
      </w:r>
      <w:r>
        <w:rPr>
          <w:lang w:val="ru-RU" w:eastAsia="ru-RU" w:bidi="ru-RU"/>
          <w:w w:val="100"/>
          <w:spacing w:val="0"/>
          <w:color w:val="000000"/>
          <w:position w:val="0"/>
        </w:rPr>
        <w:t>Данное состояние характеризуется прогресси</w:t>
        <w:softHyphen/>
        <w:t>рующим снижением электрической активности предсер</w:t>
        <w:softHyphen/>
        <w:t>дий вплоть до полного исчезновения Р зубца на ЭКГ и со</w:t>
        <w:softHyphen/>
        <w:t>провождается прогрессирующим снижением механической активности предсердий (при допплерографии потоков с митрального и трехстворчатого клапанов постепенно сни</w:t>
        <w:softHyphen/>
        <w:t>жается и полностью исчезает предсердная волна). Ангио - графия предсердий выявляет полное отсутствие их сокра</w:t>
        <w:softHyphen/>
        <w:t>тимости. Следует отметить, что среди всех больных с пара</w:t>
        <w:softHyphen/>
        <w:t>личом предсердий 33% составляют пациенты с ПМД Эме</w:t>
        <w:softHyphen/>
        <w:t>ри-Дрейфусса. Развитию паралича предсердий часто пред</w:t>
        <w:softHyphen/>
        <w:t>шествует трепетание или мерцание предсердий.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Данные лабораторных, функциональных и инструменталь</w:t>
        <w:softHyphen/>
        <w:t>ных методов исследования. Активность креатинфосфокина- зы умеренно повышена. Также отмечается умеренное или значительное повышение активности лактатдегидрогеназы и альдолазы в сыворотке крови. С возрастом активность ферментов понижается.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ЭКГ регистрируются различные нарушения ритма и проводимости сердца: брадикардия, атриовентрикуляр</w:t>
        <w:softHyphen/>
        <w:t xml:space="preserve">ная блокада </w:t>
      </w:r>
      <w:r>
        <w:rPr>
          <w:lang w:val="en-US" w:eastAsia="en-US" w:bidi="en-US"/>
          <w:w w:val="100"/>
          <w:spacing w:val="0"/>
          <w:color w:val="000000"/>
          <w:position w:val="0"/>
        </w:rPr>
        <w:t xml:space="preserve">I-III </w:t>
      </w:r>
      <w:r>
        <w:rPr>
          <w:lang w:val="ru-RU" w:eastAsia="ru-RU" w:bidi="ru-RU"/>
          <w:w w:val="100"/>
          <w:spacing w:val="0"/>
          <w:color w:val="000000"/>
          <w:position w:val="0"/>
        </w:rPr>
        <w:t xml:space="preserve">степени, экстрасистолия с узким и/или широким </w:t>
      </w:r>
      <w:r>
        <w:rPr>
          <w:lang w:val="en-US" w:eastAsia="en-US" w:bidi="en-US"/>
          <w:w w:val="100"/>
          <w:spacing w:val="0"/>
          <w:color w:val="000000"/>
          <w:position w:val="0"/>
        </w:rPr>
        <w:t xml:space="preserve">QRS </w:t>
      </w:r>
      <w:r>
        <w:rPr>
          <w:lang w:val="ru-RU" w:eastAsia="ru-RU" w:bidi="ru-RU"/>
          <w:w w:val="100"/>
          <w:spacing w:val="0"/>
          <w:color w:val="000000"/>
          <w:position w:val="0"/>
        </w:rPr>
        <w:t>комплексом, трепетание предсердий, паро</w:t>
        <w:softHyphen/>
        <w:t>ксизмы тахикардии с различной морфологией желудочко</w:t>
        <w:softHyphen/>
        <w:t>вого комплекса.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Эхокардиографические нарушения выражаются в сим</w:t>
        <w:softHyphen/>
        <w:t>метричной гипертрофии миокарда, неоднородной эхоген- ности миокарда с участками уплотнения чаще в области межжелудочковой перегородки и верхушки левого желу</w:t>
        <w:softHyphen/>
        <w:t>дочка. На фоне гипертрофии миокарда может наблюдаться дилатация полостей сердца со снижением сократительной способности миокарда.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ЭМГ выявляется первично-мышечный тип измене</w:t>
        <w:softHyphen/>
        <w:t>ний. У отдельных больных регистрируются фасцикуляции.</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В биоптатах скелетных мышц у больных ПМД Эмери- Дрейфусса обнаруживаются умеренно выраженные неспе</w:t>
        <w:softHyphen/>
        <w:t>цифические изменения первично-мышечного характера: вариабельные размеры мышечных волокон, некроз отдель</w:t>
        <w:softHyphen/>
        <w:t>ных мышечных волокон, очаговая пролиферация соедини</w:t>
        <w:softHyphen/>
        <w:t>тельной ткани. При применении ферментно-гистохимиче</w:t>
        <w:softHyphen/>
        <w:t>ских методик выявляется атрофия волокон I типа, гипер</w:t>
        <w:softHyphen/>
        <w:t xml:space="preserve">трофия волокон II типа, отсутствие или уменьшение числа волокон типа </w:t>
      </w:r>
      <w:r>
        <w:rPr>
          <w:lang w:val="en-US" w:eastAsia="en-US" w:bidi="en-US"/>
          <w:w w:val="100"/>
          <w:spacing w:val="0"/>
          <w:color w:val="000000"/>
          <w:position w:val="0"/>
        </w:rPr>
        <w:t xml:space="preserve">IIB, </w:t>
      </w:r>
      <w:r>
        <w:rPr>
          <w:lang w:val="ru-RU" w:eastAsia="ru-RU" w:bidi="ru-RU"/>
          <w:w w:val="100"/>
          <w:spacing w:val="0"/>
          <w:color w:val="000000"/>
          <w:position w:val="0"/>
        </w:rPr>
        <w:t>преобладание волокон II типа.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Морфологические изменения в сердце характеризуются снижением массы миокарда предсердий, атрофией миофи- брилл, наличием участков замещения миокарда жировой и фиброзной тканью. Как правило, в проводящей системе сердца морфологически не выявляется патологических из</w:t>
        <w:softHyphen/>
        <w:t>менений.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Стандартного протокола лечения ПМД Эмери- Дрейфусса до сих пор не существует. Подходы к лечению миопатического синдрома включают дыхательную гимнас</w:t>
        <w:softHyphen/>
        <w:t>тику и лечебную физкультуру, направленную на предупреж</w:t>
        <w:softHyphen/>
        <w:t>дение развития и коррекцию контрактур, ортопедическую коррекцию (в случае выраженной ретракции ахилловых су</w:t>
        <w:softHyphen/>
        <w:t>хожилий, препятствующих ходьбе) (Темин П.А. с соавт., 1998), физиотерапевтическое лечение (электрофорез с ле</w:t>
        <w:softHyphen/>
        <w:t>карственными препаратами, озокерит, грязевые апплика</w:t>
        <w:softHyphen/>
        <w:t>ции, оксигенобаротерапия, сульфидные ванны и пр.).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Медикаментозное лечение направлено на компенсацию энергетического дефицита мышечной ткани, улучшение тканевого метаболизма и периферического кровоснабже</w:t>
        <w:softHyphen/>
        <w:t>ния. С этой целью применяются следующие препараты: ви</w:t>
        <w:softHyphen/>
        <w:t xml:space="preserve">тамины, препараты, влияющие на тканевой метаболизм </w:t>
      </w:r>
      <w:r>
        <w:rPr>
          <w:lang w:val="en-US" w:eastAsia="en-US" w:bidi="en-US"/>
          <w:w w:val="100"/>
          <w:spacing w:val="0"/>
          <w:color w:val="000000"/>
          <w:position w:val="0"/>
        </w:rPr>
        <w:t>(L</w:t>
      </w:r>
      <w:r>
        <w:rPr>
          <w:lang w:val="ru-RU" w:eastAsia="ru-RU" w:bidi="ru-RU"/>
          <w:w w:val="100"/>
          <w:spacing w:val="0"/>
          <w:color w:val="000000"/>
          <w:position w:val="0"/>
        </w:rPr>
        <w:t xml:space="preserve">-карнитин 300-1000 мг/сутки, коэнзим </w:t>
      </w:r>
      <w:r>
        <w:rPr>
          <w:lang w:val="en-US" w:eastAsia="en-US" w:bidi="en-US"/>
          <w:w w:val="100"/>
          <w:spacing w:val="0"/>
          <w:color w:val="000000"/>
          <w:position w:val="0"/>
        </w:rPr>
        <w:t xml:space="preserve">Q10 </w:t>
      </w:r>
      <w:r>
        <w:rPr>
          <w:lang w:val="ru-RU" w:eastAsia="ru-RU" w:bidi="ru-RU"/>
          <w:w w:val="100"/>
          <w:spacing w:val="0"/>
          <w:color w:val="000000"/>
          <w:position w:val="0"/>
        </w:rPr>
        <w:t>от 2 мг/кг/сут, цитохром-С, предуктал 20-60 мг/сутки и пр.), трентал, вазобрал и другие.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связи с наличием сердечно-сосудистых нарушений практически у всех больных ПМД Эмери-Дрейфусса важ</w:t>
        <w:softHyphen/>
        <w:t>ное значение в терапии придается их коррекции. При кар- диомиопатических нарушениях в виде симметричной ги</w:t>
        <w:softHyphen/>
        <w:t>пертрофии сердечной мышцы хороший эффект наблюдает</w:t>
        <w:softHyphen/>
        <w:t xml:space="preserve">ся при назначении </w:t>
      </w:r>
      <w:r>
        <w:rPr>
          <w:lang w:val="en-US" w:eastAsia="en-US" w:bidi="en-US"/>
          <w:w w:val="100"/>
          <w:spacing w:val="0"/>
          <w:color w:val="000000"/>
          <w:position w:val="0"/>
        </w:rPr>
        <w:t>L</w:t>
      </w:r>
      <w:r>
        <w:rPr>
          <w:lang w:val="ru-RU" w:eastAsia="ru-RU" w:bidi="ru-RU"/>
          <w:w w:val="100"/>
          <w:spacing w:val="0"/>
          <w:color w:val="000000"/>
          <w:position w:val="0"/>
        </w:rPr>
        <w:t xml:space="preserve">-карнитина в дозе 300-1000 мг в сутки в сочетании с коэнзимом </w:t>
      </w:r>
      <w:r>
        <w:rPr>
          <w:lang w:val="en-US" w:eastAsia="en-US" w:bidi="en-US"/>
          <w:w w:val="100"/>
          <w:spacing w:val="0"/>
          <w:color w:val="000000"/>
          <w:position w:val="0"/>
        </w:rPr>
        <w:t xml:space="preserve">Q10 </w:t>
      </w:r>
      <w:r>
        <w:rPr>
          <w:lang w:val="ru-RU" w:eastAsia="ru-RU" w:bidi="ru-RU"/>
          <w:w w:val="100"/>
          <w:spacing w:val="0"/>
          <w:color w:val="000000"/>
          <w:position w:val="0"/>
        </w:rPr>
        <w:t>в дозе 60-100 мг в сутки кур</w:t>
        <w:softHyphen/>
        <w:t>сами по 3 месяца (2-3 курса в год) или при назначении предуктала по 20 мг 2-3 раза в день в течение 3 месяцев (2 курса в год). На фоне лечения нормализуются процессы реполяризации в миокарде, не наблюдается прогрессирова</w:t>
        <w:softHyphen/>
        <w:t>ния гипертрофии, сокращаются размеры предсердий.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случае развития трепетания предсердий возможно применение блокаторов кальциевых каналов (изоптин, ве- рапамил), однако эффективность этой группы препаратов у наблюдаемых нами больных была невелика. При наличии хронической непароксизмальной тахикардии, экстрасисто - лии у больного рекомендуется назначение амиодарона или Р-блокаторов (при отсутствии противопоказаний).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Хороший стойкий эффект при развитии трепетания предсердий на фоне брадикардии, пауз ритма более 2 секунд и ранее наблюдавшейся атриовентрикулярной блокады</w:t>
      </w:r>
    </w:p>
    <w:p>
      <w:pPr>
        <w:pStyle w:val="Style30"/>
        <w:numPr>
          <w:ilvl w:val="0"/>
          <w:numId w:val="145"/>
        </w:numPr>
        <w:tabs>
          <w:tab w:leader="none" w:pos="222"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степени оказывает назначение больших доз препаратов ка</w:t>
        <w:softHyphen/>
        <w:t>лия (панангин в дозе 8 таблеток в сутки в течение 14 дней с последующим снижением дозы до 6 таблеток в сутки на</w:t>
      </w:r>
    </w:p>
    <w:p>
      <w:pPr>
        <w:pStyle w:val="Style30"/>
        <w:numPr>
          <w:ilvl w:val="0"/>
          <w:numId w:val="145"/>
        </w:numPr>
        <w:tabs>
          <w:tab w:leader="none" w:pos="222" w:val="left"/>
        </w:tabs>
        <w:widowControl w:val="0"/>
        <w:keepNext w:val="0"/>
        <w:keepLines w:val="0"/>
        <w:shd w:val="clear" w:color="auto" w:fill="auto"/>
        <w:bidi w:val="0"/>
        <w:spacing w:before="0" w:after="0"/>
        <w:ind w:left="0" w:right="0" w:firstLine="0"/>
      </w:pPr>
      <w:r>
        <w:pict>
          <v:shape id="_x0000_s1667" type="#_x0000_t75" style="position:absolute;margin-left:148.2pt;margin-top:736.8pt;width:209.75pt;height:14.9pt;z-index:-125828932;mso-wrap-distance-left:148.1pt;mso-wrap-distance-right:136.55pt;mso-wrap-distance-bottom:10.8pt;mso-position-horizontal-relative:margin;mso-position-vertical-relative:margin" wrapcoords="0 0 21600 0 21600 21600 0 21600 0 0">
            <v:imagedata r:id="rId1070" r:href="rId1071"/>
            <w10:wrap type="topAndBottom" anchorx="margin" anchory="margin"/>
          </v:shape>
        </w:pict>
      </w:r>
      <w:r>
        <w:rPr>
          <w:lang w:val="ru-RU" w:eastAsia="ru-RU" w:bidi="ru-RU"/>
          <w:w w:val="100"/>
          <w:spacing w:val="0"/>
          <w:color w:val="000000"/>
          <w:position w:val="0"/>
        </w:rPr>
        <w:t>месяца). После проведения данного курса лечения двум наблюдавшимся нами больным ПМД Эмери-Дрейфусса с трепетанием предсердий стойкое восстановление синусо</w:t>
        <w:softHyphen/>
        <w:t>вого ритма сердца продолжалось более 6 месяцев.</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Развитие полной атриовентрикулярной блокады требует решения вопроса об имплантации электрокардиостимуля</w:t>
        <w:softHyphen/>
        <w:t>тора. Четких ранних показаний к данному виду хирургиче</w:t>
        <w:softHyphen/>
        <w:t>ского лечения для больных ПМД Эмери-Дрейфусса не раз</w:t>
        <w:softHyphen/>
        <w:t>работано. Не вызывает сомнения, что наличие брадикар</w:t>
        <w:softHyphen/>
        <w:t>дии с развитием пресинкопальных или синкопальных со</w:t>
        <w:softHyphen/>
        <w:t>стояний, пауз синусового ритма более 3 секунд, а также приступов Морганьи-Адамса-Стокса является абсолютным показанием к имплантации электрокардиостимулятора. Вопрос осложняется сочетанным характером нарушений ритма и проводимости сердца у данного контингента боль</w:t>
        <w:softHyphen/>
        <w:t>ных, что нередко требует одновременной имплантации электрокардиостимулятора и дефибриллятора.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Тугоподвижность шейного отдела позвоночника у боль</w:t>
        <w:softHyphen/>
        <w:t>ных миодистрофией Эмери-Дрейфусса, а также высокий риск внезапной сердечной смерти вследствие жизнеугро</w:t>
        <w:softHyphen/>
        <w:t>жаемых аритмий определяют трудности в анестезиологии таких больных (например, для проведения оперативного лечения контрактур локтевых суставов и других ортопеди</w:t>
        <w:softHyphen/>
        <w:t xml:space="preserve">ческих операций). </w:t>
      </w:r>
      <w:r>
        <w:rPr>
          <w:lang w:val="en-US" w:eastAsia="en-US" w:bidi="en-US"/>
          <w:w w:val="100"/>
          <w:spacing w:val="0"/>
          <w:color w:val="000000"/>
          <w:position w:val="0"/>
        </w:rPr>
        <w:t xml:space="preserve">Aldwinckle </w:t>
      </w:r>
      <w:r>
        <w:rPr>
          <w:lang w:val="ru-RU" w:eastAsia="ru-RU" w:bidi="ru-RU"/>
          <w:w w:val="100"/>
          <w:spacing w:val="0"/>
          <w:color w:val="000000"/>
          <w:position w:val="0"/>
        </w:rPr>
        <w:t xml:space="preserve">и </w:t>
      </w:r>
      <w:r>
        <w:rPr>
          <w:lang w:val="en-US" w:eastAsia="en-US" w:bidi="en-US"/>
          <w:w w:val="100"/>
          <w:spacing w:val="0"/>
          <w:color w:val="000000"/>
          <w:position w:val="0"/>
        </w:rPr>
        <w:t xml:space="preserve">Carr </w:t>
      </w:r>
      <w:r>
        <w:rPr>
          <w:lang w:val="ru-RU" w:eastAsia="ru-RU" w:bidi="ru-RU"/>
          <w:w w:val="100"/>
          <w:spacing w:val="0"/>
          <w:color w:val="000000"/>
          <w:position w:val="0"/>
        </w:rPr>
        <w:t>считают, что примене</w:t>
        <w:softHyphen/>
        <w:t>ние ларингеальной маски может решить проблемы интуба</w:t>
        <w:softHyphen/>
        <w:t>ции, а длительная эпидуральная блокада способствует аде</w:t>
        <w:softHyphen/>
        <w:t>кватной анестезии больного.</w:t>
      </w:r>
    </w:p>
    <w:p>
      <w:pPr>
        <w:pStyle w:val="Style30"/>
        <w:widowControl w:val="0"/>
        <w:keepNext w:val="0"/>
        <w:keepLines w:val="0"/>
        <w:shd w:val="clear" w:color="auto" w:fill="auto"/>
        <w:bidi w:val="0"/>
        <w:spacing w:before="0" w:after="161"/>
        <w:ind w:left="0" w:right="0" w:firstLine="280"/>
      </w:pPr>
      <w:r>
        <w:rPr>
          <w:lang w:val="ru-RU" w:eastAsia="ru-RU" w:bidi="ru-RU"/>
          <w:w w:val="100"/>
          <w:spacing w:val="0"/>
          <w:color w:val="000000"/>
          <w:position w:val="0"/>
        </w:rPr>
        <w:t>ПМД Эмери-Дрейфусса — заболевание, довольно редко диагностируемое в детском возрасте, несмотря на своеобра</w:t>
        <w:softHyphen/>
        <w:t>зие клинических проявлений. Нередко в первой и даже во второй декаде жизни больные наблюдаются ортопедом или кардиологом. В то же время своевременная диагностика за</w:t>
        <w:softHyphen/>
        <w:t>болевания имеет первостепенное значение для предотвра</w:t>
        <w:softHyphen/>
        <w:t>щения жизнеугрожаемых состояний, определения показа</w:t>
        <w:softHyphen/>
        <w:t>ний для имплантации электрокардиостимулятора и для продления периода активной жизнедеятельности у боль</w:t>
        <w:softHyphen/>
        <w:t>ных ПМД Эмери-Дрейфусса.</w:t>
      </w:r>
    </w:p>
    <w:p>
      <w:pPr>
        <w:pStyle w:val="Style48"/>
        <w:widowControl w:val="0"/>
        <w:keepNext/>
        <w:keepLines/>
        <w:shd w:val="clear" w:color="auto" w:fill="auto"/>
        <w:bidi w:val="0"/>
        <w:jc w:val="left"/>
        <w:spacing w:before="0" w:after="79" w:line="240" w:lineRule="exact"/>
        <w:ind w:left="0" w:right="0" w:firstLine="0"/>
      </w:pPr>
      <w:bookmarkStart w:id="688" w:name="bookmark688"/>
      <w:r>
        <w:rPr>
          <w:lang w:val="ru-RU" w:eastAsia="ru-RU" w:bidi="ru-RU"/>
          <w:w w:val="100"/>
          <w:spacing w:val="0"/>
          <w:color w:val="000000"/>
          <w:position w:val="0"/>
        </w:rPr>
        <w:t>Миотоническая дистрофия Россолимо- Куршманна-Штейнерта-Баттена</w:t>
      </w:r>
      <w:bookmarkEnd w:id="68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Болезнь впервые описана в России Г.И.Россолимо в 1901 году. Позднее </w:t>
      </w:r>
      <w:r>
        <w:rPr>
          <w:lang w:val="en-US" w:eastAsia="en-US" w:bidi="en-US"/>
          <w:w w:val="100"/>
          <w:spacing w:val="0"/>
          <w:color w:val="000000"/>
          <w:position w:val="0"/>
        </w:rPr>
        <w:t xml:space="preserve">H.Steinert </w:t>
      </w:r>
      <w:r>
        <w:rPr>
          <w:lang w:val="ru-RU" w:eastAsia="ru-RU" w:bidi="ru-RU"/>
          <w:w w:val="100"/>
          <w:spacing w:val="0"/>
          <w:color w:val="000000"/>
          <w:position w:val="0"/>
        </w:rPr>
        <w:t xml:space="preserve">и </w:t>
      </w:r>
      <w:r>
        <w:rPr>
          <w:lang w:val="en-US" w:eastAsia="en-US" w:bidi="en-US"/>
          <w:w w:val="100"/>
          <w:spacing w:val="0"/>
          <w:color w:val="000000"/>
          <w:position w:val="0"/>
        </w:rPr>
        <w:t xml:space="preserve">EF.Batten </w:t>
      </w:r>
      <w:r>
        <w:rPr>
          <w:lang w:val="ru-RU" w:eastAsia="ru-RU" w:bidi="ru-RU"/>
          <w:w w:val="100"/>
          <w:spacing w:val="0"/>
          <w:color w:val="000000"/>
          <w:position w:val="0"/>
        </w:rPr>
        <w:t>(1909) независимо друг от друга дали подробное описание клинической картины.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Частота — 1:8000 популяции Европы </w:t>
      </w:r>
      <w:r>
        <w:rPr>
          <w:lang w:val="en-US" w:eastAsia="en-US" w:bidi="en-US"/>
          <w:w w:val="100"/>
          <w:spacing w:val="0"/>
          <w:color w:val="000000"/>
          <w:position w:val="0"/>
        </w:rPr>
        <w:t xml:space="preserve">(P.S.Harper, </w:t>
      </w:r>
      <w:r>
        <w:rPr>
          <w:lang w:val="ru-RU" w:eastAsia="ru-RU" w:bidi="ru-RU"/>
          <w:w w:val="100"/>
          <w:spacing w:val="0"/>
          <w:color w:val="000000"/>
          <w:position w:val="0"/>
        </w:rPr>
        <w:t xml:space="preserve">1989). Что касается частоты представленности заболевания среди мужчин и женщин, то по одним данным мужчины болеют в </w:t>
      </w:r>
      <w:r>
        <w:rPr>
          <w:lang w:val="en-US" w:eastAsia="en-US" w:bidi="en-US"/>
          <w:w w:val="100"/>
          <w:spacing w:val="0"/>
          <w:color w:val="000000"/>
          <w:position w:val="0"/>
        </w:rPr>
        <w:t xml:space="preserve">3 </w:t>
      </w:r>
      <w:r>
        <w:rPr>
          <w:lang w:val="ru-RU" w:eastAsia="ru-RU" w:bidi="ru-RU"/>
          <w:w w:val="100"/>
          <w:spacing w:val="0"/>
          <w:color w:val="000000"/>
          <w:position w:val="0"/>
        </w:rPr>
        <w:t xml:space="preserve">раза чаще женщин, по другим </w:t>
      </w:r>
      <w:r>
        <w:rPr>
          <w:lang w:val="en-US" w:eastAsia="en-US" w:bidi="en-US"/>
          <w:w w:val="100"/>
          <w:spacing w:val="0"/>
          <w:color w:val="000000"/>
          <w:position w:val="0"/>
        </w:rPr>
        <w:t xml:space="preserve">— </w:t>
      </w:r>
      <w:r>
        <w:rPr>
          <w:lang w:val="ru-RU" w:eastAsia="ru-RU" w:bidi="ru-RU"/>
          <w:w w:val="100"/>
          <w:spacing w:val="0"/>
          <w:color w:val="000000"/>
          <w:position w:val="0"/>
        </w:rPr>
        <w:t>одинаково часто.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Генетические данные. Заболевание наследуется аутосо- мно-доминантно с высокой степенью пенетрантности му</w:t>
        <w:softHyphen/>
        <w:t xml:space="preserve">тантного гена. Ген миотонической дистрофии картирован на хромосоме </w:t>
      </w:r>
      <w:r>
        <w:rPr>
          <w:lang w:val="en-US" w:eastAsia="en-US" w:bidi="en-US"/>
          <w:w w:val="100"/>
          <w:spacing w:val="0"/>
          <w:color w:val="000000"/>
          <w:position w:val="0"/>
        </w:rPr>
        <w:t>19q13.3.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Тяжесть болезни определяет количество тринуклеотид- ных повторов цитозин-тимин-гуанин на З'-конце гена, ко</w:t>
        <w:softHyphen/>
        <w:t xml:space="preserve">дирующего синтез миотонинпротеинкиназы </w:t>
      </w:r>
      <w:r>
        <w:rPr>
          <w:lang w:val="en-US" w:eastAsia="en-US" w:bidi="en-US"/>
          <w:w w:val="100"/>
          <w:spacing w:val="0"/>
          <w:color w:val="000000"/>
          <w:position w:val="0"/>
        </w:rPr>
        <w:t xml:space="preserve">(Damian M.S. et al.,1995). </w:t>
      </w:r>
      <w:r>
        <w:rPr>
          <w:lang w:val="ru-RU" w:eastAsia="ru-RU" w:bidi="ru-RU"/>
          <w:w w:val="100"/>
          <w:spacing w:val="0"/>
          <w:color w:val="000000"/>
          <w:position w:val="0"/>
        </w:rPr>
        <w:t>В норме количество повторов обычно не превыша</w:t>
        <w:softHyphen/>
        <w:t>ет 35. У пациентов с миотонической дистрофией число по</w:t>
        <w:softHyphen/>
        <w:t xml:space="preserve">второв варьирует от 69 до 4000 </w:t>
      </w:r>
      <w:r>
        <w:rPr>
          <w:lang w:val="en-US" w:eastAsia="en-US" w:bidi="en-US"/>
          <w:w w:val="100"/>
          <w:spacing w:val="0"/>
          <w:color w:val="000000"/>
          <w:position w:val="0"/>
        </w:rPr>
        <w:t xml:space="preserve">(C.Lavedan et al.,1993). </w:t>
      </w:r>
      <w:r>
        <w:rPr>
          <w:lang w:val="ru-RU" w:eastAsia="ru-RU" w:bidi="ru-RU"/>
          <w:w w:val="100"/>
          <w:spacing w:val="0"/>
          <w:color w:val="000000"/>
          <w:position w:val="0"/>
        </w:rPr>
        <w:t>В ис</w:t>
        <w:softHyphen/>
        <w:t xml:space="preserve">следованиях </w:t>
      </w:r>
      <w:r>
        <w:rPr>
          <w:lang w:val="en-US" w:eastAsia="en-US" w:bidi="en-US"/>
          <w:w w:val="100"/>
          <w:spacing w:val="0"/>
          <w:color w:val="000000"/>
          <w:position w:val="0"/>
        </w:rPr>
        <w:t xml:space="preserve">Tokgozoglu L.S. et al. (1995) </w:t>
      </w:r>
      <w:r>
        <w:rPr>
          <w:lang w:val="ru-RU" w:eastAsia="ru-RU" w:bidi="ru-RU"/>
          <w:w w:val="100"/>
          <w:spacing w:val="0"/>
          <w:color w:val="000000"/>
          <w:position w:val="0"/>
        </w:rPr>
        <w:t>выявлена четкая за</w:t>
        <w:softHyphen/>
        <w:t>висимость между количеством цитозин-тимин-гуанин по</w:t>
        <w:softHyphen/>
        <w:t>второв и тяжестью поражения проводящей системы сердца, а также аномалиями подвижности сердечной стенки.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По данным </w:t>
      </w:r>
      <w:r>
        <w:rPr>
          <w:lang w:val="en-US" w:eastAsia="en-US" w:bidi="en-US"/>
          <w:w w:val="100"/>
          <w:spacing w:val="0"/>
          <w:color w:val="000000"/>
          <w:position w:val="0"/>
        </w:rPr>
        <w:t xml:space="preserve">Melacini P. et al. </w:t>
      </w:r>
      <w:r>
        <w:rPr>
          <w:lang w:val="ru-RU" w:eastAsia="ru-RU" w:bidi="ru-RU"/>
          <w:w w:val="100"/>
          <w:spacing w:val="0"/>
          <w:color w:val="000000"/>
          <w:position w:val="0"/>
        </w:rPr>
        <w:t>(1995), у пациентов с коли</w:t>
        <w:softHyphen/>
        <w:t>чеством повторов до 500 нормальная электрокардиограмма наблюдалась в 55% случаев, полная блокада левой ножки пучка Гиса — в 5% случаев, поздние желудочковые потен</w:t>
        <w:softHyphen/>
        <w:br w:type="column"/>
        <w:t>циалы — в 33% случаев и комплексные желудочковые арит</w:t>
        <w:softHyphen/>
        <w:t>мии — в 0%. У пациентов с количеством повторов от 500 до 1000 нормальные ЭКГ-показатели были в 50% случаев, полная блокада левой ножки пучка Гиса выявлялась в 0% случаев, поздние желудочковые потенциалы — в 75% слу</w:t>
        <w:softHyphen/>
        <w:t>чаев и комплексные желудочковые аритмии — в 0% случа</w:t>
        <w:softHyphen/>
        <w:t>ев. Пациенты с количеством повторов до 1500 и выше име</w:t>
        <w:softHyphen/>
        <w:t>ли нормальную ЭКГ в 17% случаев, полную блокаду левой ножки пучка Гиса — в 42% случаев, поздние желудочковые потенциалы — в 83% случаев и комплексные аритмии были зарегистрированы в 29% случаев. Таким образом, проведе</w:t>
        <w:softHyphen/>
        <w:t>ние молекулярного генетического анализа может помочь в выявлении пациентов группы высокого риска по разви</w:t>
        <w:softHyphen/>
        <w:t>тию жизнеугрожаемых состояний (желудочковых тахиарит</w:t>
        <w:softHyphen/>
        <w:t>мий и атриовентрикулярных блокад высокой степени).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Патогенез заболевания не имеет четкой связи с наруше</w:t>
        <w:softHyphen/>
        <w:t>нием продукции миотонина. Предполагается, что увели</w:t>
        <w:softHyphen/>
        <w:t>ченное по сравнению с нормой количество триплетных по</w:t>
        <w:softHyphen/>
        <w:t>второв цитозин-тимин-гуанин оказывает действие на син</w:t>
        <w:softHyphen/>
        <w:t>тез других белков (возможно, через продукцию РНК или путем разрушающего воздействия на хроматин, что приво</w:t>
        <w:softHyphen/>
        <w:t>дит к нарушению функции каких-либо транскрипционных единиц, или через сниженную экспрессию близкорасполо</w:t>
        <w:softHyphen/>
        <w:t>женных генов). До сих пор недостаточно ясно, почему практически не имеется клинических различий в течении заболевания у лиц, имеющих гомозиготный и гетерозигот</w:t>
        <w:softHyphen/>
        <w:t>ный генотип по данному заболеванию.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Критерии диагноза. Основными критериями диагноза миотонической дистрофии являются:</w:t>
      </w:r>
    </w:p>
    <w:p>
      <w:pPr>
        <w:pStyle w:val="Style30"/>
        <w:numPr>
          <w:ilvl w:val="0"/>
          <w:numId w:val="141"/>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Аутосомно-доминантный тип наследования.</w:t>
      </w:r>
    </w:p>
    <w:p>
      <w:pPr>
        <w:pStyle w:val="Style30"/>
        <w:numPr>
          <w:ilvl w:val="0"/>
          <w:numId w:val="141"/>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Дебют — 16-20 лет.</w:t>
      </w:r>
    </w:p>
    <w:p>
      <w:pPr>
        <w:pStyle w:val="Style30"/>
        <w:numPr>
          <w:ilvl w:val="0"/>
          <w:numId w:val="141"/>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Сочетание миопатического и миотонического симп</w:t>
        <w:softHyphen/>
        <w:t>томокомплексов.</w:t>
      </w:r>
    </w:p>
    <w:p>
      <w:pPr>
        <w:pStyle w:val="Style30"/>
        <w:numPr>
          <w:ilvl w:val="0"/>
          <w:numId w:val="141"/>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Полисистемность поражения.</w:t>
      </w:r>
    </w:p>
    <w:p>
      <w:pPr>
        <w:pStyle w:val="Style30"/>
        <w:numPr>
          <w:ilvl w:val="0"/>
          <w:numId w:val="141"/>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Прогрессирующее течение.</w:t>
      </w:r>
    </w:p>
    <w:p>
      <w:pPr>
        <w:pStyle w:val="Style30"/>
        <w:numPr>
          <w:ilvl w:val="0"/>
          <w:numId w:val="141"/>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Миотонические реакции при ЭМГ-исследовании.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характеристика. Тяжесть акушерских проб</w:t>
        <w:softHyphen/>
        <w:t>лем в период родов у матери обратно пропорциональна воз - расту появления клинических симптомов у матери. Бере</w:t>
        <w:softHyphen/>
        <w:t>менность у матери сопровождается многоводием, отмечает</w:t>
        <w:softHyphen/>
        <w:t>ся снижение подвижности плода. Часто встречается яго</w:t>
        <w:softHyphen/>
        <w:t>дичное предлежание плода, недоношенность, преждевре</w:t>
        <w:softHyphen/>
        <w:t>менные роды.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 классической формы миотонической дистро</w:t>
        <w:softHyphen/>
        <w:t>фии складывается из миотонического, миопатического син</w:t>
        <w:softHyphen/>
        <w:t>дромов и внемышечных расстройств — сердечно-сосудис</w:t>
        <w:softHyphen/>
        <w:t>тых, нейроэндокринных, висцеральных, костно-суставных.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Врожденная миотоническая дистрофия сочетается с ум</w:t>
        <w:softHyphen/>
        <w:t>ственной отсталостью. У детей со стороны центральной нервной системы отмечается мышечная гипотония. Харак</w:t>
        <w:softHyphen/>
        <w:t>терен артрогрипоз.</w:t>
      </w:r>
    </w:p>
    <w:p>
      <w:pPr>
        <w:pStyle w:val="Style30"/>
        <w:widowControl w:val="0"/>
        <w:keepNext w:val="0"/>
        <w:keepLines w:val="0"/>
        <w:shd w:val="clear" w:color="auto" w:fill="auto"/>
        <w:bidi w:val="0"/>
        <w:spacing w:before="0" w:after="0"/>
        <w:ind w:left="0" w:right="0" w:firstLine="280"/>
      </w:pPr>
      <w:r>
        <w:pict>
          <v:shape id="_x0000_s1668" type="#_x0000_t75" style="position:absolute;margin-left:136.8pt;margin-top:736.8pt;width:209.75pt;height:14.9pt;z-index:-125828931;mso-wrap-distance-left:136.8pt;mso-wrap-distance-right:148.1pt;mso-wrap-distance-bottom:10.8pt;mso-position-horizontal-relative:margin;mso-position-vertical-relative:margin" wrapcoords="0 0 21600 0 21600 21600 0 21600 0 0">
            <v:imagedata r:id="rId1072" r:href="rId1073"/>
            <w10:wrap type="topAndBottom" anchorx="margin" anchory="margin"/>
          </v:shape>
        </w:pict>
      </w:r>
      <w:r>
        <w:rPr>
          <w:lang w:val="ru-RU" w:eastAsia="ru-RU" w:bidi="ru-RU"/>
          <w:w w:val="100"/>
          <w:spacing w:val="0"/>
          <w:color w:val="000000"/>
          <w:position w:val="0"/>
        </w:rPr>
        <w:t>Наиболее частыми симптомами поражения сердца при миотонической дистрофии являются синкопальные состо</w:t>
        <w:softHyphen/>
        <w:t xml:space="preserve">яния, аритмии, атриовентрикулярные блокады, застойная сердечная недостаточность и внезапная сердечная смерть </w:t>
      </w:r>
      <w:r>
        <w:rPr>
          <w:lang w:val="en-US" w:eastAsia="en-US" w:bidi="en-US"/>
          <w:w w:val="100"/>
          <w:spacing w:val="0"/>
          <w:color w:val="000000"/>
          <w:position w:val="0"/>
        </w:rPr>
        <w:t>(Kuzmicic-Calderon-B. et al.</w:t>
      </w:r>
      <w:r>
        <w:rPr>
          <w:lang w:val="ru-RU" w:eastAsia="ru-RU" w:bidi="ru-RU"/>
          <w:w w:val="100"/>
          <w:spacing w:val="0"/>
          <w:color w:val="000000"/>
          <w:position w:val="0"/>
        </w:rPr>
        <w:t>, 1994). Функциональные воз</w:t>
        <w:softHyphen/>
        <w:t xml:space="preserve">можности сердечно-сосудистой системы и субъективное самочувствие пациентов с миотонической дистрофией практически не коррелируют </w:t>
      </w:r>
      <w:r>
        <w:rPr>
          <w:lang w:val="en-US" w:eastAsia="en-US" w:bidi="en-US"/>
          <w:w w:val="100"/>
          <w:spacing w:val="0"/>
          <w:color w:val="000000"/>
          <w:position w:val="0"/>
        </w:rPr>
        <w:t xml:space="preserve">(Ahlstrom G. et al.,1994), </w:t>
      </w:r>
      <w:r>
        <w:rPr>
          <w:lang w:val="ru-RU" w:eastAsia="ru-RU" w:bidi="ru-RU"/>
          <w:w w:val="100"/>
          <w:spacing w:val="0"/>
          <w:color w:val="000000"/>
          <w:position w:val="0"/>
        </w:rPr>
        <w:t xml:space="preserve">т.е. больные, несмотря на выявляемые серьезные нарушения со стороны сердечно-сосудистой системы, не предъявляют кардиологических жалоб. </w:t>
      </w:r>
      <w:r>
        <w:rPr>
          <w:lang w:val="en-US" w:eastAsia="en-US" w:bidi="en-US"/>
          <w:w w:val="100"/>
          <w:spacing w:val="0"/>
          <w:color w:val="000000"/>
          <w:position w:val="0"/>
        </w:rPr>
        <w:t xml:space="preserve">Fragola P.V. et al. </w:t>
      </w:r>
      <w:r>
        <w:rPr>
          <w:lang w:val="ru-RU" w:eastAsia="ru-RU" w:bidi="ru-RU"/>
          <w:w w:val="100"/>
          <w:spacing w:val="0"/>
          <w:color w:val="000000"/>
          <w:position w:val="0"/>
        </w:rPr>
        <w:t>(1995) обследова-</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ли группу пациентов с миотонической дистрофией без кар</w:t>
        <w:softHyphen/>
        <w:t>диологических жалоб в анамнезе и имеющих нормальные показатели при проведении рутинных электрокардиогра</w:t>
        <w:softHyphen/>
        <w:t>фического и эхокардиографического исследований. Они провели более детальное исследование ритма сердца с по</w:t>
        <w:softHyphen/>
        <w:t>мощью холтеровского мониторирования в течение 24 ча</w:t>
        <w:softHyphen/>
        <w:t>сов, а также электрокардиографического исследования вы</w:t>
        <w:softHyphen/>
        <w:t>сокого разрешения. Оказалось, что у 34% больных имеются поздние желудочковые потенциалы, у 10% пациентов вы</w:t>
        <w:softHyphen/>
        <w:t>явлены желудочковые экстрасистолы, а 12% имеют ком</w:t>
        <w:softHyphen/>
        <w:t>плексные желудочковые аритмии. В 33% случаев комплек</w:t>
        <w:softHyphen/>
        <w:t>сные желудочковые аритмии диагностировались у пациен</w:t>
        <w:softHyphen/>
        <w:t>тов с поздними желудочковыми потенциалами и в 6% слу</w:t>
        <w:softHyphen/>
        <w:t>чаев — без них.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поражения миокарда помогает наиболее точно оценить исследование ядерно-магнитного резонанса сер</w:t>
        <w:softHyphen/>
        <w:t>дечной мышцы. При этом различные варианты поражения сердечно-сосудистой системы выявляются почти у 80% больных (гипертрофия левого желудочка — у 50% пациен</w:t>
        <w:softHyphen/>
        <w:t>тов, гипертрофия правого желудочка — у 15%, дилатация правого желудочка — у 42%, участки жировой инфильтра</w:t>
        <w:softHyphen/>
        <w:t>ции и очаги фиброза в правом желудочке — у 42%, в обоих желудочках — в 21% случаев). Несмотря на то что не дока</w:t>
        <w:softHyphen/>
        <w:t>зано наличия четкой корелляции между наличием жировой инфильтрации, очагами фиброза и тяжестью поражения сердца, авторы все же отмечают более частую ассоциацию жировой инфильтрации миокарда (которая всегда свиде</w:t>
        <w:softHyphen/>
        <w:t>тельствует о тяжести процесса) и нарушений проводимости сердечной мышцы у пациентов.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Проведение электрокардиографического исследования у пациентов с миотонической дистрофией выявляет в 78% нарушения атриовентрикулярного и/или внутрижелудоч</w:t>
        <w:softHyphen/>
        <w:t>кового проведения, в 28% — поздние желудочковые потен</w:t>
        <w:softHyphen/>
        <w:t>циалы, что можно расценить как прогностически неблаго</w:t>
        <w:softHyphen/>
        <w:t>приятный фактор аритмий.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Эхокардиографические аномалии выявляются у 57% па</w:t>
        <w:softHyphen/>
        <w:t>циентов, причем наиболее часто диагностируются гипер</w:t>
        <w:softHyphen/>
        <w:t>трофия левого желудочка, пролапс митрального клапана и аномалии подвижности сердечной стенки. Пролапс мит</w:t>
        <w:softHyphen/>
        <w:t>рального клапана выявляется в 32% случаев, а аномалии подвижности сердечной стенки — у 28% пациентов.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Проведение эхокардиографического исследования по</w:t>
        <w:softHyphen/>
        <w:t>зволяет выявить у пациентов с миотонической дистрофией миотонию сердечной мышцы, т.е. способность миокарда левого желудочка к диастолическому расслаблению. Ско</w:t>
        <w:softHyphen/>
        <w:t>рость максимального диастолического расслабления сни</w:t>
        <w:softHyphen/>
        <w:t>жена у 50% больных.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Течение заболевания — прогрессирующее.</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Наиболее частой причиной смерти у пациентов с миото</w:t>
        <w:softHyphen/>
        <w:t>нической дистрофией является внезапная сердечная смерть.</w:t>
      </w:r>
    </w:p>
    <w:p>
      <w:pPr>
        <w:pStyle w:val="Style28"/>
        <w:widowControl w:val="0"/>
        <w:keepNext/>
        <w:keepLines/>
        <w:shd w:val="clear" w:color="auto" w:fill="auto"/>
        <w:bidi w:val="0"/>
        <w:jc w:val="both"/>
        <w:spacing w:before="0" w:after="186" w:line="220" w:lineRule="exact"/>
        <w:ind w:left="0" w:right="0" w:firstLine="0"/>
      </w:pPr>
      <w:bookmarkStart w:id="689" w:name="bookmark689"/>
      <w:r>
        <w:rPr>
          <w:lang w:val="ru-RU" w:eastAsia="ru-RU" w:bidi="ru-RU"/>
          <w:w w:val="100"/>
          <w:spacing w:val="0"/>
          <w:color w:val="000000"/>
          <w:position w:val="0"/>
        </w:rPr>
        <w:t>Болезни клеточной энергетики</w:t>
      </w:r>
      <w:bookmarkEnd w:id="689"/>
    </w:p>
    <w:p>
      <w:pPr>
        <w:pStyle w:val="Style30"/>
        <w:numPr>
          <w:ilvl w:val="0"/>
          <w:numId w:val="141"/>
        </w:numPr>
        <w:tabs>
          <w:tab w:leader="none" w:pos="520" w:val="left"/>
        </w:tabs>
        <w:widowControl w:val="0"/>
        <w:keepNext w:val="0"/>
        <w:keepLines w:val="0"/>
        <w:shd w:val="clear" w:color="auto" w:fill="auto"/>
        <w:bidi w:val="0"/>
        <w:spacing w:before="0" w:after="0" w:line="180" w:lineRule="exact"/>
        <w:ind w:left="0" w:right="0" w:firstLine="280"/>
      </w:pPr>
      <w:r>
        <w:rPr>
          <w:lang w:val="ru-RU" w:eastAsia="ru-RU" w:bidi="ru-RU"/>
          <w:w w:val="100"/>
          <w:spacing w:val="0"/>
          <w:color w:val="000000"/>
          <w:position w:val="0"/>
        </w:rPr>
        <w:t>Нарушения метаболизма пирувата:</w:t>
      </w:r>
    </w:p>
    <w:p>
      <w:pPr>
        <w:pStyle w:val="Style30"/>
        <w:numPr>
          <w:ilvl w:val="0"/>
          <w:numId w:val="147"/>
        </w:numPr>
        <w:tabs>
          <w:tab w:leader="none" w:pos="728"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комплексный дефицит пируватдегидрогеназы (бо</w:t>
        <w:softHyphen/>
        <w:t xml:space="preserve">лезнь </w:t>
      </w:r>
      <w:r>
        <w:rPr>
          <w:lang w:val="en-US" w:eastAsia="en-US" w:bidi="en-US"/>
          <w:w w:val="100"/>
          <w:spacing w:val="0"/>
          <w:color w:val="000000"/>
          <w:position w:val="0"/>
        </w:rPr>
        <w:t>Leigh)(H)</w:t>
      </w:r>
      <w:r>
        <w:rPr>
          <w:lang w:val="en-US" w:eastAsia="en-US" w:bidi="en-US"/>
          <w:vertAlign w:val="superscript"/>
          <w:w w:val="100"/>
          <w:spacing w:val="0"/>
          <w:color w:val="000000"/>
          <w:position w:val="0"/>
        </w:rPr>
        <w:t>41</w:t>
      </w:r>
      <w:r>
        <w:rPr>
          <w:lang w:val="en-US" w:eastAsia="en-US" w:bidi="en-US"/>
          <w:w w:val="100"/>
          <w:spacing w:val="0"/>
          <w:color w:val="000000"/>
          <w:position w:val="0"/>
        </w:rPr>
        <w:t>.</w:t>
      </w:r>
    </w:p>
    <w:p>
      <w:pPr>
        <w:pStyle w:val="Style30"/>
        <w:numPr>
          <w:ilvl w:val="0"/>
          <w:numId w:val="141"/>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Нарушения окислительного фосфорилирования:</w:t>
      </w:r>
    </w:p>
    <w:p>
      <w:pPr>
        <w:pStyle w:val="Style30"/>
        <w:numPr>
          <w:ilvl w:val="0"/>
          <w:numId w:val="147"/>
        </w:numPr>
        <w:tabs>
          <w:tab w:leader="none" w:pos="72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дефицит комплекса I</w:t>
      </w:r>
      <w:r>
        <w:rPr>
          <w:lang w:val="ru-RU" w:eastAsia="ru-RU" w:bidi="ru-RU"/>
          <w:vertAlign w:val="superscript"/>
          <w:w w:val="100"/>
          <w:spacing w:val="0"/>
          <w:color w:val="000000"/>
          <w:position w:val="0"/>
        </w:rPr>
        <w:t>42</w:t>
      </w:r>
      <w:r>
        <w:rPr>
          <w:lang w:val="ru-RU" w:eastAsia="ru-RU" w:bidi="ru-RU"/>
          <w:w w:val="100"/>
          <w:spacing w:val="0"/>
          <w:color w:val="000000"/>
          <w:position w:val="0"/>
        </w:rPr>
        <w:t>;</w:t>
      </w:r>
    </w:p>
    <w:p>
      <w:pPr>
        <w:pStyle w:val="Style30"/>
        <w:numPr>
          <w:ilvl w:val="0"/>
          <w:numId w:val="147"/>
        </w:numPr>
        <w:tabs>
          <w:tab w:leader="none" w:pos="72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дефицит комплекса II</w:t>
      </w:r>
      <w:r>
        <w:rPr>
          <w:lang w:val="ru-RU" w:eastAsia="ru-RU" w:bidi="ru-RU"/>
          <w:vertAlign w:val="superscript"/>
          <w:w w:val="100"/>
          <w:spacing w:val="0"/>
          <w:color w:val="000000"/>
          <w:position w:val="0"/>
        </w:rPr>
        <w:t>43</w:t>
      </w:r>
      <w:r>
        <w:rPr>
          <w:lang w:val="ru-RU" w:eastAsia="ru-RU" w:bidi="ru-RU"/>
          <w:w w:val="100"/>
          <w:spacing w:val="0"/>
          <w:color w:val="000000"/>
          <w:position w:val="0"/>
        </w:rPr>
        <w:t>;</w:t>
      </w:r>
    </w:p>
    <w:p>
      <w:pPr>
        <w:pStyle w:val="Style30"/>
        <w:numPr>
          <w:ilvl w:val="0"/>
          <w:numId w:val="147"/>
        </w:numPr>
        <w:tabs>
          <w:tab w:leader="none" w:pos="728"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дефицит комплекса III (гистиоцитоидная кардио</w:t>
        <w:softHyphen/>
        <w:t xml:space="preserve">миопатия) </w:t>
      </w:r>
      <w:r>
        <w:rPr>
          <w:lang w:val="en-US" w:eastAsia="en-US" w:bidi="en-US"/>
          <w:w w:val="100"/>
          <w:spacing w:val="0"/>
          <w:color w:val="000000"/>
          <w:position w:val="0"/>
        </w:rPr>
        <w:t>(H)</w:t>
      </w:r>
      <w:r>
        <w:rPr>
          <w:lang w:val="en-US" w:eastAsia="en-US" w:bidi="en-US"/>
          <w:vertAlign w:val="superscript"/>
          <w:w w:val="100"/>
          <w:spacing w:val="0"/>
          <w:color w:val="000000"/>
          <w:position w:val="0"/>
        </w:rPr>
        <w:t>44</w:t>
      </w:r>
      <w:r>
        <w:rPr>
          <w:lang w:val="en-US" w:eastAsia="en-US" w:bidi="en-US"/>
          <w:w w:val="100"/>
          <w:spacing w:val="0"/>
          <w:color w:val="000000"/>
          <w:position w:val="0"/>
        </w:rPr>
        <w:t>;</w:t>
      </w:r>
    </w:p>
    <w:p>
      <w:pPr>
        <w:pStyle w:val="Style30"/>
        <w:numPr>
          <w:ilvl w:val="0"/>
          <w:numId w:val="147"/>
        </w:numPr>
        <w:tabs>
          <w:tab w:leader="none" w:pos="763" w:val="left"/>
        </w:tabs>
        <w:widowControl w:val="0"/>
        <w:keepNext w:val="0"/>
        <w:keepLines w:val="0"/>
        <w:shd w:val="clear" w:color="auto" w:fill="auto"/>
        <w:bidi w:val="0"/>
        <w:jc w:val="left"/>
        <w:spacing w:before="0" w:after="0"/>
        <w:ind w:left="740" w:right="0" w:hanging="240"/>
      </w:pPr>
      <w:r>
        <w:br w:type="column"/>
      </w:r>
      <w:r>
        <w:rPr>
          <w:lang w:val="ru-RU" w:eastAsia="ru-RU" w:bidi="ru-RU"/>
          <w:w w:val="100"/>
          <w:spacing w:val="0"/>
          <w:color w:val="000000"/>
          <w:position w:val="0"/>
        </w:rPr>
        <w:t>дефицит комплекса IV (мышечный и в форме бо</w:t>
        <w:softHyphen/>
        <w:t xml:space="preserve">лезни </w:t>
      </w:r>
      <w:r>
        <w:rPr>
          <w:lang w:val="en-US" w:eastAsia="en-US" w:bidi="en-US"/>
          <w:w w:val="100"/>
          <w:spacing w:val="0"/>
          <w:color w:val="000000"/>
          <w:position w:val="0"/>
        </w:rPr>
        <w:t>Leigh) (H)</w:t>
      </w:r>
      <w:r>
        <w:rPr>
          <w:lang w:val="en-US" w:eastAsia="en-US" w:bidi="en-US"/>
          <w:vertAlign w:val="superscript"/>
          <w:w w:val="100"/>
          <w:spacing w:val="0"/>
          <w:color w:val="000000"/>
          <w:position w:val="0"/>
        </w:rPr>
        <w:t>45,46</w:t>
      </w:r>
      <w:r>
        <w:rPr>
          <w:lang w:val="en-US" w:eastAsia="en-US" w:bidi="en-US"/>
          <w:w w:val="100"/>
          <w:spacing w:val="0"/>
          <w:color w:val="000000"/>
          <w:position w:val="0"/>
        </w:rPr>
        <w:t>;</w:t>
      </w:r>
    </w:p>
    <w:p>
      <w:pPr>
        <w:pStyle w:val="Style30"/>
        <w:numPr>
          <w:ilvl w:val="0"/>
          <w:numId w:val="147"/>
        </w:numPr>
        <w:tabs>
          <w:tab w:leader="none" w:pos="76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дефицит комплекса V </w:t>
      </w:r>
      <w:r>
        <w:rPr>
          <w:lang w:val="en-US" w:eastAsia="en-US" w:bidi="en-US"/>
          <w:w w:val="100"/>
          <w:spacing w:val="0"/>
          <w:color w:val="000000"/>
          <w:position w:val="0"/>
        </w:rPr>
        <w:t>(H)</w:t>
      </w:r>
      <w:r>
        <w:rPr>
          <w:lang w:val="en-US" w:eastAsia="en-US" w:bidi="en-US"/>
          <w:vertAlign w:val="superscript"/>
          <w:w w:val="100"/>
          <w:spacing w:val="0"/>
          <w:color w:val="000000"/>
          <w:position w:val="0"/>
        </w:rPr>
        <w:t>47</w:t>
      </w:r>
      <w:r>
        <w:rPr>
          <w:lang w:val="en-US" w:eastAsia="en-US" w:bidi="en-US"/>
          <w:w w:val="100"/>
          <w:spacing w:val="0"/>
          <w:color w:val="000000"/>
          <w:position w:val="0"/>
        </w:rPr>
        <w:t>.</w:t>
      </w:r>
      <w:r>
        <w:rPr>
          <w:lang w:val="en-US" w:eastAsia="en-US" w:bidi="en-US"/>
          <w:vertAlign w:val="superscript"/>
          <w:w w:val="100"/>
          <w:spacing w:val="0"/>
          <w:color w:val="000000"/>
          <w:position w:val="0"/>
        </w:rPr>
        <w:t>48</w:t>
      </w:r>
      <w:r>
        <w:rPr>
          <w:lang w:val="en-US" w:eastAsia="en-US" w:bidi="en-US"/>
          <w:w w:val="100"/>
          <w:spacing w:val="0"/>
          <w:color w:val="000000"/>
          <w:position w:val="0"/>
        </w:rPr>
        <w:t>;</w:t>
      </w:r>
    </w:p>
    <w:p>
      <w:pPr>
        <w:pStyle w:val="Style30"/>
        <w:numPr>
          <w:ilvl w:val="0"/>
          <w:numId w:val="147"/>
        </w:numPr>
        <w:tabs>
          <w:tab w:leader="none" w:pos="76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комбинированный дефицит дыхательных цепей:</w:t>
      </w:r>
    </w:p>
    <w:p>
      <w:pPr>
        <w:pStyle w:val="Style30"/>
        <w:numPr>
          <w:ilvl w:val="0"/>
          <w:numId w:val="147"/>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мутация митохондриального переносчика РНК:</w:t>
      </w:r>
    </w:p>
    <w:p>
      <w:pPr>
        <w:pStyle w:val="Style30"/>
        <w:widowControl w:val="0"/>
        <w:keepNext w:val="0"/>
        <w:keepLines w:val="0"/>
        <w:shd w:val="clear" w:color="auto" w:fill="auto"/>
        <w:bidi w:val="0"/>
        <w:jc w:val="left"/>
        <w:spacing w:before="0" w:after="0"/>
        <w:ind w:left="940" w:right="1780" w:firstLine="0"/>
      </w:pPr>
      <w:r>
        <w:rPr>
          <w:lang w:val="ru-RU" w:eastAsia="ru-RU" w:bidi="ru-RU"/>
          <w:w w:val="100"/>
          <w:spacing w:val="0"/>
          <w:color w:val="000000"/>
          <w:position w:val="0"/>
        </w:rPr>
        <w:t xml:space="preserve">Синдром </w:t>
      </w:r>
      <w:r>
        <w:rPr>
          <w:lang w:val="en-US" w:eastAsia="en-US" w:bidi="en-US"/>
          <w:w w:val="100"/>
          <w:spacing w:val="0"/>
          <w:color w:val="000000"/>
          <w:position w:val="0"/>
        </w:rPr>
        <w:t xml:space="preserve">MELAS (H)49,50 </w:t>
      </w:r>
      <w:r>
        <w:rPr>
          <w:lang w:val="ru-RU" w:eastAsia="ru-RU" w:bidi="ru-RU"/>
          <w:w w:val="100"/>
          <w:spacing w:val="0"/>
          <w:color w:val="000000"/>
          <w:position w:val="0"/>
        </w:rPr>
        <w:t xml:space="preserve">Синдром </w:t>
      </w:r>
      <w:r>
        <w:rPr>
          <w:lang w:val="en-US" w:eastAsia="en-US" w:bidi="en-US"/>
          <w:w w:val="100"/>
          <w:spacing w:val="0"/>
          <w:color w:val="000000"/>
          <w:position w:val="0"/>
        </w:rPr>
        <w:t>MERRF (H, D)49</w:t>
      </w:r>
    </w:p>
    <w:p>
      <w:pPr>
        <w:pStyle w:val="Style30"/>
        <w:numPr>
          <w:ilvl w:val="0"/>
          <w:numId w:val="147"/>
        </w:numPr>
        <w:tabs>
          <w:tab w:leader="none" w:pos="946"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 xml:space="preserve">делеции и дупликации митохондриальной ДНК Синдром Керна-Сейра </w:t>
      </w:r>
      <w:r>
        <w:rPr>
          <w:lang w:val="en-US" w:eastAsia="en-US" w:bidi="en-US"/>
          <w:w w:val="100"/>
          <w:spacing w:val="0"/>
          <w:color w:val="000000"/>
          <w:position w:val="0"/>
        </w:rPr>
        <w:t>(H)</w:t>
      </w:r>
      <w:r>
        <w:rPr>
          <w:lang w:val="en-US" w:eastAsia="en-US" w:bidi="en-US"/>
          <w:vertAlign w:val="superscript"/>
          <w:w w:val="100"/>
          <w:spacing w:val="0"/>
          <w:color w:val="000000"/>
          <w:position w:val="0"/>
        </w:rPr>
        <w:t>54</w:t>
      </w:r>
      <w:r>
        <w:rPr>
          <w:lang w:val="en-US" w:eastAsia="en-US" w:bidi="en-US"/>
          <w:w w:val="100"/>
          <w:spacing w:val="0"/>
          <w:color w:val="000000"/>
          <w:position w:val="0"/>
        </w:rPr>
        <w:t>;</w:t>
      </w:r>
    </w:p>
    <w:p>
      <w:pPr>
        <w:pStyle w:val="Style30"/>
        <w:numPr>
          <w:ilvl w:val="0"/>
          <w:numId w:val="147"/>
        </w:numPr>
        <w:tabs>
          <w:tab w:leader="none" w:pos="946"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 xml:space="preserve">синдром Барта (3-метилглютаровая ацидурия </w:t>
      </w:r>
      <w:r>
        <w:rPr>
          <w:lang w:val="en-US" w:eastAsia="en-US" w:bidi="en-US"/>
          <w:w w:val="100"/>
          <w:spacing w:val="0"/>
          <w:color w:val="000000"/>
          <w:position w:val="0"/>
        </w:rPr>
        <w:t xml:space="preserve">II </w:t>
      </w:r>
      <w:r>
        <w:rPr>
          <w:lang w:val="ru-RU" w:eastAsia="ru-RU" w:bidi="ru-RU"/>
          <w:w w:val="100"/>
          <w:spacing w:val="0"/>
          <w:color w:val="000000"/>
          <w:position w:val="0"/>
        </w:rPr>
        <w:t xml:space="preserve">типа) </w:t>
      </w:r>
      <w:r>
        <w:rPr>
          <w:lang w:val="en-US" w:eastAsia="en-US" w:bidi="en-US"/>
          <w:w w:val="100"/>
          <w:spacing w:val="0"/>
          <w:color w:val="000000"/>
          <w:position w:val="0"/>
        </w:rPr>
        <w:t>(H, D)56,57;</w:t>
      </w:r>
    </w:p>
    <w:p>
      <w:pPr>
        <w:pStyle w:val="Style30"/>
        <w:numPr>
          <w:ilvl w:val="0"/>
          <w:numId w:val="147"/>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 xml:space="preserve">синдром Сенгерс </w:t>
      </w:r>
      <w:r>
        <w:rPr>
          <w:lang w:val="en-US" w:eastAsia="en-US" w:bidi="en-US"/>
          <w:w w:val="100"/>
          <w:spacing w:val="0"/>
          <w:color w:val="000000"/>
          <w:position w:val="0"/>
        </w:rPr>
        <w:t>(H)</w:t>
      </w:r>
      <w:r>
        <w:rPr>
          <w:lang w:val="en-US" w:eastAsia="en-US" w:bidi="en-US"/>
          <w:vertAlign w:val="superscript"/>
          <w:w w:val="100"/>
          <w:spacing w:val="0"/>
          <w:color w:val="000000"/>
          <w:position w:val="0"/>
        </w:rPr>
        <w:t>58</w:t>
      </w:r>
      <w:r>
        <w:rPr>
          <w:lang w:val="en-US" w:eastAsia="en-US" w:bidi="en-US"/>
          <w:w w:val="100"/>
          <w:spacing w:val="0"/>
          <w:color w:val="000000"/>
          <w:position w:val="0"/>
        </w:rPr>
        <w:t>.</w:t>
      </w:r>
      <w:r>
        <w:rPr>
          <w:lang w:val="en-US" w:eastAsia="en-US" w:bidi="en-US"/>
          <w:vertAlign w:val="superscript"/>
          <w:w w:val="100"/>
          <w:spacing w:val="0"/>
          <w:color w:val="000000"/>
          <w:position w:val="0"/>
        </w:rPr>
        <w:t>59</w:t>
      </w:r>
      <w:r>
        <w:rPr>
          <w:lang w:val="en-US" w:eastAsia="en-US" w:bidi="en-US"/>
          <w:w w:val="100"/>
          <w:spacing w:val="0"/>
          <w:color w:val="000000"/>
          <w:position w:val="0"/>
        </w:rPr>
        <w: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Нарушения метаболизма жирных кислот:</w:t>
      </w:r>
    </w:p>
    <w:p>
      <w:pPr>
        <w:pStyle w:val="Style30"/>
        <w:numPr>
          <w:ilvl w:val="0"/>
          <w:numId w:val="147"/>
        </w:numPr>
        <w:tabs>
          <w:tab w:leader="none" w:pos="763"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 xml:space="preserve">первичный или системный дефицит карнитина </w:t>
      </w:r>
      <w:r>
        <w:rPr>
          <w:lang w:val="en-US" w:eastAsia="en-US" w:bidi="en-US"/>
          <w:w w:val="100"/>
          <w:spacing w:val="0"/>
          <w:color w:val="000000"/>
          <w:position w:val="0"/>
        </w:rPr>
        <w:t>(H, D)</w:t>
      </w:r>
      <w:r>
        <w:rPr>
          <w:lang w:val="en-US" w:eastAsia="en-US" w:bidi="en-US"/>
          <w:vertAlign w:val="superscript"/>
          <w:w w:val="100"/>
          <w:spacing w:val="0"/>
          <w:color w:val="000000"/>
          <w:position w:val="0"/>
        </w:rPr>
        <w:t>61</w:t>
      </w:r>
      <w:r>
        <w:rPr>
          <w:lang w:val="en-US" w:eastAsia="en-US" w:bidi="en-US"/>
          <w:w w:val="100"/>
          <w:spacing w:val="0"/>
          <w:color w:val="000000"/>
          <w:position w:val="0"/>
        </w:rPr>
        <w:t>.</w:t>
      </w:r>
      <w:r>
        <w:rPr>
          <w:lang w:val="en-US" w:eastAsia="en-US" w:bidi="en-US"/>
          <w:vertAlign w:val="superscript"/>
          <w:w w:val="100"/>
          <w:spacing w:val="0"/>
          <w:color w:val="000000"/>
          <w:position w:val="0"/>
        </w:rPr>
        <w:t>62</w:t>
      </w:r>
      <w:r>
        <w:rPr>
          <w:lang w:val="en-US" w:eastAsia="en-US" w:bidi="en-US"/>
          <w:w w:val="100"/>
          <w:spacing w:val="0"/>
          <w:color w:val="000000"/>
          <w:position w:val="0"/>
        </w:rPr>
        <w:t>;</w:t>
      </w:r>
    </w:p>
    <w:p>
      <w:pPr>
        <w:pStyle w:val="Style30"/>
        <w:numPr>
          <w:ilvl w:val="0"/>
          <w:numId w:val="147"/>
        </w:numPr>
        <w:tabs>
          <w:tab w:leader="none" w:pos="76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мышечный дефицит карнитина </w:t>
      </w:r>
      <w:r>
        <w:rPr>
          <w:lang w:val="en-US" w:eastAsia="en-US" w:bidi="en-US"/>
          <w:w w:val="100"/>
          <w:spacing w:val="0"/>
          <w:color w:val="000000"/>
          <w:position w:val="0"/>
        </w:rPr>
        <w:t>(H, D)</w:t>
      </w:r>
      <w:r>
        <w:rPr>
          <w:lang w:val="en-US" w:eastAsia="en-US" w:bidi="en-US"/>
          <w:vertAlign w:val="superscript"/>
          <w:w w:val="100"/>
          <w:spacing w:val="0"/>
          <w:color w:val="000000"/>
          <w:position w:val="0"/>
        </w:rPr>
        <w:t>63</w:t>
      </w:r>
      <w:r>
        <w:rPr>
          <w:lang w:val="en-US" w:eastAsia="en-US" w:bidi="en-US"/>
          <w:w w:val="100"/>
          <w:spacing w:val="0"/>
          <w:color w:val="000000"/>
          <w:position w:val="0"/>
        </w:rPr>
        <w:t>.</w:t>
      </w:r>
      <w:r>
        <w:rPr>
          <w:lang w:val="en-US" w:eastAsia="en-US" w:bidi="en-US"/>
          <w:vertAlign w:val="superscript"/>
          <w:w w:val="100"/>
          <w:spacing w:val="0"/>
          <w:color w:val="000000"/>
          <w:position w:val="0"/>
        </w:rPr>
        <w:t>64</w:t>
      </w:r>
      <w:r>
        <w:rPr>
          <w:lang w:val="en-US" w:eastAsia="en-US" w:bidi="en-US"/>
          <w:w w:val="100"/>
          <w:spacing w:val="0"/>
          <w:color w:val="000000"/>
          <w:position w:val="0"/>
        </w:rPr>
        <w:t>;</w:t>
      </w:r>
    </w:p>
    <w:p>
      <w:pPr>
        <w:pStyle w:val="Style30"/>
        <w:numPr>
          <w:ilvl w:val="0"/>
          <w:numId w:val="147"/>
        </w:numPr>
        <w:tabs>
          <w:tab w:leader="none" w:pos="76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дефицит карнитин палмитилтрансферазы II типа</w:t>
      </w:r>
      <w:r>
        <w:rPr>
          <w:lang w:val="ru-RU" w:eastAsia="ru-RU" w:bidi="ru-RU"/>
          <w:vertAlign w:val="superscript"/>
          <w:w w:val="100"/>
          <w:spacing w:val="0"/>
          <w:color w:val="000000"/>
          <w:position w:val="0"/>
        </w:rPr>
        <w:t>65</w:t>
      </w:r>
      <w:r>
        <w:rPr>
          <w:lang w:val="ru-RU" w:eastAsia="ru-RU" w:bidi="ru-RU"/>
          <w:w w:val="100"/>
          <w:spacing w:val="0"/>
          <w:color w:val="000000"/>
          <w:position w:val="0"/>
        </w:rPr>
        <w:t>;</w:t>
      </w:r>
    </w:p>
    <w:p>
      <w:pPr>
        <w:pStyle w:val="Style30"/>
        <w:numPr>
          <w:ilvl w:val="0"/>
          <w:numId w:val="147"/>
        </w:numPr>
        <w:tabs>
          <w:tab w:leader="none" w:pos="76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дефицит карнитин ацилкарнитин транслоказы </w:t>
      </w:r>
      <w:r>
        <w:rPr>
          <w:lang w:val="ru-RU" w:eastAsia="ru-RU" w:bidi="ru-RU"/>
          <w:vertAlign w:val="superscript"/>
          <w:w w:val="100"/>
          <w:spacing w:val="0"/>
          <w:color w:val="000000"/>
          <w:position w:val="0"/>
        </w:rPr>
        <w:t>66</w:t>
      </w:r>
      <w:r>
        <w:rPr>
          <w:lang w:val="ru-RU" w:eastAsia="ru-RU" w:bidi="ru-RU"/>
          <w:w w:val="100"/>
          <w:spacing w:val="0"/>
          <w:color w:val="000000"/>
          <w:position w:val="0"/>
        </w:rPr>
        <w:t>;</w:t>
      </w:r>
    </w:p>
    <w:p>
      <w:pPr>
        <w:pStyle w:val="Style30"/>
        <w:numPr>
          <w:ilvl w:val="0"/>
          <w:numId w:val="147"/>
        </w:numPr>
        <w:tabs>
          <w:tab w:leader="none" w:pos="763"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 xml:space="preserve">дефицит ацил-СоА-дегидрогеназы очень длинных цепей </w:t>
      </w:r>
      <w:r>
        <w:rPr>
          <w:lang w:val="en-US" w:eastAsia="en-US" w:bidi="en-US"/>
          <w:w w:val="100"/>
          <w:spacing w:val="0"/>
          <w:color w:val="000000"/>
          <w:position w:val="0"/>
        </w:rPr>
        <w:t>(H)</w:t>
      </w:r>
      <w:r>
        <w:rPr>
          <w:lang w:val="en-US" w:eastAsia="en-US" w:bidi="en-US"/>
          <w:vertAlign w:val="superscript"/>
          <w:w w:val="100"/>
          <w:spacing w:val="0"/>
          <w:color w:val="000000"/>
          <w:position w:val="0"/>
        </w:rPr>
        <w:t>67</w:t>
      </w:r>
      <w:r>
        <w:rPr>
          <w:lang w:val="en-US" w:eastAsia="en-US" w:bidi="en-US"/>
          <w:w w:val="100"/>
          <w:spacing w:val="0"/>
          <w:color w:val="000000"/>
          <w:position w:val="0"/>
        </w:rPr>
        <w:t>;</w:t>
      </w:r>
    </w:p>
    <w:p>
      <w:pPr>
        <w:pStyle w:val="Style30"/>
        <w:numPr>
          <w:ilvl w:val="0"/>
          <w:numId w:val="147"/>
        </w:numPr>
        <w:tabs>
          <w:tab w:leader="none" w:pos="763"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 xml:space="preserve">дефицит ацил-СоА-дегидрогеназы длинных цепей </w:t>
      </w:r>
      <w:r>
        <w:rPr>
          <w:lang w:val="en-US" w:eastAsia="en-US" w:bidi="en-US"/>
          <w:w w:val="100"/>
          <w:spacing w:val="0"/>
          <w:color w:val="000000"/>
          <w:position w:val="0"/>
        </w:rPr>
        <w:t>(H)</w:t>
      </w:r>
      <w:r>
        <w:rPr>
          <w:lang w:val="en-US" w:eastAsia="en-US" w:bidi="en-US"/>
          <w:vertAlign w:val="superscript"/>
          <w:w w:val="100"/>
          <w:spacing w:val="0"/>
          <w:color w:val="000000"/>
          <w:position w:val="0"/>
        </w:rPr>
        <w:t>68</w:t>
      </w:r>
      <w:r>
        <w:rPr>
          <w:lang w:val="en-US" w:eastAsia="en-US" w:bidi="en-US"/>
          <w:w w:val="100"/>
          <w:spacing w:val="0"/>
          <w:color w:val="000000"/>
          <w:position w:val="0"/>
        </w:rPr>
        <w:t>;</w:t>
      </w:r>
    </w:p>
    <w:p>
      <w:pPr>
        <w:pStyle w:val="Style30"/>
        <w:numPr>
          <w:ilvl w:val="0"/>
          <w:numId w:val="147"/>
        </w:numPr>
        <w:tabs>
          <w:tab w:leader="none" w:pos="763"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 xml:space="preserve">дефицит 3-гидроксиацил-СоА-дегидрогеназы длинных цепей </w:t>
      </w:r>
      <w:r>
        <w:rPr>
          <w:lang w:val="en-US" w:eastAsia="en-US" w:bidi="en-US"/>
          <w:w w:val="100"/>
          <w:spacing w:val="0"/>
          <w:color w:val="000000"/>
          <w:position w:val="0"/>
        </w:rPr>
        <w:t>(D, H)</w:t>
      </w:r>
      <w:r>
        <w:rPr>
          <w:lang w:val="en-US" w:eastAsia="en-US" w:bidi="en-US"/>
          <w:vertAlign w:val="superscript"/>
          <w:w w:val="100"/>
          <w:spacing w:val="0"/>
          <w:color w:val="000000"/>
          <w:position w:val="0"/>
        </w:rPr>
        <w:t>69</w:t>
      </w:r>
      <w:r>
        <w:rPr>
          <w:lang w:val="en-US" w:eastAsia="en-US" w:bidi="en-US"/>
          <w:w w:val="100"/>
          <w:spacing w:val="0"/>
          <w:color w:val="000000"/>
          <w:position w:val="0"/>
        </w:rPr>
        <w:t>;</w:t>
      </w:r>
    </w:p>
    <w:p>
      <w:pPr>
        <w:pStyle w:val="Style30"/>
        <w:numPr>
          <w:ilvl w:val="0"/>
          <w:numId w:val="147"/>
        </w:numPr>
        <w:tabs>
          <w:tab w:leader="none" w:pos="763"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дефицит 3-гидроксиацил-СоА-дегидрогеназы ко</w:t>
        <w:softHyphen/>
        <w:t>ротких цепей</w:t>
      </w:r>
      <w:r>
        <w:rPr>
          <w:lang w:val="ru-RU" w:eastAsia="ru-RU" w:bidi="ru-RU"/>
          <w:vertAlign w:val="superscript"/>
          <w:w w:val="100"/>
          <w:spacing w:val="0"/>
          <w:color w:val="000000"/>
          <w:position w:val="0"/>
        </w:rPr>
        <w:t>70</w:t>
      </w:r>
      <w:r>
        <w:rPr>
          <w:lang w:val="ru-RU" w:eastAsia="ru-RU" w:bidi="ru-RU"/>
          <w:w w:val="100"/>
          <w:spacing w:val="0"/>
          <w:color w:val="000000"/>
          <w:position w:val="0"/>
        </w:rPr>
        <w:t>;</w:t>
      </w:r>
    </w:p>
    <w:p>
      <w:pPr>
        <w:pStyle w:val="Style30"/>
        <w:numPr>
          <w:ilvl w:val="0"/>
          <w:numId w:val="147"/>
        </w:numPr>
        <w:tabs>
          <w:tab w:leader="none" w:pos="763" w:val="left"/>
        </w:tabs>
        <w:widowControl w:val="0"/>
        <w:keepNext w:val="0"/>
        <w:keepLines w:val="0"/>
        <w:shd w:val="clear" w:color="auto" w:fill="auto"/>
        <w:bidi w:val="0"/>
        <w:jc w:val="left"/>
        <w:spacing w:before="0" w:after="185"/>
        <w:ind w:left="740" w:right="0" w:hanging="240"/>
      </w:pPr>
      <w:r>
        <w:rPr>
          <w:lang w:val="ru-RU" w:eastAsia="ru-RU" w:bidi="ru-RU"/>
          <w:w w:val="100"/>
          <w:spacing w:val="0"/>
          <w:color w:val="000000"/>
          <w:position w:val="0"/>
        </w:rPr>
        <w:t xml:space="preserve">множественный дефицит ацил-СоА-дегидрогена- зы (глутаровая ацидемия </w:t>
      </w:r>
      <w:r>
        <w:rPr>
          <w:lang w:val="en-US" w:eastAsia="en-US" w:bidi="en-US"/>
          <w:w w:val="100"/>
          <w:spacing w:val="0"/>
          <w:color w:val="000000"/>
          <w:position w:val="0"/>
        </w:rPr>
        <w:t xml:space="preserve">II </w:t>
      </w:r>
      <w:r>
        <w:rPr>
          <w:lang w:val="ru-RU" w:eastAsia="ru-RU" w:bidi="ru-RU"/>
          <w:w w:val="100"/>
          <w:spacing w:val="0"/>
          <w:color w:val="000000"/>
          <w:position w:val="0"/>
        </w:rPr>
        <w:t xml:space="preserve">типа) </w:t>
      </w:r>
      <w:r>
        <w:rPr>
          <w:lang w:val="en-US" w:eastAsia="en-US" w:bidi="en-US"/>
          <w:w w:val="100"/>
          <w:spacing w:val="0"/>
          <w:color w:val="000000"/>
          <w:position w:val="0"/>
        </w:rPr>
        <w:t>(H)</w:t>
      </w:r>
      <w:r>
        <w:rPr>
          <w:lang w:val="en-US" w:eastAsia="en-US" w:bidi="en-US"/>
          <w:vertAlign w:val="superscript"/>
          <w:w w:val="100"/>
          <w:spacing w:val="0"/>
          <w:color w:val="000000"/>
          <w:position w:val="0"/>
        </w:rPr>
        <w:t>71</w:t>
      </w:r>
      <w:r>
        <w:rPr>
          <w:lang w:val="en-US" w:eastAsia="en-US" w:bidi="en-US"/>
          <w:w w:val="100"/>
          <w:spacing w:val="0"/>
          <w:color w:val="000000"/>
          <w:position w:val="0"/>
        </w:rPr>
        <w:t>.</w:t>
      </w:r>
    </w:p>
    <w:p>
      <w:pPr>
        <w:pStyle w:val="Style54"/>
        <w:widowControl w:val="0"/>
        <w:keepNext/>
        <w:keepLines/>
        <w:shd w:val="clear" w:color="auto" w:fill="auto"/>
        <w:bidi w:val="0"/>
        <w:jc w:val="left"/>
        <w:spacing w:before="0" w:after="35" w:line="210" w:lineRule="exact"/>
        <w:ind w:left="0" w:right="0" w:firstLine="0"/>
      </w:pPr>
      <w:bookmarkStart w:id="690" w:name="bookmark690"/>
      <w:r>
        <w:rPr>
          <w:lang w:val="ru-RU" w:eastAsia="ru-RU" w:bidi="ru-RU"/>
          <w:w w:val="100"/>
          <w:spacing w:val="0"/>
          <w:color w:val="000000"/>
          <w:position w:val="0"/>
        </w:rPr>
        <w:t>Нарушение метаболизма пирувата</w:t>
      </w:r>
      <w:bookmarkEnd w:id="69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Дефицит пируват дегидрогеназы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тяжелые неврологические нарушения, метаболический ацидоз при выраженном сни</w:t>
        <w:softHyphen/>
        <w:t>жении активности фермента. Цереброспинальная дегене</w:t>
        <w:softHyphen/>
        <w:t>рация при активности фермента 40-50% от нормы. Пораже</w:t>
        <w:softHyphen/>
        <w:t>ние сердца проявляется кардиомиопатией как при атаксии Фридрейха.</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91" w:name="bookmark691"/>
      <w:r>
        <w:rPr>
          <w:lang w:val="ru-RU" w:eastAsia="ru-RU" w:bidi="ru-RU"/>
          <w:w w:val="100"/>
          <w:spacing w:val="0"/>
          <w:color w:val="000000"/>
          <w:position w:val="0"/>
        </w:rPr>
        <w:t>Дефицит пируват карбоксилазы</w:t>
      </w:r>
      <w:bookmarkEnd w:id="69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задержка умственного и физического развития, гипотония, ацидоз. Поражение сердца проявляется гипертрофической кардиомиопатией в раннем возрасте.</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Тип наследования: аутосомно-рецессивный.</w:t>
      </w:r>
    </w:p>
    <w:p>
      <w:pPr>
        <w:pStyle w:val="Style54"/>
        <w:widowControl w:val="0"/>
        <w:keepNext/>
        <w:keepLines/>
        <w:shd w:val="clear" w:color="auto" w:fill="auto"/>
        <w:bidi w:val="0"/>
        <w:jc w:val="left"/>
        <w:spacing w:before="0" w:after="39" w:line="210" w:lineRule="exact"/>
        <w:ind w:left="0" w:right="0" w:firstLine="0"/>
      </w:pPr>
      <w:bookmarkStart w:id="692" w:name="bookmark692"/>
      <w:r>
        <w:rPr>
          <w:lang w:val="ru-RU" w:eastAsia="ru-RU" w:bidi="ru-RU"/>
          <w:w w:val="100"/>
          <w:spacing w:val="0"/>
          <w:color w:val="000000"/>
          <w:position w:val="0"/>
        </w:rPr>
        <w:t>Нарушение окислительного фосфорилирования</w:t>
      </w:r>
      <w:bookmarkEnd w:id="69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Комплекс I (дефицит </w:t>
      </w:r>
      <w:r>
        <w:rPr>
          <w:lang w:val="en-US" w:eastAsia="en-US" w:bidi="en-US"/>
          <w:w w:val="100"/>
          <w:spacing w:val="0"/>
          <w:color w:val="000000"/>
          <w:position w:val="0"/>
        </w:rPr>
        <w:t>NADH</w:t>
      </w:r>
      <w:r>
        <w:rPr>
          <w:lang w:val="ru-RU" w:eastAsia="ru-RU" w:bidi="ru-RU"/>
          <w:w w:val="100"/>
          <w:spacing w:val="0"/>
          <w:color w:val="000000"/>
          <w:position w:val="0"/>
        </w:rPr>
        <w:t xml:space="preserve">-коэнзим </w:t>
      </w:r>
      <w:r>
        <w:rPr>
          <w:lang w:val="en-US" w:eastAsia="en-US" w:bidi="en-US"/>
          <w:w w:val="100"/>
          <w:spacing w:val="0"/>
          <w:color w:val="000000"/>
          <w:position w:val="0"/>
        </w:rPr>
        <w:t xml:space="preserve">Q </w:t>
      </w:r>
      <w:r>
        <w:rPr>
          <w:lang w:val="ru-RU" w:eastAsia="ru-RU" w:bidi="ru-RU"/>
          <w:w w:val="100"/>
          <w:spacing w:val="0"/>
          <w:color w:val="000000"/>
          <w:position w:val="0"/>
        </w:rPr>
        <w:t>редуктазы)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мышечная слабость, ум</w:t>
        <w:softHyphen/>
        <w:t>ственная отсталость, офтальмоплегия, лактатацидоз. Пора</w:t>
        <w:softHyphen/>
        <w:t>жение сердца проявляется: дилатационной кардиомиопа</w:t>
        <w:softHyphen/>
        <w:t>тией у детей с возраста 3-5 лет, гипертрофической кардио</w:t>
        <w:softHyphen/>
        <w:t>миопатией в старшем возрасте. Биопсия скелетной мыш</w:t>
        <w:softHyphen/>
        <w:t xml:space="preserve">цы: </w:t>
      </w:r>
      <w:r>
        <w:rPr>
          <w:lang w:val="en-US" w:eastAsia="en-US" w:bidi="en-US"/>
          <w:w w:val="100"/>
          <w:spacing w:val="0"/>
          <w:color w:val="000000"/>
          <w:position w:val="0"/>
        </w:rPr>
        <w:t xml:space="preserve">ragged-red </w:t>
      </w:r>
      <w:r>
        <w:rPr>
          <w:lang w:val="ru-RU" w:eastAsia="ru-RU" w:bidi="ru-RU"/>
          <w:w w:val="100"/>
          <w:spacing w:val="0"/>
          <w:color w:val="000000"/>
          <w:position w:val="0"/>
        </w:rPr>
        <w:t>волокна, накопление липидов и паракрис</w:t>
        <w:softHyphen/>
        <w:t>таллов в митохондриях.</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Тип наследования: аутосомно-рецессивный.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Комплекс </w:t>
      </w:r>
      <w:r>
        <w:rPr>
          <w:lang w:val="en-US" w:eastAsia="en-US" w:bidi="en-US"/>
          <w:w w:val="100"/>
          <w:spacing w:val="0"/>
          <w:color w:val="000000"/>
          <w:position w:val="0"/>
        </w:rPr>
        <w:t xml:space="preserve">II </w:t>
      </w:r>
      <w:r>
        <w:rPr>
          <w:lang w:val="ru-RU" w:eastAsia="ru-RU" w:bidi="ru-RU"/>
          <w:w w:val="100"/>
          <w:spacing w:val="0"/>
          <w:color w:val="000000"/>
          <w:position w:val="0"/>
        </w:rPr>
        <w:t>(дефицит сукцинат цитохром С оксидоре</w:t>
        <w:softHyphen/>
        <w:t>дуктазы)</w:t>
      </w:r>
    </w:p>
    <w:p>
      <w:pPr>
        <w:pStyle w:val="Style30"/>
        <w:widowControl w:val="0"/>
        <w:keepNext w:val="0"/>
        <w:keepLines w:val="0"/>
        <w:shd w:val="clear" w:color="auto" w:fill="auto"/>
        <w:bidi w:val="0"/>
        <w:spacing w:before="0" w:after="0"/>
        <w:ind w:left="0" w:right="0" w:firstLine="280"/>
      </w:pPr>
      <w:r>
        <w:pict>
          <v:shape id="_x0000_s1669" type="#_x0000_t75" style="position:absolute;margin-left:148.1pt;margin-top:736.8pt;width:209.75pt;height:14.9pt;z-index:-125828930;mso-wrap-distance-left:148.1pt;mso-wrap-distance-right:136.8pt;mso-wrap-distance-bottom:10.8pt;mso-position-horizontal-relative:margin;mso-position-vertical-relative:margin" wrapcoords="0 0 21600 0 21600 21600 0 21600 0 0">
            <v:imagedata r:id="rId1074" r:href="rId1075"/>
            <w10:wrap type="topAndBottom" anchorx="margin" anchory="margin"/>
          </v:shape>
        </w:pict>
      </w:r>
      <w:r>
        <w:rPr>
          <w:lang w:val="ru-RU" w:eastAsia="ru-RU" w:bidi="ru-RU"/>
          <w:w w:val="100"/>
          <w:spacing w:val="0"/>
          <w:color w:val="000000"/>
          <w:position w:val="0"/>
        </w:rPr>
        <w:t>Клиническая симптоматика: мышечная слабость, вто</w:t>
        <w:softHyphen/>
        <w:t>ричный дефицит карнитина, лактатацидоз. Поражение</w:t>
      </w:r>
      <w:r>
        <w:br w:type="page"/>
      </w:r>
    </w:p>
    <w:p>
      <w:pPr>
        <w:pStyle w:val="Style30"/>
        <w:widowControl w:val="0"/>
        <w:keepNext w:val="0"/>
        <w:keepLines w:val="0"/>
        <w:shd w:val="clear" w:color="auto" w:fill="auto"/>
        <w:bidi w:val="0"/>
        <w:spacing w:before="0" w:after="0"/>
        <w:ind w:left="0" w:right="0" w:firstLine="0"/>
      </w:pPr>
      <w:r>
        <w:pict>
          <v:shape id="_x0000_s1670" type="#_x0000_t202" style="position:absolute;margin-left:252.7pt;margin-top:0.25pt;width:241.2pt;height:5.e-002pt;z-index:-125828929;mso-wrap-distance-left:5.pt;mso-wrap-distance-right:5.pt;mso-position-horizontal-relative:margin;mso-position-vertical-relative:margin" filled="f" stroked="f">
            <v:textbox style="mso-fit-shape-to-text:t" inset="0,0,0,0">
              <w:txbxContent>
                <w:p>
                  <w:pPr>
                    <w:pStyle w:val="Style139"/>
                    <w:widowControl w:val="0"/>
                    <w:keepNext w:val="0"/>
                    <w:keepLines w:val="0"/>
                    <w:shd w:val="clear" w:color="auto" w:fill="auto"/>
                    <w:bidi w:val="0"/>
                    <w:spacing w:before="0" w:after="0" w:line="216" w:lineRule="exact"/>
                    <w:ind w:left="0" w:right="0" w:firstLine="0"/>
                  </w:pPr>
                  <w:r>
                    <w:rPr>
                      <w:rStyle w:val="CharStyle143"/>
                      <w:b/>
                      <w:bCs/>
                      <w:i/>
                      <w:iCs/>
                    </w:rPr>
                    <w:t>Таблица 27</w:t>
                  </w:r>
                </w:p>
                <w:p>
                  <w:pPr>
                    <w:pStyle w:val="Style96"/>
                    <w:widowControl w:val="0"/>
                    <w:keepNext w:val="0"/>
                    <w:keepLines w:val="0"/>
                    <w:shd w:val="clear" w:color="auto" w:fill="auto"/>
                    <w:bidi w:val="0"/>
                    <w:jc w:val="center"/>
                    <w:spacing w:before="0" w:after="0" w:line="216" w:lineRule="exact"/>
                    <w:ind w:left="0" w:right="0" w:firstLine="0"/>
                  </w:pPr>
                  <w:r>
                    <w:rPr>
                      <w:rStyle w:val="CharStyle97"/>
                    </w:rPr>
                    <w:t xml:space="preserve">Дифференциально-диагностические признаки синдромов </w:t>
                  </w:r>
                  <w:r>
                    <w:rPr>
                      <w:rStyle w:val="CharStyle97"/>
                      <w:lang w:val="en-US" w:eastAsia="en-US" w:bidi="en-US"/>
                    </w:rPr>
                    <w:t>KSS, MERRF, MELAS</w:t>
                  </w:r>
                </w:p>
                <w:tbl>
                  <w:tblPr>
                    <w:tblOverlap w:val="never"/>
                    <w:tblLayout w:type="fixed"/>
                    <w:jc w:val="center"/>
                  </w:tblPr>
                  <w:tblGrid>
                    <w:gridCol w:w="2467"/>
                    <w:gridCol w:w="782"/>
                    <w:gridCol w:w="782"/>
                    <w:gridCol w:w="792"/>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Проявления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en-US" w:eastAsia="en-US" w:bidi="en-US"/>
                            <w:w w:val="100"/>
                            <w:spacing w:val="0"/>
                            <w:color w:val="000000"/>
                            <w:position w:val="0"/>
                          </w:rPr>
                          <w:t>KSS</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MERRF</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MELAS</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Офтальмоплегия</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Дегенерация сетчатки</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Атриовентрикулярная блокада</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 xml:space="preserve">CSF </w:t>
                        </w:r>
                        <w:r>
                          <w:rPr>
                            <w:lang w:val="ru-RU" w:eastAsia="ru-RU" w:bidi="ru-RU"/>
                            <w:w w:val="100"/>
                            <w:spacing w:val="0"/>
                            <w:color w:val="000000"/>
                            <w:position w:val="0"/>
                          </w:rPr>
                          <w:t>белок &gt; 100 мг</w:t>
                        </w:r>
                        <w:r>
                          <w:rPr>
                            <w:lang w:val="en-US" w:eastAsia="en-US" w:bidi="en-US"/>
                            <w:w w:val="100"/>
                            <w:spacing w:val="0"/>
                            <w:color w:val="000000"/>
                            <w:position w:val="0"/>
                          </w:rPr>
                          <w:t>/dL</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Миоклонус эпилепсия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Атаксия</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Слабость</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Судороги</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Деменция</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Инфантильный соматотип</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Периодическая рвота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Кортикальная слепота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Гемипарез, гемианопсия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Нейросенсорная глухота</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Лактатацидоз</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Позитивный семейный анамнез</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Рваные красные волокна</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r>
                    <w:trPr>
                      <w:trHeight w:val="250" w:hRule="exact"/>
                    </w:trPr>
                    <w:tc>
                      <w:tcPr>
                        <w:shd w:val="clear" w:color="auto" w:fill="FFFFFF"/>
                        <w:tcBorders>
                          <w:left w:val="single" w:sz="4"/>
                          <w:top w:val="single" w:sz="4"/>
                          <w:bottom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Спонгиозная дегенерация мозга</w:t>
                        </w:r>
                      </w:p>
                    </w:tc>
                    <w:tc>
                      <w:tcPr>
                        <w:shd w:val="clear" w:color="auto" w:fill="FFFFFF"/>
                        <w:tcBorders>
                          <w:left w:val="single" w:sz="4"/>
                          <w:top w:val="single" w:sz="4"/>
                          <w:bottom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top w:val="single" w:sz="4"/>
                          <w:bottom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c>
                      <w:tcPr>
                        <w:shd w:val="clear" w:color="auto" w:fill="FFFFFF"/>
                        <w:tcBorders>
                          <w:left w:val="single" w:sz="4"/>
                          <w:right w:val="single" w:sz="4"/>
                          <w:top w:val="single" w:sz="4"/>
                          <w:bottom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w:t>
                        </w:r>
                      </w:p>
                    </w:tc>
                  </w:tr>
                </w:tbl>
                <w:p>
                  <w:pPr>
                    <w:widowControl w:val="0"/>
                    <w:rPr>
                      <w:sz w:val="2"/>
                      <w:szCs w:val="2"/>
                    </w:rPr>
                  </w:pPr>
                </w:p>
              </w:txbxContent>
            </v:textbox>
            <w10:wrap type="square" side="left" anchorx="margin" anchory="margin"/>
          </v:shape>
        </w:pict>
      </w:r>
      <w:r>
        <w:rPr>
          <w:lang w:val="ru-RU" w:eastAsia="ru-RU" w:bidi="ru-RU"/>
          <w:w w:val="100"/>
          <w:spacing w:val="0"/>
          <w:color w:val="000000"/>
          <w:position w:val="0"/>
        </w:rPr>
        <w:t>сердца проявляется кардиомиопатией с гипертрофией и дилатацией левого желудочка. Биопсия скелетной мыш</w:t>
        <w:softHyphen/>
        <w:t xml:space="preserve">цы: </w:t>
      </w:r>
      <w:r>
        <w:rPr>
          <w:lang w:val="en-US" w:eastAsia="en-US" w:bidi="en-US"/>
          <w:w w:val="100"/>
          <w:spacing w:val="0"/>
          <w:color w:val="000000"/>
          <w:position w:val="0"/>
        </w:rPr>
        <w:t xml:space="preserve">ragged-red </w:t>
      </w:r>
      <w:r>
        <w:rPr>
          <w:lang w:val="ru-RU" w:eastAsia="ru-RU" w:bidi="ru-RU"/>
          <w:w w:val="100"/>
          <w:spacing w:val="0"/>
          <w:color w:val="000000"/>
          <w:position w:val="0"/>
        </w:rPr>
        <w:t>волокна.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не установлен.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Комплекс III (дефицит цитохрома 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проявляется гистиоцитоид- ной кардиомиопатией, в 85% страдают девочки, начало за</w:t>
        <w:softHyphen/>
        <w:t>болевания — 3 неделя жизни, тяжелая сердечная недоста</w:t>
        <w:softHyphen/>
        <w:t xml:space="preserve">точность, гепатомегалия, на ЭКГ укорочение интервала </w:t>
      </w:r>
      <w:r>
        <w:rPr>
          <w:lang w:val="en-US" w:eastAsia="en-US" w:bidi="en-US"/>
          <w:w w:val="100"/>
          <w:spacing w:val="0"/>
          <w:color w:val="000000"/>
          <w:position w:val="0"/>
        </w:rPr>
        <w:t xml:space="preserve">PQ, </w:t>
      </w:r>
      <w:r>
        <w:rPr>
          <w:lang w:val="ru-RU" w:eastAsia="ru-RU" w:bidi="ru-RU"/>
          <w:w w:val="100"/>
          <w:spacing w:val="0"/>
          <w:color w:val="000000"/>
          <w:position w:val="0"/>
        </w:rPr>
        <w:t>ЭхоКГ — бивентрикулярная гипертрофия, снижение контрактильности, смерть наступает из-за фатальной желу</w:t>
        <w:softHyphen/>
        <w:t>дочковой тахиаритмии. Биопсия мышцы сердца: «причуд</w:t>
        <w:softHyphen/>
        <w:t>ливая» дилатация митохондрий.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не установлен.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Комплекс III (дефицит цитохрома ВС)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прогрессирующая мышечная слабость, мультифокальные желудочковые экстрасистолы, желудочковая бигеминия при нормальных размерах сердца.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не установлен.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Комплекс IV (дефицит цитохром С оксидазы)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лактатацидоз, мышечная слабость, почечная дисфункция, вторичный дефицит кар- нитина. Поражение сердца проявляется гипертрофической кардиомиопатией, артериальной гипотонией.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митохондриальный.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Комплекс V (дефицит митохондриальной АТФ-азы)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прогрессирующая мышеч</w:t>
        <w:softHyphen/>
        <w:t>ная слабость, энцефаломиопатия. Поражение сердца про</w:t>
        <w:softHyphen/>
        <w:t>является кардиомиопатией по типу карнитиновой.</w:t>
      </w:r>
    </w:p>
    <w:p>
      <w:pPr>
        <w:pStyle w:val="Style30"/>
        <w:widowControl w:val="0"/>
        <w:keepNext w:val="0"/>
        <w:keepLines w:val="0"/>
        <w:shd w:val="clear" w:color="auto" w:fill="auto"/>
        <w:bidi w:val="0"/>
        <w:spacing w:before="0" w:after="305"/>
        <w:ind w:left="0" w:right="0" w:firstLine="280"/>
      </w:pPr>
      <w:r>
        <w:rPr>
          <w:lang w:val="ru-RU" w:eastAsia="ru-RU" w:bidi="ru-RU"/>
          <w:w w:val="100"/>
          <w:spacing w:val="0"/>
          <w:color w:val="000000"/>
          <w:position w:val="0"/>
        </w:rPr>
        <w:t>Тип наследования: не установлен.</w:t>
      </w:r>
    </w:p>
    <w:p>
      <w:pPr>
        <w:pStyle w:val="Style54"/>
        <w:widowControl w:val="0"/>
        <w:keepNext/>
        <w:keepLines/>
        <w:shd w:val="clear" w:color="auto" w:fill="auto"/>
        <w:bidi w:val="0"/>
        <w:jc w:val="both"/>
        <w:spacing w:before="0" w:after="95" w:line="210" w:lineRule="exact"/>
        <w:ind w:left="0" w:right="0" w:firstLine="0"/>
      </w:pPr>
      <w:bookmarkStart w:id="693" w:name="bookmark693"/>
      <w:r>
        <w:rPr>
          <w:lang w:val="ru-RU" w:eastAsia="ru-RU" w:bidi="ru-RU"/>
          <w:w w:val="100"/>
          <w:spacing w:val="0"/>
          <w:color w:val="000000"/>
          <w:position w:val="0"/>
        </w:rPr>
        <w:t>Мутации митохондриального переносчика РНК</w:t>
      </w:r>
      <w:bookmarkEnd w:id="69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Синдром </w:t>
      </w:r>
      <w:r>
        <w:rPr>
          <w:lang w:val="en-US" w:eastAsia="en-US" w:bidi="en-US"/>
          <w:w w:val="100"/>
          <w:spacing w:val="0"/>
          <w:color w:val="000000"/>
          <w:position w:val="0"/>
        </w:rPr>
        <w:t xml:space="preserve">MELAS </w:t>
      </w:r>
      <w:r>
        <w:rPr>
          <w:lang w:val="ru-RU" w:eastAsia="ru-RU" w:bidi="ru-RU"/>
          <w:w w:val="100"/>
          <w:spacing w:val="0"/>
          <w:color w:val="000000"/>
          <w:position w:val="0"/>
        </w:rPr>
        <w:t>(митохондриальная миопатия, энцефа</w:t>
        <w:softHyphen/>
        <w:t>лопатия, лактатацидоз, инсультоподобные эпизоды)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Данный синдром манифестирует в детском возрасте, обычно после какого-то времени нормального развития. Неврологические нарушения часто очаговые в виде судорог, альтернирующего гемипареза, гемианопсии или кортикаль</w:t>
        <w:softHyphen/>
        <w:t>ной слепоты. Судороги могут быть фокальные, генерализо</w:t>
        <w:softHyphen/>
        <w:t>ванные или миоклонические. В качестве сопутствующих симптомов могут наблюдаться умственная отсталость и эпи</w:t>
        <w:softHyphen/>
        <w:t>зодические рвоты. Этиология инсультоподобных эпизодов до сих пор обсуждается. На компьютерной томографии можно видеть фокальные изменения и кальцификацию ба</w:t>
        <w:softHyphen/>
        <w:t>зальных ганглиев. В литературе описано заболевание у сиб- лингов, а наследование идет по материнской линии. Невро</w:t>
        <w:softHyphen/>
        <w:t>логические нарушения также включают в себя спонгиозную дегенерацию и фокальную энцефаломаляцию.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Сердечно-сосудистая система: гипертрофическая кар</w:t>
        <w:softHyphen/>
        <w:t>диомиопатия.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митохондриальный. В качестве этио</w:t>
        <w:softHyphen/>
        <w:t>логического фактора, вызывающего данный синдром, рас</w:t>
        <w:softHyphen/>
        <w:t>сматривают дефект одной из семи субъединиц митохондри</w:t>
        <w:softHyphen/>
        <w:t>ального генома.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табл. 27 приведены основные дифференциально-диа</w:t>
        <w:softHyphen/>
        <w:t xml:space="preserve">гностические признаки синдрома </w:t>
      </w:r>
      <w:r>
        <w:rPr>
          <w:lang w:val="en-US" w:eastAsia="en-US" w:bidi="en-US"/>
          <w:w w:val="100"/>
          <w:spacing w:val="0"/>
          <w:color w:val="000000"/>
          <w:position w:val="0"/>
        </w:rPr>
        <w:t>MELAS.</w:t>
      </w:r>
    </w:p>
    <w:p>
      <w:pPr>
        <w:pStyle w:val="Style30"/>
        <w:widowControl w:val="0"/>
        <w:keepNext w:val="0"/>
        <w:keepLines w:val="0"/>
        <w:shd w:val="clear" w:color="auto" w:fill="auto"/>
        <w:bidi w:val="0"/>
        <w:spacing w:before="0" w:after="180"/>
        <w:ind w:left="0" w:right="0" w:firstLine="280"/>
      </w:pPr>
      <w:r>
        <w:br w:type="column"/>
      </w:r>
      <w:r>
        <w:rPr>
          <w:rStyle w:val="CharStyle103"/>
        </w:rPr>
        <w:t>Примечание:</w:t>
      </w:r>
      <w:r>
        <w:rPr>
          <w:lang w:val="ru-RU" w:eastAsia="ru-RU" w:bidi="ru-RU"/>
          <w:w w:val="100"/>
          <w:spacing w:val="0"/>
          <w:color w:val="000000"/>
          <w:position w:val="0"/>
        </w:rPr>
        <w:t xml:space="preserve"> </w:t>
      </w:r>
      <w:r>
        <w:rPr>
          <w:lang w:val="en-US" w:eastAsia="en-US" w:bidi="en-US"/>
          <w:w w:val="100"/>
          <w:spacing w:val="0"/>
          <w:color w:val="000000"/>
          <w:position w:val="0"/>
        </w:rPr>
        <w:t xml:space="preserve">KSS </w:t>
      </w:r>
      <w:r>
        <w:rPr>
          <w:lang w:val="ru-RU" w:eastAsia="ru-RU" w:bidi="ru-RU"/>
          <w:w w:val="100"/>
          <w:spacing w:val="0"/>
          <w:color w:val="000000"/>
          <w:position w:val="0"/>
        </w:rPr>
        <w:t xml:space="preserve">— Синдром Кернса-Сейра, </w:t>
      </w:r>
      <w:r>
        <w:rPr>
          <w:lang w:val="en-US" w:eastAsia="en-US" w:bidi="en-US"/>
          <w:w w:val="100"/>
          <w:spacing w:val="0"/>
          <w:color w:val="000000"/>
          <w:position w:val="0"/>
        </w:rPr>
        <w:t xml:space="preserve">MERRF </w:t>
      </w:r>
      <w:r>
        <w:rPr>
          <w:lang w:val="ru-RU" w:eastAsia="ru-RU" w:bidi="ru-RU"/>
          <w:w w:val="100"/>
          <w:spacing w:val="0"/>
          <w:color w:val="000000"/>
          <w:position w:val="0"/>
        </w:rPr>
        <w:t xml:space="preserve">— Миоклонус эпилепсия с рваными красными волокнами, </w:t>
      </w:r>
      <w:r>
        <w:rPr>
          <w:lang w:val="en-US" w:eastAsia="en-US" w:bidi="en-US"/>
          <w:w w:val="100"/>
          <w:spacing w:val="0"/>
          <w:color w:val="000000"/>
          <w:position w:val="0"/>
        </w:rPr>
        <w:t xml:space="preserve">MELAS </w:t>
      </w:r>
      <w:r>
        <w:rPr>
          <w:lang w:val="ru-RU" w:eastAsia="ru-RU" w:bidi="ru-RU"/>
          <w:w w:val="100"/>
          <w:spacing w:val="0"/>
          <w:color w:val="000000"/>
          <w:position w:val="0"/>
        </w:rPr>
        <w:t xml:space="preserve">— митохондриальная миопатия, энцефалопатия, лактатацидоз, инсультоподобные эпизоды, </w:t>
      </w:r>
      <w:r>
        <w:rPr>
          <w:lang w:val="en-US" w:eastAsia="en-US" w:bidi="en-US"/>
          <w:w w:val="100"/>
          <w:spacing w:val="0"/>
          <w:color w:val="000000"/>
          <w:position w:val="0"/>
        </w:rPr>
        <w:t xml:space="preserve">CSF </w:t>
      </w:r>
      <w:r>
        <w:rPr>
          <w:lang w:val="ru-RU" w:eastAsia="ru-RU" w:bidi="ru-RU"/>
          <w:w w:val="100"/>
          <w:spacing w:val="0"/>
          <w:color w:val="000000"/>
          <w:position w:val="0"/>
        </w:rPr>
        <w:t>— церебро</w:t>
        <w:softHyphen/>
        <w:t>спинальная пункция.</w:t>
      </w:r>
    </w:p>
    <w:p>
      <w:pPr>
        <w:pStyle w:val="Style92"/>
        <w:widowControl w:val="0"/>
        <w:keepNext/>
        <w:keepLines/>
        <w:shd w:val="clear" w:color="auto" w:fill="auto"/>
        <w:bidi w:val="0"/>
        <w:spacing w:before="0" w:after="0"/>
        <w:ind w:left="0" w:right="0" w:firstLine="280"/>
      </w:pPr>
      <w:bookmarkStart w:id="694" w:name="bookmark694"/>
      <w:r>
        <w:rPr>
          <w:lang w:val="ru-RU" w:eastAsia="ru-RU" w:bidi="ru-RU"/>
          <w:w w:val="100"/>
          <w:spacing w:val="0"/>
          <w:color w:val="000000"/>
          <w:position w:val="0"/>
        </w:rPr>
        <w:t xml:space="preserve">Синдром </w:t>
      </w:r>
      <w:r>
        <w:rPr>
          <w:lang w:val="en-US" w:eastAsia="en-US" w:bidi="en-US"/>
          <w:w w:val="100"/>
          <w:spacing w:val="0"/>
          <w:color w:val="000000"/>
          <w:position w:val="0"/>
        </w:rPr>
        <w:t xml:space="preserve">MERRF </w:t>
      </w:r>
      <w:r>
        <w:rPr>
          <w:lang w:val="ru-RU" w:eastAsia="ru-RU" w:bidi="ru-RU"/>
          <w:w w:val="100"/>
          <w:spacing w:val="0"/>
          <w:color w:val="000000"/>
          <w:position w:val="0"/>
        </w:rPr>
        <w:t>(миоклонус эпилепсия с рваными крас</w:t>
        <w:softHyphen/>
        <w:t>ными волокнами)</w:t>
      </w:r>
      <w:bookmarkEnd w:id="69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Данное заболевание характеризуется ранним нормаль</w:t>
        <w:softHyphen/>
        <w:t>ным развитием, наличием миоклонуса, а также церебел- лярным синдромом. Сопутствующими симптомами явля</w:t>
        <w:softHyphen/>
        <w:t>ются: атрофия зрительных нервов, умственная отсталость, интенционный тремор, расстройства глубокой чувстви</w:t>
        <w:softHyphen/>
        <w:t>тельности, нейросенсорная тугоухость, низкие показатели физического развития и генерализованные судороги. Для пациентов с данным синдромом характерно наличие сочетания диссинергированных мозжечковых миоклоний (синдром Рамсей-Ханта), атаксии Фридрейха и митохонд</w:t>
        <w:softHyphen/>
        <w:t>риальной миопатии. ЭЭГ выявляет пароксизмальную эпилептическую активность. При исследовании головно</w:t>
        <w:softHyphen/>
        <w:t>го мозга определяются спонгиозная дегенерация коры больших полушарий и мозжечка и дегенерация спинного мозга, особенно в области задних рогов, где проходят спи- ноцеребеллярные пути. Члены семьи поражаются в 50% случаев. Имеет место наследование по материнской ли</w:t>
        <w:softHyphen/>
        <w:t>нии. Лечение обычно сводится к медикаментозному купи</w:t>
        <w:softHyphen/>
        <w:t>рованию судорожных состояний постоянным приемом антиконвульсантов. У больных обнаруживается точковая мутация второй субъединицы цитохром-С оксидазы (вы</w:t>
        <w:softHyphen/>
        <w:t>явлена в одной семье). Данная субъединица кодирует ми</w:t>
        <w:softHyphen/>
        <w:t xml:space="preserve">тохондриальный геном, и подобные генные нарушения могут объяснять материнское наследование синдрома </w:t>
      </w:r>
      <w:r>
        <w:rPr>
          <w:lang w:val="en-US" w:eastAsia="en-US" w:bidi="en-US"/>
          <w:w w:val="100"/>
          <w:spacing w:val="0"/>
          <w:color w:val="000000"/>
          <w:position w:val="0"/>
        </w:rPr>
        <w:t>MERFF.</w:t>
      </w:r>
    </w:p>
    <w:p>
      <w:pPr>
        <w:pStyle w:val="Style30"/>
        <w:widowControl w:val="0"/>
        <w:keepNext w:val="0"/>
        <w:keepLines w:val="0"/>
        <w:shd w:val="clear" w:color="auto" w:fill="auto"/>
        <w:bidi w:val="0"/>
        <w:spacing w:before="0" w:after="0"/>
        <w:ind w:left="0" w:right="0" w:firstLine="280"/>
      </w:pPr>
      <w:r>
        <w:pict>
          <v:shape id="_x0000_s1671" type="#_x0000_t75" style="position:absolute;margin-left:136.8pt;margin-top:736.8pt;width:209.75pt;height:14.9pt;z-index:-125828928;mso-wrap-distance-left:136.8pt;mso-wrap-distance-right:148.1pt;mso-wrap-distance-bottom:10.8pt;mso-position-horizontal-relative:margin;mso-position-vertical-relative:margin" wrapcoords="0 0 21600 0 21600 21600 0 21600 0 0">
            <v:imagedata r:id="rId1076" r:href="rId1077"/>
            <w10:wrap type="topAndBottom" anchorx="margin" anchory="margin"/>
          </v:shape>
        </w:pict>
      </w:r>
      <w:r>
        <w:rPr>
          <w:lang w:val="ru-RU" w:eastAsia="ru-RU" w:bidi="ru-RU"/>
          <w:w w:val="100"/>
          <w:spacing w:val="0"/>
          <w:color w:val="000000"/>
          <w:position w:val="0"/>
        </w:rPr>
        <w:t>Сердечно-сосудистая система: синдрому часто сопут</w:t>
        <w:softHyphen/>
        <w:t>ствует дилатационная КМП, описаны гипертрофические формы КМП.</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Барта (дилатационной кардиомиопатии с ней- тропенией и гипостатурой синдром)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 Заболевание возникает в раннем детском воз</w:t>
        <w:softHyphen/>
        <w:t>расте (7-9 мес). Характерен низкий вес при рождении и в дальнейшем инфантильный соматотип (весо-ростовые показатели соответствуют 3-5 перцентили, несоответствие костного возраста паспортному на 0,5-1 год). Заболевание манифестирует тахипноэ и мышечной гипотонией. Кар- диомегалия носит бивентрикулярный характер с явления</w:t>
        <w:softHyphen/>
        <w:t xml:space="preserve">ми застоя в легких. На ЭКГ регистрируются гипертрофия левого желудочка и левого предсердия, смещение сегмента </w:t>
      </w:r>
      <w:r>
        <w:rPr>
          <w:lang w:val="en-US" w:eastAsia="en-US" w:bidi="en-US"/>
          <w:w w:val="100"/>
          <w:spacing w:val="0"/>
          <w:color w:val="000000"/>
          <w:position w:val="0"/>
        </w:rPr>
        <w:t xml:space="preserve">ST </w:t>
      </w:r>
      <w:r>
        <w:rPr>
          <w:lang w:val="ru-RU" w:eastAsia="ru-RU" w:bidi="ru-RU"/>
          <w:w w:val="100"/>
          <w:spacing w:val="0"/>
          <w:color w:val="000000"/>
          <w:position w:val="0"/>
        </w:rPr>
        <w:t>и инверсия зубца Т в левых грудных отведениях. На эхо</w:t>
        <w:softHyphen/>
        <w:t>кардиограмме выявляются признаки дилатационной кар</w:t>
        <w:softHyphen/>
        <w:t>диомиопатии, низкие показатели фракции выброса. Для данной патологии характерны также асимметричная, преимущественно задней стенки гипертрофия левого желу</w:t>
        <w:softHyphen/>
        <w:t>дочка, фиброэластоз эндокарда.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лабораторном исследовании выявляется низкая концентрация карнитина в крови, дикарбоксиловая ациду</w:t>
        <w:softHyphen/>
        <w:t>рия. В анализах периферической крови регистрируется умеренно выраженная нейтропения. В биоптатах печени и скелетных мышц отмечается избыточное отложение ли</w:t>
        <w:softHyphen/>
        <w:t>пидов. Митохондрии скелетных мышц, печени и сердца при этой патологии имеют округлую форму в виде лукович</w:t>
        <w:softHyphen/>
        <w:t xml:space="preserve">ных ячеек </w:t>
      </w:r>
      <w:r>
        <w:rPr>
          <w:lang w:val="en-US" w:eastAsia="en-US" w:bidi="en-US"/>
          <w:w w:val="100"/>
          <w:spacing w:val="0"/>
          <w:color w:val="000000"/>
          <w:position w:val="0"/>
        </w:rPr>
        <w:t xml:space="preserve">(onion-skin) </w:t>
      </w:r>
      <w:r>
        <w:rPr>
          <w:lang w:val="ru-RU" w:eastAsia="ru-RU" w:bidi="ru-RU"/>
          <w:w w:val="100"/>
          <w:spacing w:val="0"/>
          <w:color w:val="000000"/>
          <w:position w:val="0"/>
        </w:rPr>
        <w:t>с включением кристаллов.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Лечение. </w:t>
      </w:r>
      <w:r>
        <w:rPr>
          <w:lang w:val="en-US" w:eastAsia="en-US" w:bidi="en-US"/>
          <w:w w:val="100"/>
          <w:spacing w:val="0"/>
          <w:color w:val="000000"/>
          <w:position w:val="0"/>
        </w:rPr>
        <w:t>L</w:t>
      </w:r>
      <w:r>
        <w:rPr>
          <w:lang w:val="ru-RU" w:eastAsia="ru-RU" w:bidi="ru-RU"/>
          <w:w w:val="100"/>
          <w:spacing w:val="0"/>
          <w:color w:val="000000"/>
          <w:position w:val="0"/>
        </w:rPr>
        <w:t xml:space="preserve">-карнитин, цитомак, коэнзим </w:t>
      </w:r>
      <w:r>
        <w:rPr>
          <w:lang w:val="en-US" w:eastAsia="en-US" w:bidi="en-US"/>
          <w:w w:val="100"/>
          <w:spacing w:val="0"/>
          <w:color w:val="000000"/>
          <w:position w:val="0"/>
        </w:rPr>
        <w:t xml:space="preserve">Q10, </w:t>
      </w:r>
      <w:r>
        <w:rPr>
          <w:lang w:val="ru-RU" w:eastAsia="ru-RU" w:bidi="ru-RU"/>
          <w:w w:val="100"/>
          <w:spacing w:val="0"/>
          <w:color w:val="000000"/>
          <w:position w:val="0"/>
        </w:rPr>
        <w:t>ноотро</w:t>
        <w:softHyphen/>
        <w:t>пил, пармидин, коринфар.</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Х-сцепленный.</w:t>
      </w:r>
    </w:p>
    <w:p>
      <w:pPr>
        <w:pStyle w:val="Style92"/>
        <w:widowControl w:val="0"/>
        <w:keepNext/>
        <w:keepLines/>
        <w:shd w:val="clear" w:color="auto" w:fill="auto"/>
        <w:bidi w:val="0"/>
        <w:spacing w:before="0" w:after="0"/>
        <w:ind w:left="0" w:right="0" w:firstLine="280"/>
      </w:pPr>
      <w:bookmarkStart w:id="695" w:name="bookmark695"/>
      <w:r>
        <w:rPr>
          <w:lang w:val="ru-RU" w:eastAsia="ru-RU" w:bidi="ru-RU"/>
          <w:w w:val="100"/>
          <w:spacing w:val="0"/>
          <w:color w:val="000000"/>
          <w:position w:val="0"/>
        </w:rPr>
        <w:t>Х-сцепленная кардиомиопатия</w:t>
      </w:r>
      <w:bookmarkEnd w:id="69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 раннее прогрессирование сердечной недоста</w:t>
        <w:softHyphen/>
        <w:t>точности с летальным исходом на первом году жизни. На аутопсии гипертрофия и дилатация камер сердца, эндо</w:t>
        <w:softHyphen/>
        <w:t>кардиальный фиброэластоз. Биопсия мышцы сердца: цир</w:t>
        <w:softHyphen/>
        <w:t>кулярной формы кристы, накопление в митохондриях плотных телец и гликогена.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Х-сцепленный рецессивный.</w:t>
      </w:r>
    </w:p>
    <w:p>
      <w:pPr>
        <w:pStyle w:val="Style92"/>
        <w:widowControl w:val="0"/>
        <w:keepNext/>
        <w:keepLines/>
        <w:shd w:val="clear" w:color="auto" w:fill="auto"/>
        <w:bidi w:val="0"/>
        <w:spacing w:before="0" w:after="0"/>
        <w:ind w:left="0" w:right="0" w:firstLine="280"/>
      </w:pPr>
      <w:bookmarkStart w:id="696" w:name="bookmark696"/>
      <w:r>
        <w:rPr>
          <w:lang w:val="ru-RU" w:eastAsia="ru-RU" w:bidi="ru-RU"/>
          <w:w w:val="100"/>
          <w:spacing w:val="0"/>
          <w:color w:val="000000"/>
          <w:position w:val="0"/>
        </w:rPr>
        <w:t>Митохондриальная миопатия и врожденная катаракта</w:t>
      </w:r>
      <w:bookmarkEnd w:id="69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метаболический ацидоз, миопатический профиль ЭЭГ, врожденная катаракта. По</w:t>
        <w:softHyphen/>
        <w:t>ражение сердца появляется в раннем возрасте, характеризу</w:t>
        <w:softHyphen/>
        <w:t>ется гипертрофической кардиомиопатией. Биопсия мыш</w:t>
        <w:softHyphen/>
        <w:t>цы: увеличение числа митохондрий, аномалии строения крист, наличие включений, избыточное содержание глико</w:t>
        <w:softHyphen/>
        <w:t>гена.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Синдром Керн-Сейра </w:t>
      </w:r>
      <w:r>
        <w:rPr>
          <w:lang w:val="en-US" w:eastAsia="en-US" w:bidi="en-US"/>
          <w:w w:val="100"/>
          <w:spacing w:val="0"/>
          <w:color w:val="000000"/>
          <w:position w:val="0"/>
        </w:rPr>
        <w:t>(Keam-Sayres syndromes)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появляется в возрасте до 20 лет. Обычно вначале развивается офтальмоплегия; рети</w:t>
        <w:softHyphen/>
        <w:t>нопатия и атриовентрикулярная блокада выявляются, как правило, не ранее 1 года жизни. Развернутый синдромо</w:t>
        <w:softHyphen/>
        <w:t>комплекс обозначают «офтальмоплегия плюс». Он характе</w:t>
        <w:softHyphen/>
        <w:t>ризуется птозом, низким ростом, умеренной или легкой нервной дегенерацией, дисфагией, дизартрией, слабостью проксимальной или дистальной мускулатуры. Дополни</w:t>
        <w:softHyphen/>
        <w:t>тельными аномалиями, встречающимися при синдроме Керн-Сейра, являются: арахнодактилия, деформации груд</w:t>
        <w:softHyphen/>
        <w:t>ной клетки, готическое небо, высокая миопия. Поражение сердца характеризуется блокадой атриовентрикулярного проведения вплоть до развития поперечного блока с воз</w:t>
        <w:softHyphen/>
        <w:br w:type="column"/>
        <w:t xml:space="preserve">никновением приступов Морганьи-Адамса-Стокса. Блок находится на уровне </w:t>
      </w:r>
      <w:r>
        <w:rPr>
          <w:lang w:val="en-US" w:eastAsia="en-US" w:bidi="en-US"/>
          <w:w w:val="100"/>
          <w:spacing w:val="0"/>
          <w:color w:val="000000"/>
          <w:position w:val="0"/>
        </w:rPr>
        <w:t xml:space="preserve">H-V, </w:t>
      </w:r>
      <w:r>
        <w:rPr>
          <w:lang w:val="ru-RU" w:eastAsia="ru-RU" w:bidi="ru-RU"/>
          <w:w w:val="100"/>
          <w:spacing w:val="0"/>
          <w:color w:val="000000"/>
          <w:position w:val="0"/>
        </w:rPr>
        <w:t>при этом А-Н проведение не на</w:t>
        <w:softHyphen/>
        <w:t>рушено. Электромиография указывает на миопатический профиль. Компьютерная томография мозга выявляет мед</w:t>
        <w:softHyphen/>
        <w:t>ленно прогрессирующую атрофию мозга, низкую плот</w:t>
        <w:softHyphen/>
        <w:t>ность белого вещества мозга и кальцификацию базальных ганглиев. При гистохимическом исследовании биоптата скелетной мышцы определяется атрофия мышечных воло</w:t>
        <w:softHyphen/>
        <w:t xml:space="preserve">кон II типа, </w:t>
      </w:r>
      <w:r>
        <w:rPr>
          <w:lang w:val="en-US" w:eastAsia="en-US" w:bidi="en-US"/>
          <w:w w:val="100"/>
          <w:spacing w:val="0"/>
          <w:color w:val="000000"/>
          <w:position w:val="0"/>
        </w:rPr>
        <w:t xml:space="preserve">«ragged-red fibers», </w:t>
      </w:r>
      <w:r>
        <w:rPr>
          <w:lang w:val="ru-RU" w:eastAsia="ru-RU" w:bidi="ru-RU"/>
          <w:w w:val="100"/>
          <w:spacing w:val="0"/>
          <w:color w:val="000000"/>
          <w:position w:val="0"/>
        </w:rPr>
        <w:t>в некоторых случаях отмеча</w:t>
        <w:softHyphen/>
        <w:t>ется избыточное отложение липидов, связанное с низкой активностью палмитоил</w:t>
      </w:r>
      <w:r>
        <w:rPr>
          <w:lang w:val="en-US" w:eastAsia="en-US" w:bidi="en-US"/>
          <w:w w:val="100"/>
          <w:spacing w:val="0"/>
          <w:color w:val="000000"/>
          <w:position w:val="0"/>
        </w:rPr>
        <w:t xml:space="preserve">-CoA </w:t>
      </w:r>
      <w:r>
        <w:rPr>
          <w:lang w:val="ru-RU" w:eastAsia="ru-RU" w:bidi="ru-RU"/>
          <w:w w:val="100"/>
          <w:spacing w:val="0"/>
          <w:color w:val="000000"/>
          <w:position w:val="0"/>
        </w:rPr>
        <w:t>синтетазы. При электронной микроскопии биоптата скелетной мышцы обнаруживаются избыточное отложение гликогена, аномалии митохондрий в виде увеличения их числа и размера. Смерть наступает из-за прогрессирующей нервной дегенерации, описаны случаи внезапной смерти предположительно кардиального генеза. В редких наблюдениях сообщается смерть от гипер- гликемического ацидоза с последующим развитием комы.</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ранее считалось, что синдром Керн- Сейра возникает спорадически. Затем были сообщены се</w:t>
        <w:softHyphen/>
        <w:t>мейные случаи заболевания и подтверждена возможность как аутосомно-рецессивного, так и аутосомно-доминант- ного наследования. Семейные формы синдрома могут иметь митохондриальное наследование. Большинство ми</w:t>
        <w:softHyphen/>
        <w:t>тохондриальных ферментов кодируются нуклеарными ге</w:t>
        <w:softHyphen/>
        <w:t>нами, однако ряд энзимов — исключительно митохондри</w:t>
        <w:softHyphen/>
        <w:t>альной ДНК. Поскольку число материнских митохондрий существенно варьирует с возрастом, этим фактором объяс</w:t>
        <w:softHyphen/>
        <w:t>няют различную клиническую проявляемость синдрома.</w:t>
      </w:r>
    </w:p>
    <w:p>
      <w:pPr>
        <w:pStyle w:val="Style92"/>
        <w:widowControl w:val="0"/>
        <w:keepNext/>
        <w:keepLines/>
        <w:shd w:val="clear" w:color="auto" w:fill="auto"/>
        <w:bidi w:val="0"/>
        <w:spacing w:before="0" w:after="0"/>
        <w:ind w:left="0" w:right="0" w:firstLine="280"/>
      </w:pPr>
      <w:bookmarkStart w:id="697" w:name="bookmark697"/>
      <w:r>
        <w:rPr>
          <w:lang w:val="ru-RU" w:eastAsia="ru-RU" w:bidi="ru-RU"/>
          <w:w w:val="100"/>
          <w:spacing w:val="0"/>
          <w:color w:val="000000"/>
          <w:position w:val="0"/>
        </w:rPr>
        <w:t>Митохондриальная миопатия и инфаркт мозга</w:t>
      </w:r>
      <w:bookmarkEnd w:id="69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миотония, множественные церебральные инфаркты. Поражение сердца проявляется кардиомиопатией в сочетании с синдромом Вольфа-Пар- кинсона-Уайта, желудочковыми аритмиями. Биопсия мышц: аккумуляция митохондрий различной формы с большими включениями.</w:t>
      </w:r>
    </w:p>
    <w:p>
      <w:pPr>
        <w:pStyle w:val="Style30"/>
        <w:widowControl w:val="0"/>
        <w:keepNext w:val="0"/>
        <w:keepLines w:val="0"/>
        <w:shd w:val="clear" w:color="auto" w:fill="auto"/>
        <w:bidi w:val="0"/>
        <w:spacing w:before="0" w:after="305"/>
        <w:ind w:left="0" w:right="0" w:firstLine="280"/>
      </w:pPr>
      <w:r>
        <w:rPr>
          <w:lang w:val="ru-RU" w:eastAsia="ru-RU" w:bidi="ru-RU"/>
          <w:w w:val="100"/>
          <w:spacing w:val="0"/>
          <w:color w:val="000000"/>
          <w:position w:val="0"/>
        </w:rPr>
        <w:t>Тип наследования: митохондриальный.</w:t>
      </w:r>
    </w:p>
    <w:p>
      <w:pPr>
        <w:pStyle w:val="Style54"/>
        <w:widowControl w:val="0"/>
        <w:keepNext/>
        <w:keepLines/>
        <w:shd w:val="clear" w:color="auto" w:fill="auto"/>
        <w:bidi w:val="0"/>
        <w:jc w:val="both"/>
        <w:spacing w:before="0" w:after="99" w:line="210" w:lineRule="exact"/>
        <w:ind w:left="0" w:right="0" w:firstLine="0"/>
      </w:pPr>
      <w:bookmarkStart w:id="698" w:name="bookmark698"/>
      <w:r>
        <w:rPr>
          <w:lang w:val="ru-RU" w:eastAsia="ru-RU" w:bidi="ru-RU"/>
          <w:w w:val="100"/>
          <w:spacing w:val="0"/>
          <w:color w:val="000000"/>
          <w:position w:val="0"/>
        </w:rPr>
        <w:t>Нарушение метаболизма жирных кислот</w:t>
      </w:r>
      <w:bookmarkEnd w:id="69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Дефицит короткой цепи ацил-СоА дегидрогеназы (бути- рил-СоА)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миопатия, вторичная фор</w:t>
        <w:softHyphen/>
        <w:t>ма дефицита карнитина. Поражение сердца проявляется дилатационной кардиомиопатией.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699" w:name="bookmark699"/>
      <w:r>
        <w:rPr>
          <w:lang w:val="ru-RU" w:eastAsia="ru-RU" w:bidi="ru-RU"/>
          <w:w w:val="100"/>
          <w:spacing w:val="0"/>
          <w:color w:val="000000"/>
          <w:position w:val="0"/>
        </w:rPr>
        <w:t>Дефицит средней цепи ацил-СоА дегидрогеназы</w:t>
      </w:r>
      <w:bookmarkEnd w:id="69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гипогликемия, гепатомега- лия, энцефалопатия по типу синдрома Рея, вторичный де</w:t>
        <w:softHyphen/>
        <w:t>фицит карнитина. Поражение сердца проявляется карни- тиновой кардиомиопатией.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700" w:name="bookmark700"/>
      <w:r>
        <w:rPr>
          <w:lang w:val="ru-RU" w:eastAsia="ru-RU" w:bidi="ru-RU"/>
          <w:w w:val="100"/>
          <w:spacing w:val="0"/>
          <w:color w:val="000000"/>
          <w:position w:val="0"/>
        </w:rPr>
        <w:t>Дефицит длинной цепи ацил-СоА дегидрогеназы</w:t>
      </w:r>
      <w:bookmarkEnd w:id="70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генерализованная мышеч</w:t>
        <w:softHyphen/>
        <w:t>ная слабость. Поражение сердца проявляется гипертрофи</w:t>
        <w:softHyphen/>
        <w:t>ческой кардиомиопатией в раннем возрасте. На ЭхоКГ симметричная гипертрофия левого желудочка, снижение контрактильности миокарда.</w:t>
      </w:r>
    </w:p>
    <w:p>
      <w:pPr>
        <w:pStyle w:val="Style30"/>
        <w:widowControl w:val="0"/>
        <w:keepNext w:val="0"/>
        <w:keepLines w:val="0"/>
        <w:shd w:val="clear" w:color="auto" w:fill="auto"/>
        <w:bidi w:val="0"/>
        <w:spacing w:before="0" w:after="0"/>
        <w:ind w:left="0" w:right="0" w:firstLine="280"/>
        <w:sectPr>
          <w:type w:val="continuous"/>
          <w:pgSz w:w="11900" w:h="16840"/>
          <w:pgMar w:top="1569" w:left="1006" w:right="1006" w:bottom="1761" w:header="0" w:footer="3" w:gutter="0"/>
          <w:rtlGutter w:val="0"/>
          <w:cols w:num="2" w:space="173"/>
          <w:noEndnote/>
          <w:docGrid w:linePitch="360"/>
        </w:sectPr>
      </w:pPr>
      <w:r>
        <w:pict>
          <v:shape id="_x0000_s1672" type="#_x0000_t75" style="position:absolute;margin-left:148.1pt;margin-top:736.8pt;width:209.75pt;height:14.9pt;z-index:-125828927;mso-wrap-distance-left:148.1pt;mso-wrap-distance-right:136.8pt;mso-wrap-distance-bottom:10.8pt;mso-position-horizontal-relative:margin;mso-position-vertical-relative:margin" wrapcoords="0 0 21600 0 21600 21600 0 21600 0 0">
            <v:imagedata r:id="rId1078" r:href="rId1079"/>
            <w10:wrap type="topAndBottom" anchorx="margin" anchory="margin"/>
          </v:shape>
        </w:pict>
      </w: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701" w:name="bookmark701"/>
      <w:r>
        <w:rPr>
          <w:lang w:val="ru-RU" w:eastAsia="ru-RU" w:bidi="ru-RU"/>
          <w:w w:val="100"/>
          <w:spacing w:val="0"/>
          <w:color w:val="000000"/>
          <w:position w:val="0"/>
        </w:rPr>
        <w:t>Множественный дефицит ацил-СоА дегидрогеназы (глю- таровая ацидурия тип II, этилмалоновая ацидурия)</w:t>
      </w:r>
      <w:bookmarkEnd w:id="70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метаболический ацидоз, гипогликемия, гипотония, гепатомегалия. Поражение сердца проявляется гипертрофической кардиомиопатией, возникающей в раннем возрасте. На ЭхоКГ симметричная гипертрофия левого желудочка, снижение контрактильно- сти миокарда.</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Х-сцепленный.</w:t>
      </w:r>
    </w:p>
    <w:p>
      <w:pPr>
        <w:pStyle w:val="Style92"/>
        <w:widowControl w:val="0"/>
        <w:keepNext/>
        <w:keepLines/>
        <w:shd w:val="clear" w:color="auto" w:fill="auto"/>
        <w:bidi w:val="0"/>
        <w:spacing w:before="0" w:after="0"/>
        <w:ind w:left="0" w:right="0" w:firstLine="280"/>
      </w:pPr>
      <w:bookmarkStart w:id="702" w:name="bookmark702"/>
      <w:r>
        <w:rPr>
          <w:lang w:val="ru-RU" w:eastAsia="ru-RU" w:bidi="ru-RU"/>
          <w:w w:val="100"/>
          <w:spacing w:val="0"/>
          <w:color w:val="000000"/>
          <w:position w:val="0"/>
        </w:rPr>
        <w:t>Дефицит карнитин палмитилтрансферазы I и II типов</w:t>
      </w:r>
      <w:bookmarkEnd w:id="70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мышечная слабость, гипо</w:t>
        <w:softHyphen/>
        <w:t>гликемия, миоглобинурия. Поражение сердца проявляется дилатационной кардиомиопатией по типу карнитиновой, отмечена только у мальчиков.</w:t>
      </w:r>
    </w:p>
    <w:p>
      <w:pPr>
        <w:pStyle w:val="Style30"/>
        <w:widowControl w:val="0"/>
        <w:keepNext w:val="0"/>
        <w:keepLines w:val="0"/>
        <w:shd w:val="clear" w:color="auto" w:fill="auto"/>
        <w:bidi w:val="0"/>
        <w:spacing w:before="0" w:after="161" w:line="180" w:lineRule="exact"/>
        <w:ind w:left="0" w:right="0" w:firstLine="280"/>
      </w:pPr>
      <w:r>
        <w:br w:type="column"/>
      </w: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703" w:name="bookmark703"/>
      <w:r>
        <w:rPr>
          <w:lang w:val="ru-RU" w:eastAsia="ru-RU" w:bidi="ru-RU"/>
          <w:w w:val="100"/>
          <w:spacing w:val="0"/>
          <w:color w:val="000000"/>
          <w:position w:val="0"/>
        </w:rPr>
        <w:t>Дефицит карнитин октаноилтрансферазы</w:t>
      </w:r>
      <w:bookmarkEnd w:id="70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энцефалопатия по типу синдрома Рея, гипотония. Поражение сердца проявляется карнитиновой кардиомиопатией.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Тип наследования: аутосомно-рецессивный.</w:t>
      </w:r>
    </w:p>
    <w:p>
      <w:pPr>
        <w:pStyle w:val="Style92"/>
        <w:widowControl w:val="0"/>
        <w:keepNext/>
        <w:keepLines/>
        <w:shd w:val="clear" w:color="auto" w:fill="auto"/>
        <w:bidi w:val="0"/>
        <w:spacing w:before="0" w:after="0"/>
        <w:ind w:left="0" w:right="0" w:firstLine="280"/>
      </w:pPr>
      <w:bookmarkStart w:id="704" w:name="bookmark704"/>
      <w:r>
        <w:rPr>
          <w:lang w:val="ru-RU" w:eastAsia="ru-RU" w:bidi="ru-RU"/>
          <w:w w:val="100"/>
          <w:spacing w:val="0"/>
          <w:color w:val="000000"/>
          <w:position w:val="0"/>
        </w:rPr>
        <w:t>Дефицит карнитин ацетилтрансферазы</w:t>
      </w:r>
      <w:bookmarkEnd w:id="70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нейромышечная дегенера</w:t>
        <w:softHyphen/>
        <w:t>ция, миопатия. Поражение сердца проявляется рестрик</w:t>
        <w:softHyphen/>
        <w:t>тивной кардиомиопатией, начало заболевания может быть в подростковом возрасте по типу гипертрофической кар</w:t>
        <w:softHyphen/>
        <w:t>диомиопатии.</w:t>
      </w:r>
    </w:p>
    <w:p>
      <w:pPr>
        <w:pStyle w:val="Style30"/>
        <w:widowControl w:val="0"/>
        <w:keepNext w:val="0"/>
        <w:keepLines w:val="0"/>
        <w:shd w:val="clear" w:color="auto" w:fill="auto"/>
        <w:bidi w:val="0"/>
        <w:spacing w:before="0" w:after="0"/>
        <w:ind w:left="0" w:right="0" w:firstLine="280"/>
        <w:sectPr>
          <w:headerReference w:type="even" r:id="rId1080"/>
          <w:headerReference w:type="default" r:id="rId1081"/>
          <w:pgSz w:w="11900" w:h="16840"/>
          <w:pgMar w:top="1569" w:left="1006" w:right="1006" w:bottom="1761" w:header="0" w:footer="3" w:gutter="0"/>
          <w:rtlGutter w:val="0"/>
          <w:cols w:num="2" w:space="173"/>
          <w:noEndnote/>
          <w:docGrid w:linePitch="360"/>
        </w:sectPr>
      </w:pPr>
      <w:r>
        <w:rPr>
          <w:lang w:val="ru-RU" w:eastAsia="ru-RU" w:bidi="ru-RU"/>
          <w:w w:val="100"/>
          <w:spacing w:val="0"/>
          <w:color w:val="000000"/>
          <w:position w:val="0"/>
        </w:rPr>
        <w:t>Тип наследования: аутосомно-доминантный.</w:t>
      </w:r>
    </w:p>
    <w:p>
      <w:pPr>
        <w:widowControl w:val="0"/>
        <w:rPr>
          <w:sz w:val="2"/>
          <w:szCs w:val="2"/>
        </w:rPr>
      </w:pPr>
      <w:r>
        <w:pict>
          <v:shape id="_x0000_s1675" type="#_x0000_t202" style="position:static;width:595.pt;height:573.6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676" type="#_x0000_t75" style="position:absolute;margin-left:131.15pt;margin-top:0;width:209.75pt;height:14.9pt;z-index:-251658656;mso-wrap-distance-left:5.pt;mso-wrap-distance-right:5.pt;mso-position-horizontal-relative:margin" wrapcoords="0 0">
            <v:imagedata r:id="rId1082" r:href="rId1083"/>
            <w10:wrap anchorx="margin"/>
          </v:shape>
        </w:pict>
      </w:r>
    </w:p>
    <w:p>
      <w:pPr>
        <w:widowControl w:val="0"/>
        <w:rPr>
          <w:sz w:val="2"/>
          <w:szCs w:val="2"/>
        </w:rPr>
        <w:sectPr>
          <w:type w:val="continuous"/>
          <w:pgSz w:w="11900" w:h="16840"/>
          <w:pgMar w:top="1468" w:left="1119" w:right="893" w:bottom="192" w:header="0" w:footer="3" w:gutter="0"/>
          <w:rtlGutter w:val="0"/>
          <w:cols w:space="720"/>
          <w:noEndnote/>
          <w:docGrid w:linePitch="360"/>
        </w:sectPr>
      </w:pPr>
    </w:p>
    <w:p>
      <w:pPr>
        <w:pStyle w:val="Style5"/>
        <w:widowControl w:val="0"/>
        <w:keepNext w:val="0"/>
        <w:keepLines w:val="0"/>
        <w:shd w:val="clear" w:color="auto" w:fill="auto"/>
        <w:bidi w:val="0"/>
        <w:jc w:val="left"/>
        <w:spacing w:before="0" w:after="274" w:line="340" w:lineRule="exact"/>
        <w:ind w:left="2320" w:right="0" w:firstLine="0"/>
      </w:pPr>
      <w:r>
        <w:rPr>
          <w:rStyle w:val="CharStyle144"/>
          <w:b/>
          <w:bCs/>
        </w:rPr>
        <w:t>Глава X</w:t>
      </w:r>
    </w:p>
    <w:p>
      <w:pPr>
        <w:pStyle w:val="Style15"/>
        <w:widowControl w:val="0"/>
        <w:keepNext/>
        <w:keepLines/>
        <w:shd w:val="clear" w:color="auto" w:fill="auto"/>
        <w:bidi w:val="0"/>
        <w:jc w:val="left"/>
        <w:spacing w:before="0" w:after="0" w:line="340" w:lineRule="exact"/>
        <w:ind w:left="2320" w:right="0" w:firstLine="0"/>
        <w:sectPr>
          <w:pgSz w:w="11900" w:h="16840"/>
          <w:pgMar w:top="1800" w:left="898" w:right="1124" w:bottom="206" w:header="0" w:footer="3" w:gutter="0"/>
          <w:rtlGutter w:val="0"/>
          <w:cols w:space="720"/>
          <w:noEndnote/>
          <w:docGrid w:linePitch="360"/>
        </w:sectPr>
      </w:pPr>
      <w:bookmarkStart w:id="705" w:name="bookmark705"/>
      <w:r>
        <w:rPr>
          <w:rStyle w:val="CharStyle145"/>
          <w:b/>
          <w:bCs/>
        </w:rPr>
        <w:t>ОПУХОЛИ СЕРДЦА</w:t>
      </w:r>
      <w:bookmarkEnd w:id="705"/>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26" w:after="26" w:line="240" w:lineRule="exact"/>
        <w:rPr>
          <w:sz w:val="19"/>
          <w:szCs w:val="19"/>
        </w:rPr>
      </w:pPr>
    </w:p>
    <w:p>
      <w:pPr>
        <w:widowControl w:val="0"/>
        <w:rPr>
          <w:sz w:val="2"/>
          <w:szCs w:val="2"/>
        </w:rPr>
        <w:sectPr>
          <w:type w:val="continuous"/>
          <w:pgSz w:w="11900" w:h="16840"/>
          <w:pgMar w:top="1541" w:left="0" w:right="0" w:bottom="1767" w:header="0" w:footer="3" w:gutter="0"/>
          <w:rtlGutter w:val="0"/>
          <w:cols w:space="720"/>
          <w:noEndnote/>
          <w:docGrid w:linePitch="360"/>
        </w:sectPr>
      </w:pPr>
    </w:p>
    <w:p>
      <w:pPr>
        <w:widowControl w:val="0"/>
        <w:rPr>
          <w:sz w:val="2"/>
          <w:szCs w:val="2"/>
        </w:rPr>
      </w:pPr>
      <w:r>
        <w:pict>
          <v:shape id="_x0000_s1677" type="#_x0000_t75" style="position:absolute;margin-left:137.9pt;margin-top:608.9pt;width:209.75pt;height:14.9pt;z-index:-125828926;mso-wrap-distance-left:147.85pt;mso-wrap-distance-right:136.55pt;mso-wrap-distance-bottom:10.8pt;mso-position-horizontal-relative:margin" wrapcoords="0 0 21600 0 21600 21600 0 21600 0 0">
            <v:imagedata r:id="rId1084" r:href="rId1085"/>
            <w10:wrap type="topAndBottom" anchorx="margin"/>
          </v:shape>
        </w:pict>
      </w:r>
    </w:p>
    <w:p>
      <w:pPr>
        <w:pStyle w:val="Style92"/>
        <w:widowControl w:val="0"/>
        <w:keepNext/>
        <w:keepLines/>
        <w:shd w:val="clear" w:color="auto" w:fill="auto"/>
        <w:bidi w:val="0"/>
        <w:spacing w:before="0" w:after="0"/>
        <w:ind w:left="520" w:right="0" w:hanging="240"/>
      </w:pPr>
      <w:bookmarkStart w:id="706" w:name="bookmark706"/>
      <w:r>
        <w:rPr>
          <w:lang w:val="ru-RU" w:eastAsia="ru-RU" w:bidi="ru-RU"/>
          <w:w w:val="100"/>
          <w:spacing w:val="0"/>
          <w:color w:val="000000"/>
          <w:position w:val="0"/>
        </w:rPr>
        <w:t>Введение</w:t>
      </w:r>
      <w:bookmarkEnd w:id="70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Опухоль представляет собой местное прогрессирующее разрастание какой-либо ткани, комплекса тканей или кле</w:t>
        <w:softHyphen/>
        <w:t>ток, внешне имеющее чаще всего вид узла. Основными осо</w:t>
        <w:softHyphen/>
        <w:t>бенностями опухолевого роста является его автономность — утрата способности реагировать на факторы, угнетающие или стимулирующие размножение нормальных клеток, потеря способности к дифференцировке — возврат к эмбрионально - му недифференцированному тканевому типу — анаплазия и безграничность размножения клеток и роста опухоли, кото</w:t>
        <w:softHyphen/>
        <w:t>рые ограничены только сроком жизни больного. Особеннос</w:t>
        <w:softHyphen/>
        <w:t>ти опухолей у детей (Ивановская Т.Е., Цинзерлинг А.В.):</w:t>
      </w:r>
    </w:p>
    <w:p>
      <w:pPr>
        <w:pStyle w:val="Style30"/>
        <w:numPr>
          <w:ilvl w:val="0"/>
          <w:numId w:val="141"/>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Первой особенностью опухолей у детей по сравне</w:t>
        <w:softHyphen/>
        <w:t>нию с опухолями у взрослых является их возникнове</w:t>
        <w:softHyphen/>
        <w:t>ние на основе дизонтогенеза — нарушений формиро</w:t>
        <w:softHyphen/>
        <w:t>вания органов и тканей в период внутриутробного развития зародыша. Иными словами, подавляющее большинство опухолей у детей возникает из порочно развитых тканей, задержавшихся в своем развитии на эмбриональном уровне, часто располагающихся не на месте — дистопично. Опухоли, развивающиеся на основе пороков развития, получили название дизон</w:t>
        <w:softHyphen/>
        <w:t>тогенетических, или тератоидных, опухолей. Терато</w:t>
        <w:softHyphen/>
        <w:t xml:space="preserve">ма (от греч. </w:t>
      </w:r>
      <w:r>
        <w:rPr>
          <w:lang w:val="en-US" w:eastAsia="en-US" w:bidi="en-US"/>
          <w:w w:val="100"/>
          <w:spacing w:val="0"/>
          <w:color w:val="000000"/>
          <w:position w:val="0"/>
        </w:rPr>
        <w:t xml:space="preserve">«teras», «teratos» </w:t>
      </w:r>
      <w:r>
        <w:rPr>
          <w:lang w:val="ru-RU" w:eastAsia="ru-RU" w:bidi="ru-RU"/>
          <w:w w:val="100"/>
          <w:spacing w:val="0"/>
          <w:color w:val="000000"/>
          <w:position w:val="0"/>
        </w:rPr>
        <w:t>— урод, уродство, чудо</w:t>
        <w:softHyphen/>
        <w:t>вище) — опухоль, возникающая на основе дизонтоге- неза на любом из этапов внутриутробного развития. Смещение тканевых зачатков, потеря ими связи с ок</w:t>
        <w:softHyphen/>
        <w:t>ружающими растущими и формирующимися тканя</w:t>
        <w:softHyphen/>
        <w:t>ми приводит к тому, что эти зачатки лишаются гумо</w:t>
        <w:softHyphen/>
        <w:t>ральных и рефлекторных влияний, которые в норме регулируют координированный рост и пропорцио</w:t>
        <w:softHyphen/>
        <w:t>нальное развитие тканей. Благодаря такому выклю</w:t>
        <w:softHyphen/>
        <w:t>чению регулирующих влияний смещенные зачатки тканей приобретают известную автономность. По</w:t>
        <w:softHyphen/>
        <w:t>следнее служит, вероятно, предпосылкой для возник</w:t>
        <w:softHyphen/>
        <w:t>новения истинного опухолевого роста.</w:t>
      </w:r>
    </w:p>
    <w:p>
      <w:pPr>
        <w:pStyle w:val="Style30"/>
        <w:numPr>
          <w:ilvl w:val="0"/>
          <w:numId w:val="141"/>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Второй особенностью опухолей у детей является большая частота доброкачественных опухолей и от</w:t>
        <w:softHyphen/>
        <w:t>носительная редкость злокачественных опухолей, в то время как у взрослых злокачественные опухоли встречаются намного чаще.</w:t>
      </w:r>
    </w:p>
    <w:p>
      <w:pPr>
        <w:pStyle w:val="Style30"/>
        <w:numPr>
          <w:ilvl w:val="0"/>
          <w:numId w:val="141"/>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Третьей особенностью опухолей у детей является пре</w:t>
        <w:softHyphen/>
        <w:t>обладание среди злокачественных опухолей сарком.</w:t>
      </w:r>
    </w:p>
    <w:p>
      <w:pPr>
        <w:pStyle w:val="Style30"/>
        <w:numPr>
          <w:ilvl w:val="0"/>
          <w:numId w:val="141"/>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Четвертой особенностью опухолей у детей является своеобразие течения некоторых злокачественных опухолей, которые долго сохраняют экспансивный характер роста, свойственный доброкачественным опухолям, и долго не метастазируют. Своевременное оперативное удаление этих опухолей приводит к пол</w:t>
        <w:softHyphen/>
        <w:t>ному выздоровлению ребенка.</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Данные особенности полностью находят свое отражение при опухолях сердца у детей, однако необходимо отметить, что, какой бы ни была опухоль по происхождению, она зло</w:t>
        <w:softHyphen/>
        <w:t>качественна по локализации, обусловливая нарушение функции сердца или поражение проводящей системы.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Краткая историческая справка</w:t>
      </w:r>
    </w:p>
    <w:p>
      <w:pPr>
        <w:pStyle w:val="Style30"/>
        <w:numPr>
          <w:ilvl w:val="0"/>
          <w:numId w:val="141"/>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Впервые опухоль сердца описана в 1559 г. М. </w:t>
      </w:r>
      <w:r>
        <w:rPr>
          <w:lang w:val="en-US" w:eastAsia="en-US" w:bidi="en-US"/>
          <w:w w:val="100"/>
          <w:spacing w:val="0"/>
          <w:color w:val="000000"/>
          <w:position w:val="0"/>
        </w:rPr>
        <w:t xml:space="preserve">Columbus, </w:t>
      </w:r>
      <w:r>
        <w:rPr>
          <w:lang w:val="ru-RU" w:eastAsia="ru-RU" w:bidi="ru-RU"/>
          <w:w w:val="100"/>
          <w:spacing w:val="0"/>
          <w:color w:val="000000"/>
          <w:position w:val="0"/>
        </w:rPr>
        <w:t>который при вскрытии трупа обнару</w:t>
        <w:softHyphen/>
        <w:t>жил неоплазму левого желудочка.</w:t>
      </w:r>
    </w:p>
    <w:p>
      <w:pPr>
        <w:pStyle w:val="Style30"/>
        <w:numPr>
          <w:ilvl w:val="0"/>
          <w:numId w:val="141"/>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Первая клиническая диагностика опухоли сделана в XVIII столетии </w:t>
      </w:r>
      <w:r>
        <w:rPr>
          <w:lang w:val="en-US" w:eastAsia="en-US" w:bidi="en-US"/>
          <w:w w:val="100"/>
          <w:spacing w:val="0"/>
          <w:color w:val="000000"/>
          <w:position w:val="0"/>
        </w:rPr>
        <w:t xml:space="preserve">Boneti, </w:t>
      </w:r>
      <w:r>
        <w:rPr>
          <w:lang w:val="ru-RU" w:eastAsia="ru-RU" w:bidi="ru-RU"/>
          <w:w w:val="100"/>
          <w:spacing w:val="0"/>
          <w:color w:val="000000"/>
          <w:position w:val="0"/>
        </w:rPr>
        <w:t xml:space="preserve">однако многие полагают, что первое сообщение сделано </w:t>
      </w:r>
      <w:r>
        <w:rPr>
          <w:lang w:val="en-US" w:eastAsia="en-US" w:bidi="en-US"/>
          <w:w w:val="100"/>
          <w:spacing w:val="0"/>
          <w:color w:val="000000"/>
          <w:position w:val="0"/>
        </w:rPr>
        <w:t xml:space="preserve">Albers </w:t>
      </w:r>
      <w:r>
        <w:rPr>
          <w:lang w:val="ru-RU" w:eastAsia="ru-RU" w:bidi="ru-RU"/>
          <w:w w:val="100"/>
          <w:spacing w:val="0"/>
          <w:color w:val="000000"/>
          <w:position w:val="0"/>
        </w:rPr>
        <w:t>в 1835 г..</w:t>
      </w:r>
    </w:p>
    <w:p>
      <w:pPr>
        <w:pStyle w:val="Style30"/>
        <w:numPr>
          <w:ilvl w:val="0"/>
          <w:numId w:val="141"/>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 1936 г. было осуществлено первое успешное удале</w:t>
        <w:softHyphen/>
        <w:t>ние неоплазмы сердца.</w:t>
      </w:r>
    </w:p>
    <w:p>
      <w:pPr>
        <w:pStyle w:val="Style30"/>
        <w:numPr>
          <w:ilvl w:val="0"/>
          <w:numId w:val="141"/>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 1952 г. для диагностики опухоли сердца впервые применена ангиография.</w:t>
      </w:r>
    </w:p>
    <w:p>
      <w:pPr>
        <w:pStyle w:val="Style30"/>
        <w:numPr>
          <w:ilvl w:val="0"/>
          <w:numId w:val="141"/>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 1955 г. использовано искусственное кровообраще</w:t>
        <w:softHyphen/>
        <w:t>ние для удаления внутриполостной опухоли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Варианты опухолей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Опухоли сердца могут быть первичными и вторичными (метастатическими), они могут образовываться в миокарде или перикарде. Первичные опухоли сердца могут быть доб</w:t>
        <w:softHyphen/>
        <w:t>рокачественными и злокачественными.</w:t>
      </w:r>
    </w:p>
    <w:p>
      <w:pPr>
        <w:pStyle w:val="Style30"/>
        <w:numPr>
          <w:ilvl w:val="0"/>
          <w:numId w:val="141"/>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Первичные опухоли сердца происходят из мезотелия или эпителия. К ним относятся миксома, фиброма, липома, рабдомиома, плазматическиклеточная грану</w:t>
        <w:softHyphen/>
        <w:t>лема, саркома, лимфома, тимома, гемангиоперицито</w:t>
        <w:softHyphen/>
        <w:t xml:space="preserve">ма, фиброэластома, ангиома, гемангиома, ангиомио- липома/гамартома, лимфангиома и </w:t>
      </w:r>
      <w:r>
        <w:rPr>
          <w:lang w:val="en-US" w:eastAsia="en-US" w:bidi="en-US"/>
          <w:w w:val="100"/>
          <w:spacing w:val="0"/>
          <w:color w:val="000000"/>
          <w:position w:val="0"/>
        </w:rPr>
        <w:t>mycosis fungoides.</w:t>
      </w:r>
    </w:p>
    <w:p>
      <w:pPr>
        <w:pStyle w:val="Style30"/>
        <w:numPr>
          <w:ilvl w:val="0"/>
          <w:numId w:val="141"/>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Могут также наблюдаться эндодермальные опухоли сердца. Например, опухоль атриовентрикулярного узла содержит нейроэндокринные клетки, которые имеют отношение к эндодерме. Такую опухоль обоз</w:t>
        <w:softHyphen/>
        <w:t>начают мультиклеточной опухолью атриовентрику</w:t>
        <w:softHyphen/>
        <w:t>лярного узла или врожденной эндодермальной гете</w:t>
        <w:softHyphen/>
        <w:t>ротопией атриовентрикулярного узла. Существуют параганглиомы сердца, при этом опухоль обусловли</w:t>
        <w:softHyphen/>
        <w:t>вает артериальную гипертензию и повышенную экс</w:t>
        <w:softHyphen/>
        <w:t>крецию катехоламинов с мочой. Такие опухоли чаще имеют левостороннюю локализацию. Могут встре</w:t>
        <w:softHyphen/>
        <w:t>чаться внутрисердечные феохромоцитомы.</w:t>
      </w:r>
    </w:p>
    <w:p>
      <w:pPr>
        <w:pStyle w:val="Style30"/>
        <w:numPr>
          <w:ilvl w:val="0"/>
          <w:numId w:val="141"/>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Первичные саркомы сердца представлены широким спектром опухолей: ангиосаркома, гемосаркома, раб</w:t>
        <w:softHyphen/>
        <w:t>домиосаркома, остеосаркома, липосаркома, гемосар</w:t>
        <w:softHyphen/>
        <w:t>кома, мезотелиома, злокачественная шваннома, фиб</w:t>
        <w:softHyphen/>
        <w:t>росаркома, злокачественная фиброзная гистиоцито</w:t>
        <w:softHyphen/>
        <w:t>ма, хориокарцинома, лейомиосаркома, синовиаль</w:t>
        <w:softHyphen/>
        <w:t>ная саркома, нейрофибросаркома, миксосаркома, лимфосаркома, саркома ретикулярных клеток, не</w:t>
        <w:softHyphen/>
        <w:t>дифференцированная саркома.</w:t>
      </w:r>
      <w:r>
        <w:br w:type="page"/>
      </w:r>
    </w:p>
    <w:p>
      <w:pPr>
        <w:pStyle w:val="Style30"/>
        <w:numPr>
          <w:ilvl w:val="0"/>
          <w:numId w:val="141"/>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Среди первичных опухолей сердца у детей встречают</w:t>
        <w:softHyphen/>
        <w:t>ся рабдомиомы, внутриперикардиальные тератомы, миксомы, фибромы, гемангиомы, мезотелиомы, мультиклеточные гамартомы, эпикардиальные липо</w:t>
        <w:softHyphen/>
        <w:t>ма: и рабдомиосаркомы. Некоторые опухоли не иден</w:t>
        <w:softHyphen/>
        <w:t>тифицируются при патологоанатомическом исследо</w:t>
        <w:softHyphen/>
        <w:t>вании.</w:t>
      </w:r>
    </w:p>
    <w:p>
      <w:pPr>
        <w:pStyle w:val="Style30"/>
        <w:numPr>
          <w:ilvl w:val="0"/>
          <w:numId w:val="141"/>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Метастазы в сердце могут возникать лимфогенным или гематогенным путем. Метастатические опухоли сердца часто наблюдаются при бронхогенной карци</w:t>
        <w:softHyphen/>
        <w:t>номе, карциномах желудочно-кишечного тракта, лимфомах, лейкозах, карциноидных опухолях, мела</w:t>
        <w:softHyphen/>
        <w:t>номах, при карциноме позвоночника. Другой вари</w:t>
        <w:softHyphen/>
        <w:t>ант поражения сердца — прорастание опухоли из ря</w:t>
        <w:softHyphen/>
        <w:t>дом подлежащих злокачественных новообразований. Такой вариант опухолевого поражения сердца наблю</w:t>
        <w:softHyphen/>
        <w:t>дается при опухолях средостения, злокачественной тимоме. Опухоль печени, такая как гепатоцеллюляр- ная карцинома, может распространиться в сердце по нижней полой вене. Абдоминальные опухоли распро - страняются в сердце путем попадания опухолевых эмболов через нижнюю полую вену в правое предсер - дие. Такая ситуация часто наблюдается при карцино</w:t>
        <w:softHyphen/>
        <w:t>ме почек, почечной ангиомиолипоме, карциноме по</w:t>
        <w:softHyphen/>
        <w:t>звоночника. Метастазы из мочеполовой системы рас</w:t>
        <w:softHyphen/>
        <w:t>пространяются по кровеносным сосудам при лейо- миоматозе матки, тестикулярных тератомах. Мета</w:t>
        <w:softHyphen/>
        <w:t>стазы в сердце наблюдаются при хориокарциномах, опухолях щитовидной железы, скелетномышечных опухолях (гемангиоперицитома).</w:t>
      </w:r>
    </w:p>
    <w:p>
      <w:pPr>
        <w:pStyle w:val="Style30"/>
        <w:numPr>
          <w:ilvl w:val="0"/>
          <w:numId w:val="141"/>
        </w:numPr>
        <w:tabs>
          <w:tab w:leader="none" w:pos="24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Псевдоопухолевыми образованиями в сердце явля</w:t>
        <w:softHyphen/>
        <w:t>ются тромбы, клапанные вегетации, различные вари</w:t>
        <w:softHyphen/>
        <w:t>ации в анатомии сердца (выступающее отверстие ле</w:t>
        <w:softHyphen/>
        <w:t>гочной вены, сеть Хиари в правом предсердии, вы</w:t>
        <w:softHyphen/>
        <w:t xml:space="preserve">ступающая </w:t>
      </w:r>
      <w:r>
        <w:rPr>
          <w:lang w:val="en-US" w:eastAsia="en-US" w:bidi="en-US"/>
          <w:w w:val="100"/>
          <w:spacing w:val="0"/>
          <w:color w:val="000000"/>
          <w:position w:val="0"/>
        </w:rPr>
        <w:t xml:space="preserve">crista terminalis), </w:t>
      </w:r>
      <w:r>
        <w:rPr>
          <w:lang w:val="ru-RU" w:eastAsia="ru-RU" w:bidi="ru-RU"/>
          <w:w w:val="100"/>
          <w:spacing w:val="0"/>
          <w:color w:val="000000"/>
          <w:position w:val="0"/>
        </w:rPr>
        <w:t>тромб в аневризме лево</w:t>
        <w:softHyphen/>
        <w:t>го желудочка, липоматозная гипертрофия межжелу</w:t>
        <w:softHyphen/>
        <w:t>дочковой перегородки, ревматоидные узелки, отрыв сухожильных нитей, внутрисердечные кисты.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Частота выявления опухолей сердца зависит от частоты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проводимых вскрытий.</w:t>
      </w:r>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Доброкачественные первичные опухоли сердца встречаются значительно чаще, чем злокачествен</w:t>
        <w:softHyphen/>
        <w:t>ные новообразования. По данным аутопсий часто</w:t>
        <w:softHyphen/>
        <w:t>та первичных опухолей составляет 0,0017-0,28%. Около 75% из них являются доброкачественными и 25% — злокачественными.</w:t>
      </w:r>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Рабдомиома является типичной опухолью сердца у детей и в 75% случаев обнаруживается в возрасте до 1 года. Эта опухоль в 50-80% случаев сочетается с туберозным склерозом.</w:t>
      </w:r>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Фиброма является второй по частоте опухолью сердца в детском возрасте. В большинстве случаев (40%) она определяется у детей моложе 1 года.</w:t>
      </w:r>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Миксома наблюдается у 9-15% детей с опухолями сердца и является наиболее характерной первич</w:t>
        <w:softHyphen/>
        <w:t>ной опухолью сердца во всех возрастных группах.</w:t>
      </w:r>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Истинная частота тератом не установлена, однако в 50% выявляется в период новорожденности и в 66% — у детей моложе 1 года.</w:t>
      </w:r>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Саркомы составляют 25% среди всех опухолей серд</w:t>
        <w:softHyphen/>
        <w:t>ца, наиболее часто обнаруживается ангиосаркома.</w:t>
      </w:r>
    </w:p>
    <w:p>
      <w:pPr>
        <w:pStyle w:val="Style30"/>
        <w:widowControl w:val="0"/>
        <w:keepNext w:val="0"/>
        <w:keepLines w:val="0"/>
        <w:shd w:val="clear" w:color="auto" w:fill="auto"/>
        <w:bidi w:val="0"/>
        <w:spacing w:before="0" w:after="0"/>
        <w:ind w:left="740" w:right="0" w:hanging="220"/>
      </w:pPr>
      <w:r>
        <w:br w:type="column"/>
      </w:r>
      <w:r>
        <w:rPr>
          <w:lang w:val="ru-RU" w:eastAsia="ru-RU" w:bidi="ru-RU"/>
          <w:w w:val="100"/>
          <w:spacing w:val="0"/>
          <w:color w:val="000000"/>
          <w:position w:val="0"/>
        </w:rPr>
        <w:t>• Вторичные опухоли сердца встречаются в 20-30 раз чаще, чем первичные, и наблюдаются у 1,5% паци</w:t>
        <w:softHyphen/>
        <w:t>ентов с новообразованиями. Наиболее частыми метастатическими опухолями сердца являются (в порядке убывания): бронхогенная карцинома, лимфома, лейкемия, рак пищевода, матки, мела</w:t>
        <w:softHyphen/>
        <w:t>нома, рак желудка, саркомы, опухоли полости рта, кишечника, почек, щитовидной железы, гортани, мочевыводящих путей, гепатобилиарной системы, простаты, поджелудочной железы и яичников.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Миксомы более характерны для девочек, особенно при синдроме Карней.</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Ангиосаркомы чаще наблюдаются у мальчиков в со</w:t>
        <w:softHyphen/>
        <w:t>отношении 2:1.</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Рабдомиомы, фибромы, тератомы, саркомы и другие злокачественные новообразования сердца с одинако</w:t>
        <w:softHyphen/>
        <w:t>вой частотой наблюдаются у мальчиков и девочек.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Рабдомиомы, фибромы, тератомы и рабдомиосарко</w:t>
        <w:softHyphen/>
        <w:t>мы, наблюдаются у детей и подростков по сравнению со взрослыми.</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Миксомы составляют 50-60% среди всех доброкачес</w:t>
        <w:softHyphen/>
        <w:t>твенных опухолей сердца и чаще наблюдаются у взрослых, хотя описано большое число наблюдений миксом сердца у детей, особенно связанных с семей</w:t>
        <w:softHyphen/>
        <w:t>ным синдромом Карней.</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Морфогистологическая характеристика первичных опу</w:t>
        <w:softHyphen/>
        <w:t>холей сердца.</w:t>
      </w:r>
    </w:p>
    <w:p>
      <w:pPr>
        <w:pStyle w:val="Style28"/>
        <w:widowControl w:val="0"/>
        <w:keepNext/>
        <w:keepLines/>
        <w:shd w:val="clear" w:color="auto" w:fill="auto"/>
        <w:bidi w:val="0"/>
        <w:jc w:val="left"/>
        <w:spacing w:before="0" w:after="157" w:line="220" w:lineRule="exact"/>
        <w:ind w:left="0" w:right="0" w:firstLine="0"/>
      </w:pPr>
      <w:bookmarkStart w:id="707" w:name="bookmark707"/>
      <w:r>
        <w:rPr>
          <w:lang w:val="ru-RU" w:eastAsia="ru-RU" w:bidi="ru-RU"/>
          <w:w w:val="100"/>
          <w:spacing w:val="0"/>
          <w:color w:val="000000"/>
          <w:position w:val="0"/>
        </w:rPr>
        <w:t>Доброкачественные опухоли</w:t>
      </w:r>
      <w:bookmarkEnd w:id="70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Рабдомиома — опухоль из клеток поперечно-полосатых мышц, напоминающих эмбриональные мышечные волок</w:t>
        <w:softHyphen/>
        <w:t>на и миобласты. Часто возникает на почве нарушения раз</w:t>
        <w:softHyphen/>
        <w:t>вития ткани и сочетается с другими пороками развития.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Микроскопически рабдомиома проявляется гликогеновой дегенерацией миокардиальных волокон, по этой причине от</w:t>
        <w:softHyphen/>
        <w:t>носится к разряду гамартом. Опухоль содержит большие ваку- олизированные клетки, заполненные гликогеном. При мик</w:t>
        <w:softHyphen/>
        <w:t>роскопии определяются паукообразные клетки с эксцентрич</w:t>
        <w:softHyphen/>
        <w:t>ным ядром, гранулярной цитоплазмой с центральным распо</w:t>
        <w:softHyphen/>
        <w:t>ложением цитоплазматических масс. Также обнаруживаются фибриллы, которые распространяются к периферии и соеди</w:t>
        <w:softHyphen/>
        <w:t>няются между собой, создавая впечатление паука в сети. Раб- домиозит является редкой формой кардиомиопатии. При этой патологии обнаруживаются микроскопические из</w:t>
        <w:softHyphen/>
        <w:t>менения в сердечной мышце и проводящей системе.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Фиброма — опухоль из соединительной (фиброзной) ткани. Представлена обычно узлом дифференцированной соединительной ткани, пучки волокон и сосудов располо</w:t>
        <w:softHyphen/>
        <w:t>жены в разных направлениях. Микроскопически опухоль состоит из удлиненных фибробластов с фиброзной тканью и коллагеном. Различают два вида фибром: плотную с пре</w:t>
        <w:softHyphen/>
        <w:t>обладанием коллагеновых пучков над клетками и мягкую, состоящую из рыхлой соединительной ткани с большим числом клеток типа фибробластов и фиброцитов. Часто в ткани опухоли определяются отложения кальция. Митоз при этом типе опухоли практически не наблюдается.</w:t>
      </w:r>
    </w:p>
    <w:p>
      <w:pPr>
        <w:pStyle w:val="Style30"/>
        <w:widowControl w:val="0"/>
        <w:keepNext w:val="0"/>
        <w:keepLines w:val="0"/>
        <w:shd w:val="clear" w:color="auto" w:fill="auto"/>
        <w:bidi w:val="0"/>
        <w:spacing w:before="0" w:after="0"/>
        <w:ind w:left="0" w:right="0" w:firstLine="280"/>
      </w:pPr>
      <w:r>
        <w:pict>
          <v:shape id="_x0000_s1678" type="#_x0000_t75" style="position:absolute;margin-left:130.7pt;margin-top:738.25pt;width:209.75pt;height:14.9pt;z-index:-125828925;mso-wrap-distance-left:124.55pt;mso-wrap-distance-right:148.1pt;mso-wrap-distance-bottom:10.8pt;mso-position-horizontal-relative:margin;mso-position-vertical-relative:margin" wrapcoords="0 0 21600 0 21600 21600 0 21600 0 0">
            <v:imagedata r:id="rId1086" r:href="rId1087"/>
            <w10:wrap type="topAndBottom" anchorx="margin" anchory="margin"/>
          </v:shape>
        </w:pict>
      </w:r>
      <w:r>
        <w:rPr>
          <w:lang w:val="ru-RU" w:eastAsia="ru-RU" w:bidi="ru-RU"/>
          <w:w w:val="100"/>
          <w:spacing w:val="0"/>
          <w:color w:val="000000"/>
          <w:position w:val="0"/>
        </w:rPr>
        <w:t>Миксома состоит из характерных клеток, обозначаемых липидными, миксоидная строма содержит большое количес</w:t>
        <w:softHyphen/>
        <w:t>тво гликозоаминогликанов. Такие клетки имеют полигональ-</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ную или веретенообразную форму, много ядер и эозинофиль</w:t>
        <w:softHyphen/>
        <w:t>ную цитоплазму. Как правило, они группируются в ячейки, окружающие сосудистые структуры. Отложение кальция оп</w:t>
        <w:softHyphen/>
        <w:t>ределяется примерно у 10% больных. Обычно опухолевые эм</w:t>
        <w:softHyphen/>
        <w:t>болы отличаются от основной структуры, их клетки схожи с эмбриональными мезенхимальными клетками. Опухоле</w:t>
        <w:softHyphen/>
        <w:t>вый некроз обнаруживается примерно у 8% больных, кальци</w:t>
        <w:softHyphen/>
        <w:t>фикация — у 10-20%. В различной степени определяются кровоизлияния в опухоли, митоз не характерен.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Тератома — опухоль из эмбриональных недифференци</w:t>
        <w:softHyphen/>
        <w:t>рованных половых клеток, возникающая при нарушении их миграции в период морфогенеза половых желез зароды</w:t>
        <w:softHyphen/>
        <w:t>ша. Опухоль редко озлокачествляется в детском возрасте и состоит из трех форм эмбриональных тканей, которые обычно произрастают из переднего средостения. Эти тера</w:t>
        <w:softHyphen/>
        <w:t>томы важно дифференцировать от аналогичных опухолей, происходящих из внутриперикардиальных бронхогенных клеток. Макроскопически оба варианта опухолей не диф</w:t>
        <w:softHyphen/>
        <w:t>ференцируются, однако при микроскопическом исследо</w:t>
        <w:softHyphen/>
        <w:t>вании бронхогенные клетки не содержат невральной ткани, которая определяется в тератомах. Тератома обильно кро- воснабжается сосудистыми сплетениями от аорты и легоч</w:t>
        <w:softHyphen/>
        <w:t>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Гемангиомы — новообразование дизэмбриопластическо- го и бластоматозного характера. Различают капиллярную, венозную и кавернозную гемангиомы. Опухоль обычно представлена красным или синюшным узлом с гладкой, бу</w:t>
        <w:softHyphen/>
        <w:t>гристой или сосочковой поверхностью. Классифицируют на основе преобладающего типа сосудистой пролиферации на два типа — собственно гемангиомы (наиболее типич</w:t>
        <w:softHyphen/>
        <w:t>ные) и лимфангиомы (очень редкие). Опухоль состоит из эндотелиальных сосудистых образований, содержащих кровь, лимфу и тромбы. Гемангиома развивается из эндоте</w:t>
        <w:softHyphen/>
        <w:t>лиальных клеток кровеносных сосудов, обладает автоном</w:t>
        <w:softHyphen/>
        <w:t>ным прогрессирующим ростом, чаще располагается в пра</w:t>
        <w:softHyphen/>
        <w:t>вом предсердии, встречается в 4,5% случаев всех первичных новообразований в детском возрасте. Может локализовать</w:t>
        <w:softHyphen/>
        <w:t>ся как в полостях сердца, так и интрамурально, имеет вид грозди винограда или полиповидного разрастания. Боль</w:t>
        <w:softHyphen/>
        <w:t>шие опухоли могут инфильтрировать миокард и изменять контур сердца, что клинически вызывает подозрение на ки</w:t>
        <w:softHyphen/>
        <w:t>сту перикарда.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Лимфангиома развивается из лимфатических сосудов, разрастающихся в разных направлениях и образующих узел или диффузное утолщение. На разрезе опухоли видны по</w:t>
        <w:softHyphen/>
        <w:t>лости разной величины, заполненные лимфой.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Липома представляет собой неинкапсулированное обра</w:t>
        <w:softHyphen/>
        <w:t>зование, состоящее из жировой ткани, чаще расположена в левом желудочке и правом предсердии. При нахождении в межпредсердной перегородке (липоматозная гипертро</w:t>
        <w:softHyphen/>
        <w:t>фия перегородки) выявляется связь с эпикардиальным жи</w:t>
        <w:softHyphen/>
        <w:t>ром. Липома представляет собой скорее атипичную гипер</w:t>
        <w:softHyphen/>
        <w:t>плазию эмбриональных жировых клеток, чем истинную не</w:t>
        <w:softHyphen/>
        <w:t>оплазму. Липома может инфильтрировать межмышечную соединительную ткань, вызывая атрофию мышцы сердца (инфильтрирующая липома). При повреждении проводя</w:t>
        <w:softHyphen/>
        <w:t>щей системы сердца опухоль вызывает тяжелые аритмии.</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Доброкачественная мезотелиома — опухоль состоит из мезотелиальных клеток и по строению подобна фиброме (фиброзная мезотелиома). Опухоль может локализоваться в области атриовентрикулярного узла. Клинически опухоль может быть заподозрена по симптомной брадикардии, при</w:t>
        <w:softHyphen/>
        <w:br w:type="column"/>
        <w:t>ступам Морганьи-Адамса-Стокса, обусловленными попе</w:t>
        <w:softHyphen/>
        <w:t>речным блоком в сердце. Может возникать желудочковая тахикардия, рефрактерная к медикаментозной коррекции.</w:t>
      </w:r>
    </w:p>
    <w:p>
      <w:pPr>
        <w:pStyle w:val="Style28"/>
        <w:widowControl w:val="0"/>
        <w:keepNext/>
        <w:keepLines/>
        <w:shd w:val="clear" w:color="auto" w:fill="auto"/>
        <w:bidi w:val="0"/>
        <w:jc w:val="both"/>
        <w:spacing w:before="0" w:after="153" w:line="220" w:lineRule="exact"/>
        <w:ind w:left="0" w:right="0" w:firstLine="0"/>
      </w:pPr>
      <w:bookmarkStart w:id="708" w:name="bookmark708"/>
      <w:r>
        <w:rPr>
          <w:lang w:val="ru-RU" w:eastAsia="ru-RU" w:bidi="ru-RU"/>
          <w:w w:val="100"/>
          <w:spacing w:val="0"/>
          <w:color w:val="000000"/>
          <w:position w:val="0"/>
        </w:rPr>
        <w:t>Злокачественные опухоли</w:t>
      </w:r>
      <w:bookmarkEnd w:id="70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Ангиосаркома — злокачественная опухоль сосудистого происхождения, богатая атипичными клетками либо эндо</w:t>
        <w:softHyphen/>
        <w:t>телиального, либо периоцитарного характера. В первом случае говорят о злокачественной гемангиоэндотелиоме, во втором — о злокачественной гемангиоперицитоме. Опу</w:t>
        <w:softHyphen/>
        <w:t>холь характеризуется высокой злокачественностью и рано дает метастазы.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Рабдомиосаркома — злокачественная опухоль из попе</w:t>
        <w:softHyphen/>
        <w:t>речно-полосатых мышц (злокачественная рабдомиома). Строение опухоли полиморфно, клетки теряют сходство с поперечно-полосатой мускулатурой. Однако выявление отдельных клеток с поперечной исчерченностью, а также результаты иммуногистохимического исследования с ис</w:t>
        <w:softHyphen/>
        <w:t>пользованием специфической сыворотки позволяют вери</w:t>
        <w:softHyphen/>
        <w:t>фицировать опухоль.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Фибросаркома — злокачественная опухоль волокнистой (фиброзной) соединительной ткани. Опухоль может быть отграниченной в виде узла, иногда границы ее стерты, обра</w:t>
        <w:softHyphen/>
        <w:t>зование инфильтрирует подлежащие ткани. В зависимости от степени зрелости и взаимоотношения клеточных и во</w:t>
        <w:softHyphen/>
        <w:t>локнистых элементов опухоли различают дифференциро</w:t>
        <w:softHyphen/>
        <w:t>ванную и низкодифференцированную фибросаркомы. Дифференцированная фибросаркома имеет клеточно-во</w:t>
        <w:softHyphen/>
        <w:t>локнистое строение, причем волокнистый компонент пре</w:t>
        <w:softHyphen/>
        <w:t>обладает над клеточным. Низкодифференцированная фиб</w:t>
        <w:softHyphen/>
        <w:t>росаркома состоит из незрелых полиморфных клеток с оби</w:t>
        <w:softHyphen/>
        <w:t>лием митозов, она обладает более выраженной злокачест</w:t>
        <w:softHyphen/>
        <w:t>венностью и чаще дает метастазы.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Клиническая симптоматика</w:t>
      </w:r>
    </w:p>
    <w:p>
      <w:pPr>
        <w:pStyle w:val="Style30"/>
        <w:numPr>
          <w:ilvl w:val="0"/>
          <w:numId w:val="141"/>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Клинические проявления опухоли сердца в большей степени зависят от локализации поражения, чем от гистологического типа. Доброкачественные опухоли в зависимости от локализации могут иметь более се</w:t>
        <w:softHyphen/>
        <w:t>рьезную симптоматику, чем злокачественные опухо</w:t>
        <w:softHyphen/>
        <w:t>ли, поскольку они часто приводят к критической об</w:t>
        <w:softHyphen/>
        <w:t>струкции клапана или выходного тракта желудочко</w:t>
        <w:softHyphen/>
        <w:t>вых камер.</w:t>
      </w:r>
    </w:p>
    <w:p>
      <w:pPr>
        <w:pStyle w:val="Style30"/>
        <w:numPr>
          <w:ilvl w:val="0"/>
          <w:numId w:val="141"/>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Некоторые авторы обозначают неоплазмы сердца большими притворщиками. Наиболее частыми жало</w:t>
        <w:softHyphen/>
        <w:t>бами являются возбудимость, одышка, анорексия, утомляемость и сердцебиение.</w:t>
      </w:r>
    </w:p>
    <w:p>
      <w:pPr>
        <w:pStyle w:val="Style30"/>
        <w:numPr>
          <w:ilvl w:val="0"/>
          <w:numId w:val="141"/>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Начальные симптомы у детей могут включать возбу</w:t>
        <w:softHyphen/>
        <w:t>димость, внезапные приступы побледнения, лихо</w:t>
        <w:softHyphen/>
        <w:t>радку, тахипноэ, тахикардию, отказ от еды, слабость.</w:t>
      </w:r>
    </w:p>
    <w:p>
      <w:pPr>
        <w:pStyle w:val="Style30"/>
        <w:numPr>
          <w:ilvl w:val="0"/>
          <w:numId w:val="141"/>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Подростки могут жаловаться на одышку при нагруз</w:t>
        <w:softHyphen/>
        <w:t>ке, головокружение, общую слабость, недомогание, обмороки. Могут возникнуть кардиогенный шок и внезапная сердечная смерть.</w:t>
      </w:r>
    </w:p>
    <w:p>
      <w:pPr>
        <w:pStyle w:val="Style30"/>
        <w:numPr>
          <w:ilvl w:val="0"/>
          <w:numId w:val="141"/>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всех вариантах опухолей сердца могут отмечать</w:t>
        <w:softHyphen/>
        <w:t>ся аритмии, застойная сердечная недостаточность, перикардиальный выпот, появление нового шума в сердце.</w:t>
      </w:r>
    </w:p>
    <w:p>
      <w:pPr>
        <w:pStyle w:val="Style30"/>
        <w:numPr>
          <w:ilvl w:val="0"/>
          <w:numId w:val="141"/>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Симптомы левосторонней локализации опухоли:</w:t>
      </w:r>
    </w:p>
    <w:p>
      <w:pPr>
        <w:pStyle w:val="Style30"/>
        <w:widowControl w:val="0"/>
        <w:keepNext w:val="0"/>
        <w:keepLines w:val="0"/>
        <w:shd w:val="clear" w:color="auto" w:fill="auto"/>
        <w:bidi w:val="0"/>
        <w:spacing w:before="0" w:after="0"/>
        <w:ind w:left="740" w:right="0" w:hanging="220"/>
      </w:pPr>
      <w:r>
        <w:pict>
          <v:shape id="_x0000_s1679" type="#_x0000_t75" style="position:absolute;margin-left:148.1pt;margin-top:738.25pt;width:209.75pt;height:14.9pt;z-index:-125828924;mso-wrap-distance-left:148.1pt;mso-wrap-distance-right:136.8pt;mso-wrap-distance-bottom:10.8pt;mso-position-horizontal-relative:margin;mso-position-vertical-relative:margin" wrapcoords="0 0 21600 0 21600 21600 0 21600 0 0">
            <v:imagedata r:id="rId1088" r:href="rId1089"/>
            <w10:wrap type="topAndBottom" anchorx="margin" anchory="margin"/>
          </v:shape>
        </w:pict>
      </w:r>
      <w:r>
        <w:rPr>
          <w:lang w:val="ru-RU" w:eastAsia="ru-RU" w:bidi="ru-RU"/>
          <w:w w:val="100"/>
          <w:spacing w:val="0"/>
          <w:color w:val="000000"/>
          <w:position w:val="0"/>
        </w:rPr>
        <w:t>- одышка при нагрузке (75%), иногда прогрессирует, приводя к ортопноэ, пароксизмальная ночная одышка, отек легких;</w:t>
      </w:r>
      <w:r>
        <w:br w:type="page"/>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симптомы, обусловленные обструкцией левого ат</w:t>
        <w:softHyphen/>
        <w:t>риовентрикулярного отверстия. Поражение кла</w:t>
        <w:softHyphen/>
        <w:t>пана приводит к митральной регургитации.</w:t>
      </w:r>
    </w:p>
    <w:p>
      <w:pPr>
        <w:pStyle w:val="Style30"/>
        <w:numPr>
          <w:ilvl w:val="0"/>
          <w:numId w:val="141"/>
        </w:numPr>
        <w:tabs>
          <w:tab w:leader="none" w:pos="238"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Симптомы правосторонней локализации опухоли:</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слабость, быстрая утомляемость, ночные поты, пе</w:t>
        <w:softHyphen/>
        <w:t>риферические отеки, одышка, набухание шейных вен, гепатомегалия;</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редко наблюдается асцит, выпот в перикард, кото - рый более характерен для медленно растущей опу</w:t>
        <w:softHyphen/>
        <w:t>холи правого предсердия;</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обмороки;</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легочная гипертензия;</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симптоматика правожелудочковой недостаточнос</w:t>
        <w:softHyphen/>
        <w:t>ти может присоединиться на поздних стадиях про</w:t>
        <w:softHyphen/>
        <w:t>грессирующей сердечной недостаточности при ле</w:t>
        <w:softHyphen/>
        <w:t>восторонней локализации опухоли;</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могут возникать синдром верхней полой вены, ле</w:t>
        <w:softHyphen/>
        <w:t>гочная эмболия и рестриктивная кардиомиопатия.</w:t>
      </w:r>
    </w:p>
    <w:p>
      <w:pPr>
        <w:pStyle w:val="Style30"/>
        <w:numPr>
          <w:ilvl w:val="0"/>
          <w:numId w:val="141"/>
        </w:numPr>
        <w:tabs>
          <w:tab w:leader="none" w:pos="238"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Предсинкопе/синкопе:</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синкопальные и предсинкопальные состояния на</w:t>
        <w:softHyphen/>
        <w:t>блюдаются у 20% пациентов;</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наиболее частой причиной является транзиторная окклюзия митрального клапана пролабирующей опухолью;</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предсинкопальное состояние может исчезнуть при изменении положения тела.</w:t>
      </w:r>
    </w:p>
    <w:p>
      <w:pPr>
        <w:pStyle w:val="Style30"/>
        <w:numPr>
          <w:ilvl w:val="0"/>
          <w:numId w:val="141"/>
        </w:numPr>
        <w:tabs>
          <w:tab w:leader="none" w:pos="238"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Симптоматика, связанная с эмболизацией:</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системная или легочная эмболизация соответ</w:t>
        <w:softHyphen/>
        <w:t>ственно обусловлена левосторонней или правосто</w:t>
        <w:softHyphen/>
        <w:t>ронней локализацией опухоли;</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левосторонние симптомы опухолевой эмболиза</w:t>
        <w:softHyphen/>
        <w:t>ции проявляются инфарктами или висцеральны</w:t>
        <w:softHyphen/>
        <w:t>ми кровоизлияниями;</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эмболы центральной нервной системы обусловли</w:t>
        <w:softHyphen/>
        <w:t>вают транзиторные ишемические нарушения кро</w:t>
        <w:softHyphen/>
        <w:t>вообращения и инсульты;</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поражение глазной артерии может привести к по</w:t>
        <w:softHyphen/>
        <w:t>тере зрения;</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системная опухолевая эмболия может вызвать ок</w:t>
        <w:softHyphen/>
        <w:t>клюзию любой артерии, включая коронарные ар</w:t>
        <w:softHyphen/>
        <w:t>терии, аорту, почечные, висцеральные или пери</w:t>
        <w:softHyphen/>
        <w:t>ферические артерии. Возникает инфаркт или ише</w:t>
        <w:softHyphen/>
        <w:t>мия соответствующего органа;</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правосторонние опухолевые эмболы обусловлива</w:t>
        <w:softHyphen/>
        <w:t>ют эмболию легочной артерии и инфаркт легких;</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множественные, повторные микроэмболы могут приводить к возникновению легочной гипертен</w:t>
        <w:softHyphen/>
        <w:t>зии или легочному сердцу;</w:t>
      </w:r>
    </w:p>
    <w:p>
      <w:pPr>
        <w:pStyle w:val="Style30"/>
        <w:numPr>
          <w:ilvl w:val="0"/>
          <w:numId w:val="147"/>
        </w:numPr>
        <w:tabs>
          <w:tab w:leader="none" w:pos="513" w:val="left"/>
        </w:tabs>
        <w:widowControl w:val="0"/>
        <w:keepNext w:val="0"/>
        <w:keepLines w:val="0"/>
        <w:shd w:val="clear" w:color="auto" w:fill="auto"/>
        <w:bidi w:val="0"/>
        <w:spacing w:before="0" w:after="0" w:line="211" w:lineRule="exact"/>
        <w:ind w:left="500" w:right="0" w:hanging="220"/>
      </w:pPr>
      <w:r>
        <w:rPr>
          <w:lang w:val="ru-RU" w:eastAsia="ru-RU" w:bidi="ru-RU"/>
          <w:w w:val="100"/>
          <w:spacing w:val="0"/>
          <w:color w:val="000000"/>
          <w:position w:val="0"/>
        </w:rPr>
        <w:t>при наличии внутрисердечного шунта (дефект меж</w:t>
        <w:softHyphen/>
        <w:t>предсердной перегородки или открытое овальное окно) может возникать парадоксальная эмболия.</w:t>
      </w:r>
    </w:p>
    <w:p>
      <w:pPr>
        <w:pStyle w:val="Style30"/>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Лабораторная диагностика</w:t>
      </w:r>
    </w:p>
    <w:p>
      <w:pPr>
        <w:pStyle w:val="Style30"/>
        <w:numPr>
          <w:ilvl w:val="0"/>
          <w:numId w:val="141"/>
        </w:numPr>
        <w:tabs>
          <w:tab w:leader="none" w:pos="238"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При доброкачественных опухолях сердца разверну</w:t>
        <w:softHyphen/>
        <w:t>тый анализ крови не выявляет какой-либо патологии. При злокачественных новообразованиях сердца часто определяются анемия, изменение содержания тром</w:t>
        <w:softHyphen/>
        <w:t>боцитов (повышение или понижение), лейкоцитоз.</w:t>
      </w:r>
    </w:p>
    <w:p>
      <w:pPr>
        <w:pStyle w:val="Style30"/>
        <w:numPr>
          <w:ilvl w:val="0"/>
          <w:numId w:val="141"/>
        </w:numPr>
        <w:tabs>
          <w:tab w:leader="none" w:pos="238"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Скорость оседания эритроцитов как неспецифичес</w:t>
        <w:softHyphen/>
        <w:t>кий показатель воспаления может быть нормальная или увеличенная. При застойной сердечной недоста</w:t>
        <w:softHyphen/>
        <w:t>точности СОЭ снижена.</w:t>
      </w:r>
    </w:p>
    <w:p>
      <w:pPr>
        <w:pStyle w:val="Style30"/>
        <w:numPr>
          <w:ilvl w:val="0"/>
          <w:numId w:val="141"/>
        </w:numPr>
        <w:tabs>
          <w:tab w:leader="none" w:pos="238" w:val="left"/>
        </w:tabs>
        <w:widowControl w:val="0"/>
        <w:keepNext w:val="0"/>
        <w:keepLines w:val="0"/>
        <w:shd w:val="clear" w:color="auto" w:fill="auto"/>
        <w:bidi w:val="0"/>
        <w:spacing w:before="0" w:after="0" w:line="211" w:lineRule="exact"/>
        <w:ind w:left="280" w:right="0" w:hanging="280"/>
      </w:pPr>
      <w:r>
        <w:rPr>
          <w:lang w:val="ru-RU" w:eastAsia="ru-RU" w:bidi="ru-RU"/>
          <w:w w:val="100"/>
          <w:spacing w:val="0"/>
          <w:color w:val="000000"/>
          <w:position w:val="0"/>
        </w:rPr>
        <w:t>Увеличены показатели функции печени из-за тяжелой правожелудочковой недостаточности или метастазов.</w:t>
      </w:r>
    </w:p>
    <w:p>
      <w:pPr>
        <w:pStyle w:val="Style92"/>
        <w:widowControl w:val="0"/>
        <w:keepNext/>
        <w:keepLines/>
        <w:shd w:val="clear" w:color="auto" w:fill="auto"/>
        <w:bidi w:val="0"/>
        <w:spacing w:before="0" w:after="0"/>
        <w:ind w:left="260" w:right="0" w:hanging="260"/>
      </w:pPr>
      <w:r>
        <w:br w:type="column"/>
      </w:r>
      <w:bookmarkStart w:id="709" w:name="bookmark709"/>
      <w:r>
        <w:rPr>
          <w:lang w:val="ru-RU" w:eastAsia="ru-RU" w:bidi="ru-RU"/>
          <w:w w:val="100"/>
          <w:spacing w:val="0"/>
          <w:color w:val="000000"/>
          <w:position w:val="0"/>
        </w:rPr>
        <w:t>Инструментальная диагностика</w:t>
      </w:r>
      <w:bookmarkEnd w:id="709"/>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w:t>
      </w:r>
    </w:p>
    <w:p>
      <w:pPr>
        <w:pStyle w:val="Style30"/>
        <w:numPr>
          <w:ilvl w:val="0"/>
          <w:numId w:val="14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Электрокардиография в большинстве случаев не</w:t>
        <w:softHyphen/>
        <w:t>специфична для диагностики опухолей сердца. Ча</w:t>
        <w:softHyphen/>
        <w:t xml:space="preserve">сто выявляются </w:t>
      </w:r>
      <w:r>
        <w:rPr>
          <w:lang w:val="en-US" w:eastAsia="en-US" w:bidi="en-US"/>
          <w:w w:val="100"/>
          <w:spacing w:val="0"/>
          <w:color w:val="000000"/>
          <w:position w:val="0"/>
        </w:rPr>
        <w:t xml:space="preserve">ST-T </w:t>
      </w:r>
      <w:r>
        <w:rPr>
          <w:lang w:val="ru-RU" w:eastAsia="ru-RU" w:bidi="ru-RU"/>
          <w:w w:val="100"/>
          <w:spacing w:val="0"/>
          <w:color w:val="000000"/>
          <w:position w:val="0"/>
        </w:rPr>
        <w:t>изменения.</w:t>
      </w:r>
    </w:p>
    <w:p>
      <w:pPr>
        <w:pStyle w:val="Style30"/>
        <w:numPr>
          <w:ilvl w:val="0"/>
          <w:numId w:val="14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При наличии выпота в перикард определяется диффузное снижение вольтажа комплексов </w:t>
      </w:r>
      <w:r>
        <w:rPr>
          <w:lang w:val="en-US" w:eastAsia="en-US" w:bidi="en-US"/>
          <w:w w:val="100"/>
          <w:spacing w:val="0"/>
          <w:color w:val="000000"/>
          <w:position w:val="0"/>
        </w:rPr>
        <w:t>QRS.</w:t>
      </w:r>
    </w:p>
    <w:p>
      <w:pPr>
        <w:pStyle w:val="Style30"/>
        <w:numPr>
          <w:ilvl w:val="0"/>
          <w:numId w:val="14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Аритмия может явиться первой презентацией вну</w:t>
        <w:softHyphen/>
        <w:t>трисердечной опухоли. Такая аритмия часто реф</w:t>
        <w:softHyphen/>
        <w:t>рактерна к медикаментозной терапии.</w:t>
      </w:r>
    </w:p>
    <w:p>
      <w:pPr>
        <w:pStyle w:val="Style30"/>
        <w:numPr>
          <w:ilvl w:val="0"/>
          <w:numId w:val="14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Могут наблюдаться нарушения внутрижелудочко</w:t>
        <w:softHyphen/>
        <w:t>вого проведения, полная блокада ножек пучка Гиса.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Рентгенография грудной клетки:</w:t>
      </w:r>
    </w:p>
    <w:p>
      <w:pPr>
        <w:pStyle w:val="Style30"/>
        <w:numPr>
          <w:ilvl w:val="0"/>
          <w:numId w:val="14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Могут определяться кардиомегалия и отек легких, особенно в случаях обструктивных поражений сердца.</w:t>
      </w:r>
    </w:p>
    <w:p>
      <w:pPr>
        <w:pStyle w:val="Style30"/>
        <w:numPr>
          <w:ilvl w:val="0"/>
          <w:numId w:val="14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Некоторые опухоли могут иметь кальциевые депо - зиты, выявляемые рентгенологически.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w:t>
      </w:r>
    </w:p>
    <w:p>
      <w:pPr>
        <w:pStyle w:val="Style30"/>
        <w:numPr>
          <w:ilvl w:val="0"/>
          <w:numId w:val="14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Эхокардиография является главным неинвазив</w:t>
        <w:softHyphen/>
        <w:t>ным методом в диагностике опухолей сердца. Она позволяет выявить локализацию и размеры обра</w:t>
        <w:softHyphen/>
        <w:t>зования, оценить степень клапанных нарушений и гемодинамические показатели, свидетельствую - щие о рестриктивных или обструктивных наруше</w:t>
        <w:softHyphen/>
        <w:t>ниях. Наряду с этим эхокардиография позволяет выявить выпот в полость перикарда.</w:t>
      </w:r>
    </w:p>
    <w:p>
      <w:pPr>
        <w:pStyle w:val="Style30"/>
        <w:numPr>
          <w:ilvl w:val="0"/>
          <w:numId w:val="14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Эхокардиография обладает высокой чувствитель</w:t>
        <w:softHyphen/>
        <w:t>ностью, но малоспецифична.</w:t>
      </w:r>
    </w:p>
    <w:p>
      <w:pPr>
        <w:pStyle w:val="Style30"/>
        <w:numPr>
          <w:ilvl w:val="0"/>
          <w:numId w:val="14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Маленькие опухоли, расположенные преимущест</w:t>
        <w:softHyphen/>
        <w:t>венно интрамурально, не определяются при эхо</w:t>
        <w:softHyphen/>
        <w:t>кардиографии. Такие опухоли часто сопровожда</w:t>
        <w:softHyphen/>
        <w:t>ются аритмией.</w:t>
      </w:r>
    </w:p>
    <w:p>
      <w:pPr>
        <w:pStyle w:val="Style30"/>
        <w:numPr>
          <w:ilvl w:val="0"/>
          <w:numId w:val="14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Чрезпищеводная эхокардиография — также высо</w:t>
        <w:softHyphen/>
        <w:t>коинформативный метод выявления опухолей сердца, особенно у взрослых.</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Магниторезонансная томография:</w:t>
      </w:r>
    </w:p>
    <w:p>
      <w:pPr>
        <w:pStyle w:val="Style30"/>
        <w:numPr>
          <w:ilvl w:val="0"/>
          <w:numId w:val="141"/>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Данный метод также информативен в диагностике опухолей. Наряду с этим магниторезонансное иссле</w:t>
        <w:softHyphen/>
        <w:t>дование позволяет определить «демаркационную» линию, разделяющую неповрежденный миокард от опухоли, что не всегда возможно при эхокардиогра</w:t>
        <w:softHyphen/>
        <w:t>фическом исследовании. Метод также позволяет дифференцировать опухоль от тромба.</w:t>
      </w:r>
    </w:p>
    <w:p>
      <w:pPr>
        <w:pStyle w:val="Style30"/>
        <w:numPr>
          <w:ilvl w:val="0"/>
          <w:numId w:val="141"/>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Компьютерная томография является вспомогатель</w:t>
        <w:softHyphen/>
        <w:t>ным методом диагностики опухолей сердца, позволя</w:t>
        <w:softHyphen/>
        <w:t>ет определить размеры новообразования и величину прорастания в средостении.</w:t>
      </w:r>
    </w:p>
    <w:p>
      <w:pPr>
        <w:pStyle w:val="Style30"/>
        <w:numPr>
          <w:ilvl w:val="0"/>
          <w:numId w:val="141"/>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Эндомиокардиальная биопсия не проводится в дет</w:t>
        <w:softHyphen/>
        <w:t>ском возрасте для верификации опухолевого образо</w:t>
        <w:softHyphen/>
        <w:t>вания в сердце. Этот метод имеет высокую частоту ложно отрицательных результатов, проведение самой процедуры может спровоцировать образование мета</w:t>
        <w:softHyphen/>
        <w:t>стазов в перикард и средостение, если опухоль сердца злокачественная.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Дифференциальная диагностика</w:t>
      </w:r>
    </w:p>
    <w:p>
      <w:pPr>
        <w:pStyle w:val="Style30"/>
        <w:numPr>
          <w:ilvl w:val="0"/>
          <w:numId w:val="141"/>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Если не проведена эхокардиография, опухоль сердца можно дифференцировать практически с любым за</w:t>
        <w:softHyphen/>
        <w:t>болеванием сердца.</w:t>
      </w:r>
    </w:p>
    <w:p>
      <w:pPr>
        <w:pStyle w:val="Style30"/>
        <w:numPr>
          <w:ilvl w:val="0"/>
          <w:numId w:val="141"/>
        </w:numPr>
        <w:tabs>
          <w:tab w:leader="none" w:pos="236" w:val="left"/>
        </w:tabs>
        <w:widowControl w:val="0"/>
        <w:keepNext w:val="0"/>
        <w:keepLines w:val="0"/>
        <w:shd w:val="clear" w:color="auto" w:fill="auto"/>
        <w:bidi w:val="0"/>
        <w:spacing w:before="0" w:after="0"/>
        <w:ind w:left="260" w:right="0"/>
      </w:pPr>
      <w:r>
        <w:pict>
          <v:shape id="_x0000_s1680" type="#_x0000_t75" style="position:absolute;margin-left:130.8pt;margin-top:738.25pt;width:209.75pt;height:14.9pt;z-index:-125828923;mso-wrap-distance-left:124.8pt;mso-wrap-distance-right:148.1pt;mso-wrap-distance-bottom:10.8pt;mso-position-horizontal-relative:margin;mso-position-vertical-relative:margin" wrapcoords="0 0 21600 0 21600 21600 0 21600 0 0">
            <v:imagedata r:id="rId1090" r:href="rId1091"/>
            <w10:wrap type="topAndBottom" anchorx="margin" anchory="margin"/>
          </v:shape>
        </w:pict>
      </w:r>
      <w:r>
        <w:rPr>
          <w:lang w:val="ru-RU" w:eastAsia="ru-RU" w:bidi="ru-RU"/>
          <w:w w:val="100"/>
          <w:spacing w:val="0"/>
          <w:color w:val="000000"/>
          <w:position w:val="0"/>
        </w:rPr>
        <w:t>При обнаружении дополнительного образования по данным эхокардиографии в первую очередь необхо</w:t>
        <w:softHyphen/>
        <w:t>димо исключить тромб в полостях сердца.</w:t>
      </w:r>
      <w:r>
        <w:br w:type="page"/>
      </w:r>
    </w:p>
    <w:p>
      <w:pPr>
        <w:pStyle w:val="Style92"/>
        <w:widowControl w:val="0"/>
        <w:keepNext/>
        <w:keepLines/>
        <w:shd w:val="clear" w:color="auto" w:fill="auto"/>
        <w:bidi w:val="0"/>
        <w:spacing w:before="0" w:after="0"/>
        <w:ind w:left="280" w:right="0"/>
      </w:pPr>
      <w:bookmarkStart w:id="710" w:name="bookmark710"/>
      <w:r>
        <w:rPr>
          <w:lang w:val="ru-RU" w:eastAsia="ru-RU" w:bidi="ru-RU"/>
          <w:w w:val="100"/>
          <w:spacing w:val="0"/>
          <w:color w:val="000000"/>
          <w:position w:val="0"/>
        </w:rPr>
        <w:t>Медицинская помощь</w:t>
      </w:r>
      <w:bookmarkEnd w:id="710"/>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большинства детей опухоли сердца доброкачест</w:t>
        <w:softHyphen/>
        <w:t>венные и не требуют лечения до тех пор, пока не по</w:t>
        <w:softHyphen/>
        <w:t>явится симптоматика обструкции или рефрактерные аритмии. Эти дети нуждаются в постоянном контро</w:t>
        <w:softHyphen/>
        <w:t>ле и углубленном обследовании. Это напряженная ситуация и для пациента, и для семейства. Достигая точного диагноза, врач может предложить лучший подход к лечению.</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Принципы лечения зависят от вида опухоли (добро</w:t>
        <w:softHyphen/>
        <w:t>качественный или злокачественный, инфильтратив</w:t>
        <w:softHyphen/>
        <w:t>ный или локальный).</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резекция опухоли показана при воз</w:t>
        <w:softHyphen/>
        <w:t>никновении обструкции или рефрактерной аритмии.</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Иссечение опухоли:</w:t>
      </w:r>
    </w:p>
    <w:p>
      <w:pPr>
        <w:pStyle w:val="Style30"/>
        <w:numPr>
          <w:ilvl w:val="0"/>
          <w:numId w:val="14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проводится как можно полное иссечение опухоли;</w:t>
      </w:r>
    </w:p>
    <w:p>
      <w:pPr>
        <w:pStyle w:val="Style30"/>
        <w:numPr>
          <w:ilvl w:val="0"/>
          <w:numId w:val="14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некоторые опухоли появляются вновь даже после полного удаления;</w:t>
      </w:r>
    </w:p>
    <w:p>
      <w:pPr>
        <w:pStyle w:val="Style30"/>
        <w:numPr>
          <w:ilvl w:val="0"/>
          <w:numId w:val="147"/>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обширная резекция опухоли может сопровождать</w:t>
        <w:softHyphen/>
        <w:t>ся высоким риском, если проводится удаление па</w:t>
        <w:softHyphen/>
        <w:t>пиллярных мышц, сухожильных нитей, клапанов и тканей проводящей системы.</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Трансплантация сердца проводится при невозможно - сти удаления доброкачественной опухоли хирургиче</w:t>
        <w:softHyphen/>
        <w:t>ским путем. При злокачественных опухолях транс</w:t>
        <w:softHyphen/>
        <w:t>плантация сердца не во всех случаях эффективна да</w:t>
        <w:softHyphen/>
        <w:t>же при отсутствии метастазов.</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Сердечная саркома редко является курабельной, од</w:t>
        <w:softHyphen/>
        <w:t>нако возможно длительное выживание, если осущес</w:t>
        <w:softHyphen/>
        <w:t>твима хирургическая резекция опухоли. Экспланта</w:t>
        <w:softHyphen/>
        <w:t>ция и автотрансплантация сердца могут помочь в до</w:t>
        <w:softHyphen/>
        <w:t>стижении более полного иссечения опухоли.</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Полное или частичное иссечение первичной или ме</w:t>
        <w:softHyphen/>
        <w:t>тастатической саркомы сердца приводит к улучше</w:t>
        <w:softHyphen/>
        <w:t>нию гемодинамических показателей и уменьшению проявлений застойной сердечной недостаточности.</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Перикардэктомия или создание постоянного пери</w:t>
        <w:softHyphen/>
        <w:t>кардиального дренажа позволяет избежать симптома</w:t>
        <w:softHyphen/>
        <w:t>тики сдавления и острой тампонады.</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После хирургической коррекции проводятся радио</w:t>
        <w:softHyphen/>
        <w:t>терапия или химиотерапия, которые уменьшают рост опухоли и пролонгируют продолжительность жизни у таких больных.</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После успешно проведенной операции при доброка</w:t>
        <w:softHyphen/>
        <w:t>чественной опухоли сердца ребенок не нуждается в медикаментозной терапии, однако находится под постоянным наблюдением кардиолога. При резекции злокачественной опухоли детям, как правило, назна</w:t>
        <w:softHyphen/>
        <w:t>чается химиотерапия, возможно в комбинации с ра</w:t>
        <w:softHyphen/>
        <w:t>диотерапией.</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Осуществляется регулярный контроль, включая эхо</w:t>
        <w:softHyphen/>
        <w:t>кардиографическое обследование.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Активность</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отсутствии клинических симптомов опухоли сердца и факторов риска аритмий активность ребен</w:t>
        <w:softHyphen/>
        <w:t>ка не ограничивается.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 включают развитие аритмии, застойной сердечной недостаточности, тромбоэмболии, рас</w:t>
        <w:softHyphen/>
        <w:t>пространение метастазов.</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 зависят от типа сердечной опухоли.</w:t>
      </w:r>
    </w:p>
    <w:p>
      <w:pPr>
        <w:pStyle w:val="Style92"/>
        <w:widowControl w:val="0"/>
        <w:keepNext/>
        <w:keepLines/>
        <w:shd w:val="clear" w:color="auto" w:fill="auto"/>
        <w:bidi w:val="0"/>
        <w:spacing w:before="0" w:after="0"/>
        <w:ind w:left="500" w:right="0" w:hanging="220"/>
      </w:pPr>
      <w:r>
        <w:br w:type="column"/>
      </w:r>
      <w:bookmarkStart w:id="711" w:name="bookmark711"/>
      <w:r>
        <w:rPr>
          <w:lang w:val="ru-RU" w:eastAsia="ru-RU" w:bidi="ru-RU"/>
          <w:w w:val="100"/>
          <w:spacing w:val="0"/>
          <w:color w:val="000000"/>
          <w:position w:val="0"/>
        </w:rPr>
        <w:t>Прогноз</w:t>
      </w:r>
      <w:bookmarkEnd w:id="711"/>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Прогноз зависит от типа опухоли:</w:t>
      </w:r>
    </w:p>
    <w:p>
      <w:pPr>
        <w:pStyle w:val="Style30"/>
        <w:numPr>
          <w:ilvl w:val="0"/>
          <w:numId w:val="14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Доброкачественные опухоли имеют благоприят</w:t>
        <w:softHyphen/>
        <w:t>ный прогноз, за исключением случаев, когда опу</w:t>
        <w:softHyphen/>
        <w:t>холь приводит к обструкции или рефрактерной аритмии.</w:t>
      </w:r>
    </w:p>
    <w:p>
      <w:pPr>
        <w:pStyle w:val="Style30"/>
        <w:numPr>
          <w:ilvl w:val="0"/>
          <w:numId w:val="14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При первичных злокачественных новообразова</w:t>
        <w:softHyphen/>
        <w:t>ниях сердца прогноз неблагоприятный.</w:t>
      </w:r>
    </w:p>
    <w:p>
      <w:pPr>
        <w:pStyle w:val="Style30"/>
        <w:numPr>
          <w:ilvl w:val="0"/>
          <w:numId w:val="14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Прогноз при метастатических неоплазмах сердца определяется гистологическим типом новообразо</w:t>
        <w:softHyphen/>
        <w:t>вания.</w:t>
      </w:r>
    </w:p>
    <w:p>
      <w:pPr>
        <w:pStyle w:val="Style30"/>
        <w:numPr>
          <w:ilvl w:val="0"/>
          <w:numId w:val="14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Некоторые опухоли даже после полной резекции могут рецидивировать.</w:t>
      </w:r>
    </w:p>
    <w:p>
      <w:pPr>
        <w:pStyle w:val="Style30"/>
        <w:numPr>
          <w:ilvl w:val="0"/>
          <w:numId w:val="141"/>
        </w:numPr>
        <w:tabs>
          <w:tab w:leader="none" w:pos="735" w:val="left"/>
        </w:tabs>
        <w:widowControl w:val="0"/>
        <w:keepNext w:val="0"/>
        <w:keepLines w:val="0"/>
        <w:shd w:val="clear" w:color="auto" w:fill="auto"/>
        <w:bidi w:val="0"/>
        <w:spacing w:before="0" w:after="177"/>
        <w:ind w:left="740" w:right="0" w:hanging="240"/>
      </w:pPr>
      <w:r>
        <w:rPr>
          <w:lang w:val="ru-RU" w:eastAsia="ru-RU" w:bidi="ru-RU"/>
          <w:w w:val="100"/>
          <w:spacing w:val="0"/>
          <w:color w:val="000000"/>
          <w:position w:val="0"/>
        </w:rPr>
        <w:t>У большинства детей с первичными опухолями сердца прогноз благоприятный.</w:t>
      </w:r>
    </w:p>
    <w:p>
      <w:pPr>
        <w:pStyle w:val="Style28"/>
        <w:widowControl w:val="0"/>
        <w:keepNext/>
        <w:keepLines/>
        <w:shd w:val="clear" w:color="auto" w:fill="auto"/>
        <w:bidi w:val="0"/>
        <w:jc w:val="left"/>
        <w:spacing w:before="0" w:after="136" w:line="220" w:lineRule="exact"/>
        <w:ind w:left="0" w:right="0" w:firstLine="0"/>
      </w:pPr>
      <w:bookmarkStart w:id="712" w:name="bookmark712"/>
      <w:r>
        <w:rPr>
          <w:lang w:val="ru-RU" w:eastAsia="ru-RU" w:bidi="ru-RU"/>
          <w:w w:val="100"/>
          <w:spacing w:val="0"/>
          <w:color w:val="000000"/>
          <w:position w:val="0"/>
        </w:rPr>
        <w:t>Доброкачественные опухоли сердца</w:t>
      </w:r>
      <w:bookmarkEnd w:id="712"/>
    </w:p>
    <w:p>
      <w:pPr>
        <w:pStyle w:val="Style54"/>
        <w:widowControl w:val="0"/>
        <w:keepNext/>
        <w:keepLines/>
        <w:shd w:val="clear" w:color="auto" w:fill="auto"/>
        <w:bidi w:val="0"/>
        <w:jc w:val="left"/>
        <w:spacing w:before="0" w:after="99" w:line="210" w:lineRule="exact"/>
        <w:ind w:left="0" w:right="0" w:firstLine="0"/>
      </w:pPr>
      <w:bookmarkStart w:id="713" w:name="bookmark713"/>
      <w:r>
        <w:rPr>
          <w:lang w:val="ru-RU" w:eastAsia="ru-RU" w:bidi="ru-RU"/>
          <w:w w:val="100"/>
          <w:spacing w:val="0"/>
          <w:color w:val="000000"/>
          <w:position w:val="0"/>
        </w:rPr>
        <w:t>Рабдомиома сердца</w:t>
      </w:r>
      <w:bookmarkEnd w:id="713"/>
    </w:p>
    <w:p>
      <w:pPr>
        <w:pStyle w:val="Style30"/>
        <w:numPr>
          <w:ilvl w:val="0"/>
          <w:numId w:val="141"/>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Рабдомиома является наиболее частой доброкачест</w:t>
        <w:softHyphen/>
        <w:t>венной первичной опухолью сердца, у новорожден</w:t>
        <w:softHyphen/>
        <w:t>ных составляет 58,6%, у детей более старшего возрас</w:t>
        <w:softHyphen/>
        <w:t>та — 39,3% среди всех опухолей сердца. Она образует</w:t>
        <w:softHyphen/>
        <w:t>ся из эмбриональных мышечных клеток в результате ранних нарушений дизэмбриогенеза.</w:t>
      </w:r>
    </w:p>
    <w:p>
      <w:pPr>
        <w:pStyle w:val="Style30"/>
        <w:numPr>
          <w:ilvl w:val="0"/>
          <w:numId w:val="141"/>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Рабдомиоматозные образования могут быть в виде одного узла или множественными. Они, как правило, локализуются в желудочках и имеют смешанный ин- тра-экстрамуральный рост. В редких случаях рабдо- миомы могут локализоваться в предсердиях, исходя из межпредсердной перегородки.</w:t>
      </w:r>
    </w:p>
    <w:p>
      <w:pPr>
        <w:pStyle w:val="Style30"/>
        <w:numPr>
          <w:ilvl w:val="0"/>
          <w:numId w:val="141"/>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Макроскопически рабдомиомы округлой формы, достигают 10 см в диаметре, но могут быть маленьки</w:t>
        <w:softHyphen/>
        <w:t>ми, обычно не имеют капсулы, мягкие, бело-розово</w:t>
        <w:softHyphen/>
        <w:t>го цвета.</w:t>
      </w:r>
    </w:p>
    <w:p>
      <w:pPr>
        <w:pStyle w:val="Style30"/>
        <w:numPr>
          <w:ilvl w:val="0"/>
          <w:numId w:val="141"/>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Гистологически опухоль имеет ячеистое строение, ха</w:t>
        <w:softHyphen/>
        <w:t>рактерны паукообразные большие клетки с централь</w:t>
        <w:softHyphen/>
        <w:t>но расположенным, богатым хроматином ядром, в котором видно большое ядрышко. Цитоплазма кле</w:t>
        <w:softHyphen/>
        <w:t>ток содержит много полисахаридов, гистохимически отличных от гликогена.</w:t>
      </w:r>
    </w:p>
    <w:p>
      <w:pPr>
        <w:pStyle w:val="Style30"/>
        <w:numPr>
          <w:ilvl w:val="0"/>
          <w:numId w:val="141"/>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Иммуногистохимическое исследование рабдомиомы подтверждает положительную реакцию на миогло- бин, актин, десмин и виментин, а также отрицатель</w:t>
        <w:softHyphen/>
        <w:t xml:space="preserve">ную реакцию на протеин </w:t>
      </w:r>
      <w:r>
        <w:rPr>
          <w:lang w:val="en-US" w:eastAsia="en-US" w:bidi="en-US"/>
          <w:w w:val="100"/>
          <w:spacing w:val="0"/>
          <w:color w:val="000000"/>
          <w:position w:val="0"/>
        </w:rPr>
        <w:t xml:space="preserve">S-100 </w:t>
      </w:r>
      <w:r>
        <w:rPr>
          <w:lang w:val="ru-RU" w:eastAsia="ru-RU" w:bidi="ru-RU"/>
          <w:w w:val="100"/>
          <w:spacing w:val="0"/>
          <w:color w:val="000000"/>
          <w:position w:val="0"/>
        </w:rPr>
        <w:t>(4).</w:t>
      </w:r>
    </w:p>
    <w:p>
      <w:pPr>
        <w:pStyle w:val="Style30"/>
        <w:numPr>
          <w:ilvl w:val="0"/>
          <w:numId w:val="141"/>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Рабдомиома сердца с высокой частотой ассоциируется с туберозным склерозом (болезнь Бурневиля). При этом рабдомиома может явиться первой манифестацией бо</w:t>
        <w:softHyphen/>
        <w:t>лезни, а при последующем обследовании больного вы</w:t>
        <w:softHyphen/>
        <w:t>является симптомокомплекс туберозного склероза.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Клиническая симптоматика</w:t>
      </w:r>
    </w:p>
    <w:p>
      <w:pPr>
        <w:pStyle w:val="Style30"/>
        <w:numPr>
          <w:ilvl w:val="0"/>
          <w:numId w:val="141"/>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Особенности локализации и роста опухоли определя - ют широкий спектр клинических проявлений.</w:t>
      </w:r>
    </w:p>
    <w:p>
      <w:pPr>
        <w:pStyle w:val="Style30"/>
        <w:numPr>
          <w:ilvl w:val="0"/>
          <w:numId w:val="141"/>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преимущественном интрамуральном росте воз</w:t>
        <w:softHyphen/>
        <w:t>никают различные нарушения ритма сердца и прово - димости.</w:t>
      </w:r>
    </w:p>
    <w:p>
      <w:pPr>
        <w:pStyle w:val="Style30"/>
        <w:numPr>
          <w:ilvl w:val="0"/>
          <w:numId w:val="141"/>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Внутриполостная локализация рабдомиом может обусловливать обструкцию выводных трактов либо приточных отделов сердца.</w:t>
      </w:r>
    </w:p>
    <w:p>
      <w:pPr>
        <w:pStyle w:val="Style30"/>
        <w:numPr>
          <w:ilvl w:val="0"/>
          <w:numId w:val="141"/>
        </w:numPr>
        <w:tabs>
          <w:tab w:leader="none" w:pos="520" w:val="left"/>
        </w:tabs>
        <w:widowControl w:val="0"/>
        <w:keepNext w:val="0"/>
        <w:keepLines w:val="0"/>
        <w:shd w:val="clear" w:color="auto" w:fill="auto"/>
        <w:bidi w:val="0"/>
        <w:spacing w:before="0" w:after="0"/>
        <w:ind w:left="500" w:right="0" w:hanging="220"/>
      </w:pPr>
      <w:r>
        <w:pict>
          <v:shape id="_x0000_s1681" type="#_x0000_t75" style="position:absolute;margin-left:142.2pt;margin-top:738.25pt;width:209.75pt;height:14.9pt;z-index:-125828922;mso-wrap-distance-left:136.1pt;mso-wrap-distance-right:136.55pt;mso-wrap-distance-bottom:10.8pt;mso-position-horizontal-relative:margin;mso-position-vertical-relative:margin" wrapcoords="0 0 21600 0 21600 21600 0 21600 0 0">
            <v:imagedata r:id="rId1092" r:href="rId1093"/>
            <w10:wrap type="topAndBottom" anchorx="margin" anchory="margin"/>
          </v:shape>
        </w:pict>
      </w:r>
      <w:r>
        <w:rPr>
          <w:lang w:val="ru-RU" w:eastAsia="ru-RU" w:bidi="ru-RU"/>
          <w:w w:val="100"/>
          <w:spacing w:val="0"/>
          <w:color w:val="000000"/>
          <w:position w:val="0"/>
        </w:rPr>
        <w:t>Мелкие множественные рабдомиомы (рис. 82) не со</w:t>
        <w:softHyphen/>
        <w:t>провождаются гемодинамическими нарушениями,</w:t>
      </w:r>
      <w:r>
        <w:br w:type="page"/>
      </w:r>
    </w:p>
    <w:p>
      <w:pPr>
        <w:pStyle w:val="Style30"/>
        <w:widowControl w:val="0"/>
        <w:keepNext w:val="0"/>
        <w:keepLines w:val="0"/>
        <w:shd w:val="clear" w:color="auto" w:fill="auto"/>
        <w:bidi w:val="0"/>
        <w:spacing w:before="0" w:after="0"/>
        <w:ind w:left="260" w:right="0" w:firstLine="0"/>
      </w:pPr>
      <w:r>
        <w:pict>
          <v:shape id="_x0000_s1682" type="#_x0000_t75" style="position:absolute;margin-left:-5.75pt;margin-top:2.4pt;width:291.85pt;height:245.75pt;z-index:-125828921;mso-wrap-distance-left:5.pt;mso-wrap-distance-right:23.75pt;mso-position-horizontal-relative:margin;mso-position-vertical-relative:margin" wrapcoords="0 0 21600 0 21600 21600 0 21600 0 0">
            <v:imagedata r:id="rId1094" r:href="rId1095"/>
            <w10:wrap type="topAndBottom" anchorx="margin" anchory="margin"/>
          </v:shape>
        </w:pict>
      </w:r>
      <w:r>
        <w:pict>
          <v:shape id="_x0000_s1683" type="#_x0000_t202" style="position:absolute;margin-left:309.6pt;margin-top:20.4pt;width:178.55pt;height:31.65pt;z-index:-125828920;mso-wrap-distance-left:38.25pt;mso-wrap-distance-top:18.pt;mso-wrap-distance-right:5.pt;mso-position-horizontal-relative:margin;mso-position-vertic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123"/>
                    </w:rPr>
                    <w:t xml:space="preserve">Рис. 82. </w:t>
                  </w:r>
                  <w:r>
                    <w:rPr>
                      <w:rStyle w:val="CharStyle90"/>
                    </w:rPr>
                    <w:t>Множественные рабдомиомы сердца у ребенка с непароксизмальной суправентрику</w:t>
                    <w:softHyphen/>
                    <w:t>лярной тахикардией.</w:t>
                  </w:r>
                </w:p>
              </w:txbxContent>
            </v:textbox>
            <w10:wrap type="topAndBottom" anchorx="margin" anchory="margin"/>
          </v:shape>
        </w:pict>
      </w:r>
      <w:r>
        <w:rPr>
          <w:lang w:val="ru-RU" w:eastAsia="ru-RU" w:bidi="ru-RU"/>
          <w:w w:val="100"/>
          <w:spacing w:val="0"/>
          <w:color w:val="000000"/>
          <w:position w:val="0"/>
        </w:rPr>
        <w:t xml:space="preserve">однако во всех случаях при ХМ ЭКГ обнаруживаются различные ЭКГ феномены: синдром </w:t>
      </w:r>
      <w:r>
        <w:rPr>
          <w:lang w:val="en-US" w:eastAsia="en-US" w:bidi="en-US"/>
          <w:w w:val="100"/>
          <w:spacing w:val="0"/>
          <w:color w:val="000000"/>
          <w:position w:val="0"/>
        </w:rPr>
        <w:t xml:space="preserve">WPW, </w:t>
      </w:r>
      <w:r>
        <w:rPr>
          <w:lang w:val="ru-RU" w:eastAsia="ru-RU" w:bidi="ru-RU"/>
          <w:w w:val="100"/>
          <w:spacing w:val="0"/>
          <w:color w:val="000000"/>
          <w:position w:val="0"/>
        </w:rPr>
        <w:t>непаро</w:t>
        <w:softHyphen/>
        <w:t>ксизмальная суправентрикулярная тахикардия, желу</w:t>
        <w:softHyphen/>
        <w:t>дочковая экстрасистолия.</w:t>
      </w:r>
    </w:p>
    <w:p>
      <w:pPr>
        <w:pStyle w:val="Style30"/>
        <w:numPr>
          <w:ilvl w:val="0"/>
          <w:numId w:val="141"/>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Возможна полная атриовентрикулярная блокада с при</w:t>
        <w:softHyphen/>
        <w:t>ступами Морганьи-Адамса-Стокса (интрамуральная рабдомиома межжелудочковой перегородки) (рис. 83).</w:t>
      </w:r>
    </w:p>
    <w:p>
      <w:pPr>
        <w:pStyle w:val="Style30"/>
        <w:numPr>
          <w:ilvl w:val="0"/>
          <w:numId w:val="141"/>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Тромбоэмболические осложнения для рабдомиом сердца не характерны.</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w:t>
      </w:r>
    </w:p>
    <w:p>
      <w:pPr>
        <w:pStyle w:val="Style30"/>
        <w:numPr>
          <w:ilvl w:val="0"/>
          <w:numId w:val="141"/>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Рабдомиома сердца с высокой частотой ассоциирует</w:t>
        <w:softHyphen/>
        <w:t>ся с синдромом преэкзитации, что связано с прорас</w:t>
        <w:softHyphen/>
        <w:t>танием опухолью миокарда.</w:t>
      </w:r>
    </w:p>
    <w:p>
      <w:pPr>
        <w:pStyle w:val="Style30"/>
        <w:numPr>
          <w:ilvl w:val="0"/>
          <w:numId w:val="141"/>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интрамуральном росте опухоли часто наблюда</w:t>
        <w:softHyphen/>
        <w:t>ются суправентрикулярные и желудочковые аритмии.</w:t>
      </w:r>
    </w:p>
    <w:p>
      <w:pPr>
        <w:pStyle w:val="Style30"/>
        <w:numPr>
          <w:ilvl w:val="0"/>
          <w:numId w:val="141"/>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Редко наблюдается синдром слабости синусового уз</w:t>
        <w:softHyphen/>
        <w:t>ла с пролонгированными периодами асистолии.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w:t>
      </w:r>
    </w:p>
    <w:p>
      <w:pPr>
        <w:pStyle w:val="Style30"/>
        <w:numPr>
          <w:ilvl w:val="0"/>
          <w:numId w:val="141"/>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Рабдомиомы сердца могут обнаруживаться у плодов беременных женщин, страдающих туберозным скле</w:t>
        <w:softHyphen/>
        <w:t>розом, при проведении эхокардиографии начиная с 21 недели гестации.</w:t>
      </w:r>
    </w:p>
    <w:p>
      <w:pPr>
        <w:pStyle w:val="Style30"/>
        <w:numPr>
          <w:ilvl w:val="0"/>
          <w:numId w:val="141"/>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Наиболее высокая частота рабдомиомы сердца при проведении эхокардиографии наблюдается у ново</w:t>
        <w:softHyphen/>
        <w:t>рожденных и детей грудного возраста.</w:t>
      </w:r>
    </w:p>
    <w:p>
      <w:pPr>
        <w:pStyle w:val="Style30"/>
        <w:numPr>
          <w:ilvl w:val="0"/>
          <w:numId w:val="141"/>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Эхокардиография позволяет проследить динамику роста опухоли (возможен спонтанный регресс), влия</w:t>
        <w:softHyphen/>
        <w:t>ние ее на клапанный аппарат сердца.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Магниторезонансная томография:</w:t>
      </w:r>
    </w:p>
    <w:p>
      <w:pPr>
        <w:pStyle w:val="Style30"/>
        <w:numPr>
          <w:ilvl w:val="0"/>
          <w:numId w:val="141"/>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Магниторезонансная томография более информа</w:t>
        <w:softHyphen/>
        <w:t>тивна при определении степени прорастания мио</w:t>
        <w:softHyphen/>
        <w:t>карда, поскольку позволяет определить «демаркаци</w:t>
        <w:softHyphen/>
        <w:t>онную» линию опухоли от рабочего миокарда.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Медицинская помощь</w:t>
      </w:r>
    </w:p>
    <w:p>
      <w:pPr>
        <w:pStyle w:val="Style30"/>
        <w:numPr>
          <w:ilvl w:val="0"/>
          <w:numId w:val="141"/>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Дети с рабдомиомой сердца, протекающей бессимп</w:t>
        <w:softHyphen/>
        <w:t>томно, не нуждаются в медикаментозной коррекции.</w:t>
      </w:r>
    </w:p>
    <w:p>
      <w:pPr>
        <w:pStyle w:val="Style30"/>
        <w:numPr>
          <w:ilvl w:val="0"/>
          <w:numId w:val="141"/>
        </w:numPr>
        <w:tabs>
          <w:tab w:leader="none" w:pos="239"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Обычно аритмия при рабдомиомах рефрактерна к медикаментозной коррекции. Назначение анти</w:t>
        <w:softHyphen/>
        <w:t>аритмических препаратов проводится с целью про</w:t>
        <w:softHyphen/>
        <w:t>филактики жизнеугрожаемых аритмий и внезапной аритмогенной смерти.</w:t>
      </w:r>
    </w:p>
    <w:p>
      <w:pPr>
        <w:pStyle w:val="Style30"/>
        <w:numPr>
          <w:ilvl w:val="0"/>
          <w:numId w:val="141"/>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Ретроспективные исследования за размером желу</w:t>
        <w:softHyphen/>
        <w:t>дочковых рабдомиом через 10 лет от момента их вы</w:t>
        <w:softHyphen/>
        <w:t>явления указали на значительное уменьшение опухо</w:t>
        <w:softHyphen/>
        <w:t>лей (в среднем на 74%), а в ряде случаев полное их ис</w:t>
        <w:softHyphen/>
        <w:t>чезновение.</w:t>
      </w:r>
    </w:p>
    <w:p>
      <w:pPr>
        <w:pStyle w:val="Style30"/>
        <w:numPr>
          <w:ilvl w:val="0"/>
          <w:numId w:val="141"/>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Спонтанная регрессия рабдомиомы наблюдается только у детей до 6-летнего возраста.</w:t>
      </w:r>
    </w:p>
    <w:p>
      <w:pPr>
        <w:pStyle w:val="Style30"/>
        <w:numPr>
          <w:ilvl w:val="0"/>
          <w:numId w:val="141"/>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Обычно после 4-6 лет опухоли не исчезают, однако могут несколько уменьшаться в размере.</w:t>
      </w:r>
    </w:p>
    <w:p>
      <w:pPr>
        <w:pStyle w:val="Style30"/>
        <w:numPr>
          <w:ilvl w:val="0"/>
          <w:numId w:val="141"/>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Регресс опухоли может наблюдаться в размере и/или числе. Регрессия опухоли связана с дегенеративными явлениями в массе опухоли.</w:t>
      </w:r>
    </w:p>
    <w:p>
      <w:pPr>
        <w:pStyle w:val="Style30"/>
        <w:numPr>
          <w:ilvl w:val="0"/>
          <w:numId w:val="141"/>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Регрессия опухоли может быть подтверждена гисто</w:t>
        <w:softHyphen/>
        <w:t>логически: клетка теряет способность делиться, име</w:t>
        <w:softHyphen/>
        <w:t>ет только одно ядро, элементы цитоплазмы плохо прокрашиваются.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141"/>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Хирургическое лечение показано, если опухоль вы</w:t>
        <w:softHyphen/>
        <w:t>зывает обструкцию в приточных или отточных отде</w:t>
        <w:softHyphen/>
        <w:t>лах желудочков или если она обусловливает тяжелые нарушения ритма сердца.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141"/>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Проводится динамичный эхокардиографический контроль за размерами опухоли.</w:t>
      </w:r>
    </w:p>
    <w:p>
      <w:pPr>
        <w:pStyle w:val="Style30"/>
        <w:numPr>
          <w:ilvl w:val="0"/>
          <w:numId w:val="141"/>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 включая суточное монитори- рование при интрамуральном росте опухоли, прово</w:t>
        <w:softHyphen/>
        <w:t>дится 1 раз в месяц, при внутриполостном росте — каждые 3-4 месяца. При возникновении аритмии на</w:t>
        <w:softHyphen/>
        <w:t>значают противоаритмические препараты.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Осложнения</w:t>
      </w:r>
    </w:p>
    <w:p>
      <w:pPr>
        <w:pStyle w:val="Style30"/>
        <w:numPr>
          <w:ilvl w:val="0"/>
          <w:numId w:val="141"/>
        </w:numPr>
        <w:tabs>
          <w:tab w:leader="none" w:pos="239" w:val="left"/>
        </w:tabs>
        <w:widowControl w:val="0"/>
        <w:keepNext w:val="0"/>
        <w:keepLines w:val="0"/>
        <w:shd w:val="clear" w:color="auto" w:fill="auto"/>
        <w:bidi w:val="0"/>
        <w:spacing w:before="0" w:after="0"/>
        <w:ind w:left="280" w:right="0" w:hanging="280"/>
      </w:pPr>
      <w:r>
        <w:pict>
          <v:shape id="_x0000_s1684" type="#_x0000_t75" style="position:absolute;margin-left:130.55pt;margin-top:738.25pt;width:209.75pt;height:14.9pt;z-index:-125828919;mso-wrap-distance-left:124.3pt;mso-wrap-distance-right:148.1pt;mso-wrap-distance-bottom:10.8pt;mso-position-horizontal-relative:margin;mso-position-vertical-relative:margin" wrapcoords="0 0 21600 0 21600 21600 0 21600 0 0">
            <v:imagedata r:id="rId1096" r:href="rId1097"/>
            <w10:wrap type="topAndBottom" anchorx="margin" anchory="margin"/>
          </v:shape>
        </w:pict>
      </w:r>
      <w:r>
        <w:rPr>
          <w:lang w:val="ru-RU" w:eastAsia="ru-RU" w:bidi="ru-RU"/>
          <w:w w:val="100"/>
          <w:spacing w:val="0"/>
          <w:color w:val="000000"/>
          <w:position w:val="0"/>
        </w:rPr>
        <w:t>Обструкция выносящего тракта левого или правого желудочка.</w:t>
      </w:r>
      <w:r>
        <w:br w:type="page"/>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pict>
          <v:shape id="_x0000_s1685" type="#_x0000_t202" style="position:absolute;margin-left:-0.1pt;margin-top:20.9pt;width:163.2pt;height:41.25pt;z-index:-125828918;mso-wrap-distance-left:5.pt;mso-wrap-distance-right: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22"/>
                    </w:rPr>
                    <w:t xml:space="preserve">Рис. 83. </w:t>
                  </w:r>
                  <w:r>
                    <w:rPr>
                      <w:rStyle w:val="CharStyle121"/>
                    </w:rPr>
                    <w:t>Рабдомиома межжелудочковой пе</w:t>
                    <w:softHyphen/>
                    <w:t>регородки с преимущественным интраму</w:t>
                    <w:softHyphen/>
                    <w:t>ральным ростом у ребенка с полной атрио</w:t>
                    <w:softHyphen/>
                    <w:t>вентрикулярной блокадой.</w:t>
                  </w:r>
                </w:p>
              </w:txbxContent>
            </v:textbox>
            <w10:wrap type="topAndBottom" anchorx="margin" anchory="margin"/>
          </v:shape>
        </w:pict>
      </w:r>
      <w:r>
        <w:pict>
          <v:shape id="_x0000_s1686" type="#_x0000_t75" style="position:absolute;margin-left:178.7pt;margin-top:2.9pt;width:314.9pt;height:248.65pt;z-index:-125828917;mso-wrap-distance-left:5.pt;mso-wrap-distance-right:5.pt;mso-position-horizontal-relative:margin;mso-position-vertical-relative:margin">
            <v:imagedata r:id="rId1098" r:href="rId1099"/>
            <w10:wrap type="topAndBottom" anchorx="margin" anchory="margin"/>
          </v:shape>
        </w:pict>
      </w:r>
      <w:r>
        <w:rPr>
          <w:lang w:val="ru-RU" w:eastAsia="ru-RU" w:bidi="ru-RU"/>
          <w:w w:val="100"/>
          <w:spacing w:val="0"/>
          <w:color w:val="000000"/>
          <w:position w:val="0"/>
        </w:rPr>
        <w:t>Синкопальные состояния.</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Застойная сердечная недостаточность.</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Перикардиальный выпот (редко).</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Пароксизмальная наджелудочковая тахикардия.</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Желудочковые аритмии.</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Внезапная смерть.</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Прогноз</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Прогноз рабдомиомы сердца в целом благоприятный.</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Возможен спонтанный регресс опухоли.</w:t>
      </w:r>
    </w:p>
    <w:p>
      <w:pPr>
        <w:pStyle w:val="Style30"/>
        <w:numPr>
          <w:ilvl w:val="0"/>
          <w:numId w:val="141"/>
        </w:numPr>
        <w:tabs>
          <w:tab w:leader="none" w:pos="497" w:val="left"/>
        </w:tabs>
        <w:widowControl w:val="0"/>
        <w:keepNext w:val="0"/>
        <w:keepLines w:val="0"/>
        <w:shd w:val="clear" w:color="auto" w:fill="auto"/>
        <w:bidi w:val="0"/>
        <w:spacing w:before="0" w:after="305"/>
        <w:ind w:left="500" w:right="0" w:hanging="240"/>
      </w:pPr>
      <w:r>
        <w:rPr>
          <w:lang w:val="ru-RU" w:eastAsia="ru-RU" w:bidi="ru-RU"/>
          <w:w w:val="100"/>
          <w:spacing w:val="0"/>
          <w:color w:val="000000"/>
          <w:position w:val="0"/>
        </w:rPr>
        <w:t>Внезапная сердечная смерть имеет аритмогенное происхождение, составляет 5% среди детей с рабдо- миомами.</w:t>
      </w:r>
    </w:p>
    <w:p>
      <w:pPr>
        <w:pStyle w:val="Style54"/>
        <w:widowControl w:val="0"/>
        <w:keepNext/>
        <w:keepLines/>
        <w:shd w:val="clear" w:color="auto" w:fill="auto"/>
        <w:bidi w:val="0"/>
        <w:jc w:val="left"/>
        <w:spacing w:before="0" w:after="39" w:line="210" w:lineRule="exact"/>
        <w:ind w:left="0" w:right="0" w:firstLine="0"/>
      </w:pPr>
      <w:bookmarkStart w:id="714" w:name="bookmark714"/>
      <w:r>
        <w:rPr>
          <w:lang w:val="ru-RU" w:eastAsia="ru-RU" w:bidi="ru-RU"/>
          <w:w w:val="100"/>
          <w:spacing w:val="0"/>
          <w:color w:val="000000"/>
          <w:position w:val="0"/>
        </w:rPr>
        <w:t>Рабдомиома при туберозном склерозе</w:t>
      </w:r>
      <w:bookmarkEnd w:id="714"/>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Туберозный склероз (ТС) является аутосомно-доми- нантным заболеванием и характеризуется судорога</w:t>
        <w:softHyphen/>
        <w:t>ми, умственной отсталостью, гамартоматозными по</w:t>
        <w:softHyphen/>
        <w:t>вреждениями преимущественно в мозге, сердце, поч</w:t>
        <w:softHyphen/>
        <w:t>ках и коже.</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Известно, что ген ТС локализован на хромосомах </w:t>
      </w:r>
      <w:r>
        <w:rPr>
          <w:lang w:val="en-US" w:eastAsia="en-US" w:bidi="en-US"/>
          <w:w w:val="100"/>
          <w:spacing w:val="0"/>
          <w:color w:val="000000"/>
          <w:position w:val="0"/>
        </w:rPr>
        <w:t xml:space="preserve">16p13 </w:t>
      </w:r>
      <w:r>
        <w:rPr>
          <w:lang w:val="ru-RU" w:eastAsia="ru-RU" w:bidi="ru-RU"/>
          <w:w w:val="100"/>
          <w:spacing w:val="0"/>
          <w:color w:val="000000"/>
          <w:position w:val="0"/>
        </w:rPr>
        <w:t xml:space="preserve">и </w:t>
      </w:r>
      <w:r>
        <w:rPr>
          <w:lang w:val="en-US" w:eastAsia="en-US" w:bidi="en-US"/>
          <w:w w:val="100"/>
          <w:spacing w:val="0"/>
          <w:color w:val="000000"/>
          <w:position w:val="0"/>
        </w:rPr>
        <w:t>9q34.</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Установлена ассоциация рабдомиом с геном ТС </w:t>
      </w:r>
      <w:r>
        <w:rPr>
          <w:lang w:val="en-US" w:eastAsia="en-US" w:bidi="en-US"/>
          <w:w w:val="100"/>
          <w:spacing w:val="0"/>
          <w:color w:val="000000"/>
          <w:position w:val="0"/>
        </w:rPr>
        <w:t xml:space="preserve">16p13 </w:t>
      </w:r>
      <w:r>
        <w:rPr>
          <w:lang w:val="ru-RU" w:eastAsia="ru-RU" w:bidi="ru-RU"/>
          <w:w w:val="100"/>
          <w:spacing w:val="0"/>
          <w:color w:val="000000"/>
          <w:position w:val="0"/>
        </w:rPr>
        <w:t xml:space="preserve">по сравнению </w:t>
      </w:r>
      <w:r>
        <w:rPr>
          <w:lang w:val="en-US" w:eastAsia="en-US" w:bidi="en-US"/>
          <w:w w:val="100"/>
          <w:spacing w:val="0"/>
          <w:color w:val="000000"/>
          <w:position w:val="0"/>
        </w:rPr>
        <w:t xml:space="preserve">9q34. </w:t>
      </w:r>
      <w:r>
        <w:rPr>
          <w:lang w:val="ru-RU" w:eastAsia="ru-RU" w:bidi="ru-RU"/>
          <w:w w:val="100"/>
          <w:spacing w:val="0"/>
          <w:color w:val="000000"/>
          <w:position w:val="0"/>
        </w:rPr>
        <w:t>Данный ген действует как тумор- супрессирующий фактор.</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Диагностические критерии туберозного склероза</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Первичные признаки:</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Ангиофибромы лица или фиброзные бляшки на лбу.</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Нетравматические околоногтевые фибромы.</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Гипопигментные пятна (больше трех).</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Участок «шагреневой кожи».</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Множественные гамартомы сетчатки.</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Корковый туберс.</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Субэпендимарные узлы.</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Гигантоклеточная астроцитома.</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Рабдомиомы сердца.</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Лимфангиомиоматоз легких.</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Множественные ангиомиолипомы почек.</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Вторичные признаки:</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Многочисленные углубления в эмали зубов.</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Гамартоматозные ректальные полипы.</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Костные кисты.</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Миграционные тракты.</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Фибромы десен.</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Гамартомы внутренних органов.</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Ахроматический участок сетчатой оболочки глаза.</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Пятна «конфетти» на коже.</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Множественные кисты почек.</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Поражение сердца при туберозном склерозе</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Поражение сердца является одним из ведущих при</w:t>
        <w:softHyphen/>
        <w:t>знаков заболевания.</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Первое сообщение о поражении сердца при ТС сде</w:t>
        <w:softHyphen/>
        <w:t xml:space="preserve">лано в 1862 году </w:t>
      </w:r>
      <w:r>
        <w:rPr>
          <w:lang w:val="en-US" w:eastAsia="en-US" w:bidi="en-US"/>
          <w:w w:val="100"/>
          <w:spacing w:val="0"/>
          <w:color w:val="000000"/>
          <w:position w:val="0"/>
        </w:rPr>
        <w:t xml:space="preserve">von Recklinghausen F. </w:t>
      </w:r>
      <w:r>
        <w:rPr>
          <w:lang w:val="ru-RU" w:eastAsia="ru-RU" w:bidi="ru-RU"/>
          <w:w w:val="100"/>
          <w:spacing w:val="0"/>
          <w:color w:val="000000"/>
          <w:position w:val="0"/>
        </w:rPr>
        <w:t>Автор описал опухоль сердца, которая по морфологическому стро</w:t>
        <w:softHyphen/>
        <w:t>ению соответствовала рабдомиоме.</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50% случаях ТС в сердце обнаруживается рабдоми- ома.</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Среди всех случаев рабдомиом сердца в 86% наблю</w:t>
        <w:softHyphen/>
        <w:t>дался ТС.</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Рабдомиома является наиболее частой доброкачест</w:t>
        <w:softHyphen/>
        <w:t>венной опухолью сердца при ТС. В большинстве слу</w:t>
        <w:softHyphen/>
        <w:t>чаев рабдомиома является первой манифестацией бо</w:t>
        <w:softHyphen/>
        <w:t>лезни, а при последующем обследовании больного выявляется симптомокомплекс ТС.</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Рабдомиоматозные образования сердца при ТС могут быть в виде одного узла или множественными. Они, как правило, локализуются в желудочках и имеют сме</w:t>
        <w:softHyphen/>
        <w:t>шанный интра-экстрамуральный рост. В очень редких случаях рабдомиомы могут локализоваться в предсер</w:t>
        <w:softHyphen/>
        <w:t>диях, исходя из межпредсердной перегородки.</w:t>
      </w:r>
    </w:p>
    <w:p>
      <w:pPr>
        <w:pStyle w:val="Style30"/>
        <w:numPr>
          <w:ilvl w:val="0"/>
          <w:numId w:val="141"/>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Макроскопически рабдомиомы при ТС обычно без капсулы, мягкие, бело-розового цвета.</w:t>
      </w:r>
    </w:p>
    <w:p>
      <w:pPr>
        <w:pStyle w:val="Style30"/>
        <w:numPr>
          <w:ilvl w:val="0"/>
          <w:numId w:val="141"/>
        </w:numPr>
        <w:tabs>
          <w:tab w:leader="none" w:pos="239" w:val="left"/>
        </w:tabs>
        <w:widowControl w:val="0"/>
        <w:keepNext w:val="0"/>
        <w:keepLines w:val="0"/>
        <w:shd w:val="clear" w:color="auto" w:fill="auto"/>
        <w:bidi w:val="0"/>
        <w:spacing w:before="0" w:after="0"/>
        <w:ind w:left="260" w:right="0"/>
        <w:sectPr>
          <w:type w:val="continuous"/>
          <w:pgSz w:w="11900" w:h="16840"/>
          <w:pgMar w:top="1541" w:left="1097" w:right="996" w:bottom="1767" w:header="0" w:footer="3" w:gutter="0"/>
          <w:rtlGutter w:val="0"/>
          <w:cols w:num="2" w:space="102"/>
          <w:noEndnote/>
          <w:docGrid w:linePitch="360"/>
        </w:sectPr>
      </w:pPr>
      <w:r>
        <w:pict>
          <v:shape id="_x0000_s1687" type="#_x0000_t75" style="position:absolute;margin-left:147.7pt;margin-top:738.25pt;width:209.75pt;height:14.9pt;z-index:-125828916;mso-wrap-distance-left:147.35pt;mso-wrap-distance-right:136.8pt;mso-wrap-distance-bottom:10.8pt;mso-position-horizontal-relative:margin;mso-position-vertical-relative:margin" wrapcoords="0 0 21600 0 21600 21600 0 21600 0 0">
            <v:imagedata r:id="rId1100" r:href="rId1101"/>
            <w10:wrap type="topAndBottom" anchorx="margin" anchory="margin"/>
          </v:shape>
        </w:pict>
      </w:r>
      <w:r>
        <w:rPr>
          <w:lang w:val="ru-RU" w:eastAsia="ru-RU" w:bidi="ru-RU"/>
          <w:w w:val="100"/>
          <w:spacing w:val="0"/>
          <w:color w:val="000000"/>
          <w:position w:val="0"/>
        </w:rPr>
        <w:t>Гистологически опухоль имеет ячеистое строение, ха</w:t>
        <w:softHyphen/>
        <w:t>рактерны паукообразные большие клетки с централь-</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но расположенным, богатым хроматином ядром, в котором видно большое ядрышко. Цитоплазма кле</w:t>
        <w:softHyphen/>
        <w:t>ток содержит много полисахаридов, гистохимически отличных от гликогена.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Для диагностики рабдомиом применяется транстора</w:t>
        <w:softHyphen/>
        <w:t>кальная или чрезпищеводная эхокардиография, а также ядерный магнитный резонанс. Магниторезо</w:t>
        <w:softHyphen/>
        <w:t>нансная томография более информативна при опре</w:t>
        <w:softHyphen/>
        <w:t>делении степени прорастания миокарда, поскольку позволяет определить «демаркационную» линию опухоли от рабочего миокарда.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Рабдомиомы сердца могут обнаруживаться у плодов беременных женщин, страдающих ТС, при проведе</w:t>
        <w:softHyphen/>
        <w:t>нии эхокардиографии, начиная с 21 недели гестации, либо магниторезонансной томографии.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Наиболее высокая частота рабдомиомы сердца при ТС наблюдается у новорожденных и детей грудного возраста.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Обычно у новорожденных выявляются множествен</w:t>
        <w:softHyphen/>
        <w:t>ные рабдомиоматозные образования, исходящие из межжелудочковой перегородки и/или стенок левого желудочка.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Примерно у 50% новорожденных опухоль может явиться случайной находкой при проведении плано</w:t>
        <w:softHyphen/>
        <w:t>вого эхокардиографического обследования по поводу ТС. Обычно эти опухоли не нарушают гемодинамику и не имеют выраженного интрамурального роста. При массивных опухолях может наблюдаться внутри</w:t>
        <w:softHyphen/>
        <w:t>утробная смерть плода либо дети рождаются прежде</w:t>
        <w:softHyphen/>
        <w:t>временно с низкой оценкой по шкале Апгар, имеют распространенные отеки и выраженный цианоз. Воз</w:t>
        <w:softHyphen/>
        <w:t>можна неонатальная смерть от застойной сердечной недостаточности.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Массивная обструкция полости правого желудочка у новорожденных может обусловить дуктус-зависи- мую легочную циркуляцию. Массивная рабдомиома при ТС у новорожденного может привести к тяжелой миокардиальной ишемии из-за сдавления левой ко</w:t>
        <w:softHyphen/>
        <w:t>ронарной артерии.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Рабдомиомы при ТС в периоде новорожденности ча</w:t>
        <w:softHyphen/>
        <w:t>сто сопровождаются нарушениями ритма сердца, в том числе синдромом Вольфа-Паркинсона-Уайта, пароксизмальной тахикардией.</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Реже могут наблюдаться обструктивные нарушения со стороны выносящего тракта левого желудочка.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У новорожденных может наблюдаться спонтанная регрессия рабдомиомы, в связи с чем, если отсутству</w:t>
        <w:softHyphen/>
        <w:t>ет обструкция выводных трактов желудочков сердца, проводится симптоматическое наблюдение.</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У детей с ТС старшего возраста рабдомиомы сердца обычно протекают бессимптомно.</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Могут наблюдаться преходящая блокада левой ножки пучка Гиса, псевдоишемические изменения на элек</w:t>
        <w:softHyphen/>
        <w:t>трокардиограмме, перикардиальный выпот.</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Редко аритмия при ТС может быть обусловлена мно</w:t>
        <w:softHyphen/>
        <w:t>жественными рабдомиоматозными очагами в миокар</w:t>
        <w:softHyphen/>
        <w:t>де, когда макроскопически опухоль не определяется. Лечение кортикотропином инфантильных спазмов при ТС приводит к значительному росту рабдомиомы. Карбамазепин, применяемый в лечении судорог у больных ТС и рабдомиомой сердца, может обусло</w:t>
        <w:softHyphen/>
        <w:t>вить поперечный атриовентрикулярный блок.</w:t>
      </w:r>
    </w:p>
    <w:p>
      <w:pPr>
        <w:pStyle w:val="Style30"/>
        <w:widowControl w:val="0"/>
        <w:keepNext w:val="0"/>
        <w:keepLines w:val="0"/>
        <w:shd w:val="clear" w:color="auto" w:fill="auto"/>
        <w:bidi w:val="0"/>
        <w:spacing w:before="0" w:after="237"/>
        <w:ind w:left="500" w:right="0" w:hanging="240"/>
      </w:pPr>
      <w:r>
        <w:br w:type="column"/>
      </w:r>
      <w:r>
        <w:rPr>
          <w:lang w:val="ru-RU" w:eastAsia="ru-RU" w:bidi="ru-RU"/>
          <w:w w:val="100"/>
          <w:spacing w:val="0"/>
          <w:color w:val="000000"/>
          <w:position w:val="0"/>
        </w:rPr>
        <w:t>• Хирургическое лечение показано, если опухоль вы</w:t>
        <w:softHyphen/>
        <w:t>зывает обструкцию в приточных или отточных отде</w:t>
        <w:softHyphen/>
        <w:t>лах желудочков или если она обусловливает тяжелые нарушения ритма сердца.</w:t>
      </w:r>
    </w:p>
    <w:p>
      <w:pPr>
        <w:pStyle w:val="Style28"/>
        <w:widowControl w:val="0"/>
        <w:keepNext/>
        <w:keepLines/>
        <w:shd w:val="clear" w:color="auto" w:fill="auto"/>
        <w:bidi w:val="0"/>
        <w:jc w:val="left"/>
        <w:spacing w:before="0" w:after="153" w:line="220" w:lineRule="exact"/>
        <w:ind w:left="0" w:right="0" w:firstLine="0"/>
      </w:pPr>
      <w:bookmarkStart w:id="715" w:name="bookmark715"/>
      <w:r>
        <w:rPr>
          <w:lang w:val="ru-RU" w:eastAsia="ru-RU" w:bidi="ru-RU"/>
          <w:w w:val="100"/>
          <w:spacing w:val="0"/>
          <w:color w:val="000000"/>
          <w:position w:val="0"/>
        </w:rPr>
        <w:t>Миксома сердца</w:t>
      </w:r>
      <w:bookmarkEnd w:id="715"/>
    </w:p>
    <w:p>
      <w:pPr>
        <w:pStyle w:val="Style92"/>
        <w:widowControl w:val="0"/>
        <w:keepNext/>
        <w:keepLines/>
        <w:shd w:val="clear" w:color="auto" w:fill="auto"/>
        <w:bidi w:val="0"/>
        <w:spacing w:before="0" w:after="0"/>
        <w:ind w:left="500" w:right="0" w:hanging="240"/>
      </w:pPr>
      <w:bookmarkStart w:id="716" w:name="bookmark716"/>
      <w:r>
        <w:rPr>
          <w:lang w:val="ru-RU" w:eastAsia="ru-RU" w:bidi="ru-RU"/>
          <w:w w:val="100"/>
          <w:spacing w:val="0"/>
          <w:color w:val="000000"/>
          <w:position w:val="0"/>
        </w:rPr>
        <w:t>Причины</w:t>
      </w:r>
      <w:bookmarkEnd w:id="716"/>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Большинство предсердных миксом возникают спора</w:t>
        <w:softHyphen/>
        <w:t>дически, этиология, как и при большинстве первич</w:t>
        <w:softHyphen/>
        <w:t>ных опухолей сердца, не установлена.</w:t>
      </w:r>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Семейные предсердные миксомы наследуются ауто- сомно-доминантно (см. Комплекс Карней).</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Частота</w:t>
      </w:r>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Миксомы составляют 40-50% первичных опухолей сердца.</w:t>
      </w:r>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Около 90% миксом являются солитарными и распо</w:t>
        <w:softHyphen/>
        <w:t>ложены на ножке, в 75-85% образуются в левом пред</w:t>
        <w:softHyphen/>
        <w:t>сердии.</w:t>
      </w:r>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Менее чем в 25% случаев миксомы обнаруживаются в правом предсердии. Большинство случаев являются спорадическими.</w:t>
      </w:r>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Примерно в 10% опухоль имеет семейное происхож</w:t>
        <w:softHyphen/>
        <w:t>дение и наследуется аутосомно-доминантно.</w:t>
      </w:r>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Множественные опухоли могут наблюдаться в 50% семейных случаев заболевания, при этом, по сравне</w:t>
        <w:softHyphen/>
        <w:t>нию со спорадическими опухолями, чаще обнаружи</w:t>
        <w:softHyphen/>
        <w:t>ваются в желудочковых камерах (13% по сравнению с 2% при спорадических случаях).</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Патофизиология</w:t>
      </w:r>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Миксомы являются полипоидными образованиями круглой или овальной формы. Миксомы обычно сту</w:t>
        <w:softHyphen/>
        <w:t>денистые, с гладкой или дольчатой поверхностью, бе</w:t>
        <w:softHyphen/>
        <w:t>лого, желтоватого или коричневого цвета.</w:t>
      </w:r>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Наиболее характерной областью отхождения образо</w:t>
        <w:softHyphen/>
        <w:t>вания является овальное окно со стороны левого предсердия, хотя миксомы могут также происходить из задней стенки предсердия или ушка левого пред</w:t>
        <w:softHyphen/>
        <w:t>сердия.</w:t>
      </w:r>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Подвижность опухоли зависит от степени прикрепле</w:t>
        <w:softHyphen/>
        <w:t>ния к межпредсердной перегородке и длины ножки.</w:t>
      </w:r>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Хотя предсердные миксомы являются доброкачест</w:t>
        <w:softHyphen/>
        <w:t>венными образованиями, возможен повторный рост опухоли при неполной резекции, реже озлокачеств- ление новообразования.</w:t>
      </w:r>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Иногда предсердные миксомы появляются в отда</w:t>
        <w:softHyphen/>
        <w:t>ленных участках из-за внутрисосудистой эмболиза</w:t>
        <w:softHyphen/>
        <w:t>ции опухолью. Риск повторного роста опухоли значи</w:t>
        <w:softHyphen/>
        <w:t>тельно выше при семейных миксомах.</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Клиническая симптоматика</w:t>
      </w:r>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Симптоматика миксом обусловлена механическим взаимодействием опухоли с сердечными структурами и с эмболизацией опухолевыми тканями. Считается, что миксома является самой частой причиной опухо</w:t>
        <w:softHyphen/>
        <w:t>левой эмболизации. Эмболия наблюдается примерно у 30-40% больных. Место эмболии определяется ло</w:t>
        <w:softHyphen/>
        <w:t>кализацией опухоли (левое или правое предсердие) и наличием внутрикардиальных шунтов.</w:t>
      </w:r>
    </w:p>
    <w:p>
      <w:pPr>
        <w:pStyle w:val="Style30"/>
        <w:numPr>
          <w:ilvl w:val="0"/>
          <w:numId w:val="141"/>
        </w:numPr>
        <w:tabs>
          <w:tab w:leader="none" w:pos="499" w:val="left"/>
        </w:tabs>
        <w:widowControl w:val="0"/>
        <w:keepNext w:val="0"/>
        <w:keepLines w:val="0"/>
        <w:shd w:val="clear" w:color="auto" w:fill="auto"/>
        <w:bidi w:val="0"/>
        <w:spacing w:before="0" w:after="0"/>
        <w:ind w:left="500" w:right="0" w:hanging="240"/>
      </w:pPr>
      <w:r>
        <w:pict>
          <v:shape id="_x0000_s1688" type="#_x0000_t75" style="position:absolute;margin-left:124.9pt;margin-top:738.25pt;width:209.75pt;height:14.9pt;z-index:-125828915;mso-wrap-distance-left:112.8pt;mso-wrap-distance-right:147.85pt;mso-wrap-distance-bottom:10.8pt;mso-position-horizontal-relative:margin;mso-position-vertical-relative:margin" wrapcoords="0 0 21600 0 21600 21600 0 21600 0 0">
            <v:imagedata r:id="rId1102" r:href="rId1103"/>
            <w10:wrap type="topAndBottom" anchorx="margin" anchory="margin"/>
          </v:shape>
        </w:pict>
      </w:r>
      <w:r>
        <w:rPr>
          <w:lang w:val="ru-RU" w:eastAsia="ru-RU" w:bidi="ru-RU"/>
          <w:w w:val="100"/>
          <w:spacing w:val="0"/>
          <w:color w:val="000000"/>
          <w:position w:val="0"/>
        </w:rPr>
        <w:t>Подвижные полипоидные опухоли часто пролабиру- ют в желудочки. Пролапс опухоли через митральный или трикуспидальный клапаны вызывает деструкцию клапана и аннулярного кольца.</w:t>
      </w:r>
      <w:r>
        <w:br w:type="page"/>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Клиническая симптоматика левосторонней миксо- мы появляется, когда ее вес достигает примерно 70 г. Правопредсердные миксомы приводят к симптома</w:t>
        <w:softHyphen/>
        <w:t>тике, когда они достигают размера примерно в 2 ра</w:t>
        <w:softHyphen/>
        <w:t>за больше по сравнению с левопредсердными мик- сомами.</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Симптомы заболевания варьируют от неспецифичес</w:t>
        <w:softHyphen/>
        <w:t>ких до случаев внезапной сердечной смерти. Часто предсердная миксома имитирует митральный стеноз, эндокардит, митральную регургитацию или систем</w:t>
        <w:softHyphen/>
        <w:t>ное заболевание соединительной ткани.</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Симптомы левосторонней сердечной недостаточности.</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Симптомы правосторонней сердечной недостаточно - сти.</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Предсинкопе/синкопе.</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Симптоматика, связанная с эмболизацией.</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Такие симптомы, как лихорадка, потеря веса, артрал- гии, феномен Рейно, могут наблюдаться у 50% боль</w:t>
        <w:softHyphen/>
        <w:t>ных.</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Одышка, кашель, кровохарканье в результате отека легкого или инфаркта наблюдается у 15% пациентов.</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Боли в грудной клетке не характерны; если они воз</w:t>
        <w:softHyphen/>
        <w:t>никают, следует исключить эмболизацию коронар</w:t>
        <w:softHyphen/>
        <w:t>ных артерий.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Физикальные данные</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Набухание шейных вен.</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Хлопающий I тон сердца, обусловлен пролабирова- нием опухоли в митральное отверстие (имитирует митральный стеноз).</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Акцент второго тона в зависимости от выраженности легочной гипертензии.</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Во многих случаях выслушивается диастолический тон, обозначаемый хлопком опухоли. Этот хлопок обусловлен контактом опухоли со стенкой предсер</w:t>
        <w:softHyphen/>
        <w:t>дия или со створкой митрального клапана во время диастолы.</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Могут выслушиваться третий и четвертый тоны сердца.</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Диастолический предсердный шум (грохот) выслу</w:t>
        <w:softHyphen/>
        <w:t>шивается, если опухоль обусловливает обструкцию митрального клапана.</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Если митральный клапан поврежден опухолью, вы</w:t>
        <w:softHyphen/>
        <w:t>слушивается систолический шум митральной регур- гитации.</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Правопредсердная миксома обусловливает появле</w:t>
        <w:softHyphen/>
        <w:t>ние голосистолического шума трикуспидальной ре- гургитации.</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общем осмотре могут выявляться лихорадка, ци</w:t>
        <w:softHyphen/>
        <w:t>аноз, акроцианоз, сыпь или петехии.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Изменения в анализе крови неспецифичны и включают</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следующие признаки:</w:t>
      </w:r>
    </w:p>
    <w:p>
      <w:pPr>
        <w:pStyle w:val="Style30"/>
        <w:numPr>
          <w:ilvl w:val="0"/>
          <w:numId w:val="141"/>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Увеличение СОЭ, С-реактивного протеина и уров</w:t>
        <w:softHyphen/>
        <w:t>ня гаммаглобулина в сыворотке крови.</w:t>
      </w:r>
    </w:p>
    <w:p>
      <w:pPr>
        <w:pStyle w:val="Style30"/>
        <w:numPr>
          <w:ilvl w:val="0"/>
          <w:numId w:val="141"/>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Лейкоцитоз.</w:t>
      </w:r>
    </w:p>
    <w:p>
      <w:pPr>
        <w:pStyle w:val="Style30"/>
        <w:numPr>
          <w:ilvl w:val="0"/>
          <w:numId w:val="141"/>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Нормохромная или гипохромная анемия. Гемоли</w:t>
        <w:softHyphen/>
        <w:t>тическая анемия может быть обусловлена механи</w:t>
        <w:softHyphen/>
        <w:t>ческой деструкцией эритроцитов опухолью.</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электрокардиографическом исследовании могут</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обнаруживаться мерцание или трепетание предсердий,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нарушения проводимости.</w:t>
      </w:r>
    </w:p>
    <w:p>
      <w:pPr>
        <w:pStyle w:val="Style30"/>
        <w:widowControl w:val="0"/>
        <w:keepNext w:val="0"/>
        <w:keepLines w:val="0"/>
        <w:shd w:val="clear" w:color="auto" w:fill="auto"/>
        <w:bidi w:val="0"/>
        <w:spacing w:before="0" w:after="0"/>
        <w:ind w:left="0" w:right="0" w:firstLine="0"/>
      </w:pPr>
      <w:r>
        <w:br w:type="column"/>
      </w:r>
      <w:r>
        <w:rPr>
          <w:lang w:val="ru-RU" w:eastAsia="ru-RU" w:bidi="ru-RU"/>
          <w:w w:val="100"/>
          <w:spacing w:val="0"/>
          <w:color w:val="000000"/>
          <w:position w:val="0"/>
        </w:rPr>
        <w:t>Рентгенография грудной клетки:</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Сердечный силуэт, имитирующий митральный стеноз.</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Тень от кальцифицированной опухоли (наблюда</w:t>
        <w:softHyphen/>
        <w:t>ется очень редко).</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Отек легких.</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Эхокардиография:</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Хотя чрезпищеводная эхокардиография является более чувствительной, диагноз заболевания легко устанавливается при проведении трансторакаль</w:t>
        <w:softHyphen/>
        <w:t>ной эхокардиографии.</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Эхокардиография выявляет локализацию опухоли, размер, место отхождения и подвижность.</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Поскольку опухоль может иметь множественную локализацию, необходимо визуализировать все че</w:t>
        <w:softHyphen/>
        <w:t>тыре камеры сердца.</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Предсердная миксома должна быть дифференци</w:t>
        <w:softHyphen/>
        <w:t>рована от тромба. Тромбы обычно расположены по задней стенке левого предсердия. Обнаружение ножки и подвижного образования достоверно под</w:t>
        <w:softHyphen/>
        <w:t>тверждает наличие опухоли.</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Допплерография позволяет обнаружить гемодина</w:t>
        <w:softHyphen/>
        <w:t>мические нарушения, обусловленные опухолью, такие как митральный стеноз и митральную регур- гитацию.</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Чрезпищеводная эхокардиография:</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Чрезпищеводная эхокардиография имеет 100% чувствительность и специфичность.</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Хорошая визуализация предсердий и межпред</w:t>
        <w:softHyphen/>
        <w:t>сердной перегородки.</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Лучше визуализируются анатомические детали и ножка опухоли.</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Выявляет маленькие опухоли (1-3 мм в диаметре).</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Визуализирует ушко предсердия.</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Выявляет шунтирование.</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Магниторезонансная томография:</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Обычно магниторезонансная томография не при</w:t>
        <w:softHyphen/>
        <w:t>меняется для диагностики предсердных миксом, однако метод позволяет получить информацию от</w:t>
        <w:softHyphen/>
        <w:t>носительно размеров, формы и поверхности опу</w:t>
        <w:softHyphen/>
        <w:t>холи.</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Метод позволяет дифференцировать опухоль от тромба.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Если определяются петехии, кожная биопсия позволяет обнаружить присутствие удлиненных или веретенобраз- ных миксоматозных эндотелиоподобных клеток с круг</w:t>
        <w:softHyphen/>
        <w:t>лыми или овальными ядрами.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Катетеризация сердца:</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Предоперационная катетеризация сердца и ангио - кардиография проводятся только в том случае, ес</w:t>
        <w:softHyphen/>
        <w:t>ли неинвазивная диагностика не позволяет полу</w:t>
        <w:softHyphen/>
        <w:t>чить полную информацию.</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Катетеризация сердца может быть показана для оценки сопутствующего поражения коронарных сосудов.</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Предсердная миксома при ангиографии выявляет - ся как дефект наполнения.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Медицинская помощь</w:t>
      </w:r>
    </w:p>
    <w:p>
      <w:pPr>
        <w:pStyle w:val="Style30"/>
        <w:numPr>
          <w:ilvl w:val="0"/>
          <w:numId w:val="141"/>
        </w:numPr>
        <w:tabs>
          <w:tab w:leader="none" w:pos="240" w:val="left"/>
        </w:tabs>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Медицинского лечения предсердной миксомы не су</w:t>
        <w:softHyphen/>
        <w:t>ществует.</w:t>
      </w:r>
    </w:p>
    <w:p>
      <w:pPr>
        <w:pStyle w:val="Style30"/>
        <w:numPr>
          <w:ilvl w:val="0"/>
          <w:numId w:val="141"/>
        </w:numPr>
        <w:tabs>
          <w:tab w:leader="none" w:pos="240"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Больные с эмболическими эпизодами должны быть</w:t>
      </w:r>
    </w:p>
    <w:p>
      <w:pPr>
        <w:pStyle w:val="Style30"/>
        <w:widowControl w:val="0"/>
        <w:keepNext w:val="0"/>
        <w:keepLines w:val="0"/>
        <w:shd w:val="clear" w:color="auto" w:fill="auto"/>
        <w:bidi w:val="0"/>
        <w:spacing w:before="0" w:after="0"/>
        <w:ind w:left="500" w:right="0" w:hanging="240"/>
      </w:pPr>
      <w:r>
        <w:pict>
          <v:shape id="_x0000_s1689" type="#_x0000_t75" style="position:absolute;margin-left:142.1pt;margin-top:738.25pt;width:209.75pt;height:14.9pt;z-index:-125828914;mso-wrap-distance-left:136.1pt;mso-wrap-distance-right:136.8pt;mso-wrap-distance-bottom:10.8pt;mso-position-horizontal-relative:margin;mso-position-vertical-relative:margin" wrapcoords="0 0 21600 0 21600 21600 0 21600 0 0">
            <v:imagedata r:id="rId1104" r:href="rId1105"/>
            <w10:wrap type="topAndBottom" anchorx="margin" anchory="margin"/>
          </v:shape>
        </w:pict>
      </w:r>
      <w:r>
        <w:rPr>
          <w:lang w:val="ru-RU" w:eastAsia="ru-RU" w:bidi="ru-RU"/>
          <w:w w:val="100"/>
          <w:spacing w:val="0"/>
          <w:color w:val="000000"/>
          <w:position w:val="0"/>
        </w:rPr>
        <w:t>госпитализированы.</w:t>
      </w:r>
      <w:r>
        <w:br w:type="page"/>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Лекарственная терапия назначается при наличии ос</w:t>
        <w:softHyphen/>
        <w:t>ложнений, таких как застойная сердечная недоста</w:t>
        <w:softHyphen/>
        <w:t>точность и аритмии.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Хирургическая коррекция</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Оперативная резекция миксомы показана во всех случаях с момента постановки диагноза.</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Ранняя постоперативная смертность составляет 2,2%.</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Поскольку высок риск фрагментации опухоли и эмбо</w:t>
        <w:softHyphen/>
        <w:t>лизации, операция проводится после кардиоплегии.</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Хирургическая резекция спорадических предсердных миксом обычно приводит к полному выздоровлению.</w:t>
      </w:r>
    </w:p>
    <w:p>
      <w:pPr>
        <w:pStyle w:val="Style30"/>
        <w:numPr>
          <w:ilvl w:val="0"/>
          <w:numId w:val="141"/>
        </w:numPr>
        <w:tabs>
          <w:tab w:leader="none" w:pos="762"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Повторный рост опухоли составляет 1-5%. Если опухоль не возникает в течение 4 лет после операции, вероятность рецидива приравнена к нулю.</w:t>
      </w:r>
    </w:p>
    <w:p>
      <w:pPr>
        <w:pStyle w:val="Style30"/>
        <w:numPr>
          <w:ilvl w:val="0"/>
          <w:numId w:val="141"/>
        </w:numPr>
        <w:tabs>
          <w:tab w:leader="none" w:pos="762"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Рецидивы при cемейных миксомах достигают 20%.</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Рецидив опухоли обычно связан с неполным ее иссе</w:t>
        <w:softHyphen/>
        <w:t>чением, новым ростом из другого, ранее не обнару</w:t>
        <w:softHyphen/>
        <w:t>живаемого очага, метастазированием из первичной опухоли.</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Более широкое удаление ножки, крепящейся к эндо</w:t>
        <w:softHyphen/>
        <w:t>карду, может уменьшить вероятность развития пред</w:t>
        <w:softHyphen/>
        <w:t>опухолевых клеток.</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Хирургические дефекты, возникшие при удалении опухоли, восполняют париетальным перикардом.</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Предопухолевые клетки разрушают во время резек</w:t>
        <w:softHyphen/>
        <w:t>ции опухоли лазерной фотокоагуляцией.</w:t>
      </w:r>
    </w:p>
    <w:p>
      <w:pPr>
        <w:pStyle w:val="Style30"/>
        <w:numPr>
          <w:ilvl w:val="0"/>
          <w:numId w:val="141"/>
        </w:numPr>
        <w:tabs>
          <w:tab w:leader="none" w:pos="517" w:val="left"/>
        </w:tabs>
        <w:widowControl w:val="0"/>
        <w:keepNext w:val="0"/>
        <w:keepLines w:val="0"/>
        <w:shd w:val="clear" w:color="auto" w:fill="auto"/>
        <w:bidi w:val="0"/>
        <w:spacing w:before="0" w:after="193"/>
        <w:ind w:left="520" w:right="0" w:hanging="240"/>
      </w:pPr>
      <w:r>
        <w:rPr>
          <w:lang w:val="ru-RU" w:eastAsia="ru-RU" w:bidi="ru-RU"/>
          <w:w w:val="100"/>
          <w:spacing w:val="0"/>
          <w:color w:val="000000"/>
          <w:position w:val="0"/>
        </w:rPr>
        <w:t>Поврежденные клапанные структуры устраняют пу</w:t>
        <w:softHyphen/>
        <w:t>тем аннулопластики или протезирования.</w:t>
      </w:r>
    </w:p>
    <w:p>
      <w:pPr>
        <w:pStyle w:val="Style48"/>
        <w:widowControl w:val="0"/>
        <w:keepNext/>
        <w:keepLines/>
        <w:shd w:val="clear" w:color="auto" w:fill="auto"/>
        <w:bidi w:val="0"/>
        <w:jc w:val="left"/>
        <w:spacing w:before="0" w:after="101" w:line="200" w:lineRule="exact"/>
        <w:ind w:left="0" w:right="0" w:firstLine="0"/>
      </w:pPr>
      <w:bookmarkStart w:id="717" w:name="bookmark717"/>
      <w:r>
        <w:rPr>
          <w:lang w:val="ru-RU" w:eastAsia="ru-RU" w:bidi="ru-RU"/>
          <w:w w:val="100"/>
          <w:spacing w:val="0"/>
          <w:color w:val="000000"/>
          <w:position w:val="0"/>
        </w:rPr>
        <w:t>Комплекс Карней</w:t>
      </w:r>
      <w:bookmarkEnd w:id="71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Комплекс Карней является семейным синдромом мно</w:t>
        <w:softHyphen/>
        <w:t>жественной неоплазии и лентигиноза. В понятие комплекса Карней включают ассоциацию следующих состояний: 1) первичную пигментно узловую адренокортикальную бо</w:t>
        <w:softHyphen/>
        <w:t>лезнь (ПУАБ), гипофиз-независимую первичную адренало</w:t>
        <w:softHyphen/>
        <w:t>вую форму гиперкортицизма; 2) лентигиноз, эфилиды и го</w:t>
        <w:softHyphen/>
        <w:t>лубые невусы на коже и слизистых и 3) различные неэндо</w:t>
        <w:softHyphen/>
        <w:t>кринные и эндокринные опухоли. Опухоли включают мик</w:t>
        <w:softHyphen/>
        <w:t>сомы кожи, сердца, груди и других органов; меланотические шванномы; гормон роста продуцирующую аденому гипо</w:t>
        <w:softHyphen/>
        <w:t>физа; опухоли яичек, имеющие отношение к клеткам Сер- толи; возможны другие доброкачественные и злокачествен</w:t>
        <w:softHyphen/>
        <w:t>ные неоплазмы и состояния, включая опухоли щитовидной железы, дуктальную аденому молочных желез и акромега</w:t>
        <w:softHyphen/>
        <w:t>лию, обусловленную соматомаммотрофной гиперплазией и аденомой, не связанной с рилизинг-гормоном роста.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Краткая историческая справка</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Хотя существование комплекса как наследованного синдрома доказано в 1985 г., о комбинациях несколь</w:t>
        <w:softHyphen/>
        <w:t>ких компонентов синдрома и их семейного возник</w:t>
        <w:softHyphen/>
        <w:t>новения сообщалось ранее.</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Патологические изменения в виде множественных маленьких пигментированных адренокортикальных узлов и межузловой корковой атрофии были описаны уже в 1949 г. в надпочечниках детей и молодых взрос</w:t>
        <w:softHyphen/>
        <w:t>лых с синдромом Кушинга.</w:t>
      </w:r>
    </w:p>
    <w:p>
      <w:pPr>
        <w:pStyle w:val="Style30"/>
        <w:numPr>
          <w:ilvl w:val="0"/>
          <w:numId w:val="141"/>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В 1980 г. </w:t>
      </w:r>
      <w:r>
        <w:rPr>
          <w:lang w:val="en-US" w:eastAsia="en-US" w:bidi="en-US"/>
          <w:w w:val="100"/>
          <w:spacing w:val="0"/>
          <w:color w:val="000000"/>
          <w:position w:val="0"/>
        </w:rPr>
        <w:t xml:space="preserve">Atherton </w:t>
      </w:r>
      <w:r>
        <w:rPr>
          <w:lang w:val="ru-RU" w:eastAsia="ru-RU" w:bidi="ru-RU"/>
          <w:w w:val="100"/>
          <w:spacing w:val="0"/>
          <w:color w:val="000000"/>
          <w:position w:val="0"/>
        </w:rPr>
        <w:t>и коллеги описали пациента с рас</w:t>
        <w:softHyphen/>
        <w:t>пространенной множественной пятнистой пигмента</w:t>
        <w:softHyphen/>
        <w:t>цией кожи, которая распространялась на губы, мик- соидной нейрофибромой и куполообразными сини</w:t>
        <w:softHyphen/>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ми невусами. При эхокардиографическом и гистоло</w:t>
        <w:softHyphen/>
        <w:t xml:space="preserve">гическом исследовании обнаружена предсердная миксома. </w:t>
      </w:r>
      <w:r>
        <w:rPr>
          <w:lang w:val="en-US" w:eastAsia="en-US" w:bidi="en-US"/>
          <w:w w:val="100"/>
          <w:spacing w:val="0"/>
          <w:color w:val="000000"/>
          <w:position w:val="0"/>
        </w:rPr>
        <w:t xml:space="preserve">Atherton </w:t>
      </w:r>
      <w:r>
        <w:rPr>
          <w:lang w:val="ru-RU" w:eastAsia="ru-RU" w:bidi="ru-RU"/>
          <w:w w:val="100"/>
          <w:spacing w:val="0"/>
          <w:color w:val="000000"/>
          <w:position w:val="0"/>
        </w:rPr>
        <w:t xml:space="preserve">предложил назвать синдром невус, предсердная миксома, миксоидная нейрофиброма и эфелиды </w:t>
      </w:r>
      <w:r>
        <w:rPr>
          <w:lang w:val="en-US" w:eastAsia="en-US" w:bidi="en-US"/>
          <w:w w:val="100"/>
          <w:spacing w:val="0"/>
          <w:color w:val="000000"/>
          <w:position w:val="0"/>
        </w:rPr>
        <w:t xml:space="preserve">(nevi, atrial myxoma, myxoid neurofibromas, ephelides — NAME </w:t>
      </w:r>
      <w:r>
        <w:rPr>
          <w:lang w:val="ru-RU" w:eastAsia="ru-RU" w:bidi="ru-RU"/>
          <w:w w:val="100"/>
          <w:spacing w:val="0"/>
          <w:color w:val="000000"/>
          <w:position w:val="0"/>
        </w:rPr>
        <w:t>синдром).</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Родос </w:t>
      </w:r>
      <w:r>
        <w:rPr>
          <w:lang w:val="en-US" w:eastAsia="en-US" w:bidi="en-US"/>
          <w:w w:val="100"/>
          <w:spacing w:val="0"/>
          <w:color w:val="000000"/>
          <w:position w:val="0"/>
        </w:rPr>
        <w:t xml:space="preserve">(Rhodes) </w:t>
      </w:r>
      <w:r>
        <w:rPr>
          <w:lang w:val="ru-RU" w:eastAsia="ru-RU" w:bidi="ru-RU"/>
          <w:w w:val="100"/>
          <w:spacing w:val="0"/>
          <w:color w:val="000000"/>
          <w:position w:val="0"/>
        </w:rPr>
        <w:t>и коллеги описали подобный синд</w:t>
        <w:softHyphen/>
        <w:t xml:space="preserve">ром, включающий лентигиноз, предсердную миксо- му и голубые невусы </w:t>
      </w:r>
      <w:r>
        <w:rPr>
          <w:lang w:val="en-US" w:eastAsia="en-US" w:bidi="en-US"/>
          <w:w w:val="100"/>
          <w:spacing w:val="0"/>
          <w:color w:val="000000"/>
          <w:position w:val="0"/>
        </w:rPr>
        <w:t xml:space="preserve">(lentigines, atrial myxomas and blue nevi — LAMB </w:t>
      </w:r>
      <w:r>
        <w:rPr>
          <w:lang w:val="ru-RU" w:eastAsia="ru-RU" w:bidi="ru-RU"/>
          <w:w w:val="100"/>
          <w:spacing w:val="0"/>
          <w:color w:val="000000"/>
          <w:position w:val="0"/>
        </w:rPr>
        <w:t>синдром).</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Карней привел данные по 40 пациентам с сердечны</w:t>
        <w:softHyphen/>
        <w:t>ми миксомами. Он обнаружил, что многие из этих больных также имели множественную пигментацию (лентигиноз и различные типы невусов) с вовлечени</w:t>
        <w:softHyphen/>
        <w:t>ем губ так же, как и при пигментно узловой адрено- кортикальной болезни с синдромом Кушинга. Неко</w:t>
        <w:softHyphen/>
        <w:t>торые из этих пациентов также имели опухоли яичек, фиброаденомы и гипофизарные аденомы. Он заклю</w:t>
        <w:softHyphen/>
        <w:t xml:space="preserve">чил, что синдромы </w:t>
      </w:r>
      <w:r>
        <w:rPr>
          <w:lang w:val="en-US" w:eastAsia="en-US" w:bidi="en-US"/>
          <w:w w:val="100"/>
          <w:spacing w:val="0"/>
          <w:color w:val="000000"/>
          <w:position w:val="0"/>
        </w:rPr>
        <w:t xml:space="preserve">NAME </w:t>
      </w:r>
      <w:r>
        <w:rPr>
          <w:lang w:val="ru-RU" w:eastAsia="ru-RU" w:bidi="ru-RU"/>
          <w:w w:val="100"/>
          <w:spacing w:val="0"/>
          <w:color w:val="000000"/>
          <w:position w:val="0"/>
        </w:rPr>
        <w:t xml:space="preserve">и </w:t>
      </w:r>
      <w:r>
        <w:rPr>
          <w:lang w:val="en-US" w:eastAsia="en-US" w:bidi="en-US"/>
          <w:w w:val="100"/>
          <w:spacing w:val="0"/>
          <w:color w:val="000000"/>
          <w:position w:val="0"/>
        </w:rPr>
        <w:t xml:space="preserve">LAMB </w:t>
      </w:r>
      <w:r>
        <w:rPr>
          <w:lang w:val="ru-RU" w:eastAsia="ru-RU" w:bidi="ru-RU"/>
          <w:w w:val="100"/>
          <w:spacing w:val="0"/>
          <w:color w:val="000000"/>
          <w:position w:val="0"/>
        </w:rPr>
        <w:t>представляют единый синдромокомплекс.</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Причины</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Комплекс Карней наследуется аутосомно-доминант- ным путем. Картированы два гена заболевания: </w:t>
      </w:r>
      <w:r>
        <w:rPr>
          <w:lang w:val="en-US" w:eastAsia="en-US" w:bidi="en-US"/>
          <w:w w:val="100"/>
          <w:spacing w:val="0"/>
          <w:color w:val="000000"/>
          <w:position w:val="0"/>
        </w:rPr>
        <w:t xml:space="preserve">2p16 </w:t>
      </w:r>
      <w:r>
        <w:rPr>
          <w:lang w:val="ru-RU" w:eastAsia="ru-RU" w:bidi="ru-RU"/>
          <w:w w:val="100"/>
          <w:spacing w:val="0"/>
          <w:color w:val="000000"/>
          <w:position w:val="0"/>
        </w:rPr>
        <w:t xml:space="preserve">и </w:t>
      </w:r>
      <w:r>
        <w:rPr>
          <w:lang w:val="en-US" w:eastAsia="en-US" w:bidi="en-US"/>
          <w:w w:val="100"/>
          <w:spacing w:val="0"/>
          <w:color w:val="000000"/>
          <w:position w:val="0"/>
        </w:rPr>
        <w:t>17q22-24.</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Поскольку особенности комплекса Карней типа па</w:t>
        <w:softHyphen/>
        <w:t>радоксальных ответов на эндокринные сигналы явля</w:t>
        <w:softHyphen/>
        <w:t xml:space="preserve">ются подобными таковым при синдроме </w:t>
      </w:r>
      <w:r>
        <w:rPr>
          <w:lang w:val="en-US" w:eastAsia="en-US" w:bidi="en-US"/>
          <w:w w:val="100"/>
          <w:spacing w:val="0"/>
          <w:color w:val="000000"/>
          <w:position w:val="0"/>
        </w:rPr>
        <w:t xml:space="preserve">McCune- Albright </w:t>
      </w:r>
      <w:r>
        <w:rPr>
          <w:lang w:val="ru-RU" w:eastAsia="ru-RU" w:bidi="ru-RU"/>
          <w:w w:val="100"/>
          <w:spacing w:val="0"/>
          <w:color w:val="000000"/>
          <w:position w:val="0"/>
        </w:rPr>
        <w:t>и других состояниях, в заболевании, по всей видимости, принимают участие гены, ответственные за циклическую последовательность нуклеотидов.</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en-US" w:eastAsia="en-US" w:bidi="en-US"/>
          <w:w w:val="100"/>
          <w:spacing w:val="0"/>
          <w:color w:val="000000"/>
          <w:position w:val="0"/>
        </w:rPr>
        <w:t xml:space="preserve">Kirschner et al. </w:t>
      </w:r>
      <w:r>
        <w:rPr>
          <w:lang w:val="ru-RU" w:eastAsia="ru-RU" w:bidi="ru-RU"/>
          <w:w w:val="100"/>
          <w:spacing w:val="0"/>
          <w:color w:val="000000"/>
          <w:position w:val="0"/>
        </w:rPr>
        <w:t xml:space="preserve">обследовали семьи с </w:t>
      </w:r>
      <w:r>
        <w:rPr>
          <w:lang w:val="en-US" w:eastAsia="en-US" w:bidi="en-US"/>
          <w:w w:val="100"/>
          <w:spacing w:val="0"/>
          <w:color w:val="000000"/>
          <w:position w:val="0"/>
        </w:rPr>
        <w:t>CNC:</w:t>
      </w:r>
    </w:p>
    <w:p>
      <w:pPr>
        <w:pStyle w:val="Style30"/>
        <w:numPr>
          <w:ilvl w:val="0"/>
          <w:numId w:val="147"/>
        </w:numPr>
        <w:tabs>
          <w:tab w:leader="none" w:pos="492"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авторами впервые была описана утрата гетерози- готности </w:t>
      </w:r>
      <w:r>
        <w:rPr>
          <w:lang w:val="en-US" w:eastAsia="en-US" w:bidi="en-US"/>
          <w:w w:val="100"/>
          <w:spacing w:val="0"/>
          <w:color w:val="000000"/>
          <w:position w:val="0"/>
        </w:rPr>
        <w:t xml:space="preserve">(LOH) </w:t>
      </w:r>
      <w:r>
        <w:rPr>
          <w:lang w:val="ru-RU" w:eastAsia="ru-RU" w:bidi="ru-RU"/>
          <w:w w:val="100"/>
          <w:spacing w:val="0"/>
          <w:color w:val="000000"/>
          <w:position w:val="0"/>
        </w:rPr>
        <w:t xml:space="preserve">вблизи от гена </w:t>
      </w:r>
      <w:r>
        <w:rPr>
          <w:lang w:val="en-US" w:eastAsia="en-US" w:bidi="en-US"/>
          <w:w w:val="100"/>
          <w:spacing w:val="0"/>
          <w:color w:val="000000"/>
          <w:position w:val="0"/>
        </w:rPr>
        <w:t xml:space="preserve">PRKAR1A, </w:t>
      </w:r>
      <w:r>
        <w:rPr>
          <w:lang w:val="ru-RU" w:eastAsia="ru-RU" w:bidi="ru-RU"/>
          <w:w w:val="100"/>
          <w:spacing w:val="0"/>
          <w:color w:val="000000"/>
          <w:position w:val="0"/>
        </w:rPr>
        <w:t>кодиру</w:t>
        <w:softHyphen/>
        <w:t xml:space="preserve">ющего протеин киназу </w:t>
      </w:r>
      <w:r>
        <w:rPr>
          <w:lang w:val="en-US" w:eastAsia="en-US" w:bidi="en-US"/>
          <w:w w:val="100"/>
          <w:spacing w:val="0"/>
          <w:color w:val="000000"/>
          <w:position w:val="0"/>
        </w:rPr>
        <w:t xml:space="preserve">A </w:t>
      </w:r>
      <w:r>
        <w:rPr>
          <w:lang w:val="ru-RU" w:eastAsia="ru-RU" w:bidi="ru-RU"/>
          <w:w w:val="100"/>
          <w:spacing w:val="0"/>
          <w:color w:val="000000"/>
          <w:position w:val="0"/>
        </w:rPr>
        <w:t>регуляторной субъедини</w:t>
        <w:softHyphen/>
        <w:t xml:space="preserve">цы 1-альфа </w:t>
      </w:r>
      <w:r>
        <w:rPr>
          <w:lang w:val="en-US" w:eastAsia="en-US" w:bidi="en-US"/>
          <w:w w:val="100"/>
          <w:spacing w:val="0"/>
          <w:color w:val="000000"/>
          <w:position w:val="0"/>
        </w:rPr>
        <w:t xml:space="preserve">(Rlalpha), </w:t>
      </w:r>
      <w:r>
        <w:rPr>
          <w:lang w:val="ru-RU" w:eastAsia="ru-RU" w:bidi="ru-RU"/>
          <w:w w:val="100"/>
          <w:spacing w:val="0"/>
          <w:color w:val="000000"/>
          <w:position w:val="0"/>
        </w:rPr>
        <w:t>картированной на хромосо</w:t>
        <w:softHyphen/>
        <w:t xml:space="preserve">ме </w:t>
      </w:r>
      <w:r>
        <w:rPr>
          <w:lang w:val="en-US" w:eastAsia="en-US" w:bidi="en-US"/>
          <w:w w:val="100"/>
          <w:spacing w:val="0"/>
          <w:color w:val="000000"/>
          <w:position w:val="0"/>
        </w:rPr>
        <w:t>17q;</w:t>
      </w:r>
    </w:p>
    <w:p>
      <w:pPr>
        <w:pStyle w:val="Style30"/>
        <w:numPr>
          <w:ilvl w:val="0"/>
          <w:numId w:val="147"/>
        </w:numPr>
        <w:tabs>
          <w:tab w:leader="none" w:pos="492"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идентифицированы трое не связанных родствен</w:t>
        <w:softHyphen/>
        <w:t>ными взаимоотношениями пациентов с идентич</w:t>
        <w:softHyphen/>
        <w:t xml:space="preserve">ной мутацией в кодирующем участке </w:t>
      </w:r>
      <w:r>
        <w:rPr>
          <w:lang w:val="en-US" w:eastAsia="en-US" w:bidi="en-US"/>
          <w:w w:val="100"/>
          <w:spacing w:val="0"/>
          <w:color w:val="000000"/>
          <w:position w:val="0"/>
        </w:rPr>
        <w:t>PRKAR1A;</w:t>
      </w:r>
    </w:p>
    <w:p>
      <w:pPr>
        <w:pStyle w:val="Style30"/>
        <w:numPr>
          <w:ilvl w:val="0"/>
          <w:numId w:val="147"/>
        </w:numPr>
        <w:tabs>
          <w:tab w:leader="none" w:pos="492"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анализ активности </w:t>
      </w:r>
      <w:r>
        <w:rPr>
          <w:lang w:val="en-US" w:eastAsia="en-US" w:bidi="en-US"/>
          <w:w w:val="100"/>
          <w:spacing w:val="0"/>
          <w:color w:val="000000"/>
          <w:position w:val="0"/>
        </w:rPr>
        <w:t xml:space="preserve">PRKAR1A </w:t>
      </w:r>
      <w:r>
        <w:rPr>
          <w:lang w:val="ru-RU" w:eastAsia="ru-RU" w:bidi="ru-RU"/>
          <w:w w:val="100"/>
          <w:spacing w:val="0"/>
          <w:color w:val="000000"/>
          <w:position w:val="0"/>
        </w:rPr>
        <w:t>свидетельствует о понижении базальной активности и повышении стимулированной активности циклического аде</w:t>
        <w:softHyphen/>
        <w:t xml:space="preserve">нозин монофосфата </w:t>
      </w:r>
      <w:r>
        <w:rPr>
          <w:lang w:val="en-US" w:eastAsia="en-US" w:bidi="en-US"/>
          <w:w w:val="100"/>
          <w:spacing w:val="0"/>
          <w:color w:val="000000"/>
          <w:position w:val="0"/>
        </w:rPr>
        <w:t xml:space="preserve">(cAMP) </w:t>
      </w:r>
      <w:r>
        <w:rPr>
          <w:lang w:val="ru-RU" w:eastAsia="ru-RU" w:bidi="ru-RU"/>
          <w:w w:val="100"/>
          <w:spacing w:val="0"/>
          <w:color w:val="000000"/>
          <w:position w:val="0"/>
        </w:rPr>
        <w:t xml:space="preserve">в </w:t>
      </w:r>
      <w:r>
        <w:rPr>
          <w:lang w:val="en-US" w:eastAsia="en-US" w:bidi="en-US"/>
          <w:w w:val="100"/>
          <w:spacing w:val="0"/>
          <w:color w:val="000000"/>
          <w:position w:val="0"/>
        </w:rPr>
        <w:t>CNC</w:t>
      </w:r>
      <w:r>
        <w:rPr>
          <w:lang w:val="ru-RU" w:eastAsia="ru-RU" w:bidi="ru-RU"/>
          <w:w w:val="100"/>
          <w:spacing w:val="0"/>
          <w:color w:val="000000"/>
          <w:position w:val="0"/>
        </w:rPr>
        <w:t>-опухолях в сравнении с не</w:t>
      </w:r>
      <w:r>
        <w:rPr>
          <w:lang w:val="en-US" w:eastAsia="en-US" w:bidi="en-US"/>
          <w:w w:val="100"/>
          <w:spacing w:val="0"/>
          <w:color w:val="000000"/>
          <w:position w:val="0"/>
        </w:rPr>
        <w:t xml:space="preserve">-CNC </w:t>
      </w:r>
      <w:r>
        <w:rPr>
          <w:lang w:val="ru-RU" w:eastAsia="ru-RU" w:bidi="ru-RU"/>
          <w:w w:val="100"/>
          <w:spacing w:val="0"/>
          <w:color w:val="000000"/>
          <w:position w:val="0"/>
        </w:rPr>
        <w:t>опухолевыми новообразо</w:t>
        <w:softHyphen/>
        <w:t>ваниями;</w:t>
      </w:r>
    </w:p>
    <w:p>
      <w:pPr>
        <w:pStyle w:val="Style30"/>
        <w:numPr>
          <w:ilvl w:val="0"/>
          <w:numId w:val="147"/>
        </w:numPr>
        <w:tabs>
          <w:tab w:leader="none" w:pos="492"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установлено, что мутации </w:t>
      </w:r>
      <w:r>
        <w:rPr>
          <w:lang w:val="en-US" w:eastAsia="en-US" w:bidi="en-US"/>
          <w:w w:val="100"/>
          <w:spacing w:val="0"/>
          <w:color w:val="000000"/>
          <w:position w:val="0"/>
        </w:rPr>
        <w:t xml:space="preserve">PRKAR1A </w:t>
      </w:r>
      <w:r>
        <w:rPr>
          <w:lang w:val="ru-RU" w:eastAsia="ru-RU" w:bidi="ru-RU"/>
          <w:w w:val="100"/>
          <w:spacing w:val="0"/>
          <w:color w:val="000000"/>
          <w:position w:val="0"/>
        </w:rPr>
        <w:t>в эмбриона</w:t>
        <w:softHyphen/>
        <w:t xml:space="preserve">льном периоде ответственны за формирование у пациентов фенотипа </w:t>
      </w:r>
      <w:r>
        <w:rPr>
          <w:lang w:val="en-US" w:eastAsia="en-US" w:bidi="en-US"/>
          <w:w w:val="100"/>
          <w:spacing w:val="0"/>
          <w:color w:val="000000"/>
          <w:position w:val="0"/>
        </w:rPr>
        <w:t>CNC.</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Кроме того, </w:t>
      </w:r>
      <w:r>
        <w:rPr>
          <w:lang w:val="en-US" w:eastAsia="en-US" w:bidi="en-US"/>
          <w:w w:val="100"/>
          <w:spacing w:val="0"/>
          <w:color w:val="000000"/>
          <w:position w:val="0"/>
        </w:rPr>
        <w:t xml:space="preserve">Kirschner et al. </w:t>
      </w:r>
      <w:r>
        <w:rPr>
          <w:lang w:val="ru-RU" w:eastAsia="ru-RU" w:bidi="ru-RU"/>
          <w:w w:val="100"/>
          <w:spacing w:val="0"/>
          <w:color w:val="000000"/>
          <w:position w:val="0"/>
        </w:rPr>
        <w:t>проведен скрининг мута</w:t>
        <w:softHyphen/>
        <w:t>ции, имевшей место у 54 родственников:</w:t>
      </w:r>
    </w:p>
    <w:p>
      <w:pPr>
        <w:pStyle w:val="Style30"/>
        <w:numPr>
          <w:ilvl w:val="0"/>
          <w:numId w:val="147"/>
        </w:numPr>
        <w:tabs>
          <w:tab w:leader="none" w:pos="492"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у 14 мутации располагались в PRKAR1A-локусе, был отмечен преждевременный останавливающий кодон </w:t>
      </w:r>
      <w:r>
        <w:rPr>
          <w:lang w:val="en-US" w:eastAsia="en-US" w:bidi="en-US"/>
          <w:w w:val="100"/>
          <w:spacing w:val="0"/>
          <w:color w:val="000000"/>
          <w:position w:val="0"/>
        </w:rPr>
        <w:t xml:space="preserve">(premature stop codon); </w:t>
      </w:r>
      <w:r>
        <w:rPr>
          <w:lang w:val="ru-RU" w:eastAsia="ru-RU" w:bidi="ru-RU"/>
          <w:w w:val="100"/>
          <w:spacing w:val="0"/>
          <w:color w:val="000000"/>
          <w:position w:val="0"/>
        </w:rPr>
        <w:t xml:space="preserve">поврежденный ини- циаторный </w:t>
      </w:r>
      <w:r>
        <w:rPr>
          <w:lang w:val="en-US" w:eastAsia="en-US" w:bidi="en-US"/>
          <w:w w:val="100"/>
          <w:spacing w:val="0"/>
          <w:color w:val="000000"/>
          <w:position w:val="0"/>
        </w:rPr>
        <w:t>ATG</w:t>
      </w:r>
      <w:r>
        <w:rPr>
          <w:lang w:val="ru-RU" w:eastAsia="ru-RU" w:bidi="ru-RU"/>
          <w:w w:val="100"/>
          <w:spacing w:val="0"/>
          <w:color w:val="000000"/>
          <w:position w:val="0"/>
        </w:rPr>
        <w:t>-кодон;</w:t>
      </w:r>
    </w:p>
    <w:p>
      <w:pPr>
        <w:pStyle w:val="Style30"/>
        <w:numPr>
          <w:ilvl w:val="0"/>
          <w:numId w:val="147"/>
        </w:numPr>
        <w:tabs>
          <w:tab w:leader="none" w:pos="492"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транспортная РНК </w:t>
      </w:r>
      <w:r>
        <w:rPr>
          <w:lang w:val="en-US" w:eastAsia="en-US" w:bidi="en-US"/>
          <w:w w:val="100"/>
          <w:spacing w:val="0"/>
          <w:color w:val="000000"/>
          <w:position w:val="0"/>
        </w:rPr>
        <w:t xml:space="preserve">(RNAs, mRNAs), </w:t>
      </w:r>
      <w:r>
        <w:rPr>
          <w:lang w:val="ru-RU" w:eastAsia="ru-RU" w:bidi="ru-RU"/>
          <w:w w:val="100"/>
          <w:spacing w:val="0"/>
          <w:color w:val="000000"/>
          <w:position w:val="0"/>
        </w:rPr>
        <w:t>образующая</w:t>
        <w:softHyphen/>
        <w:t>ся в результате этой мутации, нестабильна и быст</w:t>
        <w:softHyphen/>
        <w:t>ро подвергается разрушению;</w:t>
      </w:r>
    </w:p>
    <w:p>
      <w:pPr>
        <w:pStyle w:val="Style30"/>
        <w:numPr>
          <w:ilvl w:val="0"/>
          <w:numId w:val="147"/>
        </w:numPr>
        <w:tabs>
          <w:tab w:leader="none" w:pos="492"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компоненты </w:t>
      </w:r>
      <w:r>
        <w:rPr>
          <w:lang w:val="en-US" w:eastAsia="en-US" w:bidi="en-US"/>
          <w:w w:val="100"/>
          <w:spacing w:val="0"/>
          <w:color w:val="000000"/>
          <w:position w:val="0"/>
        </w:rPr>
        <w:t xml:space="preserve">PRKAR1A </w:t>
      </w:r>
      <w:r>
        <w:rPr>
          <w:lang w:val="ru-RU" w:eastAsia="ru-RU" w:bidi="ru-RU"/>
          <w:w w:val="100"/>
          <w:spacing w:val="0"/>
          <w:color w:val="000000"/>
          <w:position w:val="0"/>
        </w:rPr>
        <w:t>отсутствовали в повреж</w:t>
        <w:softHyphen/>
        <w:t>денных клетках;</w:t>
      </w:r>
    </w:p>
    <w:p>
      <w:pPr>
        <w:pStyle w:val="Style30"/>
        <w:numPr>
          <w:ilvl w:val="0"/>
          <w:numId w:val="147"/>
        </w:numPr>
        <w:tabs>
          <w:tab w:leader="none" w:pos="492" w:val="left"/>
        </w:tabs>
        <w:widowControl w:val="0"/>
        <w:keepNext w:val="0"/>
        <w:keepLines w:val="0"/>
        <w:shd w:val="clear" w:color="auto" w:fill="auto"/>
        <w:bidi w:val="0"/>
        <w:spacing w:before="0" w:after="0"/>
        <w:ind w:left="480" w:right="0" w:hanging="220"/>
      </w:pPr>
      <w:r>
        <w:pict>
          <v:shape id="_x0000_s1690" type="#_x0000_t75" style="position:absolute;margin-left:136.8pt;margin-top:738.25pt;width:209.75pt;height:14.9pt;z-index:-125828913;mso-wrap-distance-left:136.8pt;mso-wrap-distance-right:148.1pt;mso-wrap-distance-bottom:10.8pt;mso-position-horizontal-relative:margin;mso-position-vertical-relative:margin" wrapcoords="0 0 21600 0 21600 21600 0 21600 0 0">
            <v:imagedata r:id="rId1106" r:href="rId1107"/>
            <w10:wrap type="topAndBottom" anchorx="margin" anchory="margin"/>
          </v:shape>
        </w:pict>
      </w:r>
      <w:r>
        <w:rPr>
          <w:lang w:val="ru-RU" w:eastAsia="ru-RU" w:bidi="ru-RU"/>
          <w:w w:val="100"/>
          <w:spacing w:val="0"/>
          <w:color w:val="000000"/>
          <w:position w:val="0"/>
        </w:rPr>
        <w:t>данные исследования являются первыми, указы</w:t>
        <w:softHyphen/>
        <w:t>вающими на значение мутаций холоэнзимов про</w:t>
        <w:softHyphen/>
        <w:t>теин киназы А в патогенезе заболевания.</w:t>
      </w:r>
      <w:r>
        <w:br w:type="page"/>
      </w:r>
    </w:p>
    <w:p>
      <w:pPr>
        <w:pStyle w:val="Style92"/>
        <w:widowControl w:val="0"/>
        <w:keepNext/>
        <w:keepLines/>
        <w:shd w:val="clear" w:color="auto" w:fill="auto"/>
        <w:bidi w:val="0"/>
        <w:spacing w:before="0" w:after="0"/>
        <w:ind w:left="260" w:right="0" w:hanging="260"/>
      </w:pPr>
      <w:bookmarkStart w:id="718" w:name="bookmark718"/>
      <w:r>
        <w:rPr>
          <w:lang w:val="ru-RU" w:eastAsia="ru-RU" w:bidi="ru-RU"/>
          <w:w w:val="100"/>
          <w:spacing w:val="0"/>
          <w:color w:val="000000"/>
          <w:position w:val="0"/>
        </w:rPr>
        <w:t>Патофизиология</w:t>
      </w:r>
      <w:bookmarkEnd w:id="718"/>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Миксома-эндокринный комплекс Карней </w:t>
      </w:r>
      <w:r>
        <w:rPr>
          <w:lang w:val="en-US" w:eastAsia="en-US" w:bidi="en-US"/>
          <w:w w:val="100"/>
          <w:spacing w:val="0"/>
          <w:color w:val="000000"/>
          <w:position w:val="0"/>
        </w:rPr>
        <w:t xml:space="preserve">(CNC) </w:t>
      </w:r>
      <w:r>
        <w:rPr>
          <w:lang w:val="ru-RU" w:eastAsia="ru-RU" w:bidi="ru-RU"/>
          <w:w w:val="100"/>
          <w:spacing w:val="0"/>
          <w:color w:val="000000"/>
          <w:position w:val="0"/>
        </w:rPr>
        <w:t>представляет по крайней мере две генетически разли</w:t>
        <w:softHyphen/>
        <w:t xml:space="preserve">чаемые формы. Одна из этих форм </w:t>
      </w:r>
      <w:r>
        <w:rPr>
          <w:lang w:val="en-US" w:eastAsia="en-US" w:bidi="en-US"/>
          <w:w w:val="100"/>
          <w:spacing w:val="0"/>
          <w:color w:val="000000"/>
          <w:position w:val="0"/>
        </w:rPr>
        <w:t xml:space="preserve">(CNC </w:t>
      </w:r>
      <w:r>
        <w:rPr>
          <w:lang w:val="ru-RU" w:eastAsia="ru-RU" w:bidi="ru-RU"/>
          <w:w w:val="100"/>
          <w:spacing w:val="0"/>
          <w:color w:val="000000"/>
          <w:position w:val="0"/>
        </w:rPr>
        <w:t>тип I) кар</w:t>
        <w:softHyphen/>
        <w:t xml:space="preserve">тирована на хромосоме 17 и обусловлена мутацией в гене </w:t>
      </w:r>
      <w:r>
        <w:rPr>
          <w:lang w:val="en-US" w:eastAsia="en-US" w:bidi="en-US"/>
          <w:w w:val="100"/>
          <w:spacing w:val="0"/>
          <w:color w:val="000000"/>
          <w:position w:val="0"/>
        </w:rPr>
        <w:t xml:space="preserve">PRKAR1A. </w:t>
      </w:r>
      <w:r>
        <w:rPr>
          <w:lang w:val="ru-RU" w:eastAsia="ru-RU" w:bidi="ru-RU"/>
          <w:w w:val="100"/>
          <w:spacing w:val="0"/>
          <w:color w:val="000000"/>
          <w:position w:val="0"/>
        </w:rPr>
        <w:t xml:space="preserve">Другой вариант </w:t>
      </w:r>
      <w:r>
        <w:rPr>
          <w:lang w:val="en-US" w:eastAsia="en-US" w:bidi="en-US"/>
          <w:w w:val="100"/>
          <w:spacing w:val="0"/>
          <w:color w:val="000000"/>
          <w:position w:val="0"/>
        </w:rPr>
        <w:t xml:space="preserve">(CNC </w:t>
      </w:r>
      <w:r>
        <w:rPr>
          <w:lang w:val="ru-RU" w:eastAsia="ru-RU" w:bidi="ru-RU"/>
          <w:w w:val="100"/>
          <w:spacing w:val="0"/>
          <w:color w:val="000000"/>
          <w:position w:val="0"/>
        </w:rPr>
        <w:t>тип II) кар</w:t>
        <w:softHyphen/>
        <w:t>тирован на хромосоме 2, однако вариант генетичес</w:t>
        <w:softHyphen/>
        <w:t>кой мутации пока не установлен.</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en-US" w:eastAsia="en-US" w:bidi="en-US"/>
          <w:w w:val="100"/>
          <w:spacing w:val="0"/>
          <w:color w:val="000000"/>
          <w:position w:val="0"/>
        </w:rPr>
        <w:t xml:space="preserve">CNC </w:t>
      </w:r>
      <w:r>
        <w:rPr>
          <w:lang w:val="ru-RU" w:eastAsia="ru-RU" w:bidi="ru-RU"/>
          <w:w w:val="100"/>
          <w:spacing w:val="0"/>
          <w:color w:val="000000"/>
          <w:position w:val="0"/>
        </w:rPr>
        <w:t>гены связаны с геномной неустойчивостью, по</w:t>
        <w:softHyphen/>
        <w:t xml:space="preserve">скольку клетки </w:t>
      </w:r>
      <w:r>
        <w:rPr>
          <w:lang w:val="en-US" w:eastAsia="en-US" w:bidi="en-US"/>
          <w:w w:val="100"/>
          <w:spacing w:val="0"/>
          <w:color w:val="000000"/>
          <w:position w:val="0"/>
        </w:rPr>
        <w:t xml:space="preserve">CNC </w:t>
      </w:r>
      <w:r>
        <w:rPr>
          <w:lang w:val="ru-RU" w:eastAsia="ru-RU" w:bidi="ru-RU"/>
          <w:w w:val="100"/>
          <w:spacing w:val="0"/>
          <w:color w:val="000000"/>
          <w:position w:val="0"/>
        </w:rPr>
        <w:t>опухолей накапливают хромо</w:t>
        <w:softHyphen/>
        <w:t xml:space="preserve">сомные изменения, включая теломерные ассоциации </w:t>
      </w:r>
      <w:r>
        <w:rPr>
          <w:lang w:val="en-US" w:eastAsia="en-US" w:bidi="en-US"/>
          <w:w w:val="100"/>
          <w:spacing w:val="0"/>
          <w:color w:val="000000"/>
          <w:position w:val="0"/>
        </w:rPr>
        <w:t xml:space="preserve">(tas) </w:t>
      </w:r>
      <w:r>
        <w:rPr>
          <w:lang w:val="ru-RU" w:eastAsia="ru-RU" w:bidi="ru-RU"/>
          <w:w w:val="100"/>
          <w:spacing w:val="0"/>
          <w:color w:val="000000"/>
          <w:position w:val="0"/>
        </w:rPr>
        <w:t>и дицентрические хромосомы. Миксомы при синдроме Карней обладают высокой частотой апоп</w:t>
        <w:softHyphen/>
        <w:t>тоза в соответствии с цитогенетическими отклонени</w:t>
        <w:softHyphen/>
        <w:t>ями в этих опухолях. Оба синдрома — ПУАБ и миксо- матозные опухоли при комплексе Карней положи</w:t>
        <w:softHyphen/>
        <w:t>тельны на синаптофизин и нейроэндокринный мар</w:t>
        <w:softHyphen/>
        <w:t>кер.</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Частота</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Миксомы сердца как часть комплекса Карней состав</w:t>
        <w:softHyphen/>
        <w:t>ляют 7% среди всех сердечных миксом.</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Пол</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Заболевание встречается с одинаковой частотой у мальчиков и девочек.</w:t>
      </w:r>
    </w:p>
    <w:p>
      <w:pPr>
        <w:pStyle w:val="Style30"/>
        <w:numPr>
          <w:ilvl w:val="0"/>
          <w:numId w:val="141"/>
        </w:numPr>
        <w:tabs>
          <w:tab w:leader="none" w:pos="240" w:val="left"/>
        </w:tabs>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Средний возраст пациентов составляет 10-20 лет. Клиническая симптоматика</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Кожные проявления и симптомы синдрома Кушинга являются первыми, которые наводят врача на мысль о наличии у ребенка миксомы сердца.</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Симптомы синдрома Кушинга:</w:t>
      </w:r>
    </w:p>
    <w:p>
      <w:pPr>
        <w:pStyle w:val="Style30"/>
        <w:numPr>
          <w:ilvl w:val="0"/>
          <w:numId w:val="147"/>
        </w:numPr>
        <w:tabs>
          <w:tab w:leader="none" w:pos="494"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кожа легкоранимая и тонкая;</w:t>
      </w:r>
    </w:p>
    <w:p>
      <w:pPr>
        <w:pStyle w:val="Style30"/>
        <w:numPr>
          <w:ilvl w:val="0"/>
          <w:numId w:val="147"/>
        </w:numPr>
        <w:tabs>
          <w:tab w:leader="none" w:pos="494"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дети часто травмируются, заживление ран проис</w:t>
        <w:softHyphen/>
        <w:t>ходит медленно;</w:t>
      </w:r>
    </w:p>
    <w:p>
      <w:pPr>
        <w:pStyle w:val="Style30"/>
        <w:numPr>
          <w:ilvl w:val="0"/>
          <w:numId w:val="147"/>
        </w:numPr>
        <w:tabs>
          <w:tab w:leader="none" w:pos="494"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кости ослаблены, обычные движения типа изгиба, подъема или прыжок со стула могут вести к болям в пояснице и переломам позвоночного столба и ребер;</w:t>
      </w:r>
    </w:p>
    <w:p>
      <w:pPr>
        <w:pStyle w:val="Style30"/>
        <w:numPr>
          <w:ilvl w:val="0"/>
          <w:numId w:val="147"/>
        </w:numPr>
        <w:tabs>
          <w:tab w:leader="none" w:pos="494"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могут определяться выраженная усталость, мы</w:t>
        <w:softHyphen/>
        <w:t>шечная слабость, высокое артериальное давление и высокие уровни сахара в крови;</w:t>
      </w:r>
    </w:p>
    <w:p>
      <w:pPr>
        <w:pStyle w:val="Style30"/>
        <w:numPr>
          <w:ilvl w:val="0"/>
          <w:numId w:val="147"/>
        </w:numPr>
        <w:tabs>
          <w:tab w:leader="none" w:pos="494"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раздражительность, беспокойство или депрессия;</w:t>
      </w:r>
    </w:p>
    <w:p>
      <w:pPr>
        <w:pStyle w:val="Style30"/>
        <w:numPr>
          <w:ilvl w:val="0"/>
          <w:numId w:val="147"/>
        </w:numPr>
        <w:tabs>
          <w:tab w:leader="none" w:pos="494"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 молодых женщин менструальные периоды нере</w:t>
        <w:softHyphen/>
        <w:t>гулярные или отсутствуют;</w:t>
      </w:r>
    </w:p>
    <w:p>
      <w:pPr>
        <w:pStyle w:val="Style30"/>
        <w:numPr>
          <w:ilvl w:val="0"/>
          <w:numId w:val="147"/>
        </w:numPr>
        <w:tabs>
          <w:tab w:leader="none" w:pos="494"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снижение сексуальной активности у молодых мужчин.</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Симптоматика пролактин секретирующей опухоли включает гипогонадизм (например, аменорея, импо</w:t>
        <w:softHyphen/>
        <w:t>тенция) в сочетании с симптомами увеличенного уровня пролактина в крови (например, галакторея у женщин).</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Симптоматика акромегалии включает головную боль и нарушение зрения.</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Симптоматика гиперпаратиреоидизма включает утомляемость, анемию, мышечную слабость, боли в суставах, запоры, тошноту, частые мочеиспускания (иногда с присутствием крови в моче), нарушение на</w:t>
        <w:softHyphen/>
        <w:t>строения, расстройства памяти, боли в животе (могут быть обусловлены язвой), боли в боку или спине из-за камнеобразования в почках, боли в костях из-за эрозий или переломов, артериальную гипертензию.</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Предсердная миксома может приводить к обструк</w:t>
        <w:softHyphen/>
        <w:t>ции митрального клапана, приводящей к синкопаль-</w:t>
      </w:r>
    </w:p>
    <w:p>
      <w:pPr>
        <w:pStyle w:val="Style30"/>
        <w:widowControl w:val="0"/>
        <w:keepNext w:val="0"/>
        <w:keepLines w:val="0"/>
        <w:shd w:val="clear" w:color="auto" w:fill="auto"/>
        <w:bidi w:val="0"/>
        <w:spacing w:before="0" w:after="0"/>
        <w:ind w:left="740" w:right="0" w:hanging="240"/>
      </w:pPr>
      <w:r>
        <w:br w:type="column"/>
      </w:r>
      <w:r>
        <w:rPr>
          <w:lang w:val="ru-RU" w:eastAsia="ru-RU" w:bidi="ru-RU"/>
          <w:w w:val="100"/>
          <w:spacing w:val="0"/>
          <w:color w:val="000000"/>
          <w:position w:val="0"/>
        </w:rPr>
        <w:t>ным приступам, острой сердечной недостаточности</w:t>
      </w:r>
    </w:p>
    <w:p>
      <w:pPr>
        <w:pStyle w:val="Style30"/>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или даже внезапной смерти.</w: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Физикальные данные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Миксома может иметь повторный рост примерно в 12-22% семейных случаев и в 1-2% при спорадическом за</w:t>
        <w:softHyphen/>
        <w:t>болевании.</w: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Предсердная миксома:</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При физикальном обследовании определяется ак</w:t>
        <w:softHyphen/>
        <w:t>центуированный первый тон.</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Миксома является частой доброкачественной опу</w:t>
        <w:softHyphen/>
        <w:t>холью у детей и занимает первое место по частоте у взрослых. Миксома может образовываться прак</w:t>
        <w:softHyphen/>
        <w:t>тически во всех камерах сердца и на клапанах, од</w:t>
        <w:softHyphen/>
        <w:t>нако в 90% случаев имеет предсердную локализа</w:t>
        <w:softHyphen/>
        <w:t>цию. В левом предсердии миксома образуется в 4 раза чаще, чем в правом.</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Миксома обычно является солитарным образова</w:t>
        <w:softHyphen/>
        <w:t>нием и редко бывает множественной.</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Размеры опухоли колеблются от 1 до 10 см в диа</w:t>
        <w:softHyphen/>
        <w:t>метре.</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Миксома может расти непосредственно от стенки предсердия или на ножке. Предсердная миксома, расположенная на ножке, обычно подвижная и во время диастолы предсердия пролабирует через ат</w:t>
        <w:softHyphen/>
        <w:t>риовентрикулярный клапан в полость желудочка. Иногда такая подвижность проявляется эффек</w:t>
        <w:softHyphen/>
        <w:t>том «шара», приводя к разрушению створок кла</w:t>
        <w:softHyphen/>
        <w:t>пана.</w: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Множественные невусы, диффузный лицевой лентиги-</w: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ноз и пигментация слизистой губ:</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Классическое представление — пятнистая пигмен</w:t>
        <w:softHyphen/>
        <w:t>тация на лице, груди и плечах и ярко-красная гра</w:t>
        <w:softHyphen/>
        <w:t>ница губ и конъюнктивы.</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Пигментация может быть коричневой, темно-ко</w:t>
        <w:softHyphen/>
        <w:t>ричневой или черной.</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Пигментные пятна могут иметь разнообразную форму или резко очерчены, могут быть маленьки</w:t>
        <w:softHyphen/>
        <w:t>ми или нескольких миллиметров в диаметре.</w: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Подкожные миксоидные нейрофибромы и фиброадено</w:t>
        <w:softHyphen/>
        <w:t>мы молочных желез:</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Кожные миксомы чаще располагаются в области век или в наружном слуховом проходе, хотя они могут затронуть любую часть кожи.</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Миксоидные фиброаденомы молочных желез яв</w:t>
        <w:softHyphen/>
        <w:t>ляются часто множественными и двусторонними, такие фиброаденомы в норме не наблюдаются.</w: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Признаки акромегалии:</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Макроглоссия.</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Выступающие челюсть и лоб.</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Большие, подобные лопате руки.</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Гипергидроз.</w: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Признаки синдрома Кушинга:</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Кожа легкоранимая и тонкая.</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Больные склонны к травмированию, раны долго не заживают.</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Розовые или «багрянистые» стрии на животе, бед</w:t>
        <w:softHyphen/>
        <w:t>рах, ягодицах, руках и груди.</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Тучность верхней части тела, округленное («луноо - бразное») лицо, увеличение жировых отложений вокруг шеи, тонкие руки и ноги.</w:t>
      </w:r>
    </w:p>
    <w:p>
      <w:pPr>
        <w:pStyle w:val="Style30"/>
        <w:numPr>
          <w:ilvl w:val="0"/>
          <w:numId w:val="141"/>
        </w:numPr>
        <w:tabs>
          <w:tab w:leader="none" w:pos="739" w:val="left"/>
        </w:tabs>
        <w:widowControl w:val="0"/>
        <w:keepNext w:val="0"/>
        <w:keepLines w:val="0"/>
        <w:shd w:val="clear" w:color="auto" w:fill="auto"/>
        <w:bidi w:val="0"/>
        <w:spacing w:before="0" w:after="0"/>
        <w:ind w:left="740" w:right="0" w:hanging="240"/>
      </w:pPr>
      <w:r>
        <w:pict>
          <v:shape id="_x0000_s1691" type="#_x0000_t75" style="position:absolute;margin-left:141.95pt;margin-top:738.25pt;width:209.75pt;height:14.9pt;z-index:-125828912;mso-wrap-distance-left:135.6pt;mso-wrap-distance-right:136.55pt;mso-wrap-distance-bottom:10.8pt;mso-position-horizontal-relative:margin;mso-position-vertical-relative:margin" wrapcoords="0 0 21600 0 21600 21600 0 21600 0 0">
            <v:imagedata r:id="rId1108" r:href="rId1109"/>
            <w10:wrap type="topAndBottom" anchorx="margin" anchory="margin"/>
          </v:shape>
        </w:pict>
      </w:r>
      <w:r>
        <w:rPr>
          <w:lang w:val="ru-RU" w:eastAsia="ru-RU" w:bidi="ru-RU"/>
          <w:w w:val="100"/>
          <w:spacing w:val="0"/>
          <w:color w:val="000000"/>
          <w:position w:val="0"/>
        </w:rPr>
        <w:t>Дети склонны к ожирению, имеют замедленные темпы роста.</w:t>
      </w:r>
      <w:r>
        <w:br w:type="page"/>
      </w:r>
    </w:p>
    <w:p>
      <w:pPr>
        <w:pStyle w:val="Style30"/>
        <w:numPr>
          <w:ilvl w:val="0"/>
          <w:numId w:val="141"/>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девушек обычно наблюдается избыточный рост волос на лице, шее, грудной клетке, животе и пальцах.</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Эндокринные поражения при комплексе Карней также включают три типа опухолей яичек: опухоль тестикул, происходящая из больших клеток Сертоли, адренокор- тикальных остатков и из клеток Лейдинга.</w:t>
      </w:r>
    </w:p>
    <w:p>
      <w:pPr>
        <w:pStyle w:val="Style30"/>
        <w:numPr>
          <w:ilvl w:val="0"/>
          <w:numId w:val="141"/>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Эти опухоли наблюдаются у трети юношей поло</w:t>
        <w:softHyphen/>
        <w:t>возрелого возраста с синдромом Карней.</w:t>
      </w:r>
    </w:p>
    <w:p>
      <w:pPr>
        <w:pStyle w:val="Style30"/>
        <w:numPr>
          <w:ilvl w:val="0"/>
          <w:numId w:val="141"/>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Опухоль из клеток Сертоли обычно поражает оба яичка и может секретировать эстрогены, что при</w:t>
        <w:softHyphen/>
        <w:t>водит к раннему половому созреванию и гинеко</w:t>
        <w:softHyphen/>
        <w:t>мастии.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Около 75% пациентов с комплексом Карней имеют мно</w:t>
        <w:softHyphen/>
        <w:t>жественные узлы щитовидной железы.</w:t>
      </w:r>
    </w:p>
    <w:p>
      <w:pPr>
        <w:pStyle w:val="Style30"/>
        <w:numPr>
          <w:ilvl w:val="0"/>
          <w:numId w:val="141"/>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Узлы могут приводить к образованию зоба или пальпируются при ощупывании железы.</w:t>
      </w:r>
    </w:p>
    <w:p>
      <w:pPr>
        <w:pStyle w:val="Style30"/>
        <w:numPr>
          <w:ilvl w:val="0"/>
          <w:numId w:val="141"/>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Может возникать симптоматика гипотиреоза или гипертиреоза.</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Шванномы чаще всего определяются в желудочно-ки</w:t>
        <w:softHyphen/>
        <w:t>шечном тракте (пищеводе или желудке) либо по ходу параспинальной сматической цепочки. Дифференциальный диагноз</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Адреналовая аденома.</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Адреналовая карцинома.</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Рабдомиома.</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Внутрисердечный тромб.</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Метастатические неоплазмы в сердце.</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Аденома груди.</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Карцинома груди.</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Тестикулярная аденома.</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Тестикулярная карцинома.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Проводится определение уровня кортизола в суточ</w:t>
        <w:softHyphen/>
        <w:t>ной моче и тест на стимуляцию дексаметазоном для выявления первичной пигментно узловой адрено- кортикальной болезни.</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Определение соматомедина С в плазме позволяет подтвердить избыток гормона роста.</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Показано определение уровня тиреостимулирующего гормона.</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Показано определение адренокортикотропного гор</w:t>
        <w:softHyphen/>
        <w:t>мона.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Электрокардиограмма выявляет дилатацию левого предсердия, возможны признаки легочной гипертен</w:t>
        <w:softHyphen/>
        <w:t>зии.</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Сердечная миксома выявляется при проведении трансторакальной или чрезпищеводной эхокардио</w:t>
        <w:softHyphen/>
        <w:t>графии.</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Тестикулярная сонография позволяет обнаружить опухоль Сертоли.</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Компьютерная томография и магниторезонансное исследование позволяют выявлять опухоли, располо</w:t>
        <w:softHyphen/>
        <w:t>женные за пределами грудной клетки.</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В специализированных научно-исследовательских лабораториях может быть проведен анализ </w:t>
      </w:r>
      <w:r>
        <w:rPr>
          <w:lang w:val="en-US" w:eastAsia="en-US" w:bidi="en-US"/>
          <w:w w:val="100"/>
          <w:spacing w:val="0"/>
          <w:color w:val="000000"/>
          <w:position w:val="0"/>
        </w:rPr>
        <w:t xml:space="preserve">PRKAR1A </w:t>
      </w:r>
      <w:r>
        <w:rPr>
          <w:lang w:val="ru-RU" w:eastAsia="ru-RU" w:bidi="ru-RU"/>
          <w:w w:val="100"/>
          <w:spacing w:val="0"/>
          <w:color w:val="000000"/>
          <w:position w:val="0"/>
        </w:rPr>
        <w:t>гена.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Медицинская помощь</w:t>
      </w:r>
    </w:p>
    <w:p>
      <w:pPr>
        <w:pStyle w:val="Style30"/>
        <w:numPr>
          <w:ilvl w:val="0"/>
          <w:numId w:val="141"/>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 комплекса Карней включает коррекцию эн</w:t>
        <w:softHyphen/>
        <w:t>докринной гиперактивности, миксому сердца удаля</w:t>
        <w:softHyphen/>
        <w:t>ют хирургическим путем.</w:t>
      </w:r>
    </w:p>
    <w:p>
      <w:pPr>
        <w:pStyle w:val="Style92"/>
        <w:widowControl w:val="0"/>
        <w:keepNext/>
        <w:keepLines/>
        <w:shd w:val="clear" w:color="auto" w:fill="auto"/>
        <w:bidi w:val="0"/>
        <w:spacing w:before="0" w:after="0"/>
        <w:ind w:left="500" w:right="0" w:hanging="240"/>
      </w:pPr>
      <w:r>
        <w:br w:type="column"/>
      </w:r>
      <w:bookmarkStart w:id="719" w:name="bookmark719"/>
      <w:r>
        <w:rPr>
          <w:lang w:val="ru-RU" w:eastAsia="ru-RU" w:bidi="ru-RU"/>
          <w:w w:val="100"/>
          <w:spacing w:val="0"/>
          <w:color w:val="000000"/>
          <w:position w:val="0"/>
        </w:rPr>
        <w:t>Хирургическое лечение</w:t>
      </w:r>
      <w:bookmarkEnd w:id="719"/>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Опухоль сердца должна быть удалена без промедлений, поскольку высок риск внезапной смерти и эмболии.</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Удалению подлежат большие кожные миксомы.</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Другие опухоли (например, шванномы, тестикуляр</w:t>
        <w:softHyphen/>
        <w:t>ная опухоль Сертоли, адреналовая опухоль и опухоли щитовидной и паращитовидной желез) могут быть удалены хирургически, в последующем проводится химиотерапия и облучение.</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Амбулаторное наблюдение</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Показана медицинская коррекция эндокринных на</w:t>
        <w:softHyphen/>
        <w:t>рушений.</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Проводится эхокардиографический контроль для сво</w:t>
        <w:softHyphen/>
        <w:t>евременного выявления новых сердечных миксом.</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Проводится регулярный контроль за состоянием экс</w:t>
        <w:softHyphen/>
        <w:t>тракардиальных новообразований и эндокринных функций.</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Осложнения</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Эмболический инульт.</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Повторный рост миксом.</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Наиболее характерное осложнение после удаления предсердых миксом — предсердные дизритмии.</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Предсердная миксома может приводить к обструк</w:t>
        <w:softHyphen/>
        <w:t>ции митрального клапана, приводящей к синкопаль- ным приступам, острой сердечной недостаточности и внезапной смерти детей, считавшихся до этого здо</w:t>
        <w:softHyphen/>
        <w:t>ровыми.</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Эмболия опухолевыми массами в почки и легкие.</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Прогноз</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Смертность при синдроме Карней от сердечных мик</w:t>
        <w:softHyphen/>
        <w:t>сом достигает 25%.</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Миксома является «тихим киллером», обуславливая эмболию и внезапную сердечную смерть.</w:t>
      </w:r>
    </w:p>
    <w:p>
      <w:pPr>
        <w:pStyle w:val="Style30"/>
        <w:numPr>
          <w:ilvl w:val="0"/>
          <w:numId w:val="141"/>
        </w:numPr>
        <w:tabs>
          <w:tab w:leader="none" w:pos="497" w:val="left"/>
        </w:tabs>
        <w:widowControl w:val="0"/>
        <w:keepNext w:val="0"/>
        <w:keepLines w:val="0"/>
        <w:shd w:val="clear" w:color="auto" w:fill="auto"/>
        <w:bidi w:val="0"/>
        <w:spacing w:before="0" w:after="237"/>
        <w:ind w:left="500" w:right="0" w:hanging="240"/>
      </w:pPr>
      <w:r>
        <w:rPr>
          <w:lang w:val="ru-RU" w:eastAsia="ru-RU" w:bidi="ru-RU"/>
          <w:w w:val="100"/>
          <w:spacing w:val="0"/>
          <w:color w:val="000000"/>
          <w:position w:val="0"/>
        </w:rPr>
        <w:t>Меланомные шванномы обычно являются доброка</w:t>
        <w:softHyphen/>
        <w:t>чественными, однако в 10% случаев могут метастази- ровать.</w:t>
      </w:r>
    </w:p>
    <w:p>
      <w:pPr>
        <w:pStyle w:val="Style28"/>
        <w:widowControl w:val="0"/>
        <w:keepNext/>
        <w:keepLines/>
        <w:shd w:val="clear" w:color="auto" w:fill="auto"/>
        <w:bidi w:val="0"/>
        <w:jc w:val="left"/>
        <w:spacing w:before="0" w:after="153" w:line="220" w:lineRule="exact"/>
        <w:ind w:left="0" w:right="0" w:firstLine="0"/>
      </w:pPr>
      <w:bookmarkStart w:id="720" w:name="bookmark720"/>
      <w:r>
        <w:rPr>
          <w:lang w:val="ru-RU" w:eastAsia="ru-RU" w:bidi="ru-RU"/>
          <w:w w:val="100"/>
          <w:spacing w:val="0"/>
          <w:color w:val="000000"/>
          <w:position w:val="0"/>
        </w:rPr>
        <w:t>Фибромы сердца</w:t>
      </w:r>
      <w:bookmarkEnd w:id="720"/>
    </w:p>
    <w:p>
      <w:pPr>
        <w:pStyle w:val="Style92"/>
        <w:widowControl w:val="0"/>
        <w:keepNext/>
        <w:keepLines/>
        <w:shd w:val="clear" w:color="auto" w:fill="auto"/>
        <w:bidi w:val="0"/>
        <w:spacing w:before="0" w:after="0"/>
        <w:ind w:left="500" w:right="0" w:hanging="240"/>
      </w:pPr>
      <w:bookmarkStart w:id="721" w:name="bookmark721"/>
      <w:r>
        <w:rPr>
          <w:lang w:val="ru-RU" w:eastAsia="ru-RU" w:bidi="ru-RU"/>
          <w:w w:val="100"/>
          <w:spacing w:val="0"/>
          <w:color w:val="000000"/>
          <w:position w:val="0"/>
        </w:rPr>
        <w:t>Частота</w:t>
      </w:r>
      <w:bookmarkEnd w:id="721"/>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Из всех опухолей сердца 75% по гистологическим данным доброкачественные, из них 4-6% являются фибромами.</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Пол</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Доброкачественные опухоли обнаруживаются у мальчиков и девочек примерно с одинаковой часто</w:t>
        <w:softHyphen/>
        <w:t>той. Однако данное соотношение из -за редкости опу</w:t>
        <w:softHyphen/>
        <w:t>холей сердца установить довольно сложно.</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Возраст</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Примерно 90% фибром сердца наблюдается у детей моложе 12 лет, из них 75% моложе 2 лет. В 40% случа</w:t>
        <w:softHyphen/>
        <w:t>ев опухоль обнаруживается в возрасте до 1 года.</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Причины</w:t>
      </w:r>
    </w:p>
    <w:p>
      <w:pPr>
        <w:pStyle w:val="Style30"/>
        <w:numPr>
          <w:ilvl w:val="0"/>
          <w:numId w:val="141"/>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Имеет место причинная ассоциация с синдромом Горлина </w:t>
      </w:r>
      <w:r>
        <w:rPr>
          <w:lang w:val="en-US" w:eastAsia="en-US" w:bidi="en-US"/>
          <w:w w:val="100"/>
          <w:spacing w:val="0"/>
          <w:color w:val="000000"/>
          <w:position w:val="0"/>
        </w:rPr>
        <w:t>(Gorlin syndrome):</w:t>
      </w:r>
    </w:p>
    <w:p>
      <w:pPr>
        <w:pStyle w:val="Style30"/>
        <w:numPr>
          <w:ilvl w:val="0"/>
          <w:numId w:val="147"/>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синдром множественных невоидных карцином, кист, фибросаркомы челюсти и скелетных аномалий;</w:t>
      </w:r>
    </w:p>
    <w:p>
      <w:pPr>
        <w:pStyle w:val="Style30"/>
        <w:numPr>
          <w:ilvl w:val="0"/>
          <w:numId w:val="147"/>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множественные изменения кожи;</w:t>
      </w:r>
    </w:p>
    <w:p>
      <w:pPr>
        <w:pStyle w:val="Style30"/>
        <w:numPr>
          <w:ilvl w:val="0"/>
          <w:numId w:val="147"/>
        </w:numPr>
        <w:tabs>
          <w:tab w:leader="none" w:pos="737" w:val="left"/>
        </w:tabs>
        <w:widowControl w:val="0"/>
        <w:keepNext w:val="0"/>
        <w:keepLines w:val="0"/>
        <w:shd w:val="clear" w:color="auto" w:fill="auto"/>
        <w:bidi w:val="0"/>
        <w:spacing w:before="0" w:after="0"/>
        <w:ind w:left="720" w:right="0" w:hanging="220"/>
        <w:sectPr>
          <w:headerReference w:type="even" r:id="rId1110"/>
          <w:headerReference w:type="default" r:id="rId1111"/>
          <w:headerReference w:type="first" r:id="rId1112"/>
          <w:titlePg/>
          <w:pgSz w:w="11900" w:h="16840"/>
          <w:pgMar w:top="1541" w:left="1097" w:right="996" w:bottom="1767" w:header="0" w:footer="3" w:gutter="0"/>
          <w:rtlGutter w:val="0"/>
          <w:cols w:num="2" w:space="102"/>
          <w:noEndnote/>
          <w:docGrid w:linePitch="360"/>
        </w:sectPr>
      </w:pPr>
      <w:r>
        <w:rPr>
          <w:lang w:val="ru-RU" w:eastAsia="ru-RU" w:bidi="ru-RU"/>
          <w:w w:val="100"/>
          <w:spacing w:val="0"/>
          <w:color w:val="000000"/>
          <w:position w:val="0"/>
        </w:rPr>
        <w:t>ассоциация с медуллобластомой, менингиомой, фибромой/фибросаркомой, сердечной фибромой, плодовой рабдомиомой и мезентериальными лим</w:t>
        <w:softHyphen/>
        <w:t>фатическими или хилоидными кистами.</w:t>
      </w:r>
    </w:p>
    <w:p>
      <w:pPr>
        <w:widowControl w:val="0"/>
        <w:rPr>
          <w:sz w:val="2"/>
          <w:szCs w:val="2"/>
        </w:rPr>
      </w:pPr>
      <w:r>
        <w:pict>
          <v:shape id="_x0000_s1695" type="#_x0000_t202" style="position:static;width:595.pt;height:64.8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696" type="#_x0000_t75" style="position:absolute;margin-left:129.45pt;margin-top:0;width:209.75pt;height:14.9pt;z-index:-251658652;mso-wrap-distance-left:5.pt;mso-wrap-distance-right:5.pt;mso-position-horizontal-relative:margin" wrapcoords="0 0">
            <v:imagedata r:id="rId1113" r:href="rId1114"/>
            <w10:wrap anchorx="margin"/>
          </v:shape>
        </w:pict>
      </w:r>
    </w:p>
    <w:p>
      <w:pPr>
        <w:widowControl w:val="0"/>
        <w:rPr>
          <w:sz w:val="2"/>
          <w:szCs w:val="2"/>
        </w:rPr>
        <w:sectPr>
          <w:type w:val="continuous"/>
          <w:pgSz w:w="11900" w:h="16840"/>
          <w:pgMar w:top="1468" w:left="1124" w:right="894" w:bottom="192" w:header="0" w:footer="3" w:gutter="0"/>
          <w:rtlGutter w:val="0"/>
          <w:cols w:space="720"/>
          <w:noEndnote/>
          <w:docGrid w:linePitch="360"/>
        </w:sectPr>
      </w:pPr>
    </w:p>
    <w:p>
      <w:pPr>
        <w:pStyle w:val="Style30"/>
        <w:widowControl w:val="0"/>
        <w:keepNext w:val="0"/>
        <w:keepLines w:val="0"/>
        <w:shd w:val="clear" w:color="auto" w:fill="auto"/>
        <w:bidi w:val="0"/>
        <w:spacing w:before="0" w:after="3840" w:line="192" w:lineRule="exact"/>
        <w:ind w:left="0" w:right="0" w:firstLine="0"/>
      </w:pPr>
      <w:r>
        <w:rPr>
          <w:rStyle w:val="CharStyle102"/>
        </w:rPr>
        <w:t xml:space="preserve">Рис. 84. </w:t>
      </w:r>
      <w:r>
        <w:rPr>
          <w:lang w:val="ru-RU" w:eastAsia="ru-RU" w:bidi="ru-RU"/>
          <w:w w:val="100"/>
          <w:spacing w:val="0"/>
          <w:color w:val="000000"/>
          <w:position w:val="0"/>
        </w:rPr>
        <w:t>Большая фиброма в полости левого желудочка с обструкцией приточного и отточ</w:t>
        <w:softHyphen/>
        <w:t>ного отделов левого желудочка у девочки 11 месяцев. В центре опухоли видны плотные кальцификаты.</w:t>
      </w:r>
    </w:p>
    <w:p>
      <w:pPr>
        <w:pStyle w:val="Style30"/>
        <w:widowControl w:val="0"/>
        <w:keepNext w:val="0"/>
        <w:keepLines w:val="0"/>
        <w:shd w:val="clear" w:color="auto" w:fill="auto"/>
        <w:bidi w:val="0"/>
        <w:spacing w:before="0" w:after="0" w:line="192" w:lineRule="exact"/>
        <w:ind w:left="0" w:right="0" w:firstLine="0"/>
        <w:sectPr>
          <w:pgSz w:w="11900" w:h="16840"/>
          <w:pgMar w:top="1604" w:left="893" w:right="1128" w:bottom="207" w:header="0" w:footer="3" w:gutter="0"/>
          <w:rtlGutter w:val="0"/>
          <w:cols w:space="720"/>
          <w:noEndnote/>
          <w:docGrid w:linePitch="360"/>
        </w:sectPr>
      </w:pPr>
      <w:r>
        <w:pict>
          <v:shape id="_x0000_s1697" type="#_x0000_t75" style="position:absolute;margin-left:196.55pt;margin-top:-263.3pt;width:297.6pt;height:226.1pt;z-index:-125828911;mso-wrap-distance-left:29.5pt;mso-wrap-distance-right:5.pt;mso-wrap-distance-bottom:230.4pt;mso-position-horizontal-relative:margin" wrapcoords="0 0 21600 0 21600 10697 21513 11447 21513 21600 330 21600 330 11447 0 10697 0 0">
            <v:imagedata r:id="rId1115" r:href="rId1116"/>
            <w10:wrap type="square" side="left" anchorx="margin"/>
          </v:shape>
        </w:pict>
      </w:r>
      <w:r>
        <w:pict>
          <v:shape id="_x0000_s1698" type="#_x0000_t75" style="position:absolute;margin-left:201.1pt;margin-top:-21.35pt;width:291.85pt;height:214.55pt;z-index:-125828910;mso-wrap-distance-left:34.1pt;mso-wrap-distance-top:241.9pt;mso-wrap-distance-right:5.pt;mso-position-horizontal-relative:margin" wrapcoords="0 0 21600 0 21600 10697 21513 11447 21513 21600 330 21600 330 11447 0 10697 0 0">
            <v:imagedata r:id="rId1117" r:href="rId1118"/>
            <w10:wrap type="square" side="left" anchorx="margin"/>
          </v:shape>
        </w:pict>
      </w:r>
      <w:r>
        <w:rPr>
          <w:rStyle w:val="CharStyle102"/>
        </w:rPr>
        <w:t xml:space="preserve">Рис. 85. </w:t>
      </w:r>
      <w:r>
        <w:rPr>
          <w:lang w:val="ru-RU" w:eastAsia="ru-RU" w:bidi="ru-RU"/>
          <w:w w:val="100"/>
          <w:spacing w:val="0"/>
          <w:color w:val="000000"/>
          <w:position w:val="0"/>
        </w:rPr>
        <w:t>Фиброма межжелудочковой перего</w:t>
        <w:softHyphen/>
        <w:t>родки у девочки 12 лет. На эхокардиограмме опухоль неоднородной консистенции полно</w:t>
        <w:softHyphen/>
        <w:t>стью прорастает межжелудочковую перегород</w:t>
        <w:softHyphen/>
        <w:t>ку и имеет преимущественный рост в полость левого желудочка.</w:t>
      </w:r>
    </w:p>
    <w:p>
      <w:pPr>
        <w:widowControl w:val="0"/>
        <w:spacing w:line="240" w:lineRule="exact"/>
        <w:rPr>
          <w:sz w:val="19"/>
          <w:szCs w:val="19"/>
        </w:rPr>
      </w:pPr>
    </w:p>
    <w:p>
      <w:pPr>
        <w:widowControl w:val="0"/>
        <w:spacing w:before="20" w:after="20" w:line="240" w:lineRule="exact"/>
        <w:rPr>
          <w:sz w:val="19"/>
          <w:szCs w:val="19"/>
        </w:rPr>
      </w:pPr>
    </w:p>
    <w:p>
      <w:pPr>
        <w:widowControl w:val="0"/>
        <w:rPr>
          <w:sz w:val="2"/>
          <w:szCs w:val="2"/>
        </w:rPr>
        <w:sectPr>
          <w:type w:val="continuous"/>
          <w:pgSz w:w="11900" w:h="16840"/>
          <w:pgMar w:top="1574" w:left="0" w:right="0" w:bottom="1800" w:header="0" w:footer="3" w:gutter="0"/>
          <w:rtlGutter w:val="0"/>
          <w:cols w:space="720"/>
          <w:noEndnote/>
          <w:docGrid w:linePitch="360"/>
        </w:sectPr>
      </w:pPr>
    </w:p>
    <w:p>
      <w:pPr>
        <w:widowControl w:val="0"/>
        <w:rPr>
          <w:sz w:val="2"/>
          <w:szCs w:val="2"/>
        </w:rPr>
      </w:pPr>
      <w:r>
        <w:pict>
          <v:shape id="_x0000_s1699" type="#_x0000_t75" style="position:absolute;margin-left:139.95pt;margin-top:250.55pt;width:209.75pt;height:14.9pt;z-index:-125828909;mso-wrap-distance-left:135.35pt;mso-wrap-distance-right:136.3pt;mso-wrap-distance-bottom:10.8pt;mso-position-horizontal-relative:margin" wrapcoords="0 0 21600 0 21600 21600 0 21600 0 0">
            <v:imagedata r:id="rId1119" r:href="rId1120"/>
            <w10:wrap type="topAndBottom" anchorx="margin"/>
          </v:shape>
        </w:pict>
      </w:r>
    </w:p>
    <w:p>
      <w:pPr>
        <w:pStyle w:val="Style92"/>
        <w:widowControl w:val="0"/>
        <w:keepNext/>
        <w:keepLines/>
        <w:shd w:val="clear" w:color="auto" w:fill="auto"/>
        <w:bidi w:val="0"/>
        <w:spacing w:before="0" w:after="0"/>
        <w:ind w:left="260" w:right="0" w:hanging="260"/>
      </w:pPr>
      <w:bookmarkStart w:id="722" w:name="bookmark722"/>
      <w:r>
        <w:rPr>
          <w:lang w:val="ru-RU" w:eastAsia="ru-RU" w:bidi="ru-RU"/>
          <w:w w:val="100"/>
          <w:spacing w:val="0"/>
          <w:color w:val="000000"/>
          <w:position w:val="0"/>
        </w:rPr>
        <w:t>Патофизиология</w:t>
      </w:r>
      <w:bookmarkEnd w:id="722"/>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Фибромы наиболее часто локализуются в межжелу</w:t>
        <w:softHyphen/>
        <w:t>дочковой перегородке или в свободной стенке левого желудочка (рис. 84, 85).</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Менее чем в 10% фибромы могут образовываться в предсердиях и магистральных сосудах. В отличие от миксом фибромы обычно не приводят к опухолевой эмболии. Рост опухоли обусловливает смещение или прямое повреждение митрального или аортального клапанов, обусловливая гемодинамически значимую клапанную регургитацию или стенозирование.</w:t>
      </w:r>
    </w:p>
    <w:p>
      <w:pPr>
        <w:pStyle w:val="Style30"/>
        <w:numPr>
          <w:ilvl w:val="0"/>
          <w:numId w:val="141"/>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Симптоматика опухоли обычно вторична к происхо</w:t>
        <w:softHyphen/>
        <w:t>дящему при инвазии опухолью нарушению нормаль</w:t>
        <w:softHyphen/>
        <w:t>ной геометрии левого желудочка, его наполнения и объема выброса крови. Дополнительно развивают</w:t>
        <w:softHyphen/>
        <w:t>ся аритмии, которые могут обусловить внезапную смерть и нарушение атриовентрикулярной проводи</w:t>
        <w:softHyphen/>
        <w:br w:type="column"/>
        <w:t>мости из-за прорастания опухоли в проводящую ткань межжелудочковой перегородки.</w:t>
      </w:r>
    </w:p>
    <w:p>
      <w:pPr>
        <w:pStyle w:val="Style30"/>
        <w:widowControl w:val="0"/>
        <w:keepNext w:val="0"/>
        <w:keepLines w:val="0"/>
        <w:shd w:val="clear" w:color="auto" w:fill="auto"/>
        <w:bidi w:val="0"/>
        <w:jc w:val="left"/>
        <w:spacing w:before="0" w:after="0"/>
        <w:ind w:left="0" w:right="2300" w:firstLine="0"/>
      </w:pPr>
      <w:r>
        <w:rPr>
          <w:lang w:val="ru-RU" w:eastAsia="ru-RU" w:bidi="ru-RU"/>
          <w:w w:val="100"/>
          <w:spacing w:val="0"/>
          <w:color w:val="000000"/>
          <w:position w:val="0"/>
        </w:rPr>
        <w:t>Клиническая симптоматика Сердечная недостаточность:</w:t>
      </w:r>
    </w:p>
    <w:p>
      <w:pPr>
        <w:pStyle w:val="Style30"/>
        <w:numPr>
          <w:ilvl w:val="0"/>
          <w:numId w:val="14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Сердечная недостаточность возникает из-за обли</w:t>
        <w:softHyphen/>
        <w:t>терации желудочковой камеры, что приводит к на</w:t>
        <w:softHyphen/>
        <w:t>рушению функции миокарда. Нарушение функ</w:t>
        <w:softHyphen/>
        <w:t>ции миокарда усугубляется аритмиями из-за внут</w:t>
        <w:softHyphen/>
        <w:t>римиокардиального роста опухоли.</w:t>
      </w:r>
    </w:p>
    <w:p>
      <w:pPr>
        <w:pStyle w:val="Style30"/>
        <w:numPr>
          <w:ilvl w:val="0"/>
          <w:numId w:val="14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Рост опухоли может обусловить появление симп</w:t>
        <w:softHyphen/>
        <w:t>томов обструкции выходного тракта левого желу</w:t>
        <w:softHyphen/>
        <w:t>дочка.</w:t>
      </w:r>
    </w:p>
    <w:p>
      <w:pPr>
        <w:pStyle w:val="Style30"/>
        <w:numPr>
          <w:ilvl w:val="0"/>
          <w:numId w:val="14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Диастолический шум может указывать на пораже - ние клапанного аппарата из-за компрессии или прорастания опухолью.</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Поражение опухолью проводящей системы может обус</w:t>
        <w:softHyphen/>
        <w:t>ловить сердцебиение и синкопальные состояния.</w:t>
      </w:r>
      <w:r>
        <w:br w:type="page"/>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Внезапная сердечная смерть наблюдается в 33% случаев. Синкопальные эпизоды ассоциированы с аритмиями. Легочные проявления:</w:t>
      </w:r>
    </w:p>
    <w:p>
      <w:pPr>
        <w:pStyle w:val="Style30"/>
        <w:numPr>
          <w:ilvl w:val="0"/>
          <w:numId w:val="14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пациентов с нарушенной функцией наполнения левого желудочка возникает застойная сердечная недостаточность.</w:t>
      </w:r>
    </w:p>
    <w:p>
      <w:pPr>
        <w:pStyle w:val="Style30"/>
        <w:numPr>
          <w:ilvl w:val="0"/>
          <w:numId w:val="14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Признаки включают хрипы в легких, затрудненное дыхание, кашель.</w:t>
      </w:r>
    </w:p>
    <w:p>
      <w:pPr>
        <w:pStyle w:val="Style30"/>
        <w:widowControl w:val="0"/>
        <w:keepNext w:val="0"/>
        <w:keepLines w:val="0"/>
        <w:shd w:val="clear" w:color="auto" w:fill="auto"/>
        <w:bidi w:val="0"/>
        <w:jc w:val="left"/>
        <w:spacing w:before="0" w:after="0"/>
        <w:ind w:left="280" w:right="0" w:hanging="280"/>
      </w:pPr>
      <w:r>
        <w:rPr>
          <w:lang w:val="ru-RU" w:eastAsia="ru-RU" w:bidi="ru-RU"/>
          <w:w w:val="100"/>
          <w:spacing w:val="0"/>
          <w:color w:val="000000"/>
          <w:position w:val="0"/>
        </w:rPr>
        <w:t>Абдоминальные проявления:</w:t>
      </w:r>
    </w:p>
    <w:p>
      <w:pPr>
        <w:pStyle w:val="Style30"/>
        <w:numPr>
          <w:ilvl w:val="0"/>
          <w:numId w:val="14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правопредсердной или правожелудочковой локализации опухоли возникает нарушение веноз</w:t>
        <w:softHyphen/>
        <w:t>ного возврата.</w:t>
      </w:r>
    </w:p>
    <w:p>
      <w:pPr>
        <w:pStyle w:val="Style30"/>
        <w:numPr>
          <w:ilvl w:val="0"/>
          <w:numId w:val="14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Гепатоспленомегалия.</w:t>
      </w:r>
    </w:p>
    <w:p>
      <w:pPr>
        <w:pStyle w:val="Style30"/>
        <w:numPr>
          <w:ilvl w:val="0"/>
          <w:numId w:val="14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Асцит.</w:t>
      </w:r>
    </w:p>
    <w:p>
      <w:pPr>
        <w:pStyle w:val="Style30"/>
        <w:widowControl w:val="0"/>
        <w:keepNext w:val="0"/>
        <w:keepLines w:val="0"/>
        <w:shd w:val="clear" w:color="auto" w:fill="auto"/>
        <w:bidi w:val="0"/>
        <w:jc w:val="left"/>
        <w:spacing w:before="0" w:after="0"/>
        <w:ind w:left="280" w:right="0" w:hanging="280"/>
      </w:pPr>
      <w:r>
        <w:rPr>
          <w:lang w:val="ru-RU" w:eastAsia="ru-RU" w:bidi="ru-RU"/>
          <w:w w:val="100"/>
          <w:spacing w:val="0"/>
          <w:color w:val="000000"/>
          <w:position w:val="0"/>
        </w:rPr>
        <w:t>Дифференциальным диагноз</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Аортальная регургитация.</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Аортальный стеноз.</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Гипертрофическая кардиомиопатия.</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Инфекционный эндокардит.</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Эндокардит Либмана-Сакса.</w:t>
      </w:r>
    </w:p>
    <w:p>
      <w:pPr>
        <w:pStyle w:val="Style30"/>
        <w:numPr>
          <w:ilvl w:val="0"/>
          <w:numId w:val="141"/>
        </w:numPr>
        <w:tabs>
          <w:tab w:leader="none" w:pos="238" w:val="left"/>
        </w:tabs>
        <w:widowControl w:val="0"/>
        <w:keepNext w:val="0"/>
        <w:keepLines w:val="0"/>
        <w:shd w:val="clear" w:color="auto" w:fill="auto"/>
        <w:bidi w:val="0"/>
        <w:jc w:val="left"/>
        <w:spacing w:before="0" w:after="0"/>
        <w:ind w:left="280" w:right="0" w:hanging="280"/>
      </w:pPr>
      <w:r>
        <w:rPr>
          <w:lang w:val="ru-RU" w:eastAsia="ru-RU" w:bidi="ru-RU"/>
          <w:w w:val="100"/>
          <w:spacing w:val="0"/>
          <w:color w:val="000000"/>
          <w:position w:val="0"/>
        </w:rPr>
        <w:t>Метастатический рак неустановленной первичной локализации.</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Митральная регургитация.</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Митральный стеноз.</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14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Возможны различные формы аритмий.</w:t>
      </w:r>
    </w:p>
    <w:p>
      <w:pPr>
        <w:pStyle w:val="Style30"/>
        <w:numPr>
          <w:ilvl w:val="0"/>
          <w:numId w:val="14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Обструкция левого отточного отдела желудочка проявляется гипертрофией, препятствие в приточ</w:t>
        <w:softHyphen/>
        <w:t>ном отделе — гипертрофией левого предсердия.</w:t>
      </w:r>
    </w:p>
    <w:p>
      <w:pPr>
        <w:pStyle w:val="Style30"/>
        <w:numPr>
          <w:ilvl w:val="0"/>
          <w:numId w:val="14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Ишемические изменения на ЭКГ.</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грудной клетки:</w:t>
      </w:r>
    </w:p>
    <w:p>
      <w:pPr>
        <w:pStyle w:val="Style30"/>
        <w:numPr>
          <w:ilvl w:val="0"/>
          <w:numId w:val="14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Увеличенный силуэт сердечной тени.</w:t>
      </w:r>
    </w:p>
    <w:p>
      <w:pPr>
        <w:pStyle w:val="Style30"/>
        <w:numPr>
          <w:ilvl w:val="0"/>
          <w:numId w:val="14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Локальные очаги кальцификации являются ти</w:t>
        <w:softHyphen/>
        <w:t>пичным проявлением сердечных фибром, особен</w:t>
        <w:softHyphen/>
        <w:t>но у детей.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w:t>
      </w:r>
    </w:p>
    <w:p>
      <w:pPr>
        <w:pStyle w:val="Style30"/>
        <w:numPr>
          <w:ilvl w:val="0"/>
          <w:numId w:val="14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Имеет первоочередное значение в обнаружении сердечных фибром, обычно расположенных в ле</w:t>
        <w:softHyphen/>
        <w:t>вом желудочке, и оценке клапанных поражений.</w:t>
      </w:r>
    </w:p>
    <w:p>
      <w:pPr>
        <w:pStyle w:val="Style30"/>
        <w:numPr>
          <w:ilvl w:val="0"/>
          <w:numId w:val="14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развитии кальцификации в центре опухоли определяются плотные эхосигналы.</w:t>
      </w:r>
    </w:p>
    <w:p>
      <w:pPr>
        <w:pStyle w:val="Style30"/>
        <w:numPr>
          <w:ilvl w:val="0"/>
          <w:numId w:val="141"/>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Величину клапанной обструкции или регургита- ции определяют при проведении допплерографии.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Медицинская помощь</w:t>
      </w:r>
    </w:p>
    <w:p>
      <w:pPr>
        <w:pStyle w:val="Style30"/>
        <w:numPr>
          <w:ilvl w:val="0"/>
          <w:numId w:val="141"/>
        </w:numPr>
        <w:tabs>
          <w:tab w:leader="none" w:pos="238" w:val="left"/>
        </w:tabs>
        <w:widowControl w:val="0"/>
        <w:keepNext w:val="0"/>
        <w:keepLines w:val="0"/>
        <w:shd w:val="clear" w:color="auto" w:fill="auto"/>
        <w:bidi w:val="0"/>
        <w:jc w:val="left"/>
        <w:spacing w:before="0" w:after="0"/>
        <w:ind w:left="280" w:right="0" w:hanging="280"/>
      </w:pPr>
      <w:r>
        <w:rPr>
          <w:lang w:val="ru-RU" w:eastAsia="ru-RU" w:bidi="ru-RU"/>
          <w:w w:val="100"/>
          <w:spacing w:val="0"/>
          <w:color w:val="000000"/>
          <w:position w:val="0"/>
        </w:rPr>
        <w:t>При отсутствии симптоматики фибромы медикамен</w:t>
        <w:softHyphen/>
        <w:t>тозная терапия обычно не проводится.</w:t>
      </w:r>
    </w:p>
    <w:p>
      <w:pPr>
        <w:pStyle w:val="Style30"/>
        <w:numPr>
          <w:ilvl w:val="0"/>
          <w:numId w:val="141"/>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неоперабельных фибромах показана противо</w:t>
        <w:softHyphen/>
        <w:t>аритмическая терапия из-за высокого риска внезап</w:t>
        <w:softHyphen/>
        <w:t>ной аритмогенной смерти.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Хирургическая коррекция</w:t>
      </w:r>
    </w:p>
    <w:p>
      <w:pPr>
        <w:pStyle w:val="Style30"/>
        <w:numPr>
          <w:ilvl w:val="0"/>
          <w:numId w:val="141"/>
        </w:numPr>
        <w:tabs>
          <w:tab w:leader="none" w:pos="238" w:val="left"/>
        </w:tabs>
        <w:widowControl w:val="0"/>
        <w:keepNext w:val="0"/>
        <w:keepLines w:val="0"/>
        <w:shd w:val="clear" w:color="auto" w:fill="auto"/>
        <w:bidi w:val="0"/>
        <w:jc w:val="left"/>
        <w:spacing w:before="0" w:after="0"/>
        <w:ind w:left="280" w:right="0" w:hanging="280"/>
      </w:pPr>
      <w:r>
        <w:rPr>
          <w:lang w:val="ru-RU" w:eastAsia="ru-RU" w:bidi="ru-RU"/>
          <w:w w:val="100"/>
          <w:spacing w:val="0"/>
          <w:color w:val="000000"/>
          <w:position w:val="0"/>
        </w:rPr>
        <w:t>В большинстве случаев возможна полная резекция опухоли.</w:t>
      </w:r>
    </w:p>
    <w:p>
      <w:pPr>
        <w:pStyle w:val="Style30"/>
        <w:numPr>
          <w:ilvl w:val="0"/>
          <w:numId w:val="141"/>
        </w:numPr>
        <w:tabs>
          <w:tab w:leader="none" w:pos="238" w:val="left"/>
        </w:tabs>
        <w:widowControl w:val="0"/>
        <w:keepNext w:val="0"/>
        <w:keepLines w:val="0"/>
        <w:shd w:val="clear" w:color="auto" w:fill="auto"/>
        <w:bidi w:val="0"/>
        <w:jc w:val="left"/>
        <w:spacing w:before="0" w:after="0"/>
        <w:ind w:left="280" w:right="0" w:hanging="280"/>
      </w:pPr>
      <w:r>
        <w:rPr>
          <w:lang w:val="ru-RU" w:eastAsia="ru-RU" w:bidi="ru-RU"/>
          <w:w w:val="100"/>
          <w:spacing w:val="0"/>
          <w:color w:val="000000"/>
          <w:position w:val="0"/>
        </w:rPr>
        <w:t>Операция должна быть выполнена как можно раньше из-за опасности жизнеугрожаемых аритмий.</w:t>
      </w:r>
    </w:p>
    <w:p>
      <w:pPr>
        <w:pStyle w:val="Style30"/>
        <w:numPr>
          <w:ilvl w:val="0"/>
          <w:numId w:val="141"/>
        </w:numPr>
        <w:tabs>
          <w:tab w:leader="none" w:pos="238" w:val="left"/>
        </w:tabs>
        <w:widowControl w:val="0"/>
        <w:keepNext w:val="0"/>
        <w:keepLines w:val="0"/>
        <w:shd w:val="clear" w:color="auto" w:fill="auto"/>
        <w:bidi w:val="0"/>
        <w:jc w:val="left"/>
        <w:spacing w:before="0" w:after="0"/>
        <w:ind w:left="280" w:right="0" w:hanging="280"/>
      </w:pPr>
      <w:r>
        <w:rPr>
          <w:lang w:val="ru-RU" w:eastAsia="ru-RU" w:bidi="ru-RU"/>
          <w:w w:val="100"/>
          <w:spacing w:val="0"/>
          <w:color w:val="000000"/>
          <w:position w:val="0"/>
        </w:rPr>
        <w:t>При неоперабельной фиброме проводится транс</w:t>
        <w:softHyphen/>
        <w:t>плантация сердца.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Амбулаторное наблюдение</w:t>
      </w:r>
    </w:p>
    <w:p>
      <w:pPr>
        <w:pStyle w:val="Style30"/>
        <w:numPr>
          <w:ilvl w:val="0"/>
          <w:numId w:val="141"/>
        </w:numPr>
        <w:tabs>
          <w:tab w:leader="none" w:pos="238" w:val="left"/>
        </w:tabs>
        <w:widowControl w:val="0"/>
        <w:keepNext w:val="0"/>
        <w:keepLines w:val="0"/>
        <w:shd w:val="clear" w:color="auto" w:fill="auto"/>
        <w:bidi w:val="0"/>
        <w:jc w:val="left"/>
        <w:spacing w:before="0" w:after="0"/>
        <w:ind w:left="280" w:right="0" w:hanging="280"/>
      </w:pPr>
      <w:r>
        <w:rPr>
          <w:lang w:val="ru-RU" w:eastAsia="ru-RU" w:bidi="ru-RU"/>
          <w:w w:val="100"/>
          <w:spacing w:val="0"/>
          <w:color w:val="000000"/>
          <w:position w:val="0"/>
        </w:rPr>
        <w:t>Стандартное эхокардиографическое обследование рекомендуется каждые 2-5 лет.</w:t>
      </w:r>
    </w:p>
    <w:p>
      <w:pPr>
        <w:pStyle w:val="Style30"/>
        <w:numPr>
          <w:ilvl w:val="0"/>
          <w:numId w:val="141"/>
        </w:numPr>
        <w:tabs>
          <w:tab w:leader="none" w:pos="516"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Антибактериальная профилактика инфекционного эндокардита должна проводиться у следующей кате</w:t>
        <w:softHyphen/>
        <w:t>гории больных:</w:t>
      </w:r>
    </w:p>
    <w:p>
      <w:pPr>
        <w:pStyle w:val="Style30"/>
        <w:numPr>
          <w:ilvl w:val="0"/>
          <w:numId w:val="147"/>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пациенты с резидуальной клапанной дисфункцией;</w:t>
      </w:r>
    </w:p>
    <w:p>
      <w:pPr>
        <w:pStyle w:val="Style30"/>
        <w:numPr>
          <w:ilvl w:val="0"/>
          <w:numId w:val="147"/>
        </w:numPr>
        <w:tabs>
          <w:tab w:leader="none" w:pos="755"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пациенты с имплантированными протезами кла</w:t>
        <w:softHyphen/>
        <w:t>панов;</w:t>
      </w:r>
    </w:p>
    <w:p>
      <w:pPr>
        <w:pStyle w:val="Style30"/>
        <w:numPr>
          <w:ilvl w:val="0"/>
          <w:numId w:val="147"/>
        </w:numPr>
        <w:tabs>
          <w:tab w:leader="none" w:pos="755"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пациенты с обструкцией выходного тракта левого желудочка.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numPr>
          <w:ilvl w:val="0"/>
          <w:numId w:val="141"/>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Несмотря на полную резекцию опухоли, сохраняется высокий риск внезапной смерти из-за поражения проводящей системы сердца.</w:t>
      </w:r>
    </w:p>
    <w:p>
      <w:pPr>
        <w:pStyle w:val="Style30"/>
        <w:numPr>
          <w:ilvl w:val="0"/>
          <w:numId w:val="141"/>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Пациентам с факторами риска аритмогенной сердеч - ной смерти показана антиаритмическая терапия, при неэффективности — имплантация дефибрилля</w:t>
        <w:softHyphen/>
        <w:t>тора.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141"/>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благоприятный при полной резекции опухо - ли.</w:t>
      </w:r>
    </w:p>
    <w:p>
      <w:pPr>
        <w:pStyle w:val="Style30"/>
        <w:numPr>
          <w:ilvl w:val="0"/>
          <w:numId w:val="141"/>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Неполное удаление фибромы приводит к повторному росту опухоли и возникновению симптоматики забо</w:t>
        <w:softHyphen/>
        <w:t>левания.</w:t>
      </w:r>
    </w:p>
    <w:p>
      <w:pPr>
        <w:pStyle w:val="Style30"/>
        <w:numPr>
          <w:ilvl w:val="0"/>
          <w:numId w:val="141"/>
        </w:numPr>
        <w:tabs>
          <w:tab w:leader="none" w:pos="516" w:val="left"/>
        </w:tabs>
        <w:widowControl w:val="0"/>
        <w:keepNext w:val="0"/>
        <w:keepLines w:val="0"/>
        <w:shd w:val="clear" w:color="auto" w:fill="auto"/>
        <w:bidi w:val="0"/>
        <w:spacing w:before="0" w:after="193"/>
        <w:ind w:left="520" w:right="0" w:hanging="240"/>
      </w:pPr>
      <w:r>
        <w:rPr>
          <w:lang w:val="ru-RU" w:eastAsia="ru-RU" w:bidi="ru-RU"/>
          <w:w w:val="100"/>
          <w:spacing w:val="0"/>
          <w:color w:val="000000"/>
          <w:position w:val="0"/>
        </w:rPr>
        <w:t>Возможно возникновение опухоли в других областях сердца.</w:t>
      </w:r>
    </w:p>
    <w:p>
      <w:pPr>
        <w:pStyle w:val="Style48"/>
        <w:widowControl w:val="0"/>
        <w:keepNext/>
        <w:keepLines/>
        <w:shd w:val="clear" w:color="auto" w:fill="auto"/>
        <w:bidi w:val="0"/>
        <w:jc w:val="left"/>
        <w:spacing w:before="0" w:after="101" w:line="200" w:lineRule="exact"/>
        <w:ind w:left="0" w:right="0" w:firstLine="0"/>
      </w:pPr>
      <w:bookmarkStart w:id="723" w:name="bookmark723"/>
      <w:r>
        <w:rPr>
          <w:lang w:val="ru-RU" w:eastAsia="ru-RU" w:bidi="ru-RU"/>
          <w:w w:val="100"/>
          <w:spacing w:val="0"/>
          <w:color w:val="000000"/>
          <w:position w:val="0"/>
        </w:rPr>
        <w:t>Тератомы сердца</w:t>
      </w:r>
      <w:bookmarkEnd w:id="723"/>
    </w:p>
    <w:p>
      <w:pPr>
        <w:pStyle w:val="Style30"/>
        <w:widowControl w:val="0"/>
        <w:keepNext w:val="0"/>
        <w:keepLines w:val="0"/>
        <w:shd w:val="clear" w:color="auto" w:fill="auto"/>
        <w:bidi w:val="0"/>
        <w:spacing w:before="0" w:after="193"/>
        <w:ind w:left="0" w:right="0" w:firstLine="280"/>
      </w:pPr>
      <w:r>
        <w:rPr>
          <w:lang w:val="ru-RU" w:eastAsia="ru-RU" w:bidi="ru-RU"/>
          <w:w w:val="100"/>
          <w:spacing w:val="0"/>
          <w:color w:val="000000"/>
          <w:position w:val="0"/>
        </w:rPr>
        <w:t>Тератомы являются единичными образованиями, имеют капсулу, серовато-коричневого цвета, обычно локализуют</w:t>
        <w:softHyphen/>
        <w:t>ся в перикарде. В большинстве случаев тератомы растут экстракардиально в полость средостения, возможна внут</w:t>
        <w:softHyphen/>
        <w:t>риперикардиальная и внутриполостная локализация обра</w:t>
        <w:softHyphen/>
        <w:t>зования. Тератомы могут локализоваться в пределах сердца, чаще в правом предсердии, правом желудочке и перегород</w:t>
        <w:softHyphen/>
        <w:t>ке. Иногда опухоли достигают больших размеров, превы</w:t>
        <w:softHyphen/>
        <w:t>шая размеры самого сердца.</w:t>
      </w:r>
    </w:p>
    <w:p>
      <w:pPr>
        <w:pStyle w:val="Style48"/>
        <w:widowControl w:val="0"/>
        <w:keepNext/>
        <w:keepLines/>
        <w:shd w:val="clear" w:color="auto" w:fill="auto"/>
        <w:bidi w:val="0"/>
        <w:jc w:val="left"/>
        <w:spacing w:before="0" w:after="101" w:line="200" w:lineRule="exact"/>
        <w:ind w:left="0" w:right="0" w:firstLine="0"/>
      </w:pPr>
      <w:bookmarkStart w:id="724" w:name="bookmark724"/>
      <w:r>
        <w:rPr>
          <w:lang w:val="ru-RU" w:eastAsia="ru-RU" w:bidi="ru-RU"/>
          <w:w w:val="100"/>
          <w:spacing w:val="0"/>
          <w:color w:val="000000"/>
          <w:position w:val="0"/>
        </w:rPr>
        <w:t>Ангиомы</w:t>
      </w:r>
      <w:bookmarkEnd w:id="724"/>
    </w:p>
    <w:p>
      <w:pPr>
        <w:pStyle w:val="Style30"/>
        <w:widowControl w:val="0"/>
        <w:keepNext w:val="0"/>
        <w:keepLines w:val="0"/>
        <w:shd w:val="clear" w:color="auto" w:fill="auto"/>
        <w:bidi w:val="0"/>
        <w:spacing w:before="0" w:after="242"/>
        <w:ind w:left="0" w:right="0" w:firstLine="280"/>
      </w:pPr>
      <w:r>
        <w:rPr>
          <w:lang w:val="ru-RU" w:eastAsia="ru-RU" w:bidi="ru-RU"/>
          <w:w w:val="100"/>
          <w:spacing w:val="0"/>
          <w:color w:val="000000"/>
          <w:position w:val="0"/>
        </w:rPr>
        <w:t>Ангиомы обусловлены доброкачественной пролифера</w:t>
        <w:softHyphen/>
        <w:t>цией эндотелиальных клеток, их также называют сосудис</w:t>
        <w:softHyphen/>
        <w:t>тыми опухолями. Ангиомы могут обнаруживаться в любой области сердца, чаще имеют правостороннюю локализа</w:t>
        <w:softHyphen/>
        <w:t>цию. Ангиомы могут состоять из кровеносных сосудов (ге</w:t>
        <w:softHyphen/>
        <w:t>мангиомы) или лимфатических сосудов (лимфангиомы). Эти сосудистые образования сообщаются с соответствую</w:t>
        <w:softHyphen/>
        <w:t>щими сосудами миокарда. Они могут инфильтрировать межжелудочковую перегородку в области проводящей сис</w:t>
        <w:softHyphen/>
        <w:t>темы, приводя к блокаде в проводящей системе сердца. Ге</w:t>
        <w:softHyphen/>
        <w:t>мангиомы являются красными, геморрагическими, плос</w:t>
        <w:softHyphen/>
        <w:t>кими или полипозными субэндокардиальными узловыми образованиями. Размеры опухоли варьируют от минималь</w:t>
        <w:softHyphen/>
        <w:t>ных до больших и часто обусловливают геморрагическую тампонаду сердца.</w:t>
      </w:r>
    </w:p>
    <w:p>
      <w:pPr>
        <w:pStyle w:val="Style28"/>
        <w:widowControl w:val="0"/>
        <w:keepNext/>
        <w:keepLines/>
        <w:shd w:val="clear" w:color="auto" w:fill="auto"/>
        <w:bidi w:val="0"/>
        <w:jc w:val="left"/>
        <w:spacing w:before="0" w:after="118" w:line="288" w:lineRule="exact"/>
        <w:ind w:left="0" w:right="0" w:firstLine="0"/>
      </w:pPr>
      <w:bookmarkStart w:id="725" w:name="bookmark725"/>
      <w:r>
        <w:rPr>
          <w:lang w:val="ru-RU" w:eastAsia="ru-RU" w:bidi="ru-RU"/>
          <w:w w:val="100"/>
          <w:spacing w:val="0"/>
          <w:color w:val="000000"/>
          <w:position w:val="0"/>
        </w:rPr>
        <w:t>Первичные злокачественные опухоли сердца</w:t>
      </w:r>
      <w:bookmarkEnd w:id="725"/>
    </w:p>
    <w:p>
      <w:pPr>
        <w:pStyle w:val="Style30"/>
        <w:numPr>
          <w:ilvl w:val="0"/>
          <w:numId w:val="141"/>
        </w:numPr>
        <w:tabs>
          <w:tab w:leader="none" w:pos="516" w:val="left"/>
        </w:tabs>
        <w:widowControl w:val="0"/>
        <w:keepNext w:val="0"/>
        <w:keepLines w:val="0"/>
        <w:shd w:val="clear" w:color="auto" w:fill="auto"/>
        <w:bidi w:val="0"/>
        <w:spacing w:before="0" w:after="0"/>
        <w:ind w:left="520" w:right="0" w:hanging="240"/>
        <w:sectPr>
          <w:type w:val="continuous"/>
          <w:pgSz w:w="11900" w:h="16840"/>
          <w:pgMar w:top="1574" w:left="1056" w:right="1049" w:bottom="1800" w:header="0" w:footer="3" w:gutter="0"/>
          <w:rtlGutter w:val="0"/>
          <w:cols w:num="2" w:space="102"/>
          <w:noEndnote/>
          <w:docGrid w:linePitch="360"/>
        </w:sectPr>
      </w:pPr>
      <w:r>
        <w:pict>
          <v:shape id="_x0000_s1700" type="#_x0000_t75" style="position:absolute;margin-left:130.55pt;margin-top:736.55pt;width:209.75pt;height:14.9pt;z-index:-125828908;mso-wrap-distance-left:124.8pt;mso-wrap-distance-right:148.1pt;mso-wrap-distance-bottom:10.8pt;mso-position-horizontal-relative:margin;mso-position-vertical-relative:margin" wrapcoords="0 0 21600 0 21600 21600 0 21600 0 0">
            <v:imagedata r:id="rId1121" r:href="rId1122"/>
            <w10:wrap type="topAndBottom" anchorx="margin" anchory="margin"/>
          </v:shape>
        </w:pict>
      </w:r>
      <w:r>
        <w:rPr>
          <w:lang w:val="ru-RU" w:eastAsia="ru-RU" w:bidi="ru-RU"/>
          <w:w w:val="100"/>
          <w:spacing w:val="0"/>
          <w:color w:val="000000"/>
          <w:position w:val="0"/>
        </w:rPr>
        <w:t>Диагноз саркомы сердца часто устанавливается перед проведением операции или при патологоанатомичес</w:t>
        <w:softHyphen/>
        <w:t>ком исследовании. Это обусловлено большой редкос</w:t>
        <w:softHyphen/>
        <w:t>тью заболевания и отсутствием характерных диагнос-</w:t>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тических симптомов и признаков. Опухоли, которые образуются в эпикарде или перикарде, могут сопро</w:t>
        <w:softHyphen/>
        <w:t>вождаться болями в грудной клетке, гипотонией, та</w:t>
        <w:softHyphen/>
        <w:t>хикардией и недомоганием. Может выслушиваться приглушенность сердечных тонов и шум трения пе</w:t>
        <w:softHyphen/>
        <w:t>рикарда.</w:t>
      </w:r>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Тампонада сердца (обычно из-за постоянного пери</w:t>
        <w:softHyphen/>
        <w:t>кардиального выпота) в конечном итоге приводит к тяжелой некурабельной сердечной недостаточности.</w:t>
      </w:r>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Поражение миокарда сопровождается рефрактерной аритмией, сердечной блокадой, сердечной недоста</w:t>
        <w:softHyphen/>
        <w:t>точностью, ишемией или инфарктом. Поражение эн</w:t>
        <w:softHyphen/>
        <w:t>докарда сопровождается клапанной обструкцией или недостаточностью.</w:t>
      </w:r>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редких случаях, когда опухоль расположена на нож</w:t>
        <w:softHyphen/>
        <w:t>ке, могут выслушиваться хлопки пролабирующей опухоли о створки клапана.</w:t>
      </w:r>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правосторонней локализации опухоли ее фраг</w:t>
        <w:softHyphen/>
        <w:t>менты могут вызывать эмболию легких.</w:t>
      </w:r>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Левосторонние эмболы приводят к цереброваскуляр - ным инсультам, инфарктам периферических органов и дистальным метастазам.</w:t>
      </w:r>
    </w:p>
    <w:p>
      <w:pPr>
        <w:pStyle w:val="Style30"/>
        <w:numPr>
          <w:ilvl w:val="0"/>
          <w:numId w:val="141"/>
        </w:numPr>
        <w:tabs>
          <w:tab w:leader="none" w:pos="518" w:val="left"/>
        </w:tabs>
        <w:widowControl w:val="0"/>
        <w:keepNext w:val="0"/>
        <w:keepLines w:val="0"/>
        <w:shd w:val="clear" w:color="auto" w:fill="auto"/>
        <w:bidi w:val="0"/>
        <w:spacing w:before="0" w:after="193"/>
        <w:ind w:left="500" w:right="0" w:hanging="220"/>
      </w:pPr>
      <w:r>
        <w:rPr>
          <w:lang w:val="ru-RU" w:eastAsia="ru-RU" w:bidi="ru-RU"/>
          <w:w w:val="100"/>
          <w:spacing w:val="0"/>
          <w:color w:val="000000"/>
          <w:position w:val="0"/>
        </w:rPr>
        <w:t>Локальное разрастание опухоли может обусловить различную симптоматику, например синдром верх</w:t>
        <w:softHyphen/>
        <w:t>ней полой вены, дисфонию, стридор.</w:t>
      </w:r>
    </w:p>
    <w:p>
      <w:pPr>
        <w:pStyle w:val="Style48"/>
        <w:widowControl w:val="0"/>
        <w:keepNext/>
        <w:keepLines/>
        <w:shd w:val="clear" w:color="auto" w:fill="auto"/>
        <w:bidi w:val="0"/>
        <w:jc w:val="left"/>
        <w:spacing w:before="0" w:after="111" w:line="200" w:lineRule="exact"/>
        <w:ind w:left="0" w:right="0" w:firstLine="0"/>
      </w:pPr>
      <w:bookmarkStart w:id="726" w:name="bookmark726"/>
      <w:r>
        <w:rPr>
          <w:lang w:val="ru-RU" w:eastAsia="ru-RU" w:bidi="ru-RU"/>
          <w:w w:val="100"/>
          <w:spacing w:val="0"/>
          <w:color w:val="000000"/>
          <w:position w:val="0"/>
        </w:rPr>
        <w:t>Ангиосаркома</w:t>
      </w:r>
      <w:bookmarkEnd w:id="726"/>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Около 80% сердечных ангиосарком расположены в стенке правого предсердия. Обычно она полностью замещает предсердные стенки и прорастает в желу</w:t>
        <w:softHyphen/>
        <w:t>дочковую камеру. Она может прорастать в подлежа</w:t>
        <w:softHyphen/>
        <w:t>щие структуры (например полую вену, трикуспидаль</w:t>
        <w:softHyphen/>
        <w:t>ный клапан).</w:t>
      </w:r>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этой опухоли имеет место непосредственная связь с кровью, поэтому очень часто наблюдаются распространенные метастазы. Симптомы и признаки такой опухоли имитируют большинство системных заболеваний.</w:t>
      </w:r>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Опухоль очень быстро развивается и приводит к фа</w:t>
        <w:softHyphen/>
        <w:t>тальному исходу.</w:t>
      </w:r>
    </w:p>
    <w:p>
      <w:pPr>
        <w:pStyle w:val="Style30"/>
        <w:numPr>
          <w:ilvl w:val="0"/>
          <w:numId w:val="141"/>
        </w:numPr>
        <w:tabs>
          <w:tab w:leader="none" w:pos="518" w:val="left"/>
        </w:tabs>
        <w:widowControl w:val="0"/>
        <w:keepNext w:val="0"/>
        <w:keepLines w:val="0"/>
        <w:shd w:val="clear" w:color="auto" w:fill="auto"/>
        <w:bidi w:val="0"/>
        <w:spacing w:before="0" w:after="253"/>
        <w:ind w:left="500" w:right="0" w:hanging="220"/>
      </w:pPr>
      <w:r>
        <w:rPr>
          <w:lang w:val="ru-RU" w:eastAsia="ru-RU" w:bidi="ru-RU"/>
          <w:w w:val="100"/>
          <w:spacing w:val="0"/>
          <w:color w:val="000000"/>
          <w:position w:val="0"/>
        </w:rPr>
        <w:t>Происходит обширное распространение опухолевых масс в сердце и перикарде. Метастазы, по данным па</w:t>
        <w:softHyphen/>
        <w:t>томорфологических исследований, обнаруживаются у 88% такой категории больных. Перикардиальная ангиосаркома (без вовлечения миокарда) наблюдает</w:t>
        <w:softHyphen/>
        <w:t>ся редко.</w:t>
      </w:r>
    </w:p>
    <w:p>
      <w:pPr>
        <w:pStyle w:val="Style48"/>
        <w:widowControl w:val="0"/>
        <w:keepNext/>
        <w:keepLines/>
        <w:shd w:val="clear" w:color="auto" w:fill="auto"/>
        <w:bidi w:val="0"/>
        <w:jc w:val="left"/>
        <w:spacing w:before="0" w:after="101" w:line="200" w:lineRule="exact"/>
        <w:ind w:left="0" w:right="0" w:firstLine="0"/>
      </w:pPr>
      <w:bookmarkStart w:id="727" w:name="bookmark727"/>
      <w:r>
        <w:rPr>
          <w:lang w:val="ru-RU" w:eastAsia="ru-RU" w:bidi="ru-RU"/>
          <w:w w:val="100"/>
          <w:spacing w:val="0"/>
          <w:color w:val="000000"/>
          <w:position w:val="0"/>
        </w:rPr>
        <w:t>Рабдомиосаркома</w:t>
      </w:r>
      <w:bookmarkEnd w:id="727"/>
    </w:p>
    <w:p>
      <w:pPr>
        <w:pStyle w:val="Style30"/>
        <w:numPr>
          <w:ilvl w:val="0"/>
          <w:numId w:val="141"/>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Рабдомиосаркома является второй по частоте среди первичных сарком сердца. Она обнаруживается во всех возрастных группах. Опухоли не имеют како</w:t>
        <w:softHyphen/>
        <w:t>го-либо предпочтения в локализации и наблюдаются</w:t>
        <w:br w:type="column"/>
        <w:t>во всех камерах сердца. Диффузное поражение пери</w:t>
        <w:softHyphen/>
        <w:t>карда не характерно.</w:t>
      </w:r>
    </w:p>
    <w:p>
      <w:pPr>
        <w:pStyle w:val="Style30"/>
        <w:numPr>
          <w:ilvl w:val="0"/>
          <w:numId w:val="141"/>
        </w:numPr>
        <w:tabs>
          <w:tab w:leader="none" w:pos="498" w:val="left"/>
        </w:tabs>
        <w:widowControl w:val="0"/>
        <w:keepNext w:val="0"/>
        <w:keepLines w:val="0"/>
        <w:shd w:val="clear" w:color="auto" w:fill="auto"/>
        <w:bidi w:val="0"/>
        <w:spacing w:before="0" w:after="193"/>
        <w:ind w:left="500" w:right="0" w:hanging="240"/>
      </w:pPr>
      <w:r>
        <w:rPr>
          <w:lang w:val="ru-RU" w:eastAsia="ru-RU" w:bidi="ru-RU"/>
          <w:w w:val="100"/>
          <w:spacing w:val="0"/>
          <w:color w:val="000000"/>
          <w:position w:val="0"/>
        </w:rPr>
        <w:t>Почти во всех случаях поражается миокардиальный компонент, могут также поражаться клапаны. Рабдо</w:t>
        <w:softHyphen/>
        <w:t>миосаркома является наиболее характерной первич</w:t>
        <w:softHyphen/>
        <w:t>ной злокачественной опухолью у детей, поскольку образуется из эмбриональных клеток перегородки.</w:t>
      </w:r>
    </w:p>
    <w:p>
      <w:pPr>
        <w:pStyle w:val="Style48"/>
        <w:widowControl w:val="0"/>
        <w:keepNext/>
        <w:keepLines/>
        <w:shd w:val="clear" w:color="auto" w:fill="auto"/>
        <w:bidi w:val="0"/>
        <w:jc w:val="left"/>
        <w:spacing w:before="0" w:after="101" w:line="200" w:lineRule="exact"/>
        <w:ind w:left="0" w:right="0" w:firstLine="0"/>
      </w:pPr>
      <w:bookmarkStart w:id="728" w:name="bookmark728"/>
      <w:r>
        <w:rPr>
          <w:lang w:val="ru-RU" w:eastAsia="ru-RU" w:bidi="ru-RU"/>
          <w:w w:val="100"/>
          <w:spacing w:val="0"/>
          <w:color w:val="000000"/>
          <w:position w:val="0"/>
        </w:rPr>
        <w:t>Мезотелиома</w:t>
      </w:r>
      <w:bookmarkEnd w:id="728"/>
    </w:p>
    <w:p>
      <w:pPr>
        <w:pStyle w:val="Style30"/>
        <w:numPr>
          <w:ilvl w:val="0"/>
          <w:numId w:val="141"/>
        </w:numPr>
        <w:tabs>
          <w:tab w:leader="none" w:pos="498" w:val="left"/>
        </w:tabs>
        <w:widowControl w:val="0"/>
        <w:keepNext w:val="0"/>
        <w:keepLines w:val="0"/>
        <w:shd w:val="clear" w:color="auto" w:fill="auto"/>
        <w:bidi w:val="0"/>
        <w:spacing w:before="0" w:after="161"/>
        <w:ind w:left="500" w:right="0" w:hanging="240"/>
      </w:pPr>
      <w:r>
        <w:rPr>
          <w:lang w:val="ru-RU" w:eastAsia="ru-RU" w:bidi="ru-RU"/>
          <w:w w:val="100"/>
          <w:spacing w:val="0"/>
          <w:color w:val="000000"/>
          <w:position w:val="0"/>
        </w:rPr>
        <w:t>Обычно эта опухоль исходит из висцерального или париетального листков перикарда. Распространяясь по всему перикарду, опухоль приводит к развитию констриктивного синдрома сердца. Прорастания в подлежащий миокард обычно не наблюдается. Опу</w:t>
        <w:softHyphen/>
        <w:t>холь может локально прорастать в диафрагму и брю</w:t>
        <w:softHyphen/>
        <w:t>шину. Характерно, что метастазы в сердце обычно по</w:t>
        <w:softHyphen/>
        <w:t>вреждают миокардиальные структуры и редко пора</w:t>
        <w:softHyphen/>
        <w:t>жают клапаны и эндокард. Макроскопически опухоль белесоватого цвета с узловым и листоподобным рос</w:t>
        <w:softHyphen/>
        <w:t>том. Опухоль встречается в любом возрасте. Никаких этиологических ассоциаций перикардиальных мезо- телиом с асбестозом не установлено, в отличие от бо</w:t>
        <w:softHyphen/>
        <w:t>лее типичных первичных плевральных мезотелиом.</w:t>
      </w:r>
    </w:p>
    <w:p>
      <w:pPr>
        <w:pStyle w:val="Style48"/>
        <w:widowControl w:val="0"/>
        <w:keepNext/>
        <w:keepLines/>
        <w:shd w:val="clear" w:color="auto" w:fill="auto"/>
        <w:bidi w:val="0"/>
        <w:jc w:val="left"/>
        <w:spacing w:before="0" w:after="79" w:line="240" w:lineRule="exact"/>
        <w:ind w:left="0" w:right="0" w:firstLine="0"/>
      </w:pPr>
      <w:bookmarkStart w:id="729" w:name="bookmark729"/>
      <w:r>
        <w:rPr>
          <w:lang w:val="ru-RU" w:eastAsia="ru-RU" w:bidi="ru-RU"/>
          <w:w w:val="100"/>
          <w:spacing w:val="0"/>
          <w:color w:val="000000"/>
          <w:position w:val="0"/>
        </w:rPr>
        <w:t>Фибросаркома и злокачественная фиброзная гистиоцитома</w:t>
      </w:r>
      <w:bookmarkEnd w:id="729"/>
    </w:p>
    <w:p>
      <w:pPr>
        <w:pStyle w:val="Style30"/>
        <w:numPr>
          <w:ilvl w:val="0"/>
          <w:numId w:val="141"/>
        </w:numPr>
        <w:tabs>
          <w:tab w:leader="none" w:pos="498" w:val="left"/>
        </w:tabs>
        <w:widowControl w:val="0"/>
        <w:keepNext w:val="0"/>
        <w:keepLines w:val="0"/>
        <w:shd w:val="clear" w:color="auto" w:fill="auto"/>
        <w:bidi w:val="0"/>
        <w:spacing w:before="0" w:after="193"/>
        <w:ind w:left="500" w:right="0" w:hanging="240"/>
      </w:pPr>
      <w:r>
        <w:rPr>
          <w:lang w:val="ru-RU" w:eastAsia="ru-RU" w:bidi="ru-RU"/>
          <w:w w:val="100"/>
          <w:spacing w:val="0"/>
          <w:color w:val="000000"/>
          <w:position w:val="0"/>
        </w:rPr>
        <w:t>Опухоль имеет белесоватую плотную текстуру с ин</w:t>
        <w:softHyphen/>
        <w:t>фильтративным ростом. Опухоль обнаруживается в любом возрасте, может локализоваться в любых ка</w:t>
        <w:softHyphen/>
        <w:t>мерах сердца. Поражение клапанного аппарата серд</w:t>
        <w:softHyphen/>
        <w:t>ца наблюдается в 50% случаев. Инвазия в перикард встречается очень редко.</w:t>
      </w:r>
    </w:p>
    <w:p>
      <w:pPr>
        <w:pStyle w:val="Style48"/>
        <w:widowControl w:val="0"/>
        <w:keepNext/>
        <w:keepLines/>
        <w:shd w:val="clear" w:color="auto" w:fill="auto"/>
        <w:bidi w:val="0"/>
        <w:jc w:val="left"/>
        <w:spacing w:before="0" w:after="101" w:line="200" w:lineRule="exact"/>
        <w:ind w:left="0" w:right="0" w:firstLine="0"/>
      </w:pPr>
      <w:bookmarkStart w:id="730" w:name="bookmark730"/>
      <w:r>
        <w:rPr>
          <w:lang w:val="ru-RU" w:eastAsia="ru-RU" w:bidi="ru-RU"/>
          <w:w w:val="100"/>
          <w:spacing w:val="0"/>
          <w:color w:val="000000"/>
          <w:position w:val="0"/>
        </w:rPr>
        <w:t>Злокачественная шваннома</w:t>
      </w:r>
      <w:bookmarkEnd w:id="730"/>
    </w:p>
    <w:p>
      <w:pPr>
        <w:pStyle w:val="Style30"/>
        <w:numPr>
          <w:ilvl w:val="0"/>
          <w:numId w:val="141"/>
        </w:numPr>
        <w:tabs>
          <w:tab w:leader="none" w:pos="498" w:val="left"/>
        </w:tabs>
        <w:widowControl w:val="0"/>
        <w:keepNext w:val="0"/>
        <w:keepLines w:val="0"/>
        <w:shd w:val="clear" w:color="auto" w:fill="auto"/>
        <w:bidi w:val="0"/>
        <w:spacing w:before="0" w:after="193"/>
        <w:ind w:left="500" w:right="0" w:hanging="240"/>
      </w:pPr>
      <w:r>
        <w:rPr>
          <w:lang w:val="ru-RU" w:eastAsia="ru-RU" w:bidi="ru-RU"/>
          <w:w w:val="100"/>
          <w:spacing w:val="0"/>
          <w:color w:val="000000"/>
          <w:position w:val="0"/>
        </w:rPr>
        <w:t>Эта опухоль является дериватом периферической нервной ткани. Такие опухоли расположены около вагусного нерва.</w:t>
      </w:r>
    </w:p>
    <w:p>
      <w:pPr>
        <w:pStyle w:val="Style48"/>
        <w:widowControl w:val="0"/>
        <w:keepNext/>
        <w:keepLines/>
        <w:shd w:val="clear" w:color="auto" w:fill="auto"/>
        <w:bidi w:val="0"/>
        <w:jc w:val="left"/>
        <w:spacing w:before="0" w:after="101" w:line="200" w:lineRule="exact"/>
        <w:ind w:left="0" w:right="0" w:firstLine="0"/>
      </w:pPr>
      <w:bookmarkStart w:id="731" w:name="bookmark731"/>
      <w:r>
        <w:rPr>
          <w:lang w:val="ru-RU" w:eastAsia="ru-RU" w:bidi="ru-RU"/>
          <w:w w:val="100"/>
          <w:spacing w:val="0"/>
          <w:color w:val="000000"/>
          <w:position w:val="0"/>
        </w:rPr>
        <w:t>Метастатические опухоли сердца</w:t>
      </w:r>
      <w:bookmarkEnd w:id="731"/>
    </w:p>
    <w:p>
      <w:pPr>
        <w:pStyle w:val="Style30"/>
        <w:numPr>
          <w:ilvl w:val="0"/>
          <w:numId w:val="141"/>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Метастазы в сердце и перикард наблюдаются в 40 раз чаще, чем первичные злокачественные опухоли серд</w:t>
        <w:softHyphen/>
        <w:t>ца. Фактически приблизительно 25% пациентов, ко</w:t>
        <w:softHyphen/>
        <w:t>торые умирают от метастатической саркомы, имеют сердечные метастазы. Метастазы не имеют како</w:t>
        <w:softHyphen/>
        <w:t>го-либо преимущественного расположения и особен</w:t>
        <w:softHyphen/>
        <w:t>ностей роста (например, локальный или диффузный рост). У детей рабдомиосаркома является наиболее общим типом сарком, метастазирующих в сердце.</w:t>
      </w:r>
    </w:p>
    <w:p>
      <w:pPr>
        <w:pStyle w:val="Style30"/>
        <w:numPr>
          <w:ilvl w:val="0"/>
          <w:numId w:val="141"/>
        </w:numPr>
        <w:tabs>
          <w:tab w:leader="none" w:pos="498" w:val="left"/>
        </w:tabs>
        <w:widowControl w:val="0"/>
        <w:keepNext w:val="0"/>
        <w:keepLines w:val="0"/>
        <w:shd w:val="clear" w:color="auto" w:fill="auto"/>
        <w:bidi w:val="0"/>
        <w:spacing w:before="0" w:after="0"/>
        <w:ind w:left="500" w:right="0" w:hanging="240"/>
        <w:sectPr>
          <w:headerReference w:type="even" r:id="rId1123"/>
          <w:headerReference w:type="default" r:id="rId1124"/>
          <w:headerReference w:type="first" r:id="rId1125"/>
          <w:titlePg/>
          <w:pgSz w:w="11900" w:h="16840"/>
          <w:pgMar w:top="1574" w:left="1056" w:right="1049" w:bottom="1800" w:header="0" w:footer="3" w:gutter="0"/>
          <w:rtlGutter w:val="0"/>
          <w:cols w:num="2" w:space="102"/>
          <w:noEndnote/>
          <w:docGrid w:linePitch="360"/>
        </w:sectPr>
      </w:pPr>
      <w:r>
        <w:rPr>
          <w:lang w:val="ru-RU" w:eastAsia="ru-RU" w:bidi="ru-RU"/>
          <w:w w:val="100"/>
          <w:spacing w:val="0"/>
          <w:color w:val="000000"/>
          <w:position w:val="0"/>
        </w:rPr>
        <w:t>«Опухолевый перикардит» характеризуется быстрым накоплением выпота, чаще геморрагического харак</w:t>
        <w:softHyphen/>
        <w:t>тера, и приводит к тампонаде сердца.</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3" w:after="3" w:line="240" w:lineRule="exact"/>
        <w:rPr>
          <w:sz w:val="19"/>
          <w:szCs w:val="19"/>
        </w:rPr>
      </w:pPr>
    </w:p>
    <w:p>
      <w:pPr>
        <w:widowControl w:val="0"/>
        <w:rPr>
          <w:sz w:val="2"/>
          <w:szCs w:val="2"/>
        </w:rPr>
        <w:sectPr>
          <w:type w:val="continuous"/>
          <w:pgSz w:w="11900" w:h="16840"/>
          <w:pgMar w:top="1473" w:left="0" w:right="0" w:bottom="192" w:header="0" w:footer="3" w:gutter="0"/>
          <w:rtlGutter w:val="0"/>
          <w:cols w:space="720"/>
          <w:noEndnote/>
          <w:docGrid w:linePitch="360"/>
        </w:sectPr>
      </w:pPr>
    </w:p>
    <w:p>
      <w:pPr>
        <w:widowControl w:val="0"/>
        <w:spacing w:line="645" w:lineRule="exact"/>
      </w:pPr>
      <w:r>
        <w:pict>
          <v:shape id="_x0000_s1704" type="#_x0000_t75" style="position:absolute;margin-left:155.5pt;margin-top:0;width:209.75pt;height:14.9pt;z-index:-251658648;mso-wrap-distance-left:5.pt;mso-wrap-distance-right:5.pt;mso-position-horizontal-relative:margin" wrapcoords="0 0">
            <v:imagedata r:id="rId1126" r:href="rId1127"/>
            <w10:wrap anchorx="margin"/>
          </v:shape>
        </w:pict>
      </w:r>
    </w:p>
    <w:p>
      <w:pPr>
        <w:widowControl w:val="0"/>
        <w:rPr>
          <w:sz w:val="2"/>
          <w:szCs w:val="2"/>
        </w:rPr>
        <w:sectPr>
          <w:type w:val="continuous"/>
          <w:pgSz w:w="11900" w:h="16840"/>
          <w:pgMar w:top="1473" w:left="898" w:right="1119" w:bottom="192" w:header="0" w:footer="3" w:gutter="0"/>
          <w:rtlGutter w:val="0"/>
          <w:cols w:space="720"/>
          <w:noEndnote/>
          <w:docGrid w:linePitch="360"/>
        </w:sectPr>
      </w:pPr>
    </w:p>
    <w:p>
      <w:pPr>
        <w:pStyle w:val="Style5"/>
        <w:widowControl w:val="0"/>
        <w:keepNext w:val="0"/>
        <w:keepLines w:val="0"/>
        <w:shd w:val="clear" w:color="auto" w:fill="auto"/>
        <w:bidi w:val="0"/>
        <w:jc w:val="left"/>
        <w:spacing w:before="0" w:after="274" w:line="340" w:lineRule="exact"/>
        <w:ind w:left="2320" w:right="0" w:firstLine="0"/>
      </w:pPr>
      <w:r>
        <w:rPr>
          <w:rStyle w:val="CharStyle144"/>
          <w:b/>
          <w:bCs/>
        </w:rPr>
        <w:t>Глава XI</w:t>
      </w:r>
    </w:p>
    <w:p>
      <w:pPr>
        <w:pStyle w:val="Style15"/>
        <w:widowControl w:val="0"/>
        <w:keepNext/>
        <w:keepLines/>
        <w:shd w:val="clear" w:color="auto" w:fill="auto"/>
        <w:bidi w:val="0"/>
        <w:jc w:val="left"/>
        <w:spacing w:before="0" w:after="0" w:line="340" w:lineRule="exact"/>
        <w:ind w:left="2320" w:right="0" w:firstLine="0"/>
        <w:sectPr>
          <w:pgSz w:w="11900" w:h="16840"/>
          <w:pgMar w:top="1800" w:left="1119" w:right="898" w:bottom="206" w:header="0" w:footer="3" w:gutter="0"/>
          <w:rtlGutter w:val="0"/>
          <w:cols w:space="720"/>
          <w:noEndnote/>
          <w:docGrid w:linePitch="360"/>
        </w:sectPr>
      </w:pPr>
      <w:bookmarkStart w:id="732" w:name="bookmark732"/>
      <w:r>
        <w:rPr>
          <w:rStyle w:val="CharStyle145"/>
          <w:b/>
          <w:bCs/>
        </w:rPr>
        <w:t>БОЛЕЗНИ СОСУДОВ</w:t>
      </w:r>
      <w:bookmarkEnd w:id="732"/>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56" w:after="56" w:line="240" w:lineRule="exact"/>
        <w:rPr>
          <w:sz w:val="19"/>
          <w:szCs w:val="19"/>
        </w:rPr>
      </w:pPr>
    </w:p>
    <w:p>
      <w:pPr>
        <w:widowControl w:val="0"/>
        <w:rPr>
          <w:sz w:val="2"/>
          <w:szCs w:val="2"/>
        </w:rPr>
        <w:sectPr>
          <w:type w:val="continuous"/>
          <w:pgSz w:w="11900" w:h="16840"/>
          <w:pgMar w:top="1785" w:left="0" w:right="0" w:bottom="1790" w:header="0" w:footer="3" w:gutter="0"/>
          <w:rtlGutter w:val="0"/>
          <w:cols w:space="720"/>
          <w:noEndnote/>
          <w:docGrid w:linePitch="360"/>
        </w:sectPr>
      </w:pPr>
    </w:p>
    <w:p>
      <w:pPr>
        <w:widowControl w:val="0"/>
        <w:rPr>
          <w:sz w:val="2"/>
          <w:szCs w:val="2"/>
        </w:rPr>
      </w:pPr>
      <w:r>
        <w:pict>
          <v:shape id="_x0000_s1705" type="#_x0000_t75" style="position:absolute;margin-left:142.3pt;margin-top:607.7pt;width:209.75pt;height:14.9pt;z-index:-125828907;mso-wrap-distance-left:136.8pt;mso-wrap-distance-right:147.85pt;mso-wrap-distance-bottom:10.8pt;mso-position-horizontal-relative:margin" wrapcoords="0 0 21600 0 21600 21600 0 21600 0 0">
            <v:imagedata r:id="rId1128" r:href="rId1129"/>
            <w10:wrap type="topAndBottom" anchorx="margin"/>
          </v:shape>
        </w:pict>
      </w:r>
    </w:p>
    <w:p>
      <w:pPr>
        <w:pStyle w:val="Style28"/>
        <w:widowControl w:val="0"/>
        <w:keepNext/>
        <w:keepLines/>
        <w:shd w:val="clear" w:color="auto" w:fill="auto"/>
        <w:bidi w:val="0"/>
        <w:jc w:val="left"/>
        <w:spacing w:before="0" w:after="93" w:line="220" w:lineRule="exact"/>
        <w:ind w:left="0" w:right="0" w:firstLine="0"/>
      </w:pPr>
      <w:bookmarkStart w:id="733" w:name="bookmark733"/>
      <w:r>
        <w:rPr>
          <w:lang w:val="ru-RU" w:eastAsia="ru-RU" w:bidi="ru-RU"/>
          <w:w w:val="100"/>
          <w:spacing w:val="0"/>
          <w:color w:val="000000"/>
          <w:position w:val="0"/>
        </w:rPr>
        <w:t>Артериальная гипертензия</w:t>
      </w:r>
      <w:bookmarkEnd w:id="733"/>
    </w:p>
    <w:p>
      <w:pPr>
        <w:pStyle w:val="Style92"/>
        <w:widowControl w:val="0"/>
        <w:keepNext/>
        <w:keepLines/>
        <w:shd w:val="clear" w:color="auto" w:fill="auto"/>
        <w:bidi w:val="0"/>
        <w:spacing w:before="0" w:after="0"/>
        <w:ind w:left="0" w:right="0" w:firstLine="280"/>
      </w:pPr>
      <w:bookmarkStart w:id="734" w:name="bookmark734"/>
      <w:r>
        <w:rPr>
          <w:lang w:val="ru-RU" w:eastAsia="ru-RU" w:bidi="ru-RU"/>
          <w:w w:val="100"/>
          <w:spacing w:val="0"/>
          <w:color w:val="000000"/>
          <w:position w:val="0"/>
        </w:rPr>
        <w:t>Введение</w:t>
      </w:r>
      <w:bookmarkEnd w:id="73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Артериальная гипертензия (АГ) является важнейшей со</w:t>
        <w:softHyphen/>
        <w:t>циально-экономической и медицинской проблемой, оста</w:t>
        <w:softHyphen/>
        <w:t>ваясь главным фактором риска ишемической болезни серд</w:t>
        <w:softHyphen/>
        <w:t>ца, инфарктов и заболеваний мозга. Смертность от ослож</w:t>
        <w:softHyphen/>
        <w:t>нений артериальной гипертензии составляет 86% в структу</w:t>
        <w:softHyphen/>
        <w:t>ре смертности от сердечно-сосудистых заболеваний и до 40% в структуре общей смертности.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Многочисленными клиническими и эпидемиологичес</w:t>
        <w:softHyphen/>
        <w:t>кими исследованиями установлено, что «истоки» гиперто</w:t>
        <w:softHyphen/>
        <w:t>нической болезни находятся в детском и подростковом воз</w:t>
        <w:softHyphen/>
        <w:t>расте. Артериальная гипертензия регистрируется от 4 до 18% детей в зависимости от возрастной группы и выбран</w:t>
        <w:softHyphen/>
        <w:t>ных критериев диагностики. При отсутствии своевремен</w:t>
        <w:softHyphen/>
        <w:t>ной профилактики и адекватной терапии артериальная ги</w:t>
        <w:softHyphen/>
        <w:t>пертензия трансформируется в гипертоническую болезнь в 30-40% случаев.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Нормативы</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В соответствии с рекомендациями экспертов Рабочей Группы Национального Института Сердца, Легких и Крови (США) нормальным уровнем артериального давления у де</w:t>
        <w:softHyphen/>
        <w:t>тей считается значение систолического и диастолического АД меньше 90 перцентиля для соответствующего возраста, пола и роста (табл. 28, 29). Для обозначения уровня систо</w:t>
        <w:softHyphen/>
        <w:t>лического или диастолического АД, находящегося в диапа</w:t>
        <w:softHyphen/>
        <w:t>зоне от 90 до 95 перцентиля, введено понятие «высокое нормальное АД». За артериальную гипертензию принима</w:t>
        <w:softHyphen/>
        <w:t>ют значения, АД превышающие 95 перцентиль.</w:t>
      </w:r>
    </w:p>
    <w:p>
      <w:pPr>
        <w:pStyle w:val="Style92"/>
        <w:widowControl w:val="0"/>
        <w:keepNext/>
        <w:keepLines/>
        <w:shd w:val="clear" w:color="auto" w:fill="auto"/>
        <w:bidi w:val="0"/>
        <w:spacing w:before="0" w:after="0"/>
        <w:ind w:left="280" w:right="0" w:firstLine="0"/>
      </w:pPr>
      <w:bookmarkStart w:id="735" w:name="bookmark735"/>
      <w:r>
        <w:rPr>
          <w:lang w:val="ru-RU" w:eastAsia="ru-RU" w:bidi="ru-RU"/>
          <w:w w:val="100"/>
          <w:spacing w:val="0"/>
          <w:color w:val="000000"/>
          <w:position w:val="0"/>
        </w:rPr>
        <w:t>Факторы, предрасполагающие к артериальной гипертензии • Наследственный фактор</w:t>
      </w:r>
      <w:bookmarkEnd w:id="735"/>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Установлено, что частота заболевания АГ у наследствен</w:t>
        <w:softHyphen/>
        <w:t>но предрасположенных лиц в 5-6 раз больше. Значение генетических факторов в развитии АГ у детей доказано близнецовым методом, однако до настоящего времени не выявлено генов, ответственных за возникновение ги</w:t>
        <w:softHyphen/>
        <w:t>пертонической болезни. Наследственный фактор реали</w:t>
        <w:softHyphen/>
        <w:t>зуется через механизмы регуляции АД:</w:t>
      </w:r>
    </w:p>
    <w:p>
      <w:pPr>
        <w:pStyle w:val="Style30"/>
        <w:numPr>
          <w:ilvl w:val="0"/>
          <w:numId w:val="14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ренин-ангиотензин-альдостероновую систему;</w:t>
      </w:r>
    </w:p>
    <w:p>
      <w:pPr>
        <w:pStyle w:val="Style30"/>
        <w:numPr>
          <w:ilvl w:val="0"/>
          <w:numId w:val="147"/>
        </w:numPr>
        <w:tabs>
          <w:tab w:leader="none" w:pos="73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калликреин-кининовую систему;</w:t>
      </w:r>
    </w:p>
    <w:p>
      <w:pPr>
        <w:pStyle w:val="Style30"/>
        <w:numPr>
          <w:ilvl w:val="0"/>
          <w:numId w:val="147"/>
        </w:numPr>
        <w:tabs>
          <w:tab w:leader="none" w:pos="732"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через воздействие на мембранный транспорт ио</w:t>
        <w:softHyphen/>
        <w:t>нов, липидный и углеводный обмен.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Каждый из этих генов создает лишь умеренное предрас</w:t>
        <w:softHyphen/>
        <w:t>положение к гипертонии, различные комбинации генных вариантов в разной степени нарушают адаптивность от</w:t>
        <w:softHyphen/>
        <w:t>дельных индивидов и снижают приспособляемость популя</w:t>
        <w:softHyphen/>
        <w:t>ции в целом. То есть чем больше патологических аллелей</w:t>
        <w:br w:type="column"/>
        <w:t>сочетается в организме, чем выраженнее экспрессия гена, тем раньше возникает и тяжелее протекает АГ.</w:t>
      </w:r>
    </w:p>
    <w:p>
      <w:pPr>
        <w:pStyle w:val="Style30"/>
        <w:numPr>
          <w:ilvl w:val="0"/>
          <w:numId w:val="141"/>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Алиментарный фактор</w:t>
      </w:r>
    </w:p>
    <w:p>
      <w:pPr>
        <w:pStyle w:val="Style30"/>
        <w:numPr>
          <w:ilvl w:val="0"/>
          <w:numId w:val="141"/>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Важной детерминантой высокого артериального давления у детей является ожирение. В многочис</w:t>
        <w:softHyphen/>
        <w:t>ленных исследованиях убедительно продемон</w:t>
        <w:softHyphen/>
        <w:t>стрирована связь повышенной массы тела, толщи</w:t>
        <w:softHyphen/>
        <w:t>ны кожной складки, индекса массы тела (кг/м</w:t>
      </w:r>
      <w:r>
        <w:rPr>
          <w:lang w:val="ru-RU" w:eastAsia="ru-RU" w:bidi="ru-RU"/>
          <w:vertAlign w:val="superscript"/>
          <w:w w:val="100"/>
          <w:spacing w:val="0"/>
          <w:color w:val="000000"/>
          <w:position w:val="0"/>
        </w:rPr>
        <w:t>2</w:t>
      </w:r>
      <w:r>
        <w:rPr>
          <w:lang w:val="ru-RU" w:eastAsia="ru-RU" w:bidi="ru-RU"/>
          <w:w w:val="100"/>
          <w:spacing w:val="0"/>
          <w:color w:val="000000"/>
          <w:position w:val="0"/>
        </w:rPr>
        <w:t>) и пондерального индекса (кг/м</w:t>
      </w:r>
      <w:r>
        <w:rPr>
          <w:lang w:val="ru-RU" w:eastAsia="ru-RU" w:bidi="ru-RU"/>
          <w:vertAlign w:val="superscript"/>
          <w:w w:val="100"/>
          <w:spacing w:val="0"/>
          <w:color w:val="000000"/>
          <w:position w:val="0"/>
        </w:rPr>
        <w:t>3</w:t>
      </w:r>
      <w:r>
        <w:rPr>
          <w:lang w:val="ru-RU" w:eastAsia="ru-RU" w:bidi="ru-RU"/>
          <w:w w:val="100"/>
          <w:spacing w:val="0"/>
          <w:color w:val="000000"/>
          <w:position w:val="0"/>
        </w:rPr>
        <w:t>) с уровнем АД у детей. Следует отметить, что нужно с осторожно</w:t>
        <w:softHyphen/>
        <w:t>стью, особенно применительно к мальчикам, под</w:t>
        <w:softHyphen/>
        <w:t>ходить к утверждению о наличии избыточной мас</w:t>
        <w:softHyphen/>
        <w:t>сы тела у подростка; увеличение массы тела может происходить не за счет жировой ткани, а за счет мышечной массы.</w:t>
      </w:r>
    </w:p>
    <w:p>
      <w:pPr>
        <w:pStyle w:val="Style30"/>
        <w:numPr>
          <w:ilvl w:val="0"/>
          <w:numId w:val="141"/>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Показано, что вес при рождении может быть допол - нительным фактором, определяющим возникнове</w:t>
        <w:softHyphen/>
        <w:t>ние артериальной гипертензии у детей и подрост</w:t>
        <w:softHyphen/>
        <w:t>ков. Низкая масса тела при рождении (даже при от</w:t>
        <w:softHyphen/>
        <w:t>сутствии задержки внутриутробного развития) ас</w:t>
        <w:softHyphen/>
        <w:t>социируется с более высокими значениями АД.</w:t>
      </w:r>
    </w:p>
    <w:p>
      <w:pPr>
        <w:pStyle w:val="Style30"/>
        <w:numPr>
          <w:ilvl w:val="0"/>
          <w:numId w:val="141"/>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Среди пищевых факторов, влияющих на уровень АД, особое внимание уделяется роли поваренной соли, жирных кислот и калия. Популяционные ис</w:t>
        <w:softHyphen/>
        <w:t>следования показали, что среди населения с низ</w:t>
        <w:softHyphen/>
        <w:t>ким потреблением пищевого натрия артериальная гипертензия практически отсутствует.</w:t>
      </w:r>
    </w:p>
    <w:p>
      <w:pPr>
        <w:pStyle w:val="Style30"/>
        <w:numPr>
          <w:ilvl w:val="0"/>
          <w:numId w:val="141"/>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Содержание жира более 30% от суточной калорий</w:t>
        <w:softHyphen/>
        <w:t>ности повышает риск развития артериальной ги</w:t>
        <w:softHyphen/>
        <w:t>пертензии.</w:t>
      </w:r>
    </w:p>
    <w:p>
      <w:pPr>
        <w:pStyle w:val="Style30"/>
        <w:numPr>
          <w:ilvl w:val="0"/>
          <w:numId w:val="141"/>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 ряде исследований показано, что обогащение пищевого рациона калием не только приводит к снижению АД, но и предупреждает развитие ар</w:t>
        <w:softHyphen/>
        <w:t>териальной гипертензии.</w:t>
      </w:r>
    </w:p>
    <w:p>
      <w:pPr>
        <w:pStyle w:val="Style30"/>
        <w:numPr>
          <w:ilvl w:val="0"/>
          <w:numId w:val="141"/>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Инсулинорезистентность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Проблема метаболического синдрома и артериальной ги</w:t>
        <w:softHyphen/>
        <w:t>пертензии стала актуальной в последнее время, так как про</w:t>
        <w:softHyphen/>
        <w:t>веден ряд крупных многоцентровых исследований, показав</w:t>
        <w:softHyphen/>
        <w:t>ших тесную взаимосвязь между АГ и другими компонента</w:t>
        <w:softHyphen/>
        <w:t>ми метаболического синдрома, а также в связи с его высо</w:t>
        <w:softHyphen/>
        <w:t>кой распространенностью. Основной причиной синдрома является инсулинорезистентность, которая запускает по</w:t>
        <w:softHyphen/>
        <w:t>рочный круг симптомов, приводящих в итоге к появлению осложнений, самыми частыми и, пожалуй, самыми тяжелы</w:t>
        <w:softHyphen/>
        <w:t>ми из них являются сердечно-сосудистые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Метаболический синдром или метаболический синдром Х включает:</w:t>
      </w:r>
    </w:p>
    <w:p>
      <w:pPr>
        <w:pStyle w:val="Style30"/>
        <w:numPr>
          <w:ilvl w:val="0"/>
          <w:numId w:val="147"/>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инсулинорезистентность;</w:t>
      </w:r>
    </w:p>
    <w:p>
      <w:pPr>
        <w:pStyle w:val="Style30"/>
        <w:numPr>
          <w:ilvl w:val="0"/>
          <w:numId w:val="147"/>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нарушение толерантности к глюкозе;</w:t>
      </w:r>
    </w:p>
    <w:p>
      <w:pPr>
        <w:pStyle w:val="Style30"/>
        <w:numPr>
          <w:ilvl w:val="0"/>
          <w:numId w:val="147"/>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гиперинсулинемии;</w:t>
      </w:r>
      <w:r>
        <w:br w:type="page"/>
      </w:r>
    </w:p>
    <w:p>
      <w:pPr>
        <w:pStyle w:val="Style30"/>
        <w:widowControl w:val="0"/>
        <w:keepNext w:val="0"/>
        <w:keepLines w:val="0"/>
        <w:shd w:val="clear" w:color="auto" w:fill="auto"/>
        <w:bidi w:val="0"/>
        <w:spacing w:before="0" w:after="0"/>
        <w:ind w:left="0" w:right="0" w:firstLine="0"/>
      </w:pPr>
      <w:r>
        <w:pict>
          <v:shape id="_x0000_s1706" type="#_x0000_t202" style="position:absolute;margin-left:0.25pt;margin-top:-10.3pt;width:494.4pt;height:5.e-002pt;z-index:-125828906;mso-wrap-distance-left:5.pt;mso-wrap-distance-right:5.pt;mso-position-horizontal-relative:margin;mso-position-vertical-relative:margin" filled="f" stroked="f">
            <v:textbox style="mso-fit-shape-to-text:t" inset="0,0,0,0">
              <w:txbxContent>
                <w:p>
                  <w:pPr>
                    <w:pStyle w:val="Style139"/>
                    <w:widowControl w:val="0"/>
                    <w:keepNext w:val="0"/>
                    <w:keepLines w:val="0"/>
                    <w:shd w:val="clear" w:color="auto" w:fill="auto"/>
                    <w:bidi w:val="0"/>
                    <w:spacing w:before="0" w:after="0" w:line="180" w:lineRule="exact"/>
                    <w:ind w:left="0" w:right="0" w:firstLine="0"/>
                  </w:pPr>
                  <w:r>
                    <w:rPr>
                      <w:rStyle w:val="CharStyle143"/>
                      <w:b/>
                      <w:bCs/>
                      <w:i/>
                      <w:iCs/>
                    </w:rPr>
                    <w:t>Таблица 29</w:t>
                  </w:r>
                </w:p>
                <w:p>
                  <w:pPr>
                    <w:pStyle w:val="Style96"/>
                    <w:widowControl w:val="0"/>
                    <w:keepNext w:val="0"/>
                    <w:keepLines w:val="0"/>
                    <w:shd w:val="clear" w:color="auto" w:fill="auto"/>
                    <w:bidi w:val="0"/>
                    <w:jc w:val="left"/>
                    <w:spacing w:before="0" w:after="0" w:line="180" w:lineRule="exact"/>
                    <w:ind w:left="0" w:right="0" w:firstLine="0"/>
                  </w:pPr>
                  <w:r>
                    <w:rPr>
                      <w:rStyle w:val="CharStyle97"/>
                    </w:rPr>
                    <w:t>Величина АД, соответствующая 90 и 95 перцентилю в зависимости от возраста и перцентиля роста для мальчиков</w:t>
                  </w:r>
                </w:p>
                <w:tbl>
                  <w:tblPr>
                    <w:tblOverlap w:val="never"/>
                    <w:tblLayout w:type="fixed"/>
                    <w:jc w:val="center"/>
                  </w:tblPr>
                  <w:tblGrid>
                    <w:gridCol w:w="682"/>
                    <w:gridCol w:w="1267"/>
                    <w:gridCol w:w="528"/>
                    <w:gridCol w:w="528"/>
                    <w:gridCol w:w="528"/>
                    <w:gridCol w:w="528"/>
                    <w:gridCol w:w="528"/>
                    <w:gridCol w:w="533"/>
                    <w:gridCol w:w="528"/>
                    <w:gridCol w:w="528"/>
                    <w:gridCol w:w="528"/>
                    <w:gridCol w:w="528"/>
                    <w:gridCol w:w="528"/>
                    <w:gridCol w:w="533"/>
                    <w:gridCol w:w="528"/>
                    <w:gridCol w:w="528"/>
                    <w:gridCol w:w="538"/>
                  </w:tblGrid>
                  <w:tr>
                    <w:trPr>
                      <w:trHeight w:val="240" w:hRule="exact"/>
                    </w:trPr>
                    <w:tc>
                      <w:tcPr>
                        <w:shd w:val="clear" w:color="auto" w:fill="FFFFFF"/>
                        <w:vMerge w:val="restart"/>
                        <w:tcBorders>
                          <w:left w:val="single" w:sz="4"/>
                          <w:top w:val="single" w:sz="4"/>
                        </w:tcBorders>
                        <w:vAlign w:val="top"/>
                      </w:tcPr>
                      <w:p>
                        <w:pPr>
                          <w:widowControl w:val="0"/>
                          <w:rPr>
                            <w:sz w:val="10"/>
                            <w:szCs w:val="10"/>
                          </w:rPr>
                        </w:pPr>
                      </w:p>
                    </w:tc>
                    <w:tc>
                      <w:tcPr>
                        <w:shd w:val="clear" w:color="auto" w:fill="FFFFFF"/>
                        <w:vMerge w:val="restart"/>
                        <w:tcBorders>
                          <w:left w:val="single" w:sz="4"/>
                          <w:top w:val="single" w:sz="4"/>
                        </w:tcBorders>
                        <w:vAlign w:val="top"/>
                      </w:tcPr>
                      <w:p>
                        <w:pPr>
                          <w:widowControl w:val="0"/>
                          <w:rPr>
                            <w:sz w:val="10"/>
                            <w:szCs w:val="10"/>
                          </w:rPr>
                        </w:pPr>
                      </w:p>
                    </w:tc>
                    <w:tc>
                      <w:tcPr>
                        <w:shd w:val="clear" w:color="auto" w:fill="FFFFFF"/>
                        <w:gridSpan w:val="7"/>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Систолическое АД мм рт. ст.</w:t>
                        </w:r>
                      </w:p>
                    </w:tc>
                    <w:tc>
                      <w:tcPr>
                        <w:shd w:val="clear" w:color="auto" w:fill="FFFFFF"/>
                        <w:tcBorders>
                          <w:left w:val="single" w:sz="4"/>
                          <w:top w:val="single" w:sz="4"/>
                        </w:tcBorders>
                        <w:vAlign w:val="top"/>
                      </w:tcPr>
                      <w:p>
                        <w:pPr>
                          <w:widowControl w:val="0"/>
                          <w:rPr>
                            <w:sz w:val="10"/>
                            <w:szCs w:val="10"/>
                          </w:rPr>
                        </w:pPr>
                      </w:p>
                    </w:tc>
                    <w:tc>
                      <w:tcPr>
                        <w:shd w:val="clear" w:color="auto" w:fill="FFFFFF"/>
                        <w:gridSpan w:val="7"/>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Диастолическое АД мм рт. ст.</w:t>
                        </w:r>
                      </w:p>
                    </w:tc>
                  </w:tr>
                  <w:tr>
                    <w:trPr>
                      <w:trHeight w:val="240" w:hRule="exact"/>
                    </w:trPr>
                    <w:tc>
                      <w:tcPr>
                        <w:shd w:val="clear" w:color="auto" w:fill="FFFFFF"/>
                        <w:vMerge/>
                        <w:tcBorders>
                          <w:left w:val="single" w:sz="4"/>
                        </w:tcBorders>
                        <w:vAlign w:val="top"/>
                      </w:tcPr>
                      <w:p>
                        <w:pPr/>
                      </w:p>
                    </w:tc>
                    <w:tc>
                      <w:tcPr>
                        <w:shd w:val="clear" w:color="auto" w:fill="FFFFFF"/>
                        <w:vMerge/>
                        <w:tcBorders>
                          <w:left w:val="single" w:sz="4"/>
                        </w:tcBorders>
                        <w:vAlign w:val="top"/>
                      </w:tcPr>
                      <w:p>
                        <w:pPr/>
                      </w:p>
                    </w:tc>
                    <w:tc>
                      <w:tcPr>
                        <w:shd w:val="clear" w:color="auto" w:fill="FFFFFF"/>
                        <w:gridSpan w:val="15"/>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Перцентиль роста</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Возраст</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Перцентиль АД</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25%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50%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10%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95%</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94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97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98</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102</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102</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54</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55</w:t>
                        </w:r>
                      </w:p>
                    </w:tc>
                  </w:tr>
                  <w:tr>
                    <w:trPr>
                      <w:trHeight w:val="235"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98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99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59</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59</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98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99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59</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59</w:t>
                        </w:r>
                      </w:p>
                    </w:tc>
                  </w:tr>
                  <w:tr>
                    <w:trPr>
                      <w:trHeight w:val="235"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101</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59</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60</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61</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63</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63</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63</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63</w:t>
                        </w:r>
                      </w:p>
                    </w:tc>
                  </w:tr>
                  <w:tr>
                    <w:trPr>
                      <w:trHeight w:val="240"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67</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67</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111</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62</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66</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66</w:t>
                        </w:r>
                      </w:p>
                    </w:tc>
                  </w:tr>
                  <w:tr>
                    <w:trPr>
                      <w:trHeight w:val="235"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67</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70</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71</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67</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69</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69</w:t>
                        </w:r>
                      </w:p>
                    </w:tc>
                  </w:tr>
                  <w:tr>
                    <w:trPr>
                      <w:trHeight w:val="235"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73</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74</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67</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71</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72</w:t>
                        </w:r>
                      </w:p>
                    </w:tc>
                  </w:tr>
                  <w:tr>
                    <w:trPr>
                      <w:trHeight w:val="240"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69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73</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74</w:t>
                        </w:r>
                      </w:p>
                    </w:tc>
                  </w:tr>
                  <w:tr>
                    <w:trPr>
                      <w:trHeight w:val="235"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75</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75</w:t>
                        </w:r>
                      </w:p>
                    </w:tc>
                  </w:tr>
                  <w:tr>
                    <w:trPr>
                      <w:trHeight w:val="235"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120</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77</w:t>
                        </w:r>
                      </w:p>
                    </w:tc>
                  </w:tr>
                  <w:tr>
                    <w:trPr>
                      <w:trHeight w:val="240"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81</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77</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r>
                  <w:tr>
                    <w:trPr>
                      <w:trHeight w:val="235"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81</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82</w:t>
                        </w:r>
                      </w:p>
                    </w:tc>
                  </w:tr>
                  <w:tr>
                    <w:trPr>
                      <w:trHeight w:val="240"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r>
                  <w:tr>
                    <w:trPr>
                      <w:trHeight w:val="235"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82</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83</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r>
                  <w:tr>
                    <w:trPr>
                      <w:trHeight w:val="240"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127</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83</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83</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118</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r>
                  <w:tr>
                    <w:trPr>
                      <w:trHeight w:val="235"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124</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130</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83</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84</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r>
                  <w:tr>
                    <w:trPr>
                      <w:trHeight w:val="235"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127</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132</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84</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85</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131</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81</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81</w:t>
                        </w:r>
                      </w:p>
                    </w:tc>
                  </w:tr>
                  <w:tr>
                    <w:trPr>
                      <w:trHeight w:val="240"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127</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135</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85</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86</w:t>
                        </w:r>
                      </w:p>
                    </w:tc>
                  </w:tr>
                  <w:tr>
                    <w:trPr>
                      <w:trHeight w:val="235"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134</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82</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82</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83</w:t>
                        </w:r>
                      </w:p>
                    </w:tc>
                  </w:tr>
                  <w:tr>
                    <w:trPr>
                      <w:trHeight w:val="235"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130</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138</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85</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87</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87</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129</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136</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85</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85</w:t>
                        </w:r>
                      </w:p>
                    </w:tc>
                  </w:tr>
                  <w:tr>
                    <w:trPr>
                      <w:trHeight w:val="245" w:hRule="exact"/>
                    </w:trPr>
                    <w:tc>
                      <w:tcPr>
                        <w:shd w:val="clear" w:color="auto" w:fill="FFFFFF"/>
                        <w:tcBorders>
                          <w:left w:val="single" w:sz="4"/>
                          <w:top w:val="single" w:sz="4"/>
                          <w:bottom w:val="single" w:sz="4"/>
                        </w:tcBorders>
                        <w:vAlign w:val="top"/>
                      </w:tcPr>
                      <w:p>
                        <w:pPr>
                          <w:widowControl w:val="0"/>
                          <w:rPr>
                            <w:sz w:val="10"/>
                            <w:szCs w:val="10"/>
                          </w:rPr>
                        </w:pP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132</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133</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135</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136</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138</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140</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140</w:t>
                        </w:r>
                      </w:p>
                    </w:tc>
                    <w:tc>
                      <w:tcPr>
                        <w:shd w:val="clear" w:color="auto" w:fill="FFFFFF"/>
                        <w:tcBorders>
                          <w:left w:val="single" w:sz="4"/>
                          <w:top w:val="single" w:sz="4"/>
                          <w:bottom w:val="single" w:sz="4"/>
                        </w:tcBorders>
                        <w:vAlign w:val="top"/>
                      </w:tcPr>
                      <w:p>
                        <w:pPr>
                          <w:widowControl w:val="0"/>
                          <w:rPr>
                            <w:sz w:val="10"/>
                            <w:szCs w:val="10"/>
                          </w:rPr>
                        </w:pP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85</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85</w:t>
                        </w:r>
                      </w:p>
                    </w:tc>
                    <w:tc>
                      <w:tcPr>
                        <w:shd w:val="clear" w:color="auto" w:fill="FFFFFF"/>
                        <w:tcBorders>
                          <w:left w:val="single" w:sz="4"/>
                          <w:top w:val="single" w:sz="4"/>
                          <w:bottom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86</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87</w:t>
                        </w:r>
                      </w:p>
                    </w:tc>
                    <w:tc>
                      <w:tcPr>
                        <w:shd w:val="clear" w:color="auto" w:fill="FFFFFF"/>
                        <w:tcBorders>
                          <w:left w:val="single" w:sz="4"/>
                          <w:top w:val="single" w:sz="4"/>
                          <w:bottom w:val="single" w:sz="4"/>
                        </w:tcBorders>
                        <w:vAlign w:val="center"/>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88</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89</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89</w:t>
                        </w:r>
                      </w:p>
                    </w:tc>
                  </w:tr>
                </w:tbl>
                <w:p>
                  <w:pPr>
                    <w:widowControl w:val="0"/>
                    <w:rPr>
                      <w:sz w:val="2"/>
                      <w:szCs w:val="2"/>
                    </w:rPr>
                  </w:pPr>
                </w:p>
              </w:txbxContent>
            </v:textbox>
            <w10:wrap type="topAndBottom" anchorx="margin" anchory="margin"/>
          </v:shape>
        </w:pict>
      </w:r>
      <w:r>
        <w:rPr>
          <w:lang w:val="ru-RU" w:eastAsia="ru-RU" w:bidi="ru-RU"/>
          <w:w w:val="100"/>
          <w:spacing w:val="0"/>
          <w:color w:val="000000"/>
          <w:position w:val="0"/>
        </w:rPr>
        <w:t>стными особенностями, способствующими формированию соматической патологии. Под влиянием отрицательных психоэмоциональных воздействий, которые среди экзоген</w:t>
        <w:softHyphen/>
        <w:t>ных факторов играют ведущую роль в генезе АГ, такие лич</w:t>
        <w:softHyphen/>
        <w:t>ностные особенности, как тревожность, депрессия, страх, включаются в патогенетические механизмы через усиление симпатико-адреналовой активности.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Никотиновая интоксикация, гиподинамия, употребле</w:t>
        <w:softHyphen/>
        <w:t>ние алкоголя играют также определенную роль в ста</w:t>
        <w:softHyphen/>
        <w:t>новлении АГ.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последнее время ключевое значение в становлении АГ отводят гиподинамии.</w:t>
      </w:r>
    </w:p>
    <w:p>
      <w:pPr>
        <w:pStyle w:val="Style30"/>
        <w:widowControl w:val="0"/>
        <w:keepNext w:val="0"/>
        <w:keepLines w:val="0"/>
        <w:shd w:val="clear" w:color="auto" w:fill="auto"/>
        <w:bidi w:val="0"/>
        <w:spacing w:before="0" w:after="0"/>
        <w:ind w:left="0" w:right="0" w:firstLine="280"/>
        <w:sectPr>
          <w:type w:val="continuous"/>
          <w:pgSz w:w="11900" w:h="16840"/>
          <w:pgMar w:top="1785" w:left="1008" w:right="1008" w:bottom="1790" w:header="0" w:footer="3" w:gutter="0"/>
          <w:rtlGutter w:val="0"/>
          <w:cols w:num="2" w:space="173"/>
          <w:noEndnote/>
          <w:docGrid w:linePitch="360"/>
        </w:sectPr>
      </w:pPr>
      <w:r>
        <w:rPr>
          <w:lang w:val="ru-RU" w:eastAsia="ru-RU" w:bidi="ru-RU"/>
          <w:w w:val="100"/>
          <w:spacing w:val="0"/>
          <w:color w:val="000000"/>
          <w:position w:val="0"/>
        </w:rPr>
        <w:t>Так, наследственная предрасположенность не является предопределенностью, то есть заложенная программа воз</w:t>
        <w:softHyphen/>
        <w:t>можного развития АГ может не реализоваться никогда. Это доказывает тот факт, что народы нецивилизованных стран Африки, например Новой Гвинеи, имея те же генетические дефекты, что и население цивилизованных стран, не страда-</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51" w:after="51" w:line="240" w:lineRule="exact"/>
        <w:rPr>
          <w:sz w:val="19"/>
          <w:szCs w:val="19"/>
        </w:rPr>
      </w:pPr>
    </w:p>
    <w:p>
      <w:pPr>
        <w:widowControl w:val="0"/>
        <w:rPr>
          <w:sz w:val="2"/>
          <w:szCs w:val="2"/>
        </w:rPr>
        <w:sectPr>
          <w:type w:val="continuous"/>
          <w:pgSz w:w="11900" w:h="16840"/>
          <w:pgMar w:top="1473" w:left="0" w:right="0" w:bottom="192" w:header="0" w:footer="3" w:gutter="0"/>
          <w:rtlGutter w:val="0"/>
          <w:cols w:space="720"/>
          <w:noEndnote/>
          <w:docGrid w:linePitch="360"/>
        </w:sectPr>
      </w:pPr>
    </w:p>
    <w:p>
      <w:pPr>
        <w:widowControl w:val="0"/>
        <w:spacing w:line="645" w:lineRule="exact"/>
      </w:pPr>
      <w:r>
        <w:pict>
          <v:shape id="_x0000_s1707" type="#_x0000_t75" style="position:absolute;margin-left:153.35pt;margin-top:0;width:209.75pt;height:14.9pt;z-index:-251658647;mso-wrap-distance-left:5.pt;mso-wrap-distance-right:5.pt;mso-position-horizontal-relative:margin" wrapcoords="0 0">
            <v:imagedata r:id="rId1130" r:href="rId1131"/>
            <w10:wrap anchorx="margin"/>
          </v:shape>
        </w:pict>
      </w:r>
    </w:p>
    <w:p>
      <w:pPr>
        <w:widowControl w:val="0"/>
        <w:rPr>
          <w:sz w:val="2"/>
          <w:szCs w:val="2"/>
        </w:rPr>
        <w:sectPr>
          <w:type w:val="continuous"/>
          <w:pgSz w:w="11900" w:h="16840"/>
          <w:pgMar w:top="1473" w:left="898" w:right="1061" w:bottom="192" w:header="0" w:footer="3" w:gutter="0"/>
          <w:rtlGutter w:val="0"/>
          <w:cols w:space="720"/>
          <w:noEndnote/>
          <w:docGrid w:linePitch="360"/>
        </w:sectPr>
      </w:pPr>
    </w:p>
    <w:p>
      <w:pPr>
        <w:widowControl w:val="0"/>
        <w:spacing w:line="592" w:lineRule="exact"/>
      </w:pPr>
      <w:r>
        <w:pict>
          <v:shape id="_x0000_s1708" type="#_x0000_t202" style="position:absolute;margin-left:8.4pt;margin-top:2.9pt;width:12.95pt;height:8.7pt;z-index:251657737;mso-wrap-distance-left:5.pt;mso-wrap-distance-right:5.pt;mso-position-horizontal-relative:margin" fillcolor="#E5E5E5" stroked="f">
            <v:textbox style="mso-fit-shape-to-text:t" inset="0,0,0,0">
              <w:txbxContent>
                <w:p>
                  <w:pPr>
                    <w:pStyle w:val="Style112"/>
                    <w:widowControl w:val="0"/>
                    <w:keepNext/>
                    <w:keepLines/>
                    <w:shd w:val="clear" w:color="auto" w:fill="000000"/>
                    <w:bidi w:val="0"/>
                    <w:jc w:val="left"/>
                    <w:spacing w:before="0" w:after="0" w:line="150" w:lineRule="exact"/>
                    <w:ind w:left="0" w:right="0" w:firstLine="0"/>
                  </w:pPr>
                  <w:bookmarkStart w:id="736" w:name="bookmark736"/>
                  <w:r>
                    <w:rPr>
                      <w:rStyle w:val="CharStyle152"/>
                    </w:rPr>
                    <w:t>450</w:t>
                  </w:r>
                  <w:bookmarkEnd w:id="736"/>
                </w:p>
              </w:txbxContent>
            </v:textbox>
            <w10:wrap anchorx="margin"/>
          </v:shape>
        </w:pict>
      </w:r>
      <w:r>
        <w:pict>
          <v:shape id="_x0000_s1709" type="#_x0000_t202" style="position:absolute;margin-left:31.9pt;margin-top:0;width:66.25pt;height:12.pt;z-index:251657738;mso-wrap-distance-left:5.pt;mso-wrap-distance-right:5.pt;mso-position-horizontal-relative:margin" filled="f" stroked="f">
            <v:textbox style="mso-fit-shape-to-text:t" inset="0,0,0,0">
              <w:txbxContent>
                <w:p>
                  <w:pPr>
                    <w:pStyle w:val="Style115"/>
                    <w:widowControl w:val="0"/>
                    <w:keepNext w:val="0"/>
                    <w:keepLines w:val="0"/>
                    <w:shd w:val="clear" w:color="auto" w:fill="auto"/>
                    <w:bidi w:val="0"/>
                    <w:jc w:val="left"/>
                    <w:spacing w:before="0" w:after="0" w:line="170" w:lineRule="exact"/>
                    <w:ind w:left="0" w:right="0" w:firstLine="0"/>
                  </w:pPr>
                  <w:r>
                    <w:rPr>
                      <w:lang w:val="ru-RU" w:eastAsia="ru-RU" w:bidi="ru-RU"/>
                      <w:w w:val="100"/>
                      <w:color w:val="000000"/>
                      <w:position w:val="0"/>
                    </w:rPr>
                    <w:t>Белозеров Ю.М.</w:t>
                  </w:r>
                </w:p>
              </w:txbxContent>
            </v:textbox>
            <w10:wrap anchorx="margin"/>
          </v:shape>
        </w:pict>
      </w:r>
      <w:r>
        <w:pict>
          <v:shape id="_x0000_s1710" type="#_x0000_t202" style="position:absolute;margin-left:411.6pt;margin-top:0;width:84.95pt;height:12.pt;z-index:251657739;mso-wrap-distance-left:5.pt;mso-wrap-distance-right:5.pt;mso-position-horizontal-relative:margin" filled="f" stroked="f">
            <v:textbox style="mso-fit-shape-to-text:t" inset="0,0,0,0">
              <w:txbxContent>
                <w:p>
                  <w:pPr>
                    <w:pStyle w:val="Style112"/>
                    <w:widowControl w:val="0"/>
                    <w:keepNext/>
                    <w:keepLines/>
                    <w:shd w:val="clear" w:color="auto" w:fill="auto"/>
                    <w:bidi w:val="0"/>
                    <w:jc w:val="left"/>
                    <w:spacing w:before="0" w:after="0" w:line="150" w:lineRule="exact"/>
                    <w:ind w:left="0" w:right="0" w:firstLine="0"/>
                  </w:pPr>
                  <w:bookmarkStart w:id="737" w:name="bookmark737"/>
                  <w:r>
                    <w:rPr>
                      <w:rStyle w:val="CharStyle119"/>
                    </w:rPr>
                    <w:t>Детская кардиология</w:t>
                  </w:r>
                  <w:bookmarkEnd w:id="737"/>
                </w:p>
              </w:txbxContent>
            </v:textbox>
            <w10:wrap anchorx="margin"/>
          </v:shape>
        </w:pict>
      </w:r>
    </w:p>
    <w:p>
      <w:pPr>
        <w:widowControl w:val="0"/>
        <w:rPr>
          <w:sz w:val="2"/>
          <w:szCs w:val="2"/>
        </w:rPr>
        <w:sectPr>
          <w:headerReference w:type="even" r:id="rId1132"/>
          <w:headerReference w:type="default" r:id="rId1133"/>
          <w:headerReference w:type="first" r:id="rId1134"/>
          <w:titlePg/>
          <w:pgSz w:w="11900" w:h="16840"/>
          <w:pgMar w:top="1185" w:left="1119" w:right="812" w:bottom="191" w:header="0" w:footer="3" w:gutter="0"/>
          <w:rtlGutter w:val="0"/>
          <w:cols w:space="720"/>
          <w:noEndnote/>
          <w:docGrid w:linePitch="360"/>
        </w:sectPr>
      </w:pPr>
    </w:p>
    <w:p>
      <w:pPr>
        <w:widowControl w:val="0"/>
        <w:spacing w:line="126" w:lineRule="exact"/>
        <w:rPr>
          <w:sz w:val="10"/>
          <w:szCs w:val="10"/>
        </w:rPr>
      </w:pPr>
    </w:p>
    <w:p>
      <w:pPr>
        <w:widowControl w:val="0"/>
        <w:rPr>
          <w:sz w:val="2"/>
          <w:szCs w:val="2"/>
        </w:rPr>
        <w:sectPr>
          <w:type w:val="continuous"/>
          <w:pgSz w:w="11900" w:h="16840"/>
          <w:pgMar w:top="1799" w:left="0" w:right="0" w:bottom="1804" w:header="0" w:footer="3" w:gutter="0"/>
          <w:rtlGutter w:val="0"/>
          <w:cols w:space="720"/>
          <w:noEndnote/>
          <w:docGrid w:linePitch="360"/>
        </w:sectPr>
      </w:pPr>
    </w:p>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Величина АД, соответствующая 90 и 95 перцентилю в зависимости от возраста и перцентиля роста для девочек</w:t>
      </w:r>
    </w:p>
    <w:p>
      <w:pPr>
        <w:pStyle w:val="Style139"/>
        <w:framePr w:w="9888" w:wrap="notBeside" w:vAnchor="text" w:hAnchor="text" w:xAlign="center" w:y="1"/>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Таблица 29</w:t>
      </w:r>
    </w:p>
    <w:tbl>
      <w:tblPr>
        <w:tblOverlap w:val="never"/>
        <w:tblLayout w:type="fixed"/>
        <w:jc w:val="center"/>
      </w:tblPr>
      <w:tblGrid>
        <w:gridCol w:w="682"/>
        <w:gridCol w:w="1267"/>
        <w:gridCol w:w="528"/>
        <w:gridCol w:w="528"/>
        <w:gridCol w:w="528"/>
        <w:gridCol w:w="533"/>
        <w:gridCol w:w="528"/>
        <w:gridCol w:w="528"/>
        <w:gridCol w:w="528"/>
        <w:gridCol w:w="528"/>
        <w:gridCol w:w="528"/>
        <w:gridCol w:w="528"/>
        <w:gridCol w:w="533"/>
        <w:gridCol w:w="528"/>
        <w:gridCol w:w="528"/>
        <w:gridCol w:w="528"/>
        <w:gridCol w:w="538"/>
      </w:tblGrid>
      <w:tr>
        <w:trPr>
          <w:trHeight w:val="245" w:hRule="exact"/>
        </w:trPr>
        <w:tc>
          <w:tcPr>
            <w:shd w:val="clear" w:color="auto" w:fill="FFFFFF"/>
            <w:vMerge w:val="restart"/>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vMerge w:val="restart"/>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gridSpan w:val="7"/>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Систолическое АД мм рт. ст.</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gridSpan w:val="7"/>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Диастолическое АД мм рт. ст.</w:t>
            </w:r>
          </w:p>
        </w:tc>
      </w:tr>
      <w:tr>
        <w:trPr>
          <w:trHeight w:val="235" w:hRule="exact"/>
        </w:trPr>
        <w:tc>
          <w:tcPr>
            <w:shd w:val="clear" w:color="auto" w:fill="FFFFFF"/>
            <w:vMerge/>
            <w:tcBorders>
              <w:left w:val="single" w:sz="4"/>
            </w:tcBorders>
            <w:vAlign w:val="top"/>
          </w:tcPr>
          <w:p>
            <w:pPr>
              <w:framePr w:w="9888" w:wrap="notBeside" w:vAnchor="text" w:hAnchor="text" w:xAlign="center" w:y="1"/>
            </w:pPr>
          </w:p>
        </w:tc>
        <w:tc>
          <w:tcPr>
            <w:shd w:val="clear" w:color="auto" w:fill="FFFFFF"/>
            <w:vMerge/>
            <w:tcBorders>
              <w:left w:val="single" w:sz="4"/>
            </w:tcBorders>
            <w:vAlign w:val="top"/>
          </w:tcPr>
          <w:p>
            <w:pPr>
              <w:framePr w:w="9888" w:wrap="notBeside" w:vAnchor="text" w:hAnchor="text" w:xAlign="center" w:y="1"/>
            </w:pPr>
          </w:p>
        </w:tc>
        <w:tc>
          <w:tcPr>
            <w:shd w:val="clear" w:color="auto" w:fill="FFFFFF"/>
            <w:gridSpan w:val="15"/>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Перцентиль роста</w:t>
            </w:r>
          </w:p>
        </w:tc>
      </w:tr>
      <w:tr>
        <w:trPr>
          <w:trHeight w:val="240" w:hRule="exact"/>
        </w:trPr>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Возраст</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Перцентиль АД</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160" w:right="0" w:firstLine="0"/>
            </w:pPr>
            <w:r>
              <w:rPr>
                <w:lang w:val="ru-RU" w:eastAsia="ru-RU" w:bidi="ru-RU"/>
                <w:w w:val="100"/>
                <w:spacing w:val="0"/>
                <w:color w:val="000000"/>
                <w:position w:val="0"/>
              </w:rPr>
              <w:t>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95%</w:t>
            </w:r>
          </w:p>
        </w:tc>
      </w:tr>
      <w:tr>
        <w:trPr>
          <w:trHeight w:val="235" w:hRule="exact"/>
        </w:trPr>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56</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56</w:t>
            </w:r>
          </w:p>
        </w:tc>
      </w:tr>
      <w:tr>
        <w:trPr>
          <w:trHeight w:val="235"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60</w:t>
            </w:r>
          </w:p>
        </w:tc>
        <w:tc>
          <w:tcPr>
            <w:shd w:val="clear" w:color="auto" w:fill="FFFFFF"/>
            <w:tcBorders>
              <w:left w:val="single" w:sz="4"/>
              <w:righ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60</w:t>
            </w:r>
          </w:p>
        </w:tc>
      </w:tr>
      <w:tr>
        <w:trPr>
          <w:trHeight w:val="235" w:hRule="exact"/>
        </w:trPr>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99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105</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60</w:t>
            </w:r>
          </w:p>
        </w:tc>
        <w:tc>
          <w:tcPr>
            <w:shd w:val="clear" w:color="auto" w:fill="FFFFFF"/>
            <w:tcBorders>
              <w:left w:val="single" w:sz="4"/>
              <w:righ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61</w:t>
            </w:r>
          </w:p>
        </w:tc>
      </w:tr>
      <w:tr>
        <w:trPr>
          <w:trHeight w:val="240"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62</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64</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65</w:t>
            </w:r>
          </w:p>
        </w:tc>
      </w:tr>
      <w:tr>
        <w:trPr>
          <w:trHeight w:val="235" w:hRule="exact"/>
        </w:trPr>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100</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100</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105</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61</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61</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61</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63</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64</w:t>
            </w:r>
          </w:p>
        </w:tc>
      </w:tr>
      <w:tr>
        <w:trPr>
          <w:trHeight w:val="235"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67</w:t>
            </w:r>
          </w:p>
        </w:tc>
        <w:tc>
          <w:tcPr>
            <w:shd w:val="clear" w:color="auto" w:fill="FFFFFF"/>
            <w:tcBorders>
              <w:left w:val="single" w:sz="4"/>
              <w:righ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68</w:t>
            </w:r>
          </w:p>
        </w:tc>
      </w:tr>
      <w:tr>
        <w:trPr>
          <w:trHeight w:val="240" w:hRule="exact"/>
        </w:trPr>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66</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67</w:t>
            </w:r>
          </w:p>
        </w:tc>
      </w:tr>
      <w:tr>
        <w:trPr>
          <w:trHeight w:val="235"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111</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70</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71</w:t>
            </w:r>
          </w:p>
        </w:tc>
      </w:tr>
      <w:tr>
        <w:trPr>
          <w:trHeight w:val="235" w:hRule="exact"/>
        </w:trPr>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66</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68</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68</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69</w:t>
            </w:r>
          </w:p>
        </w:tc>
      </w:tr>
      <w:tr>
        <w:trPr>
          <w:trHeight w:val="240"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71</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72</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73</w:t>
            </w:r>
          </w:p>
        </w:tc>
      </w:tr>
      <w:tr>
        <w:trPr>
          <w:trHeight w:val="235" w:hRule="exact"/>
        </w:trPr>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111</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70</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71</w:t>
            </w:r>
          </w:p>
        </w:tc>
      </w:tr>
      <w:tr>
        <w:trPr>
          <w:trHeight w:val="235"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71</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71</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74</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r>
      <w:tr>
        <w:trPr>
          <w:trHeight w:val="240" w:hRule="exact"/>
        </w:trPr>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69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71</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72</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72</w:t>
            </w:r>
          </w:p>
        </w:tc>
      </w:tr>
      <w:tr>
        <w:trPr>
          <w:trHeight w:val="235"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r>
      <w:tr>
        <w:trPr>
          <w:trHeight w:val="235" w:hRule="exact"/>
        </w:trPr>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71</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71</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73</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74</w:t>
            </w:r>
          </w:p>
        </w:tc>
      </w:tr>
      <w:tr>
        <w:trPr>
          <w:trHeight w:val="240"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118</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77</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78</w:t>
            </w:r>
          </w:p>
        </w:tc>
      </w:tr>
      <w:tr>
        <w:trPr>
          <w:trHeight w:val="235" w:hRule="exact"/>
        </w:trPr>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71</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74</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r>
      <w:tr>
        <w:trPr>
          <w:trHeight w:val="235"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120</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78</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r>
      <w:tr>
        <w:trPr>
          <w:trHeight w:val="240" w:hRule="exact"/>
        </w:trPr>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118</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r>
      <w:tr>
        <w:trPr>
          <w:trHeight w:val="235"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122</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80</w:t>
            </w:r>
          </w:p>
        </w:tc>
        <w:tc>
          <w:tcPr>
            <w:shd w:val="clear" w:color="auto" w:fill="FFFFFF"/>
            <w:tcBorders>
              <w:left w:val="single" w:sz="4"/>
              <w:righ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80</w:t>
            </w:r>
          </w:p>
        </w:tc>
      </w:tr>
      <w:tr>
        <w:trPr>
          <w:trHeight w:val="235" w:hRule="exact"/>
        </w:trPr>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11</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114</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120</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77</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77</w:t>
            </w:r>
          </w:p>
        </w:tc>
      </w:tr>
      <w:tr>
        <w:trPr>
          <w:trHeight w:val="240"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118</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124</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81</w:t>
            </w:r>
          </w:p>
        </w:tc>
        <w:tc>
          <w:tcPr>
            <w:shd w:val="clear" w:color="auto" w:fill="FFFFFF"/>
            <w:tcBorders>
              <w:left w:val="single" w:sz="4"/>
              <w:righ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81</w:t>
            </w:r>
          </w:p>
        </w:tc>
      </w:tr>
      <w:tr>
        <w:trPr>
          <w:trHeight w:val="235" w:hRule="exact"/>
        </w:trPr>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116</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122</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78</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78</w:t>
            </w:r>
          </w:p>
        </w:tc>
      </w:tr>
      <w:tr>
        <w:trPr>
          <w:trHeight w:val="235"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120</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120</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124</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82</w:t>
            </w:r>
          </w:p>
        </w:tc>
        <w:tc>
          <w:tcPr>
            <w:shd w:val="clear" w:color="auto" w:fill="FFFFFF"/>
            <w:tcBorders>
              <w:left w:val="single" w:sz="4"/>
              <w:righ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82</w:t>
            </w:r>
          </w:p>
        </w:tc>
      </w:tr>
      <w:tr>
        <w:trPr>
          <w:trHeight w:val="240" w:hRule="exact"/>
        </w:trPr>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118</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124</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righ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80</w:t>
            </w:r>
          </w:p>
        </w:tc>
      </w:tr>
      <w:tr>
        <w:trPr>
          <w:trHeight w:val="235"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122</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127</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82</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82</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83</w:t>
            </w:r>
          </w:p>
        </w:tc>
        <w:tc>
          <w:tcPr>
            <w:shd w:val="clear" w:color="auto" w:fill="FFFFFF"/>
            <w:tcBorders>
              <w:left w:val="single" w:sz="4"/>
              <w:righ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84</w:t>
            </w:r>
          </w:p>
        </w:tc>
      </w:tr>
      <w:tr>
        <w:trPr>
          <w:trHeight w:val="235" w:hRule="exact"/>
        </w:trPr>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119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77</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80</w:t>
            </w:r>
          </w:p>
        </w:tc>
        <w:tc>
          <w:tcPr>
            <w:shd w:val="clear" w:color="auto" w:fill="FFFFFF"/>
            <w:tcBorders>
              <w:left w:val="single" w:sz="4"/>
              <w:righ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81</w:t>
            </w:r>
          </w:p>
        </w:tc>
      </w:tr>
      <w:tr>
        <w:trPr>
          <w:trHeight w:val="240"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130</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84</w:t>
            </w:r>
          </w:p>
        </w:tc>
        <w:tc>
          <w:tcPr>
            <w:shd w:val="clear" w:color="auto" w:fill="FFFFFF"/>
            <w:tcBorders>
              <w:left w:val="single" w:sz="4"/>
              <w:righ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85</w:t>
            </w:r>
          </w:p>
        </w:tc>
      </w:tr>
      <w:tr>
        <w:trPr>
          <w:trHeight w:val="235" w:hRule="exact"/>
        </w:trPr>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121</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127</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81</w:t>
            </w:r>
          </w:p>
        </w:tc>
        <w:tc>
          <w:tcPr>
            <w:shd w:val="clear" w:color="auto" w:fill="FFFFFF"/>
            <w:tcBorders>
              <w:left w:val="single" w:sz="4"/>
              <w:righ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82</w:t>
            </w:r>
          </w:p>
        </w:tc>
      </w:tr>
      <w:tr>
        <w:trPr>
          <w:trHeight w:val="235"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129</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130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131</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82</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82</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85</w:t>
            </w:r>
          </w:p>
        </w:tc>
        <w:tc>
          <w:tcPr>
            <w:shd w:val="clear" w:color="auto" w:fill="FFFFFF"/>
            <w:tcBorders>
              <w:left w:val="single" w:sz="4"/>
              <w:righ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86</w:t>
            </w:r>
          </w:p>
        </w:tc>
      </w:tr>
      <w:tr>
        <w:trPr>
          <w:trHeight w:val="240" w:hRule="exact"/>
        </w:trPr>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16</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122</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122</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127</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82</w:t>
            </w:r>
          </w:p>
        </w:tc>
        <w:tc>
          <w:tcPr>
            <w:shd w:val="clear" w:color="auto" w:fill="FFFFFF"/>
            <w:tcBorders>
              <w:left w:val="single" w:sz="4"/>
              <w:righ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82</w:t>
            </w:r>
          </w:p>
        </w:tc>
      </w:tr>
      <w:tr>
        <w:trPr>
          <w:trHeight w:val="235" w:hRule="exact"/>
        </w:trPr>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130</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131</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132</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83</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84</w:t>
            </w:r>
          </w:p>
        </w:tc>
        <w:tc>
          <w:tcPr>
            <w:shd w:val="clear" w:color="auto" w:fill="FFFFFF"/>
            <w:tcBorders>
              <w:left w:val="single" w:sz="4"/>
              <w:top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85</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86</w:t>
            </w:r>
          </w:p>
        </w:tc>
        <w:tc>
          <w:tcPr>
            <w:shd w:val="clear" w:color="auto" w:fill="FFFFFF"/>
            <w:tcBorders>
              <w:left w:val="single" w:sz="4"/>
              <w:righ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86</w:t>
            </w:r>
          </w:p>
        </w:tc>
      </w:tr>
      <w:tr>
        <w:trPr>
          <w:trHeight w:val="235" w:hRule="exact"/>
        </w:trPr>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17</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90</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122</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123</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124</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125</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126</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128</w:t>
            </w:r>
          </w:p>
        </w:tc>
        <w:tc>
          <w:tcPr>
            <w:shd w:val="clear" w:color="auto" w:fill="FFFFFF"/>
            <w:tcBorders>
              <w:left w:val="single" w:sz="4"/>
              <w:top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79</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80</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81</w:t>
            </w:r>
          </w:p>
        </w:tc>
        <w:tc>
          <w:tcPr>
            <w:shd w:val="clear" w:color="auto" w:fill="FFFFFF"/>
            <w:tcBorders>
              <w:lef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82</w:t>
            </w:r>
          </w:p>
        </w:tc>
        <w:tc>
          <w:tcPr>
            <w:shd w:val="clear" w:color="auto" w:fill="FFFFFF"/>
            <w:tcBorders>
              <w:left w:val="single" w:sz="4"/>
              <w:right w:val="single" w:sz="4"/>
              <w:top w:val="single" w:sz="4"/>
            </w:tcBorders>
            <w:vAlign w:val="bottom"/>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82</w:t>
            </w:r>
          </w:p>
        </w:tc>
      </w:tr>
      <w:tr>
        <w:trPr>
          <w:trHeight w:val="250" w:hRule="exact"/>
        </w:trPr>
        <w:tc>
          <w:tcPr>
            <w:shd w:val="clear" w:color="auto" w:fill="FFFFFF"/>
            <w:tcBorders>
              <w:left w:val="single" w:sz="4"/>
              <w:top w:val="single" w:sz="4"/>
              <w:bottom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95</w:t>
            </w:r>
          </w:p>
        </w:tc>
        <w:tc>
          <w:tcPr>
            <w:shd w:val="clear" w:color="auto" w:fill="FFFFFF"/>
            <w:tcBorders>
              <w:left w:val="single" w:sz="4"/>
              <w:top w:val="single" w:sz="4"/>
              <w:bottom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126</w:t>
            </w:r>
          </w:p>
        </w:tc>
        <w:tc>
          <w:tcPr>
            <w:shd w:val="clear" w:color="auto" w:fill="FFFFFF"/>
            <w:tcBorders>
              <w:left w:val="single" w:sz="4"/>
              <w:top w:val="single" w:sz="4"/>
              <w:bottom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126</w:t>
            </w: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127</w:t>
            </w: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129</w:t>
            </w: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130</w:t>
            </w: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131</w:t>
            </w: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132</w:t>
            </w:r>
          </w:p>
        </w:tc>
        <w:tc>
          <w:tcPr>
            <w:shd w:val="clear" w:color="auto" w:fill="FFFFFF"/>
            <w:tcBorders>
              <w:left w:val="single" w:sz="4"/>
              <w:top w:val="single" w:sz="4"/>
              <w:bottom w:val="single" w:sz="4"/>
            </w:tcBorders>
            <w:vAlign w:val="top"/>
          </w:tcPr>
          <w:p>
            <w:pPr>
              <w:framePr w:w="9888" w:wrap="notBeside" w:vAnchor="text" w:hAnchor="text" w:xAlign="center" w:y="1"/>
              <w:widowControl w:val="0"/>
              <w:rPr>
                <w:sz w:val="10"/>
                <w:szCs w:val="10"/>
              </w:rPr>
            </w:pP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83</w:t>
            </w: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83</w:t>
            </w: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83</w:t>
            </w: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84</w:t>
            </w:r>
          </w:p>
        </w:tc>
        <w:tc>
          <w:tcPr>
            <w:shd w:val="clear" w:color="auto" w:fill="FFFFFF"/>
            <w:tcBorders>
              <w:left w:val="single" w:sz="4"/>
              <w:top w:val="single" w:sz="4"/>
              <w:bottom w:val="single" w:sz="4"/>
            </w:tcBorders>
            <w:vAlign w:val="top"/>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85</w:t>
            </w:r>
          </w:p>
        </w:tc>
        <w:tc>
          <w:tcPr>
            <w:shd w:val="clear" w:color="auto" w:fill="FFFFFF"/>
            <w:tcBorders>
              <w:left w:val="single" w:sz="4"/>
              <w:top w:val="single" w:sz="4"/>
              <w:bottom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86</w:t>
            </w:r>
          </w:p>
        </w:tc>
        <w:tc>
          <w:tcPr>
            <w:shd w:val="clear" w:color="auto" w:fill="FFFFFF"/>
            <w:tcBorders>
              <w:left w:val="single" w:sz="4"/>
              <w:right w:val="single" w:sz="4"/>
              <w:top w:val="single" w:sz="4"/>
              <w:bottom w:val="single" w:sz="4"/>
            </w:tcBorders>
            <w:vAlign w:val="center"/>
          </w:tcPr>
          <w:p>
            <w:pPr>
              <w:pStyle w:val="Style30"/>
              <w:framePr w:w="9888" w:wrap="notBeside" w:vAnchor="text" w:hAnchor="text" w:xAlign="center" w:y="1"/>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86</w:t>
            </w:r>
          </w:p>
        </w:tc>
      </w:tr>
    </w:tbl>
    <w:p>
      <w:pPr>
        <w:framePr w:w="9888" w:wrap="notBeside" w:vAnchor="text" w:hAnchor="text" w:xAlign="center" w:y="1"/>
        <w:widowControl w:val="0"/>
        <w:rPr>
          <w:sz w:val="2"/>
          <w:szCs w:val="2"/>
        </w:rPr>
      </w:pPr>
    </w:p>
    <w:p>
      <w:pPr>
        <w:widowControl w:val="0"/>
        <w:rPr>
          <w:sz w:val="2"/>
          <w:szCs w:val="2"/>
        </w:rPr>
      </w:pPr>
    </w:p>
    <w:p>
      <w:pPr>
        <w:widowControl w:val="0"/>
        <w:rPr>
          <w:sz w:val="2"/>
          <w:szCs w:val="2"/>
        </w:rPr>
        <w:sectPr>
          <w:type w:val="continuous"/>
          <w:pgSz w:w="11900" w:h="16840"/>
          <w:pgMar w:top="1799" w:left="1119" w:right="812" w:bottom="1804" w:header="0" w:footer="3" w:gutter="0"/>
          <w:rtlGutter w:val="0"/>
          <w:cols w:space="720"/>
          <w:noEndnote/>
          <w:docGrid w:linePitch="360"/>
        </w:sectPr>
      </w:pPr>
    </w:p>
    <w:p>
      <w:pPr>
        <w:widowControl w:val="0"/>
        <w:spacing w:before="29" w:after="29" w:line="240" w:lineRule="exact"/>
        <w:rPr>
          <w:sz w:val="19"/>
          <w:szCs w:val="19"/>
        </w:rPr>
      </w:pPr>
    </w:p>
    <w:p>
      <w:pPr>
        <w:widowControl w:val="0"/>
        <w:rPr>
          <w:sz w:val="2"/>
          <w:szCs w:val="2"/>
        </w:rPr>
        <w:sectPr>
          <w:type w:val="continuous"/>
          <w:pgSz w:w="11900" w:h="16840"/>
          <w:pgMar w:top="1569" w:left="0" w:right="0" w:bottom="1756" w:header="0" w:footer="3" w:gutter="0"/>
          <w:rtlGutter w:val="0"/>
          <w:cols w:space="720"/>
          <w:noEndnote/>
          <w:docGrid w:linePitch="360"/>
        </w:sectPr>
      </w:pPr>
    </w:p>
    <w:p>
      <w:pPr>
        <w:widowControl w:val="0"/>
        <w:rPr>
          <w:sz w:val="2"/>
          <w:szCs w:val="2"/>
        </w:rPr>
      </w:pPr>
      <w:r>
        <w:pict>
          <v:shape id="_x0000_s1713" type="#_x0000_t75" style="position:absolute;margin-left:140.55pt;margin-top:251.5pt;width:209.75pt;height:14.9pt;z-index:-125828905;mso-wrap-distance-left:136.8pt;mso-wrap-distance-right:147.85pt;mso-wrap-distance-bottom:10.8pt;mso-position-horizontal-relative:margin" wrapcoords="0 0 21600 0 21600 21600 0 21600 0 0">
            <v:imagedata r:id="rId1135" r:href="rId1136"/>
            <w10:wrap type="topAndBottom" anchorx="margin"/>
          </v:shape>
        </w:pic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ют гипертонией. Зато эмигранты этих же стран, переезжая в цивилизованные государства, болеют чаще и тяжелее ко</w:t>
        <w:softHyphen/>
        <w:t>ренных жителей. То есть к развитию болезни приводят такие внешние воздействия и отступления от биологически за</w:t>
        <w:softHyphen/>
        <w:t>программированного образа жизни, которые нарушают ста</w:t>
        <w:softHyphen/>
        <w:t>бильность системы кровообращения. Одним из главных факторов является недостаток физической активности — гиподинамия. Для сердечно-сосудистой системы физичес</w:t>
        <w:softHyphen/>
        <w:t>кая активность является фактором, тренирующим защит</w:t>
        <w:softHyphen/>
        <w:t>ные адаптивные механизмы. Стремительная научно-техни</w:t>
        <w:softHyphen/>
        <w:t>ческая революция ХХ века освободила нас от тяжелого тру</w:t>
        <w:softHyphen/>
        <w:t>да, обеспечила комфорт и нарушила естественную систему контроля за деятельностью кровообращения. По данным ряда исследований, у лиц, посвящающих физическим уп</w:t>
        <w:softHyphen/>
        <w:t>ражнениям несколько часов в неделю, уменьшается риск развития патологии сердечно-сосудистой системы, в том числе и АГ.</w:t>
      </w:r>
    </w:p>
    <w:p>
      <w:pPr>
        <w:pStyle w:val="Style92"/>
        <w:widowControl w:val="0"/>
        <w:keepNext/>
        <w:keepLines/>
        <w:shd w:val="clear" w:color="auto" w:fill="auto"/>
        <w:bidi w:val="0"/>
        <w:spacing w:before="0" w:after="0"/>
        <w:ind w:left="0" w:right="0" w:firstLine="280"/>
      </w:pPr>
      <w:r>
        <w:br w:type="column"/>
      </w:r>
      <w:bookmarkStart w:id="738" w:name="bookmark738"/>
      <w:r>
        <w:rPr>
          <w:lang w:val="ru-RU" w:eastAsia="ru-RU" w:bidi="ru-RU"/>
          <w:w w:val="100"/>
          <w:spacing w:val="0"/>
          <w:color w:val="000000"/>
          <w:position w:val="0"/>
        </w:rPr>
        <w:t>• Патофизиология</w:t>
      </w:r>
      <w:bookmarkEnd w:id="73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Уровень артериального давления определяется балансом между сердечным выбросом и сосудистым сопротивлением. Повышение одного из данных составляющих без компенса</w:t>
        <w:softHyphen/>
        <w:t>торного уменьшения другого приводит к увеличению арте</w:t>
        <w:softHyphen/>
        <w:t>риального давления. Факторы, влияющие на сердечный вы</w:t>
        <w:softHyphen/>
        <w:t>брос и сосудистое сопротивление, представлены в табл. 2. Большинство из представленных факторов влияют на элек</w:t>
        <w:softHyphen/>
        <w:t>тролитный гомеостаз, особенно на концентрацию натрия, калия и кальция. В норме количество экскретируемого с мо</w:t>
        <w:softHyphen/>
        <w:t>чой натрия соответствует его поступившему количеству, что поддерживает постоянство внеклеточного объема. Задержка натрия в организме приводит к увеличению внеклеточного объема, что напрямую ведет к повышению артериального давления. Посредством разнообразных физикальных и гор</w:t>
        <w:softHyphen/>
        <w:t>мональных механизмов происходит дополнительная экс</w:t>
        <w:softHyphen/>
        <w:t>креция натрия и восстановление его баланса.</w:t>
      </w:r>
      <w:r>
        <w:br w:type="page"/>
      </w:r>
    </w:p>
    <w:p>
      <w:pPr>
        <w:pStyle w:val="Style30"/>
        <w:widowControl w:val="0"/>
        <w:keepNext w:val="0"/>
        <w:keepLines w:val="0"/>
        <w:shd w:val="clear" w:color="auto" w:fill="auto"/>
        <w:bidi w:val="0"/>
        <w:spacing w:before="0" w:after="0"/>
        <w:ind w:left="0" w:right="0" w:firstLine="280"/>
      </w:pPr>
      <w:r>
        <w:pict>
          <v:shape id="_x0000_s1714" type="#_x0000_t202" style="position:absolute;margin-left:0.6pt;margin-top:26.15pt;width:493.45pt;height:133.2pt;z-index:-125828904;mso-wrap-distance-left:5.pt;mso-wrap-distance-right:5.pt;mso-position-horizontal-relative:margin;mso-position-vertical-relative:margin" filled="f" stroked="f">
            <v:textbox style="mso-fit-shape-to-text:t" inset="0,0,0,0">
              <w:txbxContent>
                <w:tbl>
                  <w:tblPr>
                    <w:tblOverlap w:val="never"/>
                    <w:tblLayout w:type="fixed"/>
                    <w:jc w:val="left"/>
                  </w:tblPr>
                  <w:tblGrid>
                    <w:gridCol w:w="4934"/>
                    <w:gridCol w:w="4934"/>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Сердечный выброс</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Сосудистое сопротивление</w:t>
                        </w:r>
                      </w:p>
                    </w:tc>
                  </w:tr>
                  <w:tr>
                    <w:trPr>
                      <w:trHeight w:val="216"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Барорецепторы</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Прессоры</w:t>
                        </w:r>
                      </w:p>
                    </w:tc>
                  </w:tr>
                  <w:tr>
                    <w:trPr>
                      <w:trHeight w:val="178"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Внеклеточный объем</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60" w:lineRule="exact"/>
                          <w:ind w:left="300" w:right="0" w:firstLine="0"/>
                        </w:pPr>
                        <w:r>
                          <w:rPr>
                            <w:rStyle w:val="CharStyle102"/>
                          </w:rPr>
                          <w:t>• Ангиотензин II</w:t>
                        </w:r>
                      </w:p>
                    </w:tc>
                  </w:tr>
                  <w:tr>
                    <w:trPr>
                      <w:trHeight w:val="202"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ОЦК</w:t>
                        </w: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left"/>
                          <w:spacing w:before="0" w:after="0" w:line="160" w:lineRule="exact"/>
                          <w:ind w:left="300" w:right="0" w:firstLine="0"/>
                        </w:pPr>
                        <w:r>
                          <w:rPr>
                            <w:rStyle w:val="CharStyle102"/>
                          </w:rPr>
                          <w:t>• Внутриклеточный кальций</w:t>
                        </w:r>
                      </w:p>
                    </w:tc>
                  </w:tr>
                  <w:tr>
                    <w:trPr>
                      <w:trHeight w:val="197"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Предсердные натрийуретические гормоны</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60" w:lineRule="exact"/>
                          <w:ind w:left="300" w:right="0" w:firstLine="0"/>
                        </w:pPr>
                        <w:r>
                          <w:rPr>
                            <w:rStyle w:val="CharStyle102"/>
                          </w:rPr>
                          <w:t>• Катехоламины</w:t>
                        </w:r>
                      </w:p>
                    </w:tc>
                  </w:tr>
                  <w:tr>
                    <w:trPr>
                      <w:trHeight w:val="192"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Минералокортикоиды</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60" w:lineRule="exact"/>
                          <w:ind w:left="300" w:right="0" w:firstLine="0"/>
                        </w:pPr>
                        <w:r>
                          <w:rPr>
                            <w:rStyle w:val="CharStyle102"/>
                          </w:rPr>
                          <w:t>• Симпатическая нервная система</w:t>
                        </w:r>
                      </w:p>
                    </w:tc>
                  </w:tr>
                  <w:tr>
                    <w:trPr>
                      <w:trHeight w:val="197"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Ангиотензин</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60" w:lineRule="exact"/>
                          <w:ind w:left="300" w:right="0" w:firstLine="0"/>
                        </w:pPr>
                        <w:r>
                          <w:rPr>
                            <w:rStyle w:val="CharStyle102"/>
                          </w:rPr>
                          <w:t>• Вазопрессин</w:t>
                        </w:r>
                      </w:p>
                    </w:tc>
                  </w:tr>
                  <w:tr>
                    <w:trPr>
                      <w:trHeight w:val="202"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Катехоламины</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Депрессоры</w:t>
                        </w:r>
                      </w:p>
                    </w:tc>
                  </w:tr>
                  <w:tr>
                    <w:trPr>
                      <w:trHeight w:val="197"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Симпатическая нервная система</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60" w:lineRule="exact"/>
                          <w:ind w:left="300" w:right="0" w:firstLine="0"/>
                        </w:pPr>
                        <w:r>
                          <w:rPr>
                            <w:rStyle w:val="CharStyle102"/>
                          </w:rPr>
                          <w:t>• Предсердные натрийуретические гормоны</w:t>
                        </w:r>
                      </w:p>
                    </w:tc>
                  </w:tr>
                  <w:tr>
                    <w:trPr>
                      <w:trHeight w:val="192" w:hRule="exact"/>
                    </w:trPr>
                    <w:tc>
                      <w:tcPr>
                        <w:shd w:val="clear" w:color="auto" w:fill="FFFFFF"/>
                        <w:tcBorders>
                          <w:left w:val="single" w:sz="4"/>
                        </w:tcBorders>
                        <w:vAlign w:val="top"/>
                      </w:tcPr>
                      <w:p>
                        <w:pPr>
                          <w:widowControl w:val="0"/>
                          <w:rPr>
                            <w:sz w:val="10"/>
                            <w:szCs w:val="10"/>
                          </w:rPr>
                        </w:pP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left"/>
                          <w:spacing w:before="0" w:after="0" w:line="160" w:lineRule="exact"/>
                          <w:ind w:left="300" w:right="0" w:firstLine="0"/>
                        </w:pPr>
                        <w:r>
                          <w:rPr>
                            <w:rStyle w:val="CharStyle102"/>
                          </w:rPr>
                          <w:t xml:space="preserve">• ЕРФ </w:t>
                        </w:r>
                        <w:r>
                          <w:rPr>
                            <w:rStyle w:val="CharStyle102"/>
                            <w:lang w:val="en-US" w:eastAsia="en-US" w:bidi="en-US"/>
                          </w:rPr>
                          <w:t>(NO)</w:t>
                        </w:r>
                      </w:p>
                    </w:tc>
                  </w:tr>
                  <w:tr>
                    <w:trPr>
                      <w:trHeight w:val="178" w:hRule="exact"/>
                    </w:trPr>
                    <w:tc>
                      <w:tcPr>
                        <w:shd w:val="clear" w:color="auto" w:fill="FFFFFF"/>
                        <w:tcBorders>
                          <w:left w:val="single" w:sz="4"/>
                        </w:tcBorders>
                        <w:vAlign w:val="top"/>
                      </w:tcPr>
                      <w:p>
                        <w:pPr>
                          <w:widowControl w:val="0"/>
                          <w:rPr>
                            <w:sz w:val="10"/>
                            <w:szCs w:val="10"/>
                          </w:rPr>
                        </w:pP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60" w:lineRule="exact"/>
                          <w:ind w:left="300" w:right="0" w:firstLine="0"/>
                        </w:pPr>
                        <w:r>
                          <w:rPr>
                            <w:rStyle w:val="CharStyle102"/>
                            <w:lang w:val="en-US" w:eastAsia="en-US" w:bidi="en-US"/>
                          </w:rPr>
                          <w:t xml:space="preserve">• </w:t>
                        </w:r>
                        <w:r>
                          <w:rPr>
                            <w:rStyle w:val="CharStyle102"/>
                          </w:rPr>
                          <w:t>Кинины</w:t>
                        </w:r>
                      </w:p>
                    </w:tc>
                  </w:tr>
                  <w:tr>
                    <w:trPr>
                      <w:trHeight w:val="216" w:hRule="exact"/>
                    </w:trPr>
                    <w:tc>
                      <w:tcPr>
                        <w:shd w:val="clear" w:color="auto" w:fill="FFFFFF"/>
                        <w:tcBorders>
                          <w:left w:val="single" w:sz="4"/>
                        </w:tcBorders>
                        <w:vAlign w:val="top"/>
                      </w:tcPr>
                      <w:p>
                        <w:pPr>
                          <w:widowControl w:val="0"/>
                          <w:rPr>
                            <w:sz w:val="10"/>
                            <w:szCs w:val="10"/>
                          </w:rPr>
                        </w:pP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left"/>
                          <w:spacing w:before="0" w:after="0" w:line="160" w:lineRule="exact"/>
                          <w:ind w:left="300" w:right="0" w:firstLine="0"/>
                        </w:pPr>
                        <w:r>
                          <w:rPr>
                            <w:rStyle w:val="CharStyle102"/>
                          </w:rPr>
                          <w:t xml:space="preserve">• Простагландин </w:t>
                        </w:r>
                        <w:r>
                          <w:rPr>
                            <w:rStyle w:val="CharStyle102"/>
                            <w:lang w:val="en-US" w:eastAsia="en-US" w:bidi="en-US"/>
                          </w:rPr>
                          <w:t>E</w:t>
                        </w:r>
                        <w:r>
                          <w:rPr>
                            <w:rStyle w:val="CharStyle102"/>
                            <w:lang w:val="en-US" w:eastAsia="en-US" w:bidi="en-US"/>
                            <w:vertAlign w:val="subscript"/>
                          </w:rPr>
                          <w:t>2</w:t>
                        </w:r>
                      </w:p>
                    </w:tc>
                  </w:tr>
                  <w:tr>
                    <w:trPr>
                      <w:trHeight w:val="259" w:hRule="exact"/>
                    </w:trPr>
                    <w:tc>
                      <w:tcPr>
                        <w:shd w:val="clear" w:color="auto" w:fill="FFFFFF"/>
                        <w:tcBorders>
                          <w:left w:val="single" w:sz="4"/>
                          <w:bottom w:val="single" w:sz="4"/>
                        </w:tcBorders>
                        <w:vAlign w:val="top"/>
                      </w:tcPr>
                      <w:p>
                        <w:pPr>
                          <w:widowControl w:val="0"/>
                          <w:rPr>
                            <w:sz w:val="10"/>
                            <w:szCs w:val="10"/>
                          </w:rPr>
                        </w:pPr>
                      </w:p>
                    </w:tc>
                    <w:tc>
                      <w:tcPr>
                        <w:shd w:val="clear" w:color="auto" w:fill="FFFFFF"/>
                        <w:tcBorders>
                          <w:left w:val="single" w:sz="4"/>
                          <w:right w:val="single" w:sz="4"/>
                          <w:bottom w:val="single" w:sz="4"/>
                        </w:tcBorders>
                        <w:vAlign w:val="top"/>
                      </w:tcPr>
                      <w:p>
                        <w:pPr>
                          <w:pStyle w:val="Style30"/>
                          <w:widowControl w:val="0"/>
                          <w:keepNext w:val="0"/>
                          <w:keepLines w:val="0"/>
                          <w:shd w:val="clear" w:color="auto" w:fill="auto"/>
                          <w:bidi w:val="0"/>
                          <w:jc w:val="left"/>
                          <w:spacing w:before="0" w:after="0" w:line="160" w:lineRule="exact"/>
                          <w:ind w:left="300" w:right="0" w:firstLine="0"/>
                        </w:pPr>
                        <w:r>
                          <w:rPr>
                            <w:rStyle w:val="CharStyle102"/>
                            <w:lang w:val="en-US" w:eastAsia="en-US" w:bidi="en-US"/>
                          </w:rPr>
                          <w:t xml:space="preserve">• </w:t>
                        </w:r>
                        <w:r>
                          <w:rPr>
                            <w:rStyle w:val="CharStyle102"/>
                          </w:rPr>
                          <w:t xml:space="preserve">Простагландин </w:t>
                        </w:r>
                        <w:r>
                          <w:rPr>
                            <w:rStyle w:val="CharStyle102"/>
                            <w:lang w:val="en-US" w:eastAsia="en-US" w:bidi="en-US"/>
                          </w:rPr>
                          <w:t>I</w:t>
                        </w:r>
                        <w:r>
                          <w:rPr>
                            <w:rStyle w:val="CharStyle153"/>
                          </w:rPr>
                          <w:t>2</w:t>
                        </w:r>
                      </w:p>
                    </w:tc>
                  </w:tr>
                </w:tbl>
              </w:txbxContent>
            </v:textbox>
            <w10:wrap type="topAndBottom" anchorx="margin" anchory="margin"/>
          </v:shape>
        </w:pict>
      </w:r>
      <w:r>
        <w:pict>
          <v:shape id="_x0000_s1715" type="#_x0000_t202" style="position:absolute;margin-left:97.3pt;margin-top:10.8pt;width:300.25pt;height:11.85pt;z-index:-125828903;mso-wrap-distance-left:5.pt;mso-wrap-distance-right:5.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Сердечные и сосудистые компоненты в патогенезе артериальной гипертензии</w:t>
                  </w:r>
                </w:p>
              </w:txbxContent>
            </v:textbox>
            <w10:wrap type="topAndBottom" anchorx="margin" anchory="margin"/>
          </v:shape>
        </w:pict>
      </w:r>
      <w:r>
        <w:pict>
          <v:shape id="_x0000_s1716" type="#_x0000_t202" style="position:absolute;margin-left:450.1pt;margin-top:0.25pt;width:44.9pt;height:11.65pt;z-index:-125828902;mso-wrap-distance-left:5.pt;mso-wrap-distance-right:5.pt;mso-position-horizontal-relative:margin;mso-position-vertical-relative:margin" filled="f" stroked="f">
            <v:textbox style="mso-fit-shape-to-text:t" inset="0,0,0,0">
              <w:txbxContent>
                <w:p>
                  <w:pPr>
                    <w:pStyle w:val="Style139"/>
                    <w:widowControl w:val="0"/>
                    <w:keepNext w:val="0"/>
                    <w:keepLines w:val="0"/>
                    <w:shd w:val="clear" w:color="auto" w:fill="auto"/>
                    <w:bidi w:val="0"/>
                    <w:jc w:val="left"/>
                    <w:spacing w:before="0" w:after="0" w:line="180" w:lineRule="exact"/>
                    <w:ind w:left="0" w:right="0" w:firstLine="0"/>
                  </w:pPr>
                  <w:r>
                    <w:rPr>
                      <w:rStyle w:val="CharStyle143"/>
                      <w:b/>
                      <w:bCs/>
                      <w:i/>
                      <w:iCs/>
                    </w:rPr>
                    <w:t>Таблица 30</w:t>
                  </w:r>
                </w:p>
              </w:txbxContent>
            </v:textbox>
            <w10:wrap type="topAndBottom" anchorx="margin" anchory="margin"/>
          </v:shape>
        </w:pict>
      </w:r>
      <w:r>
        <w:rPr>
          <w:lang w:val="ru-RU" w:eastAsia="ru-RU" w:bidi="ru-RU"/>
          <w:w w:val="100"/>
          <w:spacing w:val="0"/>
          <w:color w:val="000000"/>
          <w:position w:val="0"/>
        </w:rPr>
        <w:t>Повышение внутриклеточной концентрации кальция приводит к увеличению сократимости сосудов. Кроме того, кальций стимулирует выброс ренина, адреналина и функ</w:t>
        <w:softHyphen/>
        <w:t>цию симпатической нервной системы.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 другой стороны, повышение потребления калия сни</w:t>
        <w:softHyphen/>
        <w:t>жает продукцию и выброс ренина, вызывает натрийурез и, следовательно, приводит к уменьшению артериального давления.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Сложность системы регуляции АД объясняет те трудно</w:t>
        <w:softHyphen/>
        <w:t>сти, с которыми сталкивается врач при идентификации ме</w:t>
        <w:softHyphen/>
        <w:t>ханизма, вызывающего повышение артериального давле</w:t>
        <w:softHyphen/>
        <w:t>ния у конкретного пациента. Это объясняет, почему в боль</w:t>
        <w:softHyphen/>
        <w:t>шинстве случаев проводимое лечение направлено на регу</w:t>
        <w:softHyphen/>
        <w:t>ляторные механизмы АД, а не на непосредственную причи</w:t>
        <w:softHyphen/>
        <w:t>ну заболевания.</w:t>
      </w:r>
    </w:p>
    <w:p>
      <w:pPr>
        <w:pStyle w:val="Style92"/>
        <w:numPr>
          <w:ilvl w:val="0"/>
          <w:numId w:val="149"/>
        </w:numPr>
        <w:tabs>
          <w:tab w:leader="none" w:pos="520" w:val="left"/>
        </w:tabs>
        <w:widowControl w:val="0"/>
        <w:keepNext/>
        <w:keepLines/>
        <w:shd w:val="clear" w:color="auto" w:fill="auto"/>
        <w:bidi w:val="0"/>
        <w:spacing w:before="0" w:after="0"/>
        <w:ind w:left="0" w:right="0" w:firstLine="280"/>
      </w:pPr>
      <w:bookmarkStart w:id="739" w:name="bookmark739"/>
      <w:r>
        <w:rPr>
          <w:lang w:val="ru-RU" w:eastAsia="ru-RU" w:bidi="ru-RU"/>
          <w:w w:val="100"/>
          <w:spacing w:val="0"/>
          <w:color w:val="000000"/>
          <w:position w:val="0"/>
        </w:rPr>
        <w:t>Основные гемодинамические параметры</w:t>
      </w:r>
      <w:bookmarkEnd w:id="739"/>
    </w:p>
    <w:p>
      <w:pPr>
        <w:pStyle w:val="Style30"/>
        <w:numPr>
          <w:ilvl w:val="0"/>
          <w:numId w:val="149"/>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МОК — минутный объем кровообращения.</w:t>
      </w:r>
    </w:p>
    <w:p>
      <w:pPr>
        <w:pStyle w:val="Style30"/>
        <w:numPr>
          <w:ilvl w:val="0"/>
          <w:numId w:val="149"/>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ОПСС — общее периферическое сопротивление сосудов, зависящее от состояния артериол.</w:t>
      </w:r>
    </w:p>
    <w:p>
      <w:pPr>
        <w:pStyle w:val="Style30"/>
        <w:numPr>
          <w:ilvl w:val="0"/>
          <w:numId w:val="149"/>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Венозный тонус — венулы.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Система кровообращения включает:</w:t>
      </w:r>
    </w:p>
    <w:p>
      <w:pPr>
        <w:pStyle w:val="Style30"/>
        <w:numPr>
          <w:ilvl w:val="0"/>
          <w:numId w:val="151"/>
        </w:numPr>
        <w:tabs>
          <w:tab w:leader="none" w:pos="970"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сердце;</w:t>
      </w:r>
    </w:p>
    <w:p>
      <w:pPr>
        <w:pStyle w:val="Style30"/>
        <w:numPr>
          <w:ilvl w:val="0"/>
          <w:numId w:val="151"/>
        </w:numPr>
        <w:tabs>
          <w:tab w:leader="none" w:pos="970"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сосуды;</w:t>
      </w:r>
    </w:p>
    <w:p>
      <w:pPr>
        <w:pStyle w:val="Style30"/>
        <w:numPr>
          <w:ilvl w:val="0"/>
          <w:numId w:val="151"/>
        </w:numPr>
        <w:tabs>
          <w:tab w:leader="none" w:pos="970"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центральный нейрорегуляторный аппарат сис</w:t>
        <w:softHyphen/>
        <w:t>темы кровообращения.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МОК зависит от частоты и силы сердечных сокращений. ОПСС зависит от тонуса артериол. При повышении тонуса венул резко возрастает венозный возврат к сердцу, что также сказывается на минутном объеме. В норме при увеличении работы сердца МОК увеличивается в несколько раз, следова</w:t>
        <w:softHyphen/>
        <w:t>тельно, увеличивается систолическое давление крови, но в то же время ОПСС снижается настолько, что на самом деле сред</w:t>
        <w:softHyphen/>
        <w:t>нее гемодинамическое давление остается неизменным.</w:t>
      </w:r>
    </w:p>
    <w:p>
      <w:pPr>
        <w:pStyle w:val="Style30"/>
        <w:numPr>
          <w:ilvl w:val="0"/>
          <w:numId w:val="149"/>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Гемодинамика при артериальной гипертензии</w:t>
      </w:r>
    </w:p>
    <w:p>
      <w:pPr>
        <w:pStyle w:val="Style30"/>
        <w:numPr>
          <w:ilvl w:val="0"/>
          <w:numId w:val="149"/>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 начальных стадиях увеличивается МОК или сер - дечный выброс. ОПСС не снижается, остается на прежнем уровне. Поэтому происходит увеличение АД. Такой тип изменения гемодинамики называ</w:t>
        <w:softHyphen/>
        <w:t>ется гиперкинетическим.</w:t>
      </w:r>
    </w:p>
    <w:p>
      <w:pPr>
        <w:pStyle w:val="Style30"/>
        <w:numPr>
          <w:ilvl w:val="0"/>
          <w:numId w:val="149"/>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 последующем все большее значение приобретает повышение ОПСС, а сердечный выброс остается нормальным — эукинетический тип.</w:t>
      </w:r>
    </w:p>
    <w:p>
      <w:pPr>
        <w:pStyle w:val="Style30"/>
        <w:numPr>
          <w:ilvl w:val="0"/>
          <w:numId w:val="149"/>
        </w:numPr>
        <w:tabs>
          <w:tab w:leader="none" w:pos="740"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 далеко зашедших стадиях происходит резкое увеличение ОПСС на фоне уменьшенного сердеч</w:t>
        <w:softHyphen/>
        <w:t>ного выброса — гипокинетический тип.</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Таким образом, с гемодинамической стороны АГ неодно</w:t>
        <w:softHyphen/>
        <w:t>родна и может быть представлена 3 типами. Большинство ав</w:t>
        <w:softHyphen/>
        <w:t>торов считают, что у детей и подростков с транзиторной и ла</w:t>
        <w:softHyphen/>
        <w:t>бильной АГ повышен сердечный выброс при нормальном или сниженном общем периферическом сопротивлении, при этом в 20-80% случаев встречается гиперкинетический ва</w:t>
        <w:softHyphen/>
        <w:t>риант гемодинамики. Комплексные исследования показыва</w:t>
        <w:softHyphen/>
        <w:t>ют, что гиперкинетический синдром может быть результатом:</w:t>
      </w:r>
    </w:p>
    <w:p>
      <w:pPr>
        <w:pStyle w:val="Style30"/>
        <w:numPr>
          <w:ilvl w:val="0"/>
          <w:numId w:val="151"/>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гиперсимпатикотонии;</w:t>
      </w:r>
    </w:p>
    <w:p>
      <w:pPr>
        <w:pStyle w:val="Style30"/>
        <w:numPr>
          <w:ilvl w:val="0"/>
          <w:numId w:val="151"/>
        </w:numPr>
        <w:tabs>
          <w:tab w:leader="none" w:pos="755"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повышенной чувствительности рецепторов мио</w:t>
        <w:softHyphen/>
        <w:t>карда к катехоламинам;</w:t>
      </w:r>
    </w:p>
    <w:p>
      <w:pPr>
        <w:pStyle w:val="Style30"/>
        <w:numPr>
          <w:ilvl w:val="0"/>
          <w:numId w:val="151"/>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увеличения венозного возврата крови;</w:t>
      </w:r>
    </w:p>
    <w:p>
      <w:pPr>
        <w:pStyle w:val="Style30"/>
        <w:numPr>
          <w:ilvl w:val="0"/>
          <w:numId w:val="151"/>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сочетания этих факторов.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 появлением методов биохимического исследования катехоламинов было обнаружено, что экскреция и обмен катехоламинов в крови у больных АГ часто в пределах нор</w:t>
        <w:softHyphen/>
        <w:t>мы или чуть повышены. Позднее было доказано, что нару</w:t>
        <w:softHyphen/>
        <w:t>шено их депонирование. Симпатические нервные оконча</w:t>
        <w:softHyphen/>
        <w:t>ния имеют утолщения с депо норадреналина. При возбуж</w:t>
        <w:softHyphen/>
        <w:t>дении освобождающийся норадреналин возбуждает аль</w:t>
        <w:softHyphen/>
        <w:t>фа-рецепторы, повышая симпатическую активность соот</w:t>
        <w:softHyphen/>
        <w:t>ветствующей системы. Особенно богаты альфа-рецептора</w:t>
        <w:softHyphen/>
        <w:t>ми артериолы и венулы.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Механизм инактивации в норме складывается из:</w:t>
      </w:r>
    </w:p>
    <w:p>
      <w:pPr>
        <w:pStyle w:val="Style30"/>
        <w:numPr>
          <w:ilvl w:val="0"/>
          <w:numId w:val="151"/>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разрушения ферментом оксиметилтрансфера-</w:t>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зой — 10%;</w:t>
      </w:r>
    </w:p>
    <w:p>
      <w:pPr>
        <w:pStyle w:val="Style30"/>
        <w:numPr>
          <w:ilvl w:val="0"/>
          <w:numId w:val="151"/>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обратного транспорта через мембрану.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патологии выделение медиатора остается в норме, на</w:t>
        <w:softHyphen/>
        <w:t>рушено его депонирование — катехоламины действуют на уровне рецепторов более длительное время и вызывают бо</w:t>
        <w:softHyphen/>
        <w:t>лее длительные гипертензивные реакции. Длительное дей</w:t>
        <w:softHyphen/>
        <w:t>ствие катехоламинов на уровне венул приводит к усилению венозного возврата к сердцу, усиливается работа сердца и, следовательно, увеличивается МОК. Норадреналин дей</w:t>
        <w:softHyphen/>
        <w:t>ствует одновременно и на альфа-рецепторы артериол, уве</w:t>
        <w:softHyphen/>
        <w:t>личивая тем самым ОПСС.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Ренин-ангиотензин-альдостероновая система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последнее время особую роль в патогенезе АГ отводят дисбалансу в ренин-ангиотензин-альдостероновой системе.</w:t>
      </w:r>
    </w:p>
    <w:p>
      <w:pPr>
        <w:pStyle w:val="Style30"/>
        <w:widowControl w:val="0"/>
        <w:keepNext w:val="0"/>
        <w:keepLines w:val="0"/>
        <w:shd w:val="clear" w:color="auto" w:fill="auto"/>
        <w:bidi w:val="0"/>
        <w:spacing w:before="0" w:after="0"/>
        <w:ind w:left="0" w:right="0" w:firstLine="280"/>
      </w:pPr>
      <w:r>
        <w:pict>
          <v:shape id="_x0000_s1717" type="#_x0000_t75" style="position:absolute;margin-left:148.2pt;margin-top:736.8pt;width:209.75pt;height:14.9pt;z-index:-125828901;mso-wrap-distance-left:148.1pt;mso-wrap-distance-right:136.55pt;mso-wrap-distance-bottom:10.8pt;mso-position-horizontal-relative:margin;mso-position-vertical-relative:margin" wrapcoords="0 0 21600 0 21600 21600 0 21600 0 0">
            <v:imagedata r:id="rId1137" r:href="rId1138"/>
            <w10:wrap type="topAndBottom" anchorx="margin" anchory="margin"/>
          </v:shape>
        </w:pict>
      </w:r>
      <w:r>
        <w:rPr>
          <w:lang w:val="ru-RU" w:eastAsia="ru-RU" w:bidi="ru-RU"/>
          <w:w w:val="100"/>
          <w:spacing w:val="0"/>
          <w:color w:val="000000"/>
          <w:position w:val="0"/>
        </w:rPr>
        <w:t>О роли нейрогормональных нарушений в патогенезе сердечно-сосудистых заболеваний было известно достаточ</w:t>
        <w:softHyphen/>
        <w:t>но давно. Более 100 лет назад на рубеже XX века был открыт ренин. В 30-е годы вновь открытое вещество (современный ангиотензин II) было признано ответственным за усиление тонуса сосудов и повышение артериального давления. Еще через 20 лет было доказано, что ангиотензин II прямо сти-</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мулирует синтез гормона альдостерона. В 60-е годы была описана роль ангиотензинпревращающего фермента (АПФ) в синтезе ангиотензина II и сформирована концеп</w:t>
        <w:softHyphen/>
        <w:t>ция о функционировании ренин-ангиотензин-альдостеро- новой системы организма. Классическое представление этой системы показано на слайде. Ангиотензиноген, выра</w:t>
        <w:softHyphen/>
        <w:t>батывающийся печенью, под влиянием ренина, продуци</w:t>
        <w:softHyphen/>
        <w:t>руемого юкстагломерулярными клетками почек, превраща</w:t>
        <w:softHyphen/>
        <w:t>ется в малоактивный декапептид ангиотензин I. На следую</w:t>
        <w:softHyphen/>
        <w:t>щем этапе при участии АПФ от ангиотензина I отщепляют</w:t>
        <w:softHyphen/>
        <w:t>ся две аминокислоты и образуется один из основных эф</w:t>
        <w:softHyphen/>
        <w:t>фекторов — ангиотензин II. Этот октапептид сам является мощным вазоконстриктором и антидиуретиком и, кроме того, стимулирует синтез многих других гормонов (напри</w:t>
        <w:softHyphen/>
        <w:t>мер, норадреналина, вазопрессина). Одним из важных свойств ангиотензина II является способность стимулиро</w:t>
        <w:softHyphen/>
        <w:t>вать синтез альдостерона корой надпочечников. Альдосте- рон признали одним из основных факторов задержки жид</w:t>
        <w:softHyphen/>
        <w:t>кости в организме и активного ионообмена в дистальных канальцах почек, что приводит к потере организмом калия и магния. Альдостерон наряду с ангиотензином II во мно</w:t>
        <w:softHyphen/>
        <w:t>гом связан со становлением АГ. Альдостерон усиливает об</w:t>
        <w:softHyphen/>
        <w:t>ратное всасывание натрия и воды в почечных канальцах. Происходит увеличение их внутриклеточного количества (пассивно). Внутриклеточное содержание натрия и воды увеличивается и в сосудистой стенке, что приводит к ее на</w:t>
        <w:softHyphen/>
        <w:t>буханию (отек). Просвет сосудов суживается и увеличива</w:t>
        <w:softHyphen/>
        <w:t>ется ОПСС. Резко увеличивается чувствительность набух</w:t>
        <w:softHyphen/>
        <w:t>шей стенки к прессорным агентам (норадреналин). Далее происходит спазм сосудов, что увеличивает ОПСС еще больше. Повышается активность и усиленно выделяется АДГ, под влиянием которого увеличивается реабсорбция натрия и воды, ОЦК увеличивается, соответственно увели</w:t>
        <w:softHyphen/>
        <w:t>чивается МОК.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Известно, что ренин-ангиотензиновая и калликре- ин-кининовая системы связаны между собой: будучи кина</w:t>
        <w:softHyphen/>
        <w:t>зой II, АПФ инактивирует брадикинин, который является вазодилататором. Это объясняет отчасти тот факт, что ин</w:t>
        <w:softHyphen/>
        <w:t>гибиторы АПФ могут достаточно эффективно снижать АД у пациентов с низкой активностью ренина плазмы. Кроме того, было установлено, что брадикинин стимулирует про</w:t>
        <w:softHyphen/>
        <w:t xml:space="preserve">дукцию простагландинов, обладающих вазодилатирующей активностью, таких как простагландины </w:t>
      </w:r>
      <w:r>
        <w:rPr>
          <w:lang w:val="en-US" w:eastAsia="en-US" w:bidi="en-US"/>
          <w:w w:val="100"/>
          <w:spacing w:val="0"/>
          <w:color w:val="000000"/>
          <w:position w:val="0"/>
        </w:rPr>
        <w:t xml:space="preserve">E2 </w:t>
      </w:r>
      <w:r>
        <w:rPr>
          <w:lang w:val="ru-RU" w:eastAsia="ru-RU" w:bidi="ru-RU"/>
          <w:w w:val="100"/>
          <w:spacing w:val="0"/>
          <w:color w:val="000000"/>
          <w:position w:val="0"/>
        </w:rPr>
        <w:t xml:space="preserve">и </w:t>
      </w:r>
      <w:r>
        <w:rPr>
          <w:lang w:val="en-US" w:eastAsia="en-US" w:bidi="en-US"/>
          <w:w w:val="100"/>
          <w:spacing w:val="0"/>
          <w:color w:val="000000"/>
          <w:position w:val="0"/>
        </w:rPr>
        <w:t xml:space="preserve">I2. </w:t>
      </w:r>
      <w:r>
        <w:rPr>
          <w:lang w:val="ru-RU" w:eastAsia="ru-RU" w:bidi="ru-RU"/>
          <w:w w:val="100"/>
          <w:spacing w:val="0"/>
          <w:color w:val="000000"/>
          <w:position w:val="0"/>
        </w:rPr>
        <w:t>К сожале</w:t>
        <w:softHyphen/>
        <w:t>нию, с повышенным уровнем брадикинина связаны не только дополнительные положительные терапевтические возможности ингибиторов АПФ, но и некоторые побочные реакции при их назначении, например, кашель.</w:t>
      </w:r>
    </w:p>
    <w:p>
      <w:pPr>
        <w:pStyle w:val="Style30"/>
        <w:numPr>
          <w:ilvl w:val="0"/>
          <w:numId w:val="149"/>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Тканевая ренин-ангиотензин-альдостероновая система (РААС)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Активное исследование механизмов действия иАПФ привело к целому ряду открытий, наиболее значительным из которых было доказательство существования локальных (тканевых) РААС. Иными словами, кроме плазменной, об</w:t>
        <w:softHyphen/>
        <w:t>щей для организма РААС, активация которой играет роль «скорой помощи», например, при кровотечении, падении АД идр., была обнаружена локальная РААС, функциониру</w:t>
        <w:softHyphen/>
        <w:t>ющая в органах-мишенях, прежде всего в сердце, почках, мозге, сосудах, периферической мускулатуре.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Большое значение в патогенезе АГ играют естественные депрессорные (гипеотензивные) защитные системы.</w:t>
      </w:r>
    </w:p>
    <w:p>
      <w:pPr>
        <w:pStyle w:val="Style30"/>
        <w:numPr>
          <w:ilvl w:val="0"/>
          <w:numId w:val="149"/>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Система барорецепторов (реагирует на растяжение при увеличении АД):</w:t>
      </w:r>
    </w:p>
    <w:p>
      <w:pPr>
        <w:pStyle w:val="Style30"/>
        <w:numPr>
          <w:ilvl w:val="0"/>
          <w:numId w:val="151"/>
        </w:numPr>
        <w:tabs>
          <w:tab w:leader="none" w:pos="760" w:val="left"/>
        </w:tabs>
        <w:widowControl w:val="0"/>
        <w:keepNext w:val="0"/>
        <w:keepLines w:val="0"/>
        <w:shd w:val="clear" w:color="auto" w:fill="auto"/>
        <w:bidi w:val="0"/>
        <w:spacing w:before="0" w:after="0"/>
        <w:ind w:left="740" w:right="0" w:hanging="220"/>
      </w:pPr>
      <w:r>
        <w:br w:type="column"/>
      </w:r>
      <w:r>
        <w:rPr>
          <w:lang w:val="ru-RU" w:eastAsia="ru-RU" w:bidi="ru-RU"/>
          <w:w w:val="100"/>
          <w:spacing w:val="0"/>
          <w:color w:val="000000"/>
          <w:position w:val="0"/>
        </w:rPr>
        <w:t>в каротидном синусе;</w:t>
      </w:r>
    </w:p>
    <w:p>
      <w:pPr>
        <w:pStyle w:val="Style30"/>
        <w:numPr>
          <w:ilvl w:val="0"/>
          <w:numId w:val="151"/>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 дуге аорты.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АГ происходит настройка, а точнее — перестройка барорецепторов на новый, более высокий, критический уровень АД, при котором они срабатывают, т.е. снижается их чувствительность к АД. С этим, возможно, связано по</w:t>
        <w:softHyphen/>
        <w:t>вышение активности АДГ.</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Система кининов и простагландинов (особенно про</w:t>
        <w:softHyphen/>
        <w:t>стагландины А и Е, которые вырабатываются в ин- терстиции почек). В норме при повышении АД выше критического уровня усиливается выработка кини- нов и простагландинов и срабатывают барорецепто</w:t>
        <w:softHyphen/>
        <w:t>ры дуги аорты и синкаротидной зоны. В результате АД быстро нормализуется. При АГ этот механизм на</w:t>
        <w:softHyphen/>
        <w:t>рушен.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Итак, в кратком виде патогенез АГ представляется сле</w:t>
        <w:softHyphen/>
        <w:t>дующим образом: под влиянием длительного психоэмоци</w:t>
        <w:softHyphen/>
        <w:t>онального напряжения у лиц с отягощенной наследствен - ностью, с повышенной активностью гипоталамических центров увеличивается тонус симпатической нервной сис</w:t>
        <w:softHyphen/>
        <w:t>темы, что в значительной мере связано с нарушением депо</w:t>
        <w:softHyphen/>
        <w:t>нирования катехоламинов: происходит нарушение гемоди</w:t>
        <w:softHyphen/>
        <w:t>намики, преимущественно по гиперкинетическому типу. Возникает лабильная артериальная гипертензия за счет по</w:t>
        <w:softHyphen/>
        <w:t>вышенного МОК. Затем все большее значение приобретает нарушение водно-солевого равновесия, увеличение содер</w:t>
        <w:softHyphen/>
        <w:t>жания натрия в сосудистой стенке. Появляются нарушения по гипокинетическому типу кровообращения. Страдает главным образом периферическое сопротивление.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Хорошо собранный анамнез обеспечивает понима</w:t>
        <w:softHyphen/>
        <w:t>ние причины артериальной гипертензии и способ</w:t>
        <w:softHyphen/>
        <w:t>ствует последующему дифференцированному обсле</w:t>
        <w:softHyphen/>
        <w:t>дованию. Необходима информация по следующим пунктам:</w:t>
      </w:r>
    </w:p>
    <w:p>
      <w:pPr>
        <w:pStyle w:val="Style30"/>
        <w:numPr>
          <w:ilvl w:val="0"/>
          <w:numId w:val="149"/>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Беременность.</w:t>
      </w:r>
    </w:p>
    <w:p>
      <w:pPr>
        <w:pStyle w:val="Style30"/>
        <w:numPr>
          <w:ilvl w:val="0"/>
          <w:numId w:val="149"/>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Бронхопульмональная дисплази.я</w:t>
      </w:r>
    </w:p>
    <w:p>
      <w:pPr>
        <w:pStyle w:val="Style30"/>
        <w:numPr>
          <w:ilvl w:val="0"/>
          <w:numId w:val="149"/>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Катетеризация пупочной артерии.</w:t>
      </w:r>
    </w:p>
    <w:p>
      <w:pPr>
        <w:pStyle w:val="Style30"/>
        <w:numPr>
          <w:ilvl w:val="0"/>
          <w:numId w:val="149"/>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Задержка развития.</w:t>
      </w:r>
    </w:p>
    <w:p>
      <w:pPr>
        <w:pStyle w:val="Style30"/>
        <w:numPr>
          <w:ilvl w:val="0"/>
          <w:numId w:val="149"/>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Травмы головы и живота.</w:t>
      </w:r>
    </w:p>
    <w:p>
      <w:pPr>
        <w:pStyle w:val="Style30"/>
        <w:numPr>
          <w:ilvl w:val="0"/>
          <w:numId w:val="149"/>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Семейный анамнез (нейрофиброматоз, артериаль</w:t>
        <w:softHyphen/>
        <w:t>ная гипертензия.</w:t>
      </w:r>
    </w:p>
    <w:p>
      <w:pPr>
        <w:pStyle w:val="Style30"/>
        <w:numPr>
          <w:ilvl w:val="0"/>
          <w:numId w:val="149"/>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Прием медикаментов (амфетамины, прессорные вещества, стероиды, трициклические антидепрес</w:t>
        <w:softHyphen/>
        <w:t>санты, токсикомания).</w:t>
      </w:r>
    </w:p>
    <w:p>
      <w:pPr>
        <w:pStyle w:val="Style30"/>
        <w:numPr>
          <w:ilvl w:val="0"/>
          <w:numId w:val="149"/>
        </w:numPr>
        <w:tabs>
          <w:tab w:leader="none" w:pos="76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Пиелонефрит.</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pict>
          <v:shape id="_x0000_s1718" type="#_x0000_t202" style="position:absolute;margin-left:252.25pt;margin-top:583.45pt;width:241.7pt;height:5.e-002pt;z-index:-125828900;mso-wrap-distance-left:5.pt;mso-wrap-distance-right:5.pt;mso-wrap-distance-bottom:63.6pt;mso-position-horizontal-relative:margin;mso-position-vertical-relative:margin" filled="f" stroked="f">
            <v:textbox style="mso-fit-shape-to-text:t" inset="0,0,0,0">
              <w:txbxContent>
                <w:p>
                  <w:pPr>
                    <w:pStyle w:val="Style139"/>
                    <w:widowControl w:val="0"/>
                    <w:keepNext w:val="0"/>
                    <w:keepLines w:val="0"/>
                    <w:shd w:val="clear" w:color="auto" w:fill="auto"/>
                    <w:bidi w:val="0"/>
                    <w:jc w:val="left"/>
                    <w:spacing w:before="0" w:after="0" w:line="180" w:lineRule="exact"/>
                    <w:ind w:left="0" w:right="0" w:firstLine="0"/>
                  </w:pPr>
                  <w:r>
                    <w:rPr>
                      <w:rStyle w:val="CharStyle143"/>
                      <w:b/>
                      <w:bCs/>
                      <w:i/>
                      <w:iCs/>
                    </w:rPr>
                    <w:t>Таблица 31</w:t>
                  </w:r>
                </w:p>
                <w:tbl>
                  <w:tblPr>
                    <w:tblOverlap w:val="never"/>
                    <w:tblLayout w:type="fixed"/>
                    <w:jc w:val="center"/>
                  </w:tblPr>
                  <w:tblGrid>
                    <w:gridCol w:w="2866"/>
                    <w:gridCol w:w="1968"/>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60" w:lineRule="exact"/>
                          <w:ind w:left="0" w:right="0" w:firstLine="0"/>
                        </w:pPr>
                        <w:r>
                          <w:rPr>
                            <w:rStyle w:val="CharStyle102"/>
                          </w:rPr>
                          <w:t>Новорожденные</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60" w:lineRule="exact"/>
                          <w:ind w:left="0" w:right="0" w:firstLine="0"/>
                        </w:pPr>
                        <w:r>
                          <w:rPr>
                            <w:rStyle w:val="CharStyle102"/>
                          </w:rPr>
                          <w:t>Дети</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Задержка роста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Головные боли</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Судорожные приступы</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Усталость</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Возбудимость или летаргии</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Нарушение зрения</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Респираторный дистресс</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Носовое кровотечение</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Застойная сердечная недостаточность</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«Звон» в ушах</w:t>
                        </w:r>
                      </w:p>
                    </w:tc>
                  </w:tr>
                </w:tbl>
                <w:p>
                  <w:pPr>
                    <w:widowControl w:val="0"/>
                    <w:rPr>
                      <w:sz w:val="2"/>
                      <w:szCs w:val="2"/>
                    </w:rPr>
                  </w:pPr>
                </w:p>
              </w:txbxContent>
            </v:textbox>
            <w10:wrap type="square" side="left" anchorx="margin" anchory="margin"/>
          </v:shape>
        </w:pict>
      </w:r>
      <w:r>
        <w:pict>
          <v:shape id="_x0000_s1719" type="#_x0000_t75" style="position:absolute;margin-left:136.8pt;margin-top:736.8pt;width:209.75pt;height:14.9pt;z-index:-125828899;mso-wrap-distance-left:136.8pt;mso-wrap-distance-right:148.1pt;mso-wrap-distance-bottom:10.8pt;mso-position-horizontal-relative:margin;mso-position-vertical-relative:margin" wrapcoords="0 0 21600 0 21600 21600 0 21600 0 0">
            <v:imagedata r:id="rId1139" r:href="rId1140"/>
            <w10:wrap type="topAndBottom" anchorx="margin" anchory="margin"/>
          </v:shape>
        </w:pict>
      </w:r>
      <w:r>
        <w:rPr>
          <w:lang w:val="ru-RU" w:eastAsia="ru-RU" w:bidi="ru-RU"/>
          <w:w w:val="100"/>
          <w:spacing w:val="0"/>
          <w:color w:val="000000"/>
          <w:position w:val="0"/>
        </w:rPr>
        <w:t>Симптомы артериальной гипертензии неспецифич</w:t>
        <w:softHyphen/>
        <w:t>ны у новорожденных и отсутствуют у большинства детей старшего возраста, если не выявляется тяжелая степень АГ. Симптомы, которые должны насторо</w:t>
        <w:softHyphen/>
        <w:t>жить врача в плане вероятности существования у ре</w:t>
        <w:softHyphen/>
        <w:t>бенка артериальной гипертензии, представлены в табл. 31.</w:t>
      </w:r>
      <w:r>
        <w:br w:type="page"/>
      </w:r>
    </w:p>
    <w:p>
      <w:pPr>
        <w:pStyle w:val="Style92"/>
        <w:widowControl w:val="0"/>
        <w:keepNext/>
        <w:keepLines/>
        <w:shd w:val="clear" w:color="auto" w:fill="auto"/>
        <w:bidi w:val="0"/>
        <w:jc w:val="left"/>
        <w:spacing w:before="0" w:after="0"/>
        <w:ind w:left="0" w:right="0" w:firstLine="0"/>
      </w:pPr>
      <w:bookmarkStart w:id="740" w:name="bookmark740"/>
      <w:r>
        <w:rPr>
          <w:lang w:val="ru-RU" w:eastAsia="ru-RU" w:bidi="ru-RU"/>
          <w:w w:val="100"/>
          <w:spacing w:val="0"/>
          <w:color w:val="000000"/>
          <w:position w:val="0"/>
        </w:rPr>
        <w:t>Диагностика</w:t>
      </w:r>
      <w:bookmarkEnd w:id="740"/>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Измерение и регистрация артериального давления:</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Артериальное давление должно измеряться еже</w:t>
        <w:softHyphen/>
        <w:t>годно у каждого ребенка. Предпочтительно ис</w:t>
        <w:softHyphen/>
        <w:t>пользовать ртутный манометр. Осциллометричес</w:t>
        <w:softHyphen/>
        <w:t>кий метод используется у детей в случае невозмож</w:t>
        <w:softHyphen/>
        <w:t>ности аускультативного определения тонов Корот</w:t>
        <w:softHyphen/>
        <w:t>кова.</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 целью получения достоверной информации не</w:t>
        <w:softHyphen/>
        <w:t>обходимо проведение повторных измерений.</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Манжету необходимо накладывать на правую руку на уровне сердца.</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Стетоскоп следует располагать в точке проекции плечевой артерии, проксимально и медиально локтевой ямки, ниже края манжеты.</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Необходимо соответствие размеров манжеты ок</w:t>
        <w:softHyphen/>
        <w:t>ружности плеча. Так, ширина баллона должна со</w:t>
        <w:softHyphen/>
        <w:t>ставлять 40%, а длина баллона 80-100% — окруж</w:t>
        <w:softHyphen/>
        <w:t>ности плеча ребенка.</w:t>
      </w:r>
    </w:p>
    <w:p>
      <w:pPr>
        <w:pStyle w:val="Style30"/>
        <w:numPr>
          <w:ilvl w:val="0"/>
          <w:numId w:val="149"/>
        </w:numPr>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 Измерение АД проводят в спокойной обстановке, после 5-минутного отдыха, не менее 3-х раз с ин</w:t>
        <w:softHyphen/>
        <w:t>тервалами 2-3 минуты. Учитывается среднее зна</w:t>
        <w:softHyphen/>
        <w:t>чение из 3-х измерений. В течение часа до измере</w:t>
        <w:softHyphen/>
        <w:t>ния АД ребенок должен избегать значительных физических нагрузок, не употреблять кофеинсо</w:t>
        <w:softHyphen/>
        <w:t>держащие продукты и не курить. Последнее огра</w:t>
        <w:softHyphen/>
        <w:t>ничение вполне актуально для подростков.</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манжете нагнетается давление на 20 мм рт. ст. выше его значения, при котором исчезает пульс на радиальной артерии. Сброс давления происходит со скоростью 2-3 мм рт. ст./сек.</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Систолическое АД определяется по 1-й фазе Ко</w:t>
        <w:softHyphen/>
        <w:t>роткова, которая начинается с момента появления первого ясного, четкого, громкого тона, постепен</w:t>
        <w:softHyphen/>
        <w:t>но увеличивающегося по интенсивности. Опреде</w:t>
        <w:softHyphen/>
        <w:t>ление диастолического АД проводится по 5-й фазе Короткова (полное исчезновение тонов). В случае «феномена бесконечного тона» диастолическое АД оценивается по 4-й фазе Короткова, внезапно</w:t>
        <w:softHyphen/>
        <w:t>му приглушению и смягчению звуков.</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повышенном артериальном давлении необхо - димо его измерение на нижних конечностях, что позволяет исключить коарктацию аорты.</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Интерпретация полученных данных:</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За артериальную гипертензию принимают значе</w:t>
        <w:softHyphen/>
        <w:t>ния АД, превышающие 95 перцентиль (табл. 1). Любой ребенок со значениями АД, превышающи</w:t>
        <w:softHyphen/>
        <w:t>ми 90 перцентиль, нуждается в дальнейшем обсле</w:t>
        <w:softHyphen/>
        <w:t>довании. Кроме пациентов с выраженной артери</w:t>
        <w:softHyphen/>
        <w:t>альной гипертензией и поражением органов-ми</w:t>
        <w:softHyphen/>
        <w:t>шеней, у которых необходима немедленная кор-</w:t>
      </w:r>
    </w:p>
    <w:p>
      <w:pPr>
        <w:pStyle w:val="Style30"/>
        <w:widowControl w:val="0"/>
        <w:keepNext w:val="0"/>
        <w:keepLines w:val="0"/>
        <w:shd w:val="clear" w:color="auto" w:fill="auto"/>
        <w:bidi w:val="0"/>
        <w:spacing w:before="0" w:after="0"/>
        <w:ind w:left="720" w:right="0" w:firstLine="0"/>
      </w:pPr>
      <w:r>
        <w:br w:type="column"/>
      </w:r>
      <w:r>
        <w:rPr>
          <w:lang w:val="ru-RU" w:eastAsia="ru-RU" w:bidi="ru-RU"/>
          <w:w w:val="100"/>
          <w:spacing w:val="0"/>
          <w:color w:val="000000"/>
          <w:position w:val="0"/>
        </w:rPr>
        <w:t>рекция повышенного АД, в ряде случаев возможно проведение повторных измерений АД с недельны</w:t>
        <w:softHyphen/>
        <w:t>ми интервалами с целью подтверждения диагноза.</w:t>
      </w:r>
    </w:p>
    <w:p>
      <w:pPr>
        <w:pStyle w:val="Style30"/>
        <w:numPr>
          <w:ilvl w:val="0"/>
          <w:numId w:val="149"/>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 случае повторных измерений АД оценивается его среднее значение. При уровне артериального давления, находящегося в диапазоне от 90 до 95 перцентиля, необходимо динамическое наблюде</w:t>
        <w:softHyphen/>
        <w:t>ние в течение 6 мес. При регистрации АД выше 95 перцентиля проводится дальнейшее обследование и лечение.</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Целью осмотра является выявление признаков, характе</w:t>
        <w:softHyphen/>
        <w:t>рных для вторичной артериальной гипертензии, вклю</w:t>
        <w:softHyphen/>
        <w:t>чая следующие:</w:t>
      </w:r>
    </w:p>
    <w:p>
      <w:pPr>
        <w:pStyle w:val="Style30"/>
        <w:numPr>
          <w:ilvl w:val="0"/>
          <w:numId w:val="149"/>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Кофейные пятна (феохромоцитома).</w:t>
      </w:r>
    </w:p>
    <w:p>
      <w:pPr>
        <w:pStyle w:val="Style30"/>
        <w:numPr>
          <w:ilvl w:val="0"/>
          <w:numId w:val="149"/>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Объемное образование в брюшной полости (опу</w:t>
        <w:softHyphen/>
        <w:t>холь Вильмса).</w:t>
      </w:r>
    </w:p>
    <w:p>
      <w:pPr>
        <w:pStyle w:val="Style30"/>
        <w:numPr>
          <w:ilvl w:val="0"/>
          <w:numId w:val="149"/>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Выслушивается абдоминальный сосудистый шум (коарктация аорты, реноваскулярная патология).</w:t>
      </w:r>
    </w:p>
    <w:p>
      <w:pPr>
        <w:pStyle w:val="Style30"/>
        <w:numPr>
          <w:ilvl w:val="0"/>
          <w:numId w:val="149"/>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АД на руках выше АД на ногах (коарктация аорты).</w:t>
      </w:r>
    </w:p>
    <w:p>
      <w:pPr>
        <w:pStyle w:val="Style30"/>
        <w:numPr>
          <w:ilvl w:val="0"/>
          <w:numId w:val="149"/>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Тиромегалия (гипертиреоз).</w:t>
      </w:r>
    </w:p>
    <w:p>
      <w:pPr>
        <w:pStyle w:val="Style30"/>
        <w:numPr>
          <w:ilvl w:val="0"/>
          <w:numId w:val="149"/>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Вирилизация (патология надпочечников).</w:t>
      </w:r>
    </w:p>
    <w:p>
      <w:pPr>
        <w:pStyle w:val="Style30"/>
        <w:numPr>
          <w:ilvl w:val="0"/>
          <w:numId w:val="149"/>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Синдромы (фенотип) Клипель-Ландау, Вильямса, Тернара.</w:t>
      </w:r>
    </w:p>
    <w:p>
      <w:pPr>
        <w:pStyle w:val="Style30"/>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Причины</w:t>
      </w:r>
    </w:p>
    <w:p>
      <w:pPr>
        <w:pStyle w:val="Style30"/>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Артериальная гипертензия может быть первичной (эс- сенциальной) или вторичной.</w:t>
      </w:r>
    </w:p>
    <w:p>
      <w:pPr>
        <w:pStyle w:val="Style30"/>
        <w:numPr>
          <w:ilvl w:val="0"/>
          <w:numId w:val="149"/>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Чем младше ребенок и выше уровень АД, тем выше вероятность вторичного генеза артериальной гипер</w:t>
        <w:softHyphen/>
        <w:t>тензии.</w:t>
      </w:r>
    </w:p>
    <w:p>
      <w:pPr>
        <w:pStyle w:val="Style30"/>
        <w:numPr>
          <w:ilvl w:val="0"/>
          <w:numId w:val="149"/>
        </w:numPr>
        <w:tabs>
          <w:tab w:leader="none" w:pos="494" w:val="left"/>
        </w:tabs>
        <w:widowControl w:val="0"/>
        <w:keepNext w:val="0"/>
        <w:keepLines w:val="0"/>
        <w:shd w:val="clear" w:color="auto" w:fill="auto"/>
        <w:bidi w:val="0"/>
        <w:spacing w:before="0" w:after="180"/>
        <w:ind w:left="500" w:right="0" w:hanging="240"/>
      </w:pPr>
      <w:r>
        <w:rPr>
          <w:lang w:val="ru-RU" w:eastAsia="ru-RU" w:bidi="ru-RU"/>
          <w:w w:val="100"/>
          <w:spacing w:val="0"/>
          <w:color w:val="000000"/>
          <w:position w:val="0"/>
        </w:rPr>
        <w:t>По данным литературы, у 78% из 563 детей с вторич</w:t>
        <w:softHyphen/>
        <w:t>ной АГ отмечалось паренхиматозное заболевание по</w:t>
        <w:softHyphen/>
        <w:t>чек. У оставшихся 22% причиной АГ являлись в по</w:t>
        <w:softHyphen/>
        <w:t>рядке убывания: стеноз почечной артерии, коаркта- ция аорты, феохромоцитома и др. (табл. 32).</w:t>
      </w:r>
    </w:p>
    <w:p>
      <w:pPr>
        <w:pStyle w:val="Style92"/>
        <w:widowControl w:val="0"/>
        <w:keepNext/>
        <w:keepLines/>
        <w:shd w:val="clear" w:color="auto" w:fill="auto"/>
        <w:bidi w:val="0"/>
        <w:jc w:val="left"/>
        <w:spacing w:before="0" w:after="0"/>
        <w:ind w:left="0" w:right="0" w:firstLine="260"/>
      </w:pPr>
      <w:bookmarkStart w:id="741" w:name="bookmark741"/>
      <w:r>
        <w:rPr>
          <w:lang w:val="ru-RU" w:eastAsia="ru-RU" w:bidi="ru-RU"/>
          <w:w w:val="100"/>
          <w:spacing w:val="0"/>
          <w:color w:val="000000"/>
          <w:position w:val="0"/>
        </w:rPr>
        <w:t>Лабораторные исследования</w:t>
      </w:r>
      <w:bookmarkEnd w:id="741"/>
    </w:p>
    <w:p>
      <w:pPr>
        <w:pStyle w:val="Style30"/>
        <w:numPr>
          <w:ilvl w:val="0"/>
          <w:numId w:val="149"/>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Лабораторные исследования проводят начиная с про</w:t>
        <w:softHyphen/>
        <w:t>стых неинвазивных и заканчивая сложными инвазив</w:t>
        <w:softHyphen/>
        <w:t>ными. Последовательность процедур представлена ниже:</w:t>
      </w:r>
    </w:p>
    <w:p>
      <w:pPr>
        <w:pStyle w:val="Style30"/>
        <w:numPr>
          <w:ilvl w:val="0"/>
          <w:numId w:val="149"/>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Углубленный анализ мочи, особенно показан при гематурии и протеинурии.</w:t>
      </w:r>
    </w:p>
    <w:p>
      <w:pPr>
        <w:pStyle w:val="Style30"/>
        <w:numPr>
          <w:ilvl w:val="0"/>
          <w:numId w:val="149"/>
        </w:numPr>
        <w:tabs>
          <w:tab w:leader="none" w:pos="737"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Биохимический анализ крови. Повышение уровня креатинина характерно для почечной патологии. Ги- покалиемия возможна при гиперальдостеронизме.</w:t>
      </w:r>
    </w:p>
    <w:p>
      <w:pPr>
        <w:pStyle w:val="Style30"/>
        <w:numPr>
          <w:ilvl w:val="0"/>
          <w:numId w:val="149"/>
        </w:numPr>
        <w:tabs>
          <w:tab w:leader="none" w:pos="737" w:val="left"/>
        </w:tabs>
        <w:widowControl w:val="0"/>
        <w:keepNext w:val="0"/>
        <w:keepLines w:val="0"/>
        <w:shd w:val="clear" w:color="auto" w:fill="auto"/>
        <w:bidi w:val="0"/>
        <w:spacing w:before="0" w:after="0"/>
        <w:ind w:left="720" w:right="0" w:hanging="220"/>
      </w:pPr>
      <w:r>
        <w:pict>
          <v:shape id="_x0000_s1720" type="#_x0000_t202" style="position:absolute;margin-left:-5.5pt;margin-top:591.85pt;width:493.45pt;height:81.35pt;z-index:-125828898;mso-wrap-distance-left:5.pt;mso-wrap-distance-right:5.pt;mso-wrap-distance-bottom:63.6pt;mso-position-horizontal-relative:margin;mso-position-vertical-relative:margin" filled="f" stroked="f">
            <v:textbox style="mso-fit-shape-to-text:t" inset="0,0,0,0">
              <w:txbxContent>
                <w:tbl>
                  <w:tblPr>
                    <w:tblOverlap w:val="never"/>
                    <w:tblLayout w:type="fixed"/>
                    <w:jc w:val="left"/>
                  </w:tblPr>
                  <w:tblGrid>
                    <w:gridCol w:w="2467"/>
                    <w:gridCol w:w="1987"/>
                    <w:gridCol w:w="2942"/>
                    <w:gridCol w:w="2472"/>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60" w:lineRule="exact"/>
                          <w:ind w:left="0" w:right="0" w:firstLine="0"/>
                        </w:pPr>
                        <w:r>
                          <w:rPr>
                            <w:rStyle w:val="CharStyle102"/>
                          </w:rPr>
                          <w:t>Дети до года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60" w:lineRule="exact"/>
                          <w:ind w:left="0" w:right="0" w:firstLine="0"/>
                        </w:pPr>
                        <w:r>
                          <w:rPr>
                            <w:rStyle w:val="CharStyle102"/>
                          </w:rPr>
                          <w:t>1-6 лет</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60" w:lineRule="exact"/>
                          <w:ind w:left="0" w:right="0" w:firstLine="0"/>
                        </w:pPr>
                        <w:r>
                          <w:rPr>
                            <w:rStyle w:val="CharStyle102"/>
                          </w:rPr>
                          <w:t>7-12 лет</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60" w:lineRule="exact"/>
                          <w:ind w:left="0" w:right="0" w:firstLine="0"/>
                        </w:pPr>
                        <w:r>
                          <w:rPr>
                            <w:rStyle w:val="CharStyle102"/>
                          </w:rPr>
                          <w:t>Подростки</w:t>
                        </w:r>
                      </w:p>
                    </w:tc>
                  </w:tr>
                  <w:tr>
                    <w:trPr>
                      <w:trHeight w:val="235"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Тромбоз почечных артерий и вен</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Стеноз почечной артерии</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Паренхиматозные заболевания почек</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Эссенциальная гипертензия</w:t>
                        </w:r>
                      </w:p>
                    </w:tc>
                  </w:tr>
                  <w:tr>
                    <w:trPr>
                      <w:trHeight w:val="432"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Врожденная патология почек</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Паренхиматозные заболе</w:t>
                          <w:softHyphen/>
                          <w:t>вания почек</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Реноваскулярная патология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Паренхиматозные заболевания почек</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Коарктация аорты</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Опухоль Вильмса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Эндокринная патология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Эндокринная патология</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Бронхолегочная дисплазия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Нейробластома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Эссенциальная гипертензия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Преждевременное созревание (?)</w:t>
                        </w:r>
                      </w:p>
                    </w:tc>
                  </w:tr>
                  <w:tr>
                    <w:trPr>
                      <w:trHeight w:val="250" w:hRule="exact"/>
                    </w:trPr>
                    <w:tc>
                      <w:tcPr>
                        <w:shd w:val="clear" w:color="auto" w:fill="FFFFFF"/>
                        <w:tcBorders>
                          <w:left w:val="single" w:sz="4"/>
                          <w:top w:val="single" w:sz="4"/>
                          <w:bottom w:val="single" w:sz="4"/>
                        </w:tcBorders>
                        <w:vAlign w:val="top"/>
                      </w:tcPr>
                      <w:p>
                        <w:pPr>
                          <w:widowControl w:val="0"/>
                          <w:rPr>
                            <w:sz w:val="10"/>
                            <w:szCs w:val="10"/>
                          </w:rPr>
                        </w:pP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Коарктация аорты</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Преждевременное созревание (?)</w:t>
                        </w:r>
                      </w:p>
                    </w:tc>
                    <w:tc>
                      <w:tcPr>
                        <w:shd w:val="clear" w:color="auto" w:fill="FFFFFF"/>
                        <w:tcBorders>
                          <w:left w:val="single" w:sz="4"/>
                          <w:right w:val="single" w:sz="4"/>
                          <w:top w:val="single" w:sz="4"/>
                          <w:bottom w:val="single" w:sz="4"/>
                        </w:tcBorders>
                        <w:vAlign w:val="top"/>
                      </w:tcPr>
                      <w:p>
                        <w:pPr>
                          <w:widowControl w:val="0"/>
                          <w:rPr>
                            <w:sz w:val="10"/>
                            <w:szCs w:val="10"/>
                          </w:rPr>
                        </w:pPr>
                      </w:p>
                    </w:tc>
                  </w:tr>
                </w:tbl>
              </w:txbxContent>
            </v:textbox>
            <w10:wrap type="topAndBottom" anchorx="margin" anchory="margin"/>
          </v:shape>
        </w:pict>
      </w:r>
      <w:r>
        <w:pict>
          <v:shape id="_x0000_s1721" type="#_x0000_t202" style="position:absolute;margin-left:121.7pt;margin-top:574.85pt;width:239.5pt;height:11.85pt;z-index:-125828897;mso-wrap-distance-left:5.pt;mso-wrap-distance-right:5.pt;mso-wrap-distance-bottom:63.6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Причины артериальной гипертензии у детей разного возраста</w:t>
                  </w:r>
                </w:p>
              </w:txbxContent>
            </v:textbox>
            <w10:wrap type="topAndBottom" anchorx="margin" anchory="margin"/>
          </v:shape>
        </w:pict>
      </w:r>
      <w:r>
        <w:pict>
          <v:shape id="_x0000_s1722" type="#_x0000_t202" style="position:absolute;margin-left:444.pt;margin-top:564.25pt;width:44.65pt;height:11.65pt;z-index:-125828896;mso-wrap-distance-left:5.pt;mso-wrap-distance-right:5.pt;mso-wrap-distance-bottom:63.6pt;mso-position-horizontal-relative:margin;mso-position-vertical-relative:margin" filled="f" stroked="f">
            <v:textbox style="mso-fit-shape-to-text:t" inset="0,0,0,0">
              <w:txbxContent>
                <w:p>
                  <w:pPr>
                    <w:pStyle w:val="Style139"/>
                    <w:widowControl w:val="0"/>
                    <w:keepNext w:val="0"/>
                    <w:keepLines w:val="0"/>
                    <w:shd w:val="clear" w:color="auto" w:fill="auto"/>
                    <w:bidi w:val="0"/>
                    <w:jc w:val="left"/>
                    <w:spacing w:before="0" w:after="0" w:line="180" w:lineRule="exact"/>
                    <w:ind w:left="0" w:right="0" w:firstLine="0"/>
                  </w:pPr>
                  <w:r>
                    <w:rPr>
                      <w:rStyle w:val="CharStyle143"/>
                      <w:b/>
                      <w:bCs/>
                      <w:i/>
                      <w:iCs/>
                    </w:rPr>
                    <w:t>Таблица 32</w:t>
                  </w:r>
                </w:p>
              </w:txbxContent>
            </v:textbox>
            <w10:wrap type="topAndBottom" anchorx="margin" anchory="margin"/>
          </v:shape>
        </w:pict>
      </w:r>
      <w:r>
        <w:pict>
          <v:shape id="_x0000_s1723" type="#_x0000_t75" style="position:absolute;margin-left:142.1pt;margin-top:736.8pt;width:209.75pt;height:14.9pt;z-index:-125828895;mso-wrap-distance-left:135.85pt;mso-wrap-distance-right:136.55pt;mso-wrap-distance-bottom:10.8pt;mso-position-horizontal-relative:margin;mso-position-vertical-relative:margin" wrapcoords="0 0 21600 0 21600 21600 0 21600 0 0">
            <v:imagedata r:id="rId1141" r:href="rId1142"/>
            <w10:wrap type="topAndBottom" anchorx="margin" anchory="margin"/>
          </v:shape>
        </w:pict>
      </w:r>
      <w:r>
        <w:rPr>
          <w:lang w:val="ru-RU" w:eastAsia="ru-RU" w:bidi="ru-RU"/>
          <w:w w:val="100"/>
          <w:spacing w:val="0"/>
          <w:color w:val="000000"/>
          <w:position w:val="0"/>
        </w:rPr>
        <w:t>Гормоны крови. Высокий уровень ренина плазмы характерен для реноваскулярной патологии. Очень низкий уровень ренина показателен для глюко</w:t>
        <w:softHyphen/>
        <w:t xml:space="preserve">кортикоидами индуцированного алдостеронизма, синдрома </w:t>
      </w:r>
      <w:r>
        <w:rPr>
          <w:lang w:val="en-US" w:eastAsia="en-US" w:bidi="en-US"/>
          <w:w w:val="100"/>
          <w:spacing w:val="0"/>
          <w:color w:val="000000"/>
          <w:position w:val="0"/>
        </w:rPr>
        <w:t xml:space="preserve">Liddle </w:t>
      </w:r>
      <w:r>
        <w:rPr>
          <w:lang w:val="ru-RU" w:eastAsia="ru-RU" w:bidi="ru-RU"/>
          <w:w w:val="100"/>
          <w:spacing w:val="0"/>
          <w:color w:val="000000"/>
          <w:position w:val="0"/>
        </w:rPr>
        <w:t>и избытка минералокортикоидов. Повышение концентрации альдостерона диагнос-</w:t>
      </w:r>
      <w:r>
        <w:br w:type="page"/>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тично для гиперальдостеронизма. Повышение уровня катехоламинов (адреналин, норэпинеф- рин, допамин) характерно для феохромоцитомы или нейробластомы.</w:t>
      </w:r>
    </w:p>
    <w:p>
      <w:pPr>
        <w:pStyle w:val="Style30"/>
        <w:numPr>
          <w:ilvl w:val="0"/>
          <w:numId w:val="14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Гормоны мочи. Повышенная экскреция катехола</w:t>
        <w:softHyphen/>
        <w:t>минов и их метаболитов характерна для феохромо - цитомы или нейробластомы.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Инструментальные исследования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Эхокардиография:</w:t>
      </w:r>
    </w:p>
    <w:p>
      <w:pPr>
        <w:pStyle w:val="Style30"/>
        <w:numPr>
          <w:ilvl w:val="0"/>
          <w:numId w:val="14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Выявляется гипертрофия левого желудочка в ре</w:t>
        <w:softHyphen/>
        <w:t>зультате длительного повышения АД.</w:t>
      </w:r>
    </w:p>
    <w:p>
      <w:pPr>
        <w:pStyle w:val="Style30"/>
        <w:numPr>
          <w:ilvl w:val="0"/>
          <w:numId w:val="14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Гипертрофия носит симметричный характер: уве</w:t>
        <w:softHyphen/>
        <w:t>личена толщина межжелудочковой перегородки и задней стенки левого желудочка.</w:t>
      </w:r>
    </w:p>
    <w:p>
      <w:pPr>
        <w:pStyle w:val="Style30"/>
        <w:numPr>
          <w:ilvl w:val="0"/>
          <w:numId w:val="14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Оценивается функция левого желудочка.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Ультразвуковое исследование внутренних органов:</w:t>
      </w:r>
    </w:p>
    <w:p>
      <w:pPr>
        <w:pStyle w:val="Style30"/>
        <w:numPr>
          <w:ilvl w:val="0"/>
          <w:numId w:val="14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Визуализируются аномалии структуры почек, па</w:t>
        <w:softHyphen/>
        <w:t>тология почечных сосудов и наличие опухолей.</w:t>
      </w:r>
    </w:p>
    <w:p>
      <w:pPr>
        <w:pStyle w:val="Style30"/>
        <w:numPr>
          <w:ilvl w:val="0"/>
          <w:numId w:val="14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Выявляется асимметрия размеров почек.</w:t>
      </w:r>
    </w:p>
    <w:p>
      <w:pPr>
        <w:pStyle w:val="Style30"/>
        <w:numPr>
          <w:ilvl w:val="0"/>
          <w:numId w:val="14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Определяются ренальные и экстраренальные объ</w:t>
        <w:softHyphen/>
        <w:t>емные образования (опухоль Вильмса или нейро</w:t>
        <w:softHyphen/>
        <w:t>бластома).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Радионуклидное исследование (с или без каптоприла). Выявляется асимметрия из-за стеноза почечной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Допплеровское исследование. Выявляется асимметрия кровотока из-за стеноза почечной артерии.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Цифровая субтракционная артериография. Выявляется асимметрия между двумя почечными артериями в результа</w:t>
        <w:softHyphen/>
        <w:t>те стеноза.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Ангиография:</w:t>
      </w:r>
    </w:p>
    <w:p>
      <w:pPr>
        <w:pStyle w:val="Style30"/>
        <w:numPr>
          <w:ilvl w:val="0"/>
          <w:numId w:val="14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Устанавливаются размеры почечных сосудов.</w:t>
      </w:r>
    </w:p>
    <w:p>
      <w:pPr>
        <w:pStyle w:val="Style30"/>
        <w:numPr>
          <w:ilvl w:val="0"/>
          <w:numId w:val="14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Определяется уровень ренина в почечных сосудах.</w:t>
      </w:r>
    </w:p>
    <w:p>
      <w:pPr>
        <w:pStyle w:val="Style30"/>
        <w:numPr>
          <w:ilvl w:val="0"/>
          <w:numId w:val="149"/>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Отношение уровня ренина в двух почках, превы</w:t>
        <w:softHyphen/>
        <w:t>шающее 3:1, рассматривается как диагностическое для ренальной АГ.</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Ведение пациентов с АГ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 возможности лечение артериальной гипертензии должно заключаться в выявлении и устранении причины, ее вызывающей. Ниже приводятся подходы к лечению де</w:t>
        <w:softHyphen/>
        <w:t>тей с неустранимыми причинами АГ и эссенциальной арте</w:t>
        <w:softHyphen/>
        <w:t>риальной гипертензией.</w:t>
      </w:r>
    </w:p>
    <w:p>
      <w:pPr>
        <w:pStyle w:val="Style30"/>
        <w:numPr>
          <w:ilvl w:val="0"/>
          <w:numId w:val="14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Немедикаментозные мероприятия для коррекции повышенного АД используются независимо от эти</w:t>
        <w:softHyphen/>
        <w:t>ологии и выраженности артериальной гипертен</w:t>
        <w:softHyphen/>
        <w:t>зии. У детей с умеренной артериальной гипертен</w:t>
        <w:softHyphen/>
        <w:t>зией немедикаментозные мероприятия могут быть единственным методом коррекции повышенного АД:</w:t>
      </w:r>
    </w:p>
    <w:p>
      <w:pPr>
        <w:pStyle w:val="Style30"/>
        <w:numPr>
          <w:ilvl w:val="0"/>
          <w:numId w:val="151"/>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коррекцию избыточной массы тела необходимо проводить у всех детей, независимо от этиологии АГ;</w:t>
      </w:r>
    </w:p>
    <w:p>
      <w:pPr>
        <w:pStyle w:val="Style30"/>
        <w:numPr>
          <w:ilvl w:val="0"/>
          <w:numId w:val="151"/>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аэробные и изотонические упражнения непосред</w:t>
        <w:softHyphen/>
        <w:t>ственно позитивно влияют на уровень АД. Также адекватная физическая нагрузка приводит к сни</w:t>
        <w:softHyphen/>
        <w:t>жению массы тела. Ограничениями к занятиям физкультурой могут служить тяжелая форма АГ и выявляемая патология сердца;</w:t>
      </w:r>
    </w:p>
    <w:p>
      <w:pPr>
        <w:pStyle w:val="Style30"/>
        <w:numPr>
          <w:ilvl w:val="0"/>
          <w:numId w:val="151"/>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целесообразно существенное уменьшение потреб</w:t>
        <w:softHyphen/>
        <w:t>ления поваренной соли (менее 5 г в сутки) и доста</w:t>
        <w:softHyphen/>
        <w:t>точное потребление калия (3-5 г в сутки).</w:t>
      </w:r>
    </w:p>
    <w:p>
      <w:pPr>
        <w:pStyle w:val="Style30"/>
        <w:numPr>
          <w:ilvl w:val="0"/>
          <w:numId w:val="149"/>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Лекарственные препараты для лечения АГ у детей используют эмпирически. В большинстве случаев</w:t>
      </w:r>
    </w:p>
    <w:p>
      <w:pPr>
        <w:pStyle w:val="Style30"/>
        <w:widowControl w:val="0"/>
        <w:keepNext w:val="0"/>
        <w:keepLines w:val="0"/>
        <w:shd w:val="clear" w:color="auto" w:fill="auto"/>
        <w:bidi w:val="0"/>
        <w:spacing w:before="0" w:after="0"/>
        <w:ind w:left="500" w:right="0" w:firstLine="0"/>
      </w:pPr>
      <w:r>
        <w:br w:type="column"/>
      </w:r>
      <w:r>
        <w:rPr>
          <w:lang w:val="ru-RU" w:eastAsia="ru-RU" w:bidi="ru-RU"/>
          <w:w w:val="100"/>
          <w:spacing w:val="0"/>
          <w:color w:val="000000"/>
          <w:position w:val="0"/>
        </w:rPr>
        <w:t>отсутствуют исследования их эффективности в педи</w:t>
        <w:softHyphen/>
        <w:t>атрии.</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Для лечения АГ используют следующие классы гипо - тензивных препаратов (рекомендации Всемирной организации здравоохранения и Международного общества гипертонии):</w:t>
      </w:r>
    </w:p>
    <w:p>
      <w:pPr>
        <w:pStyle w:val="Style30"/>
        <w:numPr>
          <w:ilvl w:val="0"/>
          <w:numId w:val="151"/>
        </w:numPr>
        <w:tabs>
          <w:tab w:leader="none" w:pos="734"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диуретики;</w:t>
      </w:r>
    </w:p>
    <w:p>
      <w:pPr>
        <w:pStyle w:val="Style30"/>
        <w:numPr>
          <w:ilvl w:val="0"/>
          <w:numId w:val="151"/>
        </w:numPr>
        <w:tabs>
          <w:tab w:leader="none" w:pos="734"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бета-адреноблокаторы;</w:t>
      </w:r>
    </w:p>
    <w:p>
      <w:pPr>
        <w:pStyle w:val="Style30"/>
        <w:numPr>
          <w:ilvl w:val="0"/>
          <w:numId w:val="151"/>
        </w:numPr>
        <w:tabs>
          <w:tab w:leader="none" w:pos="734"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ингибиторы ангиотензинпревращающего ферента;</w:t>
      </w:r>
    </w:p>
    <w:p>
      <w:pPr>
        <w:pStyle w:val="Style30"/>
        <w:numPr>
          <w:ilvl w:val="0"/>
          <w:numId w:val="151"/>
        </w:numPr>
        <w:tabs>
          <w:tab w:leader="none" w:pos="734"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антагонисты кальция;</w:t>
      </w:r>
    </w:p>
    <w:p>
      <w:pPr>
        <w:pStyle w:val="Style30"/>
        <w:numPr>
          <w:ilvl w:val="0"/>
          <w:numId w:val="151"/>
        </w:numPr>
        <w:tabs>
          <w:tab w:leader="none" w:pos="734"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альфа-блокаторы;</w:t>
      </w:r>
    </w:p>
    <w:p>
      <w:pPr>
        <w:pStyle w:val="Style30"/>
        <w:numPr>
          <w:ilvl w:val="0"/>
          <w:numId w:val="151"/>
        </w:numPr>
        <w:tabs>
          <w:tab w:leader="none" w:pos="734"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антагонисты рецепторов ангиотензина </w:t>
      </w:r>
      <w:r>
        <w:rPr>
          <w:lang w:val="en-US" w:eastAsia="en-US" w:bidi="en-US"/>
          <w:w w:val="100"/>
          <w:spacing w:val="0"/>
          <w:color w:val="000000"/>
          <w:position w:val="0"/>
        </w:rPr>
        <w:t>II.</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В педиатрической практике наиболее широко использу</w:t>
        <w:softHyphen/>
        <w:t>ются первые четыре класса препаратов.</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Начинать лечение рекомендуется с тиазидного диуре - тика или с бета-адреноблокатора в минимальной до</w:t>
        <w:softHyphen/>
        <w:t>зе. Повышать дозу необходимо до нормализации АД. В случае побочных эффектов следует снизить до</w:t>
        <w:softHyphen/>
        <w:t>зу препарата. При неэффективности монотерапии используются комбинации двух гипотензивных средств с различным механизмом действия. При от</w:t>
        <w:softHyphen/>
        <w:t>сутствии эффекта от применения двух препаратов следует еще раз рассмотреть вероятность существова</w:t>
        <w:softHyphen/>
        <w:t>ния вторичной артериальной гипертензии.</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Основной принцип лечения больных артериальной гипертензией заключается в последовательном (сту</w:t>
        <w:softHyphen/>
        <w:t>пенеобразном) использовании препаратов основных групп: диуретиков, бета-адреноблокаторов, антаго</w:t>
        <w:softHyphen/>
        <w:t>нистов кальция и ингибиторов АПФ.</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Монотерапия считается неуспешной, если при посте</w:t>
        <w:softHyphen/>
        <w:t>пенном наращивании дозы препарата удовлетвори</w:t>
        <w:softHyphen/>
        <w:t>тельного эффекта не достигается (за исключением диуретиков, при применении которых эффект от до</w:t>
        <w:softHyphen/>
        <w:t>зы не зависит).</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Основой гипотензивной терапии считают диуретики, особенно в тех случаях, когда задержка жидкости в организме — ведущий механизм развития гипертен</w:t>
        <w:softHyphen/>
        <w:t>зии. Поскольку диуретики устраняют основные гемо</w:t>
        <w:softHyphen/>
        <w:t>динамические сдвиги, наблюдаемые при гипертонии (вызывая незначительное снижение сердечного вы</w:t>
        <w:softHyphen/>
        <w:t>броса, падение периферического и почечного сосуди</w:t>
        <w:softHyphen/>
        <w:t>стого сопротивления), эти средства обоснованно счи</w:t>
        <w:softHyphen/>
        <w:t>тают препаратами первой ступени.</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последние годы в связи со значительным числом побочных эффектов от применения диуретиков в ка</w:t>
        <w:softHyphen/>
        <w:t>честве препаратов первой ступени специалисты пред</w:t>
        <w:softHyphen/>
        <w:t>лагают использовать лекарственные средства других групп, в том числе более эффективные, чем мочегон</w:t>
        <w:softHyphen/>
        <w:t>ные, — бета-адреноблокаторы, ингибиторы АПФ, антагонисты кальция.</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Монотерапия этими препаратами в эффективных до - зах имеет несомненное преимущество перед комби</w:t>
        <w:softHyphen/>
        <w:t>нированной терапией, поскольку дает меньше побоч</w:t>
        <w:softHyphen/>
        <w:t>ных явлений, связанных с взаимодействием двух или трех лекарств, оказывает меньшее неблагоприятное воздействие на сердечно-сосудистую систему и мета</w:t>
        <w:softHyphen/>
        <w:t>болический профиль.</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pict>
          <v:shape id="_x0000_s1724" type="#_x0000_t75" style="position:absolute;margin-left:136.8pt;margin-top:736.8pt;width:209.75pt;height:14.9pt;z-index:-125828894;mso-wrap-distance-left:136.8pt;mso-wrap-distance-right:148.1pt;mso-wrap-distance-bottom:10.8pt;mso-position-horizontal-relative:margin;mso-position-vertical-relative:margin" wrapcoords="0 0 21600 0 21600 21600 0 21600 0 0">
            <v:imagedata r:id="rId1143" r:href="rId1144"/>
            <w10:wrap type="topAndBottom" anchorx="margin" anchory="margin"/>
          </v:shape>
        </w:pict>
      </w:r>
      <w:r>
        <w:rPr>
          <w:lang w:val="ru-RU" w:eastAsia="ru-RU" w:bidi="ru-RU"/>
          <w:w w:val="100"/>
          <w:spacing w:val="0"/>
          <w:color w:val="000000"/>
          <w:position w:val="0"/>
        </w:rPr>
        <w:t>У детей с гиперкинетическим типом гемодинамики рекомендуются кардиоселективные бета-адреноли- тики (атенолол, ацебутолол). У пациентов без тенден</w:t>
        <w:softHyphen/>
        <w:t>ции к тахикардии рекомендуются такие препараты, как ингибиторы ангиотензин-конвертирующего фер-</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мента (каптоприл, эналаприл), антагонисты кальция (нифедипин), селективные альфа-1 адренолитики (празозин).</w:t>
      </w:r>
    </w:p>
    <w:p>
      <w:pPr>
        <w:pStyle w:val="Style30"/>
        <w:numPr>
          <w:ilvl w:val="0"/>
          <w:numId w:val="14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неэффективности монотерапии одним из пере</w:t>
        <w:softHyphen/>
        <w:t>численных препаратов переходят ко второй ступени лечения артериальной гипертонии, при которой ис</w:t>
        <w:softHyphen/>
        <w:t>пользуются комбинации двух гипотензивных средств с различным механизмом действия.</w:t>
      </w:r>
    </w:p>
    <w:p>
      <w:pPr>
        <w:pStyle w:val="Style30"/>
        <w:numPr>
          <w:ilvl w:val="0"/>
          <w:numId w:val="14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Выбор препаратов второй ступени делают на основа</w:t>
        <w:softHyphen/>
        <w:t>нии их индивидуальной переносимости при на</w:t>
        <w:softHyphen/>
        <w:t>именьшем числе побочных эффектов. Наиболее удачно сочетание диуретиков с бета-адреноблокато- рами. Больным, которые не могут принимать бе- та-адреноблокаторы, назначают антагонисты каль</w:t>
        <w:softHyphen/>
        <w:t>ция или ингибиторы АПФ, реже периферические ва- зодилататоры.</w:t>
      </w:r>
    </w:p>
    <w:p>
      <w:pPr>
        <w:pStyle w:val="Style30"/>
        <w:numPr>
          <w:ilvl w:val="0"/>
          <w:numId w:val="14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лечении гипертонической болезни с сопутству</w:t>
        <w:softHyphen/>
        <w:t>ющими заболеваниями необходимо индивидуально подходить к назначению ряда препаратов:</w:t>
      </w:r>
    </w:p>
    <w:p>
      <w:pPr>
        <w:pStyle w:val="Style30"/>
        <w:numPr>
          <w:ilvl w:val="0"/>
          <w:numId w:val="151"/>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больным диабетом и тяжелыми дислипопротеиде- миями нельзя назначать диуретические средства и бета-адреноблокаторы. Следует отдавать предпо</w:t>
        <w:softHyphen/>
        <w:t>чтение ингибиторам АПФ, антагонистам кальция и альфа-адреноблокаторам;</w:t>
      </w:r>
    </w:p>
    <w:p>
      <w:pPr>
        <w:pStyle w:val="Style30"/>
        <w:numPr>
          <w:ilvl w:val="0"/>
          <w:numId w:val="151"/>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больным с бронхиальной астмой и бронхообструк</w:t>
        <w:softHyphen/>
        <w:t>тивными заболеваниями легких противопоказаны неселективные и большие дозы селективных бе- та-адреноблокаторов, поскольку при их примене</w:t>
        <w:softHyphen/>
        <w:t>нии возникают явления бронхообструкции;</w:t>
      </w:r>
    </w:p>
    <w:p>
      <w:pPr>
        <w:pStyle w:val="Style30"/>
        <w:numPr>
          <w:ilvl w:val="0"/>
          <w:numId w:val="151"/>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больным с цереброваскулярной недостаточностью препаратами первого ряда могут быть антагонисты кальция, благоприятно воздействующие на мозго</w:t>
        <w:softHyphen/>
        <w:t>вое кровообращение. Альфа-адреноблокаторы в этом случае не применяются;</w:t>
      </w:r>
    </w:p>
    <w:p>
      <w:pPr>
        <w:pStyle w:val="Style30"/>
        <w:numPr>
          <w:ilvl w:val="0"/>
          <w:numId w:val="151"/>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больным с артериальной гипертонией и хроничес</w:t>
        <w:softHyphen/>
        <w:t>кой почечной недостаточностью следует использо - вать ингибиторы АПФ, антагонисты кальция и петлевые диуретики. Остальные препараты или не оказывают эффекта, или накапливаются в орга</w:t>
        <w:softHyphen/>
        <w:t>низме, ухудшая функцию почек.</w:t>
      </w:r>
    </w:p>
    <w:p>
      <w:pPr>
        <w:pStyle w:val="Style30"/>
        <w:numPr>
          <w:ilvl w:val="0"/>
          <w:numId w:val="14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Сегодня врачу в потоке лекарств, имеющих одинако - вое химическое строение, но разные «фирменные» названия, заполнивших прилавки аптек, очень труд</w:t>
        <w:softHyphen/>
        <w:t>но разобраться, какое из них лучше с точки зрения фармацевтических и технологических характеристик. Единственно правильный ответ на этот вопрос может дать такой показатель, как биодоступность. Напри</w:t>
        <w:softHyphen/>
        <w:t>мер, если биодоступность препарата 50%, значит, лишь половина его оказалась в кровотоке, а осталь</w:t>
        <w:softHyphen/>
        <w:t>ная либо не всосалась, либо разрушилась различны</w:t>
        <w:softHyphen/>
        <w:t>ми ферментами.</w:t>
      </w:r>
    </w:p>
    <w:p>
      <w:pPr>
        <w:pStyle w:val="Style30"/>
        <w:numPr>
          <w:ilvl w:val="0"/>
          <w:numId w:val="14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Существуют оригинальные лекарства, разработан</w:t>
        <w:softHyphen/>
        <w:t>ные, как правило, одной фирмой, не имеющие ана</w:t>
        <w:softHyphen/>
        <w:t>логов-копий, и воспроизведенные (так называемые дженерики), которые производятся многими фирма</w:t>
        <w:softHyphen/>
        <w:t>ми и продаются под разными названиями.</w:t>
      </w:r>
    </w:p>
    <w:p>
      <w:pPr>
        <w:pStyle w:val="Style30"/>
        <w:numPr>
          <w:ilvl w:val="0"/>
          <w:numId w:val="14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Если перед вами два воспроизведенных препарата, преимущество следует отдать лекарству с более высо</w:t>
        <w:softHyphen/>
        <w:t>кой биодоступностью. О биоэквивалентности (то есть равнозначности) двух дженериков следует гово</w:t>
        <w:softHyphen/>
        <w:t>рить, лишь когда их биодоступность равна или разли</w:t>
        <w:softHyphen/>
        <w:t>чия незначительны. В этом случае врач вправе назна-</w:t>
      </w:r>
    </w:p>
    <w:p>
      <w:pPr>
        <w:pStyle w:val="Style30"/>
        <w:widowControl w:val="0"/>
        <w:keepNext w:val="0"/>
        <w:keepLines w:val="0"/>
        <w:shd w:val="clear" w:color="auto" w:fill="auto"/>
        <w:bidi w:val="0"/>
        <w:jc w:val="left"/>
        <w:spacing w:before="0" w:after="0"/>
        <w:ind w:left="280" w:right="0" w:firstLine="240"/>
      </w:pPr>
      <w:r>
        <w:br w:type="column"/>
      </w:r>
      <w:r>
        <w:rPr>
          <w:lang w:val="ru-RU" w:eastAsia="ru-RU" w:bidi="ru-RU"/>
          <w:w w:val="100"/>
          <w:spacing w:val="0"/>
          <w:color w:val="000000"/>
          <w:position w:val="0"/>
        </w:rPr>
        <w:t>чить любое из двух препаратов, и первостепенное значение в выборе должна играть его цена. Осложнения Гипертонический криз.</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Инсульт.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Инфаркт миокарда.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Амбулаторное наблюдение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Детей с артериальной гипертензией рекомендуется на</w:t>
        <w:softHyphen/>
        <w:t>правлять к детскому кардиологу. В дальнейшем при норма</w:t>
        <w:softHyphen/>
        <w:t>лизации АД пациент может находиться под наблюдением педиатра.</w:t>
      </w:r>
    </w:p>
    <w:p>
      <w:pPr>
        <w:pStyle w:val="Style30"/>
        <w:numPr>
          <w:ilvl w:val="0"/>
          <w:numId w:val="149"/>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Необходимо динамическое наблюдение за ребенком с АГ, особенно на стадии начальной терапии.</w:t>
      </w:r>
    </w:p>
    <w:p>
      <w:pPr>
        <w:pStyle w:val="Style30"/>
        <w:numPr>
          <w:ilvl w:val="0"/>
          <w:numId w:val="149"/>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Частота посещений зависит от ряда факторов, вклю</w:t>
        <w:softHyphen/>
        <w:t>чая:</w:t>
      </w:r>
    </w:p>
    <w:p>
      <w:pPr>
        <w:pStyle w:val="Style30"/>
        <w:numPr>
          <w:ilvl w:val="0"/>
          <w:numId w:val="151"/>
        </w:numPr>
        <w:tabs>
          <w:tab w:leader="none" w:pos="758"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степень контроля;</w:t>
      </w:r>
    </w:p>
    <w:p>
      <w:pPr>
        <w:pStyle w:val="Style30"/>
        <w:numPr>
          <w:ilvl w:val="0"/>
          <w:numId w:val="151"/>
        </w:numPr>
        <w:tabs>
          <w:tab w:leader="none" w:pos="758"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степень понимания тяжести болезни и необходи</w:t>
        <w:softHyphen/>
        <w:t>мости лечения родителями и ребенком;</w:t>
      </w:r>
    </w:p>
    <w:p>
      <w:pPr>
        <w:pStyle w:val="Style30"/>
        <w:numPr>
          <w:ilvl w:val="0"/>
          <w:numId w:val="151"/>
        </w:numPr>
        <w:tabs>
          <w:tab w:leader="none" w:pos="758"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приверженность немедикаментозной и лекар</w:t>
        <w:softHyphen/>
        <w:t>ственной терапии;</w:t>
      </w:r>
    </w:p>
    <w:p>
      <w:pPr>
        <w:pStyle w:val="Style30"/>
        <w:numPr>
          <w:ilvl w:val="0"/>
          <w:numId w:val="151"/>
        </w:numPr>
        <w:tabs>
          <w:tab w:leader="none" w:pos="758"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способность самоконтроля АД;</w:t>
      </w:r>
    </w:p>
    <w:p>
      <w:pPr>
        <w:pStyle w:val="Style30"/>
        <w:numPr>
          <w:ilvl w:val="0"/>
          <w:numId w:val="151"/>
        </w:numPr>
        <w:tabs>
          <w:tab w:leader="none" w:pos="758"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вероятность развития побочных эффектов лече</w:t>
        <w:softHyphen/>
        <w:t>ния;</w:t>
      </w:r>
    </w:p>
    <w:p>
      <w:pPr>
        <w:pStyle w:val="Style30"/>
        <w:numPr>
          <w:ilvl w:val="0"/>
          <w:numId w:val="151"/>
        </w:numPr>
        <w:tabs>
          <w:tab w:leader="none" w:pos="758" w:val="left"/>
        </w:tabs>
        <w:widowControl w:val="0"/>
        <w:keepNext w:val="0"/>
        <w:keepLines w:val="0"/>
        <w:shd w:val="clear" w:color="auto" w:fill="auto"/>
        <w:bidi w:val="0"/>
        <w:jc w:val="left"/>
        <w:spacing w:before="0" w:after="417"/>
        <w:ind w:left="740" w:right="0" w:hanging="220"/>
      </w:pPr>
      <w:r>
        <w:rPr>
          <w:lang w:val="ru-RU" w:eastAsia="ru-RU" w:bidi="ru-RU"/>
          <w:w w:val="100"/>
          <w:spacing w:val="0"/>
          <w:color w:val="000000"/>
          <w:position w:val="0"/>
        </w:rPr>
        <w:t>необходимость контроля осложнений артериаль</w:t>
        <w:softHyphen/>
        <w:t>ной гипертензии.</w:t>
      </w:r>
    </w:p>
    <w:p>
      <w:pPr>
        <w:pStyle w:val="Style28"/>
        <w:widowControl w:val="0"/>
        <w:keepNext/>
        <w:keepLines/>
        <w:shd w:val="clear" w:color="auto" w:fill="auto"/>
        <w:bidi w:val="0"/>
        <w:jc w:val="left"/>
        <w:spacing w:before="0" w:after="157" w:line="220" w:lineRule="exact"/>
        <w:ind w:left="0" w:right="0" w:firstLine="0"/>
      </w:pPr>
      <w:bookmarkStart w:id="742" w:name="bookmark742"/>
      <w:r>
        <w:rPr>
          <w:lang w:val="ru-RU" w:eastAsia="ru-RU" w:bidi="ru-RU"/>
          <w:w w:val="100"/>
          <w:spacing w:val="0"/>
          <w:color w:val="000000"/>
          <w:position w:val="0"/>
        </w:rPr>
        <w:t>Вторичная артериальная гипертензия</w:t>
      </w:r>
      <w:bookmarkEnd w:id="74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Вторичная артериальная гипертензия (АГ) является симптомом многих заболеваний, часто усугубляет их тече</w:t>
        <w:softHyphen/>
        <w:t>ние, формируя сложную кардиоваскулярную и церебровас</w:t>
        <w:softHyphen/>
        <w:t>кулярную патологию. Встречается у детей всех возрастных групп, но истинные сведения о распространенности симп</w:t>
        <w:softHyphen/>
        <w:t>томатической АГ отсутствуют.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Классификация вторичной артериальной гипертензии у де</w:t>
        <w:softHyphen/>
        <w:t>тей (Бережной с соавт., 2000)</w:t>
      </w:r>
    </w:p>
    <w:p>
      <w:pPr>
        <w:pStyle w:val="Style30"/>
        <w:numPr>
          <w:ilvl w:val="0"/>
          <w:numId w:val="153"/>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Артериальная гипертензия нефрогенного происхожде</w:t>
        <w:softHyphen/>
        <w:t>ния:</w:t>
      </w:r>
    </w:p>
    <w:p>
      <w:pPr>
        <w:pStyle w:val="Style107"/>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 Ренопаренхиматозная гипертензия:</w:t>
      </w:r>
    </w:p>
    <w:p>
      <w:pPr>
        <w:pStyle w:val="Style30"/>
        <w:numPr>
          <w:ilvl w:val="0"/>
          <w:numId w:val="14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Острый гломерулонефрит.</w:t>
      </w:r>
    </w:p>
    <w:p>
      <w:pPr>
        <w:pStyle w:val="Style30"/>
        <w:numPr>
          <w:ilvl w:val="0"/>
          <w:numId w:val="14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Подострый злокачественный гломерулонефрит.</w:t>
      </w:r>
    </w:p>
    <w:p>
      <w:pPr>
        <w:pStyle w:val="Style30"/>
        <w:numPr>
          <w:ilvl w:val="0"/>
          <w:numId w:val="14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Хронический гломерулонефрит.</w:t>
      </w:r>
    </w:p>
    <w:p>
      <w:pPr>
        <w:pStyle w:val="Style30"/>
        <w:numPr>
          <w:ilvl w:val="0"/>
          <w:numId w:val="14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Интерстициальный нефрит.</w:t>
      </w:r>
    </w:p>
    <w:p>
      <w:pPr>
        <w:pStyle w:val="Style30"/>
        <w:numPr>
          <w:ilvl w:val="0"/>
          <w:numId w:val="14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Туберкулез почек.</w:t>
      </w:r>
    </w:p>
    <w:p>
      <w:pPr>
        <w:pStyle w:val="Style30"/>
        <w:numPr>
          <w:ilvl w:val="0"/>
          <w:numId w:val="14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Хронический пиелонефрит.</w:t>
      </w:r>
    </w:p>
    <w:p>
      <w:pPr>
        <w:pStyle w:val="Style30"/>
        <w:numPr>
          <w:ilvl w:val="0"/>
          <w:numId w:val="149"/>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Обструктивные уропатии (гидронефроз, мегауретер, мочекаменная болезнь).</w:t>
      </w:r>
    </w:p>
    <w:p>
      <w:pPr>
        <w:pStyle w:val="Style30"/>
        <w:numPr>
          <w:ilvl w:val="0"/>
          <w:numId w:val="149"/>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Пузырно-мочеточниково-лоханочный рефлюкс, ос</w:t>
        <w:softHyphen/>
        <w:t>ложненный рефлюкс-нефропатией.</w:t>
      </w:r>
    </w:p>
    <w:p>
      <w:pPr>
        <w:pStyle w:val="Style30"/>
        <w:numPr>
          <w:ilvl w:val="0"/>
          <w:numId w:val="149"/>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Острая почечная недостаточность (ОПН), хроничес</w:t>
        <w:softHyphen/>
        <w:t>кая почечная недостаточность (ХПН).</w:t>
      </w:r>
    </w:p>
    <w:p>
      <w:pPr>
        <w:pStyle w:val="Style30"/>
        <w:numPr>
          <w:ilvl w:val="0"/>
          <w:numId w:val="149"/>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Врожденные аномалии почек (аплазия, гипопласти</w:t>
        <w:softHyphen/>
        <w:t>ческая дисплазия, эктопия).</w:t>
      </w:r>
    </w:p>
    <w:p>
      <w:pPr>
        <w:pStyle w:val="Style30"/>
        <w:numPr>
          <w:ilvl w:val="0"/>
          <w:numId w:val="14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Поражение почек при системных заболеваниях соеди</w:t>
        <w:softHyphen/>
        <w:t>нительной и костно-мышечной ткани (системная крас</w:t>
        <w:softHyphen/>
        <w:t>ная волчанка, дерматомиозит, ревматоидный артрит).</w:t>
      </w:r>
    </w:p>
    <w:p>
      <w:pPr>
        <w:pStyle w:val="Style30"/>
        <w:numPr>
          <w:ilvl w:val="0"/>
          <w:numId w:val="14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Опухоли почек (опухоль Вильмса, плазмоцитома, ан</w:t>
        <w:softHyphen/>
        <w:t>гиосаркома), ретикулосаркома забрюшинных лим</w:t>
        <w:softHyphen/>
        <w:t>фоузлов с прорастанием в почку.</w:t>
      </w:r>
    </w:p>
    <w:p>
      <w:pPr>
        <w:pStyle w:val="Style30"/>
        <w:numPr>
          <w:ilvl w:val="0"/>
          <w:numId w:val="149"/>
        </w:numPr>
        <w:tabs>
          <w:tab w:leader="none" w:pos="513" w:val="left"/>
        </w:tabs>
        <w:widowControl w:val="0"/>
        <w:keepNext w:val="0"/>
        <w:keepLines w:val="0"/>
        <w:shd w:val="clear" w:color="auto" w:fill="auto"/>
        <w:bidi w:val="0"/>
        <w:jc w:val="left"/>
        <w:spacing w:before="0" w:after="0"/>
        <w:ind w:left="520" w:right="0" w:hanging="240"/>
      </w:pPr>
      <w:r>
        <w:pict>
          <v:shape id="_x0000_s1725" type="#_x0000_t75" style="position:absolute;margin-left:141.7pt;margin-top:736.8pt;width:209.75pt;height:14.9pt;z-index:-125828893;mso-wrap-distance-left:135.35pt;mso-wrap-distance-right:136.8pt;mso-wrap-distance-bottom:10.8pt;mso-position-horizontal-relative:margin;mso-position-vertical-relative:margin" wrapcoords="0 0 21600 0 21600 21600 0 21600 0 0">
            <v:imagedata r:id="rId1145" r:href="rId1146"/>
            <w10:wrap type="topAndBottom" anchorx="margin" anchory="margin"/>
          </v:shape>
        </w:pict>
      </w:r>
      <w:r>
        <w:rPr>
          <w:lang w:val="ru-RU" w:eastAsia="ru-RU" w:bidi="ru-RU"/>
          <w:w w:val="100"/>
          <w:spacing w:val="0"/>
          <w:color w:val="000000"/>
          <w:position w:val="0"/>
        </w:rPr>
        <w:t>Травма почки с образованием периренальной гема</w:t>
        <w:softHyphen/>
        <w:t>томы.</w:t>
      </w:r>
      <w:r>
        <w:br w:type="page"/>
      </w:r>
    </w:p>
    <w:p>
      <w:pPr>
        <w:pStyle w:val="Style107"/>
        <w:widowControl w:val="0"/>
        <w:keepNext w:val="0"/>
        <w:keepLines w:val="0"/>
        <w:shd w:val="clear" w:color="auto" w:fill="auto"/>
        <w:bidi w:val="0"/>
        <w:spacing w:before="0" w:after="0"/>
        <w:ind w:left="0" w:right="0"/>
      </w:pPr>
      <w:r>
        <w:rPr>
          <w:lang w:val="ru-RU" w:eastAsia="ru-RU" w:bidi="ru-RU"/>
          <w:w w:val="100"/>
          <w:spacing w:val="0"/>
          <w:color w:val="000000"/>
          <w:position w:val="0"/>
        </w:rPr>
        <w:t>Б. Реноваскулярная гипертензия:</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Сужение почечной артерии и ее больших ветвей (фи</w:t>
        <w:softHyphen/>
        <w:t>бромышечная дисплазия, тромбоз, болезнь Рек- линхгаузена, неспецифический аортоартериит (бо</w:t>
        <w:softHyphen/>
        <w:t>лезнь Такаясу).</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Стеноз мелких почечных артерий (аневризмы, сег</w:t>
        <w:softHyphen/>
        <w:t>ментарная гипоплазия, гемолитико-уремический синдром).</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Тромбоз почечных вен.</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Аномалии количества, длины и расположения почеч</w:t>
        <w:softHyphen/>
        <w:t>ных сосудов.</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Экстравазальные сдавления почечных сосудов.</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Смешанная (сосудисто -паренхиматозная) гипертензия.</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Системные васкулиты с поражением почек (узелко</w:t>
        <w:softHyphen/>
        <w:t>вый полиартериит, грануломатоз Вегенера, синдром Кавасаки, синдром Гудпасчера, пурпура Шенлей- на-Геноха).</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Поликистозная болезнь.</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Нефроптоз (врожденный и посттравматический).</w:t>
      </w:r>
    </w:p>
    <w:p>
      <w:pPr>
        <w:pStyle w:val="Style30"/>
        <w:numPr>
          <w:ilvl w:val="0"/>
          <w:numId w:val="155"/>
        </w:numPr>
        <w:tabs>
          <w:tab w:leader="none" w:pos="53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Артериальная гипертензия, обусловленная болезнями сердца и крупных сосудов (кардиоваскулярная и гемодинами</w:t>
        <w:softHyphen/>
        <w:t>ческая):</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Коарктация аорты.</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Недостаточность аортальных клапанов.</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Полная атриовентрикулярная блокада.</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Длительно существующий дефект межпредсердной перегородки.</w:t>
      </w:r>
    </w:p>
    <w:p>
      <w:pPr>
        <w:pStyle w:val="Style30"/>
        <w:numPr>
          <w:ilvl w:val="0"/>
          <w:numId w:val="155"/>
        </w:numPr>
        <w:tabs>
          <w:tab w:leader="none" w:pos="54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Артериальная гипертензия, связанная с заболеваниями эндокринной системы:</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Болезнь Иценко-Кушинга.</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Первичный гиперальдостеронизм (болезнь Конна).</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Кортикостерома (синдром Кушинга).</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Феохромоцитома, феохромобластома.</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Хромаффинные опухоли, расположенные вне надпо - чечников.</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Гипертиреоз.</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Сахарный диабет (мембранозная нефропатия, диабе</w:t>
        <w:softHyphen/>
        <w:t>тический гломерулосклероз).</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Адреногенитальный синдром, гипертоническая фор</w:t>
        <w:softHyphen/>
        <w:t>ма.</w:t>
      </w:r>
    </w:p>
    <w:p>
      <w:pPr>
        <w:pStyle w:val="Style30"/>
        <w:numPr>
          <w:ilvl w:val="0"/>
          <w:numId w:val="155"/>
        </w:numPr>
        <w:tabs>
          <w:tab w:leader="none" w:pos="54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Артериальная гипертензия, связанная с заболеваниями центральной нервной системы:</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Опухоли мозга.</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Травмы мозга.</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Полиомиелит, бульбарная форма.</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Энцефалит с поражением межуточного мозга.</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Диэнцефальный гипертензивный синдром Пейдиса.</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Гормональный криз пубертатного периода (юношес</w:t>
        <w:softHyphen/>
        <w:t>кая гипертензия).</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Психоэмоциональный стресс.</w:t>
      </w:r>
    </w:p>
    <w:p>
      <w:pPr>
        <w:pStyle w:val="Style30"/>
        <w:numPr>
          <w:ilvl w:val="0"/>
          <w:numId w:val="155"/>
        </w:numPr>
        <w:tabs>
          <w:tab w:leader="none" w:pos="54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Артериальная гипертензия, обусловленная метаболичес</w:t>
        <w:softHyphen/>
        <w:t>кими нарушениями:</w:t>
      </w:r>
    </w:p>
    <w:p>
      <w:pPr>
        <w:pStyle w:val="Style30"/>
        <w:numPr>
          <w:ilvl w:val="0"/>
          <w:numId w:val="149"/>
        </w:numPr>
        <w:tabs>
          <w:tab w:leader="none" w:pos="50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Печеночные порфирии (острая перемежающая пор- фирия, наследственная копропорфирия).</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Гиперкальциемия.</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Семейная гиперхолестеринемия.</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Гипернатриемия.</w:t>
      </w:r>
    </w:p>
    <w:p>
      <w:pPr>
        <w:pStyle w:val="Style30"/>
        <w:numPr>
          <w:ilvl w:val="0"/>
          <w:numId w:val="155"/>
        </w:numPr>
        <w:tabs>
          <w:tab w:leader="none" w:pos="54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Артериальная гипертензия, обусловленная редко встре</w:t>
        <w:softHyphen/>
        <w:t>чающимися заболеваниями и синдромами:</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Гийена-Барре.</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Гассера.</w:t>
      </w:r>
    </w:p>
    <w:p>
      <w:pPr>
        <w:pStyle w:val="Style30"/>
        <w:numPr>
          <w:ilvl w:val="0"/>
          <w:numId w:val="149"/>
        </w:numPr>
        <w:tabs>
          <w:tab w:leader="none" w:pos="50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Машковица.</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Синдром Лиддла (псевдоальдостеронизм).</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Синдром Пиквика.</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Синдром Барре-Массона.</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Синдром Гренблад-Страндберга (эластическая псев- доксантома).</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Синдром Сейп-Лоуренса.</w:t>
      </w:r>
    </w:p>
    <w:p>
      <w:pPr>
        <w:pStyle w:val="Style30"/>
        <w:numPr>
          <w:ilvl w:val="0"/>
          <w:numId w:val="155"/>
        </w:numPr>
        <w:tabs>
          <w:tab w:leader="none" w:pos="513" w:val="left"/>
        </w:tabs>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Медикаментозная артериальная гипертензия, связанная с приемом:</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Глюкокортикостероидов в высоких дозах (экзоген</w:t>
        <w:softHyphen/>
        <w:t>ный гиперкортицизм).</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Эритропоэтина.</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Циклоспорина А (сандиммун-неорал).</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Витамина </w:t>
      </w:r>
      <w:r>
        <w:rPr>
          <w:lang w:val="en-US" w:eastAsia="en-US" w:bidi="en-US"/>
          <w:w w:val="100"/>
          <w:spacing w:val="0"/>
          <w:color w:val="000000"/>
          <w:position w:val="0"/>
        </w:rPr>
        <w:t xml:space="preserve">D </w:t>
      </w:r>
      <w:r>
        <w:rPr>
          <w:lang w:val="ru-RU" w:eastAsia="ru-RU" w:bidi="ru-RU"/>
          <w:w w:val="100"/>
          <w:spacing w:val="0"/>
          <w:color w:val="000000"/>
          <w:position w:val="0"/>
        </w:rPr>
        <w:t>с передозировкой и развитием пиелоне</w:t>
        <w:softHyphen/>
        <w:t>фрита.</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Нестероидных противовоспалительных препаратов (мовалис).</w:t>
      </w:r>
    </w:p>
    <w:p>
      <w:pPr>
        <w:pStyle w:val="Style30"/>
        <w:numPr>
          <w:ilvl w:val="0"/>
          <w:numId w:val="155"/>
        </w:numPr>
        <w:tabs>
          <w:tab w:leader="none" w:pos="54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Артериальная гипертензия, обусловленная отравлением:</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Бытовыми нейротоксическими фосфорорганически</w:t>
        <w:softHyphen/>
        <w:t>ми соединениями (хлорофос, карбофос, фосфамид идр.).</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Нейро- и психотропными неорганическими соедине</w:t>
        <w:softHyphen/>
        <w:t>ниями свинца (тетраэтилсвинец, оксид свинца и др.), водорастворимыми солями бария.</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Парами ртути с развитием некротического нефроза.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Артериальная гипертензия нефрогенного происхождения</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Нефрогенные АГ составляют 70% от общего числа случаев симптоматических гипертензий и могут вы</w:t>
        <w:softHyphen/>
        <w:t>являться в дебюте почечного заболевания, его даль</w:t>
        <w:softHyphen/>
        <w:t>нейшем течении или в финале (Игнатова М.С., Вель- тищев Ю.Е., 1989). Поэтому диагностический поиск при АГ всегда должен быть направлен в первую оче</w:t>
        <w:softHyphen/>
        <w:t>редь на исключение заболеваний почек и мочевыво</w:t>
        <w:softHyphen/>
        <w:t>дящих путей.</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Паренхиматозное поражение почек — причина АГ при остром, подостром злокачественном и хроничес</w:t>
        <w:softHyphen/>
        <w:t>ком гломерулонефрите, при интерстициальном не</w:t>
        <w:softHyphen/>
        <w:t>фрите и туберкулезе почек.</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остром постстрептококковом гломерулонефрите АГ, диагностируемая более чем у 50% детей, обуслов</w:t>
        <w:softHyphen/>
        <w:t>лена активацией ренин-ангиотензин-альдостероно- вой системы (РААС) и носит обратимый характер. Быстро прогрессирующий гломерулонефрит (подост</w:t>
        <w:softHyphen/>
        <w:t>рый злокачественный) обусловливает высокую, стой</w:t>
        <w:softHyphen/>
        <w:t>кую, резистентную к адекватной терапии АГ.</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Большинство клинико-морфологических вариантов хронического гломерулонефрита (мембранозно-про</w:t>
        <w:softHyphen/>
        <w:t>лиферативный, фокально-сегментарный) проявляет</w:t>
        <w:softHyphen/>
        <w:t>ся нефротическим синдромом, гематурией и АГ (у 30-60% детей). Синдром АГ преимущественно ста</w:t>
        <w:softHyphen/>
        <w:t>бильный и способствует трансформации в ХПН. Ре</w:t>
        <w:softHyphen/>
        <w:t>же АГ диагностируют при мембранозном варианте хронического гломерулонефрита (у 10-15% детей).</w:t>
      </w:r>
    </w:p>
    <w:p>
      <w:pPr>
        <w:pStyle w:val="Style30"/>
        <w:numPr>
          <w:ilvl w:val="0"/>
          <w:numId w:val="149"/>
        </w:numPr>
        <w:tabs>
          <w:tab w:leader="none" w:pos="513" w:val="left"/>
        </w:tabs>
        <w:widowControl w:val="0"/>
        <w:keepNext w:val="0"/>
        <w:keepLines w:val="0"/>
        <w:shd w:val="clear" w:color="auto" w:fill="auto"/>
        <w:bidi w:val="0"/>
        <w:spacing w:before="0" w:after="0"/>
        <w:ind w:left="500" w:right="0" w:hanging="220"/>
      </w:pPr>
      <w:r>
        <w:pict>
          <v:shape id="_x0000_s1726" type="#_x0000_t75" style="position:absolute;margin-left:136.7pt;margin-top:736.8pt;width:209.75pt;height:14.9pt;z-index:-125828892;mso-wrap-distance-left:136.55pt;mso-wrap-distance-right:148.1pt;mso-wrap-distance-bottom:10.8pt;mso-position-horizontal-relative:margin;mso-position-vertical-relative:margin" wrapcoords="0 0 21600 0 21600 21600 0 21600 0 0">
            <v:imagedata r:id="rId1147" r:href="rId1148"/>
            <w10:wrap type="topAndBottom" anchorx="margin" anchory="margin"/>
          </v:shape>
        </w:pict>
      </w:r>
      <w:r>
        <w:rPr>
          <w:lang w:val="ru-RU" w:eastAsia="ru-RU" w:bidi="ru-RU"/>
          <w:w w:val="100"/>
          <w:spacing w:val="0"/>
          <w:color w:val="000000"/>
          <w:position w:val="0"/>
        </w:rPr>
        <w:t>В механизме развития АГ при ХПН ведущую роль иг</w:t>
        <w:softHyphen/>
        <w:t>рает дискоординация гормональных систем, участву</w:t>
        <w:softHyphen/>
        <w:t>ющих в регуляции артериального давления (АД) и водно-электролитного баланса, — активация РААС, гиперпродукция альдостерона с повышением чув</w:t>
        <w:softHyphen/>
        <w:t>ствительности надпочечников к стимулирующему эффекту ангиотензина II и снижение синтеза про- стагландина Е2, что значительно уменьшает экскре</w:t>
        <w:softHyphen/>
        <w:t>цию натрия и способствует накоплению его внутри клеток.</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 ряде случаев АГ возникает у детей с хроническим первичным пиелонефритом и почти в половине слу</w:t>
        <w:softHyphen/>
        <w:t>чаев — вторичным на фоне пузырно-мочеточнико</w:t>
        <w:softHyphen/>
        <w:t>во-лоханочного рефлюкса, рефлюкс-нефропатии, аномалий развития мочевой системы, причем неред</w:t>
        <w:softHyphen/>
        <w:t>ко отмечается у детей раннего возраста даже при от</w:t>
        <w:softHyphen/>
        <w:t>сутствии нарушения фильтрационной функции по</w:t>
        <w:softHyphen/>
        <w:t>чек. Хронический пиелонефрит на фоне аномалий почек и мочевых путей часто протекает и в течение длительного времени проявляется только АГ. Основ</w:t>
        <w:softHyphen/>
        <w:t>ными причинами развития АГ являются дистрофиче</w:t>
        <w:softHyphen/>
        <w:t>ские и некротические изменения в интерстициаль</w:t>
        <w:softHyphen/>
        <w:t>ных клетках мозгового вещества, нефроцитах каналь</w:t>
        <w:softHyphen/>
        <w:t>цев и собирательных трубках, воспалительный отек, склероз, угнетение активности простагландиновой и калликреин-кининовой системы почек, активация симпатического отдела нервной системы.</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Стойкое повышение АД нередко отмечается при раз</w:t>
        <w:softHyphen/>
        <w:t>личных вариантах почечной дисплазии и гипопла</w:t>
        <w:softHyphen/>
        <w:t>зии, гидронефрозе, простой кисте почки, интерсти</w:t>
        <w:softHyphen/>
        <w:t>циальном нефрите.</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АГ при ХПН может приобретать злокачественный ха</w:t>
        <w:softHyphen/>
        <w:t>рактер и быть причиной летального исхода. Следует также помнить еще об одной причине — травме поч</w:t>
        <w:softHyphen/>
        <w:t>ки, в результате которой формируется инкапсулиро</w:t>
        <w:softHyphen/>
        <w:t>ванный фиброз почки, что приводит к развитию АГ, порой злокачественного характера.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Диагностика паренхиматозной АГ не представляет особых трудностей. При наличии ренальных и экс</w:t>
        <w:softHyphen/>
        <w:t>траренальных симптомов диагностическое значение имеют систематическое измерение АД, оценка харак</w:t>
        <w:softHyphen/>
        <w:t>тера жалоб, данных анамнеза заболевания и жизни, а также наследственная предрасположенность. Веду</w:t>
        <w:softHyphen/>
        <w:t>щая роль принадлежит клинико-лабораторным и функциональным методам исследования. Следует учитывать данные экскреторной урографии, радио - нуклидной ренографии, эхографии, в случае необхо</w:t>
        <w:softHyphen/>
        <w:t>димости — проводить биопсию почки. Паренхиматозная почечная АГ наблюдается при ту</w:t>
        <w:softHyphen/>
        <w:t>беркулезной инфекции. Возможно изолированное поражение почек или ассоциация туберкулеза легких с мембранозно-пролиферативным гломерулонефри- том, характеризующимся нефротическим синдромом с гематурией и АГ. Часто АГ сопровождает вторичный амилоидоз почек. При установлении диагноза у детей с туберкулезной инфекцией и нефротическим синд</w:t>
        <w:softHyphen/>
        <w:t>ромом учитывают наличие контакта с больным ту</w:t>
        <w:softHyphen/>
        <w:t>беркулезом, сроки вакцинации и ревакцинации БЦЖ, динамику туберкулиновых проб, результаты объективного и лабораторного исследований, а также данные ультразвукового, рентгенологического, мик</w:t>
        <w:softHyphen/>
        <w:t>робиологического, иммунологического и серологи</w:t>
        <w:softHyphen/>
        <w:t>ческого методов исследования.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При системных заболеваниях соединительной ткани (системная красная волчанка, дерматомиозит) АГ но</w:t>
        <w:softHyphen/>
        <w:t>сит преимущественно ренальный характер. У боль</w:t>
        <w:softHyphen/>
        <w:t>ных с системной красной волчанкой синдром АГ воз</w:t>
        <w:softHyphen/>
        <w:t>никает часто, что обусловлено вовлечением в патоло</w:t>
        <w:softHyphen/>
        <w:t>гический процесс почек и развитием так называемой волчаночной нефропатии или волчаночного люпус</w:t>
        <w:softHyphen/>
        <w:t>нефрита, нередко определяющих прогноз заболева-</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br w:type="column"/>
      </w:r>
      <w:r>
        <w:rPr>
          <w:lang w:val="ru-RU" w:eastAsia="ru-RU" w:bidi="ru-RU"/>
          <w:w w:val="100"/>
          <w:spacing w:val="0"/>
          <w:color w:val="000000"/>
          <w:position w:val="0"/>
        </w:rPr>
        <w:t>Дерматомиозит значительно реже проявляется АГ, однако при торпидном течении и выраженности про</w:t>
        <w:softHyphen/>
        <w:t>цесса возможно развитие склерозирующего и экстра</w:t>
        <w:softHyphen/>
        <w:t>капиллярного варианта гломерулонефрита с тубуло</w:t>
        <w:softHyphen/>
        <w:t>интерстициальными изменениями и нарушением ре</w:t>
        <w:softHyphen/>
        <w:t>гуляции АД со стороны эндокринной системы почек. Существенную роль в патогенезе АГ играют также ва</w:t>
        <w:softHyphen/>
        <w:t>скулит и кальциноз.</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ревматоидном артрите АГ развивается редко и отмечается, как правило, у детей с поражением по</w:t>
        <w:softHyphen/>
        <w:t>чек по типу гломерулонефрита или амилоидоза.</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Опухоль Вильмса (нефробластома) — одна из злока</w:t>
        <w:softHyphen/>
        <w:t>чественных опухолей, которая часто сопровождается АГ. Обнаруживают преимущественно в возрасте 2 го</w:t>
        <w:softHyphen/>
        <w:t>да — 5 лет, но может встречаться в любом возрасте. Повышение АД обусловлено секретируемым опухо</w:t>
        <w:softHyphen/>
        <w:t>лью ренином с последующим повышением активно</w:t>
        <w:softHyphen/>
        <w:t>сти ангиотензина II или сдавлением почечной арте</w:t>
        <w:softHyphen/>
        <w:t>рии. Верификация диагноза основывается на пальпа</w:t>
        <w:softHyphen/>
        <w:t>ции брюшной полости (под наркозом), данных ульт</w:t>
        <w:softHyphen/>
        <w:t>развукового, рентгенологического исследований и результатов биопсии почки.</w:t>
      </w:r>
    </w:p>
    <w:p>
      <w:pPr>
        <w:pStyle w:val="Style30"/>
        <w:numPr>
          <w:ilvl w:val="0"/>
          <w:numId w:val="149"/>
        </w:numPr>
        <w:tabs>
          <w:tab w:leader="none" w:pos="498" w:val="left"/>
        </w:tabs>
        <w:widowControl w:val="0"/>
        <w:keepNext w:val="0"/>
        <w:keepLines w:val="0"/>
        <w:shd w:val="clear" w:color="auto" w:fill="auto"/>
        <w:bidi w:val="0"/>
        <w:spacing w:before="0" w:after="193"/>
        <w:ind w:left="500" w:right="0" w:hanging="240"/>
      </w:pPr>
      <w:r>
        <w:rPr>
          <w:lang w:val="ru-RU" w:eastAsia="ru-RU" w:bidi="ru-RU"/>
          <w:w w:val="100"/>
          <w:spacing w:val="0"/>
          <w:color w:val="000000"/>
          <w:position w:val="0"/>
        </w:rPr>
        <w:t>Ретикулосаркома забрюшинных лимфоузлов с про</w:t>
        <w:softHyphen/>
        <w:t>растанием в почку длительно развивается без нефро</w:t>
        <w:softHyphen/>
        <w:t>тического синдрома, но сопровождается в ряде случа</w:t>
        <w:softHyphen/>
        <w:t>ев повышением АД.</w:t>
      </w:r>
    </w:p>
    <w:p>
      <w:pPr>
        <w:pStyle w:val="Style48"/>
        <w:widowControl w:val="0"/>
        <w:keepNext/>
        <w:keepLines/>
        <w:shd w:val="clear" w:color="auto" w:fill="auto"/>
        <w:bidi w:val="0"/>
        <w:jc w:val="left"/>
        <w:spacing w:before="0" w:after="101" w:line="200" w:lineRule="exact"/>
        <w:ind w:left="0" w:right="0" w:firstLine="0"/>
      </w:pPr>
      <w:bookmarkStart w:id="743" w:name="bookmark743"/>
      <w:r>
        <w:rPr>
          <w:lang w:val="ru-RU" w:eastAsia="ru-RU" w:bidi="ru-RU"/>
          <w:w w:val="100"/>
          <w:spacing w:val="0"/>
          <w:color w:val="000000"/>
          <w:position w:val="0"/>
        </w:rPr>
        <w:t>Вазоренальная артериальная гипертензия</w:t>
      </w:r>
      <w:bookmarkEnd w:id="743"/>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Вазоренальная гипертензия (ВРГ) может быть врож</w:t>
        <w:softHyphen/>
        <w:t>денной (фибромышечная дисплазия, врожденные аневризмы, гипоплазия почек, стеноз мелких почеч</w:t>
        <w:softHyphen/>
        <w:t>ных артерий, аномалии количества, длины и распо</w:t>
        <w:softHyphen/>
        <w:t>ложения почечных сосудов) и приобретенной (неспе</w:t>
        <w:softHyphen/>
        <w:t>цифический аортоартериит Такаясу, тромбоз, эмбо</w:t>
        <w:softHyphen/>
        <w:t>лия, экстравазальные сдавления). В патогенезе ВРГ ведущую роль играет повышение активности ренин- ангиотензинной системы. К другим патогенетичес</w:t>
        <w:softHyphen/>
        <w:t xml:space="preserve">ким механизмам относятся избыточное образование простагландинов </w:t>
      </w:r>
      <w:r>
        <w:rPr>
          <w:lang w:val="en-US" w:eastAsia="en-US" w:bidi="en-US"/>
          <w:w w:val="100"/>
          <w:spacing w:val="0"/>
          <w:color w:val="000000"/>
          <w:position w:val="0"/>
        </w:rPr>
        <w:t xml:space="preserve">F </w:t>
      </w:r>
      <w:r>
        <w:rPr>
          <w:lang w:val="ru-RU" w:eastAsia="ru-RU" w:bidi="ru-RU"/>
          <w:w w:val="100"/>
          <w:spacing w:val="0"/>
          <w:color w:val="000000"/>
          <w:position w:val="0"/>
        </w:rPr>
        <w:t>1, 2 а, снижение активности кал</w:t>
        <w:softHyphen/>
        <w:t>ликреин-кининовой системы. Предположить ВРГ можно на основании стабильного характера АГ, часто злокачественного, с преимущественным повышени</w:t>
        <w:softHyphen/>
        <w:t>ем диастолического АД, резистентности к адекватной медикаментозной терапии. Имеют значение выявле</w:t>
        <w:softHyphen/>
        <w:t>ние абдоминального сосудистого шума над областью отхождения почечных артерий, отсутствие пульса на одной из лучевых артерий, асимметрия АД на конеч</w:t>
        <w:softHyphen/>
        <w:t>ностях (при болезни Такаясу).</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pict>
          <v:shape id="_x0000_s1727" type="#_x0000_t75" style="position:absolute;margin-left:136.2pt;margin-top:736.8pt;width:209.75pt;height:14.9pt;z-index:-125828891;mso-wrap-distance-left:124.1pt;mso-wrap-distance-right:136.55pt;mso-wrap-distance-bottom:10.8pt;mso-position-horizontal-relative:margin;mso-position-vertical-relative:margin" wrapcoords="0 0 21600 0 21600 21600 0 21600 0 0">
            <v:imagedata r:id="rId1149" r:href="rId1150"/>
            <w10:wrap type="topAndBottom" anchorx="margin" anchory="margin"/>
          </v:shape>
        </w:pict>
      </w:r>
      <w:r>
        <w:rPr>
          <w:lang w:val="ru-RU" w:eastAsia="ru-RU" w:bidi="ru-RU"/>
          <w:w w:val="100"/>
          <w:spacing w:val="0"/>
          <w:color w:val="000000"/>
          <w:position w:val="0"/>
        </w:rPr>
        <w:t>Ведущая роль в диагностике ВРГ принадлежит ангио - графии, которая дает более полную информацию о форме, положении почек, функциональном поло</w:t>
        <w:softHyphen/>
        <w:t>жении сосудов почек, выявляет изменения не только в почечных сосудах, но и в брюшной аорте, ее ветвях, дуге аорты, брахиальных сосудах. Для диагностики определенное значение имеют ультразвуковое иссле</w:t>
        <w:softHyphen/>
        <w:t>дование почек с цветовой допплерэхографией, ра</w:t>
        <w:softHyphen/>
        <w:t>диоизотопная ренография, динамическая сцинтигра- фия, экскреторная урография; определение уровня ренина, альдостерона и других показателей, характе</w:t>
        <w:softHyphen/>
        <w:t>ризующих эндокринную функцию почек. Необходи</w:t>
        <w:softHyphen/>
        <w:t>мо исследовать глазное дно, по показаниям — прово-</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дить биопсию почки. При неясном генезе АГ целесо</w:t>
        <w:softHyphen/>
        <w:t>образно проводить фармакологический тест — фар</w:t>
        <w:softHyphen/>
        <w:t>макологическую блокаду ренин-ангиотензинной си</w:t>
        <w:softHyphen/>
        <w:t>стемы и катехоламинов. Наиболее доступным являет</w:t>
        <w:softHyphen/>
        <w:t>ся пероральный тест с каптоприлом (Папаян А.В., Савенкова Н.Д., 1997).</w:t>
      </w:r>
    </w:p>
    <w:p>
      <w:pPr>
        <w:pStyle w:val="Style30"/>
        <w:numPr>
          <w:ilvl w:val="0"/>
          <w:numId w:val="14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Смешанная (сосудисто-паренхиматозная) почечная АГ может быть следствием поликистозной болезни, нефроптоза (врожденного, приобретенного) или сис</w:t>
        <w:softHyphen/>
        <w:t>темного васкулита.</w:t>
      </w:r>
    </w:p>
    <w:p>
      <w:pPr>
        <w:pStyle w:val="Style30"/>
        <w:numPr>
          <w:ilvl w:val="0"/>
          <w:numId w:val="14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Аутосомно-рецессивный тип поликистозной болезни может проявляться как в раннем возрасте (неонаталь</w:t>
        <w:softHyphen/>
        <w:t>ный — 60%), так и в более старшем (детский — 20% и ювенильный — 10%). Клинически характеризуется увеличением размеров почек, рецидивирующим мик</w:t>
        <w:softHyphen/>
        <w:t>робно-воспалительным поражением почек, полиури- ей, АГ, наличием кист в печени, что приводит к раз</w:t>
        <w:softHyphen/>
        <w:t>витию портальной гипертензии.</w:t>
      </w:r>
    </w:p>
    <w:p>
      <w:pPr>
        <w:pStyle w:val="Style30"/>
        <w:numPr>
          <w:ilvl w:val="0"/>
          <w:numId w:val="14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новорожденных при аутосомно-доминантной по</w:t>
        <w:softHyphen/>
        <w:t>ликистозной болезни размеры почек увеличены или уменьшены, отмечаются аномалии мочевой системы и быстро развивается ХПН с АГ. В дальнейшем диа</w:t>
        <w:softHyphen/>
        <w:t>гноз верифицируют на основании семейного анамне</w:t>
        <w:softHyphen/>
        <w:t>за, наличия кист в почках, асимптоматических кист в печени, АГ, гематурии, интракраниальных анев</w:t>
        <w:softHyphen/>
        <w:t>ризм.</w:t>
      </w:r>
    </w:p>
    <w:p>
      <w:pPr>
        <w:pStyle w:val="Style30"/>
        <w:numPr>
          <w:ilvl w:val="0"/>
          <w:numId w:val="149"/>
        </w:numPr>
        <w:tabs>
          <w:tab w:leader="none" w:pos="514" w:val="left"/>
        </w:tabs>
        <w:widowControl w:val="0"/>
        <w:keepNext w:val="0"/>
        <w:keepLines w:val="0"/>
        <w:shd w:val="clear" w:color="auto" w:fill="auto"/>
        <w:bidi w:val="0"/>
        <w:spacing w:before="0" w:after="161"/>
        <w:ind w:left="520" w:right="0" w:hanging="240"/>
      </w:pPr>
      <w:r>
        <w:rPr>
          <w:lang w:val="ru-RU" w:eastAsia="ru-RU" w:bidi="ru-RU"/>
          <w:w w:val="100"/>
          <w:spacing w:val="0"/>
          <w:color w:val="000000"/>
          <w:position w:val="0"/>
        </w:rPr>
        <w:t>Нефроптоз является причиной гипертензии у детей. При этом возникают натяжение, удлинение, сужение сосудов с нарушением кровообращения и функции эндокринной системы почек.</w:t>
      </w:r>
    </w:p>
    <w:p>
      <w:pPr>
        <w:pStyle w:val="Style48"/>
        <w:widowControl w:val="0"/>
        <w:keepNext/>
        <w:keepLines/>
        <w:shd w:val="clear" w:color="auto" w:fill="auto"/>
        <w:bidi w:val="0"/>
        <w:jc w:val="left"/>
        <w:spacing w:before="0" w:after="79" w:line="240" w:lineRule="exact"/>
        <w:ind w:left="0" w:right="0" w:firstLine="0"/>
      </w:pPr>
      <w:bookmarkStart w:id="744" w:name="bookmark744"/>
      <w:r>
        <w:rPr>
          <w:lang w:val="ru-RU" w:eastAsia="ru-RU" w:bidi="ru-RU"/>
          <w:w w:val="100"/>
          <w:spacing w:val="0"/>
          <w:color w:val="000000"/>
          <w:position w:val="0"/>
        </w:rPr>
        <w:t>Артериальная гипертензия, обусловленная патологией сердца и магистральных сосудов</w:t>
      </w:r>
      <w:bookmarkEnd w:id="74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частой причиной симптоматической АГ, обус</w:t>
        <w:softHyphen/>
        <w:t>ловленной заболеваниями сердца и сосудов, является ко- арктация аорты. С целью диагностики этой аномалии ис</w:t>
        <w:softHyphen/>
        <w:t>пользуют измерение АД на верхних и нижних конечностях (разница превышает 20 мм рт. ст.). Пальпация пульса на бе</w:t>
        <w:softHyphen/>
        <w:t>дренных артериях (его ослабление или отсутствие) и пре</w:t>
        <w:softHyphen/>
        <w:t>кардиальное «кошачье мурлыканье» информативны на 70-80%.</w:t>
      </w:r>
    </w:p>
    <w:p>
      <w:pPr>
        <w:pStyle w:val="Style30"/>
        <w:widowControl w:val="0"/>
        <w:keepNext w:val="0"/>
        <w:keepLines w:val="0"/>
        <w:shd w:val="clear" w:color="auto" w:fill="auto"/>
        <w:bidi w:val="0"/>
        <w:spacing w:before="0" w:after="161"/>
        <w:ind w:left="0" w:right="0" w:firstLine="280"/>
      </w:pPr>
      <w:r>
        <w:rPr>
          <w:lang w:val="ru-RU" w:eastAsia="ru-RU" w:bidi="ru-RU"/>
          <w:w w:val="100"/>
          <w:spacing w:val="0"/>
          <w:color w:val="000000"/>
          <w:position w:val="0"/>
        </w:rPr>
        <w:t>АГ у детей развивается при полных и длительных атрио</w:t>
        <w:softHyphen/>
        <w:t>вентрикулярных блокадах, преимущественно врожденных. Генез ее обусловлен удлинением диастолы, увеличением при</w:t>
        <w:softHyphen/>
        <w:t>тока крови к сердцу и ударного выброса при брадикардии.</w:t>
      </w:r>
    </w:p>
    <w:p>
      <w:pPr>
        <w:pStyle w:val="Style48"/>
        <w:widowControl w:val="0"/>
        <w:keepNext/>
        <w:keepLines/>
        <w:shd w:val="clear" w:color="auto" w:fill="auto"/>
        <w:bidi w:val="0"/>
        <w:jc w:val="left"/>
        <w:spacing w:before="0" w:after="79" w:line="240" w:lineRule="exact"/>
        <w:ind w:left="0" w:right="0" w:firstLine="0"/>
      </w:pPr>
      <w:bookmarkStart w:id="745" w:name="bookmark745"/>
      <w:r>
        <w:rPr>
          <w:lang w:val="ru-RU" w:eastAsia="ru-RU" w:bidi="ru-RU"/>
          <w:w w:val="100"/>
          <w:spacing w:val="0"/>
          <w:color w:val="000000"/>
          <w:position w:val="0"/>
        </w:rPr>
        <w:t>Артериальная гипертензия, связанная с заболеваниями эндокринной системы</w:t>
      </w:r>
      <w:bookmarkEnd w:id="745"/>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Наиболее частыми причинами эндокринной АГ у детей являются опухоли, способные продуцировать катехолами</w:t>
        <w:softHyphen/>
        <w:t>ны (феохромоцитома, феохромобластома), а также наруше</w:t>
        <w:softHyphen/>
        <w:t>ния минералокортикоидной функции с повышением глю</w:t>
        <w:softHyphen/>
        <w:t>кокортикоидной активности надпочечников (Жуков</w:t>
        <w:softHyphen/>
        <w:t>ский М.А., 1995).</w:t>
      </w:r>
    </w:p>
    <w:p>
      <w:pPr>
        <w:pStyle w:val="Style54"/>
        <w:widowControl w:val="0"/>
        <w:keepNext/>
        <w:keepLines/>
        <w:shd w:val="clear" w:color="auto" w:fill="auto"/>
        <w:bidi w:val="0"/>
        <w:jc w:val="left"/>
        <w:spacing w:before="0" w:after="0" w:line="210" w:lineRule="exact"/>
        <w:ind w:left="0" w:right="0" w:firstLine="0"/>
      </w:pPr>
      <w:bookmarkStart w:id="746" w:name="bookmark746"/>
      <w:r>
        <w:rPr>
          <w:lang w:val="ru-RU" w:eastAsia="ru-RU" w:bidi="ru-RU"/>
          <w:w w:val="100"/>
          <w:spacing w:val="0"/>
          <w:color w:val="000000"/>
          <w:position w:val="0"/>
        </w:rPr>
        <w:t>Феохромоцитома</w:t>
      </w:r>
      <w:bookmarkEnd w:id="74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Термин «феохромоцитома» предложил в 1912 г. </w:t>
      </w:r>
      <w:r>
        <w:rPr>
          <w:lang w:val="en-US" w:eastAsia="en-US" w:bidi="en-US"/>
          <w:w w:val="100"/>
          <w:spacing w:val="0"/>
          <w:color w:val="000000"/>
          <w:position w:val="0"/>
        </w:rPr>
        <w:t xml:space="preserve">Pick </w:t>
      </w:r>
      <w:r>
        <w:rPr>
          <w:lang w:val="ru-RU" w:eastAsia="ru-RU" w:bidi="ru-RU"/>
          <w:w w:val="100"/>
          <w:spacing w:val="0"/>
          <w:color w:val="000000"/>
          <w:position w:val="0"/>
        </w:rPr>
        <w:t>для обозначения опухолей, клетки которых окрашивались со</w:t>
        <w:softHyphen/>
        <w:t xml:space="preserve">лями хрома в темный цвет </w:t>
      </w:r>
      <w:r>
        <w:rPr>
          <w:lang w:val="en-US" w:eastAsia="en-US" w:bidi="en-US"/>
          <w:w w:val="100"/>
          <w:spacing w:val="0"/>
          <w:color w:val="000000"/>
          <w:position w:val="0"/>
        </w:rPr>
        <w:t xml:space="preserve">(Phalos </w:t>
      </w:r>
      <w:r>
        <w:rPr>
          <w:lang w:val="ru-RU" w:eastAsia="ru-RU" w:bidi="ru-RU"/>
          <w:w w:val="100"/>
          <w:spacing w:val="0"/>
          <w:color w:val="000000"/>
          <w:position w:val="0"/>
        </w:rPr>
        <w:t xml:space="preserve">— темный, </w:t>
      </w:r>
      <w:r>
        <w:rPr>
          <w:lang w:val="en-US" w:eastAsia="en-US" w:bidi="en-US"/>
          <w:w w:val="100"/>
          <w:spacing w:val="0"/>
          <w:color w:val="000000"/>
          <w:position w:val="0"/>
        </w:rPr>
        <w:t xml:space="preserve">Chroma </w:t>
      </w:r>
      <w:r>
        <w:rPr>
          <w:lang w:val="ru-RU" w:eastAsia="ru-RU" w:bidi="ru-RU"/>
          <w:w w:val="100"/>
          <w:spacing w:val="0"/>
          <w:color w:val="000000"/>
          <w:position w:val="0"/>
        </w:rPr>
        <w:t xml:space="preserve">— цвет, </w:t>
      </w:r>
      <w:r>
        <w:rPr>
          <w:lang w:val="en-US" w:eastAsia="en-US" w:bidi="en-US"/>
          <w:w w:val="100"/>
          <w:spacing w:val="0"/>
          <w:color w:val="000000"/>
          <w:position w:val="0"/>
        </w:rPr>
        <w:t xml:space="preserve">Kytos </w:t>
      </w:r>
      <w:r>
        <w:rPr>
          <w:lang w:val="ru-RU" w:eastAsia="ru-RU" w:bidi="ru-RU"/>
          <w:w w:val="100"/>
          <w:spacing w:val="0"/>
          <w:color w:val="000000"/>
          <w:position w:val="0"/>
        </w:rPr>
        <w:t xml:space="preserve">— полость, </w:t>
      </w:r>
      <w:r>
        <w:rPr>
          <w:lang w:val="en-US" w:eastAsia="en-US" w:bidi="en-US"/>
          <w:w w:val="100"/>
          <w:spacing w:val="0"/>
          <w:color w:val="000000"/>
          <w:position w:val="0"/>
        </w:rPr>
        <w:t xml:space="preserve">Oma </w:t>
      </w:r>
      <w:r>
        <w:rPr>
          <w:lang w:val="ru-RU" w:eastAsia="ru-RU" w:bidi="ru-RU"/>
          <w:w w:val="100"/>
          <w:spacing w:val="0"/>
          <w:color w:val="000000"/>
          <w:position w:val="0"/>
        </w:rPr>
        <w:t>— опухоль). Эти опухоли могут</w:t>
        <w:br w:type="column"/>
        <w:t>исходить из клеток мозгового слоя надпочечников и вне</w:t>
        <w:softHyphen/>
        <w:t>надпочечниковой хромаффинной ткани. Главным свой</w:t>
        <w:softHyphen/>
        <w:t>ством таких опухолей является их способность вырабаты</w:t>
        <w:softHyphen/>
        <w:t>вать избыточное количество катехоламинов.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Согласно международной классификации болезней (1977 г.) феохромоцитомой называют опухоли мозгового слоя надпочечников или эктопической эндокринной тка</w:t>
        <w:softHyphen/>
        <w:t>ни, продуцирующие избыточное количество катехолами</w:t>
        <w:softHyphen/>
        <w:t>нов. Локализацию феохромоцитомы (ФХЦ) обычно указы</w:t>
        <w:softHyphen/>
        <w:t>вают отдельно (например, ФХЦ мочевого пузыря). Подчер</w:t>
        <w:softHyphen/>
        <w:t>кивая злокачественность процесса, опухоль обозначают, например, как злокачественная ФХЦ надпочечника. Иног</w:t>
        <w:softHyphen/>
        <w:t>да вненадпочечниковые опухоли обозначают как «параган</w:t>
        <w:softHyphen/>
        <w:t>глиома». Некоторые авторы (К.Н. Казеев) называют кате- холамин-продуцирующие опухоли, исходящие из мозгово</w:t>
        <w:softHyphen/>
        <w:t>го вещества надпочечников или вненадпочечниковой хро</w:t>
        <w:softHyphen/>
        <w:t>маффинной ткани, хромаффиномами, различая среди них доброкачественные (феохромоцитомы) и злокачественные (феохромобластомы).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Причина и распространенность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Этиология ФХЦ не выяснена. В отдельных случаях (10%) ФХЦ прослеживается в нескольких поколениях од</w:t>
        <w:softHyphen/>
        <w:t>ной семьи. Развитие ФХЦ возможно в любом возрасте (от 3 мес до 90 лет). Небольшое преобладание женщин в группах больных ФХЦ, возможно, связано с более частой диагнос</w:t>
        <w:softHyphen/>
        <w:t>тикой этого заболевания во время беременности.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Истинная распространенность ФХЦ не установлена. ФХЦ встречаются гораздо чаще, чем диагностируются. По данным вскрытий она составляет 0,011-0,25%. У боль</w:t>
        <w:softHyphen/>
        <w:t>ных артериальной гипертонией (АГ) ФХЦ встречается в 0,04-1,3% случаев.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Локализация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85-90% случаев ФХЦ расположена в надпочечниках (чаще в правом), в 10% случаев надпочечниковые опухоли двусторонние. Вненадпочечниковые ФХЦ чаще всего рас</w:t>
        <w:softHyphen/>
        <w:t>положены в симпатической цепочке по ходу брюшной аор</w:t>
        <w:softHyphen/>
        <w:t>ты (более 90%), затем — в органе Цуккеркандля (5%) — вто</w:t>
        <w:softHyphen/>
        <w:t>ром по величине после надпочечников коллекторе хромаф</w:t>
        <w:softHyphen/>
        <w:t>финной ткани, расположенном кпереди от брюшной аорты в области нижней мезентериальной артерии, в грудной по</w:t>
        <w:softHyphen/>
        <w:t>лости (2%), в области головы и шеи (0,1%). Множествен</w:t>
        <w:softHyphen/>
        <w:t>ные вненадпочечниковые ФХЦ значительно чаще встреча</w:t>
        <w:softHyphen/>
        <w:t>ются у детей (35-39%), чем у взрослых (7-13% случаев). Ло</w:t>
        <w:softHyphen/>
        <w:t>кализация вненадпочечниковых ФХЦ может быть самой разнообразной, часто обнаруживаемой лишь на вскрытии: в межпредсердной перегородке, почке, простате, мочевом пузыре, стенке кишечника, печени, поджелудочной железе, интраорбитально, т.е. практически во всех органах, где име</w:t>
        <w:softHyphen/>
        <w:t>ются хромаффинные клетки.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Размер ФХЦ может быть значительным — до 25-40 см в диаметре, а масса ее может достигать 3-5 кг, но в большин</w:t>
        <w:softHyphen/>
        <w:t>стве случаев она менее 70 г, а размер — 2-5 см.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Необходимо помнить о синдроме множественной эндо</w:t>
        <w:softHyphen/>
        <w:t>кринной неоплазии, включающем различные варианты со</w:t>
        <w:softHyphen/>
        <w:t>четания семейной ФХЦ с другими гормонопродуцирующи</w:t>
        <w:softHyphen/>
        <w:t>ми опухолями и пороками развития.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Сиппла включает двустороннюю надпочечни</w:t>
        <w:softHyphen/>
        <w:t>ковую ФХЦ, медуллярную карциному щитовидной железы и гиперплазию или аденому околощитовидных желез.</w:t>
      </w:r>
    </w:p>
    <w:p>
      <w:pPr>
        <w:pStyle w:val="Style30"/>
        <w:widowControl w:val="0"/>
        <w:keepNext w:val="0"/>
        <w:keepLines w:val="0"/>
        <w:shd w:val="clear" w:color="auto" w:fill="auto"/>
        <w:bidi w:val="0"/>
        <w:spacing w:before="0" w:after="0"/>
        <w:ind w:left="0" w:right="0" w:firstLine="280"/>
      </w:pPr>
      <w:r>
        <w:pict>
          <v:shape id="_x0000_s1728" type="#_x0000_t75" style="position:absolute;margin-left:136.8pt;margin-top:736.8pt;width:209.75pt;height:14.9pt;z-index:-125828890;mso-wrap-distance-left:136.8pt;mso-wrap-distance-right:148.1pt;mso-wrap-distance-bottom:10.8pt;mso-position-horizontal-relative:margin;mso-position-vertical-relative:margin" wrapcoords="0 0 21600 0 21600 21600 0 21600 0 0">
            <v:imagedata r:id="rId1151" r:href="rId1152"/>
            <w10:wrap type="topAndBottom" anchorx="margin" anchory="margin"/>
          </v:shape>
        </w:pict>
      </w:r>
      <w:r>
        <w:rPr>
          <w:lang w:val="ru-RU" w:eastAsia="ru-RU" w:bidi="ru-RU"/>
          <w:w w:val="100"/>
          <w:spacing w:val="0"/>
          <w:color w:val="000000"/>
          <w:position w:val="0"/>
        </w:rPr>
        <w:t>В 5-10% случаев ФХЦ сочетается с нейрофиброматозом и болезнью фон Гиппеля-Линдау-гемангиобластомой сетчат</w:t>
        <w:softHyphen/>
        <w:t>ки и головного мозга.</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редких случаях ФХЦ сочетается с опухолями коры надпочечника (альдостерома, узелковая гиперплазия).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Патогенез артериальной гипертонии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ФХЦ может секретировать три основных гормона — ад</w:t>
        <w:softHyphen/>
        <w:t>реналин, норадреналин и дофамин, чаще — первые два, причем преимущественно норадреналин. Реже ФХЦ секре- тирует только адреналин или только норадреналин и очень редко продуцирует дофамин. Опухоли, секретирующие ад</w:t>
        <w:softHyphen/>
        <w:t>реналин и особенно дофамин, обычно не вызывают АГ.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Иногда ФХЦ, кроме катехоламинов, секретирует серо</w:t>
        <w:softHyphen/>
        <w:t>тонин, соматостатин, АКТГ-подобное вещество, различ</w:t>
        <w:softHyphen/>
        <w:t>ные пептиды, что приводит к атипичной клинической кар</w:t>
        <w:softHyphen/>
        <w:t>тине и изменению уровня АД.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Решающее значение в возникновении АГ принадлежит характеру и типу секреции катехоламинов опухолью, для которых существенное значение имеют процессы на</w:t>
        <w:softHyphen/>
        <w:t>копления и освобождения катехоламинов в ткани опухоли, а также инактивация катехоламинов. Дополнительными факторами, влияющими на уровень АД и клиническое те</w:t>
        <w:softHyphen/>
        <w:t>чение АГ, могут быть: изменение чувствительности а- и в-адренергических рецепторов, включение ренин-ан- гиотензинной системы, нарушение регуляции АД на уров</w:t>
        <w:softHyphen/>
        <w:t>не центральной нервной системы, снижение функции деп</w:t>
        <w:softHyphen/>
        <w:t>рессорной системы.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картина ФХЦ представлена главным обра</w:t>
        <w:softHyphen/>
        <w:t>зом симптомами поражения сердечно-сосудистой системы, возникающих под влиянием катехоламинов, секретируе- мых опухолью и, как правило, развитием АГ, имеющей раз</w:t>
        <w:softHyphen/>
        <w:t>личное клиническое течение: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Кризовое — когда гипертонические кризы возникают на фоне нормального АД.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Постоянно-кризовое — когда гипертонические кризы возникают на фоне повышенного АД.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Постоянное — когда постоянно повышенное АД не со</w:t>
        <w:softHyphen/>
        <w:t>провождается гипертоническими кризами. У больных с па</w:t>
        <w:softHyphen/>
        <w:t>роксизмальной АГ развернутая клиническая картина обычно проявляется во время криза, сопровождающегося резким повышением АД. Кризы могут возникать в одно и то же время, чаще нерегулярно, причем симптомы криза и очередность их появления, как правило, одинаковы. Провоцировать развитие гипертонических кризов могут эмоциональные напряжения, механические факторы (пальпация живота, обильная еда, определенное положе</w:t>
        <w:softHyphen/>
        <w:t>ние тела), некоторые пищевые продукты, фармакологиче</w:t>
        <w:softHyphen/>
        <w:t>ские агенты, диагностические исследования, оперативные вмешательства.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Гипертонический криз проявляется сильной головной болью, ощущением сердцебиения, выраженной потливос</w:t>
        <w:softHyphen/>
        <w:t>тью, бледностью кожных покровов (очень редко — гипер</w:t>
        <w:softHyphen/>
        <w:t>емией), похолоданием конечностей, их тремором, тошно</w:t>
        <w:softHyphen/>
        <w:t>той, рвотой, болями в области сердца и в животе, ощущени</w:t>
        <w:softHyphen/>
        <w:t>ем перебоев в работе сердца, страха смерти.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 разнообразных симптомов ФХЦ (в том числе и вне кризов) чаще других наблюдаются три: головные боли, ощу</w:t>
        <w:softHyphen/>
        <w:t>щение сердцебиения и потливость. Головные боли по харак</w:t>
        <w:softHyphen/>
        <w:t>теру чаще пульсирующие, обычно локализуются в затылоч</w:t>
        <w:softHyphen/>
        <w:t>ной или лобной области, иногда бывают генерализованны</w:t>
        <w:softHyphen/>
        <w:t>ми и сопровождаются чувством сдавления. Ощущение сердцебиения может сопровождать как тахикардию, так и брадикардию. Чрезмерная потливость больше выражена в верхней половине тела.</w:t>
      </w:r>
    </w:p>
    <w:p>
      <w:pPr>
        <w:pStyle w:val="Style92"/>
        <w:widowControl w:val="0"/>
        <w:keepNext/>
        <w:keepLines/>
        <w:shd w:val="clear" w:color="auto" w:fill="auto"/>
        <w:bidi w:val="0"/>
        <w:spacing w:before="0" w:after="0"/>
        <w:ind w:left="0" w:right="0" w:firstLine="280"/>
      </w:pPr>
      <w:r>
        <w:br w:type="column"/>
      </w:r>
      <w:bookmarkStart w:id="747" w:name="bookmark747"/>
      <w:r>
        <w:rPr>
          <w:lang w:val="ru-RU" w:eastAsia="ru-RU" w:bidi="ru-RU"/>
          <w:w w:val="100"/>
          <w:spacing w:val="0"/>
          <w:color w:val="000000"/>
          <w:position w:val="0"/>
        </w:rPr>
        <w:t>Гипертонический криз</w:t>
      </w:r>
      <w:bookmarkEnd w:id="74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 время кризов у больных часто наблюдаются рас</w:t>
        <w:softHyphen/>
        <w:t>стройства зрения (вплоть до амавроза), слуха, могут повы</w:t>
        <w:softHyphen/>
        <w:t>шаться температура тела, возникать слезотечение, мидриаз, экзофтальм. Описаны случаи резкого увеличения щитовид</w:t>
        <w:softHyphen/>
        <w:t>ной железы во время криза, исчезающего после окончания криза.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 время криза возможно появление лейкоцитоза, ги</w:t>
        <w:softHyphen/>
        <w:t>пергликемии, лимфоцитоза, эозинофилии, гиперкалие- мии, гипербилирубинемии, повышения содержания в кро</w:t>
        <w:softHyphen/>
        <w:t>ви жирных кислот, а также протеинурии, глюкозурии, эри- троцитурии. Иногда повышается содержание в крови азо</w:t>
        <w:softHyphen/>
        <w:t>тистых шлаков.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 ЭКГ регистрируются различные нарушения ритма сердца и проводимости, изменения сегмента </w:t>
      </w:r>
      <w:r>
        <w:rPr>
          <w:lang w:val="en-US" w:eastAsia="en-US" w:bidi="en-US"/>
          <w:w w:val="100"/>
          <w:spacing w:val="0"/>
          <w:color w:val="000000"/>
          <w:position w:val="0"/>
        </w:rPr>
        <w:t>S</w:t>
      </w:r>
      <w:r>
        <w:rPr>
          <w:lang w:val="ru-RU" w:eastAsia="ru-RU" w:bidi="ru-RU"/>
          <w:w w:val="100"/>
          <w:spacing w:val="0"/>
          <w:color w:val="000000"/>
          <w:position w:val="0"/>
        </w:rPr>
        <w:t>-Т и зубца 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Гипертонический криз может продолжаться в течение нескольких дней, но в большинстве случаев длительность его не превышает 1 час.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 время криза или после окончания в некоторых случа</w:t>
        <w:softHyphen/>
        <w:t>ях выделяется большое количество мочи, однако это харак</w:t>
        <w:softHyphen/>
        <w:t>терно для диэнцефальных кризов.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Криз может осложниться нарушением мозгового крово</w:t>
        <w:softHyphen/>
        <w:t>обращения, инфарктом миокарда, отеком легких, гиперто</w:t>
        <w:softHyphen/>
        <w:t>нической энцефалопатией, отслойкой сетчатки, геморра</w:t>
        <w:softHyphen/>
        <w:t>гическим некрозом опухоли. Геморрагический некроз ФХЦ обычно возникает на фоне высокого АД, болей в животе, тошноты, рвоты, которые вскоре сменяются картиной шо</w:t>
        <w:softHyphen/>
        <w:t>ка. Освобождение чрезмерного количества катехоламинов из опухоли может вызывать выраженную вазоконстрикцию как общую, так и (очень редко) внутри самой опухоли, что вызывает аваскулярный некроз опухоли.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Иногда кризовые состояния у больных ФХЦ сопровожда</w:t>
        <w:softHyphen/>
        <w:t>ются гипотонией либо чередованием в течение короткого времени эпизодов резкого повышения и падения АД. Такое состояние АД у больных должно нацеливать на диагноз ФХЦ.</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Неустойчивость АД при ФХЦ часто проявляется при из - менении положения тела. Наличие ортостатической гипо</w:t>
        <w:softHyphen/>
        <w:t>тонии отмечается у 70% больных ФХЦ. Часто ортостатиче</w:t>
        <w:softHyphen/>
        <w:t>ской гипотонии сопутствует постуральная тахикардия. Эти два симптома могут быть дифференциально-диагностичес</w:t>
        <w:softHyphen/>
        <w:t>кими признаками ФХЦ.</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больных довольно часто (30% случаев) развивается синдром злокачественной АГ (АД больше 220/130 мм рт. ст., нейроретинопатия).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Длительно существующие ФХЦ приводят к развитию гипертрофии миокарда (чаще в случаях с постоянными фор</w:t>
        <w:softHyphen/>
        <w:t>мами АГ), вызывают специфический миокардит, который может осложниться застойной сердечной недостаточнос</w:t>
        <w:softHyphen/>
        <w:t>тью.</w:t>
      </w:r>
    </w:p>
    <w:p>
      <w:pPr>
        <w:pStyle w:val="Style30"/>
        <w:widowControl w:val="0"/>
        <w:keepNext w:val="0"/>
        <w:keepLines w:val="0"/>
        <w:shd w:val="clear" w:color="auto" w:fill="auto"/>
        <w:bidi w:val="0"/>
        <w:spacing w:before="0" w:after="0"/>
        <w:ind w:left="0" w:right="0" w:firstLine="280"/>
      </w:pPr>
      <w:r>
        <w:pict>
          <v:shape id="_x0000_s1729" type="#_x0000_t75" style="position:absolute;margin-left:148.1pt;margin-top:736.8pt;width:209.75pt;height:14.9pt;z-index:-125828889;mso-wrap-distance-left:148.1pt;mso-wrap-distance-right:136.8pt;mso-wrap-distance-bottom:10.8pt;mso-position-horizontal-relative:margin;mso-position-vertical-relative:margin" wrapcoords="0 0 21600 0 21600 21600 0 21600 0 0">
            <v:imagedata r:id="rId1153" r:href="rId1154"/>
            <w10:wrap type="topAndBottom" anchorx="margin" anchory="margin"/>
          </v:shape>
        </w:pict>
      </w:r>
      <w:r>
        <w:rPr>
          <w:lang w:val="ru-RU" w:eastAsia="ru-RU" w:bidi="ru-RU"/>
          <w:w w:val="100"/>
          <w:spacing w:val="0"/>
          <w:color w:val="000000"/>
          <w:position w:val="0"/>
        </w:rPr>
        <w:t>У больных ФХЦ, хотя и редко, возможно развитие ин</w:t>
        <w:softHyphen/>
        <w:t>фаркта миокарда с локализацией в правом или левом желу</w:t>
        <w:softHyphen/>
        <w:t>дочках. Обычно инфаркт миокарда возникает у больных перед удалением опухоли или непосредственно после опе</w:t>
        <w:softHyphen/>
        <w:t>рации, когда в кровоток в результате манипуляций с опухо - лью поступает большое количество катехоламинов. У боль</w:t>
        <w:softHyphen/>
        <w:t>ных с распространенным атеросклерозом известны случаи развития инфаркта миокарда через несколько месяцев пос</w:t>
        <w:softHyphen/>
        <w:t>ле удаления ФХЦ и нормализации АД, что связано, по всей вероятности, со снижением перфузии миокарда при нор</w:t>
        <w:softHyphen/>
        <w:t>мальном уровне АД. Следует помнить о возможности раз</w:t>
        <w:softHyphen/>
        <w:t>вития инфарктоподобных изменений ЭКГ при ФХЦ, осо</w:t>
        <w:softHyphen/>
        <w:t>бенно во время кризов.</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больных ФХЦ на ЭКГ регистрируются различные на</w:t>
        <w:softHyphen/>
        <w:t>рушения ритма сердца и проводимости. Наиболее часто (40% случаев) наблюдается желудочковая экстрасистолия.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больных ФХЦ поражение периферических сосудов (ар</w:t>
        <w:softHyphen/>
        <w:t>терии конечностей, кишечника) вызывает соответствую</w:t>
        <w:softHyphen/>
        <w:t>щую клиническую картину: парестезии и боли в конечнос</w:t>
        <w:softHyphen/>
        <w:t>тях, перемежающуюся хромоту и острую артериальную ок</w:t>
        <w:softHyphen/>
        <w:t>клюзию, трофические изменения кожи и гангрену конеч</w:t>
        <w:softHyphen/>
        <w:t>ностей, паралитическую кишечную непроходимость, ише</w:t>
        <w:softHyphen/>
        <w:t>мический энтероколит, инфаркты кишечника, желудоч</w:t>
        <w:softHyphen/>
        <w:t>но-кишечные кровотечения. Часто основой поражения во</w:t>
        <w:softHyphen/>
        <w:t>влеченных в процесс сосудов является их спазм. Атероскле</w:t>
        <w:softHyphen/>
        <w:t>ротическое поражение сосудов встречается примерно у 30% больных ФХЦ.</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Состояние почек при ФХЦ имеет особое значение. Боль</w:t>
        <w:softHyphen/>
        <w:t>ные ФХЦ, особенно с надпочечниковой локализацией, ча</w:t>
        <w:softHyphen/>
        <w:t>сто жалуются на тупые боли и тяжесть в поясничной облас</w:t>
        <w:softHyphen/>
        <w:t>ти, никтурию, иногда — ночное недержание мочи.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Как правило, у больных ФХЦ отмечается мочевой синд</w:t>
        <w:softHyphen/>
        <w:t>ром: у 90% больных — протеинурия в общих анализах мочи от незначительной (0,05°/оо) до выраженной (в отдельных случаях до 4,0-5,0°/оо). У 30% больных — умеренная или незначительная эритроцитурия и цилиндрурия. Наблюда</w:t>
        <w:softHyphen/>
        <w:t>ется снижение клубочковой фильтрации, изменение секре</w:t>
        <w:softHyphen/>
        <w:t>торной и экскреторной функции почек по данным радио</w:t>
        <w:softHyphen/>
        <w:t>изотопных исследований почек.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Стенозы почечных артерий при ФХЦ в большинстве слу</w:t>
        <w:softHyphen/>
        <w:t>чаев обусловлены механическим сдавлением артерии опу</w:t>
        <w:softHyphen/>
        <w:t>холью, иногда — фибромышечной дисплазией. Редко у больных ФХЦ наблюдаются транзиторные стенозы маги</w:t>
        <w:softHyphen/>
        <w:t>стральных почечных артерий вследствие их спазма.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характерным признаком поражения почечной паренхимы при ФХЦ является ишемическая атрофия ка</w:t>
        <w:softHyphen/>
        <w:t>нальцевого эпителия и гиперплазия юкстагломерулярного ап</w:t>
        <w:softHyphen/>
        <w:t>парата. Кроме того, в случаях длительной высокой АГ отме</w:t>
        <w:softHyphen/>
        <w:t>чаются изменения внутрипочечных сосудов гипертоничес</w:t>
        <w:softHyphen/>
        <w:t>кого характера различной выраженности.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ФХЦ мочевого пузыря кризы обычно возникают во время или сразу после мочеиспускания или при растяжении мочевого пузыря. Более чем у половины больных в конце мочеиспускания наблюдается гематурия, часто безболез</w:t>
        <w:softHyphen/>
        <w:t>ненная. Для ФХЦ мочевого пузыря характерны тенезмы.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 сопутствующим синдромам при ФХЦ в основном от</w:t>
        <w:softHyphen/>
        <w:t>носятся состояния при синдроме множественной эндокрин</w:t>
        <w:softHyphen/>
        <w:t>ной неоплазии. У больных ФХЦ часто отмечается холелити- аз. Иногда при ФХЦ наблюдаются большие и малые судо</w:t>
        <w:softHyphen/>
        <w:t>рожные припадки, синкопальные состояния, светобоязнь, снижение чувствительности кожи в околоротовой области, различные парестезии и боли в костях, полидипсия, гиперса</w:t>
        <w:softHyphen/>
        <w:t>ливация.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Развитие ФХЦ во время беременности связано с огром</w:t>
        <w:softHyphen/>
        <w:t>ным риском для матери и ребенка. Смерть матери (до 50% случаев) и ребенка (до 75% случаев) может наступить как во время беременности, так и во время родов. Поэтому у жен</w:t>
        <w:softHyphen/>
        <w:t>щин при возникновении АГ, особенно кризовой, во время беременности необходимо исключать ФХЦ.</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чаще, чем у взрослых, обнаруживают двусторон</w:t>
        <w:softHyphen/>
        <w:t>ние надпочечниковые ФХЦ, множественные и эктопичес</w:t>
        <w:softHyphen/>
        <w:t>кие опухоли. У большинства детей ФХЦ протекает с посто</w:t>
        <w:softHyphen/>
        <w:t>янной гипертонией, сопровождающейся потливостью и рас</w:t>
        <w:softHyphen/>
        <w:t>стройствами зрения. Чаще, чем у взрослых, отмечаются по</w:t>
        <w:softHyphen/>
        <w:t>худание, тошнота, рвота, а также полидипсия и полиурия.</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Значительно чаще, чем у взрослых, у детей наблюдаются судороги, иногда — непроизвольное мочеиспускание. Не</w:t>
        <w:softHyphen/>
        <w:t>редко у детей отмечаются багрово-синюшные пятна на ко</w:t>
        <w:softHyphen/>
        <w:t>же стоп, голеней, тыльной поверхности кистей рук, а также отечность кистей рук.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Злокачественные ФХЦ встречаются примерно в 10% слу</w:t>
        <w:softHyphen/>
        <w:t>чаев, устойчивы к рентгено- и химиотерапии, дают метаста</w:t>
        <w:softHyphen/>
        <w:t>зы в регионарные лимфатические узлы, поджелудочную железу, печень, легкие, щитовидную железу, кости, проста</w:t>
        <w:softHyphen/>
        <w:t>ту, перикард, реже — в головной мозг, спинномозговой ка</w:t>
        <w:softHyphen/>
        <w:t>нал. Иногда ФХЦ прорастает в нижнюю полую вену, аорту. Четкие гистологические критерии злокачественности ФХЦ не определены. Абсолютным критерием злокачественности ФХЦ является наличие метастазов в тех участках тела, где эмбрионально хромаффинная ткань отсутствует.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 ФХЦ основывается на клинической карти</w:t>
        <w:softHyphen/>
        <w:t>не заболевания, результатах исследований содержания ка</w:t>
        <w:softHyphen/>
        <w:t>техоламинов и их метаболитов (ванилилминдальная кисло</w:t>
        <w:softHyphen/>
        <w:t>та и другие) в крови и/или моче. Эти показатели при ФХЦ обычно значительно повышены (в 10 и более раз). Особен</w:t>
        <w:softHyphen/>
        <w:t>но ценным является исследование содержания катехолами</w:t>
        <w:softHyphen/>
        <w:t>нов в крови во время криза или в моче, собранной после криза.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Блокирующие пробы, купирующие вазоконстрикторное действие катехоламинов и за счет этого вызывающие выра</w:t>
        <w:softHyphen/>
        <w:t>женное снижение АД, используют чаще при АГ, протекаю</w:t>
        <w:softHyphen/>
        <w:t>щей с кризами. С этой целью применяют тропафен. Через 30-90 с после введения 10 г тропафена у больных ФХЦ сис</w:t>
        <w:softHyphen/>
        <w:t>толическое АД снижается на 30% или больше от исходного, диастолическое АД — на 25% или больше от исходного. Проба, однако, может быть положительной и у некоторых больных без ФХЦ.</w:t>
      </w:r>
    </w:p>
    <w:p>
      <w:pPr>
        <w:pStyle w:val="Style30"/>
        <w:widowControl w:val="0"/>
        <w:keepNext w:val="0"/>
        <w:keepLines w:val="0"/>
        <w:shd w:val="clear" w:color="auto" w:fill="auto"/>
        <w:bidi w:val="0"/>
        <w:spacing w:before="0" w:after="0"/>
        <w:ind w:left="0" w:right="0" w:firstLine="280"/>
      </w:pPr>
      <w:r>
        <w:pict>
          <v:shape id="_x0000_s1730" type="#_x0000_t75" style="position:absolute;margin-left:136.7pt;margin-top:736.8pt;width:209.75pt;height:14.9pt;z-index:-125828888;mso-wrap-distance-left:136.55pt;mso-wrap-distance-right:148.1pt;mso-wrap-distance-bottom:10.8pt;mso-position-horizontal-relative:margin;mso-position-vertical-relative:margin" wrapcoords="0 0 21600 0 21600 21600 0 21600 0 0">
            <v:imagedata r:id="rId1155" r:href="rId1156"/>
            <w10:wrap type="topAndBottom" anchorx="margin" anchory="margin"/>
          </v:shape>
        </w:pict>
      </w:r>
      <w:r>
        <w:rPr>
          <w:lang w:val="ru-RU" w:eastAsia="ru-RU" w:bidi="ru-RU"/>
          <w:w w:val="100"/>
          <w:spacing w:val="0"/>
          <w:color w:val="000000"/>
          <w:position w:val="0"/>
        </w:rPr>
        <w:t>С целью дифференциации АГ, обусловленной ФХЦ, це</w:t>
        <w:softHyphen/>
        <w:t>лесообразно проведение пробы с пратсиолом (празози- ном) — постсинаптическим а</w:t>
      </w:r>
      <w:r>
        <w:rPr>
          <w:lang w:val="ru-RU" w:eastAsia="ru-RU" w:bidi="ru-RU"/>
          <w:vertAlign w:val="subscript"/>
          <w:w w:val="100"/>
          <w:spacing w:val="0"/>
          <w:color w:val="000000"/>
          <w:position w:val="0"/>
        </w:rPr>
        <w:t>1</w:t>
      </w:r>
      <w:r>
        <w:rPr>
          <w:lang w:val="ru-RU" w:eastAsia="ru-RU" w:bidi="ru-RU"/>
          <w:w w:val="100"/>
          <w:spacing w:val="0"/>
          <w:color w:val="000000"/>
          <w:position w:val="0"/>
        </w:rPr>
        <w:t>-адреноблокатором. Оцени</w:t>
        <w:softHyphen/>
        <w:t>вают эффект первой дозы препарата (1 мг) в течение 2 ч с контролем АД каждые полчаса. Во время проведения пробы больные должны соблюдать строгий постельный ре</w:t>
        <w:softHyphen/>
        <w:t>жим. У больных ФХЦ отмечается падение систолического АД примерно на 30%, а диастолического — на 25% от ис</w:t>
        <w:softHyphen/>
        <w:t>ходного. При положительной пробе и выраженном сниже</w:t>
        <w:softHyphen/>
        <w:t>нии АД в ортостазе (особенно после проведения пробы) больные в течение 6-8 ч после пробы должны соблюдать постельный или полупостельный режим. Высокая концен</w:t>
        <w:softHyphen/>
        <w:t>трация катехоламинов в крови при ФХЦ вызывает подав</w:t>
        <w:softHyphen/>
        <w:t>ление адгезивных и агрегационных свойств тромбоцитов. При электронно-микроскопическом изучении тромбоци</w:t>
        <w:softHyphen/>
        <w:t>тов установлено, что у больных ФХЦ от 17 до 48% кровя</w:t>
        <w:softHyphen/>
        <w:t>ных пластинок теряют свою обычную форму и приобрета</w:t>
        <w:softHyphen/>
        <w:t>ют вытянутую к полюсам, так называемую биполярную форму. Этот тест можно использовать для дифференциаль</w:t>
        <w:softHyphen/>
        <w:t>ной диагностики ФХЦ, так как при АГ, не связанной с ги</w:t>
        <w:softHyphen/>
        <w:t>перпродукцией катехоламинов, количество биполярных тромбоцитов такое же, как у здоровых людей (не более 25%). Провокационные пробы (с гистамином, тирамином, глюкагоном и др.) применяют редко в связи с опасностью резкого повышения АД и развития осложнений, а также из-за частых ложноположительных результатов. Примене</w:t>
        <w:softHyphen/>
        <w:t>ние провокационных проб, вызывающих симптомы спон</w:t>
        <w:softHyphen/>
        <w:t>танного гипертонического криза, в сочетании с определе</w:t>
        <w:softHyphen/>
        <w:t>нием катехоламинов и их метаболитов в крови и/или моче</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ограничено случаями пароксизмальной АГ с нормальным или слегка повышенным уровнем АД вне кризов. Эти про</w:t>
        <w:softHyphen/>
        <w:t>бы применяют также во время операций удаления ФХЦ и после операций для исключения наличия множествен</w:t>
        <w:softHyphen/>
        <w:t>ных опухолей.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Ультразвуковое исследование позволяет определить ло</w:t>
        <w:softHyphen/>
        <w:t>кализацию надпочечниковых и вненадпочечниковых ФХЦ (в воротах почки, парааортально, в брюшном отделе) в 82-97% случаев, особенно при опухолях, размер которых превышает 2 см.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Надежным диагностическим методом, выявляющим ФХЦ различной локализации, является рентгеновская компьютерная томография, диагностическая точность ко</w:t>
        <w:softHyphen/>
        <w:t>торой достигает 98-100%. Для выявления вненадпочечни</w:t>
        <w:softHyphen/>
        <w:t>ковых ФХЦ некоторые авторы предлагают производить срезы на уровне надпочечников от мечевидного отростка до симфиза с интервалом в 2 см. Плотность ФХЦ по данным рентгеновской компьютерной томографии составляет 37-47 ед.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диагностики ФХЦ мочевого пузыря применяют уль - тразвуковые исследования и цистоскопию.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топической диагностики ФХЦ используют ма</w:t>
        <w:softHyphen/>
        <w:t>гниторезонансную томографию.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Экскреторную урографию с томографией почек и осо</w:t>
        <w:softHyphen/>
        <w:t>бенно ретропневмоперитонеум применяют редко в связи с появлением более совершенных методик. Ангиографию, в особенности селективную надпочечниковую ангиогра</w:t>
        <w:softHyphen/>
        <w:t>фию и флебографию, а также катетеризацию нижней полой вены с определением уровня катехоламинов в крови, взя</w:t>
        <w:softHyphen/>
        <w:t>той на различных уровнях, должны проводить в специали</w:t>
        <w:softHyphen/>
        <w:t>зированных лечебных учреждениях.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ФХЦ при отсутствии метастазов — оператив</w:t>
        <w:softHyphen/>
        <w:t>ное. Сразу после установления диагноза ФХЦ больным с АГ назначают а- и при необходимости Р-адреноблокато- ры (но не наоборот, что может привести к резкому повыше</w:t>
        <w:softHyphen/>
        <w:t>нию АД и развитию таких осложнений, как острая левоже</w:t>
        <w:softHyphen/>
        <w:t xml:space="preserve">лудочковая недостаточность и отек легких). </w:t>
      </w:r>
      <w:r>
        <w:rPr>
          <w:rStyle w:val="CharStyle103"/>
        </w:rPr>
        <w:t>Празозин</w:t>
      </w:r>
      <w:r>
        <w:rPr>
          <w:lang w:val="ru-RU" w:eastAsia="ru-RU" w:bidi="ru-RU"/>
          <w:w w:val="100"/>
          <w:spacing w:val="0"/>
          <w:color w:val="000000"/>
          <w:position w:val="0"/>
        </w:rPr>
        <w:t xml:space="preserve"> (прат- сиол) обычно назначают по 3-15 мг в сутки, </w:t>
      </w:r>
      <w:r>
        <w:rPr>
          <w:rStyle w:val="CharStyle103"/>
        </w:rPr>
        <w:t>фентоламин</w:t>
      </w:r>
      <w:r>
        <w:rPr>
          <w:lang w:val="ru-RU" w:eastAsia="ru-RU" w:bidi="ru-RU"/>
          <w:w w:val="100"/>
          <w:spacing w:val="0"/>
          <w:color w:val="000000"/>
          <w:position w:val="0"/>
        </w:rPr>
        <w:t xml:space="preserve"> — по 200-250 мг в сутки, </w:t>
      </w:r>
      <w:r>
        <w:rPr>
          <w:rStyle w:val="CharStyle103"/>
        </w:rPr>
        <w:t>обзидан</w:t>
      </w:r>
      <w:r>
        <w:rPr>
          <w:lang w:val="ru-RU" w:eastAsia="ru-RU" w:bidi="ru-RU"/>
          <w:w w:val="100"/>
          <w:spacing w:val="0"/>
          <w:color w:val="000000"/>
          <w:position w:val="0"/>
        </w:rPr>
        <w:t xml:space="preserve"> (анаприлин) — по 40-80 мг в сутки. При необходимости дозы препаратов увеличивают.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 время операции удаления ФХЦ у 75% больных воз</w:t>
        <w:softHyphen/>
        <w:t>никают сложные нарушения ритма сердца (желудочковая и наджелудочковая экстрасистолия, желудочковая и надже</w:t>
        <w:softHyphen/>
        <w:t>лудочковая тахикардия, узловой ритм, фибрилляция желу</w:t>
        <w:softHyphen/>
        <w:t>дочков), причем в большинстве случаев преобладают желу</w:t>
        <w:softHyphen/>
        <w:t>дочковые нарушения ритма. Во время удаления ФХЦ в 85% случаев нарушения ритма сердца возникают на начальных этапах операции (интубация, постановка катетера в под</w:t>
        <w:softHyphen/>
        <w:t>ключичную вену, начало наркоза, разрез кожи) и в 15% слу</w:t>
        <w:softHyphen/>
        <w:t xml:space="preserve">чаев во время выделения опухоли. В ряде случаев во время удаления ФХЦ регистрируются нарушения проводимости (атриовентрикулярная блокада), снижение сегмента </w:t>
      </w:r>
      <w:r>
        <w:rPr>
          <w:lang w:val="en-US" w:eastAsia="en-US" w:bidi="en-US"/>
          <w:w w:val="100"/>
          <w:spacing w:val="0"/>
          <w:color w:val="000000"/>
          <w:position w:val="0"/>
        </w:rPr>
        <w:t xml:space="preserve">ST, </w:t>
      </w:r>
      <w:r>
        <w:rPr>
          <w:lang w:val="ru-RU" w:eastAsia="ru-RU" w:bidi="ru-RU"/>
          <w:w w:val="100"/>
          <w:spacing w:val="0"/>
          <w:color w:val="000000"/>
          <w:position w:val="0"/>
        </w:rPr>
        <w:t>ис</w:t>
        <w:softHyphen/>
        <w:t>чезающее к концу первых суток после операции. Наиболее грозные нарушения ритма сердца во время операции реги</w:t>
        <w:softHyphen/>
        <w:t>стрируются, как правило, у больных, имевших исходно же</w:t>
        <w:softHyphen/>
        <w:t>лудочковые нарушения ритма. Поэтому больным ФХЦ до операции целесообразно проводить суточное (холтеров- ское) мониторирование ЭКГ для выявления случаев с по</w:t>
        <w:softHyphen/>
        <w:t>тенциальной опасностью возникновения сложных наруше</w:t>
        <w:softHyphen/>
        <w:t>ний ритма сердца во время удаления ФХЦ.</w:t>
      </w:r>
    </w:p>
    <w:p>
      <w:pPr>
        <w:pStyle w:val="Style92"/>
        <w:widowControl w:val="0"/>
        <w:keepNext/>
        <w:keepLines/>
        <w:shd w:val="clear" w:color="auto" w:fill="auto"/>
        <w:bidi w:val="0"/>
        <w:spacing w:before="0" w:after="0"/>
        <w:ind w:left="520" w:right="0" w:hanging="240"/>
      </w:pPr>
      <w:r>
        <w:br w:type="column"/>
      </w:r>
      <w:bookmarkStart w:id="748" w:name="bookmark748"/>
      <w:r>
        <w:rPr>
          <w:lang w:val="ru-RU" w:eastAsia="ru-RU" w:bidi="ru-RU"/>
          <w:w w:val="100"/>
          <w:spacing w:val="0"/>
          <w:color w:val="000000"/>
          <w:position w:val="0"/>
        </w:rPr>
        <w:t>Хирургическая коррекция</w:t>
      </w:r>
      <w:bookmarkEnd w:id="74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Стойкое повышение АД, сменяющееся беспорядочно возникающими гипертоническими и гипотоническими кризами, называют неуправляемой гемодинамики, разви</w:t>
        <w:softHyphen/>
        <w:t>вающимся примерно у 10% больных ФХЦ. Такие состояния являются показанием к экстренному хирургическому вме</w:t>
        <w:softHyphen/>
        <w:t>шательству.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беременных при установлении диагноза ФХЦ или с подозрением на ФХЦ прерывание беременности возмож</w:t>
        <w:softHyphen/>
        <w:t>но в условиях специализированного стационара, где име</w:t>
        <w:softHyphen/>
        <w:t>ются условия для оказания квалифицированной помощи в случаях развития осложнений ФХЦ.</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Непосредственно после удаления ФХЦ и в течение 1 го</w:t>
        <w:softHyphen/>
        <w:t>да после операции у 90% больных наступает нормализация АД, а у 10% — имеет место резидуальная гипертония. В от</w:t>
        <w:softHyphen/>
        <w:t>даленные сроки после удаления ФХЦ среди больных с ре</w:t>
        <w:softHyphen/>
        <w:t>миссией АГ в 30% случаев вновь развивается АГ, причем за счет рецидива ФХЦ — в 7-8% случаев.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Рецидивы ФХЦ возникают у 10-12% больных ФХЦ, причем более чем в половине случаев они протекают с нор</w:t>
        <w:softHyphen/>
        <w:t>мальным АД. Поэтому ремиссия АГ у больных после удале</w:t>
        <w:softHyphen/>
        <w:t>ния ФХЦ не является признаком, исключающим рецидив опухоли. В связи с этим больные после удаления ФХЦ должны находиться под постоянным диспансерным на</w:t>
        <w:softHyphen/>
        <w:t>блюдением, включающим ультразвуковое исследование или рентгенокомпьютерную томографию и определение катехоламинов в моче.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Амбулаторное наблюдение</w:t>
      </w:r>
    </w:p>
    <w:p>
      <w:pPr>
        <w:pStyle w:val="Style30"/>
        <w:widowControl w:val="0"/>
        <w:keepNext w:val="0"/>
        <w:keepLines w:val="0"/>
        <w:shd w:val="clear" w:color="auto" w:fill="auto"/>
        <w:bidi w:val="0"/>
        <w:spacing w:before="0" w:after="198"/>
        <w:ind w:left="0" w:right="0" w:firstLine="280"/>
      </w:pPr>
      <w:r>
        <w:rPr>
          <w:lang w:val="ru-RU" w:eastAsia="ru-RU" w:bidi="ru-RU"/>
          <w:w w:val="100"/>
          <w:spacing w:val="0"/>
          <w:color w:val="000000"/>
          <w:position w:val="0"/>
        </w:rPr>
        <w:t>Диспансеризацию больных после операции удаления ФХЦ должны проводить кардиолог и эндокринолог в тече</w:t>
        <w:softHyphen/>
        <w:t>ние 3-5 лет.</w:t>
      </w:r>
    </w:p>
    <w:p>
      <w:pPr>
        <w:pStyle w:val="Style54"/>
        <w:widowControl w:val="0"/>
        <w:keepNext/>
        <w:keepLines/>
        <w:shd w:val="clear" w:color="auto" w:fill="auto"/>
        <w:bidi w:val="0"/>
        <w:jc w:val="left"/>
        <w:spacing w:before="0" w:after="0" w:line="269" w:lineRule="exact"/>
        <w:ind w:left="0" w:right="360" w:firstLine="0"/>
      </w:pPr>
      <w:bookmarkStart w:id="749" w:name="bookmark749"/>
      <w:r>
        <w:rPr>
          <w:lang w:val="ru-RU" w:eastAsia="ru-RU" w:bidi="ru-RU"/>
          <w:w w:val="100"/>
          <w:spacing w:val="0"/>
          <w:color w:val="000000"/>
          <w:position w:val="0"/>
        </w:rPr>
        <w:t>Синдром артериальной гипертонии в сочетании с гиперальдостеронизмом</w:t>
      </w:r>
      <w:bookmarkEnd w:id="74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артериальной гипертонии в сочетании с гипер</w:t>
        <w:softHyphen/>
        <w:t>альдостеронизмом неоднороден и включает формы, протека</w:t>
        <w:softHyphen/>
        <w:t>ющие с нормальной или повышенной активностью ренина в плазме крови. Среди них различают группу вторичного аль - достеронизма и формы с низкой активностью ренина в плаз</w:t>
        <w:softHyphen/>
        <w:t>ме или больных с низкорениновым гиперальдостеронизмом.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Основные формы гиперальдостеронизма у больных ар</w:t>
        <w:softHyphen/>
        <w:t>териальной гипертонией.</w:t>
      </w:r>
    </w:p>
    <w:p>
      <w:pPr>
        <w:pStyle w:val="Style30"/>
        <w:numPr>
          <w:ilvl w:val="0"/>
          <w:numId w:val="149"/>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 избыточной секреции альдостерона с низкой ак</w:t>
        <w:softHyphen/>
        <w:t>тивностью ренина в плазме крови:</w:t>
      </w:r>
    </w:p>
    <w:p>
      <w:pPr>
        <w:pStyle w:val="Style30"/>
        <w:numPr>
          <w:ilvl w:val="0"/>
          <w:numId w:val="151"/>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первичный гиперальдостеронизм (альдостерома или карцинома коры надпочечника);</w:t>
      </w:r>
    </w:p>
    <w:p>
      <w:pPr>
        <w:pStyle w:val="Style30"/>
        <w:numPr>
          <w:ilvl w:val="0"/>
          <w:numId w:val="151"/>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идиопатический (псевдопервичный) гиперальдос</w:t>
        <w:softHyphen/>
        <w:t>теронизм (диффузная двусторонняя гиперплазия коры надпочечников);</w:t>
      </w:r>
    </w:p>
    <w:p>
      <w:pPr>
        <w:pStyle w:val="Style30"/>
        <w:numPr>
          <w:ilvl w:val="0"/>
          <w:numId w:val="151"/>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дексаметазонзависимый гиперальдостеронизм (гиперальдостеронизм, подавляемый глюкокорти</w:t>
        <w:softHyphen/>
        <w:t>коидными препаратами);</w:t>
      </w:r>
    </w:p>
    <w:p>
      <w:pPr>
        <w:pStyle w:val="Style30"/>
        <w:numPr>
          <w:ilvl w:val="0"/>
          <w:numId w:val="151"/>
        </w:numPr>
        <w:tabs>
          <w:tab w:leader="none" w:pos="75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гиперальдостеронизм при эктопически располо</w:t>
        <w:softHyphen/>
        <w:t>женных «опухолях».</w:t>
      </w:r>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избыточной секреции альдостерона с нормаль</w:t>
        <w:softHyphen/>
        <w:t>ной или повышенной активностью ренина в плазме крови (вторичный гиперальдостеронизм):</w:t>
      </w:r>
    </w:p>
    <w:p>
      <w:pPr>
        <w:pStyle w:val="Style30"/>
        <w:numPr>
          <w:ilvl w:val="0"/>
          <w:numId w:val="151"/>
        </w:numPr>
        <w:tabs>
          <w:tab w:leader="none" w:pos="754" w:val="left"/>
        </w:tabs>
        <w:widowControl w:val="0"/>
        <w:keepNext w:val="0"/>
        <w:keepLines w:val="0"/>
        <w:shd w:val="clear" w:color="auto" w:fill="auto"/>
        <w:bidi w:val="0"/>
        <w:spacing w:before="0" w:after="0"/>
        <w:ind w:left="740" w:right="0" w:hanging="220"/>
      </w:pPr>
      <w:r>
        <w:pict>
          <v:shape id="_x0000_s1731" type="#_x0000_t75" style="position:absolute;margin-left:148.2pt;margin-top:736.8pt;width:209.75pt;height:14.9pt;z-index:-125828887;mso-wrap-distance-left:148.1pt;mso-wrap-distance-right:136.55pt;mso-wrap-distance-bottom:10.8pt;mso-position-horizontal-relative:margin;mso-position-vertical-relative:margin" wrapcoords="0 0 21600 0 21600 21600 0 21600 0 0">
            <v:imagedata r:id="rId1157" r:href="rId1158"/>
            <w10:wrap type="topAndBottom" anchorx="margin" anchory="margin"/>
          </v:shape>
        </w:pict>
      </w:r>
      <w:r>
        <w:rPr>
          <w:lang w:val="ru-RU" w:eastAsia="ru-RU" w:bidi="ru-RU"/>
          <w:w w:val="100"/>
          <w:spacing w:val="0"/>
          <w:color w:val="000000"/>
          <w:position w:val="0"/>
        </w:rPr>
        <w:t>симптоматическая артериальная гипертония при некоторых формах реноваскулярной патологии, заболеваниях почек, феохромоцитоме, а также ги</w:t>
        <w:softHyphen/>
        <w:t>пертонической болезни;</w:t>
      </w:r>
      <w:r>
        <w:br w:type="page"/>
      </w:r>
    </w:p>
    <w:p>
      <w:pPr>
        <w:pStyle w:val="Style30"/>
        <w:widowControl w:val="0"/>
        <w:keepNext w:val="0"/>
        <w:keepLines w:val="0"/>
        <w:shd w:val="clear" w:color="auto" w:fill="auto"/>
        <w:bidi w:val="0"/>
        <w:jc w:val="left"/>
        <w:spacing w:before="0" w:after="0"/>
        <w:ind w:left="740" w:right="0" w:hanging="220"/>
      </w:pPr>
      <w:r>
        <w:rPr>
          <w:rStyle w:val="CharStyle103"/>
        </w:rPr>
        <w:t>-</w:t>
      </w:r>
      <w:r>
        <w:rPr>
          <w:lang w:val="ru-RU" w:eastAsia="ru-RU" w:bidi="ru-RU"/>
          <w:w w:val="100"/>
          <w:spacing w:val="0"/>
          <w:color w:val="000000"/>
          <w:position w:val="0"/>
        </w:rPr>
        <w:t xml:space="preserve"> опухоли почек, секретирующие ренин (первичный ренинизм).</w:t>
      </w:r>
    </w:p>
    <w:p>
      <w:pPr>
        <w:pStyle w:val="Style30"/>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Физиологические и ятрогенные состояния:</w:t>
      </w:r>
    </w:p>
    <w:p>
      <w:pPr>
        <w:pStyle w:val="Style30"/>
        <w:numPr>
          <w:ilvl w:val="0"/>
          <w:numId w:val="14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Гиперальдостеронизм у женщин в лютеиновую фазу менструального цикла и во время беременности.</w:t>
      </w:r>
    </w:p>
    <w:p>
      <w:pPr>
        <w:pStyle w:val="Style30"/>
        <w:numPr>
          <w:ilvl w:val="0"/>
          <w:numId w:val="14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Ограничение натрия в диете, прием салуретиков, сла</w:t>
        <w:softHyphen/>
        <w:t>бительных средств.</w:t>
      </w:r>
    </w:p>
    <w:p>
      <w:pPr>
        <w:pStyle w:val="Style30"/>
        <w:numPr>
          <w:ilvl w:val="0"/>
          <w:numId w:val="14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Другие причины уменьшения эффективного объема крови (кровотечения, дегидратация, изменение по</w:t>
        <w:softHyphen/>
        <w:t>ложения тела).</w:t>
      </w:r>
    </w:p>
    <w:p>
      <w:pPr>
        <w:pStyle w:val="Style30"/>
        <w:widowControl w:val="0"/>
        <w:keepNext w:val="0"/>
        <w:keepLines w:val="0"/>
        <w:shd w:val="clear" w:color="auto" w:fill="auto"/>
        <w:bidi w:val="0"/>
        <w:spacing w:before="0" w:after="245"/>
        <w:ind w:left="0" w:right="0" w:firstLine="280"/>
      </w:pPr>
      <w:r>
        <w:rPr>
          <w:lang w:val="ru-RU" w:eastAsia="ru-RU" w:bidi="ru-RU"/>
          <w:w w:val="100"/>
          <w:spacing w:val="0"/>
          <w:color w:val="000000"/>
          <w:position w:val="0"/>
        </w:rPr>
        <w:t>В интересах дифференциального диагноза и выбора подходов к лечению заслуживают внимания формы гипер</w:t>
        <w:softHyphen/>
        <w:t>альдостеронизма, протекающие с низкой активностью ре</w:t>
        <w:softHyphen/>
        <w:t>нина в плазме (АРП), наблюдающиеся у 0,5-4% больных артериальной гипертонией.</w:t>
      </w:r>
    </w:p>
    <w:p>
      <w:pPr>
        <w:pStyle w:val="Style54"/>
        <w:widowControl w:val="0"/>
        <w:keepNext/>
        <w:keepLines/>
        <w:shd w:val="clear" w:color="auto" w:fill="auto"/>
        <w:bidi w:val="0"/>
        <w:jc w:val="left"/>
        <w:spacing w:before="0" w:after="39" w:line="210" w:lineRule="exact"/>
        <w:ind w:left="0" w:right="0" w:firstLine="0"/>
      </w:pPr>
      <w:bookmarkStart w:id="750" w:name="bookmark750"/>
      <w:r>
        <w:rPr>
          <w:lang w:val="ru-RU" w:eastAsia="ru-RU" w:bidi="ru-RU"/>
          <w:w w:val="100"/>
          <w:spacing w:val="0"/>
          <w:color w:val="000000"/>
          <w:position w:val="0"/>
        </w:rPr>
        <w:t>Первичный альдостеронизм</w:t>
      </w:r>
      <w:bookmarkEnd w:id="75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Конн описал клинический синдром под названием «первичный альдостеронизм» (ПА), в возникновении кото</w:t>
        <w:softHyphen/>
        <w:t>рого ведущая роль принадлежала секреции аденомой клу</w:t>
        <w:softHyphen/>
        <w:t xml:space="preserve">бочковой зоны коры надпочечника чрезмерных количеств альдостерона </w:t>
      </w:r>
      <w:r>
        <w:rPr>
          <w:lang w:val="en-US" w:eastAsia="en-US" w:bidi="en-US"/>
          <w:w w:val="100"/>
          <w:spacing w:val="0"/>
          <w:color w:val="000000"/>
          <w:position w:val="0"/>
        </w:rPr>
        <w:t xml:space="preserve">(Conn J., </w:t>
      </w:r>
      <w:r>
        <w:rPr>
          <w:lang w:val="ru-RU" w:eastAsia="ru-RU" w:bidi="ru-RU"/>
          <w:w w:val="100"/>
          <w:spacing w:val="0"/>
          <w:color w:val="000000"/>
          <w:position w:val="0"/>
        </w:rPr>
        <w:t>1955).</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Основными признаками синдрома были выделены по</w:t>
        <w:softHyphen/>
        <w:t>вторяющиеся эпизоды мышечной слабости, обусловленной гипокалиемией, артериальная гипертензия, алкалоз, поли- урия, резистентная к вазопрессину, и в ряде случаев тетания при нормальной концентрации кальция и фосфора в сыво</w:t>
        <w:softHyphen/>
        <w:t>ротке крови. Обычно этот синдром протекает с низкой, час</w:t>
        <w:softHyphen/>
        <w:t xml:space="preserve">то нулевой активностью ренина в плазме крови </w:t>
      </w:r>
      <w:r>
        <w:rPr>
          <w:lang w:val="en-US" w:eastAsia="en-US" w:bidi="en-US"/>
          <w:w w:val="100"/>
          <w:spacing w:val="0"/>
          <w:color w:val="000000"/>
          <w:position w:val="0"/>
        </w:rPr>
        <w:t xml:space="preserve">(Conn J. et al., </w:t>
      </w:r>
      <w:r>
        <w:rPr>
          <w:lang w:val="ru-RU" w:eastAsia="ru-RU" w:bidi="ru-RU"/>
          <w:w w:val="100"/>
          <w:spacing w:val="0"/>
          <w:color w:val="000000"/>
          <w:position w:val="0"/>
        </w:rPr>
        <w:t>1964). С удалением опухоли у большинства больных нор</w:t>
        <w:softHyphen/>
        <w:t>мализуется артериальное давление и секреция альдостерона.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Распространенность этой патологии составляет 0,5-4% (Чернышев В.Н., 1974, 1980).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Эти статистические данные включают больных как с аденомой, так и с гиперплазией коры надпочечников.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 более 70% больных первичным альдостерониз</w:t>
        <w:softHyphen/>
        <w:t xml:space="preserve">мом составлет 35-50 лет, вместе с тем описано несколько случаев синдрома Конна у детей и подростков в возрасте до 16 лет </w:t>
      </w:r>
      <w:r>
        <w:rPr>
          <w:lang w:val="en-US" w:eastAsia="en-US" w:bidi="en-US"/>
          <w:w w:val="100"/>
          <w:spacing w:val="0"/>
          <w:color w:val="000000"/>
          <w:position w:val="0"/>
        </w:rPr>
        <w:t>(Ganguly A. et al., 1980).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большинства больных причиной заболевания являет</w:t>
        <w:softHyphen/>
        <w:t>ся доброкачественная солитарная аденома клубочковой зо</w:t>
        <w:softHyphen/>
        <w:t>ны коры надпочечника. Известны варианты альдостером с вовлечением в патологический процесс других зон коры надпочечника.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5-9% случаев описано сочетание нескольких аденом при одно- или двусторонней их локализации. В 65-70% случаев аденомы локализуются слева. В большинстве слу</w:t>
        <w:softHyphen/>
        <w:t>чаев рентгенологическая диагностика альдостером затруд</w:t>
        <w:softHyphen/>
        <w:t>нена в связи с небольшим размером этих опухолей: у 60</w:t>
        <w:softHyphen/>
        <w:t>68% больных масса альдостером не превышает 6 г. Малым размером альдостером объясняются трудности выявления этой опухоли с помощью рентгенорадиологических мето</w:t>
        <w:softHyphen/>
        <w:t>дов исследования. Проявления синдрома первичного аль</w:t>
        <w:softHyphen/>
        <w:t>достеронизма могут быть при карциноме коры надпочеч</w:t>
        <w:softHyphen/>
        <w:t>ника. Эта опухоль по своим размерам значительно больше аденомы. Рост злокачественной опухоли сопровождается лихорадкой обычно неправильного типа, появлением бо</w:t>
        <w:softHyphen/>
        <w:t>лей в животе. Наряду с избыточной секрецией альдостеро-</w:t>
        <w:br w:type="column"/>
        <w:t>на для злокачественного варианта синдрома первичного альдостеронизма характерна повышенная экскреция 17-кетооксистероидов, в частности кортизола и соедине</w:t>
        <w:softHyphen/>
        <w:t xml:space="preserve">ния </w:t>
      </w:r>
      <w:r>
        <w:rPr>
          <w:lang w:val="en-US" w:eastAsia="en-US" w:bidi="en-US"/>
          <w:w w:val="100"/>
          <w:spacing w:val="0"/>
          <w:color w:val="000000"/>
          <w:position w:val="0"/>
        </w:rPr>
        <w:t>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Очень редко синдром первичного альдостеронизма бы</w:t>
        <w:softHyphen/>
        <w:t>вает связан с вненадпочечниковой локализацией опухоли: в яичниках, в щитовидной железе.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Обычно синдром первичного альдостеронизма протека</w:t>
        <w:softHyphen/>
        <w:t>ет с яркой клинической картиной, обусловленной гиперто</w:t>
        <w:softHyphen/>
        <w:t>нией (головная боль, головокружение), нейромышечными (мышечная слабость, парестезии, судороги, тетания) и по</w:t>
        <w:softHyphen/>
        <w:t>чечными симптомами (полиурия, полидипсия, никтурия, гипоизостенурия, умеренная альбуминурия, щелочная ре</w:t>
        <w:softHyphen/>
        <w:t xml:space="preserve">акция мочи). Свойственные этому заболеванию симптомы встречаются со следующей частотой </w:t>
      </w:r>
      <w:r>
        <w:rPr>
          <w:lang w:val="en-US" w:eastAsia="en-US" w:bidi="en-US"/>
          <w:w w:val="100"/>
          <w:spacing w:val="0"/>
          <w:color w:val="000000"/>
          <w:position w:val="0"/>
        </w:rPr>
        <w:t>(J. Conn):</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Мышечная слабость — 73%.</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Полиурия (никтурия) — 72%.</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Головная боль — 51%.</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Полидипсия— 46%.</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Парестезии — 24%.</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Тетания— 21%.</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Быстрая утомляемость — 19%.</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Мышечный дискомфорт — 16%.</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Однако первичный альдостеронизм не всегда характери</w:t>
        <w:softHyphen/>
        <w:t>зуется одновременным наличием всех указанных призна</w:t>
        <w:softHyphen/>
        <w:t>ков: нередко наблюдаются случаи малосимптомного и даже бессимптомного течения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Артериальная гипертония у большинства больных пер</w:t>
        <w:softHyphen/>
        <w:t>вичным альдостеронизмом является постоянным симпто</w:t>
        <w:softHyphen/>
        <w:t>мом.</w:t>
      </w:r>
    </w:p>
    <w:p>
      <w:pPr>
        <w:pStyle w:val="Style30"/>
        <w:numPr>
          <w:ilvl w:val="0"/>
          <w:numId w:val="149"/>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Чаще имеет место доброкачественное течение артери</w:t>
        <w:softHyphen/>
        <w:t>альной гипертонии, сосудистые осложнения редки.</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Злокачественное течение артериальной гипертонии при первичном альдостеронизме достигает 7,4%, а частота сосудистых осложнений составляет 22,8%.</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142"/>
        <w:ind w:left="0" w:right="0" w:firstLine="280"/>
      </w:pPr>
      <w:r>
        <w:rPr>
          <w:lang w:val="ru-RU" w:eastAsia="ru-RU" w:bidi="ru-RU"/>
          <w:w w:val="100"/>
          <w:spacing w:val="0"/>
          <w:color w:val="000000"/>
          <w:position w:val="0"/>
        </w:rPr>
        <w:t>Хирургическое удаление альдостеромы.</w:t>
      </w:r>
    </w:p>
    <w:p>
      <w:pPr>
        <w:pStyle w:val="Style54"/>
        <w:widowControl w:val="0"/>
        <w:keepNext/>
        <w:keepLines/>
        <w:shd w:val="clear" w:color="auto" w:fill="auto"/>
        <w:bidi w:val="0"/>
        <w:jc w:val="left"/>
        <w:spacing w:before="0" w:after="0" w:line="264" w:lineRule="exact"/>
        <w:ind w:left="0" w:right="0" w:firstLine="0"/>
      </w:pPr>
      <w:bookmarkStart w:id="751" w:name="bookmark751"/>
      <w:r>
        <w:rPr>
          <w:lang w:val="ru-RU" w:eastAsia="ru-RU" w:bidi="ru-RU"/>
          <w:w w:val="100"/>
          <w:spacing w:val="0"/>
          <w:color w:val="000000"/>
          <w:position w:val="0"/>
        </w:rPr>
        <w:t>Гиперальдостеронизм при идиопатической гиперплазии коры надпочечников</w:t>
      </w:r>
      <w:bookmarkEnd w:id="75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ряда больных при клинических проявлениях синдрома Конна выявляется диффузная или диффузно-узелковая ги</w:t>
        <w:softHyphen/>
        <w:t>перплазия клубочковой и(или) сетчатой зон коры надпо</w:t>
        <w:softHyphen/>
        <w:t>чечника. Обычно в гиперпластический процесс вовлекает</w:t>
        <w:softHyphen/>
        <w:t>ся кора обоих надпочечников.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отличие от первичного альдостеронизма у больных с гиперплазией надпочечников гипотензивный эффект да</w:t>
        <w:softHyphen/>
        <w:t>же после тотальной адреналэктомии отмечается лишь в редких случаях. Вместе с тем биохимические изменения у большинства больных после хирургического лечения ис</w:t>
        <w:softHyphen/>
        <w:t>чезают. Поскольку у многих больных гиперплазия коры надпочечников носит двусторонний характер, высказыва</w:t>
        <w:softHyphen/>
        <w:t>ется предположение о роли экстраадреналовых трофичес</w:t>
        <w:softHyphen/>
        <w:t>ких гуморальных факторов в механизме ее развития.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 пол</w:t>
      </w:r>
    </w:p>
    <w:p>
      <w:pPr>
        <w:pStyle w:val="Style30"/>
        <w:widowControl w:val="0"/>
        <w:keepNext w:val="0"/>
        <w:keepLines w:val="0"/>
        <w:shd w:val="clear" w:color="auto" w:fill="auto"/>
        <w:bidi w:val="0"/>
        <w:spacing w:before="0" w:after="0"/>
        <w:ind w:left="0" w:right="0" w:firstLine="280"/>
      </w:pPr>
      <w:r>
        <w:pict>
          <v:shape id="_x0000_s1732" type="#_x0000_t75" style="position:absolute;margin-left:136.8pt;margin-top:736.8pt;width:209.75pt;height:14.9pt;z-index:-125828886;mso-wrap-distance-left:136.8pt;mso-wrap-distance-right:148.1pt;mso-wrap-distance-bottom:10.8pt;mso-position-horizontal-relative:margin;mso-position-vertical-relative:margin" wrapcoords="0 0 21600 0 21600 21600 0 21600 0 0">
            <v:imagedata r:id="rId1159" r:href="rId1160"/>
            <w10:wrap type="topAndBottom" anchorx="margin" anchory="margin"/>
          </v:shape>
        </w:pict>
      </w:r>
      <w:r>
        <w:rPr>
          <w:lang w:val="ru-RU" w:eastAsia="ru-RU" w:bidi="ru-RU"/>
          <w:w w:val="100"/>
          <w:spacing w:val="0"/>
          <w:color w:val="000000"/>
          <w:position w:val="0"/>
        </w:rPr>
        <w:t>«Юношеский» или «врожденный» альдостеронизм на</w:t>
        <w:softHyphen/>
        <w:t>блюдается до 10 лет (в некоторых случаях в раннем детстве); чаще заболевание выявляется у мальчиков.</w:t>
      </w:r>
      <w:r>
        <w:br w:type="page"/>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симптомы заболевания: полиурия, никту- рия, энурез, полидипсия, высокая артериальная гиперто</w:t>
        <w:softHyphen/>
        <w:t>ния, часто имеющая злокачественное течение, гиперальдо- стеронемия, гипокалиемия. Оба надпочечника при этой патологии гиперплазированы с вовлечением клубочковой и(или) пучковой зон.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Благодаря тотальной адреналэктомии и последующей заместительной гормонотерапии достигается гипотензив</w:t>
        <w:softHyphen/>
        <w:t>ный эффект и исчезновение симптомов гиперальдостеро</w:t>
        <w:softHyphen/>
        <w:t>низма.</w:t>
      </w:r>
    </w:p>
    <w:p>
      <w:pPr>
        <w:pStyle w:val="Style54"/>
        <w:widowControl w:val="0"/>
        <w:keepNext/>
        <w:keepLines/>
        <w:shd w:val="clear" w:color="auto" w:fill="auto"/>
        <w:bidi w:val="0"/>
        <w:jc w:val="right"/>
        <w:spacing w:before="0" w:after="39" w:line="210" w:lineRule="exact"/>
        <w:ind w:left="0" w:right="0" w:firstLine="0"/>
      </w:pPr>
      <w:bookmarkStart w:id="752" w:name="bookmark752"/>
      <w:r>
        <w:rPr>
          <w:lang w:val="ru-RU" w:eastAsia="ru-RU" w:bidi="ru-RU"/>
          <w:w w:val="100"/>
          <w:spacing w:val="0"/>
          <w:color w:val="000000"/>
          <w:position w:val="0"/>
        </w:rPr>
        <w:t>Глюкокортикоидозависимый гиперальдостеронизм</w:t>
      </w:r>
      <w:bookmarkEnd w:id="75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Особую группу составляют больные, у которых артери</w:t>
        <w:softHyphen/>
        <w:t>альная гипертония, гиперальдостеронизм, низкая актив</w:t>
        <w:softHyphen/>
        <w:t>ность ренина в плазме и гипокалиемия подвергаются об</w:t>
        <w:softHyphen/>
        <w:t>ратному развитию на фоне терапии глюкокортикоидными препаратами (так называемый глюкокортикоидозависи</w:t>
        <w:softHyphen/>
        <w:t>мый гиперальдостеронизм).</w:t>
      </w:r>
    </w:p>
    <w:p>
      <w:pPr>
        <w:pStyle w:val="Style30"/>
        <w:widowControl w:val="0"/>
        <w:keepNext w:val="0"/>
        <w:keepLines w:val="0"/>
        <w:shd w:val="clear" w:color="auto" w:fill="auto"/>
        <w:bidi w:val="0"/>
        <w:jc w:val="right"/>
        <w:spacing w:before="0" w:after="0"/>
        <w:ind w:left="0" w:right="0" w:firstLine="0"/>
      </w:pPr>
      <w:r>
        <w:rPr>
          <w:lang w:val="ru-RU" w:eastAsia="ru-RU" w:bidi="ru-RU"/>
          <w:w w:val="100"/>
          <w:spacing w:val="0"/>
          <w:color w:val="000000"/>
          <w:position w:val="0"/>
        </w:rPr>
        <w:t>Предполагают, что это заболевание носит наследствен</w:t>
        <w:softHyphen/>
        <w:t>ный характер, возможно, тип наследования доминантный.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таких больных выявлено врожденное нарушение син</w:t>
        <w:softHyphen/>
        <w:t>теза кортикостероидов: 1) дефицит 11-бета-гидроксилазы; 2) дефицит 17-альфа-гидроксилазы; 3) дефицит 21-гидро- ксилазы.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Кроме дексаметазонозависимой формы гиперальдосте</w:t>
        <w:softHyphen/>
        <w:t>ронизма известны немногочисленные наблюдения случаев артериальной гипертонии с низкой АРП и повышенной продукцией других минералокортикоидов с такой же реак</w:t>
        <w:softHyphen/>
        <w:t>цией на терапию дексаметазоном.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Заболевание характеризуется доброкачественным тече</w:t>
        <w:softHyphen/>
        <w:t>нием артериальной гипертонии, нормальным развитием костной ткани, физиологическим половым развитием больных, в некоторых случаях отмечены косвенные при</w:t>
        <w:softHyphen/>
        <w:t>знаки нарушения синтеза кортизола, повышенная секре</w:t>
        <w:softHyphen/>
        <w:t>ция АКТГ. Повышенная продукция альдостерона у этих больных является результатом нарушений синтеза стерои</w:t>
        <w:softHyphen/>
        <w:t>дов надпочечниками или контроля за секрецией альдосте- рона.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Характерной особенностью течения заболевания у этих больных является нормализация артериального давления (АД) и коррекция клинических и биохимических измене - ний на фоне терапии дексаметазоном или преднизоном, достигаемая в разные сроки лечения, в большинстве случа</w:t>
        <w:softHyphen/>
        <w:t>ев через 5-8 дней. Прекращение терапии глюкокортикоид</w:t>
        <w:softHyphen/>
        <w:t>ными препаратами вновь приводит к гиперальдостерониз</w:t>
        <w:softHyphen/>
        <w:t>му и повышению артериального давления, тогда как по</w:t>
        <w:softHyphen/>
        <w:t>вторное назначение дексаметазона в короткие сроки (за 72 ч) нормализует его и биохимические показатели.</w:t>
      </w:r>
    </w:p>
    <w:p>
      <w:pPr>
        <w:pStyle w:val="Style54"/>
        <w:widowControl w:val="0"/>
        <w:keepNext/>
        <w:keepLines/>
        <w:shd w:val="clear" w:color="auto" w:fill="auto"/>
        <w:bidi w:val="0"/>
        <w:jc w:val="left"/>
        <w:spacing w:before="0" w:after="39" w:line="210" w:lineRule="exact"/>
        <w:ind w:left="0" w:right="0" w:firstLine="0"/>
      </w:pPr>
      <w:bookmarkStart w:id="753" w:name="bookmark753"/>
      <w:r>
        <w:rPr>
          <w:lang w:val="ru-RU" w:eastAsia="ru-RU" w:bidi="ru-RU"/>
          <w:w w:val="100"/>
          <w:spacing w:val="0"/>
          <w:color w:val="000000"/>
          <w:position w:val="0"/>
        </w:rPr>
        <w:t>Вторичный альдостеронизм</w:t>
      </w:r>
      <w:bookmarkEnd w:id="75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вторичном альдостеронизме (ВА) повышенная сек</w:t>
        <w:softHyphen/>
        <w:t>реция альдостерона не связана с опухолью или первичной гиперплазией коры надпочечников, а является функцио</w:t>
        <w:softHyphen/>
        <w:t>нальной и вторичной по отношению к первичным заболе</w:t>
        <w:softHyphen/>
        <w:t>ваниям почек, печени, сердца. ВА может быть обусловлен потерей значительных количеств жидкости при длительном применении мочегонных средств, ограничении натрия в диете, выявляется при нелеченом несахарном диабете.</w:t>
      </w:r>
    </w:p>
    <w:p>
      <w:pPr>
        <w:pStyle w:val="Style30"/>
        <w:widowControl w:val="0"/>
        <w:keepNext w:val="0"/>
        <w:keepLines w:val="0"/>
        <w:shd w:val="clear" w:color="auto" w:fill="auto"/>
        <w:bidi w:val="0"/>
        <w:spacing w:before="0" w:after="0"/>
        <w:ind w:left="0" w:right="0" w:firstLine="280"/>
      </w:pPr>
      <w:r>
        <w:br w:type="column"/>
      </w:r>
      <w:r>
        <w:rPr>
          <w:lang w:val="en-US" w:eastAsia="en-US" w:bidi="en-US"/>
          <w:w w:val="100"/>
          <w:spacing w:val="0"/>
          <w:color w:val="000000"/>
          <w:position w:val="0"/>
        </w:rPr>
        <w:t xml:space="preserve">BA </w:t>
      </w:r>
      <w:r>
        <w:rPr>
          <w:lang w:val="ru-RU" w:eastAsia="ru-RU" w:bidi="ru-RU"/>
          <w:w w:val="100"/>
          <w:spacing w:val="0"/>
          <w:color w:val="000000"/>
          <w:position w:val="0"/>
        </w:rPr>
        <w:t>чаще проявляется гипертензивным или отечным синдромом, но может протекать без отеков и артериальной гипертонии. ВА с гипертензивным синдромом может со</w:t>
        <w:softHyphen/>
        <w:t>путствовать как гипертонической болезни, так и ряду симп - тематических артериальных гипертоний почечного и сосу</w:t>
        <w:softHyphen/>
        <w:t>дистого генеза, выявляется при феохромоцитоме, часто от</w:t>
        <w:softHyphen/>
        <w:t>мечается при синдроме злокачественной гипертонии.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Патогенез и клиническая симптоматика</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Наряду с артериальной гипертонией заболевание прояв</w:t>
        <w:softHyphen/>
        <w:t>ляется повышенной секрецией альдостерона с нормальной или повышенной активностью ренина в плазме (АРП), по</w:t>
        <w:softHyphen/>
        <w:t>терей калия с мочой, приводящей к гипокалиемии и свя</w:t>
        <w:softHyphen/>
        <w:t>занным с ней клиническим симптомам.</w:t>
      </w:r>
    </w:p>
    <w:p>
      <w:pPr>
        <w:pStyle w:val="Style54"/>
        <w:widowControl w:val="0"/>
        <w:keepNext/>
        <w:keepLines/>
        <w:shd w:val="clear" w:color="auto" w:fill="auto"/>
        <w:bidi w:val="0"/>
        <w:jc w:val="left"/>
        <w:spacing w:before="0" w:after="39" w:line="210" w:lineRule="exact"/>
        <w:ind w:left="0" w:right="0" w:firstLine="0"/>
      </w:pPr>
      <w:bookmarkStart w:id="754" w:name="bookmark754"/>
      <w:r>
        <w:rPr>
          <w:lang w:val="ru-RU" w:eastAsia="ru-RU" w:bidi="ru-RU"/>
          <w:w w:val="100"/>
          <w:spacing w:val="0"/>
          <w:color w:val="000000"/>
          <w:position w:val="0"/>
        </w:rPr>
        <w:t>Вторичный альдостеронизм при рениноме</w:t>
      </w:r>
      <w:bookmarkEnd w:id="75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Вторичный альдостеронизм при рениноме — так называ</w:t>
        <w:softHyphen/>
        <w:t>емый первичный ренинизм — синдром Робертсона-Кихара.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Как и другие формы гиперальдостеронизма, заболевание клинически обычно проявляется высокой артериальной ги</w:t>
        <w:softHyphen/>
        <w:t>пертонией и гипокалиемией. При этом определяется высо</w:t>
        <w:softHyphen/>
        <w:t>кий уровень АРП (23-27 нг/(мл-ч) и более), ангиотензина и альдостерона в периферической крови. Несмотря на высо</w:t>
        <w:softHyphen/>
        <w:t>кую артериальную гипертонию, течение заболевания в боль</w:t>
        <w:softHyphen/>
        <w:t>шинстве случаев доброкачественное: минимальные измене</w:t>
        <w:softHyphen/>
        <w:t>ния на глазном дне и отсутствие сосудистых осложнений.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проведении аортографии небольшие опухоли (диа</w:t>
        <w:softHyphen/>
        <w:t>метром 1,5 см) могут не выявляться. Подтверждением диа</w:t>
        <w:softHyphen/>
        <w:t>гноза служит более высокая концентрация ренина и ангио</w:t>
        <w:softHyphen/>
        <w:t>тензина в почечных венах на стороне опухоли при отсут</w:t>
        <w:softHyphen/>
        <w:t>ствии стеноза почечных артерий. Опухоль обычно имеет доброкачественный характер, размеры ее 1,4-4 см, состоит из юкстагломерулярных клеток, богатых ренином.</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После удаления опухоли (тотальная или субтотальная нефрэктомия) в первые же дни и даже часы после операции нормализуются артериальное давление, продукция ренина и альдостерона. Следовательно, гипертензивные формы ВА не только обусловлены почечной или сосудистой патологи</w:t>
        <w:softHyphen/>
        <w:t>ей, но и могут также сопутствовать ряду функциональных физиологических состояний в организме и по своим кли</w:t>
        <w:softHyphen/>
        <w:t>ническим проявлениям иногда сходны с другими формами гиперальдостеронизма.</w:t>
      </w:r>
    </w:p>
    <w:p>
      <w:pPr>
        <w:pStyle w:val="Style30"/>
        <w:widowControl w:val="0"/>
        <w:keepNext w:val="0"/>
        <w:keepLines w:val="0"/>
        <w:shd w:val="clear" w:color="auto" w:fill="auto"/>
        <w:bidi w:val="0"/>
        <w:spacing w:before="0" w:after="185"/>
        <w:ind w:left="0" w:right="0" w:firstLine="280"/>
      </w:pPr>
      <w:r>
        <w:rPr>
          <w:lang w:val="ru-RU" w:eastAsia="ru-RU" w:bidi="ru-RU"/>
          <w:w w:val="100"/>
          <w:spacing w:val="0"/>
          <w:color w:val="000000"/>
          <w:position w:val="0"/>
        </w:rPr>
        <w:t>Болезнь Иценко-Кушинга обусловлена поражением гипо</w:t>
        <w:softHyphen/>
        <w:t>таламуса с последующим развитием гиперфункции адено</w:t>
        <w:softHyphen/>
        <w:t>гипофиза и гиперплазии коры надпочечников, что сопро</w:t>
        <w:softHyphen/>
        <w:t>вождается эндогенным гиперкортицизмом. Увеличенное образование кортизола повышает уровень ангиотензина II в плазме крови и способствует формированию АГ. Диа</w:t>
        <w:softHyphen/>
        <w:t>гностическое значение имеют повышенное содержание кортизола и 17-ОКС в плазме крови и моче, а также высо</w:t>
        <w:softHyphen/>
        <w:t>кий уровень АКТГ.</w:t>
      </w:r>
    </w:p>
    <w:p>
      <w:pPr>
        <w:pStyle w:val="Style54"/>
        <w:widowControl w:val="0"/>
        <w:keepNext/>
        <w:keepLines/>
        <w:shd w:val="clear" w:color="auto" w:fill="auto"/>
        <w:bidi w:val="0"/>
        <w:jc w:val="left"/>
        <w:spacing w:before="0" w:after="39" w:line="210" w:lineRule="exact"/>
        <w:ind w:left="0" w:right="0" w:firstLine="0"/>
      </w:pPr>
      <w:bookmarkStart w:id="755" w:name="bookmark755"/>
      <w:r>
        <w:rPr>
          <w:lang w:val="ru-RU" w:eastAsia="ru-RU" w:bidi="ru-RU"/>
          <w:w w:val="100"/>
          <w:spacing w:val="0"/>
          <w:color w:val="000000"/>
          <w:position w:val="0"/>
        </w:rPr>
        <w:t>Адреногенитальный синдром</w:t>
      </w:r>
      <w:bookmarkEnd w:id="755"/>
    </w:p>
    <w:p>
      <w:pPr>
        <w:pStyle w:val="Style30"/>
        <w:widowControl w:val="0"/>
        <w:keepNext w:val="0"/>
        <w:keepLines w:val="0"/>
        <w:shd w:val="clear" w:color="auto" w:fill="auto"/>
        <w:bidi w:val="0"/>
        <w:spacing w:before="0" w:after="0"/>
        <w:ind w:left="0" w:right="0" w:firstLine="280"/>
      </w:pPr>
      <w:r>
        <w:pict>
          <v:shape id="_x0000_s1733" type="#_x0000_t75" style="position:absolute;margin-left:148.1pt;margin-top:736.8pt;width:209.75pt;height:14.9pt;z-index:-125828885;mso-wrap-distance-left:148.1pt;mso-wrap-distance-right:136.8pt;mso-wrap-distance-bottom:10.8pt;mso-position-horizontal-relative:margin;mso-position-vertical-relative:margin" wrapcoords="0 0 21600 0 21600 21600 0 21600 0 0">
            <v:imagedata r:id="rId1161" r:href="rId1162"/>
            <w10:wrap type="topAndBottom" anchorx="margin" anchory="margin"/>
          </v:shape>
        </w:pict>
      </w:r>
      <w:r>
        <w:rPr>
          <w:lang w:val="ru-RU" w:eastAsia="ru-RU" w:bidi="ru-RU"/>
          <w:w w:val="100"/>
          <w:spacing w:val="0"/>
          <w:color w:val="000000"/>
          <w:position w:val="0"/>
        </w:rPr>
        <w:t>АГ является одним из основных симптомов гипертониче</w:t>
        <w:softHyphen/>
        <w:t>ской формы адреногенитального синдрома, при котором, кроме обычной верилизации, отмечают изменения со сторо</w:t>
        <w:softHyphen/>
        <w:t>ны сердечно-сосудистой системы, обусловленные АГ. Не</w:t>
        <w:softHyphen/>
        <w:t>редко это заболевание диагностируют поздно, уже при нали</w:t>
        <w:softHyphen/>
        <w:t>чии вторичных сосудистых изменений. У некоторых боль-</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ных даже в раннем возрасте развиваются гипертонические кризы с кровоизлияниями в мозг. АД колеблется от 120/70 до 230/170 мм рт. ст. Диагностическим критерием является зна</w:t>
        <w:softHyphen/>
        <w:t>чительное повышение экскреции 11-дезоксикортизола.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Диабетическая нефропатия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Одним из грозных осложнений сахарного диабета у де</w:t>
        <w:softHyphen/>
        <w:t>тей является диабетическая нефропатия. Это патологичес</w:t>
        <w:softHyphen/>
        <w:t>кое состояние может предопределить развитие АГ, которая способствует возникновению и нарастанию морфологичес</w:t>
        <w:softHyphen/>
        <w:t>ких и функциональных изменений в корковом и мозговом слое почек в виде разных стадий диабетического гломеру- лосклероза и интерстициального фиброза.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Диффузный токсический зоб</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диффузном токсическом зобе (ДТЗ) наряду с мезер- бургской триадой одним из основных клинических симпто</w:t>
        <w:softHyphen/>
        <w:t>мов является АГ за счет повышения систолического АД, ди</w:t>
        <w:softHyphen/>
        <w:t>астолическое АД остается в норме, а в тяжелых случаях сни</w:t>
        <w:softHyphen/>
        <w:t>жается до 0 (феномен бесконечного тона). Наряду с клини</w:t>
        <w:softHyphen/>
        <w:t>ческими проявлениями диагностическое значение при ДТЗ имеет определение в сыворотке крови тиреогормонов (ти</w:t>
        <w:softHyphen/>
        <w:t>роксин, трийодтиронин) и тиреотропного гормона.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Артериальная гипертензия, связанная с заболеваниями центральной нервной системы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Нейрогенная АГ сопровождает поражение головного или спинного мозга. Прежде всего это объемные процессы в виде опухоли или посттравматической медленно прогрес</w:t>
        <w:softHyphen/>
        <w:t>сирующей гематомы.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Основными механизмами АГ при этом являются нару</w:t>
        <w:softHyphen/>
        <w:t>шение гемоликвородинамики, сдавление сосудодвигатель</w:t>
        <w:softHyphen/>
        <w:t>ных центров, повышение внутричерепного давления.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Причинами злокачественной АГ у детей могут быть эн</w:t>
        <w:softHyphen/>
        <w:t>цефалит с поражением межуточного мозга или бульбарная форма полиомиелита. При установлении диагноза следует учесть результаты клинико-лабораторных и нейрофизиоло</w:t>
        <w:softHyphen/>
        <w:t>гических методов исследования, данные нейросонографии и магниторезонансной томографии.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Вариантом нейрогенной АГ является диэнцефальный гипертензивный синдром Пейдиса, который сопровожда</w:t>
        <w:softHyphen/>
        <w:t>ется приступами возбуждения, сердцебиения, слезо- и слю</w:t>
        <w:softHyphen/>
        <w:t>нотечением, зябкостью (ознобом), покраснением или блед</w:t>
        <w:softHyphen/>
        <w:t>ностью кожных покровов и повышением АД.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пубертатный период у детей, чаще у мальчиков, иногда наблюдается АГ, в основе которой лежит гормональная дис</w:t>
        <w:softHyphen/>
        <w:t>социация. АГ в большинстве случаев носит обратимый ха</w:t>
        <w:softHyphen/>
        <w:t>рактер, однако при неблагоприятных условях жизни и нару</w:t>
        <w:softHyphen/>
        <w:t>шении адаптационных механизмов может сформироваться вегетососудистая дистония по гипертоническому типу.</w:t>
      </w:r>
    </w:p>
    <w:p>
      <w:pPr>
        <w:pStyle w:val="Style30"/>
        <w:widowControl w:val="0"/>
        <w:keepNext w:val="0"/>
        <w:keepLines w:val="0"/>
        <w:shd w:val="clear" w:color="auto" w:fill="auto"/>
        <w:bidi w:val="0"/>
        <w:spacing w:before="0" w:after="253"/>
        <w:ind w:left="0" w:right="0" w:firstLine="280"/>
      </w:pPr>
      <w:r>
        <w:rPr>
          <w:lang w:val="ru-RU" w:eastAsia="ru-RU" w:bidi="ru-RU"/>
          <w:w w:val="100"/>
          <w:spacing w:val="0"/>
          <w:color w:val="000000"/>
          <w:position w:val="0"/>
        </w:rPr>
        <w:t>Наибольшее диагностическое значение имеют нейросо- нография и магниторезонансная томография.</w:t>
      </w:r>
    </w:p>
    <w:p>
      <w:pPr>
        <w:pStyle w:val="Style48"/>
        <w:widowControl w:val="0"/>
        <w:keepNext/>
        <w:keepLines/>
        <w:shd w:val="clear" w:color="auto" w:fill="auto"/>
        <w:bidi w:val="0"/>
        <w:jc w:val="both"/>
        <w:spacing w:before="0" w:after="41" w:line="200" w:lineRule="exact"/>
        <w:ind w:left="0" w:right="0" w:firstLine="0"/>
      </w:pPr>
      <w:bookmarkStart w:id="756" w:name="bookmark756"/>
      <w:r>
        <w:rPr>
          <w:lang w:val="ru-RU" w:eastAsia="ru-RU" w:bidi="ru-RU"/>
          <w:w w:val="100"/>
          <w:spacing w:val="0"/>
          <w:color w:val="000000"/>
          <w:position w:val="0"/>
        </w:rPr>
        <w:t>Гипертонический криз</w:t>
      </w:r>
      <w:bookmarkEnd w:id="75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Гипертонический криз — внезапное повышение АД (сис</w:t>
        <w:softHyphen/>
        <w:t>толического и/или диастолического) выше 95-99 перценти</w:t>
        <w:softHyphen/>
        <w:t>ля для конкретного возраста ребенка, сопровождающееся клиническими симптомами нарушения функции жизнен</w:t>
        <w:softHyphen/>
        <w:t>но важных органов и/или нейровегетативных реакций, тре</w:t>
        <w:softHyphen/>
        <w:t>бующее немедленного его снижения (не обязательно до нормальных значений).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гипертонические кризы возникают преимущес</w:t>
        <w:softHyphen/>
        <w:t>твенно при вторичных симптоматических артериальных</w:t>
        <w:br w:type="column"/>
        <w:t>гипертензиях. Самой частой причиной являются болезни почек (гломерулонефриты, реноваскулярные заболевания) и нейрогенная патология (внутричерепная гипертензия на фоне токсикоза, менингита или менингоэнцефалита, че</w:t>
        <w:softHyphen/>
        <w:t>репно-мозговой травмы). Реже причиной гипертоническо</w:t>
        <w:softHyphen/>
        <w:t>го криза выступают феохромоцитома, гипертиреоз, коарк- тация аорты и др. Однако у подростков с выраженными симпато-адреналовыми реакциями возможны кризы и при первичной артериальной гипертензии.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проявления гипертонического криза у ре</w:t>
        <w:softHyphen/>
        <w:t>бенка могут характеризоваться внезапным появлением сильнейшей головной боли преимущественно в височно</w:t>
        <w:softHyphen/>
        <w:t>лобной и затылочной областях, головокружения. Могут от</w:t>
        <w:softHyphen/>
        <w:t>мечаться «приливы» крови к лицу, вялость, тошнота, рвота, не связанная с приемом пищи, кардиалгии, ухудшения зре</w:t>
        <w:softHyphen/>
        <w:t>ния, слуха, парестезии, тремор рук. Пульс напряжен, уча</w:t>
        <w:softHyphen/>
        <w:t>щен. В таких случаях связь с артериальной гипертензией подтверждается двукратным измерением АД на обеих руках ребенка (при ширине манжеты на 20% больше, чем диаметр плеча ребенка).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Гипертонический криз развивается остро, но в более поздних стадиях гипертонической болезни может развивать</w:t>
        <w:softHyphen/>
        <w:t>ся постепенно, его продолжительность от 2-х часов до не</w:t>
        <w:softHyphen/>
        <w:t>скольких дней. Выделяют два типа гипертонического криза.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Патогенез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Гипертонический криз может быть обусловлен двумя ос</w:t>
        <w:softHyphen/>
        <w:t>новными механизмами:</w:t>
      </w:r>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Сосудистый механизм — повышение общего перифе</w:t>
        <w:softHyphen/>
        <w:t>рического сопротивления за счет увеличения вазомо</w:t>
        <w:softHyphen/>
        <w:t>торного (нейрогуморальные влияния) и базального (при задержке натрия) тонуса артериол.</w:t>
      </w:r>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Кардиальный механизм — увеличение сердечного выброса за счет повышения частоты сердечных со</w:t>
        <w:softHyphen/>
        <w:t>кращений, объема циркулирующей крови (ОЦК), со</w:t>
        <w:softHyphen/>
        <w:t>кратимости миокарда.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Классификация. С точки зрения определения объема не</w:t>
        <w:softHyphen/>
        <w:t>обходимой лекарственной терапии и оценки прогноза представляют интерес две классификации, основанные на клинической картине ГК.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 В зависимости от особенностей центральной гемоди</w:t>
        <w:softHyphen/>
        <w:t>намики выделяют гиперкинетические и гипокинетические кризы. ГК первого вида (гиперкинетические) наблюдаются чаще на ранних стадиях АГ, развиваются остро, сопровож</w:t>
        <w:softHyphen/>
        <w:t>даются возбуждением больных, обилием «вегетативных знаков» (мышечная дрожь, усиленное потоотделение, крас</w:t>
        <w:softHyphen/>
        <w:t>ные пятна на коже, сердцебиение, к концу криза полиурия, иногда обильный жидкий стул) и протекают кратковремен</w:t>
        <w:softHyphen/>
        <w:t>но (не более 3-4 ч). Для этих кризов характерно преимуще</w:t>
        <w:softHyphen/>
        <w:t>ственное повышение систолического АД, нарастание пуль</w:t>
        <w:softHyphen/>
        <w:t>сового давления, учащение пульса, преобладание в крови адреналина, который, как известно, обладает способнос</w:t>
        <w:softHyphen/>
        <w:t>тью повышать обмен веществ, вызывать гипергликемию, тахикардию, рост систолического давления.</w:t>
      </w:r>
    </w:p>
    <w:p>
      <w:pPr>
        <w:pStyle w:val="Style30"/>
        <w:widowControl w:val="0"/>
        <w:keepNext w:val="0"/>
        <w:keepLines w:val="0"/>
        <w:shd w:val="clear" w:color="auto" w:fill="auto"/>
        <w:bidi w:val="0"/>
        <w:spacing w:before="0" w:after="0"/>
        <w:ind w:left="0" w:right="0" w:firstLine="280"/>
      </w:pPr>
      <w:r>
        <w:pict>
          <v:shape id="_x0000_s1734" type="#_x0000_t75" style="position:absolute;margin-left:136.8pt;margin-top:736.8pt;width:209.75pt;height:14.9pt;z-index:-125828884;mso-wrap-distance-left:136.8pt;mso-wrap-distance-right:148.1pt;mso-wrap-distance-bottom:10.8pt;mso-position-horizontal-relative:margin;mso-position-vertical-relative:margin" wrapcoords="0 0 21600 0 21600 21600 0 21600 0 0">
            <v:imagedata r:id="rId1163" r:href="rId1164"/>
            <w10:wrap type="topAndBottom" anchorx="margin" anchory="margin"/>
          </v:shape>
        </w:pict>
      </w:r>
      <w:r>
        <w:rPr>
          <w:lang w:val="ru-RU" w:eastAsia="ru-RU" w:bidi="ru-RU"/>
          <w:w w:val="100"/>
          <w:spacing w:val="0"/>
          <w:color w:val="000000"/>
          <w:position w:val="0"/>
        </w:rPr>
        <w:t>Кризам второго вида (гипокинетическим), возникаю</w:t>
        <w:softHyphen/>
        <w:t>щим, как правило, на поздних стадиях заболевания на фо</w:t>
        <w:softHyphen/>
        <w:t>не высокого исходного уровня АД, свойственны менее ост</w:t>
        <w:softHyphen/>
        <w:t>рое начало, более постепенное развитие, сравнительно дли</w:t>
        <w:softHyphen/>
        <w:t>тельное (от нескольких часов до 4-5 дней) и тяжелое тече</w:t>
        <w:softHyphen/>
        <w:t>ние. Эти больные выглядят вялыми, заторможенными. У них особенно резко выражены мозговые и сердечные симптомы. Систолическое и диастолическое давление</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 этих случаях очень высокое, но преобладает подъем диас</w:t>
        <w:softHyphen/>
        <w:t>толического давления, поэтому пульсовое давление не</w:t>
        <w:softHyphen/>
        <w:t>сколько уменьшается. Тахикардия отсутствует или выраже</w:t>
        <w:softHyphen/>
        <w:t>на незначительно. Для ГК второго типа характерно преоб</w:t>
        <w:softHyphen/>
        <w:t>ладание в крови норадреналина, который прежде всего по</w:t>
        <w:softHyphen/>
        <w:t>вышает периферическое сосудистое сопротивление и соот</w:t>
        <w:softHyphen/>
        <w:t>ветственно диастолическое давление.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 По клиническому течению выделяют неосложненные и осложненные ГК. Возможные осложнения: гипертоничес</w:t>
        <w:softHyphen/>
        <w:t>кая энцефалопатия, отек головного мозга (характеризуются головной болью, спутанностью сознания, выраженной тошнотой и рвотой, судорогами, комой); острое нарушение мозгового кровообращения с появлением очаговых невро</w:t>
        <w:softHyphen/>
        <w:t>логических расстройств; эклампсия, развитие сердечной недостаточности (в этом случае пульс становится частым, тоны сердца глухими, в нижних отделах легких начинают выслушиваться незвонкие застойные хрипы — развивается приступ сердечной астмы, в тяжелых случаях отек легких); развитие приступа стенокардии либо инфаркта миокарда, расслаивание аневризмы аорты (основной симптом — жес</w:t>
        <w:softHyphen/>
        <w:t>точайшая боль в груди, иногда волнообразная, иррадииру- ющая в спину и нередко распространяющаяся в подложеч</w:t>
        <w:softHyphen/>
        <w:t>ную область с развитием в типичных случаях клинической картины шока; в зависимости от локализации расслаива</w:t>
        <w:softHyphen/>
        <w:t>ния возможны нарушения кровообращения в бассейне ос</w:t>
        <w:softHyphen/>
        <w:t>новных брыжеечных сосудов с развитием кишечной непро</w:t>
        <w:softHyphen/>
        <w:t>ходимости; аортальная недостаточность, тампонада пери</w:t>
        <w:softHyphen/>
        <w:t>карда, ишемия головного и спинного мозга, конечностей).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Первый тип гипертонического криза чаще всего встреча</w:t>
        <w:softHyphen/>
        <w:t>ется у больных в ранних стадиях гипертонической болезни. Обычно кризис развивается внезапно. Его продолжитель</w:t>
        <w:softHyphen/>
        <w:t>ность, как правило, не превышает 2-х часов. Криз начина</w:t>
        <w:softHyphen/>
        <w:t>ется с резкой головной боли пульсирующего характера, ча</w:t>
        <w:softHyphen/>
        <w:t>сто с головокружением, расстройствами зрения — появле</w:t>
        <w:softHyphen/>
        <w:t>нием перед глазами сетки, искр. Больные жалуются на чув</w:t>
        <w:softHyphen/>
        <w:t>ство жара, потливость, похолодание и дрожь в руках и но</w:t>
        <w:softHyphen/>
        <w:t>гах. Иногда жалуются на боли в области сердца, одышку, сердцебиение, чувство нехватки воздуха. Кожа лица, шеи, рук красная или покрыта красными пятнами. Пульс уча</w:t>
        <w:softHyphen/>
        <w:t>щен, артериальное давление резко повышено, преимущес</w:t>
        <w:softHyphen/>
        <w:t>твенно за счет верхнего компонента (систолическое).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Второй тип криза встречается в более поздних стадиях заболевания. Развивается постепенно и длится от несколь</w:t>
        <w:softHyphen/>
        <w:t>ких часов до нескольких дней. Начинается с мозговых симптомов: тяжести в голове, головной боли, сонливости, звона в ушах, головокружения, оглушенности. Отмечается нарушение сна. Нередко больных беспокоит тошнота, рво</w:t>
        <w:softHyphen/>
        <w:t>та. Отмечается нарушение слуха, зрения. Больные вялы, малоподвижны, лицо красно-синюшного цвета. Кожа хо</w:t>
        <w:softHyphen/>
        <w:t>лодная и сухая. Больные жалуются на боли в области серд</w:t>
        <w:softHyphen/>
        <w:t>ца, одышку, удушье. Пульс, как правило, не изменен. Арте</w:t>
        <w:softHyphen/>
        <w:t>риальное давление значительно повышается, но не так вне</w:t>
        <w:softHyphen/>
        <w:t>запно, как при кризе первого типа.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Немедленной коррекции АД у детей требуют следующие состояния:</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Значительное повышение АД — выше 99 перцентиля.</w:t>
      </w:r>
    </w:p>
    <w:p>
      <w:pPr>
        <w:pStyle w:val="Style30"/>
        <w:numPr>
          <w:ilvl w:val="0"/>
          <w:numId w:val="149"/>
        </w:numPr>
        <w:tabs>
          <w:tab w:leader="none" w:pos="518"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Появление угрожающих жизни симптомов и состоя</w:t>
        <w:softHyphen/>
        <w:t>ний:</w:t>
      </w:r>
    </w:p>
    <w:p>
      <w:pPr>
        <w:pStyle w:val="Style30"/>
        <w:numPr>
          <w:ilvl w:val="0"/>
          <w:numId w:val="15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гипертоническая энцефалопатия, отек мозга;</w:t>
      </w:r>
    </w:p>
    <w:p>
      <w:pPr>
        <w:pStyle w:val="Style30"/>
        <w:numPr>
          <w:ilvl w:val="0"/>
          <w:numId w:val="15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геморрагический или ишемический инсульт;</w:t>
      </w:r>
    </w:p>
    <w:p>
      <w:pPr>
        <w:pStyle w:val="Style30"/>
        <w:numPr>
          <w:ilvl w:val="0"/>
          <w:numId w:val="151"/>
        </w:numPr>
        <w:tabs>
          <w:tab w:leader="none" w:pos="73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субарахноидальное кровоизлияние.</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Бессимптомное умеренное повышение АД в пределах 95-99 перцентиля не требует экстренной гипотензивной те</w:t>
        <w:softHyphen/>
        <w:t>рапии, подбор лечения плановый.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Неотложная помощь:</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Уложить больного с приподнятым головным концом и обеспечить проходимость верхних дыхательных путей.</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Оксигенотерапия.</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качестве первой помощи можно назначить:</w:t>
      </w:r>
    </w:p>
    <w:p>
      <w:pPr>
        <w:pStyle w:val="Style30"/>
        <w:numPr>
          <w:ilvl w:val="0"/>
          <w:numId w:val="151"/>
        </w:numPr>
        <w:tabs>
          <w:tab w:leader="none" w:pos="81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сублингвально или внутрь:</w:t>
      </w:r>
    </w:p>
    <w:p>
      <w:pPr>
        <w:pStyle w:val="Style30"/>
        <w:numPr>
          <w:ilvl w:val="0"/>
          <w:numId w:val="151"/>
        </w:numPr>
        <w:tabs>
          <w:tab w:leader="none" w:pos="93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нифедипин (в 1 таблетке — 10 и 20 мг) в дозе 0,25-0,5 мг/кг или</w:t>
      </w:r>
    </w:p>
    <w:p>
      <w:pPr>
        <w:pStyle w:val="Style30"/>
        <w:numPr>
          <w:ilvl w:val="0"/>
          <w:numId w:val="151"/>
        </w:numPr>
        <w:tabs>
          <w:tab w:leader="none" w:pos="93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каптоприл (в 1 таблетке — 12,5; 25 и 50 мг) в дозе 0,1-0,2 мг/кг или</w:t>
      </w:r>
    </w:p>
    <w:p>
      <w:pPr>
        <w:pStyle w:val="Style30"/>
        <w:numPr>
          <w:ilvl w:val="0"/>
          <w:numId w:val="151"/>
        </w:numPr>
        <w:tabs>
          <w:tab w:leader="none" w:pos="93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клофелин (в 1 таблетке — 0,075 и 0,150 мг) в дозе 0,002 мг/кг;</w:t>
      </w:r>
    </w:p>
    <w:p>
      <w:pPr>
        <w:pStyle w:val="Style30"/>
        <w:numPr>
          <w:ilvl w:val="0"/>
          <w:numId w:val="151"/>
        </w:numPr>
        <w:tabs>
          <w:tab w:leader="none" w:pos="81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парентерально:</w:t>
      </w:r>
    </w:p>
    <w:p>
      <w:pPr>
        <w:pStyle w:val="Style30"/>
        <w:numPr>
          <w:ilvl w:val="0"/>
          <w:numId w:val="151"/>
        </w:numPr>
        <w:tabs>
          <w:tab w:leader="none" w:pos="947"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0,01% раствор клофелина в дозе 0,3-0,5-1,0 мл (в зависимости от возраста) в/м или в/в на 0,9% рас</w:t>
        <w:softHyphen/>
        <w:t>творе натрия хлорида медленно в течение 5-7 мин;</w:t>
      </w:r>
    </w:p>
    <w:p>
      <w:pPr>
        <w:pStyle w:val="Style30"/>
        <w:numPr>
          <w:ilvl w:val="0"/>
          <w:numId w:val="151"/>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в качестве вспомогательного средства может ис</w:t>
        <w:softHyphen/>
        <w:t>пользоваться 1% раствор дибазола в дозе 0,1 -0,2 мл/год жизни в/м или в/в.</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возбуждении и выраженной нейровегетативной симптоматике ввести 0,5% раствор седуксена в дозе 0,1 мл/кг (0,5 мг/кг) в/м.</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симптомах внутричерепной гипертензии (головная боль, рвота, дезориентация и др.) ввести 1% раствор ла- зикса в дозе 0,1-0,2 мл/кг (1-2 мг/кг) в/м или в/в.</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Если эффект от лечения отсутствует, назначить:</w:t>
      </w:r>
    </w:p>
    <w:p>
      <w:pPr>
        <w:pStyle w:val="Style30"/>
        <w:numPr>
          <w:ilvl w:val="0"/>
          <w:numId w:val="151"/>
        </w:numPr>
        <w:tabs>
          <w:tab w:leader="none" w:pos="81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нитропруссид натрия (нанипрусс) в дозе 0,5-1 мкг/кг в мин в/в титрованно под контролем АД (во время инфузии головной конец кровати па</w:t>
        <w:softHyphen/>
        <w:t>циента должен быть приподнят, а пациент должен избегать резких смен положения тела) или</w:t>
      </w:r>
    </w:p>
    <w:p>
      <w:pPr>
        <w:pStyle w:val="Style30"/>
        <w:numPr>
          <w:ilvl w:val="0"/>
          <w:numId w:val="151"/>
        </w:numPr>
        <w:tabs>
          <w:tab w:leader="none" w:pos="81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гидралазин 0,1-0,5 мг/кг в/в или</w:t>
      </w:r>
    </w:p>
    <w:p>
      <w:pPr>
        <w:pStyle w:val="Style30"/>
        <w:numPr>
          <w:ilvl w:val="0"/>
          <w:numId w:val="151"/>
        </w:numPr>
        <w:tabs>
          <w:tab w:leader="none" w:pos="812"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диазоксид 1 мг/кг в/в.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Предпочитаемые препараты при фармакотерапии ос</w:t>
        <w:softHyphen/>
        <w:t>ложненного гипертонического криза представлены в табл. 33.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177"/>
        <w:ind w:left="0" w:right="0" w:firstLine="280"/>
      </w:pPr>
      <w:r>
        <w:rPr>
          <w:lang w:val="ru-RU" w:eastAsia="ru-RU" w:bidi="ru-RU"/>
          <w:w w:val="100"/>
          <w:spacing w:val="0"/>
          <w:color w:val="000000"/>
          <w:position w:val="0"/>
        </w:rPr>
        <w:t>Определяется основным заболеванием.</w:t>
      </w:r>
    </w:p>
    <w:p>
      <w:pPr>
        <w:pStyle w:val="Style28"/>
        <w:widowControl w:val="0"/>
        <w:keepNext/>
        <w:keepLines/>
        <w:shd w:val="clear" w:color="auto" w:fill="auto"/>
        <w:bidi w:val="0"/>
        <w:jc w:val="left"/>
        <w:spacing w:before="0" w:after="120" w:line="220" w:lineRule="exact"/>
        <w:ind w:left="0" w:right="0" w:firstLine="0"/>
      </w:pPr>
      <w:bookmarkStart w:id="757" w:name="bookmark757"/>
      <w:r>
        <w:rPr>
          <w:lang w:val="ru-RU" w:eastAsia="ru-RU" w:bidi="ru-RU"/>
          <w:w w:val="100"/>
          <w:spacing w:val="0"/>
          <w:color w:val="000000"/>
          <w:position w:val="0"/>
        </w:rPr>
        <w:t>Артериальная гипотензия</w:t>
      </w:r>
      <w:bookmarkEnd w:id="757"/>
    </w:p>
    <w:p>
      <w:pPr>
        <w:pStyle w:val="Style48"/>
        <w:widowControl w:val="0"/>
        <w:keepNext/>
        <w:keepLines/>
        <w:shd w:val="clear" w:color="auto" w:fill="auto"/>
        <w:bidi w:val="0"/>
        <w:jc w:val="left"/>
        <w:spacing w:before="0" w:after="101" w:line="200" w:lineRule="exact"/>
        <w:ind w:left="0" w:right="0" w:firstLine="0"/>
      </w:pPr>
      <w:bookmarkStart w:id="758" w:name="bookmark758"/>
      <w:r>
        <w:rPr>
          <w:lang w:val="ru-RU" w:eastAsia="ru-RU" w:bidi="ru-RU"/>
          <w:w w:val="100"/>
          <w:spacing w:val="0"/>
          <w:color w:val="000000"/>
          <w:position w:val="0"/>
        </w:rPr>
        <w:t>Первичная артериальная гипотензия</w:t>
      </w:r>
      <w:bookmarkEnd w:id="75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Понижение АД систолического и(или) диастолического ниже 5 перцентили возрастной нормы. Кратковременное и умеренное понижение АД у здоровых детей связано с ес</w:t>
        <w:softHyphen/>
        <w:t>тественными колебаниями его в зависимости от положения тела, суточного биоритма (с наибольшим снижением в предутренние часы); АД понижается после еды, физичес</w:t>
        <w:softHyphen/>
        <w:t>кого и психического утомления, перегревания, пребывания в душном помещении. При нарушениях равновесия в ак</w:t>
        <w:softHyphen/>
        <w:t>тивности нейроэндокринных систем регуляции возникают отклонения в уровне АД в большей степени в сторону его снижения. Лабильная (неустойчивая) и особенно стабиль</w:t>
        <w:softHyphen/>
        <w:t>ная (длительная) артериальная гипотензия сопровождается понижением тонуса сосудов — сосудистой гипотонией.</w:t>
      </w:r>
    </w:p>
    <w:p>
      <w:pPr>
        <w:pStyle w:val="Style30"/>
        <w:widowControl w:val="0"/>
        <w:keepNext w:val="0"/>
        <w:keepLines w:val="0"/>
        <w:shd w:val="clear" w:color="auto" w:fill="auto"/>
        <w:bidi w:val="0"/>
        <w:spacing w:before="0" w:after="0"/>
        <w:ind w:left="0" w:right="0" w:firstLine="280"/>
      </w:pPr>
      <w:r>
        <w:pict>
          <v:shape id="_x0000_s1735" type="#_x0000_t75" style="position:absolute;margin-left:148.1pt;margin-top:736.8pt;width:209.75pt;height:14.9pt;z-index:-125828883;mso-wrap-distance-left:148.1pt;mso-wrap-distance-right:136.8pt;mso-wrap-distance-bottom:10.8pt;mso-position-horizontal-relative:margin;mso-position-vertical-relative:margin" wrapcoords="0 0 21600 0 21600 21600 0 21600 0 0">
            <v:imagedata r:id="rId1165" r:href="rId1166"/>
            <w10:wrap type="topAndBottom" anchorx="margin" anchory="margin"/>
          </v:shape>
        </w:pict>
      </w:r>
      <w:r>
        <w:rPr>
          <w:lang w:val="ru-RU" w:eastAsia="ru-RU" w:bidi="ru-RU"/>
          <w:w w:val="100"/>
          <w:spacing w:val="0"/>
          <w:color w:val="000000"/>
          <w:position w:val="0"/>
        </w:rPr>
        <w:t>Различают физиологическую и патологическую артери</w:t>
        <w:softHyphen/>
        <w:t>альную гипотензию.</w:t>
      </w:r>
      <w:r>
        <w:br w:type="page"/>
      </w:r>
    </w:p>
    <w:p>
      <w:pPr>
        <w:pStyle w:val="Style30"/>
        <w:widowControl w:val="0"/>
        <w:keepNext w:val="0"/>
        <w:keepLines w:val="0"/>
        <w:shd w:val="clear" w:color="auto" w:fill="auto"/>
        <w:bidi w:val="0"/>
        <w:spacing w:before="0" w:after="0"/>
        <w:ind w:left="0" w:right="0" w:firstLine="280"/>
      </w:pPr>
      <w:r>
        <w:pict>
          <v:shape id="_x0000_s1736" type="#_x0000_t202" style="position:absolute;margin-left:0.6pt;margin-top:26.2pt;width:494.4pt;height:109.9pt;z-index:-125828882;mso-wrap-distance-left:5.pt;mso-wrap-distance-right:5.pt;mso-position-horizontal-relative:margin;mso-position-vertical-relative:margin" filled="f" stroked="f">
            <v:textbox style="mso-fit-shape-to-text:t" inset="0,0,0,0">
              <w:txbxContent>
                <w:tbl>
                  <w:tblPr>
                    <w:tblOverlap w:val="never"/>
                    <w:tblLayout w:type="fixed"/>
                    <w:jc w:val="left"/>
                  </w:tblPr>
                  <w:tblGrid>
                    <w:gridCol w:w="2486"/>
                    <w:gridCol w:w="4872"/>
                    <w:gridCol w:w="2530"/>
                  </w:tblGrid>
                  <w:tr>
                    <w:trPr>
                      <w:trHeight w:val="432"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60" w:lineRule="exact"/>
                          <w:ind w:left="0" w:right="0" w:firstLine="0"/>
                        </w:pPr>
                        <w:r>
                          <w:rPr>
                            <w:rStyle w:val="CharStyle102"/>
                          </w:rPr>
                          <w:t>Осложнения криза</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center"/>
                          <w:spacing w:before="0" w:after="0" w:line="160" w:lineRule="exact"/>
                          <w:ind w:left="0" w:right="0" w:firstLine="0"/>
                        </w:pPr>
                        <w:r>
                          <w:rPr>
                            <w:rStyle w:val="CharStyle102"/>
                          </w:rPr>
                          <w:t>Рекомендуемые лекарственные средства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92" w:lineRule="exact"/>
                          <w:ind w:left="0" w:right="0" w:firstLine="0"/>
                        </w:pPr>
                        <w:r>
                          <w:rPr>
                            <w:rStyle w:val="CharStyle102"/>
                          </w:rPr>
                          <w:t>Противопоказанные лекарствен</w:t>
                          <w:softHyphen/>
                          <w:t>ные средства</w:t>
                        </w:r>
                      </w:p>
                    </w:tc>
                  </w:tr>
                  <w:tr>
                    <w:trPr>
                      <w:trHeight w:val="619"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Энцефалопатия, эклампсия, отек мозга</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Нитропруссид, изосорбида динитрат (нитросорбид), диазоксид (гиперстат), арфонад, фуросемид, бензогексонин, аминазин, суль</w:t>
                          <w:softHyphen/>
                          <w:t>фат магния, дибазол, диазепам, нифедипин (коринфар)</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Резерпин, гидралазин</w:t>
                        </w:r>
                      </w:p>
                    </w:tc>
                  </w:tr>
                  <w:tr>
                    <w:trPr>
                      <w:trHeight w:val="427"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Застойная сердечная недостаточ</w:t>
                          <w:softHyphen/>
                          <w:t>ность, отек легких</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Нитропруссид, изосорбида динитрат, фуросемид, пентамин, нифе- дипин</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Гидралазин, диазоксид, клофелин</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Почечная недостаточность</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Гидралазин (апрессин), фуросемид, допегит</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Диазоксид (гиперстат), арфонад</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Расслаивающая аневризма аорты</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Нитропруссид, арфонад</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Диазоксид, гидралазин</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При беременности</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Гидралазин, фуросемид, допегит</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1англиоблокаторы</w:t>
                        </w:r>
                      </w:p>
                    </w:tc>
                  </w:tr>
                </w:tbl>
              </w:txbxContent>
            </v:textbox>
            <w10:wrap type="topAndBottom" anchorx="margin" anchory="margin"/>
          </v:shape>
        </w:pict>
      </w:r>
      <w:r>
        <w:pict>
          <v:shape id="_x0000_s1737" type="#_x0000_t202" style="position:absolute;margin-left:413.9pt;margin-top:1.7pt;width:81.1pt;height:10.2pt;z-index:-125828881;mso-wrap-distance-left:5.pt;mso-wrap-distance-right:5.pt;mso-position-horizontal-relative:margin;mso-position-vertical-relative:margin" filled="f" stroked="f">
            <v:textbox style="mso-fit-shape-to-text:t" inset="0,0,0,0">
              <w:txbxContent>
                <w:p>
                  <w:pPr>
                    <w:pStyle w:val="Style139"/>
                    <w:widowControl w:val="0"/>
                    <w:keepNext w:val="0"/>
                    <w:keepLines w:val="0"/>
                    <w:shd w:val="clear" w:color="auto" w:fill="auto"/>
                    <w:bidi w:val="0"/>
                    <w:spacing w:before="0" w:after="0" w:line="180" w:lineRule="exact"/>
                    <w:ind w:left="0" w:right="0" w:firstLine="0"/>
                  </w:pPr>
                  <w:r>
                    <w:rPr>
                      <w:rStyle w:val="CharStyle143"/>
                      <w:b/>
                      <w:bCs/>
                      <w:i/>
                      <w:iCs/>
                    </w:rPr>
                    <w:t>Таблица 33</w:t>
                  </w:r>
                </w:p>
              </w:txbxContent>
            </v:textbox>
            <w10:wrap type="topAndBottom" anchorx="margin" anchory="margin"/>
          </v:shape>
        </w:pict>
      </w:r>
      <w:r>
        <w:pict>
          <v:shape id="_x0000_s1738" type="#_x0000_t202" style="position:absolute;margin-left:117.5pt;margin-top:10.85pt;width:259.45pt;height:11.85pt;z-index:-125828880;mso-wrap-distance-left:5.pt;mso-wrap-distance-right:5.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Лекарственные средства для купирования гипертонического криза</w:t>
                  </w:r>
                </w:p>
              </w:txbxContent>
            </v:textbox>
            <w10:wrap type="topAndBottom" anchorx="margin" anchory="margin"/>
          </v:shape>
        </w:pict>
      </w:r>
      <w:r>
        <w:rPr>
          <w:lang w:val="ru-RU" w:eastAsia="ru-RU" w:bidi="ru-RU"/>
          <w:w w:val="100"/>
          <w:spacing w:val="0"/>
          <w:color w:val="000000"/>
          <w:position w:val="0"/>
        </w:rPr>
        <w:t>Физиологическая первичная артериальная гипотензия (ПАГ) является самостоятельным заболеванием, при кото</w:t>
        <w:softHyphen/>
        <w:t>ром первично возникает артериальная гипотензия, а на ее фоне — изменения центральной и периферической гемо</w:t>
        <w:softHyphen/>
        <w:t>динамики, психосоматического статуса, функционального состояния вегетативной нервной системы, выраженные снижением физической и умственной работоспособности.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Распространенность ПАГ среди детей и подростков в последние годы значительно возросла. Так, в зависимости от характера обучения в школе, по данным отечественных авторов, ПАГ наблюдается у 6,6-10,8% учащихся. При этом со всей очевидностью показано, что ПАГ у взрослых берет свое начало в детском возрасте. Кроме того, известны мно</w:t>
        <w:softHyphen/>
        <w:t>гочисленные факты перехода ПАГ детей в гипертоничес</w:t>
        <w:softHyphen/>
        <w:t>кую болезнь у взрослых. Другими словами, ПАГ является одним из факторов раннего развития атеросклероза и ише</w:t>
        <w:softHyphen/>
        <w:t>мической болезни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Классификация артериальной гипотензии (Н.С. Молча</w:t>
        <w:softHyphen/>
        <w:t>нов, 1962):</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Физиологическая гипотензия.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Гипотензия как индивидуальный вариант нормы.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Гипотензия повышенной тренированности (спортивная гипотензия).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Адаптивная (компенсаторная) гипотензия, развивающа</w:t>
        <w:softHyphen/>
        <w:t>яся у жителей высокогорья, тропиков и т. д.</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Патологическая гипотензия.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Нейроциркуляторная (первичная) гипотензия:</w:t>
      </w:r>
    </w:p>
    <w:p>
      <w:pPr>
        <w:pStyle w:val="Style30"/>
        <w:numPr>
          <w:ilvl w:val="0"/>
          <w:numId w:val="149"/>
        </w:numPr>
        <w:tabs>
          <w:tab w:leader="none" w:pos="758"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 нестойким, обратимым течением.</w:t>
      </w:r>
    </w:p>
    <w:p>
      <w:pPr>
        <w:pStyle w:val="Style30"/>
        <w:numPr>
          <w:ilvl w:val="0"/>
          <w:numId w:val="149"/>
        </w:numPr>
        <w:tabs>
          <w:tab w:leader="none" w:pos="758"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Выраженная стойкая форма (гипотоническая бо</w:t>
        <w:softHyphen/>
        <w:t>лезнь).</w:t>
      </w:r>
    </w:p>
    <w:p>
      <w:pPr>
        <w:pStyle w:val="Style30"/>
        <w:numPr>
          <w:ilvl w:val="0"/>
          <w:numId w:val="149"/>
        </w:numPr>
        <w:tabs>
          <w:tab w:leader="none" w:pos="758"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 ортостатическим синдромом.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Симптоматическая (вторичная) гипотензия:</w:t>
      </w:r>
    </w:p>
    <w:p>
      <w:pPr>
        <w:pStyle w:val="Style30"/>
        <w:numPr>
          <w:ilvl w:val="0"/>
          <w:numId w:val="149"/>
        </w:numPr>
        <w:tabs>
          <w:tab w:leader="none" w:pos="758"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Острая.</w:t>
      </w:r>
    </w:p>
    <w:p>
      <w:pPr>
        <w:pStyle w:val="Style30"/>
        <w:numPr>
          <w:ilvl w:val="0"/>
          <w:numId w:val="149"/>
        </w:numPr>
        <w:tabs>
          <w:tab w:leader="none" w:pos="758"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Хроническая.</w:t>
      </w:r>
    </w:p>
    <w:p>
      <w:pPr>
        <w:pStyle w:val="Style30"/>
        <w:numPr>
          <w:ilvl w:val="0"/>
          <w:numId w:val="149"/>
        </w:numPr>
        <w:tabs>
          <w:tab w:leader="none" w:pos="758"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С выраженным ортостатическим синдромом.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Этиология</w:t>
      </w:r>
    </w:p>
    <w:p>
      <w:pPr>
        <w:pStyle w:val="Style30"/>
        <w:numPr>
          <w:ilvl w:val="0"/>
          <w:numId w:val="149"/>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Наследственно конституциональная неполноцен</w:t>
        <w:softHyphen/>
        <w:t>ность высших сосудодвигательных центров, своеоб</w:t>
        <w:softHyphen/>
        <w:t>разная астеническая сосудистая конституция.</w:t>
      </w:r>
    </w:p>
    <w:p>
      <w:pPr>
        <w:pStyle w:val="Style30"/>
        <w:numPr>
          <w:ilvl w:val="0"/>
          <w:numId w:val="149"/>
        </w:numPr>
        <w:tabs>
          <w:tab w:leader="none" w:pos="512"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Длительные психоэмоциональные и психосоциаль</w:t>
        <w:softHyphen/>
        <w:t>ные стрессы.</w:t>
      </w:r>
    </w:p>
    <w:p>
      <w:pPr>
        <w:pStyle w:val="Style30"/>
        <w:numPr>
          <w:ilvl w:val="0"/>
          <w:numId w:val="149"/>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Длительное умственное перенапряжение.</w:t>
      </w:r>
    </w:p>
    <w:p>
      <w:pPr>
        <w:pStyle w:val="Style30"/>
        <w:numPr>
          <w:ilvl w:val="0"/>
          <w:numId w:val="149"/>
        </w:numPr>
        <w:tabs>
          <w:tab w:leader="none" w:pos="51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Черепно-мозговые травмы.</w:t>
      </w:r>
    </w:p>
    <w:p>
      <w:pPr>
        <w:pStyle w:val="Style30"/>
        <w:numPr>
          <w:ilvl w:val="0"/>
          <w:numId w:val="149"/>
        </w:numPr>
        <w:tabs>
          <w:tab w:leader="none" w:pos="512"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Часто обостряющаяся хроническая носоглоточная инфекция.</w:t>
      </w:r>
    </w:p>
    <w:p>
      <w:pPr>
        <w:pStyle w:val="Style30"/>
        <w:numPr>
          <w:ilvl w:val="0"/>
          <w:numId w:val="149"/>
        </w:numPr>
        <w:tabs>
          <w:tab w:leader="none" w:pos="512"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Перенесенные в детстве нарушения питания и тяже</w:t>
        <w:softHyphen/>
        <w:t>лые инфекционные заболевания.</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Влияние профессиональных факторов: перегрева</w:t>
        <w:softHyphen/>
        <w:t>ния, шума, вибрации.</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Ионизирующая радиация.</w:t>
      </w:r>
    </w:p>
    <w:p>
      <w:pPr>
        <w:pStyle w:val="Style30"/>
        <w:numPr>
          <w:ilvl w:val="0"/>
          <w:numId w:val="149"/>
        </w:numPr>
        <w:tabs>
          <w:tab w:leader="none" w:pos="518" w:val="left"/>
        </w:tabs>
        <w:widowControl w:val="0"/>
        <w:keepNext w:val="0"/>
        <w:keepLines w:val="0"/>
        <w:shd w:val="clear" w:color="auto" w:fill="auto"/>
        <w:bidi w:val="0"/>
        <w:spacing w:before="0" w:after="120"/>
        <w:ind w:left="520" w:right="0" w:hanging="240"/>
      </w:pPr>
      <w:r>
        <w:rPr>
          <w:lang w:val="ru-RU" w:eastAsia="ru-RU" w:bidi="ru-RU"/>
          <w:w w:val="100"/>
          <w:spacing w:val="0"/>
          <w:color w:val="000000"/>
          <w:position w:val="0"/>
        </w:rPr>
        <w:t>Физическое перенапряжение, спортивные перегрузки.</w:t>
      </w:r>
    </w:p>
    <w:p>
      <w:pPr>
        <w:pStyle w:val="Style92"/>
        <w:widowControl w:val="0"/>
        <w:keepNext/>
        <w:keepLines/>
        <w:shd w:val="clear" w:color="auto" w:fill="auto"/>
        <w:bidi w:val="0"/>
        <w:spacing w:before="0" w:after="0"/>
        <w:ind w:left="520" w:right="0" w:hanging="240"/>
      </w:pPr>
      <w:bookmarkStart w:id="759" w:name="bookmark759"/>
      <w:r>
        <w:rPr>
          <w:lang w:val="ru-RU" w:eastAsia="ru-RU" w:bidi="ru-RU"/>
          <w:w w:val="100"/>
          <w:spacing w:val="0"/>
          <w:color w:val="000000"/>
          <w:position w:val="0"/>
        </w:rPr>
        <w:t>Физиологическая артериальная гипотензия</w:t>
      </w:r>
      <w:bookmarkEnd w:id="759"/>
    </w:p>
    <w:p>
      <w:pPr>
        <w:pStyle w:val="Style30"/>
        <w:widowControl w:val="0"/>
        <w:keepNext w:val="0"/>
        <w:keepLines w:val="0"/>
        <w:shd w:val="clear" w:color="auto" w:fill="auto"/>
        <w:bidi w:val="0"/>
        <w:spacing w:before="0" w:after="125"/>
        <w:ind w:left="0" w:right="0" w:firstLine="280"/>
      </w:pPr>
      <w:r>
        <w:rPr>
          <w:lang w:val="ru-RU" w:eastAsia="ru-RU" w:bidi="ru-RU"/>
          <w:w w:val="100"/>
          <w:spacing w:val="0"/>
          <w:color w:val="000000"/>
          <w:position w:val="0"/>
        </w:rPr>
        <w:t>При физиологической артериальной гипотензии пони</w:t>
        <w:softHyphen/>
        <w:t>жение артериального давления не сопровождается измене</w:t>
        <w:softHyphen/>
        <w:t>нием самочувствия, какими-либо жалобами, снижением работоспособности и функциональных резервов. Это мо</w:t>
        <w:softHyphen/>
        <w:t>жет быть компенсаторной реакцией организма на система</w:t>
        <w:softHyphen/>
        <w:t>тическую повышенную двигательную активность, напри</w:t>
        <w:softHyphen/>
        <w:t>мер у спортсменов, или на длительное пребывание в жар</w:t>
        <w:softHyphen/>
        <w:t>ком климате либо на высокогорье, как у жителей опреде</w:t>
        <w:softHyphen/>
        <w:t>ленных регионов. Лица с физиологической гипотензией являются здоровыми и в лечении и оздоровлении не нужда</w:t>
        <w:softHyphen/>
        <w:t>ются. Среди детей и подростков физиологическая гипотен</w:t>
        <w:softHyphen/>
        <w:t>зия встречается в 5-8% случаев.</w:t>
      </w:r>
    </w:p>
    <w:p>
      <w:pPr>
        <w:pStyle w:val="Style54"/>
        <w:widowControl w:val="0"/>
        <w:keepNext/>
        <w:keepLines/>
        <w:shd w:val="clear" w:color="auto" w:fill="auto"/>
        <w:bidi w:val="0"/>
        <w:jc w:val="left"/>
        <w:spacing w:before="0" w:after="35" w:line="210" w:lineRule="exact"/>
        <w:ind w:left="0" w:right="0" w:firstLine="0"/>
      </w:pPr>
      <w:bookmarkStart w:id="760" w:name="bookmark760"/>
      <w:r>
        <w:rPr>
          <w:lang w:val="ru-RU" w:eastAsia="ru-RU" w:bidi="ru-RU"/>
          <w:w w:val="100"/>
          <w:spacing w:val="0"/>
          <w:color w:val="000000"/>
          <w:position w:val="0"/>
        </w:rPr>
        <w:t>Первичная артериальная гипертензия</w:t>
      </w:r>
      <w:bookmarkEnd w:id="760"/>
    </w:p>
    <w:p>
      <w:pPr>
        <w:pStyle w:val="Style92"/>
        <w:widowControl w:val="0"/>
        <w:keepNext/>
        <w:keepLines/>
        <w:shd w:val="clear" w:color="auto" w:fill="auto"/>
        <w:bidi w:val="0"/>
        <w:spacing w:before="0" w:after="0"/>
        <w:ind w:left="520" w:right="0" w:hanging="240"/>
      </w:pPr>
      <w:bookmarkStart w:id="761" w:name="bookmark761"/>
      <w:r>
        <w:rPr>
          <w:lang w:val="ru-RU" w:eastAsia="ru-RU" w:bidi="ru-RU"/>
          <w:w w:val="100"/>
          <w:spacing w:val="0"/>
          <w:color w:val="000000"/>
          <w:position w:val="0"/>
        </w:rPr>
        <w:t>Патогенез</w:t>
      </w:r>
      <w:bookmarkEnd w:id="761"/>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патогенезе артериальной гипотонии ведущим факто - ром является недостаточность симпатического отдела вегетативной нервной системы (ВНС) с дефицитом синтеза норадреналина и его предшественников, а так</w:t>
        <w:softHyphen/>
        <w:t>же снижением кортикостероидной активности, что ог</w:t>
        <w:softHyphen/>
        <w:t>раничивает возможности обеспечения стрессовых си</w:t>
        <w:softHyphen/>
        <w:t>туаций, т.е. функционирования систем быстрого реаги</w:t>
        <w:softHyphen/>
        <w:t>рования. В сочетании с этим усиливается депрессорное влияние кининов, простагландинов А и Е с преоблада</w:t>
        <w:softHyphen/>
        <w:t>нием тонуса парасимпатического отдела ВНС.</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Изменение нейродинамики в коре головного мозга: преобладание тормозного процесса в лимбической зоне мозга (повышается активность центров, ведаю</w:t>
        <w:softHyphen/>
        <w:t>щих отрицательными эмоциями, развивается их не</w:t>
        <w:softHyphen/>
        <w:t>адекватность), нарушение нормальных взаимоотно</w:t>
        <w:softHyphen/>
        <w:t>шений между корой головного мозга, лимбической зоной и сосудорегулирующими центрами гипотала</w:t>
        <w:softHyphen/>
        <w:t>муса и продолговатого мозга.</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Снижение сосудосуживающей активности сосудоре</w:t>
        <w:softHyphen/>
        <w:t>гулирующих центров гипоталамуса, продолговатого мозга, снижение периферического сопротивления, тонуса вен и венозного возврата к сердцу, снижение минутного объема сердца и АД.</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pict>
          <v:shape id="_x0000_s1739" type="#_x0000_t75" style="position:absolute;margin-left:136.9pt;margin-top:736.8pt;width:209.75pt;height:14.9pt;z-index:-125828879;mso-wrap-distance-left:136.8pt;mso-wrap-distance-right:147.85pt;mso-wrap-distance-bottom:10.8pt;mso-position-horizontal-relative:margin;mso-position-vertical-relative:margin" wrapcoords="0 0 21600 0 21600 21600 0 21600 0 0">
            <v:imagedata r:id="rId1167" r:href="rId1168"/>
            <w10:wrap type="topAndBottom" anchorx="margin" anchory="margin"/>
          </v:shape>
        </w:pict>
      </w:r>
      <w:r>
        <w:rPr>
          <w:lang w:val="ru-RU" w:eastAsia="ru-RU" w:bidi="ru-RU"/>
          <w:w w:val="100"/>
          <w:spacing w:val="0"/>
          <w:color w:val="000000"/>
          <w:position w:val="0"/>
        </w:rPr>
        <w:t>Дисфункция вегетативной нервной системы — повы - шение тонуса парасимпатической и снижение симпа</w:t>
        <w:softHyphen/>
        <w:t>тической нервной системы, в результате чего снижа</w:t>
        <w:softHyphen/>
        <w:t>ется ПС и АД.</w:t>
      </w:r>
      <w:r>
        <w:br w:type="page"/>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Микроциркуляторные и реологические нарушения.</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Повышение активности депрессорных гуморальных механизмов (кининов, простагландинов).</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Снижение реактивности и функциональной способ - ности коры надпочечников.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Жалобы, клиническая симптоматика</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Жалобы при ПАГ бывают очень разнообразными. Частота и степень их выраженности значительно ме</w:t>
        <w:softHyphen/>
        <w:t>няется в зависимости от сезона года, погодных усло</w:t>
        <w:softHyphen/>
        <w:t>вий, времени суток и других факторов. Однако все- таки эти жалобы можно объединить в три основные группы.</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Первую группу составляют жалобы, вызванные нару</w:t>
        <w:softHyphen/>
        <w:t>шением питания головного мозга, — головные боли, головокружения, мелькание «мушек» перед глазами. При этом у детей часто наблюдается повышенная психическая истощаемость, сопровождаемая ослаб - лением памяти, снижением умственной работоспо</w:t>
        <w:softHyphen/>
        <w:t>собности, невозможностью длительного напряже</w:t>
        <w:softHyphen/>
        <w:t>ния, плохой по протяженности концентрацией вни</w:t>
        <w:softHyphen/>
        <w:t>мания, рассеянностью и замедлением реакции. Го</w:t>
        <w:softHyphen/>
        <w:t>ловные боли обычно случаются по утрам, сразу после сна, причем даже длительный сон не дает ощущения отдыха. Боли чаще носят давящий, пульсирующий характер, довольно интенсивны.</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17-20% детей, страдающих ПАГ, бывают обмороч</w:t>
        <w:softHyphen/>
        <w:t>ные состояния. Потеря сознания длится, как прави</w:t>
        <w:softHyphen/>
        <w:t>ло, от нескольких секунд до нескольких минут. Чаще всего обмороки возникают после эмоционального стресса, из-за духоты либо после длительного непо</w:t>
        <w:softHyphen/>
        <w:t>движного стояния. Переход из положения лежа в по</w:t>
        <w:softHyphen/>
        <w:t>ложение стоя (ортостатическая артериальная гипо</w:t>
        <w:softHyphen/>
        <w:t>тензия) сопровождается нередко сильным головокру</w:t>
        <w:softHyphen/>
        <w:t>жением, «потемнением» в глазах и обмороком, то есть резким падением артериального давления и на</w:t>
        <w:softHyphen/>
        <w:t>рушением питания мозга.</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Вторую группу жалоб составляют проявления обще</w:t>
        <w:softHyphen/>
        <w:t>невротического характера: нарушения сна, повышен</w:t>
        <w:softHyphen/>
        <w:t>ная раздражительность, плаксивость. Эти дети вслед</w:t>
        <w:softHyphen/>
        <w:t>ствие выраженных астенических нарушений ощуща</w:t>
        <w:softHyphen/>
        <w:t>ют дискомфорт при поездках на общественном транспорте, в душном помещении, при наличии не</w:t>
        <w:softHyphen/>
        <w:t>приятных запахов и в непредвиденных ситуациях. Они нередко жалуются на боли в животе, суставах, ощущения онемения и «мурашек» в руках и ногах.</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Третью группу составляют жалобы по поводу сердеч</w:t>
        <w:softHyphen/>
        <w:t>но-сосудистой системы: боли в области сердца, серд</w:t>
        <w:softHyphen/>
        <w:t>цебиения, одышка при физических нагрузках. Боли в области сердца чаще носят характер кардиалгии, но изредка отмечаются и сжимающие боли. Сердце</w:t>
        <w:softHyphen/>
        <w:t>биения возникают, как правило, при волнениях и продолжаются недолго. Одышка при физических нагрузках — это результат снижения функционально</w:t>
        <w:softHyphen/>
        <w:t>го состояния сердечно-сосудистой системы, чаще всего из-за детренированности. В результате дети жа</w:t>
        <w:softHyphen/>
        <w:t>луются на общую слабость и быструю утомляемость. Их отличает низкий уровень физической работоспо</w:t>
        <w:softHyphen/>
        <w:t>собности, определяемой при велоэргометрии или с помощью степ-теста.</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ПАГ, как правило, отстают от сверстников в физическом и половом развитии, у них часто асте</w:t>
        <w:softHyphen/>
        <w:t>нический тип конституции. Для них характерно сни</w:t>
        <w:softHyphen/>
        <w:br w:type="column"/>
        <w:t>жение сопротивляемости организма различным фак</w:t>
        <w:softHyphen/>
        <w:t>торам внешней среды, низкие адаптационные воз</w:t>
        <w:softHyphen/>
        <w:t>можности. В частности, многие из них метеотропны: их организм весьма чувствителен к колебаниям атмо - сферного давления, температуры, относительной влажности воздуха и др. Основные формы метеореак</w:t>
        <w:softHyphen/>
        <w:t>ций у этих детей — снижение артериального давления и угнетение физической и умственной работоспособ</w:t>
        <w:softHyphen/>
        <w:t>ности. Для них также характерно нарушение функ</w:t>
        <w:softHyphen/>
        <w:t>ции равновесия, особенно при ходьбе, а также отста</w:t>
        <w:softHyphen/>
        <w:t>вание в моторном развитии. По нашим наблюдени</w:t>
        <w:softHyphen/>
        <w:t>ям, на фоне сниженных таких двигательных качеств, как сила, быстрота и выносливость, особенно броса</w:t>
        <w:softHyphen/>
        <w:t>ется в глаза отставание в формировании универсаль</w:t>
        <w:softHyphen/>
        <w:t>ного двигательного качества — координации движе</w:t>
        <w:softHyphen/>
        <w:t>ний. Отчетливо видны несогласованность и неточ</w:t>
        <w:softHyphen/>
        <w:t>ность движений, сниженная способность владения своим телом и правильного осуществления различ</w:t>
        <w:softHyphen/>
        <w:t>ных двигательных действий. Все это несомненно яв</w:t>
        <w:softHyphen/>
        <w:t>ляется результатом изменений в центральной нерв</w:t>
        <w:softHyphen/>
        <w:t>ной системе и свидетельствует о низкой функцио</w:t>
        <w:softHyphen/>
        <w:t>нальной готовности организма. У многих отмечается снижение тонуса скелетной мускулатуры.</w:t>
      </w:r>
    </w:p>
    <w:p>
      <w:pPr>
        <w:pStyle w:val="Style30"/>
        <w:numPr>
          <w:ilvl w:val="0"/>
          <w:numId w:val="14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Детей и подростков с ПАГ, проходивших у нас курс оздоровительной физкультуры, отличало стойкое по</w:t>
        <w:softHyphen/>
        <w:t>нижение систолического или систолического и диас</w:t>
        <w:softHyphen/>
        <w:t>толического артериального давления, часто — гипер</w:t>
        <w:softHyphen/>
        <w:t>кинетический тип гемоциркуляции, на фоне пара</w:t>
        <w:softHyphen/>
        <w:t>симпатического исходного вегетативного тонуса ги- персимпатикотоническая реактивность и нерацио</w:t>
        <w:softHyphen/>
        <w:t>нальное вегетативное обеспечение при физической и умственной работоспособности.</w:t>
      </w:r>
    </w:p>
    <w:p>
      <w:pPr>
        <w:pStyle w:val="Style30"/>
        <w:numPr>
          <w:ilvl w:val="0"/>
          <w:numId w:val="14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Большую роль в развитии ПАГ играет наследствен</w:t>
        <w:softHyphen/>
        <w:t>ность. Причем отягощенная наследственность в ос</w:t>
        <w:softHyphen/>
        <w:t>новном по материнской линии. В настоящее время преобладает точка зрения, что ПАГ является прояв</w:t>
        <w:softHyphen/>
        <w:t>лением особой формы невроза сосудодвигательных центров. Пусковым механизмом в развитии заболева</w:t>
        <w:softHyphen/>
        <w:t>ния считают длительное психоэмоциональное напря</w:t>
        <w:softHyphen/>
        <w:t>жение, которое, отрицательно воздействуя на мозго</w:t>
        <w:softHyphen/>
        <w:t>вые сосудодвигательные центры, вызывает наруше</w:t>
        <w:softHyphen/>
        <w:t>ния, характерные для артериальной гипотензии.</w:t>
      </w:r>
    </w:p>
    <w:p>
      <w:pPr>
        <w:pStyle w:val="Style30"/>
        <w:numPr>
          <w:ilvl w:val="0"/>
          <w:numId w:val="14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Причиной этой болезни могут быть психогенные факторы. В первую очередь сказываются драматичес</w:t>
        <w:softHyphen/>
        <w:t>кие ситуации и события в семье, неблагополучный социальный фон. Среди эндогенных факторов боль</w:t>
        <w:softHyphen/>
        <w:t>шое значение имеют особенности личности ребенка. При изучении его психологического «портрета» чаще всего выявляются повышенная тревожность и напря</w:t>
        <w:softHyphen/>
        <w:t>женность, эмоциональная возбудимость и чувстви</w:t>
        <w:softHyphen/>
        <w:t>тельность, низкий уровень мотивации к достижению цели, а также интравертированность.</w:t>
      </w:r>
    </w:p>
    <w:p>
      <w:pPr>
        <w:pStyle w:val="Style30"/>
        <w:numPr>
          <w:ilvl w:val="0"/>
          <w:numId w:val="149"/>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развитии ПАГ находят отражения соответствующие недостатки и просчеты в домашнем воспитании в ви</w:t>
        <w:softHyphen/>
        <w:t>де потворствующей и доминирующей гиперпротек</w:t>
        <w:softHyphen/>
        <w:t>ции, то есть создании «тепличных условий», которые, как правило, сочетаются с низким уровнем двига</w:t>
        <w:softHyphen/>
        <w:t>тельной активности ребенка. Все это повышает его чувствительность к любым психогенным воздействи</w:t>
        <w:softHyphen/>
        <w:t>ям и факторам внешней среды.</w:t>
      </w:r>
    </w:p>
    <w:p>
      <w:pPr>
        <w:pStyle w:val="Style30"/>
        <w:numPr>
          <w:ilvl w:val="0"/>
          <w:numId w:val="149"/>
        </w:numPr>
        <w:tabs>
          <w:tab w:leader="none" w:pos="237" w:val="left"/>
        </w:tabs>
        <w:widowControl w:val="0"/>
        <w:keepNext w:val="0"/>
        <w:keepLines w:val="0"/>
        <w:shd w:val="clear" w:color="auto" w:fill="auto"/>
        <w:bidi w:val="0"/>
        <w:spacing w:before="0" w:after="0"/>
        <w:ind w:left="260" w:right="0"/>
      </w:pPr>
      <w:r>
        <w:pict>
          <v:shape id="_x0000_s1740" type="#_x0000_t75" style="position:absolute;margin-left:141.95pt;margin-top:736.8pt;width:209.75pt;height:14.9pt;z-index:-125828878;mso-wrap-distance-left:135.85pt;mso-wrap-distance-right:136.8pt;mso-wrap-distance-bottom:10.8pt;mso-position-horizontal-relative:margin;mso-position-vertical-relative:margin" wrapcoords="0 0 21600 0 21600 21600 0 21600 0 0">
            <v:imagedata r:id="rId1169" r:href="rId1170"/>
            <w10:wrap type="topAndBottom" anchorx="margin" anchory="margin"/>
          </v:shape>
        </w:pict>
      </w:r>
      <w:r>
        <w:rPr>
          <w:lang w:val="ru-RU" w:eastAsia="ru-RU" w:bidi="ru-RU"/>
          <w:w w:val="100"/>
          <w:spacing w:val="0"/>
          <w:color w:val="000000"/>
          <w:position w:val="0"/>
        </w:rPr>
        <w:t>Среди неблагоприятных факторов большое место за</w:t>
        <w:softHyphen/>
        <w:t>нимает повышенное влияние на организм этих детей</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изменений окружающей среды, так как они вслед</w:t>
        <w:softHyphen/>
        <w:t>ствие ослабленных адаптивных механизмов страдают повышенной метеочувствительностью.</w:t>
      </w:r>
    </w:p>
    <w:p>
      <w:pPr>
        <w:pStyle w:val="Style30"/>
        <w:numPr>
          <w:ilvl w:val="0"/>
          <w:numId w:val="14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ПАГ у детей и подростков — это хроническое заболе</w:t>
        <w:softHyphen/>
        <w:t>вание с длительным и волнообразным течением. В ранних стадиях это заболевание довольно успешно лечится. Если же влияние неблагоприятных факто</w:t>
        <w:softHyphen/>
        <w:t>ров продолжается, родители и сам ребенок пренебре</w:t>
        <w:softHyphen/>
        <w:t>гают назначенным лечением, не придерживаются со</w:t>
        <w:softHyphen/>
        <w:t>ветов врача, то заболевание прогрессирует, переходит в кризовое течение с частыми головными болями и последующим возникновением ранних сосудистых изменений в головном мозгу.</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Диагноз первичной артериальной гипотензии ставится на основании характерной клинической симптоматики и показателей артериального давления.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Электрокардиография:</w:t>
      </w:r>
    </w:p>
    <w:p>
      <w:pPr>
        <w:pStyle w:val="Style30"/>
        <w:numPr>
          <w:ilvl w:val="0"/>
          <w:numId w:val="14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Наклонность к брадикардии, синусовая аритмия, возможно развитие синдрома преждевременной ре</w:t>
        <w:softHyphen/>
        <w:t xml:space="preserve">поляризации (смещение сегмента </w:t>
      </w:r>
      <w:r>
        <w:rPr>
          <w:lang w:val="en-US" w:eastAsia="en-US" w:bidi="en-US"/>
          <w:w w:val="100"/>
          <w:spacing w:val="0"/>
          <w:color w:val="000000"/>
          <w:position w:val="0"/>
        </w:rPr>
        <w:t xml:space="preserve">ST </w:t>
      </w:r>
      <w:r>
        <w:rPr>
          <w:lang w:val="ru-RU" w:eastAsia="ru-RU" w:bidi="ru-RU"/>
          <w:w w:val="100"/>
          <w:spacing w:val="0"/>
          <w:color w:val="000000"/>
          <w:position w:val="0"/>
        </w:rPr>
        <w:t>кверху от изо</w:t>
        <w:softHyphen/>
        <w:t>линии с вогнутостью книзу, увеличение амплитуды зубца Т), в случае очень выраженной гипотензии воз</w:t>
        <w:softHyphen/>
        <w:t>можно резкое снижение коронарного кровотока и появление гипоксических изменений (отрицатель</w:t>
        <w:softHyphen/>
        <w:t xml:space="preserve">ный зубец Т, горизонтальное смещение сегмента </w:t>
      </w:r>
      <w:r>
        <w:rPr>
          <w:lang w:val="en-US" w:eastAsia="en-US" w:bidi="en-US"/>
          <w:w w:val="100"/>
          <w:spacing w:val="0"/>
          <w:color w:val="000000"/>
          <w:position w:val="0"/>
        </w:rPr>
        <w:t xml:space="preserve">ST </w:t>
      </w:r>
      <w:r>
        <w:rPr>
          <w:lang w:val="ru-RU" w:eastAsia="ru-RU" w:bidi="ru-RU"/>
          <w:w w:val="100"/>
          <w:spacing w:val="0"/>
          <w:color w:val="000000"/>
          <w:position w:val="0"/>
        </w:rPr>
        <w:t>книзу от изолинии).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Эхокардиография:</w:t>
      </w:r>
    </w:p>
    <w:p>
      <w:pPr>
        <w:pStyle w:val="Style30"/>
        <w:numPr>
          <w:ilvl w:val="0"/>
          <w:numId w:val="149"/>
        </w:numPr>
        <w:tabs>
          <w:tab w:leader="none" w:pos="520"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Исключает органическую патологию сердца, позво</w:t>
        <w:softHyphen/>
        <w:t>ляет определить тип центральной гемодинамики.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Лечение</w:t>
      </w:r>
    </w:p>
    <w:p>
      <w:pPr>
        <w:pStyle w:val="Style30"/>
        <w:numPr>
          <w:ilvl w:val="0"/>
          <w:numId w:val="14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Процесс лечения начинается с упорядочения режима дня. Только при четком соблюдении распорядка дня достигается согласованная деятельность всех органов и систем организма, нормализуется их регуляция. Не менее важно устранение по возможности всех факто</w:t>
        <w:softHyphen/>
        <w:t>ров риска, создание благоприятного психологическо</w:t>
        <w:softHyphen/>
        <w:t>го климата в семье. Важное значение имеет полно - ценное питание, при этом не должно быть больших перерывов между приемами пищи. Дополнительно назначаются витамины группы С, В, А. Оправдано введение в рацион крепкого чая, особенно его зеле</w:t>
        <w:softHyphen/>
        <w:t>ных сортов, обладающих хорошим тонизирующим действием.</w:t>
      </w:r>
    </w:p>
    <w:p>
      <w:pPr>
        <w:pStyle w:val="Style30"/>
        <w:numPr>
          <w:ilvl w:val="0"/>
          <w:numId w:val="14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Важным компонентом лечения больных с ПАГ явля</w:t>
        <w:softHyphen/>
        <w:t>ется психотерапия. По нашим наблюдениям, доста</w:t>
        <w:softHyphen/>
        <w:t>точно эффективно использование при этом аутотре</w:t>
        <w:softHyphen/>
        <w:t>нинга, семейной психокоррекции и музыкотерапии, нормализующей нейрогуморальную регуляцию сосу</w:t>
        <w:softHyphen/>
        <w:t>дистого тонуса.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Оздоровительная физкультура</w:t>
      </w:r>
    </w:p>
    <w:p>
      <w:pPr>
        <w:pStyle w:val="Style30"/>
        <w:numPr>
          <w:ilvl w:val="0"/>
          <w:numId w:val="14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Особенно эффективно для повышения тонуса сосу</w:t>
        <w:softHyphen/>
        <w:t>дов и мышц, физической и умственной работоспо</w:t>
        <w:softHyphen/>
        <w:t>собности, улучшения деятельности ЦНС и функцио</w:t>
        <w:softHyphen/>
        <w:t>нальной способности сердца и кровообращения в це</w:t>
        <w:softHyphen/>
        <w:t>лом систематическое применение физических нагру</w:t>
        <w:softHyphen/>
        <w:t>зок в различных формах. Объем недельной двигатель</w:t>
        <w:softHyphen/>
        <w:t>ной активности не должен быть меньше 8 часов.</w:t>
      </w:r>
    </w:p>
    <w:p>
      <w:pPr>
        <w:pStyle w:val="Style30"/>
        <w:numPr>
          <w:ilvl w:val="0"/>
          <w:numId w:val="14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Показано, что наиболее выраженное нормализующее влияние на тонус скелетной мускулатуры, а отсюда — на сосудистый тонус оказывают нагрузки скорост</w:t>
        <w:softHyphen/>
        <w:t>но-силового и силового характера, а также кратковре-</w:t>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менные статические напряжения. Они повышают мы</w:t>
        <w:softHyphen/>
        <w:t>шечный и сосудистый тонус, нормализуют артериаль</w:t>
        <w:softHyphen/>
        <w:t>ное давление, эмоциональный тонус и деятельность центральной нервной системы. Причем выраженность и длительность этих положительных изменений зави</w:t>
        <w:softHyphen/>
        <w:t>сят от интенсивности физической нагрузки.</w:t>
      </w:r>
    </w:p>
    <w:p>
      <w:pPr>
        <w:pStyle w:val="Style30"/>
        <w:numPr>
          <w:ilvl w:val="0"/>
          <w:numId w:val="14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построении занятий физическими упражнения</w:t>
        <w:softHyphen/>
        <w:t>ми у детей и подростков, страдающих ПАГ, следует, учитывая особенности физиологического действия статических нагрузок, правильно чередовать различ</w:t>
        <w:softHyphen/>
        <w:t>ные по характеру физические упражнения. Так, ста</w:t>
        <w:softHyphen/>
        <w:t>тические напряжения необходимо включать после силовых и скоростно-силовых упражнений, вызыва</w:t>
        <w:softHyphen/>
        <w:t>ющих наибольшее изменение параметров гемодина</w:t>
        <w:softHyphen/>
        <w:t>мики, высшей нервной деятельности и мышечного тонуса. Кроме того, перед использованием статичес</w:t>
        <w:softHyphen/>
        <w:t>ких усилий необходимо предварительно снизить на</w:t>
        <w:softHyphen/>
        <w:t>грузку и ослабить непосредственное действие сило</w:t>
        <w:softHyphen/>
        <w:t>вых и скоростно-силовых нагрузок путем включения дыхательных упражнений.</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Фитотерапия</w:t>
      </w:r>
    </w:p>
    <w:p>
      <w:pPr>
        <w:pStyle w:val="Style30"/>
        <w:numPr>
          <w:ilvl w:val="0"/>
          <w:numId w:val="14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Экстракт или настойка левзеи сафроловидной (мара</w:t>
        <w:softHyphen/>
        <w:t>льего корня) — по 20-30 капель 2 раза в день натощак перед завтраком и обедом за 30 мин до еды.</w:t>
      </w:r>
    </w:p>
    <w:p>
      <w:pPr>
        <w:pStyle w:val="Style30"/>
        <w:numPr>
          <w:ilvl w:val="0"/>
          <w:numId w:val="14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Спиртовая настойка плодов лимонника китайского готовится в пропорции 1:10. Принимать по 30-40 ка</w:t>
        <w:softHyphen/>
        <w:t>пель на 1 столовую ложку воды 2 раза в день перед завтраком и обедом за 30 мин до еды.</w:t>
      </w:r>
    </w:p>
    <w:p>
      <w:pPr>
        <w:pStyle w:val="Style30"/>
        <w:numPr>
          <w:ilvl w:val="0"/>
          <w:numId w:val="14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Настойку корня аралии маньчжурской готовить на 70% спирте (1:5). Принимать по 30-40 капель 3-4 раза в день.</w:t>
      </w:r>
    </w:p>
    <w:p>
      <w:pPr>
        <w:pStyle w:val="Style30"/>
        <w:numPr>
          <w:ilvl w:val="0"/>
          <w:numId w:val="14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Настойку корневищ и корней заманихи высокой приготовить на 40% спирте (1:5). Пить по 30-40 ка</w:t>
        <w:softHyphen/>
        <w:t>пель 2 раза в день.</w:t>
      </w:r>
    </w:p>
    <w:p>
      <w:pPr>
        <w:pStyle w:val="Style30"/>
        <w:numPr>
          <w:ilvl w:val="0"/>
          <w:numId w:val="14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Экстракт родиолы назначают внутрь по 5-10 капель 2-3 раза в день за 15-30 мин до еды. Принимать 10-20 дней.</w:t>
      </w:r>
    </w:p>
    <w:p>
      <w:pPr>
        <w:pStyle w:val="Style30"/>
        <w:numPr>
          <w:ilvl w:val="0"/>
          <w:numId w:val="14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20 г травы очитка едкого на 200 мл кипятка. Прини</w:t>
        <w:softHyphen/>
        <w:t>мать по 1 столовой ложке 3 раза в день.</w:t>
      </w:r>
    </w:p>
    <w:p>
      <w:pPr>
        <w:pStyle w:val="Style30"/>
        <w:numPr>
          <w:ilvl w:val="0"/>
          <w:numId w:val="14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Корневище аира 1 часть, трава будры 4 части, трава вербены 2 части, трава дрока 2 части, трава душицы 4 части, трава зверобоя 14 частей, плоды можжевель</w:t>
        <w:softHyphen/>
        <w:t>ника 1 часть, трава кипрея 4 части, листья мяты 2 ча</w:t>
        <w:softHyphen/>
        <w:t>сти, листья подорожника 4 части, трава спорыша 2 части, плоды шиповника 6 частей. Две-три столо</w:t>
        <w:softHyphen/>
        <w:t>вых ложки сбора насыпать в термос и залить 0,5 л ки</w:t>
        <w:softHyphen/>
        <w:t>пятка. На следующий день выпить весь настой в 3 приема за 20-40 мин до еды.</w:t>
      </w:r>
    </w:p>
    <w:p>
      <w:pPr>
        <w:pStyle w:val="Style30"/>
        <w:numPr>
          <w:ilvl w:val="0"/>
          <w:numId w:val="149"/>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Листья березы 4 части, трава вероники 4 части, кор</w:t>
        <w:softHyphen/>
        <w:t>невище с корнями девясила 1 часть, листья земляни</w:t>
        <w:softHyphen/>
        <w:t>ки 2 части, трава крапивы 2 части, листья мяты 1 часть, корень одуванчика 4 части, листья смороди</w:t>
        <w:softHyphen/>
        <w:t>ны 2 части, трава татарника 10 частей, трава хвоща полевого 2 части, плоды шиповника 6 частей. Две- три столовых ложки сбора залить 0,5 л кипятка. На</w:t>
        <w:softHyphen/>
        <w:t>стоять в термосе ночь. На следующий день выпить настой в течение дня.</w:t>
      </w:r>
    </w:p>
    <w:p>
      <w:pPr>
        <w:pStyle w:val="Style30"/>
        <w:numPr>
          <w:ilvl w:val="0"/>
          <w:numId w:val="149"/>
        </w:numPr>
        <w:tabs>
          <w:tab w:leader="none" w:pos="238" w:val="left"/>
        </w:tabs>
        <w:widowControl w:val="0"/>
        <w:keepNext w:val="0"/>
        <w:keepLines w:val="0"/>
        <w:shd w:val="clear" w:color="auto" w:fill="auto"/>
        <w:bidi w:val="0"/>
        <w:spacing w:before="0" w:after="0"/>
        <w:ind w:left="260" w:right="0"/>
      </w:pPr>
      <w:r>
        <w:pict>
          <v:shape id="_x0000_s1741" type="#_x0000_t75" style="position:absolute;margin-left:136.55pt;margin-top:736.8pt;width:209.75pt;height:14.9pt;z-index:-125828877;mso-wrap-distance-left:136.3pt;mso-wrap-distance-right:148.1pt;mso-wrap-distance-bottom:10.8pt;mso-position-horizontal-relative:margin;mso-position-vertical-relative:margin" wrapcoords="0 0 21600 0 21600 21600 0 21600 0 0">
            <v:imagedata r:id="rId1171" r:href="rId1172"/>
            <w10:wrap type="topAndBottom" anchorx="margin" anchory="margin"/>
          </v:shape>
        </w:pict>
      </w:r>
      <w:r>
        <w:rPr>
          <w:lang w:val="ru-RU" w:eastAsia="ru-RU" w:bidi="ru-RU"/>
          <w:w w:val="100"/>
          <w:spacing w:val="0"/>
          <w:color w:val="000000"/>
          <w:position w:val="0"/>
        </w:rPr>
        <w:t>Корневище аира 1 часть, корень любистока 4 части, трава вероники 2 части, трава зверобоя 14 частей, лист земляники 2 части, плоды можжевельника 1 часть, трава тысячелистника 4 части, трава руты 4 части, цветки цикория 2 части, плоды шиповника</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4 части. Две-три столовых ложки сбора насыпать в термос и залить 0,5 л кипятка. На следующий день выпить весь настой в 3 приема за 20-40 мин до еды.</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Листья березы 6 частей, трава будры 2 части, корне</w:t>
        <w:softHyphen/>
        <w:t>вище с корнями девясила 1 часть, плоды земляники 4 части, трава крапивы 4 части, листья подорожника 2 части, трава спорыша 4 части, трава татарника 14 ча</w:t>
        <w:softHyphen/>
        <w:t>стей, трава тысячелистника 2 части, плоды шиповни</w:t>
        <w:softHyphen/>
        <w:t>ка 4 части. Две-три столовых ложки сбора насыпать в термос и залить 0,5 л кипятка. На следующий день выпить весь настой в 3 приема за 20-40 мин до еды.</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Корневище аира 1 часть, трава вероники 2 части, кор - невище с корнями девясила 2 части, трава зверобоя 10 частей, трава кипрея 2 части, плоды мордовника 4 части, листья мяты 2 части, трава руты 2 части, тра</w:t>
        <w:softHyphen/>
        <w:t>ва татарника 10 частей, плоды шиповника 6 частей. Две-три столовых ложки сбора насыпать в термос и залить 0,5 л кипятка. На следующий день выпить весь настой в 3 приема за 20-40 мин до еды.</w:t>
      </w:r>
    </w:p>
    <w:p>
      <w:pPr>
        <w:pStyle w:val="Style30"/>
        <w:numPr>
          <w:ilvl w:val="0"/>
          <w:numId w:val="149"/>
        </w:numPr>
        <w:tabs>
          <w:tab w:leader="none" w:pos="517" w:val="left"/>
        </w:tabs>
        <w:widowControl w:val="0"/>
        <w:keepNext w:val="0"/>
        <w:keepLines w:val="0"/>
        <w:shd w:val="clear" w:color="auto" w:fill="auto"/>
        <w:bidi w:val="0"/>
        <w:spacing w:before="0" w:after="193"/>
        <w:ind w:left="520" w:right="0" w:hanging="240"/>
      </w:pPr>
      <w:r>
        <w:rPr>
          <w:lang w:val="ru-RU" w:eastAsia="ru-RU" w:bidi="ru-RU"/>
          <w:w w:val="100"/>
          <w:spacing w:val="0"/>
          <w:color w:val="000000"/>
          <w:position w:val="0"/>
        </w:rPr>
        <w:t>Соцветия бессмертника 2 части, листья вахты 4 части, трава вероники 2 части, корневище с корнями девя</w:t>
        <w:softHyphen/>
        <w:t>сила 1 часть, трава зверобоя 5 частей, корень одуван</w:t>
        <w:softHyphen/>
        <w:t>чика 1 часть, соцветия пижмы 2 части, трава полыни 1 часть, цветки цикория 1 часть, трава шалфея 3 час</w:t>
        <w:softHyphen/>
        <w:t>ти. Две-три столовых ложки сбора насыпать в термос и залить 0,5 л кипятка. На следующий день выпить весь настой в 3 приема за 20-40 мин до еды.</w:t>
      </w:r>
    </w:p>
    <w:p>
      <w:pPr>
        <w:pStyle w:val="Style48"/>
        <w:widowControl w:val="0"/>
        <w:keepNext/>
        <w:keepLines/>
        <w:shd w:val="clear" w:color="auto" w:fill="auto"/>
        <w:bidi w:val="0"/>
        <w:jc w:val="left"/>
        <w:spacing w:before="0" w:after="101" w:line="200" w:lineRule="exact"/>
        <w:ind w:left="0" w:right="0" w:firstLine="0"/>
      </w:pPr>
      <w:bookmarkStart w:id="762" w:name="bookmark762"/>
      <w:r>
        <w:rPr>
          <w:lang w:val="ru-RU" w:eastAsia="ru-RU" w:bidi="ru-RU"/>
          <w:w w:val="100"/>
          <w:spacing w:val="0"/>
          <w:color w:val="000000"/>
          <w:position w:val="0"/>
        </w:rPr>
        <w:t>Вторичная артериальная гипотензия</w:t>
      </w:r>
      <w:bookmarkEnd w:id="76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Вторичная артериальная гипотензия (ВАГ) не является самостоятельным заболеванием — это симптом какого-ли</w:t>
        <w:softHyphen/>
        <w:t>бо хронического заболевания (тонзиллит, гастрит, язвенная болезнь, заболевания печени и желчных путей и др.).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Среди кардиологических причин артериальная гипотен</w:t>
        <w:softHyphen/>
        <w:t>зия наблюдается при кардиомиопатиях, миокардитах, пе</w:t>
        <w:softHyphen/>
        <w:t>рикардитах.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Эндокринные заболевания: болезнь Аддисона, недоста</w:t>
        <w:softHyphen/>
        <w:t>точность гипофиза, болезнь Симмондса, острые и хрониче</w:t>
        <w:softHyphen/>
        <w:t>ские инфекции, туберкулез, язвенная болезнь.</w:t>
      </w:r>
    </w:p>
    <w:p>
      <w:pPr>
        <w:pStyle w:val="Style30"/>
        <w:widowControl w:val="0"/>
        <w:keepNext w:val="0"/>
        <w:keepLines w:val="0"/>
        <w:shd w:val="clear" w:color="auto" w:fill="auto"/>
        <w:bidi w:val="0"/>
        <w:spacing w:before="0" w:after="262"/>
        <w:ind w:left="0" w:right="0" w:firstLine="280"/>
      </w:pPr>
      <w:r>
        <w:rPr>
          <w:lang w:val="ru-RU" w:eastAsia="ru-RU" w:bidi="ru-RU"/>
          <w:w w:val="100"/>
          <w:spacing w:val="0"/>
          <w:color w:val="000000"/>
          <w:position w:val="0"/>
        </w:rPr>
        <w:t>Лечение вторичной артериальной гипотензии сводится к лечению основного заболевания.</w:t>
      </w:r>
    </w:p>
    <w:p>
      <w:pPr>
        <w:pStyle w:val="Style54"/>
        <w:widowControl w:val="0"/>
        <w:keepNext/>
        <w:keepLines/>
        <w:shd w:val="clear" w:color="auto" w:fill="auto"/>
        <w:bidi w:val="0"/>
        <w:jc w:val="left"/>
        <w:spacing w:before="0" w:after="0" w:line="264" w:lineRule="exact"/>
        <w:ind w:left="0" w:right="0" w:firstLine="0"/>
      </w:pPr>
      <w:bookmarkStart w:id="763" w:name="bookmark763"/>
      <w:r>
        <w:rPr>
          <w:lang w:val="ru-RU" w:eastAsia="ru-RU" w:bidi="ru-RU"/>
          <w:w w:val="100"/>
          <w:spacing w:val="0"/>
          <w:color w:val="000000"/>
          <w:position w:val="0"/>
        </w:rPr>
        <w:t>Вторичная артериальная гипотензия при надпочечниковой недостаточности</w:t>
      </w:r>
      <w:bookmarkEnd w:id="76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Надпочечниковая недостаточность (недостаточность коры надпочечников, гипокортицизм) — клинический синдром, обусловленный недостаточной секрецией гормо</w:t>
        <w:softHyphen/>
        <w:t>нов коры надпочечников в результате нарушения функцио</w:t>
        <w:softHyphen/>
        <w:t>нирования одного или нескольких звеньев гипоталамо-ги</w:t>
        <w:softHyphen/>
        <w:t>пофизарно-надпочечниковой системы (ГГНС).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Согласно начальной локализации патологического про</w:t>
        <w:softHyphen/>
        <w:t xml:space="preserve">цесса надпочечниковую недостаточность подразделяют на первичную (поражение самой коры надпочечников, 1-НН) и центральные формы: </w:t>
      </w:r>
      <w:r>
        <w:rPr>
          <w:rStyle w:val="CharStyle103"/>
        </w:rPr>
        <w:t>вторичную,</w:t>
      </w:r>
      <w:r>
        <w:rPr>
          <w:lang w:val="ru-RU" w:eastAsia="ru-RU" w:bidi="ru-RU"/>
          <w:w w:val="100"/>
          <w:spacing w:val="0"/>
          <w:color w:val="000000"/>
          <w:position w:val="0"/>
        </w:rPr>
        <w:t xml:space="preserve"> являющуюся результатом нарушения секреции адренокортикотропного гормона (АКТГ) и </w:t>
      </w:r>
      <w:r>
        <w:rPr>
          <w:rStyle w:val="CharStyle103"/>
        </w:rPr>
        <w:t>третичную,</w:t>
      </w:r>
      <w:r>
        <w:rPr>
          <w:lang w:val="ru-RU" w:eastAsia="ru-RU" w:bidi="ru-RU"/>
          <w:w w:val="100"/>
          <w:spacing w:val="0"/>
          <w:color w:val="000000"/>
          <w:position w:val="0"/>
        </w:rPr>
        <w:t xml:space="preserve"> развивающуюся при дефиците корти- котропин-рилизинг-гормона (КРГ). Вторичную и третич</w:t>
        <w:softHyphen/>
        <w:t>ную НН объединяют в центральные формы в связи со слож</w:t>
        <w:softHyphen/>
        <w:t>ностью их дифференциальной диагностики в клинической практике. Нередко их обозначают «вторичная НН» (2-НН).</w:t>
      </w:r>
    </w:p>
    <w:p>
      <w:pPr>
        <w:pStyle w:val="Style92"/>
        <w:widowControl w:val="0"/>
        <w:keepNext/>
        <w:keepLines/>
        <w:shd w:val="clear" w:color="auto" w:fill="auto"/>
        <w:bidi w:val="0"/>
        <w:spacing w:before="0" w:after="0"/>
        <w:ind w:left="520" w:right="0" w:hanging="240"/>
      </w:pPr>
      <w:r>
        <w:br w:type="column"/>
      </w:r>
      <w:bookmarkStart w:id="764" w:name="bookmark764"/>
      <w:r>
        <w:rPr>
          <w:lang w:val="ru-RU" w:eastAsia="ru-RU" w:bidi="ru-RU"/>
          <w:w w:val="100"/>
          <w:spacing w:val="0"/>
          <w:color w:val="000000"/>
          <w:position w:val="0"/>
        </w:rPr>
        <w:t>Причины первичной надпочечниковой недостаточности</w:t>
      </w:r>
      <w:bookmarkEnd w:id="76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Аутоиммунная деструкция коры надпочечников (80-85% всех случаев):</w:t>
      </w:r>
    </w:p>
    <w:p>
      <w:pPr>
        <w:pStyle w:val="Style30"/>
        <w:numPr>
          <w:ilvl w:val="0"/>
          <w:numId w:val="15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изолированная первичная надпочечниковая недо</w:t>
        <w:softHyphen/>
        <w:t>статочность аутоиммунного генеза;</w:t>
      </w:r>
    </w:p>
    <w:p>
      <w:pPr>
        <w:pStyle w:val="Style30"/>
        <w:numPr>
          <w:ilvl w:val="0"/>
          <w:numId w:val="15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первичная надпочечниковая недостаточность в рамках аутоиммунных полигландулярных синд</w:t>
        <w:softHyphen/>
        <w:t>ромов.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Туберкулезное поражение надпочечников (5-10%).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Адренолейкодистрофия (около 6% всех случаев первич</w:t>
        <w:softHyphen/>
        <w:t>ной надпочечниковой недостаточности).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Метастатическое поражение коры надпочечников.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надпочечников при диссеминированных грибковых инфекциях.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ВИЧ-ассоциированный комплекс.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Ятрогенная 1-НН (двусторонняя адреналэктомия по по</w:t>
        <w:softHyphen/>
        <w:t>воду болезни Иценко-Кушинга, двустороннее кровоизлия</w:t>
        <w:softHyphen/>
        <w:t>ние в надпочечники на фоне терапии антикоагулянтами).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Клиническая симптоматика</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Гиперпигментация кожи и слизистых.</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Похудание.</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Общая и мышечная слабость.</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Психическая депрессия.</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Диспепсические расстройства.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Сердечно-сосудистая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Кардинальным синдромом является артериальная гипо</w:t>
        <w:softHyphen/>
        <w:t>тензия.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Может возникнуть картина сосудистого коллапса.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Редко наблюдается острая сердечно-сосудистая недоста</w:t>
        <w:softHyphen/>
        <w:t>точность.</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w:t>
      </w:r>
    </w:p>
    <w:p>
      <w:pPr>
        <w:pStyle w:val="Style107"/>
        <w:widowControl w:val="0"/>
        <w:keepNext w:val="0"/>
        <w:keepLines w:val="0"/>
        <w:shd w:val="clear" w:color="auto" w:fill="auto"/>
        <w:bidi w:val="0"/>
        <w:spacing w:before="0" w:after="305"/>
        <w:ind w:left="0" w:right="0"/>
      </w:pPr>
      <w:r>
        <w:rPr>
          <w:rStyle w:val="CharStyle137"/>
          <w:b w:val="0"/>
          <w:bCs w:val="0"/>
          <w:i w:val="0"/>
          <w:iCs w:val="0"/>
        </w:rPr>
        <w:t xml:space="preserve">Заместительная терапия </w:t>
      </w:r>
      <w:r>
        <w:rPr>
          <w:lang w:val="ru-RU" w:eastAsia="ru-RU" w:bidi="ru-RU"/>
          <w:w w:val="100"/>
          <w:spacing w:val="0"/>
          <w:color w:val="000000"/>
          <w:position w:val="0"/>
        </w:rPr>
        <w:t>гидрокортизоном, флудрокорти- зоном.</w:t>
      </w:r>
    </w:p>
    <w:p>
      <w:pPr>
        <w:pStyle w:val="Style54"/>
        <w:widowControl w:val="0"/>
        <w:keepNext/>
        <w:keepLines/>
        <w:shd w:val="clear" w:color="auto" w:fill="auto"/>
        <w:bidi w:val="0"/>
        <w:jc w:val="left"/>
        <w:spacing w:before="0" w:after="39" w:line="210" w:lineRule="exact"/>
        <w:ind w:left="0" w:right="0" w:firstLine="0"/>
      </w:pPr>
      <w:bookmarkStart w:id="765" w:name="bookmark765"/>
      <w:r>
        <w:rPr>
          <w:lang w:val="ru-RU" w:eastAsia="ru-RU" w:bidi="ru-RU"/>
          <w:w w:val="100"/>
          <w:spacing w:val="0"/>
          <w:color w:val="000000"/>
          <w:position w:val="0"/>
        </w:rPr>
        <w:t>Артериальная гипотензия ортостатическая</w:t>
      </w:r>
      <w:bookmarkEnd w:id="76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Гипотензия артериальная ортостатическая — снижение артериального давления систолического в ортостатическом положении на 20 мм рт. ст. и более.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Е.В.Гембицкий выделяет больных нейроциркуляторной и симптоматической ортостатической гипотензией в само</w:t>
        <w:softHyphen/>
        <w:t>стоятельную классификационную группу. У здорового че</w:t>
        <w:softHyphen/>
        <w:t>ловека при вставании АД диастолическое не меняется, а си</w:t>
        <w:softHyphen/>
        <w:t>столическое может понизиться, но не более чем на 10 мм рт. ст. Это связано с депонированием в венах, прежде всего нижних конечностей, около 200-800 мл крови.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 ортостатической артериальной гипотензии:</w:t>
      </w:r>
    </w:p>
    <w:p>
      <w:pPr>
        <w:pStyle w:val="Style30"/>
        <w:numPr>
          <w:ilvl w:val="0"/>
          <w:numId w:val="149"/>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Нейроциркуляторная артериальная гипотензия (эс- сенциальная).</w:t>
      </w:r>
    </w:p>
    <w:p>
      <w:pPr>
        <w:pStyle w:val="Style30"/>
        <w:numPr>
          <w:ilvl w:val="0"/>
          <w:numId w:val="149"/>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Значительно выраженное варикозное расширение вен нижних конечностей.</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Беременность поздних сроков.</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Массивный диурез.</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Гастродуоденальное кровотечение.</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Профузные поносы.</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Хроническая надпочечниковая недостаточность.</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Длительный постельный режим.</w:t>
      </w:r>
    </w:p>
    <w:p>
      <w:pPr>
        <w:pStyle w:val="Style30"/>
        <w:numPr>
          <w:ilvl w:val="0"/>
          <w:numId w:val="149"/>
        </w:numPr>
        <w:tabs>
          <w:tab w:leader="none" w:pos="517" w:val="left"/>
        </w:tabs>
        <w:widowControl w:val="0"/>
        <w:keepNext w:val="0"/>
        <w:keepLines w:val="0"/>
        <w:shd w:val="clear" w:color="auto" w:fill="auto"/>
        <w:bidi w:val="0"/>
        <w:spacing w:before="0" w:after="0"/>
        <w:ind w:left="520" w:right="0" w:hanging="240"/>
      </w:pPr>
      <w:r>
        <w:pict>
          <v:shape id="_x0000_s1742" type="#_x0000_t75" style="position:absolute;margin-left:147.95pt;margin-top:736.8pt;width:209.75pt;height:14.9pt;z-index:-125828876;mso-wrap-distance-left:147.85pt;mso-wrap-distance-right:136.8pt;mso-wrap-distance-bottom:10.8pt;mso-position-horizontal-relative:margin;mso-position-vertical-relative:margin" wrapcoords="0 0 21600 0 21600 21600 0 21600 0 0">
            <v:imagedata r:id="rId1173" r:href="rId1174"/>
            <w10:wrap type="topAndBottom" anchorx="margin" anchory="margin"/>
          </v:shape>
        </w:pict>
      </w:r>
      <w:r>
        <w:rPr>
          <w:lang w:val="ru-RU" w:eastAsia="ru-RU" w:bidi="ru-RU"/>
          <w:w w:val="100"/>
          <w:spacing w:val="0"/>
          <w:color w:val="000000"/>
          <w:position w:val="0"/>
        </w:rPr>
        <w:t>Синдром гипербрадикинизма (отсутствуют киназы, расщепляющие брадикинин), наследственно обуслов</w:t>
        <w:softHyphen/>
        <w:t>ленный и приобретенный (при демпинг-синдроме). Ортостатическая гипотензия при гипербрадикинизме возникает после еды, способствующей освобождению</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кининов из стенки кишечника и поджелудочной же</w:t>
        <w:softHyphen/>
        <w:t>лезы, и сопровождается ярким покраснением лица вследствие действия кининов на сосуды кожи.</w:t>
      </w:r>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Нарушение дуги барорефлекса на различных уровнях (при сухотке спинного мозга, </w:t>
      </w:r>
      <w:r>
        <w:rPr>
          <w:lang w:val="en-US" w:eastAsia="en-US" w:bidi="en-US"/>
          <w:w w:val="100"/>
          <w:spacing w:val="0"/>
          <w:color w:val="000000"/>
          <w:position w:val="0"/>
        </w:rPr>
        <w:t>B</w:t>
      </w:r>
      <w:r>
        <w:rPr>
          <w:rStyle w:val="CharStyle154"/>
        </w:rPr>
        <w:t>12</w:t>
      </w:r>
      <w:r>
        <w:rPr>
          <w:lang w:val="en-US" w:eastAsia="en-US" w:bidi="en-US"/>
          <w:w w:val="100"/>
          <w:spacing w:val="0"/>
          <w:color w:val="000000"/>
          <w:position w:val="0"/>
        </w:rPr>
        <w:t xml:space="preserve"> </w:t>
      </w:r>
      <w:r>
        <w:rPr>
          <w:lang w:val="ru-RU" w:eastAsia="ru-RU" w:bidi="ru-RU"/>
          <w:w w:val="100"/>
          <w:spacing w:val="0"/>
          <w:color w:val="000000"/>
          <w:position w:val="0"/>
        </w:rPr>
        <w:t>дефицитной ане</w:t>
        <w:softHyphen/>
        <w:t>мии, сахарном диабете, сирингомиелии, миелите, порфирии, полинейропатии Гийена-Барре).</w:t>
      </w:r>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Прием ганглиоблокаторов, изобарина, лабеталола, празозина, нитратов.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симптомы</w:t>
      </w:r>
    </w:p>
    <w:p>
      <w:pPr>
        <w:pStyle w:val="Style30"/>
        <w:numPr>
          <w:ilvl w:val="0"/>
          <w:numId w:val="149"/>
        </w:numPr>
        <w:tabs>
          <w:tab w:leader="none" w:pos="520"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При переходе в вертикальное положение у больных появляются выраженное головокружение, шум в ушах, туман перед глазами, слабость, иногда обмо</w:t>
        <w:softHyphen/>
        <w:t>рочные состояния, тахикардия, систолическое АД снижается на 20 мм рт. ст. и больше.</w:t>
      </w:r>
    </w:p>
    <w:p>
      <w:pPr>
        <w:pStyle w:val="Style92"/>
        <w:widowControl w:val="0"/>
        <w:keepNext/>
        <w:keepLines/>
        <w:shd w:val="clear" w:color="auto" w:fill="auto"/>
        <w:bidi w:val="0"/>
        <w:spacing w:before="0" w:after="0"/>
        <w:ind w:left="0" w:right="0" w:firstLine="280"/>
      </w:pPr>
      <w:bookmarkStart w:id="766" w:name="bookmark766"/>
      <w:r>
        <w:rPr>
          <w:lang w:val="ru-RU" w:eastAsia="ru-RU" w:bidi="ru-RU"/>
          <w:w w:val="100"/>
          <w:spacing w:val="0"/>
          <w:color w:val="000000"/>
          <w:position w:val="0"/>
        </w:rPr>
        <w:t>Артериальная гипотензия ортостатическая первичная, или</w:t>
      </w:r>
      <w:bookmarkEnd w:id="766"/>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асимпатикотоническая ортостатическая артериальная ги</w:t>
        <w:softHyphen/>
        <w:t>потензия. Причина заболевания не установлена. Большин</w:t>
        <w:softHyphen/>
        <w:t>ство авторов считает, что в основе заболевания лежит пер</w:t>
        <w:softHyphen/>
        <w:t>вичная дегенерация невронов вегетативной нервной систе</w:t>
        <w:softHyphen/>
        <w:t>мы и частичная денервация сосудистой системы.</w:t>
      </w:r>
    </w:p>
    <w:p>
      <w:pPr>
        <w:pStyle w:val="Style30"/>
        <w:widowControl w:val="0"/>
        <w:keepNext w:val="0"/>
        <w:keepLines w:val="0"/>
        <w:shd w:val="clear" w:color="auto" w:fill="auto"/>
        <w:bidi w:val="0"/>
        <w:spacing w:before="0" w:after="177"/>
        <w:ind w:left="0" w:right="0" w:firstLine="280"/>
      </w:pPr>
      <w:r>
        <w:rPr>
          <w:lang w:val="ru-RU" w:eastAsia="ru-RU" w:bidi="ru-RU"/>
          <w:w w:val="100"/>
          <w:spacing w:val="0"/>
          <w:color w:val="000000"/>
          <w:position w:val="0"/>
        </w:rPr>
        <w:t>Клинические симптомы. Больные жалуются на слабость, потемнение в глазах, преходящие нарушения зрения, обмо</w:t>
        <w:softHyphen/>
        <w:t>роки при вставании. Обмороки непродолжительны, длятся секунды, быстро проходят, когда больной ложится. Как правило, больные предчувствуют обмороки по появлению «пустоты в голове», мышечной слабости, обычно при раз</w:t>
        <w:softHyphen/>
        <w:t>витии таких признаков сразу пытаются лечь. Ортостатичес</w:t>
        <w:softHyphen/>
        <w:t>кая гипотензия часто тяжелее по утрам, усиливается в теп</w:t>
        <w:softHyphen/>
        <w:t>лую погоду, после обильной еды, физической нагрузки. За</w:t>
        <w:softHyphen/>
        <w:t>болевание редкое. Симпатикотоническая ортостатическая проба. Наиболее частой реакцией на снижение АД при про</w:t>
        <w:softHyphen/>
        <w:t>ведении ортостатической пробы является прирост пульса. Если в ответ на значительное снижение систолического и диастолического артериального давления (на 40</w:t>
        <w:softHyphen/>
        <w:t>50 мм рт. ст.) частота сердечных сокращений не возрастает, говорят об асимпатикотонической ортостатической гипо</w:t>
        <w:softHyphen/>
        <w:t>тензии, или первичной ортостатической гипотензии.</w:t>
      </w:r>
    </w:p>
    <w:p>
      <w:pPr>
        <w:pStyle w:val="Style28"/>
        <w:widowControl w:val="0"/>
        <w:keepNext/>
        <w:keepLines/>
        <w:shd w:val="clear" w:color="auto" w:fill="auto"/>
        <w:bidi w:val="0"/>
        <w:jc w:val="both"/>
        <w:spacing w:before="0" w:after="97" w:line="220" w:lineRule="exact"/>
        <w:ind w:left="0" w:right="0" w:firstLine="0"/>
      </w:pPr>
      <w:bookmarkStart w:id="767" w:name="bookmark767"/>
      <w:r>
        <w:rPr>
          <w:lang w:val="ru-RU" w:eastAsia="ru-RU" w:bidi="ru-RU"/>
          <w:w w:val="100"/>
          <w:spacing w:val="0"/>
          <w:color w:val="000000"/>
          <w:position w:val="0"/>
        </w:rPr>
        <w:t>Сосудистые обмороки</w:t>
      </w:r>
      <w:bookmarkEnd w:id="76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Вазодепрессорные или «доброкачественные» обмороки ха</w:t>
        <w:softHyphen/>
        <w:t>рактеризуются наличием продромальных симптомов, кото</w:t>
        <w:softHyphen/>
        <w:t>рые ребенок может ощущать в течение нескольких секунд или минут перед обмороком. К таким симптомам относят</w:t>
        <w:softHyphen/>
        <w:t>ся: головокружение, бледность, потливость, гипервентиля</w:t>
        <w:softHyphen/>
        <w:t>ция. При обследовании больного в этот момент можно об</w:t>
        <w:softHyphen/>
        <w:t>наружить тахи- или брадикардию, снижение кровяного давления. Вазодепрессорные обмороки возникают при психоэмоциональном напряжении (тревога, страх, забор</w:t>
        <w:br w:type="column"/>
        <w:t>крови или даже только вид иглы или крови). У подростков часто имеются указания на чувство голода в течение 2-4 ча</w:t>
        <w:softHyphen/>
        <w:t>сов перед обмороком. Причиной потери сознания при доб</w:t>
        <w:softHyphen/>
        <w:t>рокачественных обмороках является снижение церебраль</w:t>
        <w:softHyphen/>
        <w:t>ной перфузии, вызванное гипотензией. Восстанавливается церебральная перфузия обычно постепенно. Способство</w:t>
        <w:softHyphen/>
        <w:t>вать этому будет положение ребенка лежа на спине с при</w:t>
        <w:softHyphen/>
        <w:t>поднятыми ногами выше уровня сердца. Синкопе может повториться, если больной слишком рано начинает садить</w:t>
        <w:softHyphen/>
        <w:t>ся или вставать, поэтому часто требуется сохранение гори</w:t>
        <w:softHyphen/>
        <w:t>зонтального положения в течение 10-30 минут. Обычно простые вазодепрессорные синкопе не сопровождаются травматизацией при падении.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Неотложная помощь. Важно обеспечить свободное ды</w:t>
        <w:softHyphen/>
        <w:t>хание, при затянувшемся обмороке помогает вдыхание воз</w:t>
        <w:softHyphen/>
        <w:t>буждающих средств (нашатырный спирт). Медикаментоз</w:t>
        <w:softHyphen/>
        <w:t>ная коррекция обычно не требуется.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Профилактика повторных обмороков. Если у подрост</w:t>
        <w:softHyphen/>
        <w:t>ков возникают симптомы, предшествующие обмороку, они должны принять горизонтальное положение с ногами, при</w:t>
        <w:softHyphen/>
        <w:t>поднятыми выше уровня грудной клетки.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Кашлевые синкопе могут возникать как у взрослых, так и у детей. При кашле происходит снижение сердечного вы</w:t>
        <w:softHyphen/>
        <w:t>броса и повышение давления спинномозговой жидкости, что уменьшает разницу между артериальным и внутриче</w:t>
        <w:softHyphen/>
        <w:t>репным давлением. Также в результате гипокапнии рефлек- торно увеличивается резистентность мозговых сосудов. Со</w:t>
        <w:softHyphen/>
        <w:t>четание этих факторов приводит к синкопе и наблюдается обычно у больных с приступообразным кашлем (например, при крупе или астме).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Гипервентиляция. Гипервентиляционный синдром ха</w:t>
        <w:softHyphen/>
        <w:t>рактеризуется частым глубоким дыханием, сопровождаю</w:t>
        <w:softHyphen/>
        <w:t>щимся чувством теснения в груди, удушьем и сердцебиени</w:t>
        <w:softHyphen/>
        <w:t>ем. Возникновение гипокапнии может сопровождаться онемением и парестезиями в верхних конечностях и пери- орально. Эпизод может продолжаться около 30 минут. ЧСС при этом увеличивается, а кровяное давление снижается. Больные могут воспроизводить симптомы гипервентиля</w:t>
        <w:softHyphen/>
        <w:t>ции, что важно для постановки диагноза.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Сбор анамнеза оказывает существенную помощь в диа</w:t>
        <w:softHyphen/>
        <w:t>гностике вазовагальных синкопе и в дифференцировке их от других форм обмороков (табл. 34).</w:t>
      </w:r>
    </w:p>
    <w:p>
      <w:pPr>
        <w:pStyle w:val="Style30"/>
        <w:widowControl w:val="0"/>
        <w:keepNext w:val="0"/>
        <w:keepLines w:val="0"/>
        <w:shd w:val="clear" w:color="auto" w:fill="auto"/>
        <w:bidi w:val="0"/>
        <w:spacing w:before="0" w:after="0"/>
        <w:ind w:left="0" w:right="0" w:firstLine="280"/>
      </w:pPr>
      <w:r>
        <w:pict>
          <v:shape id="_x0000_s1743" type="#_x0000_t202" style="position:absolute;margin-left:0.5pt;margin-top:591.85pt;width:494.4pt;height:81.35pt;z-index:-125828875;mso-wrap-distance-left:5.pt;mso-wrap-distance-right:5.pt;mso-wrap-distance-bottom:63.6pt;mso-position-horizontal-relative:margin;mso-position-vertical-relative:margin" filled="f" stroked="f">
            <v:textbox style="mso-fit-shape-to-text:t" inset="0,0,0,0">
              <w:txbxContent>
                <w:tbl>
                  <w:tblPr>
                    <w:tblOverlap w:val="never"/>
                    <w:tblLayout w:type="fixed"/>
                    <w:jc w:val="left"/>
                  </w:tblPr>
                  <w:tblGrid>
                    <w:gridCol w:w="2203"/>
                    <w:gridCol w:w="2880"/>
                    <w:gridCol w:w="4805"/>
                  </w:tblGrid>
                  <w:tr>
                    <w:trPr>
                      <w:trHeight w:val="240" w:hRule="exact"/>
                    </w:trPr>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Простые, вазовагальные обмороки</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Возможно злокачественные обмороки</w:t>
                        </w:r>
                      </w:p>
                    </w:tc>
                  </w:tr>
                  <w:tr>
                    <w:trPr>
                      <w:trHeight w:val="427"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Условия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При скоплении народа, голод, жара, обезвоживание, боль, эмоции</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При нагрузке, громком звуке, крайней неожиданности, страхе или без видимой причины</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Предшествующие симптомы</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Могут быть продромальные симптомы</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Отсутствуют или боль в грудной клетке, усталость, сердцебиение</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Ушибы при падении</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Редко</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Могут встречаться</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Продолжительность</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Менее 1 минуты</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Обычно более одной минуты</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Рецидивирование</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Редко</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Отмечаются повторно</w:t>
                        </w:r>
                      </w:p>
                    </w:tc>
                  </w:tr>
                </w:tbl>
              </w:txbxContent>
            </v:textbox>
            <w10:wrap type="topAndBottom" anchorx="margin" anchory="margin"/>
          </v:shape>
        </w:pict>
      </w:r>
      <w:r>
        <w:pict>
          <v:shape id="_x0000_s1744" type="#_x0000_t202" style="position:absolute;margin-left:110.65pt;margin-top:574.3pt;width:271.2pt;height:11.9pt;z-index:-125828874;mso-wrap-distance-left:5.pt;mso-wrap-distance-right:5.pt;mso-wrap-distance-bottom:63.6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Дифференциальная диагностика простых (вазовагальных) обмороков</w:t>
                  </w:r>
                </w:p>
              </w:txbxContent>
            </v:textbox>
            <w10:wrap type="topAndBottom" anchorx="margin" anchory="margin"/>
          </v:shape>
        </w:pict>
      </w:r>
      <w:r>
        <w:pict>
          <v:shape id="_x0000_s1745" type="#_x0000_t202" style="position:absolute;margin-left:449.3pt;margin-top:563.75pt;width:44.9pt;height:11.65pt;z-index:-125828873;mso-wrap-distance-left:5.pt;mso-wrap-distance-right:5.pt;mso-wrap-distance-bottom:63.6pt;mso-position-horizontal-relative:margin;mso-position-vertical-relative:margin" filled="f" stroked="f">
            <v:textbox style="mso-fit-shape-to-text:t" inset="0,0,0,0">
              <w:txbxContent>
                <w:p>
                  <w:pPr>
                    <w:pStyle w:val="Style139"/>
                    <w:widowControl w:val="0"/>
                    <w:keepNext w:val="0"/>
                    <w:keepLines w:val="0"/>
                    <w:shd w:val="clear" w:color="auto" w:fill="auto"/>
                    <w:bidi w:val="0"/>
                    <w:jc w:val="left"/>
                    <w:spacing w:before="0" w:after="0" w:line="180" w:lineRule="exact"/>
                    <w:ind w:left="0" w:right="0" w:firstLine="0"/>
                  </w:pPr>
                  <w:r>
                    <w:rPr>
                      <w:rStyle w:val="CharStyle143"/>
                      <w:b/>
                      <w:bCs/>
                      <w:i/>
                      <w:iCs/>
                    </w:rPr>
                    <w:t>Таблица 34</w:t>
                  </w:r>
                </w:p>
              </w:txbxContent>
            </v:textbox>
            <w10:wrap type="topAndBottom" anchorx="margin" anchory="margin"/>
          </v:shape>
        </w:pict>
      </w:r>
      <w:r>
        <w:pict>
          <v:shape id="_x0000_s1746" type="#_x0000_t75" style="position:absolute;margin-left:136.8pt;margin-top:736.8pt;width:209.75pt;height:14.9pt;z-index:-125828872;mso-wrap-distance-left:136.8pt;mso-wrap-distance-right:148.1pt;mso-wrap-distance-bottom:10.8pt;mso-position-horizontal-relative:margin;mso-position-vertical-relative:margin" wrapcoords="0 0 21600 0 21600 21600 0 21600 0 0">
            <v:imagedata r:id="rId1175" r:href="rId1176"/>
            <w10:wrap type="topAndBottom" anchorx="margin" anchory="margin"/>
          </v:shape>
        </w:pict>
      </w:r>
      <w:r>
        <w:rPr>
          <w:lang w:val="ru-RU" w:eastAsia="ru-RU" w:bidi="ru-RU"/>
          <w:w w:val="100"/>
          <w:spacing w:val="0"/>
          <w:color w:val="000000"/>
          <w:position w:val="0"/>
        </w:rPr>
        <w:t>Так, наличие продромальных признаков и симптомов будет с большей вероятностью свидетельствовать в пользу простых обмороков, в отличие от кардиальных синкопе, которые чаще возникают внезапно. Больные могут жало</w:t>
        <w:softHyphen/>
        <w:t xml:space="preserve">ваться на чувство тревоги, тошноту и </w:t>
      </w:r>
      <w:r>
        <w:rPr>
          <w:lang w:val="en-US" w:eastAsia="en-US" w:bidi="en-US"/>
          <w:w w:val="100"/>
          <w:spacing w:val="0"/>
          <w:color w:val="000000"/>
          <w:position w:val="0"/>
        </w:rPr>
        <w:t xml:space="preserve">diaphoresis. </w:t>
      </w:r>
      <w:r>
        <w:rPr>
          <w:lang w:val="ru-RU" w:eastAsia="ru-RU" w:bidi="ru-RU"/>
          <w:w w:val="100"/>
          <w:spacing w:val="0"/>
          <w:color w:val="000000"/>
          <w:position w:val="0"/>
        </w:rPr>
        <w:t>Затем на</w:t>
        <w:softHyphen/>
        <w:t>ступает потеря сознания и падение, как правило, не сопро</w:t>
        <w:softHyphen/>
        <w:t>вождающееся ушибами. Приходят в себя больные посте</w:t>
        <w:softHyphen/>
        <w:t>пенно. Тонические или клонические судороги обычно от-</w:t>
      </w:r>
      <w:r>
        <w:br w:type="page"/>
      </w:r>
    </w:p>
    <w:p>
      <w:pPr>
        <w:pStyle w:val="Style30"/>
        <w:widowControl w:val="0"/>
        <w:keepNext w:val="0"/>
        <w:keepLines w:val="0"/>
        <w:shd w:val="clear" w:color="auto" w:fill="auto"/>
        <w:bidi w:val="0"/>
        <w:spacing w:before="0" w:after="180"/>
        <w:ind w:left="0" w:right="0" w:firstLine="0"/>
      </w:pPr>
      <w:r>
        <w:rPr>
          <w:lang w:val="ru-RU" w:eastAsia="ru-RU" w:bidi="ru-RU"/>
          <w:w w:val="100"/>
          <w:spacing w:val="0"/>
          <w:color w:val="000000"/>
          <w:position w:val="0"/>
        </w:rPr>
        <w:t>сутствуют, синкопальные эпизоды не имеют тенденции к повторению. Молодые люди, страдающие обмороками, требуют проведения обследования, в том числе кардиоло</w:t>
        <w:softHyphen/>
        <w:t>гического, в следующих случаях: 1) когда обмороки связа</w:t>
        <w:softHyphen/>
        <w:t>ны с нагрузкой, 2) когда обморокам предшествует боль в грудной клетке, 3) когда обмороки сопровождаются от</w:t>
        <w:softHyphen/>
        <w:t>хождением содержимого кишечника или мочевого пузыря, 4) атипичные синкопе (невазодепрессорные), 5) повторные синкопе (более 2-3 раз), 6) когда по данным общего физи- кального исследования предполагается кардиальная пато</w:t>
        <w:softHyphen/>
        <w:t xml:space="preserve">логия. </w:t>
      </w:r>
      <w:r>
        <w:rPr>
          <w:lang w:val="en-US" w:eastAsia="en-US" w:bidi="en-US"/>
          <w:w w:val="100"/>
          <w:spacing w:val="0"/>
          <w:color w:val="000000"/>
          <w:position w:val="0"/>
        </w:rPr>
        <w:t xml:space="preserve">Driscoll </w:t>
      </w:r>
      <w:r>
        <w:rPr>
          <w:lang w:val="ru-RU" w:eastAsia="ru-RU" w:bidi="ru-RU"/>
          <w:w w:val="100"/>
          <w:spacing w:val="0"/>
          <w:color w:val="000000"/>
          <w:position w:val="0"/>
        </w:rPr>
        <w:t xml:space="preserve">и </w:t>
      </w:r>
      <w:r>
        <w:rPr>
          <w:lang w:val="en-US" w:eastAsia="en-US" w:bidi="en-US"/>
          <w:w w:val="100"/>
          <w:spacing w:val="0"/>
          <w:color w:val="000000"/>
          <w:position w:val="0"/>
        </w:rPr>
        <w:t xml:space="preserve">Edwards </w:t>
      </w:r>
      <w:r>
        <w:rPr>
          <w:lang w:val="ru-RU" w:eastAsia="ru-RU" w:bidi="ru-RU"/>
          <w:w w:val="100"/>
          <w:spacing w:val="0"/>
          <w:color w:val="000000"/>
          <w:position w:val="0"/>
        </w:rPr>
        <w:t>рекомендуют также проводить полное анамнестическое и физикальное обследование, двухмерную ЭхоКГ, нагрузочную и 24-часовую ЭКГ всем детям и подросткам, в семьях которых отмечались внезап</w:t>
        <w:softHyphen/>
        <w:t>ные смерти или гипертрофическая кардиомиопатия [10].</w:t>
      </w:r>
    </w:p>
    <w:p>
      <w:pPr>
        <w:pStyle w:val="Style92"/>
        <w:widowControl w:val="0"/>
        <w:keepNext/>
        <w:keepLines/>
        <w:shd w:val="clear" w:color="auto" w:fill="auto"/>
        <w:bidi w:val="0"/>
        <w:spacing w:before="0" w:after="0"/>
        <w:ind w:left="520" w:right="0" w:hanging="240"/>
      </w:pPr>
      <w:bookmarkStart w:id="768" w:name="bookmark768"/>
      <w:r>
        <w:rPr>
          <w:lang w:val="ru-RU" w:eastAsia="ru-RU" w:bidi="ru-RU"/>
          <w:w w:val="100"/>
          <w:spacing w:val="0"/>
          <w:color w:val="000000"/>
          <w:position w:val="0"/>
        </w:rPr>
        <w:t>Лечение</w:t>
      </w:r>
      <w:bookmarkEnd w:id="768"/>
    </w:p>
    <w:p>
      <w:pPr>
        <w:pStyle w:val="Style30"/>
        <w:widowControl w:val="0"/>
        <w:keepNext w:val="0"/>
        <w:keepLines w:val="0"/>
        <w:shd w:val="clear" w:color="auto" w:fill="auto"/>
        <w:bidi w:val="0"/>
        <w:spacing w:before="0" w:after="253"/>
        <w:ind w:left="0" w:right="0" w:firstLine="280"/>
      </w:pPr>
      <w:r>
        <w:rPr>
          <w:lang w:val="ru-RU" w:eastAsia="ru-RU" w:bidi="ru-RU"/>
          <w:w w:val="100"/>
          <w:spacing w:val="0"/>
          <w:color w:val="000000"/>
          <w:position w:val="0"/>
        </w:rPr>
        <w:t>Несмотря на то что вазодепрессорные синкопе довольно распространены и вызывают определенное беспокойство, они редко требуют назначения терапии. Если же рекомен</w:t>
        <w:softHyphen/>
        <w:t>дации даются, они могут включать мероприятия, направ</w:t>
        <w:softHyphen/>
        <w:t>ленные на увеличение объема циркулирующей крови, та</w:t>
        <w:softHyphen/>
        <w:t>кие как поддерживающие чулки на ноги или ограничение жидкости и соли.</w:t>
      </w:r>
    </w:p>
    <w:p>
      <w:pPr>
        <w:pStyle w:val="Style48"/>
        <w:widowControl w:val="0"/>
        <w:keepNext/>
        <w:keepLines/>
        <w:shd w:val="clear" w:color="auto" w:fill="auto"/>
        <w:bidi w:val="0"/>
        <w:jc w:val="both"/>
        <w:spacing w:before="0" w:after="101" w:line="200" w:lineRule="exact"/>
        <w:ind w:left="0" w:right="0" w:firstLine="0"/>
      </w:pPr>
      <w:bookmarkStart w:id="769" w:name="bookmark769"/>
      <w:r>
        <w:rPr>
          <w:lang w:val="ru-RU" w:eastAsia="ru-RU" w:bidi="ru-RU"/>
          <w:w w:val="100"/>
          <w:spacing w:val="0"/>
          <w:color w:val="000000"/>
          <w:position w:val="0"/>
        </w:rPr>
        <w:t>Синдром каротидного синуса</w:t>
      </w:r>
      <w:bookmarkEnd w:id="76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каротидного синуса (СКС) — патологическое состояние, характеризующееся гиперчувствительностью каротидного синуса и клинически проявляющееся бради</w:t>
        <w:softHyphen/>
        <w:t>кардией, гипотонией, головокружением, пресинкопальны- ми и синкопальными состояниями.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Впервые синокаротидное синкопальное состояние было описано в 1930 г., но только в 1933 г. </w:t>
      </w:r>
      <w:r>
        <w:rPr>
          <w:lang w:val="en-US" w:eastAsia="en-US" w:bidi="en-US"/>
          <w:w w:val="100"/>
          <w:spacing w:val="0"/>
          <w:color w:val="000000"/>
          <w:position w:val="0"/>
        </w:rPr>
        <w:t xml:space="preserve">S. Weiss </w:t>
      </w:r>
      <w:r>
        <w:rPr>
          <w:lang w:val="ru-RU" w:eastAsia="ru-RU" w:bidi="ru-RU"/>
          <w:w w:val="100"/>
          <w:spacing w:val="0"/>
          <w:color w:val="000000"/>
          <w:position w:val="0"/>
        </w:rPr>
        <w:t xml:space="preserve">и </w:t>
      </w:r>
      <w:r>
        <w:rPr>
          <w:lang w:val="en-US" w:eastAsia="en-US" w:bidi="en-US"/>
          <w:w w:val="100"/>
          <w:spacing w:val="0"/>
          <w:color w:val="000000"/>
          <w:position w:val="0"/>
        </w:rPr>
        <w:t xml:space="preserve">J. Baker </w:t>
      </w:r>
      <w:r>
        <w:rPr>
          <w:lang w:val="ru-RU" w:eastAsia="ru-RU" w:bidi="ru-RU"/>
          <w:w w:val="100"/>
          <w:spacing w:val="0"/>
          <w:color w:val="000000"/>
          <w:position w:val="0"/>
        </w:rPr>
        <w:t>уста</w:t>
        <w:softHyphen/>
        <w:t>новили, что его причиной является гиперчувствительность каротидного синуса (ГКС).</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Физиология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Коронарный синус представляет собой сегментарное расширение внутренней сонной артерии в месте ее отхожде</w:t>
        <w:softHyphen/>
        <w:t>ния от общей сонной артерии. В его адвентиции расположе</w:t>
        <w:softHyphen/>
        <w:t>ны растягивающиеся рецепторы, от которых афферентные импульсы распространяются по нерву КС, направляющего</w:t>
        <w:softHyphen/>
        <w:t xml:space="preserve">ся в </w:t>
      </w:r>
      <w:r>
        <w:rPr>
          <w:lang w:val="en-US" w:eastAsia="en-US" w:bidi="en-US"/>
          <w:w w:val="100"/>
          <w:spacing w:val="0"/>
          <w:color w:val="000000"/>
          <w:position w:val="0"/>
        </w:rPr>
        <w:t xml:space="preserve">tractus solitarius </w:t>
      </w:r>
      <w:r>
        <w:rPr>
          <w:lang w:val="ru-RU" w:eastAsia="ru-RU" w:bidi="ru-RU"/>
          <w:w w:val="100"/>
          <w:spacing w:val="0"/>
          <w:color w:val="000000"/>
          <w:position w:val="0"/>
        </w:rPr>
        <w:t>и, вероятно, в парамедиальное ретику</w:t>
        <w:softHyphen/>
        <w:t>лярное ядро мозга, в основном с языкоглоточным, шейны</w:t>
        <w:softHyphen/>
        <w:t>ми симпатическими нервами, фарингеальными и ларинге</w:t>
        <w:softHyphen/>
        <w:t>альными ветвями вагуса. К вторичным проекциям первич</w:t>
        <w:softHyphen/>
        <w:t>ных нервных окончаний относятся двигательные ядра вагу- са и ретикулярная формация. Эфферентная цепь, вероятнее всего, включает кардиальные волокна вагуса и симпатичес</w:t>
        <w:softHyphen/>
        <w:t>кие адренергические волокна сердца и сосудов.</w:t>
      </w:r>
    </w:p>
    <w:p>
      <w:pPr>
        <w:pStyle w:val="Style92"/>
        <w:widowControl w:val="0"/>
        <w:keepNext/>
        <w:keepLines/>
        <w:shd w:val="clear" w:color="auto" w:fill="auto"/>
        <w:bidi w:val="0"/>
        <w:spacing w:before="0" w:after="0"/>
        <w:ind w:left="520" w:right="0" w:hanging="240"/>
      </w:pPr>
      <w:bookmarkStart w:id="770" w:name="bookmark770"/>
      <w:r>
        <w:rPr>
          <w:lang w:val="ru-RU" w:eastAsia="ru-RU" w:bidi="ru-RU"/>
          <w:w w:val="100"/>
          <w:spacing w:val="0"/>
          <w:color w:val="000000"/>
          <w:position w:val="0"/>
        </w:rPr>
        <w:t>Частота</w:t>
      </w:r>
      <w:bookmarkEnd w:id="770"/>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Гиперчувствительность каротидного синуса обнару</w:t>
        <w:softHyphen/>
        <w:t>живается приблизительно у 10% практически здоро</w:t>
        <w:softHyphen/>
        <w:t>вых взрослых людей. У этих лиц со временем может спонтанно развиться симптоматика синдрома каро</w:t>
        <w:softHyphen/>
        <w:t>тидного синуса, причем более чем в 65% случаев ее выявление происходит случайно (Гусак В.К. с соавт., 1999).</w:t>
      </w:r>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Синокаротидное синкопальное состояние чаще раз</w:t>
        <w:softHyphen/>
        <w:t>вивается у мужчин с дисфункцией правого коронар</w:t>
        <w:softHyphen/>
        <w:t>ного синуса.</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Истинная частота СКС среди пациентов, обследован</w:t>
        <w:softHyphen/>
        <w:t>ных по поводу синкопальных состояний, в связи с от</w:t>
        <w:softHyphen/>
        <w:t>сутствием единых диагностических критериев неизве</w:t>
        <w:softHyphen/>
        <w:t>стна, по разным сообщениям, она колеблется от 0,5 до 41%. Имеются также сведения, что с возрастом часто</w:t>
        <w:softHyphen/>
        <w:t>та синокаротидного синкопального состояния воз</w:t>
        <w:softHyphen/>
        <w:t>растает в 2-3 раза в сравнении с молодыми лицами.</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синокаротидного синдрома у детей и под</w:t>
        <w:softHyphen/>
        <w:t>ростков не установлена.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 патогенез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Основными причинами синокаротидного синдрома 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детей могут быть:</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Врожденные аномалии развития синокаротидных со - судов, которые часто наблюдаются при аномалии развития дуги аорты (гипоплазия дуги аорты), коарк- тации аорты.</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Воспалительное поражение (артериит Такаясу, бо</w:t>
        <w:softHyphen/>
        <w:t>лезнь Кавасаки).</w:t>
      </w:r>
    </w:p>
    <w:p>
      <w:pPr>
        <w:pStyle w:val="Style30"/>
        <w:numPr>
          <w:ilvl w:val="0"/>
          <w:numId w:val="149"/>
        </w:numPr>
        <w:tabs>
          <w:tab w:leader="none" w:pos="518"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Ранний атеросклероз сосудов при семейных гиперли - пидемиях.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Патологические рефлексы с барорецепторов, располо</w:t>
        <w:softHyphen/>
        <w:t>женных в зоне каротидного синуса, способны резко изме</w:t>
        <w:softHyphen/>
        <w:t>нять ЧСС, АД и вызывать синкопальные состояния.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Потеря сознания у больных с этим синдромом обычно происходит при внезапном урежении ЧСС менее 20 в ми</w:t>
        <w:softHyphen/>
        <w:t>нуту или во время асистолии продолжительностью более 5-10 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Реализация симптоматики при СКС осуществляется за счет не только парасимпатической нервной системы, но и симпатических нервных волокон, входящих в состав эфферентных окончаний дуги синокаротидного рефлекса, что обусловливает разнообразие клинических проявлений СКС.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Определенную роль в развитии СКС играет неравномер - ность поражения (при врожденных мальформациях, васку</w:t>
        <w:softHyphen/>
        <w:t>лите, раннем атеросклерозе) артериального русла, в частно</w:t>
        <w:softHyphen/>
        <w:t>сти меньшее поражение сонных артерий, чем других сосу</w:t>
        <w:softHyphen/>
        <w:t>дов. Известно, что в норме одной из причин снижения то</w:t>
        <w:softHyphen/>
        <w:t>нуса артерий является вагусное воздействие. Гидростатиче</w:t>
        <w:softHyphen/>
        <w:t>ское сопротивление сосудов обратно пропорционально их радиусу в четвертой степени, в связи с чем варьирование площади просвета сосудов значительно сильнее влияет на кровоток, чем изменение в них давления. В то же время способность артерий к расширению непосредственно зави</w:t>
        <w:softHyphen/>
        <w:t>сит от степени их поражения атеросклерозом, т.е. для полу</w:t>
        <w:softHyphen/>
        <w:t>чения соответствующего вазодилатирующего эффекта тре</w:t>
        <w:softHyphen/>
        <w:t>буется более мощная парасимпатическая стимуляция. Под ее воздействием происходит сверхдилатация менее по</w:t>
        <w:softHyphen/>
        <w:t>раженных сонных артерий, в результате чего давление в них катастрофически снижается.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Недостаточности мозгового кровообращения не отмеча</w:t>
        <w:softHyphen/>
        <w:t xml:space="preserve">ется при колебаниях систолического давления до тех пор, пока оно не становится ниже 60 мм рт. ст. в </w:t>
      </w:r>
      <w:r>
        <w:rPr>
          <w:rStyle w:val="CharStyle103"/>
          <w:lang w:val="en-US" w:eastAsia="en-US" w:bidi="en-US"/>
        </w:rPr>
        <w:t>aa. carotis.</w:t>
      </w:r>
      <w:r>
        <w:rPr>
          <w:lang w:val="en-US" w:eastAsia="en-US" w:bidi="en-US"/>
          <w:w w:val="100"/>
          <w:spacing w:val="0"/>
          <w:color w:val="000000"/>
          <w:position w:val="0"/>
        </w:rPr>
        <w:t xml:space="preserve"> </w:t>
      </w:r>
      <w:r>
        <w:rPr>
          <w:lang w:val="ru-RU" w:eastAsia="ru-RU" w:bidi="ru-RU"/>
          <w:w w:val="100"/>
          <w:spacing w:val="0"/>
          <w:color w:val="000000"/>
          <w:position w:val="0"/>
        </w:rPr>
        <w:t>В слу</w:t>
        <w:softHyphen/>
        <w:t>чае уменьшения давления в них ниже указанных значений нарушается органный кровоток и создаются условия для недостаточного кровоснабжения мозга.</w:t>
      </w:r>
    </w:p>
    <w:p>
      <w:pPr>
        <w:pStyle w:val="Style30"/>
        <w:widowControl w:val="0"/>
        <w:keepNext w:val="0"/>
        <w:keepLines w:val="0"/>
        <w:shd w:val="clear" w:color="auto" w:fill="auto"/>
        <w:bidi w:val="0"/>
        <w:spacing w:before="0" w:after="0"/>
        <w:ind w:left="0" w:right="0" w:firstLine="280"/>
      </w:pPr>
      <w:r>
        <w:pict>
          <v:shape id="_x0000_s1747" type="#_x0000_t75" style="position:absolute;margin-left:148.1pt;margin-top:736.8pt;width:209.75pt;height:14.9pt;z-index:-125828871;mso-wrap-distance-left:148.1pt;mso-wrap-distance-right:136.8pt;mso-wrap-distance-bottom:10.8pt;mso-position-horizontal-relative:margin;mso-position-vertical-relative:margin" wrapcoords="0 0 21600 0 21600 21600 0 21600 0 0">
            <v:imagedata r:id="rId1177" r:href="rId1178"/>
            <w10:wrap type="topAndBottom" anchorx="margin" anchory="margin"/>
          </v:shape>
        </w:pict>
      </w:r>
      <w:r>
        <w:rPr>
          <w:lang w:val="ru-RU" w:eastAsia="ru-RU" w:bidi="ru-RU"/>
          <w:w w:val="100"/>
          <w:spacing w:val="0"/>
          <w:color w:val="000000"/>
          <w:position w:val="0"/>
        </w:rPr>
        <w:t>Патологический рефлекс Бецольда-Яриша, для которого характерны выраженная брадикардия и снижение АД, возни</w:t>
        <w:softHyphen/>
        <w:t>кает в результате ишемического поражения хеморецепторов коронарных сосудов, преимущественно задней стенки левого желудочка. Причиной развития СКС, обусловленной пора-</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жением миокарда, может быть нарушение чувствительности барорецепторов левого жедудочка, которые, перестраиваясь под влиянием ишемии, изменяют рефлекторную дугу.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Классификация синдрома каротидного синуса в зависимо</w:t>
        <w:softHyphen/>
        <w:t>сти от видов патологических реакций при проведении ва</w:t>
        <w:softHyphen/>
        <w:t>гусных проб (массажа зоны КС, проб Ашнера и Вальсаль</w:t>
        <w:softHyphen/>
        <w:t>вы) (Ватутин Н.Т. с соавт., 2001):</w:t>
      </w:r>
    </w:p>
    <w:p>
      <w:pPr>
        <w:pStyle w:val="Style30"/>
        <w:numPr>
          <w:ilvl w:val="0"/>
          <w:numId w:val="157"/>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Кардиоингибиторная форма, проявляющаяся асисто</w:t>
        <w:softHyphen/>
        <w:t xml:space="preserve">лией желудочков </w:t>
      </w:r>
      <w:r>
        <w:rPr>
          <w:lang w:val="en-US" w:eastAsia="en-US" w:bidi="en-US"/>
          <w:w w:val="100"/>
          <w:spacing w:val="0"/>
          <w:color w:val="000000"/>
          <w:position w:val="0"/>
        </w:rPr>
        <w:t xml:space="preserve">(sinus-junctional-ventrciular arrest) </w:t>
      </w:r>
      <w:r>
        <w:rPr>
          <w:lang w:val="ru-RU" w:eastAsia="ru-RU" w:bidi="ru-RU"/>
          <w:w w:val="100"/>
          <w:spacing w:val="0"/>
          <w:color w:val="000000"/>
          <w:position w:val="0"/>
        </w:rPr>
        <w:t>длитель</w:t>
        <w:softHyphen/>
        <w:t>ностью не менее 3 с, — наблюдается у 24,2-70% больных.</w:t>
      </w:r>
    </w:p>
    <w:p>
      <w:pPr>
        <w:pStyle w:val="Style30"/>
        <w:numPr>
          <w:ilvl w:val="0"/>
          <w:numId w:val="157"/>
        </w:numPr>
        <w:tabs>
          <w:tab w:leader="none" w:pos="50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Вазодепрессивная, характеризующаяся снижением си</w:t>
        <w:softHyphen/>
        <w:t>столического АД не менее чем на 50 мм рт. ст. или на 30 мм рт. ст. от исходного уровня в сочетании с неврологической симптоматикой, — выявляется у 5-18,6% больных.</w:t>
      </w:r>
    </w:p>
    <w:p>
      <w:pPr>
        <w:pStyle w:val="Style30"/>
        <w:numPr>
          <w:ilvl w:val="0"/>
          <w:numId w:val="157"/>
        </w:numPr>
        <w:tabs>
          <w:tab w:leader="none" w:pos="51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Смешанная, включающая замедление ритма сердца и расширение сосудов, — обнаруживается у 20-57,2% боль</w:t>
        <w:softHyphen/>
        <w:t>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Вазодепрессию при смешанной форме практически не</w:t>
        <w:softHyphen/>
        <w:t>возможно определить из-за наличия кардиоингибиции [12], так как при брадикардии трудно измерить АД, поэто</w:t>
        <w:softHyphen/>
        <w:t>му данный показатель уточняется после восстановления сердечного ритма.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каротидного синуса проявляется пресинко- пальными и синкопальными эпизодами или другими ва</w:t>
        <w:softHyphen/>
        <w:t>гальными симптомами, такими как головокружение, сла</w:t>
        <w:softHyphen/>
        <w:t>бость, брадикардия.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Синкопальные эпизоды чаще возникают в положении стоя или сидя и могут быть спровоцированы сдавлением шеи воротником или галстуком, резким поворотом головы. Иногда они бывают беспричинными. Частота таких явле</w:t>
        <w:softHyphen/>
        <w:t>ний значительно варьирует у каждого пациента, а симпто</w:t>
        <w:softHyphen/>
        <w:t>матика СКС может то убывать, то нарастать.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Особенно опасны синкопальные эпизоды, которые чаще всего наблюдаются при кардиоингибиторной форме, так как в этих случаях около 25% больных получают травмы раз</w:t>
        <w:softHyphen/>
        <w:t>ной степени тяжести, в том числе несовместимые с жизнью.</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Диагностика</w:t>
      </w:r>
    </w:p>
    <w:p>
      <w:pPr>
        <w:pStyle w:val="Style30"/>
        <w:numPr>
          <w:ilvl w:val="0"/>
          <w:numId w:val="149"/>
        </w:numPr>
        <w:tabs>
          <w:tab w:leader="none" w:pos="49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Достоверно поставить диагноз СКС можно у пациен</w:t>
        <w:softHyphen/>
        <w:t>тов с брадикардией, головокружением, гипотонией либо имеющих в анамнезе пресинкопальные или синкопальные эпизоды и отвечающих патологичес</w:t>
        <w:softHyphen/>
        <w:t>кими рефлексами на:</w:t>
      </w:r>
    </w:p>
    <w:p>
      <w:pPr>
        <w:pStyle w:val="Style30"/>
        <w:numPr>
          <w:ilvl w:val="0"/>
          <w:numId w:val="149"/>
        </w:numPr>
        <w:tabs>
          <w:tab w:leader="none" w:pos="49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Спонтанный (резкий поворот головы, сдавление шеи галстуком, бритье, переход из горизонтального поло</w:t>
        <w:softHyphen/>
        <w:t>жения в вертикальное).</w:t>
      </w:r>
    </w:p>
    <w:p>
      <w:pPr>
        <w:pStyle w:val="Style30"/>
        <w:numPr>
          <w:ilvl w:val="0"/>
          <w:numId w:val="149"/>
        </w:numPr>
        <w:tabs>
          <w:tab w:leader="none" w:pos="49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Преднамеренный (массаж зоны КС, пробы Ашнера, Вальсальвы) механический стресс.</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w:t>
      </w:r>
    </w:p>
    <w:p>
      <w:pPr>
        <w:pStyle w:val="Style30"/>
        <w:numPr>
          <w:ilvl w:val="0"/>
          <w:numId w:val="149"/>
        </w:numPr>
        <w:tabs>
          <w:tab w:leader="none" w:pos="49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Монотерапия ингибиторами серотонина, такими как </w:t>
      </w:r>
      <w:r>
        <w:rPr>
          <w:rStyle w:val="CharStyle103"/>
        </w:rPr>
        <w:t>флуоксетин, сетралайн, парокситин.</w:t>
      </w:r>
      <w:r>
        <w:rPr>
          <w:lang w:val="ru-RU" w:eastAsia="ru-RU" w:bidi="ru-RU"/>
          <w:w w:val="100"/>
          <w:spacing w:val="0"/>
          <w:color w:val="000000"/>
          <w:position w:val="0"/>
        </w:rPr>
        <w:t xml:space="preserve"> Аргументируется данный выбор тем, что эти препараты способны по</w:t>
        <w:softHyphen/>
        <w:t>давить все компоненты СКС.</w:t>
      </w:r>
    </w:p>
    <w:p>
      <w:pPr>
        <w:pStyle w:val="Style30"/>
        <w:numPr>
          <w:ilvl w:val="0"/>
          <w:numId w:val="149"/>
        </w:numPr>
        <w:tabs>
          <w:tab w:leader="none" w:pos="49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некоторых случаях развитие симптомов СКС пред</w:t>
        <w:softHyphen/>
        <w:t>упреждается приемом атропина флудрокортизона, повышенным употреблением поваренной соли, а также ношением эластических чулок.</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Имплантация водителя ритма поводится при кардиоин</w:t>
        <w:softHyphen/>
        <w:t>гибиторной форме СКС:</w:t>
      </w:r>
    </w:p>
    <w:p>
      <w:pPr>
        <w:pStyle w:val="Style30"/>
        <w:numPr>
          <w:ilvl w:val="0"/>
          <w:numId w:val="149"/>
        </w:numPr>
        <w:tabs>
          <w:tab w:leader="none" w:pos="49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Используется предсердная </w:t>
      </w:r>
      <w:r>
        <w:rPr>
          <w:rStyle w:val="CharStyle103"/>
          <w:lang w:val="en-US" w:eastAsia="en-US" w:bidi="en-US"/>
        </w:rPr>
        <w:t>(AAI),</w:t>
      </w:r>
      <w:r>
        <w:rPr>
          <w:lang w:val="en-US" w:eastAsia="en-US" w:bidi="en-US"/>
          <w:w w:val="100"/>
          <w:spacing w:val="0"/>
          <w:color w:val="000000"/>
          <w:position w:val="0"/>
        </w:rPr>
        <w:t xml:space="preserve"> </w:t>
      </w:r>
      <w:r>
        <w:rPr>
          <w:lang w:val="ru-RU" w:eastAsia="ru-RU" w:bidi="ru-RU"/>
          <w:w w:val="100"/>
          <w:spacing w:val="0"/>
          <w:color w:val="000000"/>
          <w:position w:val="0"/>
        </w:rPr>
        <w:t xml:space="preserve">желудочковая </w:t>
      </w:r>
      <w:r>
        <w:rPr>
          <w:rStyle w:val="CharStyle103"/>
          <w:lang w:val="en-US" w:eastAsia="en-US" w:bidi="en-US"/>
        </w:rPr>
        <w:t xml:space="preserve">(WI) </w:t>
      </w:r>
      <w:r>
        <w:rPr>
          <w:lang w:val="ru-RU" w:eastAsia="ru-RU" w:bidi="ru-RU"/>
          <w:w w:val="100"/>
          <w:spacing w:val="0"/>
          <w:color w:val="000000"/>
          <w:position w:val="0"/>
        </w:rPr>
        <w:t xml:space="preserve">и двухкамерная </w:t>
      </w:r>
      <w:r>
        <w:rPr>
          <w:rStyle w:val="CharStyle103"/>
          <w:lang w:val="en-US" w:eastAsia="en-US" w:bidi="en-US"/>
        </w:rPr>
        <w:t>(DDD)</w:t>
      </w:r>
      <w:r>
        <w:rPr>
          <w:lang w:val="en-US" w:eastAsia="en-US" w:bidi="en-US"/>
          <w:w w:val="100"/>
          <w:spacing w:val="0"/>
          <w:color w:val="000000"/>
          <w:position w:val="0"/>
        </w:rPr>
        <w:t xml:space="preserve"> </w:t>
      </w:r>
      <w:r>
        <w:rPr>
          <w:lang w:val="ru-RU" w:eastAsia="ru-RU" w:bidi="ru-RU"/>
          <w:w w:val="100"/>
          <w:spacing w:val="0"/>
          <w:color w:val="000000"/>
          <w:position w:val="0"/>
        </w:rPr>
        <w:t>стимуляция.</w:t>
      </w:r>
    </w:p>
    <w:p>
      <w:pPr>
        <w:pStyle w:val="Style30"/>
        <w:numPr>
          <w:ilvl w:val="0"/>
          <w:numId w:val="149"/>
        </w:numPr>
        <w:tabs>
          <w:tab w:leader="none" w:pos="520"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Рекомендуется использование секвенциальных води</w:t>
        <w:softHyphen/>
        <w:t xml:space="preserve">телей ритма </w:t>
      </w:r>
      <w:r>
        <w:rPr>
          <w:rStyle w:val="CharStyle103"/>
          <w:lang w:val="en-US" w:eastAsia="en-US" w:bidi="en-US"/>
        </w:rPr>
        <w:t>(DDDR, DDIR),</w:t>
      </w:r>
      <w:r>
        <w:rPr>
          <w:lang w:val="en-US" w:eastAsia="en-US" w:bidi="en-US"/>
          <w:w w:val="100"/>
          <w:spacing w:val="0"/>
          <w:color w:val="000000"/>
          <w:position w:val="0"/>
        </w:rPr>
        <w:t xml:space="preserve"> </w:t>
      </w:r>
      <w:r>
        <w:rPr>
          <w:lang w:val="ru-RU" w:eastAsia="ru-RU" w:bidi="ru-RU"/>
          <w:w w:val="100"/>
          <w:spacing w:val="0"/>
          <w:color w:val="000000"/>
          <w:position w:val="0"/>
        </w:rPr>
        <w:t>режимы стимуляции ко</w:t>
        <w:softHyphen/>
        <w:t>торых наиболее физиологичны.</w:t>
      </w:r>
    </w:p>
    <w:p>
      <w:pPr>
        <w:pStyle w:val="Style30"/>
        <w:numPr>
          <w:ilvl w:val="0"/>
          <w:numId w:val="14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вазодепрессивной и смешанной формах СКС применение водителя ритма с любым режимом сти</w:t>
        <w:softHyphen/>
        <w:t>муляции менее эффективно:</w:t>
      </w:r>
    </w:p>
    <w:p>
      <w:pPr>
        <w:pStyle w:val="Style30"/>
        <w:numPr>
          <w:ilvl w:val="0"/>
          <w:numId w:val="15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при указанных видах реже наблюдаются брадикар - дия и асистолия, в то время как действие водителя ритма направлено на устранение именно этих про</w:t>
        <w:softHyphen/>
        <w:t>явлений СКС;</w:t>
      </w:r>
    </w:p>
    <w:p>
      <w:pPr>
        <w:pStyle w:val="Style30"/>
        <w:numPr>
          <w:ilvl w:val="0"/>
          <w:numId w:val="15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при данных формах решающее значение имеет ва</w:t>
        <w:softHyphen/>
        <w:t>зодепрессивный компонент, на который кардио</w:t>
        <w:softHyphen/>
        <w:t>стимулятор не оказывает непосредственного воз</w:t>
        <w:softHyphen/>
        <w:t>действия.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Денервация каротидного синуса.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149"/>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своевременно проведенной медикаментозной и/или хирургической коррекции прогноз заболева</w:t>
        <w:softHyphen/>
        <w:t>ния удовлетворительный.</w:t>
      </w:r>
    </w:p>
    <w:p>
      <w:pPr>
        <w:pStyle w:val="Style30"/>
        <w:numPr>
          <w:ilvl w:val="0"/>
          <w:numId w:val="149"/>
        </w:numPr>
        <w:tabs>
          <w:tab w:leader="none" w:pos="520" w:val="left"/>
        </w:tabs>
        <w:widowControl w:val="0"/>
        <w:keepNext w:val="0"/>
        <w:keepLines w:val="0"/>
        <w:shd w:val="clear" w:color="auto" w:fill="auto"/>
        <w:bidi w:val="0"/>
        <w:spacing w:before="0" w:after="180"/>
        <w:ind w:left="500" w:right="0" w:hanging="220"/>
      </w:pPr>
      <w:r>
        <w:rPr>
          <w:lang w:val="ru-RU" w:eastAsia="ru-RU" w:bidi="ru-RU"/>
          <w:w w:val="100"/>
          <w:spacing w:val="0"/>
          <w:color w:val="000000"/>
          <w:position w:val="0"/>
        </w:rPr>
        <w:t>В детском возрасте прогноз определяется основным заболеванием.</w:t>
      </w:r>
    </w:p>
    <w:p>
      <w:pPr>
        <w:pStyle w:val="Style92"/>
        <w:widowControl w:val="0"/>
        <w:keepNext/>
        <w:keepLines/>
        <w:shd w:val="clear" w:color="auto" w:fill="auto"/>
        <w:bidi w:val="0"/>
        <w:spacing w:before="0" w:after="0"/>
        <w:ind w:left="0" w:right="0" w:firstLine="280"/>
      </w:pPr>
      <w:bookmarkStart w:id="771" w:name="bookmark771"/>
      <w:r>
        <w:rPr>
          <w:lang w:val="ru-RU" w:eastAsia="ru-RU" w:bidi="ru-RU"/>
          <w:w w:val="100"/>
          <w:spacing w:val="0"/>
          <w:color w:val="000000"/>
          <w:position w:val="0"/>
        </w:rPr>
        <w:t>Дифференциальная диагностика синкопальных состояний</w:t>
      </w:r>
      <w:bookmarkEnd w:id="77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Эпилепсия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Повторные эпизоды падений, сопровождающихся уши</w:t>
        <w:softHyphen/>
        <w:t>бами, должны насторожить в отношении наличия у боль</w:t>
        <w:softHyphen/>
        <w:t>ного припадков.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Пациенты могут описывать ауру в виде слуховых, зри</w:t>
        <w:softHyphen/>
        <w:t xml:space="preserve">тельных или обонятельных ощущений, возникающих перед припадком, хотя галлюцинации могут и отсутствовать. При припадках обычно отмечаются тонические или клони- ческие судороги и продолжительная потеря сознания. При атонических припадках или </w:t>
      </w:r>
      <w:r>
        <w:rPr>
          <w:lang w:val="en-US" w:eastAsia="en-US" w:bidi="en-US"/>
          <w:w w:val="100"/>
          <w:spacing w:val="0"/>
          <w:color w:val="000000"/>
          <w:position w:val="0"/>
        </w:rPr>
        <w:t xml:space="preserve">«drop attaks» </w:t>
      </w:r>
      <w:r>
        <w:rPr>
          <w:lang w:val="ru-RU" w:eastAsia="ru-RU" w:bidi="ru-RU"/>
          <w:w w:val="100"/>
          <w:spacing w:val="0"/>
          <w:color w:val="000000"/>
          <w:position w:val="0"/>
        </w:rPr>
        <w:t>у больных от</w:t>
        <w:softHyphen/>
        <w:t>мечается одномоментное снижение тонуса всей скелетной мускулатуры и внезапное падение на пол, которое может сопровождаться ушибами головы или лица. После припад</w:t>
        <w:softHyphen/>
        <w:t>ка отмечается сонливость, головная боль, спутанность со</w:t>
        <w:softHyphen/>
        <w:t>знания. Во время атаки регистрируется нормальное кровя</w:t>
        <w:softHyphen/>
        <w:t>ное давление и синусовая тахикардия. Во время или между приступами отмечаются нарушения на ЭЭГ. Важно то, что припадки могут быть первым проявлением аритмии (осо</w:t>
        <w:softHyphen/>
        <w:t xml:space="preserve">бенно при синдроме удлиненного интервала </w:t>
      </w:r>
      <w:r>
        <w:rPr>
          <w:lang w:val="en-US" w:eastAsia="en-US" w:bidi="en-US"/>
          <w:w w:val="100"/>
          <w:spacing w:val="0"/>
          <w:color w:val="000000"/>
          <w:position w:val="0"/>
        </w:rPr>
        <w:t>QT).</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Головокружение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Головокружение встречается обычно у маленьких паци</w:t>
        <w:softHyphen/>
        <w:t>ентов в возрасте 1-4 лет. Больные могут описывать враще</w:t>
        <w:softHyphen/>
        <w:t>ние комнаты или окружающей обстановки. Зачастую это не сопровождается потерей сознания. Кровяное давление и ЧСС могут оставаться нормальными как во время, так и после эпизода.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Истерия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Синкопе при истерии не сопровождаются ушибами и чаще всего возникают на людях. Истерические синко- пальные эпизоды могут продолжаться до 1 часа, в течение которого ЧСС и кровяное давление остаются нормальны - ми. В отличие от ортостатических или вазодепрессорных синкопе, состояние больного в положении лежа не улучша</w:t>
        <w:softHyphen/>
        <w:t>ется. Характерным является то, что при описании эпизода больной не проявляет тревоги или беспокойства. Распро</w:t>
        <w:softHyphen/>
        <w:t>странены истерические обмороки среди подростков.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Мигрень</w:t>
      </w:r>
    </w:p>
    <w:p>
      <w:pPr>
        <w:pStyle w:val="Style30"/>
        <w:widowControl w:val="0"/>
        <w:keepNext w:val="0"/>
        <w:keepLines w:val="0"/>
        <w:shd w:val="clear" w:color="auto" w:fill="auto"/>
        <w:bidi w:val="0"/>
        <w:spacing w:before="0" w:after="0"/>
        <w:ind w:left="0" w:right="0" w:firstLine="280"/>
      </w:pPr>
      <w:r>
        <w:pict>
          <v:shape id="_x0000_s1748" type="#_x0000_t75" style="position:absolute;margin-left:136.8pt;margin-top:736.8pt;width:209.75pt;height:14.9pt;z-index:-125828870;mso-wrap-distance-left:136.8pt;mso-wrap-distance-right:148.1pt;mso-wrap-distance-bottom:10.8pt;mso-position-horizontal-relative:margin;mso-position-vertical-relative:margin" wrapcoords="0 0 21600 0 21600 21600 0 21600 0 0">
            <v:imagedata r:id="rId1179" r:href="rId1180"/>
            <w10:wrap type="topAndBottom" anchorx="margin" anchory="margin"/>
          </v:shape>
        </w:pict>
      </w:r>
      <w:r>
        <w:rPr>
          <w:lang w:val="ru-RU" w:eastAsia="ru-RU" w:bidi="ru-RU"/>
          <w:w w:val="100"/>
          <w:spacing w:val="0"/>
          <w:color w:val="000000"/>
          <w:position w:val="0"/>
        </w:rPr>
        <w:t>При тяжелых мигренях головная боль может стать при</w:t>
        <w:softHyphen/>
        <w:t>чиной синкопе. Потеря сознания может возникать в тех слу-</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чаях, когда вазоспазм затрагивает базальную артериальную систему. Для мигреней характерна премониторная аура и от</w:t>
        <w:softHyphen/>
        <w:t>сутствие сознания в течение нескольких минут. Больные от</w:t>
        <w:softHyphen/>
        <w:t>мечают сильнейшую головную боль в затылочной или ви</w:t>
        <w:softHyphen/>
        <w:t>сочных областях при нормальных значениях ЧСС и кровя</w:t>
        <w:softHyphen/>
        <w:t>ного давления. Также должны рассматриваться другие виды нарушений со стороны центральной нервной системы, включающие посттравматические расстройства или травму.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Лекарства</w:t>
      </w:r>
    </w:p>
    <w:p>
      <w:pPr>
        <w:pStyle w:val="Style30"/>
        <w:widowControl w:val="0"/>
        <w:keepNext w:val="0"/>
        <w:keepLines w:val="0"/>
        <w:shd w:val="clear" w:color="auto" w:fill="auto"/>
        <w:bidi w:val="0"/>
        <w:spacing w:before="0" w:after="242"/>
        <w:ind w:left="0" w:right="0" w:firstLine="280"/>
      </w:pPr>
      <w:r>
        <w:rPr>
          <w:lang w:val="ru-RU" w:eastAsia="ru-RU" w:bidi="ru-RU"/>
          <w:w w:val="100"/>
          <w:spacing w:val="0"/>
          <w:color w:val="000000"/>
          <w:position w:val="0"/>
        </w:rPr>
        <w:t>Препараты, не вызывающие ортостатических измене</w:t>
        <w:softHyphen/>
        <w:t>ний, могут все же вызвать кратковременную потерю созна</w:t>
        <w:softHyphen/>
        <w:t>ния. Сюда относятся галлюциногены, барбитураты и нар</w:t>
        <w:softHyphen/>
        <w:t xml:space="preserve">котики. Кокаин, особенно в таких мощных формах как </w:t>
      </w:r>
      <w:r>
        <w:rPr>
          <w:lang w:val="en-US" w:eastAsia="en-US" w:bidi="en-US"/>
          <w:w w:val="100"/>
          <w:spacing w:val="0"/>
          <w:color w:val="000000"/>
          <w:position w:val="0"/>
        </w:rPr>
        <w:t xml:space="preserve">«crack», </w:t>
      </w:r>
      <w:r>
        <w:rPr>
          <w:lang w:val="ru-RU" w:eastAsia="ru-RU" w:bidi="ru-RU"/>
          <w:w w:val="100"/>
          <w:spacing w:val="0"/>
          <w:color w:val="000000"/>
          <w:position w:val="0"/>
        </w:rPr>
        <w:t>вызывает синкопе, связанные с возникновением ЖТ и могущие приводить к внезапной смерти. Антиарит</w:t>
        <w:softHyphen/>
        <w:t>мические препараты всегда должны рассматриваться в ка</w:t>
        <w:softHyphen/>
        <w:t>честве возможной причины синкопе. Например, внезапная потеря сознания может отмечаться при приеме квиниди- на — «квинидиновые синкопе». Этот феномен объясняет</w:t>
        <w:softHyphen/>
        <w:t xml:space="preserve">ся, вероятно, тем, что препарат замедляет реполяризацию желудочков, а также влияет на проводимость, что может приводить к возникновению </w:t>
      </w:r>
      <w:r>
        <w:rPr>
          <w:lang w:val="en-US" w:eastAsia="en-US" w:bidi="en-US"/>
          <w:w w:val="100"/>
          <w:spacing w:val="0"/>
          <w:color w:val="000000"/>
          <w:position w:val="0"/>
        </w:rPr>
        <w:t xml:space="preserve">torsades-de-pointes </w:t>
      </w:r>
      <w:r>
        <w:rPr>
          <w:lang w:val="ru-RU" w:eastAsia="ru-RU" w:bidi="ru-RU"/>
          <w:w w:val="100"/>
          <w:spacing w:val="0"/>
          <w:color w:val="000000"/>
          <w:position w:val="0"/>
        </w:rPr>
        <w:t>или тяже</w:t>
        <w:softHyphen/>
        <w:t>лой брадикардии. Также это характерно для большинства других препаратов, традиционно применяемых как «анти</w:t>
        <w:softHyphen/>
        <w:t>аритмические».</w:t>
      </w:r>
    </w:p>
    <w:p>
      <w:pPr>
        <w:pStyle w:val="Style28"/>
        <w:widowControl w:val="0"/>
        <w:keepNext/>
        <w:keepLines/>
        <w:shd w:val="clear" w:color="auto" w:fill="auto"/>
        <w:bidi w:val="0"/>
        <w:jc w:val="left"/>
        <w:spacing w:before="0" w:after="118" w:line="288" w:lineRule="exact"/>
        <w:ind w:left="0" w:right="0" w:firstLine="0"/>
      </w:pPr>
      <w:bookmarkStart w:id="772" w:name="bookmark772"/>
      <w:r>
        <w:rPr>
          <w:lang w:val="ru-RU" w:eastAsia="ru-RU" w:bidi="ru-RU"/>
          <w:w w:val="100"/>
          <w:spacing w:val="0"/>
          <w:color w:val="000000"/>
          <w:position w:val="0"/>
        </w:rPr>
        <w:t>Острая сосудистая недостаточность (коллапс)</w:t>
      </w:r>
      <w:bookmarkEnd w:id="77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Коллапс — угрожающая жизни острая сосудистая недо</w:t>
        <w:softHyphen/>
        <w:t>статочность, характеризующаяся резким снижением сосу</w:t>
        <w:softHyphen/>
        <w:t>дистого тонуса, уменьшением объема циркулирующей кро</w:t>
        <w:softHyphen/>
        <w:t>ви, признаками гипоксии мозга и угнетением жизненно важных функций.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частые причины коллапса у детей:</w:t>
      </w:r>
    </w:p>
    <w:p>
      <w:pPr>
        <w:pStyle w:val="Style30"/>
        <w:numPr>
          <w:ilvl w:val="0"/>
          <w:numId w:val="14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Тяжелое течение острой инфекционной патологии (кишечная инфекция, грипп, ОРВИ, пневмония, пи</w:t>
        <w:softHyphen/>
        <w:t>елонефрит, ангина и др.).</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Острая надпочечниковая недостаточность.</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Передозировка гипотензивных средств.</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Острая кровопотеря.</w:t>
      </w:r>
    </w:p>
    <w:p>
      <w:pPr>
        <w:pStyle w:val="Style30"/>
        <w:numPr>
          <w:ilvl w:val="0"/>
          <w:numId w:val="149"/>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Тяжелая травма.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Клиника коллапса развивается, как правило, в период разгара основного заболевания и характеризуется прогрес</w:t>
        <w:softHyphen/>
        <w:t>сивным ухудшением общего состояния больного. В зависи</w:t>
        <w:softHyphen/>
        <w:t>мости от клинических проявлений условно выделяют три фазы (варианта) коллапса: симпатотонический, ваготони- ческий и паралитический.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Симпатотонический коллапс обусловлен нарушением пе</w:t>
        <w:softHyphen/>
        <w:t>риферического кровообращения вследствие спазма артери- ол и централизации кровообращения, конпенсаторного выброса катехоламинов. Для него характерны: возбуждение ребенка, повышенный мышечный тонус, бледность и мра- морность кожных покровов, похолодание кистей и стоп, тахикардия, АД нормальное или повышенное. Однако эти симптомы кратковременны, и коллапс чаще диагностиру</w:t>
        <w:softHyphen/>
        <w:t>ется в следующих фазах.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ваготоническом коллапсе отмечается значительное расширение артериол и артериовенозных анастомозов, что сопровождается депонированием крови в капиллярном</w:t>
        <w:br w:type="column"/>
        <w:t>русле. Клинически характерны: заторможенность, адина</w:t>
        <w:softHyphen/>
        <w:t>мия, снижение мышечного тонуса, выраженная бледность кожи с мраморностью, серо-цианотичным колоритом, вы</w:t>
        <w:softHyphen/>
        <w:t>раженный акроцианоз, резкое падение АД, пульс слабого наполнения, нередко брадикардия, шумное и учащенное дыхание типа Куссмауля, олигурия.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Паралитический коллапс обусловлен пассивным рас</w:t>
        <w:softHyphen/>
        <w:t>ширением капилляров вследствие истощения механиз</w:t>
        <w:softHyphen/>
        <w:t>мов регуляции кровообращения. Для этого состояния ха</w:t>
        <w:softHyphen/>
        <w:t>рактерны: отсутствие сознания с угнетением кожных и бульбарных рефлексов, появление на коже туловища и конечностей сине-багровых пятен, брадикардия, бра- дипноэ с переходом в периодическое дыхание Чейн- Стокса, АД падает до критических цифр, пульс нитевид</w:t>
        <w:softHyphen/>
        <w:t>ный, анурия. При отсутствии неотложной помощи насту</w:t>
        <w:softHyphen/>
        <w:t>пает летальный исход.</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Неотложная помощь:</w:t>
      </w:r>
    </w:p>
    <w:p>
      <w:pPr>
        <w:pStyle w:val="Style30"/>
        <w:numPr>
          <w:ilvl w:val="0"/>
          <w:numId w:val="14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Уложить ребенка горизонтально на спину со слегка запрокинутой головой, обложить теплыми грелками и обеспечить приток свежего воздуха.</w:t>
      </w:r>
    </w:p>
    <w:p>
      <w:pPr>
        <w:pStyle w:val="Style30"/>
        <w:numPr>
          <w:ilvl w:val="0"/>
          <w:numId w:val="14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Обеспечить свободную проходимость верхних дыха</w:t>
        <w:softHyphen/>
        <w:t>тельных путей, провести ревизию ротовой полости, снять стесняющую одежду.</w:t>
      </w:r>
    </w:p>
    <w:p>
      <w:pPr>
        <w:pStyle w:val="Style30"/>
        <w:numPr>
          <w:ilvl w:val="0"/>
          <w:numId w:val="14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явлениях симпатотонического коллапса необхо - димо: снять спазм периферических сосудов в/м вве</w:t>
        <w:softHyphen/>
        <w:t>дением спазмолитиков:</w:t>
      </w:r>
    </w:p>
    <w:p>
      <w:pPr>
        <w:pStyle w:val="Style30"/>
        <w:numPr>
          <w:ilvl w:val="0"/>
          <w:numId w:val="151"/>
        </w:numPr>
        <w:tabs>
          <w:tab w:leader="none" w:pos="79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2% раствор папаверина 0,1 мл/год жизни;</w:t>
      </w:r>
    </w:p>
    <w:p>
      <w:pPr>
        <w:pStyle w:val="Style30"/>
        <w:numPr>
          <w:ilvl w:val="0"/>
          <w:numId w:val="151"/>
        </w:numPr>
        <w:tabs>
          <w:tab w:leader="none" w:pos="79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0,5% раствор дибазола 0,1 мл/год жизни;</w:t>
      </w:r>
    </w:p>
    <w:p>
      <w:pPr>
        <w:pStyle w:val="Style30"/>
        <w:numPr>
          <w:ilvl w:val="0"/>
          <w:numId w:val="151"/>
        </w:numPr>
        <w:tabs>
          <w:tab w:leader="none" w:pos="79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раствор ношпы 0,1 мл/год жизни.</w:t>
      </w:r>
    </w:p>
    <w:p>
      <w:pPr>
        <w:pStyle w:val="Style30"/>
        <w:numPr>
          <w:ilvl w:val="0"/>
          <w:numId w:val="14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нейротоксикозе, острой надпочечниковой недо</w:t>
        <w:softHyphen/>
        <w:t>статочности уже в этой фазе необходимо назначение глюкокортикоидов в/в струйно или в/м:</w:t>
      </w:r>
    </w:p>
    <w:p>
      <w:pPr>
        <w:pStyle w:val="Style30"/>
        <w:numPr>
          <w:ilvl w:val="0"/>
          <w:numId w:val="151"/>
        </w:numPr>
        <w:tabs>
          <w:tab w:leader="none" w:pos="79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гидрокортизон (предпочтительнее!) в разовой дозе 4 мг/кг или</w:t>
      </w:r>
    </w:p>
    <w:p>
      <w:pPr>
        <w:pStyle w:val="Style30"/>
        <w:numPr>
          <w:ilvl w:val="0"/>
          <w:numId w:val="151"/>
        </w:numPr>
        <w:tabs>
          <w:tab w:leader="none" w:pos="79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преднизолон в дозе 1-2 мг/кг.</w:t>
      </w:r>
    </w:p>
    <w:p>
      <w:pPr>
        <w:pStyle w:val="Style30"/>
        <w:numPr>
          <w:ilvl w:val="0"/>
          <w:numId w:val="149"/>
        </w:numPr>
        <w:tabs>
          <w:tab w:leader="none" w:pos="51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 явлениях ваготонического и паралитического коллапса:</w:t>
      </w:r>
    </w:p>
    <w:p>
      <w:pPr>
        <w:pStyle w:val="Style30"/>
        <w:numPr>
          <w:ilvl w:val="0"/>
          <w:numId w:val="151"/>
        </w:numPr>
        <w:tabs>
          <w:tab w:leader="none" w:pos="79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обеспечить доступ к периферической вене и на</w:t>
        <w:softHyphen/>
        <w:t>чать инфузионную терапию раствором реополи- глюкина или кристаллоидами (0,9% раствор на</w:t>
        <w:softHyphen/>
        <w:t>трия хлорида или раствор Рингера) из расчета 20 мл/кг в течение 20-30 мин;</w:t>
      </w:r>
    </w:p>
    <w:p>
      <w:pPr>
        <w:pStyle w:val="Style30"/>
        <w:numPr>
          <w:ilvl w:val="0"/>
          <w:numId w:val="151"/>
        </w:numPr>
        <w:tabs>
          <w:tab w:leader="none" w:pos="79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одновременно ввести глюкокортикостероиды в разовой дозе:</w:t>
      </w:r>
    </w:p>
    <w:p>
      <w:pPr>
        <w:pStyle w:val="Style30"/>
        <w:numPr>
          <w:ilvl w:val="0"/>
          <w:numId w:val="15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гидрокортизон 10-20 мг/кг в/в;</w:t>
      </w:r>
    </w:p>
    <w:p>
      <w:pPr>
        <w:pStyle w:val="Style30"/>
        <w:numPr>
          <w:ilvl w:val="0"/>
          <w:numId w:val="15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преднизолон 5-10 мг/кг в/в или в/м;</w:t>
      </w:r>
    </w:p>
    <w:p>
      <w:pPr>
        <w:pStyle w:val="Style30"/>
        <w:numPr>
          <w:ilvl w:val="0"/>
          <w:numId w:val="151"/>
        </w:numPr>
        <w:tabs>
          <w:tab w:leader="none" w:pos="1004"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дексаметазон 0,3-0,6 мг/кг (в 1 мл 0,4% раство</w:t>
        <w:softHyphen/>
        <w:t>ра — 4 мг) в/в или в/м.</w:t>
      </w:r>
    </w:p>
    <w:p>
      <w:pPr>
        <w:pStyle w:val="Style30"/>
        <w:numPr>
          <w:ilvl w:val="0"/>
          <w:numId w:val="149"/>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некупирующейся артериальной гипотензии:</w:t>
      </w:r>
    </w:p>
    <w:p>
      <w:pPr>
        <w:pStyle w:val="Style30"/>
        <w:numPr>
          <w:ilvl w:val="0"/>
          <w:numId w:val="151"/>
        </w:numPr>
        <w:tabs>
          <w:tab w:leader="none" w:pos="1004"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повторно ввести в/в капельно 0,9% раствор на</w:t>
        <w:softHyphen/>
        <w:t>трия хлорида или раствор Рингера в объеме 10 мл/кг в сочетании с раствором реополиглюкина 10 мл/кг под контролем ЧСС, АД и диуреза;</w:t>
      </w:r>
    </w:p>
    <w:p>
      <w:pPr>
        <w:pStyle w:val="Style30"/>
        <w:numPr>
          <w:ilvl w:val="0"/>
          <w:numId w:val="151"/>
        </w:numPr>
        <w:tabs>
          <w:tab w:leader="none" w:pos="1004"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назначить 1% раствор мезатона 0,1 мл/год жиз</w:t>
        <w:softHyphen/>
        <w:t>ни в/в струйно медленно или 0,2% раствор норад</w:t>
        <w:softHyphen/>
        <w:t>реналина 0,1 мл/год жизни в/в капельно (в 50 мл 5% раствора глюкозы) со скоростью 10-20 капель в мин (в очень тяжелых случаях — 20-30 капель в мин) под контролем АД.</w:t>
      </w:r>
    </w:p>
    <w:p>
      <w:pPr>
        <w:pStyle w:val="Style30"/>
        <w:numPr>
          <w:ilvl w:val="0"/>
          <w:numId w:val="149"/>
        </w:numPr>
        <w:tabs>
          <w:tab w:leader="none" w:pos="519" w:val="left"/>
        </w:tabs>
        <w:widowControl w:val="0"/>
        <w:keepNext w:val="0"/>
        <w:keepLines w:val="0"/>
        <w:shd w:val="clear" w:color="auto" w:fill="auto"/>
        <w:bidi w:val="0"/>
        <w:spacing w:before="0" w:after="0"/>
        <w:ind w:left="520" w:right="0" w:hanging="240"/>
      </w:pPr>
      <w:r>
        <w:pict>
          <v:shape id="_x0000_s1749" type="#_x0000_t75" style="position:absolute;margin-left:148.1pt;margin-top:736.8pt;width:209.75pt;height:14.9pt;z-index:-125828869;mso-wrap-distance-left:148.1pt;mso-wrap-distance-right:136.8pt;mso-wrap-distance-bottom:10.8pt;mso-position-horizontal-relative:margin;mso-position-vertical-relative:margin" wrapcoords="0 0 21600 0 21600 21600 0 21600 0 0">
            <v:imagedata r:id="rId1181" r:href="rId1182"/>
            <w10:wrap type="topAndBottom" anchorx="margin" anchory="margin"/>
          </v:shape>
        </w:pict>
      </w:r>
      <w:r>
        <w:rPr>
          <w:lang w:val="ru-RU" w:eastAsia="ru-RU" w:bidi="ru-RU"/>
          <w:w w:val="100"/>
          <w:spacing w:val="0"/>
          <w:color w:val="000000"/>
          <w:position w:val="0"/>
        </w:rPr>
        <w:t>При отсутствии эффекта от проводимых меропри</w:t>
        <w:softHyphen/>
        <w:t>ятий в/в титрованное введение допамина в дозе 8-10 мкг/кг в мин под контролем АД и ЧСС.</w:t>
      </w:r>
      <w:r>
        <w:br w:type="page"/>
      </w:r>
    </w:p>
    <w:p>
      <w:pPr>
        <w:pStyle w:val="Style28"/>
        <w:widowControl w:val="0"/>
        <w:keepNext/>
        <w:keepLines/>
        <w:shd w:val="clear" w:color="auto" w:fill="auto"/>
        <w:bidi w:val="0"/>
        <w:jc w:val="left"/>
        <w:spacing w:before="0" w:after="153" w:line="220" w:lineRule="exact"/>
        <w:ind w:left="0" w:right="0" w:firstLine="0"/>
      </w:pPr>
      <w:bookmarkStart w:id="773" w:name="bookmark773"/>
      <w:r>
        <w:rPr>
          <w:lang w:val="ru-RU" w:eastAsia="ru-RU" w:bidi="ru-RU"/>
          <w:w w:val="100"/>
          <w:spacing w:val="0"/>
          <w:color w:val="000000"/>
          <w:position w:val="0"/>
        </w:rPr>
        <w:t>Артериит Такаясу</w:t>
      </w:r>
      <w:bookmarkEnd w:id="773"/>
    </w:p>
    <w:p>
      <w:pPr>
        <w:pStyle w:val="Style92"/>
        <w:widowControl w:val="0"/>
        <w:keepNext/>
        <w:keepLines/>
        <w:shd w:val="clear" w:color="auto" w:fill="auto"/>
        <w:bidi w:val="0"/>
        <w:spacing w:before="0" w:after="0"/>
        <w:ind w:left="500" w:right="0" w:hanging="220"/>
      </w:pPr>
      <w:bookmarkStart w:id="774" w:name="bookmark774"/>
      <w:r>
        <w:rPr>
          <w:lang w:val="ru-RU" w:eastAsia="ru-RU" w:bidi="ru-RU"/>
          <w:w w:val="100"/>
          <w:spacing w:val="0"/>
          <w:color w:val="000000"/>
          <w:position w:val="0"/>
        </w:rPr>
        <w:t>Введение</w:t>
      </w:r>
      <w:bookmarkEnd w:id="774"/>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1908 г. Микито Такаясу, японский офтальмолог, сооб</w:t>
        <w:softHyphen/>
        <w:t>щил о связи относящихся к сетчатке глаза артериове</w:t>
        <w:softHyphen/>
        <w:t xml:space="preserve">нозных анастомозов и отсутствии пульса на верхней конечности. Артериит Такаясу </w:t>
      </w:r>
      <w:r>
        <w:rPr>
          <w:lang w:val="en-US" w:eastAsia="en-US" w:bidi="en-US"/>
          <w:w w:val="100"/>
          <w:spacing w:val="0"/>
          <w:color w:val="000000"/>
          <w:position w:val="0"/>
        </w:rPr>
        <w:t xml:space="preserve">(TA) </w:t>
      </w:r>
      <w:r>
        <w:rPr>
          <w:lang w:val="ru-RU" w:eastAsia="ru-RU" w:bidi="ru-RU"/>
          <w:w w:val="100"/>
          <w:spacing w:val="0"/>
          <w:color w:val="000000"/>
          <w:position w:val="0"/>
        </w:rPr>
        <w:t>— хроническое воспалительное заболевание аорты и ее главных ветвей. Болезнь Такаясу — васкулит крупных сосудов неизве</w:t>
        <w:softHyphen/>
        <w:t>стного происхождения, наиболее часто возникает у мо</w:t>
        <w:softHyphen/>
        <w:t>лодых женщин на втором-третьем десятилетии жизни. Однако болезнь может наблюдаться как у детей в возрасте 6 месяцев, так и у взрослых любого возраста.</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Начальные жалобы могут быть неопределенными конституционными знаками и симптомами (напри</w:t>
        <w:softHyphen/>
        <w:t>мер, лихорадкой, потерей в весе, летаргией). По</w:t>
        <w:softHyphen/>
        <w:t>скольку эти жалобы неспецифичны, правильный ди</w:t>
        <w:softHyphen/>
        <w:t>агноз может быть отсрочен на долгие месяцы или да</w:t>
        <w:softHyphen/>
        <w:t>же годы. При гистологическом обследовании в аорте видны доказательства воспаления. Смешанные обла</w:t>
        <w:softHyphen/>
        <w:t>сти стеноза или формирования аневризмы могут быть обнаружены на ангиограмме или при ма</w:t>
        <w:softHyphen/>
        <w:t xml:space="preserve">гниторезонансной вазографии </w:t>
      </w:r>
      <w:r>
        <w:rPr>
          <w:lang w:val="en-US" w:eastAsia="en-US" w:bidi="en-US"/>
          <w:w w:val="100"/>
          <w:spacing w:val="0"/>
          <w:color w:val="000000"/>
          <w:position w:val="0"/>
        </w:rPr>
        <w:t xml:space="preserve">(MRA). </w:t>
      </w:r>
      <w:r>
        <w:rPr>
          <w:lang w:val="ru-RU" w:eastAsia="ru-RU" w:bidi="ru-RU"/>
          <w:w w:val="100"/>
          <w:spacing w:val="0"/>
          <w:color w:val="000000"/>
          <w:position w:val="0"/>
        </w:rPr>
        <w:t>Сосудистая недостаточность, относящаяся к стенозу и тромбозу поврежденного сосуда, может вызвать вазоренальную артериальную гипертензию, неврологические симп</w:t>
        <w:softHyphen/>
        <w:t>томы или снизить хромоту нижней конечности.</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Поражение сердца может включать регургитацию крови при недостаточности аортального клапана и за</w:t>
        <w:softHyphen/>
        <w:t>стойную сердечную недостаточность, обусловленную миокардитом или увеличением постнагрузки. Часто болезнь Такаясу обнаруживается случайно, при про</w:t>
        <w:softHyphen/>
        <w:t>ведении рентгенографии грудной клетки. Выявленное расширенное средостение приводит к подозрению на опухоль, а на компьютерной томографии вместо этого визуализируется расширенная дуга аорты.</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Несмотря на свое название — болезнь «отсутствия пульса» (которое является синонимом болезни Такая- су), преобладает наличие асимметричного пульса. От</w:t>
        <w:softHyphen/>
        <w:t>сутствие пульса на периферии приходит на поздних ста</w:t>
        <w:softHyphen/>
        <w:t>диях течения болезни. В то время как 5-летняя выжива</w:t>
        <w:softHyphen/>
        <w:t>емость превышает 90%, болезнь имеет высокую оста</w:t>
        <w:softHyphen/>
        <w:t>точную заболеваемость.</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Патофизиология</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Артериит Такаясу характеризуется гранулематозным воспалением аорты и ее главных ветвей, что приводит к стенозу, тромбозу и формированию аневризмы. По</w:t>
        <w:softHyphen/>
        <w:t>ражения при артериите являются сегментальными и распределяются неоднородно.</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Мононуклеарная инфильтрация адвентиции проис</w:t>
        <w:softHyphen/>
        <w:t xml:space="preserve">ходит на ранних стадиях болезни, с образованием скоплений лейкоцитов вокруг кровеносного сосуда </w:t>
      </w:r>
      <w:r>
        <w:rPr>
          <w:lang w:val="en-US" w:eastAsia="en-US" w:bidi="en-US"/>
          <w:w w:val="100"/>
          <w:spacing w:val="0"/>
          <w:color w:val="000000"/>
          <w:position w:val="0"/>
        </w:rPr>
        <w:t xml:space="preserve">vasa vasorum. </w:t>
      </w:r>
      <w:r>
        <w:rPr>
          <w:lang w:val="ru-RU" w:eastAsia="ru-RU" w:bidi="ru-RU"/>
          <w:w w:val="100"/>
          <w:spacing w:val="0"/>
          <w:color w:val="000000"/>
          <w:position w:val="0"/>
        </w:rPr>
        <w:t>Гранулематозные изменения могут быть отмечены в срединной оболочке с клетками Лангер- ганса и центральным некрозом. В последующем раз</w:t>
        <w:softHyphen/>
        <w:t>вивается фиброз интимы, ее сморщивание, что при</w:t>
        <w:softHyphen/>
        <w:t>водит к сужению просвета сосуда.</w:t>
      </w:r>
    </w:p>
    <w:p>
      <w:pPr>
        <w:pStyle w:val="Style30"/>
        <w:numPr>
          <w:ilvl w:val="0"/>
          <w:numId w:val="149"/>
        </w:numPr>
        <w:tabs>
          <w:tab w:leader="none" w:pos="517"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 у пациентов наблюдаются постстенозирован- ные дилатации и другие аневризматические участки сосудов. Стенозирование артериальных сегментов сопровождается ишемическими симптомами кровос</w:t>
        <w:softHyphen/>
        <w:t>набжаемого органа. Эти симптомы могут проявлять</w:t>
        <w:softHyphen/>
      </w:r>
    </w:p>
    <w:p>
      <w:pPr>
        <w:pStyle w:val="Style30"/>
        <w:widowControl w:val="0"/>
        <w:keepNext w:val="0"/>
        <w:keepLines w:val="0"/>
        <w:shd w:val="clear" w:color="auto" w:fill="auto"/>
        <w:bidi w:val="0"/>
        <w:spacing w:before="0" w:after="0"/>
        <w:ind w:left="280" w:right="0" w:firstLine="0"/>
      </w:pPr>
      <w:r>
        <w:br w:type="column"/>
      </w:r>
      <w:r>
        <w:rPr>
          <w:lang w:val="ru-RU" w:eastAsia="ru-RU" w:bidi="ru-RU"/>
          <w:w w:val="100"/>
          <w:spacing w:val="0"/>
          <w:color w:val="000000"/>
          <w:position w:val="0"/>
        </w:rPr>
        <w:t>ся болями в животе (из-за сужения брыжеечных арте</w:t>
        <w:softHyphen/>
        <w:t>рий), вазоренальной артериальной гипертензией (су</w:t>
        <w:softHyphen/>
        <w:t>жение почечных сосудов), хромотой (сужение арте</w:t>
        <w:softHyphen/>
        <w:t>рий конечностей). Эндотелиальная активация обус</w:t>
        <w:softHyphen/>
        <w:t>ловливает повышенную свертываемость крови и предрасполагает к тромбозам. Застойная сердечная недостаточность у людей с болезнью Такаясу может произойти в результате артериальной гипертензии, аневризмы корня аорты или миокардита. Могут на</w:t>
        <w:softHyphen/>
        <w:t>блюдаться преходящие ишемические атаки, церебро</w:t>
        <w:softHyphen/>
        <w:t>васкулярные приступы, брыжеечная ишемия, синд</w:t>
        <w:softHyphen/>
        <w:t>ром каротидного синуса и хромота. Симптоматика сосудистого поражения может иметь менее выражен</w:t>
        <w:softHyphen/>
        <w:t>ный характер из-за развития коллатерального крово</w:t>
        <w:softHyphen/>
        <w:t>обращения при медленном развитии стеноза.</w:t>
      </w:r>
    </w:p>
    <w:p>
      <w:pPr>
        <w:pStyle w:val="Style30"/>
        <w:numPr>
          <w:ilvl w:val="0"/>
          <w:numId w:val="14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Одна из гипотез развития гранулематозного васкули</w:t>
        <w:softHyphen/>
        <w:t>та — антигены, депонированные в стенках сосуда, ак</w:t>
        <w:softHyphen/>
        <w:t xml:space="preserve">тивизируют </w:t>
      </w:r>
      <w:r>
        <w:rPr>
          <w:lang w:val="en-US" w:eastAsia="en-US" w:bidi="en-US"/>
          <w:w w:val="100"/>
          <w:spacing w:val="0"/>
          <w:color w:val="000000"/>
          <w:position w:val="0"/>
        </w:rPr>
        <w:t xml:space="preserve">CD4 </w:t>
      </w:r>
      <w:r>
        <w:rPr>
          <w:lang w:val="ru-RU" w:eastAsia="ru-RU" w:bidi="ru-RU"/>
          <w:w w:val="100"/>
          <w:spacing w:val="0"/>
          <w:color w:val="000000"/>
          <w:position w:val="0"/>
        </w:rPr>
        <w:t>+ Т-лимфоциты, что сопровождает</w:t>
        <w:softHyphen/>
        <w:t>ся выбросом цитокинов, хемотаксических для моно</w:t>
        <w:softHyphen/>
        <w:t>цитов. Эти моноциты служат посредником эндотели</w:t>
        <w:softHyphen/>
        <w:t xml:space="preserve">ального повреждения и формирования гранулемы в стенке сосуда. Эндотелиальная активация клетки обусловливает увеличение экспрессии межклеточной адгезивной молекулы </w:t>
      </w:r>
      <w:r>
        <w:rPr>
          <w:lang w:val="en-US" w:eastAsia="en-US" w:bidi="en-US"/>
          <w:w w:val="100"/>
          <w:spacing w:val="0"/>
          <w:color w:val="000000"/>
          <w:position w:val="0"/>
        </w:rPr>
        <w:t xml:space="preserve">(ICAM-1) </w:t>
      </w:r>
      <w:r>
        <w:rPr>
          <w:lang w:val="ru-RU" w:eastAsia="ru-RU" w:bidi="ru-RU"/>
          <w:w w:val="100"/>
          <w:spacing w:val="0"/>
          <w:color w:val="000000"/>
          <w:position w:val="0"/>
        </w:rPr>
        <w:t>и молекулы — 1 адге</w:t>
        <w:softHyphen/>
        <w:t xml:space="preserve">зивной сосудистой клетки </w:t>
      </w:r>
      <w:r>
        <w:rPr>
          <w:lang w:val="en-US" w:eastAsia="en-US" w:bidi="en-US"/>
          <w:w w:val="100"/>
          <w:spacing w:val="0"/>
          <w:color w:val="000000"/>
          <w:position w:val="0"/>
        </w:rPr>
        <w:t>(VCAM-1).</w:t>
      </w:r>
    </w:p>
    <w:p>
      <w:pPr>
        <w:pStyle w:val="Style30"/>
        <w:numPr>
          <w:ilvl w:val="0"/>
          <w:numId w:val="14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Гуморальный иммунитет также принимает участие при этом заболевании; обнаруживаются антиаорталь</w:t>
        <w:softHyphen/>
        <w:t>ные антитела и антитела к антиэндотелиальным клет</w:t>
        <w:softHyphen/>
        <w:t xml:space="preserve">кам. Иммуноглобулин </w:t>
      </w:r>
      <w:r>
        <w:rPr>
          <w:lang w:val="en-US" w:eastAsia="en-US" w:bidi="en-US"/>
          <w:w w:val="100"/>
          <w:spacing w:val="0"/>
          <w:color w:val="000000"/>
          <w:position w:val="0"/>
        </w:rPr>
        <w:t xml:space="preserve">G, </w:t>
      </w:r>
      <w:r>
        <w:rPr>
          <w:lang w:val="ru-RU" w:eastAsia="ru-RU" w:bidi="ru-RU"/>
          <w:w w:val="100"/>
          <w:spacing w:val="0"/>
          <w:color w:val="000000"/>
          <w:position w:val="0"/>
        </w:rPr>
        <w:t>иммуноглобулин М и про- пердин обнаруживаются в поврежденных образцах сосудов у больных болезнью Такаясу.</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Частота</w:t>
      </w:r>
    </w:p>
    <w:p>
      <w:pPr>
        <w:pStyle w:val="Style30"/>
        <w:numPr>
          <w:ilvl w:val="0"/>
          <w:numId w:val="14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общей популяции болезнь Такаясу ориентировочно встречается в 2-3 случаях на 1 000 000.</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Пол</w:t>
      </w:r>
    </w:p>
    <w:p>
      <w:pPr>
        <w:pStyle w:val="Style30"/>
        <w:numPr>
          <w:ilvl w:val="0"/>
          <w:numId w:val="14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Женщины составляют 80-90% пациентов с </w:t>
      </w:r>
      <w:r>
        <w:rPr>
          <w:lang w:val="en-US" w:eastAsia="en-US" w:bidi="en-US"/>
          <w:w w:val="100"/>
          <w:spacing w:val="0"/>
          <w:color w:val="000000"/>
          <w:position w:val="0"/>
        </w:rPr>
        <w:t>TA</w:t>
      </w:r>
    </w:p>
    <w:p>
      <w:pPr>
        <w:pStyle w:val="Style30"/>
        <w:numPr>
          <w:ilvl w:val="0"/>
          <w:numId w:val="14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Данные педиатрических исследований колеблются. Половое распределение обычно отражает подавляю - щее превосходство на 80-90% девочек, наблюдаемое у взрослых. Ряд исследований </w:t>
      </w:r>
      <w:r>
        <w:rPr>
          <w:lang w:val="en-US" w:eastAsia="en-US" w:bidi="en-US"/>
          <w:w w:val="100"/>
          <w:spacing w:val="0"/>
          <w:color w:val="000000"/>
          <w:position w:val="0"/>
        </w:rPr>
        <w:t xml:space="preserve">TA </w:t>
      </w:r>
      <w:r>
        <w:rPr>
          <w:lang w:val="ru-RU" w:eastAsia="ru-RU" w:bidi="ru-RU"/>
          <w:w w:val="100"/>
          <w:spacing w:val="0"/>
          <w:color w:val="000000"/>
          <w:position w:val="0"/>
        </w:rPr>
        <w:t xml:space="preserve">у детей из Индии и Южной Африки сообщают о соотношении девочки: мальчики — 2:1. Однако это страны, в которых </w:t>
      </w:r>
      <w:r>
        <w:rPr>
          <w:lang w:val="en-US" w:eastAsia="en-US" w:bidi="en-US"/>
          <w:w w:val="100"/>
          <w:spacing w:val="0"/>
          <w:color w:val="000000"/>
          <w:position w:val="0"/>
        </w:rPr>
        <w:t xml:space="preserve">TA </w:t>
      </w:r>
      <w:r>
        <w:rPr>
          <w:lang w:val="ru-RU" w:eastAsia="ru-RU" w:bidi="ru-RU"/>
          <w:w w:val="100"/>
          <w:spacing w:val="0"/>
          <w:color w:val="000000"/>
          <w:position w:val="0"/>
        </w:rPr>
        <w:t>сильно взаимосвязан с туберкулезом, и могут присут</w:t>
        <w:softHyphen/>
        <w:t>ствовать дополнительные этиологические и патофи</w:t>
        <w:softHyphen/>
        <w:t>зиологические факторы.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Возраст</w:t>
      </w:r>
    </w:p>
    <w:p>
      <w:pPr>
        <w:pStyle w:val="Style30"/>
        <w:numPr>
          <w:ilvl w:val="0"/>
          <w:numId w:val="14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Артериит Такаясу — самый частый васкулит сосудов крупного калибра в пубертатном возрасте.</w:t>
      </w:r>
    </w:p>
    <w:p>
      <w:pPr>
        <w:pStyle w:val="Style30"/>
        <w:numPr>
          <w:ilvl w:val="0"/>
          <w:numId w:val="14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Среди наиболее часто встречающихся васкулитов у детей (постинфекционный васкулит, болезнь Шен- лейна-Геноха, полиартериит, болезнь Кавасаки) арте</w:t>
        <w:softHyphen/>
        <w:t>риит Такаясу занимает последнее место.</w:t>
      </w:r>
    </w:p>
    <w:p>
      <w:pPr>
        <w:pStyle w:val="Style30"/>
        <w:numPr>
          <w:ilvl w:val="0"/>
          <w:numId w:val="14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Большинство пациентов артериитом Такаясу состав</w:t>
        <w:softHyphen/>
        <w:t>ляют люди в возрасте 10-30 лет. 20-35% составляют пациенты моложе 20 лет.</w:t>
      </w:r>
    </w:p>
    <w:p>
      <w:pPr>
        <w:pStyle w:val="Style30"/>
        <w:numPr>
          <w:ilvl w:val="0"/>
          <w:numId w:val="14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Самый молодой пациент, о котором сообщалось, был в возрасте 6 месяцев.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Системные признаки включают следующие:</w:t>
      </w:r>
    </w:p>
    <w:p>
      <w:pPr>
        <w:pStyle w:val="Style30"/>
        <w:numPr>
          <w:ilvl w:val="0"/>
          <w:numId w:val="14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Лихорадка, ночной пот.</w:t>
      </w:r>
    </w:p>
    <w:p>
      <w:pPr>
        <w:pStyle w:val="Style30"/>
        <w:numPr>
          <w:ilvl w:val="0"/>
          <w:numId w:val="14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Усталость.</w:t>
      </w:r>
    </w:p>
    <w:p>
      <w:pPr>
        <w:pStyle w:val="Style30"/>
        <w:numPr>
          <w:ilvl w:val="0"/>
          <w:numId w:val="149"/>
        </w:numPr>
        <w:tabs>
          <w:tab w:leader="none" w:pos="235" w:val="left"/>
        </w:tabs>
        <w:widowControl w:val="0"/>
        <w:keepNext w:val="0"/>
        <w:keepLines w:val="0"/>
        <w:shd w:val="clear" w:color="auto" w:fill="auto"/>
        <w:bidi w:val="0"/>
        <w:spacing w:before="0" w:after="0"/>
        <w:ind w:left="280" w:right="0" w:hanging="280"/>
      </w:pPr>
      <w:r>
        <w:pict>
          <v:shape id="_x0000_s1750" type="#_x0000_t75" style="position:absolute;margin-left:136.3pt;margin-top:736.8pt;width:209.75pt;height:14.9pt;z-index:-125828868;mso-wrap-distance-left:136.3pt;mso-wrap-distance-right:148.55pt;mso-wrap-distance-bottom:10.8pt;mso-position-horizontal-relative:margin;mso-position-vertical-relative:margin" wrapcoords="0 0 21600 0 21600 21600 0 21600 0 0">
            <v:imagedata r:id="rId1183" r:href="rId1184"/>
            <w10:wrap type="topAndBottom" anchorx="margin" anchory="margin"/>
          </v:shape>
        </w:pict>
      </w:r>
      <w:r>
        <w:rPr>
          <w:lang w:val="ru-RU" w:eastAsia="ru-RU" w:bidi="ru-RU"/>
          <w:w w:val="100"/>
          <w:spacing w:val="0"/>
          <w:color w:val="000000"/>
          <w:position w:val="0"/>
        </w:rPr>
        <w:t>Потеря веса.</w:t>
      </w:r>
      <w:r>
        <w:br w:type="page"/>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Миалгия и/или артралгия и/или артрит.</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Кожные высыпания (такие как эритема, пиодермия).</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Головные боли и/или головокружение и/или синкопе.</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Застойная сердечная недостаточность, трепетание, ангина.</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Артериальная гипертензия (может быть пароксиз</w:t>
        <w:softHyphen/>
        <w:t>мальной).</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Признаки, связанные с ишемией, включают следующие:</w:t>
      </w:r>
    </w:p>
    <w:p>
      <w:pPr>
        <w:pStyle w:val="Style30"/>
        <w:numPr>
          <w:ilvl w:val="0"/>
          <w:numId w:val="15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ишемический удар и/или переходная ишемическая атака;</w:t>
      </w:r>
    </w:p>
    <w:p>
      <w:pPr>
        <w:pStyle w:val="Style30"/>
        <w:numPr>
          <w:ilvl w:val="0"/>
          <w:numId w:val="15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визуальные нарушения (например, размытое зрение, диплопия, амавроз);</w:t>
      </w:r>
    </w:p>
    <w:p>
      <w:pPr>
        <w:pStyle w:val="Style30"/>
        <w:numPr>
          <w:ilvl w:val="0"/>
          <w:numId w:val="15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каротидиния;</w:t>
      </w:r>
    </w:p>
    <w:p>
      <w:pPr>
        <w:pStyle w:val="Style30"/>
        <w:numPr>
          <w:ilvl w:val="0"/>
          <w:numId w:val="15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боль в животе;</w:t>
      </w:r>
    </w:p>
    <w:p>
      <w:pPr>
        <w:pStyle w:val="Style30"/>
        <w:numPr>
          <w:ilvl w:val="0"/>
          <w:numId w:val="15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хромота (варьируется вследствие развития коллате</w:t>
        <w:softHyphen/>
        <w:t>рального кровообращения; симптом наблюдается редко у детей).</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Физикальные данные</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Различие кровяного давления больше чем на 30 мм </w:t>
      </w:r>
      <w:r>
        <w:rPr>
          <w:lang w:val="en-US" w:eastAsia="en-US" w:bidi="en-US"/>
          <w:w w:val="100"/>
          <w:spacing w:val="0"/>
          <w:color w:val="000000"/>
          <w:position w:val="0"/>
        </w:rPr>
        <w:t xml:space="preserve">Hg </w:t>
      </w:r>
      <w:r>
        <w:rPr>
          <w:lang w:val="ru-RU" w:eastAsia="ru-RU" w:bidi="ru-RU"/>
          <w:w w:val="100"/>
          <w:spacing w:val="0"/>
          <w:color w:val="000000"/>
          <w:position w:val="0"/>
        </w:rPr>
        <w:t>между руками.</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Асимметричные импульсы.</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Уменьшение или отсутствие пульса (поражения сред</w:t>
        <w:softHyphen/>
        <w:t>ней аорты у детей могут не влиять на периферический пульс).</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Асимметричный пульс (обычно) и отсутствующий (редко) пульс, даже на более поздних стадиях болезни.</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Постстенотические дилатации, приводящие к огра</w:t>
        <w:softHyphen/>
        <w:t>ничению пульса.</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Артериальная гипертензия (может быть пароксиз</w:t>
        <w:softHyphen/>
        <w:t>мальной). В патогенезе это артериальная гипертензия высокого ренина.</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Сосудистые шумы, особенно по подключичным ар</w:t>
        <w:softHyphen/>
        <w:t>териям или на аорте.</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Осмотр глазного дна:</w:t>
      </w:r>
    </w:p>
    <w:p>
      <w:pPr>
        <w:pStyle w:val="Style30"/>
        <w:numPr>
          <w:ilvl w:val="0"/>
          <w:numId w:val="151"/>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ретинальные кровоизлияния;</w:t>
      </w:r>
    </w:p>
    <w:p>
      <w:pPr>
        <w:pStyle w:val="Style30"/>
        <w:numPr>
          <w:ilvl w:val="0"/>
          <w:numId w:val="151"/>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«ватные» выпоты;</w:t>
      </w:r>
    </w:p>
    <w:p>
      <w:pPr>
        <w:pStyle w:val="Style30"/>
        <w:numPr>
          <w:ilvl w:val="0"/>
          <w:numId w:val="151"/>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дилатация и извилостость вен;</w:t>
      </w:r>
    </w:p>
    <w:p>
      <w:pPr>
        <w:pStyle w:val="Style30"/>
        <w:numPr>
          <w:ilvl w:val="0"/>
          <w:numId w:val="151"/>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микроаневризмы периферии сетчатки;</w:t>
      </w:r>
    </w:p>
    <w:p>
      <w:pPr>
        <w:pStyle w:val="Style30"/>
        <w:numPr>
          <w:ilvl w:val="0"/>
          <w:numId w:val="151"/>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оптическая атрофия;</w:t>
      </w:r>
    </w:p>
    <w:p>
      <w:pPr>
        <w:pStyle w:val="Style30"/>
        <w:numPr>
          <w:ilvl w:val="0"/>
          <w:numId w:val="151"/>
        </w:numPr>
        <w:tabs>
          <w:tab w:leader="none" w:pos="735"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кровоизлияние в стекловидное тело;</w:t>
      </w:r>
    </w:p>
    <w:p>
      <w:pPr>
        <w:pStyle w:val="Style30"/>
        <w:numPr>
          <w:ilvl w:val="0"/>
          <w:numId w:val="151"/>
        </w:numPr>
        <w:tabs>
          <w:tab w:leader="none" w:pos="735" w:val="left"/>
        </w:tabs>
        <w:widowControl w:val="0"/>
        <w:keepNext w:val="0"/>
        <w:keepLines w:val="0"/>
        <w:shd w:val="clear" w:color="auto" w:fill="auto"/>
        <w:bidi w:val="0"/>
        <w:jc w:val="left"/>
        <w:spacing w:before="0" w:after="0"/>
        <w:ind w:left="720" w:right="0" w:hanging="220"/>
      </w:pPr>
      <w:r>
        <w:rPr>
          <w:lang w:val="ru-RU" w:eastAsia="ru-RU" w:bidi="ru-RU"/>
          <w:w w:val="100"/>
          <w:spacing w:val="0"/>
          <w:color w:val="000000"/>
          <w:position w:val="0"/>
        </w:rPr>
        <w:t>классические подобные «венку» перипапиллярные артериовенозные анастомозы (чрезвычайно редки).</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Поражения кожи включают эритему, узелковоподоб</w:t>
        <w:softHyphen/>
        <w:t>ные поражения, пиодермию, лейкоцитарный васку</w:t>
        <w:softHyphen/>
        <w:t>лит и панникулит.</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Причины</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Причина заболевания остается невыясненной.</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Предполагаются наследственные причины заболева</w:t>
        <w:softHyphen/>
        <w:t>ния (установлена ассоциация по лейкоцитарным ан</w:t>
        <w:softHyphen/>
        <w:t xml:space="preserve">тигенам </w:t>
      </w:r>
      <w:r>
        <w:rPr>
          <w:lang w:val="en-US" w:eastAsia="en-US" w:bidi="en-US"/>
          <w:w w:val="100"/>
          <w:spacing w:val="0"/>
          <w:color w:val="000000"/>
          <w:position w:val="0"/>
        </w:rPr>
        <w:t xml:space="preserve">HLA-A10, B5, Bw52, DR2 </w:t>
      </w:r>
      <w:r>
        <w:rPr>
          <w:lang w:val="ru-RU" w:eastAsia="ru-RU" w:bidi="ru-RU"/>
          <w:w w:val="100"/>
          <w:spacing w:val="0"/>
          <w:color w:val="000000"/>
          <w:position w:val="0"/>
        </w:rPr>
        <w:t xml:space="preserve">и </w:t>
      </w:r>
      <w:r>
        <w:rPr>
          <w:lang w:val="en-US" w:eastAsia="en-US" w:bidi="en-US"/>
          <w:w w:val="100"/>
          <w:spacing w:val="0"/>
          <w:color w:val="000000"/>
          <w:position w:val="0"/>
        </w:rPr>
        <w:t>DR4).</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Имеет место высокая ассоциация болезни Такаясу с туберкулезом. Истинная природа ассоциации с ту</w:t>
        <w:softHyphen/>
        <w:t>беркулезом не ясна. Положительного эффекта при проведении противотуберкулезной терапии больным с артериитом Такаясу не наблюдается.</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Дифференциальный диагноз</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Острый лимфобластный лейкоз.</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Синдром Беккета.</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Лихорадка неясного генеза.</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Болезнь Ходжкина.</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Узелковый периартериит.</w:t>
      </w:r>
    </w:p>
    <w:p>
      <w:pPr>
        <w:pStyle w:val="Style30"/>
        <w:numPr>
          <w:ilvl w:val="0"/>
          <w:numId w:val="14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Ревматическая лихорадка.</w:t>
      </w:r>
    </w:p>
    <w:p>
      <w:pPr>
        <w:pStyle w:val="Style92"/>
        <w:widowControl w:val="0"/>
        <w:keepNext/>
        <w:keepLines/>
        <w:shd w:val="clear" w:color="auto" w:fill="auto"/>
        <w:bidi w:val="0"/>
        <w:spacing w:before="0" w:after="0"/>
        <w:ind w:left="500" w:right="0" w:hanging="220"/>
      </w:pPr>
      <w:r>
        <w:br w:type="column"/>
      </w:r>
      <w:bookmarkStart w:id="775" w:name="bookmark775"/>
      <w:r>
        <w:rPr>
          <w:lang w:val="ru-RU" w:eastAsia="ru-RU" w:bidi="ru-RU"/>
          <w:w w:val="100"/>
          <w:spacing w:val="0"/>
          <w:color w:val="000000"/>
          <w:position w:val="0"/>
        </w:rPr>
        <w:t>Лабораторная диагностика</w:t>
      </w:r>
      <w:bookmarkEnd w:id="775"/>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Общий анализ крови:</w:t>
      </w:r>
    </w:p>
    <w:p>
      <w:pPr>
        <w:pStyle w:val="Style30"/>
        <w:numPr>
          <w:ilvl w:val="0"/>
          <w:numId w:val="14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Нормохромная нормоцитарная анемия у 50% па</w:t>
        <w:softHyphen/>
        <w:t>циентов.</w:t>
      </w:r>
    </w:p>
    <w:p>
      <w:pPr>
        <w:pStyle w:val="Style30"/>
        <w:numPr>
          <w:ilvl w:val="0"/>
          <w:numId w:val="14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Лейкоцитоз.</w:t>
      </w:r>
    </w:p>
    <w:p>
      <w:pPr>
        <w:pStyle w:val="Style30"/>
        <w:numPr>
          <w:ilvl w:val="0"/>
          <w:numId w:val="14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Тромбоцитоз.</w:t>
      </w:r>
    </w:p>
    <w:p>
      <w:pPr>
        <w:pStyle w:val="Style30"/>
        <w:numPr>
          <w:ilvl w:val="0"/>
          <w:numId w:val="149"/>
        </w:numPr>
        <w:tabs>
          <w:tab w:leader="none" w:pos="736" w:val="left"/>
        </w:tabs>
        <w:widowControl w:val="0"/>
        <w:keepNext w:val="0"/>
        <w:keepLines w:val="0"/>
        <w:shd w:val="clear" w:color="auto" w:fill="auto"/>
        <w:bidi w:val="0"/>
        <w:jc w:val="left"/>
        <w:spacing w:before="0" w:after="0"/>
        <w:ind w:left="280" w:right="0" w:firstLine="220"/>
      </w:pPr>
      <w:r>
        <w:rPr>
          <w:lang w:val="ru-RU" w:eastAsia="ru-RU" w:bidi="ru-RU"/>
          <w:w w:val="100"/>
          <w:spacing w:val="0"/>
          <w:color w:val="000000"/>
          <w:position w:val="0"/>
        </w:rPr>
        <w:t>Скорость оседания эритроцитов увеличена. Биохимический анализ крови:</w:t>
      </w:r>
    </w:p>
    <w:p>
      <w:pPr>
        <w:pStyle w:val="Style30"/>
        <w:numPr>
          <w:ilvl w:val="0"/>
          <w:numId w:val="14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Подъем трансаминаз.</w:t>
      </w:r>
    </w:p>
    <w:p>
      <w:pPr>
        <w:pStyle w:val="Style30"/>
        <w:numPr>
          <w:ilvl w:val="0"/>
          <w:numId w:val="14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Гипоальбуминемия.</w:t>
      </w:r>
    </w:p>
    <w:p>
      <w:pPr>
        <w:pStyle w:val="Style30"/>
        <w:numPr>
          <w:ilvl w:val="0"/>
          <w:numId w:val="14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Уровень антигена, связанного с фактором Виллеб- ранда (фактор </w:t>
      </w:r>
      <w:r>
        <w:rPr>
          <w:lang w:val="en-US" w:eastAsia="en-US" w:bidi="en-US"/>
          <w:w w:val="100"/>
          <w:spacing w:val="0"/>
          <w:color w:val="000000"/>
          <w:position w:val="0"/>
        </w:rPr>
        <w:t>VIII</w:t>
      </w:r>
      <w:r>
        <w:rPr>
          <w:lang w:val="ru-RU" w:eastAsia="ru-RU" w:bidi="ru-RU"/>
          <w:w w:val="100"/>
          <w:spacing w:val="0"/>
          <w:color w:val="000000"/>
          <w:position w:val="0"/>
        </w:rPr>
        <w:t>-связанный антиген), может быть увеличен.</w:t>
      </w:r>
    </w:p>
    <w:p>
      <w:pPr>
        <w:pStyle w:val="Style30"/>
        <w:numPr>
          <w:ilvl w:val="0"/>
          <w:numId w:val="14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Антиэндотелиальные антитела присутствуют.</w:t>
      </w:r>
    </w:p>
    <w:p>
      <w:pPr>
        <w:pStyle w:val="Style30"/>
        <w:numPr>
          <w:ilvl w:val="0"/>
          <w:numId w:val="14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Антинуклеарные антитела обычно отсутствуют.</w:t>
      </w:r>
    </w:p>
    <w:p>
      <w:pPr>
        <w:pStyle w:val="Style30"/>
        <w:numPr>
          <w:ilvl w:val="0"/>
          <w:numId w:val="14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Ревматический фактор увеличен у 15% пациентов.</w:t>
      </w:r>
    </w:p>
    <w:p>
      <w:pPr>
        <w:pStyle w:val="Style30"/>
        <w:numPr>
          <w:ilvl w:val="0"/>
          <w:numId w:val="149"/>
        </w:numPr>
        <w:tabs>
          <w:tab w:leader="none" w:pos="736" w:val="left"/>
        </w:tabs>
        <w:widowControl w:val="0"/>
        <w:keepNext w:val="0"/>
        <w:keepLines w:val="0"/>
        <w:shd w:val="clear" w:color="auto" w:fill="auto"/>
        <w:bidi w:val="0"/>
        <w:jc w:val="left"/>
        <w:spacing w:before="0" w:after="0"/>
        <w:ind w:left="280" w:right="0" w:firstLine="220"/>
      </w:pPr>
      <w:r>
        <w:rPr>
          <w:lang w:val="ru-RU" w:eastAsia="ru-RU" w:bidi="ru-RU"/>
          <w:w w:val="100"/>
          <w:spacing w:val="0"/>
          <w:color w:val="000000"/>
          <w:position w:val="0"/>
        </w:rPr>
        <w:t xml:space="preserve">Увеличение уровня иммуноглобулинов </w:t>
      </w:r>
      <w:r>
        <w:rPr>
          <w:lang w:val="en-US" w:eastAsia="en-US" w:bidi="en-US"/>
          <w:w w:val="100"/>
          <w:spacing w:val="0"/>
          <w:color w:val="000000"/>
          <w:position w:val="0"/>
        </w:rPr>
        <w:t xml:space="preserve">G, M </w:t>
      </w:r>
      <w:r>
        <w:rPr>
          <w:lang w:val="ru-RU" w:eastAsia="ru-RU" w:bidi="ru-RU"/>
          <w:w w:val="100"/>
          <w:spacing w:val="0"/>
          <w:color w:val="000000"/>
          <w:position w:val="0"/>
        </w:rPr>
        <w:t xml:space="preserve">и </w:t>
      </w:r>
      <w:r>
        <w:rPr>
          <w:lang w:val="en-US" w:eastAsia="en-US" w:bidi="en-US"/>
          <w:w w:val="100"/>
          <w:spacing w:val="0"/>
          <w:color w:val="000000"/>
          <w:position w:val="0"/>
        </w:rPr>
        <w:t xml:space="preserve">A </w:t>
      </w:r>
      <w:r>
        <w:rPr>
          <w:lang w:val="ru-RU" w:eastAsia="ru-RU" w:bidi="ru-RU"/>
          <w:w w:val="100"/>
          <w:spacing w:val="0"/>
          <w:color w:val="000000"/>
          <w:position w:val="0"/>
        </w:rPr>
        <w:t>Инструментальная диагностика Электрокардиография:</w:t>
      </w:r>
    </w:p>
    <w:p>
      <w:pPr>
        <w:pStyle w:val="Style30"/>
        <w:numPr>
          <w:ilvl w:val="0"/>
          <w:numId w:val="149"/>
        </w:numPr>
        <w:tabs>
          <w:tab w:leader="none" w:pos="515"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Позволяет выявить ишемические изменения, связан</w:t>
        <w:softHyphen/>
        <w:t>ные с поражением коронарных артерий.</w:t>
      </w:r>
    </w:p>
    <w:p>
      <w:pPr>
        <w:pStyle w:val="Style30"/>
        <w:numPr>
          <w:ilvl w:val="0"/>
          <w:numId w:val="14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Устанавливает величину гипертрофии левого желу</w:t>
        <w:softHyphen/>
        <w:t>дочка, связанной с обструктивным поражением аор</w:t>
        <w:softHyphen/>
        <w:t>ты и ее ветвей.</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Рентгенограмма грудной клетки:</w:t>
      </w:r>
    </w:p>
    <w:p>
      <w:pPr>
        <w:pStyle w:val="Style30"/>
        <w:numPr>
          <w:ilvl w:val="0"/>
          <w:numId w:val="14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 рентгенограмме грудной клетки могут визуализи</w:t>
        <w:softHyphen/>
        <w:t>роваться расширение восходящей аорты, иногда нис</w:t>
        <w:softHyphen/>
        <w:t>ходящей аорты, артериальные кальцификаты.</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Эхокардиография:</w:t>
      </w:r>
    </w:p>
    <w:p>
      <w:pPr>
        <w:pStyle w:val="Style30"/>
        <w:numPr>
          <w:ilvl w:val="0"/>
          <w:numId w:val="149"/>
        </w:numPr>
        <w:tabs>
          <w:tab w:leader="none" w:pos="515"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Оценка функции аортального клапана (ранняя диа</w:t>
        <w:softHyphen/>
        <w:t>гностика аортальной регургитации).</w:t>
      </w:r>
    </w:p>
    <w:p>
      <w:pPr>
        <w:pStyle w:val="Style30"/>
        <w:numPr>
          <w:ilvl w:val="0"/>
          <w:numId w:val="14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Оценка диаметра корня, восходящей и нисходящей аорты в динамике, позволяет своевременно выявить формирование аневризмы и ее расслоения.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Артериография:</w:t>
      </w:r>
    </w:p>
    <w:p>
      <w:pPr>
        <w:pStyle w:val="Style30"/>
        <w:numPr>
          <w:ilvl w:val="0"/>
          <w:numId w:val="149"/>
        </w:numPr>
        <w:tabs>
          <w:tab w:leader="none" w:pos="515"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Артериография является стандартным методом обсле</w:t>
        <w:softHyphen/>
        <w:t>дования для постановки диагноза артериита Такаясу.</w:t>
      </w:r>
    </w:p>
    <w:p>
      <w:pPr>
        <w:pStyle w:val="Style30"/>
        <w:numPr>
          <w:ilvl w:val="0"/>
          <w:numId w:val="14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Мониторинг периферического кровяного давления зачастую неточен у людей с </w:t>
      </w:r>
      <w:r>
        <w:rPr>
          <w:lang w:val="en-US" w:eastAsia="en-US" w:bidi="en-US"/>
          <w:w w:val="100"/>
          <w:spacing w:val="0"/>
          <w:color w:val="000000"/>
          <w:position w:val="0"/>
        </w:rPr>
        <w:t xml:space="preserve">TA; </w:t>
      </w:r>
      <w:r>
        <w:rPr>
          <w:lang w:val="ru-RU" w:eastAsia="ru-RU" w:bidi="ru-RU"/>
          <w:w w:val="100"/>
          <w:spacing w:val="0"/>
          <w:color w:val="000000"/>
          <w:position w:val="0"/>
        </w:rPr>
        <w:t>только измерение давления в течение вазографии может показать кор</w:t>
        <w:softHyphen/>
        <w:t>невую артериальную гипертензию.</w:t>
      </w:r>
    </w:p>
    <w:p>
      <w:pPr>
        <w:pStyle w:val="Style30"/>
        <w:numPr>
          <w:ilvl w:val="0"/>
          <w:numId w:val="14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Артериограмма часто демонстрирует место и характер сужения или окклюзии. Стеноз формируется у 90-100% пациентов с болезнью Такаясу, а аневризма только — у 27%.</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Магниторезонансное исследование сосудов: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Более новая методика магниторезонансного исследова</w:t>
        <w:softHyphen/>
        <w:t>ния сосудов позволяет увидеть 3-мерное отображение аорты и ее ветвей.</w:t>
      </w:r>
    </w:p>
    <w:p>
      <w:pPr>
        <w:pStyle w:val="Style30"/>
        <w:numPr>
          <w:ilvl w:val="0"/>
          <w:numId w:val="14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Это обследование полезно для серийного обследова</w:t>
        <w:softHyphen/>
        <w:t>ния и диагностики артериита Такаясу на ранней ста</w:t>
        <w:softHyphen/>
        <w:t>дии.</w:t>
      </w:r>
    </w:p>
    <w:p>
      <w:pPr>
        <w:pStyle w:val="Style30"/>
        <w:numPr>
          <w:ilvl w:val="0"/>
          <w:numId w:val="149"/>
        </w:numPr>
        <w:tabs>
          <w:tab w:leader="none" w:pos="515"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Метод позволяет демонстрировать интрамуральное утолщение аорты и сужение ее просвета.</w:t>
      </w:r>
    </w:p>
    <w:p>
      <w:pPr>
        <w:pStyle w:val="Style30"/>
        <w:numPr>
          <w:ilvl w:val="0"/>
          <w:numId w:val="14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Использование контраста может показать воспалитель</w:t>
        <w:softHyphen/>
        <w:t>ные поражения до развития стеноза; эти поражения мо - гут быть пропущены при проведении вазографии.</w:t>
      </w:r>
    </w:p>
    <w:p>
      <w:pPr>
        <w:pStyle w:val="Style30"/>
        <w:numPr>
          <w:ilvl w:val="0"/>
          <w:numId w:val="149"/>
        </w:numPr>
        <w:tabs>
          <w:tab w:leader="none" w:pos="515" w:val="left"/>
        </w:tabs>
        <w:widowControl w:val="0"/>
        <w:keepNext w:val="0"/>
        <w:keepLines w:val="0"/>
        <w:shd w:val="clear" w:color="auto" w:fill="auto"/>
        <w:bidi w:val="0"/>
        <w:spacing w:before="0" w:after="0"/>
        <w:ind w:left="500" w:right="0" w:hanging="220"/>
      </w:pPr>
      <w:r>
        <w:pict>
          <v:shape id="_x0000_s1751" type="#_x0000_t75" style="position:absolute;margin-left:147.85pt;margin-top:736.8pt;width:209.75pt;height:14.9pt;z-index:-125828867;mso-wrap-distance-left:147.35pt;mso-wrap-distance-right:136.55pt;mso-wrap-distance-bottom:10.8pt;mso-position-horizontal-relative:margin;mso-position-vertical-relative:margin" wrapcoords="0 0 21600 0 21600 21600 0 21600 0 0">
            <v:imagedata r:id="rId1185" r:href="rId1186"/>
            <w10:wrap type="topAndBottom" anchorx="margin" anchory="margin"/>
          </v:shape>
        </w:pict>
      </w:r>
      <w:r>
        <w:rPr>
          <w:lang w:val="ru-RU" w:eastAsia="ru-RU" w:bidi="ru-RU"/>
          <w:w w:val="100"/>
          <w:spacing w:val="0"/>
          <w:color w:val="000000"/>
          <w:position w:val="0"/>
        </w:rPr>
        <w:t>Артериальные поражения, включая стеноз, дилатацию, утолщение стенок и интрамуральный тромбоз, хорошо визуализируются на ЯМР, однако этот метод менее ин</w:t>
        <w:softHyphen/>
        <w:t>формативен в обнаружении дистальных поражений подключичных сосудов и общих сонных артерий.</w:t>
      </w:r>
      <w:r>
        <w:br w:type="page"/>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Радионуклидное сканирование с Галлием 67:</w:t>
      </w:r>
    </w:p>
    <w:p>
      <w:pPr>
        <w:pStyle w:val="Style30"/>
        <w:numPr>
          <w:ilvl w:val="0"/>
          <w:numId w:val="149"/>
        </w:numPr>
        <w:tabs>
          <w:tab w:leader="none" w:pos="516"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Этот метод может демонстрировать увеличенное на</w:t>
        <w:softHyphen/>
        <w:t>копление радионуклида в аорте и ее ветвях.</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Ультразвук с высоким разрешением (сосудистая доппле</w:t>
        <w:softHyphen/>
        <w:t>рография):</w:t>
      </w:r>
    </w:p>
    <w:p>
      <w:pPr>
        <w:pStyle w:val="Style30"/>
        <w:numPr>
          <w:ilvl w:val="0"/>
          <w:numId w:val="14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Сосудистая допплерография может использоваться для того, чтобы оценить и контролировать течение болезни при поражении общих сонных артерий и подключичных артерий.</w:t>
      </w:r>
    </w:p>
    <w:p>
      <w:pPr>
        <w:pStyle w:val="Style30"/>
        <w:numPr>
          <w:ilvl w:val="0"/>
          <w:numId w:val="14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Исследование каротидных артерий показывает гомо - генное круговое утолщение стенки сосуда, которое можно отличить от атеросклеротического утолщения.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w:t>
      </w:r>
    </w:p>
    <w:p>
      <w:pPr>
        <w:pStyle w:val="Style30"/>
        <w:numPr>
          <w:ilvl w:val="0"/>
          <w:numId w:val="14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Назначение высоких доз кортикостероидов — основа начальной терапии. Рекомендуют использовать пред- низолон по 1-2 мг/кг/сутки в течение 4-6 недель:</w:t>
      </w:r>
    </w:p>
    <w:p>
      <w:pPr>
        <w:pStyle w:val="Style30"/>
        <w:numPr>
          <w:ilvl w:val="0"/>
          <w:numId w:val="151"/>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поддерживающая терапия высокими дозами про</w:t>
        <w:softHyphen/>
        <w:t>водится до исчезновения всех симптомов активно</w:t>
        <w:softHyphen/>
        <w:t>сти болезни;</w:t>
      </w:r>
    </w:p>
    <w:p>
      <w:pPr>
        <w:pStyle w:val="Style30"/>
        <w:numPr>
          <w:ilvl w:val="0"/>
          <w:numId w:val="151"/>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снижение преднизолона проводится очень мед</w:t>
        <w:softHyphen/>
        <w:t>ленно, в 40% случаев отмечаются рецидивы на снижение стероидов;</w:t>
      </w:r>
    </w:p>
    <w:p>
      <w:pPr>
        <w:pStyle w:val="Style30"/>
        <w:numPr>
          <w:ilvl w:val="0"/>
          <w:numId w:val="151"/>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пациенты, не отвечающие на кортикостероиды или которые дали рецидив в течение снижения кортикостероида, требуют дополнительного сред</w:t>
        <w:softHyphen/>
        <w:t>ства;</w:t>
      </w:r>
    </w:p>
    <w:p>
      <w:pPr>
        <w:pStyle w:val="Style30"/>
        <w:numPr>
          <w:ilvl w:val="0"/>
          <w:numId w:val="151"/>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еженедельные вливания метилпреднизолона (30 мг/кг, не более 1 грамма в неделю).</w:t>
      </w:r>
    </w:p>
    <w:p>
      <w:pPr>
        <w:pStyle w:val="Style30"/>
        <w:numPr>
          <w:ilvl w:val="0"/>
          <w:numId w:val="14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Химиотерапия </w:t>
      </w:r>
      <w:r>
        <w:rPr>
          <w:rStyle w:val="CharStyle103"/>
        </w:rPr>
        <w:t>метотрексатом</w:t>
      </w:r>
      <w:r>
        <w:rPr>
          <w:lang w:val="ru-RU" w:eastAsia="ru-RU" w:bidi="ru-RU"/>
          <w:w w:val="100"/>
          <w:spacing w:val="0"/>
          <w:color w:val="000000"/>
          <w:position w:val="0"/>
        </w:rPr>
        <w:t xml:space="preserve"> (5-15 мг/м</w:t>
      </w:r>
      <w:r>
        <w:rPr>
          <w:lang w:val="ru-RU" w:eastAsia="ru-RU" w:bidi="ru-RU"/>
          <w:vertAlign w:val="superscript"/>
          <w:w w:val="100"/>
          <w:spacing w:val="0"/>
          <w:color w:val="000000"/>
          <w:position w:val="0"/>
        </w:rPr>
        <w:t>2</w:t>
      </w:r>
      <w:r>
        <w:rPr>
          <w:lang w:val="ru-RU" w:eastAsia="ru-RU" w:bidi="ru-RU"/>
          <w:w w:val="100"/>
          <w:spacing w:val="0"/>
          <w:color w:val="000000"/>
          <w:position w:val="0"/>
        </w:rPr>
        <w:t xml:space="preserve"> внутрь или внутримышечно еженедельно) и </w:t>
      </w:r>
      <w:r>
        <w:rPr>
          <w:rStyle w:val="CharStyle103"/>
        </w:rPr>
        <w:t>циклофосфами- дом</w:t>
      </w:r>
      <w:r>
        <w:rPr>
          <w:lang w:val="ru-RU" w:eastAsia="ru-RU" w:bidi="ru-RU"/>
          <w:w w:val="100"/>
          <w:spacing w:val="0"/>
          <w:color w:val="000000"/>
          <w:position w:val="0"/>
        </w:rPr>
        <w:t xml:space="preserve"> (от 500 мг до 1 г/м</w:t>
      </w:r>
      <w:r>
        <w:rPr>
          <w:lang w:val="ru-RU" w:eastAsia="ru-RU" w:bidi="ru-RU"/>
          <w:vertAlign w:val="superscript"/>
          <w:w w:val="100"/>
          <w:spacing w:val="0"/>
          <w:color w:val="000000"/>
          <w:position w:val="0"/>
        </w:rPr>
        <w:t>2</w:t>
      </w:r>
      <w:r>
        <w:rPr>
          <w:lang w:val="ru-RU" w:eastAsia="ru-RU" w:bidi="ru-RU"/>
          <w:w w:val="100"/>
          <w:spacing w:val="0"/>
          <w:color w:val="000000"/>
          <w:position w:val="0"/>
        </w:rPr>
        <w:t xml:space="preserve"> внутривенно один раз в ме</w:t>
        <w:softHyphen/>
        <w:t>сяц). Эти препараты назначаются в комбинации с глюкокортикоидами или как монотерапия при не</w:t>
        <w:softHyphen/>
        <w:t>переносимости стероидных препаратов.</w:t>
      </w:r>
    </w:p>
    <w:p>
      <w:pPr>
        <w:pStyle w:val="Style30"/>
        <w:numPr>
          <w:ilvl w:val="0"/>
          <w:numId w:val="149"/>
        </w:numPr>
        <w:tabs>
          <w:tab w:leader="none" w:pos="516" w:val="left"/>
        </w:tabs>
        <w:widowControl w:val="0"/>
        <w:keepNext w:val="0"/>
        <w:keepLines w:val="0"/>
        <w:shd w:val="clear" w:color="auto" w:fill="auto"/>
        <w:bidi w:val="0"/>
        <w:spacing w:before="0" w:after="0"/>
        <w:ind w:left="520" w:right="0" w:hanging="240"/>
      </w:pPr>
      <w:r>
        <w:rPr>
          <w:rStyle w:val="CharStyle103"/>
        </w:rPr>
        <w:t>Циклоспорин</w:t>
      </w:r>
      <w:r>
        <w:rPr>
          <w:lang w:val="ru-RU" w:eastAsia="ru-RU" w:bidi="ru-RU"/>
          <w:w w:val="100"/>
          <w:spacing w:val="0"/>
          <w:color w:val="000000"/>
          <w:position w:val="0"/>
        </w:rPr>
        <w:t xml:space="preserve"> (1-3 мг/кг/сутки внутрь первоначально; можно постепенно увеличить до 5 мг/кг/сутки внутрь) может быть использован в качестве альтерна</w:t>
        <w:softHyphen/>
        <w:t>тивной терапии, т.к. у него меньше овариальная ток</w:t>
        <w:softHyphen/>
        <w:t>сичность, чем у циклофосфамида. Однако циклоспо</w:t>
        <w:softHyphen/>
        <w:t>рин часто обусловливает снижение функции почек и увеличение кровяного давления, которое может отягощать повреждение сердца и крупных сосудов.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Хирургическое лечение</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Во время острой фазы пациенты с фиброзными измене</w:t>
        <w:softHyphen/>
        <w:t>ниями требуют хирургического лечения.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Чрескожная баллонная ангиопластика аорты:</w:t>
      </w:r>
    </w:p>
    <w:p>
      <w:pPr>
        <w:pStyle w:val="Style30"/>
        <w:numPr>
          <w:ilvl w:val="0"/>
          <w:numId w:val="149"/>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Чрескожная баллонная ангиопластика аорты нор</w:t>
        <w:softHyphen/>
        <w:t>мализует систолическое и диастолическое кровя</w:t>
        <w:softHyphen/>
        <w:t>ное давление в течение 24 часов и восстанавливает периферический пульс.</w:t>
      </w:r>
    </w:p>
    <w:p>
      <w:pPr>
        <w:pStyle w:val="Style30"/>
        <w:numPr>
          <w:ilvl w:val="0"/>
          <w:numId w:val="149"/>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Исчезают вазоренальная артериальная гипертен</w:t>
        <w:softHyphen/>
        <w:t>зия и застойная сердечная недостаточность вслед</w:t>
        <w:softHyphen/>
        <w:t>ствие увеличения постнагрузки.</w:t>
      </w:r>
    </w:p>
    <w:p>
      <w:pPr>
        <w:pStyle w:val="Style30"/>
        <w:numPr>
          <w:ilvl w:val="0"/>
          <w:numId w:val="149"/>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Полное выздоровление отмечается в течение 3-5 лет.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Эндоваскулярное стентирование:</w:t>
      </w:r>
    </w:p>
    <w:p>
      <w:pPr>
        <w:pStyle w:val="Style30"/>
        <w:numPr>
          <w:ilvl w:val="0"/>
          <w:numId w:val="149"/>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Эндоваскулярное стентирование используется у больных с тяжелым стенозом, артериальной ги</w:t>
        <w:softHyphen/>
        <w:t>пертензией или ишемией при фиброзной фазе бо</w:t>
        <w:softHyphen/>
        <w:t>лезни Такаясу.</w:t>
      </w:r>
    </w:p>
    <w:p>
      <w:pPr>
        <w:pStyle w:val="Style30"/>
        <w:numPr>
          <w:ilvl w:val="0"/>
          <w:numId w:val="149"/>
        </w:numPr>
        <w:tabs>
          <w:tab w:leader="none" w:pos="757"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Множественные стенты могут быть использованы у детей, чтобы уменьшить стенозы почечных арте</w:t>
        <w:softHyphen/>
        <w:br w:type="column"/>
        <w:t>рий и сопутствующую вазоренальную артериаль</w:t>
        <w:softHyphen/>
        <w:t>ную гипертензию.</w:t>
      </w:r>
    </w:p>
    <w:p>
      <w:pPr>
        <w:pStyle w:val="Style30"/>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 У детей с артериитом Такаясу проведенное стенти</w:t>
        <w:softHyphen/>
        <w:t>рование снижает артериальное давление и умень</w:t>
        <w:softHyphen/>
        <w:t>шает потребность в гипотензивных средствах.</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Осложнения</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Застойная сердечная недостаточность вследствие аортальной недостаточности, миокардита и/или ар</w:t>
        <w:softHyphen/>
        <w:t>териальной гипертензии.</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Аневризмы аорты, формирование тромба и разрыв аортальной стенки.</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Инсульт мозга.</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Вазоренальная гипертензия, гипертонический криз.</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Ишемия почек, хроническая почечная недостаточ</w:t>
        <w:softHyphen/>
        <w:t>ность.</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Прогноз.:</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Артериит Такаясу — хроническая рецидивирующая болезнь. У половины пациентов с артериитом Такая- су имеет место высокая вероятность рецидива.</w:t>
      </w:r>
    </w:p>
    <w:p>
      <w:pPr>
        <w:pStyle w:val="Style30"/>
        <w:numPr>
          <w:ilvl w:val="0"/>
          <w:numId w:val="149"/>
        </w:numPr>
        <w:tabs>
          <w:tab w:leader="none" w:pos="498" w:val="left"/>
        </w:tabs>
        <w:widowControl w:val="0"/>
        <w:keepNext w:val="0"/>
        <w:keepLines w:val="0"/>
        <w:shd w:val="clear" w:color="auto" w:fill="auto"/>
        <w:bidi w:val="0"/>
        <w:spacing w:before="0" w:after="237"/>
        <w:ind w:left="500" w:right="0" w:hanging="240"/>
      </w:pPr>
      <w:r>
        <w:rPr>
          <w:lang w:val="ru-RU" w:eastAsia="ru-RU" w:bidi="ru-RU"/>
          <w:w w:val="100"/>
          <w:spacing w:val="0"/>
          <w:color w:val="000000"/>
          <w:position w:val="0"/>
        </w:rPr>
        <w:t>15-летняя выживаемость достигает 95%.</w:t>
      </w:r>
    </w:p>
    <w:p>
      <w:pPr>
        <w:pStyle w:val="Style28"/>
        <w:widowControl w:val="0"/>
        <w:keepNext/>
        <w:keepLines/>
        <w:shd w:val="clear" w:color="auto" w:fill="auto"/>
        <w:bidi w:val="0"/>
        <w:jc w:val="left"/>
        <w:spacing w:before="0" w:after="153" w:line="220" w:lineRule="exact"/>
        <w:ind w:left="0" w:right="0" w:firstLine="0"/>
      </w:pPr>
      <w:bookmarkStart w:id="776" w:name="bookmark776"/>
      <w:r>
        <w:rPr>
          <w:lang w:val="ru-RU" w:eastAsia="ru-RU" w:bidi="ru-RU"/>
          <w:w w:val="100"/>
          <w:spacing w:val="0"/>
          <w:color w:val="000000"/>
          <w:position w:val="0"/>
        </w:rPr>
        <w:t>Нейроциркуляторная дистония</w:t>
      </w:r>
      <w:bookmarkEnd w:id="776"/>
    </w:p>
    <w:p>
      <w:pPr>
        <w:pStyle w:val="Style92"/>
        <w:widowControl w:val="0"/>
        <w:keepNext/>
        <w:keepLines/>
        <w:shd w:val="clear" w:color="auto" w:fill="auto"/>
        <w:bidi w:val="0"/>
        <w:spacing w:before="0" w:after="0"/>
        <w:ind w:left="500" w:right="0" w:hanging="240"/>
      </w:pPr>
      <w:bookmarkStart w:id="777" w:name="bookmark777"/>
      <w:r>
        <w:rPr>
          <w:lang w:val="ru-RU" w:eastAsia="ru-RU" w:bidi="ru-RU"/>
          <w:w w:val="100"/>
          <w:spacing w:val="0"/>
          <w:color w:val="000000"/>
          <w:position w:val="0"/>
        </w:rPr>
        <w:t>Определение</w:t>
      </w:r>
      <w:bookmarkEnd w:id="777"/>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Нейроциркуляторная дистония (НЦД) — состояние функциональной нестабильности вегетативной регу</w:t>
        <w:softHyphen/>
        <w:t>ляции сердечно-сосудистой системы, обусловленной причинами наследственного, перинатального, соци- ально-средового или психоэмоционального характе</w:t>
        <w:softHyphen/>
        <w:t>ра, при отсутствии органических причин заболева</w:t>
        <w:softHyphen/>
        <w:t>ния.</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Нейроциркуляторная дистония известна в отечест</w:t>
        <w:softHyphen/>
        <w:t>венной и зарубежной литературе и под другими на</w:t>
        <w:softHyphen/>
        <w:t>званиями: нейротический сердечно-сосудистый нев</w:t>
        <w:softHyphen/>
        <w:t>роз, нейроэндокринная миокардиопатия, функцио</w:t>
        <w:softHyphen/>
        <w:t>нальная кардиопатия, невроз с нейроциркуляторным синдромом, невроз с кардиалгиями, синдром Да Ко</w:t>
        <w:softHyphen/>
        <w:t>ста, синдром усилия, невроз сердца, вазорегулятор</w:t>
        <w:softHyphen/>
        <w:t>ная астения, сердечно-сосудистый гиперкинетичес</w:t>
        <w:softHyphen/>
        <w:t>кий синдром.</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нашей стране наиболее часто употребляется термин «нейроциркуляторная дистония», который был пред</w:t>
        <w:softHyphen/>
        <w:t>ложен Н.Н. Савицким, описавшим кардиалгичес- кую, гипер- и гипотензивную формы заболевания.</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Введение</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Ранний подростковый возраст является одним из наиболее сложных этапов, в период которого орга</w:t>
        <w:softHyphen/>
        <w:t>низм ребенка достигает биологической зрелости. В этом возрасте наблюдаются глубокие нервно-пси</w:t>
        <w:softHyphen/>
        <w:t>хические и эндокринно-гуморальные сдвиги, опре</w:t>
        <w:softHyphen/>
        <w:t>деляющие интенсивный (до 12 и более см в год) рост, морфо-функциональную трансформацию ор</w:t>
        <w:softHyphen/>
        <w:t>ганов и систем, становление репродуктивной функ</w:t>
        <w:softHyphen/>
        <w:t>ции. Все это предъявляет организму подростка вы</w:t>
        <w:softHyphen/>
        <w:t>сокие адаптационные требования, обусловливая по</w:t>
        <w:softHyphen/>
        <w:t>вышенную ранимость и склонность к функциональ</w:t>
        <w:softHyphen/>
        <w:t>ным нарушениям и пограничной патологии, в част</w:t>
        <w:softHyphen/>
        <w:t>ности соматоформной дисфункции вегетативной нервной системы.</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pict>
          <v:shape id="_x0000_s1752" type="#_x0000_t75" style="position:absolute;margin-left:136.8pt;margin-top:736.8pt;width:209.75pt;height:14.9pt;z-index:-125828866;mso-wrap-distance-left:136.55pt;mso-wrap-distance-right:147.85pt;mso-wrap-distance-bottom:10.8pt;mso-position-horizontal-relative:margin;mso-position-vertical-relative:margin" wrapcoords="0 0 21600 0 21600 21600 0 21600 0 0">
            <v:imagedata r:id="rId1187" r:href="rId1188"/>
            <w10:wrap type="topAndBottom" anchorx="margin" anchory="margin"/>
          </v:shape>
        </w:pict>
      </w:r>
      <w:r>
        <w:rPr>
          <w:lang w:val="ru-RU" w:eastAsia="ru-RU" w:bidi="ru-RU"/>
          <w:w w:val="100"/>
          <w:spacing w:val="0"/>
          <w:color w:val="000000"/>
          <w:position w:val="0"/>
        </w:rPr>
        <w:t>Нейроциркуляторная дистония (НЦД) является од</w:t>
        <w:softHyphen/>
        <w:t>ним из наиболее распространенных среди подрост</w:t>
        <w:softHyphen/>
        <w:t>ков заболеваний — частота ее в популяции мальчиков</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составляет 72,6%, девочек — 78,2%, в том числе гипо</w:t>
        <w:softHyphen/>
        <w:t>тензивной и гипертензивной форм — соответственно 21,1 и 11,0, а кардиалгической — 30,7 на 1000 детско</w:t>
        <w:softHyphen/>
        <w:t>го населения.</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Исследования последних лет убедительно показали предикторную роль НЦД в формировании психосо</w:t>
        <w:softHyphen/>
        <w:t>матической и хронической патологии. Так, по дан</w:t>
        <w:softHyphen/>
        <w:t>ным Н.А.Белоконь (1987) и И.В.Леонтьевой (2001), НЦД в формировании гипертонической болезни яв</w:t>
        <w:softHyphen/>
        <w:t>ляется столь же значимым фактором риска, как и фактор наследственности.</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 учетом наибольшей частоты проявлений, связан</w:t>
        <w:softHyphen/>
        <w:t>ной с нестабильностью регуляторной функции ВНС в период полового созревания и морфо-функцио</w:t>
        <w:softHyphen/>
        <w:t>нальной перестройки организма, именно в подрост</w:t>
        <w:softHyphen/>
        <w:t>ковом возрасте чаще всего отмечается начало психо</w:t>
        <w:softHyphen/>
        <w:t>соматических и соматопсихических заболеваний — гипертонической и гипотонической болезней, сер</w:t>
        <w:softHyphen/>
        <w:t>дечной аритмии, ишемической болезни сердца, ран</w:t>
        <w:softHyphen/>
        <w:t>него атеросклероза. Все это ограничивает возмож</w:t>
        <w:softHyphen/>
        <w:t>ность выбора подростками профессии и специально</w:t>
        <w:softHyphen/>
        <w:t>сти, делает их непригодными к службе в армии, омра</w:t>
        <w:softHyphen/>
        <w:t>чает перспективу создания семьи, будущего материн</w:t>
        <w:softHyphen/>
        <w:t>ства и отцовства.</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Этиология</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этиологии НЦД следует особо выделить причины, представляющие собой факторы высокого риска, связанные с нарушением режимных физиологичес</w:t>
        <w:softHyphen/>
        <w:t>ких компонентов здорового образа жизни подростка.</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Прежде всего это относится к гипокинезии. Совре</w:t>
        <w:softHyphen/>
        <w:t>менные подростки ведут малоподвижный образ жиз</w:t>
        <w:softHyphen/>
        <w:t>ни, что, как показывают результаты проведенного на</w:t>
        <w:softHyphen/>
        <w:t>ми исследования, проявляется резким снижением то - лерантности к динамическим нагрузкам.</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Другая причина лежит в несоответствии возможнос</w:t>
        <w:softHyphen/>
        <w:t>тей зрительного анализатора подростка, определяе</w:t>
        <w:softHyphen/>
        <w:t>мых возрастными анатомо-физиологическими осо</w:t>
        <w:softHyphen/>
        <w:t>бенностями, и интенсивности предлагаемой нагруз</w:t>
        <w:softHyphen/>
        <w:t>ки, обусловленной длительной работой с монитором (телевизор, компьютер), составляющей от 3 до 6 и бо</w:t>
        <w:softHyphen/>
        <w:t>лее часов в день.</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Следует сегодня говорить и о патологическом влия</w:t>
        <w:softHyphen/>
        <w:t>нии продуктов горения табака, пивной алкоголиза</w:t>
        <w:softHyphen/>
        <w:t>ции, злоупотреблении алкоголем, токсико- и нарко</w:t>
        <w:softHyphen/>
        <w:t>мании как причин токсического и психо-невротичес</w:t>
        <w:softHyphen/>
        <w:t>кого воздействия на ВНС, приводящих к ее дестаби</w:t>
        <w:softHyphen/>
        <w:t>лизации с формированием НЦД.</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 причинам, способствующим развитию НЦД, сле</w:t>
        <w:softHyphen/>
        <w:t>дует отнести негативное влияние на вегетативную нервную систему (ВНС) хронических очагов инфек</w:t>
        <w:softHyphen/>
        <w:t>ции, особенно носоглоточной, распространенность которой у подростков достигает 40-60%, а также по</w:t>
        <w:softHyphen/>
        <w:t>следствий натальной травмы центральной нервной системы и шейного отдела позвоночника — вертеб- робазилярную недостаточность, гипертензионно-ги- дроцефальный синдром, ранний остеохондроз, син- копальные состояния и др.</w:t>
      </w:r>
    </w:p>
    <w:p>
      <w:pPr>
        <w:pStyle w:val="Style30"/>
        <w:numPr>
          <w:ilvl w:val="0"/>
          <w:numId w:val="14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Проведенное изучение анамнеза детей, больных НЦД, показало довольно значительную наследствен</w:t>
        <w:softHyphen/>
        <w:t>ную отягощенность по вегетативной дистонии, арте</w:t>
        <w:softHyphen/>
        <w:t>риальной гипо- или гипертензии, аритмии сердца, атеросклерозу сосудов, ишемической болезни сердца.</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Отягощенную наследственность по гипертонической болезни и другим сердечно-сосудистым заболевани</w:t>
        <w:softHyphen/>
        <w:t>ям, а также сахарному диабету следует учитывать при наличии этих заболеваний у родителей в возрасте до 55 лет.</w:t>
      </w:r>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Имеет значение наличие в анамнезе матерей детей, страдающих НЦД, гестозов, невынашивания бере</w:t>
        <w:softHyphen/>
        <w:t>менности, анемии.</w:t>
      </w:r>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дополнение к вышеназванным этиологическим факторам следует добавить изменения массы тела у подростков. Установлено, что не только избыточ</w:t>
        <w:softHyphen/>
        <w:t>ная, но и низкая масса тела способствует повышению артериального давления (АД), как правило, диасто</w:t>
        <w:softHyphen/>
        <w:t>лического (Леонтьева И.В., 2000). С подъемом АД в подростковом возрасте ассоциируется также и низ</w:t>
        <w:softHyphen/>
        <w:t xml:space="preserve">кая масса тела при рождении </w:t>
      </w:r>
      <w:r>
        <w:rPr>
          <w:lang w:val="en-US" w:eastAsia="en-US" w:bidi="en-US"/>
          <w:w w:val="100"/>
          <w:spacing w:val="0"/>
          <w:color w:val="000000"/>
          <w:position w:val="0"/>
        </w:rPr>
        <w:t xml:space="preserve">(E.Lurbt, </w:t>
      </w:r>
      <w:r>
        <w:rPr>
          <w:lang w:val="ru-RU" w:eastAsia="ru-RU" w:bidi="ru-RU"/>
          <w:w w:val="100"/>
          <w:spacing w:val="0"/>
          <w:color w:val="000000"/>
          <w:position w:val="0"/>
        </w:rPr>
        <w:t>1996).</w:t>
      </w:r>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Среди многочисленных факторов, способствующих повышению АД и развитию в дальнейшем ГБ, следу</w:t>
        <w:softHyphen/>
        <w:t>ет выделить прежде всего избыточное употребление поваренной соли. Исследованиями доказана прямая связь между количеством употребляемой соли и уров</w:t>
        <w:softHyphen/>
        <w:t>нем АД.</w:t>
      </w:r>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Говоря о происхождении артериальной гипертензии, следует иметь в виду наличие в анамнезе бронхоле</w:t>
        <w:softHyphen/>
        <w:t>гочной дисплазии, катетеризации пупочной артерии в периоде новорожденности, гипотрофии, черепно</w:t>
        <w:softHyphen/>
        <w:t>мозговой травмы и травмы живота, преждевременно</w:t>
        <w:softHyphen/>
        <w:t>го полового развития.</w:t>
      </w:r>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Психологические и средовые факторы (характер уче</w:t>
        <w:softHyphen/>
        <w:t>бы и работы, атмосфера в семье, образовательный и эмоциональный статус родителей и опекунов, со</w:t>
        <w:softHyphen/>
        <w:t>циально-экономические показатели семьи, жилищ</w:t>
        <w:softHyphen/>
        <w:t>ные условия, характер работы родителей, уровень взаимопонимания).</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В клинике НЦД в настоящее время выделяют гипотен</w:t>
        <w:softHyphen/>
        <w:t>зивный вариант и гипертензивный вариант, ведущим про</w:t>
        <w:softHyphen/>
        <w:t>явлением которых является запредельное отклонение уров</w:t>
        <w:softHyphen/>
        <w:t>ня артериального давления, а также кардиалгический вари</w:t>
        <w:softHyphen/>
        <w:t>ант с болевыми ощущениями в области сердца.</w:t>
      </w:r>
    </w:p>
    <w:p>
      <w:pPr>
        <w:pStyle w:val="Style92"/>
        <w:widowControl w:val="0"/>
        <w:keepNext/>
        <w:keepLines/>
        <w:shd w:val="clear" w:color="auto" w:fill="auto"/>
        <w:bidi w:val="0"/>
        <w:spacing w:before="0" w:after="0"/>
        <w:ind w:left="520" w:right="0" w:hanging="240"/>
      </w:pPr>
      <w:bookmarkStart w:id="778" w:name="bookmark778"/>
      <w:r>
        <w:rPr>
          <w:lang w:val="ru-RU" w:eastAsia="ru-RU" w:bidi="ru-RU"/>
          <w:w w:val="100"/>
          <w:spacing w:val="0"/>
          <w:color w:val="000000"/>
          <w:position w:val="0"/>
        </w:rPr>
        <w:t>Гипотензивный вариант НЦД</w:t>
      </w:r>
      <w:bookmarkEnd w:id="778"/>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Распространенность гипотензивного варианта НЦД в популяции подростков составляет от 3,1 до 20,9% (Ахметжанова Х.М.,1988) и встречается чаще среди мальчиков. Артериальная гипотензия распознается значительно раньше, чем, например, артериальная гипертензия, в связи с наличием характерных симп</w:t>
        <w:softHyphen/>
        <w:t>томов астенического характера. Следует отметить, что гипотензивный вариант НЦД по сравнению с ги</w:t>
        <w:softHyphen/>
        <w:t>пертензивным появляется уже в ранние возрастные периоды и нередко в начальной школе, такие дети имеют довольно выраженную клиническую симпто</w:t>
        <w:softHyphen/>
        <w:t>матику.</w:t>
      </w:r>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 гипотензивному варианту НЦД относятся дети с колебаниями систолического артериального давле</w:t>
        <w:softHyphen/>
        <w:t>ния от 80 до 110 мм рт. ст. и диастолического от 45 до 60 мм рт. ст., что соответствует 5-25 кривой нормаль</w:t>
        <w:softHyphen/>
        <w:t>ного распределения артериального давления.</w:t>
      </w:r>
    </w:p>
    <w:p>
      <w:pPr>
        <w:pStyle w:val="Style30"/>
        <w:numPr>
          <w:ilvl w:val="0"/>
          <w:numId w:val="149"/>
        </w:numPr>
        <w:tabs>
          <w:tab w:leader="none" w:pos="520" w:val="left"/>
        </w:tabs>
        <w:widowControl w:val="0"/>
        <w:keepNext w:val="0"/>
        <w:keepLines w:val="0"/>
        <w:shd w:val="clear" w:color="auto" w:fill="auto"/>
        <w:bidi w:val="0"/>
        <w:spacing w:before="0" w:after="0"/>
        <w:ind w:left="520" w:right="0" w:hanging="240"/>
      </w:pPr>
      <w:r>
        <w:pict>
          <v:shape id="_x0000_s1753" type="#_x0000_t75" style="position:absolute;margin-left:147.7pt;margin-top:736.8pt;width:209.75pt;height:14.9pt;z-index:-125828865;mso-wrap-distance-left:147.35pt;mso-wrap-distance-right:136.8pt;mso-wrap-distance-bottom:10.8pt;mso-position-horizontal-relative:margin;mso-position-vertical-relative:margin" wrapcoords="0 0 21600 0 21600 21600 0 21600 0 0">
            <v:imagedata r:id="rId1189" r:href="rId1190"/>
            <w10:wrap type="topAndBottom" anchorx="margin" anchory="margin"/>
          </v:shape>
        </w:pict>
      </w:r>
      <w:r>
        <w:rPr>
          <w:lang w:val="ru-RU" w:eastAsia="ru-RU" w:bidi="ru-RU"/>
          <w:w w:val="100"/>
          <w:spacing w:val="0"/>
          <w:color w:val="000000"/>
          <w:position w:val="0"/>
        </w:rPr>
        <w:t>К клиническим особенностям гипотензивного вари</w:t>
        <w:softHyphen/>
        <w:t>анта НЦД относят прежде всего проявления асте- но-вегетативного синдрома: быструю истощаемость эмоциональной, умственной и физической активно-</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сти; у школьников — снижение памяти, концентра</w:t>
        <w:softHyphen/>
        <w:t>ции внимания, рассеянность, быструю отвлекае- мость, медлительность, приступы или перманент</w:t>
        <w:softHyphen/>
        <w:t>ность ощущений слабости, вялости, зябкость, возни</w:t>
        <w:softHyphen/>
        <w:t xml:space="preserve">кающую даже при обычной комнатной температуре </w:t>
      </w:r>
      <w:r>
        <w:rPr>
          <w:lang w:val="en-US" w:eastAsia="en-US" w:bidi="en-US"/>
          <w:w w:val="100"/>
          <w:spacing w:val="0"/>
          <w:color w:val="000000"/>
          <w:position w:val="0"/>
        </w:rPr>
        <w:t xml:space="preserve">18-22°C. </w:t>
      </w:r>
      <w:r>
        <w:rPr>
          <w:lang w:val="ru-RU" w:eastAsia="ru-RU" w:bidi="ru-RU"/>
          <w:w w:val="100"/>
          <w:spacing w:val="0"/>
          <w:color w:val="000000"/>
          <w:position w:val="0"/>
        </w:rPr>
        <w:t>Нередко родители отмечают, что после шко</w:t>
        <w:softHyphen/>
        <w:t>лы дети сами изъявляют желание лечь отдохнуть, ред</w:t>
        <w:softHyphen/>
        <w:t>ко принимают участие в подвижных играх. К лично</w:t>
        <w:softHyphen/>
        <w:t>стным характерологическим особенностям следует отнести высокую тревожность, конфликтность, ла</w:t>
        <w:softHyphen/>
        <w:t>бильность настроения, склонность к депрессивности и ипохондрии, потерю интереса к общению.</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с гипотензивным вариантом НЦД постоянно снижен аппетит, тошнота, чаще по утрам, не связан</w:t>
        <w:softHyphen/>
        <w:t>ная с приемом пищи. Иногда тошнота преследует де</w:t>
        <w:softHyphen/>
        <w:t>тей постоянно в течение всего дня. Часта жалоба на периодические боли в животе и запоры спастическо</w:t>
        <w:softHyphen/>
        <w:t>го характера, чаще в вечернее или ночное время.</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Важным в клинике гипотензивного варианта являет</w:t>
        <w:softHyphen/>
        <w:t>ся цефалгия, как правило, с локализацией в височ</w:t>
        <w:softHyphen/>
        <w:t>ных, лобно-височных областях, ноющего, тупого, иногда разламывающего мигренеподобного характе</w:t>
        <w:softHyphen/>
        <w:t>ра, сопровождающаяся тошнотой, а иногда и рвотой.</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Нередко встречается и головокружение, возникаю</w:t>
        <w:softHyphen/>
        <w:t>щее чаще всего при перемене положения тела и не только из клино- в ортоположение, но и при резком повороте головы, туловища, при вставании, вплоть до ортостатических коллаптоидных реакций и обморо</w:t>
        <w:softHyphen/>
        <w:t>ка. Чаще чем при других вариантах НЦД у детей с ги</w:t>
        <w:softHyphen/>
        <w:t>потензивным вариантом возникают жалобы на непе</w:t>
        <w:softHyphen/>
        <w:t>реносимость транспорта.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Физикальные данные</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Объективно у детей выявляются бледность, циано- тичность, мраморность кожных покровов, избыточ</w:t>
        <w:softHyphen/>
        <w:t>ная их сальность, пастозность тканей, красный стой</w:t>
        <w:softHyphen/>
        <w:t>кий длительный дермографизм.</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Дети с гипотензивным вариантом НЦД, как правило, отстают в физическом развитии по массе тела. У большинства из них уровень физического развития ниже среднего, со склонностью к микросомии и дис</w:t>
        <w:softHyphen/>
        <w:t>гармоничности.</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 ЭКГ у этих детей нередко встречаются такие изме</w:t>
        <w:softHyphen/>
        <w:t>нения, как брадикардия и брадиаритмия, блокады, чаще атриовентрикулярные, синдром ранней реполя</w:t>
        <w:softHyphen/>
        <w:t>ризации желудочков, предсердный ритм и другие. При определении вегетативного статуса определяется парасимпатикотоническая его направленность, более выраженная у детей подросткового возраста.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Дифференциальная диагностика</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Гипотензивный вариант НЦД следует отличать от фи</w:t>
        <w:softHyphen/>
        <w:t>зиологической артериальной гипотензии, для кото</w:t>
        <w:softHyphen/>
        <w:t>рой характерно изолированное и не столь выражен</w:t>
        <w:softHyphen/>
        <w:t>ное снижение АД, отсутствие жалоб, удовлетвори</w:t>
        <w:softHyphen/>
        <w:t>тельное самочувствие и высокая работоспособность.</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Артериальная гипотензия присуща здоровым под</w:t>
        <w:softHyphen/>
        <w:t>росткам — спортсменам, жителям высокогорья и тро</w:t>
        <w:softHyphen/>
        <w:t>пиков, отдельным лицам с наследственной детерми</w:t>
        <w:softHyphen/>
        <w:t>нацией по артериальной гипотонии.</w:t>
      </w:r>
    </w:p>
    <w:p>
      <w:pPr>
        <w:pStyle w:val="Style30"/>
        <w:numPr>
          <w:ilvl w:val="0"/>
          <w:numId w:val="14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физиологических вариантах артериальной гипо - тонии отмечается изолированное снижение АД, не сопровождающееся жалобами и функциональными изменениями сердечной деятельности.</w:t>
      </w:r>
    </w:p>
    <w:p>
      <w:pPr>
        <w:pStyle w:val="Style92"/>
        <w:widowControl w:val="0"/>
        <w:keepNext/>
        <w:keepLines/>
        <w:shd w:val="clear" w:color="auto" w:fill="auto"/>
        <w:bidi w:val="0"/>
        <w:spacing w:before="0" w:after="0"/>
        <w:ind w:left="280" w:right="0"/>
      </w:pPr>
      <w:r>
        <w:br w:type="column"/>
      </w:r>
      <w:bookmarkStart w:id="779" w:name="bookmark779"/>
      <w:r>
        <w:rPr>
          <w:lang w:val="ru-RU" w:eastAsia="ru-RU" w:bidi="ru-RU"/>
          <w:w w:val="100"/>
          <w:spacing w:val="0"/>
          <w:color w:val="000000"/>
          <w:position w:val="0"/>
        </w:rPr>
        <w:t>Лечение</w:t>
      </w:r>
      <w:bookmarkEnd w:id="779"/>
    </w:p>
    <w:p>
      <w:pPr>
        <w:pStyle w:val="Style30"/>
        <w:numPr>
          <w:ilvl w:val="0"/>
          <w:numId w:val="14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психовегетативных расстройствах, связанных с декомпенсацией резидуально-органической цереб</w:t>
        <w:softHyphen/>
        <w:t>ральной недостаточности, используются препараты, улучшающие мозговую гемодинамику (трентал, ка- винтон, винпоцетин, циннаризин или стугерон), способствующие дегидратации мозга (диуретики, глицерол), и препараты нейрометаболического дей</w:t>
        <w:softHyphen/>
        <w:t>ствия (аминолон, глутаминовая кислота, пантогам, пикамилон, сермион). При наличии в анамнезе ука</w:t>
        <w:softHyphen/>
        <w:t>заний на травму ЦНС в перинатальном периоде и на</w:t>
        <w:softHyphen/>
        <w:t>личии локальных изменений на ЭЭГ применяют рас</w:t>
        <w:softHyphen/>
        <w:t>сасывающую терапию (алоэ, лидазу, Фибс по 1 мл в/м, на курс 10-15 инъекций).</w:t>
      </w:r>
    </w:p>
    <w:p>
      <w:pPr>
        <w:pStyle w:val="Style30"/>
        <w:numPr>
          <w:ilvl w:val="0"/>
          <w:numId w:val="14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психогенном (невротическом) генезе гипотен</w:t>
        <w:softHyphen/>
        <w:t>зивного варианта НЦД акцент делается на психотера</w:t>
        <w:softHyphen/>
        <w:t>певтических и психофармакологических методах ле</w:t>
        <w:softHyphen/>
        <w:t>чения антидепрессивного, нейролептического и транквилизирующего действия. Если в структуре преобладают астенические расстройства, целесооб</w:t>
        <w:softHyphen/>
        <w:t>разным является назначение стимуляторов нервной системы, транквилизаторов и ноотропов активирую</w:t>
        <w:softHyphen/>
        <w:t>щего действия. Используются: дуплекс п/к по схеме (содержит стрихнин) — 0,5 мл с постепенным увели</w:t>
        <w:softHyphen/>
        <w:t>чением дозы до 1 мл, затем доза уменьшается до пер</w:t>
        <w:softHyphen/>
        <w:t>воначальной, на курс 10-15 инъекций. После инъек</w:t>
        <w:softHyphen/>
        <w:t>ций дуплекса назначается настойка Чилибухи из рас</w:t>
        <w:softHyphen/>
        <w:t>чета 2 капли на 1 год жизни в течение 3-4 недель. В случае непереносимости дуплекса при стойком ас</w:t>
        <w:softHyphen/>
        <w:t>теническом синдроме с заторможенностью, вялос</w:t>
        <w:softHyphen/>
        <w:t>тью, обмороками препаратом выбора является сид- нокарб (сиднофен), назначаемый в первой половине дня в дозе 5-10 мг в 2 приема на 4-6 недель.</w:t>
      </w:r>
    </w:p>
    <w:p>
      <w:pPr>
        <w:pStyle w:val="Style30"/>
        <w:numPr>
          <w:ilvl w:val="0"/>
          <w:numId w:val="14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качестве растительных психостимуляторов (они же адаптогены) используются настойки лимонника ки</w:t>
        <w:softHyphen/>
        <w:t>тайского, женьшеня, аралии, заманихи, экстракты левзеи, родиолы розовой из расчета 2 капли на 1 год жизни на 1-2-3 мес. Из ноотропных и гамкэргических препаратов, обладающих психостимулирующим дей</w:t>
        <w:softHyphen/>
        <w:t>ствием, используются энцефабол — по 0,25 мг, ноот</w:t>
        <w:softHyphen/>
        <w:t>ропил — по 0,02 мг, аминалон — по 0,25 мг, каждый 3 раза в день с длительностью курса 4-8 недель с по</w:t>
        <w:softHyphen/>
        <w:t>вторением курса через 2-3 месяца.</w:t>
      </w:r>
    </w:p>
    <w:p>
      <w:pPr>
        <w:pStyle w:val="Style30"/>
        <w:numPr>
          <w:ilvl w:val="0"/>
          <w:numId w:val="14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Если гипотензивный вариант сопровождается деп</w:t>
        <w:softHyphen/>
        <w:t>рессивным и (или) тревожно-невротическим синд</w:t>
        <w:softHyphen/>
        <w:t>ромом, терапия должна включать седативные сред</w:t>
        <w:softHyphen/>
        <w:t>ства, транквилизаторы и антидепрессанты. Из тран</w:t>
        <w:softHyphen/>
        <w:t>квилизаторов широко используются грандоксин — 0,025 мг 2 раза в день, триоксазин — по 0,015 мг 2 ра</w:t>
        <w:softHyphen/>
        <w:t>за в день, элениум, рудотель, тазепам (нозепам, ок- сазепам) по 0,005 мг 2 раза в день. Из седативных трав целесообразно назначать настойку боярышни</w:t>
        <w:softHyphen/>
        <w:t>ка, валерианы, багульника, мяты, шалфея, настойку пиона — по 20-30 капель 3 раза в день. При выра</w:t>
        <w:softHyphen/>
        <w:t>женной ваготонии, сопровождающейся брадикар</w:t>
        <w:softHyphen/>
        <w:t>дией, назначают препараты группы беллоида (бел- лоид, беллатаминал, белласпон) или амизил по 1-2 мг на ночь.</w:t>
      </w:r>
    </w:p>
    <w:p>
      <w:pPr>
        <w:pStyle w:val="Style30"/>
        <w:numPr>
          <w:ilvl w:val="0"/>
          <w:numId w:val="149"/>
        </w:numPr>
        <w:tabs>
          <w:tab w:leader="none" w:pos="238" w:val="left"/>
        </w:tabs>
        <w:widowControl w:val="0"/>
        <w:keepNext w:val="0"/>
        <w:keepLines w:val="0"/>
        <w:shd w:val="clear" w:color="auto" w:fill="auto"/>
        <w:bidi w:val="0"/>
        <w:spacing w:before="0" w:after="0"/>
        <w:ind w:left="280" w:right="0" w:hanging="280"/>
      </w:pPr>
      <w:r>
        <w:pict>
          <v:shape id="_x0000_s1754" type="#_x0000_t75" style="position:absolute;margin-left:130.7pt;margin-top:736.8pt;width:209.75pt;height:14.9pt;z-index:-125828864;mso-wrap-distance-left:124.55pt;mso-wrap-distance-right:148.1pt;mso-wrap-distance-bottom:10.8pt;mso-position-horizontal-relative:margin;mso-position-vertical-relative:margin" wrapcoords="0 0 21600 0 21600 21600 0 21600 0 0">
            <v:imagedata r:id="rId1191" r:href="rId1192"/>
            <w10:wrap type="topAndBottom" anchorx="margin" anchory="margin"/>
          </v:shape>
        </w:pict>
      </w:r>
      <w:r>
        <w:rPr>
          <w:lang w:val="ru-RU" w:eastAsia="ru-RU" w:bidi="ru-RU"/>
          <w:w w:val="100"/>
          <w:spacing w:val="0"/>
          <w:color w:val="000000"/>
          <w:position w:val="0"/>
        </w:rPr>
        <w:t>Лечебный массаж проводится по сегментарно-реф</w:t>
        <w:softHyphen/>
        <w:t>лекторной методике шейно-воротниковой зоны, мышц позвоночника, конечностей, в частности ик</w:t>
        <w:softHyphen/>
        <w:t>роножных мышц. На курс 10-15 процедур.</w:t>
      </w:r>
      <w:r>
        <w:br w:type="page"/>
      </w:r>
    </w:p>
    <w:p>
      <w:pPr>
        <w:pStyle w:val="Style30"/>
        <w:numPr>
          <w:ilvl w:val="0"/>
          <w:numId w:val="149"/>
        </w:numPr>
        <w:tabs>
          <w:tab w:leader="none" w:pos="239" w:val="left"/>
        </w:tabs>
        <w:widowControl w:val="0"/>
        <w:keepNext w:val="0"/>
        <w:keepLines w:val="0"/>
        <w:shd w:val="clear" w:color="auto" w:fill="auto"/>
        <w:bidi w:val="0"/>
        <w:spacing w:before="0" w:after="180"/>
        <w:ind w:left="260" w:right="0"/>
      </w:pPr>
      <w:r>
        <w:rPr>
          <w:lang w:val="ru-RU" w:eastAsia="ru-RU" w:bidi="ru-RU"/>
          <w:w w:val="100"/>
          <w:spacing w:val="0"/>
          <w:color w:val="000000"/>
          <w:position w:val="0"/>
        </w:rPr>
        <w:t>При выраженных невротических реакциях повышен</w:t>
        <w:softHyphen/>
        <w:t>ной возбудимости показана физиотерапия: электрофо</w:t>
        <w:softHyphen/>
        <w:t>рез с бромом, электросон с частотой 10 Гц, при ортоста</w:t>
        <w:softHyphen/>
        <w:t>тических расстройствах, головокружениях, обморо</w:t>
        <w:softHyphen/>
        <w:t>ках — ионофорез с мезатоном, за исключением боль</w:t>
        <w:softHyphen/>
        <w:t>ных с гипертензивной реакцией АД на физическую на</w:t>
        <w:softHyphen/>
        <w:t>грузку и при гипердиастолическом варианте клиноор</w:t>
        <w:softHyphen/>
        <w:t>тостатической пробы. В таких случаях целесообразно применять ионофорез с кальцием или бромом.</w:t>
      </w:r>
    </w:p>
    <w:p>
      <w:pPr>
        <w:pStyle w:val="Style92"/>
        <w:widowControl w:val="0"/>
        <w:keepNext/>
        <w:keepLines/>
        <w:shd w:val="clear" w:color="auto" w:fill="auto"/>
        <w:bidi w:val="0"/>
        <w:spacing w:before="0" w:after="0"/>
        <w:ind w:left="260" w:right="0" w:hanging="260"/>
      </w:pPr>
      <w:bookmarkStart w:id="780" w:name="bookmark780"/>
      <w:r>
        <w:rPr>
          <w:lang w:val="ru-RU" w:eastAsia="ru-RU" w:bidi="ru-RU"/>
          <w:w w:val="100"/>
          <w:spacing w:val="0"/>
          <w:color w:val="000000"/>
          <w:position w:val="0"/>
        </w:rPr>
        <w:t>Гипертензивный вариант НЦД</w:t>
      </w:r>
      <w:bookmarkEnd w:id="780"/>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Повышенное АД регистрируется у 8-25% школьни</w:t>
        <w:softHyphen/>
        <w:t>ков, у 33-42% из них артериальное давление АД оста</w:t>
        <w:softHyphen/>
        <w:t>ется повышенным, а у 17-25% АГ приобретает про</w:t>
        <w:softHyphen/>
        <w:t>грессирующее течение с высоким риском трансфор</w:t>
        <w:softHyphen/>
        <w:t>мации в гипертоническую болезнь (Леонтьева И.В., 2000).</w:t>
      </w:r>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Лабильная АГ — нестойкое повышение АД. Диагноз лабильной АГ устанавливается в том случае, когда по</w:t>
        <w:softHyphen/>
        <w:t>вышенный уровень АД регистрируется не постоянно (при динамическом наблюдении). Если у пациента наряду с лабильной АГ имеются признаки вегетатив</w:t>
        <w:softHyphen/>
        <w:t>ной дисфункции, то диагноз можно сформулировать следующим образом: нейроциркуляторная астения (НЦД), лабильная АГ.</w:t>
      </w:r>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транзиторной стадии субъективные признаки заболевания, как правило, отсутствуют. Иногда после психоэмоциональной или физической нагрузки воз</w:t>
        <w:softHyphen/>
        <w:t>можны кратковременные проявления вегетативной дисфункции симпатикотонической направленнос</w:t>
        <w:softHyphen/>
        <w:t>ти — кратковременная цефалгия, слабость, раздра</w:t>
        <w:softHyphen/>
        <w:t>жительность, гиперемия кожи лица, шеи, верхней ча</w:t>
        <w:softHyphen/>
        <w:t>сти груди. После отдыха симптомы исчезают.</w:t>
      </w:r>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Как правило, большинство подростков с гипертен</w:t>
        <w:softHyphen/>
        <w:t>зивным вариантом НЦД жалоб длительное время не предъявляют. И лишь в период подъема АД появля</w:t>
        <w:softHyphen/>
        <w:t>ются субъективные ощущения в виде цефалгий, боле</w:t>
        <w:softHyphen/>
        <w:t>вых ощущений в области сердца, головокружений, сердцебиения, реже мелькания мушек перед глазами и потемнения в глазах, нередко появляются чувства жара, приливов к голове и шее.</w:t>
      </w:r>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Головная боль у детей при гипертензивном варианте НЦД возникает в результате психоэмоциональных перегрузок: занятий в школе, контрольных работ, спаренных и дополнительных уроков, конфликтных ситуаций. В половине случаев больные связывают ее с физическими нагрузками. Цефалгия в большинстве случаев носит ноющий, иногда пульсирующий харак</w:t>
        <w:softHyphen/>
        <w:t>тер с преимущественной локализацией в затылочной области, реже охватывает всю голову. Иногда при ги</w:t>
        <w:softHyphen/>
        <w:t>пертензивном варианте НЦД уже утром дети подни</w:t>
        <w:softHyphen/>
        <w:t>маются с постели с головной болью и в этом случае она бывает наиболее продолжительной.</w:t>
      </w:r>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Болевые ощущения в области сердца — частый спут</w:t>
        <w:softHyphen/>
        <w:t>ник гипертензивного варианта НЦД. Болевые ощу</w:t>
        <w:softHyphen/>
        <w:t>щения носят ноющий, реже давящий характер; воз</w:t>
        <w:softHyphen/>
        <w:t>никали чаще всего параллельно с цефалгией, но не</w:t>
        <w:softHyphen/>
        <w:t>редко приходят и самостоятельно. Болевые ощуще</w:t>
        <w:softHyphen/>
        <w:t>ния в области сердца чаще всего ассоциируются с фи</w:t>
        <w:softHyphen/>
        <w:t>зической нагрузкой — как результат подъема АД, вы</w:t>
        <w:softHyphen/>
        <w:t>званного напряжением симпато-адреналовой актив</w:t>
        <w:softHyphen/>
        <w:t>ности на фоне физической работы.</w:t>
      </w:r>
    </w:p>
    <w:p>
      <w:pPr>
        <w:pStyle w:val="Style30"/>
        <w:numPr>
          <w:ilvl w:val="0"/>
          <w:numId w:val="149"/>
        </w:numPr>
        <w:tabs>
          <w:tab w:leader="none" w:pos="237"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Как правило, больные предъявляют жалобы на повы</w:t>
        <w:softHyphen/>
        <w:t>шенную утомляемость, эмоциональную лабильность, раздражительность, нарушения сна. Часто имеет место ипохондрия, повышенная возбудимость, метеопатия.</w:t>
      </w:r>
    </w:p>
    <w:p>
      <w:pPr>
        <w:pStyle w:val="Style30"/>
        <w:numPr>
          <w:ilvl w:val="0"/>
          <w:numId w:val="14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Объективно у таких детей можно выявить шум над сонной артерией, набухание яремных вен, увеличе</w:t>
        <w:softHyphen/>
        <w:t>ние щитовидной железы, повышенную частоту и на</w:t>
        <w:softHyphen/>
        <w:t>рушения ритма сердечных сокращений, усиление верхушечного толчка, аускультативно щелчки, шумы, III и IV тоны, шум на бедренной артерии; определя</w:t>
        <w:softHyphen/>
        <w:t>ется пульсация на периферических артериях.</w:t>
      </w:r>
    </w:p>
    <w:p>
      <w:pPr>
        <w:pStyle w:val="Style30"/>
        <w:numPr>
          <w:ilvl w:val="0"/>
          <w:numId w:val="14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Физическое развитие детей с гипертензивным вари</w:t>
        <w:softHyphen/>
        <w:t>антом НЦД характеризуется склонностью к макросо - мии.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Дифференциальный диагноз</w:t>
      </w:r>
    </w:p>
    <w:p>
      <w:pPr>
        <w:pStyle w:val="Style30"/>
        <w:numPr>
          <w:ilvl w:val="0"/>
          <w:numId w:val="14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Повышение уровня АД встречается при многих забо - леваниях и, говоря о дифференциальной диагностике гипертензивного варианта НЦД, необходимо прежде всего иметь в виду гипертоническую болезнь и груп</w:t>
        <w:softHyphen/>
        <w:t>пу «вторичных гипертоний», объединенных наличи</w:t>
        <w:softHyphen/>
        <w:t>ем синдрома артериальной гипертензии, но имею</w:t>
        <w:softHyphen/>
        <w:t>щих, в отличие от НЦД, различного происхождения органическую патологию.</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14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Диетотерапия гипертензивного варианта НЦД явля</w:t>
        <w:softHyphen/>
        <w:t>ется необходимым компонентом комплексного лече</w:t>
        <w:softHyphen/>
        <w:t>ния и направлена на нормализацию АД с помощью понижения возбудимости центральной нервной сис</w:t>
        <w:softHyphen/>
        <w:t>темы, улучшения функционального состояния почек и коры надпочечников и, тем самым, нормализации водно-солевого баланса и тонуса сосудов.</w:t>
      </w:r>
    </w:p>
    <w:p>
      <w:pPr>
        <w:pStyle w:val="Style30"/>
        <w:numPr>
          <w:ilvl w:val="0"/>
          <w:numId w:val="14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этом основными принципами лечебного пита</w:t>
        <w:softHyphen/>
        <w:t>ния должны служить: физиологическая полноцен</w:t>
        <w:softHyphen/>
        <w:t>ность рациона, содержащего все необходимые неза</w:t>
        <w:softHyphen/>
        <w:t>менимые и заменимые факторы питания в количест</w:t>
        <w:softHyphen/>
        <w:t>вах, соответствующих физиологической потребности детей и подростков в основных пищевых веществах и энергии; ограничение потребления натрия и сво</w:t>
        <w:softHyphen/>
        <w:t>бодной жидкости в сочетании с повышенным содер</w:t>
        <w:softHyphen/>
        <w:t>жанием в рационе калия и магния; оптимальный жирно-кислотный состав с содержанием раститель</w:t>
        <w:softHyphen/>
        <w:t>ных жиров в диете не менее 30% от общего содержа</w:t>
        <w:softHyphen/>
        <w:t>ния жиров.</w:t>
      </w:r>
    </w:p>
    <w:p>
      <w:pPr>
        <w:pStyle w:val="Style30"/>
        <w:numPr>
          <w:ilvl w:val="0"/>
          <w:numId w:val="14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детей и подростков с эндокринными формами ожирения в индивидуальном порядке могут быть на</w:t>
        <w:softHyphen/>
        <w:t>значены ингибиторы активности липазы (орлистат), аноректики (сибутрамин).</w:t>
      </w:r>
    </w:p>
    <w:p>
      <w:pPr>
        <w:pStyle w:val="Style30"/>
        <w:numPr>
          <w:ilvl w:val="0"/>
          <w:numId w:val="14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Медикаментозная терапия включает назначение пре - паратов, улучшающих церебральную гемодинамику (винпоцетин, циннаризин); ноотропные или ГАМК- эргические средства (пантогам, аминалон, фенибут). Препараты могут назначаться в виде монотерапии курсами продолжительностью не менее 1 месяца, возможно чередование препаратов. Курсы проводят</w:t>
        <w:softHyphen/>
        <w:t>ся 2 раза в год.</w:t>
      </w:r>
    </w:p>
    <w:p>
      <w:pPr>
        <w:pStyle w:val="Style30"/>
        <w:numPr>
          <w:ilvl w:val="0"/>
          <w:numId w:val="149"/>
        </w:numPr>
        <w:tabs>
          <w:tab w:leader="none" w:pos="237" w:val="left"/>
        </w:tabs>
        <w:widowControl w:val="0"/>
        <w:keepNext w:val="0"/>
        <w:keepLines w:val="0"/>
        <w:shd w:val="clear" w:color="auto" w:fill="auto"/>
        <w:bidi w:val="0"/>
        <w:spacing w:before="0" w:after="0"/>
        <w:ind w:left="280" w:right="0" w:hanging="280"/>
      </w:pPr>
      <w:r>
        <w:pict>
          <v:shape id="_x0000_s1755" type="#_x0000_t75" style="position:absolute;margin-left:141.7pt;margin-top:736.8pt;width:209.75pt;height:14.9pt;z-index:-125828863;mso-wrap-distance-left:135.35pt;mso-wrap-distance-right:136.8pt;mso-wrap-distance-bottom:10.8pt;mso-position-horizontal-relative:margin;mso-position-vertical-relative:margin" wrapcoords="0 0 21600 0 21600 21600 0 21600 0 0">
            <v:imagedata r:id="rId1193" r:href="rId1194"/>
            <w10:wrap type="topAndBottom" anchorx="margin" anchory="margin"/>
          </v:shape>
        </w:pict>
      </w:r>
      <w:r>
        <w:rPr>
          <w:lang w:val="ru-RU" w:eastAsia="ru-RU" w:bidi="ru-RU"/>
          <w:w w:val="100"/>
          <w:spacing w:val="0"/>
          <w:color w:val="000000"/>
          <w:position w:val="0"/>
        </w:rPr>
        <w:t>Проводится фитотерапия: седативные травы (сбор из 6 трав: шалфей, боярышник, пустырник, валериана, зверобой, багульник; настой листьев эвкомии и шлемника; настой сушеницы болотной); мочегон</w:t>
        <w:softHyphen/>
        <w:t>ные травы (брусничный лист, толокнянка, березовые почки). Фитотерапия проводится курсами продолжи</w:t>
        <w:softHyphen/>
        <w:t>тельностью 1 месяц 3-4 раза в год.</w:t>
      </w:r>
      <w:r>
        <w:br w:type="page"/>
      </w:r>
    </w:p>
    <w:p>
      <w:pPr>
        <w:pStyle w:val="Style30"/>
        <w:numPr>
          <w:ilvl w:val="0"/>
          <w:numId w:val="149"/>
        </w:numPr>
        <w:tabs>
          <w:tab w:leader="none" w:pos="239" w:val="left"/>
        </w:tabs>
        <w:widowControl w:val="0"/>
        <w:keepNext w:val="0"/>
        <w:keepLines w:val="0"/>
        <w:shd w:val="clear" w:color="auto" w:fill="auto"/>
        <w:bidi w:val="0"/>
        <w:spacing w:before="0" w:after="180"/>
        <w:ind w:left="260" w:right="0"/>
      </w:pPr>
      <w:r>
        <w:rPr>
          <w:lang w:val="ru-RU" w:eastAsia="ru-RU" w:bidi="ru-RU"/>
          <w:w w:val="100"/>
          <w:spacing w:val="0"/>
          <w:color w:val="000000"/>
          <w:position w:val="0"/>
        </w:rPr>
        <w:t>Используются физиотерапевтические процедуры: гальванизация, диатермия синокаротидной зоны; электрофорез по Вермелю (с 5% раствором бромисто</w:t>
        <w:softHyphen/>
        <w:t>го натрия, 4% сульфата магния, 2% раствором эуфил- лина, 1% раствором папаверина); электросон с часто</w:t>
        <w:softHyphen/>
        <w:t>той импульсов 10 Гц; водные процедуры (при симпа- тикотонии — углекислые, сульфидные, жемчужные ванны; для нормализации сосудистого тонуса — душ Шарко, веерный, циркулярный душ). Проводится психофизиологический тренинг.</w:t>
      </w:r>
    </w:p>
    <w:p>
      <w:pPr>
        <w:pStyle w:val="Style92"/>
        <w:widowControl w:val="0"/>
        <w:keepNext/>
        <w:keepLines/>
        <w:shd w:val="clear" w:color="auto" w:fill="auto"/>
        <w:bidi w:val="0"/>
        <w:spacing w:before="0" w:after="0"/>
        <w:ind w:left="260" w:right="0" w:hanging="260"/>
      </w:pPr>
      <w:bookmarkStart w:id="781" w:name="bookmark781"/>
      <w:r>
        <w:rPr>
          <w:lang w:val="ru-RU" w:eastAsia="ru-RU" w:bidi="ru-RU"/>
          <w:w w:val="100"/>
          <w:spacing w:val="0"/>
          <w:color w:val="000000"/>
          <w:position w:val="0"/>
        </w:rPr>
        <w:t>Кардиалгический вариант НЦД</w:t>
      </w:r>
      <w:bookmarkEnd w:id="781"/>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Кардиалгический вариант НЦД — один из наиболее распространенных клинических вариантов НЦД сре</w:t>
        <w:softHyphen/>
        <w:t>ди подростков, основным проявлением которого яв</w:t>
        <w:softHyphen/>
        <w:t>ляется боль в грудной клетке.</w:t>
      </w:r>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 клиническим проявлениям выделяют 3 степени тяжести кардиального варианта НЦД. При 1-ой сте</w:t>
        <w:softHyphen/>
        <w:t>пени тяжести кратковременные болевые ощущения в области сердца возникают изредка, как правило, после психоэмоционального напряжения. Боли обычно носят колющий характер и не сопровождают</w:t>
        <w:softHyphen/>
        <w:t>ся иррадиацией. Таким проявлениям сопутствует раз</w:t>
        <w:softHyphen/>
        <w:t>дражительность, эмоциональная лабильность, повы</w:t>
        <w:softHyphen/>
        <w:t>шенная утомляемость.</w:t>
      </w:r>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Данные объективного исследования таких больных, как правило, малоинформативны: гиперестезия кожи на передней поверхности левой половины грудной клетки, реже — болезненная пальпация межреберных промежутков слева.</w:t>
      </w:r>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Купируются кардиалгии при 1-ой степени тяжести обычно самостоятельно или посредством беседы пси</w:t>
        <w:softHyphen/>
        <w:t>хотерапевтической направленности, либо за счет иг</w:t>
        <w:softHyphen/>
        <w:t>ровой отвлеченности.</w:t>
      </w:r>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2-ой степени болевые ощущения возникают не</w:t>
        <w:softHyphen/>
        <w:t>сколько раз в неделю, а их длительность составляет от 15-20 до 30-40 мин. Боль носит, как правило, ною</w:t>
        <w:softHyphen/>
        <w:t>щий, реже колющий характер. Отличительной осо</w:t>
        <w:softHyphen/>
        <w:t>бенностью у детей со 2-ой степенью тяжести кардиал- гического варианта НЦД является иррадиация болей в левое плечо, лопатку, левую половину шеи.</w:t>
      </w:r>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Объективно у таких больных определяется болезнен</w:t>
        <w:softHyphen/>
        <w:t>ность при разминании кожной складки в прекардиаль</w:t>
        <w:softHyphen/>
        <w:t>ной области и межлопаточном пространстве, при паль</w:t>
        <w:softHyphen/>
        <w:t>пации паравертебральных точек С4-6 и Д1-4 слева.</w:t>
      </w:r>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Болевые ощущения сопровождаются повышенной раздражительностью, выраженной эмоциональной лабильностью, плаксивостью, нарушением сна, быс</w:t>
        <w:softHyphen/>
        <w:t>трой физической и умственной истощаемостью, вы</w:t>
        <w:softHyphen/>
        <w:t>раженной метеозависимостью.</w:t>
      </w:r>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Приступы, так же как и при 1 -ой степени тяжести, легко купируются психотерапевтическими меропри</w:t>
        <w:softHyphen/>
        <w:t>ятиями, но иногда требуют применения медикамен</w:t>
        <w:softHyphen/>
        <w:t>тозных средств седативного действия (корвалол, ва- локардин, реланиум, мебикар и др.).</w:t>
      </w:r>
    </w:p>
    <w:p>
      <w:pPr>
        <w:pStyle w:val="Style30"/>
        <w:numPr>
          <w:ilvl w:val="0"/>
          <w:numId w:val="14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Боли в грудной клетке у подростков с кардиалгичес- ким вариантом НЦД 3-ей степени тяжести ноющего тупого характера, длительностью до часа и более, обычно охватывают всю прекардиальную область, возникает ежедневно, а иногда и по нескольку раз в течение суток. Характерна широкая распространен</w:t>
        <w:softHyphen/>
        <w:t>ность болевых ощущений. Иррадиация охватывает</w:t>
        <w:br w:type="column"/>
        <w:t>левую руку, лопатку, левую половину шеи, нередко область нижней и верхней челюсти слева, достигая виска. В случаях локализации кардиалгии в области грудины ее иррадиация направлена в область эпигас- трия, а иногда в правую половину грудной клетки.</w:t>
      </w:r>
    </w:p>
    <w:p>
      <w:pPr>
        <w:pStyle w:val="Style30"/>
        <w:numPr>
          <w:ilvl w:val="0"/>
          <w:numId w:val="14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осмотре подростков с 3-ей степенью тяжести кардиалгического варианта НЦД определяется болез</w:t>
        <w:softHyphen/>
        <w:t>ненность при пальпации мягких тканей передне-бо</w:t>
        <w:softHyphen/>
        <w:t>ковых отделов левой половины грудной клетки, в точ</w:t>
        <w:softHyphen/>
        <w:t xml:space="preserve">ке между ножками и по внутренней поверхности </w:t>
      </w:r>
      <w:r>
        <w:rPr>
          <w:lang w:val="en-US" w:eastAsia="en-US" w:bidi="en-US"/>
          <w:w w:val="100"/>
          <w:spacing w:val="0"/>
          <w:color w:val="000000"/>
          <w:position w:val="0"/>
        </w:rPr>
        <w:t xml:space="preserve">m. stemo-cleido-mastoideus sinistra, </w:t>
      </w:r>
      <w:r>
        <w:rPr>
          <w:lang w:val="ru-RU" w:eastAsia="ru-RU" w:bidi="ru-RU"/>
          <w:w w:val="100"/>
          <w:spacing w:val="0"/>
          <w:color w:val="000000"/>
          <w:position w:val="0"/>
        </w:rPr>
        <w:t>по ходу сосудисто</w:t>
        <w:softHyphen/>
        <w:t>нервного пучка на левом плече и предплечье, а также паравертебральных точек С4-6 и Д1-4 не только слева, но и справа. Кроме того, при объективном исследова</w:t>
        <w:softHyphen/>
        <w:t xml:space="preserve">нии у больных детей выявляется болезненность при надавливании в местах выхода </w:t>
      </w:r>
      <w:r>
        <w:rPr>
          <w:lang w:val="en-US" w:eastAsia="en-US" w:bidi="en-US"/>
          <w:w w:val="100"/>
          <w:spacing w:val="0"/>
          <w:color w:val="000000"/>
          <w:position w:val="0"/>
        </w:rPr>
        <w:t>n.trigeminus (nn. supra- et infraorbitalis, paranasalis, paramandibularis).</w:t>
      </w:r>
    </w:p>
    <w:p>
      <w:pPr>
        <w:pStyle w:val="Style30"/>
        <w:numPr>
          <w:ilvl w:val="0"/>
          <w:numId w:val="14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всех больных при 3 -ей степени тяжести кардиалги- ческого варианта НЦД отчетливо выявляются психо</w:t>
        <w:softHyphen/>
        <w:t>невротические расстройства: повышенная утомляе</w:t>
        <w:softHyphen/>
        <w:t>мость, снижение памяти и интереса к окружающим, склонность к депрессии, нарушения сна.</w:t>
      </w:r>
    </w:p>
    <w:p>
      <w:pPr>
        <w:pStyle w:val="Style30"/>
        <w:numPr>
          <w:ilvl w:val="0"/>
          <w:numId w:val="14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Приступы боли у подростков с 3-ей степенью тяжес</w:t>
        <w:softHyphen/>
        <w:t>ти требуют комплексной терапии, включающей не только медикаментозные средства, но и физиотера</w:t>
        <w:softHyphen/>
        <w:t>пию, лечебную физкультуру, психорелаксацию.</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Дифференциальная диагностика</w:t>
      </w:r>
    </w:p>
    <w:p>
      <w:pPr>
        <w:pStyle w:val="Style30"/>
        <w:numPr>
          <w:ilvl w:val="0"/>
          <w:numId w:val="14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Боль в грудной клетке при кардиалгическом варианте НЦД необходимо дифференцировать с торакалгия- ми, обычно связанными с поражением кожных по</w:t>
        <w:softHyphen/>
        <w:t>кровов, мышц грудной клетки, ребер, хрящей, суста</w:t>
        <w:softHyphen/>
        <w:t>вов, межреберных нервов, сухожилий, позвоночника. Они могут быть обусловлены вторичным рефлектор</w:t>
        <w:softHyphen/>
        <w:t>ным и нейродистрофическим поражением структур грудной клетки в результате заболеваний близлежа</w:t>
        <w:softHyphen/>
        <w:t>щих внутренних органов (легких и плевры, сердца и крупных сосудов, пищевода, желудка, печени, желчного пузыря и желчевыводящих путей и т.д.), а также нейродистрофическими изменениями в мышцах, сухожилиях, связках, ребрах, хрящах и су</w:t>
        <w:softHyphen/>
        <w:t>ставах грудной клетки. Глубокие боли в грудной клет</w:t>
        <w:softHyphen/>
        <w:t>ке связаны с поражением легких, плевры, органов средостения.</w:t>
      </w:r>
    </w:p>
    <w:p>
      <w:pPr>
        <w:pStyle w:val="Style30"/>
        <w:numPr>
          <w:ilvl w:val="0"/>
          <w:numId w:val="14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Болевые ощущения в груди могут исходить из органов и тканей, непосредственно относящихся к структурам грудной клетки и средостения, но могут иметь и дру</w:t>
        <w:softHyphen/>
        <w:t>гую локализацию, вызывая болевые ощущения в пре</w:t>
        <w:softHyphen/>
        <w:t>кардиальной области за счет иррадиации. К таким за</w:t>
        <w:softHyphen/>
        <w:t>болеваниям относятся, например, дерматиты, опоясы</w:t>
        <w:softHyphen/>
        <w:t>вающий лишай, миозит, болезнь Мондора или шнуро - видный тромбофлебит передней и боковой поверхно</w:t>
        <w:softHyphen/>
        <w:t>сти грудной клетки, синдром межреберной нейропа</w:t>
        <w:softHyphen/>
        <w:t>тии, сирингомиелия, мастопатия, а также группа забо</w:t>
        <w:softHyphen/>
        <w:t>леваний, связанных с поражением костно-хрящевой ткани, в том числе периостит и остеомиелит.</w:t>
      </w:r>
    </w:p>
    <w:p>
      <w:pPr>
        <w:pStyle w:val="Style30"/>
        <w:numPr>
          <w:ilvl w:val="0"/>
          <w:numId w:val="149"/>
        </w:numPr>
        <w:tabs>
          <w:tab w:leader="none" w:pos="238" w:val="left"/>
        </w:tabs>
        <w:widowControl w:val="0"/>
        <w:keepNext w:val="0"/>
        <w:keepLines w:val="0"/>
        <w:shd w:val="clear" w:color="auto" w:fill="auto"/>
        <w:bidi w:val="0"/>
        <w:spacing w:before="0" w:after="0"/>
        <w:ind w:left="280" w:right="0" w:hanging="280"/>
      </w:pPr>
      <w:r>
        <w:pict>
          <v:shape id="_x0000_s1756" type="#_x0000_t75" style="position:absolute;margin-left:130.55pt;margin-top:736.8pt;width:209.75pt;height:14.9pt;z-index:-125828862;mso-wrap-distance-left:124.1pt;mso-wrap-distance-right:147.85pt;mso-wrap-distance-bottom:10.8pt;mso-position-horizontal-relative:margin;mso-position-vertical-relative:margin" wrapcoords="0 0 21600 0 21600 21600 0 21600 0 0">
            <v:imagedata r:id="rId1195" r:href="rId1196"/>
            <w10:wrap type="topAndBottom" anchorx="margin" anchory="margin"/>
          </v:shape>
        </w:pict>
      </w:r>
      <w:r>
        <w:rPr>
          <w:lang w:val="ru-RU" w:eastAsia="ru-RU" w:bidi="ru-RU"/>
          <w:w w:val="100"/>
          <w:spacing w:val="0"/>
          <w:color w:val="000000"/>
          <w:position w:val="0"/>
        </w:rPr>
        <w:t>Источником болевых ощущений в грудной клетке могут быть органы дыхания: плеврит, эмпиема плев</w:t>
        <w:softHyphen/>
        <w:t>ры, пневмо- и гидроторакс, острый трахеит, абсцесс легкого, инфаркт легкого, спонтанная эмфизема сре</w:t>
        <w:softHyphen/>
        <w:t>достения, а также органы и ткани, находящиеся вне грудной клетки: хронический тонзиллит, пептичес</w:t>
        <w:softHyphen/>
        <w:t>кий эзофагит, диафрагмальная грыжа пищеводного</w:t>
      </w:r>
      <w:r>
        <w:br w:type="page"/>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отверстия, дивертикул пищевода, кардиоспазм, яз</w:t>
        <w:softHyphen/>
        <w:t>венная болезнь желудка и 12-перстной кишки, пече</w:t>
        <w:softHyphen/>
        <w:t>ночная колика и острый холецистит, острый холеци- стопанкреатит.</w:t>
      </w:r>
    </w:p>
    <w:p>
      <w:pPr>
        <w:pStyle w:val="Style30"/>
        <w:numPr>
          <w:ilvl w:val="0"/>
          <w:numId w:val="15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Сухой (фибринозный) перикардит, при котором боль возникает с первых часов заболевания, боли в облас</w:t>
        <w:softHyphen/>
        <w:t>ти сердца, носящие тупой, давящий характер, усили</w:t>
        <w:softHyphen/>
        <w:t>ваются при глубоком дыхании, движениях, надавли</w:t>
        <w:softHyphen/>
        <w:t xml:space="preserve">вании на прекордиальную область, поэтому больной боится глубоко дышать. При этом выслушивается шум трения перикарда. Своевременной диагностике сухого перикардита способствуют данные ЭКГ: кон- кордантный подъем сегмента </w:t>
      </w:r>
      <w:r>
        <w:rPr>
          <w:lang w:val="en-US" w:eastAsia="en-US" w:bidi="en-US"/>
          <w:w w:val="100"/>
          <w:spacing w:val="0"/>
          <w:color w:val="000000"/>
          <w:position w:val="0"/>
        </w:rPr>
        <w:t xml:space="preserve">S-T </w:t>
      </w:r>
      <w:r>
        <w:rPr>
          <w:lang w:val="ru-RU" w:eastAsia="ru-RU" w:bidi="ru-RU"/>
          <w:w w:val="100"/>
          <w:spacing w:val="0"/>
          <w:color w:val="000000"/>
          <w:position w:val="0"/>
        </w:rPr>
        <w:t xml:space="preserve">в двух или трех стандартных отведениях, особенно во </w:t>
      </w:r>
      <w:r>
        <w:rPr>
          <w:lang w:val="en-US" w:eastAsia="en-US" w:bidi="en-US"/>
          <w:w w:val="100"/>
          <w:spacing w:val="0"/>
          <w:color w:val="000000"/>
          <w:position w:val="0"/>
        </w:rPr>
        <w:t xml:space="preserve">II </w:t>
      </w:r>
      <w:r>
        <w:rPr>
          <w:lang w:val="ru-RU" w:eastAsia="ru-RU" w:bidi="ru-RU"/>
          <w:w w:val="100"/>
          <w:spacing w:val="0"/>
          <w:color w:val="000000"/>
          <w:position w:val="0"/>
        </w:rPr>
        <w:t>отведении в первые дни заболевания. С первых же дней заболе</w:t>
        <w:softHyphen/>
        <w:t>вания у больных отмечается лихорадка, признаки воспалительного процесса в периферической крови.</w:t>
      </w:r>
    </w:p>
    <w:p>
      <w:pPr>
        <w:pStyle w:val="Style30"/>
        <w:numPr>
          <w:ilvl w:val="0"/>
          <w:numId w:val="15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Пролабирование митрального клапана характеризу</w:t>
        <w:softHyphen/>
        <w:t xml:space="preserve">ется появлением жгучих или давящих болей в </w:t>
      </w:r>
      <w:r>
        <w:rPr>
          <w:lang w:val="en-US" w:eastAsia="en-US" w:bidi="en-US"/>
          <w:w w:val="100"/>
          <w:spacing w:val="0"/>
          <w:color w:val="000000"/>
          <w:position w:val="0"/>
        </w:rPr>
        <w:t xml:space="preserve">III-IV </w:t>
      </w:r>
      <w:r>
        <w:rPr>
          <w:lang w:val="ru-RU" w:eastAsia="ru-RU" w:bidi="ru-RU"/>
          <w:w w:val="100"/>
          <w:spacing w:val="0"/>
          <w:color w:val="000000"/>
          <w:position w:val="0"/>
        </w:rPr>
        <w:t>межреберьях слева от грудины, реже — за грудиной. Боль продолжительная, усиливающаяся при физиче</w:t>
        <w:softHyphen/>
        <w:t>ской нагрузке.</w:t>
      </w:r>
    </w:p>
    <w:p>
      <w:pPr>
        <w:pStyle w:val="Style30"/>
        <w:numPr>
          <w:ilvl w:val="0"/>
          <w:numId w:val="15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Стеноз устья аорты (стеноз аортального клапана), на</w:t>
        <w:softHyphen/>
        <w:t>иболее доброкачественный из пороков сердца, при котором длительно сохраняется компенсация. Однако с течением времени, при нарастании стено- зирования, нарушается питание миокарда из-за раз</w:t>
        <w:softHyphen/>
        <w:t>вития коронарной недостаточности, кардиосклероза, нарушения обменных процессов. Боли в области сердца наблюдаются в пресердечной области и носят характер стенокардитических, возникают при нагруз</w:t>
        <w:softHyphen/>
        <w:t>ке, ходьбе. В некоторых случаях боли носят колющий характер, локализуются на верхушке сердца и не свя</w:t>
        <w:softHyphen/>
        <w:t>заны с физической нагрузкой. У ряда же больных бо</w:t>
        <w:softHyphen/>
        <w:t>левые ощущения локализуются у правого края груди</w:t>
        <w:softHyphen/>
        <w:t xml:space="preserve">ны, в </w:t>
      </w:r>
      <w:r>
        <w:rPr>
          <w:lang w:val="en-US" w:eastAsia="en-US" w:bidi="en-US"/>
          <w:w w:val="100"/>
          <w:spacing w:val="0"/>
          <w:color w:val="000000"/>
          <w:position w:val="0"/>
        </w:rPr>
        <w:t xml:space="preserve">I-II </w:t>
      </w:r>
      <w:r>
        <w:rPr>
          <w:lang w:val="ru-RU" w:eastAsia="ru-RU" w:bidi="ru-RU"/>
          <w:w w:val="100"/>
          <w:spacing w:val="0"/>
          <w:color w:val="000000"/>
          <w:position w:val="0"/>
        </w:rPr>
        <w:t>межреберье, носят характер артралгии.</w:t>
      </w:r>
    </w:p>
    <w:p>
      <w:pPr>
        <w:pStyle w:val="Style30"/>
        <w:numPr>
          <w:ilvl w:val="0"/>
          <w:numId w:val="15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наличии митрального порока сердца болевой синдром менее выражен и объясняется возможной ишемией гипертрофированного правого желудочка, несущего увеличенную нагрузку в связи с гипертен</w:t>
        <w:softHyphen/>
        <w:t>зией малого круга кровообращения.</w:t>
      </w:r>
    </w:p>
    <w:p>
      <w:pPr>
        <w:pStyle w:val="Style30"/>
        <w:numPr>
          <w:ilvl w:val="0"/>
          <w:numId w:val="15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Болевой синдром при кардитах вызывается прямым действием инфекции или имеет иммунную природу. Рентгенодиагностика, выявляющая увеличение раз</w:t>
        <w:softHyphen/>
        <w:t>меров сердца, УЗС и ЭКГ исследования, выявляю</w:t>
        <w:softHyphen/>
        <w:t>щие нарушения функций миокарда, увеличение от</w:t>
        <w:softHyphen/>
        <w:t>делов сердца и размеров его стенок, помогают точно поставить диагноз.</w:t>
      </w:r>
    </w:p>
    <w:p>
      <w:pPr>
        <w:pStyle w:val="Style30"/>
        <w:numPr>
          <w:ilvl w:val="0"/>
          <w:numId w:val="15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Сердечно -болевой синдром известен и при некоторых видах аритмий сердца, например, при синдроме Воль- фа-Паркинсона-Уайта. Дифференциальным призна</w:t>
        <w:softHyphen/>
        <w:t>ком заболевания являются характерные ЭКГ-измене- ния в виде явлений предвозбуждения миокарда желу</w:t>
        <w:softHyphen/>
        <w:t>дочков (наличия Л-волны), укорочения атриовентри</w:t>
        <w:softHyphen/>
        <w:t xml:space="preserve">кулярной проводимости (интервала </w:t>
      </w:r>
      <w:r>
        <w:rPr>
          <w:lang w:val="en-US" w:eastAsia="en-US" w:bidi="en-US"/>
          <w:w w:val="100"/>
          <w:spacing w:val="0"/>
          <w:color w:val="000000"/>
          <w:position w:val="0"/>
        </w:rPr>
        <w:t xml:space="preserve">P-Q) </w:t>
      </w:r>
      <w:r>
        <w:rPr>
          <w:lang w:val="ru-RU" w:eastAsia="ru-RU" w:bidi="ru-RU"/>
          <w:w w:val="100"/>
          <w:spacing w:val="0"/>
          <w:color w:val="000000"/>
          <w:position w:val="0"/>
        </w:rPr>
        <w:t xml:space="preserve">и уширения желудочкового комплекса (интервала </w:t>
      </w:r>
      <w:r>
        <w:rPr>
          <w:lang w:val="en-US" w:eastAsia="en-US" w:bidi="en-US"/>
          <w:w w:val="100"/>
          <w:spacing w:val="0"/>
          <w:color w:val="000000"/>
          <w:position w:val="0"/>
        </w:rPr>
        <w:t>QRS).</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159"/>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 кардиалгий должно начинаться немедика</w:t>
        <w:softHyphen/>
        <w:t>ментозными методами — путем нормализации режи</w:t>
        <w:softHyphen/>
        <w:t>ма дня и питания, снижения отрицательных влияний психоэмоционального перенапряжения, достаточной физической активности. Большинство больных не</w:t>
        <w:br w:type="column"/>
        <w:t>нуждаются в медикаментозном лечении. Начинать его нужно с организации правильного образа жизни: труда (учебы) в сочетании с умственной и физичес</w:t>
        <w:softHyphen/>
        <w:t>кой активностью, отдыхом, включая сон.</w:t>
      </w:r>
    </w:p>
    <w:p>
      <w:pPr>
        <w:pStyle w:val="Style30"/>
        <w:numPr>
          <w:ilvl w:val="0"/>
          <w:numId w:val="15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Физиотерапия используется при недостаточной эф</w:t>
        <w:softHyphen/>
        <w:t>фективности восстановления микросоциума ребен</w:t>
        <w:softHyphen/>
        <w:t>ка. Прежде всего это широкий выбор водных проце</w:t>
        <w:softHyphen/>
        <w:t>дур: контрастные ванны, обливание прохладной (ни</w:t>
        <w:softHyphen/>
        <w:t>же привычной) водой перед сном, душ Шарко, цир</w:t>
        <w:softHyphen/>
        <w:t>кулярный и веерный душ. Бальнеотерапия: жемчуж</w:t>
        <w:softHyphen/>
        <w:t>ные, солено-хвойные, радоновые и сульфидные ван</w:t>
        <w:softHyphen/>
        <w:t>ны. Применяют электросон, магнито- и лазе</w:t>
        <w:softHyphen/>
        <w:t>ротерапию, иглорефлексотерапию, ультразвук, сину</w:t>
        <w:softHyphen/>
        <w:t>соидальные модулированные токи, индуктотермию по общепринятым методикам. Показаны занятия ЛФК и санаторное лечение.</w:t>
      </w:r>
    </w:p>
    <w:p>
      <w:pPr>
        <w:pStyle w:val="Style30"/>
        <w:numPr>
          <w:ilvl w:val="0"/>
          <w:numId w:val="15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Массаж мышц позвоночника, воротниковой зоны, головы, поясничного отдела, также как и общий мас</w:t>
        <w:softHyphen/>
        <w:t>саж, несомненно, показаны при любом клиническом варианте НЦД.</w:t>
      </w:r>
    </w:p>
    <w:p>
      <w:pPr>
        <w:pStyle w:val="Style30"/>
        <w:numPr>
          <w:ilvl w:val="0"/>
          <w:numId w:val="15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Подросткам с III степенью тяжести кардиалгического варианта НЦД показана медикаментозная терапия. Назначаются препараты транквилизирующего дей</w:t>
        <w:softHyphen/>
        <w:t>ствия: беллоид, фенибут, мебикар, мепробомат 2 раза (1 прием во вторую половину дня и 1 прием вечером). Дают вначале 50% от обычной возрастной дозы на 1 месяц, а затем в зависимости от полученного терапе</w:t>
        <w:softHyphen/>
        <w:t>втического эффекта дозу корректируют, увеличивая ее до 75-100% или уменьшая до 30-25%. Такая мето</w:t>
        <w:softHyphen/>
        <w:t>дика дает возможность длительного применения этих препаратов, по крайней мере до достижения ожидае</w:t>
        <w:softHyphen/>
        <w:t>мого эффекта. Иногда при выраженных невротичес</w:t>
        <w:softHyphen/>
        <w:t>ких проявлениях, состоянии эмоционального напря</w:t>
        <w:softHyphen/>
        <w:t>жения, тревожно-фобических настроениях, ипохонд</w:t>
        <w:softHyphen/>
        <w:t>рии, длительных и(или) частых кардиалгиях назнача</w:t>
        <w:softHyphen/>
        <w:t>ют нейролептики сонапакс (20-30 мг/сутки), френо- лон (5-15 мг/сутки), терален (5-15 мг/сутки) на 3 при</w:t>
        <w:softHyphen/>
        <w:t>ема.</w:t>
      </w:r>
    </w:p>
    <w:p>
      <w:pPr>
        <w:pStyle w:val="Style30"/>
        <w:numPr>
          <w:ilvl w:val="0"/>
          <w:numId w:val="15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Для купирования болевого синдрома, сопровождаю</w:t>
        <w:softHyphen/>
        <w:t>щегося брадикардией, используют валокормид, при тахикардии — валоседан, валокордин или корва</w:t>
        <w:softHyphen/>
        <w:t>лол, а при неэффективности — обзидан.</w:t>
      </w:r>
    </w:p>
    <w:p>
      <w:pPr>
        <w:pStyle w:val="Style30"/>
        <w:numPr>
          <w:ilvl w:val="0"/>
          <w:numId w:val="15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Физические нагрузки при кардиалгическом варианте НЦД не противопоказаны, но при III степени тяжес</w:t>
        <w:softHyphen/>
        <w:t>ти их следует начинать с ЛФК.</w:t>
      </w:r>
    </w:p>
    <w:p>
      <w:pPr>
        <w:pStyle w:val="Style30"/>
        <w:numPr>
          <w:ilvl w:val="0"/>
          <w:numId w:val="159"/>
        </w:numPr>
        <w:tabs>
          <w:tab w:leader="none" w:pos="238" w:val="left"/>
        </w:tabs>
        <w:widowControl w:val="0"/>
        <w:keepNext w:val="0"/>
        <w:keepLines w:val="0"/>
        <w:shd w:val="clear" w:color="auto" w:fill="auto"/>
        <w:bidi w:val="0"/>
        <w:spacing w:before="0" w:after="180"/>
        <w:ind w:left="280" w:right="0" w:hanging="280"/>
      </w:pPr>
      <w:r>
        <w:rPr>
          <w:lang w:val="ru-RU" w:eastAsia="ru-RU" w:bidi="ru-RU"/>
          <w:w w:val="100"/>
          <w:spacing w:val="0"/>
          <w:color w:val="000000"/>
          <w:position w:val="0"/>
        </w:rPr>
        <w:t>Наряду с вышеприведенными препаратами при кар- диалгическом варианте НЦД широко используются средства, влияющие на обменные процессы, в т.ч. и в миокарде: липоевая и глутаминовая кислоты по 1 табл. 3 раза в день, пикамилон по 1-2 табл. в день, вит. В</w:t>
      </w:r>
      <w:r>
        <w:rPr>
          <w:rStyle w:val="CharStyle32"/>
        </w:rPr>
        <w:t>15</w:t>
      </w:r>
      <w:r>
        <w:rPr>
          <w:lang w:val="ru-RU" w:eastAsia="ru-RU" w:bidi="ru-RU"/>
          <w:w w:val="100"/>
          <w:spacing w:val="0"/>
          <w:color w:val="000000"/>
          <w:position w:val="0"/>
        </w:rPr>
        <w:t xml:space="preserve"> по 3 табл. в сутки, рибоксин по 1 табл. 3 раза в день, оротат калия по 0,2-0,3 г 2-3 раза в день, гли</w:t>
        <w:softHyphen/>
        <w:t>церофосфат кальция по 0,2 г 2-3 раза в день.</w:t>
      </w:r>
    </w:p>
    <w:p>
      <w:pPr>
        <w:pStyle w:val="Style92"/>
        <w:widowControl w:val="0"/>
        <w:keepNext/>
        <w:keepLines/>
        <w:shd w:val="clear" w:color="auto" w:fill="auto"/>
        <w:bidi w:val="0"/>
        <w:spacing w:before="0" w:after="0"/>
        <w:ind w:left="280" w:right="0"/>
      </w:pPr>
      <w:bookmarkStart w:id="782" w:name="bookmark782"/>
      <w:r>
        <w:rPr>
          <w:lang w:val="ru-RU" w:eastAsia="ru-RU" w:bidi="ru-RU"/>
          <w:w w:val="100"/>
          <w:spacing w:val="0"/>
          <w:color w:val="000000"/>
          <w:position w:val="0"/>
        </w:rPr>
        <w:t>Профилактика НЦД</w:t>
      </w:r>
      <w:bookmarkEnd w:id="782"/>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В основе профилактики НЦД лежат правила здорового образа жизни: рациональное питание, ограничение со</w:t>
        <w:softHyphen/>
        <w:t>ли, физическая активность, борьба с избыточной массой тела. Общие принципы рационального питания для под</w:t>
        <w:softHyphen/>
        <w:t>ростков с избыточной массой тела просты:</w:t>
      </w:r>
    </w:p>
    <w:p>
      <w:pPr>
        <w:pStyle w:val="Style30"/>
        <w:widowControl w:val="0"/>
        <w:keepNext w:val="0"/>
        <w:keepLines w:val="0"/>
        <w:shd w:val="clear" w:color="auto" w:fill="auto"/>
        <w:bidi w:val="0"/>
        <w:jc w:val="left"/>
        <w:spacing w:before="0" w:after="0"/>
        <w:ind w:left="500" w:right="0" w:hanging="220"/>
        <w:sectPr>
          <w:type w:val="continuous"/>
          <w:pgSz w:w="11900" w:h="16840"/>
          <w:pgMar w:top="1569" w:left="1044" w:right="984" w:bottom="1756" w:header="0" w:footer="3" w:gutter="0"/>
          <w:rtlGutter w:val="0"/>
          <w:cols w:num="2" w:space="157"/>
          <w:noEndnote/>
          <w:docGrid w:linePitch="360"/>
        </w:sectPr>
      </w:pPr>
      <w:r>
        <w:pict>
          <v:shape id="_x0000_s1757" type="#_x0000_t75" style="position:absolute;margin-left:142.1pt;margin-top:736.8pt;width:209.75pt;height:14.9pt;z-index:-125828861;mso-wrap-distance-left:136.1pt;mso-wrap-distance-right:136.8pt;mso-wrap-distance-bottom:10.8pt;mso-position-horizontal-relative:margin;mso-position-vertical-relative:margin" wrapcoords="0 0 21600 0 21600 21600 0 21600 0 0">
            <v:imagedata r:id="rId1197" r:href="rId1198"/>
            <w10:wrap type="topAndBottom" anchorx="margin" anchory="margin"/>
          </v:shape>
        </w:pict>
      </w:r>
      <w:r>
        <w:rPr>
          <w:lang w:val="ru-RU" w:eastAsia="ru-RU" w:bidi="ru-RU"/>
          <w:w w:val="100"/>
          <w:spacing w:val="0"/>
          <w:color w:val="000000"/>
          <w:position w:val="0"/>
        </w:rPr>
        <w:t>• Ограничение потребления простых углеводов (са</w:t>
        <w:softHyphen/>
        <w:t>хара, варенья, конфет).</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Ограничение потребления хлеба, каш, картофеля (до трех кусков черного и двух кусков белого хлеба, одной порции каши или одной порции картофеля в день).</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Исключение из рациона или резкое снижение по</w:t>
        <w:softHyphen/>
        <w:t>требления кондитерских изделий (булочек, пирож</w:t>
        <w:softHyphen/>
        <w:t>ных, сдобного печенья) и макаронных изделий.</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Достаточное потребление белковосодержащих продуктов (мяса, рыбы, творога).</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Неограниченное потребление фруктов и овощей (кроме винограда и бананов).</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Замена жареных продуктов тушеными.</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Ограничение поваренной соли до 5 г на приготов</w:t>
        <w:softHyphen/>
        <w:t>ление пищи.</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Исключение продуктов, возбуждающих аппетит (соусы, маринады).</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У подростков, склонных к артериальной гипертензии, с нарушениями обмена холестерина необходимым усло</w:t>
        <w:softHyphen/>
        <w:t>вием профилактики ГБ рекомендуется следующая кор</w:t>
        <w:softHyphen/>
        <w:t>рекция диеты:</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Использовать не более 1-2 яиц в неделю.</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Ограничить потребление субпродуктов (печень, почки, язык), красной и черной икры (не более 1 раза в месяц).</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Использовать нежирные сорта мяса, рыбы, птицы, творога.</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Резко ограничить потребление копченостей.</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Увеличить потребление растительных жиров до 50% от общего количества.</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Избегать употребления жирного молока, сливок, сметаны.</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Включить в повседневный рацион овощи, фрукты, морепродукты, улучшающие обмен холестерина и способствующие выведению его из организма.</w:t>
      </w:r>
    </w:p>
    <w:p>
      <w:pPr>
        <w:pStyle w:val="Style30"/>
        <w:numPr>
          <w:ilvl w:val="0"/>
          <w:numId w:val="159"/>
        </w:numPr>
        <w:tabs>
          <w:tab w:leader="none" w:pos="737" w:val="left"/>
        </w:tabs>
        <w:widowControl w:val="0"/>
        <w:keepNext w:val="0"/>
        <w:keepLines w:val="0"/>
        <w:shd w:val="clear" w:color="auto" w:fill="auto"/>
        <w:bidi w:val="0"/>
        <w:jc w:val="left"/>
        <w:spacing w:before="0" w:after="0"/>
        <w:ind w:left="0" w:right="0" w:firstLine="500"/>
      </w:pPr>
      <w:r>
        <w:rPr>
          <w:lang w:val="ru-RU" w:eastAsia="ru-RU" w:bidi="ru-RU"/>
          <w:w w:val="100"/>
          <w:spacing w:val="0"/>
          <w:color w:val="000000"/>
          <w:position w:val="0"/>
        </w:rPr>
        <w:t>Использовать хлеб из муки грубого помола. Рациональное, сбалансированное питание с низкой ка</w:t>
        <w:softHyphen/>
        <w:t>лорийностью и антисклеротической направленностью —</w:t>
      </w:r>
    </w:p>
    <w:p>
      <w:pPr>
        <w:pStyle w:val="Style30"/>
        <w:widowControl w:val="0"/>
        <w:keepNext w:val="0"/>
        <w:keepLines w:val="0"/>
        <w:shd w:val="clear" w:color="auto" w:fill="auto"/>
        <w:bidi w:val="0"/>
        <w:spacing w:before="0" w:after="0"/>
        <w:ind w:left="0" w:right="0" w:firstLine="0"/>
      </w:pPr>
      <w:r>
        <w:br w:type="column"/>
      </w:r>
      <w:r>
        <w:rPr>
          <w:lang w:val="ru-RU" w:eastAsia="ru-RU" w:bidi="ru-RU"/>
          <w:w w:val="100"/>
          <w:spacing w:val="0"/>
          <w:color w:val="000000"/>
          <w:position w:val="0"/>
        </w:rPr>
        <w:t>надежная защита сердца от заболеваний органов кровооб</w:t>
        <w:softHyphen/>
        <w:t>ращения, органических в том числе.</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Избыточная масса тела (за счет жировой массы) в по</w:t>
        <w:softHyphen/>
        <w:t>давляющем большинстве случаев непосредственно связана с несбалансированным питанием в сочета</w:t>
        <w:softHyphen/>
        <w:t>нии с малоподвижным образом жизни.</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Физическая активность подростков должна начи</w:t>
        <w:softHyphen/>
        <w:t>наться утром, во время выполнения физзарядки. Вре</w:t>
        <w:softHyphen/>
        <w:t>мя ее проведения ограничивается появлением при</w:t>
        <w:softHyphen/>
        <w:t>знаков выполненной физической работы — появле</w:t>
        <w:softHyphen/>
        <w:t>ние горячего пота, гиперемии щек, увеличение часто</w:t>
        <w:softHyphen/>
        <w:t>ты сердечных сокращений (пульса) до 175 уд. в 1 ми</w:t>
        <w:softHyphen/>
        <w:t>нуту — уровень субмаксимальной нагрузки, опреде</w:t>
        <w:softHyphen/>
        <w:t>ляемый по формуле:</w:t>
      </w:r>
    </w:p>
    <w:p>
      <w:pPr>
        <w:pStyle w:val="Style30"/>
        <w:widowControl w:val="0"/>
        <w:keepNext w:val="0"/>
        <w:keepLines w:val="0"/>
        <w:shd w:val="clear" w:color="auto" w:fill="auto"/>
        <w:bidi w:val="0"/>
        <w:jc w:val="left"/>
        <w:spacing w:before="0" w:after="0"/>
        <w:ind w:left="740" w:right="0" w:firstLine="0"/>
      </w:pPr>
      <w:r>
        <w:rPr>
          <w:lang w:val="ru-RU" w:eastAsia="ru-RU" w:bidi="ru-RU"/>
          <w:w w:val="100"/>
          <w:spacing w:val="0"/>
          <w:color w:val="000000"/>
          <w:position w:val="0"/>
        </w:rPr>
        <w:t>ЧСС= 85% от (220 — возраст).</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качестве физического тренинга можно использо</w:t>
        <w:softHyphen/>
        <w:t>вать бег, физические упражнения с применением спортивного инвентаря — гантелей, эспандера, ска</w:t>
        <w:softHyphen/>
        <w:t>калки и т.п. до достижения субмаксимальной нагруз</w:t>
        <w:softHyphen/>
        <w:t>ки, равной частоте сердечных сокращений 175 уд. в 1 мин.</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Важное значение в профилактике НЦД имеет под</w:t>
        <w:softHyphen/>
        <w:t>держание нормального ритма основных режимных моментов жизнедеятельности подростка. Ночной сон должен быть не менее 8-10 часов при отходе ко сну не позднее 23 часов. Полезен короткий отдых днем пос</w:t>
        <w:softHyphen/>
        <w:t>ле школьных занятий 15-20 минут лежа в тишине с закрытыми глазами, можно с непродолжительным сном. Просмотр телепередач не должен превышать 1-1,5 часа в день.</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sectPr>
          <w:headerReference w:type="even" r:id="rId1199"/>
          <w:headerReference w:type="default" r:id="rId1200"/>
          <w:pgSz w:w="11900" w:h="16840"/>
          <w:pgMar w:top="1569" w:left="1044" w:right="984" w:bottom="1756" w:header="0" w:footer="3" w:gutter="0"/>
          <w:rtlGutter w:val="0"/>
          <w:cols w:num="2" w:space="157"/>
          <w:noEndnote/>
          <w:docGrid w:linePitch="360"/>
        </w:sectPr>
      </w:pPr>
      <w:r>
        <w:rPr>
          <w:lang w:val="ru-RU" w:eastAsia="ru-RU" w:bidi="ru-RU"/>
          <w:w w:val="100"/>
          <w:spacing w:val="0"/>
          <w:color w:val="000000"/>
          <w:position w:val="0"/>
        </w:rPr>
        <w:t>Алкоголь подросткам категорически запрещен влю- бом виде даже в незначительных количествах, так же как никотин и другие продукты, содержащиеся в та</w:t>
        <w:softHyphen/>
        <w:t>бачном дыму, оказывающие токсическое воздействие на еще формирующуюся нервную и эндокринную си</w:t>
        <w:softHyphen/>
        <w:t>стему, психику подростка, особенно в период полово</w:t>
        <w:softHyphen/>
        <w:t>го созревания.</w:t>
      </w:r>
    </w:p>
    <w:p>
      <w:pPr>
        <w:widowControl w:val="0"/>
        <w:rPr>
          <w:sz w:val="2"/>
          <w:szCs w:val="2"/>
        </w:rPr>
      </w:pPr>
      <w:r>
        <w:pict>
          <v:shape id="_x0000_s1760" type="#_x0000_t202" style="position:static;width:595.pt;height:336.0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761" type="#_x0000_t75" style="position:absolute;margin-left:133.05pt;margin-top:0;width:209.75pt;height:14.9pt;z-index:-251658642;mso-wrap-distance-left:5.pt;mso-wrap-distance-right:5.pt;mso-position-horizontal-relative:margin" wrapcoords="0 0">
            <v:imagedata r:id="rId1201" r:href="rId1202"/>
            <w10:wrap anchorx="margin"/>
          </v:shape>
        </w:pict>
      </w:r>
    </w:p>
    <w:p>
      <w:pPr>
        <w:widowControl w:val="0"/>
        <w:rPr>
          <w:sz w:val="2"/>
          <w:szCs w:val="2"/>
        </w:rPr>
        <w:sectPr>
          <w:type w:val="continuous"/>
          <w:pgSz w:w="11900" w:h="16840"/>
          <w:pgMar w:top="1468" w:left="1119" w:right="893" w:bottom="192" w:header="0" w:footer="3" w:gutter="0"/>
          <w:rtlGutter w:val="0"/>
          <w:cols w:space="720"/>
          <w:noEndnote/>
          <w:docGrid w:linePitch="360"/>
        </w:sectPr>
      </w:pPr>
    </w:p>
    <w:p>
      <w:pPr>
        <w:pStyle w:val="Style5"/>
        <w:widowControl w:val="0"/>
        <w:keepNext w:val="0"/>
        <w:keepLines w:val="0"/>
        <w:shd w:val="clear" w:color="auto" w:fill="auto"/>
        <w:bidi w:val="0"/>
        <w:jc w:val="left"/>
        <w:spacing w:before="0" w:after="274" w:line="340" w:lineRule="exact"/>
        <w:ind w:left="2320" w:right="0" w:firstLine="0"/>
      </w:pPr>
      <w:r>
        <w:rPr>
          <w:rStyle w:val="CharStyle144"/>
          <w:b/>
          <w:bCs/>
        </w:rPr>
        <w:t>Глава XII</w:t>
      </w:r>
    </w:p>
    <w:p>
      <w:pPr>
        <w:pStyle w:val="Style15"/>
        <w:widowControl w:val="0"/>
        <w:keepNext/>
        <w:keepLines/>
        <w:shd w:val="clear" w:color="auto" w:fill="auto"/>
        <w:bidi w:val="0"/>
        <w:jc w:val="left"/>
        <w:spacing w:before="0" w:after="0" w:line="340" w:lineRule="exact"/>
        <w:ind w:left="2320" w:right="0" w:firstLine="0"/>
        <w:sectPr>
          <w:pgSz w:w="11900" w:h="16840"/>
          <w:pgMar w:top="1800" w:left="893" w:right="1128" w:bottom="206" w:header="0" w:footer="3" w:gutter="0"/>
          <w:rtlGutter w:val="0"/>
          <w:cols w:space="720"/>
          <w:noEndnote/>
          <w:docGrid w:linePitch="360"/>
        </w:sectPr>
      </w:pPr>
      <w:bookmarkStart w:id="783" w:name="bookmark783"/>
      <w:r>
        <w:rPr>
          <w:rStyle w:val="CharStyle145"/>
          <w:b/>
          <w:bCs/>
        </w:rPr>
        <w:t>НАРУШЕНИЯ РИТМА СЕРДЦА</w:t>
      </w:r>
      <w:bookmarkEnd w:id="783"/>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28" w:after="28" w:line="240" w:lineRule="exact"/>
        <w:rPr>
          <w:sz w:val="19"/>
          <w:szCs w:val="19"/>
        </w:rPr>
      </w:pPr>
    </w:p>
    <w:p>
      <w:pPr>
        <w:widowControl w:val="0"/>
        <w:rPr>
          <w:sz w:val="2"/>
          <w:szCs w:val="2"/>
        </w:rPr>
        <w:sectPr>
          <w:type w:val="continuous"/>
          <w:pgSz w:w="11900" w:h="16840"/>
          <w:pgMar w:top="1559" w:left="0" w:right="0" w:bottom="1756" w:header="0" w:footer="3" w:gutter="0"/>
          <w:rtlGutter w:val="0"/>
          <w:cols w:space="720"/>
          <w:noEndnote/>
          <w:docGrid w:linePitch="360"/>
        </w:sectPr>
      </w:pPr>
    </w:p>
    <w:p>
      <w:pPr>
        <w:widowControl w:val="0"/>
        <w:rPr>
          <w:sz w:val="2"/>
          <w:szCs w:val="2"/>
        </w:rPr>
      </w:pPr>
      <w:r>
        <w:pict>
          <v:shape id="_x0000_s1762" type="#_x0000_t75" style="position:absolute;margin-left:141.05pt;margin-top:608.9pt;width:209.75pt;height:14.9pt;z-index:-125828860;mso-wrap-distance-left:148.1pt;mso-wrap-distance-right:136.3pt;mso-wrap-distance-bottom:10.8pt;mso-position-horizontal-relative:margin" wrapcoords="0 0 21600 0 21600 21600 0 21600 0 0">
            <v:imagedata r:id="rId1203" r:href="rId1204"/>
            <w10:wrap type="topAndBottom" anchorx="margin"/>
          </v:shape>
        </w:pic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Нарушения ритма сердца (аритмии) являются большим самостоятельным разделом кардиологии детского возраста. Огромное разнообразие различных вариантов аритмий и нарушений проводимости ритма обусловили необходи</w:t>
        <w:softHyphen/>
        <w:t>мость создания самостоятельной нозологической дисцип</w:t>
        <w:softHyphen/>
        <w:t>лины — аритмологии. В данной главе рассмотрены лишь наиболее часто встречаемые аритмии.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Важно отметить, что у детей, особенно младшего возрас</w:t>
        <w:softHyphen/>
        <w:t>та, нарушения ритма сердца могут протекать без клиничес</w:t>
        <w:softHyphen/>
        <w:t>ких симптомов и манифестируют тяжелой сердечной недо</w:t>
        <w:softHyphen/>
        <w:t>статочностью или оканчиваются внезапной сердечной смертью. В этом аспекте огромное значение имеет электро</w:t>
        <w:softHyphen/>
        <w:t>кардиографический скрининг.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распространенные симптомы аритмии, кото</w:t>
        <w:softHyphen/>
        <w:t>рые могут отмечаться у пациента:</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Пропуск сердечного сокращения.</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Внезапное усиление сердцебиения в груди.</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Чувство, что сердце выпрыгивает из груди.</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Обморочное состояние.</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Головокружение.</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Одышка.</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Боли в груди.</w:t>
      </w:r>
    </w:p>
    <w:p>
      <w:pPr>
        <w:pStyle w:val="Style30"/>
        <w:numPr>
          <w:ilvl w:val="0"/>
          <w:numId w:val="159"/>
        </w:numPr>
        <w:tabs>
          <w:tab w:leader="none" w:pos="519" w:val="left"/>
        </w:tabs>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Потеря сознания.</w:t>
      </w:r>
    </w:p>
    <w:p>
      <w:pPr>
        <w:pStyle w:val="Style28"/>
        <w:widowControl w:val="0"/>
        <w:keepNext/>
        <w:keepLines/>
        <w:shd w:val="clear" w:color="auto" w:fill="auto"/>
        <w:bidi w:val="0"/>
        <w:jc w:val="left"/>
        <w:spacing w:before="0" w:after="157" w:line="220" w:lineRule="exact"/>
        <w:ind w:left="0" w:right="0" w:firstLine="0"/>
      </w:pPr>
      <w:bookmarkStart w:id="785" w:name="bookmark785"/>
      <w:r>
        <w:rPr>
          <w:lang w:val="ru-RU" w:eastAsia="ru-RU" w:bidi="ru-RU"/>
          <w:w w:val="100"/>
          <w:spacing w:val="0"/>
          <w:color w:val="000000"/>
          <w:position w:val="0"/>
        </w:rPr>
        <w:t>Синусовая тахикардия</w:t>
      </w:r>
      <w:bookmarkEnd w:id="78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Тахикардия — это аномально повышенная частота сер</w:t>
        <w:softHyphen/>
        <w:t>дечных сокращений, которая обычно определяется как 100 и более ударов в минуту у взрослых. У детей ЧСС зависит от возраста; определение тахикардии меняется, как это пока</w:t>
        <w:softHyphen/>
        <w:t>зано ниже.</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 1-2 дня — 123-159 уд/мин.</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 3-6 дней — 129-166 уд/мин.</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 1-3 недели — 107-182 уд/мин.</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 1-2 месяца — 121-179 уд/мин.</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 3-5 месяцев — 106-186 уд/мин.</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 6-11 месяцев — 109-169 уд/мин.</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 1-2 года — 89-150 уд/мин.</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 3-4 года — 73-137 уд/мин.</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 5-7 лет — 65-133 уд/мин.</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 8-11 лет — 62-130 уд/мин.</w:t>
      </w:r>
    </w:p>
    <w:p>
      <w:pPr>
        <w:pStyle w:val="Style30"/>
        <w:numPr>
          <w:ilvl w:val="0"/>
          <w:numId w:val="159"/>
        </w:numPr>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 12-15 лет — 60-119 уд/мин.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Синусовая тахикардия может быть физиологическим от</w:t>
        <w:softHyphen/>
        <w:t>ветом сердца на внесердечные раздражители или возникает при нарушении сердечной деятельности.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Гипердинамическая сердечная деятельность:</w:t>
      </w:r>
    </w:p>
    <w:p>
      <w:pPr>
        <w:pStyle w:val="Style30"/>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Увеличение ЧСС и проводимости являются фи</w:t>
        <w:softHyphen/>
        <w:t>зиологическими ответами на высвобождение кате</w:t>
        <w:softHyphen/>
        <w:t>холамина.</w:t>
      </w:r>
    </w:p>
    <w:p>
      <w:pPr>
        <w:pStyle w:val="Style30"/>
        <w:numPr>
          <w:ilvl w:val="0"/>
          <w:numId w:val="159"/>
        </w:numPr>
        <w:tabs>
          <w:tab w:leader="none" w:pos="789" w:val="left"/>
        </w:tabs>
        <w:widowControl w:val="0"/>
        <w:keepNext w:val="0"/>
        <w:keepLines w:val="0"/>
        <w:shd w:val="clear" w:color="auto" w:fill="auto"/>
        <w:bidi w:val="0"/>
        <w:spacing w:before="0" w:after="0"/>
        <w:ind w:left="740" w:right="0" w:hanging="240"/>
      </w:pPr>
      <w:r>
        <w:br w:type="column"/>
      </w:r>
      <w:r>
        <w:rPr>
          <w:lang w:val="ru-RU" w:eastAsia="ru-RU" w:bidi="ru-RU"/>
          <w:w w:val="100"/>
          <w:spacing w:val="0"/>
          <w:color w:val="000000"/>
          <w:position w:val="0"/>
        </w:rPr>
        <w:t>Высвобождение катехоламина может произойти при:</w:t>
      </w:r>
    </w:p>
    <w:p>
      <w:pPr>
        <w:pStyle w:val="Style30"/>
        <w:numPr>
          <w:ilvl w:val="0"/>
          <w:numId w:val="161"/>
        </w:numPr>
        <w:tabs>
          <w:tab w:leader="none" w:pos="945"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стрессе;</w:t>
      </w:r>
    </w:p>
    <w:p>
      <w:pPr>
        <w:pStyle w:val="Style30"/>
        <w:numPr>
          <w:ilvl w:val="0"/>
          <w:numId w:val="161"/>
        </w:numPr>
        <w:tabs>
          <w:tab w:leader="none" w:pos="945"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страхе;</w:t>
      </w:r>
    </w:p>
    <w:p>
      <w:pPr>
        <w:pStyle w:val="Style30"/>
        <w:numPr>
          <w:ilvl w:val="0"/>
          <w:numId w:val="161"/>
        </w:numPr>
        <w:tabs>
          <w:tab w:leader="none" w:pos="945"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физической нагрузке;</w:t>
      </w:r>
    </w:p>
    <w:p>
      <w:pPr>
        <w:pStyle w:val="Style30"/>
        <w:numPr>
          <w:ilvl w:val="0"/>
          <w:numId w:val="161"/>
        </w:numPr>
        <w:tabs>
          <w:tab w:leader="none" w:pos="945"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лихорадке или инфекции;</w:t>
      </w:r>
    </w:p>
    <w:p>
      <w:pPr>
        <w:pStyle w:val="Style30"/>
        <w:numPr>
          <w:ilvl w:val="0"/>
          <w:numId w:val="161"/>
        </w:numPr>
        <w:tabs>
          <w:tab w:leader="none" w:pos="945"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боли;</w:t>
      </w:r>
    </w:p>
    <w:p>
      <w:pPr>
        <w:pStyle w:val="Style30"/>
        <w:numPr>
          <w:ilvl w:val="0"/>
          <w:numId w:val="161"/>
        </w:numPr>
        <w:tabs>
          <w:tab w:leader="none" w:pos="945"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анемии;</w:t>
      </w:r>
    </w:p>
    <w:p>
      <w:pPr>
        <w:pStyle w:val="Style30"/>
        <w:numPr>
          <w:ilvl w:val="0"/>
          <w:numId w:val="161"/>
        </w:numPr>
        <w:tabs>
          <w:tab w:leader="none" w:pos="964"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приеме лекарственных средств/стимулянтов (на</w:t>
        <w:softHyphen/>
        <w:t>пример, амфетамины, кокаин, кофеин, эфедрин, антигистаминные препараты, фенотиазины, анти</w:t>
        <w:softHyphen/>
        <w:t>депрессанты, табак, теофиллин, общий наркоз);</w:t>
      </w:r>
    </w:p>
    <w:p>
      <w:pPr>
        <w:pStyle w:val="Style30"/>
        <w:numPr>
          <w:ilvl w:val="0"/>
          <w:numId w:val="161"/>
        </w:numPr>
        <w:tabs>
          <w:tab w:leader="none" w:pos="945"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гипогликемии;</w:t>
      </w:r>
    </w:p>
    <w:p>
      <w:pPr>
        <w:pStyle w:val="Style30"/>
        <w:numPr>
          <w:ilvl w:val="0"/>
          <w:numId w:val="161"/>
        </w:numPr>
        <w:tabs>
          <w:tab w:leader="none" w:pos="945"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гипертиреозе;</w:t>
      </w:r>
    </w:p>
    <w:p>
      <w:pPr>
        <w:pStyle w:val="Style30"/>
        <w:numPr>
          <w:ilvl w:val="0"/>
          <w:numId w:val="161"/>
        </w:numPr>
        <w:tabs>
          <w:tab w:leader="none" w:pos="945"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ацидозе.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Нарушение сердечной деятельности:</w:t>
      </w:r>
    </w:p>
    <w:p>
      <w:pPr>
        <w:pStyle w:val="Style30"/>
        <w:numPr>
          <w:ilvl w:val="0"/>
          <w:numId w:val="159"/>
        </w:numPr>
        <w:tabs>
          <w:tab w:leader="none" w:pos="78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Токсическое действие различных веществ (напри</w:t>
        <w:softHyphen/>
        <w:t>мер, амфетамины, кокаин, кофеин, эфедрин, анти- гистаминные препараты, фенотиазины, антидеп</w:t>
        <w:softHyphen/>
        <w:t>рессанты, табак, теофиллин, общая анестезия, три- циклиды, противоаритмические препараты, хлор</w:t>
        <w:softHyphen/>
        <w:t>гидрат, фосфорорганические вещества, углеводо</w:t>
        <w:softHyphen/>
        <w:t>роды, дигоксин, амфетамины, кокаин, мышьяк).</w:t>
      </w:r>
    </w:p>
    <w:p>
      <w:pPr>
        <w:pStyle w:val="Style30"/>
        <w:numPr>
          <w:ilvl w:val="0"/>
          <w:numId w:val="159"/>
        </w:numPr>
        <w:tabs>
          <w:tab w:leader="none" w:pos="78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Феномен Вольфа-Паркинсона-Уайта (ВПУ).</w:t>
      </w:r>
    </w:p>
    <w:p>
      <w:pPr>
        <w:pStyle w:val="Style30"/>
        <w:numPr>
          <w:ilvl w:val="0"/>
          <w:numId w:val="159"/>
        </w:numPr>
        <w:tabs>
          <w:tab w:leader="none" w:pos="78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Застойная сердечная недостаточность.</w:t>
      </w:r>
    </w:p>
    <w:p>
      <w:pPr>
        <w:pStyle w:val="Style30"/>
        <w:numPr>
          <w:ilvl w:val="0"/>
          <w:numId w:val="159"/>
        </w:numPr>
        <w:tabs>
          <w:tab w:leader="none" w:pos="78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Миокардит.</w:t>
      </w:r>
    </w:p>
    <w:p>
      <w:pPr>
        <w:pStyle w:val="Style30"/>
        <w:numPr>
          <w:ilvl w:val="0"/>
          <w:numId w:val="159"/>
        </w:numPr>
        <w:tabs>
          <w:tab w:leader="none" w:pos="78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Ревматическая лихорадка.</w:t>
      </w:r>
    </w:p>
    <w:p>
      <w:pPr>
        <w:pStyle w:val="Style30"/>
        <w:numPr>
          <w:ilvl w:val="0"/>
          <w:numId w:val="159"/>
        </w:numPr>
        <w:tabs>
          <w:tab w:leader="none" w:pos="78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Пролапс митрального клапана.</w:t>
      </w:r>
    </w:p>
    <w:p>
      <w:pPr>
        <w:pStyle w:val="Style30"/>
        <w:numPr>
          <w:ilvl w:val="0"/>
          <w:numId w:val="159"/>
        </w:numPr>
        <w:tabs>
          <w:tab w:leader="none" w:pos="78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Миокардиопатия.</w:t>
      </w:r>
    </w:p>
    <w:p>
      <w:pPr>
        <w:pStyle w:val="Style30"/>
        <w:numPr>
          <w:ilvl w:val="0"/>
          <w:numId w:val="159"/>
        </w:numPr>
        <w:tabs>
          <w:tab w:leader="none" w:pos="78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Ишемия миокарда.</w:t>
      </w:r>
    </w:p>
    <w:p>
      <w:pPr>
        <w:pStyle w:val="Style30"/>
        <w:numPr>
          <w:ilvl w:val="0"/>
          <w:numId w:val="159"/>
        </w:numPr>
        <w:tabs>
          <w:tab w:leader="none" w:pos="78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Гиперкалиемия (пиковые зубцы Т, удлиненные ин - тервалы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и </w:t>
      </w:r>
      <w:r>
        <w:rPr>
          <w:lang w:val="en-US" w:eastAsia="en-US" w:bidi="en-US"/>
          <w:w w:val="100"/>
          <w:spacing w:val="0"/>
          <w:color w:val="000000"/>
          <w:position w:val="0"/>
        </w:rPr>
        <w:t>Q-T).</w:t>
      </w:r>
    </w:p>
    <w:p>
      <w:pPr>
        <w:pStyle w:val="Style30"/>
        <w:numPr>
          <w:ilvl w:val="0"/>
          <w:numId w:val="159"/>
        </w:numPr>
        <w:tabs>
          <w:tab w:leader="none" w:pos="78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Гипокалиемия (увеличенные интервалы </w:t>
      </w:r>
      <w:r>
        <w:rPr>
          <w:lang w:val="en-US" w:eastAsia="en-US" w:bidi="en-US"/>
          <w:w w:val="100"/>
          <w:spacing w:val="0"/>
          <w:color w:val="000000"/>
          <w:position w:val="0"/>
        </w:rPr>
        <w:t xml:space="preserve">Q-T </w:t>
      </w:r>
      <w:r>
        <w:rPr>
          <w:lang w:val="ru-RU" w:eastAsia="ru-RU" w:bidi="ru-RU"/>
          <w:w w:val="100"/>
          <w:spacing w:val="0"/>
          <w:color w:val="000000"/>
          <w:position w:val="0"/>
        </w:rPr>
        <w:t xml:space="preserve">вследствие удлинения сегмента </w:t>
      </w:r>
      <w:r>
        <w:rPr>
          <w:lang w:val="en-US" w:eastAsia="en-US" w:bidi="en-US"/>
          <w:w w:val="100"/>
          <w:spacing w:val="0"/>
          <w:color w:val="000000"/>
          <w:position w:val="0"/>
        </w:rPr>
        <w:t>ST).</w:t>
      </w:r>
    </w:p>
    <w:p>
      <w:pPr>
        <w:pStyle w:val="Style30"/>
        <w:numPr>
          <w:ilvl w:val="0"/>
          <w:numId w:val="159"/>
        </w:numPr>
        <w:tabs>
          <w:tab w:leader="none" w:pos="78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Гипокалиемия (особенно в связи с применением дигоксина вследствие его синергического дей</w:t>
        <w:softHyphen/>
        <w:t>ствия на автоматизм и проводимость).</w:t>
      </w:r>
    </w:p>
    <w:p>
      <w:pPr>
        <w:pStyle w:val="Style30"/>
        <w:numPr>
          <w:ilvl w:val="0"/>
          <w:numId w:val="159"/>
        </w:numPr>
        <w:tabs>
          <w:tab w:leader="none" w:pos="789"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Гипомагниемия (связана с гипокальциемией и ги- покалиемией).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Чувство боли проходит по афферентным волокнам, свя</w:t>
        <w:softHyphen/>
        <w:t>занным с симпатическими ганглиями. У большинства здо</w:t>
        <w:softHyphen/>
        <w:t>ровых детей чувство нормального сердцебиения не ощуща</w:t>
        <w:softHyphen/>
        <w:t>ется.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анамнезе у детей с синусовой тахикардией могут отме</w:t>
        <w:softHyphen/>
        <w:t>чаться следующие признаки (симптомы):</w:t>
      </w:r>
    </w:p>
    <w:p>
      <w:pPr>
        <w:pStyle w:val="Style30"/>
        <w:numPr>
          <w:ilvl w:val="0"/>
          <w:numId w:val="15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Боль в груди.</w:t>
      </w:r>
    </w:p>
    <w:p>
      <w:pPr>
        <w:pStyle w:val="Style30"/>
        <w:numPr>
          <w:ilvl w:val="0"/>
          <w:numId w:val="159"/>
        </w:numPr>
        <w:tabs>
          <w:tab w:leader="none" w:pos="515" w:val="left"/>
        </w:tabs>
        <w:widowControl w:val="0"/>
        <w:keepNext w:val="0"/>
        <w:keepLines w:val="0"/>
        <w:shd w:val="clear" w:color="auto" w:fill="auto"/>
        <w:bidi w:val="0"/>
        <w:jc w:val="left"/>
        <w:spacing w:before="0" w:after="0"/>
        <w:ind w:left="500" w:right="0" w:hanging="220"/>
      </w:pPr>
      <w:r>
        <w:rPr>
          <w:lang w:val="ru-RU" w:eastAsia="ru-RU" w:bidi="ru-RU"/>
          <w:w w:val="100"/>
          <w:spacing w:val="0"/>
          <w:color w:val="000000"/>
          <w:position w:val="0"/>
        </w:rPr>
        <w:t>Учащенное сердцебиение, выскакивание его из груди или биение в ушах.</w:t>
      </w:r>
      <w:r>
        <w:br w:type="page"/>
      </w:r>
    </w:p>
    <w:p>
      <w:pPr>
        <w:framePr w:w="4723" w:h="3590" w:hSpace="63" w:wrap="notBeside" w:vAnchor="text" w:hAnchor="text" w:x="146" w:y="1"/>
        <w:widowControl w:val="0"/>
        <w:rPr>
          <w:sz w:val="2"/>
          <w:szCs w:val="2"/>
        </w:rPr>
      </w:pPr>
      <w:r>
        <w:pict>
          <v:shape id="_x0000_s1763" type="#_x0000_t75" style="width:236pt;height:180pt;">
            <v:imagedata r:id="rId1205" r:href="rId1206"/>
          </v:shape>
        </w:pict>
      </w:r>
    </w:p>
    <w:p>
      <w:pPr>
        <w:pStyle w:val="Style120"/>
        <w:framePr w:w="4824" w:h="825" w:hSpace="63" w:wrap="notBeside" w:vAnchor="text" w:hAnchor="text" w:x="64" w:y="3903"/>
        <w:widowControl w:val="0"/>
        <w:keepNext w:val="0"/>
        <w:keepLines w:val="0"/>
        <w:shd w:val="clear" w:color="auto" w:fill="auto"/>
        <w:bidi w:val="0"/>
        <w:spacing w:before="0" w:after="0"/>
        <w:ind w:left="0" w:right="0" w:firstLine="0"/>
      </w:pPr>
      <w:r>
        <w:rPr>
          <w:rStyle w:val="CharStyle125"/>
        </w:rPr>
        <w:t xml:space="preserve">Рис. 86. </w:t>
      </w:r>
      <w:r>
        <w:rPr>
          <w:lang w:val="ru-RU" w:eastAsia="ru-RU" w:bidi="ru-RU"/>
          <w:w w:val="100"/>
          <w:spacing w:val="0"/>
          <w:color w:val="000000"/>
          <w:position w:val="0"/>
        </w:rPr>
        <w:t>Синусовая тахикардия у ребенка 12 лет: частота сердечных сокращений 150 в мин, зубцы Р правильной (антероградной) кон</w:t>
        <w:softHyphen/>
        <w:t>фигурации, повышение электрической активности правого пред</w:t>
        <w:softHyphen/>
        <w:t>сердия, снижение процесса реполяризации в миокарде.</w:t>
      </w:r>
    </w:p>
    <w:p>
      <w:pPr>
        <w:widowControl w:val="0"/>
        <w:spacing w:line="540" w:lineRule="exact"/>
        <w:rPr>
          <w:sz w:val="24"/>
          <w:szCs w:val="24"/>
        </w:rPr>
      </w:pPr>
    </w:p>
    <w:p>
      <w:pPr>
        <w:framePr w:h="2582" w:wrap="notBeside" w:vAnchor="text" w:hAnchor="text" w:xAlign="center" w:y="1"/>
        <w:widowControl w:val="0"/>
        <w:jc w:val="center"/>
        <w:rPr>
          <w:sz w:val="2"/>
          <w:szCs w:val="2"/>
        </w:rPr>
      </w:pPr>
      <w:r>
        <w:pict>
          <v:shape id="_x0000_s1764" type="#_x0000_t75" style="width:237pt;height:129pt;">
            <v:imagedata r:id="rId1207" r:href="rId1208"/>
          </v:shape>
        </w:pict>
      </w:r>
    </w:p>
    <w:p>
      <w:pPr>
        <w:pStyle w:val="Style120"/>
        <w:framePr w:h="2582"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87. </w:t>
      </w:r>
      <w:r>
        <w:rPr>
          <w:lang w:val="ru-RU" w:eastAsia="ru-RU" w:bidi="ru-RU"/>
          <w:w w:val="100"/>
          <w:spacing w:val="0"/>
          <w:color w:val="000000"/>
          <w:position w:val="0"/>
        </w:rPr>
        <w:t>Стандартные и пищеводные отведения электрокардио</w:t>
        <w:softHyphen/>
        <w:t>граммы при синусовой тахикардии: в стандартных отведениях та</w:t>
        <w:softHyphen/>
        <w:t>хикардия 170 в мин, зубец Р не визуализируется. В пищеводных от</w:t>
        <w:softHyphen/>
        <w:t xml:space="preserve">ведениях </w:t>
      </w:r>
      <w:r>
        <w:rPr>
          <w:lang w:val="en-US" w:eastAsia="en-US" w:bidi="en-US"/>
          <w:w w:val="100"/>
          <w:spacing w:val="0"/>
          <w:color w:val="000000"/>
          <w:position w:val="0"/>
        </w:rPr>
        <w:t xml:space="preserve">(VE31) </w:t>
      </w:r>
      <w:r>
        <w:rPr>
          <w:lang w:val="ru-RU" w:eastAsia="ru-RU" w:bidi="ru-RU"/>
          <w:w w:val="100"/>
          <w:spacing w:val="0"/>
          <w:color w:val="000000"/>
          <w:position w:val="0"/>
        </w:rPr>
        <w:t>регистрируется правильной полярности зубец Р, предшествующий желудочковому комплексу.</w:t>
      </w:r>
    </w:p>
    <w:p>
      <w:pPr>
        <w:widowControl w:val="0"/>
        <w:rPr>
          <w:sz w:val="2"/>
          <w:szCs w:val="2"/>
        </w:rPr>
      </w:pP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антидепрессанты;</w:t>
      </w: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теофиллин;</w:t>
      </w: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средства, угнетающие аппетит.</w:t>
      </w:r>
    </w:p>
    <w:p>
      <w:pPr>
        <w:pStyle w:val="Style30"/>
        <w:numPr>
          <w:ilvl w:val="0"/>
          <w:numId w:val="15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Аллергия в анамнезе.</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Наличие в семейном анамнезе внезапной смерти или сердечных заболеваний.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Физикальные данные</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Изменение окраски кожных покровов (резкое по</w:t>
        <w:softHyphen/>
        <w:t>бледнение или, наоборот, покраснение).</w:t>
      </w:r>
    </w:p>
    <w:p>
      <w:pPr>
        <w:pStyle w:val="Style30"/>
        <w:numPr>
          <w:ilvl w:val="0"/>
          <w:numId w:val="15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Снижение температуры тела.</w:t>
      </w:r>
    </w:p>
    <w:p>
      <w:pPr>
        <w:pStyle w:val="Style30"/>
        <w:numPr>
          <w:ilvl w:val="0"/>
          <w:numId w:val="15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Учащенное дыхание.</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Давление может быть пониженным или сниженным в зависимости от причины, вызвавшей синусовую та</w:t>
        <w:softHyphen/>
        <w:t>хикардию.</w:t>
      </w:r>
    </w:p>
    <w:p>
      <w:pPr>
        <w:pStyle w:val="Style30"/>
        <w:numPr>
          <w:ilvl w:val="0"/>
          <w:numId w:val="15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Признаки застойной сердечной недостаточности:</w:t>
      </w: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обморок;</w:t>
      </w: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плохая перфузия;</w:t>
      </w: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увеличенная печень;</w:t>
      </w: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отек;</w:t>
      </w: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цианоз;</w:t>
      </w: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заторможенность сознания.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Лабораторные исследования</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Электролиты, особенно калий, глюкоза сыворотки крови, кальций и магний.</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Общеклинический анализ крови — исключение вос</w:t>
        <w:softHyphen/>
        <w:t>палительных изменений (ревматизм, миокардит).</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Токсикология — при подозрении на отравление ле</w:t>
        <w:softHyphen/>
        <w:t>карственными препаратами и другими химическими соединениями.</w:t>
      </w:r>
    </w:p>
    <w:p>
      <w:pPr>
        <w:pStyle w:val="Style30"/>
        <w:numPr>
          <w:ilvl w:val="0"/>
          <w:numId w:val="15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Газы артериальной крови.</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Тесты функции щитовидной железы — исключение тиреотоксикоза.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Инструментальная диагностика</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ЭКГ с 12 отведениями — исключение эктопической аритмии:</w:t>
      </w: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увеличение частоты синусового ритма;</w:t>
      </w: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зубец Р правильной (антероградной) конфигура</w:t>
        <w:softHyphen/>
        <w:t>ции;</w:t>
      </w: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может отмечаться увеличение амплитуды зубца Р (повышенная нагрузка на правое предсердие) (рис. 86);</w:t>
      </w: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при очень частом ритме зубец Р может сливаться с зубцом Т; синусовый характер тахикардии в таких случаях может быть подтвержден с помощью пи</w:t>
        <w:softHyphen/>
        <w:t>щеводных отведений ЭКГ (рис. 87);</w:t>
      </w:r>
    </w:p>
    <w:p>
      <w:pPr>
        <w:pStyle w:val="Style30"/>
        <w:numPr>
          <w:ilvl w:val="0"/>
          <w:numId w:val="161"/>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длительная синусовая тахикардия приводит к из</w:t>
        <w:softHyphen/>
        <w:t xml:space="preserve">менениям процесса реполяризации (уплощение зубца Т, депрессия сегмента </w:t>
      </w:r>
      <w:r>
        <w:rPr>
          <w:lang w:val="en-US" w:eastAsia="en-US" w:bidi="en-US"/>
          <w:w w:val="100"/>
          <w:spacing w:val="0"/>
          <w:color w:val="000000"/>
          <w:position w:val="0"/>
        </w:rPr>
        <w:t>ST).</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Рентгенография грудной клетки (в переднезадней и боковой проекциях) — исключение органического заболевания сердца.</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Эхокардиограмма — исключение органической пато - логии сердца.</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Холтеровское мониторирование — исключение экто - пической аритмии.</w:t>
      </w:r>
    </w:p>
    <w:p>
      <w:pPr>
        <w:pStyle w:val="Style30"/>
        <w:numPr>
          <w:ilvl w:val="0"/>
          <w:numId w:val="159"/>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Электрофизиологическое тестирование.</w:t>
      </w:r>
    </w:p>
    <w:p>
      <w:pPr>
        <w:pStyle w:val="Style92"/>
        <w:widowControl w:val="0"/>
        <w:keepNext/>
        <w:keepLines/>
        <w:shd w:val="clear" w:color="auto" w:fill="auto"/>
        <w:bidi w:val="0"/>
        <w:spacing w:before="0" w:after="0"/>
        <w:ind w:left="0" w:right="0" w:firstLine="280"/>
      </w:pPr>
      <w:bookmarkStart w:id="786" w:name="bookmark786"/>
      <w:r>
        <w:rPr>
          <w:lang w:val="ru-RU" w:eastAsia="ru-RU" w:bidi="ru-RU"/>
          <w:w w:val="100"/>
          <w:spacing w:val="0"/>
          <w:color w:val="000000"/>
          <w:position w:val="0"/>
        </w:rPr>
        <w:t>Лечение</w:t>
      </w:r>
      <w:bookmarkEnd w:id="786"/>
    </w:p>
    <w:p>
      <w:pPr>
        <w:pStyle w:val="Style30"/>
        <w:widowControl w:val="0"/>
        <w:keepNext w:val="0"/>
        <w:keepLines w:val="0"/>
        <w:shd w:val="clear" w:color="auto" w:fill="auto"/>
        <w:bidi w:val="0"/>
        <w:spacing w:before="0" w:after="0"/>
        <w:ind w:left="0" w:right="0" w:firstLine="280"/>
      </w:pPr>
      <w:r>
        <w:pict>
          <v:shape id="_x0000_s1765" type="#_x0000_t75" style="position:absolute;margin-left:135.35pt;margin-top:736.55pt;width:209.75pt;height:14.9pt;z-index:-125828859;mso-wrap-distance-left:133.2pt;mso-wrap-distance-right:148.1pt;mso-wrap-distance-bottom:10.8pt;mso-position-horizontal-relative:margin;mso-position-vertical-relative:margin" wrapcoords="0 0 21600 0 21600 21600 0 21600 0 0">
            <v:imagedata r:id="rId1209" r:href="rId1210"/>
            <w10:wrap type="topAndBottom" anchorx="margin" anchory="margin"/>
          </v:shape>
        </w:pict>
      </w:r>
      <w:r>
        <w:rPr>
          <w:lang w:val="ru-RU" w:eastAsia="ru-RU" w:bidi="ru-RU"/>
          <w:w w:val="100"/>
          <w:spacing w:val="0"/>
          <w:color w:val="000000"/>
          <w:position w:val="0"/>
        </w:rPr>
        <w:t>Лечение зависит от состояния пациента и этиологии та</w:t>
        <w:softHyphen/>
        <w:t>хикардии. Ребенок, находящийся в тяжелом состоянии с тахикардией, требует быстрой оценки на наличие гипо- ксемии, шока, гипогликемии или жизнеугрожающей диз- ритмии.</w:t>
      </w:r>
      <w:r>
        <w:br w:type="page"/>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Прямое лечение синусовой тахикардии:</w:t>
      </w:r>
    </w:p>
    <w:p>
      <w:pPr>
        <w:pStyle w:val="Style30"/>
        <w:numPr>
          <w:ilvl w:val="0"/>
          <w:numId w:val="159"/>
        </w:numPr>
        <w:tabs>
          <w:tab w:leader="none" w:pos="8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Пациенты без симптомов или с сердечной недо</w:t>
        <w:softHyphen/>
        <w:t>статочностью легкой степени:</w:t>
      </w:r>
    </w:p>
    <w:p>
      <w:pPr>
        <w:pStyle w:val="Style30"/>
        <w:numPr>
          <w:ilvl w:val="0"/>
          <w:numId w:val="161"/>
        </w:numPr>
        <w:tabs>
          <w:tab w:leader="none" w:pos="93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лед на лицо и другие воздействия на блуждающий нерв — рефлекс ныряния вызывает сужение пери</w:t>
        <w:softHyphen/>
        <w:t>ферических сосудов и вагусно опосредует сниже</w:t>
        <w:softHyphen/>
        <w:t>ние сердечного выброса;</w:t>
      </w:r>
    </w:p>
    <w:p>
      <w:pPr>
        <w:pStyle w:val="Style30"/>
        <w:numPr>
          <w:ilvl w:val="0"/>
          <w:numId w:val="161"/>
        </w:numPr>
        <w:tabs>
          <w:tab w:leader="none" w:pos="947"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аденозин — укол 0,05-0,1 мг/кг быстро внутри</w:t>
        <w:softHyphen/>
        <w:t>венно; дозу можно увеличить на 0,05 мг/кг до мак</w:t>
        <w:softHyphen/>
        <w:t>симальной 0,25 мг/кг. Осложнения включают: бро- нохоспазм (относительное противопоказание у па</w:t>
        <w:softHyphen/>
        <w:t>циентов, страдающих астмой), брадикардию, го</w:t>
        <w:softHyphen/>
        <w:t>ловные боли, одышку, головокружение и тошноту;</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пропранолол — 1 мг/кг/доза п/о каждые 6 ч.</w:t>
      </w:r>
    </w:p>
    <w:p>
      <w:pPr>
        <w:pStyle w:val="Style30"/>
        <w:numPr>
          <w:ilvl w:val="0"/>
          <w:numId w:val="159"/>
        </w:numPr>
        <w:tabs>
          <w:tab w:leader="none" w:pos="8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Пациенты, у которых синусовый ритм сопровож</w:t>
        <w:softHyphen/>
        <w:t>дается сердечной недостаточностью средней сте</w:t>
        <w:softHyphen/>
        <w:t>пени тяжести:</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лед и воздействие на блуждающий нерв;</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аденозин в/в;</w:t>
      </w:r>
    </w:p>
    <w:p>
      <w:pPr>
        <w:pStyle w:val="Style30"/>
        <w:numPr>
          <w:ilvl w:val="0"/>
          <w:numId w:val="161"/>
        </w:numPr>
        <w:tabs>
          <w:tab w:leader="none" w:pos="947"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электрокардиостимуляция (пищеводная или вну</w:t>
        <w:softHyphen/>
        <w:t>трисердечная);</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дигоксин в/в;</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прокаинамид 7-15 мг/кг в/в в течение 30 мин;</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кардиоверсия, синхронизированная — 0,5 Дж/кг.</w:t>
      </w:r>
    </w:p>
    <w:p>
      <w:pPr>
        <w:pStyle w:val="Style30"/>
        <w:numPr>
          <w:ilvl w:val="0"/>
          <w:numId w:val="159"/>
        </w:numPr>
        <w:tabs>
          <w:tab w:leader="none" w:pos="8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Пациенты, у которых синусовый ритм сопровож</w:t>
        <w:softHyphen/>
        <w:t>дается сердечной недостаточностью тяжелой сте</w:t>
        <w:softHyphen/>
        <w:t>пени:</w:t>
      </w:r>
    </w:p>
    <w:p>
      <w:pPr>
        <w:pStyle w:val="Style30"/>
        <w:numPr>
          <w:ilvl w:val="0"/>
          <w:numId w:val="161"/>
        </w:numPr>
        <w:tabs>
          <w:tab w:leader="none" w:pos="1100"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кардиоверсия, синхронизированная — 0,5-1,0 Дж/кг;</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аденозин в/в (см. выше);</w:t>
      </w:r>
    </w:p>
    <w:p>
      <w:pPr>
        <w:pStyle w:val="Style30"/>
        <w:numPr>
          <w:ilvl w:val="0"/>
          <w:numId w:val="161"/>
        </w:numPr>
        <w:tabs>
          <w:tab w:leader="none" w:pos="947"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электрокардиостимуляция (пищеводная или вну</w:t>
        <w:softHyphen/>
        <w:t>трисердечная);</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дигоксин в/в;</w:t>
      </w:r>
    </w:p>
    <w:p>
      <w:pPr>
        <w:pStyle w:val="Style30"/>
        <w:numPr>
          <w:ilvl w:val="0"/>
          <w:numId w:val="161"/>
        </w:numPr>
        <w:tabs>
          <w:tab w:leader="none" w:pos="934" w:val="left"/>
        </w:tabs>
        <w:widowControl w:val="0"/>
        <w:keepNext w:val="0"/>
        <w:keepLines w:val="0"/>
        <w:shd w:val="clear" w:color="auto" w:fill="auto"/>
        <w:bidi w:val="0"/>
        <w:jc w:val="left"/>
        <w:spacing w:before="0" w:after="0"/>
        <w:ind w:left="280" w:right="0" w:firstLine="460"/>
      </w:pPr>
      <w:r>
        <w:rPr>
          <w:lang w:val="ru-RU" w:eastAsia="ru-RU" w:bidi="ru-RU"/>
          <w:w w:val="100"/>
          <w:spacing w:val="0"/>
          <w:color w:val="000000"/>
          <w:position w:val="0"/>
        </w:rPr>
        <w:t>прокаинамид 7-15 мг/кг в/в в течение 30 мин. Прогноз</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Определяется основным заболеванием.</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При синусовой тахикардии, обусловленной гипердинами</w:t>
        <w:softHyphen/>
        <w:t>ческой сердечной деятельностью, прогноз благоприятный.</w:t>
      </w:r>
    </w:p>
    <w:p>
      <w:pPr>
        <w:pStyle w:val="Style28"/>
        <w:widowControl w:val="0"/>
        <w:keepNext/>
        <w:keepLines/>
        <w:shd w:val="clear" w:color="auto" w:fill="auto"/>
        <w:bidi w:val="0"/>
        <w:jc w:val="left"/>
        <w:spacing w:before="0" w:after="157" w:line="220" w:lineRule="exact"/>
        <w:ind w:left="0" w:right="0" w:firstLine="0"/>
      </w:pPr>
      <w:bookmarkStart w:id="787" w:name="bookmark787"/>
      <w:r>
        <w:rPr>
          <w:lang w:val="ru-RU" w:eastAsia="ru-RU" w:bidi="ru-RU"/>
          <w:w w:val="100"/>
          <w:spacing w:val="0"/>
          <w:color w:val="000000"/>
          <w:position w:val="0"/>
        </w:rPr>
        <w:t>Синусовая брадикардия</w:t>
      </w:r>
      <w:bookmarkEnd w:id="78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Синусовую брадикардию можно определить как синусо</w:t>
        <w:softHyphen/>
        <w:t>вый ритм с ЧСС в состоянии покоя 60 уд/мин или менее. Од</w:t>
        <w:softHyphen/>
        <w:t>нако мало пациентов действительно становятся симптома</w:t>
        <w:softHyphen/>
        <w:t>тичными только после того, как их ЧСС упадет не менее чем 50 уд/мин. Потенциал действия, ответственный за этот ритм, возникает из синусового узла и вызывает зубец Р на ЭКГ, ко</w:t>
        <w:softHyphen/>
        <w:t xml:space="preserve">торый нормален как по амплитуде, так и по вектору. За этими зубцами Р типично следуют нормальный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и зу</w:t>
        <w:softHyphen/>
        <w:t>бец Т.</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Причины</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Наиболее распространенной причиной симптомати</w:t>
        <w:softHyphen/>
        <w:t>ческой синусовой брадикардии является синдром слабости синусового узла.</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Среди наиболее распространенных лекарственных средств, ответственных за данное состояние, нахо</w:t>
        <w:softHyphen/>
        <w:t>дятся: гликозиды наперстянки, в-блокаторы и блока</w:t>
        <w:softHyphen/>
        <w:t>торы кальциевых каналов в терапевтических и сверх</w:t>
        <w:softHyphen/>
        <w:t>терапевтических дозах.</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Другие сердечные лекарственные средства, которые реже связаны с данным состоянием, включают: про</w:t>
        <w:softHyphen/>
        <w:t xml:space="preserve">тивоаритмические препараты </w:t>
      </w:r>
      <w:r>
        <w:rPr>
          <w:lang w:val="en-US" w:eastAsia="en-US" w:bidi="en-US"/>
          <w:w w:val="100"/>
          <w:spacing w:val="0"/>
          <w:color w:val="000000"/>
          <w:position w:val="0"/>
        </w:rPr>
        <w:t xml:space="preserve">I </w:t>
      </w:r>
      <w:r>
        <w:rPr>
          <w:lang w:val="ru-RU" w:eastAsia="ru-RU" w:bidi="ru-RU"/>
          <w:w w:val="100"/>
          <w:spacing w:val="0"/>
          <w:color w:val="000000"/>
          <w:position w:val="0"/>
        </w:rPr>
        <w:t>класса и амиодарон.</w:t>
      </w:r>
    </w:p>
    <w:p>
      <w:pPr>
        <w:pStyle w:val="Style30"/>
        <w:numPr>
          <w:ilvl w:val="0"/>
          <w:numId w:val="159"/>
        </w:numPr>
        <w:tabs>
          <w:tab w:leader="none" w:pos="240" w:val="left"/>
        </w:tabs>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Причиной брадикардии может быть широкое разно</w:t>
        <w:softHyphen/>
        <w:t>образие других лекарственных средств, включая ли</w:t>
        <w:softHyphen/>
        <w:t>тий, паклитаксел, толуол, диметил сульфоксид (ДМСО), ацетилхолин для местного офтальмологи</w:t>
        <w:softHyphen/>
        <w:t>ческого применения, фентанил, альфентанил, суфен- танил, резерпин и клонидин.</w:t>
      </w:r>
    </w:p>
    <w:p>
      <w:pPr>
        <w:pStyle w:val="Style30"/>
        <w:numPr>
          <w:ilvl w:val="0"/>
          <w:numId w:val="15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Синусовая брадикардия также может наблюдаться при гипотермии, гипогликемии и апноэ во сне.</w:t>
      </w:r>
    </w:p>
    <w:p>
      <w:pPr>
        <w:pStyle w:val="Style30"/>
        <w:numPr>
          <w:ilvl w:val="0"/>
          <w:numId w:val="15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Синусовая брадикардия может возникнуть вслед</w:t>
        <w:softHyphen/>
        <w:t>ствие дифтерии, ревматической атаки или вирусного миокардита.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Патофизиология</w:t>
      </w:r>
    </w:p>
    <w:p>
      <w:pPr>
        <w:pStyle w:val="Style30"/>
        <w:numPr>
          <w:ilvl w:val="0"/>
          <w:numId w:val="15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Патофизиология синусовой брадикардии зависит от лежащей в основе причины. Как правило, синусовая брадикардия является случайной находкой у практи</w:t>
        <w:softHyphen/>
        <w:t>чески здоровых лиц, особенно у пациентов молодого возраста, или во время сна. Другие причины синусо</w:t>
        <w:softHyphen/>
        <w:t>вой брадикардии связаны с усиленным тоном блуж</w:t>
        <w:softHyphen/>
        <w:t>дающего нерва.</w:t>
      </w:r>
    </w:p>
    <w:p>
      <w:pPr>
        <w:pStyle w:val="Style30"/>
        <w:numPr>
          <w:ilvl w:val="0"/>
          <w:numId w:val="15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Физиологические причины повышенного вагусного тона включают брадикардию, наблюдаемую у спорт</w:t>
        <w:softHyphen/>
        <w:t>сменов.</w:t>
      </w:r>
    </w:p>
    <w:p>
      <w:pPr>
        <w:pStyle w:val="Style30"/>
        <w:numPr>
          <w:ilvl w:val="0"/>
          <w:numId w:val="15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Патологические причины включают инфаркт мио</w:t>
        <w:softHyphen/>
        <w:t>карда нижней стенки, воздействие токсических ве</w:t>
        <w:softHyphen/>
        <w:t>ществ или факторов окружающей среды, электролит</w:t>
        <w:softHyphen/>
        <w:t>ные нарушения, приступы апноэ во сне, влияние ле</w:t>
        <w:softHyphen/>
        <w:t>карственных средств, гипогликемию, гипотиреоз и повышенное внутричерепное давление.</w:t>
      </w:r>
    </w:p>
    <w:p>
      <w:pPr>
        <w:pStyle w:val="Style30"/>
        <w:numPr>
          <w:ilvl w:val="0"/>
          <w:numId w:val="15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Синусовая брадикардия может быть также вызвана синдромом слабости синусового узла, который при</w:t>
        <w:softHyphen/>
        <w:t>водит к дисфункции и неспособности синусового уз</w:t>
        <w:softHyphen/>
        <w:t>ла вырабатывать или проводить потенциал действия к предсердиям. Синдром слабости синусового узла включает разнообразные нарушения и патологичес</w:t>
        <w:softHyphen/>
        <w:t>кие процессы, которые группируются в один синд</w:t>
        <w:softHyphen/>
        <w:t>ром. Этот синдром включает признаки и симптомы, связанные с церебральной гиперперфузией, в ассо</w:t>
        <w:softHyphen/>
        <w:t>циации с синусовой брадикардией, остановку синуса, синоатриальную (СА) блокаду, каротидную гиперчув</w:t>
        <w:softHyphen/>
        <w:t>ствительность или перемежающиеся приступы бра</w:t>
        <w:softHyphen/>
        <w:t>дикардии и тахикардии.</w:t>
      </w:r>
    </w:p>
    <w:p>
      <w:pPr>
        <w:pStyle w:val="Style30"/>
        <w:numPr>
          <w:ilvl w:val="0"/>
          <w:numId w:val="15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СА блокада происходит, когда СА узел не приводит к однообразному возбуждению предсердий. СА бло</w:t>
        <w:softHyphen/>
        <w:t>када может быть связана с аномальной внутренней узловой функцией, неспособностью СА соединения или неспособностью прохождения в окружающих тканях. Тремя видами СА блокады являются блокады первой, второй и третьей степеней.</w:t>
      </w:r>
    </w:p>
    <w:p>
      <w:pPr>
        <w:pStyle w:val="Style30"/>
        <w:numPr>
          <w:ilvl w:val="0"/>
          <w:numId w:val="159"/>
        </w:numPr>
        <w:tabs>
          <w:tab w:leader="none" w:pos="240" w:val="left"/>
        </w:tabs>
        <w:widowControl w:val="0"/>
        <w:keepNext w:val="0"/>
        <w:keepLines w:val="0"/>
        <w:shd w:val="clear" w:color="auto" w:fill="auto"/>
        <w:bidi w:val="0"/>
        <w:spacing w:before="0" w:after="0"/>
        <w:ind w:left="260" w:right="0"/>
      </w:pPr>
      <w:r>
        <w:pict>
          <v:shape id="_x0000_s1766" type="#_x0000_t75" style="position:absolute;margin-left:148.3pt;margin-top:736.55pt;width:209.75pt;height:14.9pt;z-index:-125828858;mso-wrap-distance-left:147.85pt;mso-wrap-distance-right:136.8pt;mso-wrap-distance-bottom:10.8pt;mso-position-horizontal-relative:margin;mso-position-vertical-relative:margin" wrapcoords="0 0 21600 0 21600 21600 0 21600 0 0">
            <v:imagedata r:id="rId1211" r:href="rId1212"/>
            <w10:wrap type="topAndBottom" anchorx="margin" anchory="margin"/>
          </v:shape>
        </w:pict>
      </w:r>
      <w:r>
        <w:rPr>
          <w:lang w:val="ru-RU" w:eastAsia="ru-RU" w:bidi="ru-RU"/>
          <w:w w:val="100"/>
          <w:spacing w:val="0"/>
          <w:color w:val="000000"/>
          <w:position w:val="0"/>
        </w:rPr>
        <w:t>СА блокады как первой, так и третьей степени обыч</w:t>
        <w:softHyphen/>
        <w:t>но не диагностируются на поверхностной ЭКГ. СА блокада первой степени характеризуется замедлени</w:t>
        <w:softHyphen/>
        <w:t>ем (задержкой) распространения потенциала дей</w:t>
        <w:softHyphen/>
        <w:t>ствия от СА узла к предсердиям. В отличие от атрио</w:t>
        <w:softHyphen/>
        <w:t>вентрикулярной (АВ) блокады первой степени, это отставание не отражается на поверхностной ЭКГ. При СА блокаде третьей степени (или полной) поверхностная ЭКГ идентична таковой при останов</w:t>
        <w:softHyphen/>
        <w:t>ке синуса, при отсутствии зубцов Р. СА блокада вто</w:t>
        <w:softHyphen/>
        <w:t>рой степени характеризуется случайным выпадением зубца Р, отражая неспособность СА узла непрерывно проводить распространяющийся потенциал к окру</w:t>
        <w:softHyphen/>
        <w:t>жающему миокарду.</w:t>
      </w:r>
      <w:r>
        <w:br w:type="page"/>
      </w:r>
    </w:p>
    <w:p>
      <w:pPr>
        <w:framePr w:w="4819" w:h="3298" w:hSpace="15" w:wrap="notBeside" w:vAnchor="text" w:hAnchor="text" w:x="21" w:y="1"/>
        <w:widowControl w:val="0"/>
        <w:rPr>
          <w:sz w:val="2"/>
          <w:szCs w:val="2"/>
        </w:rPr>
      </w:pPr>
      <w:r>
        <w:pict>
          <v:shape id="_x0000_s1767" type="#_x0000_t75" style="width:241pt;height:165pt;">
            <v:imagedata r:id="rId1213" r:href="rId1214"/>
          </v:shape>
        </w:pict>
      </w:r>
    </w:p>
    <w:p>
      <w:pPr>
        <w:pStyle w:val="Style120"/>
        <w:framePr w:w="4829" w:h="633" w:hSpace="15" w:wrap="notBeside" w:vAnchor="text" w:hAnchor="text" w:x="16" w:y="3653"/>
        <w:widowControl w:val="0"/>
        <w:keepNext w:val="0"/>
        <w:keepLines w:val="0"/>
        <w:shd w:val="clear" w:color="auto" w:fill="auto"/>
        <w:bidi w:val="0"/>
        <w:spacing w:before="0" w:after="0"/>
        <w:ind w:left="0" w:right="0" w:firstLine="0"/>
      </w:pPr>
      <w:r>
        <w:rPr>
          <w:rStyle w:val="CharStyle125"/>
        </w:rPr>
        <w:t xml:space="preserve">Рис. 88. </w:t>
      </w:r>
      <w:r>
        <w:rPr>
          <w:lang w:val="ru-RU" w:eastAsia="ru-RU" w:bidi="ru-RU"/>
          <w:w w:val="100"/>
          <w:spacing w:val="0"/>
          <w:color w:val="000000"/>
          <w:position w:val="0"/>
        </w:rPr>
        <w:t>Синусовая брадикардия: урежение частоты синусового ритма до 40 в мин, форма зубцов Р не изменена, неполная блокада правой ножки пучка Гиса.</w:t>
      </w:r>
    </w:p>
    <w:p>
      <w:pPr>
        <w:widowControl w:val="0"/>
        <w:rPr>
          <w:sz w:val="2"/>
          <w:szCs w:val="2"/>
        </w:rPr>
      </w:pPr>
    </w:p>
    <w:p>
      <w:pPr>
        <w:pStyle w:val="Style92"/>
        <w:widowControl w:val="0"/>
        <w:keepNext/>
        <w:keepLines/>
        <w:shd w:val="clear" w:color="auto" w:fill="auto"/>
        <w:bidi w:val="0"/>
        <w:spacing w:before="617" w:after="0"/>
        <w:ind w:left="500" w:right="0" w:hanging="220"/>
      </w:pPr>
      <w:bookmarkStart w:id="788" w:name="bookmark788"/>
      <w:r>
        <w:rPr>
          <w:lang w:val="ru-RU" w:eastAsia="ru-RU" w:bidi="ru-RU"/>
          <w:w w:val="100"/>
          <w:spacing w:val="0"/>
          <w:color w:val="000000"/>
          <w:position w:val="0"/>
        </w:rPr>
        <w:t>Анамнез, клиническая симптоматика</w:t>
      </w:r>
      <w:bookmarkEnd w:id="788"/>
    </w:p>
    <w:p>
      <w:pPr>
        <w:pStyle w:val="Style30"/>
        <w:numPr>
          <w:ilvl w:val="0"/>
          <w:numId w:val="15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Синусовая брадикардия чаще всего носит бессимп</w:t>
        <w:softHyphen/>
        <w:t>томный характер.</w:t>
      </w:r>
    </w:p>
    <w:p>
      <w:pPr>
        <w:pStyle w:val="Style30"/>
        <w:numPr>
          <w:ilvl w:val="0"/>
          <w:numId w:val="15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Обморок (потеря сознания).</w:t>
      </w:r>
    </w:p>
    <w:p>
      <w:pPr>
        <w:pStyle w:val="Style30"/>
        <w:numPr>
          <w:ilvl w:val="0"/>
          <w:numId w:val="15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Головокружение.</w:t>
      </w:r>
    </w:p>
    <w:p>
      <w:pPr>
        <w:pStyle w:val="Style30"/>
        <w:numPr>
          <w:ilvl w:val="0"/>
          <w:numId w:val="15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Боль в груди.</w:t>
      </w:r>
    </w:p>
    <w:p>
      <w:pPr>
        <w:pStyle w:val="Style30"/>
        <w:numPr>
          <w:ilvl w:val="0"/>
          <w:numId w:val="15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Одышка.</w: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В анамнезе у больных синусовой брадикардией могут от</w:t>
        <w:softHyphen/>
        <w:t>мечаться следующие данные:</w:t>
      </w:r>
    </w:p>
    <w:p>
      <w:pPr>
        <w:pStyle w:val="Style30"/>
        <w:numPr>
          <w:ilvl w:val="0"/>
          <w:numId w:val="15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Наличие в анамнезе сердечных заболеваний (на</w:t>
        <w:softHyphen/>
        <w:t>пример, инфаркт миокарда, застойная сердечная недостаточность, клапанная недостаточность.)</w:t>
      </w:r>
    </w:p>
    <w:p>
      <w:pPr>
        <w:pStyle w:val="Style30"/>
        <w:numPr>
          <w:ilvl w:val="0"/>
          <w:numId w:val="15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Длительный прием лекарственных средств.</w:t>
      </w:r>
    </w:p>
    <w:p>
      <w:pPr>
        <w:pStyle w:val="Style30"/>
        <w:numPr>
          <w:ilvl w:val="0"/>
          <w:numId w:val="15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Воздействие токсических веществ.</w:t>
      </w:r>
    </w:p>
    <w:p>
      <w:pPr>
        <w:pStyle w:val="Style30"/>
        <w:numPr>
          <w:ilvl w:val="0"/>
          <w:numId w:val="159"/>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Предыдущие заболевания.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Физикальные данные</w:t>
      </w:r>
    </w:p>
    <w:p>
      <w:pPr>
        <w:pStyle w:val="Style30"/>
        <w:numPr>
          <w:ilvl w:val="0"/>
          <w:numId w:val="15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выслушивании сердца и пальпации перифериче - ского пульса выявляется медленная регулярная ЧСС.</w:t>
      </w:r>
    </w:p>
    <w:p>
      <w:pPr>
        <w:pStyle w:val="Style30"/>
        <w:numPr>
          <w:ilvl w:val="0"/>
          <w:numId w:val="15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Физикальное обследование, как правило, неспеци</w:t>
        <w:softHyphen/>
        <w:t>фично, хотя оно может выявить следующие признаки:</w:t>
      </w:r>
    </w:p>
    <w:p>
      <w:pPr>
        <w:pStyle w:val="Style30"/>
        <w:numPr>
          <w:ilvl w:val="0"/>
          <w:numId w:val="161"/>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сниженный уровень сознания;</w:t>
      </w:r>
    </w:p>
    <w:p>
      <w:pPr>
        <w:pStyle w:val="Style30"/>
        <w:numPr>
          <w:ilvl w:val="0"/>
          <w:numId w:val="161"/>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цианоз (синюшность кожных покровов);</w:t>
      </w:r>
    </w:p>
    <w:p>
      <w:pPr>
        <w:pStyle w:val="Style30"/>
        <w:numPr>
          <w:ilvl w:val="0"/>
          <w:numId w:val="161"/>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Периферические отеки;</w:t>
      </w:r>
    </w:p>
    <w:p>
      <w:pPr>
        <w:pStyle w:val="Style30"/>
        <w:numPr>
          <w:ilvl w:val="0"/>
          <w:numId w:val="161"/>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застойные хрипы в легких;</w:t>
      </w:r>
    </w:p>
    <w:p>
      <w:pPr>
        <w:pStyle w:val="Style30"/>
        <w:numPr>
          <w:ilvl w:val="0"/>
          <w:numId w:val="161"/>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одышка;</w:t>
      </w:r>
    </w:p>
    <w:p>
      <w:pPr>
        <w:pStyle w:val="Style30"/>
        <w:numPr>
          <w:ilvl w:val="0"/>
          <w:numId w:val="161"/>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плохая перфузия.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Лабораторные исследования</w:t>
      </w:r>
    </w:p>
    <w:p>
      <w:pPr>
        <w:pStyle w:val="Style30"/>
        <w:numPr>
          <w:ilvl w:val="0"/>
          <w:numId w:val="15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Лабораторные исследования могут оказаться полез</w:t>
        <w:softHyphen/>
        <w:t>ными, если считается, что причина брадикардии свя</w:t>
        <w:softHyphen/>
        <w:t>зана с электролитными нарушениями, приемом ле</w:t>
        <w:softHyphen/>
        <w:t>карственных средств или токсинов. У пациентов с синдромом слабости синусового узла результаты ру</w:t>
        <w:softHyphen/>
        <w:t>тинных лабораторных исследований редко представ</w:t>
        <w:softHyphen/>
        <w:t>ляют специфическую ценность.</w:t>
      </w:r>
    </w:p>
    <w:p>
      <w:pPr>
        <w:pStyle w:val="Style30"/>
        <w:numPr>
          <w:ilvl w:val="0"/>
          <w:numId w:val="159"/>
        </w:numPr>
        <w:tabs>
          <w:tab w:leader="none" w:pos="519"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Целесообразные скрининговые исследования, осо</w:t>
        <w:softHyphen/>
        <w:t>бенно если пациент симптоматичен и это его первое обращение, включают следующее:</w:t>
      </w:r>
    </w:p>
    <w:p>
      <w:pPr>
        <w:pStyle w:val="Style30"/>
        <w:numPr>
          <w:ilvl w:val="0"/>
          <w:numId w:val="161"/>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электролиты;</w:t>
      </w:r>
    </w:p>
    <w:p>
      <w:pPr>
        <w:pStyle w:val="Style30"/>
        <w:numPr>
          <w:ilvl w:val="0"/>
          <w:numId w:val="161"/>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глюкоза;</w:t>
      </w:r>
    </w:p>
    <w:p>
      <w:pPr>
        <w:pStyle w:val="Style30"/>
        <w:numPr>
          <w:ilvl w:val="0"/>
          <w:numId w:val="161"/>
        </w:numPr>
        <w:tabs>
          <w:tab w:leader="none" w:pos="513" w:val="left"/>
        </w:tabs>
        <w:widowControl w:val="0"/>
        <w:keepNext w:val="0"/>
        <w:keepLines w:val="0"/>
        <w:shd w:val="clear" w:color="auto" w:fill="auto"/>
        <w:bidi w:val="0"/>
        <w:spacing w:before="0" w:after="0"/>
        <w:ind w:left="280" w:right="0" w:firstLine="0"/>
      </w:pPr>
      <w:r>
        <w:br w:type="column"/>
      </w:r>
      <w:r>
        <w:rPr>
          <w:lang w:val="ru-RU" w:eastAsia="ru-RU" w:bidi="ru-RU"/>
          <w:w w:val="100"/>
          <w:spacing w:val="0"/>
          <w:color w:val="000000"/>
          <w:position w:val="0"/>
        </w:rPr>
        <w:t>кальций;</w:t>
      </w:r>
    </w:p>
    <w:p>
      <w:pPr>
        <w:pStyle w:val="Style30"/>
        <w:numPr>
          <w:ilvl w:val="0"/>
          <w:numId w:val="16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магний;</w:t>
      </w:r>
    </w:p>
    <w:p>
      <w:pPr>
        <w:pStyle w:val="Style30"/>
        <w:numPr>
          <w:ilvl w:val="0"/>
          <w:numId w:val="16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тест функции щитовидной железы;</w:t>
      </w:r>
    </w:p>
    <w:p>
      <w:pPr>
        <w:pStyle w:val="Style30"/>
        <w:numPr>
          <w:ilvl w:val="0"/>
          <w:numId w:val="161"/>
        </w:numPr>
        <w:tabs>
          <w:tab w:leader="none" w:pos="513"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токсикологические исследования.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отсутствии специфических показаний результа</w:t>
        <w:softHyphen/>
        <w:t>ты рутинных исследований, как правило, информа</w:t>
        <w:softHyphen/>
        <w:t>ционной ценностью не обладают.</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 (рис. 88):</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Регистрируется урежение синусового ритма, форма зубцов Р и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не изменена</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Нижние значения ЧСС для детей различного возрас</w:t>
        <w:softHyphen/>
        <w:t>та представлены в таблице</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Обычно за нижние значения ЧСС у детей первых ме - сяцев жизни принимают 100 уд/мин, у дошкольни</w:t>
        <w:softHyphen/>
        <w:t>ков — 80 уд/мин, у школьников — 60 уд/мин.</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Догоспитальная помощь</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Внутривенный доступ, дополнительно кислород, сердечный мониторинг.</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симптоматичных пациентов можно использовать внутривенно атропин.</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редких случаях может потребоваться чрезкожная электрокардиостимуляция.</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Отделение неотложной терапии:</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 в ОИТ должно первым делом обеспечить быструю стабилизацию состояния пациента. Затем необходимо выяснить причину, лежащую в основе брадикардии.</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Пациентам в нестабильном состоянии может потребо - ваться неотложная эндотрахеальная интубация и чрез- кожная или чрезвенная электрокардиостимуляция.</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За пациентами необходимо вести непрерывный мо</w:t>
        <w:softHyphen/>
        <w:t>ниторинг, и у них должен иметься внутривенный до</w:t>
        <w:softHyphen/>
        <w:t>ступ.</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гемодинамически стабильных пациентов внимание должно быть сосредоточено на причине, лежащей в основе брадикардии.</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синдроме слабости синусового узла подходы ле</w:t>
        <w:softHyphen/>
        <w:t>карственной терапии не оправдали возлагаемых на них надежд. Несмотря на то что атропин приносит временное улучшение у некоторых пациентов, боль</w:t>
        <w:softHyphen/>
        <w:t>шинству из них в конечном итоге пришлось устанав</w:t>
        <w:softHyphen/>
        <w:t>ливать искусственный водитель ритма (электрокар</w:t>
        <w:softHyphen/>
        <w:t>диостимулятор).</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пациентов с синусовой брадикардией, вызванной терапевтическим применением препаратов напер</w:t>
        <w:softHyphen/>
        <w:t>стянки, Р-блокаторов или блокаторов кальциевых ка</w:t>
        <w:softHyphen/>
        <w:t>налов, простой отмены лекарственных средств при продолжающемся мониторинге вполне достаточно для стабилизации состояния. Иногда требуется внут</w:t>
        <w:softHyphen/>
        <w:t>ривенное ведение атропина или установка временно</w:t>
        <w:softHyphen/>
        <w:t>го электрокардиостимулятора.</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 послеинфекционной брадикардии (при дифтерийном миокардите) часто требует установки постоянного электрокардиостимулятора.</w:t>
      </w:r>
    </w:p>
    <w:p>
      <w:pPr>
        <w:pStyle w:val="Style30"/>
        <w:numPr>
          <w:ilvl w:val="0"/>
          <w:numId w:val="159"/>
        </w:numPr>
        <w:tabs>
          <w:tab w:leader="none" w:pos="236" w:val="left"/>
        </w:tabs>
        <w:widowControl w:val="0"/>
        <w:keepNext w:val="0"/>
        <w:keepLines w:val="0"/>
        <w:shd w:val="clear" w:color="auto" w:fill="auto"/>
        <w:bidi w:val="0"/>
        <w:spacing w:before="0" w:after="0"/>
        <w:ind w:left="280" w:right="0" w:hanging="280"/>
      </w:pPr>
      <w:r>
        <w:pict>
          <v:shape id="_x0000_s1768" type="#_x0000_t75" style="position:absolute;margin-left:137.05pt;margin-top:736.55pt;width:209.75pt;height:14.9pt;z-index:-125828857;mso-wrap-distance-left:136.3pt;mso-wrap-distance-right:147.85pt;mso-wrap-distance-bottom:10.8pt;mso-position-horizontal-relative:margin;mso-position-vertical-relative:margin" wrapcoords="0 0 21600 0 21600 21600 0 21600 0 0">
            <v:imagedata r:id="rId1215" r:href="rId1216"/>
            <w10:wrap type="topAndBottom" anchorx="margin" anchory="margin"/>
          </v:shape>
        </w:pict>
      </w:r>
      <w:r>
        <w:rPr>
          <w:lang w:val="ru-RU" w:eastAsia="ru-RU" w:bidi="ru-RU"/>
          <w:w w:val="100"/>
          <w:spacing w:val="0"/>
          <w:color w:val="000000"/>
          <w:position w:val="0"/>
        </w:rPr>
        <w:t>У пациентов с гипотермией и подтвержденной сину</w:t>
        <w:softHyphen/>
        <w:t>совой брадикардией применение атропина и элек</w:t>
        <w:softHyphen/>
        <w:t>трокардиостимулятора, как правило, не рекомендует</w:t>
        <w:softHyphen/>
        <w:t>ся из-за раздражимости миокарда. Лечение состоит в согревании пациента и поддерживающих терапев</w:t>
        <w:softHyphen/>
        <w:t>тических мероприятиях.</w:t>
      </w:r>
      <w:r>
        <w:br w:type="page"/>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Применение лекарственных средств при лечении си</w:t>
        <w:softHyphen/>
        <w:t>нусовой брадикардии у бессимптомных пациентов обычно не рекомендуется. У симптоматических па</w:t>
        <w:softHyphen/>
        <w:t>циентов необходима коррекция электролитных и кислотно-щелочных нарушений или гипоксии. Внутривенно введенный атропин может привести к временному улучшению состояния у симптома</w:t>
        <w:softHyphen/>
        <w:t>тических пациентов, хотя его использование необхо</w:t>
        <w:softHyphen/>
        <w:t>димо тщательно взвешивать с учетом увеличения по</w:t>
        <w:softHyphen/>
        <w:t>требности миокарда в кислороде, которое вызывает этот препарат.</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Хотя в прошлом широко применялся изопртеренол у пациентов с брадикардией, дальнейшие оценки его значительного риска уменьшили его роль. Рекомен</w:t>
        <w:softHyphen/>
        <w:t>дуется установка временного электрокардиостимуля</w:t>
        <w:softHyphen/>
        <w:t>тора симптоматическим пациентам, которые не отве</w:t>
        <w:softHyphen/>
        <w:t>чают или временно отвечают на атропин или кому ат- ропиновая терапия противопоказана. Первой проце</w:t>
        <w:softHyphen/>
        <w:t>дурой выбора, если это возможно, является чрезкож- ная электрокардиостимуляция.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Дальнейшее стационарное лечение:</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После стабилизации состояния пациента необходимо приступить к выработке тактики ведения с учетом причины, вызвавшей брадикардию.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пациентов с синдромом слабости синусового узла может развиться фибрилляция предсердий — ритм, который поддается коррекции методами консерва</w:t>
        <w:softHyphen/>
        <w:t>тивной терапии, что может исключить необходи</w:t>
        <w:softHyphen/>
        <w:t>мость установки электрокардиостимулятора.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Амбулаторное лечение</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Ход диспансерного наблюдения зависит от причины, лежащей в основе брадикардии.</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Регулярное диспансерное наблюдение необходимо пациентам, которым установлен искусственный во</w:t>
        <w:softHyphen/>
        <w:t>дитель ритма.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большинстве случаев у бессимптомных больных прогноз благоприятный.</w:t>
      </w:r>
    </w:p>
    <w:p>
      <w:pPr>
        <w:pStyle w:val="Style30"/>
        <w:numPr>
          <w:ilvl w:val="0"/>
          <w:numId w:val="159"/>
        </w:numPr>
        <w:tabs>
          <w:tab w:leader="none" w:pos="517" w:val="left"/>
        </w:tabs>
        <w:widowControl w:val="0"/>
        <w:keepNext w:val="0"/>
        <w:keepLines w:val="0"/>
        <w:shd w:val="clear" w:color="auto" w:fill="auto"/>
        <w:bidi w:val="0"/>
        <w:spacing w:before="0" w:after="182"/>
        <w:ind w:left="520" w:right="0" w:hanging="240"/>
      </w:pPr>
      <w:r>
        <w:rPr>
          <w:lang w:val="ru-RU" w:eastAsia="ru-RU" w:bidi="ru-RU"/>
          <w:w w:val="100"/>
          <w:spacing w:val="0"/>
          <w:color w:val="000000"/>
          <w:position w:val="0"/>
        </w:rPr>
        <w:t>При наличии симптомной брадикардии прогноз оп</w:t>
        <w:softHyphen/>
        <w:t>ределяется основным заболеванием и качеством уста</w:t>
        <w:softHyphen/>
        <w:t>новки кардиостимулятора.</w:t>
      </w:r>
    </w:p>
    <w:p>
      <w:pPr>
        <w:pStyle w:val="Style28"/>
        <w:widowControl w:val="0"/>
        <w:keepNext/>
        <w:keepLines/>
        <w:shd w:val="clear" w:color="auto" w:fill="auto"/>
        <w:bidi w:val="0"/>
        <w:jc w:val="left"/>
        <w:spacing w:before="0" w:after="118" w:line="288" w:lineRule="exact"/>
        <w:ind w:left="0" w:right="0" w:firstLine="0"/>
      </w:pPr>
      <w:bookmarkStart w:id="789" w:name="bookmark789"/>
      <w:r>
        <w:rPr>
          <w:lang w:val="ru-RU" w:eastAsia="ru-RU" w:bidi="ru-RU"/>
          <w:w w:val="100"/>
          <w:spacing w:val="0"/>
          <w:color w:val="000000"/>
          <w:position w:val="0"/>
        </w:rPr>
        <w:t>Преждевременное сокращение желудочков (желудочковая экстрасистолия)</w:t>
      </w:r>
      <w:bookmarkEnd w:id="78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Преждевременное сокращение желудочков (ПСЖ) представляет собой эктопический водитель ритма сердца, расположенный в желудочке. ПСЖ характеризуется ком</w:t>
        <w:softHyphen/>
        <w:t xml:space="preserve">плексами </w:t>
      </w:r>
      <w:r>
        <w:rPr>
          <w:lang w:val="en-US" w:eastAsia="en-US" w:bidi="en-US"/>
          <w:w w:val="100"/>
          <w:spacing w:val="0"/>
          <w:color w:val="000000"/>
          <w:position w:val="0"/>
        </w:rPr>
        <w:t xml:space="preserve">QRS </w:t>
      </w:r>
      <w:r>
        <w:rPr>
          <w:lang w:val="ru-RU" w:eastAsia="ru-RU" w:bidi="ru-RU"/>
          <w:w w:val="100"/>
          <w:spacing w:val="0"/>
          <w:color w:val="000000"/>
          <w:position w:val="0"/>
        </w:rPr>
        <w:t xml:space="preserve">странной формы, при этом длительность электрокардиографического зубца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обычно более 120 мс. Эти комплексы не предваряются зубцом Р, а зубец Т обычно больше и направлен противоположно главному вектору </w:t>
      </w:r>
      <w:r>
        <w:rPr>
          <w:lang w:val="en-US" w:eastAsia="en-US" w:bidi="en-US"/>
          <w:w w:val="100"/>
          <w:spacing w:val="0"/>
          <w:color w:val="000000"/>
          <w:position w:val="0"/>
        </w:rPr>
        <w:t>QRS.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значимость ПСЖ зависит от частоты экс</w:t>
        <w:softHyphen/>
        <w:t>трасистол, сложности и гемодинамического ответа.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numPr>
          <w:ilvl w:val="0"/>
          <w:numId w:val="15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Сердечные:</w:t>
      </w:r>
    </w:p>
    <w:p>
      <w:pPr>
        <w:pStyle w:val="Style30"/>
        <w:numPr>
          <w:ilvl w:val="0"/>
          <w:numId w:val="161"/>
        </w:numPr>
        <w:tabs>
          <w:tab w:leader="none" w:pos="758"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острый инфаркт миокарда/ишемия;</w:t>
      </w:r>
    </w:p>
    <w:p>
      <w:pPr>
        <w:pStyle w:val="Style30"/>
        <w:numPr>
          <w:ilvl w:val="0"/>
          <w:numId w:val="161"/>
        </w:numPr>
        <w:tabs>
          <w:tab w:leader="none" w:pos="758"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миокардит;</w:t>
      </w:r>
    </w:p>
    <w:p>
      <w:pPr>
        <w:pStyle w:val="Style30"/>
        <w:numPr>
          <w:ilvl w:val="0"/>
          <w:numId w:val="161"/>
        </w:numPr>
        <w:tabs>
          <w:tab w:leader="none" w:pos="755" w:val="left"/>
        </w:tabs>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кардиомиопатия, расширение или гипертрофия;</w:t>
      </w:r>
    </w:p>
    <w:p>
      <w:pPr>
        <w:pStyle w:val="Style30"/>
        <w:numPr>
          <w:ilvl w:val="0"/>
          <w:numId w:val="161"/>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гипомагниемия, гипокалиемия, гиперкальциемия;</w:t>
      </w:r>
    </w:p>
    <w:p>
      <w:pPr>
        <w:pStyle w:val="Style30"/>
        <w:numPr>
          <w:ilvl w:val="0"/>
          <w:numId w:val="161"/>
        </w:numPr>
        <w:tabs>
          <w:tab w:leader="none" w:pos="75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пролапс митрального клапана.</w:t>
      </w:r>
    </w:p>
    <w:p>
      <w:pPr>
        <w:pStyle w:val="Style30"/>
        <w:numPr>
          <w:ilvl w:val="0"/>
          <w:numId w:val="15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Гипоксия.</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Лекарственные препараты (например, дигоксин, симпатомиметики, трициклические антидепрессан</w:t>
        <w:softHyphen/>
        <w:t>ты, аминофиллин, кофеин).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ПСЖ отражают усиление активности клеток водите</w:t>
        <w:softHyphen/>
        <w:t>ля ритма. Механизмами ПСЖ считают циркуляцию возбуждения, пусковую активность и усиление авто</w:t>
        <w:softHyphen/>
        <w:t>матизма.</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Циркуляция возбуждения происходит, когда имеет место односторонняя блокада в волокнах Пуркинье и вторичная медленная проводимость. Во время ак</w:t>
        <w:softHyphen/>
        <w:t>тивации желудочка участок медленной проводимости активирует блокированную часть системы после вос</w:t>
        <w:softHyphen/>
        <w:t>становления в ней фазы рефрактерного периода, приводя к дополнительному сокращению. Циркуля</w:t>
        <w:softHyphen/>
        <w:t>ция возбуждения может вызвать единичные эктопи</w:t>
        <w:softHyphen/>
        <w:t>ческие сокращения или запустить пароксизмальную тахикардию.</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Усиленный автоматизм говорит о том, что эктопичес</w:t>
        <w:softHyphen/>
        <w:t>кий очаг клеток водителя ритма существует внутри же</w:t>
        <w:softHyphen/>
        <w:t>лудочка, у которого имеется подпороговый потенциал для запуска. Если основной ритм не подавляет эктопи</w:t>
        <w:softHyphen/>
        <w:t>ческий очаг, возникает эктопическое сокращение.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Преждевременное сокращение желудочков обнару</w:t>
        <w:softHyphen/>
        <w:t>живается у практически здоровых детей и значитель</w:t>
        <w:softHyphen/>
        <w:t>но чаще при органическом заболевании сердца.</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холтеровском мониторировании ЭКГ единич</w:t>
        <w:softHyphen/>
        <w:t>ные преждевременные сокращения желудочков на</w:t>
        <w:softHyphen/>
        <w:t>блюдаются у 40-60% здоровых лиц.</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ПСЖ выявляются примерно у 20% здоровых мальчи - ков в возрасте 10-13 лет при стандартном холтеров- ском мониторинге.</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ПСЖ у здоровых новорожденных детей обычно раз</w:t>
        <w:softHyphen/>
        <w:t>решается к сроку 12 недель и, как правило, не требу</w:t>
        <w:softHyphen/>
        <w:t>ет лечения, при условии, что подтверждено наличие здорового сердца.</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Это, вероятно, связано с факторами развития, ассо</w:t>
        <w:softHyphen/>
        <w:t>циированными с вегетативной нервной системой.</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более старшего возраста ПСЖ часто связаны с преходящими или экзогенными факторами, вклю</w:t>
        <w:softHyphen/>
        <w:t>чая вирусный миокардит легкой степени, чрезмерное употребление кофеина или симпатомиметических препаратов (лекарства от простуды и от астмы). Они обычно проходят без лечения.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желудочковых экстрасистол увеличивается с возрастом, что является отражением увеличивающейся частоты сердечных заболеваний в популяции более старше</w:t>
        <w:softHyphen/>
        <w:t>го возраста.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детей дошкольного возраста желудочковые экстрасис</w:t>
        <w:softHyphen/>
        <w:t>толы определяются с одинаковой частотой у мальчиков и девочек, в пубертатном периоде — чаще у мальчиков.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Пациенты обычно бессимптомны.</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pict>
          <v:shape id="_x0000_s1769" type="#_x0000_t75" style="position:absolute;margin-left:148.3pt;margin-top:736.55pt;width:209.75pt;height:14.9pt;z-index:-125828856;mso-wrap-distance-left:147.85pt;mso-wrap-distance-right:136.8pt;mso-wrap-distance-bottom:10.8pt;mso-position-horizontal-relative:margin;mso-position-vertical-relative:margin" wrapcoords="0 0 21600 0 21600 21600 0 21600 0 0">
            <v:imagedata r:id="rId1217" r:href="rId1218"/>
            <w10:wrap type="topAndBottom" anchorx="margin" anchory="margin"/>
          </v:shape>
        </w:pict>
      </w:r>
      <w:r>
        <w:rPr>
          <w:lang w:val="ru-RU" w:eastAsia="ru-RU" w:bidi="ru-RU"/>
          <w:w w:val="100"/>
          <w:spacing w:val="0"/>
          <w:color w:val="000000"/>
          <w:position w:val="0"/>
        </w:rPr>
        <w:t>Учащенное сердцебиение и дискомфорт в области грудной клетки могут быть вызваны волной регурги-</w:t>
      </w:r>
      <w:r>
        <w:br w:type="page"/>
      </w:r>
    </w:p>
    <w:p>
      <w:pPr>
        <w:framePr w:w="4819" w:h="2544" w:hSpace="15" w:wrap="notBeside" w:vAnchor="text" w:hAnchor="text" w:x="26" w:y="1"/>
        <w:widowControl w:val="0"/>
        <w:rPr>
          <w:sz w:val="2"/>
          <w:szCs w:val="2"/>
        </w:rPr>
      </w:pPr>
      <w:r>
        <w:pict>
          <v:shape id="_x0000_s1770" type="#_x0000_t75" style="width:241pt;height:127pt;">
            <v:imagedata r:id="rId1219" r:href="rId1220"/>
          </v:shape>
        </w:pict>
      </w:r>
    </w:p>
    <w:p>
      <w:pPr>
        <w:pStyle w:val="Style120"/>
        <w:framePr w:w="4834" w:h="796" w:hSpace="15" w:wrap="notBeside" w:vAnchor="text" w:hAnchor="text" w:x="16" w:y="2885"/>
        <w:widowControl w:val="0"/>
        <w:keepNext w:val="0"/>
        <w:keepLines w:val="0"/>
        <w:shd w:val="clear" w:color="auto" w:fill="auto"/>
        <w:bidi w:val="0"/>
        <w:spacing w:before="0" w:after="0"/>
        <w:ind w:left="0" w:right="0" w:firstLine="0"/>
      </w:pPr>
      <w:r>
        <w:rPr>
          <w:rStyle w:val="CharStyle125"/>
        </w:rPr>
        <w:t xml:space="preserve">Рис. 89. </w:t>
      </w:r>
      <w:r>
        <w:rPr>
          <w:lang w:val="ru-RU" w:eastAsia="ru-RU" w:bidi="ru-RU"/>
          <w:w w:val="100"/>
          <w:spacing w:val="0"/>
          <w:color w:val="000000"/>
          <w:position w:val="0"/>
        </w:rPr>
        <w:t>Правожелудочковые экстрасистолы: регистрируются преждевременные сокращения желудочков с аберрантным желу</w:t>
        <w:softHyphen/>
        <w:t>дочковым комплексом по типу блокады левой ножки пучка Гиса, полная компенсаторная пауза.</w:t>
      </w:r>
    </w:p>
    <w:p>
      <w:pPr>
        <w:widowControl w:val="0"/>
        <w:rPr>
          <w:sz w:val="2"/>
          <w:szCs w:val="2"/>
        </w:rPr>
      </w:pPr>
    </w:p>
    <w:p>
      <w:pPr>
        <w:pStyle w:val="Style157"/>
        <w:tabs>
          <w:tab w:leader="underscore" w:pos="3864" w:val="left"/>
        </w:tabs>
        <w:widowControl w:val="0"/>
        <w:keepNext w:val="0"/>
        <w:keepLines w:val="0"/>
        <w:shd w:val="clear" w:color="auto" w:fill="auto"/>
        <w:bidi w:val="0"/>
        <w:spacing w:before="373" w:after="45" w:line="560" w:lineRule="exact"/>
        <w:ind w:left="360" w:right="0" w:firstLine="0"/>
      </w:pPr>
      <w:r>
        <w:rPr>
          <w:rStyle w:val="CharStyle159"/>
        </w:rPr>
        <w:t>uaJU-aaI, _mjl</w:t>
      </w:r>
      <w:r>
        <w:rPr>
          <w:rStyle w:val="CharStyle160"/>
        </w:rPr>
        <w:tab/>
        <w:t>ыи</w:t>
      </w:r>
    </w:p>
    <w:p>
      <w:pPr>
        <w:pStyle w:val="Style161"/>
        <w:tabs>
          <w:tab w:leader="none" w:pos="2211" w:val="left"/>
          <w:tab w:leader="underscore" w:pos="2785" w:val="left"/>
        </w:tabs>
        <w:widowControl w:val="0"/>
        <w:keepNext w:val="0"/>
        <w:keepLines w:val="0"/>
        <w:shd w:val="clear" w:color="auto" w:fill="auto"/>
        <w:bidi w:val="0"/>
        <w:spacing w:before="0" w:after="338" w:line="560" w:lineRule="exact"/>
        <w:ind w:left="260" w:right="0" w:firstLine="0"/>
      </w:pPr>
      <w:r>
        <w:rPr>
          <w:rStyle w:val="CharStyle163"/>
          <w:vertAlign w:val="superscript"/>
        </w:rPr>
        <w:t>;</w:t>
      </w:r>
      <w:r>
        <w:rPr>
          <w:rStyle w:val="CharStyle163"/>
        </w:rPr>
        <w:tab/>
      </w:r>
      <w:r>
        <w:rPr>
          <w:rStyle w:val="CharStyle164"/>
        </w:rPr>
        <w:tab/>
        <w:t>дД,—</w:t>
      </w:r>
      <w:r>
        <w:rPr>
          <w:rStyle w:val="CharStyle164"/>
          <w:lang w:val="en-US" w:eastAsia="en-US" w:bidi="en-US"/>
        </w:rPr>
        <w:t>-U</w:t>
      </w:r>
      <w:r>
        <w:rPr>
          <w:rStyle w:val="CharStyle165"/>
        </w:rPr>
        <w:t>j'U</w:t>
      </w:r>
    </w:p>
    <w:p>
      <w:pPr>
        <w:pStyle w:val="Style166"/>
        <w:tabs>
          <w:tab w:leader="underscore" w:pos="700" w:val="left"/>
          <w:tab w:leader="underscore" w:pos="961" w:val="left"/>
          <w:tab w:leader="underscore" w:pos="1943" w:val="left"/>
          <w:tab w:leader="underscore" w:pos="2211" w:val="left"/>
          <w:tab w:leader="underscore" w:pos="3126" w:val="left"/>
          <w:tab w:leader="underscore" w:pos="3864" w:val="left"/>
        </w:tabs>
        <w:widowControl w:val="0"/>
        <w:keepNext w:val="0"/>
        <w:keepLines w:val="0"/>
        <w:shd w:val="clear" w:color="auto" w:fill="auto"/>
        <w:bidi w:val="0"/>
        <w:spacing w:before="0" w:after="596" w:line="320" w:lineRule="exact"/>
        <w:ind w:left="500" w:right="0" w:firstLine="0"/>
      </w:pPr>
      <w:r>
        <w:rPr>
          <w:rStyle w:val="CharStyle168"/>
          <w:lang w:val="ru-RU" w:eastAsia="ru-RU" w:bidi="ru-RU"/>
          <w:b/>
          <w:bCs/>
        </w:rPr>
        <w:tab/>
        <w:tab/>
      </w:r>
      <w:r>
        <w:rPr>
          <w:rStyle w:val="CharStyle169"/>
          <w:b/>
          <w:bCs/>
        </w:rPr>
        <w:t>t</w:t>
      </w:r>
      <w:r>
        <w:rPr>
          <w:rStyle w:val="CharStyle170"/>
          <w:vertAlign w:val="superscript"/>
          <w:b/>
          <w:bCs/>
        </w:rPr>
        <w:t>rrr</w:t>
      </w:r>
      <w:r>
        <w:rPr>
          <w:rStyle w:val="CharStyle171"/>
          <w:b/>
          <w:bCs/>
        </w:rPr>
        <w:t xml:space="preserve"> </w:t>
      </w:r>
      <w:r>
        <w:rPr>
          <w:rStyle w:val="CharStyle172"/>
          <w:lang w:val="en-US" w:eastAsia="en-US" w:bidi="en-US"/>
          <w:b/>
          <w:bCs/>
        </w:rPr>
        <w:tab/>
      </w:r>
      <w:r>
        <w:rPr>
          <w:rStyle w:val="CharStyle171"/>
          <w:b/>
          <w:bCs/>
        </w:rPr>
        <w:tab/>
        <w:t>V.</w:t>
        <w:tab/>
        <w:t>Jl</w:t>
        <w:tab/>
      </w:r>
    </w:p>
    <w:p>
      <w:pPr>
        <w:framePr w:h="1622" w:wrap="notBeside" w:vAnchor="text" w:hAnchor="text" w:xAlign="center" w:y="1"/>
        <w:widowControl w:val="0"/>
        <w:jc w:val="center"/>
        <w:rPr>
          <w:sz w:val="2"/>
          <w:szCs w:val="2"/>
        </w:rPr>
      </w:pPr>
      <w:r>
        <w:pict>
          <v:shape id="_x0000_s1771" type="#_x0000_t75" style="width:234pt;height:81pt;">
            <v:imagedata r:id="rId1221" r:href="rId1222"/>
          </v:shape>
        </w:pict>
      </w:r>
    </w:p>
    <w:p>
      <w:pPr>
        <w:widowControl w:val="0"/>
        <w:rPr>
          <w:sz w:val="2"/>
          <w:szCs w:val="2"/>
        </w:rPr>
      </w:pPr>
    </w:p>
    <w:p>
      <w:pPr>
        <w:pStyle w:val="Style30"/>
        <w:widowControl w:val="0"/>
        <w:keepNext w:val="0"/>
        <w:keepLines w:val="0"/>
        <w:shd w:val="clear" w:color="auto" w:fill="auto"/>
        <w:bidi w:val="0"/>
        <w:spacing w:before="1586" w:after="881" w:line="192" w:lineRule="exact"/>
        <w:ind w:left="0" w:right="0" w:firstLine="0"/>
      </w:pPr>
      <w:r>
        <w:rPr>
          <w:rStyle w:val="CharStyle102"/>
        </w:rPr>
        <w:t xml:space="preserve">Рис. </w:t>
      </w:r>
      <w:r>
        <w:rPr>
          <w:rStyle w:val="CharStyle102"/>
          <w:lang w:val="en-US" w:eastAsia="en-US" w:bidi="en-US"/>
        </w:rPr>
        <w:t xml:space="preserve">90. </w:t>
      </w:r>
      <w:r>
        <w:rPr>
          <w:lang w:val="ru-RU" w:eastAsia="ru-RU" w:bidi="ru-RU"/>
          <w:w w:val="100"/>
          <w:spacing w:val="0"/>
          <w:color w:val="000000"/>
          <w:position w:val="0"/>
        </w:rPr>
        <w:t>Варианты преждевременных сокращений желудочков: 1) бигеминия, 2) тригеминия, 3) квадригеминия.</w:t>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тации с правого предсердия (А волны) или повышен</w:t>
        <w:softHyphen/>
        <w:t>ной силой сокращений в результате постэкстрасисто</w:t>
        <w:softHyphen/>
        <w:t>лического усиления сократимости.</w:t>
      </w:r>
    </w:p>
    <w:p>
      <w:pPr>
        <w:pStyle w:val="Style30"/>
        <w:numPr>
          <w:ilvl w:val="0"/>
          <w:numId w:val="159"/>
        </w:numPr>
        <w:tabs>
          <w:tab w:leader="none" w:pos="53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Пациенты могут отмечать ощущение, что сердце ос</w:t>
        <w:softHyphen/>
        <w:t>тановилось после ПСЖ.</w:t>
      </w:r>
    </w:p>
    <w:p>
      <w:pPr>
        <w:pStyle w:val="Style30"/>
        <w:numPr>
          <w:ilvl w:val="0"/>
          <w:numId w:val="159"/>
        </w:numPr>
        <w:tabs>
          <w:tab w:leader="none" w:pos="53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 пациентов с частыми ПСЖ или бигеминией могут быть обмороки; это происходит вследствие неадек</w:t>
        <w:softHyphen/>
        <w:t>ватного ударного (систолического) объема сердца или снижения сердечного минутного выброса, вы</w:t>
        <w:softHyphen/>
        <w:t>званного «ополовиниванием» ЧСС.</w:t>
      </w:r>
    </w:p>
    <w:p>
      <w:pPr>
        <w:pStyle w:val="Style30"/>
        <w:numPr>
          <w:ilvl w:val="0"/>
          <w:numId w:val="159"/>
        </w:numPr>
        <w:tabs>
          <w:tab w:leader="none" w:pos="235" w:val="left"/>
        </w:tabs>
        <w:widowControl w:val="0"/>
        <w:keepNext w:val="0"/>
        <w:keepLines w:val="0"/>
        <w:shd w:val="clear" w:color="auto" w:fill="auto"/>
        <w:bidi w:val="0"/>
        <w:spacing w:before="0" w:after="0"/>
        <w:ind w:left="280" w:right="0" w:hanging="280"/>
      </w:pPr>
      <w:r>
        <w:br w:type="column"/>
      </w:r>
      <w:r>
        <w:rPr>
          <w:lang w:val="ru-RU" w:eastAsia="ru-RU" w:bidi="ru-RU"/>
          <w:w w:val="100"/>
          <w:spacing w:val="0"/>
          <w:color w:val="000000"/>
          <w:position w:val="0"/>
        </w:rPr>
        <w:t>Длинные периоды ПСЖ могут привести к артериаль</w:t>
        <w:softHyphen/>
        <w:t>ной гипотензии.</w:t>
      </w:r>
    </w:p>
    <w:p>
      <w:pPr>
        <w:pStyle w:val="Style30"/>
        <w:numPr>
          <w:ilvl w:val="0"/>
          <w:numId w:val="15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Физические упражнения могут увеличить или сни</w:t>
        <w:softHyphen/>
        <w:t>зить частоту ПСЖ.</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Физикальные данные</w:t>
      </w:r>
    </w:p>
    <w:p>
      <w:pPr>
        <w:pStyle w:val="Style30"/>
        <w:numPr>
          <w:ilvl w:val="0"/>
          <w:numId w:val="15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Залповые А волны можно наблюдать на яремной ве</w:t>
        <w:softHyphen/>
        <w:t>не, если желудочковая вызывает сокращение пред</w:t>
        <w:softHyphen/>
        <w:t>сердия при закрытом трехстворчатом клапане.</w:t>
      </w:r>
    </w:p>
    <w:p>
      <w:pPr>
        <w:pStyle w:val="Style30"/>
        <w:numPr>
          <w:ilvl w:val="0"/>
          <w:numId w:val="15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аускультации выявляются компенсаторные пау</w:t>
        <w:softHyphen/>
        <w:t>зы после преждевременного сокращения.</w:t>
      </w:r>
    </w:p>
    <w:p>
      <w:pPr>
        <w:pStyle w:val="Style30"/>
        <w:numPr>
          <w:ilvl w:val="0"/>
          <w:numId w:val="15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Эктопический толчок может вызывать сниженный или отсутствующий пульс в зависимости от силы со</w:t>
        <w:softHyphen/>
        <w:t>кращения желудочка.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Лабораторные исследования</w:t>
      </w:r>
    </w:p>
    <w:p>
      <w:pPr>
        <w:pStyle w:val="Style30"/>
        <w:numPr>
          <w:ilvl w:val="0"/>
          <w:numId w:val="15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Определение содержания электролитов в сыворотке крови, особенно уровня магния, снижение которого может быть одной из причин желудочковой экстра- систолии.</w:t>
      </w:r>
    </w:p>
    <w:p>
      <w:pPr>
        <w:pStyle w:val="Style30"/>
        <w:numPr>
          <w:ilvl w:val="0"/>
          <w:numId w:val="159"/>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пациентов, получающих лекарственные средства с известным проаритмическим действием (например, дигоксин, теофиллин), проверяют их содержание в крови для исключения токсического воздействия.</w:t>
      </w:r>
    </w:p>
    <w:p>
      <w:pPr>
        <w:pStyle w:val="Style30"/>
        <w:widowControl w:val="0"/>
        <w:keepNext w:val="0"/>
        <w:keepLines w:val="0"/>
        <w:shd w:val="clear" w:color="auto" w:fill="auto"/>
        <w:bidi w:val="0"/>
        <w:jc w:val="left"/>
        <w:spacing w:before="0" w:after="0"/>
        <w:ind w:left="0" w:right="2120" w:firstLine="0"/>
      </w:pPr>
      <w:r>
        <w:rPr>
          <w:lang w:val="ru-RU" w:eastAsia="ru-RU" w:bidi="ru-RU"/>
          <w:w w:val="100"/>
          <w:spacing w:val="0"/>
          <w:color w:val="000000"/>
          <w:position w:val="0"/>
        </w:rPr>
        <w:t>Инструментальная диагностика Электрокардиография:</w:t>
      </w:r>
    </w:p>
    <w:p>
      <w:pPr>
        <w:pStyle w:val="Style30"/>
        <w:numPr>
          <w:ilvl w:val="0"/>
          <w:numId w:val="159"/>
        </w:numPr>
        <w:tabs>
          <w:tab w:leader="none" w:pos="58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ЭКГ играет решающую роль в постановке диагно</w:t>
        <w:softHyphen/>
        <w:t>за желудочковой экстрасистолии.</w:t>
      </w:r>
    </w:p>
    <w:p>
      <w:pPr>
        <w:pStyle w:val="Style30"/>
        <w:numPr>
          <w:ilvl w:val="0"/>
          <w:numId w:val="159"/>
        </w:numPr>
        <w:tabs>
          <w:tab w:leader="none" w:pos="58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Случаи, в которых ЭКГ может оказаться весьма полезной при определении причины желудочко</w:t>
        <w:softHyphen/>
        <w:t xml:space="preserve">вой эктопии, включают острую ишемию/инфаркт (изменения сегмента </w:t>
      </w:r>
      <w:r>
        <w:rPr>
          <w:lang w:val="en-US" w:eastAsia="en-US" w:bidi="en-US"/>
          <w:w w:val="100"/>
          <w:spacing w:val="0"/>
          <w:color w:val="000000"/>
          <w:position w:val="0"/>
        </w:rPr>
        <w:t xml:space="preserve">ST, </w:t>
      </w:r>
      <w:r>
        <w:rPr>
          <w:lang w:val="ru-RU" w:eastAsia="ru-RU" w:bidi="ru-RU"/>
          <w:w w:val="100"/>
          <w:spacing w:val="0"/>
          <w:color w:val="000000"/>
          <w:position w:val="0"/>
        </w:rPr>
        <w:t>зубца Т); электролитные нарушения (гиперострый зубец Т, удлиненный ин</w:t>
        <w:softHyphen/>
        <w:t xml:space="preserve">тервал </w:t>
      </w:r>
      <w:r>
        <w:rPr>
          <w:lang w:val="en-US" w:eastAsia="en-US" w:bidi="en-US"/>
          <w:w w:val="100"/>
          <w:spacing w:val="0"/>
          <w:color w:val="000000"/>
          <w:position w:val="0"/>
        </w:rPr>
        <w:t xml:space="preserve">QT); </w:t>
      </w:r>
      <w:r>
        <w:rPr>
          <w:lang w:val="ru-RU" w:eastAsia="ru-RU" w:bidi="ru-RU"/>
          <w:w w:val="100"/>
          <w:spacing w:val="0"/>
          <w:color w:val="000000"/>
          <w:position w:val="0"/>
        </w:rPr>
        <w:t>влияние лекарственных средств (рас</w:t>
        <w:softHyphen/>
        <w:t xml:space="preserve">ширение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и удлинение </w:t>
      </w:r>
      <w:r>
        <w:rPr>
          <w:lang w:val="en-US" w:eastAsia="en-US" w:bidi="en-US"/>
          <w:w w:val="100"/>
          <w:spacing w:val="0"/>
          <w:color w:val="000000"/>
          <w:position w:val="0"/>
        </w:rPr>
        <w:t xml:space="preserve">QT); </w:t>
      </w:r>
      <w:r>
        <w:rPr>
          <w:lang w:val="ru-RU" w:eastAsia="ru-RU" w:bidi="ru-RU"/>
          <w:w w:val="100"/>
          <w:spacing w:val="0"/>
          <w:color w:val="000000"/>
          <w:position w:val="0"/>
        </w:rPr>
        <w:t>гипертрофию.</w:t>
      </w:r>
    </w:p>
    <w:p>
      <w:pPr>
        <w:pStyle w:val="Style30"/>
        <w:numPr>
          <w:ilvl w:val="0"/>
          <w:numId w:val="159"/>
        </w:numPr>
        <w:tabs>
          <w:tab w:leader="none" w:pos="58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Результаты ЭКГ при ПСЖ могут включать следую - щее:</w:t>
      </w:r>
    </w:p>
    <w:p>
      <w:pPr>
        <w:pStyle w:val="Style30"/>
        <w:numPr>
          <w:ilvl w:val="0"/>
          <w:numId w:val="161"/>
        </w:numPr>
        <w:tabs>
          <w:tab w:leader="none" w:pos="69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они преждевременны по отношению к следую</w:t>
        <w:softHyphen/>
        <w:t>щему ожидаемому удару основного ритма;</w:t>
      </w:r>
    </w:p>
    <w:p>
      <w:pPr>
        <w:pStyle w:val="Style30"/>
        <w:numPr>
          <w:ilvl w:val="0"/>
          <w:numId w:val="16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после преждевременного удара обычно появляет</w:t>
        <w:softHyphen/>
        <w:t>ся полная компенсаторная пауза (рис. 89);</w:t>
      </w:r>
    </w:p>
    <w:p>
      <w:pPr>
        <w:pStyle w:val="Style30"/>
        <w:numPr>
          <w:ilvl w:val="0"/>
          <w:numId w:val="161"/>
        </w:numPr>
        <w:tabs>
          <w:tab w:leader="none" w:pos="69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интервал </w:t>
      </w:r>
      <w:r>
        <w:rPr>
          <w:lang w:val="en-US" w:eastAsia="en-US" w:bidi="en-US"/>
          <w:w w:val="100"/>
          <w:spacing w:val="0"/>
          <w:color w:val="000000"/>
          <w:position w:val="0"/>
        </w:rPr>
        <w:t xml:space="preserve">R-R, </w:t>
      </w:r>
      <w:r>
        <w:rPr>
          <w:lang w:val="ru-RU" w:eastAsia="ru-RU" w:bidi="ru-RU"/>
          <w:w w:val="100"/>
          <w:spacing w:val="0"/>
          <w:color w:val="000000"/>
          <w:position w:val="0"/>
        </w:rPr>
        <w:t>включающий преждевременное сокращение, равен или в два раза больше основно</w:t>
        <w:softHyphen/>
        <w:t xml:space="preserve">го интервала </w:t>
      </w:r>
      <w:r>
        <w:rPr>
          <w:lang w:val="en-US" w:eastAsia="en-US" w:bidi="en-US"/>
          <w:w w:val="100"/>
          <w:spacing w:val="0"/>
          <w:color w:val="000000"/>
          <w:position w:val="0"/>
        </w:rPr>
        <w:t xml:space="preserve">R-R, </w:t>
      </w:r>
      <w:r>
        <w:rPr>
          <w:lang w:val="ru-RU" w:eastAsia="ru-RU" w:bidi="ru-RU"/>
          <w:w w:val="100"/>
          <w:spacing w:val="0"/>
          <w:color w:val="000000"/>
          <w:position w:val="0"/>
        </w:rPr>
        <w:t>показывая, что эктопическое сокращение не возвратило в исходное состояние синусовый узел.</w:t>
      </w:r>
    </w:p>
    <w:p>
      <w:pPr>
        <w:pStyle w:val="Style30"/>
        <w:numPr>
          <w:ilvl w:val="0"/>
          <w:numId w:val="159"/>
        </w:numPr>
        <w:tabs>
          <w:tab w:leader="none" w:pos="58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ПСЖ могут появляться с регулярной последова</w:t>
        <w:softHyphen/>
        <w:t>тельностью: бигеминия, тригеминия или квадри</w:t>
        <w:softHyphen/>
        <w:t>геминия (рис. 90).</w:t>
      </w:r>
    </w:p>
    <w:p>
      <w:pPr>
        <w:pStyle w:val="Style30"/>
        <w:numPr>
          <w:ilvl w:val="0"/>
          <w:numId w:val="159"/>
        </w:numPr>
        <w:tabs>
          <w:tab w:leader="none" w:pos="58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ПСЖ с одинаковой морфологией называются мо- номорфными или одноочаговыми. Если ПСЖ по</w:t>
        <w:softHyphen/>
        <w:t>казывают 2 и более различных морфологии, они называются многоморфными, плеоморфными или полиморфными.</w:t>
      </w:r>
    </w:p>
    <w:p>
      <w:pPr>
        <w:pStyle w:val="Style30"/>
        <w:numPr>
          <w:ilvl w:val="0"/>
          <w:numId w:val="159"/>
        </w:numPr>
        <w:tabs>
          <w:tab w:leader="none" w:pos="58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ПСЖ обычно классифицируют по системе града</w:t>
        <w:softHyphen/>
        <w:t>ций Лауна. Чем выше степень, тем более серьезна эктопия:</w:t>
      </w:r>
    </w:p>
    <w:p>
      <w:pPr>
        <w:pStyle w:val="Style30"/>
        <w:numPr>
          <w:ilvl w:val="0"/>
          <w:numId w:val="16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степень 0 — Отсутствие ранних экстрасистол;</w:t>
      </w:r>
    </w:p>
    <w:p>
      <w:pPr>
        <w:pStyle w:val="Style30"/>
        <w:numPr>
          <w:ilvl w:val="0"/>
          <w:numId w:val="16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степень 1 — Нерегулярные (&lt; 30/ч);</w:t>
      </w:r>
    </w:p>
    <w:p>
      <w:pPr>
        <w:pStyle w:val="Style30"/>
        <w:numPr>
          <w:ilvl w:val="0"/>
          <w:numId w:val="16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степень 2 — Частые (&gt; 30/ч);</w:t>
      </w:r>
    </w:p>
    <w:p>
      <w:pPr>
        <w:pStyle w:val="Style30"/>
        <w:numPr>
          <w:ilvl w:val="0"/>
          <w:numId w:val="161"/>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степень 3 — Многоморфные;</w:t>
      </w:r>
    </w:p>
    <w:p>
      <w:pPr>
        <w:pStyle w:val="Style30"/>
        <w:numPr>
          <w:ilvl w:val="0"/>
          <w:numId w:val="161"/>
        </w:numPr>
        <w:tabs>
          <w:tab w:leader="none" w:pos="69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степень 4 — Повторяющиеся (А = двойные, В = залпы = или &gt; 3) (рис. 91);</w:t>
      </w:r>
    </w:p>
    <w:p>
      <w:pPr>
        <w:pStyle w:val="Style30"/>
        <w:numPr>
          <w:ilvl w:val="0"/>
          <w:numId w:val="161"/>
        </w:numPr>
        <w:tabs>
          <w:tab w:leader="none" w:pos="693" w:val="left"/>
        </w:tabs>
        <w:widowControl w:val="0"/>
        <w:keepNext w:val="0"/>
        <w:keepLines w:val="0"/>
        <w:shd w:val="clear" w:color="auto" w:fill="auto"/>
        <w:bidi w:val="0"/>
        <w:spacing w:before="0" w:after="0"/>
        <w:ind w:left="500" w:right="0" w:firstLine="0"/>
      </w:pPr>
      <w:r>
        <w:pict>
          <v:shape id="_x0000_s1772" type="#_x0000_t75" style="position:absolute;margin-left:137.3pt;margin-top:736.55pt;width:209.75pt;height:14.9pt;z-index:-125828855;mso-wrap-distance-left:136.8pt;mso-wrap-distance-right:147.85pt;mso-wrap-distance-bottom:10.8pt;mso-position-horizontal-relative:margin;mso-position-vertical-relative:margin" wrapcoords="0 0 21600 0 21600 21600 0 21600 0 0">
            <v:imagedata r:id="rId1223" r:href="rId1224"/>
            <w10:wrap type="topAndBottom" anchorx="margin" anchory="margin"/>
          </v:shape>
        </w:pict>
      </w:r>
      <w:r>
        <w:rPr>
          <w:lang w:val="ru-RU" w:eastAsia="ru-RU" w:bidi="ru-RU"/>
          <w:w w:val="100"/>
          <w:spacing w:val="0"/>
          <w:color w:val="000000"/>
          <w:position w:val="0"/>
        </w:rPr>
        <w:t xml:space="preserve">степень 5 — </w:t>
      </w:r>
      <w:r>
        <w:rPr>
          <w:lang w:val="en-US" w:eastAsia="en-US" w:bidi="en-US"/>
          <w:w w:val="100"/>
          <w:spacing w:val="0"/>
          <w:color w:val="000000"/>
          <w:position w:val="0"/>
        </w:rPr>
        <w:t>R</w:t>
      </w:r>
      <w:r>
        <w:rPr>
          <w:lang w:val="ru-RU" w:eastAsia="ru-RU" w:bidi="ru-RU"/>
          <w:w w:val="100"/>
          <w:spacing w:val="0"/>
          <w:color w:val="000000"/>
          <w:position w:val="0"/>
        </w:rPr>
        <w:t>-на-Т (рис. 92).</w:t>
      </w:r>
      <w:r>
        <w:br w:type="page"/>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Холтеровское суточное мониторирование ЭКГ по</w:t>
        <w:softHyphen/>
        <w:t>лезно в количественном определении и характерис</w:t>
        <w:softHyphen/>
        <w:t>тике желудочковой эктопии:</w:t>
      </w:r>
    </w:p>
    <w:p>
      <w:pPr>
        <w:pStyle w:val="Style30"/>
        <w:numPr>
          <w:ilvl w:val="0"/>
          <w:numId w:val="161"/>
        </w:numPr>
        <w:tabs>
          <w:tab w:leader="none" w:pos="512"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холтеровские мониторы ЭКГ используются для определения терапевтической эффективности у пациентов с частыми или комплексными ПСЖ;</w:t>
      </w:r>
    </w:p>
    <w:p>
      <w:pPr>
        <w:pStyle w:val="Style30"/>
        <w:numPr>
          <w:ilvl w:val="0"/>
          <w:numId w:val="161"/>
        </w:numPr>
        <w:tabs>
          <w:tab w:leader="none" w:pos="512"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наиболее важная роль холтеровского мониторинга ЭКГ заключается в стратификации пациентов с недавним инфарктом миокарда или с левожелу</w:t>
        <w:softHyphen/>
        <w:t>дочковой дисфункцией.</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Дозированная физическая нагрузка (ДФН) является дополнением к холтеровскому мониторингу ЭКГ. У пациентов с комплексной эктопией ДФН мо</w:t>
        <w:softHyphen/>
        <w:t>жет выявить скрытую желудочковую тахикардию, за</w:t>
        <w:softHyphen/>
        <w:t>пущенную выбросом катехоламинов или ишемией миокарда:</w:t>
      </w:r>
    </w:p>
    <w:p>
      <w:pPr>
        <w:pStyle w:val="Style30"/>
        <w:numPr>
          <w:ilvl w:val="0"/>
          <w:numId w:val="159"/>
        </w:numPr>
        <w:tabs>
          <w:tab w:leader="none" w:pos="512"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проведение ДФН не показано пациентам с низким риском экстрасистолии после инфаркта миокарда. Низкий риск означает простую эктопию, хорошую функцию левого желудочка и низкий класс застой</w:t>
        <w:softHyphen/>
        <w:t>ной сердечной недостаточности (ЗСН);</w:t>
      </w:r>
    </w:p>
    <w:p>
      <w:pPr>
        <w:pStyle w:val="Style30"/>
        <w:numPr>
          <w:ilvl w:val="0"/>
          <w:numId w:val="159"/>
        </w:numPr>
        <w:tabs>
          <w:tab w:leader="none" w:pos="512"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ДФН показано пациентам с повышенным риском сложной эктопии.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 догоспитальном этапе:</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Мониторинг ЭКГ.</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Создание внутривенного доступа.</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Кислород.</w:t>
      </w:r>
    </w:p>
    <w:p>
      <w:pPr>
        <w:pStyle w:val="Style30"/>
        <w:numPr>
          <w:ilvl w:val="0"/>
          <w:numId w:val="159"/>
        </w:numPr>
        <w:tabs>
          <w:tab w:leader="none" w:pos="237" w:val="left"/>
        </w:tabs>
        <w:widowControl w:val="0"/>
        <w:keepNext w:val="0"/>
        <w:keepLines w:val="0"/>
        <w:shd w:val="clear" w:color="auto" w:fill="auto"/>
        <w:bidi w:val="0"/>
        <w:spacing w:before="0" w:after="180"/>
        <w:ind w:left="280" w:right="0" w:hanging="280"/>
      </w:pPr>
      <w:r>
        <w:rPr>
          <w:lang w:val="ru-RU" w:eastAsia="ru-RU" w:bidi="ru-RU"/>
          <w:w w:val="100"/>
          <w:spacing w:val="0"/>
          <w:color w:val="000000"/>
          <w:position w:val="0"/>
        </w:rPr>
        <w:t>Применение лидокаина для пациентов со сложной эктопией и гемодинамической нестабильностью, противопоказано при болях в грудной клетке.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Отделение экстренной помощи:</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Лечить желудочковую экстрасистолию в ОИТ или в амбулаторных условиях, зависит от клинического те</w:t>
        <w:softHyphen/>
        <w:t>чения. При отсутствии сердечного заболевания изо</w:t>
        <w:softHyphen/>
        <w:t>лированная, бессимптомная желудочковая эктопия, независимо от конфигурации и частоты, не требует лечения. Проведение лечения может потребоваться при сердечном заболевании, токсическом воздей</w:t>
        <w:softHyphen/>
        <w:t>ствии и электролитных нарушениях. Необходимо ус</w:t>
        <w:softHyphen/>
        <w:t>тановить ЭКГ-мониторинг и внутривенный доступ, начать введение кислорода и произвести запись ЭКГ в 12 отведениях.</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Гипоксия: лечат основное заболевание; проводят комплекс реанимационных мер по восстановлению проходимости воздухоносных путей, функции дыха</w:t>
        <w:softHyphen/>
        <w:t>ния, кровообращения и обеспечивают адекватную доставку кислорода тканям.</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Токсичность лекарственных средств. При выявлении токсичных эффектов показано проведение специфи</w:t>
        <w:softHyphen/>
        <w:t>ческой терапии. Например, при выявлении глико- зидной интоксикации вводят дигоксин, антигенсвя- зывающие антитела, при интоксикации трицикличе</w:t>
        <w:softHyphen/>
        <w:t>скими антидепрессантами — бикарбонат, при отрав</w:t>
        <w:softHyphen/>
        <w:t>лении аминофиллином проводят промывание желу</w:t>
        <w:softHyphen/>
        <w:t>дочно-кишечного тракта и гемодиализ.</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Проводится коррекция электролитных нарушений, особенно магния, кальция и калия.</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Острая ишемия/инфаркт:</w:t>
      </w:r>
    </w:p>
    <w:p>
      <w:pPr>
        <w:pStyle w:val="Style30"/>
        <w:numPr>
          <w:ilvl w:val="0"/>
          <w:numId w:val="161"/>
        </w:numPr>
        <w:tabs>
          <w:tab w:leader="none" w:pos="512"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важным является ранняя диагностика и лечение острого инфаркта/ишемии;</w:t>
      </w:r>
    </w:p>
    <w:tbl>
      <w:tblPr>
        <w:tblOverlap w:val="never"/>
        <w:tblLayout w:type="fixed"/>
        <w:jc w:val="center"/>
      </w:tblPr>
      <w:tblGrid>
        <w:gridCol w:w="1570"/>
        <w:gridCol w:w="3235"/>
      </w:tblGrid>
      <w:tr>
        <w:trPr>
          <w:trHeight w:val="936" w:hRule="exact"/>
        </w:trPr>
        <w:tc>
          <w:tcPr>
            <w:shd w:val="clear" w:color="auto" w:fill="FFFFFF"/>
            <w:gridSpan w:val="2"/>
            <w:tcBorders/>
            <w:vAlign w:val="bottom"/>
          </w:tcPr>
          <w:p>
            <w:pPr>
              <w:pStyle w:val="Style30"/>
              <w:framePr w:w="4805" w:wrap="notBeside" w:vAnchor="text" w:hAnchor="text" w:xAlign="center" w:y="1"/>
              <w:widowControl w:val="0"/>
              <w:keepNext w:val="0"/>
              <w:keepLines w:val="0"/>
              <w:shd w:val="clear" w:color="auto" w:fill="auto"/>
              <w:bidi w:val="0"/>
              <w:jc w:val="right"/>
              <w:spacing w:before="0" w:after="0" w:line="260" w:lineRule="exact"/>
              <w:ind w:left="0" w:right="320" w:firstLine="0"/>
            </w:pPr>
            <w:r>
              <w:rPr>
                <w:rStyle w:val="CharStyle174"/>
                <w:lang w:val="ru-RU" w:eastAsia="ru-RU" w:bidi="ru-RU"/>
              </w:rPr>
              <w:t>Чг—V-</w:t>
            </w:r>
            <w:r>
              <w:rPr>
                <w:rStyle w:val="CharStyle174"/>
                <w:lang w:val="ru-RU" w:eastAsia="ru-RU" w:bidi="ru-RU"/>
                <w:vertAlign w:val="superscript"/>
              </w:rPr>
              <w:t>1</w:t>
            </w:r>
          </w:p>
          <w:p>
            <w:pPr>
              <w:pStyle w:val="Style30"/>
              <w:framePr w:w="4805" w:wrap="notBeside" w:vAnchor="text" w:hAnchor="text" w:xAlign="center" w:y="1"/>
              <w:tabs>
                <w:tab w:leader="underscore" w:pos="360" w:val="left"/>
                <w:tab w:leader="underscore" w:pos="1138" w:val="left"/>
              </w:tabs>
              <w:widowControl w:val="0"/>
              <w:keepNext w:val="0"/>
              <w:keepLines w:val="0"/>
              <w:shd w:val="clear" w:color="auto" w:fill="auto"/>
              <w:bidi w:val="0"/>
              <w:spacing w:before="0" w:after="0" w:line="260" w:lineRule="exact"/>
              <w:ind w:left="0" w:right="0" w:firstLine="0"/>
            </w:pPr>
            <w:r>
              <w:rPr>
                <w:rStyle w:val="CharStyle175"/>
              </w:rPr>
              <w:t>Jj</w:t>
            </w:r>
            <w:r>
              <w:rPr>
                <w:rStyle w:val="CharStyle174"/>
                <w:lang w:val="ru-RU" w:eastAsia="ru-RU" w:bidi="ru-RU"/>
              </w:rPr>
              <w:tab/>
              <w:t xml:space="preserve"> -л</w:t>
              <w:tab/>
            </w:r>
            <w:r>
              <w:rPr>
                <w:rStyle w:val="CharStyle174"/>
              </w:rPr>
              <w:t xml:space="preserve">J </w:t>
            </w:r>
            <w:r>
              <w:rPr>
                <w:rStyle w:val="CharStyle174"/>
                <w:lang w:val="ru-RU" w:eastAsia="ru-RU" w:bidi="ru-RU"/>
              </w:rPr>
              <w:t xml:space="preserve">А. </w:t>
            </w:r>
            <w:r>
              <w:rPr>
                <w:rStyle w:val="CharStyle174"/>
              </w:rPr>
              <w:t xml:space="preserve">—A. </w:t>
            </w:r>
            <w:r>
              <w:rPr>
                <w:rStyle w:val="CharStyle176"/>
                <w:lang w:val="en-US" w:eastAsia="en-US" w:bidi="en-US"/>
              </w:rPr>
              <w:t xml:space="preserve">j </w:t>
            </w:r>
            <w:r>
              <w:rPr>
                <w:rStyle w:val="CharStyle176"/>
              </w:rPr>
              <w:t>_А _</w:t>
            </w:r>
          </w:p>
        </w:tc>
      </w:tr>
      <w:tr>
        <w:trPr>
          <w:trHeight w:val="1963" w:hRule="exact"/>
        </w:trPr>
        <w:tc>
          <w:tcPr>
            <w:shd w:val="clear" w:color="auto" w:fill="FFFFFF"/>
            <w:tcBorders>
              <w:bottom w:val="single" w:sz="4"/>
            </w:tcBorders>
            <w:vAlign w:val="bottom"/>
          </w:tcPr>
          <w:p>
            <w:pPr>
              <w:pStyle w:val="Style30"/>
              <w:framePr w:w="4805" w:wrap="notBeside" w:vAnchor="text" w:hAnchor="text" w:xAlign="center" w:y="1"/>
              <w:widowControl w:val="0"/>
              <w:keepNext w:val="0"/>
              <w:keepLines w:val="0"/>
              <w:shd w:val="clear" w:color="auto" w:fill="auto"/>
              <w:bidi w:val="0"/>
              <w:jc w:val="left"/>
              <w:spacing w:before="0" w:after="60" w:line="260" w:lineRule="exact"/>
              <w:ind w:left="0" w:right="0" w:firstLine="0"/>
            </w:pPr>
            <w:r>
              <w:rPr>
                <w:rStyle w:val="CharStyle174"/>
                <w:lang w:val="ru-RU" w:eastAsia="ru-RU" w:bidi="ru-RU"/>
              </w:rPr>
              <w:t>Ц4-.Д</w:t>
            </w:r>
          </w:p>
          <w:p>
            <w:pPr>
              <w:pStyle w:val="Style30"/>
              <w:framePr w:w="4805" w:wrap="notBeside" w:vAnchor="text" w:hAnchor="text" w:xAlign="center" w:y="1"/>
              <w:widowControl w:val="0"/>
              <w:keepNext w:val="0"/>
              <w:keepLines w:val="0"/>
              <w:shd w:val="clear" w:color="auto" w:fill="auto"/>
              <w:bidi w:val="0"/>
              <w:jc w:val="left"/>
              <w:spacing w:before="60" w:after="0" w:line="260" w:lineRule="exact"/>
              <w:ind w:left="0" w:right="0" w:firstLine="0"/>
            </w:pPr>
            <w:r>
              <w:rPr>
                <w:rStyle w:val="CharStyle174"/>
              </w:rPr>
              <w:t xml:space="preserve">J </w:t>
            </w:r>
            <w:r>
              <w:rPr>
                <w:rStyle w:val="CharStyle174"/>
                <w:lang w:val="ru-RU" w:eastAsia="ru-RU" w:bidi="ru-RU"/>
                <w:vertAlign w:val="superscript"/>
              </w:rPr>
              <w:t>1</w:t>
            </w:r>
            <w:r>
              <w:rPr>
                <w:rStyle w:val="CharStyle174"/>
                <w:lang w:val="ru-RU" w:eastAsia="ru-RU" w:bidi="ru-RU"/>
              </w:rPr>
              <w:t xml:space="preserve"> </w:t>
            </w:r>
            <w:r>
              <w:rPr>
                <w:rStyle w:val="CharStyle177"/>
                <w:lang w:val="ru-RU" w:eastAsia="ru-RU" w:bidi="ru-RU"/>
              </w:rPr>
              <w:t>{</w:t>
            </w:r>
          </w:p>
          <w:p>
            <w:pPr>
              <w:pStyle w:val="Style30"/>
              <w:framePr w:w="4805" w:wrap="notBeside" w:vAnchor="text" w:hAnchor="text" w:xAlign="center" w:y="1"/>
              <w:widowControl w:val="0"/>
              <w:keepNext w:val="0"/>
              <w:keepLines w:val="0"/>
              <w:shd w:val="clear" w:color="auto" w:fill="auto"/>
              <w:bidi w:val="0"/>
              <w:jc w:val="left"/>
              <w:spacing w:before="0" w:after="180" w:line="260" w:lineRule="exact"/>
              <w:ind w:left="0" w:right="0" w:firstLine="0"/>
            </w:pPr>
            <w:r>
              <w:rPr>
                <w:rStyle w:val="CharStyle177"/>
              </w:rPr>
              <w:t>r~</w:t>
            </w:r>
            <w:r>
              <w:rPr>
                <w:rStyle w:val="CharStyle177"/>
                <w:vertAlign w:val="superscript"/>
              </w:rPr>
              <w:t>J</w:t>
            </w:r>
            <w:r>
              <w:rPr>
                <w:rStyle w:val="CharStyle177"/>
              </w:rPr>
              <w:t>r\</w:t>
            </w:r>
          </w:p>
          <w:p>
            <w:pPr>
              <w:pStyle w:val="Style30"/>
              <w:framePr w:w="4805" w:wrap="notBeside" w:vAnchor="text" w:hAnchor="text" w:xAlign="center" w:y="1"/>
              <w:widowControl w:val="0"/>
              <w:keepNext w:val="0"/>
              <w:keepLines w:val="0"/>
              <w:shd w:val="clear" w:color="auto" w:fill="auto"/>
              <w:bidi w:val="0"/>
              <w:jc w:val="left"/>
              <w:spacing w:before="180" w:after="0" w:line="260" w:lineRule="exact"/>
              <w:ind w:left="0" w:right="0" w:firstLine="0"/>
            </w:pPr>
            <w:r>
              <w:rPr>
                <w:rStyle w:val="CharStyle174"/>
                <w:lang w:val="ru-RU" w:eastAsia="ru-RU" w:bidi="ru-RU"/>
              </w:rPr>
              <w:t>т - ^</w:t>
            </w:r>
          </w:p>
        </w:tc>
        <w:tc>
          <w:tcPr>
            <w:shd w:val="clear" w:color="auto" w:fill="FFFFFF"/>
            <w:tcBorders>
              <w:left w:val="single" w:sz="4"/>
              <w:top w:val="single" w:sz="4"/>
            </w:tcBorders>
            <w:vAlign w:val="bottom"/>
          </w:tcPr>
          <w:p>
            <w:pPr>
              <w:pStyle w:val="Style30"/>
              <w:framePr w:w="4805" w:wrap="notBeside" w:vAnchor="text" w:hAnchor="text" w:xAlign="center" w:y="1"/>
              <w:widowControl w:val="0"/>
              <w:keepNext w:val="0"/>
              <w:keepLines w:val="0"/>
              <w:shd w:val="clear" w:color="auto" w:fill="auto"/>
              <w:bidi w:val="0"/>
              <w:jc w:val="left"/>
              <w:spacing w:before="0" w:after="0" w:line="440" w:lineRule="exact"/>
              <w:ind w:left="680" w:right="0" w:firstLine="0"/>
            </w:pPr>
            <w:r>
              <w:rPr>
                <w:rStyle w:val="CharStyle174"/>
              </w:rPr>
              <w:t xml:space="preserve">i </w:t>
            </w:r>
            <w:r>
              <w:rPr>
                <w:rStyle w:val="CharStyle174"/>
                <w:lang w:val="ru-RU" w:eastAsia="ru-RU" w:bidi="ru-RU"/>
              </w:rPr>
              <w:t xml:space="preserve">Л </w:t>
            </w:r>
            <w:r>
              <w:rPr>
                <w:rStyle w:val="CharStyle177"/>
              </w:rPr>
              <w:t xml:space="preserve">i' </w:t>
            </w:r>
            <w:r>
              <w:rPr>
                <w:rStyle w:val="CharStyle177"/>
                <w:lang w:val="ru-RU" w:eastAsia="ru-RU" w:bidi="ru-RU"/>
              </w:rPr>
              <w:t>1\</w:t>
            </w:r>
            <w:r>
              <w:rPr>
                <w:rStyle w:val="CharStyle174"/>
                <w:lang w:val="ru-RU" w:eastAsia="ru-RU" w:bidi="ru-RU"/>
              </w:rPr>
              <w:t xml:space="preserve"> </w:t>
            </w:r>
            <w:r>
              <w:rPr>
                <w:rStyle w:val="CharStyle178"/>
              </w:rPr>
              <w:t xml:space="preserve">Л </w:t>
            </w:r>
            <w:r>
              <w:rPr>
                <w:rStyle w:val="CharStyle174"/>
              </w:rPr>
              <w:t xml:space="preserve">i </w:t>
            </w:r>
            <w:r>
              <w:rPr>
                <w:rStyle w:val="CharStyle174"/>
                <w:vertAlign w:val="superscript"/>
              </w:rPr>
              <w:t>,n</w:t>
            </w:r>
            <w:r>
              <w:rPr>
                <w:rStyle w:val="CharStyle174"/>
              </w:rPr>
              <w:t>'</w:t>
            </w:r>
          </w:p>
          <w:p>
            <w:pPr>
              <w:pStyle w:val="Style30"/>
              <w:framePr w:w="4805" w:wrap="notBeside" w:vAnchor="text" w:hAnchor="text" w:xAlign="center" w:y="1"/>
              <w:tabs>
                <w:tab w:leader="underscore" w:pos="1219" w:val="left"/>
              </w:tabs>
              <w:widowControl w:val="0"/>
              <w:keepNext w:val="0"/>
              <w:keepLines w:val="0"/>
              <w:shd w:val="clear" w:color="auto" w:fill="auto"/>
              <w:bidi w:val="0"/>
              <w:spacing w:before="0" w:after="0" w:line="260" w:lineRule="exact"/>
              <w:ind w:left="0" w:right="0" w:firstLine="0"/>
            </w:pPr>
            <w:r>
              <w:rPr>
                <w:rStyle w:val="CharStyle174"/>
              </w:rPr>
              <w:t>|! Ml ■—</w:t>
              <w:tab/>
              <w:t>M"</w:t>
            </w:r>
            <w:r>
              <w:rPr>
                <w:rStyle w:val="CharStyle174"/>
                <w:vertAlign w:val="superscript"/>
              </w:rPr>
              <w:t>7</w:t>
            </w:r>
            <w:r>
              <w:rPr>
                <w:rStyle w:val="CharStyle174"/>
              </w:rPr>
              <w:t>-,-</w:t>
            </w:r>
            <w:r>
              <w:rPr>
                <w:rStyle w:val="CharStyle174"/>
                <w:vertAlign w:val="superscript"/>
              </w:rPr>
              <w:t>1</w:t>
            </w:r>
          </w:p>
          <w:p>
            <w:pPr>
              <w:pStyle w:val="Style30"/>
              <w:framePr w:w="4805" w:wrap="notBeside" w:vAnchor="text" w:hAnchor="text" w:xAlign="center" w:y="1"/>
              <w:widowControl w:val="0"/>
              <w:keepNext w:val="0"/>
              <w:keepLines w:val="0"/>
              <w:shd w:val="clear" w:color="auto" w:fill="auto"/>
              <w:bidi w:val="0"/>
              <w:spacing w:before="0" w:after="0" w:line="260" w:lineRule="exact"/>
              <w:ind w:left="0" w:right="0" w:firstLine="0"/>
            </w:pPr>
            <w:r>
              <w:rPr>
                <w:rStyle w:val="CharStyle174"/>
                <w:vertAlign w:val="superscript"/>
              </w:rPr>
              <w:t>1</w:t>
            </w:r>
            <w:r>
              <w:rPr>
                <w:rStyle w:val="CharStyle174"/>
              </w:rPr>
              <w:t xml:space="preserve"> </w:t>
            </w:r>
            <w:r>
              <w:rPr>
                <w:rStyle w:val="CharStyle177"/>
              </w:rPr>
              <w:t>t</w:t>
            </w:r>
            <w:r>
              <w:rPr>
                <w:rStyle w:val="CharStyle174"/>
              </w:rPr>
              <w:t xml:space="preserve"> </w:t>
            </w:r>
            <w:r>
              <w:rPr>
                <w:rStyle w:val="CharStyle174"/>
                <w:vertAlign w:val="superscript"/>
              </w:rPr>
              <w:t>1</w:t>
            </w:r>
            <w:r>
              <w:rPr>
                <w:rStyle w:val="CharStyle174"/>
              </w:rPr>
              <w:t xml:space="preserve"> 1 4</w:t>
            </w:r>
          </w:p>
          <w:p>
            <w:pPr>
              <w:pStyle w:val="Style30"/>
              <w:framePr w:w="4805" w:wrap="notBeside" w:vAnchor="text" w:hAnchor="text" w:xAlign="center" w:y="1"/>
              <w:widowControl w:val="0"/>
              <w:keepNext w:val="0"/>
              <w:keepLines w:val="0"/>
              <w:shd w:val="clear" w:color="auto" w:fill="auto"/>
              <w:bidi w:val="0"/>
              <w:jc w:val="left"/>
              <w:spacing w:before="0" w:after="0" w:line="1240" w:lineRule="exact"/>
              <w:ind w:left="0" w:right="0" w:firstLine="0"/>
            </w:pPr>
            <w:r>
              <w:rPr>
                <w:rStyle w:val="CharStyle179"/>
              </w:rPr>
              <w:t>нШН</w:t>
            </w:r>
            <w:r>
              <w:rPr>
                <w:rStyle w:val="CharStyle179"/>
                <w:lang w:val="en-US" w:eastAsia="en-US" w:bidi="en-US"/>
                <w:vertAlign w:val="superscript"/>
              </w:rPr>
              <w:t>u</w:t>
            </w:r>
          </w:p>
          <w:p>
            <w:pPr>
              <w:pStyle w:val="Style30"/>
              <w:framePr w:w="4805" w:wrap="notBeside" w:vAnchor="text" w:hAnchor="text" w:xAlign="center" w:y="1"/>
              <w:tabs>
                <w:tab w:leader="underscore" w:pos="696" w:val="left"/>
              </w:tabs>
              <w:widowControl w:val="0"/>
              <w:keepNext w:val="0"/>
              <w:keepLines w:val="0"/>
              <w:shd w:val="clear" w:color="auto" w:fill="auto"/>
              <w:bidi w:val="0"/>
              <w:spacing w:before="0" w:after="0" w:line="260" w:lineRule="exact"/>
              <w:ind w:left="0" w:right="0" w:firstLine="0"/>
            </w:pPr>
            <w:r>
              <w:rPr>
                <w:rStyle w:val="CharStyle174"/>
              </w:rPr>
              <w:t>u</w:t>
              <w:tab/>
              <w:t>UAijuU—wL</w:t>
            </w:r>
          </w:p>
        </w:tc>
      </w:tr>
    </w:tbl>
    <w:p>
      <w:pPr>
        <w:pStyle w:val="Style96"/>
        <w:framePr w:w="4805"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73"/>
        </w:rPr>
        <w:t xml:space="preserve">Рис. 91. </w:t>
      </w:r>
      <w:r>
        <w:rPr>
          <w:lang w:val="ru-RU" w:eastAsia="ru-RU" w:bidi="ru-RU"/>
          <w:w w:val="100"/>
          <w:spacing w:val="0"/>
          <w:color w:val="000000"/>
          <w:position w:val="0"/>
        </w:rPr>
        <w:t>Групповые правожелудочковые экстрасистолы.</w:t>
      </w:r>
    </w:p>
    <w:p>
      <w:pPr>
        <w:framePr w:w="4805" w:wrap="notBeside" w:vAnchor="text" w:hAnchor="text" w:xAlign="center" w:y="1"/>
        <w:widowControl w:val="0"/>
        <w:rPr>
          <w:sz w:val="2"/>
          <w:szCs w:val="2"/>
        </w:rPr>
      </w:pPr>
    </w:p>
    <w:p>
      <w:pPr>
        <w:widowControl w:val="0"/>
        <w:spacing w:line="540" w:lineRule="exact"/>
        <w:rPr>
          <w:sz w:val="24"/>
          <w:szCs w:val="24"/>
        </w:rPr>
      </w:pPr>
    </w:p>
    <w:p>
      <w:pPr>
        <w:framePr w:h="4195" w:wrap="notBeside" w:vAnchor="text" w:hAnchor="text" w:xAlign="center" w:y="1"/>
        <w:widowControl w:val="0"/>
        <w:jc w:val="center"/>
        <w:rPr>
          <w:sz w:val="2"/>
          <w:szCs w:val="2"/>
        </w:rPr>
      </w:pPr>
      <w:r>
        <w:pict>
          <v:shape id="_x0000_s1773" type="#_x0000_t75" style="width:169pt;height:210pt;">
            <v:imagedata r:id="rId1225" r:href="rId1226"/>
          </v:shape>
        </w:pict>
      </w:r>
    </w:p>
    <w:p>
      <w:pPr>
        <w:pStyle w:val="Style120"/>
        <w:framePr w:h="4195"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25"/>
        </w:rPr>
        <w:t xml:space="preserve">Рис. 92. </w:t>
      </w:r>
      <w:r>
        <w:rPr>
          <w:lang w:val="ru-RU" w:eastAsia="ru-RU" w:bidi="ru-RU"/>
          <w:w w:val="100"/>
          <w:spacing w:val="0"/>
          <w:color w:val="000000"/>
          <w:position w:val="0"/>
        </w:rPr>
        <w:t xml:space="preserve">Спаренные экстрасистолы типа </w:t>
      </w:r>
      <w:r>
        <w:rPr>
          <w:lang w:val="en-US" w:eastAsia="en-US" w:bidi="en-US"/>
          <w:w w:val="100"/>
          <w:spacing w:val="0"/>
          <w:color w:val="000000"/>
          <w:position w:val="0"/>
        </w:rPr>
        <w:t>R</w:t>
      </w:r>
      <w:r>
        <w:rPr>
          <w:lang w:val="ru-RU" w:eastAsia="ru-RU" w:bidi="ru-RU"/>
          <w:w w:val="100"/>
          <w:spacing w:val="0"/>
          <w:color w:val="000000"/>
          <w:position w:val="0"/>
        </w:rPr>
        <w:t>-на-Т</w:t>
      </w:r>
    </w:p>
    <w:p>
      <w:pPr>
        <w:widowControl w:val="0"/>
        <w:rPr>
          <w:sz w:val="2"/>
          <w:szCs w:val="2"/>
        </w:rPr>
      </w:pPr>
    </w:p>
    <w:p>
      <w:pPr>
        <w:pStyle w:val="Style30"/>
        <w:numPr>
          <w:ilvl w:val="0"/>
          <w:numId w:val="161"/>
        </w:numPr>
        <w:tabs>
          <w:tab w:leader="none" w:pos="781" w:val="left"/>
        </w:tabs>
        <w:widowControl w:val="0"/>
        <w:keepNext w:val="0"/>
        <w:keepLines w:val="0"/>
        <w:shd w:val="clear" w:color="auto" w:fill="auto"/>
        <w:bidi w:val="0"/>
        <w:spacing w:before="818" w:after="0"/>
        <w:ind w:left="720" w:right="0" w:hanging="240"/>
      </w:pPr>
      <w:r>
        <w:rPr>
          <w:lang w:val="ru-RU" w:eastAsia="ru-RU" w:bidi="ru-RU"/>
          <w:w w:val="100"/>
          <w:spacing w:val="0"/>
          <w:color w:val="000000"/>
          <w:position w:val="0"/>
        </w:rPr>
        <w:t>применении лидокаина и других противоаритми</w:t>
        <w:softHyphen/>
        <w:t>ческих препаратов I класса в условиях острого ИМ не рекомендуется из-за их токсических эффектов:</w:t>
      </w:r>
    </w:p>
    <w:p>
      <w:pPr>
        <w:pStyle w:val="Style30"/>
        <w:numPr>
          <w:ilvl w:val="0"/>
          <w:numId w:val="161"/>
        </w:numPr>
        <w:tabs>
          <w:tab w:leader="none" w:pos="932" w:val="left"/>
        </w:tabs>
        <w:widowControl w:val="0"/>
        <w:keepNext w:val="0"/>
        <w:keepLines w:val="0"/>
        <w:shd w:val="clear" w:color="auto" w:fill="auto"/>
        <w:bidi w:val="0"/>
        <w:spacing w:before="0" w:after="0"/>
        <w:ind w:left="720" w:right="0" w:firstLine="0"/>
      </w:pPr>
      <w:r>
        <w:rPr>
          <w:lang w:val="ru-RU" w:eastAsia="ru-RU" w:bidi="ru-RU"/>
          <w:w w:val="100"/>
          <w:spacing w:val="0"/>
          <w:color w:val="000000"/>
          <w:position w:val="0"/>
        </w:rPr>
        <w:t>это включает пациентов с эктопией в период сра</w:t>
        <w:softHyphen/>
        <w:t>зу после получения тромболитических средств, во время которого часто наблюдается сложная эк</w:t>
        <w:softHyphen/>
        <w:t>топия;</w:t>
      </w:r>
    </w:p>
    <w:p>
      <w:pPr>
        <w:pStyle w:val="Style30"/>
        <w:numPr>
          <w:ilvl w:val="0"/>
          <w:numId w:val="161"/>
        </w:numPr>
        <w:tabs>
          <w:tab w:leader="none" w:pos="918" w:val="left"/>
        </w:tabs>
        <w:widowControl w:val="0"/>
        <w:keepNext w:val="0"/>
        <w:keepLines w:val="0"/>
        <w:shd w:val="clear" w:color="auto" w:fill="auto"/>
        <w:bidi w:val="0"/>
        <w:spacing w:before="0" w:after="0"/>
        <w:ind w:left="720" w:right="0" w:firstLine="0"/>
      </w:pPr>
      <w:r>
        <w:rPr>
          <w:lang w:val="ru-RU" w:eastAsia="ru-RU" w:bidi="ru-RU"/>
          <w:w w:val="100"/>
          <w:spacing w:val="0"/>
          <w:color w:val="000000"/>
          <w:position w:val="0"/>
        </w:rPr>
        <w:t>только в условиях симптоматической, сложной эктопии лидокаин приносит пользу пациентам с ИМ;</w:t>
      </w:r>
    </w:p>
    <w:p>
      <w:pPr>
        <w:pStyle w:val="Style30"/>
        <w:numPr>
          <w:ilvl w:val="0"/>
          <w:numId w:val="161"/>
        </w:numPr>
        <w:tabs>
          <w:tab w:leader="none" w:pos="781" w:val="left"/>
        </w:tabs>
        <w:widowControl w:val="0"/>
        <w:keepNext w:val="0"/>
        <w:keepLines w:val="0"/>
        <w:shd w:val="clear" w:color="auto" w:fill="auto"/>
        <w:bidi w:val="0"/>
        <w:spacing w:before="0" w:after="180"/>
        <w:ind w:left="720" w:right="0" w:hanging="240"/>
      </w:pPr>
      <w:r>
        <w:rPr>
          <w:lang w:val="ru-RU" w:eastAsia="ru-RU" w:bidi="ru-RU"/>
          <w:w w:val="100"/>
          <w:spacing w:val="0"/>
          <w:color w:val="000000"/>
          <w:position w:val="0"/>
        </w:rPr>
        <w:t>применение Р-блокаторов в условиях острого ИМ является эффективным и безопасным.</w:t>
      </w:r>
    </w:p>
    <w:p>
      <w:pPr>
        <w:pStyle w:val="Style92"/>
        <w:widowControl w:val="0"/>
        <w:keepNext/>
        <w:keepLines/>
        <w:shd w:val="clear" w:color="auto" w:fill="auto"/>
        <w:bidi w:val="0"/>
        <w:spacing w:before="0" w:after="0"/>
        <w:ind w:left="480" w:right="0" w:hanging="220"/>
      </w:pPr>
      <w:bookmarkStart w:id="790" w:name="bookmark790"/>
      <w:r>
        <w:rPr>
          <w:lang w:val="ru-RU" w:eastAsia="ru-RU" w:bidi="ru-RU"/>
          <w:w w:val="100"/>
          <w:spacing w:val="0"/>
          <w:color w:val="000000"/>
          <w:position w:val="0"/>
        </w:rPr>
        <w:t>Прогноз</w:t>
      </w:r>
      <w:bookmarkEnd w:id="790"/>
    </w:p>
    <w:p>
      <w:pPr>
        <w:pStyle w:val="Style30"/>
        <w:widowControl w:val="0"/>
        <w:keepNext w:val="0"/>
        <w:keepLines w:val="0"/>
        <w:shd w:val="clear" w:color="auto" w:fill="auto"/>
        <w:bidi w:val="0"/>
        <w:spacing w:before="0" w:after="0"/>
        <w:ind w:left="480" w:right="0" w:hanging="220"/>
      </w:pPr>
      <w:r>
        <w:pict>
          <v:shape id="_x0000_s1774" type="#_x0000_t75" style="position:absolute;margin-left:142.7pt;margin-top:736.55pt;width:209.75pt;height:14.9pt;z-index:-125828854;mso-wrap-distance-left:136.1pt;mso-wrap-distance-right:136.3pt;mso-wrap-distance-bottom:10.8pt;mso-position-horizontal-relative:margin;mso-position-vertical-relative:margin" wrapcoords="0 0 21600 0 21600 21600 0 21600 0 0">
            <v:imagedata r:id="rId1227" r:href="rId1228"/>
            <w10:wrap type="topAndBottom" anchorx="margin" anchory="margin"/>
          </v:shape>
        </w:pict>
      </w:r>
      <w:r>
        <w:rPr>
          <w:lang w:val="ru-RU" w:eastAsia="ru-RU" w:bidi="ru-RU"/>
          <w:w w:val="100"/>
          <w:spacing w:val="0"/>
          <w:color w:val="000000"/>
          <w:position w:val="0"/>
        </w:rPr>
        <w:t>• У бессимптомных пациентов без органического забо</w:t>
        <w:softHyphen/>
        <w:t>левания сердца долгосрочный прогноз сходен с тако</w:t>
        <w:softHyphen/>
        <w:t>вым в общей популяции.</w:t>
      </w:r>
      <w:r>
        <w:br w:type="page"/>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rStyle w:val="CharStyle103"/>
        </w:rPr>
        <w:t>У</w:t>
      </w:r>
      <w:r>
        <w:rPr>
          <w:lang w:val="ru-RU" w:eastAsia="ru-RU" w:bidi="ru-RU"/>
          <w:w w:val="100"/>
          <w:spacing w:val="0"/>
          <w:color w:val="000000"/>
          <w:position w:val="0"/>
        </w:rPr>
        <w:t xml:space="preserve"> пациентов с хроническим структурным заболева</w:t>
        <w:softHyphen/>
        <w:t>нием сердца (например, кардиомиопатия, инфаркт, клапанный порок) и сложной эктопией (например, &gt;10 ПСЖ/ч) имеется достоверно повышенная смерт</w:t>
        <w:softHyphen/>
        <w:t>ность:</w:t>
      </w:r>
    </w:p>
    <w:p>
      <w:pPr>
        <w:pStyle w:val="Style30"/>
        <w:numPr>
          <w:ilvl w:val="0"/>
          <w:numId w:val="161"/>
        </w:numPr>
        <w:tabs>
          <w:tab w:leader="none" w:pos="74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роль антиаритмической терапии в течение не</w:t>
        <w:softHyphen/>
        <w:t>скольких месяцев после ИМ еще недостаточно по</w:t>
        <w:softHyphen/>
        <w:t>нят. Амиодарон у этих больных значительно сни</w:t>
        <w:softHyphen/>
        <w:t>жает постинфарктные желудочковые аритмии и внезапную смерть;</w:t>
      </w:r>
    </w:p>
    <w:p>
      <w:pPr>
        <w:pStyle w:val="Style30"/>
        <w:numPr>
          <w:ilvl w:val="0"/>
          <w:numId w:val="161"/>
        </w:numPr>
        <w:tabs>
          <w:tab w:leader="none" w:pos="74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левожелудочковая дисфункция имеет гораздо более сильную ассоциацию с повышенной смертностью, чем ПСЖ. Сейчас многие считают, что ПСЖ отража</w:t>
        <w:softHyphen/>
        <w:t>ет скорее степень тяжести порока сердца, чем играет прогностическую роль при возникновении аритмий.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Желудочковая экстрасистолия играет первостепен</w:t>
        <w:softHyphen/>
        <w:t>ную роль в стратификации риска у пациентов с ком</w:t>
        <w:softHyphen/>
        <w:t>плексными ПСЖ.</w:t>
      </w:r>
    </w:p>
    <w:p>
      <w:pPr>
        <w:pStyle w:val="Style30"/>
        <w:numPr>
          <w:ilvl w:val="0"/>
          <w:numId w:val="159"/>
        </w:numPr>
        <w:tabs>
          <w:tab w:leader="none" w:pos="517" w:val="left"/>
        </w:tabs>
        <w:widowControl w:val="0"/>
        <w:keepNext w:val="0"/>
        <w:keepLines w:val="0"/>
        <w:shd w:val="clear" w:color="auto" w:fill="auto"/>
        <w:bidi w:val="0"/>
        <w:spacing w:before="0" w:after="242"/>
        <w:ind w:left="520" w:right="0" w:hanging="240"/>
      </w:pPr>
      <w:r>
        <w:rPr>
          <w:lang w:val="ru-RU" w:eastAsia="ru-RU" w:bidi="ru-RU"/>
          <w:w w:val="100"/>
          <w:spacing w:val="0"/>
          <w:color w:val="000000"/>
          <w:position w:val="0"/>
        </w:rPr>
        <w:t>Пациенты с ПСЖ, у которых не удается запустить же - лудочковую тахикардию во время стимуляции, имеют низкий риск внезапной смерти.</w:t>
      </w:r>
    </w:p>
    <w:p>
      <w:pPr>
        <w:pStyle w:val="Style28"/>
        <w:widowControl w:val="0"/>
        <w:keepNext/>
        <w:keepLines/>
        <w:shd w:val="clear" w:color="auto" w:fill="auto"/>
        <w:bidi w:val="0"/>
        <w:jc w:val="left"/>
        <w:spacing w:before="0" w:after="118" w:line="288" w:lineRule="exact"/>
        <w:ind w:left="0" w:right="0" w:firstLine="0"/>
      </w:pPr>
      <w:bookmarkStart w:id="791" w:name="bookmark791"/>
      <w:r>
        <w:rPr>
          <w:lang w:val="ru-RU" w:eastAsia="ru-RU" w:bidi="ru-RU"/>
          <w:w w:val="100"/>
          <w:spacing w:val="0"/>
          <w:color w:val="000000"/>
          <w:position w:val="0"/>
        </w:rPr>
        <w:t>Синдром слабости синусового узла (дисфункция синусового узла)</w:t>
      </w:r>
      <w:bookmarkEnd w:id="79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Термин «синдром слабости синусового узла» впервые появился в литературе в 1967 году для описания быстрого предсердного ритма, перемежающегося с различными пе</w:t>
        <w:softHyphen/>
        <w:t>риодами брадикардии после кардиоверсии. В настоящее время этим термином определяют широкий диапазон элек</w:t>
        <w:softHyphen/>
        <w:t>трофизиологических аномалий, включая несоответствую</w:t>
        <w:softHyphen/>
        <w:t>щую синусовую брадикардию, прекращение активности синусового узла, блокаду выхода синусового узла, хрониче</w:t>
        <w:softHyphen/>
        <w:t>скую фибрилляцию предсердий и синдром брадикардии- тахикардии. Хотя термин остается популярным, бoльшую распространенность получает более понятный и правиль</w:t>
        <w:softHyphen/>
        <w:t>ный термин — дисфункция синусового узла (ДСУ).</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ДСУ характеризуется запаздыванием или отсутствием проведения между синусовым узлом и предсердием либо вследствие неадекватного вождения ритма синусовым уз</w:t>
        <w:softHyphen/>
        <w:t>лом, либо из-за внутреннего или внешнего нарушения про</w:t>
        <w:softHyphen/>
        <w:t>водимости. Если степень дисфункции минимальна, пациент обычно бессимптомен. Однако далеко зашедшая ДСУ не</w:t>
        <w:softHyphen/>
        <w:t>предсказуемо злокачественна и часто характеризуется значи</w:t>
        <w:softHyphen/>
        <w:t>тельными сердечно-сосудистыми нарушениями. Клиничес</w:t>
        <w:softHyphen/>
        <w:t>кие симптомы являются следствием гипоперфузии жизнен</w:t>
        <w:softHyphen/>
        <w:t>но важных органов, особенно головного мозга и сердца, обычно в результате неадекватного желудочкового ритма. Пациенты обычно предъявляют жалобы, связанные с нару</w:t>
        <w:softHyphen/>
        <w:t>шениями функций головного мозга или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детском возрасте не установлена.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numPr>
          <w:ilvl w:val="0"/>
          <w:numId w:val="159"/>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Болезнь может наблюдаться в любой возрастной группе, включая подростков и детей.</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Пациенты детского возраста более подвержены во время послеоперационного периода после обширной сердечной хирургии, особенно транспозиции магист</w:t>
        <w:softHyphen/>
        <w:t>ральных сосудов.</w:t>
      </w:r>
    </w:p>
    <w:p>
      <w:pPr>
        <w:pStyle w:val="Style92"/>
        <w:widowControl w:val="0"/>
        <w:keepNext/>
        <w:keepLines/>
        <w:shd w:val="clear" w:color="auto" w:fill="auto"/>
        <w:bidi w:val="0"/>
        <w:spacing w:before="0" w:after="0"/>
        <w:ind w:left="0" w:right="0" w:firstLine="280"/>
      </w:pPr>
      <w:r>
        <w:br w:type="column"/>
      </w:r>
      <w:bookmarkStart w:id="792" w:name="bookmark792"/>
      <w:r>
        <w:rPr>
          <w:lang w:val="ru-RU" w:eastAsia="ru-RU" w:bidi="ru-RU"/>
          <w:w w:val="100"/>
          <w:spacing w:val="0"/>
          <w:color w:val="000000"/>
          <w:position w:val="0"/>
        </w:rPr>
        <w:t>Анамнез, клиническая симптоматика</w:t>
      </w:r>
      <w:bookmarkEnd w:id="79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 как ДСУ является неоднородным состоянием, его клинические проявления могут изменяться в широких пре</w:t>
        <w:softHyphen/>
        <w:t>делах. На ранних стадиях ДСУ у большинства пациентов симптомы отсутствуют. Однако по мере развития заболева</w:t>
        <w:softHyphen/>
        <w:t>ния пациенты все чаще начинают обращаться за медицин</w:t>
        <w:softHyphen/>
        <w:t>ской помощью по поводу симптомов, связанных с бради</w:t>
        <w:softHyphen/>
        <w:t>кардией. Среди наиболее распространенных симптомов — обмороки, полуобморочные состояния и головокружения, за которыми следуют учащенное сердцебиение, стенокар</w:t>
        <w:softHyphen/>
        <w:t>дия или одышка. Из-за того, что эти симптомы относитель</w:t>
        <w:softHyphen/>
        <w:t>но неспецифичны, то необходим высокий индекс подозри</w:t>
        <w:softHyphen/>
        <w:t>тельности, чтобы поставить правильный диагноз.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Церебральные симптомы:</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Пациенты с симптомами легкой степени предъяв</w:t>
        <w:softHyphen/>
        <w:t>ляют смутные жалобы на усталость, раздражитель</w:t>
        <w:softHyphen/>
        <w:t>ность, перемену настроения, забывчивость.</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 мере прогрессирования болезни и нарушения кровотока проявления со стороны головного мозга становятся все более выраженными. Среди них следует отметить головокружение, невнятность ре</w:t>
        <w:softHyphen/>
        <w:t>чи, полуобморочные состояния и, наконец, обмо</w:t>
        <w:softHyphen/>
        <w:t>роки. Обморок почти всегда означает выраженную брадикардию. Считается, что обмороки происхо</w:t>
        <w:softHyphen/>
        <w:t>дят у большинства пациентов с ДСУ.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Сердечные симптомы:</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 раннем этапе заболевания пациенты могут от</w:t>
        <w:softHyphen/>
        <w:t>мечать аномально низкий или нерегулярный пульс.</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 мере развития болезни возникают следующие наиболее распространенные проявления со сторо</w:t>
        <w:softHyphen/>
        <w:t>ны сердца: учащенное сердцебиение, стенокардия и одышка, которая является следствием застойной сердечной недостаточности (ЗСН).</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Учащенное сердцебиение может быть связано с су</w:t>
        <w:softHyphen/>
        <w:t>правентрикулярной тахикардией (СВТ) или сме</w:t>
        <w:softHyphen/>
        <w:t>сью тахикардии и брадикардии.</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Симптомы стенокардии и ЗСН обычно являются следствием гипоперфузии сердца, отмечались слу</w:t>
        <w:softHyphen/>
        <w:t>чаи фульминантного отека легких.</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 более поздних этапах частота желудочковой та</w:t>
        <w:softHyphen/>
        <w:t>хикардии или фибрилляции увеличивается, тем са</w:t>
        <w:softHyphen/>
        <w:t>мым риск внезапной сердечной смерти.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Другие симптомы:</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Другие симптомы включают гипоперфузию почек и, как следствие, олигурию.</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Некоторые пациенты предъявляют смутные жало - бы на ЖКТ, что, вероятно, тоже связано с неадек</w:t>
        <w:softHyphen/>
        <w:t>ватной оксигенацией.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Физикальные данные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Результаты только физикального обследования никогда не являются диагностическими. Среди наиболее частых на</w:t>
        <w:softHyphen/>
        <w:t>ходок следует отметить удлиненные периоды брадикардии, которые наблюдаются у 75% пациентов. Любой человек с не</w:t>
        <w:softHyphen/>
        <w:t>объяснимой выраженной брадикардией требует, по всей ви</w:t>
        <w:softHyphen/>
        <w:t>димости, комплексного исследования с целью постановки точного диагноза. Иногда при внимательной оценке пульса удается выявить аритмию. Помочь поставить правильный диагноз призваны следующие основные процедуры: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Процедура Вальсальвы:</w:t>
      </w:r>
    </w:p>
    <w:p>
      <w:pPr>
        <w:pStyle w:val="Style30"/>
        <w:widowControl w:val="0"/>
        <w:keepNext w:val="0"/>
        <w:keepLines w:val="0"/>
        <w:shd w:val="clear" w:color="auto" w:fill="auto"/>
        <w:bidi w:val="0"/>
        <w:spacing w:before="0" w:after="0"/>
        <w:ind w:left="740" w:right="0" w:hanging="240"/>
      </w:pPr>
      <w:r>
        <w:pict>
          <v:shape id="_x0000_s1775" type="#_x0000_t75" style="position:absolute;margin-left:137.15pt;margin-top:736.55pt;width:209.75pt;height:14.9pt;z-index:-125828853;mso-wrap-distance-left:136.8pt;mso-wrap-distance-right:148.1pt;mso-wrap-distance-bottom:10.8pt;mso-position-horizontal-relative:margin;mso-position-vertical-relative:margin" wrapcoords="0 0 21600 0 21600 21600 0 21600 0 0">
            <v:imagedata r:id="rId1229" r:href="rId1230"/>
            <w10:wrap type="topAndBottom" anchorx="margin" anchory="margin"/>
          </v:shape>
        </w:pict>
      </w:r>
      <w:r>
        <w:rPr>
          <w:lang w:val="ru-RU" w:eastAsia="ru-RU" w:bidi="ru-RU"/>
          <w:w w:val="100"/>
          <w:spacing w:val="0"/>
          <w:color w:val="000000"/>
          <w:position w:val="0"/>
        </w:rPr>
        <w:t>- у здоровых лиц процедура Вальсальвы приведет к увеличению ЧСС;</w:t>
      </w:r>
      <w:r>
        <w:br w:type="page"/>
      </w:r>
    </w:p>
    <w:p>
      <w:pPr>
        <w:pStyle w:val="Style30"/>
        <w:numPr>
          <w:ilvl w:val="0"/>
          <w:numId w:val="161"/>
        </w:numPr>
        <w:tabs>
          <w:tab w:leader="none" w:pos="83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 пациентов с ДСУ, как правило, не наблюдается адекватного ответа (ЧСС не меняется).</w:t>
      </w:r>
    </w:p>
    <w:p>
      <w:pPr>
        <w:pStyle w:val="Style30"/>
        <w:numPr>
          <w:ilvl w:val="0"/>
          <w:numId w:val="159"/>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Массаж каротидного синуса:</w:t>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Массаж каротидного синуса может оказаться полез</w:t>
        <w:softHyphen/>
        <w:t>ным. Если каротидный массаж провоцирует синус</w:t>
        <w:softHyphen/>
        <w:t>ные паузы дольше 3 секунд, то ДСУ следует рассмот</w:t>
        <w:softHyphen/>
        <w:t>реть тщательно.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Хотя точная этиология синдрома не определена, боль</w:t>
        <w:softHyphen/>
        <w:t>шинство случаев можно приписать сочетанию внутренних и внешних воздействий. Среди наиболее распространенных внутренних причин следует отметить идиопатическое деге</w:t>
        <w:softHyphen/>
        <w:t>неративное заболевание болезни коронарных сосудов. Са</w:t>
        <w:softHyphen/>
        <w:t>мыми частыми внешними причинами являются лекарствен</w:t>
        <w:softHyphen/>
        <w:t>ные средства и автономная гиперреактивность. ДСУ всегда является приобретенным патологическим состоянием. Нет доказанных данных о наследственном его происхождении.</w:t>
      </w:r>
    </w:p>
    <w:p>
      <w:pPr>
        <w:pStyle w:val="Style30"/>
        <w:numPr>
          <w:ilvl w:val="0"/>
          <w:numId w:val="159"/>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Внутренняя дисфункция синусового узла:</w:t>
      </w:r>
    </w:p>
    <w:p>
      <w:pPr>
        <w:pStyle w:val="Style30"/>
        <w:numPr>
          <w:ilvl w:val="0"/>
          <w:numId w:val="161"/>
        </w:numPr>
        <w:tabs>
          <w:tab w:leader="none" w:pos="83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наиболее распространенной причиной является идиопатическое дегенеративное заболевание. С возрастом миокард, окружающий синусовый узел, постепенно замещается фиброзной стромой. По мере прогрессирования этого фиброза может произойти нарушение автоматизма и синоатри</w:t>
        <w:softHyphen/>
        <w:t>альной проводимости. У пациента с ДСУ фиброз синусового узла практически полный. Почему у одних пациентов с диффузным фиброзом развива</w:t>
        <w:softHyphen/>
        <w:t>ется ДСУ, а у других — нет, остается не выяснен</w:t>
        <w:softHyphen/>
        <w:t>ным до конца;</w:t>
      </w:r>
    </w:p>
    <w:p>
      <w:pPr>
        <w:pStyle w:val="Style30"/>
        <w:numPr>
          <w:ilvl w:val="0"/>
          <w:numId w:val="161"/>
        </w:numPr>
        <w:tabs>
          <w:tab w:leader="none" w:pos="83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врожденные и приобретенные аномалии коро</w:t>
        <w:softHyphen/>
        <w:t>нарных сосудов могут вызвать ДСУ посредством хронической гипоперфузии или в качестве ос</w:t>
        <w:softHyphen/>
        <w:t>ложнения острого ишемического эпизода. Ост</w:t>
        <w:softHyphen/>
        <w:t>рый нижний или боковой инфаркт миокарда иногда осложняется значительной брадикардией или прекращением деятельности синусового уз</w:t>
        <w:softHyphen/>
        <w:t>ла; эти аритмии являются следствием местных невральных эффектов и обычно носят преходя</w:t>
        <w:softHyphen/>
        <w:t>щий характер;</w:t>
      </w:r>
    </w:p>
    <w:p>
      <w:pPr>
        <w:pStyle w:val="Style30"/>
        <w:numPr>
          <w:ilvl w:val="0"/>
          <w:numId w:val="161"/>
        </w:numPr>
        <w:tabs>
          <w:tab w:leader="none" w:pos="83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ниже приводятся причины, которые тоже могут вызвать ДСУ:</w:t>
      </w:r>
    </w:p>
    <w:p>
      <w:pPr>
        <w:pStyle w:val="Style30"/>
        <w:numPr>
          <w:ilvl w:val="0"/>
          <w:numId w:val="161"/>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инфильтративное заболевание (амилоидное, ге- мохроматоз, новообразования);</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кардиомиопатия;</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гипертензия;</w:t>
      </w:r>
    </w:p>
    <w:p>
      <w:pPr>
        <w:pStyle w:val="Style30"/>
        <w:numPr>
          <w:ilvl w:val="0"/>
          <w:numId w:val="161"/>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коллагеновое сосудистое заболевание (системная красная волчанка [СКВ], склеродермия);</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врожденный порок сердца;</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хирургическая травма/сердечный трансплантат;</w:t>
      </w:r>
    </w:p>
    <w:p>
      <w:pPr>
        <w:pStyle w:val="Style30"/>
        <w:numPr>
          <w:ilvl w:val="0"/>
          <w:numId w:val="161"/>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нарушения опорно-двигательного аппарата (мы</w:t>
        <w:softHyphen/>
        <w:t>шечная дистрофия, атаксия Фридрейха);</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миокардит/перикардит.</w:t>
      </w:r>
    </w:p>
    <w:p>
      <w:pPr>
        <w:pStyle w:val="Style30"/>
        <w:numPr>
          <w:ilvl w:val="0"/>
          <w:numId w:val="159"/>
        </w:numPr>
        <w:tabs>
          <w:tab w:leader="none" w:pos="52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Внешняя дисфункция синусового узла:</w:t>
      </w:r>
    </w:p>
    <w:p>
      <w:pPr>
        <w:pStyle w:val="Style30"/>
        <w:numPr>
          <w:ilvl w:val="0"/>
          <w:numId w:val="161"/>
        </w:numPr>
        <w:tabs>
          <w:tab w:leader="none" w:pos="834"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наиболее частой причиной ДСУ могут быть следу</w:t>
        <w:softHyphen/>
        <w:t>ющие лекарственные средства, угнетающие функ</w:t>
        <w:softHyphen/>
        <w:t>цию синусового узла:</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в-блокаторы;</w:t>
      </w:r>
    </w:p>
    <w:p>
      <w:pPr>
        <w:pStyle w:val="Style30"/>
        <w:numPr>
          <w:ilvl w:val="0"/>
          <w:numId w:val="161"/>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недигидропиридиновые блокаторы кальциевых каналов (дилтиазем, верапамил);</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сердечные гликозиды (дигоксин);</w:t>
      </w:r>
    </w:p>
    <w:p>
      <w:pPr>
        <w:pStyle w:val="Style30"/>
        <w:numPr>
          <w:ilvl w:val="0"/>
          <w:numId w:val="161"/>
        </w:numPr>
        <w:tabs>
          <w:tab w:leader="none" w:pos="933"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симпатолитические гипотензивные препараты (клонидин, метилдопа и резерпин);</w:t>
      </w:r>
    </w:p>
    <w:p>
      <w:pPr>
        <w:pStyle w:val="Style30"/>
        <w:numPr>
          <w:ilvl w:val="0"/>
          <w:numId w:val="161"/>
        </w:numPr>
        <w:tabs>
          <w:tab w:leader="none" w:pos="693" w:val="left"/>
        </w:tabs>
        <w:widowControl w:val="0"/>
        <w:keepNext w:val="0"/>
        <w:keepLines w:val="0"/>
        <w:shd w:val="clear" w:color="auto" w:fill="auto"/>
        <w:bidi w:val="0"/>
        <w:spacing w:before="0" w:after="0"/>
        <w:ind w:left="500" w:right="0" w:firstLine="0"/>
      </w:pPr>
      <w:r>
        <w:br w:type="column"/>
      </w:r>
      <w:r>
        <w:rPr>
          <w:lang w:val="ru-RU" w:eastAsia="ru-RU" w:bidi="ru-RU"/>
          <w:w w:val="100"/>
          <w:spacing w:val="0"/>
          <w:color w:val="000000"/>
          <w:position w:val="0"/>
        </w:rPr>
        <w:t>мембран-активные антиаритмические препараты (амиодарон, соталол, бретилий);</w:t>
      </w:r>
    </w:p>
    <w:p>
      <w:pPr>
        <w:pStyle w:val="Style30"/>
        <w:numPr>
          <w:ilvl w:val="0"/>
          <w:numId w:val="16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менее часто фенитоин, амитриптилин, литий и фенотиазин;</w:t>
      </w:r>
    </w:p>
    <w:p>
      <w:pPr>
        <w:pStyle w:val="Style30"/>
        <w:numPr>
          <w:ilvl w:val="0"/>
          <w:numId w:val="161"/>
        </w:numPr>
        <w:tabs>
          <w:tab w:leader="none" w:pos="55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автономная дисфункция может быть вызвана сти - муляцией блуждающего нерва, что снижает сину</w:t>
        <w:softHyphen/>
        <w:t>совый ритм и удлиняет рефрактерный период си</w:t>
        <w:softHyphen/>
        <w:t>нусового узла. Причиной ДСУ могут быть условия, связанные с выраженной гиперваготонией. У тре</w:t>
        <w:softHyphen/>
        <w:t>нированных спортсменов отмечались симптома</w:t>
        <w:softHyphen/>
        <w:t>тические брадикардии вследствие чрезмерного то</w:t>
        <w:softHyphen/>
        <w:t>на блуждающего нерва. Вазовагальные синкопы, особенно у лиц пожилого возраста, могут присут</w:t>
        <w:softHyphen/>
        <w:t>ствовать при ДСУ. Наконец, синдром каротидного синуса был ассоциирован с повышенным вагус</w:t>
        <w:softHyphen/>
        <w:t>ным тоном, что часто приводит к симптоматичес</w:t>
        <w:softHyphen/>
        <w:t>ким брадиаритмиям;</w:t>
      </w:r>
    </w:p>
    <w:p>
      <w:pPr>
        <w:pStyle w:val="Style30"/>
        <w:numPr>
          <w:ilvl w:val="0"/>
          <w:numId w:val="161"/>
        </w:numPr>
        <w:tabs>
          <w:tab w:leader="none" w:pos="55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причинами внешней ДСУ могут также быть: нару</w:t>
        <w:softHyphen/>
        <w:t>шения электролитного равновесия (например, ги- покалиемия или гипокарбия), гипотиреоз или ги- пертиреоз, гипотермия и сепсис.</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15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Результаты лабораторных анализов крови малоин</w:t>
        <w:softHyphen/>
        <w:t>формативны при постановке диагноза ДСУ.</w:t>
      </w:r>
    </w:p>
    <w:p>
      <w:pPr>
        <w:pStyle w:val="Style30"/>
        <w:numPr>
          <w:ilvl w:val="0"/>
          <w:numId w:val="15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Из-за того, что гипокалиемия, гипонатриемия и ги- покарбия иногда могут усугублять лежащую в основе подверженность к ДСУ, необходимо в рутинном по</w:t>
        <w:softHyphen/>
        <w:t>рядке обследование почек.</w:t>
      </w:r>
    </w:p>
    <w:p>
      <w:pPr>
        <w:pStyle w:val="Style30"/>
        <w:numPr>
          <w:ilvl w:val="0"/>
          <w:numId w:val="159"/>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Также сообщалось, что нарушение функции щито</w:t>
        <w:softHyphen/>
        <w:t>видной железы вызывает ДСУ, поэтому у конкретных пациентов следует назначить обследование щитовид</w:t>
        <w:softHyphen/>
        <w:t>ной железы.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Электрокардиограмма:</w: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Наилучшим диагностическим тестом для ДСУ явля</w:t>
        <w:softHyphen/>
        <w:t>ется электрокардиографическое подтверждение во время симптоматичного эпизода. Следовательно, у всех пациентов с симптомами, говорящими в поль</w:t>
        <w:softHyphen/>
        <w:t>зу ДСУ, следует выполнить ЭКГ в 12 отведениях. В более легких случаях ЭКГ редко приносит большую пользу, однако в более тяжелых случаях ее результаты могут помочь постановке правильного диагноза. ДСУ может проявляться в виде следующих признаков:</w:t>
      </w:r>
    </w:p>
    <w:p>
      <w:pPr>
        <w:pStyle w:val="Style30"/>
        <w:numPr>
          <w:ilvl w:val="0"/>
          <w:numId w:val="159"/>
        </w:numPr>
        <w:tabs>
          <w:tab w:leader="none" w:pos="55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Несоответствующая синусовая брадикардия: са</w:t>
        <w:softHyphen/>
        <w:t>мым ранним проявлением ДСУ обычно является рефрактерная синусовая брадикардия, определяе</w:t>
        <w:softHyphen/>
        <w:t>мая как брадикардия, которая не увеличивается с выделением. Поэтому такой диагноз должен вни</w:t>
        <w:softHyphen/>
        <w:t>мательно рассматриваться у любого пациента с не</w:t>
        <w:softHyphen/>
        <w:t>объяснимой хронической брадикардией.</w:t>
      </w:r>
    </w:p>
    <w:p>
      <w:pPr>
        <w:pStyle w:val="Style30"/>
        <w:numPr>
          <w:ilvl w:val="0"/>
          <w:numId w:val="159"/>
        </w:numPr>
        <w:tabs>
          <w:tab w:leader="none" w:pos="55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Прекращение деятельности синусового узла/синусо - вая пауза: прекращение деятельности синусового уз</w:t>
        <w:softHyphen/>
        <w:t>ла происходит, когда синусовый узел становится на</w:t>
        <w:softHyphen/>
        <w:t>столько пораженным болезнью, что прекращает за</w:t>
        <w:softHyphen/>
        <w:t>пуск соответствующих импульсов. Пауза более 3 се</w:t>
        <w:softHyphen/>
        <w:t>кунд явно свидетельствует в пользу ДСУ. Пауза про</w:t>
        <w:softHyphen/>
        <w:t>должительностью более 2 секунд может быть у тре</w:t>
        <w:softHyphen/>
        <w:t>нированного спортсмена, однако 3-секундная пауза весьма необычна для здорового человека (рис. 93).</w:t>
      </w:r>
    </w:p>
    <w:p>
      <w:pPr>
        <w:pStyle w:val="Style30"/>
        <w:numPr>
          <w:ilvl w:val="0"/>
          <w:numId w:val="159"/>
        </w:numPr>
        <w:tabs>
          <w:tab w:leader="none" w:pos="556" w:val="left"/>
        </w:tabs>
        <w:widowControl w:val="0"/>
        <w:keepNext w:val="0"/>
        <w:keepLines w:val="0"/>
        <w:shd w:val="clear" w:color="auto" w:fill="auto"/>
        <w:bidi w:val="0"/>
        <w:spacing w:before="0" w:after="0"/>
        <w:ind w:left="500" w:right="0" w:hanging="220"/>
        <w:sectPr>
          <w:type w:val="continuous"/>
          <w:pgSz w:w="11900" w:h="16840"/>
          <w:pgMar w:top="1559" w:left="1034" w:right="964" w:bottom="1756" w:header="0" w:footer="3" w:gutter="0"/>
          <w:rtlGutter w:val="0"/>
          <w:cols w:num="2" w:space="205"/>
          <w:noEndnote/>
          <w:docGrid w:linePitch="360"/>
        </w:sectPr>
      </w:pPr>
      <w:r>
        <w:pict>
          <v:shape id="_x0000_s1776" type="#_x0000_t75" style="position:absolute;margin-left:148.45pt;margin-top:736.55pt;width:209.75pt;height:14.9pt;z-index:-125828852;mso-wrap-distance-left:148.1pt;mso-wrap-distance-right:136.8pt;mso-wrap-distance-bottom:10.8pt;mso-position-horizontal-relative:margin;mso-position-vertical-relative:margin" wrapcoords="0 0 21600 0 21600 21600 0 21600 0 0">
            <v:imagedata r:id="rId1231" r:href="rId1232"/>
            <w10:wrap type="topAndBottom" anchorx="margin" anchory="margin"/>
          </v:shape>
        </w:pict>
      </w:r>
      <w:r>
        <w:rPr>
          <w:lang w:val="ru-RU" w:eastAsia="ru-RU" w:bidi="ru-RU"/>
          <w:w w:val="100"/>
          <w:spacing w:val="0"/>
          <w:color w:val="000000"/>
          <w:position w:val="0"/>
        </w:rPr>
        <w:t>Синоаурикулярная блокада выхода: она происхо</w:t>
        <w:softHyphen/>
        <w:t>дит, когда барьер проводимости внутри синусноп</w:t>
        <w:softHyphen/>
        <w:t>редсердного узла блокирует импульсы, направлен-</w:t>
      </w:r>
    </w:p>
    <w:p>
      <w:pPr>
        <w:pStyle w:val="Style30"/>
        <w:widowControl w:val="0"/>
        <w:keepNext w:val="0"/>
        <w:keepLines w:val="0"/>
        <w:shd w:val="clear" w:color="auto" w:fill="auto"/>
        <w:bidi w:val="0"/>
        <w:spacing w:before="0" w:after="0"/>
        <w:ind w:left="500" w:right="0" w:firstLine="0"/>
      </w:pPr>
      <w:r>
        <w:pict>
          <v:shape id="_x0000_s1777" type="#_x0000_t202" style="position:absolute;margin-left:26.15pt;margin-top:-19.45pt;width:63.35pt;height:12.pt;z-index:-125828851;mso-wrap-distance-left:5.pt;mso-wrap-distance-right:5.pt;mso-position-horizontal-relative:margin;mso-position-vertical-relative:margin" filled="f" stroked="f">
            <v:textbox style="mso-fit-shape-to-text:t" inset="0,0,0,0">
              <w:txbxContent>
                <w:p>
                  <w:pPr>
                    <w:pStyle w:val="Style155"/>
                    <w:widowControl w:val="0"/>
                    <w:keepNext w:val="0"/>
                    <w:keepLines w:val="0"/>
                    <w:shd w:val="clear" w:color="auto" w:fill="auto"/>
                    <w:bidi w:val="0"/>
                    <w:jc w:val="left"/>
                    <w:spacing w:before="0" w:after="0" w:line="170" w:lineRule="exact"/>
                    <w:ind w:left="0" w:right="0" w:firstLine="0"/>
                  </w:pPr>
                  <w:r>
                    <w:rPr>
                      <w:lang w:val="ru-RU" w:eastAsia="ru-RU" w:bidi="ru-RU"/>
                      <w:w w:val="100"/>
                      <w:color w:val="000000"/>
                      <w:position w:val="0"/>
                    </w:rPr>
                    <w:t>Белозеров Ю.М.</w:t>
                  </w:r>
                </w:p>
              </w:txbxContent>
            </v:textbox>
            <w10:wrap type="topAndBottom" anchorx="margin" anchory="margin"/>
          </v:shape>
        </w:pict>
      </w:r>
      <w:r>
        <w:pict>
          <v:shape id="_x0000_s1778" type="#_x0000_t202" style="position:absolute;margin-left:342.5pt;margin-top:16.8pt;width:148.3pt;height:31.2pt;z-index:-125828850;mso-wrap-distance-left:5.pt;mso-wrap-distance-right: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22"/>
                    </w:rPr>
                    <w:t xml:space="preserve">Рис. 93. </w:t>
                  </w:r>
                  <w:r>
                    <w:rPr>
                      <w:rStyle w:val="CharStyle121"/>
                    </w:rPr>
                    <w:t>Пауза сердечного ритма при дисфункции синусового узла (холте- ровское мониторирование ЭКГ).</w:t>
                  </w:r>
                </w:p>
              </w:txbxContent>
            </v:textbox>
            <w10:wrap type="topAndBottom" anchorx="margin" anchory="margin"/>
          </v:shape>
        </w:pict>
      </w:r>
      <w:r>
        <w:pict>
          <v:shape id="_x0000_s1779" type="#_x0000_t75" style="position:absolute;margin-left:-6.pt;margin-top:-18.pt;width:314.9pt;height:152.65pt;z-index:-125828849;mso-wrap-distance-left:5.pt;mso-wrap-distance-right:5.pt;mso-position-horizontal-relative:margin;mso-position-vertical-relative:margin">
            <v:imagedata r:id="rId1233" r:href="rId1234"/>
            <w10:wrap type="topAndBottom" anchorx="margin" anchory="margin"/>
          </v:shape>
        </w:pict>
      </w:r>
      <w:r>
        <w:pict>
          <v:shape id="_x0000_s1780" type="#_x0000_t202" style="position:absolute;margin-left:405.85pt;margin-top:-19.45pt;width:84.95pt;height:12.pt;z-index:-125828848;mso-wrap-distance-left:147.6pt;mso-wrap-distance-right:5.pt;mso-position-horizontal-relative:margin;mso-position-vertical-relative:margin" filled="f" stroked="f">
            <v:textbox style="mso-fit-shape-to-text:t" inset="0,0,0,0">
              <w:txbxContent>
                <w:p>
                  <w:pPr>
                    <w:pStyle w:val="Style112"/>
                    <w:widowControl w:val="0"/>
                    <w:keepNext/>
                    <w:keepLines/>
                    <w:shd w:val="clear" w:color="auto" w:fill="auto"/>
                    <w:bidi w:val="0"/>
                    <w:jc w:val="left"/>
                    <w:spacing w:before="0" w:after="0" w:line="150" w:lineRule="exact"/>
                    <w:ind w:left="0" w:right="0" w:firstLine="0"/>
                  </w:pPr>
                  <w:bookmarkStart w:id="784" w:name="bookmark784"/>
                  <w:r>
                    <w:rPr>
                      <w:rStyle w:val="CharStyle119"/>
                    </w:rPr>
                    <w:t>Детская кардиология</w:t>
                  </w:r>
                  <w:bookmarkEnd w:id="784"/>
                </w:p>
              </w:txbxContent>
            </v:textbox>
            <w10:wrap type="topAndBottom" anchorx="margin" anchory="margin"/>
          </v:shape>
        </w:pict>
      </w:r>
      <w:r>
        <w:pict>
          <v:shape id="_x0000_s1781" type="#_x0000_t202" style="position:absolute;margin-left:411.35pt;margin-top:168.5pt;width:77.3pt;height:118.1pt;z-index:-125828847;mso-wrap-distance-left:5.pt;mso-wrap-distance-top:15.85pt;mso-wrap-distance-right: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22"/>
                    </w:rPr>
                    <w:t xml:space="preserve">Рис. 94. </w:t>
                  </w:r>
                  <w:r>
                    <w:rPr>
                      <w:rStyle w:val="CharStyle121"/>
                    </w:rPr>
                    <w:t>Дисфунк</w:t>
                    <w:softHyphen/>
                    <w:t>ция синусового узла в виде тахикардии- брадикардии: узло</w:t>
                    <w:softHyphen/>
                    <w:t>вой медленный ритм с частотой 47 в мин сменяется залпом (второй-пятый ком</w:t>
                    <w:softHyphen/>
                    <w:t>плексы) суправент</w:t>
                    <w:softHyphen/>
                    <w:t>рикулярной тахи</w:t>
                    <w:softHyphen/>
                    <w:t>кардии с частотой 145 в мин.</w:t>
                  </w:r>
                </w:p>
              </w:txbxContent>
            </v:textbox>
            <w10:wrap type="topAndBottom" anchorx="margin" anchory="margin"/>
          </v:shape>
        </w:pict>
      </w:r>
      <w:r>
        <w:pict>
          <v:shape id="_x0000_s1782" type="#_x0000_t75" style="position:absolute;margin-left:-5.3pt;margin-top:150.5pt;width:402.25pt;height:195.85pt;z-index:-125828846;mso-wrap-distance-left:5.pt;mso-wrap-distance-top:15.85pt;mso-wrap-distance-right:5.pt;mso-position-horizontal-relative:margin;mso-position-vertical-relative:margin">
            <v:imagedata r:id="rId1235" r:href="rId1236"/>
            <w10:wrap type="topAndBottom" anchorx="margin" anchory="margin"/>
          </v:shape>
        </w:pict>
      </w:r>
      <w:r>
        <w:rPr>
          <w:lang w:val="ru-RU" w:eastAsia="ru-RU" w:bidi="ru-RU"/>
          <w:w w:val="100"/>
          <w:spacing w:val="0"/>
          <w:color w:val="000000"/>
          <w:position w:val="0"/>
        </w:rPr>
        <w:t>ные в предсердия. Из-за того, что предсердия не деполяризируются, асистолическая пауза заверша</w:t>
        <w:softHyphen/>
        <w:t>ется не Р зубцом, а синусовым толчком. Пауза, ко</w:t>
        <w:softHyphen/>
        <w:t>торая происходит при синоатриальной блокаде, является точной кратной предшествующего ин</w:t>
        <w:softHyphen/>
        <w:t>тервала Р-Р, тогда как пауза, наблюдаемая при пре</w:t>
        <w:softHyphen/>
        <w:t>кращении деятельности синусового узла, таковой не является.</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Хроническая фибрилляция предсердий: ХФП с медленным желудочковым ответом часто означа</w:t>
        <w:softHyphen/>
        <w:t>ет ДСУ. Попытки кардиоверсии типично продуци</w:t>
        <w:softHyphen/>
        <w:t>руют длинную синусовую паузу, за которой следует медленный нестабильный ритм.</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Синдром тахикардии-брадикардии (рис. 94): этот синдром наблюдается у 50% пациентов с ДСУ. Этот термин относится к переменным периодам синусо</w:t>
        <w:softHyphen/>
        <w:t>вой брадикардии и СВТ. За длинной паузой часто следует спонтанное прекращение тахикардии. Во время этой паузы пациенты часто испытывают головокружение или обморочные состояния.</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Холтеровский мониторинг:</w: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Холтеровский мониторинг в течение 24-48 часов мо</w:t>
        <w:softHyphen/>
        <w:t>жет быть полезным у пациентов с частыми симптома</w:t>
        <w:softHyphen/>
        <w:t>ми. Чаще всего его истинная польза заключается в исключении ДСУ в качестве причины симптомов. При наличии подтвержденного нормального синусо</w:t>
        <w:softHyphen/>
        <w:t>вого ритма диагноз ДСУ маловероятен.</w:t>
      </w:r>
    </w:p>
    <w:p>
      <w:pPr>
        <w:pStyle w:val="Style30"/>
        <w:widowControl w:val="0"/>
        <w:keepNext w:val="0"/>
        <w:keepLines w:val="0"/>
        <w:shd w:val="clear" w:color="auto" w:fill="auto"/>
        <w:bidi w:val="0"/>
        <w:jc w:val="left"/>
        <w:spacing w:before="0" w:after="0"/>
        <w:ind w:left="0" w:right="0" w:firstLine="0"/>
      </w:pPr>
      <w:r>
        <w:br w:type="column"/>
      </w:r>
      <w:r>
        <w:rPr>
          <w:lang w:val="ru-RU" w:eastAsia="ru-RU" w:bidi="ru-RU"/>
          <w:w w:val="100"/>
          <w:spacing w:val="0"/>
          <w:color w:val="000000"/>
          <w:position w:val="0"/>
        </w:rPr>
        <w:t>Запись событий:</w:t>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Петлевой монитор является полезным инструментом для пациентов с редкими жалобами. Его можно включить для записи ЭКГ при начале симптомов. Этот тест требует определенной степени соблюдения пациентом необходимых рекомендаций; необходимо постоянноносить аппарат с собой и не забыть вклю</w:t>
        <w:softHyphen/>
        <w:t>чить его в нужный момент для записи.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Электрофизиологическое исследование:</w:t>
      </w:r>
    </w:p>
    <w:p>
      <w:pPr>
        <w:pStyle w:val="Style30"/>
        <w:numPr>
          <w:ilvl w:val="0"/>
          <w:numId w:val="15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Хотя у пациентов с подозрением на ДСУ электро</w:t>
        <w:softHyphen/>
        <w:t>физиологические исследования проводятся часто, их прогностическая ценность продолжает оста</w:t>
        <w:softHyphen/>
        <w:t>ваться противоречивой.</w:t>
      </w:r>
    </w:p>
    <w:p>
      <w:pPr>
        <w:pStyle w:val="Style30"/>
        <w:numPr>
          <w:ilvl w:val="0"/>
          <w:numId w:val="159"/>
        </w:numPr>
        <w:tabs>
          <w:tab w:leader="none" w:pos="49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Наиболее часто тест используют для измерения времени восстановления синусового узла посред</w:t>
        <w:softHyphen/>
        <w:t>ством подавления синусового узла. У пациентов ставится диагноз ДСУ, если у них имеется более длинное время восстановления синусового узла, чем у здоровых лиц. Основным недостатком этого теста является то, что этот лабораторный метод да</w:t>
        <w:softHyphen/>
        <w:t>ет опосредованное (непрямое) измерение времени восстановления синусового узла. Даже при самых благоприятных условиях чувствительность этого теста ДСУ составляет только 70%.</w:t>
      </w:r>
    </w:p>
    <w:p>
      <w:pPr>
        <w:pStyle w:val="Style30"/>
        <w:numPr>
          <w:ilvl w:val="0"/>
          <w:numId w:val="159"/>
        </w:numPr>
        <w:tabs>
          <w:tab w:leader="none" w:pos="497" w:val="left"/>
        </w:tabs>
        <w:widowControl w:val="0"/>
        <w:keepNext w:val="0"/>
        <w:keepLines w:val="0"/>
        <w:shd w:val="clear" w:color="auto" w:fill="auto"/>
        <w:bidi w:val="0"/>
        <w:spacing w:before="0" w:after="0"/>
        <w:ind w:left="500" w:right="0" w:hanging="240"/>
      </w:pPr>
      <w:r>
        <w:pict>
          <v:shape id="_x0000_s1783" type="#_x0000_t75" style="position:absolute;margin-left:131.05pt;margin-top:736.55pt;width:209.75pt;height:14.9pt;z-index:-125828845;mso-wrap-distance-left:124.55pt;mso-wrap-distance-right:148.1pt;mso-wrap-distance-bottom:10.8pt;mso-position-horizontal-relative:margin;mso-position-vertical-relative:margin" wrapcoords="0 0 21600 0 21600 21600 0 21600 0 0">
            <v:imagedata r:id="rId1237" r:href="rId1238"/>
            <w10:wrap type="topAndBottom" anchorx="margin" anchory="margin"/>
          </v:shape>
        </w:pict>
      </w:r>
      <w:r>
        <w:rPr>
          <w:lang w:val="ru-RU" w:eastAsia="ru-RU" w:bidi="ru-RU"/>
          <w:w w:val="100"/>
          <w:spacing w:val="0"/>
          <w:color w:val="000000"/>
          <w:position w:val="0"/>
        </w:rPr>
        <w:t>При помощи второго по частоте использования те</w:t>
        <w:softHyphen/>
        <w:t>ста измеряют время синоатриального проведения при помощи преждевременного возбуждения пред-</w:t>
      </w:r>
      <w:r>
        <w:br w:type="page"/>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сердий. Опять же результаты, как правило, не явля</w:t>
        <w:softHyphen/>
        <w:t>ются решающими, так как измерения получаются опосредованно. Из-за этих недостатков/ограниче- ний большинство специалистов согласны с тем, что инвазивное электрофизиологическое исследование следует проводить только у пациентов с наличием в анамнезе ДСУ, которую не удалось документально подтвердить неинвазивными методами.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Тестирование с нагрузкой:</w:t>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Тестирование с нагрузкой имеет ограниченную ценность при диагностике ДСУ. Оно может оказаться полезным в дифференциации пациентов с синусовой брадикардией в состоянии покоя с нормальным отве</w:t>
        <w:softHyphen/>
        <w:t>том на физическую нагрузку от пациентов с хроно</w:t>
        <w:softHyphen/>
        <w:t>тропической несостоятельностью.</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После постановки диагноза ДСУ план лечения необхо</w:t>
        <w:softHyphen/>
        <w:t>димо индивидуализировать, чтобы лечить специфическую аритмию и симптомы у конкретного пациента.</w:t>
      </w:r>
    </w:p>
    <w:p>
      <w:pPr>
        <w:pStyle w:val="Style30"/>
        <w:numPr>
          <w:ilvl w:val="0"/>
          <w:numId w:val="159"/>
        </w:numPr>
        <w:tabs>
          <w:tab w:leader="none" w:pos="52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Бессимптомная ДСУ не требует лечения. За пациен</w:t>
        <w:softHyphen/>
        <w:t>тами с бессимптомной брадикардией или синусовы</w:t>
        <w:softHyphen/>
        <w:t>ми паузами можно вести простое наблюдение.</w:t>
      </w:r>
    </w:p>
    <w:p>
      <w:pPr>
        <w:pStyle w:val="Style30"/>
        <w:numPr>
          <w:ilvl w:val="0"/>
          <w:numId w:val="159"/>
        </w:numPr>
        <w:tabs>
          <w:tab w:leader="none" w:pos="52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пациентов с симптоматической брадикардией не</w:t>
        <w:softHyphen/>
        <w:t>обходимо по возможности прекратить прием лекар</w:t>
        <w:softHyphen/>
        <w:t>ственных средств, угнетающих синусовый узел.</w:t>
      </w:r>
    </w:p>
    <w:p>
      <w:pPr>
        <w:pStyle w:val="Style30"/>
        <w:numPr>
          <w:ilvl w:val="0"/>
          <w:numId w:val="159"/>
        </w:numPr>
        <w:tabs>
          <w:tab w:leader="none" w:pos="52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пациентов с хронической фибрилляцией предсер</w:t>
        <w:softHyphen/>
        <w:t>дий значительно повышен риск тромбоэмболических осложнений. Они должны проходить профилактиче</w:t>
        <w:softHyphen/>
        <w:t>скую антикоагулянтную терапию варфарином. При наличии серьезных противопоказаний примене</w:t>
        <w:softHyphen/>
        <w:t>ния варфарина или одиночной (изолированной) фи</w:t>
        <w:softHyphen/>
        <w:t>брилляции предсердий достаточно одной таблетки аспирина в сутки.</w:t>
      </w:r>
    </w:p>
    <w:p>
      <w:pPr>
        <w:pStyle w:val="Style30"/>
        <w:numPr>
          <w:ilvl w:val="0"/>
          <w:numId w:val="159"/>
        </w:numPr>
        <w:tabs>
          <w:tab w:leader="none" w:pos="52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Синдром тахикардии-брадикардии обычно требует терапевтического плана лечения обеих составляю</w:t>
        <w:softHyphen/>
        <w:t>щих. Брадикардия типично лечится лекарственными препаратами, которые контролируют желудочковый ритм. К сожалению, эти препараты могут усугублять брадикардию дальнейшим подавлением функции си</w:t>
        <w:softHyphen/>
        <w:t>нусового узла. В таких случаях показана установка ис</w:t>
        <w:softHyphen/>
        <w:t>кусственного водителя ритма для профилактики симптомов, связанных с брадикардией или прекра</w:t>
        <w:softHyphen/>
        <w:t>щением деятельности синусового узла.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симптоматичной ДСУ краеугольным камнем тера</w:t>
        <w:softHyphen/>
        <w:t>пии является установка электрокардиостимулятора. В раз</w:t>
        <w:softHyphen/>
        <w:t>личных исследованиях подсчитано, что в западных странах 25-50% всех имплантаций кардиостимуляторов выполняет</w:t>
        <w:softHyphen/>
        <w:t>ся по поводу той или иной формы ДСУ.</w:t>
      </w:r>
    </w:p>
    <w:p>
      <w:pPr>
        <w:pStyle w:val="Style30"/>
        <w:numPr>
          <w:ilvl w:val="0"/>
          <w:numId w:val="159"/>
        </w:numPr>
        <w:tabs>
          <w:tab w:leader="none" w:pos="52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Наиболее часто электрокардиостимуляция рекомен</w:t>
        <w:softHyphen/>
        <w:t>дуется только пациентам, которые испытывают симп</w:t>
        <w:softHyphen/>
        <w:t>томатическую брадикардию. В соответствии с послед</w:t>
        <w:softHyphen/>
        <w:t>ними методическими рекомендациями Американско - го кардиологического колледжа установка искус</w:t>
        <w:softHyphen/>
        <w:t>ственного водителя ритма показана лицам с бессимп</w:t>
        <w:softHyphen/>
        <w:t>томной брадикардией или синусовыми паузами.</w:t>
      </w:r>
    </w:p>
    <w:p>
      <w:pPr>
        <w:pStyle w:val="Style30"/>
        <w:numPr>
          <w:ilvl w:val="0"/>
          <w:numId w:val="159"/>
        </w:numPr>
        <w:tabs>
          <w:tab w:leader="none" w:pos="52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Желудочковая электростимуляция является подхо</w:t>
        <w:softHyphen/>
        <w:t>дящим выбором лечения при хронической фибрил</w:t>
        <w:softHyphen/>
        <w:t>ляции предсердий с низким желудочковым ответом.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159"/>
        </w:numPr>
        <w:tabs>
          <w:tab w:leader="none" w:pos="52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 неопределенный. Смертность обычно свя</w:t>
        <w:softHyphen/>
        <w:t>зывают не с ДСУ напрямую, а скорее с ассоциирован</w:t>
        <w:softHyphen/>
        <w:br w:type="column"/>
        <w:t>ными состояниями, такими как ЗСН, тромбоэмболи</w:t>
        <w:softHyphen/>
        <w:t>ческие события и ишемия миокарда.</w:t>
      </w:r>
    </w:p>
    <w:p>
      <w:pPr>
        <w:pStyle w:val="Style30"/>
        <w:numPr>
          <w:ilvl w:val="0"/>
          <w:numId w:val="159"/>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Наиболее важными прогностическими факторами являются возраст, тип аритмии и степень тяжести со</w:t>
        <w:softHyphen/>
        <w:t>путствующего заболевания сердца.</w:t>
      </w:r>
    </w:p>
    <w:p>
      <w:pPr>
        <w:pStyle w:val="Style30"/>
        <w:numPr>
          <w:ilvl w:val="0"/>
          <w:numId w:val="159"/>
        </w:numPr>
        <w:tabs>
          <w:tab w:leader="none" w:pos="517" w:val="left"/>
        </w:tabs>
        <w:widowControl w:val="0"/>
        <w:keepNext w:val="0"/>
        <w:keepLines w:val="0"/>
        <w:shd w:val="clear" w:color="auto" w:fill="auto"/>
        <w:bidi w:val="0"/>
        <w:spacing w:before="0" w:after="122"/>
        <w:ind w:left="520" w:right="0" w:hanging="240"/>
      </w:pPr>
      <w:r>
        <w:rPr>
          <w:lang w:val="ru-RU" w:eastAsia="ru-RU" w:bidi="ru-RU"/>
          <w:w w:val="100"/>
          <w:spacing w:val="0"/>
          <w:color w:val="000000"/>
          <w:position w:val="0"/>
        </w:rPr>
        <w:t>У пациентов, у которых ДСУ проявляется в виде си</w:t>
        <w:softHyphen/>
        <w:t>нусовой брадикардии, прогноз более благоприятный, чем у пациентов с хронической фибрилляцией пред</w:t>
        <w:softHyphen/>
        <w:t>сердий и синдромом тахикардии-брадикардии.</w:t>
      </w:r>
    </w:p>
    <w:p>
      <w:pPr>
        <w:pStyle w:val="Style28"/>
        <w:widowControl w:val="0"/>
        <w:keepNext/>
        <w:keepLines/>
        <w:shd w:val="clear" w:color="auto" w:fill="auto"/>
        <w:bidi w:val="0"/>
        <w:jc w:val="left"/>
        <w:spacing w:before="0" w:after="118" w:line="288" w:lineRule="exact"/>
        <w:ind w:left="0" w:right="0" w:firstLine="0"/>
      </w:pPr>
      <w:bookmarkStart w:id="793" w:name="bookmark793"/>
      <w:r>
        <w:rPr>
          <w:lang w:val="ru-RU" w:eastAsia="ru-RU" w:bidi="ru-RU"/>
          <w:w w:val="100"/>
          <w:spacing w:val="0"/>
          <w:color w:val="000000"/>
          <w:position w:val="0"/>
        </w:rPr>
        <w:t>Пароксизмальная наджелудочковая тахикардия</w:t>
      </w:r>
      <w:bookmarkEnd w:id="79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Наджелудочковая (суправентрикулярная) тахикардия (СВТ), будучи частым клиническим симптомом, является любой тахиаритмией, для инициации и поддержания кото</w:t>
        <w:softHyphen/>
        <w:t>рой требуются только пейсмекерные клетки предсердного и/или атриовентрикулярного (АВ) узла. Она обычно пред</w:t>
        <w:softHyphen/>
        <w:t>ставляет собой тахикардию узкого комплекса с нерегуляр</w:t>
        <w:softHyphen/>
        <w:t>ным быстрым ритмом. Исключение составляют фибрилля</w:t>
        <w:softHyphen/>
        <w:t>ция предсердий (ФП) и многоочаговая атриальная тахикар</w:t>
        <w:softHyphen/>
        <w:t>дия (МАТ). Аберрантное проведение во время СВТ приво</w:t>
        <w:softHyphen/>
        <w:t>дит к тахикардии широкого комплекса. СВТ возникает во всех возрастных группах.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Пароксизмальная суправентрикулярная тахикардия (ПСВТ) является эпизодической с внезапным началом и окончанием. Проявления СВТ носят разнообразный ха</w:t>
        <w:softHyphen/>
        <w:t>рактер; пациенты могут быть бессимптомными или может отмечаться учащенное сердцебиение легкой степени, или более тяжелые симптомы. Электрофизиологические иссле</w:t>
        <w:softHyphen/>
        <w:t>дования помогли определить, что в патофизиологию СВТ вовлечены аномалии формирования импульсов и проводя</w:t>
        <w:softHyphen/>
        <w:t>щих путей. Наиболее частым механизмом является цирку</w:t>
        <w:softHyphen/>
        <w:t>ляция возбуждения (риентри).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Развитие внутрисердечных электрофизиологических ис</w:t>
        <w:softHyphen/>
        <w:t>следований привело к значительному пересмотру и измене - нию классификации СВТ. При помощи внутрисердечных записей удалось выявить различные механизмы СВТ. В за</w:t>
        <w:softHyphen/>
        <w:t>висимости от места возникновения дизритмии СВТ можно подразделить на предсердную или предсердно-желудочко</w:t>
        <w:softHyphen/>
        <w:t>вую тахиаритмию.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Классификация наджелудочковой тахикардии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Предсердные тахиаритмии:</w:t>
      </w:r>
    </w:p>
    <w:p>
      <w:pPr>
        <w:pStyle w:val="Style30"/>
        <w:numPr>
          <w:ilvl w:val="0"/>
          <w:numId w:val="15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Синусная тахикардия.</w:t>
      </w:r>
    </w:p>
    <w:p>
      <w:pPr>
        <w:pStyle w:val="Style30"/>
        <w:numPr>
          <w:ilvl w:val="0"/>
          <w:numId w:val="15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Несоответствующая синусная тахикардия (НСТ).</w:t>
      </w:r>
    </w:p>
    <w:p>
      <w:pPr>
        <w:pStyle w:val="Style30"/>
        <w:numPr>
          <w:ilvl w:val="0"/>
          <w:numId w:val="15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Синусная нодальная реципрокная тахикардия (СНРТ).</w:t>
      </w:r>
    </w:p>
    <w:p>
      <w:pPr>
        <w:pStyle w:val="Style30"/>
        <w:numPr>
          <w:ilvl w:val="0"/>
          <w:numId w:val="15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Предсердная тахикардия.</w:t>
      </w:r>
    </w:p>
    <w:p>
      <w:pPr>
        <w:pStyle w:val="Style30"/>
        <w:numPr>
          <w:ilvl w:val="0"/>
          <w:numId w:val="15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Многоочаговая атриальная тахикардия (МАТ).</w:t>
      </w:r>
    </w:p>
    <w:p>
      <w:pPr>
        <w:pStyle w:val="Style30"/>
        <w:numPr>
          <w:ilvl w:val="0"/>
          <w:numId w:val="15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Фибрилляция предсердий (ФП).</w:t>
      </w:r>
    </w:p>
    <w:p>
      <w:pPr>
        <w:pStyle w:val="Style30"/>
        <w:numPr>
          <w:ilvl w:val="0"/>
          <w:numId w:val="159"/>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Атриовентрикулярная нодальная реципрокная тахи</w:t>
        <w:softHyphen/>
        <w:t>кардия (АВНРТ).</w:t>
      </w:r>
    </w:p>
    <w:p>
      <w:pPr>
        <w:pStyle w:val="Style30"/>
        <w:numPr>
          <w:ilvl w:val="0"/>
          <w:numId w:val="159"/>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Атриовентрикулярная реципрокная тахикардия (АВРТ).</w:t>
      </w:r>
    </w:p>
    <w:p>
      <w:pPr>
        <w:pStyle w:val="Style30"/>
        <w:numPr>
          <w:ilvl w:val="0"/>
          <w:numId w:val="159"/>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Узловая эктопическая тахикардия (УЭТ).</w:t>
      </w:r>
    </w:p>
    <w:p>
      <w:pPr>
        <w:pStyle w:val="Style30"/>
        <w:numPr>
          <w:ilvl w:val="0"/>
          <w:numId w:val="159"/>
        </w:numPr>
        <w:tabs>
          <w:tab w:leader="none" w:pos="517" w:val="left"/>
        </w:tabs>
        <w:widowControl w:val="0"/>
        <w:keepNext w:val="0"/>
        <w:keepLines w:val="0"/>
        <w:shd w:val="clear" w:color="auto" w:fill="auto"/>
        <w:bidi w:val="0"/>
        <w:spacing w:before="0" w:after="193"/>
        <w:ind w:left="0" w:right="0" w:firstLine="280"/>
      </w:pPr>
      <w:r>
        <w:rPr>
          <w:lang w:val="ru-RU" w:eastAsia="ru-RU" w:bidi="ru-RU"/>
          <w:w w:val="100"/>
          <w:spacing w:val="0"/>
          <w:color w:val="000000"/>
          <w:position w:val="0"/>
        </w:rPr>
        <w:t>Непароксизмальная узловая тахикардия (НПУТ).</w:t>
      </w:r>
    </w:p>
    <w:p>
      <w:pPr>
        <w:pStyle w:val="Style48"/>
        <w:widowControl w:val="0"/>
        <w:keepNext/>
        <w:keepLines/>
        <w:shd w:val="clear" w:color="auto" w:fill="auto"/>
        <w:bidi w:val="0"/>
        <w:jc w:val="left"/>
        <w:spacing w:before="0" w:after="97" w:line="200" w:lineRule="exact"/>
        <w:ind w:left="0" w:right="0" w:firstLine="0"/>
      </w:pPr>
      <w:bookmarkStart w:id="794" w:name="bookmark794"/>
      <w:r>
        <w:rPr>
          <w:lang w:val="ru-RU" w:eastAsia="ru-RU" w:bidi="ru-RU"/>
          <w:w w:val="100"/>
          <w:spacing w:val="0"/>
          <w:color w:val="000000"/>
          <w:position w:val="0"/>
        </w:rPr>
        <w:t>Предсердные тахиаритмии</w:t>
      </w:r>
      <w:bookmarkEnd w:id="794"/>
    </w:p>
    <w:p>
      <w:pPr>
        <w:pStyle w:val="Style92"/>
        <w:widowControl w:val="0"/>
        <w:keepNext/>
        <w:keepLines/>
        <w:shd w:val="clear" w:color="auto" w:fill="auto"/>
        <w:bidi w:val="0"/>
        <w:spacing w:before="0" w:after="0"/>
        <w:ind w:left="0" w:right="0" w:firstLine="280"/>
      </w:pPr>
      <w:bookmarkStart w:id="795" w:name="bookmark795"/>
      <w:r>
        <w:rPr>
          <w:lang w:val="ru-RU" w:eastAsia="ru-RU" w:bidi="ru-RU"/>
          <w:w w:val="100"/>
          <w:spacing w:val="0"/>
          <w:color w:val="000000"/>
          <w:position w:val="0"/>
        </w:rPr>
        <w:t>Синусная тахикардия</w:t>
      </w:r>
      <w:bookmarkEnd w:id="795"/>
    </w:p>
    <w:p>
      <w:pPr>
        <w:pStyle w:val="Style30"/>
        <w:numPr>
          <w:ilvl w:val="0"/>
          <w:numId w:val="159"/>
        </w:numPr>
        <w:tabs>
          <w:tab w:leader="none" w:pos="517" w:val="left"/>
        </w:tabs>
        <w:widowControl w:val="0"/>
        <w:keepNext w:val="0"/>
        <w:keepLines w:val="0"/>
        <w:shd w:val="clear" w:color="auto" w:fill="auto"/>
        <w:bidi w:val="0"/>
        <w:jc w:val="left"/>
        <w:spacing w:before="0" w:after="0"/>
        <w:ind w:left="520" w:right="0" w:hanging="240"/>
      </w:pPr>
      <w:r>
        <w:pict>
          <v:shape id="_x0000_s1784" type="#_x0000_t75" style="position:absolute;margin-left:148.45pt;margin-top:736.55pt;width:209.75pt;height:14.9pt;z-index:-125828844;mso-wrap-distance-left:148.1pt;mso-wrap-distance-right:136.8pt;mso-wrap-distance-bottom:10.8pt;mso-position-horizontal-relative:margin;mso-position-vertical-relative:margin" wrapcoords="0 0 21600 0 21600 21600 0 21600 0 0">
            <v:imagedata r:id="rId1239" r:href="rId1240"/>
            <w10:wrap type="topAndBottom" anchorx="margin" anchory="margin"/>
          </v:shape>
        </w:pict>
      </w:r>
      <w:r>
        <w:rPr>
          <w:lang w:val="ru-RU" w:eastAsia="ru-RU" w:bidi="ru-RU"/>
          <w:w w:val="100"/>
          <w:spacing w:val="0"/>
          <w:color w:val="000000"/>
          <w:position w:val="0"/>
        </w:rPr>
        <w:t>Синусная тахикардия представляет собой ускоренный синусный ритм, который является физиологическим</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ответом на стрессовое воздействие. Она характеризу</w:t>
        <w:softHyphen/>
        <w:t>ется частотой сердечных сокращений более 100 ударов в минуту (уд/мин) и, как правило, нарушает регуляр</w:t>
        <w:softHyphen/>
        <w:t>ный ритм. Причинами, вызывающими синусную та</w:t>
        <w:softHyphen/>
        <w:t>хикардию, являются такие лежащие в основе физиоло</w:t>
        <w:softHyphen/>
        <w:t>гические стрессовые факторы, как гипоксия, гипово- лемия, лихорадка, тревожные состояния, боль, гипер- тиреоз и физические упражнения. При лечении необ</w:t>
        <w:softHyphen/>
        <w:t>ходимо обращать внимание на главный стресс-фак</w:t>
        <w:softHyphen/>
        <w:t>тор, лежащий в основе (см. синусовая тахикардия).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Несоответствующая синусная тахикардия</w:t>
      </w:r>
    </w:p>
    <w:p>
      <w:pPr>
        <w:pStyle w:val="Style30"/>
        <w:numPr>
          <w:ilvl w:val="0"/>
          <w:numId w:val="15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Несоответствующая синусная тахикардия (НСТ) яв</w:t>
        <w:softHyphen/>
        <w:t>ляется ускоренным исходным синусовым ритмом при отсутствии физиологического стресс-фактора. При такой ситуации у здоровых детей может быть по</w:t>
        <w:softHyphen/>
        <w:t>вышенная ЧСС в состоянии покоя и чрезмерный от</w:t>
        <w:softHyphen/>
        <w:t>вет ЧСС даже на минимальную физическую нагрузку. Эта тахиаритмия наиболее часто наблюдается у моло</w:t>
        <w:softHyphen/>
        <w:t>дых женщин без структурного порока сердца. Меха</w:t>
        <w:softHyphen/>
        <w:t>низмом, лежащим в основе НСТ, может быть повы</w:t>
        <w:softHyphen/>
        <w:t>шенная чувствительность синусового узла на авто</w:t>
        <w:softHyphen/>
        <w:t xml:space="preserve">номный вход или аномалию внутри синусового узла, его автономный выход, или и то, и другое </w:t>
      </w:r>
      <w:r>
        <w:rPr>
          <w:lang w:val="en-US" w:eastAsia="en-US" w:bidi="en-US"/>
          <w:w w:val="100"/>
          <w:spacing w:val="0"/>
          <w:color w:val="000000"/>
          <w:position w:val="0"/>
        </w:rPr>
        <w:t xml:space="preserve">(Xie, </w:t>
      </w:r>
      <w:r>
        <w:rPr>
          <w:lang w:val="ru-RU" w:eastAsia="ru-RU" w:bidi="ru-RU"/>
          <w:w w:val="100"/>
          <w:spacing w:val="0"/>
          <w:color w:val="000000"/>
          <w:position w:val="0"/>
        </w:rPr>
        <w:t>1998).</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Синусная нодальная реципрокная тахикардия</w:t>
      </w:r>
    </w:p>
    <w:p>
      <w:pPr>
        <w:pStyle w:val="Style30"/>
        <w:numPr>
          <w:ilvl w:val="0"/>
          <w:numId w:val="15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Синусную нодальную реципрокную тахикардию (СНРТ) часто путают с НСТ. Причиной СНРТ явля</w:t>
        <w:softHyphen/>
        <w:t>ется реципрокный контур, находящийся внутри си</w:t>
        <w:softHyphen/>
        <w:t>нусового узла или рядом с ним. Поэтому у нее внезап</w:t>
        <w:softHyphen/>
        <w:t>ное начало и такой же конец. ЧСС обычно составля</w:t>
        <w:softHyphen/>
        <w:t>ет 100-150 уд/мин, а на ЭКГ обычно видна морфоло</w:t>
        <w:softHyphen/>
        <w:t xml:space="preserve">гия нормального синусного зубца Р </w:t>
      </w:r>
      <w:r>
        <w:rPr>
          <w:lang w:val="en-US" w:eastAsia="en-US" w:bidi="en-US"/>
          <w:w w:val="100"/>
          <w:spacing w:val="0"/>
          <w:color w:val="000000"/>
          <w:position w:val="0"/>
        </w:rPr>
        <w:t xml:space="preserve">(Krahn, </w:t>
      </w:r>
      <w:r>
        <w:rPr>
          <w:lang w:val="ru-RU" w:eastAsia="ru-RU" w:bidi="ru-RU"/>
          <w:w w:val="100"/>
          <w:spacing w:val="0"/>
          <w:color w:val="000000"/>
          <w:position w:val="0"/>
        </w:rPr>
        <w:t>1995).</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Предсердная тахикардия</w:t>
      </w:r>
    </w:p>
    <w:p>
      <w:pPr>
        <w:pStyle w:val="Style30"/>
        <w:numPr>
          <w:ilvl w:val="0"/>
          <w:numId w:val="15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Предсердная тахикардия — это аритмия, берущая нача</w:t>
        <w:softHyphen/>
        <w:t>ло в предсердии миокарда. К такому редкому виду та</w:t>
        <w:softHyphen/>
        <w:t xml:space="preserve">хикардии могут привести усиленная автоматичность, триггерная активность или риентри </w:t>
      </w:r>
      <w:r>
        <w:rPr>
          <w:lang w:val="en-US" w:eastAsia="en-US" w:bidi="en-US"/>
          <w:w w:val="100"/>
          <w:spacing w:val="0"/>
          <w:color w:val="000000"/>
          <w:position w:val="0"/>
        </w:rPr>
        <w:t xml:space="preserve">(Xie, </w:t>
      </w:r>
      <w:r>
        <w:rPr>
          <w:lang w:val="ru-RU" w:eastAsia="ru-RU" w:bidi="ru-RU"/>
          <w:w w:val="100"/>
          <w:spacing w:val="0"/>
          <w:color w:val="000000"/>
          <w:position w:val="0"/>
        </w:rPr>
        <w:t xml:space="preserve">1998; </w:t>
      </w:r>
      <w:r>
        <w:rPr>
          <w:lang w:val="en-US" w:eastAsia="en-US" w:bidi="en-US"/>
          <w:w w:val="100"/>
          <w:spacing w:val="0"/>
          <w:color w:val="000000"/>
          <w:position w:val="0"/>
        </w:rPr>
        <w:t xml:space="preserve">Lesh, </w:t>
      </w:r>
      <w:r>
        <w:rPr>
          <w:lang w:val="ru-RU" w:eastAsia="ru-RU" w:bidi="ru-RU"/>
          <w:w w:val="100"/>
          <w:spacing w:val="0"/>
          <w:color w:val="000000"/>
          <w:position w:val="0"/>
        </w:rPr>
        <w:t xml:space="preserve">1994; </w:t>
      </w:r>
      <w:r>
        <w:rPr>
          <w:lang w:val="en-US" w:eastAsia="en-US" w:bidi="en-US"/>
          <w:w w:val="100"/>
          <w:spacing w:val="0"/>
          <w:color w:val="000000"/>
          <w:position w:val="0"/>
        </w:rPr>
        <w:t xml:space="preserve">Farre, </w:t>
      </w:r>
      <w:r>
        <w:rPr>
          <w:lang w:val="ru-RU" w:eastAsia="ru-RU" w:bidi="ru-RU"/>
          <w:w w:val="100"/>
          <w:spacing w:val="0"/>
          <w:color w:val="000000"/>
          <w:position w:val="0"/>
        </w:rPr>
        <w:t xml:space="preserve">1981; </w:t>
      </w:r>
      <w:r>
        <w:rPr>
          <w:lang w:val="en-US" w:eastAsia="en-US" w:bidi="en-US"/>
          <w:w w:val="100"/>
          <w:spacing w:val="0"/>
          <w:color w:val="000000"/>
          <w:position w:val="0"/>
        </w:rPr>
        <w:t xml:space="preserve">Wellens, 1978; Brugada, 1984). </w:t>
      </w:r>
      <w:r>
        <w:rPr>
          <w:lang w:val="ru-RU" w:eastAsia="ru-RU" w:bidi="ru-RU"/>
          <w:w w:val="100"/>
          <w:spacing w:val="0"/>
          <w:color w:val="000000"/>
          <w:position w:val="0"/>
        </w:rPr>
        <w:t>ЧСС ре</w:t>
        <w:softHyphen/>
        <w:t>гулярна и обычно составляет 120-150 уд/мин. Морфо</w:t>
        <w:softHyphen/>
        <w:t>логия зубца Р отличается от синусных зубцов Р и зави</w:t>
        <w:softHyphen/>
        <w:t>сит от места возникновения тахикардии. Так как арит</w:t>
        <w:softHyphen/>
        <w:t>мия не вовлекает АВ узел, то такие блокирующие узел вещества, как аденозин и верапамил, обычно не приво</w:t>
        <w:softHyphen/>
        <w:t>дят к успеху в борьбе с этим видом аритмии. Атриаль</w:t>
        <w:softHyphen/>
        <w:t>ную тахикардию связывают с дигоксиновой токсично</w:t>
        <w:softHyphen/>
        <w:t xml:space="preserve">стью посредством пускового механизма </w:t>
      </w:r>
      <w:r>
        <w:rPr>
          <w:lang w:val="en-US" w:eastAsia="en-US" w:bidi="en-US"/>
          <w:w w:val="100"/>
          <w:spacing w:val="0"/>
          <w:color w:val="000000"/>
          <w:position w:val="0"/>
        </w:rPr>
        <w:t xml:space="preserve">(Xie, </w:t>
      </w:r>
      <w:r>
        <w:rPr>
          <w:lang w:val="ru-RU" w:eastAsia="ru-RU" w:bidi="ru-RU"/>
          <w:w w:val="100"/>
          <w:spacing w:val="0"/>
          <w:color w:val="000000"/>
          <w:position w:val="0"/>
        </w:rPr>
        <w:t>1998).</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Многоочаговая атриальная тахикардия (МАТ)</w:t>
      </w:r>
    </w:p>
    <w:p>
      <w:pPr>
        <w:pStyle w:val="Style30"/>
        <w:numPr>
          <w:ilvl w:val="0"/>
          <w:numId w:val="15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МАТ является тахикардией, которая возникает внутри тканей предсердия; она состоит из 3 или более морфо</w:t>
        <w:softHyphen/>
        <w:t xml:space="preserve">логий Р волн. Этот вид аритмии встречается очень редко, обычно им страдают люди пожилого возраста с заболеваниями легких. ЧСС — более 100 уд/мин, а данные ЭКГ обычно включают нерегулярный ритм, который можно неправильно принять за ФП. Лечение состоит из коррекции лежащего в основе заболевания процесса </w:t>
      </w:r>
      <w:r>
        <w:rPr>
          <w:lang w:val="en-US" w:eastAsia="en-US" w:bidi="en-US"/>
          <w:w w:val="100"/>
          <w:spacing w:val="0"/>
          <w:color w:val="000000"/>
          <w:position w:val="0"/>
        </w:rPr>
        <w:t xml:space="preserve">(Scher, </w:t>
      </w:r>
      <w:r>
        <w:rPr>
          <w:lang w:val="ru-RU" w:eastAsia="ru-RU" w:bidi="ru-RU"/>
          <w:w w:val="100"/>
          <w:spacing w:val="0"/>
          <w:color w:val="000000"/>
          <w:position w:val="0"/>
        </w:rPr>
        <w:t>1989). Эффективными в лечении МАТ могут оказаться магний и верапамил.</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Трепетание предсердий</w:t>
      </w:r>
    </w:p>
    <w:p>
      <w:pPr>
        <w:pStyle w:val="Style30"/>
        <w:numPr>
          <w:ilvl w:val="0"/>
          <w:numId w:val="159"/>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Трепетание предсердий является разновидностью та</w:t>
        <w:softHyphen/>
        <w:t>хиаритмии, берущей начало выше АВ узла, с частотой предсердных сокращений 250-350 уд/мин. Механиз</w:t>
        <w:softHyphen/>
        <w:t>мом, лежащим в основе трепетания предсердий, обычно является циркуляция возбуждений, т.е. по</w:t>
        <w:softHyphen/>
      </w:r>
    </w:p>
    <w:p>
      <w:pPr>
        <w:pStyle w:val="Style30"/>
        <w:widowControl w:val="0"/>
        <w:keepNext w:val="0"/>
        <w:keepLines w:val="0"/>
        <w:shd w:val="clear" w:color="auto" w:fill="auto"/>
        <w:bidi w:val="0"/>
        <w:spacing w:before="0" w:after="0"/>
        <w:ind w:left="500" w:right="0" w:firstLine="0"/>
      </w:pPr>
      <w:r>
        <w:br w:type="column"/>
      </w:r>
      <w:r>
        <w:rPr>
          <w:lang w:val="ru-RU" w:eastAsia="ru-RU" w:bidi="ru-RU"/>
          <w:w w:val="100"/>
          <w:spacing w:val="0"/>
          <w:color w:val="000000"/>
          <w:position w:val="0"/>
        </w:rPr>
        <w:t>вторное возвращение импульса в один и тот же учас</w:t>
        <w:softHyphen/>
        <w:t>ток. Как правило, причиной трепетания предсердий в направлении против часовой стрелки является мак- рореципрокный контур правого предсердия. Это час</w:t>
        <w:softHyphen/>
        <w:t>то наблюдается у пациентов с ишемической болезнью сердца, инфарктом миокарда, кардиомиопатией, миокардитом, легочным эмболом, интоксикацией (например, алкоголем) или с травмой грудной клетки. Это может быть преходящим ритмом, а может раз</w:t>
        <w:softHyphen/>
        <w:t xml:space="preserve">виться в ФП. Данные ЭКГ при типичном трепетании предсердий включают негативную волну трепетания в виде зубца пилы на отведениях II, III и </w:t>
      </w:r>
      <w:r>
        <w:rPr>
          <w:lang w:val="en-US" w:eastAsia="en-US" w:bidi="en-US"/>
          <w:w w:val="100"/>
          <w:spacing w:val="0"/>
          <w:color w:val="000000"/>
          <w:position w:val="0"/>
        </w:rPr>
        <w:t xml:space="preserve">aVF. </w:t>
      </w:r>
      <w:r>
        <w:rPr>
          <w:lang w:val="ru-RU" w:eastAsia="ru-RU" w:bidi="ru-RU"/>
          <w:w w:val="100"/>
          <w:spacing w:val="0"/>
          <w:color w:val="000000"/>
          <w:position w:val="0"/>
        </w:rPr>
        <w:t>Прово</w:t>
        <w:softHyphen/>
        <w:t xml:space="preserve">димость АВ обычно составляет 2:1, что дает частоту желудочковых сокращений примерно 150 уд/мин </w:t>
      </w:r>
      <w:r>
        <w:rPr>
          <w:lang w:val="en-US" w:eastAsia="en-US" w:bidi="en-US"/>
          <w:w w:val="100"/>
          <w:spacing w:val="0"/>
          <w:color w:val="000000"/>
          <w:position w:val="0"/>
        </w:rPr>
        <w:t xml:space="preserve">(Akhtar, </w:t>
      </w:r>
      <w:r>
        <w:rPr>
          <w:lang w:val="ru-RU" w:eastAsia="ru-RU" w:bidi="ru-RU"/>
          <w:w w:val="100"/>
          <w:spacing w:val="0"/>
          <w:color w:val="000000"/>
          <w:position w:val="0"/>
        </w:rPr>
        <w:t xml:space="preserve">1984; </w:t>
      </w:r>
      <w:r>
        <w:rPr>
          <w:lang w:val="en-US" w:eastAsia="en-US" w:bidi="en-US"/>
          <w:w w:val="100"/>
          <w:spacing w:val="0"/>
          <w:color w:val="000000"/>
          <w:position w:val="0"/>
        </w:rPr>
        <w:t xml:space="preserve">Tintinalli, </w:t>
      </w:r>
      <w:r>
        <w:rPr>
          <w:lang w:val="ru-RU" w:eastAsia="ru-RU" w:bidi="ru-RU"/>
          <w:w w:val="100"/>
          <w:spacing w:val="0"/>
          <w:color w:val="000000"/>
          <w:position w:val="0"/>
        </w:rPr>
        <w:t xml:space="preserve">2000; </w:t>
      </w:r>
      <w:r>
        <w:rPr>
          <w:lang w:val="en-US" w:eastAsia="en-US" w:bidi="en-US"/>
          <w:w w:val="100"/>
          <w:spacing w:val="0"/>
          <w:color w:val="000000"/>
          <w:position w:val="0"/>
        </w:rPr>
        <w:t xml:space="preserve">Josephson, </w:t>
      </w:r>
      <w:r>
        <w:rPr>
          <w:lang w:val="ru-RU" w:eastAsia="ru-RU" w:bidi="ru-RU"/>
          <w:w w:val="100"/>
          <w:spacing w:val="0"/>
          <w:color w:val="000000"/>
          <w:position w:val="0"/>
        </w:rPr>
        <w:t>2001).</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Фибрилляция предсердий</w:t>
      </w:r>
    </w:p>
    <w:p>
      <w:pPr>
        <w:pStyle w:val="Style30"/>
        <w:numPr>
          <w:ilvl w:val="0"/>
          <w:numId w:val="159"/>
        </w:numPr>
        <w:tabs>
          <w:tab w:leader="none" w:pos="515" w:val="left"/>
        </w:tabs>
        <w:widowControl w:val="0"/>
        <w:keepNext w:val="0"/>
        <w:keepLines w:val="0"/>
        <w:shd w:val="clear" w:color="auto" w:fill="auto"/>
        <w:bidi w:val="0"/>
        <w:spacing w:before="0" w:after="313"/>
        <w:ind w:left="500" w:right="0" w:hanging="220"/>
      </w:pPr>
      <w:r>
        <w:rPr>
          <w:lang w:val="ru-RU" w:eastAsia="ru-RU" w:bidi="ru-RU"/>
          <w:w w:val="100"/>
          <w:spacing w:val="0"/>
          <w:color w:val="000000"/>
          <w:position w:val="0"/>
        </w:rPr>
        <w:t>ФП — это наиболее распространенный вид аритмии, возникающей из хаотичной деполяризации предсер</w:t>
        <w:softHyphen/>
        <w:t>дий. Частота сокращения предсердий составляет 300</w:t>
        <w:softHyphen/>
        <w:t>600 уд/мин, в то время как частота сокращения желу</w:t>
        <w:softHyphen/>
        <w:t>дочков может быть 170 уд/мин или выше. На харак</w:t>
        <w:softHyphen/>
        <w:t>терной ЭКГ виден нерегулярный ритм с фибриллиру- ющей предсердной активностью. Эта аритмия ассо</w:t>
        <w:softHyphen/>
        <w:t>циирована с ревматической болезнью сердца, гипер</w:t>
        <w:softHyphen/>
        <w:t>тензией, ишемической болезнью сердца, перикарди</w:t>
        <w:softHyphen/>
        <w:t xml:space="preserve">том, тиреотоксикозом, алкогольной интоксикацией, пролапсом митрального клапана и интоксикацией наперстянкой </w:t>
      </w:r>
      <w:r>
        <w:rPr>
          <w:lang w:val="en-US" w:eastAsia="en-US" w:bidi="en-US"/>
          <w:w w:val="100"/>
          <w:spacing w:val="0"/>
          <w:color w:val="000000"/>
          <w:position w:val="0"/>
        </w:rPr>
        <w:t xml:space="preserve">(Akhtar, </w:t>
      </w:r>
      <w:r>
        <w:rPr>
          <w:lang w:val="ru-RU" w:eastAsia="ru-RU" w:bidi="ru-RU"/>
          <w:w w:val="100"/>
          <w:spacing w:val="0"/>
          <w:color w:val="000000"/>
          <w:position w:val="0"/>
        </w:rPr>
        <w:t xml:space="preserve">1984; </w:t>
      </w:r>
      <w:r>
        <w:rPr>
          <w:lang w:val="en-US" w:eastAsia="en-US" w:bidi="en-US"/>
          <w:w w:val="100"/>
          <w:spacing w:val="0"/>
          <w:color w:val="000000"/>
          <w:position w:val="0"/>
        </w:rPr>
        <w:t xml:space="preserve">Tintinalli, </w:t>
      </w:r>
      <w:r>
        <w:rPr>
          <w:lang w:val="ru-RU" w:eastAsia="ru-RU" w:bidi="ru-RU"/>
          <w:w w:val="100"/>
          <w:spacing w:val="0"/>
          <w:color w:val="000000"/>
          <w:position w:val="0"/>
        </w:rPr>
        <w:t xml:space="preserve">2000; </w:t>
      </w:r>
      <w:r>
        <w:rPr>
          <w:lang w:val="en-US" w:eastAsia="en-US" w:bidi="en-US"/>
          <w:w w:val="100"/>
          <w:spacing w:val="0"/>
          <w:color w:val="000000"/>
          <w:position w:val="0"/>
        </w:rPr>
        <w:t xml:space="preserve">Josephson, 2001). </w:t>
      </w:r>
      <w:r>
        <w:rPr>
          <w:lang w:val="ru-RU" w:eastAsia="ru-RU" w:bidi="ru-RU"/>
          <w:w w:val="100"/>
          <w:spacing w:val="0"/>
          <w:color w:val="000000"/>
          <w:position w:val="0"/>
        </w:rPr>
        <w:t>Когда происходит ФП у пациентов молодого возраста при отсутствии структурного заболевания сердца или какой-либо видимой причины, она назы</w:t>
        <w:softHyphen/>
        <w:t>вается изолированной или идиопатической ФП.</w:t>
      </w:r>
    </w:p>
    <w:p>
      <w:pPr>
        <w:pStyle w:val="Style48"/>
        <w:widowControl w:val="0"/>
        <w:keepNext/>
        <w:keepLines/>
        <w:shd w:val="clear" w:color="auto" w:fill="auto"/>
        <w:bidi w:val="0"/>
        <w:jc w:val="left"/>
        <w:spacing w:before="0" w:after="97" w:line="200" w:lineRule="exact"/>
        <w:ind w:left="0" w:right="0" w:firstLine="0"/>
      </w:pPr>
      <w:bookmarkStart w:id="796" w:name="bookmark796"/>
      <w:r>
        <w:rPr>
          <w:lang w:val="ru-RU" w:eastAsia="ru-RU" w:bidi="ru-RU"/>
          <w:w w:val="100"/>
          <w:spacing w:val="0"/>
          <w:color w:val="000000"/>
          <w:position w:val="0"/>
        </w:rPr>
        <w:t>Атриовентрикулярная тахиаритмия</w:t>
      </w:r>
      <w:bookmarkEnd w:id="796"/>
    </w:p>
    <w:p>
      <w:pPr>
        <w:pStyle w:val="Style92"/>
        <w:widowControl w:val="0"/>
        <w:keepNext/>
        <w:keepLines/>
        <w:shd w:val="clear" w:color="auto" w:fill="auto"/>
        <w:bidi w:val="0"/>
        <w:spacing w:before="0" w:after="0"/>
        <w:ind w:left="500" w:right="0" w:hanging="220"/>
      </w:pPr>
      <w:bookmarkStart w:id="797" w:name="bookmark797"/>
      <w:r>
        <w:rPr>
          <w:lang w:val="ru-RU" w:eastAsia="ru-RU" w:bidi="ru-RU"/>
          <w:w w:val="100"/>
          <w:spacing w:val="0"/>
          <w:color w:val="000000"/>
          <w:position w:val="0"/>
        </w:rPr>
        <w:t>АВ нодальная реципрокная тахикардия</w:t>
      </w:r>
      <w:bookmarkEnd w:id="797"/>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Наиболее частой причиной ПСВТ является АВ но</w:t>
        <w:softHyphen/>
        <w:t xml:space="preserve">дальная реципрокная тахикардия (АВНРТ). Диагноз АВНРТ ставится у 50-60% пациентов с признаками регулярной узкой </w:t>
      </w:r>
      <w:r>
        <w:rPr>
          <w:lang w:val="en-US" w:eastAsia="en-US" w:bidi="en-US"/>
          <w:w w:val="100"/>
          <w:spacing w:val="0"/>
          <w:color w:val="000000"/>
          <w:position w:val="0"/>
        </w:rPr>
        <w:t xml:space="preserve">QRS </w:t>
      </w:r>
      <w:r>
        <w:rPr>
          <w:lang w:val="ru-RU" w:eastAsia="ru-RU" w:bidi="ru-RU"/>
          <w:w w:val="100"/>
          <w:spacing w:val="0"/>
          <w:color w:val="000000"/>
          <w:position w:val="0"/>
        </w:rPr>
        <w:t xml:space="preserve">тахикардией </w:t>
      </w:r>
      <w:r>
        <w:rPr>
          <w:lang w:val="en-US" w:eastAsia="en-US" w:bidi="en-US"/>
          <w:w w:val="100"/>
          <w:spacing w:val="0"/>
          <w:color w:val="000000"/>
          <w:position w:val="0"/>
        </w:rPr>
        <w:t xml:space="preserve">(Josephson, </w:t>
      </w:r>
      <w:r>
        <w:rPr>
          <w:lang w:val="ru-RU" w:eastAsia="ru-RU" w:bidi="ru-RU"/>
          <w:w w:val="100"/>
          <w:spacing w:val="0"/>
          <w:color w:val="000000"/>
          <w:position w:val="0"/>
        </w:rPr>
        <w:t xml:space="preserve">1997). ЧСС = 120-250 уд/мин и обычно регулярная. АВНРТ может произойти у здоровых лиц молодого возраста и наиболее часто наблюдается у женщин </w:t>
      </w:r>
      <w:r>
        <w:rPr>
          <w:lang w:val="en-US" w:eastAsia="en-US" w:bidi="en-US"/>
          <w:w w:val="100"/>
          <w:spacing w:val="0"/>
          <w:color w:val="000000"/>
          <w:position w:val="0"/>
        </w:rPr>
        <w:t xml:space="preserve">(Jazayeri, </w:t>
      </w:r>
      <w:r>
        <w:rPr>
          <w:lang w:val="ru-RU" w:eastAsia="ru-RU" w:bidi="ru-RU"/>
          <w:w w:val="100"/>
          <w:spacing w:val="0"/>
          <w:color w:val="000000"/>
          <w:position w:val="0"/>
        </w:rPr>
        <w:t>1992). У большинства пациентов нет структурного за</w:t>
        <w:softHyphen/>
        <w:t>болевания сердца. Однако в редких случаях у таких людей могут быть ревматическая болезнь сердца, пе</w:t>
        <w:softHyphen/>
        <w:t>рикардит, инфаркт, пролапс митрального клапана или синдром преждевременного возбуждения желу</w:t>
        <w:softHyphen/>
        <w:t xml:space="preserve">дочков </w:t>
      </w:r>
      <w:r>
        <w:rPr>
          <w:lang w:val="en-US" w:eastAsia="en-US" w:bidi="en-US"/>
          <w:w w:val="100"/>
          <w:spacing w:val="0"/>
          <w:color w:val="000000"/>
          <w:position w:val="0"/>
        </w:rPr>
        <w:t xml:space="preserve">(Akhtar, </w:t>
      </w:r>
      <w:r>
        <w:rPr>
          <w:lang w:val="ru-RU" w:eastAsia="ru-RU" w:bidi="ru-RU"/>
          <w:w w:val="100"/>
          <w:spacing w:val="0"/>
          <w:color w:val="000000"/>
          <w:position w:val="0"/>
        </w:rPr>
        <w:t>1993).</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pict>
          <v:shape id="_x0000_s1785" type="#_x0000_t75" style="position:absolute;margin-left:130.9pt;margin-top:736.55pt;width:209.75pt;height:14.9pt;z-index:-125828843;mso-wrap-distance-left:124.3pt;mso-wrap-distance-right:148.1pt;mso-wrap-distance-bottom:10.8pt;mso-position-horizontal-relative:margin;mso-position-vertical-relative:margin" wrapcoords="0 0 21600 0 21600 21600 0 21600 0 0">
            <v:imagedata r:id="rId1241" r:href="rId1242"/>
            <w10:wrap type="topAndBottom" anchorx="margin" anchory="margin"/>
          </v:shape>
        </w:pict>
      </w:r>
      <w:r>
        <w:rPr>
          <w:lang w:val="ru-RU" w:eastAsia="ru-RU" w:bidi="ru-RU"/>
          <w:w w:val="100"/>
          <w:spacing w:val="0"/>
          <w:color w:val="000000"/>
          <w:position w:val="0"/>
        </w:rPr>
        <w:t>Для раскрытия механизма АВНРТ очень важно пони</w:t>
        <w:softHyphen/>
        <w:t>мание электрофизиологии ткани АВ узла. У боль</w:t>
        <w:softHyphen/>
        <w:t>шинства людей в АВ узле имеется единственный про</w:t>
        <w:softHyphen/>
        <w:t>водящий путь, который проводит импульсы для де</w:t>
        <w:softHyphen/>
        <w:t>поляризации пучка Гиса. В некоторых случаях ткань АВ узла может иметь 2 проводящих пути с различны</w:t>
        <w:softHyphen/>
        <w:t>ми электрофизиологическими свойствами. Один путь (альфа) имеет относительно короткий рефрак</w:t>
        <w:softHyphen/>
        <w:t>терный период, тогда как второй путь (бета) является быстрым проводящим путем с длинным рефрактер</w:t>
        <w:softHyphen/>
        <w:t>ным периодом. Сосуществование этих функциональ</w:t>
        <w:softHyphen/>
        <w:t xml:space="preserve">но различных путей служит в качестве субстрата для реципрокной тахикардии </w:t>
      </w:r>
      <w:r>
        <w:rPr>
          <w:lang w:val="en-US" w:eastAsia="en-US" w:bidi="en-US"/>
          <w:w w:val="100"/>
          <w:spacing w:val="0"/>
          <w:color w:val="000000"/>
          <w:position w:val="0"/>
        </w:rPr>
        <w:t xml:space="preserve">(Akhtar, </w:t>
      </w:r>
      <w:r>
        <w:rPr>
          <w:lang w:val="ru-RU" w:eastAsia="ru-RU" w:bidi="ru-RU"/>
          <w:w w:val="100"/>
          <w:spacing w:val="0"/>
          <w:color w:val="000000"/>
          <w:position w:val="0"/>
        </w:rPr>
        <w:t xml:space="preserve">1984; </w:t>
      </w:r>
      <w:r>
        <w:rPr>
          <w:lang w:val="en-US" w:eastAsia="en-US" w:bidi="en-US"/>
          <w:w w:val="100"/>
          <w:spacing w:val="0"/>
          <w:color w:val="000000"/>
          <w:position w:val="0"/>
        </w:rPr>
        <w:t xml:space="preserve">Akhtar, </w:t>
      </w:r>
      <w:r>
        <w:rPr>
          <w:lang w:val="ru-RU" w:eastAsia="ru-RU" w:bidi="ru-RU"/>
          <w:w w:val="100"/>
          <w:spacing w:val="0"/>
          <w:color w:val="000000"/>
          <w:position w:val="0"/>
        </w:rPr>
        <w:t>1993;</w:t>
      </w:r>
      <w:r>
        <w:br w:type="page"/>
      </w:r>
    </w:p>
    <w:p>
      <w:pPr>
        <w:pStyle w:val="Style30"/>
        <w:widowControl w:val="0"/>
        <w:keepNext w:val="0"/>
        <w:keepLines w:val="0"/>
        <w:shd w:val="clear" w:color="auto" w:fill="auto"/>
        <w:bidi w:val="0"/>
        <w:spacing w:before="0" w:after="0"/>
        <w:ind w:left="280" w:right="0" w:firstLine="0"/>
      </w:pPr>
      <w:r>
        <w:pict>
          <v:shape id="_x0000_s1786" type="#_x0000_t202" style="position:absolute;margin-left:-5.15pt;margin-top:26.15pt;width:494.4pt;height:170.4pt;z-index:-125828842;mso-wrap-distance-left:5.pt;mso-wrap-distance-right:5.pt;mso-position-horizontal-relative:margin;mso-position-vertical-relative:margin" filled="f" stroked="f">
            <v:textbox style="mso-fit-shape-to-text:t" inset="0,0,0,0">
              <w:txbxContent>
                <w:tbl>
                  <w:tblPr>
                    <w:tblOverlap w:val="never"/>
                    <w:tblLayout w:type="fixed"/>
                    <w:jc w:val="left"/>
                  </w:tblPr>
                  <w:tblGrid>
                    <w:gridCol w:w="3446"/>
                    <w:gridCol w:w="6442"/>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60" w:lineRule="exact"/>
                          <w:ind w:left="0" w:right="0" w:firstLine="0"/>
                        </w:pPr>
                        <w:r>
                          <w:rPr>
                            <w:rStyle w:val="CharStyle102"/>
                          </w:rPr>
                          <w:t>Тахикардия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60" w:lineRule="exact"/>
                          <w:ind w:left="0" w:right="0" w:firstLine="0"/>
                        </w:pPr>
                        <w:r>
                          <w:rPr>
                            <w:rStyle w:val="CharStyle102"/>
                          </w:rPr>
                          <w:t>Результаты ЭКГ</w:t>
                        </w:r>
                      </w:p>
                    </w:tc>
                  </w:tr>
                  <w:tr>
                    <w:trPr>
                      <w:trHeight w:val="235"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Синусная тахикардия</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spacing w:before="0" w:after="0" w:line="160" w:lineRule="exact"/>
                          <w:ind w:left="0" w:right="0" w:firstLine="0"/>
                        </w:pPr>
                        <w:r>
                          <w:rPr>
                            <w:rStyle w:val="CharStyle102"/>
                          </w:rPr>
                          <w:t>ЧСС более 100 уд/мин. Р зубцы как при синусовом ритме.</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Несоответствующая синусная тахикардия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Сходна с синусовой тахикардией. Р зубцы сходны с синусовым ритмом</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Синусная нодальная реципрокная тахикардия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Р зубцы сходны с синусовым ритмом. Внезапное начало и завершение</w:t>
                        </w:r>
                      </w:p>
                    </w:tc>
                  </w:tr>
                  <w:tr>
                    <w:trPr>
                      <w:trHeight w:val="437"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Предсердная тахикардия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 xml:space="preserve">ЧСС 120-250 уд/мин Морфология Р волны отличается от синусового ритма. Удлиненный интервал </w:t>
                        </w:r>
                        <w:r>
                          <w:rPr>
                            <w:rStyle w:val="CharStyle102"/>
                            <w:lang w:val="en-US" w:eastAsia="en-US" w:bidi="en-US"/>
                          </w:rPr>
                          <w:t xml:space="preserve">RP. </w:t>
                        </w:r>
                        <w:r>
                          <w:rPr>
                            <w:rStyle w:val="CharStyle102"/>
                          </w:rPr>
                          <w:t>АВ блокада не прекращает тахикардию.</w:t>
                        </w:r>
                      </w:p>
                    </w:tc>
                  </w:tr>
                  <w:tr>
                    <w:trPr>
                      <w:trHeight w:val="259"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Многоочаговая предсердная тахикардия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ЧСС = 100-200 уд/мин. Три или более различных морфологии зубца Р.</w:t>
                        </w:r>
                      </w:p>
                    </w:tc>
                  </w:tr>
                  <w:tr>
                    <w:trPr>
                      <w:trHeight w:val="254"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Трепетание предсердий</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Частота сокращений предсердий = 200-300 уд/мин. Проводимость АВ 2:1 или 4:1.</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Фибрилляция предсердий</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Нерегулярный ритм. Отсутствие различимых/видимых Р зубцов.</w:t>
                        </w:r>
                      </w:p>
                    </w:tc>
                  </w:tr>
                  <w:tr>
                    <w:trPr>
                      <w:trHeight w:val="821"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АВ нодальная реципрокная тахикардия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 xml:space="preserve">ЧСС = 150-200 уд/мин. Р зубец расположен либо внутри комплекса </w:t>
                        </w:r>
                        <w:r>
                          <w:rPr>
                            <w:rStyle w:val="CharStyle102"/>
                            <w:lang w:val="en-US" w:eastAsia="en-US" w:bidi="en-US"/>
                          </w:rPr>
                          <w:t xml:space="preserve">QRS, </w:t>
                        </w:r>
                        <w:r>
                          <w:rPr>
                            <w:rStyle w:val="CharStyle102"/>
                          </w:rPr>
                          <w:t>либо сразу пос</w:t>
                          <w:softHyphen/>
                          <w:t xml:space="preserve">ле комплекса </w:t>
                        </w:r>
                        <w:r>
                          <w:rPr>
                            <w:rStyle w:val="CharStyle102"/>
                            <w:lang w:val="en-US" w:eastAsia="en-US" w:bidi="en-US"/>
                          </w:rPr>
                          <w:t>QRS.</w:t>
                        </w:r>
                      </w:p>
                      <w:p>
                        <w:pPr>
                          <w:pStyle w:val="Style30"/>
                          <w:widowControl w:val="0"/>
                          <w:keepNext w:val="0"/>
                          <w:keepLines w:val="0"/>
                          <w:shd w:val="clear" w:color="auto" w:fill="auto"/>
                          <w:bidi w:val="0"/>
                          <w:spacing w:before="0" w:after="0" w:line="192" w:lineRule="exact"/>
                          <w:ind w:left="0" w:right="0" w:firstLine="0"/>
                        </w:pPr>
                        <w:r>
                          <w:rPr>
                            <w:rStyle w:val="CharStyle102"/>
                          </w:rPr>
                          <w:t xml:space="preserve">Укороченный интервал </w:t>
                        </w:r>
                        <w:r>
                          <w:rPr>
                            <w:rStyle w:val="CharStyle102"/>
                            <w:lang w:val="en-US" w:eastAsia="en-US" w:bidi="en-US"/>
                          </w:rPr>
                          <w:t xml:space="preserve">RP </w:t>
                        </w:r>
                        <w:r>
                          <w:rPr>
                            <w:rStyle w:val="CharStyle102"/>
                          </w:rPr>
                          <w:t xml:space="preserve">при типичной АВНРТ и удлиненный </w:t>
                        </w:r>
                        <w:r>
                          <w:rPr>
                            <w:rStyle w:val="CharStyle102"/>
                            <w:lang w:val="en-US" w:eastAsia="en-US" w:bidi="en-US"/>
                          </w:rPr>
                          <w:t xml:space="preserve">PR </w:t>
                        </w:r>
                        <w:r>
                          <w:rPr>
                            <w:rStyle w:val="CharStyle102"/>
                          </w:rPr>
                          <w:t>при атипичной АВНРТ.</w:t>
                        </w:r>
                      </w:p>
                    </w:tc>
                  </w:tr>
                  <w:tr>
                    <w:trPr>
                      <w:trHeight w:val="446"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АВ реципрокная тахикардия</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 xml:space="preserve">ЧСС = 150-250 уд/мин. Узкий комплекс </w:t>
                        </w:r>
                        <w:r>
                          <w:rPr>
                            <w:rStyle w:val="CharStyle102"/>
                            <w:lang w:val="en-US" w:eastAsia="en-US" w:bidi="en-US"/>
                          </w:rPr>
                          <w:t xml:space="preserve">QRS </w:t>
                        </w:r>
                        <w:r>
                          <w:rPr>
                            <w:rStyle w:val="CharStyle102"/>
                          </w:rPr>
                          <w:t xml:space="preserve">при ортодромном проведении и широкий </w:t>
                        </w:r>
                        <w:r>
                          <w:rPr>
                            <w:rStyle w:val="CharStyle102"/>
                            <w:lang w:val="en-US" w:eastAsia="en-US" w:bidi="en-US"/>
                          </w:rPr>
                          <w:t xml:space="preserve">QRS </w:t>
                        </w:r>
                        <w:r>
                          <w:rPr>
                            <w:rStyle w:val="CharStyle102"/>
                          </w:rPr>
                          <w:t xml:space="preserve">при антидромном проведении. Зубец Р после комплекса </w:t>
                        </w:r>
                        <w:r>
                          <w:rPr>
                            <w:rStyle w:val="CharStyle102"/>
                            <w:lang w:val="en-US" w:eastAsia="en-US" w:bidi="en-US"/>
                          </w:rPr>
                          <w:t>QRS.</w:t>
                        </w:r>
                      </w:p>
                    </w:tc>
                  </w:tr>
                </w:tbl>
              </w:txbxContent>
            </v:textbox>
            <w10:wrap type="topAndBottom" anchorx="margin" anchory="margin"/>
          </v:shape>
        </w:pict>
      </w:r>
      <w:r>
        <w:pict>
          <v:shape id="_x0000_s1787" type="#_x0000_t202" style="position:absolute;margin-left:120.6pt;margin-top:10.55pt;width:242.15pt;height:11.85pt;z-index:-125828841;mso-wrap-distance-left:5.pt;mso-wrap-distance-right:5.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Результаты ЭКГ у пациентов с наджелудочковой тахикардией</w:t>
                  </w:r>
                </w:p>
              </w:txbxContent>
            </v:textbox>
            <w10:wrap type="topAndBottom" anchorx="margin" anchory="margin"/>
          </v:shape>
        </w:pict>
      </w:r>
      <w:r>
        <w:pict>
          <v:shape id="_x0000_s1788" type="#_x0000_t202" style="position:absolute;margin-left:444.35pt;margin-top:0;width:45.1pt;height:11.65pt;z-index:-125828840;mso-wrap-distance-left:5.pt;mso-wrap-distance-right:5.pt;mso-position-horizontal-relative:margin;mso-position-vertical-relative:margin" filled="f" stroked="f">
            <v:textbox style="mso-fit-shape-to-text:t" inset="0,0,0,0">
              <w:txbxContent>
                <w:p>
                  <w:pPr>
                    <w:pStyle w:val="Style139"/>
                    <w:widowControl w:val="0"/>
                    <w:keepNext w:val="0"/>
                    <w:keepLines w:val="0"/>
                    <w:shd w:val="clear" w:color="auto" w:fill="auto"/>
                    <w:bidi w:val="0"/>
                    <w:jc w:val="left"/>
                    <w:spacing w:before="0" w:after="0" w:line="180" w:lineRule="exact"/>
                    <w:ind w:left="0" w:right="0" w:firstLine="0"/>
                  </w:pPr>
                  <w:r>
                    <w:rPr>
                      <w:rStyle w:val="CharStyle143"/>
                      <w:b/>
                      <w:bCs/>
                      <w:i/>
                      <w:iCs/>
                    </w:rPr>
                    <w:t>Таблица 35</w:t>
                  </w:r>
                </w:p>
              </w:txbxContent>
            </v:textbox>
            <w10:wrap type="topAndBottom" anchorx="margin" anchory="margin"/>
          </v:shape>
        </w:pict>
      </w:r>
      <w:r>
        <w:rPr>
          <w:lang w:val="en-US" w:eastAsia="en-US" w:bidi="en-US"/>
          <w:w w:val="100"/>
          <w:spacing w:val="0"/>
          <w:color w:val="000000"/>
          <w:position w:val="0"/>
        </w:rPr>
        <w:t xml:space="preserve">Josephson, </w:t>
      </w:r>
      <w:r>
        <w:rPr>
          <w:lang w:val="ru-RU" w:eastAsia="ru-RU" w:bidi="ru-RU"/>
          <w:w w:val="100"/>
          <w:spacing w:val="0"/>
          <w:color w:val="000000"/>
          <w:position w:val="0"/>
        </w:rPr>
        <w:t xml:space="preserve">1997; </w:t>
      </w:r>
      <w:r>
        <w:rPr>
          <w:lang w:val="en-US" w:eastAsia="en-US" w:bidi="en-US"/>
          <w:w w:val="100"/>
          <w:spacing w:val="0"/>
          <w:color w:val="000000"/>
          <w:position w:val="0"/>
        </w:rPr>
        <w:t xml:space="preserve">Ganz, </w:t>
      </w:r>
      <w:r>
        <w:rPr>
          <w:lang w:val="ru-RU" w:eastAsia="ru-RU" w:bidi="ru-RU"/>
          <w:w w:val="100"/>
          <w:spacing w:val="0"/>
          <w:color w:val="000000"/>
          <w:position w:val="0"/>
        </w:rPr>
        <w:t>1995). Электрофизиологичес</w:t>
        <w:softHyphen/>
        <w:t>кие исследования показали наличие двойных путей АВ узла у 40% пациентов.</w:t>
      </w:r>
    </w:p>
    <w:p>
      <w:pPr>
        <w:pStyle w:val="Style30"/>
        <w:numPr>
          <w:ilvl w:val="0"/>
          <w:numId w:val="159"/>
        </w:numPr>
        <w:tabs>
          <w:tab w:leader="none" w:pos="232"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Пусковым моментом начала АВНРТ является преж</w:t>
        <w:softHyphen/>
        <w:t>девременный предсердный импульс. Преждевремен</w:t>
        <w:softHyphen/>
        <w:t>ный предсердный импульс может достичь АВ узла, когда быстрый проводящий путь (бета) все еще не</w:t>
        <w:softHyphen/>
        <w:t>восприимчив после предыдущего импульса, но мед</w:t>
        <w:softHyphen/>
        <w:t>ленный путь (альфа) уже может быть готов к проведе</w:t>
        <w:softHyphen/>
        <w:t>нию. Преждевременный импульс проводится через медленный путь (альфа) антероградно и ретроградно через быстрый (бета). Если медленный (альфа) путь реполяризовался ко времени, когда импульс завер</w:t>
        <w:softHyphen/>
        <w:t>шает ретроградное прохождение, то импульс может повторно возвратиться в медленный (альфа) путь и запустить АВНРТ.</w:t>
      </w:r>
    </w:p>
    <w:p>
      <w:pPr>
        <w:pStyle w:val="Style30"/>
        <w:numPr>
          <w:ilvl w:val="0"/>
          <w:numId w:val="159"/>
        </w:numPr>
        <w:tabs>
          <w:tab w:leader="none" w:pos="232"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Так как импульс типично проводится антероградно по медленному пути и ретроградно по быстрому пути, интервал </w:t>
      </w:r>
      <w:r>
        <w:rPr>
          <w:lang w:val="en-US" w:eastAsia="en-US" w:bidi="en-US"/>
          <w:w w:val="100"/>
          <w:spacing w:val="0"/>
          <w:color w:val="000000"/>
          <w:position w:val="0"/>
        </w:rPr>
        <w:t xml:space="preserve">PR </w:t>
      </w:r>
      <w:r>
        <w:rPr>
          <w:lang w:val="ru-RU" w:eastAsia="ru-RU" w:bidi="ru-RU"/>
          <w:w w:val="100"/>
          <w:spacing w:val="0"/>
          <w:color w:val="000000"/>
          <w:position w:val="0"/>
        </w:rPr>
        <w:t xml:space="preserve">длиннее интервала </w:t>
      </w:r>
      <w:r>
        <w:rPr>
          <w:lang w:val="en-US" w:eastAsia="en-US" w:bidi="en-US"/>
          <w:w w:val="100"/>
          <w:spacing w:val="0"/>
          <w:color w:val="000000"/>
          <w:position w:val="0"/>
        </w:rPr>
        <w:t xml:space="preserve">RP. </w:t>
      </w:r>
      <w:r>
        <w:rPr>
          <w:lang w:val="ru-RU" w:eastAsia="ru-RU" w:bidi="ru-RU"/>
          <w:w w:val="100"/>
          <w:spacing w:val="0"/>
          <w:color w:val="000000"/>
          <w:position w:val="0"/>
        </w:rPr>
        <w:t xml:space="preserve">Так, у пациентов с типичной АВНРТ зубец Р обычно располагается на терминальном участке комплекса </w:t>
      </w:r>
      <w:r>
        <w:rPr>
          <w:lang w:val="en-US" w:eastAsia="en-US" w:bidi="en-US"/>
          <w:w w:val="100"/>
          <w:spacing w:val="0"/>
          <w:color w:val="000000"/>
          <w:position w:val="0"/>
        </w:rPr>
        <w:t xml:space="preserve">QRS (Josephson, </w:t>
      </w:r>
      <w:r>
        <w:rPr>
          <w:lang w:val="ru-RU" w:eastAsia="ru-RU" w:bidi="ru-RU"/>
          <w:w w:val="100"/>
          <w:spacing w:val="0"/>
          <w:color w:val="000000"/>
          <w:position w:val="0"/>
        </w:rPr>
        <w:t>2001). У пациентов с атипичной АВНРТ антероград</w:t>
        <w:softHyphen/>
        <w:t>ное проведение осуществляется по быстрому пути, тогда как ретроградное проведение идет по медлен</w:t>
        <w:softHyphen/>
        <w:t xml:space="preserve">ному пути. У этих пациентов интервал </w:t>
      </w:r>
      <w:r>
        <w:rPr>
          <w:lang w:val="en-US" w:eastAsia="en-US" w:bidi="en-US"/>
          <w:w w:val="100"/>
          <w:spacing w:val="0"/>
          <w:color w:val="000000"/>
          <w:position w:val="0"/>
        </w:rPr>
        <w:t xml:space="preserve">RP </w:t>
      </w:r>
      <w:r>
        <w:rPr>
          <w:lang w:val="ru-RU" w:eastAsia="ru-RU" w:bidi="ru-RU"/>
          <w:w w:val="100"/>
          <w:spacing w:val="0"/>
          <w:color w:val="000000"/>
          <w:position w:val="0"/>
        </w:rPr>
        <w:t xml:space="preserve">длиннее интервала </w:t>
      </w:r>
      <w:r>
        <w:rPr>
          <w:lang w:val="en-US" w:eastAsia="en-US" w:bidi="en-US"/>
          <w:w w:val="100"/>
          <w:spacing w:val="0"/>
          <w:color w:val="000000"/>
          <w:position w:val="0"/>
        </w:rPr>
        <w:t>PR</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Атриовентрикулярная реципрокная тахикардия</w:t>
      </w:r>
    </w:p>
    <w:p>
      <w:pPr>
        <w:pStyle w:val="Style30"/>
        <w:numPr>
          <w:ilvl w:val="0"/>
          <w:numId w:val="159"/>
        </w:numPr>
        <w:tabs>
          <w:tab w:leader="none" w:pos="232"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Атриовентрикулярная реципрокная тахикардия (АВРТ) является второй по распространенности фор</w:t>
        <w:softHyphen/>
        <w:t>мой ПСВТ. Частота встречаемости АРВТ среди обще</w:t>
        <w:softHyphen/>
        <w:t>го населения составляет 0,1-0,3%. АРВТ чаще встре</w:t>
        <w:softHyphen/>
        <w:t>чается у мужчин, чем у женщин (2:1), и пациенты с АВРТ обращаются за помощью в более раннем воз</w:t>
        <w:softHyphen/>
        <w:t>расте, чем пациенты с АВНРТ. АВРТ ассоциирована с аномалией Эпштейна, хотя у большинства пациен</w:t>
        <w:softHyphen/>
        <w:t xml:space="preserve">тов нет признаков структурного порока сердца. АВРТ происходит в присутствии дополнительных путей проведения или обходных трактов. Вспомогательные пути являются участками, которые соединяют двух- или трехстворчатый клапаны </w:t>
      </w:r>
      <w:r>
        <w:rPr>
          <w:lang w:val="en-US" w:eastAsia="en-US" w:bidi="en-US"/>
          <w:w w:val="100"/>
          <w:spacing w:val="0"/>
          <w:color w:val="000000"/>
          <w:position w:val="0"/>
        </w:rPr>
        <w:t xml:space="preserve">(Xie, </w:t>
      </w:r>
      <w:r>
        <w:rPr>
          <w:lang w:val="ru-RU" w:eastAsia="ru-RU" w:bidi="ru-RU"/>
          <w:w w:val="100"/>
          <w:spacing w:val="0"/>
          <w:color w:val="000000"/>
          <w:position w:val="0"/>
        </w:rPr>
        <w:t>1998).</w:t>
      </w:r>
    </w:p>
    <w:p>
      <w:pPr>
        <w:pStyle w:val="Style30"/>
        <w:numPr>
          <w:ilvl w:val="0"/>
          <w:numId w:val="159"/>
        </w:numPr>
        <w:tabs>
          <w:tab w:leader="none" w:pos="232"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АВРТ является результатом 2-х или более проводя</w:t>
        <w:softHyphen/>
        <w:t>щих путей: АВ узел и один или более обходных пу</w:t>
        <w:softHyphen/>
        <w:br w:type="column"/>
        <w:t>тей. В нормальном сердце присутствует только один проводящий путь. Проведение начинается в синусовом узле, идет к АВ узлу, затем к пучку Ги- са и его разветвлениям. Однако при АВРТ один или более вспомогательных путей соединяют предсер</w:t>
        <w:softHyphen/>
        <w:t>дия и желудочки. Дополнительные пути могут про</w:t>
        <w:softHyphen/>
        <w:t xml:space="preserve">водить импульсы антероградно, ретроградно или в оба направления </w:t>
      </w:r>
      <w:r>
        <w:rPr>
          <w:lang w:val="en-US" w:eastAsia="en-US" w:bidi="en-US"/>
          <w:w w:val="100"/>
          <w:spacing w:val="0"/>
          <w:color w:val="000000"/>
          <w:position w:val="0"/>
        </w:rPr>
        <w:t xml:space="preserve">(Xie, </w:t>
      </w:r>
      <w:r>
        <w:rPr>
          <w:lang w:val="ru-RU" w:eastAsia="ru-RU" w:bidi="ru-RU"/>
          <w:w w:val="100"/>
          <w:spacing w:val="0"/>
          <w:color w:val="000000"/>
          <w:position w:val="0"/>
        </w:rPr>
        <w:t xml:space="preserve">1998; </w:t>
      </w:r>
      <w:r>
        <w:rPr>
          <w:lang w:val="en-US" w:eastAsia="en-US" w:bidi="en-US"/>
          <w:w w:val="100"/>
          <w:spacing w:val="0"/>
          <w:color w:val="000000"/>
          <w:position w:val="0"/>
        </w:rPr>
        <w:t xml:space="preserve">Josephson, </w:t>
      </w:r>
      <w:r>
        <w:rPr>
          <w:lang w:val="ru-RU" w:eastAsia="ru-RU" w:bidi="ru-RU"/>
          <w:w w:val="100"/>
          <w:spacing w:val="0"/>
          <w:color w:val="000000"/>
          <w:position w:val="0"/>
        </w:rPr>
        <w:t>1977). Ко</w:t>
        <w:softHyphen/>
        <w:t xml:space="preserve">гда импульсы проходят вниз по дополнительному пути антероградно, происходит преждевременное возбуждение желудочков. Это ведет к короткому интервалу </w:t>
      </w:r>
      <w:r>
        <w:rPr>
          <w:lang w:val="en-US" w:eastAsia="en-US" w:bidi="en-US"/>
          <w:w w:val="100"/>
          <w:spacing w:val="0"/>
          <w:color w:val="000000"/>
          <w:position w:val="0"/>
        </w:rPr>
        <w:t xml:space="preserve">PR </w:t>
      </w:r>
      <w:r>
        <w:rPr>
          <w:lang w:val="ru-RU" w:eastAsia="ru-RU" w:bidi="ru-RU"/>
          <w:w w:val="100"/>
          <w:spacing w:val="0"/>
          <w:color w:val="000000"/>
          <w:position w:val="0"/>
        </w:rPr>
        <w:t xml:space="preserve">и дельта-волне, что наблюдается при синдроме Вольфа-Паркинсона-Уайта (ВПУ) </w:t>
      </w:r>
      <w:r>
        <w:rPr>
          <w:lang w:val="en-US" w:eastAsia="en-US" w:bidi="en-US"/>
          <w:w w:val="100"/>
          <w:spacing w:val="0"/>
          <w:color w:val="000000"/>
          <w:position w:val="0"/>
        </w:rPr>
        <w:t>(Wolff, 1930).</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Важно отметить, что не все дополнительные пути проводят антероградно. Скрытые дополнительные пути не видны во время синусового ритма, и они спо</w:t>
        <w:softHyphen/>
        <w:t>собны выполнять только ретроградное проведение. Наиболее часто устанавливается реципрокный кон</w:t>
        <w:softHyphen/>
        <w:t>тур импульсами, идущими антероградно через АВ узел и ретроградно через дополнительный путь; это называется ортодромной АВРТ. Реципрокный контур может быть также установлен преждевременными импульсами, проходящими антероградно по допол</w:t>
        <w:softHyphen/>
        <w:t>нительному пути и ретроградно по АВ узлу; это назы</w:t>
        <w:softHyphen/>
        <w:t>вается антидромной АВРТ. В то время как ортодром</w:t>
        <w:softHyphen/>
        <w:t>ная АВРТ является типично узким комплексом, ан</w:t>
        <w:softHyphen/>
        <w:t>тидромная АВРТ представляет странную широко</w:t>
        <w:softHyphen/>
        <w:t xml:space="preserve">комплексную тахикардию </w:t>
      </w:r>
      <w:r>
        <w:rPr>
          <w:lang w:val="en-US" w:eastAsia="en-US" w:bidi="en-US"/>
          <w:w w:val="100"/>
          <w:spacing w:val="0"/>
          <w:color w:val="000000"/>
          <w:position w:val="0"/>
        </w:rPr>
        <w:t xml:space="preserve">(Obel, </w:t>
      </w:r>
      <w:r>
        <w:rPr>
          <w:lang w:val="ru-RU" w:eastAsia="ru-RU" w:bidi="ru-RU"/>
          <w:w w:val="100"/>
          <w:spacing w:val="0"/>
          <w:color w:val="000000"/>
          <w:position w:val="0"/>
        </w:rPr>
        <w:t xml:space="preserve">1997; </w:t>
      </w:r>
      <w:r>
        <w:rPr>
          <w:lang w:val="en-US" w:eastAsia="en-US" w:bidi="en-US"/>
          <w:w w:val="100"/>
          <w:spacing w:val="0"/>
          <w:color w:val="000000"/>
          <w:position w:val="0"/>
        </w:rPr>
        <w:t xml:space="preserve">Bardy, </w:t>
      </w:r>
      <w:r>
        <w:rPr>
          <w:lang w:val="ru-RU" w:eastAsia="ru-RU" w:bidi="ru-RU"/>
          <w:w w:val="100"/>
          <w:spacing w:val="0"/>
          <w:color w:val="000000"/>
          <w:position w:val="0"/>
        </w:rPr>
        <w:t xml:space="preserve">1984; </w:t>
      </w:r>
      <w:r>
        <w:rPr>
          <w:lang w:val="en-US" w:eastAsia="en-US" w:bidi="en-US"/>
          <w:w w:val="100"/>
          <w:spacing w:val="0"/>
          <w:color w:val="000000"/>
          <w:position w:val="0"/>
        </w:rPr>
        <w:t xml:space="preserve">Atie, </w:t>
      </w:r>
      <w:r>
        <w:rPr>
          <w:lang w:val="ru-RU" w:eastAsia="ru-RU" w:bidi="ru-RU"/>
          <w:w w:val="100"/>
          <w:spacing w:val="0"/>
          <w:color w:val="000000"/>
          <w:position w:val="0"/>
        </w:rPr>
        <w:t>1990).</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pict>
          <v:shape id="_x0000_s1789" type="#_x0000_t75" style="position:absolute;margin-left:142.45pt;margin-top:736.55pt;width:209.75pt;height:14.9pt;z-index:-125828839;mso-wrap-distance-left:136.1pt;mso-wrap-distance-right:136.8pt;mso-wrap-distance-bottom:10.8pt;mso-position-horizontal-relative:margin;mso-position-vertical-relative:margin" wrapcoords="0 0 21600 0 21600 21600 0 21600 0 0">
            <v:imagedata r:id="rId1243" r:href="rId1244"/>
            <w10:wrap type="topAndBottom" anchorx="margin" anchory="margin"/>
          </v:shape>
        </w:pict>
      </w:r>
      <w:r>
        <w:rPr>
          <w:lang w:val="ru-RU" w:eastAsia="ru-RU" w:bidi="ru-RU"/>
          <w:w w:val="100"/>
          <w:spacing w:val="0"/>
          <w:color w:val="000000"/>
          <w:position w:val="0"/>
        </w:rPr>
        <w:t>У пациентов с синдромом ВПУ могут развиться фиб</w:t>
        <w:softHyphen/>
        <w:t>рилляция и трепетание предсердий. Быстрое прове</w:t>
        <w:softHyphen/>
        <w:t>дение по вспомогательным путям может привести к крайне быстрым ритмам, что может обусловить фи</w:t>
        <w:softHyphen/>
        <w:t>брилляцию желудочков и привести к внезапной смерти. Крайне важно, чтобы пациенты с синдрома</w:t>
        <w:softHyphen/>
        <w:t>ми преждевременного возбуждения с фибрилляцией предсердий не получали препараты, блокирующие АВ узел; эти препараты могут привести к дальнейше</w:t>
        <w:softHyphen/>
        <w:t>му увеличению проводимости по вспомогательному пути, что увеличивает риск фибрилляции желудочков и внезапной смерти.</w:t>
      </w:r>
      <w:r>
        <w:br w:type="page"/>
      </w:r>
    </w:p>
    <w:p>
      <w:pPr>
        <w:pStyle w:val="Style92"/>
        <w:widowControl w:val="0"/>
        <w:keepNext/>
        <w:keepLines/>
        <w:shd w:val="clear" w:color="auto" w:fill="auto"/>
        <w:bidi w:val="0"/>
        <w:spacing w:before="0" w:after="0"/>
        <w:ind w:left="500" w:right="0" w:hanging="220"/>
      </w:pPr>
      <w:r>
        <w:pict>
          <v:shape id="_x0000_s1790" type="#_x0000_t202" style="position:absolute;margin-left:0.7pt;margin-top:432.pt;width:241.9pt;height:5.e-002pt;z-index:-125828838;mso-wrap-distance-left:5.pt;mso-wrap-distance-right:5.pt;mso-wrap-distance-bottom:171.35pt;mso-position-horizontal-relative:margin;mso-position-vertical-relative:margin" filled="f" stroked="f">
            <v:textbox style="mso-fit-shape-to-text:t" inset="0,0,0,0">
              <w:txbxContent>
                <w:p>
                  <w:pPr>
                    <w:pStyle w:val="Style139"/>
                    <w:widowControl w:val="0"/>
                    <w:keepNext w:val="0"/>
                    <w:keepLines w:val="0"/>
                    <w:shd w:val="clear" w:color="auto" w:fill="auto"/>
                    <w:bidi w:val="0"/>
                    <w:spacing w:before="0" w:after="0" w:line="216" w:lineRule="exact"/>
                    <w:ind w:left="0" w:right="0" w:firstLine="0"/>
                  </w:pPr>
                  <w:r>
                    <w:rPr>
                      <w:rStyle w:val="CharStyle143"/>
                      <w:b/>
                      <w:bCs/>
                      <w:i/>
                      <w:iCs/>
                    </w:rPr>
                    <w:t>Таблица 36</w:t>
                  </w:r>
                </w:p>
                <w:p>
                  <w:pPr>
                    <w:pStyle w:val="Style96"/>
                    <w:widowControl w:val="0"/>
                    <w:keepNext w:val="0"/>
                    <w:keepLines w:val="0"/>
                    <w:shd w:val="clear" w:color="auto" w:fill="auto"/>
                    <w:bidi w:val="0"/>
                    <w:jc w:val="center"/>
                    <w:spacing w:before="0" w:after="0" w:line="216" w:lineRule="exact"/>
                    <w:ind w:left="0" w:right="0" w:firstLine="0"/>
                  </w:pPr>
                  <w:r>
                    <w:rPr>
                      <w:rStyle w:val="CharStyle97"/>
                    </w:rPr>
                    <w:t>Наиболее распространенные симптомы пароксизмальной наджелудочковой тахикардии</w:t>
                  </w:r>
                </w:p>
                <w:tbl>
                  <w:tblPr>
                    <w:tblOverlap w:val="never"/>
                    <w:tblLayout w:type="fixed"/>
                    <w:jc w:val="center"/>
                  </w:tblPr>
                  <w:tblGrid>
                    <w:gridCol w:w="3173"/>
                    <w:gridCol w:w="1666"/>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Симптом</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Частота</w:t>
                        </w:r>
                      </w:p>
                    </w:tc>
                  </w:tr>
                  <w:tr>
                    <w:trPr>
                      <w:trHeight w:val="206"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Учащенное сердцебиение</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&gt; 96%</w:t>
                        </w:r>
                      </w:p>
                    </w:tc>
                  </w:tr>
                  <w:tr>
                    <w:trPr>
                      <w:trHeight w:val="192"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Головокружение</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75%</w:t>
                        </w:r>
                      </w:p>
                    </w:tc>
                  </w:tr>
                  <w:tr>
                    <w:trPr>
                      <w:trHeight w:val="187"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Одышка</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47%</w:t>
                        </w:r>
                      </w:p>
                    </w:tc>
                  </w:tr>
                  <w:tr>
                    <w:trPr>
                      <w:trHeight w:val="197"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Обморок</w:t>
                        </w: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20%</w:t>
                        </w:r>
                      </w:p>
                    </w:tc>
                  </w:tr>
                  <w:tr>
                    <w:trPr>
                      <w:trHeight w:val="192"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Боль в груди</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35%</w:t>
                        </w:r>
                      </w:p>
                    </w:tc>
                  </w:tr>
                  <w:tr>
                    <w:trPr>
                      <w:trHeight w:val="182"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Утомляемость</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23%</w:t>
                        </w:r>
                      </w:p>
                    </w:tc>
                  </w:tr>
                  <w:tr>
                    <w:trPr>
                      <w:trHeight w:val="197"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Усиленное потоотделение</w:t>
                        </w: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17%</w:t>
                        </w:r>
                      </w:p>
                    </w:tc>
                  </w:tr>
                  <w:tr>
                    <w:trPr>
                      <w:trHeight w:val="245" w:hRule="exact"/>
                    </w:trPr>
                    <w:tc>
                      <w:tcPr>
                        <w:shd w:val="clear" w:color="auto" w:fill="FFFFFF"/>
                        <w:tcBorders>
                          <w:left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Тошнота</w:t>
                        </w:r>
                      </w:p>
                    </w:tc>
                    <w:tc>
                      <w:tcPr>
                        <w:shd w:val="clear" w:color="auto" w:fill="FFFFFF"/>
                        <w:tcBorders>
                          <w:left w:val="single" w:sz="4"/>
                          <w:right w:val="single" w:sz="4"/>
                          <w:bottom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13%</w:t>
                        </w:r>
                      </w:p>
                    </w:tc>
                  </w:tr>
                </w:tbl>
                <w:p>
                  <w:pPr>
                    <w:widowControl w:val="0"/>
                    <w:rPr>
                      <w:sz w:val="2"/>
                      <w:szCs w:val="2"/>
                    </w:rPr>
                  </w:pPr>
                </w:p>
              </w:txbxContent>
            </v:textbox>
            <w10:wrap type="square" side="right" anchorx="margin" anchory="margin"/>
          </v:shape>
        </w:pict>
      </w:r>
      <w:bookmarkStart w:id="798" w:name="bookmark798"/>
      <w:r>
        <w:rPr>
          <w:lang w:val="ru-RU" w:eastAsia="ru-RU" w:bidi="ru-RU"/>
          <w:w w:val="100"/>
          <w:spacing w:val="0"/>
          <w:color w:val="000000"/>
          <w:position w:val="0"/>
        </w:rPr>
        <w:t>Узловая эктопическая тахикардия и непароксизмальная</w:t>
      </w:r>
      <w:bookmarkEnd w:id="798"/>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узловая тахикардия</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Эти узловые тахикардии встречаются редко и возни</w:t>
        <w:softHyphen/>
        <w:t>кают предположительно из-за повышенной автома- тии и/или инициированной активности. Они обычно наблюдаются после клапанной хирургии, после ин</w:t>
        <w:softHyphen/>
        <w:t>фаркта миокарда или при интоксикации дигоксином. Эти тахикардии также наблюдаются у детей после хи</w:t>
        <w:softHyphen/>
        <w:t>рургического вмешательства по поводу застойной сердечной недостаточности. На ЭКГ можно наблю</w:t>
        <w:softHyphen/>
        <w:t xml:space="preserve">дать регулярный узкий комплекс </w:t>
      </w:r>
      <w:r>
        <w:rPr>
          <w:lang w:val="en-US" w:eastAsia="en-US" w:bidi="en-US"/>
          <w:w w:val="100"/>
          <w:spacing w:val="0"/>
          <w:color w:val="000000"/>
          <w:position w:val="0"/>
        </w:rPr>
        <w:t xml:space="preserve">QRS, </w:t>
      </w:r>
      <w:r>
        <w:rPr>
          <w:lang w:val="ru-RU" w:eastAsia="ru-RU" w:bidi="ru-RU"/>
          <w:w w:val="100"/>
          <w:spacing w:val="0"/>
          <w:color w:val="000000"/>
          <w:position w:val="0"/>
        </w:rPr>
        <w:t>хотя зубцы Р могут быть невидимыми.</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 ПСВТ составляет примерно 1-3 на 1000.</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 АВНРТ выше у пациентов среднего возраста и старше, в то время как у подростков более вероятно развитие СВТ, которая опосредована вспомогатель</w:t>
        <w:softHyphen/>
        <w:t>ным путем проведения.</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ПСВТ отмечается не только у здоровых лиц, но и у пациентов, в анамнезе которых имеются ин</w:t>
        <w:softHyphen/>
        <w:t>фаркт миокарда, пролапс митрального клапана, рев</w:t>
        <w:softHyphen/>
        <w:t>матическая болезнь сердца, перикардит, пневмония, хронические заболевания легких.</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Пол</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ПСВТ относительно чаще наблюдается у девочек.</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Возраст</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Частота ПСВТ увеличивается с возрастом </w:t>
      </w:r>
      <w:r>
        <w:rPr>
          <w:lang w:val="en-US" w:eastAsia="en-US" w:bidi="en-US"/>
          <w:w w:val="100"/>
          <w:spacing w:val="0"/>
          <w:color w:val="000000"/>
          <w:position w:val="0"/>
        </w:rPr>
        <w:t xml:space="preserve">(Orejarena, </w:t>
      </w:r>
      <w:r>
        <w:rPr>
          <w:lang w:val="ru-RU" w:eastAsia="ru-RU" w:bidi="ru-RU"/>
          <w:w w:val="100"/>
          <w:spacing w:val="0"/>
          <w:color w:val="000000"/>
          <w:position w:val="0"/>
        </w:rPr>
        <w:t>1988).</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Относительная частота тахикардии, которая опосре</w:t>
        <w:softHyphen/>
        <w:t>дована дополнительным путем проведения, с возрас</w:t>
        <w:softHyphen/>
        <w:t>том уменьшается.</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Анамнез, клиническая симптоматика</w:t>
      </w:r>
    </w:p>
    <w:p>
      <w:pPr>
        <w:pStyle w:val="Style30"/>
        <w:numPr>
          <w:ilvl w:val="0"/>
          <w:numId w:val="159"/>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Так как степень тяжести симптомов зависит от нали</w:t>
        <w:softHyphen/>
        <w:t>чия структурного порока сердца, а также от гемоди</w:t>
        <w:softHyphen/>
        <w:t>намического резерва, лица с ПСВТ могут предъяв</w:t>
        <w:softHyphen/>
        <w:t>лять жалобы на симптомы легкой степени или на сер - дечно-легочные нарушения тяжелой степени. Неко</w:t>
        <w:softHyphen/>
        <w:t>торые наиболее распространенные симптомы приве</w:t>
        <w:softHyphen/>
        <w:t xml:space="preserve">дены в табл. 36 </w:t>
      </w:r>
      <w:r>
        <w:rPr>
          <w:lang w:val="en-US" w:eastAsia="en-US" w:bidi="en-US"/>
          <w:w w:val="100"/>
          <w:spacing w:val="0"/>
          <w:color w:val="000000"/>
          <w:position w:val="0"/>
        </w:rPr>
        <w:t xml:space="preserve">(Wood, </w:t>
      </w:r>
      <w:r>
        <w:rPr>
          <w:lang w:val="ru-RU" w:eastAsia="ru-RU" w:bidi="ru-RU"/>
          <w:w w:val="100"/>
          <w:spacing w:val="0"/>
          <w:color w:val="000000"/>
          <w:position w:val="0"/>
        </w:rPr>
        <w:t xml:space="preserve">1997; </w:t>
      </w:r>
      <w:r>
        <w:rPr>
          <w:lang w:val="en-US" w:eastAsia="en-US" w:bidi="en-US"/>
          <w:w w:val="100"/>
          <w:spacing w:val="0"/>
          <w:color w:val="000000"/>
          <w:position w:val="0"/>
        </w:rPr>
        <w:t xml:space="preserve">Al-Khatib, </w:t>
      </w:r>
      <w:r>
        <w:rPr>
          <w:lang w:val="ru-RU" w:eastAsia="ru-RU" w:bidi="ru-RU"/>
          <w:w w:val="100"/>
          <w:spacing w:val="0"/>
          <w:color w:val="000000"/>
          <w:position w:val="0"/>
        </w:rPr>
        <w:t xml:space="preserve">1999). </w:t>
      </w:r>
      <w:r>
        <w:rPr>
          <w:lang w:val="ru-RU" w:eastAsia="ru-RU" w:bidi="ru-RU"/>
          <w:vertAlign w:val="superscript"/>
          <w:w w:val="100"/>
          <w:spacing w:val="0"/>
          <w:color w:val="000000"/>
          <w:position w:val="0"/>
        </w:rPr>
        <w:footnoteReference w:id="6"/>
      </w:r>
    </w:p>
    <w:p>
      <w:pPr>
        <w:pStyle w:val="Style92"/>
        <w:widowControl w:val="0"/>
        <w:keepNext/>
        <w:keepLines/>
        <w:shd w:val="clear" w:color="auto" w:fill="auto"/>
        <w:bidi w:val="0"/>
        <w:spacing w:before="0" w:after="0"/>
        <w:ind w:left="280" w:right="0"/>
      </w:pPr>
      <w:r>
        <w:br w:type="column"/>
      </w:r>
      <w:bookmarkStart w:id="799" w:name="bookmark799"/>
      <w:r>
        <w:rPr>
          <w:lang w:val="ru-RU" w:eastAsia="ru-RU" w:bidi="ru-RU"/>
          <w:w w:val="100"/>
          <w:spacing w:val="0"/>
          <w:color w:val="000000"/>
          <w:position w:val="0"/>
        </w:rPr>
        <w:t>Физикальные данные</w:t>
      </w:r>
      <w:bookmarkEnd w:id="799"/>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Проявления, относящиеся к данному состоянию, обычно ограничиваются сердечно-сосудистой и ды</w:t>
        <w:softHyphen/>
        <w:t>хательной системами. Часто пациенты выглядят по</w:t>
        <w:softHyphen/>
        <w:t>давленно. Тахикардия может быть единственной на</w:t>
        <w:softHyphen/>
        <w:t>ходкой у пациентов, которые во всех других отноше</w:t>
        <w:softHyphen/>
        <w:t>ниях практически здоровы и имеют достаточные ге</w:t>
        <w:softHyphen/>
        <w:t>модинамические резервы.</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пациентов с ограниченным гемодинамическим ре</w:t>
        <w:softHyphen/>
        <w:t>зервом могут быть тахипноэ и гипотензия. При аус</w:t>
        <w:softHyphen/>
        <w:t>культации могут выслушиваться шумы изгнания, тре</w:t>
        <w:softHyphen/>
        <w:t>тий тон, усиленная пульсация яремных вен.</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Необходимо исследование сердечных ферментов у пациентов с болями в груди, пациентов с факторами риска инфаркта миокарда и пациентов с признаками сердечной недостаточности, гипотензии или отека легких. У пациентов молодого возраста без структур</w:t>
        <w:softHyphen/>
        <w:t>ных пороков сердца риск развития инфаркта миокар - да крайне низкий.</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Необходимо проверить электролиты, так как их нару</w:t>
        <w:softHyphen/>
        <w:t>шения могут вносить свой вклад в ПСВТ.</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Клинический анализ крови помогает оценить, вно</w:t>
        <w:softHyphen/>
        <w:t>сит ли анемия вклад в тахикардию или ишемию.</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Исследование щитовидной железы иногда позволяет поставить диагноз гипертиреоза.</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Необходимо получить уровень дигоксина у принима</w:t>
        <w:softHyphen/>
        <w:t>ющих его пациентов, так как ПСВТ является одним из многих видов аритмии, который может быть вы</w:t>
        <w:softHyphen/>
        <w:t>зван уровнями этого препарата в дозах выше терапев</w:t>
        <w:softHyphen/>
        <w:t>тических.</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Электрокардиограмма:</w:t>
      </w:r>
    </w:p>
    <w:p>
      <w:pPr>
        <w:pStyle w:val="Style30"/>
        <w:numPr>
          <w:ilvl w:val="0"/>
          <w:numId w:val="16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ЭКГ позволяет классифицировать тахиаритмию и может позволить поставить точный диагноз. Р зубцы могут быть невидимы; при их наличии они могут быть нормальными или аномальными в зави</w:t>
        <w:softHyphen/>
        <w:t xml:space="preserve">симости от механизма деполяризации предсердий </w:t>
      </w:r>
      <w:r>
        <w:rPr>
          <w:lang w:val="en-US" w:eastAsia="en-US" w:bidi="en-US"/>
          <w:w w:val="100"/>
          <w:spacing w:val="0"/>
          <w:color w:val="000000"/>
          <w:position w:val="0"/>
        </w:rPr>
        <w:t xml:space="preserve">(Xie, </w:t>
      </w:r>
      <w:r>
        <w:rPr>
          <w:lang w:val="ru-RU" w:eastAsia="ru-RU" w:bidi="ru-RU"/>
          <w:w w:val="100"/>
          <w:spacing w:val="0"/>
          <w:color w:val="000000"/>
          <w:position w:val="0"/>
        </w:rPr>
        <w:t xml:space="preserve">1998; </w:t>
      </w:r>
      <w:r>
        <w:rPr>
          <w:lang w:val="en-US" w:eastAsia="en-US" w:bidi="en-US"/>
          <w:w w:val="100"/>
          <w:spacing w:val="0"/>
          <w:color w:val="000000"/>
          <w:position w:val="0"/>
        </w:rPr>
        <w:t xml:space="preserve">Ganz, </w:t>
      </w:r>
      <w:r>
        <w:rPr>
          <w:lang w:val="ru-RU" w:eastAsia="ru-RU" w:bidi="ru-RU"/>
          <w:w w:val="100"/>
          <w:spacing w:val="0"/>
          <w:color w:val="000000"/>
          <w:position w:val="0"/>
        </w:rPr>
        <w:t xml:space="preserve">1995; </w:t>
      </w:r>
      <w:r>
        <w:rPr>
          <w:lang w:val="en-US" w:eastAsia="en-US" w:bidi="en-US"/>
          <w:w w:val="100"/>
          <w:spacing w:val="0"/>
          <w:color w:val="000000"/>
          <w:position w:val="0"/>
        </w:rPr>
        <w:t xml:space="preserve">Obel, </w:t>
      </w:r>
      <w:r>
        <w:rPr>
          <w:lang w:val="ru-RU" w:eastAsia="ru-RU" w:bidi="ru-RU"/>
          <w:w w:val="100"/>
          <w:spacing w:val="0"/>
          <w:color w:val="000000"/>
          <w:position w:val="0"/>
        </w:rPr>
        <w:t>1997). Характеристики ЭКГ различных СВТ приведены в табл. 35;</w:t>
      </w:r>
    </w:p>
    <w:p>
      <w:pPr>
        <w:pStyle w:val="Style30"/>
        <w:numPr>
          <w:ilvl w:val="0"/>
          <w:numId w:val="161"/>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после завершения тахикардии ЭКГ следует полу</w:t>
        <w:softHyphen/>
        <w:t>чить во время синусового ритма для выявления синдрома ВПУ. Также могут оказаться полезны - ми ультразвуковая кардиография и холтеровский мониторинг. Эхокардиография может оказаться полезной в диагностике структурного порока сердца.</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Необходимо получить рентгенограмму грудной клет</w:t>
        <w:softHyphen/>
        <w:t>ки для оценки наличия отека легких. Такие инфекци</w:t>
        <w:softHyphen/>
        <w:t>онные заболевания, как воспаление легких, которые также связаны с ПСВТ в некоторых случаях, необхо</w:t>
        <w:softHyphen/>
        <w:t>димо подтвердить при помощи данного метода визу</w:t>
        <w:softHyphen/>
        <w:t>ализации.</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Трансторакальная ультразвуковая кардиограмма мо</w:t>
        <w:softHyphen/>
        <w:t>жет оказаться полезной при подозрении на структур</w:t>
        <w:softHyphen/>
        <w:t>ный порок сердца.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Консервативное лечение:</w:t>
      </w:r>
    </w:p>
    <w:p>
      <w:pPr>
        <w:pStyle w:val="Style30"/>
        <w:numPr>
          <w:ilvl w:val="0"/>
          <w:numId w:val="159"/>
        </w:numPr>
        <w:tabs>
          <w:tab w:leader="none" w:pos="237" w:val="left"/>
        </w:tabs>
        <w:widowControl w:val="0"/>
        <w:keepNext w:val="0"/>
        <w:keepLines w:val="0"/>
        <w:shd w:val="clear" w:color="auto" w:fill="auto"/>
        <w:bidi w:val="0"/>
        <w:spacing w:before="0" w:after="0"/>
        <w:ind w:left="280" w:right="0" w:hanging="280"/>
      </w:pPr>
      <w:r>
        <w:pict>
          <v:shape id="_x0000_s1791" type="#_x0000_t75" style="position:absolute;margin-left:137.05pt;margin-top:736.55pt;width:209.75pt;height:14.9pt;z-index:-125828837;mso-wrap-distance-left:136.3pt;mso-wrap-distance-right:147.85pt;mso-wrap-distance-bottom:10.8pt;mso-position-horizontal-relative:margin;mso-position-vertical-relative:margin" wrapcoords="0 0 21600 0 21600 21600 0 21600 0 0">
            <v:imagedata r:id="rId1245" r:href="rId1246"/>
            <w10:wrap type="topAndBottom" anchorx="margin" anchory="margin"/>
          </v:shape>
        </w:pict>
      </w:r>
      <w:r>
        <w:rPr>
          <w:lang w:val="ru-RU" w:eastAsia="ru-RU" w:bidi="ru-RU"/>
          <w:w w:val="100"/>
          <w:spacing w:val="0"/>
          <w:color w:val="000000"/>
          <w:position w:val="0"/>
        </w:rPr>
        <w:t>У большинства пациентов с ПСВТ имеется АВНРТ или АВРТ. Эти аритмии зависят от проводимости АВ узла, и следовательно, их можно купировать посред</w:t>
        <w:softHyphen/>
        <w:t>ством временной блокады проводимости АВ узла.</w:t>
      </w:r>
      <w:r>
        <w:br w:type="page"/>
      </w:r>
    </w:p>
    <w:p>
      <w:pPr>
        <w:pStyle w:val="Style30"/>
        <w:numPr>
          <w:ilvl w:val="0"/>
          <w:numId w:val="15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Процедуры на блуждающем нерве являются лечени</w:t>
        <w:softHyphen/>
        <w:t>ем первой линии у гемодинамически стабильных па</w:t>
        <w:softHyphen/>
        <w:t>циентов. Такие процедуры, как задержка дыхания и процедура Вальсальвы (пациент принимает позу как бы для дефекации), замедляют проводимость в АВ узле и могут потенциально прервать реципрок- ный контур. Массаж сонной артерии является разно</w:t>
        <w:softHyphen/>
        <w:t>видностью процедуры воздействия на блуждающий нерв, которая позволяет снизить проводимость АВ узла. Массаж проводится на сонном синусе в течение нескольких секунд на недоминирующей стороне це</w:t>
        <w:softHyphen/>
        <w:t>ребрального полушария. Эту процедуру обычно проводят молодым людям. Из-за риска инсульта от эмболов врач должен выслушивать шумы перед по</w:t>
        <w:softHyphen/>
        <w:t>пыткой проведения данной процедуры. Каротидный массаж нельзя делать с обеих сторон одновременно.</w:t>
      </w:r>
    </w:p>
    <w:p>
      <w:pPr>
        <w:pStyle w:val="Style30"/>
        <w:numPr>
          <w:ilvl w:val="0"/>
          <w:numId w:val="159"/>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Немедленно можно использовать синхронизирован</w:t>
        <w:softHyphen/>
        <w:t xml:space="preserve">ную кардиоверсию начиная с 50 </w:t>
      </w:r>
      <w:r>
        <w:rPr>
          <w:lang w:val="en-US" w:eastAsia="en-US" w:bidi="en-US"/>
          <w:w w:val="100"/>
          <w:spacing w:val="0"/>
          <w:color w:val="000000"/>
          <w:position w:val="0"/>
        </w:rPr>
        <w:t xml:space="preserve">J </w:t>
      </w:r>
      <w:r>
        <w:rPr>
          <w:lang w:val="ru-RU" w:eastAsia="ru-RU" w:bidi="ru-RU"/>
          <w:w w:val="100"/>
          <w:spacing w:val="0"/>
          <w:color w:val="000000"/>
          <w:position w:val="0"/>
        </w:rPr>
        <w:t>у пациентов с пони</w:t>
        <w:softHyphen/>
        <w:t>женным давлением, отеком легких, болями в груди, с ишемией или нестабильных в других отношениях.</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Неотложное консервативное лечение:</w:t>
      </w:r>
    </w:p>
    <w:p>
      <w:pPr>
        <w:pStyle w:val="Style30"/>
        <w:numPr>
          <w:ilvl w:val="0"/>
          <w:numId w:val="159"/>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Если СВТ не удалось купировать манипуляциями на блуждающем нерве, неотложное лечение вклю</w:t>
        <w:softHyphen/>
        <w:t>чает внутривенное введение аденозина или блока</w:t>
        <w:softHyphen/>
        <w:t xml:space="preserve">торов кальциевых каналов. </w:t>
      </w:r>
      <w:r>
        <w:rPr>
          <w:rStyle w:val="CharStyle103"/>
        </w:rPr>
        <w:t>Аденозин</w:t>
      </w:r>
      <w:r>
        <w:rPr>
          <w:lang w:val="ru-RU" w:eastAsia="ru-RU" w:bidi="ru-RU"/>
          <w:w w:val="100"/>
          <w:spacing w:val="0"/>
          <w:color w:val="000000"/>
          <w:position w:val="0"/>
        </w:rPr>
        <w:t xml:space="preserve"> является пре</w:t>
        <w:softHyphen/>
        <w:t>паратом короткого действия, который блокирует АВ-узловое проведение; он купирует до 90% тахи</w:t>
        <w:softHyphen/>
        <w:t>кардий вследствие АВНРТ или АВРТ. Аденозин обычно не купирует предсердную тахикардию, хо</w:t>
        <w:softHyphen/>
        <w:t>тя он эффективен при купировании реципрокной тахикардии синусового узла. Типичными побоч</w:t>
        <w:softHyphen/>
        <w:t>ными эффектами аденозина являются «приливы», боли в груди и головокружение. Эти эффекты но</w:t>
        <w:softHyphen/>
        <w:t>сят временный характер, так как аденозин имеет очень короткий период полураспада (полувыведе</w:t>
        <w:softHyphen/>
        <w:t>ния), который составляет всего 10-20 секунд.</w:t>
      </w:r>
    </w:p>
    <w:p>
      <w:pPr>
        <w:pStyle w:val="Style30"/>
        <w:numPr>
          <w:ilvl w:val="0"/>
          <w:numId w:val="159"/>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 xml:space="preserve">Другим препаратом выбора при остром лечении СВТ является верапамил. </w:t>
      </w:r>
      <w:r>
        <w:rPr>
          <w:rStyle w:val="CharStyle103"/>
        </w:rPr>
        <w:t>Верапамил</w:t>
      </w:r>
      <w:r>
        <w:rPr>
          <w:lang w:val="ru-RU" w:eastAsia="ru-RU" w:bidi="ru-RU"/>
          <w:w w:val="100"/>
          <w:spacing w:val="0"/>
          <w:color w:val="000000"/>
          <w:position w:val="0"/>
        </w:rPr>
        <w:t xml:space="preserve"> является бло</w:t>
        <w:softHyphen/>
        <w:t>катором кальциевых каналов, который также об</w:t>
        <w:softHyphen/>
        <w:t>ладает АВ-блокирующими свойствами. Период полувыведения верапамила больше, чем у адено</w:t>
        <w:softHyphen/>
        <w:t>зина, поэтому он может помочь поддержанию си</w:t>
        <w:softHyphen/>
        <w:t>нусового ритма после завершения СВТ. Еще одним преимуществом верапамила является его способ</w:t>
        <w:softHyphen/>
        <w:t>ность контролировать частоту сокращений желу</w:t>
        <w:softHyphen/>
        <w:t>дочков у пациентов с предсердной тахиаритмией.</w:t>
      </w:r>
    </w:p>
    <w:p>
      <w:pPr>
        <w:pStyle w:val="Style30"/>
        <w:numPr>
          <w:ilvl w:val="0"/>
          <w:numId w:val="159"/>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Лечение фибрилляции и трепетания предсердий включает контроль частоты сокращений желудоч</w:t>
        <w:softHyphen/>
        <w:t>ков, восстановление синусового ритма, а также про</w:t>
        <w:softHyphen/>
        <w:t>филактику эмболических осложнений. Частота со</w:t>
        <w:softHyphen/>
        <w:t>кращений желудочков контролируется с помощью блокаторов кальциевых каналов, дигоксина, амио- дарона и Р-блокаторов. Синусового ритма можно добиться при помощи либо фармакологических препаратов, либо электрической кардиоверсии. Та</w:t>
        <w:softHyphen/>
        <w:t xml:space="preserve">кие лекарственные средства, как </w:t>
      </w:r>
      <w:r>
        <w:rPr>
          <w:rStyle w:val="CharStyle103"/>
        </w:rPr>
        <w:t>ибутилид,</w:t>
      </w:r>
      <w:r>
        <w:rPr>
          <w:lang w:val="ru-RU" w:eastAsia="ru-RU" w:bidi="ru-RU"/>
          <w:w w:val="100"/>
          <w:spacing w:val="0"/>
          <w:color w:val="000000"/>
          <w:position w:val="0"/>
        </w:rPr>
        <w:t xml:space="preserve"> преобра</w:t>
        <w:softHyphen/>
        <w:t>зуют фибрилляцию и трепетание предсердий корот</w:t>
        <w:softHyphen/>
        <w:t>кой продолжительности в синусовый ритм пример</w:t>
        <w:softHyphen/>
        <w:t>но у 30% и 60% пациентов соответственно.</w:t>
      </w:r>
    </w:p>
    <w:p>
      <w:pPr>
        <w:pStyle w:val="Style30"/>
        <w:numPr>
          <w:ilvl w:val="0"/>
          <w:numId w:val="159"/>
        </w:numPr>
        <w:tabs>
          <w:tab w:leader="none" w:pos="493"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Электрическая кардиоверсия является наиболее эффективным методом восстановления синусового ритма. Если фибрилляция предсердий присутству</w:t>
        <w:softHyphen/>
        <w:br w:type="column"/>
        <w:t>ет более 24-48 часов, то кардиоверсию следует от</w:t>
        <w:softHyphen/>
        <w:t>ложить до тех пор, пока пациенту не будет проведе</w:t>
        <w:softHyphen/>
        <w:t xml:space="preserve">на адекватная антикоагуляция для профилактики тромболитических осложнений </w:t>
      </w:r>
      <w:r>
        <w:rPr>
          <w:lang w:val="en-US" w:eastAsia="en-US" w:bidi="en-US"/>
          <w:w w:val="100"/>
          <w:spacing w:val="0"/>
          <w:color w:val="000000"/>
          <w:position w:val="0"/>
        </w:rPr>
        <w:t xml:space="preserve">(Trohman, </w:t>
      </w:r>
      <w:r>
        <w:rPr>
          <w:lang w:val="ru-RU" w:eastAsia="ru-RU" w:bidi="ru-RU"/>
          <w:w w:val="100"/>
          <w:spacing w:val="0"/>
          <w:color w:val="000000"/>
          <w:position w:val="0"/>
        </w:rPr>
        <w:t>2000).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Электрофизиологические исследования и радиочастотная</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катетерная аблация</w:t>
      </w:r>
    </w:p>
    <w:p>
      <w:pPr>
        <w:pStyle w:val="Style30"/>
        <w:numPr>
          <w:ilvl w:val="0"/>
          <w:numId w:val="159"/>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Электрофизиологические исследования карди</w:t>
        <w:softHyphen/>
        <w:t>нально изменили диагностику СВТ. Внутрисердеч</w:t>
        <w:softHyphen/>
        <w:t>ная регистрация помогла картировать вспомога</w:t>
        <w:softHyphen/>
        <w:t>тельные (дополнительные) проводящие пути и ре- ципрокные контуры, а также помогла понять ме</w:t>
        <w:softHyphen/>
        <w:t>ханизмы, лежащие в основе этих тахиаритмий.</w:t>
      </w:r>
    </w:p>
    <w:p>
      <w:pPr>
        <w:pStyle w:val="Style30"/>
        <w:numPr>
          <w:ilvl w:val="0"/>
          <w:numId w:val="159"/>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 настоящее время электрофизиологические ис</w:t>
        <w:softHyphen/>
        <w:t>следования обычно выполняются в сочетании с радиочастотной катетерной аблацией. Катетер - ная аблация показана пациентам с тяжелыми симптомами, симптоматическим синдромом преждевременного возбуждения, непрекращаю</w:t>
        <w:softHyphen/>
        <w:t>щейся тахикардией, которые не переносят или не желают медикаментозную терапию. Процедуры катетерной аблации обычно выполняются в амбу</w:t>
        <w:softHyphen/>
        <w:t>латорных условиях или пациента оставляют в больнице на ночь для наблюдения.</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Хроническое консервативное лечение:</w:t>
      </w:r>
    </w:p>
    <w:p>
      <w:pPr>
        <w:pStyle w:val="Style30"/>
        <w:numPr>
          <w:ilvl w:val="0"/>
          <w:numId w:val="159"/>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Выбор долгосрочной терапии для пациентов с СВТ зависит от типа тахиаритмии, а также от ча</w:t>
        <w:softHyphen/>
        <w:t>стоты и продолжительности эпизодов, симптомов и рисков, связанных с аритмией (например, сер</w:t>
        <w:softHyphen/>
        <w:t>дечная недостаточность, внезапная смерть). При оценке к каждому пациенту нужно подходить строго индивидуально, выбирать наилучший ме</w:t>
        <w:softHyphen/>
        <w:t>тод терапии исходя из специфических особеннос</w:t>
        <w:softHyphen/>
        <w:t>тей того или иного вида тахиаритмии.</w:t>
      </w:r>
    </w:p>
    <w:p>
      <w:pPr>
        <w:pStyle w:val="Style30"/>
        <w:numPr>
          <w:ilvl w:val="0"/>
          <w:numId w:val="159"/>
        </w:numPr>
        <w:tabs>
          <w:tab w:leader="none" w:pos="499"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Пациентов с ПСВТ нужно сначала лечить блока</w:t>
        <w:softHyphen/>
        <w:t>торами кальциевых каналов, дигоксином и/или Р-блокаторами. Противоаритмические лекар</w:t>
        <w:softHyphen/>
        <w:t xml:space="preserve">ственные средства класса </w:t>
      </w:r>
      <w:r>
        <w:rPr>
          <w:lang w:val="en-US" w:eastAsia="en-US" w:bidi="en-US"/>
          <w:w w:val="100"/>
          <w:spacing w:val="0"/>
          <w:color w:val="000000"/>
          <w:position w:val="0"/>
        </w:rPr>
        <w:t xml:space="preserve">IA, </w:t>
      </w:r>
      <w:r>
        <w:rPr>
          <w:lang w:val="ru-RU" w:eastAsia="ru-RU" w:bidi="ru-RU"/>
          <w:w w:val="100"/>
          <w:spacing w:val="0"/>
          <w:color w:val="000000"/>
          <w:position w:val="0"/>
        </w:rPr>
        <w:t>1С или III использу</w:t>
        <w:softHyphen/>
        <w:t>ются менее часто из-за успешных результатов ра</w:t>
        <w:softHyphen/>
        <w:t xml:space="preserve">диочастотной катетерной аблации </w:t>
      </w:r>
      <w:r>
        <w:rPr>
          <w:lang w:val="en-US" w:eastAsia="en-US" w:bidi="en-US"/>
          <w:w w:val="100"/>
          <w:spacing w:val="0"/>
          <w:color w:val="000000"/>
          <w:position w:val="0"/>
        </w:rPr>
        <w:t xml:space="preserve">(Trohman, </w:t>
      </w:r>
      <w:r>
        <w:rPr>
          <w:lang w:val="ru-RU" w:eastAsia="ru-RU" w:bidi="ru-RU"/>
          <w:w w:val="100"/>
          <w:spacing w:val="0"/>
          <w:color w:val="000000"/>
          <w:position w:val="0"/>
        </w:rPr>
        <w:t>2000). Для любого пациента с симптоматичной ПСВТ при плохой переносимости или нежелании долгосрочной терапии следует предусмотреть ра</w:t>
        <w:softHyphen/>
        <w:t>диочастотную аблацию. Кроме того, пациенты с симптоматичным синдромом ВПУ должны пройти катетерную аблацию из-за риска внезап</w:t>
        <w:softHyphen/>
        <w:t>ной сердечной смерти. Эффективность радиочас</w:t>
        <w:softHyphen/>
        <w:t xml:space="preserve">тотной катетерной аблации достигает более 90% при лечении ПСВТ </w:t>
      </w:r>
      <w:r>
        <w:rPr>
          <w:lang w:val="en-US" w:eastAsia="en-US" w:bidi="en-US"/>
          <w:w w:val="100"/>
          <w:spacing w:val="0"/>
          <w:color w:val="000000"/>
          <w:position w:val="0"/>
        </w:rPr>
        <w:t xml:space="preserve">(Ganz, </w:t>
      </w:r>
      <w:r>
        <w:rPr>
          <w:lang w:val="ru-RU" w:eastAsia="ru-RU" w:bidi="ru-RU"/>
          <w:w w:val="100"/>
          <w:spacing w:val="0"/>
          <w:color w:val="000000"/>
          <w:position w:val="0"/>
        </w:rPr>
        <w:t>2001).</w:t>
      </w:r>
    </w:p>
    <w:p>
      <w:pPr>
        <w:pStyle w:val="Style30"/>
        <w:numPr>
          <w:ilvl w:val="0"/>
          <w:numId w:val="159"/>
        </w:numPr>
        <w:tabs>
          <w:tab w:leader="none" w:pos="499" w:val="left"/>
        </w:tabs>
        <w:widowControl w:val="0"/>
        <w:keepNext w:val="0"/>
        <w:keepLines w:val="0"/>
        <w:shd w:val="clear" w:color="auto" w:fill="auto"/>
        <w:bidi w:val="0"/>
        <w:spacing w:before="0" w:after="0"/>
        <w:ind w:left="500" w:right="0" w:hanging="240"/>
      </w:pPr>
      <w:r>
        <w:pict>
          <v:shape id="_x0000_s1792" type="#_x0000_t75" style="position:absolute;margin-left:142.2pt;margin-top:736.55pt;width:209.75pt;height:14.9pt;z-index:-125828836;mso-wrap-distance-left:135.35pt;mso-wrap-distance-right:136.55pt;mso-wrap-distance-bottom:10.8pt;mso-position-horizontal-relative:margin;mso-position-vertical-relative:margin" wrapcoords="0 0 21600 0 21600 21600 0 21600 0 0">
            <v:imagedata r:id="rId1247" r:href="rId1248"/>
            <w10:wrap type="topAndBottom" anchorx="margin" anchory="margin"/>
          </v:shape>
        </w:pict>
      </w:r>
      <w:r>
        <w:rPr>
          <w:lang w:val="ru-RU" w:eastAsia="ru-RU" w:bidi="ru-RU"/>
          <w:w w:val="100"/>
          <w:spacing w:val="0"/>
          <w:color w:val="000000"/>
          <w:position w:val="0"/>
        </w:rPr>
        <w:t>Радиочастотная аблация заключается в местной аб - лации ключевого компонента механизма аритмии. Например, при АВНРТ аблации подвергается мед</w:t>
        <w:softHyphen/>
        <w:t>ленный путь проведения, что предотвращает реци- прокный цикл. У пациентов с АВРТ мишенью аб</w:t>
        <w:softHyphen/>
        <w:t>лации является дополнительный путь. Очаговая предсердная тахикардия, трепетание предсердий и, в некоторых случаях, фибрилляцию предсердий также можно вылечить при помощи аблации. Про</w:t>
        <w:softHyphen/>
        <w:t>цент успеха при радиочастотной аблации высок. Среди осложнений, частота которых составляет 1-3%, следует отметить тромбоз глубоких вен, сис</w:t>
        <w:softHyphen/>
        <w:t>темную эмболию, инфекции, тампонаду сердца и кровотечения. Риск смерти составляет приблизи-</w:t>
      </w:r>
      <w:r>
        <w:br w:type="page"/>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тельно 0,1%. Риск развития злокачественного об</w:t>
        <w:softHyphen/>
        <w:t>разования в результате облучения крайне низкий.</w:t>
      </w:r>
    </w:p>
    <w:p>
      <w:pPr>
        <w:pStyle w:val="Style30"/>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Радиочастотная аблация рентабельна у пациентов с частыми эпизодами СВТ, для купирования кото</w:t>
        <w:softHyphen/>
        <w:t>рых требуется большое количество лекарственных средств и частых неотложных визитов. Она также показана пациентам с непрекращающейся тахи</w:t>
        <w:softHyphen/>
        <w:t>кардией и для пациентов с симптоматичным синд</w:t>
        <w:softHyphen/>
        <w:t>ромом ВПУ. Оптимальная стратегия ведения па</w:t>
        <w:softHyphen/>
        <w:t>циентов с бессимптомными синдромами прежде</w:t>
        <w:softHyphen/>
        <w:t>временного возбуждения остается до конца не вы</w:t>
        <w:softHyphen/>
        <w:t xml:space="preserve">ясненной </w:t>
      </w:r>
      <w:r>
        <w:rPr>
          <w:lang w:val="en-US" w:eastAsia="en-US" w:bidi="en-US"/>
          <w:w w:val="100"/>
          <w:spacing w:val="0"/>
          <w:color w:val="000000"/>
          <w:position w:val="0"/>
        </w:rPr>
        <w:t xml:space="preserve">(Ganz, </w:t>
      </w:r>
      <w:r>
        <w:rPr>
          <w:lang w:val="ru-RU" w:eastAsia="ru-RU" w:bidi="ru-RU"/>
          <w:w w:val="100"/>
          <w:spacing w:val="0"/>
          <w:color w:val="000000"/>
          <w:position w:val="0"/>
        </w:rPr>
        <w:t>2001).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Хирургическое 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 появления чрезкожной радиочастотной катетерной аблации единственным средством лечения ПСВТ было проведение хирургической операции на открытом сердце. В настоящее время процедуры на открытом сердце выпол</w:t>
        <w:softHyphen/>
        <w:t>няются крайне редко.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Амбулаторное наблюдение</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 пациентами, получающими консервативное лече</w:t>
        <w:softHyphen/>
        <w:t>ние, необходимо вести диспансерное наблюдение. Пациентам, прошедшим лечение радиочастотной ка</w:t>
        <w:softHyphen/>
        <w:t>тетерной аблацией, наблюдение проводится по мере необходимости в случае рецидивирующих симптомов.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Осложнения</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Среди редких осложнений ПСВТ следует отметить инфаркт миокарда, застойную сердечную недоста</w:t>
        <w:softHyphen/>
        <w:t>точность, обмороки и внезапную смерть.</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Среди возможных осложнений радиочастотной кате</w:t>
        <w:softHyphen/>
        <w:t>терной аблации встречаются гематомы, кровотече</w:t>
        <w:softHyphen/>
        <w:t>ния, инфекции, псевдоаневризмы, инфаркт миокар</w:t>
        <w:softHyphen/>
        <w:t>да, перфорация сердца, блокада сердца, которая тре</w:t>
        <w:softHyphen/>
        <w:t>бует установки искусственного водителя ритма, тром</w:t>
        <w:softHyphen/>
        <w:t>боэмболические осложнения, инсульт, необходи</w:t>
        <w:softHyphen/>
        <w:t>мость неотложной хирургии, радиационный ожог, повышенный риск развития злокачественных ново</w:t>
        <w:softHyphen/>
        <w:t>образований и смерть.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numPr>
          <w:ilvl w:val="0"/>
          <w:numId w:val="159"/>
        </w:numPr>
        <w:tabs>
          <w:tab w:leader="none" w:pos="516" w:val="left"/>
        </w:tabs>
        <w:widowControl w:val="0"/>
        <w:keepNext w:val="0"/>
        <w:keepLines w:val="0"/>
        <w:shd w:val="clear" w:color="auto" w:fill="auto"/>
        <w:bidi w:val="0"/>
        <w:spacing w:before="0" w:after="193"/>
        <w:ind w:left="520" w:right="0" w:hanging="240"/>
      </w:pPr>
      <w:r>
        <w:rPr>
          <w:lang w:val="ru-RU" w:eastAsia="ru-RU" w:bidi="ru-RU"/>
          <w:w w:val="100"/>
          <w:spacing w:val="0"/>
          <w:color w:val="000000"/>
          <w:position w:val="0"/>
        </w:rPr>
        <w:t>У пациентов с симптоматическим синдромом ВПУ отмечается низкий риск внезапной смерти. В другом отношении прогноз зависит от лежащего в основе структурного порока сердца. Для пациентов с ПСВТ в условиях структурно нормального сердца прогноз благоприятный.</w:t>
      </w:r>
    </w:p>
    <w:p>
      <w:pPr>
        <w:pStyle w:val="Style48"/>
        <w:widowControl w:val="0"/>
        <w:keepNext/>
        <w:keepLines/>
        <w:shd w:val="clear" w:color="auto" w:fill="auto"/>
        <w:bidi w:val="0"/>
        <w:jc w:val="left"/>
        <w:spacing w:before="0" w:after="101" w:line="200" w:lineRule="exact"/>
        <w:ind w:left="0" w:right="0" w:firstLine="0"/>
      </w:pPr>
      <w:bookmarkStart w:id="800" w:name="bookmark800"/>
      <w:r>
        <w:rPr>
          <w:lang w:val="ru-RU" w:eastAsia="ru-RU" w:bidi="ru-RU"/>
          <w:w w:val="100"/>
          <w:spacing w:val="0"/>
          <w:color w:val="000000"/>
          <w:position w:val="0"/>
        </w:rPr>
        <w:t>Предсердная эктопическая тахикардия</w:t>
      </w:r>
      <w:bookmarkEnd w:id="80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Атриальная эктопическая тахикардия (АЭТ) является редкой формой аритмии; однако она является наиболее распространенной формой непрерывной суправентрику</w:t>
        <w:softHyphen/>
        <w:t>лярной тахикардии (СВТ) у детей. Считается, что АЭТ раз</w:t>
        <w:softHyphen/>
        <w:t>вивается вследствие повышенного автоматизма несинусо</w:t>
        <w:softHyphen/>
        <w:t>вых предсердных очагов. Эта аритмия, которая также изве</w:t>
        <w:softHyphen/>
        <w:t>стна под названием эктопической атриальной тахикардии или автоматической атриальной тахикардии, имеет высо</w:t>
        <w:softHyphen/>
        <w:t>кую ассоциацию с кардиомиопатией, вызванной тахикар</w:t>
        <w:softHyphen/>
        <w:t>дией. АЭТ часто является рефрактерной к консервативному лечению и обычно не отвечает на кардиостимуляцию.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Диагностика АЭТ основывается на наличии узкоком</w:t>
        <w:softHyphen/>
        <w:t>плексной тахикардии (при отсутствии аномалии или пред</w:t>
        <w:softHyphen/>
        <w:t>шествующей блокады ножки пучка Гиса) с видимыми зубца</w:t>
        <w:softHyphen/>
        <w:t>ми Р при аномально быстром ритме. Частота варьирует от</w:t>
        <w:br w:type="column"/>
        <w:t>120 до 300 уд/мин и типично бывает выше 200 уд/мин. Ось зубца Р обычно аномальная. Начало тахикардии наступает с зубца Р, идентичного последующим Р зубцам. Тахикардия может проявлять своего рода «разогревание», что проявля</w:t>
        <w:softHyphen/>
        <w:t>ется прогрессивным укорочением интервалов Р-Р в течение первых нескольких залпов аритмии. Точно так же может на</w:t>
        <w:softHyphen/>
        <w:t>блюдаться период «успокоения» при ее завершении. Атрио</w:t>
        <w:softHyphen/>
        <w:t>вентрикулярная (АВ) блокада первой степени является ти</w:t>
        <w:softHyphen/>
        <w:t>пичной, нередка также АВ блокада второй степени.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АЭТ обычно бывает идиопатической.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Иногда такие микоплазматические или вирусные ин</w:t>
        <w:softHyphen/>
        <w:t>фекции, как респираторный синцитиальный вирус, могут стать пусковым моментом аритмии, хотя при этом чаще об</w:t>
        <w:softHyphen/>
        <w:t>наруживаются более сложные предсердные тахикардии, та</w:t>
        <w:softHyphen/>
        <w:t>кие как хаотическая предсердная тахикардия.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Считается, что небольшой кластер клеток с аномальной автоматичностью отвечает за АЭТ. Проведение распростра</w:t>
        <w:softHyphen/>
        <w:t>няется из этого кластера к соседнему предсердию и к желу</w:t>
        <w:softHyphen/>
        <w:t>дочкам через АВ узел. Часто происходит отставание (за</w:t>
        <w:softHyphen/>
        <w:t>держка) проведения в АВ узле, при этом большинство па</w:t>
        <w:softHyphen/>
        <w:t>циентов демонстрируют АВ блокаду первой степени, а не</w:t>
        <w:softHyphen/>
        <w:t>которые — АВ блокаду второй степени.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Из-за того, что АЭТ является непрерывной, нередко на</w:t>
        <w:softHyphen/>
        <w:t>блюдается кардиомиопатия, вызванная тахикардией. В то время, когда лежащий в основе механизм развития сердеч</w:t>
        <w:softHyphen/>
        <w:t>ной дисфункции в условиях хронических аритмий не извес</w:t>
        <w:softHyphen/>
        <w:t>тен, в многочисленных сообщениях документально подтвер</w:t>
        <w:softHyphen/>
        <w:t>ждено улучшение сердечной функции после контролирова</w:t>
        <w:softHyphen/>
        <w:t>ния частоты сокращений желудочков и лечения аритмии.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numPr>
          <w:ilvl w:val="0"/>
          <w:numId w:val="159"/>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АЭТ составляет приблизительно 1 на 10 000 детей.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Аритмия наблюдается преимущественно у новорожден</w:t>
        <w:softHyphen/>
        <w:t>ных и детей раннего возраста.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Анамнез, клиническая симптоматика</w:t>
      </w:r>
    </w:p>
    <w:p>
      <w:pPr>
        <w:pStyle w:val="Style30"/>
        <w:numPr>
          <w:ilvl w:val="0"/>
          <w:numId w:val="159"/>
        </w:numPr>
        <w:tabs>
          <w:tab w:leader="none" w:pos="755"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У большинства пациентов имеется структурно нормальное сердце.</w:t>
      </w:r>
    </w:p>
    <w:p>
      <w:pPr>
        <w:pStyle w:val="Style30"/>
        <w:numPr>
          <w:ilvl w:val="0"/>
          <w:numId w:val="159"/>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Среди наиболее часто предъявляемых жалоб нахо - дятся: учащенное сердцебиение, боль в груди, го</w:t>
        <w:softHyphen/>
        <w:t>ловокружение, предобморочные состояния и одышка.</w:t>
      </w:r>
    </w:p>
    <w:p>
      <w:pPr>
        <w:pStyle w:val="Style30"/>
        <w:numPr>
          <w:ilvl w:val="0"/>
          <w:numId w:val="159"/>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 бессимптомных пациентов, которые не предъяв - ляют никаких жалоб, тахикардия или одышка мо</w:t>
        <w:softHyphen/>
        <w:t>гут быть выявлены при физикальном обследова</w:t>
        <w:softHyphen/>
        <w:t>нии.</w:t>
      </w:r>
    </w:p>
    <w:p>
      <w:pPr>
        <w:pStyle w:val="Style30"/>
        <w:numPr>
          <w:ilvl w:val="0"/>
          <w:numId w:val="159"/>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Поздними проявлениями вторичной сердечной дисфункции являются непереносимость физичес</w:t>
        <w:softHyphen/>
        <w:t>кой нагрузки и застойная сердечная недостаточ</w:t>
        <w:softHyphen/>
        <w:t>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Физикальные данные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сердечных сокращений увеличена непропорци</w:t>
        <w:softHyphen/>
        <w:t>онально степени активности ребенка. При наличии АВ блокады первой степени ЧСС может быть нерегулярной. У пациента может быть тахипноэ. При далеко зашедшей кардиомиопатии пульс и перфузия неадекватны при нали</w:t>
        <w:softHyphen/>
        <w:t>чии признаков увеличения сердца. Могут присутствовать застойные явления в печени и легких.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Лабораторная диагностика</w:t>
      </w:r>
    </w:p>
    <w:p>
      <w:pPr>
        <w:pStyle w:val="Style30"/>
        <w:numPr>
          <w:ilvl w:val="0"/>
          <w:numId w:val="159"/>
        </w:numPr>
        <w:tabs>
          <w:tab w:leader="none" w:pos="513"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Необходимо определить уровни электролитов, уровни</w:t>
      </w:r>
    </w:p>
    <w:p>
      <w:pPr>
        <w:pStyle w:val="Style30"/>
        <w:widowControl w:val="0"/>
        <w:keepNext w:val="0"/>
        <w:keepLines w:val="0"/>
        <w:shd w:val="clear" w:color="auto" w:fill="auto"/>
        <w:bidi w:val="0"/>
        <w:spacing w:before="0" w:after="0"/>
        <w:ind w:left="740" w:right="0" w:hanging="220"/>
      </w:pPr>
      <w:r>
        <w:pict>
          <v:shape id="_x0000_s1793" type="#_x0000_t75" style="position:absolute;margin-left:137.3pt;margin-top:736.55pt;width:209.75pt;height:14.9pt;z-index:-125828835;mso-wrap-distance-left:136.8pt;mso-wrap-distance-right:147.85pt;mso-wrap-distance-bottom:10.8pt;mso-position-horizontal-relative:margin;mso-position-vertical-relative:margin" wrapcoords="0 0 21600 0 21600 21600 0 21600 0 0">
            <v:imagedata r:id="rId1249" r:href="rId1250"/>
            <w10:wrap type="topAndBottom" anchorx="margin" anchory="margin"/>
          </v:shape>
        </w:pict>
      </w:r>
      <w:r>
        <w:rPr>
          <w:lang w:val="ru-RU" w:eastAsia="ru-RU" w:bidi="ru-RU"/>
          <w:w w:val="100"/>
          <w:spacing w:val="0"/>
          <w:color w:val="000000"/>
          <w:position w:val="0"/>
        </w:rPr>
        <w:t>гематокрита, а также функцию щитовидной железы.</w:t>
      </w:r>
      <w:r>
        <w:br w:type="page"/>
      </w:r>
    </w:p>
    <w:p>
      <w:pPr>
        <w:pStyle w:val="Style30"/>
        <w:numPr>
          <w:ilvl w:val="0"/>
          <w:numId w:val="159"/>
        </w:numPr>
        <w:tabs>
          <w:tab w:leader="none" w:pos="230" w:val="left"/>
        </w:tabs>
        <w:widowControl w:val="0"/>
        <w:keepNext w:val="0"/>
        <w:keepLines w:val="0"/>
        <w:shd w:val="clear" w:color="auto" w:fill="auto"/>
        <w:bidi w:val="0"/>
        <w:spacing w:before="0" w:after="0"/>
        <w:ind w:left="280" w:right="0" w:hanging="280"/>
      </w:pPr>
      <w:r>
        <w:pict>
          <v:shape id="_x0000_s1794" type="#_x0000_t202" style="position:absolute;margin-left:-5.5pt;margin-top:12.95pt;width:111.6pt;height:78.2pt;z-index:-125828834;mso-wrap-distance-left:5.pt;mso-wrap-distance-right: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22"/>
                    </w:rPr>
                    <w:t xml:space="preserve">Рис. 95. </w:t>
                  </w:r>
                  <w:r>
                    <w:rPr>
                      <w:rStyle w:val="CharStyle121"/>
                    </w:rPr>
                    <w:t>Предсердная тахикар</w:t>
                    <w:softHyphen/>
                    <w:t>дия: залп тахикардии начина</w:t>
                    <w:softHyphen/>
                    <w:t xml:space="preserve">ется экстрасистолой, зубцы Р в залпе расположены перед комплексом </w:t>
                  </w:r>
                  <w:r>
                    <w:rPr>
                      <w:rStyle w:val="CharStyle121"/>
                      <w:lang w:val="en-US" w:eastAsia="en-US" w:bidi="en-US"/>
                    </w:rPr>
                    <w:t xml:space="preserve">QRS, </w:t>
                  </w:r>
                  <w:r>
                    <w:rPr>
                      <w:rStyle w:val="CharStyle121"/>
                    </w:rPr>
                    <w:t>имеют от</w:t>
                    <w:softHyphen/>
                    <w:t>рицательную полярность, форма желудочкового ком</w:t>
                    <w:softHyphen/>
                    <w:t>плекса не изменена.</w:t>
                  </w:r>
                </w:p>
              </w:txbxContent>
            </v:textbox>
            <w10:wrap type="topAndBottom" anchorx="margin" anchory="margin"/>
          </v:shape>
        </w:pict>
      </w:r>
      <w:r>
        <w:pict>
          <v:shape id="_x0000_s1795" type="#_x0000_t75" style="position:absolute;margin-left:133.pt;margin-top:2.4pt;width:357.1pt;height:206.9pt;z-index:-125828833;mso-wrap-distance-left:5.pt;mso-wrap-distance-right:5.pt;mso-position-horizontal-relative:margin;mso-position-vertical-relative:margin">
            <v:imagedata r:id="rId1251" r:href="rId1252"/>
            <w10:wrap type="topAndBottom" anchorx="margin" anchory="margin"/>
          </v:shape>
        </w:pict>
      </w:r>
      <w:r>
        <w:rPr>
          <w:lang w:val="ru-RU" w:eastAsia="ru-RU" w:bidi="ru-RU"/>
          <w:w w:val="100"/>
          <w:spacing w:val="0"/>
          <w:color w:val="000000"/>
          <w:position w:val="0"/>
        </w:rPr>
        <w:t>У некоторых пациентов следует рассмотреть возмож</w:t>
        <w:softHyphen/>
        <w:t>ность исследования щитовидной железы или анализ мочи для оценки возможной феохромоцитомы.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 (рис. 95):</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Эктопическая предсердная тахикардия сопровож</w:t>
        <w:softHyphen/>
        <w:t>дается зубцом Р, который, как минимум, слегка от</w:t>
        <w:softHyphen/>
        <w:t>личается от синусового ритма, АВ блокады первой степени и возможных периодов АВ блокады вто</w:t>
        <w:softHyphen/>
        <w:t>рой степени без завершения тахикардии.</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Для дифференциации АЭТ от синусовой бради</w:t>
        <w:softHyphen/>
        <w:t xml:space="preserve">кардии вследствие кардиомиопатии Гельб с соавт. показали, что при АЭТ в отведении </w:t>
      </w:r>
      <w:r>
        <w:rPr>
          <w:lang w:val="en-US" w:eastAsia="en-US" w:bidi="en-US"/>
          <w:w w:val="100"/>
          <w:spacing w:val="0"/>
          <w:color w:val="000000"/>
          <w:position w:val="0"/>
        </w:rPr>
        <w:t>V</w:t>
      </w:r>
      <w:r>
        <w:rPr>
          <w:lang w:val="en-US" w:eastAsia="en-US" w:bidi="en-US"/>
          <w:vertAlign w:val="subscript"/>
          <w:w w:val="100"/>
          <w:spacing w:val="0"/>
          <w:color w:val="000000"/>
          <w:position w:val="0"/>
        </w:rPr>
        <w:t>2</w:t>
      </w:r>
      <w:r>
        <w:rPr>
          <w:lang w:val="en-US" w:eastAsia="en-US" w:bidi="en-US"/>
          <w:w w:val="100"/>
          <w:spacing w:val="0"/>
          <w:color w:val="000000"/>
          <w:position w:val="0"/>
        </w:rPr>
        <w:t xml:space="preserve"> </w:t>
      </w:r>
      <w:r>
        <w:rPr>
          <w:lang w:val="ru-RU" w:eastAsia="ru-RU" w:bidi="ru-RU"/>
          <w:w w:val="100"/>
          <w:spacing w:val="0"/>
          <w:color w:val="000000"/>
          <w:position w:val="0"/>
        </w:rPr>
        <w:t>более часто возникают отрицательные поздние терминальные потенциалы зубца Р.</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Показан холтеровский мониторинг ЭКГ для опре</w:t>
        <w:softHyphen/>
        <w:t>деления времени, затраченного на тахикардию и ча</w:t>
        <w:softHyphen/>
        <w:t>стоту желудочковых сокращений. Холтеровский мониторинг особенно полезен в выявлении и ана</w:t>
        <w:softHyphen/>
        <w:t>лизе возникновения и завершения тахикардии.</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Тестирование с нагрузкой может иногда выявить перемежающуюся АЭТ.</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ЭФИ:</w:t>
      </w:r>
    </w:p>
    <w:p>
      <w:pPr>
        <w:pStyle w:val="Style30"/>
        <w:numPr>
          <w:ilvl w:val="0"/>
          <w:numId w:val="159"/>
        </w:numPr>
        <w:tabs>
          <w:tab w:leader="none" w:pos="230"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Хотя в инвазивных исследованиях обычно не возни</w:t>
        <w:softHyphen/>
        <w:t>кает необходимости для постановки диагноза АЭТ, у некоторых пациентов может оказаться полезной пищеводная электрофизиологическая регистрация для подтверждения диагноза.</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пациентов с эктопической атриальной тахикар</w:t>
        <w:softHyphen/>
        <w:t>дией, возникающей из легочных вен, чрезпище- водная регистрация ЭКГ может быть полезной в определении места тахикардии.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Острая АЭТ:</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пациентов с остановкой сердца или нарушением гемодинамики необходима стандартная реанима</w:t>
        <w:softHyphen/>
        <w:t>ция, т.е. восстановление проходимости воздухо</w:t>
        <w:softHyphen/>
        <w:t>носных путей, функции дыхания, кровообраще</w:t>
        <w:softHyphen/>
        <w:br w:type="column"/>
        <w:t>ния. При необходимости проводится кардиовер - сия при помощи дефибриллятора.</w:t>
      </w:r>
    </w:p>
    <w:p>
      <w:pPr>
        <w:pStyle w:val="Style30"/>
        <w:numPr>
          <w:ilvl w:val="0"/>
          <w:numId w:val="159"/>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 пациентов с АЭТ может возникнуть сердеч</w:t>
        <w:softHyphen/>
        <w:t>но-сосудистая недостаточность. Этим пациентам необходима инотропная терапия, которая являет</w:t>
        <w:softHyphen/>
        <w:t>ся более успешной при купировании тахикардии.</w:t>
      </w:r>
    </w:p>
    <w:p>
      <w:pPr>
        <w:pStyle w:val="Style30"/>
        <w:numPr>
          <w:ilvl w:val="0"/>
          <w:numId w:val="159"/>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Необходим контроль ЧСС у детей, требующих ре</w:t>
        <w:softHyphen/>
        <w:t>анимационных мероприятий в ОИТ, включая ин</w:t>
        <w:softHyphen/>
        <w:t>тубацию. Дигитализация и использование внутри</w:t>
        <w:softHyphen/>
        <w:t xml:space="preserve">венного </w:t>
      </w:r>
      <w:r>
        <w:rPr>
          <w:rStyle w:val="CharStyle103"/>
        </w:rPr>
        <w:t>амиодарона</w:t>
      </w:r>
      <w:r>
        <w:rPr>
          <w:lang w:val="ru-RU" w:eastAsia="ru-RU" w:bidi="ru-RU"/>
          <w:w w:val="100"/>
          <w:spacing w:val="0"/>
          <w:color w:val="000000"/>
          <w:position w:val="0"/>
        </w:rPr>
        <w:t xml:space="preserve"> могут обеспечить относитель</w:t>
        <w:softHyphen/>
        <w:t>но быстрый контроль тахикардии. В качестве до</w:t>
        <w:softHyphen/>
        <w:t>полнительной процедуры можно использовать электростимуляцию предсердий (например, чрез- пищеводно, трансторакально, чрезвенно) для до</w:t>
        <w:softHyphen/>
        <w:t>стижения приведения атриальной тахикардии к стойкому соотношению 2:1 АВ блок, снижая та</w:t>
        <w:softHyphen/>
        <w:t>ким образом желудочковый ритм.</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Хроническая АЭТ:</w:t>
      </w:r>
    </w:p>
    <w:p>
      <w:pPr>
        <w:pStyle w:val="Style30"/>
        <w:numPr>
          <w:ilvl w:val="0"/>
          <w:numId w:val="159"/>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Для лечения пациентов с АЭТ существует три ва</w:t>
        <w:softHyphen/>
        <w:t>рианта: лекарственные средства для подавления аритмии или контроля желудочкового ответа, хи</w:t>
        <w:softHyphen/>
        <w:t>рургия и, в последнее время, РЧ аблация. Для па</w:t>
        <w:softHyphen/>
        <w:t>циентов, не проходящих РЧ аблацию, краеуголь</w:t>
        <w:softHyphen/>
        <w:t>ным камнем терапии является долгосрочный при</w:t>
        <w:softHyphen/>
        <w:t>ем лекарственных препаратов. Наиболее эффек</w:t>
        <w:softHyphen/>
        <w:t>тивными обычно являются антиаритмические средства класса ГС и III, при этом рекомендуется этапный подход. Консервативное лечение может быть эффективным у 75% пациентов, но при этом обычно требуется более одного лекарственного средства.</w:t>
      </w:r>
    </w:p>
    <w:p>
      <w:pPr>
        <w:pStyle w:val="Style30"/>
        <w:numPr>
          <w:ilvl w:val="0"/>
          <w:numId w:val="159"/>
        </w:numPr>
        <w:tabs>
          <w:tab w:leader="none" w:pos="494" w:val="left"/>
        </w:tabs>
        <w:widowControl w:val="0"/>
        <w:keepNext w:val="0"/>
        <w:keepLines w:val="0"/>
        <w:shd w:val="clear" w:color="auto" w:fill="auto"/>
        <w:bidi w:val="0"/>
        <w:spacing w:before="0" w:after="0"/>
        <w:ind w:left="500" w:right="0" w:hanging="240"/>
      </w:pPr>
      <w:r>
        <w:pict>
          <v:shape id="_x0000_s1796" type="#_x0000_t75" style="position:absolute;margin-left:142.55pt;margin-top:736.55pt;width:209.75pt;height:14.9pt;z-index:-125828832;mso-wrap-distance-left:136.1pt;mso-wrap-distance-right:136.55pt;mso-wrap-distance-bottom:10.8pt;mso-position-horizontal-relative:margin;mso-position-vertical-relative:margin" wrapcoords="0 0 21600 0 21600 21600 0 21600 0 0">
            <v:imagedata r:id="rId1253" r:href="rId1254"/>
            <w10:wrap type="topAndBottom" anchorx="margin" anchory="margin"/>
          </v:shape>
        </w:pict>
      </w:r>
      <w:r>
        <w:rPr>
          <w:lang w:val="ru-RU" w:eastAsia="ru-RU" w:bidi="ru-RU"/>
          <w:w w:val="100"/>
          <w:spacing w:val="0"/>
          <w:color w:val="000000"/>
          <w:position w:val="0"/>
        </w:rPr>
        <w:t>Среди лекарственных средств, оказывающих по</w:t>
        <w:softHyphen/>
        <w:t>ложительное воздействие на АЭТ, находятся: ди- гоксин (используемый преимущественно для кон</w:t>
        <w:softHyphen/>
        <w:t xml:space="preserve">троля ритма), </w:t>
      </w:r>
      <w:r>
        <w:rPr>
          <w:rStyle w:val="CharStyle103"/>
        </w:rPr>
        <w:t>амиодарон, пропафенон, морицизин, флекаинид, прокаинамид и эсмолол.</w:t>
      </w:r>
      <w:r>
        <w:rPr>
          <w:lang w:val="ru-RU" w:eastAsia="ru-RU" w:bidi="ru-RU"/>
          <w:w w:val="100"/>
          <w:spacing w:val="0"/>
          <w:color w:val="000000"/>
          <w:position w:val="0"/>
        </w:rPr>
        <w:t xml:space="preserve"> Из них только дигоксин и пероральный амиодарон не оказывают отрицательного инотропного эффекта.</w:t>
      </w:r>
      <w:r>
        <w:br w:type="page"/>
      </w:r>
    </w:p>
    <w:p>
      <w:pPr>
        <w:pStyle w:val="Style30"/>
        <w:widowControl w:val="0"/>
        <w:keepNext w:val="0"/>
        <w:keepLines w:val="0"/>
        <w:shd w:val="clear" w:color="auto" w:fill="auto"/>
        <w:bidi w:val="0"/>
        <w:spacing w:before="0" w:after="161"/>
        <w:ind w:left="740" w:right="0" w:hanging="220"/>
      </w:pPr>
      <w:r>
        <w:rPr>
          <w:lang w:val="ru-RU" w:eastAsia="ru-RU" w:bidi="ru-RU"/>
          <w:w w:val="100"/>
          <w:spacing w:val="0"/>
          <w:color w:val="000000"/>
          <w:position w:val="0"/>
        </w:rPr>
        <w:t>• При лечении АЭТ хорошо себя зарекомендовала РЧ аблация, при этом частота успеха составляет 75-100%. Частота осложнений сходна с таковой при других процедурах РЧ аблации с более высо</w:t>
        <w:softHyphen/>
        <w:t>ким риском осложнений.</w:t>
      </w:r>
    </w:p>
    <w:p>
      <w:pPr>
        <w:pStyle w:val="Style48"/>
        <w:widowControl w:val="0"/>
        <w:keepNext/>
        <w:keepLines/>
        <w:shd w:val="clear" w:color="auto" w:fill="auto"/>
        <w:bidi w:val="0"/>
        <w:jc w:val="left"/>
        <w:spacing w:before="0" w:after="79" w:line="240" w:lineRule="exact"/>
        <w:ind w:left="0" w:right="0" w:firstLine="0"/>
      </w:pPr>
      <w:bookmarkStart w:id="801" w:name="bookmark801"/>
      <w:r>
        <w:rPr>
          <w:lang w:val="ru-RU" w:eastAsia="ru-RU" w:bidi="ru-RU"/>
          <w:w w:val="100"/>
          <w:spacing w:val="0"/>
          <w:color w:val="000000"/>
          <w:position w:val="0"/>
        </w:rPr>
        <w:t>Атриовентрикулярная узловая реципрокная наджелудочковая тахикардия</w:t>
      </w:r>
      <w:bookmarkEnd w:id="801"/>
    </w:p>
    <w:p>
      <w:pPr>
        <w:pStyle w:val="Style92"/>
        <w:widowControl w:val="0"/>
        <w:keepNext/>
        <w:keepLines/>
        <w:shd w:val="clear" w:color="auto" w:fill="auto"/>
        <w:bidi w:val="0"/>
        <w:spacing w:before="0" w:after="0"/>
        <w:ind w:left="520" w:right="0" w:hanging="240"/>
      </w:pPr>
      <w:bookmarkStart w:id="802" w:name="bookmark802"/>
      <w:r>
        <w:rPr>
          <w:lang w:val="ru-RU" w:eastAsia="ru-RU" w:bidi="ru-RU"/>
          <w:w w:val="100"/>
          <w:spacing w:val="0"/>
          <w:color w:val="000000"/>
          <w:position w:val="0"/>
        </w:rPr>
        <w:t>Общие сведения</w:t>
      </w:r>
      <w:bookmarkEnd w:id="802"/>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Атриовентрикулярная нодальная реципрокная тахикардия (АВНРТ) является реципрокным ритмом внутри атриовент</w:t>
        <w:softHyphen/>
        <w:t>рикулярного (АВ) узла. Реципрокный ритм отвечает за боль</w:t>
        <w:softHyphen/>
        <w:t>шинство эпизодов суправентрикулярной тахикардии (СВТ) удетей. Во время АВРНТ контур вовлекает быстрые и медлен</w:t>
        <w:softHyphen/>
        <w:t>ные проводящие пути внутри АВ узла, позволяя импульсам повторно возвращаться в узел ретроградно по мере того, как деполяризация продвигается одновременно к желудочкам. Относительная частота распространенности АВРНТ увеличи</w:t>
        <w:softHyphen/>
        <w:t>вается у детей в возрасте приблизительно 5-10 лет, и АВНРТ является преобладающим механизмом СВТ у взрослых, она происходит немного чаще у женщин, чем у мужчин и обычно не ассоциирована со структурным пороком сердца.</w:t>
      </w:r>
    </w:p>
    <w:p>
      <w:pPr>
        <w:pStyle w:val="Style92"/>
        <w:widowControl w:val="0"/>
        <w:keepNext/>
        <w:keepLines/>
        <w:shd w:val="clear" w:color="auto" w:fill="auto"/>
        <w:bidi w:val="0"/>
        <w:spacing w:before="0" w:after="0"/>
        <w:ind w:left="520" w:right="0" w:hanging="240"/>
      </w:pPr>
      <w:bookmarkStart w:id="803" w:name="bookmark803"/>
      <w:r>
        <w:rPr>
          <w:lang w:val="ru-RU" w:eastAsia="ru-RU" w:bidi="ru-RU"/>
          <w:w w:val="100"/>
          <w:spacing w:val="0"/>
          <w:color w:val="000000"/>
          <w:position w:val="0"/>
        </w:rPr>
        <w:t>Патофизиология</w:t>
      </w:r>
      <w:bookmarkEnd w:id="80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 в АВ узле располагаются 2 и более функциональ</w:t>
        <w:softHyphen/>
        <w:t>ных и (обычно) анатомически различных пути; они называ</w:t>
        <w:softHyphen/>
        <w:t>ются быстрым и медленным путями и имеют различные электрофизиологические характеристики. Быстрый путь определяется своим коротким временем проведения и длинным эффективным рефрактерным периодом (ЭРП), тогда как у медленного пути имеется более долгое время проведения и ЭРП, который, как правило, относительно более короткий по сравнению с ЭРП быстрого пути.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Проведение во время синусового ритма обычно происхо</w:t>
        <w:softHyphen/>
        <w:t xml:space="preserve">дит по быстрому пути, и интервал </w:t>
      </w:r>
      <w:r>
        <w:rPr>
          <w:lang w:val="en-US" w:eastAsia="en-US" w:bidi="en-US"/>
          <w:w w:val="100"/>
          <w:spacing w:val="0"/>
          <w:color w:val="000000"/>
          <w:position w:val="0"/>
        </w:rPr>
        <w:t xml:space="preserve">РR </w:t>
      </w:r>
      <w:r>
        <w:rPr>
          <w:lang w:val="ru-RU" w:eastAsia="ru-RU" w:bidi="ru-RU"/>
          <w:w w:val="100"/>
          <w:spacing w:val="0"/>
          <w:color w:val="000000"/>
          <w:position w:val="0"/>
        </w:rPr>
        <w:t>нормальный. Прежде</w:t>
        <w:softHyphen/>
        <w:t>временный толчок предсердия может блокироваться в быст</w:t>
        <w:softHyphen/>
        <w:t>ром пути (из-за его более длинного ЭРП) и проводить вниз по медленному пути. Медленный путь имеет более длинное вре</w:t>
        <w:softHyphen/>
        <w:t>мя проведения, чем быстрый путь, обеспечивая достаточное запаздывание для импульса. Когда он достигает места встав</w:t>
        <w:softHyphen/>
        <w:t>ки быстрого пути (который уже восстановился от своего бо</w:t>
        <w:softHyphen/>
        <w:t>лее длинного ЭРП), импульс проводится быстро ретроград</w:t>
        <w:softHyphen/>
        <w:t>ным образом. После прохождения короткой части нижней перегородки правого желудочка он повторно возвращается в медленный путь, создавая циркуляторную тахикардию.</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159"/>
        </w:numPr>
        <w:tabs>
          <w:tab w:leader="none" w:pos="520"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Распространенность ПСВТ составляет 2,25 на 1000 населения.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АВНР редко отмечается у новорожденных детей и увеличивается на протяжении периода детства.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Симптомы и проявления заболевания сильно различа</w:t>
        <w:softHyphen/>
        <w:t>ются в зависимости от таких факторов, как возраст, ЧСС, продолжительность и лежащее в основе заболевание серд</w:t>
        <w:softHyphen/>
        <w:t>ца. Частота тахикардии может сильно зависеть от адренер</w:t>
        <w:softHyphen/>
        <w:t>гического состояния. У детей с тахикардией во время физи</w:t>
        <w:softHyphen/>
        <w:t>ческой нагрузки частота может быть значительно выше.</w:t>
      </w:r>
    </w:p>
    <w:p>
      <w:pPr>
        <w:pStyle w:val="Style30"/>
        <w:numPr>
          <w:ilvl w:val="0"/>
          <w:numId w:val="159"/>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Пациенты с АВНРТ могут быть более симптоматич</w:t>
        <w:softHyphen/>
        <w:t>ными, чем таковые с другими механизмами СВТ; это происходит из-за одновременной деполяризации</w:t>
        <w:br w:type="column"/>
        <w:t>миокарда предсердий и желудочков, вызывая возник</w:t>
        <w:softHyphen/>
        <w:t>новение сокращения желудочков при закрытом АВ клапане и потерю вклада предсердия в полное диас</w:t>
        <w:softHyphen/>
        <w:t>толическое наполнение.</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Среди симптомов застойной сердечной недостаточ</w:t>
        <w:softHyphen/>
        <w:t>ности у младенцев необходимо отметить следующие: беспокойство, проблемы с кормлением и потоотделе</w:t>
        <w:softHyphen/>
        <w:t>ние. Шок может произойти, когда тахиаритмия про</w:t>
        <w:softHyphen/>
        <w:t>ходит нераспознанной от нескольких часов до суток.</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более старшего возраста могут отмечаться следующие симптомы: боль в груди, учащенное серд</w:t>
        <w:softHyphen/>
        <w:t>цебиение, одышка, головокружение и утомляемость.</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Иногда у пациентов могут быть потери сознания и предобморочные состояния. Чувство биения на шее (шейные пульсации) является достаточно уникаль</w:t>
        <w:softHyphen/>
        <w:t>ным для АВНРТ и считается результатом залповых (пушечных) волн, когда предсердие сокращается при одновременно сокращающемся желудочке.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Физикальные данные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Степень нарушений определяется разнообразными фак</w:t>
        <w:softHyphen/>
        <w:t>торами, включая возраст, ЧСС, продолжительность арит</w:t>
        <w:softHyphen/>
        <w:t>мии и наличие структурного порока сердца.</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новорожденных выявляются признаки застойной сердечной недостаточности, такие как тахикардия, хрипы в легких, увеличение печени, сниженный пульс и перфузия.</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Могут произойти кардиогенный шок с гипотензией, метаболический ацидоз, дисфункция желудочков и отек легких.</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Результаты физикального обследования детей более старшего возраста без порока сердца могут быть нор</w:t>
        <w:softHyphen/>
        <w:t>мальными, за исключением быстрой ЧСС.</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пациента могут быть тахипноэ, бледность и призна</w:t>
        <w:softHyphen/>
        <w:t>ки пульсаций на яремной вене, вызванные асинхро- нией сокращения предсердий и желудочков (т.е. предсердие сокращается при закрытом АВ клапане).</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пациентов со структурным пороком сердца и ди</w:t>
        <w:softHyphen/>
        <w:t>сфункцией желудочков могут быть гемодинамичес</w:t>
        <w:softHyphen/>
        <w:t>кие нарушения более тяжелой степени из-за отсут</w:t>
        <w:softHyphen/>
        <w:t>ствия АВ синхронии в течение длительного периода.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Лабораторная диагностика</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начальном обследовании необходимо оценить уровни электролитов в сыворотке крови, функцию щитовидной железы и гемоглобин. Другие лабора</w:t>
        <w:softHyphen/>
        <w:t>торные тесты можно провести для мониторинга уров</w:t>
        <w:softHyphen/>
        <w:t>ней в сыворотке крови и побочных эффектов у детей, получающих противоаритмические препараты.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Инструментальная диагностика</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 проводятся рентгенография грудной клетки и эхокардиограмма для оценки степени сердечно-ле</w:t>
        <w:softHyphen/>
        <w:t>гочной дисфункции, связанной с тахиаритмией, и для оценки структурных аномалий.</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Клинические и экспериментальные исследования последнего времени с использованием электрофи</w:t>
        <w:softHyphen/>
        <w:t>зиологического и электроанатомического картирова</w:t>
        <w:softHyphen/>
        <w:t>ния являются ценным дополнением к пониманию анатомии и физиологии этого нарушения.</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pict>
          <v:shape id="_x0000_s1797" type="#_x0000_t75" style="position:absolute;margin-left:137.15pt;margin-top:736.55pt;width:209.75pt;height:14.9pt;z-index:-125828831;mso-wrap-distance-left:136.8pt;mso-wrap-distance-right:148.1pt;mso-wrap-distance-bottom:10.8pt;mso-position-horizontal-relative:margin;mso-position-vertical-relative:margin" wrapcoords="0 0 21600 0 21600 21600 0 21600 0 0">
            <v:imagedata r:id="rId1255" r:href="rId1256"/>
            <w10:wrap type="topAndBottom" anchorx="margin" anchory="margin"/>
          </v:shape>
        </w:pict>
      </w:r>
      <w:r>
        <w:rPr>
          <w:lang w:val="ru-RU" w:eastAsia="ru-RU" w:bidi="ru-RU"/>
          <w:w w:val="100"/>
          <w:spacing w:val="0"/>
          <w:color w:val="000000"/>
          <w:position w:val="0"/>
        </w:rPr>
        <w:t>Было выдвинуто предположение, что коронарный синус при визуализации во время электрофизиологи</w:t>
        <w:softHyphen/>
        <w:t>ческого исследования может иметь более широкое раскрытие у пациентов с АВНРТ. Но оно не было подтверждено.</w:t>
      </w:r>
      <w:r>
        <w:br w:type="page"/>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Электрокардиография:</w:t>
      </w:r>
    </w:p>
    <w:p>
      <w:pPr>
        <w:pStyle w:val="Style30"/>
        <w:numPr>
          <w:ilvl w:val="0"/>
          <w:numId w:val="15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ЭКГ, полученная во время нормального синусового ритма, показывает нормальный интервал </w:t>
      </w:r>
      <w:r>
        <w:rPr>
          <w:lang w:val="en-US" w:eastAsia="en-US" w:bidi="en-US"/>
          <w:w w:val="100"/>
          <w:spacing w:val="0"/>
          <w:color w:val="000000"/>
          <w:position w:val="0"/>
        </w:rPr>
        <w:t xml:space="preserve">РR </w:t>
      </w:r>
      <w:r>
        <w:rPr>
          <w:lang w:val="ru-RU" w:eastAsia="ru-RU" w:bidi="ru-RU"/>
          <w:w w:val="100"/>
          <w:spacing w:val="0"/>
          <w:color w:val="000000"/>
          <w:position w:val="0"/>
        </w:rPr>
        <w:t>и отсут</w:t>
        <w:softHyphen/>
        <w:t xml:space="preserve">ствие преждевременного возбуждения. У некоторых пациентов может быть слегка укороченный интервал </w:t>
      </w:r>
      <w:r>
        <w:rPr>
          <w:lang w:val="en-US" w:eastAsia="en-US" w:bidi="en-US"/>
          <w:w w:val="100"/>
          <w:spacing w:val="0"/>
          <w:color w:val="000000"/>
          <w:position w:val="0"/>
        </w:rPr>
        <w:t xml:space="preserve">PR, </w:t>
      </w:r>
      <w:r>
        <w:rPr>
          <w:lang w:val="ru-RU" w:eastAsia="ru-RU" w:bidi="ru-RU"/>
          <w:w w:val="100"/>
          <w:spacing w:val="0"/>
          <w:color w:val="000000"/>
          <w:position w:val="0"/>
        </w:rPr>
        <w:t>что отражает проведение через быстрый или мед</w:t>
        <w:softHyphen/>
        <w:t>ленный путь. Типичная АВНРТ характеризуется уз</w:t>
        <w:softHyphen/>
        <w:t>кокомплексной регулярной тахикардией с частотой, которая варьирует от 150 до 300 уд/мин.</w:t>
      </w:r>
    </w:p>
    <w:p>
      <w:pPr>
        <w:pStyle w:val="Style30"/>
        <w:numPr>
          <w:ilvl w:val="0"/>
          <w:numId w:val="159"/>
        </w:numPr>
        <w:tabs>
          <w:tab w:leader="none" w:pos="81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Медленная-быстрая форма АВНРТ (рис. 96):</w:t>
      </w:r>
    </w:p>
    <w:p>
      <w:pPr>
        <w:pStyle w:val="Style30"/>
        <w:numPr>
          <w:ilvl w:val="0"/>
          <w:numId w:val="161"/>
        </w:numPr>
        <w:tabs>
          <w:tab w:leader="none" w:pos="922" w:val="left"/>
        </w:tabs>
        <w:widowControl w:val="0"/>
        <w:keepNext w:val="0"/>
        <w:keepLines w:val="0"/>
        <w:shd w:val="clear" w:color="auto" w:fill="auto"/>
        <w:bidi w:val="0"/>
        <w:spacing w:before="0" w:after="0"/>
        <w:ind w:left="720" w:right="0" w:firstLine="0"/>
      </w:pPr>
      <w:r>
        <w:rPr>
          <w:lang w:val="ru-RU" w:eastAsia="ru-RU" w:bidi="ru-RU"/>
          <w:w w:val="100"/>
          <w:spacing w:val="0"/>
          <w:color w:val="000000"/>
          <w:position w:val="0"/>
        </w:rPr>
        <w:t>начало тахикардии обычно наступает внезапно с преждевременного сокращения желудочка. Ино</w:t>
        <w:softHyphen/>
        <w:t>гда за внезапным замедлением синуса следует за</w:t>
        <w:softHyphen/>
        <w:t>паздывающее сокращение соединения в качестве пускового механизма тахиаритмии;</w:t>
      </w:r>
    </w:p>
    <w:p>
      <w:pPr>
        <w:pStyle w:val="Style30"/>
        <w:numPr>
          <w:ilvl w:val="0"/>
          <w:numId w:val="161"/>
        </w:numPr>
        <w:tabs>
          <w:tab w:leader="none" w:pos="922" w:val="left"/>
        </w:tabs>
        <w:widowControl w:val="0"/>
        <w:keepNext w:val="0"/>
        <w:keepLines w:val="0"/>
        <w:shd w:val="clear" w:color="auto" w:fill="auto"/>
        <w:bidi w:val="0"/>
        <w:spacing w:before="0" w:after="0"/>
        <w:ind w:left="720" w:right="0" w:firstLine="0"/>
      </w:pPr>
      <w:r>
        <w:rPr>
          <w:lang w:val="ru-RU" w:eastAsia="ru-RU" w:bidi="ru-RU"/>
          <w:w w:val="100"/>
          <w:spacing w:val="0"/>
          <w:color w:val="000000"/>
          <w:position w:val="0"/>
        </w:rPr>
        <w:t>завершение обычно происходит с АВ блокадой, которая является спонтанной или индуцируется процедурами воздействия на блуждающий нерв или лекарственными средствами;</w:t>
      </w:r>
    </w:p>
    <w:p>
      <w:pPr>
        <w:pStyle w:val="Style30"/>
        <w:numPr>
          <w:ilvl w:val="0"/>
          <w:numId w:val="161"/>
        </w:numPr>
        <w:tabs>
          <w:tab w:leader="none" w:pos="918" w:val="left"/>
        </w:tabs>
        <w:widowControl w:val="0"/>
        <w:keepNext w:val="0"/>
        <w:keepLines w:val="0"/>
        <w:shd w:val="clear" w:color="auto" w:fill="auto"/>
        <w:bidi w:val="0"/>
        <w:spacing w:before="0" w:after="0"/>
        <w:ind w:left="720" w:right="0" w:firstLine="0"/>
      </w:pPr>
      <w:r>
        <w:rPr>
          <w:lang w:val="ru-RU" w:eastAsia="ru-RU" w:bidi="ru-RU"/>
          <w:w w:val="100"/>
          <w:spacing w:val="0"/>
          <w:color w:val="000000"/>
          <w:position w:val="0"/>
        </w:rPr>
        <w:t>ритм может завершиться зубцом Р или комплек</w:t>
        <w:softHyphen/>
        <w:t xml:space="preserve">сом </w:t>
      </w:r>
      <w:r>
        <w:rPr>
          <w:lang w:val="en-US" w:eastAsia="en-US" w:bidi="en-US"/>
          <w:w w:val="100"/>
          <w:spacing w:val="0"/>
          <w:color w:val="000000"/>
          <w:position w:val="0"/>
        </w:rPr>
        <w:t xml:space="preserve">QRS, </w:t>
      </w:r>
      <w:r>
        <w:rPr>
          <w:lang w:val="ru-RU" w:eastAsia="ru-RU" w:bidi="ru-RU"/>
          <w:w w:val="100"/>
          <w:spacing w:val="0"/>
          <w:color w:val="000000"/>
          <w:position w:val="0"/>
        </w:rPr>
        <w:t>в зависимости от места блокады;</w:t>
      </w:r>
    </w:p>
    <w:p>
      <w:pPr>
        <w:pStyle w:val="Style30"/>
        <w:numPr>
          <w:ilvl w:val="0"/>
          <w:numId w:val="161"/>
        </w:numPr>
        <w:tabs>
          <w:tab w:leader="none" w:pos="922" w:val="left"/>
        </w:tabs>
        <w:widowControl w:val="0"/>
        <w:keepNext w:val="0"/>
        <w:keepLines w:val="0"/>
        <w:shd w:val="clear" w:color="auto" w:fill="auto"/>
        <w:bidi w:val="0"/>
        <w:spacing w:before="0" w:after="0"/>
        <w:ind w:left="720" w:right="0" w:firstLine="0"/>
      </w:pPr>
      <w:r>
        <w:rPr>
          <w:lang w:val="ru-RU" w:eastAsia="ru-RU" w:bidi="ru-RU"/>
          <w:w w:val="100"/>
          <w:spacing w:val="0"/>
          <w:color w:val="000000"/>
          <w:position w:val="0"/>
        </w:rPr>
        <w:t xml:space="preserve">обычно существует маленькая вариабельность интервалов </w:t>
      </w:r>
      <w:r>
        <w:rPr>
          <w:lang w:val="en-US" w:eastAsia="en-US" w:bidi="en-US"/>
          <w:w w:val="100"/>
          <w:spacing w:val="0"/>
          <w:color w:val="000000"/>
          <w:position w:val="0"/>
        </w:rPr>
        <w:t>RR;</w:t>
      </w:r>
    </w:p>
    <w:p>
      <w:pPr>
        <w:pStyle w:val="Style30"/>
        <w:numPr>
          <w:ilvl w:val="0"/>
          <w:numId w:val="161"/>
        </w:numPr>
        <w:tabs>
          <w:tab w:leader="none" w:pos="927" w:val="left"/>
        </w:tabs>
        <w:widowControl w:val="0"/>
        <w:keepNext w:val="0"/>
        <w:keepLines w:val="0"/>
        <w:shd w:val="clear" w:color="auto" w:fill="auto"/>
        <w:bidi w:val="0"/>
        <w:spacing w:before="0" w:after="0"/>
        <w:ind w:left="720" w:right="0" w:firstLine="0"/>
      </w:pPr>
      <w:r>
        <w:rPr>
          <w:lang w:val="ru-RU" w:eastAsia="ru-RU" w:bidi="ru-RU"/>
          <w:w w:val="100"/>
          <w:spacing w:val="0"/>
          <w:color w:val="000000"/>
          <w:position w:val="0"/>
        </w:rPr>
        <w:t>время, необходимое импульсу, чтобы достичь пред</w:t>
        <w:softHyphen/>
        <w:t>сердия и желудочка от дистального узла, приблизи</w:t>
        <w:softHyphen/>
        <w:t xml:space="preserve">тельно такое же, что вызывает ретроградные зубцы Р, появляющиеся на терминальном конце </w:t>
      </w:r>
      <w:r>
        <w:rPr>
          <w:lang w:val="en-US" w:eastAsia="en-US" w:bidi="en-US"/>
          <w:w w:val="100"/>
          <w:spacing w:val="0"/>
          <w:color w:val="000000"/>
          <w:position w:val="0"/>
        </w:rPr>
        <w:t>QRS.</w:t>
      </w:r>
    </w:p>
    <w:p>
      <w:pPr>
        <w:pStyle w:val="Style30"/>
        <w:numPr>
          <w:ilvl w:val="0"/>
          <w:numId w:val="159"/>
        </w:numPr>
        <w:tabs>
          <w:tab w:leader="none" w:pos="81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Быстрая-медленная форма АВНРТ:</w:t>
      </w:r>
    </w:p>
    <w:p>
      <w:pPr>
        <w:pStyle w:val="Style30"/>
        <w:numPr>
          <w:ilvl w:val="0"/>
          <w:numId w:val="161"/>
        </w:numPr>
        <w:tabs>
          <w:tab w:leader="none" w:pos="937" w:val="left"/>
        </w:tabs>
        <w:widowControl w:val="0"/>
        <w:keepNext w:val="0"/>
        <w:keepLines w:val="0"/>
        <w:shd w:val="clear" w:color="auto" w:fill="auto"/>
        <w:bidi w:val="0"/>
        <w:spacing w:before="0" w:after="0"/>
        <w:ind w:left="720" w:right="0" w:firstLine="0"/>
      </w:pPr>
      <w:r>
        <w:rPr>
          <w:lang w:val="ru-RU" w:eastAsia="ru-RU" w:bidi="ru-RU"/>
          <w:w w:val="100"/>
          <w:spacing w:val="0"/>
          <w:color w:val="000000"/>
          <w:position w:val="0"/>
        </w:rPr>
        <w:t>пусковым механизмом обычно является прежде</w:t>
        <w:softHyphen/>
        <w:t>временное сокращение желудочка, которое блоки</w:t>
        <w:softHyphen/>
        <w:t>руется в быстром пути и проводится вверх по мед</w:t>
        <w:softHyphen/>
        <w:t>ленному пути и вниз по быстрому пути;</w:t>
      </w:r>
    </w:p>
    <w:p>
      <w:pPr>
        <w:pStyle w:val="Style30"/>
        <w:numPr>
          <w:ilvl w:val="0"/>
          <w:numId w:val="161"/>
        </w:numPr>
        <w:tabs>
          <w:tab w:leader="none" w:pos="927" w:val="left"/>
        </w:tabs>
        <w:widowControl w:val="0"/>
        <w:keepNext w:val="0"/>
        <w:keepLines w:val="0"/>
        <w:shd w:val="clear" w:color="auto" w:fill="auto"/>
        <w:bidi w:val="0"/>
        <w:spacing w:before="0" w:after="0"/>
        <w:ind w:left="720" w:right="0" w:firstLine="0"/>
      </w:pPr>
      <w:r>
        <w:rPr>
          <w:lang w:val="ru-RU" w:eastAsia="ru-RU" w:bidi="ru-RU"/>
          <w:w w:val="100"/>
          <w:spacing w:val="0"/>
          <w:color w:val="000000"/>
          <w:position w:val="0"/>
        </w:rPr>
        <w:t xml:space="preserve">при этой форме для проведения к предсердию требуется больше времени, чем для проведения к желудочку, и интервал </w:t>
      </w:r>
      <w:r>
        <w:rPr>
          <w:lang w:val="en-US" w:eastAsia="en-US" w:bidi="en-US"/>
          <w:w w:val="100"/>
          <w:spacing w:val="0"/>
          <w:color w:val="000000"/>
          <w:position w:val="0"/>
        </w:rPr>
        <w:t xml:space="preserve">RP </w:t>
      </w:r>
      <w:r>
        <w:rPr>
          <w:lang w:val="ru-RU" w:eastAsia="ru-RU" w:bidi="ru-RU"/>
          <w:w w:val="100"/>
          <w:spacing w:val="0"/>
          <w:color w:val="000000"/>
          <w:position w:val="0"/>
        </w:rPr>
        <w:t xml:space="preserve">длиннее интервала </w:t>
      </w:r>
      <w:r>
        <w:rPr>
          <w:lang w:val="en-US" w:eastAsia="en-US" w:bidi="en-US"/>
          <w:w w:val="100"/>
          <w:spacing w:val="0"/>
          <w:color w:val="000000"/>
          <w:position w:val="0"/>
        </w:rPr>
        <w:t>PR;</w:t>
      </w:r>
    </w:p>
    <w:p>
      <w:pPr>
        <w:pStyle w:val="Style30"/>
        <w:numPr>
          <w:ilvl w:val="0"/>
          <w:numId w:val="161"/>
        </w:numPr>
        <w:tabs>
          <w:tab w:leader="none" w:pos="922" w:val="left"/>
        </w:tabs>
        <w:widowControl w:val="0"/>
        <w:keepNext w:val="0"/>
        <w:keepLines w:val="0"/>
        <w:shd w:val="clear" w:color="auto" w:fill="auto"/>
        <w:bidi w:val="0"/>
        <w:spacing w:before="0" w:after="0"/>
        <w:ind w:left="720" w:right="0" w:firstLine="0"/>
      </w:pPr>
      <w:r>
        <w:rPr>
          <w:lang w:val="ru-RU" w:eastAsia="ru-RU" w:bidi="ru-RU"/>
          <w:w w:val="100"/>
          <w:spacing w:val="0"/>
          <w:color w:val="000000"/>
          <w:position w:val="0"/>
        </w:rPr>
        <w:t>другой характеристикой является то, что ось зуб</w:t>
        <w:softHyphen/>
        <w:t>ца Р выше (т.е. отрицательные зубцы Р в нижних отведениях), так как он ретроградный и берет на</w:t>
        <w:softHyphen/>
        <w:t>чало в АВ узле.</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ЭФИ:</w:t>
      </w:r>
    </w:p>
    <w:p>
      <w:pPr>
        <w:pStyle w:val="Style30"/>
        <w:numPr>
          <w:ilvl w:val="0"/>
          <w:numId w:val="159"/>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Электрофизиологические характеристики АВНРТ включают ее начало и завершение посредством до</w:t>
        <w:softHyphen/>
        <w:t>полнительного раздражения или быстрой электро</w:t>
        <w:softHyphen/>
        <w:t>стимуляции; нормальное антеградное или ретроград</w:t>
        <w:softHyphen/>
        <w:t>ное АВ проведение (с самой ранней активацией в пучке Гиса); завершение с АВ блокадой, которая, хотя и не часто, может способствовать персистирова- нию АВНРТ. Эти характеристики можно оценить у пациентов при электрофизиологическом исследо</w:t>
        <w:softHyphen/>
        <w:t>вании (ЭФИ), которое может быть полуинвазивным (например, чреспищеводная электростимуляция) или интракардиальным (внутрисердечным).</w:t>
      </w:r>
    </w:p>
    <w:p>
      <w:pPr>
        <w:pStyle w:val="Style30"/>
        <w:numPr>
          <w:ilvl w:val="0"/>
          <w:numId w:val="159"/>
        </w:numPr>
        <w:tabs>
          <w:tab w:leader="none" w:pos="81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Во время ЭФИ наличие 2 функциональных путей можно показать при помощи тестирования допол</w:t>
        <w:softHyphen/>
        <w:t>нительного раздражения предсердия.</w:t>
      </w:r>
    </w:p>
    <w:p>
      <w:pPr>
        <w:pStyle w:val="Style30"/>
        <w:numPr>
          <w:ilvl w:val="0"/>
          <w:numId w:val="159"/>
        </w:numPr>
        <w:tabs>
          <w:tab w:leader="none" w:pos="81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По мере укорочения интервала А1-А2 на 10-мил- лисекундные декременты время проведения АВ узла после дополнительного стимулирования предсердия (А2-Н2) постепенно увеличивается.</w:t>
      </w:r>
    </w:p>
    <w:p>
      <w:pPr>
        <w:pStyle w:val="Style30"/>
        <w:numPr>
          <w:ilvl w:val="0"/>
          <w:numId w:val="159"/>
        </w:numPr>
        <w:tabs>
          <w:tab w:leader="none" w:pos="81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 критический интервал атриального сопряжения 10-миллисекундное снижение А1-А2 приводит к выраженному увеличению (&gt; 40-50 мс) в А2-А2.</w:t>
      </w:r>
    </w:p>
    <w:p>
      <w:pPr>
        <w:framePr w:h="3437" w:wrap="notBeside" w:vAnchor="text" w:hAnchor="text" w:xAlign="center" w:y="1"/>
        <w:widowControl w:val="0"/>
        <w:jc w:val="center"/>
        <w:rPr>
          <w:sz w:val="2"/>
          <w:szCs w:val="2"/>
        </w:rPr>
      </w:pPr>
      <w:r>
        <w:pict>
          <v:shape id="_x0000_s1798" type="#_x0000_t75" style="width:238pt;height:172pt;">
            <v:imagedata r:id="rId1257" r:href="rId1258"/>
          </v:shape>
        </w:pict>
      </w:r>
    </w:p>
    <w:p>
      <w:pPr>
        <w:pStyle w:val="Style120"/>
        <w:framePr w:h="3437" w:wrap="notBeside" w:vAnchor="text" w:hAnchor="text" w:xAlign="center" w:y="1"/>
        <w:widowControl w:val="0"/>
        <w:keepNext w:val="0"/>
        <w:keepLines w:val="0"/>
        <w:shd w:val="clear" w:color="auto" w:fill="auto"/>
        <w:bidi w:val="0"/>
        <w:spacing w:before="0" w:after="0"/>
        <w:ind w:left="0" w:right="0" w:firstLine="0"/>
      </w:pPr>
      <w:r>
        <w:rPr>
          <w:rStyle w:val="CharStyle125"/>
        </w:rPr>
        <w:t xml:space="preserve">Рис. 96. </w:t>
      </w:r>
      <w:r>
        <w:rPr>
          <w:lang w:val="ru-RU" w:eastAsia="ru-RU" w:bidi="ru-RU"/>
          <w:w w:val="100"/>
          <w:spacing w:val="0"/>
          <w:color w:val="000000"/>
          <w:position w:val="0"/>
        </w:rPr>
        <w:t>А — исходная ЭКГ; синусовый ритм 83 в мин; Б — залп уз</w:t>
        <w:softHyphen/>
        <w:t>ловой тахикардии с частотой 200 в мин: за желудочковым комплек</w:t>
        <w:softHyphen/>
        <w:t xml:space="preserve">сом на сегменте </w:t>
      </w:r>
      <w:r>
        <w:rPr>
          <w:lang w:val="en-US" w:eastAsia="en-US" w:bidi="en-US"/>
          <w:w w:val="100"/>
          <w:spacing w:val="0"/>
          <w:color w:val="000000"/>
          <w:position w:val="0"/>
        </w:rPr>
        <w:t xml:space="preserve">ST </w:t>
      </w:r>
      <w:r>
        <w:rPr>
          <w:lang w:val="ru-RU" w:eastAsia="ru-RU" w:bidi="ru-RU"/>
          <w:w w:val="100"/>
          <w:spacing w:val="0"/>
          <w:color w:val="000000"/>
          <w:position w:val="0"/>
        </w:rPr>
        <w:t>регистрируется ретроградный зубец Р.</w:t>
      </w:r>
    </w:p>
    <w:p>
      <w:pPr>
        <w:widowControl w:val="0"/>
        <w:rPr>
          <w:sz w:val="2"/>
          <w:szCs w:val="2"/>
        </w:rPr>
      </w:pPr>
    </w:p>
    <w:p>
      <w:pPr>
        <w:pStyle w:val="Style30"/>
        <w:widowControl w:val="0"/>
        <w:keepNext w:val="0"/>
        <w:keepLines w:val="0"/>
        <w:shd w:val="clear" w:color="auto" w:fill="auto"/>
        <w:bidi w:val="0"/>
        <w:spacing w:before="501" w:after="0"/>
        <w:ind w:left="740" w:right="0" w:firstLine="0"/>
      </w:pPr>
      <w:r>
        <w:rPr>
          <w:lang w:val="ru-RU" w:eastAsia="ru-RU" w:bidi="ru-RU"/>
          <w:w w:val="100"/>
          <w:spacing w:val="0"/>
          <w:color w:val="000000"/>
          <w:position w:val="0"/>
        </w:rPr>
        <w:t>Это резкое увеличение времени АВ узловой прово</w:t>
        <w:softHyphen/>
        <w:t>димости называется скачком проведения (кривая непрерывного АН проведения) и часто связано с появлением эхоударов предсердий или инициа</w:t>
        <w:softHyphen/>
        <w:t>ции АВНР тахикардии.</w:t>
      </w:r>
    </w:p>
    <w:p>
      <w:pPr>
        <w:pStyle w:val="Style30"/>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Дальнейшие 10-миллисекундные снижения ин</w:t>
        <w:softHyphen/>
        <w:t>тервалов А1-А2 приводят к небольшим дополни</w:t>
        <w:softHyphen/>
        <w:t>тельным увеличениям (&lt; 50 мс) интервала А2-Н2 или, реже, видны дополнительные скачки АН.</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60"/>
      </w:pPr>
      <w:r>
        <w:rPr>
          <w:lang w:val="ru-RU" w:eastAsia="ru-RU" w:bidi="ru-RU"/>
          <w:w w:val="100"/>
          <w:spacing w:val="0"/>
          <w:color w:val="000000"/>
          <w:position w:val="0"/>
        </w:rPr>
        <w:t>Экстренное лечение пациентов с гемодинамической не</w:t>
        <w:softHyphen/>
        <w:t>стабильностью направлено на преобразование ритма в си</w:t>
        <w:softHyphen/>
        <w:t>нусовый посредством кратковременной АВ блокады.</w:t>
      </w:r>
    </w:p>
    <w:p>
      <w:pPr>
        <w:pStyle w:val="Style30"/>
        <w:numPr>
          <w:ilvl w:val="0"/>
          <w:numId w:val="159"/>
        </w:numPr>
        <w:tabs>
          <w:tab w:leader="none" w:pos="498"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Как и при любом другом механизме СВТ, применение процедуры воздействия на блуждающий нерв может оказаться весьма полезным при остром состоянии:</w:t>
      </w:r>
    </w:p>
    <w:p>
      <w:pPr>
        <w:pStyle w:val="Style30"/>
        <w:numPr>
          <w:ilvl w:val="0"/>
          <w:numId w:val="16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 детей младшего возраста нужно приложить поли - этиленовый пакет с кубиками льда и воды к лицу на 25-30 секунд, чтобы вызвать эффект ныряния — стимул, раздражающий блуждающий нерв. Можно попробовать и другие приемы стимуляции блужда</w:t>
        <w:softHyphen/>
        <w:t>ющего нерва, такие как процедура Вальсальвы или задержка дыхания;</w:t>
      </w:r>
    </w:p>
    <w:p>
      <w:pPr>
        <w:pStyle w:val="Style30"/>
        <w:numPr>
          <w:ilvl w:val="0"/>
          <w:numId w:val="16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если это не поможет, следующим шагом является введение лекарственных средств. Препаратом вы</w:t>
        <w:softHyphen/>
        <w:t xml:space="preserve">бора является </w:t>
      </w:r>
      <w:r>
        <w:rPr>
          <w:rStyle w:val="CharStyle103"/>
        </w:rPr>
        <w:t>аденозин.</w:t>
      </w:r>
      <w:r>
        <w:rPr>
          <w:lang w:val="ru-RU" w:eastAsia="ru-RU" w:bidi="ru-RU"/>
          <w:w w:val="100"/>
          <w:spacing w:val="0"/>
          <w:color w:val="000000"/>
          <w:position w:val="0"/>
        </w:rPr>
        <w:t xml:space="preserve"> Применение эсмолола, бе</w:t>
        <w:softHyphen/>
        <w:t xml:space="preserve">та-блокатора кратковременного действия также бывает успешным. </w:t>
      </w:r>
      <w:r>
        <w:rPr>
          <w:rStyle w:val="CharStyle103"/>
        </w:rPr>
        <w:t>Аденозин</w:t>
      </w:r>
      <w:r>
        <w:rPr>
          <w:lang w:val="ru-RU" w:eastAsia="ru-RU" w:bidi="ru-RU"/>
          <w:w w:val="100"/>
          <w:spacing w:val="0"/>
          <w:color w:val="000000"/>
          <w:position w:val="0"/>
        </w:rPr>
        <w:t xml:space="preserve"> является препаратом выбора для кратковременного прерывания АВНРТ. </w:t>
      </w:r>
      <w:r>
        <w:rPr>
          <w:rStyle w:val="CharStyle103"/>
        </w:rPr>
        <w:t>Эсмолол,</w:t>
      </w:r>
      <w:r>
        <w:rPr>
          <w:lang w:val="ru-RU" w:eastAsia="ru-RU" w:bidi="ru-RU"/>
          <w:w w:val="100"/>
          <w:spacing w:val="0"/>
          <w:color w:val="000000"/>
          <w:position w:val="0"/>
        </w:rPr>
        <w:t xml:space="preserve"> другие в-адренергические блока</w:t>
        <w:softHyphen/>
        <w:t xml:space="preserve">торы, </w:t>
      </w:r>
      <w:r>
        <w:rPr>
          <w:rStyle w:val="CharStyle103"/>
        </w:rPr>
        <w:t>верапамил</w:t>
      </w:r>
      <w:r>
        <w:rPr>
          <w:lang w:val="ru-RU" w:eastAsia="ru-RU" w:bidi="ru-RU"/>
          <w:w w:val="100"/>
          <w:spacing w:val="0"/>
          <w:color w:val="000000"/>
          <w:position w:val="0"/>
        </w:rPr>
        <w:t xml:space="preserve"> и </w:t>
      </w:r>
      <w:r>
        <w:rPr>
          <w:rStyle w:val="CharStyle103"/>
        </w:rPr>
        <w:t>дигоксин</w:t>
      </w:r>
      <w:r>
        <w:rPr>
          <w:lang w:val="ru-RU" w:eastAsia="ru-RU" w:bidi="ru-RU"/>
          <w:w w:val="100"/>
          <w:spacing w:val="0"/>
          <w:color w:val="000000"/>
          <w:position w:val="0"/>
        </w:rPr>
        <w:t xml:space="preserve"> также используются с определенной долей успеха;</w:t>
      </w:r>
    </w:p>
    <w:p>
      <w:pPr>
        <w:pStyle w:val="Style30"/>
        <w:numPr>
          <w:ilvl w:val="0"/>
          <w:numId w:val="161"/>
        </w:numPr>
        <w:tabs>
          <w:tab w:leader="none" w:pos="734"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верапамил не следует применять у детей младшего возраста из-за его отрицательных инотропных эф</w:t>
        <w:softHyphen/>
        <w:t>фектов, а также нельзя использовать его в сочета</w:t>
        <w:softHyphen/>
        <w:t>нии с в-блокаторами.</w:t>
      </w:r>
    </w:p>
    <w:p>
      <w:pPr>
        <w:pStyle w:val="Style30"/>
        <w:numPr>
          <w:ilvl w:val="0"/>
          <w:numId w:val="159"/>
        </w:numPr>
        <w:tabs>
          <w:tab w:leader="none" w:pos="498" w:val="left"/>
        </w:tabs>
        <w:widowControl w:val="0"/>
        <w:keepNext w:val="0"/>
        <w:keepLines w:val="0"/>
        <w:shd w:val="clear" w:color="auto" w:fill="auto"/>
        <w:bidi w:val="0"/>
        <w:spacing w:before="0" w:after="0"/>
        <w:ind w:left="500" w:right="0" w:hanging="240"/>
      </w:pPr>
      <w:r>
        <w:pict>
          <v:shape id="_x0000_s1799" type="#_x0000_t75" style="position:absolute;margin-left:148.1pt;margin-top:736.55pt;width:209.75pt;height:14.9pt;z-index:-125828830;mso-wrap-distance-left:147.35pt;mso-wrap-distance-right:136.8pt;mso-wrap-distance-bottom:10.8pt;mso-position-horizontal-relative:margin;mso-position-vertical-relative:margin" wrapcoords="0 0 21600 0 21600 21600 0 21600 0 0">
            <v:imagedata r:id="rId1259" r:href="rId1260"/>
            <w10:wrap type="topAndBottom" anchorx="margin" anchory="margin"/>
          </v:shape>
        </w:pict>
      </w:r>
      <w:r>
        <w:rPr>
          <w:lang w:val="ru-RU" w:eastAsia="ru-RU" w:bidi="ru-RU"/>
          <w:w w:val="100"/>
          <w:spacing w:val="0"/>
          <w:color w:val="000000"/>
          <w:position w:val="0"/>
        </w:rPr>
        <w:t>Электрическую кардиоверсию выполняют, если у па</w:t>
        <w:softHyphen/>
        <w:t>циентов состояние ухудшается или если нет ответа на медикаментозную блокаду.</w:t>
      </w:r>
      <w:r>
        <w:br w:type="page"/>
      </w:r>
    </w:p>
    <w:p>
      <w:pPr>
        <w:pStyle w:val="Style30"/>
        <w:numPr>
          <w:ilvl w:val="0"/>
          <w:numId w:val="15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Чреспищеводная атриальная электростимуляция также вполне безопасна и эффективна в преобразова</w:t>
        <w:softHyphen/>
        <w:t>нии в синусовый ритм.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Хирургическая коррекция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Радиочастотная аблация.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Прогноз</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Прогноз в большинстве случаев благоприятный.</w:t>
      </w:r>
    </w:p>
    <w:p>
      <w:pPr>
        <w:pStyle w:val="Style28"/>
        <w:widowControl w:val="0"/>
        <w:keepNext/>
        <w:keepLines/>
        <w:shd w:val="clear" w:color="auto" w:fill="auto"/>
        <w:bidi w:val="0"/>
        <w:jc w:val="left"/>
        <w:spacing w:before="0" w:after="153" w:line="220" w:lineRule="exact"/>
        <w:ind w:left="0" w:right="0" w:firstLine="0"/>
      </w:pPr>
      <w:bookmarkStart w:id="804" w:name="bookmark804"/>
      <w:r>
        <w:rPr>
          <w:lang w:val="ru-RU" w:eastAsia="ru-RU" w:bidi="ru-RU"/>
          <w:w w:val="100"/>
          <w:spacing w:val="0"/>
          <w:color w:val="000000"/>
          <w:position w:val="0"/>
        </w:rPr>
        <w:t>Синдром Вольфа-Паркинсона-Уайта</w:t>
      </w:r>
      <w:bookmarkEnd w:id="804"/>
    </w:p>
    <w:p>
      <w:pPr>
        <w:pStyle w:val="Style92"/>
        <w:widowControl w:val="0"/>
        <w:keepNext/>
        <w:keepLines/>
        <w:shd w:val="clear" w:color="auto" w:fill="auto"/>
        <w:bidi w:val="0"/>
        <w:spacing w:before="0" w:after="0"/>
        <w:ind w:left="0" w:right="0" w:firstLine="280"/>
      </w:pPr>
      <w:bookmarkStart w:id="805" w:name="bookmark805"/>
      <w:r>
        <w:rPr>
          <w:lang w:val="ru-RU" w:eastAsia="ru-RU" w:bidi="ru-RU"/>
          <w:w w:val="100"/>
          <w:spacing w:val="0"/>
          <w:color w:val="000000"/>
          <w:position w:val="0"/>
        </w:rPr>
        <w:t>Краткая историческая справка</w:t>
      </w:r>
      <w:bookmarkEnd w:id="805"/>
    </w:p>
    <w:p>
      <w:pPr>
        <w:pStyle w:val="Style30"/>
        <w:numPr>
          <w:ilvl w:val="0"/>
          <w:numId w:val="15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1930 году Вольф, Паркинсон и Уайт описaли серию пациентов молодого возраста, у которых на электро</w:t>
        <w:softHyphen/>
        <w:t xml:space="preserve">кардиограмме (ЭКГ) был паттерн блокады ножки пучка Гиса, короткий интервал </w:t>
      </w:r>
      <w:r>
        <w:rPr>
          <w:lang w:val="en-US" w:eastAsia="en-US" w:bidi="en-US"/>
          <w:w w:val="100"/>
          <w:spacing w:val="0"/>
          <w:color w:val="000000"/>
          <w:position w:val="0"/>
        </w:rPr>
        <w:t xml:space="preserve">РR </w:t>
      </w:r>
      <w:r>
        <w:rPr>
          <w:lang w:val="ru-RU" w:eastAsia="ru-RU" w:bidi="ru-RU"/>
          <w:w w:val="100"/>
          <w:spacing w:val="0"/>
          <w:color w:val="000000"/>
          <w:position w:val="0"/>
        </w:rPr>
        <w:t>и пароксизмы та</w:t>
        <w:softHyphen/>
        <w:t>хикардии. Сообщения о клинических случаях стали появляться в литературе в конце 30-х и начале 40-х годов, а термин синдром Вольфа-Паркинсона-Уайта (ВПУ) появился в 1940 году.</w:t>
      </w:r>
    </w:p>
    <w:p>
      <w:pPr>
        <w:pStyle w:val="Style30"/>
        <w:numPr>
          <w:ilvl w:val="0"/>
          <w:numId w:val="15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1943 году было подтверждено существование вспо</w:t>
        <w:softHyphen/>
        <w:t>могательного соединения между предсердиями и же</w:t>
        <w:softHyphen/>
        <w:t>лудочками, что произошло примерно через 50 лет после того, как Кент описал волокна миокарда, кото</w:t>
        <w:softHyphen/>
        <w:t>рые, как считалось, проводят от предсердий к желу</w:t>
        <w:softHyphen/>
        <w:t>дочку.</w:t>
      </w:r>
    </w:p>
    <w:p>
      <w:pPr>
        <w:pStyle w:val="Style30"/>
        <w:numPr>
          <w:ilvl w:val="0"/>
          <w:numId w:val="15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Термин «преждевременное возбуждение» был впер</w:t>
        <w:softHyphen/>
        <w:t xml:space="preserve">вые опубликован автором </w:t>
      </w:r>
      <w:r>
        <w:rPr>
          <w:lang w:val="en-US" w:eastAsia="en-US" w:bidi="en-US"/>
          <w:w w:val="100"/>
          <w:spacing w:val="0"/>
          <w:color w:val="000000"/>
          <w:position w:val="0"/>
        </w:rPr>
        <w:t xml:space="preserve">Ohnell </w:t>
      </w:r>
      <w:r>
        <w:rPr>
          <w:lang w:val="ru-RU" w:eastAsia="ru-RU" w:bidi="ru-RU"/>
          <w:w w:val="100"/>
          <w:spacing w:val="0"/>
          <w:color w:val="000000"/>
          <w:position w:val="0"/>
        </w:rPr>
        <w:t>в 1944 году (в том же году, когда был образован термин «дельта-волна»): «преждевременное возбуждение указывает на допол</w:t>
        <w:softHyphen/>
        <w:t>нительное распространение возбуждения в желудоч</w:t>
        <w:softHyphen/>
        <w:t>ках сердца, сопряженное с возбуждением предсер</w:t>
        <w:softHyphen/>
        <w:t>дия». Синдром ВПУ является не единственной фор</w:t>
        <w:softHyphen/>
        <w:t>мой преждевременного возбуждения, однако наибо</w:t>
        <w:softHyphen/>
        <w:t>лее распространен. Сначала посредством лечения синдрома ВПУ, а затем, в век радиочастотной (РЧ) аблации, понимание патофизиологии синдрома ВПУ прояснилось.</w:t>
      </w:r>
    </w:p>
    <w:p>
      <w:pPr>
        <w:pStyle w:val="Style30"/>
        <w:numPr>
          <w:ilvl w:val="0"/>
          <w:numId w:val="15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Первое хирургическое разделение дополнительного пути было проведено в Университете Дьюка Биллом С. Сили в 1968 году.</w:t>
      </w:r>
    </w:p>
    <w:p>
      <w:pPr>
        <w:pStyle w:val="Style30"/>
        <w:numPr>
          <w:ilvl w:val="0"/>
          <w:numId w:val="159"/>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 первой катетерной аблации сообщалось в 1983 году с использованием энергии постоянного тока; за этим поступило первое сообщение об успешной РЧ абла</w:t>
        <w:softHyphen/>
        <w:t>ции в 1987 году.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Вольфа-Паркинсона-Уайта (ВПУ) является врожденной аномалией, ассоциированной с наджелудоч</w:t>
        <w:softHyphen/>
        <w:t>ковой (суправентрикулярной) тахикардией (СВТ). Он вы</w:t>
        <w:softHyphen/>
        <w:t>зывает преждевременное возбуждение желудочков, которое происходит из-за того, что проведение предсердного им</w:t>
        <w:softHyphen/>
        <w:t>пульса идет не посредством нормальной проводящей сис</w:t>
        <w:softHyphen/>
        <w:t>темы, а через дополнительное атриовентрикулярное (АВ) соединение, называемое дополнительным путем, который обходит АВ узел.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Классическая картина синдрома ВПУ на ЭКГ включает короткий интервал </w:t>
      </w:r>
      <w:r>
        <w:rPr>
          <w:lang w:val="en-US" w:eastAsia="en-US" w:bidi="en-US"/>
          <w:w w:val="100"/>
          <w:spacing w:val="0"/>
          <w:color w:val="000000"/>
          <w:position w:val="0"/>
        </w:rPr>
        <w:t xml:space="preserve">РR </w:t>
      </w:r>
      <w:r>
        <w:rPr>
          <w:lang w:val="ru-RU" w:eastAsia="ru-RU" w:bidi="ru-RU"/>
          <w:w w:val="100"/>
          <w:spacing w:val="0"/>
          <w:color w:val="000000"/>
          <w:position w:val="0"/>
        </w:rPr>
        <w:t xml:space="preserve">(&lt; 120 мс), широкий комплекс </w:t>
      </w:r>
      <w:r>
        <w:rPr>
          <w:lang w:val="en-US" w:eastAsia="en-US" w:bidi="en-US"/>
          <w:w w:val="100"/>
          <w:spacing w:val="0"/>
          <w:color w:val="000000"/>
          <w:position w:val="0"/>
        </w:rPr>
        <w:t>QRS, A</w:t>
      </w:r>
      <w:r>
        <w:rPr>
          <w:lang w:val="ru-RU" w:eastAsia="ru-RU" w:bidi="ru-RU"/>
          <w:w w:val="100"/>
          <w:spacing w:val="0"/>
          <w:color w:val="000000"/>
          <w:position w:val="0"/>
        </w:rPr>
        <w:t xml:space="preserve">-волну в ранней части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и вторичные </w:t>
      </w:r>
      <w:r>
        <w:rPr>
          <w:lang w:val="en-US" w:eastAsia="en-US" w:bidi="en-US"/>
          <w:w w:val="100"/>
          <w:spacing w:val="0"/>
          <w:color w:val="000000"/>
          <w:position w:val="0"/>
        </w:rPr>
        <w:t>SТ</w:t>
      </w:r>
      <w:r>
        <w:rPr>
          <w:lang w:val="ru-RU" w:eastAsia="ru-RU" w:bidi="ru-RU"/>
          <w:w w:val="100"/>
          <w:spacing w:val="0"/>
          <w:color w:val="000000"/>
          <w:position w:val="0"/>
        </w:rPr>
        <w:t>-Т изменения.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пациентов с синдромом ВПУ имеется потенциально повышенный риск развития опасных желудочковых арит</w:t>
        <w:softHyphen/>
        <w:t>мий из-за чрезмерно быстрого проведения через обходной тракт, если у них разовьется трепетание или фибрилляция предсердий. У некоторых пациентов с синдромом ВПУ су</w:t>
        <w:softHyphen/>
        <w:t>ществует повышенный риск внезапной смерти. Терапевти</w:t>
        <w:softHyphen/>
        <w:br w:type="column"/>
        <w:t>чески полезными для пациентов с синдромом ВПУ могут быть электрофизиологические исследования (ЭФИ) сердца и радиочастотная (РЧ) катетерная аблация. У других паци</w:t>
        <w:softHyphen/>
        <w:t>ентов имеется симптоматическая СВТ, которую также мож</w:t>
        <w:softHyphen/>
        <w:t>но вылечить катетерной аблацией. Пациентам без симпто</w:t>
        <w:softHyphen/>
        <w:t>мов может потребоваться только периодическое диспан</w:t>
        <w:softHyphen/>
        <w:t>серное наблюдение.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ВПУ может быть вызван следующими причи</w:t>
        <w:softHyphen/>
        <w:t>нами: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Врожденные или приобретенные:</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Высока вероятность, что дополнительный путь яв - ляется врожденным, хотя его проявления могут быть выявлены только в более старшем возрасте, а также он может оказаться приобретенным.</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 родственников пациентов с преждевременным возбуждением, особенно с множественными путя</w:t>
        <w:softHyphen/>
        <w:t>ми, имеется увеличенная частота преждевремен</w:t>
        <w:softHyphen/>
        <w:t>ного возбуждения, что говорит в пользу наслед</w:t>
        <w:softHyphen/>
        <w:t>ственного механизма приобретения.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Ассоциированный с врожденными пороками сердца:</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 пациентов с аномалией Эбштейна может раз</w:t>
        <w:softHyphen/>
        <w:t>виться синдром ВПУ. У пациентов с аномалией Эбштейна часто имеются множественные допол</w:t>
        <w:softHyphen/>
        <w:t>нительные обходные пути, главным образом с пра</w:t>
        <w:softHyphen/>
        <w:t>вой стороны, в задней части перегородки или пос</w:t>
        <w:softHyphen/>
        <w:t>теролатеральной стенке. Преждевременное воз</w:t>
        <w:softHyphen/>
        <w:t>буждение обычно занимает атриализированный желудочек. Ортодромная реципрокная тахикардия у таких пациентов показывает блокаду правой ножки пучка Гиса (БПНПГ) и длинный вентрику</w:t>
        <w:softHyphen/>
        <w:t>лоатриальный (ВА) интервал.</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Пролапс митрального клапана может быть врожден</w:t>
        <w:softHyphen/>
        <w:t>ным пороком сердца и может вызвать синдром ВПУ.</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Гипертрофическая кардиомиопатия может вклю</w:t>
        <w:softHyphen/>
        <w:t>чать идиопатический подаортальный стеноз или асимметричную гипертрофию стенки.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Ассоциированные с другими заболеваниями сердца:</w:t>
      </w:r>
    </w:p>
    <w:p>
      <w:pPr>
        <w:pStyle w:val="Style30"/>
        <w:numPr>
          <w:ilvl w:val="0"/>
          <w:numId w:val="159"/>
        </w:numPr>
        <w:tabs>
          <w:tab w:leader="none" w:pos="737" w:val="left"/>
        </w:tabs>
        <w:widowControl w:val="0"/>
        <w:keepNext w:val="0"/>
        <w:keepLines w:val="0"/>
        <w:shd w:val="clear" w:color="auto" w:fill="auto"/>
        <w:bidi w:val="0"/>
        <w:spacing w:before="0" w:after="180"/>
        <w:ind w:left="740" w:right="0" w:hanging="240"/>
      </w:pPr>
      <w:r>
        <w:rPr>
          <w:lang w:val="ru-RU" w:eastAsia="ru-RU" w:bidi="ru-RU"/>
          <w:w w:val="100"/>
          <w:spacing w:val="0"/>
          <w:color w:val="000000"/>
          <w:position w:val="0"/>
        </w:rPr>
        <w:t>Кардиомиопатии.</w:t>
      </w:r>
    </w:p>
    <w:p>
      <w:pPr>
        <w:pStyle w:val="Style92"/>
        <w:widowControl w:val="0"/>
        <w:keepNext/>
        <w:keepLines/>
        <w:shd w:val="clear" w:color="auto" w:fill="auto"/>
        <w:bidi w:val="0"/>
        <w:spacing w:before="0" w:after="0"/>
        <w:ind w:left="0" w:right="0" w:firstLine="280"/>
      </w:pPr>
      <w:bookmarkStart w:id="806" w:name="bookmark806"/>
      <w:r>
        <w:rPr>
          <w:lang w:val="ru-RU" w:eastAsia="ru-RU" w:bidi="ru-RU"/>
          <w:w w:val="100"/>
          <w:spacing w:val="0"/>
          <w:color w:val="000000"/>
          <w:position w:val="0"/>
        </w:rPr>
        <w:t>Патофизиология</w:t>
      </w:r>
      <w:bookmarkEnd w:id="80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Пациенты с преждевременным возбуждением могут иметь СВТ вследствие механизма повторного входа. Генез СВТ повторного входа вовлекает наличие двойных прово</w:t>
        <w:softHyphen/>
        <w:t>дящих путей между предсердиями и желудочками. Эти пу</w:t>
        <w:softHyphen/>
        <w:t>ти включают: (1) — собственный АВ узловой тракт Гиса- Пуркинье и (2) — дополнительный АВ тракт (т.е. АВ соеди</w:t>
        <w:softHyphen/>
        <w:t>нение или обходной тракт, волокна Кента или волокна Ма- хайма).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Эти два пути обычно проявляют 2 различных свойства проведения и рефрактерные периоды, которые облегчают повторный вход. Эффективный рефрактерный период (ЭРП) дополнительного пути обычно длиннее нормально</w:t>
        <w:softHyphen/>
        <w:t>го тракта АВ узла Гиса-Пуркинье. Было описано несколько типов СВТ, включая ортодромные тахикардии, ортодром</w:t>
        <w:softHyphen/>
        <w:t>ную тахикардию со скрытым дополнительным путем и ан</w:t>
        <w:softHyphen/>
        <w:t>тидромную тахикардию.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Ортодромная тахикардия</w:t>
      </w:r>
    </w:p>
    <w:p>
      <w:pPr>
        <w:pStyle w:val="Style30"/>
        <w:widowControl w:val="0"/>
        <w:keepNext w:val="0"/>
        <w:keepLines w:val="0"/>
        <w:shd w:val="clear" w:color="auto" w:fill="auto"/>
        <w:bidi w:val="0"/>
        <w:spacing w:before="0" w:after="0"/>
        <w:ind w:left="0" w:right="0" w:firstLine="280"/>
      </w:pPr>
      <w:r>
        <w:pict>
          <v:shape id="_x0000_s1800" type="#_x0000_t75" style="position:absolute;margin-left:137.15pt;margin-top:736.55pt;width:209.75pt;height:14.9pt;z-index:-125828829;mso-wrap-distance-left:136.55pt;mso-wrap-distance-right:147.85pt;mso-wrap-distance-bottom:10.8pt;mso-position-horizontal-relative:margin;mso-position-vertical-relative:margin" wrapcoords="0 0 21600 0 21600 21600 0 21600 0 0">
            <v:imagedata r:id="rId1261" r:href="rId1262"/>
            <w10:wrap type="topAndBottom" anchorx="margin" anchory="margin"/>
          </v:shape>
        </w:pict>
      </w:r>
      <w:r>
        <w:rPr>
          <w:lang w:val="ru-RU" w:eastAsia="ru-RU" w:bidi="ru-RU"/>
          <w:w w:val="100"/>
          <w:spacing w:val="0"/>
          <w:color w:val="000000"/>
          <w:position w:val="0"/>
        </w:rPr>
        <w:t>Когда преждевременный эктопический предсердный импульс начинает проходить вниз по направлению к желу</w:t>
        <w:softHyphen/>
        <w:t>дочку, он может быть заблокирован на дополнительном пу</w:t>
        <w:softHyphen/>
        <w:t>ти, но проводиться антеградно вниз по нормальному пути. Затем импульс вновь входит в дополнительный путь ретро-</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градно, увековечивая круговое движение импульса. Такая реентрантная тахикардия описывается как ортодромная. Преждевременные сокращения желудочков (ПСЖ) могут также инициировать ортодромную тахикардию.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ортодромной тахикардии нормальный путь исполь</w:t>
        <w:softHyphen/>
        <w:t>зуется для деполяризации желудочков, а дополнительный путь используется для повторного входа. На ЭКГ отсутству</w:t>
        <w:softHyphen/>
        <w:t xml:space="preserve">ет Л-волна,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нормальный, а зубцы Р перевер</w:t>
        <w:softHyphen/>
        <w:t>нуты в нижних и боковых отведениях.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Ортодромная тахикардия со скрытым дополнительным пу</w:t>
        <w:softHyphen/>
        <w:t>тем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Некоторые дополнительные пути не способны прово</w:t>
        <w:softHyphen/>
        <w:t>диться антеградно. Это называется скрытыми дополни</w:t>
        <w:softHyphen/>
        <w:t>тельными путями (т.е. скрытый синдром ВПУ). Хотя нет данных о наличии пути во время синусового ритма (т.е. от</w:t>
        <w:softHyphen/>
        <w:t>сутствие преждевременного возбуждения), могут произой</w:t>
        <w:softHyphen/>
        <w:t>ти ортодромные тахикардии.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Дифференциация между этим типом СВТ и обычной АВ нодальной реципрокной тахикардией (АВНРТ) может быть затруднена. Тем не менее, если ЧСС выше 200 ударов в ми</w:t>
        <w:softHyphen/>
        <w:t xml:space="preserve">нуту и виден ретроградный Р зубец после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то диагнозом может быть скрытый дополнительный путь.</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Антидромная тахикардия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Реже встречающийся более короткий рефрактерный пе</w:t>
        <w:softHyphen/>
        <w:t>риод в дополнительном пути может вызвать блок эктопиче</w:t>
        <w:softHyphen/>
        <w:t>ского предсердного импульса в нормальном пути, с антег- радным проведением вниз по дополнительному пути и за</w:t>
        <w:softHyphen/>
        <w:t>тем ретроградным повторным входом в нормальный путь. Вызванный таким образом тип тахикардии называется ан</w:t>
        <w:softHyphen/>
        <w:t>тидромной тахикардией.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 ЭКГ широкий комплекс </w:t>
      </w:r>
      <w:r>
        <w:rPr>
          <w:lang w:val="en-US" w:eastAsia="en-US" w:bidi="en-US"/>
          <w:w w:val="100"/>
          <w:spacing w:val="0"/>
          <w:color w:val="000000"/>
          <w:position w:val="0"/>
        </w:rPr>
        <w:t xml:space="preserve">QRS, </w:t>
      </w:r>
      <w:r>
        <w:rPr>
          <w:lang w:val="ru-RU" w:eastAsia="ru-RU" w:bidi="ru-RU"/>
          <w:w w:val="100"/>
          <w:spacing w:val="0"/>
          <w:color w:val="000000"/>
          <w:position w:val="0"/>
        </w:rPr>
        <w:t>что связано с наличи</w:t>
        <w:softHyphen/>
        <w:t xml:space="preserve">ем Л-волны во время синусового ритма (т.е. тахикардия с широким комплексом </w:t>
      </w:r>
      <w:r>
        <w:rPr>
          <w:lang w:val="en-US" w:eastAsia="en-US" w:bidi="en-US"/>
          <w:w w:val="100"/>
          <w:spacing w:val="0"/>
          <w:color w:val="000000"/>
          <w:position w:val="0"/>
        </w:rPr>
        <w:t xml:space="preserve">QRS). </w:t>
      </w:r>
      <w:r>
        <w:rPr>
          <w:lang w:val="ru-RU" w:eastAsia="ru-RU" w:bidi="ru-RU"/>
          <w:w w:val="100"/>
          <w:spacing w:val="0"/>
          <w:color w:val="000000"/>
          <w:position w:val="0"/>
        </w:rPr>
        <w:t>Такие тахикардии трудно от</w:t>
        <w:softHyphen/>
        <w:t>личить от желудочковой тахикардии.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Таким образом, механизм, лежащий в основе большин</w:t>
        <w:softHyphen/>
        <w:t>ства тахикардий у пациентов с синдромом ВПУ, является макроповторным входом, вызванным антеградным прове</w:t>
        <w:softHyphen/>
        <w:t>дением по пути АВ узла пучок Гиса и ретроградным прове</w:t>
        <w:softHyphen/>
        <w:t>дением по дополнительному пути (ортодромный). Редко встречающейся у пациентов с синдромом ВПУ является ан</w:t>
        <w:softHyphen/>
        <w:t>тидромная тахикардия. Даже когда дополнительный путь проводит только ретроградно, он может все еще участво</w:t>
        <w:softHyphen/>
        <w:t>вать в реентрантной цепи и вызывать ортодромную АВ ре- ципрокную тахикардию.</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159"/>
        </w:numPr>
        <w:tabs>
          <w:tab w:leader="none" w:pos="515"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Частота преждевременного возбуждения желудочков составляет 0,1-0,3% в общей популяции.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Синдром ВПУ встречается чаще у мальчиков.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Синдром ВПУ встречается у лиц всех возрастных групп, его частота снижается с возрастом, начиная от зародышево</w:t>
        <w:softHyphen/>
        <w:t>го, неонатального возраста и заканчивая лицами пожилого и престарелого возраста.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Проявления синдрома ВПУ так же разнообразны, как случайное обнаружение синкопе или внезапная смерть.</w:t>
      </w:r>
    </w:p>
    <w:p>
      <w:pPr>
        <w:pStyle w:val="Style30"/>
        <w:numPr>
          <w:ilvl w:val="0"/>
          <w:numId w:val="159"/>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СВТ при синдроме ВПУ может начаться в детстве или клинически проявиться только по достижении паци</w:t>
        <w:softHyphen/>
        <w:t>ентами среднего возраста. У некоторых пациентов с возникновением проявлений в детстве она может затем исчезнуть на некоторое время, а затем про-</w:t>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явиться вновь. В действительности вероятность со</w:t>
        <w:softHyphen/>
        <w:t>ставляет 75%, что тахикардия будет персистировать, если она все еще присутствует у пациента в возрасте старше 5 лет.</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бессимптомных пациентов вероятность потери способности антеградного проведения через допол</w:t>
        <w:softHyphen/>
        <w:t>нительный путь увеличивается с возрастом. Это, ве</w:t>
        <w:softHyphen/>
        <w:t>роятно, является результатом изменений в месте вне</w:t>
        <w:softHyphen/>
        <w:t>дрения дополнительного обходного пути.</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Головокружения и предобморочные состояния про</w:t>
        <w:softHyphen/>
        <w:t>исходят более часто у лиц с синдромом ВПУ, у кото</w:t>
        <w:softHyphen/>
        <w:t>рых имеется пароксизмальная СВТ (ПСВТ) или фиб</w:t>
        <w:softHyphen/>
        <w:t>рилляция предсердий, чем у лиц с АВ узловым по</w:t>
        <w:softHyphen/>
        <w:t>вторным входом.</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Обморок может произойти из-за неадекватного моз</w:t>
        <w:softHyphen/>
        <w:t>гового кровообращения вследствие быстрого желу</w:t>
        <w:softHyphen/>
        <w:t>дочкового ритма или потому, что тахиаритмия подав</w:t>
        <w:softHyphen/>
        <w:t>ляет синусовый водитель ритма, вызывая период аси</w:t>
        <w:softHyphen/>
        <w:t>столии в точке завершения тахикардии.</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После прекращения ПСВТ может последовать поли- урия, которая развивается вследствие дилатации предсердий и высвобождения натрийуретического предсердного фактора.</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пациентов обычно отмечается симптоматическая ортодромная СВТ. Она, как правило, хорошо перено</w:t>
        <w:softHyphen/>
        <w:t>сится и не является фактором высокого риска, осо</w:t>
        <w:softHyphen/>
        <w:t>бенно в детской популяции старше младенческого возраста.</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младенца часто отмечают раздражительность, непе - реносимость кормления или признаки застойной сердечной недостаточности.</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младенцев в анамнезе отмечаются состояния, будто они «не похожи на самих себя» в течение 1 или 2 дней.</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Часто наблюдаются интеркуррентные лихорадочные заболевания.</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Дети, умеющие говорить, обычно жалуются на боль в груди, учащенное сердцебиение или затрудненное дыхание.</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Состояние большинства детей до этого обычно хоро - шее и только у некоторых имеется в семейном анам</w:t>
        <w:softHyphen/>
        <w:t>незе такое состояние.</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Пациенты более старшего возраста обычно могут описать внезапное наступление учащенных сердце</w:t>
        <w:softHyphen/>
        <w:t>биений, которые регулярны и «настолько быстры, что невозможно сосчитать». Это сопровождается со</w:t>
        <w:softHyphen/>
        <w:t>путствующими изменениями в переносимости физи</w:t>
        <w:softHyphen/>
        <w:t>ческой нагрузки.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Физикальные данные</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Во время эпизода СВТ ребенок обычно раздражи</w:t>
        <w:softHyphen/>
        <w:t>тельный; нередка бледность. Пульс очень быстрый, сниженного наполнения. Частота желудочковых со</w:t>
        <w:softHyphen/>
        <w:t>кращений обычно 200-250 уд/мин, а кровяное давле</w:t>
        <w:softHyphen/>
        <w:t>ние понижено. Если эпизод оставить без лечения в течение нескольких дней, у пациента часто возникают плохая перфузия, увеличение печени и сердечная недостаточность. Ребенок обычно встре</w:t>
        <w:softHyphen/>
        <w:t>вожен, но гемодинамически стабилен. Тахипноэ час</w:t>
        <w:softHyphen/>
        <w:t>то сопровождает тахикардию.</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Давление в яремной вене может быть повышенным, но форма волны обычно остается постоянной.</w:t>
      </w:r>
    </w:p>
    <w:p>
      <w:pPr>
        <w:pStyle w:val="Style30"/>
        <w:numPr>
          <w:ilvl w:val="0"/>
          <w:numId w:val="159"/>
        </w:numPr>
        <w:tabs>
          <w:tab w:leader="none" w:pos="235" w:val="left"/>
        </w:tabs>
        <w:widowControl w:val="0"/>
        <w:keepNext w:val="0"/>
        <w:keepLines w:val="0"/>
        <w:shd w:val="clear" w:color="auto" w:fill="auto"/>
        <w:bidi w:val="0"/>
        <w:spacing w:before="0" w:after="0"/>
        <w:ind w:left="260" w:right="0"/>
      </w:pPr>
      <w:r>
        <w:pict>
          <v:shape id="_x0000_s1801" type="#_x0000_t75" style="position:absolute;margin-left:148.55pt;margin-top:736.55pt;width:209.75pt;height:14.9pt;z-index:-125828828;mso-wrap-distance-left:148.1pt;mso-wrap-distance-right:136.55pt;mso-wrap-distance-bottom:10.8pt;mso-position-horizontal-relative:margin;mso-position-vertical-relative:margin" wrapcoords="0 0 21600 0 21600 21600 0 21600 0 0">
            <v:imagedata r:id="rId1263" r:href="rId1264"/>
            <w10:wrap type="topAndBottom" anchorx="margin" anchory="margin"/>
          </v:shape>
        </w:pict>
      </w:r>
      <w:r>
        <w:rPr>
          <w:lang w:val="ru-RU" w:eastAsia="ru-RU" w:bidi="ru-RU"/>
          <w:w w:val="100"/>
          <w:spacing w:val="0"/>
          <w:color w:val="000000"/>
          <w:position w:val="0"/>
        </w:rPr>
        <w:t>Могут присутствовать следующие клинические осо</w:t>
        <w:softHyphen/>
        <w:t>бенности ассоциированных дефектов сердца:</w:t>
      </w:r>
      <w:r>
        <w:br w:type="page"/>
      </w:r>
    </w:p>
    <w:p>
      <w:pPr>
        <w:pStyle w:val="Style30"/>
        <w:numPr>
          <w:ilvl w:val="0"/>
          <w:numId w:val="16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пролапс митрального клапана;</w:t>
      </w:r>
    </w:p>
    <w:p>
      <w:pPr>
        <w:pStyle w:val="Style30"/>
        <w:numPr>
          <w:ilvl w:val="0"/>
          <w:numId w:val="16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кардиомиопатия;</w:t>
      </w:r>
    </w:p>
    <w:p>
      <w:pPr>
        <w:pStyle w:val="Style30"/>
        <w:numPr>
          <w:ilvl w:val="0"/>
          <w:numId w:val="16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аномалия Эбштейна: за пациентами с правосто</w:t>
        <w:softHyphen/>
        <w:t>ронними дополнительными путями необходимо вести скрининг по поводу аномалии Эбштейна;</w:t>
      </w:r>
    </w:p>
    <w:p>
      <w:pPr>
        <w:pStyle w:val="Style30"/>
        <w:numPr>
          <w:ilvl w:val="0"/>
          <w:numId w:val="161"/>
        </w:numPr>
        <w:tabs>
          <w:tab w:leader="none" w:pos="755"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xml:space="preserve">если присутствуют аномальные комплексы </w:t>
      </w:r>
      <w:r>
        <w:rPr>
          <w:lang w:val="en-US" w:eastAsia="en-US" w:bidi="en-US"/>
          <w:w w:val="100"/>
          <w:spacing w:val="0"/>
          <w:color w:val="000000"/>
          <w:position w:val="0"/>
        </w:rPr>
        <w:t xml:space="preserve">QRS </w:t>
      </w:r>
      <w:r>
        <w:rPr>
          <w:lang w:val="ru-RU" w:eastAsia="ru-RU" w:bidi="ru-RU"/>
          <w:w w:val="100"/>
          <w:spacing w:val="0"/>
          <w:color w:val="000000"/>
          <w:position w:val="0"/>
        </w:rPr>
        <w:t>синдрома ВПУ, то они могут быть сходными с та</w:t>
        <w:softHyphen/>
        <w:t>ковыми при остром инфаркте миокарда (ИМ). У пациентов с синдромом ВПУ часто отмечаются аномалии реполяризации.</w:t>
      </w:r>
    </w:p>
    <w:p>
      <w:pPr>
        <w:pStyle w:val="Style30"/>
        <w:numPr>
          <w:ilvl w:val="0"/>
          <w:numId w:val="15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После прекращения аритмии данные физикального обследования обычно нормальные.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Синдром Лоуна-Ганонга-Левине (синдром </w:t>
      </w:r>
      <w:r>
        <w:rPr>
          <w:lang w:val="en-US" w:eastAsia="en-US" w:bidi="en-US"/>
          <w:w w:val="100"/>
          <w:spacing w:val="0"/>
          <w:color w:val="000000"/>
          <w:position w:val="0"/>
        </w:rPr>
        <w:t xml:space="preserve">LGL). </w:t>
      </w:r>
      <w:r>
        <w:rPr>
          <w:lang w:val="ru-RU" w:eastAsia="ru-RU" w:bidi="ru-RU"/>
          <w:w w:val="100"/>
          <w:spacing w:val="0"/>
          <w:color w:val="000000"/>
          <w:position w:val="0"/>
        </w:rPr>
        <w:t>Паци</w:t>
        <w:softHyphen/>
        <w:t xml:space="preserve">енты могут иметь короткий интервал </w:t>
      </w:r>
      <w:r>
        <w:rPr>
          <w:lang w:val="en-US" w:eastAsia="en-US" w:bidi="en-US"/>
          <w:w w:val="100"/>
          <w:spacing w:val="0"/>
          <w:color w:val="000000"/>
          <w:position w:val="0"/>
        </w:rPr>
        <w:t xml:space="preserve">РR </w:t>
      </w:r>
      <w:r>
        <w:rPr>
          <w:lang w:val="ru-RU" w:eastAsia="ru-RU" w:bidi="ru-RU"/>
          <w:w w:val="100"/>
          <w:spacing w:val="0"/>
          <w:color w:val="000000"/>
          <w:position w:val="0"/>
        </w:rPr>
        <w:t>и СВТ, но без Д-волны. Волокна Махайма соединяют предсердия с пра</w:t>
        <w:softHyphen/>
        <w:t>вой ножкой или АВ узел с желудочком. Такие обходные пу</w:t>
        <w:softHyphen/>
        <w:t xml:space="preserve">ти называются предсерднопучковыми. Если присутствуют предсерднопучковые волокна, результаты ЭКГ нормальные или имеются короткий интервал </w:t>
      </w:r>
      <w:r>
        <w:rPr>
          <w:lang w:val="en-US" w:eastAsia="en-US" w:bidi="en-US"/>
          <w:w w:val="100"/>
          <w:spacing w:val="0"/>
          <w:color w:val="000000"/>
          <w:position w:val="0"/>
        </w:rPr>
        <w:t xml:space="preserve">РR </w:t>
      </w:r>
      <w:r>
        <w:rPr>
          <w:lang w:val="ru-RU" w:eastAsia="ru-RU" w:bidi="ru-RU"/>
          <w:w w:val="100"/>
          <w:spacing w:val="0"/>
          <w:color w:val="000000"/>
          <w:position w:val="0"/>
        </w:rPr>
        <w:t xml:space="preserve">и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по ти</w:t>
        <w:softHyphen/>
        <w:t>пу блокады левой ножки. Эти волокна имеют свойства дек- рементального проведения и могут способствовать прояв</w:t>
        <w:softHyphen/>
        <w:t>лению СВТ.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Дифференциальная диагностика синдромов дополнитель</w:t>
        <w:softHyphen/>
        <w:t>ных путей с использованием ЭФИ</w:t>
      </w:r>
    </w:p>
    <w:p>
      <w:pPr>
        <w:pStyle w:val="Style30"/>
        <w:numPr>
          <w:ilvl w:val="0"/>
          <w:numId w:val="15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У пациентов с синдромом </w:t>
      </w:r>
      <w:r>
        <w:rPr>
          <w:lang w:val="en-US" w:eastAsia="en-US" w:bidi="en-US"/>
          <w:w w:val="100"/>
          <w:spacing w:val="0"/>
          <w:color w:val="000000"/>
          <w:position w:val="0"/>
        </w:rPr>
        <w:t xml:space="preserve">LGL, </w:t>
      </w:r>
      <w:r>
        <w:rPr>
          <w:lang w:val="ru-RU" w:eastAsia="ru-RU" w:bidi="ru-RU"/>
          <w:w w:val="100"/>
          <w:spacing w:val="0"/>
          <w:color w:val="000000"/>
          <w:position w:val="0"/>
        </w:rPr>
        <w:t xml:space="preserve">у которых имеется атриогиссовый тракт,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остается нор</w:t>
        <w:softHyphen/>
        <w:t xml:space="preserve">мальным и регистрируется короткий интервал </w:t>
      </w:r>
      <w:r>
        <w:rPr>
          <w:lang w:val="en-US" w:eastAsia="en-US" w:bidi="en-US"/>
          <w:w w:val="100"/>
          <w:spacing w:val="0"/>
          <w:color w:val="000000"/>
          <w:position w:val="0"/>
        </w:rPr>
        <w:t xml:space="preserve">HV, </w:t>
      </w:r>
      <w:r>
        <w:rPr>
          <w:lang w:val="ru-RU" w:eastAsia="ru-RU" w:bidi="ru-RU"/>
          <w:w w:val="100"/>
          <w:spacing w:val="0"/>
          <w:color w:val="000000"/>
          <w:position w:val="0"/>
        </w:rPr>
        <w:t>который остается фиксированным во время пред</w:t>
        <w:softHyphen/>
        <w:t>сердной стимуляции при быстрых ритмах.</w:t>
      </w:r>
    </w:p>
    <w:p>
      <w:pPr>
        <w:pStyle w:val="Style30"/>
        <w:numPr>
          <w:ilvl w:val="0"/>
          <w:numId w:val="15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У пациентов с фасцикуловентрикулярными связями отмечают короткий интервал </w:t>
      </w:r>
      <w:r>
        <w:rPr>
          <w:lang w:val="en-US" w:eastAsia="en-US" w:bidi="en-US"/>
          <w:w w:val="100"/>
          <w:spacing w:val="0"/>
          <w:color w:val="000000"/>
          <w:position w:val="0"/>
        </w:rPr>
        <w:t xml:space="preserve">HV </w:t>
      </w:r>
      <w:r>
        <w:rPr>
          <w:lang w:val="ru-RU" w:eastAsia="ru-RU" w:bidi="ru-RU"/>
          <w:w w:val="100"/>
          <w:spacing w:val="0"/>
          <w:color w:val="000000"/>
          <w:position w:val="0"/>
        </w:rPr>
        <w:t>и отсутствие изме</w:t>
        <w:softHyphen/>
        <w:t xml:space="preserve">нений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во время быстрой атриальной стимуляции.</w:t>
      </w:r>
    </w:p>
    <w:p>
      <w:pPr>
        <w:pStyle w:val="Style30"/>
        <w:numPr>
          <w:ilvl w:val="0"/>
          <w:numId w:val="15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Пути атриофасцикулярного тракта обычно представ</w:t>
        <w:softHyphen/>
        <w:t>ляют дупликацию АВ узла и дистальной проводящей системы. Они занимают правожелудочковую свобод</w:t>
        <w:softHyphen/>
        <w:t>ную стенку. Их проксимальный конец лежит рядом с латеральным кольцом трехстворчатого клапана и проявляет медленное проведение при характерис</w:t>
        <w:softHyphen/>
        <w:t>тиках, подобных АВ узлу. Дистальный конец, кото</w:t>
        <w:softHyphen/>
        <w:t>рый проводит быстро, входит в дистальную правую ножку пучка или верхушечный регион правого желу</w:t>
        <w:softHyphen/>
        <w:t>дочка. Преждевременное возбуждение может быть невидимым во время синусового ритма, но может быть видимым с преждевременной стимуляцией пра</w:t>
        <w:softHyphen/>
        <w:t>вого предсердия. Так как ретроградное проведение отсутствует, может развиться только антидромная АВ реципрокная тахикардия. Тахикардия преждевремен</w:t>
        <w:softHyphen/>
        <w:t>ного возбуждения имеет паттерн блокады левой нож</w:t>
        <w:softHyphen/>
        <w:t>ки пучка, удлиненный АВ интервал (вследствие дол</w:t>
        <w:softHyphen/>
        <w:t>гого времени проведения по дополнительному пути) и короткий ВА интервал.</w:t>
      </w:r>
    </w:p>
    <w:p>
      <w:pPr>
        <w:pStyle w:val="Style30"/>
        <w:numPr>
          <w:ilvl w:val="0"/>
          <w:numId w:val="159"/>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пациентов с ПСВТ обычно имеются узкие ком</w:t>
        <w:softHyphen/>
        <w:t xml:space="preserve">плексы </w:t>
      </w:r>
      <w:r>
        <w:rPr>
          <w:lang w:val="en-US" w:eastAsia="en-US" w:bidi="en-US"/>
          <w:w w:val="100"/>
          <w:spacing w:val="0"/>
          <w:color w:val="000000"/>
          <w:position w:val="0"/>
        </w:rPr>
        <w:t xml:space="preserve">QRS. QRS </w:t>
      </w:r>
      <w:r>
        <w:rPr>
          <w:lang w:val="ru-RU" w:eastAsia="ru-RU" w:bidi="ru-RU"/>
          <w:w w:val="100"/>
          <w:spacing w:val="0"/>
          <w:color w:val="000000"/>
          <w:position w:val="0"/>
        </w:rPr>
        <w:t>может стать шире благодаря абер</w:t>
        <w:softHyphen/>
        <w:t>рантному проведению, сосуществующей блокаде пу</w:t>
        <w:softHyphen/>
        <w:t>чок-ножка или вовлечению дополнительного пути.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Другие формы тахикардии у пациентов с синдромом ВПУ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пациентов с синдромом ВПУ могут быть другие тахи</w:t>
        <w:softHyphen/>
        <w:t>кардии, во время которых дополнительный путь является всего лишь сторонним наблюдателем, такие как АВНРТ или предсердная тахикардия, которая проводит к желудоч</w:t>
        <w:softHyphen/>
        <w:t>ку по обходному пути.</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Трепетание или фибрилляция предсердий может также произойти в предсердии, вне связи с обходным путем.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пациентов с синдромом ВПУ, у которых имеется фиб</w:t>
        <w:softHyphen/>
        <w:t>рилляция предсердий, часто имеются индуцибельные ре- ципрокные тахикардии. Прерывание дополнительного пу</w:t>
        <w:softHyphen/>
        <w:t>ти аблацией может предотвратить рецидив фибрилляции предсердий.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Фибрилляция предсердий представляет потенциально серьезный риск. При высокой частоте рефрактерный пери</w:t>
        <w:softHyphen/>
        <w:t>од дополнительного пути может сократиться, способствуя чрезмерно быстрому желудочковому ответу. Однако такой феномен происходит редко и отмечается менее чем в 0,1% случаев.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пациентов с перемежающимся преждевременным воз</w:t>
        <w:softHyphen/>
        <w:t>буждением или у пациентов, у которых отсутствуют данные ЭКГ о преждевременном возбуждении при нагрузке или при внутривенном введении новокаинамида, обычно име</w:t>
        <w:softHyphen/>
        <w:t>ется длинный рефрактерный период обходного пути. Счи</w:t>
        <w:softHyphen/>
        <w:t>тается, что у этих пациентов имеется низкий риск развития быстрого желудочкового ритма в случае развития трепета</w:t>
        <w:softHyphen/>
        <w:t>ния или фибрилляции предсердий.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Лабораторные исследования</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Может потребоваться проведение следующих общеприня</w:t>
        <w:softHyphen/>
        <w:t>тых лабораторных исследований для исключения несер</w:t>
        <w:softHyphen/>
        <w:t>дечных состояний, запускающих тахикардию:</w:t>
      </w:r>
    </w:p>
    <w:p>
      <w:pPr>
        <w:pStyle w:val="Style30"/>
        <w:numPr>
          <w:ilvl w:val="0"/>
          <w:numId w:val="159"/>
        </w:numPr>
        <w:tabs>
          <w:tab w:leader="none" w:pos="775"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Клинический анализ крови с подсчетом формен</w:t>
        <w:softHyphen/>
        <w:t>ных элементов.</w:t>
      </w:r>
    </w:p>
    <w:p>
      <w:pPr>
        <w:pStyle w:val="Style30"/>
        <w:numPr>
          <w:ilvl w:val="0"/>
          <w:numId w:val="159"/>
        </w:numPr>
        <w:tabs>
          <w:tab w:leader="none" w:pos="77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Биохимический анализ:</w:t>
      </w:r>
    </w:p>
    <w:p>
      <w:pPr>
        <w:pStyle w:val="Style30"/>
        <w:numPr>
          <w:ilvl w:val="0"/>
          <w:numId w:val="161"/>
        </w:numPr>
        <w:tabs>
          <w:tab w:leader="none" w:pos="93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азот мочевины крови и креатинин для оценки со</w:t>
        <w:softHyphen/>
        <w:t>стояния почек;</w:t>
      </w:r>
    </w:p>
    <w:p>
      <w:pPr>
        <w:pStyle w:val="Style30"/>
        <w:numPr>
          <w:ilvl w:val="0"/>
          <w:numId w:val="161"/>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тесты функции печени (например, билирубин и уровни трансаминазы).</w:t>
      </w:r>
    </w:p>
    <w:p>
      <w:pPr>
        <w:pStyle w:val="Style30"/>
        <w:numPr>
          <w:ilvl w:val="0"/>
          <w:numId w:val="159"/>
        </w:numPr>
        <w:tabs>
          <w:tab w:leader="none" w:pos="775"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Оценка функционального состояния щитовидной железы.</w:t>
      </w:r>
    </w:p>
    <w:p>
      <w:pPr>
        <w:pStyle w:val="Style30"/>
        <w:numPr>
          <w:ilvl w:val="0"/>
          <w:numId w:val="159"/>
        </w:numPr>
        <w:tabs>
          <w:tab w:leader="none" w:pos="775"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Уровни в крови противоаритмических лекарствен</w:t>
        <w:softHyphen/>
        <w:t>ных средств во время терапии и мониторинга.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Инструментальная диагностика</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Эхокардиограмма может потребоваться для оценки функции левого желудочка и движения стенки и для исключения порока клапана сердца, аномалии Эб</w:t>
        <w:softHyphen/>
        <w:t>штейна, гипертрофической кардиомиопатии (при которой частота дополнительных путей увеличивает</w:t>
        <w:softHyphen/>
        <w:t>ся) или других врожденных пороков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Другие тесты</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Стандартная ЭКГ с 12 отведениями является прямым и легкодоступным источником для анализа аномалий сердечного ритма. Для многих простых аритмий рас</w:t>
        <w:softHyphen/>
        <w:t xml:space="preserve">познавание зубца Р и морфологий </w:t>
      </w:r>
      <w:r>
        <w:rPr>
          <w:lang w:val="en-US" w:eastAsia="en-US" w:bidi="en-US"/>
          <w:w w:val="100"/>
          <w:spacing w:val="0"/>
          <w:color w:val="000000"/>
          <w:position w:val="0"/>
        </w:rPr>
        <w:t xml:space="preserve">QRS </w:t>
      </w:r>
      <w:r>
        <w:rPr>
          <w:lang w:val="ru-RU" w:eastAsia="ru-RU" w:bidi="ru-RU"/>
          <w:w w:val="100"/>
          <w:spacing w:val="0"/>
          <w:color w:val="000000"/>
          <w:position w:val="0"/>
        </w:rPr>
        <w:t>с их относи</w:t>
        <w:softHyphen/>
        <w:t>тельным временным соотнесением и векторами мо</w:t>
        <w:softHyphen/>
        <w:t>жет быть достаточным для подтверждения диагноза.</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ЭКГ при синдроме ВПУ типа А (рис. 97):</w:t>
      </w:r>
    </w:p>
    <w:p>
      <w:pPr>
        <w:pStyle w:val="Style30"/>
        <w:numPr>
          <w:ilvl w:val="0"/>
          <w:numId w:val="161"/>
        </w:numPr>
        <w:tabs>
          <w:tab w:leader="none" w:pos="775"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 xml:space="preserve">Д-волна и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направлены вверх в отве</w:t>
        <w:softHyphen/>
        <w:t xml:space="preserve">дении </w:t>
      </w:r>
      <w:r>
        <w:rPr>
          <w:lang w:val="en-US" w:eastAsia="en-US" w:bidi="en-US"/>
          <w:w w:val="100"/>
          <w:spacing w:val="0"/>
          <w:color w:val="000000"/>
          <w:position w:val="0"/>
        </w:rPr>
        <w:t>V</w:t>
      </w:r>
      <w:r>
        <w:rPr>
          <w:rStyle w:val="CharStyle32"/>
          <w:lang w:val="en-US" w:eastAsia="en-US" w:bidi="en-US"/>
        </w:rPr>
        <w:t>1</w:t>
      </w:r>
      <w:r>
        <w:rPr>
          <w:lang w:val="en-US" w:eastAsia="en-US" w:bidi="en-US"/>
          <w:w w:val="100"/>
          <w:spacing w:val="0"/>
          <w:color w:val="000000"/>
          <w:position w:val="0"/>
        </w:rPr>
        <w:t>;</w:t>
      </w:r>
    </w:p>
    <w:p>
      <w:pPr>
        <w:pStyle w:val="Style30"/>
        <w:numPr>
          <w:ilvl w:val="0"/>
          <w:numId w:val="161"/>
        </w:numPr>
        <w:tabs>
          <w:tab w:leader="none" w:pos="775"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 xml:space="preserve">высокий зубец </w:t>
      </w:r>
      <w:r>
        <w:rPr>
          <w:lang w:val="en-US" w:eastAsia="en-US" w:bidi="en-US"/>
          <w:w w:val="100"/>
          <w:spacing w:val="0"/>
          <w:color w:val="000000"/>
          <w:position w:val="0"/>
        </w:rPr>
        <w:t xml:space="preserve">R </w:t>
      </w:r>
      <w:r>
        <w:rPr>
          <w:lang w:val="ru-RU" w:eastAsia="ru-RU" w:bidi="ru-RU"/>
          <w:w w:val="100"/>
          <w:spacing w:val="0"/>
          <w:color w:val="000000"/>
          <w:position w:val="0"/>
        </w:rPr>
        <w:t>преобладает и в остальных груд</w:t>
        <w:softHyphen/>
        <w:t>ных отведениях;</w:t>
      </w:r>
    </w:p>
    <w:p>
      <w:pPr>
        <w:pStyle w:val="Style30"/>
        <w:numPr>
          <w:ilvl w:val="0"/>
          <w:numId w:val="161"/>
        </w:numPr>
        <w:tabs>
          <w:tab w:leader="none" w:pos="775" w:val="left"/>
        </w:tabs>
        <w:widowControl w:val="0"/>
        <w:keepNext w:val="0"/>
        <w:keepLines w:val="0"/>
        <w:shd w:val="clear" w:color="auto" w:fill="auto"/>
        <w:bidi w:val="0"/>
        <w:jc w:val="left"/>
        <w:spacing w:before="0" w:after="0"/>
        <w:ind w:left="740" w:right="0" w:hanging="220"/>
      </w:pPr>
      <w:r>
        <w:rPr>
          <w:lang w:val="ru-RU" w:eastAsia="ru-RU" w:bidi="ru-RU"/>
          <w:w w:val="100"/>
          <w:spacing w:val="0"/>
          <w:color w:val="000000"/>
          <w:position w:val="0"/>
        </w:rPr>
        <w:t xml:space="preserve">по форме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напоминает полную бло</w:t>
        <w:softHyphen/>
        <w:t>каду правой ножки пучка Гиса;</w:t>
      </w:r>
    </w:p>
    <w:p>
      <w:pPr>
        <w:pStyle w:val="Style30"/>
        <w:numPr>
          <w:ilvl w:val="0"/>
          <w:numId w:val="161"/>
        </w:numPr>
        <w:tabs>
          <w:tab w:leader="none" w:pos="775" w:val="left"/>
        </w:tabs>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дополнительный пучок расположен слева.</w:t>
      </w:r>
    </w:p>
    <w:p>
      <w:pPr>
        <w:pStyle w:val="Style30"/>
        <w:numPr>
          <w:ilvl w:val="0"/>
          <w:numId w:val="159"/>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ЭКГ при синдроме ВПУ типа В (рис. 98):</w:t>
      </w:r>
    </w:p>
    <w:p>
      <w:pPr>
        <w:pStyle w:val="Style30"/>
        <w:numPr>
          <w:ilvl w:val="0"/>
          <w:numId w:val="161"/>
        </w:numPr>
        <w:tabs>
          <w:tab w:leader="none" w:pos="775" w:val="left"/>
        </w:tabs>
        <w:widowControl w:val="0"/>
        <w:keepNext w:val="0"/>
        <w:keepLines w:val="0"/>
        <w:shd w:val="clear" w:color="auto" w:fill="auto"/>
        <w:bidi w:val="0"/>
        <w:jc w:val="left"/>
        <w:spacing w:before="0" w:after="0"/>
        <w:ind w:left="740" w:right="0" w:hanging="220"/>
        <w:sectPr>
          <w:headerReference w:type="even" r:id="rId1265"/>
          <w:headerReference w:type="default" r:id="rId1266"/>
          <w:titlePg/>
          <w:pgSz w:w="11900" w:h="16840"/>
          <w:pgMar w:top="1559" w:left="1034" w:right="964" w:bottom="1756" w:header="0" w:footer="3" w:gutter="0"/>
          <w:rtlGutter w:val="0"/>
          <w:cols w:num="2" w:space="205"/>
          <w:noEndnote/>
          <w:docGrid w:linePitch="360"/>
        </w:sectPr>
      </w:pPr>
      <w:r>
        <w:rPr>
          <w:lang w:val="ru-RU" w:eastAsia="ru-RU" w:bidi="ru-RU"/>
          <w:w w:val="100"/>
          <w:spacing w:val="0"/>
          <w:color w:val="000000"/>
          <w:position w:val="0"/>
        </w:rPr>
        <w:t xml:space="preserve">Д-волна и основной зубец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направ</w:t>
        <w:softHyphen/>
        <w:t xml:space="preserve">лены вниз в отведениях </w:t>
      </w:r>
      <w:r>
        <w:rPr>
          <w:lang w:val="en-US" w:eastAsia="en-US" w:bidi="en-US"/>
          <w:w w:val="100"/>
          <w:spacing w:val="0"/>
          <w:color w:val="000000"/>
          <w:position w:val="0"/>
        </w:rPr>
        <w:t>V</w:t>
      </w:r>
      <w:r>
        <w:rPr>
          <w:rStyle w:val="CharStyle32"/>
          <w:lang w:val="en-US" w:eastAsia="en-US" w:bidi="en-US"/>
        </w:rPr>
        <w:t>1</w:t>
      </w:r>
      <w:r>
        <w:rPr>
          <w:lang w:val="en-US" w:eastAsia="en-US" w:bidi="en-US"/>
          <w:w w:val="100"/>
          <w:spacing w:val="0"/>
          <w:color w:val="000000"/>
          <w:position w:val="0"/>
        </w:rPr>
        <w:t>, V</w:t>
      </w:r>
      <w:r>
        <w:rPr>
          <w:rStyle w:val="CharStyle32"/>
          <w:lang w:val="en-US" w:eastAsia="en-US" w:bidi="en-US"/>
        </w:rPr>
        <w:t>2</w:t>
      </w:r>
      <w:r>
        <w:rPr>
          <w:lang w:val="en-US" w:eastAsia="en-US" w:bidi="en-US"/>
          <w:w w:val="100"/>
          <w:spacing w:val="0"/>
          <w:color w:val="000000"/>
          <w:position w:val="0"/>
        </w:rPr>
        <w:t xml:space="preserve"> </w:t>
      </w:r>
      <w:r>
        <w:rPr>
          <w:lang w:val="ru-RU" w:eastAsia="ru-RU" w:bidi="ru-RU"/>
          <w:w w:val="100"/>
          <w:spacing w:val="0"/>
          <w:color w:val="000000"/>
          <w:position w:val="0"/>
        </w:rPr>
        <w:t>и вверх в левых грудных отведениях;</w:t>
      </w:r>
    </w:p>
    <w:p>
      <w:pPr>
        <w:widowControl w:val="0"/>
        <w:rPr>
          <w:sz w:val="2"/>
          <w:szCs w:val="2"/>
        </w:rPr>
      </w:pPr>
      <w:r>
        <w:pict>
          <v:shape id="_x0000_s1804" type="#_x0000_t202" style="position:static;width:595.pt;height:64.1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805" type="#_x0000_t75" style="position:absolute;margin-left:132.55pt;margin-top:0;width:209.75pt;height:14.9pt;z-index:-251658639;mso-wrap-distance-left:5.pt;mso-wrap-distance-right:5.pt;mso-position-horizontal-relative:margin" wrapcoords="0 0">
            <v:imagedata r:id="rId1267" r:href="rId1268"/>
            <w10:wrap anchorx="margin"/>
          </v:shape>
        </w:pict>
      </w:r>
    </w:p>
    <w:p>
      <w:pPr>
        <w:widowControl w:val="0"/>
        <w:rPr>
          <w:sz w:val="2"/>
          <w:szCs w:val="2"/>
        </w:rPr>
        <w:sectPr>
          <w:type w:val="continuous"/>
          <w:pgSz w:w="11900" w:h="16840"/>
          <w:pgMar w:top="1468" w:left="1119" w:right="879" w:bottom="192" w:header="0" w:footer="3" w:gutter="0"/>
          <w:rtlGutter w:val="0"/>
          <w:cols w:space="720"/>
          <w:noEndnote/>
          <w:docGrid w:linePitch="360"/>
        </w:sectPr>
      </w:pPr>
    </w:p>
    <w:p>
      <w:pPr>
        <w:pStyle w:val="Style30"/>
        <w:numPr>
          <w:ilvl w:val="0"/>
          <w:numId w:val="161"/>
        </w:numPr>
        <w:tabs>
          <w:tab w:leader="none" w:pos="734" w:val="left"/>
        </w:tabs>
        <w:widowControl w:val="0"/>
        <w:keepNext w:val="0"/>
        <w:keepLines w:val="0"/>
        <w:shd w:val="clear" w:color="auto" w:fill="auto"/>
        <w:bidi w:val="0"/>
        <w:jc w:val="left"/>
        <w:spacing w:before="0" w:after="0"/>
        <w:ind w:left="720" w:right="0" w:hanging="220"/>
      </w:pPr>
      <w:r>
        <w:rPr>
          <w:lang w:val="ru-RU" w:eastAsia="ru-RU" w:bidi="ru-RU"/>
          <w:w w:val="100"/>
          <w:spacing w:val="0"/>
          <w:color w:val="000000"/>
          <w:position w:val="0"/>
        </w:rPr>
        <w:t xml:space="preserve">по форме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аналогичен полной бло</w:t>
        <w:softHyphen/>
        <w:t>каде левой ветви;</w:t>
      </w:r>
    </w:p>
    <w:p>
      <w:pPr>
        <w:pStyle w:val="Style30"/>
        <w:numPr>
          <w:ilvl w:val="0"/>
          <w:numId w:val="16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пучок Кента расположен справа;</w:t>
      </w:r>
    </w:p>
    <w:p>
      <w:pPr>
        <w:pStyle w:val="Style30"/>
        <w:numPr>
          <w:ilvl w:val="0"/>
          <w:numId w:val="161"/>
        </w:numPr>
        <w:tabs>
          <w:tab w:leader="none" w:pos="734" w:val="left"/>
        </w:tabs>
        <w:widowControl w:val="0"/>
        <w:keepNext w:val="0"/>
        <w:keepLines w:val="0"/>
        <w:shd w:val="clear" w:color="auto" w:fill="auto"/>
        <w:bidi w:val="0"/>
        <w:jc w:val="left"/>
        <w:spacing w:before="0" w:after="0"/>
        <w:ind w:left="720" w:right="0" w:hanging="220"/>
      </w:pPr>
      <w:r>
        <w:rPr>
          <w:lang w:val="ru-RU" w:eastAsia="ru-RU" w:bidi="ru-RU"/>
          <w:w w:val="100"/>
          <w:spacing w:val="0"/>
          <w:color w:val="000000"/>
          <w:position w:val="0"/>
        </w:rPr>
        <w:t>локализацию дополнительного пути с использо</w:t>
        <w:softHyphen/>
        <w:t>ванием ЭКГ можно часто определить путем тща</w:t>
        <w:softHyphen/>
        <w:t>тельного анализа пространственной направленно</w:t>
        <w:softHyphen/>
        <w:t>сти волны дельта на данных ЭКГ с 12 отведениями путем анализа максимально преждевременно воз</w:t>
        <w:softHyphen/>
        <w:t xml:space="preserve">бужденных комплексов </w:t>
      </w:r>
      <w:r>
        <w:rPr>
          <w:lang w:val="en-US" w:eastAsia="en-US" w:bidi="en-US"/>
          <w:w w:val="100"/>
          <w:spacing w:val="0"/>
          <w:color w:val="000000"/>
          <w:position w:val="0"/>
        </w:rPr>
        <w:t>QRS.</w:t>
      </w:r>
    </w:p>
    <w:p>
      <w:pPr>
        <w:pStyle w:val="Style30"/>
        <w:numPr>
          <w:ilvl w:val="0"/>
          <w:numId w:val="159"/>
        </w:numPr>
        <w:tabs>
          <w:tab w:leader="none" w:pos="495"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Суточное холтеровское мониторирование ЭКГ:</w:t>
      </w:r>
    </w:p>
    <w:p>
      <w:pPr>
        <w:pStyle w:val="Style30"/>
        <w:numPr>
          <w:ilvl w:val="0"/>
          <w:numId w:val="16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непрерывный мониторинг сердечного ритма осо</w:t>
        <w:softHyphen/>
        <w:t>бенно полезен, если синдром ВПУ носит транзи- торный характер и не всегда регистрируется на стандартной ЭКГ;</w:t>
      </w:r>
    </w:p>
    <w:p>
      <w:pPr>
        <w:pStyle w:val="Style30"/>
        <w:numPr>
          <w:ilvl w:val="0"/>
          <w:numId w:val="161"/>
        </w:numPr>
        <w:tabs>
          <w:tab w:leader="none" w:pos="734" w:val="left"/>
        </w:tabs>
        <w:widowControl w:val="0"/>
        <w:keepNext w:val="0"/>
        <w:keepLines w:val="0"/>
        <w:shd w:val="clear" w:color="auto" w:fill="auto"/>
        <w:bidi w:val="0"/>
        <w:jc w:val="left"/>
        <w:spacing w:before="0" w:after="0"/>
        <w:ind w:left="720" w:right="0" w:hanging="220"/>
      </w:pPr>
      <w:r>
        <w:rPr>
          <w:lang w:val="ru-RU" w:eastAsia="ru-RU" w:bidi="ru-RU"/>
          <w:w w:val="100"/>
          <w:spacing w:val="0"/>
          <w:color w:val="000000"/>
          <w:position w:val="0"/>
        </w:rPr>
        <w:t>метод позволяет зарегистрировать начало и про</w:t>
        <w:softHyphen/>
        <w:t>должительность приступа СВТ</w:t>
      </w:r>
    </w:p>
    <w:p>
      <w:pPr>
        <w:pStyle w:val="Style30"/>
        <w:numPr>
          <w:ilvl w:val="0"/>
          <w:numId w:val="159"/>
        </w:numPr>
        <w:tabs>
          <w:tab w:leader="none" w:pos="495" w:val="left"/>
        </w:tabs>
        <w:widowControl w:val="0"/>
        <w:keepNext w:val="0"/>
        <w:keepLines w:val="0"/>
        <w:shd w:val="clear" w:color="auto" w:fill="auto"/>
        <w:bidi w:val="0"/>
        <w:jc w:val="left"/>
        <w:spacing w:before="0" w:after="0"/>
        <w:ind w:left="500" w:right="0" w:hanging="240"/>
      </w:pPr>
      <w:r>
        <w:rPr>
          <w:lang w:val="ru-RU" w:eastAsia="ru-RU" w:bidi="ru-RU"/>
          <w:w w:val="100"/>
          <w:spacing w:val="0"/>
          <w:color w:val="000000"/>
          <w:position w:val="0"/>
        </w:rPr>
        <w:t>Распознавание на ЭКГ повторного входа по ретро</w:t>
        <w:softHyphen/>
        <w:t>градному (скрытому) дополнительному пути:</w:t>
      </w:r>
    </w:p>
    <w:p>
      <w:pPr>
        <w:pStyle w:val="Style30"/>
        <w:numPr>
          <w:ilvl w:val="0"/>
          <w:numId w:val="16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обходной тракт, который проводит в одном на</w:t>
        <w:softHyphen/>
        <w:t>правлении только от желудочка в предсердие, не</w:t>
        <w:softHyphen/>
        <w:t>возможно выявить по результатам обычной по</w:t>
        <w:softHyphen/>
        <w:t>верхностной ЭКГ, так как желудочек не является преждевременно возбужденным; следовательно, проявления синдрома ВПУ на ЭКГ отсутствуют;</w:t>
      </w:r>
    </w:p>
    <w:p>
      <w:pPr>
        <w:pStyle w:val="Style30"/>
        <w:numPr>
          <w:ilvl w:val="0"/>
          <w:numId w:val="16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такой обходной путь описывается как скрытый;</w:t>
      </w:r>
    </w:p>
    <w:p>
      <w:pPr>
        <w:pStyle w:val="Style30"/>
        <w:numPr>
          <w:ilvl w:val="0"/>
          <w:numId w:val="16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тахикардия вследствие скрытого пути должна при</w:t>
        <w:softHyphen/>
        <w:t xml:space="preserve">ниматься во внимание, когда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нор</w:t>
        <w:softHyphen/>
        <w:t xml:space="preserve">мальный и ретроградный зубец Р происходит слишком поздно после завершения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в сегменте </w:t>
      </w:r>
      <w:r>
        <w:rPr>
          <w:lang w:val="en-US" w:eastAsia="en-US" w:bidi="en-US"/>
          <w:w w:val="100"/>
          <w:spacing w:val="0"/>
          <w:color w:val="000000"/>
          <w:position w:val="0"/>
        </w:rPr>
        <w:t xml:space="preserve">ST </w:t>
      </w:r>
      <w:r>
        <w:rPr>
          <w:lang w:val="ru-RU" w:eastAsia="ru-RU" w:bidi="ru-RU"/>
          <w:w w:val="100"/>
          <w:spacing w:val="0"/>
          <w:color w:val="000000"/>
          <w:position w:val="0"/>
        </w:rPr>
        <w:t>или даже в зубце Т.</w:t>
      </w:r>
    </w:p>
    <w:p>
      <w:pPr>
        <w:pStyle w:val="Style30"/>
        <w:numPr>
          <w:ilvl w:val="0"/>
          <w:numId w:val="159"/>
        </w:numPr>
        <w:tabs>
          <w:tab w:leader="none" w:pos="495"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Диагноз дополнительных путей:</w:t>
      </w:r>
    </w:p>
    <w:p>
      <w:pPr>
        <w:pStyle w:val="Style30"/>
        <w:numPr>
          <w:ilvl w:val="0"/>
          <w:numId w:val="16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во время желудочковой стимуляции преждевре</w:t>
        <w:softHyphen/>
        <w:t>менная желудочковая стимуляция активирует предсердия до ретроградной деполяризации пучка Гиса. Это свидетельствует о том, что импульс до</w:t>
        <w:softHyphen/>
        <w:t>стиг предсердий до того, как он деполяризовал пу</w:t>
        <w:softHyphen/>
        <w:t>чок Гиса, и, должно быть, прошел по другому пути (обходному тракту);</w:t>
      </w:r>
    </w:p>
    <w:p>
      <w:pPr>
        <w:pStyle w:val="Style30"/>
        <w:numPr>
          <w:ilvl w:val="0"/>
          <w:numId w:val="16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если желудочек можно стимулировать предвари</w:t>
        <w:softHyphen/>
        <w:t>тельно во время тахикардии, когда пучок Гиса реф</w:t>
        <w:softHyphen/>
        <w:t>рактерен и импульс все еще проводится к предсер</w:t>
        <w:softHyphen/>
        <w:t>дию, это говорит о том, что ретроградное распро</w:t>
        <w:softHyphen/>
        <w:t>странение прошло к предсердию по пути, отлич</w:t>
        <w:softHyphen/>
        <w:t>ному от пучка Гиса;</w:t>
      </w:r>
    </w:p>
    <w:p>
      <w:pPr>
        <w:pStyle w:val="Style30"/>
        <w:numPr>
          <w:ilvl w:val="0"/>
          <w:numId w:val="161"/>
        </w:numPr>
        <w:tabs>
          <w:tab w:leader="none" w:pos="734"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если преждевременный желудочковый комплекс деполяризует предсердия без удлинения ВА интер - вала и с той же последовательностью ретроградной активации предсердий, то место стимуляции (т.е. желудочек), можно считать, лежит внутри рецип- рокной цепи, не иннервируя ткани Гиса-Пуркинье или АВ узла, что может увеличить интервал ВА и, следовательно, интервал АА;</w:t>
      </w:r>
    </w:p>
    <w:p>
      <w:pPr>
        <w:pStyle w:val="Style30"/>
        <w:numPr>
          <w:ilvl w:val="0"/>
          <w:numId w:val="161"/>
        </w:numPr>
        <w:tabs>
          <w:tab w:leader="none" w:pos="734" w:val="left"/>
        </w:tabs>
        <w:widowControl w:val="0"/>
        <w:keepNext w:val="0"/>
        <w:keepLines w:val="0"/>
        <w:shd w:val="clear" w:color="auto" w:fill="auto"/>
        <w:bidi w:val="0"/>
        <w:spacing w:before="0" w:after="0"/>
        <w:ind w:left="720" w:right="0" w:hanging="220"/>
        <w:sectPr>
          <w:pgSz w:w="11900" w:h="16840"/>
          <w:pgMar w:top="1599" w:left="908" w:right="6116" w:bottom="207" w:header="0" w:footer="3" w:gutter="0"/>
          <w:rtlGutter w:val="0"/>
          <w:cols w:space="720"/>
          <w:noEndnote/>
          <w:docGrid w:linePitch="360"/>
        </w:sectPr>
      </w:pPr>
      <w:r>
        <w:pict>
          <v:shape id="_x0000_s1806" type="#_x0000_t202" style="position:absolute;margin-left:252.25pt;margin-top:0;width:240.95pt;height:249.6pt;z-index:-125828827;mso-wrap-distance-left:8.4pt;mso-wrap-distance-right:5.pt;mso-position-horizontal-relative:margin;mso-position-vertical-relative:margin" wrapcoords="0 0 21560 0 21560 17308 21600 18819 21600 21600 0 21600 0 0" filled="f" stroked="f">
            <v:textbox style="mso-fit-shape-to-text:t" inset="0,0,0,0">
              <w:txbxContent>
                <w:p>
                  <w:pPr>
                    <w:framePr w:h="4992" w:hSpace="168" w:wrap="around" w:hAnchor="margin" w:x="5046" w:y="1"/>
                    <w:widowControl w:val="0"/>
                    <w:jc w:val="center"/>
                    <w:rPr>
                      <w:sz w:val="2"/>
                      <w:szCs w:val="2"/>
                    </w:rPr>
                  </w:pPr>
                  <w:r>
                    <w:pict>
                      <v:shape id="_x0000_s1807" type="#_x0000_t75" style="width:241pt;height:250pt;">
                        <v:imagedata r:id="rId1269" r:href="rId1270"/>
                      </v:shape>
                    </w:pict>
                  </w:r>
                </w:p>
                <w:p>
                  <w:pPr>
                    <w:pStyle w:val="Style33"/>
                    <w:widowControl w:val="0"/>
                    <w:keepNext w:val="0"/>
                    <w:keepLines w:val="0"/>
                    <w:shd w:val="clear" w:color="auto" w:fill="auto"/>
                    <w:bidi w:val="0"/>
                    <w:jc w:val="both"/>
                    <w:spacing w:before="0" w:after="0" w:line="206" w:lineRule="exact"/>
                    <w:ind w:left="0" w:right="0" w:firstLine="0"/>
                  </w:pPr>
                  <w:r>
                    <w:rPr>
                      <w:rStyle w:val="CharStyle34"/>
                    </w:rPr>
                    <w:t xml:space="preserve">Рис. 97. Феномен ВПУ, тип А, Д-волна и комплекс </w:t>
                  </w:r>
                  <w:r>
                    <w:rPr>
                      <w:rStyle w:val="CharStyle34"/>
                      <w:lang w:val="en-US" w:eastAsia="en-US" w:bidi="en-US"/>
                    </w:rPr>
                    <w:t xml:space="preserve">QRS </w:t>
                  </w:r>
                  <w:r>
                    <w:rPr>
                      <w:rStyle w:val="CharStyle34"/>
                    </w:rPr>
                    <w:t>направле</w:t>
                    <w:softHyphen/>
                    <w:t xml:space="preserve">ны вверх в отведениях </w:t>
                  </w:r>
                  <w:r>
                    <w:rPr>
                      <w:rStyle w:val="CharStyle34"/>
                      <w:lang w:val="en-US" w:eastAsia="en-US" w:bidi="en-US"/>
                    </w:rPr>
                    <w:t xml:space="preserve">Vj-V6, PR </w:t>
                  </w:r>
                  <w:r>
                    <w:rPr>
                      <w:rStyle w:val="CharStyle34"/>
                    </w:rPr>
                    <w:t xml:space="preserve">укорочен, форма комплекса </w:t>
                  </w:r>
                  <w:r>
                    <w:rPr>
                      <w:rStyle w:val="CharStyle34"/>
                      <w:lang w:val="en-US" w:eastAsia="en-US" w:bidi="en-US"/>
                    </w:rPr>
                    <w:t xml:space="preserve">QRS </w:t>
                  </w:r>
                  <w:r>
                    <w:rPr>
                      <w:rStyle w:val="CharStyle34"/>
                    </w:rPr>
                    <w:t xml:space="preserve">в отведении </w:t>
                  </w:r>
                  <w:r>
                    <w:rPr>
                      <w:rStyle w:val="CharStyle34"/>
                      <w:lang w:val="en-US" w:eastAsia="en-US" w:bidi="en-US"/>
                    </w:rPr>
                    <w:t xml:space="preserve">Vj </w:t>
                  </w:r>
                  <w:r>
                    <w:rPr>
                      <w:rStyle w:val="CharStyle34"/>
                    </w:rPr>
                    <w:t>напоминает блокаду правой ножки пучка Ги</w:t>
                    <w:softHyphen/>
                    <w:t>са.</w:t>
                  </w:r>
                </w:p>
              </w:txbxContent>
            </v:textbox>
            <w10:wrap type="square" side="left" anchorx="margin" anchory="margin"/>
          </v:shape>
        </w:pict>
      </w:r>
      <w:r>
        <w:pict>
          <v:shape id="_x0000_s1808" type="#_x0000_t202" style="position:absolute;margin-left:252.25pt;margin-top:341.5pt;width:236.15pt;height:174.25pt;z-index:-125828826;mso-wrap-distance-left:8.4pt;mso-wrap-distance-right:5.pt;mso-position-horizontal-relative:margin;mso-position-vertical-relative:margin" wrapcoords="107 0 21255 0 21255 15950 21600 17864 21600 21600 0 21600 0 17864 107 15950 107 0" filled="f" stroked="f">
            <v:textbox style="mso-fit-shape-to-text:t" inset="0,0,0,0">
              <w:txbxContent>
                <w:p>
                  <w:pPr>
                    <w:framePr w:h="3485" w:hSpace="168" w:wrap="around" w:hAnchor="margin" w:x="5046" w:y="6831"/>
                    <w:widowControl w:val="0"/>
                    <w:jc w:val="center"/>
                    <w:rPr>
                      <w:sz w:val="2"/>
                      <w:szCs w:val="2"/>
                    </w:rPr>
                  </w:pPr>
                  <w:r>
                    <w:pict>
                      <v:shape id="_x0000_s1809" type="#_x0000_t75" style="width:236pt;height:174pt;">
                        <v:imagedata r:id="rId1271" r:href="rId1272"/>
                      </v:shape>
                    </w:pict>
                  </w:r>
                </w:p>
                <w:p>
                  <w:pPr>
                    <w:pStyle w:val="Style33"/>
                    <w:widowControl w:val="0"/>
                    <w:keepNext w:val="0"/>
                    <w:keepLines w:val="0"/>
                    <w:shd w:val="clear" w:color="auto" w:fill="auto"/>
                    <w:bidi w:val="0"/>
                    <w:jc w:val="both"/>
                    <w:spacing w:before="0" w:after="0" w:line="202" w:lineRule="exact"/>
                    <w:ind w:left="0" w:right="0" w:firstLine="0"/>
                  </w:pPr>
                  <w:r>
                    <w:rPr>
                      <w:rStyle w:val="CharStyle34"/>
                    </w:rPr>
                    <w:t>Рис. 98. Феномен ВПУ, тип В, Д-волна и основной зубец комплек</w:t>
                    <w:softHyphen/>
                    <w:t xml:space="preserve">са </w:t>
                  </w:r>
                  <w:r>
                    <w:rPr>
                      <w:rStyle w:val="CharStyle34"/>
                      <w:lang w:val="en-US" w:eastAsia="en-US" w:bidi="en-US"/>
                    </w:rPr>
                    <w:t xml:space="preserve">QRS </w:t>
                  </w:r>
                  <w:r>
                    <w:rPr>
                      <w:rStyle w:val="CharStyle34"/>
                    </w:rPr>
                    <w:t xml:space="preserve">направлены в отведении </w:t>
                  </w:r>
                  <w:r>
                    <w:rPr>
                      <w:rStyle w:val="CharStyle34"/>
                      <w:lang w:val="en-US" w:eastAsia="en-US" w:bidi="en-US"/>
                    </w:rPr>
                    <w:t>V</w:t>
                  </w:r>
                  <w:r>
                    <w:rPr>
                      <w:rStyle w:val="CharStyle34"/>
                      <w:lang w:val="en-US" w:eastAsia="en-US" w:bidi="en-US"/>
                      <w:vertAlign w:val="subscript"/>
                    </w:rPr>
                    <w:t>1</w:t>
                  </w:r>
                  <w:r>
                    <w:rPr>
                      <w:rStyle w:val="CharStyle34"/>
                      <w:lang w:val="en-US" w:eastAsia="en-US" w:bidi="en-US"/>
                    </w:rPr>
                    <w:t xml:space="preserve"> </w:t>
                  </w:r>
                  <w:r>
                    <w:rPr>
                      <w:rStyle w:val="CharStyle34"/>
                    </w:rPr>
                    <w:t xml:space="preserve">— вниз, в отведениях </w:t>
                  </w:r>
                  <w:r>
                    <w:rPr>
                      <w:rStyle w:val="CharStyle34"/>
                      <w:lang w:val="en-US" w:eastAsia="en-US" w:bidi="en-US"/>
                    </w:rPr>
                    <w:t>V</w:t>
                  </w:r>
                  <w:r>
                    <w:rPr>
                      <w:rStyle w:val="CharStyle34"/>
                      <w:lang w:val="en-US" w:eastAsia="en-US" w:bidi="en-US"/>
                      <w:vertAlign w:val="subscript"/>
                    </w:rPr>
                    <w:t>3</w:t>
                  </w:r>
                  <w:r>
                    <w:rPr>
                      <w:rStyle w:val="CharStyle34"/>
                      <w:lang w:val="en-US" w:eastAsia="en-US" w:bidi="en-US"/>
                    </w:rPr>
                    <w:t xml:space="preserve">-V6 </w:t>
                  </w:r>
                  <w:r>
                    <w:rPr>
                      <w:rStyle w:val="CharStyle34"/>
                    </w:rPr>
                    <w:t xml:space="preserve">— вверх, форма комплекса </w:t>
                  </w:r>
                  <w:r>
                    <w:rPr>
                      <w:rStyle w:val="CharStyle34"/>
                      <w:lang w:val="en-US" w:eastAsia="en-US" w:bidi="en-US"/>
                    </w:rPr>
                    <w:t xml:space="preserve">QRS </w:t>
                  </w:r>
                  <w:r>
                    <w:rPr>
                      <w:rStyle w:val="CharStyle34"/>
                    </w:rPr>
                    <w:t>напоминает блокаду левой ножки пучка Гиса.</w:t>
                  </w:r>
                </w:p>
              </w:txbxContent>
            </v:textbox>
            <w10:wrap type="square" side="left" anchorx="margin" anchory="margin"/>
          </v:shape>
        </w:pict>
      </w:r>
      <w:r>
        <w:pict>
          <v:shape id="_x0000_s1810" type="#_x0000_t202" style="position:absolute;margin-left:286.3pt;margin-top:612.7pt;width:206.9pt;height:56.85pt;z-index:-125828825;mso-wrap-distance-left:42.5pt;mso-wrap-distance-right:5.pt;mso-position-horizontal-relative:margin;mso-position-vertical-relative:margin" filled="f" stroked="f">
            <v:textbox style="mso-fit-shape-to-text:t" inset="0,0,0,0">
              <w:txbxContent>
                <w:p>
                  <w:pPr>
                    <w:pStyle w:val="Style30"/>
                    <w:widowControl w:val="0"/>
                    <w:keepNext w:val="0"/>
                    <w:keepLines w:val="0"/>
                    <w:shd w:val="clear" w:color="auto" w:fill="auto"/>
                    <w:bidi w:val="0"/>
                    <w:spacing w:before="0" w:after="0"/>
                    <w:ind w:left="0" w:right="0" w:firstLine="0"/>
                  </w:pPr>
                  <w:r>
                    <w:rPr>
                      <w:rStyle w:val="CharStyle90"/>
                    </w:rPr>
                    <w:t>желудочковых комплексов и во время тахикардии при отсутствии аберрации. Сходные короткие ин</w:t>
                    <w:softHyphen/>
                    <w:t>тервалы ВА можно наблюдать у некоторых паци</w:t>
                    <w:softHyphen/>
                    <w:t xml:space="preserve">ентов во время АВ узлового повторного входа, но если время проведения А или интервал </w:t>
                  </w:r>
                  <w:r>
                    <w:rPr>
                      <w:rStyle w:val="CharStyle90"/>
                      <w:lang w:val="en-US" w:eastAsia="en-US" w:bidi="en-US"/>
                    </w:rPr>
                    <w:t>R</w:t>
                  </w:r>
                  <w:r>
                    <w:rPr>
                      <w:rStyle w:val="CharStyle90"/>
                    </w:rPr>
                    <w:t>-Р яв-</w:t>
                  </w:r>
                </w:p>
              </w:txbxContent>
            </v:textbox>
            <w10:wrap type="square" side="left" anchorx="margin" anchory="margin"/>
          </v:shape>
        </w:pict>
      </w:r>
      <w:r>
        <w:rPr>
          <w:lang w:val="ru-RU" w:eastAsia="ru-RU" w:bidi="ru-RU"/>
          <w:w w:val="100"/>
          <w:spacing w:val="0"/>
          <w:color w:val="000000"/>
          <w:position w:val="0"/>
        </w:rPr>
        <w:t>кроме того, если преждевременный желудочковый комплекс доставлен во время, когда пучок Гиса ре</w:t>
        <w:softHyphen/>
        <w:t>фрактерен заканчивает тахикардию без ретроград</w:t>
        <w:softHyphen/>
        <w:t>ной активации предсердий, то он скорее всего он наиболее вероятно захватил, и в которых он забло</w:t>
        <w:softHyphen/>
        <w:t>кировался в дополнительном пути. Интервал ВА (измерение проводимости по дополнительному пути) обычно является постоянным при широком диапазоне стимулированных сокращений желу</w:t>
        <w:softHyphen/>
        <w:t>дочка и интервалы сцепления преждевременных</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60" w:after="60" w:line="240" w:lineRule="exact"/>
        <w:rPr>
          <w:sz w:val="19"/>
          <w:szCs w:val="19"/>
        </w:rPr>
      </w:pPr>
    </w:p>
    <w:p>
      <w:pPr>
        <w:widowControl w:val="0"/>
        <w:rPr>
          <w:sz w:val="2"/>
          <w:szCs w:val="2"/>
        </w:rPr>
        <w:sectPr>
          <w:type w:val="continuous"/>
          <w:pgSz w:w="11900" w:h="16840"/>
          <w:pgMar w:top="1497" w:left="0" w:right="0" w:bottom="192" w:header="0" w:footer="3" w:gutter="0"/>
          <w:rtlGutter w:val="0"/>
          <w:cols w:space="720"/>
          <w:noEndnote/>
          <w:docGrid w:linePitch="360"/>
        </w:sectPr>
      </w:pPr>
    </w:p>
    <w:p>
      <w:pPr>
        <w:widowControl w:val="0"/>
        <w:spacing w:line="645" w:lineRule="exact"/>
      </w:pPr>
      <w:r>
        <w:pict>
          <v:shape id="_x0000_s1811" type="#_x0000_t75" style="position:absolute;margin-left:147.35pt;margin-top:0;width:209.75pt;height:14.9pt;z-index:-251658638;mso-wrap-distance-left:5.pt;mso-wrap-distance-right:5.pt;mso-position-horizontal-relative:margin" wrapcoords="0 0">
            <v:imagedata r:id="rId1273" r:href="rId1274"/>
            <w10:wrap anchorx="margin"/>
          </v:shape>
        </w:pict>
      </w:r>
    </w:p>
    <w:p>
      <w:pPr>
        <w:widowControl w:val="0"/>
        <w:rPr>
          <w:sz w:val="2"/>
          <w:szCs w:val="2"/>
        </w:rPr>
        <w:sectPr>
          <w:type w:val="continuous"/>
          <w:pgSz w:w="11900" w:h="16840"/>
          <w:pgMar w:top="1497" w:left="908" w:right="1119" w:bottom="192" w:header="0" w:footer="3" w:gutter="0"/>
          <w:rtlGutter w:val="0"/>
          <w:cols w:space="720"/>
          <w:noEndnote/>
          <w:docGrid w:linePitch="360"/>
        </w:sectPr>
      </w:pPr>
    </w:p>
    <w:p>
      <w:pPr>
        <w:widowControl w:val="0"/>
        <w:rPr>
          <w:sz w:val="2"/>
          <w:szCs w:val="2"/>
        </w:rPr>
      </w:pPr>
      <w:r>
        <w:pict>
          <v:shape id="_x0000_s1812" type="#_x0000_t75" style="position:absolute;margin-left:130.45pt;margin-top:734.15pt;width:209.75pt;height:14.9pt;z-index:-125828824;mso-wrap-distance-left:124.3pt;mso-wrap-distance-right:148.3pt;mso-wrap-distance-bottom:10.8pt;mso-position-horizontal-relative:margin" wrapcoords="0 0 21600 0 21600 21600 0 21600 0 0">
            <v:imagedata r:id="rId1275" r:href="rId1276"/>
            <w10:wrap type="topAndBottom" anchorx="margin"/>
          </v:shape>
        </w:pict>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ляется таким же во время тахикардии и вентрику</w:t>
        <w:softHyphen/>
        <w:t xml:space="preserve">лярной стимуляции при сравнимых частотах, то почти наверняка присутствует дополнительный путь. Интервал ВА обычно составляет менее 50% интервала </w:t>
      </w:r>
      <w:r>
        <w:rPr>
          <w:lang w:val="en-US" w:eastAsia="en-US" w:bidi="en-US"/>
          <w:w w:val="100"/>
          <w:spacing w:val="0"/>
          <w:color w:val="000000"/>
          <w:position w:val="0"/>
        </w:rPr>
        <w:t>R-R;</w:t>
      </w:r>
    </w:p>
    <w:p>
      <w:pPr>
        <w:pStyle w:val="Style30"/>
        <w:numPr>
          <w:ilvl w:val="0"/>
          <w:numId w:val="16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тахикардия может быть легко инициирована преж</w:t>
        <w:softHyphen/>
        <w:t>девременной желудочковой стимуляцией, которая проводится ретроградно в дополнительном пути, но блокируется в АВ узле или пучке Гиса. Для предсердий и желудочков требуются компо</w:t>
        <w:softHyphen/>
        <w:t>ненты макрореентрантного контура; поэтому про</w:t>
        <w:softHyphen/>
        <w:t>должение тахикардии в присутствии АВ или ВА блокады исключает дополнительный АВ путь как часть реентрантной цепи.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 Тестирование с физической нагрузкой:</w:t>
      </w:r>
    </w:p>
    <w:p>
      <w:pPr>
        <w:pStyle w:val="Style30"/>
        <w:numPr>
          <w:ilvl w:val="0"/>
          <w:numId w:val="16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этот вспомогательный тест можно использовать для (1) провоцирования преходящей пароксиз</w:t>
        <w:softHyphen/>
        <w:t>мальной аритмии, (2) документирования взаимо</w:t>
        <w:softHyphen/>
        <w:t>связи между нагрузкой и началом тахикардии (3) оценки эффективности терапии и (4) для оценки неблагоприятных/побочных ответов;</w:t>
      </w:r>
    </w:p>
    <w:p>
      <w:pPr>
        <w:pStyle w:val="Style30"/>
        <w:numPr>
          <w:ilvl w:val="0"/>
          <w:numId w:val="161"/>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тестирование с нагрузкой позволяет получить представление и лучше понять рефрактерные пе</w:t>
        <w:softHyphen/>
        <w:t>риоды: дополнительных путей у пациентов с синд</w:t>
        <w:softHyphen/>
        <w:t>ромом ВПУ.</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Процедуры</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Внутрисердечные ЭФИ:</w:t>
      </w:r>
    </w:p>
    <w:p>
      <w:pPr>
        <w:pStyle w:val="Style30"/>
        <w:numPr>
          <w:ilvl w:val="0"/>
          <w:numId w:val="15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ЭФИ проводятся в лаборатории электрофизиоло</w:t>
        <w:softHyphen/>
        <w:t>гии сердца. Используя многокатетерные электрод</w:t>
        <w:softHyphen/>
        <w:t>ные системы, можно вести одновременную запись из многих внутрисердечных мест, облегчая разгра</w:t>
        <w:softHyphen/>
        <w:t>ничение последовательности деполяризации и проведения импульсов в предсердиях, АВ соеди</w:t>
        <w:softHyphen/>
        <w:t>нении и желудочке.</w:t>
      </w:r>
    </w:p>
    <w:p>
      <w:pPr>
        <w:pStyle w:val="Style30"/>
        <w:numPr>
          <w:ilvl w:val="0"/>
          <w:numId w:val="15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ЭФИ можно использовать у пациентов с синдро</w:t>
        <w:softHyphen/>
        <w:t>мом ВПУ для определения (1) механизма клиниче</w:t>
        <w:softHyphen/>
        <w:t>ской аритмии, (2) ЭФ свойств (например, способ</w:t>
        <w:softHyphen/>
        <w:t>ность проведения, рефрактерные периоды:) допол</w:t>
        <w:softHyphen/>
        <w:t>нительных путей и нормальный проводящих сис</w:t>
        <w:softHyphen/>
        <w:t>тем, (3) количества и локализации дополнитель</w:t>
        <w:softHyphen/>
        <w:t>ных путей (что необходимо для катетерной абла</w:t>
        <w:softHyphen/>
        <w:t>ции) и (4) ответа на фармакологическую или абла- ционную терапию.</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Показания к проведению ЭФИ у пациентов с синдро</w:t>
        <w:softHyphen/>
        <w:t>мом ВПУ в соответствии с рекомендациями Американ</w:t>
        <w:softHyphen/>
        <w:t>ской кардиологической ассоциации:</w:t>
      </w:r>
    </w:p>
    <w:p>
      <w:pPr>
        <w:pStyle w:val="Style30"/>
        <w:numPr>
          <w:ilvl w:val="0"/>
          <w:numId w:val="15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Показания класса I включают (1) пациентов, про</w:t>
        <w:softHyphen/>
        <w:t>ходящих оценку на возможность катетерной абла</w:t>
        <w:softHyphen/>
        <w:t>ции или хирургической аблации дополнительного пути, (2) пациентов с преждевременным возбужде</w:t>
        <w:softHyphen/>
        <w:t>нием желудочков, которые пережили остановку сердца или у которых имеются обмороки необъяс</w:t>
        <w:softHyphen/>
        <w:t>нимого генеза, и (3) симптоматичных пациентов, у которых определение механизма аритмии или знание особенностей ЭФ дополнительного пути и нормальной проводящей системы: поможет вы</w:t>
        <w:softHyphen/>
        <w:t>работать правильную тактику лечения.</w:t>
      </w:r>
    </w:p>
    <w:p>
      <w:pPr>
        <w:pStyle w:val="Style30"/>
        <w:numPr>
          <w:ilvl w:val="0"/>
          <w:numId w:val="159"/>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Показания класса II включают (1) бессимптомных пациентов с наличием в семейном анамнезе вне</w:t>
        <w:softHyphen/>
        <w:t>запной сердечной смерти или с преждевременным возбуждением желудочков, но без спонтанной аритмии, профессиональная деятельность кото</w:t>
        <w:softHyphen/>
        <w:br w:type="column"/>
        <w:t>рых связана с повышенным риском и у которых знание особенностей ЭФ дополнительного пути или индуцибельной тахикардии может помочь оп</w:t>
        <w:softHyphen/>
        <w:t>ределить рекомендации по дальнейшей деятельно - сти или терапии, и (2) пациентов с преждевремен</w:t>
        <w:softHyphen/>
        <w:t>ным возбуждением желудочков, проходящих опе</w:t>
        <w:softHyphen/>
        <w:t>рацию на сердце по другим причинам.</w:t>
      </w:r>
    </w:p>
    <w:p>
      <w:pPr>
        <w:pStyle w:val="Style30"/>
        <w:numPr>
          <w:ilvl w:val="0"/>
          <w:numId w:val="159"/>
        </w:numPr>
        <w:tabs>
          <w:tab w:leader="none" w:pos="533"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Показания класса III включают бессимптомных па</w:t>
        <w:softHyphen/>
        <w:t>циентов с преждевременным возбуждением желу</w:t>
        <w:softHyphen/>
        <w:t xml:space="preserve">дочков, кроме пациентов, относящихся к классу </w:t>
      </w:r>
      <w:r>
        <w:rPr>
          <w:lang w:val="en-US" w:eastAsia="en-US" w:bidi="en-US"/>
          <w:w w:val="100"/>
          <w:spacing w:val="0"/>
          <w:color w:val="000000"/>
          <w:position w:val="0"/>
        </w:rPr>
        <w:t>II.</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ЭФ особенности преждевременного возбуждения:</w:t>
      </w:r>
    </w:p>
    <w:p>
      <w:pPr>
        <w:pStyle w:val="Style30"/>
        <w:numPr>
          <w:ilvl w:val="0"/>
          <w:numId w:val="159"/>
        </w:numPr>
        <w:tabs>
          <w:tab w:leader="none" w:pos="533"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Если дополнительный обходной путь типа пучка Кента (АВ) проводит в антеградном направлении, то импульс может потенциально пройти по 2 па</w:t>
        <w:softHyphen/>
        <w:t>раллельным путям. Первым является основной путь проведения, которому свойственна физиоло</w:t>
        <w:softHyphen/>
        <w:t>гическая задержка импульса по АВ узлу. Вторым является обходной тракт (пучок Кента), который позволяет импульсу проходить непосредственно без задержки из предсердия к желудочку.</w:t>
      </w:r>
    </w:p>
    <w:p>
      <w:pPr>
        <w:pStyle w:val="Style30"/>
        <w:numPr>
          <w:ilvl w:val="0"/>
          <w:numId w:val="159"/>
        </w:numPr>
        <w:tabs>
          <w:tab w:leader="none" w:pos="533"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Этот механизм двойного пути производит уни</w:t>
        <w:softHyphen/>
        <w:t xml:space="preserve">кальный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представляющий собой форму «сливных» сокращений вследствие деполя</w:t>
        <w:softHyphen/>
        <w:t>ризации желудочка от этих 2 путей.</w:t>
      </w:r>
    </w:p>
    <w:p>
      <w:pPr>
        <w:pStyle w:val="Style30"/>
        <w:numPr>
          <w:ilvl w:val="0"/>
          <w:numId w:val="159"/>
        </w:numPr>
        <w:tabs>
          <w:tab w:leader="none" w:pos="533"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Дельта-волна возникает вследствие активации же</w:t>
        <w:softHyphen/>
        <w:t>лудочков импульсом, проходящим по дополни</w:t>
        <w:softHyphen/>
        <w:t>тельному пути.</w:t>
      </w:r>
    </w:p>
    <w:p>
      <w:pPr>
        <w:pStyle w:val="Style30"/>
        <w:numPr>
          <w:ilvl w:val="0"/>
          <w:numId w:val="159"/>
        </w:numPr>
        <w:tabs>
          <w:tab w:leader="none" w:pos="533"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Размер вклада в деполяризацию желудочков фрон</w:t>
        <w:softHyphen/>
        <w:t>та волны по каждому пути различается следующим образом:</w:t>
      </w:r>
    </w:p>
    <w:p>
      <w:pPr>
        <w:pStyle w:val="Style30"/>
        <w:numPr>
          <w:ilvl w:val="0"/>
          <w:numId w:val="161"/>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если задержка АВ проведения происходит из быс</w:t>
        <w:softHyphen/>
        <w:t>трого предсердного задающего ритма или прежде</w:t>
        <w:softHyphen/>
        <w:t xml:space="preserve">временного предсердного комплекса, то большая часть желудочка активируется по обходному тракту и </w:t>
      </w:r>
      <w:r>
        <w:rPr>
          <w:lang w:val="en-US" w:eastAsia="en-US" w:bidi="en-US"/>
          <w:w w:val="100"/>
          <w:spacing w:val="0"/>
          <w:color w:val="000000"/>
          <w:position w:val="0"/>
        </w:rPr>
        <w:t xml:space="preserve">QRS </w:t>
      </w:r>
      <w:r>
        <w:rPr>
          <w:lang w:val="ru-RU" w:eastAsia="ru-RU" w:bidi="ru-RU"/>
          <w:w w:val="100"/>
          <w:spacing w:val="0"/>
          <w:color w:val="000000"/>
          <w:position w:val="0"/>
        </w:rPr>
        <w:t>становится более аномальным по форме;</w:t>
      </w:r>
    </w:p>
    <w:p>
      <w:pPr>
        <w:pStyle w:val="Style30"/>
        <w:numPr>
          <w:ilvl w:val="0"/>
          <w:numId w:val="161"/>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 другой стороны, если обходной тракт находится далеко от синусового узла (как при наличии лево</w:t>
        <w:softHyphen/>
        <w:t>го бокового пути) или если АВ -узловое проведение является быстрым, большая часть желудочка акти</w:t>
        <w:softHyphen/>
        <w:t>вируется по нормальному пути;</w:t>
      </w:r>
    </w:p>
    <w:p>
      <w:pPr>
        <w:pStyle w:val="Style30"/>
        <w:numPr>
          <w:ilvl w:val="0"/>
          <w:numId w:val="161"/>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нормальный «сливной» толчок во время синусо</w:t>
        <w:softHyphen/>
        <w:t xml:space="preserve">вого ритма имеет короткий или отрицательный </w:t>
      </w:r>
      <w:r>
        <w:rPr>
          <w:lang w:val="en-US" w:eastAsia="en-US" w:bidi="en-US"/>
          <w:w w:val="100"/>
          <w:spacing w:val="0"/>
          <w:color w:val="000000"/>
          <w:position w:val="0"/>
        </w:rPr>
        <w:t xml:space="preserve">HV </w:t>
      </w:r>
      <w:r>
        <w:rPr>
          <w:lang w:val="ru-RU" w:eastAsia="ru-RU" w:bidi="ru-RU"/>
          <w:w w:val="100"/>
          <w:spacing w:val="0"/>
          <w:color w:val="000000"/>
          <w:position w:val="0"/>
        </w:rPr>
        <w:t>интервал. Это происходит из-за того, что актива</w:t>
        <w:softHyphen/>
        <w:t>ция пучка Гиса начинается позднее, чем активация желудочка от обходного импульса, в то время как импульс, проходящий по АВ узлу, как раз достига</w:t>
        <w:softHyphen/>
        <w:t xml:space="preserve">ет пучка Гиса. Стимуляция предсердия быстро, с преждевременными интервалами акцентуирует аномальную желудочковую деполяризацию и еще более укорачивает </w:t>
      </w:r>
      <w:r>
        <w:rPr>
          <w:lang w:val="en-US" w:eastAsia="en-US" w:bidi="en-US"/>
          <w:w w:val="100"/>
          <w:spacing w:val="0"/>
          <w:color w:val="000000"/>
          <w:position w:val="0"/>
        </w:rPr>
        <w:t xml:space="preserve">HV </w:t>
      </w:r>
      <w:r>
        <w:rPr>
          <w:lang w:val="ru-RU" w:eastAsia="ru-RU" w:bidi="ru-RU"/>
          <w:w w:val="100"/>
          <w:spacing w:val="0"/>
          <w:color w:val="000000"/>
          <w:position w:val="0"/>
        </w:rPr>
        <w:t>интервал.</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Распознавание и локализация дополнительных путей при помощи ЭФИ:</w:t>
      </w:r>
    </w:p>
    <w:p>
      <w:pPr>
        <w:pStyle w:val="Style30"/>
        <w:numPr>
          <w:ilvl w:val="0"/>
          <w:numId w:val="159"/>
        </w:numPr>
        <w:tabs>
          <w:tab w:leader="none" w:pos="533"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Когда ретроградная предсердная активация во вре</w:t>
        <w:softHyphen/>
        <w:t>мя тахикардии происходит по дополнительному пути, который соединяет левое предсердие с ле</w:t>
        <w:softHyphen/>
        <w:t>вым желудочком, самая ранняя ретроградная ак</w:t>
        <w:softHyphen/>
        <w:t>тивация записывается от электрода левого пред</w:t>
        <w:softHyphen/>
        <w:t>сердия (который обычно располагается в венечном синусе). Это является левым боковым путем.</w:t>
      </w:r>
    </w:p>
    <w:p>
      <w:pPr>
        <w:pStyle w:val="Style30"/>
        <w:numPr>
          <w:ilvl w:val="0"/>
          <w:numId w:val="159"/>
        </w:numPr>
        <w:tabs>
          <w:tab w:leader="none" w:pos="533"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Когда ретроградная предсердная активация во вре</w:t>
        <w:softHyphen/>
        <w:t>мя тахикардии происходит по дополнительному пути, который соединяет правый желудочек с пра-</w:t>
      </w:r>
      <w:r>
        <w:br w:type="page"/>
      </w:r>
    </w:p>
    <w:p>
      <w:pPr>
        <w:pStyle w:val="Style30"/>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вым предсердием, самая ранняя ретроградная предсердная активность обычно регистрируется от бокового электрода правого предсердия. Это явля</w:t>
        <w:softHyphen/>
        <w:t>ется путем свободной стенки правого желудочка.</w:t>
      </w:r>
    </w:p>
    <w:p>
      <w:pPr>
        <w:pStyle w:val="Style30"/>
        <w:numPr>
          <w:ilvl w:val="0"/>
          <w:numId w:val="159"/>
        </w:numPr>
        <w:tabs>
          <w:tab w:leader="none" w:pos="51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Участие перегородочного дополнительного пути создает самую раннюю ретроградную предсердную активацию в нижнем правом предсердии, распо</w:t>
        <w:softHyphen/>
        <w:t>ложенном рядом с перегородкой, спереди или сза</w:t>
        <w:softHyphen/>
        <w:t>ди в зависимости от места установки электрода.</w:t>
      </w:r>
    </w:p>
    <w:p>
      <w:pPr>
        <w:pStyle w:val="Style30"/>
        <w:numPr>
          <w:ilvl w:val="0"/>
          <w:numId w:val="159"/>
        </w:numPr>
        <w:tabs>
          <w:tab w:leader="none" w:pos="51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Методы картирования при помощи внутривенных катетеров, установленных во время хирургическо</w:t>
        <w:softHyphen/>
        <w:t>го вмешательства, способствуют получению точ</w:t>
        <w:softHyphen/>
        <w:t>ных оценок положения дополнительного пути. За</w:t>
        <w:softHyphen/>
        <w:t>пись электрической активности непосредственно от дополнительного пути безусловно обеспечивает наиболее точную локализацию.</w:t>
      </w:r>
    </w:p>
    <w:p>
      <w:pPr>
        <w:pStyle w:val="Style30"/>
        <w:widowControl w:val="0"/>
        <w:keepNext w:val="0"/>
        <w:keepLines w:val="0"/>
        <w:shd w:val="clear" w:color="auto" w:fill="auto"/>
        <w:bidi w:val="0"/>
        <w:spacing w:before="0" w:after="0"/>
        <w:ind w:left="0" w:right="180" w:firstLine="0"/>
      </w:pPr>
      <w:r>
        <w:rPr>
          <w:lang w:val="ru-RU" w:eastAsia="ru-RU" w:bidi="ru-RU"/>
          <w:w w:val="100"/>
          <w:spacing w:val="0"/>
          <w:color w:val="000000"/>
          <w:position w:val="0"/>
        </w:rPr>
        <w:t>Ретроградная предсердная активация по дополнитель</w:t>
        <w:softHyphen/>
        <w:t>ному пути при ЭФ-исследованиях:</w:t>
      </w:r>
    </w:p>
    <w:p>
      <w:pPr>
        <w:pStyle w:val="Style30"/>
        <w:numPr>
          <w:ilvl w:val="0"/>
          <w:numId w:val="159"/>
        </w:numPr>
        <w:tabs>
          <w:tab w:leader="none" w:pos="51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Ее можно подтвердить индуцированием прежде</w:t>
        <w:softHyphen/>
        <w:t>временных желудочковых комплексов во время та</w:t>
        <w:softHyphen/>
        <w:t>хикардии для определения, может ли произойти ретроградное возбуждение предсердия из желудоч</w:t>
        <w:softHyphen/>
        <w:t>ка в то время, когда пучок Гиса рефрактерен.</w:t>
      </w:r>
    </w:p>
    <w:p>
      <w:pPr>
        <w:pStyle w:val="Style30"/>
        <w:numPr>
          <w:ilvl w:val="0"/>
          <w:numId w:val="159"/>
        </w:numPr>
        <w:tabs>
          <w:tab w:leader="none" w:pos="51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Вследствие того, что ВА проведение не может про</w:t>
        <w:softHyphen/>
        <w:t>изойти по нормальной системе проведения из-за рефрактерности пучка Гиса, должен присутство</w:t>
        <w:softHyphen/>
        <w:t>вать дополнительный путь, чтобы предсердия ста</w:t>
        <w:softHyphen/>
        <w:t>ли возбужденными, и наиболее вероятно прини</w:t>
        <w:softHyphen/>
        <w:t>мать участие в цепи тахикардии.</w:t>
      </w:r>
    </w:p>
    <w:p>
      <w:pPr>
        <w:pStyle w:val="Style30"/>
        <w:numPr>
          <w:ilvl w:val="0"/>
          <w:numId w:val="159"/>
        </w:numPr>
        <w:tabs>
          <w:tab w:leader="none" w:pos="51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Полезными могут быть следующие параметры:</w:t>
      </w:r>
    </w:p>
    <w:p>
      <w:pPr>
        <w:pStyle w:val="Style30"/>
        <w:numPr>
          <w:ilvl w:val="0"/>
          <w:numId w:val="161"/>
        </w:numPr>
        <w:tabs>
          <w:tab w:leader="none" w:pos="682" w:val="left"/>
        </w:tabs>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у пациентов с реципрокной тахикардией вслед</w:t>
        <w:softHyphen/>
        <w:t>ствие дополнительного АВ обходного тракта почти всегда имеется ВА интервал продолжительностью более 70 миллисекунд, измеряемый от наступле</w:t>
        <w:softHyphen/>
        <w:t>ния активации желудочка до начала предсердной активности, что регистрируется на пищеводном отведении, или более 95 миллисекунд при измере</w:t>
        <w:softHyphen/>
        <w:t>нии к верхне-правому предсердию;</w:t>
      </w:r>
    </w:p>
    <w:p>
      <w:pPr>
        <w:pStyle w:val="Style30"/>
        <w:numPr>
          <w:ilvl w:val="0"/>
          <w:numId w:val="161"/>
        </w:numPr>
        <w:tabs>
          <w:tab w:leader="none" w:pos="687" w:val="left"/>
        </w:tabs>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наоборот, у большинства пациентов с АВНРТ ин</w:t>
        <w:softHyphen/>
        <w:t>тервал от начала желудочковой активности до са</w:t>
        <w:softHyphen/>
        <w:t>мого раннего наступления предсердной активнос</w:t>
        <w:softHyphen/>
        <w:t>ти короче 70 миллисекунд.</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Эндокардиальное катетерное картирование с использо</w:t>
        <w:softHyphen/>
        <w:t>ванием ЭФИ:</w:t>
      </w:r>
    </w:p>
    <w:p>
      <w:pPr>
        <w:pStyle w:val="Style30"/>
        <w:numPr>
          <w:ilvl w:val="0"/>
          <w:numId w:val="159"/>
        </w:numPr>
        <w:tabs>
          <w:tab w:leader="none" w:pos="51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Картирование путей и мест возникновения как вентрикулярной, так и наджелудочковой тахиа</w:t>
        <w:softHyphen/>
        <w:t>ритмий привело к значительному улучшению ис</w:t>
        <w:softHyphen/>
        <w:t>ходов хирургических вмешательств, что уступило место катетерным методикам для аблационных процедур.</w:t>
      </w:r>
    </w:p>
    <w:p>
      <w:pPr>
        <w:pStyle w:val="Style30"/>
        <w:numPr>
          <w:ilvl w:val="0"/>
          <w:numId w:val="159"/>
        </w:numPr>
        <w:tabs>
          <w:tab w:leader="none" w:pos="51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Установка множества электродов позволяет вести одновременную регистрацию от нескольких внут</w:t>
        <w:softHyphen/>
        <w:t>рисердечных мест во время одного и того же сер</w:t>
        <w:softHyphen/>
        <w:t>дечного цикла, генерируя карты волновой актива</w:t>
        <w:softHyphen/>
        <w:t>ции. Эта методика позволяет клиническим элек</w:t>
        <w:softHyphen/>
        <w:t>трофизиологам и хирургам идентифицировать об</w:t>
        <w:softHyphen/>
        <w:t>ласти для хирургической аблации.</w:t>
      </w:r>
    </w:p>
    <w:p>
      <w:pPr>
        <w:pStyle w:val="Style30"/>
        <w:numPr>
          <w:ilvl w:val="0"/>
          <w:numId w:val="159"/>
        </w:numPr>
        <w:tabs>
          <w:tab w:leader="none" w:pos="518"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Несмотря на сравнительные успехи, достигнутые в предыдущие годы, внутриоперационное карти</w:t>
        <w:softHyphen/>
        <w:t>рование при синдроме ВПУ в настоящее время ус</w:t>
        <w:softHyphen/>
        <w:t>тупило место катетерному картированию во время ЭФИ и процедур аблации.</w:t>
      </w:r>
    </w:p>
    <w:p>
      <w:pPr>
        <w:pStyle w:val="Style92"/>
        <w:widowControl w:val="0"/>
        <w:keepNext/>
        <w:keepLines/>
        <w:shd w:val="clear" w:color="auto" w:fill="auto"/>
        <w:bidi w:val="0"/>
        <w:spacing w:before="0" w:after="0"/>
        <w:ind w:left="520" w:right="0" w:hanging="240"/>
      </w:pPr>
      <w:r>
        <w:br w:type="column"/>
      </w:r>
      <w:bookmarkStart w:id="807" w:name="bookmark807"/>
      <w:r>
        <w:rPr>
          <w:lang w:val="ru-RU" w:eastAsia="ru-RU" w:bidi="ru-RU"/>
          <w:w w:val="100"/>
          <w:spacing w:val="0"/>
          <w:color w:val="000000"/>
          <w:position w:val="0"/>
        </w:rPr>
        <w:t>Лечение</w:t>
      </w:r>
      <w:bookmarkEnd w:id="80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аритмии направлено на лежащую в основе при</w:t>
        <w:softHyphen/>
        <w:t>чину и ее пусковые механизмы. Среди лежащих в основе причин существуют первичные аритмии вследствие ЭФ аномалии в результате определяемого структурного порока сердца и происходящие независимо от гемодинамических или метаболических нарушений. Такие аритмии включают заболевания коронарных артерий, ишемию, кардиомиопа</w:t>
        <w:softHyphen/>
        <w:t>тию, перикардит и синдром ВПУ. Пусковые механизмы аритмии включают вторичные аритмии, такие как наруше</w:t>
        <w:softHyphen/>
        <w:t>ние электролитного равновесия, нарушения обмена ве</w:t>
        <w:softHyphen/>
        <w:t>ществ и гемодинамические и гипоксемические аномалии.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Соответствующее лечение синдрома ВПУ основывается на его вероятном диагнозе. Пациентам только с ЭКГ при</w:t>
        <w:softHyphen/>
        <w:t>знаками преждевременного возбуждения без документиро</w:t>
        <w:softHyphen/>
        <w:t>ванных эпизодов тахикардии обычно не требуется ни агрес</w:t>
        <w:softHyphen/>
        <w:t>сивного клинического обследования с помощью ЭФИ, ни лечения антиаритмическими препаратами. Тремя основны</w:t>
        <w:softHyphen/>
        <w:t>ми методами лечения синдрома ВПУ являются: фармакоте</w:t>
        <w:softHyphen/>
        <w:t>рапия, РЧ аблация и хирургическая аблация. Аблация явля - ется основным методом лечения при симптоматическом синдроме ВПУ. Она заменила хирургическое лечение и вы</w:t>
        <w:softHyphen/>
        <w:t>теснила большинство фармакотерапевтических методов. Однако лечение лекарственными средствами может ока</w:t>
        <w:softHyphen/>
        <w:t>заться полезным в некоторых случаях, например у пациен</w:t>
        <w:softHyphen/>
        <w:t>тов, которые отказываются от аблации, или у пациентов, у которых аблация завершилась неудачей при одной или двух попытках. Для пациентов, получающих длительное ле</w:t>
        <w:softHyphen/>
        <w:t>чение фармакотерапией, следует рассмотреть возможность назначения мембраноактивных противоаритмических пре</w:t>
        <w:softHyphen/>
        <w:t>паратов (класса ГС или III) с блокатором АВ узла, чем только одного блокатора АВ узла, из-за возможности чрез</w:t>
        <w:softHyphen/>
        <w:t>вычайно быстрых ритмов во время преждевременного воз</w:t>
        <w:softHyphen/>
        <w:t>буждения, фибрилляции или трепетания.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Фармакотерапия (возможные противоаритмические механизмы): антиаритмические препараты блокиру</w:t>
        <w:softHyphen/>
        <w:t>ют АВ узел, ткани миокарда и/или дополнительные пути. Они увеличивают рефрактерный период или удлиняют время проведения для предупреждения АВ реципрокной тахикардии. Они могут также снижать желудочковый ответ на трепетание или фибрилля</w:t>
        <w:softHyphen/>
        <w:t>цию предсердий.</w:t>
      </w:r>
    </w:p>
    <w:p>
      <w:pPr>
        <w:pStyle w:val="Style30"/>
        <w:widowControl w:val="0"/>
        <w:keepNext w:val="0"/>
        <w:keepLines w:val="0"/>
        <w:shd w:val="clear" w:color="auto" w:fill="auto"/>
        <w:bidi w:val="0"/>
        <w:jc w:val="right"/>
        <w:spacing w:before="0" w:after="0"/>
        <w:ind w:left="0" w:right="220" w:firstLine="0"/>
      </w:pPr>
      <w:r>
        <w:rPr>
          <w:lang w:val="ru-RU" w:eastAsia="ru-RU" w:bidi="ru-RU"/>
          <w:w w:val="100"/>
          <w:spacing w:val="0"/>
          <w:color w:val="000000"/>
          <w:position w:val="0"/>
        </w:rPr>
        <w:t>• Лекарственные средства, блокирующие АВ узел:</w:t>
      </w:r>
    </w:p>
    <w:p>
      <w:pPr>
        <w:pStyle w:val="Style30"/>
        <w:numPr>
          <w:ilvl w:val="0"/>
          <w:numId w:val="161"/>
        </w:numPr>
        <w:tabs>
          <w:tab w:leader="none" w:pos="942" w:val="left"/>
        </w:tabs>
        <w:widowControl w:val="0"/>
        <w:keepNext w:val="0"/>
        <w:keepLines w:val="0"/>
        <w:shd w:val="clear" w:color="auto" w:fill="auto"/>
        <w:bidi w:val="0"/>
        <w:spacing w:before="0" w:after="0"/>
        <w:ind w:left="740" w:right="0" w:firstLine="0"/>
      </w:pPr>
      <w:r>
        <w:rPr>
          <w:rStyle w:val="CharStyle103"/>
        </w:rPr>
        <w:t>аденозин, верапамил, метопролол</w:t>
      </w:r>
      <w:r>
        <w:rPr>
          <w:lang w:val="ru-RU" w:eastAsia="ru-RU" w:bidi="ru-RU"/>
          <w:w w:val="100"/>
          <w:spacing w:val="0"/>
          <w:color w:val="000000"/>
          <w:position w:val="0"/>
        </w:rPr>
        <w:t xml:space="preserve"> и препараты на</w:t>
        <w:softHyphen/>
        <w:t>перстянки — все они удлиняют время проведения и рефрактерность АВ узла;</w:t>
      </w:r>
    </w:p>
    <w:p>
      <w:pPr>
        <w:pStyle w:val="Style30"/>
        <w:numPr>
          <w:ilvl w:val="0"/>
          <w:numId w:val="161"/>
        </w:numPr>
        <w:tabs>
          <w:tab w:leader="none" w:pos="938" w:val="left"/>
        </w:tabs>
        <w:widowControl w:val="0"/>
        <w:keepNext w:val="0"/>
        <w:keepLines w:val="0"/>
        <w:shd w:val="clear" w:color="auto" w:fill="auto"/>
        <w:bidi w:val="0"/>
        <w:spacing w:before="0" w:after="0"/>
        <w:ind w:left="740" w:right="0" w:firstLine="0"/>
      </w:pPr>
      <w:r>
        <w:rPr>
          <w:rStyle w:val="CharStyle103"/>
        </w:rPr>
        <w:t>верапамил</w:t>
      </w:r>
      <w:r>
        <w:rPr>
          <w:lang w:val="ru-RU" w:eastAsia="ru-RU" w:bidi="ru-RU"/>
          <w:w w:val="100"/>
          <w:spacing w:val="0"/>
          <w:color w:val="000000"/>
          <w:position w:val="0"/>
        </w:rPr>
        <w:t xml:space="preserve"> и </w:t>
      </w:r>
      <w:r>
        <w:rPr>
          <w:rStyle w:val="CharStyle103"/>
        </w:rPr>
        <w:t>метопролол</w:t>
      </w:r>
      <w:r>
        <w:rPr>
          <w:lang w:val="ru-RU" w:eastAsia="ru-RU" w:bidi="ru-RU"/>
          <w:w w:val="100"/>
          <w:spacing w:val="0"/>
          <w:color w:val="000000"/>
          <w:position w:val="0"/>
        </w:rPr>
        <w:t xml:space="preserve"> не оказывают влияния на проведение обходного пути;</w:t>
      </w:r>
    </w:p>
    <w:p>
      <w:pPr>
        <w:pStyle w:val="Style30"/>
        <w:numPr>
          <w:ilvl w:val="0"/>
          <w:numId w:val="161"/>
        </w:numPr>
        <w:tabs>
          <w:tab w:leader="none" w:pos="952" w:val="left"/>
        </w:tabs>
        <w:widowControl w:val="0"/>
        <w:keepNext w:val="0"/>
        <w:keepLines w:val="0"/>
        <w:shd w:val="clear" w:color="auto" w:fill="auto"/>
        <w:bidi w:val="0"/>
        <w:spacing w:before="0" w:after="0"/>
        <w:ind w:left="740" w:right="0" w:firstLine="0"/>
      </w:pPr>
      <w:r>
        <w:rPr>
          <w:rStyle w:val="CharStyle103"/>
        </w:rPr>
        <w:t>дигоксин</w:t>
      </w:r>
      <w:r>
        <w:rPr>
          <w:lang w:val="ru-RU" w:eastAsia="ru-RU" w:bidi="ru-RU"/>
          <w:w w:val="100"/>
          <w:spacing w:val="0"/>
          <w:color w:val="000000"/>
          <w:position w:val="0"/>
        </w:rPr>
        <w:t xml:space="preserve"> оказывает различные эффекты и может даже укоротить рефрактерный период;</w:t>
      </w:r>
    </w:p>
    <w:p>
      <w:pPr>
        <w:pStyle w:val="Style30"/>
        <w:numPr>
          <w:ilvl w:val="0"/>
          <w:numId w:val="161"/>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ни один из указанных препаратов нельзя давать в острой фазе пациенту с преждевременным воз</w:t>
        <w:softHyphen/>
        <w:t>буждением желудочков, у которого имеется фиб</w:t>
        <w:softHyphen/>
        <w:t>рилляция предсердий;</w:t>
      </w:r>
    </w:p>
    <w:p>
      <w:pPr>
        <w:pStyle w:val="Style30"/>
        <w:numPr>
          <w:ilvl w:val="0"/>
          <w:numId w:val="161"/>
        </w:numPr>
        <w:tabs>
          <w:tab w:leader="none" w:pos="952" w:val="left"/>
        </w:tabs>
        <w:widowControl w:val="0"/>
        <w:keepNext w:val="0"/>
        <w:keepLines w:val="0"/>
        <w:shd w:val="clear" w:color="auto" w:fill="auto"/>
        <w:bidi w:val="0"/>
        <w:spacing w:before="0" w:after="0"/>
        <w:ind w:left="740" w:right="0" w:firstLine="0"/>
      </w:pPr>
      <w:r>
        <w:rPr>
          <w:rStyle w:val="CharStyle103"/>
        </w:rPr>
        <w:t>дигоксин</w:t>
      </w:r>
      <w:r>
        <w:rPr>
          <w:lang w:val="ru-RU" w:eastAsia="ru-RU" w:bidi="ru-RU"/>
          <w:w w:val="100"/>
          <w:spacing w:val="0"/>
          <w:color w:val="000000"/>
          <w:position w:val="0"/>
        </w:rPr>
        <w:t xml:space="preserve"> противопоказан пациентам с синдро</w:t>
        <w:softHyphen/>
        <w:t>мом ВПУ, хотя он может играть определенную роль только у детей. Большинство случаев смерти от синдрома ВПУ было связано с применением дигоксина;</w:t>
      </w:r>
    </w:p>
    <w:p>
      <w:pPr>
        <w:pStyle w:val="Style30"/>
        <w:numPr>
          <w:ilvl w:val="0"/>
          <w:numId w:val="161"/>
        </w:numPr>
        <w:tabs>
          <w:tab w:leader="none" w:pos="947" w:val="left"/>
        </w:tabs>
        <w:widowControl w:val="0"/>
        <w:keepNext w:val="0"/>
        <w:keepLines w:val="0"/>
        <w:shd w:val="clear" w:color="auto" w:fill="auto"/>
        <w:bidi w:val="0"/>
        <w:spacing w:before="0" w:after="0"/>
        <w:ind w:left="740" w:right="0" w:firstLine="0"/>
        <w:sectPr>
          <w:pgSz w:w="11900" w:h="16840"/>
          <w:pgMar w:top="1541" w:left="1072" w:right="940" w:bottom="1752" w:header="0" w:footer="3" w:gutter="0"/>
          <w:rtlGutter w:val="0"/>
          <w:cols w:num="2" w:space="145"/>
          <w:noEndnote/>
          <w:docGrid w:linePitch="360"/>
        </w:sectPr>
      </w:pPr>
      <w:r>
        <w:pict>
          <v:shape id="_x0000_s1813" type="#_x0000_t75" style="position:absolute;margin-left:141.85pt;margin-top:738.25pt;width:209.75pt;height:14.9pt;z-index:-125828823;mso-wrap-distance-left:135.6pt;mso-wrap-distance-right:136.8pt;mso-wrap-distance-bottom:10.8pt;mso-position-horizontal-relative:margin;mso-position-vertical-relative:margin" wrapcoords="0 0 21600 0 21600 21600 0 21600 0 0">
            <v:imagedata r:id="rId1277" r:href="rId1278"/>
            <w10:wrap type="topAndBottom" anchorx="margin" anchory="margin"/>
          </v:shape>
        </w:pict>
      </w:r>
      <w:r>
        <w:rPr>
          <w:rStyle w:val="CharStyle103"/>
        </w:rPr>
        <w:t>пропранолол</w:t>
      </w:r>
      <w:r>
        <w:rPr>
          <w:lang w:val="ru-RU" w:eastAsia="ru-RU" w:bidi="ru-RU"/>
          <w:w w:val="100"/>
          <w:spacing w:val="0"/>
          <w:color w:val="000000"/>
          <w:position w:val="0"/>
        </w:rPr>
        <w:t xml:space="preserve"> почти никогда не назначается. Неко - торые пациенты могут получить пользу от </w:t>
      </w:r>
      <w:r>
        <w:rPr>
          <w:rStyle w:val="CharStyle103"/>
        </w:rPr>
        <w:t>мето- пролола</w:t>
      </w:r>
      <w:r>
        <w:rPr>
          <w:lang w:val="ru-RU" w:eastAsia="ru-RU" w:bidi="ru-RU"/>
          <w:w w:val="100"/>
          <w:spacing w:val="0"/>
          <w:color w:val="000000"/>
          <w:position w:val="0"/>
        </w:rPr>
        <w:t xml:space="preserve"> или </w:t>
      </w:r>
      <w:r>
        <w:rPr>
          <w:rStyle w:val="CharStyle103"/>
        </w:rPr>
        <w:t>атенолола.</w:t>
      </w:r>
    </w:p>
    <w:p>
      <w:pPr>
        <w:pStyle w:val="Style30"/>
        <w:numPr>
          <w:ilvl w:val="0"/>
          <w:numId w:val="159"/>
        </w:numPr>
        <w:tabs>
          <w:tab w:leader="none" w:pos="23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Вещества, действующие на дополнительные пути:</w:t>
      </w:r>
    </w:p>
    <w:p>
      <w:pPr>
        <w:pStyle w:val="Style30"/>
        <w:numPr>
          <w:ilvl w:val="0"/>
          <w:numId w:val="161"/>
        </w:numPr>
        <w:tabs>
          <w:tab w:leader="none" w:pos="467"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препараты класса </w:t>
      </w:r>
      <w:r>
        <w:rPr>
          <w:lang w:val="en-US" w:eastAsia="en-US" w:bidi="en-US"/>
          <w:w w:val="100"/>
          <w:spacing w:val="0"/>
          <w:color w:val="000000"/>
          <w:position w:val="0"/>
        </w:rPr>
        <w:t xml:space="preserve">IA </w:t>
      </w:r>
      <w:r>
        <w:rPr>
          <w:lang w:val="ru-RU" w:eastAsia="ru-RU" w:bidi="ru-RU"/>
          <w:w w:val="100"/>
          <w:spacing w:val="0"/>
          <w:color w:val="000000"/>
          <w:position w:val="0"/>
        </w:rPr>
        <w:t xml:space="preserve">(например, </w:t>
      </w:r>
      <w:r>
        <w:rPr>
          <w:rStyle w:val="CharStyle103"/>
        </w:rPr>
        <w:t xml:space="preserve">новокаинамид) </w:t>
      </w:r>
      <w:r>
        <w:rPr>
          <w:lang w:val="ru-RU" w:eastAsia="ru-RU" w:bidi="ru-RU"/>
          <w:w w:val="100"/>
          <w:spacing w:val="0"/>
          <w:color w:val="000000"/>
          <w:position w:val="0"/>
        </w:rPr>
        <w:t xml:space="preserve">и препараты класса ГС (например, </w:t>
      </w:r>
      <w:r>
        <w:rPr>
          <w:rStyle w:val="CharStyle103"/>
        </w:rPr>
        <w:t>флекаинид, про- пафенон)</w:t>
      </w:r>
      <w:r>
        <w:rPr>
          <w:lang w:val="ru-RU" w:eastAsia="ru-RU" w:bidi="ru-RU"/>
          <w:w w:val="100"/>
          <w:spacing w:val="0"/>
          <w:color w:val="000000"/>
          <w:position w:val="0"/>
        </w:rPr>
        <w:t xml:space="preserve"> блокируют проведение в дополнитель</w:t>
        <w:softHyphen/>
        <w:t>ном пути;</w:t>
      </w:r>
    </w:p>
    <w:p>
      <w:pPr>
        <w:pStyle w:val="Style30"/>
        <w:numPr>
          <w:ilvl w:val="0"/>
          <w:numId w:val="161"/>
        </w:numPr>
        <w:tabs>
          <w:tab w:leader="none" w:pos="472" w:val="left"/>
        </w:tabs>
        <w:widowControl w:val="0"/>
        <w:keepNext w:val="0"/>
        <w:keepLines w:val="0"/>
        <w:shd w:val="clear" w:color="auto" w:fill="auto"/>
        <w:bidi w:val="0"/>
        <w:spacing w:before="0" w:after="0"/>
        <w:ind w:left="260" w:right="0" w:firstLine="0"/>
      </w:pPr>
      <w:r>
        <w:rPr>
          <w:rStyle w:val="CharStyle103"/>
        </w:rPr>
        <w:t>амиодарон</w:t>
      </w:r>
      <w:r>
        <w:rPr>
          <w:lang w:val="ru-RU" w:eastAsia="ru-RU" w:bidi="ru-RU"/>
          <w:w w:val="100"/>
          <w:spacing w:val="0"/>
          <w:color w:val="000000"/>
          <w:position w:val="0"/>
        </w:rPr>
        <w:t xml:space="preserve"> и </w:t>
      </w:r>
      <w:r>
        <w:rPr>
          <w:rStyle w:val="CharStyle103"/>
        </w:rPr>
        <w:t>соталол</w:t>
      </w:r>
      <w:r>
        <w:rPr>
          <w:lang w:val="ru-RU" w:eastAsia="ru-RU" w:bidi="ru-RU"/>
          <w:w w:val="100"/>
          <w:spacing w:val="0"/>
          <w:color w:val="000000"/>
          <w:position w:val="0"/>
        </w:rPr>
        <w:t xml:space="preserve"> влияют как на АВ узел, так и на обходной тракт. Их действие сходно, но воз</w:t>
        <w:softHyphen/>
        <w:t>действуют только на обходной тракт;</w:t>
      </w:r>
    </w:p>
    <w:p>
      <w:pPr>
        <w:pStyle w:val="Style30"/>
        <w:numPr>
          <w:ilvl w:val="0"/>
          <w:numId w:val="161"/>
        </w:numPr>
        <w:tabs>
          <w:tab w:leader="none" w:pos="462"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препараты класса ЬА и ГС, которые продлевают ре</w:t>
        <w:softHyphen/>
        <w:t>фрактерный период в обходном тракте, назначают, если возникает необходимость в фармакотерапии;</w:t>
      </w:r>
    </w:p>
    <w:p>
      <w:pPr>
        <w:pStyle w:val="Style30"/>
        <w:numPr>
          <w:ilvl w:val="0"/>
          <w:numId w:val="161"/>
        </w:numPr>
        <w:tabs>
          <w:tab w:leader="none" w:pos="467"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препараты класса </w:t>
      </w:r>
      <w:r>
        <w:rPr>
          <w:lang w:val="en-US" w:eastAsia="en-US" w:bidi="en-US"/>
          <w:w w:val="100"/>
          <w:spacing w:val="0"/>
          <w:color w:val="000000"/>
          <w:position w:val="0"/>
        </w:rPr>
        <w:t xml:space="preserve">IC </w:t>
      </w:r>
      <w:r>
        <w:rPr>
          <w:lang w:val="ru-RU" w:eastAsia="ru-RU" w:bidi="ru-RU"/>
          <w:w w:val="100"/>
          <w:spacing w:val="0"/>
          <w:color w:val="000000"/>
          <w:position w:val="0"/>
        </w:rPr>
        <w:t xml:space="preserve">и </w:t>
      </w:r>
      <w:r>
        <w:rPr>
          <w:lang w:val="en-US" w:eastAsia="en-US" w:bidi="en-US"/>
          <w:w w:val="100"/>
          <w:spacing w:val="0"/>
          <w:color w:val="000000"/>
          <w:position w:val="0"/>
        </w:rPr>
        <w:t xml:space="preserve">IA </w:t>
      </w:r>
      <w:r>
        <w:rPr>
          <w:lang w:val="ru-RU" w:eastAsia="ru-RU" w:bidi="ru-RU"/>
          <w:w w:val="100"/>
          <w:spacing w:val="0"/>
          <w:color w:val="000000"/>
          <w:position w:val="0"/>
        </w:rPr>
        <w:t xml:space="preserve">лучше всего применять в сочетании с блокатором АВ узла, например, </w:t>
      </w:r>
      <w:r>
        <w:rPr>
          <w:rStyle w:val="CharStyle103"/>
        </w:rPr>
        <w:t>ме- топрололом</w:t>
      </w:r>
      <w:r>
        <w:rPr>
          <w:lang w:val="ru-RU" w:eastAsia="ru-RU" w:bidi="ru-RU"/>
          <w:w w:val="100"/>
          <w:spacing w:val="0"/>
          <w:color w:val="000000"/>
          <w:position w:val="0"/>
        </w:rPr>
        <w:t xml:space="preserve"> или </w:t>
      </w:r>
      <w:r>
        <w:rPr>
          <w:rStyle w:val="CharStyle103"/>
        </w:rPr>
        <w:t>верапамилом</w:t>
      </w:r>
      <w:r>
        <w:rPr>
          <w:lang w:val="ru-RU" w:eastAsia="ru-RU" w:bidi="ru-RU"/>
          <w:w w:val="100"/>
          <w:spacing w:val="0"/>
          <w:color w:val="000000"/>
          <w:position w:val="0"/>
        </w:rPr>
        <w:t>;</w:t>
      </w:r>
    </w:p>
    <w:p>
      <w:pPr>
        <w:pStyle w:val="Style30"/>
        <w:numPr>
          <w:ilvl w:val="0"/>
          <w:numId w:val="161"/>
        </w:numPr>
        <w:tabs>
          <w:tab w:leader="none" w:pos="462"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новокаинамид и хинидин являются пережитками прошлого при долгосрочном лечении.</w:t>
      </w:r>
    </w:p>
    <w:p>
      <w:pPr>
        <w:pStyle w:val="Style30"/>
        <w:numPr>
          <w:ilvl w:val="0"/>
          <w:numId w:val="159"/>
        </w:numPr>
        <w:tabs>
          <w:tab w:leader="none" w:pos="235" w:val="left"/>
        </w:tabs>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Меры предосторожности при лечении тахикардии синдрома ВПУ:</w:t>
      </w:r>
    </w:p>
    <w:p>
      <w:pPr>
        <w:pStyle w:val="Style30"/>
        <w:numPr>
          <w:ilvl w:val="0"/>
          <w:numId w:val="161"/>
        </w:numPr>
        <w:tabs>
          <w:tab w:leader="none" w:pos="467"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наперстянка укорачивает рефрактерность в мио</w:t>
        <w:softHyphen/>
        <w:t>карде и в обходном тракте. Таким образом, она мо</w:t>
        <w:softHyphen/>
        <w:t>жет ускорять желудочковый ответ в условиях фиб</w:t>
        <w:softHyphen/>
        <w:t>рилляции предсердий у пациента с синдромом ВПУ. В этих условиях нельзя применять аденозин;</w:t>
      </w:r>
    </w:p>
    <w:p>
      <w:pPr>
        <w:pStyle w:val="Style30"/>
        <w:numPr>
          <w:ilvl w:val="0"/>
          <w:numId w:val="161"/>
        </w:numPr>
        <w:tabs>
          <w:tab w:leader="none" w:pos="467"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наперстянку нежелательно применять за исклю</w:t>
        <w:softHyphen/>
        <w:t>чением, возможно, детей раннего возраста или пациентов престарелого возраста. Вместо этого следует использовать лекарственные средства, ко</w:t>
        <w:softHyphen/>
        <w:t>торые удлиняют рефрактерный период в дополни</w:t>
        <w:softHyphen/>
        <w:t xml:space="preserve">тельном пути (например, препараты класса </w:t>
      </w:r>
      <w:r>
        <w:rPr>
          <w:lang w:val="en-US" w:eastAsia="en-US" w:bidi="en-US"/>
          <w:w w:val="100"/>
          <w:spacing w:val="0"/>
          <w:color w:val="000000"/>
          <w:position w:val="0"/>
        </w:rPr>
        <w:t xml:space="preserve">IA </w:t>
      </w:r>
      <w:r>
        <w:rPr>
          <w:lang w:val="ru-RU" w:eastAsia="ru-RU" w:bidi="ru-RU"/>
          <w:w w:val="100"/>
          <w:spacing w:val="0"/>
          <w:color w:val="000000"/>
          <w:position w:val="0"/>
        </w:rPr>
        <w:t xml:space="preserve">и </w:t>
      </w:r>
      <w:r>
        <w:rPr>
          <w:lang w:val="en-US" w:eastAsia="en-US" w:bidi="en-US"/>
          <w:w w:val="100"/>
          <w:spacing w:val="0"/>
          <w:color w:val="000000"/>
          <w:position w:val="0"/>
        </w:rPr>
        <w:t>IC);</w:t>
      </w:r>
    </w:p>
    <w:p>
      <w:pPr>
        <w:pStyle w:val="Style30"/>
        <w:numPr>
          <w:ilvl w:val="0"/>
          <w:numId w:val="161"/>
        </w:numPr>
        <w:tabs>
          <w:tab w:leader="none" w:pos="467"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внутривенное введение </w:t>
      </w:r>
      <w:r>
        <w:rPr>
          <w:rStyle w:val="CharStyle103"/>
        </w:rPr>
        <w:t>верапамила</w:t>
      </w:r>
      <w:r>
        <w:rPr>
          <w:lang w:val="ru-RU" w:eastAsia="ru-RU" w:bidi="ru-RU"/>
          <w:w w:val="100"/>
          <w:spacing w:val="0"/>
          <w:color w:val="000000"/>
          <w:position w:val="0"/>
        </w:rPr>
        <w:t xml:space="preserve"> может также ускорять желудочковый ответ у пациентов с синд</w:t>
        <w:softHyphen/>
        <w:t>ромом ВПУ, у которых имеется фибрилляция предсердий. Этого не происходит с пероральным верапамилом. Верапамил не рекомендуется в каче</w:t>
        <w:softHyphen/>
        <w:t>стве единственного препарата у пациентов с синд</w:t>
        <w:softHyphen/>
        <w:t>ромом ВПУ.</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Завершение острого эпизода:</w:t>
      </w:r>
    </w:p>
    <w:p>
      <w:pPr>
        <w:pStyle w:val="Style30"/>
        <w:numPr>
          <w:ilvl w:val="0"/>
          <w:numId w:val="161"/>
        </w:numPr>
        <w:tabs>
          <w:tab w:leader="none" w:pos="235"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узкокомплексная АВ реципрокная тахикардия:</w:t>
      </w:r>
    </w:p>
    <w:p>
      <w:pPr>
        <w:pStyle w:val="Style30"/>
        <w:numPr>
          <w:ilvl w:val="0"/>
          <w:numId w:val="161"/>
        </w:numPr>
        <w:tabs>
          <w:tab w:leader="none" w:pos="472"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такие тахикардии проявляются с нормальными комплексами </w:t>
      </w:r>
      <w:r>
        <w:rPr>
          <w:lang w:val="en-US" w:eastAsia="en-US" w:bidi="en-US"/>
          <w:w w:val="100"/>
          <w:spacing w:val="0"/>
          <w:color w:val="000000"/>
          <w:position w:val="0"/>
        </w:rPr>
        <w:t xml:space="preserve">QRS, </w:t>
      </w:r>
      <w:r>
        <w:rPr>
          <w:lang w:val="ru-RU" w:eastAsia="ru-RU" w:bidi="ru-RU"/>
          <w:w w:val="100"/>
          <w:spacing w:val="0"/>
          <w:color w:val="000000"/>
          <w:position w:val="0"/>
        </w:rPr>
        <w:t>желудочковым ритмом более 200 сокращений в минуту, регулярными интерва</w:t>
        <w:softHyphen/>
        <w:t xml:space="preserve">лами </w:t>
      </w:r>
      <w:r>
        <w:rPr>
          <w:lang w:val="en-US" w:eastAsia="en-US" w:bidi="en-US"/>
          <w:w w:val="100"/>
          <w:spacing w:val="0"/>
          <w:color w:val="000000"/>
          <w:position w:val="0"/>
        </w:rPr>
        <w:t xml:space="preserve">R-R </w:t>
      </w:r>
      <w:r>
        <w:rPr>
          <w:lang w:val="ru-RU" w:eastAsia="ru-RU" w:bidi="ru-RU"/>
          <w:w w:val="100"/>
          <w:spacing w:val="0"/>
          <w:color w:val="000000"/>
          <w:position w:val="0"/>
        </w:rPr>
        <w:t>и ретроградным зубцом Р далеко в кон</w:t>
        <w:softHyphen/>
        <w:t xml:space="preserve">це </w:t>
      </w:r>
      <w:r>
        <w:rPr>
          <w:lang w:val="en-US" w:eastAsia="en-US" w:bidi="en-US"/>
          <w:w w:val="100"/>
          <w:spacing w:val="0"/>
          <w:color w:val="000000"/>
          <w:position w:val="0"/>
        </w:rPr>
        <w:t>QRS;</w:t>
      </w:r>
    </w:p>
    <w:p>
      <w:pPr>
        <w:pStyle w:val="Style30"/>
        <w:numPr>
          <w:ilvl w:val="0"/>
          <w:numId w:val="161"/>
        </w:numPr>
        <w:tabs>
          <w:tab w:leader="none" w:pos="472"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их следует лечить так же, как АВНРТ, блокируя АВ узловое проведение при помощи (1) процедур воздействия на блуждающий нерв (например, про</w:t>
        <w:softHyphen/>
        <w:t xml:space="preserve">цедура Вальсальвы, массаж каротидного синуса, сбрызгивание лица холодной или ледяной водой), (2) внутривенного </w:t>
      </w:r>
      <w:r>
        <w:rPr>
          <w:rStyle w:val="CharStyle103"/>
        </w:rPr>
        <w:t>аденозина</w:t>
      </w:r>
      <w:r>
        <w:rPr>
          <w:lang w:val="ru-RU" w:eastAsia="ru-RU" w:bidi="ru-RU"/>
          <w:w w:val="100"/>
          <w:spacing w:val="0"/>
          <w:color w:val="000000"/>
          <w:position w:val="0"/>
        </w:rPr>
        <w:t xml:space="preserve"> или (3) внутривенного </w:t>
      </w:r>
      <w:r>
        <w:rPr>
          <w:rStyle w:val="CharStyle103"/>
        </w:rPr>
        <w:t>верапамила</w:t>
      </w:r>
      <w:r>
        <w:rPr>
          <w:lang w:val="ru-RU" w:eastAsia="ru-RU" w:bidi="ru-RU"/>
          <w:w w:val="100"/>
          <w:spacing w:val="0"/>
          <w:color w:val="000000"/>
          <w:position w:val="0"/>
        </w:rPr>
        <w:t xml:space="preserve"> или </w:t>
      </w:r>
      <w:r>
        <w:rPr>
          <w:rStyle w:val="CharStyle103"/>
        </w:rPr>
        <w:t>дилтиазема</w:t>
      </w:r>
      <w:r>
        <w:rPr>
          <w:lang w:val="ru-RU" w:eastAsia="ru-RU" w:bidi="ru-RU"/>
          <w:w w:val="100"/>
          <w:spacing w:val="0"/>
          <w:color w:val="000000"/>
          <w:position w:val="0"/>
        </w:rPr>
        <w:t xml:space="preserve"> (т.е. если присутствует рецидивирующая СВТ, если аденозин не эффекти</w:t>
        <w:softHyphen/>
        <w:t>вен или если пациент принимает теофиллин);</w:t>
      </w:r>
    </w:p>
    <w:p>
      <w:pPr>
        <w:pStyle w:val="Style30"/>
        <w:numPr>
          <w:ilvl w:val="0"/>
          <w:numId w:val="161"/>
        </w:numPr>
        <w:tabs>
          <w:tab w:leader="none" w:pos="462"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следует иметь в виду, что фибрилляция предсердий может произойти после применения лекарственных средств, особенно </w:t>
      </w:r>
      <w:r>
        <w:rPr>
          <w:rStyle w:val="CharStyle103"/>
        </w:rPr>
        <w:t>аденозина,</w:t>
      </w:r>
      <w:r>
        <w:rPr>
          <w:lang w:val="ru-RU" w:eastAsia="ru-RU" w:bidi="ru-RU"/>
          <w:w w:val="100"/>
          <w:spacing w:val="0"/>
          <w:color w:val="000000"/>
          <w:position w:val="0"/>
        </w:rPr>
        <w:t xml:space="preserve"> с быстрым желудочко</w:t>
        <w:softHyphen/>
        <w:t>вым ответом. На всякий случай под рукой должен быть внешний кардиовертер-дефибриллятор.</w:t>
      </w:r>
    </w:p>
    <w:p>
      <w:pPr>
        <w:pStyle w:val="Style30"/>
        <w:numPr>
          <w:ilvl w:val="0"/>
          <w:numId w:val="161"/>
        </w:numPr>
        <w:tabs>
          <w:tab w:leader="none" w:pos="235" w:val="left"/>
        </w:tabs>
        <w:widowControl w:val="0"/>
        <w:keepNext w:val="0"/>
        <w:keepLines w:val="0"/>
        <w:shd w:val="clear" w:color="auto" w:fill="auto"/>
        <w:bidi w:val="0"/>
        <w:jc w:val="left"/>
        <w:spacing w:before="0" w:after="0"/>
        <w:ind w:left="260" w:right="0"/>
      </w:pPr>
      <w:r>
        <w:rPr>
          <w:lang w:val="ru-RU" w:eastAsia="ru-RU" w:bidi="ru-RU"/>
          <w:w w:val="100"/>
          <w:spacing w:val="0"/>
          <w:color w:val="000000"/>
          <w:position w:val="0"/>
        </w:rPr>
        <w:t>трепетание/фибрилляция предсердий или тахи</w:t>
        <w:softHyphen/>
        <w:t>кардия широкого комплекса:</w:t>
      </w:r>
    </w:p>
    <w:p>
      <w:pPr>
        <w:pStyle w:val="Style30"/>
        <w:numPr>
          <w:ilvl w:val="0"/>
          <w:numId w:val="161"/>
        </w:numPr>
        <w:tabs>
          <w:tab w:leader="none" w:pos="462"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трепетание/фибрилляцию предсердий можно распознать по наличию аномальных комплексов</w:t>
      </w:r>
    </w:p>
    <w:p>
      <w:pPr>
        <w:pStyle w:val="Style30"/>
        <w:widowControl w:val="0"/>
        <w:keepNext w:val="0"/>
        <w:keepLines w:val="0"/>
        <w:shd w:val="clear" w:color="auto" w:fill="auto"/>
        <w:bidi w:val="0"/>
        <w:spacing w:before="0" w:after="0"/>
        <w:ind w:left="500" w:right="0" w:firstLine="0"/>
      </w:pPr>
      <w:r>
        <w:br w:type="column"/>
      </w:r>
      <w:r>
        <w:rPr>
          <w:lang w:val="en-US" w:eastAsia="en-US" w:bidi="en-US"/>
          <w:w w:val="100"/>
          <w:spacing w:val="0"/>
          <w:color w:val="000000"/>
          <w:position w:val="0"/>
        </w:rPr>
        <w:t xml:space="preserve">QRS </w:t>
      </w:r>
      <w:r>
        <w:rPr>
          <w:lang w:val="ru-RU" w:eastAsia="ru-RU" w:bidi="ru-RU"/>
          <w:w w:val="100"/>
          <w:spacing w:val="0"/>
          <w:color w:val="000000"/>
          <w:position w:val="0"/>
        </w:rPr>
        <w:t xml:space="preserve">и нерегулярных интервалов </w:t>
      </w:r>
      <w:r>
        <w:rPr>
          <w:lang w:val="en-US" w:eastAsia="en-US" w:bidi="en-US"/>
          <w:w w:val="100"/>
          <w:spacing w:val="0"/>
          <w:color w:val="000000"/>
          <w:position w:val="0"/>
        </w:rPr>
        <w:t xml:space="preserve">R-R </w:t>
      </w:r>
      <w:r>
        <w:rPr>
          <w:lang w:val="ru-RU" w:eastAsia="ru-RU" w:bidi="ru-RU"/>
          <w:w w:val="100"/>
          <w:spacing w:val="0"/>
          <w:color w:val="000000"/>
          <w:position w:val="0"/>
        </w:rPr>
        <w:t>В этих усло</w:t>
        <w:softHyphen/>
        <w:t>виях необходимо применение лекарственных средств, которые удлиняют рефрактерный период обходного тракта, особенно препаратов, которые блокируют АВ узел (посредством удлинения реф- рактерности). В качестве примеров таких препара</w:t>
        <w:softHyphen/>
        <w:t xml:space="preserve">тов можно назвать </w:t>
      </w:r>
      <w:r>
        <w:rPr>
          <w:rStyle w:val="CharStyle103"/>
        </w:rPr>
        <w:t>новокаинамид</w:t>
      </w:r>
      <w:r>
        <w:rPr>
          <w:lang w:val="ru-RU" w:eastAsia="ru-RU" w:bidi="ru-RU"/>
          <w:w w:val="100"/>
          <w:spacing w:val="0"/>
          <w:color w:val="000000"/>
          <w:position w:val="0"/>
        </w:rPr>
        <w:t xml:space="preserve"> (препарат класса ]А) и </w:t>
      </w:r>
      <w:r>
        <w:rPr>
          <w:rStyle w:val="CharStyle103"/>
        </w:rPr>
        <w:t>пропранолол</w:t>
      </w:r>
      <w:r>
        <w:rPr>
          <w:lang w:val="ru-RU" w:eastAsia="ru-RU" w:bidi="ru-RU"/>
          <w:w w:val="100"/>
          <w:spacing w:val="0"/>
          <w:color w:val="000000"/>
          <w:position w:val="0"/>
        </w:rPr>
        <w:t xml:space="preserve"> ф-блокатор II класса);</w:t>
      </w:r>
    </w:p>
    <w:p>
      <w:pPr>
        <w:pStyle w:val="Style30"/>
        <w:numPr>
          <w:ilvl w:val="0"/>
          <w:numId w:val="161"/>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при наличии ширококомплексной тахикардии, а диагноз желудочковой тахикардии нельзя исклю - чить, препаратами выбора являются внутривен</w:t>
        <w:softHyphen/>
        <w:t>ный прокаинамид или амиодарон (вместо кардио</w:t>
        <w:softHyphen/>
        <w:t xml:space="preserve">версии, если пациент гемодинамически стабилен). </w:t>
      </w:r>
      <w:r>
        <w:rPr>
          <w:rStyle w:val="CharStyle103"/>
        </w:rPr>
        <w:t>Ибутилид</w:t>
      </w:r>
      <w:r>
        <w:rPr>
          <w:lang w:val="ru-RU" w:eastAsia="ru-RU" w:bidi="ru-RU"/>
          <w:w w:val="100"/>
          <w:spacing w:val="0"/>
          <w:color w:val="000000"/>
          <w:position w:val="0"/>
        </w:rPr>
        <w:t xml:space="preserve"> может также быть полезным в этих усло - виях, хотя данных об этом не имеется;</w:t>
      </w:r>
    </w:p>
    <w:p>
      <w:pPr>
        <w:pStyle w:val="Style30"/>
        <w:numPr>
          <w:ilvl w:val="0"/>
          <w:numId w:val="161"/>
        </w:numPr>
        <w:tabs>
          <w:tab w:leader="none" w:pos="71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при данных условиях нельзя применять лидока</w:t>
        <w:softHyphen/>
        <w:t>ин! Он не продлевает рефрактерность в необходи</w:t>
        <w:softHyphen/>
        <w:t>мом пути, лидокаин может усилить желудочковый ответ, если присутствует фибрилляция предсер</w:t>
        <w:softHyphen/>
        <w:t>дий.</w:t>
      </w:r>
    </w:p>
    <w:p>
      <w:pPr>
        <w:pStyle w:val="Style30"/>
        <w:numPr>
          <w:ilvl w:val="0"/>
          <w:numId w:val="161"/>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гемодинамически нестабильная тахикардия и электрическая кардиоверсия:</w:t>
      </w:r>
    </w:p>
    <w:p>
      <w:pPr>
        <w:pStyle w:val="Style30"/>
        <w:numPr>
          <w:ilvl w:val="0"/>
          <w:numId w:val="16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у пациентов с очень быстрым желудочковым рит</w:t>
        <w:softHyphen/>
        <w:t>мом может наступить гемодинамическая неста</w:t>
        <w:softHyphen/>
        <w:t>бильность (например, гипотензия, изменения психического состояния);</w:t>
      </w:r>
    </w:p>
    <w:p>
      <w:pPr>
        <w:pStyle w:val="Style30"/>
        <w:numPr>
          <w:ilvl w:val="0"/>
          <w:numId w:val="16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у таких пациентов начальным лечением является электрическая кардиоверсия синхронизирован</w:t>
        <w:softHyphen/>
        <w:t>ным постоянным током;</w:t>
      </w:r>
    </w:p>
    <w:p>
      <w:pPr>
        <w:pStyle w:val="Style30"/>
        <w:numPr>
          <w:ilvl w:val="0"/>
          <w:numId w:val="161"/>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электрическая кардиоверсия наиболее эффек</w:t>
        <w:softHyphen/>
        <w:t>тивно купирует тахикардии вследствие «повторно</w:t>
        <w:softHyphen/>
        <w:t>го входа», такие как АВНРТ и реципрокные тахи</w:t>
        <w:softHyphen/>
        <w:t>кардии, ассоциированные с синдромом ВПУ;</w:t>
      </w:r>
    </w:p>
    <w:p>
      <w:pPr>
        <w:pStyle w:val="Style30"/>
        <w:numPr>
          <w:ilvl w:val="0"/>
          <w:numId w:val="161"/>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электрический шок деполяризует весь возбуди</w:t>
        <w:softHyphen/>
        <w:t>мый миокард, удлиняет рефрактерность, прерыва</w:t>
        <w:softHyphen/>
        <w:t>ет контуры (цепи) повторного входа, разряжает очаги и устанавливает электрическую однород</w:t>
        <w:softHyphen/>
        <w:t>ность, которая прекращает повторный вход;</w:t>
      </w:r>
    </w:p>
    <w:p>
      <w:pPr>
        <w:pStyle w:val="Style30"/>
        <w:numPr>
          <w:ilvl w:val="0"/>
          <w:numId w:val="161"/>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вследствие того, что повреждение миокарда мо</w:t>
        <w:softHyphen/>
        <w:t>жет произойти из-за увеличения применяемой энергии, следует использовать минимальную эф</w:t>
        <w:softHyphen/>
        <w:t>фективную энергию, которая должна быть титро</w:t>
        <w:softHyphen/>
        <w:t>ванной. Энергия мощностью не менее 100 джоулей (монофазная или низкая двухфазная) успешно ку</w:t>
        <w:softHyphen/>
        <w:t>пирует большинство СВТ, и нужно попытаться на</w:t>
        <w:softHyphen/>
        <w:t>чать именно с нее. Если это не поможет, следует провести повторный шок более высокой энергией;</w:t>
      </w:r>
    </w:p>
    <w:p>
      <w:pPr>
        <w:pStyle w:val="Style30"/>
        <w:numPr>
          <w:ilvl w:val="0"/>
          <w:numId w:val="161"/>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кардиоверсия может иметь несколько побочных эффектов. Она может вызывать аритмии из -за неаде - кватной синхронизации, если шок происходит во время сегмента </w:t>
      </w:r>
      <w:r>
        <w:rPr>
          <w:lang w:val="en-US" w:eastAsia="en-US" w:bidi="en-US"/>
          <w:w w:val="100"/>
          <w:spacing w:val="0"/>
          <w:color w:val="000000"/>
          <w:position w:val="0"/>
        </w:rPr>
        <w:t xml:space="preserve">SТ </w:t>
      </w:r>
      <w:r>
        <w:rPr>
          <w:lang w:val="ru-RU" w:eastAsia="ru-RU" w:bidi="ru-RU"/>
          <w:w w:val="100"/>
          <w:spacing w:val="0"/>
          <w:color w:val="000000"/>
          <w:position w:val="0"/>
        </w:rPr>
        <w:t>или зубца Т. В редких случаях да</w:t>
        <w:softHyphen/>
        <w:t>же шок с соответствующей синхронизацией может вызвать фибрилляцию желудочков. Аритмии после кардиоверсии обычно носят преходящий характер и не требуют лечения. Эмболические эпизоды могут произойти у 1-3% пациентов, конвертируемых после фибрилляции предсердий к синусовому ритму, если эпизоды продолжаются в течение более 48 часов.</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 Долгосрочная поддерживающая терапия:</w:t>
      </w:r>
    </w:p>
    <w:p>
      <w:pPr>
        <w:pStyle w:val="Style30"/>
        <w:numPr>
          <w:ilvl w:val="0"/>
          <w:numId w:val="161"/>
        </w:numPr>
        <w:tabs>
          <w:tab w:leader="none" w:pos="495" w:val="left"/>
        </w:tabs>
        <w:widowControl w:val="0"/>
        <w:keepNext w:val="0"/>
        <w:keepLines w:val="0"/>
        <w:shd w:val="clear" w:color="auto" w:fill="auto"/>
        <w:bidi w:val="0"/>
        <w:spacing w:before="0" w:after="0"/>
        <w:ind w:left="500" w:right="0" w:hanging="240"/>
      </w:pPr>
      <w:r>
        <w:pict>
          <v:shape id="_x0000_s1814" type="#_x0000_t75" style="position:absolute;margin-left:124.8pt;margin-top:738.25pt;width:209.75pt;height:14.9pt;z-index:-125828822;mso-wrap-distance-left:112.8pt;mso-wrap-distance-right:148.1pt;mso-wrap-distance-bottom:10.8pt;mso-position-horizontal-relative:margin;mso-position-vertical-relative:margin" wrapcoords="0 0 21600 0 21600 21600 0 21600 0 0">
            <v:imagedata r:id="rId1279" r:href="rId1280"/>
            <w10:wrap type="topAndBottom" anchorx="margin" anchory="margin"/>
          </v:shape>
        </w:pict>
      </w:r>
      <w:r>
        <w:rPr>
          <w:lang w:val="ru-RU" w:eastAsia="ru-RU" w:bidi="ru-RU"/>
          <w:w w:val="100"/>
          <w:spacing w:val="0"/>
          <w:color w:val="000000"/>
          <w:position w:val="0"/>
        </w:rPr>
        <w:t>ответ на долгосрочное противоаритмическое лече</w:t>
        <w:softHyphen/>
        <w:t>ние, направленное на профилактику дальнейших эпизодов тахикардии у пациентов с синдромом</w:t>
      </w:r>
      <w:r>
        <w:br w:type="page"/>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ВПУ, носит разнообразный и непредсказуемый ха</w:t>
        <w:softHyphen/>
        <w:t>рактер. Некоторые лекарственные средства могут парадоксально привести к учащению случаев ре- ципрокной тахикардии. Была использована тера</w:t>
        <w:softHyphen/>
        <w:t>пия двумя препаратами, например новокаинами</w:t>
        <w:softHyphen/>
        <w:t xml:space="preserve">дом и верапамилом (класс </w:t>
      </w:r>
      <w:r>
        <w:rPr>
          <w:lang w:val="en-US" w:eastAsia="en-US" w:bidi="en-US"/>
          <w:w w:val="100"/>
          <w:spacing w:val="0"/>
          <w:color w:val="000000"/>
          <w:position w:val="0"/>
        </w:rPr>
        <w:t xml:space="preserve">IA </w:t>
      </w:r>
      <w:r>
        <w:rPr>
          <w:lang w:val="ru-RU" w:eastAsia="ru-RU" w:bidi="ru-RU"/>
          <w:w w:val="100"/>
          <w:spacing w:val="0"/>
          <w:color w:val="000000"/>
          <w:position w:val="0"/>
        </w:rPr>
        <w:t xml:space="preserve">и IV) или хинидином и пропранололом (класс </w:t>
      </w:r>
      <w:r>
        <w:rPr>
          <w:lang w:val="en-US" w:eastAsia="en-US" w:bidi="en-US"/>
          <w:w w:val="100"/>
          <w:spacing w:val="0"/>
          <w:color w:val="000000"/>
          <w:position w:val="0"/>
        </w:rPr>
        <w:t xml:space="preserve">IA </w:t>
      </w:r>
      <w:r>
        <w:rPr>
          <w:lang w:val="ru-RU" w:eastAsia="ru-RU" w:bidi="ru-RU"/>
          <w:w w:val="100"/>
          <w:spacing w:val="0"/>
          <w:color w:val="000000"/>
          <w:position w:val="0"/>
        </w:rPr>
        <w:t>и II). Существуют не</w:t>
        <w:softHyphen/>
        <w:t>безосновательные причины избегать применения хинидина и новокаинамида; в настоящее время су</w:t>
        <w:softHyphen/>
        <w:t>ществуют более безопасные лекарственные сред</w:t>
        <w:softHyphen/>
        <w:t xml:space="preserve">ства. Препараты класса </w:t>
      </w:r>
      <w:r>
        <w:rPr>
          <w:lang w:val="en-US" w:eastAsia="en-US" w:bidi="en-US"/>
          <w:w w:val="100"/>
          <w:spacing w:val="0"/>
          <w:color w:val="000000"/>
          <w:position w:val="0"/>
        </w:rPr>
        <w:t xml:space="preserve">IC </w:t>
      </w:r>
      <w:r>
        <w:rPr>
          <w:lang w:val="ru-RU" w:eastAsia="ru-RU" w:bidi="ru-RU"/>
          <w:w w:val="100"/>
          <w:spacing w:val="0"/>
          <w:color w:val="000000"/>
          <w:position w:val="0"/>
        </w:rPr>
        <w:t xml:space="preserve">(например, </w:t>
      </w:r>
      <w:r>
        <w:rPr>
          <w:rStyle w:val="CharStyle103"/>
        </w:rPr>
        <w:t>амиодарон, соталол)</w:t>
      </w:r>
      <w:r>
        <w:rPr>
          <w:lang w:val="ru-RU" w:eastAsia="ru-RU" w:bidi="ru-RU"/>
          <w:w w:val="100"/>
          <w:spacing w:val="0"/>
          <w:color w:val="000000"/>
          <w:position w:val="0"/>
        </w:rPr>
        <w:t xml:space="preserve"> являются хорошим выбором, однако пре</w:t>
        <w:softHyphen/>
        <w:t xml:space="preserve">параты класса </w:t>
      </w:r>
      <w:r>
        <w:rPr>
          <w:lang w:val="en-US" w:eastAsia="en-US" w:bidi="en-US"/>
          <w:w w:val="100"/>
          <w:spacing w:val="0"/>
          <w:color w:val="000000"/>
          <w:position w:val="0"/>
        </w:rPr>
        <w:t xml:space="preserve">IC </w:t>
      </w:r>
      <w:r>
        <w:rPr>
          <w:lang w:val="ru-RU" w:eastAsia="ru-RU" w:bidi="ru-RU"/>
          <w:w w:val="100"/>
          <w:spacing w:val="0"/>
          <w:color w:val="000000"/>
          <w:position w:val="0"/>
        </w:rPr>
        <w:t>нельзя применять, если у паци</w:t>
        <w:softHyphen/>
        <w:t>ента имеется структурный порок сердца. Лекар</w:t>
        <w:softHyphen/>
        <w:t xml:space="preserve">ственные средства класса </w:t>
      </w:r>
      <w:r>
        <w:rPr>
          <w:lang w:val="en-US" w:eastAsia="en-US" w:bidi="en-US"/>
          <w:w w:val="100"/>
          <w:spacing w:val="0"/>
          <w:color w:val="000000"/>
          <w:position w:val="0"/>
        </w:rPr>
        <w:t xml:space="preserve">IC </w:t>
      </w:r>
      <w:r>
        <w:rPr>
          <w:lang w:val="ru-RU" w:eastAsia="ru-RU" w:bidi="ru-RU"/>
          <w:w w:val="100"/>
          <w:spacing w:val="0"/>
          <w:color w:val="000000"/>
          <w:position w:val="0"/>
        </w:rPr>
        <w:t>можно обычно при</w:t>
        <w:softHyphen/>
        <w:t>менять с одним из препаратов, блокирующих АВ узел;</w:t>
      </w:r>
    </w:p>
    <w:p>
      <w:pPr>
        <w:pStyle w:val="Style30"/>
        <w:numPr>
          <w:ilvl w:val="0"/>
          <w:numId w:val="161"/>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наилучший план — это вообще не использовать никаких лекарственных средств; вместо этого не</w:t>
        <w:softHyphen/>
        <w:t>обходимо направить пациентов с симптоматичес</w:t>
        <w:softHyphen/>
        <w:t>ким синдромом ВПУ на аблацию, так как этот спо - соб излечивает тахикардию и помогает избежать потенциально опасных побочных эффектов лекар - ственных средств;</w:t>
      </w:r>
    </w:p>
    <w:p>
      <w:pPr>
        <w:pStyle w:val="Style30"/>
        <w:numPr>
          <w:ilvl w:val="0"/>
          <w:numId w:val="161"/>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пациенты, у которых имеются дополнительные пути с короткими рефрактерными периодами, яв</w:t>
        <w:softHyphen/>
        <w:t>ляются плохими кандидатами на консервативную терапию, и лучше всего их лечить методом абла</w:t>
        <w:softHyphen/>
        <w:t>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Хирургическое 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Процедуры аблации являются методом выбора лечения. Электродные катетеры можно ввести внутривенно для ло</w:t>
        <w:softHyphen/>
        <w:t>кализации и аблации дополнительного тракта путем подачи электрической или РЧ энергии. В прошлом также широко использовали криотермию, лазеры, постоянный ток источ</w:t>
        <w:softHyphen/>
        <w:t>ника микроволновой (высокочастотной) энергии, но РЧ аблация заменила все эти методы, так как она более эффек</w:t>
        <w:softHyphen/>
        <w:t>тивна, безопасна и рентабельна.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РЧ аблация является в настоящее время методом выбора лечения для большинства взрослых и многих детей с симп</w:t>
        <w:softHyphen/>
        <w:t>томами синдрома ВПУ (например, лица с АВ реципрокной тахикардией или трепетанием/фибрилляцией предсердий с проведением по дополнительному пути). Частота успеха катетерной аблации превышает 90%.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Локализация обходного(-ых) тракта(-ов):</w:t>
      </w:r>
    </w:p>
    <w:p>
      <w:pPr>
        <w:pStyle w:val="Style30"/>
        <w:numPr>
          <w:ilvl w:val="0"/>
          <w:numId w:val="159"/>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Во-первых, провести ЭФИ для (1) определения, что обходной путь является частью тахикардии контура повторного входа, и (2) локализации оп</w:t>
        <w:softHyphen/>
        <w:t>тимального места для аблации. Пути можно лока</w:t>
        <w:softHyphen/>
        <w:t>лизовать в левой или правой свободной стенке или перегородке сердца. Примерно у 5% пациентов возможно наличие множественных путей.</w:t>
      </w:r>
    </w:p>
    <w:p>
      <w:pPr>
        <w:pStyle w:val="Style30"/>
        <w:numPr>
          <w:ilvl w:val="0"/>
          <w:numId w:val="159"/>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Методом аблации можно успешно купировать пути всех локализаций в сердце и у людей всех возраст</w:t>
        <w:softHyphen/>
        <w:t>ных групп. РЧ аблация создает блокаду проведению, что можно наблюдать на внутрисердечной электро</w:t>
        <w:softHyphen/>
        <w:t>грамме (например, во время ЭФИ) между активаци</w:t>
        <w:softHyphen/>
        <w:t>ей предсердия и потенциалом проводящего тракта.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Идентификация места аблации во время ЭФИ:</w:t>
      </w:r>
    </w:p>
    <w:p>
      <w:pPr>
        <w:pStyle w:val="Style30"/>
        <w:numPr>
          <w:ilvl w:val="0"/>
          <w:numId w:val="159"/>
        </w:numPr>
        <w:tabs>
          <w:tab w:leader="none" w:pos="738"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Во время ЭФ-исследований непосредственная ре</w:t>
        <w:softHyphen/>
        <w:t>гистрация дополнительного пути указывает опти</w:t>
        <w:softHyphen/>
        <w:t>мальное место аблации.</w:t>
      </w:r>
    </w:p>
    <w:p>
      <w:pPr>
        <w:pStyle w:val="Style30"/>
        <w:numPr>
          <w:ilvl w:val="0"/>
          <w:numId w:val="159"/>
        </w:numPr>
        <w:tabs>
          <w:tab w:leader="none" w:pos="500" w:val="left"/>
        </w:tabs>
        <w:widowControl w:val="0"/>
        <w:keepNext w:val="0"/>
        <w:keepLines w:val="0"/>
        <w:shd w:val="clear" w:color="auto" w:fill="auto"/>
        <w:bidi w:val="0"/>
        <w:spacing w:before="0" w:after="0"/>
        <w:ind w:left="480" w:right="0" w:hanging="220"/>
      </w:pPr>
      <w:r>
        <w:br w:type="column"/>
      </w:r>
      <w:r>
        <w:rPr>
          <w:lang w:val="ru-RU" w:eastAsia="ru-RU" w:bidi="ru-RU"/>
          <w:w w:val="100"/>
          <w:spacing w:val="0"/>
          <w:color w:val="000000"/>
          <w:position w:val="0"/>
        </w:rPr>
        <w:t>Место желудочкового внедрения указывается по самому раннему наступлению желудочковой элек</w:t>
        <w:softHyphen/>
        <w:t>трограммы по отношению к А-волне.</w:t>
      </w:r>
    </w:p>
    <w:p>
      <w:pPr>
        <w:pStyle w:val="Style30"/>
        <w:numPr>
          <w:ilvl w:val="0"/>
          <w:numId w:val="159"/>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Место атриального внедрения указывается регио</w:t>
        <w:softHyphen/>
        <w:t>ном самого короткого ВА интервала во время ор</w:t>
        <w:softHyphen/>
        <w:t>тодромной тахикардии (АВ реципрокной тахикар</w:t>
        <w:softHyphen/>
        <w:t>дии) или желудочковой стимуляции.</w:t>
      </w:r>
    </w:p>
    <w:p>
      <w:pPr>
        <w:pStyle w:val="Style30"/>
        <w:numPr>
          <w:ilvl w:val="0"/>
          <w:numId w:val="159"/>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Места успешной аблации показывают стабильные флюороскопические и электрические особеннос</w:t>
        <w:softHyphen/>
        <w:t>ти. Во время ортодромной АВ реципрокной тахи</w:t>
        <w:softHyphen/>
        <w:t>кардии время между желудочковыми и предсерд</w:t>
        <w:softHyphen/>
        <w:t>ными потенциалами короткое и может наблюдать</w:t>
        <w:softHyphen/>
        <w:t>ся потенциал пути.</w:t>
      </w:r>
    </w:p>
    <w:p>
      <w:pPr>
        <w:pStyle w:val="Style30"/>
        <w:numPr>
          <w:ilvl w:val="0"/>
          <w:numId w:val="159"/>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Как правило, используют катетер с термистором на конце, который показывает стабильный рост температуры наконечника катетера, говоря о ста</w:t>
        <w:softHyphen/>
        <w:t>бильности катетера и оптимальном контакте меж</w:t>
        <w:softHyphen/>
        <w:t>ду катетером и тканями. Температура кончика ка</w:t>
        <w:softHyphen/>
        <w:t>тетера обычно повышается больше 50°С .</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Показания к РЧ аблации:</w:t>
      </w:r>
    </w:p>
    <w:p>
      <w:pPr>
        <w:pStyle w:val="Style30"/>
        <w:numPr>
          <w:ilvl w:val="0"/>
          <w:numId w:val="159"/>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РЧ аблацию должны проходить пациенты с симп</w:t>
        <w:softHyphen/>
        <w:t>томами АВ реципрокной тахикардии.</w:t>
      </w:r>
    </w:p>
    <w:p>
      <w:pPr>
        <w:pStyle w:val="Style30"/>
        <w:numPr>
          <w:ilvl w:val="0"/>
          <w:numId w:val="159"/>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Показаниями к процедурам РЧ аблации являются фибрилляция предсердий или другие предсердные тахиаритмии, которые имеют быстрый желудочко</w:t>
        <w:softHyphen/>
        <w:t>вый ответ посредством обходного тракта.</w:t>
      </w:r>
    </w:p>
    <w:p>
      <w:pPr>
        <w:pStyle w:val="Style30"/>
        <w:numPr>
          <w:ilvl w:val="0"/>
          <w:numId w:val="159"/>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Пациенты с АВ реципрокной тахикардией или фи</w:t>
        <w:softHyphen/>
        <w:t>брилляцией предсердий с быстрым желудочковым ритмом, случайно выявленные во время ЭФИ по поводу не связанной аритмии, должны проходить РЧ аблацию.</w:t>
      </w:r>
    </w:p>
    <w:p>
      <w:pPr>
        <w:pStyle w:val="Style30"/>
        <w:numPr>
          <w:ilvl w:val="0"/>
          <w:numId w:val="159"/>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Бессимптомные пациенты с преждевременным желудочковым возбуждением, на образ жизни, профессию, социальное обеспечение (страхова</w:t>
        <w:softHyphen/>
        <w:t>ние) и психическое благополучие которых могут оказать влияние непредсказуемые тахиаритмии или у которых последствия таких тахиаритмий мо - гут создавать угрозу для безопасности людей, должны проходить процедуру аблации.</w:t>
      </w:r>
    </w:p>
    <w:p>
      <w:pPr>
        <w:pStyle w:val="Style30"/>
        <w:numPr>
          <w:ilvl w:val="0"/>
          <w:numId w:val="159"/>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Пациенты с фибрилляцией предсердий и контро</w:t>
        <w:softHyphen/>
        <w:t>лируемым желудочковым ответом через обходной путь являются кандидатами на РЧ аблацию.</w:t>
      </w:r>
    </w:p>
    <w:p>
      <w:pPr>
        <w:pStyle w:val="Style30"/>
        <w:numPr>
          <w:ilvl w:val="0"/>
          <w:numId w:val="159"/>
        </w:numPr>
        <w:tabs>
          <w:tab w:leader="none" w:pos="500"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Пациенты с наличием в семейном анамнезе случа</w:t>
        <w:softHyphen/>
        <w:t>ев внезапной сердечной смерти должны проходить РЧ аблацию.</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Прогноз</w:t>
      </w:r>
    </w:p>
    <w:p>
      <w:pPr>
        <w:pStyle w:val="Style30"/>
        <w:numPr>
          <w:ilvl w:val="0"/>
          <w:numId w:val="15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пациентов только с преждевременным возбуждени - ем по данным ЭКГ, у которых нет симптомов, про</w:t>
        <w:softHyphen/>
        <w:t>гноз обычно благоприятный. У большинства из этих пациентов симптомы не развиваются на протяжении всей жизни.</w:t>
      </w:r>
    </w:p>
    <w:p>
      <w:pPr>
        <w:pStyle w:val="Style30"/>
        <w:numPr>
          <w:ilvl w:val="0"/>
          <w:numId w:val="159"/>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пациентов с наличием в семейном анамнезе вне</w:t>
        <w:softHyphen/>
        <w:t>запной сердечной смерти или значительных симп</w:t>
        <w:softHyphen/>
        <w:t>томов тахиаритмий, или остановки сердца прогноз менее благоприятный. Однако после проведения определенных видов лечения, включая терапевти</w:t>
        <w:softHyphen/>
        <w:t>ческую аблацию, прогноз вновь становится благоприятным.</w:t>
      </w:r>
    </w:p>
    <w:p>
      <w:pPr>
        <w:pStyle w:val="Style30"/>
        <w:numPr>
          <w:ilvl w:val="0"/>
          <w:numId w:val="159"/>
        </w:numPr>
        <w:tabs>
          <w:tab w:leader="none" w:pos="234" w:val="left"/>
        </w:tabs>
        <w:widowControl w:val="0"/>
        <w:keepNext w:val="0"/>
        <w:keepLines w:val="0"/>
        <w:shd w:val="clear" w:color="auto" w:fill="auto"/>
        <w:bidi w:val="0"/>
        <w:spacing w:before="0" w:after="0"/>
        <w:ind w:left="260" w:right="0"/>
      </w:pPr>
      <w:r>
        <w:pict>
          <v:shape id="_x0000_s1815" type="#_x0000_t75" style="position:absolute;margin-left:148.1pt;margin-top:738.25pt;width:209.75pt;height:14.9pt;z-index:-125828821;mso-wrap-distance-left:148.1pt;mso-wrap-distance-right:136.8pt;mso-wrap-distance-bottom:10.8pt;mso-position-horizontal-relative:margin;mso-position-vertical-relative:margin" wrapcoords="0 0 21600 0 21600 21600 0 21600 0 0">
            <v:imagedata r:id="rId1281" r:href="rId1282"/>
            <w10:wrap type="topAndBottom" anchorx="margin" anchory="margin"/>
          </v:shape>
        </w:pict>
      </w:r>
      <w:r>
        <w:rPr>
          <w:lang w:val="ru-RU" w:eastAsia="ru-RU" w:bidi="ru-RU"/>
          <w:w w:val="100"/>
          <w:spacing w:val="0"/>
          <w:color w:val="000000"/>
          <w:position w:val="0"/>
        </w:rPr>
        <w:t>Пациенты без симптомов не нуждаются в оценке ме</w:t>
        <w:softHyphen/>
        <w:t>тодами ЭФИ, если только их профессия не связана с повышенным риском. Для бессимптомных пациен</w:t>
        <w:softHyphen/>
        <w:t>тов обычно не требуется стратификации риска.</w:t>
      </w:r>
      <w:r>
        <w:br w:type="page"/>
      </w:r>
    </w:p>
    <w:p>
      <w:pPr>
        <w:pStyle w:val="Style28"/>
        <w:widowControl w:val="0"/>
        <w:keepNext/>
        <w:keepLines/>
        <w:shd w:val="clear" w:color="auto" w:fill="auto"/>
        <w:bidi w:val="0"/>
        <w:jc w:val="both"/>
        <w:spacing w:before="0" w:after="118" w:line="288" w:lineRule="exact"/>
        <w:ind w:left="0" w:right="0" w:firstLine="0"/>
      </w:pPr>
      <w:bookmarkStart w:id="808" w:name="bookmark808"/>
      <w:r>
        <w:rPr>
          <w:lang w:val="ru-RU" w:eastAsia="ru-RU" w:bidi="ru-RU"/>
          <w:w w:val="100"/>
          <w:spacing w:val="0"/>
          <w:color w:val="000000"/>
          <w:position w:val="0"/>
        </w:rPr>
        <w:t>Ускоренный идиовентрикулярный ритм сердца</w:t>
      </w:r>
      <w:bookmarkEnd w:id="80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Ускоренный идиовентрикулярный ритм (УИВР) сердца является разновидностью эктопической или автоматической желудочковой аритмии. Это состояние характеризуется час</w:t>
        <w:softHyphen/>
        <w:t>тотой сокращения желудочков, которая ниже, чем это обыч</w:t>
        <w:softHyphen/>
        <w:t>но определяется для желудочковой тахикардии (ЖТ). Обыч</w:t>
        <w:softHyphen/>
        <w:t>но частота сердечных сокращений составляет менее 100 уда</w:t>
        <w:softHyphen/>
        <w:t>ров в минуту (уд/мин), однако некоторые авторы пользуются ЧСС менее 120 уд/мин. ЧСС часто, но не всегда, немного бы</w:t>
        <w:softHyphen/>
        <w:t>стрее, чем лежащий в основе синусовый ритм; следовательно, желудочковый ритм выступает в роли преобладающего.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УИВР можно также определить как эктопический ритм более чем с 3 последовательными преждевременными со</w:t>
        <w:softHyphen/>
        <w:t>кращениями желудочка с частотой выше, чем нормальная внутренняя желудочковая экстрасистола частотой 30-40 уд/мин, но медленнее, чем ЖТ.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УИВР является электрокардиографическим диагнозом и не вызывает каких-либо особых симптомов. Постановка правильного диагноза остается одной из основных проб</w:t>
        <w:softHyphen/>
        <w:t>лем, так как обычные виды лечения для пациентов с ЖТ могут быть неприменимы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Усиленный автоматизм представляет собой наиболее ве</w:t>
        <w:softHyphen/>
        <w:t>роятный электрофизиологический механизм возникнове</w:t>
        <w:softHyphen/>
        <w:t>ния УИВР. Усиление автоматизма обычно приписывают де</w:t>
        <w:softHyphen/>
        <w:t>поляризации 4-й фазы потенциала действия. УИВР может произойти в волокнах Гиса-Пуркинье или миокарда при аномальных условиях метаболизма.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УИВР возникает из подчиненного очага автоматизма сердца или водителей ритма второго порядка и проявляет</w:t>
        <w:softHyphen/>
        <w:t>ся, когда доминирующий синусовый ритм становится ни</w:t>
        <w:softHyphen/>
        <w:t>же, чем ускоренный ритм в другом отношении подавленно - го очага. Синусовая брадикардия в сочетании с усиленным автоматизмом подчиненного очага является частой пато</w:t>
        <w:softHyphen/>
        <w:t>физиологией.</w:t>
      </w:r>
    </w:p>
    <w:p>
      <w:pPr>
        <w:pStyle w:val="Style30"/>
        <w:widowControl w:val="0"/>
        <w:keepNext w:val="0"/>
        <w:keepLines w:val="0"/>
        <w:shd w:val="clear" w:color="auto" w:fill="auto"/>
        <w:bidi w:val="0"/>
        <w:spacing w:before="0" w:after="240"/>
        <w:ind w:left="0" w:right="0" w:firstLine="280"/>
      </w:pPr>
      <w:r>
        <w:rPr>
          <w:lang w:val="ru-RU" w:eastAsia="ru-RU" w:bidi="ru-RU"/>
          <w:w w:val="100"/>
          <w:spacing w:val="0"/>
          <w:color w:val="000000"/>
          <w:position w:val="0"/>
        </w:rPr>
        <w:t>Некоторые состояния, включая ишемию миокарда (осо</w:t>
        <w:softHyphen/>
        <w:t>бенно ишемию нижней стенки или инфаркт), интоксика</w:t>
        <w:softHyphen/>
        <w:t>цию дигоксином, нарушение электролитного равновесия (например, гипокалиемия) и гипоксемию, могут усугублять деполяризацию 4-й фазы в тканях подчиненного водителя ритма в атриовентрикулярном (А/В) соустье или системе Ги</w:t>
        <w:softHyphen/>
        <w:t>са-Пуркинье, увеличивая таким образом частоту выработки импульсов. Очень часто при наличии ишемии нижней стен</w:t>
        <w:softHyphen/>
        <w:t>ки ускорение подчиненного водителя ритма сосуществует с подавлением синусового узла. Последнее допускает экс</w:t>
        <w:softHyphen/>
        <w:t>трасистолу и доминирование функции водителя ритма, что может произойти при частоте А/В соустных или желудочко</w:t>
        <w:softHyphen/>
        <w:t>вых сокращений всего 60-70 уд/мин. Эктопический меха</w:t>
        <w:softHyphen/>
        <w:t>низм может также начаться после преждевременного желу</w:t>
        <w:softHyphen/>
        <w:t>дочкового комплекса или, как описано выше, когда эктопи</w:t>
        <w:softHyphen/>
        <w:t>ческий желудочковый очаг может ускориться настолько, чтобы взять на себя внутренний ритм.</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Начало АИВР является постепенным (непароксизмаль</w:t>
        <w:softHyphen/>
        <w:t>ным). Желудочковый ритм может быть регулярным или не</w:t>
        <w:softHyphen/>
        <w:t>регулярным, иногда может даже внезапно удваиваться, что говорит о наличии блокады выхода. Желудочковый ритм обычно 60-110 уд/мин, как правило, остается в пределах 10</w:t>
        <w:softHyphen/>
        <w:t>15 ударов синусового ритма; следовательно, контроль рит</w:t>
        <w:softHyphen/>
        <w:br w:type="column"/>
        <w:t>ма сердца иногда проходит вперед и назад между этими дву</w:t>
        <w:softHyphen/>
        <w:t>мя конкурирующими очагами водителя ритма.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Толчки слияния часто развиваются в начале и конце аритмии, это происходит, когда водители ритма соревнуют</w:t>
        <w:softHyphen/>
        <w:t>ся за контроль деполяризации желудочков. Из-за медлен</w:t>
        <w:softHyphen/>
        <w:t>ного ритма также нередко отмечается восстановление си</w:t>
        <w:softHyphen/>
        <w:t>нусового ритма после периода атриовентрикулярной дис</w:t>
        <w:softHyphen/>
        <w:t>социации. Вследствие медленного ритма и непароксиз</w:t>
        <w:softHyphen/>
        <w:t>мального возникновения развитие более быстрых желудоч</w:t>
        <w:softHyphen/>
        <w:t>ковых аритмий отмечается редко. Завершение ритма обыч</w:t>
        <w:softHyphen/>
        <w:t>но происходит постепенно, в то время как лежащий в осно</w:t>
        <w:softHyphen/>
        <w:t>ве синусовый ритм ускоряется или УИВР замедляется.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numPr>
          <w:ilvl w:val="0"/>
          <w:numId w:val="15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детей не установлена.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Может наблюдаться в любом возрасте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Пациенты могут отмечать симптомы или признаки, свя</w:t>
        <w:softHyphen/>
        <w:t>занные со следующими проявлениями:</w:t>
      </w:r>
    </w:p>
    <w:p>
      <w:pPr>
        <w:pStyle w:val="Style30"/>
        <w:numPr>
          <w:ilvl w:val="0"/>
          <w:numId w:val="15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Наличие острого инфаркта миокарда: у пациентов с УИВР наиболее часто имеются в анамнезе недавние или сопутствующие загрудинные боли или другие проявления/признаки развивающегося инфаркта миокарда.</w:t>
      </w:r>
    </w:p>
    <w:p>
      <w:pPr>
        <w:pStyle w:val="Style30"/>
        <w:numPr>
          <w:ilvl w:val="0"/>
          <w:numId w:val="15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Тромболитическая терапия при ведении острого ин</w:t>
        <w:softHyphen/>
        <w:t>фаркта миокарда: более часто у таких пациентов в ис</w:t>
        <w:softHyphen/>
        <w:t>тории болезни имеются терапевтические вмешатель</w:t>
        <w:softHyphen/>
        <w:t>ства, направленные на реваскуляризацию, например, тромболитическая терапия или чрескожная реваску</w:t>
        <w:softHyphen/>
        <w:t>ляризация.</w:t>
      </w:r>
    </w:p>
    <w:p>
      <w:pPr>
        <w:pStyle w:val="Style30"/>
        <w:numPr>
          <w:ilvl w:val="0"/>
          <w:numId w:val="15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Чрескожное коронарное вмешательство: в анамнезе может быть наличие реперфузии закупорки поражен</w:t>
        <w:softHyphen/>
        <w:t>ной инфарктом артерии с использованием таких чре</w:t>
        <w:softHyphen/>
        <w:t>скожных вмешательств, как ангиопластика, чрескож</w:t>
        <w:softHyphen/>
        <w:t>ная чреспросветная коронарная ангиография (ЧЧКА) или внутрикоронарное стентирование.</w:t>
      </w:r>
    </w:p>
    <w:p>
      <w:pPr>
        <w:pStyle w:val="Style30"/>
        <w:numPr>
          <w:ilvl w:val="0"/>
          <w:numId w:val="15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Частое сочетание со спонтанной реканализацией ко</w:t>
        <w:softHyphen/>
        <w:t>ронарной артерии: иногда наличие в анамнезе тром</w:t>
        <w:softHyphen/>
        <w:t>болитической терапии или чрескожных вмеша</w:t>
        <w:softHyphen/>
        <w:t>тельств может отсутствовать. Однако появившиеся ранее боли в груди могут со временем самостоятельно пройти, и улучшение электрокардиографических из</w:t>
        <w:softHyphen/>
        <w:t>менений может отражать спонтанную реканализа</w:t>
        <w:softHyphen/>
        <w:t>цию пораженной инфарктом коронарной артерии.</w:t>
      </w:r>
    </w:p>
    <w:p>
      <w:pPr>
        <w:pStyle w:val="Style30"/>
        <w:numPr>
          <w:ilvl w:val="0"/>
          <w:numId w:val="15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Другие симптомы: у пациентов в анамнезе может быть лечение дигоксином в условиях ишемической кардиомиопатии, мерцания предсердий или ишемии миокарда, у них может быть дигоксиновая интокси</w:t>
        <w:softHyphen/>
        <w:t>кация, которая может проявляться в виде УИВР.</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Физикальное обследование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Данные физикального обследования согласуются с ле</w:t>
        <w:softHyphen/>
        <w:t>жащим в основе заболеванием.</w:t>
      </w:r>
    </w:p>
    <w:p>
      <w:pPr>
        <w:pStyle w:val="Style30"/>
        <w:numPr>
          <w:ilvl w:val="0"/>
          <w:numId w:val="15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пациентов с УИВР может быть медленный пульс (брадикардия). Может присутствовать гипотензия, вызванная брадикардией.</w:t>
      </w:r>
    </w:p>
    <w:p>
      <w:pPr>
        <w:pStyle w:val="Style30"/>
        <w:numPr>
          <w:ilvl w:val="0"/>
          <w:numId w:val="159"/>
        </w:numPr>
        <w:tabs>
          <w:tab w:leader="none" w:pos="513" w:val="left"/>
        </w:tabs>
        <w:widowControl w:val="0"/>
        <w:keepNext w:val="0"/>
        <w:keepLines w:val="0"/>
        <w:shd w:val="clear" w:color="auto" w:fill="auto"/>
        <w:bidi w:val="0"/>
        <w:spacing w:before="0" w:after="0"/>
        <w:ind w:left="520" w:right="0" w:hanging="240"/>
      </w:pPr>
      <w:r>
        <w:pict>
          <v:shape id="_x0000_s1816" type="#_x0000_t75" style="position:absolute;margin-left:136.9pt;margin-top:738.25pt;width:209.75pt;height:14.9pt;z-index:-125828820;mso-wrap-distance-left:136.8pt;mso-wrap-distance-right:147.85pt;mso-wrap-distance-bottom:10.8pt;mso-position-horizontal-relative:margin;mso-position-vertical-relative:margin" wrapcoords="0 0 21600 0 21600 21600 0 21600 0 0">
            <v:imagedata r:id="rId1283" r:href="rId1284"/>
            <w10:wrap type="topAndBottom" anchorx="margin" anchory="margin"/>
          </v:shape>
        </w:pict>
      </w:r>
      <w:r>
        <w:rPr>
          <w:lang w:val="ru-RU" w:eastAsia="ru-RU" w:bidi="ru-RU"/>
          <w:w w:val="100"/>
          <w:spacing w:val="0"/>
          <w:color w:val="000000"/>
          <w:position w:val="0"/>
        </w:rPr>
        <w:t>Из-за АВ диссоциации у пациентов могут быть пу</w:t>
        <w:softHyphen/>
        <w:t xml:space="preserve">шечные </w:t>
      </w:r>
      <w:r>
        <w:rPr>
          <w:lang w:val="en-US" w:eastAsia="en-US" w:bidi="en-US"/>
          <w:w w:val="100"/>
          <w:spacing w:val="0"/>
          <w:color w:val="000000"/>
          <w:position w:val="0"/>
        </w:rPr>
        <w:t>a</w:t>
      </w:r>
      <w:r>
        <w:rPr>
          <w:lang w:val="ru-RU" w:eastAsia="ru-RU" w:bidi="ru-RU"/>
          <w:w w:val="100"/>
          <w:spacing w:val="0"/>
          <w:color w:val="000000"/>
          <w:position w:val="0"/>
        </w:rPr>
        <w:t>-волны. Они представляют собой венозные волны, наблюдаемые на внешней яремной вене на шее, и являются следствием правожелудочкового со</w:t>
        <w:softHyphen/>
        <w:t>кращения, когда трехстворчатый клапан закрыт из-за синхронного сокращения правого желудочка.</w:t>
      </w:r>
      <w:r>
        <w:br w:type="page"/>
      </w:r>
    </w:p>
    <w:p>
      <w:pPr>
        <w:pStyle w:val="Style30"/>
        <w:numPr>
          <w:ilvl w:val="0"/>
          <w:numId w:val="159"/>
        </w:numPr>
        <w:tabs>
          <w:tab w:leader="none" w:pos="514" w:val="left"/>
        </w:tabs>
        <w:widowControl w:val="0"/>
        <w:keepNext w:val="0"/>
        <w:keepLines w:val="0"/>
        <w:shd w:val="clear" w:color="auto" w:fill="auto"/>
        <w:bidi w:val="0"/>
        <w:spacing w:before="0" w:after="0"/>
        <w:ind w:left="500" w:right="0" w:hanging="220"/>
      </w:pPr>
      <w:r>
        <w:pict>
          <v:shape id="_x0000_s1817" type="#_x0000_t202" style="position:absolute;margin-left:0.5pt;margin-top:17.75pt;width:133.45pt;height:11.85pt;z-index:-125828819;mso-wrap-distance-left:5.pt;mso-wrap-distance-top:13.45pt;mso-wrap-distance-right:49.7pt;mso-position-horizontal-relative:margin;mso-position-vertic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123"/>
                    </w:rPr>
                    <w:t xml:space="preserve">Рис. 99. </w:t>
                  </w:r>
                  <w:r>
                    <w:rPr>
                      <w:rStyle w:val="CharStyle90"/>
                    </w:rPr>
                    <w:t>Идиовентрикулярный ритм.</w:t>
                  </w:r>
                </w:p>
              </w:txbxContent>
            </v:textbox>
            <w10:wrap type="topAndBottom" anchorx="margin" anchory="margin"/>
          </v:shape>
        </w:pict>
      </w:r>
      <w:r>
        <w:pict>
          <v:shape id="_x0000_s1818" type="#_x0000_t75" style="position:absolute;margin-left:183.6pt;margin-top:4.3pt;width:309.6pt;height:165.6pt;z-index:-125828818;mso-wrap-distance-left:129.4pt;mso-wrap-distance-right:5.pt;mso-position-horizontal-relative:margin;mso-position-vertical-relative:margin" wrapcoords="0 0 21600 0 21600 21600 0 21600 0 0">
            <v:imagedata r:id="rId1285" r:href="rId1286"/>
            <w10:wrap type="topAndBottom" anchorx="margin" anchory="margin"/>
          </v:shape>
        </w:pict>
      </w:r>
      <w:r>
        <w:rPr>
          <w:lang w:val="ru-RU" w:eastAsia="ru-RU" w:bidi="ru-RU"/>
          <w:w w:val="100"/>
          <w:spacing w:val="0"/>
          <w:color w:val="000000"/>
          <w:position w:val="0"/>
        </w:rPr>
        <w:t>Может отмечаться нерегулярный сердечный ритм. Иногда нерегулярный сердечный ритм развивается из-за переменного доминирования синусового ритма и идиовентрикулярного ритма.</w:t>
      </w:r>
    </w:p>
    <w:p>
      <w:pPr>
        <w:pStyle w:val="Style30"/>
        <w:numPr>
          <w:ilvl w:val="0"/>
          <w:numId w:val="15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Из-за АВ диссоциации и вариации доминантного ритма интенсивность сердечных тонов при аускульта</w:t>
        <w:softHyphen/>
        <w:t>ции может меняться.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Причины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Как правило, аритмия происходит у пациентов со следу</w:t>
        <w:softHyphen/>
        <w:t>ющими особенностями:</w:t>
      </w:r>
    </w:p>
    <w:p>
      <w:pPr>
        <w:pStyle w:val="Style30"/>
        <w:numPr>
          <w:ilvl w:val="0"/>
          <w:numId w:val="159"/>
        </w:numPr>
        <w:tabs>
          <w:tab w:leader="none" w:pos="514"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Заболевание сердца (например, острый инфаркт миокарда, интоксикация гликозидами наперстянки, при реперфузии ранее закупоренной венечной арте</w:t>
        <w:softHyphen/>
        <w:t>рии).</w:t>
      </w:r>
    </w:p>
    <w:p>
      <w:pPr>
        <w:pStyle w:val="Style30"/>
        <w:numPr>
          <w:ilvl w:val="0"/>
          <w:numId w:val="159"/>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Вероятно во время реанимации.</w:t>
      </w:r>
    </w:p>
    <w:p>
      <w:pPr>
        <w:pStyle w:val="Style30"/>
        <w:numPr>
          <w:ilvl w:val="0"/>
          <w:numId w:val="159"/>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Лекарственные средства (например, дигоксин).</w:t>
      </w:r>
    </w:p>
    <w:p>
      <w:pPr>
        <w:pStyle w:val="Style30"/>
        <w:numPr>
          <w:ilvl w:val="0"/>
          <w:numId w:val="159"/>
        </w:numPr>
        <w:tabs>
          <w:tab w:leader="none" w:pos="514"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Дилатационная кардиомиопатия.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оценке миокардиальной и клапанной функции применяется эхокардиография для исключения лежащего в основе сердечного заболевания.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Катетеризация сердца и ангиография могут стать необ</w:t>
        <w:softHyphen/>
        <w:t>ходимыми для пациентов с длительными проявлениями ишемии.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Электрокардиография:</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Желудочковый ритм, как правило, 60-100 (или 120) уд/мин обычно остается в течение 10 ударов синусового ритма (рис. 99).</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Контроль сердечного ритма переключается туда и обратно между 2 конкурирующими очагами води</w:t>
        <w:softHyphen/>
        <w:t>теля ритма (т.е. нормальный или синусовый и идио - вентрикулярный), что ведет к слиянию ударов в на</w:t>
        <w:softHyphen/>
        <w:t>чале и конце аритмии. Из-за медленного ритма так</w:t>
        <w:softHyphen/>
        <w:t>же нередко восстановление синусового ритма после периода атриовентрикулярной диссоциации.</w:t>
      </w:r>
    </w:p>
    <w:p>
      <w:pPr>
        <w:pStyle w:val="Style30"/>
        <w:numPr>
          <w:ilvl w:val="0"/>
          <w:numId w:val="159"/>
        </w:numPr>
        <w:tabs>
          <w:tab w:leader="none" w:pos="737"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 обычной ЭКГ отмечается укорочение интерва</w:t>
        <w:softHyphen/>
        <w:t xml:space="preserve">ла </w:t>
      </w:r>
      <w:r>
        <w:rPr>
          <w:lang w:val="en-US" w:eastAsia="en-US" w:bidi="en-US"/>
          <w:w w:val="100"/>
          <w:spacing w:val="0"/>
          <w:color w:val="000000"/>
          <w:position w:val="0"/>
        </w:rPr>
        <w:t xml:space="preserve">РR, </w:t>
      </w:r>
      <w:r>
        <w:rPr>
          <w:lang w:val="ru-RU" w:eastAsia="ru-RU" w:bidi="ru-RU"/>
          <w:w w:val="100"/>
          <w:spacing w:val="0"/>
          <w:color w:val="000000"/>
          <w:position w:val="0"/>
        </w:rPr>
        <w:t>которое происходит по мере продления ин</w:t>
        <w:softHyphen/>
        <w:t xml:space="preserve">тервалов РР, ведя к возникновению подчиненных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по мере того, как они принимают функцию водителя ритма. После короткого пери</w:t>
        <w:softHyphen/>
        <w:t xml:space="preserve">ода интервал РР укорачивается, Р зубцы возникают вновь перед комплексом </w:t>
      </w:r>
      <w:r>
        <w:rPr>
          <w:lang w:val="en-US" w:eastAsia="en-US" w:bidi="en-US"/>
          <w:w w:val="100"/>
          <w:spacing w:val="0"/>
          <w:color w:val="000000"/>
          <w:position w:val="0"/>
        </w:rPr>
        <w:t xml:space="preserve">QRS, </w:t>
      </w:r>
      <w:r>
        <w:rPr>
          <w:lang w:val="ru-RU" w:eastAsia="ru-RU" w:bidi="ru-RU"/>
          <w:w w:val="100"/>
          <w:spacing w:val="0"/>
          <w:color w:val="000000"/>
          <w:position w:val="0"/>
        </w:rPr>
        <w:t>и синусовый ритм восстанавливается предсердными импульсами.</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При данном состоянии усредненная по сигналу ЭКГ представляет собой неопределенную прогностичес</w:t>
        <w:softHyphen/>
        <w:t>кую ценность.</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Коронарная ангиопластика или имплантация стента может потребоваться, если у пациента имеется значи</w:t>
        <w:softHyphen/>
        <w:t>тельная коронарная окклюзия.</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Если у пациента развивается больший комплекс или рецидивирующие желудочковые аритмии, то могут потребоваться электрофизиологические исследова</w:t>
        <w:softHyphen/>
        <w:t>ния (ЭФИ). ЭФИ сердца представляет собой инва</w:t>
        <w:softHyphen/>
        <w:t>зивный метод для оценки электрической функции сердца. Он позволяет врачам локализовать аномаль</w:t>
        <w:softHyphen/>
        <w:t>ный очаг внутри сердца, который может быть причи</w:t>
        <w:softHyphen/>
        <w:t>ной серьезных аритмий. Во время ЭФИ врачи вводят гибкие катетеры (электроды или провода) в вены и направляют их в камеры сердца. Будучи внутри, ка</w:t>
        <w:softHyphen/>
        <w:t>тетеры могут улавливать электрические импульсы в различных областях сердца; они могут также ис</w:t>
        <w:softHyphen/>
        <w:t>пользоваться для стимуляции различных частей сердца.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Консервативное 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редких случаях требуется фармакологическая или электрическая подавляющая терапия, так как желудочко</w:t>
        <w:softHyphen/>
        <w:t>вый ритм обычно ниже 100 уд/мин. Если существуют следу</w:t>
        <w:softHyphen/>
        <w:t>ющие состояния, то следует рассмотреть возможность даль</w:t>
        <w:softHyphen/>
        <w:t>нейшей терапии:</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Диссоциация АВ приводит к потере последователь</w:t>
        <w:softHyphen/>
        <w:t>ного сокращения АВ и к гемодинамическим выгодам вклада предсердия в наполнение желудочка.</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УИВР происходит при более быстрой ЖТ.</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УИВР начинается с преждевременного желудочково - го комплекса, который имеет короткий интервал би- геминии и вызывает разряд в уязвимом периоде пред</w:t>
        <w:softHyphen/>
        <w:t>шествующего зубца Т.</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Желудочковый ритм является слишком быстрым и вызывает симптомы.</w:t>
      </w:r>
    </w:p>
    <w:p>
      <w:pPr>
        <w:pStyle w:val="Style30"/>
        <w:numPr>
          <w:ilvl w:val="0"/>
          <w:numId w:val="159"/>
        </w:numPr>
        <w:tabs>
          <w:tab w:leader="none" w:pos="513" w:val="left"/>
        </w:tabs>
        <w:widowControl w:val="0"/>
        <w:keepNext w:val="0"/>
        <w:keepLines w:val="0"/>
        <w:shd w:val="clear" w:color="auto" w:fill="auto"/>
        <w:bidi w:val="0"/>
        <w:spacing w:before="0" w:after="0"/>
        <w:ind w:left="500" w:right="0" w:hanging="220"/>
      </w:pPr>
      <w:r>
        <w:pict>
          <v:shape id="_x0000_s1819" type="#_x0000_t75" style="position:absolute;margin-left:148.1pt;margin-top:738.25pt;width:209.75pt;height:14.9pt;z-index:-125828817;mso-wrap-distance-left:147.85pt;mso-wrap-distance-right:136.55pt;mso-wrap-distance-bottom:10.8pt;mso-position-horizontal-relative:margin;mso-position-vertical-relative:margin" wrapcoords="0 0 21600 0 21600 21600 0 21600 0 0">
            <v:imagedata r:id="rId1287" r:href="rId1288"/>
            <w10:wrap type="topAndBottom" anchorx="margin" anchory="margin"/>
          </v:shape>
        </w:pict>
      </w:r>
      <w:r>
        <w:rPr>
          <w:lang w:val="ru-RU" w:eastAsia="ru-RU" w:bidi="ru-RU"/>
          <w:w w:val="100"/>
          <w:spacing w:val="0"/>
          <w:color w:val="000000"/>
          <w:position w:val="0"/>
        </w:rPr>
        <w:t>ЖТ или фибрилляция могут развиться из УИВР, но это происходит очень редко. При показа</w:t>
        <w:softHyphen/>
        <w:t>ниях необходимо проведение соответствующей те</w:t>
        <w:softHyphen/>
        <w:t>рапии, как уже указывалось, для пациентов с ЖТ или фибрилляцией желудочков. Часто простым увеличением синусового ритма при помощи атро</w:t>
        <w:softHyphen/>
        <w:t>пина или стимуляции предсердий УИВР подавля</w:t>
        <w:softHyphen/>
        <w:t>ется.</w:t>
      </w:r>
      <w:r>
        <w:br w:type="page"/>
      </w:r>
    </w:p>
    <w:p>
      <w:pPr>
        <w:pStyle w:val="Style92"/>
        <w:widowControl w:val="0"/>
        <w:keepNext/>
        <w:keepLines/>
        <w:shd w:val="clear" w:color="auto" w:fill="auto"/>
        <w:bidi w:val="0"/>
        <w:spacing w:before="0" w:after="0"/>
        <w:ind w:left="520" w:right="0" w:hanging="240"/>
      </w:pPr>
      <w:bookmarkStart w:id="809" w:name="bookmark809"/>
      <w:r>
        <w:rPr>
          <w:lang w:val="ru-RU" w:eastAsia="ru-RU" w:bidi="ru-RU"/>
          <w:w w:val="100"/>
          <w:spacing w:val="0"/>
          <w:color w:val="000000"/>
          <w:position w:val="0"/>
        </w:rPr>
        <w:t>Хирургическое лечение</w:t>
      </w:r>
      <w:bookmarkEnd w:id="80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Пациентам с УИВР обычно не требуется хирургического лечения; однако в определенных условиях хирургия может быть вариантом выбора. Эти условия включают следующее:</w:t>
      </w:r>
    </w:p>
    <w:p>
      <w:pPr>
        <w:pStyle w:val="Style30"/>
        <w:numPr>
          <w:ilvl w:val="0"/>
          <w:numId w:val="159"/>
        </w:numPr>
        <w:tabs>
          <w:tab w:leader="none" w:pos="513"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УИВР с быстрым желудочковым ответом, частым ре- цидивированием или фибрилляцией желудочков.</w:t>
      </w:r>
    </w:p>
    <w:p>
      <w:pPr>
        <w:pStyle w:val="Style30"/>
        <w:numPr>
          <w:ilvl w:val="0"/>
          <w:numId w:val="15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у пациента развивается больше комплексных или рецидивирующих желудочковых аритмий, может потребоваться ЭФИ. ЭФИ сердца позволяют врачам локализовать аномальный очаг внутри сердца, кото</w:t>
        <w:softHyphen/>
        <w:t>рый может быть причиной серьезных аритмий.</w:t>
      </w:r>
    </w:p>
    <w:p>
      <w:pPr>
        <w:pStyle w:val="Style30"/>
        <w:numPr>
          <w:ilvl w:val="0"/>
          <w:numId w:val="15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Для лечения лежащей в основе ИБС может потребо</w:t>
        <w:softHyphen/>
        <w:t>ваться оптимальная реваскуляризация с ангиоплас</w:t>
        <w:softHyphen/>
        <w:t>тикой или операция коронарного шунтирования.</w:t>
      </w:r>
    </w:p>
    <w:p>
      <w:pPr>
        <w:pStyle w:val="Style30"/>
        <w:numPr>
          <w:ilvl w:val="0"/>
          <w:numId w:val="15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Если пациент симптоматичен или гемодинамически нестабилен, то увеличение предсердного ритма атро</w:t>
        <w:softHyphen/>
        <w:t>пином, изопротеринолом или электростимуляция предсердия ускорит УИВР.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Специфические противоаритмические лекарственные средства (включая лидокаин) могут подавлять подчинен</w:t>
        <w:softHyphen/>
        <w:t>ный водитель ритма, который необходим для поддержания сердечного выброса в присутствии дисфункции нормаль</w:t>
        <w:softHyphen/>
        <w:t>ного синусового узла.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Если необходимы более быстрый желудочковый ритм или АВ синхронизация для гемодинамических эффектов, то попытки усилить сердечный ритм могут увенчаться успе</w:t>
        <w:softHyphen/>
        <w:t>хом при помощи фармакологических препаратов или элек</w:t>
        <w:softHyphen/>
        <w:t>трокардиостимулятора следующим образом:</w:t>
      </w:r>
    </w:p>
    <w:p>
      <w:pPr>
        <w:pStyle w:val="Style30"/>
        <w:numPr>
          <w:ilvl w:val="0"/>
          <w:numId w:val="159"/>
        </w:numPr>
        <w:tabs>
          <w:tab w:leader="none" w:pos="513" w:val="left"/>
        </w:tabs>
        <w:widowControl w:val="0"/>
        <w:keepNext w:val="0"/>
        <w:keepLines w:val="0"/>
        <w:shd w:val="clear" w:color="auto" w:fill="auto"/>
        <w:bidi w:val="0"/>
        <w:spacing w:before="0" w:after="0"/>
        <w:ind w:left="520" w:right="0" w:hanging="240"/>
      </w:pPr>
      <w:r>
        <w:rPr>
          <w:rStyle w:val="CharStyle103"/>
        </w:rPr>
        <w:t>Атропин</w:t>
      </w:r>
      <w:r>
        <w:rPr>
          <w:lang w:val="ru-RU" w:eastAsia="ru-RU" w:bidi="ru-RU"/>
          <w:w w:val="100"/>
          <w:spacing w:val="0"/>
          <w:color w:val="000000"/>
          <w:position w:val="0"/>
        </w:rPr>
        <w:t xml:space="preserve"> (0,6-1,2 мг в/в) может увеличить синусовый ритм и обеспечить возобновление синусом своей нормальной функции водителя ритма, если пред</w:t>
        <w:softHyphen/>
        <w:t>сердно-желудочковая проводимость не нарушена. Атропин оказывает лишь незначительное влияние на ритм очага ускоренного АВ соустья или не оказывает его вовсе. Также можно применять внутривенное вве</w:t>
        <w:softHyphen/>
        <w:t xml:space="preserve">дение </w:t>
      </w:r>
      <w:r>
        <w:rPr>
          <w:rStyle w:val="CharStyle103"/>
        </w:rPr>
        <w:t>изопротеренола</w:t>
      </w:r>
      <w:r>
        <w:rPr>
          <w:lang w:val="ru-RU" w:eastAsia="ru-RU" w:bidi="ru-RU"/>
          <w:w w:val="100"/>
          <w:spacing w:val="0"/>
          <w:color w:val="000000"/>
          <w:position w:val="0"/>
        </w:rPr>
        <w:t xml:space="preserve"> (0,5-2,0 мкг/мин).</w:t>
      </w:r>
    </w:p>
    <w:p>
      <w:pPr>
        <w:pStyle w:val="Style30"/>
        <w:numPr>
          <w:ilvl w:val="0"/>
          <w:numId w:val="159"/>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Временную предсердную или желудочковую электро - стимуляцию можно использовать для поддержания ЧСС, если она достаточно медленная и нарушает ге</w:t>
        <w:softHyphen/>
        <w:t>модинамику, однако это требуется в редких случаях.</w:t>
      </w:r>
    </w:p>
    <w:p>
      <w:pPr>
        <w:pStyle w:val="Style28"/>
        <w:widowControl w:val="0"/>
        <w:keepNext/>
        <w:keepLines/>
        <w:shd w:val="clear" w:color="auto" w:fill="auto"/>
        <w:bidi w:val="0"/>
        <w:jc w:val="left"/>
        <w:spacing w:before="0" w:after="157" w:line="220" w:lineRule="exact"/>
        <w:ind w:left="0" w:right="0" w:firstLine="0"/>
      </w:pPr>
      <w:r>
        <w:br w:type="column"/>
      </w:r>
      <w:bookmarkStart w:id="810" w:name="bookmark810"/>
      <w:r>
        <w:rPr>
          <w:lang w:val="ru-RU" w:eastAsia="ru-RU" w:bidi="ru-RU"/>
          <w:w w:val="100"/>
          <w:spacing w:val="0"/>
          <w:color w:val="000000"/>
          <w:position w:val="0"/>
        </w:rPr>
        <w:t xml:space="preserve">Синдром удлиненного интервала </w:t>
      </w:r>
      <w:r>
        <w:rPr>
          <w:lang w:val="en-US" w:eastAsia="en-US" w:bidi="en-US"/>
          <w:w w:val="100"/>
          <w:spacing w:val="0"/>
          <w:color w:val="000000"/>
          <w:position w:val="0"/>
        </w:rPr>
        <w:t>QT</w:t>
      </w:r>
      <w:bookmarkEnd w:id="81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Синдром удлиненного интервала </w:t>
      </w:r>
      <w:r>
        <w:rPr>
          <w:lang w:val="en-US" w:eastAsia="en-US" w:bidi="en-US"/>
          <w:w w:val="100"/>
          <w:spacing w:val="0"/>
          <w:color w:val="000000"/>
          <w:position w:val="0"/>
        </w:rPr>
        <w:t xml:space="preserve">QТ </w:t>
      </w:r>
      <w:r>
        <w:rPr>
          <w:lang w:val="ru-RU" w:eastAsia="ru-RU" w:bidi="ru-RU"/>
          <w:w w:val="100"/>
          <w:spacing w:val="0"/>
          <w:color w:val="000000"/>
          <w:position w:val="0"/>
        </w:rPr>
        <w:t>(СУОГ) является врожденным нарушением, которое характеризуется удли</w:t>
        <w:softHyphen/>
        <w:t xml:space="preserve">нением интервала </w:t>
      </w:r>
      <w:r>
        <w:rPr>
          <w:lang w:val="en-US" w:eastAsia="en-US" w:bidi="en-US"/>
          <w:w w:val="100"/>
          <w:spacing w:val="0"/>
          <w:color w:val="000000"/>
          <w:position w:val="0"/>
        </w:rPr>
        <w:t xml:space="preserve">QТ </w:t>
      </w:r>
      <w:r>
        <w:rPr>
          <w:lang w:val="ru-RU" w:eastAsia="ru-RU" w:bidi="ru-RU"/>
          <w:w w:val="100"/>
          <w:spacing w:val="0"/>
          <w:color w:val="000000"/>
          <w:position w:val="0"/>
        </w:rPr>
        <w:t>на электрокардиограмме и склонно</w:t>
        <w:softHyphen/>
        <w:t>стью к желудочковым тахиаритмиям, которые могут приве</w:t>
        <w:softHyphen/>
        <w:t>сти к обморочным состояниям, остановке сердца или вне</w:t>
        <w:softHyphen/>
        <w:t>запной смерти.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Интервал </w:t>
      </w:r>
      <w:r>
        <w:rPr>
          <w:lang w:val="en-US" w:eastAsia="en-US" w:bidi="en-US"/>
          <w:w w:val="100"/>
          <w:spacing w:val="0"/>
          <w:color w:val="000000"/>
          <w:position w:val="0"/>
        </w:rPr>
        <w:t xml:space="preserve">QТ </w:t>
      </w:r>
      <w:r>
        <w:rPr>
          <w:lang w:val="ru-RU" w:eastAsia="ru-RU" w:bidi="ru-RU"/>
          <w:w w:val="100"/>
          <w:spacing w:val="0"/>
          <w:color w:val="000000"/>
          <w:position w:val="0"/>
        </w:rPr>
        <w:t xml:space="preserve">на ЭКГ, измеренный от начала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до окончания зубца Т, представляет собой продолжи</w:t>
        <w:softHyphen/>
        <w:t>тельность активации и восстановления миокарда желудоч</w:t>
        <w:softHyphen/>
        <w:t>ков. Продленное восстановление от электрического воз</w:t>
        <w:softHyphen/>
        <w:t>буждения вносит вклад в повышенную вероятность диспер - сии рефрактерности, когда некоторая часть миокарда мо</w:t>
        <w:softHyphen/>
        <w:t>жет быть рефрактерной к последующей деполяризации. Как следствие, волна возбуждения может следовать по оп</w:t>
        <w:softHyphen/>
        <w:t>ределенному пути вокруг очаговой точки в миокарде (ритм кругового повторного входа), ведя к желудочковой тахикар</w:t>
        <w:softHyphen/>
        <w:t>дии, гемодинамически неэффективному сокращению же</w:t>
        <w:softHyphen/>
        <w:t>лудочков, синкопе и, вероятно, внезапной смерти. Значе</w:t>
        <w:softHyphen/>
        <w:t xml:space="preserve">ния </w:t>
      </w:r>
      <w:r>
        <w:rPr>
          <w:lang w:val="en-US" w:eastAsia="en-US" w:bidi="en-US"/>
          <w:w w:val="100"/>
          <w:spacing w:val="0"/>
          <w:color w:val="000000"/>
          <w:position w:val="0"/>
        </w:rPr>
        <w:t xml:space="preserve">QТ </w:t>
      </w:r>
      <w:r>
        <w:rPr>
          <w:lang w:val="ru-RU" w:eastAsia="ru-RU" w:bidi="ru-RU"/>
          <w:w w:val="100"/>
          <w:spacing w:val="0"/>
          <w:color w:val="000000"/>
          <w:position w:val="0"/>
        </w:rPr>
        <w:t>с поправкой на ЧСС выше 0,44 секунд обычно счи</w:t>
        <w:softHyphen/>
        <w:t xml:space="preserve">таются аномальными, хотя были предложены возрастные и половые аномальные значения </w:t>
      </w:r>
      <w:r>
        <w:rPr>
          <w:lang w:val="en-US" w:eastAsia="en-US" w:bidi="en-US"/>
          <w:w w:val="100"/>
          <w:spacing w:val="0"/>
          <w:color w:val="000000"/>
          <w:position w:val="0"/>
        </w:rPr>
        <w:t>QTa</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GVQT </w:t>
      </w:r>
      <w:r>
        <w:rPr>
          <w:lang w:val="ru-RU" w:eastAsia="ru-RU" w:bidi="ru-RU"/>
          <w:w w:val="100"/>
          <w:spacing w:val="0"/>
          <w:color w:val="000000"/>
          <w:position w:val="0"/>
        </w:rPr>
        <w:t xml:space="preserve">был признан как синдром Романо-Уарда (семейная встречаемость наследования по аутосомно-доминантному типу, удлинение </w:t>
      </w:r>
      <w:r>
        <w:rPr>
          <w:lang w:val="en-US" w:eastAsia="en-US" w:bidi="en-US"/>
          <w:w w:val="100"/>
          <w:spacing w:val="0"/>
          <w:color w:val="000000"/>
          <w:position w:val="0"/>
        </w:rPr>
        <w:t xml:space="preserve">QT </w:t>
      </w:r>
      <w:r>
        <w:rPr>
          <w:lang w:val="ru-RU" w:eastAsia="ru-RU" w:bidi="ru-RU"/>
          <w:w w:val="100"/>
          <w:spacing w:val="0"/>
          <w:color w:val="000000"/>
          <w:position w:val="0"/>
        </w:rPr>
        <w:t>и желудочковые тахиаритмии) или синд</w:t>
        <w:softHyphen/>
        <w:t>ром Джервела-Ланге-Нельсена (ДЛН) (семейная встречае</w:t>
        <w:softHyphen/>
        <w:t>мость наследования по аутосомно-рецессивному пути, врож</w:t>
        <w:softHyphen/>
        <w:t xml:space="preserve">денная глухота, удлинение </w:t>
      </w:r>
      <w:r>
        <w:rPr>
          <w:lang w:val="en-US" w:eastAsia="en-US" w:bidi="en-US"/>
          <w:w w:val="100"/>
          <w:spacing w:val="0"/>
          <w:color w:val="000000"/>
          <w:position w:val="0"/>
        </w:rPr>
        <w:t xml:space="preserve">QT </w:t>
      </w:r>
      <w:r>
        <w:rPr>
          <w:lang w:val="ru-RU" w:eastAsia="ru-RU" w:bidi="ru-RU"/>
          <w:w w:val="100"/>
          <w:spacing w:val="0"/>
          <w:color w:val="000000"/>
          <w:position w:val="0"/>
        </w:rPr>
        <w:t>и желудочковые аритмии).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Причинами </w:t>
      </w:r>
      <w:r>
        <w:rPr>
          <w:lang w:val="en-US" w:eastAsia="en-US" w:bidi="en-US"/>
          <w:w w:val="100"/>
          <w:spacing w:val="0"/>
          <w:color w:val="000000"/>
          <w:position w:val="0"/>
        </w:rPr>
        <w:t xml:space="preserve">GVQT </w:t>
      </w:r>
      <w:r>
        <w:rPr>
          <w:lang w:val="ru-RU" w:eastAsia="ru-RU" w:bidi="ru-RU"/>
          <w:w w:val="100"/>
          <w:spacing w:val="0"/>
          <w:color w:val="000000"/>
          <w:position w:val="0"/>
        </w:rPr>
        <w:t>являются мутации генов сердечных ионных каналов; было выявлено 6 хромосомных локусов и 5 специфических генов. На основании генетического фо</w:t>
        <w:softHyphen/>
        <w:t>на было выявлено 6 типов синдрома Романо-Уарда и 2 типа синдрома ДЛН, которые показаны в табл. 37-38.</w:t>
      </w:r>
    </w:p>
    <w:p>
      <w:pPr>
        <w:pStyle w:val="Style30"/>
        <w:widowControl w:val="0"/>
        <w:keepNext w:val="0"/>
        <w:keepLines w:val="0"/>
        <w:shd w:val="clear" w:color="auto" w:fill="auto"/>
        <w:bidi w:val="0"/>
        <w:spacing w:before="0" w:after="0"/>
        <w:ind w:left="0" w:right="0" w:firstLine="280"/>
      </w:pPr>
      <w:r>
        <w:pict>
          <v:shape id="_x0000_s1820" type="#_x0000_t202" style="position:absolute;margin-left:0.5pt;margin-top:470.65pt;width:493.45pt;height:107.3pt;z-index:-125828816;mso-wrap-distance-left:5.pt;mso-wrap-distance-right:5.pt;mso-wrap-distance-bottom:138.7pt;mso-position-horizontal-relative:margin;mso-position-vertical-relative:margin" filled="f" stroked="f">
            <v:textbox style="mso-fit-shape-to-text:t" inset="0,0,0,0">
              <w:txbxContent>
                <w:tbl>
                  <w:tblPr>
                    <w:tblOverlap w:val="never"/>
                    <w:tblLayout w:type="fixed"/>
                    <w:jc w:val="left"/>
                  </w:tblPr>
                  <w:tblGrid>
                    <w:gridCol w:w="2467"/>
                    <w:gridCol w:w="2467"/>
                    <w:gridCol w:w="2462"/>
                    <w:gridCol w:w="2472"/>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60" w:lineRule="exact"/>
                          <w:ind w:left="0" w:right="0" w:firstLine="0"/>
                        </w:pPr>
                        <w:r>
                          <w:rPr>
                            <w:rStyle w:val="CharStyle102"/>
                          </w:rPr>
                          <w:t xml:space="preserve">Тип </w:t>
                        </w:r>
                        <w:r>
                          <w:rPr>
                            <w:rStyle w:val="CharStyle102"/>
                            <w:lang w:val="en-US" w:eastAsia="en-US" w:bidi="en-US"/>
                          </w:rPr>
                          <w:t>СУQТ</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60" w:lineRule="exact"/>
                          <w:ind w:left="0" w:right="0" w:firstLine="0"/>
                        </w:pPr>
                        <w:r>
                          <w:rPr>
                            <w:rStyle w:val="CharStyle102"/>
                          </w:rPr>
                          <w:t>Локус хромосомы</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60" w:lineRule="exact"/>
                          <w:ind w:left="0" w:right="0" w:firstLine="0"/>
                        </w:pPr>
                        <w:r>
                          <w:rPr>
                            <w:rStyle w:val="CharStyle102"/>
                          </w:rPr>
                          <w:t>Мутировавший ген</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60" w:lineRule="exact"/>
                          <w:ind w:left="0" w:right="0" w:firstLine="0"/>
                        </w:pPr>
                        <w:r>
                          <w:rPr>
                            <w:rStyle w:val="CharStyle102"/>
                          </w:rPr>
                          <w:t>Пораженный ток ионов</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Удт1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11p15.5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KVLQT1 (KCNQ1)</w:t>
                        </w: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(гетерозиготы)</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Калиевый ток </w:t>
                        </w:r>
                        <w:r>
                          <w:rPr>
                            <w:lang w:val="en-US" w:eastAsia="en-US" w:bidi="en-US"/>
                            <w:w w:val="100"/>
                            <w:spacing w:val="0"/>
                            <w:color w:val="000000"/>
                            <w:position w:val="0"/>
                          </w:rPr>
                          <w:t>(IKs)</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Удт2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7q35-36</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HERG</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Калиевый ток </w:t>
                        </w:r>
                        <w:r>
                          <w:rPr>
                            <w:lang w:val="en-US" w:eastAsia="en-US" w:bidi="en-US"/>
                            <w:w w:val="100"/>
                            <w:spacing w:val="0"/>
                            <w:color w:val="000000"/>
                            <w:position w:val="0"/>
                          </w:rPr>
                          <w:t>(IKr)</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Удтз</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3p21-24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SCN5A</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Натриевый ток </w:t>
                        </w:r>
                        <w:r>
                          <w:rPr>
                            <w:lang w:val="en-US" w:eastAsia="en-US" w:bidi="en-US"/>
                            <w:w w:val="100"/>
                            <w:spacing w:val="0"/>
                            <w:color w:val="000000"/>
                            <w:position w:val="0"/>
                          </w:rPr>
                          <w:t>(INa)</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Удт4</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4q25-27</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w:t>
                        </w:r>
                      </w:p>
                    </w:tc>
                  </w:tr>
                  <w:tr>
                    <w:trPr>
                      <w:trHeight w:val="235"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Удт5</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21q22.1-22.2</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KCNE1</w:t>
                        </w:r>
                      </w:p>
                    </w:tc>
                    <w:tc>
                      <w:tcPr>
                        <w:shd w:val="clear" w:color="auto" w:fill="FFFFFF"/>
                        <w:tcBorders>
                          <w:left w:val="single" w:sz="4"/>
                          <w:right w:val="single" w:sz="4"/>
                          <w:top w:val="single" w:sz="4"/>
                        </w:tcBorders>
                        <w:vAlign w:val="top"/>
                      </w:tcPr>
                      <w:p>
                        <w:pPr>
                          <w:widowControl w:val="0"/>
                          <w:rPr>
                            <w:sz w:val="10"/>
                            <w:szCs w:val="10"/>
                          </w:rPr>
                        </w:pP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(гетерозиготы)</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Калиевый ток </w:t>
                        </w:r>
                        <w:r>
                          <w:rPr>
                            <w:lang w:val="en-US" w:eastAsia="en-US" w:bidi="en-US"/>
                            <w:w w:val="100"/>
                            <w:spacing w:val="0"/>
                            <w:color w:val="000000"/>
                            <w:position w:val="0"/>
                          </w:rPr>
                          <w:t>(IKs)</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Удтб</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21q22.1-22.2</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MiRPl</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Калиевый ток </w:t>
                        </w:r>
                        <w:r>
                          <w:rPr>
                            <w:lang w:val="en-US" w:eastAsia="en-US" w:bidi="en-US"/>
                            <w:w w:val="100"/>
                            <w:spacing w:val="0"/>
                            <w:color w:val="000000"/>
                            <w:position w:val="0"/>
                          </w:rPr>
                          <w:t>(IKr)</w:t>
                        </w:r>
                      </w:p>
                    </w:tc>
                  </w:tr>
                </w:tbl>
              </w:txbxContent>
            </v:textbox>
            <w10:wrap type="topAndBottom" anchorx="margin" anchory="margin"/>
          </v:shape>
        </w:pict>
      </w:r>
      <w:r>
        <w:pict>
          <v:shape id="_x0000_s1821" type="#_x0000_t202" style="position:absolute;margin-left:450.pt;margin-top:447.6pt;width:45.85pt;height:11.65pt;z-index:-125828815;mso-wrap-distance-left:5.pt;mso-wrap-distance-right:5.pt;mso-wrap-distance-bottom:138.7pt;mso-position-horizontal-relative:margin;mso-position-vertical-relative:margin" filled="f" stroked="f">
            <v:textbox style="mso-fit-shape-to-text:t" inset="0,0,0,0">
              <w:txbxContent>
                <w:p>
                  <w:pPr>
                    <w:pStyle w:val="Style139"/>
                    <w:widowControl w:val="0"/>
                    <w:keepNext w:val="0"/>
                    <w:keepLines w:val="0"/>
                    <w:shd w:val="clear" w:color="auto" w:fill="auto"/>
                    <w:bidi w:val="0"/>
                    <w:jc w:val="left"/>
                    <w:spacing w:before="0" w:after="0" w:line="180" w:lineRule="exact"/>
                    <w:ind w:left="0" w:right="0" w:firstLine="0"/>
                  </w:pPr>
                  <w:r>
                    <w:rPr>
                      <w:rStyle w:val="CharStyle143"/>
                      <w:b/>
                      <w:bCs/>
                      <w:i/>
                      <w:iCs/>
                    </w:rPr>
                    <w:t>Таблица 37</w:t>
                  </w:r>
                </w:p>
              </w:txbxContent>
            </v:textbox>
            <w10:wrap type="topAndBottom" anchorx="margin" anchory="margin"/>
          </v:shape>
        </w:pict>
      </w:r>
      <w:r>
        <w:pict>
          <v:shape id="_x0000_s1822" type="#_x0000_t202" style="position:absolute;margin-left:101.8pt;margin-top:458.2pt;width:291.35pt;height:11.85pt;z-index:-125828814;mso-wrap-distance-left:5.pt;mso-wrap-distance-right:5.pt;mso-wrap-distance-bottom:138.7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 xml:space="preserve">Генетический фон наследственной формы </w:t>
                  </w:r>
                  <w:r>
                    <w:rPr>
                      <w:rStyle w:val="CharStyle97"/>
                      <w:lang w:val="en-US" w:eastAsia="en-US" w:bidi="en-US"/>
                    </w:rPr>
                    <w:t xml:space="preserve">CyQT </w:t>
                  </w:r>
                  <w:r>
                    <w:rPr>
                      <w:rStyle w:val="CharStyle97"/>
                    </w:rPr>
                    <w:t>(Синдром Романо-Уарда)</w:t>
                  </w:r>
                </w:p>
              </w:txbxContent>
            </v:textbox>
            <w10:wrap type="topAndBottom" anchorx="margin" anchory="margin"/>
          </v:shape>
        </w:pict>
      </w:r>
      <w:r>
        <w:pict>
          <v:shape id="_x0000_s1823" type="#_x0000_t202" style="position:absolute;margin-left:72.25pt;margin-top:587.8pt;width:350.4pt;height:11.85pt;z-index:-125828813;mso-wrap-distance-left:5.pt;mso-wrap-distance-right:5.pt;mso-wrap-distance-bottom:138.7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 xml:space="preserve">Генетический фон наследственной формы </w:t>
                  </w:r>
                  <w:r>
                    <w:rPr>
                      <w:rStyle w:val="CharStyle97"/>
                      <w:lang w:val="en-US" w:eastAsia="en-US" w:bidi="en-US"/>
                    </w:rPr>
                    <w:t xml:space="preserve">СУQT </w:t>
                  </w:r>
                  <w:r>
                    <w:rPr>
                      <w:rStyle w:val="CharStyle97"/>
                    </w:rPr>
                    <w:t>(Синдром Джервела — Ланге-Нельсена)</w:t>
                  </w:r>
                </w:p>
              </w:txbxContent>
            </v:textbox>
            <w10:wrap type="topAndBottom" anchorx="margin" anchory="margin"/>
          </v:shape>
        </w:pict>
      </w:r>
      <w:r>
        <w:pict>
          <v:shape id="_x0000_s1824" type="#_x0000_t202" style="position:absolute;margin-left:0.5pt;margin-top:577.2pt;width:493.45pt;height:5.e-002pt;z-index:-125828812;mso-wrap-distance-left:5.pt;mso-wrap-distance-top:129.6pt;mso-wrap-distance-right:5.pt;mso-wrap-distance-bottom:63.6pt;mso-position-horizontal-relative:margin;mso-position-vertical-relative:margin" filled="f" stroked="f">
            <v:textbox style="mso-fit-shape-to-text:t" inset="0,0,0,0">
              <w:txbxContent>
                <w:p>
                  <w:pPr>
                    <w:pStyle w:val="Style139"/>
                    <w:widowControl w:val="0"/>
                    <w:keepNext w:val="0"/>
                    <w:keepLines w:val="0"/>
                    <w:shd w:val="clear" w:color="auto" w:fill="auto"/>
                    <w:bidi w:val="0"/>
                    <w:jc w:val="left"/>
                    <w:spacing w:before="0" w:after="0" w:line="180" w:lineRule="exact"/>
                    <w:ind w:left="0" w:right="0" w:firstLine="0"/>
                  </w:pPr>
                  <w:r>
                    <w:rPr>
                      <w:rStyle w:val="CharStyle143"/>
                      <w:b/>
                      <w:bCs/>
                      <w:i/>
                      <w:iCs/>
                    </w:rPr>
                    <w:t>Таблица 38</w:t>
                  </w:r>
                </w:p>
                <w:tbl>
                  <w:tblPr>
                    <w:tblOverlap w:val="never"/>
                    <w:tblLayout w:type="fixed"/>
                    <w:jc w:val="center"/>
                  </w:tblPr>
                  <w:tblGrid>
                    <w:gridCol w:w="2467"/>
                    <w:gridCol w:w="2467"/>
                    <w:gridCol w:w="2462"/>
                    <w:gridCol w:w="2472"/>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60" w:lineRule="exact"/>
                          <w:ind w:left="0" w:right="0" w:firstLine="0"/>
                        </w:pPr>
                        <w:r>
                          <w:rPr>
                            <w:rStyle w:val="CharStyle102"/>
                          </w:rPr>
                          <w:t xml:space="preserve">Тип </w:t>
                        </w:r>
                        <w:r>
                          <w:rPr>
                            <w:rStyle w:val="CharStyle102"/>
                            <w:lang w:val="en-US" w:eastAsia="en-US" w:bidi="en-US"/>
                          </w:rPr>
                          <w:t>СУQТ</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60" w:lineRule="exact"/>
                          <w:ind w:left="0" w:right="0" w:firstLine="0"/>
                        </w:pPr>
                        <w:r>
                          <w:rPr>
                            <w:rStyle w:val="CharStyle102"/>
                          </w:rPr>
                          <w:t>Локус хромосомы</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60" w:lineRule="exact"/>
                          <w:ind w:left="0" w:right="0" w:firstLine="0"/>
                        </w:pPr>
                        <w:r>
                          <w:rPr>
                            <w:rStyle w:val="CharStyle102"/>
                          </w:rPr>
                          <w:t>Мутировавший ген</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60" w:lineRule="exact"/>
                          <w:ind w:left="0" w:right="0" w:firstLine="0"/>
                        </w:pPr>
                        <w:r>
                          <w:rPr>
                            <w:rStyle w:val="CharStyle102"/>
                          </w:rPr>
                          <w:t>Пораженный ток ионов</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ДЛН1</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11p15.5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KVLQT1 (KCNQ1)</w:t>
                        </w: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(гомозиготный)</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Калиевый ток </w:t>
                        </w:r>
                        <w:r>
                          <w:rPr>
                            <w:lang w:val="en-US" w:eastAsia="en-US" w:bidi="en-US"/>
                            <w:w w:val="100"/>
                            <w:spacing w:val="0"/>
                            <w:color w:val="000000"/>
                            <w:position w:val="0"/>
                          </w:rPr>
                          <w:t>(IKs)</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ДЛН2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21q22.1-22.2</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KCNE1</w:t>
                        </w:r>
                      </w:p>
                    </w:tc>
                    <w:tc>
                      <w:tcPr>
                        <w:shd w:val="clear" w:color="auto" w:fill="FFFFFF"/>
                        <w:tcBorders>
                          <w:left w:val="single" w:sz="4"/>
                          <w:right w:val="single" w:sz="4"/>
                          <w:top w:val="single" w:sz="4"/>
                        </w:tcBorders>
                        <w:vAlign w:val="top"/>
                      </w:tcPr>
                      <w:p>
                        <w:pPr>
                          <w:widowControl w:val="0"/>
                          <w:rPr>
                            <w:sz w:val="10"/>
                            <w:szCs w:val="10"/>
                          </w:rPr>
                        </w:pP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(гомозиготный)</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Калиевый ток </w:t>
                        </w:r>
                        <w:r>
                          <w:rPr>
                            <w:lang w:val="en-US" w:eastAsia="en-US" w:bidi="en-US"/>
                            <w:w w:val="100"/>
                            <w:spacing w:val="0"/>
                            <w:color w:val="000000"/>
                            <w:position w:val="0"/>
                          </w:rPr>
                          <w:t>(IKs)</w:t>
                        </w:r>
                      </w:p>
                    </w:tc>
                    <w:tc>
                      <w:tcPr>
                        <w:shd w:val="clear" w:color="auto" w:fill="FFFFFF"/>
                        <w:tcBorders>
                          <w:left w:val="single" w:sz="4"/>
                          <w:top w:val="single" w:sz="4"/>
                          <w:bottom w:val="single" w:sz="4"/>
                        </w:tcBorders>
                        <w:vAlign w:val="top"/>
                      </w:tcPr>
                      <w:p>
                        <w:pPr>
                          <w:widowControl w:val="0"/>
                          <w:rPr>
                            <w:sz w:val="10"/>
                            <w:szCs w:val="10"/>
                          </w:rPr>
                        </w:pP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widowControl w:val="0"/>
                    <w:rPr>
                      <w:sz w:val="2"/>
                      <w:szCs w:val="2"/>
                    </w:rPr>
                  </w:pPr>
                </w:p>
              </w:txbxContent>
            </v:textbox>
            <w10:wrap type="topAndBottom" anchorx="margin" anchory="margin"/>
          </v:shape>
        </w:pict>
      </w:r>
      <w:r>
        <w:pict>
          <v:shape id="_x0000_s1825" type="#_x0000_t75" style="position:absolute;margin-left:136.8pt;margin-top:738.25pt;width:209.75pt;height:14.9pt;z-index:-125828811;mso-wrap-distance-left:136.8pt;mso-wrap-distance-right:148.1pt;mso-wrap-distance-bottom:10.8pt;mso-position-horizontal-relative:margin;mso-position-vertical-relative:margin" wrapcoords="0 0 21600 0 21600 21600 0 21600 0 0">
            <v:imagedata r:id="rId1289" r:href="rId1290"/>
            <w10:wrap type="topAndBottom" anchorx="margin" anchory="margin"/>
          </v:shape>
        </w:pict>
      </w:r>
      <w:r>
        <w:rPr>
          <w:lang w:val="ru-RU" w:eastAsia="ru-RU" w:bidi="ru-RU"/>
          <w:w w:val="100"/>
          <w:spacing w:val="0"/>
          <w:color w:val="000000"/>
          <w:position w:val="0"/>
        </w:rPr>
        <w:t xml:space="preserve">Удлинение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 xml:space="preserve">при </w:t>
      </w:r>
      <w:r>
        <w:rPr>
          <w:lang w:val="en-US" w:eastAsia="en-US" w:bidi="en-US"/>
          <w:w w:val="100"/>
          <w:spacing w:val="0"/>
          <w:color w:val="000000"/>
          <w:position w:val="0"/>
        </w:rPr>
        <w:t xml:space="preserve">СУQТ </w:t>
      </w:r>
      <w:r>
        <w:rPr>
          <w:lang w:val="ru-RU" w:eastAsia="ru-RU" w:bidi="ru-RU"/>
          <w:w w:val="100"/>
          <w:spacing w:val="0"/>
          <w:color w:val="000000"/>
          <w:position w:val="0"/>
        </w:rPr>
        <w:t>происходит вслед</w:t>
        <w:softHyphen/>
        <w:t>ствие перегрузки клеток миокарда положительно заряжен</w:t>
        <w:softHyphen/>
        <w:t xml:space="preserve">ными ионами во время деполяризации желудочков. При типах </w:t>
      </w:r>
      <w:r>
        <w:rPr>
          <w:lang w:val="en-US" w:eastAsia="en-US" w:bidi="en-US"/>
          <w:w w:val="100"/>
          <w:spacing w:val="0"/>
          <w:color w:val="000000"/>
          <w:position w:val="0"/>
        </w:rPr>
        <w:t xml:space="preserve">УQТ1, УQТ2, УQТ5 </w:t>
      </w:r>
      <w:r>
        <w:rPr>
          <w:lang w:val="ru-RU" w:eastAsia="ru-RU" w:bidi="ru-RU"/>
          <w:w w:val="100"/>
          <w:spacing w:val="0"/>
          <w:color w:val="000000"/>
          <w:position w:val="0"/>
        </w:rPr>
        <w:t xml:space="preserve">и </w:t>
      </w:r>
      <w:r>
        <w:rPr>
          <w:lang w:val="en-US" w:eastAsia="en-US" w:bidi="en-US"/>
          <w:w w:val="100"/>
          <w:spacing w:val="0"/>
          <w:color w:val="000000"/>
          <w:position w:val="0"/>
        </w:rPr>
        <w:t xml:space="preserve">УQТ6 </w:t>
      </w:r>
      <w:r>
        <w:rPr>
          <w:lang w:val="ru-RU" w:eastAsia="ru-RU" w:bidi="ru-RU"/>
          <w:w w:val="100"/>
          <w:spacing w:val="0"/>
          <w:color w:val="000000"/>
          <w:position w:val="0"/>
        </w:rPr>
        <w:t>калиевые каналы за</w:t>
        <w:softHyphen/>
        <w:t>блокированы или они открываются с запозданием или от-</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крываются на более короткий период, чем нормально функционирующие каналы, приводя к снижению направ</w:t>
        <w:softHyphen/>
        <w:t>ленного наружу калиевого тока и продлению реполяриза</w:t>
        <w:softHyphen/>
        <w:t xml:space="preserve">ции. При </w:t>
      </w:r>
      <w:r>
        <w:rPr>
          <w:lang w:val="en-US" w:eastAsia="en-US" w:bidi="en-US"/>
          <w:w w:val="100"/>
          <w:spacing w:val="0"/>
          <w:color w:val="000000"/>
          <w:position w:val="0"/>
        </w:rPr>
        <w:t xml:space="preserve">yQT3, </w:t>
      </w:r>
      <w:r>
        <w:rPr>
          <w:lang w:val="ru-RU" w:eastAsia="ru-RU" w:bidi="ru-RU"/>
          <w:w w:val="100"/>
          <w:spacing w:val="0"/>
          <w:color w:val="000000"/>
          <w:position w:val="0"/>
        </w:rPr>
        <w:t>вызванном мутациями гена натриевого ка</w:t>
        <w:softHyphen/>
        <w:t xml:space="preserve">нала </w:t>
      </w:r>
      <w:r>
        <w:rPr>
          <w:lang w:val="en-US" w:eastAsia="en-US" w:bidi="en-US"/>
          <w:w w:val="100"/>
          <w:spacing w:val="0"/>
          <w:color w:val="000000"/>
          <w:position w:val="0"/>
        </w:rPr>
        <w:t xml:space="preserve">SCN5А, </w:t>
      </w:r>
      <w:r>
        <w:rPr>
          <w:lang w:val="ru-RU" w:eastAsia="ru-RU" w:bidi="ru-RU"/>
          <w:w w:val="100"/>
          <w:spacing w:val="0"/>
          <w:color w:val="000000"/>
          <w:position w:val="0"/>
        </w:rPr>
        <w:t>в пролонгированную реполяризацию свой вклад вносит внутренний натриевый ток.</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Подсчитано, что </w:t>
      </w:r>
      <w:r>
        <w:rPr>
          <w:lang w:val="en-US" w:eastAsia="en-US" w:bidi="en-US"/>
          <w:w w:val="100"/>
          <w:spacing w:val="0"/>
          <w:color w:val="000000"/>
          <w:position w:val="0"/>
        </w:rPr>
        <w:t xml:space="preserve">yQT1, </w:t>
      </w:r>
      <w:r>
        <w:rPr>
          <w:lang w:val="ru-RU" w:eastAsia="ru-RU" w:bidi="ru-RU"/>
          <w:w w:val="100"/>
          <w:spacing w:val="0"/>
          <w:color w:val="000000"/>
          <w:position w:val="0"/>
        </w:rPr>
        <w:t>вызванный мутациями гена ка</w:t>
        <w:softHyphen/>
        <w:t xml:space="preserve">лиевых каналов </w:t>
      </w:r>
      <w:r>
        <w:rPr>
          <w:lang w:val="en-US" w:eastAsia="en-US" w:bidi="en-US"/>
          <w:w w:val="100"/>
          <w:spacing w:val="0"/>
          <w:color w:val="000000"/>
          <w:position w:val="0"/>
        </w:rPr>
        <w:t xml:space="preserve">KVLQT1 IKs, </w:t>
      </w:r>
      <w:r>
        <w:rPr>
          <w:lang w:val="ru-RU" w:eastAsia="ru-RU" w:bidi="ru-RU"/>
          <w:w w:val="100"/>
          <w:spacing w:val="0"/>
          <w:color w:val="000000"/>
          <w:position w:val="0"/>
        </w:rPr>
        <w:t xml:space="preserve">и </w:t>
      </w:r>
      <w:r>
        <w:rPr>
          <w:lang w:val="en-US" w:eastAsia="en-US" w:bidi="en-US"/>
          <w:w w:val="100"/>
          <w:spacing w:val="0"/>
          <w:color w:val="000000"/>
          <w:position w:val="0"/>
        </w:rPr>
        <w:t xml:space="preserve">yQT2, </w:t>
      </w:r>
      <w:r>
        <w:rPr>
          <w:lang w:val="ru-RU" w:eastAsia="ru-RU" w:bidi="ru-RU"/>
          <w:w w:val="100"/>
          <w:spacing w:val="0"/>
          <w:color w:val="000000"/>
          <w:position w:val="0"/>
        </w:rPr>
        <w:t>вызванный мутаци</w:t>
        <w:softHyphen/>
        <w:t xml:space="preserve">ями гена калиевых каналов </w:t>
      </w:r>
      <w:r>
        <w:rPr>
          <w:lang w:val="en-US" w:eastAsia="en-US" w:bidi="en-US"/>
          <w:w w:val="100"/>
          <w:spacing w:val="0"/>
          <w:color w:val="000000"/>
          <w:position w:val="0"/>
        </w:rPr>
        <w:t xml:space="preserve">HERG IKr, </w:t>
      </w:r>
      <w:r>
        <w:rPr>
          <w:lang w:val="ru-RU" w:eastAsia="ru-RU" w:bidi="ru-RU"/>
          <w:w w:val="100"/>
          <w:spacing w:val="0"/>
          <w:color w:val="000000"/>
          <w:position w:val="0"/>
        </w:rPr>
        <w:t>отвечают за боль</w:t>
        <w:softHyphen/>
        <w:t xml:space="preserve">шинство (87%) случаев </w:t>
      </w:r>
      <w:r>
        <w:rPr>
          <w:lang w:val="en-US" w:eastAsia="en-US" w:bidi="en-US"/>
          <w:w w:val="100"/>
          <w:spacing w:val="0"/>
          <w:color w:val="000000"/>
          <w:position w:val="0"/>
        </w:rPr>
        <w:t xml:space="preserve">СУQТ </w:t>
      </w:r>
      <w:r>
        <w:rPr>
          <w:lang w:val="ru-RU" w:eastAsia="ru-RU" w:bidi="ru-RU"/>
          <w:w w:val="100"/>
          <w:spacing w:val="0"/>
          <w:color w:val="000000"/>
          <w:position w:val="0"/>
        </w:rPr>
        <w:t xml:space="preserve">с известным генотипом. УQТ3 отвечает за 8%, в то время как </w:t>
      </w:r>
      <w:r>
        <w:rPr>
          <w:lang w:val="en-US" w:eastAsia="en-US" w:bidi="en-US"/>
          <w:w w:val="100"/>
          <w:spacing w:val="0"/>
          <w:color w:val="000000"/>
          <w:position w:val="0"/>
        </w:rPr>
        <w:t xml:space="preserve">УQТ5 </w:t>
      </w:r>
      <w:r>
        <w:rPr>
          <w:lang w:val="ru-RU" w:eastAsia="ru-RU" w:bidi="ru-RU"/>
          <w:w w:val="100"/>
          <w:spacing w:val="0"/>
          <w:color w:val="000000"/>
          <w:position w:val="0"/>
        </w:rPr>
        <w:t xml:space="preserve">и </w:t>
      </w:r>
      <w:r>
        <w:rPr>
          <w:lang w:val="en-US" w:eastAsia="en-US" w:bidi="en-US"/>
          <w:w w:val="100"/>
          <w:spacing w:val="0"/>
          <w:color w:val="000000"/>
          <w:position w:val="0"/>
        </w:rPr>
        <w:t xml:space="preserve">УQТ6 </w:t>
      </w:r>
      <w:r>
        <w:rPr>
          <w:lang w:val="ru-RU" w:eastAsia="ru-RU" w:bidi="ru-RU"/>
          <w:w w:val="100"/>
          <w:spacing w:val="0"/>
          <w:color w:val="000000"/>
          <w:position w:val="0"/>
        </w:rPr>
        <w:t>встреча</w:t>
        <w:softHyphen/>
        <w:t xml:space="preserve">ются крайне редко, отвечая за 5% случаев </w:t>
      </w:r>
      <w:r>
        <w:rPr>
          <w:lang w:val="en-US" w:eastAsia="en-US" w:bidi="en-US"/>
          <w:w w:val="100"/>
          <w:spacing w:val="0"/>
          <w:color w:val="000000"/>
          <w:position w:val="0"/>
        </w:rPr>
        <w:t xml:space="preserve">СУQТ. </w:t>
      </w:r>
      <w:r>
        <w:rPr>
          <w:lang w:val="ru-RU" w:eastAsia="ru-RU" w:bidi="ru-RU"/>
          <w:w w:val="100"/>
          <w:spacing w:val="0"/>
          <w:color w:val="000000"/>
          <w:position w:val="0"/>
        </w:rPr>
        <w:t>Гомозигот</w:t>
        <w:softHyphen/>
        <w:t xml:space="preserve">ные мутации </w:t>
      </w:r>
      <w:r>
        <w:rPr>
          <w:lang w:val="en-US" w:eastAsia="en-US" w:bidi="en-US"/>
          <w:w w:val="100"/>
          <w:spacing w:val="0"/>
          <w:color w:val="000000"/>
          <w:position w:val="0"/>
        </w:rPr>
        <w:t xml:space="preserve">KVLQT1 </w:t>
      </w:r>
      <w:r>
        <w:rPr>
          <w:lang w:val="ru-RU" w:eastAsia="ru-RU" w:bidi="ru-RU"/>
          <w:w w:val="100"/>
          <w:spacing w:val="0"/>
          <w:color w:val="000000"/>
          <w:position w:val="0"/>
        </w:rPr>
        <w:t xml:space="preserve">и </w:t>
      </w:r>
      <w:r>
        <w:rPr>
          <w:lang w:val="en-US" w:eastAsia="en-US" w:bidi="en-US"/>
          <w:w w:val="100"/>
          <w:spacing w:val="0"/>
          <w:color w:val="000000"/>
          <w:position w:val="0"/>
        </w:rPr>
        <w:t xml:space="preserve">KCNE1 </w:t>
      </w:r>
      <w:r>
        <w:rPr>
          <w:lang w:val="ru-RU" w:eastAsia="ru-RU" w:bidi="ru-RU"/>
          <w:w w:val="100"/>
          <w:spacing w:val="0"/>
          <w:color w:val="000000"/>
          <w:position w:val="0"/>
        </w:rPr>
        <w:t>ассоциированы с врожден</w:t>
        <w:softHyphen/>
        <w:t xml:space="preserve">ной глухотой (синдромом ДЛН) и отвечают менее чем за 1% случаев </w:t>
      </w:r>
      <w:r>
        <w:rPr>
          <w:lang w:val="en-US" w:eastAsia="en-US" w:bidi="en-US"/>
          <w:w w:val="100"/>
          <w:spacing w:val="0"/>
          <w:color w:val="000000"/>
          <w:position w:val="0"/>
        </w:rPr>
        <w:t xml:space="preserve">СУQТ. </w:t>
      </w:r>
      <w:r>
        <w:rPr>
          <w:lang w:val="ru-RU" w:eastAsia="ru-RU" w:bidi="ru-RU"/>
          <w:w w:val="100"/>
          <w:spacing w:val="0"/>
          <w:color w:val="000000"/>
          <w:position w:val="0"/>
        </w:rPr>
        <w:t>К настоящему времени выявлено около 200 различных мутаций этих генов. Существует значитель</w:t>
        <w:softHyphen/>
        <w:t>ная вариация фенотипов на результатах электрокардиогра</w:t>
        <w:softHyphen/>
        <w:t>фических исследований (морфология зубца Т), факторов, являющихся пусковым механизмом сердечных событий и риска сердечных событий, в зависимости от задейство</w:t>
        <w:softHyphen/>
        <w:t>ванного гена и вида мутации. Из-за того, что не все извест</w:t>
        <w:softHyphen/>
        <w:t xml:space="preserve">ные случаи </w:t>
      </w:r>
      <w:r>
        <w:rPr>
          <w:lang w:val="en-US" w:eastAsia="en-US" w:bidi="en-US"/>
          <w:w w:val="100"/>
          <w:spacing w:val="0"/>
          <w:color w:val="000000"/>
          <w:position w:val="0"/>
        </w:rPr>
        <w:t xml:space="preserve">СУQТ </w:t>
      </w:r>
      <w:r>
        <w:rPr>
          <w:lang w:val="ru-RU" w:eastAsia="ru-RU" w:bidi="ru-RU"/>
          <w:w w:val="100"/>
          <w:spacing w:val="0"/>
          <w:color w:val="000000"/>
          <w:position w:val="0"/>
        </w:rPr>
        <w:t>вызваны мутациями указанных выше ге</w:t>
        <w:softHyphen/>
        <w:t>нов, в будущем можно ожидать выявления других генов, вызывающих данное нарушение.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Пролонгированная реполяризация у людей с </w:t>
      </w:r>
      <w:r>
        <w:rPr>
          <w:lang w:val="en-US" w:eastAsia="en-US" w:bidi="en-US"/>
          <w:w w:val="100"/>
          <w:spacing w:val="0"/>
          <w:color w:val="000000"/>
          <w:position w:val="0"/>
        </w:rPr>
        <w:t xml:space="preserve">CyQT </w:t>
      </w:r>
      <w:r>
        <w:rPr>
          <w:lang w:val="ru-RU" w:eastAsia="ru-RU" w:bidi="ru-RU"/>
          <w:w w:val="100"/>
          <w:spacing w:val="0"/>
          <w:color w:val="000000"/>
          <w:position w:val="0"/>
        </w:rPr>
        <w:t>предрасполагает к аритмии типа «пируэт» (полиморфной желудочковой тахикардии), которая может привести к фи</w:t>
        <w:softHyphen/>
        <w:t>брилляции желудочков и внезапной сердечной смерти. Не</w:t>
        <w:softHyphen/>
        <w:t xml:space="preserve">однородность реполяризации по всему миокарду является лежащим в основе субстратом этой аритмии, которая часто запускается преждевременным сокращением желудочков, вызывая нерегулярность ЧСС в последовательности «ко- роткий-длинный-короткий». Высока вероятность, что аритмия типа «пируэт» у пациентов с </w:t>
      </w:r>
      <w:r>
        <w:rPr>
          <w:lang w:val="en-US" w:eastAsia="en-US" w:bidi="en-US"/>
          <w:w w:val="100"/>
          <w:spacing w:val="0"/>
          <w:color w:val="000000"/>
          <w:position w:val="0"/>
        </w:rPr>
        <w:t xml:space="preserve">CVQT </w:t>
      </w:r>
      <w:r>
        <w:rPr>
          <w:lang w:val="ru-RU" w:eastAsia="ru-RU" w:bidi="ru-RU"/>
          <w:w w:val="100"/>
          <w:spacing w:val="0"/>
          <w:color w:val="000000"/>
          <w:position w:val="0"/>
        </w:rPr>
        <w:t>завершится са</w:t>
        <w:softHyphen/>
        <w:t>мостоятельно, что объясняет относительно низкую общую смертность (риск смерти) от сердечных событий.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Аритмическому ответу у пациентов с </w:t>
      </w:r>
      <w:r>
        <w:rPr>
          <w:lang w:val="en-US" w:eastAsia="en-US" w:bidi="en-US"/>
          <w:w w:val="100"/>
          <w:spacing w:val="0"/>
          <w:color w:val="000000"/>
          <w:position w:val="0"/>
        </w:rPr>
        <w:t xml:space="preserve">CyQT </w:t>
      </w:r>
      <w:r>
        <w:rPr>
          <w:lang w:val="ru-RU" w:eastAsia="ru-RU" w:bidi="ru-RU"/>
          <w:w w:val="100"/>
          <w:spacing w:val="0"/>
          <w:color w:val="000000"/>
          <w:position w:val="0"/>
        </w:rPr>
        <w:t>могут пред</w:t>
        <w:softHyphen/>
        <w:t>шествовать разнообразные адренергические раздражители, включая физическую нагрузку, эмоциональный стресс, громкий шум и плаванье, но она может произойти и без та</w:t>
        <w:softHyphen/>
        <w:t>ких предшествующих состояний.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Вызванное лекарственными средствами удлинение </w:t>
      </w:r>
      <w:r>
        <w:rPr>
          <w:lang w:val="en-US" w:eastAsia="en-US" w:bidi="en-US"/>
          <w:w w:val="100"/>
          <w:spacing w:val="0"/>
          <w:color w:val="000000"/>
          <w:position w:val="0"/>
        </w:rPr>
        <w:t xml:space="preserve">QT </w:t>
      </w:r>
      <w:r>
        <w:rPr>
          <w:lang w:val="ru-RU" w:eastAsia="ru-RU" w:bidi="ru-RU"/>
          <w:w w:val="100"/>
          <w:spacing w:val="0"/>
          <w:color w:val="000000"/>
          <w:position w:val="0"/>
        </w:rPr>
        <w:t>также может привести к увеличению риска желудочковых тахиаритмий (например, аритмия типа «пируэт») и внезап</w:t>
        <w:softHyphen/>
        <w:t>ной сердечной смерти посредством ионного механизма, на</w:t>
        <w:softHyphen/>
        <w:t xml:space="preserve">блюдаемого при врожденном </w:t>
      </w:r>
      <w:r>
        <w:rPr>
          <w:lang w:val="en-US" w:eastAsia="en-US" w:bidi="en-US"/>
          <w:w w:val="100"/>
          <w:spacing w:val="0"/>
          <w:color w:val="000000"/>
          <w:position w:val="0"/>
        </w:rPr>
        <w:t>CyQT.</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CyQT </w:t>
      </w:r>
      <w:r>
        <w:rPr>
          <w:lang w:val="ru-RU" w:eastAsia="ru-RU" w:bidi="ru-RU"/>
          <w:w w:val="100"/>
          <w:spacing w:val="0"/>
          <w:color w:val="000000"/>
          <w:position w:val="0"/>
        </w:rPr>
        <w:t>встречается у 1 на 3 000-5 000 человек.</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Новые случаи </w:t>
      </w:r>
      <w:r>
        <w:rPr>
          <w:lang w:val="en-US" w:eastAsia="en-US" w:bidi="en-US"/>
          <w:w w:val="100"/>
          <w:spacing w:val="0"/>
          <w:color w:val="000000"/>
          <w:position w:val="0"/>
        </w:rPr>
        <w:t xml:space="preserve">CyQT </w:t>
      </w:r>
      <w:r>
        <w:rPr>
          <w:lang w:val="ru-RU" w:eastAsia="ru-RU" w:bidi="ru-RU"/>
          <w:w w:val="100"/>
          <w:spacing w:val="0"/>
          <w:color w:val="000000"/>
          <w:position w:val="0"/>
        </w:rPr>
        <w:t>более часто диагностируются у лиц женского пола (60-70%), чем мужского. Преобладание у женщин может быть связано с более длинной продолжи</w:t>
        <w:softHyphen/>
        <w:t xml:space="preserve">тельностью </w:t>
      </w:r>
      <w:r>
        <w:rPr>
          <w:lang w:val="en-US" w:eastAsia="en-US" w:bidi="en-US"/>
          <w:w w:val="100"/>
          <w:spacing w:val="0"/>
          <w:color w:val="000000"/>
          <w:position w:val="0"/>
        </w:rPr>
        <w:t xml:space="preserve">QT, </w:t>
      </w:r>
      <w:r>
        <w:rPr>
          <w:lang w:val="ru-RU" w:eastAsia="ru-RU" w:bidi="ru-RU"/>
          <w:w w:val="100"/>
          <w:spacing w:val="0"/>
          <w:color w:val="000000"/>
          <w:position w:val="0"/>
        </w:rPr>
        <w:t xml:space="preserve">скорректированной на </w:t>
      </w:r>
      <w:r>
        <w:rPr>
          <w:lang w:val="en-US" w:eastAsia="en-US" w:bidi="en-US"/>
          <w:w w:val="100"/>
          <w:spacing w:val="0"/>
          <w:color w:val="000000"/>
          <w:position w:val="0"/>
        </w:rPr>
        <w:t xml:space="preserve">4CC </w:t>
      </w:r>
      <w:r>
        <w:rPr>
          <w:lang w:val="ru-RU" w:eastAsia="ru-RU" w:bidi="ru-RU"/>
          <w:w w:val="100"/>
          <w:spacing w:val="0"/>
          <w:color w:val="000000"/>
          <w:position w:val="0"/>
        </w:rPr>
        <w:t>с использова</w:t>
        <w:softHyphen/>
        <w:t xml:space="preserve">нием формулы Базетта </w:t>
      </w:r>
      <w:r>
        <w:rPr>
          <w:lang w:val="en-US" w:eastAsia="en-US" w:bidi="en-US"/>
          <w:w w:val="100"/>
          <w:spacing w:val="0"/>
          <w:color w:val="000000"/>
          <w:position w:val="0"/>
        </w:rPr>
        <w:t xml:space="preserve">(QTe) </w:t>
      </w:r>
      <w:r>
        <w:rPr>
          <w:lang w:val="ru-RU" w:eastAsia="ru-RU" w:bidi="ru-RU"/>
          <w:w w:val="100"/>
          <w:spacing w:val="0"/>
          <w:color w:val="000000"/>
          <w:position w:val="0"/>
        </w:rPr>
        <w:t xml:space="preserve">у взрослых женщин, чем у мужчин, и с более высокой смертностью у молодых лиц мужского пола. Частота </w:t>
      </w:r>
      <w:r>
        <w:rPr>
          <w:lang w:val="en-US" w:eastAsia="en-US" w:bidi="en-US"/>
          <w:w w:val="100"/>
          <w:spacing w:val="0"/>
          <w:color w:val="000000"/>
          <w:position w:val="0"/>
        </w:rPr>
        <w:t xml:space="preserve">CyQT </w:t>
      </w:r>
      <w:r>
        <w:rPr>
          <w:lang w:val="ru-RU" w:eastAsia="ru-RU" w:bidi="ru-RU"/>
          <w:w w:val="100"/>
          <w:spacing w:val="0"/>
          <w:color w:val="000000"/>
          <w:position w:val="0"/>
        </w:rPr>
        <w:t>у мужчин и женщин одина</w:t>
        <w:softHyphen/>
        <w:t xml:space="preserve">кова в семьях с выявленным </w:t>
      </w:r>
      <w:r>
        <w:rPr>
          <w:lang w:val="en-US" w:eastAsia="en-US" w:bidi="en-US"/>
          <w:w w:val="100"/>
          <w:spacing w:val="0"/>
          <w:color w:val="000000"/>
          <w:position w:val="0"/>
        </w:rPr>
        <w:t>CyQT.</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Беременность не связана с более высокой частотой сердечных событий, в то время как послеродовой пе</w:t>
        <w:softHyphen/>
        <w:t>риод ассоциирован с достоверно повышенным риском сердечных событий. Отмечена более высокая частота совпадения сердечных событий с менструациями.</w:t>
      </w:r>
    </w:p>
    <w:p>
      <w:pPr>
        <w:pStyle w:val="Style92"/>
        <w:widowControl w:val="0"/>
        <w:keepNext/>
        <w:keepLines/>
        <w:shd w:val="clear" w:color="auto" w:fill="auto"/>
        <w:bidi w:val="0"/>
        <w:spacing w:before="0" w:after="0"/>
        <w:ind w:left="520" w:right="0" w:hanging="240"/>
      </w:pPr>
      <w:r>
        <w:br w:type="column"/>
      </w:r>
      <w:bookmarkStart w:id="811" w:name="bookmark811"/>
      <w:r>
        <w:rPr>
          <w:lang w:val="ru-RU" w:eastAsia="ru-RU" w:bidi="ru-RU"/>
          <w:w w:val="100"/>
          <w:spacing w:val="0"/>
          <w:color w:val="000000"/>
          <w:position w:val="0"/>
        </w:rPr>
        <w:t>Возраст</w:t>
      </w:r>
      <w:bookmarkEnd w:id="811"/>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y </w:t>
      </w:r>
      <w:r>
        <w:rPr>
          <w:lang w:val="ru-RU" w:eastAsia="ru-RU" w:bidi="ru-RU"/>
          <w:w w:val="100"/>
          <w:spacing w:val="0"/>
          <w:color w:val="000000"/>
          <w:position w:val="0"/>
        </w:rPr>
        <w:t xml:space="preserve">пациентов с </w:t>
      </w:r>
      <w:r>
        <w:rPr>
          <w:lang w:val="en-US" w:eastAsia="en-US" w:bidi="en-US"/>
          <w:w w:val="100"/>
          <w:spacing w:val="0"/>
          <w:color w:val="000000"/>
          <w:position w:val="0"/>
        </w:rPr>
        <w:t xml:space="preserve">CyQT </w:t>
      </w:r>
      <w:r>
        <w:rPr>
          <w:lang w:val="ru-RU" w:eastAsia="ru-RU" w:bidi="ru-RU"/>
          <w:w w:val="100"/>
          <w:spacing w:val="0"/>
          <w:color w:val="000000"/>
          <w:position w:val="0"/>
        </w:rPr>
        <w:t>сердечные события (обморок, не</w:t>
        <w:softHyphen/>
        <w:t xml:space="preserve">состоявшаяся остановка сердца, внезапная смерть) обычно происходят в молодом возрасте (в детстве, подростковом периоде или в раннем взрослом возрасте). Риск смерти от </w:t>
      </w:r>
      <w:r>
        <w:rPr>
          <w:lang w:val="en-US" w:eastAsia="en-US" w:bidi="en-US"/>
          <w:w w:val="100"/>
          <w:spacing w:val="0"/>
          <w:color w:val="000000"/>
          <w:position w:val="0"/>
        </w:rPr>
        <w:t xml:space="preserve">CyQT </w:t>
      </w:r>
      <w:r>
        <w:rPr>
          <w:lang w:val="ru-RU" w:eastAsia="ru-RU" w:bidi="ru-RU"/>
          <w:w w:val="100"/>
          <w:spacing w:val="0"/>
          <w:color w:val="000000"/>
          <w:position w:val="0"/>
        </w:rPr>
        <w:t>выше у мальчиков, чем у девочек, моложе 10 лет, за</w:t>
        <w:softHyphen/>
        <w:t>тем выравниваясь у мужчин и женщин.</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Диагноз </w:t>
      </w:r>
      <w:r>
        <w:rPr>
          <w:lang w:val="en-US" w:eastAsia="en-US" w:bidi="en-US"/>
          <w:w w:val="100"/>
          <w:spacing w:val="0"/>
          <w:color w:val="000000"/>
          <w:position w:val="0"/>
        </w:rPr>
        <w:t xml:space="preserve">CyQT </w:t>
      </w:r>
      <w:r>
        <w:rPr>
          <w:lang w:val="ru-RU" w:eastAsia="ru-RU" w:bidi="ru-RU"/>
          <w:w w:val="100"/>
          <w:spacing w:val="0"/>
          <w:color w:val="000000"/>
          <w:position w:val="0"/>
        </w:rPr>
        <w:t xml:space="preserve">обычно ставится после того, как произо - шло сердечное событие (например, обморок, остановка сердца). В некоторых случаях </w:t>
      </w:r>
      <w:r>
        <w:rPr>
          <w:lang w:val="en-US" w:eastAsia="en-US" w:bidi="en-US"/>
          <w:w w:val="100"/>
          <w:spacing w:val="0"/>
          <w:color w:val="000000"/>
          <w:position w:val="0"/>
        </w:rPr>
        <w:t xml:space="preserve">CyQT </w:t>
      </w:r>
      <w:r>
        <w:rPr>
          <w:lang w:val="ru-RU" w:eastAsia="ru-RU" w:bidi="ru-RU"/>
          <w:w w:val="100"/>
          <w:spacing w:val="0"/>
          <w:color w:val="000000"/>
          <w:position w:val="0"/>
        </w:rPr>
        <w:t xml:space="preserve">диагностируют после внезапной смерти у членов семьи. </w:t>
      </w:r>
      <w:r>
        <w:rPr>
          <w:rStyle w:val="CharStyle181"/>
          <w:lang w:val="ru-RU" w:eastAsia="ru-RU" w:bidi="ru-RU"/>
        </w:rPr>
        <w:t>у</w:t>
      </w:r>
      <w:r>
        <w:rPr>
          <w:lang w:val="ru-RU" w:eastAsia="ru-RU" w:bidi="ru-RU"/>
          <w:w w:val="100"/>
          <w:spacing w:val="0"/>
          <w:color w:val="000000"/>
          <w:position w:val="0"/>
        </w:rPr>
        <w:t xml:space="preserve"> некоторых лиц диагноз </w:t>
      </w:r>
      <w:r>
        <w:rPr>
          <w:lang w:val="en-US" w:eastAsia="en-US" w:bidi="en-US"/>
          <w:w w:val="100"/>
          <w:spacing w:val="0"/>
          <w:color w:val="000000"/>
          <w:position w:val="0"/>
        </w:rPr>
        <w:t xml:space="preserve">CyQT </w:t>
      </w:r>
      <w:r>
        <w:rPr>
          <w:lang w:val="ru-RU" w:eastAsia="ru-RU" w:bidi="ru-RU"/>
          <w:w w:val="100"/>
          <w:spacing w:val="0"/>
          <w:color w:val="000000"/>
          <w:position w:val="0"/>
        </w:rPr>
        <w:t>устанавливается на основании результатов ЭКГ, по</w:t>
        <w:softHyphen/>
        <w:t xml:space="preserve">казывающих удлинение </w:t>
      </w:r>
      <w:r>
        <w:rPr>
          <w:lang w:val="en-US" w:eastAsia="en-US" w:bidi="en-US"/>
          <w:w w:val="100"/>
          <w:spacing w:val="0"/>
          <w:color w:val="000000"/>
          <w:position w:val="0"/>
        </w:rPr>
        <w:t>QT.</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Наличие в анамнезе внезапной смерти является на</w:t>
        <w:softHyphen/>
        <w:t>иболее типичным клиническим проявлением у паци</w:t>
        <w:softHyphen/>
        <w:t xml:space="preserve">ентов с </w:t>
      </w:r>
      <w:r>
        <w:rPr>
          <w:lang w:val="en-US" w:eastAsia="en-US" w:bidi="en-US"/>
          <w:w w:val="100"/>
          <w:spacing w:val="0"/>
          <w:color w:val="000000"/>
          <w:position w:val="0"/>
        </w:rPr>
        <w:t xml:space="preserve">CyQT. </w:t>
      </w:r>
      <w:r>
        <w:rPr>
          <w:lang w:val="ru-RU" w:eastAsia="ru-RU" w:bidi="ru-RU"/>
          <w:w w:val="100"/>
          <w:spacing w:val="0"/>
          <w:color w:val="000000"/>
          <w:position w:val="0"/>
        </w:rPr>
        <w:t>Пусковым моментом событий могут быть физическая нагрузка, плаванье или эмоциональ</w:t>
        <w:softHyphen/>
        <w:t>ный стресс, но они также могут произойти и во время ночного сна. Пусковые события несколько различа</w:t>
        <w:softHyphen/>
        <w:t xml:space="preserve">ются по генотипу. У пациентов с </w:t>
      </w:r>
      <w:r>
        <w:rPr>
          <w:lang w:val="en-US" w:eastAsia="en-US" w:bidi="en-US"/>
          <w:w w:val="100"/>
          <w:spacing w:val="0"/>
          <w:color w:val="000000"/>
          <w:position w:val="0"/>
        </w:rPr>
        <w:t xml:space="preserve">yQT1 </w:t>
      </w:r>
      <w:r>
        <w:rPr>
          <w:lang w:val="ru-RU" w:eastAsia="ru-RU" w:bidi="ru-RU"/>
          <w:w w:val="100"/>
          <w:spacing w:val="0"/>
          <w:color w:val="000000"/>
          <w:position w:val="0"/>
        </w:rPr>
        <w:t>сердечным со</w:t>
        <w:softHyphen/>
        <w:t xml:space="preserve">бытиям обычно предшествует физическая нагрузка или плаванье, у пациентов с </w:t>
      </w:r>
      <w:r>
        <w:rPr>
          <w:lang w:val="en-US" w:eastAsia="en-US" w:bidi="en-US"/>
          <w:w w:val="100"/>
          <w:spacing w:val="0"/>
          <w:color w:val="000000"/>
          <w:position w:val="0"/>
        </w:rPr>
        <w:t xml:space="preserve">yQT2 </w:t>
      </w:r>
      <w:r>
        <w:rPr>
          <w:lang w:val="ru-RU" w:eastAsia="ru-RU" w:bidi="ru-RU"/>
          <w:w w:val="100"/>
          <w:spacing w:val="0"/>
          <w:color w:val="000000"/>
          <w:position w:val="0"/>
        </w:rPr>
        <w:t>аритмические со</w:t>
        <w:softHyphen/>
        <w:t xml:space="preserve">бытия происходят как после эмоционального стресса, так и после физической нагрузки, а у пациентов с </w:t>
      </w:r>
      <w:r>
        <w:rPr>
          <w:lang w:val="en-US" w:eastAsia="en-US" w:bidi="en-US"/>
          <w:w w:val="100"/>
          <w:spacing w:val="0"/>
          <w:color w:val="000000"/>
          <w:position w:val="0"/>
        </w:rPr>
        <w:t xml:space="preserve">yQT3 </w:t>
      </w:r>
      <w:r>
        <w:rPr>
          <w:lang w:val="ru-RU" w:eastAsia="ru-RU" w:bidi="ru-RU"/>
          <w:w w:val="100"/>
          <w:spacing w:val="0"/>
          <w:color w:val="000000"/>
          <w:position w:val="0"/>
        </w:rPr>
        <w:t>события обычно происходят во время ночно</w:t>
        <w:softHyphen/>
        <w:t>го сна.</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Важно получить информацию о снижении или по</w:t>
        <w:softHyphen/>
        <w:t>тере слуха у пациента и членов семьи для определе</w:t>
        <w:softHyphen/>
        <w:t xml:space="preserve">ния вероятности </w:t>
      </w:r>
      <w:r>
        <w:rPr>
          <w:lang w:val="en-US" w:eastAsia="en-US" w:bidi="en-US"/>
          <w:w w:val="100"/>
          <w:spacing w:val="0"/>
          <w:color w:val="000000"/>
          <w:position w:val="0"/>
        </w:rPr>
        <w:t>CyQT.</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Информация о принятых лекарственных препаратах является ключевой для дифференциального диагноза врожденного </w:t>
      </w:r>
      <w:r>
        <w:rPr>
          <w:lang w:val="en-US" w:eastAsia="en-US" w:bidi="en-US"/>
          <w:w w:val="100"/>
          <w:spacing w:val="0"/>
          <w:color w:val="000000"/>
          <w:position w:val="0"/>
        </w:rPr>
        <w:t xml:space="preserve">CyQT </w:t>
      </w:r>
      <w:r>
        <w:rPr>
          <w:lang w:val="ru-RU" w:eastAsia="ru-RU" w:bidi="ru-RU"/>
          <w:w w:val="100"/>
          <w:spacing w:val="0"/>
          <w:color w:val="000000"/>
          <w:position w:val="0"/>
        </w:rPr>
        <w:t xml:space="preserve">и вызванного лекарственными средствами удлинения </w:t>
      </w:r>
      <w:r>
        <w:rPr>
          <w:lang w:val="en-US" w:eastAsia="en-US" w:bidi="en-US"/>
          <w:w w:val="100"/>
          <w:spacing w:val="0"/>
          <w:color w:val="000000"/>
          <w:position w:val="0"/>
        </w:rPr>
        <w:t xml:space="preserve">QT </w:t>
      </w:r>
      <w:r>
        <w:rPr>
          <w:lang w:val="ru-RU" w:eastAsia="ru-RU" w:bidi="ru-RU"/>
          <w:w w:val="100"/>
          <w:spacing w:val="0"/>
          <w:color w:val="000000"/>
          <w:position w:val="0"/>
        </w:rPr>
        <w:t>(что может также иметь ге</w:t>
        <w:softHyphen/>
        <w:t>нетический фон). &amp;исок лекарственных препара</w:t>
        <w:softHyphen/>
        <w:t xml:space="preserve">тов, которые могут повлиять на реполяризацию и/или вызвать аритмию типа «пируэт», можно найти в Интернете по адресу </w:t>
      </w:r>
      <w:r>
        <w:fldChar w:fldCharType="begin"/>
      </w:r>
      <w:r>
        <w:rPr>
          <w:color w:val="000000"/>
        </w:rPr>
        <w:instrText> HYPERLINK "http://WWW.QTdrugs.org" </w:instrText>
      </w:r>
      <w:r>
        <w:fldChar w:fldCharType="separate"/>
      </w:r>
      <w:r>
        <w:rPr>
          <w:rStyle w:val="Hyperlink"/>
          <w:lang w:val="en-US" w:eastAsia="en-US" w:bidi="en-US"/>
          <w:w w:val="100"/>
          <w:spacing w:val="0"/>
          <w:position w:val="0"/>
        </w:rPr>
        <w:t>WWW.QTdrugs.org</w:t>
      </w:r>
      <w:r>
        <w:fldChar w:fldCharType="end"/>
      </w:r>
      <w:r>
        <w:rPr>
          <w:lang w:val="en-US" w:eastAsia="en-US" w:bidi="en-US"/>
          <w:w w:val="100"/>
          <w:spacing w:val="0"/>
          <w:color w:val="000000"/>
          <w:position w:val="0"/>
        </w:rPr>
        <w:t>.</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Наличие в семейном анамнезе остановки сердца или внезапной смерти, особенно в молодом возрасте, может свидетельствовать о врожденном (семейном) </w:t>
      </w:r>
      <w:r>
        <w:rPr>
          <w:lang w:val="en-US" w:eastAsia="en-US" w:bidi="en-US"/>
          <w:w w:val="100"/>
          <w:spacing w:val="0"/>
          <w:color w:val="000000"/>
          <w:position w:val="0"/>
        </w:rPr>
        <w:t>CyQT.</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Анализ продолжительности </w:t>
      </w:r>
      <w:r>
        <w:rPr>
          <w:lang w:val="en-US" w:eastAsia="en-US" w:bidi="en-US"/>
          <w:w w:val="100"/>
          <w:spacing w:val="0"/>
          <w:color w:val="000000"/>
          <w:position w:val="0"/>
        </w:rPr>
        <w:t xml:space="preserve">QTe </w:t>
      </w:r>
      <w:r>
        <w:rPr>
          <w:lang w:val="ru-RU" w:eastAsia="ru-RU" w:bidi="ru-RU"/>
          <w:w w:val="100"/>
          <w:spacing w:val="0"/>
          <w:color w:val="000000"/>
          <w:position w:val="0"/>
        </w:rPr>
        <w:t>и морфологии по данным ЭКГ пациента и членов семьи часто позволя</w:t>
        <w:softHyphen/>
        <w:t>ет установить правильный диагноз.</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Физикальные данные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Данные физикального обследования обычно не дают указаний на диагноз </w:t>
      </w:r>
      <w:r>
        <w:rPr>
          <w:lang w:val="en-US" w:eastAsia="en-US" w:bidi="en-US"/>
          <w:w w:val="100"/>
          <w:spacing w:val="0"/>
          <w:color w:val="000000"/>
          <w:position w:val="0"/>
        </w:rPr>
        <w:t xml:space="preserve">CyQT, </w:t>
      </w:r>
      <w:r>
        <w:rPr>
          <w:lang w:val="ru-RU" w:eastAsia="ru-RU" w:bidi="ru-RU"/>
          <w:w w:val="100"/>
          <w:spacing w:val="0"/>
          <w:color w:val="000000"/>
          <w:position w:val="0"/>
        </w:rPr>
        <w:t>хотя у некоторых пациентов может быть чрезмерная тахикардия для их возраста или по</w:t>
        <w:softHyphen/>
        <w:t xml:space="preserve">теря слуха (врожденная глухота), указывая на возможность </w:t>
      </w:r>
      <w:r>
        <w:rPr>
          <w:lang w:val="en-US" w:eastAsia="en-US" w:bidi="en-US"/>
          <w:w w:val="100"/>
          <w:spacing w:val="0"/>
          <w:color w:val="000000"/>
          <w:position w:val="0"/>
        </w:rPr>
        <w:t xml:space="preserve">CyQT. </w:t>
      </w:r>
      <w:r>
        <w:rPr>
          <w:lang w:val="ru-RU" w:eastAsia="ru-RU" w:bidi="ru-RU"/>
          <w:w w:val="100"/>
          <w:spacing w:val="0"/>
          <w:color w:val="000000"/>
          <w:position w:val="0"/>
        </w:rPr>
        <w:t>Tакже необходимо провести физикальное обследо</w:t>
        <w:softHyphen/>
        <w:t>вание для исключения потенциальных причин аритмичес</w:t>
        <w:softHyphen/>
        <w:t>ких и синкопальных событий в другом отношении здоро</w:t>
        <w:softHyphen/>
        <w:t>вых лиц (например, шумы сердца, вызванные гипертрофи</w:t>
        <w:softHyphen/>
        <w:t>ческой кардиомиопатией, пороки клапанов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Лабораторная диагностика</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Провести рутинную проверку уровней калия (и иног</w:t>
        <w:softHyphen/>
        <w:t xml:space="preserve">да магния) у пациентов с удлинением </w:t>
      </w:r>
      <w:r>
        <w:rPr>
          <w:lang w:val="en-US" w:eastAsia="en-US" w:bidi="en-US"/>
          <w:w w:val="100"/>
          <w:spacing w:val="0"/>
          <w:color w:val="000000"/>
          <w:position w:val="0"/>
        </w:rPr>
        <w:t xml:space="preserve">QT </w:t>
      </w:r>
      <w:r>
        <w:rPr>
          <w:lang w:val="ru-RU" w:eastAsia="ru-RU" w:bidi="ru-RU"/>
          <w:w w:val="100"/>
          <w:spacing w:val="0"/>
          <w:color w:val="000000"/>
          <w:position w:val="0"/>
        </w:rPr>
        <w:t>после арит</w:t>
        <w:softHyphen/>
        <w:t>мических событий для исключения вторичных при</w:t>
        <w:softHyphen/>
        <w:t>чин аномалий реполяризации.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Инструментальная диагностика</w:t>
      </w:r>
    </w:p>
    <w:p>
      <w:pPr>
        <w:pStyle w:val="Style30"/>
        <w:numPr>
          <w:ilvl w:val="0"/>
          <w:numId w:val="163"/>
        </w:numPr>
        <w:tabs>
          <w:tab w:leader="none" w:pos="518" w:val="left"/>
        </w:tabs>
        <w:widowControl w:val="0"/>
        <w:keepNext w:val="0"/>
        <w:keepLines w:val="0"/>
        <w:shd w:val="clear" w:color="auto" w:fill="auto"/>
        <w:bidi w:val="0"/>
        <w:jc w:val="left"/>
        <w:spacing w:before="0" w:after="0"/>
        <w:ind w:left="520" w:right="0" w:hanging="240"/>
      </w:pPr>
      <w:r>
        <w:pict>
          <v:shape id="_x0000_s1826" type="#_x0000_t75" style="position:absolute;margin-left:148.1pt;margin-top:738.25pt;width:209.75pt;height:14.9pt;z-index:-125828810;mso-wrap-distance-left:148.1pt;mso-wrap-distance-right:136.8pt;mso-wrap-distance-bottom:10.8pt;mso-position-horizontal-relative:margin;mso-position-vertical-relative:margin" wrapcoords="0 0 21600 0 21600 21600 0 21600 0 0">
            <v:imagedata r:id="rId1291" r:href="rId1292"/>
            <w10:wrap type="topAndBottom" anchorx="margin" anchory="margin"/>
          </v:shape>
        </w:pict>
      </w:r>
      <w:r>
        <w:rPr>
          <w:lang w:val="ru-RU" w:eastAsia="ru-RU" w:bidi="ru-RU"/>
          <w:w w:val="100"/>
          <w:spacing w:val="0"/>
          <w:color w:val="000000"/>
          <w:position w:val="0"/>
        </w:rPr>
        <w:t>Визуализационные исследования (например, эхокар</w:t>
        <w:softHyphen/>
        <w:t xml:space="preserve">диография, </w:t>
      </w:r>
      <w:r>
        <w:rPr>
          <w:lang w:val="en-US" w:eastAsia="en-US" w:bidi="en-US"/>
          <w:w w:val="100"/>
          <w:spacing w:val="0"/>
          <w:color w:val="000000"/>
          <w:position w:val="0"/>
        </w:rPr>
        <w:t xml:space="preserve">MPT) </w:t>
      </w:r>
      <w:r>
        <w:rPr>
          <w:lang w:val="ru-RU" w:eastAsia="ru-RU" w:bidi="ru-RU"/>
          <w:w w:val="100"/>
          <w:spacing w:val="0"/>
          <w:color w:val="000000"/>
          <w:position w:val="0"/>
        </w:rPr>
        <w:t>могут использоваться только для</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того, чтобы исключить другие потенциальные причи</w:t>
        <w:softHyphen/>
        <w:t>ны аритмических событий (например, гипертрофи</w:t>
        <w:softHyphen/>
        <w:t>ческая кардиомиопатия, аритмогенная дисплазия правого желудочка).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w:t>
      </w:r>
    </w:p>
    <w:p>
      <w:pPr>
        <w:pStyle w:val="Style30"/>
        <w:numPr>
          <w:ilvl w:val="0"/>
          <w:numId w:val="16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Записи стандартной ЭКГ и анализ продолжительно</w:t>
        <w:softHyphen/>
        <w:t xml:space="preserve">сти </w:t>
      </w:r>
      <w:r>
        <w:rPr>
          <w:lang w:val="en-US" w:eastAsia="en-US" w:bidi="en-US"/>
          <w:w w:val="100"/>
          <w:spacing w:val="0"/>
          <w:color w:val="000000"/>
          <w:position w:val="0"/>
        </w:rPr>
        <w:t xml:space="preserve">Q^ </w:t>
      </w:r>
      <w:r>
        <w:rPr>
          <w:lang w:val="ru-RU" w:eastAsia="ru-RU" w:bidi="ru-RU"/>
          <w:w w:val="100"/>
          <w:spacing w:val="0"/>
          <w:color w:val="000000"/>
          <w:position w:val="0"/>
        </w:rPr>
        <w:t xml:space="preserve">и морфологии зубца Т являются наиболее главными тестами в диагностике СУрТ. Удлинение интервала </w:t>
      </w:r>
      <w:r>
        <w:rPr>
          <w:lang w:val="en-US" w:eastAsia="en-US" w:bidi="en-US"/>
          <w:w w:val="100"/>
          <w:spacing w:val="0"/>
          <w:color w:val="000000"/>
          <w:position w:val="0"/>
        </w:rPr>
        <w:t xml:space="preserve">Q^ </w:t>
      </w:r>
      <w:r>
        <w:rPr>
          <w:lang w:val="ru-RU" w:eastAsia="ru-RU" w:bidi="ru-RU"/>
          <w:w w:val="100"/>
          <w:spacing w:val="0"/>
          <w:color w:val="000000"/>
          <w:position w:val="0"/>
        </w:rPr>
        <w:t>определяется на основании возраст</w:t>
        <w:softHyphen/>
        <w:t xml:space="preserve">ных и половых критериев. Интервал </w:t>
      </w:r>
      <w:r>
        <w:rPr>
          <w:lang w:val="en-US" w:eastAsia="en-US" w:bidi="en-US"/>
          <w:w w:val="100"/>
          <w:spacing w:val="0"/>
          <w:color w:val="000000"/>
          <w:position w:val="0"/>
        </w:rPr>
        <w:t xml:space="preserve">Q^, </w:t>
      </w:r>
      <w:r>
        <w:rPr>
          <w:lang w:val="ru-RU" w:eastAsia="ru-RU" w:bidi="ru-RU"/>
          <w:w w:val="100"/>
          <w:spacing w:val="0"/>
          <w:color w:val="000000"/>
          <w:position w:val="0"/>
        </w:rPr>
        <w:t>с поправ</w:t>
        <w:softHyphen/>
        <w:t>кой на ЧСС, подсчитывают путем деления измерен</w:t>
        <w:softHyphen/>
        <w:t xml:space="preserve">ного </w:t>
      </w:r>
      <w:r>
        <w:rPr>
          <w:lang w:val="en-US" w:eastAsia="en-US" w:bidi="en-US"/>
          <w:w w:val="100"/>
          <w:spacing w:val="0"/>
          <w:color w:val="000000"/>
          <w:position w:val="0"/>
        </w:rPr>
        <w:t xml:space="preserve">QT </w:t>
      </w:r>
      <w:r>
        <w:rPr>
          <w:lang w:val="ru-RU" w:eastAsia="ru-RU" w:bidi="ru-RU"/>
          <w:w w:val="100"/>
          <w:spacing w:val="0"/>
          <w:color w:val="000000"/>
          <w:position w:val="0"/>
        </w:rPr>
        <w:t xml:space="preserve">на корень квадратный из интервала </w:t>
      </w:r>
      <w:r>
        <w:rPr>
          <w:lang w:val="en-US" w:eastAsia="en-US" w:bidi="en-US"/>
          <w:w w:val="100"/>
          <w:spacing w:val="0"/>
          <w:color w:val="000000"/>
          <w:position w:val="0"/>
        </w:rPr>
        <w:t xml:space="preserve">R-R, </w:t>
      </w:r>
      <w:r>
        <w:rPr>
          <w:lang w:val="ru-RU" w:eastAsia="ru-RU" w:bidi="ru-RU"/>
          <w:w w:val="100"/>
          <w:spacing w:val="0"/>
          <w:color w:val="000000"/>
          <w:position w:val="0"/>
        </w:rPr>
        <w:t xml:space="preserve">оба из которых измеряются в секундах. Удлинение </w:t>
      </w:r>
      <w:r>
        <w:rPr>
          <w:lang w:val="en-US" w:eastAsia="en-US" w:bidi="en-US"/>
          <w:w w:val="100"/>
          <w:spacing w:val="0"/>
          <w:color w:val="000000"/>
          <w:position w:val="0"/>
        </w:rPr>
        <w:t xml:space="preserve">Q^ </w:t>
      </w:r>
      <w:r>
        <w:rPr>
          <w:lang w:val="ru-RU" w:eastAsia="ru-RU" w:bidi="ru-RU"/>
          <w:w w:val="100"/>
          <w:spacing w:val="0"/>
          <w:color w:val="000000"/>
          <w:position w:val="0"/>
        </w:rPr>
        <w:t xml:space="preserve">свыше 0,46 с указывает на вероятность диагноза </w:t>
      </w:r>
      <w:r>
        <w:rPr>
          <w:lang w:val="en-US" w:eastAsia="en-US" w:bidi="en-US"/>
          <w:w w:val="100"/>
          <w:spacing w:val="0"/>
          <w:color w:val="000000"/>
          <w:position w:val="0"/>
        </w:rPr>
        <w:t xml:space="preserve">CyQT. </w:t>
      </w:r>
      <w:r>
        <w:rPr>
          <w:lang w:val="ru-RU" w:eastAsia="ru-RU" w:bidi="ru-RU"/>
          <w:w w:val="100"/>
          <w:spacing w:val="0"/>
          <w:color w:val="000000"/>
          <w:position w:val="0"/>
        </w:rPr>
        <w:t xml:space="preserve">Однако примерно у 10-15% пациентов с </w:t>
      </w:r>
      <w:r>
        <w:rPr>
          <w:lang w:val="en-US" w:eastAsia="en-US" w:bidi="en-US"/>
          <w:w w:val="100"/>
          <w:spacing w:val="0"/>
          <w:color w:val="000000"/>
          <w:position w:val="0"/>
        </w:rPr>
        <w:t xml:space="preserve">CyQT </w:t>
      </w:r>
      <w:r>
        <w:rPr>
          <w:lang w:val="ru-RU" w:eastAsia="ru-RU" w:bidi="ru-RU"/>
          <w:w w:val="100"/>
          <w:spacing w:val="0"/>
          <w:color w:val="000000"/>
          <w:position w:val="0"/>
        </w:rPr>
        <w:t xml:space="preserve">продолжительность </w:t>
      </w:r>
      <w:r>
        <w:rPr>
          <w:lang w:val="en-US" w:eastAsia="en-US" w:bidi="en-US"/>
          <w:w w:val="100"/>
          <w:spacing w:val="0"/>
          <w:color w:val="000000"/>
          <w:position w:val="0"/>
        </w:rPr>
        <w:t xml:space="preserve">QT; </w:t>
      </w:r>
      <w:r>
        <w:rPr>
          <w:lang w:val="ru-RU" w:eastAsia="ru-RU" w:bidi="ru-RU"/>
          <w:w w:val="100"/>
          <w:spacing w:val="0"/>
          <w:color w:val="000000"/>
          <w:position w:val="0"/>
        </w:rPr>
        <w:t>лежит в эталонном диапазоне.</w:t>
      </w:r>
    </w:p>
    <w:p>
      <w:pPr>
        <w:pStyle w:val="Style30"/>
        <w:numPr>
          <w:ilvl w:val="0"/>
          <w:numId w:val="16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У пациентов с подозрением на </w:t>
      </w:r>
      <w:r>
        <w:rPr>
          <w:lang w:val="en-US" w:eastAsia="en-US" w:bidi="en-US"/>
          <w:w w:val="100"/>
          <w:spacing w:val="0"/>
          <w:color w:val="000000"/>
          <w:position w:val="0"/>
        </w:rPr>
        <w:t xml:space="preserve">CyQT </w:t>
      </w:r>
      <w:r>
        <w:rPr>
          <w:lang w:val="ru-RU" w:eastAsia="ru-RU" w:bidi="ru-RU"/>
          <w:w w:val="100"/>
          <w:spacing w:val="0"/>
          <w:color w:val="000000"/>
          <w:position w:val="0"/>
        </w:rPr>
        <w:t xml:space="preserve">с граничными значениями </w:t>
      </w:r>
      <w:r>
        <w:rPr>
          <w:lang w:val="en-US" w:eastAsia="en-US" w:bidi="en-US"/>
          <w:w w:val="100"/>
          <w:spacing w:val="0"/>
          <w:color w:val="000000"/>
          <w:position w:val="0"/>
        </w:rPr>
        <w:t xml:space="preserve">QT; </w:t>
      </w:r>
      <w:r>
        <w:rPr>
          <w:lang w:val="ru-RU" w:eastAsia="ru-RU" w:bidi="ru-RU"/>
          <w:w w:val="100"/>
          <w:spacing w:val="0"/>
          <w:color w:val="000000"/>
          <w:position w:val="0"/>
        </w:rPr>
        <w:t>(или даже значениями в эталонном диапазоне) на стандартной ЭКГ анализ динамическо</w:t>
        <w:softHyphen/>
        <w:t xml:space="preserve">го поведения продолжительности </w:t>
      </w:r>
      <w:r>
        <w:rPr>
          <w:lang w:val="en-US" w:eastAsia="en-US" w:bidi="en-US"/>
          <w:w w:val="100"/>
          <w:spacing w:val="0"/>
          <w:color w:val="000000"/>
          <w:position w:val="0"/>
        </w:rPr>
        <w:t xml:space="preserve">QT; </w:t>
      </w:r>
      <w:r>
        <w:rPr>
          <w:lang w:val="ru-RU" w:eastAsia="ru-RU" w:bidi="ru-RU"/>
          <w:w w:val="100"/>
          <w:spacing w:val="0"/>
          <w:color w:val="000000"/>
          <w:position w:val="0"/>
        </w:rPr>
        <w:t>при ЭКГ-тес- тировании с физической нагрузкой или долговремен</w:t>
        <w:softHyphen/>
        <w:t xml:space="preserve">ном холтеровском мониторировании можно выявить плохую адаптацию продолжительности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 xml:space="preserve">к изменениям ЧСС, при видимом удлинении </w:t>
      </w:r>
      <w:r>
        <w:rPr>
          <w:lang w:val="en-US" w:eastAsia="en-US" w:bidi="en-US"/>
          <w:w w:val="100"/>
          <w:spacing w:val="0"/>
          <w:color w:val="000000"/>
          <w:position w:val="0"/>
        </w:rPr>
        <w:t xml:space="preserve">QT; </w:t>
      </w:r>
      <w:r>
        <w:rPr>
          <w:lang w:val="ru-RU" w:eastAsia="ru-RU" w:bidi="ru-RU"/>
          <w:w w:val="100"/>
          <w:spacing w:val="0"/>
          <w:color w:val="000000"/>
          <w:position w:val="0"/>
        </w:rPr>
        <w:t xml:space="preserve">при более высокой ЧСС. Желудочковые аритмии редко отмечаются во время нагрузочных проб или записи холтеровского мониторинга у пациентов с </w:t>
      </w:r>
      <w:r>
        <w:rPr>
          <w:lang w:val="en-US" w:eastAsia="en-US" w:bidi="en-US"/>
          <w:w w:val="100"/>
          <w:spacing w:val="0"/>
          <w:color w:val="000000"/>
          <w:position w:val="0"/>
        </w:rPr>
        <w:t>CУQT.</w:t>
      </w:r>
    </w:p>
    <w:p>
      <w:pPr>
        <w:pStyle w:val="Style30"/>
        <w:numPr>
          <w:ilvl w:val="0"/>
          <w:numId w:val="16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Нет данных, указывающих на то, что инвазивное электрофизиологическое тестирование в попытке индуцировать желудочковую тахикардию облегчает диагностику.</w:t>
      </w:r>
    </w:p>
    <w:p>
      <w:pPr>
        <w:pStyle w:val="Style30"/>
        <w:numPr>
          <w:ilvl w:val="0"/>
          <w:numId w:val="16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Выявление альтернации зубца Т по амплитуде у паци - ентов с </w:t>
      </w:r>
      <w:r>
        <w:rPr>
          <w:lang w:val="en-US" w:eastAsia="en-US" w:bidi="en-US"/>
          <w:w w:val="100"/>
          <w:spacing w:val="0"/>
          <w:color w:val="000000"/>
          <w:position w:val="0"/>
        </w:rPr>
        <w:t xml:space="preserve">CУQT </w:t>
      </w:r>
      <w:r>
        <w:rPr>
          <w:lang w:val="ru-RU" w:eastAsia="ru-RU" w:bidi="ru-RU"/>
          <w:w w:val="100"/>
          <w:spacing w:val="0"/>
          <w:color w:val="000000"/>
          <w:position w:val="0"/>
        </w:rPr>
        <w:t>указывает на увеличенный риск сер</w:t>
        <w:softHyphen/>
        <w:t>дечных аритмий (аритмия типа «пируэт» и фибрилля</w:t>
        <w:softHyphen/>
        <w:t>ция желудочков).</w:t>
      </w:r>
    </w:p>
    <w:p>
      <w:pPr>
        <w:pStyle w:val="Style30"/>
        <w:numPr>
          <w:ilvl w:val="0"/>
          <w:numId w:val="16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Выявление альтернации зубца Т по продолжительно</w:t>
        <w:softHyphen/>
        <w:t xml:space="preserve">сти показывает низкую чувствительность и высокую специфичность при диагностике </w:t>
      </w:r>
      <w:r>
        <w:rPr>
          <w:lang w:val="en-US" w:eastAsia="en-US" w:bidi="en-US"/>
          <w:w w:val="100"/>
          <w:spacing w:val="0"/>
          <w:color w:val="000000"/>
          <w:position w:val="0"/>
        </w:rPr>
        <w:t xml:space="preserve">CУQT. </w:t>
      </w:r>
      <w:r>
        <w:rPr>
          <w:lang w:val="ru-RU" w:eastAsia="ru-RU" w:bidi="ru-RU"/>
          <w:w w:val="100"/>
          <w:spacing w:val="0"/>
          <w:color w:val="000000"/>
          <w:position w:val="0"/>
        </w:rPr>
        <w:t>Прогности</w:t>
        <w:softHyphen/>
        <w:t>ческая ценность микроволновой волны Т альтернанс не получила систематического изучения.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Консервативное лечение</w:t>
      </w:r>
    </w:p>
    <w:p>
      <w:pPr>
        <w:pStyle w:val="Style30"/>
        <w:numPr>
          <w:ilvl w:val="0"/>
          <w:numId w:val="16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Бета-блокаторы являются препаратами выбора для пациентов с </w:t>
      </w:r>
      <w:r>
        <w:rPr>
          <w:lang w:val="en-US" w:eastAsia="en-US" w:bidi="en-US"/>
          <w:w w:val="100"/>
          <w:spacing w:val="0"/>
          <w:color w:val="000000"/>
          <w:position w:val="0"/>
        </w:rPr>
        <w:t xml:space="preserve">CУQT. </w:t>
      </w:r>
      <w:r>
        <w:rPr>
          <w:lang w:val="ru-RU" w:eastAsia="ru-RU" w:bidi="ru-RU"/>
          <w:w w:val="100"/>
          <w:spacing w:val="0"/>
          <w:color w:val="000000"/>
          <w:position w:val="0"/>
        </w:rPr>
        <w:t>Защитный эффект Р-блокаторов связан с их адренергической блокадой, снижающей риск сердечных аритмий.</w:t>
      </w:r>
    </w:p>
    <w:p>
      <w:pPr>
        <w:pStyle w:val="Style30"/>
        <w:numPr>
          <w:ilvl w:val="0"/>
          <w:numId w:val="16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Хотя в течение многих лет рекомендованная доза Р-блокаторов оставалась относительно высокой (пропранолол 3 мг/кг), последние данные говорят о том, что меньшие дозы оказывают защитное дей</w:t>
        <w:softHyphen/>
        <w:t>ствие, сходное с таковым при более высоких дозах.</w:t>
      </w:r>
    </w:p>
    <w:p>
      <w:pPr>
        <w:pStyle w:val="Style30"/>
        <w:numPr>
          <w:ilvl w:val="0"/>
          <w:numId w:val="16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Бета-блокаторы эффективны в предупреждении син- копальных состояний приблизительно у 70% пациен</w:t>
        <w:softHyphen/>
        <w:t>тов, в то время как у оставшихся 30% пациентов об</w:t>
        <w:softHyphen/>
        <w:t>мороки продолжают возникать, несмотря на терапию Р-блокаторами.</w:t>
      </w:r>
    </w:p>
    <w:p>
      <w:pPr>
        <w:pStyle w:val="Style30"/>
        <w:numPr>
          <w:ilvl w:val="0"/>
          <w:numId w:val="16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Наиболее часто используемыми препаратами явля</w:t>
        <w:softHyphen/>
        <w:t xml:space="preserve">ются пропранолол и надолол, хотя атенолол и метоп- рол ол также назначают пациентам с </w:t>
      </w:r>
      <w:r>
        <w:rPr>
          <w:lang w:val="en-US" w:eastAsia="en-US" w:bidi="en-US"/>
          <w:w w:val="100"/>
          <w:spacing w:val="0"/>
          <w:color w:val="000000"/>
          <w:position w:val="0"/>
        </w:rPr>
        <w:t xml:space="preserve">GyQT </w:t>
      </w:r>
      <w:r>
        <w:rPr>
          <w:lang w:val="ru-RU" w:eastAsia="ru-RU" w:bidi="ru-RU"/>
          <w:w w:val="100"/>
          <w:spacing w:val="0"/>
          <w:color w:val="000000"/>
          <w:position w:val="0"/>
        </w:rPr>
        <w:t>Другие бета-блокаторы показывают сходную эффективность в профилактике синкопальных состояний у пациен</w:t>
        <w:softHyphen/>
        <w:t xml:space="preserve">тов с </w:t>
      </w:r>
      <w:r>
        <w:rPr>
          <w:lang w:val="en-US" w:eastAsia="en-US" w:bidi="en-US"/>
          <w:w w:val="100"/>
          <w:spacing w:val="0"/>
          <w:color w:val="000000"/>
          <w:position w:val="0"/>
        </w:rPr>
        <w:t>GyQX</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Клинически не было одобрено ни одного вида генной или генспецифической терапии, хотя в настоящее время в исследовании Национального института здравоохранения (США) проводится оценка безопас</w:t>
        <w:softHyphen/>
        <w:t>ности препаратов генспецифической терапии (блока</w:t>
        <w:softHyphen/>
        <w:t xml:space="preserve">торы натриевых каналов при </w:t>
      </w:r>
      <w:r>
        <w:rPr>
          <w:lang w:val="en-US" w:eastAsia="en-US" w:bidi="en-US"/>
          <w:w w:val="100"/>
          <w:spacing w:val="0"/>
          <w:color w:val="000000"/>
          <w:position w:val="0"/>
        </w:rPr>
        <w:t xml:space="preserve">CУQT, </w:t>
      </w:r>
      <w:r>
        <w:rPr>
          <w:lang w:val="ru-RU" w:eastAsia="ru-RU" w:bidi="ru-RU"/>
          <w:w w:val="100"/>
          <w:spacing w:val="0"/>
          <w:color w:val="000000"/>
          <w:position w:val="0"/>
        </w:rPr>
        <w:t>калиевые добав</w:t>
        <w:softHyphen/>
        <w:t xml:space="preserve">ки со спиронолактонемии при </w:t>
      </w:r>
      <w:r>
        <w:rPr>
          <w:lang w:val="en-US" w:eastAsia="en-US" w:bidi="en-US"/>
          <w:w w:val="100"/>
          <w:spacing w:val="0"/>
          <w:color w:val="000000"/>
          <w:position w:val="0"/>
        </w:rPr>
        <w:t>УQT2).</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Имплантация кардиовертеров-дефибрилляторов за</w:t>
        <w:softHyphen/>
        <w:t>рекомендовала себя наиболее эффективным видом терапии у пациентов с рецидивирующими обморока</w:t>
        <w:softHyphen/>
        <w:t>ми, несмотря на общепринятое лечение (только Р-блокатор).</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Имплантация водителей ритма сердца (с желудочко</w:t>
        <w:softHyphen/>
        <w:t>вой или двухкамерной стимуляцией) считается по</w:t>
        <w:softHyphen/>
        <w:t>лезным терапевтическим методом на основании предположения, что электрокардиостимуляция ку</w:t>
        <w:softHyphen/>
        <w:t>пирует аритмогенную брадикардию, снижает нерегу</w:t>
        <w:softHyphen/>
        <w:t>лярность ЧСС (удаляет короткие-длинные-короткие серии) и неоднородность реполяризации, тем самым риск желудочковой тахикардии по типу «пируэт». Од</w:t>
        <w:softHyphen/>
        <w:t>нако последние данные указывают на то, что синкопе продолжают происходить у пациентов повышенного риска с электрокардиостимуляцией. Так как в совре</w:t>
        <w:softHyphen/>
        <w:t>менных моделях имплантируемых кардиовертеров- дефибрилляторов имеется дополнительная функция водителя ритма сердца, то водитель ритма сердца (без дефибриллятора) скорее всего будет реже использо</w:t>
        <w:softHyphen/>
        <w:t xml:space="preserve">ваться у пациентов с </w:t>
      </w:r>
      <w:r>
        <w:rPr>
          <w:lang w:val="en-US" w:eastAsia="en-US" w:bidi="en-US"/>
          <w:w w:val="100"/>
          <w:spacing w:val="0"/>
          <w:color w:val="000000"/>
          <w:position w:val="0"/>
        </w:rPr>
        <w:t>GyQT</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Еще одним методом антиадренергической терапии является левосторонняя цервикоторакальная стел- лэктомия, которая используется у пациентов с </w:t>
      </w:r>
      <w:r>
        <w:rPr>
          <w:lang w:val="en-US" w:eastAsia="en-US" w:bidi="en-US"/>
          <w:w w:val="100"/>
          <w:spacing w:val="0"/>
          <w:color w:val="000000"/>
          <w:position w:val="0"/>
        </w:rPr>
        <w:t xml:space="preserve">CУQT, </w:t>
      </w:r>
      <w:r>
        <w:rPr>
          <w:lang w:val="ru-RU" w:eastAsia="ru-RU" w:bidi="ru-RU"/>
          <w:w w:val="100"/>
          <w:spacing w:val="0"/>
          <w:color w:val="000000"/>
          <w:position w:val="0"/>
        </w:rPr>
        <w:t>особенно у лиц с рецидивирующими сердечными со</w:t>
        <w:softHyphen/>
        <w:t>бытиями, несмотря на терапию бета-блокаторами. Стеллэктомия снижает риск сердечных событий у па</w:t>
        <w:softHyphen/>
        <w:t xml:space="preserve">циентов группы повышенного риска с </w:t>
      </w:r>
      <w:r>
        <w:rPr>
          <w:lang w:val="en-US" w:eastAsia="en-US" w:bidi="en-US"/>
          <w:w w:val="100"/>
          <w:spacing w:val="0"/>
          <w:color w:val="000000"/>
          <w:position w:val="0"/>
        </w:rPr>
        <w:t>CУQT.</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некоторых пациентов группы повышенного риска используют комбинированную терапию, состоящую из бета-блокаторов, стеллэктомии и имплантации кардиовертера-дефибриллятора с сердечным водите</w:t>
        <w:softHyphen/>
        <w:t>лем ритма.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Активность</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Так как пусковым моментом сердечных событий у паци</w:t>
        <w:softHyphen/>
        <w:t xml:space="preserve">ентов с </w:t>
      </w:r>
      <w:r>
        <w:rPr>
          <w:lang w:val="en-US" w:eastAsia="en-US" w:bidi="en-US"/>
          <w:w w:val="100"/>
          <w:spacing w:val="0"/>
          <w:color w:val="000000"/>
          <w:position w:val="0"/>
        </w:rPr>
        <w:t xml:space="preserve">CУQT </w:t>
      </w:r>
      <w:r>
        <w:rPr>
          <w:lang w:val="ru-RU" w:eastAsia="ru-RU" w:bidi="ru-RU"/>
          <w:w w:val="100"/>
          <w:spacing w:val="0"/>
          <w:color w:val="000000"/>
          <w:position w:val="0"/>
        </w:rPr>
        <w:t>является физическая активность, плаванье и эмоциональные стрессы, занятия соревновательными ви</w:t>
        <w:softHyphen/>
        <w:t>дами спорта крайне нежелательны.</w:t>
      </w:r>
    </w:p>
    <w:p>
      <w:pPr>
        <w:pStyle w:val="Style28"/>
        <w:widowControl w:val="0"/>
        <w:keepNext/>
        <w:keepLines/>
        <w:shd w:val="clear" w:color="auto" w:fill="auto"/>
        <w:bidi w:val="0"/>
        <w:jc w:val="left"/>
        <w:spacing w:before="0" w:after="157" w:line="220" w:lineRule="exact"/>
        <w:ind w:left="0" w:right="0" w:firstLine="0"/>
      </w:pPr>
      <w:bookmarkStart w:id="812" w:name="bookmark812"/>
      <w:r>
        <w:rPr>
          <w:lang w:val="ru-RU" w:eastAsia="ru-RU" w:bidi="ru-RU"/>
          <w:w w:val="100"/>
          <w:spacing w:val="0"/>
          <w:color w:val="000000"/>
          <w:position w:val="0"/>
        </w:rPr>
        <w:t>Желудочковая тахикардия</w:t>
      </w:r>
      <w:bookmarkEnd w:id="812"/>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Желудочковая тахикардия (ЖТ) у детей является марке</w:t>
        <w:softHyphen/>
        <w:t>ром серьезного заболевания сердца или миопатии, или ме</w:t>
        <w:softHyphen/>
        <w:t>ханизмом внезапной сердечной смерти (ВСС) и синкопе.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Хотя ЖТ может произойти в практически здоровом сердце, примерно у 50% имеется либо ВПС, либо миопа- тия. Современные достижения в понимании на молекуляр</w:t>
        <w:softHyphen/>
        <w:t>ном уровне роли электрических миопатий, включая дефек</w:t>
        <w:softHyphen/>
        <w:t xml:space="preserve">ты ионных каналов, такие как синдром удлиненного </w:t>
      </w:r>
      <w:r>
        <w:rPr>
          <w:lang w:val="en-US" w:eastAsia="en-US" w:bidi="en-US"/>
          <w:w w:val="100"/>
          <w:spacing w:val="0"/>
          <w:color w:val="000000"/>
          <w:position w:val="0"/>
        </w:rPr>
        <w:t xml:space="preserve">QT (CУQT), </w:t>
      </w:r>
      <w:r>
        <w:rPr>
          <w:lang w:val="ru-RU" w:eastAsia="ru-RU" w:bidi="ru-RU"/>
          <w:w w:val="100"/>
          <w:spacing w:val="0"/>
          <w:color w:val="000000"/>
          <w:position w:val="0"/>
        </w:rPr>
        <w:t>позволяют глубже понять природу некоторых из этих заболеваний.</w:t>
      </w:r>
    </w:p>
    <w:p>
      <w:pPr>
        <w:pStyle w:val="Style30"/>
        <w:widowControl w:val="0"/>
        <w:keepNext w:val="0"/>
        <w:keepLines w:val="0"/>
        <w:shd w:val="clear" w:color="auto" w:fill="auto"/>
        <w:bidi w:val="0"/>
        <w:spacing w:before="0" w:after="0"/>
        <w:ind w:left="0" w:right="0" w:firstLine="280"/>
      </w:pPr>
      <w:r>
        <w:pict>
          <v:shape id="_x0000_s1827" type="#_x0000_t75" style="position:absolute;margin-left:130.7pt;margin-top:738.25pt;width:209.75pt;height:14.9pt;z-index:-125828809;mso-wrap-distance-left:124.3pt;mso-wrap-distance-right:147.85pt;mso-wrap-distance-bottom:10.8pt;mso-position-horizontal-relative:margin;mso-position-vertical-relative:margin" wrapcoords="0 0 21600 0 21600 21600 0 21600 0 0">
            <v:imagedata r:id="rId1293" r:href="rId1294"/>
            <w10:wrap type="topAndBottom" anchorx="margin" anchory="margin"/>
          </v:shape>
        </w:pict>
      </w:r>
      <w:r>
        <w:rPr>
          <w:lang w:val="ru-RU" w:eastAsia="ru-RU" w:bidi="ru-RU"/>
          <w:w w:val="100"/>
          <w:spacing w:val="0"/>
          <w:color w:val="000000"/>
          <w:position w:val="0"/>
        </w:rPr>
        <w:t>Основное внимание кардиологов фокусируется на по</w:t>
        <w:softHyphen/>
        <w:t>тенциальных факторах риска смерти, связанных со специ</w:t>
        <w:softHyphen/>
        <w:t>фическими клиническими условиями. Частота ВСС у па</w:t>
        <w:softHyphen/>
        <w:t>циентов детского возраста низка. Даже среди пациентов</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 известным пороком сердца необходимо принимать во внимание потенциальный риск, связанный с использова</w:t>
        <w:softHyphen/>
        <w:t>нием сильнодействующих противоаритмических лекар</w:t>
        <w:softHyphen/>
        <w:t>ственных средств и нефармакологической терапии (напри</w:t>
        <w:softHyphen/>
        <w:t>мер, катетерная аблация, имплантируемые кардиоверте- ры/дефибрилляторы). Даже при низкой частоте внезапной смерти у пациентов детского возраста принятие клиничес</w:t>
        <w:softHyphen/>
        <w:t>кого решения бывает часто затруднительным.</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Реципрокные, автоматические или триггерные механиз</w:t>
        <w:softHyphen/>
        <w:t>мы могут вызвать ЖТ так же как, эти механизмы вызывают суправентрикулярную тахикардию (СВТ) и другие аритмии.</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Реентрантная (реципрокная) аритмия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Реентрантная аритмия зависит от контура, часто вызы</w:t>
        <w:softHyphen/>
        <w:t xml:space="preserve">ваемого хирургическим шрамом, фиброзом, или жировой дегенерацией. Эти области функционально аномальных тканей способствуют развитию состояний, необходимых для </w:t>
      </w:r>
      <w:r>
        <w:rPr>
          <w:lang w:val="en-US" w:eastAsia="en-US" w:bidi="en-US"/>
          <w:w w:val="100"/>
          <w:spacing w:val="0"/>
          <w:color w:val="000000"/>
          <w:position w:val="0"/>
        </w:rPr>
        <w:t xml:space="preserve">re-entry </w:t>
      </w:r>
      <w:r>
        <w:rPr>
          <w:lang w:val="ru-RU" w:eastAsia="ru-RU" w:bidi="ru-RU"/>
          <w:w w:val="100"/>
          <w:spacing w:val="0"/>
          <w:color w:val="000000"/>
          <w:position w:val="0"/>
        </w:rPr>
        <w:t>(«повторного входа»). Эти состояния способ</w:t>
        <w:softHyphen/>
        <w:t>ствуют медленному проведению зоны «а», линии функцио</w:t>
        <w:softHyphen/>
        <w:t>нального однонаправленного блока и контура, который способствует продолжению кругового ритма. В качестве примеров этого механизма часто приводят пациентов дет</w:t>
        <w:softHyphen/>
        <w:t>ского возраста с хирургическими шрамами на желудочке — с послеоперационной желудочковой тахикардией (ЖТ) после восстановления тетрады Фалло. Хаотический ритм (например, фибрилляция желудочков) также является при</w:t>
        <w:softHyphen/>
        <w:t>мером механизмов повторного входа. Клинически рецип</w:t>
        <w:softHyphen/>
        <w:t>рокные ритмы характеризуются склонностью к купирова</w:t>
        <w:softHyphen/>
        <w:t>нию тахикардии при помощи кардиоверсии постоянным током и к возможности быть запущенными преждевремен</w:t>
        <w:softHyphen/>
        <w:t>ными сокращениями. Внезапное начало и обычно стабиль</w:t>
        <w:softHyphen/>
        <w:t>ная частота являются дальнейшими характерными призна</w:t>
        <w:softHyphen/>
        <w:t>ками реципрокных ритмов.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Автоматические ритмы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Более часты у пациентов детского возраста с практичес</w:t>
        <w:softHyphen/>
        <w:t>ким здоровыми сердцами, автоматические ритмы вызыва</w:t>
        <w:softHyphen/>
        <w:t>ются аномальным клеточным автоматизмом; наиболее час</w:t>
        <w:softHyphen/>
        <w:t>то вызываются повышенной спонтанной деполяризацией 4-й фазы потенциала действия сердца. Аномальный авто</w:t>
        <w:softHyphen/>
        <w:t>матизм, в свою очередь, может быть результатом наруше</w:t>
        <w:softHyphen/>
        <w:t>ния метаболизма, или автоматизм может быть идиопатиче</w:t>
        <w:softHyphen/>
        <w:t>ским. Метаболические нарушения, которые могут привес</w:t>
        <w:softHyphen/>
        <w:t>ти к аномальному автоматизму, включают: гипокалиемию, гипомагниемию и местные клеточные аномалии, которые могут включать воспаление при миокардите. Автоматичес</w:t>
        <w:softHyphen/>
        <w:t>кая ЖТ характеризуется подавленностью, хоть и не элими</w:t>
        <w:softHyphen/>
        <w:t>нирована, более высокой частотой сокращений предсер</w:t>
        <w:softHyphen/>
        <w:t>дий. Эта частота варьирует в зависимости от автономного состояния, часто сложной природы. Доброкачественный ускоренный идиовентрикулярный ритм является примером автономного механизма.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На клеточном уровне такие дефекты, как </w:t>
      </w:r>
      <w:r>
        <w:rPr>
          <w:lang w:val="en-US" w:eastAsia="en-US" w:bidi="en-US"/>
          <w:w w:val="100"/>
          <w:spacing w:val="0"/>
          <w:color w:val="000000"/>
          <w:position w:val="0"/>
        </w:rPr>
        <w:t xml:space="preserve">СУQТ, </w:t>
      </w:r>
      <w:r>
        <w:rPr>
          <w:lang w:val="ru-RU" w:eastAsia="ru-RU" w:bidi="ru-RU"/>
          <w:w w:val="100"/>
          <w:spacing w:val="0"/>
          <w:color w:val="000000"/>
          <w:position w:val="0"/>
        </w:rPr>
        <w:t>позво</w:t>
        <w:softHyphen/>
        <w:t>ляют аномальному клеточному автоматизму запустить по</w:t>
        <w:softHyphen/>
        <w:t>тенциально опасную полиморфную ЖТ, также известную под названием трепетание-мерцание желудочков. Запу</w:t>
        <w:softHyphen/>
        <w:t>щенная аритмия также может играть определенную роль в отравлении антиаритмическими препаратами (напри</w:t>
        <w:softHyphen/>
        <w:t>мер, дигоксин).</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Частота ЖТ полностью зависит от лежащего в основе субстрата. Частота ЖТ намного выше у пациентов с ВПС или сердечными миопатиями. Среди пациен</w:t>
        <w:softHyphen/>
        <w:br w:type="column"/>
        <w:t>тов с ВПС эта частота концентрируется на пациентах, у которых имеются желудочковые иссечения (напри</w:t>
        <w:softHyphen/>
        <w:t>мер, дефекты стенки желудочка, тетрада Фалло) и аортальный стеноз. Частота ЖТ выше у пациентов более старшего возраста, у которых операции проводились по методикам, которыми пользовались до середины 80-х годов. Частота гипертрофической кардиомиопатии (ГКМ) высока и составляет 0,02</w:t>
        <w:softHyphen/>
        <w:t xml:space="preserve">0,2% популяции. Частота дефектов ионных каналов (например, </w:t>
      </w:r>
      <w:r>
        <w:rPr>
          <w:lang w:val="en-US" w:eastAsia="en-US" w:bidi="en-US"/>
          <w:w w:val="100"/>
          <w:spacing w:val="0"/>
          <w:color w:val="000000"/>
          <w:position w:val="0"/>
        </w:rPr>
        <w:t xml:space="preserve">СУQТ) </w:t>
      </w:r>
      <w:r>
        <w:rPr>
          <w:lang w:val="ru-RU" w:eastAsia="ru-RU" w:bidi="ru-RU"/>
          <w:w w:val="100"/>
          <w:spacing w:val="0"/>
          <w:color w:val="000000"/>
          <w:position w:val="0"/>
        </w:rPr>
        <w:t>ниже, но ее трудно определить ко</w:t>
        <w:softHyphen/>
        <w:t>личественно, хотя по приблизительным оценкам она составляет 1 случай на 5000-10 000 человек. Несмотря на редкость этих индивидуальных состояний, коэф</w:t>
        <w:softHyphen/>
        <w:t>фициент смертности каждого составляет 3-5%.</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Особая озабоченность касательно ЖТ фокусируется на выявлении причин ВСС, которые можно предот</w:t>
        <w:softHyphen/>
        <w:t>вратить. Ежегодная частота случаев ВСС в наиболее клинически определенных подгруппах пациентов детского возраста низкая и обычно составляет не бо</w:t>
        <w:softHyphen/>
        <w:t>лее 1-3%.</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Пол</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 существует половых различий в частоте или степе - ни тяжести ЖТ.</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Желудочковая тахикардия без структурного дефекта сердца чаще наблюдается у детей младшего возраста, на</w:t>
        <w:softHyphen/>
        <w:t>против, при наличии структурного дефекта — в более стар</w:t>
        <w:softHyphen/>
        <w:t>шем возрасте.</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Анамнез, клиническая симптоматика</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Необходимо выявить симптомы, вызывающие осо</w:t>
        <w:softHyphen/>
        <w:t>бые опасения:</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наличие и тяжесть симптомов, не свойственных для здорового ребенка;</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появление кардиальных симптомов при физичес</w:t>
        <w:softHyphen/>
        <w:t>кой нагрузке;</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предыдущие кардиологические диагнозы и проце - дуры;</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наличие в семейном анамнезе наследственного за</w:t>
        <w:softHyphen/>
        <w:t>болевания;</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недавнее применение лекарственных средств.</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детской популяции неврально опосредованные синкопе настолько часты, а жизнеугрожающие арит</w:t>
        <w:softHyphen/>
        <w:t>мии настолько редки, что исследования ЖТ у паци</w:t>
        <w:softHyphen/>
        <w:t>ентов с обмороками часто ничего не выявляют. По</w:t>
        <w:softHyphen/>
        <w:t>дробности истории болезни и семейного анамнеза могут служить указанием к проведению более широ</w:t>
        <w:softHyphen/>
        <w:t>ких исследований.</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Семейный анамнез:</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наличие в семейном анамнезе внезапной смерти в возрасте до 40 лет должно вызывать подозрения, даже если причиной был явно несчастный случай;</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большое количество редко встречающихся кар</w:t>
        <w:softHyphen/>
        <w:t>диомиопатий имеют аритмию в качестве важного симптома. Эти кардиомиопатии характеризуются множественными фенотипами и вариабельной пе- нетрантностью;</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среди синдромов с выявляемыми генетическими маркерами приблизительно у 50% семей может иметься известный генетический маркер.</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Провоцирующие события могут включать следующее:</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sectPr>
          <w:headerReference w:type="even" r:id="rId1295"/>
          <w:headerReference w:type="default" r:id="rId1296"/>
          <w:headerReference w:type="first" r:id="rId1297"/>
          <w:titlePg/>
          <w:pgSz w:w="11900" w:h="16840"/>
          <w:pgMar w:top="1541" w:left="1072" w:right="940" w:bottom="1752" w:header="0" w:footer="3" w:gutter="0"/>
          <w:rtlGutter w:val="0"/>
          <w:cols w:num="2" w:space="145"/>
          <w:noEndnote/>
          <w:docGrid w:linePitch="360"/>
        </w:sectPr>
      </w:pPr>
      <w:r>
        <w:pict>
          <v:shape id="_x0000_s1831" type="#_x0000_t75" style="position:absolute;margin-left:148.1pt;margin-top:738.25pt;width:209.75pt;height:14.9pt;z-index:-125828808;mso-wrap-distance-left:148.1pt;mso-wrap-distance-right:136.8pt;mso-wrap-distance-bottom:10.8pt;mso-position-horizontal-relative:margin;mso-position-vertical-relative:margin" wrapcoords="0 0 21600 0 21600 21600 0 21600 0 0">
            <v:imagedata r:id="rId1298" r:href="rId1299"/>
            <w10:wrap type="topAndBottom" anchorx="margin" anchory="margin"/>
          </v:shape>
        </w:pict>
      </w:r>
      <w:r>
        <w:rPr>
          <w:lang w:val="ru-RU" w:eastAsia="ru-RU" w:bidi="ru-RU"/>
          <w:w w:val="100"/>
          <w:spacing w:val="0"/>
          <w:color w:val="000000"/>
          <w:position w:val="0"/>
        </w:rPr>
        <w:t>прием кокаина или других тонизирующих препа</w:t>
        <w:softHyphen/>
        <w:t>ратов;</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прием и передозировка трициклических антидеп</w:t>
        <w:softHyphen/>
        <w:t>рессантов (ТДД);</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антиаритмические препараты;</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другие средства, оказывающие влияние на реполя</w:t>
        <w:softHyphen/>
        <w:t>ризацию: ниже приводятся несколько вэб-сайтов, в которых дается наиболее ценная информация об этих лекарственных средствах:</w:t>
      </w:r>
    </w:p>
    <w:p>
      <w:pPr>
        <w:pStyle w:val="Style30"/>
        <w:numPr>
          <w:ilvl w:val="0"/>
          <w:numId w:val="165"/>
        </w:numPr>
        <w:tabs>
          <w:tab w:leader="none" w:pos="453"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фонд </w:t>
      </w:r>
      <w:r>
        <w:rPr>
          <w:lang w:val="en-US" w:eastAsia="en-US" w:bidi="en-US"/>
          <w:w w:val="100"/>
          <w:spacing w:val="0"/>
          <w:color w:val="000000"/>
          <w:position w:val="0"/>
        </w:rPr>
        <w:t>SADS Foundation;</w:t>
      </w:r>
    </w:p>
    <w:p>
      <w:pPr>
        <w:pStyle w:val="Style30"/>
        <w:numPr>
          <w:ilvl w:val="0"/>
          <w:numId w:val="165"/>
        </w:numPr>
        <w:tabs>
          <w:tab w:leader="none" w:pos="453" w:val="left"/>
        </w:tabs>
        <w:widowControl w:val="0"/>
        <w:keepNext w:val="0"/>
        <w:keepLines w:val="0"/>
        <w:shd w:val="clear" w:color="auto" w:fill="auto"/>
        <w:bidi w:val="0"/>
        <w:spacing w:before="0" w:after="0"/>
        <w:ind w:left="260" w:right="0" w:firstLine="0"/>
      </w:pPr>
      <w:r>
        <w:rPr>
          <w:lang w:val="en-US" w:eastAsia="en-US" w:bidi="en-US"/>
          <w:w w:val="100"/>
          <w:spacing w:val="0"/>
          <w:color w:val="000000"/>
          <w:position w:val="0"/>
        </w:rPr>
        <w:t>QТ Drugs.org;</w:t>
      </w:r>
    </w:p>
    <w:p>
      <w:pPr>
        <w:pStyle w:val="Style30"/>
        <w:numPr>
          <w:ilvl w:val="0"/>
          <w:numId w:val="165"/>
        </w:numPr>
        <w:tabs>
          <w:tab w:leader="none" w:pos="467"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американская кардиологическая ассоциация «Сердечно-сосудистый мониторинг детей и под</w:t>
        <w:softHyphen/>
        <w:t>ростков, получающих психотропные препараты».</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возможность скелетной миопатии;</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недавно перенесенные хирургические процедуры;</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центральные линии (например, прямая механиче</w:t>
        <w:softHyphen/>
        <w:t>ская эктопия);</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недавно перенесенные заболевания (например, вероятность миокардита).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Обморок:</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наличие выраженной потери сознания вследствие внезапного падения сердечного выброса неуклон</w:t>
        <w:softHyphen/>
        <w:t>но увеличивает вероятность выявления жизнеуг</w:t>
        <w:softHyphen/>
        <w:t>рожающего заболевания, которое требует активно</w:t>
        <w:softHyphen/>
        <w:t>го лечения;</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потеря сознания вследствие падения сердечного выброса, в отличие от неврально опосредованно</w:t>
        <w:softHyphen/>
        <w:t>го обморока, характеризуется внезапным нача</w:t>
        <w:softHyphen/>
        <w:t>лом, которое связано с физической нагрузкой, наличием значительного повреждения, недержа</w:t>
        <w:softHyphen/>
        <w:t>нием мочи, пароксизмом и быстрым восстанов</w:t>
        <w:softHyphen/>
        <w:t>лением, если аритмия носит преходящий харак</w:t>
        <w:softHyphen/>
        <w:t>тер;</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неврально опосредованном обмороке или по</w:t>
        <w:softHyphen/>
        <w:t>тере сознания вследствие снижения (ухудшения) сердечной деятельности нередко учащенное серд</w:t>
        <w:softHyphen/>
        <w:t>цебиение. Во время более доброкачественных эпи</w:t>
        <w:softHyphen/>
        <w:t>зодов учащенные сердцебиения часто описывают</w:t>
        <w:softHyphen/>
        <w:t>ся как тяжелые удары при более низкой частоте по сравнению с быстрым пульсом, который выяв</w:t>
        <w:softHyphen/>
        <w:t>ляется, когда тахикардия является пусковым нача</w:t>
        <w:softHyphen/>
        <w:t>лом синкопе;</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обморок при наличии известного порока сердца должен восприниматься как признак потенциаль</w:t>
        <w:softHyphen/>
        <w:t>но серьезной аритмии до тех пор, пока не будет до - казано обратное.</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Предобморочные состояния или головокружение:</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подавляющего большинства пациентов с эпизо</w:t>
        <w:softHyphen/>
        <w:t>дическими головокружениями или другими пред</w:t>
        <w:softHyphen/>
        <w:t>обморочными симптомами имеется доброкачест</w:t>
        <w:softHyphen/>
        <w:t>венный или самоограниченный диагноз;</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клинические корреляции являются критически - ми, когда предобморочные симптомы связаны с желудочковой эктопией или другой аритмией.</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Учащенное сердцебиение:</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пациенты с ЖЭ или с устойчивой (продолжитель</w:t>
        <w:softHyphen/>
        <w:t>ной) аритмией могут жаловаться на симптомати</w:t>
        <w:softHyphen/>
        <w:t>ческое ускорение сердцебиений. Особенно при ЖЭ постэкстрасистолический толчок может иметь больший ударный объем;</w:t>
      </w:r>
    </w:p>
    <w:p>
      <w:pPr>
        <w:pStyle w:val="Style30"/>
        <w:numPr>
          <w:ilvl w:val="0"/>
          <w:numId w:val="165"/>
        </w:numPr>
        <w:tabs>
          <w:tab w:leader="none" w:pos="25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примечательно, что многие пациенты не предъяв</w:t>
        <w:softHyphen/>
        <w:t>ляют жалоб ни на какие симптомы и не могут оп</w:t>
        <w:softHyphen/>
        <w:t>ределить, когда у них происходят желудочковые</w:t>
      </w:r>
    </w:p>
    <w:p>
      <w:pPr>
        <w:pStyle w:val="Style30"/>
        <w:widowControl w:val="0"/>
        <w:keepNext w:val="0"/>
        <w:keepLines w:val="0"/>
        <w:shd w:val="clear" w:color="auto" w:fill="auto"/>
        <w:bidi w:val="0"/>
        <w:spacing w:before="0" w:after="0"/>
        <w:ind w:left="500" w:right="0" w:firstLine="0"/>
      </w:pPr>
      <w:r>
        <w:br w:type="column"/>
      </w:r>
      <w:r>
        <w:rPr>
          <w:lang w:val="ru-RU" w:eastAsia="ru-RU" w:bidi="ru-RU"/>
          <w:w w:val="100"/>
          <w:spacing w:val="0"/>
          <w:color w:val="000000"/>
          <w:position w:val="0"/>
        </w:rPr>
        <w:t>экстрасистолы. Как и у пациентов с синкопе, уча</w:t>
        <w:softHyphen/>
        <w:t>щенные сердцебиения часто происходят у пациен</w:t>
        <w:softHyphen/>
        <w:t>тов без значительной аритмии. Амбулаторные ЭКГ являются важным методом для соотнесения симптомов с ритмом.</w:t>
      </w:r>
    </w:p>
    <w:p>
      <w:pPr>
        <w:pStyle w:val="Style30"/>
        <w:numPr>
          <w:ilvl w:val="0"/>
          <w:numId w:val="163"/>
        </w:numPr>
        <w:tabs>
          <w:tab w:leader="none" w:pos="239"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Боли в груди:</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большинство болей в груди несомненно имеют экстракардиальное происхождение; при физи- кальном обследовании выявляется воспроизводи</w:t>
        <w:softHyphen/>
        <w:t>мая точечная болезненность без клинических на</w:t>
        <w:softHyphen/>
        <w:t>меков на порок (болезнь) сердца;</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другие частые атипические боли в груди описыва</w:t>
        <w:softHyphen/>
        <w:t>ются как короткие, острые, пронзительные, кото</w:t>
        <w:softHyphen/>
        <w:t>рые имеют слабую корреляцию с физической на</w:t>
        <w:softHyphen/>
        <w:t>грузкой и без коррелятов ЭКГ. Такие боли могут быть связаны с обструкцией выходного тракта ле</w:t>
        <w:softHyphen/>
        <w:t>вого желудочка или аномалиями коронарного кро</w:t>
        <w:softHyphen/>
        <w:t>вообращения;</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грудные боли редко являются маркером ГКМП или менее распространенных заболеваний сердца;</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типичная стенокардия у детей встречается редко;</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несомненно существует определенная связь между ВСС и редкими случаями коронарной болезни сердца. ЖТ может быть вторичной после синдрома Кавасаки, врожденных коронарных аномалий или типичной стенокардии.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Физикальные данные</w:t>
      </w:r>
    </w:p>
    <w:p>
      <w:pPr>
        <w:pStyle w:val="Style30"/>
        <w:numPr>
          <w:ilvl w:val="0"/>
          <w:numId w:val="163"/>
        </w:numPr>
        <w:tabs>
          <w:tab w:leader="none" w:pos="239"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Исследование сердца:</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необходимо провести тщательное кардиологичес</w:t>
        <w:softHyphen/>
        <w:t>кое обследование. Сконцентрировать внимание на клинически выраженных аритмиях и физикаль- ных признаках сердечной недостаточности или структурного заболевания сердца;</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нормальные результаты физикального обследова</w:t>
        <w:softHyphen/>
        <w:t>ния не исключают наличие серьезного или угрожа</w:t>
        <w:softHyphen/>
        <w:t>ющего жизни заболевания.</w:t>
      </w:r>
    </w:p>
    <w:p>
      <w:pPr>
        <w:pStyle w:val="Style30"/>
        <w:numPr>
          <w:ilvl w:val="0"/>
          <w:numId w:val="163"/>
        </w:numPr>
        <w:tabs>
          <w:tab w:leader="none" w:pos="239"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Общее физикальное обследование: особое внимание</w:t>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следует уделить признакам скрытой или явной скелет</w:t>
        <w:softHyphen/>
        <w:t>ной миопатии, нейрокожным синдромам, рахиту, а так</w:t>
        <w:softHyphen/>
        <w:t>же результатам, полученным в предыдущих процедурах.</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Наиболее вероятные причины ЖТ у детей следующие:</w:t>
      </w:r>
    </w:p>
    <w:p>
      <w:pPr>
        <w:pStyle w:val="Style30"/>
        <w:numPr>
          <w:ilvl w:val="0"/>
          <w:numId w:val="163"/>
        </w:numPr>
        <w:tabs>
          <w:tab w:leader="none" w:pos="239"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Механические — внутрижелудочковые катетеры.</w:t>
      </w:r>
    </w:p>
    <w:p>
      <w:pPr>
        <w:pStyle w:val="Style30"/>
        <w:numPr>
          <w:ilvl w:val="0"/>
          <w:numId w:val="163"/>
        </w:numPr>
        <w:tabs>
          <w:tab w:leader="none" w:pos="239"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Метаболические:</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гипокалиемия;</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гиперкалиемия;</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гипокальциемия;</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ацидемия;</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гипоксия;</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гипомагниемия.</w:t>
      </w:r>
    </w:p>
    <w:p>
      <w:pPr>
        <w:pStyle w:val="Style30"/>
        <w:numPr>
          <w:ilvl w:val="0"/>
          <w:numId w:val="163"/>
        </w:numPr>
        <w:tabs>
          <w:tab w:leader="none" w:pos="239"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Лекарственные средства:</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дигоксиновая интоксикация;</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проаритмические препараты;</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большинство антиаритмических препаратов (осо</w:t>
        <w:softHyphen/>
        <w:t xml:space="preserve">бенно классов </w:t>
      </w:r>
      <w:r>
        <w:rPr>
          <w:lang w:val="en-US" w:eastAsia="en-US" w:bidi="en-US"/>
          <w:w w:val="100"/>
          <w:spacing w:val="0"/>
          <w:color w:val="000000"/>
          <w:position w:val="0"/>
        </w:rPr>
        <w:t>I</w:t>
      </w:r>
      <w:r>
        <w:rPr>
          <w:lang w:val="ru-RU" w:eastAsia="ru-RU" w:bidi="ru-RU"/>
          <w:w w:val="100"/>
          <w:spacing w:val="0"/>
          <w:color w:val="000000"/>
          <w:position w:val="0"/>
        </w:rPr>
        <w:t xml:space="preserve">-А, </w:t>
      </w:r>
      <w:r>
        <w:rPr>
          <w:lang w:val="en-US" w:eastAsia="en-US" w:bidi="en-US"/>
          <w:w w:val="100"/>
          <w:spacing w:val="0"/>
          <w:color w:val="000000"/>
          <w:position w:val="0"/>
        </w:rPr>
        <w:t xml:space="preserve">I-C, </w:t>
      </w:r>
      <w:r>
        <w:rPr>
          <w:lang w:val="ru-RU" w:eastAsia="ru-RU" w:bidi="ru-RU"/>
          <w:w w:val="100"/>
          <w:spacing w:val="0"/>
          <w:color w:val="000000"/>
          <w:position w:val="0"/>
        </w:rPr>
        <w:t>III);</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токсичность других лекарственных средств;</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анестезия.</w:t>
      </w:r>
    </w:p>
    <w:p>
      <w:pPr>
        <w:pStyle w:val="Style30"/>
        <w:numPr>
          <w:ilvl w:val="0"/>
          <w:numId w:val="163"/>
        </w:numPr>
        <w:tabs>
          <w:tab w:leader="none" w:pos="239"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Воспалительные:</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кардиомиопатия;</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миокардит.</w:t>
      </w:r>
    </w:p>
    <w:p>
      <w:pPr>
        <w:pStyle w:val="Style30"/>
        <w:numPr>
          <w:ilvl w:val="0"/>
          <w:numId w:val="163"/>
        </w:numPr>
        <w:tabs>
          <w:tab w:leader="none" w:pos="239"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Генетические:</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электрическая миопатия (например, удлинение </w:t>
      </w:r>
      <w:r>
        <w:rPr>
          <w:lang w:val="en-US" w:eastAsia="en-US" w:bidi="en-US"/>
          <w:w w:val="100"/>
          <w:spacing w:val="0"/>
          <w:color w:val="000000"/>
          <w:position w:val="0"/>
        </w:rPr>
        <w:t>QT);</w:t>
      </w:r>
    </w:p>
    <w:p>
      <w:pPr>
        <w:pStyle w:val="Style30"/>
        <w:numPr>
          <w:ilvl w:val="0"/>
          <w:numId w:val="165"/>
        </w:numPr>
        <w:tabs>
          <w:tab w:leader="none" w:pos="494" w:val="left"/>
        </w:tabs>
        <w:widowControl w:val="0"/>
        <w:keepNext w:val="0"/>
        <w:keepLines w:val="0"/>
        <w:shd w:val="clear" w:color="auto" w:fill="auto"/>
        <w:bidi w:val="0"/>
        <w:spacing w:before="0" w:after="0"/>
        <w:ind w:left="500" w:right="0" w:hanging="240"/>
      </w:pPr>
      <w:r>
        <w:pict>
          <v:shape id="_x0000_s1832" type="#_x0000_t75" style="position:absolute;margin-left:124.9pt;margin-top:738.25pt;width:209.75pt;height:14.9pt;z-index:-125828807;mso-wrap-distance-left:113.05pt;mso-wrap-distance-right:148.1pt;mso-wrap-distance-bottom:10.8pt;mso-position-horizontal-relative:margin;mso-position-vertical-relative:margin" wrapcoords="0 0 21600 0 21600 21600 0 21600 0 0">
            <v:imagedata r:id="rId1300" r:href="rId1301"/>
            <w10:wrap type="topAndBottom" anchorx="margin" anchory="margin"/>
          </v:shape>
        </w:pict>
      </w:r>
      <w:r>
        <w:rPr>
          <w:lang w:val="ru-RU" w:eastAsia="ru-RU" w:bidi="ru-RU"/>
          <w:w w:val="100"/>
          <w:spacing w:val="0"/>
          <w:color w:val="000000"/>
          <w:position w:val="0"/>
        </w:rPr>
        <w:t>мышечная дистрофия.</w:t>
      </w:r>
      <w:r>
        <w:br w:type="page"/>
      </w:r>
    </w:p>
    <w:p>
      <w:pPr>
        <w:pStyle w:val="Style30"/>
        <w:numPr>
          <w:ilvl w:val="0"/>
          <w:numId w:val="1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Структурные — ВПС.</w:t>
      </w:r>
    </w:p>
    <w:p>
      <w:pPr>
        <w:pStyle w:val="Style30"/>
        <w:numPr>
          <w:ilvl w:val="0"/>
          <w:numId w:val="1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Неопластические — опухоли (например, рабдомиома).</w:t>
      </w:r>
    </w:p>
    <w:p>
      <w:pPr>
        <w:pStyle w:val="Style30"/>
        <w:numPr>
          <w:ilvl w:val="0"/>
          <w:numId w:val="1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Длительная (непрекращающаяся/стойкая) и недли</w:t>
        <w:softHyphen/>
        <w:t>тельная ЖТ:</w:t>
      </w:r>
    </w:p>
    <w:p>
      <w:pPr>
        <w:pStyle w:val="Style30"/>
        <w:numPr>
          <w:ilvl w:val="0"/>
          <w:numId w:val="165"/>
        </w:numPr>
        <w:tabs>
          <w:tab w:leader="none" w:pos="49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длительная ЖТ определяется как желудочковый ритм быстрее 110-120 уд/мин в течение более 30 секунд или сравнимая аритмия, требующая экс</w:t>
        <w:softHyphen/>
        <w:t>тренной кардиоверсии;</w:t>
      </w:r>
    </w:p>
    <w:p>
      <w:pPr>
        <w:pStyle w:val="Style30"/>
        <w:numPr>
          <w:ilvl w:val="0"/>
          <w:numId w:val="165"/>
        </w:numPr>
        <w:tabs>
          <w:tab w:leader="none" w:pos="49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недлительная ЖТ включает 3 лишних (дополни - тельных) последовательных сокращения, длящих</w:t>
        <w:softHyphen/>
        <w:t>ся менее 30 секунд. Желудочковая эктопия более высокой степени является классификацией ЖТ, которая включает сцепленные желудочковые экс</w:t>
        <w:softHyphen/>
        <w:t>трасистолы и полиморфные ЖЭ, которые более часты, чем изолированные ЖЭ, и менее продол</w:t>
        <w:softHyphen/>
        <w:t>жительны, (устойчивы), чем ЖТ.</w:t>
      </w:r>
    </w:p>
    <w:p>
      <w:pPr>
        <w:pStyle w:val="Style30"/>
        <w:numPr>
          <w:ilvl w:val="0"/>
          <w:numId w:val="1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Неструктурные заболевания сердца:</w:t>
      </w:r>
    </w:p>
    <w:p>
      <w:pPr>
        <w:pStyle w:val="Style30"/>
        <w:numPr>
          <w:ilvl w:val="0"/>
          <w:numId w:val="165"/>
        </w:numPr>
        <w:tabs>
          <w:tab w:leader="none" w:pos="49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электрические миопатии, СУОГ: причиной этого семейного дефекта ионных каналов является мик- роделеция; выявлены делеции в хромосомах 3, 4, 7, 11 и 21. Хотя каждый из дефектов уникален, име</w:t>
        <w:softHyphen/>
        <w:t>ется общая тенденция к аномальной реполяриза</w:t>
        <w:softHyphen/>
        <w:t>ции и увеличению риска внезапной смерти, свя</w:t>
        <w:softHyphen/>
        <w:t>занной с желудочковой тахикардией по типу «пи</w:t>
        <w:softHyphen/>
        <w:t>руэт». На протяжении многих лет краеугольным камнем терапии продолжают оставаться бета-бло</w:t>
        <w:softHyphen/>
        <w:t>каторы в высоких дозах. Некоторым пациентам могут помочь новые подходы при помощи элек</w:t>
        <w:softHyphen/>
        <w:t>тростимуляции предсердий, имплантируемого кардиовертера/дефибриллятора;</w:t>
      </w:r>
    </w:p>
    <w:p>
      <w:pPr>
        <w:pStyle w:val="Style30"/>
        <w:numPr>
          <w:ilvl w:val="0"/>
          <w:numId w:val="165"/>
        </w:numPr>
        <w:tabs>
          <w:tab w:leader="none" w:pos="49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аритмогенная дисплазия правого желудочка (АДПЖ): ЖТ возникает из-за жировой (фибро</w:t>
        <w:softHyphen/>
        <w:t>зной) дегенерации правого желудочка. Больные умирают во время физической нагрузки (см. главу);</w:t>
      </w:r>
    </w:p>
    <w:p>
      <w:pPr>
        <w:pStyle w:val="Style30"/>
        <w:numPr>
          <w:ilvl w:val="0"/>
          <w:numId w:val="165"/>
        </w:numPr>
        <w:tabs>
          <w:tab w:leader="none" w:pos="49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ГКМ: ВСС, по всей вероятности, опосредованная ЖТ, происходит у лиц молодого возраста с гипер</w:t>
        <w:softHyphen/>
        <w:t>трофической кардиомиопатией, является факто</w:t>
        <w:softHyphen/>
        <w:t>ром риска ВСС у взрослых с ГКМ, эта находка приносит мало помощи пациентам детского воз</w:t>
        <w:softHyphen/>
        <w:t>раста. Недавно полученная корреляция в генотип- позитивных семьях с ГКМ свидетельствует о том, что при ЭКГ скрининге можно пропустить целую треть детей и подростков с легкими или ранними формами ГКМ (см. главу);</w:t>
      </w:r>
    </w:p>
    <w:p>
      <w:pPr>
        <w:pStyle w:val="Style30"/>
        <w:numPr>
          <w:ilvl w:val="0"/>
          <w:numId w:val="165"/>
        </w:numPr>
        <w:tabs>
          <w:tab w:leader="none" w:pos="49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синдром Бругада: синдром Бругада является дру</w:t>
        <w:softHyphen/>
        <w:t>гим выявляемым генным дефектом (натриевых ка</w:t>
        <w:softHyphen/>
        <w:t>налов), который вызывает ЖТ. У этих пациентов имеется тенденция (склонность) к наличию пат</w:t>
        <w:softHyphen/>
        <w:t xml:space="preserve">терна блокады правого пучка ножки (БППН) на ЭКГ в покое и повышению </w:t>
      </w:r>
      <w:r>
        <w:rPr>
          <w:lang w:val="en-US" w:eastAsia="en-US" w:bidi="en-US"/>
          <w:w w:val="100"/>
          <w:spacing w:val="0"/>
          <w:color w:val="000000"/>
          <w:position w:val="0"/>
        </w:rPr>
        <w:t>ST</w:t>
      </w:r>
    </w:p>
    <w:p>
      <w:pPr>
        <w:pStyle w:val="Style30"/>
        <w:numPr>
          <w:ilvl w:val="0"/>
          <w:numId w:val="1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Острый миокардит: острый миокардит с подавленной функцией желудочков и активным воспалением, не</w:t>
        <w:softHyphen/>
        <w:t>зависимо от этиологии, может быть представлен же</w:t>
        <w:softHyphen/>
        <w:t>лудочковой эктопией и ЖТ. Во время лечения мио</w:t>
        <w:softHyphen/>
        <w:t>кардита показана краткосрочная лекарственная тера</w:t>
        <w:softHyphen/>
        <w:t>пия. Аритмии могут персистировать долго после раз</w:t>
        <w:softHyphen/>
        <w:t>решения гемодинамической дисфункции.</w:t>
      </w:r>
    </w:p>
    <w:p>
      <w:pPr>
        <w:pStyle w:val="Style30"/>
        <w:numPr>
          <w:ilvl w:val="0"/>
          <w:numId w:val="1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Скрытый или очаговый миокардит: ооть и нечасто, но хорошо задокументированы случаи очагового или скрытого миокардита, ассоциированного с ЖТ. У не</w:t>
        <w:softHyphen/>
        <w:t>которых пациентов с частой эктопией или идиопати</w:t>
        <w:softHyphen/>
        <w:t>ческой ЖТ также может быть субклинический мио</w:t>
        <w:softHyphen/>
      </w:r>
    </w:p>
    <w:p>
      <w:pPr>
        <w:pStyle w:val="Style30"/>
        <w:widowControl w:val="0"/>
        <w:keepNext w:val="0"/>
        <w:keepLines w:val="0"/>
        <w:shd w:val="clear" w:color="auto" w:fill="auto"/>
        <w:bidi w:val="0"/>
        <w:spacing w:before="0" w:after="0"/>
        <w:ind w:left="0" w:right="0" w:firstLine="0"/>
      </w:pPr>
      <w:r>
        <w:br w:type="column"/>
      </w:r>
      <w:r>
        <w:rPr>
          <w:lang w:val="ru-RU" w:eastAsia="ru-RU" w:bidi="ru-RU"/>
          <w:w w:val="100"/>
          <w:spacing w:val="0"/>
          <w:color w:val="000000"/>
          <w:position w:val="0"/>
        </w:rPr>
        <w:t>кардит. Функциональные визуализационные иссле</w:t>
        <w:softHyphen/>
        <w:t>дования и биопсия эндомиокарда могут помочь в вы</w:t>
        <w:softHyphen/>
        <w:t>явлении этих пациентов.</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Идиопатические аритмии: диагноз доброкачествен</w:t>
        <w:softHyphen/>
        <w:t>ной аритмии всегда ставится с опасением и основы</w:t>
        <w:softHyphen/>
        <w:t>вается на симптомах, семейном анамнезе, данных эхокардиограммы (ЭхоКГ), реакции на физическую нагрузку и частоту при ней, морфологии и персисти- ровании аритмии.</w:t>
      </w:r>
    </w:p>
    <w:p>
      <w:pPr>
        <w:pStyle w:val="Style30"/>
        <w:numPr>
          <w:ilvl w:val="0"/>
          <w:numId w:val="165"/>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изолированные ПСЖ: нечастые, изолированные ПСЖ, особенно с таким пусковым механизмом, как анестезия или внутрисердечный катетер, тре</w:t>
        <w:softHyphen/>
        <w:t>буют незначительного исследования. ПСЖ, кото</w:t>
        <w:softHyphen/>
        <w:t>рые выражены более часто, чем ожидается для воз</w:t>
        <w:softHyphen/>
        <w:t>раста пациента, могут служить основанием для по - иска проявлений более длительной аритмии;</w:t>
      </w:r>
    </w:p>
    <w:p>
      <w:pPr>
        <w:pStyle w:val="Style30"/>
        <w:numPr>
          <w:ilvl w:val="0"/>
          <w:numId w:val="165"/>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правожелудочковый тракт оттока ЖТ: будучи часто бессимптомным, этот тип имеет морфологию бло</w:t>
        <w:softHyphen/>
        <w:t>кады: левой ножки пучка (БЛНП), часто повторяю - щиеся залпы ЖТ;</w:t>
      </w:r>
    </w:p>
    <w:p>
      <w:pPr>
        <w:pStyle w:val="Style30"/>
        <w:numPr>
          <w:ilvl w:val="0"/>
          <w:numId w:val="165"/>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БПНП ЖТ: этот тип может быть автоматичным. В некоторых случаях может быть реентрантная ЖТ, пусковым механизмом которой являются предсердная электростимуляция или преждевре</w:t>
        <w:softHyphen/>
        <w:t>менные сокращения предсердий. Отмечаемые во всех возрастных группах, БПНП ЖТ часто отвеча</w:t>
        <w:softHyphen/>
        <w:t>ют на лечение верапамилом;</w:t>
      </w:r>
    </w:p>
    <w:p>
      <w:pPr>
        <w:pStyle w:val="Style30"/>
        <w:numPr>
          <w:ilvl w:val="0"/>
          <w:numId w:val="165"/>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ускоренный идиовентрикулярный ритм: этот вид типично отмечается у младенцев и детей младшего возраста. Частота ускоренного идиовентрикуляр- ного ритма обычно немного выше, чем синусовых сокращений. Обычно наблюдается БЛНП, пред</w:t>
        <w:softHyphen/>
        <w:t>положительно указывая на левожелудочковый очаг. При этом состоянии не было сообщений о случаях смерти, и необходимость терапии возни</w:t>
        <w:softHyphen/>
        <w:t>кает в редких случаях. За детьми следует вести тща</w:t>
        <w:softHyphen/>
        <w:t>тельное наблюдение на предмет выявления увели</w:t>
        <w:softHyphen/>
        <w:t>чивающейся ЖТ или снижающейся функции.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Врожденный порок сердца:</w:t>
      </w:r>
    </w:p>
    <w:p>
      <w:pPr>
        <w:pStyle w:val="Style30"/>
        <w:numPr>
          <w:ilvl w:val="0"/>
          <w:numId w:val="165"/>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ЖЭ отмечаются у 2/3 подростков и лиц молодого возраста со стенозом аортального клапана от сред</w:t>
        <w:softHyphen/>
        <w:t>ней до тяжелой степени или после хирургического исправления тетрады Фалло. ЖЭ также отмечают</w:t>
        <w:softHyphen/>
        <w:t>ся у некоторых пациентов с дефектом межжелу</w:t>
        <w:softHyphen/>
        <w:t>дочковой перегородки (ДМПП) и у пациентов с некурабельным пороком сердца, особенно с ле</w:t>
        <w:softHyphen/>
        <w:t>гочной гипертензией. Без симптомов эти результа</w:t>
        <w:softHyphen/>
        <w:t>ты наилучшим образом интерпретируются пони</w:t>
        <w:softHyphen/>
        <w:t>манием гемодинамики лежащего в основе заболе</w:t>
        <w:softHyphen/>
        <w:t>вания;</w:t>
      </w:r>
    </w:p>
    <w:p>
      <w:pPr>
        <w:pStyle w:val="Style30"/>
        <w:numPr>
          <w:ilvl w:val="0"/>
          <w:numId w:val="165"/>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неустойчивая и устойчивая ЖТ: классификация неустойчивой и устойчивой ЖТ у пациентов с ВПС такая же, как и у пациентов со структурно нормальным сердцем;</w:t>
      </w:r>
    </w:p>
    <w:p>
      <w:pPr>
        <w:pStyle w:val="Style30"/>
        <w:numPr>
          <w:ilvl w:val="0"/>
          <w:numId w:val="165"/>
        </w:numPr>
        <w:tabs>
          <w:tab w:leader="none" w:pos="235" w:val="left"/>
        </w:tabs>
        <w:widowControl w:val="0"/>
        <w:keepNext w:val="0"/>
        <w:keepLines w:val="0"/>
        <w:shd w:val="clear" w:color="auto" w:fill="auto"/>
        <w:bidi w:val="0"/>
        <w:spacing w:before="0" w:after="0"/>
        <w:ind w:left="260" w:right="0"/>
      </w:pPr>
      <w:r>
        <w:pict>
          <v:shape id="_x0000_s1833" type="#_x0000_t75" style="position:absolute;margin-left:141.7pt;margin-top:738.25pt;width:209.75pt;height:14.9pt;z-index:-125828806;mso-wrap-distance-left:135.35pt;mso-wrap-distance-right:136.8pt;mso-wrap-distance-bottom:10.8pt;mso-position-horizontal-relative:margin;mso-position-vertical-relative:margin" wrapcoords="0 0 21600 0 21600 21600 0 21600 0 0">
            <v:imagedata r:id="rId1302" r:href="rId1303"/>
            <w10:wrap type="topAndBottom" anchorx="margin" anchory="margin"/>
          </v:shape>
        </w:pict>
      </w:r>
      <w:r>
        <w:rPr>
          <w:lang w:val="ru-RU" w:eastAsia="ru-RU" w:bidi="ru-RU"/>
          <w:w w:val="100"/>
          <w:spacing w:val="0"/>
          <w:color w:val="000000"/>
          <w:position w:val="0"/>
        </w:rPr>
        <w:t>присутствие клинической ЖТ и в некоторых усло - виях ЖТ, индуцированной во время электрофи</w:t>
        <w:softHyphen/>
        <w:t>зиологического тестирования, может быть незави</w:t>
        <w:softHyphen/>
        <w:t>симым от гемодинамических дефектов в прогно</w:t>
        <w:softHyphen/>
        <w:t>зировании смертности и риска остановки сердца. Необходимы специализированные консультации и тщательные оценки. Тетрада Фалло, будучи на</w:t>
        <w:softHyphen/>
        <w:t>иболее распространенным дефектом, ассоцииро-</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ванным либо со спонтанной, либо с мономорфной ЖТ, имеет сильную корреляцию с возрастом, уве</w:t>
        <w:softHyphen/>
        <w:t>личением возраста первоначального восстановле</w:t>
        <w:softHyphen/>
        <w:t>ния и остаточными гемодинамическими дефекта</w:t>
        <w:softHyphen/>
        <w:t>ми. Выбор метода лечения носит комплексный ха</w:t>
        <w:softHyphen/>
        <w:t>рактер и может включать фармакотерапию, абла</w:t>
        <w:softHyphen/>
        <w:t>цию или коррекцию остаточных гемодинамичес</w:t>
        <w:softHyphen/>
        <w:t>ких проблем.</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Лабораторная диагностика</w:t>
      </w:r>
    </w:p>
    <w:p>
      <w:pPr>
        <w:pStyle w:val="Style30"/>
        <w:numPr>
          <w:ilvl w:val="0"/>
          <w:numId w:val="163"/>
        </w:numPr>
        <w:tabs>
          <w:tab w:leader="none" w:pos="233"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Лабораторные исследования должны быть индивиду</w:t>
        <w:softHyphen/>
        <w:t>ализированными. При острой ЖТ обычно требуется проведение более интенсивных лабораторных иссле</w:t>
        <w:softHyphen/>
        <w:t>дований. Результаты этих тестов обычно низкие, ког</w:t>
        <w:softHyphen/>
        <w:t>да анамнез, физические и другие аспекты проявлений не дают специфических находок. В случаях бессимп</w:t>
        <w:softHyphen/>
        <w:t>томной аритмии при практически здоровом сердце большинство из этих исследований можно не прово</w:t>
        <w:softHyphen/>
        <w:t>дить.</w:t>
      </w:r>
    </w:p>
    <w:p>
      <w:pPr>
        <w:pStyle w:val="Style30"/>
        <w:numPr>
          <w:ilvl w:val="0"/>
          <w:numId w:val="163"/>
        </w:numPr>
        <w:tabs>
          <w:tab w:leader="none" w:pos="233"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Электролиты сыворотки крови:</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гиперкалиемия и гипокалиемия вне зависимости от их причины ассоциированы с увеличивающейся желудочковой эктопией и могут оказывать нега</w:t>
        <w:softHyphen/>
        <w:t>тивное влияние на реполяризацию;</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гипокалиемия тяжелой степени, которая наблюда</w:t>
        <w:softHyphen/>
        <w:t xml:space="preserve">ется при рахите, может удлинять интервалы </w:t>
      </w:r>
      <w:r>
        <w:rPr>
          <w:lang w:val="en-US" w:eastAsia="en-US" w:bidi="en-US"/>
          <w:w w:val="100"/>
          <w:spacing w:val="0"/>
          <w:color w:val="000000"/>
          <w:position w:val="0"/>
        </w:rPr>
        <w:t xml:space="preserve">QT </w:t>
      </w:r>
      <w:r>
        <w:rPr>
          <w:lang w:val="ru-RU" w:eastAsia="ru-RU" w:bidi="ru-RU"/>
          <w:w w:val="100"/>
          <w:spacing w:val="0"/>
          <w:color w:val="000000"/>
          <w:position w:val="0"/>
        </w:rPr>
        <w:t>и допускать полиморфную ЖТ;</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гипомагниемия может иметь клинически важное значение у кардиологических пациентов во время ближайшего послеоперационного периода и в не</w:t>
        <w:softHyphen/>
        <w:t>которых других условиях.</w:t>
      </w:r>
    </w:p>
    <w:p>
      <w:pPr>
        <w:pStyle w:val="Style30"/>
        <w:numPr>
          <w:ilvl w:val="0"/>
          <w:numId w:val="163"/>
        </w:numPr>
        <w:tabs>
          <w:tab w:leader="none" w:pos="233"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Токсикология:</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применение множественных лекарственных пре</w:t>
        <w:softHyphen/>
        <w:t>паратов или злоупотребление тонизирующими средствами могут быть пусковым механизмом ЖА;</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необходимо установить, нет ли передозировки трициклических антидепрессантов, препаратов, которые могут оказать негативное влияние на ка</w:t>
        <w:softHyphen/>
        <w:t>лиевые каналы (например, цизаприд), а также сти</w:t>
        <w:softHyphen/>
        <w:t>мулирующих средств.</w:t>
      </w:r>
    </w:p>
    <w:p>
      <w:pPr>
        <w:pStyle w:val="Style30"/>
        <w:numPr>
          <w:ilvl w:val="0"/>
          <w:numId w:val="163"/>
        </w:numPr>
        <w:tabs>
          <w:tab w:leader="none" w:pos="233"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Тестирование функции щитовидной железы:</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будучи связанными с другими клиническими про</w:t>
        <w:softHyphen/>
        <w:t>явлениями гипертиреоза, повышенные уровни ти</w:t>
        <w:softHyphen/>
        <w:t>роксина могут увеличивать лежащую в основе аритмию или служить пусковым механизмом но</w:t>
        <w:softHyphen/>
        <w:t>вой аритмии;</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функция щитовидной железы должна быть обяза</w:t>
        <w:softHyphen/>
        <w:t>тельно проверена у пациентов с наличием в анам</w:t>
        <w:softHyphen/>
        <w:t>незе приема амиодарона.</w:t>
      </w:r>
    </w:p>
    <w:p>
      <w:pPr>
        <w:pStyle w:val="Style30"/>
        <w:numPr>
          <w:ilvl w:val="0"/>
          <w:numId w:val="163"/>
        </w:numPr>
        <w:tabs>
          <w:tab w:leader="none" w:pos="233"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Другие лабораторные исследования:</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для принятия решения о лекарственной терапии мо</w:t>
        <w:softHyphen/>
        <w:t>гут потребоваться данные других лабораторных ис</w:t>
        <w:softHyphen/>
        <w:t>следований, включая трансаминазы и билирубин;</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помочь оценке гемодинамической степени тяжес</w:t>
        <w:softHyphen/>
        <w:t>ти аритмии у некоторых пациентов могут исследо</w:t>
        <w:softHyphen/>
        <w:t>вания газового состава артериальной крови и цен</w:t>
        <w:softHyphen/>
        <w:t>трального венозного насыщения кислородом.</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numPr>
          <w:ilvl w:val="0"/>
          <w:numId w:val="163"/>
        </w:numPr>
        <w:tabs>
          <w:tab w:leader="none" w:pos="233"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ЭКГ:</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ЭКГ позволяет быстро провести анализ морфоло</w:t>
        <w:softHyphen/>
        <w:t>гии, частоты и электрического субстрата подозре</w:t>
        <w:softHyphen/>
        <w:t>ваемой аритмии. ЭКГ помогает исключить надже</w:t>
        <w:softHyphen/>
        <w:t>лудочковую (суправентрикулярную) тахикардию</w:t>
        <w:br w:type="column"/>
        <w:t>(СВТ) или предсердные аритмии с фиксирован</w:t>
        <w:softHyphen/>
        <w:t>ным блоком ножки пучка (БНП), или ЧСС-зави- симую аберрантность;</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сочетании с системами амбулаторного наблюде</w:t>
        <w:softHyphen/>
        <w:t>ния и мониторинга у постели больного ЭКГ обес</w:t>
        <w:softHyphen/>
        <w:t>печивает получение достаточных данных для по</w:t>
        <w:softHyphen/>
        <w:t>становки начального диагноза большинства ЖТ;</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холтеровское мониторирование: оценка методом суточного мониторинга по Холтеру обеспечивает количественную быструю информацию о желу</w:t>
        <w:softHyphen/>
        <w:t>дочковой эктопии. У пациентов с подозрением на сердечные синкопы следует на ЭКГ особое внима</w:t>
        <w:softHyphen/>
        <w:t xml:space="preserve">ние уделить интервалам </w:t>
      </w:r>
      <w:r>
        <w:rPr>
          <w:lang w:val="en-US" w:eastAsia="en-US" w:bidi="en-US"/>
          <w:w w:val="100"/>
          <w:spacing w:val="0"/>
          <w:color w:val="000000"/>
          <w:position w:val="0"/>
        </w:rPr>
        <w:t xml:space="preserve">QT </w:t>
      </w:r>
      <w:r>
        <w:rPr>
          <w:lang w:val="ru-RU" w:eastAsia="ru-RU" w:bidi="ru-RU"/>
          <w:w w:val="100"/>
          <w:spacing w:val="0"/>
          <w:color w:val="000000"/>
          <w:position w:val="0"/>
        </w:rPr>
        <w:t xml:space="preserve">и изменениям зубца Т для выявления лежащего в основе заболевания. Корреляция холтеровского мониторирования </w:t>
      </w:r>
      <w:r>
        <w:rPr>
          <w:lang w:val="en-US" w:eastAsia="en-US" w:bidi="en-US"/>
          <w:w w:val="100"/>
          <w:spacing w:val="0"/>
          <w:color w:val="000000"/>
          <w:position w:val="0"/>
        </w:rPr>
        <w:t xml:space="preserve">QK; </w:t>
      </w:r>
      <w:r>
        <w:rPr>
          <w:lang w:val="ru-RU" w:eastAsia="ru-RU" w:bidi="ru-RU"/>
          <w:w w:val="100"/>
          <w:spacing w:val="0"/>
          <w:color w:val="000000"/>
          <w:position w:val="0"/>
        </w:rPr>
        <w:t xml:space="preserve">и ЭКГ измерения </w:t>
      </w:r>
      <w:r>
        <w:rPr>
          <w:lang w:val="en-US" w:eastAsia="en-US" w:bidi="en-US"/>
          <w:w w:val="100"/>
          <w:spacing w:val="0"/>
          <w:color w:val="000000"/>
          <w:position w:val="0"/>
        </w:rPr>
        <w:t xml:space="preserve">QK; </w:t>
      </w:r>
      <w:r>
        <w:rPr>
          <w:lang w:val="ru-RU" w:eastAsia="ru-RU" w:bidi="ru-RU"/>
          <w:w w:val="100"/>
          <w:spacing w:val="0"/>
          <w:color w:val="000000"/>
          <w:position w:val="0"/>
        </w:rPr>
        <w:t>не равна 1:1;</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ЭКГ с физической нагрузкой: физические упраж</w:t>
        <w:softHyphen/>
        <w:t>нения обычно подавляют доброкачественную аритмию. Повторные тесты с нагрузкой могут по</w:t>
        <w:softHyphen/>
        <w:t>мочь оценить адекватность лекарственного лече</w:t>
        <w:softHyphen/>
        <w:t>ния и других видов терапии выбора. Тестирование с нагрузкой увеличивает чувствительность ЭКГ мониторинга, хотя оно имеет неопределенную воспроизводимость и специфичность.</w:t>
      </w:r>
    </w:p>
    <w:p>
      <w:pPr>
        <w:pStyle w:val="Style30"/>
        <w:numPr>
          <w:ilvl w:val="0"/>
          <w:numId w:val="163"/>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Рентгенографические снимки грудной клетки позво</w:t>
        <w:softHyphen/>
        <w:t>ляют быстро оценить расширение желудочков, легоч</w:t>
        <w:softHyphen/>
        <w:t>ное венозное давление и выявить механические воз</w:t>
        <w:softHyphen/>
        <w:t>действия, такие как внутрисердечные катетеры.</w:t>
      </w:r>
    </w:p>
    <w:p>
      <w:pPr>
        <w:pStyle w:val="Style30"/>
        <w:numPr>
          <w:ilvl w:val="0"/>
          <w:numId w:val="163"/>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Все пациенты со значительной эктопией должны пройти полное эхокардиографическое обследование. Особое внимание следует обратить на следующие ас</w:t>
        <w:softHyphen/>
        <w:t>пекты:</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функция желудочков (на синусовых сокращениях);</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толщина стенки;</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проксимальный паттерн венечной артерии;</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опухоли;</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структурные пороки (заболевания) сердца.</w:t>
      </w:r>
    </w:p>
    <w:p>
      <w:pPr>
        <w:pStyle w:val="Style30"/>
        <w:numPr>
          <w:ilvl w:val="0"/>
          <w:numId w:val="163"/>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МРТ сердца: МРТ находит все более широкое приме</w:t>
        <w:softHyphen/>
        <w:t>нение. Хотя показания к проведению МРТ остаются пока неясными, МРТ сердца проводится главным об</w:t>
        <w:softHyphen/>
        <w:t>разом для выявления АДПЖ и опухолей. При нерегу</w:t>
        <w:softHyphen/>
        <w:t>лярном ритме исследование может быть недостаточ</w:t>
        <w:softHyphen/>
        <w:t>ным для получения адекватных изображений.</w:t>
      </w:r>
    </w:p>
    <w:p>
      <w:pPr>
        <w:pStyle w:val="Style30"/>
        <w:numPr>
          <w:ilvl w:val="0"/>
          <w:numId w:val="163"/>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Проблемы выбора лекарственных средств: у неко</w:t>
        <w:softHyphen/>
        <w:t>торых пациентов может потребоваться проведение нескольких пробных сеансов применения различных препаратов, которые либо провоцируют, либо подав</w:t>
        <w:softHyphen/>
        <w:t>ляют аритмию.</w:t>
      </w:r>
    </w:p>
    <w:p>
      <w:pPr>
        <w:pStyle w:val="Style30"/>
        <w:numPr>
          <w:ilvl w:val="0"/>
          <w:numId w:val="163"/>
        </w:numPr>
        <w:tabs>
          <w:tab w:leader="none" w:pos="239"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Программируемая стимуляция:</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программируемое стимулирование предсердий и желудочков не без оснований эффективно при воспроизведении реципрокной ЖТ;</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внутрисердечная регистрация позволяет устано</w:t>
        <w:softHyphen/>
        <w:t>вить точный диагноз при неясных результатах ЭКГ;</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программируемая стимуляция, как правило, бес</w:t>
        <w:softHyphen/>
        <w:t>полезна для запуска или исключения автоматич</w:t>
        <w:softHyphen/>
        <w:t>ных желудочковых ритмов, частота которых выше в детстве и подростковом возрасте.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163"/>
        </w:numPr>
        <w:tabs>
          <w:tab w:leader="none" w:pos="239" w:val="left"/>
        </w:tabs>
        <w:widowControl w:val="0"/>
        <w:keepNext w:val="0"/>
        <w:keepLines w:val="0"/>
        <w:shd w:val="clear" w:color="auto" w:fill="auto"/>
        <w:bidi w:val="0"/>
        <w:spacing w:before="0" w:after="0"/>
        <w:ind w:left="280" w:right="0" w:hanging="280"/>
      </w:pPr>
      <w:r>
        <w:pict>
          <v:shape id="_x0000_s1834" type="#_x0000_t75" style="position:absolute;margin-left:130.8pt;margin-top:738.25pt;width:209.75pt;height:14.9pt;z-index:-125828805;mso-wrap-distance-left:124.8pt;mso-wrap-distance-right:148.1pt;mso-wrap-distance-bottom:10.8pt;mso-position-horizontal-relative:margin;mso-position-vertical-relative:margin" wrapcoords="0 0 21600 0 21600 21600 0 21600 0 0">
            <v:imagedata r:id="rId1304" r:href="rId1305"/>
            <w10:wrap type="topAndBottom" anchorx="margin" anchory="margin"/>
          </v:shape>
        </w:pict>
      </w:r>
      <w:r>
        <w:rPr>
          <w:lang w:val="ru-RU" w:eastAsia="ru-RU" w:bidi="ru-RU"/>
          <w:w w:val="100"/>
          <w:spacing w:val="0"/>
          <w:color w:val="000000"/>
          <w:position w:val="0"/>
        </w:rPr>
        <w:t>Терапия может не понадобиться для бессимптомных пациентов, особенности тахикардии которых говорят о низком риске внезапной смерти. Наличие симпто-</w:t>
      </w:r>
      <w:r>
        <w:br w:type="page"/>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мов или значительного непосредственного риска ВСС часто требует госпитализации для оценки состояния и выбора лечения.</w:t>
      </w:r>
    </w:p>
    <w:p>
      <w:pPr>
        <w:pStyle w:val="Style30"/>
        <w:numPr>
          <w:ilvl w:val="0"/>
          <w:numId w:val="163"/>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Проводят оптимальное амбулаторное лечение с обес</w:t>
        <w:softHyphen/>
        <w:t>печением сосудистого доступа и непрерывного сер</w:t>
        <w:softHyphen/>
        <w:t>дечного мониторинга. Для нестабильных пациентов проведите одновременную оценку и терапию.</w:t>
      </w:r>
    </w:p>
    <w:p>
      <w:pPr>
        <w:pStyle w:val="Style30"/>
        <w:numPr>
          <w:ilvl w:val="0"/>
          <w:numId w:val="163"/>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Для гемодинамически стабильных пациентов за оценкой следует серийная лекарственная терапия. Также можно провести диагностическую или терапе</w:t>
        <w:softHyphen/>
        <w:t>втическую катетеризацию.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Хирургическое лечение</w:t>
      </w:r>
    </w:p>
    <w:p>
      <w:pPr>
        <w:pStyle w:val="Style30"/>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Выборочные пациенты требуют высоко индивидуализи</w:t>
        <w:softHyphen/>
        <w:t>рованных интервенциональных процедур, таких как:</w:t>
      </w:r>
    </w:p>
    <w:p>
      <w:pPr>
        <w:pStyle w:val="Style30"/>
        <w:numPr>
          <w:ilvl w:val="0"/>
          <w:numId w:val="1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Эксцизионная биопсия: непрерывная (устойчи</w:t>
        <w:softHyphen/>
        <w:t>вая) ЖТ иногда является вторичной к очаговой ли- поидной кардиомиопатии или гематомам. В из</w:t>
        <w:softHyphen/>
        <w:t>бранных случаях хирургическое иссечение может быть как диагностическим, так и терапевтическим.</w:t>
      </w:r>
    </w:p>
    <w:p>
      <w:pPr>
        <w:pStyle w:val="Style30"/>
        <w:numPr>
          <w:ilvl w:val="0"/>
          <w:numId w:val="1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Имплантируемые дефибрилляторы привели к ре</w:t>
        <w:softHyphen/>
        <w:t>волюционным изменениям в лечении с повышен</w:t>
        <w:softHyphen/>
        <w:t>ным риском ЖТ. Чрезвенозные системы использу</w:t>
        <w:softHyphen/>
        <w:t>ются у пациентов в возрасте 2-3 лет. В исключи</w:t>
        <w:softHyphen/>
        <w:t>тельных случаях эпикардиальные системы им</w:t>
        <w:softHyphen/>
        <w:t>плантируют детям, начинающим ходить, и детям более старшего возраста методом стернотомии.</w:t>
      </w:r>
    </w:p>
    <w:p>
      <w:pPr>
        <w:pStyle w:val="Style30"/>
        <w:numPr>
          <w:ilvl w:val="0"/>
          <w:numId w:val="1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Радиочастотная катетерная аблация и криоабла</w:t>
        <w:softHyphen/>
        <w:t>ция: при мономорфных ЖТ успешно применяют</w:t>
        <w:softHyphen/>
        <w:t>ся как радиочастотная катетерная аблация, так и внутриоперационная резекция или криоабляция очага ЖТ; их польза для пациентов с полиморфной ЖТ не доказана.</w:t>
      </w:r>
    </w:p>
    <w:p>
      <w:pPr>
        <w:pStyle w:val="Style30"/>
        <w:numPr>
          <w:ilvl w:val="0"/>
          <w:numId w:val="163"/>
        </w:numPr>
        <w:tabs>
          <w:tab w:leader="none" w:pos="756" w:val="left"/>
        </w:tabs>
        <w:widowControl w:val="0"/>
        <w:keepNext w:val="0"/>
        <w:keepLines w:val="0"/>
        <w:shd w:val="clear" w:color="auto" w:fill="auto"/>
        <w:bidi w:val="0"/>
        <w:spacing w:before="0" w:after="242"/>
        <w:ind w:left="740" w:right="0" w:hanging="220"/>
      </w:pPr>
      <w:r>
        <w:rPr>
          <w:lang w:val="ru-RU" w:eastAsia="ru-RU" w:bidi="ru-RU"/>
          <w:w w:val="100"/>
          <w:spacing w:val="0"/>
          <w:color w:val="000000"/>
          <w:position w:val="0"/>
        </w:rPr>
        <w:t>Левосторонняя цервикальная десимпатизация: эта процедура выполняется в течение многих лет у па</w:t>
        <w:softHyphen/>
        <w:t>циентов с рефрактерным СУОТ. В настоящее вре</w:t>
        <w:softHyphen/>
        <w:t>мя большинство кардиологов рекомендуют им</w:t>
        <w:softHyphen/>
        <w:t>плантацию дефибриллятора в сочетании с фарма</w:t>
        <w:softHyphen/>
        <w:t>кологической Р-блокадой.</w:t>
      </w:r>
    </w:p>
    <w:p>
      <w:pPr>
        <w:pStyle w:val="Style28"/>
        <w:widowControl w:val="0"/>
        <w:keepNext/>
        <w:keepLines/>
        <w:shd w:val="clear" w:color="auto" w:fill="auto"/>
        <w:bidi w:val="0"/>
        <w:jc w:val="left"/>
        <w:spacing w:before="0" w:after="118" w:line="288" w:lineRule="exact"/>
        <w:ind w:left="0" w:right="0" w:firstLine="0"/>
      </w:pPr>
      <w:bookmarkStart w:id="813" w:name="bookmark813"/>
      <w:r>
        <w:rPr>
          <w:lang w:val="ru-RU" w:eastAsia="ru-RU" w:bidi="ru-RU"/>
          <w:w w:val="100"/>
          <w:spacing w:val="0"/>
          <w:color w:val="000000"/>
          <w:position w:val="0"/>
        </w:rPr>
        <w:t>Желудочковая тахикардия типа «пируэт»</w:t>
      </w:r>
      <w:bookmarkEnd w:id="813"/>
    </w:p>
    <w:p>
      <w:pPr>
        <w:pStyle w:val="Style92"/>
        <w:widowControl w:val="0"/>
        <w:keepNext/>
        <w:keepLines/>
        <w:shd w:val="clear" w:color="auto" w:fill="auto"/>
        <w:bidi w:val="0"/>
        <w:spacing w:before="0" w:after="0"/>
        <w:ind w:left="0" w:right="0" w:firstLine="280"/>
      </w:pPr>
      <w:bookmarkStart w:id="814" w:name="bookmark814"/>
      <w:r>
        <w:rPr>
          <w:lang w:val="ru-RU" w:eastAsia="ru-RU" w:bidi="ru-RU"/>
          <w:w w:val="100"/>
          <w:spacing w:val="0"/>
          <w:color w:val="000000"/>
          <w:position w:val="0"/>
        </w:rPr>
        <w:t>История вопроса</w:t>
      </w:r>
      <w:bookmarkEnd w:id="81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Трепетание-мерцание желудочков </w:t>
      </w:r>
      <w:r>
        <w:rPr>
          <w:rStyle w:val="CharStyle103"/>
          <w:lang w:val="en-US" w:eastAsia="en-US" w:bidi="en-US"/>
        </w:rPr>
        <w:t>(torsade de piontes)</w:t>
      </w:r>
      <w:r>
        <w:rPr>
          <w:lang w:val="en-US" w:eastAsia="en-US" w:bidi="en-US"/>
          <w:w w:val="100"/>
          <w:spacing w:val="0"/>
          <w:color w:val="000000"/>
          <w:position w:val="0"/>
        </w:rPr>
        <w:t xml:space="preserve"> </w:t>
      </w:r>
      <w:r>
        <w:rPr>
          <w:lang w:val="ru-RU" w:eastAsia="ru-RU" w:bidi="ru-RU"/>
          <w:w w:val="100"/>
          <w:spacing w:val="0"/>
          <w:color w:val="000000"/>
          <w:position w:val="0"/>
        </w:rPr>
        <w:t>бу</w:t>
        <w:softHyphen/>
        <w:t>квально означает вращение, скручивание и является отли</w:t>
        <w:softHyphen/>
        <w:t>чительной формой полиморфной желудочковой тахикар</w:t>
        <w:softHyphen/>
        <w:t>дии (ЖТ), которая характеризуется постепенным измене</w:t>
        <w:softHyphen/>
        <w:t xml:space="preserve">нием амплитуды и вращения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вокруг изо</w:t>
        <w:softHyphen/>
        <w:t>электрической линии. Трепетание-мерцание желудочков связано с удлиненным интервалом ОТ, который может быть врожденным или приобретенным. Оно обычно завершает</w:t>
        <w:softHyphen/>
        <w:t>ся самостоятельно, но часто рецидивирует и может перейти в длительную ЖТ и фибрилляцию желудочков.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Связь желудочковой тахикардии типа «пируэт» с удли</w:t>
        <w:softHyphen/>
        <w:t>ненным интервалом ОТ известна давно, однако вовлечен</w:t>
        <w:softHyphen/>
        <w:t>ные механизмы на клеточном и ионном уровнях стали про</w:t>
        <w:softHyphen/>
        <w:t>ясняться примерно за последние десять лет. Аномалия, ле</w:t>
        <w:softHyphen/>
        <w:t>жащая в основе как приобретенного, так и врожденного синдрома удлинения ОТ, заключается в ионном токе во вре</w:t>
        <w:softHyphen/>
        <w:t>мя деполяризации, что влияет на интервал ОТ. Различные</w:t>
        <w:br w:type="column"/>
        <w:t>исследования говорят в поддержку концепции, что удлине</w:t>
        <w:softHyphen/>
        <w:t>ние деполяризации задерживает инактивацию ионных ка</w:t>
        <w:softHyphen/>
        <w:t>налов, ответственных за поток внутрь положительных депо</w:t>
        <w:softHyphen/>
        <w:t>ляризирующих токов. Это ведет к дальнейшей задержке ре</w:t>
        <w:softHyphen/>
        <w:t xml:space="preserve">поляризации и вызывает раннюю после деполяризацию (РПД) — триггерную активацию для </w:t>
      </w:r>
      <w:r>
        <w:rPr>
          <w:rStyle w:val="CharStyle103"/>
          <w:lang w:val="en-US" w:eastAsia="en-US" w:bidi="en-US"/>
        </w:rPr>
        <w:t>torsade de piontes.</w:t>
      </w:r>
      <w:r>
        <w:rPr>
          <w:lang w:val="en-US" w:eastAsia="en-US" w:bidi="en-US"/>
          <w:w w:val="100"/>
          <w:spacing w:val="0"/>
          <w:color w:val="000000"/>
          <w:position w:val="0"/>
        </w:rPr>
        <w:t xml:space="preserve"> </w:t>
      </w:r>
      <w:r>
        <w:rPr>
          <w:lang w:val="ru-RU" w:eastAsia="ru-RU" w:bidi="ru-RU"/>
          <w:w w:val="100"/>
          <w:spacing w:val="0"/>
          <w:color w:val="000000"/>
          <w:position w:val="0"/>
        </w:rPr>
        <w:t>Опи</w:t>
        <w:softHyphen/>
        <w:t>сываются следующие фазы:</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Фаза 1: Во время первоначального верхушечного толчка потенциала действия в нормальной клетке сердца происходит быстрый сетевой поток положи</w:t>
        <w:softHyphen/>
        <w:t>тельно заряженных ионов (№+ иСа</w:t>
      </w:r>
      <w:r>
        <w:rPr>
          <w:lang w:val="ru-RU" w:eastAsia="ru-RU" w:bidi="ru-RU"/>
          <w:vertAlign w:val="superscript"/>
          <w:w w:val="100"/>
          <w:spacing w:val="0"/>
          <w:color w:val="000000"/>
          <w:position w:val="0"/>
        </w:rPr>
        <w:t>++</w:t>
      </w:r>
      <w:r>
        <w:rPr>
          <w:lang w:val="ru-RU" w:eastAsia="ru-RU" w:bidi="ru-RU"/>
          <w:w w:val="100"/>
          <w:spacing w:val="0"/>
          <w:color w:val="000000"/>
          <w:position w:val="0"/>
        </w:rPr>
        <w:t>), приводя к де</w:t>
        <w:softHyphen/>
        <w:t xml:space="preserve">поляризации клеточной мембраны. За этим следует быстрый преходящий направленный внутрь поток калия </w:t>
      </w:r>
      <w:r>
        <w:rPr>
          <w:lang w:val="en-US" w:eastAsia="en-US" w:bidi="en-US"/>
          <w:w w:val="100"/>
          <w:spacing w:val="0"/>
          <w:color w:val="000000"/>
          <w:position w:val="0"/>
        </w:rPr>
        <w:t xml:space="preserve">(IK), </w:t>
      </w:r>
      <w:r>
        <w:rPr>
          <w:lang w:val="ru-RU" w:eastAsia="ru-RU" w:bidi="ru-RU"/>
          <w:w w:val="100"/>
          <w:spacing w:val="0"/>
          <w:color w:val="000000"/>
          <w:position w:val="0"/>
        </w:rPr>
        <w:t>в то время как скорость притока позитив</w:t>
        <w:softHyphen/>
        <w:t>ных ионов (№+, Са</w:t>
      </w:r>
      <w:r>
        <w:rPr>
          <w:lang w:val="ru-RU" w:eastAsia="ru-RU" w:bidi="ru-RU"/>
          <w:vertAlign w:val="superscript"/>
          <w:w w:val="100"/>
          <w:spacing w:val="0"/>
          <w:color w:val="000000"/>
          <w:position w:val="0"/>
        </w:rPr>
        <w:t>++</w:t>
      </w:r>
      <w:r>
        <w:rPr>
          <w:lang w:val="ru-RU" w:eastAsia="ru-RU" w:bidi="ru-RU"/>
          <w:w w:val="100"/>
          <w:spacing w:val="0"/>
          <w:color w:val="000000"/>
          <w:position w:val="0"/>
        </w:rPr>
        <w:t>) снижается. Это представляет собой начальную часть реполяризации, или фазу 1.</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Фаза 2 характеризуется плато, отличительной чертой является реполяризация сердца. Во время этой фазы положительные токи, текущие внутрь и наружу, ста</w:t>
        <w:softHyphen/>
        <w:t>новятся почти равными.</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Фаза 3 реполяризации опосредуется активацией за</w:t>
        <w:softHyphen/>
        <w:t xml:space="preserve">держанного выпрямительного тока калия </w:t>
      </w:r>
      <w:r>
        <w:rPr>
          <w:lang w:val="en-US" w:eastAsia="en-US" w:bidi="en-US"/>
          <w:w w:val="100"/>
          <w:spacing w:val="0"/>
          <w:color w:val="000000"/>
          <w:position w:val="0"/>
        </w:rPr>
        <w:t xml:space="preserve">(IK), </w:t>
      </w:r>
      <w:r>
        <w:rPr>
          <w:lang w:val="ru-RU" w:eastAsia="ru-RU" w:bidi="ru-RU"/>
          <w:w w:val="100"/>
          <w:spacing w:val="0"/>
          <w:color w:val="000000"/>
          <w:position w:val="0"/>
        </w:rPr>
        <w:t>дви</w:t>
        <w:softHyphen/>
        <w:t>жущегося наружу по мере спада внутреннего пози</w:t>
        <w:softHyphen/>
        <w:t>тивного тока. Если происходит медленная инактива</w:t>
        <w:softHyphen/>
        <w:t>ция токов Са</w:t>
      </w:r>
      <w:r>
        <w:rPr>
          <w:lang w:val="ru-RU" w:eastAsia="ru-RU" w:bidi="ru-RU"/>
          <w:vertAlign w:val="superscript"/>
          <w:w w:val="100"/>
          <w:spacing w:val="0"/>
          <w:color w:val="000000"/>
          <w:position w:val="0"/>
        </w:rPr>
        <w:t>++</w:t>
      </w:r>
      <w:r>
        <w:rPr>
          <w:lang w:val="ru-RU" w:eastAsia="ru-RU" w:bidi="ru-RU"/>
          <w:w w:val="100"/>
          <w:spacing w:val="0"/>
          <w:color w:val="000000"/>
          <w:position w:val="0"/>
        </w:rPr>
        <w:t xml:space="preserve"> и №+, этот внутренний «оконный» ток может вызвать однократную или повторяющуюся деполяризацию во время фаз 2 и 3 (РПД). Эти РПД появляются в качестве патологических зубцов </w:t>
      </w:r>
      <w:r>
        <w:rPr>
          <w:lang w:val="en-US" w:eastAsia="en-US" w:bidi="en-US"/>
          <w:w w:val="100"/>
          <w:spacing w:val="0"/>
          <w:color w:val="000000"/>
          <w:position w:val="0"/>
        </w:rPr>
        <w:t xml:space="preserve">U </w:t>
      </w:r>
      <w:r>
        <w:rPr>
          <w:lang w:val="ru-RU" w:eastAsia="ru-RU" w:bidi="ru-RU"/>
          <w:w w:val="100"/>
          <w:spacing w:val="0"/>
          <w:color w:val="000000"/>
          <w:position w:val="0"/>
        </w:rPr>
        <w:t>на поверхностной ЭКГ и, когда они достигают порога, могут стать пусковым механизмом желудочковых та</w:t>
        <w:softHyphen/>
        <w:t>хиаритмий.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Эти изменения реполяризации происходят не во всех клетках сердечной мышцы. Глубокий эндокардиальный ре</w:t>
        <w:softHyphen/>
        <w:t>гион и среднемиокардиальный слой (состоящий из М-кле- ток) желудочка более склонны к продлению реполяризации и РПД, так как они обладают менее быстрым отсроченным выпрямленным током калия (1Кг), в то время как другие ре</w:t>
        <w:softHyphen/>
        <w:t>гионы могут иметь короткие или нормальные циклы. Эта неоднородность реполяризации в клетках миокарда спо</w:t>
        <w:softHyphen/>
        <w:t>собствует распространению триггерной активности, кото</w:t>
        <w:softHyphen/>
        <w:t>рая инициируется РПД посредством механизма «повторно</w:t>
        <w:softHyphen/>
        <w:t>го входа» и в настоящее время считается ответственной за поддержание аритмии типа «пируэт».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Желудочковая тахикардия типа «пируэт» возникает в любом возрасте. Если это происходит в раннем возрасте, причиной обычно является синдром врожденного удли</w:t>
        <w:softHyphen/>
        <w:t>ненного интервала ОТ. В более старшем возрасте причиной обычно является синдром приобретенного длинного ин</w:t>
        <w:softHyphen/>
        <w:t>тервала ОТ.</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История болезни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пациентов с трепетанием-мерцанием желудочков от</w:t>
        <w:softHyphen/>
        <w:t>мечаются частые эпизоды учащенного сердцебиения, голо</w:t>
        <w:softHyphen/>
        <w:t>вокружения и обморочных состояний; однако при первом эпизоде может наступить внезапная сердечная смерть. Так</w:t>
        <w:softHyphen/>
        <w:t>же отмечаются тошнота, холодный пот, одышка и боли в груди, однако эти проявления являются неспецифически</w:t>
        <w:softHyphen/>
        <w:t>ми и могут возникать при любой форме тахиаритмии.</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pict>
          <v:shape id="_x0000_s1835" type="#_x0000_t75" style="position:absolute;margin-left:148.1pt;margin-top:738.25pt;width:209.75pt;height:14.9pt;z-index:-125828804;mso-wrap-distance-left:148.1pt;mso-wrap-distance-right:136.8pt;mso-wrap-distance-bottom:10.8pt;mso-position-horizontal-relative:margin;mso-position-vertical-relative:margin" wrapcoords="0 0 21600 0 21600 21600 0 21600 0 0">
            <v:imagedata r:id="rId1306" r:href="rId1307"/>
            <w10:wrap type="topAndBottom" anchorx="margin" anchory="margin"/>
          </v:shape>
        </w:pict>
      </w:r>
      <w:r>
        <w:rPr>
          <w:lang w:val="ru-RU" w:eastAsia="ru-RU" w:bidi="ru-RU"/>
          <w:w w:val="100"/>
          <w:spacing w:val="0"/>
          <w:color w:val="000000"/>
          <w:position w:val="0"/>
        </w:rPr>
        <w:t>У пациента молодого возраста с трепетанием-мерца</w:t>
        <w:softHyphen/>
        <w:t>нием желудочков следует рассмотреть возможность диагноза синдрома врожденного удлинения интерва</w:t>
        <w:softHyphen/>
        <w:t>ла ОТ, особенно если в семейном анамнезе имеются</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случаи внезапной сердечной смерти или внезапной младенческой смерти. У таких пациентов эпизоды трепетания-мерцания желудочков запускаются адре</w:t>
        <w:softHyphen/>
        <w:t>нергической стимуляцией (например, стресс, страх, физическое напряжение), однако также следует при</w:t>
        <w:softHyphen/>
        <w:t>нимать во внимание и другие предрасполагающие факторы.</w:t>
      </w:r>
    </w:p>
    <w:p>
      <w:pPr>
        <w:pStyle w:val="Style30"/>
        <w:numPr>
          <w:ilvl w:val="0"/>
          <w:numId w:val="1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пациентов с синдромом Джервелла-Ланге-Нилсена обычно имеется врожденная нейросенсорная глухо</w:t>
        <w:softHyphen/>
        <w:t>та, представляющая аутосомно-доминантный путь наследования сердечных аномалий, в то время как глухота наследуется обычно по аутосомно-рецессив- ному пути.</w:t>
      </w:r>
    </w:p>
    <w:p>
      <w:pPr>
        <w:pStyle w:val="Style30"/>
        <w:numPr>
          <w:ilvl w:val="0"/>
          <w:numId w:val="1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Еще одной формой семейного или врожденного син</w:t>
        <w:softHyphen/>
        <w:t xml:space="preserve">дрома удлиненного </w:t>
      </w:r>
      <w:r>
        <w:rPr>
          <w:lang w:val="en-US" w:eastAsia="en-US" w:bidi="en-US"/>
          <w:w w:val="100"/>
          <w:spacing w:val="0"/>
          <w:color w:val="000000"/>
          <w:position w:val="0"/>
        </w:rPr>
        <w:t xml:space="preserve">QТ </w:t>
      </w:r>
      <w:r>
        <w:rPr>
          <w:lang w:val="ru-RU" w:eastAsia="ru-RU" w:bidi="ru-RU"/>
          <w:w w:val="100"/>
          <w:spacing w:val="0"/>
          <w:color w:val="000000"/>
          <w:position w:val="0"/>
        </w:rPr>
        <w:t>является синдром Романо- Уарда, при котором слух нормальный, и наблюдается аутосомно-доминантный путь наследования.</w:t>
      </w:r>
    </w:p>
    <w:p>
      <w:pPr>
        <w:pStyle w:val="Style30"/>
        <w:numPr>
          <w:ilvl w:val="0"/>
          <w:numId w:val="1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пациентов с синдромом приобретенного удлинен</w:t>
        <w:softHyphen/>
        <w:t xml:space="preserve">ного интервала </w:t>
      </w:r>
      <w:r>
        <w:rPr>
          <w:lang w:val="en-US" w:eastAsia="en-US" w:bidi="en-US"/>
          <w:w w:val="100"/>
          <w:spacing w:val="0"/>
          <w:color w:val="000000"/>
          <w:position w:val="0"/>
        </w:rPr>
        <w:t xml:space="preserve">QТ </w:t>
      </w:r>
      <w:r>
        <w:rPr>
          <w:lang w:val="ru-RU" w:eastAsia="ru-RU" w:bidi="ru-RU"/>
          <w:w w:val="100"/>
          <w:spacing w:val="0"/>
          <w:color w:val="000000"/>
          <w:position w:val="0"/>
        </w:rPr>
        <w:t>ЖТ «пируэт» развивается во время периодов брадикардии.</w:t>
      </w:r>
    </w:p>
    <w:p>
      <w:pPr>
        <w:pStyle w:val="Style30"/>
        <w:numPr>
          <w:ilvl w:val="0"/>
          <w:numId w:val="1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Другими широко распространенными причинами синдрома приобретенного удлинения интервала </w:t>
      </w:r>
      <w:r>
        <w:rPr>
          <w:lang w:val="en-US" w:eastAsia="en-US" w:bidi="en-US"/>
          <w:w w:val="100"/>
          <w:spacing w:val="0"/>
          <w:color w:val="000000"/>
          <w:position w:val="0"/>
        </w:rPr>
        <w:t xml:space="preserve">QТ </w:t>
      </w:r>
      <w:r>
        <w:rPr>
          <w:lang w:val="ru-RU" w:eastAsia="ru-RU" w:bidi="ru-RU"/>
          <w:w w:val="100"/>
          <w:spacing w:val="0"/>
          <w:color w:val="000000"/>
          <w:position w:val="0"/>
        </w:rPr>
        <w:t>являются лекарственные препараты, гипокалиемия и гипомагниемия.</w:t>
      </w:r>
    </w:p>
    <w:p>
      <w:pPr>
        <w:pStyle w:val="Style30"/>
        <w:numPr>
          <w:ilvl w:val="0"/>
          <w:numId w:val="1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Факторы риска ЖТ «пируэт» следующие:</w:t>
      </w:r>
    </w:p>
    <w:p>
      <w:pPr>
        <w:pStyle w:val="Style30"/>
        <w:numPr>
          <w:ilvl w:val="0"/>
          <w:numId w:val="165"/>
        </w:numPr>
        <w:tabs>
          <w:tab w:leader="none" w:pos="75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синдром врожденного удлиненного интервала </w:t>
      </w:r>
      <w:r>
        <w:rPr>
          <w:lang w:val="en-US" w:eastAsia="en-US" w:bidi="en-US"/>
          <w:w w:val="100"/>
          <w:spacing w:val="0"/>
          <w:color w:val="000000"/>
          <w:position w:val="0"/>
        </w:rPr>
        <w:t>Q^</w:t>
      </w:r>
    </w:p>
    <w:p>
      <w:pPr>
        <w:pStyle w:val="Style30"/>
        <w:numPr>
          <w:ilvl w:val="0"/>
          <w:numId w:val="165"/>
        </w:numPr>
        <w:tabs>
          <w:tab w:leader="none" w:pos="75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гипокалиемия;</w:t>
      </w:r>
    </w:p>
    <w:p>
      <w:pPr>
        <w:pStyle w:val="Style30"/>
        <w:numPr>
          <w:ilvl w:val="0"/>
          <w:numId w:val="165"/>
        </w:numPr>
        <w:tabs>
          <w:tab w:leader="none" w:pos="75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гипомагниемия;</w:t>
      </w:r>
    </w:p>
    <w:p>
      <w:pPr>
        <w:pStyle w:val="Style30"/>
        <w:numPr>
          <w:ilvl w:val="0"/>
          <w:numId w:val="165"/>
        </w:numPr>
        <w:tabs>
          <w:tab w:leader="none" w:pos="753"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применение мочегонных средств (независимо от аномалий электролитов крови);</w:t>
      </w:r>
    </w:p>
    <w:p>
      <w:pPr>
        <w:pStyle w:val="Style30"/>
        <w:numPr>
          <w:ilvl w:val="0"/>
          <w:numId w:val="165"/>
        </w:numPr>
        <w:tabs>
          <w:tab w:leader="none" w:pos="753"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высокие концентрации торсадогенных лекар</w:t>
        <w:softHyphen/>
        <w:t>ственных средств;</w:t>
      </w:r>
    </w:p>
    <w:p>
      <w:pPr>
        <w:pStyle w:val="Style30"/>
        <w:numPr>
          <w:ilvl w:val="0"/>
          <w:numId w:val="165"/>
        </w:numPr>
        <w:tabs>
          <w:tab w:leader="none" w:pos="75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брадикардия;</w:t>
      </w:r>
    </w:p>
    <w:p>
      <w:pPr>
        <w:pStyle w:val="Style30"/>
        <w:numPr>
          <w:ilvl w:val="0"/>
          <w:numId w:val="165"/>
        </w:numPr>
        <w:tabs>
          <w:tab w:leader="none" w:pos="75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принадлежность к женскому полу;</w:t>
      </w:r>
    </w:p>
    <w:p>
      <w:pPr>
        <w:pStyle w:val="Style30"/>
        <w:numPr>
          <w:ilvl w:val="0"/>
          <w:numId w:val="165"/>
        </w:numPr>
        <w:tabs>
          <w:tab w:leader="none" w:pos="753"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 xml:space="preserve">выраженное удлинение </w:t>
      </w:r>
      <w:r>
        <w:rPr>
          <w:lang w:val="en-US" w:eastAsia="en-US" w:bidi="en-US"/>
          <w:w w:val="100"/>
          <w:spacing w:val="0"/>
          <w:color w:val="000000"/>
          <w:position w:val="0"/>
        </w:rPr>
        <w:t xml:space="preserve">QТ </w:t>
      </w:r>
      <w:r>
        <w:rPr>
          <w:lang w:val="ru-RU" w:eastAsia="ru-RU" w:bidi="ru-RU"/>
          <w:w w:val="100"/>
          <w:spacing w:val="0"/>
          <w:color w:val="000000"/>
          <w:position w:val="0"/>
        </w:rPr>
        <w:t xml:space="preserve">с изменениями зубцов Т или патологическими зубцами </w:t>
      </w:r>
      <w:r>
        <w:rPr>
          <w:lang w:val="en-US" w:eastAsia="en-US" w:bidi="en-US"/>
          <w:w w:val="100"/>
          <w:spacing w:val="0"/>
          <w:color w:val="000000"/>
          <w:position w:val="0"/>
        </w:rPr>
        <w:t>U.</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Физические аспекты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Результаты физического обследования при трепетании- мерцании желудочков зависят от частоты и продолжитель</w:t>
        <w:softHyphen/>
        <w:t>ности тахикардии и степени гипоперфузии головного мозга.</w:t>
      </w:r>
    </w:p>
    <w:p>
      <w:pPr>
        <w:pStyle w:val="Style30"/>
        <w:numPr>
          <w:ilvl w:val="0"/>
          <w:numId w:val="1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Результаты включают быстрый пульс, низкое или нормальное кровяное давление или преходящие или длительные потери сознания.</w:t>
      </w:r>
    </w:p>
    <w:p>
      <w:pPr>
        <w:pStyle w:val="Style30"/>
        <w:numPr>
          <w:ilvl w:val="0"/>
          <w:numId w:val="1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Могут отмечаться бледность и потоотделение, осо</w:t>
        <w:softHyphen/>
        <w:t>бенно при длительном эпизоде.</w:t>
      </w:r>
    </w:p>
    <w:p>
      <w:pPr>
        <w:pStyle w:val="Style30"/>
        <w:numPr>
          <w:ilvl w:val="0"/>
          <w:numId w:val="1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Другие физические признаки и проявления зависят от этиологии трепетания-мерцания желудочков.</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Причины</w:t>
      </w:r>
    </w:p>
    <w:p>
      <w:pPr>
        <w:pStyle w:val="Style30"/>
        <w:numPr>
          <w:ilvl w:val="0"/>
          <w:numId w:val="1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Синдром врожденного удлинения </w:t>
      </w:r>
      <w:r>
        <w:rPr>
          <w:lang w:val="en-US" w:eastAsia="en-US" w:bidi="en-US"/>
          <w:w w:val="100"/>
          <w:spacing w:val="0"/>
          <w:color w:val="000000"/>
          <w:position w:val="0"/>
        </w:rPr>
        <w:t xml:space="preserve">QТ </w:t>
      </w:r>
      <w:r>
        <w:rPr>
          <w:lang w:val="ru-RU" w:eastAsia="ru-RU" w:bidi="ru-RU"/>
          <w:w w:val="100"/>
          <w:spacing w:val="0"/>
          <w:color w:val="000000"/>
          <w:position w:val="0"/>
        </w:rPr>
        <w:t>(адренергичес- ки-зависимый):</w:t>
      </w:r>
    </w:p>
    <w:p>
      <w:pPr>
        <w:pStyle w:val="Style30"/>
        <w:numPr>
          <w:ilvl w:val="0"/>
          <w:numId w:val="165"/>
        </w:numPr>
        <w:tabs>
          <w:tab w:leader="none" w:pos="75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синдром Джервелла-Ланге-Нилсена;</w:t>
      </w:r>
    </w:p>
    <w:p>
      <w:pPr>
        <w:pStyle w:val="Style30"/>
        <w:numPr>
          <w:ilvl w:val="0"/>
          <w:numId w:val="165"/>
        </w:numPr>
        <w:tabs>
          <w:tab w:leader="none" w:pos="75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синдром Романо-Уарда.</w:t>
      </w:r>
    </w:p>
    <w:p>
      <w:pPr>
        <w:pStyle w:val="Style30"/>
        <w:numPr>
          <w:ilvl w:val="0"/>
          <w:numId w:val="163"/>
        </w:numPr>
        <w:tabs>
          <w:tab w:leader="none" w:pos="515"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Синдромы приобретенного удлиненного </w:t>
      </w:r>
      <w:r>
        <w:rPr>
          <w:lang w:val="en-US" w:eastAsia="en-US" w:bidi="en-US"/>
          <w:w w:val="100"/>
          <w:spacing w:val="0"/>
          <w:color w:val="000000"/>
          <w:position w:val="0"/>
        </w:rPr>
        <w:t>QT</w:t>
      </w:r>
    </w:p>
    <w:p>
      <w:pPr>
        <w:pStyle w:val="Style30"/>
        <w:numPr>
          <w:ilvl w:val="0"/>
          <w:numId w:val="165"/>
        </w:numPr>
        <w:tabs>
          <w:tab w:leader="none" w:pos="75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антиаритмические препараты:</w:t>
      </w:r>
    </w:p>
    <w:p>
      <w:pPr>
        <w:pStyle w:val="Style30"/>
        <w:numPr>
          <w:ilvl w:val="0"/>
          <w:numId w:val="165"/>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класс 1А — хинидин, дизопирамид, новокаина</w:t>
        <w:softHyphen/>
        <w:t>мид;</w:t>
      </w:r>
    </w:p>
    <w:p>
      <w:pPr>
        <w:pStyle w:val="Style30"/>
        <w:numPr>
          <w:ilvl w:val="0"/>
          <w:numId w:val="165"/>
        </w:numPr>
        <w:tabs>
          <w:tab w:leader="none" w:pos="93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класс III — соталол, амиодарон (редко), ибути- лид, дофетилид, алмокалант.</w:t>
      </w:r>
    </w:p>
    <w:p>
      <w:pPr>
        <w:pStyle w:val="Style30"/>
        <w:numPr>
          <w:ilvl w:val="0"/>
          <w:numId w:val="165"/>
        </w:numPr>
        <w:tabs>
          <w:tab w:leader="none" w:pos="753"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антагонисты гистамин-1 рецепторов — терфена- дин, астемизол;</w:t>
      </w:r>
    </w:p>
    <w:p>
      <w:pPr>
        <w:pStyle w:val="Style30"/>
        <w:numPr>
          <w:ilvl w:val="0"/>
          <w:numId w:val="165"/>
        </w:numPr>
        <w:tabs>
          <w:tab w:leader="none" w:pos="753" w:val="left"/>
        </w:tabs>
        <w:widowControl w:val="0"/>
        <w:keepNext w:val="0"/>
        <w:keepLines w:val="0"/>
        <w:shd w:val="clear" w:color="auto" w:fill="auto"/>
        <w:bidi w:val="0"/>
        <w:jc w:val="left"/>
        <w:spacing w:before="0" w:after="0"/>
        <w:ind w:left="740" w:right="0" w:hanging="240"/>
      </w:pPr>
      <w:r>
        <w:rPr>
          <w:lang w:val="ru-RU" w:eastAsia="ru-RU" w:bidi="ru-RU"/>
          <w:w w:val="100"/>
          <w:spacing w:val="0"/>
          <w:color w:val="000000"/>
          <w:position w:val="0"/>
        </w:rPr>
        <w:t>холинергические антагонисты — цизаприд, фо</w:t>
        <w:softHyphen/>
        <w:t>сфорорганические (пестициды);</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br w:type="column"/>
      </w:r>
      <w:r>
        <w:rPr>
          <w:lang w:val="ru-RU" w:eastAsia="ru-RU" w:bidi="ru-RU"/>
          <w:w w:val="100"/>
          <w:spacing w:val="0"/>
          <w:color w:val="000000"/>
          <w:position w:val="0"/>
        </w:rPr>
        <w:t>антибиотики — эритромицин, кларитромицин, триметоприм-сульфаметоксазол, клиндамицин, пентамидин, амантадин, хлорохин, галофантрин;</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противогрибковые препараты — кетоконазол, ит- раконазол;</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диуретики — индапамид;</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психотропные препараты — галоперидол, феноти- азины, тиоридазин, трифторперазин, сертиндол, зимельдин, фтороксетин (возможно);</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трициклические и тетрациклические антидепрес</w:t>
        <w:softHyphen/>
        <w:t>санты;</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гипотензивные препараты — бепридил, лидофла- зин, прениламид, кетансерин;</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другие лекарственные средства — пероральные ги</w:t>
        <w:softHyphen/>
        <w:t>погликемические препараты, цитрат (массивные переливания крови), вазопрессин (возможно), карбамазепин (возможно), кокаин;</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нарушения электролитного равновесия — гипока- лиемия, гипомагниемия, гипокальциемия;</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эндокринные нарушения — гипотиреоз, гиперпа- ратиреоз, феохромоцитома, гиперальдостеронизм;</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сердечные состояния — ишемия миокарда, ин</w:t>
        <w:softHyphen/>
        <w:t>фаркт миокарда, миокардит, брадиаритмия, пол</w:t>
        <w:softHyphen/>
        <w:t>ная предсердно-желудочковая (АВ) блокада;</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внутричерепные нарушения — субарахноидальное кровотечение, таламическая гематома, инсульт, энцефалит, черепно-мозговая травма;</w:t>
      </w:r>
    </w:p>
    <w:p>
      <w:pPr>
        <w:pStyle w:val="Style30"/>
        <w:numPr>
          <w:ilvl w:val="0"/>
          <w:numId w:val="165"/>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нарушения питания — нервная анорексия, голода</w:t>
        <w:softHyphen/>
        <w:t>ние, жидкая белковая диета, гастропластика и под</w:t>
        <w:softHyphen/>
        <w:t>вздошно-тощекишечный анастомоз, целиакия.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 Необходимо проведение рентгенографии грудной клетки и эхокардиографии для исключения структур</w:t>
        <w:softHyphen/>
        <w:t>ного порока сердца при наличии любого клиническо - го подозрения.</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Другие тесты</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Электрокардиограмма:</w:t>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Трепетание-мерцание желудочков является элек</w:t>
        <w:softHyphen/>
        <w:t>трокардиографическим диагнозом, и снятие ЭКГ является обязательным. Ниже приводятся электро</w:t>
        <w:softHyphen/>
        <w:t>кардиографические особенности, которые способ - ствуют постановке диагноза трепетания-мерцания желудочков, включая типичное начало и морфоло</w:t>
        <w:softHyphen/>
        <w:t>гию:</w:t>
      </w:r>
    </w:p>
    <w:p>
      <w:pPr>
        <w:pStyle w:val="Style30"/>
        <w:numPr>
          <w:ilvl w:val="0"/>
          <w:numId w:val="163"/>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 пациентов имеются пароксизмы 5-20 ударов, при ЧСС быстрее 200 уд/мин; иногда можно на</w:t>
        <w:softHyphen/>
        <w:t>блюдать длительные эпизоды.</w:t>
      </w:r>
    </w:p>
    <w:p>
      <w:pPr>
        <w:pStyle w:val="Style30"/>
        <w:numPr>
          <w:ilvl w:val="0"/>
          <w:numId w:val="163"/>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Происходят прогрессивные изменения в полярно</w:t>
        <w:softHyphen/>
        <w:t xml:space="preserve">сти </w:t>
      </w:r>
      <w:r>
        <w:rPr>
          <w:lang w:val="en-US" w:eastAsia="en-US" w:bidi="en-US"/>
          <w:w w:val="100"/>
          <w:spacing w:val="0"/>
          <w:color w:val="000000"/>
          <w:position w:val="0"/>
        </w:rPr>
        <w:t xml:space="preserve">QRS </w:t>
      </w:r>
      <w:r>
        <w:rPr>
          <w:lang w:val="ru-RU" w:eastAsia="ru-RU" w:bidi="ru-RU"/>
          <w:w w:val="100"/>
          <w:spacing w:val="0"/>
          <w:color w:val="000000"/>
          <w:position w:val="0"/>
        </w:rPr>
        <w:t>около изоэлектрической линии.</w:t>
      </w:r>
    </w:p>
    <w:p>
      <w:pPr>
        <w:pStyle w:val="Style30"/>
        <w:numPr>
          <w:ilvl w:val="0"/>
          <w:numId w:val="163"/>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Присутствует полное 180° перекручивание ком</w:t>
        <w:softHyphen/>
        <w:t xml:space="preserve">плексов </w:t>
      </w:r>
      <w:r>
        <w:rPr>
          <w:lang w:val="en-US" w:eastAsia="en-US" w:bidi="en-US"/>
          <w:w w:val="100"/>
          <w:spacing w:val="0"/>
          <w:color w:val="000000"/>
          <w:position w:val="0"/>
        </w:rPr>
        <w:t xml:space="preserve">QRS </w:t>
      </w:r>
      <w:r>
        <w:rPr>
          <w:lang w:val="ru-RU" w:eastAsia="ru-RU" w:bidi="ru-RU"/>
          <w:w w:val="100"/>
          <w:spacing w:val="0"/>
          <w:color w:val="000000"/>
          <w:position w:val="0"/>
        </w:rPr>
        <w:t>за 10-12 сокращений.</w:t>
      </w:r>
    </w:p>
    <w:p>
      <w:pPr>
        <w:pStyle w:val="Style30"/>
        <w:numPr>
          <w:ilvl w:val="0"/>
          <w:numId w:val="163"/>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 xml:space="preserve">Обычно присутствуют удлиненный интервал </w:t>
      </w:r>
      <w:r>
        <w:rPr>
          <w:lang w:val="en-US" w:eastAsia="en-US" w:bidi="en-US"/>
          <w:w w:val="100"/>
          <w:spacing w:val="0"/>
          <w:color w:val="000000"/>
          <w:position w:val="0"/>
        </w:rPr>
        <w:t xml:space="preserve">QТ </w:t>
      </w:r>
      <w:r>
        <w:rPr>
          <w:lang w:val="ru-RU" w:eastAsia="ru-RU" w:bidi="ru-RU"/>
          <w:w w:val="100"/>
          <w:spacing w:val="0"/>
          <w:color w:val="000000"/>
          <w:position w:val="0"/>
        </w:rPr>
        <w:t xml:space="preserve">и патологические зубцы </w:t>
      </w:r>
      <w:r>
        <w:rPr>
          <w:lang w:val="en-US" w:eastAsia="en-US" w:bidi="en-US"/>
          <w:w w:val="100"/>
          <w:spacing w:val="0"/>
          <w:color w:val="000000"/>
          <w:position w:val="0"/>
        </w:rPr>
        <w:t xml:space="preserve">U, </w:t>
      </w:r>
      <w:r>
        <w:rPr>
          <w:lang w:val="ru-RU" w:eastAsia="ru-RU" w:bidi="ru-RU"/>
          <w:w w:val="100"/>
          <w:spacing w:val="0"/>
          <w:color w:val="000000"/>
          <w:position w:val="0"/>
        </w:rPr>
        <w:t xml:space="preserve">отражая аномальную реполяризацию желудочков. Наиболее стойким индикатором удлинения </w:t>
      </w:r>
      <w:r>
        <w:rPr>
          <w:lang w:val="en-US" w:eastAsia="en-US" w:bidi="en-US"/>
          <w:w w:val="100"/>
          <w:spacing w:val="0"/>
          <w:color w:val="000000"/>
          <w:position w:val="0"/>
        </w:rPr>
        <w:t xml:space="preserve">QТ </w:t>
      </w:r>
      <w:r>
        <w:rPr>
          <w:lang w:val="ru-RU" w:eastAsia="ru-RU" w:bidi="ru-RU"/>
          <w:w w:val="100"/>
          <w:spacing w:val="0"/>
          <w:color w:val="000000"/>
          <w:position w:val="0"/>
        </w:rPr>
        <w:t xml:space="preserve">является 0,60 с или дольше или интервал </w:t>
      </w:r>
      <w:r>
        <w:rPr>
          <w:lang w:val="en-US" w:eastAsia="en-US" w:bidi="en-US"/>
          <w:w w:val="100"/>
          <w:spacing w:val="0"/>
          <w:color w:val="000000"/>
          <w:position w:val="0"/>
        </w:rPr>
        <w:t xml:space="preserve">Q^ </w:t>
      </w:r>
      <w:r>
        <w:rPr>
          <w:lang w:val="ru-RU" w:eastAsia="ru-RU" w:bidi="ru-RU"/>
          <w:w w:val="100"/>
          <w:spacing w:val="0"/>
          <w:color w:val="000000"/>
          <w:position w:val="0"/>
        </w:rPr>
        <w:t>(скорректированный на ЧСС) = 0,45 с или длиннее.</w:t>
      </w:r>
    </w:p>
    <w:p>
      <w:pPr>
        <w:pStyle w:val="Style30"/>
        <w:numPr>
          <w:ilvl w:val="0"/>
          <w:numId w:val="163"/>
        </w:numPr>
        <w:tabs>
          <w:tab w:leader="none" w:pos="495"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Пациенты могут спонтанно вернуться в прежнее состояние или перейти к неполиморфной желудоч - ковой тахикардии или фибрилляции желудочков.</w:t>
      </w:r>
    </w:p>
    <w:p>
      <w:pPr>
        <w:pStyle w:val="Style30"/>
        <w:numPr>
          <w:ilvl w:val="0"/>
          <w:numId w:val="163"/>
        </w:numPr>
        <w:tabs>
          <w:tab w:leader="none" w:pos="495" w:val="left"/>
        </w:tabs>
        <w:widowControl w:val="0"/>
        <w:keepNext w:val="0"/>
        <w:keepLines w:val="0"/>
        <w:shd w:val="clear" w:color="auto" w:fill="auto"/>
        <w:bidi w:val="0"/>
        <w:spacing w:before="0" w:after="0"/>
        <w:ind w:left="500" w:right="0" w:hanging="240"/>
      </w:pPr>
      <w:r>
        <w:pict>
          <v:shape id="_x0000_s1836" type="#_x0000_t75" style="position:absolute;margin-left:136.7pt;margin-top:738.25pt;width:209.75pt;height:14.9pt;z-index:-125828803;mso-wrap-distance-left:136.3pt;mso-wrap-distance-right:147.85pt;mso-wrap-distance-bottom:10.8pt;mso-position-horizontal-relative:margin;mso-position-vertical-relative:margin" wrapcoords="0 0 21600 0 21600 21600 0 21600 0 0">
            <v:imagedata r:id="rId1308" r:href="rId1309"/>
            <w10:wrap type="topAndBottom" anchorx="margin" anchory="margin"/>
          </v:shape>
        </w:pict>
      </w:r>
      <w:r>
        <w:rPr>
          <w:lang w:val="ru-RU" w:eastAsia="ru-RU" w:bidi="ru-RU"/>
          <w:w w:val="100"/>
          <w:spacing w:val="0"/>
          <w:color w:val="000000"/>
          <w:position w:val="0"/>
        </w:rPr>
        <w:t>Иногда перед аритмией типа «пируэт» можно на</w:t>
        <w:softHyphen/>
        <w:t>блюдать альтернацию зубцов Т.</w:t>
      </w:r>
      <w:r>
        <w:br w:type="page"/>
      </w:r>
    </w:p>
    <w:p>
      <w:pPr>
        <w:pStyle w:val="Style30"/>
        <w:numPr>
          <w:ilvl w:val="0"/>
          <w:numId w:val="163"/>
        </w:numPr>
        <w:tabs>
          <w:tab w:leader="none" w:pos="801"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Аритмии типа «пируэт», происходящей в условиях синдрома приобретенного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могут предшествовать паузы почти во всех слу</w:t>
        <w:softHyphen/>
        <w:t>чаях.</w:t>
      </w:r>
    </w:p>
    <w:p>
      <w:pPr>
        <w:pStyle w:val="Style30"/>
        <w:numPr>
          <w:ilvl w:val="0"/>
          <w:numId w:val="163"/>
        </w:numPr>
        <w:tabs>
          <w:tab w:leader="none" w:pos="801"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При синдроме врожденного удлинения интервала </w:t>
      </w:r>
      <w:r>
        <w:rPr>
          <w:lang w:val="en-US" w:eastAsia="en-US" w:bidi="en-US"/>
          <w:w w:val="100"/>
          <w:spacing w:val="0"/>
          <w:color w:val="000000"/>
          <w:position w:val="0"/>
        </w:rPr>
        <w:t xml:space="preserve">QТ </w:t>
      </w:r>
      <w:r>
        <w:rPr>
          <w:lang w:val="ru-RU" w:eastAsia="ru-RU" w:bidi="ru-RU"/>
          <w:w w:val="100"/>
          <w:spacing w:val="0"/>
          <w:color w:val="000000"/>
          <w:position w:val="0"/>
        </w:rPr>
        <w:t>(адренергически-зависимый) обнаруживается зависимость пауз почти во всех случаях у взрослых, в то время как у детей возникновение аритмии ти</w:t>
        <w:softHyphen/>
        <w:t>па «пируэт» не зависит от пауз.</w:t>
      </w:r>
    </w:p>
    <w:p>
      <w:pPr>
        <w:pStyle w:val="Style30"/>
        <w:numPr>
          <w:ilvl w:val="0"/>
          <w:numId w:val="163"/>
        </w:numPr>
        <w:tabs>
          <w:tab w:leader="none" w:pos="801"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Диагноз </w:t>
      </w:r>
      <w:r>
        <w:rPr>
          <w:rStyle w:val="CharStyle103"/>
          <w:lang w:val="en-US" w:eastAsia="en-US" w:bidi="en-US"/>
        </w:rPr>
        <w:t>torsade depiontes</w:t>
      </w:r>
      <w:r>
        <w:rPr>
          <w:lang w:val="en-US" w:eastAsia="en-US" w:bidi="en-US"/>
          <w:w w:val="100"/>
          <w:spacing w:val="0"/>
          <w:color w:val="000000"/>
          <w:position w:val="0"/>
        </w:rPr>
        <w:t xml:space="preserve"> </w:t>
      </w:r>
      <w:r>
        <w:rPr>
          <w:lang w:val="ru-RU" w:eastAsia="ru-RU" w:bidi="ru-RU"/>
          <w:w w:val="100"/>
          <w:spacing w:val="0"/>
          <w:color w:val="000000"/>
          <w:position w:val="0"/>
        </w:rPr>
        <w:t>следует подозревать у лю</w:t>
        <w:softHyphen/>
        <w:t>бого пациента с пауз-зависимой желудочковой та</w:t>
        <w:softHyphen/>
        <w:t>хикардией, и желудочковая бигемниия у любого па</w:t>
        <w:softHyphen/>
        <w:t xml:space="preserve">циента с удлиненным интервалом </w:t>
      </w:r>
      <w:r>
        <w:rPr>
          <w:lang w:val="en-US" w:eastAsia="en-US" w:bidi="en-US"/>
          <w:w w:val="100"/>
          <w:spacing w:val="0"/>
          <w:color w:val="000000"/>
          <w:position w:val="0"/>
        </w:rPr>
        <w:t xml:space="preserve">QТ </w:t>
      </w:r>
      <w:r>
        <w:rPr>
          <w:lang w:val="ru-RU" w:eastAsia="ru-RU" w:bidi="ru-RU"/>
          <w:w w:val="100"/>
          <w:spacing w:val="0"/>
          <w:color w:val="000000"/>
          <w:position w:val="0"/>
        </w:rPr>
        <w:t xml:space="preserve">может быть проявлением надвигающейся </w:t>
      </w:r>
      <w:r>
        <w:rPr>
          <w:rStyle w:val="CharStyle103"/>
          <w:lang w:val="en-US" w:eastAsia="en-US" w:bidi="en-US"/>
        </w:rPr>
        <w:t>torsade de piontes.</w:t>
      </w:r>
    </w:p>
    <w:p>
      <w:pPr>
        <w:pStyle w:val="Style30"/>
        <w:widowControl w:val="0"/>
        <w:keepNext w:val="0"/>
        <w:keepLines w:val="0"/>
        <w:shd w:val="clear" w:color="auto" w:fill="auto"/>
        <w:bidi w:val="0"/>
        <w:spacing w:before="0" w:after="0"/>
        <w:ind w:left="0" w:right="0" w:firstLine="280"/>
      </w:pPr>
      <w:r>
        <w:rPr>
          <w:rStyle w:val="CharStyle103"/>
        </w:rPr>
        <w:t>•</w:t>
      </w:r>
      <w:r>
        <w:rPr>
          <w:lang w:val="ru-RU" w:eastAsia="ru-RU" w:bidi="ru-RU"/>
          <w:w w:val="100"/>
          <w:spacing w:val="0"/>
          <w:color w:val="000000"/>
          <w:position w:val="0"/>
        </w:rPr>
        <w:t xml:space="preserve"> Результаты электрофизиологических исследований</w:t>
      </w:r>
    </w:p>
    <w:p>
      <w:pPr>
        <w:pStyle w:val="Style30"/>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 xml:space="preserve">обычно бывают отрицательными при </w:t>
      </w:r>
      <w:r>
        <w:rPr>
          <w:rStyle w:val="CharStyle103"/>
          <w:lang w:val="en-US" w:eastAsia="en-US" w:bidi="en-US"/>
        </w:rPr>
        <w:t>torsade de piontes.</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Консервативное 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можно разделить на краткосрочное и долго</w:t>
        <w:softHyphen/>
        <w:t xml:space="preserve">срочное. Краткосрочное лечение желудочков тахикардии типа «пируэт» как при врожденном, так и приобретенном синдроме удлиненного интервала </w:t>
      </w:r>
      <w:r>
        <w:rPr>
          <w:lang w:val="en-US" w:eastAsia="en-US" w:bidi="en-US"/>
          <w:w w:val="100"/>
          <w:spacing w:val="0"/>
          <w:color w:val="000000"/>
          <w:position w:val="0"/>
        </w:rPr>
        <w:t xml:space="preserve">QТ </w:t>
      </w:r>
      <w:r>
        <w:rPr>
          <w:lang w:val="ru-RU" w:eastAsia="ru-RU" w:bidi="ru-RU"/>
          <w:w w:val="100"/>
          <w:spacing w:val="0"/>
          <w:color w:val="000000"/>
          <w:position w:val="0"/>
        </w:rPr>
        <w:t>такое же, за исключе</w:t>
        <w:softHyphen/>
        <w:t>нием того, что можно попробовать бета-адренергическую стимуляцию при приобретенной форме, однако при врож</w:t>
        <w:softHyphen/>
        <w:t>денной форме она противопоказана.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Краткосрочное лечение:</w:t>
      </w:r>
    </w:p>
    <w:p>
      <w:pPr>
        <w:pStyle w:val="Style30"/>
        <w:numPr>
          <w:ilvl w:val="0"/>
          <w:numId w:val="163"/>
        </w:numPr>
        <w:tabs>
          <w:tab w:leader="none" w:pos="801"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Дефибрилляция:</w:t>
      </w:r>
    </w:p>
    <w:p>
      <w:pPr>
        <w:pStyle w:val="Style30"/>
        <w:numPr>
          <w:ilvl w:val="0"/>
          <w:numId w:val="165"/>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хотя желудочковая тахикардия типа «пируэт» мо</w:t>
        <w:softHyphen/>
        <w:t>жет прекращаться самостоятельно, она может пе</w:t>
        <w:softHyphen/>
        <w:t>рейти в фибрилляцию желудочков, что требует де</w:t>
        <w:softHyphen/>
        <w:t>фибрилляции постоянным током.</w:t>
      </w:r>
    </w:p>
    <w:p>
      <w:pPr>
        <w:pStyle w:val="Style30"/>
        <w:numPr>
          <w:ilvl w:val="0"/>
          <w:numId w:val="163"/>
        </w:numPr>
        <w:tabs>
          <w:tab w:leader="none" w:pos="801"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Прекращение воздействия любых причинных факторов токсических веществ, лекарственных препаратов:</w:t>
      </w:r>
    </w:p>
    <w:p>
      <w:pPr>
        <w:pStyle w:val="Style30"/>
        <w:numPr>
          <w:ilvl w:val="0"/>
          <w:numId w:val="165"/>
        </w:numPr>
        <w:tabs>
          <w:tab w:leader="none" w:pos="93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необходимо выявить и скорригировать такие предрасполагающие состояния, как гипокалие- мия, гипомагниемия и брадикардия.</w:t>
      </w:r>
    </w:p>
    <w:p>
      <w:pPr>
        <w:pStyle w:val="Style30"/>
        <w:numPr>
          <w:ilvl w:val="0"/>
          <w:numId w:val="163"/>
        </w:numPr>
        <w:tabs>
          <w:tab w:leader="none" w:pos="801"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Подавление ранней после деполяризации:</w:t>
      </w:r>
    </w:p>
    <w:p>
      <w:pPr>
        <w:pStyle w:val="Style30"/>
        <w:numPr>
          <w:ilvl w:val="0"/>
          <w:numId w:val="165"/>
        </w:numPr>
        <w:tabs>
          <w:tab w:leader="none" w:pos="947"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магний является препаратом выбора для подав</w:t>
        <w:softHyphen/>
        <w:t>ления РПД и купирования аритмии. Это достига</w:t>
        <w:softHyphen/>
        <w:t xml:space="preserve">ется снижением притока кальция, снижая таким образом амплитуду РПД. </w:t>
      </w:r>
      <w:r>
        <w:rPr>
          <w:rStyle w:val="CharStyle103"/>
        </w:rPr>
        <w:t>Магний</w:t>
      </w:r>
      <w:r>
        <w:rPr>
          <w:lang w:val="ru-RU" w:eastAsia="ru-RU" w:bidi="ru-RU"/>
          <w:w w:val="100"/>
          <w:spacing w:val="0"/>
          <w:color w:val="000000"/>
          <w:position w:val="0"/>
        </w:rPr>
        <w:t xml:space="preserve"> можно назначать вначале по 1-2 г внутривенно за 30-60 секунд, а за</w:t>
        <w:softHyphen/>
        <w:t>тем повторить через 5-15 минут. В качестве альтер</w:t>
        <w:softHyphen/>
        <w:t>нативы можно начать непрерывное вливание со скоростью 3-10 мг/мин. Магний является эффек</w:t>
        <w:softHyphen/>
        <w:t>тивным даже у пациентов с нормальными уровня</w:t>
        <w:softHyphen/>
        <w:t>ми магния;</w:t>
      </w:r>
    </w:p>
    <w:p>
      <w:pPr>
        <w:pStyle w:val="Style30"/>
        <w:numPr>
          <w:ilvl w:val="0"/>
          <w:numId w:val="165"/>
        </w:numPr>
        <w:tabs>
          <w:tab w:leader="none" w:pos="94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некоторые специалисты рекомендуют дополни</w:t>
        <w:softHyphen/>
        <w:t>тельное применение калия для повышения кон</w:t>
        <w:softHyphen/>
        <w:t>центрации калия до верхней границы нормы, что увеличивает отток калия от клеток миокарда, вы</w:t>
        <w:softHyphen/>
        <w:t>зывая таким образом быструю реполяризацию;</w:t>
      </w:r>
    </w:p>
    <w:p>
      <w:pPr>
        <w:pStyle w:val="Style30"/>
        <w:numPr>
          <w:ilvl w:val="0"/>
          <w:numId w:val="165"/>
        </w:numPr>
        <w:tabs>
          <w:tab w:leader="none" w:pos="95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лидокаин обычно не оказывает никакого эффек</w:t>
        <w:softHyphen/>
        <w:t>та при желудочковой тахикардии типа «пируэт». В редких случаях он может оказывать начальное положительное влияние, но во всех случаях проис</w:t>
        <w:softHyphen/>
        <w:t>ходит рецидивирование трепетания-мерцания же</w:t>
        <w:softHyphen/>
        <w:t>лудочков.</w:t>
      </w:r>
    </w:p>
    <w:p>
      <w:pPr>
        <w:pStyle w:val="Style30"/>
        <w:numPr>
          <w:ilvl w:val="0"/>
          <w:numId w:val="165"/>
        </w:numPr>
        <w:tabs>
          <w:tab w:leader="none" w:pos="952" w:val="left"/>
        </w:tabs>
        <w:widowControl w:val="0"/>
        <w:keepNext w:val="0"/>
        <w:keepLines w:val="0"/>
        <w:shd w:val="clear" w:color="auto" w:fill="auto"/>
        <w:bidi w:val="0"/>
        <w:spacing w:before="0" w:after="0"/>
        <w:ind w:left="740" w:right="0" w:firstLine="0"/>
      </w:pPr>
      <w:r>
        <w:rPr>
          <w:rStyle w:val="CharStyle103"/>
        </w:rPr>
        <w:t>мексилетин</w:t>
      </w:r>
      <w:r>
        <w:rPr>
          <w:lang w:val="ru-RU" w:eastAsia="ru-RU" w:bidi="ru-RU"/>
          <w:w w:val="100"/>
          <w:spacing w:val="0"/>
          <w:color w:val="000000"/>
          <w:position w:val="0"/>
        </w:rPr>
        <w:t xml:space="preserve"> также может быть полезным в подав</w:t>
        <w:softHyphen/>
        <w:t>лении желудочковой тахикардии типа «пируэт»;</w:t>
      </w:r>
    </w:p>
    <w:p>
      <w:pPr>
        <w:pStyle w:val="Style30"/>
        <w:numPr>
          <w:ilvl w:val="0"/>
          <w:numId w:val="165"/>
        </w:numPr>
        <w:tabs>
          <w:tab w:leader="none" w:pos="93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учащение ЧСС можно достигнуть использовани</w:t>
        <w:softHyphen/>
        <w:t xml:space="preserve">ем бета-адренергических агонистов, таких как </w:t>
      </w:r>
      <w:r>
        <w:rPr>
          <w:rStyle w:val="CharStyle103"/>
        </w:rPr>
        <w:t>изо-</w:t>
      </w:r>
    </w:p>
    <w:p>
      <w:pPr>
        <w:pStyle w:val="Style30"/>
        <w:widowControl w:val="0"/>
        <w:keepNext w:val="0"/>
        <w:keepLines w:val="0"/>
        <w:shd w:val="clear" w:color="auto" w:fill="auto"/>
        <w:bidi w:val="0"/>
        <w:spacing w:before="0" w:after="0"/>
        <w:ind w:left="500" w:right="0" w:firstLine="0"/>
      </w:pPr>
      <w:r>
        <w:br w:type="column"/>
      </w:r>
      <w:r>
        <w:rPr>
          <w:rStyle w:val="CharStyle103"/>
        </w:rPr>
        <w:t>протеренол,</w:t>
      </w:r>
      <w:r>
        <w:rPr>
          <w:lang w:val="ru-RU" w:eastAsia="ru-RU" w:bidi="ru-RU"/>
          <w:w w:val="100"/>
          <w:spacing w:val="0"/>
          <w:color w:val="000000"/>
          <w:position w:val="0"/>
        </w:rPr>
        <w:t xml:space="preserve"> или методом искусственного ускоре</w:t>
        <w:softHyphen/>
        <w:t>ния сердечного ритма с целью подавления эктопи</w:t>
        <w:softHyphen/>
        <w:t>ческих очагов автоматизма.</w:t>
      </w:r>
    </w:p>
    <w:p>
      <w:pPr>
        <w:pStyle w:val="Style30"/>
        <w:numPr>
          <w:ilvl w:val="0"/>
          <w:numId w:val="163"/>
        </w:numPr>
        <w:tabs>
          <w:tab w:leader="none" w:pos="605"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Изопротеренол:</w:t>
      </w:r>
    </w:p>
    <w:p>
      <w:pPr>
        <w:pStyle w:val="Style30"/>
        <w:numPr>
          <w:ilvl w:val="0"/>
          <w:numId w:val="165"/>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этот препарат можно использовать при зависи</w:t>
        <w:softHyphen/>
        <w:t>мой от брадикардии желудочковой тахикардии ти</w:t>
        <w:softHyphen/>
        <w:t>па «пируэт», которая обычно ассоциирована с син</w:t>
        <w:softHyphen/>
        <w:t xml:space="preserve">дромом приобретенного удлиненного интервала </w:t>
      </w:r>
      <w:r>
        <w:rPr>
          <w:lang w:val="en-US" w:eastAsia="en-US" w:bidi="en-US"/>
          <w:w w:val="100"/>
          <w:spacing w:val="0"/>
          <w:color w:val="000000"/>
          <w:position w:val="0"/>
        </w:rPr>
        <w:t xml:space="preserve">QТ </w:t>
      </w:r>
      <w:r>
        <w:rPr>
          <w:lang w:val="ru-RU" w:eastAsia="ru-RU" w:bidi="ru-RU"/>
          <w:w w:val="100"/>
          <w:spacing w:val="0"/>
          <w:color w:val="000000"/>
          <w:position w:val="0"/>
        </w:rPr>
        <w:t>(зависимый от паузы). Его следует вводить в виде непрерывной в/в инфузии для поддержания ЧСС выше 90 уд/мин;</w:t>
      </w:r>
    </w:p>
    <w:p>
      <w:pPr>
        <w:pStyle w:val="Style30"/>
        <w:numPr>
          <w:ilvl w:val="0"/>
          <w:numId w:val="165"/>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изопротеренол ускоряет АВ проведение и умень</w:t>
        <w:softHyphen/>
        <w:t xml:space="preserve">шает интервал </w:t>
      </w:r>
      <w:r>
        <w:rPr>
          <w:lang w:val="en-US" w:eastAsia="en-US" w:bidi="en-US"/>
          <w:w w:val="100"/>
          <w:spacing w:val="0"/>
          <w:color w:val="000000"/>
          <w:position w:val="0"/>
        </w:rPr>
        <w:t xml:space="preserve">QТ </w:t>
      </w:r>
      <w:r>
        <w:rPr>
          <w:lang w:val="ru-RU" w:eastAsia="ru-RU" w:bidi="ru-RU"/>
          <w:w w:val="100"/>
          <w:spacing w:val="0"/>
          <w:color w:val="000000"/>
          <w:position w:val="0"/>
        </w:rPr>
        <w:t>за счет увеличения ЧСС и сни</w:t>
        <w:softHyphen/>
        <w:t>жения временной дисперсии реполяризации. При</w:t>
        <w:softHyphen/>
        <w:t>менение в-адренергических агонистов противопо</w:t>
        <w:softHyphen/>
        <w:t>казано при врожденной форме синдрома удлинен</w:t>
        <w:softHyphen/>
        <w:t xml:space="preserve">ного интервала </w:t>
      </w:r>
      <w:r>
        <w:rPr>
          <w:lang w:val="en-US" w:eastAsia="en-US" w:bidi="en-US"/>
          <w:w w:val="100"/>
          <w:spacing w:val="0"/>
          <w:color w:val="000000"/>
          <w:position w:val="0"/>
        </w:rPr>
        <w:t xml:space="preserve">QТ </w:t>
      </w:r>
      <w:r>
        <w:rPr>
          <w:lang w:val="ru-RU" w:eastAsia="ru-RU" w:bidi="ru-RU"/>
          <w:w w:val="100"/>
          <w:spacing w:val="0"/>
          <w:color w:val="000000"/>
          <w:position w:val="0"/>
        </w:rPr>
        <w:t>(адренергически-зависимого);</w:t>
      </w:r>
    </w:p>
    <w:p>
      <w:pPr>
        <w:pStyle w:val="Style30"/>
        <w:numPr>
          <w:ilvl w:val="0"/>
          <w:numId w:val="165"/>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из-за мер предосторожности, противопоказаний и побочных эффектов, связанных с использовани</w:t>
        <w:softHyphen/>
        <w:t>ем изопротеренола, этот препарат применяется в качестве временного средства до того момента, когда можно будет начать искусственное ускоре</w:t>
        <w:softHyphen/>
        <w:t>ние сердечного ритма с целью подавления эктопи</w:t>
        <w:softHyphen/>
        <w:t>ческих очагов автоматизма.</w:t>
      </w:r>
    </w:p>
    <w:p>
      <w:pPr>
        <w:pStyle w:val="Style30"/>
        <w:numPr>
          <w:ilvl w:val="0"/>
          <w:numId w:val="163"/>
        </w:numPr>
        <w:tabs>
          <w:tab w:leader="none" w:pos="605"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Временная трансвенозная кардиостимуляция:</w:t>
      </w:r>
    </w:p>
    <w:p>
      <w:pPr>
        <w:pStyle w:val="Style30"/>
        <w:numPr>
          <w:ilvl w:val="0"/>
          <w:numId w:val="165"/>
        </w:numPr>
        <w:tabs>
          <w:tab w:leader="none" w:pos="71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основываясь на факте, что интервал </w:t>
      </w:r>
      <w:r>
        <w:rPr>
          <w:lang w:val="en-US" w:eastAsia="en-US" w:bidi="en-US"/>
          <w:w w:val="100"/>
          <w:spacing w:val="0"/>
          <w:color w:val="000000"/>
          <w:position w:val="0"/>
        </w:rPr>
        <w:t xml:space="preserve">QT </w:t>
      </w:r>
      <w:r>
        <w:rPr>
          <w:lang w:val="ru-RU" w:eastAsia="ru-RU" w:bidi="ru-RU"/>
          <w:w w:val="100"/>
          <w:spacing w:val="0"/>
          <w:color w:val="000000"/>
          <w:position w:val="0"/>
        </w:rPr>
        <w:t>укорачи</w:t>
        <w:softHyphen/>
        <w:t xml:space="preserve">вается с ростом ЧСС, кардиостимуляция может быть эффективной в купировании желудочковой тахикардии типа «пируэт». Она эффективна при обеих формах синдрома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так как облегчает реполяризирующие токи ка</w:t>
        <w:softHyphen/>
        <w:t xml:space="preserve">лия и предотвращает длинные паузы, подавляя РПД и уменьшая интервал </w:t>
      </w:r>
      <w:r>
        <w:rPr>
          <w:lang w:val="en-US" w:eastAsia="en-US" w:bidi="en-US"/>
          <w:w w:val="100"/>
          <w:spacing w:val="0"/>
          <w:color w:val="000000"/>
          <w:position w:val="0"/>
        </w:rPr>
        <w:t>QT;</w:t>
      </w:r>
    </w:p>
    <w:p>
      <w:pPr>
        <w:pStyle w:val="Style30"/>
        <w:numPr>
          <w:ilvl w:val="0"/>
          <w:numId w:val="165"/>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предпочтение отдается предсердной стимуляции, так как она предотвращает вклад предсердия в на</w:t>
        <w:softHyphen/>
        <w:t>полнение желудочка;</w:t>
      </w:r>
    </w:p>
    <w:p>
      <w:pPr>
        <w:pStyle w:val="Style30"/>
        <w:numPr>
          <w:ilvl w:val="0"/>
          <w:numId w:val="165"/>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у пациентов с АВ блокадой можно использовать желудочковую стимуляцию для подавления трепе</w:t>
        <w:softHyphen/>
        <w:t>тания-мерцания желудочков;</w:t>
      </w:r>
    </w:p>
    <w:p>
      <w:pPr>
        <w:pStyle w:val="Style30"/>
        <w:numPr>
          <w:ilvl w:val="0"/>
          <w:numId w:val="165"/>
        </w:numPr>
        <w:tabs>
          <w:tab w:leader="none" w:pos="69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стимуляцию следует начинать со скорости 90-110 уд/мин, до тех пор пока не нормализуется интервал </w:t>
      </w:r>
      <w:r>
        <w:rPr>
          <w:lang w:val="en-US" w:eastAsia="en-US" w:bidi="en-US"/>
          <w:w w:val="100"/>
          <w:spacing w:val="0"/>
          <w:color w:val="000000"/>
          <w:position w:val="0"/>
        </w:rPr>
        <w:t>QT.</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Долговременное лечение:</w:t>
      </w:r>
    </w:p>
    <w:p>
      <w:pPr>
        <w:pStyle w:val="Style30"/>
        <w:numPr>
          <w:ilvl w:val="0"/>
          <w:numId w:val="163"/>
        </w:numPr>
        <w:tabs>
          <w:tab w:leader="none" w:pos="605" w:val="left"/>
        </w:tabs>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Врожденный синдром удлиненного интервала </w:t>
      </w:r>
      <w:r>
        <w:rPr>
          <w:lang w:val="en-US" w:eastAsia="en-US" w:bidi="en-US"/>
          <w:w w:val="100"/>
          <w:spacing w:val="0"/>
          <w:color w:val="000000"/>
          <w:position w:val="0"/>
        </w:rPr>
        <w:t>QT:</w:t>
      </w:r>
    </w:p>
    <w:p>
      <w:pPr>
        <w:pStyle w:val="Style30"/>
        <w:numPr>
          <w:ilvl w:val="0"/>
          <w:numId w:val="165"/>
        </w:numPr>
        <w:tabs>
          <w:tab w:leader="none" w:pos="69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при лечении синдрома врожденного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используют в-адренергические бло</w:t>
        <w:softHyphen/>
        <w:t xml:space="preserve">каторы в максимальных терапевтических дозах. Наиболее широко используется </w:t>
      </w:r>
      <w:r>
        <w:rPr>
          <w:rStyle w:val="CharStyle103"/>
        </w:rPr>
        <w:t>пропранолол,</w:t>
      </w:r>
      <w:r>
        <w:rPr>
          <w:lang w:val="ru-RU" w:eastAsia="ru-RU" w:bidi="ru-RU"/>
          <w:w w:val="100"/>
          <w:spacing w:val="0"/>
          <w:color w:val="000000"/>
          <w:position w:val="0"/>
        </w:rPr>
        <w:t xml:space="preserve"> одна</w:t>
        <w:softHyphen/>
        <w:t xml:space="preserve">ко можно использовать и другие препараты, такие как </w:t>
      </w:r>
      <w:r>
        <w:rPr>
          <w:rStyle w:val="CharStyle103"/>
        </w:rPr>
        <w:t>эсмолол</w:t>
      </w:r>
      <w:r>
        <w:rPr>
          <w:lang w:val="ru-RU" w:eastAsia="ru-RU" w:bidi="ru-RU"/>
          <w:w w:val="100"/>
          <w:spacing w:val="0"/>
          <w:color w:val="000000"/>
          <w:position w:val="0"/>
        </w:rPr>
        <w:t xml:space="preserve"> или </w:t>
      </w:r>
      <w:r>
        <w:rPr>
          <w:rStyle w:val="CharStyle103"/>
        </w:rPr>
        <w:t>надолол.</w:t>
      </w:r>
      <w:r>
        <w:rPr>
          <w:lang w:val="ru-RU" w:eastAsia="ru-RU" w:bidi="ru-RU"/>
          <w:w w:val="100"/>
          <w:spacing w:val="0"/>
          <w:color w:val="000000"/>
          <w:position w:val="0"/>
        </w:rPr>
        <w:t xml:space="preserve"> Бета-блокаторы противо</w:t>
        <w:softHyphen/>
        <w:t>показаны в приобретенных случаях, так как бради</w:t>
        <w:softHyphen/>
        <w:t>кардия, продуцируемая этими препаратами, может ускорять торсаду. Следует избегать применения в-блокаторов в случаях с врожденным синдромом, при которых превалирует брадикардия;</w:t>
      </w:r>
    </w:p>
    <w:p>
      <w:pPr>
        <w:pStyle w:val="Style30"/>
        <w:numPr>
          <w:ilvl w:val="0"/>
          <w:numId w:val="165"/>
        </w:numPr>
        <w:tabs>
          <w:tab w:leader="none" w:pos="702" w:val="left"/>
        </w:tabs>
        <w:widowControl w:val="0"/>
        <w:keepNext w:val="0"/>
        <w:keepLines w:val="0"/>
        <w:shd w:val="clear" w:color="auto" w:fill="auto"/>
        <w:bidi w:val="0"/>
        <w:spacing w:before="0" w:after="0"/>
        <w:ind w:left="500" w:right="0" w:firstLine="0"/>
      </w:pPr>
      <w:r>
        <w:pict>
          <v:shape id="_x0000_s1837" type="#_x0000_t75" style="position:absolute;margin-left:148.2pt;margin-top:738.25pt;width:209.75pt;height:14.9pt;z-index:-125828802;mso-wrap-distance-left:148.1pt;mso-wrap-distance-right:136.55pt;mso-wrap-distance-bottom:10.8pt;mso-position-horizontal-relative:margin;mso-position-vertical-relative:margin" wrapcoords="0 0 21600 0 21600 21600 0 21600 0 0">
            <v:imagedata r:id="rId1310" r:href="rId1311"/>
            <w10:wrap type="topAndBottom" anchorx="margin" anchory="margin"/>
          </v:shape>
        </w:pict>
      </w:r>
      <w:r>
        <w:rPr>
          <w:lang w:val="ru-RU" w:eastAsia="ru-RU" w:bidi="ru-RU"/>
          <w:w w:val="100"/>
          <w:spacing w:val="0"/>
          <w:color w:val="000000"/>
          <w:position w:val="0"/>
        </w:rPr>
        <w:t>постоянная кардиостимуляция приносит по</w:t>
        <w:softHyphen/>
        <w:t>мощь тем пациентам, которые остаются симпто</w:t>
        <w:softHyphen/>
        <w:t>матичными, несмотря на получение максимально переносимой дозы бета-блокаторов, и может ис</w:t>
        <w:softHyphen/>
        <w:t>пользоваться в качестве дополнения к бета-блока</w:t>
        <w:softHyphen/>
        <w:t xml:space="preserve">торам. Она снижает интервал </w:t>
      </w:r>
      <w:r>
        <w:rPr>
          <w:lang w:val="en-US" w:eastAsia="en-US" w:bidi="en-US"/>
          <w:w w:val="100"/>
          <w:spacing w:val="0"/>
          <w:color w:val="000000"/>
          <w:position w:val="0"/>
        </w:rPr>
        <w:t xml:space="preserve">QT, </w:t>
      </w:r>
      <w:r>
        <w:rPr>
          <w:lang w:val="ru-RU" w:eastAsia="ru-RU" w:bidi="ru-RU"/>
          <w:w w:val="100"/>
          <w:spacing w:val="0"/>
          <w:color w:val="000000"/>
          <w:position w:val="0"/>
        </w:rPr>
        <w:t>увеличивая ре- поляризирующие токи калия и подавляя РПД;</w:t>
      </w:r>
      <w:r>
        <w:br w:type="page"/>
      </w:r>
    </w:p>
    <w:p>
      <w:pPr>
        <w:pStyle w:val="Style30"/>
        <w:numPr>
          <w:ilvl w:val="0"/>
          <w:numId w:val="165"/>
        </w:numPr>
        <w:tabs>
          <w:tab w:leader="none" w:pos="938" w:val="left"/>
        </w:tabs>
        <w:widowControl w:val="0"/>
        <w:keepNext w:val="0"/>
        <w:keepLines w:val="0"/>
        <w:shd w:val="clear" w:color="auto" w:fill="auto"/>
        <w:bidi w:val="0"/>
        <w:spacing w:before="0" w:after="0" w:line="211" w:lineRule="exact"/>
        <w:ind w:left="740" w:right="0" w:firstLine="0"/>
      </w:pPr>
      <w:r>
        <w:rPr>
          <w:lang w:val="ru-RU" w:eastAsia="ru-RU" w:bidi="ru-RU"/>
          <w:w w:val="100"/>
          <w:spacing w:val="0"/>
          <w:color w:val="000000"/>
          <w:position w:val="0"/>
        </w:rPr>
        <w:t>высокая левосторонняя торакальная десимпати- зация, будучи еще одним видом антиадренергиче</w:t>
        <w:softHyphen/>
        <w:t>ской терапии, эффективна у пациентов, которые остаются рефрактерными к бета-блокаторам и кардиостимуляции. Случайная аблация зритель</w:t>
        <w:softHyphen/>
        <w:t>ных эфферентных симпатических нервов может привести к синдрому Хорнера;</w:t>
      </w:r>
    </w:p>
    <w:p>
      <w:pPr>
        <w:pStyle w:val="Style30"/>
        <w:numPr>
          <w:ilvl w:val="0"/>
          <w:numId w:val="165"/>
        </w:numPr>
        <w:tabs>
          <w:tab w:leader="none" w:pos="942" w:val="left"/>
        </w:tabs>
        <w:widowControl w:val="0"/>
        <w:keepNext w:val="0"/>
        <w:keepLines w:val="0"/>
        <w:shd w:val="clear" w:color="auto" w:fill="auto"/>
        <w:bidi w:val="0"/>
        <w:spacing w:before="0" w:after="0" w:line="211" w:lineRule="exact"/>
        <w:ind w:left="740" w:right="0" w:firstLine="0"/>
      </w:pPr>
      <w:r>
        <w:rPr>
          <w:lang w:val="ru-RU" w:eastAsia="ru-RU" w:bidi="ru-RU"/>
          <w:w w:val="100"/>
          <w:spacing w:val="0"/>
          <w:color w:val="000000"/>
          <w:position w:val="0"/>
        </w:rPr>
        <w:t>имплантируемые кардиовертеры/дефибриллято- ры (ИКД) являются полезными в случаях, когда же</w:t>
        <w:softHyphen/>
        <w:t>лудочковая тахикардия типа «пируэт» рецидивиру</w:t>
        <w:softHyphen/>
        <w:t>ет, несмотря на бета-блокаторы, кардиостимуля</w:t>
        <w:softHyphen/>
        <w:t>цию и левостороннюю торакальную симпатэкто</w:t>
        <w:softHyphen/>
        <w:t>мию. Бета-блокаторы следует использовать вместе с ИКД, так как шок может далее ускорять аритмию типа «пируэт» за счет адренергической стимуляции.</w:t>
      </w:r>
    </w:p>
    <w:p>
      <w:pPr>
        <w:pStyle w:val="Style30"/>
        <w:widowControl w:val="0"/>
        <w:keepNext w:val="0"/>
        <w:keepLines w:val="0"/>
        <w:shd w:val="clear" w:color="auto" w:fill="auto"/>
        <w:bidi w:val="0"/>
        <w:jc w:val="center"/>
        <w:spacing w:before="0" w:after="0" w:line="211" w:lineRule="exact"/>
        <w:ind w:left="160" w:right="0" w:firstLine="0"/>
      </w:pPr>
      <w:r>
        <w:rPr>
          <w:lang w:val="ru-RU" w:eastAsia="ru-RU" w:bidi="ru-RU"/>
          <w:w w:val="100"/>
          <w:spacing w:val="0"/>
          <w:color w:val="000000"/>
          <w:position w:val="0"/>
        </w:rPr>
        <w:t xml:space="preserve">• Приобретенный синдром удлиненного </w:t>
      </w:r>
      <w:r>
        <w:rPr>
          <w:lang w:val="en-US" w:eastAsia="en-US" w:bidi="en-US"/>
          <w:w w:val="100"/>
          <w:spacing w:val="0"/>
          <w:color w:val="000000"/>
          <w:position w:val="0"/>
        </w:rPr>
        <w:t>QT</w:t>
      </w:r>
    </w:p>
    <w:p>
      <w:pPr>
        <w:pStyle w:val="Style30"/>
        <w:numPr>
          <w:ilvl w:val="0"/>
          <w:numId w:val="165"/>
        </w:numPr>
        <w:tabs>
          <w:tab w:leader="none" w:pos="942" w:val="left"/>
        </w:tabs>
        <w:widowControl w:val="0"/>
        <w:keepNext w:val="0"/>
        <w:keepLines w:val="0"/>
        <w:shd w:val="clear" w:color="auto" w:fill="auto"/>
        <w:bidi w:val="0"/>
        <w:spacing w:before="0" w:after="0" w:line="211" w:lineRule="exact"/>
        <w:ind w:left="740" w:right="0" w:firstLine="0"/>
      </w:pPr>
      <w:r>
        <w:rPr>
          <w:lang w:val="ru-RU" w:eastAsia="ru-RU" w:bidi="ru-RU"/>
          <w:w w:val="100"/>
          <w:spacing w:val="0"/>
          <w:color w:val="000000"/>
          <w:position w:val="0"/>
        </w:rPr>
        <w:t xml:space="preserve">в таких случаях долговременное лечение обычно не требуется, так как интервал </w:t>
      </w:r>
      <w:r>
        <w:rPr>
          <w:lang w:val="en-US" w:eastAsia="en-US" w:bidi="en-US"/>
          <w:w w:val="100"/>
          <w:spacing w:val="0"/>
          <w:color w:val="000000"/>
          <w:position w:val="0"/>
        </w:rPr>
        <w:t xml:space="preserve">QТ </w:t>
      </w:r>
      <w:r>
        <w:rPr>
          <w:lang w:val="ru-RU" w:eastAsia="ru-RU" w:bidi="ru-RU"/>
          <w:w w:val="100"/>
          <w:spacing w:val="0"/>
          <w:color w:val="000000"/>
          <w:position w:val="0"/>
        </w:rPr>
        <w:t>возвращается к норме после коррекции провоцирующего факто</w:t>
        <w:softHyphen/>
        <w:t>ра или предрасполагающего состояния;</w:t>
      </w:r>
    </w:p>
    <w:p>
      <w:pPr>
        <w:pStyle w:val="Style30"/>
        <w:numPr>
          <w:ilvl w:val="0"/>
          <w:numId w:val="165"/>
        </w:numPr>
        <w:tabs>
          <w:tab w:leader="none" w:pos="938" w:val="left"/>
        </w:tabs>
        <w:widowControl w:val="0"/>
        <w:keepNext w:val="0"/>
        <w:keepLines w:val="0"/>
        <w:shd w:val="clear" w:color="auto" w:fill="auto"/>
        <w:bidi w:val="0"/>
        <w:spacing w:before="0" w:after="0" w:line="211" w:lineRule="exact"/>
        <w:ind w:left="740" w:right="0" w:firstLine="0"/>
      </w:pPr>
      <w:r>
        <w:rPr>
          <w:lang w:val="ru-RU" w:eastAsia="ru-RU" w:bidi="ru-RU"/>
          <w:w w:val="100"/>
          <w:spacing w:val="0"/>
          <w:color w:val="000000"/>
          <w:position w:val="0"/>
        </w:rPr>
        <w:t>имплантация искусственного водителя ритма эф</w:t>
        <w:softHyphen/>
        <w:t>фективна в случаях, связанных с блокадой сердца или брадикардией;</w:t>
      </w:r>
    </w:p>
    <w:p>
      <w:pPr>
        <w:pStyle w:val="Style30"/>
        <w:numPr>
          <w:ilvl w:val="0"/>
          <w:numId w:val="165"/>
        </w:numPr>
        <w:tabs>
          <w:tab w:leader="none" w:pos="938" w:val="left"/>
        </w:tabs>
        <w:widowControl w:val="0"/>
        <w:keepNext w:val="0"/>
        <w:keepLines w:val="0"/>
        <w:shd w:val="clear" w:color="auto" w:fill="auto"/>
        <w:bidi w:val="0"/>
        <w:spacing w:before="0" w:after="0" w:line="211" w:lineRule="exact"/>
        <w:ind w:left="740" w:right="0" w:firstLine="0"/>
      </w:pPr>
      <w:r>
        <w:rPr>
          <w:lang w:val="ru-RU" w:eastAsia="ru-RU" w:bidi="ru-RU"/>
          <w:w w:val="100"/>
          <w:spacing w:val="0"/>
          <w:color w:val="000000"/>
          <w:position w:val="0"/>
        </w:rPr>
        <w:t>установка ИКД показана в случаях, когда не уда</w:t>
        <w:softHyphen/>
        <w:t>ется устранить провоцирующий фактор.</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Осложнения</w:t>
      </w:r>
    </w:p>
    <w:p>
      <w:pPr>
        <w:pStyle w:val="Style30"/>
        <w:numPr>
          <w:ilvl w:val="0"/>
          <w:numId w:val="163"/>
        </w:numPr>
        <w:tabs>
          <w:tab w:leader="none" w:pos="520"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Одноморфная желудочковая тахикардия.</w:t>
      </w:r>
    </w:p>
    <w:p>
      <w:pPr>
        <w:pStyle w:val="Style30"/>
        <w:numPr>
          <w:ilvl w:val="0"/>
          <w:numId w:val="163"/>
        </w:numPr>
        <w:tabs>
          <w:tab w:leader="none" w:pos="520"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Фибрилляция желудочков.</w:t>
      </w:r>
    </w:p>
    <w:p>
      <w:pPr>
        <w:pStyle w:val="Style30"/>
        <w:numPr>
          <w:ilvl w:val="0"/>
          <w:numId w:val="163"/>
        </w:numPr>
        <w:tabs>
          <w:tab w:leader="none" w:pos="520" w:val="left"/>
        </w:tabs>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Внезапная сердечная смерть.</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Прогноз</w:t>
      </w:r>
    </w:p>
    <w:p>
      <w:pPr>
        <w:pStyle w:val="Style30"/>
        <w:numPr>
          <w:ilvl w:val="0"/>
          <w:numId w:val="163"/>
        </w:numPr>
        <w:tabs>
          <w:tab w:leader="none" w:pos="520" w:val="left"/>
        </w:tabs>
        <w:widowControl w:val="0"/>
        <w:keepNext w:val="0"/>
        <w:keepLines w:val="0"/>
        <w:shd w:val="clear" w:color="auto" w:fill="auto"/>
        <w:bidi w:val="0"/>
        <w:spacing w:before="0" w:after="0" w:line="211" w:lineRule="exact"/>
        <w:ind w:left="520" w:right="0" w:hanging="240"/>
      </w:pPr>
      <w:r>
        <w:rPr>
          <w:lang w:val="ru-RU" w:eastAsia="ru-RU" w:bidi="ru-RU"/>
          <w:w w:val="100"/>
          <w:spacing w:val="0"/>
          <w:color w:val="000000"/>
          <w:position w:val="0"/>
        </w:rPr>
        <w:t xml:space="preserve">При врожденном синдроме удлиненного интервала </w:t>
      </w:r>
      <w:r>
        <w:rPr>
          <w:lang w:val="en-US" w:eastAsia="en-US" w:bidi="en-US"/>
          <w:w w:val="100"/>
          <w:spacing w:val="0"/>
          <w:color w:val="000000"/>
          <w:position w:val="0"/>
        </w:rPr>
        <w:t xml:space="preserve">QТ </w:t>
      </w:r>
      <w:r>
        <w:rPr>
          <w:lang w:val="ru-RU" w:eastAsia="ru-RU" w:bidi="ru-RU"/>
          <w:w w:val="100"/>
          <w:spacing w:val="0"/>
          <w:color w:val="000000"/>
          <w:position w:val="0"/>
        </w:rPr>
        <w:t>смертность нелеченных пациентов составляет 50% за 10 лет, которую можно снизить на 3-4% при те</w:t>
        <w:softHyphen/>
        <w:t>рапевтическом вмешательстве.</w:t>
      </w:r>
    </w:p>
    <w:p>
      <w:pPr>
        <w:pStyle w:val="Style30"/>
        <w:numPr>
          <w:ilvl w:val="0"/>
          <w:numId w:val="163"/>
        </w:numPr>
        <w:tabs>
          <w:tab w:leader="none" w:pos="520" w:val="left"/>
        </w:tabs>
        <w:widowControl w:val="0"/>
        <w:keepNext w:val="0"/>
        <w:keepLines w:val="0"/>
        <w:shd w:val="clear" w:color="auto" w:fill="auto"/>
        <w:bidi w:val="0"/>
        <w:spacing w:before="0" w:after="173" w:line="211" w:lineRule="exact"/>
        <w:ind w:left="520" w:right="0" w:hanging="240"/>
      </w:pPr>
      <w:r>
        <w:rPr>
          <w:lang w:val="ru-RU" w:eastAsia="ru-RU" w:bidi="ru-RU"/>
          <w:w w:val="100"/>
          <w:spacing w:val="0"/>
          <w:color w:val="000000"/>
          <w:position w:val="0"/>
        </w:rPr>
        <w:t xml:space="preserve">При синдроме приобретенного удлинения интервала </w:t>
      </w:r>
      <w:r>
        <w:rPr>
          <w:lang w:val="en-US" w:eastAsia="en-US" w:bidi="en-US"/>
          <w:w w:val="100"/>
          <w:spacing w:val="0"/>
          <w:color w:val="000000"/>
          <w:position w:val="0"/>
        </w:rPr>
        <w:t xml:space="preserve">QТ </w:t>
      </w:r>
      <w:r>
        <w:rPr>
          <w:lang w:val="ru-RU" w:eastAsia="ru-RU" w:bidi="ru-RU"/>
          <w:w w:val="100"/>
          <w:spacing w:val="0"/>
          <w:color w:val="000000"/>
          <w:position w:val="0"/>
        </w:rPr>
        <w:t>прогноз определяется причинным фактором.</w:t>
      </w:r>
    </w:p>
    <w:p>
      <w:pPr>
        <w:pStyle w:val="Style28"/>
        <w:widowControl w:val="0"/>
        <w:keepNext/>
        <w:keepLines/>
        <w:shd w:val="clear" w:color="auto" w:fill="auto"/>
        <w:bidi w:val="0"/>
        <w:jc w:val="left"/>
        <w:spacing w:before="0" w:after="106" w:line="220" w:lineRule="exact"/>
        <w:ind w:left="0" w:right="0" w:firstLine="0"/>
      </w:pPr>
      <w:bookmarkStart w:id="815" w:name="bookmark815"/>
      <w:r>
        <w:rPr>
          <w:lang w:val="ru-RU" w:eastAsia="ru-RU" w:bidi="ru-RU"/>
          <w:w w:val="100"/>
          <w:spacing w:val="0"/>
          <w:color w:val="000000"/>
          <w:position w:val="0"/>
        </w:rPr>
        <w:t>Фибрилляция желудочков</w:t>
      </w:r>
      <w:bookmarkEnd w:id="815"/>
    </w:p>
    <w:p>
      <w:pPr>
        <w:pStyle w:val="Style30"/>
        <w:widowControl w:val="0"/>
        <w:keepNext w:val="0"/>
        <w:keepLines w:val="0"/>
        <w:shd w:val="clear" w:color="auto" w:fill="auto"/>
        <w:bidi w:val="0"/>
        <w:spacing w:before="0" w:after="120" w:line="211" w:lineRule="exact"/>
        <w:ind w:left="0" w:right="0" w:firstLine="280"/>
      </w:pPr>
      <w:r>
        <w:rPr>
          <w:lang w:val="ru-RU" w:eastAsia="ru-RU" w:bidi="ru-RU"/>
          <w:w w:val="100"/>
          <w:spacing w:val="0"/>
          <w:color w:val="000000"/>
          <w:position w:val="0"/>
        </w:rPr>
        <w:t>Фибрилляция желудочков (ФЖ) редко отмечается в дет</w:t>
        <w:softHyphen/>
        <w:t>ской популяции, и если же она происходит, ФЖ является обычно следствием других злокачественных аритмий (на</w:t>
        <w:softHyphen/>
        <w:t>пример, желудочковой тахикардии — ЖТ).</w:t>
      </w:r>
    </w:p>
    <w:p>
      <w:pPr>
        <w:pStyle w:val="Style92"/>
        <w:widowControl w:val="0"/>
        <w:keepNext/>
        <w:keepLines/>
        <w:shd w:val="clear" w:color="auto" w:fill="auto"/>
        <w:bidi w:val="0"/>
        <w:spacing w:before="0" w:after="0" w:line="211" w:lineRule="exact"/>
        <w:ind w:left="0" w:right="0" w:firstLine="280"/>
      </w:pPr>
      <w:bookmarkStart w:id="816" w:name="bookmark816"/>
      <w:r>
        <w:rPr>
          <w:lang w:val="ru-RU" w:eastAsia="ru-RU" w:bidi="ru-RU"/>
          <w:w w:val="100"/>
          <w:spacing w:val="0"/>
          <w:color w:val="000000"/>
          <w:position w:val="0"/>
        </w:rPr>
        <w:t>Патофизиология</w:t>
      </w:r>
      <w:bookmarkEnd w:id="816"/>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Электрическая активность при ФЖ характеризуется ха</w:t>
        <w:softHyphen/>
        <w:t>отичной деполяризацией клеток всего миокарда желудоч</w:t>
        <w:softHyphen/>
        <w:t>ков. Отсутствие координированной деполяризации пре</w:t>
        <w:softHyphen/>
        <w:t xml:space="preserve">пятствует эффективному сокращению миокарда и, таким образом, выбросу крови из сердца. На поверхностной ЭКГ нет определяемых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хотя присутствует ши</w:t>
        <w:softHyphen/>
        <w:t>рокий диапазон амплитуд электрической активности от си</w:t>
        <w:softHyphen/>
        <w:t>нусно-волнового трепетания желудочков до чистой ФЖ, что может быть трудно отличить от асистолии. Эта аритмия поддерживается множественными контурами «повторного входа» из-за постоянной деполяризации частей миокарда. ФЖ может быть инициирована, когда поверхность миокар - да имеет рефрактерные или проводящие порции, и, как при любом контуре «повторного входа», это сочетание способ</w:t>
        <w:softHyphen/>
        <w:t>ствует самоподдерживающемуся ритму.</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line="211" w:lineRule="exact"/>
        <w:ind w:left="0" w:right="0" w:firstLine="280"/>
      </w:pPr>
      <w:r>
        <w:rPr>
          <w:lang w:val="ru-RU" w:eastAsia="ru-RU" w:bidi="ru-RU"/>
          <w:w w:val="100"/>
          <w:spacing w:val="0"/>
          <w:color w:val="000000"/>
          <w:position w:val="0"/>
        </w:rPr>
        <w:t>Частота ФЖ от всех причин крайне низка в детской по</w:t>
        <w:softHyphen/>
        <w:t>пуляции.</w:t>
      </w:r>
    </w:p>
    <w:p>
      <w:pPr>
        <w:pStyle w:val="Style92"/>
        <w:widowControl w:val="0"/>
        <w:keepNext/>
        <w:keepLines/>
        <w:shd w:val="clear" w:color="auto" w:fill="auto"/>
        <w:bidi w:val="0"/>
        <w:spacing w:before="0" w:after="0"/>
        <w:ind w:left="500" w:right="0" w:hanging="220"/>
      </w:pPr>
      <w:r>
        <w:br w:type="column"/>
      </w:r>
      <w:bookmarkStart w:id="817" w:name="bookmark817"/>
      <w:r>
        <w:rPr>
          <w:lang w:val="ru-RU" w:eastAsia="ru-RU" w:bidi="ru-RU"/>
          <w:w w:val="100"/>
          <w:spacing w:val="0"/>
          <w:color w:val="000000"/>
          <w:position w:val="0"/>
        </w:rPr>
        <w:t>Возраст</w:t>
      </w:r>
      <w:bookmarkEnd w:id="817"/>
    </w:p>
    <w:p>
      <w:pPr>
        <w:pStyle w:val="Style30"/>
        <w:numPr>
          <w:ilvl w:val="0"/>
          <w:numId w:val="1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 внезапной сердечной смерти в детской попу</w:t>
        <w:softHyphen/>
        <w:t>ляции не высока, даже среди детей с известным забо</w:t>
        <w:softHyphen/>
        <w:t>леванием сердца; однако у пациентов с врожденным пороком сердца может быть повышен риск развития аритмий при хирургическом вмешательстве в любом возрасте. Хотя терминальные ритмы не часто встре</w:t>
        <w:softHyphen/>
        <w:t>чаются в популяциях с внезапной смертью, ФЖ мо</w:t>
        <w:softHyphen/>
        <w:t>жет представлять конечный общий путь для этих па</w:t>
        <w:softHyphen/>
        <w:t>циентов.</w:t>
      </w:r>
    </w:p>
    <w:p>
      <w:pPr>
        <w:pStyle w:val="Style30"/>
        <w:numPr>
          <w:ilvl w:val="0"/>
          <w:numId w:val="1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Различные формы врожденного порока сердца связы</w:t>
        <w:softHyphen/>
        <w:t>вались с увеличением частоты поздней внезапной смерти, включая тетраду Фалло, аортальный стеноз и операции атриального шунтирования при D-транс</w:t>
        <w:softHyphen/>
        <w:t>позиции магистральных артерий. Это может представ</w:t>
        <w:softHyphen/>
        <w:t>лять повышенную частоту подверженности как ЖТ, так и ФЖ в этой популяции, так как принято считать, что внезапная смерть имеет аритмическую этиологию.</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ФЖ обычно предшествуют желудочковые аритмии, и профилактика ФЖ может быть наилучшим образом до</w:t>
        <w:softHyphen/>
        <w:t>стигнута путем предотвращения этих аритмий. Таким обра</w:t>
        <w:softHyphen/>
        <w:t>зом, соберите подробный анамнез, делая упор на выявле</w:t>
        <w:softHyphen/>
        <w:t>ние симптоматичных аритмий и симптомов, связанных с физической нагрузкой.</w:t>
      </w:r>
    </w:p>
    <w:p>
      <w:pPr>
        <w:pStyle w:val="Style30"/>
        <w:numPr>
          <w:ilvl w:val="0"/>
          <w:numId w:val="1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пациентов с желудочковой эктопией могут быть го - ловокружения, учащенное сердцебиение, боли в гру</w:t>
        <w:softHyphen/>
        <w:t>ди или обмороки, все они требуют изучения.</w:t>
      </w:r>
    </w:p>
    <w:p>
      <w:pPr>
        <w:pStyle w:val="Style30"/>
        <w:numPr>
          <w:ilvl w:val="0"/>
          <w:numId w:val="1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Тонизирующие и выписанные лекарственные препа</w:t>
        <w:softHyphen/>
        <w:t>раты могут увеличивать риск желудочковой эктопии. Обширный список лекарственных препаратов, кото</w:t>
        <w:softHyphen/>
        <w:t xml:space="preserve">рые удлиняют интервал </w:t>
      </w:r>
      <w:r>
        <w:rPr>
          <w:lang w:val="en-US" w:eastAsia="en-US" w:bidi="en-US"/>
          <w:w w:val="100"/>
          <w:spacing w:val="0"/>
          <w:color w:val="000000"/>
          <w:position w:val="0"/>
        </w:rPr>
        <w:t xml:space="preserve">QT, </w:t>
      </w:r>
      <w:r>
        <w:rPr>
          <w:lang w:val="ru-RU" w:eastAsia="ru-RU" w:bidi="ru-RU"/>
          <w:w w:val="100"/>
          <w:spacing w:val="0"/>
          <w:color w:val="000000"/>
          <w:position w:val="0"/>
        </w:rPr>
        <w:t>также вызывает специ</w:t>
        <w:softHyphen/>
        <w:t>фическую озабоченность.</w:t>
      </w:r>
    </w:p>
    <w:p>
      <w:pPr>
        <w:pStyle w:val="Style30"/>
        <w:numPr>
          <w:ilvl w:val="0"/>
          <w:numId w:val="1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Может присутствовать влияние генетики, например синдром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или наслед</w:t>
        <w:softHyphen/>
        <w:t>ственные кардиомиопатии; поэтому необходимо вес</w:t>
        <w:softHyphen/>
        <w:t>ти сбор семейного анамнеза, направленный на выяв</w:t>
        <w:softHyphen/>
        <w:t>ление обмороков, аритмии или внезапной смерти, особенно у молодых лиц. Наличие в истории болезни врожденной глухоты, ассоциированной с обморока</w:t>
        <w:softHyphen/>
        <w:t>ми, учащенным сердцебиением или внезапной смер</w:t>
        <w:softHyphen/>
        <w:t>тью, должно натолкнуть на подозрение наследствен</w:t>
        <w:softHyphen/>
        <w:t xml:space="preserve">ного синдрома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Джерве- лла-Ланге-Нилсена. Часто история болезни не содер</w:t>
        <w:softHyphen/>
        <w:t xml:space="preserve">жит ясного указания на сердечную причину, а лишь показывает случаи необъяснимой смерти, такие как утопление, ранние «сердечные приступы». Иногда обмороки и миоклонические движения, которые можно наблюдать при аритмиях, ассоциированных с синдромом удлинения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неправильно диагностируют как приступы (пароксизмы).</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Физикальные данные</w:t>
      </w:r>
    </w:p>
    <w:p>
      <w:pPr>
        <w:pStyle w:val="Style30"/>
        <w:numPr>
          <w:ilvl w:val="0"/>
          <w:numId w:val="1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Такие состояния, как синдром удлиненного интерва</w:t>
        <w:softHyphen/>
        <w:t xml:space="preserve">ла </w:t>
      </w:r>
      <w:r>
        <w:rPr>
          <w:lang w:val="en-US" w:eastAsia="en-US" w:bidi="en-US"/>
          <w:w w:val="100"/>
          <w:spacing w:val="0"/>
          <w:color w:val="000000"/>
          <w:position w:val="0"/>
        </w:rPr>
        <w:t xml:space="preserve">QT, </w:t>
      </w:r>
      <w:r>
        <w:rPr>
          <w:lang w:val="ru-RU" w:eastAsia="ru-RU" w:bidi="ru-RU"/>
          <w:w w:val="100"/>
          <w:spacing w:val="0"/>
          <w:color w:val="000000"/>
          <w:position w:val="0"/>
        </w:rPr>
        <w:t>могут не иметь никаких коррелят физического обследования, хотя врожденная глухота, связанная с поражением слухового нерва, ассоциирована с син</w:t>
        <w:softHyphen/>
        <w:t>дромом Джервелла-Ланге-Нилсена.</w:t>
      </w:r>
    </w:p>
    <w:p>
      <w:pPr>
        <w:pStyle w:val="Style30"/>
        <w:numPr>
          <w:ilvl w:val="0"/>
          <w:numId w:val="163"/>
        </w:numPr>
        <w:tabs>
          <w:tab w:leader="none" w:pos="516" w:val="left"/>
        </w:tabs>
        <w:widowControl w:val="0"/>
        <w:keepNext w:val="0"/>
        <w:keepLines w:val="0"/>
        <w:shd w:val="clear" w:color="auto" w:fill="auto"/>
        <w:bidi w:val="0"/>
        <w:spacing w:before="0" w:after="0"/>
        <w:ind w:left="500" w:right="0" w:hanging="220"/>
      </w:pPr>
      <w:r>
        <w:pict>
          <v:shape id="_x0000_s1838" type="#_x0000_t75" style="position:absolute;margin-left:136.8pt;margin-top:738.25pt;width:209.75pt;height:14.9pt;z-index:-125828801;mso-wrap-distance-left:136.8pt;mso-wrap-distance-right:148.1pt;mso-wrap-distance-bottom:10.8pt;mso-position-horizontal-relative:margin;mso-position-vertical-relative:margin" wrapcoords="0 0 21600 0 21600 21600 0 21600 0 0">
            <v:imagedata r:id="rId1312" r:href="rId1313"/>
            <w10:wrap type="topAndBottom" anchorx="margin" anchory="margin"/>
          </v:shape>
        </w:pict>
      </w:r>
      <w:r>
        <w:rPr>
          <w:lang w:val="ru-RU" w:eastAsia="ru-RU" w:bidi="ru-RU"/>
          <w:w w:val="100"/>
          <w:spacing w:val="0"/>
          <w:color w:val="000000"/>
          <w:position w:val="0"/>
        </w:rPr>
        <w:t>Признаки застойной сердечной недостаточности, низкий сердечный выброс, миокардит, аномальные сердечные тоны могут служить указанием на лежа</w:t>
        <w:softHyphen/>
        <w:t>щие в основе состояния, которые увеличивают риск развития серьезных желудочковых аритмий.</w:t>
      </w:r>
      <w:r>
        <w:br w:type="page"/>
      </w:r>
    </w:p>
    <w:p>
      <w:pPr>
        <w:pStyle w:val="Style30"/>
        <w:numPr>
          <w:ilvl w:val="0"/>
          <w:numId w:val="163"/>
        </w:numPr>
        <w:tabs>
          <w:tab w:leader="none" w:pos="50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Могут определяться данные, сравнимые с гипертро</w:t>
        <w:softHyphen/>
        <w:t>фической кардиомиопатией и обструктивными по</w:t>
        <w:softHyphen/>
        <w:t>вреждениями желудочкового оттока (например, сте</w:t>
        <w:softHyphen/>
        <w:t>ноз клапана аорты).</w:t>
      </w:r>
    </w:p>
    <w:p>
      <w:pPr>
        <w:pStyle w:val="Style30"/>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Причины</w:t>
      </w:r>
    </w:p>
    <w:p>
      <w:pPr>
        <w:pStyle w:val="Style30"/>
        <w:numPr>
          <w:ilvl w:val="0"/>
          <w:numId w:val="163"/>
        </w:numPr>
        <w:tabs>
          <w:tab w:leader="none" w:pos="50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 снижению порога ФЖ могут привести многочис</w:t>
        <w:softHyphen/>
        <w:t>ленные факторы и таким образом увеличить вероят</w:t>
        <w:softHyphen/>
        <w:t>ность аритмии, предшествующей ФЖ. Эти предрас</w:t>
        <w:softHyphen/>
        <w:t>полагающие факторы включают нарушения электро</w:t>
        <w:softHyphen/>
        <w:t>литного равновесия, проаритмические медикаменты, изменения симпатико-парасимпатического баланса (особенно увеличение катехоламинов), гипотермию или гипертермию, первичную электрическую бо</w:t>
        <w:softHyphen/>
        <w:t xml:space="preserve">лезнь (например синдром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и гипоксию/ишемию. Эти переменные могут оказывать влияние на подверженность миокарда фе</w:t>
        <w:softHyphen/>
        <w:t xml:space="preserve">номену </w:t>
      </w:r>
      <w:r>
        <w:rPr>
          <w:lang w:val="en-US" w:eastAsia="en-US" w:bidi="en-US"/>
          <w:w w:val="100"/>
          <w:spacing w:val="0"/>
          <w:color w:val="000000"/>
          <w:position w:val="0"/>
        </w:rPr>
        <w:t>R</w:t>
      </w:r>
      <w:r>
        <w:rPr>
          <w:lang w:val="ru-RU" w:eastAsia="ru-RU" w:bidi="ru-RU"/>
          <w:w w:val="100"/>
          <w:spacing w:val="0"/>
          <w:color w:val="000000"/>
          <w:position w:val="0"/>
        </w:rPr>
        <w:t>-на-Т, вызывая деполяризацию частично реполяризованных тканей, потенциально иницииру</w:t>
        <w:softHyphen/>
        <w:t>ющих ФЖ.</w:t>
      </w:r>
    </w:p>
    <w:p>
      <w:pPr>
        <w:pStyle w:val="Style30"/>
        <w:numPr>
          <w:ilvl w:val="0"/>
          <w:numId w:val="163"/>
        </w:numPr>
        <w:tabs>
          <w:tab w:leader="none" w:pos="50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Так как ФЖ является обычно следствием ЖТ, необхо - димо учитывать роль, которую играют ЖТ в эволю</w:t>
        <w:softHyphen/>
        <w:t>ции нарушения ритма. Пусковых механизмов ЖТ много и они разнообразны.</w:t>
      </w:r>
    </w:p>
    <w:p>
      <w:pPr>
        <w:pStyle w:val="Style30"/>
        <w:numPr>
          <w:ilvl w:val="0"/>
          <w:numId w:val="163"/>
        </w:numPr>
        <w:tabs>
          <w:tab w:leader="none" w:pos="50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Пусковые механизмы ЖТ включают удлинение ин</w:t>
        <w:softHyphen/>
        <w:t xml:space="preserve">тервала </w:t>
      </w:r>
      <w:r>
        <w:rPr>
          <w:lang w:val="en-US" w:eastAsia="en-US" w:bidi="en-US"/>
          <w:w w:val="100"/>
          <w:spacing w:val="0"/>
          <w:color w:val="000000"/>
          <w:position w:val="0"/>
        </w:rPr>
        <w:t xml:space="preserve">QT </w:t>
      </w:r>
      <w:r>
        <w:rPr>
          <w:lang w:val="ru-RU" w:eastAsia="ru-RU" w:bidi="ru-RU"/>
          <w:w w:val="100"/>
          <w:spacing w:val="0"/>
          <w:color w:val="000000"/>
          <w:position w:val="0"/>
        </w:rPr>
        <w:t>(например, врожденное, приобретенное), применение лекарственных средств (например, ди- гоксин, противоаритмические лекарственные препа</w:t>
        <w:softHyphen/>
        <w:t>раты, антидепрессанты, фенотиазины, тефенадин, эритромицин), употребление алкоголя, метаболичес</w:t>
        <w:softHyphen/>
        <w:t>кие нарушения (например, электролиты, гипоксия, ацидемия), коронарная болезнь сердца, миокардит, кардиомиопатия (например, идиопатическая, гипер</w:t>
        <w:softHyphen/>
        <w:t>трофическая), внутрисердечные опухоли и врожден</w:t>
        <w:softHyphen/>
        <w:t>ные пороки сердца, особенно послеоперационные вмешательства.</w:t>
      </w:r>
    </w:p>
    <w:p>
      <w:pPr>
        <w:pStyle w:val="Style30"/>
        <w:numPr>
          <w:ilvl w:val="0"/>
          <w:numId w:val="163"/>
        </w:numPr>
        <w:tabs>
          <w:tab w:leader="none" w:pos="50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Синдром Вольфа-Паркинсона-Уайта: фибрилляция предсердий (ФП) при наличии дополнительного пути проведения (обходной тракт), который позволяет чрезвычайно быструю антеградную стимуляцию же</w:t>
        <w:softHyphen/>
        <w:t>лудочка (&lt; 300 сокращений в минуту), представляет потенциальный риск ФЖ у пациентов с синдромом Вольфа-Паркинсона-Уайта (ВПУ). Риск ФП и соот</w:t>
        <w:softHyphen/>
        <w:t>ветственно ФЖ зависит от состояния и рефрактер</w:t>
        <w:softHyphen/>
        <w:t>ных характеристик дополнительного пути. Эти элек</w:t>
        <w:softHyphen/>
        <w:t>трофизиологические свойства могут варьировать (на</w:t>
        <w:softHyphen/>
        <w:t>пример, с катехоламинным статусом, ассоциирован</w:t>
        <w:softHyphen/>
        <w:t>ным с напряжением, тревогой), с возрастом, а также в зависимости от других клинических переменных.</w:t>
      </w:r>
    </w:p>
    <w:p>
      <w:pPr>
        <w:pStyle w:val="Style30"/>
        <w:numPr>
          <w:ilvl w:val="0"/>
          <w:numId w:val="163"/>
        </w:numPr>
        <w:tabs>
          <w:tab w:leader="none" w:pos="507"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Сотрясение сердца: сотрясение сердца представляет собой редкий синдром внезапной ФЖ после тупой травмы стенки грудной клетки, которая, как правило, происходит у молодых спортсменов:</w:t>
      </w:r>
    </w:p>
    <w:p>
      <w:pPr>
        <w:pStyle w:val="Style30"/>
        <w:numPr>
          <w:ilvl w:val="0"/>
          <w:numId w:val="165"/>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распространенность сотрясения сердца невысока и встречается у лиц в возрасте от 5 до 15 лет; чаще у мальчиков. Является ли это следствием того, что мальчики занимаются видами спорта, связанными с повышенным риском, или это связано с половой принадлежностью, не ясно;</w:t>
      </w:r>
    </w:p>
    <w:p>
      <w:pPr>
        <w:pStyle w:val="Style30"/>
        <w:numPr>
          <w:ilvl w:val="0"/>
          <w:numId w:val="165"/>
        </w:numPr>
        <w:tabs>
          <w:tab w:leader="none" w:pos="735"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сотрясение сердца характеризуется относительно низким энергетическим воздействием, которое не вызывает структурных повреждений грудной клет</w:t>
        <w:softHyphen/>
        <w:t>ки, коронарных артерий или других органов груд-</w:t>
      </w:r>
    </w:p>
    <w:p>
      <w:pPr>
        <w:pStyle w:val="Style30"/>
        <w:widowControl w:val="0"/>
        <w:keepNext w:val="0"/>
        <w:keepLines w:val="0"/>
        <w:shd w:val="clear" w:color="auto" w:fill="auto"/>
        <w:bidi w:val="0"/>
        <w:spacing w:before="0" w:after="0"/>
        <w:ind w:left="500" w:right="0" w:firstLine="0"/>
      </w:pPr>
      <w:r>
        <w:br w:type="column"/>
      </w:r>
      <w:r>
        <w:rPr>
          <w:lang w:val="ru-RU" w:eastAsia="ru-RU" w:bidi="ru-RU"/>
          <w:w w:val="100"/>
          <w:spacing w:val="0"/>
          <w:color w:val="000000"/>
          <w:position w:val="0"/>
        </w:rPr>
        <w:t>ной клетки. ФЖ является наиболее частым ритмом, записанным после события, хотя отмечались также полная блокада сердца и идиовентрикулярные рит</w:t>
        <w:softHyphen/>
        <w:t>мы. Сотрясение сердца весьма трудно обратить в синусовый ритм, и выживаемость при этом типе аритмического события, к сожалению, очень низка;</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существует ли индивидуальная подверженность сотрясению сердца или это только проблема элек</w:t>
        <w:softHyphen/>
        <w:t>трической синхронизации, остается не ясным. Но независимо от этого тем, кто выжил после со</w:t>
        <w:softHyphen/>
        <w:t>трясения сердца, рекомендуется носить соответ</w:t>
        <w:softHyphen/>
        <w:t>ствующую защиту грудной клетки во время учас</w:t>
        <w:softHyphen/>
        <w:t>тия в контактных видах спорта в будущем.</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Лабораторная диагностика</w:t>
      </w:r>
    </w:p>
    <w:p>
      <w:pPr>
        <w:pStyle w:val="Style30"/>
        <w:numPr>
          <w:ilvl w:val="0"/>
          <w:numId w:val="1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Клиническое исследование с целью постановки диа</w:t>
        <w:softHyphen/>
        <w:t>гноза у пациентов, которых реанимировали после ФЖ, направлено на определение пусковых механиз</w:t>
        <w:softHyphen/>
        <w:t>мов, которые можно предотвратить, или снижение факторов риска развития желудочковых аритмий, ко - торые перерождаются в ФЖ. Подробное обсуждение пусковых механизмов и факторов риска приводится в разделе «Желудочковая тахикардия».</w:t>
      </w:r>
    </w:p>
    <w:p>
      <w:pPr>
        <w:pStyle w:val="Style30"/>
        <w:numPr>
          <w:ilvl w:val="0"/>
          <w:numId w:val="1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Уровень электролитов: в частности, уровни в сы</w:t>
        <w:softHyphen/>
        <w:t>воротке крови магния, калия и кальция являются наиболее релевантными в оценке подверженности желудочковой аритмии.</w:t>
      </w:r>
    </w:p>
    <w:p>
      <w:pPr>
        <w:pStyle w:val="Style30"/>
        <w:numPr>
          <w:ilvl w:val="0"/>
          <w:numId w:val="1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Измеряют содержание газов крови, особенно рН, так как ацидемия способствует подверженности аритмии.</w:t>
      </w:r>
    </w:p>
    <w:p>
      <w:pPr>
        <w:pStyle w:val="Style30"/>
        <w:numPr>
          <w:ilvl w:val="0"/>
          <w:numId w:val="16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Если пациент принимал до этого лекарственные препараты, нужно определить их содержание в крови, особенно препаратов, которые могут уд</w:t>
        <w:softHyphen/>
        <w:t xml:space="preserve">линять интервал </w:t>
      </w:r>
      <w:r>
        <w:rPr>
          <w:lang w:val="en-US" w:eastAsia="en-US" w:bidi="en-US"/>
          <w:w w:val="100"/>
          <w:spacing w:val="0"/>
          <w:color w:val="000000"/>
          <w:position w:val="0"/>
        </w:rPr>
        <w:t xml:space="preserve">QT, </w:t>
      </w:r>
      <w:r>
        <w:rPr>
          <w:lang w:val="ru-RU" w:eastAsia="ru-RU" w:bidi="ru-RU"/>
          <w:w w:val="100"/>
          <w:spacing w:val="0"/>
          <w:color w:val="000000"/>
          <w:position w:val="0"/>
        </w:rPr>
        <w:t>и всех противоаритмических препаратов, которые мог получать пациент. Такие лекарственные средства, как новокаинамид и ами- одарон, обладают антиаритмическим действием, как и многие антиаритмические препараты.</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numPr>
          <w:ilvl w:val="0"/>
          <w:numId w:val="1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Рентгенография органов грудной клетки.</w:t>
      </w:r>
    </w:p>
    <w:p>
      <w:pPr>
        <w:pStyle w:val="Style30"/>
        <w:numPr>
          <w:ilvl w:val="0"/>
          <w:numId w:val="1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Эхокардиография.</w:t>
      </w:r>
    </w:p>
    <w:p>
      <w:pPr>
        <w:pStyle w:val="Style30"/>
        <w:numPr>
          <w:ilvl w:val="0"/>
          <w:numId w:val="1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МРТ сердца, особенно с упором на потенциал арит- могенной правожелудочковой дисплазии.</w:t>
      </w:r>
    </w:p>
    <w:p>
      <w:pPr>
        <w:pStyle w:val="Style30"/>
        <w:numPr>
          <w:ilvl w:val="0"/>
          <w:numId w:val="1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 (ЭКГ в 12 отведениях наибо</w:t>
        <w:softHyphen/>
        <w:t>лее полезна при формулировании дифференциально</w:t>
        <w:softHyphen/>
        <w:t>го диагноза после купирования ФЖ).</w:t>
      </w:r>
    </w:p>
    <w:p>
      <w:pPr>
        <w:pStyle w:val="Style30"/>
        <w:numPr>
          <w:ilvl w:val="0"/>
          <w:numId w:val="1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Холтеровское мониторирование.</w:t>
      </w:r>
    </w:p>
    <w:p>
      <w:pPr>
        <w:pStyle w:val="Style30"/>
        <w:numPr>
          <w:ilvl w:val="0"/>
          <w:numId w:val="1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Дополнительные тесты по показаниям на основании предрасполагающих факторов, вызывающих подо</w:t>
        <w:softHyphen/>
        <w:t>зрения:</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провокационные тесты для выявления аритмий могут быть полезными в определении электрофи</w:t>
        <w:softHyphen/>
        <w:t>зиологической этиологии;</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неинвазивное провокационное тестирование вы</w:t>
        <w:softHyphen/>
        <w:t>полняется главным образом методом пробы с фи</w:t>
        <w:softHyphen/>
        <w:t>зической нагрузкой;</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реже применяют инфузии кардиоактивных препа</w:t>
        <w:softHyphen/>
        <w:t>ратов, таких как изопротеренол или адреналин, для провокации желудочковых аритмий у лиц с по</w:t>
        <w:softHyphen/>
        <w:t>тенциальной подверженностью;</w:t>
      </w:r>
    </w:p>
    <w:p>
      <w:pPr>
        <w:pStyle w:val="Style30"/>
        <w:numPr>
          <w:ilvl w:val="0"/>
          <w:numId w:val="165"/>
        </w:numPr>
        <w:tabs>
          <w:tab w:leader="none" w:pos="516" w:val="left"/>
        </w:tabs>
        <w:widowControl w:val="0"/>
        <w:keepNext w:val="0"/>
        <w:keepLines w:val="0"/>
        <w:shd w:val="clear" w:color="auto" w:fill="auto"/>
        <w:bidi w:val="0"/>
        <w:spacing w:before="0" w:after="0"/>
        <w:ind w:left="500" w:right="0" w:hanging="220"/>
      </w:pPr>
      <w:r>
        <w:pict>
          <v:shape id="_x0000_s1839" type="#_x0000_t75" style="position:absolute;margin-left:147.7pt;margin-top:738.25pt;width:209.75pt;height:14.9pt;z-index:-125828800;mso-wrap-distance-left:147.35pt;mso-wrap-distance-right:136.8pt;mso-wrap-distance-bottom:10.8pt;mso-position-horizontal-relative:margin;mso-position-vertical-relative:margin" wrapcoords="0 0 21600 0 21600 21600 0 21600 0 0">
            <v:imagedata r:id="rId1314" r:href="rId1315"/>
            <w10:wrap type="topAndBottom" anchorx="margin" anchory="margin"/>
          </v:shape>
        </w:pict>
      </w:r>
      <w:r>
        <w:rPr>
          <w:lang w:val="ru-RU" w:eastAsia="ru-RU" w:bidi="ru-RU"/>
          <w:w w:val="100"/>
          <w:spacing w:val="0"/>
          <w:color w:val="000000"/>
          <w:position w:val="0"/>
        </w:rPr>
        <w:t>кроме того используют инфузии противоаритми</w:t>
        <w:softHyphen/>
        <w:t>ческих лекарственных средств, блокирующих на</w:t>
        <w:softHyphen/>
        <w:t>триевые каналы, такие как аймалин или новокаи-</w:t>
      </w:r>
      <w:r>
        <w:br w:type="page"/>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намид, для провоцирования электрокардиографи</w:t>
        <w:softHyphen/>
        <w:t>ческого фенотипа или синдрома Бругада;</w:t>
      </w:r>
    </w:p>
    <w:p>
      <w:pPr>
        <w:pStyle w:val="Style30"/>
        <w:numPr>
          <w:ilvl w:val="0"/>
          <w:numId w:val="16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эти тесты могут увеличить чувствительность при выявлении лиц с потенциальной подверженнос</w:t>
        <w:softHyphen/>
        <w:t>тью, хотя, может, и в ущерб специфичности. Цен</w:t>
        <w:softHyphen/>
        <w:t>ность использования этих провокационных тестов у пациентов детского возраста определена еще не полностью.</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Процедуры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Электрофизиологические исследования:</w:t>
      </w:r>
    </w:p>
    <w:p>
      <w:pPr>
        <w:pStyle w:val="Style30"/>
        <w:numPr>
          <w:ilvl w:val="0"/>
          <w:numId w:val="1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Инвазивное электрофизиологическое исследова</w:t>
        <w:softHyphen/>
        <w:t>ние (ЭФИ) может потребоваться пациентам с по</w:t>
        <w:softHyphen/>
        <w:t>вышенным риском ФЖ (например, длительная или недлительная ЖТ, предотвращенная внезап</w:t>
        <w:softHyphen/>
        <w:t>ная сердечная смерть). ЭФИ обычно состоит из программированной стимуляции предсердий и желудочков для определения наличия или отсут</w:t>
        <w:softHyphen/>
        <w:t>ствия индуцибельной ЖТ/ФЖ. Также можно из</w:t>
        <w:softHyphen/>
        <w:t>учить другие потенциальные субстраты аритмии, такие как синдром ВПУ с быстрым антеградным проведением.</w:t>
      </w:r>
    </w:p>
    <w:p>
      <w:pPr>
        <w:pStyle w:val="Style30"/>
        <w:numPr>
          <w:ilvl w:val="0"/>
          <w:numId w:val="1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Во время ЭФИ можно также использовать фарма</w:t>
        <w:softHyphen/>
        <w:t>кологические провокационные исследования (на</w:t>
        <w:softHyphen/>
        <w:t>пример, использование изопротеренола или других катехоламинергических средств для индукции аритмии). Препараты, способствующие усилению характерных особенностей ЭКГ при специфичес</w:t>
        <w:softHyphen/>
        <w:t>ких патологических состояниях, такие как противо</w:t>
        <w:softHyphen/>
        <w:t xml:space="preserve">аритмические лекарственные средства </w:t>
      </w:r>
      <w:r>
        <w:rPr>
          <w:lang w:val="en-US" w:eastAsia="en-US" w:bidi="en-US"/>
          <w:w w:val="100"/>
          <w:spacing w:val="0"/>
          <w:color w:val="000000"/>
          <w:position w:val="0"/>
        </w:rPr>
        <w:t xml:space="preserve">I </w:t>
      </w:r>
      <w:r>
        <w:rPr>
          <w:lang w:val="ru-RU" w:eastAsia="ru-RU" w:bidi="ru-RU"/>
          <w:w w:val="100"/>
          <w:spacing w:val="0"/>
          <w:color w:val="000000"/>
          <w:position w:val="0"/>
        </w:rPr>
        <w:t>типа (на</w:t>
        <w:softHyphen/>
        <w:t>пример, флекаинамид, аймалин), можно использо</w:t>
        <w:softHyphen/>
        <w:t>вать для выявления классического паттерна ЭКГ, который обнаруживается при синдроме Бругада.</w:t>
      </w:r>
    </w:p>
    <w:p>
      <w:pPr>
        <w:pStyle w:val="Style30"/>
        <w:numPr>
          <w:ilvl w:val="0"/>
          <w:numId w:val="163"/>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Из-за ограниченной прогностической ценности ЭФИ его отрицательные результаты не исключают вероятности внезапного сердечного события в бу</w:t>
        <w:softHyphen/>
        <w:t>дущем, особенно у пациентов со структурным врожденным пороком сердца.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Реанимирование после ФЖ иногда бывает успешным, если проводится своевременное вливание; чем дольше про</w:t>
        <w:softHyphen/>
        <w:t>должается фибрилляция миокарда, тем труднее обратить ее в синусовый ритм. Применение таких антиаритмических препаратов, как лидокаин и амиодарон, может способство</w:t>
        <w:softHyphen/>
        <w:t>вать поддержанию синусового ритма после достижения ус</w:t>
        <w:softHyphen/>
        <w:t>пешной дефибрилляции.</w:t>
      </w:r>
    </w:p>
    <w:p>
      <w:pPr>
        <w:pStyle w:val="Style30"/>
        <w:numPr>
          <w:ilvl w:val="0"/>
          <w:numId w:val="163"/>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Рекомендации Американской ассоциации кардиоло</w:t>
        <w:softHyphen/>
        <w:t>гов по лечению пациентов детского возраста с бес</w:t>
        <w:softHyphen/>
        <w:t>пульсовой (ЖТ/ФЖ/БЭА) остановкой следующие:</w:t>
      </w:r>
    </w:p>
    <w:p>
      <w:pPr>
        <w:pStyle w:val="Style30"/>
        <w:numPr>
          <w:ilvl w:val="0"/>
          <w:numId w:val="16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провести сердечно-легочную реабилитацию (СЛР);</w:t>
      </w:r>
    </w:p>
    <w:p>
      <w:pPr>
        <w:pStyle w:val="Style30"/>
        <w:numPr>
          <w:ilvl w:val="0"/>
          <w:numId w:val="16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обеспечить стандартную триаду реанимации, т.е. восстановление проходимости воздухоносных пу</w:t>
        <w:softHyphen/>
        <w:t>тей, функции дыхания, кровообращения, а также 100% кислород в дыхательные пути;</w:t>
      </w:r>
    </w:p>
    <w:p>
      <w:pPr>
        <w:pStyle w:val="Style30"/>
        <w:numPr>
          <w:ilvl w:val="0"/>
          <w:numId w:val="16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вести постоянный мониторинг за ритмом.</w:t>
      </w:r>
    </w:p>
    <w:p>
      <w:pPr>
        <w:pStyle w:val="Style30"/>
        <w:numPr>
          <w:ilvl w:val="0"/>
          <w:numId w:val="163"/>
        </w:numPr>
        <w:tabs>
          <w:tab w:leader="none" w:pos="513"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Дополнительно, в случае возникновения ФЖ или</w:t>
      </w:r>
    </w:p>
    <w:p>
      <w:pPr>
        <w:pStyle w:val="Style30"/>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беспульсовой ЖТ, использовать следующие методы:</w:t>
      </w:r>
    </w:p>
    <w:p>
      <w:pPr>
        <w:pStyle w:val="Style30"/>
        <w:numPr>
          <w:ilvl w:val="0"/>
          <w:numId w:val="16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дефибрилляция разрядом мощностью 2 Дж/кг, 4 Дж/кг и 4 Дж/кг;</w:t>
      </w:r>
    </w:p>
    <w:p>
      <w:pPr>
        <w:pStyle w:val="Style30"/>
        <w:numPr>
          <w:ilvl w:val="0"/>
          <w:numId w:val="165"/>
        </w:numPr>
        <w:tabs>
          <w:tab w:leader="none" w:pos="756"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введение адреналина в/в вдозе 0,01 мг/кг (1:10 000, 0,1 мл/кг) или через эндотрахеальную трубку (ЭТ) 0,1 мг/кг (1:1000, 0,1 мл/кг);</w:t>
      </w:r>
    </w:p>
    <w:p>
      <w:pPr>
        <w:pStyle w:val="Style30"/>
        <w:numPr>
          <w:ilvl w:val="0"/>
          <w:numId w:val="165"/>
        </w:numPr>
        <w:tabs>
          <w:tab w:leader="none" w:pos="516" w:val="left"/>
        </w:tabs>
        <w:widowControl w:val="0"/>
        <w:keepNext w:val="0"/>
        <w:keepLines w:val="0"/>
        <w:shd w:val="clear" w:color="auto" w:fill="auto"/>
        <w:bidi w:val="0"/>
        <w:spacing w:before="0" w:after="0"/>
        <w:ind w:left="480" w:right="0" w:hanging="220"/>
      </w:pPr>
      <w:r>
        <w:br w:type="column"/>
      </w:r>
      <w:r>
        <w:rPr>
          <w:lang w:val="ru-RU" w:eastAsia="ru-RU" w:bidi="ru-RU"/>
          <w:w w:val="100"/>
          <w:spacing w:val="0"/>
          <w:color w:val="000000"/>
          <w:position w:val="0"/>
        </w:rPr>
        <w:t>выявить и лечить причины;</w:t>
      </w:r>
    </w:p>
    <w:p>
      <w:pPr>
        <w:pStyle w:val="Style30"/>
        <w:numPr>
          <w:ilvl w:val="0"/>
          <w:numId w:val="165"/>
        </w:numPr>
        <w:tabs>
          <w:tab w:leader="none" w:pos="51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дефибрилляция разрядом мощностью 4 Дж/кг в течение 30-60 секунд после каждой медикации;</w:t>
      </w:r>
    </w:p>
    <w:p>
      <w:pPr>
        <w:pStyle w:val="Style30"/>
        <w:numPr>
          <w:ilvl w:val="0"/>
          <w:numId w:val="165"/>
        </w:numPr>
        <w:tabs>
          <w:tab w:leader="none" w:pos="51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рассмотреть возможность лечения при помощи одного из следующих противоаритмических ле</w:t>
        <w:softHyphen/>
        <w:t>карственных средств:</w:t>
      </w:r>
    </w:p>
    <w:p>
      <w:pPr>
        <w:pStyle w:val="Style30"/>
        <w:numPr>
          <w:ilvl w:val="0"/>
          <w:numId w:val="165"/>
        </w:numPr>
        <w:tabs>
          <w:tab w:leader="none" w:pos="673" w:val="left"/>
        </w:tabs>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амиодарон 5 мг/кг болюсно в/в;</w:t>
      </w:r>
    </w:p>
    <w:p>
      <w:pPr>
        <w:pStyle w:val="Style30"/>
        <w:numPr>
          <w:ilvl w:val="0"/>
          <w:numId w:val="165"/>
        </w:numPr>
        <w:tabs>
          <w:tab w:leader="none" w:pos="673" w:val="left"/>
        </w:tabs>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лидокаин 1 мг/кг в/в;</w:t>
      </w:r>
    </w:p>
    <w:p>
      <w:pPr>
        <w:pStyle w:val="Style30"/>
        <w:numPr>
          <w:ilvl w:val="0"/>
          <w:numId w:val="165"/>
        </w:numPr>
        <w:tabs>
          <w:tab w:leader="none" w:pos="692" w:val="left"/>
        </w:tabs>
        <w:widowControl w:val="0"/>
        <w:keepNext w:val="0"/>
        <w:keepLines w:val="0"/>
        <w:shd w:val="clear" w:color="auto" w:fill="auto"/>
        <w:bidi w:val="0"/>
        <w:spacing w:before="0" w:after="0"/>
        <w:ind w:left="480" w:right="0" w:firstLine="0"/>
      </w:pPr>
      <w:r>
        <w:rPr>
          <w:lang w:val="ru-RU" w:eastAsia="ru-RU" w:bidi="ru-RU"/>
          <w:w w:val="100"/>
          <w:spacing w:val="0"/>
          <w:color w:val="000000"/>
          <w:position w:val="0"/>
        </w:rPr>
        <w:t>магний 25-50 мг/кг в/в (не более 2 г) при желу</w:t>
        <w:softHyphen/>
        <w:t>дочковой тахикардии типа «пируэт» или гипома- гниемии.</w:t>
      </w:r>
    </w:p>
    <w:p>
      <w:pPr>
        <w:pStyle w:val="Style30"/>
        <w:numPr>
          <w:ilvl w:val="0"/>
          <w:numId w:val="165"/>
        </w:numPr>
        <w:tabs>
          <w:tab w:leader="none" w:pos="51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дефибрилляция разрядом мощностью 4 Дж/кг в течение 30-60 секунд после инфузии препара</w:t>
        <w:softHyphen/>
        <w:t>тов.</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 Дефибрилляция является определенным лечением ФЖ. Электрические разряды (подаваемые асинхрон</w:t>
        <w:softHyphen/>
        <w:t>но) направлены на деполяризацию миокарда для ку</w:t>
        <w:softHyphen/>
        <w:t>пирования фибриллирующего ритма и для того, что</w:t>
        <w:softHyphen/>
        <w:t>бы внутренний сердечный водитель ритма восстано</w:t>
        <w:softHyphen/>
        <w:t>вил контроль. Если при помощи шоковых разрядов удалось успешно купировать ФЖ или ЖТ, то считает</w:t>
        <w:softHyphen/>
        <w:t>ся, что фибрилляция достигнута. На успех попыток дефибрилляции могут оказать влияние несколько факторов, включая метаболическое окружение, уста</w:t>
        <w:softHyphen/>
        <w:t>новку лопаток, дозу энергии и тип использованной волны:</w:t>
      </w:r>
    </w:p>
    <w:p>
      <w:pPr>
        <w:pStyle w:val="Style30"/>
        <w:numPr>
          <w:ilvl w:val="0"/>
          <w:numId w:val="165"/>
        </w:numPr>
        <w:tabs>
          <w:tab w:leader="none" w:pos="51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сопротивление: на электрическое сопротивление дефибриллирующего контура влияние оказывают размер лопатки (электрода), поверхность сопри</w:t>
        <w:softHyphen/>
        <w:t>косновения электрод-грудная клетка. Лопатки большего размера снижают сопротивление, одна</w:t>
        <w:softHyphen/>
        <w:t>ко электроды не должны быть в контакте друг с другом, иначе образуется мостик и электричес</w:t>
        <w:softHyphen/>
        <w:t>кий ток шунтируется и не проходит через пациен</w:t>
        <w:softHyphen/>
        <w:t>та. Точно так же необходимо наносить достаточное количество электродного крема для снижения вы</w:t>
        <w:softHyphen/>
        <w:t>сокого сопротивления кожи и избегания серьез</w:t>
        <w:softHyphen/>
        <w:t>ных кожных ожогов;</w:t>
      </w:r>
    </w:p>
    <w:p>
      <w:pPr>
        <w:pStyle w:val="Style30"/>
        <w:numPr>
          <w:ilvl w:val="0"/>
          <w:numId w:val="165"/>
        </w:numPr>
        <w:tabs>
          <w:tab w:leader="none" w:pos="51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установка лопаток требуется для того, чтобы на</w:t>
        <w:softHyphen/>
        <w:t>править наибольшее количество электрического тока через как можно большую часть миокарда;</w:t>
      </w:r>
    </w:p>
    <w:p>
      <w:pPr>
        <w:pStyle w:val="Style30"/>
        <w:numPr>
          <w:ilvl w:val="0"/>
          <w:numId w:val="165"/>
        </w:numPr>
        <w:tabs>
          <w:tab w:leader="none" w:pos="51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 детей более старшего возраста это обычно дости</w:t>
        <w:softHyphen/>
        <w:t>гается установкой лопаток в стандартном для взрослых положении: одну — на правую верхнюю часть грудной клетки, а другую — над верхушкой сердца. Однако лопатки можно также располо</w:t>
        <w:softHyphen/>
        <w:t>жить в передне-заднем положении или наоборот, в положении бок в бок. Это позволяет использо</w:t>
        <w:softHyphen/>
        <w:t>вать лопатки большего размера у детей, когда под рукой нет педиатрических лопаток;</w:t>
      </w:r>
    </w:p>
    <w:p>
      <w:pPr>
        <w:pStyle w:val="Style30"/>
        <w:numPr>
          <w:ilvl w:val="0"/>
          <w:numId w:val="165"/>
        </w:numPr>
        <w:tabs>
          <w:tab w:leader="none" w:pos="516"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у детей с врожденным пороком сердца важно убе</w:t>
        <w:softHyphen/>
        <w:t>диться, что сердце может не быть расположено в левой части грудной клетки. В этом случае, если известно расположение сердца, попытайтесь рас</w:t>
        <w:softHyphen/>
        <w:t>положить лопатки так, чтобы захватить как можно большую часть миокарда;</w:t>
      </w:r>
    </w:p>
    <w:p>
      <w:pPr>
        <w:pStyle w:val="Style30"/>
        <w:numPr>
          <w:ilvl w:val="0"/>
          <w:numId w:val="165"/>
        </w:numPr>
        <w:tabs>
          <w:tab w:leader="none" w:pos="516" w:val="left"/>
        </w:tabs>
        <w:widowControl w:val="0"/>
        <w:keepNext w:val="0"/>
        <w:keepLines w:val="0"/>
        <w:shd w:val="clear" w:color="auto" w:fill="auto"/>
        <w:bidi w:val="0"/>
        <w:spacing w:before="0" w:after="0"/>
        <w:ind w:left="480" w:right="0" w:hanging="220"/>
      </w:pPr>
      <w:r>
        <w:pict>
          <v:shape id="_x0000_s1840" type="#_x0000_t75" style="position:absolute;margin-left:136.8pt;margin-top:738.25pt;width:209.75pt;height:14.9pt;z-index:-125828799;mso-wrap-distance-left:136.8pt;mso-wrap-distance-right:148.1pt;mso-wrap-distance-bottom:10.8pt;mso-position-horizontal-relative:margin;mso-position-vertical-relative:margin" wrapcoords="0 0 21600 0 21600 21600 0 21600 0 0">
            <v:imagedata r:id="rId1316" r:href="rId1317"/>
            <w10:wrap type="topAndBottom" anchorx="margin" anchory="margin"/>
          </v:shape>
        </w:pict>
      </w:r>
      <w:r>
        <w:rPr>
          <w:lang w:val="ru-RU" w:eastAsia="ru-RU" w:bidi="ru-RU"/>
          <w:w w:val="100"/>
          <w:spacing w:val="0"/>
          <w:color w:val="000000"/>
          <w:position w:val="0"/>
        </w:rPr>
        <w:t>доза энергии: в соответствии со стандартными ре</w:t>
        <w:softHyphen/>
        <w:t>комендациями доза составляет 2 Дж/кг для перво</w:t>
        <w:softHyphen/>
        <w:t>го шока, затем 4 Дж/кг для последующих шоков, если при первой дозе не удалось добиться дефиб</w:t>
        <w:softHyphen/>
        <w:t>рилляции. Если пациента удалось успешно дефи- бриллировать, а ФЖ возобновляется, то нет необ-</w:t>
      </w:r>
      <w:r>
        <w:br w:type="page"/>
      </w:r>
    </w:p>
    <w:p>
      <w:pPr>
        <w:pStyle w:val="Style30"/>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ходимости увеличивать дозу шока, так как крити</w:t>
        <w:softHyphen/>
        <w:t>ческая масса миокарда была захвачена первым шоком. В этой точке концентрация на улучшении метаболического окружения и подъем порога фи</w:t>
        <w:softHyphen/>
        <w:t>брилляции становятся важными. Некоторые ле</w:t>
        <w:softHyphen/>
        <w:t>карственные средства могут оказать влияние на порог дефибрилляции; следовательно, в этом слу</w:t>
        <w:softHyphen/>
        <w:t>чае может потребоваться модификация дозы де</w:t>
        <w:softHyphen/>
        <w:t>фибрилляции, особенно при неудачных первых попытках;</w:t>
      </w:r>
    </w:p>
    <w:p>
      <w:pPr>
        <w:pStyle w:val="Style30"/>
        <w:numPr>
          <w:ilvl w:val="0"/>
          <w:numId w:val="165"/>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форма волны: в дефибрилляторах используют двухфазную или однофазную формы волны; было показано, что двухфазные волны более эффектив</w:t>
        <w:softHyphen/>
        <w:t>ны при более низких дозах энергии и имеют мень</w:t>
        <w:softHyphen/>
        <w:t>шую вероятность порогов дефибрилляции, чем од</w:t>
        <w:softHyphen/>
        <w:t>нофазные волны. В современных дефибриллято</w:t>
        <w:softHyphen/>
        <w:t>рах стали чаще использовать двухфазные волны, чем монофазные, хотя обе методики эффективны;</w:t>
      </w:r>
    </w:p>
    <w:p>
      <w:pPr>
        <w:pStyle w:val="Style30"/>
        <w:numPr>
          <w:ilvl w:val="0"/>
          <w:numId w:val="165"/>
        </w:numPr>
        <w:tabs>
          <w:tab w:leader="none" w:pos="758"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метаболическое окружение влияет на способность дефибриллировать пациента и способность под</w:t>
        <w:softHyphen/>
        <w:t>держивать перфузионный ритм после успешной дефибрилляции. Так, во время коррекции гипо</w:t>
        <w:softHyphen/>
        <w:t>ксии, ацидоза и фармакологической терапии не должны откладывать инициацию электрошоков, следует предпринять попытку сопутствующей те</w:t>
        <w:softHyphen/>
        <w:t>рапии, направленной на коррекцию этих факто</w:t>
        <w:softHyphen/>
        <w:t>ров.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Хирургическое лечение</w:t>
      </w:r>
    </w:p>
    <w:p>
      <w:pPr>
        <w:pStyle w:val="Style30"/>
        <w:numPr>
          <w:ilvl w:val="0"/>
          <w:numId w:val="163"/>
        </w:numPr>
        <w:tabs>
          <w:tab w:leader="none" w:pos="515" w:val="left"/>
        </w:tabs>
        <w:widowControl w:val="0"/>
        <w:keepNext w:val="0"/>
        <w:keepLines w:val="0"/>
        <w:shd w:val="clear" w:color="auto" w:fill="auto"/>
        <w:bidi w:val="0"/>
        <w:spacing w:before="0" w:after="242"/>
        <w:ind w:left="520" w:right="0" w:hanging="240"/>
      </w:pPr>
      <w:r>
        <w:rPr>
          <w:lang w:val="ru-RU" w:eastAsia="ru-RU" w:bidi="ru-RU"/>
          <w:w w:val="100"/>
          <w:spacing w:val="0"/>
          <w:color w:val="000000"/>
          <w:position w:val="0"/>
        </w:rPr>
        <w:t>В дополнение к фармакотерапии часто назначают ус</w:t>
        <w:softHyphen/>
        <w:t>тановку имплантируемых кардиовертеров-дефибрил- ляторов (ИКД) пациентам, которые выжили после остановки ФЖ.</w:t>
      </w:r>
    </w:p>
    <w:p>
      <w:pPr>
        <w:pStyle w:val="Style28"/>
        <w:widowControl w:val="0"/>
        <w:keepNext/>
        <w:keepLines/>
        <w:shd w:val="clear" w:color="auto" w:fill="auto"/>
        <w:bidi w:val="0"/>
        <w:jc w:val="both"/>
        <w:spacing w:before="0" w:after="118" w:line="288" w:lineRule="exact"/>
        <w:ind w:left="0" w:right="220" w:firstLine="0"/>
      </w:pPr>
      <w:bookmarkStart w:id="818" w:name="bookmark818"/>
      <w:r>
        <w:rPr>
          <w:lang w:val="ru-RU" w:eastAsia="ru-RU" w:bidi="ru-RU"/>
          <w:w w:val="100"/>
          <w:spacing w:val="0"/>
          <w:color w:val="000000"/>
          <w:position w:val="0"/>
        </w:rPr>
        <w:t>Атриовентрикулярная блокада первой степени</w:t>
      </w:r>
      <w:bookmarkEnd w:id="81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Интервал </w:t>
      </w:r>
      <w:r>
        <w:rPr>
          <w:lang w:val="en-US" w:eastAsia="en-US" w:bidi="en-US"/>
          <w:w w:val="100"/>
          <w:spacing w:val="0"/>
          <w:color w:val="000000"/>
          <w:position w:val="0"/>
        </w:rPr>
        <w:t xml:space="preserve">PR </w:t>
      </w:r>
      <w:r>
        <w:rPr>
          <w:lang w:val="ru-RU" w:eastAsia="ru-RU" w:bidi="ru-RU"/>
          <w:w w:val="100"/>
          <w:spacing w:val="0"/>
          <w:color w:val="000000"/>
          <w:position w:val="0"/>
        </w:rPr>
        <w:t>на поверхностной электрокардиограмме измеряется от наступления деполяризации предсердий (зу</w:t>
        <w:softHyphen/>
        <w:t xml:space="preserve">бец Р) до начала деполяризации желудочков (комплекс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В популяции нормальный интервал </w:t>
      </w:r>
      <w:r>
        <w:rPr>
          <w:lang w:val="en-US" w:eastAsia="en-US" w:bidi="en-US"/>
          <w:w w:val="100"/>
          <w:spacing w:val="0"/>
          <w:color w:val="000000"/>
          <w:position w:val="0"/>
        </w:rPr>
        <w:t xml:space="preserve">PR </w:t>
      </w:r>
      <w:r>
        <w:rPr>
          <w:lang w:val="ru-RU" w:eastAsia="ru-RU" w:bidi="ru-RU"/>
          <w:w w:val="100"/>
          <w:spacing w:val="0"/>
          <w:color w:val="000000"/>
          <w:position w:val="0"/>
        </w:rPr>
        <w:t xml:space="preserve">варьирует в диапазоне от 0,12 до 0,20 секунды при нормальной ЧСС. Атриовентрикулярная (АВ) блокада первой степени определяется как интервал </w:t>
      </w:r>
      <w:r>
        <w:rPr>
          <w:lang w:val="en-US" w:eastAsia="en-US" w:bidi="en-US"/>
          <w:w w:val="100"/>
          <w:spacing w:val="0"/>
          <w:color w:val="000000"/>
          <w:position w:val="0"/>
        </w:rPr>
        <w:t xml:space="preserve">PR, </w:t>
      </w:r>
      <w:r>
        <w:rPr>
          <w:lang w:val="ru-RU" w:eastAsia="ru-RU" w:bidi="ru-RU"/>
          <w:w w:val="100"/>
          <w:spacing w:val="0"/>
          <w:color w:val="000000"/>
          <w:position w:val="0"/>
        </w:rPr>
        <w:t>превышающий 0,20 се</w:t>
        <w:softHyphen/>
        <w:t>кунды.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numPr>
          <w:ilvl w:val="0"/>
          <w:numId w:val="16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предсердно-желудочковой блокады первой степени у детей составляет 0,65-1,1%. Более высокая частота отмечается у тренированных спортсменов (8,7%).</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Распространенность АВ блокады первой степени увели</w:t>
        <w:softHyphen/>
        <w:t>чивается с возрастом.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Интервал </w:t>
      </w:r>
      <w:r>
        <w:rPr>
          <w:lang w:val="en-US" w:eastAsia="en-US" w:bidi="en-US"/>
          <w:w w:val="100"/>
          <w:spacing w:val="0"/>
          <w:color w:val="000000"/>
          <w:position w:val="0"/>
        </w:rPr>
        <w:t xml:space="preserve">PR </w:t>
      </w:r>
      <w:r>
        <w:rPr>
          <w:lang w:val="ru-RU" w:eastAsia="ru-RU" w:bidi="ru-RU"/>
          <w:w w:val="100"/>
          <w:spacing w:val="0"/>
          <w:color w:val="000000"/>
          <w:position w:val="0"/>
        </w:rPr>
        <w:t>представляет собой время, необходимое для прохождения электрического импульса от синоатри</w:t>
        <w:softHyphen/>
        <w:t>ального (СА) узла через предсердия, пучок Гиса, ветви пуч</w:t>
        <w:softHyphen/>
        <w:t>ка и ткани Пуркинье. Таким образом, как показано в элек</w:t>
        <w:softHyphen/>
        <w:t xml:space="preserve">трофизиологических исследованиях, удлинение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(т.е. АВ блок первой степени) может быть следствием за</w:t>
        <w:softHyphen/>
        <w:t>держки проведения по правому предсердию, АВ узлу, систе</w:t>
        <w:softHyphen/>
        <w:t>ме Гиса-Пуркинье или их комбинации. Дисфункция АВ уз</w:t>
        <w:softHyphen/>
        <w:br w:type="column"/>
        <w:t>ла несет ответственность за большинство случаев. Блокада АВ первой степени, вызванная задержкой проведения в си</w:t>
        <w:softHyphen/>
        <w:t>стеме Гиса-Пуркинье, часто связана с межжелудочковой блокадой.</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Анамнез, клиническая симптоматика</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Пациенты с АВ блокадой первой степени обычно бессимптомны в состоянии покоя. Выраженно удли</w:t>
        <w:softHyphen/>
        <w:t xml:space="preserve">ненный интервал </w:t>
      </w:r>
      <w:r>
        <w:rPr>
          <w:lang w:val="en-US" w:eastAsia="en-US" w:bidi="en-US"/>
          <w:w w:val="100"/>
          <w:spacing w:val="0"/>
          <w:color w:val="000000"/>
          <w:position w:val="0"/>
        </w:rPr>
        <w:t xml:space="preserve">PR </w:t>
      </w:r>
      <w:r>
        <w:rPr>
          <w:lang w:val="ru-RU" w:eastAsia="ru-RU" w:bidi="ru-RU"/>
          <w:w w:val="100"/>
          <w:spacing w:val="0"/>
          <w:color w:val="000000"/>
          <w:position w:val="0"/>
        </w:rPr>
        <w:t>может снижать переносимость физической нагрузки у некоторых пациентов с лево</w:t>
        <w:softHyphen/>
        <w:t xml:space="preserve">желудочковой систолической дисфункцией. Потеря сознания может быть результатом преходящей АВ блокады более высокой степени, особенно у лиц с инфраузловым блоком и широким комплексом </w:t>
      </w:r>
      <w:r>
        <w:rPr>
          <w:lang w:val="en-US" w:eastAsia="en-US" w:bidi="en-US"/>
          <w:w w:val="100"/>
          <w:spacing w:val="0"/>
          <w:color w:val="000000"/>
          <w:position w:val="0"/>
        </w:rPr>
        <w:t>QRS.</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Физические аспекты</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Интенсивность первого тона сердца снижена у паци - ентов с блокадой АВ первой степени.</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 пациентов с АВ блокадой первой степени может быть слышен короткий, мягкий, дующий диастоли</w:t>
        <w:softHyphen/>
        <w:t>ческий шум в верхушке сердца. Диастолический шум не связан с митральной регургитацией, так как он до - стигает своего пика до наступления регургитации. Считается, что диастолический шум связан с пред</w:t>
        <w:softHyphen/>
        <w:t>сердно-желудочковым потоком через закрытие ство</w:t>
        <w:softHyphen/>
        <w:t>рок митрального клапана, которые более жесткие, чем в норме. Введение атропина может снизить про</w:t>
        <w:softHyphen/>
        <w:t xml:space="preserve">должительность шума за счет укорочения интервала </w:t>
      </w:r>
      <w:r>
        <w:rPr>
          <w:lang w:val="en-US" w:eastAsia="en-US" w:bidi="en-US"/>
          <w:w w:val="100"/>
          <w:spacing w:val="0"/>
          <w:color w:val="000000"/>
          <w:position w:val="0"/>
        </w:rPr>
        <w:t>PR.</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Спортивная тренировка: у хорошо тренированных спортсменов может отмечаться АВ блокада первой степени (и иногда более высокой степени) вследствие повышенного тона блуждающего нерва.</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Коронарная болезнь сердца:</w:t>
      </w:r>
    </w:p>
    <w:p>
      <w:pPr>
        <w:pStyle w:val="Style30"/>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Острый ИМ: АВ блокада первой степени происхо</w:t>
        <w:softHyphen/>
        <w:t>дит менее чем у 15% пациентов с острым ИМ, по</w:t>
        <w:softHyphen/>
        <w:t>ступивших в отделения интенсивной терапии для больных с острой коронарной недостаточностью.</w:t>
      </w:r>
    </w:p>
    <w:p>
      <w:pPr>
        <w:pStyle w:val="Style30"/>
        <w:numPr>
          <w:ilvl w:val="0"/>
          <w:numId w:val="165"/>
        </w:numPr>
        <w:tabs>
          <w:tab w:leader="none" w:pos="952"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электрокардиографические исследования пучка Гиса показали, что у большинства этих пациентов АВ узел является местом блока проводимости;</w:t>
      </w:r>
    </w:p>
    <w:p>
      <w:pPr>
        <w:pStyle w:val="Style30"/>
        <w:numPr>
          <w:ilvl w:val="0"/>
          <w:numId w:val="165"/>
        </w:numPr>
        <w:tabs>
          <w:tab w:leader="none" w:pos="938" w:val="left"/>
        </w:tabs>
        <w:widowControl w:val="0"/>
        <w:keepNext w:val="0"/>
        <w:keepLines w:val="0"/>
        <w:shd w:val="clear" w:color="auto" w:fill="auto"/>
        <w:bidi w:val="0"/>
        <w:spacing w:before="0" w:after="0"/>
        <w:ind w:left="740" w:right="0" w:firstLine="0"/>
      </w:pPr>
      <w:r>
        <w:rPr>
          <w:lang w:val="ru-RU" w:eastAsia="ru-RU" w:bidi="ru-RU"/>
          <w:w w:val="100"/>
          <w:spacing w:val="0"/>
          <w:color w:val="000000"/>
          <w:position w:val="0"/>
        </w:rPr>
        <w:t>частота АВ блокады выше в условиях нижнего ИМ;</w:t>
      </w:r>
    </w:p>
    <w:p>
      <w:pPr>
        <w:pStyle w:val="Style30"/>
        <w:numPr>
          <w:ilvl w:val="0"/>
          <w:numId w:val="165"/>
        </w:numPr>
        <w:tabs>
          <w:tab w:leader="none" w:pos="952" w:val="left"/>
        </w:tabs>
        <w:widowControl w:val="0"/>
        <w:keepNext w:val="0"/>
        <w:keepLines w:val="0"/>
        <w:shd w:val="clear" w:color="auto" w:fill="auto"/>
        <w:bidi w:val="0"/>
        <w:spacing w:before="0" w:after="0"/>
        <w:ind w:left="740" w:right="0" w:firstLine="0"/>
      </w:pPr>
      <w:r>
        <w:pict>
          <v:shape id="_x0000_s1841" type="#_x0000_t75" style="position:absolute;margin-left:148.1pt;margin-top:738.25pt;width:209.75pt;height:14.9pt;z-index:-125828798;mso-wrap-distance-left:148.1pt;mso-wrap-distance-right:136.8pt;mso-wrap-distance-bottom:10.8pt;mso-position-horizontal-relative:margin;mso-position-vertical-relative:margin" wrapcoords="0 0 21600 0 21600 21600 0 21600 0 0">
            <v:imagedata r:id="rId1318" r:href="rId1319"/>
            <w10:wrap type="topAndBottom" anchorx="margin" anchory="margin"/>
          </v:shape>
        </w:pict>
      </w:r>
      <w:r>
        <w:rPr>
          <w:lang w:val="ru-RU" w:eastAsia="ru-RU" w:bidi="ru-RU"/>
          <w:w w:val="100"/>
          <w:spacing w:val="0"/>
          <w:color w:val="000000"/>
          <w:position w:val="0"/>
        </w:rPr>
        <w:t>в исследовании тромболиза при инфаркте мио</w:t>
        <w:softHyphen/>
        <w:t>карда (ИТИМ) стадии II АВ блокада первой степе</w:t>
        <w:softHyphen/>
        <w:t>ни (второй или третьей степени) была отмечена у 6,3% пациентов во время обращения и у 5,7% па</w:t>
        <w:softHyphen/>
        <w:t>циентов в течение 24 часов после тромболитичес</w:t>
        <w:softHyphen/>
        <w:t>кой терапии. У пациентов с АВ блокадой во время обращения была более высокая смертность, чем у пациентов без АВ блокады; однако в обеих груп</w:t>
        <w:softHyphen/>
        <w:t>пах была одинаковая смертность в течение после</w:t>
        <w:softHyphen/>
        <w:t>дующего года. У пациентов с развившейся АВ бло</w:t>
        <w:softHyphen/>
        <w:t>кадой после тромболитической терапии была бо</w:t>
        <w:softHyphen/>
        <w:t>лее высокая смертность как во время пребывания в больнице, так и в течение последующего года, чем у пациентов без АВ блокады. Правая коронар</w:t>
        <w:softHyphen/>
        <w:t>ная артерия была чаще местом инфаркта у пациен</w:t>
        <w:softHyphen/>
        <w:t>тов с блокадой сердца. Считается, что у пациентов с АВ блокадой размер инфаркта больше. Однако частота многососудистого порока не выше у паци</w:t>
        <w:softHyphen/>
        <w:t>ентов с АВ блокадой.</w:t>
      </w:r>
      <w:r>
        <w:br w:type="page"/>
      </w:r>
    </w:p>
    <w:p>
      <w:pPr>
        <w:pStyle w:val="Style30"/>
        <w:numPr>
          <w:ilvl w:val="0"/>
          <w:numId w:val="1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Идиопатическое дегенеративное заболевание прово</w:t>
        <w:softHyphen/>
        <w:t>дящей системы:</w:t>
      </w:r>
    </w:p>
    <w:p>
      <w:pPr>
        <w:pStyle w:val="Style30"/>
        <w:numPr>
          <w:ilvl w:val="0"/>
          <w:numId w:val="16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болезнь Лева: является следствием прогрессирую</w:t>
        <w:softHyphen/>
        <w:t>щего дегенеративного фиброза и обызвествления соседних структур сердца, «склероза левой поло</w:t>
        <w:softHyphen/>
        <w:t>вины сердечного скелета», включая кольцо мит</w:t>
        <w:softHyphen/>
        <w:t>рального клапана, центральное фиброзное тело, перегородку оболочки, основание аорты и гребень желудочковой перегородки. Болезнь Лева начина</w:t>
        <w:softHyphen/>
        <w:t>ется на четвертом десятке жизни и считается вто</w:t>
        <w:softHyphen/>
        <w:t>ричной после износа этих структур из-за растяже</w:t>
        <w:softHyphen/>
        <w:t>ния мускулатуры левого желудочка. Она поражает проксимальные ветви пучков и проявляется бра</w:t>
        <w:softHyphen/>
        <w:t>дикардией и различной степенью АВ блокады;</w:t>
      </w:r>
    </w:p>
    <w:p>
      <w:pPr>
        <w:pStyle w:val="Style30"/>
        <w:numPr>
          <w:ilvl w:val="0"/>
          <w:numId w:val="16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болезнь Ленегра: представляет собой идиопатиче</w:t>
        <w:softHyphen/>
        <w:t>ское, фиброзно-дегенеративное заболевание, ог</w:t>
        <w:softHyphen/>
        <w:t>раниченное системой Гиса-Пуркинье. Причиной являются фиброзно-известковые изменения мит</w:t>
        <w:softHyphen/>
        <w:t>рального кольца, мембранной перегородки, кла</w:t>
        <w:softHyphen/>
        <w:t>пана аорты и гребня желудочковой перегородки. Эти дегенеративные и склеротические изменения не приписываются воспалительному или ишеми</w:t>
        <w:softHyphen/>
        <w:t>ческому поражению сопредельного миокарда. Бо</w:t>
        <w:softHyphen/>
        <w:t>лезнь Ленегра поражает средние и дистальные от</w:t>
        <w:softHyphen/>
        <w:t>делы обеих ветвей пучков и лиц более молодого возраста, чем болезнь Лева.</w:t>
      </w:r>
    </w:p>
    <w:p>
      <w:pPr>
        <w:pStyle w:val="Style30"/>
        <w:numPr>
          <w:ilvl w:val="0"/>
          <w:numId w:val="1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Лекарственные средства: блокаторы кальциевых ка</w:t>
        <w:softHyphen/>
        <w:t>налов, бета-блокаторы, дигоксин и амиодарон — все они могут вызвать узловую АВ блокаду первой степе</w:t>
        <w:softHyphen/>
        <w:t>ни. Хотя узловая атриовентрикулярная блокада пер</w:t>
        <w:softHyphen/>
        <w:t>вой степени не является абсолютным противопоказа</w:t>
        <w:softHyphen/>
        <w:t>нием для назначения этих препаратов, следует с боль</w:t>
        <w:softHyphen/>
        <w:t>шой осторожностью использовать эти медикаменты у пациентов с блокадой АВ узла первой степени, так как у них повышен риск развития узловой АВ блока</w:t>
        <w:softHyphen/>
        <w:t>ды более высокой степени под влиянием указанных препаратов.</w:t>
      </w:r>
    </w:p>
    <w:p>
      <w:pPr>
        <w:pStyle w:val="Style30"/>
        <w:numPr>
          <w:ilvl w:val="0"/>
          <w:numId w:val="1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Обызвествление кольца митрального или аортально</w:t>
        <w:softHyphen/>
        <w:t>го клапана: главный проникающий пучок Гиса распо - ложен у основания передней створки митрального клапана и некоронарной створки клапана аорты. Сильные отложения кальция у пациентов с обызвест</w:t>
        <w:softHyphen/>
        <w:t>влением кольца аортального или митрального клапа</w:t>
        <w:softHyphen/>
        <w:t>на связаны с повышенным риском узловой АВ блока</w:t>
        <w:softHyphen/>
        <w:t>ды.</w:t>
      </w:r>
    </w:p>
    <w:p>
      <w:pPr>
        <w:pStyle w:val="Style30"/>
        <w:numPr>
          <w:ilvl w:val="0"/>
          <w:numId w:val="1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Инфекционные заболевания: инфекционный эндо</w:t>
        <w:softHyphen/>
        <w:t>кардит, дифтерия, ревматическая атака, болезнь Ша</w:t>
        <w:softHyphen/>
        <w:t>гаса, болезнь Лайма и туберкулез — все они могут быть связаны с узловой АВ блокадой первой степени.</w:t>
      </w:r>
    </w:p>
    <w:p>
      <w:pPr>
        <w:pStyle w:val="Style30"/>
        <w:numPr>
          <w:ilvl w:val="0"/>
          <w:numId w:val="16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распространение инфекции на соседний миокард при инфекционном эндокардите нативного или протезированного клапана (абсцесс кольца) может вызвать АВ блокаду;</w:t>
      </w:r>
    </w:p>
    <w:p>
      <w:pPr>
        <w:pStyle w:val="Style30"/>
        <w:numPr>
          <w:ilvl w:val="0"/>
          <w:numId w:val="16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острый миокардит, вызванный дифтерией, ревма</w:t>
        <w:softHyphen/>
        <w:t>тической атакой или болезнью Шагаса, может привести к АВ блокаде.</w:t>
      </w:r>
    </w:p>
    <w:p>
      <w:pPr>
        <w:pStyle w:val="Style30"/>
        <w:numPr>
          <w:ilvl w:val="0"/>
          <w:numId w:val="163"/>
        </w:numPr>
        <w:tabs>
          <w:tab w:leader="none" w:pos="238"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Коллагеновое сосудистое заболевание: ревматоид</w:t>
        <w:softHyphen/>
        <w:t>ный артрит, системная красная волчанка и склеро</w:t>
        <w:softHyphen/>
        <w:t>дермия могут быть связаны с узловой АВ блокадой первой степени.</w:t>
      </w:r>
    </w:p>
    <w:p>
      <w:pPr>
        <w:pStyle w:val="Style30"/>
        <w:numPr>
          <w:ilvl w:val="0"/>
          <w:numId w:val="165"/>
        </w:numPr>
        <w:tabs>
          <w:tab w:leader="none" w:pos="495" w:val="left"/>
        </w:tabs>
        <w:widowControl w:val="0"/>
        <w:keepNext w:val="0"/>
        <w:keepLines w:val="0"/>
        <w:shd w:val="clear" w:color="auto" w:fill="auto"/>
        <w:bidi w:val="0"/>
        <w:spacing w:before="0" w:after="0"/>
        <w:ind w:left="480" w:right="0" w:hanging="220"/>
      </w:pPr>
      <w:r>
        <w:rPr>
          <w:lang w:val="ru-RU" w:eastAsia="ru-RU" w:bidi="ru-RU"/>
          <w:w w:val="100"/>
          <w:spacing w:val="0"/>
          <w:color w:val="000000"/>
          <w:position w:val="0"/>
        </w:rPr>
        <w:t>ревматоидные узлы могут образоваться в цент</w:t>
        <w:softHyphen/>
        <w:t>ральном фиброзном теле и привести к АВ блокаде;</w:t>
      </w:r>
    </w:p>
    <w:p>
      <w:pPr>
        <w:pStyle w:val="Style30"/>
        <w:numPr>
          <w:ilvl w:val="0"/>
          <w:numId w:val="165"/>
        </w:numPr>
        <w:tabs>
          <w:tab w:leader="none" w:pos="560" w:val="left"/>
        </w:tabs>
        <w:widowControl w:val="0"/>
        <w:keepNext w:val="0"/>
        <w:keepLines w:val="0"/>
        <w:shd w:val="clear" w:color="auto" w:fill="auto"/>
        <w:bidi w:val="0"/>
        <w:spacing w:before="0" w:after="0"/>
        <w:ind w:left="500" w:right="0" w:hanging="220"/>
      </w:pPr>
      <w:r>
        <w:br w:type="column"/>
      </w:r>
      <w:r>
        <w:rPr>
          <w:lang w:val="ru-RU" w:eastAsia="ru-RU" w:bidi="ru-RU"/>
          <w:w w:val="100"/>
          <w:spacing w:val="0"/>
          <w:color w:val="000000"/>
          <w:position w:val="0"/>
        </w:rPr>
        <w:t>фиброз АВ узла или сопредельного миокарда у па</w:t>
        <w:softHyphen/>
        <w:t>циентов с системной красной волчанкой или скле</w:t>
        <w:softHyphen/>
        <w:t>родермией может вызвать узловую АВ блокаду первой степени.</w:t>
      </w:r>
    </w:p>
    <w:p>
      <w:pPr>
        <w:pStyle w:val="Style30"/>
        <w:numPr>
          <w:ilvl w:val="0"/>
          <w:numId w:val="1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Инфильтративные заболевания: амилоидоз, сарко- идоз.</w:t>
      </w:r>
    </w:p>
    <w:p>
      <w:pPr>
        <w:pStyle w:val="Style30"/>
        <w:numPr>
          <w:ilvl w:val="0"/>
          <w:numId w:val="1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Миотоническая дистрофия.</w:t>
      </w:r>
    </w:p>
    <w:p>
      <w:pPr>
        <w:pStyle w:val="Style30"/>
        <w:numPr>
          <w:ilvl w:val="0"/>
          <w:numId w:val="1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Ятрогенные заболевания:</w:t>
      </w:r>
    </w:p>
    <w:p>
      <w:pPr>
        <w:pStyle w:val="Style30"/>
        <w:numPr>
          <w:ilvl w:val="0"/>
          <w:numId w:val="165"/>
        </w:numPr>
        <w:tabs>
          <w:tab w:leader="none" w:pos="56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узловая АВ блокада первой степени происходит примерно у 10% пациентов, проходящих тестиро</w:t>
        <w:softHyphen/>
        <w:t>вание с нагрузкой аденозином, и обычно она гемо</w:t>
        <w:softHyphen/>
        <w:t>динамически незначительна. У пациентов с исход</w:t>
        <w:softHyphen/>
        <w:t>ной узловой АВ блокадой первой степени более часто развивается АВ блокада более высокой сте</w:t>
        <w:softHyphen/>
        <w:t>пени во время теста с аденозиновой нагрузкой. Од</w:t>
        <w:softHyphen/>
        <w:t>нако эти приступы хорошо переносятся и не тре</w:t>
        <w:softHyphen/>
        <w:t>буют специфического лечения или прекращения инфузии аденозина;</w:t>
      </w:r>
    </w:p>
    <w:p>
      <w:pPr>
        <w:pStyle w:val="Style30"/>
        <w:numPr>
          <w:ilvl w:val="0"/>
          <w:numId w:val="165"/>
        </w:numPr>
        <w:tabs>
          <w:tab w:leader="none" w:pos="56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узловая АВ блокада первой степени может про</w:t>
        <w:softHyphen/>
        <w:t>изойти после хирургической операции на сердце. Преходящая узловая АВ блокада первой степени может возникнуть в результате катетеризации пра</w:t>
        <w:softHyphen/>
        <w:t>вых отделов сердца.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Инструментальная диагностика</w:t>
      </w:r>
    </w:p>
    <w:p>
      <w:pPr>
        <w:pStyle w:val="Style30"/>
        <w:numPr>
          <w:ilvl w:val="0"/>
          <w:numId w:val="1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пациентов с узловой АВ блокадой первой степени и левожелудочковой систолической дисфункцией до - пплеровская сонография может применяться для до</w:t>
        <w:softHyphen/>
        <w:t>кументального подтверждения сердечного выброса во время двухкамерной электрокардиостимуляции при коротком отставании АВ. Это может дать инфор</w:t>
        <w:softHyphen/>
        <w:t>мацию о целесообразности имплантации постоянно</w:t>
        <w:softHyphen/>
        <w:t>го искусственного водителя ритма для гемодинами</w:t>
        <w:softHyphen/>
        <w:t>ческой поддержки у таких пациентов.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Электрокардиография:</w:t>
      </w:r>
    </w:p>
    <w:p>
      <w:pPr>
        <w:pStyle w:val="Style30"/>
        <w:numPr>
          <w:ilvl w:val="0"/>
          <w:numId w:val="165"/>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поверхностная ЭКГ: продолжительность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 xml:space="preserve">превышает 0,20 секунды, и все зубцы Р проводят к желудочку при постоянном, но пролонгированном интервале </w:t>
      </w:r>
      <w:r>
        <w:rPr>
          <w:lang w:val="en-US" w:eastAsia="en-US" w:bidi="en-US"/>
          <w:w w:val="100"/>
          <w:spacing w:val="0"/>
          <w:color w:val="000000"/>
          <w:position w:val="0"/>
        </w:rPr>
        <w:t xml:space="preserve">PR </w:t>
      </w:r>
      <w:r>
        <w:rPr>
          <w:lang w:val="ru-RU" w:eastAsia="ru-RU" w:bidi="ru-RU"/>
          <w:w w:val="100"/>
          <w:spacing w:val="0"/>
          <w:color w:val="000000"/>
          <w:position w:val="0"/>
        </w:rPr>
        <w:t>(рис. 100);</w:t>
      </w:r>
    </w:p>
    <w:p>
      <w:pPr>
        <w:pStyle w:val="Style30"/>
        <w:numPr>
          <w:ilvl w:val="0"/>
          <w:numId w:val="165"/>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ЭКГ пучка Гиса: это необходимо только у пациентов с симптоматичной (т.е. предобморочной и обмороч</w:t>
        <w:softHyphen/>
        <w:t xml:space="preserve">ной) узловой АВ блокаде первой степени и широким комплексом </w:t>
      </w:r>
      <w:r>
        <w:rPr>
          <w:lang w:val="en-US" w:eastAsia="en-US" w:bidi="en-US"/>
          <w:w w:val="100"/>
          <w:spacing w:val="0"/>
          <w:color w:val="000000"/>
          <w:position w:val="0"/>
        </w:rPr>
        <w:t xml:space="preserve">QRS, </w:t>
      </w:r>
      <w:r>
        <w:rPr>
          <w:lang w:val="ru-RU" w:eastAsia="ru-RU" w:bidi="ru-RU"/>
          <w:w w:val="100"/>
          <w:spacing w:val="0"/>
          <w:color w:val="000000"/>
          <w:position w:val="0"/>
        </w:rPr>
        <w:t>что указывает на межжелудочко</w:t>
        <w:softHyphen/>
        <w:t>вую блокаду. Это исследование используется для ло</w:t>
        <w:softHyphen/>
        <w:t>кализации места блокады у таких пациентов. Задерж</w:t>
        <w:softHyphen/>
        <w:t>ка инфранодального проведения отмечается у 50% пациентов.</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Лечение</w:t>
      </w:r>
    </w:p>
    <w:p>
      <w:pPr>
        <w:pStyle w:val="Style30"/>
        <w:numPr>
          <w:ilvl w:val="0"/>
          <w:numId w:val="1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Пациентам с бессимптомной узловой АВ блокадой первой степени лечение не требуется.</w:t>
      </w:r>
    </w:p>
    <w:p>
      <w:pPr>
        <w:pStyle w:val="Style30"/>
        <w:numPr>
          <w:ilvl w:val="0"/>
          <w:numId w:val="163"/>
        </w:numPr>
        <w:tabs>
          <w:tab w:leader="none" w:pos="235"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пациентов с симптомами узловой АВ блокады пер</w:t>
        <w:softHyphen/>
        <w:t>вой степени необходимо:</w:t>
      </w:r>
    </w:p>
    <w:p>
      <w:pPr>
        <w:pStyle w:val="Style30"/>
        <w:numPr>
          <w:ilvl w:val="0"/>
          <w:numId w:val="165"/>
        </w:numPr>
        <w:tabs>
          <w:tab w:leader="none" w:pos="56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 возможности прекратить прием препаратов, об</w:t>
        <w:softHyphen/>
        <w:t>ладающих потенциалом АВ блокады;</w:t>
      </w:r>
    </w:p>
    <w:p>
      <w:pPr>
        <w:pStyle w:val="Style30"/>
        <w:numPr>
          <w:ilvl w:val="0"/>
          <w:numId w:val="165"/>
        </w:numPr>
        <w:tabs>
          <w:tab w:leader="none" w:pos="56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постоянные электрические водители ритма могут быть показаны пациентам со следующими прояв</w:t>
        <w:softHyphen/>
        <w:t>лениями:</w:t>
      </w:r>
    </w:p>
    <w:p>
      <w:pPr>
        <w:pStyle w:val="Style30"/>
        <w:numPr>
          <w:ilvl w:val="0"/>
          <w:numId w:val="165"/>
        </w:numPr>
        <w:tabs>
          <w:tab w:leader="none" w:pos="693"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брадикардия тяжелой степени;</w:t>
      </w:r>
    </w:p>
    <w:p>
      <w:pPr>
        <w:pStyle w:val="Style30"/>
        <w:numPr>
          <w:ilvl w:val="0"/>
          <w:numId w:val="165"/>
        </w:numPr>
        <w:tabs>
          <w:tab w:leader="none" w:pos="69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обмороки, ассоциированные с инфранодальной блокадой;</w:t>
      </w:r>
    </w:p>
    <w:p>
      <w:pPr>
        <w:pStyle w:val="Style30"/>
        <w:numPr>
          <w:ilvl w:val="0"/>
          <w:numId w:val="165"/>
        </w:numPr>
        <w:tabs>
          <w:tab w:leader="none" w:pos="707" w:val="left"/>
        </w:tabs>
        <w:widowControl w:val="0"/>
        <w:keepNext w:val="0"/>
        <w:keepLines w:val="0"/>
        <w:shd w:val="clear" w:color="auto" w:fill="auto"/>
        <w:bidi w:val="0"/>
        <w:spacing w:before="0" w:after="0"/>
        <w:ind w:left="500" w:right="0" w:firstLine="0"/>
      </w:pPr>
      <w:r>
        <w:pict>
          <v:shape id="_x0000_s1842" type="#_x0000_t75" style="position:absolute;margin-left:130.45pt;margin-top:738.25pt;width:209.75pt;height:14.9pt;z-index:-125828797;mso-wrap-distance-left:124.1pt;mso-wrap-distance-right:148.1pt;mso-wrap-distance-bottom:10.8pt;mso-position-horizontal-relative:margin;mso-position-vertical-relative:margin" wrapcoords="0 0 21600 0 21600 21600 0 21600 0 0">
            <v:imagedata r:id="rId1320" r:href="rId1321"/>
            <w10:wrap type="topAndBottom" anchorx="margin" anchory="margin"/>
          </v:shape>
        </w:pict>
      </w:r>
      <w:r>
        <w:rPr>
          <w:lang w:val="ru-RU" w:eastAsia="ru-RU" w:bidi="ru-RU"/>
          <w:w w:val="100"/>
          <w:spacing w:val="0"/>
          <w:color w:val="000000"/>
          <w:position w:val="0"/>
        </w:rPr>
        <w:t>левожелудочковая систолическая дисфункция, когда показано, что более короткое замедление АВ улучшает гемодинамическое состояние.</w:t>
      </w:r>
      <w:r>
        <w:br w:type="page"/>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pict>
          <v:shape id="_x0000_s1843" type="#_x0000_t202" style="position:absolute;margin-left:0.5pt;margin-top:26.85pt;width:177.1pt;height:31.65pt;z-index:-125828796;mso-wrap-distance-left:5.pt;mso-wrap-distance-top:20.85pt;mso-wrap-distance-right:24.pt;mso-position-horizontal-relative:margin;mso-position-vertic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123"/>
                    </w:rPr>
                    <w:t xml:space="preserve">Рис. 100. </w:t>
                  </w:r>
                  <w:r>
                    <w:rPr>
                      <w:rStyle w:val="CharStyle90"/>
                    </w:rPr>
                    <w:t>Атриовентрикулярная блокада I степе</w:t>
                    <w:softHyphen/>
                    <w:t>ни: после каждой предсердной активации следу</w:t>
                    <w:softHyphen/>
                    <w:t xml:space="preserve">ет активация желудочков, интервал </w:t>
                  </w:r>
                  <w:r>
                    <w:rPr>
                      <w:rStyle w:val="CharStyle90"/>
                      <w:lang w:val="en-US" w:eastAsia="en-US" w:bidi="en-US"/>
                    </w:rPr>
                    <w:t xml:space="preserve">PR </w:t>
                  </w:r>
                  <w:r>
                    <w:rPr>
                      <w:rStyle w:val="CharStyle90"/>
                    </w:rPr>
                    <w:t>— 0,4 с.</w:t>
                  </w:r>
                </w:p>
              </w:txbxContent>
            </v:textbox>
            <w10:wrap type="topAndBottom" anchorx="margin" anchory="margin"/>
          </v:shape>
        </w:pict>
      </w:r>
      <w:r>
        <w:pict>
          <v:shape id="_x0000_s1844" type="#_x0000_t75" style="position:absolute;margin-left:201.6pt;margin-top:6.pt;width:290.4pt;height:229.9pt;z-index:-125828795;mso-wrap-distance-left:118.6pt;mso-wrap-distance-right:5.pt;mso-position-horizontal-relative:margin;mso-position-vertical-relative:margin" wrapcoords="0 0 21600 0 21600 21600 0 21600 0 0">
            <v:imagedata r:id="rId1322" r:href="rId1323"/>
            <w10:wrap type="topAndBottom" anchorx="margin" anchory="margin"/>
          </v:shape>
        </w:pict>
      </w:r>
      <w:r>
        <w:rPr>
          <w:lang w:val="ru-RU" w:eastAsia="ru-RU" w:bidi="ru-RU"/>
          <w:w w:val="100"/>
          <w:spacing w:val="0"/>
          <w:color w:val="000000"/>
          <w:position w:val="0"/>
        </w:rPr>
        <w:t>Специалисты Американской кардиологической ас</w:t>
        <w:softHyphen/>
        <w:t>социации считают использование постоянных двухкамерных электрокардиостимуляторов у паци</w:t>
        <w:softHyphen/>
        <w:t>ентов с блокадой АВ первой степени с симптома</w:t>
        <w:softHyphen/>
        <w:t>ми, говорящими о синдроме водителя ритма во время желудочковой электростимуляции, и доку</w:t>
        <w:softHyphen/>
        <w:t>ментально подтвержденным улучшением симпто</w:t>
        <w:softHyphen/>
        <w:t>мов с временной двухкамерной электростимуляци</w:t>
        <w:softHyphen/>
        <w:t>ей, в качестве терапии класса Па. Применение по</w:t>
        <w:softHyphen/>
        <w:t>стоянного искусственного водителя ритма рассмат</w:t>
        <w:softHyphen/>
        <w:t xml:space="preserve">ривается в качестве терапии класса </w:t>
      </w:r>
      <w:r>
        <w:rPr>
          <w:lang w:val="en-US" w:eastAsia="en-US" w:bidi="en-US"/>
          <w:w w:val="100"/>
          <w:spacing w:val="0"/>
          <w:color w:val="000000"/>
          <w:position w:val="0"/>
        </w:rPr>
        <w:t xml:space="preserve">IIb; </w:t>
      </w:r>
      <w:r>
        <w:rPr>
          <w:lang w:val="ru-RU" w:eastAsia="ru-RU" w:bidi="ru-RU"/>
          <w:w w:val="100"/>
          <w:spacing w:val="0"/>
          <w:color w:val="000000"/>
          <w:position w:val="0"/>
        </w:rPr>
        <w:t>у пациентов с выраженной узловой АВ блокадой первой степе</w:t>
        <w:softHyphen/>
        <w:t xml:space="preserve">ни (интервал </w:t>
      </w:r>
      <w:r>
        <w:rPr>
          <w:lang w:val="en-US" w:eastAsia="en-US" w:bidi="en-US"/>
          <w:w w:val="100"/>
          <w:spacing w:val="0"/>
          <w:color w:val="000000"/>
          <w:position w:val="0"/>
        </w:rPr>
        <w:t xml:space="preserve">PR </w:t>
      </w:r>
      <w:r>
        <w:rPr>
          <w:lang w:val="ru-RU" w:eastAsia="ru-RU" w:bidi="ru-RU"/>
          <w:w w:val="100"/>
          <w:spacing w:val="0"/>
          <w:color w:val="000000"/>
          <w:position w:val="0"/>
        </w:rPr>
        <w:t>&gt; 0,30 с), завершенной левожелу</w:t>
        <w:softHyphen/>
        <w:t>дочковой дисфункцией и симптомами застойной сердечной недостаточности с более короткими ин</w:t>
        <w:softHyphen/>
        <w:t>тервалами АВ приводит к гемодинамическому улучшению.</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Прогрессирование к узловой АВ блокаде более высо</w:t>
        <w:softHyphen/>
        <w:t>кой степени.</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Снижение ударного объема левого желудочка и сер</w:t>
        <w:softHyphen/>
        <w:t>дечного выброса.</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Синдром искусственного водителя ритма.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Изолированная узловая АВ блокада первой степени не несет повышенного риска смерти.</w:t>
      </w:r>
    </w:p>
    <w:p>
      <w:pPr>
        <w:pStyle w:val="Style30"/>
        <w:numPr>
          <w:ilvl w:val="0"/>
          <w:numId w:val="163"/>
        </w:numPr>
        <w:tabs>
          <w:tab w:leader="none" w:pos="518" w:val="left"/>
        </w:tabs>
        <w:widowControl w:val="0"/>
        <w:keepNext w:val="0"/>
        <w:keepLines w:val="0"/>
        <w:shd w:val="clear" w:color="auto" w:fill="auto"/>
        <w:bidi w:val="0"/>
        <w:spacing w:before="0" w:after="242"/>
        <w:ind w:left="520" w:right="0" w:hanging="240"/>
      </w:pPr>
      <w:r>
        <w:rPr>
          <w:lang w:val="ru-RU" w:eastAsia="ru-RU" w:bidi="ru-RU"/>
          <w:w w:val="100"/>
          <w:spacing w:val="0"/>
          <w:color w:val="000000"/>
          <w:position w:val="0"/>
        </w:rPr>
        <w:t>У пациентов с узловой АВ блокадой первой степени и инфранодальными блокадами повышен риск про</w:t>
        <w:softHyphen/>
        <w:t>грессирования к полной АВ блокаде.</w:t>
      </w:r>
    </w:p>
    <w:p>
      <w:pPr>
        <w:pStyle w:val="Style28"/>
        <w:widowControl w:val="0"/>
        <w:keepNext/>
        <w:keepLines/>
        <w:shd w:val="clear" w:color="auto" w:fill="auto"/>
        <w:bidi w:val="0"/>
        <w:jc w:val="left"/>
        <w:spacing w:before="0" w:after="118" w:line="288" w:lineRule="exact"/>
        <w:ind w:left="0" w:right="1120" w:firstLine="0"/>
      </w:pPr>
      <w:bookmarkStart w:id="819" w:name="bookmark819"/>
      <w:r>
        <w:rPr>
          <w:lang w:val="ru-RU" w:eastAsia="ru-RU" w:bidi="ru-RU"/>
          <w:w w:val="100"/>
          <w:spacing w:val="0"/>
          <w:color w:val="000000"/>
          <w:position w:val="0"/>
        </w:rPr>
        <w:t>Атриовентрикулярная блокада II степени</w:t>
      </w:r>
      <w:bookmarkEnd w:id="819"/>
    </w:p>
    <w:p>
      <w:pPr>
        <w:pStyle w:val="Style92"/>
        <w:widowControl w:val="0"/>
        <w:keepNext/>
        <w:keepLines/>
        <w:shd w:val="clear" w:color="auto" w:fill="auto"/>
        <w:bidi w:val="0"/>
        <w:spacing w:before="0" w:after="0"/>
        <w:ind w:left="520" w:right="0" w:hanging="240"/>
      </w:pPr>
      <w:bookmarkStart w:id="820" w:name="bookmark820"/>
      <w:r>
        <w:rPr>
          <w:lang w:val="ru-RU" w:eastAsia="ru-RU" w:bidi="ru-RU"/>
          <w:w w:val="100"/>
          <w:spacing w:val="0"/>
          <w:color w:val="000000"/>
          <w:position w:val="0"/>
        </w:rPr>
        <w:t>Сведения общего характера</w:t>
      </w:r>
      <w:bookmarkEnd w:id="820"/>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Блокада сердца второй степени, или узловая атриовент</w:t>
        <w:softHyphen/>
        <w:t>рикулярная (АВ) блокада второй степени, относится к на</w:t>
        <w:softHyphen/>
        <w:br w:type="column"/>
        <w:t>рушению проводящей системы сердца, при котором волны Р не способны проводить к желудочку и генерировать ком</w:t>
        <w:softHyphen/>
        <w:t xml:space="preserve">плекс </w:t>
      </w:r>
      <w:r>
        <w:rPr>
          <w:lang w:val="en-US" w:eastAsia="en-US" w:bidi="en-US"/>
          <w:w w:val="100"/>
          <w:spacing w:val="0"/>
          <w:color w:val="000000"/>
          <w:position w:val="0"/>
        </w:rPr>
        <w:t xml:space="preserve">QRS. </w:t>
      </w:r>
      <w:r>
        <w:rPr>
          <w:lang w:val="ru-RU" w:eastAsia="ru-RU" w:bidi="ru-RU"/>
          <w:w w:val="100"/>
          <w:spacing w:val="0"/>
          <w:color w:val="000000"/>
          <w:position w:val="0"/>
        </w:rPr>
        <w:t>Узловая АВ блокада второй степени включает 2 типа: Мобитца I и Мобитца II.</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АВ блокада Мобитца I, или блокада Венкебаха, характе</w:t>
        <w:softHyphen/>
        <w:t xml:space="preserve">ризуется прогрессирующим удлинением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вы</w:t>
        <w:softHyphen/>
        <w:t xml:space="preserve">зывая прогрессивное укорочение интервала </w:t>
      </w:r>
      <w:r>
        <w:rPr>
          <w:lang w:val="en-US" w:eastAsia="en-US" w:bidi="en-US"/>
          <w:w w:val="100"/>
          <w:spacing w:val="0"/>
          <w:color w:val="000000"/>
          <w:position w:val="0"/>
        </w:rPr>
        <w:t xml:space="preserve">R-R, </w:t>
      </w:r>
      <w:r>
        <w:rPr>
          <w:lang w:val="ru-RU" w:eastAsia="ru-RU" w:bidi="ru-RU"/>
          <w:w w:val="100"/>
          <w:spacing w:val="0"/>
          <w:color w:val="000000"/>
          <w:position w:val="0"/>
        </w:rPr>
        <w:t>пока вол</w:t>
        <w:softHyphen/>
        <w:t>на Р не прекратит проводиться к желудочку.</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АВ блокада Мобитца II, или блокада Венкебаха, харак</w:t>
        <w:softHyphen/>
        <w:t xml:space="preserve">теризуется внезапной блокадой волн Р без вариации или пролонгации интервала </w:t>
      </w:r>
      <w:r>
        <w:rPr>
          <w:lang w:val="en-US" w:eastAsia="en-US" w:bidi="en-US"/>
          <w:w w:val="100"/>
          <w:spacing w:val="0"/>
          <w:color w:val="000000"/>
          <w:position w:val="0"/>
        </w:rPr>
        <w:t>PR.</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Блокада Мобитца </w:t>
      </w:r>
      <w:r>
        <w:rPr>
          <w:lang w:val="en-US" w:eastAsia="en-US" w:bidi="en-US"/>
          <w:w w:val="100"/>
          <w:spacing w:val="0"/>
          <w:color w:val="000000"/>
          <w:position w:val="0"/>
        </w:rPr>
        <w:t xml:space="preserve">I </w:t>
      </w:r>
      <w:r>
        <w:rPr>
          <w:lang w:val="ru-RU" w:eastAsia="ru-RU" w:bidi="ru-RU"/>
          <w:w w:val="100"/>
          <w:spacing w:val="0"/>
          <w:color w:val="000000"/>
          <w:position w:val="0"/>
        </w:rPr>
        <w:t xml:space="preserve">(Венкебаха) вызывается замедлением проводимости в АВ узле у 72% пациентов и замедлением проводимости в системе Гиса-Пуркинье у оставшихся 28%. Узкий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делает место замедления более похо</w:t>
        <w:softHyphen/>
        <w:t xml:space="preserve">жим на АВ узел. Блокада Венкебаха с широким комплексом </w:t>
      </w:r>
      <w:r>
        <w:rPr>
          <w:lang w:val="en-US" w:eastAsia="en-US" w:bidi="en-US"/>
          <w:w w:val="100"/>
          <w:spacing w:val="0"/>
          <w:color w:val="000000"/>
          <w:position w:val="0"/>
        </w:rPr>
        <w:t xml:space="preserve">QRS </w:t>
      </w:r>
      <w:r>
        <w:rPr>
          <w:lang w:val="ru-RU" w:eastAsia="ru-RU" w:bidi="ru-RU"/>
          <w:w w:val="100"/>
          <w:spacing w:val="0"/>
          <w:color w:val="000000"/>
          <w:position w:val="0"/>
        </w:rPr>
        <w:t>может быть следствием замедления проводимости АВ узла или инфранодальной проводимости.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Электрофизиологические исследования доказали, что блокада Мобитца </w:t>
      </w:r>
      <w:r>
        <w:rPr>
          <w:lang w:val="en-US" w:eastAsia="en-US" w:bidi="en-US"/>
          <w:w w:val="100"/>
          <w:spacing w:val="0"/>
          <w:color w:val="000000"/>
          <w:position w:val="0"/>
        </w:rPr>
        <w:t xml:space="preserve">II </w:t>
      </w:r>
      <w:r>
        <w:rPr>
          <w:lang w:val="ru-RU" w:eastAsia="ru-RU" w:bidi="ru-RU"/>
          <w:w w:val="100"/>
          <w:spacing w:val="0"/>
          <w:color w:val="000000"/>
          <w:position w:val="0"/>
        </w:rPr>
        <w:t>является следствием замедления про</w:t>
        <w:softHyphen/>
        <w:t>водимости инфранодальной системы Гиса-Пуркинье.</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Частота АВ блокады второй степени составляет 0,003%. Более высокие значения (2,4%) отмечаются у тренированных спортсменов, проходящих рутин</w:t>
        <w:softHyphen/>
        <w:t>ную ЭКГ.</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Блокада Мобитца I (Венкебаха):</w:t>
      </w:r>
    </w:p>
    <w:p>
      <w:pPr>
        <w:pStyle w:val="Style30"/>
        <w:numPr>
          <w:ilvl w:val="0"/>
          <w:numId w:val="163"/>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Большинство пациентов бессимптомны.</w:t>
      </w:r>
    </w:p>
    <w:p>
      <w:pPr>
        <w:pStyle w:val="Style30"/>
        <w:numPr>
          <w:ilvl w:val="0"/>
          <w:numId w:val="163"/>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Пациенты могут испытывать головокружение, об</w:t>
        <w:softHyphen/>
        <w:t>морочные состояния, но эти явления отмечаются редко.</w:t>
      </w:r>
    </w:p>
    <w:p>
      <w:pPr>
        <w:pStyle w:val="Style30"/>
        <w:numPr>
          <w:ilvl w:val="0"/>
          <w:numId w:val="163"/>
        </w:numPr>
        <w:tabs>
          <w:tab w:leader="none" w:pos="735"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У пациентов могут быть симптомы ишемии мио</w:t>
        <w:softHyphen/>
        <w:t>карда или миокардита.</w:t>
      </w:r>
    </w:p>
    <w:p>
      <w:pPr>
        <w:pStyle w:val="Style30"/>
        <w:numPr>
          <w:ilvl w:val="0"/>
          <w:numId w:val="163"/>
        </w:numPr>
        <w:tabs>
          <w:tab w:leader="none" w:pos="735" w:val="left"/>
        </w:tabs>
        <w:widowControl w:val="0"/>
        <w:keepNext w:val="0"/>
        <w:keepLines w:val="0"/>
        <w:shd w:val="clear" w:color="auto" w:fill="auto"/>
        <w:bidi w:val="0"/>
        <w:spacing w:before="0" w:after="0"/>
        <w:ind w:left="740" w:right="0" w:hanging="240"/>
      </w:pPr>
      <w:r>
        <w:pict>
          <v:shape id="_x0000_s1845" type="#_x0000_t75" style="position:absolute;margin-left:148.1pt;margin-top:738.25pt;width:209.75pt;height:14.9pt;z-index:-125828794;mso-wrap-distance-left:147.85pt;mso-wrap-distance-right:136.55pt;mso-wrap-distance-bottom:10.8pt;mso-position-horizontal-relative:margin;mso-position-vertical-relative:margin" wrapcoords="0 0 21600 0 21600 21600 0 21600 0 0">
            <v:imagedata r:id="rId1324" r:href="rId1325"/>
            <w10:wrap type="topAndBottom" anchorx="margin" anchory="margin"/>
          </v:shape>
        </w:pict>
      </w:r>
      <w:r>
        <w:rPr>
          <w:lang w:val="ru-RU" w:eastAsia="ru-RU" w:bidi="ru-RU"/>
          <w:w w:val="100"/>
          <w:spacing w:val="0"/>
          <w:color w:val="000000"/>
          <w:position w:val="0"/>
        </w:rPr>
        <w:t>У пациентов может быть органическое заболева</w:t>
        <w:softHyphen/>
        <w:t>ние сердца в анамнезе.</w:t>
      </w:r>
      <w:r>
        <w:br w:type="page"/>
      </w:r>
    </w:p>
    <w:p>
      <w:pPr>
        <w:pStyle w:val="Style30"/>
        <w:widowControl w:val="0"/>
        <w:keepNext w:val="0"/>
        <w:keepLines w:val="0"/>
        <w:shd w:val="clear" w:color="auto" w:fill="auto"/>
        <w:bidi w:val="0"/>
        <w:spacing w:before="0" w:after="0"/>
        <w:ind w:left="280" w:right="0" w:hanging="280"/>
      </w:pPr>
      <w:r>
        <w:pict>
          <v:shape id="_x0000_s1846" type="#_x0000_t202" style="position:absolute;margin-left:391.1pt;margin-top:11.5pt;width:97.2pt;height:50.85pt;z-index:-125828793;mso-wrap-distance-left:5.pt;mso-wrap-distance-right: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22"/>
                    </w:rPr>
                    <w:t xml:space="preserve">Рис. 101. </w:t>
                  </w:r>
                  <w:r>
                    <w:rPr>
                      <w:rStyle w:val="CharStyle121"/>
                    </w:rPr>
                    <w:t>Электрокардио</w:t>
                    <w:softHyphen/>
                    <w:t>грамма при атриовентри</w:t>
                    <w:softHyphen/>
                    <w:t>кулярной блокаде II сте</w:t>
                    <w:softHyphen/>
                    <w:t>пени Мобитц I (Венкеба- ха) с соотношением 4:3.</w:t>
                  </w:r>
                </w:p>
              </w:txbxContent>
            </v:textbox>
            <w10:wrap type="topAndBottom" anchorx="margin" anchory="margin"/>
          </v:shape>
        </w:pict>
      </w:r>
      <w:r>
        <w:pict>
          <v:shape id="_x0000_s1847" type="#_x0000_t75" style="position:absolute;margin-left:-1.8pt;margin-top:3.6pt;width:370.55pt;height:132.5pt;z-index:-125828792;mso-wrap-distance-left:5.pt;mso-wrap-distance-right:5.pt;mso-position-horizontal-relative:margin;mso-position-vertical-relative:margin">
            <v:imagedata r:id="rId1326" r:href="rId1327"/>
            <w10:wrap type="topAndBottom" anchorx="margin" anchory="margin"/>
          </v:shape>
        </w:pict>
      </w:r>
      <w:r>
        <w:rPr>
          <w:lang w:val="ru-RU" w:eastAsia="ru-RU" w:bidi="ru-RU"/>
          <w:w w:val="100"/>
          <w:spacing w:val="0"/>
          <w:color w:val="000000"/>
          <w:position w:val="0"/>
        </w:rPr>
        <w:t>Блокада Мобитца II:</w:t>
      </w:r>
    </w:p>
    <w:p>
      <w:pPr>
        <w:pStyle w:val="Style30"/>
        <w:numPr>
          <w:ilvl w:val="0"/>
          <w:numId w:val="163"/>
        </w:numPr>
        <w:tabs>
          <w:tab w:leader="none" w:pos="59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Пациенты могут быть бессимптомными, но они более подвержены развитию таких состояний, как головокружения, обмороки или потеря сознания.</w:t>
      </w:r>
    </w:p>
    <w:p>
      <w:pPr>
        <w:pStyle w:val="Style30"/>
        <w:numPr>
          <w:ilvl w:val="0"/>
          <w:numId w:val="163"/>
        </w:numPr>
        <w:tabs>
          <w:tab w:leader="none" w:pos="59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 пациентов может быть органическое заболева</w:t>
        <w:softHyphen/>
        <w:t>ние сердца в анамнезе.</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Физикальные данные</w:t>
      </w:r>
    </w:p>
    <w:p>
      <w:pPr>
        <w:pStyle w:val="Style30"/>
        <w:numPr>
          <w:ilvl w:val="0"/>
          <w:numId w:val="1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пациентов может быть нерегулярный сердечный ритм, часто с сопутствующей брадикардией, но других проявлений результаты обследования не выявляют .</w:t>
      </w:r>
    </w:p>
    <w:p>
      <w:pPr>
        <w:pStyle w:val="Style30"/>
        <w:numPr>
          <w:ilvl w:val="0"/>
          <w:numId w:val="1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симптоматических пациентов могут быть признаки гипоперфузии, включая гипотензию и изменения со</w:t>
        <w:softHyphen/>
        <w:t>знания.</w:t>
      </w:r>
    </w:p>
    <w:p>
      <w:pPr>
        <w:pStyle w:val="Style30"/>
        <w:numPr>
          <w:ilvl w:val="0"/>
          <w:numId w:val="1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пациентов с сопутствующим инфарктом миокарда (ИМ) могут быть признаки, связанные с острым ИМ.</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Причины</w:t>
      </w:r>
    </w:p>
    <w:p>
      <w:pPr>
        <w:pStyle w:val="Style30"/>
        <w:numPr>
          <w:ilvl w:val="0"/>
          <w:numId w:val="1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Блокада Мобитца I может быть вызвана острым ниж</w:t>
        <w:softHyphen/>
        <w:t>ним ИМ, состояниями стимуляции блуждающего не</w:t>
        <w:softHyphen/>
        <w:t>рва или токсичностью, связанной с препаратами на</w:t>
        <w:softHyphen/>
        <w:t>перстянки, бета-блокаторами или блокаторами каль</w:t>
        <w:softHyphen/>
        <w:t>циевых каналов.</w:t>
      </w:r>
    </w:p>
    <w:p>
      <w:pPr>
        <w:pStyle w:val="Style30"/>
        <w:numPr>
          <w:ilvl w:val="0"/>
          <w:numId w:val="1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Причиной блокады Мобитца II обычно являются ост</w:t>
        <w:softHyphen/>
        <w:t>рый ИМ (передний или нижний), кардиосклероз, деге</w:t>
        <w:softHyphen/>
        <w:t>неративные поражения проводящей системы сердца.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Лабораторные исследования</w:t>
      </w:r>
    </w:p>
    <w:p>
      <w:pPr>
        <w:pStyle w:val="Style30"/>
        <w:numPr>
          <w:ilvl w:val="0"/>
          <w:numId w:val="1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Можно проверить электролиты сыворотки крови, кроме того, пациентам, принимающим дигоксин, по</w:t>
        <w:softHyphen/>
        <w:t>казана проверка уровня дигоксина.</w:t>
      </w:r>
    </w:p>
    <w:p>
      <w:pPr>
        <w:pStyle w:val="Style30"/>
        <w:numPr>
          <w:ilvl w:val="0"/>
          <w:numId w:val="163"/>
        </w:numPr>
        <w:tabs>
          <w:tab w:leader="none" w:pos="236"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Исследование сердечных ферментов показано любо</w:t>
        <w:softHyphen/>
        <w:t>му пациенту с подозрением на ишемию миокарда, особенно пациентам с блокадой II типа.</w:t>
      </w:r>
    </w:p>
    <w:p>
      <w:pPr>
        <w:pStyle w:val="Style30"/>
        <w:widowControl w:val="0"/>
        <w:keepNext w:val="0"/>
        <w:keepLines w:val="0"/>
        <w:shd w:val="clear" w:color="auto" w:fill="auto"/>
        <w:bidi w:val="0"/>
        <w:jc w:val="left"/>
        <w:spacing w:before="0" w:after="0"/>
        <w:ind w:left="0" w:right="1920" w:firstLine="0"/>
      </w:pPr>
      <w:r>
        <w:rPr>
          <w:lang w:val="ru-RU" w:eastAsia="ru-RU" w:bidi="ru-RU"/>
          <w:w w:val="100"/>
          <w:spacing w:val="0"/>
          <w:color w:val="000000"/>
          <w:position w:val="0"/>
        </w:rPr>
        <w:t>Инструментальная диагностика Электрокардиография (рис. 101):</w:t>
      </w:r>
    </w:p>
    <w:p>
      <w:pPr>
        <w:pStyle w:val="Style30"/>
        <w:numPr>
          <w:ilvl w:val="0"/>
          <w:numId w:val="163"/>
        </w:numPr>
        <w:tabs>
          <w:tab w:leader="none" w:pos="591"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Электрокардиограмма при типе Мобитц I (Венке- баха):</w:t>
      </w:r>
    </w:p>
    <w:p>
      <w:pPr>
        <w:pStyle w:val="Style30"/>
        <w:numPr>
          <w:ilvl w:val="0"/>
          <w:numId w:val="165"/>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первый интервал </w:t>
      </w:r>
      <w:r>
        <w:rPr>
          <w:lang w:val="en-US" w:eastAsia="en-US" w:bidi="en-US"/>
          <w:w w:val="100"/>
          <w:spacing w:val="0"/>
          <w:color w:val="000000"/>
          <w:position w:val="0"/>
        </w:rPr>
        <w:t xml:space="preserve">P-R </w:t>
      </w:r>
      <w:r>
        <w:rPr>
          <w:lang w:val="ru-RU" w:eastAsia="ru-RU" w:bidi="ru-RU"/>
          <w:w w:val="100"/>
          <w:spacing w:val="0"/>
          <w:color w:val="000000"/>
          <w:position w:val="0"/>
        </w:rPr>
        <w:t>Венкебаха самый корот</w:t>
        <w:softHyphen/>
        <w:t>кий;</w:t>
      </w:r>
    </w:p>
    <w:p>
      <w:pPr>
        <w:pStyle w:val="Style30"/>
        <w:numPr>
          <w:ilvl w:val="0"/>
          <w:numId w:val="165"/>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прогрессивное увеличение интервала </w:t>
      </w:r>
      <w:r>
        <w:rPr>
          <w:lang w:val="en-US" w:eastAsia="en-US" w:bidi="en-US"/>
          <w:w w:val="100"/>
          <w:spacing w:val="0"/>
          <w:color w:val="000000"/>
          <w:position w:val="0"/>
        </w:rPr>
        <w:t xml:space="preserve">PR </w:t>
      </w:r>
      <w:r>
        <w:rPr>
          <w:lang w:val="ru-RU" w:eastAsia="ru-RU" w:bidi="ru-RU"/>
          <w:w w:val="100"/>
          <w:spacing w:val="0"/>
          <w:color w:val="000000"/>
          <w:position w:val="0"/>
        </w:rPr>
        <w:t>(фено</w:t>
        <w:softHyphen/>
        <w:t xml:space="preserve">мен Венкебаха) с выпадением в конце периода (полный блок) одного комплекса </w:t>
      </w:r>
      <w:r>
        <w:rPr>
          <w:lang w:val="en-US" w:eastAsia="en-US" w:bidi="en-US"/>
          <w:w w:val="100"/>
          <w:spacing w:val="0"/>
          <w:color w:val="000000"/>
          <w:position w:val="0"/>
        </w:rPr>
        <w:t>QRS4;</w:t>
      </w:r>
    </w:p>
    <w:p>
      <w:pPr>
        <w:pStyle w:val="Style30"/>
        <w:numPr>
          <w:ilvl w:val="0"/>
          <w:numId w:val="165"/>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при атипичных вариантах последовательность удлинения интервалов </w:t>
      </w:r>
      <w:r>
        <w:rPr>
          <w:lang w:val="en-US" w:eastAsia="en-US" w:bidi="en-US"/>
          <w:w w:val="100"/>
          <w:spacing w:val="0"/>
          <w:color w:val="000000"/>
          <w:position w:val="0"/>
        </w:rPr>
        <w:t xml:space="preserve">PR </w:t>
      </w:r>
      <w:r>
        <w:rPr>
          <w:lang w:val="ru-RU" w:eastAsia="ru-RU" w:bidi="ru-RU"/>
          <w:w w:val="100"/>
          <w:spacing w:val="0"/>
          <w:color w:val="000000"/>
          <w:position w:val="0"/>
        </w:rPr>
        <w:t>может быть нарушена;</w:t>
      </w:r>
    </w:p>
    <w:p>
      <w:pPr>
        <w:pStyle w:val="Style30"/>
        <w:numPr>
          <w:ilvl w:val="0"/>
          <w:numId w:val="165"/>
        </w:numPr>
        <w:tabs>
          <w:tab w:leader="none" w:pos="71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у детей чаще всего периодика Венкебаха пред</w:t>
        <w:softHyphen/>
        <w:t>ставлена соотношениями 3:2, 4:3, 5:4. Иногда же</w:t>
        <w:softHyphen/>
        <w:t>лудочковые комплексы в периодике могут стано</w:t>
        <w:softHyphen/>
        <w:br w:type="column"/>
        <w:t>виться аберрантными, что связано с рефрактерно- стью ножек пучка Гиса.</w:t>
      </w:r>
    </w:p>
    <w:p>
      <w:pPr>
        <w:pStyle w:val="Style30"/>
        <w:numPr>
          <w:ilvl w:val="0"/>
          <w:numId w:val="16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Электрокардиограмма при типе Мобитц II (рис. 102):</w:t>
      </w:r>
    </w:p>
    <w:p>
      <w:pPr>
        <w:pStyle w:val="Style30"/>
        <w:numPr>
          <w:ilvl w:val="0"/>
          <w:numId w:val="165"/>
        </w:numPr>
        <w:tabs>
          <w:tab w:leader="none" w:pos="698"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в проведенных сокращениях интервал </w:t>
      </w:r>
      <w:r>
        <w:rPr>
          <w:lang w:val="en-US" w:eastAsia="en-US" w:bidi="en-US"/>
          <w:w w:val="100"/>
          <w:spacing w:val="0"/>
          <w:color w:val="000000"/>
          <w:position w:val="0"/>
        </w:rPr>
        <w:t xml:space="preserve">P-R </w:t>
      </w:r>
      <w:r>
        <w:rPr>
          <w:lang w:val="ru-RU" w:eastAsia="ru-RU" w:bidi="ru-RU"/>
          <w:w w:val="100"/>
          <w:spacing w:val="0"/>
          <w:color w:val="000000"/>
          <w:position w:val="0"/>
        </w:rPr>
        <w:t>по</w:t>
        <w:softHyphen/>
        <w:t>стоянный (нормальный или удлиненный);</w:t>
      </w:r>
    </w:p>
    <w:p>
      <w:pPr>
        <w:pStyle w:val="Style30"/>
        <w:numPr>
          <w:ilvl w:val="0"/>
          <w:numId w:val="165"/>
        </w:numPr>
        <w:tabs>
          <w:tab w:leader="none" w:pos="707"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отношение числа зубцов Р к числу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может быть постоянным или переменным (2:1, 3:2, 4, 3 итд.);</w:t>
      </w:r>
    </w:p>
    <w:p>
      <w:pPr>
        <w:pStyle w:val="Style30"/>
        <w:numPr>
          <w:ilvl w:val="0"/>
          <w:numId w:val="165"/>
        </w:numPr>
        <w:tabs>
          <w:tab w:leader="none" w:pos="702" w:val="left"/>
        </w:tabs>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 xml:space="preserve">комплекс </w:t>
      </w:r>
      <w:r>
        <w:rPr>
          <w:lang w:val="en-US" w:eastAsia="en-US" w:bidi="en-US"/>
          <w:w w:val="100"/>
          <w:spacing w:val="0"/>
          <w:color w:val="000000"/>
          <w:position w:val="0"/>
        </w:rPr>
        <w:t xml:space="preserve">QRS </w:t>
      </w:r>
      <w:r>
        <w:rPr>
          <w:lang w:val="ru-RU" w:eastAsia="ru-RU" w:bidi="ru-RU"/>
          <w:w w:val="100"/>
          <w:spacing w:val="0"/>
          <w:color w:val="000000"/>
          <w:position w:val="0"/>
        </w:rPr>
        <w:t>может быть нормальным или аберрантным.</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Доврачебная помощь</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Блокада сердца второй степени не требует специфиче - ской доврачебной терапии, если только у пациента нет симптомов возникающей в результате брадикардии.</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Следуйте стандартным усовершенствованным реко</w:t>
        <w:softHyphen/>
        <w:t>мендациям по обеспечению и поддержке сердечной де</w:t>
        <w:softHyphen/>
        <w:t>ятельности у пациентов с брадикардией, включая при</w:t>
        <w:softHyphen/>
        <w:t>менение атропина и чрескожную кардиостимуляцию.</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Отделение неотложной помощи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Блокада Мобитца I (Венкебаха):</w:t>
      </w:r>
    </w:p>
    <w:p>
      <w:pPr>
        <w:pStyle w:val="Style30"/>
        <w:numPr>
          <w:ilvl w:val="0"/>
          <w:numId w:val="16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Какой-либо специфической неотложной терапии не требуется.</w:t>
      </w:r>
    </w:p>
    <w:p>
      <w:pPr>
        <w:pStyle w:val="Style30"/>
        <w:numPr>
          <w:ilvl w:val="0"/>
          <w:numId w:val="16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Лечите пациентов, у которых имеется ассоцииро</w:t>
        <w:softHyphen/>
        <w:t>ванная ишемия миокарда, при помощи противо</w:t>
        <w:softHyphen/>
        <w:t>ишемических препаратов.</w:t>
      </w:r>
    </w:p>
    <w:p>
      <w:pPr>
        <w:pStyle w:val="Style30"/>
        <w:numPr>
          <w:ilvl w:val="0"/>
          <w:numId w:val="16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Исключить вещества, оказывающие действие на АВ узел.</w:t>
      </w:r>
    </w:p>
    <w:p>
      <w:pPr>
        <w:pStyle w:val="Style30"/>
        <w:numPr>
          <w:ilvl w:val="0"/>
          <w:numId w:val="16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Лечите пациентов, у которых имеется симптома - тическая брадикардия, при помощи атропина и чрескожного электрокардиостимулятора в соот</w:t>
        <w:softHyphen/>
        <w:t>ветствии со стандартными рекомендациями.</w:t>
      </w:r>
    </w:p>
    <w:p>
      <w:pPr>
        <w:pStyle w:val="Style30"/>
        <w:numPr>
          <w:ilvl w:val="0"/>
          <w:numId w:val="16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Относитесь с большой осторожностью к введению атропина пациентам с подозрением на острый ИМ, так как были сообщения, что атропин прово</w:t>
        <w:softHyphen/>
        <w:t>цирует желудочковую тахикардию или мерцание желудочков в такой ситуации.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Блокада Мобитца </w:t>
      </w:r>
      <w:r>
        <w:rPr>
          <w:lang w:val="en-US" w:eastAsia="en-US" w:bidi="en-US"/>
          <w:w w:val="100"/>
          <w:spacing w:val="0"/>
          <w:color w:val="000000"/>
          <w:position w:val="0"/>
        </w:rPr>
        <w:t>II:</w:t>
      </w:r>
    </w:p>
    <w:p>
      <w:pPr>
        <w:pStyle w:val="Style30"/>
        <w:numPr>
          <w:ilvl w:val="0"/>
          <w:numId w:val="16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У пациентов может быть органическое заболева</w:t>
        <w:softHyphen/>
        <w:t>ние сердца в анамнезе.</w:t>
      </w:r>
    </w:p>
    <w:p>
      <w:pPr>
        <w:pStyle w:val="Style30"/>
        <w:numPr>
          <w:ilvl w:val="0"/>
          <w:numId w:val="163"/>
        </w:numPr>
        <w:tabs>
          <w:tab w:leader="none" w:pos="496"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Требуются более агрессивные неотложные терапе</w:t>
        <w:softHyphen/>
        <w:t>втические мероприятия.</w:t>
      </w:r>
    </w:p>
    <w:p>
      <w:pPr>
        <w:pStyle w:val="Style30"/>
        <w:numPr>
          <w:ilvl w:val="0"/>
          <w:numId w:val="163"/>
        </w:numPr>
        <w:tabs>
          <w:tab w:leader="none" w:pos="496" w:val="left"/>
        </w:tabs>
        <w:widowControl w:val="0"/>
        <w:keepNext w:val="0"/>
        <w:keepLines w:val="0"/>
        <w:shd w:val="clear" w:color="auto" w:fill="auto"/>
        <w:bidi w:val="0"/>
        <w:spacing w:before="0" w:after="0"/>
        <w:ind w:left="500" w:right="0" w:hanging="240"/>
      </w:pPr>
      <w:r>
        <w:pict>
          <v:shape id="_x0000_s1848" type="#_x0000_t75" style="position:absolute;margin-left:130.9pt;margin-top:738.25pt;width:209.75pt;height:14.9pt;z-index:-125828791;mso-wrap-distance-left:124.8pt;mso-wrap-distance-right:147.85pt;mso-wrap-distance-bottom:10.8pt;mso-position-horizontal-relative:margin;mso-position-vertical-relative:margin" wrapcoords="0 0 21600 0 21600 21600 0 21600 0 0">
            <v:imagedata r:id="rId1328" r:href="rId1329"/>
            <w10:wrap type="topAndBottom" anchorx="margin" anchory="margin"/>
          </v:shape>
        </w:pict>
      </w:r>
      <w:r>
        <w:rPr>
          <w:lang w:val="ru-RU" w:eastAsia="ru-RU" w:bidi="ru-RU"/>
          <w:w w:val="100"/>
          <w:spacing w:val="0"/>
          <w:color w:val="000000"/>
          <w:position w:val="0"/>
        </w:rPr>
        <w:t>Исключить вещества, действующие на АВ узел, и при необходимости начать противоишемичес</w:t>
        <w:softHyphen/>
        <w:t>кую терапию.</w:t>
      </w:r>
      <w:r>
        <w:br w:type="page"/>
      </w:r>
    </w:p>
    <w:p>
      <w:pPr>
        <w:pStyle w:val="Style30"/>
        <w:numPr>
          <w:ilvl w:val="0"/>
          <w:numId w:val="163"/>
        </w:numPr>
        <w:tabs>
          <w:tab w:leader="none" w:pos="740" w:val="left"/>
        </w:tabs>
        <w:widowControl w:val="0"/>
        <w:keepNext w:val="0"/>
        <w:keepLines w:val="0"/>
        <w:shd w:val="clear" w:color="auto" w:fill="auto"/>
        <w:bidi w:val="0"/>
        <w:spacing w:before="0" w:after="0"/>
        <w:ind w:left="720" w:right="0" w:hanging="220"/>
      </w:pPr>
      <w:r>
        <w:pict>
          <v:shape id="_x0000_s1849" type="#_x0000_t202" style="position:absolute;margin-left:-0.1pt;margin-top:14.65pt;width:146.4pt;height:41.25pt;z-index:-125828790;mso-wrap-distance-left:5.pt;mso-wrap-distance-right: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22"/>
                    </w:rPr>
                    <w:t xml:space="preserve">Рис. 102. </w:t>
                  </w:r>
                  <w:r>
                    <w:rPr>
                      <w:rStyle w:val="CharStyle121"/>
                    </w:rPr>
                    <w:t>Атриовентрикулярная блокада II степени (Мобитц II) 2:1; на сокраще</w:t>
                    <w:softHyphen/>
                    <w:t>ния предсердий приходится одно сокра</w:t>
                    <w:softHyphen/>
                    <w:t>щение желудочков.</w:t>
                  </w:r>
                </w:p>
              </w:txbxContent>
            </v:textbox>
            <w10:wrap type="topAndBottom" anchorx="margin" anchory="margin"/>
          </v:shape>
        </w:pict>
      </w:r>
      <w:r>
        <w:pict>
          <v:shape id="_x0000_s1850" type="#_x0000_t75" style="position:absolute;margin-left:175.8pt;margin-top:6.25pt;width:316.8pt;height:171.85pt;z-index:-125828789;mso-wrap-distance-left:5.pt;mso-wrap-distance-right:5.pt;mso-position-horizontal-relative:margin;mso-position-vertical-relative:margin">
            <v:imagedata r:id="rId1330" r:href="rId1331"/>
            <w10:wrap type="topAndBottom" anchorx="margin" anchory="margin"/>
          </v:shape>
        </w:pict>
      </w:r>
      <w:r>
        <w:rPr>
          <w:lang w:val="ru-RU" w:eastAsia="ru-RU" w:bidi="ru-RU"/>
          <w:w w:val="100"/>
          <w:spacing w:val="0"/>
          <w:color w:val="000000"/>
          <w:position w:val="0"/>
        </w:rPr>
        <w:t>Наложить и проверить накладки для чрескожной кардиостимуляции даже у бессимптомных паци</w:t>
        <w:softHyphen/>
        <w:t>ентов; у пациентов с блокадой Мобитца II имеется склонность к прогрессированию к полной блокаде сердца.</w:t>
      </w:r>
    </w:p>
    <w:p>
      <w:pPr>
        <w:pStyle w:val="Style30"/>
        <w:numPr>
          <w:ilvl w:val="0"/>
          <w:numId w:val="163"/>
        </w:numPr>
        <w:tabs>
          <w:tab w:leader="none" w:pos="74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Неотложная кардиологическая консультация по</w:t>
        <w:softHyphen/>
        <w:t>казана пациентам с симптомами, а также пациен</w:t>
        <w:softHyphen/>
        <w:t>там с неудачной чрескожной кардиостимуляцией; этим пациентам может потребоваться установка временного чрезвенозного проводника кардиости</w:t>
        <w:softHyphen/>
        <w:t>мулятора.</w:t>
      </w:r>
    </w:p>
    <w:p>
      <w:pPr>
        <w:pStyle w:val="Style30"/>
        <w:numPr>
          <w:ilvl w:val="0"/>
          <w:numId w:val="163"/>
        </w:numPr>
        <w:tabs>
          <w:tab w:leader="none" w:pos="740" w:val="left"/>
        </w:tabs>
        <w:widowControl w:val="0"/>
        <w:keepNext w:val="0"/>
        <w:keepLines w:val="0"/>
        <w:shd w:val="clear" w:color="auto" w:fill="auto"/>
        <w:bidi w:val="0"/>
        <w:spacing w:before="0" w:after="0"/>
        <w:ind w:left="720" w:right="0" w:hanging="220"/>
      </w:pPr>
      <w:r>
        <w:rPr>
          <w:lang w:val="ru-RU" w:eastAsia="ru-RU" w:bidi="ru-RU"/>
          <w:w w:val="100"/>
          <w:spacing w:val="0"/>
          <w:color w:val="000000"/>
          <w:position w:val="0"/>
        </w:rPr>
        <w:t xml:space="preserve">Пациентов с признаками нестабильности сердца также можно лечить атропином, хотя вряд ли это окажется успешным при блокаде Мобитца </w:t>
      </w:r>
      <w:r>
        <w:rPr>
          <w:lang w:val="en-US" w:eastAsia="en-US" w:bidi="en-US"/>
          <w:w w:val="100"/>
          <w:spacing w:val="0"/>
          <w:color w:val="000000"/>
          <w:position w:val="0"/>
        </w:rPr>
        <w:t xml:space="preserve">II. </w:t>
      </w:r>
      <w:r>
        <w:rPr>
          <w:lang w:val="ru-RU" w:eastAsia="ru-RU" w:bidi="ru-RU"/>
          <w:w w:val="100"/>
          <w:spacing w:val="0"/>
          <w:color w:val="000000"/>
          <w:position w:val="0"/>
        </w:rPr>
        <w:t>При назначении атропина при подозрении на острый ИМ следует соблюдать большую осторож</w:t>
        <w:softHyphen/>
        <w:t>ность.</w:t>
      </w:r>
    </w:p>
    <w:p>
      <w:pPr>
        <w:pStyle w:val="Style30"/>
        <w:numPr>
          <w:ilvl w:val="0"/>
          <w:numId w:val="163"/>
        </w:numPr>
        <w:tabs>
          <w:tab w:leader="none" w:pos="740" w:val="left"/>
        </w:tabs>
        <w:widowControl w:val="0"/>
        <w:keepNext w:val="0"/>
        <w:keepLines w:val="0"/>
        <w:shd w:val="clear" w:color="auto" w:fill="auto"/>
        <w:bidi w:val="0"/>
        <w:spacing w:before="0" w:after="237"/>
        <w:ind w:left="720" w:right="0" w:hanging="220"/>
      </w:pPr>
      <w:r>
        <w:rPr>
          <w:lang w:val="ru-RU" w:eastAsia="ru-RU" w:bidi="ru-RU"/>
          <w:w w:val="100"/>
          <w:spacing w:val="0"/>
          <w:color w:val="000000"/>
          <w:position w:val="0"/>
        </w:rPr>
        <w:t>Следует провести рентгенографию грудной клетки для подтверждения правильности размещения проводника для внутривенной кардиостимуляции и исключения осложнений проведенной процеду</w:t>
        <w:softHyphen/>
        <w:t>ры, включая пневмоторакс и гемоторакс.</w:t>
      </w:r>
    </w:p>
    <w:p>
      <w:pPr>
        <w:pStyle w:val="Style28"/>
        <w:widowControl w:val="0"/>
        <w:keepNext/>
        <w:keepLines/>
        <w:shd w:val="clear" w:color="auto" w:fill="auto"/>
        <w:bidi w:val="0"/>
        <w:jc w:val="left"/>
        <w:spacing w:before="0" w:after="153" w:line="220" w:lineRule="exact"/>
        <w:ind w:left="0" w:right="0" w:firstLine="0"/>
      </w:pPr>
      <w:bookmarkStart w:id="821" w:name="bookmark821"/>
      <w:r>
        <w:rPr>
          <w:lang w:val="ru-RU" w:eastAsia="ru-RU" w:bidi="ru-RU"/>
          <w:w w:val="100"/>
          <w:spacing w:val="0"/>
          <w:color w:val="000000"/>
          <w:position w:val="0"/>
        </w:rPr>
        <w:t>Полная атриовентрикулярная блокада</w:t>
      </w:r>
      <w:bookmarkEnd w:id="821"/>
    </w:p>
    <w:p>
      <w:pPr>
        <w:pStyle w:val="Style92"/>
        <w:widowControl w:val="0"/>
        <w:keepNext/>
        <w:keepLines/>
        <w:shd w:val="clear" w:color="auto" w:fill="auto"/>
        <w:bidi w:val="0"/>
        <w:spacing w:before="0" w:after="0"/>
        <w:ind w:left="500" w:right="0" w:hanging="240"/>
      </w:pPr>
      <w:bookmarkStart w:id="822" w:name="bookmark822"/>
      <w:r>
        <w:rPr>
          <w:lang w:val="ru-RU" w:eastAsia="ru-RU" w:bidi="ru-RU"/>
          <w:w w:val="100"/>
          <w:spacing w:val="0"/>
          <w:color w:val="000000"/>
          <w:position w:val="0"/>
        </w:rPr>
        <w:t>Введение</w:t>
      </w:r>
      <w:bookmarkEnd w:id="822"/>
    </w:p>
    <w:p>
      <w:pPr>
        <w:pStyle w:val="Style30"/>
        <w:numPr>
          <w:ilvl w:val="0"/>
          <w:numId w:val="16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полной (поперечной) атриовентрикулярной блокаде ни один из предсердных импульсов не про</w:t>
        <w:softHyphen/>
        <w:t>водится на желудочки, предсердия функционируют вне зависимости от желудочков, обычно с большей частотой, однако может иметь место атриовентрику</w:t>
        <w:softHyphen/>
        <w:t>лярная (АВ) диссоциация, когда частота желудочко</w:t>
        <w:softHyphen/>
        <w:t>вых сокращений выше, чем предсердных. Последняя наблюдается при выраженной синусовой (предсерд</w:t>
        <w:softHyphen/>
        <w:t>ной) брадикардии или ускоренном узловом ритме. Если частота предсердных и желудочковых сокраще</w:t>
        <w:softHyphen/>
        <w:t>ний одинакова, то диагностировать поперечную бло</w:t>
        <w:softHyphen/>
        <w:t>каду можно при длительной регистрации ЭКГ, когда возникает период несоответствия предсердных и же</w:t>
        <w:softHyphen/>
        <w:t>лудочковых активаций, или при электрофизиологи</w:t>
        <w:softHyphen/>
        <w:t>ческом исследовании.</w:t>
      </w:r>
    </w:p>
    <w:p>
      <w:pPr>
        <w:pStyle w:val="Style30"/>
        <w:numPr>
          <w:ilvl w:val="0"/>
          <w:numId w:val="16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Полная атриовентрикулярная блокада у детей являет</w:t>
        <w:softHyphen/>
        <w:t>ся важным разделом детской кардиологии. Многие</w:t>
        <w:br w:type="column"/>
        <w:t>педиатры и кардиологи до настоящего времени не ос</w:t>
        <w:softHyphen/>
        <w:t>ведомлены о происхождении данного заболевания, тактике ведения больных и своевременности терапе</w:t>
        <w:softHyphen/>
        <w:t>втического и хирургического лечения.</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Дети с полными атриовентрикулярными блокадами, независимо от причины, являются угрожаемыми по развитию синкопальных состояний и внезапной сер</w:t>
        <w:softHyphen/>
        <w:t>дечной смерти из-за жизнеугрожающих бради- и та</w:t>
        <w:softHyphen/>
        <w:t>хиаритмий, приводящих к неадекватному сердечно - му выбросу и нарушению мозгового кровообраще</w:t>
        <w:softHyphen/>
        <w:t>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Краткая историческая справка</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Первое описание полной атриовентрикулярной бло</w:t>
        <w:softHyphen/>
        <w:t xml:space="preserve">кады: принадлежит </w:t>
      </w:r>
      <w:r>
        <w:rPr>
          <w:lang w:val="en-US" w:eastAsia="en-US" w:bidi="en-US"/>
          <w:w w:val="100"/>
          <w:spacing w:val="0"/>
          <w:color w:val="000000"/>
          <w:position w:val="0"/>
        </w:rPr>
        <w:t xml:space="preserve">L. Morquio. </w:t>
      </w:r>
      <w:r>
        <w:rPr>
          <w:lang w:val="ru-RU" w:eastAsia="ru-RU" w:bidi="ru-RU"/>
          <w:w w:val="100"/>
          <w:spacing w:val="0"/>
          <w:color w:val="000000"/>
          <w:position w:val="0"/>
        </w:rPr>
        <w:t>В 1901 г. автор привел данные о семье, в которой ребенок имел очень ред</w:t>
        <w:softHyphen/>
        <w:t>кий ритм, синкопальные атаки и умер внезапно. Ав</w:t>
        <w:softHyphen/>
        <w:t>тор обозначил данное состояние как синдром «атрио</w:t>
        <w:softHyphen/>
        <w:t>вентрикулярного повреждения».</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В 1908 г. </w:t>
      </w:r>
      <w:r>
        <w:rPr>
          <w:lang w:val="en-US" w:eastAsia="en-US" w:bidi="en-US"/>
          <w:w w:val="100"/>
          <w:spacing w:val="0"/>
          <w:color w:val="000000"/>
          <w:position w:val="0"/>
        </w:rPr>
        <w:t xml:space="preserve">G. \5n den Heuvel </w:t>
      </w:r>
      <w:r>
        <w:rPr>
          <w:lang w:val="ru-RU" w:eastAsia="ru-RU" w:bidi="ru-RU"/>
          <w:w w:val="100"/>
          <w:spacing w:val="0"/>
          <w:color w:val="000000"/>
          <w:position w:val="0"/>
        </w:rPr>
        <w:t>первым описал электро - кардиографические проявления полной атриовент</w:t>
        <w:softHyphen/>
        <w:t xml:space="preserve">рикулярной блокады, а в 1929 г. </w:t>
      </w:r>
      <w:r>
        <w:rPr>
          <w:lang w:val="en-US" w:eastAsia="en-US" w:bidi="en-US"/>
          <w:w w:val="100"/>
          <w:spacing w:val="0"/>
          <w:color w:val="000000"/>
          <w:position w:val="0"/>
        </w:rPr>
        <w:t xml:space="preserve">W.Yater </w:t>
      </w:r>
      <w:r>
        <w:rPr>
          <w:lang w:val="ru-RU" w:eastAsia="ru-RU" w:bidi="ru-RU"/>
          <w:w w:val="100"/>
          <w:spacing w:val="0"/>
          <w:color w:val="000000"/>
          <w:position w:val="0"/>
        </w:rPr>
        <w:t>впервые запо - дозрил по редкому ритму полную блокаду сердца у плода, документированную после родов.</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M.Hull et al. </w:t>
      </w:r>
      <w:r>
        <w:rPr>
          <w:lang w:val="ru-RU" w:eastAsia="ru-RU" w:bidi="ru-RU"/>
          <w:w w:val="100"/>
          <w:spacing w:val="0"/>
          <w:color w:val="000000"/>
          <w:position w:val="0"/>
        </w:rPr>
        <w:t>установили взаимосвязь поперечной блокады сердца с системным заболеванием соедини</w:t>
        <w:softHyphen/>
        <w:t>тельной ткани у матери. Ряд авторов подтвердили на</w:t>
        <w:softHyphen/>
        <w:t>личие полной атриовентрикулярной блокады путем регистрации ЭКГ, снятой с помощью скальповых от</w:t>
        <w:softHyphen/>
        <w:t>ведений у плода во время родов.</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 появлением ультразвуковой диагностики стало воз</w:t>
        <w:softHyphen/>
        <w:t>можным диагностировать атриовентрикулярную бло</w:t>
        <w:softHyphen/>
        <w:t>каду с 16 недели внутриутробного развития при син</w:t>
        <w:softHyphen/>
        <w:t>хронной регистрации сокращений предсердий и же</w:t>
        <w:softHyphen/>
        <w:t>лудочков.</w:t>
      </w:r>
    </w:p>
    <w:p>
      <w:pPr>
        <w:pStyle w:val="Style30"/>
        <w:numPr>
          <w:ilvl w:val="0"/>
          <w:numId w:val="163"/>
        </w:numPr>
        <w:tabs>
          <w:tab w:leader="none" w:pos="518"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 xml:space="preserve">Применение трансвагинальной эхокардиографии плода позволило еще в более ранние сроки выявлять атриовентрикулярный блок, начиная с 11 недели </w:t>
      </w:r>
      <w:r>
        <w:rPr>
          <w:lang w:val="en-US" w:eastAsia="en-US" w:bidi="en-US"/>
          <w:w w:val="100"/>
          <w:spacing w:val="0"/>
          <w:color w:val="000000"/>
          <w:position w:val="0"/>
        </w:rPr>
        <w:t xml:space="preserve">(Gembruch U., </w:t>
      </w:r>
      <w:r>
        <w:rPr>
          <w:lang w:val="ru-RU" w:eastAsia="ru-RU" w:bidi="ru-RU"/>
          <w:w w:val="100"/>
          <w:spacing w:val="0"/>
          <w:color w:val="000000"/>
          <w:position w:val="0"/>
        </w:rPr>
        <w:t>1990).</w:t>
      </w:r>
    </w:p>
    <w:p>
      <w:pPr>
        <w:pStyle w:val="Style92"/>
        <w:widowControl w:val="0"/>
        <w:keepNext/>
        <w:keepLines/>
        <w:shd w:val="clear" w:color="auto" w:fill="auto"/>
        <w:bidi w:val="0"/>
        <w:jc w:val="left"/>
        <w:spacing w:before="0" w:after="0"/>
        <w:ind w:left="0" w:right="0" w:firstLine="280"/>
      </w:pPr>
      <w:bookmarkStart w:id="823" w:name="bookmark823"/>
      <w:r>
        <w:rPr>
          <w:lang w:val="ru-RU" w:eastAsia="ru-RU" w:bidi="ru-RU"/>
          <w:w w:val="100"/>
          <w:spacing w:val="0"/>
          <w:color w:val="000000"/>
          <w:position w:val="0"/>
        </w:rPr>
        <w:t>Нормальная анатомия и электрофизиология атриовентри</w:t>
        <w:softHyphen/>
        <w:t>кулярного соединения</w:t>
      </w:r>
      <w:bookmarkEnd w:id="823"/>
    </w:p>
    <w:p>
      <w:pPr>
        <w:pStyle w:val="Style30"/>
        <w:widowControl w:val="0"/>
        <w:keepNext w:val="0"/>
        <w:keepLines w:val="0"/>
        <w:shd w:val="clear" w:color="auto" w:fill="auto"/>
        <w:bidi w:val="0"/>
        <w:jc w:val="left"/>
        <w:spacing w:before="0" w:after="0"/>
        <w:ind w:left="0" w:right="0" w:firstLine="280"/>
      </w:pPr>
      <w:r>
        <w:pict>
          <v:shape id="_x0000_s1851" type="#_x0000_t75" style="position:absolute;margin-left:147.5pt;margin-top:738.25pt;width:209.75pt;height:14.9pt;z-index:-125828788;mso-wrap-distance-left:146.9pt;mso-wrap-distance-right:136.8pt;mso-wrap-distance-bottom:10.8pt;mso-position-horizontal-relative:margin;mso-position-vertical-relative:margin" wrapcoords="0 0 21600 0 21600 21600 0 21600 0 0">
            <v:imagedata r:id="rId1332" r:href="rId1333"/>
            <w10:wrap type="topAndBottom" anchorx="margin" anchory="margin"/>
          </v:shape>
        </w:pict>
      </w:r>
      <w:r>
        <w:rPr>
          <w:lang w:val="ru-RU" w:eastAsia="ru-RU" w:bidi="ru-RU"/>
          <w:w w:val="100"/>
          <w:spacing w:val="0"/>
          <w:color w:val="000000"/>
          <w:position w:val="0"/>
        </w:rPr>
        <w:t>Атриовентрикулярное соединение — это совокупность специализированных проводящих тканей, связывающих</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рабочий миокард предсердий и желудочков. Его можно по</w:t>
        <w:softHyphen/>
        <w:t>дразделить на несколько анатомических участков, а имен</w:t>
        <w:softHyphen/>
        <w:t>но: атриовентрикулярный узел и его переходную клеточ</w:t>
        <w:softHyphen/>
        <w:t>ную зону; проникающую часть атриовентрикулярного пуч</w:t>
        <w:softHyphen/>
        <w:t>ка (пучка Гиса) и ответвляющуюся часть этого пучка. Еди</w:t>
        <w:softHyphen/>
        <w:t>ного мнения относительно анатомического деления и про</w:t>
        <w:softHyphen/>
        <w:t>тяженности участков области специализированного соеди</w:t>
        <w:softHyphen/>
        <w:t>нения не существует, равно как и того, следует ли считать ответвляющийся пучок частью данной области. Эти разно</w:t>
        <w:softHyphen/>
        <w:t>гласия всецело связаны с клинической корреляцией и мо</w:t>
        <w:softHyphen/>
        <w:t>гут быть устранены лишь путем всестороннего анализа и сопоставления анатомических и клинических данных, до сих пор не проведенных.</w:t>
      </w:r>
    </w:p>
    <w:p>
      <w:pPr>
        <w:pStyle w:val="Style30"/>
        <w:numPr>
          <w:ilvl w:val="0"/>
          <w:numId w:val="16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Основные анатомические ориентиры предсердного компонента специализированной области атриовент</w:t>
        <w:softHyphen/>
        <w:t xml:space="preserve">рикулярного соединения хорошо описаны </w:t>
      </w:r>
      <w:r>
        <w:rPr>
          <w:lang w:val="en-US" w:eastAsia="en-US" w:bidi="en-US"/>
          <w:w w:val="100"/>
          <w:spacing w:val="0"/>
          <w:color w:val="000000"/>
          <w:position w:val="0"/>
        </w:rPr>
        <w:t xml:space="preserve">Koch. </w:t>
      </w:r>
      <w:r>
        <w:rPr>
          <w:lang w:val="ru-RU" w:eastAsia="ru-RU" w:bidi="ru-RU"/>
          <w:w w:val="100"/>
          <w:spacing w:val="0"/>
          <w:color w:val="000000"/>
          <w:position w:val="0"/>
        </w:rPr>
        <w:t>Он показал, что атриовентрикулярный узел нужно искать в направлении переднего продолжения клапана ниж</w:t>
        <w:softHyphen/>
        <w:t xml:space="preserve">ней полой вены (евстахиева клапана, или сухожилия </w:t>
      </w:r>
      <w:r>
        <w:rPr>
          <w:lang w:val="en-US" w:eastAsia="en-US" w:bidi="en-US"/>
          <w:w w:val="100"/>
          <w:spacing w:val="0"/>
          <w:color w:val="000000"/>
          <w:position w:val="0"/>
        </w:rPr>
        <w:t xml:space="preserve">Tobaro), </w:t>
      </w:r>
      <w:r>
        <w:rPr>
          <w:lang w:val="ru-RU" w:eastAsia="ru-RU" w:bidi="ru-RU"/>
          <w:w w:val="100"/>
          <w:spacing w:val="0"/>
          <w:color w:val="000000"/>
          <w:position w:val="0"/>
        </w:rPr>
        <w:t>основанием перегородочной створки трикус</w:t>
        <w:softHyphen/>
        <w:t xml:space="preserve">пидального клапана и устьем коронарного синуса (см. рис. 1). На вершине этого треугольника сухожилие </w:t>
      </w:r>
      <w:r>
        <w:rPr>
          <w:lang w:val="en-US" w:eastAsia="en-US" w:bidi="en-US"/>
          <w:w w:val="100"/>
          <w:spacing w:val="0"/>
          <w:color w:val="000000"/>
          <w:position w:val="0"/>
        </w:rPr>
        <w:t xml:space="preserve">Todaro </w:t>
      </w:r>
      <w:r>
        <w:rPr>
          <w:lang w:val="ru-RU" w:eastAsia="ru-RU" w:bidi="ru-RU"/>
          <w:w w:val="100"/>
          <w:spacing w:val="0"/>
          <w:color w:val="000000"/>
          <w:position w:val="0"/>
        </w:rPr>
        <w:t>соединяется с центральным фиброзным телом. Непосредственно позади данного соединения нахо</w:t>
        <w:softHyphen/>
        <w:t>дится участок проникновения атриовентрикулярного пучка (пучка Гиса) в желудочки. Пройдя в ткань желу</w:t>
        <w:softHyphen/>
        <w:t>дочков, ствол пучка ответвляется на гребне мышеч</w:t>
        <w:softHyphen/>
        <w:t>ной части межжелудочковой перегородки непосред</w:t>
        <w:softHyphen/>
        <w:t>ственно под межжелудочковым компонентом мем</w:t>
        <w:softHyphen/>
        <w:t>бранозной части. Специализированная проводящая ткань левого желудочка проходит непосредственно субэндокардиально по септальной поверхности выхо</w:t>
        <w:softHyphen/>
        <w:t>дящего тракта левого желудочка под некоронарной створкой аортального клапана. Правая ножка атрио</w:t>
        <w:softHyphen/>
        <w:t>вентрикулярного пучка отходит от общего ствола пуч</w:t>
        <w:softHyphen/>
        <w:t>ка интрамиокардиально. В нормально сформирован</w:t>
        <w:softHyphen/>
        <w:t>ном сердце ориентиром при определении ее позиции служит медиальная сосочковая мышца.</w:t>
      </w:r>
    </w:p>
    <w:p>
      <w:pPr>
        <w:pStyle w:val="Style30"/>
        <w:numPr>
          <w:ilvl w:val="0"/>
          <w:numId w:val="16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Анатомические ориентиры проводящих тканей име</w:t>
        <w:softHyphen/>
        <w:t>ют огромное значение в кардиохирургии. У большин</w:t>
        <w:softHyphen/>
        <w:t>ства людей треугольник Коха становится хорошо раз</w:t>
        <w:softHyphen/>
        <w:t>личимым при натягивании клапана нижней полой вены. Во всяком случае, в фиксированном сердце обычно можно увидеть проксимальную часть левой ножки атриовентрикулярного пучка, спускающуюся по левожелудочковой поверхности межжелудочковой перегородки.</w:t>
      </w:r>
    </w:p>
    <w:p>
      <w:pPr>
        <w:pStyle w:val="Style30"/>
        <w:numPr>
          <w:ilvl w:val="0"/>
          <w:numId w:val="163"/>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Знание эмбриогенеза области атриовентрикулярного соединения в значительной мере облегчает понима</w:t>
        <w:softHyphen/>
        <w:t>ние ее анатомической структуры и клеточной архи</w:t>
        <w:softHyphen/>
        <w:t>тектоники. Наше представление о развитии атрио</w:t>
        <w:softHyphen/>
        <w:t>вентрикулярного соединения базируется на изучении сердца плода и случаев полной врожденной попереч</w:t>
        <w:softHyphen/>
        <w:t>ной блокады сердца. На ранней стадии развития мио</w:t>
        <w:softHyphen/>
        <w:t>кард предсердий непрерывно переходит в миокард желудочков по всей окружности первичного атрио</w:t>
        <w:softHyphen/>
        <w:t>вентрикулярного канала. Зачаток ответвляющейся части атриовентрикулярного пучка находится на гребне мышечной части первичной межжелудочко</w:t>
        <w:softHyphen/>
        <w:t>вой перегородки и соединяется с субэндокардиаль</w:t>
        <w:softHyphen/>
        <w:t>ной сетью в обоих желудочках. Проксимальная часть атриовентрикулярного соединения в этот период раз</w:t>
        <w:softHyphen/>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вития имеет большую протяженность и связана с ча</w:t>
        <w:softHyphen/>
        <w:t>стью межжелудочковой перегородки, формирующей</w:t>
        <w:softHyphen/>
        <w:t>ся между входными отделами желудочков.</w:t>
      </w:r>
    </w:p>
    <w:p>
      <w:pPr>
        <w:pStyle w:val="Style30"/>
        <w:numPr>
          <w:ilvl w:val="0"/>
          <w:numId w:val="16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Таким образом, развитие неветвящейся и ветвящейся частей атриовентрикулярного соединения связано с различными зонами первичной сердечной трубки: ветвящаяся часть развивается в области соединения входного и выходного отделов желудочков, а неветвя</w:t>
        <w:softHyphen/>
        <w:t>щаяся — на входной части межжелудочковой перего</w:t>
        <w:softHyphen/>
        <w:t>родки.</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Гистология атриовентрикулярного соединения</w:t>
      </w:r>
    </w:p>
    <w:p>
      <w:pPr>
        <w:pStyle w:val="Style30"/>
        <w:numPr>
          <w:ilvl w:val="0"/>
          <w:numId w:val="16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Клетки предсердного компонента атриовентрикуляр - ного соединения мельче, чем клетки рабочего мио</w:t>
        <w:softHyphen/>
        <w:t>карда предсердий. Клетки переходной зоны имеют вытянутую форму и часто отделены друг от друга тя</w:t>
        <w:softHyphen/>
        <w:t>жами фиброзной ткани. В компактной зоне атрио</w:t>
        <w:softHyphen/>
        <w:t>вентрикулярного узла клетки расположены более тес</w:t>
        <w:softHyphen/>
        <w:t>но и часто организованы во взаимосвязанные пучки и завитки. Во многих случаях выявляется разделение компактной зоны на глубокий и поверхностный слои. Дополнительным покрытием служит слой пе</w:t>
        <w:softHyphen/>
        <w:t>реходных клеток, придающий узлу трехслойный вид. По мере перехода узла в проникающую часть пучка наблюдается увеличение размеров клеток, но в ос</w:t>
        <w:softHyphen/>
        <w:t>новном клеточная архитектоника сравнима с таковой в компактной зоне узла.</w:t>
      </w:r>
    </w:p>
    <w:p>
      <w:pPr>
        <w:pStyle w:val="Style30"/>
        <w:numPr>
          <w:ilvl w:val="0"/>
          <w:numId w:val="163"/>
        </w:numPr>
        <w:tabs>
          <w:tab w:leader="none" w:pos="239"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Клетки, составляющие ветвящуюся часть пучка, по своим размерам напоминают клетки миокарда же</w:t>
        <w:softHyphen/>
        <w:t>лудочков. Бледные или набухшие клетки (так называ</w:t>
        <w:softHyphen/>
        <w:t>емые клетки Пуркинье) редко встречаются в специа</w:t>
        <w:softHyphen/>
        <w:t>лизированной области атриовентрикулярного соеди</w:t>
        <w:softHyphen/>
        <w:t>нения у младенцев и малолетних детей.</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Электрофизиологические данные</w:t>
      </w:r>
    </w:p>
    <w:p>
      <w:pPr>
        <w:pStyle w:val="Style30"/>
        <w:numPr>
          <w:ilvl w:val="0"/>
          <w:numId w:val="163"/>
        </w:numPr>
        <w:tabs>
          <w:tab w:leader="none" w:pos="239" w:val="left"/>
        </w:tabs>
        <w:widowControl w:val="0"/>
        <w:keepNext w:val="0"/>
        <w:keepLines w:val="0"/>
        <w:shd w:val="clear" w:color="auto" w:fill="auto"/>
        <w:bidi w:val="0"/>
        <w:spacing w:before="0" w:after="180"/>
        <w:ind w:left="260" w:right="0"/>
      </w:pPr>
      <w:r>
        <w:rPr>
          <w:lang w:val="ru-RU" w:eastAsia="ru-RU" w:bidi="ru-RU"/>
          <w:w w:val="100"/>
          <w:spacing w:val="0"/>
          <w:color w:val="000000"/>
          <w:position w:val="0"/>
        </w:rPr>
        <w:t xml:space="preserve">Классические исследования </w:t>
      </w:r>
      <w:r>
        <w:rPr>
          <w:lang w:val="en-US" w:eastAsia="en-US" w:bidi="en-US"/>
          <w:w w:val="100"/>
          <w:spacing w:val="0"/>
          <w:color w:val="000000"/>
          <w:position w:val="0"/>
        </w:rPr>
        <w:t xml:space="preserve">Paes de Carvalho </w:t>
      </w:r>
      <w:r>
        <w:rPr>
          <w:lang w:val="ru-RU" w:eastAsia="ru-RU" w:bidi="ru-RU"/>
          <w:w w:val="100"/>
          <w:spacing w:val="0"/>
          <w:color w:val="000000"/>
          <w:position w:val="0"/>
        </w:rPr>
        <w:t>показали, что область атриовентрикулярного соединения являет</w:t>
        <w:softHyphen/>
        <w:t xml:space="preserve">ся трехслойной структурой с зонами </w:t>
      </w:r>
      <w:r>
        <w:rPr>
          <w:lang w:val="en-US" w:eastAsia="en-US" w:bidi="en-US"/>
          <w:w w:val="100"/>
          <w:spacing w:val="0"/>
          <w:color w:val="000000"/>
          <w:position w:val="0"/>
        </w:rPr>
        <w:t xml:space="preserve">«AN», «N» </w:t>
      </w:r>
      <w:r>
        <w:rPr>
          <w:lang w:val="ru-RU" w:eastAsia="ru-RU" w:bidi="ru-RU"/>
          <w:w w:val="100"/>
          <w:spacing w:val="0"/>
          <w:color w:val="000000"/>
          <w:position w:val="0"/>
        </w:rPr>
        <w:t xml:space="preserve">и </w:t>
      </w:r>
      <w:r>
        <w:rPr>
          <w:lang w:val="en-US" w:eastAsia="en-US" w:bidi="en-US"/>
          <w:w w:val="100"/>
          <w:spacing w:val="0"/>
          <w:color w:val="000000"/>
          <w:position w:val="0"/>
        </w:rPr>
        <w:t xml:space="preserve">«NH» </w:t>
      </w:r>
      <w:r>
        <w:rPr>
          <w:lang w:val="ru-RU" w:eastAsia="ru-RU" w:bidi="ru-RU"/>
          <w:w w:val="100"/>
          <w:spacing w:val="0"/>
          <w:color w:val="000000"/>
          <w:position w:val="0"/>
        </w:rPr>
        <w:t>(предсердно-узловой, узловой и пучково-узловой). По</w:t>
        <w:softHyphen/>
        <w:t>следующие электрофизиологические исследования с использованием техники мечения кобальтом показа</w:t>
        <w:softHyphen/>
        <w:t xml:space="preserve">ли, что </w:t>
      </w:r>
      <w:r>
        <w:rPr>
          <w:lang w:val="en-US" w:eastAsia="en-US" w:bidi="en-US"/>
          <w:w w:val="100"/>
          <w:spacing w:val="0"/>
          <w:color w:val="000000"/>
          <w:position w:val="0"/>
        </w:rPr>
        <w:t>AN</w:t>
      </w:r>
      <w:r>
        <w:rPr>
          <w:lang w:val="ru-RU" w:eastAsia="ru-RU" w:bidi="ru-RU"/>
          <w:w w:val="100"/>
          <w:spacing w:val="0"/>
          <w:color w:val="000000"/>
          <w:position w:val="0"/>
        </w:rPr>
        <w:t>-потенциалы возникают в переходной кле</w:t>
        <w:softHyphen/>
        <w:t xml:space="preserve">точной зоне, а </w:t>
      </w:r>
      <w:r>
        <w:rPr>
          <w:lang w:val="en-US" w:eastAsia="en-US" w:bidi="en-US"/>
          <w:w w:val="100"/>
          <w:spacing w:val="0"/>
          <w:color w:val="000000"/>
          <w:position w:val="0"/>
        </w:rPr>
        <w:t>NH</w:t>
      </w:r>
      <w:r>
        <w:rPr>
          <w:lang w:val="ru-RU" w:eastAsia="ru-RU" w:bidi="ru-RU"/>
          <w:w w:val="100"/>
          <w:spacing w:val="0"/>
          <w:color w:val="000000"/>
          <w:position w:val="0"/>
        </w:rPr>
        <w:t xml:space="preserve">-потенциалы — в передней части нижнеузловой зоны. Потенциалы узлового типа </w:t>
      </w:r>
      <w:r>
        <w:rPr>
          <w:lang w:val="en-US" w:eastAsia="en-US" w:bidi="en-US"/>
          <w:w w:val="100"/>
          <w:spacing w:val="0"/>
          <w:color w:val="000000"/>
          <w:position w:val="0"/>
        </w:rPr>
        <w:t xml:space="preserve">(N) </w:t>
      </w:r>
      <w:r>
        <w:rPr>
          <w:lang w:val="ru-RU" w:eastAsia="ru-RU" w:bidi="ru-RU"/>
          <w:w w:val="100"/>
          <w:spacing w:val="0"/>
          <w:color w:val="000000"/>
          <w:position w:val="0"/>
        </w:rPr>
        <w:t>регистрировались в клетках среднеузловой зоны, а так</w:t>
        <w:softHyphen/>
        <w:t xml:space="preserve">же переходной зоны. </w:t>
      </w:r>
      <w:r>
        <w:rPr>
          <w:lang w:val="en-US" w:eastAsia="en-US" w:bidi="en-US"/>
          <w:w w:val="100"/>
          <w:spacing w:val="0"/>
          <w:color w:val="000000"/>
          <w:position w:val="0"/>
        </w:rPr>
        <w:t>N</w:t>
      </w:r>
      <w:r>
        <w:rPr>
          <w:lang w:val="ru-RU" w:eastAsia="ru-RU" w:bidi="ru-RU"/>
          <w:w w:val="100"/>
          <w:spacing w:val="0"/>
          <w:color w:val="000000"/>
          <w:position w:val="0"/>
        </w:rPr>
        <w:t>-задержка проведения происхо</w:t>
        <w:softHyphen/>
        <w:t>дит в основном в переходной клеточной зоне.</w:t>
      </w:r>
    </w:p>
    <w:p>
      <w:pPr>
        <w:pStyle w:val="Style92"/>
        <w:widowControl w:val="0"/>
        <w:keepNext/>
        <w:keepLines/>
        <w:shd w:val="clear" w:color="auto" w:fill="auto"/>
        <w:bidi w:val="0"/>
        <w:spacing w:before="0" w:after="0"/>
        <w:ind w:left="260" w:right="0" w:hanging="260"/>
      </w:pPr>
      <w:bookmarkStart w:id="824" w:name="bookmark824"/>
      <w:r>
        <w:rPr>
          <w:lang w:val="ru-RU" w:eastAsia="ru-RU" w:bidi="ru-RU"/>
          <w:w w:val="100"/>
          <w:spacing w:val="0"/>
          <w:color w:val="000000"/>
          <w:position w:val="0"/>
        </w:rPr>
        <w:t>Электронная микроскопия</w:t>
      </w:r>
      <w:bookmarkEnd w:id="824"/>
    </w:p>
    <w:p>
      <w:pPr>
        <w:pStyle w:val="Style30"/>
        <w:numPr>
          <w:ilvl w:val="0"/>
          <w:numId w:val="163"/>
        </w:numPr>
        <w:tabs>
          <w:tab w:leader="none" w:pos="239" w:val="left"/>
        </w:tabs>
        <w:widowControl w:val="0"/>
        <w:keepNext w:val="0"/>
        <w:keepLines w:val="0"/>
        <w:shd w:val="clear" w:color="auto" w:fill="auto"/>
        <w:bidi w:val="0"/>
        <w:spacing w:before="0" w:after="0"/>
        <w:ind w:left="260" w:right="0"/>
      </w:pPr>
      <w:r>
        <w:pict>
          <v:shape id="_x0000_s1852" type="#_x0000_t75" style="position:absolute;margin-left:136.9pt;margin-top:738.25pt;width:209.75pt;height:14.9pt;z-index:-125828787;mso-wrap-distance-left:136.8pt;mso-wrap-distance-right:147.85pt;mso-wrap-distance-bottom:10.8pt;mso-position-horizontal-relative:margin;mso-position-vertical-relative:margin" wrapcoords="0 0 21600 0 21600 21600 0 21600 0 0">
            <v:imagedata r:id="rId1334" r:href="rId1335"/>
            <w10:wrap type="topAndBottom" anchorx="margin" anchory="margin"/>
          </v:shape>
        </w:pict>
      </w:r>
      <w:r>
        <w:rPr>
          <w:lang w:val="ru-RU" w:eastAsia="ru-RU" w:bidi="ru-RU"/>
          <w:w w:val="100"/>
          <w:spacing w:val="0"/>
          <w:color w:val="000000"/>
          <w:position w:val="0"/>
        </w:rPr>
        <w:t>Вся область атриовентрикулярного узла изолирована от ткани предсердия соединительнотканной капсу</w:t>
        <w:softHyphen/>
        <w:t>лой, происходящей из центрального фиброзного те</w:t>
        <w:softHyphen/>
        <w:t>ла. Правомерность деления атриовентрикулярного узла на морфологически отличимые клеточные обла</w:t>
        <w:softHyphen/>
        <w:t>сти была подтверждена ультраструктурными исследо - ваниями. Клетки различных областей имеют сходные черты: немногочисленные миофибриллы и хаотично расположенные митохондрии. В этом отношении они напоминают клетки синусового узла. Различия между областями атриовентрикулярного узла прояв</w:t>
        <w:softHyphen/>
        <w:t>ляются в организации клеток. Клетки переходной зо</w:t>
        <w:softHyphen/>
        <w:t>ны практически не связаны между собой, клетки верхней части узла объединены в сферическую груп</w:t>
        <w:softHyphen/>
        <w:t>пу, а нижней части узла — в линейную структуру.</w:t>
      </w:r>
      <w:r>
        <w:br w:type="page"/>
      </w:r>
    </w:p>
    <w:p>
      <w:pPr>
        <w:pStyle w:val="Style92"/>
        <w:widowControl w:val="0"/>
        <w:keepNext/>
        <w:keepLines/>
        <w:shd w:val="clear" w:color="auto" w:fill="auto"/>
        <w:bidi w:val="0"/>
        <w:spacing w:before="0" w:after="180"/>
        <w:ind w:left="0" w:right="0" w:firstLine="280"/>
      </w:pPr>
      <w:bookmarkStart w:id="825" w:name="bookmark825"/>
      <w:r>
        <w:rPr>
          <w:lang w:val="ru-RU" w:eastAsia="ru-RU" w:bidi="ru-RU"/>
          <w:w w:val="100"/>
          <w:spacing w:val="0"/>
          <w:color w:val="000000"/>
          <w:position w:val="0"/>
        </w:rPr>
        <w:t>Этиопатогенетические формы полных атриовентрикуляр</w:t>
        <w:softHyphen/>
        <w:t>ных блокад у детей</w:t>
      </w:r>
      <w:bookmarkEnd w:id="825"/>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Следует различать врожденную, наследственную и при</w:t>
        <w:softHyphen/>
        <w:t>обретенную формы полных атриовентрикулярных блокад (табл. 39).</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Врожденная полная атриовентрикулярная блокада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Врожденная полная атриовентрикулярная блокада мо</w:t>
        <w:softHyphen/>
        <w:t>жет обнаруживаться как изолированное состояние, а также встречаться как проявление семейного заболевания, при этом известны случаи, когда поперечная блокада на</w:t>
        <w:softHyphen/>
        <w:t>блюдалась в 3 поколениях.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w:t>
      </w:r>
    </w:p>
    <w:p>
      <w:pPr>
        <w:pStyle w:val="Style30"/>
        <w:numPr>
          <w:ilvl w:val="0"/>
          <w:numId w:val="1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Средняя частота врожденной блокады составляет 1 на 22 000 новорожденных и колеблется в пределах от 1 на 25 000 до 1 на 15 000.</w:t>
      </w:r>
    </w:p>
    <w:p>
      <w:pPr>
        <w:pStyle w:val="Style30"/>
        <w:numPr>
          <w:ilvl w:val="0"/>
          <w:numId w:val="1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 1/4 -1/3 случаев врожденная полная атриовентри</w:t>
        <w:softHyphen/>
        <w:t>кулярная блокада сочетается со структурными по</w:t>
        <w:softHyphen/>
        <w:t>вреждениями сердца, наиболее часто — с аномалия</w:t>
        <w:softHyphen/>
        <w:t>ми развития предсердной и межжелудочковой пере</w:t>
        <w:softHyphen/>
        <w:t>городки, левопредсердным изомеризмом, общим ар</w:t>
        <w:softHyphen/>
        <w:t xml:space="preserve">териальным стволом, а также </w:t>
      </w:r>
      <w:r>
        <w:rPr>
          <w:lang w:val="en-US" w:eastAsia="en-US" w:bidi="en-US"/>
          <w:w w:val="100"/>
          <w:spacing w:val="0"/>
          <w:color w:val="000000"/>
          <w:position w:val="0"/>
        </w:rPr>
        <w:t>L</w:t>
      </w:r>
      <w:r>
        <w:rPr>
          <w:lang w:val="ru-RU" w:eastAsia="ru-RU" w:bidi="ru-RU"/>
          <w:w w:val="100"/>
          <w:spacing w:val="0"/>
          <w:color w:val="000000"/>
          <w:position w:val="0"/>
        </w:rPr>
        <w:t>-транспозицией маги</w:t>
        <w:softHyphen/>
        <w:t>стральных сосудов с инверсией желудочков.</w:t>
      </w:r>
    </w:p>
    <w:p>
      <w:pPr>
        <w:pStyle w:val="Style30"/>
        <w:numPr>
          <w:ilvl w:val="0"/>
          <w:numId w:val="1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Сочетание врожденной полной атриовентрикуляр</w:t>
        <w:softHyphen/>
        <w:t>ной блокады с другими пороками сердца нетипично и описывается как казуистическое, например при те</w:t>
        <w:softHyphen/>
        <w:t>траде Фалло. Практически не встречается сочетание врожденной полной атриовентрикулярной блокады с хромосомными заболеваниями.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Возникновение врожденной полной атриовентрикуляр</w:t>
        <w:softHyphen/>
        <w:t>ной блокады удается установить еще внутриутробно только в 32% случаев, у остальных детей блокада выявляется в 1-13 лет, наиболее часто в возрасте 2-х лет.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Примерно у 28% детей удается установить прогрессиру</w:t>
        <w:softHyphen/>
        <w:t>ющее течение врожденной полной блокады от 1 степени до полного поперечного блока.</w:t>
      </w:r>
    </w:p>
    <w:p>
      <w:pPr>
        <w:pStyle w:val="Style92"/>
        <w:widowControl w:val="0"/>
        <w:keepNext/>
        <w:keepLines/>
        <w:shd w:val="clear" w:color="auto" w:fill="auto"/>
        <w:bidi w:val="0"/>
        <w:spacing w:before="0" w:after="0"/>
        <w:ind w:left="520" w:right="0" w:hanging="240"/>
      </w:pPr>
      <w:r>
        <w:br w:type="column"/>
      </w:r>
      <w:bookmarkStart w:id="826" w:name="bookmark826"/>
      <w:r>
        <w:rPr>
          <w:lang w:val="ru-RU" w:eastAsia="ru-RU" w:bidi="ru-RU"/>
          <w:w w:val="100"/>
          <w:spacing w:val="0"/>
          <w:color w:val="000000"/>
          <w:position w:val="0"/>
        </w:rPr>
        <w:t>Патогенез</w:t>
      </w:r>
      <w:bookmarkEnd w:id="826"/>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Врожденная полная атриовентрикулярная блокада мо</w:t>
        <w:softHyphen/>
        <w:t>жет быть обусловлена аутоиммунным конфликтом либо возникает вследствие структурного дефекта развития.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Для установления врожденного генеза атриовентрику</w:t>
        <w:softHyphen/>
        <w:t xml:space="preserve">лярной блокады и дифференциации ее от приобретенной используют критерии </w:t>
      </w:r>
      <w:r>
        <w:rPr>
          <w:lang w:val="en-US" w:eastAsia="en-US" w:bidi="en-US"/>
          <w:w w:val="100"/>
          <w:spacing w:val="0"/>
          <w:color w:val="000000"/>
          <w:position w:val="0"/>
        </w:rPr>
        <w:t xml:space="preserve">Yater, </w:t>
      </w:r>
      <w:r>
        <w:rPr>
          <w:lang w:val="ru-RU" w:eastAsia="ru-RU" w:bidi="ru-RU"/>
          <w:w w:val="100"/>
          <w:spacing w:val="0"/>
          <w:color w:val="000000"/>
          <w:position w:val="0"/>
        </w:rPr>
        <w:t>предложенные автором в 1929 г. Они включают указания на брадикардию в плодовом пери</w:t>
        <w:softHyphen/>
        <w:t>оде и наличие атриовентрикулярной блокады, выявляемой в любом возрасте. Данные критерии до настоящего време</w:t>
        <w:softHyphen/>
        <w:t>ни не пересматривались.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Мы предлагаем следующие критерии для постановки диагноза врожденной атриовентрикулярной блокады:</w:t>
      </w:r>
    </w:p>
    <w:p>
      <w:pPr>
        <w:pStyle w:val="Style30"/>
        <w:numPr>
          <w:ilvl w:val="0"/>
          <w:numId w:val="1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Наличие критериев </w:t>
      </w:r>
      <w:r>
        <w:rPr>
          <w:lang w:val="en-US" w:eastAsia="en-US" w:bidi="en-US"/>
          <w:w w:val="100"/>
          <w:spacing w:val="0"/>
          <w:color w:val="000000"/>
          <w:position w:val="0"/>
        </w:rPr>
        <w:t>Yater.</w:t>
      </w:r>
    </w:p>
    <w:p>
      <w:pPr>
        <w:pStyle w:val="Style30"/>
        <w:numPr>
          <w:ilvl w:val="0"/>
          <w:numId w:val="1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Сочетание полной АВ-блокады с ВПС.</w:t>
      </w:r>
    </w:p>
    <w:p>
      <w:pPr>
        <w:pStyle w:val="Style30"/>
        <w:numPr>
          <w:ilvl w:val="0"/>
          <w:numId w:val="1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Перенесенный неонатальный люпус-синдром.</w:t>
      </w:r>
    </w:p>
    <w:p>
      <w:pPr>
        <w:pStyle w:val="Style30"/>
        <w:numPr>
          <w:ilvl w:val="0"/>
          <w:numId w:val="163"/>
        </w:numPr>
        <w:tabs>
          <w:tab w:leader="none" w:pos="519"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Признаки диффузного соединительнотканного забо - левания у ребенка с блокадой и у матери.</w:t>
      </w:r>
    </w:p>
    <w:p>
      <w:pPr>
        <w:pStyle w:val="Style30"/>
        <w:numPr>
          <w:ilvl w:val="0"/>
          <w:numId w:val="1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Полная атриовентрикулярная блокада в раннем воз</w:t>
        <w:softHyphen/>
        <w:t>расте при отсутствии клинических и лабораторных признаков перенесенного миокардита в анамнезе.</w:t>
      </w:r>
    </w:p>
    <w:p>
      <w:pPr>
        <w:pStyle w:val="Style30"/>
        <w:numPr>
          <w:ilvl w:val="0"/>
          <w:numId w:val="1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Полная атриовентрикулярная блокада у ребенка при ассоциации у ребенка и матери таких </w:t>
      </w:r>
      <w:r>
        <w:rPr>
          <w:lang w:val="en-US" w:eastAsia="en-US" w:bidi="en-US"/>
          <w:w w:val="100"/>
          <w:spacing w:val="0"/>
          <w:color w:val="000000"/>
          <w:position w:val="0"/>
        </w:rPr>
        <w:t xml:space="preserve">HLA </w:t>
      </w:r>
      <w:r>
        <w:rPr>
          <w:lang w:val="ru-RU" w:eastAsia="ru-RU" w:bidi="ru-RU"/>
          <w:w w:val="100"/>
          <w:spacing w:val="0"/>
          <w:color w:val="000000"/>
          <w:position w:val="0"/>
        </w:rPr>
        <w:t xml:space="preserve">гаплоти- пов, как </w:t>
      </w:r>
      <w:r>
        <w:rPr>
          <w:lang w:val="en-US" w:eastAsia="en-US" w:bidi="en-US"/>
          <w:w w:val="100"/>
          <w:spacing w:val="0"/>
          <w:color w:val="000000"/>
          <w:position w:val="0"/>
        </w:rPr>
        <w:t xml:space="preserve">A1, B8 </w:t>
      </w:r>
      <w:r>
        <w:rPr>
          <w:lang w:val="ru-RU" w:eastAsia="ru-RU" w:bidi="ru-RU"/>
          <w:w w:val="100"/>
          <w:spacing w:val="0"/>
          <w:color w:val="000000"/>
          <w:position w:val="0"/>
        </w:rPr>
        <w:t xml:space="preserve">и </w:t>
      </w:r>
      <w:r>
        <w:rPr>
          <w:lang w:val="en-US" w:eastAsia="en-US" w:bidi="en-US"/>
          <w:w w:val="100"/>
          <w:spacing w:val="0"/>
          <w:color w:val="000000"/>
          <w:position w:val="0"/>
        </w:rPr>
        <w:t>DR3.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Иммунная форма врожденной полной атриовентрикуляр</w:t>
        <w:softHyphen/>
        <w:t>ной блокады</w:t>
      </w:r>
    </w:p>
    <w:p>
      <w:pPr>
        <w:pStyle w:val="Style30"/>
        <w:numPr>
          <w:ilvl w:val="0"/>
          <w:numId w:val="16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Морфологические исследования свидетельствуют, что на долю иммунных форм приходится около 70%, а на структурные аномалии атриовентрикулярного узла — 30%. Известна достоверно документирован - ная ассоциация врожденной блокады у новорожден</w:t>
        <w:softHyphen/>
        <w:t>ных, матери которых страдают диффузными заболе</w:t>
        <w:softHyphen/>
        <w:t>ваниями соединительной ткани.</w:t>
      </w:r>
    </w:p>
    <w:p>
      <w:pPr>
        <w:pStyle w:val="Style30"/>
        <w:numPr>
          <w:ilvl w:val="0"/>
          <w:numId w:val="163"/>
        </w:numPr>
        <w:tabs>
          <w:tab w:leader="none" w:pos="519" w:val="left"/>
        </w:tabs>
        <w:widowControl w:val="0"/>
        <w:keepNext w:val="0"/>
        <w:keepLines w:val="0"/>
        <w:shd w:val="clear" w:color="auto" w:fill="auto"/>
        <w:bidi w:val="0"/>
        <w:spacing w:before="0" w:after="0"/>
        <w:ind w:left="520" w:right="0" w:hanging="240"/>
      </w:pPr>
      <w:r>
        <w:pict>
          <v:shape id="_x0000_s1853" type="#_x0000_t202" style="position:absolute;margin-left:0.35pt;margin-top:447.6pt;width:493.45pt;height:196.8pt;z-index:-125828786;mso-wrap-distance-left:5.pt;mso-wrap-distance-right:5.pt;mso-wrap-distance-bottom:20.pt;mso-position-horizontal-relative:margin;mso-position-vertical-relative:margin" filled="f" stroked="f">
            <v:textbox style="mso-fit-shape-to-text:t" inset="0,0,0,0">
              <w:txbxContent>
                <w:tbl>
                  <w:tblPr>
                    <w:tblOverlap w:val="never"/>
                    <w:tblLayout w:type="fixed"/>
                    <w:jc w:val="left"/>
                  </w:tblPr>
                  <w:tblGrid>
                    <w:gridCol w:w="3864"/>
                    <w:gridCol w:w="4373"/>
                    <w:gridCol w:w="1632"/>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60" w:lineRule="exact"/>
                          <w:ind w:left="0" w:right="0" w:firstLine="0"/>
                        </w:pPr>
                        <w:r>
                          <w:rPr>
                            <w:rStyle w:val="CharStyle102"/>
                          </w:rPr>
                          <w:t>Форма блокады</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60" w:lineRule="exact"/>
                          <w:ind w:left="0" w:right="0" w:firstLine="0"/>
                        </w:pPr>
                        <w:r>
                          <w:rPr>
                            <w:rStyle w:val="CharStyle102"/>
                          </w:rPr>
                          <w:t>Этиопатогенез</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60" w:lineRule="exact"/>
                          <w:ind w:left="0" w:right="0" w:firstLine="0"/>
                        </w:pPr>
                        <w:r>
                          <w:rPr>
                            <w:rStyle w:val="CharStyle102"/>
                          </w:rPr>
                          <w:t>Сроки возникн.</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Врожденная: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I Дефект развития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В/у</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Наследственная: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II Иммунное повреждение</w:t>
                        </w:r>
                      </w:p>
                    </w:tc>
                    <w:tc>
                      <w:tcPr>
                        <w:shd w:val="clear" w:color="auto" w:fill="FFFFFF"/>
                        <w:tcBorders>
                          <w:left w:val="single" w:sz="4"/>
                          <w:right w:val="single" w:sz="4"/>
                          <w:top w:val="single" w:sz="4"/>
                        </w:tcBorders>
                        <w:vAlign w:val="top"/>
                      </w:tcPr>
                      <w:p>
                        <w:pPr>
                          <w:widowControl w:val="0"/>
                          <w:rPr>
                            <w:sz w:val="10"/>
                            <w:szCs w:val="10"/>
                          </w:rPr>
                        </w:pPr>
                      </w:p>
                    </w:tc>
                  </w:tr>
                  <w:tr>
                    <w:trPr>
                      <w:trHeight w:val="211"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Болезнь Лева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Дегенеративный процесс</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&gt;5 лет</w:t>
                        </w:r>
                      </w:p>
                    </w:tc>
                  </w:tr>
                  <w:tr>
                    <w:trPr>
                      <w:trHeight w:val="192"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Болезнь Ленегра</w:t>
                        </w:r>
                      </w:p>
                    </w:tc>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Склеродегенерация</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&gt;10 лет</w:t>
                        </w:r>
                      </w:p>
                    </w:tc>
                  </w:tr>
                  <w:tr>
                    <w:trPr>
                      <w:trHeight w:val="187"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Болезнь Керна-Сейра</w:t>
                        </w:r>
                      </w:p>
                    </w:tc>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Поражение митохондрий, дегенерация ПСС</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&gt;5 лет</w:t>
                        </w:r>
                      </w:p>
                    </w:tc>
                  </w:tr>
                  <w:tr>
                    <w:trPr>
                      <w:trHeight w:val="197"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Болезнь Фабри</w:t>
                        </w:r>
                      </w:p>
                    </w:tc>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Накопление сфинголипидов в ПСС</w:t>
                        </w: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&gt;7 лет</w:t>
                        </w:r>
                      </w:p>
                    </w:tc>
                  </w:tr>
                  <w:tr>
                    <w:trPr>
                      <w:trHeight w:val="178"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Гликогеноз II типа</w:t>
                        </w:r>
                      </w:p>
                    </w:tc>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Отложение гликогена в ПСС</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&gt;10 лет</w:t>
                        </w:r>
                      </w:p>
                    </w:tc>
                  </w:tr>
                  <w:tr>
                    <w:trPr>
                      <w:trHeight w:val="202"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Гликогеноз V типа (болезнь Мак-Ардля)</w:t>
                        </w:r>
                      </w:p>
                    </w:tc>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Отложение гликогена в ПСС</w:t>
                        </w: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&gt;1 года</w:t>
                        </w:r>
                      </w:p>
                    </w:tc>
                  </w:tr>
                  <w:tr>
                    <w:trPr>
                      <w:trHeight w:val="192"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Мукополисахаридоз </w:t>
                        </w:r>
                        <w:r>
                          <w:rPr>
                            <w:lang w:val="en-US" w:eastAsia="en-US" w:bidi="en-US"/>
                            <w:w w:val="100"/>
                            <w:spacing w:val="0"/>
                            <w:color w:val="000000"/>
                            <w:position w:val="0"/>
                          </w:rPr>
                          <w:t xml:space="preserve">IH </w:t>
                        </w:r>
                        <w:r>
                          <w:rPr>
                            <w:lang w:val="ru-RU" w:eastAsia="ru-RU" w:bidi="ru-RU"/>
                            <w:w w:val="100"/>
                            <w:spacing w:val="0"/>
                            <w:color w:val="000000"/>
                            <w:position w:val="0"/>
                          </w:rPr>
                          <w:t>(синдром Гурлера)</w:t>
                        </w:r>
                      </w:p>
                    </w:tc>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Инфильтрация ПСС мукополисахаридными комплексами</w:t>
                        </w:r>
                      </w:p>
                    </w:tc>
                    <w:tc>
                      <w:tcPr>
                        <w:shd w:val="clear" w:color="auto" w:fill="FFFFFF"/>
                        <w:tcBorders>
                          <w:left w:val="single" w:sz="4"/>
                          <w:righ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&gt;4 лет</w:t>
                        </w:r>
                      </w:p>
                    </w:tc>
                  </w:tr>
                  <w:tr>
                    <w:trPr>
                      <w:trHeight w:val="197"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 xml:space="preserve">Мукополисахаридоз </w:t>
                        </w:r>
                        <w:r>
                          <w:rPr>
                            <w:lang w:val="en-US" w:eastAsia="en-US" w:bidi="en-US"/>
                            <w:w w:val="100"/>
                            <w:spacing w:val="0"/>
                            <w:color w:val="000000"/>
                            <w:position w:val="0"/>
                          </w:rPr>
                          <w:t xml:space="preserve">IH/S </w:t>
                        </w:r>
                        <w:r>
                          <w:rPr>
                            <w:lang w:val="ru-RU" w:eastAsia="ru-RU" w:bidi="ru-RU"/>
                            <w:w w:val="100"/>
                            <w:spacing w:val="0"/>
                            <w:color w:val="000000"/>
                            <w:position w:val="0"/>
                          </w:rPr>
                          <w:t>(синдром Гурлера-Шейе)</w:t>
                        </w:r>
                      </w:p>
                    </w:tc>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Инфильтрация ПСС мукополисахаридными комплексами</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&gt;1 года</w:t>
                        </w:r>
                      </w:p>
                    </w:tc>
                  </w:tr>
                  <w:tr>
                    <w:trPr>
                      <w:trHeight w:val="192"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Мукополисахаридоз II типа (синдром Хантера)</w:t>
                        </w:r>
                      </w:p>
                    </w:tc>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Инфильтрация ПСС мукополисахаридными комплексами</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&gt;10 лет</w:t>
                        </w:r>
                      </w:p>
                    </w:tc>
                  </w:tr>
                  <w:tr>
                    <w:trPr>
                      <w:trHeight w:val="187" w:hRule="exact"/>
                    </w:trPr>
                    <w:tc>
                      <w:tcPr>
                        <w:shd w:val="clear" w:color="auto" w:fill="FFFFFF"/>
                        <w:tcBorders>
                          <w:left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Наследственная амилоидная болезнь сердца</w:t>
                        </w:r>
                      </w:p>
                    </w:tc>
                    <w:tc>
                      <w:tcPr>
                        <w:shd w:val="clear" w:color="auto" w:fill="FFFFFF"/>
                        <w:tcBorders>
                          <w:left w:val="single" w:sz="4"/>
                        </w:tcBorders>
                        <w:vAlign w:val="top"/>
                      </w:tcPr>
                      <w:p>
                        <w:pPr>
                          <w:widowControl w:val="0"/>
                          <w:rPr>
                            <w:sz w:val="10"/>
                            <w:szCs w:val="10"/>
                          </w:rPr>
                        </w:pPr>
                      </w:p>
                    </w:tc>
                    <w:tc>
                      <w:tcPr>
                        <w:shd w:val="clear" w:color="auto" w:fill="FFFFFF"/>
                        <w:tcBorders>
                          <w:left w:val="single" w:sz="4"/>
                          <w:right w:val="single" w:sz="4"/>
                        </w:tcBorders>
                        <w:vAlign w:val="top"/>
                      </w:tcPr>
                      <w:p>
                        <w:pPr>
                          <w:widowControl w:val="0"/>
                          <w:rPr>
                            <w:sz w:val="10"/>
                            <w:szCs w:val="10"/>
                          </w:rPr>
                        </w:pPr>
                      </w:p>
                    </w:tc>
                  </w:tr>
                  <w:tr>
                    <w:trPr>
                      <w:trHeight w:val="230"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Синдром Элерса-Данлоса III типа</w:t>
                        </w:r>
                      </w:p>
                    </w:tc>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Отложение в ПСС белково-полисахаридных комплексов</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&gt;10 лет</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Приобретенная:</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16"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Миокардит (вирусный, инф. мононуклеоз и др.)</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Дегенерация</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любой</w:t>
                        </w:r>
                      </w:p>
                    </w:tc>
                  </w:tr>
                  <w:tr>
                    <w:trPr>
                      <w:trHeight w:val="187"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Опухоли сердца (мезотелиома АВ узла)</w:t>
                        </w:r>
                      </w:p>
                    </w:tc>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Воспалительно-дегенеративное повреждение</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любой</w:t>
                        </w:r>
                      </w:p>
                    </w:tc>
                  </w:tr>
                  <w:tr>
                    <w:trPr>
                      <w:trHeight w:val="192" w:hRule="exact"/>
                    </w:trPr>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Травматические, в том числе п/операционные</w:t>
                        </w:r>
                      </w:p>
                    </w:tc>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Замещение ПСС нефункционирующей тканью</w:t>
                        </w:r>
                      </w:p>
                    </w:tc>
                    <w:tc>
                      <w:tcPr>
                        <w:shd w:val="clear" w:color="auto" w:fill="FFFFFF"/>
                        <w:tcBorders>
                          <w:left w:val="single" w:sz="4"/>
                          <w:righ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любой</w:t>
                        </w:r>
                      </w:p>
                    </w:tc>
                  </w:tr>
                  <w:tr>
                    <w:trPr>
                      <w:trHeight w:val="226" w:hRule="exact"/>
                    </w:trPr>
                    <w:tc>
                      <w:tcPr>
                        <w:shd w:val="clear" w:color="auto" w:fill="FFFFFF"/>
                        <w:tcBorders>
                          <w:left w:val="single" w:sz="4"/>
                          <w:bottom w:val="single" w:sz="4"/>
                        </w:tcBorders>
                        <w:vAlign w:val="top"/>
                      </w:tcPr>
                      <w:p>
                        <w:pPr>
                          <w:widowControl w:val="0"/>
                          <w:rPr>
                            <w:sz w:val="10"/>
                            <w:szCs w:val="10"/>
                          </w:rPr>
                        </w:pPr>
                      </w:p>
                    </w:tc>
                    <w:tc>
                      <w:tcPr>
                        <w:shd w:val="clear" w:color="auto" w:fill="FFFFFF"/>
                        <w:tcBorders>
                          <w:left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Повреждение ПСС</w:t>
                        </w:r>
                      </w:p>
                    </w:tc>
                    <w:tc>
                      <w:tcPr>
                        <w:shd w:val="clear" w:color="auto" w:fill="FFFFFF"/>
                        <w:tcBorders>
                          <w:left w:val="single" w:sz="4"/>
                          <w:right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любой</w:t>
                        </w:r>
                      </w:p>
                    </w:tc>
                  </w:tr>
                </w:tbl>
              </w:txbxContent>
            </v:textbox>
            <w10:wrap type="topAndBottom" anchorx="margin" anchory="margin"/>
          </v:shape>
        </w:pict>
      </w:r>
      <w:r>
        <w:pict>
          <v:shape id="_x0000_s1854" type="#_x0000_t202" style="position:absolute;margin-left:99.pt;margin-top:426.45pt;width:296.15pt;height:11.9pt;z-index:-125828785;mso-wrap-distance-left:5.pt;mso-wrap-distance-right:5.pt;mso-wrap-distance-bottom:20.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Этиопатогенетические формы полных атриовентрикулярных блокад у детей</w:t>
                  </w:r>
                </w:p>
              </w:txbxContent>
            </v:textbox>
            <w10:wrap type="topAndBottom" anchorx="margin" anchory="margin"/>
          </v:shape>
        </w:pict>
      </w:r>
      <w:r>
        <w:pict>
          <v:shape id="_x0000_s1855" type="#_x0000_t202" style="position:absolute;margin-left:449.85pt;margin-top:415.9pt;width:44.9pt;height:11.65pt;z-index:-125828784;mso-wrap-distance-left:5.pt;mso-wrap-distance-right:5.pt;mso-wrap-distance-bottom:20.pt;mso-position-horizontal-relative:margin;mso-position-vertical-relative:margin" filled="f" stroked="f">
            <v:textbox style="mso-fit-shape-to-text:t" inset="0,0,0,0">
              <w:txbxContent>
                <w:p>
                  <w:pPr>
                    <w:pStyle w:val="Style139"/>
                    <w:widowControl w:val="0"/>
                    <w:keepNext w:val="0"/>
                    <w:keepLines w:val="0"/>
                    <w:shd w:val="clear" w:color="auto" w:fill="auto"/>
                    <w:bidi w:val="0"/>
                    <w:jc w:val="left"/>
                    <w:spacing w:before="0" w:after="0" w:line="180" w:lineRule="exact"/>
                    <w:ind w:left="0" w:right="0" w:firstLine="0"/>
                  </w:pPr>
                  <w:r>
                    <w:rPr>
                      <w:rStyle w:val="CharStyle143"/>
                      <w:b/>
                      <w:bCs/>
                      <w:i/>
                      <w:iCs/>
                    </w:rPr>
                    <w:t>Таблица 39</w:t>
                  </w:r>
                </w:p>
              </w:txbxContent>
            </v:textbox>
            <w10:wrap type="topAndBottom" anchorx="margin" anchory="margin"/>
          </v:shape>
        </w:pict>
      </w:r>
      <w:r>
        <w:pict>
          <v:shape id="_x0000_s1856" type="#_x0000_t202" style="position:absolute;margin-left:12.35pt;margin-top:653.25pt;width:199.45pt;height:12.pt;z-index:-125828783;mso-wrap-distance-left:5.pt;mso-wrap-distance-right:5.pt;mso-wrap-distance-bottom:20.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180"/>
                    </w:rPr>
                    <w:t>Примечание:</w:t>
                  </w:r>
                  <w:r>
                    <w:rPr>
                      <w:rStyle w:val="CharStyle97"/>
                    </w:rPr>
                    <w:t xml:space="preserve"> ПСС — проводящая система сердца</w:t>
                  </w:r>
                </w:p>
              </w:txbxContent>
            </v:textbox>
            <w10:wrap type="topAndBottom" anchorx="margin" anchory="margin"/>
          </v:shape>
        </w:pict>
      </w:r>
      <w:r>
        <w:rPr>
          <w:lang w:val="ru-RU" w:eastAsia="ru-RU" w:bidi="ru-RU"/>
          <w:w w:val="100"/>
          <w:spacing w:val="0"/>
          <w:color w:val="000000"/>
          <w:position w:val="0"/>
        </w:rPr>
        <w:t xml:space="preserve">Установлена ассоциация между наличием </w:t>
      </w:r>
      <w:r>
        <w:rPr>
          <w:lang w:val="en-US" w:eastAsia="en-US" w:bidi="en-US"/>
          <w:w w:val="100"/>
          <w:spacing w:val="0"/>
          <w:color w:val="000000"/>
          <w:position w:val="0"/>
        </w:rPr>
        <w:t xml:space="preserve">52-kd SSA/Ro, 60-kd SSA/Ro </w:t>
      </w:r>
      <w:r>
        <w:rPr>
          <w:lang w:val="ru-RU" w:eastAsia="ru-RU" w:bidi="ru-RU"/>
          <w:w w:val="100"/>
          <w:spacing w:val="0"/>
          <w:color w:val="000000"/>
          <w:position w:val="0"/>
        </w:rPr>
        <w:t xml:space="preserve">или </w:t>
      </w:r>
      <w:r>
        <w:rPr>
          <w:lang w:val="en-US" w:eastAsia="en-US" w:bidi="en-US"/>
          <w:w w:val="100"/>
          <w:spacing w:val="0"/>
          <w:color w:val="000000"/>
          <w:position w:val="0"/>
        </w:rPr>
        <w:t xml:space="preserve">48-kd SSB/La </w:t>
      </w:r>
      <w:r>
        <w:rPr>
          <w:lang w:val="ru-RU" w:eastAsia="ru-RU" w:bidi="ru-RU"/>
          <w:w w:val="100"/>
          <w:spacing w:val="0"/>
          <w:color w:val="000000"/>
          <w:position w:val="0"/>
        </w:rPr>
        <w:t>материн</w:t>
        <w:softHyphen/>
        <w:t>ских аутоантител и развитием врожденной блокады. Эти антитела относятся к иммуноглобулинам класса</w:t>
      </w:r>
      <w:r>
        <w:br w:type="page"/>
      </w:r>
    </w:p>
    <w:p>
      <w:pPr>
        <w:pStyle w:val="Style30"/>
        <w:widowControl w:val="0"/>
        <w:keepNext w:val="0"/>
        <w:keepLines w:val="0"/>
        <w:shd w:val="clear" w:color="auto" w:fill="auto"/>
        <w:bidi w:val="0"/>
        <w:spacing w:before="0" w:after="0"/>
        <w:ind w:left="280" w:right="0" w:firstLine="0"/>
      </w:pPr>
      <w:r>
        <w:rPr>
          <w:lang w:val="en-US" w:eastAsia="en-US" w:bidi="en-US"/>
          <w:w w:val="100"/>
          <w:spacing w:val="0"/>
          <w:color w:val="000000"/>
          <w:position w:val="0"/>
        </w:rPr>
        <w:t xml:space="preserve">G </w:t>
      </w:r>
      <w:r>
        <w:rPr>
          <w:lang w:val="ru-RU" w:eastAsia="ru-RU" w:bidi="ru-RU"/>
          <w:w w:val="100"/>
          <w:spacing w:val="0"/>
          <w:color w:val="000000"/>
          <w:position w:val="0"/>
        </w:rPr>
        <w:t>и могут проникать через плаценту в циркулятор</w:t>
        <w:softHyphen/>
        <w:t>ное русло плода. Возникновение врожденной пол</w:t>
        <w:softHyphen/>
        <w:t>ной атриовентрикулярной блокады документирует</w:t>
        <w:softHyphen/>
        <w:t>ся не ранее 16-й недели гестации. Антитела продол</w:t>
        <w:softHyphen/>
        <w:t>жают обнаруживаться в крови новорожденного до 3 месяца жизни. В патологический процесс при им</w:t>
        <w:softHyphen/>
        <w:t>мунном конфликте одновременно с атриовентрику</w:t>
        <w:softHyphen/>
        <w:t>лярным узлом могут вовлекаться синусовый узел и пейсмекерные образования предсердий. «Скры</w:t>
        <w:softHyphen/>
        <w:t>тое» носительство антител встречается в среднем у 1% женщин, а предсказуемый уровень рождения ребенка с врожденной блокадой во много раз ниже. Вероятно, на возникновение аутоиммунного пора</w:t>
        <w:softHyphen/>
        <w:t>жения атриовентрикулярного соединения играет значение величина титра антител (1:16 и выше). Сам факт цитотоксического эффекта материнских анти</w:t>
        <w:softHyphen/>
        <w:t>тел на ткань атриовентрикулярного узла у плода не изучен. В связи с этим довольно трудно объяснить, почему в ряде случаев у матерей с иммунологичес</w:t>
        <w:softHyphen/>
        <w:t>кими аномалиями рождаются дети без врожденной блокады и, напротив, у здоровых матерей рождают</w:t>
        <w:softHyphen/>
        <w:t>ся дети с блокадой. Вероятно, на этот вопрос можно ответить с позиций генетики. Ряд авторов предпола</w:t>
        <w:softHyphen/>
        <w:t>гают, что имеет место неполная экспрессивность, которая и определяет степень повреждения иммуно</w:t>
        <w:softHyphen/>
        <w:t>глобулинами атриовентрикулярного узла. В послед</w:t>
        <w:softHyphen/>
        <w:t xml:space="preserve">них исследованиях по данному вопросу показано, что имеет место ассоциация между основными </w:t>
      </w:r>
      <w:r>
        <w:rPr>
          <w:lang w:val="en-US" w:eastAsia="en-US" w:bidi="en-US"/>
          <w:w w:val="100"/>
          <w:spacing w:val="0"/>
          <w:color w:val="000000"/>
          <w:position w:val="0"/>
        </w:rPr>
        <w:t>HLA</w:t>
      </w:r>
      <w:r>
        <w:rPr>
          <w:lang w:val="ru-RU" w:eastAsia="ru-RU" w:bidi="ru-RU"/>
          <w:w w:val="100"/>
          <w:spacing w:val="0"/>
          <w:color w:val="000000"/>
          <w:position w:val="0"/>
        </w:rPr>
        <w:t xml:space="preserve">-типами, например, такими, как </w:t>
      </w:r>
      <w:r>
        <w:rPr>
          <w:lang w:val="en-US" w:eastAsia="en-US" w:bidi="en-US"/>
          <w:w w:val="100"/>
          <w:spacing w:val="0"/>
          <w:color w:val="000000"/>
          <w:position w:val="0"/>
        </w:rPr>
        <w:t xml:space="preserve">HLA-DR3, </w:t>
      </w:r>
      <w:r>
        <w:rPr>
          <w:lang w:val="ru-RU" w:eastAsia="ru-RU" w:bidi="ru-RU"/>
          <w:w w:val="100"/>
          <w:spacing w:val="0"/>
          <w:color w:val="000000"/>
          <w:position w:val="0"/>
        </w:rPr>
        <w:t xml:space="preserve">В8, МВ2 у матери и плода. При наличии </w:t>
      </w:r>
      <w:r>
        <w:rPr>
          <w:lang w:val="en-US" w:eastAsia="en-US" w:bidi="en-US"/>
          <w:w w:val="100"/>
          <w:spacing w:val="0"/>
          <w:color w:val="000000"/>
          <w:position w:val="0"/>
        </w:rPr>
        <w:t xml:space="preserve">SSA </w:t>
      </w:r>
      <w:r>
        <w:rPr>
          <w:lang w:val="ru-RU" w:eastAsia="ru-RU" w:bidi="ru-RU"/>
          <w:w w:val="100"/>
          <w:spacing w:val="0"/>
          <w:color w:val="000000"/>
          <w:position w:val="0"/>
        </w:rPr>
        <w:t>антител у матери и врожденной блокады у ребенка установ</w:t>
        <w:softHyphen/>
        <w:t xml:space="preserve">лена ассоциация со следующими </w:t>
      </w:r>
      <w:r>
        <w:rPr>
          <w:lang w:val="en-US" w:eastAsia="en-US" w:bidi="en-US"/>
          <w:w w:val="100"/>
          <w:spacing w:val="0"/>
          <w:color w:val="000000"/>
          <w:position w:val="0"/>
        </w:rPr>
        <w:t xml:space="preserve">HLA </w:t>
      </w:r>
      <w:r>
        <w:rPr>
          <w:lang w:val="ru-RU" w:eastAsia="ru-RU" w:bidi="ru-RU"/>
          <w:w w:val="100"/>
          <w:spacing w:val="0"/>
          <w:color w:val="000000"/>
          <w:position w:val="0"/>
        </w:rPr>
        <w:t xml:space="preserve">гаплотипами: </w:t>
      </w:r>
      <w:r>
        <w:rPr>
          <w:lang w:val="en-US" w:eastAsia="en-US" w:bidi="en-US"/>
          <w:w w:val="100"/>
          <w:spacing w:val="0"/>
          <w:color w:val="000000"/>
          <w:position w:val="0"/>
        </w:rPr>
        <w:t xml:space="preserve">A1, B8, DR3, MB2 </w:t>
      </w:r>
      <w:r>
        <w:rPr>
          <w:lang w:val="ru-RU" w:eastAsia="ru-RU" w:bidi="ru-RU"/>
          <w:w w:val="100"/>
          <w:spacing w:val="0"/>
          <w:color w:val="000000"/>
          <w:position w:val="0"/>
        </w:rPr>
        <w:t xml:space="preserve">и </w:t>
      </w:r>
      <w:r>
        <w:rPr>
          <w:lang w:val="en-US" w:eastAsia="en-US" w:bidi="en-US"/>
          <w:w w:val="100"/>
          <w:spacing w:val="0"/>
          <w:color w:val="000000"/>
          <w:position w:val="0"/>
        </w:rPr>
        <w:t xml:space="preserve">MT2. </w:t>
      </w:r>
      <w:r>
        <w:rPr>
          <w:lang w:val="ru-RU" w:eastAsia="ru-RU" w:bidi="ru-RU"/>
          <w:w w:val="100"/>
          <w:spacing w:val="0"/>
          <w:color w:val="000000"/>
          <w:position w:val="0"/>
        </w:rPr>
        <w:t xml:space="preserve">Такие </w:t>
      </w:r>
      <w:r>
        <w:rPr>
          <w:lang w:val="en-US" w:eastAsia="en-US" w:bidi="en-US"/>
          <w:w w:val="100"/>
          <w:spacing w:val="0"/>
          <w:color w:val="000000"/>
          <w:position w:val="0"/>
        </w:rPr>
        <w:t xml:space="preserve">HLA </w:t>
      </w:r>
      <w:r>
        <w:rPr>
          <w:lang w:val="ru-RU" w:eastAsia="ru-RU" w:bidi="ru-RU"/>
          <w:w w:val="100"/>
          <w:spacing w:val="0"/>
          <w:color w:val="000000"/>
          <w:position w:val="0"/>
        </w:rPr>
        <w:t xml:space="preserve">гаплотипы, как </w:t>
      </w:r>
      <w:r>
        <w:rPr>
          <w:lang w:val="en-US" w:eastAsia="en-US" w:bidi="en-US"/>
          <w:w w:val="100"/>
          <w:spacing w:val="0"/>
          <w:color w:val="000000"/>
          <w:position w:val="0"/>
        </w:rPr>
        <w:t xml:space="preserve">DR2, MB1/MT1, </w:t>
      </w:r>
      <w:r>
        <w:rPr>
          <w:lang w:val="ru-RU" w:eastAsia="ru-RU" w:bidi="ru-RU"/>
          <w:w w:val="100"/>
          <w:spacing w:val="0"/>
          <w:color w:val="000000"/>
          <w:position w:val="0"/>
        </w:rPr>
        <w:t>характерны для матерей с по</w:t>
        <w:softHyphen/>
        <w:t xml:space="preserve">ложительным титром </w:t>
      </w:r>
      <w:r>
        <w:rPr>
          <w:lang w:val="en-US" w:eastAsia="en-US" w:bidi="en-US"/>
          <w:w w:val="100"/>
          <w:spacing w:val="0"/>
          <w:color w:val="000000"/>
          <w:position w:val="0"/>
        </w:rPr>
        <w:t xml:space="preserve">SSA </w:t>
      </w:r>
      <w:r>
        <w:rPr>
          <w:lang w:val="ru-RU" w:eastAsia="ru-RU" w:bidi="ru-RU"/>
          <w:w w:val="100"/>
          <w:spacing w:val="0"/>
          <w:color w:val="000000"/>
          <w:position w:val="0"/>
        </w:rPr>
        <w:t>антител и детей без врож</w:t>
        <w:softHyphen/>
        <w:t>денной блокады. Следует отметить, что наряду с ан- ти</w:t>
      </w:r>
      <w:r>
        <w:rPr>
          <w:lang w:val="en-US" w:eastAsia="en-US" w:bidi="en-US"/>
          <w:w w:val="100"/>
          <w:spacing w:val="0"/>
          <w:color w:val="000000"/>
          <w:position w:val="0"/>
        </w:rPr>
        <w:t xml:space="preserve">-Ro </w:t>
      </w:r>
      <w:r>
        <w:rPr>
          <w:lang w:val="ru-RU" w:eastAsia="ru-RU" w:bidi="ru-RU"/>
          <w:w w:val="100"/>
          <w:spacing w:val="0"/>
          <w:color w:val="000000"/>
          <w:position w:val="0"/>
        </w:rPr>
        <w:t>и анти</w:t>
      </w:r>
      <w:r>
        <w:rPr>
          <w:lang w:val="en-US" w:eastAsia="en-US" w:bidi="en-US"/>
          <w:w w:val="100"/>
          <w:spacing w:val="0"/>
          <w:color w:val="000000"/>
          <w:position w:val="0"/>
        </w:rPr>
        <w:t xml:space="preserve">-La </w:t>
      </w:r>
      <w:r>
        <w:rPr>
          <w:lang w:val="ru-RU" w:eastAsia="ru-RU" w:bidi="ru-RU"/>
          <w:w w:val="100"/>
          <w:spacing w:val="0"/>
          <w:color w:val="000000"/>
          <w:position w:val="0"/>
        </w:rPr>
        <w:t>антителами матери, страдающие системной красной волчанкой или маскированны</w:t>
        <w:softHyphen/>
        <w:t>ми диффузными заболеваниями соединительной ткани, являются носителями антител к фосфолипи</w:t>
        <w:softHyphen/>
        <w:t>дам (антипротромбиназа, антикардиолипин), кото</w:t>
        <w:softHyphen/>
        <w:t>рые могут обусловить спонтанный аборт или внут</w:t>
        <w:softHyphen/>
        <w:t>риутробную смерть плода.</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Аномалии развития атриовентрикулярного узла</w:t>
      </w:r>
    </w:p>
    <w:p>
      <w:pPr>
        <w:pStyle w:val="Style30"/>
        <w:numPr>
          <w:ilvl w:val="0"/>
          <w:numId w:val="16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Другой причиной врожденной полной атриовентри</w:t>
        <w:softHyphen/>
        <w:t>кулярной блокады может быть аномалия эмбриона</w:t>
        <w:softHyphen/>
        <w:t>льного развития атриовентрикулярного узла. Патоло</w:t>
        <w:softHyphen/>
        <w:t>гия развития атриовентрикулярного соединения мо</w:t>
        <w:softHyphen/>
        <w:t>жет возникать без структурных изменений самого сердца или в сочетании с врожденными пороками развития. Атриовентрикулярная блокада обычно обусловлена аномалией эмбрионального развития центрального фиброзного тела, при которой не про</w:t>
        <w:softHyphen/>
        <w:t>исходит слияния между атриовентрикулярным узлом и атриовентрикулярным стволом или формирование проводящей системы происходит из передней эндо</w:t>
        <w:softHyphen/>
        <w:t>кардиальной ткани (корригированная транспозиция магистральных сосудов). В ряде случаев атриовентри</w:t>
        <w:softHyphen/>
        <w:t>кулярный узел может полностью отсутствовать.</w:t>
      </w:r>
    </w:p>
    <w:p>
      <w:pPr>
        <w:pStyle w:val="Style30"/>
        <w:numPr>
          <w:ilvl w:val="0"/>
          <w:numId w:val="163"/>
        </w:numPr>
        <w:tabs>
          <w:tab w:leader="none" w:pos="233"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Наряду со структурными изменениями атриовентри</w:t>
        <w:softHyphen/>
        <w:t>кулярного соединения часто обнаруживается гипо</w:t>
        <w:softHyphen/>
        <w:t>плазия синусового узла.</w:t>
      </w:r>
    </w:p>
    <w:p>
      <w:pPr>
        <w:pStyle w:val="Style92"/>
        <w:widowControl w:val="0"/>
        <w:keepNext/>
        <w:keepLines/>
        <w:shd w:val="clear" w:color="auto" w:fill="auto"/>
        <w:bidi w:val="0"/>
        <w:jc w:val="left"/>
        <w:spacing w:before="0" w:after="0"/>
        <w:ind w:left="0" w:right="0" w:firstLine="280"/>
      </w:pPr>
      <w:r>
        <w:br w:type="column"/>
      </w:r>
      <w:bookmarkStart w:id="827" w:name="bookmark827"/>
      <w:r>
        <w:rPr>
          <w:lang w:val="ru-RU" w:eastAsia="ru-RU" w:bidi="ru-RU"/>
          <w:w w:val="100"/>
          <w:spacing w:val="0"/>
          <w:color w:val="000000"/>
          <w:position w:val="0"/>
        </w:rPr>
        <w:t>Наследственные формы полных атриовентрикулярных блокад</w:t>
      </w:r>
      <w:bookmarkEnd w:id="827"/>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Полная атриовентрикулярная блокада может наблю</w:t>
        <w:softHyphen/>
        <w:t>даться при некоторых наследственных заболеваниях обмена веществ, таких как гликогеноз II, V типа и му- кополисахаридоз I и II типа, при болезни Лева и Ле- негра.</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Болезнь Ленегра — первичное склеродегенеративное заболевание в пределах проводящей системы без во</w:t>
        <w:softHyphen/>
        <w:t>влечения миокарда или фиброзного скелета. Она про</w:t>
        <w:softHyphen/>
        <w:t>является в основном блокадой правой ножки в соче</w:t>
        <w:softHyphen/>
        <w:t>тании с блокадой передневерхнего развлетвления ле</w:t>
        <w:softHyphen/>
        <w:t>вой ножки. Иногда болезнь Ленегра называют идио</w:t>
        <w:softHyphen/>
        <w:t>патическим двусторонним фиброзом ножек Гиса.</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Болезнь Лева — прогрессирующий склероз и кальци</w:t>
        <w:softHyphen/>
        <w:t>нирование левой стороны сердечного скелета, захва</w:t>
        <w:softHyphen/>
        <w:t>тывающие кольцо митрального клапана и основание его створок, центральное фиброзное тело, мембра</w:t>
        <w:softHyphen/>
        <w:t>нозную часть межжелудочковой перегородки и аор</w:t>
        <w:softHyphen/>
        <w:t>тальное кольцо.</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en-US" w:eastAsia="en-US" w:bidi="en-US"/>
          <w:w w:val="100"/>
          <w:spacing w:val="0"/>
          <w:color w:val="000000"/>
          <w:position w:val="0"/>
        </w:rPr>
        <w:t xml:space="preserve">R.Dhingra </w:t>
      </w:r>
      <w:r>
        <w:rPr>
          <w:lang w:val="ru-RU" w:eastAsia="ru-RU" w:bidi="ru-RU"/>
          <w:w w:val="100"/>
          <w:spacing w:val="0"/>
          <w:color w:val="000000"/>
          <w:position w:val="0"/>
        </w:rPr>
        <w:t>и соавт. (1974) указали три критерия, по</w:t>
        <w:softHyphen/>
        <w:t>зволяющие диагностировать болезни Лева и Ленегра: возникновение прогрессирующей внутрижелудочко</w:t>
        <w:softHyphen/>
        <w:t>вой блокады, более или менее быстро заканчиваю</w:t>
        <w:softHyphen/>
        <w:t>щейся формированием атриовентрикулярного блока ниже общего ствола пучка Гиса; отсутствие каких-ли</w:t>
        <w:softHyphen/>
        <w:t>бо других органических заболеваний сердца. В наше время следует добавить четвертый признак — эхокар</w:t>
        <w:softHyphen/>
        <w:t>диографические указания на фиброз в области меж</w:t>
        <w:softHyphen/>
        <w:t>желудочковой перегородки.</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 гликогенозе II типа (болезнь Помпе) имеет место наследственный дефицит кислой альфа-1,4-глюкози- дазы (кислой мальтозы). Кислая мальтоза локализу</w:t>
        <w:softHyphen/>
        <w:t>ется в лизосомах и осуществляет гидролиз гликогена и других олигосахаридов до свободной глюкозы. Гли</w:t>
        <w:softHyphen/>
        <w:t>коген накапливается в лизосомах и цитоплазме мио</w:t>
        <w:softHyphen/>
        <w:t>карда (сократительном и в проводящей системе серд</w:t>
        <w:softHyphen/>
        <w:t>ца). В сердце замещение миофибрилл гликогеновы- ми отложениями ведет к значительному увеличению его массы и размеров и к снижению его сократимос</w:t>
        <w:softHyphen/>
        <w:t>ти. Стенки желудочков и межжелудочковая перего</w:t>
        <w:softHyphen/>
        <w:t>родка утолщаются. На поздних стадиях заболевания наблюдается дилатация полостей сердца.</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Гликогеноз V типа (болезнь Мак-Ардля) развивается из-за недостатка мышечной фосфорилазной актив</w:t>
        <w:softHyphen/>
        <w:t>ности, в связи с чем гликоген накапливается в избыт</w:t>
        <w:softHyphen/>
        <w:t>ке в мышцах. Поражение сердечно-сосудистой систе</w:t>
        <w:softHyphen/>
        <w:t>мы обычно протекает латентно в виде функциональ</w:t>
        <w:softHyphen/>
        <w:t>ных нарушений. На ЭКГ может обнаруживаться си</w:t>
        <w:softHyphen/>
        <w:t>нусовая брадикардия, атриовентрикулярная блокада различной степени, увеличение амплитуды комплек</w:t>
        <w:softHyphen/>
        <w:t xml:space="preserve">са </w:t>
      </w:r>
      <w:r>
        <w:rPr>
          <w:lang w:val="en-US" w:eastAsia="en-US" w:bidi="en-US"/>
          <w:w w:val="100"/>
          <w:spacing w:val="0"/>
          <w:color w:val="000000"/>
          <w:position w:val="0"/>
        </w:rPr>
        <w:t>QRS.</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Мукополисахаридозы — группа заболеваний, обус</w:t>
        <w:softHyphen/>
        <w:t>ловленных генетическим дефектом ферментного рас</w:t>
        <w:softHyphen/>
        <w:t>щепления углеводной части молекулы мукополисаха</w:t>
        <w:softHyphen/>
        <w:t>ридов, что приводит к неполноценному строению со</w:t>
        <w:softHyphen/>
        <w:t>единительной ткани.</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pict>
          <v:shape id="_x0000_s1857" type="#_x0000_t75" style="position:absolute;margin-left:130.8pt;margin-top:738.25pt;width:209.75pt;height:14.9pt;z-index:-125828782;mso-wrap-distance-left:124.8pt;mso-wrap-distance-right:148.1pt;mso-wrap-distance-bottom:10.8pt;mso-position-horizontal-relative:margin;mso-position-vertical-relative:margin" wrapcoords="0 0 21600 0 21600 21600 0 21600 0 0">
            <v:imagedata r:id="rId1336" r:href="rId1337"/>
            <w10:wrap type="topAndBottom" anchorx="margin" anchory="margin"/>
          </v:shape>
        </w:pict>
      </w:r>
      <w:r>
        <w:rPr>
          <w:lang w:val="ru-RU" w:eastAsia="ru-RU" w:bidi="ru-RU"/>
          <w:w w:val="100"/>
          <w:spacing w:val="0"/>
          <w:color w:val="000000"/>
          <w:position w:val="0"/>
        </w:rPr>
        <w:t>При мукополисахаридозе I типа наблюдается дефицит а^-идуронидазы, которая является лизосомальной гидролазой — главным ферментом катаболизма муко</w:t>
        <w:softHyphen/>
        <w:t>полисахаридов. В настоящее время выделяют три фе</w:t>
        <w:softHyphen/>
        <w:t>нотипа болезни: синдром Гурлера (мукополисахари-</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доз </w:t>
      </w:r>
      <w:r>
        <w:rPr>
          <w:lang w:val="en-US" w:eastAsia="en-US" w:bidi="en-US"/>
          <w:w w:val="100"/>
          <w:spacing w:val="0"/>
          <w:color w:val="000000"/>
          <w:position w:val="0"/>
        </w:rPr>
        <w:t xml:space="preserve">I H), </w:t>
      </w:r>
      <w:r>
        <w:rPr>
          <w:lang w:val="ru-RU" w:eastAsia="ru-RU" w:bidi="ru-RU"/>
          <w:w w:val="100"/>
          <w:spacing w:val="0"/>
          <w:color w:val="000000"/>
          <w:position w:val="0"/>
        </w:rPr>
        <w:t xml:space="preserve">синдром Шейе (мукополисахаридоз </w:t>
      </w:r>
      <w:r>
        <w:rPr>
          <w:lang w:val="en-US" w:eastAsia="en-US" w:bidi="en-US"/>
          <w:w w:val="100"/>
          <w:spacing w:val="0"/>
          <w:color w:val="000000"/>
          <w:position w:val="0"/>
        </w:rPr>
        <w:t xml:space="preserve">I S) </w:t>
      </w:r>
      <w:r>
        <w:rPr>
          <w:lang w:val="ru-RU" w:eastAsia="ru-RU" w:bidi="ru-RU"/>
          <w:w w:val="100"/>
          <w:spacing w:val="0"/>
          <w:color w:val="000000"/>
          <w:position w:val="0"/>
        </w:rPr>
        <w:t xml:space="preserve">и синдром Гурлера-Шейе (мукополисахаридоз </w:t>
      </w:r>
      <w:r>
        <w:rPr>
          <w:lang w:val="en-US" w:eastAsia="en-US" w:bidi="en-US"/>
          <w:w w:val="100"/>
          <w:spacing w:val="0"/>
          <w:color w:val="000000"/>
          <w:position w:val="0"/>
        </w:rPr>
        <w:t xml:space="preserve">I H/S). </w:t>
      </w:r>
      <w:r>
        <w:rPr>
          <w:lang w:val="ru-RU" w:eastAsia="ru-RU" w:bidi="ru-RU"/>
          <w:w w:val="100"/>
          <w:spacing w:val="0"/>
          <w:color w:val="000000"/>
          <w:position w:val="0"/>
        </w:rPr>
        <w:t>Поражение сердца наблюдается в большинстве случа</w:t>
        <w:softHyphen/>
        <w:t>ев при синдроме Гурлера. При этой болезни наблюда</w:t>
        <w:softHyphen/>
        <w:t>ются изменения клапанов сердца, миокарда с пораже</w:t>
        <w:softHyphen/>
        <w:t>нием проводящей системы сердца, эндокарда, круп</w:t>
        <w:softHyphen/>
        <w:t>ных артерий, в том числе коронарных сосудов.</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Мукополисахаридоз II типа (синдром Хантера) свя</w:t>
        <w:softHyphen/>
        <w:t>зан с дефицитом фермента а^-идуросульфатсульфа- тазы, в результате чего в соединительной ткани на</w:t>
        <w:softHyphen/>
        <w:t>капливается гликозаминогликан. Поражение сердца наблюдается у большинства больных. Как и при му- кополисахаридозе I типа, могут возникать поражение клапанов, эндомиокарда, коронарных артерий. По</w:t>
        <w:softHyphen/>
        <w:t>ражение мио- и эндокарда клинически протекает по рестриктивному типу длительное время латентно. Морфологически в миокарде и эндокарде обнаружи</w:t>
        <w:softHyphen/>
        <w:t>ваются небольшие суданофильные клетки (отложе</w:t>
        <w:softHyphen/>
        <w:t>ние гликолипидов).</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Известен ряд наследственно обусловленных состоя</w:t>
        <w:softHyphen/>
        <w:t>ний, таких как синдром Керна-Сейра и болезнь Фаб</w:t>
        <w:softHyphen/>
        <w:t>ри, при которых полная атриовентрикулярная блока</w:t>
        <w:softHyphen/>
        <w:t>да формирует симптомокомплекс синдрома.</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Синдром Керна-Сейра </w:t>
      </w:r>
      <w:r>
        <w:rPr>
          <w:lang w:val="en-US" w:eastAsia="en-US" w:bidi="en-US"/>
          <w:w w:val="100"/>
          <w:spacing w:val="0"/>
          <w:color w:val="000000"/>
          <w:position w:val="0"/>
        </w:rPr>
        <w:t xml:space="preserve">(Keam-Sayres) </w:t>
      </w:r>
      <w:r>
        <w:rPr>
          <w:lang w:val="ru-RU" w:eastAsia="ru-RU" w:bidi="ru-RU"/>
          <w:w w:val="100"/>
          <w:spacing w:val="0"/>
          <w:color w:val="000000"/>
          <w:position w:val="0"/>
        </w:rPr>
        <w:t>— офтальмопле</w:t>
        <w:softHyphen/>
        <w:t>гия плюс. Этот синдром включает прогрессирующую офтальмоплегию, пигментную дегенерацию сетчатки и прогрессирующую атриовентрикулярную блокаду вплоть до поперечного блока. Развернутая клиничес</w:t>
        <w:softHyphen/>
        <w:t>кая симптоматика появляется в возрасте до 20 лет. Обычно вначале появляется офтальмоплегия; рети</w:t>
        <w:softHyphen/>
        <w:t>нопатия и атриовентрикулярная блокада выявляют</w:t>
        <w:softHyphen/>
        <w:t>ся, как правило, позже. Развернутый синдромоком</w:t>
        <w:softHyphen/>
        <w:t>плекс обозначают «офтальмоплегия плюс». Он харак</w:t>
        <w:softHyphen/>
        <w:t>теризуется птозом, низким ростом, умеренной или легкой нервной дегенерацией, дисфагией, слабостью проксимальной или дистальной мускулатуры. Допол</w:t>
        <w:softHyphen/>
        <w:t>нительными аномалиями, встречающимися при син</w:t>
        <w:softHyphen/>
        <w:t>дроме Керна-Сейра, являются: арахнодактилия, де</w:t>
        <w:softHyphen/>
        <w:t>формация грудной клетки, готическое небо, высокая миопия.</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Ранее считалось, что синдром Керна-Сейра возника</w:t>
        <w:softHyphen/>
        <w:t>ет спорадически. Затем были сообщены семейные случаи заболевания и подтверждена возможность как аутосомно-рецессивного, так и аутосомно-доминант- ного наследования. Установлено, что семейные фор</w:t>
        <w:softHyphen/>
        <w:t>мы синдрома могут иметь митохондриальное насле</w:t>
        <w:softHyphen/>
        <w:t>дование. Большинство митохондриальных фермен</w:t>
        <w:softHyphen/>
        <w:t>тов кодируются нуклеарными генами, однако ряд эн</w:t>
        <w:softHyphen/>
        <w:t>зимов — исключительно митохондриальной ДНК. Поскольку число материнских митохондрий существенно варьирует с возрастом, этим фактором объясняют различную клиническую проявляемость синдрома.</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Поражение сердца характеризуется блокадой атрио</w:t>
        <w:softHyphen/>
        <w:t>вентрикулярного проведения вплоть до развития по</w:t>
        <w:softHyphen/>
        <w:t xml:space="preserve">перечного блока с возникновением приступов Мор- ганьи-Адамса-Стокса. Блок находится на уровне </w:t>
      </w:r>
      <w:r>
        <w:rPr>
          <w:lang w:val="en-US" w:eastAsia="en-US" w:bidi="en-US"/>
          <w:w w:val="100"/>
          <w:spacing w:val="0"/>
          <w:color w:val="000000"/>
          <w:position w:val="0"/>
        </w:rPr>
        <w:t xml:space="preserve">H-V, </w:t>
      </w:r>
      <w:r>
        <w:rPr>
          <w:lang w:val="ru-RU" w:eastAsia="ru-RU" w:bidi="ru-RU"/>
          <w:w w:val="100"/>
          <w:spacing w:val="0"/>
          <w:color w:val="000000"/>
          <w:position w:val="0"/>
        </w:rPr>
        <w:t xml:space="preserve">при этом </w:t>
      </w:r>
      <w:r>
        <w:rPr>
          <w:lang w:val="en-US" w:eastAsia="en-US" w:bidi="en-US"/>
          <w:w w:val="100"/>
          <w:spacing w:val="0"/>
          <w:color w:val="000000"/>
          <w:position w:val="0"/>
        </w:rPr>
        <w:t xml:space="preserve">A-H </w:t>
      </w:r>
      <w:r>
        <w:rPr>
          <w:lang w:val="ru-RU" w:eastAsia="ru-RU" w:bidi="ru-RU"/>
          <w:w w:val="100"/>
          <w:spacing w:val="0"/>
          <w:color w:val="000000"/>
          <w:position w:val="0"/>
        </w:rPr>
        <w:t>проведение не нарушено. При пораже</w:t>
        <w:softHyphen/>
        <w:t>нии сердечно-сосудистой системы может наблюдатся также медленно прогрессирующая дилатационная кардиомиопатия. При биопсии определяются такие изменения митохондрий, как: большие, аномальной</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формы, с извитыми кристами, паракристаллически- ми включениями митохондрии, увеличение их коли</w:t>
        <w:softHyphen/>
        <w:t>чества и уменьшение числа миофибрилл. Высказыва</w:t>
        <w:softHyphen/>
        <w:t>ется предположение, что при синдроме Керна-Сейра во всех случаях имеет место митохондриальная мио- патия, однако последняя носит латентный характер, клинически не успевает проявиться из -за поперечно - го блока, определяющего преждевременную смерть больных.</w:t>
      </w:r>
    </w:p>
    <w:p>
      <w:pPr>
        <w:pStyle w:val="Style30"/>
        <w:numPr>
          <w:ilvl w:val="0"/>
          <w:numId w:val="1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Болезнь Фабри является Х-сцепленным липидозом с поражением кожи, сердечно-сосудистой и перифе</w:t>
        <w:softHyphen/>
        <w:t>рической нервной систем. При этом заболевании происходит накопление в тканях сфинголипидов га- лактозилцерамида вследствие генетически детерми</w:t>
        <w:softHyphen/>
        <w:t>нированного дефицита лизосомального фермента тригексозилцерамид альфа-галактозидазы.</w:t>
      </w:r>
    </w:p>
    <w:p>
      <w:pPr>
        <w:pStyle w:val="Style30"/>
        <w:numPr>
          <w:ilvl w:val="0"/>
          <w:numId w:val="1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Поражение сердца при болезни Фабри многообразно и в большинстве случаев определяет прогноз заболе</w:t>
        <w:softHyphen/>
        <w:t>вания. При этой болезни наблюдаются: гипертрофи</w:t>
        <w:softHyphen/>
        <w:t>ческая кардиомиопатия, клапанная дисфункция, на</w:t>
        <w:softHyphen/>
        <w:t>рушения ритма сердца и проводимости, тромбоэмбо</w:t>
        <w:softHyphen/>
        <w:t>лические нарушения, реноваскулярная гипертензия. Нарушения ритма сердца и проводимости проявля</w:t>
        <w:softHyphen/>
        <w:t>ются различными вариантами гетеротропных арит</w:t>
        <w:softHyphen/>
        <w:t>мий и блокад и связаны с поражением синусового и атриовентрикулярного узлов. Слабость синусового узла диагностируется по наличию патологической (симптомной) брадикардии, мерцания-трепетания предсердий. При поражении атриовентрикулярного соединения развивается поперечная атриовентрику</w:t>
        <w:softHyphen/>
        <w:t>лярная блокада, возникновение которой обусловлено аккумуляцией липидов в атриовентрикулярном узле.</w:t>
      </w:r>
    </w:p>
    <w:p>
      <w:pPr>
        <w:pStyle w:val="Style30"/>
        <w:numPr>
          <w:ilvl w:val="0"/>
          <w:numId w:val="163"/>
        </w:numPr>
        <w:tabs>
          <w:tab w:leader="none" w:pos="520"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Распространенное поражение проводящей системы может обусловить сочетание поперечного атриовент</w:t>
        <w:softHyphen/>
        <w:t>рикулярного блока со слабостью синусового узла. Слабость синусового и атриовентрикулярного узлов лежат в основе синдрома внезапной смерти больных болезнью Фабри, в этой связи при развитии симп</w:t>
        <w:softHyphen/>
        <w:t>томной брадикардии больным показана имплантация водителя ритма.</w:t>
      </w:r>
    </w:p>
    <w:p>
      <w:pPr>
        <w:pStyle w:val="Style30"/>
        <w:numPr>
          <w:ilvl w:val="0"/>
          <w:numId w:val="163"/>
        </w:numPr>
        <w:tabs>
          <w:tab w:leader="none" w:pos="520"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Полная атриовентрикулярная блокада входит в симп - томокомплекс семейной рестриктивной кардиомиопа</w:t>
        <w:softHyphen/>
        <w:t>тии в сочетании со скелетной миопатией. Симптома</w:t>
        <w:softHyphen/>
        <w:t>тика манифестирует на 3-4 декаде жизни, однако уже в детстве можно отметить повышенное диастоличес</w:t>
        <w:softHyphen/>
        <w:t>кое давление в желудочках, приводящее к расшире</w:t>
        <w:softHyphen/>
        <w:t>нию обоих предсердий. Отмечаются неспецифичес</w:t>
        <w:softHyphen/>
        <w:t xml:space="preserve">кие изменения интервалов </w:t>
      </w:r>
      <w:r>
        <w:rPr>
          <w:lang w:val="en-US" w:eastAsia="en-US" w:bidi="en-US"/>
          <w:w w:val="100"/>
          <w:spacing w:val="0"/>
          <w:color w:val="000000"/>
          <w:position w:val="0"/>
        </w:rPr>
        <w:t>ST</w:t>
      </w:r>
      <w:r>
        <w:rPr>
          <w:lang w:val="ru-RU" w:eastAsia="ru-RU" w:bidi="ru-RU"/>
          <w:w w:val="100"/>
          <w:spacing w:val="0"/>
          <w:color w:val="000000"/>
          <w:position w:val="0"/>
        </w:rPr>
        <w:t>-Т на ЭКГ. Специфиче</w:t>
        <w:softHyphen/>
        <w:t>ских морфологических изменений биоптатов мио</w:t>
        <w:softHyphen/>
        <w:t>карда и скелетных мышц обычно не обнаруживается. В основе синдрома лежит структурный дефект мито</w:t>
        <w:softHyphen/>
        <w:t>хондрий.</w:t>
      </w:r>
    </w:p>
    <w:p>
      <w:pPr>
        <w:pStyle w:val="Style92"/>
        <w:widowControl w:val="0"/>
        <w:keepNext/>
        <w:keepLines/>
        <w:shd w:val="clear" w:color="auto" w:fill="auto"/>
        <w:bidi w:val="0"/>
        <w:jc w:val="left"/>
        <w:spacing w:before="0" w:after="0"/>
        <w:ind w:left="0" w:right="0" w:firstLine="280"/>
      </w:pPr>
      <w:bookmarkStart w:id="828" w:name="bookmark828"/>
      <w:r>
        <w:rPr>
          <w:lang w:val="ru-RU" w:eastAsia="ru-RU" w:bidi="ru-RU"/>
          <w:w w:val="100"/>
          <w:spacing w:val="0"/>
          <w:color w:val="000000"/>
          <w:position w:val="0"/>
        </w:rPr>
        <w:t>Приобретенные формы полных атриовентрикулярных бло</w:t>
        <w:softHyphen/>
        <w:t>кад</w:t>
      </w:r>
      <w:bookmarkEnd w:id="828"/>
    </w:p>
    <w:p>
      <w:pPr>
        <w:pStyle w:val="Style30"/>
        <w:numPr>
          <w:ilvl w:val="0"/>
          <w:numId w:val="163"/>
        </w:numPr>
        <w:tabs>
          <w:tab w:leader="none" w:pos="520" w:val="left"/>
        </w:tabs>
        <w:widowControl w:val="0"/>
        <w:keepNext w:val="0"/>
        <w:keepLines w:val="0"/>
        <w:shd w:val="clear" w:color="auto" w:fill="auto"/>
        <w:bidi w:val="0"/>
        <w:spacing w:before="0" w:after="0"/>
        <w:ind w:left="520" w:right="0" w:hanging="240"/>
      </w:pPr>
      <w:r>
        <w:pict>
          <v:shape id="_x0000_s1858" type="#_x0000_t75" style="position:absolute;margin-left:141.7pt;margin-top:738.25pt;width:209.75pt;height:14.9pt;z-index:-125828781;mso-wrap-distance-left:135.35pt;mso-wrap-distance-right:136.8pt;mso-wrap-distance-bottom:10.8pt;mso-position-horizontal-relative:margin;mso-position-vertical-relative:margin" wrapcoords="0 0 21600 0 21600 21600 0 21600 0 0">
            <v:imagedata r:id="rId1338" r:href="rId1339"/>
            <w10:wrap type="topAndBottom" anchorx="margin" anchory="margin"/>
          </v:shape>
        </w:pict>
      </w:r>
      <w:r>
        <w:rPr>
          <w:lang w:val="ru-RU" w:eastAsia="ru-RU" w:bidi="ru-RU"/>
          <w:w w:val="100"/>
          <w:spacing w:val="0"/>
          <w:color w:val="000000"/>
          <w:position w:val="0"/>
        </w:rPr>
        <w:t>Наиболее частой причиной приобретенной полной атриовентрикулярной блокады является вирусная инфекция. Иногда дифференциацию врожденной и приобретенной полной атриовентрикулярной бло</w:t>
        <w:softHyphen/>
        <w:t>кады: провести не представляется возможным. Инте</w:t>
        <w:softHyphen/>
        <w:t>ресно отметить тот факт, что клетки проводящей сис</w:t>
        <w:softHyphen/>
        <w:t>темы, в отличие от клеток сердечной мышцы, содер-</w:t>
      </w:r>
      <w:r>
        <w:br w:type="page"/>
      </w:r>
    </w:p>
    <w:p>
      <w:pPr>
        <w:pStyle w:val="Style30"/>
        <w:widowControl w:val="0"/>
        <w:keepNext w:val="0"/>
        <w:keepLines w:val="0"/>
        <w:shd w:val="clear" w:color="auto" w:fill="auto"/>
        <w:bidi w:val="0"/>
        <w:spacing w:before="0" w:after="0"/>
        <w:ind w:left="260" w:right="0" w:firstLine="0"/>
      </w:pPr>
      <w:r>
        <w:pict>
          <v:shape id="_x0000_s1859" type="#_x0000_t202" style="position:absolute;margin-left:-6.6pt;margin-top:4.55pt;width:225.1pt;height:143.05pt;z-index:-125828780;mso-wrap-distance-left:5.pt;mso-wrap-distance-right:17.05pt;mso-position-horizontal-relative:margin;mso-position-vertical-relative:margin" wrapcoords="1214 0 11397 0 11397 17630 21600 20293 21600 21600 0 21600 0 20293 1214 17630 1214 0" filled="f" stroked="f">
            <v:textbox style="mso-fit-shape-to-text:t" inset="0,0,0,0">
              <w:txbxContent>
                <w:p>
                  <w:pPr>
                    <w:framePr w:h="2861" w:hSpace="341" w:wrap="notBeside" w:hAnchor="margin" w:x="-131" w:y="92"/>
                    <w:widowControl w:val="0"/>
                    <w:jc w:val="center"/>
                    <w:rPr>
                      <w:sz w:val="2"/>
                      <w:szCs w:val="2"/>
                    </w:rPr>
                  </w:pPr>
                  <w:r>
                    <w:pict>
                      <v:shape id="_x0000_s1860" type="#_x0000_t75" style="width:225pt;height:143pt;">
                        <v:imagedata r:id="rId1340" r:href="rId1341"/>
                      </v:shape>
                    </w:pict>
                  </w:r>
                </w:p>
                <w:p>
                  <w:pPr>
                    <w:pStyle w:val="Style120"/>
                    <w:widowControl w:val="0"/>
                    <w:keepNext w:val="0"/>
                    <w:keepLines w:val="0"/>
                    <w:shd w:val="clear" w:color="auto" w:fill="auto"/>
                    <w:bidi w:val="0"/>
                    <w:jc w:val="left"/>
                    <w:spacing w:before="0" w:after="0" w:line="180" w:lineRule="exact"/>
                    <w:ind w:left="0" w:right="0" w:firstLine="0"/>
                  </w:pPr>
                  <w:r>
                    <w:rPr>
                      <w:rStyle w:val="CharStyle122"/>
                    </w:rPr>
                    <w:t xml:space="preserve">Рис. 103. </w:t>
                  </w:r>
                  <w:r>
                    <w:rPr>
                      <w:rStyle w:val="CharStyle121"/>
                    </w:rPr>
                    <w:t xml:space="preserve">Переносчики заболевания — клещи рода </w:t>
                  </w:r>
                  <w:r>
                    <w:rPr>
                      <w:rStyle w:val="CharStyle121"/>
                      <w:lang w:val="en-US" w:eastAsia="en-US" w:bidi="en-US"/>
                    </w:rPr>
                    <w:t xml:space="preserve">Ixodes </w:t>
                  </w:r>
                  <w:r>
                    <w:rPr>
                      <w:rStyle w:val="CharStyle121"/>
                    </w:rPr>
                    <w:t>и кожные проявления заболевания (пятна или папулы больших размеров).</w:t>
                  </w:r>
                </w:p>
              </w:txbxContent>
            </v:textbox>
            <w10:wrap type="topAndBottom" anchorx="margin" anchory="margin"/>
          </v:shape>
        </w:pict>
      </w:r>
      <w:r>
        <w:pict>
          <v:shape id="_x0000_s1861" type="#_x0000_t75" style="position:absolute;margin-left:253.8pt;margin-top:3.1pt;width:196.8pt;height:142.55pt;z-index:-125828779;mso-wrap-distance-left:5.pt;mso-wrap-distance-right:5.pt;mso-position-horizontal-relative:margin;mso-position-vertical-relative:margin" wrapcoords="0 0 21600 0 21600 21600 0 21600 0 0">
            <v:imagedata r:id="rId1342" r:href="rId1343"/>
            <w10:wrap type="topAndBottom" anchorx="margin" anchory="margin"/>
          </v:shape>
        </w:pict>
      </w:r>
      <w:r>
        <w:rPr>
          <w:lang w:val="ru-RU" w:eastAsia="ru-RU" w:bidi="ru-RU"/>
          <w:w w:val="100"/>
          <w:spacing w:val="0"/>
          <w:color w:val="000000"/>
          <w:position w:val="0"/>
        </w:rPr>
        <w:t>жат значительно большее количество гликогена. Этот факт позволяет объяснить причину избирательного поражения проводящей системы сердца при различ</w:t>
        <w:softHyphen/>
        <w:t>ной инфекционной и неинфекционной патологии.</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ряде случаев поперечная блокада может возникнуть как осложнение у детей при спонтанном закрытии дефекта межжелудочковой перегородки или в после</w:t>
        <w:softHyphen/>
        <w:t>операционном периоде, особенно при таких ВПС, как тетрада Фалло, атриовентрикулярная коммуни</w:t>
        <w:softHyphen/>
        <w:t xml:space="preserve">кация, дефект межжелудочковой перегородки, </w:t>
      </w:r>
      <w:r>
        <w:rPr>
          <w:lang w:val="en-US" w:eastAsia="en-US" w:bidi="en-US"/>
          <w:w w:val="100"/>
          <w:spacing w:val="0"/>
          <w:color w:val="000000"/>
          <w:position w:val="0"/>
        </w:rPr>
        <w:t xml:space="preserve">L- </w:t>
      </w:r>
      <w:r>
        <w:rPr>
          <w:lang w:val="ru-RU" w:eastAsia="ru-RU" w:bidi="ru-RU"/>
          <w:w w:val="100"/>
          <w:spacing w:val="0"/>
          <w:color w:val="000000"/>
          <w:position w:val="0"/>
        </w:rPr>
        <w:t>транспозиция магистральных сосудов. Послеопера</w:t>
        <w:softHyphen/>
        <w:t>ционная блокада может носить транзиторный харак</w:t>
        <w:softHyphen/>
        <w:t>тер, при этом сохраняется в течение 2 недель с мо</w:t>
        <w:softHyphen/>
        <w:t>мента операции. Клиническое течение стойкого по</w:t>
        <w:softHyphen/>
        <w:t>перечного блока у детей, оперированных по поводу ВПС, не отличается от такового при врожденных полных атриовентрикулярных блокадах.</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редких случаях поперечный блок в сердце может возникать при мезотелиоме атриовентрикулярного узла. Обычно заболевание носит злокачественный ха</w:t>
        <w:softHyphen/>
        <w:t>рактер, внезапная смерть наблюдается в 80% случаев.</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Болезнь Лайм. В 1975 г. в городе Старый Лайм </w:t>
      </w:r>
      <w:r>
        <w:rPr>
          <w:lang w:val="en-US" w:eastAsia="en-US" w:bidi="en-US"/>
          <w:w w:val="100"/>
          <w:spacing w:val="0"/>
          <w:color w:val="000000"/>
          <w:position w:val="0"/>
        </w:rPr>
        <w:t xml:space="preserve">(Old Lyme) </w:t>
      </w:r>
      <w:r>
        <w:rPr>
          <w:lang w:val="ru-RU" w:eastAsia="ru-RU" w:bidi="ru-RU"/>
          <w:w w:val="100"/>
          <w:spacing w:val="0"/>
          <w:color w:val="000000"/>
          <w:position w:val="0"/>
        </w:rPr>
        <w:t>штата Коннектикут возникла эпидемия олиго- артикулярного артрита у 20 детей, по клинической симптоматике отличающаяся от ревматоидного арт</w:t>
        <w:softHyphen/>
        <w:t>рита наличием в анамнезе укуса клещом и развитием мигрирующей эритемы. В последующем данное забо</w:t>
        <w:softHyphen/>
        <w:t>левание было обозначено болезнью Лайм. В настоя</w:t>
        <w:softHyphen/>
        <w:t>щее время эта болезнь обозначается как комплексное мультисистемное заболевание с вовлечением в про</w:t>
        <w:softHyphen/>
        <w:t>цесс кожи, суставов, нервной системы и сердца. Дру</w:t>
        <w:softHyphen/>
        <w:t>гие названия болезни: системный боррелиоз Лайм, нейроборрелиоз Лайм, системный спирохетоз Лайм. По образному выражению, эта болезнь является «но</w:t>
        <w:softHyphen/>
        <w:t>вым великим симулянтом».</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В настоящее время установлено, что заболевание обусловлено инвазией спирохеты, при укусе клещом рода </w:t>
      </w:r>
      <w:r>
        <w:rPr>
          <w:lang w:val="en-US" w:eastAsia="en-US" w:bidi="en-US"/>
          <w:w w:val="100"/>
          <w:spacing w:val="0"/>
          <w:color w:val="000000"/>
          <w:position w:val="0"/>
        </w:rPr>
        <w:t xml:space="preserve">Ixodes </w:t>
      </w:r>
      <w:r>
        <w:rPr>
          <w:lang w:val="ru-RU" w:eastAsia="ru-RU" w:bidi="ru-RU"/>
          <w:w w:val="100"/>
          <w:spacing w:val="0"/>
          <w:color w:val="000000"/>
          <w:position w:val="0"/>
        </w:rPr>
        <w:t>(рис. 103).</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Примерно каждый пятый клещ рода </w:t>
      </w:r>
      <w:r>
        <w:rPr>
          <w:lang w:val="en-US" w:eastAsia="en-US" w:bidi="en-US"/>
          <w:w w:val="100"/>
          <w:spacing w:val="0"/>
          <w:color w:val="000000"/>
          <w:position w:val="0"/>
        </w:rPr>
        <w:t xml:space="preserve">Ixodes ricinus </w:t>
      </w:r>
      <w:r>
        <w:rPr>
          <w:lang w:val="ru-RU" w:eastAsia="ru-RU" w:bidi="ru-RU"/>
          <w:w w:val="100"/>
          <w:spacing w:val="0"/>
          <w:color w:val="000000"/>
          <w:position w:val="0"/>
        </w:rPr>
        <w:t>ин</w:t>
        <w:softHyphen/>
        <w:t xml:space="preserve">фицирован </w:t>
      </w:r>
      <w:r>
        <w:rPr>
          <w:lang w:val="en-US" w:eastAsia="en-US" w:bidi="en-US"/>
          <w:w w:val="100"/>
          <w:spacing w:val="0"/>
          <w:color w:val="000000"/>
          <w:position w:val="0"/>
        </w:rPr>
        <w:t xml:space="preserve">(Heininger U. </w:t>
      </w:r>
      <w:r>
        <w:rPr>
          <w:lang w:val="ru-RU" w:eastAsia="ru-RU" w:bidi="ru-RU"/>
          <w:w w:val="100"/>
          <w:spacing w:val="0"/>
          <w:color w:val="000000"/>
          <w:position w:val="0"/>
        </w:rPr>
        <w:t xml:space="preserve">с соавт., 1993). Спирохета имеет характеристики как трепонемы, так и борре- лии. Данный вид спирохеты обозначают </w:t>
      </w:r>
      <w:r>
        <w:rPr>
          <w:lang w:val="en-US" w:eastAsia="en-US" w:bidi="en-US"/>
          <w:w w:val="100"/>
          <w:spacing w:val="0"/>
          <w:color w:val="000000"/>
          <w:position w:val="0"/>
        </w:rPr>
        <w:t xml:space="preserve">Borrelia burgdorferi. </w:t>
      </w:r>
      <w:r>
        <w:rPr>
          <w:lang w:val="ru-RU" w:eastAsia="ru-RU" w:bidi="ru-RU"/>
          <w:w w:val="100"/>
          <w:spacing w:val="0"/>
          <w:color w:val="000000"/>
          <w:position w:val="0"/>
        </w:rPr>
        <w:t>Возбудитель высевается из кожи, цереб</w:t>
        <w:softHyphen/>
      </w:r>
    </w:p>
    <w:p>
      <w:pPr>
        <w:pStyle w:val="Style30"/>
        <w:widowControl w:val="0"/>
        <w:keepNext w:val="0"/>
        <w:keepLines w:val="0"/>
        <w:shd w:val="clear" w:color="auto" w:fill="auto"/>
        <w:bidi w:val="0"/>
        <w:spacing w:before="0" w:after="0"/>
        <w:ind w:left="0" w:right="0" w:firstLine="0"/>
      </w:pPr>
      <w:r>
        <w:br w:type="column"/>
      </w:r>
      <w:r>
        <w:rPr>
          <w:lang w:val="ru-RU" w:eastAsia="ru-RU" w:bidi="ru-RU"/>
          <w:w w:val="100"/>
          <w:spacing w:val="0"/>
          <w:color w:val="000000"/>
          <w:position w:val="0"/>
        </w:rPr>
        <w:t>роспинальной жидкости, суставного пунктата и мио</w:t>
        <w:softHyphen/>
        <w:t>карда. Эндемическими зонами возбудителя являются северо-восточная и западная зоны штатов Миннесо</w:t>
        <w:softHyphen/>
        <w:t>та и Висконсин (США). Сообщено большое число случаев заболевания в Европе, Австралии, Китае, Японии, России.</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В эндемичных по заболеванию районах США частота болезни Лайм среди детей достигает 10,1 на 1000 в год, а серопозитивное носительство — 3,8 на 1000 в год </w:t>
      </w:r>
      <w:r>
        <w:rPr>
          <w:lang w:val="en-US" w:eastAsia="en-US" w:bidi="en-US"/>
          <w:w w:val="100"/>
          <w:spacing w:val="0"/>
          <w:color w:val="000000"/>
          <w:position w:val="0"/>
        </w:rPr>
        <w:t xml:space="preserve">(Feder H.M. </w:t>
      </w:r>
      <w:r>
        <w:rPr>
          <w:lang w:val="ru-RU" w:eastAsia="ru-RU" w:bidi="ru-RU"/>
          <w:w w:val="100"/>
          <w:spacing w:val="0"/>
          <w:color w:val="000000"/>
          <w:position w:val="0"/>
        </w:rPr>
        <w:t>с соавт., 1995). В Европе часто</w:t>
        <w:softHyphen/>
        <w:t>та болезни Лайм составляет 5,8 случая на 100 000 де</w:t>
        <w:softHyphen/>
        <w:t xml:space="preserve">тей 1-15 лет </w:t>
      </w:r>
      <w:r>
        <w:rPr>
          <w:lang w:val="en-US" w:eastAsia="en-US" w:bidi="en-US"/>
          <w:w w:val="100"/>
          <w:spacing w:val="0"/>
          <w:color w:val="000000"/>
          <w:position w:val="0"/>
        </w:rPr>
        <w:t xml:space="preserve">(Christen H-J., </w:t>
      </w:r>
      <w:r>
        <w:rPr>
          <w:lang w:val="ru-RU" w:eastAsia="ru-RU" w:bidi="ru-RU"/>
          <w:w w:val="100"/>
          <w:spacing w:val="0"/>
          <w:color w:val="000000"/>
          <w:position w:val="0"/>
        </w:rPr>
        <w:t>1994). В России эндемич</w:t>
        <w:softHyphen/>
        <w:t xml:space="preserve">ные по заболеванию зоны не установлены, однако иксодовые клещи как переносчики трансмиссивной болезни имеют широкое распространение. </w:t>
      </w:r>
      <w:r>
        <w:rPr>
          <w:lang w:val="en-US" w:eastAsia="en-US" w:bidi="en-US"/>
          <w:w w:val="100"/>
          <w:spacing w:val="0"/>
          <w:color w:val="000000"/>
          <w:position w:val="0"/>
        </w:rPr>
        <w:t xml:space="preserve">Ananjeva L.P. </w:t>
      </w:r>
      <w:r>
        <w:rPr>
          <w:lang w:val="ru-RU" w:eastAsia="ru-RU" w:bidi="ru-RU"/>
          <w:w w:val="100"/>
          <w:spacing w:val="0"/>
          <w:color w:val="000000"/>
          <w:position w:val="0"/>
        </w:rPr>
        <w:t>с соавт.,(1995) обследовали 86 детей с болезнью Лайм из различных регионов России и ближнего за</w:t>
        <w:softHyphen/>
        <w:t>рубежья.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Заболеваемость детей значительно выше, чем взрос</w:t>
        <w:softHyphen/>
        <w:t xml:space="preserve">лых </w:t>
      </w:r>
      <w:r>
        <w:rPr>
          <w:lang w:val="en-US" w:eastAsia="en-US" w:bidi="en-US"/>
          <w:w w:val="100"/>
          <w:spacing w:val="0"/>
          <w:color w:val="000000"/>
          <w:position w:val="0"/>
        </w:rPr>
        <w:t xml:space="preserve">(Shapiro E.D., </w:t>
      </w:r>
      <w:r>
        <w:rPr>
          <w:lang w:val="ru-RU" w:eastAsia="ru-RU" w:bidi="ru-RU"/>
          <w:w w:val="100"/>
          <w:spacing w:val="0"/>
          <w:color w:val="000000"/>
          <w:position w:val="0"/>
        </w:rPr>
        <w:t>1995). Фактором риска болезни яв</w:t>
        <w:softHyphen/>
        <w:t>ляется проживание около воды и лесных массивов. Хотя факт заражения при укусе клещами не вызывает сомнений, однако при анализе 848 верифицирован</w:t>
        <w:softHyphen/>
        <w:t>ных случаев болезни Лайм в Словении только 73% больных могли отметить момент укуса клещом, в 27% случаев данный факт оставался незамеченным. Ни в одном случае не подтверждено передачи заболе</w:t>
        <w:softHyphen/>
        <w:t>вания через воду, молоко, продукты питания и от че</w:t>
        <w:softHyphen/>
        <w:t>ловека к человеку.</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Болезнь Лайм в 95% случаев возникает в период с ию</w:t>
        <w:softHyphen/>
        <w:t xml:space="preserve">ня по декабрь </w:t>
      </w:r>
      <w:r>
        <w:rPr>
          <w:lang w:val="en-US" w:eastAsia="en-US" w:bidi="en-US"/>
          <w:w w:val="100"/>
          <w:spacing w:val="0"/>
          <w:color w:val="000000"/>
          <w:position w:val="0"/>
        </w:rPr>
        <w:t xml:space="preserve">(Kuiper H., </w:t>
      </w:r>
      <w:r>
        <w:rPr>
          <w:lang w:val="ru-RU" w:eastAsia="ru-RU" w:bidi="ru-RU"/>
          <w:w w:val="100"/>
          <w:spacing w:val="0"/>
          <w:color w:val="000000"/>
          <w:position w:val="0"/>
        </w:rPr>
        <w:t xml:space="preserve">1995). От момента укуса клещом до возникновения заболевания проходит от 2 дней до 1 года, в среднем 3 месяца </w:t>
      </w:r>
      <w:r>
        <w:rPr>
          <w:lang w:val="en-US" w:eastAsia="en-US" w:bidi="en-US"/>
          <w:w w:val="100"/>
          <w:spacing w:val="0"/>
          <w:color w:val="000000"/>
          <w:position w:val="0"/>
        </w:rPr>
        <w:t xml:space="preserve">(Strle F. </w:t>
      </w:r>
      <w:r>
        <w:rPr>
          <w:lang w:val="ru-RU" w:eastAsia="ru-RU" w:bidi="ru-RU"/>
          <w:w w:val="100"/>
          <w:spacing w:val="0"/>
          <w:color w:val="000000"/>
          <w:position w:val="0"/>
        </w:rPr>
        <w:t>с соавт., 1994).</w:t>
      </w:r>
    </w:p>
    <w:p>
      <w:pPr>
        <w:pStyle w:val="Style30"/>
        <w:widowControl w:val="0"/>
        <w:keepNext w:val="0"/>
        <w:keepLines w:val="0"/>
        <w:shd w:val="clear" w:color="auto" w:fill="auto"/>
        <w:bidi w:val="0"/>
        <w:spacing w:before="0" w:after="0"/>
        <w:ind w:left="0" w:right="0" w:firstLine="0"/>
      </w:pPr>
      <w:r>
        <w:pict>
          <v:shape id="_x0000_s1862" type="#_x0000_t75" style="position:absolute;margin-left:130.45pt;margin-top:738.25pt;width:209.75pt;height:14.9pt;z-index:-125828778;mso-wrap-distance-left:124.1pt;mso-wrap-distance-right:148.1pt;mso-wrap-distance-bottom:10.8pt;mso-position-horizontal-relative:margin;mso-position-vertical-relative:margin" wrapcoords="0 0 21600 0 21600 21600 0 21600 0 0">
            <v:imagedata r:id="rId1344" r:href="rId1345"/>
            <w10:wrap type="topAndBottom" anchorx="margin" anchory="margin"/>
          </v:shape>
        </w:pict>
      </w:r>
      <w:r>
        <w:rPr>
          <w:lang w:val="ru-RU" w:eastAsia="ru-RU" w:bidi="ru-RU"/>
          <w:w w:val="100"/>
          <w:spacing w:val="0"/>
          <w:color w:val="000000"/>
          <w:position w:val="0"/>
        </w:rPr>
        <w:t>Принято выделять три стадии заболевания. Первая (ранняя) стадия проявляется так называемой хрони</w:t>
        <w:softHyphen/>
        <w:t>ческой мигрирующей эритемой. Тщательные прос</w:t>
        <w:softHyphen/>
        <w:t xml:space="preserve">пективные исследования </w:t>
      </w:r>
      <w:r>
        <w:rPr>
          <w:lang w:val="en-US" w:eastAsia="en-US" w:bidi="en-US"/>
          <w:w w:val="100"/>
          <w:spacing w:val="0"/>
          <w:color w:val="000000"/>
          <w:position w:val="0"/>
        </w:rPr>
        <w:t xml:space="preserve">Shapiro E.D. </w:t>
      </w:r>
      <w:r>
        <w:rPr>
          <w:lang w:val="ru-RU" w:eastAsia="ru-RU" w:bidi="ru-RU"/>
          <w:w w:val="100"/>
          <w:spacing w:val="0"/>
          <w:color w:val="000000"/>
          <w:position w:val="0"/>
        </w:rPr>
        <w:t>(1995) свиде</w:t>
        <w:softHyphen/>
        <w:t>тельствуют, что мигрирующая эритема у детей наблю - дается в 90% верифицированных случаев болезни. Она начинается в виде красного пятна или папулы, постепенно достигая больших размеров (8-15 см в ди</w:t>
        <w:softHyphen/>
        <w:t>аметре), обычно кольцевидного характера с более</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 xml:space="preserve">светлым наружным краем и уплотненным центром. Кожные проявления могут наблюдаться на любых участках, чаще на лице, за мочками ушей, в области бедер, паховой и подмышечной областях </w:t>
      </w:r>
      <w:r>
        <w:rPr>
          <w:lang w:val="en-US" w:eastAsia="en-US" w:bidi="en-US"/>
          <w:w w:val="100"/>
          <w:spacing w:val="0"/>
          <w:color w:val="000000"/>
          <w:position w:val="0"/>
        </w:rPr>
        <w:t xml:space="preserve">(Feder H.M.Jr.; Hunt M.S., </w:t>
      </w:r>
      <w:r>
        <w:rPr>
          <w:lang w:val="ru-RU" w:eastAsia="ru-RU" w:bidi="ru-RU"/>
          <w:w w:val="100"/>
          <w:spacing w:val="0"/>
          <w:color w:val="000000"/>
          <w:position w:val="0"/>
        </w:rPr>
        <w:t>1995). Через несколько дней после начальных кожных проявлений у боль</w:t>
        <w:softHyphen/>
        <w:t>шинства больных появляются вторичные аннуляр- ные высыпания.</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кожном биоптате мигрирующая эритема проявля</w:t>
        <w:softHyphen/>
        <w:t>ется наличием поверхностных и глубоких периваску- лярных и интерстициальных инфильтратов, содержа</w:t>
        <w:softHyphen/>
        <w:t>щих преимущественно лимфоциты, небольшое коли</w:t>
        <w:softHyphen/>
        <w:t xml:space="preserve">чество эозинофилов и плазматических клеток </w:t>
      </w:r>
      <w:r>
        <w:rPr>
          <w:lang w:val="en-US" w:eastAsia="en-US" w:bidi="en-US"/>
          <w:w w:val="100"/>
          <w:spacing w:val="0"/>
          <w:color w:val="000000"/>
          <w:position w:val="0"/>
        </w:rPr>
        <w:t xml:space="preserve">(WuYS. </w:t>
      </w:r>
      <w:r>
        <w:rPr>
          <w:lang w:val="ru-RU" w:eastAsia="ru-RU" w:bidi="ru-RU"/>
          <w:w w:val="100"/>
          <w:spacing w:val="0"/>
          <w:color w:val="000000"/>
          <w:position w:val="0"/>
        </w:rPr>
        <w:t>ссоавт., 1993).</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Поражение кожи обычно сопровождается такими проявлениями, как недомогание, слабость, лихорад</w:t>
        <w:softHyphen/>
        <w:t>ка (иногда достигает высоких значений), озноб, гене</w:t>
        <w:softHyphen/>
        <w:t>рализованная болезненность и региональная лимфа- денопатия. У некоторых детей могут возникать ме</w:t>
        <w:softHyphen/>
        <w:t>нингеальная ирритация, легкая энцефалопатия, миг</w:t>
        <w:softHyphen/>
        <w:t>рирующие мышечные боли, гепатит, генерализован</w:t>
        <w:softHyphen/>
        <w:t>ная лимфаденопатия, спленомегалия, боль в горле, непродуктивный кашель и отечность яичек.</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Примерно в 10-15% случаев ранняя стадия проявля</w:t>
        <w:softHyphen/>
        <w:t xml:space="preserve">ется только продолжительным синдромом усталости и недомоганием при отсутствии эритемы </w:t>
      </w:r>
      <w:r>
        <w:rPr>
          <w:lang w:val="en-US" w:eastAsia="en-US" w:bidi="en-US"/>
          <w:w w:val="100"/>
          <w:spacing w:val="0"/>
          <w:color w:val="000000"/>
          <w:position w:val="0"/>
        </w:rPr>
        <w:t xml:space="preserve">(Coyle P.K. </w:t>
      </w:r>
      <w:r>
        <w:rPr>
          <w:lang w:val="ru-RU" w:eastAsia="ru-RU" w:bidi="ru-RU"/>
          <w:w w:val="100"/>
          <w:spacing w:val="0"/>
          <w:color w:val="000000"/>
          <w:position w:val="0"/>
        </w:rPr>
        <w:t>с соавт., 1994).</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Продолжительность первой стадии обычно составля</w:t>
        <w:softHyphen/>
        <w:t>ет несколько недель, во время которой симптомы бо</w:t>
        <w:softHyphen/>
        <w:t>лезни могут интермиттировать.</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 выздоровлении на месте эритематозных высыпа</w:t>
        <w:softHyphen/>
        <w:t>ний могут образовываться участки склероза и атро</w:t>
        <w:softHyphen/>
        <w:t xml:space="preserve">фии </w:t>
      </w:r>
      <w:r>
        <w:rPr>
          <w:lang w:val="en-US" w:eastAsia="en-US" w:bidi="en-US"/>
          <w:w w:val="100"/>
          <w:spacing w:val="0"/>
          <w:color w:val="000000"/>
          <w:position w:val="0"/>
        </w:rPr>
        <w:t xml:space="preserve">(Trevisan G. </w:t>
      </w:r>
      <w:r>
        <w:rPr>
          <w:lang w:val="ru-RU" w:eastAsia="ru-RU" w:bidi="ru-RU"/>
          <w:w w:val="100"/>
          <w:spacing w:val="0"/>
          <w:color w:val="000000"/>
          <w:position w:val="0"/>
        </w:rPr>
        <w:t>с соавт., 1994).</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Вторая стадия заболевания возникает в среднем через 1 месяц после первой стадии. Она проявляется пре</w:t>
        <w:softHyphen/>
        <w:t>имущественно неврологическими и кардиологичес</w:t>
        <w:softHyphen/>
        <w:t>кими нарушениями, при этом ранняя стадия заболе</w:t>
        <w:softHyphen/>
        <w:t>вания часто просматривается.</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Неврологические проявления характеризуются асеп</w:t>
        <w:softHyphen/>
        <w:t>тическим менингитом, энцефалитом, хореей, цере- беллярной атаксией, невритом лицевого нерва, мо</w:t>
        <w:softHyphen/>
        <w:t xml:space="preserve">торным и сенсорным радикулоневритом и миелитом </w:t>
      </w:r>
      <w:r>
        <w:rPr>
          <w:lang w:val="en-US" w:eastAsia="en-US" w:bidi="en-US"/>
          <w:w w:val="100"/>
          <w:spacing w:val="0"/>
          <w:color w:val="000000"/>
          <w:position w:val="0"/>
        </w:rPr>
        <w:t xml:space="preserve">(Pierart F. c </w:t>
      </w:r>
      <w:r>
        <w:rPr>
          <w:lang w:val="ru-RU" w:eastAsia="ru-RU" w:bidi="ru-RU"/>
          <w:w w:val="100"/>
          <w:spacing w:val="0"/>
          <w:color w:val="000000"/>
          <w:position w:val="0"/>
        </w:rPr>
        <w:t>соавт., 1995).</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Различают острое, подострое и хроническое течение нейроборрелиоза Лайм. Острая форма обычно начи</w:t>
        <w:softHyphen/>
        <w:t>нается внезапно с развитием пареза лицевого нерва, в последующем присоединяется симптоматика ме</w:t>
        <w:softHyphen/>
        <w:t xml:space="preserve">нингита. В люмбальном пунктате высевается </w:t>
      </w:r>
      <w:r>
        <w:rPr>
          <w:lang w:val="en-US" w:eastAsia="en-US" w:bidi="en-US"/>
          <w:w w:val="100"/>
          <w:spacing w:val="0"/>
          <w:color w:val="000000"/>
          <w:position w:val="0"/>
        </w:rPr>
        <w:t xml:space="preserve">Borrelia burgdorferi (Millner M., </w:t>
      </w:r>
      <w:r>
        <w:rPr>
          <w:lang w:val="ru-RU" w:eastAsia="ru-RU" w:bidi="ru-RU"/>
          <w:w w:val="100"/>
          <w:spacing w:val="0"/>
          <w:color w:val="000000"/>
          <w:position w:val="0"/>
        </w:rPr>
        <w:t>1995). Подострые и хроничес</w:t>
        <w:softHyphen/>
        <w:t xml:space="preserve">кие формы проявляются энцефалитом, миелорадику- литом (синдром </w:t>
      </w:r>
      <w:r>
        <w:rPr>
          <w:lang w:val="en-US" w:eastAsia="en-US" w:bidi="en-US"/>
          <w:w w:val="100"/>
          <w:spacing w:val="0"/>
          <w:color w:val="000000"/>
          <w:position w:val="0"/>
        </w:rPr>
        <w:t>Bannwarth).</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отличие от взрослых, для детей с нейроборрелиозом Лайм характерен «псевдоопухолевый мозговой синд</w:t>
        <w:softHyphen/>
        <w:t>ром», проявляющийся повышением внутричерепно</w:t>
        <w:softHyphen/>
        <w:t xml:space="preserve">го давления, краниальной нейропатией, умеренной энцефалопатией </w:t>
      </w:r>
      <w:r>
        <w:rPr>
          <w:lang w:val="en-US" w:eastAsia="en-US" w:bidi="en-US"/>
          <w:w w:val="100"/>
          <w:spacing w:val="0"/>
          <w:color w:val="000000"/>
          <w:position w:val="0"/>
        </w:rPr>
        <w:t xml:space="preserve">(Belman A.L. </w:t>
      </w:r>
      <w:r>
        <w:rPr>
          <w:lang w:val="ru-RU" w:eastAsia="ru-RU" w:bidi="ru-RU"/>
          <w:w w:val="100"/>
          <w:spacing w:val="0"/>
          <w:color w:val="000000"/>
          <w:position w:val="0"/>
        </w:rPr>
        <w:t>с соавт., 1993).</w:t>
      </w:r>
    </w:p>
    <w:p>
      <w:pPr>
        <w:pStyle w:val="Style30"/>
        <w:numPr>
          <w:ilvl w:val="0"/>
          <w:numId w:val="16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Поражение сердца при болезни Лайм наблюдается в 8-10% случаев. Наиболее характерным является по</w:t>
        <w:softHyphen/>
        <w:t>ражение проводящей системы сердца в области атри</w:t>
        <w:softHyphen/>
        <w:t>овентрикулярного соединения с развитием атриовен</w:t>
        <w:softHyphen/>
        <w:t>трикулярной блокады. В большинстве случаев блока</w:t>
        <w:softHyphen/>
        <w:t>да носит высокие градации (Венкебаха, поперечный</w:t>
        <w:br w:type="column"/>
        <w:t>блок) и сопровождается симптомной брадикардией, синкопальными атаками, головокружением, одыш</w:t>
        <w:softHyphen/>
        <w:t xml:space="preserve">кой и болями в области сердца </w:t>
      </w:r>
      <w:r>
        <w:rPr>
          <w:lang w:val="en-US" w:eastAsia="en-US" w:bidi="en-US"/>
          <w:w w:val="100"/>
          <w:spacing w:val="0"/>
          <w:color w:val="000000"/>
          <w:position w:val="0"/>
        </w:rPr>
        <w:t xml:space="preserve">(Gildein H.P. </w:t>
      </w:r>
      <w:r>
        <w:rPr>
          <w:lang w:val="ru-RU" w:eastAsia="ru-RU" w:bidi="ru-RU"/>
          <w:w w:val="100"/>
          <w:spacing w:val="0"/>
          <w:color w:val="000000"/>
          <w:position w:val="0"/>
        </w:rPr>
        <w:t>с соавт., 1993). Степень блокады часто меняется. Полная бло</w:t>
        <w:softHyphen/>
        <w:t>када за короткий отрезок времени может переходить во II и даже I степень. Сообщены наблюдения, когда блокада I степени внезапно переходила в полную с развитием приступа Морганьи-Адамса-Стокса. У всех наблюдаемых больных атриовентрикулярная блокада носила проксимальный характер.</w:t>
      </w:r>
    </w:p>
    <w:p>
      <w:pPr>
        <w:pStyle w:val="Style30"/>
        <w:numPr>
          <w:ilvl w:val="0"/>
          <w:numId w:val="1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 случаях внезапного развития атриовентрикулярной блокады дети должны быть обследованы серологичес</w:t>
        <w:softHyphen/>
        <w:t xml:space="preserve">ки на наличие антител к </w:t>
      </w:r>
      <w:r>
        <w:rPr>
          <w:lang w:val="en-US" w:eastAsia="en-US" w:bidi="en-US"/>
          <w:w w:val="100"/>
          <w:spacing w:val="0"/>
          <w:color w:val="000000"/>
          <w:position w:val="0"/>
        </w:rPr>
        <w:t xml:space="preserve">Borrelia burgdorferi, </w:t>
      </w:r>
      <w:r>
        <w:rPr>
          <w:lang w:val="ru-RU" w:eastAsia="ru-RU" w:bidi="ru-RU"/>
          <w:w w:val="100"/>
          <w:spacing w:val="0"/>
          <w:color w:val="000000"/>
          <w:position w:val="0"/>
        </w:rPr>
        <w:t>посколь</w:t>
        <w:softHyphen/>
        <w:t>ку в анамнезе не всегда удается установить факт укуса клещом, а если и были кожные проявления на ранней стадии болезни, то при возникновении сердечного за</w:t>
        <w:softHyphen/>
        <w:t>болевания они, как правило, игнорируются.</w:t>
      </w:r>
    </w:p>
    <w:p>
      <w:pPr>
        <w:pStyle w:val="Style30"/>
        <w:numPr>
          <w:ilvl w:val="0"/>
          <w:numId w:val="1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У небольшого числа больных поражение сердца но</w:t>
        <w:softHyphen/>
        <w:t>сит более выраженный характер и проявляется мио</w:t>
        <w:softHyphen/>
        <w:t>кардитом, миоперикардитом, панкардитом.</w:t>
      </w:r>
    </w:p>
    <w:p>
      <w:pPr>
        <w:pStyle w:val="Style30"/>
        <w:numPr>
          <w:ilvl w:val="0"/>
          <w:numId w:val="163"/>
        </w:numPr>
        <w:tabs>
          <w:tab w:leader="none" w:pos="238" w:val="left"/>
        </w:tabs>
        <w:widowControl w:val="0"/>
        <w:keepNext w:val="0"/>
        <w:keepLines w:val="0"/>
        <w:shd w:val="clear" w:color="auto" w:fill="auto"/>
        <w:bidi w:val="0"/>
        <w:spacing w:before="0" w:after="180"/>
        <w:ind w:left="280" w:right="0" w:hanging="280"/>
      </w:pPr>
      <w:r>
        <w:rPr>
          <w:lang w:val="ru-RU" w:eastAsia="ru-RU" w:bidi="ru-RU"/>
          <w:w w:val="100"/>
          <w:spacing w:val="0"/>
          <w:color w:val="000000"/>
          <w:position w:val="0"/>
        </w:rPr>
        <w:t>Продолжительность поражения сердца при болезни Лайма составляет от нескольких дней до 6-8 недель, однако симптоматика может рецидивировать.</w:t>
      </w:r>
    </w:p>
    <w:p>
      <w:pPr>
        <w:pStyle w:val="Style92"/>
        <w:widowControl w:val="0"/>
        <w:keepNext/>
        <w:keepLines/>
        <w:shd w:val="clear" w:color="auto" w:fill="auto"/>
        <w:bidi w:val="0"/>
        <w:spacing w:before="0" w:after="0"/>
        <w:ind w:left="280" w:right="0"/>
      </w:pPr>
      <w:bookmarkStart w:id="829" w:name="bookmark829"/>
      <w:r>
        <w:rPr>
          <w:lang w:val="ru-RU" w:eastAsia="ru-RU" w:bidi="ru-RU"/>
          <w:w w:val="100"/>
          <w:spacing w:val="0"/>
          <w:color w:val="000000"/>
          <w:position w:val="0"/>
        </w:rPr>
        <w:t>Анамнез, клиническая симптоматика</w:t>
      </w:r>
      <w:bookmarkEnd w:id="829"/>
    </w:p>
    <w:p>
      <w:pPr>
        <w:pStyle w:val="Style30"/>
        <w:numPr>
          <w:ilvl w:val="0"/>
          <w:numId w:val="1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Полная АВ-блокада может быть заподозрена еще внутриутробно при наличии выраженной брадикар</w:t>
        <w:softHyphen/>
        <w:t>дии. Однако причинами брадикардии плода чаще яв</w:t>
        <w:softHyphen/>
        <w:t>ляются внутриутробная гипоксия, трансплацентар</w:t>
        <w:softHyphen/>
        <w:t>ное введение анестетиков, лечение матери Р-адре- ноблокаторами.</w:t>
      </w:r>
    </w:p>
    <w:p>
      <w:pPr>
        <w:pStyle w:val="Style30"/>
        <w:numPr>
          <w:ilvl w:val="0"/>
          <w:numId w:val="16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Во время внутриутробного развития и в раннем пост</w:t>
        <w:softHyphen/>
        <w:t>натальном периоде клинические проявления врож</w:t>
        <w:softHyphen/>
        <w:t>денной полной АВ-блокады зависят от сопутствую</w:t>
        <w:softHyphen/>
        <w:t>щих внутрисердечных аномалий и частоты желудоч</w:t>
        <w:softHyphen/>
        <w:t>ковых сокращений. Внутриутробная смерть плода на</w:t>
        <w:softHyphen/>
        <w:t>блюдается при сочетании блокады с грубыми внутри</w:t>
        <w:softHyphen/>
        <w:t>сердечными дефектами. Другой причиной смерти плода является застойная сердечная недостаточность, приводящая к неиммунной «водянке» плода.</w:t>
      </w:r>
    </w:p>
    <w:p>
      <w:pPr>
        <w:pStyle w:val="Style30"/>
        <w:numPr>
          <w:ilvl w:val="0"/>
          <w:numId w:val="163"/>
        </w:numPr>
        <w:tabs>
          <w:tab w:leader="none" w:pos="238" w:val="left"/>
        </w:tabs>
        <w:widowControl w:val="0"/>
        <w:keepNext w:val="0"/>
        <w:keepLines w:val="0"/>
        <w:shd w:val="clear" w:color="auto" w:fill="auto"/>
        <w:bidi w:val="0"/>
        <w:spacing w:before="0" w:after="0"/>
        <w:ind w:left="280" w:right="0" w:hanging="280"/>
      </w:pPr>
      <w:r>
        <w:pict>
          <v:shape id="_x0000_s1863" type="#_x0000_t75" style="position:absolute;margin-left:141.85pt;margin-top:738.25pt;width:209.75pt;height:14.9pt;z-index:-125828777;mso-wrap-distance-left:135.35pt;mso-wrap-distance-right:136.55pt;mso-wrap-distance-bottom:10.8pt;mso-position-horizontal-relative:margin;mso-position-vertical-relative:margin" wrapcoords="0 0 21600 0 21600 21600 0 21600 0 0">
            <v:imagedata r:id="rId1346" r:href="rId1347"/>
            <w10:wrap type="topAndBottom" anchorx="margin" anchory="margin"/>
          </v:shape>
        </w:pict>
      </w:r>
      <w:r>
        <w:rPr>
          <w:lang w:val="ru-RU" w:eastAsia="ru-RU" w:bidi="ru-RU"/>
          <w:w w:val="100"/>
          <w:spacing w:val="0"/>
          <w:color w:val="000000"/>
          <w:position w:val="0"/>
        </w:rPr>
        <w:t>Выраженным проявлением иммунной несовмести</w:t>
        <w:softHyphen/>
        <w:t>мости является неонатальный люпус-синдром. Он характеризуется транзиторным дерматитом, попереч</w:t>
        <w:softHyphen/>
        <w:t>ной атриовентрикулярной блокадой, системными и гематологическими нарушениями. Дерматит воз</w:t>
        <w:softHyphen/>
        <w:t>никает вскоре после рождения или на первом месяце жизни, проявляется аннулярными высыпаниями воспалительного характера на лице, груди, конечнос</w:t>
        <w:softHyphen/>
        <w:t>тях. Поражение печени проявляется гепатитом с вы</w:t>
        <w:softHyphen/>
        <w:t>раженными явлениями холестаза. Гематологические нарушения проявляются транзиторной тромбоцито- пенией, анемией, гемохроматозом. Таким образом, диагноз неонатального люпус-синдрома устанавли</w:t>
        <w:softHyphen/>
        <w:t>вают по совокупности анамнестических данных (сис</w:t>
        <w:softHyphen/>
        <w:t xml:space="preserve">темное заболевание у матери или носительство анти- </w:t>
      </w:r>
      <w:r>
        <w:rPr>
          <w:lang w:val="en-US" w:eastAsia="en-US" w:bidi="en-US"/>
          <w:w w:val="100"/>
          <w:spacing w:val="0"/>
          <w:color w:val="000000"/>
          <w:position w:val="0"/>
        </w:rPr>
        <w:t xml:space="preserve">SS-A/Ro, </w:t>
      </w:r>
      <w:r>
        <w:rPr>
          <w:lang w:val="ru-RU" w:eastAsia="ru-RU" w:bidi="ru-RU"/>
          <w:w w:val="100"/>
          <w:spacing w:val="0"/>
          <w:color w:val="000000"/>
          <w:position w:val="0"/>
        </w:rPr>
        <w:t>анти</w:t>
      </w:r>
      <w:r>
        <w:rPr>
          <w:lang w:val="en-US" w:eastAsia="en-US" w:bidi="en-US"/>
          <w:w w:val="100"/>
          <w:spacing w:val="0"/>
          <w:color w:val="000000"/>
          <w:position w:val="0"/>
        </w:rPr>
        <w:t xml:space="preserve">-SS-B/La, </w:t>
      </w:r>
      <w:r>
        <w:rPr>
          <w:lang w:val="ru-RU" w:eastAsia="ru-RU" w:bidi="ru-RU"/>
          <w:w w:val="100"/>
          <w:spacing w:val="0"/>
          <w:color w:val="000000"/>
          <w:position w:val="0"/>
        </w:rPr>
        <w:t>анти-рибонуклеарный про</w:t>
        <w:softHyphen/>
        <w:t>теин, анти-ДНК антител), клинической картины (дерматит, гепатит, поперечная атриовентрикулярная блокада) и иммунологических показателей (обнару</w:t>
        <w:softHyphen/>
        <w:t>жение вышеуказанных циркулирующих антител в крови новорожденного). Лечение неонатального люпус-синдрома включает назначение стероидов, об-</w:t>
      </w:r>
      <w:r>
        <w:br w:type="page"/>
      </w:r>
    </w:p>
    <w:p>
      <w:pPr>
        <w:pStyle w:val="Style30"/>
        <w:widowControl w:val="0"/>
        <w:keepNext w:val="0"/>
        <w:keepLines w:val="0"/>
        <w:shd w:val="clear" w:color="auto" w:fill="auto"/>
        <w:bidi w:val="0"/>
        <w:spacing w:before="0" w:after="0"/>
        <w:ind w:left="260" w:right="0" w:firstLine="0"/>
      </w:pPr>
      <w:r>
        <w:pict>
          <v:shape id="_x0000_s1864" type="#_x0000_t202" style="position:absolute;margin-left:-5.9pt;margin-top:26.15pt;width:494.15pt;height:70.55pt;z-index:-125828776;mso-wrap-distance-left:5.pt;mso-wrap-distance-right:5.pt;mso-position-horizontal-relative:margin;mso-position-vertical-relative:margin" filled="f" stroked="f">
            <v:textbox style="mso-fit-shape-to-text:t" inset="0,0,0,0">
              <w:txbxContent>
                <w:tbl>
                  <w:tblPr>
                    <w:tblOverlap w:val="never"/>
                    <w:tblLayout w:type="fixed"/>
                    <w:jc w:val="left"/>
                  </w:tblPr>
                  <w:tblGrid>
                    <w:gridCol w:w="2136"/>
                    <w:gridCol w:w="1882"/>
                    <w:gridCol w:w="5866"/>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Тип АВ-блокады</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Уровень блокирования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Данные ЭКГ</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Узловая (А-Н блокада)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АВ-узел</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 xml:space="preserve">Нормальная морфология зубца Р и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 xml:space="preserve">(&lt;0,11 </w:t>
                        </w:r>
                        <w:r>
                          <w:rPr>
                            <w:lang w:val="en-US" w:eastAsia="en-US" w:bidi="en-US"/>
                            <w:w w:val="100"/>
                            <w:spacing w:val="0"/>
                            <w:color w:val="000000"/>
                            <w:position w:val="0"/>
                          </w:rPr>
                          <w:t>c)</w:t>
                        </w:r>
                      </w:p>
                    </w:tc>
                  </w:tr>
                  <w:tr>
                    <w:trPr>
                      <w:trHeight w:val="446"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Стволовая (Н(ВН) блокада)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Общий ствол пучка Гиса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Нарушение внутрижелудочкового проведения, ригидный желудочковый ритм, не чувствительный к атропину</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 области ножек пучка Гиса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Обе ножки пучка Гиса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Блокада ножек пучка Гиса</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Комбинированные блокады</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На нескольких уровнях</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Сочетание указанных признаков</w:t>
                        </w:r>
                      </w:p>
                    </w:tc>
                  </w:tr>
                </w:tbl>
              </w:txbxContent>
            </v:textbox>
            <w10:wrap type="topAndBottom" anchorx="margin" anchory="margin"/>
          </v:shape>
        </w:pict>
      </w:r>
      <w:r>
        <w:pict>
          <v:shape id="_x0000_s1865" type="#_x0000_t202" style="position:absolute;margin-left:407.4pt;margin-top:3.1pt;width:81.35pt;height:10.2pt;z-index:-125828775;mso-wrap-distance-left:5.pt;mso-wrap-distance-right:5.pt;mso-position-horizontal-relative:margin;mso-position-vertical-relative:margin" filled="f" stroked="f">
            <v:textbox style="mso-fit-shape-to-text:t" inset="0,0,0,0">
              <w:txbxContent>
                <w:p>
                  <w:pPr>
                    <w:pStyle w:val="Style139"/>
                    <w:widowControl w:val="0"/>
                    <w:keepNext w:val="0"/>
                    <w:keepLines w:val="0"/>
                    <w:shd w:val="clear" w:color="auto" w:fill="auto"/>
                    <w:bidi w:val="0"/>
                    <w:spacing w:before="0" w:after="0" w:line="180" w:lineRule="exact"/>
                    <w:ind w:left="0" w:right="0" w:firstLine="0"/>
                  </w:pPr>
                  <w:r>
                    <w:rPr>
                      <w:rStyle w:val="CharStyle143"/>
                      <w:b/>
                      <w:bCs/>
                      <w:i/>
                      <w:iCs/>
                    </w:rPr>
                    <w:t>Таблица 40</w:t>
                  </w:r>
                </w:p>
              </w:txbxContent>
            </v:textbox>
            <w10:wrap type="topAndBottom" anchorx="margin" anchory="margin"/>
          </v:shape>
        </w:pict>
      </w:r>
      <w:r>
        <w:pict>
          <v:shape id="_x0000_s1866" type="#_x0000_t202" style="position:absolute;margin-left:101.6pt;margin-top:12.2pt;width:278.65pt;height:11.9pt;z-index:-125828774;mso-wrap-distance-left:5.pt;mso-wrap-distance-right:5.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Топографическая классификация полных атриовентрикулярных блокад</w:t>
                  </w:r>
                </w:p>
              </w:txbxContent>
            </v:textbox>
            <w10:wrap type="topAndBottom" anchorx="margin" anchory="margin"/>
          </v:shape>
        </w:pict>
      </w:r>
      <w:r>
        <w:rPr>
          <w:lang w:val="ru-RU" w:eastAsia="ru-RU" w:bidi="ru-RU"/>
          <w:w w:val="100"/>
          <w:spacing w:val="0"/>
          <w:color w:val="000000"/>
          <w:position w:val="0"/>
        </w:rPr>
        <w:t>менных гемотрансфузий и внутривенного введения гаммаглобулина.</w:t>
      </w:r>
    </w:p>
    <w:p>
      <w:pPr>
        <w:pStyle w:val="Style30"/>
        <w:numPr>
          <w:ilvl w:val="0"/>
          <w:numId w:val="1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детей как младшего, так и старшего возраста кли</w:t>
        <w:softHyphen/>
        <w:t>нические проявления полной атриовентрикулярной блокады зависят от исходной частоты желудочковых сокращений.</w:t>
      </w:r>
    </w:p>
    <w:p>
      <w:pPr>
        <w:pStyle w:val="Style30"/>
        <w:numPr>
          <w:ilvl w:val="0"/>
          <w:numId w:val="1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поступлении в стационар отмечались жалобы на головные боли (18,3%), боли в области сердца (9,1%), жалобы на быструю утомляемость (28,7%), голово</w:t>
        <w:softHyphen/>
        <w:t>кружение (13,7%), повышенную возбудимость и раз</w:t>
        <w:softHyphen/>
        <w:t>дражительность (4,5%).</w:t>
      </w:r>
    </w:p>
    <w:p>
      <w:pPr>
        <w:pStyle w:val="Style30"/>
        <w:numPr>
          <w:ilvl w:val="0"/>
          <w:numId w:val="1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Показатели физического развития обследуемых детей существенно не отличались от среднестатистических.</w:t>
      </w:r>
    </w:p>
    <w:p>
      <w:pPr>
        <w:pStyle w:val="Style30"/>
        <w:numPr>
          <w:ilvl w:val="0"/>
          <w:numId w:val="1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обследовании обращает внимание бледность кожных покровов, при беспокойстве или физической нагрузке может возникать легкий периферический цианоз.</w:t>
      </w:r>
    </w:p>
    <w:p>
      <w:pPr>
        <w:pStyle w:val="Style30"/>
        <w:numPr>
          <w:ilvl w:val="0"/>
          <w:numId w:val="1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 многих больных определяется увеличение размеров сердца, преимущественно за счет левых границ.</w:t>
      </w:r>
    </w:p>
    <w:p>
      <w:pPr>
        <w:pStyle w:val="Style30"/>
        <w:numPr>
          <w:ilvl w:val="0"/>
          <w:numId w:val="1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Аускультативно выслушивается брадикардия, первый тон, как правило, приглушен, может определяться раздвоение первого тона, обусловленное неодновре</w:t>
        <w:softHyphen/>
        <w:t>менным сокращением обоих желудочков. При дли</w:t>
        <w:softHyphen/>
        <w:t>тельной аускультации у детей временами интенсив</w:t>
        <w:softHyphen/>
        <w:t>ность первого тона внезапно усиливается — так назы</w:t>
        <w:softHyphen/>
        <w:t>ваемый «пушечный тон», впервые описанный Н.Д. Стражеско. «Пушечный тон» сопровождается усилением сердечного толчка и связан с совпадением систол желудочков и предсердий. В механизме обра</w:t>
        <w:softHyphen/>
        <w:t>зования «пушечного тона», помимо совпадения пред</w:t>
        <w:softHyphen/>
        <w:t>сердного и желудочкового тонов, Н.Д. Стражеско придавал значение особому напряжению створок двустворчатого и трехстворчатого клапанов. Необхо</w:t>
        <w:softHyphen/>
        <w:t>димо отметить, что для выявления «пушечного тона» требуется длительное выслушивание больного, так как возникновение его зависит от соотношения час</w:t>
        <w:softHyphen/>
        <w:t>тоты сокращений предсердий и желудочков. При медленном желудочковом ритме «пушечный тон» выслушивается редко.</w:t>
      </w:r>
    </w:p>
    <w:p>
      <w:pPr>
        <w:pStyle w:val="Style30"/>
        <w:numPr>
          <w:ilvl w:val="0"/>
          <w:numId w:val="1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Ведущими клиническими проявлениями полной ат</w:t>
        <w:softHyphen/>
        <w:t>риовентрикулярной блокады у детей являются симп- томная брадикардия, гемодинамическая или миокар</w:t>
        <w:softHyphen/>
        <w:t>диальная дисфункция и кардиальные синкопе (при</w:t>
        <w:softHyphen/>
        <w:t>ступы Морганьи-Адамса-Стокса). Перечисленные клинические признаки изложены в разделе «Факто</w:t>
        <w:softHyphen/>
        <w:t>ры риска неблагоприятного течения полных атрио</w:t>
        <w:softHyphen/>
        <w:t>вентрикулярных блокад».</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Инструментальная диагностика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Электрокардиография:</w:t>
      </w:r>
    </w:p>
    <w:p>
      <w:pPr>
        <w:pStyle w:val="Style30"/>
        <w:numPr>
          <w:ilvl w:val="0"/>
          <w:numId w:val="163"/>
        </w:numPr>
        <w:tabs>
          <w:tab w:leader="none" w:pos="235"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Основным электрокардиографическим критерием полной АВ-блокады является независимое возбужде</w:t>
        <w:softHyphen/>
        <w:br w:type="column"/>
        <w:t>ние предсердий и желудочков. В большинстве случаев врожденные полные АВ-блокады обусловлены пере</w:t>
        <w:softHyphen/>
        <w:t>рывом проведения импульса в АВ-узле. Предсердия активируются синусовым узлом. Нарушение синусо</w:t>
        <w:softHyphen/>
        <w:t>вого ритма (синусовая брадикардия, миграция водите</w:t>
        <w:softHyphen/>
        <w:t>ля ритма, мерцание или трепетание предсердий) сви</w:t>
        <w:softHyphen/>
        <w:t xml:space="preserve">детельствует о вовлечении в патологический процесс двух узлов (болезнь двух узлов — </w:t>
      </w:r>
      <w:r>
        <w:rPr>
          <w:lang w:val="en-US" w:eastAsia="en-US" w:bidi="en-US"/>
          <w:w w:val="100"/>
          <w:spacing w:val="0"/>
          <w:color w:val="000000"/>
          <w:position w:val="0"/>
        </w:rPr>
        <w:t>du nodal diseases).</w:t>
      </w:r>
    </w:p>
    <w:p>
      <w:pPr>
        <w:pStyle w:val="Style30"/>
        <w:numPr>
          <w:ilvl w:val="0"/>
          <w:numId w:val="163"/>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Желудочки активируются вспомогательным водите</w:t>
        <w:softHyphen/>
        <w:t>лем ритма, расположенным дистальнее блокады. В зависимости от уровня локализации блокады в АВ-соединении выделяют 4 топографических типа АВ-блокад (табл. 40).</w:t>
      </w:r>
    </w:p>
    <w:p>
      <w:pPr>
        <w:pStyle w:val="Style30"/>
        <w:numPr>
          <w:ilvl w:val="0"/>
          <w:numId w:val="163"/>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Узловую АВ-блокаду обозначают проксимальной, в области ножек пучка Гиса — дистальной; стволовые блокады занимают промежуточное положение, одна</w:t>
        <w:softHyphen/>
        <w:t>ко по электрофизиологическим и прогностическим признакам они ближе к дистальному типу блокады.</w:t>
      </w:r>
    </w:p>
    <w:p>
      <w:pPr>
        <w:pStyle w:val="Style30"/>
        <w:numPr>
          <w:ilvl w:val="0"/>
          <w:numId w:val="163"/>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При узловой полной АВ-блокаде комплексы </w:t>
      </w:r>
      <w:r>
        <w:rPr>
          <w:lang w:val="en-US" w:eastAsia="en-US" w:bidi="en-US"/>
          <w:w w:val="100"/>
          <w:spacing w:val="0"/>
          <w:color w:val="000000"/>
          <w:position w:val="0"/>
        </w:rPr>
        <w:t xml:space="preserve">QRS </w:t>
      </w:r>
      <w:r>
        <w:rPr>
          <w:lang w:val="ru-RU" w:eastAsia="ru-RU" w:bidi="ru-RU"/>
          <w:w w:val="100"/>
          <w:spacing w:val="0"/>
          <w:color w:val="000000"/>
          <w:position w:val="0"/>
        </w:rPr>
        <w:t>имеют нормальную (менее 0,11 с) продолжитель</w:t>
        <w:softHyphen/>
        <w:t>ность, частота желудочковых сокращений колеблется от 40 до 60 в мин, зубцы Р имеют правильную поляр</w:t>
        <w:softHyphen/>
        <w:t>ность, часто высокоамплитудные. На Гис-электро- грамме регистрируются волны А и независимые ком</w:t>
        <w:softHyphen/>
        <w:t xml:space="preserve">плексы </w:t>
      </w:r>
      <w:r>
        <w:rPr>
          <w:lang w:val="en-US" w:eastAsia="en-US" w:bidi="en-US"/>
          <w:w w:val="100"/>
          <w:spacing w:val="0"/>
          <w:color w:val="000000"/>
          <w:position w:val="0"/>
        </w:rPr>
        <w:t xml:space="preserve">HV </w:t>
      </w:r>
      <w:r>
        <w:rPr>
          <w:lang w:val="ru-RU" w:eastAsia="ru-RU" w:bidi="ru-RU"/>
          <w:w w:val="100"/>
          <w:spacing w:val="0"/>
          <w:color w:val="000000"/>
          <w:position w:val="0"/>
        </w:rPr>
        <w:t xml:space="preserve">(&lt;55 </w:t>
      </w:r>
      <w:r>
        <w:rPr>
          <w:lang w:val="en-US" w:eastAsia="en-US" w:bidi="en-US"/>
          <w:w w:val="100"/>
          <w:spacing w:val="0"/>
          <w:color w:val="000000"/>
          <w:position w:val="0"/>
        </w:rPr>
        <w:t xml:space="preserve">mc). </w:t>
      </w:r>
      <w:r>
        <w:rPr>
          <w:lang w:val="ru-RU" w:eastAsia="ru-RU" w:bidi="ru-RU"/>
          <w:w w:val="100"/>
          <w:spacing w:val="0"/>
          <w:color w:val="000000"/>
          <w:position w:val="0"/>
        </w:rPr>
        <w:t>Это подтверждает, что импульсы генерируются в стволе пучка Гиса.</w:t>
      </w:r>
    </w:p>
    <w:p>
      <w:pPr>
        <w:pStyle w:val="Style30"/>
        <w:numPr>
          <w:ilvl w:val="0"/>
          <w:numId w:val="163"/>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стволовой полной АВ-блокаде имеет место ред</w:t>
        <w:softHyphen/>
        <w:t xml:space="preserve">кий регулярный желудочковый ритм, комплексы </w:t>
      </w:r>
      <w:r>
        <w:rPr>
          <w:lang w:val="en-US" w:eastAsia="en-US" w:bidi="en-US"/>
          <w:w w:val="100"/>
          <w:spacing w:val="0"/>
          <w:color w:val="000000"/>
          <w:position w:val="0"/>
        </w:rPr>
        <w:t xml:space="preserve">QRS </w:t>
      </w:r>
      <w:r>
        <w:rPr>
          <w:lang w:val="ru-RU" w:eastAsia="ru-RU" w:bidi="ru-RU"/>
          <w:w w:val="100"/>
          <w:spacing w:val="0"/>
          <w:color w:val="000000"/>
          <w:position w:val="0"/>
        </w:rPr>
        <w:t>деформированы за счет сопутствующих нарушений внутрижелудочковой проводимости, однако иногда сохраняют нормальный наджелудочковый вид.</w:t>
      </w:r>
    </w:p>
    <w:p>
      <w:pPr>
        <w:pStyle w:val="Style30"/>
        <w:numPr>
          <w:ilvl w:val="0"/>
          <w:numId w:val="163"/>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 xml:space="preserve">Для разграничения узловых и стволовых АВ-блокад с узкими </w:t>
      </w:r>
      <w:r>
        <w:rPr>
          <w:lang w:val="en-US" w:eastAsia="en-US" w:bidi="en-US"/>
          <w:w w:val="100"/>
          <w:spacing w:val="0"/>
          <w:color w:val="000000"/>
          <w:position w:val="0"/>
        </w:rPr>
        <w:t xml:space="preserve">QRS </w:t>
      </w:r>
      <w:r>
        <w:rPr>
          <w:lang w:val="ru-RU" w:eastAsia="ru-RU" w:bidi="ru-RU"/>
          <w:w w:val="100"/>
          <w:spacing w:val="0"/>
          <w:color w:val="000000"/>
          <w:position w:val="0"/>
        </w:rPr>
        <w:t>комплексами используют фармаколо</w:t>
        <w:softHyphen/>
        <w:t>гическую пробу с атропином. Стволовые АВ-блокады нечувствительны к атропину, учащения ритма желу</w:t>
        <w:softHyphen/>
        <w:t>дочковых сокращений практически не происходит. На Гис-электрограмме при стволовой АВ-блокаде ре</w:t>
        <w:softHyphen/>
        <w:t xml:space="preserve">гистрируются 2 стволовые осцилляции: Н1 и Н2. Первая из них связана с волной А (интервал А-Н1), вторая появляется независимо и связана с волной </w:t>
      </w:r>
      <w:r>
        <w:rPr>
          <w:lang w:val="en-US" w:eastAsia="en-US" w:bidi="en-US"/>
          <w:w w:val="100"/>
          <w:spacing w:val="0"/>
          <w:color w:val="000000"/>
          <w:position w:val="0"/>
        </w:rPr>
        <w:t xml:space="preserve">V </w:t>
      </w:r>
      <w:r>
        <w:rPr>
          <w:lang w:val="ru-RU" w:eastAsia="ru-RU" w:bidi="ru-RU"/>
          <w:w w:val="100"/>
          <w:spacing w:val="0"/>
          <w:color w:val="000000"/>
          <w:position w:val="0"/>
        </w:rPr>
        <w:t>(интервал Н2-У).</w:t>
      </w:r>
    </w:p>
    <w:p>
      <w:pPr>
        <w:pStyle w:val="Style30"/>
        <w:numPr>
          <w:ilvl w:val="0"/>
          <w:numId w:val="163"/>
        </w:numPr>
        <w:tabs>
          <w:tab w:leader="none" w:pos="232"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Дистальные АВ-блокады III степени в области ножек сопровождаются деформированными и уширенными желудочковыми комплексами. Диагноз данного типа блокады подтверждают следующие электрокардио</w:t>
        <w:softHyphen/>
        <w:t>графические характеристики (Исаков И.И.):</w:t>
      </w:r>
    </w:p>
    <w:p>
      <w:pPr>
        <w:pStyle w:val="Style30"/>
        <w:widowControl w:val="0"/>
        <w:keepNext w:val="0"/>
        <w:keepLines w:val="0"/>
        <w:shd w:val="clear" w:color="auto" w:fill="auto"/>
        <w:bidi w:val="0"/>
        <w:spacing w:before="0" w:after="0"/>
        <w:ind w:left="500" w:right="0" w:hanging="240"/>
      </w:pPr>
      <w:r>
        <w:pict>
          <v:shape id="_x0000_s1867" type="#_x0000_t75" style="position:absolute;margin-left:130.45pt;margin-top:738.25pt;width:209.75pt;height:14.9pt;z-index:-125828773;mso-wrap-distance-left:124.3pt;mso-wrap-distance-right:148.3pt;mso-wrap-distance-bottom:10.8pt;mso-position-horizontal-relative:margin;mso-position-vertical-relative:margin" wrapcoords="0 0 21600 0 21600 21600 0 21600 0 0">
            <v:imagedata r:id="rId1348" r:href="rId1349"/>
            <w10:wrap type="topAndBottom" anchorx="margin" anchory="margin"/>
          </v:shape>
        </w:pict>
      </w:r>
      <w:r>
        <w:rPr>
          <w:lang w:val="ru-RU" w:eastAsia="ru-RU" w:bidi="ru-RU"/>
          <w:w w:val="100"/>
          <w:spacing w:val="0"/>
          <w:color w:val="000000"/>
          <w:position w:val="0"/>
        </w:rPr>
        <w:t>- возникновению полной АВ-блокады предшество</w:t>
        <w:softHyphen/>
        <w:t>вала блокада одной из ножек пучка Гиса, особенно правой ножки, либо происходило чередование блокады правой и левой ножек пучка Гиса (или ее ветвей);</w:t>
      </w:r>
      <w:r>
        <w:br w:type="page"/>
      </w:r>
    </w:p>
    <w:p>
      <w:pPr>
        <w:pStyle w:val="Style30"/>
        <w:numPr>
          <w:ilvl w:val="0"/>
          <w:numId w:val="165"/>
        </w:numPr>
        <w:tabs>
          <w:tab w:leader="none" w:pos="234" w:val="left"/>
        </w:tabs>
        <w:widowControl w:val="0"/>
        <w:keepNext w:val="0"/>
        <w:keepLines w:val="0"/>
        <w:shd w:val="clear" w:color="auto" w:fill="auto"/>
        <w:bidi w:val="0"/>
        <w:spacing w:before="0" w:after="0"/>
        <w:ind w:left="260" w:right="0"/>
      </w:pPr>
      <w:r>
        <w:pict>
          <v:shape id="_x0000_s1868" type="#_x0000_t202" style="position:absolute;margin-left:-11.3pt;margin-top:19.4pt;width:138.25pt;height:22.05pt;z-index:-125828772;mso-wrap-distance-left:5.pt;mso-wrap-distance-right:6.9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22"/>
                    </w:rPr>
                    <w:t xml:space="preserve">Рис. 104. </w:t>
                  </w:r>
                  <w:r>
                    <w:rPr>
                      <w:rStyle w:val="CharStyle121"/>
                    </w:rPr>
                    <w:t>Синдром Фредерика у ре</w:t>
                    <w:softHyphen/>
                    <w:t>бенка с ПАВБ.</w:t>
                  </w:r>
                </w:p>
              </w:txbxContent>
            </v:textbox>
            <w10:wrap type="topAndBottom" anchorx="margin" anchory="margin"/>
          </v:shape>
        </w:pict>
      </w:r>
      <w:r>
        <w:pict>
          <v:shape id="_x0000_s1869" type="#_x0000_t75" style="position:absolute;margin-left:154.05pt;margin-top:8.15pt;width:321.6pt;height:218.9pt;z-index:-125828771;mso-wrap-distance-left:5.pt;mso-wrap-distance-right:6.95pt;mso-position-horizontal-relative:margin;mso-position-vertical-relative:margin">
            <v:imagedata r:id="rId1350" r:href="rId1351"/>
            <w10:wrap type="topAndBottom" anchorx="margin" anchory="margin"/>
          </v:shape>
        </w:pict>
      </w:r>
      <w:r>
        <w:rPr>
          <w:lang w:val="ru-RU" w:eastAsia="ru-RU" w:bidi="ru-RU"/>
          <w:w w:val="100"/>
          <w:spacing w:val="0"/>
          <w:color w:val="000000"/>
          <w:position w:val="0"/>
        </w:rPr>
        <w:t>на фоне полной АВ-блокады наблюдается альтер</w:t>
        <w:softHyphen/>
        <w:t>нирование блокады правой и левой ножек пучка Гиса;</w:t>
      </w:r>
    </w:p>
    <w:p>
      <w:pPr>
        <w:pStyle w:val="Style30"/>
        <w:numPr>
          <w:ilvl w:val="0"/>
          <w:numId w:val="1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 фоне полной АВ-блокады в стандартных отве</w:t>
        <w:softHyphen/>
        <w:t>дениях записываются признаки блокады левой ножки и (или) блокады ее передней либо задней ветви, а в прекордиальных отведениях — признаки блокады правой ножки;</w:t>
      </w:r>
    </w:p>
    <w:p>
      <w:pPr>
        <w:pStyle w:val="Style30"/>
        <w:numPr>
          <w:ilvl w:val="0"/>
          <w:numId w:val="1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 фоне полной АВ-блокады отмечается одновре</w:t>
        <w:softHyphen/>
        <w:t xml:space="preserve">менное увеличение </w:t>
      </w:r>
      <w:r>
        <w:rPr>
          <w:lang w:val="en-US" w:eastAsia="en-US" w:bidi="en-US"/>
          <w:w w:val="100"/>
          <w:spacing w:val="0"/>
          <w:color w:val="000000"/>
          <w:position w:val="0"/>
        </w:rPr>
        <w:t xml:space="preserve">Id </w:t>
      </w:r>
      <w:r>
        <w:rPr>
          <w:lang w:val="ru-RU" w:eastAsia="ru-RU" w:bidi="ru-RU"/>
          <w:w w:val="100"/>
          <w:spacing w:val="0"/>
          <w:color w:val="000000"/>
          <w:position w:val="0"/>
        </w:rPr>
        <w:t xml:space="preserve">в </w:t>
      </w:r>
      <w:r>
        <w:rPr>
          <w:lang w:val="en-US" w:eastAsia="en-US" w:bidi="en-US"/>
          <w:w w:val="100"/>
          <w:spacing w:val="0"/>
          <w:color w:val="000000"/>
          <w:position w:val="0"/>
        </w:rPr>
        <w:t>V</w:t>
      </w:r>
      <w:r>
        <w:rPr>
          <w:lang w:val="en-US" w:eastAsia="en-US" w:bidi="en-US"/>
          <w:vertAlign w:val="subscript"/>
          <w:w w:val="100"/>
          <w:spacing w:val="0"/>
          <w:color w:val="000000"/>
          <w:position w:val="0"/>
        </w:rPr>
        <w:t>1</w:t>
      </w:r>
      <w:r>
        <w:rPr>
          <w:lang w:val="en-US" w:eastAsia="en-US" w:bidi="en-US"/>
          <w:w w:val="100"/>
          <w:spacing w:val="0"/>
          <w:color w:val="000000"/>
          <w:position w:val="0"/>
        </w:rPr>
        <w:t xml:space="preserve"> </w:t>
      </w:r>
      <w:r>
        <w:rPr>
          <w:lang w:val="ru-RU" w:eastAsia="ru-RU" w:bidi="ru-RU"/>
          <w:w w:val="100"/>
          <w:spacing w:val="0"/>
          <w:color w:val="000000"/>
          <w:position w:val="0"/>
        </w:rPr>
        <w:t xml:space="preserve">и </w:t>
      </w:r>
      <w:r>
        <w:rPr>
          <w:lang w:val="en-US" w:eastAsia="en-US" w:bidi="en-US"/>
          <w:w w:val="100"/>
          <w:spacing w:val="0"/>
          <w:color w:val="000000"/>
          <w:position w:val="0"/>
        </w:rPr>
        <w:t>V</w:t>
      </w:r>
      <w:r>
        <w:rPr>
          <w:lang w:val="en-US" w:eastAsia="en-US" w:bidi="en-US"/>
          <w:vertAlign w:val="subscript"/>
          <w:w w:val="100"/>
          <w:spacing w:val="0"/>
          <w:color w:val="000000"/>
          <w:position w:val="0"/>
        </w:rPr>
        <w:t>5-</w:t>
      </w:r>
      <w:r>
        <w:rPr>
          <w:lang w:val="en-US" w:eastAsia="en-US" w:bidi="en-US"/>
          <w:w w:val="100"/>
          <w:spacing w:val="0"/>
          <w:color w:val="000000"/>
          <w:position w:val="0"/>
        </w:rPr>
        <w:t xml:space="preserve">6 (Id </w:t>
      </w:r>
      <w:r>
        <w:rPr>
          <w:lang w:val="ru-RU" w:eastAsia="ru-RU" w:bidi="ru-RU"/>
          <w:w w:val="100"/>
          <w:spacing w:val="0"/>
          <w:color w:val="000000"/>
          <w:position w:val="0"/>
        </w:rPr>
        <w:t xml:space="preserve">— </w:t>
      </w:r>
      <w:r>
        <w:rPr>
          <w:lang w:val="en-US" w:eastAsia="en-US" w:bidi="en-US"/>
          <w:w w:val="100"/>
          <w:spacing w:val="0"/>
          <w:color w:val="000000"/>
          <w:position w:val="0"/>
        </w:rPr>
        <w:t>intrisicoid deflection);</w:t>
      </w:r>
    </w:p>
    <w:p>
      <w:pPr>
        <w:pStyle w:val="Style30"/>
        <w:numPr>
          <w:ilvl w:val="0"/>
          <w:numId w:val="1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 фоне полной АВ-блокады желудочковый ком</w:t>
        <w:softHyphen/>
        <w:t xml:space="preserve">плекс </w:t>
      </w:r>
      <w:r>
        <w:rPr>
          <w:lang w:val="en-US" w:eastAsia="en-US" w:bidi="en-US"/>
          <w:w w:val="100"/>
          <w:spacing w:val="0"/>
          <w:color w:val="000000"/>
          <w:position w:val="0"/>
        </w:rPr>
        <w:t xml:space="preserve">QRS </w:t>
      </w:r>
      <w:r>
        <w:rPr>
          <w:lang w:val="ru-RU" w:eastAsia="ru-RU" w:bidi="ru-RU"/>
          <w:w w:val="100"/>
          <w:spacing w:val="0"/>
          <w:color w:val="000000"/>
          <w:position w:val="0"/>
        </w:rPr>
        <w:t>резко уширен и деформирован; особен</w:t>
        <w:softHyphen/>
        <w:t xml:space="preserve">но типичны комплексы </w:t>
      </w:r>
      <w:r>
        <w:rPr>
          <w:lang w:val="en-US" w:eastAsia="en-US" w:bidi="en-US"/>
          <w:w w:val="100"/>
          <w:spacing w:val="0"/>
          <w:color w:val="000000"/>
          <w:position w:val="0"/>
        </w:rPr>
        <w:t xml:space="preserve">QRS, </w:t>
      </w:r>
      <w:r>
        <w:rPr>
          <w:lang w:val="ru-RU" w:eastAsia="ru-RU" w:bidi="ru-RU"/>
          <w:w w:val="100"/>
          <w:spacing w:val="0"/>
          <w:color w:val="000000"/>
          <w:position w:val="0"/>
        </w:rPr>
        <w:t>имеющие форму блокады правой ножки с уширением до 0,15 с;</w:t>
      </w:r>
    </w:p>
    <w:p>
      <w:pPr>
        <w:pStyle w:val="Style30"/>
        <w:numPr>
          <w:ilvl w:val="0"/>
          <w:numId w:val="165"/>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частота идиовентрикулярного ритма менее 40 в мин.</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На Гис-электрограмме дистальная блокада в области ножек пучка Гиса распознается по отсутствию осцил</w:t>
        <w:softHyphen/>
        <w:t>ляции Н в желудочковых комплексах, представлен</w:t>
        <w:softHyphen/>
        <w:t xml:space="preserve">ных волнами </w:t>
      </w:r>
      <w:r>
        <w:rPr>
          <w:lang w:val="en-US" w:eastAsia="en-US" w:bidi="en-US"/>
          <w:w w:val="100"/>
          <w:spacing w:val="0"/>
          <w:color w:val="000000"/>
          <w:position w:val="0"/>
        </w:rPr>
        <w:t>V.</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Довольно часто при полных АВ-блокадах определя</w:t>
        <w:softHyphen/>
        <w:t>ются вариации синусового и желудочкового ритмов. Интервалы Р-Р могут варьировать за счет синусовой (физиологической) аритмии, вентрикулофазной си</w:t>
        <w:softHyphen/>
        <w:t>нусовой аритмии, сопутствующего поражения сину</w:t>
        <w:softHyphen/>
        <w:t>сового узла (болезнь двух узлов).</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Вентрикулофазная синусовая аритмия </w:t>
      </w:r>
      <w:r>
        <w:rPr>
          <w:lang w:val="en-US" w:eastAsia="en-US" w:bidi="en-US"/>
          <w:w w:val="100"/>
          <w:spacing w:val="0"/>
          <w:color w:val="000000"/>
          <w:position w:val="0"/>
        </w:rPr>
        <w:t xml:space="preserve">(ventriculopha- sic sinus arrhithmia) </w:t>
      </w:r>
      <w:r>
        <w:rPr>
          <w:lang w:val="ru-RU" w:eastAsia="ru-RU" w:bidi="ru-RU"/>
          <w:w w:val="100"/>
          <w:spacing w:val="0"/>
          <w:color w:val="000000"/>
          <w:position w:val="0"/>
        </w:rPr>
        <w:t>проявляется ускоренной выработ</w:t>
        <w:softHyphen/>
        <w:t>кой синусовых импульсов в циклах, включающих же</w:t>
        <w:softHyphen/>
        <w:t xml:space="preserve">лудочковые деполяризации. На ЭКГ интервалы Р-Р, между которыми находится комплекс </w:t>
      </w:r>
      <w:r>
        <w:rPr>
          <w:lang w:val="en-US" w:eastAsia="en-US" w:bidi="en-US"/>
          <w:w w:val="100"/>
          <w:spacing w:val="0"/>
          <w:color w:val="000000"/>
          <w:position w:val="0"/>
        </w:rPr>
        <w:t xml:space="preserve">QRS, </w:t>
      </w:r>
      <w:r>
        <w:rPr>
          <w:lang w:val="ru-RU" w:eastAsia="ru-RU" w:bidi="ru-RU"/>
          <w:w w:val="100"/>
          <w:spacing w:val="0"/>
          <w:color w:val="000000"/>
          <w:position w:val="0"/>
        </w:rPr>
        <w:t xml:space="preserve">короче интервалов Р-Р, не содержащих комплекс </w:t>
      </w:r>
      <w:r>
        <w:rPr>
          <w:lang w:val="en-US" w:eastAsia="en-US" w:bidi="en-US"/>
          <w:w w:val="100"/>
          <w:spacing w:val="0"/>
          <w:color w:val="000000"/>
          <w:position w:val="0"/>
        </w:rPr>
        <w:t xml:space="preserve">QRS. </w:t>
      </w:r>
      <w:r>
        <w:rPr>
          <w:lang w:val="ru-RU" w:eastAsia="ru-RU" w:bidi="ru-RU"/>
          <w:w w:val="100"/>
          <w:spacing w:val="0"/>
          <w:color w:val="000000"/>
          <w:position w:val="0"/>
        </w:rPr>
        <w:t>Вент</w:t>
        <w:softHyphen/>
        <w:t xml:space="preserve">рикулофазную синусовую аритмию (положительный хронотропный эффект по </w:t>
      </w:r>
      <w:r>
        <w:rPr>
          <w:lang w:val="en-US" w:eastAsia="en-US" w:bidi="en-US"/>
          <w:w w:val="100"/>
          <w:spacing w:val="0"/>
          <w:color w:val="000000"/>
          <w:position w:val="0"/>
        </w:rPr>
        <w:t xml:space="preserve">M.B. Rosenbaum </w:t>
      </w:r>
      <w:r>
        <w:rPr>
          <w:lang w:val="ru-RU" w:eastAsia="ru-RU" w:bidi="ru-RU"/>
          <w:w w:val="100"/>
          <w:spacing w:val="0"/>
          <w:color w:val="000000"/>
          <w:position w:val="0"/>
        </w:rPr>
        <w:t xml:space="preserve">и </w:t>
      </w:r>
      <w:r>
        <w:rPr>
          <w:lang w:val="en-US" w:eastAsia="en-US" w:bidi="en-US"/>
          <w:w w:val="100"/>
          <w:spacing w:val="0"/>
          <w:color w:val="000000"/>
          <w:position w:val="0"/>
        </w:rPr>
        <w:t xml:space="preserve">E.Lepeschkin) </w:t>
      </w:r>
      <w:r>
        <w:rPr>
          <w:lang w:val="ru-RU" w:eastAsia="ru-RU" w:bidi="ru-RU"/>
          <w:w w:val="100"/>
          <w:spacing w:val="0"/>
          <w:color w:val="000000"/>
          <w:position w:val="0"/>
        </w:rPr>
        <w:t>объясняют механическим феноме</w:t>
        <w:softHyphen/>
        <w:t>ном — ускорение выработки синусового импульса под влиянием толчка сокращающихся желудочков.</w:t>
      </w:r>
    </w:p>
    <w:p>
      <w:pPr>
        <w:pStyle w:val="Style30"/>
        <w:numPr>
          <w:ilvl w:val="0"/>
          <w:numId w:val="163"/>
        </w:numPr>
        <w:tabs>
          <w:tab w:leader="none" w:pos="234" w:val="left"/>
        </w:tabs>
        <w:widowControl w:val="0"/>
        <w:keepNext w:val="0"/>
        <w:keepLines w:val="0"/>
        <w:shd w:val="clear" w:color="auto" w:fill="auto"/>
        <w:bidi w:val="0"/>
        <w:spacing w:before="0" w:after="0"/>
        <w:ind w:left="260" w:right="0"/>
      </w:pPr>
      <w:r>
        <w:br w:type="column"/>
      </w:r>
      <w:r>
        <w:rPr>
          <w:lang w:val="ru-RU" w:eastAsia="ru-RU" w:bidi="ru-RU"/>
          <w:w w:val="100"/>
          <w:spacing w:val="0"/>
          <w:color w:val="000000"/>
          <w:position w:val="0"/>
        </w:rPr>
        <w:t>Отрицательный хронотропный эффект на синусовый узел характеризуется торможением синусовой актив</w:t>
        <w:softHyphen/>
        <w:t>ности во второй половине желудочкового цикла. Этот эффект связывают с вагусным рефлексом, возникаю</w:t>
        <w:softHyphen/>
        <w:t>щим вслед за стимуляцией аортальных барорецепто</w:t>
        <w:softHyphen/>
        <w:t>ров пульсовой волной.</w:t>
      </w:r>
    </w:p>
    <w:p>
      <w:pPr>
        <w:pStyle w:val="Style30"/>
        <w:numPr>
          <w:ilvl w:val="0"/>
          <w:numId w:val="16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Межпредсердная блокада I степени проявляется де</w:t>
        <w:softHyphen/>
        <w:t>формацией, уширением зубцов Р (более 0,11с). Соче</w:t>
        <w:softHyphen/>
        <w:t>тание полной узловой и межузловой АВ-блокады I степени свидетельствует о многофокусном (комби</w:t>
        <w:softHyphen/>
        <w:t>нированном) поражении атриовентрикулярного со</w:t>
        <w:softHyphen/>
        <w:t>единения.</w:t>
      </w:r>
    </w:p>
    <w:p>
      <w:pPr>
        <w:pStyle w:val="Style30"/>
        <w:numPr>
          <w:ilvl w:val="0"/>
          <w:numId w:val="16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Синдром (феномен) Фредерика — редко встречающе</w:t>
        <w:softHyphen/>
        <w:t>еся сочетание полной АВ-блокады с трепетанием или мерцанием предсердий. По мнению А.Е.Чернова и М.И.Кечкера, мерцание (трепетание) предсердий появляется раньше, а к ним присоединяется полный АВ-блок. При феномене Фредерика на ЭКГ нет пред</w:t>
        <w:softHyphen/>
        <w:t>сердных зубцов. Вместо них при трепетании регист</w:t>
        <w:softHyphen/>
        <w:t>рируются одинаковой амплитуды: пилообразные вол</w:t>
        <w:softHyphen/>
        <w:t xml:space="preserve">ны </w:t>
      </w:r>
      <w:r>
        <w:rPr>
          <w:lang w:val="en-US" w:eastAsia="en-US" w:bidi="en-US"/>
          <w:w w:val="100"/>
          <w:spacing w:val="0"/>
          <w:color w:val="000000"/>
          <w:position w:val="0"/>
        </w:rPr>
        <w:t xml:space="preserve">F, </w:t>
      </w:r>
      <w:r>
        <w:rPr>
          <w:lang w:val="ru-RU" w:eastAsia="ru-RU" w:bidi="ru-RU"/>
          <w:w w:val="100"/>
          <w:spacing w:val="0"/>
          <w:color w:val="000000"/>
          <w:position w:val="0"/>
        </w:rPr>
        <w:t xml:space="preserve">а при мерцании — волны </w:t>
      </w:r>
      <w:r>
        <w:rPr>
          <w:lang w:val="en-US" w:eastAsia="en-US" w:bidi="en-US"/>
          <w:w w:val="100"/>
          <w:spacing w:val="0"/>
          <w:color w:val="000000"/>
          <w:position w:val="0"/>
        </w:rPr>
        <w:t xml:space="preserve">f </w:t>
      </w:r>
      <w:r>
        <w:rPr>
          <w:lang w:val="ru-RU" w:eastAsia="ru-RU" w:bidi="ru-RU"/>
          <w:w w:val="100"/>
          <w:spacing w:val="0"/>
          <w:color w:val="000000"/>
          <w:position w:val="0"/>
        </w:rPr>
        <w:t>разной величины. Желудочковый ритм редкий и регулярный (в отличие от истинного мерцания (трепетания) предсердий, при котором желудочковая активация обычно носит нерегулярный характер). Мы наблюдали одну боль</w:t>
        <w:softHyphen/>
        <w:t>ную 15 лет, у которой постоянный феномен Фредери</w:t>
        <w:softHyphen/>
        <w:t>ка (рис. 104) возник на фоне дилатационной кардио</w:t>
        <w:softHyphen/>
        <w:t>миопатии и распространенного кардиосклероза.</w:t>
      </w:r>
    </w:p>
    <w:p>
      <w:pPr>
        <w:pStyle w:val="Style30"/>
        <w:numPr>
          <w:ilvl w:val="0"/>
          <w:numId w:val="16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До настоящего времени не раскрыто значение вент</w:t>
        <w:softHyphen/>
        <w:t>рикулофазных предсердных экстрасистол. Они име</w:t>
        <w:softHyphen/>
        <w:t>ют форму инвертированных зубцов Р', появляющих</w:t>
        <w:softHyphen/>
        <w:t xml:space="preserve">ся в последней четверти интервала </w:t>
      </w:r>
      <w:r>
        <w:rPr>
          <w:lang w:val="en-US" w:eastAsia="en-US" w:bidi="en-US"/>
          <w:w w:val="100"/>
          <w:spacing w:val="0"/>
          <w:color w:val="000000"/>
          <w:position w:val="0"/>
        </w:rPr>
        <w:t xml:space="preserve">R-R, </w:t>
      </w:r>
      <w:r>
        <w:rPr>
          <w:lang w:val="ru-RU" w:eastAsia="ru-RU" w:bidi="ru-RU"/>
          <w:w w:val="100"/>
          <w:spacing w:val="0"/>
          <w:color w:val="000000"/>
          <w:position w:val="0"/>
        </w:rPr>
        <w:t>заключаю</w:t>
        <w:softHyphen/>
        <w:t>щего такие экстрасистолы.</w:t>
      </w:r>
    </w:p>
    <w:p>
      <w:pPr>
        <w:pStyle w:val="Style30"/>
        <w:numPr>
          <w:ilvl w:val="0"/>
          <w:numId w:val="163"/>
        </w:numPr>
        <w:tabs>
          <w:tab w:leader="none" w:pos="234"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Желудочковый ритм при врожденной полной АВ- блокаде хотя и является в большинстве случаев регу</w:t>
        <w:softHyphen/>
        <w:t>лярным, однако подвержен различным отклонениям.</w:t>
      </w:r>
    </w:p>
    <w:p>
      <w:pPr>
        <w:pStyle w:val="Style30"/>
        <w:numPr>
          <w:ilvl w:val="0"/>
          <w:numId w:val="163"/>
        </w:numPr>
        <w:tabs>
          <w:tab w:leader="none" w:pos="234" w:val="left"/>
        </w:tabs>
        <w:widowControl w:val="0"/>
        <w:keepNext w:val="0"/>
        <w:keepLines w:val="0"/>
        <w:shd w:val="clear" w:color="auto" w:fill="auto"/>
        <w:bidi w:val="0"/>
        <w:spacing w:before="0" w:after="0"/>
        <w:ind w:left="260" w:right="0"/>
      </w:pPr>
      <w:r>
        <w:pict>
          <v:shape id="_x0000_s1870" type="#_x0000_t75" style="position:absolute;margin-left:136.3pt;margin-top:738.25pt;width:209.75pt;height:14.9pt;z-index:-125828770;mso-wrap-distance-left:124.3pt;mso-wrap-distance-right:136.55pt;mso-wrap-distance-bottom:10.8pt;mso-position-horizontal-relative:margin;mso-position-vertical-relative:margin" wrapcoords="0 0 21600 0 21600 21600 0 21600 0 0">
            <v:imagedata r:id="rId1352" r:href="rId1353"/>
            <w10:wrap type="topAndBottom" anchorx="margin" anchory="margin"/>
          </v:shape>
        </w:pict>
      </w:r>
      <w:r>
        <w:rPr>
          <w:lang w:val="ru-RU" w:eastAsia="ru-RU" w:bidi="ru-RU"/>
          <w:w w:val="100"/>
          <w:spacing w:val="0"/>
          <w:color w:val="000000"/>
          <w:position w:val="0"/>
        </w:rPr>
        <w:t>Желудочковая аритмия при полной АВ-блокаде мо</w:t>
        <w:softHyphen/>
        <w:t>жет быть обусловлена высоким расположением желу-</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дочкового водителя ритма либо является результатом скрытого проведения наджелудочковых импульсов в центр АВ-соединения.</w:t>
      </w:r>
    </w:p>
    <w:p>
      <w:pPr>
        <w:pStyle w:val="Style30"/>
        <w:numPr>
          <w:ilvl w:val="0"/>
          <w:numId w:val="16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Желудочковая аритмия при полной АВ-блокаде мо</w:t>
        <w:softHyphen/>
        <w:t xml:space="preserve">жет быть обусловлена блокадой выхода </w:t>
      </w:r>
      <w:r>
        <w:rPr>
          <w:lang w:val="en-US" w:eastAsia="en-US" w:bidi="en-US"/>
          <w:w w:val="100"/>
          <w:spacing w:val="0"/>
          <w:color w:val="000000"/>
          <w:position w:val="0"/>
        </w:rPr>
        <w:t xml:space="preserve">(exit block), </w:t>
      </w:r>
      <w:r>
        <w:rPr>
          <w:lang w:val="ru-RU" w:eastAsia="ru-RU" w:bidi="ru-RU"/>
          <w:w w:val="100"/>
          <w:spacing w:val="0"/>
          <w:color w:val="000000"/>
          <w:position w:val="0"/>
        </w:rPr>
        <w:t>когда импульс не способен распространяться от экто - пического водителя ритма к окружающему миокарду. На ЭКГ наблюдается спорадическое либо регулярное выпадение желудочкового комплекса, возможна пе</w:t>
        <w:softHyphen/>
        <w:t>риодика блокады выхода типа Люциана-Венкебаха. При этом происходит постепенное изменение интер</w:t>
        <w:softHyphen/>
        <w:t xml:space="preserve">валов </w:t>
      </w:r>
      <w:r>
        <w:rPr>
          <w:lang w:val="en-US" w:eastAsia="en-US" w:bidi="en-US"/>
          <w:w w:val="100"/>
          <w:spacing w:val="0"/>
          <w:color w:val="000000"/>
          <w:position w:val="0"/>
        </w:rPr>
        <w:t xml:space="preserve">R-R </w:t>
      </w:r>
      <w:r>
        <w:rPr>
          <w:lang w:val="ru-RU" w:eastAsia="ru-RU" w:bidi="ru-RU"/>
          <w:w w:val="100"/>
          <w:spacing w:val="0"/>
          <w:color w:val="000000"/>
          <w:position w:val="0"/>
        </w:rPr>
        <w:t>с выпадением одного желудочкового ком</w:t>
        <w:softHyphen/>
        <w:t>плекса с последующим повторением периодики.</w:t>
      </w:r>
    </w:p>
    <w:p>
      <w:pPr>
        <w:pStyle w:val="Style30"/>
        <w:numPr>
          <w:ilvl w:val="0"/>
          <w:numId w:val="16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Правильная последовательность желудочкового ритма может быть нарушена желудочковыми экстрасистола</w:t>
        <w:softHyphen/>
        <w:t>ми, которые могут быть политопными, полиморфны</w:t>
        <w:softHyphen/>
        <w:t>ми, интерполированными, иметь нерегулярный харак</w:t>
        <w:softHyphen/>
        <w:t>тер или проявляться в виде аллоритмии (би-, тригеми- ния и т.д.). Возникновению экстрасистолии способ</w:t>
        <w:softHyphen/>
        <w:t>ствуют органическое поражение миокарда, слабость синусового узла, повышенная активность идиовентри- кулярных центров автоматизма, ретроградное вентри- куло-атриальное (ВА) проведение, удлинение интер</w:t>
        <w:softHyphen/>
        <w:t xml:space="preserve">вала </w:t>
      </w:r>
      <w:r>
        <w:rPr>
          <w:lang w:val="en-US" w:eastAsia="en-US" w:bidi="en-US"/>
          <w:w w:val="100"/>
          <w:spacing w:val="0"/>
          <w:color w:val="000000"/>
          <w:position w:val="0"/>
        </w:rPr>
        <w:t xml:space="preserve">QT. </w:t>
      </w:r>
      <w:r>
        <w:rPr>
          <w:lang w:val="ru-RU" w:eastAsia="ru-RU" w:bidi="ru-RU"/>
          <w:w w:val="100"/>
          <w:spacing w:val="0"/>
          <w:color w:val="000000"/>
          <w:position w:val="0"/>
        </w:rPr>
        <w:t>Характерно, что после желудочковых экстра</w:t>
        <w:softHyphen/>
        <w:t>систол возникает компенсаторная пауза, которая длиннее обычного идиовентрикулярного интервала. Частота обнаружения экстрасистолии возрастает при регистрации ЭКГ на фоне физической нагрузки, при</w:t>
        <w:softHyphen/>
        <w:t>ема изадрина, при суточном мониторировании ЭКГ.</w:t>
      </w:r>
    </w:p>
    <w:p>
      <w:pPr>
        <w:pStyle w:val="Style30"/>
        <w:numPr>
          <w:ilvl w:val="0"/>
          <w:numId w:val="16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ряде случаев поверхностная ЭКГ иформативна в выявлении ретроградного ВА-проведения. В таких случаях регистрируются ретроградные зубцы Р', ин</w:t>
        <w:softHyphen/>
        <w:t xml:space="preserve">вертированные в отведениях II, III </w:t>
      </w:r>
      <w:r>
        <w:rPr>
          <w:lang w:val="en-US" w:eastAsia="en-US" w:bidi="en-US"/>
          <w:w w:val="100"/>
          <w:spacing w:val="0"/>
          <w:color w:val="000000"/>
          <w:position w:val="0"/>
        </w:rPr>
        <w:t xml:space="preserve">aVF, </w:t>
      </w:r>
      <w:r>
        <w:rPr>
          <w:lang w:val="ru-RU" w:eastAsia="ru-RU" w:bidi="ru-RU"/>
          <w:w w:val="100"/>
          <w:spacing w:val="0"/>
          <w:color w:val="000000"/>
          <w:position w:val="0"/>
        </w:rPr>
        <w:t>располагаю</w:t>
        <w:softHyphen/>
        <w:t xml:space="preserve">щиеся позади идиовентрикулярных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Однако ретроградное проведение может быть скрытым и диагностируется только при проведении электрофизиологического исследования. Ретроград</w:t>
        <w:softHyphen/>
        <w:t>ное проведение чаще наблюдается при дистальных АВ-блокадах III степени.</w:t>
      </w:r>
    </w:p>
    <w:p>
      <w:pPr>
        <w:pStyle w:val="Style30"/>
        <w:numPr>
          <w:ilvl w:val="0"/>
          <w:numId w:val="16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Важное значение при анализе поверхностной ЭКГ играет оценка процесса реполяризации. Довольно ча</w:t>
        <w:softHyphen/>
        <w:t>сто у детей с поперечной АВ-блокадой регистрирует</w:t>
        <w:softHyphen/>
        <w:t xml:space="preserve">ся увеличение зубца </w:t>
      </w:r>
      <w:r>
        <w:rPr>
          <w:lang w:val="en-US" w:eastAsia="en-US" w:bidi="en-US"/>
          <w:w w:val="100"/>
          <w:spacing w:val="0"/>
          <w:color w:val="000000"/>
          <w:position w:val="0"/>
        </w:rPr>
        <w:t xml:space="preserve">U </w:t>
      </w:r>
      <w:r>
        <w:rPr>
          <w:lang w:val="ru-RU" w:eastAsia="ru-RU" w:bidi="ru-RU"/>
          <w:w w:val="100"/>
          <w:spacing w:val="0"/>
          <w:color w:val="000000"/>
          <w:position w:val="0"/>
        </w:rPr>
        <w:t>и удлинение продолжительно</w:t>
        <w:softHyphen/>
        <w:t xml:space="preserve">сти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Их возникновение связано с субэн</w:t>
        <w:softHyphen/>
        <w:t>докардиальной ишемией на фоне перегрузки сердца за счет большого сердечного выброса при брадикар</w:t>
        <w:softHyphen/>
        <w:t>дии. Зубцы Т при полных АВ-блокадах обычно не из</w:t>
        <w:softHyphen/>
        <w:t>менены либо увеличенной амплитуды. После присту</w:t>
        <w:softHyphen/>
        <w:t>па Морганьи-Адамса-Стокса могут регистрироваться изоэлектричные или инвертированные зубцы Т, воз</w:t>
        <w:softHyphen/>
        <w:t>никновение которых связано с дизэлектролитными нарушениями в миокарде и гипоксией мозга. Посто</w:t>
        <w:softHyphen/>
        <w:t>янное обнаружение указанных изменений конечной части желудочкового комплекса свидетельствует о диффузном поражении миокарда.</w:t>
      </w:r>
    </w:p>
    <w:p>
      <w:pPr>
        <w:pStyle w:val="Style30"/>
        <w:numPr>
          <w:ilvl w:val="0"/>
          <w:numId w:val="16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Дифференциальная диагностика поперечной блока</w:t>
        <w:softHyphen/>
        <w:t>ды: по поверхностной ЭКГ не представляет значи</w:t>
        <w:softHyphen/>
        <w:t>тельных трудностей, однако она затруднена при со</w:t>
        <w:softHyphen/>
        <w:t>путствующем поражении синусового узла и в случаях субтотальной АВ-блокады.</w:t>
      </w:r>
    </w:p>
    <w:p>
      <w:pPr>
        <w:pStyle w:val="Style30"/>
        <w:numPr>
          <w:ilvl w:val="0"/>
          <w:numId w:val="163"/>
        </w:numPr>
        <w:tabs>
          <w:tab w:leader="none" w:pos="236"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сопутствующем поражении синусового узла (си</w:t>
        <w:softHyphen/>
        <w:t>нусовой брадикардии) может возникнуть одинаковое</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число предсердных и желудочковых активаций, что имитирует картину изоритмической АВ-диссоциа- ции. Различить эти состояния позволяют нагрузоч</w:t>
        <w:softHyphen/>
        <w:t>ные тесты, приводящие к активации синусового узла (физическая нагрузка, проба с атропином или изад- рином), при этом в случае АВ-блокады возникает не</w:t>
        <w:softHyphen/>
        <w:t>соответствие ритма предсердий и желудочков.</w:t>
      </w:r>
    </w:p>
    <w:p>
      <w:pPr>
        <w:pStyle w:val="Style30"/>
        <w:numPr>
          <w:ilvl w:val="0"/>
          <w:numId w:val="16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Отличить субтотальную АВ-блокаду от полной по по - верхностной ЭКГ бывает трудно. На ЭКГ при субто</w:t>
        <w:softHyphen/>
        <w:t>тальной АВ-блокаде могут обнаруживаться следую</w:t>
        <w:softHyphen/>
        <w:t>щие характеристики (И.И.Исаков):</w:t>
      </w:r>
    </w:p>
    <w:p>
      <w:pPr>
        <w:pStyle w:val="Style30"/>
        <w:numPr>
          <w:ilvl w:val="0"/>
          <w:numId w:val="16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Вслед за проведенным синусовым импульсом с по</w:t>
        <w:softHyphen/>
        <w:t xml:space="preserve">стоянным интервалом </w:t>
      </w:r>
      <w:r>
        <w:rPr>
          <w:lang w:val="en-US" w:eastAsia="en-US" w:bidi="en-US"/>
          <w:w w:val="100"/>
          <w:spacing w:val="0"/>
          <w:color w:val="000000"/>
          <w:position w:val="0"/>
        </w:rPr>
        <w:t xml:space="preserve">P-R </w:t>
      </w:r>
      <w:r>
        <w:rPr>
          <w:lang w:val="ru-RU" w:eastAsia="ru-RU" w:bidi="ru-RU"/>
          <w:w w:val="100"/>
          <w:spacing w:val="0"/>
          <w:color w:val="000000"/>
          <w:position w:val="0"/>
        </w:rPr>
        <w:t>следует несколько (обыч</w:t>
        <w:softHyphen/>
        <w:t xml:space="preserve">но более 3) зубцов Р без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далее пери</w:t>
        <w:softHyphen/>
        <w:t>од повторяется. Продолжительный период асистолии желудочков может обусловить возникновение при</w:t>
        <w:softHyphen/>
        <w:t>ступа Морганьи-Адамса-Стокса.</w:t>
      </w:r>
    </w:p>
    <w:p>
      <w:pPr>
        <w:pStyle w:val="Style30"/>
        <w:numPr>
          <w:ilvl w:val="0"/>
          <w:numId w:val="163"/>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 субтотальной АВ-блокаде встречаются после зубцов Р преждевременные желудочковые комплек</w:t>
        <w:softHyphen/>
        <w:t>сы, появление которых означает захват желудочков проведенными синусовыми (наджелудочковыми) импульсами. Отличить желудочковые «захваты» и, следовательно, субтотальную блокаду от желудочко</w:t>
        <w:softHyphen/>
        <w:t>вых экстрасистол при полной АВ-блокаде помогают следующие критерии:</w:t>
      </w:r>
    </w:p>
    <w:p>
      <w:pPr>
        <w:pStyle w:val="Style30"/>
        <w:numPr>
          <w:ilvl w:val="0"/>
          <w:numId w:val="165"/>
        </w:numPr>
        <w:tabs>
          <w:tab w:leader="none" w:pos="753"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желудочковые захваты имеют связь с предшеству</w:t>
        <w:softHyphen/>
        <w:t>ющим зубцом Р (следуют за зубцом Р с соответ</w:t>
        <w:softHyphen/>
        <w:t>ствующим интервалом Р</w:t>
      </w:r>
      <w:r>
        <w:rPr>
          <w:lang w:val="en-US" w:eastAsia="en-US" w:bidi="en-US"/>
          <w:w w:val="100"/>
          <w:spacing w:val="0"/>
          <w:color w:val="000000"/>
          <w:position w:val="0"/>
        </w:rPr>
        <w:t xml:space="preserve">-R). </w:t>
      </w:r>
      <w:r>
        <w:rPr>
          <w:lang w:val="ru-RU" w:eastAsia="ru-RU" w:bidi="ru-RU"/>
          <w:w w:val="100"/>
          <w:spacing w:val="0"/>
          <w:color w:val="000000"/>
          <w:position w:val="0"/>
        </w:rPr>
        <w:t>Желудочковые экс</w:t>
        <w:softHyphen/>
        <w:t>трасистолы, как правило, не связаны с зубцами Р;</w:t>
      </w:r>
    </w:p>
    <w:p>
      <w:pPr>
        <w:pStyle w:val="Style30"/>
        <w:numPr>
          <w:ilvl w:val="0"/>
          <w:numId w:val="165"/>
        </w:numPr>
        <w:tabs>
          <w:tab w:leader="none" w:pos="753" w:val="left"/>
        </w:tabs>
        <w:widowControl w:val="0"/>
        <w:keepNext w:val="0"/>
        <w:keepLines w:val="0"/>
        <w:shd w:val="clear" w:color="auto" w:fill="auto"/>
        <w:bidi w:val="0"/>
        <w:spacing w:before="0" w:after="180"/>
        <w:ind w:left="740" w:right="0" w:hanging="220"/>
      </w:pPr>
      <w:r>
        <w:rPr>
          <w:lang w:val="ru-RU" w:eastAsia="ru-RU" w:bidi="ru-RU"/>
          <w:w w:val="100"/>
          <w:spacing w:val="0"/>
          <w:color w:val="000000"/>
          <w:position w:val="0"/>
        </w:rPr>
        <w:t>интервал сцепления от идиовентрикулярного же</w:t>
        <w:softHyphen/>
        <w:t>лудочкового комплекса до проведенного желудоч</w:t>
        <w:softHyphen/>
        <w:t>кового комплекса варьирует, а при экстрасистолии постоянный.</w:t>
      </w:r>
    </w:p>
    <w:p>
      <w:pPr>
        <w:pStyle w:val="Style92"/>
        <w:widowControl w:val="0"/>
        <w:keepNext/>
        <w:keepLines/>
        <w:shd w:val="clear" w:color="auto" w:fill="auto"/>
        <w:bidi w:val="0"/>
        <w:spacing w:before="0" w:after="0"/>
        <w:ind w:left="0" w:right="0" w:firstLine="280"/>
      </w:pPr>
      <w:bookmarkStart w:id="830" w:name="bookmark830"/>
      <w:r>
        <w:rPr>
          <w:lang w:val="ru-RU" w:eastAsia="ru-RU" w:bidi="ru-RU"/>
          <w:w w:val="100"/>
          <w:spacing w:val="0"/>
          <w:color w:val="000000"/>
          <w:position w:val="0"/>
        </w:rPr>
        <w:t>Эхокардиография</w:t>
      </w:r>
      <w:bookmarkEnd w:id="830"/>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Эхокардиография при полной атриовентрикулярной блокаде проводится с целью исключения сопутствующих ВПС и оценки гемодинамических показателей. На основа</w:t>
        <w:softHyphen/>
        <w:t>нии эхометрических величин проводится расчет следую - щих показателей:</w:t>
      </w:r>
    </w:p>
    <w:p>
      <w:pPr>
        <w:pStyle w:val="Style30"/>
        <w:numPr>
          <w:ilvl w:val="0"/>
          <w:numId w:val="165"/>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конечно-диастолический (КДО) и конечно-систоли</w:t>
        <w:softHyphen/>
        <w:t xml:space="preserve">ческий (КСО) объемы левого желудочка по формуле </w:t>
      </w:r>
      <w:r>
        <w:rPr>
          <w:lang w:val="en-US" w:eastAsia="en-US" w:bidi="en-US"/>
          <w:w w:val="100"/>
          <w:spacing w:val="0"/>
          <w:color w:val="000000"/>
          <w:position w:val="0"/>
        </w:rPr>
        <w:t>L. Teichholz;</w:t>
      </w:r>
    </w:p>
    <w:p>
      <w:pPr>
        <w:pStyle w:val="Style30"/>
        <w:numPr>
          <w:ilvl w:val="0"/>
          <w:numId w:val="165"/>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ударный объем (УО); УО = КДО — КСО (в мл);</w:t>
      </w:r>
    </w:p>
    <w:p>
      <w:pPr>
        <w:pStyle w:val="Style30"/>
        <w:numPr>
          <w:ilvl w:val="0"/>
          <w:numId w:val="165"/>
        </w:numPr>
        <w:tabs>
          <w:tab w:leader="none" w:pos="515"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минутный объем кровообращения (МОК); МОК = УО*ЧСС (л/мин);</w:t>
      </w:r>
    </w:p>
    <w:p>
      <w:pPr>
        <w:pStyle w:val="Style30"/>
        <w:numPr>
          <w:ilvl w:val="0"/>
          <w:numId w:val="165"/>
        </w:numPr>
        <w:tabs>
          <w:tab w:leader="none" w:pos="51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фракция выброса (ФВ); ФВ=УО:КДО (ед).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Полученные значения сравнивались с нормативами по</w:t>
      </w:r>
    </w:p>
    <w:p>
      <w:pPr>
        <w:pStyle w:val="Style30"/>
        <w:widowControl w:val="0"/>
        <w:keepNext w:val="0"/>
        <w:keepLines w:val="0"/>
        <w:shd w:val="clear" w:color="auto" w:fill="auto"/>
        <w:bidi w:val="0"/>
        <w:spacing w:before="0" w:after="180"/>
        <w:ind w:left="0" w:right="0" w:firstLine="0"/>
      </w:pPr>
      <w:r>
        <w:rPr>
          <w:lang w:val="ru-RU" w:eastAsia="ru-RU" w:bidi="ru-RU"/>
          <w:w w:val="100"/>
          <w:spacing w:val="0"/>
          <w:color w:val="000000"/>
          <w:position w:val="0"/>
        </w:rPr>
        <w:t>таблицам (процентильные таблицы Белозерова Ю.М., 1993).</w:t>
      </w:r>
    </w:p>
    <w:p>
      <w:pPr>
        <w:pStyle w:val="Style92"/>
        <w:widowControl w:val="0"/>
        <w:keepNext/>
        <w:keepLines/>
        <w:shd w:val="clear" w:color="auto" w:fill="auto"/>
        <w:bidi w:val="0"/>
        <w:spacing w:before="0" w:after="0"/>
        <w:ind w:left="0" w:right="0" w:firstLine="280"/>
      </w:pPr>
      <w:bookmarkStart w:id="831" w:name="bookmark831"/>
      <w:r>
        <w:rPr>
          <w:lang w:val="ru-RU" w:eastAsia="ru-RU" w:bidi="ru-RU"/>
          <w:w w:val="100"/>
          <w:spacing w:val="0"/>
          <w:color w:val="000000"/>
          <w:position w:val="0"/>
        </w:rPr>
        <w:t>Холтеровское мониторирование</w:t>
      </w:r>
      <w:bookmarkEnd w:id="831"/>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Суточная динамика параметров ЭКГ (частота сокраще</w:t>
        <w:softHyphen/>
        <w:t xml:space="preserve">ний предсердий и желудочков, интервалы </w:t>
      </w:r>
      <w:r>
        <w:rPr>
          <w:lang w:val="en-US" w:eastAsia="en-US" w:bidi="en-US"/>
          <w:w w:val="100"/>
          <w:spacing w:val="0"/>
          <w:color w:val="000000"/>
          <w:position w:val="0"/>
        </w:rPr>
        <w:t xml:space="preserve">QRS, QT, </w:t>
      </w:r>
      <w:r>
        <w:rPr>
          <w:lang w:val="ru-RU" w:eastAsia="ru-RU" w:bidi="ru-RU"/>
          <w:w w:val="100"/>
          <w:spacing w:val="0"/>
          <w:color w:val="000000"/>
          <w:position w:val="0"/>
        </w:rPr>
        <w:t>ампли</w:t>
        <w:softHyphen/>
        <w:t xml:space="preserve">туда зубцов Р, </w:t>
      </w:r>
      <w:r>
        <w:rPr>
          <w:lang w:val="en-US" w:eastAsia="en-US" w:bidi="en-US"/>
          <w:w w:val="100"/>
          <w:spacing w:val="0"/>
          <w:color w:val="000000"/>
          <w:position w:val="0"/>
        </w:rPr>
        <w:t xml:space="preserve">R </w:t>
      </w:r>
      <w:r>
        <w:rPr>
          <w:lang w:val="ru-RU" w:eastAsia="ru-RU" w:bidi="ru-RU"/>
          <w:w w:val="100"/>
          <w:spacing w:val="0"/>
          <w:color w:val="000000"/>
          <w:position w:val="0"/>
        </w:rPr>
        <w:t xml:space="preserve">и Т, смещение сегмента </w:t>
      </w:r>
      <w:r>
        <w:rPr>
          <w:lang w:val="en-US" w:eastAsia="en-US" w:bidi="en-US"/>
          <w:w w:val="100"/>
          <w:spacing w:val="0"/>
          <w:color w:val="000000"/>
          <w:position w:val="0"/>
        </w:rPr>
        <w:t>ST</w:t>
      </w:r>
      <w:r>
        <w:rPr>
          <w:lang w:val="ru-RU" w:eastAsia="ru-RU" w:bidi="ru-RU"/>
          <w:w w:val="100"/>
          <w:spacing w:val="0"/>
          <w:color w:val="000000"/>
          <w:position w:val="0"/>
        </w:rPr>
        <w:t xml:space="preserve">-Т) оценивается путем регистрации 10 комплексов </w:t>
      </w:r>
      <w:r>
        <w:rPr>
          <w:lang w:val="en-US" w:eastAsia="en-US" w:bidi="en-US"/>
          <w:w w:val="100"/>
          <w:spacing w:val="0"/>
          <w:color w:val="000000"/>
          <w:position w:val="0"/>
        </w:rPr>
        <w:t xml:space="preserve">QRS </w:t>
      </w:r>
      <w:r>
        <w:rPr>
          <w:lang w:val="ru-RU" w:eastAsia="ru-RU" w:bidi="ru-RU"/>
          <w:w w:val="100"/>
          <w:spacing w:val="0"/>
          <w:color w:val="000000"/>
          <w:position w:val="0"/>
        </w:rPr>
        <w:t>в начале каждого часа при записи со скоростью 25 мм/сек по разработанной ранее в клинике методике (Макаров Л.М., 1998).</w:t>
      </w:r>
    </w:p>
    <w:p>
      <w:pPr>
        <w:pStyle w:val="Style92"/>
        <w:widowControl w:val="0"/>
        <w:keepNext/>
        <w:keepLines/>
        <w:shd w:val="clear" w:color="auto" w:fill="auto"/>
        <w:bidi w:val="0"/>
        <w:spacing w:before="0" w:after="0"/>
        <w:ind w:left="0" w:right="0" w:firstLine="280"/>
      </w:pPr>
      <w:bookmarkStart w:id="832" w:name="bookmark832"/>
      <w:r>
        <w:rPr>
          <w:lang w:val="ru-RU" w:eastAsia="ru-RU" w:bidi="ru-RU"/>
          <w:w w:val="100"/>
          <w:spacing w:val="0"/>
          <w:color w:val="000000"/>
          <w:position w:val="0"/>
        </w:rPr>
        <w:t>Фармакологические пробы</w:t>
      </w:r>
      <w:bookmarkEnd w:id="832"/>
    </w:p>
    <w:p>
      <w:pPr>
        <w:pStyle w:val="Style30"/>
        <w:widowControl w:val="0"/>
        <w:keepNext w:val="0"/>
        <w:keepLines w:val="0"/>
        <w:shd w:val="clear" w:color="auto" w:fill="auto"/>
        <w:bidi w:val="0"/>
        <w:spacing w:before="0" w:after="0"/>
        <w:ind w:left="0" w:right="0" w:firstLine="280"/>
      </w:pPr>
      <w:r>
        <w:pict>
          <v:shape id="_x0000_s1871" type="#_x0000_t75" style="position:absolute;margin-left:130.45pt;margin-top:738.25pt;width:209.75pt;height:14.9pt;z-index:-125828769;mso-wrap-distance-left:124.1pt;mso-wrap-distance-right:148.1pt;mso-wrap-distance-bottom:10.8pt;mso-position-horizontal-relative:margin;mso-position-vertical-relative:margin" wrapcoords="0 0 21600 0 21600 21600 0 21600 0 0">
            <v:imagedata r:id="rId1354" r:href="rId1355"/>
            <w10:wrap type="topAndBottom" anchorx="margin" anchory="margin"/>
          </v:shape>
        </w:pict>
      </w:r>
      <w:r>
        <w:rPr>
          <w:lang w:val="ru-RU" w:eastAsia="ru-RU" w:bidi="ru-RU"/>
          <w:w w:val="100"/>
          <w:spacing w:val="0"/>
          <w:color w:val="000000"/>
          <w:position w:val="0"/>
        </w:rPr>
        <w:t>В основе механизма действия лекарственных проб лежит блокада (проба с атропином) или стимуляция рецепторно-</w:t>
      </w:r>
      <w:r>
        <w:br w:type="page"/>
      </w:r>
    </w:p>
    <w:p>
      <w:pPr>
        <w:pStyle w:val="Style30"/>
        <w:widowControl w:val="0"/>
        <w:keepNext w:val="0"/>
        <w:keepLines w:val="0"/>
        <w:shd w:val="clear" w:color="auto" w:fill="auto"/>
        <w:bidi w:val="0"/>
        <w:spacing w:before="0" w:after="0"/>
        <w:ind w:left="0" w:right="0" w:firstLine="0"/>
      </w:pPr>
      <w:r>
        <w:pict>
          <v:shape id="_x0000_s1872" type="#_x0000_t202" style="position:absolute;margin-left:0.35pt;margin-top:27.8pt;width:72.5pt;height:31.65pt;z-index:-125828768;mso-wrap-distance-left:5.pt;mso-wrap-distance-right: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22"/>
                    </w:rPr>
                    <w:t xml:space="preserve">Рис. 105. </w:t>
                  </w:r>
                  <w:r>
                    <w:rPr>
                      <w:rStyle w:val="CharStyle121"/>
                    </w:rPr>
                    <w:t>Желудоч</w:t>
                    <w:softHyphen/>
                    <w:t>ковая асистолия у ребенка с ПАВБ.</w:t>
                  </w:r>
                </w:p>
              </w:txbxContent>
            </v:textbox>
            <w10:wrap type="topAndBottom" anchorx="margin" anchory="margin"/>
          </v:shape>
        </w:pict>
      </w:r>
      <w:r>
        <w:pict>
          <v:shape id="_x0000_s1873" type="#_x0000_t75" style="position:absolute;margin-left:95.4pt;margin-top:6.95pt;width:396.95pt;height:201.6pt;z-index:-125828767;mso-wrap-distance-left:5.pt;mso-wrap-distance-right:5.pt;mso-position-horizontal-relative:margin;mso-position-vertical-relative:margin">
            <v:imagedata r:id="rId1356" r:href="rId1357"/>
            <w10:wrap type="topAndBottom" anchorx="margin" anchory="margin"/>
          </v:shape>
        </w:pict>
      </w:r>
      <w:r>
        <w:rPr>
          <w:lang w:val="ru-RU" w:eastAsia="ru-RU" w:bidi="ru-RU"/>
          <w:w w:val="100"/>
          <w:spacing w:val="0"/>
          <w:color w:val="000000"/>
          <w:position w:val="0"/>
        </w:rPr>
        <w:t>го аппарата сердца (проба с изадрином). В связи с этим ле</w:t>
        <w:softHyphen/>
        <w:t>карственные пробы с регистрацией ЭКГ позволяют: 1) оце</w:t>
        <w:softHyphen/>
        <w:t>нить функциональное состояние пейсмекерной активности проводящей системы сердца; 2) провести дифференциаль</w:t>
        <w:softHyphen/>
        <w:t>ную диагностику функциональных от органических пора</w:t>
        <w:softHyphen/>
        <w:t>жений сердца; 3) выявить нарушения сердечного ритма, не регистрируемые на обычной ЭКГ; 4) оценить компенсатор</w:t>
        <w:softHyphen/>
        <w:t>ные возможности сердца и тяжесть нарушений сердечного ритма.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Проба с атропином. Пробу проводят утром через 1,5 часа после еды. У лежащего ребенка после 15 мин отдыха регис</w:t>
        <w:softHyphen/>
        <w:t>трируют ЭКГ и измеряют АД. Вводят 0,1% раствор атропи</w:t>
        <w:softHyphen/>
        <w:t>на сульфата в дозе 0,02-0,025 мг/кг массы внутривенно (на 4-5 мл изотонического раствора хлорида натрия). ЭКГ ре</w:t>
        <w:softHyphen/>
        <w:t>гистрируют в момент введения препарата, через 1, 3, 5 мин после него и далее каждые 10 мин до 40-й минуты пробы. Проводят оценку величины учащения частоты сокращений предсердий и желудочков, степень АВ-блокады, наличие эктопических сокращений.</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Проба с изадрином. Пробу проводят через 2 часа после приема пищи. После записи исходной ЭКГ дают 0,15 мг/кг массы тела изадрина под язык и записывают ЭКГ на 5, 10, 20, 30 и 40-й минутах. Проводится оценка величины учаще</w:t>
        <w:softHyphen/>
        <w:t>ния частоты сокращений предсердий и желудочков, сте</w:t>
        <w:softHyphen/>
        <w:t>пень АВБ, наличие эктопических сокращений.</w:t>
      </w:r>
    </w:p>
    <w:p>
      <w:pPr>
        <w:pStyle w:val="Style92"/>
        <w:widowControl w:val="0"/>
        <w:keepNext/>
        <w:keepLines/>
        <w:shd w:val="clear" w:color="auto" w:fill="auto"/>
        <w:bidi w:val="0"/>
        <w:spacing w:before="0" w:after="0"/>
        <w:ind w:left="0" w:right="0" w:firstLine="280"/>
      </w:pPr>
      <w:bookmarkStart w:id="833" w:name="bookmark833"/>
      <w:r>
        <w:rPr>
          <w:lang w:val="ru-RU" w:eastAsia="ru-RU" w:bidi="ru-RU"/>
          <w:w w:val="100"/>
          <w:spacing w:val="0"/>
          <w:color w:val="000000"/>
          <w:position w:val="0"/>
        </w:rPr>
        <w:t>Радионуклидная вентрикулография</w:t>
      </w:r>
      <w:bookmarkEnd w:id="833"/>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Радионуклидная вентрикулография дает возможность детально проанализировать временное соответствие внут</w:t>
        <w:softHyphen/>
        <w:t>рисердечных потоков и работы клапанного аппарата серд</w:t>
        <w:softHyphen/>
        <w:t>ца. Данный метод позволяет определить максимальную скорость выброса, максимальную скорость наполнения, время систолы, время диастолы, время диастолы (%), время максимального выброса (мс), время максимального напол</w:t>
        <w:softHyphen/>
        <w:t>нения (мс). У детей с полной АВ-блокадой даже при отсут</w:t>
        <w:softHyphen/>
        <w:t>ствии клинико-электрофизиологических показателей ра</w:t>
        <w:softHyphen/>
        <w:t>дионуклидная вентрикулография позволяет выявить пред</w:t>
        <w:softHyphen/>
        <w:t>расположенных к синкопальным состояниям по снижению максимальной скорости выброса.</w:t>
      </w:r>
    </w:p>
    <w:p>
      <w:pPr>
        <w:pStyle w:val="Style92"/>
        <w:widowControl w:val="0"/>
        <w:keepNext/>
        <w:keepLines/>
        <w:shd w:val="clear" w:color="auto" w:fill="auto"/>
        <w:bidi w:val="0"/>
        <w:spacing w:before="0" w:after="0"/>
        <w:ind w:left="0" w:right="0" w:firstLine="280"/>
      </w:pPr>
      <w:r>
        <w:br w:type="column"/>
      </w:r>
      <w:bookmarkStart w:id="834" w:name="bookmark834"/>
      <w:r>
        <w:rPr>
          <w:lang w:val="ru-RU" w:eastAsia="ru-RU" w:bidi="ru-RU"/>
          <w:w w:val="100"/>
          <w:spacing w:val="0"/>
          <w:color w:val="000000"/>
          <w:position w:val="0"/>
        </w:rPr>
        <w:t>Факторы риска неблагоприятного течения полных атрио</w:t>
        <w:softHyphen/>
        <w:t>вентрикулярных блокад</w:t>
      </w:r>
      <w:bookmarkEnd w:id="83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оценке клинической картины, тяжести заболевания и показаний к хирургическому лечению основное значение имеют следующие симптомокомплексы:</w:t>
      </w:r>
    </w:p>
    <w:p>
      <w:pPr>
        <w:pStyle w:val="Style30"/>
        <w:numPr>
          <w:ilvl w:val="0"/>
          <w:numId w:val="1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Симптомная брадикардия.</w:t>
      </w:r>
    </w:p>
    <w:p>
      <w:pPr>
        <w:pStyle w:val="Style30"/>
        <w:numPr>
          <w:ilvl w:val="0"/>
          <w:numId w:val="163"/>
        </w:numPr>
        <w:tabs>
          <w:tab w:leader="none" w:pos="517"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Кардиальное синкопе (приступ Морганьи-Адамса- Стокса).</w:t>
      </w:r>
    </w:p>
    <w:p>
      <w:pPr>
        <w:pStyle w:val="Style30"/>
        <w:numPr>
          <w:ilvl w:val="0"/>
          <w:numId w:val="1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Цереброваскулярная дисфункция.</w:t>
      </w:r>
    </w:p>
    <w:p>
      <w:pPr>
        <w:pStyle w:val="Style30"/>
        <w:numPr>
          <w:ilvl w:val="0"/>
          <w:numId w:val="1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Кардиомегалия.</w:t>
      </w:r>
    </w:p>
    <w:p>
      <w:pPr>
        <w:pStyle w:val="Style30"/>
        <w:numPr>
          <w:ilvl w:val="0"/>
          <w:numId w:val="1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Исходная частота сердечных сокращений.</w:t>
      </w:r>
    </w:p>
    <w:p>
      <w:pPr>
        <w:pStyle w:val="Style30"/>
        <w:numPr>
          <w:ilvl w:val="0"/>
          <w:numId w:val="1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Паузы сердечного ритма.</w:t>
      </w:r>
    </w:p>
    <w:p>
      <w:pPr>
        <w:pStyle w:val="Style30"/>
        <w:numPr>
          <w:ilvl w:val="0"/>
          <w:numId w:val="1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Желудочковые аритмии.</w:t>
      </w:r>
    </w:p>
    <w:p>
      <w:pPr>
        <w:pStyle w:val="Style30"/>
        <w:numPr>
          <w:ilvl w:val="0"/>
          <w:numId w:val="1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Удлинение интервала </w:t>
      </w:r>
      <w:r>
        <w:rPr>
          <w:lang w:val="en-US" w:eastAsia="en-US" w:bidi="en-US"/>
          <w:w w:val="100"/>
          <w:spacing w:val="0"/>
          <w:color w:val="000000"/>
          <w:position w:val="0"/>
        </w:rPr>
        <w:t>QT.</w:t>
      </w:r>
    </w:p>
    <w:p>
      <w:pPr>
        <w:pStyle w:val="Style30"/>
        <w:numPr>
          <w:ilvl w:val="0"/>
          <w:numId w:val="1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Ригидный ритм.</w:t>
      </w:r>
    </w:p>
    <w:p>
      <w:pPr>
        <w:pStyle w:val="Style30"/>
        <w:numPr>
          <w:ilvl w:val="0"/>
          <w:numId w:val="1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Сочетание полной АВ-блокады с ВПС.</w:t>
      </w:r>
    </w:p>
    <w:p>
      <w:pPr>
        <w:pStyle w:val="Style30"/>
        <w:numPr>
          <w:ilvl w:val="0"/>
          <w:numId w:val="16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двух узлов.</w:t>
      </w:r>
    </w:p>
    <w:p>
      <w:pPr>
        <w:pStyle w:val="Style30"/>
        <w:numPr>
          <w:ilvl w:val="0"/>
          <w:numId w:val="163"/>
        </w:numPr>
        <w:tabs>
          <w:tab w:leader="none" w:pos="517" w:val="left"/>
        </w:tabs>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Дистальный тип атриовентрикулярной блокады.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Симптомная брадикардия может иметь широкий спектр клинических проявлений и связана с неадекватным сердеч - ным выбросом. До настоящего времени отсутствуют адек</w:t>
        <w:softHyphen/>
        <w:t>ватные критерии оценки тяжести данного симптома. В си</w:t>
        <w:softHyphen/>
        <w:t>лу того, что у детей с АВ-блокадой часто отмечаются вегета</w:t>
        <w:softHyphen/>
        <w:t>тивные пароксизмы по ваготоническому типу, имитирую</w:t>
        <w:softHyphen/>
        <w:t>щие пред- и синкопальные состояния, обусловленные ма</w:t>
        <w:softHyphen/>
        <w:t>лым сердечным объемом, необходима объективизация дан</w:t>
        <w:softHyphen/>
        <w:t>ного симптомокомплекса. Всем детям с полной АВ-блока- дой в план кардиологического обследования необходимо включать определение вегетативного гомеокинеза и прово</w:t>
        <w:softHyphen/>
        <w:t>дить дифференциальную диагностику ваговагальных паро</w:t>
        <w:softHyphen/>
        <w:t>ксизмов от кардиальных.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Кардиальное синкопе (приступ Морганьи-Адамса-Стокса)</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является крайним проявлением симптомной брадикардии и возникает вследствие асистолии и/или желудочковой та</w:t>
        <w:softHyphen/>
        <w:t>хикардии (рис. 105).</w:t>
      </w:r>
    </w:p>
    <w:p>
      <w:pPr>
        <w:pStyle w:val="Style30"/>
        <w:widowControl w:val="0"/>
        <w:keepNext w:val="0"/>
        <w:keepLines w:val="0"/>
        <w:shd w:val="clear" w:color="auto" w:fill="auto"/>
        <w:bidi w:val="0"/>
        <w:spacing w:before="0" w:after="0"/>
        <w:ind w:left="0" w:right="0" w:firstLine="280"/>
      </w:pPr>
      <w:r>
        <w:pict>
          <v:shape id="_x0000_s1874" type="#_x0000_t75" style="position:absolute;margin-left:148.2pt;margin-top:738.25pt;width:209.75pt;height:14.9pt;z-index:-125828766;mso-wrap-distance-left:148.1pt;mso-wrap-distance-right:136.55pt;mso-wrap-distance-bottom:10.8pt;mso-position-horizontal-relative:margin;mso-position-vertical-relative:margin" wrapcoords="0 0 21600 0 21600 21600 0 21600 0 0">
            <v:imagedata r:id="rId1358" r:href="rId1359"/>
            <w10:wrap type="topAndBottom" anchorx="margin" anchory="margin"/>
          </v:shape>
        </w:pict>
      </w:r>
      <w:r>
        <w:rPr>
          <w:lang w:val="ru-RU" w:eastAsia="ru-RU" w:bidi="ru-RU"/>
          <w:w w:val="100"/>
          <w:spacing w:val="0"/>
          <w:color w:val="000000"/>
          <w:position w:val="0"/>
        </w:rPr>
        <w:t>Возникновение приступов Морганьи-Адамса-Стокса зависит от типа и длительности расстройств сердечной функции, состояния биоэлектрической активности мозга</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и мозгового кровообращения. Предвестники приступа: рез</w:t>
        <w:softHyphen/>
        <w:t>кая головная боль, онемение рук, парестезии лица, потем</w:t>
        <w:softHyphen/>
        <w:t>нение в глазах, головокружение — непосредственно обус</w:t>
        <w:softHyphen/>
        <w:t>ловлены нарушением центрального и мозгового кровооб</w:t>
        <w:softHyphen/>
        <w:t>ращения. При повторных приступах дети испытывают ост</w:t>
        <w:softHyphen/>
        <w:t>рое чувство тревоги, страха смерти. Собственно приступ со</w:t>
        <w:softHyphen/>
        <w:t>провождается внезапной потерей сознания, цианозом, аре- флексией, возможны судороги клонико-тонического ха</w:t>
        <w:softHyphen/>
        <w:t>рактера, непроизвольное мочеиспускание, реже — дефека</w:t>
        <w:softHyphen/>
        <w:t>ция. Больной может быть сильно травмирован из-за паде</w:t>
        <w:softHyphen/>
        <w:t>ния во время синкопе. Многократно повторяющиеся при</w:t>
        <w:softHyphen/>
        <w:t>ступы синдрома Морганьи-Адамса-Стокса могут привести к поражению центральной нервной системы. В редких слу</w:t>
        <w:softHyphen/>
        <w:t>чаях приступ Морганьи-Адамса-Стокса приходится диф</w:t>
        <w:softHyphen/>
        <w:t>ференцировать с эпилепсией.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Приступы Морганьи-Адамса-Стокса необходимо диф</w:t>
        <w:softHyphen/>
        <w:t>ференцировать от:</w:t>
      </w:r>
    </w:p>
    <w:p>
      <w:pPr>
        <w:pStyle w:val="Style30"/>
        <w:numPr>
          <w:ilvl w:val="0"/>
          <w:numId w:val="167"/>
        </w:numPr>
        <w:tabs>
          <w:tab w:leader="none" w:pos="51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эпилептических и эпилептиформных припадков;</w:t>
      </w:r>
    </w:p>
    <w:p>
      <w:pPr>
        <w:pStyle w:val="Style30"/>
        <w:numPr>
          <w:ilvl w:val="0"/>
          <w:numId w:val="167"/>
        </w:numPr>
        <w:tabs>
          <w:tab w:leader="none" w:pos="49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приступов головокружения и обморочных состояний вестибулярного происхождения;</w:t>
      </w:r>
    </w:p>
    <w:p>
      <w:pPr>
        <w:pStyle w:val="Style30"/>
        <w:numPr>
          <w:ilvl w:val="0"/>
          <w:numId w:val="167"/>
        </w:numPr>
        <w:tabs>
          <w:tab w:leader="none" w:pos="50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обморочных состояний, сопровождающих некоторые другие заболевания сердца: а) аортальные стенозы; б) мит</w:t>
        <w:softHyphen/>
        <w:t>ральные пороки; в) миксома левого предсердия; г) врож</w:t>
        <w:softHyphen/>
        <w:t>денные пороки «синего» типа;</w:t>
      </w:r>
    </w:p>
    <w:p>
      <w:pPr>
        <w:pStyle w:val="Style30"/>
        <w:numPr>
          <w:ilvl w:val="0"/>
          <w:numId w:val="167"/>
        </w:numPr>
        <w:tabs>
          <w:tab w:leader="none" w:pos="51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ваговагальных обмороков (ортостатические, при син</w:t>
        <w:softHyphen/>
        <w:t>дроме каротидного синуса и др.) (табл. 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эпилептических припадках, приступах головокру</w:t>
        <w:softHyphen/>
        <w:t>жения и обморочных состояниях вестибулярного проис</w:t>
        <w:softHyphen/>
        <w:t>хождения дифференциальный диагноз сравнительно прост, поскольку у этих больных в период бессознательного состо - яния легко определить пульс.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Цереброваскулярная дисфункция возникает из-за гипо</w:t>
        <w:softHyphen/>
        <w:t>ксии мозга, особенно у детей с отягощенным перинаталь</w:t>
        <w:softHyphen/>
        <w:t>ным анамнезом, проявляется раздражительностью, суетли</w:t>
        <w:softHyphen/>
        <w:t>востью, эмоциональной неустойчивостью, ночными страха</w:t>
        <w:softHyphen/>
        <w:t>ми, головными болями, усиливающимися при психоэмоци</w:t>
        <w:softHyphen/>
        <w:t>ональной нагрузке, реже отмечается ощущение шума в го</w:t>
        <w:softHyphen/>
        <w:t>лове, потемнение в глазах, головокружение. При наличии данной симптоматики показано проведение ЭЭГ, на кото</w:t>
        <w:softHyphen/>
        <w:t>рой может определяться биоэлектрическая нестабильность мозговых структур в виде нерегулярного и заостренного аль</w:t>
        <w:softHyphen/>
        <w:t>фа-ритма, снижения порога судорожной готовности. Часто сопутствует внутричерепная гипертензия, подтверждаемая рентгенологически и по данным эхоэнцефалографии.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Кардиомегалия при полной АВ-блокаде обусловлена ли</w:t>
        <w:softHyphen/>
        <w:t>бо гемодинамическим фактором — компенсаторное увели</w:t>
        <w:softHyphen/>
        <w:t>чение ударного объема при редком пульсе («гемодинамиче</w:t>
        <w:softHyphen/>
        <w:t>ская дилатация»), либо сопутствующим поражением мио</w:t>
        <w:softHyphen/>
        <w:t>карда («миогенная дилатация»). Вместе с тем, поскольку у детей раннего возраста сократительные резервы миокарда существенно ниже, кардиомегалия у них наблюдается зна</w:t>
        <w:softHyphen/>
        <w:t>чительно чаще, чем у детей старшего возраста. При гемоди</w:t>
        <w:softHyphen/>
        <w:t>намической дилатации увеличенному конечно-диастоли</w:t>
        <w:softHyphen/>
        <w:t>ческому размеру (объему) левого желудочка соответствует высокий (обычно больше 0,75) показатель фракции выбро</w:t>
        <w:softHyphen/>
        <w:t>са (ФВ). При миогенной дилатации наряду с расширением полостей сердца определяется снижение фракции выброса левого желудочка. Снижение фракции менее 0,5 является пороговым (т.е. при более низких показателях развивается клиника застойной сердечной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Исходная частота сердечных сокращений — данный пока</w:t>
        <w:softHyphen/>
        <w:t>затель определяет минутный объем кровообращения и, сле</w:t>
        <w:softHyphen/>
        <w:br w:type="column"/>
        <w:t>довательно, при редкой ЧСС возрастает риск развития при</w:t>
        <w:softHyphen/>
        <w:t>ступа Морганьи-Адамса-Стокса. Критическим значением средней дневной ЧСС для новорожденных является часто</w:t>
        <w:softHyphen/>
        <w:t>та желудочковых сокращений менее 55 ударов в минуту, предсердных — менее 120 в минуту. Для детей и подростков критическим значением средней дневной ЧСС является ча</w:t>
        <w:softHyphen/>
        <w:t>стота желудочковых сокращений менее 45 ударов в минуту. Следует отметить, что данный показатель должен опреде</w:t>
        <w:softHyphen/>
        <w:t>ляться методом суточного мониторинга ЭКГ с расчетом средней дневной ЧСС за период с момента пробуждения до полуденного времени. Обнаружение периодов более ред</w:t>
        <w:softHyphen/>
        <w:t>кой ЧСС при проведении стандартной электрокардиогра</w:t>
        <w:softHyphen/>
        <w:t>фии в положении лежа не отражает среднюю дневную ЧСС и не является определяющим при выявлении критического значения. Пороговые (критические) значения ночной ЧСС у детей с поперечной АВ-блокадой не установлены.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Паузы сердечного ритма обычно обусловлены блокадой выхода </w:t>
      </w:r>
      <w:r>
        <w:rPr>
          <w:lang w:val="en-US" w:eastAsia="en-US" w:bidi="en-US"/>
          <w:w w:val="100"/>
          <w:spacing w:val="0"/>
          <w:color w:val="000000"/>
          <w:position w:val="0"/>
        </w:rPr>
        <w:t xml:space="preserve">(exit block) </w:t>
      </w:r>
      <w:r>
        <w:rPr>
          <w:lang w:val="ru-RU" w:eastAsia="ru-RU" w:bidi="ru-RU"/>
          <w:w w:val="100"/>
          <w:spacing w:val="0"/>
          <w:color w:val="000000"/>
          <w:position w:val="0"/>
        </w:rPr>
        <w:t>от эктопического водителя ритма к окру</w:t>
        <w:softHyphen/>
        <w:t>жающему миокарду. Продолжительность пауз сердечного ритма, ведущих к развитию синкопального состояния при АВ-блокадах, точно не определена. При анализе результа</w:t>
        <w:softHyphen/>
        <w:t>тов холтеровского мониторирования ЭКГ установлено, что потеря сознания в период мониторирования наблюдается при желудочковой асистолии более 2 с, однако даже при асистолии более 3,5 с приступы могут отсутствовать. С дру</w:t>
        <w:softHyphen/>
        <w:t>гой стороны, приступы Морганьи-Адамса-Стокса могут возникать и при отсутствии периодов асистолии. Установ</w:t>
        <w:softHyphen/>
        <w:t>лена ассоциация пауз сердечного ритма с суточной биорит</w:t>
        <w:softHyphen/>
        <w:t>микой. Паузы ритма у детей наблюдаются чаще в ночное время, что отражает модулирующее влияние центральных звеньев регуляции на пейсмекерную активность эктопиче</w:t>
        <w:softHyphen/>
        <w:t>ского водителя ритма.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Желудочковые аритмии — фактор риска желудочковой тахикардии-фибрилляции. Возникновение желудочковых эктопий ассоциируется со степенью исходной брадикар</w:t>
        <w:softHyphen/>
        <w:t xml:space="preserve">дии, продолжительностью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кардиомегалией. Желудочковые эктопии следует выявлять при проведении суточного мониторирования ЭКГ, фармакологической пробе с изадрином, дозированной физической нагрузке (при отсутствии указаний на синкопальные эпизоды в анамнезе). Наиболее тревожными предвестниками при</w:t>
        <w:softHyphen/>
        <w:t>ступа являются залповые экстрасистолы и эхоритмы, кото</w:t>
        <w:softHyphen/>
        <w:t>рые мы наблюдали лишь у одного ребенка (рис. 106).</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Удлинение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 независимый фактор риска внезапной смерти при поперечной АВ-блокаде, свидетель</w:t>
        <w:softHyphen/>
        <w:t>ствует об асинхронном процессе реполяризации в миокар</w:t>
        <w:softHyphen/>
        <w:t>де, предрасполагает к желудочковым эктопиям (рис. 107).</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Чаще наблюдается при дистальных типах блокады, кар- диомегалии, приводящей к субэндокардиальной ишемии миокарда. До настоящего времени не решен вопрос, чем вызвано удлинение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Не вызывает сомнений, что у ряда детей сочетание блокады и синдрома удлиненно</w:t>
        <w:softHyphen/>
        <w:t xml:space="preserve">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(Романо-Уорда) не случайно и является результатом единого патологического процесса — кардио</w:t>
        <w:softHyphen/>
        <w:t xml:space="preserve">нейропатии. Вторичное удлинение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у детей с поперечными АВ-блокадами может быть обусловлено па</w:t>
        <w:softHyphen/>
        <w:t xml:space="preserve">тологической ваготонией, электролитным дисбалансом, эластофиброзом эндокарда. Прогностическая значимость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существенно возрастает при со</w:t>
        <w:softHyphen/>
        <w:t>четании с альтернацией зубца Т и ригидной брадикардией.</w:t>
      </w:r>
    </w:p>
    <w:p>
      <w:pPr>
        <w:pStyle w:val="Style30"/>
        <w:widowControl w:val="0"/>
        <w:keepNext w:val="0"/>
        <w:keepLines w:val="0"/>
        <w:shd w:val="clear" w:color="auto" w:fill="auto"/>
        <w:bidi w:val="0"/>
        <w:spacing w:before="0" w:after="0"/>
        <w:ind w:left="0" w:right="0" w:firstLine="280"/>
      </w:pPr>
      <w:r>
        <w:pict>
          <v:shape id="_x0000_s1875" type="#_x0000_t75" style="position:absolute;margin-left:136.8pt;margin-top:738.25pt;width:209.75pt;height:14.9pt;z-index:-125828765;mso-wrap-distance-left:136.8pt;mso-wrap-distance-right:148.1pt;mso-wrap-distance-bottom:10.8pt;mso-position-horizontal-relative:margin;mso-position-vertical-relative:margin" wrapcoords="0 0 21600 0 21600 21600 0 21600 0 0">
            <v:imagedata r:id="rId1360" r:href="rId1361"/>
            <w10:wrap type="topAndBottom" anchorx="margin" anchory="margin"/>
          </v:shape>
        </w:pict>
      </w:r>
      <w:r>
        <w:rPr>
          <w:lang w:val="ru-RU" w:eastAsia="ru-RU" w:bidi="ru-RU"/>
          <w:w w:val="100"/>
          <w:spacing w:val="0"/>
          <w:color w:val="000000"/>
          <w:position w:val="0"/>
        </w:rPr>
        <w:t>Ригидный ритм — неадекватное увеличение пульса при физической нагрузке или при проведении фармакологиче-</w:t>
      </w:r>
      <w:r>
        <w:br w:type="page"/>
      </w:r>
    </w:p>
    <w:p>
      <w:pPr>
        <w:pStyle w:val="Style30"/>
        <w:widowControl w:val="0"/>
        <w:keepNext w:val="0"/>
        <w:keepLines w:val="0"/>
        <w:shd w:val="clear" w:color="auto" w:fill="auto"/>
        <w:bidi w:val="0"/>
        <w:spacing w:before="0" w:after="0"/>
        <w:ind w:left="0" w:right="0" w:firstLine="0"/>
      </w:pPr>
      <w:r>
        <w:pict>
          <v:shape id="_x0000_s1876" type="#_x0000_t202" style="position:absolute;margin-left:0.35pt;margin-top:19.9pt;width:66.pt;height:50.9pt;z-index:-125828764;mso-wrap-distance-left:5.pt;mso-wrap-distance-right:5.pt;mso-position-horizontal-relative:margin;mso-position-vertical-relative:margin" fillcolor="#FDFDFD"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123"/>
                    </w:rPr>
                    <w:t xml:space="preserve">Рис. 106. </w:t>
                  </w:r>
                  <w:r>
                    <w:rPr>
                      <w:rStyle w:val="CharStyle90"/>
                    </w:rPr>
                    <w:t>Спарен</w:t>
                    <w:softHyphen/>
                    <w:t>ные желудочко</w:t>
                    <w:softHyphen/>
                    <w:t>вые экстрасисто</w:t>
                    <w:softHyphen/>
                    <w:t>лы у ребенка с ПАВБ.</w:t>
                  </w:r>
                </w:p>
              </w:txbxContent>
            </v:textbox>
            <w10:wrap type="topAndBottom" anchorx="margin" anchory="margin"/>
          </v:shape>
        </w:pict>
      </w:r>
      <w:r>
        <w:pict>
          <v:shape id="_x0000_s1877" type="#_x0000_t202" style="position:absolute;margin-left:0.6pt;margin-top:199.4pt;width:68.4pt;height:31.65pt;z-index:-125828763;mso-wrap-distance-left:5.pt;mso-wrap-distance-right:5.pt;mso-position-horizontal-relative:margin;mso-position-vertical-relative:margin" filled="f" stroked="f">
            <v:textbox style="mso-fit-shape-to-text:t" inset="0,0,0,0">
              <w:txbxContent>
                <w:p>
                  <w:pPr>
                    <w:pStyle w:val="Style120"/>
                    <w:widowControl w:val="0"/>
                    <w:keepNext w:val="0"/>
                    <w:keepLines w:val="0"/>
                    <w:shd w:val="clear" w:color="auto" w:fill="auto"/>
                    <w:bidi w:val="0"/>
                    <w:spacing w:before="0" w:after="0"/>
                    <w:ind w:left="0" w:right="0" w:firstLine="0"/>
                  </w:pPr>
                  <w:r>
                    <w:rPr>
                      <w:rStyle w:val="CharStyle122"/>
                    </w:rPr>
                    <w:t xml:space="preserve">Рис. 107. </w:t>
                  </w:r>
                  <w:r>
                    <w:rPr>
                      <w:rStyle w:val="CharStyle121"/>
                    </w:rPr>
                    <w:t>Удлине</w:t>
                    <w:softHyphen/>
                    <w:t xml:space="preserve">ние интервала </w:t>
                  </w:r>
                  <w:r>
                    <w:rPr>
                      <w:rStyle w:val="CharStyle121"/>
                      <w:lang w:val="en-US" w:eastAsia="en-US" w:bidi="en-US"/>
                    </w:rPr>
                    <w:t xml:space="preserve">QT </w:t>
                  </w:r>
                  <w:r>
                    <w:rPr>
                      <w:rStyle w:val="CharStyle121"/>
                    </w:rPr>
                    <w:t>при ПАВБ.</w:t>
                  </w:r>
                </w:p>
              </w:txbxContent>
            </v:textbox>
            <w10:wrap type="topAndBottom" anchorx="margin" anchory="margin"/>
          </v:shape>
        </w:pict>
      </w:r>
      <w:r>
        <w:pict>
          <v:shape id="_x0000_s1878" type="#_x0000_t75" style="position:absolute;margin-left:87.7pt;margin-top:2.4pt;width:406.55pt;height:317.3pt;z-index:-125828762;mso-wrap-distance-left:5.pt;mso-wrap-distance-right:5.pt;mso-position-horizontal-relative:margin;mso-position-vertical-relative:margin">
            <v:imagedata r:id="rId1362" r:href="rId1363"/>
            <w10:wrap type="topAndBottom" anchorx="margin" anchory="margin"/>
          </v:shape>
        </w:pict>
      </w:r>
      <w:r>
        <w:rPr>
          <w:lang w:val="ru-RU" w:eastAsia="ru-RU" w:bidi="ru-RU"/>
          <w:w w:val="100"/>
          <w:spacing w:val="0"/>
          <w:color w:val="000000"/>
          <w:position w:val="0"/>
        </w:rPr>
        <w:t>ских тестов (с атропином или изадрином). При ригидном пульсе колебания ЧСС не превышают 10 уд в минуту, ком</w:t>
        <w:softHyphen/>
        <w:t>пенсаторно увеличиваются ударный выброс и конечно-ди</w:t>
        <w:softHyphen/>
        <w:t>астолический объем левого желудочка, в связи с чем у этой группы детей обычно рано развивается миогенная дилата</w:t>
        <w:softHyphen/>
        <w:t>ция сердца.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основании проведенного обследования и катамне- стического наблюдения нами определены показания к кар</w:t>
        <w:softHyphen/>
        <w:t>диохирургической коррекции полных АВ-блокад у детей раннего и старшего возраста.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Сочетание полной атриовентрикулярной блокады с ВПС неблагоприятно сказывается на прогноз заболева</w:t>
        <w:softHyphen/>
        <w:t>ния, т.к. врожденная аномалия сердца, с одной стороны, вследствие сброса крови увеличивает проявления недоста</w:t>
        <w:softHyphen/>
        <w:t>точности кровообращения у детей с полной АВ-блокадой, с другой — сам порок сердца является независимым факто</w:t>
        <w:softHyphen/>
        <w:t>ром риска по развитию внезапной смерти.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Поражение двух узлов — результат единого патологиче</w:t>
        <w:softHyphen/>
        <w:t>ского процесса — нейропатии, однако надо учитывать еще и тот факт, что при аутоиммунном поражении проводящей системы сердца у плода не существует строгой избиратель</w:t>
        <w:softHyphen/>
        <w:t>ности к проводящей системе, т.е. наряду с вовлечением АВ-узла может поражаться и синусовый узел. У детей с при</w:t>
        <w:softHyphen/>
        <w:t>ступами Морганьи-Адамса-Стокса чаще регистрировались урежение сокращений предсердий и нижнепредсердный ритм, что свидетельствовало о вовлечении синусового узла в патологический процесс.</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Дистальный тип атриовентрикулярной блокады свиде</w:t>
        <w:softHyphen/>
        <w:t>тельствует о поражении проводящей системы на уровне но</w:t>
        <w:softHyphen/>
        <w:t>жек пучка Гиса. Дистальному типу атриовентрикулярной бло</w:t>
        <w:softHyphen/>
        <w:br w:type="column"/>
        <w:t>кады соответствуют более низкая исходная частота сокраще</w:t>
        <w:softHyphen/>
        <w:t>ний желудочков, ригидный ритм и желудочковые эктопии.</w:t>
      </w:r>
    </w:p>
    <w:p>
      <w:pPr>
        <w:pStyle w:val="Style92"/>
        <w:widowControl w:val="0"/>
        <w:keepNext/>
        <w:keepLines/>
        <w:shd w:val="clear" w:color="auto" w:fill="auto"/>
        <w:bidi w:val="0"/>
        <w:spacing w:before="0" w:after="0"/>
        <w:ind w:left="0" w:right="0" w:firstLine="280"/>
      </w:pPr>
      <w:bookmarkStart w:id="835" w:name="bookmark835"/>
      <w:r>
        <w:rPr>
          <w:lang w:val="ru-RU" w:eastAsia="ru-RU" w:bidi="ru-RU"/>
          <w:w w:val="100"/>
          <w:spacing w:val="0"/>
          <w:color w:val="000000"/>
          <w:position w:val="0"/>
        </w:rPr>
        <w:t>Лечение полных атриовентрикулярных блокад</w:t>
      </w:r>
      <w:bookmarkEnd w:id="835"/>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Основными направлениями в лечении полных атриовен</w:t>
        <w:softHyphen/>
        <w:t>трикулярных блокад, независимо от этиологии, являются коррекция малого выброса и предупреждение внезапной сердечной смерти. Важное значение в прогнозе заболевания имеет раннее выявление блокады. Применение трансваги</w:t>
        <w:softHyphen/>
        <w:t>нальной эхокардиографии плода позволяет выявить блока</w:t>
        <w:softHyphen/>
        <w:t>ду сердца на 11 неделе беременности. Раннее выявление врожденной атриовентрикулярной блокады и своевремен</w:t>
        <w:softHyphen/>
        <w:t>ное медикаментозное лечение (гормональными препарата</w:t>
        <w:softHyphen/>
        <w:t>ми) купирует или полностью устраняет проявления данного нарушения сердечного ритма. В постнатальном периоде важное значение имеет правильное определение генеза бло</w:t>
        <w:softHyphen/>
        <w:t>кады: и назначение комплексного медикаментозного лече</w:t>
        <w:softHyphen/>
        <w:t>ния, направленного на коррекцию малого сердечного вы</w:t>
        <w:softHyphen/>
        <w:t>броса, улучшение мозгового кровообращения и окислитель</w:t>
        <w:softHyphen/>
        <w:t>но-восстановительного процесса в миокарде. Комплексное обследование детей с полной АВ-блокадой (холтеровское мониторирование, фармакологические пробы с атропином и изадрином, дозированная физическая нагрузка и эхокар</w:t>
        <w:softHyphen/>
        <w:t>диография) позволяет выявить наличие факторов риска за</w:t>
        <w:softHyphen/>
        <w:t>болевания, которые могут указать на необходимость им</w:t>
        <w:softHyphen/>
        <w:t>плантации постоянного кардиостимулятора.</w:t>
      </w:r>
    </w:p>
    <w:p>
      <w:pPr>
        <w:pStyle w:val="Style92"/>
        <w:widowControl w:val="0"/>
        <w:keepNext/>
        <w:keepLines/>
        <w:shd w:val="clear" w:color="auto" w:fill="auto"/>
        <w:bidi w:val="0"/>
        <w:spacing w:before="0" w:after="0"/>
        <w:ind w:left="0" w:right="0" w:firstLine="280"/>
      </w:pPr>
      <w:bookmarkStart w:id="836" w:name="bookmark836"/>
      <w:r>
        <w:rPr>
          <w:lang w:val="ru-RU" w:eastAsia="ru-RU" w:bidi="ru-RU"/>
          <w:w w:val="100"/>
          <w:spacing w:val="0"/>
          <w:color w:val="000000"/>
          <w:position w:val="0"/>
        </w:rPr>
        <w:t>Лечение атриовентрикулярной блокады у плода</w:t>
      </w:r>
      <w:bookmarkEnd w:id="836"/>
    </w:p>
    <w:p>
      <w:pPr>
        <w:pStyle w:val="Style30"/>
        <w:widowControl w:val="0"/>
        <w:keepNext w:val="0"/>
        <w:keepLines w:val="0"/>
        <w:shd w:val="clear" w:color="auto" w:fill="auto"/>
        <w:bidi w:val="0"/>
        <w:spacing w:before="0" w:after="0"/>
        <w:ind w:left="0" w:right="0" w:firstLine="280"/>
      </w:pPr>
      <w:r>
        <w:pict>
          <v:shape id="_x0000_s1879" type="#_x0000_t75" style="position:absolute;margin-left:148.2pt;margin-top:738.25pt;width:209.75pt;height:14.9pt;z-index:-125828761;mso-wrap-distance-left:148.1pt;mso-wrap-distance-right:136.55pt;mso-wrap-distance-bottom:10.8pt;mso-position-horizontal-relative:margin;mso-position-vertical-relative:margin" wrapcoords="0 0 21600 0 21600 21600 0 21600 0 0">
            <v:imagedata r:id="rId1364" r:href="rId1365"/>
            <w10:wrap type="topAndBottom" anchorx="margin" anchory="margin"/>
          </v:shape>
        </w:pict>
      </w:r>
      <w:r>
        <w:rPr>
          <w:lang w:val="ru-RU" w:eastAsia="ru-RU" w:bidi="ru-RU"/>
          <w:w w:val="100"/>
          <w:spacing w:val="0"/>
          <w:color w:val="000000"/>
          <w:position w:val="0"/>
        </w:rPr>
        <w:t>При выявлении у плода с врожденной полной АВ-бло- кадой водянки или застойной сердечной недостаточности,</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а также при пульсе плода менее 60 уд в мин, матери назна</w:t>
        <w:softHyphen/>
        <w:t xml:space="preserve">чают инотропные агенты: </w:t>
      </w:r>
      <w:r>
        <w:rPr>
          <w:rStyle w:val="CharStyle103"/>
        </w:rPr>
        <w:t>тербуталин</w:t>
      </w:r>
      <w:r>
        <w:rPr>
          <w:lang w:val="ru-RU" w:eastAsia="ru-RU" w:bidi="ru-RU"/>
          <w:w w:val="100"/>
          <w:spacing w:val="0"/>
          <w:color w:val="000000"/>
          <w:position w:val="0"/>
        </w:rPr>
        <w:t xml:space="preserve"> (10-40 мкг/мин вну</w:t>
        <w:softHyphen/>
        <w:t xml:space="preserve">тривенно, затем поддерживающая терапия внутрь в дозе 2,5-5 мг каждые 4-6 часов), </w:t>
      </w:r>
      <w:r>
        <w:rPr>
          <w:rStyle w:val="CharStyle103"/>
        </w:rPr>
        <w:t>ритодрин</w:t>
      </w:r>
      <w:r>
        <w:rPr>
          <w:lang w:val="ru-RU" w:eastAsia="ru-RU" w:bidi="ru-RU"/>
          <w:w w:val="100"/>
          <w:spacing w:val="0"/>
          <w:color w:val="000000"/>
          <w:position w:val="0"/>
        </w:rPr>
        <w:t xml:space="preserve"> (50 мкг/мин внутри</w:t>
        <w:softHyphen/>
        <w:t xml:space="preserve">венно, поддерживающая доза 10-20 мг каждые 4 часа внутрь), </w:t>
      </w:r>
      <w:r>
        <w:rPr>
          <w:rStyle w:val="CharStyle103"/>
        </w:rPr>
        <w:t>изопротеренол</w:t>
      </w:r>
      <w:r>
        <w:rPr>
          <w:lang w:val="ru-RU" w:eastAsia="ru-RU" w:bidi="ru-RU"/>
          <w:w w:val="100"/>
          <w:spacing w:val="0"/>
          <w:color w:val="000000"/>
          <w:position w:val="0"/>
        </w:rPr>
        <w:t xml:space="preserve"> (0,05-0,1 мкг/кг в мин внутривен</w:t>
        <w:softHyphen/>
        <w:t>но). Обычно трансплацентарная терапия позволяет увели</w:t>
        <w:softHyphen/>
        <w:t>чить ЧСС плода на 15-50%. Если у матери определяются ан- тинуклеарные антитела или клинические проявления кол- лагеноза, ей назначают внутримышечно дексаметазон (вво</w:t>
        <w:softHyphen/>
        <w:t>дят 2 дозы по 12 мг через 24 часа) либо проводят плазмафе</w:t>
        <w:softHyphen/>
        <w:t>рез. Сообщены успешные результаты трансплацентарного лечения врожденной полной АВ-блокады у плода при на</w:t>
        <w:softHyphen/>
        <w:t>значении матери преднизолона в дозе 0,5 мг/кг в сутки.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Если у плода при ультразвуковом исследовании выявля</w:t>
        <w:softHyphen/>
        <w:t xml:space="preserve">ется брадикардия, беременной назначают преднизолон 0,5 мг/кг массы тела на 3 месяца. Беременная женщина, имеющая антитела </w:t>
      </w:r>
      <w:r>
        <w:rPr>
          <w:lang w:val="en-US" w:eastAsia="en-US" w:bidi="en-US"/>
          <w:w w:val="100"/>
          <w:spacing w:val="0"/>
          <w:color w:val="000000"/>
          <w:position w:val="0"/>
        </w:rPr>
        <w:t xml:space="preserve">Ro/La </w:t>
      </w:r>
      <w:r>
        <w:rPr>
          <w:lang w:val="ru-RU" w:eastAsia="ru-RU" w:bidi="ru-RU"/>
          <w:w w:val="100"/>
          <w:spacing w:val="0"/>
          <w:color w:val="000000"/>
          <w:position w:val="0"/>
        </w:rPr>
        <w:t>на сроках до 17 недель гестации, должна получать дексаметазон, который проникает через плаценту и предупреждает развитие миокардита у плода и, следовательно, повреждение проводящей системы сердца. Показано также проведение плазмафереза. Если у плода с блокадой выявлена водянка, матери назначают дигоксин и фуросемид для предупреждения застойной сердечной не</w:t>
        <w:softHyphen/>
        <w:t>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Париже создана программа планирования беременно</w:t>
        <w:softHyphen/>
        <w:t xml:space="preserve">сти у женщин, страдающих системной красной волчанкой или являющихся носителями </w:t>
      </w:r>
      <w:r>
        <w:rPr>
          <w:lang w:val="en-US" w:eastAsia="en-US" w:bidi="en-US"/>
          <w:w w:val="100"/>
          <w:spacing w:val="0"/>
          <w:color w:val="000000"/>
          <w:position w:val="0"/>
        </w:rPr>
        <w:t xml:space="preserve">Ro/SS-A, La/SSB </w:t>
      </w:r>
      <w:r>
        <w:rPr>
          <w:lang w:val="ru-RU" w:eastAsia="ru-RU" w:bidi="ru-RU"/>
          <w:w w:val="100"/>
          <w:spacing w:val="0"/>
          <w:color w:val="000000"/>
          <w:position w:val="0"/>
        </w:rPr>
        <w:t>антител. При выявлении беременности женщине назначается пред- низолон (10 мг в день) в сочетании с аспирином. При со</w:t>
        <w:softHyphen/>
        <w:t>путствующем обнаружении антифосфолипидных антител в лечение перед родами подключается гепарин. При выпол</w:t>
        <w:softHyphen/>
        <w:t>нении данной программы ни в одном случае не отмечено рождения ребенка с блокадой сердца. Интересен тот факт, что во время беременности у женщин атриовентрикулярная блокада исчезает и появляется вновь после родов, однако несомненно, что профилактическое применение иммуно</w:t>
        <w:softHyphen/>
        <w:t>корригирующей терапии позволяет существенно снизить частоту атриовентрикулярных блокад.</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полных атриовентрикулярных блокад у детей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Курсы медикаментозной терапии (на 6-12 мес.) направ</w:t>
        <w:softHyphen/>
        <w:t>лены на устранение недостаточности кровообращения, хронической гипоксии, стимуляцию обменных процессов в центральной нервной системе, улучшение окислительно</w:t>
        <w:softHyphen/>
        <w:t>восстановительных и метаболических процессов в миокар</w:t>
        <w:softHyphen/>
        <w:t>де, предупреждение развития жизнеугрожающих аритмий. Учитывая данные клинического обследования, состояние сердечно-сосудистой, центральной и вегетативной нервной систем, для медикаментозного лечения полной атриовент</w:t>
        <w:softHyphen/>
        <w:t>рикулярной блокады у детей применяются следующие группы препаратов.</w:t>
      </w:r>
    </w:p>
    <w:p>
      <w:pPr>
        <w:pStyle w:val="Style30"/>
        <w:numPr>
          <w:ilvl w:val="0"/>
          <w:numId w:val="169"/>
        </w:numPr>
        <w:tabs>
          <w:tab w:leader="none" w:pos="44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группа. Препараты, увеличивающие частоту сердечных сокращений, устраняющие угрозу возникновения присту</w:t>
        <w:softHyphen/>
        <w:t>пов потери сознания и недостаточности кровообращения. К данной группе относятся препараты, которые использу</w:t>
        <w:softHyphen/>
        <w:t xml:space="preserve">ются как средство первой помощи при возникновении приступов потери сознания по типу Морганьи-Адамса- Стокса: антихолинергические — атропин </w:t>
      </w:r>
      <w:r>
        <w:rPr>
          <w:rStyle w:val="CharStyle103"/>
          <w:lang w:val="en-US" w:eastAsia="en-US" w:bidi="en-US"/>
        </w:rPr>
        <w:t>(Atropine),</w:t>
      </w:r>
      <w:r>
        <w:rPr>
          <w:lang w:val="en-US" w:eastAsia="en-US" w:bidi="en-US"/>
          <w:w w:val="100"/>
          <w:spacing w:val="0"/>
          <w:color w:val="000000"/>
          <w:position w:val="0"/>
        </w:rPr>
        <w:t xml:space="preserve"> </w:t>
      </w:r>
      <w:r>
        <w:rPr>
          <w:lang w:val="ru-RU" w:eastAsia="ru-RU" w:bidi="ru-RU"/>
          <w:w w:val="100"/>
          <w:spacing w:val="0"/>
          <w:color w:val="000000"/>
          <w:position w:val="0"/>
        </w:rPr>
        <w:t xml:space="preserve">белла- таминал </w:t>
      </w:r>
      <w:r>
        <w:rPr>
          <w:rStyle w:val="CharStyle103"/>
          <w:lang w:val="en-US" w:eastAsia="en-US" w:bidi="en-US"/>
        </w:rPr>
        <w:t>(Bellataminalum)</w:t>
      </w:r>
      <w:r>
        <w:rPr>
          <w:lang w:val="en-US" w:eastAsia="en-US" w:bidi="en-US"/>
          <w:w w:val="100"/>
          <w:spacing w:val="0"/>
          <w:color w:val="000000"/>
          <w:position w:val="0"/>
        </w:rPr>
        <w:t xml:space="preserve"> </w:t>
      </w:r>
      <w:r>
        <w:rPr>
          <w:lang w:val="ru-RU" w:eastAsia="ru-RU" w:bidi="ru-RU"/>
          <w:w w:val="100"/>
          <w:spacing w:val="0"/>
          <w:color w:val="000000"/>
          <w:position w:val="0"/>
        </w:rPr>
        <w:t xml:space="preserve">и адреномиметики </w:t>
      </w:r>
      <w:r>
        <w:rPr>
          <w:rStyle w:val="CharStyle103"/>
        </w:rPr>
        <w:t xml:space="preserve">(Изадрин </w:t>
      </w:r>
      <w:r>
        <w:rPr>
          <w:rStyle w:val="CharStyle103"/>
          <w:lang w:val="en-US" w:eastAsia="en-US" w:bidi="en-US"/>
        </w:rPr>
        <w:t xml:space="preserve">Isadrinum, </w:t>
      </w:r>
      <w:r>
        <w:rPr>
          <w:rStyle w:val="CharStyle103"/>
        </w:rPr>
        <w:t>син. Изопротеренол).</w:t>
      </w:r>
      <w:r>
        <w:rPr>
          <w:lang w:val="ru-RU" w:eastAsia="ru-RU" w:bidi="ru-RU"/>
          <w:w w:val="100"/>
          <w:spacing w:val="0"/>
          <w:color w:val="000000"/>
          <w:position w:val="0"/>
        </w:rPr>
        <w:t xml:space="preserve"> Иногда для поддержания частоты сердечных сокращений у детей с пред- или синко- пальными состояниями используются адреномиметичес</w:t>
        <w:softHyphen/>
      </w:r>
    </w:p>
    <w:p>
      <w:pPr>
        <w:pStyle w:val="Style30"/>
        <w:tabs>
          <w:tab w:leader="none" w:pos="1387" w:val="left"/>
          <w:tab w:leader="none" w:pos="2333" w:val="left"/>
          <w:tab w:leader="none" w:pos="3802" w:val="left"/>
        </w:tabs>
        <w:widowControl w:val="0"/>
        <w:keepNext w:val="0"/>
        <w:keepLines w:val="0"/>
        <w:shd w:val="clear" w:color="auto" w:fill="auto"/>
        <w:bidi w:val="0"/>
        <w:spacing w:before="0" w:after="0"/>
        <w:ind w:left="0" w:right="0" w:firstLine="0"/>
      </w:pPr>
      <w:r>
        <w:br w:type="column"/>
      </w:r>
      <w:r>
        <w:rPr>
          <w:lang w:val="ru-RU" w:eastAsia="ru-RU" w:bidi="ru-RU"/>
          <w:w w:val="100"/>
          <w:spacing w:val="0"/>
          <w:color w:val="000000"/>
          <w:position w:val="0"/>
        </w:rPr>
        <w:t xml:space="preserve">кие препараты — аминофиллин </w:t>
      </w:r>
      <w:r>
        <w:rPr>
          <w:rStyle w:val="CharStyle103"/>
          <w:lang w:val="en-US" w:eastAsia="en-US" w:bidi="en-US"/>
        </w:rPr>
        <w:t>(Aminophylline),</w:t>
      </w:r>
      <w:r>
        <w:rPr>
          <w:lang w:val="en-US" w:eastAsia="en-US" w:bidi="en-US"/>
          <w:w w:val="100"/>
          <w:spacing w:val="0"/>
          <w:color w:val="000000"/>
          <w:position w:val="0"/>
        </w:rPr>
        <w:t xml:space="preserve"> </w:t>
      </w:r>
      <w:r>
        <w:rPr>
          <w:lang w:val="ru-RU" w:eastAsia="ru-RU" w:bidi="ru-RU"/>
          <w:w w:val="100"/>
          <w:spacing w:val="0"/>
          <w:color w:val="000000"/>
          <w:position w:val="0"/>
        </w:rPr>
        <w:t xml:space="preserve">эфедрин </w:t>
      </w:r>
      <w:r>
        <w:rPr>
          <w:rStyle w:val="CharStyle103"/>
          <w:lang w:val="en-US" w:eastAsia="en-US" w:bidi="en-US"/>
        </w:rPr>
        <w:t>(Ephedrinum</w:t>
      </w:r>
      <w:r>
        <w:rPr>
          <w:lang w:val="en-US" w:eastAsia="en-US" w:bidi="en-US"/>
          <w:w w:val="100"/>
          <w:spacing w:val="0"/>
          <w:color w:val="000000"/>
          <w:position w:val="0"/>
        </w:rPr>
        <w:t>)</w:t>
      </w:r>
      <w:r>
        <w:rPr>
          <w:lang w:val="ru-RU" w:eastAsia="ru-RU" w:bidi="ru-RU"/>
          <w:w w:val="100"/>
          <w:spacing w:val="0"/>
          <w:color w:val="000000"/>
          <w:position w:val="0"/>
        </w:rPr>
        <w:t>,</w:t>
        <w:tab/>
        <w:t>беротек</w:t>
        <w:tab/>
      </w:r>
      <w:r>
        <w:rPr>
          <w:rStyle w:val="CharStyle103"/>
          <w:lang w:val="en-US" w:eastAsia="en-US" w:bidi="en-US"/>
        </w:rPr>
        <w:t>(Fenoterolum</w:t>
      </w:r>
      <w:r>
        <w:rPr>
          <w:lang w:val="en-US" w:eastAsia="en-US" w:bidi="en-US"/>
          <w:w w:val="100"/>
          <w:spacing w:val="0"/>
          <w:color w:val="000000"/>
          <w:position w:val="0"/>
        </w:rPr>
        <w:t>)</w:t>
      </w:r>
      <w:r>
        <w:rPr>
          <w:lang w:val="ru-RU" w:eastAsia="ru-RU" w:bidi="ru-RU"/>
          <w:w w:val="100"/>
          <w:spacing w:val="0"/>
          <w:color w:val="000000"/>
          <w:position w:val="0"/>
        </w:rPr>
        <w:t>,</w:t>
        <w:tab/>
        <w:t>салбутамол</w:t>
      </w:r>
    </w:p>
    <w:p>
      <w:pPr>
        <w:pStyle w:val="Style107"/>
        <w:widowControl w:val="0"/>
        <w:keepNext w:val="0"/>
        <w:keepLines w:val="0"/>
        <w:shd w:val="clear" w:color="auto" w:fill="auto"/>
        <w:bidi w:val="0"/>
        <w:spacing w:before="0" w:after="0"/>
        <w:ind w:left="0" w:right="0" w:firstLine="0"/>
      </w:pPr>
      <w:r>
        <w:rPr>
          <w:rStyle w:val="CharStyle137"/>
          <w:lang w:val="en-US" w:eastAsia="en-US" w:bidi="en-US"/>
          <w:b w:val="0"/>
          <w:bCs w:val="0"/>
          <w:i w:val="0"/>
          <w:iCs w:val="0"/>
        </w:rPr>
        <w:t>(</w:t>
      </w:r>
      <w:r>
        <w:rPr>
          <w:lang w:val="en-US" w:eastAsia="en-US" w:bidi="en-US"/>
          <w:w w:val="100"/>
          <w:spacing w:val="0"/>
          <w:color w:val="000000"/>
          <w:position w:val="0"/>
        </w:rPr>
        <w:t>Salbutamolum</w:t>
      </w:r>
      <w:r>
        <w:rPr>
          <w:rStyle w:val="CharStyle137"/>
          <w:lang w:val="en-US" w:eastAsia="en-US" w:bidi="en-US"/>
          <w:b w:val="0"/>
          <w:bCs w:val="0"/>
          <w:i w:val="0"/>
          <w:iCs w:val="0"/>
        </w:rPr>
        <w:t xml:space="preserve">, </w:t>
      </w:r>
      <w:r>
        <w:rPr>
          <w:rStyle w:val="CharStyle137"/>
          <w:b w:val="0"/>
          <w:bCs w:val="0"/>
          <w:i w:val="0"/>
          <w:iCs w:val="0"/>
        </w:rPr>
        <w:t xml:space="preserve">син. </w:t>
      </w:r>
      <w:r>
        <w:rPr>
          <w:lang w:val="en-US" w:eastAsia="en-US" w:bidi="en-US"/>
          <w:w w:val="100"/>
          <w:spacing w:val="0"/>
          <w:color w:val="000000"/>
          <w:position w:val="0"/>
        </w:rPr>
        <w:t>Ventolin</w:t>
      </w:r>
      <w:r>
        <w:rPr>
          <w:rStyle w:val="CharStyle137"/>
          <w:lang w:val="en-US" w:eastAsia="en-US" w:bidi="en-US"/>
          <w:b w:val="0"/>
          <w:bCs w:val="0"/>
          <w:i w:val="0"/>
          <w:iCs w:val="0"/>
        </w:rPr>
        <w:t>).</w:t>
      </w:r>
    </w:p>
    <w:p>
      <w:pPr>
        <w:pStyle w:val="Style30"/>
        <w:numPr>
          <w:ilvl w:val="0"/>
          <w:numId w:val="171"/>
        </w:numPr>
        <w:tabs>
          <w:tab w:leader="none" w:pos="510"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 xml:space="preserve">Атропин сульфат </w:t>
      </w:r>
      <w:r>
        <w:rPr>
          <w:rStyle w:val="CharStyle103"/>
          <w:lang w:val="en-US" w:eastAsia="en-US" w:bidi="en-US"/>
        </w:rPr>
        <w:t>(Atropini sulfat)</w:t>
      </w:r>
      <w:r>
        <w:rPr>
          <w:lang w:val="en-US" w:eastAsia="en-US" w:bidi="en-US"/>
          <w:w w:val="100"/>
          <w:spacing w:val="0"/>
          <w:color w:val="000000"/>
          <w:position w:val="0"/>
        </w:rPr>
        <w:t xml:space="preserve"> </w:t>
      </w:r>
      <w:r>
        <w:rPr>
          <w:lang w:val="ru-RU" w:eastAsia="ru-RU" w:bidi="ru-RU"/>
          <w:w w:val="100"/>
          <w:spacing w:val="0"/>
          <w:color w:val="000000"/>
          <w:position w:val="0"/>
        </w:rPr>
        <w:t>0,1% раствор вводит</w:t>
        <w:softHyphen/>
        <w:t>ся внутривенно в дозе 0,02-0,025 мг/кг массы (на 4-5 мл изотонического раствора хлорида натрия). Основной фар</w:t>
        <w:softHyphen/>
        <w:t>макологической особенностью атропина является его спо</w:t>
        <w:softHyphen/>
        <w:t>собность блокировать М-холинорецепторы. Блокируя М-холинорецепторы, атропин делает их нечувствительны</w:t>
        <w:softHyphen/>
        <w:t>ми к ацетилхолину, образующемуся в области окончаний постганглионарных парасимпатических нервов. Иногда для достижения необходимого эффекта используется мак</w:t>
        <w:softHyphen/>
        <w:t>симальная дозировка атропина — 0,04 мг/кг.</w:t>
      </w:r>
    </w:p>
    <w:p>
      <w:pPr>
        <w:pStyle w:val="Style30"/>
        <w:numPr>
          <w:ilvl w:val="0"/>
          <w:numId w:val="171"/>
        </w:numPr>
        <w:tabs>
          <w:tab w:leader="none" w:pos="529"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 xml:space="preserve">Изадрин 5 мг </w:t>
      </w:r>
      <w:r>
        <w:rPr>
          <w:rStyle w:val="CharStyle103"/>
          <w:lang w:val="en-US" w:eastAsia="en-US" w:bidi="en-US"/>
        </w:rPr>
        <w:t xml:space="preserve">(Isadrinum, </w:t>
      </w:r>
      <w:r>
        <w:rPr>
          <w:rStyle w:val="CharStyle103"/>
        </w:rPr>
        <w:t xml:space="preserve">син., Изопротеренол, Эуспи- ран, </w:t>
      </w:r>
      <w:r>
        <w:rPr>
          <w:rStyle w:val="CharStyle103"/>
          <w:lang w:val="en-US" w:eastAsia="en-US" w:bidi="en-US"/>
        </w:rPr>
        <w:t>Novodrin)</w:t>
      </w:r>
      <w:r>
        <w:rPr>
          <w:lang w:val="en-US" w:eastAsia="en-US" w:bidi="en-US"/>
          <w:w w:val="100"/>
          <w:spacing w:val="0"/>
          <w:color w:val="000000"/>
          <w:position w:val="0"/>
        </w:rPr>
        <w:t xml:space="preserve"> </w:t>
      </w:r>
      <w:r>
        <w:rPr>
          <w:lang w:val="ru-RU" w:eastAsia="ru-RU" w:bidi="ru-RU"/>
          <w:w w:val="100"/>
          <w:spacing w:val="0"/>
          <w:color w:val="000000"/>
          <w:position w:val="0"/>
        </w:rPr>
        <w:t>дается под язык из расчета 0,15 мг/кг массы тела. В связи с характерным стимулирующим действием на в-адренорецепторы изадрин вызывает учащение и усиле</w:t>
        <w:softHyphen/>
        <w:t>ние сокращений сердца, увеличивает сердечный выброс.</w:t>
      </w:r>
    </w:p>
    <w:p>
      <w:pPr>
        <w:pStyle w:val="Style30"/>
        <w:numPr>
          <w:ilvl w:val="0"/>
          <w:numId w:val="171"/>
        </w:numPr>
        <w:tabs>
          <w:tab w:leader="none" w:pos="510"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 xml:space="preserve">Аминофиллин </w:t>
      </w:r>
      <w:r>
        <w:rPr>
          <w:rStyle w:val="CharStyle103"/>
          <w:lang w:val="en-US" w:eastAsia="en-US" w:bidi="en-US"/>
        </w:rPr>
        <w:t>(Aminophylline)</w:t>
      </w:r>
      <w:r>
        <w:rPr>
          <w:lang w:val="en-US" w:eastAsia="en-US" w:bidi="en-US"/>
          <w:w w:val="100"/>
          <w:spacing w:val="0"/>
          <w:color w:val="000000"/>
          <w:position w:val="0"/>
        </w:rPr>
        <w:t xml:space="preserve"> </w:t>
      </w:r>
      <w:r>
        <w:rPr>
          <w:lang w:val="ru-RU" w:eastAsia="ru-RU" w:bidi="ru-RU"/>
          <w:w w:val="100"/>
          <w:spacing w:val="0"/>
          <w:color w:val="000000"/>
          <w:position w:val="0"/>
        </w:rPr>
        <w:t>— 10,0 мл (1 мл — 25 мг), ингибирует фосфодилэстеразу и обладает способностью уг</w:t>
        <w:softHyphen/>
        <w:t>нетать транспорт ионов кальция через клеточные мембра</w:t>
        <w:softHyphen/>
        <w:t>ны. Повышает частоту и силу сердечных сокращений. Вво</w:t>
        <w:softHyphen/>
        <w:t>дится внутривенно, медленно, из расчета 5-15 мг/кг.</w:t>
      </w:r>
    </w:p>
    <w:p>
      <w:pPr>
        <w:pStyle w:val="Style30"/>
        <w:numPr>
          <w:ilvl w:val="0"/>
          <w:numId w:val="169"/>
        </w:numPr>
        <w:tabs>
          <w:tab w:leader="none" w:pos="514"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группа — ноотропы и препараты, улучшающие микро</w:t>
        <w:softHyphen/>
        <w:t xml:space="preserve">циркуляцию: пирацетам </w:t>
      </w:r>
      <w:r>
        <w:rPr>
          <w:rStyle w:val="CharStyle103"/>
          <w:lang w:val="en-US" w:eastAsia="en-US" w:bidi="en-US"/>
        </w:rPr>
        <w:t xml:space="preserve">(Piracetamum, </w:t>
      </w:r>
      <w:r>
        <w:rPr>
          <w:rStyle w:val="CharStyle103"/>
        </w:rPr>
        <w:t>син. Ноотропил),</w:t>
      </w:r>
      <w:r>
        <w:rPr>
          <w:lang w:val="ru-RU" w:eastAsia="ru-RU" w:bidi="ru-RU"/>
          <w:w w:val="100"/>
          <w:spacing w:val="0"/>
          <w:color w:val="000000"/>
          <w:position w:val="0"/>
        </w:rPr>
        <w:t xml:space="preserve"> пи- ридитол </w:t>
      </w:r>
      <w:r>
        <w:rPr>
          <w:rStyle w:val="CharStyle103"/>
          <w:lang w:val="en-US" w:eastAsia="en-US" w:bidi="en-US"/>
        </w:rPr>
        <w:t xml:space="preserve">(Piriditolum, </w:t>
      </w:r>
      <w:r>
        <w:rPr>
          <w:rStyle w:val="CharStyle103"/>
        </w:rPr>
        <w:t>син. Энцефабол)</w:t>
      </w:r>
      <w:r>
        <w:rPr>
          <w:lang w:val="ru-RU" w:eastAsia="ru-RU" w:bidi="ru-RU"/>
          <w:w w:val="100"/>
          <w:spacing w:val="0"/>
          <w:color w:val="000000"/>
          <w:position w:val="0"/>
        </w:rPr>
        <w:t xml:space="preserve"> и ноотропоподобные (аминалон, глутаминовая кислота, кавинтон, цереброли- зин) препараты. При симптомной брадикардии и при нали</w:t>
        <w:softHyphen/>
        <w:t>чии ригидного сердечного ритма у больных с полной атри</w:t>
        <w:softHyphen/>
        <w:t>овентрикулярной блокадой частота сердечных сокращений не может обеспечить оптимальной оксигенации жизненно важных органов, и они находятся в состоянии постоянного кислородного голодания. У больных с приступами Морга- ньи-Адамса-Стокса в анамнезе (многократно повторяю</w:t>
        <w:softHyphen/>
        <w:t>щиеся) отмечаются ослабление интеллекта и памяти. Таким образом, применение ноотропов может улучшить мозговое кровообращение и повысить устойчивость тканей мозга к гипоксии.</w:t>
      </w:r>
    </w:p>
    <w:p>
      <w:pPr>
        <w:pStyle w:val="Style30"/>
        <w:numPr>
          <w:ilvl w:val="0"/>
          <w:numId w:val="173"/>
        </w:numPr>
        <w:tabs>
          <w:tab w:leader="none" w:pos="505" w:val="left"/>
        </w:tabs>
        <w:widowControl w:val="0"/>
        <w:keepNext w:val="0"/>
        <w:keepLines w:val="0"/>
        <w:shd w:val="clear" w:color="auto" w:fill="auto"/>
        <w:bidi w:val="0"/>
        <w:spacing w:before="0" w:after="0"/>
        <w:ind w:left="0" w:right="0" w:firstLine="300"/>
      </w:pPr>
      <w:r>
        <w:rPr>
          <w:rStyle w:val="CharStyle103"/>
        </w:rPr>
        <w:t>Ноотропил (пирацетам)</w:t>
      </w:r>
      <w:r>
        <w:rPr>
          <w:lang w:val="ru-RU" w:eastAsia="ru-RU" w:bidi="ru-RU"/>
          <w:w w:val="100"/>
          <w:spacing w:val="0"/>
          <w:color w:val="000000"/>
          <w:position w:val="0"/>
        </w:rPr>
        <w:t xml:space="preserve"> оказывает положительное влияние на обменные процессы кровообращения мозга, стимулирует окислительно-восстановительные процессы, усиливает утилизацию глюкозы, повышает энергетический потенциал, ускоряя оборот АТФ, улучшает кровоток в ише</w:t>
        <w:softHyphen/>
        <w:t>мизированных участках мозга, повышая устойчивость моз</w:t>
        <w:softHyphen/>
        <w:t>га к гипоксии; улучшает корково-подкорковые взаимоот</w:t>
        <w:softHyphen/>
        <w:t>ношения. Назначается в дозе 0,4-0,12 г/сутки на 1 месяц, с повторным курсом через 6 месяцев.</w:t>
      </w:r>
    </w:p>
    <w:p>
      <w:pPr>
        <w:pStyle w:val="Style30"/>
        <w:numPr>
          <w:ilvl w:val="0"/>
          <w:numId w:val="173"/>
        </w:numPr>
        <w:tabs>
          <w:tab w:leader="none" w:pos="500" w:val="left"/>
        </w:tabs>
        <w:widowControl w:val="0"/>
        <w:keepNext w:val="0"/>
        <w:keepLines w:val="0"/>
        <w:shd w:val="clear" w:color="auto" w:fill="auto"/>
        <w:bidi w:val="0"/>
        <w:spacing w:before="0" w:after="0"/>
        <w:ind w:left="0" w:right="0" w:firstLine="300"/>
      </w:pPr>
      <w:r>
        <w:rPr>
          <w:rStyle w:val="CharStyle103"/>
        </w:rPr>
        <w:t>Пиридитол (энцефабол)</w:t>
      </w:r>
      <w:r>
        <w:rPr>
          <w:lang w:val="ru-RU" w:eastAsia="ru-RU" w:bidi="ru-RU"/>
          <w:w w:val="100"/>
          <w:spacing w:val="0"/>
          <w:color w:val="000000"/>
          <w:position w:val="0"/>
        </w:rPr>
        <w:t xml:space="preserve"> стимулирует метаболические процессы в ЦНС, улучшает использование жирных кислот, способствует ускорению проникновения глюкозы через ге</w:t>
        <w:softHyphen/>
        <w:t>матоэнцефалический барьер, снижает избыточное образо</w:t>
        <w:softHyphen/>
        <w:t>вание молочной кислоты, повышает устойчивость тканей мозга к гипоксии. Назначается в дозе 0,05-0,3 г/сутки на 1 месяц, с повторным курсом через 6 месяцев.</w:t>
      </w:r>
    </w:p>
    <w:p>
      <w:pPr>
        <w:pStyle w:val="Style30"/>
        <w:numPr>
          <w:ilvl w:val="0"/>
          <w:numId w:val="173"/>
        </w:numPr>
        <w:tabs>
          <w:tab w:leader="none" w:pos="510" w:val="left"/>
        </w:tabs>
        <w:widowControl w:val="0"/>
        <w:keepNext w:val="0"/>
        <w:keepLines w:val="0"/>
        <w:shd w:val="clear" w:color="auto" w:fill="auto"/>
        <w:bidi w:val="0"/>
        <w:spacing w:before="0" w:after="0"/>
        <w:ind w:left="0" w:right="0" w:firstLine="300"/>
      </w:pPr>
      <w:r>
        <w:pict>
          <v:shape id="_x0000_s1880" type="#_x0000_t75" style="position:absolute;margin-left:136.9pt;margin-top:738.25pt;width:209.75pt;height:14.9pt;z-index:-125828760;mso-wrap-distance-left:136.8pt;mso-wrap-distance-right:147.85pt;mso-wrap-distance-bottom:10.8pt;mso-position-horizontal-relative:margin;mso-position-vertical-relative:margin" wrapcoords="0 0 21600 0 21600 21600 0 21600 0 0">
            <v:imagedata r:id="rId1366" r:href="rId1367"/>
            <w10:wrap type="topAndBottom" anchorx="margin" anchory="margin"/>
          </v:shape>
        </w:pict>
      </w:r>
      <w:r>
        <w:rPr>
          <w:rStyle w:val="CharStyle103"/>
        </w:rPr>
        <w:t xml:space="preserve">Глутаминовая кислота </w:t>
      </w:r>
      <w:r>
        <w:rPr>
          <w:rStyle w:val="CharStyle103"/>
          <w:lang w:val="en-US" w:eastAsia="en-US" w:bidi="en-US"/>
        </w:rPr>
        <w:t>(Glutaminic acid)</w:t>
      </w:r>
      <w:r>
        <w:rPr>
          <w:lang w:val="en-US" w:eastAsia="en-US" w:bidi="en-US"/>
          <w:w w:val="100"/>
          <w:spacing w:val="0"/>
          <w:color w:val="000000"/>
          <w:position w:val="0"/>
        </w:rPr>
        <w:t xml:space="preserve"> </w:t>
      </w:r>
      <w:r>
        <w:rPr>
          <w:lang w:val="ru-RU" w:eastAsia="ru-RU" w:bidi="ru-RU"/>
          <w:w w:val="100"/>
          <w:spacing w:val="0"/>
          <w:color w:val="000000"/>
          <w:position w:val="0"/>
        </w:rPr>
        <w:t>— участвует в процессе азотистого обмена в организме, способствует обезвреживанию аммиака. Играет роль нейромедиатора, стимулирующего передачу возбуждения в синапсах цент</w:t>
        <w:softHyphen/>
        <w:t>ральной нервной системы. Способствует синтезу ацетил</w:t>
        <w:softHyphen/>
        <w:t>холина и АТФ, переносу ионов калия. Назначается в до</w:t>
        <w:softHyphen/>
        <w:t>зе 0,25-2,0 г/сут на 1 месяц, повторный курс через 6 ме</w:t>
        <w:softHyphen/>
        <w:t>сяцев.</w:t>
      </w:r>
      <w:r>
        <w:br w:type="page"/>
      </w:r>
    </w:p>
    <w:p>
      <w:pPr>
        <w:pStyle w:val="Style30"/>
        <w:numPr>
          <w:ilvl w:val="0"/>
          <w:numId w:val="173"/>
        </w:numPr>
        <w:tabs>
          <w:tab w:leader="none" w:pos="505" w:val="left"/>
        </w:tabs>
        <w:widowControl w:val="0"/>
        <w:keepNext w:val="0"/>
        <w:keepLines w:val="0"/>
        <w:shd w:val="clear" w:color="auto" w:fill="auto"/>
        <w:bidi w:val="0"/>
        <w:spacing w:before="0" w:after="0"/>
        <w:ind w:left="0" w:right="0" w:firstLine="280"/>
      </w:pPr>
      <w:r>
        <w:rPr>
          <w:rStyle w:val="CharStyle103"/>
        </w:rPr>
        <w:t xml:space="preserve">Церебролизин </w:t>
      </w:r>
      <w:r>
        <w:rPr>
          <w:rStyle w:val="CharStyle103"/>
          <w:lang w:val="en-US" w:eastAsia="en-US" w:bidi="en-US"/>
        </w:rPr>
        <w:t>(Cerebrolysinum)</w:t>
      </w:r>
      <w:r>
        <w:rPr>
          <w:lang w:val="en-US" w:eastAsia="en-US" w:bidi="en-US"/>
          <w:w w:val="100"/>
          <w:spacing w:val="0"/>
          <w:color w:val="000000"/>
          <w:position w:val="0"/>
        </w:rPr>
        <w:t xml:space="preserve"> </w:t>
      </w:r>
      <w:r>
        <w:rPr>
          <w:lang w:val="ru-RU" w:eastAsia="ru-RU" w:bidi="ru-RU"/>
          <w:w w:val="100"/>
          <w:spacing w:val="0"/>
          <w:color w:val="000000"/>
          <w:position w:val="0"/>
        </w:rPr>
        <w:t xml:space="preserve">— неспецифический стимулятор обмена веществ, содержит 18 аминокислот. Усиливает метаболические процессы в мозге, активирует ретикулярную формацию ствола мозга. Назначается по 0,5-2,0 мл на инъекцию внутримышечно </w:t>
      </w:r>
      <w:r>
        <w:rPr>
          <w:lang w:val="en-US" w:eastAsia="en-US" w:bidi="en-US"/>
          <w:w w:val="100"/>
          <w:spacing w:val="0"/>
          <w:color w:val="000000"/>
          <w:position w:val="0"/>
        </w:rPr>
        <w:t xml:space="preserve">N </w:t>
      </w:r>
      <w:r>
        <w:rPr>
          <w:lang w:val="ru-RU" w:eastAsia="ru-RU" w:bidi="ru-RU"/>
          <w:w w:val="100"/>
          <w:spacing w:val="0"/>
          <w:color w:val="000000"/>
          <w:position w:val="0"/>
        </w:rPr>
        <w:t>10 через день, курсы 2 раза в год.</w:t>
      </w:r>
    </w:p>
    <w:p>
      <w:pPr>
        <w:pStyle w:val="Style30"/>
        <w:numPr>
          <w:ilvl w:val="0"/>
          <w:numId w:val="173"/>
        </w:numPr>
        <w:tabs>
          <w:tab w:leader="none" w:pos="519" w:val="left"/>
        </w:tabs>
        <w:widowControl w:val="0"/>
        <w:keepNext w:val="0"/>
        <w:keepLines w:val="0"/>
        <w:shd w:val="clear" w:color="auto" w:fill="auto"/>
        <w:bidi w:val="0"/>
        <w:spacing w:before="0" w:after="0"/>
        <w:ind w:left="0" w:right="0" w:firstLine="280"/>
      </w:pPr>
      <w:r>
        <w:rPr>
          <w:rStyle w:val="CharStyle103"/>
        </w:rPr>
        <w:t xml:space="preserve">Кавинтон </w:t>
      </w:r>
      <w:r>
        <w:rPr>
          <w:rStyle w:val="CharStyle103"/>
          <w:lang w:val="en-US" w:eastAsia="en-US" w:bidi="en-US"/>
        </w:rPr>
        <w:t xml:space="preserve">(Cavinton, </w:t>
      </w:r>
      <w:r>
        <w:rPr>
          <w:rStyle w:val="CharStyle103"/>
        </w:rPr>
        <w:t>син. Винпоцетин)</w:t>
      </w:r>
      <w:r>
        <w:rPr>
          <w:lang w:val="ru-RU" w:eastAsia="ru-RU" w:bidi="ru-RU"/>
          <w:w w:val="100"/>
          <w:spacing w:val="0"/>
          <w:color w:val="000000"/>
          <w:position w:val="0"/>
        </w:rPr>
        <w:t xml:space="preserve"> — улучшает моз</w:t>
        <w:softHyphen/>
        <w:t>говое кровообращение, непосредственно влияет на метабо</w:t>
        <w:softHyphen/>
        <w:t>лизм нервной ткани, способствуя утилизации глюкозы, на</w:t>
        <w:softHyphen/>
        <w:t>коплению в тканях АТФ. Назначается по 0,005-0,01 г/сутки в течение 1 месяца. Повторный курс через 6 месяцев.</w:t>
      </w:r>
    </w:p>
    <w:p>
      <w:pPr>
        <w:pStyle w:val="Style30"/>
        <w:numPr>
          <w:ilvl w:val="0"/>
          <w:numId w:val="173"/>
        </w:numPr>
        <w:tabs>
          <w:tab w:leader="none" w:pos="500" w:val="left"/>
        </w:tabs>
        <w:widowControl w:val="0"/>
        <w:keepNext w:val="0"/>
        <w:keepLines w:val="0"/>
        <w:shd w:val="clear" w:color="auto" w:fill="auto"/>
        <w:bidi w:val="0"/>
        <w:spacing w:before="0" w:after="0"/>
        <w:ind w:left="0" w:right="0" w:firstLine="280"/>
      </w:pPr>
      <w:r>
        <w:rPr>
          <w:rStyle w:val="CharStyle103"/>
        </w:rPr>
        <w:t xml:space="preserve">Циннаризин </w:t>
      </w:r>
      <w:r>
        <w:rPr>
          <w:rStyle w:val="CharStyle103"/>
          <w:lang w:val="en-US" w:eastAsia="en-US" w:bidi="en-US"/>
        </w:rPr>
        <w:t xml:space="preserve">(Cinnarizine, </w:t>
      </w:r>
      <w:r>
        <w:rPr>
          <w:rStyle w:val="CharStyle103"/>
        </w:rPr>
        <w:t>син. Стугерон)</w:t>
      </w:r>
      <w:r>
        <w:rPr>
          <w:lang w:val="ru-RU" w:eastAsia="ru-RU" w:bidi="ru-RU"/>
          <w:w w:val="100"/>
          <w:spacing w:val="0"/>
          <w:color w:val="000000"/>
          <w:position w:val="0"/>
        </w:rPr>
        <w:t xml:space="preserve"> — улучшает мозговое, периферическое и коронарное кровообращение, уменьшает возбудимость вестибулярного аппарата, цереб- роастенические проявления, нормализует биоэлектричес</w:t>
        <w:softHyphen/>
        <w:t>кую активность мозга. Ингибирует поступление в клетки ионов кальция и уменьшает содержание кальция в депо сарколемм. Назначается в дозе 0,0125-0,05 г/сутки в тече</w:t>
        <w:softHyphen/>
        <w:t>ние 1 месяца, повторный курс через 6 месяцев.</w:t>
      </w:r>
    </w:p>
    <w:p>
      <w:pPr>
        <w:pStyle w:val="Style30"/>
        <w:numPr>
          <w:ilvl w:val="0"/>
          <w:numId w:val="169"/>
        </w:numPr>
        <w:tabs>
          <w:tab w:leader="none" w:pos="58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группа — антиоксиданты (улучшающие окислитель</w:t>
        <w:softHyphen/>
        <w:t>но-восстановительные процессы на клеточном уровне) — карнитина хлорид, цитохром С, Цито — Макна и кардио</w:t>
        <w:softHyphen/>
        <w:t>трофики (влияющие на обменные процессы в миокарде и улучшающие коронарное кровообращение) — рибоксин, калия оротат, аспаркам, АТФ. Кислородное голодание мио</w:t>
        <w:softHyphen/>
        <w:t>карда способствует появлению эктопических очагов авто</w:t>
        <w:softHyphen/>
        <w:t>матизма, играющих важную роль в возникновении тахиза- висимых приступов Морганьи-Адамса-Стокса и двухна</w:t>
        <w:softHyphen/>
        <w:t>правленной веретенообразной желудочковой тахикардии. Применение антиоксидантов и кардиотрофиков позволяет улучшить обменные и окислительно-восстановительные процессы в миокарде и предотвратить развитие ишемии миокарда.</w:t>
      </w:r>
    </w:p>
    <w:p>
      <w:pPr>
        <w:pStyle w:val="Style30"/>
        <w:numPr>
          <w:ilvl w:val="0"/>
          <w:numId w:val="175"/>
        </w:numPr>
        <w:tabs>
          <w:tab w:leader="none" w:pos="49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Карнитина хлорид — участвует в регуляции всех видов обмена, обладает анаболическим эффектом. Назначается в виде 20% раствора в дозе 20 кап./сутки (у детей до 3 лет) и по 1/4 —1 ч.л. 2 раза в день (у детей старшего возраста) на 1 месяц. Повторный курс через 6 месяцев.</w:t>
      </w:r>
    </w:p>
    <w:p>
      <w:pPr>
        <w:pStyle w:val="Style30"/>
        <w:numPr>
          <w:ilvl w:val="0"/>
          <w:numId w:val="175"/>
        </w:numPr>
        <w:tabs>
          <w:tab w:leader="none" w:pos="50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Цитохром С — является ферментом, принимающим участие в процессах тканевого дыхания, ускоряет ход окис</w:t>
        <w:softHyphen/>
        <w:t xml:space="preserve">лительных процессов. Препарат назначается в дозе 2,0-4,0 мл внутримышечно </w:t>
      </w:r>
      <w:r>
        <w:rPr>
          <w:lang w:val="en-US" w:eastAsia="en-US" w:bidi="en-US"/>
          <w:w w:val="100"/>
          <w:spacing w:val="0"/>
          <w:color w:val="000000"/>
          <w:position w:val="0"/>
        </w:rPr>
        <w:t xml:space="preserve">N10. </w:t>
      </w:r>
      <w:r>
        <w:rPr>
          <w:lang w:val="ru-RU" w:eastAsia="ru-RU" w:bidi="ru-RU"/>
          <w:w w:val="100"/>
          <w:spacing w:val="0"/>
          <w:color w:val="000000"/>
          <w:position w:val="0"/>
        </w:rPr>
        <w:t>Курсы проводятся 2 раза в год.</w:t>
      </w:r>
    </w:p>
    <w:p>
      <w:pPr>
        <w:pStyle w:val="Style30"/>
        <w:numPr>
          <w:ilvl w:val="0"/>
          <w:numId w:val="175"/>
        </w:numPr>
        <w:tabs>
          <w:tab w:leader="none" w:pos="50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Рибоксин — играет важную роль в процессах обмена, в частности, в углеводном обмене, повышает активность ряда ферментов цикла Кребса. Стимулирует синтез нуклео</w:t>
        <w:softHyphen/>
        <w:t>тидов и оказывает антигипоксическое действие. Назначает</w:t>
        <w:softHyphen/>
        <w:t>ся в суточной дозе 0,4-0,8 г.</w:t>
      </w:r>
    </w:p>
    <w:p>
      <w:pPr>
        <w:pStyle w:val="Style30"/>
        <w:numPr>
          <w:ilvl w:val="0"/>
          <w:numId w:val="175"/>
        </w:numPr>
        <w:tabs>
          <w:tab w:leader="none" w:pos="50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АТФ — имеет особенно большое значение для мышеч</w:t>
        <w:softHyphen/>
        <w:t xml:space="preserve">ной и сократительной деятельности сердечной мышцы, участвует в проведении нервных импульсов в вегетативных узлах. Назначается из расчета 0,005-0,01 г (0,5-1,0) мл) 1% раствора внутримышечно </w:t>
      </w:r>
      <w:r>
        <w:rPr>
          <w:lang w:val="en-US" w:eastAsia="en-US" w:bidi="en-US"/>
          <w:w w:val="100"/>
          <w:spacing w:val="0"/>
          <w:color w:val="000000"/>
          <w:position w:val="0"/>
        </w:rPr>
        <w:t xml:space="preserve">N10. </w:t>
      </w:r>
      <w:r>
        <w:rPr>
          <w:lang w:val="ru-RU" w:eastAsia="ru-RU" w:bidi="ru-RU"/>
          <w:w w:val="100"/>
          <w:spacing w:val="0"/>
          <w:color w:val="000000"/>
          <w:position w:val="0"/>
        </w:rPr>
        <w:t>Курсы проводятся 2 раза в год.</w:t>
      </w:r>
    </w:p>
    <w:p>
      <w:pPr>
        <w:pStyle w:val="Style30"/>
        <w:numPr>
          <w:ilvl w:val="0"/>
          <w:numId w:val="169"/>
        </w:numPr>
        <w:tabs>
          <w:tab w:leader="none" w:pos="57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группа — препараты, оказывающие стимулирующее влияние (Вит В1, Вит В6, Вит В12) и ускоряющие процессы регенерации (Плазмол, Алоэ и Солкосерил).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1. Витамин В1 (тиамин) — входит в состав ряда фермен</w:t>
        <w:softHyphen/>
        <w:t>тов и участвует в углеводном обмене, в процессах декарбок- силирования а-кетокислот и синтеза ацетил-коэнзим А. Он является основной частью молекулы кокарбоксила- зы. Вводится из расчета 0,0125 г (0,5 мл 2,5% раствора) —</w:t>
        <w:br w:type="column"/>
        <w:t xml:space="preserve">0,025 г (1 мл 2,5% раствора) внутримышечно </w:t>
      </w:r>
      <w:r>
        <w:rPr>
          <w:lang w:val="en-US" w:eastAsia="en-US" w:bidi="en-US"/>
          <w:w w:val="100"/>
          <w:spacing w:val="0"/>
          <w:color w:val="000000"/>
          <w:position w:val="0"/>
        </w:rPr>
        <w:t xml:space="preserve">N10. </w:t>
      </w:r>
      <w:r>
        <w:rPr>
          <w:lang w:val="ru-RU" w:eastAsia="ru-RU" w:bidi="ru-RU"/>
          <w:w w:val="100"/>
          <w:spacing w:val="0"/>
          <w:color w:val="000000"/>
          <w:position w:val="0"/>
        </w:rPr>
        <w:t>Курсы проводятся 2 раза в год.</w:t>
      </w:r>
    </w:p>
    <w:p>
      <w:pPr>
        <w:pStyle w:val="Style30"/>
        <w:numPr>
          <w:ilvl w:val="0"/>
          <w:numId w:val="177"/>
        </w:numPr>
        <w:tabs>
          <w:tab w:leader="none" w:pos="50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Витамин В6 (пиридоксин) — необходим для нормаль</w:t>
        <w:softHyphen/>
        <w:t>ного функционирования центральной и периферической нервной системы. Поступая в организм, он фосфорилиру- ется, превращается в пиродоксаль-5-фосфат и входит в со</w:t>
        <w:softHyphen/>
        <w:t xml:space="preserve">став ферментов, осуществляющих декарбоксилирование и переаминирование аминокислот. Назначается из расчета 0,005-0,01 г (0,5-1,0 мл) 1% раствора внутримышечно </w:t>
      </w:r>
      <w:r>
        <w:rPr>
          <w:lang w:val="en-US" w:eastAsia="en-US" w:bidi="en-US"/>
          <w:w w:val="100"/>
          <w:spacing w:val="0"/>
          <w:color w:val="000000"/>
          <w:position w:val="0"/>
        </w:rPr>
        <w:t xml:space="preserve">N10. </w:t>
      </w:r>
      <w:r>
        <w:rPr>
          <w:lang w:val="ru-RU" w:eastAsia="ru-RU" w:bidi="ru-RU"/>
          <w:w w:val="100"/>
          <w:spacing w:val="0"/>
          <w:color w:val="000000"/>
          <w:position w:val="0"/>
        </w:rPr>
        <w:t>Курсы проводятся 2 раза в год.</w:t>
      </w:r>
    </w:p>
    <w:p>
      <w:pPr>
        <w:pStyle w:val="Style30"/>
        <w:numPr>
          <w:ilvl w:val="0"/>
          <w:numId w:val="177"/>
        </w:numPr>
        <w:tabs>
          <w:tab w:leader="none" w:pos="500" w:val="left"/>
        </w:tabs>
        <w:widowControl w:val="0"/>
        <w:keepNext w:val="0"/>
        <w:keepLines w:val="0"/>
        <w:shd w:val="clear" w:color="auto" w:fill="auto"/>
        <w:bidi w:val="0"/>
        <w:spacing w:before="0" w:after="0"/>
        <w:ind w:left="0" w:right="0" w:firstLine="280"/>
      </w:pPr>
      <w:r>
        <w:rPr>
          <w:rStyle w:val="CharStyle103"/>
        </w:rPr>
        <w:t>Алоэ</w:t>
      </w:r>
      <w:r>
        <w:rPr>
          <w:lang w:val="ru-RU" w:eastAsia="ru-RU" w:bidi="ru-RU"/>
          <w:w w:val="100"/>
          <w:spacing w:val="0"/>
          <w:color w:val="000000"/>
          <w:position w:val="0"/>
        </w:rPr>
        <w:t xml:space="preserve"> — оказывает стимулирующее влияние при введе</w:t>
        <w:softHyphen/>
        <w:t xml:space="preserve">нии в организм и способствует регенерации. Назначается из расчета 0,5-1 мл 1% раствора внутримышечно </w:t>
      </w:r>
      <w:r>
        <w:rPr>
          <w:lang w:val="en-US" w:eastAsia="en-US" w:bidi="en-US"/>
          <w:w w:val="100"/>
          <w:spacing w:val="0"/>
          <w:color w:val="000000"/>
          <w:position w:val="0"/>
        </w:rPr>
        <w:t xml:space="preserve">N </w:t>
      </w:r>
      <w:r>
        <w:rPr>
          <w:lang w:val="ru-RU" w:eastAsia="ru-RU" w:bidi="ru-RU"/>
          <w:w w:val="100"/>
          <w:spacing w:val="0"/>
          <w:color w:val="000000"/>
          <w:position w:val="0"/>
        </w:rPr>
        <w:t>10. Кур</w:t>
        <w:softHyphen/>
        <w:t>сы проводятся 2 раза в год.</w:t>
      </w:r>
    </w:p>
    <w:p>
      <w:pPr>
        <w:pStyle w:val="Style30"/>
        <w:numPr>
          <w:ilvl w:val="0"/>
          <w:numId w:val="177"/>
        </w:numPr>
        <w:tabs>
          <w:tab w:leader="none" w:pos="510" w:val="left"/>
        </w:tabs>
        <w:widowControl w:val="0"/>
        <w:keepNext w:val="0"/>
        <w:keepLines w:val="0"/>
        <w:shd w:val="clear" w:color="auto" w:fill="auto"/>
        <w:bidi w:val="0"/>
        <w:spacing w:before="0" w:after="0"/>
        <w:ind w:left="0" w:right="0" w:firstLine="280"/>
      </w:pPr>
      <w:r>
        <w:rPr>
          <w:rStyle w:val="CharStyle103"/>
        </w:rPr>
        <w:t>Солкосерил</w:t>
      </w:r>
      <w:r>
        <w:rPr>
          <w:lang w:val="ru-RU" w:eastAsia="ru-RU" w:bidi="ru-RU"/>
          <w:w w:val="100"/>
          <w:spacing w:val="0"/>
          <w:color w:val="000000"/>
          <w:position w:val="0"/>
        </w:rPr>
        <w:t xml:space="preserve"> — повышает потребление кислорода клет</w:t>
        <w:softHyphen/>
        <w:t>ками, стимулирует синтез АТФ, нормализует процессы ме</w:t>
        <w:softHyphen/>
        <w:t>таболизма и обладает цитопротективным эффектом. На</w:t>
        <w:softHyphen/>
        <w:t xml:space="preserve">значается из расчета 0,5-2 мл внутримышечно </w:t>
      </w:r>
      <w:r>
        <w:rPr>
          <w:lang w:val="en-US" w:eastAsia="en-US" w:bidi="en-US"/>
          <w:w w:val="100"/>
          <w:spacing w:val="0"/>
          <w:color w:val="000000"/>
          <w:position w:val="0"/>
        </w:rPr>
        <w:t xml:space="preserve">N10. </w:t>
      </w:r>
      <w:r>
        <w:rPr>
          <w:lang w:val="ru-RU" w:eastAsia="ru-RU" w:bidi="ru-RU"/>
          <w:w w:val="100"/>
          <w:spacing w:val="0"/>
          <w:color w:val="000000"/>
          <w:position w:val="0"/>
        </w:rPr>
        <w:t>Курсы проводятся 2 раза в год.</w:t>
      </w:r>
    </w:p>
    <w:p>
      <w:pPr>
        <w:pStyle w:val="Style107"/>
        <w:widowControl w:val="0"/>
        <w:keepNext w:val="0"/>
        <w:keepLines w:val="0"/>
        <w:shd w:val="clear" w:color="auto" w:fill="auto"/>
        <w:bidi w:val="0"/>
        <w:spacing w:before="0" w:after="0"/>
        <w:ind w:left="520" w:right="0" w:hanging="240"/>
      </w:pPr>
      <w:r>
        <w:rPr>
          <w:rStyle w:val="CharStyle137"/>
          <w:b w:val="0"/>
          <w:bCs w:val="0"/>
          <w:i w:val="0"/>
          <w:iCs w:val="0"/>
        </w:rPr>
        <w:t xml:space="preserve">V группа — гормональные </w:t>
      </w:r>
      <w:r>
        <w:rPr>
          <w:lang w:val="ru-RU" w:eastAsia="ru-RU" w:bidi="ru-RU"/>
          <w:w w:val="100"/>
          <w:spacing w:val="0"/>
          <w:color w:val="000000"/>
          <w:position w:val="0"/>
        </w:rPr>
        <w:t>(преднизолон, дексаметазон)</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и противовоспалительные препараты (ортофен, вольтарен, делагил). Данная группа препаратов эффективна при обна</w:t>
        <w:softHyphen/>
        <w:t>ружении признаков миокардита, приводящего к вторичному поражению проводящей системы сердца и способствующего развитию сердечной недостаточности. Нестероидные проти</w:t>
        <w:softHyphen/>
        <w:t>вовоспалительные препараты используются при дегенера</w:t>
        <w:softHyphen/>
        <w:t>ции или кальцификации центрального фиброзного тела, так называемой болезни Лева, при дегенерации дистальных участков проводящей системы сердца (болезнь Ленегра), при дегенеративных процессах и хроническом миокардите.</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Таким образом, лекарственным лечением атриовентри</w:t>
        <w:softHyphen/>
        <w:t>кулярной блокады, хотя оно и не имеет определяющего значения, не следует пренебрегать. Применение лекар</w:t>
        <w:softHyphen/>
        <w:t>ственных препаратов при отсутствии показаний к имплан</w:t>
        <w:softHyphen/>
        <w:t>тации кардиостимулятора позволяет уменьшить риск не</w:t>
        <w:softHyphen/>
        <w:t>благоприятного течения заболевания, увеличить базисную частоту сердечных сокращений, улучшить окислительно</w:t>
        <w:softHyphen/>
        <w:t>восстановительные процессы в миокарде и достичь опти</w:t>
        <w:softHyphen/>
        <w:t>мального возраста, подходящего для имплантации искус</w:t>
        <w:softHyphen/>
        <w:t>ственного водителя ритма.</w:t>
      </w:r>
    </w:p>
    <w:p>
      <w:pPr>
        <w:pStyle w:val="Style92"/>
        <w:widowControl w:val="0"/>
        <w:keepNext/>
        <w:keepLines/>
        <w:shd w:val="clear" w:color="auto" w:fill="auto"/>
        <w:bidi w:val="0"/>
        <w:spacing w:before="0" w:after="0"/>
        <w:ind w:left="0" w:right="0" w:firstLine="280"/>
      </w:pPr>
      <w:bookmarkStart w:id="837" w:name="bookmark837"/>
      <w:r>
        <w:rPr>
          <w:lang w:val="ru-RU" w:eastAsia="ru-RU" w:bidi="ru-RU"/>
          <w:w w:val="100"/>
          <w:spacing w:val="0"/>
          <w:color w:val="000000"/>
          <w:position w:val="0"/>
        </w:rPr>
        <w:t>Показания к имплантации постоянного кардиостимулято</w:t>
        <w:softHyphen/>
        <w:t>ра у детей с полными атриовентрикулярными блокадами</w:t>
      </w:r>
      <w:bookmarkEnd w:id="837"/>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Показания к имплантации кардиостимулятора разделе</w:t>
        <w:softHyphen/>
        <w:t>ны на две группы — абсолютные и относительные.</w:t>
      </w:r>
    </w:p>
    <w:p>
      <w:pPr>
        <w:pStyle w:val="Style30"/>
        <w:numPr>
          <w:ilvl w:val="0"/>
          <w:numId w:val="179"/>
        </w:numPr>
        <w:tabs>
          <w:tab w:leader="none" w:pos="48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класс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Абсолютные показания (имплантация кардиостимулятора необходима)</w:t>
      </w:r>
    </w:p>
    <w:p>
      <w:pPr>
        <w:pStyle w:val="Style30"/>
        <w:numPr>
          <w:ilvl w:val="0"/>
          <w:numId w:val="163"/>
        </w:numPr>
        <w:tabs>
          <w:tab w:leader="none" w:pos="482"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Приступы потери сознания по типу Морганьи-Адам- са-Стокса.</w:t>
      </w:r>
    </w:p>
    <w:p>
      <w:pPr>
        <w:pStyle w:val="Style30"/>
        <w:numPr>
          <w:ilvl w:val="0"/>
          <w:numId w:val="163"/>
        </w:numPr>
        <w:tabs>
          <w:tab w:leader="none" w:pos="48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Проявления сердечной недостаточности.</w:t>
      </w:r>
    </w:p>
    <w:p>
      <w:pPr>
        <w:pStyle w:val="Style30"/>
        <w:numPr>
          <w:ilvl w:val="0"/>
          <w:numId w:val="163"/>
        </w:numPr>
        <w:tabs>
          <w:tab w:leader="none" w:pos="482"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Сочетание полной атриовентрикулярной блокады с ВПС, требующих хирургической коррекции.</w:t>
      </w:r>
    </w:p>
    <w:p>
      <w:pPr>
        <w:pStyle w:val="Style30"/>
        <w:numPr>
          <w:ilvl w:val="0"/>
          <w:numId w:val="163"/>
        </w:numPr>
        <w:tabs>
          <w:tab w:leader="none" w:pos="48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Ригидный сердечный ритм или исходная частота же</w:t>
        <w:softHyphen/>
        <w:t>лудочков у новорожденных 55 уд. в мин и у детей и подростков соответственно 45 и 40 уд. в минуту.</w:t>
      </w:r>
    </w:p>
    <w:p>
      <w:pPr>
        <w:pStyle w:val="Style30"/>
        <w:numPr>
          <w:ilvl w:val="0"/>
          <w:numId w:val="163"/>
        </w:numPr>
        <w:tabs>
          <w:tab w:leader="none" w:pos="48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Абсолютное значение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500 и более мс.</w:t>
      </w:r>
    </w:p>
    <w:p>
      <w:pPr>
        <w:pStyle w:val="Style30"/>
        <w:numPr>
          <w:ilvl w:val="0"/>
          <w:numId w:val="163"/>
        </w:numPr>
        <w:tabs>
          <w:tab w:leader="none" w:pos="482"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Наличие эктопических жизнеугрожающих ритмов (залпы желудочковой тахикардии) и пауз сердечного ритма 3,0 и более секунд.</w:t>
      </w:r>
    </w:p>
    <w:p>
      <w:pPr>
        <w:pStyle w:val="Style30"/>
        <w:numPr>
          <w:ilvl w:val="0"/>
          <w:numId w:val="163"/>
        </w:numPr>
        <w:tabs>
          <w:tab w:leader="none" w:pos="482" w:val="left"/>
        </w:tabs>
        <w:widowControl w:val="0"/>
        <w:keepNext w:val="0"/>
        <w:keepLines w:val="0"/>
        <w:shd w:val="clear" w:color="auto" w:fill="auto"/>
        <w:bidi w:val="0"/>
        <w:jc w:val="left"/>
        <w:spacing w:before="0" w:after="0"/>
        <w:ind w:left="520" w:right="0" w:hanging="240"/>
      </w:pPr>
      <w:r>
        <w:pict>
          <v:shape id="_x0000_s1881" type="#_x0000_t75" style="position:absolute;margin-left:148.1pt;margin-top:738.25pt;width:209.75pt;height:14.9pt;z-index:-125828759;mso-wrap-distance-left:148.1pt;mso-wrap-distance-right:136.8pt;mso-wrap-distance-bottom:10.8pt;mso-position-horizontal-relative:margin;mso-position-vertical-relative:margin" wrapcoords="0 0 21600 0 21600 21600 0 21600 0 0">
            <v:imagedata r:id="rId1368" r:href="rId1369"/>
            <w10:wrap type="topAndBottom" anchorx="margin" anchory="margin"/>
          </v:shape>
        </w:pict>
      </w:r>
      <w:r>
        <w:rPr>
          <w:lang w:val="ru-RU" w:eastAsia="ru-RU" w:bidi="ru-RU"/>
          <w:w w:val="100"/>
          <w:spacing w:val="0"/>
          <w:color w:val="000000"/>
          <w:position w:val="0"/>
        </w:rPr>
        <w:t>Миогенная дилатация полости левого желудочка и соответствующая ей фракция выброса 50% и менее.</w:t>
      </w:r>
      <w:r>
        <w:br w:type="page"/>
      </w:r>
    </w:p>
    <w:p>
      <w:pPr>
        <w:pStyle w:val="Style92"/>
        <w:widowControl w:val="0"/>
        <w:keepNext/>
        <w:keepLines/>
        <w:shd w:val="clear" w:color="auto" w:fill="auto"/>
        <w:bidi w:val="0"/>
        <w:spacing w:before="0" w:after="0"/>
        <w:ind w:left="0" w:right="0" w:firstLine="280"/>
      </w:pPr>
      <w:bookmarkStart w:id="838" w:name="bookmark838"/>
      <w:r>
        <w:rPr>
          <w:lang w:val="ru-RU" w:eastAsia="ru-RU" w:bidi="ru-RU"/>
          <w:w w:val="100"/>
          <w:spacing w:val="0"/>
          <w:color w:val="000000"/>
          <w:position w:val="0"/>
        </w:rPr>
        <w:t>11а класс</w:t>
      </w:r>
      <w:bookmarkEnd w:id="838"/>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Относительные показания (имплантация кардиостимуля</w:t>
        <w:softHyphen/>
        <w:t>тора может быть временно отложена)</w:t>
      </w:r>
    </w:p>
    <w:p>
      <w:pPr>
        <w:pStyle w:val="Style30"/>
        <w:numPr>
          <w:ilvl w:val="0"/>
          <w:numId w:val="1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Паузы сердечного ритма 2,5 сек и более.</w:t>
      </w:r>
    </w:p>
    <w:p>
      <w:pPr>
        <w:pStyle w:val="Style30"/>
        <w:numPr>
          <w:ilvl w:val="0"/>
          <w:numId w:val="1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Дистальный тип АВ-блокады.</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желудочковых сокращений у новорожден</w:t>
        <w:softHyphen/>
        <w:t>ных не менее 60 уд. в минуту, у детей и подростков со - ответственно 50 и 45 уд. в минуту.</w:t>
      </w:r>
    </w:p>
    <w:p>
      <w:pPr>
        <w:pStyle w:val="Style30"/>
        <w:numPr>
          <w:ilvl w:val="0"/>
          <w:numId w:val="16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Сочетание полной атриовентрикулярной блокады с ВПС, не требующих хирургической коррекции.</w:t>
      </w:r>
    </w:p>
    <w:p>
      <w:pPr>
        <w:pStyle w:val="Style30"/>
        <w:numPr>
          <w:ilvl w:val="0"/>
          <w:numId w:val="1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Наличие предсинкопальных состояний.</w:t>
      </w:r>
    </w:p>
    <w:p>
      <w:pPr>
        <w:pStyle w:val="Style30"/>
        <w:numPr>
          <w:ilvl w:val="0"/>
          <w:numId w:val="16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Болезнь двух узлов (поражение синусового и атрио</w:t>
        <w:softHyphen/>
        <w:t>вентрикулярного узлов).</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Наличие эктопических сокращений при проведении стандартной ЭКГ, холтеровского мониторирования, пробы с атропином (суправентрикулярная тахикар</w:t>
        <w:softHyphen/>
        <w:t>дия, суправентрикулярная экстрасистолия, желудоч</w:t>
        <w:softHyphen/>
        <w:t>ковая экстрасистолия, АВ-диссоциация, замещаю</w:t>
        <w:softHyphen/>
        <w:t>щие ритмы от источников автоматизма 3-4 порядка).</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II6 </w:t>
      </w:r>
      <w:r>
        <w:rPr>
          <w:lang w:val="ru-RU" w:eastAsia="ru-RU" w:bidi="ru-RU"/>
          <w:w w:val="100"/>
          <w:spacing w:val="0"/>
          <w:color w:val="000000"/>
          <w:position w:val="0"/>
        </w:rPr>
        <w:t>класс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Относительные показания (имплантация кардиостимуля</w:t>
        <w:softHyphen/>
        <w:t>тора при ухудшении показателей в катамнезе)</w:t>
      </w:r>
    </w:p>
    <w:p>
      <w:pPr>
        <w:pStyle w:val="Style30"/>
        <w:numPr>
          <w:ilvl w:val="0"/>
          <w:numId w:val="1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Паузы сердечного ритма 2,0 и менее сек.</w:t>
      </w:r>
    </w:p>
    <w:p>
      <w:pPr>
        <w:pStyle w:val="Style30"/>
        <w:numPr>
          <w:ilvl w:val="0"/>
          <w:numId w:val="1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Проксимальный тип АВ-блокады.</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Учащение ЧСС при дозированной физической на</w:t>
        <w:softHyphen/>
        <w:t>грузке и при пробе с атропином не менее 40% от ис</w:t>
        <w:softHyphen/>
        <w:t>ходной ЧСС.</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желудочковых сокращений у новорожден</w:t>
        <w:softHyphen/>
        <w:t>ных не менее 65 уд. в минуту, у детей и подростков со</w:t>
        <w:softHyphen/>
        <w:t>ответственно 55 и 50 уд. в минуту.</w:t>
      </w:r>
    </w:p>
    <w:p>
      <w:pPr>
        <w:pStyle w:val="Style30"/>
        <w:numPr>
          <w:ilvl w:val="0"/>
          <w:numId w:val="181"/>
        </w:numPr>
        <w:tabs>
          <w:tab w:leader="none" w:pos="6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Имплантация постоянного кардиостимулятора не показана</w:t>
      </w:r>
    </w:p>
    <w:p>
      <w:pPr>
        <w:pStyle w:val="Style30"/>
        <w:numPr>
          <w:ilvl w:val="0"/>
          <w:numId w:val="16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 xml:space="preserve">Транзиторная АВ-блокада </w:t>
      </w:r>
      <w:r>
        <w:rPr>
          <w:lang w:val="en-US" w:eastAsia="en-US" w:bidi="en-US"/>
          <w:w w:val="100"/>
          <w:spacing w:val="0"/>
          <w:color w:val="000000"/>
          <w:position w:val="0"/>
        </w:rPr>
        <w:t xml:space="preserve">I-III, </w:t>
      </w:r>
      <w:r>
        <w:rPr>
          <w:lang w:val="ru-RU" w:eastAsia="ru-RU" w:bidi="ru-RU"/>
          <w:w w:val="100"/>
          <w:spacing w:val="0"/>
          <w:color w:val="000000"/>
          <w:position w:val="0"/>
        </w:rPr>
        <w:t>уменьшающаяся при проведении пробы с атропином.</w:t>
      </w:r>
    </w:p>
    <w:p>
      <w:pPr>
        <w:pStyle w:val="Style30"/>
        <w:numPr>
          <w:ilvl w:val="0"/>
          <w:numId w:val="16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Приобретенная полная АВ-блокада, которую можно вылечить на фоне лечения основного заболевания — миокардита (бактериальный, вирусный, болезнь Лайм) или уменьшить до блокады </w:t>
      </w:r>
      <w:r>
        <w:rPr>
          <w:lang w:val="en-US" w:eastAsia="en-US" w:bidi="en-US"/>
          <w:w w:val="100"/>
          <w:spacing w:val="0"/>
          <w:color w:val="000000"/>
          <w:position w:val="0"/>
        </w:rPr>
        <w:t xml:space="preserve">I-II </w:t>
      </w:r>
      <w:r>
        <w:rPr>
          <w:lang w:val="ru-RU" w:eastAsia="ru-RU" w:bidi="ru-RU"/>
          <w:w w:val="100"/>
          <w:spacing w:val="0"/>
          <w:color w:val="000000"/>
          <w:position w:val="0"/>
        </w:rPr>
        <w:t>степени — ми</w:t>
        <w:softHyphen/>
        <w:t>тохондриальная недостаточность (болезнь Керна- Сейра).</w:t>
      </w:r>
    </w:p>
    <w:p>
      <w:pPr>
        <w:pStyle w:val="Style30"/>
        <w:numPr>
          <w:ilvl w:val="0"/>
          <w:numId w:val="16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Септические состояния.</w:t>
      </w:r>
    </w:p>
    <w:p>
      <w:pPr>
        <w:pStyle w:val="Style30"/>
        <w:numPr>
          <w:ilvl w:val="0"/>
          <w:numId w:val="163"/>
        </w:numPr>
        <w:tabs>
          <w:tab w:leader="none" w:pos="518"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Онкологические заболевания IV степени и онкологи</w:t>
        <w:softHyphen/>
        <w:t>ческие заболевания крови.</w:t>
      </w:r>
    </w:p>
    <w:p>
      <w:pPr>
        <w:pStyle w:val="Style30"/>
        <w:numPr>
          <w:ilvl w:val="0"/>
          <w:numId w:val="163"/>
        </w:numPr>
        <w:tabs>
          <w:tab w:leader="none" w:pos="518" w:val="left"/>
        </w:tabs>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Психические заболевания с изменением личности.</w:t>
      </w:r>
    </w:p>
    <w:p>
      <w:pPr>
        <w:pStyle w:val="Style28"/>
        <w:widowControl w:val="0"/>
        <w:keepNext/>
        <w:keepLines/>
        <w:shd w:val="clear" w:color="auto" w:fill="auto"/>
        <w:bidi w:val="0"/>
        <w:jc w:val="left"/>
        <w:spacing w:before="0" w:after="157" w:line="220" w:lineRule="exact"/>
        <w:ind w:left="0" w:right="0" w:firstLine="0"/>
      </w:pPr>
      <w:bookmarkStart w:id="839" w:name="bookmark839"/>
      <w:r>
        <w:rPr>
          <w:lang w:val="ru-RU" w:eastAsia="ru-RU" w:bidi="ru-RU"/>
          <w:w w:val="100"/>
          <w:spacing w:val="0"/>
          <w:color w:val="000000"/>
          <w:position w:val="0"/>
        </w:rPr>
        <w:t>Асистолия</w:t>
      </w:r>
      <w:bookmarkEnd w:id="839"/>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Асистолия — это остановка сердца без сердечного вы</w:t>
        <w:softHyphen/>
        <w:t>броса и без деполяризации желудочков; она в конечном итоге происходит у всех умирающих пациентов.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Патофизиология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Асистолия может быть первичной или вторичной. Пер</w:t>
        <w:softHyphen/>
        <w:t>вичная асистолия происходит, когда электрическая система сердца дает сбой в генерации деполяризации желудочков. Это может быть результатом ишемии или дегенерации (склероза) синоатриального (СА) узла или атриовентрику</w:t>
        <w:softHyphen/>
        <w:t>лярной (АВ) проводящей системы. Первичной асистолии обычно предшествует брадидизритмия из-за остановки си</w:t>
        <w:softHyphen/>
        <w:t>нуса или полной сердечной блокады.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Рефлекторная брадисистолия/асистолия может быть ре</w:t>
        <w:softHyphen/>
        <w:t>зультатом офтальмологической хирургии, ретробульбарного блока, глазной травмы, давления на глазное яблоко, челюст</w:t>
        <w:softHyphen/>
        <w:br w:type="column"/>
        <w:t>но-лицевой хирургии, синдрома гиперчувствительного ка</w:t>
        <w:softHyphen/>
        <w:t>ротидного синуса или глоссофарингеальной невралгии.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Вторичная асистолия происходит, когда внешние факторы вне электрической системы сердца приводят к сбою выработ</w:t>
        <w:softHyphen/>
        <w:t>ки электрической деполяризации, в этом случае окончатель</w:t>
        <w:softHyphen/>
        <w:t>ный путь — обычно тяжелая гипоксия тканей или ацидоз.</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Возраст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Частота распространенности асистолии в качестве пред</w:t>
        <w:softHyphen/>
        <w:t>ставленного сердечного ритма ниже у взрослых (25-56%), чем у детей (90-95%).</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Анамнез, клиническая симптоматика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Непосредственная диагностика асистолии требует распо</w:t>
        <w:softHyphen/>
        <w:t>знавания полной остановки сердца и подтвержденной на ЭКГ изоэлектрической линии в двух перпендикулярных отведени</w:t>
        <w:softHyphen/>
        <w:t>ях. Головокружение или обморок могут предшествовать асис</w:t>
        <w:softHyphen/>
        <w:t>толии, когда она развивается по брадиасистолическому ритму.</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Физические аспекты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Если ритм является действительно асистолическим и при</w:t>
        <w:softHyphen/>
        <w:t>сутствует в течение более нескольких секунд, пациент теряет сознание и не реагирует ни на какие стимулы. Может отме</w:t>
        <w:softHyphen/>
        <w:t>чаться несколько агонических вздохов, но при отсутствии сердечных тонов или ощутимого периферического пульса.</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Причины</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Примеры общих состояний, которые могут привести к вторичной асистолии, включают: удушение, утоп</w:t>
        <w:softHyphen/>
        <w:t>ление, массивная легочная эмболия, гиперкалиемия, гипотермия, передозировка успокаивающе-гипноти</w:t>
        <w:softHyphen/>
        <w:t>ческих или наркотических препаратов, ведущих к ды</w:t>
        <w:softHyphen/>
        <w:t>хательной недостаточности.</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Гипотермия является особым условием, так как асис</w:t>
        <w:softHyphen/>
        <w:t>толия может переноситься в течение более длитель</w:t>
        <w:softHyphen/>
        <w:t>ного периода времени при таких условиях и может быть обратима при быстром согревании, сопровож</w:t>
        <w:softHyphen/>
        <w:t>дающемся сердечно-легочной реанимацией (СЛР).</w:t>
      </w:r>
    </w:p>
    <w:p>
      <w:pPr>
        <w:pStyle w:val="Style30"/>
        <w:numPr>
          <w:ilvl w:val="0"/>
          <w:numId w:val="163"/>
        </w:numPr>
        <w:tabs>
          <w:tab w:leader="none" w:pos="520"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Первичная асистолия развивается, когда клеточные метаболические функции более не функционируют и электрические сигналы не вырабатываются. При тяжелой ишемии клетки водителя ритма не вы</w:t>
        <w:softHyphen/>
        <w:t>рабатывают импульсы, необходимые для образова</w:t>
        <w:softHyphen/>
        <w:t>ния потенциала чрезмембранного действия.</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проксимальная окклюзия правой коронарной ар</w:t>
        <w:softHyphen/>
        <w:t>терии может вызвать ишемию или инфаркт как СА, так и АВ узлов;</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обширный инфаркт может вызвать двустороннюю межжелудочковую блокаду;</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идиопатическая дегенерация СА или АВ узла может привести соответственно к прекращению активно</w:t>
        <w:softHyphen/>
        <w:t>сти синусового узла или блокаде сердца. Этот про</w:t>
        <w:softHyphen/>
        <w:t>цесс медленный и прогрессирующий, но симптомы могут быть острыми и приводить к асистолии;</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pPr>
      <w:r>
        <w:rPr>
          <w:lang w:val="ru-RU" w:eastAsia="ru-RU" w:bidi="ru-RU"/>
          <w:w w:val="100"/>
          <w:spacing w:val="0"/>
          <w:color w:val="000000"/>
          <w:position w:val="0"/>
        </w:rPr>
        <w:t>в редких случаях асистолическая внезапная смерть наступает в результате врожденной блокады серд</w:t>
        <w:softHyphen/>
        <w:t>ца, опухоли или сердечной травмы;</w:t>
      </w:r>
    </w:p>
    <w:p>
      <w:pPr>
        <w:pStyle w:val="Style30"/>
        <w:numPr>
          <w:ilvl w:val="0"/>
          <w:numId w:val="165"/>
        </w:numPr>
        <w:tabs>
          <w:tab w:leader="none" w:pos="736" w:val="left"/>
        </w:tabs>
        <w:widowControl w:val="0"/>
        <w:keepNext w:val="0"/>
        <w:keepLines w:val="0"/>
        <w:shd w:val="clear" w:color="auto" w:fill="auto"/>
        <w:bidi w:val="0"/>
        <w:spacing w:before="0" w:after="0"/>
        <w:ind w:left="740" w:right="0" w:hanging="240"/>
      </w:pPr>
      <w:r>
        <w:pict>
          <v:shape id="_x0000_s1882" type="#_x0000_t75" style="position:absolute;margin-left:136.8pt;margin-top:738.25pt;width:209.75pt;height:14.9pt;z-index:-125828758;mso-wrap-distance-left:136.8pt;mso-wrap-distance-right:148.1pt;mso-wrap-distance-bottom:10.8pt;mso-position-horizontal-relative:margin;mso-position-vertical-relative:margin" wrapcoords="0 0 21600 0 21600 21600 0 21600 0 0">
            <v:imagedata r:id="rId1370" r:href="rId1371"/>
            <w10:wrap type="topAndBottom" anchorx="margin" anchory="margin"/>
          </v:shape>
        </w:pict>
      </w:r>
      <w:r>
        <w:rPr>
          <w:lang w:val="ru-RU" w:eastAsia="ru-RU" w:bidi="ru-RU"/>
          <w:w w:val="100"/>
          <w:spacing w:val="0"/>
          <w:color w:val="000000"/>
          <w:position w:val="0"/>
        </w:rPr>
        <w:t>асистолия может произойти после поражения молнией, которая деполяризует все водители рит</w:t>
        <w:softHyphen/>
        <w:t>ма сердца. (Прямое поражение испарило бы жерт</w:t>
        <w:softHyphen/>
        <w:t>ву). Ритм может вернуться самостоятельно (спон</w:t>
        <w:softHyphen/>
        <w:t>танно) или вскоре после начала мероприятий СЛР. Эти пациенты могут выжить неповрежден</w:t>
        <w:softHyphen/>
        <w:t>ными при оказании им немедленной помощи. По</w:t>
        <w:softHyphen/>
        <w:t>ражение переменным током из других источников обычно приводит к ФЖ.</w:t>
      </w:r>
      <w:r>
        <w:br w:type="page"/>
      </w:r>
    </w:p>
    <w:p>
      <w:pPr>
        <w:pStyle w:val="Style92"/>
        <w:widowControl w:val="0"/>
        <w:keepNext/>
        <w:keepLines/>
        <w:shd w:val="clear" w:color="auto" w:fill="auto"/>
        <w:bidi w:val="0"/>
        <w:spacing w:before="0" w:after="0"/>
        <w:ind w:left="520" w:right="0" w:hanging="240"/>
      </w:pPr>
      <w:bookmarkStart w:id="840" w:name="bookmark840"/>
      <w:r>
        <w:rPr>
          <w:lang w:val="ru-RU" w:eastAsia="ru-RU" w:bidi="ru-RU"/>
          <w:w w:val="100"/>
          <w:spacing w:val="0"/>
          <w:color w:val="000000"/>
          <w:position w:val="0"/>
        </w:rPr>
        <w:t>Лабораторные исследования</w:t>
      </w:r>
      <w:bookmarkEnd w:id="840"/>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Уровень калия может быть полезным, если понадо</w:t>
        <w:softHyphen/>
        <w:t>бится его определение, а результаты становятся изве</w:t>
        <w:softHyphen/>
        <w:t>стными немедленно.</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Анализ газов крови может помочь оценке вентиля</w:t>
        <w:softHyphen/>
        <w:t>торного и кислотно-щелочного статуса пациента.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Процедуры</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Исключить возможность диагноза ФЖ, что может быть маской асистолии, путем проверки 2 отведений, перпендикулярных друг другу. При помощи протоко</w:t>
        <w:softHyphen/>
        <w:t>ла плоской линии на основании проверки 3 отведе</w:t>
        <w:softHyphen/>
        <w:t>ний скрытая ФЖ была документально подтверждена только у 3 из 118 асистолических пациентов (2,5%), указывая на то, что ФЖ, маскирующаяся как асисто</w:t>
        <w:softHyphen/>
        <w:t>лия, происходит не часто.</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Исключить вероятность неправильной установки от</w:t>
        <w:softHyphen/>
        <w:t>ведений, проверив наличие пульса.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Добольничная помощь</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Единственными 2 препаратами, рекомендуемыми Американской ассоциацией кардиологов (ААК) для взрослых при асистолии, являются адреналин и атропин. Несмотря на полную ваголитическую дозу атропина (0,04 мг/кг) и высокую дозу адреналина (0,20 мг/кг), несколько пациентов выжило без необ</w:t>
        <w:softHyphen/>
        <w:t>ходимости прибегать к помощи неврологической службы больницы. Атропин больше не рекомендует</w:t>
        <w:softHyphen/>
        <w:t>ся детям младшего возраста и младенцам.</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Чрескожная электрокардиостимуляция (ЧКС) даже при немедленном применении не оказала достовер</w:t>
        <w:softHyphen/>
        <w:t>ного решающего влияния на выживаемость. При от</w:t>
        <w:softHyphen/>
        <w:t>сутствии метаболического дефицита, как при оста</w:t>
        <w:softHyphen/>
        <w:t>новке сердца с предшествующим нарушением прово</w:t>
        <w:softHyphen/>
        <w:t>димости или выработки импульсов (первичная асис</w:t>
        <w:softHyphen/>
        <w:t>толия), непосредственное использование ЧКС может спасти жизнь.</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Лечение в отделении неотложной помощи</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Было сообщение об одном случае с продолжитель</w:t>
        <w:softHyphen/>
        <w:t>ной, но успешной реанимацией после асистолии у пациента с гиперкалиемией вследствие почечной недостаточности. Лечение включало кальция хлорид, инсулин и глюкозу для снижения содержания калия в сыворотке крови. Однако это нельзя рекомендовать для повседневной практики, для всех случаев асисто- лической остановки.</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Электрическую дефибрилляцию нельзя применять без разбора у пациентов при асистолии. Это не толь</w:t>
        <w:softHyphen/>
        <w:t>ко бесполезно, но и вредно, так как исключает воз</w:t>
        <w:softHyphen/>
        <w:t>можность восстановления ритма.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Парасимпатическое воздействие во время прекращения сердечно-легочной деятельности не получило достаточно полного освещения, и клиническая польза атропина еще не подтверждена. Высокие дозы адреналина (0,20 мг/кг) могут улучшить гемодинамику СЛР, увеличивая тем самым коэффициент возобновления самостоятельного кровооб</w:t>
        <w:softHyphen/>
        <w:t>ращения; однако еще не было показано, что адреналин влияет на окончательный клинический исход.</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Предупреждение, профилактика</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Первичную асистолию можно предупредить соответ</w:t>
        <w:softHyphen/>
        <w:t>ствующим применением постоянного кардиостиму</w:t>
        <w:softHyphen/>
        <w:t>лятора у пациентов с блокадой сердца повышенной степени или повышенным риском прекращения ак</w:t>
        <w:softHyphen/>
        <w:t>тивности синусового узла.</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br w:type="column"/>
      </w:r>
      <w:r>
        <w:rPr>
          <w:lang w:val="ru-RU" w:eastAsia="ru-RU" w:bidi="ru-RU"/>
          <w:w w:val="100"/>
          <w:spacing w:val="0"/>
          <w:color w:val="000000"/>
          <w:position w:val="0"/>
        </w:rPr>
        <w:t>Профилактика вторичной асистолии требует ранне - го распознавания и лечения предшествующего со</w:t>
        <w:softHyphen/>
        <w:t>бытия.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Осложнения включают стойкое неврологическое на</w:t>
        <w:softHyphen/>
        <w:t>рушение и осложнения после СЛР или инвазивных процедур (например, разрыв печени, перелом ребер, пневмоторакс, аспирация, разрыв желудка/пищево- да).</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 происходит смерть.</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Прогноз</w:t>
      </w:r>
    </w:p>
    <w:p>
      <w:pPr>
        <w:pStyle w:val="Style30"/>
        <w:numPr>
          <w:ilvl w:val="0"/>
          <w:numId w:val="183"/>
        </w:numPr>
        <w:tabs>
          <w:tab w:leader="none" w:pos="519" w:val="left"/>
        </w:tabs>
        <w:widowControl w:val="0"/>
        <w:keepNext w:val="0"/>
        <w:keepLines w:val="0"/>
        <w:shd w:val="clear" w:color="auto" w:fill="auto"/>
        <w:bidi w:val="0"/>
        <w:spacing w:before="0" w:after="62"/>
        <w:ind w:left="520" w:right="0" w:hanging="240"/>
      </w:pPr>
      <w:r>
        <w:rPr>
          <w:lang w:val="ru-RU" w:eastAsia="ru-RU" w:bidi="ru-RU"/>
          <w:w w:val="100"/>
          <w:spacing w:val="0"/>
          <w:color w:val="000000"/>
          <w:position w:val="0"/>
        </w:rPr>
        <w:t>Прогноз зависит от этиологии асистолического рит</w:t>
        <w:softHyphen/>
        <w:t>ма и успеха сердечно-легочной реанимации.</w:t>
      </w:r>
    </w:p>
    <w:p>
      <w:pPr>
        <w:pStyle w:val="Style28"/>
        <w:widowControl w:val="0"/>
        <w:keepNext/>
        <w:keepLines/>
        <w:shd w:val="clear" w:color="auto" w:fill="auto"/>
        <w:bidi w:val="0"/>
        <w:jc w:val="both"/>
        <w:spacing w:before="0" w:after="118" w:line="288" w:lineRule="exact"/>
        <w:ind w:left="0" w:right="160" w:firstLine="0"/>
      </w:pPr>
      <w:bookmarkStart w:id="841" w:name="bookmark841"/>
      <w:r>
        <w:rPr>
          <w:lang w:val="ru-RU" w:eastAsia="ru-RU" w:bidi="ru-RU"/>
          <w:w w:val="100"/>
          <w:spacing w:val="0"/>
          <w:color w:val="000000"/>
          <w:position w:val="0"/>
        </w:rPr>
        <w:t>Кардиологические причины внезапной смерти</w:t>
      </w:r>
      <w:bookmarkEnd w:id="841"/>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Определение внезапной смерти (ВС) в детском возрасте, по данным литературы, включают следующие критерии:</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Возраст внезапно умершего ребенка один год и стар</w:t>
        <w:softHyphen/>
        <w:t>ше.</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Внезапная потеря сознания перед смертью.</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Наступление смерти в пределах 24 часов с момента появления клинических симптомов болезни.</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Обычное для больных активное состояние перед на</w:t>
        <w:softHyphen/>
        <w:t>ступлением смерти.</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Внезапное наступление смерти до госпитализации больных.</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Доля внезапной сердечной смерти (ВСС) в возрасте от 1 года до 20 лет составляет от 2 до 20% в общей структуре смертности в этом возрасте.</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Патогенез</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ВСС с точки зрения патофизиологических механиз - мов может иметь два варианта: 1) быстрая останов</w:t>
        <w:softHyphen/>
        <w:t>ка сердца, связанная с фибрилляцией желудочков (ФЖ), и вторичная смерть мозга; 2) медленная оста</w:t>
        <w:softHyphen/>
        <w:t>новка сердца, в основе которой лежит угнетение дыхания при заболеваниях и повреждениях ЦНС. У детей такую смерть могут вызвать разрыв аневризм церебральных сосудов, ангиомы, опухоли, травматические и воспалительные заболевания ЦНС.</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Основным механизмом ВСС является аритмоген- ный — фибрилляция желудочков (80%), реже — бра</w:t>
        <w:softHyphen/>
        <w:t>дикардия или асистолия (20%); в единичных случаях ВСС неаритмогенная (разрыв аорты или тампонада сердца при инфаркте миокарда).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Внезапная смерть в общей педиатрической популяции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Наиболее частые причины ВСС в общей педиатричес</w:t>
        <w:softHyphen/>
        <w:t>кой популяции следующие: миокардиты, гипертрофичес</w:t>
        <w:softHyphen/>
        <w:t>кие кардиомиопатии, аномалии коронарных артерий, раз</w:t>
        <w:softHyphen/>
        <w:t>рыв аорты.</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Миокардиты</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ВСС наблюдается в 5-9% от вирусных миокардитов. Диагностика вирусных миокардитов представляет значительные трудности. Заболевание может проте</w:t>
        <w:softHyphen/>
        <w:t>кать бессимптомно или только в виде легкого «вирус</w:t>
        <w:softHyphen/>
        <w:t>ного синдрома». Смерть наступает внезапно.</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pict>
          <v:shape id="_x0000_s1883" type="#_x0000_t75" style="position:absolute;margin-left:147.95pt;margin-top:738.25pt;width:209.75pt;height:14.9pt;z-index:-125828757;mso-wrap-distance-left:147.85pt;mso-wrap-distance-right:136.8pt;mso-wrap-distance-bottom:10.8pt;mso-position-horizontal-relative:margin;mso-position-vertical-relative:margin" wrapcoords="0 0 21600 0 21600 21600 0 21600 0 0">
            <v:imagedata r:id="rId1372" r:href="rId1373"/>
            <w10:wrap type="topAndBottom" anchorx="margin" anchory="margin"/>
          </v:shape>
        </w:pict>
      </w:r>
      <w:r>
        <w:rPr>
          <w:lang w:val="ru-RU" w:eastAsia="ru-RU" w:bidi="ru-RU"/>
          <w:w w:val="100"/>
          <w:spacing w:val="0"/>
          <w:color w:val="000000"/>
          <w:position w:val="0"/>
        </w:rPr>
        <w:t>Острые миокардиты, обнаруженные на вскрытии у детей с ВС, протекают с распространенными некро</w:t>
        <w:softHyphen/>
        <w:t>зами вплоть до образования острых аневризм, с во-</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влечением в процесс проводящей системы, стенок мелких артерий и капилляров с периваскулярным воспалением. Нередко пораженным оказывается ги</w:t>
        <w:softHyphen/>
        <w:t>поталамус, ВС при миокардитах чаще отмечается у мальчиков.</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Миокардит должен быть заподозрен при наличии синусовой тахикардии, несоответствующей лихорад</w:t>
        <w:softHyphen/>
        <w:t>ке, появлении нерегулярного ритма или брадикар</w:t>
        <w:softHyphen/>
        <w:t>дии, одышки при отсутствии пневмонии. Позже по</w:t>
        <w:softHyphen/>
        <w:t>являются объективные клинические признаки за</w:t>
        <w:softHyphen/>
        <w:t>стойной сердечной недостаточности в виде ритма га</w:t>
        <w:softHyphen/>
        <w:t>лопа, кардиомегалии, гепатомегалии, одышки, а так</w:t>
        <w:softHyphen/>
        <w:t>же возможны высыпания на коже у детей старшего возраста.</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Если клинически заподозрен миокардит у ребенка, считавшегося до появления симптомов заболева</w:t>
        <w:softHyphen/>
        <w:t>ния здоровым, необходимо провести электрокар</w:t>
        <w:softHyphen/>
        <w:t>диографическое и рентгенологическое исследова</w:t>
        <w:softHyphen/>
        <w:t xml:space="preserve">ние. В классических случаях на ЭКГ определяется низкий вольтаж комплекса </w:t>
      </w:r>
      <w:r>
        <w:rPr>
          <w:lang w:val="en-US" w:eastAsia="en-US" w:bidi="en-US"/>
          <w:w w:val="100"/>
          <w:spacing w:val="0"/>
          <w:color w:val="000000"/>
          <w:position w:val="0"/>
        </w:rPr>
        <w:t xml:space="preserve">QRS </w:t>
      </w:r>
      <w:r>
        <w:rPr>
          <w:lang w:val="ru-RU" w:eastAsia="ru-RU" w:bidi="ru-RU"/>
          <w:w w:val="100"/>
          <w:spacing w:val="0"/>
          <w:color w:val="000000"/>
          <w:position w:val="0"/>
        </w:rPr>
        <w:t>(не более 5 мм об</w:t>
        <w:softHyphen/>
        <w:t>щей амплитуды желудочкового комплекса в отведе</w:t>
        <w:softHyphen/>
        <w:t xml:space="preserve">ниях от конечностей). Низкий вольтаж может быть также в грудных отведениях. Часто определяются уплощенный зубец Т, депрессия сегмента </w:t>
      </w:r>
      <w:r>
        <w:rPr>
          <w:lang w:val="en-US" w:eastAsia="en-US" w:bidi="en-US"/>
          <w:w w:val="100"/>
          <w:spacing w:val="0"/>
          <w:color w:val="000000"/>
          <w:position w:val="0"/>
        </w:rPr>
        <w:t xml:space="preserve">SX </w:t>
      </w:r>
      <w:r>
        <w:rPr>
          <w:lang w:val="ru-RU" w:eastAsia="ru-RU" w:bidi="ru-RU"/>
          <w:w w:val="100"/>
          <w:spacing w:val="0"/>
          <w:color w:val="000000"/>
          <w:position w:val="0"/>
        </w:rPr>
        <w:t>атри</w:t>
        <w:softHyphen/>
        <w:t>овентрикулярная блокада, желудочковая экстраси- столия.</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 рентгенограмме изменения могут быть от мини</w:t>
        <w:softHyphen/>
        <w:t>мальных до кардиомегалии различной степени с ве</w:t>
        <w:softHyphen/>
        <w:t>нозным застоем и даже отеком легких. Если диагноз миокардита подтверждается, необходимо провести эхокардиографическое исследование для определе</w:t>
        <w:softHyphen/>
        <w:t>ния размеров полостей левого желудочка, его функ</w:t>
        <w:softHyphen/>
        <w:t>ции и исключения выпота в перикард. При данном обследовании могут быть обнаружены больные с бес</w:t>
        <w:softHyphen/>
        <w:t>симптомным течением хронической кардиомиопа</w:t>
        <w:softHyphen/>
        <w:t>тии, при этом интеркуррентная вирусная инфекция является поводом для обнаружения у них изменений сердца. В таких случаях после ликвидации острых воспалительных проявлений больным проводится биопсия миокарда.</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случаях постановки диагноза миокардита дети должны находиться в палатах интенсивной терапии, им проводится телеметрический контроль в течение не менее 24 ч.</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Летальность при миокардитах составляет 10-25% и может быть следствием аритмий.</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Лечение включает ограничение физической активно - сти, постельный режим в острой фазе болезни. Диу</w:t>
        <w:softHyphen/>
        <w:t>ретики и противоаритмические препараты назначают по показаниям. При остром миокардите дигиталис может усиливать аритмию, поэтому используется по возможности в малых дозах. Основными средствами лечения острых миокардитов являются иммуносуп</w:t>
        <w:softHyphen/>
        <w:t>рессоры (стероиды, циклофосфамид или азатиоп- рин).</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Гипертрофические кардиомиопатии</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 данным В. Мают и соавт., среди наблюдавшихся 35 детей с гипертрофическими кардиомиопатиями (ГКМП) 31% умерли внезапно. ГКМП является так</w:t>
        <w:softHyphen/>
        <w:t>же наиболее частой причиной ВСС у спортсменов.</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Заболевание трудно диагностируется. Клинические данные носят вариабельный характер, зависят от</w:t>
        <w:br w:type="column"/>
        <w:t>имеющихся изменений гемодинамики и степени об</w:t>
        <w:softHyphen/>
        <w:t>струкции выходного отдела левого желудочка. Тем не менее, отсутствие такой обструкции не исключает риск ВСС. В типичных случаях при ГКМП перифе</w:t>
        <w:softHyphen/>
        <w:t>рическая пульсация артерий усилена, с двойным толчком. Верхушечная пульсация усилена, при этом выявляется двойной или даже тройной импульс со</w:t>
        <w:softHyphen/>
        <w:t>кращения левого желудочка.</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Данные анамнеза позволяют идентифицировать больных с риском возникновения ГКМП, поскольку примерно в 60% случаев заболевание обнаруживается у родственников 1 степени родства. Необходимо так</w:t>
        <w:softHyphen/>
        <w:t>же обследовать детей, в семейном анамнезе которых были случаи ВС или синкопе.</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Электрокардиографические изменения обнаружива</w:t>
        <w:softHyphen/>
        <w:t xml:space="preserve">ются в 90-96% случаев. Характерными изменениями являются: гипертрофия левого желудочка, изменения </w:t>
      </w:r>
      <w:r>
        <w:rPr>
          <w:lang w:val="en-US" w:eastAsia="en-US" w:bidi="en-US"/>
          <w:w w:val="100"/>
          <w:spacing w:val="0"/>
          <w:color w:val="000000"/>
          <w:position w:val="0"/>
        </w:rPr>
        <w:t>ST</w:t>
      </w:r>
      <w:r>
        <w:rPr>
          <w:lang w:val="ru-RU" w:eastAsia="ru-RU" w:bidi="ru-RU"/>
          <w:w w:val="100"/>
          <w:spacing w:val="0"/>
          <w:color w:val="000000"/>
          <w:position w:val="0"/>
        </w:rPr>
        <w:t xml:space="preserve">-Т, дилатация левого предсердия, патологические зубцы </w:t>
      </w:r>
      <w:r>
        <w:rPr>
          <w:lang w:val="en-US" w:eastAsia="en-US" w:bidi="en-US"/>
          <w:w w:val="100"/>
          <w:spacing w:val="0"/>
          <w:color w:val="000000"/>
          <w:position w:val="0"/>
        </w:rPr>
        <w:t xml:space="preserve">Q, </w:t>
      </w:r>
      <w:r>
        <w:rPr>
          <w:lang w:val="ru-RU" w:eastAsia="ru-RU" w:bidi="ru-RU"/>
          <w:w w:val="100"/>
          <w:spacing w:val="0"/>
          <w:color w:val="000000"/>
          <w:position w:val="0"/>
        </w:rPr>
        <w:t xml:space="preserve">уменьшение или отсутствие зубцов </w:t>
      </w:r>
      <w:r>
        <w:rPr>
          <w:lang w:val="en-US" w:eastAsia="en-US" w:bidi="en-US"/>
          <w:w w:val="100"/>
          <w:spacing w:val="0"/>
          <w:color w:val="000000"/>
          <w:position w:val="0"/>
        </w:rPr>
        <w:t xml:space="preserve">R </w:t>
      </w:r>
      <w:r>
        <w:rPr>
          <w:lang w:val="ru-RU" w:eastAsia="ru-RU" w:bidi="ru-RU"/>
          <w:w w:val="100"/>
          <w:spacing w:val="0"/>
          <w:color w:val="000000"/>
          <w:position w:val="0"/>
        </w:rPr>
        <w:t>в ле</w:t>
        <w:softHyphen/>
        <w:t>вых грудных отведениях.</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ВС в группе больных с ГКМП составляет 60% и воз</w:t>
        <w:softHyphen/>
        <w:t>никает во время физической активности. Следова</w:t>
        <w:softHyphen/>
        <w:t>тельно, риск ВС может быть существенно уменьшен при тщательном отборе лиц, желающих заниматься спортом, и при ограничении физических нагрузок у данного контингента больных.</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Отличить первичную гипертрофическую кардиомио - патию от гипертрофии вследствие длительных заня</w:t>
        <w:softHyphen/>
        <w:t>тий спортом помогают данные эхокардиографичес</w:t>
        <w:softHyphen/>
        <w:t>кого исследования. При первичной ГКМП полость левого желудочка маленькая, сужен его выходной тракт, утолщена передняя митральная створка, дила- тировано левое предсердие. Гипертрофическое «серд</w:t>
        <w:softHyphen/>
        <w:t>це атлета» имеет нормальную полость левого желу</w:t>
        <w:softHyphen/>
        <w:t>дочка. Выходной тракт и предсердие не увеличены, отсутствует утолщение передней митральной створ - ки, гипертрофия обычно симметричная, у родствен</w:t>
        <w:softHyphen/>
        <w:t>ников отсутствует.</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гистологическом исследовании при первичной ГКМП обнаруживаются нарушенная ориентация миокардиальных волокон, а также аномалия интра</w:t>
        <w:softHyphen/>
        <w:t>муральных коронарных артерий, чего не наблюда</w:t>
        <w:softHyphen/>
        <w:t>ется при приобретенной гипертрофии у спортсме</w:t>
        <w:softHyphen/>
        <w:t>нов.</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Основным средством лечения ГКМП является обзи- дан, который показан при наличии обструкции вы</w:t>
        <w:softHyphen/>
        <w:t>ходного тракта левого желудочка, синкопе или угро</w:t>
        <w:softHyphen/>
        <w:t>жающих жизни аритмий.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Аномалии коронарных артерий</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Врожденные аномалии коронарных артерий ассоци</w:t>
        <w:softHyphen/>
        <w:t>ируются с ВС, и среди них наиболее частый такой по - рок, как аномальное отхождение левой коронарной артерии от правого (переднего) синуса Вальсальвы. Вообще данный порок является редкой аномалией, при этом левая коронарная артерия проходит между аортой и легочной артерией и может сдавливаться ма</w:t>
        <w:softHyphen/>
        <w:t>гистральными сосудами при нагрузке. Компрессия коронарной артерии приводит к ишемии, инфаркту миокарда и ВСС; последняя наблюдается при данном пороке в 80% случаев.</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pict>
          <v:shape id="_x0000_s1884" type="#_x0000_t75" style="position:absolute;margin-left:130.45pt;margin-top:738.25pt;width:209.75pt;height:14.9pt;z-index:-125828756;mso-wrap-distance-left:124.1pt;mso-wrap-distance-right:148.1pt;mso-wrap-distance-bottom:10.8pt;mso-position-horizontal-relative:margin;mso-position-vertical-relative:margin" wrapcoords="0 0 21600 0 21600 21600 0 21600 0 0">
            <v:imagedata r:id="rId1374" r:href="rId1375"/>
            <w10:wrap type="topAndBottom" anchorx="margin" anchory="margin"/>
          </v:shape>
        </w:pict>
      </w:r>
      <w:r>
        <w:rPr>
          <w:lang w:val="ru-RU" w:eastAsia="ru-RU" w:bidi="ru-RU"/>
          <w:w w:val="100"/>
          <w:spacing w:val="0"/>
          <w:color w:val="000000"/>
          <w:position w:val="0"/>
        </w:rPr>
        <w:t>При клиническом обследовании какой-либо патоло</w:t>
        <w:softHyphen/>
        <w:t>гии не выявляется. Редко больные могут иметь син-</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копальные состояния, индуцируемые физической нагрузкой.</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Приобретенные заболевания коронарных артерий могут также явиться причиной ВСС. Описаны случаи ВСС при атеросклерозе коронарных артерий у детей, страдающих диабетом или гиперлипидемией. По</w:t>
        <w:softHyphen/>
        <w:t>вреждение коронарных артерий часто наблюдается при болезни Кавасаки: частота ВС при этом заболева</w:t>
        <w:softHyphen/>
        <w:t>нии составляет 1-3%, и она возникает на 3-4-й неделе от начала заболевания. Известны случаи ВСС у детей с бессимптомным течением болезни Кавасаки в отда</w:t>
        <w:softHyphen/>
        <w:t>ленном периоде заболевания из-за патологии коро</w:t>
        <w:softHyphen/>
        <w:t>нарных артерий (аневризмы). Введение гаммаглобу- лина при болезни Кавасаки существенно уменьшает частоту поражения коронарных артерий.</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Разрыв аорты</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Среди причин ВСС в детской популяции разрыв аор - ты занимает 4-е место и, как правило, наблюдается у спортсменов. Высокий риск ВСС от разрыва аорты имеют лица с синдромом Марфана.</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обследовании сердечно-сосудистой системы об</w:t>
        <w:softHyphen/>
        <w:t>наруживаемые изменения могут быть минимальны - ми, наиболее характерно наличие щелчков и шума пролапса митрального клапана. Шум, связанный с аортальной недостаточностью, не является типич</w:t>
        <w:softHyphen/>
        <w:t>ным и обнаруживается у детей старше 10 лет.</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 рентгенограмме определяется дилатация аорты при нормальных размерах сердца. Наиболее инфор</w:t>
        <w:softHyphen/>
        <w:t>мативным методом диагностики дилатации аорты яв - ляется эхокардиография.</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Для предупреждения ВСС больным с дилатацией аорты рекомендуют применять пропранолол (обзи- дан), однако его эффективность как профилактичес</w:t>
        <w:softHyphen/>
        <w:t>кого средства окончательно не определена.</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Около 10% всех случаев ВС связано с разрывом аорты на почве дезорганизации соединительной ткани, ме- дионекроза, дегенерации эластических волокон, что объясняет структурную слабость стенки. При этом такие случаи не обязательно были у лиц с полными формами болезни Марфана. Известно существование стертых форм, но с теми же отклонениями сердеч</w:t>
        <w:softHyphen/>
        <w:t>но-сосудистой системы в виде расширения аорты, пролапса митрального клапана, недостаточности аортальных клапанов.</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Учитывая внешние данные детей с болезнью Мар</w:t>
        <w:softHyphen/>
        <w:t>фана (высокий рост, удлинение конечностей с длинными тонкими кистями), многих из них при</w:t>
        <w:softHyphen/>
        <w:t>цельно отбирают тренеры для занятий баскетбо</w:t>
        <w:softHyphen/>
        <w:t>лом, волейболом, атлетизмом, в то время как к раз</w:t>
        <w:softHyphen/>
        <w:t>решению на занятия спортом таких детей следует подходить с особой осторожностью. Аналогичные особенности конституции обнаруживаются у одно</w:t>
        <w:softHyphen/>
        <w:t>го из родителей, возможны повторные случаи ВС в семье.</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болезни Марфана существует значительный риск ВС в случаях спонтанного разрыва аорты. Обыч</w:t>
        <w:softHyphen/>
        <w:t>но разрыв аорты возникает у лиц, занимающихся спортом и имеющих стертую форму болезни, прояв</w:t>
        <w:softHyphen/>
        <w:t>ляющуюся изменениями сердца в большей степени, чем внешними признаками. Тот факт, что ВС чаще наблюдается при стертых формах болезни Марфана, обусловлен как разным образом жизни больных, так</w:t>
      </w:r>
    </w:p>
    <w:p>
      <w:pPr>
        <w:pStyle w:val="Style30"/>
        <w:widowControl w:val="0"/>
        <w:keepNext w:val="0"/>
        <w:keepLines w:val="0"/>
        <w:shd w:val="clear" w:color="auto" w:fill="auto"/>
        <w:bidi w:val="0"/>
        <w:spacing w:before="0" w:after="0"/>
        <w:ind w:left="500" w:right="0" w:firstLine="0"/>
      </w:pPr>
      <w:r>
        <w:br w:type="column"/>
      </w:r>
      <w:r>
        <w:rPr>
          <w:lang w:val="ru-RU" w:eastAsia="ru-RU" w:bidi="ru-RU"/>
          <w:w w:val="100"/>
          <w:spacing w:val="0"/>
          <w:color w:val="000000"/>
          <w:position w:val="0"/>
        </w:rPr>
        <w:t>и большей степенью выраженности аномалии элас</w:t>
        <w:softHyphen/>
        <w:t>тина в аорте. Спонтанный разрыв аорты является возрастно-зависимым феноменом и редко наблюда</w:t>
        <w:softHyphen/>
        <w:t>ется в подростковом возрасте.</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Внезапная смерть в детском возрасте среди кардиологиче</w:t>
        <w:softHyphen/>
        <w:t>ских больных</w:t>
      </w:r>
    </w:p>
    <w:p>
      <w:pPr>
        <w:pStyle w:val="Style30"/>
        <w:numPr>
          <w:ilvl w:val="0"/>
          <w:numId w:val="18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ВС среди кардиологических больных наблюдается при стенозе аорты, пролапсе митрального клапана, легочной гипертензии, тетраде Фалло и при ряде форм аритмий, не сопровождающихся структурными аномалиями сердца.</w:t>
      </w:r>
    </w:p>
    <w:p>
      <w:pPr>
        <w:pStyle w:val="Style30"/>
        <w:numPr>
          <w:ilvl w:val="0"/>
          <w:numId w:val="18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Стеноз аорты. Клапанный стеноз аорты составляет 3-6% среди всех врожденных пороков сердца (ВПС). За исключением новорожденных с критическим сте</w:t>
        <w:softHyphen/>
        <w:t>нозом аорты, в большинстве случаев порок у детей протекает бессимптомно, и их физическое развитие не страдает. Систолический шум является наиболее частой причиной, позволяющей заподозрить наличие у ребенка порока.</w:t>
      </w:r>
    </w:p>
    <w:p>
      <w:pPr>
        <w:pStyle w:val="Style30"/>
        <w:numPr>
          <w:ilvl w:val="0"/>
          <w:numId w:val="18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Тяжелые формы аортального стеноза обычно прояв</w:t>
        <w:softHyphen/>
        <w:t>ляются усиленным верхушечным толчком, систоли</w:t>
        <w:softHyphen/>
        <w:t>ческим дрожанием, проводящимся на сонные арте</w:t>
        <w:softHyphen/>
        <w:t>рии. На верхушке сердца могут выслушиваться систо - лические щелчки изгнания. Систолический шум обычно интенсивный, продолжительный, грубого тембра, выслушивается на основании сердца, ирра- диирует на сосуды шеи, а также может проводиться на верхушку сердца. Нормальные показатели ЭКГ и рентгенографии не исключают наличия порока. В типичных случаях на ЭКГ определяется гипертро</w:t>
        <w:softHyphen/>
        <w:t xml:space="preserve">фия левого желудочка, сочетающаяся с депрессией сегмента </w:t>
      </w:r>
      <w:r>
        <w:rPr>
          <w:lang w:val="en-US" w:eastAsia="en-US" w:bidi="en-US"/>
          <w:w w:val="100"/>
          <w:spacing w:val="0"/>
          <w:color w:val="000000"/>
          <w:position w:val="0"/>
        </w:rPr>
        <w:t xml:space="preserve">ST </w:t>
      </w:r>
      <w:r>
        <w:rPr>
          <w:lang w:val="ru-RU" w:eastAsia="ru-RU" w:bidi="ru-RU"/>
          <w:w w:val="100"/>
          <w:spacing w:val="0"/>
          <w:color w:val="000000"/>
          <w:position w:val="0"/>
        </w:rPr>
        <w:t>и отрицательными зубцами Т (так назы</w:t>
        <w:softHyphen/>
        <w:t xml:space="preserve">ваемые ЭКГ-изменения типа </w:t>
      </w:r>
      <w:r>
        <w:rPr>
          <w:lang w:val="en-US" w:eastAsia="en-US" w:bidi="en-US"/>
          <w:w w:val="100"/>
          <w:spacing w:val="0"/>
          <w:color w:val="000000"/>
          <w:position w:val="0"/>
        </w:rPr>
        <w:t xml:space="preserve">strain). </w:t>
      </w:r>
      <w:r>
        <w:rPr>
          <w:lang w:val="ru-RU" w:eastAsia="ru-RU" w:bidi="ru-RU"/>
          <w:w w:val="100"/>
          <w:spacing w:val="0"/>
          <w:color w:val="000000"/>
          <w:position w:val="0"/>
        </w:rPr>
        <w:t>Двухмерная эхо</w:t>
        <w:softHyphen/>
        <w:t>кардиография и метод Допплера позволяют досто</w:t>
        <w:softHyphen/>
        <w:t>верно диагностировать данный порок и определить величину обструкции.</w:t>
      </w:r>
    </w:p>
    <w:p>
      <w:pPr>
        <w:pStyle w:val="Style30"/>
        <w:numPr>
          <w:ilvl w:val="0"/>
          <w:numId w:val="18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Частота ВС при стенозе аорты составляет примерно 1% в детском возрасте, однако в других исследовани</w:t>
        <w:softHyphen/>
        <w:t>ях этот показатель существенно выше. Так, по дан</w:t>
        <w:softHyphen/>
        <w:t xml:space="preserve">ным Е. </w:t>
      </w:r>
      <w:r>
        <w:rPr>
          <w:lang w:val="en-US" w:eastAsia="en-US" w:bidi="en-US"/>
          <w:w w:val="100"/>
          <w:spacing w:val="0"/>
          <w:color w:val="000000"/>
          <w:position w:val="0"/>
        </w:rPr>
        <w:t xml:space="preserve">Lambert, </w:t>
      </w:r>
      <w:r>
        <w:rPr>
          <w:lang w:val="ru-RU" w:eastAsia="ru-RU" w:bidi="ru-RU"/>
          <w:w w:val="100"/>
          <w:spacing w:val="0"/>
          <w:color w:val="000000"/>
          <w:position w:val="0"/>
        </w:rPr>
        <w:t>частота ВС при аортальном стенозе достигала 18%, однако в группу наблюдения были включены больные, не подвергшиеся хирургическо</w:t>
        <w:softHyphen/>
        <w:t>му лечению. Оперативное лечение, заключающееся в проведении вальвулотомии или замене аортального клапана протезом, не уменьшает риск ВС.</w:t>
      </w:r>
    </w:p>
    <w:p>
      <w:pPr>
        <w:pStyle w:val="Style30"/>
        <w:numPr>
          <w:ilvl w:val="0"/>
          <w:numId w:val="18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ВС при аортальном стенозе, как правило, наступает во время физической нагрузки; она обусловлена сни</w:t>
        <w:softHyphen/>
        <w:t>жением сердечного выброса и артериального давле</w:t>
        <w:softHyphen/>
        <w:t>ния, приводящим к коронарной недостаточности, миокардиальной ишемии и злокачественным арит</w:t>
        <w:softHyphen/>
        <w:t>миям. Риск ВС у больных с аортальным стенозом ас</w:t>
        <w:softHyphen/>
        <w:t>социируется с тяжестью обструкции, наличием ги</w:t>
        <w:softHyphen/>
        <w:t xml:space="preserve">пертрофии левого желудочка, ЭКГ-изменений типа </w:t>
      </w:r>
      <w:r>
        <w:rPr>
          <w:lang w:val="en-US" w:eastAsia="en-US" w:bidi="en-US"/>
          <w:w w:val="100"/>
          <w:spacing w:val="0"/>
          <w:color w:val="000000"/>
          <w:position w:val="0"/>
        </w:rPr>
        <w:t xml:space="preserve">strain, </w:t>
      </w:r>
      <w:r>
        <w:rPr>
          <w:lang w:val="ru-RU" w:eastAsia="ru-RU" w:bidi="ru-RU"/>
          <w:w w:val="100"/>
          <w:spacing w:val="0"/>
          <w:color w:val="000000"/>
          <w:position w:val="0"/>
        </w:rPr>
        <w:t>синкопе, одышки и болей в грудной клетке. В 4% случаев аортальный стеноз может осложняться инфекционным эндокардитом, последний также яв</w:t>
        <w:softHyphen/>
        <w:t>ляется причиной ВС.</w:t>
      </w:r>
    </w:p>
    <w:p>
      <w:pPr>
        <w:pStyle w:val="Style30"/>
        <w:numPr>
          <w:ilvl w:val="0"/>
          <w:numId w:val="183"/>
        </w:numPr>
        <w:tabs>
          <w:tab w:leader="none" w:pos="518" w:val="left"/>
        </w:tabs>
        <w:widowControl w:val="0"/>
        <w:keepNext w:val="0"/>
        <w:keepLines w:val="0"/>
        <w:shd w:val="clear" w:color="auto" w:fill="auto"/>
        <w:bidi w:val="0"/>
        <w:spacing w:before="0" w:after="0"/>
        <w:ind w:left="500" w:right="0" w:hanging="220"/>
      </w:pPr>
      <w:r>
        <w:pict>
          <v:shape id="_x0000_s1885" type="#_x0000_t75" style="position:absolute;margin-left:141.85pt;margin-top:738.25pt;width:209.75pt;height:14.9pt;z-index:-125828755;mso-wrap-distance-left:135.35pt;mso-wrap-distance-right:136.55pt;mso-wrap-distance-bottom:10.8pt;mso-position-horizontal-relative:margin;mso-position-vertical-relative:margin" wrapcoords="0 0 21600 0 21600 21600 0 21600 0 0">
            <v:imagedata r:id="rId1376" r:href="rId1377"/>
            <w10:wrap type="topAndBottom" anchorx="margin" anchory="margin"/>
          </v:shape>
        </w:pict>
      </w:r>
      <w:r>
        <w:rPr>
          <w:lang w:val="ru-RU" w:eastAsia="ru-RU" w:bidi="ru-RU"/>
          <w:w w:val="100"/>
          <w:spacing w:val="0"/>
          <w:color w:val="000000"/>
          <w:position w:val="0"/>
        </w:rPr>
        <w:t>Важными направлениями в профилактике ВС у боль</w:t>
        <w:softHyphen/>
        <w:t>ных с аортальным стенозом являются предупрежде</w:t>
        <w:softHyphen/>
        <w:t>ние чрезмерной физической активности, антибакте</w:t>
        <w:softHyphen/>
        <w:t>риальная профилактика инфекционного эндокарди</w:t>
        <w:softHyphen/>
        <w:t>та, своевременное хирургическое лечение.</w:t>
      </w:r>
      <w:r>
        <w:br w:type="page"/>
      </w:r>
    </w:p>
    <w:p>
      <w:pPr>
        <w:pStyle w:val="Style92"/>
        <w:widowControl w:val="0"/>
        <w:keepNext/>
        <w:keepLines/>
        <w:shd w:val="clear" w:color="auto" w:fill="auto"/>
        <w:bidi w:val="0"/>
        <w:spacing w:before="0" w:after="0"/>
        <w:ind w:left="280" w:right="0"/>
      </w:pPr>
      <w:bookmarkStart w:id="842" w:name="bookmark842"/>
      <w:r>
        <w:rPr>
          <w:lang w:val="ru-RU" w:eastAsia="ru-RU" w:bidi="ru-RU"/>
          <w:w w:val="100"/>
          <w:spacing w:val="0"/>
          <w:color w:val="000000"/>
          <w:position w:val="0"/>
        </w:rPr>
        <w:t>Пролапс митрального клапана</w:t>
      </w:r>
      <w:bookmarkEnd w:id="842"/>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Ранее существовало мнение о том, что пролапс мит</w:t>
        <w:softHyphen/>
        <w:t>рального клапана (ПМК) предрасполагает к ВС, од</w:t>
        <w:softHyphen/>
        <w:t>нако детальные популяционные исследования по данной проблеме показали, что риск ВС у больных ПМК определяется наличием злокачественных арит</w:t>
        <w:softHyphen/>
        <w:t xml:space="preserve">мий, а также удлиненным интервалом </w:t>
      </w:r>
      <w:r>
        <w:rPr>
          <w:lang w:val="en-US" w:eastAsia="en-US" w:bidi="en-US"/>
          <w:w w:val="100"/>
          <w:spacing w:val="0"/>
          <w:color w:val="000000"/>
          <w:position w:val="0"/>
        </w:rPr>
        <w:t>QT.</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При клиническом обследовании у детей с ПМК могут определяться скелетные деформации, такие как во</w:t>
        <w:softHyphen/>
        <w:t>ронкообразная грудная клетка, сколиоз, синдром «прямой спины». При аускультации на верхушке сердца выслушиваются среднесистолические щелч</w:t>
        <w:softHyphen/>
        <w:t>ки, усиливающиеся в положении стоя, и позднесис</w:t>
        <w:softHyphen/>
        <w:t>толический или голосистолический шум различной интенсивности в зависимости от величины митраль</w:t>
        <w:softHyphen/>
        <w:t>ной недостаточности.</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Легочная гипертензия</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Легочная гипертензия может быть первичной (идио</w:t>
        <w:softHyphen/>
        <w:t>патической) и вторичной (синдром Эйзенменгера) вследствие длительного существования лево-правого шунта в сердце (дефект межжелудочковой перегород</w:t>
        <w:softHyphen/>
        <w:t>ки). Частота ВС при легочной гипертензии составля</w:t>
        <w:softHyphen/>
        <w:t>ет от 15 до 17%.</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Этиология первичной легочной гипертензии (ПЛГ) неизвестна. Морфологически при этой патологии об</w:t>
        <w:softHyphen/>
        <w:t>наруживаются обструктивные изменения мелких тер</w:t>
        <w:softHyphen/>
        <w:t>минальных легочных артерий и артериол, а также ле</w:t>
        <w:softHyphen/>
        <w:t>гочных вен. Продолжительность жизни при ПЛГ зна</w:t>
        <w:softHyphen/>
        <w:t>чительно сокращена; смерть обычно наблюдается в течение 5 лет с момента появления клинических симптомов.</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Смерть может быть внезапной или вторичной в ре</w:t>
        <w:softHyphen/>
        <w:t>зультате прогрессирующей правожелудочковой недо</w:t>
        <w:softHyphen/>
        <w:t>статочности. ВС при ПЛГ ассоциируется с наличием повторных синкопе.</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Начальные проявления ПЛГ характеризуются одышкой, слабостью, недомоганием, возникнове</w:t>
        <w:softHyphen/>
        <w:t>нием болей в сердце и синкопе при физической на</w:t>
        <w:softHyphen/>
        <w:t>грузке. Обычно цианоза кожных покровов при ПЛГ не бывает. При аускультации определяются интен</w:t>
        <w:softHyphen/>
        <w:t>сивный акцент II тона над легочной артерией, сис</w:t>
        <w:softHyphen/>
        <w:t>толические щелчки изгнания и систолический шум, обусловленный недостаточностью трехстворчатого клапана. На ЭКГ регистрируются отклонение элек</w:t>
        <w:softHyphen/>
        <w:t>трической оси сердца вправо и гипертрофия право</w:t>
        <w:softHyphen/>
        <w:t>го желудочка. При рентгенологическом исследова</w:t>
        <w:softHyphen/>
        <w:t>нии определяются выбухание ствола легочной арте</w:t>
        <w:softHyphen/>
        <w:t>рии, обеднение сосудистого рисунка легких на пери</w:t>
        <w:softHyphen/>
        <w:t>ферии.</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 xml:space="preserve">По данным </w:t>
      </w:r>
      <w:r>
        <w:rPr>
          <w:lang w:val="en-US" w:eastAsia="en-US" w:bidi="en-US"/>
          <w:w w:val="100"/>
          <w:spacing w:val="0"/>
          <w:color w:val="000000"/>
          <w:position w:val="0"/>
        </w:rPr>
        <w:t xml:space="preserve">D. Young </w:t>
      </w:r>
      <w:r>
        <w:rPr>
          <w:lang w:val="ru-RU" w:eastAsia="ru-RU" w:bidi="ru-RU"/>
          <w:w w:val="100"/>
          <w:spacing w:val="0"/>
          <w:color w:val="000000"/>
          <w:position w:val="0"/>
        </w:rPr>
        <w:t xml:space="preserve">и Н. </w:t>
      </w:r>
      <w:r>
        <w:rPr>
          <w:lang w:val="en-US" w:eastAsia="en-US" w:bidi="en-US"/>
          <w:w w:val="100"/>
          <w:spacing w:val="0"/>
          <w:color w:val="000000"/>
          <w:position w:val="0"/>
        </w:rPr>
        <w:t xml:space="preserve">Mark, </w:t>
      </w:r>
      <w:r>
        <w:rPr>
          <w:lang w:val="ru-RU" w:eastAsia="ru-RU" w:bidi="ru-RU"/>
          <w:w w:val="100"/>
          <w:spacing w:val="0"/>
          <w:color w:val="000000"/>
          <w:position w:val="0"/>
        </w:rPr>
        <w:t>частота ВС при ПЛГ достигает 60% и обусловлена возникновением летальных желудочковых аритмий. Однако в клини</w:t>
        <w:softHyphen/>
        <w:t>ческой картине болезни аритмии выявляются не ча</w:t>
        <w:softHyphen/>
        <w:t>ще, чем в общей популяции. Вероятно, впервые возникшая аритмия при ПЛГ является смертель</w:t>
        <w:softHyphen/>
        <w:t>ной.</w:t>
      </w:r>
    </w:p>
    <w:p>
      <w:pPr>
        <w:pStyle w:val="Style30"/>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Тетрада Фалло</w:t>
      </w:r>
    </w:p>
    <w:p>
      <w:pPr>
        <w:pStyle w:val="Style30"/>
        <w:numPr>
          <w:ilvl w:val="0"/>
          <w:numId w:val="183"/>
        </w:numPr>
        <w:tabs>
          <w:tab w:leader="none" w:pos="238" w:val="left"/>
        </w:tabs>
        <w:widowControl w:val="0"/>
        <w:keepNext w:val="0"/>
        <w:keepLines w:val="0"/>
        <w:shd w:val="clear" w:color="auto" w:fill="auto"/>
        <w:bidi w:val="0"/>
        <w:spacing w:before="0" w:after="0"/>
        <w:ind w:left="280" w:right="0" w:hanging="280"/>
      </w:pPr>
      <w:r>
        <w:rPr>
          <w:lang w:val="ru-RU" w:eastAsia="ru-RU" w:bidi="ru-RU"/>
          <w:w w:val="100"/>
          <w:spacing w:val="0"/>
          <w:color w:val="000000"/>
          <w:position w:val="0"/>
        </w:rPr>
        <w:t>Тетрада Фалло является частой причиной возникно</w:t>
        <w:softHyphen/>
        <w:t>вения ВС в детской кардиологической практике. Ме</w:t>
        <w:softHyphen/>
        <w:t>ханизм ВС объясняют острыми периодами гипоксии. Обычно паллиативные операции в виде наложения артериального шунта не уменьшают риск ВС. В це-</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лом частота ВС при цианотических пороках сердца у детей составляет 12%.</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Аритмии при отсутствии структурных изменений в сердце</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Аритмии, которые ассоциируются с ВС, наблюда</w:t>
        <w:softHyphen/>
        <w:t xml:space="preserve">ются при синдроме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син</w:t>
        <w:softHyphen/>
        <w:t>дроме Вольфа-Паркинсона-Уайта, врожденной пол</w:t>
        <w:softHyphen/>
        <w:t>ной атриовентрикулярной блокаде, синдроме Бруга- да. Обычно при этих состояниях отсутствуют струк</w:t>
        <w:softHyphen/>
        <w:t>турные изменения в сердце. При клиническом ос</w:t>
        <w:softHyphen/>
        <w:t>мотре какой-либо соматической патологии не выяв</w:t>
        <w:softHyphen/>
        <w:t>ляется, за исключением брадикардии при полной атриовентрикулярной блокаде или тахикардии во время тахиаритмий. Характерными клиническими проявлениями всех форм аритмий являются пре</w:t>
        <w:softHyphen/>
        <w:t>синкопе, синкопе, сердцебиения, слабость, боли в сердце.</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xml:space="preserve">При синдроме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в анамнезе имеются указания на случаи ВС или синкопальные атаки у членов семьи, на ЭКГ определяется удлинен</w:t>
        <w:softHyphen/>
        <w:t xml:space="preserve">ный интервал </w:t>
      </w:r>
      <w:r>
        <w:rPr>
          <w:lang w:val="en-US" w:eastAsia="en-US" w:bidi="en-US"/>
          <w:w w:val="100"/>
          <w:spacing w:val="0"/>
          <w:color w:val="000000"/>
          <w:position w:val="0"/>
        </w:rPr>
        <w:t xml:space="preserve">QT, </w:t>
      </w:r>
      <w:r>
        <w:rPr>
          <w:lang w:val="ru-RU" w:eastAsia="ru-RU" w:bidi="ru-RU"/>
          <w:w w:val="100"/>
          <w:spacing w:val="0"/>
          <w:color w:val="000000"/>
          <w:position w:val="0"/>
        </w:rPr>
        <w:t>во время приступа синкопе регист</w:t>
        <w:softHyphen/>
        <w:t xml:space="preserve">рируется желудочковая тахикардия типа </w:t>
      </w:r>
      <w:r>
        <w:rPr>
          <w:lang w:val="en-US" w:eastAsia="en-US" w:bidi="en-US"/>
          <w:w w:val="100"/>
          <w:spacing w:val="0"/>
          <w:color w:val="000000"/>
          <w:position w:val="0"/>
        </w:rPr>
        <w:t xml:space="preserve">torsade-des- pointes. </w:t>
      </w:r>
      <w:r>
        <w:rPr>
          <w:lang w:val="ru-RU" w:eastAsia="ru-RU" w:bidi="ru-RU"/>
          <w:w w:val="100"/>
          <w:spacing w:val="0"/>
          <w:color w:val="000000"/>
          <w:position w:val="0"/>
        </w:rPr>
        <w:t xml:space="preserve">Лечение больных с синдромом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бета-адреноблокаторами позволяет снизить риск ВС с 71 до 6%.</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ВС при врожденной полной атриовентрикулярной блокаде наблюдается в 2-3% случаев. В целом им</w:t>
        <w:softHyphen/>
        <w:t>плантация искусственного водителя ритма показана больным с частотой базального ритма менее 40-45 ударов в 1 мин, застойной сердечной недоста</w:t>
        <w:softHyphen/>
        <w:t>точностью или синкопальными атаками.</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Внезапная смерть у детей, оперированных по поводу врож</w:t>
        <w:softHyphen/>
        <w:t>денных пороков сердца</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Несмотря на то что хирургическое лечение детей с ВПС существенно улучшает выживаемость и сни</w:t>
        <w:softHyphen/>
        <w:t>жает смертность, риск ВС сохраняется прежним.</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Ряд исследователей отмечают, что риск ВС у таких больных связан с недостаточными гемодинамически</w:t>
        <w:softHyphen/>
        <w:t>ми результатами операции.</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Другими причинами высокого риска ВС являются ог</w:t>
        <w:softHyphen/>
        <w:t>раничение физической активности, дилатация серд</w:t>
        <w:softHyphen/>
        <w:t>ца и аритмии. Риск ВС у больных, подвергшихся по</w:t>
        <w:softHyphen/>
        <w:t>вторной операции, даже выше, чем у оперированных паллиативно или неоперированных. У таких больных развиваются летальные аритмии, предшествующие смерти.</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Частота ВС составляет около 4-10% случаев у опери</w:t>
        <w:softHyphen/>
        <w:t>рованных по поводу тетрады Фалло и 2-8% у опери</w:t>
        <w:softHyphen/>
        <w:t>рованных по поводу транспозиции магистральных сосудов.</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Профилактика внезапной смерти у детей</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Врач должен вовремя идентифицировать группу де</w:t>
        <w:softHyphen/>
        <w:t>тей, угрожаемых по ВС. К ним относятся дети, в се</w:t>
        <w:softHyphen/>
        <w:t>мейном анамнезе которых имелись случаи ВС, дети с болезнью Марфана, аритмиями, пролапсом мит</w:t>
        <w:softHyphen/>
        <w:t>рального клапана, гипертрофической кардиомиопа</w:t>
        <w:softHyphen/>
        <w:t xml:space="preserve">тией, удлиненным интервалом </w:t>
      </w:r>
      <w:r>
        <w:rPr>
          <w:lang w:val="en-US" w:eastAsia="en-US" w:bidi="en-US"/>
          <w:w w:val="100"/>
          <w:spacing w:val="0"/>
          <w:color w:val="000000"/>
          <w:position w:val="0"/>
        </w:rPr>
        <w:t xml:space="preserve">QT. </w:t>
      </w:r>
      <w:r>
        <w:rPr>
          <w:lang w:val="ru-RU" w:eastAsia="ru-RU" w:bidi="ru-RU"/>
          <w:w w:val="100"/>
          <w:spacing w:val="0"/>
          <w:color w:val="000000"/>
          <w:position w:val="0"/>
        </w:rPr>
        <w:t>В последующем эти дети должны пройти тщательное обследование, включающее пробу с дозированной физической на</w:t>
        <w:softHyphen/>
        <w:t>грузкой и 24-часовое электрокардиографическое мо- ниторирование.</w:t>
      </w:r>
    </w:p>
    <w:p>
      <w:pPr>
        <w:pStyle w:val="Style30"/>
        <w:numPr>
          <w:ilvl w:val="0"/>
          <w:numId w:val="183"/>
        </w:numPr>
        <w:tabs>
          <w:tab w:leader="none" w:pos="516" w:val="left"/>
        </w:tabs>
        <w:widowControl w:val="0"/>
        <w:keepNext w:val="0"/>
        <w:keepLines w:val="0"/>
        <w:shd w:val="clear" w:color="auto" w:fill="auto"/>
        <w:bidi w:val="0"/>
        <w:spacing w:before="0" w:after="0"/>
        <w:ind w:left="520" w:right="0" w:hanging="240"/>
        <w:sectPr>
          <w:headerReference w:type="even" r:id="rId1378"/>
          <w:headerReference w:type="default" r:id="rId1379"/>
          <w:headerReference w:type="first" r:id="rId1380"/>
          <w:titlePg/>
          <w:pgSz w:w="11900" w:h="16840"/>
          <w:pgMar w:top="1541" w:left="1072" w:right="940" w:bottom="1752" w:header="0" w:footer="3" w:gutter="0"/>
          <w:rtlGutter w:val="0"/>
          <w:cols w:num="2" w:space="145"/>
          <w:noEndnote/>
          <w:docGrid w:linePitch="360"/>
        </w:sectPr>
      </w:pPr>
      <w:r>
        <w:rPr>
          <w:lang w:val="ru-RU" w:eastAsia="ru-RU" w:bidi="ru-RU"/>
          <w:w w:val="100"/>
          <w:spacing w:val="0"/>
          <w:color w:val="000000"/>
          <w:position w:val="0"/>
        </w:rPr>
        <w:t>Физическая нагрузка должна быть строго контроли</w:t>
        <w:softHyphen/>
        <w:t>руема у больных с тяжелым аортальным стенозом, ги-</w:t>
      </w:r>
    </w:p>
    <w:p>
      <w:pPr>
        <w:widowControl w:val="0"/>
        <w:rPr>
          <w:sz w:val="2"/>
          <w:szCs w:val="2"/>
        </w:rPr>
      </w:pPr>
      <w:r>
        <w:pict>
          <v:shape id="_x0000_s1889" type="#_x0000_t202" style="position:static;width:595.pt;height:66.0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890" type="#_x0000_t75" style="position:absolute;margin-left:128.2pt;margin-top:0;width:209.75pt;height:14.9pt;z-index:-251658631;mso-wrap-distance-left:5.pt;mso-wrap-distance-right:5.pt;mso-position-horizontal-relative:margin" wrapcoords="0 0">
            <v:imagedata r:id="rId1381" r:href="rId1382"/>
            <w10:wrap anchorx="margin"/>
          </v:shape>
        </w:pict>
      </w:r>
    </w:p>
    <w:p>
      <w:pPr>
        <w:widowControl w:val="0"/>
        <w:rPr>
          <w:sz w:val="2"/>
          <w:szCs w:val="2"/>
        </w:rPr>
        <w:sectPr>
          <w:type w:val="continuous"/>
          <w:pgSz w:w="11900" w:h="16840"/>
          <w:pgMar w:top="1468" w:left="1124" w:right="894" w:bottom="192" w:header="0" w:footer="3" w:gutter="0"/>
          <w:rtlGutter w:val="0"/>
          <w:cols w:space="720"/>
          <w:noEndnote/>
          <w:docGrid w:linePitch="360"/>
        </w:sectPr>
      </w:pP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пертрофической кардиомиопатией, болезнью Мар- фана, синдромом удлиненного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у детей, оперированных по поводу тетрады Фалло и транспо</w:t>
        <w:softHyphen/>
        <w:t>зиции магистральных сосудов.</w:t>
      </w:r>
    </w:p>
    <w:p>
      <w:pPr>
        <w:pStyle w:val="Style30"/>
        <w:widowControl w:val="0"/>
        <w:keepNext w:val="0"/>
        <w:keepLines w:val="0"/>
        <w:shd w:val="clear" w:color="auto" w:fill="auto"/>
        <w:bidi w:val="0"/>
        <w:spacing w:before="0" w:after="0"/>
        <w:ind w:left="0" w:right="0" w:firstLine="0"/>
        <w:sectPr>
          <w:pgSz w:w="11900" w:h="16840"/>
          <w:pgMar w:top="1594" w:left="1383" w:right="1186" w:bottom="207" w:header="0" w:footer="3" w:gutter="0"/>
          <w:rtlGutter w:val="0"/>
          <w:cols w:num="2" w:space="664"/>
          <w:noEndnote/>
          <w:docGrid w:linePitch="360"/>
        </w:sectPr>
      </w:pPr>
      <w:r>
        <w:br w:type="column"/>
      </w:r>
      <w:r>
        <w:rPr>
          <w:lang w:val="ru-RU" w:eastAsia="ru-RU" w:bidi="ru-RU"/>
          <w:w w:val="100"/>
          <w:spacing w:val="0"/>
          <w:color w:val="000000"/>
          <w:position w:val="0"/>
        </w:rPr>
        <w:t>При идентификации аритмий должен быть решен во</w:t>
        <w:softHyphen/>
        <w:t>прос о противоаритмическом лечении (медикаментоз</w:t>
        <w:softHyphen/>
        <w:t>ном, хирургическом), в том числе при синдромах уд</w:t>
        <w:softHyphen/>
        <w:t xml:space="preserve">линенного интервала </w:t>
      </w:r>
      <w:r>
        <w:rPr>
          <w:lang w:val="en-US" w:eastAsia="en-US" w:bidi="en-US"/>
          <w:w w:val="100"/>
          <w:spacing w:val="0"/>
          <w:color w:val="000000"/>
          <w:position w:val="0"/>
        </w:rPr>
        <w:t xml:space="preserve">QT, </w:t>
      </w:r>
      <w:r>
        <w:rPr>
          <w:lang w:val="ru-RU" w:eastAsia="ru-RU" w:bidi="ru-RU"/>
          <w:w w:val="100"/>
          <w:spacing w:val="0"/>
          <w:color w:val="000000"/>
          <w:position w:val="0"/>
        </w:rPr>
        <w:t>Вольфа-Паркинсона-Уайта.</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84" w:after="84" w:line="240" w:lineRule="exact"/>
        <w:rPr>
          <w:sz w:val="19"/>
          <w:szCs w:val="19"/>
        </w:rPr>
      </w:pPr>
    </w:p>
    <w:p>
      <w:pPr>
        <w:widowControl w:val="0"/>
        <w:rPr>
          <w:sz w:val="2"/>
          <w:szCs w:val="2"/>
        </w:rPr>
        <w:sectPr>
          <w:type w:val="continuous"/>
          <w:pgSz w:w="11900" w:h="16840"/>
          <w:pgMar w:top="1473" w:left="0" w:right="0" w:bottom="192" w:header="0" w:footer="3" w:gutter="0"/>
          <w:rtlGutter w:val="0"/>
          <w:cols w:space="720"/>
          <w:noEndnote/>
          <w:docGrid w:linePitch="360"/>
        </w:sectPr>
      </w:pPr>
    </w:p>
    <w:p>
      <w:pPr>
        <w:widowControl w:val="0"/>
        <w:spacing w:line="645" w:lineRule="exact"/>
      </w:pPr>
      <w:r>
        <w:pict>
          <v:shape id="_x0000_s1891" type="#_x0000_t75" style="position:absolute;margin-left:147.85pt;margin-top:0;width:209.75pt;height:14.9pt;z-index:-251658630;mso-wrap-distance-left:5.pt;mso-wrap-distance-right:5.pt;mso-position-horizontal-relative:margin" wrapcoords="0 0">
            <v:imagedata r:id="rId1383" r:href="rId1384"/>
            <w10:wrap anchorx="margin"/>
          </v:shape>
        </w:pict>
      </w:r>
    </w:p>
    <w:p>
      <w:pPr>
        <w:widowControl w:val="0"/>
        <w:rPr>
          <w:sz w:val="2"/>
          <w:szCs w:val="2"/>
        </w:rPr>
        <w:sectPr>
          <w:type w:val="continuous"/>
          <w:pgSz w:w="11900" w:h="16840"/>
          <w:pgMar w:top="1473" w:left="898" w:right="1124" w:bottom="192" w:header="0" w:footer="3" w:gutter="0"/>
          <w:rtlGutter w:val="0"/>
          <w:cols w:space="720"/>
          <w:noEndnote/>
          <w:docGrid w:linePitch="360"/>
        </w:sectPr>
      </w:pPr>
    </w:p>
    <w:p>
      <w:pPr>
        <w:pStyle w:val="Style5"/>
        <w:widowControl w:val="0"/>
        <w:keepNext w:val="0"/>
        <w:keepLines w:val="0"/>
        <w:shd w:val="clear" w:color="auto" w:fill="auto"/>
        <w:bidi w:val="0"/>
        <w:jc w:val="left"/>
        <w:spacing w:before="0" w:after="0" w:line="648" w:lineRule="exact"/>
        <w:ind w:left="2060" w:right="0" w:firstLine="0"/>
      </w:pPr>
      <w:r>
        <w:rPr>
          <w:rStyle w:val="CharStyle144"/>
          <w:b/>
          <w:bCs/>
        </w:rPr>
        <w:t>Глава XIII</w:t>
      </w:r>
    </w:p>
    <w:p>
      <w:pPr>
        <w:pStyle w:val="Style15"/>
        <w:widowControl w:val="0"/>
        <w:keepNext/>
        <w:keepLines/>
        <w:shd w:val="clear" w:color="auto" w:fill="auto"/>
        <w:bidi w:val="0"/>
        <w:jc w:val="left"/>
        <w:spacing w:before="0" w:after="0" w:line="648" w:lineRule="exact"/>
        <w:ind w:left="2060" w:right="0" w:firstLine="0"/>
        <w:sectPr>
          <w:headerReference w:type="even" r:id="rId1385"/>
          <w:headerReference w:type="default" r:id="rId1386"/>
          <w:headerReference w:type="first" r:id="rId1387"/>
          <w:pgSz w:w="11900" w:h="16840"/>
          <w:pgMar w:top="1829" w:left="1373" w:right="893" w:bottom="207" w:header="0" w:footer="3" w:gutter="0"/>
          <w:rtlGutter w:val="0"/>
          <w:cols w:space="720"/>
          <w:noEndnote/>
          <w:docGrid w:linePitch="360"/>
        </w:sectPr>
      </w:pPr>
      <w:bookmarkStart w:id="843" w:name="bookmark843"/>
      <w:r>
        <w:rPr>
          <w:rStyle w:val="CharStyle145"/>
          <w:b/>
          <w:bCs/>
        </w:rPr>
        <w:t>СЕРДЕЧНАЯ НЕДОСТАТОЧНОСТЬ</w:t>
      </w:r>
      <w:bookmarkEnd w:id="843"/>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118" w:after="118" w:line="240" w:lineRule="exact"/>
        <w:rPr>
          <w:sz w:val="19"/>
          <w:szCs w:val="19"/>
        </w:rPr>
      </w:pPr>
    </w:p>
    <w:p>
      <w:pPr>
        <w:widowControl w:val="0"/>
        <w:rPr>
          <w:sz w:val="2"/>
          <w:szCs w:val="2"/>
        </w:rPr>
        <w:sectPr>
          <w:type w:val="continuous"/>
          <w:pgSz w:w="11900" w:h="16840"/>
          <w:pgMar w:top="1559" w:left="0" w:right="0" w:bottom="1732" w:header="0" w:footer="3" w:gutter="0"/>
          <w:rtlGutter w:val="0"/>
          <w:cols w:space="720"/>
          <w:noEndnote/>
          <w:docGrid w:linePitch="360"/>
        </w:sectPr>
      </w:pPr>
    </w:p>
    <w:p>
      <w:pPr>
        <w:widowControl w:val="0"/>
        <w:rPr>
          <w:sz w:val="2"/>
          <w:szCs w:val="2"/>
        </w:rPr>
      </w:pPr>
      <w:r>
        <w:pict>
          <v:shape id="_x0000_s1894" type="#_x0000_t75" style="position:absolute;margin-left:142.35pt;margin-top:608.9pt;width:209.75pt;height:14.9pt;z-index:-125828754;mso-wrap-distance-left:124.1pt;mso-wrap-distance-right:148.1pt;mso-wrap-distance-bottom:10.8pt;mso-position-horizontal-relative:margin" wrapcoords="0 0 21600 0 21600 21600 0 21600 0 0">
            <v:imagedata r:id="rId1388" r:href="rId1389"/>
            <w10:wrap type="topAndBottom" anchorx="margin"/>
          </v:shape>
        </w:pict>
      </w:r>
    </w:p>
    <w:p>
      <w:pPr>
        <w:pStyle w:val="Style30"/>
        <w:numPr>
          <w:ilvl w:val="0"/>
          <w:numId w:val="18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заболевании сердца главным показателем, опре</w:t>
        <w:softHyphen/>
        <w:t>деляющим его исход, является сердечная недостаточ</w:t>
        <w:softHyphen/>
        <w:t>ность. Актуальность этой проблемы в педиатрии обусловлена рядом факторов, в первую очередь воз</w:t>
        <w:softHyphen/>
        <w:t>растающим числом органических заболеваний серд</w:t>
        <w:softHyphen/>
        <w:t>ца у детей, сопровождающихся декомпенсацией кро</w:t>
        <w:softHyphen/>
        <w:t>вообращения. Немаловажными являются особеннос</w:t>
        <w:softHyphen/>
        <w:t>ти сердечно-сосудистой системы в детском возрасте на этапе физиологического становления, что приво</w:t>
        <w:softHyphen/>
        <w:t>дит к наиболее тяжелым срывам адаптации.</w:t>
      </w:r>
    </w:p>
    <w:p>
      <w:pPr>
        <w:pStyle w:val="Style30"/>
        <w:numPr>
          <w:ilvl w:val="0"/>
          <w:numId w:val="18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Наконец, рациональное лечение сердечной недоста</w:t>
        <w:softHyphen/>
        <w:t>точности у детей имеет свои особенности, которые необходимо учитывать при проведении патогенети</w:t>
        <w:softHyphen/>
        <w:t>ческой и симптоматической терапии.</w:t>
      </w:r>
    </w:p>
    <w:p>
      <w:pPr>
        <w:pStyle w:val="Style30"/>
        <w:numPr>
          <w:ilvl w:val="0"/>
          <w:numId w:val="18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детском возрасте сердечная недостаточность всегда рассматривается как крайне грозное осложнение за</w:t>
        <w:softHyphen/>
        <w:t>болевания сердца. Вместе с тем она сопровождает не только болезни сердца, но и инфекционные заболе</w:t>
        <w:softHyphen/>
        <w:t>вания, болезни органов дыхания, сосудистые анома</w:t>
        <w:softHyphen/>
        <w:t>лии и другие патологические состояния, поскольку сердечно-сосудистая система участвует во всех адап</w:t>
        <w:softHyphen/>
        <w:t>тационно-компенсаторных процессах и является их универсальным регулятором.</w:t>
      </w:r>
    </w:p>
    <w:p>
      <w:pPr>
        <w:pStyle w:val="Style30"/>
        <w:numPr>
          <w:ilvl w:val="0"/>
          <w:numId w:val="18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последние десятилетия наши знания об этиологии, механизмах развития и лечении сердечной недоста</w:t>
        <w:softHyphen/>
        <w:t>точности значительно расширились и углубились. Современное понимание сущности сердечной недо</w:t>
        <w:softHyphen/>
        <w:t>статочности способствует повышению качества ее диагностики и эффективности лечения.</w:t>
      </w:r>
    </w:p>
    <w:p>
      <w:pPr>
        <w:pStyle w:val="Style30"/>
        <w:numPr>
          <w:ilvl w:val="0"/>
          <w:numId w:val="18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Под сердечной недостаточностью понимают состоя</w:t>
        <w:softHyphen/>
        <w:t>ние, при котором сердце не способно перевести веноз</w:t>
        <w:softHyphen/>
        <w:t>ный приток в адекватный сердечный выброс. Это мо</w:t>
        <w:softHyphen/>
        <w:t>жет происходить или ввиду повреждения сердечной мышцы, или в силу чрезмерной нагрузки на миокард.</w:t>
      </w:r>
    </w:p>
    <w:p>
      <w:pPr>
        <w:pStyle w:val="Style30"/>
        <w:numPr>
          <w:ilvl w:val="0"/>
          <w:numId w:val="18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В некоторых определениях сердечной недостаточно</w:t>
        <w:softHyphen/>
        <w:t>сти выделяется основное патофизиологическое нару</w:t>
        <w:softHyphen/>
        <w:t>шение при этом синдроме — состояние, при котором сердце не способно обеспечить кровообращение, не</w:t>
        <w:softHyphen/>
        <w:t>обходимое для удовлетворения потребностей орга</w:t>
        <w:softHyphen/>
        <w:t>низма, несмотря на достаточное давление наполне</w:t>
        <w:softHyphen/>
        <w:t>ния желудочков кровью, или патологическое состоя</w:t>
        <w:softHyphen/>
        <w:t>ние, при котором дисфункция миокарда приводит к неспособности сердца перекачивать кровь со ско</w:t>
        <w:softHyphen/>
        <w:t>ростью, необходимой для удовлетворения метаболи</w:t>
        <w:softHyphen/>
        <w:t>ческих потребностей тканей.</w:t>
      </w:r>
    </w:p>
    <w:p>
      <w:pPr>
        <w:pStyle w:val="Style30"/>
        <w:numPr>
          <w:ilvl w:val="0"/>
          <w:numId w:val="183"/>
        </w:numPr>
        <w:tabs>
          <w:tab w:leader="none" w:pos="240"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Следует отметить, что ни одно из предложенных тол</w:t>
        <w:softHyphen/>
        <w:t>кований не является вполне адекватным. При сердеч</w:t>
        <w:softHyphen/>
        <w:t>ной недостаточности включаются ряд компенсатор</w:t>
        <w:softHyphen/>
        <w:t>ных механизмов, таких как активация ренин-ангио- тензин-альдостероновой системы и симпатической</w:t>
      </w:r>
    </w:p>
    <w:p>
      <w:pPr>
        <w:pStyle w:val="Style30"/>
        <w:widowControl w:val="0"/>
        <w:keepNext w:val="0"/>
        <w:keepLines w:val="0"/>
        <w:shd w:val="clear" w:color="auto" w:fill="auto"/>
        <w:bidi w:val="0"/>
        <w:spacing w:before="0" w:after="0"/>
        <w:ind w:left="520" w:right="0" w:firstLine="0"/>
      </w:pPr>
      <w:r>
        <w:br w:type="column"/>
      </w:r>
      <w:r>
        <w:rPr>
          <w:lang w:val="ru-RU" w:eastAsia="ru-RU" w:bidi="ru-RU"/>
          <w:w w:val="100"/>
          <w:spacing w:val="0"/>
          <w:color w:val="000000"/>
          <w:position w:val="0"/>
        </w:rPr>
        <w:t>нервной системы, направленная на поддержание на</w:t>
        <w:softHyphen/>
        <w:t>рушенной функции сердечной мышцы, но вместе с тем влияющая и на другие органы и системы орга</w:t>
        <w:softHyphen/>
        <w:t>низма.</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 Согласно современным представлениям нейрогумо</w:t>
        <w:softHyphen/>
        <w:t>ральной концепции патогенеза, основная роль в раз</w:t>
        <w:softHyphen/>
        <w:t>витии сердечной недостаточности отводится симпа- тико -адреналовой, ренин-ангиотензин-альдостеро - новой системам и противостоящей им системе пред</w:t>
        <w:softHyphen/>
        <w:t>сердного натрийуретического фактора. Модулирова</w:t>
        <w:softHyphen/>
        <w:t>ние активности этих и других систем, участвующих в патогенезе сердечной недостаточности, на цирку</w:t>
        <w:softHyphen/>
        <w:t>лирующем, тканевом и клеточном уровнях может привести к дальнейшему улучшению прогноза и ка</w:t>
        <w:softHyphen/>
        <w:t>чества жизни пациентов с этой тяжелой патологией.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целом звеньями патогенеза сердечной недостаточнос</w:t>
        <w:softHyphen/>
        <w:t>ти являются:</w:t>
      </w:r>
    </w:p>
    <w:p>
      <w:pPr>
        <w:pStyle w:val="Style30"/>
        <w:numPr>
          <w:ilvl w:val="0"/>
          <w:numId w:val="18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снижение сердечного выброса;</w:t>
      </w:r>
    </w:p>
    <w:p>
      <w:pPr>
        <w:pStyle w:val="Style30"/>
        <w:numPr>
          <w:ilvl w:val="0"/>
          <w:numId w:val="18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дилатация сердца;</w:t>
      </w:r>
    </w:p>
    <w:p>
      <w:pPr>
        <w:pStyle w:val="Style30"/>
        <w:numPr>
          <w:ilvl w:val="0"/>
          <w:numId w:val="18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перегрузка малого круга кровообращения;</w:t>
      </w:r>
    </w:p>
    <w:p>
      <w:pPr>
        <w:pStyle w:val="Style30"/>
        <w:numPr>
          <w:ilvl w:val="0"/>
          <w:numId w:val="18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снижение перфузии органов и тканей;</w:t>
      </w:r>
    </w:p>
    <w:p>
      <w:pPr>
        <w:pStyle w:val="Style30"/>
        <w:numPr>
          <w:ilvl w:val="0"/>
          <w:numId w:val="18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активация симпатико-адреналовой системы;</w:t>
      </w:r>
    </w:p>
    <w:p>
      <w:pPr>
        <w:pStyle w:val="Style30"/>
        <w:numPr>
          <w:ilvl w:val="0"/>
          <w:numId w:val="18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образование отеков;</w:t>
      </w:r>
    </w:p>
    <w:p>
      <w:pPr>
        <w:pStyle w:val="Style30"/>
        <w:numPr>
          <w:ilvl w:val="0"/>
          <w:numId w:val="18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увеличение ОЦК;</w:t>
      </w:r>
    </w:p>
    <w:p>
      <w:pPr>
        <w:pStyle w:val="Style30"/>
        <w:numPr>
          <w:ilvl w:val="0"/>
          <w:numId w:val="18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увеличение продукции;</w:t>
      </w:r>
    </w:p>
    <w:p>
      <w:pPr>
        <w:pStyle w:val="Style30"/>
        <w:numPr>
          <w:ilvl w:val="0"/>
          <w:numId w:val="18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АДГ (вазопрессина);</w:t>
      </w:r>
    </w:p>
    <w:p>
      <w:pPr>
        <w:pStyle w:val="Style30"/>
        <w:numPr>
          <w:ilvl w:val="0"/>
          <w:numId w:val="18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активация ренин-ангиотензин-альдостероновой сис</w:t>
        <w:softHyphen/>
        <w:t>темы;</w:t>
      </w:r>
    </w:p>
    <w:p>
      <w:pPr>
        <w:pStyle w:val="Style30"/>
        <w:numPr>
          <w:ilvl w:val="0"/>
          <w:numId w:val="18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задержка воды;</w:t>
      </w:r>
    </w:p>
    <w:p>
      <w:pPr>
        <w:pStyle w:val="Style30"/>
        <w:numPr>
          <w:ilvl w:val="0"/>
          <w:numId w:val="18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задержка натрия;</w:t>
      </w:r>
    </w:p>
    <w:p>
      <w:pPr>
        <w:pStyle w:val="Style30"/>
        <w:numPr>
          <w:ilvl w:val="0"/>
          <w:numId w:val="185"/>
        </w:numPr>
        <w:tabs>
          <w:tab w:leader="none" w:pos="514" w:val="left"/>
        </w:tabs>
        <w:widowControl w:val="0"/>
        <w:keepNext w:val="0"/>
        <w:keepLines w:val="0"/>
        <w:shd w:val="clear" w:color="auto" w:fill="auto"/>
        <w:bidi w:val="0"/>
        <w:spacing w:before="0" w:after="180"/>
        <w:ind w:left="520" w:right="0" w:hanging="240"/>
      </w:pPr>
      <w:r>
        <w:rPr>
          <w:lang w:val="ru-RU" w:eastAsia="ru-RU" w:bidi="ru-RU"/>
          <w:w w:val="100"/>
          <w:spacing w:val="0"/>
          <w:color w:val="000000"/>
          <w:position w:val="0"/>
        </w:rPr>
        <w:t>включение почечного звена сердечной недостаточно</w:t>
        <w:softHyphen/>
        <w:t>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Как только стало возможным измерение плазматичес</w:t>
        <w:softHyphen/>
        <w:t>ких концентраций ренина и альдостерона, было отмечено, что при сердечной недостаточности эти концентрации уве</w:t>
        <w:softHyphen/>
        <w:t>личиваются. Затем было показано, что данное увеличение имеется всегда, когда сердечная недостаточность находится на стадии задержки в организме жидкости и натрия; что оно с трудом поддается обнаружению на начальных стади</w:t>
        <w:softHyphen/>
        <w:t>ях и введение диуретиков, в частности диуретиков петли Генле, вызывает резкое увеличение концентраций всех био - логических параметров данной системы.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Длительная чрезмерная гиперактивация ренин-ангио- тензин-альдостероновой системы приводит:</w:t>
      </w:r>
    </w:p>
    <w:p>
      <w:pPr>
        <w:pStyle w:val="Style30"/>
        <w:numPr>
          <w:ilvl w:val="0"/>
          <w:numId w:val="185"/>
        </w:numPr>
        <w:tabs>
          <w:tab w:leader="none" w:pos="514"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 потенцированию активности других нейро-гормо- нальных систем, таких как симпатико-адреналовой, эндотелина, также играющих важную роль в развитии апоптоза и некроза, клеточного роста и ремоделиро</w:t>
        <w:softHyphen/>
        <w:t>вания;</w:t>
      </w:r>
      <w:r>
        <w:br w:type="page"/>
      </w:r>
    </w:p>
    <w:p>
      <w:pPr>
        <w:pStyle w:val="Style30"/>
        <w:numPr>
          <w:ilvl w:val="0"/>
          <w:numId w:val="185"/>
        </w:numPr>
        <w:tabs>
          <w:tab w:leader="none" w:pos="518" w:val="left"/>
        </w:tabs>
        <w:widowControl w:val="0"/>
        <w:keepNext w:val="0"/>
        <w:keepLines w:val="0"/>
        <w:shd w:val="clear" w:color="auto" w:fill="auto"/>
        <w:bidi w:val="0"/>
        <w:spacing w:before="0" w:after="0"/>
        <w:ind w:left="520" w:right="0" w:hanging="240"/>
      </w:pPr>
      <w:r>
        <w:pict>
          <v:shape id="_x0000_s1895" type="#_x0000_t202" style="position:absolute;margin-left:0.95pt;margin-top:25.7pt;width:495.35pt;height:120.5pt;z-index:-125828753;mso-wrap-distance-left:5.pt;mso-wrap-distance-right:5.pt;mso-position-horizontal-relative:margin;mso-position-vertical-relative:margin" filled="f" stroked="f">
            <v:textbox style="mso-fit-shape-to-text:t" inset="0,0,0,0">
              <w:txbxContent>
                <w:tbl>
                  <w:tblPr>
                    <w:tblOverlap w:val="never"/>
                    <w:tblLayout w:type="fixed"/>
                    <w:jc w:val="left"/>
                  </w:tblPr>
                  <w:tblGrid>
                    <w:gridCol w:w="730"/>
                    <w:gridCol w:w="4853"/>
                    <w:gridCol w:w="4325"/>
                  </w:tblGrid>
                  <w:tr>
                    <w:trPr>
                      <w:trHeight w:val="240" w:hRule="exact"/>
                    </w:trPr>
                    <w:tc>
                      <w:tcPr>
                        <w:shd w:val="clear" w:color="auto" w:fill="FFFFFF"/>
                        <w:vMerge w:val="restart"/>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Степень</w:t>
                        </w:r>
                      </w:p>
                    </w:tc>
                    <w:tc>
                      <w:tcPr>
                        <w:shd w:val="clear" w:color="auto" w:fill="FFFFFF"/>
                        <w:gridSpan w:val="2"/>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Недостаточность кровообращения</w:t>
                        </w:r>
                      </w:p>
                    </w:tc>
                  </w:tr>
                  <w:tr>
                    <w:trPr>
                      <w:trHeight w:val="240" w:hRule="exact"/>
                    </w:trPr>
                    <w:tc>
                      <w:tcPr>
                        <w:shd w:val="clear" w:color="auto" w:fill="FFFFFF"/>
                        <w:vMerge/>
                        <w:tcBorders>
                          <w:left w:val="single" w:sz="4"/>
                        </w:tcBorders>
                        <w:vAlign w:val="top"/>
                      </w:tcPr>
                      <w:p>
                        <w:pP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Левожелудочковая</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Правожелудочковая</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I</w:t>
                        </w:r>
                      </w:p>
                    </w:tc>
                    <w:tc>
                      <w:tcPr>
                        <w:shd w:val="clear" w:color="auto" w:fill="FFFFFF"/>
                        <w:gridSpan w:val="2"/>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Признаки недостаточности кровообращения в покое отсутствуют и появляются после нагрузки в виде тахикардии или одышки</w:t>
                        </w:r>
                      </w:p>
                    </w:tc>
                  </w:tr>
                  <w:tr>
                    <w:trPr>
                      <w:trHeight w:val="446"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ПА</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ЧСС увеличена на 15-30% от нормы ЧД увеличена на 30-50% от нормы</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Печень выступает на 2-3 см из-под края реберной дуги</w:t>
                        </w:r>
                      </w:p>
                    </w:tc>
                  </w:tr>
                  <w:tr>
                    <w:trPr>
                      <w:trHeight w:val="619"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ПБ</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ЧСС увеличена на 30-50% от нормы</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ЧД увеличена на 50-70% от нормы</w:t>
                        </w:r>
                      </w:p>
                      <w:p>
                        <w:pPr>
                          <w:pStyle w:val="Style30"/>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Возможны влажные хрипы в легких, влажный кашель</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Печень выступает на 3-5 см из-под края реберной дуги Пастозность тканей Набухание яремных вен</w:t>
                        </w:r>
                      </w:p>
                    </w:tc>
                  </w:tr>
                  <w:tr>
                    <w:trPr>
                      <w:trHeight w:val="629"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III</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ЧСС увеличена на 50-60% от нормы ЧД увеличена на 70-100% от нормы Клиника предотека легких</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Гепатомегалия Отечный синдром</w:t>
                        </w:r>
                      </w:p>
                    </w:tc>
                  </w:tr>
                </w:tbl>
              </w:txbxContent>
            </v:textbox>
            <w10:wrap type="topAndBottom" anchorx="margin" anchory="margin"/>
          </v:shape>
        </w:pict>
      </w:r>
      <w:r>
        <w:pict>
          <v:shape id="_x0000_s1896" type="#_x0000_t202" style="position:absolute;margin-left:127.65pt;margin-top:10.55pt;width:242.15pt;height:11.9pt;z-index:-125828752;mso-wrap-distance-left:5.pt;mso-wrap-distance-right:5.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Степень и признаки недостаточности кровообращения у детей</w:t>
                  </w:r>
                </w:p>
              </w:txbxContent>
            </v:textbox>
            <w10:wrap type="topAndBottom" anchorx="margin" anchory="margin"/>
          </v:shape>
        </w:pict>
      </w:r>
      <w:r>
        <w:pict>
          <v:shape id="_x0000_s1897" type="#_x0000_t202" style="position:absolute;margin-left:451.45pt;margin-top:0;width:44.4pt;height:11.65pt;z-index:-125828751;mso-wrap-distance-left:5.pt;mso-wrap-distance-right:5.pt;mso-position-horizontal-relative:margin;mso-position-vertical-relative:margin" filled="f" stroked="f">
            <v:textbox style="mso-fit-shape-to-text:t" inset="0,0,0,0">
              <w:txbxContent>
                <w:p>
                  <w:pPr>
                    <w:pStyle w:val="Style139"/>
                    <w:widowControl w:val="0"/>
                    <w:keepNext w:val="0"/>
                    <w:keepLines w:val="0"/>
                    <w:shd w:val="clear" w:color="auto" w:fill="auto"/>
                    <w:bidi w:val="0"/>
                    <w:jc w:val="left"/>
                    <w:spacing w:before="0" w:after="0" w:line="180" w:lineRule="exact"/>
                    <w:ind w:left="0" w:right="0" w:firstLine="0"/>
                  </w:pPr>
                  <w:r>
                    <w:rPr>
                      <w:rStyle w:val="CharStyle143"/>
                      <w:b/>
                      <w:bCs/>
                      <w:i/>
                      <w:iCs/>
                    </w:rPr>
                    <w:t>Таблица 41</w:t>
                  </w:r>
                </w:p>
              </w:txbxContent>
            </v:textbox>
            <w10:wrap type="topAndBottom" anchorx="margin" anchory="margin"/>
          </v:shape>
        </w:pict>
      </w:r>
      <w:r>
        <w:pict>
          <v:shape id="_x0000_s1898" type="#_x0000_t202" style="position:absolute;margin-left:13.9pt;margin-top:155.75pt;width:230.15pt;height:12.pt;z-index:-125828750;mso-wrap-distance-left:5.pt;mso-wrap-distance-right:5.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180"/>
                    </w:rPr>
                    <w:t>Примечание:</w:t>
                  </w:r>
                  <w:r>
                    <w:rPr>
                      <w:rStyle w:val="CharStyle97"/>
                    </w:rPr>
                    <w:t xml:space="preserve"> ЧСС — частота сердечных сокращений, ЧД</w:t>
                  </w:r>
                </w:p>
              </w:txbxContent>
            </v:textbox>
            <w10:wrap type="topAndBottom" anchorx="margin" anchory="margin"/>
          </v:shape>
        </w:pict>
      </w:r>
      <w:r>
        <w:pict>
          <v:shape id="_x0000_s1899" type="#_x0000_t202" style="position:absolute;margin-left:253.9pt;margin-top:155.75pt;width:71.05pt;height:11.9pt;z-index:-125828749;mso-wrap-distance-left:5.pt;mso-wrap-distance-right:5.pt;mso-position-horizontal-relative:margin;mso-position-vertic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частота дыхания.</w:t>
                  </w:r>
                </w:p>
              </w:txbxContent>
            </v:textbox>
            <w10:wrap type="topAndBottom" anchorx="margin" anchory="margin"/>
          </v:shape>
        </w:pict>
      </w:r>
      <w:r>
        <w:rPr>
          <w:lang w:val="ru-RU" w:eastAsia="ru-RU" w:bidi="ru-RU"/>
          <w:w w:val="100"/>
          <w:spacing w:val="0"/>
          <w:color w:val="000000"/>
          <w:position w:val="0"/>
        </w:rPr>
        <w:t>к эффектам, ведущим к ишемии почек, увеличению задержки натрия и воды и формированию отечного синдрома;</w:t>
      </w:r>
    </w:p>
    <w:p>
      <w:pPr>
        <w:pStyle w:val="Style30"/>
        <w:numPr>
          <w:ilvl w:val="0"/>
          <w:numId w:val="18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 коронарной и системной вазоконстрикции, прово</w:t>
        <w:softHyphen/>
        <w:t>цирующей увеличение нагрузки на сердце и потреб</w:t>
        <w:softHyphen/>
        <w:t>ности миокарда в кислороде. В комбинации с задерж</w:t>
        <w:softHyphen/>
        <w:t>кой жидкости это ведет к гемодинамической пере</w:t>
        <w:softHyphen/>
        <w:t>грузке и перерастяжению стенки миокарда, что слу</w:t>
        <w:softHyphen/>
        <w:t>жит пусковым моментом к развитию апоптоза и ре</w:t>
        <w:softHyphen/>
        <w:t>моделированию;</w:t>
      </w:r>
    </w:p>
    <w:p>
      <w:pPr>
        <w:pStyle w:val="Style30"/>
        <w:numPr>
          <w:ilvl w:val="0"/>
          <w:numId w:val="185"/>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к непосредственному токсическому повреждающему действию А</w:t>
      </w:r>
      <w:r>
        <w:rPr>
          <w:lang w:val="en-US" w:eastAsia="en-US" w:bidi="en-US"/>
          <w:w w:val="100"/>
          <w:spacing w:val="0"/>
          <w:color w:val="000000"/>
          <w:position w:val="0"/>
        </w:rPr>
        <w:t xml:space="preserve">-II </w:t>
      </w:r>
      <w:r>
        <w:rPr>
          <w:lang w:val="ru-RU" w:eastAsia="ru-RU" w:bidi="ru-RU"/>
          <w:w w:val="100"/>
          <w:spacing w:val="0"/>
          <w:color w:val="000000"/>
          <w:position w:val="0"/>
        </w:rPr>
        <w:t>на кардиомиоциты, вызывающему их дисфункцию и некроз.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Таким образом, сердечная недостаточность — понятие синдромное. Оно включает в себя состояние миокарда предсердий, желудочков, сосудов, динамичность и эффек</w:t>
        <w:softHyphen/>
        <w:t>тивность взаимоотношений регулирующих систем, уровень функционирования всех органов, их зрелость и др.</w:t>
      </w:r>
    </w:p>
    <w:p>
      <w:pPr>
        <w:pStyle w:val="Style30"/>
        <w:numPr>
          <w:ilvl w:val="0"/>
          <w:numId w:val="18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Причины сердечной недостаточности в педиатрии следующие: врожденные пороки сердца, фиброэлас- тоз и эластофиброз эндомиокарда, инфекционные эндокардиты, приобретенные пороки сердца, кардио</w:t>
        <w:softHyphen/>
        <w:t>миопатии, миокардиты, сложные нарушения сердеч</w:t>
        <w:softHyphen/>
        <w:t>ного ритма. Большую этиологическую группу форми</w:t>
        <w:softHyphen/>
        <w:t>руют экстракардиальные причины: патология брон</w:t>
        <w:softHyphen/>
        <w:t>холегочной системы, заболевания печени, почек.</w:t>
      </w:r>
    </w:p>
    <w:p>
      <w:pPr>
        <w:pStyle w:val="Style30"/>
        <w:numPr>
          <w:ilvl w:val="0"/>
          <w:numId w:val="18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Сердечная недостаточность у детей может иметь до</w:t>
        <w:softHyphen/>
        <w:t>статочно широкий спектр клинических проявлений, однако наиболее часто она проявляется одышкой, та</w:t>
        <w:softHyphen/>
        <w:t>хикардией, повышенной утомляемостью, ограниче</w:t>
        <w:softHyphen/>
        <w:t>нием физической активности и избыточной задерж</w:t>
        <w:softHyphen/>
        <w:t>кой жидкости в организме.</w:t>
      </w:r>
    </w:p>
    <w:p>
      <w:pPr>
        <w:pStyle w:val="Style30"/>
        <w:numPr>
          <w:ilvl w:val="0"/>
          <w:numId w:val="183"/>
        </w:numPr>
        <w:tabs>
          <w:tab w:leader="none" w:pos="518"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Не секрет, что даже во взрослой кардиологии вопро</w:t>
        <w:softHyphen/>
        <w:t>сы классификации хронической сердечной недоста</w:t>
        <w:softHyphen/>
        <w:t>точности дискутируются по настоящее время. Следуя рекомендациям созданного недавно общества специ</w:t>
        <w:softHyphen/>
        <w:t>алистов по сердечной недостаточности по унифика</w:t>
        <w:softHyphen/>
        <w:t>ции вопросов диагностики, классификации и лече</w:t>
        <w:softHyphen/>
        <w:t>ния хронической сердечной недостаточности, мы, чтобы не путаться в терминах, условно принимаем за постулат идентичность понятий сердечной недоста</w:t>
        <w:softHyphen/>
        <w:t>точности и недостаточности кровообращения.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педиатрии наиболее широко используется классифи</w:t>
        <w:softHyphen/>
        <w:t>кация, предложенная Н.Д. Стражеско, В.Х. Василенко,</w:t>
      </w:r>
    </w:p>
    <w:p>
      <w:pPr>
        <w:pStyle w:val="Style30"/>
        <w:widowControl w:val="0"/>
        <w:keepNext w:val="0"/>
        <w:keepLines w:val="0"/>
        <w:shd w:val="clear" w:color="auto" w:fill="auto"/>
        <w:bidi w:val="0"/>
        <w:spacing w:before="0" w:after="0"/>
        <w:ind w:left="0" w:right="0" w:firstLine="0"/>
      </w:pPr>
      <w:r>
        <w:br w:type="column"/>
      </w:r>
      <w:r>
        <w:rPr>
          <w:lang w:val="ru-RU" w:eastAsia="ru-RU" w:bidi="ru-RU"/>
          <w:w w:val="100"/>
          <w:spacing w:val="0"/>
          <w:color w:val="000000"/>
          <w:position w:val="0"/>
        </w:rPr>
        <w:t>ГФ. Ланга в модификации Н.А. Белоконь. Степень и при</w:t>
        <w:softHyphen/>
        <w:t>знаки недостаточности кровообращения представлены в табл. 41.</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Классификация сердечной недостаточности (Н.М. Му- харлямов):</w:t>
      </w:r>
    </w:p>
    <w:p>
      <w:pPr>
        <w:pStyle w:val="Style30"/>
        <w:numPr>
          <w:ilvl w:val="0"/>
          <w:numId w:val="187"/>
        </w:numPr>
        <w:tabs>
          <w:tab w:leader="none" w:pos="60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 происхождению:</w:t>
      </w:r>
    </w:p>
    <w:p>
      <w:pPr>
        <w:pStyle w:val="Style30"/>
        <w:numPr>
          <w:ilvl w:val="0"/>
          <w:numId w:val="189"/>
        </w:numPr>
        <w:tabs>
          <w:tab w:leader="none" w:pos="56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перегрузка давлением;</w:t>
      </w:r>
    </w:p>
    <w:p>
      <w:pPr>
        <w:pStyle w:val="Style30"/>
        <w:numPr>
          <w:ilvl w:val="0"/>
          <w:numId w:val="189"/>
        </w:numPr>
        <w:tabs>
          <w:tab w:leader="none" w:pos="58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перегрузка объемом;</w:t>
      </w:r>
    </w:p>
    <w:p>
      <w:pPr>
        <w:pStyle w:val="Style30"/>
        <w:numPr>
          <w:ilvl w:val="0"/>
          <w:numId w:val="189"/>
        </w:numPr>
        <w:tabs>
          <w:tab w:leader="none" w:pos="561" w:val="left"/>
        </w:tabs>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первично-миокардиальная (метаболическая) недоста</w:t>
        <w:softHyphen/>
        <w:t>точность.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Б. По сердечному циклу:</w:t>
      </w:r>
    </w:p>
    <w:p>
      <w:pPr>
        <w:pStyle w:val="Style30"/>
        <w:numPr>
          <w:ilvl w:val="0"/>
          <w:numId w:val="191"/>
        </w:numPr>
        <w:tabs>
          <w:tab w:leader="none" w:pos="56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систолическая недостаточность;</w:t>
      </w:r>
    </w:p>
    <w:p>
      <w:pPr>
        <w:pStyle w:val="Style30"/>
        <w:numPr>
          <w:ilvl w:val="0"/>
          <w:numId w:val="191"/>
        </w:numPr>
        <w:tabs>
          <w:tab w:leader="none" w:pos="58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диастолическая недостаточность;</w:t>
      </w:r>
    </w:p>
    <w:p>
      <w:pPr>
        <w:pStyle w:val="Style30"/>
        <w:numPr>
          <w:ilvl w:val="0"/>
          <w:numId w:val="191"/>
        </w:numPr>
        <w:tabs>
          <w:tab w:leader="none" w:pos="586" w:val="left"/>
        </w:tabs>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смешанная недостаточность.</w:t>
      </w:r>
    </w:p>
    <w:p>
      <w:pPr>
        <w:pStyle w:val="Style30"/>
        <w:numPr>
          <w:ilvl w:val="0"/>
          <w:numId w:val="187"/>
        </w:numPr>
        <w:tabs>
          <w:tab w:leader="none" w:pos="60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варианты:</w:t>
      </w:r>
    </w:p>
    <w:p>
      <w:pPr>
        <w:pStyle w:val="Style30"/>
        <w:numPr>
          <w:ilvl w:val="0"/>
          <w:numId w:val="193"/>
        </w:numPr>
        <w:tabs>
          <w:tab w:leader="none" w:pos="56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преимущественно левожелудочковая;</w:t>
      </w:r>
    </w:p>
    <w:p>
      <w:pPr>
        <w:pStyle w:val="Style30"/>
        <w:numPr>
          <w:ilvl w:val="0"/>
          <w:numId w:val="193"/>
        </w:numPr>
        <w:tabs>
          <w:tab w:leader="none" w:pos="58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преимущественно правожелудочковая;</w:t>
      </w:r>
    </w:p>
    <w:p>
      <w:pPr>
        <w:pStyle w:val="Style30"/>
        <w:numPr>
          <w:ilvl w:val="0"/>
          <w:numId w:val="193"/>
        </w:numPr>
        <w:tabs>
          <w:tab w:leader="none" w:pos="58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тотальная;</w:t>
      </w:r>
    </w:p>
    <w:p>
      <w:pPr>
        <w:pStyle w:val="Style30"/>
        <w:numPr>
          <w:ilvl w:val="0"/>
          <w:numId w:val="193"/>
        </w:numPr>
        <w:tabs>
          <w:tab w:leader="none" w:pos="59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гиперкинетическая;</w:t>
      </w:r>
    </w:p>
    <w:p>
      <w:pPr>
        <w:pStyle w:val="Style30"/>
        <w:numPr>
          <w:ilvl w:val="0"/>
          <w:numId w:val="193"/>
        </w:numPr>
        <w:tabs>
          <w:tab w:leader="none" w:pos="59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коллаптоидная;</w:t>
      </w:r>
    </w:p>
    <w:p>
      <w:pPr>
        <w:pStyle w:val="Style30"/>
        <w:numPr>
          <w:ilvl w:val="0"/>
          <w:numId w:val="193"/>
        </w:numPr>
        <w:tabs>
          <w:tab w:leader="none" w:pos="591"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сокращенный синусовый ритм;</w:t>
      </w:r>
    </w:p>
    <w:p>
      <w:pPr>
        <w:pStyle w:val="Style30"/>
        <w:numPr>
          <w:ilvl w:val="0"/>
          <w:numId w:val="193"/>
        </w:numPr>
        <w:tabs>
          <w:tab w:leader="none" w:pos="591" w:val="left"/>
        </w:tabs>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брадикардия.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 По стадиям:</w:t>
      </w:r>
    </w:p>
    <w:p>
      <w:pPr>
        <w:pStyle w:val="Style30"/>
        <w:numPr>
          <w:ilvl w:val="0"/>
          <w:numId w:val="195"/>
        </w:numPr>
        <w:tabs>
          <w:tab w:leader="none" w:pos="505"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период А, период Б;</w:t>
      </w:r>
    </w:p>
    <w:p>
      <w:pPr>
        <w:pStyle w:val="Style30"/>
        <w:numPr>
          <w:ilvl w:val="0"/>
          <w:numId w:val="195"/>
        </w:numPr>
        <w:tabs>
          <w:tab w:leader="none" w:pos="57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период А, период Б;</w:t>
      </w:r>
    </w:p>
    <w:p>
      <w:pPr>
        <w:pStyle w:val="Style30"/>
        <w:numPr>
          <w:ilvl w:val="0"/>
          <w:numId w:val="195"/>
        </w:numPr>
        <w:tabs>
          <w:tab w:leader="none" w:pos="634" w:val="left"/>
        </w:tabs>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 период А, период Б.</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Периоды Б соответствуют I и III стадиям НК по класси</w:t>
        <w:softHyphen/>
        <w:t>фикации Н.Д. Стражеско и В.Х. Василенко. В период А ста</w:t>
        <w:softHyphen/>
        <w:t>дии I жалоб у больных нет, при физической нагрузке воз</w:t>
        <w:softHyphen/>
        <w:t>можно небольшое повышение конечного диастолического давления в левом желудочке и давления в малом круге кро</w:t>
        <w:softHyphen/>
        <w:t>вообращения, уменьшение фракции выброса на 10%. При эхокардиографическом исследовании отмечается не</w:t>
        <w:softHyphen/>
        <w:t>значительное снижение скорости укорочения волокон миокарда. Это ранняя, доклиническая стадия.</w:t>
      </w:r>
    </w:p>
    <w:p>
      <w:pPr>
        <w:pStyle w:val="Style30"/>
        <w:widowControl w:val="0"/>
        <w:keepNext w:val="0"/>
        <w:keepLines w:val="0"/>
        <w:shd w:val="clear" w:color="auto" w:fill="auto"/>
        <w:bidi w:val="0"/>
        <w:spacing w:before="0" w:after="0"/>
        <w:ind w:left="0" w:right="0" w:firstLine="280"/>
      </w:pPr>
      <w:r>
        <w:pict>
          <v:shape id="_x0000_s1900" type="#_x0000_t75" style="position:absolute;margin-left:148.55pt;margin-top:736.55pt;width:209.75pt;height:14.9pt;z-index:-125828748;mso-wrap-distance-left:147.85pt;mso-wrap-distance-right:136.55pt;mso-wrap-distance-bottom:10.8pt;mso-position-horizontal-relative:margin;mso-position-vertical-relative:margin" wrapcoords="0 0 21600 0 21600 21600 0 21600 0 0">
            <v:imagedata r:id="rId1390" r:href="rId1391"/>
            <w10:wrap type="topAndBottom" anchorx="margin" anchory="margin"/>
          </v:shape>
        </w:pict>
      </w:r>
      <w:r>
        <w:rPr>
          <w:lang w:val="ru-RU" w:eastAsia="ru-RU" w:bidi="ru-RU"/>
          <w:w w:val="100"/>
          <w:spacing w:val="0"/>
          <w:color w:val="000000"/>
          <w:position w:val="0"/>
        </w:rPr>
        <w:t xml:space="preserve">Выделение периода А </w:t>
      </w:r>
      <w:r>
        <w:rPr>
          <w:lang w:val="en-US" w:eastAsia="en-US" w:bidi="en-US"/>
          <w:w w:val="100"/>
          <w:spacing w:val="0"/>
          <w:color w:val="000000"/>
          <w:position w:val="0"/>
        </w:rPr>
        <w:t xml:space="preserve">I </w:t>
      </w:r>
      <w:r>
        <w:rPr>
          <w:lang w:val="ru-RU" w:eastAsia="ru-RU" w:bidi="ru-RU"/>
          <w:w w:val="100"/>
          <w:spacing w:val="0"/>
          <w:color w:val="000000"/>
          <w:position w:val="0"/>
        </w:rPr>
        <w:t>стадии имеет важное значение с точки зрения ранней диагностики сердечной недостаточ</w:t>
        <w:softHyphen/>
        <w:t>ности и назначения профилактических мер. Особое значе</w:t>
        <w:softHyphen/>
        <w:t>ние оно приобретает в настоящее время в связи с использо-</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ванием различных современных методов исследования и нагрузочных проб, позволяющих выявлять начальные признаки нарушения сократительной функции миокарда еще до появления тех признаков, которые свойственны для I стадии недостаточности кровообращения по классифика</w:t>
        <w:softHyphen/>
        <w:t>ции Стражеско-Василенко. Таким образом, речь идет о пе</w:t>
        <w:softHyphen/>
        <w:t>риоде сердечной недостаточности, который может быть выявлен с помощью инструментальных методов и исполь</w:t>
        <w:softHyphen/>
        <w:t>зования различных функциональных проб и физической нагрузки («инструментально» выявляемый ранний период сердечной недостаточности).</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Период А стадии III проявляется выраженными застой</w:t>
        <w:softHyphen/>
        <w:t>ными явлениями в большом и малом круге кровообраще</w:t>
        <w:softHyphen/>
        <w:t>ния, низким сердечным выбросом, значительной дилата</w:t>
        <w:softHyphen/>
        <w:t>цией полостей сердца. Выделение двух периодов в III ста</w:t>
        <w:softHyphen/>
        <w:t>дии диктуется значительным прогрессом в лечении боль</w:t>
        <w:softHyphen/>
        <w:t>ных сердечной недостаточностью. Согласно классифика</w:t>
        <w:softHyphen/>
        <w:t>ции Стражеско-Василенко и Ланга эта стадия является не</w:t>
        <w:softHyphen/>
        <w:t>обратимой и не поддающейся практически лечению; она и была названа конечной, дистрофической. Однако с мо</w:t>
        <w:softHyphen/>
        <w:t>мента принятия указанной классификации прошло более полувека, за это время произошел существенный прогресс во всех направлениях изучения сердечной недостаточнос</w:t>
        <w:softHyphen/>
        <w:t>ти, включая лечение. Применение современных сердечных гликозидов, диуретиков, периферических вазодилататоров, антиаритмических средств в корне изменило как качество лечения таких больных, так и прогноз. Многие больные с III стадией сердечной недостаточности, казавшиеся ранее безнадежными, «выходят» из этого критического и тяжело</w:t>
        <w:softHyphen/>
        <w:t>го состояния благодаря применению этих препаратов и раз</w:t>
        <w:softHyphen/>
        <w:t>работанным схемам лечения рефрактерной сердечной не</w:t>
        <w:softHyphen/>
        <w:t>достаточности. Однако есть больные, для которых приме</w:t>
        <w:softHyphen/>
        <w:t>нение всех современных способов лечения оказывается не</w:t>
        <w:softHyphen/>
        <w:t>эффективным; это и есть конечная, необратимая стадия, обозначаемая как III стадия с периодом Б.</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Клинические проявления сердечной недостаточности включают следующие симптомы:</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Тахикардия.</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Венозный застой:</w:t>
      </w:r>
    </w:p>
    <w:p>
      <w:pPr>
        <w:pStyle w:val="Style30"/>
        <w:numPr>
          <w:ilvl w:val="0"/>
          <w:numId w:val="185"/>
        </w:numPr>
        <w:tabs>
          <w:tab w:leader="none" w:pos="75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 правожелудочковой недостаточности — с ге- патомегалией, асцитом, плевральным выпотом, эдемой, выбуханием яремных вен;</w:t>
      </w:r>
    </w:p>
    <w:p>
      <w:pPr>
        <w:pStyle w:val="Style30"/>
        <w:numPr>
          <w:ilvl w:val="0"/>
          <w:numId w:val="185"/>
        </w:numPr>
        <w:tabs>
          <w:tab w:leader="none" w:pos="75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при левожелудочковой недостаточности — с та- хипноэ, отеком легких, вынужденным положени</w:t>
        <w:softHyphen/>
        <w:t>ем.</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Низкий сердечный выброс обусловливает:</w:t>
      </w:r>
    </w:p>
    <w:p>
      <w:pPr>
        <w:pStyle w:val="Style30"/>
        <w:numPr>
          <w:ilvl w:val="0"/>
          <w:numId w:val="185"/>
        </w:numPr>
        <w:tabs>
          <w:tab w:leader="none" w:pos="75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слабость;</w:t>
      </w:r>
    </w:p>
    <w:p>
      <w:pPr>
        <w:pStyle w:val="Style30"/>
        <w:numPr>
          <w:ilvl w:val="0"/>
          <w:numId w:val="185"/>
        </w:numPr>
        <w:tabs>
          <w:tab w:leader="none" w:pos="75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утомляемость;</w:t>
      </w:r>
    </w:p>
    <w:p>
      <w:pPr>
        <w:pStyle w:val="Style30"/>
        <w:numPr>
          <w:ilvl w:val="0"/>
          <w:numId w:val="185"/>
        </w:numPr>
        <w:tabs>
          <w:tab w:leader="none" w:pos="75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одышку;</w:t>
      </w:r>
    </w:p>
    <w:p>
      <w:pPr>
        <w:pStyle w:val="Style30"/>
        <w:numPr>
          <w:ilvl w:val="0"/>
          <w:numId w:val="185"/>
        </w:numPr>
        <w:tabs>
          <w:tab w:leader="none" w:pos="75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холодные конечности;</w:t>
      </w:r>
    </w:p>
    <w:p>
      <w:pPr>
        <w:pStyle w:val="Style30"/>
        <w:numPr>
          <w:ilvl w:val="0"/>
          <w:numId w:val="185"/>
        </w:numPr>
        <w:tabs>
          <w:tab w:leader="none" w:pos="75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низкие показатели физического развития;</w:t>
      </w:r>
    </w:p>
    <w:p>
      <w:pPr>
        <w:pStyle w:val="Style30"/>
        <w:numPr>
          <w:ilvl w:val="0"/>
          <w:numId w:val="185"/>
        </w:numPr>
        <w:tabs>
          <w:tab w:leader="none" w:pos="750" w:val="left"/>
        </w:tabs>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тошноту;</w:t>
      </w:r>
    </w:p>
    <w:p>
      <w:pPr>
        <w:pStyle w:val="Style30"/>
        <w:widowControl w:val="0"/>
        <w:keepNext w:val="0"/>
        <w:keepLines w:val="0"/>
        <w:shd w:val="clear" w:color="auto" w:fill="auto"/>
        <w:bidi w:val="0"/>
        <w:spacing w:before="0" w:after="0"/>
        <w:ind w:left="740" w:right="0" w:hanging="220"/>
      </w:pPr>
      <w:r>
        <w:rPr>
          <w:lang w:val="ru-RU" w:eastAsia="ru-RU" w:bidi="ru-RU"/>
          <w:w w:val="100"/>
          <w:spacing w:val="0"/>
          <w:color w:val="000000"/>
          <w:position w:val="0"/>
        </w:rPr>
        <w:t>• обморочные состояния.</w:t>
      </w:r>
    </w:p>
    <w:p>
      <w:pPr>
        <w:pStyle w:val="Style30"/>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Одышка</w:t>
      </w:r>
    </w:p>
    <w:p>
      <w:pPr>
        <w:pStyle w:val="Style30"/>
        <w:numPr>
          <w:ilvl w:val="0"/>
          <w:numId w:val="183"/>
        </w:numPr>
        <w:tabs>
          <w:tab w:leader="none" w:pos="519"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Наиболее частое и раннее проявление сердечной не</w:t>
        <w:softHyphen/>
        <w:t>достаточности, как правило, левожелудочковой. При осмотре больных обращает на себя внимание учащенное поверхностное дыхание с участием вспо</w:t>
        <w:softHyphen/>
        <w:t>могательной мускулатуры. Перкуторно определяются снижение нижней границы легких на 1-2 ребра, огра</w:t>
        <w:softHyphen/>
        <w:t>ничение подвижности края легких, притупленно -</w:t>
      </w:r>
    </w:p>
    <w:p>
      <w:pPr>
        <w:pStyle w:val="Style30"/>
        <w:widowControl w:val="0"/>
        <w:keepNext w:val="0"/>
        <w:keepLines w:val="0"/>
        <w:shd w:val="clear" w:color="auto" w:fill="auto"/>
        <w:bidi w:val="0"/>
        <w:spacing w:before="0" w:after="0"/>
        <w:ind w:left="260" w:right="0" w:firstLine="0"/>
      </w:pPr>
      <w:r>
        <w:br w:type="column"/>
      </w:r>
      <w:r>
        <w:rPr>
          <w:lang w:val="ru-RU" w:eastAsia="ru-RU" w:bidi="ru-RU"/>
          <w:w w:val="100"/>
          <w:spacing w:val="0"/>
          <w:color w:val="000000"/>
          <w:position w:val="0"/>
        </w:rPr>
        <w:t>тимпанический оттенок перкуторного звука над ниж</w:t>
        <w:softHyphen/>
        <w:t>ними их отделами. Частым спутником одышки быва</w:t>
        <w:softHyphen/>
        <w:t>ет кашель, вызываемый рефлекторно от застойных бронхов, реже — связанный с расширением левого предсердия. В мокроте иногда находят «клетки сер</w:t>
        <w:softHyphen/>
        <w:t>дечного порока».</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Умеренная одышка, возникающая в начальной ста</w:t>
        <w:softHyphen/>
        <w:t>дии недостаточности при физической нагрузке, в дальнейшем нарастает и становится постоянной. В появлении одышки играют роль многие, часто вза</w:t>
        <w:softHyphen/>
        <w:t>имосвязанные факторы, значение которых не одина</w:t>
        <w:softHyphen/>
        <w:t>ково при различных заболеваниях сердца. Застой в сосудах малого круга нарушает функцию внешнего дыхания, что ведет к накоплению в крови молочной кислоты и углекислого газа и изменению рН крови. Дыхательный центр реагирует на гиперкапнию и аци</w:t>
        <w:softHyphen/>
        <w:t>доз учащением и углублением дыхания, а на гипо</w:t>
        <w:softHyphen/>
        <w:t>ксию — только учащением. В возникновении одыш</w:t>
        <w:softHyphen/>
        <w:t>ки играют также роль уменьшение жизненной емкос</w:t>
        <w:softHyphen/>
        <w:t>ти легких, увеличение их ригидности, повышение внутриплеврального давления, уменьшение перифе</w:t>
        <w:softHyphen/>
        <w:t>рического кровотока с нарушением теплоотдачи.</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Для тяжелых форм хронической сердечной недоста</w:t>
        <w:softHyphen/>
        <w:t>точности характерны ночные приступы удушья — сердечная астма.</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Цианоз</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Цианоз кожи, слизистых оболочек выражен сначала больше на периферии (руки, ноги, мочки ушей), где скорость кровотока особенно снижена.</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 замедлении тока крови в расширенных капилля - рах и венулах происходит усиление утилизации кис</w:t>
        <w:softHyphen/>
        <w:t>лорода и повышение содержания в крови восстанов</w:t>
        <w:softHyphen/>
        <w:t>ленного гемоглобина.</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Причиной появления цианоза служит и недостаточ</w:t>
        <w:softHyphen/>
        <w:t>ная артериализация крови в легочных капиллярах.</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Для сердечной недостаточности характерен «холод</w:t>
        <w:softHyphen/>
        <w:t>ный» цианоз (в отличие от «теплого» цианоза при за</w:t>
        <w:softHyphen/>
        <w:t>болеваниях легких).</w:t>
      </w:r>
    </w:p>
    <w:p>
      <w:pPr>
        <w:pStyle w:val="Style30"/>
        <w:widowControl w:val="0"/>
        <w:keepNext w:val="0"/>
        <w:keepLines w:val="0"/>
        <w:shd w:val="clear" w:color="auto" w:fill="auto"/>
        <w:bidi w:val="0"/>
        <w:spacing w:before="0" w:after="0"/>
        <w:ind w:left="260" w:right="0"/>
      </w:pPr>
      <w:r>
        <w:rPr>
          <w:lang w:val="ru-RU" w:eastAsia="ru-RU" w:bidi="ru-RU"/>
          <w:w w:val="100"/>
          <w:spacing w:val="0"/>
          <w:color w:val="000000"/>
          <w:position w:val="0"/>
        </w:rPr>
        <w:t>Отеки</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Отеки — избыточное накопление в организме вне</w:t>
        <w:softHyphen/>
        <w:t>клеточной жидкости и натрия, один из характерных признаков хронической сердечной недостаточности.</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На ранних стадиях могут наблюдаться так называе</w:t>
        <w:softHyphen/>
        <w:t>мые скрытые отеки, так как задержка в организме до 5 литров жидкости может протекать внешне незамет</w:t>
        <w:softHyphen/>
        <w:t>но.</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Сначала отеки появляются на ногах, у лежачего боль</w:t>
        <w:softHyphen/>
        <w:t>ного — на пояснице, затем становятся распростра</w:t>
        <w:softHyphen/>
        <w:t>ненными (анасарка).</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rPr>
          <w:lang w:val="ru-RU" w:eastAsia="ru-RU" w:bidi="ru-RU"/>
          <w:w w:val="100"/>
          <w:spacing w:val="0"/>
          <w:color w:val="000000"/>
          <w:position w:val="0"/>
        </w:rPr>
        <w:t>Особенно они выражены на конечностях, половых органах, стенках живота, пояснице. Отечная жид</w:t>
        <w:softHyphen/>
        <w:t>кость — транссудат — скапливается также и в серо</w:t>
        <w:softHyphen/>
        <w:t>зных полостях.</w:t>
      </w:r>
    </w:p>
    <w:p>
      <w:pPr>
        <w:pStyle w:val="Style30"/>
        <w:numPr>
          <w:ilvl w:val="0"/>
          <w:numId w:val="183"/>
        </w:numPr>
        <w:tabs>
          <w:tab w:leader="none" w:pos="237" w:val="left"/>
        </w:tabs>
        <w:widowControl w:val="0"/>
        <w:keepNext w:val="0"/>
        <w:keepLines w:val="0"/>
        <w:shd w:val="clear" w:color="auto" w:fill="auto"/>
        <w:bidi w:val="0"/>
        <w:spacing w:before="0" w:after="0"/>
        <w:ind w:left="260" w:right="0"/>
      </w:pPr>
      <w:r>
        <w:pict>
          <v:shape id="_x0000_s1901" type="#_x0000_t75" style="position:absolute;margin-left:137.3pt;margin-top:736.55pt;width:209.75pt;height:14.9pt;z-index:-125828747;mso-wrap-distance-left:136.8pt;mso-wrap-distance-right:148.1pt;mso-wrap-distance-bottom:10.8pt;mso-position-horizontal-relative:margin;mso-position-vertical-relative:margin" wrapcoords="0 0 21600 0 21600 21600 0 21600 0 0">
            <v:imagedata r:id="rId1392" r:href="rId1393"/>
            <w10:wrap type="topAndBottom" anchorx="margin" anchory="margin"/>
          </v:shape>
        </w:pict>
      </w:r>
      <w:r>
        <w:rPr>
          <w:lang w:val="ru-RU" w:eastAsia="ru-RU" w:bidi="ru-RU"/>
          <w:w w:val="100"/>
          <w:spacing w:val="0"/>
          <w:color w:val="000000"/>
          <w:position w:val="0"/>
        </w:rPr>
        <w:t>Отеки, обусловленные преимущественно правожелу</w:t>
        <w:softHyphen/>
        <w:t>дочковой недостаточностью и венозным застоем, по</w:t>
        <w:softHyphen/>
        <w:t>являются позже: увеличивается печень, они обшир</w:t>
        <w:softHyphen/>
        <w:t>ны, плотны на ощупь, кожа над ними истончена, ци- анотична, с трофическими изменениями. Отеки мо</w:t>
        <w:softHyphen/>
        <w:t>гут быть и при снижении сократимости левого желу</w:t>
        <w:softHyphen/>
        <w:t>дочка, в этом случае они появляются раньше, чем ве</w:t>
        <w:softHyphen/>
        <w:t>нозный стаз, невелики, мягки, смещаемы, располо</w:t>
        <w:softHyphen/>
        <w:t>жены на удаленных от сердца участках тела, кожа над</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ними бледная. Подобные отеки при правожелудочко</w:t>
        <w:softHyphen/>
        <w:t>вой недостаточности являются следствием гипоксе- мических нарушений, повышения проницаемости стенок капилляров в результате замедления кровото</w:t>
        <w:softHyphen/>
        <w:t>ка.</w:t>
      </w:r>
    </w:p>
    <w:p>
      <w:pPr>
        <w:pStyle w:val="Style30"/>
        <w:numPr>
          <w:ilvl w:val="0"/>
          <w:numId w:val="18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Причины возникновения отеков весьма многообраз</w:t>
        <w:softHyphen/>
        <w:t>ны. При ХНК участвуют несколько механизмов, дей</w:t>
        <w:softHyphen/>
        <w:t>ствующих на различных уровнях и приводящих к за</w:t>
        <w:softHyphen/>
        <w:t>держке натрия и воды в организме.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Отек легких</w:t>
      </w:r>
    </w:p>
    <w:p>
      <w:pPr>
        <w:pStyle w:val="Style30"/>
        <w:numPr>
          <w:ilvl w:val="0"/>
          <w:numId w:val="18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Отек легких — клинический синдром, в основе воз</w:t>
        <w:softHyphen/>
        <w:t>никновения которого лежит повышенная гидратация ткани легких, обусловливающая снижение их функ</w:t>
        <w:softHyphen/>
        <w:t>циональной способности.</w:t>
      </w:r>
    </w:p>
    <w:p>
      <w:pPr>
        <w:pStyle w:val="Style30"/>
        <w:numPr>
          <w:ilvl w:val="0"/>
          <w:numId w:val="18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Чаще всего развитие отека легких является проявле</w:t>
        <w:softHyphen/>
        <w:t>нием острой недостаточности кровообращения у больных ишемической болезнью сердца, пороками сердца, чаще при поражениях митрального и аорталь</w:t>
        <w:softHyphen/>
        <w:t>ного клапанов, артериальной гипертонией различно</w:t>
        <w:softHyphen/>
        <w:t>го генеза, острым инфарктом миокарда.</w:t>
      </w:r>
    </w:p>
    <w:p>
      <w:pPr>
        <w:pStyle w:val="Style30"/>
        <w:numPr>
          <w:ilvl w:val="0"/>
          <w:numId w:val="18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Отек легких осложняет течение острого (тромбоэм</w:t>
        <w:softHyphen/>
        <w:t>болия легочной артерии и ее ветвей) и хронического «легочного сердца».</w:t>
      </w:r>
    </w:p>
    <w:p>
      <w:pPr>
        <w:pStyle w:val="Style30"/>
        <w:numPr>
          <w:ilvl w:val="0"/>
          <w:numId w:val="18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качестве провоцирующего фактора, непосред</w:t>
        <w:softHyphen/>
        <w:t>ственного толчка к развитию отека легких может слу</w:t>
        <w:softHyphen/>
        <w:t>жить чрезмерная физическая нагрузка, эмоциональ</w:t>
        <w:softHyphen/>
        <w:t>ное напряжение.</w:t>
      </w:r>
    </w:p>
    <w:p>
      <w:pPr>
        <w:pStyle w:val="Style30"/>
        <w:numPr>
          <w:ilvl w:val="0"/>
          <w:numId w:val="183"/>
        </w:numPr>
        <w:tabs>
          <w:tab w:leader="none" w:pos="518"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Обычно отек легких развивается ночью. Больной просыпается от чувства резкой нехватки воздуха — удушья и сразу же принимает вынужденное положе</w:t>
        <w:softHyphen/>
        <w:t>ние, садится в кровати. При более сильном приступе больной опускает на пол ноги и для облегчения акта дыхания опирается руками о край кровати. Характер</w:t>
        <w:softHyphen/>
        <w:t>но желание подойти к открытому окну, чтобы «поды</w:t>
        <w:softHyphen/>
        <w:t>шать свежим воздухом». Во время приступа сердеч</w:t>
        <w:softHyphen/>
        <w:t>ной астмы дыхание обычно учащается до 30 в минуту и более. Выдох нередко становится удлиненным. Ли</w:t>
        <w:softHyphen/>
        <w:t>цо больного бледное, иногда с серовато-синюшным оттенком. Лицо, верхняя часть туловища и шея по</w:t>
        <w:softHyphen/>
        <w:t>крыты испариной и крупными каплями пота. Харак</w:t>
        <w:softHyphen/>
        <w:t>терен цианоз слизистых оболочек, выраженный циа</w:t>
        <w:softHyphen/>
        <w:t>ноз ногтей. Больной испытывает страх смерти, что отражается в мимике и поведении больного: на лице напряжение и испуг, человек как бы сосредоточенно прислушивается к тому, что происходит в его орга</w:t>
        <w:softHyphen/>
        <w:t>низме. Больному трудно говорить и он лишь кратко, а часто только с помощью кивков головы отвечает на вопросы, ни на что не отвлекается, целиком отдав</w:t>
        <w:softHyphen/>
        <w:t>шись тяжелейшей борьбе за воздух.</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Нарушения сердечного ритма обычно включают развитие полной атриовентрикулярной блокады, суправентрикуляр</w:t>
        <w:softHyphen/>
        <w:t>ную тахикардию, желудочковую тахикардию, синдром сла</w:t>
        <w:softHyphen/>
        <w:t>бости синусового узла.</w:t>
      </w:r>
    </w:p>
    <w:p>
      <w:pPr>
        <w:pStyle w:val="Style92"/>
        <w:widowControl w:val="0"/>
        <w:keepNext/>
        <w:keepLines/>
        <w:shd w:val="clear" w:color="auto" w:fill="auto"/>
        <w:bidi w:val="0"/>
        <w:spacing w:before="0" w:after="0"/>
        <w:ind w:left="0" w:right="0" w:firstLine="280"/>
      </w:pPr>
      <w:bookmarkStart w:id="844" w:name="bookmark844"/>
      <w:r>
        <w:rPr>
          <w:lang w:val="ru-RU" w:eastAsia="ru-RU" w:bidi="ru-RU"/>
          <w:w w:val="100"/>
          <w:spacing w:val="0"/>
          <w:color w:val="000000"/>
          <w:position w:val="0"/>
        </w:rPr>
        <w:t>Лечение сердечной недостаточности</w:t>
      </w:r>
      <w:bookmarkEnd w:id="844"/>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сердечной недостаточности имеет перед собой следующие цели:</w:t>
      </w:r>
    </w:p>
    <w:p>
      <w:pPr>
        <w:pStyle w:val="Style30"/>
        <w:numPr>
          <w:ilvl w:val="0"/>
          <w:numId w:val="18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Повышение насыщения крови кислородом.</w:t>
      </w:r>
    </w:p>
    <w:p>
      <w:pPr>
        <w:pStyle w:val="Style30"/>
        <w:numPr>
          <w:ilvl w:val="0"/>
          <w:numId w:val="18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Снижение потребления кислорода тканями.</w:t>
      </w:r>
    </w:p>
    <w:p>
      <w:pPr>
        <w:pStyle w:val="Style30"/>
        <w:numPr>
          <w:ilvl w:val="0"/>
          <w:numId w:val="18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Коррекция метаболических нарушений.</w:t>
      </w:r>
    </w:p>
    <w:p>
      <w:pPr>
        <w:pStyle w:val="Style30"/>
        <w:numPr>
          <w:ilvl w:val="0"/>
          <w:numId w:val="18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Восстановление водно-солевого баланса.</w:t>
      </w:r>
    </w:p>
    <w:p>
      <w:pPr>
        <w:pStyle w:val="Style30"/>
        <w:numPr>
          <w:ilvl w:val="0"/>
          <w:numId w:val="183"/>
        </w:numPr>
        <w:tabs>
          <w:tab w:leader="none" w:pos="518"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Улучшение сократительной функции миокарда.</w:t>
      </w:r>
    </w:p>
    <w:p>
      <w:pPr>
        <w:pStyle w:val="Style30"/>
        <w:widowControl w:val="0"/>
        <w:keepNext w:val="0"/>
        <w:keepLines w:val="0"/>
        <w:shd w:val="clear" w:color="auto" w:fill="auto"/>
        <w:bidi w:val="0"/>
        <w:spacing w:before="0" w:after="0"/>
        <w:ind w:left="0" w:right="0" w:firstLine="300"/>
      </w:pPr>
      <w:r>
        <w:br w:type="column"/>
      </w:r>
      <w:r>
        <w:rPr>
          <w:lang w:val="ru-RU" w:eastAsia="ru-RU" w:bidi="ru-RU"/>
          <w:w w:val="100"/>
          <w:spacing w:val="0"/>
          <w:color w:val="000000"/>
          <w:position w:val="0"/>
        </w:rPr>
        <w:t>Насыщение крови кислородом может быть быстро по</w:t>
        <w:softHyphen/>
        <w:t>вышено путем подачи пациенту увлажненного кислорода. Причем наличие цианоза вовсе не является единственным критерием для такого назначения: врач должен ориентиро</w:t>
        <w:softHyphen/>
        <w:t>ваться прежде всего на газовый состав крови. Однако необ</w:t>
        <w:softHyphen/>
        <w:t>ходимо помнить, что новорожденным с открытым артери</w:t>
        <w:softHyphen/>
        <w:t>альным протоком, атрезией аорты, коарктацией или пере</w:t>
        <w:softHyphen/>
        <w:t>рывом дуги аорты кислород лучше не назначать или назна</w:t>
        <w:softHyphen/>
        <w:t>чать с большой осторожностью, т.к. высокое парциальное давление кислорода в артериальной крови может вызывать артериальную вазоконстрикцию.</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Снизить потребление кислорода тканями можно не</w:t>
        <w:softHyphen/>
        <w:t>сколькими путями: лечением текущего инфекционного процесса, снижением температуры тела (в случае, если она повышена), уменьшением работы дыхания, снятием психо - эмоционального возбуждения, а также, в особо тяжелых случаях, переводом ребенка на искусственную вентиляцию легких. Для новорожденных детей комфортными считают</w:t>
        <w:softHyphen/>
        <w:t>ся такие условия, при которых температура кожи живота составляет 36-37°С. Положение в кровати должно быть с приподнятым головным концом (это снижает работу ды</w:t>
        <w:softHyphen/>
        <w:t>хания), у более старших детей можно использовать полуси</w:t>
        <w:softHyphen/>
        <w:t>дячее положение. При сильно выраженном психоэмоцио</w:t>
        <w:softHyphen/>
        <w:t>нальном напряжении используют</w:t>
      </w:r>
      <w:r>
        <w:rPr>
          <w:rStyle w:val="CharStyle103"/>
        </w:rPr>
        <w:t>реланиум</w:t>
      </w:r>
      <w:r>
        <w:rPr>
          <w:lang w:val="ru-RU" w:eastAsia="ru-RU" w:bidi="ru-RU"/>
          <w:w w:val="100"/>
          <w:spacing w:val="0"/>
          <w:color w:val="000000"/>
          <w:position w:val="0"/>
        </w:rPr>
        <w:t xml:space="preserve"> 5-10 мг или </w:t>
      </w:r>
      <w:r>
        <w:rPr>
          <w:rStyle w:val="CharStyle103"/>
        </w:rPr>
        <w:t>хло</w:t>
        <w:softHyphen/>
        <w:t>ралгидрат</w:t>
      </w:r>
      <w:r>
        <w:rPr>
          <w:lang w:val="ru-RU" w:eastAsia="ru-RU" w:bidi="ru-RU"/>
          <w:w w:val="100"/>
          <w:spacing w:val="0"/>
          <w:color w:val="000000"/>
          <w:position w:val="0"/>
        </w:rPr>
        <w:t xml:space="preserve"> в клизме 0,05-0,2 г на прием в зависимости от возраста. Детям старше 2-х лет может быть назначен </w:t>
      </w:r>
      <w:r>
        <w:rPr>
          <w:rStyle w:val="CharStyle103"/>
        </w:rPr>
        <w:t xml:space="preserve">проме- дол </w:t>
      </w:r>
      <w:r>
        <w:rPr>
          <w:rStyle w:val="CharStyle103"/>
          <w:lang w:val="en-US" w:eastAsia="en-US" w:bidi="en-US"/>
        </w:rPr>
        <w:t xml:space="preserve">(Promedolum, </w:t>
      </w:r>
      <w:r>
        <w:rPr>
          <w:rStyle w:val="CharStyle103"/>
        </w:rPr>
        <w:t xml:space="preserve">син. </w:t>
      </w:r>
      <w:r>
        <w:rPr>
          <w:rStyle w:val="CharStyle103"/>
          <w:lang w:val="en-US" w:eastAsia="en-US" w:bidi="en-US"/>
        </w:rPr>
        <w:t>Trimetpridine Hydrochloride)</w:t>
      </w:r>
      <w:r>
        <w:rPr>
          <w:lang w:val="en-US" w:eastAsia="en-US" w:bidi="en-US"/>
          <w:w w:val="100"/>
          <w:spacing w:val="0"/>
          <w:color w:val="000000"/>
          <w:position w:val="0"/>
        </w:rPr>
        <w:t xml:space="preserve"> </w:t>
      </w:r>
      <w:r>
        <w:rPr>
          <w:lang w:val="ru-RU" w:eastAsia="ru-RU" w:bidi="ru-RU"/>
          <w:w w:val="100"/>
          <w:spacing w:val="0"/>
          <w:color w:val="000000"/>
          <w:position w:val="0"/>
        </w:rPr>
        <w:t>в дозе 0,003-0,01 г на прием. Этот препарат также эффективен при наличии отека легких, однако при его назначении необхо</w:t>
        <w:softHyphen/>
        <w:t>дим постоянный контроль дыхания. У больных в крайне тя</w:t>
        <w:softHyphen/>
        <w:t>желом состоянии проводится интубация трахеи и перевод на искусственную вентиляцию.</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Большинство детей с сердечной недостаточностью имеют метаболические нарушения, требующие коррекции. Чаще всего наблюдается гипогликемия в связи со снижением по</w:t>
        <w:softHyphen/>
        <w:t>ступления глюкозы и повышением ее потребления тканями. Коррекция в данном случае производится внутривенным введением глюкозы (глюкоза вводится внутривенно в виде 40% раствора, доза подбирается индивидуально под контро</w:t>
        <w:softHyphen/>
        <w:t>лем сахара крови). У новорожденных и детей раннего возрас</w:t>
        <w:softHyphen/>
        <w:t>та при любых причинах возникновения сердечной недоста</w:t>
        <w:softHyphen/>
        <w:t>точности может наблюдаться дефицит кальция и магния. Коррекция производится внутривенным введением соответ</w:t>
        <w:softHyphen/>
        <w:t xml:space="preserve">ствующих растворов </w:t>
      </w:r>
      <w:r>
        <w:rPr>
          <w:rStyle w:val="CharStyle103"/>
        </w:rPr>
        <w:t>(Кальция хлорид</w:t>
      </w:r>
      <w:r>
        <w:rPr>
          <w:lang w:val="ru-RU" w:eastAsia="ru-RU" w:bidi="ru-RU"/>
          <w:w w:val="100"/>
          <w:spacing w:val="0"/>
          <w:color w:val="000000"/>
          <w:position w:val="0"/>
        </w:rPr>
        <w:t xml:space="preserve"> 10% раствор внутри</w:t>
        <w:softHyphen/>
        <w:t xml:space="preserve">венно в разовой дозе 0,3-0,5 мл/год жизни, </w:t>
      </w:r>
      <w:r>
        <w:rPr>
          <w:rStyle w:val="CharStyle103"/>
        </w:rPr>
        <w:t xml:space="preserve">Магния сульфат </w:t>
      </w:r>
      <w:r>
        <w:rPr>
          <w:lang w:val="ru-RU" w:eastAsia="ru-RU" w:bidi="ru-RU"/>
          <w:w w:val="100"/>
          <w:spacing w:val="0"/>
          <w:color w:val="000000"/>
          <w:position w:val="0"/>
        </w:rPr>
        <w:t>25% раствор внутривенно в разовой дозе 0,2 мл/год жизни).</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Анаэробный метаболизм, который часто развивается в тканях при сердечной недостаточности, приводит к лак</w:t>
        <w:softHyphen/>
        <w:t>татацидозу со снижением рН крови. При этом, если ацидоз очень выражен (рН ниже 7,1), то даже после того как кли</w:t>
        <w:softHyphen/>
        <w:t>нические проявления сердечной недостаточности умень</w:t>
        <w:softHyphen/>
        <w:t xml:space="preserve">шатся, кислотно-основное состояние может нуждаться в коррекции. Ее проводят путем внутривенной инфузии </w:t>
      </w:r>
      <w:r>
        <w:rPr>
          <w:rStyle w:val="CharStyle103"/>
        </w:rPr>
        <w:t>на</w:t>
        <w:softHyphen/>
        <w:t>трия бикарбоната</w:t>
      </w:r>
      <w:r>
        <w:rPr>
          <w:lang w:val="ru-RU" w:eastAsia="ru-RU" w:bidi="ru-RU"/>
          <w:w w:val="100"/>
          <w:spacing w:val="0"/>
          <w:color w:val="000000"/>
          <w:position w:val="0"/>
        </w:rPr>
        <w:t xml:space="preserve"> или </w:t>
      </w:r>
      <w:r>
        <w:rPr>
          <w:rStyle w:val="CharStyle103"/>
        </w:rPr>
        <w:t xml:space="preserve">трометамола </w:t>
      </w:r>
      <w:r>
        <w:rPr>
          <w:rStyle w:val="CharStyle103"/>
          <w:lang w:val="en-US" w:eastAsia="en-US" w:bidi="en-US"/>
        </w:rPr>
        <w:t>(TRIS).</w:t>
      </w:r>
    </w:p>
    <w:p>
      <w:pPr>
        <w:pStyle w:val="Style30"/>
        <w:widowControl w:val="0"/>
        <w:keepNext w:val="0"/>
        <w:keepLines w:val="0"/>
        <w:shd w:val="clear" w:color="auto" w:fill="auto"/>
        <w:bidi w:val="0"/>
        <w:spacing w:before="0" w:after="209"/>
        <w:ind w:left="0" w:right="0" w:firstLine="300"/>
      </w:pPr>
      <w:r>
        <w:rPr>
          <w:lang w:val="ru-RU" w:eastAsia="ru-RU" w:bidi="ru-RU"/>
          <w:w w:val="100"/>
          <w:spacing w:val="0"/>
          <w:color w:val="000000"/>
          <w:position w:val="0"/>
        </w:rPr>
        <w:t xml:space="preserve">Внутривенное введение </w:t>
      </w:r>
      <w:r>
        <w:rPr>
          <w:rStyle w:val="CharStyle103"/>
        </w:rPr>
        <w:t>натрия бикарбоната</w:t>
      </w:r>
      <w:r>
        <w:rPr>
          <w:lang w:val="ru-RU" w:eastAsia="ru-RU" w:bidi="ru-RU"/>
          <w:w w:val="100"/>
          <w:spacing w:val="0"/>
          <w:color w:val="000000"/>
          <w:position w:val="0"/>
        </w:rPr>
        <w:t xml:space="preserve"> рассчиты</w:t>
        <w:softHyphen/>
        <w:t>вают по следующей формуле:</w:t>
      </w:r>
    </w:p>
    <w:p>
      <w:pPr>
        <w:pStyle w:val="Style30"/>
        <w:widowControl w:val="0"/>
        <w:keepNext w:val="0"/>
        <w:keepLines w:val="0"/>
        <w:shd w:val="clear" w:color="auto" w:fill="auto"/>
        <w:bidi w:val="0"/>
        <w:jc w:val="center"/>
        <w:spacing w:before="0" w:after="24" w:line="180" w:lineRule="exact"/>
        <w:ind w:left="0" w:right="20" w:firstLine="0"/>
      </w:pPr>
      <w:r>
        <w:rPr>
          <w:lang w:val="ru-RU" w:eastAsia="ru-RU" w:bidi="ru-RU"/>
          <w:w w:val="100"/>
          <w:spacing w:val="0"/>
          <w:color w:val="000000"/>
          <w:position w:val="0"/>
        </w:rPr>
        <w:t xml:space="preserve">Количество 4% раствора </w:t>
      </w:r>
      <w:r>
        <w:rPr>
          <w:lang w:val="en-US" w:eastAsia="en-US" w:bidi="en-US"/>
          <w:w w:val="100"/>
          <w:spacing w:val="0"/>
          <w:color w:val="000000"/>
          <w:position w:val="0"/>
        </w:rPr>
        <w:t>NaHCO</w:t>
      </w:r>
      <w:r>
        <w:rPr>
          <w:lang w:val="en-US" w:eastAsia="en-US" w:bidi="en-US"/>
          <w:vertAlign w:val="subscript"/>
          <w:w w:val="100"/>
          <w:spacing w:val="0"/>
          <w:color w:val="000000"/>
          <w:position w:val="0"/>
        </w:rPr>
        <w:t>3</w:t>
      </w:r>
      <w:r>
        <w:rPr>
          <w:lang w:val="en-US" w:eastAsia="en-US" w:bidi="en-US"/>
          <w:w w:val="100"/>
          <w:spacing w:val="0"/>
          <w:color w:val="000000"/>
          <w:position w:val="0"/>
        </w:rPr>
        <w:t xml:space="preserve"> </w:t>
      </w:r>
      <w:r>
        <w:rPr>
          <w:lang w:val="ru-RU" w:eastAsia="ru-RU" w:bidi="ru-RU"/>
          <w:w w:val="100"/>
          <w:spacing w:val="0"/>
          <w:color w:val="000000"/>
          <w:position w:val="0"/>
        </w:rPr>
        <w:t>(мл) =</w:t>
      </w:r>
    </w:p>
    <w:p>
      <w:pPr>
        <w:pStyle w:val="Style30"/>
        <w:widowControl w:val="0"/>
        <w:keepNext w:val="0"/>
        <w:keepLines w:val="0"/>
        <w:shd w:val="clear" w:color="auto" w:fill="auto"/>
        <w:bidi w:val="0"/>
        <w:jc w:val="center"/>
        <w:spacing w:before="0" w:after="165" w:line="180" w:lineRule="exact"/>
        <w:ind w:left="0" w:right="20" w:firstLine="0"/>
      </w:pPr>
      <w:r>
        <w:rPr>
          <w:lang w:val="ru-RU" w:eastAsia="ru-RU" w:bidi="ru-RU"/>
          <w:w w:val="100"/>
          <w:spacing w:val="0"/>
          <w:color w:val="000000"/>
          <w:position w:val="0"/>
        </w:rPr>
        <w:t>МТ (масса тела) • ВЕ • 0,6.</w:t>
      </w:r>
    </w:p>
    <w:p>
      <w:pPr>
        <w:pStyle w:val="Style30"/>
        <w:widowControl w:val="0"/>
        <w:keepNext w:val="0"/>
        <w:keepLines w:val="0"/>
        <w:shd w:val="clear" w:color="auto" w:fill="auto"/>
        <w:bidi w:val="0"/>
        <w:spacing w:before="0" w:after="0"/>
        <w:ind w:left="0" w:right="0" w:firstLine="300"/>
      </w:pPr>
      <w:r>
        <w:pict>
          <v:shape id="_x0000_s1902" type="#_x0000_t75" style="position:absolute;margin-left:148.3pt;margin-top:736.55pt;width:209.75pt;height:14.9pt;z-index:-125828746;mso-wrap-distance-left:147.6pt;mso-wrap-distance-right:136.8pt;mso-wrap-distance-bottom:10.8pt;mso-position-horizontal-relative:margin;mso-position-vertical-relative:margin" wrapcoords="0 0 21600 0 21600 21600 0 21600 0 0">
            <v:imagedata r:id="rId1394" r:href="rId1395"/>
            <w10:wrap type="topAndBottom" anchorx="margin" anchory="margin"/>
          </v:shape>
        </w:pict>
      </w:r>
      <w:r>
        <w:rPr>
          <w:lang w:val="ru-RU" w:eastAsia="ru-RU" w:bidi="ru-RU"/>
          <w:w w:val="100"/>
          <w:spacing w:val="0"/>
          <w:color w:val="000000"/>
          <w:position w:val="0"/>
        </w:rPr>
        <w:t>В тех случаях, когда определить дефицит оснований (ВЕ) затруднительно, а клинические данные указывают на</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наличие метаболического ацидоза, вводят от 4 до 8 мл/кг 4% раствора </w:t>
      </w:r>
      <w:r>
        <w:rPr>
          <w:rStyle w:val="CharStyle103"/>
        </w:rPr>
        <w:t>натрия бикарбоната.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Однако </w:t>
      </w:r>
      <w:r>
        <w:rPr>
          <w:rStyle w:val="CharStyle103"/>
        </w:rPr>
        <w:t>бикарбонат натрия</w:t>
      </w:r>
      <w:r>
        <w:rPr>
          <w:lang w:val="ru-RU" w:eastAsia="ru-RU" w:bidi="ru-RU"/>
          <w:w w:val="100"/>
          <w:spacing w:val="0"/>
          <w:color w:val="000000"/>
          <w:position w:val="0"/>
        </w:rPr>
        <w:t xml:space="preserve"> нужно давать с большой ос</w:t>
        <w:softHyphen/>
        <w:t>торожностью, поскольку сода и вода могут усилить гемоди</w:t>
        <w:softHyphen/>
        <w:t>намическую нагрузку на сердце.</w:t>
      </w:r>
    </w:p>
    <w:p>
      <w:pPr>
        <w:pStyle w:val="Style30"/>
        <w:widowControl w:val="0"/>
        <w:keepNext w:val="0"/>
        <w:keepLines w:val="0"/>
        <w:shd w:val="clear" w:color="auto" w:fill="auto"/>
        <w:bidi w:val="0"/>
        <w:spacing w:before="0" w:after="209"/>
        <w:ind w:left="0" w:right="0" w:firstLine="280"/>
      </w:pPr>
      <w:r>
        <w:rPr>
          <w:rStyle w:val="CharStyle103"/>
        </w:rPr>
        <w:t>Трометамол</w:t>
      </w:r>
      <w:r>
        <w:rPr>
          <w:lang w:val="ru-RU" w:eastAsia="ru-RU" w:bidi="ru-RU"/>
          <w:w w:val="100"/>
          <w:spacing w:val="0"/>
          <w:color w:val="000000"/>
          <w:position w:val="0"/>
        </w:rPr>
        <w:t xml:space="preserve"> вводят внутривенно в виде 3,66% раствора. Средняя доза для больного (массой 60 кг) 500 мл/час (око</w:t>
        <w:softHyphen/>
        <w:t>ло 120 кап/мин.). Большая скорость введения не рекомен</w:t>
        <w:softHyphen/>
        <w:t>дуется во избежание побочных явлений: артериальная ги</w:t>
        <w:softHyphen/>
        <w:t>потензия, тошнота, рвота, гипогликемия. Вводимую дозу можно расчитать по формуле:</w:t>
      </w:r>
    </w:p>
    <w:p>
      <w:pPr>
        <w:pStyle w:val="Style30"/>
        <w:widowControl w:val="0"/>
        <w:keepNext w:val="0"/>
        <w:keepLines w:val="0"/>
        <w:shd w:val="clear" w:color="auto" w:fill="auto"/>
        <w:bidi w:val="0"/>
        <w:spacing w:before="0" w:after="115" w:line="180" w:lineRule="exact"/>
        <w:ind w:left="0" w:right="0" w:firstLine="280"/>
      </w:pPr>
      <w:r>
        <w:rPr>
          <w:lang w:val="ru-RU" w:eastAsia="ru-RU" w:bidi="ru-RU"/>
          <w:w w:val="100"/>
          <w:spacing w:val="0"/>
          <w:color w:val="000000"/>
          <w:position w:val="0"/>
        </w:rPr>
        <w:t>К = ВЕ,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где К — количество 3,66% раствора трометамола (мл),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 дефицит оснований (ммоль/л),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 — масса больного (кг).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Максимальная доза препарата составляет 1,5 г/кг/сутки. Повторное введение не ранее чем через 48-72 часа после предыдущего. Препарат нельзя вводить детям до 1 года. При назначении препарата обязателен мониторинг содер</w:t>
        <w:softHyphen/>
        <w:t>жания глюкозы и электролитов крови, КТТТС.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Детям с сердечной недостаточностью, если состояние ребенка позволяет, проводят питание через рот. Однако у маленьких детей, во избежание регургитации вследствие атонии и дилатации желудка, нужно его разгрузить путем назогастральной интубации. Если состояние ребенка не очень тяжелое, можно назначить легкую диету с неболь</w:t>
        <w:softHyphen/>
        <w:t>шим ограничением содержания поваренной соли.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Объем вводимой жидкости вначале составляет 750 мл/сут/м</w:t>
      </w:r>
      <w:r>
        <w:rPr>
          <w:lang w:val="ru-RU" w:eastAsia="ru-RU" w:bidi="ru-RU"/>
          <w:vertAlign w:val="superscript"/>
          <w:w w:val="100"/>
          <w:spacing w:val="0"/>
          <w:color w:val="000000"/>
          <w:position w:val="0"/>
        </w:rPr>
        <w:t>2</w:t>
      </w:r>
      <w:r>
        <w:rPr>
          <w:lang w:val="ru-RU" w:eastAsia="ru-RU" w:bidi="ru-RU"/>
          <w:w w:val="100"/>
          <w:spacing w:val="0"/>
          <w:color w:val="000000"/>
          <w:position w:val="0"/>
        </w:rPr>
        <w:t xml:space="preserve"> или 65 мл/кг/сут. Затем, по мере улучшения состояния ребенка, объем вводимой жидкости увеличива</w:t>
        <w:softHyphen/>
        <w:t>ют. Ограничение объема вводимой жидкости может быть единственным методом коррекции гипонатриемии у боль</w:t>
        <w:softHyphen/>
        <w:t>ных с сердечной недостаточностью, получающих мочегон</w:t>
        <w:softHyphen/>
        <w:t>ную терапию, однако при выраженной гипонатриемии воз</w:t>
        <w:softHyphen/>
        <w:t>можно внутривенное введение 0,9% или 3% раствора хло</w:t>
        <w:softHyphen/>
        <w:t>рида натрия (доза подбирается индивидуально под контро</w:t>
        <w:softHyphen/>
        <w:t>лем электролитов крови).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Диуретики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Многие симптомы хронической сердечной недостаточ</w:t>
        <w:softHyphen/>
        <w:t>ности связаны с задержкой жидкости, вызывающей появ</w:t>
        <w:softHyphen/>
        <w:t>ление застоя в легких и отеков. В этих случаях к достаточно быстрому клиническому улучшению приводит использова</w:t>
        <w:softHyphen/>
        <w:t>ние мочегонных препаратов. Из многочисленного арсенала диуретических препаратов у больных с сердечной недоста</w:t>
        <w:softHyphen/>
        <w:t>точностью используются преимущественно следующие фармакологические группы (табл. 42).</w:t>
      </w:r>
    </w:p>
    <w:p>
      <w:pPr>
        <w:pStyle w:val="Style30"/>
        <w:tabs>
          <w:tab w:leader="none" w:pos="519"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w:t>
        <w:tab/>
        <w:t>больных с легкими проявлениями сердечной недоста</w:t>
        <w:softHyphen/>
        <w:t xml:space="preserve">точности часто бывает достаточным назначение тиазидных диуретиков </w:t>
      </w:r>
      <w:r>
        <w:rPr>
          <w:rStyle w:val="CharStyle103"/>
        </w:rPr>
        <w:t>(Гидрохлортиазид, син. Гипотиазид)</w:t>
      </w:r>
      <w:r>
        <w:rPr>
          <w:lang w:val="ru-RU" w:eastAsia="ru-RU" w:bidi="ru-RU"/>
          <w:w w:val="100"/>
          <w:spacing w:val="0"/>
          <w:color w:val="000000"/>
          <w:position w:val="0"/>
        </w:rPr>
        <w:t xml:space="preserve"> в дозе</w:t>
      </w:r>
    </w:p>
    <w:p>
      <w:pPr>
        <w:pStyle w:val="Style30"/>
        <w:numPr>
          <w:ilvl w:val="0"/>
          <w:numId w:val="197"/>
        </w:numPr>
        <w:tabs>
          <w:tab w:leader="none" w:pos="193"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мг/кг в сутки. Препарат применяют через день или через</w:t>
      </w:r>
    </w:p>
    <w:p>
      <w:pPr>
        <w:pStyle w:val="Style30"/>
        <w:numPr>
          <w:ilvl w:val="0"/>
          <w:numId w:val="197"/>
        </w:numPr>
        <w:tabs>
          <w:tab w:leader="none" w:pos="231"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дня при легких проявлениях отечного синдрома и каждый день — при средних или тяжелых проявлениях. С осторож</w:t>
        <w:softHyphen/>
        <w:t>ностью назначают при недостаточности функции почек и заболеваниях печени.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Метолазон </w:t>
      </w:r>
      <w:r>
        <w:rPr>
          <w:rStyle w:val="CharStyle103"/>
        </w:rPr>
        <w:t>(син. Зароксилин, Микрокс)</w:t>
      </w:r>
      <w:r>
        <w:rPr>
          <w:lang w:val="ru-RU" w:eastAsia="ru-RU" w:bidi="ru-RU"/>
          <w:w w:val="100"/>
          <w:spacing w:val="0"/>
          <w:color w:val="000000"/>
          <w:position w:val="0"/>
        </w:rPr>
        <w:t xml:space="preserve"> назначают при сердечной недостаточности в сочетании с болезнями почек 5-20 мг 1 раз в сутки. Побочные эффекты — ортостатичес</w:t>
        <w:softHyphen/>
        <w:t>кая гипотензия, головная боль, слабость, лейкопения.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более выраженных симптомах требуются мочегон</w:t>
        <w:softHyphen/>
        <w:t>ные препараты, действующие на восходящую часть петли</w:t>
      </w:r>
    </w:p>
    <w:p>
      <w:pPr>
        <w:pStyle w:val="Style30"/>
        <w:widowControl w:val="0"/>
        <w:keepNext w:val="0"/>
        <w:keepLines w:val="0"/>
        <w:shd w:val="clear" w:color="auto" w:fill="auto"/>
        <w:bidi w:val="0"/>
        <w:spacing w:before="0" w:after="0"/>
        <w:ind w:left="0" w:right="0" w:firstLine="0"/>
      </w:pPr>
      <w:r>
        <w:br w:type="column"/>
      </w:r>
      <w:r>
        <w:rPr>
          <w:lang w:val="ru-RU" w:eastAsia="ru-RU" w:bidi="ru-RU"/>
          <w:w w:val="100"/>
          <w:spacing w:val="0"/>
          <w:color w:val="000000"/>
          <w:position w:val="0"/>
        </w:rPr>
        <w:t xml:space="preserve">Генле </w:t>
      </w:r>
      <w:r>
        <w:rPr>
          <w:rStyle w:val="CharStyle103"/>
        </w:rPr>
        <w:t xml:space="preserve">(Фуросемид — </w:t>
      </w:r>
      <w:r>
        <w:rPr>
          <w:rStyle w:val="CharStyle103"/>
          <w:lang w:val="en-US" w:eastAsia="en-US" w:bidi="en-US"/>
        </w:rPr>
        <w:t xml:space="preserve">Furosemide, </w:t>
      </w:r>
      <w:r>
        <w:rPr>
          <w:rStyle w:val="CharStyle103"/>
        </w:rPr>
        <w:t xml:space="preserve">син. </w:t>
      </w:r>
      <w:r>
        <w:rPr>
          <w:rStyle w:val="CharStyle103"/>
          <w:lang w:val="en-US" w:eastAsia="en-US" w:bidi="en-US"/>
        </w:rPr>
        <w:t>Lasix).</w:t>
      </w:r>
      <w:r>
        <w:rPr>
          <w:lang w:val="en-US" w:eastAsia="en-US" w:bidi="en-US"/>
          <w:w w:val="100"/>
          <w:spacing w:val="0"/>
          <w:color w:val="000000"/>
          <w:position w:val="0"/>
        </w:rPr>
        <w:t xml:space="preserve"> </w:t>
      </w:r>
      <w:r>
        <w:rPr>
          <w:lang w:val="ru-RU" w:eastAsia="ru-RU" w:bidi="ru-RU"/>
          <w:w w:val="100"/>
          <w:spacing w:val="0"/>
          <w:color w:val="000000"/>
          <w:position w:val="0"/>
        </w:rPr>
        <w:t>Последние так</w:t>
        <w:softHyphen/>
        <w:t>же необходимы в случаях выраженного снижения клубоч</w:t>
        <w:softHyphen/>
        <w:t>ковой фильтрации, когда эффективность тиазидных диуре</w:t>
        <w:softHyphen/>
        <w:t>тиков существенно снижается и их изолированное исполь</w:t>
        <w:softHyphen/>
        <w:t>зование может привести к дальнейшему ухудшению фильт</w:t>
        <w:softHyphen/>
        <w:t>рационной функции почек. В тяжелых случаях применяют комбинацию мочегонных двух указанных групп, что может быть предпочтительнее простого наращивания дозы петле</w:t>
        <w:softHyphen/>
        <w:t>вого диуретика.</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 xml:space="preserve">Нужно также помнить, что фуросемид </w:t>
      </w:r>
      <w:r>
        <w:rPr>
          <w:rStyle w:val="CharStyle103"/>
          <w:lang w:val="en-US" w:eastAsia="en-US" w:bidi="en-US"/>
        </w:rPr>
        <w:t xml:space="preserve">(Furosemide, </w:t>
      </w:r>
      <w:r>
        <w:rPr>
          <w:rStyle w:val="CharStyle103"/>
        </w:rPr>
        <w:t xml:space="preserve">син. </w:t>
      </w:r>
      <w:r>
        <w:rPr>
          <w:rStyle w:val="CharStyle103"/>
          <w:lang w:val="en-US" w:eastAsia="en-US" w:bidi="en-US"/>
        </w:rPr>
        <w:t>Lasix</w:t>
      </w:r>
      <w:r>
        <w:rPr>
          <w:lang w:val="en-US" w:eastAsia="en-US" w:bidi="en-US"/>
          <w:w w:val="100"/>
          <w:spacing w:val="0"/>
          <w:color w:val="000000"/>
          <w:position w:val="0"/>
        </w:rPr>
        <w:t xml:space="preserve">) </w:t>
      </w:r>
      <w:r>
        <w:rPr>
          <w:lang w:val="ru-RU" w:eastAsia="ru-RU" w:bidi="ru-RU"/>
          <w:w w:val="100"/>
          <w:spacing w:val="0"/>
          <w:color w:val="000000"/>
          <w:position w:val="0"/>
        </w:rPr>
        <w:t>должен с осторожностью применяться у новорож</w:t>
        <w:softHyphen/>
        <w:t>денных, особенно если ребенок получает также препараты из группы аминогликозидов, т.к. каждое из этих веществ является ототоксичным и применение их в комбинации может привести к глухоте. Лучше воздержаться от примене</w:t>
        <w:softHyphen/>
        <w:t>ния диуретиков после 7 часов вечера, для того чтобы сни</w:t>
        <w:softHyphen/>
        <w:t>зить никтурию и улучшить ночной сон у детей.</w:t>
      </w:r>
    </w:p>
    <w:p>
      <w:pPr>
        <w:pStyle w:val="Style30"/>
        <w:widowControl w:val="0"/>
        <w:keepNext w:val="0"/>
        <w:keepLines w:val="0"/>
        <w:shd w:val="clear" w:color="auto" w:fill="auto"/>
        <w:bidi w:val="0"/>
        <w:spacing w:before="0" w:after="0"/>
        <w:ind w:left="0" w:right="0" w:firstLine="300"/>
      </w:pPr>
      <w:r>
        <w:rPr>
          <w:rStyle w:val="CharStyle103"/>
        </w:rPr>
        <w:t>Буметанид</w:t>
      </w:r>
      <w:r>
        <w:rPr>
          <w:lang w:val="ru-RU" w:eastAsia="ru-RU" w:bidi="ru-RU"/>
          <w:w w:val="100"/>
          <w:spacing w:val="0"/>
          <w:color w:val="000000"/>
          <w:position w:val="0"/>
        </w:rPr>
        <w:t xml:space="preserve"> — также петлевой диуретик, назначается в дозе 0,05 мг/кг, противопоказан при сахарном диабете, ге</w:t>
        <w:softHyphen/>
        <w:t>патите, повышенной чувствительности к сульфанилами</w:t>
        <w:softHyphen/>
        <w:t>дам.</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 xml:space="preserve">Калийсберегающие диуретики </w:t>
      </w:r>
      <w:r>
        <w:rPr>
          <w:rStyle w:val="CharStyle103"/>
        </w:rPr>
        <w:t xml:space="preserve">(Триампур — </w:t>
      </w:r>
      <w:r>
        <w:rPr>
          <w:rStyle w:val="CharStyle103"/>
          <w:lang w:val="en-US" w:eastAsia="en-US" w:bidi="en-US"/>
        </w:rPr>
        <w:t xml:space="preserve">Triampur compositum, Spironolactonom, </w:t>
      </w:r>
      <w:r>
        <w:rPr>
          <w:rStyle w:val="CharStyle103"/>
        </w:rPr>
        <w:t>син. Альдактон, Верошпирон и др.)</w:t>
      </w:r>
      <w:r>
        <w:rPr>
          <w:lang w:val="ru-RU" w:eastAsia="ru-RU" w:bidi="ru-RU"/>
          <w:w w:val="100"/>
          <w:spacing w:val="0"/>
          <w:color w:val="000000"/>
          <w:position w:val="0"/>
        </w:rPr>
        <w:t xml:space="preserve"> уменьшают проницаемость клеточных мембран дис</w:t>
        <w:softHyphen/>
        <w:t>тальных канальцев для ионов натрия и усиливают их выде</w:t>
        <w:softHyphen/>
        <w:t>ление с мочой без увеличения выделения ионов калия. На</w:t>
        <w:softHyphen/>
        <w:t>ряду с диуретическим действием, эти препараты назначают для профилактики возникновения гипокалиемии. Они мо</w:t>
        <w:softHyphen/>
        <w:t>гут оказаться полезными в случаях, когда ингибиторы ан- гиотензинпревращающего фермента по каким-либо при</w:t>
        <w:softHyphen/>
        <w:t>чинам не используются или, несмотря на применение ин</w:t>
        <w:softHyphen/>
        <w:t>гибиторов ангиотензинпревращающего фермента, содер</w:t>
        <w:softHyphen/>
        <w:t>жание калия в крови остается пониженным. Использова</w:t>
        <w:softHyphen/>
        <w:t xml:space="preserve">ние с профилактической целью препаратов калия </w:t>
      </w:r>
      <w:r>
        <w:rPr>
          <w:rStyle w:val="CharStyle103"/>
          <w:lang w:val="en-US" w:eastAsia="en-US" w:bidi="en-US"/>
        </w:rPr>
        <w:t xml:space="preserve">(Kalium chloridum, </w:t>
      </w:r>
      <w:r>
        <w:rPr>
          <w:rStyle w:val="CharStyle103"/>
        </w:rPr>
        <w:t xml:space="preserve">Панангин — </w:t>
      </w:r>
      <w:r>
        <w:rPr>
          <w:rStyle w:val="CharStyle103"/>
          <w:lang w:val="en-US" w:eastAsia="en-US" w:bidi="en-US"/>
        </w:rPr>
        <w:t xml:space="preserve">Panangin, </w:t>
      </w:r>
      <w:r>
        <w:rPr>
          <w:rStyle w:val="CharStyle103"/>
        </w:rPr>
        <w:t xml:space="preserve">Аспаркам — </w:t>
      </w:r>
      <w:r>
        <w:rPr>
          <w:rStyle w:val="CharStyle103"/>
          <w:lang w:val="en-US" w:eastAsia="en-US" w:bidi="en-US"/>
        </w:rPr>
        <w:t xml:space="preserve">Asparcam) </w:t>
      </w:r>
      <w:r>
        <w:rPr>
          <w:lang w:val="ru-RU" w:eastAsia="ru-RU" w:bidi="ru-RU"/>
          <w:w w:val="100"/>
          <w:spacing w:val="0"/>
          <w:color w:val="000000"/>
          <w:position w:val="0"/>
        </w:rPr>
        <w:t>для приема внутрь у больных с хронической сердечной не</w:t>
        <w:softHyphen/>
        <w:t>достаточностью на фоне лечения мочегонными считается малоэффективным (так, для поддержания концентрации этого иона в крови на уровне 4,5-5,0 ммоль/л часто требует</w:t>
        <w:softHyphen/>
        <w:t>ся его поступление извне в суточной дозе 20-60 ммоль, что соответствует 1,5-4,5 г хлорида калия). При тяжелой хрони</w:t>
        <w:softHyphen/>
        <w:t xml:space="preserve">ческой сердечной недостаточности добавление небольшой дозы спиронолактона </w:t>
      </w:r>
      <w:r>
        <w:rPr>
          <w:rStyle w:val="CharStyle103"/>
          <w:lang w:val="en-US" w:eastAsia="en-US" w:bidi="en-US"/>
        </w:rPr>
        <w:t xml:space="preserve">(Spironolactonom, </w:t>
      </w:r>
      <w:r>
        <w:rPr>
          <w:rStyle w:val="CharStyle103"/>
        </w:rPr>
        <w:t>син. Альдактон, Ве- рошпирон</w:t>
      </w:r>
      <w:r>
        <w:rPr>
          <w:lang w:val="ru-RU" w:eastAsia="ru-RU" w:bidi="ru-RU"/>
          <w:w w:val="100"/>
          <w:spacing w:val="0"/>
          <w:color w:val="000000"/>
          <w:position w:val="0"/>
        </w:rPr>
        <w:t>) — 1 мг/кг к комбинации ингибиторов ангиотен- зинпревращающего фермента и мочегонных с другим меха</w:t>
        <w:softHyphen/>
        <w:t>низмом действия способно увеличить эффективность лече</w:t>
        <w:softHyphen/>
        <w:t>ния. Поскольку применение калийсберегающих диурети</w:t>
        <w:softHyphen/>
        <w:t>ков может привести к возникновению гиперкалиемии, не</w:t>
        <w:softHyphen/>
        <w:t>обходимо контролировать уровень креатинина и калия в крови (первоначально — каждые 5-7 дней до стабилиза</w:t>
        <w:softHyphen/>
        <w:t>ции значений этих показателей, в дальнейшем — каждые 3-6 мес.), а также начинать лечение с малых доз препарата. Из-за своей способности удерживать калий в организме они не должны использоваться при почечной недостаточ</w:t>
        <w:softHyphen/>
        <w:t>ности, и, конечно, во время применения этих диуретиков не следует назначать пациентам препараты калия.</w:t>
      </w:r>
    </w:p>
    <w:p>
      <w:pPr>
        <w:pStyle w:val="Style30"/>
        <w:widowControl w:val="0"/>
        <w:keepNext w:val="0"/>
        <w:keepLines w:val="0"/>
        <w:shd w:val="clear" w:color="auto" w:fill="auto"/>
        <w:bidi w:val="0"/>
        <w:spacing w:before="0" w:after="0"/>
        <w:ind w:left="0" w:right="0" w:firstLine="300"/>
      </w:pPr>
      <w:r>
        <w:pict>
          <v:shape id="_x0000_s1903" type="#_x0000_t75" style="position:absolute;margin-left:137.3pt;margin-top:736.55pt;width:209.75pt;height:14.9pt;z-index:-125828745;mso-wrap-distance-left:136.8pt;mso-wrap-distance-right:148.1pt;mso-wrap-distance-bottom:10.8pt;mso-position-horizontal-relative:margin;mso-position-vertical-relative:margin" wrapcoords="0 0 21600 0 21600 21600 0 21600 0 0">
            <v:imagedata r:id="rId1396" r:href="rId1397"/>
            <w10:wrap type="topAndBottom" anchorx="margin" anchory="margin"/>
          </v:shape>
        </w:pict>
      </w:r>
      <w:r>
        <w:rPr>
          <w:lang w:val="ru-RU" w:eastAsia="ru-RU" w:bidi="ru-RU"/>
          <w:w w:val="100"/>
          <w:spacing w:val="0"/>
          <w:color w:val="000000"/>
          <w:position w:val="0"/>
        </w:rPr>
        <w:t>Во всех случаях мочегонные следует сочетать с ангиотен- зинпревращающим ферментом. При сохранении симпто</w:t>
        <w:softHyphen/>
        <w:t>мов задержки жидкости, несмотря на назначение комбина</w:t>
        <w:softHyphen/>
        <w:t>ции петлевого и тиазидного диуретиков, а также нараста</w:t>
        <w:softHyphen/>
        <w:t>нии тяжести клинических проявлений хронической сер</w:t>
        <w:softHyphen/>
        <w:t>дечной недостаточности рекомендуют сначала увеличить</w:t>
      </w:r>
      <w:r>
        <w:br w:type="page"/>
      </w:r>
    </w:p>
    <w:p>
      <w:pPr>
        <w:pStyle w:val="Style30"/>
        <w:widowControl w:val="0"/>
        <w:keepNext w:val="0"/>
        <w:keepLines w:val="0"/>
        <w:shd w:val="clear" w:color="auto" w:fill="auto"/>
        <w:bidi w:val="0"/>
        <w:spacing w:before="0" w:after="0"/>
        <w:ind w:left="0" w:right="0" w:firstLine="0"/>
      </w:pPr>
      <w:r>
        <w:pict>
          <v:shape id="_x0000_s1904" type="#_x0000_t202" style="position:absolute;margin-left:0.95pt;margin-top:86.4pt;width:241.2pt;height:5.e-002pt;z-index:-125828744;mso-wrap-distance-left:5.pt;mso-wrap-distance-right:5.pt;mso-position-horizontal-relative:margin;mso-position-vertical-relative:margin" filled="f" stroked="f">
            <v:textbox style="mso-fit-shape-to-text:t" inset="0,0,0,0">
              <w:txbxContent>
                <w:p>
                  <w:pPr>
                    <w:pStyle w:val="Style139"/>
                    <w:widowControl w:val="0"/>
                    <w:keepNext w:val="0"/>
                    <w:keepLines w:val="0"/>
                    <w:shd w:val="clear" w:color="auto" w:fill="auto"/>
                    <w:bidi w:val="0"/>
                    <w:spacing w:before="0" w:after="0" w:line="180" w:lineRule="exact"/>
                    <w:ind w:left="0" w:right="0" w:firstLine="0"/>
                  </w:pPr>
                  <w:r>
                    <w:rPr>
                      <w:rStyle w:val="CharStyle143"/>
                      <w:b/>
                      <w:bCs/>
                      <w:i/>
                      <w:iCs/>
                    </w:rPr>
                    <w:t>Таблица 42</w:t>
                  </w:r>
                </w:p>
                <w:tbl>
                  <w:tblPr>
                    <w:tblOverlap w:val="never"/>
                    <w:tblLayout w:type="fixed"/>
                    <w:jc w:val="center"/>
                  </w:tblPr>
                  <w:tblGrid>
                    <w:gridCol w:w="2237"/>
                    <w:gridCol w:w="2587"/>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Препарат</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Дозы</w:t>
                        </w:r>
                      </w:p>
                    </w:tc>
                  </w:tr>
                  <w:tr>
                    <w:trPr>
                      <w:trHeight w:val="240" w:hRule="exact"/>
                    </w:trPr>
                    <w:tc>
                      <w:tcPr>
                        <w:shd w:val="clear" w:color="auto" w:fill="FFFFFF"/>
                        <w:gridSpan w:val="2"/>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Петлевые диуретики</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Фуросемид</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1-3 мг/кг (макс. 6-12 мг/кг)</w:t>
                        </w:r>
                      </w:p>
                    </w:tc>
                  </w:tr>
                  <w:tr>
                    <w:trPr>
                      <w:trHeight w:val="235"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Буметанид</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0,05 мг/кг (макс. 0,3 мг/кг)</w:t>
                        </w:r>
                      </w:p>
                    </w:tc>
                  </w:tr>
                  <w:tr>
                    <w:trPr>
                      <w:trHeight w:val="240" w:hRule="exact"/>
                    </w:trPr>
                    <w:tc>
                      <w:tcPr>
                        <w:shd w:val="clear" w:color="auto" w:fill="FFFFFF"/>
                        <w:gridSpan w:val="2"/>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Тиазидные диуретики</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Гидрохлортиазид</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 мг/кг (макс. 3 мг/кг)</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Метолазон</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0,1 мг/кг</w:t>
                        </w:r>
                      </w:p>
                    </w:tc>
                  </w:tr>
                  <w:tr>
                    <w:trPr>
                      <w:trHeight w:val="240" w:hRule="exact"/>
                    </w:trPr>
                    <w:tc>
                      <w:tcPr>
                        <w:shd w:val="clear" w:color="auto" w:fill="FFFFFF"/>
                        <w:gridSpan w:val="2"/>
                        <w:tcBorders>
                          <w:left w:val="single" w:sz="4"/>
                          <w:right w:val="single" w:sz="4"/>
                          <w:top w:val="single" w:sz="4"/>
                        </w:tcBorders>
                        <w:vAlign w:val="top"/>
                      </w:tcPr>
                      <w:p>
                        <w:pPr>
                          <w:pStyle w:val="Style30"/>
                          <w:widowControl w:val="0"/>
                          <w:keepNext w:val="0"/>
                          <w:keepLines w:val="0"/>
                          <w:shd w:val="clear" w:color="auto" w:fill="auto"/>
                          <w:bidi w:val="0"/>
                          <w:jc w:val="center"/>
                          <w:spacing w:before="0" w:after="0" w:line="180" w:lineRule="exact"/>
                          <w:ind w:left="0" w:right="0" w:firstLine="0"/>
                        </w:pPr>
                        <w:r>
                          <w:rPr>
                            <w:lang w:val="ru-RU" w:eastAsia="ru-RU" w:bidi="ru-RU"/>
                            <w:w w:val="100"/>
                            <w:spacing w:val="0"/>
                            <w:color w:val="000000"/>
                            <w:position w:val="0"/>
                          </w:rPr>
                          <w:t>Калийсберегающие диуретики</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Амилорид</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2,5-5 мг</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Триамтерен</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 мг/кг</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Спиронолактон</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 мг/кг (макс. 3 мг/кг)</w:t>
                        </w:r>
                      </w:p>
                    </w:tc>
                  </w:tr>
                </w:tbl>
                <w:p>
                  <w:pPr>
                    <w:widowControl w:val="0"/>
                    <w:rPr>
                      <w:sz w:val="2"/>
                      <w:szCs w:val="2"/>
                    </w:rPr>
                  </w:pPr>
                </w:p>
              </w:txbxContent>
            </v:textbox>
            <w10:wrap type="square" side="right" anchorx="margin" anchory="margin"/>
          </v:shape>
        </w:pict>
      </w:r>
      <w:r>
        <w:rPr>
          <w:lang w:val="ru-RU" w:eastAsia="ru-RU" w:bidi="ru-RU"/>
          <w:w w:val="100"/>
          <w:spacing w:val="0"/>
          <w:color w:val="000000"/>
          <w:position w:val="0"/>
        </w:rPr>
        <w:t>дозу препаратов, при недостаточной эффективности — пе</w:t>
        <w:softHyphen/>
        <w:t>рейти на использование петлевого диуретика дважды в сут</w:t>
        <w:softHyphen/>
        <w:t xml:space="preserve">ки, а если не помогает и это, добавить низкую дозу спиро- нолактона </w:t>
      </w:r>
      <w:r>
        <w:rPr>
          <w:lang w:val="en-US" w:eastAsia="en-US" w:bidi="en-US"/>
          <w:w w:val="100"/>
          <w:spacing w:val="0"/>
          <w:color w:val="000000"/>
          <w:position w:val="0"/>
        </w:rPr>
        <w:t xml:space="preserve">(Spironolactonom, </w:t>
      </w:r>
      <w:r>
        <w:rPr>
          <w:lang w:val="ru-RU" w:eastAsia="ru-RU" w:bidi="ru-RU"/>
          <w:w w:val="100"/>
          <w:spacing w:val="0"/>
          <w:color w:val="000000"/>
          <w:position w:val="0"/>
        </w:rPr>
        <w:t>син. Альдактон, Верошпи- рон). При приеме ингибиторов ангиотензинпревращающе- го фермента с калийсберегающими диуретиками дозу по</w:t>
        <w:softHyphen/>
        <w:t>следних необходимо уменьшить.</w:t>
      </w:r>
    </w:p>
    <w:p>
      <w:pPr>
        <w:pStyle w:val="Style30"/>
        <w:widowControl w:val="0"/>
        <w:keepNext w:val="0"/>
        <w:keepLines w:val="0"/>
        <w:shd w:val="clear" w:color="auto" w:fill="auto"/>
        <w:bidi w:val="0"/>
        <w:jc w:val="center"/>
        <w:spacing w:before="0" w:after="105" w:line="180" w:lineRule="exact"/>
        <w:ind w:left="20" w:right="0" w:firstLine="0"/>
      </w:pPr>
      <w:r>
        <w:rPr>
          <w:lang w:val="ru-RU" w:eastAsia="ru-RU" w:bidi="ru-RU"/>
          <w:w w:val="100"/>
          <w:spacing w:val="0"/>
          <w:color w:val="000000"/>
          <w:position w:val="0"/>
        </w:rPr>
        <w:t>Дозы мочегонных препаратов для приема внутрь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После стабилизации состояния больного требуется по</w:t>
        <w:softHyphen/>
        <w:t>стоянный прием поддерживающей дозы мочегонного. В ряде плацебо-контролируемых исследований было про</w:t>
        <w:softHyphen/>
        <w:t>демонстрировано утяжеление симптомов заболевания пос</w:t>
        <w:softHyphen/>
        <w:t>ле прекращения использования мочегонных при умерен</w:t>
        <w:softHyphen/>
        <w:t>ных проявлениях хронической сердечной недостаточности. По-видимому, отказаться от их регулярного использования на достаточно длительный срок можно только в ряде случа</w:t>
        <w:softHyphen/>
        <w:t>ев у больных с маловыраженными симптомами хроничес</w:t>
        <w:softHyphen/>
        <w:t>кой сердечной недостаточности, принимающих ингибито</w:t>
        <w:softHyphen/>
        <w:t>ры ангиотензинпревращающего фермента. Вместе с тем ос</w:t>
        <w:softHyphen/>
        <w:t>тается неясным, следует ли во время поддерживающего ле</w:t>
        <w:softHyphen/>
        <w:t>чения принимать петлевой диуретик ежедневно или ис</w:t>
        <w:softHyphen/>
        <w:t>пользовать прерывистую схему, назначая препарат только при отрицательном диурезе. В любом случае совершенно необходимо ежедневно контролировать диурез. Особое внимание следует обратить на поступление в организм со</w:t>
        <w:softHyphen/>
        <w:t>ли, которое надо ограничить (вплоть до 2 г/сут и менее) еще до принятия решения о необходимости более агрессивного использования мочегонных. Нельзя забывать, что к воз</w:t>
        <w:softHyphen/>
        <w:t>никновению задержки жидкости и гиперкалиемии пред</w:t>
        <w:softHyphen/>
        <w:t>располагает назначение нестероидных противовоспали</w:t>
        <w:softHyphen/>
        <w:t>тельных препаратов. Их использование при хронической сердечной недостаточности надо избегать. Надежды на бо</w:t>
        <w:softHyphen/>
        <w:t>лее эффективное предупреждение декомпенсации хрони</w:t>
        <w:softHyphen/>
        <w:t>ческой сердечной недостаточности связывают с появлени</w:t>
        <w:softHyphen/>
        <w:t>ем новых петлевых диуретиков, обладающих высокой и стабильной биодоступностью при приеме внутрь.</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крайних случаях для устранения излишка воды в орга</w:t>
        <w:softHyphen/>
        <w:t>низме и восстановления нормальной концентрации элек</w:t>
        <w:softHyphen/>
        <w:t>тролитов может быть использован перитонеальный диализ.</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Улучшение сократительной функции миокарда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последнее время появилось много новых положитель</w:t>
        <w:softHyphen/>
        <w:t>ных инотропных средств с различным механизмом дей</w:t>
        <w:softHyphen/>
        <w:t>ствия и характерным электрофизиологическим профилем. Представляем их современную классификацию.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I класс — позитивный инотропный эффект связан с усилением трансмембранного тока кальция внутри кар</w:t>
        <w:softHyphen/>
        <w:br w:type="column"/>
        <w:t>диомиоцитов с увеличением содержания в них цАМФ в ре</w:t>
        <w:softHyphen/>
        <w:t>зультате:</w:t>
      </w:r>
    </w:p>
    <w:p>
      <w:pPr>
        <w:pStyle w:val="Style30"/>
        <w:numPr>
          <w:ilvl w:val="0"/>
          <w:numId w:val="183"/>
        </w:numPr>
        <w:tabs>
          <w:tab w:leader="none" w:pos="506"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IA </w:t>
      </w:r>
      <w:r>
        <w:rPr>
          <w:lang w:val="ru-RU" w:eastAsia="ru-RU" w:bidi="ru-RU"/>
          <w:w w:val="100"/>
          <w:spacing w:val="0"/>
          <w:color w:val="000000"/>
          <w:position w:val="0"/>
        </w:rPr>
        <w:t>— Р-адренергической стимуляции, которая акти</w:t>
        <w:softHyphen/>
        <w:t xml:space="preserve">вирует </w:t>
      </w:r>
      <w:r>
        <w:rPr>
          <w:lang w:val="en-US" w:eastAsia="en-US" w:bidi="en-US"/>
          <w:w w:val="100"/>
          <w:spacing w:val="0"/>
          <w:color w:val="000000"/>
          <w:position w:val="0"/>
        </w:rPr>
        <w:t>G</w:t>
      </w:r>
      <w:r>
        <w:rPr>
          <w:lang w:val="ru-RU" w:eastAsia="ru-RU" w:bidi="ru-RU"/>
          <w:w w:val="100"/>
          <w:spacing w:val="0"/>
          <w:color w:val="000000"/>
          <w:position w:val="0"/>
        </w:rPr>
        <w:t xml:space="preserve">-протеин аденилатциклазы </w:t>
      </w:r>
      <w:r>
        <w:rPr>
          <w:rStyle w:val="CharStyle103"/>
        </w:rPr>
        <w:t xml:space="preserve">(Допамин — </w:t>
      </w:r>
      <w:r>
        <w:rPr>
          <w:rStyle w:val="CharStyle103"/>
          <w:lang w:val="en-US" w:eastAsia="en-US" w:bidi="en-US"/>
        </w:rPr>
        <w:t>Dopamine)]</w:t>
      </w:r>
    </w:p>
    <w:p>
      <w:pPr>
        <w:pStyle w:val="Style30"/>
        <w:numPr>
          <w:ilvl w:val="0"/>
          <w:numId w:val="183"/>
        </w:numPr>
        <w:tabs>
          <w:tab w:leader="none" w:pos="506"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IB </w:t>
      </w:r>
      <w:r>
        <w:rPr>
          <w:lang w:val="ru-RU" w:eastAsia="ru-RU" w:bidi="ru-RU"/>
          <w:w w:val="100"/>
          <w:spacing w:val="0"/>
          <w:color w:val="000000"/>
          <w:position w:val="0"/>
        </w:rPr>
        <w:t>— ингибиции фосфодиэстеразы (ФДЭ), которая снижает скорость катаболизма цАМФ. Достоинством ингибиторов ФДЭ является сочетание положитель</w:t>
        <w:softHyphen/>
        <w:t>ной инотропии с вазодилатацией. Отрицательное их качество состоит в том, что они вызывают склонность к аритмиям, увеличивая этим летальность при дли</w:t>
        <w:softHyphen/>
        <w:t xml:space="preserve">тельном применении </w:t>
      </w:r>
      <w:r>
        <w:rPr>
          <w:rStyle w:val="CharStyle103"/>
        </w:rPr>
        <w:t>(Амринон, Милринон);</w:t>
      </w:r>
    </w:p>
    <w:p>
      <w:pPr>
        <w:pStyle w:val="Style30"/>
        <w:numPr>
          <w:ilvl w:val="0"/>
          <w:numId w:val="183"/>
        </w:numPr>
        <w:tabs>
          <w:tab w:leader="none" w:pos="506"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IC </w:t>
      </w:r>
      <w:r>
        <w:rPr>
          <w:lang w:val="ru-RU" w:eastAsia="ru-RU" w:bidi="ru-RU"/>
          <w:w w:val="100"/>
          <w:spacing w:val="0"/>
          <w:color w:val="000000"/>
          <w:position w:val="0"/>
        </w:rPr>
        <w:t>— прямой активации аденилатциклазы. Эти пре</w:t>
        <w:softHyphen/>
        <w:t>параты могут удлинять продолжительность потенци</w:t>
        <w:softHyphen/>
        <w:t>ала действия, при этом частота сердечного ритма обычно увеличивается (форсколин);</w:t>
      </w:r>
    </w:p>
    <w:p>
      <w:pPr>
        <w:pStyle w:val="Style30"/>
        <w:numPr>
          <w:ilvl w:val="0"/>
          <w:numId w:val="183"/>
        </w:numPr>
        <w:tabs>
          <w:tab w:leader="none" w:pos="506"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ID </w:t>
      </w:r>
      <w:r>
        <w:rPr>
          <w:lang w:val="ru-RU" w:eastAsia="ru-RU" w:bidi="ru-RU"/>
          <w:w w:val="100"/>
          <w:spacing w:val="0"/>
          <w:color w:val="000000"/>
          <w:position w:val="0"/>
        </w:rPr>
        <w:t xml:space="preserve">— модуляции кальциевых каналов </w:t>
      </w:r>
      <w:r>
        <w:rPr>
          <w:lang w:val="en-US" w:eastAsia="en-US" w:bidi="en-US"/>
          <w:w w:val="100"/>
          <w:spacing w:val="0"/>
          <w:color w:val="000000"/>
          <w:position w:val="0"/>
        </w:rPr>
        <w:t>L</w:t>
      </w:r>
      <w:r>
        <w:rPr>
          <w:lang w:val="ru-RU" w:eastAsia="ru-RU" w:bidi="ru-RU"/>
          <w:w w:val="100"/>
          <w:spacing w:val="0"/>
          <w:color w:val="000000"/>
          <w:position w:val="0"/>
        </w:rPr>
        <w:t>-типа. Элек</w:t>
        <w:softHyphen/>
        <w:t xml:space="preserve">трофизиологические эффекты </w:t>
      </w:r>
      <w:r>
        <w:rPr>
          <w:lang w:val="en-US" w:eastAsia="en-US" w:bidi="en-US"/>
          <w:w w:val="100"/>
          <w:spacing w:val="0"/>
          <w:color w:val="000000"/>
          <w:position w:val="0"/>
        </w:rPr>
        <w:t xml:space="preserve">BAY-K </w:t>
      </w:r>
      <w:r>
        <w:rPr>
          <w:lang w:val="ru-RU" w:eastAsia="ru-RU" w:bidi="ru-RU"/>
          <w:w w:val="100"/>
          <w:spacing w:val="0"/>
          <w:color w:val="000000"/>
          <w:position w:val="0"/>
        </w:rPr>
        <w:t>8644 могут быть полностью устранены под влиянием нифедипи- на и других дигидропиридинов.</w:t>
      </w:r>
    </w:p>
    <w:p>
      <w:pPr>
        <w:pStyle w:val="Style30"/>
        <w:numPr>
          <w:ilvl w:val="0"/>
          <w:numId w:val="199"/>
        </w:numPr>
        <w:tabs>
          <w:tab w:leader="none" w:pos="510"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 — эти препараты различными путями усилива</w:t>
        <w:softHyphen/>
        <w:t>ют внутриклеточную активность натрия:</w:t>
      </w:r>
    </w:p>
    <w:p>
      <w:pPr>
        <w:pStyle w:val="Style30"/>
        <w:numPr>
          <w:ilvl w:val="0"/>
          <w:numId w:val="183"/>
        </w:numPr>
        <w:tabs>
          <w:tab w:leader="none" w:pos="506"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IIA </w:t>
      </w:r>
      <w:r>
        <w:rPr>
          <w:lang w:val="ru-RU" w:eastAsia="ru-RU" w:bidi="ru-RU"/>
          <w:w w:val="100"/>
          <w:spacing w:val="0"/>
          <w:color w:val="000000"/>
          <w:position w:val="0"/>
        </w:rPr>
        <w:t>— торможение натрий-калиевого насоса. К этой подгруппе относятся сердечные гликозиды. Они уг</w:t>
        <w:softHyphen/>
        <w:t>нетают натрий-калиевую АТФазу, повышая уровень внутриклеточного натрия, и уменьшают натрий</w:t>
        <w:softHyphen/>
        <w:t>кальциевый обмен с повышением внутриклеточного содержания кальция. Одновременно уменьшается содержание внутриклеточного калия. Гликозиды мо</w:t>
        <w:softHyphen/>
        <w:t>гут разнообразно влиять на реполяризацию (укорачи</w:t>
        <w:softHyphen/>
        <w:t>вать, удлинять, не менять), что зависит от их концен</w:t>
        <w:softHyphen/>
        <w:t>трации и, соответственно, от влияния на различные токи ионов, участвующих в реполяризации. Результат токсического электрофизиологического действия гликозидов: индукция последеполяризации и угроза развития жизненно опасных аритмий в результате пе - регрузки кардиомиоцитов кальцием;</w:t>
      </w:r>
    </w:p>
    <w:p>
      <w:pPr>
        <w:pStyle w:val="Style30"/>
        <w:numPr>
          <w:ilvl w:val="0"/>
          <w:numId w:val="183"/>
        </w:numPr>
        <w:tabs>
          <w:tab w:leader="none" w:pos="506" w:val="left"/>
        </w:tabs>
        <w:widowControl w:val="0"/>
        <w:keepNext w:val="0"/>
        <w:keepLines w:val="0"/>
        <w:shd w:val="clear" w:color="auto" w:fill="auto"/>
        <w:bidi w:val="0"/>
        <w:spacing w:before="0" w:after="0"/>
        <w:ind w:left="520" w:right="0" w:hanging="240"/>
      </w:pPr>
      <w:r>
        <w:rPr>
          <w:lang w:val="en-US" w:eastAsia="en-US" w:bidi="en-US"/>
          <w:w w:val="100"/>
          <w:spacing w:val="0"/>
          <w:color w:val="000000"/>
          <w:position w:val="0"/>
        </w:rPr>
        <w:t xml:space="preserve">IIB </w:t>
      </w:r>
      <w:r>
        <w:rPr>
          <w:lang w:val="ru-RU" w:eastAsia="ru-RU" w:bidi="ru-RU"/>
          <w:w w:val="100"/>
          <w:spacing w:val="0"/>
          <w:color w:val="000000"/>
          <w:position w:val="0"/>
        </w:rPr>
        <w:t>— усиление трансмембранного притока натрия через вольтажчувствительные натриевые каналы. Из</w:t>
        <w:softHyphen/>
        <w:t>вестные препараты этой группы не применяют кли</w:t>
        <w:softHyphen/>
        <w:t>нически в связи с высокой общей токсичностью, хо</w:t>
        <w:softHyphen/>
        <w:t>тя некоторые обладают рядом благоприятных для кровообращения эффектов (включая вазодилата</w:t>
        <w:softHyphen/>
        <w:t xml:space="preserve">цию), например </w:t>
      </w:r>
      <w:r>
        <w:rPr>
          <w:lang w:val="en-US" w:eastAsia="en-US" w:bidi="en-US"/>
          <w:w w:val="100"/>
          <w:spacing w:val="0"/>
          <w:color w:val="000000"/>
          <w:position w:val="0"/>
        </w:rPr>
        <w:t>DPJ201-106.</w:t>
      </w:r>
    </w:p>
    <w:p>
      <w:pPr>
        <w:pStyle w:val="Style30"/>
        <w:numPr>
          <w:ilvl w:val="0"/>
          <w:numId w:val="199"/>
        </w:numPr>
        <w:tabs>
          <w:tab w:leader="none" w:pos="586"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класс — в отличие от предыдущих средств, которые усиливают инотропную функцию в результате повышения внутриклеточного кальция, препараты этого класса усили</w:t>
        <w:softHyphen/>
        <w:t xml:space="preserve">вают чувствительность миофиламентов к кальцию. К ним, помимо новых препаратов </w:t>
      </w:r>
      <w:r>
        <w:rPr>
          <w:rStyle w:val="CharStyle103"/>
        </w:rPr>
        <w:t>(Левосимендан, Пимобендан, Сульфамазол, Адибендан),</w:t>
      </w:r>
      <w:r>
        <w:rPr>
          <w:lang w:val="ru-RU" w:eastAsia="ru-RU" w:bidi="ru-RU"/>
          <w:w w:val="100"/>
          <w:spacing w:val="0"/>
          <w:color w:val="000000"/>
          <w:position w:val="0"/>
        </w:rPr>
        <w:t xml:space="preserve"> относятся также кофеин </w:t>
      </w:r>
      <w:r>
        <w:rPr>
          <w:rStyle w:val="CharStyle103"/>
          <w:lang w:val="en-US" w:eastAsia="en-US" w:bidi="en-US"/>
        </w:rPr>
        <w:t xml:space="preserve">(Coffein) </w:t>
      </w:r>
      <w:r>
        <w:rPr>
          <w:lang w:val="ru-RU" w:eastAsia="ru-RU" w:bidi="ru-RU"/>
          <w:w w:val="100"/>
          <w:spacing w:val="0"/>
          <w:color w:val="000000"/>
          <w:position w:val="0"/>
        </w:rPr>
        <w:t xml:space="preserve">и теофиллин </w:t>
      </w:r>
      <w:r>
        <w:rPr>
          <w:rStyle w:val="CharStyle103"/>
          <w:lang w:val="en-US" w:eastAsia="en-US" w:bidi="en-US"/>
        </w:rPr>
        <w:t xml:space="preserve">(Theophylline, </w:t>
      </w:r>
      <w:r>
        <w:rPr>
          <w:rStyle w:val="CharStyle103"/>
        </w:rPr>
        <w:t>син. Ретафил, Спофиллин, Теос- тат, Теотарт, Эуфилонг).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Вероятность возникновения аритмий при их примене</w:t>
        <w:softHyphen/>
        <w:t>нии считается невысокой, не исключается даже их анти</w:t>
        <w:softHyphen/>
        <w:t>аритмический эффект.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 достоинствам сенситизаторов кальция относят их эко - номичность, отсутствие повышения потребности в энер</w:t>
        <w:softHyphen/>
        <w:t>гии. Однако одновременно в эксперименте наблюдалось некоторое ухудшение диастолической функции.</w:t>
      </w:r>
    </w:p>
    <w:p>
      <w:pPr>
        <w:pStyle w:val="Style30"/>
        <w:numPr>
          <w:ilvl w:val="0"/>
          <w:numId w:val="199"/>
        </w:numPr>
        <w:tabs>
          <w:tab w:leader="none" w:pos="601" w:val="left"/>
        </w:tabs>
        <w:widowControl w:val="0"/>
        <w:keepNext w:val="0"/>
        <w:keepLines w:val="0"/>
        <w:shd w:val="clear" w:color="auto" w:fill="auto"/>
        <w:bidi w:val="0"/>
        <w:spacing w:before="0" w:after="0"/>
        <w:ind w:left="0" w:right="0" w:firstLine="280"/>
      </w:pPr>
      <w:r>
        <w:pict>
          <v:shape id="_x0000_s1905" type="#_x0000_t75" style="position:absolute;margin-left:148.55pt;margin-top:736.55pt;width:209.75pt;height:14.9pt;z-index:-125828743;mso-wrap-distance-left:148.1pt;mso-wrap-distance-right:136.8pt;mso-wrap-distance-bottom:10.8pt;mso-position-horizontal-relative:margin;mso-position-vertical-relative:margin" wrapcoords="0 0 21600 0 21600 21600 0 21600 0 0">
            <v:imagedata r:id="rId1398" r:href="rId1399"/>
            <w10:wrap type="topAndBottom" anchorx="margin" anchory="margin"/>
          </v:shape>
        </w:pict>
      </w:r>
      <w:r>
        <w:rPr>
          <w:lang w:val="ru-RU" w:eastAsia="ru-RU" w:bidi="ru-RU"/>
          <w:w w:val="100"/>
          <w:spacing w:val="0"/>
          <w:color w:val="000000"/>
          <w:position w:val="0"/>
        </w:rPr>
        <w:t xml:space="preserve">класс — препараты </w:t>
      </w:r>
      <w:r>
        <w:rPr>
          <w:rStyle w:val="CharStyle103"/>
        </w:rPr>
        <w:t>(Альмокалант, Веснаринон, Дофе- тилид</w:t>
      </w:r>
      <w:r>
        <w:rPr>
          <w:lang w:val="ru-RU" w:eastAsia="ru-RU" w:bidi="ru-RU"/>
          <w:w w:val="100"/>
          <w:spacing w:val="0"/>
          <w:color w:val="000000"/>
          <w:position w:val="0"/>
        </w:rPr>
        <w:t>), удлиняющие реполяризацию, усиливающие сокра</w:t>
        <w:softHyphen/>
        <w:t>тимость. При этом происходит накопление кальция в мио-</w:t>
      </w:r>
      <w:r>
        <w:br w:type="page"/>
      </w:r>
    </w:p>
    <w:p>
      <w:pPr>
        <w:pStyle w:val="Style30"/>
        <w:widowControl w:val="0"/>
        <w:keepNext w:val="0"/>
        <w:keepLines w:val="0"/>
        <w:shd w:val="clear" w:color="auto" w:fill="auto"/>
        <w:bidi w:val="0"/>
        <w:spacing w:before="0" w:after="0"/>
        <w:ind w:left="0" w:right="0" w:firstLine="0"/>
      </w:pPr>
      <w:r>
        <w:pict>
          <v:shape id="_x0000_s1906" type="#_x0000_t202" style="position:absolute;margin-left:253.7pt;margin-top:270.pt;width:240.7pt;height:5.e-002pt;z-index:-125828742;mso-wrap-distance-left:5.pt;mso-wrap-distance-right:5.pt;mso-position-horizontal-relative:margin;mso-position-vertical-relative:margin" filled="f" stroked="f">
            <v:textbox style="mso-fit-shape-to-text:t" inset="0,0,0,0">
              <w:txbxContent>
                <w:p>
                  <w:pPr>
                    <w:pStyle w:val="Style139"/>
                    <w:widowControl w:val="0"/>
                    <w:keepNext w:val="0"/>
                    <w:keepLines w:val="0"/>
                    <w:shd w:val="clear" w:color="auto" w:fill="auto"/>
                    <w:bidi w:val="0"/>
                    <w:spacing w:before="0" w:after="0" w:line="216" w:lineRule="exact"/>
                    <w:ind w:left="0" w:right="0" w:firstLine="0"/>
                  </w:pPr>
                  <w:r>
                    <w:rPr>
                      <w:rStyle w:val="CharStyle143"/>
                      <w:b/>
                      <w:bCs/>
                      <w:i/>
                      <w:iCs/>
                    </w:rPr>
                    <w:t>Таблица 43</w:t>
                  </w:r>
                </w:p>
                <w:p>
                  <w:pPr>
                    <w:pStyle w:val="Style96"/>
                    <w:widowControl w:val="0"/>
                    <w:keepNext w:val="0"/>
                    <w:keepLines w:val="0"/>
                    <w:shd w:val="clear" w:color="auto" w:fill="auto"/>
                    <w:bidi w:val="0"/>
                    <w:jc w:val="center"/>
                    <w:spacing w:before="0" w:after="0" w:line="216" w:lineRule="exact"/>
                    <w:ind w:left="0" w:right="0" w:firstLine="0"/>
                  </w:pPr>
                  <w:r>
                    <w:rPr>
                      <w:rStyle w:val="CharStyle97"/>
                    </w:rPr>
                    <w:t>Дозировка дигоксина у новорожденных в зависимости от массы тела в мкг/кг</w:t>
                  </w:r>
                </w:p>
                <w:tbl>
                  <w:tblPr>
                    <w:tblOverlap w:val="never"/>
                    <w:tblLayout w:type="fixed"/>
                    <w:jc w:val="center"/>
                  </w:tblPr>
                  <w:tblGrid>
                    <w:gridCol w:w="1205"/>
                    <w:gridCol w:w="1200"/>
                    <w:gridCol w:w="1200"/>
                    <w:gridCol w:w="1210"/>
                  </w:tblGrid>
                  <w:tr>
                    <w:trPr>
                      <w:trHeight w:val="8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Масса тела, кг</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Общая доза при медленном внутривенном насыщении</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Общая доза при перораль</w:t>
                          <w:softHyphen/>
                          <w:t>ном насыще</w:t>
                          <w:softHyphen/>
                          <w:t>нии</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92" w:lineRule="exact"/>
                          <w:ind w:left="0" w:right="0" w:firstLine="160"/>
                        </w:pPr>
                        <w:r>
                          <w:rPr>
                            <w:lang w:val="ru-RU" w:eastAsia="ru-RU" w:bidi="ru-RU"/>
                            <w:w w:val="100"/>
                            <w:spacing w:val="0"/>
                            <w:color w:val="000000"/>
                            <w:position w:val="0"/>
                          </w:rPr>
                          <w:t>Суточная пе</w:t>
                          <w:softHyphen/>
                          <w:t>роральная под</w:t>
                          <w:softHyphen/>
                          <w:t>держивающая</w:t>
                        </w:r>
                      </w:p>
                      <w:p>
                        <w:pPr>
                          <w:pStyle w:val="Style30"/>
                          <w:widowControl w:val="0"/>
                          <w:keepNext w:val="0"/>
                          <w:keepLines w:val="0"/>
                          <w:shd w:val="clear" w:color="auto" w:fill="auto"/>
                          <w:bidi w:val="0"/>
                          <w:jc w:val="center"/>
                          <w:spacing w:before="0" w:after="0" w:line="192" w:lineRule="exact"/>
                          <w:ind w:left="0" w:right="0" w:firstLine="0"/>
                        </w:pPr>
                        <w:r>
                          <w:rPr>
                            <w:lang w:val="ru-RU" w:eastAsia="ru-RU" w:bidi="ru-RU"/>
                            <w:w w:val="100"/>
                            <w:spacing w:val="0"/>
                            <w:color w:val="000000"/>
                            <w:position w:val="0"/>
                          </w:rPr>
                          <w:t>доза</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&lt; 1,5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20 (мкг/кг)</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25 (мкг/кг)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5,0 (мкг/кг)</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1,5-2,5</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30 (мкг/кг)</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35 (мкг/кг)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7,5 (мкг/кг)</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&gt;2,5</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35 (мкг/кг)</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200" w:right="0" w:firstLine="0"/>
                        </w:pPr>
                        <w:r>
                          <w:rPr>
                            <w:lang w:val="ru-RU" w:eastAsia="ru-RU" w:bidi="ru-RU"/>
                            <w:w w:val="100"/>
                            <w:spacing w:val="0"/>
                            <w:color w:val="000000"/>
                            <w:position w:val="0"/>
                          </w:rPr>
                          <w:t>45 (мкг/кг)</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160"/>
                        </w:pPr>
                        <w:r>
                          <w:rPr>
                            <w:lang w:val="ru-RU" w:eastAsia="ru-RU" w:bidi="ru-RU"/>
                            <w:w w:val="100"/>
                            <w:spacing w:val="0"/>
                            <w:color w:val="000000"/>
                            <w:position w:val="0"/>
                          </w:rPr>
                          <w:t>10,0 (мкг/кг)</w:t>
                        </w:r>
                      </w:p>
                    </w:tc>
                  </w:tr>
                </w:tbl>
                <w:p>
                  <w:pPr>
                    <w:widowControl w:val="0"/>
                    <w:rPr>
                      <w:sz w:val="2"/>
                      <w:szCs w:val="2"/>
                    </w:rPr>
                  </w:pPr>
                </w:p>
              </w:txbxContent>
            </v:textbox>
            <w10:wrap type="square" side="left" anchorx="margin" anchory="margin"/>
          </v:shape>
        </w:pict>
      </w:r>
      <w:r>
        <w:rPr>
          <w:lang w:val="ru-RU" w:eastAsia="ru-RU" w:bidi="ru-RU"/>
          <w:w w:val="100"/>
          <w:spacing w:val="0"/>
          <w:color w:val="000000"/>
          <w:position w:val="0"/>
        </w:rPr>
        <w:t>карде. Эти препараты также часто обладают комбиниро</w:t>
        <w:softHyphen/>
        <w:t>ванным действием (включая ингибицию ФДЭ). Несмотря на эти эффекты, веснаринон урежает сердечный ритм.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Возможны и другие механизмы усиления инотропной функции миокарда: стимуляция а-адренорецепторов, мо</w:t>
        <w:softHyphen/>
        <w:t xml:space="preserve">дуляция афинности кальция к обменному механизму №- </w:t>
      </w:r>
      <w:r>
        <w:rPr>
          <w:lang w:val="en-US" w:eastAsia="en-US" w:bidi="en-US"/>
          <w:w w:val="100"/>
          <w:spacing w:val="0"/>
          <w:color w:val="000000"/>
          <w:position w:val="0"/>
        </w:rPr>
        <w:t xml:space="preserve">Ca, </w:t>
      </w:r>
      <w:r>
        <w:rPr>
          <w:lang w:val="ru-RU" w:eastAsia="ru-RU" w:bidi="ru-RU"/>
          <w:w w:val="100"/>
          <w:spacing w:val="0"/>
          <w:color w:val="000000"/>
          <w:position w:val="0"/>
        </w:rPr>
        <w:t>изменение скорости освобождения кальция из сарко</w:t>
        <w:softHyphen/>
        <w:t>плазматического ретикулума. Возможно, препараты, дей</w:t>
        <w:softHyphen/>
        <w:t>ствующие этими путями, в будущем будут доступны клини</w:t>
        <w:softHyphen/>
        <w:t>цистам.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Таким образом, одним из важных эффектов инотропных препаратов, обусловленным перемещением электролитов и накоплением кальция в клетках, является проаритмичес</w:t>
        <w:softHyphen/>
        <w:t>кий эффект. Негативным аспектом применения активато</w:t>
        <w:softHyphen/>
        <w:t xml:space="preserve">ров кальциевых каналов </w:t>
      </w:r>
      <w:r>
        <w:rPr>
          <w:lang w:val="en-US" w:eastAsia="en-US" w:bidi="en-US"/>
          <w:w w:val="100"/>
          <w:spacing w:val="0"/>
          <w:color w:val="000000"/>
          <w:position w:val="0"/>
        </w:rPr>
        <w:t xml:space="preserve">(I </w:t>
      </w:r>
      <w:r>
        <w:rPr>
          <w:lang w:val="ru-RU" w:eastAsia="ru-RU" w:bidi="ru-RU"/>
          <w:w w:val="100"/>
          <w:spacing w:val="0"/>
          <w:color w:val="000000"/>
          <w:position w:val="0"/>
        </w:rPr>
        <w:t>класс) является вазоконстрик- ция и повреждение ЦНС.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Сердечные гликозиды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 сегодняшний день лучшим средством, улучшающим сократительную способность миокарда, являются гликози- ды группы дигиталиса. Препараты этой группы замедляют возникновение импульсов в синоатриальном узле, снижа</w:t>
        <w:softHyphen/>
        <w:t>ют проводимость в атриовентрикулярном узле, повышают автоматизм сердца, а главное, вызывают положительный инотропный эффект. Исходя из фармакологических свойств, сердечные гликозиды могут использоваться для терапии сердечной недостаточности, а также при суправен</w:t>
        <w:softHyphen/>
        <w:t>трикулярной тахикардии. Однако необходимо помнить, что эти препараты могут быть опасны при некардиогенной си</w:t>
        <w:softHyphen/>
        <w:t>нусовой тахикардии, а их передозировка может привести к остановке сердца.</w:t>
      </w:r>
    </w:p>
    <w:p>
      <w:pPr>
        <w:pStyle w:val="Style107"/>
        <w:widowControl w:val="0"/>
        <w:keepNext w:val="0"/>
        <w:keepLines w:val="0"/>
        <w:shd w:val="clear" w:color="auto" w:fill="auto"/>
        <w:bidi w:val="0"/>
        <w:spacing w:before="0" w:after="0"/>
        <w:ind w:left="0" w:right="0"/>
      </w:pPr>
      <w:r>
        <w:rPr>
          <w:rStyle w:val="CharStyle137"/>
          <w:b w:val="0"/>
          <w:bCs w:val="0"/>
          <w:i w:val="0"/>
          <w:iCs w:val="0"/>
        </w:rPr>
        <w:t xml:space="preserve">Наиболее часто в детской практике используется </w:t>
      </w:r>
      <w:r>
        <w:rPr>
          <w:lang w:val="ru-RU" w:eastAsia="ru-RU" w:bidi="ru-RU"/>
          <w:w w:val="100"/>
          <w:spacing w:val="0"/>
          <w:color w:val="000000"/>
          <w:position w:val="0"/>
        </w:rPr>
        <w:t xml:space="preserve">дигок- син </w:t>
      </w:r>
      <w:r>
        <w:rPr>
          <w:lang w:val="en-US" w:eastAsia="en-US" w:bidi="en-US"/>
          <w:w w:val="100"/>
          <w:spacing w:val="0"/>
          <w:color w:val="000000"/>
          <w:position w:val="0"/>
        </w:rPr>
        <w:t xml:space="preserve">(Digoxin, </w:t>
      </w:r>
      <w:r>
        <w:rPr>
          <w:lang w:val="ru-RU" w:eastAsia="ru-RU" w:bidi="ru-RU"/>
          <w:w w:val="100"/>
          <w:spacing w:val="0"/>
          <w:color w:val="000000"/>
          <w:position w:val="0"/>
        </w:rPr>
        <w:t xml:space="preserve">син. </w:t>
      </w:r>
      <w:r>
        <w:rPr>
          <w:lang w:val="en-US" w:eastAsia="en-US" w:bidi="en-US"/>
          <w:w w:val="100"/>
          <w:spacing w:val="0"/>
          <w:color w:val="000000"/>
          <w:position w:val="0"/>
        </w:rPr>
        <w:t>Digoxinum, Cedoxin, Cordioxyl, Lanoxin).</w:t>
      </w:r>
      <w:r>
        <w:rPr>
          <w:rStyle w:val="CharStyle137"/>
          <w:lang w:val="en-US" w:eastAsia="en-US" w:bidi="en-US"/>
          <w:b w:val="0"/>
          <w:bCs w:val="0"/>
          <w:i w:val="0"/>
          <w:iCs w:val="0"/>
        </w:rPr>
        <w:t xml:space="preserve"> </w:t>
      </w:r>
      <w:r>
        <w:rPr>
          <w:rStyle w:val="CharStyle137"/>
          <w:b w:val="0"/>
          <w:bCs w:val="0"/>
          <w:i w:val="0"/>
          <w:iCs w:val="0"/>
        </w:rPr>
        <w:t>Его</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фармакокинетика и фармакодинамика (время полувыведе</w:t>
        <w:softHyphen/>
        <w:t>ния 36 часов) таковы, что препарат оказывается удобен в применении (его можно вводить два раза в день), а также довольно быстрое время полувыведения позволяет предуп</w:t>
        <w:softHyphen/>
        <w:t>редить токсические проявления, если произошла передози</w:t>
        <w:softHyphen/>
        <w:t>ровка.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настоящее время известно более 400 сердечных глико- зидов. Несмотря на такое многообразие сердечных глико- зидов, обладающих различными фармакокинетическими и фармакодинамическими параметрами, а также опреде</w:t>
        <w:softHyphen/>
        <w:t>ленными нюансами клинического и гемодинамического действия, все они имеют сходное химическое строение, обусловливающее сходный механизм их действия, прежде всего на сердце.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Длительное время сердечные гликозиды наряду с диуре</w:t>
        <w:softHyphen/>
        <w:t>тиками были единственными средствами, которые позво</w:t>
        <w:softHyphen/>
        <w:t>ляли облегчить жизнь больных с застойной сердечной не</w:t>
        <w:softHyphen/>
        <w:t>достаточностью. Однако на протяжении всего времени ис</w:t>
        <w:softHyphen/>
        <w:t>пользования сердечных гликозидов врачи «балансировали» между терапевтическим эффектом и осложнениями, вызы</w:t>
        <w:softHyphen/>
        <w:t>ваемыми этой группой препаратов.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Новые взгляды на процесс развития застойной сердеч</w:t>
        <w:softHyphen/>
        <w:t>ной недостаточности с учетом значимости компенсаторных механизмов, появление новых средств лечения вызвали ак</w:t>
        <w:softHyphen/>
        <w:t>тивную дискуссию по поводу использования сердечных гликозидов при этом патологическом процессе. Тем не ме</w:t>
        <w:softHyphen/>
        <w:t>нее, сердечные гликозиды являются основой терапии хро</w:t>
        <w:softHyphen/>
        <w:t>нической сердечной недостаточности.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 последние годы выявлена способность дигоксина сни</w:t>
        <w:softHyphen/>
        <w:t>жать активность ренин-ангиотензин-альдостероновой сис</w:t>
        <w:softHyphen/>
        <w:br w:type="column"/>
        <w:t>темы вне связи с инотропным действием. В ряде работ так</w:t>
        <w:softHyphen/>
        <w:t>же показана способность дигоксина снижать активность симпатико-адреналовой системы и увеличивать плотность Ь2-рецепторов лимфоцитов у больных с застойной сердеч</w:t>
        <w:softHyphen/>
        <w:t>ной недостаточностью.</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Общие рекомендации для проведения дигитализации у детей с сердечной недостаточностью таковы: </w:t>
      </w:r>
      <w:r>
        <w:rPr>
          <w:rStyle w:val="CharStyle103"/>
        </w:rPr>
        <w:t xml:space="preserve">дигоксин </w:t>
      </w:r>
      <w:r>
        <w:rPr>
          <w:lang w:val="ru-RU" w:eastAsia="ru-RU" w:bidi="ru-RU"/>
          <w:w w:val="100"/>
          <w:spacing w:val="0"/>
          <w:color w:val="000000"/>
          <w:position w:val="0"/>
        </w:rPr>
        <w:t>должен назначаться тяжелым детям парентерально, т.к. пе</w:t>
        <w:softHyphen/>
        <w:t>роральный прием у таких детей очень ненадежен (у ребен</w:t>
        <w:softHyphen/>
        <w:t>ка может быть рвота или просто снижение абсорбции ле</w:t>
        <w:softHyphen/>
        <w:t>карства в желудочно-кишечном тракте). Поэтому тяжелым детям сразу рекомендуется начинать с внутривенного при</w:t>
        <w:softHyphen/>
        <w:t xml:space="preserve">ема </w:t>
      </w:r>
      <w:r>
        <w:rPr>
          <w:rStyle w:val="CharStyle103"/>
        </w:rPr>
        <w:t>дигоксина.</w:t>
      </w:r>
      <w:r>
        <w:rPr>
          <w:lang w:val="ru-RU" w:eastAsia="ru-RU" w:bidi="ru-RU"/>
          <w:w w:val="100"/>
          <w:spacing w:val="0"/>
          <w:color w:val="000000"/>
          <w:position w:val="0"/>
        </w:rPr>
        <w:t xml:space="preserve"> При этой форме введения есть одна большая опасность: десятикратная передозировка из-за неправиль</w:t>
        <w:softHyphen/>
        <w:t>но выбранного разведения препарата. Детям в среднетяже</w:t>
        <w:softHyphen/>
        <w:t>лом состоянии можно назначать дигоксин перорально.</w:t>
      </w:r>
    </w:p>
    <w:p>
      <w:pPr>
        <w:pStyle w:val="Style30"/>
        <w:widowControl w:val="0"/>
        <w:keepNext w:val="0"/>
        <w:keepLines w:val="0"/>
        <w:shd w:val="clear" w:color="auto" w:fill="auto"/>
        <w:bidi w:val="0"/>
        <w:spacing w:before="0" w:after="120"/>
        <w:ind w:left="0" w:right="0" w:firstLine="280"/>
      </w:pPr>
      <w:r>
        <w:rPr>
          <w:lang w:val="ru-RU" w:eastAsia="ru-RU" w:bidi="ru-RU"/>
          <w:w w:val="100"/>
          <w:spacing w:val="0"/>
          <w:color w:val="000000"/>
          <w:position w:val="0"/>
        </w:rPr>
        <w:t xml:space="preserve">Доза насыщения </w:t>
      </w:r>
      <w:r>
        <w:rPr>
          <w:rStyle w:val="CharStyle103"/>
        </w:rPr>
        <w:t>дигоксина</w:t>
      </w:r>
      <w:r>
        <w:rPr>
          <w:lang w:val="ru-RU" w:eastAsia="ru-RU" w:bidi="ru-RU"/>
          <w:w w:val="100"/>
          <w:spacing w:val="0"/>
          <w:color w:val="000000"/>
          <w:position w:val="0"/>
        </w:rPr>
        <w:t xml:space="preserve"> зависит от возраста и веса больного. Обычно она составляет 0,025 мг/кг для новорож</w:t>
        <w:softHyphen/>
        <w:t>денных и грудных детей, 0,05 мг/кг для детей до двух лет, 0,025 мг/кг для более старших детей. Полные дети обычно требуют более высоких доз дигоксина из-за повышенной толерантности к препарату. Новорожденным также назна</w:t>
        <w:softHyphen/>
        <w:t>чают более высокие дозы из-за быстрого выведения препа</w:t>
        <w:softHyphen/>
        <w:t>рата (табл. 43).</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Приблизительная оценка дозы насыщения недопусти</w:t>
        <w:softHyphen/>
        <w:t>ма, т.к. это может привести к передозировке или недоста</w:t>
        <w:softHyphen/>
        <w:t>точной дозе препарата.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После того как рассчитана полная доза насыщения, ее рекомендуется разделить на три части и дать в три приема за 8-16 часов. Для детей в крайне тяжелом состоянии ин</w:t>
        <w:softHyphen/>
        <w:t>тервал между введением может быть сокращен до 4 часов. Если после введения дозы насыщения ответ слабый, то можно ввести дополнительную дозу, однако доза более 150% от исходно вычисленной дозы насыщения требуется крайне редко.</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Перед введением </w:t>
      </w:r>
      <w:r>
        <w:rPr>
          <w:rStyle w:val="CharStyle103"/>
        </w:rPr>
        <w:t>дигоксина</w:t>
      </w:r>
      <w:r>
        <w:rPr>
          <w:lang w:val="ru-RU" w:eastAsia="ru-RU" w:bidi="ru-RU"/>
          <w:w w:val="100"/>
          <w:spacing w:val="0"/>
          <w:color w:val="000000"/>
          <w:position w:val="0"/>
        </w:rPr>
        <w:t xml:space="preserve"> необходимо сделать ЭКГ-ис- следование. Затем дается первая треть вычисленной дозы насыщения и через два часа повторно делается ЭКГ, т.к. именно в это время наблюдается пик антиаритмического эффекта дигоксина. Особенное внимание следует обратить на форму зубца Р во II стандартном отведении.</w:t>
      </w:r>
    </w:p>
    <w:p>
      <w:pPr>
        <w:pStyle w:val="Style30"/>
        <w:widowControl w:val="0"/>
        <w:keepNext w:val="0"/>
        <w:keepLines w:val="0"/>
        <w:shd w:val="clear" w:color="auto" w:fill="auto"/>
        <w:bidi w:val="0"/>
        <w:spacing w:before="0" w:after="0"/>
        <w:ind w:left="0" w:right="0" w:firstLine="280"/>
      </w:pPr>
      <w:r>
        <w:pict>
          <v:shape id="_x0000_s1907" type="#_x0000_t75" style="position:absolute;margin-left:137.3pt;margin-top:736.55pt;width:209.75pt;height:14.9pt;z-index:-125828741;mso-wrap-distance-left:136.8pt;mso-wrap-distance-right:148.1pt;mso-wrap-distance-bottom:10.8pt;mso-position-horizontal-relative:margin;mso-position-vertical-relative:margin" wrapcoords="0 0 21600 0 21600 21600 0 21600 0 0">
            <v:imagedata r:id="rId1400" r:href="rId1401"/>
            <w10:wrap type="topAndBottom" anchorx="margin" anchory="margin"/>
          </v:shape>
        </w:pict>
      </w:r>
      <w:r>
        <w:rPr>
          <w:lang w:val="ru-RU" w:eastAsia="ru-RU" w:bidi="ru-RU"/>
          <w:w w:val="100"/>
          <w:spacing w:val="0"/>
          <w:color w:val="000000"/>
          <w:position w:val="0"/>
        </w:rPr>
        <w:t>При отсутствии токсического эффекта дают вторую дозу и опять регистрируют ЭКГ через два часа. Если нет проти</w:t>
        <w:softHyphen/>
        <w:t>вопоказаний, дается остаток дозы насыщения и проводит</w:t>
        <w:softHyphen/>
        <w:t>ся контроль ЭКГ через два часа. Если первая треть дозы бы - ла дана внутривенно из-за срочности, то потом можно пе</w:t>
        <w:softHyphen/>
        <w:t>рейти на внутримышечный прием. Если же признаки ток</w:t>
        <w:softHyphen/>
        <w:t>сического воздействия дигоксина проявились до того, как была введена вся доза насыщения, то общая доза дигитали</w:t>
        <w:softHyphen/>
        <w:t>зации должна быть снижена. Это снижение дозы можно до -</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стигнуть путем введения вместо очередной части дозы на</w:t>
        <w:softHyphen/>
        <w:t>сыщения сразу поддерживающей дозы. Аналогично, если для достижения необходимого терапевтического эффекта была дана доза, превышающая первоначально рассчитан</w:t>
        <w:softHyphen/>
        <w:t>ную дозу насыщения, то поддерживающая доза должна рас</w:t>
        <w:softHyphen/>
        <w:t>считываться исходя из полной терапевтической дозы.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Поддерживающая доза составляет обычно четвертую или третью часть от вычисленной дозы насыщения. Пер</w:t>
        <w:softHyphen/>
        <w:t>вый раз поддерживающая доза дается не ранее чем через 12 часов после приема последней части дозы насыщения. В дальнейшем она дается в фиксированное время суток, обычно с двенадцатичасовым перерывом для уменьшения возможности токсических реакций. При улучшении состо</w:t>
        <w:softHyphen/>
        <w:t xml:space="preserve">яния ребенка можно перейти на пероральный прием </w:t>
      </w:r>
      <w:r>
        <w:rPr>
          <w:rStyle w:val="CharStyle103"/>
        </w:rPr>
        <w:t>дигок- сина.</w:t>
      </w:r>
      <w:r>
        <w:rPr>
          <w:lang w:val="ru-RU" w:eastAsia="ru-RU" w:bidi="ru-RU"/>
          <w:w w:val="100"/>
          <w:spacing w:val="0"/>
          <w:color w:val="000000"/>
          <w:position w:val="0"/>
        </w:rPr>
        <w:t xml:space="preserve"> Однако нужно учесть, что даже при хорошей аб</w:t>
        <w:softHyphen/>
        <w:t>сорбции всасывается не более 65-75% полученного лекар</w:t>
        <w:softHyphen/>
        <w:t>ства, поэтому при переходе с парентерального на перо</w:t>
        <w:softHyphen/>
        <w:t>ральный путь введения препарата его доза должна быть увеличена примерно на треть. Если у ребенка сразу после приема препарата наблюдается рвота, повторять прием не рекомендуется во избежание токсического эффекта дигок- сина.</w:t>
      </w:r>
    </w:p>
    <w:p>
      <w:pPr>
        <w:pStyle w:val="Style107"/>
        <w:widowControl w:val="0"/>
        <w:keepNext w:val="0"/>
        <w:keepLines w:val="0"/>
        <w:shd w:val="clear" w:color="auto" w:fill="auto"/>
        <w:bidi w:val="0"/>
        <w:spacing w:before="0" w:after="0"/>
        <w:ind w:left="0" w:right="0"/>
      </w:pPr>
      <w:r>
        <w:rPr>
          <w:rStyle w:val="CharStyle137"/>
          <w:b w:val="0"/>
          <w:bCs w:val="0"/>
          <w:i w:val="0"/>
          <w:iCs w:val="0"/>
        </w:rPr>
        <w:t xml:space="preserve">Дигитоксин </w:t>
      </w:r>
      <w:r>
        <w:rPr>
          <w:lang w:val="en-US" w:eastAsia="en-US" w:bidi="en-US"/>
          <w:w w:val="100"/>
          <w:spacing w:val="0"/>
          <w:color w:val="000000"/>
          <w:position w:val="0"/>
        </w:rPr>
        <w:t xml:space="preserve">(Digitoxin, </w:t>
      </w:r>
      <w:r>
        <w:rPr>
          <w:lang w:val="ru-RU" w:eastAsia="ru-RU" w:bidi="ru-RU"/>
          <w:w w:val="100"/>
          <w:spacing w:val="0"/>
          <w:color w:val="000000"/>
          <w:position w:val="0"/>
        </w:rPr>
        <w:t xml:space="preserve">син. </w:t>
      </w:r>
      <w:r>
        <w:rPr>
          <w:lang w:val="en-US" w:eastAsia="en-US" w:bidi="en-US"/>
          <w:w w:val="100"/>
          <w:spacing w:val="0"/>
          <w:color w:val="000000"/>
          <w:position w:val="0"/>
        </w:rPr>
        <w:t>Digitoxinum, Cardigin, Cordalen, Digotin, Cristapurat)</w:t>
      </w:r>
      <w:r>
        <w:rPr>
          <w:rStyle w:val="CharStyle137"/>
          <w:lang w:val="en-US" w:eastAsia="en-US" w:bidi="en-US"/>
          <w:b w:val="0"/>
          <w:bCs w:val="0"/>
          <w:i w:val="0"/>
          <w:iCs w:val="0"/>
        </w:rPr>
        <w:t xml:space="preserve"> </w:t>
      </w:r>
      <w:r>
        <w:rPr>
          <w:rStyle w:val="CharStyle137"/>
          <w:b w:val="0"/>
          <w:bCs w:val="0"/>
          <w:i w:val="0"/>
          <w:iCs w:val="0"/>
        </w:rPr>
        <w:t xml:space="preserve">применяется как и </w:t>
      </w:r>
      <w:r>
        <w:rPr>
          <w:lang w:val="ru-RU" w:eastAsia="ru-RU" w:bidi="ru-RU"/>
          <w:w w:val="100"/>
          <w:spacing w:val="0"/>
          <w:color w:val="000000"/>
          <w:position w:val="0"/>
        </w:rPr>
        <w:t>дигоксин,</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но в дозе, составляющей половину от дигоксина. Т.к. этот препарат полностью абсорбируется в желудочно -кишечном тракте, его дозы для перорального и парентерального при</w:t>
        <w:softHyphen/>
        <w:t>менения идентичны.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Контроль за дигитализацией можно осуществлять путем определения концентрации </w:t>
      </w:r>
      <w:r>
        <w:rPr>
          <w:rStyle w:val="CharStyle103"/>
        </w:rPr>
        <w:t>дигоксина</w:t>
      </w:r>
      <w:r>
        <w:rPr>
          <w:lang w:val="ru-RU" w:eastAsia="ru-RU" w:bidi="ru-RU"/>
          <w:w w:val="100"/>
          <w:spacing w:val="0"/>
          <w:color w:val="000000"/>
          <w:position w:val="0"/>
        </w:rPr>
        <w:t xml:space="preserve"> в крови. У детей тера</w:t>
        <w:softHyphen/>
        <w:t xml:space="preserve">певтический уровень </w:t>
      </w:r>
      <w:r>
        <w:rPr>
          <w:rStyle w:val="CharStyle103"/>
        </w:rPr>
        <w:t>дигоксина</w:t>
      </w:r>
      <w:r>
        <w:rPr>
          <w:lang w:val="ru-RU" w:eastAsia="ru-RU" w:bidi="ru-RU"/>
          <w:w w:val="100"/>
          <w:spacing w:val="0"/>
          <w:color w:val="000000"/>
          <w:position w:val="0"/>
        </w:rPr>
        <w:t xml:space="preserve"> в крови варьирует от 1 до 5 нг/мл (в среднем 3,5 нг/мл), токсический эффект может наблюдаться уже при концентрации выше 3 нг/мл.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Определение концентрации </w:t>
      </w:r>
      <w:r>
        <w:rPr>
          <w:rStyle w:val="CharStyle103"/>
        </w:rPr>
        <w:t>дигоксина</w:t>
      </w:r>
      <w:r>
        <w:rPr>
          <w:lang w:val="ru-RU" w:eastAsia="ru-RU" w:bidi="ru-RU"/>
          <w:w w:val="100"/>
          <w:spacing w:val="0"/>
          <w:color w:val="000000"/>
          <w:position w:val="0"/>
        </w:rPr>
        <w:t xml:space="preserve"> в крови желатель</w:t>
        <w:softHyphen/>
        <w:t>но проводить у детей с сопутствующей почечной недоста</w:t>
        <w:softHyphen/>
        <w:t>точностью и у больных, получающих терапию противо</w:t>
        <w:softHyphen/>
        <w:t xml:space="preserve">аритмическими препаратами (хинидин </w:t>
      </w:r>
      <w:r>
        <w:rPr>
          <w:rStyle w:val="CharStyle103"/>
          <w:lang w:val="en-US" w:eastAsia="en-US" w:bidi="en-US"/>
        </w:rPr>
        <w:t>(Chinidinum),</w:t>
      </w:r>
      <w:r>
        <w:rPr>
          <w:lang w:val="en-US" w:eastAsia="en-US" w:bidi="en-US"/>
          <w:w w:val="100"/>
          <w:spacing w:val="0"/>
          <w:color w:val="000000"/>
          <w:position w:val="0"/>
        </w:rPr>
        <w:t xml:space="preserve"> </w:t>
      </w:r>
      <w:r>
        <w:rPr>
          <w:lang w:val="ru-RU" w:eastAsia="ru-RU" w:bidi="ru-RU"/>
          <w:w w:val="100"/>
          <w:spacing w:val="0"/>
          <w:color w:val="000000"/>
          <w:position w:val="0"/>
        </w:rPr>
        <w:t xml:space="preserve">вера- памил </w:t>
      </w:r>
      <w:r>
        <w:rPr>
          <w:lang w:val="en-US" w:eastAsia="en-US" w:bidi="en-US"/>
          <w:w w:val="100"/>
          <w:spacing w:val="0"/>
          <w:color w:val="000000"/>
          <w:position w:val="0"/>
        </w:rPr>
        <w:t>(</w:t>
      </w:r>
      <w:r>
        <w:rPr>
          <w:rStyle w:val="CharStyle103"/>
          <w:lang w:val="en-US" w:eastAsia="en-US" w:bidi="en-US"/>
        </w:rPr>
        <w:t xml:space="preserve">Nifedipine, </w:t>
      </w:r>
      <w:r>
        <w:rPr>
          <w:rStyle w:val="CharStyle103"/>
        </w:rPr>
        <w:t xml:space="preserve">син. </w:t>
      </w:r>
      <w:r>
        <w:rPr>
          <w:rStyle w:val="CharStyle103"/>
          <w:lang w:val="en-US" w:eastAsia="en-US" w:bidi="en-US"/>
        </w:rPr>
        <w:t xml:space="preserve">Corinfar, Cordipin, Adalat, Nifecard, Nifedex, Nifehexal </w:t>
      </w:r>
      <w:r>
        <w:rPr>
          <w:rStyle w:val="CharStyle103"/>
        </w:rPr>
        <w:t>и др.</w:t>
      </w:r>
      <w:r>
        <w:rPr>
          <w:lang w:val="ru-RU" w:eastAsia="ru-RU" w:bidi="ru-RU"/>
          <w:w w:val="100"/>
          <w:spacing w:val="0"/>
          <w:color w:val="000000"/>
          <w:position w:val="0"/>
        </w:rPr>
        <w:t>). У новорожденных определение ди</w:t>
        <w:softHyphen/>
        <w:t>гоксина в крови может дать неправильные результаты из-за присутствия перекрестнореагирующих эндогенных неди- гоксиновых субстанций.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Если ребенок недавно находился на терапии </w:t>
      </w:r>
      <w:r>
        <w:rPr>
          <w:rStyle w:val="CharStyle103"/>
        </w:rPr>
        <w:t xml:space="preserve">дигоксином, </w:t>
      </w:r>
      <w:r>
        <w:rPr>
          <w:lang w:val="ru-RU" w:eastAsia="ru-RU" w:bidi="ru-RU"/>
          <w:w w:val="100"/>
          <w:spacing w:val="0"/>
          <w:color w:val="000000"/>
          <w:position w:val="0"/>
        </w:rPr>
        <w:t>следует более осторожно назначать ему сразу поддержива</w:t>
        <w:softHyphen/>
        <w:t>ющую дозу, давать ее нужно по возможности малыми частя</w:t>
        <w:softHyphen/>
        <w:t>ми.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Если больному проводится перитонеальный диализ, </w:t>
      </w:r>
      <w:r>
        <w:rPr>
          <w:rStyle w:val="CharStyle103"/>
        </w:rPr>
        <w:t>ди- гоксин</w:t>
      </w:r>
      <w:r>
        <w:rPr>
          <w:lang w:val="ru-RU" w:eastAsia="ru-RU" w:bidi="ru-RU"/>
          <w:w w:val="100"/>
          <w:spacing w:val="0"/>
          <w:color w:val="000000"/>
          <w:position w:val="0"/>
        </w:rPr>
        <w:t xml:space="preserve"> усиленно выводится из организма, поэтому каждый день такому больному необходимо дополнительно вводить 14 процентов общей дозы дигитализации для поддержания терапевтического уровня дигоксина в крови.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Интоксикация дигоксином</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Интоксикация дигоксином в основном возникает из-за передозировки препарата или недооценки снижения по</w:t>
        <w:softHyphen/>
        <w:t>чечной функции. Редко интоксикация наступает из-за ги- покалиемии, что бывает при бесконтрольном применении диуретиков, при гипомагниемии или внутривенном введе</w:t>
        <w:softHyphen/>
        <w:t>нии кальция. Основными проявлениями интоксикации яв</w:t>
        <w:softHyphen/>
        <w:t>ляются нарушения проводимости, частоты и ритма сердеч</w:t>
        <w:softHyphen/>
        <w:t>ных сокращений.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У новорожденных интоксикация гликозидами обычно манифестирует синусовой брадикардией или атриовентри</w:t>
        <w:softHyphen/>
        <w:br w:type="column"/>
        <w:t>кулярным блоком. Для детей старшего возраста более ти</w:t>
        <w:softHyphen/>
        <w:t xml:space="preserve">пична желудочковая эктопия. Если интервал </w:t>
      </w:r>
      <w:r>
        <w:rPr>
          <w:lang w:val="en-US" w:eastAsia="en-US" w:bidi="en-US"/>
          <w:w w:val="100"/>
          <w:spacing w:val="0"/>
          <w:color w:val="000000"/>
          <w:position w:val="0"/>
        </w:rPr>
        <w:t xml:space="preserve">PQ </w:t>
      </w:r>
      <w:r>
        <w:rPr>
          <w:lang w:val="ru-RU" w:eastAsia="ru-RU" w:bidi="ru-RU"/>
          <w:w w:val="100"/>
          <w:spacing w:val="0"/>
          <w:color w:val="000000"/>
          <w:position w:val="0"/>
        </w:rPr>
        <w:t>удлиняет</w:t>
        <w:softHyphen/>
        <w:t xml:space="preserve">ся более чем на 50% от исходного значения, то должна быть заподозрена интоксикация </w:t>
      </w:r>
      <w:r>
        <w:rPr>
          <w:rStyle w:val="CharStyle103"/>
        </w:rPr>
        <w:t>дигоксином.</w:t>
      </w:r>
      <w:r>
        <w:rPr>
          <w:lang w:val="ru-RU" w:eastAsia="ru-RU" w:bidi="ru-RU"/>
          <w:w w:val="100"/>
          <w:spacing w:val="0"/>
          <w:color w:val="000000"/>
          <w:position w:val="0"/>
        </w:rPr>
        <w:t xml:space="preserve"> Замедление атрио</w:t>
        <w:softHyphen/>
        <w:t>вентрикулярной проводимости может проявляться блока</w:t>
        <w:softHyphen/>
        <w:t>дой второй или третьей степени, что чаще всего встречает</w:t>
        <w:softHyphen/>
        <w:t>ся у маленьких детей. Повышение автоматизма при глико- зидной интоксикации может проявляться экстрасистолией (особенно желудочковой), пароксизмальной суправентри</w:t>
        <w:softHyphen/>
        <w:t>кулярной тахикардией, ускоренным узловым ритмом с ат</w:t>
        <w:softHyphen/>
        <w:t>риовентрикулярной диссоциацией или даже фибрилляци</w:t>
        <w:softHyphen/>
        <w:t>ей желудочков.</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Некардиальные проявления интоксикации (со стороны желудочно-кишечного тракта или центральной нервной системы) обычно для детей не характерны.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Лечение интоксикации сердечными гликозидами вклю</w:t>
        <w:softHyphen/>
        <w:t>чает несколько этапов:</w:t>
      </w:r>
    </w:p>
    <w:p>
      <w:pPr>
        <w:pStyle w:val="Style30"/>
        <w:numPr>
          <w:ilvl w:val="0"/>
          <w:numId w:val="185"/>
        </w:numPr>
        <w:tabs>
          <w:tab w:leader="none" w:pos="51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прекращение дальнейшего приема гликозидов;</w:t>
      </w:r>
    </w:p>
    <w:p>
      <w:pPr>
        <w:pStyle w:val="Style30"/>
        <w:numPr>
          <w:ilvl w:val="0"/>
          <w:numId w:val="185"/>
        </w:numPr>
        <w:tabs>
          <w:tab w:leader="none" w:pos="512" w:val="left"/>
        </w:tabs>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исследование крови на уровень дигоксина, калия, кальция, магния;</w:t>
      </w:r>
    </w:p>
    <w:p>
      <w:pPr>
        <w:pStyle w:val="Style30"/>
        <w:numPr>
          <w:ilvl w:val="0"/>
          <w:numId w:val="185"/>
        </w:numPr>
        <w:tabs>
          <w:tab w:leader="none" w:pos="512"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длительное мониторирование ЭКГ.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При легкой интоксикации и нормальном уровне калия в крови симптомы интоксикации обычно проходят за 12-24 часа без дополнительного лечения. При низком уров</w:t>
        <w:softHyphen/>
        <w:t>не калия проводят его внутривенное введение (только если нет снижения почечной функции или атриовентрикуляр</w:t>
        <w:softHyphen/>
        <w:t xml:space="preserve">ного блока </w:t>
      </w:r>
      <w:r>
        <w:rPr>
          <w:lang w:val="en-US" w:eastAsia="en-US" w:bidi="en-US"/>
          <w:w w:val="100"/>
          <w:spacing w:val="0"/>
          <w:color w:val="000000"/>
          <w:position w:val="0"/>
        </w:rPr>
        <w:t xml:space="preserve">II-III </w:t>
      </w:r>
      <w:r>
        <w:rPr>
          <w:lang w:val="ru-RU" w:eastAsia="ru-RU" w:bidi="ru-RU"/>
          <w:w w:val="100"/>
          <w:spacing w:val="0"/>
          <w:color w:val="000000"/>
          <w:position w:val="0"/>
        </w:rPr>
        <w:t xml:space="preserve">степени). </w:t>
      </w:r>
      <w:r>
        <w:rPr>
          <w:rStyle w:val="CharStyle103"/>
        </w:rPr>
        <w:t xml:space="preserve">Калий </w:t>
      </w:r>
      <w:r>
        <w:rPr>
          <w:rStyle w:val="CharStyle103"/>
          <w:lang w:val="en-US" w:eastAsia="en-US" w:bidi="en-US"/>
        </w:rPr>
        <w:t>(Kalii chloridum)</w:t>
      </w:r>
      <w:r>
        <w:rPr>
          <w:lang w:val="en-US" w:eastAsia="en-US" w:bidi="en-US"/>
          <w:w w:val="100"/>
          <w:spacing w:val="0"/>
          <w:color w:val="000000"/>
          <w:position w:val="0"/>
        </w:rPr>
        <w:t xml:space="preserve"> </w:t>
      </w:r>
      <w:r>
        <w:rPr>
          <w:lang w:val="ru-RU" w:eastAsia="ru-RU" w:bidi="ru-RU"/>
          <w:w w:val="100"/>
          <w:spacing w:val="0"/>
          <w:color w:val="000000"/>
          <w:position w:val="0"/>
        </w:rPr>
        <w:t>разводят до концентрации 80 мЭкв/л и вводят внутривенно медлен</w:t>
        <w:softHyphen/>
        <w:t>но, не более 0,3 мЭкв/кг/час.</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С целью дезинтоксикации применяют 5% раствор </w:t>
      </w:r>
      <w:r>
        <w:rPr>
          <w:rStyle w:val="CharStyle103"/>
        </w:rPr>
        <w:t xml:space="preserve">уни- тиола </w:t>
      </w:r>
      <w:r>
        <w:rPr>
          <w:rStyle w:val="CharStyle103"/>
          <w:lang w:val="en-US" w:eastAsia="en-US" w:bidi="en-US"/>
        </w:rPr>
        <w:t>(Unitiol).</w:t>
      </w:r>
      <w:r>
        <w:rPr>
          <w:lang w:val="en-US" w:eastAsia="en-US" w:bidi="en-US"/>
          <w:w w:val="100"/>
          <w:spacing w:val="0"/>
          <w:color w:val="000000"/>
          <w:position w:val="0"/>
        </w:rPr>
        <w:t xml:space="preserve"> </w:t>
      </w:r>
      <w:r>
        <w:rPr>
          <w:lang w:val="ru-RU" w:eastAsia="ru-RU" w:bidi="ru-RU"/>
          <w:w w:val="100"/>
          <w:spacing w:val="0"/>
          <w:color w:val="000000"/>
          <w:position w:val="0"/>
        </w:rPr>
        <w:t>Детям препарат назначают внутримышечно по 1,0 мл 5% раствора на 10 кг массы тела в первые сутки каждые 6 часов, в последующие сутки 1-3 инъекции.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Если у пациента диагностированы тахикардия или желу</w:t>
        <w:softHyphen/>
        <w:t xml:space="preserve">дочковая нестабильность, назначают </w:t>
      </w:r>
      <w:r>
        <w:rPr>
          <w:rStyle w:val="CharStyle103"/>
        </w:rPr>
        <w:t xml:space="preserve">фенитоин </w:t>
      </w:r>
      <w:r>
        <w:rPr>
          <w:rStyle w:val="CharStyle103"/>
          <w:lang w:val="en-US" w:eastAsia="en-US" w:bidi="en-US"/>
        </w:rPr>
        <w:t xml:space="preserve">(Phenytoin, </w:t>
      </w:r>
      <w:r>
        <w:rPr>
          <w:rStyle w:val="CharStyle103"/>
        </w:rPr>
        <w:t xml:space="preserve">син. </w:t>
      </w:r>
      <w:r>
        <w:rPr>
          <w:rStyle w:val="CharStyle103"/>
          <w:lang w:val="en-US" w:eastAsia="en-US" w:bidi="en-US"/>
        </w:rPr>
        <w:t>Diphenin, Phenytoin)</w:t>
      </w:r>
      <w:r>
        <w:rPr>
          <w:lang w:val="en-US" w:eastAsia="en-US" w:bidi="en-US"/>
          <w:w w:val="100"/>
          <w:spacing w:val="0"/>
          <w:color w:val="000000"/>
          <w:position w:val="0"/>
        </w:rPr>
        <w:t xml:space="preserve"> </w:t>
      </w:r>
      <w:r>
        <w:rPr>
          <w:lang w:val="ru-RU" w:eastAsia="ru-RU" w:bidi="ru-RU"/>
          <w:w w:val="100"/>
          <w:spacing w:val="0"/>
          <w:color w:val="000000"/>
          <w:position w:val="0"/>
        </w:rPr>
        <w:t>из расчета 1-2 мг/кг внутривенно медленно. Введение можно повторять каждые 5-15 минут, до 10 доз. После введения каждой дозы измеряют артери</w:t>
        <w:softHyphen/>
        <w:t>альное давление и при первых признаках гипотензии пре</w:t>
        <w:softHyphen/>
        <w:t>кращают или замедляют введение препарата. При возник</w:t>
        <w:softHyphen/>
        <w:t xml:space="preserve">новении жизнеугрожаемых желудочковых аритмий вводят </w:t>
      </w:r>
      <w:r>
        <w:rPr>
          <w:rStyle w:val="CharStyle103"/>
        </w:rPr>
        <w:t>лидокаин</w:t>
      </w:r>
      <w:r>
        <w:rPr>
          <w:lang w:val="ru-RU" w:eastAsia="ru-RU" w:bidi="ru-RU"/>
          <w:w w:val="100"/>
          <w:spacing w:val="0"/>
          <w:color w:val="000000"/>
          <w:position w:val="0"/>
        </w:rPr>
        <w:t xml:space="preserve"> </w:t>
      </w:r>
      <w:r>
        <w:rPr>
          <w:lang w:val="en-US" w:eastAsia="en-US" w:bidi="en-US"/>
          <w:w w:val="100"/>
          <w:spacing w:val="0"/>
          <w:color w:val="000000"/>
          <w:position w:val="0"/>
        </w:rPr>
        <w:t>(</w:t>
      </w:r>
      <w:r>
        <w:rPr>
          <w:rStyle w:val="CharStyle103"/>
          <w:lang w:val="en-US" w:eastAsia="en-US" w:bidi="en-US"/>
        </w:rPr>
        <w:t xml:space="preserve">Lidocaine, </w:t>
      </w:r>
      <w:r>
        <w:rPr>
          <w:rStyle w:val="CharStyle103"/>
        </w:rPr>
        <w:t xml:space="preserve">син. Ксикаин, </w:t>
      </w:r>
      <w:r>
        <w:rPr>
          <w:rStyle w:val="CharStyle103"/>
          <w:lang w:val="en-US" w:eastAsia="en-US" w:bidi="en-US"/>
        </w:rPr>
        <w:t>Solcain, Xylotoz</w:t>
      </w:r>
      <w:r>
        <w:rPr>
          <w:lang w:val="en-US" w:eastAsia="en-US" w:bidi="en-US"/>
          <w:w w:val="100"/>
          <w:spacing w:val="0"/>
          <w:color w:val="000000"/>
          <w:position w:val="0"/>
        </w:rPr>
        <w:t xml:space="preserve">) </w:t>
      </w:r>
      <w:r>
        <w:rPr>
          <w:lang w:val="ru-RU" w:eastAsia="ru-RU" w:bidi="ru-RU"/>
          <w:w w:val="100"/>
          <w:spacing w:val="0"/>
          <w:color w:val="000000"/>
          <w:position w:val="0"/>
        </w:rPr>
        <w:t>внутри</w:t>
        <w:softHyphen/>
        <w:t>венно медленно в дозе 1-2 мг/кг, затем, если необходимо, дополнительно можно ввести от 1 до 2 мг/кг/час. При желу</w:t>
        <w:softHyphen/>
        <w:t>дочковой экстрасистолии или тахикардии может быть вве</w:t>
        <w:softHyphen/>
        <w:t xml:space="preserve">ден </w:t>
      </w:r>
      <w:r>
        <w:rPr>
          <w:rStyle w:val="CharStyle103"/>
        </w:rPr>
        <w:t xml:space="preserve">пропранолол </w:t>
      </w:r>
      <w:r>
        <w:rPr>
          <w:rStyle w:val="CharStyle103"/>
          <w:lang w:val="en-US" w:eastAsia="en-US" w:bidi="en-US"/>
        </w:rPr>
        <w:t xml:space="preserve">(Propranolol, </w:t>
      </w:r>
      <w:r>
        <w:rPr>
          <w:rStyle w:val="CharStyle103"/>
        </w:rPr>
        <w:t>син. Анаприлин, Обзидан)</w:t>
      </w:r>
      <w:r>
        <w:rPr>
          <w:lang w:val="ru-RU" w:eastAsia="ru-RU" w:bidi="ru-RU"/>
          <w:w w:val="100"/>
          <w:spacing w:val="0"/>
          <w:color w:val="000000"/>
          <w:position w:val="0"/>
        </w:rPr>
        <w:t xml:space="preserve"> в дозе 0,05-0,20 мг/кг внутривенно капельно. Этот препарат нель</w:t>
        <w:softHyphen/>
        <w:t xml:space="preserve">зя вводить при бронхиальной астме и атриовентрикулярной блокаде. </w:t>
      </w:r>
      <w:r>
        <w:rPr>
          <w:rStyle w:val="CharStyle103"/>
        </w:rPr>
        <w:t>Пропранолол</w:t>
      </w:r>
      <w:r>
        <w:rPr>
          <w:lang w:val="ru-RU" w:eastAsia="ru-RU" w:bidi="ru-RU"/>
          <w:w w:val="100"/>
          <w:spacing w:val="0"/>
          <w:color w:val="000000"/>
          <w:position w:val="0"/>
        </w:rPr>
        <w:t xml:space="preserve"> может усиливать проявления застой</w:t>
        <w:softHyphen/>
        <w:t>ной сердечной недостаточности и поэтому должен приме</w:t>
        <w:softHyphen/>
        <w:t>няться с осторожностью. Если в симптоматике интоксика</w:t>
        <w:softHyphen/>
        <w:t>ции доминирует медленный желудочковый ритм или пол</w:t>
        <w:softHyphen/>
        <w:t xml:space="preserve">ный атриовентрикулярный блок, вводят </w:t>
      </w:r>
      <w:r>
        <w:rPr>
          <w:rStyle w:val="CharStyle103"/>
        </w:rPr>
        <w:t>атропин</w:t>
      </w:r>
      <w:r>
        <w:rPr>
          <w:lang w:val="ru-RU" w:eastAsia="ru-RU" w:bidi="ru-RU"/>
          <w:w w:val="100"/>
          <w:spacing w:val="0"/>
          <w:color w:val="000000"/>
          <w:position w:val="0"/>
        </w:rPr>
        <w:t xml:space="preserve"> </w:t>
      </w:r>
      <w:r>
        <w:rPr>
          <w:lang w:val="en-US" w:eastAsia="en-US" w:bidi="en-US"/>
          <w:w w:val="100"/>
          <w:spacing w:val="0"/>
          <w:color w:val="000000"/>
          <w:position w:val="0"/>
        </w:rPr>
        <w:t>(</w:t>
      </w:r>
      <w:r>
        <w:rPr>
          <w:rStyle w:val="CharStyle103"/>
          <w:lang w:val="en-US" w:eastAsia="en-US" w:bidi="en-US"/>
        </w:rPr>
        <w:t>Atropin</w:t>
      </w:r>
      <w:r>
        <w:rPr>
          <w:lang w:val="en-US" w:eastAsia="en-US" w:bidi="en-US"/>
          <w:w w:val="100"/>
          <w:spacing w:val="0"/>
          <w:color w:val="000000"/>
          <w:position w:val="0"/>
        </w:rPr>
        <w:t xml:space="preserve">) </w:t>
      </w:r>
      <w:r>
        <w:rPr>
          <w:lang w:val="ru-RU" w:eastAsia="ru-RU" w:bidi="ru-RU"/>
          <w:w w:val="100"/>
          <w:spacing w:val="0"/>
          <w:color w:val="000000"/>
          <w:position w:val="0"/>
        </w:rPr>
        <w:t>внутривенно или подкожно в дозе 0,015 мг/кг.</w:t>
      </w:r>
    </w:p>
    <w:p>
      <w:pPr>
        <w:pStyle w:val="Style30"/>
        <w:widowControl w:val="0"/>
        <w:keepNext w:val="0"/>
        <w:keepLines w:val="0"/>
        <w:shd w:val="clear" w:color="auto" w:fill="auto"/>
        <w:bidi w:val="0"/>
        <w:spacing w:before="0" w:after="0"/>
        <w:ind w:left="0" w:right="0" w:firstLine="280"/>
      </w:pPr>
      <w:r>
        <w:pict>
          <v:shape id="_x0000_s1908" type="#_x0000_t75" style="position:absolute;margin-left:148.7pt;margin-top:736.55pt;width:209.75pt;height:14.9pt;z-index:-125828740;mso-wrap-distance-left:148.1pt;mso-wrap-distance-right:136.55pt;mso-wrap-distance-bottom:10.8pt;mso-position-horizontal-relative:margin;mso-position-vertical-relative:margin" wrapcoords="0 0 21600 0 21600 21600 0 21600 0 0">
            <v:imagedata r:id="rId1402" r:href="rId1403"/>
            <w10:wrap type="topAndBottom" anchorx="margin" anchory="margin"/>
          </v:shape>
        </w:pict>
      </w:r>
      <w:r>
        <w:rPr>
          <w:lang w:val="ru-RU" w:eastAsia="ru-RU" w:bidi="ru-RU"/>
          <w:w w:val="100"/>
          <w:spacing w:val="0"/>
          <w:color w:val="000000"/>
          <w:position w:val="0"/>
        </w:rPr>
        <w:t xml:space="preserve">Для лечения тяжелой интоксикации </w:t>
      </w:r>
      <w:r>
        <w:rPr>
          <w:rStyle w:val="CharStyle103"/>
        </w:rPr>
        <w:t>дигоксином</w:t>
      </w:r>
      <w:r>
        <w:rPr>
          <w:lang w:val="ru-RU" w:eastAsia="ru-RU" w:bidi="ru-RU"/>
          <w:w w:val="100"/>
          <w:spacing w:val="0"/>
          <w:color w:val="000000"/>
          <w:position w:val="0"/>
        </w:rPr>
        <w:t xml:space="preserve"> исполь</w:t>
        <w:softHyphen/>
        <w:t xml:space="preserve">зуются антидоты. В качестве антитела для </w:t>
      </w:r>
      <w:r>
        <w:rPr>
          <w:rStyle w:val="CharStyle103"/>
        </w:rPr>
        <w:t>дигоксина</w:t>
      </w:r>
      <w:r>
        <w:rPr>
          <w:lang w:val="ru-RU" w:eastAsia="ru-RU" w:bidi="ru-RU"/>
          <w:w w:val="100"/>
          <w:spacing w:val="0"/>
          <w:color w:val="000000"/>
          <w:position w:val="0"/>
        </w:rPr>
        <w:t xml:space="preserve"> ис</w:t>
        <w:softHyphen/>
        <w:t xml:space="preserve">пользуется </w:t>
      </w:r>
      <w:r>
        <w:rPr>
          <w:lang w:val="en-US" w:eastAsia="en-US" w:bidi="en-US"/>
          <w:w w:val="100"/>
          <w:spacing w:val="0"/>
          <w:color w:val="000000"/>
          <w:position w:val="0"/>
        </w:rPr>
        <w:t>FAB</w:t>
      </w:r>
      <w:r>
        <w:rPr>
          <w:lang w:val="ru-RU" w:eastAsia="ru-RU" w:bidi="ru-RU"/>
          <w:w w:val="100"/>
          <w:spacing w:val="0"/>
          <w:color w:val="000000"/>
          <w:position w:val="0"/>
        </w:rPr>
        <w:t xml:space="preserve">-фрагмент </w:t>
      </w:r>
      <w:r>
        <w:rPr>
          <w:lang w:val="en-US" w:eastAsia="en-US" w:bidi="en-US"/>
          <w:w w:val="100"/>
          <w:spacing w:val="0"/>
          <w:color w:val="000000"/>
          <w:position w:val="0"/>
        </w:rPr>
        <w:t xml:space="preserve">IgG, </w:t>
      </w:r>
      <w:r>
        <w:rPr>
          <w:lang w:val="ru-RU" w:eastAsia="ru-RU" w:bidi="ru-RU"/>
          <w:w w:val="100"/>
          <w:spacing w:val="0"/>
          <w:color w:val="000000"/>
          <w:position w:val="0"/>
        </w:rPr>
        <w:t>который имеет лекарствен</w:t>
        <w:softHyphen/>
        <w:t xml:space="preserve">ное название </w:t>
      </w:r>
      <w:r>
        <w:rPr>
          <w:rStyle w:val="CharStyle103"/>
        </w:rPr>
        <w:t>дигибинд.</w:t>
      </w:r>
      <w:r>
        <w:rPr>
          <w:lang w:val="ru-RU" w:eastAsia="ru-RU" w:bidi="ru-RU"/>
          <w:w w:val="100"/>
          <w:spacing w:val="0"/>
          <w:color w:val="000000"/>
          <w:position w:val="0"/>
        </w:rPr>
        <w:t xml:space="preserve"> Снижение токсического эффекта наблюдается уже через 30 минут после начала инфузии пре</w:t>
        <w:softHyphen/>
        <w:t>парата, а полный эффект достигается обычно за 4 часа. Со - путствующим эффектом может быть гипокалиемия, усугуб</w:t>
        <w:softHyphen/>
        <w:t>ление сердечной недостаточности и, очень редко, аллерги-</w:t>
      </w:r>
      <w:r>
        <w:br w:type="page"/>
      </w:r>
    </w:p>
    <w:p>
      <w:pPr>
        <w:pStyle w:val="Style30"/>
        <w:widowControl w:val="0"/>
        <w:keepNext w:val="0"/>
        <w:keepLines w:val="0"/>
        <w:shd w:val="clear" w:color="auto" w:fill="auto"/>
        <w:bidi w:val="0"/>
        <w:spacing w:before="0" w:after="209"/>
        <w:ind w:left="0" w:right="0" w:firstLine="0"/>
      </w:pPr>
      <w:r>
        <w:rPr>
          <w:lang w:val="ru-RU" w:eastAsia="ru-RU" w:bidi="ru-RU"/>
          <w:w w:val="100"/>
          <w:spacing w:val="0"/>
          <w:color w:val="000000"/>
          <w:position w:val="0"/>
        </w:rPr>
        <w:t>ческие реакции вплоть до развития анафилактического шо</w:t>
        <w:softHyphen/>
        <w:t xml:space="preserve">ка. </w:t>
      </w:r>
      <w:r>
        <w:rPr>
          <w:rStyle w:val="CharStyle103"/>
        </w:rPr>
        <w:t>Дигибинд</w:t>
      </w:r>
      <w:r>
        <w:rPr>
          <w:lang w:val="ru-RU" w:eastAsia="ru-RU" w:bidi="ru-RU"/>
          <w:w w:val="100"/>
          <w:spacing w:val="0"/>
          <w:color w:val="000000"/>
          <w:position w:val="0"/>
        </w:rPr>
        <w:t xml:space="preserve"> выпускается в ампулах, содержащих 40 мг чис</w:t>
        <w:softHyphen/>
        <w:t xml:space="preserve">того вещества, что может связать 0,6 мг </w:t>
      </w:r>
      <w:r>
        <w:rPr>
          <w:rStyle w:val="CharStyle103"/>
        </w:rPr>
        <w:t>дигоксина.</w:t>
      </w:r>
      <w:r>
        <w:rPr>
          <w:lang w:val="ru-RU" w:eastAsia="ru-RU" w:bidi="ru-RU"/>
          <w:w w:val="100"/>
          <w:spacing w:val="0"/>
          <w:color w:val="000000"/>
          <w:position w:val="0"/>
        </w:rPr>
        <w:t xml:space="preserve"> Доза чи</w:t>
        <w:softHyphen/>
        <w:t>стого вещества рассчитывается по формуле:</w:t>
      </w:r>
    </w:p>
    <w:p>
      <w:pPr>
        <w:pStyle w:val="Style30"/>
        <w:widowControl w:val="0"/>
        <w:keepNext w:val="0"/>
        <w:keepLines w:val="0"/>
        <w:shd w:val="clear" w:color="auto" w:fill="auto"/>
        <w:bidi w:val="0"/>
        <w:jc w:val="center"/>
        <w:spacing w:before="0" w:after="187" w:line="180" w:lineRule="exact"/>
        <w:ind w:left="0" w:right="0" w:firstLine="0"/>
      </w:pPr>
      <w:r>
        <w:rPr>
          <w:lang w:val="en-US" w:eastAsia="en-US" w:bidi="en-US"/>
          <w:w w:val="100"/>
          <w:spacing w:val="0"/>
          <w:color w:val="000000"/>
          <w:position w:val="0"/>
        </w:rPr>
        <w:t xml:space="preserve">D= (K-5,6-M) </w:t>
      </w:r>
      <w:r>
        <w:rPr>
          <w:lang w:val="ru-RU" w:eastAsia="ru-RU" w:bidi="ru-RU"/>
          <w:w w:val="100"/>
          <w:spacing w:val="0"/>
          <w:color w:val="000000"/>
          <w:position w:val="0"/>
        </w:rPr>
        <w:t>-60/1000,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где:</w:t>
      </w:r>
    </w:p>
    <w:p>
      <w:pPr>
        <w:pStyle w:val="Style30"/>
        <w:widowControl w:val="0"/>
        <w:keepNext w:val="0"/>
        <w:keepLines w:val="0"/>
        <w:shd w:val="clear" w:color="auto" w:fill="auto"/>
        <w:bidi w:val="0"/>
        <w:spacing w:before="0" w:after="0"/>
        <w:ind w:left="0" w:right="0" w:firstLine="280"/>
      </w:pPr>
      <w:r>
        <w:rPr>
          <w:lang w:val="en-US" w:eastAsia="en-US" w:bidi="en-US"/>
          <w:w w:val="100"/>
          <w:spacing w:val="0"/>
          <w:color w:val="000000"/>
          <w:position w:val="0"/>
        </w:rPr>
        <w:t xml:space="preserve">D </w:t>
      </w:r>
      <w:r>
        <w:rPr>
          <w:lang w:val="ru-RU" w:eastAsia="ru-RU" w:bidi="ru-RU"/>
          <w:w w:val="100"/>
          <w:spacing w:val="0"/>
          <w:color w:val="000000"/>
          <w:position w:val="0"/>
        </w:rPr>
        <w:t>— доза в мг,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К — концентрация </w:t>
      </w:r>
      <w:r>
        <w:rPr>
          <w:rStyle w:val="CharStyle103"/>
        </w:rPr>
        <w:t>дигоксина</w:t>
      </w:r>
      <w:r>
        <w:rPr>
          <w:lang w:val="ru-RU" w:eastAsia="ru-RU" w:bidi="ru-RU"/>
          <w:w w:val="100"/>
          <w:spacing w:val="0"/>
          <w:color w:val="000000"/>
          <w:position w:val="0"/>
        </w:rPr>
        <w:t xml:space="preserve"> в крови (нг/мл),</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5,6 л/кг — объем распределения </w:t>
      </w:r>
      <w:r>
        <w:rPr>
          <w:rStyle w:val="CharStyle103"/>
        </w:rPr>
        <w:t>дигоксина,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М — масса тела (кг),</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60 — число мг чистого вещества, необходимое для свя</w:t>
        <w:softHyphen/>
        <w:t xml:space="preserve">зывания 1 мг </w:t>
      </w:r>
      <w:r>
        <w:rPr>
          <w:rStyle w:val="CharStyle103"/>
        </w:rPr>
        <w:t>дигоксина.</w:t>
      </w:r>
    </w:p>
    <w:p>
      <w:pPr>
        <w:pStyle w:val="Style30"/>
        <w:widowControl w:val="0"/>
        <w:keepNext w:val="0"/>
        <w:keepLines w:val="0"/>
        <w:shd w:val="clear" w:color="auto" w:fill="auto"/>
        <w:bidi w:val="0"/>
        <w:spacing w:before="0" w:after="209"/>
        <w:ind w:left="0" w:right="0" w:firstLine="280"/>
      </w:pPr>
      <w:r>
        <w:rPr>
          <w:lang w:val="ru-RU" w:eastAsia="ru-RU" w:bidi="ru-RU"/>
          <w:w w:val="100"/>
          <w:spacing w:val="0"/>
          <w:color w:val="000000"/>
          <w:position w:val="0"/>
        </w:rPr>
        <w:t>По другой формуле рассчитывают число ампул, необхо</w:t>
        <w:softHyphen/>
        <w:t>димых для детоксикации.</w:t>
      </w:r>
    </w:p>
    <w:p>
      <w:pPr>
        <w:pStyle w:val="Style30"/>
        <w:widowControl w:val="0"/>
        <w:keepNext w:val="0"/>
        <w:keepLines w:val="0"/>
        <w:shd w:val="clear" w:color="auto" w:fill="auto"/>
        <w:bidi w:val="0"/>
        <w:jc w:val="center"/>
        <w:spacing w:before="0" w:after="67" w:line="180" w:lineRule="exact"/>
        <w:ind w:left="0" w:right="0" w:firstLine="0"/>
      </w:pPr>
      <w:r>
        <w:rPr>
          <w:lang w:val="ru-RU" w:eastAsia="ru-RU" w:bidi="ru-RU"/>
          <w:w w:val="100"/>
          <w:spacing w:val="0"/>
          <w:color w:val="000000"/>
          <w:position w:val="0"/>
        </w:rPr>
        <w:t>Ч = К-М/100,</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где:</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Ч — число ампул,</w:t>
      </w:r>
    </w:p>
    <w:p>
      <w:pPr>
        <w:pStyle w:val="Style30"/>
        <w:widowControl w:val="0"/>
        <w:keepNext w:val="0"/>
        <w:keepLines w:val="0"/>
        <w:shd w:val="clear" w:color="auto" w:fill="auto"/>
        <w:bidi w:val="0"/>
        <w:spacing w:before="0" w:after="180"/>
        <w:ind w:left="0" w:right="0" w:firstLine="280"/>
      </w:pPr>
      <w:r>
        <w:rPr>
          <w:lang w:val="ru-RU" w:eastAsia="ru-RU" w:bidi="ru-RU"/>
          <w:w w:val="100"/>
          <w:spacing w:val="0"/>
          <w:color w:val="000000"/>
          <w:position w:val="0"/>
        </w:rPr>
        <w:t>М — масса тела (кг).</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Если передозировка у пациента замечена сразу после приема </w:t>
      </w:r>
      <w:r>
        <w:rPr>
          <w:rStyle w:val="CharStyle103"/>
        </w:rPr>
        <w:t>дигоксина,</w:t>
      </w:r>
      <w:r>
        <w:rPr>
          <w:lang w:val="ru-RU" w:eastAsia="ru-RU" w:bidi="ru-RU"/>
          <w:w w:val="100"/>
          <w:spacing w:val="0"/>
          <w:color w:val="000000"/>
          <w:position w:val="0"/>
        </w:rPr>
        <w:t xml:space="preserve"> то на каждые 1,2 мг </w:t>
      </w:r>
      <w:r>
        <w:rPr>
          <w:rStyle w:val="CharStyle103"/>
        </w:rPr>
        <w:t>дигоксина</w:t>
      </w:r>
      <w:r>
        <w:rPr>
          <w:lang w:val="ru-RU" w:eastAsia="ru-RU" w:bidi="ru-RU"/>
          <w:w w:val="100"/>
          <w:spacing w:val="0"/>
          <w:color w:val="000000"/>
          <w:position w:val="0"/>
        </w:rPr>
        <w:t xml:space="preserve"> дается 40 мг чистого вещества антидота.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Негликозидные инотропные средства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В настоящее время наиболее изучен механизм действия препаратов двух групп — ингибиторов фермента фосфоди- эстеразы </w:t>
      </w:r>
      <w:r>
        <w:rPr>
          <w:rStyle w:val="CharStyle103"/>
        </w:rPr>
        <w:t>(Амринон, Милринон, Эноксимон)</w:t>
      </w:r>
      <w:r>
        <w:rPr>
          <w:lang w:val="ru-RU" w:eastAsia="ru-RU" w:bidi="ru-RU"/>
          <w:w w:val="100"/>
          <w:spacing w:val="0"/>
          <w:color w:val="000000"/>
          <w:position w:val="0"/>
        </w:rPr>
        <w:t xml:space="preserve"> и стимуляторов Р-рецепторов </w:t>
      </w:r>
      <w:r>
        <w:rPr>
          <w:rStyle w:val="CharStyle103"/>
        </w:rPr>
        <w:t>(Добутамин, Ибопамин, Ксамотерол).</w:t>
      </w:r>
      <w:r>
        <w:rPr>
          <w:lang w:val="ru-RU" w:eastAsia="ru-RU" w:bidi="ru-RU"/>
          <w:w w:val="100"/>
          <w:spacing w:val="0"/>
          <w:color w:val="000000"/>
          <w:position w:val="0"/>
        </w:rPr>
        <w:t xml:space="preserve"> Эти препараты способны усиливать сократимость миокарда в гораздо большей степени, чем гликозиды. И те, и другие увеличивают внутриклеточное содержание цАМФ за счет повышения его синтеза или уменьшения разрушения (ин</w:t>
        <w:softHyphen/>
        <w:t>гибирование фосфодиэстеразы III). Накопление цАМФ со</w:t>
        <w:softHyphen/>
        <w:t>провождается увеличением концентрации кальция в клет</w:t>
        <w:softHyphen/>
        <w:t>ках, которое, в свою очередь, ведет к увеличению сократи</w:t>
        <w:softHyphen/>
        <w:t>мости миокарда в систолу и скорости его расслабления в диастолу. Таким образом, р</w:t>
      </w:r>
      <w:r>
        <w:rPr>
          <w:lang w:val="ru-RU" w:eastAsia="ru-RU" w:bidi="ru-RU"/>
          <w:vertAlign w:val="subscript"/>
          <w:w w:val="100"/>
          <w:spacing w:val="0"/>
          <w:color w:val="000000"/>
          <w:position w:val="0"/>
        </w:rPr>
        <w:t>1</w:t>
      </w:r>
      <w:r>
        <w:rPr>
          <w:lang w:val="ru-RU" w:eastAsia="ru-RU" w:bidi="ru-RU"/>
          <w:w w:val="100"/>
          <w:spacing w:val="0"/>
          <w:color w:val="000000"/>
          <w:position w:val="0"/>
        </w:rPr>
        <w:t>-адреномиметики и ингиби</w:t>
        <w:softHyphen/>
        <w:t>торы фосфодиэстеразы увеличивают инотропную функцию сердца и улучшают его диастолическую функцию, наруше</w:t>
        <w:softHyphen/>
        <w:t>ние которой играет важную роль в патогенезе сердечной недостаточности.</w:t>
      </w:r>
    </w:p>
    <w:p>
      <w:pPr>
        <w:pStyle w:val="Style30"/>
        <w:widowControl w:val="0"/>
        <w:keepNext w:val="0"/>
        <w:keepLines w:val="0"/>
        <w:shd w:val="clear" w:color="auto" w:fill="auto"/>
        <w:bidi w:val="0"/>
        <w:spacing w:before="0" w:after="0"/>
        <w:ind w:left="0" w:right="0" w:firstLine="280"/>
      </w:pPr>
      <w:r>
        <w:rPr>
          <w:rStyle w:val="CharStyle103"/>
        </w:rPr>
        <w:t>Амринон</w:t>
      </w:r>
      <w:r>
        <w:rPr>
          <w:lang w:val="ru-RU" w:eastAsia="ru-RU" w:bidi="ru-RU"/>
          <w:w w:val="100"/>
          <w:spacing w:val="0"/>
          <w:color w:val="000000"/>
          <w:position w:val="0"/>
        </w:rPr>
        <w:t xml:space="preserve"> назначают в дозе 5-20 мкг/кг/мин (общая доза 0,5 мг/кг массы тела). Препарат противопоказан при гипер - трофической кардиомиопатии, артериальной гипертензии. Из побочных эффектов могут наблюдаться аритмия, тром</w:t>
        <w:softHyphen/>
        <w:t>боцитопения.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Все симпатомиметики не только влияют на р ^адреноре</w:t>
        <w:softHyphen/>
        <w:t>цепторы, но и в той или иной степени стимулируют а</w:t>
        <w:softHyphen/>
        <w:t>и р</w:t>
      </w:r>
      <w:r>
        <w:rPr>
          <w:lang w:val="ru-RU" w:eastAsia="ru-RU" w:bidi="ru-RU"/>
          <w:vertAlign w:val="subscript"/>
          <w:w w:val="100"/>
          <w:spacing w:val="0"/>
          <w:color w:val="000000"/>
          <w:position w:val="0"/>
        </w:rPr>
        <w:t>2</w:t>
      </w:r>
      <w:r>
        <w:rPr>
          <w:lang w:val="ru-RU" w:eastAsia="ru-RU" w:bidi="ru-RU"/>
          <w:w w:val="100"/>
          <w:spacing w:val="0"/>
          <w:color w:val="000000"/>
          <w:position w:val="0"/>
        </w:rPr>
        <w:t>-адренорецепторы, расположенные в сосудах. Преобла</w:t>
        <w:softHyphen/>
        <w:t>дающая активация а-адренорецепторов приводит к суже</w:t>
        <w:softHyphen/>
        <w:t>нию сосудов и повышению общего периферического сосу</w:t>
        <w:softHyphen/>
        <w:t>дистого сопротивления и артериального давления. Они мо</w:t>
        <w:softHyphen/>
        <w:t>гут быть использованы в терапии сердечной недостаточно</w:t>
        <w:softHyphen/>
        <w:t>сти, особенно до того, как будет назначена основная тера</w:t>
        <w:softHyphen/>
        <w:t>пия.</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Длительно применять р</w:t>
      </w:r>
      <w:r>
        <w:rPr>
          <w:lang w:val="ru-RU" w:eastAsia="ru-RU" w:bidi="ru-RU"/>
          <w:vertAlign w:val="subscript"/>
          <w:w w:val="100"/>
          <w:spacing w:val="0"/>
          <w:color w:val="000000"/>
          <w:position w:val="0"/>
        </w:rPr>
        <w:t>1</w:t>
      </w:r>
      <w:r>
        <w:rPr>
          <w:lang w:val="ru-RU" w:eastAsia="ru-RU" w:bidi="ru-RU"/>
          <w:w w:val="100"/>
          <w:spacing w:val="0"/>
          <w:color w:val="000000"/>
          <w:position w:val="0"/>
        </w:rPr>
        <w:t>-адреномиметики и ингибито</w:t>
        <w:softHyphen/>
        <w:t>ры фосфодиэстеразы в лечении больных с хронической сердечной недостаточностью следует с осторожностью. Од</w:t>
        <w:softHyphen/>
        <w:br w:type="column"/>
        <w:t>нако эти группы препаратов можно применять короткими курсами в тяжелых случаях, при рефрактерной сердечной недостаточности, у больных с брадикардией.</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Катехоламины</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Катехоламины являются мощным средством, стимули</w:t>
        <w:softHyphen/>
        <w:t>рующим сокращение миокарда. Они могут быть использо</w:t>
        <w:softHyphen/>
        <w:t>ваны в терапии сердечной недостаточности, особенно до того, как будет назначена основная терапия. Катехоламины могут применяться при любой форме сердечной недоста</w:t>
        <w:softHyphen/>
        <w:t xml:space="preserve">точности, за исключением тех случаев, в основе которых лежит обструкция левого или правого желудочка. Наиболее часто используемым препаратом является </w:t>
      </w:r>
      <w:r>
        <w:rPr>
          <w:rStyle w:val="CharStyle103"/>
        </w:rPr>
        <w:t>изопротеренол (Изопреналин, Изадрин).</w:t>
      </w:r>
      <w:r>
        <w:rPr>
          <w:lang w:val="ru-RU" w:eastAsia="ru-RU" w:bidi="ru-RU"/>
          <w:w w:val="100"/>
          <w:spacing w:val="0"/>
          <w:color w:val="000000"/>
          <w:position w:val="0"/>
        </w:rPr>
        <w:t xml:space="preserve"> Ампулу </w:t>
      </w:r>
      <w:r>
        <w:rPr>
          <w:rStyle w:val="CharStyle103"/>
        </w:rPr>
        <w:t>изопротеренола,</w:t>
      </w:r>
      <w:r>
        <w:rPr>
          <w:lang w:val="ru-RU" w:eastAsia="ru-RU" w:bidi="ru-RU"/>
          <w:w w:val="100"/>
          <w:spacing w:val="0"/>
          <w:color w:val="000000"/>
          <w:position w:val="0"/>
        </w:rPr>
        <w:t xml:space="preserve"> содержа</w:t>
        <w:softHyphen/>
        <w:t>щую 1 мг вещества в 5 мл, разводят в 250 мл 5% раствора глюкозы, чтобы в результате получить концентрацию 4 мкг/мл. Раствор такого разведения используется для тера</w:t>
        <w:softHyphen/>
        <w:t>пии сердечной недостаточности. Он вводится с постоянной скоростью от 0,05 до 0,5 мкг/кг/мин. Начинают введение с меньшей дозы и затем постепенно увеличивают до полу</w:t>
        <w:softHyphen/>
        <w:t>чения клинического эффекта или до появления эктопичес</w:t>
        <w:softHyphen/>
        <w:t>ких сердечных сокращений. Если эктопические сокраще</w:t>
        <w:softHyphen/>
        <w:t>ния появляются уже на самой малой дозе, введение препа</w:t>
        <w:softHyphen/>
        <w:t>рата должно быть уменьшено. Если полная доза уже введе</w:t>
        <w:softHyphen/>
        <w:t>на, а терапевтического эффекта не получено, то в дальней</w:t>
        <w:softHyphen/>
        <w:t>шем можно перейти на введение более концентрированно</w:t>
        <w:softHyphen/>
        <w:t xml:space="preserve">го раствора. По той же схеме можно использовать </w:t>
      </w:r>
      <w:r>
        <w:rPr>
          <w:rStyle w:val="CharStyle103"/>
        </w:rPr>
        <w:t xml:space="preserve">норепине- фрин </w:t>
      </w:r>
      <w:r>
        <w:rPr>
          <w:rStyle w:val="CharStyle103"/>
          <w:lang w:val="en-US" w:eastAsia="en-US" w:bidi="en-US"/>
        </w:rPr>
        <w:t xml:space="preserve">(Norepinephrine, </w:t>
      </w:r>
      <w:r>
        <w:rPr>
          <w:rStyle w:val="CharStyle103"/>
        </w:rPr>
        <w:t>Нео-лидокатон</w:t>
      </w:r>
      <w:r>
        <w:rPr>
          <w:lang w:val="ru-RU" w:eastAsia="ru-RU" w:bidi="ru-RU"/>
          <w:w w:val="100"/>
          <w:spacing w:val="0"/>
          <w:color w:val="000000"/>
          <w:position w:val="0"/>
        </w:rPr>
        <w:t xml:space="preserve"> 2% р-р, </w:t>
      </w:r>
      <w:r>
        <w:rPr>
          <w:rStyle w:val="CharStyle103"/>
        </w:rPr>
        <w:t>Норадреналина гидротартрат</w:t>
      </w:r>
      <w:r>
        <w:rPr>
          <w:lang w:val="ru-RU" w:eastAsia="ru-RU" w:bidi="ru-RU"/>
          <w:w w:val="100"/>
          <w:spacing w:val="0"/>
          <w:color w:val="000000"/>
          <w:position w:val="0"/>
        </w:rPr>
        <w:t xml:space="preserve"> 0,2% р-р). Обычно доза препарата, вызыва</w:t>
        <w:softHyphen/>
        <w:t>ющая терапевтический эффект, составляет 0,25-1 мкг/кг/мин.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 xml:space="preserve">При использовании </w:t>
      </w:r>
      <w:r>
        <w:rPr>
          <w:rStyle w:val="CharStyle103"/>
        </w:rPr>
        <w:t xml:space="preserve">допамина </w:t>
      </w:r>
      <w:r>
        <w:rPr>
          <w:rStyle w:val="CharStyle103"/>
          <w:lang w:val="en-US" w:eastAsia="en-US" w:bidi="en-US"/>
        </w:rPr>
        <w:t>(Dopamin)</w:t>
      </w:r>
      <w:r>
        <w:rPr>
          <w:lang w:val="en-US" w:eastAsia="en-US" w:bidi="en-US"/>
          <w:w w:val="100"/>
          <w:spacing w:val="0"/>
          <w:color w:val="000000"/>
          <w:position w:val="0"/>
        </w:rPr>
        <w:t xml:space="preserve"> </w:t>
      </w:r>
      <w:r>
        <w:rPr>
          <w:lang w:val="ru-RU" w:eastAsia="ru-RU" w:bidi="ru-RU"/>
          <w:w w:val="100"/>
          <w:spacing w:val="0"/>
          <w:color w:val="000000"/>
          <w:position w:val="0"/>
        </w:rPr>
        <w:t>стартовая доза составляет 5 мкг/кг/мин, затем доза подбирается в зависи</w:t>
        <w:softHyphen/>
        <w:t xml:space="preserve">мости от индивидуальных потребностей. </w:t>
      </w:r>
      <w:r>
        <w:rPr>
          <w:rStyle w:val="CharStyle103"/>
        </w:rPr>
        <w:t xml:space="preserve">Добутамин </w:t>
      </w:r>
      <w:r>
        <w:rPr>
          <w:rStyle w:val="CharStyle103"/>
          <w:lang w:val="en-US" w:eastAsia="en-US" w:bidi="en-US"/>
        </w:rPr>
        <w:t>(Dobutamine)</w:t>
      </w:r>
      <w:r>
        <w:rPr>
          <w:lang w:val="en-US" w:eastAsia="en-US" w:bidi="en-US"/>
          <w:w w:val="100"/>
          <w:spacing w:val="0"/>
          <w:color w:val="000000"/>
          <w:position w:val="0"/>
        </w:rPr>
        <w:t xml:space="preserve"> </w:t>
      </w:r>
      <w:r>
        <w:rPr>
          <w:lang w:val="ru-RU" w:eastAsia="ru-RU" w:bidi="ru-RU"/>
          <w:w w:val="100"/>
          <w:spacing w:val="0"/>
          <w:color w:val="000000"/>
          <w:position w:val="0"/>
        </w:rPr>
        <w:t>усиливает сократимость миокарда без сущест</w:t>
        <w:softHyphen/>
        <w:t>венного изменения сердечного ритма. Этот препарат вво</w:t>
        <w:softHyphen/>
        <w:t>дится внутривенно в дозе от 5 до 20 мкг/кг/мин.</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Таким образом, за последние годы значительно расши</w:t>
        <w:softHyphen/>
        <w:t>рился спектр положительных инотропных средств, благо</w:t>
        <w:softHyphen/>
        <w:t>приятное действие которых на гемодинамику при сердеч</w:t>
        <w:softHyphen/>
        <w:t>ной недостаточности особенно отчетливо выражено при кратковременном лечении. Однако в отличие от ингиби</w:t>
        <w:softHyphen/>
        <w:t>торов ангиотензинпревращающего фермента эти препа</w:t>
        <w:softHyphen/>
        <w:t>раты хотя и улучшают гемодинамику и качество жизни больных с сердечной недостаточностью, при этом обычно не влияют на ее продолжительность (или даже укорачива</w:t>
        <w:softHyphen/>
        <w:t>ют).</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Периферические вазодилататоры</w:t>
      </w:r>
    </w:p>
    <w:p>
      <w:pPr>
        <w:pStyle w:val="Style30"/>
        <w:widowControl w:val="0"/>
        <w:keepNext w:val="0"/>
        <w:keepLines w:val="0"/>
        <w:shd w:val="clear" w:color="auto" w:fill="auto"/>
        <w:bidi w:val="0"/>
        <w:spacing w:before="0" w:after="0"/>
        <w:ind w:left="0" w:right="0" w:firstLine="280"/>
      </w:pPr>
      <w:r>
        <w:pict>
          <v:shape id="_x0000_s1909" type="#_x0000_t75" style="position:absolute;margin-left:137.3pt;margin-top:736.55pt;width:209.75pt;height:14.9pt;z-index:-125828739;mso-wrap-distance-left:136.8pt;mso-wrap-distance-right:148.1pt;mso-wrap-distance-bottom:10.8pt;mso-position-horizontal-relative:margin;mso-position-vertical-relative:margin" wrapcoords="0 0 21600 0 21600 21600 0 21600 0 0">
            <v:imagedata r:id="rId1404" r:href="rId1405"/>
            <w10:wrap type="topAndBottom" anchorx="margin" anchory="margin"/>
          </v:shape>
        </w:pict>
      </w:r>
      <w:r>
        <w:rPr>
          <w:lang w:val="ru-RU" w:eastAsia="ru-RU" w:bidi="ru-RU"/>
          <w:w w:val="100"/>
          <w:spacing w:val="0"/>
          <w:color w:val="000000"/>
          <w:position w:val="0"/>
        </w:rPr>
        <w:t>Периферические вазодилататоры вызывают снижение периферического сосудистого сопротивления, способству</w:t>
        <w:softHyphen/>
        <w:t>ют повышению сердечного выброса и, таким образом, мо</w:t>
        <w:softHyphen/>
        <w:t>гут использоваться в терапии сердечной недостаточности. В случае сердечной недостаточности, развившейся после кардиохирургической операции, а также при застойной сердечной недостаточности, протекающей в условиях низ</w:t>
        <w:softHyphen/>
        <w:t xml:space="preserve">кого сердечного выброса, препаратом выбора является </w:t>
      </w:r>
      <w:r>
        <w:rPr>
          <w:rStyle w:val="CharStyle103"/>
        </w:rPr>
        <w:t xml:space="preserve">ни- тросорбид </w:t>
      </w:r>
      <w:r>
        <w:rPr>
          <w:rStyle w:val="CharStyle103"/>
          <w:lang w:val="en-US" w:eastAsia="en-US" w:bidi="en-US"/>
        </w:rPr>
        <w:t>(Isosorbide dinitrate).</w:t>
      </w:r>
      <w:r>
        <w:rPr>
          <w:lang w:val="en-US" w:eastAsia="en-US" w:bidi="en-US"/>
          <w:w w:val="100"/>
          <w:spacing w:val="0"/>
          <w:color w:val="000000"/>
          <w:position w:val="0"/>
        </w:rPr>
        <w:t xml:space="preserve"> </w:t>
      </w:r>
      <w:r>
        <w:rPr>
          <w:lang w:val="ru-RU" w:eastAsia="ru-RU" w:bidi="ru-RU"/>
          <w:w w:val="100"/>
          <w:spacing w:val="0"/>
          <w:color w:val="000000"/>
          <w:position w:val="0"/>
        </w:rPr>
        <w:t>Он дается внутривенно в стартовой дозе 0,5 мкг/кг/мин под контролем артериаль</w:t>
        <w:softHyphen/>
        <w:t>ного давления. Во время инфузии данного препарата голов</w:t>
        <w:softHyphen/>
        <w:t>ной конец кровати пациента должен быть приподнят, что</w:t>
        <w:softHyphen/>
        <w:t>бы кровь оттекала к ногам. Пациент должен избегать рез</w:t>
        <w:softHyphen/>
        <w:t>ких смен положения тела. Нельзя превышать дозу более 10 мкг/кг/мин. Препарат вводят под контролем кислот-</w:t>
      </w:r>
      <w:r>
        <w:br w:type="page"/>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но-основного состояния с целью возможно более ранней диагностики метаболического ацидоза. Если предполагает</w:t>
        <w:softHyphen/>
        <w:t xml:space="preserve">ся длительное введение </w:t>
      </w:r>
      <w:r>
        <w:rPr>
          <w:rStyle w:val="CharStyle103"/>
        </w:rPr>
        <w:t>нитросорбида,</w:t>
      </w:r>
      <w:r>
        <w:rPr>
          <w:lang w:val="ru-RU" w:eastAsia="ru-RU" w:bidi="ru-RU"/>
          <w:w w:val="100"/>
          <w:spacing w:val="0"/>
          <w:color w:val="000000"/>
          <w:position w:val="0"/>
        </w:rPr>
        <w:t xml:space="preserve"> необходимо нала</w:t>
        <w:softHyphen/>
        <w:t>дить мониторинг тиоцианата в крови (его концентрация не должна превышать 12 мг/дл).</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 xml:space="preserve">Для длительного применения можно использовать </w:t>
      </w:r>
      <w:r>
        <w:rPr>
          <w:rStyle w:val="CharStyle103"/>
        </w:rPr>
        <w:t xml:space="preserve">гид- ралазин </w:t>
      </w:r>
      <w:r>
        <w:rPr>
          <w:rStyle w:val="CharStyle103"/>
          <w:lang w:val="en-US" w:eastAsia="en-US" w:bidi="en-US"/>
        </w:rPr>
        <w:t>(Hydralazine</w:t>
      </w:r>
      <w:r>
        <w:rPr>
          <w:lang w:val="en-US" w:eastAsia="en-US" w:bidi="en-US"/>
          <w:w w:val="100"/>
          <w:spacing w:val="0"/>
          <w:color w:val="000000"/>
          <w:position w:val="0"/>
        </w:rPr>
        <w:t xml:space="preserve"> </w:t>
      </w:r>
      <w:r>
        <w:rPr>
          <w:lang w:val="ru-RU" w:eastAsia="ru-RU" w:bidi="ru-RU"/>
          <w:w w:val="100"/>
          <w:spacing w:val="0"/>
          <w:color w:val="000000"/>
          <w:position w:val="0"/>
        </w:rPr>
        <w:t xml:space="preserve">0,5 мг/кг 2-4 раза в день, не превышая дозу 5 мг/кг/день), </w:t>
      </w:r>
      <w:r>
        <w:rPr>
          <w:rStyle w:val="CharStyle103"/>
        </w:rPr>
        <w:t xml:space="preserve">празозин </w:t>
      </w:r>
      <w:r>
        <w:rPr>
          <w:rStyle w:val="CharStyle103"/>
          <w:lang w:val="en-US" w:eastAsia="en-US" w:bidi="en-US"/>
        </w:rPr>
        <w:t>(Prazosin</w:t>
      </w:r>
      <w:r>
        <w:rPr>
          <w:lang w:val="en-US" w:eastAsia="en-US" w:bidi="en-US"/>
          <w:w w:val="100"/>
          <w:spacing w:val="0"/>
          <w:color w:val="000000"/>
          <w:position w:val="0"/>
        </w:rPr>
        <w:t xml:space="preserve"> </w:t>
      </w:r>
      <w:r>
        <w:rPr>
          <w:lang w:val="ru-RU" w:eastAsia="ru-RU" w:bidi="ru-RU"/>
          <w:w w:val="100"/>
          <w:spacing w:val="0"/>
          <w:color w:val="000000"/>
          <w:position w:val="0"/>
        </w:rPr>
        <w:t>25 мкг/кг 2-3 раза в день, не превышая дозы 250 мкг/кг/день). Всегда нужно начинать с малых доз, постепенно повышая их до получе</w:t>
        <w:softHyphen/>
        <w:t>ния клинического эффекта. Судить об эффекте данной те</w:t>
        <w:softHyphen/>
        <w:t>рапии можно по пульсовому давлению (среднее пульсовое давление должно быть равным или больше того, с которого начиналась терапия). Если же среднее пульсовое давление на фоне проводимого лечения снижается, то это значит, что сердце не в состоянии увеличивать свой ударный объем в такой мере, чтобы поддерживать периферическую вазо</w:t>
        <w:softHyphen/>
        <w:t>дилатацию. В этом случае данная форма терапии должна быть прекращена.</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Имеются сообщения о толерантности к вышеперечис</w:t>
        <w:softHyphen/>
        <w:t>ленным препаратам после длительного их применения, по - этому контроль эффективности должен производиться обязательно.</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Ингибиторы ангиотензинпревращающего фермента</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В последние годы внимание клиницистов в коррекции сердечной недостаточности привлекает использование ин</w:t>
        <w:softHyphen/>
        <w:t>гибиторов ангиотензинпревращающих ферментов. Боль</w:t>
        <w:softHyphen/>
        <w:t xml:space="preserve">шинство авторов в коррекции сердечной недостаточности у детей рекомендуют длительное применение </w:t>
      </w:r>
      <w:r>
        <w:rPr>
          <w:rStyle w:val="CharStyle103"/>
        </w:rPr>
        <w:t xml:space="preserve">каптоприла </w:t>
      </w:r>
      <w:r>
        <w:rPr>
          <w:rStyle w:val="CharStyle103"/>
          <w:lang w:val="en-US" w:eastAsia="en-US" w:bidi="en-US"/>
        </w:rPr>
        <w:t xml:space="preserve">(Captopril, </w:t>
      </w:r>
      <w:r>
        <w:rPr>
          <w:rStyle w:val="CharStyle103"/>
        </w:rPr>
        <w:t>син. Алкадил, Капотен, Катопил, Тензиомин)</w:t>
      </w:r>
      <w:r>
        <w:rPr>
          <w:lang w:val="ru-RU" w:eastAsia="ru-RU" w:bidi="ru-RU"/>
          <w:w w:val="100"/>
          <w:spacing w:val="0"/>
          <w:color w:val="000000"/>
          <w:position w:val="0"/>
        </w:rPr>
        <w:t xml:space="preserve"> в су</w:t>
        <w:softHyphen/>
        <w:t>точной дозе 2мг/кг для детей до 1 года и 1-1,5 мг/кг — стар</w:t>
        <w:softHyphen/>
        <w:t>ше 1 года. Однако назначение гипотензивных доз препара</w:t>
        <w:softHyphen/>
        <w:t>та оказалось не оправдано из-за низкого системного давле</w:t>
        <w:softHyphen/>
        <w:t>ния у таких больных. В этой связи в комплексном лечении детей с сердечной недостаточностью нами применены не</w:t>
        <w:softHyphen/>
        <w:t xml:space="preserve">гипотензивные дозы </w:t>
      </w:r>
      <w:r>
        <w:rPr>
          <w:rStyle w:val="CharStyle103"/>
        </w:rPr>
        <w:t>каптоприла</w:t>
      </w:r>
      <w:r>
        <w:rPr>
          <w:lang w:val="ru-RU" w:eastAsia="ru-RU" w:bidi="ru-RU"/>
          <w:w w:val="100"/>
          <w:spacing w:val="0"/>
          <w:color w:val="000000"/>
          <w:position w:val="0"/>
        </w:rPr>
        <w:t xml:space="preserve"> в суточной дозе 0,5 мг/кг в 3 приема.</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Р-адреноблокаторы</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В последнее десятилетие произошло окончательное ут</w:t>
        <w:softHyphen/>
        <w:t>верждение использования Р-блокаторов в терапии сердеч</w:t>
        <w:softHyphen/>
        <w:t>ной недостаточности.</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Активация симпато-адреналовой системы — это один из основных ранних компенсаторных механизмов при снижении сердечного выброса и начале развития сердеч</w:t>
        <w:softHyphen/>
        <w:t>ной недостаточности. Однако при сердечной недостаточ</w:t>
        <w:softHyphen/>
        <w:t>ности имеет место длительная хроническая гиперактива</w:t>
        <w:softHyphen/>
        <w:t>ция симпато-адреналовой системы, которая из компенса</w:t>
        <w:softHyphen/>
        <w:t>торной реакции превращается в фактор патогенный, спо</w:t>
        <w:softHyphen/>
        <w:t>собствующий прогрессированию и усугублению течения заболевания.</w:t>
      </w:r>
    </w:p>
    <w:p>
      <w:pPr>
        <w:pStyle w:val="Style30"/>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Негативное воздействие гиперактивации симпато-адре- наловой системы при хронической сердечной недостаточ</w:t>
        <w:softHyphen/>
        <w:t>ности заключается в следующем:</w:t>
      </w:r>
    </w:p>
    <w:p>
      <w:pPr>
        <w:pStyle w:val="Style30"/>
        <w:numPr>
          <w:ilvl w:val="0"/>
          <w:numId w:val="183"/>
        </w:numPr>
        <w:tabs>
          <w:tab w:leader="none" w:pos="536" w:val="left"/>
        </w:tabs>
        <w:widowControl w:val="0"/>
        <w:keepNext w:val="0"/>
        <w:keepLines w:val="0"/>
        <w:shd w:val="clear" w:color="auto" w:fill="auto"/>
        <w:bidi w:val="0"/>
        <w:jc w:val="left"/>
        <w:spacing w:before="0" w:after="0"/>
        <w:ind w:left="540" w:right="0" w:hanging="240"/>
      </w:pPr>
      <w:r>
        <w:rPr>
          <w:lang w:val="ru-RU" w:eastAsia="ru-RU" w:bidi="ru-RU"/>
          <w:w w:val="100"/>
          <w:spacing w:val="0"/>
          <w:color w:val="000000"/>
          <w:position w:val="0"/>
        </w:rPr>
        <w:t>Дисфункция и гибель кардиомиоцитов (путем некро - за и апоптоза).</w:t>
      </w:r>
    </w:p>
    <w:p>
      <w:pPr>
        <w:pStyle w:val="Style30"/>
        <w:numPr>
          <w:ilvl w:val="0"/>
          <w:numId w:val="183"/>
        </w:numPr>
        <w:tabs>
          <w:tab w:leader="none" w:pos="536"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Ухудшение гемодинамики.</w:t>
      </w:r>
    </w:p>
    <w:p>
      <w:pPr>
        <w:pStyle w:val="Style30"/>
        <w:numPr>
          <w:ilvl w:val="0"/>
          <w:numId w:val="183"/>
        </w:numPr>
        <w:tabs>
          <w:tab w:leader="none" w:pos="536" w:val="left"/>
        </w:tabs>
        <w:widowControl w:val="0"/>
        <w:keepNext w:val="0"/>
        <w:keepLines w:val="0"/>
        <w:shd w:val="clear" w:color="auto" w:fill="auto"/>
        <w:bidi w:val="0"/>
        <w:jc w:val="left"/>
        <w:spacing w:before="0" w:after="0"/>
        <w:ind w:left="540" w:right="0" w:hanging="240"/>
      </w:pPr>
      <w:r>
        <w:rPr>
          <w:lang w:val="ru-RU" w:eastAsia="ru-RU" w:bidi="ru-RU"/>
          <w:w w:val="100"/>
          <w:spacing w:val="0"/>
          <w:color w:val="000000"/>
          <w:position w:val="0"/>
        </w:rPr>
        <w:t>Снижение плотности и аффинности Р-адренорецеп- торов — хроническая тахикардия.</w:t>
      </w:r>
    </w:p>
    <w:p>
      <w:pPr>
        <w:pStyle w:val="Style30"/>
        <w:numPr>
          <w:ilvl w:val="0"/>
          <w:numId w:val="183"/>
        </w:numPr>
        <w:tabs>
          <w:tab w:leader="none" w:pos="536"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Гипертрофия миокарда.</w:t>
      </w:r>
    </w:p>
    <w:p>
      <w:pPr>
        <w:pStyle w:val="Style30"/>
        <w:numPr>
          <w:ilvl w:val="0"/>
          <w:numId w:val="183"/>
        </w:numPr>
        <w:tabs>
          <w:tab w:leader="none" w:pos="536" w:val="left"/>
        </w:tabs>
        <w:widowControl w:val="0"/>
        <w:keepNext w:val="0"/>
        <w:keepLines w:val="0"/>
        <w:shd w:val="clear" w:color="auto" w:fill="auto"/>
        <w:bidi w:val="0"/>
        <w:jc w:val="left"/>
        <w:spacing w:before="0" w:after="0"/>
        <w:ind w:left="540" w:right="0" w:hanging="240"/>
      </w:pPr>
      <w:r>
        <w:rPr>
          <w:lang w:val="ru-RU" w:eastAsia="ru-RU" w:bidi="ru-RU"/>
          <w:w w:val="100"/>
          <w:spacing w:val="0"/>
          <w:color w:val="000000"/>
          <w:position w:val="0"/>
        </w:rPr>
        <w:t>Провокация ишемии миокарда (за счет тахикардии, гипертрофии миокарда и вазоконстрикции).</w:t>
      </w:r>
    </w:p>
    <w:p>
      <w:pPr>
        <w:pStyle w:val="Style30"/>
        <w:numPr>
          <w:ilvl w:val="0"/>
          <w:numId w:val="183"/>
        </w:numPr>
        <w:tabs>
          <w:tab w:leader="none" w:pos="536" w:val="left"/>
        </w:tabs>
        <w:widowControl w:val="0"/>
        <w:keepNext w:val="0"/>
        <w:keepLines w:val="0"/>
        <w:shd w:val="clear" w:color="auto" w:fill="auto"/>
        <w:bidi w:val="0"/>
        <w:spacing w:before="0" w:after="0"/>
        <w:ind w:left="0" w:right="0" w:firstLine="300"/>
      </w:pPr>
      <w:r>
        <w:rPr>
          <w:lang w:val="ru-RU" w:eastAsia="ru-RU" w:bidi="ru-RU"/>
          <w:w w:val="100"/>
          <w:spacing w:val="0"/>
          <w:color w:val="000000"/>
          <w:position w:val="0"/>
        </w:rPr>
        <w:t>Провокация аритмий.</w:t>
      </w:r>
    </w:p>
    <w:p>
      <w:pPr>
        <w:pStyle w:val="Style30"/>
        <w:widowControl w:val="0"/>
        <w:keepNext w:val="0"/>
        <w:keepLines w:val="0"/>
        <w:shd w:val="clear" w:color="auto" w:fill="auto"/>
        <w:bidi w:val="0"/>
        <w:spacing w:before="0" w:after="0"/>
        <w:ind w:left="0" w:right="0" w:firstLine="280"/>
      </w:pPr>
      <w:r>
        <w:br w:type="column"/>
      </w:r>
      <w:r>
        <w:rPr>
          <w:lang w:val="ru-RU" w:eastAsia="ru-RU" w:bidi="ru-RU"/>
          <w:w w:val="100"/>
          <w:spacing w:val="0"/>
          <w:color w:val="000000"/>
          <w:position w:val="0"/>
        </w:rPr>
        <w:t>Таким образом, имеется множество точек приложения действия Р-адреноблокаторов при сердечной недостаточ</w:t>
        <w:softHyphen/>
        <w:t>ности.</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Назначение Р-адреноблокаторов должно осуществлять</w:t>
        <w:softHyphen/>
        <w:t>ся дополнительно к терапии сердечными гликозидами, ин</w:t>
        <w:softHyphen/>
        <w:t>гибиторами ангиотензинпревращающего фермента, моче</w:t>
        <w:softHyphen/>
        <w:t>гонными. Лечение должно начинаться с малых доз (1/8 средней терапевтической) с медленным титрованием дозировок (удвоение доз не ранее чем через 2-3 нед при от</w:t>
        <w:softHyphen/>
        <w:t>сутствии противопоказаний). При сопутствующих желу</w:t>
        <w:softHyphen/>
        <w:t>дочковых нарушениях сердечного ритма обычно более эф</w:t>
        <w:softHyphen/>
        <w:t>фективны некардиоселективные Р-адреноблокаторы, осо</w:t>
        <w:softHyphen/>
        <w:t xml:space="preserve">бенно </w:t>
      </w:r>
      <w:r>
        <w:rPr>
          <w:rStyle w:val="CharStyle103"/>
        </w:rPr>
        <w:t>соталол</w:t>
      </w:r>
      <w:r>
        <w:rPr>
          <w:lang w:val="ru-RU" w:eastAsia="ru-RU" w:bidi="ru-RU"/>
          <w:w w:val="100"/>
          <w:spacing w:val="0"/>
          <w:color w:val="000000"/>
          <w:position w:val="0"/>
        </w:rPr>
        <w:t xml:space="preserve"> </w:t>
      </w:r>
      <w:r>
        <w:rPr>
          <w:lang w:val="en-US" w:eastAsia="en-US" w:bidi="en-US"/>
          <w:w w:val="100"/>
          <w:spacing w:val="0"/>
          <w:color w:val="000000"/>
          <w:position w:val="0"/>
        </w:rPr>
        <w:t>(</w:t>
      </w:r>
      <w:r>
        <w:rPr>
          <w:rStyle w:val="CharStyle103"/>
          <w:lang w:val="en-US" w:eastAsia="en-US" w:bidi="en-US"/>
        </w:rPr>
        <w:t>Sotalol</w:t>
      </w:r>
      <w:r>
        <w:rPr>
          <w:lang w:val="en-US" w:eastAsia="en-US" w:bidi="en-US"/>
          <w:w w:val="100"/>
          <w:spacing w:val="0"/>
          <w:color w:val="000000"/>
          <w:position w:val="0"/>
        </w:rPr>
        <w:t xml:space="preserve">) </w:t>
      </w:r>
      <w:r>
        <w:rPr>
          <w:lang w:val="ru-RU" w:eastAsia="ru-RU" w:bidi="ru-RU"/>
          <w:w w:val="100"/>
          <w:spacing w:val="0"/>
          <w:color w:val="000000"/>
          <w:position w:val="0"/>
        </w:rPr>
        <w:t>с его дополнительными свойствами антиаритмика.</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Таким образом, Р-адреноблокаторы становятся полно</w:t>
        <w:softHyphen/>
        <w:t>правным классом препаратов, рекомендованных для лече</w:t>
        <w:softHyphen/>
        <w:t>ния хронической сердечной недостаточности, которые должны использоваться совместно с традиционной терапи</w:t>
        <w:softHyphen/>
        <w:t>ей ингибиторами АПФ, диуретиками и гликозидами. Осо</w:t>
        <w:softHyphen/>
        <w:t>бенно необходимо подчеркнуть, что Р-блокаторы назнача</w:t>
        <w:softHyphen/>
        <w:t>ются дополнительно к ингибиторам АПФ и мочегонным, а не вместо них.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Кроме ингибиторов ангиотензинпревращающего фермента и Р-блокаторов, в 80-90-е годы повышенный интерес вызывают различные нейрогормональные моду</w:t>
        <w:softHyphen/>
        <w:t>ляторы — как хорошо известные, но незаслуженно забы</w:t>
        <w:softHyphen/>
        <w:t>тые в 80-е годы антагонисты альдостерона, так и новые группы: блокаторы рецепторов А</w:t>
      </w:r>
      <w:r>
        <w:rPr>
          <w:lang w:val="en-US" w:eastAsia="en-US" w:bidi="en-US"/>
          <w:w w:val="100"/>
          <w:spacing w:val="0"/>
          <w:color w:val="000000"/>
          <w:position w:val="0"/>
        </w:rPr>
        <w:t xml:space="preserve">-II, </w:t>
      </w:r>
      <w:r>
        <w:rPr>
          <w:lang w:val="ru-RU" w:eastAsia="ru-RU" w:bidi="ru-RU"/>
          <w:w w:val="100"/>
          <w:spacing w:val="0"/>
          <w:color w:val="000000"/>
          <w:position w:val="0"/>
        </w:rPr>
        <w:t>ингибиторы ренина, блокаторы эндотелиновых рецепторов, ингибиторы ней</w:t>
        <w:softHyphen/>
        <w:t>тральной эндопептидазы, комбинированные ингибито</w:t>
        <w:softHyphen/>
        <w:t>ры АПФ/нейтральной эндопептидазы, антагонисты ва- зопрессина и др.</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Представленные группы нейрогормональных модулято</w:t>
        <w:softHyphen/>
        <w:t>ров находятся на различных этапах своего развития, но все они имеют хорошую перспективу в комплексной терапии сердечной недостаточности в детском возрасте.</w:t>
      </w:r>
    </w:p>
    <w:p>
      <w:pPr>
        <w:pStyle w:val="Style30"/>
        <w:widowControl w:val="0"/>
        <w:keepNext w:val="0"/>
        <w:keepLines w:val="0"/>
        <w:shd w:val="clear" w:color="auto" w:fill="auto"/>
        <w:bidi w:val="0"/>
        <w:spacing w:before="0" w:after="237"/>
        <w:ind w:left="0" w:right="0" w:firstLine="280"/>
      </w:pPr>
      <w:r>
        <w:rPr>
          <w:lang w:val="ru-RU" w:eastAsia="ru-RU" w:bidi="ru-RU"/>
          <w:w w:val="100"/>
          <w:spacing w:val="0"/>
          <w:color w:val="000000"/>
          <w:position w:val="0"/>
        </w:rPr>
        <w:t>Перспективы их развития позволяют надеяться на про</w:t>
        <w:softHyphen/>
        <w:t>рыв в лечении сердечной недостаточности на рубеже буду</w:t>
        <w:softHyphen/>
        <w:t>щего тысячелетия.</w:t>
      </w:r>
    </w:p>
    <w:p>
      <w:pPr>
        <w:pStyle w:val="Style28"/>
        <w:widowControl w:val="0"/>
        <w:keepNext/>
        <w:keepLines/>
        <w:shd w:val="clear" w:color="auto" w:fill="auto"/>
        <w:bidi w:val="0"/>
        <w:jc w:val="left"/>
        <w:spacing w:before="0" w:after="157" w:line="220" w:lineRule="exact"/>
        <w:ind w:left="0" w:right="0" w:firstLine="0"/>
      </w:pPr>
      <w:bookmarkStart w:id="845" w:name="bookmark845"/>
      <w:r>
        <w:rPr>
          <w:lang w:val="ru-RU" w:eastAsia="ru-RU" w:bidi="ru-RU"/>
          <w:w w:val="100"/>
          <w:spacing w:val="0"/>
          <w:color w:val="000000"/>
          <w:position w:val="0"/>
        </w:rPr>
        <w:t>Отек легких</w:t>
      </w:r>
      <w:bookmarkEnd w:id="845"/>
    </w:p>
    <w:p>
      <w:pPr>
        <w:pStyle w:val="Style30"/>
        <w:numPr>
          <w:ilvl w:val="0"/>
          <w:numId w:val="18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Отек легких является грозным осложнением сердеч</w:t>
        <w:softHyphen/>
        <w:t>ной недостаточности, у детей возникает при состоя</w:t>
        <w:softHyphen/>
        <w:t>ниях, связанных с несоответствием притока и оттока крови из малого круга кровообращения, что приво</w:t>
        <w:softHyphen/>
        <w:t>дит к подъему капиллярного давления и увеличению проницаемости жидкости в альвеолы. Отек легких у детей наблюдается при кардитах, кардиомиопатиях, врожденных пороках сердца, анафилактическом шо</w:t>
        <w:softHyphen/>
        <w:t>ке, пневмониях, бронхиальной астме, коматозных состояниях, опухолях мозга, травмах головы, грудной клетки, внутричерепных кровоизлияниях, эпилеп</w:t>
        <w:softHyphen/>
        <w:t>сии, тяжелых почечных заболеваниях, быстром вве</w:t>
        <w:softHyphen/>
        <w:t>дении большого количества жидкости и др.</w:t>
      </w:r>
    </w:p>
    <w:p>
      <w:pPr>
        <w:pStyle w:val="Style30"/>
        <w:numPr>
          <w:ilvl w:val="0"/>
          <w:numId w:val="183"/>
        </w:numPr>
        <w:tabs>
          <w:tab w:leader="none" w:pos="517" w:val="left"/>
        </w:tabs>
        <w:widowControl w:val="0"/>
        <w:keepNext w:val="0"/>
        <w:keepLines w:val="0"/>
        <w:shd w:val="clear" w:color="auto" w:fill="auto"/>
        <w:bidi w:val="0"/>
        <w:spacing w:before="0" w:after="0"/>
        <w:ind w:left="520" w:right="0" w:hanging="240"/>
      </w:pPr>
      <w:r>
        <w:rPr>
          <w:lang w:val="ru-RU" w:eastAsia="ru-RU" w:bidi="ru-RU"/>
          <w:w w:val="100"/>
          <w:spacing w:val="0"/>
          <w:color w:val="000000"/>
          <w:position w:val="0"/>
        </w:rPr>
        <w:t>Различают интерстициальный и альвеолярный отек легких.</w:t>
      </w:r>
    </w:p>
    <w:p>
      <w:pPr>
        <w:pStyle w:val="Style30"/>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Клиническая симптоматика интерстициального отека легких (сердечная астма):</w:t>
      </w:r>
    </w:p>
    <w:p>
      <w:pPr>
        <w:pStyle w:val="Style30"/>
        <w:numPr>
          <w:ilvl w:val="0"/>
          <w:numId w:val="18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Адинамия.</w:t>
      </w:r>
    </w:p>
    <w:p>
      <w:pPr>
        <w:pStyle w:val="Style30"/>
        <w:numPr>
          <w:ilvl w:val="0"/>
          <w:numId w:val="183"/>
        </w:numPr>
        <w:tabs>
          <w:tab w:leader="none" w:pos="517" w:val="left"/>
        </w:tabs>
        <w:widowControl w:val="0"/>
        <w:keepNext w:val="0"/>
        <w:keepLines w:val="0"/>
        <w:shd w:val="clear" w:color="auto" w:fill="auto"/>
        <w:bidi w:val="0"/>
        <w:spacing w:before="0" w:after="0"/>
        <w:ind w:left="0" w:right="0" w:firstLine="280"/>
      </w:pPr>
      <w:r>
        <w:rPr>
          <w:lang w:val="ru-RU" w:eastAsia="ru-RU" w:bidi="ru-RU"/>
          <w:w w:val="100"/>
          <w:spacing w:val="0"/>
          <w:color w:val="000000"/>
          <w:position w:val="0"/>
        </w:rPr>
        <w:t>Спутанность сознания.</w:t>
      </w:r>
    </w:p>
    <w:p>
      <w:pPr>
        <w:pStyle w:val="Style30"/>
        <w:numPr>
          <w:ilvl w:val="0"/>
          <w:numId w:val="183"/>
        </w:numPr>
        <w:tabs>
          <w:tab w:leader="none" w:pos="517" w:val="left"/>
        </w:tabs>
        <w:widowControl w:val="0"/>
        <w:keepNext w:val="0"/>
        <w:keepLines w:val="0"/>
        <w:shd w:val="clear" w:color="auto" w:fill="auto"/>
        <w:bidi w:val="0"/>
        <w:spacing w:before="0" w:after="0"/>
        <w:ind w:left="0" w:right="0" w:firstLine="280"/>
      </w:pPr>
      <w:r>
        <w:pict>
          <v:shape id="_x0000_s1910" type="#_x0000_t75" style="position:absolute;margin-left:149.05pt;margin-top:736.55pt;width:209.75pt;height:14.9pt;z-index:-125828738;mso-wrap-distance-left:149.05pt;mso-wrap-distance-right:136.8pt;mso-wrap-distance-bottom:10.8pt;mso-position-horizontal-relative:margin;mso-position-vertical-relative:margin" wrapcoords="0 0 21600 0 21600 21600 0 21600 0 0">
            <v:imagedata r:id="rId1406" r:href="rId1407"/>
            <w10:wrap type="topAndBottom" anchorx="margin" anchory="margin"/>
          </v:shape>
        </w:pict>
      </w:r>
      <w:r>
        <w:rPr>
          <w:lang w:val="ru-RU" w:eastAsia="ru-RU" w:bidi="ru-RU"/>
          <w:w w:val="100"/>
          <w:spacing w:val="0"/>
          <w:color w:val="000000"/>
          <w:position w:val="0"/>
        </w:rPr>
        <w:t>Генерализованный цианоз.</w:t>
      </w:r>
      <w:r>
        <w:br w:type="page"/>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Приступ сердечной астмы обычно развивается но</w:t>
        <w:softHyphen/>
        <w:t>чью. Больной просыпается от чувства резкой нехват</w:t>
        <w:softHyphen/>
        <w:t>ки воздуха — удушья и сразу же принимает вынуж</w:t>
        <w:softHyphen/>
        <w:t>денное положение, садится в кровати. При более сильном приступе больной опускает на пол ноги и для облегчения акта дыхания опирается руками о край кровати.</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Одышка с обильным выделением пенистой мокроты розового цвета.</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Тахикардия.</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Ритм галопа.</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Усиление и (или) раздвоение II тона над легочной ар - терией.</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Кардиомегалия.</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Систолический шум над верхушкой сердца, свиде</w:t>
        <w:softHyphen/>
        <w:t>тельствующий о развитии относительной недостаточ</w:t>
        <w:softHyphen/>
        <w:t>ности митрального клапана.</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Глухие тоны сердца.</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Частый пульс слабого наполнения.</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Альтернация пульса.</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В легких влажные разнокалиберные хрипы.</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На рентгенограмме интенсивное затемнение легоч</w:t>
        <w:softHyphen/>
        <w:t>ных полей.</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Клиническая симптоматика альвеолярного отека лег</w:t>
        <w:softHyphen/>
        <w:t>ких:</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Острый альвеолярный отек легких — более тяжелая форма отека, отличающаяся от интерстициальной в первую очередь транссудацией серозной жидкос</w:t>
        <w:softHyphen/>
        <w:t>ти в альвеолы и образованием стойкой белковой пены.</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Переход от интерстициального отека легких к альве</w:t>
        <w:softHyphen/>
        <w:t>олярному иногда происходит очень быстро — в тече</w:t>
        <w:softHyphen/>
        <w:t>ние нескольких минут.</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Клокочущее дыхание, которое часто хорошо слышно на расстоянии.</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Обилие разнокалиберных хрипов легких.</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Пенистое отделяемое из дыхательных путей.</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Кардиогенный шок (нитевидный пульс, давление только на крупных сосудах).</w:t>
      </w:r>
    </w:p>
    <w:p>
      <w:pPr>
        <w:pStyle w:val="Style30"/>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Неотложные мероприятия</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Дыхание под положительным давлением на выдохе 100% кислородом. В увлажнитель добавляют поверх</w:t>
        <w:softHyphen/>
        <w:t xml:space="preserve">ностно-активное вещество — </w:t>
      </w:r>
      <w:r>
        <w:rPr>
          <w:rStyle w:val="CharStyle103"/>
        </w:rPr>
        <w:t xml:space="preserve">антифомсилан </w:t>
      </w:r>
      <w:r>
        <w:rPr>
          <w:rStyle w:val="CharStyle103"/>
          <w:lang w:val="en-US" w:eastAsia="en-US" w:bidi="en-US"/>
        </w:rPr>
        <w:t>(Antifomsilanum)</w:t>
      </w:r>
      <w:r>
        <w:rPr>
          <w:lang w:val="en-US" w:eastAsia="en-US" w:bidi="en-US"/>
          <w:w w:val="100"/>
          <w:spacing w:val="0"/>
          <w:color w:val="000000"/>
          <w:position w:val="0"/>
        </w:rPr>
        <w:t xml:space="preserve"> </w:t>
      </w:r>
      <w:r>
        <w:rPr>
          <w:lang w:val="ru-RU" w:eastAsia="ru-RU" w:bidi="ru-RU"/>
          <w:w w:val="100"/>
          <w:spacing w:val="0"/>
          <w:color w:val="000000"/>
          <w:position w:val="0"/>
        </w:rPr>
        <w:t>в виде 10% спиртового или эфирного раствора.</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lang w:val="ru-RU" w:eastAsia="ru-RU" w:bidi="ru-RU"/>
          <w:w w:val="100"/>
          <w:spacing w:val="0"/>
          <w:color w:val="000000"/>
          <w:position w:val="0"/>
        </w:rPr>
        <w:t xml:space="preserve">Введение наркотических анальгетиков — </w:t>
      </w:r>
      <w:r>
        <w:rPr>
          <w:rStyle w:val="CharStyle103"/>
        </w:rPr>
        <w:t>морфин гид</w:t>
        <w:softHyphen/>
        <w:t>рохлорид</w:t>
      </w:r>
      <w:r>
        <w:rPr>
          <w:lang w:val="ru-RU" w:eastAsia="ru-RU" w:bidi="ru-RU"/>
          <w:w w:val="100"/>
          <w:spacing w:val="0"/>
          <w:color w:val="000000"/>
          <w:position w:val="0"/>
        </w:rPr>
        <w:t xml:space="preserve"> 1% раствор </w:t>
      </w:r>
      <w:r>
        <w:rPr>
          <w:rStyle w:val="CharStyle103"/>
          <w:lang w:val="en-US" w:eastAsia="en-US" w:bidi="en-US"/>
        </w:rPr>
        <w:t>(Morphini Hidrochloridum)</w:t>
      </w:r>
      <w:r>
        <w:rPr>
          <w:lang w:val="en-US" w:eastAsia="en-US" w:bidi="en-US"/>
          <w:w w:val="100"/>
          <w:spacing w:val="0"/>
          <w:color w:val="000000"/>
          <w:position w:val="0"/>
        </w:rPr>
        <w:t xml:space="preserve"> </w:t>
      </w:r>
      <w:r>
        <w:rPr>
          <w:lang w:val="ru-RU" w:eastAsia="ru-RU" w:bidi="ru-RU"/>
          <w:w w:val="100"/>
          <w:spacing w:val="0"/>
          <w:color w:val="000000"/>
          <w:position w:val="0"/>
        </w:rPr>
        <w:t xml:space="preserve">— 0,05-1 мг/кг подкожно (детям старше 2-х лет), </w:t>
      </w:r>
      <w:r>
        <w:rPr>
          <w:rStyle w:val="CharStyle103"/>
        </w:rPr>
        <w:t>налор- фин гидрохлорид</w:t>
      </w:r>
      <w:r>
        <w:rPr>
          <w:lang w:val="ru-RU" w:eastAsia="ru-RU" w:bidi="ru-RU"/>
          <w:w w:val="100"/>
          <w:spacing w:val="0"/>
          <w:color w:val="000000"/>
          <w:position w:val="0"/>
        </w:rPr>
        <w:t xml:space="preserve"> 0,05% раствор </w:t>
      </w:r>
      <w:r>
        <w:rPr>
          <w:rStyle w:val="CharStyle103"/>
          <w:lang w:val="en-US" w:eastAsia="en-US" w:bidi="en-US"/>
        </w:rPr>
        <w:t>(Nalorphine Hydrochloridum</w:t>
      </w:r>
      <w:r>
        <w:rPr>
          <w:lang w:val="en-US" w:eastAsia="en-US" w:bidi="en-US"/>
          <w:w w:val="100"/>
          <w:spacing w:val="0"/>
          <w:color w:val="000000"/>
          <w:position w:val="0"/>
        </w:rPr>
        <w:t xml:space="preserve">) — 0,2-0,5 </w:t>
      </w:r>
      <w:r>
        <w:rPr>
          <w:lang w:val="ru-RU" w:eastAsia="ru-RU" w:bidi="ru-RU"/>
          <w:w w:val="100"/>
          <w:spacing w:val="0"/>
          <w:color w:val="000000"/>
          <w:position w:val="0"/>
        </w:rPr>
        <w:t>мл новорожденным, под</w:t>
        <w:softHyphen/>
        <w:t>кожно внутримышечно.</w:t>
      </w:r>
    </w:p>
    <w:p>
      <w:pPr>
        <w:pStyle w:val="Style107"/>
        <w:numPr>
          <w:ilvl w:val="0"/>
          <w:numId w:val="183"/>
        </w:numPr>
        <w:widowControl w:val="0"/>
        <w:keepNext w:val="0"/>
        <w:keepLines w:val="0"/>
        <w:shd w:val="clear" w:color="auto" w:fill="auto"/>
        <w:bidi w:val="0"/>
        <w:spacing w:before="0" w:after="0"/>
        <w:ind w:left="500" w:right="0" w:hanging="220"/>
      </w:pPr>
      <w:r>
        <w:rPr>
          <w:rStyle w:val="CharStyle137"/>
          <w:b w:val="0"/>
          <w:bCs w:val="0"/>
          <w:i w:val="0"/>
          <w:iCs w:val="0"/>
        </w:rPr>
        <w:t xml:space="preserve"> Диуретики — </w:t>
      </w:r>
      <w:r>
        <w:rPr>
          <w:lang w:val="ru-RU" w:eastAsia="ru-RU" w:bidi="ru-RU"/>
          <w:w w:val="100"/>
          <w:spacing w:val="0"/>
          <w:color w:val="000000"/>
          <w:position w:val="0"/>
        </w:rPr>
        <w:t xml:space="preserve">фуросемид </w:t>
      </w:r>
      <w:r>
        <w:rPr>
          <w:lang w:val="en-US" w:eastAsia="en-US" w:bidi="en-US"/>
          <w:w w:val="100"/>
          <w:spacing w:val="0"/>
          <w:color w:val="000000"/>
          <w:position w:val="0"/>
        </w:rPr>
        <w:t xml:space="preserve">(Furosemide, </w:t>
      </w:r>
      <w:r>
        <w:rPr>
          <w:lang w:val="ru-RU" w:eastAsia="ru-RU" w:bidi="ru-RU"/>
          <w:w w:val="100"/>
          <w:spacing w:val="0"/>
          <w:color w:val="000000"/>
          <w:position w:val="0"/>
        </w:rPr>
        <w:t xml:space="preserve">син. </w:t>
      </w:r>
      <w:r>
        <w:rPr>
          <w:lang w:val="en-US" w:eastAsia="en-US" w:bidi="en-US"/>
          <w:w w:val="100"/>
          <w:spacing w:val="0"/>
          <w:color w:val="000000"/>
          <w:position w:val="0"/>
        </w:rPr>
        <w:t>Lasix)</w:t>
      </w:r>
      <w:r>
        <w:rPr>
          <w:rStyle w:val="CharStyle137"/>
          <w:lang w:val="en-US" w:eastAsia="en-US" w:bidi="en-US"/>
          <w:b w:val="0"/>
          <w:bCs w:val="0"/>
          <w:i w:val="0"/>
          <w:iCs w:val="0"/>
        </w:rPr>
        <w:t xml:space="preserve"> </w:t>
      </w:r>
      <w:r>
        <w:rPr>
          <w:rStyle w:val="CharStyle137"/>
          <w:b w:val="0"/>
          <w:bCs w:val="0"/>
          <w:i w:val="0"/>
          <w:iCs w:val="0"/>
        </w:rPr>
        <w:t>—</w:t>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1-3 мг/кг 4 раза в день (максимальная доза — 10 мг/кг/сутки) внутривенно, внутримышечно.</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rStyle w:val="CharStyle103"/>
        </w:rPr>
        <w:t xml:space="preserve">Дигоксин </w:t>
      </w:r>
      <w:r>
        <w:rPr>
          <w:rStyle w:val="CharStyle103"/>
          <w:lang w:val="en-US" w:eastAsia="en-US" w:bidi="en-US"/>
        </w:rPr>
        <w:t>(Digoxinum)</w:t>
      </w:r>
      <w:r>
        <w:rPr>
          <w:lang w:val="en-US" w:eastAsia="en-US" w:bidi="en-US"/>
          <w:w w:val="100"/>
          <w:spacing w:val="0"/>
          <w:color w:val="000000"/>
          <w:position w:val="0"/>
        </w:rPr>
        <w:t xml:space="preserve"> </w:t>
      </w:r>
      <w:r>
        <w:rPr>
          <w:lang w:val="ru-RU" w:eastAsia="ru-RU" w:bidi="ru-RU"/>
          <w:w w:val="100"/>
          <w:spacing w:val="0"/>
          <w:color w:val="000000"/>
          <w:position w:val="0"/>
        </w:rPr>
        <w:t>в дозе насыщения недоношен</w:t>
        <w:softHyphen/>
        <w:t>ным — 25 мкг/кг (0,025 мг/кг), детям до 2-х лет — 50 мкг/кг (0,05 мг/кг), детям старшего возраста — 25 мкг/кг (0,025 мг/кг) внутривенно капельно. Под</w:t>
        <w:softHyphen/>
        <w:t>держивающая доза составляет 1/3-1/4 от дозы насы</w:t>
        <w:softHyphen/>
        <w:t>щения.</w:t>
      </w:r>
    </w:p>
    <w:p>
      <w:pPr>
        <w:pStyle w:val="Style30"/>
        <w:numPr>
          <w:ilvl w:val="0"/>
          <w:numId w:val="183"/>
        </w:numPr>
        <w:tabs>
          <w:tab w:leader="none" w:pos="516" w:val="left"/>
        </w:tabs>
        <w:widowControl w:val="0"/>
        <w:keepNext w:val="0"/>
        <w:keepLines w:val="0"/>
        <w:shd w:val="clear" w:color="auto" w:fill="auto"/>
        <w:bidi w:val="0"/>
        <w:spacing w:before="0" w:after="0"/>
        <w:ind w:left="500" w:right="0" w:hanging="220"/>
      </w:pPr>
      <w:r>
        <w:rPr>
          <w:rStyle w:val="CharStyle103"/>
        </w:rPr>
        <w:t xml:space="preserve">Аминофиллин </w:t>
      </w:r>
      <w:r>
        <w:rPr>
          <w:rStyle w:val="CharStyle103"/>
          <w:lang w:val="en-US" w:eastAsia="en-US" w:bidi="en-US"/>
        </w:rPr>
        <w:t>(Aminophylline)</w:t>
      </w:r>
      <w:r>
        <w:rPr>
          <w:lang w:val="en-US" w:eastAsia="en-US" w:bidi="en-US"/>
          <w:w w:val="100"/>
          <w:spacing w:val="0"/>
          <w:color w:val="000000"/>
          <w:position w:val="0"/>
        </w:rPr>
        <w:t xml:space="preserve"> </w:t>
      </w:r>
      <w:r>
        <w:rPr>
          <w:lang w:val="ru-RU" w:eastAsia="ru-RU" w:bidi="ru-RU"/>
          <w:w w:val="100"/>
          <w:spacing w:val="0"/>
          <w:color w:val="000000"/>
          <w:position w:val="0"/>
        </w:rPr>
        <w:t>— 5 мг/кг внутривенно капельно, если не развивается гипотензия.</w:t>
      </w:r>
    </w:p>
    <w:p>
      <w:pPr>
        <w:pStyle w:val="Style28"/>
        <w:widowControl w:val="0"/>
        <w:keepNext/>
        <w:keepLines/>
        <w:shd w:val="clear" w:color="auto" w:fill="auto"/>
        <w:bidi w:val="0"/>
        <w:jc w:val="left"/>
        <w:spacing w:before="0" w:after="122" w:line="298" w:lineRule="exact"/>
        <w:ind w:left="0" w:right="0" w:firstLine="0"/>
      </w:pPr>
      <w:r>
        <w:br w:type="column"/>
      </w:r>
      <w:bookmarkStart w:id="846" w:name="bookmark846"/>
      <w:r>
        <w:rPr>
          <w:lang w:val="ru-RU" w:eastAsia="ru-RU" w:bidi="ru-RU"/>
          <w:w w:val="100"/>
          <w:spacing w:val="0"/>
          <w:color w:val="000000"/>
          <w:position w:val="0"/>
        </w:rPr>
        <w:t>Острая левожелудочковая сердечная недостаточность</w:t>
      </w:r>
      <w:bookmarkEnd w:id="846"/>
    </w:p>
    <w:p>
      <w:pPr>
        <w:pStyle w:val="Style30"/>
        <w:numPr>
          <w:ilvl w:val="0"/>
          <w:numId w:val="183"/>
        </w:numPr>
        <w:tabs>
          <w:tab w:leader="none" w:pos="495" w:val="left"/>
        </w:tabs>
        <w:widowControl w:val="0"/>
        <w:keepNext w:val="0"/>
        <w:keepLines w:val="0"/>
        <w:shd w:val="clear" w:color="auto" w:fill="auto"/>
        <w:bidi w:val="0"/>
        <w:spacing w:before="0" w:after="0" w:line="221" w:lineRule="exact"/>
        <w:ind w:left="500" w:right="0" w:hanging="240"/>
      </w:pPr>
      <w:r>
        <w:rPr>
          <w:lang w:val="ru-RU" w:eastAsia="ru-RU" w:bidi="ru-RU"/>
          <w:w w:val="100"/>
          <w:spacing w:val="0"/>
          <w:color w:val="000000"/>
          <w:position w:val="0"/>
        </w:rPr>
        <w:t>Острая левожелудочковая сердечная недостаточ</w:t>
        <w:softHyphen/>
        <w:t>ность может возникать в структурно нормальном сердце: вирусный миокардит, при метаболических, ишемических, нейромышечных и токсических за</w:t>
        <w:softHyphen/>
        <w:t>болеваниях. При структурных дефектах она разви</w:t>
        <w:softHyphen/>
        <w:t>вается при большинстве цианотичных пороков сердца, синдроме гипоплазии левого желудочка, пе</w:t>
        <w:softHyphen/>
        <w:t>рерыве дуги аорты, критическом стенозе аорты, врожденных аномалиях коронарных сосудов, мит</w:t>
        <w:softHyphen/>
        <w:t>ральном стенозе и др. При заболеваниях миокарда острая левожелудочковая недостаточность возника</w:t>
        <w:softHyphen/>
        <w:t>ет на стадии декомпенсации болезни; кардиомио</w:t>
        <w:softHyphen/>
        <w:t>патии, синдроме миокардиальной дисфункции но</w:t>
        <w:softHyphen/>
        <w:t>ворожденных.</w:t>
      </w:r>
    </w:p>
    <w:p>
      <w:pPr>
        <w:pStyle w:val="Style30"/>
        <w:numPr>
          <w:ilvl w:val="0"/>
          <w:numId w:val="183"/>
        </w:numPr>
        <w:tabs>
          <w:tab w:leader="none" w:pos="495" w:val="left"/>
        </w:tabs>
        <w:widowControl w:val="0"/>
        <w:keepNext w:val="0"/>
        <w:keepLines w:val="0"/>
        <w:shd w:val="clear" w:color="auto" w:fill="auto"/>
        <w:bidi w:val="0"/>
        <w:spacing w:before="0" w:after="0" w:line="221" w:lineRule="exact"/>
        <w:ind w:left="500" w:right="0" w:hanging="240"/>
      </w:pPr>
      <w:r>
        <w:rPr>
          <w:lang w:val="ru-RU" w:eastAsia="ru-RU" w:bidi="ru-RU"/>
          <w:w w:val="100"/>
          <w:spacing w:val="0"/>
          <w:color w:val="000000"/>
          <w:position w:val="0"/>
        </w:rPr>
        <w:t>Клинические проявления левожелудочковой недо</w:t>
        <w:softHyphen/>
        <w:t>статочности зависят от возраста ребенка. У ново</w:t>
        <w:softHyphen/>
        <w:t>рожденных она проявляется нарушением сна, бес</w:t>
        <w:softHyphen/>
        <w:t>покойством, криком, трудностями при кормлении. Кожные покровы бледные или цианотично-серые. Одышка достигает 60 и более в минуту, выражена тахикардия, пульс слабого наполнения, «нитевид</w:t>
        <w:softHyphen/>
        <w:t>ный». Величина кардиомегалии не коррелирует со степенью левожелудочковой недостаточности. У новорожденных с левожелудочковой недостаточ</w:t>
        <w:softHyphen/>
        <w:t>ностью может внезапно развиться кардиогенный шок, когда закрывается открытый артериальный проток.</w:t>
      </w:r>
    </w:p>
    <w:p>
      <w:pPr>
        <w:pStyle w:val="Style30"/>
        <w:numPr>
          <w:ilvl w:val="0"/>
          <w:numId w:val="183"/>
        </w:numPr>
        <w:tabs>
          <w:tab w:leader="none" w:pos="495" w:val="left"/>
        </w:tabs>
        <w:widowControl w:val="0"/>
        <w:keepNext w:val="0"/>
        <w:keepLines w:val="0"/>
        <w:shd w:val="clear" w:color="auto" w:fill="auto"/>
        <w:bidi w:val="0"/>
        <w:spacing w:before="0" w:after="0" w:line="221" w:lineRule="exact"/>
        <w:ind w:left="500" w:right="0" w:hanging="240"/>
      </w:pPr>
      <w:r>
        <w:rPr>
          <w:lang w:val="ru-RU" w:eastAsia="ru-RU" w:bidi="ru-RU"/>
          <w:w w:val="100"/>
          <w:spacing w:val="0"/>
          <w:color w:val="000000"/>
          <w:position w:val="0"/>
        </w:rPr>
        <w:t>Острая левожелудочковая недостаточность у детей до 1 года проявляется летаргией, тахипноэ, отказом от еды. Позже присоединяются гипотония, цианоз, шок. При осмотре усилена пульсация прекордиаль- ной области, шумное дыхание. Появляются перифе</w:t>
        <w:softHyphen/>
        <w:t>рические отеки, гепатоспленомегалия, глухость то</w:t>
        <w:softHyphen/>
        <w:t>нов, застойные хрипы в нижних отделах легких.</w:t>
      </w:r>
    </w:p>
    <w:p>
      <w:pPr>
        <w:pStyle w:val="Style30"/>
        <w:numPr>
          <w:ilvl w:val="0"/>
          <w:numId w:val="183"/>
        </w:numPr>
        <w:tabs>
          <w:tab w:leader="none" w:pos="495" w:val="left"/>
        </w:tabs>
        <w:widowControl w:val="0"/>
        <w:keepNext w:val="0"/>
        <w:keepLines w:val="0"/>
        <w:shd w:val="clear" w:color="auto" w:fill="auto"/>
        <w:bidi w:val="0"/>
        <w:spacing w:before="0" w:after="0" w:line="221" w:lineRule="exact"/>
        <w:ind w:left="500" w:right="0" w:hanging="240"/>
      </w:pPr>
      <w:r>
        <w:rPr>
          <w:lang w:val="ru-RU" w:eastAsia="ru-RU" w:bidi="ru-RU"/>
          <w:w w:val="100"/>
          <w:spacing w:val="0"/>
          <w:color w:val="000000"/>
          <w:position w:val="0"/>
        </w:rPr>
        <w:t>У детей и подростков первым симптомом левожелу</w:t>
        <w:softHyphen/>
        <w:t>дочковой недостаточности является плохая перено</w:t>
        <w:softHyphen/>
        <w:t>симость физических нагрузок. В последующем при</w:t>
        <w:softHyphen/>
        <w:t>соединяются боли в животе, тахипноэ, хрипы в лег</w:t>
        <w:softHyphen/>
        <w:t>ких, асцит, периферические отеки, олигурия.</w:t>
      </w:r>
    </w:p>
    <w:p>
      <w:pPr>
        <w:pStyle w:val="Style30"/>
        <w:numPr>
          <w:ilvl w:val="0"/>
          <w:numId w:val="183"/>
        </w:numPr>
        <w:tabs>
          <w:tab w:leader="none" w:pos="495" w:val="left"/>
        </w:tabs>
        <w:widowControl w:val="0"/>
        <w:keepNext w:val="0"/>
        <w:keepLines w:val="0"/>
        <w:shd w:val="clear" w:color="auto" w:fill="auto"/>
        <w:bidi w:val="0"/>
        <w:spacing w:before="0" w:after="0" w:line="221" w:lineRule="exact"/>
        <w:ind w:left="500" w:right="0" w:hanging="240"/>
      </w:pPr>
      <w:r>
        <w:rPr>
          <w:lang w:val="ru-RU" w:eastAsia="ru-RU" w:bidi="ru-RU"/>
          <w:w w:val="100"/>
          <w:spacing w:val="0"/>
          <w:color w:val="000000"/>
          <w:position w:val="0"/>
        </w:rPr>
        <w:t>На ЭКГ определяются перегрузка левого желудочка, субэндокардиальная ишемия миокарда. При эхокар</w:t>
        <w:softHyphen/>
        <w:t>диографии визуализируется увеличение левых отде</w:t>
        <w:softHyphen/>
        <w:t>лов сердца, низкая фракция выброса, часто сопут</w:t>
        <w:softHyphen/>
        <w:t>ствуют митральная недостаточность, гидроперикард.</w:t>
      </w:r>
    </w:p>
    <w:p>
      <w:pPr>
        <w:pStyle w:val="Style30"/>
        <w:widowControl w:val="0"/>
        <w:keepNext w:val="0"/>
        <w:keepLines w:val="0"/>
        <w:shd w:val="clear" w:color="auto" w:fill="auto"/>
        <w:bidi w:val="0"/>
        <w:spacing w:before="0" w:after="0" w:line="221" w:lineRule="exact"/>
        <w:ind w:left="500" w:right="0" w:hanging="240"/>
      </w:pPr>
      <w:r>
        <w:rPr>
          <w:lang w:val="ru-RU" w:eastAsia="ru-RU" w:bidi="ru-RU"/>
          <w:w w:val="100"/>
          <w:spacing w:val="0"/>
          <w:color w:val="000000"/>
          <w:position w:val="0"/>
        </w:rPr>
        <w:t>Неотложные мероприятия</w:t>
      </w:r>
    </w:p>
    <w:p>
      <w:pPr>
        <w:pStyle w:val="Style30"/>
        <w:numPr>
          <w:ilvl w:val="0"/>
          <w:numId w:val="183"/>
        </w:numPr>
        <w:tabs>
          <w:tab w:leader="none" w:pos="495" w:val="left"/>
        </w:tabs>
        <w:widowControl w:val="0"/>
        <w:keepNext w:val="0"/>
        <w:keepLines w:val="0"/>
        <w:shd w:val="clear" w:color="auto" w:fill="auto"/>
        <w:bidi w:val="0"/>
        <w:spacing w:before="0" w:after="0" w:line="221" w:lineRule="exact"/>
        <w:ind w:left="500" w:right="0" w:hanging="240"/>
      </w:pPr>
      <w:r>
        <w:rPr>
          <w:lang w:val="ru-RU" w:eastAsia="ru-RU" w:bidi="ru-RU"/>
          <w:w w:val="100"/>
          <w:spacing w:val="0"/>
          <w:color w:val="000000"/>
          <w:position w:val="0"/>
        </w:rPr>
        <w:t>Ограничение внутривенного введения инфузионных растворов (не более 65 мл/кг в сутки)</w:t>
      </w:r>
    </w:p>
    <w:p>
      <w:pPr>
        <w:pStyle w:val="Style30"/>
        <w:numPr>
          <w:ilvl w:val="0"/>
          <w:numId w:val="183"/>
        </w:numPr>
        <w:widowControl w:val="0"/>
        <w:keepNext w:val="0"/>
        <w:keepLines w:val="0"/>
        <w:shd w:val="clear" w:color="auto" w:fill="auto"/>
        <w:bidi w:val="0"/>
        <w:spacing w:before="0" w:after="0" w:line="221" w:lineRule="exact"/>
        <w:ind w:left="500" w:right="0" w:hanging="240"/>
      </w:pPr>
      <w:r>
        <w:rPr>
          <w:lang w:val="ru-RU" w:eastAsia="ru-RU" w:bidi="ru-RU"/>
          <w:w w:val="100"/>
          <w:spacing w:val="0"/>
          <w:color w:val="000000"/>
          <w:position w:val="0"/>
        </w:rPr>
        <w:t xml:space="preserve"> Диуретики — </w:t>
      </w:r>
      <w:r>
        <w:rPr>
          <w:rStyle w:val="CharStyle103"/>
        </w:rPr>
        <w:t xml:space="preserve">фуросемид </w:t>
      </w:r>
      <w:r>
        <w:rPr>
          <w:rStyle w:val="CharStyle103"/>
          <w:lang w:val="en-US" w:eastAsia="en-US" w:bidi="en-US"/>
        </w:rPr>
        <w:t xml:space="preserve">(Furosemide, </w:t>
      </w:r>
      <w:r>
        <w:rPr>
          <w:rStyle w:val="CharStyle103"/>
        </w:rPr>
        <w:t xml:space="preserve">син. </w:t>
      </w:r>
      <w:r>
        <w:rPr>
          <w:rStyle w:val="CharStyle103"/>
          <w:lang w:val="en-US" w:eastAsia="en-US" w:bidi="en-US"/>
        </w:rPr>
        <w:t>Lasix)</w:t>
      </w:r>
      <w:r>
        <w:rPr>
          <w:lang w:val="en-US" w:eastAsia="en-US" w:bidi="en-US"/>
          <w:w w:val="100"/>
          <w:spacing w:val="0"/>
          <w:color w:val="000000"/>
          <w:position w:val="0"/>
        </w:rPr>
        <w:t xml:space="preserve"> </w:t>
      </w:r>
      <w:r>
        <w:rPr>
          <w:lang w:val="ru-RU" w:eastAsia="ru-RU" w:bidi="ru-RU"/>
          <w:w w:val="100"/>
          <w:spacing w:val="0"/>
          <w:color w:val="000000"/>
          <w:position w:val="0"/>
        </w:rPr>
        <w:t>— 1-3 мг/кг 4 раза в день (максимальная доза — 10 мг/кг/сутки) внутривенно или внутримышечно. При резистентности к фуросемиду назначается мето- лазон (зароксалин) — 0,2-0,4 мг/кг 1 раз в день внутрь.</w:t>
      </w:r>
    </w:p>
    <w:p>
      <w:pPr>
        <w:pStyle w:val="Style30"/>
        <w:numPr>
          <w:ilvl w:val="0"/>
          <w:numId w:val="183"/>
        </w:numPr>
        <w:tabs>
          <w:tab w:leader="none" w:pos="495" w:val="left"/>
        </w:tabs>
        <w:widowControl w:val="0"/>
        <w:keepNext w:val="0"/>
        <w:keepLines w:val="0"/>
        <w:shd w:val="clear" w:color="auto" w:fill="auto"/>
        <w:bidi w:val="0"/>
        <w:spacing w:before="0" w:after="0" w:line="221" w:lineRule="exact"/>
        <w:ind w:left="500" w:right="0" w:hanging="240"/>
      </w:pPr>
      <w:r>
        <w:pict>
          <v:shape id="_x0000_s1911" type="#_x0000_t75" style="position:absolute;margin-left:137.05pt;margin-top:736.55pt;width:209.75pt;height:14.9pt;z-index:-125828737;mso-wrap-distance-left:136.3pt;mso-wrap-distance-right:148.1pt;mso-wrap-distance-bottom:10.8pt;mso-position-horizontal-relative:margin;mso-position-vertical-relative:margin" wrapcoords="0 0 21600 0 21600 21600 0 21600 0 0">
            <v:imagedata r:id="rId1408" r:href="rId1409"/>
            <w10:wrap type="topAndBottom" anchorx="margin" anchory="margin"/>
          </v:shape>
        </w:pict>
      </w:r>
      <w:r>
        <w:rPr>
          <w:rStyle w:val="CharStyle103"/>
        </w:rPr>
        <w:t xml:space="preserve">Дигоксин </w:t>
      </w:r>
      <w:r>
        <w:rPr>
          <w:rStyle w:val="CharStyle103"/>
          <w:lang w:val="en-US" w:eastAsia="en-US" w:bidi="en-US"/>
        </w:rPr>
        <w:t>(Digoxin)</w:t>
      </w:r>
      <w:r>
        <w:rPr>
          <w:lang w:val="en-US" w:eastAsia="en-US" w:bidi="en-US"/>
          <w:w w:val="100"/>
          <w:spacing w:val="0"/>
          <w:color w:val="000000"/>
          <w:position w:val="0"/>
        </w:rPr>
        <w:t xml:space="preserve"> </w:t>
      </w:r>
      <w:r>
        <w:rPr>
          <w:lang w:val="ru-RU" w:eastAsia="ru-RU" w:bidi="ru-RU"/>
          <w:w w:val="100"/>
          <w:spacing w:val="0"/>
          <w:color w:val="000000"/>
          <w:position w:val="0"/>
        </w:rPr>
        <w:t>в дозе насыщения недоношен</w:t>
        <w:softHyphen/>
        <w:t>ным — 25 мкг/кг (0,025 мг/кг), детям до 2-х лет — 50 мкг/кг (0,05 мг/кг), детям старшего возраста — 25 мкг/кг (0,025 мг/кг) внутривенно капельно. Под-</w:t>
      </w:r>
      <w:r>
        <w:br w:type="page"/>
      </w:r>
    </w:p>
    <w:p>
      <w:pPr>
        <w:pStyle w:val="Style30"/>
        <w:widowControl w:val="0"/>
        <w:keepNext w:val="0"/>
        <w:keepLines w:val="0"/>
        <w:shd w:val="clear" w:color="auto" w:fill="auto"/>
        <w:bidi w:val="0"/>
        <w:spacing w:before="0" w:after="0"/>
        <w:ind w:left="500" w:right="0" w:firstLine="0"/>
      </w:pPr>
      <w:r>
        <w:rPr>
          <w:lang w:val="ru-RU" w:eastAsia="ru-RU" w:bidi="ru-RU"/>
          <w:w w:val="100"/>
          <w:spacing w:val="0"/>
          <w:color w:val="000000"/>
          <w:position w:val="0"/>
        </w:rPr>
        <w:t>держивающая доза составляет 1/3-1/4 от дозы насы</w:t>
        <w:softHyphen/>
        <w:t>щения.</w:t>
      </w:r>
    </w:p>
    <w:p>
      <w:pPr>
        <w:pStyle w:val="Style30"/>
        <w:numPr>
          <w:ilvl w:val="0"/>
          <w:numId w:val="18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При сохраняющейся низкой контрактильности мио</w:t>
        <w:softHyphen/>
        <w:t xml:space="preserve">карда назначают внутривенно капельно </w:t>
      </w:r>
      <w:r>
        <w:rPr>
          <w:rStyle w:val="CharStyle103"/>
        </w:rPr>
        <w:t xml:space="preserve">допамин </w:t>
      </w:r>
      <w:r>
        <w:rPr>
          <w:rStyle w:val="CharStyle103"/>
          <w:lang w:val="en-US" w:eastAsia="en-US" w:bidi="en-US"/>
        </w:rPr>
        <w:t>(Dopamin)</w:t>
      </w:r>
      <w:r>
        <w:rPr>
          <w:lang w:val="en-US" w:eastAsia="en-US" w:bidi="en-US"/>
          <w:w w:val="100"/>
          <w:spacing w:val="0"/>
          <w:color w:val="000000"/>
          <w:position w:val="0"/>
        </w:rPr>
        <w:t xml:space="preserve"> </w:t>
      </w:r>
      <w:r>
        <w:rPr>
          <w:lang w:val="ru-RU" w:eastAsia="ru-RU" w:bidi="ru-RU"/>
          <w:w w:val="100"/>
          <w:spacing w:val="0"/>
          <w:color w:val="000000"/>
          <w:position w:val="0"/>
        </w:rPr>
        <w:t>— 1-4 мкг/кг/мин.</w:t>
      </w:r>
    </w:p>
    <w:p>
      <w:pPr>
        <w:pStyle w:val="Style30"/>
        <w:numPr>
          <w:ilvl w:val="0"/>
          <w:numId w:val="183"/>
        </w:numPr>
        <w:tabs>
          <w:tab w:leader="none" w:pos="500" w:val="left"/>
        </w:tabs>
        <w:widowControl w:val="0"/>
        <w:keepNext w:val="0"/>
        <w:keepLines w:val="0"/>
        <w:shd w:val="clear" w:color="auto" w:fill="auto"/>
        <w:bidi w:val="0"/>
        <w:spacing w:before="0" w:after="179"/>
        <w:ind w:left="500" w:right="0" w:hanging="240"/>
      </w:pPr>
      <w:r>
        <w:rPr>
          <w:lang w:val="ru-RU" w:eastAsia="ru-RU" w:bidi="ru-RU"/>
          <w:w w:val="100"/>
          <w:spacing w:val="0"/>
          <w:color w:val="000000"/>
          <w:position w:val="0"/>
        </w:rPr>
        <w:t xml:space="preserve">Вазодилататоры — </w:t>
      </w:r>
      <w:r>
        <w:rPr>
          <w:rStyle w:val="CharStyle103"/>
        </w:rPr>
        <w:t xml:space="preserve">нитропруссид натрия </w:t>
      </w:r>
      <w:r>
        <w:rPr>
          <w:rStyle w:val="CharStyle103"/>
          <w:lang w:val="en-US" w:eastAsia="en-US" w:bidi="en-US"/>
        </w:rPr>
        <w:t>(Sodium nitroprusside)</w:t>
      </w:r>
      <w:r>
        <w:rPr>
          <w:lang w:val="en-US" w:eastAsia="en-US" w:bidi="en-US"/>
          <w:w w:val="100"/>
          <w:spacing w:val="0"/>
          <w:color w:val="000000"/>
          <w:position w:val="0"/>
        </w:rPr>
        <w:t xml:space="preserve"> </w:t>
      </w:r>
      <w:r>
        <w:rPr>
          <w:lang w:val="ru-RU" w:eastAsia="ru-RU" w:bidi="ru-RU"/>
          <w:w w:val="100"/>
          <w:spacing w:val="0"/>
          <w:color w:val="000000"/>
          <w:position w:val="0"/>
        </w:rPr>
        <w:t>0,5-0,8 мкг/кг/мин внутривенно капель- но на изотоническом растворе натрия хлорида.</w:t>
      </w:r>
    </w:p>
    <w:p>
      <w:pPr>
        <w:pStyle w:val="Style28"/>
        <w:widowControl w:val="0"/>
        <w:keepNext/>
        <w:keepLines/>
        <w:shd w:val="clear" w:color="auto" w:fill="auto"/>
        <w:bidi w:val="0"/>
        <w:jc w:val="left"/>
        <w:spacing w:before="0" w:after="122" w:line="293" w:lineRule="exact"/>
        <w:ind w:left="0" w:right="0" w:firstLine="0"/>
      </w:pPr>
      <w:bookmarkStart w:id="847" w:name="bookmark847"/>
      <w:r>
        <w:rPr>
          <w:lang w:val="ru-RU" w:eastAsia="ru-RU" w:bidi="ru-RU"/>
          <w:w w:val="100"/>
          <w:spacing w:val="0"/>
          <w:color w:val="000000"/>
          <w:position w:val="0"/>
        </w:rPr>
        <w:t>Острая правожелудочковая сердечная недостаточность</w:t>
      </w:r>
      <w:bookmarkEnd w:id="847"/>
    </w:p>
    <w:p>
      <w:pPr>
        <w:pStyle w:val="Style30"/>
        <w:numPr>
          <w:ilvl w:val="0"/>
          <w:numId w:val="18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Острая правожелудочковая сердечная недостаточ</w:t>
        <w:softHyphen/>
        <w:t>ность обусловлена заболеваниями, приводящими к внезапному ограничению кровотока в малый круг кровообращения: ателектаз легкого, пневмо- и гид</w:t>
        <w:softHyphen/>
        <w:t>роторакс, астматический статус, тромбоэмболия ле</w:t>
        <w:softHyphen/>
        <w:t>гочной артерии, критический стеноз или атрезия ле</w:t>
        <w:softHyphen/>
        <w:t>гочной артерии и др. У новорожденных острая право</w:t>
        <w:softHyphen/>
        <w:t>желудочковая недостаточность может быть обуслов</w:t>
        <w:softHyphen/>
        <w:t>лена синдромом дыхательных расстройств.</w:t>
      </w:r>
    </w:p>
    <w:p>
      <w:pPr>
        <w:pStyle w:val="Style30"/>
        <w:numPr>
          <w:ilvl w:val="0"/>
          <w:numId w:val="183"/>
        </w:numPr>
        <w:tabs>
          <w:tab w:leader="none" w:pos="500" w:val="left"/>
        </w:tabs>
        <w:widowControl w:val="0"/>
        <w:keepNext w:val="0"/>
        <w:keepLines w:val="0"/>
        <w:shd w:val="clear" w:color="auto" w:fill="auto"/>
        <w:bidi w:val="0"/>
        <w:spacing w:before="0" w:after="0"/>
        <w:ind w:left="500" w:right="0" w:hanging="240"/>
      </w:pPr>
      <w:r>
        <w:rPr>
          <w:lang w:val="ru-RU" w:eastAsia="ru-RU" w:bidi="ru-RU"/>
          <w:w w:val="100"/>
          <w:spacing w:val="0"/>
          <w:color w:val="000000"/>
          <w:position w:val="0"/>
        </w:rPr>
        <w:t>Клиническая симптоматика: внезапное развитие центрального цианоза, нарушение сознания (возбуж</w:t>
        <w:softHyphen/>
        <w:t>дение или летаргия), выраженная одышка, гипотен</w:t>
        <w:softHyphen/>
        <w:t>зия. Пульс слабого наполнения, набухание шейных</w:t>
      </w:r>
    </w:p>
    <w:p>
      <w:pPr>
        <w:pStyle w:val="Style30"/>
        <w:widowControl w:val="0"/>
        <w:keepNext w:val="0"/>
        <w:keepLines w:val="0"/>
        <w:shd w:val="clear" w:color="auto" w:fill="auto"/>
        <w:bidi w:val="0"/>
        <w:spacing w:before="0" w:after="0" w:line="221" w:lineRule="exact"/>
        <w:ind w:left="260" w:right="0" w:firstLine="0"/>
      </w:pPr>
      <w:r>
        <w:br w:type="column"/>
      </w:r>
      <w:r>
        <w:rPr>
          <w:lang w:val="ru-RU" w:eastAsia="ru-RU" w:bidi="ru-RU"/>
          <w:w w:val="100"/>
          <w:spacing w:val="0"/>
          <w:color w:val="000000"/>
          <w:position w:val="0"/>
        </w:rPr>
        <w:t>вен, резкая болезненность в правом подреберье, тахи</w:t>
        <w:softHyphen/>
        <w:t xml:space="preserve">кардия. На ЭКГ — перегрузка правого желудочка (правограмма, высокие зубцы </w:t>
      </w:r>
      <w:r>
        <w:rPr>
          <w:lang w:val="en-US" w:eastAsia="en-US" w:bidi="en-US"/>
          <w:w w:val="100"/>
          <w:spacing w:val="0"/>
          <w:color w:val="000000"/>
          <w:position w:val="0"/>
        </w:rPr>
        <w:t xml:space="preserve">R </w:t>
      </w:r>
      <w:r>
        <w:rPr>
          <w:lang w:val="ru-RU" w:eastAsia="ru-RU" w:bidi="ru-RU"/>
          <w:w w:val="100"/>
          <w:spacing w:val="0"/>
          <w:color w:val="000000"/>
          <w:position w:val="0"/>
        </w:rPr>
        <w:t>в правых грудных от</w:t>
        <w:softHyphen/>
        <w:t xml:space="preserve">ведениях) и предсердия (Р </w:t>
      </w:r>
      <w:r>
        <w:rPr>
          <w:lang w:val="en-US" w:eastAsia="en-US" w:bidi="en-US"/>
          <w:w w:val="100"/>
          <w:spacing w:val="0"/>
          <w:color w:val="000000"/>
          <w:position w:val="0"/>
        </w:rPr>
        <w:t>pulmonale).</w:t>
      </w:r>
    </w:p>
    <w:p>
      <w:pPr>
        <w:pStyle w:val="Style30"/>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Неотложные мероприятия</w:t>
      </w:r>
    </w:p>
    <w:p>
      <w:pPr>
        <w:pStyle w:val="Style30"/>
        <w:numPr>
          <w:ilvl w:val="0"/>
          <w:numId w:val="183"/>
        </w:numPr>
        <w:tabs>
          <w:tab w:leader="none" w:pos="235"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Устранение причин, вызвавших острую правожелу</w:t>
        <w:softHyphen/>
        <w:t>дочковую сердечную недостаточность (ликвидация пневмоторакса, чрезкатетерная вальвулопластика ле</w:t>
        <w:softHyphen/>
        <w:t>гочной артерии).</w:t>
      </w:r>
    </w:p>
    <w:p>
      <w:pPr>
        <w:pStyle w:val="Style30"/>
        <w:numPr>
          <w:ilvl w:val="0"/>
          <w:numId w:val="183"/>
        </w:numPr>
        <w:tabs>
          <w:tab w:leader="none" w:pos="235"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Оксигенотерапия, при отсутствии самостоятельного дыхания проведение ИВЛ.</w:t>
      </w:r>
    </w:p>
    <w:p>
      <w:pPr>
        <w:pStyle w:val="Style30"/>
        <w:numPr>
          <w:ilvl w:val="0"/>
          <w:numId w:val="183"/>
        </w:numPr>
        <w:tabs>
          <w:tab w:leader="none" w:pos="235"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 xml:space="preserve">Инотропные средства — внутривенно капельно </w:t>
      </w:r>
      <w:r>
        <w:rPr>
          <w:rStyle w:val="CharStyle103"/>
        </w:rPr>
        <w:t>допа</w:t>
        <w:softHyphen/>
        <w:t xml:space="preserve">мин </w:t>
      </w:r>
      <w:r>
        <w:rPr>
          <w:rStyle w:val="CharStyle103"/>
          <w:lang w:val="en-US" w:eastAsia="en-US" w:bidi="en-US"/>
        </w:rPr>
        <w:t>(Dopamin)</w:t>
      </w:r>
      <w:r>
        <w:rPr>
          <w:lang w:val="en-US" w:eastAsia="en-US" w:bidi="en-US"/>
          <w:w w:val="100"/>
          <w:spacing w:val="0"/>
          <w:color w:val="000000"/>
          <w:position w:val="0"/>
        </w:rPr>
        <w:t xml:space="preserve"> </w:t>
      </w:r>
      <w:r>
        <w:rPr>
          <w:lang w:val="ru-RU" w:eastAsia="ru-RU" w:bidi="ru-RU"/>
          <w:w w:val="100"/>
          <w:spacing w:val="0"/>
          <w:color w:val="000000"/>
          <w:position w:val="0"/>
        </w:rPr>
        <w:t>— 1-4 мкг/кг/мин.</w:t>
      </w:r>
    </w:p>
    <w:p>
      <w:pPr>
        <w:pStyle w:val="Style107"/>
        <w:numPr>
          <w:ilvl w:val="0"/>
          <w:numId w:val="183"/>
        </w:numPr>
        <w:widowControl w:val="0"/>
        <w:keepNext w:val="0"/>
        <w:keepLines w:val="0"/>
        <w:shd w:val="clear" w:color="auto" w:fill="auto"/>
        <w:bidi w:val="0"/>
        <w:spacing w:before="0" w:after="0" w:line="221" w:lineRule="exact"/>
        <w:ind w:left="260" w:right="0" w:hanging="260"/>
      </w:pPr>
      <w:r>
        <w:rPr>
          <w:rStyle w:val="CharStyle137"/>
          <w:b w:val="0"/>
          <w:bCs w:val="0"/>
          <w:i w:val="0"/>
          <w:iCs w:val="0"/>
        </w:rPr>
        <w:t xml:space="preserve"> Диуретики — </w:t>
      </w:r>
      <w:r>
        <w:rPr>
          <w:lang w:val="ru-RU" w:eastAsia="ru-RU" w:bidi="ru-RU"/>
          <w:w w:val="100"/>
          <w:spacing w:val="0"/>
          <w:color w:val="000000"/>
          <w:position w:val="0"/>
        </w:rPr>
        <w:t xml:space="preserve">фуросемид </w:t>
      </w:r>
      <w:r>
        <w:rPr>
          <w:lang w:val="en-US" w:eastAsia="en-US" w:bidi="en-US"/>
          <w:w w:val="100"/>
          <w:spacing w:val="0"/>
          <w:color w:val="000000"/>
          <w:position w:val="0"/>
        </w:rPr>
        <w:t xml:space="preserve">(Furosemide, </w:t>
      </w:r>
      <w:r>
        <w:rPr>
          <w:lang w:val="ru-RU" w:eastAsia="ru-RU" w:bidi="ru-RU"/>
          <w:w w:val="100"/>
          <w:spacing w:val="0"/>
          <w:color w:val="000000"/>
          <w:position w:val="0"/>
        </w:rPr>
        <w:t xml:space="preserve">син. </w:t>
      </w:r>
      <w:r>
        <w:rPr>
          <w:lang w:val="en-US" w:eastAsia="en-US" w:bidi="en-US"/>
          <w:w w:val="100"/>
          <w:spacing w:val="0"/>
          <w:color w:val="000000"/>
          <w:position w:val="0"/>
        </w:rPr>
        <w:t>Lasix)</w:t>
      </w:r>
      <w:r>
        <w:rPr>
          <w:rStyle w:val="CharStyle137"/>
          <w:lang w:val="en-US" w:eastAsia="en-US" w:bidi="en-US"/>
          <w:b w:val="0"/>
          <w:bCs w:val="0"/>
          <w:i w:val="0"/>
          <w:iCs w:val="0"/>
        </w:rPr>
        <w:t xml:space="preserve"> </w:t>
      </w:r>
      <w:r>
        <w:rPr>
          <w:rStyle w:val="CharStyle137"/>
          <w:b w:val="0"/>
          <w:bCs w:val="0"/>
          <w:i w:val="0"/>
          <w:iCs w:val="0"/>
        </w:rPr>
        <w:t>—</w:t>
      </w:r>
    </w:p>
    <w:p>
      <w:pPr>
        <w:pStyle w:val="Style30"/>
        <w:widowControl w:val="0"/>
        <w:keepNext w:val="0"/>
        <w:keepLines w:val="0"/>
        <w:shd w:val="clear" w:color="auto" w:fill="auto"/>
        <w:bidi w:val="0"/>
        <w:spacing w:before="0" w:after="0" w:line="221" w:lineRule="exact"/>
        <w:ind w:left="260" w:right="0" w:firstLine="0"/>
      </w:pPr>
      <w:r>
        <w:rPr>
          <w:lang w:val="ru-RU" w:eastAsia="ru-RU" w:bidi="ru-RU"/>
          <w:w w:val="100"/>
          <w:spacing w:val="0"/>
          <w:color w:val="000000"/>
          <w:position w:val="0"/>
        </w:rPr>
        <w:t>1-3 мг/кг 4 раза в день (максимальная доза — 10 мг/кг/сутки).</w:t>
      </w:r>
    </w:p>
    <w:p>
      <w:pPr>
        <w:pStyle w:val="Style30"/>
        <w:numPr>
          <w:ilvl w:val="0"/>
          <w:numId w:val="183"/>
        </w:numPr>
        <w:tabs>
          <w:tab w:leader="none" w:pos="235" w:val="left"/>
        </w:tabs>
        <w:widowControl w:val="0"/>
        <w:keepNext w:val="0"/>
        <w:keepLines w:val="0"/>
        <w:shd w:val="clear" w:color="auto" w:fill="auto"/>
        <w:bidi w:val="0"/>
        <w:spacing w:before="0" w:after="0" w:line="221" w:lineRule="exact"/>
        <w:ind w:left="260" w:right="0"/>
      </w:pPr>
      <w:r>
        <w:rPr>
          <w:lang w:val="ru-RU" w:eastAsia="ru-RU" w:bidi="ru-RU"/>
          <w:w w:val="100"/>
          <w:spacing w:val="0"/>
          <w:color w:val="000000"/>
          <w:position w:val="0"/>
        </w:rPr>
        <w:t xml:space="preserve">Наркотические анальгетики — 1% раствор </w:t>
      </w:r>
      <w:r>
        <w:rPr>
          <w:rStyle w:val="CharStyle103"/>
        </w:rPr>
        <w:t>морфин гид</w:t>
        <w:softHyphen/>
        <w:t xml:space="preserve">рохлорид </w:t>
      </w:r>
      <w:r>
        <w:rPr>
          <w:rStyle w:val="CharStyle103"/>
          <w:lang w:val="en-US" w:eastAsia="en-US" w:bidi="en-US"/>
        </w:rPr>
        <w:t>(Morphini Hidrochloridum)</w:t>
      </w:r>
      <w:r>
        <w:rPr>
          <w:lang w:val="en-US" w:eastAsia="en-US" w:bidi="en-US"/>
          <w:w w:val="100"/>
          <w:spacing w:val="0"/>
          <w:color w:val="000000"/>
          <w:position w:val="0"/>
        </w:rPr>
        <w:t xml:space="preserve"> </w:t>
      </w:r>
      <w:r>
        <w:rPr>
          <w:lang w:val="ru-RU" w:eastAsia="ru-RU" w:bidi="ru-RU"/>
          <w:w w:val="100"/>
          <w:spacing w:val="0"/>
          <w:color w:val="000000"/>
          <w:position w:val="0"/>
        </w:rPr>
        <w:t>— 0,05-1 мг/кг под</w:t>
        <w:softHyphen/>
        <w:t xml:space="preserve">кожно (детям старше 2-х лет), 0,05% раствор </w:t>
      </w:r>
      <w:r>
        <w:rPr>
          <w:rStyle w:val="CharStyle103"/>
        </w:rPr>
        <w:t xml:space="preserve">налорфин гидрохлорид </w:t>
      </w:r>
      <w:r>
        <w:rPr>
          <w:rStyle w:val="CharStyle103"/>
          <w:lang w:val="en-US" w:eastAsia="en-US" w:bidi="en-US"/>
        </w:rPr>
        <w:t>(Nalorphine Hydrochloridum)</w:t>
      </w:r>
      <w:r>
        <w:rPr>
          <w:lang w:val="en-US" w:eastAsia="en-US" w:bidi="en-US"/>
          <w:w w:val="100"/>
          <w:spacing w:val="0"/>
          <w:color w:val="000000"/>
          <w:position w:val="0"/>
        </w:rPr>
        <w:t xml:space="preserve"> </w:t>
      </w:r>
      <w:r>
        <w:rPr>
          <w:lang w:val="ru-RU" w:eastAsia="ru-RU" w:bidi="ru-RU"/>
          <w:w w:val="100"/>
          <w:spacing w:val="0"/>
          <w:color w:val="000000"/>
          <w:position w:val="0"/>
        </w:rPr>
        <w:t>— 0,2-0,5 мл но</w:t>
        <w:softHyphen/>
        <w:t>ворожденным подкожно, внутримышечно.</w:t>
      </w:r>
    </w:p>
    <w:p>
      <w:pPr>
        <w:pStyle w:val="Style30"/>
        <w:numPr>
          <w:ilvl w:val="0"/>
          <w:numId w:val="183"/>
        </w:numPr>
        <w:tabs>
          <w:tab w:leader="none" w:pos="235" w:val="left"/>
        </w:tabs>
        <w:widowControl w:val="0"/>
        <w:keepNext w:val="0"/>
        <w:keepLines w:val="0"/>
        <w:shd w:val="clear" w:color="auto" w:fill="auto"/>
        <w:bidi w:val="0"/>
        <w:spacing w:before="0" w:after="0" w:line="221" w:lineRule="exact"/>
        <w:ind w:left="260" w:right="0"/>
        <w:sectPr>
          <w:type w:val="continuous"/>
          <w:pgSz w:w="11900" w:h="16840"/>
          <w:pgMar w:top="1559" w:left="1007" w:right="985" w:bottom="1732" w:header="0" w:footer="3" w:gutter="0"/>
          <w:rtlGutter w:val="0"/>
          <w:cols w:num="2" w:space="170"/>
          <w:noEndnote/>
          <w:docGrid w:linePitch="360"/>
        </w:sectPr>
      </w:pPr>
      <w:r>
        <w:rPr>
          <w:lang w:val="ru-RU" w:eastAsia="ru-RU" w:bidi="ru-RU"/>
          <w:w w:val="100"/>
          <w:spacing w:val="0"/>
          <w:color w:val="000000"/>
          <w:position w:val="0"/>
        </w:rPr>
        <w:t xml:space="preserve">Антикоагулянты (при подозрении на тромбоэмболию легочной артерии) — </w:t>
      </w:r>
      <w:r>
        <w:rPr>
          <w:rStyle w:val="CharStyle103"/>
        </w:rPr>
        <w:t>гепарин</w:t>
      </w:r>
      <w:r>
        <w:rPr>
          <w:lang w:val="ru-RU" w:eastAsia="ru-RU" w:bidi="ru-RU"/>
          <w:w w:val="100"/>
          <w:spacing w:val="0"/>
          <w:color w:val="000000"/>
          <w:position w:val="0"/>
        </w:rPr>
        <w:t xml:space="preserve"> </w:t>
      </w:r>
      <w:r>
        <w:rPr>
          <w:lang w:val="en-US" w:eastAsia="en-US" w:bidi="en-US"/>
          <w:w w:val="100"/>
          <w:spacing w:val="0"/>
          <w:color w:val="000000"/>
          <w:position w:val="0"/>
        </w:rPr>
        <w:t>(</w:t>
      </w:r>
      <w:r>
        <w:rPr>
          <w:rStyle w:val="CharStyle103"/>
          <w:lang w:val="en-US" w:eastAsia="en-US" w:bidi="en-US"/>
        </w:rPr>
        <w:t>Heparin</w:t>
      </w:r>
      <w:r>
        <w:rPr>
          <w:lang w:val="en-US" w:eastAsia="en-US" w:bidi="en-US"/>
          <w:w w:val="100"/>
          <w:spacing w:val="0"/>
          <w:color w:val="000000"/>
          <w:position w:val="0"/>
        </w:rPr>
        <w:t xml:space="preserve">) </w:t>
      </w:r>
      <w:r>
        <w:rPr>
          <w:lang w:val="ru-RU" w:eastAsia="ru-RU" w:bidi="ru-RU"/>
          <w:w w:val="100"/>
          <w:spacing w:val="0"/>
          <w:color w:val="000000"/>
          <w:position w:val="0"/>
        </w:rPr>
        <w:t>внутривенно медленно 100-200 ед/кг/сут. (контроль за параметра</w:t>
        <w:softHyphen/>
        <w:t>ми свертывания крови).</w:t>
      </w:r>
    </w:p>
    <w:p>
      <w:pPr>
        <w:widowControl w:val="0"/>
        <w:rPr>
          <w:sz w:val="2"/>
          <w:szCs w:val="2"/>
        </w:rPr>
      </w:pPr>
      <w:r>
        <w:pict>
          <v:shape id="_x0000_s1912" type="#_x0000_t202" style="position:static;width:595.pt;height:459.65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913" type="#_x0000_t75" style="position:absolute;margin-left:153.65pt;margin-top:0;width:209.75pt;height:14.9pt;z-index:-251658627;mso-wrap-distance-left:5.pt;mso-wrap-distance-right:5.pt;mso-position-horizontal-relative:margin" wrapcoords="0 0">
            <v:imagedata r:id="rId1410" r:href="rId1411"/>
            <w10:wrap anchorx="margin"/>
          </v:shape>
        </w:pict>
      </w:r>
    </w:p>
    <w:p>
      <w:pPr>
        <w:widowControl w:val="0"/>
        <w:rPr>
          <w:sz w:val="2"/>
          <w:szCs w:val="2"/>
        </w:rPr>
        <w:sectPr>
          <w:type w:val="continuous"/>
          <w:pgSz w:w="11900" w:h="16840"/>
          <w:pgMar w:top="1468" w:left="898" w:right="1119" w:bottom="192" w:header="0" w:footer="3" w:gutter="0"/>
          <w:rtlGutter w:val="0"/>
          <w:cols w:space="720"/>
          <w:noEndnote/>
          <w:docGrid w:linePitch="360"/>
        </w:sectPr>
      </w:pPr>
    </w:p>
    <w:p>
      <w:pPr>
        <w:pStyle w:val="Style15"/>
        <w:widowControl w:val="0"/>
        <w:keepNext/>
        <w:keepLines/>
        <w:shd w:val="clear" w:color="auto" w:fill="auto"/>
        <w:bidi w:val="0"/>
        <w:jc w:val="left"/>
        <w:spacing w:before="0" w:after="860" w:line="340" w:lineRule="exact"/>
        <w:ind w:left="2280" w:right="0" w:firstLine="0"/>
      </w:pPr>
      <w:bookmarkStart w:id="848" w:name="bookmark848"/>
      <w:r>
        <w:rPr>
          <w:rStyle w:val="CharStyle145"/>
          <w:b/>
          <w:bCs/>
        </w:rPr>
        <w:t>ПРИЛОЖЕНИЕ</w:t>
      </w:r>
      <w:bookmarkEnd w:id="848"/>
    </w:p>
    <w:p>
      <w:pPr>
        <w:pStyle w:val="Style30"/>
        <w:widowControl w:val="0"/>
        <w:keepNext w:val="0"/>
        <w:keepLines w:val="0"/>
        <w:shd w:val="clear" w:color="auto" w:fill="auto"/>
        <w:bidi w:val="0"/>
        <w:jc w:val="left"/>
        <w:spacing w:before="0" w:after="0" w:line="432" w:lineRule="exact"/>
        <w:ind w:left="260" w:right="3520" w:firstLine="0"/>
      </w:pPr>
      <w:r>
        <w:rPr>
          <w:lang w:val="ru-RU" w:eastAsia="ru-RU" w:bidi="ru-RU"/>
          <w:w w:val="100"/>
          <w:spacing w:val="0"/>
          <w:color w:val="000000"/>
          <w:position w:val="0"/>
        </w:rPr>
        <w:t>Основные лекарственные препараты, используемые в детской кардиологии ИНОТРОПНАЯ ТЕРАПИЯ</w:t>
      </w:r>
    </w:p>
    <w:p>
      <w:pPr>
        <w:pStyle w:val="Style184"/>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Дигоксин </w:t>
      </w:r>
      <w:r>
        <w:rPr>
          <w:w w:val="100"/>
          <w:spacing w:val="0"/>
          <w:color w:val="000000"/>
          <w:position w:val="0"/>
        </w:rPr>
        <w:t xml:space="preserve">(Digoxin) </w:t>
      </w:r>
      <w:r>
        <w:rPr>
          <w:lang w:val="ru-RU" w:eastAsia="ru-RU" w:bidi="ru-RU"/>
          <w:w w:val="100"/>
          <w:spacing w:val="0"/>
          <w:color w:val="000000"/>
          <w:position w:val="0"/>
        </w:rPr>
        <w:t xml:space="preserve">Синонимы: </w:t>
      </w:r>
      <w:r>
        <w:rPr>
          <w:w w:val="100"/>
          <w:spacing w:val="0"/>
          <w:color w:val="000000"/>
          <w:position w:val="0"/>
        </w:rPr>
        <w:t xml:space="preserve">Cedoxin, Cordioxyl, Digolan, Digoxin, Dilanacin, Dixina, Lanacordin, Lanacrist, Lanicor, Lanoral, Lanoxin, Natidigoxine, Oxydigitoxin </w:t>
      </w:r>
      <w:r>
        <w:rPr>
          <w:lang w:val="ru-RU" w:eastAsia="ru-RU" w:bidi="ru-RU"/>
          <w:w w:val="100"/>
          <w:spacing w:val="0"/>
          <w:color w:val="000000"/>
          <w:position w:val="0"/>
        </w:rPr>
        <w:t>и др.</w:t>
      </w:r>
    </w:p>
    <w:p>
      <w:pPr>
        <w:pStyle w:val="Style45"/>
        <w:widowControl w:val="0"/>
        <w:keepNext w:val="0"/>
        <w:keepLines w:val="0"/>
        <w:shd w:val="clear" w:color="auto" w:fill="auto"/>
        <w:bidi w:val="0"/>
        <w:spacing w:before="0" w:after="0"/>
        <w:ind w:left="0" w:right="0" w:firstLine="0"/>
      </w:pPr>
      <w:r>
        <w:pict>
          <v:shape id="_x0000_s1914" type="#_x0000_t202" style="position:absolute;margin-left:5.e-002pt;margin-top:-89.05pt;width:492.pt;height:5.e-002pt;z-index:-125828736;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Застойная недостаточность кровообращения (без гемодинамически значимой обструкции выходного тракта сердца), мерцательная тахиаритмия, суправентрикулярная пароксизмальная тахикардия, трепетание предсердий.</w:t>
                  </w:r>
                </w:p>
                <w:tbl>
                  <w:tblPr>
                    <w:tblOverlap w:val="never"/>
                    <w:tblLayout w:type="fixed"/>
                    <w:jc w:val="center"/>
                  </w:tblPr>
                  <w:tblGrid>
                    <w:gridCol w:w="3278"/>
                    <w:gridCol w:w="3283"/>
                    <w:gridCol w:w="3278"/>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11"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Стартовая: 10 мкг/кг, максимально 375 мг.</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2-3 раза в сутки</w:t>
                        </w:r>
                      </w:p>
                    </w:tc>
                  </w:tr>
                  <w:tr>
                    <w:trPr>
                      <w:trHeight w:val="197" w:hRule="exact"/>
                    </w:trPr>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Поддерживающая: 5 мкг/кг, максимальная</w:t>
                        </w:r>
                      </w:p>
                    </w:tc>
                    <w:tc>
                      <w:tcPr>
                        <w:shd w:val="clear" w:color="auto" w:fill="FFFFFF"/>
                        <w:tcBorders>
                          <w:left w:val="single" w:sz="4"/>
                          <w:right w:val="single" w:sz="4"/>
                        </w:tcBorders>
                        <w:vAlign w:val="top"/>
                      </w:tcPr>
                      <w:p>
                        <w:pPr>
                          <w:widowControl w:val="0"/>
                          <w:rPr>
                            <w:sz w:val="10"/>
                            <w:szCs w:val="10"/>
                          </w:rPr>
                        </w:pPr>
                      </w:p>
                    </w:tc>
                  </w:tr>
                  <w:tr>
                    <w:trPr>
                      <w:trHeight w:val="250" w:hRule="exact"/>
                    </w:trPr>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125 мкг. Недоношенные дети — у</w:t>
                        </w:r>
                        <w:r>
                          <w:rPr>
                            <w:rStyle w:val="CharStyle102"/>
                            <w:vertAlign w:val="subscript"/>
                          </w:rPr>
                          <w:t>2</w:t>
                        </w:r>
                        <w:r>
                          <w:rPr>
                            <w:rStyle w:val="CharStyle102"/>
                          </w:rPr>
                          <w:t xml:space="preserve"> дозы</w:t>
                        </w:r>
                      </w:p>
                    </w:tc>
                    <w:tc>
                      <w:tcPr>
                        <w:shd w:val="clear" w:color="auto" w:fill="FFFFFF"/>
                        <w:tcBorders>
                          <w:left w:val="single" w:sz="4"/>
                          <w:right w:val="single" w:sz="4"/>
                        </w:tcBorders>
                        <w:vAlign w:val="top"/>
                      </w:tcPr>
                      <w:p>
                        <w:pPr>
                          <w:widowControl w:val="0"/>
                          <w:rPr>
                            <w:sz w:val="10"/>
                            <w:szCs w:val="10"/>
                          </w:rPr>
                        </w:pP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В/в</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75% от пероральной дозы</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2-3 раза в сутки</w:t>
                        </w:r>
                      </w:p>
                    </w:tc>
                  </w:tr>
                </w:tbl>
                <w:p>
                  <w:pPr>
                    <w:pStyle w:val="Style182"/>
                    <w:widowControl w:val="0"/>
                    <w:keepNext w:val="0"/>
                    <w:keepLines w:val="0"/>
                    <w:shd w:val="clear" w:color="auto" w:fill="auto"/>
                    <w:bidi w:val="0"/>
                    <w:jc w:val="left"/>
                    <w:spacing w:before="0" w:after="0" w:line="160" w:lineRule="exact"/>
                    <w:ind w:left="0" w:right="0" w:firstLine="0"/>
                  </w:pPr>
                  <w:r>
                    <w:rPr>
                      <w:rStyle w:val="CharStyle183"/>
                    </w:rPr>
                    <w:t>Фармакологическое действие:</w:t>
                  </w:r>
                </w:p>
                <w:p>
                  <w:pPr>
                    <w:widowControl w:val="0"/>
                    <w:rPr>
                      <w:sz w:val="2"/>
                      <w:szCs w:val="2"/>
                    </w:rPr>
                  </w:pPr>
                </w:p>
              </w:txbxContent>
            </v:textbox>
            <w10:wrap type="topAndBottom" anchorx="margin"/>
          </v:shape>
        </w:pict>
      </w:r>
      <w:r>
        <w:rPr>
          <w:lang w:val="ru-RU" w:eastAsia="ru-RU" w:bidi="ru-RU"/>
          <w:w w:val="100"/>
          <w:spacing w:val="0"/>
          <w:color w:val="000000"/>
          <w:position w:val="0"/>
        </w:rPr>
        <w:t>Кардиостимулирующее — положительное инотропное, отрицательное хроно- и дромотропное, положительное батмотропное (в токси</w:t>
        <w:softHyphen/>
        <w:t>ческих дозах). Ингибирует К+-№+-АТФазу мембраны кардиомиоцитов, увеличивает внутриклеточную концентрацию натрия и опосре</w:t>
        <w:softHyphen/>
        <w:t>дованно — кальция. Ионы кальция, взаимодействуя с тропониновым комплексом, устраняют его тормозящее влияние на комплекс со</w:t>
        <w:softHyphen/>
        <w:t>кратительных белков. Хорошо всасывается при приеме внутрь (65-80%). Часть выделяется в двенадцатиперстную кишку с желчью и под</w:t>
        <w:softHyphen/>
        <w:t>вергается реабсорбции. Способен кумулировать. Экскретируется преимущественно с мочой (при беременности — замедленно). У боль</w:t>
        <w:softHyphen/>
        <w:t>ных с хронической сердечной недостаточностью вызывает опосредованную вазодилатацию, умеренно повышает диурез. После приема внутрь кардиотонический эффект развивается через 1-2 ч, достигает максимума в течение 8 ч, после в/в введения — через 20-30 мин. У больных с ненарушенными функциями печени и почек действие прекращается через 2-7 дней.</w:t>
      </w:r>
    </w:p>
    <w:p>
      <w:pPr>
        <w:pStyle w:val="Style45"/>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Побочные эффекты: синусовая брадикардия, АВ-блокада, усталость, головная боль, тошнота, анорексия, невралгии, нарушения зрения, фотофобия.</w:t>
      </w:r>
    </w:p>
    <w:p>
      <w:pPr>
        <w:pStyle w:val="Style45"/>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Противопоказания:</w:t>
      </w:r>
    </w:p>
    <w:p>
      <w:pPr>
        <w:pStyle w:val="Style45"/>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 xml:space="preserve">Острая коронарная недостаточность, активный миокардит, тампонада сердца, констриктивный перикардит, выраженная брадикардия, </w:t>
      </w:r>
      <w:r>
        <w:rPr>
          <w:lang w:val="en-US" w:eastAsia="en-US" w:bidi="en-US"/>
          <w:w w:val="100"/>
          <w:spacing w:val="0"/>
          <w:color w:val="000000"/>
          <w:position w:val="0"/>
        </w:rPr>
        <w:t xml:space="preserve">AV </w:t>
      </w:r>
      <w:r>
        <w:rPr>
          <w:lang w:val="ru-RU" w:eastAsia="ru-RU" w:bidi="ru-RU"/>
          <w:w w:val="100"/>
          <w:spacing w:val="0"/>
          <w:color w:val="000000"/>
          <w:position w:val="0"/>
        </w:rPr>
        <w:t xml:space="preserve">блокада </w:t>
      </w:r>
      <w:r>
        <w:rPr>
          <w:lang w:val="en-US" w:eastAsia="en-US" w:bidi="en-US"/>
          <w:w w:val="100"/>
          <w:spacing w:val="0"/>
          <w:color w:val="000000"/>
          <w:position w:val="0"/>
        </w:rPr>
        <w:t xml:space="preserve">I-II </w:t>
      </w:r>
      <w:r>
        <w:rPr>
          <w:lang w:val="ru-RU" w:eastAsia="ru-RU" w:bidi="ru-RU"/>
          <w:w w:val="100"/>
          <w:spacing w:val="0"/>
          <w:color w:val="000000"/>
          <w:position w:val="0"/>
        </w:rPr>
        <w:t>степени, нестабильная стенокардия, экстрасистолия, желудочковая тахикардия, гипертрофическая кардиомиопатия. Осторожность в назначении при почечной недостаточности. Кардиоверсия или инфузия кальция могут привести к фибрилляции желу</w:t>
        <w:softHyphen/>
        <w:t>дочков у больных, получающих дигоксин (использовать в этих случаях лидокаин).</w:t>
      </w:r>
    </w:p>
    <w:p>
      <w:pPr>
        <w:pStyle w:val="Style45"/>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Терапевтический коридор: 0,8-2 нг/мл (неприменим в неонатологии, т.к. новорожденные дети могут иметь в плазме материнские суб</w:t>
        <w:softHyphen/>
        <w:t>станции, ошибочно принимаемые за дигоксин).</w:t>
      </w:r>
    </w:p>
    <w:p>
      <w:pPr>
        <w:pStyle w:val="Style45"/>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Взаимодействие:</w:t>
      </w:r>
    </w:p>
    <w:p>
      <w:pPr>
        <w:pStyle w:val="Style45"/>
        <w:widowControl w:val="0"/>
        <w:keepNext w:val="0"/>
        <w:keepLines w:val="0"/>
        <w:shd w:val="clear" w:color="auto" w:fill="auto"/>
        <w:bidi w:val="0"/>
        <w:spacing w:before="0" w:after="214"/>
        <w:ind w:left="0" w:right="0" w:firstLine="0"/>
      </w:pPr>
      <w:r>
        <w:rPr>
          <w:lang w:val="ru-RU" w:eastAsia="ru-RU" w:bidi="ru-RU"/>
          <w:w w:val="100"/>
          <w:spacing w:val="0"/>
          <w:color w:val="000000"/>
          <w:position w:val="0"/>
        </w:rPr>
        <w:t>Адреномиметики увеличивают вероятность развития аритмии, антиаритмические и антихолинэстеразные препараты — брадикардии, глюкокортикоиды, салуретики и др. средства, способствующие потере калия, препараты кальция — гликозидной интоксикации. Ами</w:t>
        <w:softHyphen/>
        <w:t>назин уменьшает кардиотонический эффект.</w:t>
      </w:r>
    </w:p>
    <w:p>
      <w:pPr>
        <w:pStyle w:val="Style184"/>
        <w:widowControl w:val="0"/>
        <w:keepNext w:val="0"/>
        <w:keepLines w:val="0"/>
        <w:shd w:val="clear" w:color="auto" w:fill="auto"/>
        <w:bidi w:val="0"/>
        <w:spacing w:before="0" w:after="0" w:line="150" w:lineRule="exact"/>
        <w:ind w:left="0" w:right="0" w:firstLine="0"/>
      </w:pPr>
      <w:r>
        <w:rPr>
          <w:lang w:val="ru-RU" w:eastAsia="ru-RU" w:bidi="ru-RU"/>
          <w:w w:val="100"/>
          <w:spacing w:val="0"/>
          <w:color w:val="000000"/>
          <w:position w:val="0"/>
        </w:rPr>
        <w:t xml:space="preserve">Лантозид Ц </w:t>
      </w:r>
      <w:r>
        <w:rPr>
          <w:w w:val="100"/>
          <w:spacing w:val="0"/>
          <w:color w:val="000000"/>
          <w:position w:val="0"/>
        </w:rPr>
        <w:t xml:space="preserve">(Lantozid </w:t>
      </w:r>
      <w:r>
        <w:rPr>
          <w:lang w:val="ru-RU" w:eastAsia="ru-RU" w:bidi="ru-RU"/>
          <w:w w:val="100"/>
          <w:spacing w:val="0"/>
          <w:color w:val="000000"/>
          <w:position w:val="0"/>
        </w:rPr>
        <w:t>С)</w:t>
      </w:r>
    </w:p>
    <w:p>
      <w:pPr>
        <w:pStyle w:val="Style182"/>
        <w:framePr w:w="9859" w:wrap="notBeside" w:vAnchor="text" w:hAnchor="text" w:xAlign="center" w:y="1"/>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Хроническая сердечная недостаточность, хроническое легочное сердце, тахисистолическая мерцательная аритмия, пароксизмальная суправентрикулярная тахикардия.</w:t>
      </w:r>
    </w:p>
    <w:tbl>
      <w:tblPr>
        <w:tblOverlap w:val="never"/>
        <w:tblLayout w:type="fixed"/>
        <w:jc w:val="center"/>
      </w:tblPr>
      <w:tblGrid>
        <w:gridCol w:w="2842"/>
        <w:gridCol w:w="3739"/>
        <w:gridCol w:w="3278"/>
      </w:tblGrid>
      <w:tr>
        <w:trPr>
          <w:trHeight w:val="245" w:hRule="exact"/>
        </w:trPr>
        <w:tc>
          <w:tcPr>
            <w:shd w:val="clear" w:color="auto" w:fill="FFFFFF"/>
            <w:tcBorders>
              <w:left w:val="single" w:sz="4"/>
              <w:top w:val="single" w:sz="4"/>
            </w:tcBorders>
            <w:vAlign w:val="top"/>
          </w:tcPr>
          <w:p>
            <w:pPr>
              <w:pStyle w:val="Style30"/>
              <w:framePr w:w="985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framePr w:w="985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framePr w:w="985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64" w:hRule="exact"/>
        </w:trPr>
        <w:tc>
          <w:tcPr>
            <w:shd w:val="clear" w:color="auto" w:fill="FFFFFF"/>
            <w:tcBorders>
              <w:left w:val="single" w:sz="4"/>
              <w:top w:val="single" w:sz="4"/>
              <w:bottom w:val="single" w:sz="4"/>
            </w:tcBorders>
            <w:vAlign w:val="top"/>
          </w:tcPr>
          <w:p>
            <w:pPr>
              <w:pStyle w:val="Style30"/>
              <w:framePr w:w="985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bottom w:val="single" w:sz="4"/>
            </w:tcBorders>
            <w:vAlign w:val="top"/>
          </w:tcPr>
          <w:p>
            <w:pPr>
              <w:pStyle w:val="Style30"/>
              <w:framePr w:w="985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Доза должна быть эквивалентна дозе дигоксина</w:t>
            </w:r>
          </w:p>
        </w:tc>
        <w:tc>
          <w:tcPr>
            <w:shd w:val="clear" w:color="auto" w:fill="FFFFFF"/>
            <w:tcBorders>
              <w:left w:val="single" w:sz="4"/>
              <w:right w:val="single" w:sz="4"/>
              <w:top w:val="single" w:sz="4"/>
              <w:bottom w:val="single" w:sz="4"/>
            </w:tcBorders>
            <w:vAlign w:val="top"/>
          </w:tcPr>
          <w:p>
            <w:pPr>
              <w:pStyle w:val="Style30"/>
              <w:framePr w:w="9859" w:wrap="notBeside" w:vAnchor="text" w:hAnchor="text" w:xAlign="center" w:y="1"/>
              <w:widowControl w:val="0"/>
              <w:keepNext w:val="0"/>
              <w:keepLines w:val="0"/>
              <w:shd w:val="clear" w:color="auto" w:fill="auto"/>
              <w:bidi w:val="0"/>
              <w:jc w:val="left"/>
              <w:spacing w:before="0" w:after="0" w:line="160" w:lineRule="exact"/>
              <w:ind w:left="0" w:right="0" w:firstLine="0"/>
            </w:pPr>
            <w:r>
              <w:rPr>
                <w:rStyle w:val="CharStyle102"/>
              </w:rPr>
              <w:t>2-3 раза в сутки</w:t>
            </w:r>
          </w:p>
        </w:tc>
      </w:tr>
    </w:tbl>
    <w:p>
      <w:pPr>
        <w:framePr w:w="9859" w:wrap="notBeside" w:vAnchor="text" w:hAnchor="text" w:xAlign="center" w:y="1"/>
        <w:widowControl w:val="0"/>
        <w:rPr>
          <w:sz w:val="2"/>
          <w:szCs w:val="2"/>
        </w:rPr>
      </w:pPr>
    </w:p>
    <w:p>
      <w:pPr>
        <w:widowControl w:val="0"/>
        <w:rPr>
          <w:sz w:val="2"/>
          <w:szCs w:val="2"/>
        </w:rPr>
      </w:pPr>
    </w:p>
    <w:p>
      <w:pPr>
        <w:pStyle w:val="Style45"/>
        <w:widowControl w:val="0"/>
        <w:keepNext w:val="0"/>
        <w:keepLines w:val="0"/>
        <w:shd w:val="clear" w:color="auto" w:fill="auto"/>
        <w:bidi w:val="0"/>
        <w:spacing w:before="0" w:after="0"/>
        <w:ind w:left="0" w:right="0" w:firstLine="0"/>
      </w:pPr>
      <w:r>
        <w:rPr>
          <w:lang w:val="ru-RU" w:eastAsia="ru-RU" w:bidi="ru-RU"/>
          <w:w w:val="100"/>
          <w:spacing w:val="0"/>
          <w:color w:val="000000"/>
          <w:position w:val="0"/>
        </w:rPr>
        <w:t>Фармакологическое действие</w:t>
      </w:r>
    </w:p>
    <w:p>
      <w:pPr>
        <w:pStyle w:val="Style45"/>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Кардиотоническое, антиаритмическое, положительное инотропное, отрицательное дромо- и хронотропное. Увеличивает сократимость миокарда и сердечный выброс, снижает венозное давление, повышает диурез, уменьшает отеки, одышку (у больных с хронической сер</w:t>
        <w:softHyphen/>
        <w:t>дечной недостаточностью).</w:t>
      </w:r>
    </w:p>
    <w:p>
      <w:pPr>
        <w:pStyle w:val="Style45"/>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Противопоказания:</w:t>
      </w:r>
    </w:p>
    <w:p>
      <w:pPr>
        <w:pStyle w:val="Style45"/>
        <w:widowControl w:val="0"/>
        <w:keepNext w:val="0"/>
        <w:keepLines w:val="0"/>
        <w:shd w:val="clear" w:color="auto" w:fill="auto"/>
        <w:bidi w:val="0"/>
        <w:spacing w:before="0" w:after="0"/>
        <w:ind w:left="0" w:right="0" w:firstLine="0"/>
      </w:pPr>
      <w:r>
        <w:rPr>
          <w:lang w:val="ru-RU" w:eastAsia="ru-RU" w:bidi="ru-RU"/>
          <w:w w:val="100"/>
          <w:spacing w:val="0"/>
          <w:color w:val="000000"/>
          <w:position w:val="0"/>
        </w:rPr>
        <w:t xml:space="preserve">Гйперчувствительность, выраженная брадикардия, </w:t>
      </w:r>
      <w:r>
        <w:rPr>
          <w:lang w:val="en-US" w:eastAsia="en-US" w:bidi="en-US"/>
          <w:w w:val="100"/>
          <w:spacing w:val="0"/>
          <w:color w:val="000000"/>
          <w:position w:val="0"/>
        </w:rPr>
        <w:t>AV</w:t>
      </w:r>
      <w:r>
        <w:rPr>
          <w:lang w:val="ru-RU" w:eastAsia="ru-RU" w:bidi="ru-RU"/>
          <w:w w:val="100"/>
          <w:spacing w:val="0"/>
          <w:color w:val="000000"/>
          <w:position w:val="0"/>
        </w:rPr>
        <w:t>-блокада, инфаркт миокарда, стенокардия, экстрасистолия, пароксизмальная же</w:t>
        <w:softHyphen/>
        <w:t>лудочковая тахикардия.</w:t>
      </w:r>
    </w:p>
    <w:p>
      <w:pPr>
        <w:pStyle w:val="Style45"/>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Побочные эффекты:</w:t>
      </w:r>
    </w:p>
    <w:p>
      <w:pPr>
        <w:pStyle w:val="Style45"/>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Препараты кальция, катехоламины, диуретики повышают риск гликозидной интоксикации. Хинидин, верапамил, нифедипин, спиро- нолактон увеличивают концентрацию в плазме. Антациды снижают всасывание.</w:t>
      </w:r>
    </w:p>
    <w:p>
      <w:pPr>
        <w:pStyle w:val="Style45"/>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Взаимодействие:</w:t>
      </w:r>
    </w:p>
    <w:p>
      <w:pPr>
        <w:pStyle w:val="Style45"/>
        <w:widowControl w:val="0"/>
        <w:keepNext w:val="0"/>
        <w:keepLines w:val="0"/>
        <w:shd w:val="clear" w:color="auto" w:fill="auto"/>
        <w:bidi w:val="0"/>
        <w:spacing w:before="0" w:after="0"/>
        <w:ind w:left="0" w:right="0" w:firstLine="0"/>
        <w:sectPr>
          <w:pgSz w:w="11900" w:h="16840"/>
          <w:pgMar w:top="2418" w:left="1143" w:right="898" w:bottom="162" w:header="0" w:footer="3" w:gutter="0"/>
          <w:rtlGutter w:val="0"/>
          <w:cols w:space="720"/>
          <w:noEndnote/>
          <w:docGrid w:linePitch="360"/>
        </w:sectPr>
      </w:pPr>
      <w:r>
        <w:rPr>
          <w:lang w:val="ru-RU" w:eastAsia="ru-RU" w:bidi="ru-RU"/>
          <w:w w:val="100"/>
          <w:spacing w:val="0"/>
          <w:color w:val="000000"/>
          <w:position w:val="0"/>
        </w:rPr>
        <w:t>Препараты кальция, катехоламины, диуретики повышают риск гликозидной интоксикации. Хинидин, верапамил, нифедипин, спиро- нолактон увеличивают концентрацию в плазме. Антациды снижают всасывание.</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51" w:after="51"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1915" type="#_x0000_t75" style="position:absolute;margin-left:136.55pt;margin-top:0;width:209.75pt;height:14.9pt;z-index:-251658626;mso-wrap-distance-left:5.pt;mso-wrap-distance-right:5.pt;mso-position-horizontal-relative:margin" wrapcoords="0 0">
            <v:imagedata r:id="rId1412" r:href="rId1413"/>
            <w10:wrap anchorx="margin"/>
          </v:shape>
        </w:pict>
      </w:r>
    </w:p>
    <w:p>
      <w:pPr>
        <w:widowControl w:val="0"/>
        <w:rPr>
          <w:sz w:val="2"/>
          <w:szCs w:val="2"/>
        </w:rPr>
        <w:sectPr>
          <w:type w:val="continuous"/>
          <w:pgSz w:w="11900" w:h="16840"/>
          <w:pgMar w:top="1468" w:left="1124" w:right="898" w:bottom="192" w:header="0" w:footer="3" w:gutter="0"/>
          <w:rtlGutter w:val="0"/>
          <w:cols w:space="720"/>
          <w:noEndnote/>
          <w:docGrid w:linePitch="360"/>
        </w:sectPr>
      </w:pPr>
    </w:p>
    <w:p>
      <w:pPr>
        <w:widowControl w:val="0"/>
        <w:spacing w:line="360" w:lineRule="exact"/>
      </w:pPr>
      <w:r>
        <w:pict>
          <v:shape id="_x0000_s1916" type="#_x0000_t202" style="position:absolute;margin-left:0.95pt;margin-top:0;width:492.pt;height:5.e-002pt;z-index:251657740;mso-wrap-distance-left:5.pt;mso-wrap-distance-right:5.pt;mso-position-horizontal-relative:margin" filled="f" stroked="f">
            <v:textbox style="mso-fit-shape-to-text:t" inset="0,0,0,0">
              <w:txbxContent>
                <w:p>
                  <w:pPr>
                    <w:pStyle w:val="Style188"/>
                    <w:widowControl w:val="0"/>
                    <w:keepNext w:val="0"/>
                    <w:keepLines w:val="0"/>
                    <w:shd w:val="clear" w:color="auto" w:fill="auto"/>
                    <w:bidi w:val="0"/>
                    <w:jc w:val="left"/>
                    <w:spacing w:before="0" w:after="0" w:line="150" w:lineRule="exact"/>
                    <w:ind w:left="0" w:right="0" w:firstLine="0"/>
                  </w:pPr>
                  <w:r>
                    <w:rPr>
                      <w:lang w:val="ru-RU" w:eastAsia="ru-RU" w:bidi="ru-RU"/>
                      <w:w w:val="100"/>
                      <w:spacing w:val="0"/>
                      <w:color w:val="000000"/>
                      <w:position w:val="0"/>
                    </w:rPr>
                    <w:t xml:space="preserve">Добутамин </w:t>
                  </w:r>
                  <w:r>
                    <w:rPr>
                      <w:w w:val="100"/>
                      <w:spacing w:val="0"/>
                      <w:color w:val="000000"/>
                      <w:position w:val="0"/>
                    </w:rPr>
                    <w:t xml:space="preserve">(Dobutamin) </w:t>
                  </w:r>
                  <w:r>
                    <w:rPr>
                      <w:lang w:val="ru-RU" w:eastAsia="ru-RU" w:bidi="ru-RU"/>
                      <w:w w:val="100"/>
                      <w:spacing w:val="0"/>
                      <w:color w:val="000000"/>
                      <w:position w:val="0"/>
                    </w:rPr>
                    <w:t xml:space="preserve">Синонимы: Добужект, </w:t>
                  </w:r>
                  <w:r>
                    <w:rPr>
                      <w:w w:val="100"/>
                      <w:spacing w:val="0"/>
                      <w:color w:val="000000"/>
                      <w:position w:val="0"/>
                    </w:rPr>
                    <w:t>Dobuject, Dobutamine</w:t>
                  </w:r>
                  <w:r>
                    <w:rPr>
                      <w:lang w:val="ru-RU" w:eastAsia="ru-RU" w:bidi="ru-RU"/>
                      <w:w w:val="100"/>
                      <w:spacing w:val="0"/>
                      <w:color w:val="000000"/>
                      <w:position w:val="0"/>
                    </w:rPr>
                    <w:t xml:space="preserve">, </w:t>
                  </w:r>
                  <w:r>
                    <w:rPr>
                      <w:w w:val="100"/>
                      <w:spacing w:val="0"/>
                      <w:color w:val="000000"/>
                      <w:position w:val="0"/>
                    </w:rPr>
                    <w:t xml:space="preserve">Dobutrex, Inotrex. </w:t>
                  </w:r>
                  <w:r>
                    <w:rPr>
                      <w:lang w:val="ru-RU" w:eastAsia="ru-RU" w:bidi="ru-RU"/>
                      <w:w w:val="100"/>
                      <w:spacing w:val="0"/>
                      <w:color w:val="000000"/>
                      <w:position w:val="0"/>
                    </w:rPr>
                    <w:t>Добутрекс</w:t>
                  </w:r>
                </w:p>
                <w:p>
                  <w:pPr>
                    <w:pStyle w:val="Style182"/>
                    <w:widowControl w:val="0"/>
                    <w:keepNext w:val="0"/>
                    <w:keepLines w:val="0"/>
                    <w:shd w:val="clear" w:color="auto" w:fill="auto"/>
                    <w:bidi w:val="0"/>
                    <w:jc w:val="left"/>
                    <w:spacing w:before="0" w:after="0" w:line="160" w:lineRule="exact"/>
                    <w:ind w:left="0" w:right="0" w:firstLine="0"/>
                  </w:pPr>
                  <w:r>
                    <w:rPr>
                      <w:rStyle w:val="CharStyle183"/>
                    </w:rPr>
                    <w:t>Острая и хроническая сердечная недостаточность (как временное вспомогательное средство на фоне основной терапии).</w:t>
                  </w:r>
                </w:p>
                <w:tbl>
                  <w:tblPr>
                    <w:tblOverlap w:val="never"/>
                    <w:tblLayout w:type="fixed"/>
                    <w:jc w:val="center"/>
                  </w:tblPr>
                  <w:tblGrid>
                    <w:gridCol w:w="3010"/>
                    <w:gridCol w:w="3566"/>
                    <w:gridCol w:w="3264"/>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59"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Инфузия</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2-20 мкг/кг/мин, максимально 40 мкг/кг/мин</w:t>
                        </w: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pStyle w:val="Style182"/>
                    <w:widowControl w:val="0"/>
                    <w:keepNext w:val="0"/>
                    <w:keepLines w:val="0"/>
                    <w:shd w:val="clear" w:color="auto" w:fill="auto"/>
                    <w:bidi w:val="0"/>
                    <w:jc w:val="left"/>
                    <w:spacing w:before="0" w:after="0" w:line="160" w:lineRule="exact"/>
                    <w:ind w:left="0" w:right="0" w:firstLine="0"/>
                  </w:pPr>
                  <w:r>
                    <w:rPr>
                      <w:rStyle w:val="CharStyle183"/>
                    </w:rPr>
                    <w:t>Фармакологическое действие:</w:t>
                  </w:r>
                </w:p>
                <w:p>
                  <w:pPr>
                    <w:widowControl w:val="0"/>
                    <w:rPr>
                      <w:sz w:val="2"/>
                      <w:szCs w:val="2"/>
                    </w:rPr>
                  </w:pPr>
                </w:p>
              </w:txbxContent>
            </v:textbox>
            <w10:wrap anchorx="margin"/>
          </v:shape>
        </w:pict>
      </w:r>
      <w:r>
        <w:pict>
          <v:shape id="_x0000_s1917" type="#_x0000_t202" style="position:absolute;margin-left:0.95pt;margin-top:65.25pt;width:492.pt;height:203.5pt;z-index:251657741;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Стимулирует вгадренорецепторы. Оказывает положительное ино-, хроно- и батмотропное действие. В меньшей степени, чем аналогич</w:t>
                    <w:softHyphen/>
                    <w:t>ные дозы изопротеренола, увеличивает сердечный выброс и уменьшает ОПСС (иногда оно может даже повышаться). Эффект начинает</w:t>
                    <w:softHyphen/>
                    <w:t>ся уже через 1-2 мин и достигает максимума через 10 мин. Экскреция осуществляется через почки.</w:t>
                  </w:r>
                </w:p>
                <w:p>
                  <w:pPr>
                    <w:pStyle w:val="Style45"/>
                    <w:widowControl w:val="0"/>
                    <w:keepNext w:val="0"/>
                    <w:keepLines w:val="0"/>
                    <w:shd w:val="clear" w:color="auto" w:fill="auto"/>
                    <w:bidi w:val="0"/>
                    <w:spacing w:before="0" w:after="0"/>
                    <w:ind w:left="0" w:right="0" w:firstLine="0"/>
                  </w:pPr>
                  <w:r>
                    <w:rPr>
                      <w:rStyle w:val="CharStyle190"/>
                    </w:rPr>
                    <w:t>Побочные эффекты:</w:t>
                  </w:r>
                </w:p>
                <w:p>
                  <w:pPr>
                    <w:pStyle w:val="Style45"/>
                    <w:widowControl w:val="0"/>
                    <w:keepNext w:val="0"/>
                    <w:keepLines w:val="0"/>
                    <w:shd w:val="clear" w:color="auto" w:fill="auto"/>
                    <w:bidi w:val="0"/>
                    <w:jc w:val="left"/>
                    <w:spacing w:before="0" w:after="0"/>
                    <w:ind w:left="0" w:right="0" w:firstLine="0"/>
                  </w:pPr>
                  <w:r>
                    <w:rPr>
                      <w:rStyle w:val="CharStyle190"/>
                    </w:rPr>
                    <w:t>Синусовая тахикардия, пароксизмальная желудочковая и наджелудочковая тахикардия, экстрасистолия, мерцательная аритмия. Редко — снижение сердечного выброса и артериальная гипотензия (обратить внимание: у больного должна быть эуволемия), флебит (в месте вве</w:t>
                    <w:softHyphen/>
                    <w:t>дения). Крайне редко — тошнота, рвота, головная боль, боль за грудиной, бронхоспазм, эозинофилия, зуд, кожная сыпь. Передозировка: анорексия, тошнота, рвота, сердцебиение, тревога, головная боль, одышка, стенокардия или кардиалгия, артериальная гипертензия, тахиаритмия.</w:t>
                  </w:r>
                </w:p>
                <w:p>
                  <w:pPr>
                    <w:pStyle w:val="Style45"/>
                    <w:widowControl w:val="0"/>
                    <w:keepNext w:val="0"/>
                    <w:keepLines w:val="0"/>
                    <w:shd w:val="clear" w:color="auto" w:fill="auto"/>
                    <w:bidi w:val="0"/>
                    <w:spacing w:before="0" w:after="0"/>
                    <w:ind w:left="0" w:right="0" w:firstLine="0"/>
                  </w:pPr>
                  <w:r>
                    <w:rPr>
                      <w:rStyle w:val="CharStyle190"/>
                    </w:rPr>
                    <w:t>Противопоказания:</w:t>
                  </w:r>
                </w:p>
                <w:p>
                  <w:pPr>
                    <w:pStyle w:val="Style45"/>
                    <w:widowControl w:val="0"/>
                    <w:keepNext w:val="0"/>
                    <w:keepLines w:val="0"/>
                    <w:shd w:val="clear" w:color="auto" w:fill="auto"/>
                    <w:bidi w:val="0"/>
                    <w:spacing w:before="0" w:after="0"/>
                    <w:ind w:left="0" w:right="0" w:firstLine="0"/>
                  </w:pPr>
                  <w:r>
                    <w:rPr>
                      <w:rStyle w:val="CharStyle190"/>
                    </w:rPr>
                    <w:t>Гиперчувствительность, идиопатический гипертрофический субаортальный стеноз. При наличии механических препятствий для напол</w:t>
                    <w:softHyphen/>
                    <w:t>нения желудочков (пороки, тампонада сердца, перикардит) и/или оттока крови из них инфузия не вызывает улучшения гемодинамики. При тампонаде сердца, клапанном аортальном стенозе, субаортальном стенозе возможно развитие парадоксальной реакции (снижение сердечного выброса).</w:t>
                  </w:r>
                </w:p>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Дофамин </w:t>
                  </w:r>
                  <w:r>
                    <w:rPr>
                      <w:rStyle w:val="CharStyle191"/>
                      <w:b/>
                      <w:bCs/>
                      <w:i/>
                      <w:iCs/>
                    </w:rPr>
                    <w:t xml:space="preserve">(Dophaminum, Dofaminum) </w:t>
                  </w:r>
                  <w:r>
                    <w:rPr>
                      <w:rStyle w:val="CharStyle191"/>
                      <w:lang w:val="ru-RU" w:eastAsia="ru-RU" w:bidi="ru-RU"/>
                      <w:b/>
                      <w:bCs/>
                      <w:i/>
                      <w:iCs/>
                    </w:rPr>
                    <w:t xml:space="preserve">Cинонимы: Допамин </w:t>
                  </w:r>
                  <w:r>
                    <w:rPr>
                      <w:rStyle w:val="CharStyle191"/>
                      <w:b/>
                      <w:bCs/>
                      <w:i/>
                      <w:iCs/>
                    </w:rPr>
                    <w:t xml:space="preserve">(Dopamin), </w:t>
                  </w:r>
                  <w:r>
                    <w:rPr>
                      <w:rStyle w:val="CharStyle191"/>
                      <w:lang w:val="ru-RU" w:eastAsia="ru-RU" w:bidi="ru-RU"/>
                      <w:b/>
                      <w:bCs/>
                      <w:i/>
                      <w:iCs/>
                    </w:rPr>
                    <w:t xml:space="preserve">Допмин, </w:t>
                  </w:r>
                  <w:r>
                    <w:rPr>
                      <w:rStyle w:val="CharStyle191"/>
                      <w:b/>
                      <w:bCs/>
                      <w:i/>
                      <w:iCs/>
                    </w:rPr>
                    <w:t>Aprical, Cardiosteril, Dopamex, Dopamin, Dophan, Dopmin, Dynatra, Hydroxytyramin, Intropin, Revivan</w:t>
                  </w:r>
                </w:p>
                <w:p>
                  <w:pPr>
                    <w:pStyle w:val="Style45"/>
                    <w:widowControl w:val="0"/>
                    <w:keepNext w:val="0"/>
                    <w:keepLines w:val="0"/>
                    <w:shd w:val="clear" w:color="auto" w:fill="auto"/>
                    <w:bidi w:val="0"/>
                    <w:spacing w:before="0" w:after="0"/>
                    <w:ind w:left="0" w:right="0" w:firstLine="0"/>
                  </w:pPr>
                  <w:r>
                    <w:rPr>
                      <w:rStyle w:val="CharStyle190"/>
                    </w:rPr>
                    <w:t>Показания</w:t>
                  </w:r>
                </w:p>
                <w:p>
                  <w:pPr>
                    <w:pStyle w:val="Style45"/>
                    <w:widowControl w:val="0"/>
                    <w:keepNext w:val="0"/>
                    <w:keepLines w:val="0"/>
                    <w:shd w:val="clear" w:color="auto" w:fill="auto"/>
                    <w:bidi w:val="0"/>
                    <w:spacing w:before="0" w:after="0"/>
                    <w:ind w:left="0" w:right="0" w:firstLine="0"/>
                  </w:pPr>
                  <w:r>
                    <w:rPr>
                      <w:rStyle w:val="CharStyle190"/>
                    </w:rPr>
                    <w:t>Шок различного генеза, в т.ч. кардиогенный, послеоперационный, инфекционно-токсический, анафилактический, гиповолемический (только после восстановления ОЦК), острая сердечно-сосудистая и почечная недостаточность, артериальная гипотония. Отравления (для усиления диуреза и ускорения экскреции ксенобиотика).</w:t>
                  </w:r>
                </w:p>
              </w:txbxContent>
            </v:textbox>
            <w10:wrap anchorx="margin"/>
          </v:shape>
        </w:pict>
      </w:r>
      <w:r>
        <w:pict>
          <v:shape id="_x0000_s1918" type="#_x0000_t202" style="position:absolute;margin-left:0.95pt;margin-top:269.5pt;width:492.pt;height:5.e-002pt;z-index:251657742;mso-wrap-distance-left:5.pt;mso-wrap-distance-right:5.pt;mso-position-horizontal-relative:margin" filled="f" stroked="f">
            <v:textbox style="mso-fit-shape-to-text:t" inset="0,0,0,0">
              <w:txbxContent>
                <w:tbl>
                  <w:tblPr>
                    <w:tblOverlap w:val="never"/>
                    <w:tblLayout w:type="fixed"/>
                    <w:jc w:val="center"/>
                  </w:tblPr>
                  <w:tblGrid>
                    <w:gridCol w:w="3274"/>
                    <w:gridCol w:w="3288"/>
                    <w:gridCol w:w="3278"/>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427"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Инфузия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92" w:lineRule="exact"/>
                          <w:ind w:left="0" w:right="0" w:firstLine="0"/>
                        </w:pPr>
                        <w:r>
                          <w:rPr>
                            <w:rStyle w:val="CharStyle102"/>
                          </w:rPr>
                          <w:t>Ренальная доза: 2-5 мкг/кг/мин Инотропная доза: 5-15 мкг/кг/мин</w:t>
                        </w:r>
                      </w:p>
                    </w:tc>
                    <w:tc>
                      <w:tcPr>
                        <w:shd w:val="clear" w:color="auto" w:fill="FFFFFF"/>
                        <w:tcBorders>
                          <w:left w:val="single" w:sz="4"/>
                          <w:right w:val="single" w:sz="4"/>
                          <w:top w:val="single" w:sz="4"/>
                        </w:tcBorders>
                        <w:vAlign w:val="top"/>
                      </w:tcPr>
                      <w:p>
                        <w:pPr>
                          <w:widowControl w:val="0"/>
                          <w:rPr>
                            <w:sz w:val="10"/>
                            <w:szCs w:val="10"/>
                          </w:rPr>
                        </w:pPr>
                      </w:p>
                    </w:tc>
                  </w:tr>
                  <w:tr>
                    <w:trPr>
                      <w:trHeight w:val="226"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Фармакологическое действие:</w:t>
                        </w:r>
                      </w:p>
                    </w:tc>
                  </w:tr>
                </w:tbl>
                <w:p>
                  <w:pPr>
                    <w:widowControl w:val="0"/>
                    <w:rPr>
                      <w:sz w:val="2"/>
                      <w:szCs w:val="2"/>
                    </w:rPr>
                  </w:pPr>
                </w:p>
              </w:txbxContent>
            </v:textbox>
            <w10:wrap anchorx="margin"/>
          </v:shape>
        </w:pict>
      </w:r>
      <w:r>
        <w:pict>
          <v:shape id="_x0000_s1919" type="#_x0000_t202" style="position:absolute;margin-left:0.95pt;margin-top:311.5pt;width:491.75pt;height:220.8pt;z-index:251657743;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Вызывает положительный инотропный эффект, улучшает периферическое кровообращение (особенно при шоковых состояниях) — из</w:t>
                    <w:softHyphen/>
                    <w:t>бирательно расширяет почечные и брыжеечные артерии; незначительно увеличивает ЧСС, повышает потребность миокарда в кислоро</w:t>
                    <w:softHyphen/>
                    <w:t>де, ОПСС и АД. Стимуляция почечного кровотока ведет к повышению фильтрации в почках, способствует диурезу и натрийурезу. Дей</w:t>
                    <w:softHyphen/>
                    <w:t>ствие прекращается через 5-10 мин после инфузии. В терапевтических дозах стимулирует дофаминергические рецепторы, в больших — возбуждает в-адренорецепторы, в высоких — и в-, и а-адренорецепторы. Способствует высвобождению норадреналина в адренергиче</w:t>
                    <w:softHyphen/>
                    <w:t>ских синапсах. Плохо всасывается в ЖКТ. После парентерального введения распределяется по организму, но через ГЭБ не проходит и при в/в инфузии быстро метаболизируется.</w:t>
                  </w:r>
                </w:p>
                <w:p>
                  <w:pPr>
                    <w:pStyle w:val="Style45"/>
                    <w:widowControl w:val="0"/>
                    <w:keepNext w:val="0"/>
                    <w:keepLines w:val="0"/>
                    <w:shd w:val="clear" w:color="auto" w:fill="auto"/>
                    <w:bidi w:val="0"/>
                    <w:spacing w:before="0" w:after="0"/>
                    <w:ind w:left="0" w:right="0" w:firstLine="0"/>
                  </w:pPr>
                  <w:r>
                    <w:rPr>
                      <w:rStyle w:val="CharStyle190"/>
                    </w:rPr>
                    <w:t>Противопоказания:</w:t>
                  </w:r>
                </w:p>
                <w:p>
                  <w:pPr>
                    <w:pStyle w:val="Style45"/>
                    <w:widowControl w:val="0"/>
                    <w:keepNext w:val="0"/>
                    <w:keepLines w:val="0"/>
                    <w:shd w:val="clear" w:color="auto" w:fill="auto"/>
                    <w:bidi w:val="0"/>
                    <w:spacing w:before="0" w:after="0"/>
                    <w:ind w:left="0" w:right="0" w:firstLine="0"/>
                  </w:pPr>
                  <w:r>
                    <w:rPr>
                      <w:rStyle w:val="CharStyle190"/>
                    </w:rPr>
                    <w:t>Гиперчувствительность, феохромоцитома, тиреотоксикоз, тяжелые нарушения ритма сердца, тяжелые заболевания периферических со</w:t>
                    <w:softHyphen/>
                    <w:t>судов.</w:t>
                  </w:r>
                </w:p>
                <w:p>
                  <w:pPr>
                    <w:pStyle w:val="Style45"/>
                    <w:widowControl w:val="0"/>
                    <w:keepNext w:val="0"/>
                    <w:keepLines w:val="0"/>
                    <w:shd w:val="clear" w:color="auto" w:fill="auto"/>
                    <w:bidi w:val="0"/>
                    <w:spacing w:before="0" w:after="0"/>
                    <w:ind w:left="0" w:right="0" w:firstLine="0"/>
                  </w:pPr>
                  <w:r>
                    <w:rPr>
                      <w:rStyle w:val="CharStyle190"/>
                    </w:rPr>
                    <w:t>Побочные эффекты:</w:t>
                  </w:r>
                </w:p>
                <w:p>
                  <w:pPr>
                    <w:pStyle w:val="Style45"/>
                    <w:widowControl w:val="0"/>
                    <w:keepNext w:val="0"/>
                    <w:keepLines w:val="0"/>
                    <w:shd w:val="clear" w:color="auto" w:fill="auto"/>
                    <w:bidi w:val="0"/>
                    <w:jc w:val="left"/>
                    <w:spacing w:before="0" w:after="0"/>
                    <w:ind w:left="0" w:right="0" w:firstLine="0"/>
                  </w:pPr>
                  <w:r>
                    <w:rPr>
                      <w:rStyle w:val="CharStyle190"/>
                    </w:rPr>
                    <w:t>Тошнота, рвота, желудочно-кишечные кровотечения, головные боли, беспокойство, тремор, нарушения сердечного ритма, стенокардия, повышение АД, ишемические явления, гангрена, при попадании под кожу — некрозы (особенно у пациентов с заболеваниями сосудов); аллергические реакции. Передозировка проявляется нарушением ритма сердца, тахикардией, ренальной вазоконстрикцией. Взаимодействие:</w:t>
                  </w:r>
                </w:p>
                <w:p>
                  <w:pPr>
                    <w:pStyle w:val="Style45"/>
                    <w:widowControl w:val="0"/>
                    <w:keepNext w:val="0"/>
                    <w:keepLines w:val="0"/>
                    <w:shd w:val="clear" w:color="auto" w:fill="auto"/>
                    <w:bidi w:val="0"/>
                    <w:spacing w:before="0" w:after="0"/>
                    <w:ind w:left="0" w:right="0" w:firstLine="0"/>
                  </w:pPr>
                  <w:r>
                    <w:rPr>
                      <w:rStyle w:val="CharStyle190"/>
                    </w:rPr>
                    <w:t>Усиливает эффекты симпатомиметиков, МАО, диуретиков. Несовместим с алкалоидами спорыньи (увеличивает опасность развития гангрены).</w:t>
                  </w:r>
                </w:p>
                <w:p>
                  <w:pPr>
                    <w:pStyle w:val="Style45"/>
                    <w:widowControl w:val="0"/>
                    <w:keepNext w:val="0"/>
                    <w:keepLines w:val="0"/>
                    <w:shd w:val="clear" w:color="auto" w:fill="auto"/>
                    <w:bidi w:val="0"/>
                    <w:spacing w:before="0" w:after="60"/>
                    <w:ind w:left="0" w:right="0" w:firstLine="0"/>
                  </w:pPr>
                  <w:r>
                    <w:rPr>
                      <w:rStyle w:val="CharStyle190"/>
                    </w:rPr>
                    <w:t>Осторожность: экстравазация препарата приводит к некрозу ткани (в случае возникновения необходимо инфильтрировать ткань вокруг места попадания жидкости фентоламином). Нельзя использовать раствор с измененным цветом. Высокие дозы (более 15 мкг/кг/мин) снижают ренальную перфузию.</w:t>
                  </w:r>
                </w:p>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Адреналин </w:t>
                  </w:r>
                  <w:r>
                    <w:rPr>
                      <w:rStyle w:val="CharStyle191"/>
                      <w:b/>
                      <w:bCs/>
                      <w:i/>
                      <w:iCs/>
                    </w:rPr>
                    <w:t xml:space="preserve">(Adrenalinum) </w:t>
                  </w:r>
                  <w:r>
                    <w:rPr>
                      <w:rStyle w:val="CharStyle191"/>
                      <w:lang w:val="ru-RU" w:eastAsia="ru-RU" w:bidi="ru-RU"/>
                      <w:b/>
                      <w:bCs/>
                      <w:i/>
                      <w:iCs/>
                    </w:rPr>
                    <w:t xml:space="preserve">Синонимы: </w:t>
                  </w:r>
                  <w:r>
                    <w:rPr>
                      <w:rStyle w:val="CharStyle191"/>
                      <w:b/>
                      <w:bCs/>
                      <w:i/>
                      <w:iCs/>
                    </w:rPr>
                    <w:t xml:space="preserve">Adnephrine, Adrenamine, Adrenine, Epinephrinum, Epinephrine, Epirenan, Epirinamine, Eppy, Glaucon, Glauconin, Glaukosan, Hypernephrin, Levorenine, Nephridine, Paranephrine, Renostypticin, Styptirenal, Suprarenalin, Suprarenin, Tonogen </w:t>
                  </w:r>
                  <w:r>
                    <w:rPr>
                      <w:rStyle w:val="CharStyle191"/>
                      <w:lang w:val="ru-RU" w:eastAsia="ru-RU" w:bidi="ru-RU"/>
                      <w:b/>
                      <w:bCs/>
                      <w:i/>
                      <w:iCs/>
                    </w:rPr>
                    <w:t>и др.</w:t>
                  </w:r>
                </w:p>
              </w:txbxContent>
            </v:textbox>
            <w10:wrap anchorx="margin"/>
          </v:shape>
        </w:pict>
      </w:r>
      <w:r>
        <w:pict>
          <v:shape id="_x0000_s1920" type="#_x0000_t202" style="position:absolute;margin-left:0.95pt;margin-top:533.75pt;width:492.pt;height:5.e-002pt;z-index:251657744;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jc w:val="left"/>
                    <w:spacing w:before="0" w:after="0"/>
                    <w:ind w:left="0" w:right="0" w:firstLine="0"/>
                  </w:pPr>
                  <w:r>
                    <w:rPr>
                      <w:rStyle w:val="CharStyle183"/>
                    </w:rPr>
                    <w:t>Начало действия: 1-5 мин</w:t>
                  </w:r>
                </w:p>
                <w:p>
                  <w:pPr>
                    <w:pStyle w:val="Style182"/>
                    <w:widowControl w:val="0"/>
                    <w:keepNext w:val="0"/>
                    <w:keepLines w:val="0"/>
                    <w:shd w:val="clear" w:color="auto" w:fill="auto"/>
                    <w:bidi w:val="0"/>
                    <w:jc w:val="left"/>
                    <w:spacing w:before="0" w:after="0"/>
                    <w:ind w:left="0" w:right="0" w:firstLine="0"/>
                  </w:pPr>
                  <w:r>
                    <w:rPr>
                      <w:rStyle w:val="CharStyle183"/>
                    </w:rPr>
                    <w:t>Механизм действия: стимулирует бета-адренергические рецепторы. Вазоконстрикция из-за стимуляции альфа-адренергических рецепторов.</w:t>
                  </w:r>
                </w:p>
                <w:tbl>
                  <w:tblPr>
                    <w:tblOverlap w:val="never"/>
                    <w:tblLayout w:type="fixed"/>
                    <w:jc w:val="center"/>
                  </w:tblPr>
                  <w:tblGrid>
                    <w:gridCol w:w="1546"/>
                    <w:gridCol w:w="1296"/>
                    <w:gridCol w:w="3739"/>
                    <w:gridCol w:w="3259"/>
                  </w:tblGrid>
                  <w:tr>
                    <w:trPr>
                      <w:trHeight w:val="240" w:hRule="exact"/>
                    </w:trPr>
                    <w:tc>
                      <w:tcPr>
                        <w:shd w:val="clear" w:color="auto" w:fill="FFFFFF"/>
                        <w:gridSpan w:val="2"/>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442"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В/в, при остановке внутрисердечно</w:t>
                        </w:r>
                      </w:p>
                    </w:tc>
                    <w:tc>
                      <w:tcPr>
                        <w:shd w:val="clear" w:color="auto" w:fill="FFFFFF"/>
                        <w:tcBorders>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сердца вводится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Брадикардия/гипотензия: 1:10 000 0,1 мл/кг</w:t>
                        </w:r>
                      </w:p>
                    </w:tc>
                    <w:tc>
                      <w:tcPr>
                        <w:shd w:val="clear" w:color="auto" w:fill="FFFFFF"/>
                        <w:tcBorders>
                          <w:left w:val="single" w:sz="4"/>
                          <w:right w:val="single" w:sz="4"/>
                          <w:top w:val="single" w:sz="4"/>
                        </w:tcBorders>
                        <w:vAlign w:val="top"/>
                      </w:tcPr>
                      <w:p>
                        <w:pPr>
                          <w:widowControl w:val="0"/>
                          <w:rPr>
                            <w:sz w:val="10"/>
                            <w:szCs w:val="10"/>
                          </w:rPr>
                        </w:pPr>
                      </w:p>
                    </w:tc>
                  </w:tr>
                  <w:tr>
                    <w:trPr>
                      <w:trHeight w:val="250" w:hRule="exact"/>
                    </w:trPr>
                    <w:tc>
                      <w:tcPr>
                        <w:shd w:val="clear" w:color="auto" w:fill="FFFFFF"/>
                        <w:gridSpan w:val="2"/>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Инфузия</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1-10 мкг/кг/мин</w:t>
                        </w: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pStyle w:val="Style182"/>
                    <w:widowControl w:val="0"/>
                    <w:keepNext w:val="0"/>
                    <w:keepLines w:val="0"/>
                    <w:shd w:val="clear" w:color="auto" w:fill="auto"/>
                    <w:bidi w:val="0"/>
                    <w:spacing w:before="0" w:after="0"/>
                    <w:ind w:left="0" w:right="0" w:firstLine="0"/>
                  </w:pPr>
                  <w:r>
                    <w:rPr>
                      <w:rStyle w:val="CharStyle183"/>
                    </w:rPr>
                    <w:t>Побочные эффекты: тахиаритмии, артериальная гипертензия, головные боли, нервозность, тошнота.</w:t>
                  </w:r>
                </w:p>
                <w:p>
                  <w:pPr>
                    <w:pStyle w:val="Style182"/>
                    <w:widowControl w:val="0"/>
                    <w:keepNext w:val="0"/>
                    <w:keepLines w:val="0"/>
                    <w:shd w:val="clear" w:color="auto" w:fill="auto"/>
                    <w:bidi w:val="0"/>
                    <w:spacing w:before="0" w:after="0"/>
                    <w:ind w:left="0" w:right="0" w:firstLine="0"/>
                  </w:pPr>
                  <w:r>
                    <w:rPr>
                      <w:rStyle w:val="CharStyle183"/>
                    </w:rPr>
                    <w:t>Осторожность: гипертиреоидизм, артериальная гипертензия, аритмии. Нельзя использовать раствор с измененным цветом, экстраваза- ция жидкости приводит к некрозу ткани (в случае возникновения необходимо инфильтрировать ткань вокруг места попадания жидкос</w:t>
                    <w:softHyphen/>
                    <w:t>ти фентоламином). Высокие дозы (более 15 мкг/кг/мин) снижают ренальную перфузию.</w:t>
                  </w:r>
                </w:p>
                <w:p>
                  <w:pPr>
                    <w:pStyle w:val="Style182"/>
                    <w:widowControl w:val="0"/>
                    <w:keepNext w:val="0"/>
                    <w:keepLines w:val="0"/>
                    <w:shd w:val="clear" w:color="auto" w:fill="auto"/>
                    <w:bidi w:val="0"/>
                    <w:spacing w:before="0" w:after="0"/>
                    <w:ind w:left="0" w:right="0" w:firstLine="0"/>
                  </w:pPr>
                  <w:r>
                    <w:rPr>
                      <w:rStyle w:val="CharStyle183"/>
                    </w:rPr>
                    <w:t>Противопоказания: острые заболевания коронарных артерий, некоторые формы глаукомы.</w:t>
                  </w:r>
                </w:p>
                <w:p>
                  <w:pPr>
                    <w:widowControl w:val="0"/>
                    <w:rPr>
                      <w:sz w:val="2"/>
                      <w:szCs w:val="2"/>
                    </w:rPr>
                  </w:pPr>
                </w:p>
              </w:txbxContent>
            </v:textbox>
            <w10:wrap anchorx="margin"/>
          </v:shape>
        </w:pict>
      </w:r>
      <w:r>
        <w:pict>
          <v:shape id="_x0000_s1921" type="#_x0000_t75" style="position:absolute;margin-left:147.85pt;margin-top:734.65pt;width:209.75pt;height:14.9pt;z-index:-251658625;mso-wrap-distance-left:5.pt;mso-wrap-distance-right:5.pt;mso-position-horizontal-relative:margin" wrapcoords="0 0">
            <v:imagedata r:id="rId1414" r:href="rId1415"/>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92" w:lineRule="exact"/>
      </w:pPr>
    </w:p>
    <w:p>
      <w:pPr>
        <w:widowControl w:val="0"/>
        <w:rPr>
          <w:sz w:val="2"/>
          <w:szCs w:val="2"/>
        </w:rPr>
        <w:sectPr>
          <w:headerReference w:type="even" r:id="rId1416"/>
          <w:headerReference w:type="default" r:id="rId1417"/>
          <w:headerReference w:type="first" r:id="rId1418"/>
          <w:titlePg/>
          <w:pgSz w:w="11900" w:h="16840"/>
          <w:pgMar w:top="2013" w:left="898" w:right="1124" w:bottom="147" w:header="0" w:footer="3" w:gutter="0"/>
          <w:rtlGutter w:val="0"/>
          <w:cols w:space="720"/>
          <w:noEndnote/>
          <w:docGrid w:linePitch="360"/>
        </w:sectPr>
      </w:pPr>
    </w:p>
    <w:p>
      <w:pPr>
        <w:widowControl w:val="0"/>
        <w:spacing w:line="360" w:lineRule="exact"/>
      </w:pPr>
      <w:r>
        <w:pict>
          <v:shape id="_x0000_s1928" type="#_x0000_t202" style="position:absolute;margin-left:0.95pt;margin-top:0.1pt;width:492.pt;height:8.7pt;z-index:251657745;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jc w:val="left"/>
                    <w:spacing w:before="0" w:after="0" w:line="150" w:lineRule="exact"/>
                    <w:ind w:left="0" w:right="0" w:firstLine="0"/>
                  </w:pPr>
                  <w:r>
                    <w:rPr>
                      <w:rStyle w:val="CharStyle191"/>
                      <w:lang w:val="ru-RU" w:eastAsia="ru-RU" w:bidi="ru-RU"/>
                      <w:b/>
                      <w:bCs/>
                      <w:i/>
                      <w:iCs/>
                    </w:rPr>
                    <w:t xml:space="preserve">Амринон </w:t>
                  </w:r>
                  <w:r>
                    <w:rPr>
                      <w:rStyle w:val="CharStyle191"/>
                      <w:b/>
                      <w:bCs/>
                      <w:i/>
                      <w:iCs/>
                    </w:rPr>
                    <w:t xml:space="preserve">(Amrinone) </w:t>
                  </w:r>
                  <w:r>
                    <w:rPr>
                      <w:rStyle w:val="CharStyle191"/>
                      <w:lang w:val="ru-RU" w:eastAsia="ru-RU" w:bidi="ru-RU"/>
                      <w:b/>
                      <w:bCs/>
                      <w:i/>
                      <w:iCs/>
                    </w:rPr>
                    <w:t xml:space="preserve">Синонимы: </w:t>
                  </w:r>
                  <w:r>
                    <w:rPr>
                      <w:rStyle w:val="CharStyle191"/>
                      <w:b/>
                      <w:bCs/>
                      <w:i/>
                      <w:iCs/>
                    </w:rPr>
                    <w:t>Inocor, Wincoram</w:t>
                  </w:r>
                </w:p>
              </w:txbxContent>
            </v:textbox>
            <w10:wrap anchorx="margin"/>
          </v:shape>
        </w:pict>
      </w:r>
      <w:r>
        <w:pict>
          <v:shape id="_x0000_s1929" type="#_x0000_t202" style="position:absolute;margin-left:0.95pt;margin-top:52.1pt;width:492.25pt;height:46.55pt;z-index:251657746;mso-wrap-distance-left:5.pt;mso-wrap-distance-right:5.pt;mso-position-horizontal-relative:margin" filled="f" stroked="f">
            <v:textbox style="mso-fit-shape-to-text:t" inset="0,0,0,0">
              <w:txbxContent>
                <w:tbl>
                  <w:tblPr>
                    <w:tblOverlap w:val="never"/>
                    <w:tblLayout w:type="fixed"/>
                    <w:jc w:val="left"/>
                  </w:tblPr>
                  <w:tblGrid>
                    <w:gridCol w:w="2856"/>
                    <w:gridCol w:w="3710"/>
                    <w:gridCol w:w="3278"/>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47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Инфузия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Стартовая доза: 50 мкг/кг более чем за 10-15 мин Поддерживающая доза: 0,1-1 мкг/кг/мин</w:t>
                        </w:r>
                      </w:p>
                    </w:tc>
                    <w:tc>
                      <w:tcPr>
                        <w:shd w:val="clear" w:color="auto" w:fill="FFFFFF"/>
                        <w:tcBorders>
                          <w:left w:val="single" w:sz="4"/>
                          <w:right w:val="single" w:sz="4"/>
                          <w:top w:val="single" w:sz="4"/>
                        </w:tcBorders>
                        <w:vAlign w:val="top"/>
                      </w:tcPr>
                      <w:p>
                        <w:pPr>
                          <w:widowControl w:val="0"/>
                          <w:rPr>
                            <w:sz w:val="10"/>
                            <w:szCs w:val="10"/>
                          </w:rPr>
                        </w:pPr>
                      </w:p>
                    </w:tc>
                  </w:tr>
                  <w:tr>
                    <w:trPr>
                      <w:trHeight w:val="221"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Фармакологическое действие:</w:t>
                        </w:r>
                      </w:p>
                    </w:tc>
                  </w:tr>
                </w:tbl>
              </w:txbxContent>
            </v:textbox>
            <w10:wrap anchorx="margin"/>
          </v:shape>
        </w:pict>
      </w:r>
      <w:r>
        <w:pict>
          <v:shape id="_x0000_s1930" type="#_x0000_t202" style="position:absolute;margin-left:0.95pt;margin-top:22.8pt;width:492.pt;height:28.5pt;z-index:251657747;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Препарат предназначен только для кратковременной терапии острой застойной сердечной недостаточности. Достаточного опыта применения амринона пока не накоплено и назначать его следует с осторожностью, строго следя за состоянием больного.</w:t>
                  </w:r>
                </w:p>
                <w:p>
                  <w:pPr>
                    <w:pStyle w:val="Style182"/>
                    <w:widowControl w:val="0"/>
                    <w:keepNext w:val="0"/>
                    <w:keepLines w:val="0"/>
                    <w:shd w:val="clear" w:color="auto" w:fill="auto"/>
                    <w:bidi w:val="0"/>
                    <w:spacing w:before="0" w:after="0"/>
                    <w:ind w:left="0" w:right="0" w:firstLine="0"/>
                  </w:pPr>
                  <w:r>
                    <w:rPr>
                      <w:rStyle w:val="CharStyle183"/>
                    </w:rPr>
                    <w:t>Начало действия: быстрое.</w:t>
                  </w:r>
                </w:p>
              </w:txbxContent>
            </v:textbox>
            <w10:wrap anchorx="margin"/>
          </v:shape>
        </w:pict>
      </w:r>
      <w:r>
        <w:pict>
          <v:shape id="_x0000_s1931" type="#_x0000_t202" style="position:absolute;margin-left:1.65pt;margin-top:96.pt;width:490.8pt;height:50.85pt;z-index:251657748;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Ингибитор миокардиальной ц-АМФ фосфодиэстеразы, снижает концентрацию внутриклеточной ц-АМФ, что результируется улучше</w:t>
                    <w:softHyphen/>
                    <w:t>нием миокардиальной функции, а также легочной и системной вазодилатацией.</w:t>
                  </w:r>
                </w:p>
                <w:p>
                  <w:pPr>
                    <w:pStyle w:val="Style182"/>
                    <w:widowControl w:val="0"/>
                    <w:keepNext w:val="0"/>
                    <w:keepLines w:val="0"/>
                    <w:shd w:val="clear" w:color="auto" w:fill="auto"/>
                    <w:bidi w:val="0"/>
                    <w:spacing w:before="0" w:after="0"/>
                    <w:ind w:left="0" w:right="0" w:firstLine="0"/>
                  </w:pPr>
                  <w:r>
                    <w:rPr>
                      <w:rStyle w:val="CharStyle183"/>
                    </w:rPr>
                    <w:t>Побочные эффекты: тахиаритмии, артериальная гипотензия, головные боли, редко тромбоцитопения.</w:t>
                  </w:r>
                </w:p>
                <w:p>
                  <w:pPr>
                    <w:pStyle w:val="Style182"/>
                    <w:widowControl w:val="0"/>
                    <w:keepNext w:val="0"/>
                    <w:keepLines w:val="0"/>
                    <w:shd w:val="clear" w:color="auto" w:fill="auto"/>
                    <w:bidi w:val="0"/>
                    <w:spacing w:before="0" w:after="0"/>
                    <w:ind w:left="0" w:right="0" w:firstLine="0"/>
                  </w:pPr>
                  <w:r>
                    <w:rPr>
                      <w:rStyle w:val="CharStyle183"/>
                    </w:rPr>
                    <w:t>Осторожность: при нарушении функции почек.</w:t>
                  </w:r>
                </w:p>
                <w:p>
                  <w:pPr>
                    <w:pStyle w:val="Style182"/>
                    <w:widowControl w:val="0"/>
                    <w:keepNext w:val="0"/>
                    <w:keepLines w:val="0"/>
                    <w:shd w:val="clear" w:color="auto" w:fill="auto"/>
                    <w:bidi w:val="0"/>
                    <w:spacing w:before="0" w:after="0"/>
                    <w:ind w:left="0" w:right="0" w:firstLine="0"/>
                  </w:pPr>
                  <w:r>
                    <w:rPr>
                      <w:rStyle w:val="CharStyle183"/>
                    </w:rPr>
                    <w:t>Противопоказания: тяжелые заболевания, сопровождающиеся обструкцией легочной артерии или аорты.</w:t>
                  </w:r>
                </w:p>
              </w:txbxContent>
            </v:textbox>
            <w10:wrap anchorx="margin"/>
          </v:shape>
        </w:pict>
      </w:r>
      <w:r>
        <w:pict>
          <v:shape id="_x0000_s1932" type="#_x0000_t202" style="position:absolute;margin-left:1.7pt;margin-top:179.5pt;width:76.55pt;height:10.4pt;z-index:251657749;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jc w:val="left"/>
                    <w:spacing w:before="0" w:after="0" w:line="150" w:lineRule="exact"/>
                    <w:ind w:left="0" w:right="0" w:firstLine="0"/>
                  </w:pPr>
                  <w:r>
                    <w:rPr>
                      <w:rStyle w:val="CharStyle191"/>
                      <w:lang w:val="ru-RU" w:eastAsia="ru-RU" w:bidi="ru-RU"/>
                      <w:b/>
                      <w:bCs/>
                      <w:i/>
                      <w:iCs/>
                    </w:rPr>
                    <w:t>Милринон, Примакор</w:t>
                  </w:r>
                </w:p>
              </w:txbxContent>
            </v:textbox>
            <w10:wrap anchorx="margin"/>
          </v:shape>
        </w:pict>
      </w:r>
      <w:r>
        <w:pict>
          <v:shape id="_x0000_s1933" type="#_x0000_t202" style="position:absolute;margin-left:1.2pt;margin-top:191.5pt;width:492.25pt;height:5.e-002pt;z-index:251657750;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Показания</w:t>
                  </w:r>
                </w:p>
                <w:p>
                  <w:pPr>
                    <w:pStyle w:val="Style182"/>
                    <w:widowControl w:val="0"/>
                    <w:keepNext w:val="0"/>
                    <w:keepLines w:val="0"/>
                    <w:shd w:val="clear" w:color="auto" w:fill="auto"/>
                    <w:bidi w:val="0"/>
                    <w:spacing w:before="0" w:after="0"/>
                    <w:ind w:left="0" w:right="0" w:firstLine="0"/>
                  </w:pPr>
                  <w:r>
                    <w:rPr>
                      <w:rStyle w:val="CharStyle183"/>
                    </w:rPr>
                    <w:t>Препарат предназначен только для кратковременной терапии острой застойной сердечной недостаточности. Достаточного опыта применения милринона пока не накоплено и назначать его следует с осторожностью, строго следя за состоянием больного.</w:t>
                  </w:r>
                </w:p>
                <w:tbl>
                  <w:tblPr>
                    <w:tblOverlap w:val="never"/>
                    <w:tblLayout w:type="fixed"/>
                    <w:jc w:val="center"/>
                  </w:tblPr>
                  <w:tblGrid>
                    <w:gridCol w:w="2856"/>
                    <w:gridCol w:w="3706"/>
                    <w:gridCol w:w="3283"/>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47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Инфузия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Стартовая доза: 50 мкг/кг более чем за 10-15 мин Поддерживающая доза: 0,1-1 мкг/кг/мин</w:t>
                        </w:r>
                      </w:p>
                    </w:tc>
                    <w:tc>
                      <w:tcPr>
                        <w:shd w:val="clear" w:color="auto" w:fill="FFFFFF"/>
                        <w:tcBorders>
                          <w:left w:val="single" w:sz="4"/>
                          <w:right w:val="single" w:sz="4"/>
                          <w:top w:val="single" w:sz="4"/>
                        </w:tcBorders>
                        <w:vAlign w:val="top"/>
                      </w:tcPr>
                      <w:p>
                        <w:pPr>
                          <w:widowControl w:val="0"/>
                          <w:rPr>
                            <w:sz w:val="10"/>
                            <w:szCs w:val="10"/>
                          </w:rPr>
                        </w:pPr>
                      </w:p>
                    </w:tc>
                  </w:tr>
                  <w:tr>
                    <w:trPr>
                      <w:trHeight w:val="226"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Механизм действия: ингибитор миокардиальной ц-АМФ фосфодиэстеразы, снижает концентрацию внутриклеточной ц-АМФ, что ре-</w:t>
                        </w:r>
                      </w:p>
                    </w:tc>
                  </w:tr>
                </w:tbl>
                <w:p>
                  <w:pPr>
                    <w:pStyle w:val="Style182"/>
                    <w:widowControl w:val="0"/>
                    <w:keepNext w:val="0"/>
                    <w:keepLines w:val="0"/>
                    <w:shd w:val="clear" w:color="auto" w:fill="auto"/>
                    <w:bidi w:val="0"/>
                    <w:jc w:val="left"/>
                    <w:spacing w:before="0" w:after="0"/>
                    <w:ind w:left="0" w:right="0" w:firstLine="0"/>
                  </w:pPr>
                  <w:r>
                    <w:rPr>
                      <w:rStyle w:val="CharStyle183"/>
                    </w:rPr>
                    <w:t>зультируется улучшением миокардиальной функции, а также легочной и системной вазодилатацией. Побочные эффекты: тахиаритмии, артериальная гипотензия, головные боли, редко тромбоцитопения. Осторожность: при нарушении функции почек.</w:t>
                  </w:r>
                </w:p>
                <w:p>
                  <w:pPr>
                    <w:pStyle w:val="Style182"/>
                    <w:widowControl w:val="0"/>
                    <w:keepNext w:val="0"/>
                    <w:keepLines w:val="0"/>
                    <w:shd w:val="clear" w:color="auto" w:fill="auto"/>
                    <w:bidi w:val="0"/>
                    <w:jc w:val="left"/>
                    <w:spacing w:before="0" w:after="0"/>
                    <w:ind w:left="0" w:right="0" w:firstLine="0"/>
                  </w:pPr>
                  <w:r>
                    <w:rPr>
                      <w:rStyle w:val="CharStyle183"/>
                    </w:rPr>
                    <w:t>Противопоказания: тяжелые заболевания, сопровождающиеся обструкцией легочной артерии или аорты.</w:t>
                  </w:r>
                </w:p>
                <w:p>
                  <w:pPr>
                    <w:widowControl w:val="0"/>
                    <w:rPr>
                      <w:sz w:val="2"/>
                      <w:szCs w:val="2"/>
                    </w:rPr>
                  </w:pPr>
                </w:p>
              </w:txbxContent>
            </v:textbox>
            <w10:wrap anchorx="margin"/>
          </v:shape>
        </w:pict>
      </w:r>
      <w:r>
        <w:pict>
          <v:shape id="_x0000_s1934" type="#_x0000_t202" style="position:absolute;margin-left:1.7pt;margin-top:346.55pt;width:491.5pt;height:63.1pt;z-index:251657751;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Норадреналина гидротартрат </w:t>
                  </w:r>
                  <w:r>
                    <w:rPr>
                      <w:rStyle w:val="CharStyle191"/>
                      <w:b/>
                      <w:bCs/>
                      <w:i/>
                      <w:iCs/>
                    </w:rPr>
                    <w:t xml:space="preserve">(Noradrenalini hydrotartras). </w:t>
                  </w:r>
                  <w:r>
                    <w:rPr>
                      <w:rStyle w:val="CharStyle191"/>
                      <w:lang w:val="ru-RU" w:eastAsia="ru-RU" w:bidi="ru-RU"/>
                      <w:b/>
                      <w:bCs/>
                      <w:i/>
                      <w:iCs/>
                    </w:rPr>
                    <w:t xml:space="preserve">Синонимы: </w:t>
                  </w:r>
                  <w:r>
                    <w:rPr>
                      <w:rStyle w:val="CharStyle191"/>
                      <w:b/>
                      <w:bCs/>
                      <w:i/>
                      <w:iCs/>
                    </w:rPr>
                    <w:t xml:space="preserve">Arterenol, Noradrenalinum hydrotartaricum, Levarterenol, Levarterenoli bitartras, Levarterenol bitartrate, Levophed, Nоrartrinal, Norepinephrine, Norexadrine </w:t>
                  </w:r>
                  <w:r>
                    <w:rPr>
                      <w:rStyle w:val="CharStyle191"/>
                      <w:lang w:val="ru-RU" w:eastAsia="ru-RU" w:bidi="ru-RU"/>
                      <w:b/>
                      <w:bCs/>
                      <w:i/>
                      <w:iCs/>
                    </w:rPr>
                    <w:t>и др.</w:t>
                  </w:r>
                </w:p>
                <w:p>
                  <w:pPr>
                    <w:pStyle w:val="Style45"/>
                    <w:widowControl w:val="0"/>
                    <w:keepNext w:val="0"/>
                    <w:keepLines w:val="0"/>
                    <w:shd w:val="clear" w:color="auto" w:fill="auto"/>
                    <w:bidi w:val="0"/>
                    <w:spacing w:before="0" w:after="0"/>
                    <w:ind w:left="0" w:right="0" w:firstLine="0"/>
                  </w:pPr>
                  <w:r>
                    <w:rPr>
                      <w:rStyle w:val="CharStyle190"/>
                    </w:rPr>
                    <w:t>Показания</w:t>
                  </w:r>
                </w:p>
                <w:p>
                  <w:pPr>
                    <w:pStyle w:val="Style45"/>
                    <w:widowControl w:val="0"/>
                    <w:keepNext w:val="0"/>
                    <w:keepLines w:val="0"/>
                    <w:shd w:val="clear" w:color="auto" w:fill="auto"/>
                    <w:bidi w:val="0"/>
                    <w:spacing w:before="0" w:after="0"/>
                    <w:ind w:left="0" w:right="0" w:firstLine="0"/>
                  </w:pPr>
                  <w:r>
                    <w:rPr>
                      <w:rStyle w:val="CharStyle190"/>
                    </w:rPr>
                    <w:t>Применяют для повышения АД при остром его понижении вследствие хирургических вмешательств, травм, отравлений, сопровождающихся угнетением сосудодвигательных центров и т.п., а также для стабилизации АД при оперативных вмешательствах на симпатической нервной системе после удаления феохромоцитомы и др.</w:t>
                  </w:r>
                </w:p>
              </w:txbxContent>
            </v:textbox>
            <w10:wrap anchorx="margin"/>
          </v:shape>
        </w:pict>
      </w:r>
      <w:r>
        <w:pict>
          <v:shape id="_x0000_s1935" type="#_x0000_t202" style="position:absolute;margin-left:1.2pt;margin-top:410.4pt;width:492.25pt;height:5.e-002pt;z-index:251657752;mso-wrap-distance-left:5.pt;mso-wrap-distance-right:5.pt;mso-position-horizontal-relative:margin" filled="f" stroked="f">
            <v:textbox style="mso-fit-shape-to-text:t" inset="0,0,0,0">
              <w:txbxContent>
                <w:tbl>
                  <w:tblPr>
                    <w:tblOverlap w:val="never"/>
                    <w:tblLayout w:type="fixed"/>
                    <w:jc w:val="center"/>
                  </w:tblPr>
                  <w:tblGrid>
                    <w:gridCol w:w="2856"/>
                    <w:gridCol w:w="3706"/>
                    <w:gridCol w:w="3283"/>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47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Инфузия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92" w:lineRule="exact"/>
                          <w:ind w:left="0" w:right="0" w:firstLine="0"/>
                        </w:pPr>
                        <w:r>
                          <w:rPr>
                            <w:rStyle w:val="CharStyle102"/>
                          </w:rPr>
                          <w:t>0,05-0,1 мкг/кг/мин Максимально 2 мкг/кг/мин</w:t>
                        </w:r>
                      </w:p>
                    </w:tc>
                    <w:tc>
                      <w:tcPr>
                        <w:shd w:val="clear" w:color="auto" w:fill="FFFFFF"/>
                        <w:tcBorders>
                          <w:left w:val="single" w:sz="4"/>
                          <w:right w:val="single" w:sz="4"/>
                          <w:top w:val="single" w:sz="4"/>
                        </w:tcBorders>
                        <w:vAlign w:val="top"/>
                      </w:tcPr>
                      <w:p>
                        <w:pPr>
                          <w:widowControl w:val="0"/>
                          <w:rPr>
                            <w:sz w:val="10"/>
                            <w:szCs w:val="10"/>
                          </w:rPr>
                        </w:pPr>
                      </w:p>
                    </w:tc>
                  </w:tr>
                  <w:tr>
                    <w:trPr>
                      <w:trHeight w:val="221"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Фармакологическое действие</w:t>
                        </w:r>
                      </w:p>
                    </w:tc>
                  </w:tr>
                </w:tbl>
                <w:p>
                  <w:pPr>
                    <w:widowControl w:val="0"/>
                    <w:rPr>
                      <w:sz w:val="2"/>
                      <w:szCs w:val="2"/>
                    </w:rPr>
                  </w:pPr>
                </w:p>
              </w:txbxContent>
            </v:textbox>
            <w10:wrap anchorx="margin"/>
          </v:shape>
        </w:pict>
      </w:r>
      <w:r>
        <w:pict>
          <v:shape id="_x0000_s1936" type="#_x0000_t202" style="position:absolute;margin-left:1.45pt;margin-top:454.55pt;width:491.5pt;height:128.4pt;z-index:251657753;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 xml:space="preserve">Действие норадреналина связано с преимущественным влиянием на </w:t>
                  </w:r>
                  <w:r>
                    <w:rPr>
                      <w:rStyle w:val="CharStyle190"/>
                      <w:lang w:val="en-US" w:eastAsia="en-US" w:bidi="en-US"/>
                    </w:rPr>
                    <w:t>ai</w:t>
                  </w:r>
                  <w:r>
                    <w:rPr>
                      <w:rStyle w:val="CharStyle190"/>
                    </w:rPr>
                    <w:t>-адренорецепторы. Отличается от адреналина более сильным со</w:t>
                    <w:softHyphen/>
                    <w:t>судосуживающим и прессорным действием, меньшим стимулирующим влиянием на сокращения сердца, слабым бронхолитическим эф</w:t>
                    <w:softHyphen/>
                    <w:t>фектом, слабым влиянием на обмен веществ (отсутствие выраженного гипергликемического эффекта). Кардиотропное действие норад</w:t>
                    <w:softHyphen/>
                    <w:t>реналина связано со стимулирующим его влиянием на в-адренорецепторы сердца, однако в-адреностимулирующее действие маскиру</w:t>
                    <w:softHyphen/>
                    <w:t>ется рефлекторной брадикардией и повышением тонуса блуждающего нерва, вызванными повышением АД. Введение норадреналина вызывает увеличение сердечного выброса, вследствие повышения артериального давления возрастает перфузионное давление в коро</w:t>
                    <w:softHyphen/>
                    <w:t>нарных артериях. Вместе с тем значительно возрастает периферическое сосудистое сопротивление и центральное венозное давление. Противопоказания</w:t>
                  </w:r>
                </w:p>
                <w:p>
                  <w:pPr>
                    <w:pStyle w:val="Style45"/>
                    <w:widowControl w:val="0"/>
                    <w:keepNext w:val="0"/>
                    <w:keepLines w:val="0"/>
                    <w:shd w:val="clear" w:color="auto" w:fill="auto"/>
                    <w:bidi w:val="0"/>
                    <w:jc w:val="left"/>
                    <w:spacing w:before="0" w:after="0"/>
                    <w:ind w:left="0" w:right="0" w:firstLine="0"/>
                  </w:pPr>
                  <w:r>
                    <w:rPr>
                      <w:rStyle w:val="CharStyle190"/>
                    </w:rPr>
                    <w:t>При фторотановом и циклопропановом наркозе. Не следует применять норадреналин также при полной атриовентрикулярной блокаде, феохромоцитоме, выраженной артериальной гипертензии, желудочковых тахиаритмиях, тяжелых заболеваниях коронарных артерий. Побочные эффекты: гипертония, аритмии, головная боль, беспокойство, рвота, сокращения матки, респираторный дистресс, потение. Осторожность: аритмия, гипертония, окклюзивные заболевания сосудов. Экстравазация жидкости приводит к некрозу ткани (в случае возникновения необходимо инфильтрировать ткань вокруг места попадания жидкости фентоламином).</w:t>
                  </w:r>
                </w:p>
              </w:txbxContent>
            </v:textbox>
            <w10:wrap anchorx="margin"/>
          </v:shape>
        </w:pict>
      </w:r>
      <w:r>
        <w:pict>
          <v:shape id="_x0000_s1937" type="#_x0000_t75" style="position:absolute;margin-left:136.55pt;margin-top:721.45pt;width:209.75pt;height:14.9pt;z-index:-251658618;mso-wrap-distance-left:5.pt;mso-wrap-distance-right:5.pt;mso-position-horizontal-relative:margin" wrapcoords="0 0">
            <v:imagedata r:id="rId1419" r:href="rId1420"/>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83" w:lineRule="exact"/>
      </w:pPr>
    </w:p>
    <w:p>
      <w:pPr>
        <w:widowControl w:val="0"/>
        <w:rPr>
          <w:sz w:val="2"/>
          <w:szCs w:val="2"/>
        </w:rPr>
        <w:sectPr>
          <w:pgSz w:w="11900" w:h="16840"/>
          <w:pgMar w:top="2297" w:left="1124" w:right="898" w:bottom="162" w:header="0" w:footer="3" w:gutter="0"/>
          <w:rtlGutter w:val="0"/>
          <w:cols w:space="720"/>
          <w:noEndnote/>
          <w:docGrid w:linePitch="360"/>
        </w:sectPr>
      </w:pPr>
    </w:p>
    <w:p>
      <w:pPr>
        <w:widowControl w:val="0"/>
        <w:spacing w:line="360" w:lineRule="exact"/>
      </w:pPr>
      <w:r>
        <w:pict>
          <v:shape id="_x0000_s1938" type="#_x0000_t202" style="position:absolute;margin-left:11.75pt;margin-top:0.1pt;width:169.45pt;height:11.4pt;z-index:251657754;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АНТИАРИТМИЧЕСКИЕ ПРЕПАРАТЫ</w:t>
                  </w:r>
                </w:p>
              </w:txbxContent>
            </v:textbox>
            <w10:wrap anchorx="margin"/>
          </v:shape>
        </w:pict>
      </w:r>
      <w:r>
        <w:pict>
          <v:shape id="_x0000_s1939" type="#_x0000_t202" style="position:absolute;margin-left:5.e-002pt;margin-top:27.85pt;width:492.25pt;height:8.95pt;z-index:251657755;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jc w:val="left"/>
                    <w:spacing w:before="0" w:after="0" w:line="150" w:lineRule="exact"/>
                    <w:ind w:left="0" w:right="0" w:firstLine="0"/>
                  </w:pPr>
                  <w:r>
                    <w:rPr>
                      <w:rStyle w:val="CharStyle191"/>
                      <w:lang w:val="ru-RU" w:eastAsia="ru-RU" w:bidi="ru-RU"/>
                      <w:b/>
                      <w:bCs/>
                      <w:i/>
                      <w:iCs/>
                    </w:rPr>
                    <w:t>Аденозин</w:t>
                  </w:r>
                </w:p>
              </w:txbxContent>
            </v:textbox>
            <w10:wrap anchorx="margin"/>
          </v:shape>
        </w:pict>
      </w:r>
      <w:r>
        <w:pict>
          <v:shape id="_x0000_s1940" type="#_x0000_t202" style="position:absolute;margin-left:5.e-002pt;margin-top:80.15pt;width:492.95pt;height:64.3pt;z-index:251657756;mso-wrap-distance-left:5.pt;mso-wrap-distance-right:5.pt;mso-position-horizontal-relative:margin" filled="f" stroked="f">
            <v:textbox style="mso-fit-shape-to-text:t" inset="0,0,0,0">
              <w:txbxContent>
                <w:tbl>
                  <w:tblPr>
                    <w:tblOverlap w:val="never"/>
                    <w:tblLayout w:type="fixed"/>
                    <w:jc w:val="left"/>
                  </w:tblPr>
                  <w:tblGrid>
                    <w:gridCol w:w="2842"/>
                    <w:gridCol w:w="3739"/>
                    <w:gridCol w:w="3278"/>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816"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В/в</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0,1 мг/кг. Можно увеличивать скорость введения на 0,05 каждые 2 минуты до суммарной скорости 0,25 мг/кг.</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Максимальная разовая доза 12 мг.</w:t>
                        </w:r>
                      </w:p>
                    </w:tc>
                    <w:tc>
                      <w:tcPr>
                        <w:shd w:val="clear" w:color="auto" w:fill="FFFFFF"/>
                        <w:tcBorders>
                          <w:left w:val="single" w:sz="4"/>
                          <w:right w:val="single" w:sz="4"/>
                          <w:top w:val="single" w:sz="4"/>
                        </w:tcBorders>
                        <w:vAlign w:val="top"/>
                      </w:tcPr>
                      <w:p>
                        <w:pPr>
                          <w:widowControl w:val="0"/>
                          <w:rPr>
                            <w:sz w:val="10"/>
                            <w:szCs w:val="10"/>
                          </w:rPr>
                        </w:pPr>
                      </w:p>
                    </w:tc>
                  </w:tr>
                  <w:tr>
                    <w:trPr>
                      <w:trHeight w:val="226"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Фармакологическое действие:</w:t>
                        </w:r>
                      </w:p>
                    </w:tc>
                  </w:tr>
                </w:tbl>
              </w:txbxContent>
            </v:textbox>
            <w10:wrap anchorx="margin"/>
          </v:shape>
        </w:pict>
      </w:r>
      <w:r>
        <w:pict>
          <v:shape id="_x0000_s1941" type="#_x0000_t202" style="position:absolute;margin-left:5.e-002pt;margin-top:50.65pt;width:492.25pt;height:28.75pt;z-index:251657757;mso-wrap-distance-left:5.pt;mso-wrap-distance-right:5.pt;mso-position-horizontal-relative:margin" filled="f" stroked="f">
            <v:textbox style="mso-fit-shape-to-text:t" inset="0,0,0,0">
              <w:txbxContent>
                <w:p>
                  <w:pPr>
                    <w:pStyle w:val="Style96"/>
                    <w:widowControl w:val="0"/>
                    <w:keepNext w:val="0"/>
                    <w:keepLines w:val="0"/>
                    <w:shd w:val="clear" w:color="auto" w:fill="auto"/>
                    <w:bidi w:val="0"/>
                    <w:jc w:val="both"/>
                    <w:spacing w:before="0" w:after="0" w:line="192" w:lineRule="exact"/>
                    <w:ind w:left="0" w:right="0" w:firstLine="0"/>
                  </w:pPr>
                  <w:r>
                    <w:rPr>
                      <w:rStyle w:val="CharStyle97"/>
                    </w:rPr>
                    <w:t xml:space="preserve">Для болюсного в/в введения — купирование пароксизмальной наджелудочковой тахикардии, в т.ч. ассоциированной с синдромом </w:t>
                  </w:r>
                  <w:r>
                    <w:rPr>
                      <w:rStyle w:val="CharStyle97"/>
                      <w:lang w:val="en-US" w:eastAsia="en-US" w:bidi="en-US"/>
                    </w:rPr>
                    <w:t xml:space="preserve">WPW. </w:t>
                  </w:r>
                  <w:r>
                    <w:rPr>
                      <w:rStyle w:val="CharStyle97"/>
                    </w:rPr>
                    <w:t>Для в/в инфузии — в качестве вспомогательного диагностического средства (проведение двухмерной эхокардиографии, сцинтиграфии) в кардиологии.</w:t>
                  </w:r>
                </w:p>
              </w:txbxContent>
            </v:textbox>
            <w10:wrap anchorx="margin"/>
          </v:shape>
        </w:pict>
      </w:r>
      <w:r>
        <w:pict>
          <v:shape id="_x0000_s1942" type="#_x0000_t202" style="position:absolute;margin-left:0.25pt;margin-top:141.8pt;width:492.25pt;height:175.65pt;z-index:251657758;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 xml:space="preserve">Эндогенное биологически активное вещество, принимает участие в различных процессах в организме. Оказывает антиаритмическое действие (главным образом при наджелудочковых тахиаритмиях). Замедляет </w:t>
                  </w:r>
                  <w:r>
                    <w:rPr>
                      <w:rStyle w:val="CharStyle90"/>
                      <w:lang w:val="en-US" w:eastAsia="en-US" w:bidi="en-US"/>
                    </w:rPr>
                    <w:t xml:space="preserve">AV </w:t>
                  </w:r>
                  <w:r>
                    <w:rPr>
                      <w:rStyle w:val="CharStyle90"/>
                    </w:rPr>
                    <w:t>проводимость, увеличивает рефрактерность АУ узла, мо</w:t>
                    <w:softHyphen/>
                    <w:t xml:space="preserve">жет прерывать пути повторного входа возбуждения в </w:t>
                  </w:r>
                  <w:r>
                    <w:rPr>
                      <w:rStyle w:val="CharStyle90"/>
                      <w:lang w:val="en-US" w:eastAsia="en-US" w:bidi="en-US"/>
                    </w:rPr>
                    <w:t xml:space="preserve">AV </w:t>
                  </w:r>
                  <w:r>
                    <w:rPr>
                      <w:rStyle w:val="CharStyle90"/>
                    </w:rPr>
                    <w:t>узле, понижает автоматизм синусового узла. Оказывает также сосудорасширяю</w:t>
                    <w:softHyphen/>
                    <w:t>щее действие, в т.ч. коронарорасширяющее. Может вызвать артериальную гипотензию (главным образом при медленной в/в инфузии). Полагают, что возникновение многих эффектов аденозина обусловлено активацией специфических аденозиновых рецепторов. Адено</w:t>
                    <w:softHyphen/>
                    <w:t>зин характеризуется чрезвычайно коротким периодом полужизни — менее 10 сек.</w:t>
                  </w:r>
                </w:p>
                <w:p>
                  <w:pPr>
                    <w:pStyle w:val="Style30"/>
                    <w:widowControl w:val="0"/>
                    <w:keepNext w:val="0"/>
                    <w:keepLines w:val="0"/>
                    <w:shd w:val="clear" w:color="auto" w:fill="auto"/>
                    <w:bidi w:val="0"/>
                    <w:spacing w:before="0" w:after="0" w:line="192" w:lineRule="exact"/>
                    <w:ind w:left="0" w:right="0" w:firstLine="0"/>
                  </w:pPr>
                  <w:r>
                    <w:rPr>
                      <w:rStyle w:val="CharStyle90"/>
                    </w:rPr>
                    <w:t>Побочное 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Обычно преходящее. Возможны покраснение лица, дискомфорт в груди, диспноэ, головная боль, головокружение, парестезии, дипло</w:t>
                    <w:softHyphen/>
                    <w:t xml:space="preserve">пия, нервозность, боли в горле, шее, нижней челюсти, потливость, тошнота, металлический привкус во рту, нарушения </w:t>
                  </w:r>
                  <w:r>
                    <w:rPr>
                      <w:rStyle w:val="CharStyle90"/>
                      <w:lang w:val="en-US" w:eastAsia="en-US" w:bidi="en-US"/>
                    </w:rPr>
                    <w:t xml:space="preserve">AV </w:t>
                  </w:r>
                  <w:r>
                    <w:rPr>
                      <w:rStyle w:val="CharStyle90"/>
                    </w:rPr>
                    <w:t>проводимос</w:t>
                    <w:softHyphen/>
                    <w:t>ти, брадикардия, артериальная гипотензия, бронхоспазм.</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lang w:val="en-US" w:eastAsia="en-US" w:bidi="en-US"/>
                    </w:rPr>
                    <w:t xml:space="preserve">AV </w:t>
                  </w:r>
                  <w:r>
                    <w:rPr>
                      <w:rStyle w:val="CharStyle90"/>
                    </w:rPr>
                    <w:t>блокада II и III степени (за исключением пациентов с искусственным водителем ритма), СССУ (за исключением пациентов с искус</w:t>
                    <w:softHyphen/>
                    <w:t>ственным водителем ритма), желудочковая тахикардия, повышенная чувствительность к аденозину.</w:t>
                  </w:r>
                </w:p>
                <w:p>
                  <w:pPr>
                    <w:pStyle w:val="Style30"/>
                    <w:widowControl w:val="0"/>
                    <w:keepNext w:val="0"/>
                    <w:keepLines w:val="0"/>
                    <w:shd w:val="clear" w:color="auto" w:fill="auto"/>
                    <w:bidi w:val="0"/>
                    <w:spacing w:before="0" w:after="0" w:line="192" w:lineRule="exact"/>
                    <w:ind w:left="0" w:right="0" w:firstLine="0"/>
                  </w:pPr>
                  <w:r>
                    <w:rPr>
                      <w:rStyle w:val="CharStyle90"/>
                    </w:rPr>
                    <w:t>Особые указания:</w:t>
                  </w:r>
                </w:p>
                <w:p>
                  <w:pPr>
                    <w:pStyle w:val="Style30"/>
                    <w:widowControl w:val="0"/>
                    <w:keepNext w:val="0"/>
                    <w:keepLines w:val="0"/>
                    <w:shd w:val="clear" w:color="auto" w:fill="auto"/>
                    <w:bidi w:val="0"/>
                    <w:spacing w:before="0" w:after="0" w:line="192" w:lineRule="exact"/>
                    <w:ind w:left="0" w:right="0" w:firstLine="0"/>
                  </w:pPr>
                  <w:r>
                    <w:rPr>
                      <w:rStyle w:val="CharStyle90"/>
                    </w:rPr>
                    <w:t>С особой осторожностью применяют аденозин у пациентов с нарушениями проводимости, синусовой брадикардией, нестабильной сте</w:t>
                    <w:softHyphen/>
                    <w:t>нокардией, а также у больных с пороками сердца, перикардитом, гиповолемией, бронхиальной астмой.</w:t>
                  </w:r>
                </w:p>
                <w:p>
                  <w:pPr>
                    <w:pStyle w:val="Style30"/>
                    <w:widowControl w:val="0"/>
                    <w:keepNext w:val="0"/>
                    <w:keepLines w:val="0"/>
                    <w:shd w:val="clear" w:color="auto" w:fill="auto"/>
                    <w:bidi w:val="0"/>
                    <w:spacing w:before="0" w:after="0" w:line="192" w:lineRule="exact"/>
                    <w:ind w:left="0" w:right="0" w:firstLine="0"/>
                  </w:pPr>
                  <w:r>
                    <w:rPr>
                      <w:rStyle w:val="CharStyle90"/>
                    </w:rPr>
                    <w:t>При одновременном применении с дипиридамолом происходит усиление эффектов аденозина; с метилксантинами (теофиллином, ко</w:t>
                    <w:softHyphen/>
                    <w:t>феином) — проявляется антагонизм в отношении эффектов аденозина; с карбамазепином — риск развития блокады сердца.</w:t>
                  </w:r>
                </w:p>
              </w:txbxContent>
            </v:textbox>
            <w10:wrap anchorx="margin"/>
          </v:shape>
        </w:pict>
      </w:r>
      <w:r>
        <w:pict>
          <v:shape id="_x0000_s1943" type="#_x0000_t202" style="position:absolute;margin-left:0.95pt;margin-top:347.75pt;width:493.45pt;height:70.75pt;z-index:251657759;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line="150" w:lineRule="exact"/>
                    <w:ind w:left="0" w:right="0" w:firstLine="0"/>
                  </w:pPr>
                  <w:r>
                    <w:rPr>
                      <w:rStyle w:val="CharStyle191"/>
                      <w:lang w:val="ru-RU" w:eastAsia="ru-RU" w:bidi="ru-RU"/>
                      <w:b/>
                      <w:bCs/>
                      <w:i/>
                      <w:iCs/>
                    </w:rPr>
                    <w:t xml:space="preserve">Аденокор </w:t>
                  </w:r>
                  <w:r>
                    <w:rPr>
                      <w:rStyle w:val="CharStyle191"/>
                      <w:b/>
                      <w:bCs/>
                      <w:i/>
                      <w:iCs/>
                    </w:rPr>
                    <w:t>(Adenocor)</w:t>
                  </w:r>
                </w:p>
                <w:p>
                  <w:pPr>
                    <w:pStyle w:val="Style30"/>
                    <w:widowControl w:val="0"/>
                    <w:keepNext w:val="0"/>
                    <w:keepLines w:val="0"/>
                    <w:shd w:val="clear" w:color="auto" w:fill="auto"/>
                    <w:bidi w:val="0"/>
                    <w:spacing w:before="0" w:after="0" w:line="192" w:lineRule="exact"/>
                    <w:ind w:left="0" w:right="0" w:firstLine="0"/>
                  </w:pPr>
                  <w:r>
                    <w:rPr>
                      <w:rStyle w:val="CharStyle90"/>
                    </w:rPr>
                    <w:t>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 xml:space="preserve">Пароксизмальная наджелудочковая тахикардия (в том числе при </w:t>
                  </w:r>
                  <w:r>
                    <w:rPr>
                      <w:rStyle w:val="CharStyle90"/>
                      <w:lang w:val="en-US" w:eastAsia="en-US" w:bidi="en-US"/>
                    </w:rPr>
                    <w:t>'WPW</w:t>
                  </w:r>
                  <w:r>
                    <w:rPr>
                      <w:rStyle w:val="CharStyle90"/>
                    </w:rPr>
                    <w:t xml:space="preserve">-синдроме), дифференциальная диагностика наджелудочковых тахиаритмий (тахикардия с уширенными комплексами </w:t>
                  </w:r>
                  <w:r>
                    <w:rPr>
                      <w:rStyle w:val="CharStyle90"/>
                      <w:lang w:val="en-US" w:eastAsia="en-US" w:bidi="en-US"/>
                    </w:rPr>
                    <w:t xml:space="preserve">QRS), </w:t>
                  </w:r>
                  <w:r>
                    <w:rPr>
                      <w:rStyle w:val="CharStyle90"/>
                    </w:rPr>
                    <w:t xml:space="preserve">диагностические электрофизиологические исследования (определение локализации </w:t>
                  </w:r>
                  <w:r>
                    <w:rPr>
                      <w:rStyle w:val="CharStyle90"/>
                      <w:lang w:val="en-US" w:eastAsia="en-US" w:bidi="en-US"/>
                    </w:rPr>
                    <w:t xml:space="preserve">AV </w:t>
                  </w:r>
                  <w:r>
                    <w:rPr>
                      <w:rStyle w:val="CharStyle90"/>
                    </w:rPr>
                    <w:t>блока), ИБС, хронический облитерирующий эндартериит, тромбофлебит, хроническая венозная недостаточность, тромбозы вен; диабетическая ретинопатия, язвенная болезнь двенадцатиперстной кишки, рассеянный склероз, острая перемежающаяся порфирия, отравление свинцом.</w:t>
                  </w:r>
                </w:p>
              </w:txbxContent>
            </v:textbox>
            <w10:wrap anchorx="margin"/>
          </v:shape>
        </w:pict>
      </w:r>
      <w:r>
        <w:pict>
          <v:shape id="_x0000_s1944" type="#_x0000_t202" style="position:absolute;margin-left:0.95pt;margin-top:419.05pt;width:493.7pt;height:5.e-002pt;z-index:251657760;mso-wrap-distance-left:5.pt;mso-wrap-distance-right:5.pt;mso-position-horizontal-relative:margin" filled="f" stroked="f">
            <v:textbox style="mso-fit-shape-to-text:t" inset="0,0,0,0">
              <w:txbxContent>
                <w:tbl>
                  <w:tblPr>
                    <w:tblOverlap w:val="never"/>
                    <w:tblLayout w:type="fixed"/>
                    <w:jc w:val="center"/>
                  </w:tblPr>
                  <w:tblGrid>
                    <w:gridCol w:w="1445"/>
                    <w:gridCol w:w="5923"/>
                    <w:gridCol w:w="2506"/>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1392"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В/в</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 xml:space="preserve">Для купирования пароксизмальной наджелудочковой тахикардии и при диагностических исследованиях — в/в, быстро (в течение 2 с) — 3 мг, дополнительно — 6 мг через 1-2 мин, если нет эффекта — еще 12 мг через 1-2 мин. В/в введение допустимо только в условиях стационара, где есть возможность мониторинга деятельности сердца. Для пациентов, у которых назначение аденозина осложнилось </w:t>
                        </w:r>
                        <w:r>
                          <w:rPr>
                            <w:lang w:val="en-US" w:eastAsia="en-US" w:bidi="en-US"/>
                            <w:w w:val="100"/>
                            <w:spacing w:val="0"/>
                            <w:color w:val="000000"/>
                            <w:position w:val="0"/>
                          </w:rPr>
                          <w:t xml:space="preserve">AV </w:t>
                        </w:r>
                        <w:r>
                          <w:rPr>
                            <w:lang w:val="ru-RU" w:eastAsia="ru-RU" w:bidi="ru-RU"/>
                            <w:w w:val="100"/>
                            <w:spacing w:val="0"/>
                            <w:color w:val="000000"/>
                            <w:position w:val="0"/>
                          </w:rPr>
                          <w:t>блокадой, при необходимости повторного введения доза не должна превышать первоначальную.</w:t>
                        </w:r>
                      </w:p>
                    </w:tc>
                    <w:tc>
                      <w:tcPr>
                        <w:shd w:val="clear" w:color="auto" w:fill="FFFFFF"/>
                        <w:tcBorders>
                          <w:left w:val="single" w:sz="4"/>
                          <w:right w:val="single" w:sz="4"/>
                          <w:top w:val="single" w:sz="4"/>
                        </w:tcBorders>
                        <w:vAlign w:val="top"/>
                      </w:tcPr>
                      <w:p>
                        <w:pPr>
                          <w:widowControl w:val="0"/>
                          <w:rPr>
                            <w:sz w:val="10"/>
                            <w:szCs w:val="10"/>
                          </w:rPr>
                        </w:pPr>
                      </w:p>
                    </w:tc>
                  </w:tr>
                  <w:tr>
                    <w:trPr>
                      <w:trHeight w:val="226"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Фармакологическое действие:</w:t>
                        </w:r>
                      </w:p>
                    </w:tc>
                  </w:tr>
                </w:tbl>
                <w:p>
                  <w:pPr>
                    <w:widowControl w:val="0"/>
                    <w:rPr>
                      <w:sz w:val="2"/>
                      <w:szCs w:val="2"/>
                    </w:rPr>
                  </w:pPr>
                </w:p>
              </w:txbxContent>
            </v:textbox>
            <w10:wrap anchorx="margin"/>
          </v:shape>
        </w:pict>
      </w:r>
      <w:r>
        <w:pict>
          <v:shape id="_x0000_s1945" type="#_x0000_t202" style="position:absolute;margin-left:1.2pt;margin-top:509.5pt;width:493.45pt;height:137.25pt;z-index:251657761;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 xml:space="preserve">Регулирует окислительно-восстановительные процессы, снижает образование порфиринов, влияет на метаболические процессы (в том числе в миокарде), оказывает сосудорасширяющее, антиагрегационное и антиаритмическое действие, кратковременно замедляет </w:t>
                  </w:r>
                  <w:r>
                    <w:rPr>
                      <w:rStyle w:val="CharStyle90"/>
                      <w:lang w:val="en-US" w:eastAsia="en-US" w:bidi="en-US"/>
                    </w:rPr>
                    <w:t xml:space="preserve">AV </w:t>
                  </w:r>
                  <w:r>
                    <w:rPr>
                      <w:rStyle w:val="CharStyle90"/>
                    </w:rPr>
                    <w:t>проводимость, способствуя восстановлению нормального синусового ритма у больных с пароксизмальной наджелудочковой тахикарди</w:t>
                    <w:softHyphen/>
                    <w:t>ей.</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lang w:val="en-US" w:eastAsia="en-US" w:bidi="en-US"/>
                    </w:rPr>
                    <w:t xml:space="preserve">AV </w:t>
                  </w:r>
                  <w:r>
                    <w:rPr>
                      <w:rStyle w:val="CharStyle90"/>
                    </w:rPr>
                    <w:t>блокада II и III степени или синдром слабости синусового узла (за исключением больных с искусственным водителем ритма), гемор</w:t>
                    <w:softHyphen/>
                    <w:t>рагический инсульт, инфаркт миокарда в анамнезе, беременность, детский возраст.</w:t>
                  </w:r>
                </w:p>
                <w:p>
                  <w:pPr>
                    <w:pStyle w:val="Style30"/>
                    <w:widowControl w:val="0"/>
                    <w:keepNext w:val="0"/>
                    <w:keepLines w:val="0"/>
                    <w:shd w:val="clear" w:color="auto" w:fill="auto"/>
                    <w:bidi w:val="0"/>
                    <w:spacing w:before="0" w:after="0" w:line="192" w:lineRule="exact"/>
                    <w:ind w:left="0" w:right="0" w:firstLine="0"/>
                  </w:pPr>
                  <w:r>
                    <w:rPr>
                      <w:rStyle w:val="CharStyle90"/>
                    </w:rPr>
                    <w:t>Ограничения к применению</w:t>
                  </w:r>
                </w:p>
                <w:p>
                  <w:pPr>
                    <w:pStyle w:val="Style30"/>
                    <w:widowControl w:val="0"/>
                    <w:keepNext w:val="0"/>
                    <w:keepLines w:val="0"/>
                    <w:shd w:val="clear" w:color="auto" w:fill="auto"/>
                    <w:bidi w:val="0"/>
                    <w:spacing w:before="0" w:after="0" w:line="192" w:lineRule="exact"/>
                    <w:ind w:left="0" w:right="0" w:firstLine="0"/>
                  </w:pPr>
                  <w:r>
                    <w:rPr>
                      <w:rStyle w:val="CharStyle90"/>
                    </w:rPr>
                    <w:t>Применение при беременности и кормлении грудью допустимо (в случае крайней необходимости).</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spacing w:before="0" w:after="0" w:line="192" w:lineRule="exact"/>
                    <w:ind w:left="0" w:right="0" w:firstLine="0"/>
                  </w:pPr>
                  <w:r>
                    <w:rPr>
                      <w:rStyle w:val="CharStyle90"/>
                    </w:rPr>
                    <w:t xml:space="preserve">Головокружение, фобия, неясность зрения, головная боль, боли в области сердца, тахи-, брадикардия, </w:t>
                  </w:r>
                  <w:r>
                    <w:rPr>
                      <w:rStyle w:val="CharStyle90"/>
                      <w:lang w:val="en-US" w:eastAsia="en-US" w:bidi="en-US"/>
                    </w:rPr>
                    <w:t xml:space="preserve">AV </w:t>
                  </w:r>
                  <w:r>
                    <w:rPr>
                      <w:rStyle w:val="CharStyle90"/>
                    </w:rPr>
                    <w:t>блокада, приливы, металличе</w:t>
                    <w:softHyphen/>
                    <w:t>ский привкус во рту, тошнота, гипервентиляция, бронхоспазм, усиленное потоотделение, боли в руках, спине и шее.</w:t>
                  </w:r>
                </w:p>
                <w:p>
                  <w:pPr>
                    <w:pStyle w:val="Style30"/>
                    <w:widowControl w:val="0"/>
                    <w:keepNext w:val="0"/>
                    <w:keepLines w:val="0"/>
                    <w:shd w:val="clear" w:color="auto" w:fill="auto"/>
                    <w:bidi w:val="0"/>
                    <w:spacing w:before="0" w:after="0" w:line="192" w:lineRule="exact"/>
                    <w:ind w:left="0" w:right="0" w:firstLine="0"/>
                  </w:pPr>
                  <w:r>
                    <w:rPr>
                      <w:rStyle w:val="CharStyle90"/>
                    </w:rPr>
                    <w:t>Взаимодействие: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Дипиридамол усиливает эффект; теофиллин, кофеин и другие ксантины — ослабляют.</w:t>
                  </w:r>
                </w:p>
              </w:txbxContent>
            </v:textbox>
            <w10:wrap anchorx="margin"/>
          </v:shape>
        </w:pict>
      </w:r>
      <w:r>
        <w:pict>
          <v:shape id="_x0000_s1946" type="#_x0000_t75" style="position:absolute;margin-left:147.85pt;margin-top:725.5pt;width:209.75pt;height:14.9pt;z-index:-251658617;mso-wrap-distance-left:5.pt;mso-wrap-distance-right:5.pt;mso-position-horizontal-relative:margin" wrapcoords="0 0">
            <v:imagedata r:id="rId1421" r:href="rId1422"/>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63" w:lineRule="exact"/>
      </w:pPr>
    </w:p>
    <w:p>
      <w:pPr>
        <w:widowControl w:val="0"/>
        <w:rPr>
          <w:sz w:val="2"/>
          <w:szCs w:val="2"/>
        </w:rPr>
        <w:sectPr>
          <w:pgSz w:w="11900" w:h="16840"/>
          <w:pgMar w:top="2792" w:left="898" w:right="1109" w:bottom="177" w:header="0" w:footer="3" w:gutter="0"/>
          <w:rtlGutter w:val="0"/>
          <w:cols w:space="720"/>
          <w:noEndnote/>
          <w:docGrid w:linePitch="360"/>
        </w:sectPr>
      </w:pPr>
    </w:p>
    <w:p>
      <w:pPr>
        <w:widowControl w:val="0"/>
        <w:spacing w:line="360" w:lineRule="exact"/>
      </w:pPr>
      <w:r>
        <w:pict>
          <v:shape id="_x0000_s1947" type="#_x0000_t202" style="position:absolute;margin-left:0.95pt;margin-top:0.1pt;width:491.75pt;height:28.3pt;z-index:251657762;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Анаприлин </w:t>
                  </w:r>
                  <w:r>
                    <w:rPr>
                      <w:rStyle w:val="CharStyle191"/>
                      <w:b/>
                      <w:bCs/>
                      <w:i/>
                      <w:iCs/>
                    </w:rPr>
                    <w:t xml:space="preserve">(Anaprilinum) </w:t>
                  </w:r>
                  <w:r>
                    <w:rPr>
                      <w:rStyle w:val="CharStyle191"/>
                      <w:lang w:val="ru-RU" w:eastAsia="ru-RU" w:bidi="ru-RU"/>
                      <w:b/>
                      <w:bCs/>
                      <w:i/>
                      <w:iCs/>
                    </w:rPr>
                    <w:t xml:space="preserve">Синонимы: Индерал, Обзидан, Пропранолол, Стобетин, </w:t>
                  </w:r>
                  <w:r>
                    <w:rPr>
                      <w:rStyle w:val="CharStyle191"/>
                      <w:b/>
                      <w:bCs/>
                      <w:i/>
                      <w:iCs/>
                    </w:rPr>
                    <w:t xml:space="preserve">Alindol, Angilol, Antarol, Avlocardyl, Bedranol, Betadren, Bricoran, Cardinol, Caridorol, Dederal, Deralin, Dociton, Elanol, Eliblok, Inderal, Inderex, Naprilin, Noloten, Obsidan, Opranol, Propanur, Propral, Propranolol hydrochloride, Pylapron, Sloprolol, Stobetin, Tenomal, Tiperal </w:t>
                  </w:r>
                  <w:r>
                    <w:rPr>
                      <w:rStyle w:val="CharStyle191"/>
                      <w:lang w:val="ru-RU" w:eastAsia="ru-RU" w:bidi="ru-RU"/>
                      <w:b/>
                      <w:bCs/>
                      <w:i/>
                      <w:iCs/>
                    </w:rPr>
                    <w:t>и др.</w:t>
                  </w:r>
                </w:p>
              </w:txbxContent>
            </v:textbox>
            <w10:wrap anchorx="margin"/>
          </v:shape>
        </w:pict>
      </w:r>
      <w:r>
        <w:pict>
          <v:shape id="_x0000_s1948" type="#_x0000_t202" style="position:absolute;margin-left:0.95pt;margin-top:80.85pt;width:492.25pt;height:25.45pt;z-index:251657763;mso-wrap-distance-left:5.pt;mso-wrap-distance-right:5.pt;mso-position-horizontal-relative:margin" filled="f" stroked="f">
            <v:textbox style="mso-fit-shape-to-text:t" inset="0,0,0,0">
              <w:txbxContent>
                <w:tbl>
                  <w:tblPr>
                    <w:tblOverlap w:val="never"/>
                    <w:tblLayout w:type="fixed"/>
                    <w:jc w:val="left"/>
                  </w:tblPr>
                  <w:tblGrid>
                    <w:gridCol w:w="2856"/>
                    <w:gridCol w:w="3710"/>
                    <w:gridCol w:w="3278"/>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69"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0,25-0,5 мг/кг</w:t>
                        </w:r>
                      </w:p>
                    </w:tc>
                    <w:tc>
                      <w:tcPr>
                        <w:shd w:val="clear" w:color="auto" w:fill="FFFFFF"/>
                        <w:tcBorders>
                          <w:left w:val="single" w:sz="4"/>
                          <w:right w:val="single" w:sz="4"/>
                          <w:top w:val="single" w:sz="4"/>
                          <w:bottom w:val="single" w:sz="4"/>
                        </w:tcBorders>
                        <w:vAlign w:val="top"/>
                      </w:tcPr>
                      <w:p>
                        <w:pPr>
                          <w:widowControl w:val="0"/>
                          <w:rPr>
                            <w:sz w:val="10"/>
                            <w:szCs w:val="10"/>
                          </w:rPr>
                        </w:pPr>
                      </w:p>
                    </w:tc>
                  </w:tr>
                </w:tbl>
              </w:txbxContent>
            </v:textbox>
            <w10:wrap anchorx="margin"/>
          </v:shape>
        </w:pict>
      </w:r>
      <w:r>
        <w:pict>
          <v:shape id="_x0000_s1949" type="#_x0000_t202" style="position:absolute;margin-left:0.95pt;margin-top:41.75pt;width:491.75pt;height:38.1pt;z-index:251657764;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Эссенциальная и почечная гипертензия, стенокардия напряжения, нестабильная стенокардия, синусовая тахикардия (в т.ч. при гипертиреозе), наджелудочковая тахикардия, тахисистолическая форма мерцания предсердий, наджелудочковая и желудочковая экстрасистолия, эссенциальный тремор, кардиофобия, мигрень (профилактика), тиреотоксический криз, гипертрофическая обструктивная кардиомиопатия, феохромоцитома (с альфа-адреноблокаторами).</w:t>
                  </w:r>
                </w:p>
              </w:txbxContent>
            </v:textbox>
            <w10:wrap anchorx="margin"/>
          </v:shape>
        </w:pict>
      </w:r>
      <w:r>
        <w:pict>
          <v:shape id="_x0000_s1950" type="#_x0000_t202" style="position:absolute;margin-left:1.9pt;margin-top:105.9pt;width:110.15pt;height:10.95pt;z-index:251657765;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jc w:val="left"/>
                    <w:spacing w:before="0" w:after="0" w:line="160" w:lineRule="exact"/>
                    <w:ind w:left="0" w:right="0" w:firstLine="0"/>
                  </w:pPr>
                  <w:r>
                    <w:rPr>
                      <w:rStyle w:val="CharStyle183"/>
                    </w:rPr>
                    <w:t>Фармакологическое действие:</w:t>
                  </w:r>
                </w:p>
              </w:txbxContent>
            </v:textbox>
            <w10:wrap anchorx="margin"/>
          </v:shape>
        </w:pict>
      </w:r>
      <w:r>
        <w:pict>
          <v:shape id="_x0000_s1951" type="#_x0000_t202" style="position:absolute;margin-left:1.45pt;margin-top:114.2pt;width:491.3pt;height:243.1pt;z-index:251657766;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Блокирует в-адренорецепторы. Угнетает автоматизм, снижает скорость проведения возбуждения, увеличивает соотношение между дли</w:t>
                    <w:softHyphen/>
                    <w:t>тельностью рефракторного периода и сердечным циклом. Угнетение проведения происходит преимущественно в антеградном (и в не</w:t>
                    <w:softHyphen/>
                    <w:t xml:space="preserve">значительной степени в ретроградном) направлении в </w:t>
                  </w:r>
                  <w:r>
                    <w:rPr>
                      <w:rStyle w:val="CharStyle190"/>
                      <w:lang w:val="en-US" w:eastAsia="en-US" w:bidi="en-US"/>
                    </w:rPr>
                    <w:t xml:space="preserve">AV </w:t>
                  </w:r>
                  <w:r>
                    <w:rPr>
                      <w:rStyle w:val="CharStyle190"/>
                    </w:rPr>
                    <w:t>соединении по пучку Кента. Понижает АД, гипотензия стабилизируется к кон</w:t>
                    <w:softHyphen/>
                    <w:t>цу 2 нед. лечения. Подавляет активность барорецепторов дуги аорты, и они перестают реагировать на падение АД. Ограничивает секре</w:t>
                    <w:softHyphen/>
                    <w:t>цию ренина. При длительном приеме снижается венозный возврат (дилатация капилляров и венул). Повышает тонус бронхов и сокра</w:t>
                    <w:softHyphen/>
                    <w:t>тимость матки, усиливает секреторную и моторную активность ЖКТ. Активирует агрегацию тромбоцитов и фибринолиз. Тормозит ли</w:t>
                    <w:softHyphen/>
                    <w:t>полиз в жировой ткани, при этом концентрация триглицеридов в плазме увеличивается и возрастает коэффициент атерогенности. При поражении инсулярного аппарата подавляет выброс инсулина. При приеме внутрь достаточно полно всасывается. Обладает высо</w:t>
                    <w:softHyphen/>
                    <w:t>кой липофильностью, накапливается в легочной ткани, головном мозге, почках, сердце. Подвергается глюкуронидированию в печени. Экскретируется почками в виде метаболитов.</w:t>
                  </w:r>
                </w:p>
                <w:p>
                  <w:pPr>
                    <w:pStyle w:val="Style45"/>
                    <w:widowControl w:val="0"/>
                    <w:keepNext w:val="0"/>
                    <w:keepLines w:val="0"/>
                    <w:shd w:val="clear" w:color="auto" w:fill="auto"/>
                    <w:bidi w:val="0"/>
                    <w:spacing w:before="0" w:after="0"/>
                    <w:ind w:left="0" w:right="0" w:firstLine="0"/>
                  </w:pPr>
                  <w:r>
                    <w:rPr>
                      <w:rStyle w:val="CharStyle190"/>
                    </w:rPr>
                    <w:t>Противопоказания:</w:t>
                  </w:r>
                </w:p>
                <w:p>
                  <w:pPr>
                    <w:pStyle w:val="Style45"/>
                    <w:widowControl w:val="0"/>
                    <w:keepNext w:val="0"/>
                    <w:keepLines w:val="0"/>
                    <w:shd w:val="clear" w:color="auto" w:fill="auto"/>
                    <w:bidi w:val="0"/>
                    <w:spacing w:before="0" w:after="0"/>
                    <w:ind w:left="0" w:right="0" w:firstLine="0"/>
                  </w:pPr>
                  <w:r>
                    <w:rPr>
                      <w:rStyle w:val="CharStyle190"/>
                    </w:rPr>
                    <w:t>Гиперчувствительность, кардиогенный шок, бронхоспазм и бронхиальная астма в анамнезе, метаболический ацидоз, периферические циркуляторные артериальные нарушения, облитерирующие заболевания сосудов, брадикардия, атриовентрикулярная блокада П-Ш сте</w:t>
                    <w:softHyphen/>
                    <w:t>пени, синдром слабости синусового узла, декомпенсированная и острая сердечная недостаточность, стенокардия Принцметала, гипото</w:t>
                    <w:softHyphen/>
                    <w:t>ния, беременность, лактация.</w:t>
                  </w:r>
                </w:p>
                <w:p>
                  <w:pPr>
                    <w:pStyle w:val="Style45"/>
                    <w:widowControl w:val="0"/>
                    <w:keepNext w:val="0"/>
                    <w:keepLines w:val="0"/>
                    <w:shd w:val="clear" w:color="auto" w:fill="auto"/>
                    <w:bidi w:val="0"/>
                    <w:spacing w:before="0" w:after="0"/>
                    <w:ind w:left="0" w:right="0" w:firstLine="0"/>
                  </w:pPr>
                  <w:r>
                    <w:rPr>
                      <w:rStyle w:val="CharStyle190"/>
                    </w:rPr>
                    <w:t>Ограничения к применению:</w:t>
                  </w:r>
                </w:p>
                <w:p>
                  <w:pPr>
                    <w:pStyle w:val="Style45"/>
                    <w:widowControl w:val="0"/>
                    <w:keepNext w:val="0"/>
                    <w:keepLines w:val="0"/>
                    <w:shd w:val="clear" w:color="auto" w:fill="auto"/>
                    <w:bidi w:val="0"/>
                    <w:spacing w:before="0" w:after="0"/>
                    <w:ind w:left="0" w:right="0" w:firstLine="0"/>
                  </w:pPr>
                  <w:r>
                    <w:rPr>
                      <w:rStyle w:val="CharStyle190"/>
                    </w:rPr>
                    <w:t>Сахарный диабет.</w:t>
                  </w:r>
                </w:p>
                <w:p>
                  <w:pPr>
                    <w:pStyle w:val="Style45"/>
                    <w:widowControl w:val="0"/>
                    <w:keepNext w:val="0"/>
                    <w:keepLines w:val="0"/>
                    <w:shd w:val="clear" w:color="auto" w:fill="auto"/>
                    <w:bidi w:val="0"/>
                    <w:spacing w:before="0" w:after="0"/>
                    <w:ind w:left="0" w:right="0" w:firstLine="0"/>
                  </w:pPr>
                  <w:r>
                    <w:rPr>
                      <w:rStyle w:val="CharStyle190"/>
                    </w:rPr>
                    <w:t>Побочные эффекты:</w:t>
                  </w:r>
                </w:p>
                <w:p>
                  <w:pPr>
                    <w:pStyle w:val="Style45"/>
                    <w:widowControl w:val="0"/>
                    <w:keepNext w:val="0"/>
                    <w:keepLines w:val="0"/>
                    <w:shd w:val="clear" w:color="auto" w:fill="auto"/>
                    <w:bidi w:val="0"/>
                    <w:spacing w:before="0" w:after="0"/>
                    <w:ind w:left="0" w:right="0" w:firstLine="0"/>
                  </w:pPr>
                  <w:r>
                    <w:rPr>
                      <w:rStyle w:val="CharStyle190"/>
                    </w:rPr>
                    <w:t xml:space="preserve">Брадикардия, </w:t>
                  </w:r>
                  <w:r>
                    <w:rPr>
                      <w:rStyle w:val="CharStyle190"/>
                      <w:lang w:val="en-US" w:eastAsia="en-US" w:bidi="en-US"/>
                    </w:rPr>
                    <w:t xml:space="preserve">AV </w:t>
                  </w:r>
                  <w:r>
                    <w:rPr>
                      <w:rStyle w:val="CharStyle190"/>
                    </w:rPr>
                    <w:t>блокады, бронхоспазм, сердечная недостаточность, мышечная слабость, синдром Рейно; редко — головная боль, нару</w:t>
                    <w:softHyphen/>
                    <w:t>шения сна, галлюцинации, психозы, снижение способности к быстрым психическим и двигательным реакциям, возбуждение, депрес</w:t>
                    <w:softHyphen/>
                    <w:t>сия, парестезии, диспепсия, гипогликемия, обострение псориаза, нарушения зрения, алопеция, тромбоцитопения, зрительные рас</w:t>
                    <w:softHyphen/>
                    <w:t>стройства, синдром отмены, похолодание конечностей, перемежающаяся хромота, диспептические расстройства.</w:t>
                  </w:r>
                </w:p>
                <w:p>
                  <w:pPr>
                    <w:pStyle w:val="Style45"/>
                    <w:widowControl w:val="0"/>
                    <w:keepNext w:val="0"/>
                    <w:keepLines w:val="0"/>
                    <w:shd w:val="clear" w:color="auto" w:fill="auto"/>
                    <w:bidi w:val="0"/>
                    <w:spacing w:before="0" w:after="0"/>
                    <w:ind w:left="0" w:right="0" w:firstLine="0"/>
                  </w:pPr>
                  <w:r>
                    <w:rPr>
                      <w:rStyle w:val="CharStyle190"/>
                    </w:rPr>
                    <w:t>Взаимодействие:</w:t>
                  </w:r>
                </w:p>
                <w:p>
                  <w:pPr>
                    <w:pStyle w:val="Style45"/>
                    <w:widowControl w:val="0"/>
                    <w:keepNext w:val="0"/>
                    <w:keepLines w:val="0"/>
                    <w:shd w:val="clear" w:color="auto" w:fill="auto"/>
                    <w:bidi w:val="0"/>
                    <w:spacing w:before="0" w:after="0"/>
                    <w:ind w:left="0" w:right="0" w:firstLine="0"/>
                  </w:pPr>
                  <w:r>
                    <w:rPr>
                      <w:rStyle w:val="CharStyle190"/>
                    </w:rPr>
                    <w:t>Несовместим с нейролептиками и транквилизаторами. Усиливает (взаимно) отрицательное влияние верапамила и дилтиазема на мио</w:t>
                    <w:softHyphen/>
                    <w:t>кард.</w:t>
                  </w:r>
                </w:p>
              </w:txbxContent>
            </v:textbox>
            <w10:wrap anchorx="margin"/>
          </v:shape>
        </w:pict>
      </w:r>
      <w:r>
        <w:pict>
          <v:shape id="_x0000_s1952" type="#_x0000_t202" style="position:absolute;margin-left:0.95pt;margin-top:371.05pt;width:351.35pt;height:10.4pt;z-index:251657767;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jc w:val="left"/>
                    <w:spacing w:before="0" w:after="0" w:line="150" w:lineRule="exact"/>
                    <w:ind w:left="0" w:right="0" w:firstLine="0"/>
                  </w:pPr>
                  <w:r>
                    <w:rPr>
                      <w:rStyle w:val="CharStyle191"/>
                      <w:lang w:val="ru-RU" w:eastAsia="ru-RU" w:bidi="ru-RU"/>
                      <w:b/>
                      <w:bCs/>
                      <w:i/>
                      <w:iCs/>
                    </w:rPr>
                    <w:t xml:space="preserve">Аймалин </w:t>
                  </w:r>
                  <w:r>
                    <w:rPr>
                      <w:rStyle w:val="CharStyle191"/>
                      <w:b/>
                      <w:bCs/>
                      <w:i/>
                      <w:iCs/>
                    </w:rPr>
                    <w:t xml:space="preserve">(Ajmaline) </w:t>
                  </w:r>
                  <w:r>
                    <w:rPr>
                      <w:rStyle w:val="CharStyle191"/>
                      <w:lang w:val="ru-RU" w:eastAsia="ru-RU" w:bidi="ru-RU"/>
                      <w:b/>
                      <w:bCs/>
                      <w:i/>
                      <w:iCs/>
                    </w:rPr>
                    <w:t xml:space="preserve">Анонимы: </w:t>
                  </w:r>
                  <w:r>
                    <w:rPr>
                      <w:rStyle w:val="CharStyle191"/>
                      <w:b/>
                      <w:bCs/>
                      <w:i/>
                      <w:iCs/>
                    </w:rPr>
                    <w:t xml:space="preserve">Ajmaline, Arythmal, Cardiorythmine, Gilurytmal, Ritmos, Tachmalin </w:t>
                  </w:r>
                  <w:r>
                    <w:rPr>
                      <w:rStyle w:val="CharStyle191"/>
                      <w:lang w:val="ru-RU" w:eastAsia="ru-RU" w:bidi="ru-RU"/>
                      <w:b/>
                      <w:bCs/>
                      <w:i/>
                      <w:iCs/>
                    </w:rPr>
                    <w:t>и др.</w:t>
                  </w:r>
                </w:p>
              </w:txbxContent>
            </v:textbox>
            <w10:wrap anchorx="margin"/>
          </v:shape>
        </w:pict>
      </w:r>
      <w:r>
        <w:pict>
          <v:shape id="_x0000_s1953" type="#_x0000_t202" style="position:absolute;margin-left:0.95pt;margin-top:383.05pt;width:492.25pt;height:5.e-002pt;z-index:251657768;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Показания</w:t>
                  </w:r>
                </w:p>
                <w:p>
                  <w:pPr>
                    <w:pStyle w:val="Style182"/>
                    <w:widowControl w:val="0"/>
                    <w:keepNext w:val="0"/>
                    <w:keepLines w:val="0"/>
                    <w:shd w:val="clear" w:color="auto" w:fill="auto"/>
                    <w:bidi w:val="0"/>
                    <w:spacing w:before="0" w:after="0"/>
                    <w:ind w:left="0" w:right="0" w:firstLine="0"/>
                  </w:pPr>
                  <w:r>
                    <w:rPr>
                      <w:rStyle w:val="CharStyle183"/>
                    </w:rPr>
                    <w:t xml:space="preserve">Купирование и профилактика пароксизмальной наджелудочковой тахикардии (в частности, при синдроме </w:t>
                  </w:r>
                  <w:r>
                    <w:rPr>
                      <w:rStyle w:val="CharStyle183"/>
                      <w:lang w:val="en-US" w:eastAsia="en-US" w:bidi="en-US"/>
                    </w:rPr>
                    <w:t xml:space="preserve">WPW), </w:t>
                  </w:r>
                  <w:r>
                    <w:rPr>
                      <w:rStyle w:val="CharStyle183"/>
                    </w:rPr>
                    <w:t>пароксизмальной желудочковой тахикардии, пароксизмов мерцания или трепетания предсердий, наджелудочковой и желудочковой экстрасистолии.</w:t>
                  </w:r>
                </w:p>
                <w:tbl>
                  <w:tblPr>
                    <w:tblOverlap w:val="never"/>
                    <w:tblLayout w:type="fixed"/>
                    <w:jc w:val="center"/>
                  </w:tblPr>
                  <w:tblGrid>
                    <w:gridCol w:w="1704"/>
                    <w:gridCol w:w="4574"/>
                    <w:gridCol w:w="3566"/>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816"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В/в, в/м</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У детей в возрасте от 3 до 12 лет применяют в дозе, равной половине дозы взрослых. Для взрослых разовая доза составляет 50 мг, суточная доза — 150 мг; частота введения устанавливается индивидуально.</w:t>
                        </w:r>
                      </w:p>
                    </w:tc>
                    <w:tc>
                      <w:tcPr>
                        <w:shd w:val="clear" w:color="auto" w:fill="FFFFFF"/>
                        <w:tcBorders>
                          <w:left w:val="single" w:sz="4"/>
                          <w:right w:val="single" w:sz="4"/>
                          <w:top w:val="single" w:sz="4"/>
                        </w:tcBorders>
                        <w:vAlign w:val="top"/>
                      </w:tcPr>
                      <w:p>
                        <w:pPr>
                          <w:widowControl w:val="0"/>
                          <w:rPr>
                            <w:sz w:val="10"/>
                            <w:szCs w:val="10"/>
                          </w:rPr>
                        </w:pPr>
                      </w:p>
                    </w:tc>
                  </w:tr>
                  <w:tr>
                    <w:trPr>
                      <w:trHeight w:val="226"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Фармакологическое действие:</w:t>
                        </w:r>
                      </w:p>
                    </w:tc>
                  </w:tr>
                </w:tbl>
                <w:p>
                  <w:pPr>
                    <w:widowControl w:val="0"/>
                    <w:rPr>
                      <w:sz w:val="2"/>
                      <w:szCs w:val="2"/>
                    </w:rPr>
                  </w:pPr>
                </w:p>
              </w:txbxContent>
            </v:textbox>
            <w10:wrap anchorx="margin"/>
          </v:shape>
        </w:pict>
      </w:r>
      <w:r>
        <w:pict>
          <v:shape id="_x0000_s1954" type="#_x0000_t202" style="position:absolute;margin-left:1.2pt;margin-top:475.2pt;width:492.pt;height:175.65pt;z-index:251657769;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 xml:space="preserve">Антиаритмическое средство </w:t>
                  </w:r>
                  <w:r>
                    <w:rPr>
                      <w:rStyle w:val="CharStyle190"/>
                      <w:lang w:val="en-US" w:eastAsia="en-US" w:bidi="en-US"/>
                    </w:rPr>
                    <w:t xml:space="preserve">IA </w:t>
                  </w:r>
                  <w:r>
                    <w:rPr>
                      <w:rStyle w:val="CharStyle190"/>
                    </w:rPr>
                    <w:t xml:space="preserve">класса, алкалоид раувольфии змеевидной. Вызывает снижение возбудимости миокарда, замедление </w:t>
                  </w:r>
                  <w:r>
                    <w:rPr>
                      <w:rStyle w:val="CharStyle190"/>
                      <w:lang w:val="en-US" w:eastAsia="en-US" w:bidi="en-US"/>
                    </w:rPr>
                    <w:t xml:space="preserve">AV </w:t>
                  </w:r>
                  <w:r>
                    <w:rPr>
                      <w:rStyle w:val="CharStyle190"/>
                    </w:rPr>
                    <w:t>и внутрижелудочковой проводимости, подавление автоматизма синусового узла. Не оказывает выраженного влияния на сократимость миокарда и АД, хотя в отдельных случаях понижает АД. Практически не оказывает седативного и снотворного действия. Антиаритмиче</w:t>
                    <w:softHyphen/>
                    <w:t>ское действие отмечается: при в/в введении через 10-30 мин, при в/м введении через 30-60 мин, после приема внутрь через 1 ч; длитель</w:t>
                    <w:softHyphen/>
                    <w:t>ность эффекта достигает 5-6 ч.</w:t>
                  </w:r>
                </w:p>
                <w:p>
                  <w:pPr>
                    <w:pStyle w:val="Style45"/>
                    <w:widowControl w:val="0"/>
                    <w:keepNext w:val="0"/>
                    <w:keepLines w:val="0"/>
                    <w:shd w:val="clear" w:color="auto" w:fill="auto"/>
                    <w:bidi w:val="0"/>
                    <w:spacing w:before="0" w:after="0"/>
                    <w:ind w:left="0" w:right="0" w:firstLine="0"/>
                  </w:pPr>
                  <w:r>
                    <w:rPr>
                      <w:rStyle w:val="CharStyle190"/>
                    </w:rPr>
                    <w:t>Побочное действие:</w:t>
                  </w:r>
                </w:p>
                <w:p>
                  <w:pPr>
                    <w:pStyle w:val="Style45"/>
                    <w:widowControl w:val="0"/>
                    <w:keepNext w:val="0"/>
                    <w:keepLines w:val="0"/>
                    <w:shd w:val="clear" w:color="auto" w:fill="auto"/>
                    <w:bidi w:val="0"/>
                    <w:jc w:val="left"/>
                    <w:spacing w:before="0" w:after="0"/>
                    <w:ind w:left="0" w:right="0" w:firstLine="0"/>
                  </w:pPr>
                  <w:r>
                    <w:rPr>
                      <w:rStyle w:val="CharStyle190"/>
                    </w:rPr>
                    <w:t xml:space="preserve">Тошнота, ощущение тяжести в эпигастрии, рвота, повышение активности печеночных трансаминаз, агранулоцитоз, тромбоцитопения; при длительном применении — внутрипеченочный холестаз, головная боль, головокружение, нарушение синоатриальной, </w:t>
                  </w:r>
                  <w:r>
                    <w:rPr>
                      <w:rStyle w:val="CharStyle190"/>
                      <w:lang w:val="en-US" w:eastAsia="en-US" w:bidi="en-US"/>
                    </w:rPr>
                    <w:t xml:space="preserve">AV, </w:t>
                  </w:r>
                  <w:r>
                    <w:rPr>
                      <w:rStyle w:val="CharStyle190"/>
                    </w:rPr>
                    <w:t>внутри</w:t>
                    <w:softHyphen/>
                    <w:t>желудочковой проводимости, артериальная гипотензия; редко — асистолия, фибрилляция желудочков, аллергические реакции. Противопоказания:</w:t>
                  </w:r>
                </w:p>
                <w:p>
                  <w:pPr>
                    <w:pStyle w:val="Style45"/>
                    <w:widowControl w:val="0"/>
                    <w:keepNext w:val="0"/>
                    <w:keepLines w:val="0"/>
                    <w:shd w:val="clear" w:color="auto" w:fill="auto"/>
                    <w:bidi w:val="0"/>
                    <w:spacing w:before="0" w:after="0"/>
                    <w:ind w:left="0" w:right="0" w:firstLine="0"/>
                  </w:pPr>
                  <w:r>
                    <w:rPr>
                      <w:rStyle w:val="CharStyle190"/>
                    </w:rPr>
                    <w:t xml:space="preserve">Выраженная синусовая брадикардия, СССУ, </w:t>
                  </w:r>
                  <w:r>
                    <w:rPr>
                      <w:rStyle w:val="CharStyle190"/>
                      <w:lang w:val="en-US" w:eastAsia="en-US" w:bidi="en-US"/>
                    </w:rPr>
                    <w:t xml:space="preserve">AV </w:t>
                  </w:r>
                  <w:r>
                    <w:rPr>
                      <w:rStyle w:val="CharStyle190"/>
                    </w:rPr>
                    <w:t>блокада II и III степени, межпредсердная и внутрижелудочковая блокады, артериальная гипотензия, кардиогенный шок, тяжелые формы хронической сердечной недостаточности, анемия, гиперкалиемия, почечная недоста</w:t>
                    <w:softHyphen/>
                    <w:t>точность, повышенная чувствительность к аймалину.</w:t>
                  </w:r>
                </w:p>
                <w:p>
                  <w:pPr>
                    <w:pStyle w:val="Style45"/>
                    <w:widowControl w:val="0"/>
                    <w:keepNext w:val="0"/>
                    <w:keepLines w:val="0"/>
                    <w:shd w:val="clear" w:color="auto" w:fill="auto"/>
                    <w:bidi w:val="0"/>
                    <w:spacing w:before="0" w:after="0"/>
                    <w:ind w:left="0" w:right="0" w:firstLine="0"/>
                  </w:pPr>
                  <w:r>
                    <w:rPr>
                      <w:rStyle w:val="CharStyle190"/>
                    </w:rPr>
                    <w:t>Особые указания:</w:t>
                  </w:r>
                </w:p>
                <w:p>
                  <w:pPr>
                    <w:pStyle w:val="Style45"/>
                    <w:widowControl w:val="0"/>
                    <w:keepNext w:val="0"/>
                    <w:keepLines w:val="0"/>
                    <w:shd w:val="clear" w:color="auto" w:fill="auto"/>
                    <w:bidi w:val="0"/>
                    <w:spacing w:before="0" w:after="0"/>
                    <w:ind w:left="0" w:right="0" w:firstLine="0"/>
                  </w:pPr>
                  <w:r>
                    <w:rPr>
                      <w:rStyle w:val="CharStyle190"/>
                    </w:rPr>
                    <w:t xml:space="preserve">С осторожностью применяют при нарушениях функции печени и выраженных нарушениях функции почек; при анемии, гиперкалие- мии, атакже в случаях предшествовавшего лечения препаратами, вызывающими урежение ЧСС и замедление </w:t>
                  </w:r>
                  <w:r>
                    <w:rPr>
                      <w:rStyle w:val="CharStyle190"/>
                      <w:lang w:val="en-US" w:eastAsia="en-US" w:bidi="en-US"/>
                    </w:rPr>
                    <w:t xml:space="preserve">AV </w:t>
                  </w:r>
                  <w:r>
                    <w:rPr>
                      <w:rStyle w:val="CharStyle190"/>
                    </w:rPr>
                    <w:t>проводимости. При од</w:t>
                    <w:softHyphen/>
                    <w:t>новременном применении с хинидином возможно заметное повышение концентрации аймалина в плазме крови, период полувыведе</w:t>
                    <w:softHyphen/>
                    <w:t>ния последнего при этом увеличивается в 2 раза. Аймалин не оказывает влияния на фармакокинетические параметры хинидина.</w:t>
                  </w:r>
                </w:p>
              </w:txbxContent>
            </v:textbox>
            <w10:wrap anchorx="margin"/>
          </v:shape>
        </w:pict>
      </w:r>
      <w:r>
        <w:pict>
          <v:shape id="_x0000_s1955" type="#_x0000_t75" style="position:absolute;margin-left:136.55pt;margin-top:734.65pt;width:209.75pt;height:14.9pt;z-index:-251658616;mso-wrap-distance-left:5.pt;mso-wrap-distance-right:5.pt;mso-position-horizontal-relative:margin" wrapcoords="0 0">
            <v:imagedata r:id="rId1423" r:href="rId1424"/>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68" w:lineRule="exact"/>
      </w:pPr>
    </w:p>
    <w:p>
      <w:pPr>
        <w:widowControl w:val="0"/>
        <w:rPr>
          <w:sz w:val="2"/>
          <w:szCs w:val="2"/>
        </w:rPr>
        <w:sectPr>
          <w:pgSz w:w="11900" w:h="16840"/>
          <w:pgMar w:top="2427" w:left="1124" w:right="898" w:bottom="177" w:header="0" w:footer="3" w:gutter="0"/>
          <w:rtlGutter w:val="0"/>
          <w:cols w:space="720"/>
          <w:noEndnote/>
          <w:docGrid w:linePitch="360"/>
        </w:sectPr>
      </w:pPr>
    </w:p>
    <w:p>
      <w:pPr>
        <w:widowControl w:val="0"/>
        <w:rPr>
          <w:sz w:val="2"/>
          <w:szCs w:val="2"/>
        </w:rPr>
      </w:pPr>
      <w:r>
        <w:pict>
          <v:shape id="_x0000_s1956" type="#_x0000_t202" style="position:static;width:595.pt;height:7.05pt" filled="f" stroked="f">
            <v:textbox inset="0,0,0,0">
              <w:txbxContent>
                <w:p>
                  <w:pPr>
                    <w:widowControl w:val="0"/>
                  </w:pPr>
                </w:p>
              </w:txbxContent>
            </v:textbox>
            <w10:anchorlock/>
          </v:shape>
        </w:pict>
      </w:r>
      <w:r>
        <w:t xml:space="preserve"> </w:t>
      </w:r>
    </w:p>
    <w:p>
      <w:pPr>
        <w:widowControl w:val="0"/>
        <w:rPr>
          <w:sz w:val="2"/>
          <w:szCs w:val="2"/>
        </w:rPr>
        <w:sectPr>
          <w:headerReference w:type="even" r:id="rId1425"/>
          <w:headerReference w:type="default" r:id="rId1426"/>
          <w:headerReference w:type="first" r:id="rId1427"/>
          <w:pgSz w:w="11900" w:h="16840"/>
          <w:pgMar w:top="1438" w:left="0" w:right="0" w:bottom="162" w:header="0" w:footer="3" w:gutter="0"/>
          <w:rtlGutter w:val="0"/>
          <w:cols w:space="720"/>
          <w:noEndnote/>
          <w:docGrid w:linePitch="360"/>
        </w:sectPr>
      </w:pPr>
    </w:p>
    <w:p>
      <w:pPr>
        <w:widowControl w:val="0"/>
        <w:spacing w:line="360" w:lineRule="exact"/>
      </w:pPr>
      <w:r>
        <w:pict>
          <v:shape id="_x0000_s1959" type="#_x0000_t202" style="position:absolute;margin-left:0.95pt;margin-top:0;width:492.25pt;height:5.e-002pt;z-index:251657770;mso-wrap-distance-left:5.pt;mso-wrap-distance-right:5.pt;mso-position-horizontal-relative:margin" filled="f" stroked="f">
            <v:textbox style="mso-fit-shape-to-text:t" inset="0,0,0,0">
              <w:txbxContent>
                <w:p>
                  <w:pPr>
                    <w:pStyle w:val="Style188"/>
                    <w:widowControl w:val="0"/>
                    <w:keepNext w:val="0"/>
                    <w:keepLines w:val="0"/>
                    <w:shd w:val="clear" w:color="auto" w:fill="auto"/>
                    <w:bidi w:val="0"/>
                    <w:jc w:val="left"/>
                    <w:spacing w:before="0" w:after="0" w:line="150" w:lineRule="exact"/>
                    <w:ind w:left="0" w:right="0" w:firstLine="0"/>
                  </w:pPr>
                  <w:r>
                    <w:rPr>
                      <w:lang w:val="ru-RU" w:eastAsia="ru-RU" w:bidi="ru-RU"/>
                      <w:w w:val="100"/>
                      <w:spacing w:val="0"/>
                      <w:color w:val="000000"/>
                      <w:position w:val="0"/>
                    </w:rPr>
                    <w:t xml:space="preserve">Амиодарон Синонимы: Кордарон, Пальпитин, </w:t>
                  </w:r>
                  <w:r>
                    <w:rPr>
                      <w:w w:val="100"/>
                      <w:spacing w:val="0"/>
                      <w:color w:val="000000"/>
                      <w:position w:val="0"/>
                    </w:rPr>
                    <w:t xml:space="preserve">Amjodaronum, Angoron, Atlansil, Cordaron, Cordinil, Palpitin, Sedacoron, Trangorex </w:t>
                  </w:r>
                  <w:r>
                    <w:rPr>
                      <w:lang w:val="ru-RU" w:eastAsia="ru-RU" w:bidi="ru-RU"/>
                      <w:w w:val="100"/>
                      <w:spacing w:val="0"/>
                      <w:color w:val="000000"/>
                      <w:position w:val="0"/>
                    </w:rPr>
                    <w:t>и др.</w:t>
                  </w:r>
                </w:p>
                <w:p>
                  <w:pPr>
                    <w:pStyle w:val="Style182"/>
                    <w:widowControl w:val="0"/>
                    <w:keepNext w:val="0"/>
                    <w:keepLines w:val="0"/>
                    <w:shd w:val="clear" w:color="auto" w:fill="auto"/>
                    <w:bidi w:val="0"/>
                    <w:spacing w:before="0" w:after="0"/>
                    <w:ind w:left="0" w:right="0" w:firstLine="0"/>
                  </w:pPr>
                  <w:r>
                    <w:rPr>
                      <w:rStyle w:val="CharStyle183"/>
                    </w:rPr>
                    <w:t>Показания: желудочковая экстрасистолия, наджелудочковая тахикардия, в качестве альтернативы нелекарственному лечению аритмий (хирургическое вмешательство, вживление автоматического дефибриллятора).</w:t>
                  </w:r>
                </w:p>
                <w:tbl>
                  <w:tblPr>
                    <w:tblOverlap w:val="never"/>
                    <w:tblLayout w:type="fixed"/>
                    <w:jc w:val="center"/>
                  </w:tblPr>
                  <w:tblGrid>
                    <w:gridCol w:w="1704"/>
                    <w:gridCol w:w="4570"/>
                    <w:gridCol w:w="3571"/>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442"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92" w:lineRule="exact"/>
                          <w:ind w:left="0" w:right="0" w:firstLine="0"/>
                        </w:pPr>
                        <w:r>
                          <w:rPr>
                            <w:rStyle w:val="CharStyle102"/>
                          </w:rPr>
                          <w:t>Доза насыщения 10-15 мг/кг (максимально 1600 мг). Поддерживающая 2,5-5 мг/кг, максимально 800 мг.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2-3 раза в день</w:t>
                        </w:r>
                      </w:p>
                    </w:tc>
                  </w:tr>
                  <w:tr>
                    <w:trPr>
                      <w:trHeight w:val="437"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В/в</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92" w:lineRule="exact"/>
                          <w:ind w:left="0" w:right="0" w:firstLine="0"/>
                        </w:pPr>
                        <w:r>
                          <w:rPr>
                            <w:rStyle w:val="CharStyle102"/>
                          </w:rPr>
                          <w:t>Доза насыщения 5-7 мг/кг более чем за 20-30 минут. Поддерживающая 1-2 мг/кг/час или 10-20 мг/кг/сут.</w:t>
                        </w:r>
                      </w:p>
                    </w:tc>
                    <w:tc>
                      <w:tcPr>
                        <w:shd w:val="clear" w:color="auto" w:fill="FFFFFF"/>
                        <w:tcBorders>
                          <w:left w:val="single" w:sz="4"/>
                          <w:right w:val="single" w:sz="4"/>
                          <w:top w:val="single" w:sz="4"/>
                        </w:tcBorders>
                        <w:vAlign w:val="top"/>
                      </w:tcPr>
                      <w:p>
                        <w:pPr>
                          <w:widowControl w:val="0"/>
                          <w:rPr>
                            <w:sz w:val="10"/>
                            <w:szCs w:val="10"/>
                          </w:rPr>
                        </w:pPr>
                      </w:p>
                    </w:tc>
                  </w:tr>
                  <w:tr>
                    <w:trPr>
                      <w:trHeight w:val="226"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Фармакологическое действие:</w:t>
                        </w:r>
                      </w:p>
                    </w:tc>
                  </w:tr>
                </w:tbl>
                <w:p>
                  <w:pPr>
                    <w:widowControl w:val="0"/>
                    <w:rPr>
                      <w:sz w:val="2"/>
                      <w:szCs w:val="2"/>
                    </w:rPr>
                  </w:pPr>
                </w:p>
              </w:txbxContent>
            </v:textbox>
            <w10:wrap anchorx="margin"/>
          </v:shape>
        </w:pict>
      </w:r>
      <w:r>
        <w:pict>
          <v:shape id="_x0000_s1960" type="#_x0000_t202" style="position:absolute;margin-left:1.2pt;margin-top:96.95pt;width:491.5pt;height:137.5pt;z-index:251657771;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ind w:left="0" w:right="0" w:firstLine="0"/>
                  </w:pPr>
                  <w:r>
                    <w:rPr>
                      <w:rStyle w:val="CharStyle190"/>
                    </w:rPr>
                    <w:t>Антиаритмическое, антиангинальное. Ингибирует калиевые, кальциевые и натриевые каналы, конкурентно блокирует а- и в-адреноре- цепторы. Улучшает кровоток в сердечной мышце, уменьшает потребление кислорода, снижает сопротивляемость кровеносных сосудов. Урежает ЧСС, не уменьшая количество перекачиваемой сердцем крови. Нормализует сердечную деятельность, сократимость. Противопоказания:</w:t>
                  </w:r>
                </w:p>
                <w:p>
                  <w:pPr>
                    <w:pStyle w:val="Style45"/>
                    <w:widowControl w:val="0"/>
                    <w:keepNext w:val="0"/>
                    <w:keepLines w:val="0"/>
                    <w:shd w:val="clear" w:color="auto" w:fill="auto"/>
                    <w:bidi w:val="0"/>
                    <w:jc w:val="left"/>
                    <w:spacing w:before="0" w:after="0"/>
                    <w:ind w:left="0" w:right="0" w:firstLine="0"/>
                  </w:pPr>
                  <w:r>
                    <w:rPr>
                      <w:rStyle w:val="CharStyle190"/>
                    </w:rPr>
                    <w:t>АВ-блокада, синусовая брадикардия, синдром слабости синусового узла.</w:t>
                  </w:r>
                </w:p>
                <w:p>
                  <w:pPr>
                    <w:pStyle w:val="Style45"/>
                    <w:widowControl w:val="0"/>
                    <w:keepNext w:val="0"/>
                    <w:keepLines w:val="0"/>
                    <w:shd w:val="clear" w:color="auto" w:fill="auto"/>
                    <w:bidi w:val="0"/>
                    <w:jc w:val="left"/>
                    <w:spacing w:before="0" w:after="0"/>
                    <w:ind w:left="0" w:right="0" w:firstLine="0"/>
                  </w:pPr>
                  <w:r>
                    <w:rPr>
                      <w:rStyle w:val="CharStyle190"/>
                    </w:rPr>
                    <w:t>Побочные эффекты:</w:t>
                  </w:r>
                </w:p>
                <w:p>
                  <w:pPr>
                    <w:pStyle w:val="Style45"/>
                    <w:widowControl w:val="0"/>
                    <w:keepNext w:val="0"/>
                    <w:keepLines w:val="0"/>
                    <w:shd w:val="clear" w:color="auto" w:fill="auto"/>
                    <w:bidi w:val="0"/>
                    <w:spacing w:before="0" w:after="0"/>
                    <w:ind w:left="0" w:right="0" w:firstLine="0"/>
                  </w:pPr>
                  <w:r>
                    <w:rPr>
                      <w:rStyle w:val="CharStyle190"/>
                    </w:rPr>
                    <w:t>Инфильтрация или фиброз легких, пароксизмальная желудочковая тахикардия, застойная сердечная недостаточность, пневмония, на</w:t>
                    <w:softHyphen/>
                    <w:t>рушение функции щитовидной железы, анорексия, тошнота, рвота, запоры, асимптоматические отложения в роговице, возрастание уровней печеночных ферментов в плазме крови, депигментация кожи, фотосенсибилизация. Вероятность появления большинства по</w:t>
                    <w:softHyphen/>
                    <w:t>бочных эффектов возрастает после первых 6 мес. лечения.</w:t>
                  </w:r>
                </w:p>
                <w:p>
                  <w:pPr>
                    <w:pStyle w:val="Style45"/>
                    <w:widowControl w:val="0"/>
                    <w:keepNext w:val="0"/>
                    <w:keepLines w:val="0"/>
                    <w:shd w:val="clear" w:color="auto" w:fill="auto"/>
                    <w:bidi w:val="0"/>
                    <w:jc w:val="left"/>
                    <w:spacing w:before="0" w:after="0"/>
                    <w:ind w:left="0" w:right="0" w:firstLine="0"/>
                  </w:pPr>
                  <w:r>
                    <w:rPr>
                      <w:rStyle w:val="CharStyle190"/>
                    </w:rPr>
                    <w:t>Осторожность: усиливает эффекты дигоксина, варфарина, флекаинида, прокаинамида, хинидина и пр. С осторожностью назначать больным с заболеваниями щитовидной железы.</w:t>
                  </w:r>
                </w:p>
                <w:p>
                  <w:pPr>
                    <w:pStyle w:val="Style45"/>
                    <w:widowControl w:val="0"/>
                    <w:keepNext w:val="0"/>
                    <w:keepLines w:val="0"/>
                    <w:shd w:val="clear" w:color="auto" w:fill="auto"/>
                    <w:bidi w:val="0"/>
                    <w:jc w:val="left"/>
                    <w:spacing w:before="0" w:after="0"/>
                    <w:ind w:left="0" w:right="0" w:firstLine="0"/>
                  </w:pPr>
                  <w:r>
                    <w:rPr>
                      <w:rStyle w:val="CharStyle190"/>
                    </w:rPr>
                    <w:t>Взаимодействие:</w:t>
                  </w:r>
                </w:p>
                <w:p>
                  <w:pPr>
                    <w:pStyle w:val="Style45"/>
                    <w:widowControl w:val="0"/>
                    <w:keepNext w:val="0"/>
                    <w:keepLines w:val="0"/>
                    <w:shd w:val="clear" w:color="auto" w:fill="auto"/>
                    <w:bidi w:val="0"/>
                    <w:jc w:val="left"/>
                    <w:spacing w:before="0" w:after="0"/>
                    <w:ind w:left="0" w:right="0" w:firstLine="0"/>
                  </w:pPr>
                  <w:r>
                    <w:rPr>
                      <w:rStyle w:val="CharStyle190"/>
                    </w:rPr>
                    <w:t>Другие антиаритмические средства и дигоксин повышают токсичность.</w:t>
                  </w:r>
                </w:p>
              </w:txbxContent>
            </v:textbox>
            <w10:wrap anchorx="margin"/>
          </v:shape>
        </w:pict>
      </w:r>
      <w:r>
        <w:pict>
          <v:shape id="_x0000_s1961" type="#_x0000_t202" style="position:absolute;margin-left:0.95pt;margin-top:273.1pt;width:491.3pt;height:22.1pt;z-index:251657772;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Атенолол </w:t>
                  </w:r>
                  <w:r>
                    <w:rPr>
                      <w:rStyle w:val="CharStyle191"/>
                      <w:b/>
                      <w:bCs/>
                      <w:i/>
                      <w:iCs/>
                    </w:rPr>
                    <w:t xml:space="preserve">(Atenolol) </w:t>
                  </w:r>
                  <w:r>
                    <w:rPr>
                      <w:rStyle w:val="CharStyle191"/>
                      <w:lang w:val="ru-RU" w:eastAsia="ru-RU" w:bidi="ru-RU"/>
                      <w:b/>
                      <w:bCs/>
                      <w:i/>
                      <w:iCs/>
                    </w:rPr>
                    <w:t xml:space="preserve">Синонимы: Ормидол, Принорм, </w:t>
                  </w:r>
                  <w:r>
                    <w:rPr>
                      <w:rStyle w:val="CharStyle191"/>
                      <w:b/>
                      <w:bCs/>
                      <w:i/>
                      <w:iCs/>
                    </w:rPr>
                    <w:t xml:space="preserve">Atenol, Вetaсard, Bhkium, Catenol, Catenolol, Нурoten, </w:t>
                  </w:r>
                  <w:r>
                    <w:rPr>
                      <w:rStyle w:val="CharStyle191"/>
                      <w:lang w:val="ru-RU" w:eastAsia="ru-RU" w:bidi="ru-RU"/>
                      <w:b/>
                      <w:bCs/>
                      <w:i/>
                      <w:iCs/>
                    </w:rPr>
                    <w:t>Муосо</w:t>
                  </w:r>
                  <w:r>
                    <w:rPr>
                      <w:rStyle w:val="CharStyle191"/>
                      <w:b/>
                      <w:bCs/>
                      <w:i/>
                      <w:iCs/>
                    </w:rPr>
                    <w:t xml:space="preserve">rd, ^rmiten, Оrmidol, Premr- mine, Primrm, Telvodin, </w:t>
                  </w:r>
                  <w:r>
                    <w:rPr>
                      <w:rStyle w:val="CharStyle191"/>
                      <w:lang w:val="ru-RU" w:eastAsia="ru-RU" w:bidi="ru-RU"/>
                      <w:b/>
                      <w:bCs/>
                      <w:i/>
                      <w:iCs/>
                    </w:rPr>
                    <w:t xml:space="preserve">ТетЫоск, ТетМ, </w:t>
                  </w:r>
                  <w:r>
                    <w:rPr>
                      <w:rStyle w:val="CharStyle191"/>
                      <w:b/>
                      <w:bCs/>
                      <w:i/>
                      <w:iCs/>
                    </w:rPr>
                    <w:t xml:space="preserve">Tenormin, Tensi^r, Vehrin, VerUxrdin </w:t>
                  </w:r>
                  <w:r>
                    <w:rPr>
                      <w:rStyle w:val="CharStyle191"/>
                      <w:lang w:val="ru-RU" w:eastAsia="ru-RU" w:bidi="ru-RU"/>
                      <w:b/>
                      <w:bCs/>
                      <w:i/>
                      <w:iCs/>
                    </w:rPr>
                    <w:t>и др.</w:t>
                  </w:r>
                </w:p>
              </w:txbxContent>
            </v:textbox>
            <w10:wrap anchorx="margin"/>
          </v:shape>
        </w:pict>
      </w:r>
      <w:r>
        <w:pict>
          <v:shape id="_x0000_s1962" type="#_x0000_t202" style="position:absolute;margin-left:0.95pt;margin-top:296.65pt;width:492.25pt;height:5.e-002pt;z-index:251657773;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Показания</w:t>
                  </w:r>
                </w:p>
                <w:p>
                  <w:pPr>
                    <w:pStyle w:val="Style182"/>
                    <w:widowControl w:val="0"/>
                    <w:keepNext w:val="0"/>
                    <w:keepLines w:val="0"/>
                    <w:shd w:val="clear" w:color="auto" w:fill="auto"/>
                    <w:bidi w:val="0"/>
                    <w:spacing w:before="0" w:after="0"/>
                    <w:ind w:left="0" w:right="0" w:firstLine="0"/>
                  </w:pPr>
                  <w:r>
                    <w:rPr>
                      <w:rStyle w:val="CharStyle183"/>
                    </w:rPr>
                    <w:t>Артериальная гипертензия, стенокардия напряжения, острый инфаркт миокарда (у больных со стабильными показателями гемодинамики), суправентрикулярные и желудочковые аритмии, эссенциальный тремор, мигрень (профилактика).</w:t>
                  </w:r>
                </w:p>
                <w:tbl>
                  <w:tblPr>
                    <w:tblOverlap w:val="never"/>
                    <w:tblLayout w:type="fixed"/>
                    <w:jc w:val="center"/>
                  </w:tblPr>
                  <w:tblGrid>
                    <w:gridCol w:w="1704"/>
                    <w:gridCol w:w="4570"/>
                    <w:gridCol w:w="3571"/>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54"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0,5-2 мг/кг/сут</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QD</w:t>
                        </w:r>
                      </w:p>
                    </w:tc>
                  </w:tr>
                </w:tbl>
                <w:p>
                  <w:pPr>
                    <w:pStyle w:val="Style182"/>
                    <w:widowControl w:val="0"/>
                    <w:keepNext w:val="0"/>
                    <w:keepLines w:val="0"/>
                    <w:shd w:val="clear" w:color="auto" w:fill="auto"/>
                    <w:bidi w:val="0"/>
                    <w:jc w:val="left"/>
                    <w:spacing w:before="0" w:after="0" w:line="160" w:lineRule="exact"/>
                    <w:ind w:left="0" w:right="0" w:firstLine="0"/>
                  </w:pPr>
                  <w:r>
                    <w:rPr>
                      <w:rStyle w:val="CharStyle183"/>
                    </w:rPr>
                    <w:t>Фармакологическое действие:</w:t>
                  </w:r>
                </w:p>
                <w:p>
                  <w:pPr>
                    <w:widowControl w:val="0"/>
                    <w:rPr>
                      <w:sz w:val="2"/>
                      <w:szCs w:val="2"/>
                    </w:rPr>
                  </w:pPr>
                </w:p>
              </w:txbxContent>
            </v:textbox>
            <w10:wrap anchorx="margin"/>
          </v:shape>
        </w:pict>
      </w:r>
      <w:r>
        <w:pict>
          <v:shape id="_x0000_s1963" type="#_x0000_t202" style="position:absolute;margin-left:1.2pt;margin-top:359.75pt;width:491.75pt;height:234.pt;z-index:251657774;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 xml:space="preserve">Антиангинальное, гипотензивное, антиаритмическое. Селективно блокирует </w:t>
                  </w:r>
                  <w:r>
                    <w:rPr>
                      <w:rStyle w:val="CharStyle190"/>
                      <w:lang w:val="en-US" w:eastAsia="en-US" w:bidi="en-US"/>
                    </w:rPr>
                    <w:t>Pi</w:t>
                  </w:r>
                  <w:r>
                    <w:rPr>
                      <w:rStyle w:val="CharStyle190"/>
                    </w:rPr>
                    <w:t>-адренорецепторы. Снижает сАД и дАД. Гипотензия обусловлена снижением сердечного выброса и ингибированием секреции ренина. Уменьшает потребность миокарда в кислороде (у больных с хр. сердечной недостаточностью за счет чрезмерного снижения сократимости миокарда, увеличения натяжения мышечных волокон желудочков и конечного диастолического давления в левом желудочке оказывает обратное действие). Антиаритмические свой</w:t>
                    <w:softHyphen/>
                    <w:t>ства связаны с подавлением автоматизма синусового узла, удлинением продолжительности рефракторного периода, замедлением про</w:t>
                    <w:softHyphen/>
                    <w:t xml:space="preserve">ведения по </w:t>
                  </w:r>
                  <w:r>
                    <w:rPr>
                      <w:rStyle w:val="CharStyle190"/>
                      <w:lang w:val="en-US" w:eastAsia="en-US" w:bidi="en-US"/>
                    </w:rPr>
                    <w:t xml:space="preserve">AV </w:t>
                  </w:r>
                  <w:r>
                    <w:rPr>
                      <w:rStyle w:val="CharStyle190"/>
                    </w:rPr>
                    <w:t>узлу. Увеличивает выживаемость больных, перенесших инфаркт миокарда (уменьшает число желудочковых аритмий и приступов стенокардии). После приема внутрь всасывается около 50% (пища не влияет на биодоступность). Не проникает через ГЭБ, проходит плацентарный барьер, почками выводится 35%, секретируется лакирующими молочными железами. В покое и при физичес</w:t>
                    <w:softHyphen/>
                    <w:t>кой нагрузке урежает ЧСС (достоверное урежение ЧСС возникает через 1 ч после перорального приема, достигает максимума через 2-4 ч и длится до 24 ч), после в/в введения — через 5 мин.</w:t>
                  </w:r>
                </w:p>
                <w:p>
                  <w:pPr>
                    <w:pStyle w:val="Style45"/>
                    <w:widowControl w:val="0"/>
                    <w:keepNext w:val="0"/>
                    <w:keepLines w:val="0"/>
                    <w:shd w:val="clear" w:color="auto" w:fill="auto"/>
                    <w:bidi w:val="0"/>
                    <w:spacing w:before="0" w:after="0"/>
                    <w:ind w:left="0" w:right="0" w:firstLine="0"/>
                  </w:pPr>
                  <w:r>
                    <w:rPr>
                      <w:rStyle w:val="CharStyle190"/>
                    </w:rPr>
                    <w:t>Противопоказания:</w:t>
                  </w:r>
                </w:p>
                <w:p>
                  <w:pPr>
                    <w:pStyle w:val="Style45"/>
                    <w:widowControl w:val="0"/>
                    <w:keepNext w:val="0"/>
                    <w:keepLines w:val="0"/>
                    <w:shd w:val="clear" w:color="auto" w:fill="auto"/>
                    <w:bidi w:val="0"/>
                    <w:spacing w:before="0" w:after="0"/>
                    <w:ind w:left="0" w:right="0" w:firstLine="0"/>
                  </w:pPr>
                  <w:r>
                    <w:rPr>
                      <w:rStyle w:val="CharStyle190"/>
                    </w:rPr>
                    <w:t xml:space="preserve">Синусовая брадикардия, </w:t>
                  </w:r>
                  <w:r>
                    <w:rPr>
                      <w:rStyle w:val="CharStyle190"/>
                      <w:lang w:val="en-US" w:eastAsia="en-US" w:bidi="en-US"/>
                    </w:rPr>
                    <w:t xml:space="preserve">AV </w:t>
                  </w:r>
                  <w:r>
                    <w:rPr>
                      <w:rStyle w:val="CharStyle190"/>
                    </w:rPr>
                    <w:t>блокада высоких градаций, кардиогенный шок, сердечная недостаточность, беременность, лактация (обяза</w:t>
                    <w:softHyphen/>
                    <w:t>телен отказ от грудного вскармливания).</w:t>
                  </w:r>
                </w:p>
                <w:p>
                  <w:pPr>
                    <w:pStyle w:val="Style45"/>
                    <w:widowControl w:val="0"/>
                    <w:keepNext w:val="0"/>
                    <w:keepLines w:val="0"/>
                    <w:shd w:val="clear" w:color="auto" w:fill="auto"/>
                    <w:bidi w:val="0"/>
                    <w:spacing w:before="0" w:after="0"/>
                    <w:ind w:left="0" w:right="0" w:firstLine="0"/>
                  </w:pPr>
                  <w:r>
                    <w:rPr>
                      <w:rStyle w:val="CharStyle190"/>
                    </w:rPr>
                    <w:t>Ограничения к применению:</w:t>
                  </w:r>
                </w:p>
                <w:p>
                  <w:pPr>
                    <w:pStyle w:val="Style45"/>
                    <w:widowControl w:val="0"/>
                    <w:keepNext w:val="0"/>
                    <w:keepLines w:val="0"/>
                    <w:shd w:val="clear" w:color="auto" w:fill="auto"/>
                    <w:bidi w:val="0"/>
                    <w:spacing w:before="0" w:after="0"/>
                    <w:ind w:left="0" w:right="0" w:firstLine="0"/>
                  </w:pPr>
                  <w:r>
                    <w:rPr>
                      <w:rStyle w:val="CharStyle190"/>
                    </w:rPr>
                    <w:t>Обструктивные заболевания легких, сахарный диабет и гипогликемия.</w:t>
                  </w:r>
                </w:p>
                <w:p>
                  <w:pPr>
                    <w:pStyle w:val="Style45"/>
                    <w:widowControl w:val="0"/>
                    <w:keepNext w:val="0"/>
                    <w:keepLines w:val="0"/>
                    <w:shd w:val="clear" w:color="auto" w:fill="auto"/>
                    <w:bidi w:val="0"/>
                    <w:spacing w:before="0" w:after="0"/>
                    <w:ind w:left="0" w:right="0" w:firstLine="0"/>
                  </w:pPr>
                  <w:r>
                    <w:rPr>
                      <w:rStyle w:val="CharStyle190"/>
                    </w:rPr>
                    <w:t>Побочные эффекты:</w:t>
                  </w:r>
                </w:p>
                <w:p>
                  <w:pPr>
                    <w:pStyle w:val="Style45"/>
                    <w:widowControl w:val="0"/>
                    <w:keepNext w:val="0"/>
                    <w:keepLines w:val="0"/>
                    <w:shd w:val="clear" w:color="auto" w:fill="auto"/>
                    <w:bidi w:val="0"/>
                    <w:spacing w:before="0" w:after="0"/>
                    <w:ind w:left="0" w:right="0" w:firstLine="0"/>
                  </w:pPr>
                  <w:r>
                    <w:rPr>
                      <w:rStyle w:val="CharStyle190"/>
                    </w:rPr>
                    <w:t xml:space="preserve">Брадикардия, прогрессирование сердечной недостаточности, </w:t>
                  </w:r>
                  <w:r>
                    <w:rPr>
                      <w:rStyle w:val="CharStyle190"/>
                      <w:lang w:val="en-US" w:eastAsia="en-US" w:bidi="en-US"/>
                    </w:rPr>
                    <w:t xml:space="preserve">AV </w:t>
                  </w:r>
                  <w:r>
                    <w:rPr>
                      <w:rStyle w:val="CharStyle190"/>
                    </w:rPr>
                    <w:t>блокада (вплоть до остановки сердца), синдром «отмены»; редко — бронхоспазм, нарушение микроциркуляции в конечностях, гипогликемия, гипотиреоидное состояние, диспепсия; очень редко — голов</w:t>
                    <w:softHyphen/>
                    <w:t>ная боль, головокружение, депрессия, ночные кошмары, аллергические реакции (лихорадка, агранулоцитоз, кожные высыпания, ларин- госпазм).</w:t>
                  </w:r>
                </w:p>
                <w:p>
                  <w:pPr>
                    <w:pStyle w:val="Style45"/>
                    <w:widowControl w:val="0"/>
                    <w:keepNext w:val="0"/>
                    <w:keepLines w:val="0"/>
                    <w:shd w:val="clear" w:color="auto" w:fill="auto"/>
                    <w:bidi w:val="0"/>
                    <w:spacing w:before="0" w:after="0"/>
                    <w:ind w:left="0" w:right="0" w:firstLine="0"/>
                  </w:pPr>
                  <w:r>
                    <w:rPr>
                      <w:rStyle w:val="CharStyle190"/>
                    </w:rPr>
                    <w:t>Взаимодействие:</w:t>
                  </w:r>
                </w:p>
                <w:p>
                  <w:pPr>
                    <w:pStyle w:val="Style45"/>
                    <w:widowControl w:val="0"/>
                    <w:keepNext w:val="0"/>
                    <w:keepLines w:val="0"/>
                    <w:shd w:val="clear" w:color="auto" w:fill="auto"/>
                    <w:bidi w:val="0"/>
                    <w:spacing w:before="0" w:after="0"/>
                    <w:ind w:left="0" w:right="0" w:firstLine="0"/>
                  </w:pPr>
                  <w:r>
                    <w:rPr>
                      <w:rStyle w:val="CharStyle190"/>
                    </w:rPr>
                    <w:t>Общие анестетики усиливают кардиодепрессивную активность. Снижают гипотензивный эффект НПВС и эстрогены (задержка жидко</w:t>
                    <w:softHyphen/>
                    <w:t>сти в организме), симпатомиметики, ксантины, увеличивают гипотензивные средства. Циметидин замедляет метаболизм. Атенолол про</w:t>
                    <w:softHyphen/>
                    <w:t>лонгирует миорелаксацию на фоне антидеполяризаторов.</w:t>
                  </w:r>
                </w:p>
              </w:txbxContent>
            </v:textbox>
            <w10:wrap anchorx="margin"/>
          </v:shape>
        </w:pict>
      </w:r>
      <w:r>
        <w:pict>
          <v:shape id="_x0000_s1964" type="#_x0000_t75" style="position:absolute;margin-left:147.85pt;margin-top:734.65pt;width:209.75pt;height:14.9pt;z-index:-251658613;mso-wrap-distance-left:5.pt;mso-wrap-distance-right:5.pt;mso-position-horizontal-relative:margin" wrapcoords="0 0">
            <v:imagedata r:id="rId1428" r:href="rId1429"/>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78" w:lineRule="exact"/>
      </w:pPr>
    </w:p>
    <w:p>
      <w:pPr>
        <w:widowControl w:val="0"/>
        <w:rPr>
          <w:sz w:val="2"/>
          <w:szCs w:val="2"/>
        </w:rPr>
        <w:sectPr>
          <w:type w:val="continuous"/>
          <w:pgSz w:w="11900" w:h="16840"/>
          <w:pgMar w:top="1438" w:left="898" w:right="1124" w:bottom="162" w:header="0" w:footer="3" w:gutter="0"/>
          <w:rtlGutter w:val="0"/>
          <w:cols w:space="720"/>
          <w:noEndnote/>
          <w:docGrid w:linePitch="360"/>
        </w:sectPr>
      </w:pPr>
    </w:p>
    <w:p>
      <w:pPr>
        <w:widowControl w:val="0"/>
        <w:rPr>
          <w:sz w:val="2"/>
          <w:szCs w:val="2"/>
        </w:rPr>
      </w:pPr>
      <w:r>
        <w:pict>
          <v:shape id="_x0000_s1965" type="#_x0000_t202" style="position:static;width:595.pt;height:7.05pt" filled="f" stroked="f">
            <v:textbox inset="0,0,0,0">
              <w:txbxContent>
                <w:p>
                  <w:pPr>
                    <w:widowControl w:val="0"/>
                  </w:pPr>
                </w:p>
              </w:txbxContent>
            </v:textbox>
            <w10:anchorlock/>
          </v:shape>
        </w:pict>
      </w:r>
      <w:r>
        <w:t xml:space="preserve"> </w:t>
      </w:r>
    </w:p>
    <w:p>
      <w:pPr>
        <w:widowControl w:val="0"/>
        <w:rPr>
          <w:sz w:val="2"/>
          <w:szCs w:val="2"/>
        </w:rPr>
        <w:sectPr>
          <w:pgSz w:w="11900" w:h="16840"/>
          <w:pgMar w:top="1438" w:left="0" w:right="0" w:bottom="162" w:header="0" w:footer="3" w:gutter="0"/>
          <w:rtlGutter w:val="0"/>
          <w:cols w:space="720"/>
          <w:noEndnote/>
          <w:docGrid w:linePitch="360"/>
        </w:sectPr>
      </w:pPr>
    </w:p>
    <w:p>
      <w:pPr>
        <w:widowControl w:val="0"/>
        <w:spacing w:line="360" w:lineRule="exact"/>
      </w:pPr>
      <w:r>
        <w:pict>
          <v:shape id="_x0000_s1966" type="#_x0000_t202" style="position:absolute;margin-left:0.7pt;margin-top:0.1pt;width:491.5pt;height:70.3pt;z-index:251657775;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Лидокаина гидрохлорид </w:t>
                  </w:r>
                  <w:r>
                    <w:rPr>
                      <w:rStyle w:val="CharStyle191"/>
                      <w:b/>
                      <w:bCs/>
                      <w:i/>
                      <w:iCs/>
                    </w:rPr>
                    <w:t xml:space="preserve">(Lidocaini Hydrochloridum) </w:t>
                  </w:r>
                  <w:r>
                    <w:rPr>
                      <w:rStyle w:val="CharStyle191"/>
                      <w:lang w:val="ru-RU" w:eastAsia="ru-RU" w:bidi="ru-RU"/>
                      <w:b/>
                      <w:bCs/>
                      <w:i/>
                      <w:iCs/>
                    </w:rPr>
                    <w:t xml:space="preserve">Синонимы: Ксикаин, Ксилокаин, Лидестин, </w:t>
                  </w:r>
                  <w:r>
                    <w:rPr>
                      <w:rStyle w:val="CharStyle191"/>
                      <w:b/>
                      <w:bCs/>
                      <w:i/>
                      <w:iCs/>
                    </w:rPr>
                    <w:t xml:space="preserve">Acetoxyline, Alocaine, Anestacon, Anestecain, Astracaine, Dolicaine, Dulcicaine, Esracaine, Fastocaine, Leostesin, Lidestin, Lidocaine, Lidocard, Lidocaton, Lignocain, Maricain, Nulicaine, Octocaine, Remicaine, Solcain, Stericaine, Xycain, Xylesin, Xylocain, Xylocard, Xylocitin, Xyloton, Xylotox </w:t>
                  </w:r>
                  <w:r>
                    <w:rPr>
                      <w:rStyle w:val="CharStyle191"/>
                      <w:lang w:val="ru-RU" w:eastAsia="ru-RU" w:bidi="ru-RU"/>
                      <w:b/>
                      <w:bCs/>
                      <w:i/>
                      <w:iCs/>
                    </w:rPr>
                    <w:t>и др.</w:t>
                  </w:r>
                </w:p>
                <w:p>
                  <w:pPr>
                    <w:pStyle w:val="Style30"/>
                    <w:widowControl w:val="0"/>
                    <w:keepNext w:val="0"/>
                    <w:keepLines w:val="0"/>
                    <w:shd w:val="clear" w:color="auto" w:fill="auto"/>
                    <w:bidi w:val="0"/>
                    <w:spacing w:before="0" w:after="0" w:line="192" w:lineRule="exact"/>
                    <w:ind w:left="0" w:right="0" w:firstLine="0"/>
                  </w:pPr>
                  <w:r>
                    <w:rPr>
                      <w:rStyle w:val="CharStyle90"/>
                    </w:rPr>
                    <w:t>Профилактика и лечение желудочковых нарушений ритма (желудочковая экстрасистолия, желудочковая пароксизмальная тахикардия), связанных с острой фазой инфаркта миокарда, другими формами ИБС, а также вызванных лекарственными препаратами (сердечными гликозидами).</w:t>
                  </w:r>
                </w:p>
                <w:p>
                  <w:pPr>
                    <w:pStyle w:val="Style30"/>
                    <w:widowControl w:val="0"/>
                    <w:keepNext w:val="0"/>
                    <w:keepLines w:val="0"/>
                    <w:shd w:val="clear" w:color="auto" w:fill="auto"/>
                    <w:bidi w:val="0"/>
                    <w:spacing w:before="0" w:after="0" w:line="192" w:lineRule="exact"/>
                    <w:ind w:left="0" w:right="0" w:firstLine="0"/>
                  </w:pPr>
                  <w:r>
                    <w:rPr>
                      <w:rStyle w:val="CharStyle90"/>
                    </w:rPr>
                    <w:t>Локальный анестетик.</w:t>
                  </w:r>
                </w:p>
              </w:txbxContent>
            </v:textbox>
            <w10:wrap anchorx="margin"/>
          </v:shape>
        </w:pict>
      </w:r>
      <w:r>
        <w:pict>
          <v:shape id="_x0000_s1967" type="#_x0000_t202" style="position:absolute;margin-left:0.7pt;margin-top:71.05pt;width:492.25pt;height:5.e-002pt;z-index:251657776;mso-wrap-distance-left:5.pt;mso-wrap-distance-right:5.pt;mso-position-horizontal-relative:margin" filled="f" stroked="f">
            <v:textbox style="mso-fit-shape-to-text:t" inset="0,0,0,0">
              <w:txbxContent>
                <w:tbl>
                  <w:tblPr>
                    <w:tblOverlap w:val="never"/>
                    <w:tblLayout w:type="fixed"/>
                    <w:jc w:val="center"/>
                  </w:tblPr>
                  <w:tblGrid>
                    <w:gridCol w:w="1704"/>
                    <w:gridCol w:w="4574"/>
                    <w:gridCol w:w="3566"/>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В/в</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0,5-1 мг/кг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Возможен повторный прием через 5 мин</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Инфузия</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20-50 мкг/кг/мин</w:t>
                        </w: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pStyle w:val="Style96"/>
                    <w:widowControl w:val="0"/>
                    <w:keepNext w:val="0"/>
                    <w:keepLines w:val="0"/>
                    <w:shd w:val="clear" w:color="auto" w:fill="auto"/>
                    <w:bidi w:val="0"/>
                    <w:jc w:val="left"/>
                    <w:spacing w:before="0" w:after="0" w:line="180" w:lineRule="exact"/>
                    <w:ind w:left="0" w:right="0" w:firstLine="0"/>
                  </w:pPr>
                  <w:r>
                    <w:rPr>
                      <w:rStyle w:val="CharStyle97"/>
                    </w:rPr>
                    <w:t>Фармакологическое действие:</w:t>
                  </w:r>
                </w:p>
                <w:p>
                  <w:pPr>
                    <w:widowControl w:val="0"/>
                    <w:rPr>
                      <w:sz w:val="2"/>
                      <w:szCs w:val="2"/>
                    </w:rPr>
                  </w:pPr>
                </w:p>
              </w:txbxContent>
            </v:textbox>
            <w10:wrap anchorx="margin"/>
          </v:shape>
        </w:pict>
      </w:r>
      <w:r>
        <w:pict>
          <v:shape id="_x0000_s1968" type="#_x0000_t202" style="position:absolute;margin-left:0.95pt;margin-top:115.9pt;width:491.75pt;height:310.05pt;z-index:251657777;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Местноанестезирующий и антиаритмический препарат, производное ацетанилида. Оказывает выраженное местноанестезирующее дей</w:t>
                    <w:softHyphen/>
                    <w:t xml:space="preserve">ствие и обладает также антиаритмическими свойствами </w:t>
                  </w:r>
                  <w:r>
                    <w:rPr>
                      <w:rStyle w:val="CharStyle90"/>
                      <w:lang w:val="en-US" w:eastAsia="en-US" w:bidi="en-US"/>
                    </w:rPr>
                    <w:t xml:space="preserve">IB </w:t>
                  </w:r>
                  <w:r>
                    <w:rPr>
                      <w:rStyle w:val="CharStyle90"/>
                    </w:rPr>
                    <w:t>класса.</w:t>
                  </w:r>
                </w:p>
                <w:p>
                  <w:pPr>
                    <w:pStyle w:val="Style30"/>
                    <w:widowControl w:val="0"/>
                    <w:keepNext w:val="0"/>
                    <w:keepLines w:val="0"/>
                    <w:shd w:val="clear" w:color="auto" w:fill="auto"/>
                    <w:bidi w:val="0"/>
                    <w:spacing w:before="0" w:after="0" w:line="192" w:lineRule="exact"/>
                    <w:ind w:left="0" w:right="0" w:firstLine="0"/>
                  </w:pPr>
                  <w:r>
                    <w:rPr>
                      <w:rStyle w:val="CharStyle90"/>
                    </w:rPr>
                    <w:t>Механизм действия связан со стабилизацией клеточных мембран за счет блокады натриевых каналов. В миокарде подавляет автоматизм эктопических очагов, главным образом в желудочках, в терапевтических дозах практически не угнетает проводимость и сократимость миокарда. Ускоряет процесс реполяризации клеточных мембран, укорачивает продолжительность потенциала действия и эффективно</w:t>
                    <w:softHyphen/>
                    <w:t>го рефрактерного периода. Анестезирующее действие наступает быстро и продолжается 1-1,5 ч.</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lang w:val="en-US" w:eastAsia="en-US" w:bidi="en-US"/>
                    </w:rPr>
                    <w:t xml:space="preserve">AV </w:t>
                  </w:r>
                  <w:r>
                    <w:rPr>
                      <w:rStyle w:val="CharStyle90"/>
                    </w:rPr>
                    <w:t>блокада II и III степени, тяжелые формы хронической сердечной недостаточности, выраженная артериальная гипотензия, выражен</w:t>
                    <w:softHyphen/>
                    <w:t>ные нарушения функции печени, брадикардия, кардиогенный шок, указания в анамнезе на эпилептиформные судороги, связанные с введением лидокаина, повышенная чувствительность к лидокаину.</w:t>
                  </w:r>
                </w:p>
                <w:p>
                  <w:pPr>
                    <w:pStyle w:val="Style30"/>
                    <w:widowControl w:val="0"/>
                    <w:keepNext w:val="0"/>
                    <w:keepLines w:val="0"/>
                    <w:shd w:val="clear" w:color="auto" w:fill="auto"/>
                    <w:bidi w:val="0"/>
                    <w:spacing w:before="0" w:after="0" w:line="192" w:lineRule="exact"/>
                    <w:ind w:left="0" w:right="0" w:firstLine="0"/>
                  </w:pPr>
                  <w:r>
                    <w:rPr>
                      <w:rStyle w:val="CharStyle90"/>
                    </w:rPr>
                    <w:t>Особые указания:</w:t>
                  </w:r>
                </w:p>
                <w:p>
                  <w:pPr>
                    <w:pStyle w:val="Style30"/>
                    <w:widowControl w:val="0"/>
                    <w:keepNext w:val="0"/>
                    <w:keepLines w:val="0"/>
                    <w:shd w:val="clear" w:color="auto" w:fill="auto"/>
                    <w:bidi w:val="0"/>
                    <w:spacing w:before="0" w:after="0" w:line="192" w:lineRule="exact"/>
                    <w:ind w:left="0" w:right="0" w:firstLine="0"/>
                  </w:pPr>
                  <w:r>
                    <w:rPr>
                      <w:rStyle w:val="CharStyle90"/>
                    </w:rPr>
                    <w:t>С особой осторожностью следует вводить препарат пациентам с сердечной недостаточностью, при артериальной гипотензии, недоста</w:t>
                    <w:softHyphen/>
                    <w:t xml:space="preserve">точности функции печени и почек. В таких случаях дозы препарата следует уменьшить. Во время применения лидокаина обязательным является контроль ЭКГ. Если наблюдаются нарушения деятельности синусового узла, удлинение интервала </w:t>
                  </w:r>
                  <w:r>
                    <w:rPr>
                      <w:rStyle w:val="CharStyle90"/>
                      <w:lang w:val="en-US" w:eastAsia="en-US" w:bidi="en-US"/>
                    </w:rPr>
                    <w:t xml:space="preserve">P-Q, </w:t>
                  </w:r>
                  <w:r>
                    <w:rPr>
                      <w:rStyle w:val="CharStyle90"/>
                    </w:rPr>
                    <w:t xml:space="preserve">расширение </w:t>
                  </w:r>
                  <w:r>
                    <w:rPr>
                      <w:rStyle w:val="CharStyle90"/>
                      <w:lang w:val="en-US" w:eastAsia="en-US" w:bidi="en-US"/>
                    </w:rPr>
                    <w:t xml:space="preserve">QRS </w:t>
                  </w:r>
                  <w:r>
                    <w:rPr>
                      <w:rStyle w:val="CharStyle90"/>
                    </w:rPr>
                    <w:t>или новая аритмия, то следует уменьшить дозу или прекратить лечение.</w:t>
                  </w:r>
                </w:p>
                <w:p>
                  <w:pPr>
                    <w:pStyle w:val="Style30"/>
                    <w:widowControl w:val="0"/>
                    <w:keepNext w:val="0"/>
                    <w:keepLines w:val="0"/>
                    <w:shd w:val="clear" w:color="auto" w:fill="auto"/>
                    <w:bidi w:val="0"/>
                    <w:spacing w:before="0" w:after="0" w:line="192" w:lineRule="exact"/>
                    <w:ind w:left="0" w:right="0" w:firstLine="0"/>
                  </w:pPr>
                  <w:r>
                    <w:rPr>
                      <w:rStyle w:val="CharStyle90"/>
                    </w:rPr>
                    <w:t>При быстром в/в введении возможно резкое снижение АД и развитие коллапса. В этих случаях применяют мезатон, эфедрин и другие сосудосуживающие средства.</w:t>
                  </w:r>
                </w:p>
                <w:p>
                  <w:pPr>
                    <w:pStyle w:val="Style30"/>
                    <w:widowControl w:val="0"/>
                    <w:keepNext w:val="0"/>
                    <w:keepLines w:val="0"/>
                    <w:shd w:val="clear" w:color="auto" w:fill="auto"/>
                    <w:bidi w:val="0"/>
                    <w:spacing w:before="0" w:after="0" w:line="192" w:lineRule="exact"/>
                    <w:ind w:left="0" w:right="0" w:firstLine="0"/>
                  </w:pPr>
                  <w:r>
                    <w:rPr>
                      <w:rStyle w:val="CharStyle90"/>
                    </w:rPr>
                    <w:t>Передозировка</w:t>
                  </w:r>
                </w:p>
                <w:p>
                  <w:pPr>
                    <w:pStyle w:val="Style30"/>
                    <w:widowControl w:val="0"/>
                    <w:keepNext w:val="0"/>
                    <w:keepLines w:val="0"/>
                    <w:shd w:val="clear" w:color="auto" w:fill="auto"/>
                    <w:bidi w:val="0"/>
                    <w:spacing w:before="0" w:after="0" w:line="192" w:lineRule="exact"/>
                    <w:ind w:left="0" w:right="0" w:firstLine="0"/>
                  </w:pPr>
                  <w:r>
                    <w:rPr>
                      <w:rStyle w:val="CharStyle90"/>
                    </w:rPr>
                    <w:t>Симптомы: основные симптомы связаны с угнетающим действием на ЦНС и сердечно-сосудистую систему. Возможны усугубление по</w:t>
                    <w:softHyphen/>
                    <w:t>бочного действия, а также дезориентация, судороги, тремор, асфиксия.</w:t>
                  </w:r>
                </w:p>
                <w:p>
                  <w:pPr>
                    <w:pStyle w:val="Style30"/>
                    <w:widowControl w:val="0"/>
                    <w:keepNext w:val="0"/>
                    <w:keepLines w:val="0"/>
                    <w:shd w:val="clear" w:color="auto" w:fill="auto"/>
                    <w:bidi w:val="0"/>
                    <w:spacing w:before="0" w:after="0" w:line="192" w:lineRule="exact"/>
                    <w:ind w:left="0" w:right="0" w:firstLine="0"/>
                  </w:pPr>
                  <w:r>
                    <w:rPr>
                      <w:rStyle w:val="CharStyle90"/>
                    </w:rPr>
                    <w:t>Лечение: симптомы со стороны ЦНС корригируются применением бензодиазепинов или барбитуратов короткой продолжительности действия. Если передозировка возникает в процессе анестезии, рекомендуется применять короткодействующий миорелаксант. Для ле</w:t>
                    <w:softHyphen/>
                    <w:t>чения сердечно-сосудистых осложнений применяются атропин (для коррекции брадикардии и нарушений проводимости) или симпато- миметики (при артериальной гипотензии).</w:t>
                  </w:r>
                </w:p>
                <w:p>
                  <w:pPr>
                    <w:pStyle w:val="Style30"/>
                    <w:widowControl w:val="0"/>
                    <w:keepNext w:val="0"/>
                    <w:keepLines w:val="0"/>
                    <w:shd w:val="clear" w:color="auto" w:fill="auto"/>
                    <w:bidi w:val="0"/>
                    <w:spacing w:before="0" w:after="0" w:line="192" w:lineRule="exact"/>
                    <w:ind w:left="0" w:right="0" w:firstLine="0"/>
                  </w:pPr>
                  <w:r>
                    <w:rPr>
                      <w:rStyle w:val="CharStyle90"/>
                    </w:rPr>
                    <w:t>При острой передозировке лидокаина диализ не эффективен.</w:t>
                  </w:r>
                </w:p>
                <w:p>
                  <w:pPr>
                    <w:pStyle w:val="Style30"/>
                    <w:widowControl w:val="0"/>
                    <w:keepNext w:val="0"/>
                    <w:keepLines w:val="0"/>
                    <w:shd w:val="clear" w:color="auto" w:fill="auto"/>
                    <w:bidi w:val="0"/>
                    <w:spacing w:before="0" w:after="0" w:line="192" w:lineRule="exact"/>
                    <w:ind w:left="0" w:right="0" w:firstLine="0"/>
                  </w:pPr>
                  <w:r>
                    <w:rPr>
                      <w:rStyle w:val="CharStyle90"/>
                    </w:rPr>
                    <w:t>Лекарственное взаимодействие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При одновременном применении следующие препараты снижают концентрацию лидокаина в сыворотке крови: хлорпромазин, цимети- дин, пропранолол, хинидин, дизопирамид, амитриптилин, имипрамин.</w:t>
                  </w:r>
                </w:p>
                <w:p>
                  <w:pPr>
                    <w:pStyle w:val="Style30"/>
                    <w:widowControl w:val="0"/>
                    <w:keepNext w:val="0"/>
                    <w:keepLines w:val="0"/>
                    <w:shd w:val="clear" w:color="auto" w:fill="auto"/>
                    <w:bidi w:val="0"/>
                    <w:spacing w:before="0" w:after="0" w:line="192" w:lineRule="exact"/>
                    <w:ind w:left="0" w:right="0" w:firstLine="0"/>
                  </w:pPr>
                  <w:r>
                    <w:rPr>
                      <w:rStyle w:val="CharStyle90"/>
                    </w:rPr>
                    <w:t xml:space="preserve">Одновременное применение с антиаритмическими препаратами </w:t>
                  </w:r>
                  <w:r>
                    <w:rPr>
                      <w:rStyle w:val="CharStyle90"/>
                      <w:lang w:val="en-US" w:eastAsia="en-US" w:bidi="en-US"/>
                    </w:rPr>
                    <w:t xml:space="preserve">IA </w:t>
                  </w:r>
                  <w:r>
                    <w:rPr>
                      <w:rStyle w:val="CharStyle90"/>
                    </w:rPr>
                    <w:t>класса (хинидин, прокаинамид, дизопирамид) приводит к удлине</w:t>
                    <w:softHyphen/>
                    <w:t xml:space="preserve">нию сегмента </w:t>
                  </w:r>
                  <w:r>
                    <w:rPr>
                      <w:rStyle w:val="CharStyle90"/>
                      <w:lang w:val="en-US" w:eastAsia="en-US" w:bidi="en-US"/>
                    </w:rPr>
                    <w:t xml:space="preserve">QT </w:t>
                  </w:r>
                  <w:r>
                    <w:rPr>
                      <w:rStyle w:val="CharStyle90"/>
                    </w:rPr>
                    <w:t xml:space="preserve">и только в редких случаях — к появлению </w:t>
                  </w:r>
                  <w:r>
                    <w:rPr>
                      <w:rStyle w:val="CharStyle90"/>
                      <w:lang w:val="en-US" w:eastAsia="en-US" w:bidi="en-US"/>
                    </w:rPr>
                    <w:t xml:space="preserve">AV </w:t>
                  </w:r>
                  <w:r>
                    <w:rPr>
                      <w:rStyle w:val="CharStyle90"/>
                    </w:rPr>
                    <w:t>блокады или желудочковой фибрилляции. Фенитоин повышает кардио</w:t>
                    <w:softHyphen/>
                    <w:t>депрессивный эффект лидокаина. Лидокаин может усиливать эффект миорелаксантов. При одновременном применении лидокаина и этанола возможно усиление угнетающего действия на дыхательный центр.</w:t>
                  </w:r>
                </w:p>
              </w:txbxContent>
            </v:textbox>
            <w10:wrap anchorx="margin"/>
          </v:shape>
        </w:pict>
      </w:r>
      <w:r>
        <w:pict>
          <v:shape id="_x0000_s1969" type="#_x0000_t202" style="position:absolute;margin-left:0.25pt;margin-top:458.15pt;width:493.7pt;height:5.e-002pt;z-index:251657778;mso-wrap-distance-left:5.pt;mso-wrap-distance-right:5.pt;mso-position-horizontal-relative:margin" filled="f" stroked="f">
            <v:textbox style="mso-fit-shape-to-text:t" inset="0,0,0,0">
              <w:txbxContent>
                <w:tbl>
                  <w:tblPr>
                    <w:tblOverlap w:val="never"/>
                    <w:tblLayout w:type="fixed"/>
                    <w:jc w:val="center"/>
                  </w:tblPr>
                  <w:tblGrid>
                    <w:gridCol w:w="2429"/>
                    <w:gridCol w:w="3864"/>
                    <w:gridCol w:w="3581"/>
                  </w:tblGrid>
                  <w:tr>
                    <w:trPr>
                      <w:trHeight w:val="245" w:hRule="exact"/>
                    </w:trPr>
                    <w:tc>
                      <w:tcPr>
                        <w:shd w:val="clear" w:color="auto" w:fill="FFFFFF"/>
                        <w:gridSpan w:val="3"/>
                        <w:tcBorders>
                          <w:left w:val="single" w:sz="4"/>
                          <w:right w:val="single" w:sz="4"/>
                          <w:top w:val="single" w:sz="4"/>
                        </w:tcBorders>
                        <w:vAlign w:val="top"/>
                      </w:tcPr>
                      <w:p>
                        <w:pPr>
                          <w:pStyle w:val="Style30"/>
                          <w:widowControl w:val="0"/>
                          <w:keepNext w:val="0"/>
                          <w:keepLines w:val="0"/>
                          <w:shd w:val="clear" w:color="auto" w:fill="auto"/>
                          <w:bidi w:val="0"/>
                          <w:spacing w:before="0" w:after="0" w:line="150" w:lineRule="exact"/>
                          <w:ind w:left="0" w:right="0" w:firstLine="0"/>
                        </w:pPr>
                        <w:r>
                          <w:rPr>
                            <w:rStyle w:val="CharStyle192"/>
                            <w:lang w:val="ru-RU" w:eastAsia="ru-RU" w:bidi="ru-RU"/>
                          </w:rPr>
                          <w:t>Прокаинамид</w:t>
                        </w:r>
                      </w:p>
                    </w:tc>
                  </w:tr>
                  <w:tr>
                    <w:trPr>
                      <w:trHeight w:val="624" w:hRule="exact"/>
                    </w:trPr>
                    <w:tc>
                      <w:tcPr>
                        <w:shd w:val="clear" w:color="auto" w:fill="FFFFFF"/>
                        <w:gridSpan w:val="3"/>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Начало действия: перорально — 2-4 часа, в/м — 10-30 мин.</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 xml:space="preserve">Механизм действия: антиаритмический препарат класса </w:t>
                        </w:r>
                        <w:r>
                          <w:rPr>
                            <w:lang w:val="en-US" w:eastAsia="en-US" w:bidi="en-US"/>
                            <w:w w:val="100"/>
                            <w:spacing w:val="0"/>
                            <w:color w:val="000000"/>
                            <w:position w:val="0"/>
                          </w:rPr>
                          <w:t xml:space="preserve">IA, </w:t>
                        </w:r>
                        <w:r>
                          <w:rPr>
                            <w:lang w:val="ru-RU" w:eastAsia="ru-RU" w:bidi="ru-RU"/>
                            <w:w w:val="100"/>
                            <w:spacing w:val="0"/>
                            <w:color w:val="000000"/>
                            <w:position w:val="0"/>
                          </w:rPr>
                          <w:t>блокирует натриевые каналы, снижает возбудимость и проводимость миокарда.</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4-12 мг/кг, максимально 1 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Каждые 3-6 часов</w:t>
                        </w:r>
                      </w:p>
                    </w:tc>
                  </w:tr>
                  <w:tr>
                    <w:trPr>
                      <w:trHeight w:val="456"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Инфузия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20-80 мкг/кг/мин максимально 6 мг/мин</w:t>
                        </w:r>
                      </w:p>
                    </w:tc>
                    <w:tc>
                      <w:tcPr>
                        <w:shd w:val="clear" w:color="auto" w:fill="FFFFFF"/>
                        <w:tcBorders>
                          <w:left w:val="single" w:sz="4"/>
                          <w:right w:val="single" w:sz="4"/>
                          <w:top w:val="single" w:sz="4"/>
                        </w:tcBorders>
                        <w:vAlign w:val="top"/>
                      </w:tcPr>
                      <w:p>
                        <w:pPr>
                          <w:widowControl w:val="0"/>
                          <w:rPr>
                            <w:sz w:val="10"/>
                            <w:szCs w:val="10"/>
                          </w:rPr>
                        </w:pPr>
                      </w:p>
                    </w:tc>
                  </w:tr>
                  <w:tr>
                    <w:trPr>
                      <w:trHeight w:val="456"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В/в (антиаритмический эффект)</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Доза насыщения 5-15 мг/кг максимально 100 мг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Повтор более чем через 30 мин</w:t>
                        </w:r>
                      </w:p>
                    </w:tc>
                  </w:tr>
                  <w:tr>
                    <w:trPr>
                      <w:trHeight w:val="1406" w:hRule="exact"/>
                    </w:trPr>
                    <w:tc>
                      <w:tcPr>
                        <w:shd w:val="clear" w:color="auto" w:fill="FFFFFF"/>
                        <w:gridSpan w:val="3"/>
                        <w:tcBorders>
                          <w:left w:val="single" w:sz="4"/>
                          <w:right w:val="single" w:sz="4"/>
                          <w:top w:val="single" w:sz="4"/>
                          <w:bottom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 xml:space="preserve">Побочные эффекты: гипотензия, лихорадка, пролонгирование </w:t>
                        </w:r>
                        <w:r>
                          <w:rPr>
                            <w:lang w:val="en-US" w:eastAsia="en-US" w:bidi="en-US"/>
                            <w:w w:val="100"/>
                            <w:spacing w:val="0"/>
                            <w:color w:val="000000"/>
                            <w:position w:val="0"/>
                          </w:rPr>
                          <w:t xml:space="preserve">QT </w:t>
                        </w:r>
                        <w:r>
                          <w:rPr>
                            <w:lang w:val="ru-RU" w:eastAsia="ru-RU" w:bidi="ru-RU"/>
                            <w:w w:val="100"/>
                            <w:spacing w:val="0"/>
                            <w:color w:val="000000"/>
                            <w:position w:val="0"/>
                          </w:rPr>
                          <w:t xml:space="preserve">и </w:t>
                        </w:r>
                        <w:r>
                          <w:rPr>
                            <w:lang w:val="en-US" w:eastAsia="en-US" w:bidi="en-US"/>
                            <w:w w:val="100"/>
                            <w:spacing w:val="0"/>
                            <w:color w:val="000000"/>
                            <w:position w:val="0"/>
                          </w:rPr>
                          <w:t xml:space="preserve">QRS, </w:t>
                        </w:r>
                        <w:r>
                          <w:rPr>
                            <w:lang w:val="ru-RU" w:eastAsia="ru-RU" w:bidi="ru-RU"/>
                            <w:w w:val="100"/>
                            <w:spacing w:val="0"/>
                            <w:color w:val="000000"/>
                            <w:position w:val="0"/>
                          </w:rPr>
                          <w:t>тромбоцитопения, положительный тест Кумбса, аритмия, сыпь, тромбоцитопения, миалгия и пр.</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Терапевтическая концентрация: 4-10 мг/л.</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 xml:space="preserve">Осторожность: токсичен при </w:t>
                        </w:r>
                        <w:r>
                          <w:rPr>
                            <w:lang w:val="en-US" w:eastAsia="en-US" w:bidi="en-US"/>
                            <w:w w:val="100"/>
                            <w:spacing w:val="0"/>
                            <w:color w:val="000000"/>
                            <w:position w:val="0"/>
                          </w:rPr>
                          <w:t xml:space="preserve">QRS </w:t>
                        </w:r>
                        <w:r>
                          <w:rPr>
                            <w:lang w:val="ru-RU" w:eastAsia="ru-RU" w:bidi="ru-RU"/>
                            <w:w w:val="100"/>
                            <w:spacing w:val="0"/>
                            <w:color w:val="000000"/>
                            <w:position w:val="0"/>
                          </w:rPr>
                          <w:t>более 0,2 сек.</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Лекарственное взаимодействие: эффект препарата усиливается при одновременном приеме с цимитидином, ранитидином, амиодаро- ном, бета-блокаторами, триметаприном и др.</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 xml:space="preserve">Противопоказания: </w:t>
                        </w:r>
                        <w:r>
                          <w:rPr>
                            <w:lang w:val="en-US" w:eastAsia="en-US" w:bidi="en-US"/>
                            <w:w w:val="100"/>
                            <w:spacing w:val="0"/>
                            <w:color w:val="000000"/>
                            <w:position w:val="0"/>
                          </w:rPr>
                          <w:t xml:space="preserve">miasthenia gravis, </w:t>
                        </w:r>
                        <w:r>
                          <w:rPr>
                            <w:lang w:val="ru-RU" w:eastAsia="ru-RU" w:bidi="ru-RU"/>
                            <w:w w:val="100"/>
                            <w:spacing w:val="0"/>
                            <w:color w:val="000000"/>
                            <w:position w:val="0"/>
                          </w:rPr>
                          <w:t>полная АВ-блокада.</w:t>
                        </w:r>
                      </w:p>
                    </w:tc>
                  </w:tr>
                </w:tbl>
                <w:p>
                  <w:pPr>
                    <w:widowControl w:val="0"/>
                    <w:rPr>
                      <w:sz w:val="2"/>
                      <w:szCs w:val="2"/>
                    </w:rPr>
                  </w:pPr>
                </w:p>
              </w:txbxContent>
            </v:textbox>
            <w10:wrap anchorx="margin"/>
          </v:shape>
        </w:pict>
      </w:r>
      <w:r>
        <w:pict>
          <v:shape id="_x0000_s1970" type="#_x0000_t75" style="position:absolute;margin-left:136.55pt;margin-top:734.65pt;width:209.75pt;height:14.9pt;z-index:-251658612;mso-wrap-distance-left:5.pt;mso-wrap-distance-right:5.pt;mso-position-horizontal-relative:margin" wrapcoords="0 0">
            <v:imagedata r:id="rId1430" r:href="rId1431"/>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78" w:lineRule="exact"/>
      </w:pPr>
    </w:p>
    <w:p>
      <w:pPr>
        <w:widowControl w:val="0"/>
        <w:rPr>
          <w:sz w:val="2"/>
          <w:szCs w:val="2"/>
        </w:rPr>
        <w:sectPr>
          <w:type w:val="continuous"/>
          <w:pgSz w:w="11900" w:h="16840"/>
          <w:pgMar w:top="1438" w:left="1124" w:right="898" w:bottom="162" w:header="0" w:footer="3" w:gutter="0"/>
          <w:rtlGutter w:val="0"/>
          <w:cols w:space="720"/>
          <w:noEndnote/>
          <w:docGrid w:linePitch="360"/>
        </w:sectPr>
      </w:pPr>
    </w:p>
    <w:p>
      <w:pPr>
        <w:widowControl w:val="0"/>
        <w:rPr>
          <w:sz w:val="2"/>
          <w:szCs w:val="2"/>
        </w:rPr>
      </w:pPr>
      <w:r>
        <w:pict>
          <v:shape id="_x0000_s1971" type="#_x0000_t202" style="position:static;width:595.pt;height:7.05pt" filled="f" stroked="f">
            <v:textbox inset="0,0,0,0">
              <w:txbxContent>
                <w:p>
                  <w:pPr>
                    <w:widowControl w:val="0"/>
                  </w:pPr>
                </w:p>
              </w:txbxContent>
            </v:textbox>
            <w10:anchorlock/>
          </v:shape>
        </w:pict>
      </w:r>
      <w:r>
        <w:t xml:space="preserve"> </w:t>
      </w:r>
    </w:p>
    <w:p>
      <w:pPr>
        <w:widowControl w:val="0"/>
        <w:rPr>
          <w:sz w:val="2"/>
          <w:szCs w:val="2"/>
        </w:rPr>
        <w:sectPr>
          <w:pgSz w:w="11900" w:h="16840"/>
          <w:pgMar w:top="1438" w:left="0" w:right="0" w:bottom="162" w:header="0" w:footer="3" w:gutter="0"/>
          <w:rtlGutter w:val="0"/>
          <w:cols w:space="720"/>
          <w:noEndnote/>
          <w:docGrid w:linePitch="360"/>
        </w:sectPr>
      </w:pPr>
    </w:p>
    <w:p>
      <w:pPr>
        <w:widowControl w:val="0"/>
        <w:spacing w:line="360" w:lineRule="exact"/>
      </w:pPr>
      <w:r>
        <w:pict>
          <v:shape id="_x0000_s1972" type="#_x0000_t202" style="position:absolute;margin-left:0.7pt;margin-top:0;width:492.25pt;height:5.e-002pt;z-index:251657779;mso-wrap-distance-left:5.pt;mso-wrap-distance-right:5.pt;mso-position-horizontal-relative:margin" filled="f" stroked="f">
            <v:textbox style="mso-fit-shape-to-text:t" inset="0,0,0,0">
              <w:txbxContent>
                <w:p>
                  <w:pPr>
                    <w:pStyle w:val="Style188"/>
                    <w:widowControl w:val="0"/>
                    <w:keepNext w:val="0"/>
                    <w:keepLines w:val="0"/>
                    <w:shd w:val="clear" w:color="auto" w:fill="auto"/>
                    <w:bidi w:val="0"/>
                    <w:jc w:val="left"/>
                    <w:spacing w:before="0" w:after="0" w:line="150" w:lineRule="exact"/>
                    <w:ind w:left="0" w:right="0" w:firstLine="0"/>
                  </w:pPr>
                  <w:r>
                    <w:rPr>
                      <w:lang w:val="ru-RU" w:eastAsia="ru-RU" w:bidi="ru-RU"/>
                      <w:w w:val="100"/>
                      <w:spacing w:val="0"/>
                      <w:color w:val="000000"/>
                      <w:position w:val="0"/>
                    </w:rPr>
                    <w:t xml:space="preserve">Пропафенон Синонимы: Пролекофен, </w:t>
                  </w:r>
                  <w:r>
                    <w:rPr>
                      <w:w w:val="100"/>
                      <w:spacing w:val="0"/>
                      <w:color w:val="000000"/>
                      <w:position w:val="0"/>
                    </w:rPr>
                    <w:t xml:space="preserve">Fenopraine, Norfenon, Normoritmin, Prolekofen, Ritmonorm, Rythmonorm, </w:t>
                  </w:r>
                  <w:r>
                    <w:rPr>
                      <w:lang w:val="ru-RU" w:eastAsia="ru-RU" w:bidi="ru-RU"/>
                      <w:w w:val="100"/>
                      <w:spacing w:val="0"/>
                      <w:color w:val="000000"/>
                      <w:position w:val="0"/>
                    </w:rPr>
                    <w:t xml:space="preserve">Профенан </w:t>
                  </w:r>
                  <w:r>
                    <w:rPr>
                      <w:w w:val="100"/>
                      <w:spacing w:val="0"/>
                      <w:color w:val="000000"/>
                      <w:position w:val="0"/>
                    </w:rPr>
                    <w:t>(Profenan)</w:t>
                  </w:r>
                </w:p>
                <w:p>
                  <w:pPr>
                    <w:pStyle w:val="Style182"/>
                    <w:widowControl w:val="0"/>
                    <w:keepNext w:val="0"/>
                    <w:keepLines w:val="0"/>
                    <w:shd w:val="clear" w:color="auto" w:fill="auto"/>
                    <w:bidi w:val="0"/>
                    <w:spacing w:before="0" w:after="0"/>
                    <w:ind w:left="0" w:right="0" w:firstLine="0"/>
                  </w:pPr>
                  <w:r>
                    <w:rPr>
                      <w:rStyle w:val="CharStyle183"/>
                    </w:rPr>
                    <w:t xml:space="preserve">Показания: Все формы желудочковых и наджелудочковых экстрасистолий, тахикардии и тахиаритмий (лечение и профилактика); </w:t>
                  </w:r>
                  <w:r>
                    <w:rPr>
                      <w:rStyle w:val="CharStyle183"/>
                      <w:lang w:val="en-US" w:eastAsia="en-US" w:bidi="en-US"/>
                    </w:rPr>
                    <w:t>WPW</w:t>
                  </w:r>
                  <w:r>
                    <w:rPr>
                      <w:rStyle w:val="CharStyle183"/>
                    </w:rPr>
                    <w:t>-синдром.</w:t>
                  </w:r>
                </w:p>
                <w:tbl>
                  <w:tblPr>
                    <w:tblOverlap w:val="never"/>
                    <w:tblLayout w:type="fixed"/>
                    <w:jc w:val="center"/>
                  </w:tblPr>
                  <w:tblGrid>
                    <w:gridCol w:w="2414"/>
                    <w:gridCol w:w="3864"/>
                    <w:gridCol w:w="3566"/>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2-3 мг/кг</w:t>
                        </w:r>
                      </w:p>
                    </w:tc>
                    <w:tc>
                      <w:tcPr>
                        <w:shd w:val="clear" w:color="auto" w:fill="FFFFFF"/>
                        <w:tcBorders>
                          <w:left w:val="single" w:sz="4"/>
                          <w:right w:val="single" w:sz="4"/>
                          <w:top w:val="single" w:sz="4"/>
                        </w:tcBorders>
                        <w:vAlign w:val="top"/>
                      </w:tcPr>
                      <w:p>
                        <w:pPr>
                          <w:widowControl w:val="0"/>
                          <w:rPr>
                            <w:sz w:val="10"/>
                            <w:szCs w:val="10"/>
                          </w:rPr>
                        </w:pP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Инфузия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4-8 мкг/кг/мин</w:t>
                        </w:r>
                      </w:p>
                    </w:tc>
                    <w:tc>
                      <w:tcPr>
                        <w:shd w:val="clear" w:color="auto" w:fill="FFFFFF"/>
                        <w:tcBorders>
                          <w:left w:val="single" w:sz="4"/>
                          <w:right w:val="single" w:sz="4"/>
                          <w:top w:val="single" w:sz="4"/>
                        </w:tcBorders>
                        <w:vAlign w:val="top"/>
                      </w:tcPr>
                      <w:p>
                        <w:pPr>
                          <w:widowControl w:val="0"/>
                          <w:rPr>
                            <w:sz w:val="10"/>
                            <w:szCs w:val="10"/>
                          </w:rPr>
                        </w:pPr>
                      </w:p>
                    </w:tc>
                  </w:tr>
                  <w:tr>
                    <w:trPr>
                      <w:trHeight w:val="254"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В/в</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1-2 мг/кг</w:t>
                        </w: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pStyle w:val="Style182"/>
                    <w:widowControl w:val="0"/>
                    <w:keepNext w:val="0"/>
                    <w:keepLines w:val="0"/>
                    <w:shd w:val="clear" w:color="auto" w:fill="auto"/>
                    <w:bidi w:val="0"/>
                    <w:jc w:val="left"/>
                    <w:spacing w:before="0" w:after="0" w:line="160" w:lineRule="exact"/>
                    <w:ind w:left="0" w:right="0" w:firstLine="0"/>
                  </w:pPr>
                  <w:r>
                    <w:rPr>
                      <w:rStyle w:val="CharStyle183"/>
                    </w:rPr>
                    <w:t>Фармакологическое действие</w:t>
                  </w:r>
                </w:p>
                <w:p>
                  <w:pPr>
                    <w:widowControl w:val="0"/>
                    <w:rPr>
                      <w:sz w:val="2"/>
                      <w:szCs w:val="2"/>
                    </w:rPr>
                  </w:pPr>
                </w:p>
              </w:txbxContent>
            </v:textbox>
            <w10:wrap anchorx="margin"/>
          </v:shape>
        </w:pict>
      </w:r>
      <w:r>
        <w:pict>
          <v:shape id="_x0000_s1973" type="#_x0000_t202" style="position:absolute;margin-left:0.95pt;margin-top:89.25pt;width:491.5pt;height:243.35pt;z-index:251657780;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 xml:space="preserve">Блокирует натриевые каналы и является слабым в-адреноблокатором (относится к ТС и II классу), уменьшает максимальную скорость деполяризации фазы 0 потенциала действия и его амплитуду. Замедляет проводимость в предсердии, </w:t>
                  </w:r>
                  <w:r>
                    <w:rPr>
                      <w:rStyle w:val="CharStyle190"/>
                      <w:lang w:val="en-US" w:eastAsia="en-US" w:bidi="en-US"/>
                    </w:rPr>
                    <w:t xml:space="preserve">AV </w:t>
                  </w:r>
                  <w:r>
                    <w:rPr>
                      <w:rStyle w:val="CharStyle190"/>
                    </w:rPr>
                    <w:t>узле и системе Гиса-Пуркинье. Уд линяет рефректорный период в дополнительных проводящих путях, блокируя проводимость в любом направлении. Высокоэффекти</w:t>
                    <w:softHyphen/>
                    <w:t>вен для профилактики и лечения всех форм желудочковых аритмий, включая аритмии, резистентные к др. препаратам; при наджелудоч</w:t>
                    <w:softHyphen/>
                    <w:t>ковых нарушениях ритма эффективность несколько ниже.</w:t>
                  </w:r>
                </w:p>
                <w:p>
                  <w:pPr>
                    <w:pStyle w:val="Style45"/>
                    <w:widowControl w:val="0"/>
                    <w:keepNext w:val="0"/>
                    <w:keepLines w:val="0"/>
                    <w:shd w:val="clear" w:color="auto" w:fill="auto"/>
                    <w:bidi w:val="0"/>
                    <w:spacing w:before="0" w:after="0"/>
                    <w:ind w:left="0" w:right="0" w:firstLine="0"/>
                  </w:pPr>
                  <w:r>
                    <w:rPr>
                      <w:rStyle w:val="CharStyle190"/>
                    </w:rPr>
                    <w:t>Осторожность применения:</w:t>
                  </w:r>
                </w:p>
                <w:p>
                  <w:pPr>
                    <w:pStyle w:val="Style45"/>
                    <w:widowControl w:val="0"/>
                    <w:keepNext w:val="0"/>
                    <w:keepLines w:val="0"/>
                    <w:shd w:val="clear" w:color="auto" w:fill="auto"/>
                    <w:bidi w:val="0"/>
                    <w:spacing w:before="0" w:after="0"/>
                    <w:ind w:left="0" w:right="0" w:firstLine="0"/>
                  </w:pPr>
                  <w:r>
                    <w:rPr>
                      <w:rStyle w:val="CharStyle190"/>
                    </w:rPr>
                    <w:t>Инфаркт миокарда, почечная или печеночная дисфункция. С осторожностью назначают при выраженных нарушениях печени (возмож</w:t>
                    <w:softHyphen/>
                    <w:t>на кумуляция); пациентам, занимающимся потенциально опасными видами деятельности, требующими повышенного внимания и бы</w:t>
                    <w:softHyphen/>
                    <w:t>строты психических и двигательных реакций.</w:t>
                  </w:r>
                </w:p>
                <w:p>
                  <w:pPr>
                    <w:pStyle w:val="Style45"/>
                    <w:widowControl w:val="0"/>
                    <w:keepNext w:val="0"/>
                    <w:keepLines w:val="0"/>
                    <w:shd w:val="clear" w:color="auto" w:fill="auto"/>
                    <w:bidi w:val="0"/>
                    <w:spacing w:before="0" w:after="0"/>
                    <w:ind w:left="0" w:right="0" w:firstLine="0"/>
                  </w:pPr>
                  <w:r>
                    <w:rPr>
                      <w:rStyle w:val="CharStyle190"/>
                    </w:rPr>
                    <w:t>Противопоказания:</w:t>
                  </w:r>
                </w:p>
                <w:p>
                  <w:pPr>
                    <w:pStyle w:val="Style45"/>
                    <w:widowControl w:val="0"/>
                    <w:keepNext w:val="0"/>
                    <w:keepLines w:val="0"/>
                    <w:shd w:val="clear" w:color="auto" w:fill="auto"/>
                    <w:bidi w:val="0"/>
                    <w:spacing w:before="0" w:after="0"/>
                    <w:ind w:left="0" w:right="0" w:firstLine="0"/>
                  </w:pPr>
                  <w:r>
                    <w:rPr>
                      <w:rStyle w:val="CharStyle190"/>
                    </w:rPr>
                    <w:t xml:space="preserve">Выраженная сердечная недостаточность, кардиогенный шок (кроме обусловленного аритмией), тяжелая брадикардия, предшествующие синоатриальные, </w:t>
                  </w:r>
                  <w:r>
                    <w:rPr>
                      <w:rStyle w:val="CharStyle190"/>
                      <w:lang w:val="en-US" w:eastAsia="en-US" w:bidi="en-US"/>
                    </w:rPr>
                    <w:t xml:space="preserve">AV </w:t>
                  </w:r>
                  <w:r>
                    <w:rPr>
                      <w:rStyle w:val="CharStyle190"/>
                    </w:rPr>
                    <w:t>и интравентрикулярные нарушения проведения, синдром слабости синусового узла, обструктивные заболевания легких, выраженная гипотония, тяжелая миастения, нарушение электролитного баланса.</w:t>
                  </w:r>
                </w:p>
                <w:p>
                  <w:pPr>
                    <w:pStyle w:val="Style45"/>
                    <w:widowControl w:val="0"/>
                    <w:keepNext w:val="0"/>
                    <w:keepLines w:val="0"/>
                    <w:shd w:val="clear" w:color="auto" w:fill="auto"/>
                    <w:bidi w:val="0"/>
                    <w:spacing w:before="0" w:after="0"/>
                    <w:ind w:left="0" w:right="0" w:firstLine="0"/>
                  </w:pPr>
                  <w:r>
                    <w:rPr>
                      <w:rStyle w:val="CharStyle190"/>
                    </w:rPr>
                    <w:t>Побочные эффекты:</w:t>
                  </w:r>
                </w:p>
                <w:p>
                  <w:pPr>
                    <w:pStyle w:val="Style45"/>
                    <w:widowControl w:val="0"/>
                    <w:keepNext w:val="0"/>
                    <w:keepLines w:val="0"/>
                    <w:shd w:val="clear" w:color="auto" w:fill="auto"/>
                    <w:bidi w:val="0"/>
                    <w:spacing w:before="0" w:after="0"/>
                    <w:ind w:left="0" w:right="0" w:firstLine="0"/>
                  </w:pPr>
                  <w:r>
                    <w:rPr>
                      <w:rStyle w:val="CharStyle190"/>
                    </w:rPr>
                    <w:t>Развитие стенокардии и застойной сердечной недостаточности, диспептические расстройства, головная боль, нарушения зрения и вку</w:t>
                    <w:softHyphen/>
                    <w:t>са, утомляемость, АВ-блокада, брадикардия, нарушения проводимости, беспокойство, сонливость, сухость во рту, диспноэ, изменения вкуса, зрения, диспепсия.</w:t>
                  </w:r>
                </w:p>
                <w:p>
                  <w:pPr>
                    <w:pStyle w:val="Style45"/>
                    <w:widowControl w:val="0"/>
                    <w:keepNext w:val="0"/>
                    <w:keepLines w:val="0"/>
                    <w:shd w:val="clear" w:color="auto" w:fill="auto"/>
                    <w:bidi w:val="0"/>
                    <w:spacing w:before="0" w:after="0"/>
                    <w:ind w:left="0" w:right="0" w:firstLine="0"/>
                  </w:pPr>
                  <w:r>
                    <w:rPr>
                      <w:rStyle w:val="CharStyle190"/>
                    </w:rPr>
                    <w:t>Взаимодействие:</w:t>
                  </w:r>
                </w:p>
                <w:p>
                  <w:pPr>
                    <w:pStyle w:val="Style45"/>
                    <w:widowControl w:val="0"/>
                    <w:keepNext w:val="0"/>
                    <w:keepLines w:val="0"/>
                    <w:shd w:val="clear" w:color="auto" w:fill="auto"/>
                    <w:bidi w:val="0"/>
                    <w:spacing w:before="0" w:after="0"/>
                    <w:ind w:left="0" w:right="0" w:firstLine="0"/>
                  </w:pPr>
                  <w:r>
                    <w:rPr>
                      <w:rStyle w:val="CharStyle190"/>
                    </w:rPr>
                    <w:t>Эффект усиливают в-адреноблокаторы, трициклические антидепрессанты, циметидин увеличивает уровень ритмонорма в плазме кро</w:t>
                    <w:softHyphen/>
                    <w:t>ви. Может увеличивать концентрации в крови пропранолола, метопролола, циклоспорина и дигоксина, потенцировать действие анти</w:t>
                    <w:softHyphen/>
                    <w:t>коагулянтов.</w:t>
                  </w:r>
                </w:p>
                <w:p>
                  <w:pPr>
                    <w:pStyle w:val="Style45"/>
                    <w:widowControl w:val="0"/>
                    <w:keepNext w:val="0"/>
                    <w:keepLines w:val="0"/>
                    <w:shd w:val="clear" w:color="auto" w:fill="auto"/>
                    <w:bidi w:val="0"/>
                    <w:spacing w:before="0" w:after="0"/>
                    <w:ind w:left="0" w:right="0" w:firstLine="0"/>
                  </w:pPr>
                  <w:r>
                    <w:rPr>
                      <w:rStyle w:val="CharStyle190"/>
                    </w:rPr>
                    <w:t>Меры предосторожности:</w:t>
                  </w:r>
                </w:p>
                <w:p>
                  <w:pPr>
                    <w:pStyle w:val="Style45"/>
                    <w:widowControl w:val="0"/>
                    <w:keepNext w:val="0"/>
                    <w:keepLines w:val="0"/>
                    <w:shd w:val="clear" w:color="auto" w:fill="auto"/>
                    <w:bidi w:val="0"/>
                    <w:spacing w:before="0" w:after="0"/>
                    <w:ind w:left="0" w:right="0" w:firstLine="0"/>
                  </w:pPr>
                  <w:r>
                    <w:rPr>
                      <w:rStyle w:val="CharStyle190"/>
                    </w:rPr>
                    <w:t>Лечение (особенно в/в введения) необходимо проводить под контролем ЭКГ и АД, поскольку большие дозы могут вызывать желудочко</w:t>
                    <w:softHyphen/>
                    <w:t>вую тахикардию или фибрилляцию. Мальчикам-подросткам не рекомендуется в/в введение более 1 нед. (т.к. возможны нарушения в сперматогенезе). Тяжелые заболевания печени и почек могут привести к кумуляции.</w:t>
                  </w:r>
                </w:p>
              </w:txbxContent>
            </v:textbox>
            <w10:wrap anchorx="margin"/>
          </v:shape>
        </w:pict>
      </w:r>
      <w:r>
        <w:pict>
          <v:shape id="_x0000_s1974" type="#_x0000_t202" style="position:absolute;margin-left:1.2pt;margin-top:372.95pt;width:457.2pt;height:10.4pt;z-index:251657781;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jc w:val="left"/>
                    <w:spacing w:before="0" w:after="0" w:line="150" w:lineRule="exact"/>
                    <w:ind w:left="0" w:right="0" w:firstLine="0"/>
                  </w:pPr>
                  <w:r>
                    <w:rPr>
                      <w:rStyle w:val="CharStyle191"/>
                      <w:lang w:val="ru-RU" w:eastAsia="ru-RU" w:bidi="ru-RU"/>
                      <w:b/>
                      <w:bCs/>
                      <w:i/>
                      <w:iCs/>
                    </w:rPr>
                    <w:t xml:space="preserve">Хинидин </w:t>
                  </w:r>
                  <w:r>
                    <w:rPr>
                      <w:rStyle w:val="CharStyle191"/>
                      <w:b/>
                      <w:bCs/>
                      <w:i/>
                      <w:iCs/>
                    </w:rPr>
                    <w:t xml:space="preserve">(€binidinum) </w:t>
                  </w:r>
                  <w:r>
                    <w:rPr>
                      <w:rStyle w:val="CharStyle191"/>
                      <w:lang w:val="ru-RU" w:eastAsia="ru-RU" w:bidi="ru-RU"/>
                      <w:b/>
                      <w:bCs/>
                      <w:i/>
                      <w:iCs/>
                    </w:rPr>
                    <w:t xml:space="preserve">Синонимы: </w:t>
                  </w:r>
                  <w:r>
                    <w:rPr>
                      <w:rStyle w:val="CharStyle191"/>
                      <w:b/>
                      <w:bCs/>
                      <w:i/>
                      <w:iCs/>
                    </w:rPr>
                    <w:t xml:space="preserve">€binidinum sulfuricum, Quinidini Sulfas, Quinidine Sulfat, Conchicinum sulfuricum. </w:t>
                  </w:r>
                  <w:r>
                    <w:rPr>
                      <w:rStyle w:val="CharStyle191"/>
                      <w:lang w:val="ru-RU" w:eastAsia="ru-RU" w:bidi="ru-RU"/>
                      <w:b/>
                      <w:bCs/>
                      <w:i/>
                      <w:iCs/>
                    </w:rPr>
                    <w:t xml:space="preserve">Кинидин </w:t>
                  </w:r>
                  <w:r>
                    <w:rPr>
                      <w:rStyle w:val="CharStyle191"/>
                      <w:b/>
                      <w:bCs/>
                      <w:i/>
                      <w:iCs/>
                    </w:rPr>
                    <w:t>(quinidin)</w:t>
                  </w:r>
                </w:p>
              </w:txbxContent>
            </v:textbox>
            <w10:wrap anchorx="margin"/>
          </v:shape>
        </w:pict>
      </w:r>
      <w:r>
        <w:pict>
          <v:shape id="_x0000_s1975" type="#_x0000_t202" style="position:absolute;margin-left:0.95pt;margin-top:384.7pt;width:492.25pt;height:5.e-002pt;z-index:251657782;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Начало действия: глюконат в/в — 30-60 мин, перорально — 4-8 часов; сульфат — 1 час.</w:t>
                  </w:r>
                </w:p>
                <w:p>
                  <w:pPr>
                    <w:pStyle w:val="Style182"/>
                    <w:widowControl w:val="0"/>
                    <w:keepNext w:val="0"/>
                    <w:keepLines w:val="0"/>
                    <w:shd w:val="clear" w:color="auto" w:fill="auto"/>
                    <w:bidi w:val="0"/>
                    <w:spacing w:before="0" w:after="0"/>
                    <w:ind w:left="0" w:right="0" w:firstLine="0"/>
                  </w:pPr>
                  <w:r>
                    <w:rPr>
                      <w:rStyle w:val="CharStyle183"/>
                    </w:rPr>
                    <w:t xml:space="preserve">Механизм действия: антиаритмический препарат класса </w:t>
                  </w:r>
                  <w:r>
                    <w:rPr>
                      <w:rStyle w:val="CharStyle183"/>
                      <w:lang w:val="en-US" w:eastAsia="en-US" w:bidi="en-US"/>
                    </w:rPr>
                    <w:t xml:space="preserve">IA, </w:t>
                  </w:r>
                  <w:r>
                    <w:rPr>
                      <w:rStyle w:val="CharStyle183"/>
                    </w:rPr>
                    <w:t>блокирует натриевые каналы, снижает возбудимость предсердий и желудочков, ваголитик.</w:t>
                  </w:r>
                </w:p>
                <w:tbl>
                  <w:tblPr>
                    <w:tblOverlap w:val="never"/>
                    <w:tblLayout w:type="fixed"/>
                    <w:jc w:val="center"/>
                  </w:tblPr>
                  <w:tblGrid>
                    <w:gridCol w:w="2414"/>
                    <w:gridCol w:w="3859"/>
                    <w:gridCol w:w="3571"/>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437"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92" w:lineRule="exact"/>
                          <w:ind w:left="0" w:right="0" w:firstLine="0"/>
                        </w:pPr>
                        <w:r>
                          <w:rPr>
                            <w:rStyle w:val="CharStyle102"/>
                          </w:rPr>
                          <w:t>Глюконат 4-10 мг/кг, максимально 600 мг Сульфат 6 мг/кг, максимально 600 мг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 6 раз в день в зависимости от типа аритмии</w:t>
                        </w:r>
                      </w:p>
                    </w:tc>
                  </w:tr>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В/в, в/м</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Глюконат 2-10 мг/кг, максимально 400 мг</w:t>
                        </w:r>
                      </w:p>
                    </w:tc>
                    <w:tc>
                      <w:tcPr>
                        <w:shd w:val="clear" w:color="auto" w:fill="FFFFFF"/>
                        <w:tcBorders>
                          <w:left w:val="single" w:sz="4"/>
                          <w:right w:val="single" w:sz="4"/>
                          <w:top w:val="single" w:sz="4"/>
                        </w:tcBorders>
                        <w:vAlign w:val="top"/>
                      </w:tcPr>
                      <w:p>
                        <w:pPr>
                          <w:widowControl w:val="0"/>
                          <w:rPr>
                            <w:sz w:val="10"/>
                            <w:szCs w:val="10"/>
                          </w:rPr>
                        </w:pPr>
                      </w:p>
                    </w:tc>
                  </w:tr>
                  <w:tr>
                    <w:trPr>
                      <w:trHeight w:val="221"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Фармакологическое действие:</w:t>
                        </w:r>
                      </w:p>
                    </w:tc>
                  </w:tr>
                </w:tbl>
                <w:p>
                  <w:pPr>
                    <w:widowControl w:val="0"/>
                    <w:rPr>
                      <w:sz w:val="2"/>
                      <w:szCs w:val="2"/>
                    </w:rPr>
                  </w:pPr>
                </w:p>
              </w:txbxContent>
            </v:textbox>
            <w10:wrap anchorx="margin"/>
          </v:shape>
        </w:pict>
      </w:r>
      <w:r>
        <w:pict>
          <v:shape id="_x0000_s1976" type="#_x0000_t202" style="position:absolute;margin-left:1.2pt;margin-top:470.15pt;width:491.5pt;height:157.2pt;z-index:251657783;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 xml:space="preserve">Хинидин является «родоначальником» антиаритмических препаратов II группы. Он уменьшает скорость прохождения ионов натрия и кальция через клеточную мембрану; уменьшает возбудимость миокарда, удлиняет рефрактерный период, тормозит проведение импульсов по пучку Гиса. В больших дозах может ослабить сократительную функцию миокарда, нарушить проводимость, вызвать блокаду сердца. Действие хинидина частично связано с торможением окислительных процессов в сердце. Обнаружено также, что под влиянием хинидина меняется обмен ацетилхолина в мышце сердца. Хинидин оказывает местноанестезирующее (мембраностабилизирующее) действие и вызывает расширение периферических сосудов. Препарат блокирует передачу возбуждения в окончаниях волокон блуждающего нерва в сердце; может приводить к учащению сокращений желудочков сердца. Хинидин обладает сильной антиаритмической активностью, эффективен при разных видах аритмий, но относительно часто вызывает побочные явления. Вместе с тем в ряде случаев препарат эффективен при недостаточном действии других антиаритмических средств, а при правильном дозировании он безопасен. Побочные эффекты: гипотензия, тромботическая тромбоцитопеническая пурпура, сыпь, АВ-блокада, изменения формулы крови, уширение </w:t>
                  </w:r>
                  <w:r>
                    <w:rPr>
                      <w:rStyle w:val="CharStyle190"/>
                      <w:lang w:val="en-US" w:eastAsia="en-US" w:bidi="en-US"/>
                    </w:rPr>
                    <w:t>QRS</w:t>
                  </w:r>
                  <w:r>
                    <w:rPr>
                      <w:rStyle w:val="CharStyle190"/>
                    </w:rPr>
                    <w:t xml:space="preserve">-комплекса, удлинение </w:t>
                  </w:r>
                  <w:r>
                    <w:rPr>
                      <w:rStyle w:val="CharStyle190"/>
                      <w:lang w:val="en-US" w:eastAsia="en-US" w:bidi="en-US"/>
                    </w:rPr>
                    <w:t xml:space="preserve">QT, </w:t>
                  </w:r>
                  <w:r>
                    <w:rPr>
                      <w:rStyle w:val="CharStyle190"/>
                    </w:rPr>
                    <w:t xml:space="preserve">желудочковые аритмии, тромбоцитопения, анемия. Осторожность: токсичный эффект начинается при удлинении </w:t>
                  </w:r>
                  <w:r>
                    <w:rPr>
                      <w:rStyle w:val="CharStyle190"/>
                      <w:lang w:val="en-US" w:eastAsia="en-US" w:bidi="en-US"/>
                    </w:rPr>
                    <w:t xml:space="preserve">QRS </w:t>
                  </w:r>
                  <w:r>
                    <w:rPr>
                      <w:rStyle w:val="CharStyle190"/>
                    </w:rPr>
                    <w:t xml:space="preserve">+0,02 сек. Повышает концентрацию дигоксина в крови (уменьшить дозу дигоксина на </w:t>
                  </w:r>
                  <w:r>
                    <w:rPr>
                      <w:rStyle w:val="CharStyle190"/>
                      <w:vertAlign w:val="superscript"/>
                    </w:rPr>
                    <w:t>1</w:t>
                  </w:r>
                  <w:r>
                    <w:rPr>
                      <w:rStyle w:val="CharStyle190"/>
                    </w:rPr>
                    <w:t>/</w:t>
                  </w:r>
                  <w:r>
                    <w:rPr>
                      <w:rStyle w:val="CharStyle190"/>
                      <w:vertAlign w:val="subscript"/>
                    </w:rPr>
                    <w:t>2</w:t>
                  </w:r>
                  <w:r>
                    <w:rPr>
                      <w:rStyle w:val="CharStyle190"/>
                    </w:rPr>
                    <w:t>). Эффект препарата усиливают амиодарон, циметидин. Снижают эффект рифампицин, фенитоин, барбитураты. Возможно возникновение трепетания предсердий с проведением 1:1.</w:t>
                  </w:r>
                </w:p>
                <w:p>
                  <w:pPr>
                    <w:pStyle w:val="Style45"/>
                    <w:widowControl w:val="0"/>
                    <w:keepNext w:val="0"/>
                    <w:keepLines w:val="0"/>
                    <w:shd w:val="clear" w:color="auto" w:fill="auto"/>
                    <w:bidi w:val="0"/>
                    <w:jc w:val="left"/>
                    <w:spacing w:before="0" w:after="0"/>
                    <w:ind w:left="0" w:right="0" w:firstLine="0"/>
                  </w:pPr>
                  <w:r>
                    <w:rPr>
                      <w:rStyle w:val="CharStyle190"/>
                    </w:rPr>
                    <w:t>Терапевтическая концентрация 2-7 мг/л.</w:t>
                  </w:r>
                </w:p>
                <w:p>
                  <w:pPr>
                    <w:pStyle w:val="Style45"/>
                    <w:widowControl w:val="0"/>
                    <w:keepNext w:val="0"/>
                    <w:keepLines w:val="0"/>
                    <w:shd w:val="clear" w:color="auto" w:fill="auto"/>
                    <w:bidi w:val="0"/>
                    <w:jc w:val="left"/>
                    <w:spacing w:before="0" w:after="0"/>
                    <w:ind w:left="0" w:right="0" w:firstLine="0"/>
                  </w:pPr>
                  <w:r>
                    <w:rPr>
                      <w:rStyle w:val="CharStyle190"/>
                    </w:rPr>
                    <w:t>Противопоказания: АВ-блокада.</w:t>
                  </w:r>
                </w:p>
              </w:txbxContent>
            </v:textbox>
            <w10:wrap anchorx="margin"/>
          </v:shape>
        </w:pict>
      </w:r>
      <w:r>
        <w:pict>
          <v:shape id="_x0000_s1977" type="#_x0000_t75" style="position:absolute;margin-left:147.85pt;margin-top:734.65pt;width:209.75pt;height:14.9pt;z-index:-251658611;mso-wrap-distance-left:5.pt;mso-wrap-distance-right:5.pt;mso-position-horizontal-relative:margin" wrapcoords="0 0">
            <v:imagedata r:id="rId1432" r:href="rId1433"/>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78" w:lineRule="exact"/>
      </w:pPr>
    </w:p>
    <w:p>
      <w:pPr>
        <w:widowControl w:val="0"/>
        <w:rPr>
          <w:sz w:val="2"/>
          <w:szCs w:val="2"/>
        </w:rPr>
        <w:sectPr>
          <w:type w:val="continuous"/>
          <w:pgSz w:w="11900" w:h="16840"/>
          <w:pgMar w:top="1438" w:left="898" w:right="1124" w:bottom="162" w:header="0" w:footer="3" w:gutter="0"/>
          <w:rtlGutter w:val="0"/>
          <w:cols w:space="720"/>
          <w:noEndnote/>
          <w:docGrid w:linePitch="360"/>
        </w:sectPr>
      </w:pPr>
    </w:p>
    <w:p>
      <w:pPr>
        <w:widowControl w:val="0"/>
        <w:spacing w:line="360" w:lineRule="exact"/>
      </w:pPr>
      <w:r>
        <w:pict>
          <v:shape id="_x0000_s1978" type="#_x0000_t202" style="position:absolute;margin-left:8.65pt;margin-top:2.9pt;width:12.5pt;height:8.45pt;z-index:251657784;mso-wrap-distance-left:5.pt;mso-wrap-distance-right:5.pt;mso-position-horizontal-relative:margin" fillcolor="#E5E5E5" stroked="f">
            <v:textbox style="mso-fit-shape-to-text:t" inset="0,0,0,0">
              <w:txbxContent>
                <w:p>
                  <w:pPr>
                    <w:pStyle w:val="Style63"/>
                    <w:widowControl w:val="0"/>
                    <w:keepNext w:val="0"/>
                    <w:keepLines w:val="0"/>
                    <w:shd w:val="clear" w:color="auto" w:fill="000000"/>
                    <w:bidi w:val="0"/>
                    <w:jc w:val="left"/>
                    <w:spacing w:before="0" w:after="0" w:line="150" w:lineRule="exact"/>
                    <w:ind w:left="0" w:right="0" w:firstLine="0"/>
                  </w:pPr>
                  <w:r>
                    <w:rPr>
                      <w:rStyle w:val="CharStyle89"/>
                    </w:rPr>
                    <w:t>570</w:t>
                  </w:r>
                </w:p>
              </w:txbxContent>
            </v:textbox>
            <w10:wrap anchorx="margin"/>
          </v:shape>
        </w:pict>
      </w:r>
      <w:r>
        <w:pict>
          <v:shape id="_x0000_s1979" type="#_x0000_t202" style="position:absolute;margin-left:31.7pt;margin-top:0;width:66.25pt;height:12.pt;z-index:251657785;mso-wrap-distance-left:5.pt;mso-wrap-distance-right:5.pt;mso-position-horizontal-relative:margin" filled="f" stroked="f">
            <v:textbox style="mso-fit-shape-to-text:t" inset="0,0,0,0">
              <w:txbxContent>
                <w:p>
                  <w:pPr>
                    <w:pStyle w:val="Style115"/>
                    <w:widowControl w:val="0"/>
                    <w:keepNext w:val="0"/>
                    <w:keepLines w:val="0"/>
                    <w:shd w:val="clear" w:color="auto" w:fill="auto"/>
                    <w:bidi w:val="0"/>
                    <w:jc w:val="left"/>
                    <w:spacing w:before="0" w:after="0" w:line="170" w:lineRule="exact"/>
                    <w:ind w:left="0" w:right="0" w:firstLine="0"/>
                  </w:pPr>
                  <w:r>
                    <w:rPr>
                      <w:lang w:val="ru-RU" w:eastAsia="ru-RU" w:bidi="ru-RU"/>
                      <w:w w:val="100"/>
                      <w:color w:val="000000"/>
                      <w:position w:val="0"/>
                    </w:rPr>
                    <w:t>Белозеров Ю.М.</w:t>
                  </w:r>
                </w:p>
              </w:txbxContent>
            </v:textbox>
            <w10:wrap anchorx="margin"/>
          </v:shape>
        </w:pict>
      </w:r>
      <w:r>
        <w:pict>
          <v:shape id="_x0000_s1980" type="#_x0000_t202" style="position:absolute;margin-left:411.35pt;margin-top:0;width:84.95pt;height:12.pt;z-index:251657786;mso-wrap-distance-left:5.pt;mso-wrap-distance-right:5.pt;mso-position-horizontal-relative:margin" filled="f" stroked="f">
            <v:textbox style="mso-fit-shape-to-text:t" inset="0,0,0,0">
              <w:txbxContent>
                <w:p>
                  <w:pPr>
                    <w:pStyle w:val="Style112"/>
                    <w:widowControl w:val="0"/>
                    <w:keepNext/>
                    <w:keepLines/>
                    <w:shd w:val="clear" w:color="auto" w:fill="auto"/>
                    <w:bidi w:val="0"/>
                    <w:jc w:val="left"/>
                    <w:spacing w:before="0" w:after="0" w:line="150" w:lineRule="exact"/>
                    <w:ind w:left="0" w:right="0" w:firstLine="0"/>
                  </w:pPr>
                  <w:bookmarkStart w:id="849" w:name="bookmark849"/>
                  <w:r>
                    <w:rPr>
                      <w:rStyle w:val="CharStyle119"/>
                    </w:rPr>
                    <w:t>Детская кардиология</w:t>
                  </w:r>
                  <w:bookmarkEnd w:id="849"/>
                </w:p>
              </w:txbxContent>
            </v:textbox>
            <w10:wrap anchorx="margin"/>
          </v:shape>
        </w:pict>
      </w:r>
      <w:r>
        <w:pict>
          <v:shape id="_x0000_s1981" type="#_x0000_t202" style="position:absolute;margin-left:1.9pt;margin-top:20.15pt;width:497.75pt;height:21.1pt;z-index:251657787;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Верапамил </w:t>
                  </w:r>
                  <w:r>
                    <w:rPr>
                      <w:rStyle w:val="CharStyle191"/>
                      <w:b/>
                      <w:bCs/>
                      <w:i/>
                      <w:iCs/>
                    </w:rPr>
                    <w:t xml:space="preserve">(Verapamil) </w:t>
                  </w:r>
                  <w:r>
                    <w:rPr>
                      <w:rStyle w:val="CharStyle191"/>
                      <w:lang w:val="ru-RU" w:eastAsia="ru-RU" w:bidi="ru-RU"/>
                      <w:b/>
                      <w:bCs/>
                      <w:i/>
                      <w:iCs/>
                    </w:rPr>
                    <w:t xml:space="preserve">Синонимы: Верпамил, Изоптин, Фаликард, Феноптин, </w:t>
                  </w:r>
                  <w:r>
                    <w:rPr>
                      <w:rStyle w:val="CharStyle191"/>
                      <w:b/>
                      <w:bCs/>
                      <w:i/>
                      <w:iCs/>
                    </w:rPr>
                    <w:t xml:space="preserve">Calan, Cardi lax, Dilacoran, Falicard, Fnoptin, Ikacor, Iproveratril, Isopine, Isoptin, Manidon, Vasolan, Vepamil, Verapamilhydrochlorid, Verapamil </w:t>
                  </w:r>
                  <w:r>
                    <w:rPr>
                      <w:rStyle w:val="CharStyle191"/>
                      <w:lang w:val="ru-RU" w:eastAsia="ru-RU" w:bidi="ru-RU"/>
                      <w:b/>
                      <w:bCs/>
                      <w:i/>
                      <w:iCs/>
                    </w:rPr>
                    <w:t>и др.</w:t>
                  </w:r>
                </w:p>
              </w:txbxContent>
            </v:textbox>
            <w10:wrap anchorx="margin"/>
          </v:shape>
        </w:pict>
      </w:r>
      <w:r>
        <w:pict>
          <v:shape id="_x0000_s1982" type="#_x0000_t202" style="position:absolute;margin-left:1.9pt;margin-top:53.6pt;width:472.3pt;height:9.3pt;z-index:251657788;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line="160" w:lineRule="exact"/>
                    <w:ind w:left="0" w:right="0" w:firstLine="0"/>
                  </w:pPr>
                  <w:r>
                    <w:rPr>
                      <w:rStyle w:val="CharStyle190"/>
                    </w:rPr>
                    <w:t>Пароксизмальная суправентрикулярная тахикардия, мерцание и трепетание предсердий, артериальная гипертензия, стенокардия.</w:t>
                  </w:r>
                </w:p>
              </w:txbxContent>
            </v:textbox>
            <w10:wrap anchorx="margin"/>
          </v:shape>
        </w:pict>
      </w:r>
      <w:r>
        <w:pict>
          <v:shape id="_x0000_s1983" type="#_x0000_t202" style="position:absolute;margin-left:1.9pt;margin-top:64.9pt;width:57.1pt;height:9.65pt;z-index:251657789;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line="160" w:lineRule="exact"/>
                    <w:ind w:left="0" w:right="0" w:firstLine="0"/>
                  </w:pPr>
                  <w:r>
                    <w:rPr>
                      <w:rStyle w:val="CharStyle190"/>
                    </w:rPr>
                    <w:t>Путь введения</w:t>
                  </w:r>
                </w:p>
              </w:txbxContent>
            </v:textbox>
            <w10:wrap anchorx="margin"/>
          </v:shape>
        </w:pict>
      </w:r>
      <w:r>
        <w:pict>
          <v:shape id="_x0000_s1984" type="#_x0000_t202" style="position:absolute;margin-left:122.9pt;margin-top:64.9pt;width:22.1pt;height:9.65pt;z-index:251657790;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line="160" w:lineRule="exact"/>
                    <w:ind w:left="0" w:right="0" w:firstLine="0"/>
                  </w:pPr>
                  <w:r>
                    <w:rPr>
                      <w:rStyle w:val="CharStyle190"/>
                    </w:rPr>
                    <w:t>Доза</w:t>
                  </w:r>
                </w:p>
              </w:txbxContent>
            </v:textbox>
            <w10:wrap anchorx="margin"/>
          </v:shape>
        </w:pict>
      </w:r>
      <w:r>
        <w:pict>
          <v:shape id="_x0000_s1985" type="#_x0000_t202" style="position:absolute;margin-left:324.5pt;margin-top:64.9pt;width:70.1pt;height:10.pt;z-index:251657791;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line="160" w:lineRule="exact"/>
                    <w:ind w:left="0" w:right="0" w:firstLine="0"/>
                  </w:pPr>
                  <w:r>
                    <w:rPr>
                      <w:rStyle w:val="CharStyle190"/>
                    </w:rPr>
                    <w:t>Кратность приема</w:t>
                  </w:r>
                </w:p>
              </w:txbxContent>
            </v:textbox>
            <w10:wrap anchorx="margin"/>
          </v:shape>
        </w:pict>
      </w:r>
      <w:r>
        <w:pict>
          <v:shape id="_x0000_s1986" type="#_x0000_t202" style="position:absolute;margin-left:1.9pt;margin-top:76.4pt;width:24.95pt;height:10.15pt;z-index:251657792;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line="160" w:lineRule="exact"/>
                    <w:ind w:left="0" w:right="0" w:firstLine="0"/>
                  </w:pPr>
                  <w:r>
                    <w:rPr>
                      <w:rStyle w:val="CharStyle190"/>
                      <w:lang w:val="en-US" w:eastAsia="en-US" w:bidi="en-US"/>
                    </w:rPr>
                    <w:t>Per os</w:t>
                  </w:r>
                </w:p>
              </w:txbxContent>
            </v:textbox>
            <w10:wrap anchorx="margin"/>
          </v:shape>
        </w:pict>
      </w:r>
      <w:r>
        <w:pict>
          <v:shape id="_x0000_s1987" type="#_x0000_t202" style="position:absolute;margin-left:123.85pt;margin-top:76.65pt;width:125.3pt;height:9.75pt;z-index:251657793;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line="160" w:lineRule="exact"/>
                    <w:ind w:left="0" w:right="0" w:firstLine="0"/>
                  </w:pPr>
                  <w:r>
                    <w:rPr>
                      <w:rStyle w:val="CharStyle190"/>
                    </w:rPr>
                    <w:t>1,5-3,5 мг/кг, максимально 160 мг</w:t>
                  </w:r>
                </w:p>
              </w:txbxContent>
            </v:textbox>
            <w10:wrap anchorx="margin"/>
          </v:shape>
        </w:pict>
      </w:r>
      <w:r>
        <w:pict>
          <v:shape id="_x0000_s1988" type="#_x0000_t202" style="position:absolute;margin-left:324.5pt;margin-top:76.4pt;width:56.65pt;height:10.pt;z-index:251657794;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line="160" w:lineRule="exact"/>
                    <w:ind w:left="0" w:right="0" w:firstLine="0"/>
                  </w:pPr>
                  <w:r>
                    <w:rPr>
                      <w:rStyle w:val="CharStyle190"/>
                    </w:rPr>
                    <w:t>2-3 раза в день</w:t>
                  </w:r>
                </w:p>
              </w:txbxContent>
            </v:textbox>
            <w10:wrap anchorx="margin"/>
          </v:shape>
        </w:pict>
      </w:r>
      <w:r>
        <w:pict>
          <v:shape id="_x0000_s1989" type="#_x0000_t202" style="position:absolute;margin-left:1.9pt;margin-top:88.65pt;width:17.3pt;height:9.75pt;z-index:251657795;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line="160" w:lineRule="exact"/>
                    <w:ind w:left="0" w:right="0" w:firstLine="0"/>
                  </w:pPr>
                  <w:r>
                    <w:rPr>
                      <w:rStyle w:val="CharStyle190"/>
                    </w:rPr>
                    <w:t>В/в</w:t>
                  </w:r>
                </w:p>
              </w:txbxContent>
            </v:textbox>
            <w10:wrap anchorx="margin"/>
          </v:shape>
        </w:pict>
      </w:r>
      <w:r>
        <w:pict>
          <v:shape id="_x0000_s1990" type="#_x0000_t202" style="position:absolute;margin-left:122.9pt;margin-top:87.35pt;width:198.25pt;height:20.85pt;z-index:251657796;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Дети до 1 года — 0,1-0,2 мг/кг, старше года — 0,1-0,3 мг/кг, максимально 5 мг/доза</w:t>
                  </w:r>
                </w:p>
              </w:txbxContent>
            </v:textbox>
            <w10:wrap anchorx="margin"/>
          </v:shape>
        </w:pict>
      </w:r>
      <w:r>
        <w:pict>
          <v:shape id="_x0000_s1991" type="#_x0000_t202" style="position:absolute;margin-left:1.9pt;margin-top:109.45pt;width:498.25pt;height:156.2pt;z-index:251657797;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Фармакологическое действие:</w:t>
                  </w:r>
                </w:p>
                <w:p>
                  <w:pPr>
                    <w:pStyle w:val="Style45"/>
                    <w:widowControl w:val="0"/>
                    <w:keepNext w:val="0"/>
                    <w:keepLines w:val="0"/>
                    <w:shd w:val="clear" w:color="auto" w:fill="auto"/>
                    <w:bidi w:val="0"/>
                    <w:spacing w:before="0" w:after="0"/>
                    <w:ind w:left="0" w:right="0" w:firstLine="0"/>
                  </w:pPr>
                  <w:r>
                    <w:rPr>
                      <w:rStyle w:val="CharStyle190"/>
                    </w:rPr>
                    <w:t>Обладает антиангинальным, гипотензивным и антиаритмическим действием. Блокирует как активированные, так и «закрытые» кальцие</w:t>
                    <w:softHyphen/>
                    <w:t>вые каналы, снижается трансмембранный кальциевый ток, что приводит к уменьшению сократимости, частоты водителя ритма синусово</w:t>
                    <w:softHyphen/>
                    <w:t>го узла и скорости проведения в атриовентрикулярном узле, расслаблению гладких мышц. В конечном итоге повышается перфузия мио</w:t>
                    <w:softHyphen/>
                    <w:t>карда, подвергается регрессу гипертрофия левого желудочка, понижается артериальное давление, увеличивается растяжимость коронар</w:t>
                    <w:softHyphen/>
                    <w:t xml:space="preserve">ных артерий, уменьшается диспропорция между потребностью и снабжением сердца кислородом, падает синоатриальная и </w:t>
                  </w:r>
                  <w:r>
                    <w:rPr>
                      <w:rStyle w:val="CharStyle190"/>
                      <w:lang w:val="en-US" w:eastAsia="en-US" w:bidi="en-US"/>
                    </w:rPr>
                    <w:t xml:space="preserve">AV </w:t>
                  </w:r>
                  <w:r>
                    <w:rPr>
                      <w:rStyle w:val="CharStyle190"/>
                    </w:rPr>
                    <w:t>проводи</w:t>
                    <w:softHyphen/>
                    <w:t>мость. Активно метаболизируется, при приеме внутрь наблюдается эффект «первого прохождения» через печень, поскольку верапамил ак</w:t>
                    <w:softHyphen/>
                    <w:t>тивно в ней трансформируется: биодоступность составляет около 20%. После орального введения пик концентрации в крови достигается через 2 ч. Период полувыведения около 7 часов. Метаболиты выводятся почками и через кишечник.</w:t>
                  </w:r>
                </w:p>
                <w:p>
                  <w:pPr>
                    <w:pStyle w:val="Style45"/>
                    <w:widowControl w:val="0"/>
                    <w:keepNext w:val="0"/>
                    <w:keepLines w:val="0"/>
                    <w:shd w:val="clear" w:color="auto" w:fill="auto"/>
                    <w:bidi w:val="0"/>
                    <w:spacing w:before="0" w:after="0"/>
                    <w:ind w:left="0" w:right="0" w:firstLine="0"/>
                  </w:pPr>
                  <w:r>
                    <w:rPr>
                      <w:rStyle w:val="CharStyle190"/>
                    </w:rPr>
                    <w:t>Побочные эффекты: отрицательный инотропный эффект, гипотензия, сонливость, тошнота.</w:t>
                  </w:r>
                </w:p>
                <w:p>
                  <w:pPr>
                    <w:pStyle w:val="Style45"/>
                    <w:widowControl w:val="0"/>
                    <w:keepNext w:val="0"/>
                    <w:keepLines w:val="0"/>
                    <w:shd w:val="clear" w:color="auto" w:fill="auto"/>
                    <w:bidi w:val="0"/>
                    <w:spacing w:before="0" w:after="0"/>
                    <w:ind w:left="0" w:right="0" w:firstLine="0"/>
                  </w:pPr>
                  <w:r>
                    <w:rPr>
                      <w:rStyle w:val="CharStyle190"/>
                    </w:rPr>
                    <w:t xml:space="preserve">Осторожность: экстремальная осторожность у детей и у больных с </w:t>
                  </w:r>
                  <w:r>
                    <w:rPr>
                      <w:rStyle w:val="CharStyle190"/>
                      <w:lang w:val="en-US" w:eastAsia="en-US" w:bidi="en-US"/>
                    </w:rPr>
                    <w:t>WPW</w:t>
                  </w:r>
                  <w:r>
                    <w:rPr>
                      <w:rStyle w:val="CharStyle190"/>
                    </w:rPr>
                    <w:t xml:space="preserve">-синдромом, может вызвать апноэ, брадикардию, гипотензию. Не использовать с другими отрицательными инотропными препаратами (бета-блокаторами). Для лечения гипотензии использовать кальций, изопретеринол. Снижать дозу дигоксина на </w:t>
                  </w:r>
                  <w:r>
                    <w:rPr>
                      <w:rStyle w:val="CharStyle190"/>
                      <w:vertAlign w:val="superscript"/>
                    </w:rPr>
                    <w:t>1</w:t>
                  </w:r>
                  <w:r>
                    <w:rPr>
                      <w:rStyle w:val="CharStyle190"/>
                    </w:rPr>
                    <w:t>/</w:t>
                  </w:r>
                  <w:r>
                    <w:rPr>
                      <w:rStyle w:val="CharStyle190"/>
                      <w:vertAlign w:val="subscript"/>
                    </w:rPr>
                    <w:t>2</w:t>
                  </w:r>
                  <w:r>
                    <w:rPr>
                      <w:rStyle w:val="CharStyle190"/>
                    </w:rPr>
                    <w:t>-</w:t>
                  </w:r>
                  <w:r>
                    <w:rPr>
                      <w:rStyle w:val="CharStyle190"/>
                      <w:vertAlign w:val="superscript"/>
                    </w:rPr>
                    <w:t>1</w:t>
                  </w:r>
                  <w:r>
                    <w:rPr>
                      <w:rStyle w:val="CharStyle190"/>
                    </w:rPr>
                    <w:t>/</w:t>
                  </w:r>
                  <w:r>
                    <w:rPr>
                      <w:rStyle w:val="CharStyle190"/>
                      <w:vertAlign w:val="subscript"/>
                    </w:rPr>
                    <w:t>3</w:t>
                  </w:r>
                  <w:r>
                    <w:rPr>
                      <w:rStyle w:val="CharStyle190"/>
                    </w:rPr>
                    <w:t>.</w:t>
                  </w:r>
                </w:p>
                <w:p>
                  <w:pPr>
                    <w:pStyle w:val="Style45"/>
                    <w:widowControl w:val="0"/>
                    <w:keepNext w:val="0"/>
                    <w:keepLines w:val="0"/>
                    <w:shd w:val="clear" w:color="auto" w:fill="auto"/>
                    <w:bidi w:val="0"/>
                    <w:spacing w:before="0" w:after="0"/>
                    <w:ind w:left="0" w:right="0" w:firstLine="0"/>
                  </w:pPr>
                  <w:r>
                    <w:rPr>
                      <w:rStyle w:val="CharStyle190"/>
                    </w:rPr>
                    <w:t>Противопоказания: шок, гипотензия, АВ-блокада, право-левый сброс, фибрилляция предсердий, синусовая брадикардия.</w:t>
                  </w:r>
                </w:p>
                <w:p>
                  <w:pPr>
                    <w:pStyle w:val="Style45"/>
                    <w:widowControl w:val="0"/>
                    <w:keepNext w:val="0"/>
                    <w:keepLines w:val="0"/>
                    <w:shd w:val="clear" w:color="auto" w:fill="auto"/>
                    <w:bidi w:val="0"/>
                    <w:spacing w:before="0" w:after="0"/>
                    <w:ind w:left="0" w:right="0" w:firstLine="0"/>
                  </w:pPr>
                  <w:r>
                    <w:rPr>
                      <w:rStyle w:val="CharStyle190"/>
                    </w:rPr>
                    <w:t>Может повышать концентрацию в крови дигоксина, кинидина, карбамазепина, циклоспорина. Фенобарбитал и рифампицин могут повы</w:t>
                    <w:softHyphen/>
                    <w:t>шать распад верапамила.</w:t>
                  </w:r>
                </w:p>
              </w:txbxContent>
            </v:textbox>
            <w10:wrap anchorx="margin"/>
          </v:shape>
        </w:pict>
      </w:r>
      <w:r>
        <w:pict>
          <v:shape id="_x0000_s1992" type="#_x0000_t202" style="position:absolute;margin-left:12.5pt;margin-top:300.95pt;width:266.65pt;height:11.9pt;z-index:251657798;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ВАЗОДИЛАТАТОРЫ, СПАЗМОЛИТИКИ, ГИПОТЕНЗИВНЫЕ</w:t>
                  </w:r>
                </w:p>
              </w:txbxContent>
            </v:textbox>
            <w10:wrap anchorx="margin"/>
          </v:shape>
        </w:pict>
      </w:r>
      <w:r>
        <w:pict>
          <v:shape id="_x0000_s1993" type="#_x0000_t202" style="position:absolute;margin-left:0.95pt;margin-top:326.65pt;width:492.5pt;height:61.9pt;z-index:251657799;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line="150" w:lineRule="exact"/>
                    <w:ind w:left="0" w:right="0" w:firstLine="0"/>
                  </w:pPr>
                  <w:r>
                    <w:rPr>
                      <w:rStyle w:val="CharStyle191"/>
                      <w:lang w:val="ru-RU" w:eastAsia="ru-RU" w:bidi="ru-RU"/>
                      <w:b/>
                      <w:bCs/>
                      <w:i/>
                      <w:iCs/>
                    </w:rPr>
                    <w:t xml:space="preserve">Алпростадил </w:t>
                  </w:r>
                  <w:r>
                    <w:rPr>
                      <w:rStyle w:val="CharStyle191"/>
                      <w:b/>
                      <w:bCs/>
                      <w:i/>
                      <w:iCs/>
                    </w:rPr>
                    <w:t xml:space="preserve">(dlprostadil) </w:t>
                  </w:r>
                  <w:r>
                    <w:rPr>
                      <w:rStyle w:val="CharStyle191"/>
                      <w:lang w:val="ru-RU" w:eastAsia="ru-RU" w:bidi="ru-RU"/>
                      <w:b/>
                      <w:bCs/>
                      <w:i/>
                      <w:iCs/>
                    </w:rPr>
                    <w:t xml:space="preserve">Синонимы: Вазапростан, Проставазин, </w:t>
                  </w:r>
                  <w:r>
                    <w:rPr>
                      <w:rStyle w:val="CharStyle191"/>
                      <w:b/>
                      <w:bCs/>
                      <w:i/>
                      <w:iCs/>
                    </w:rPr>
                    <w:t xml:space="preserve">Minprog, Prostandin, Prostavasin, Prostin VR, Vasaprostan. </w:t>
                  </w:r>
                  <w:r>
                    <w:rPr>
                      <w:rStyle w:val="CharStyle191"/>
                      <w:lang w:val="ru-RU" w:eastAsia="ru-RU" w:bidi="ru-RU"/>
                      <w:b/>
                      <w:bCs/>
                      <w:i/>
                      <w:iCs/>
                    </w:rPr>
                    <w:t>Простагландин Е</w:t>
                  </w:r>
                  <w:r>
                    <w:rPr>
                      <w:rStyle w:val="CharStyle191"/>
                      <w:lang w:val="ru-RU" w:eastAsia="ru-RU" w:bidi="ru-RU"/>
                      <w:vertAlign w:val="subscript"/>
                      <w:b/>
                      <w:bCs/>
                      <w:i/>
                      <w:iCs/>
                    </w:rPr>
                    <w:t>1</w:t>
                  </w:r>
                </w:p>
                <w:p>
                  <w:pPr>
                    <w:pStyle w:val="Style45"/>
                    <w:widowControl w:val="0"/>
                    <w:keepNext w:val="0"/>
                    <w:keepLines w:val="0"/>
                    <w:shd w:val="clear" w:color="auto" w:fill="auto"/>
                    <w:bidi w:val="0"/>
                    <w:spacing w:before="0" w:after="0"/>
                    <w:ind w:left="0" w:right="0" w:firstLine="0"/>
                  </w:pPr>
                  <w:r>
                    <w:rPr>
                      <w:rStyle w:val="CharStyle190"/>
                    </w:rPr>
                    <w:t>Показания</w:t>
                  </w:r>
                </w:p>
                <w:p>
                  <w:pPr>
                    <w:pStyle w:val="Style45"/>
                    <w:widowControl w:val="0"/>
                    <w:keepNext w:val="0"/>
                    <w:keepLines w:val="0"/>
                    <w:shd w:val="clear" w:color="auto" w:fill="auto"/>
                    <w:bidi w:val="0"/>
                    <w:spacing w:before="0" w:after="0"/>
                    <w:ind w:left="0" w:right="0" w:firstLine="0"/>
                  </w:pPr>
                  <w:r>
                    <w:rPr>
                      <w:rStyle w:val="CharStyle190"/>
                    </w:rPr>
                    <w:t xml:space="preserve">Необходимость временного поддержания функционирования артериального протока до момента проведения корригирующей операции при врожденных дуктусзависимых пороках сердца у новорожденных (в т.ч. при митральной атрезии, атрезии легочной артерии, атрезии трехстворчатого клапана, тетраде Фалло). Хронические облитерирующие заболевания артерий </w:t>
                  </w:r>
                  <w:r>
                    <w:rPr>
                      <w:rStyle w:val="CharStyle190"/>
                      <w:lang w:val="en-US" w:eastAsia="en-US" w:bidi="en-US"/>
                    </w:rPr>
                    <w:t xml:space="preserve">III-IV </w:t>
                  </w:r>
                  <w:r>
                    <w:rPr>
                      <w:rStyle w:val="CharStyle190"/>
                    </w:rPr>
                    <w:t>стадии (по классификации Фонтена).</w:t>
                  </w:r>
                </w:p>
              </w:txbxContent>
            </v:textbox>
            <w10:wrap anchorx="margin"/>
          </v:shape>
        </w:pict>
      </w:r>
      <w:r>
        <w:pict>
          <v:shape id="_x0000_s1994" type="#_x0000_t202" style="position:absolute;margin-left:0.95pt;margin-top:388.8pt;width:492.95pt;height:5.e-002pt;z-index:251657800;mso-wrap-distance-left:5.pt;mso-wrap-distance-right:5.pt;mso-position-horizontal-relative:margin" filled="f" stroked="f">
            <v:textbox style="mso-fit-shape-to-text:t" inset="0,0,0,0">
              <w:txbxContent>
                <w:tbl>
                  <w:tblPr>
                    <w:tblOverlap w:val="never"/>
                    <w:tblLayout w:type="fixed"/>
                    <w:jc w:val="center"/>
                  </w:tblPr>
                  <w:tblGrid>
                    <w:gridCol w:w="2323"/>
                    <w:gridCol w:w="4574"/>
                    <w:gridCol w:w="2962"/>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442"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В/в</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Индивидуальная, в зависимости от показаний и применяемой лекарственной формы.</w:t>
                        </w:r>
                      </w:p>
                    </w:tc>
                    <w:tc>
                      <w:tcPr>
                        <w:shd w:val="clear" w:color="auto" w:fill="FFFFFF"/>
                        <w:tcBorders>
                          <w:left w:val="single" w:sz="4"/>
                          <w:right w:val="single" w:sz="4"/>
                          <w:top w:val="single" w:sz="4"/>
                        </w:tcBorders>
                        <w:vAlign w:val="top"/>
                      </w:tcPr>
                      <w:p>
                        <w:pPr>
                          <w:widowControl w:val="0"/>
                          <w:rPr>
                            <w:sz w:val="10"/>
                            <w:szCs w:val="10"/>
                          </w:rPr>
                        </w:pPr>
                      </w:p>
                    </w:tc>
                  </w:tr>
                  <w:tr>
                    <w:trPr>
                      <w:trHeight w:val="221"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Фармакологическое действие:</w:t>
                        </w:r>
                      </w:p>
                    </w:tc>
                  </w:tr>
                </w:tbl>
                <w:p>
                  <w:pPr>
                    <w:widowControl w:val="0"/>
                    <w:rPr>
                      <w:sz w:val="2"/>
                      <w:szCs w:val="2"/>
                    </w:rPr>
                  </w:pPr>
                </w:p>
              </w:txbxContent>
            </v:textbox>
            <w10:wrap anchorx="margin"/>
          </v:shape>
        </w:pict>
      </w:r>
      <w:r>
        <w:pict>
          <v:shape id="_x0000_s1995" type="#_x0000_t202" style="position:absolute;margin-left:1.2pt;margin-top:431.25pt;width:492.5pt;height:224.4pt;z-index:251657801;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ind w:left="0" w:right="0" w:firstLine="0"/>
                  </w:pPr>
                  <w:r>
                    <w:rPr>
                      <w:rStyle w:val="CharStyle190"/>
                    </w:rPr>
                    <w:t xml:space="preserve">Препарат простагландина </w:t>
                  </w:r>
                  <w:r>
                    <w:rPr>
                      <w:rStyle w:val="CharStyle190"/>
                      <w:lang w:val="en-US" w:eastAsia="en-US" w:bidi="en-US"/>
                    </w:rPr>
                    <w:t xml:space="preserve">Ej. </w:t>
                  </w:r>
                  <w:r>
                    <w:rPr>
                      <w:rStyle w:val="CharStyle190"/>
                    </w:rPr>
                    <w:t>Улучшает микроциркуляцию и периферическое кровообращение, оказывает ангиопротекторное действие. При системном введении вызывает расслабление гладкомышечных волокон, оказывает сосудорасширяющее действие, уменьшает ОПСС, снижает АД. При этом отмечается рефлекторное увеличение сердечного выброса и ЧСС. Способствует повышению эластичнос</w:t>
                    <w:softHyphen/>
                    <w:t>ти эритроцитов, уменьшает агрегацию тромбоцитов и активность нейтрофилов, повышает фибринолитическую активность крови. Противопоказания:</w:t>
                  </w:r>
                </w:p>
                <w:p>
                  <w:pPr>
                    <w:pStyle w:val="Style45"/>
                    <w:widowControl w:val="0"/>
                    <w:keepNext w:val="0"/>
                    <w:keepLines w:val="0"/>
                    <w:shd w:val="clear" w:color="auto" w:fill="auto"/>
                    <w:bidi w:val="0"/>
                    <w:jc w:val="left"/>
                    <w:spacing w:before="0" w:after="0"/>
                    <w:ind w:left="0" w:right="0" w:firstLine="0"/>
                  </w:pPr>
                  <w:r>
                    <w:rPr>
                      <w:rStyle w:val="CharStyle190"/>
                    </w:rPr>
                    <w:t>Со стороны пищеварительной системы: возможны диарея, тошнота, рвота, повышение активности трансаминаз; редко — гипербилиру- бинемия.</w:t>
                  </w:r>
                </w:p>
                <w:p>
                  <w:pPr>
                    <w:pStyle w:val="Style45"/>
                    <w:widowControl w:val="0"/>
                    <w:keepNext w:val="0"/>
                    <w:keepLines w:val="0"/>
                    <w:shd w:val="clear" w:color="auto" w:fill="auto"/>
                    <w:bidi w:val="0"/>
                    <w:jc w:val="left"/>
                    <w:spacing w:before="0" w:after="0"/>
                    <w:ind w:left="0" w:right="0" w:firstLine="0"/>
                  </w:pPr>
                  <w:r>
                    <w:rPr>
                      <w:rStyle w:val="CharStyle190"/>
                    </w:rPr>
                    <w:t>Со стороны сердечно-сосудистой системы: возможны артериальная гипотензия, тахикардия, боли в области сердца; редко — сердечная недостаточность, нарушения сердечного ритма, АВ блокада, острый отек легких.</w:t>
                  </w:r>
                </w:p>
                <w:p>
                  <w:pPr>
                    <w:pStyle w:val="Style45"/>
                    <w:widowControl w:val="0"/>
                    <w:keepNext w:val="0"/>
                    <w:keepLines w:val="0"/>
                    <w:shd w:val="clear" w:color="auto" w:fill="auto"/>
                    <w:bidi w:val="0"/>
                    <w:jc w:val="left"/>
                    <w:spacing w:before="0" w:after="0"/>
                    <w:ind w:left="0" w:right="0" w:firstLine="0"/>
                  </w:pPr>
                  <w:r>
                    <w:rPr>
                      <w:rStyle w:val="CharStyle190"/>
                    </w:rPr>
                    <w:t>Со стороны ЦНС и периферической нервной системы: возможны головная боль, психозы, судороги центрального генеза, парестезии; редко — заторможенность.</w:t>
                  </w:r>
                </w:p>
                <w:p>
                  <w:pPr>
                    <w:pStyle w:val="Style45"/>
                    <w:widowControl w:val="0"/>
                    <w:keepNext w:val="0"/>
                    <w:keepLines w:val="0"/>
                    <w:shd w:val="clear" w:color="auto" w:fill="auto"/>
                    <w:bidi w:val="0"/>
                    <w:jc w:val="left"/>
                    <w:spacing w:before="0" w:after="0"/>
                    <w:ind w:left="0" w:right="0" w:firstLine="0"/>
                  </w:pPr>
                  <w:r>
                    <w:rPr>
                      <w:rStyle w:val="CharStyle190"/>
                    </w:rPr>
                    <w:t>Аллергические реакции: возможны кожная сыпь, зуд.</w:t>
                  </w:r>
                </w:p>
                <w:p>
                  <w:pPr>
                    <w:pStyle w:val="Style45"/>
                    <w:widowControl w:val="0"/>
                    <w:keepNext w:val="0"/>
                    <w:keepLines w:val="0"/>
                    <w:shd w:val="clear" w:color="auto" w:fill="auto"/>
                    <w:bidi w:val="0"/>
                    <w:jc w:val="left"/>
                    <w:spacing w:before="0" w:after="0"/>
                    <w:ind w:left="0" w:right="0" w:firstLine="0"/>
                  </w:pPr>
                  <w:r>
                    <w:rPr>
                      <w:rStyle w:val="CharStyle190"/>
                    </w:rPr>
                    <w:t>Со стороны дыхательной системы: редко — тахипноэ, респираторный дистресс-синдром.</w:t>
                  </w:r>
                </w:p>
                <w:p>
                  <w:pPr>
                    <w:pStyle w:val="Style45"/>
                    <w:widowControl w:val="0"/>
                    <w:keepNext w:val="0"/>
                    <w:keepLines w:val="0"/>
                    <w:shd w:val="clear" w:color="auto" w:fill="auto"/>
                    <w:bidi w:val="0"/>
                    <w:jc w:val="left"/>
                    <w:spacing w:before="0" w:after="0"/>
                    <w:ind w:left="0" w:right="0" w:firstLine="0"/>
                  </w:pPr>
                  <w:r>
                    <w:rPr>
                      <w:rStyle w:val="CharStyle190"/>
                    </w:rPr>
                    <w:t>Со стороны системы кроветворения и свертывания крови: редко — кровотечение, гипохромная анемия, тромбоцитопения.</w:t>
                  </w:r>
                </w:p>
                <w:p>
                  <w:pPr>
                    <w:pStyle w:val="Style45"/>
                    <w:widowControl w:val="0"/>
                    <w:keepNext w:val="0"/>
                    <w:keepLines w:val="0"/>
                    <w:shd w:val="clear" w:color="auto" w:fill="auto"/>
                    <w:bidi w:val="0"/>
                    <w:jc w:val="left"/>
                    <w:spacing w:before="0" w:after="0"/>
                    <w:ind w:left="0" w:right="0" w:firstLine="0"/>
                  </w:pPr>
                  <w:r>
                    <w:rPr>
                      <w:rStyle w:val="CharStyle190"/>
                    </w:rPr>
                    <w:t>Со стороны мочевыделительной системы: редко — анурия, почечная недостаточность, гематурия.</w:t>
                  </w:r>
                </w:p>
                <w:p>
                  <w:pPr>
                    <w:pStyle w:val="Style45"/>
                    <w:widowControl w:val="0"/>
                    <w:keepNext w:val="0"/>
                    <w:keepLines w:val="0"/>
                    <w:shd w:val="clear" w:color="auto" w:fill="auto"/>
                    <w:bidi w:val="0"/>
                    <w:jc w:val="left"/>
                    <w:spacing w:before="0" w:after="0"/>
                    <w:ind w:left="0" w:right="0" w:firstLine="0"/>
                  </w:pPr>
                  <w:r>
                    <w:rPr>
                      <w:rStyle w:val="CharStyle190"/>
                    </w:rPr>
                    <w:t>Со стороны обмена веществ: редко — гипогликемия, гиперкапния.</w:t>
                  </w:r>
                </w:p>
                <w:p>
                  <w:pPr>
                    <w:pStyle w:val="Style45"/>
                    <w:widowControl w:val="0"/>
                    <w:keepNext w:val="0"/>
                    <w:keepLines w:val="0"/>
                    <w:shd w:val="clear" w:color="auto" w:fill="auto"/>
                    <w:bidi w:val="0"/>
                    <w:jc w:val="left"/>
                    <w:spacing w:before="0" w:after="0"/>
                    <w:ind w:left="0" w:right="0" w:firstLine="0"/>
                  </w:pPr>
                  <w:r>
                    <w:rPr>
                      <w:rStyle w:val="CharStyle190"/>
                    </w:rPr>
                    <w:t>Прочие: возможны гипертермия, покраснение кожи, боли в суставах.</w:t>
                  </w:r>
                </w:p>
                <w:p>
                  <w:pPr>
                    <w:pStyle w:val="Style45"/>
                    <w:widowControl w:val="0"/>
                    <w:keepNext w:val="0"/>
                    <w:keepLines w:val="0"/>
                    <w:shd w:val="clear" w:color="auto" w:fill="auto"/>
                    <w:bidi w:val="0"/>
                    <w:jc w:val="left"/>
                    <w:spacing w:before="0" w:after="0"/>
                    <w:ind w:left="0" w:right="0" w:firstLine="0"/>
                  </w:pPr>
                  <w:r>
                    <w:rPr>
                      <w:rStyle w:val="CharStyle190"/>
                    </w:rPr>
                    <w:t>Особые указания:</w:t>
                  </w:r>
                </w:p>
                <w:p>
                  <w:pPr>
                    <w:pStyle w:val="Style45"/>
                    <w:widowControl w:val="0"/>
                    <w:keepNext w:val="0"/>
                    <w:keepLines w:val="0"/>
                    <w:shd w:val="clear" w:color="auto" w:fill="auto"/>
                    <w:bidi w:val="0"/>
                    <w:jc w:val="left"/>
                    <w:spacing w:before="0" w:after="0"/>
                    <w:ind w:left="0" w:right="0" w:firstLine="0"/>
                  </w:pPr>
                  <w:r>
                    <w:rPr>
                      <w:rStyle w:val="CharStyle190"/>
                    </w:rPr>
                    <w:t>При системном введении необходим контроль параметров центральной гемодинамики, биохимических показателей крови.</w:t>
                  </w:r>
                </w:p>
                <w:p>
                  <w:pPr>
                    <w:pStyle w:val="Style45"/>
                    <w:widowControl w:val="0"/>
                    <w:keepNext w:val="0"/>
                    <w:keepLines w:val="0"/>
                    <w:shd w:val="clear" w:color="auto" w:fill="auto"/>
                    <w:bidi w:val="0"/>
                    <w:spacing w:before="0" w:after="0"/>
                    <w:ind w:left="0" w:right="0" w:firstLine="0"/>
                  </w:pPr>
                  <w:r>
                    <w:rPr>
                      <w:rStyle w:val="CharStyle190"/>
                    </w:rPr>
                    <w:t>При длительном непрерывном введении возможно развитие апноэ, отрицательное влияние на структуру стенки артериального протока с повышением риска его разрыва, истончение мышечного слоя легочной артерии. При продолжительности лечения более 4 недель воз</w:t>
                    <w:softHyphen/>
                    <w:t>можна обратимая кортикальная пролиферация трубчатых костей.</w:t>
                  </w:r>
                </w:p>
                <w:p>
                  <w:pPr>
                    <w:pStyle w:val="Style45"/>
                    <w:widowControl w:val="0"/>
                    <w:keepNext w:val="0"/>
                    <w:keepLines w:val="0"/>
                    <w:shd w:val="clear" w:color="auto" w:fill="auto"/>
                    <w:bidi w:val="0"/>
                    <w:jc w:val="left"/>
                    <w:spacing w:before="0" w:after="0"/>
                    <w:ind w:left="0" w:right="0" w:firstLine="0"/>
                  </w:pPr>
                  <w:r>
                    <w:rPr>
                      <w:rStyle w:val="CharStyle190"/>
                    </w:rPr>
                    <w:t>У новорожденных следует применять под постоянным контролем АД, при обязательном наличии условий для проведения ИВЛ.</w:t>
                  </w:r>
                </w:p>
              </w:txbxContent>
            </v:textbox>
            <w10:wrap anchorx="margin"/>
          </v:shape>
        </w:pict>
      </w:r>
      <w:r>
        <w:pict>
          <v:shape id="_x0000_s1996" type="#_x0000_t75" style="position:absolute;margin-left:136.55pt;margin-top:756.pt;width:209.75pt;height:14.9pt;z-index:-251658610;mso-wrap-distance-left:5.pt;mso-wrap-distance-right:5.pt;mso-position-horizontal-relative:margin" wrapcoords="0 0">
            <v:imagedata r:id="rId1434" r:href="rId1435"/>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617" w:lineRule="exact"/>
      </w:pPr>
    </w:p>
    <w:p>
      <w:pPr>
        <w:widowControl w:val="0"/>
        <w:rPr>
          <w:sz w:val="2"/>
          <w:szCs w:val="2"/>
        </w:rPr>
        <w:sectPr>
          <w:headerReference w:type="even" r:id="rId1436"/>
          <w:headerReference w:type="default" r:id="rId1437"/>
          <w:headerReference w:type="first" r:id="rId1438"/>
          <w:titlePg/>
          <w:pgSz w:w="11900" w:h="16840"/>
          <w:pgMar w:top="2278" w:left="1124" w:right="774" w:bottom="176" w:header="0" w:footer="3" w:gutter="0"/>
          <w:rtlGutter w:val="0"/>
          <w:cols w:space="720"/>
          <w:noEndnote/>
          <w:docGrid w:linePitch="360"/>
        </w:sectPr>
      </w:pPr>
    </w:p>
    <w:p>
      <w:pPr>
        <w:widowControl w:val="0"/>
        <w:rPr>
          <w:sz w:val="2"/>
          <w:szCs w:val="2"/>
        </w:rPr>
      </w:pPr>
      <w:r>
        <w:pict>
          <v:shape id="_x0000_s2001" type="#_x0000_t202" style="position:static;width:595.pt;height:7.05pt" filled="f" stroked="f">
            <v:textbox inset="0,0,0,0">
              <w:txbxContent>
                <w:p>
                  <w:pPr>
                    <w:widowControl w:val="0"/>
                  </w:pPr>
                </w:p>
              </w:txbxContent>
            </v:textbox>
            <w10:anchorlock/>
          </v:shape>
        </w:pict>
      </w:r>
      <w:r>
        <w:t xml:space="preserve"> </w:t>
      </w:r>
    </w:p>
    <w:p>
      <w:pPr>
        <w:widowControl w:val="0"/>
        <w:rPr>
          <w:sz w:val="2"/>
          <w:szCs w:val="2"/>
        </w:rPr>
        <w:sectPr>
          <w:pgSz w:w="11900" w:h="16840"/>
          <w:pgMar w:top="1423" w:left="0" w:right="0" w:bottom="147" w:header="0" w:footer="3" w:gutter="0"/>
          <w:rtlGutter w:val="0"/>
          <w:cols w:space="720"/>
          <w:noEndnote/>
          <w:docGrid w:linePitch="360"/>
        </w:sectPr>
      </w:pPr>
    </w:p>
    <w:p>
      <w:pPr>
        <w:widowControl w:val="0"/>
        <w:spacing w:line="360" w:lineRule="exact"/>
      </w:pPr>
      <w:r>
        <w:pict>
          <v:shape id="_x0000_s2002" type="#_x0000_t202" style="position:absolute;margin-left:1.2pt;margin-top:0.1pt;width:490.55pt;height:20.15pt;z-index:251657802;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Каптоприл </w:t>
                  </w:r>
                  <w:r>
                    <w:rPr>
                      <w:rStyle w:val="CharStyle191"/>
                      <w:b/>
                      <w:bCs/>
                      <w:i/>
                      <w:iCs/>
                    </w:rPr>
                    <w:t xml:space="preserve">(Captopril) </w:t>
                  </w:r>
                  <w:r>
                    <w:rPr>
                      <w:rStyle w:val="CharStyle191"/>
                      <w:lang w:val="ru-RU" w:eastAsia="ru-RU" w:bidi="ru-RU"/>
                      <w:b/>
                      <w:bCs/>
                      <w:i/>
                      <w:iCs/>
                    </w:rPr>
                    <w:t xml:space="preserve">Синонимы: Капотен, Тензиомин, </w:t>
                  </w:r>
                  <w:r>
                    <w:rPr>
                      <w:rStyle w:val="CharStyle191"/>
                      <w:b/>
                      <w:bCs/>
                      <w:i/>
                      <w:iCs/>
                    </w:rPr>
                    <w:t xml:space="preserve">Acepril, Aceten, Alopresin, Capoten, Capril, Captolane, Captoril, Catopil, Lopirin, Properil, Tensiomin, Tensoprel </w:t>
                  </w:r>
                  <w:r>
                    <w:rPr>
                      <w:rStyle w:val="CharStyle191"/>
                      <w:lang w:val="ru-RU" w:eastAsia="ru-RU" w:bidi="ru-RU"/>
                      <w:b/>
                      <w:bCs/>
                      <w:i/>
                      <w:iCs/>
                    </w:rPr>
                    <w:t>и др.</w:t>
                  </w:r>
                </w:p>
              </w:txbxContent>
            </v:textbox>
            <w10:wrap anchorx="margin"/>
          </v:shape>
        </w:pict>
      </w:r>
      <w:r>
        <w:pict>
          <v:shape id="_x0000_s2003" type="#_x0000_t202" style="position:absolute;margin-left:0.7pt;margin-top:21.6pt;width:492.25pt;height:5.e-002pt;z-index:251657803;mso-wrap-distance-left:5.pt;mso-wrap-distance-right:5.pt;mso-position-horizontal-relative:margin" filled="f" stroked="f">
            <v:textbox style="mso-fit-shape-to-text:t" inset="0,0,0,0">
              <w:txbxContent>
                <w:p>
                  <w:pPr>
                    <w:pStyle w:val="Style96"/>
                    <w:widowControl w:val="0"/>
                    <w:keepNext w:val="0"/>
                    <w:keepLines w:val="0"/>
                    <w:shd w:val="clear" w:color="auto" w:fill="auto"/>
                    <w:bidi w:val="0"/>
                    <w:jc w:val="both"/>
                    <w:spacing w:before="0" w:after="0" w:line="192" w:lineRule="exact"/>
                    <w:ind w:left="0" w:right="0" w:firstLine="0"/>
                  </w:pPr>
                  <w:r>
                    <w:rPr>
                      <w:rStyle w:val="CharStyle97"/>
                    </w:rPr>
                    <w:t>Показания к применению. Артериальная гипертония (в качестве монотерапии или в составе комбинированного лечения); хроническая недостаточность кровообращения с застойными явлениями (у больных, не реагирующих на лечение мочегонными препаратами и сердечными гликозидами).</w:t>
                  </w:r>
                </w:p>
                <w:tbl>
                  <w:tblPr>
                    <w:tblOverlap w:val="never"/>
                    <w:tblLayout w:type="fixed"/>
                    <w:jc w:val="center"/>
                  </w:tblPr>
                  <w:tblGrid>
                    <w:gridCol w:w="2414"/>
                    <w:gridCol w:w="3864"/>
                    <w:gridCol w:w="3566"/>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83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Новорожденные 0,05-0,1 мг/кг.</w:t>
                        </w:r>
                      </w:p>
                      <w:p>
                        <w:pPr>
                          <w:pStyle w:val="Style30"/>
                          <w:widowControl w:val="0"/>
                          <w:keepNext w:val="0"/>
                          <w:keepLines w:val="0"/>
                          <w:shd w:val="clear" w:color="auto" w:fill="auto"/>
                          <w:bidi w:val="0"/>
                          <w:jc w:val="left"/>
                          <w:spacing w:before="0" w:after="0" w:line="192" w:lineRule="exact"/>
                          <w:ind w:left="0" w:right="0" w:firstLine="0"/>
                        </w:pPr>
                        <w:r>
                          <w:rPr>
                            <w:lang w:val="ru-RU" w:eastAsia="ru-RU" w:bidi="ru-RU"/>
                            <w:w w:val="100"/>
                            <w:spacing w:val="0"/>
                            <w:color w:val="000000"/>
                            <w:position w:val="0"/>
                          </w:rPr>
                          <w:t>Дети 0,15-0,3 мг/кг с повышением до 2 мг/кг. Подростки и взрослые 12,5-25 мг/доза, повышать на 25 мг/доза в неделю, максимально 150 мг/доза</w:t>
                        </w: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widowControl w:val="0"/>
                    <w:rPr>
                      <w:sz w:val="2"/>
                      <w:szCs w:val="2"/>
                    </w:rPr>
                  </w:pPr>
                </w:p>
              </w:txbxContent>
            </v:textbox>
            <w10:wrap anchorx="margin"/>
          </v:shape>
        </w:pict>
      </w:r>
      <w:r>
        <w:pict>
          <v:shape id="_x0000_s2004" type="#_x0000_t202" style="position:absolute;margin-left:1.45pt;margin-top:104.15pt;width:491.05pt;height:156.45pt;z-index:251657804;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Фармакологическое действие: Антигипертензивное. Блокирует АПФ, катализирующий переход ангиотензина I в ангиотензин II, снижа</w:t>
                    <w:softHyphen/>
                    <w:t>ет уровень последнего. Снижает ОПСС, АД, уменьшает секрецию альдостерона и антидиуретического гормона. Вызывает регрессию ги</w:t>
                    <w:softHyphen/>
                    <w:t>пертрофических изменений миокарда и стенок сосудов при гипертонической болезни, улучшает гемодинамические показатели при хро - нической недостаточности кровообращения. Не оказывает негативного влияния на липидный обмен. Лечебный эффект наступает через 15 мин после приема внутрь (всасывание замедляет пища) и достигает максимума через 1-2 ч. Общая продолжительность терапевтичес</w:t>
                    <w:softHyphen/>
                    <w:t>кого действия составляет 6-10 ч. Полное восстановление активности АПФ происходит по истечении 12-14 ч.</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Гиперчувствительность, сужение почечной артерии. Беременность и кормление грудью (проходит плацентарный барьер и оказывает ток</w:t>
                    <w:softHyphen/>
                    <w:t>сическое влияние на плод, может вызвать тяжелую дисплазию и даже смерть плода).</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spacing w:before="0" w:after="0" w:line="192" w:lineRule="exact"/>
                    <w:ind w:left="0" w:right="0" w:firstLine="0"/>
                  </w:pPr>
                  <w:r>
                    <w:rPr>
                      <w:rStyle w:val="CharStyle90"/>
                    </w:rPr>
                    <w:t>Нарушения вкуса, сухость во рту, сухой кашель, ортостатические реакции, тахикардия, нейтропения, агранулоцитоз, нарушения водно</w:t>
                    <w:softHyphen/>
                    <w:t>электролитного баланса, гиперкалиемия (особенно у больных с почечной недостаточностью), гипонатриемия (особенно при одновре</w:t>
                    <w:softHyphen/>
                    <w:t>менном применении диуретиков), фотосенсибилизация, кожная сыпь, зуд, эритема, крапивница.</w:t>
                  </w:r>
                </w:p>
                <w:p>
                  <w:pPr>
                    <w:pStyle w:val="Style30"/>
                    <w:widowControl w:val="0"/>
                    <w:keepNext w:val="0"/>
                    <w:keepLines w:val="0"/>
                    <w:shd w:val="clear" w:color="auto" w:fill="auto"/>
                    <w:bidi w:val="0"/>
                    <w:spacing w:before="0" w:after="0" w:line="192" w:lineRule="exact"/>
                    <w:ind w:left="0" w:right="0" w:firstLine="0"/>
                  </w:pPr>
                  <w:r>
                    <w:rPr>
                      <w:rStyle w:val="CharStyle90"/>
                    </w:rPr>
                    <w:t>Взаимодействие: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Гипотензивный эффект усиливают др. гипотензивные средства и уменьшение потребления натрия, ослабляют — НПВС. Увеличивает концентрацию лития в крови.</w:t>
                  </w:r>
                </w:p>
              </w:txbxContent>
            </v:textbox>
            <w10:wrap anchorx="margin"/>
          </v:shape>
        </w:pict>
      </w:r>
      <w:r>
        <w:pict>
          <v:shape id="_x0000_s2005" type="#_x0000_t202" style="position:absolute;margin-left:5.e-002pt;margin-top:305.05pt;width:493.7pt;height:5.e-002pt;z-index:251657805;mso-wrap-distance-left:5.pt;mso-wrap-distance-right:5.pt;mso-position-horizontal-relative:margin" filled="f" stroked="f">
            <v:textbox style="mso-fit-shape-to-text:t" inset="0,0,0,0">
              <w:txbxContent>
                <w:tbl>
                  <w:tblPr>
                    <w:tblOverlap w:val="never"/>
                    <w:tblLayout w:type="fixed"/>
                    <w:jc w:val="center"/>
                  </w:tblPr>
                  <w:tblGrid>
                    <w:gridCol w:w="2491"/>
                    <w:gridCol w:w="3802"/>
                    <w:gridCol w:w="3581"/>
                  </w:tblGrid>
                  <w:tr>
                    <w:trPr>
                      <w:trHeight w:val="442" w:hRule="exact"/>
                    </w:trPr>
                    <w:tc>
                      <w:tcPr>
                        <w:shd w:val="clear" w:color="auto" w:fill="FFFFFF"/>
                        <w:gridSpan w:val="2"/>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92"/>
                            <w:lang w:val="ru-RU" w:eastAsia="ru-RU" w:bidi="ru-RU"/>
                          </w:rPr>
                          <w:t xml:space="preserve">Эналаприл </w:t>
                        </w:r>
                        <w:r>
                          <w:rPr>
                            <w:rStyle w:val="CharStyle193"/>
                          </w:rPr>
                          <w:t>(Еш^гИ)</w:t>
                        </w:r>
                        <w:r>
                          <w:rPr>
                            <w:rStyle w:val="CharStyle192"/>
                            <w:lang w:val="ru-RU" w:eastAsia="ru-RU" w:bidi="ru-RU"/>
                          </w:rPr>
                          <w:t xml:space="preserve"> Синонимы: Ренитек (Название препарата фирмы «МЕRCK &amp; СО., </w:t>
                        </w:r>
                        <w:r>
                          <w:rPr>
                            <w:rStyle w:val="CharStyle192"/>
                          </w:rPr>
                          <w:t xml:space="preserve">Enapren, Enaprin, Lotrial, Noprilene, Renital, Renitec, Reniten, Vasotec, Xanef </w:t>
                        </w:r>
                        <w:r>
                          <w:rPr>
                            <w:rStyle w:val="CharStyle192"/>
                            <w:lang w:val="ru-RU" w:eastAsia="ru-RU" w:bidi="ru-RU"/>
                          </w:rPr>
                          <w:t>и др.</w:t>
                        </w:r>
                      </w:p>
                    </w:tc>
                    <w:tc>
                      <w:tcPr>
                        <w:shd w:val="clear" w:color="auto" w:fill="FFFFFF"/>
                        <w:tcBorders>
                          <w:right w:val="single" w:sz="4"/>
                          <w:top w:val="single" w:sz="4"/>
                        </w:tcBorders>
                        <w:vAlign w:val="top"/>
                      </w:tcPr>
                      <w:p>
                        <w:pPr>
                          <w:pStyle w:val="Style30"/>
                          <w:widowControl w:val="0"/>
                          <w:keepNext w:val="0"/>
                          <w:keepLines w:val="0"/>
                          <w:shd w:val="clear" w:color="auto" w:fill="auto"/>
                          <w:bidi w:val="0"/>
                          <w:jc w:val="left"/>
                          <w:spacing w:before="0" w:after="0" w:line="150" w:lineRule="exact"/>
                          <w:ind w:left="0" w:right="0" w:firstLine="0"/>
                        </w:pPr>
                        <w:r>
                          <w:rPr>
                            <w:rStyle w:val="CharStyle192"/>
                          </w:rPr>
                          <w:t xml:space="preserve">INC.», Rahway, N. J., U. S. </w:t>
                        </w:r>
                        <w:r>
                          <w:rPr>
                            <w:rStyle w:val="CharStyle192"/>
                            <w:lang w:val="ru-RU" w:eastAsia="ru-RU" w:bidi="ru-RU"/>
                          </w:rPr>
                          <w:t xml:space="preserve">А.), Энап, </w:t>
                        </w:r>
                        <w:r>
                          <w:rPr>
                            <w:rStyle w:val="CharStyle192"/>
                          </w:rPr>
                          <w:t>Dynef, Enap,</w:t>
                        </w:r>
                      </w:p>
                    </w:tc>
                  </w:tr>
                  <w:tr>
                    <w:trPr>
                      <w:trHeight w:val="432" w:hRule="exact"/>
                    </w:trPr>
                    <w:tc>
                      <w:tcPr>
                        <w:shd w:val="clear" w:color="auto" w:fill="FFFFFF"/>
                        <w:gridSpan w:val="3"/>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Начало действия: перорально — 30-60 мин, в/в — 10-15 мин.</w:t>
                        </w:r>
                      </w:p>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Механизм действия: ингибитор ангиотензинконвертирующего фермента.</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В/в медленно, более чем за 5 мин</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5-10 мкг/кг, максимально 1,25 мг</w:t>
                        </w:r>
                      </w:p>
                    </w:tc>
                    <w:tc>
                      <w:tcPr>
                        <w:shd w:val="clear" w:color="auto" w:fill="FFFFFF"/>
                        <w:tcBorders>
                          <w:left w:val="single" w:sz="4"/>
                          <w:right w:val="single" w:sz="4"/>
                          <w:top w:val="single" w:sz="4"/>
                        </w:tcBorders>
                        <w:vAlign w:val="top"/>
                      </w:tcPr>
                      <w:p>
                        <w:pPr>
                          <w:widowControl w:val="0"/>
                          <w:rPr>
                            <w:sz w:val="10"/>
                            <w:szCs w:val="10"/>
                          </w:rPr>
                        </w:pPr>
                      </w:p>
                    </w:tc>
                  </w:tr>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0,1 мг/кг, максимально 40 мг/день</w:t>
                        </w:r>
                      </w:p>
                    </w:tc>
                    <w:tc>
                      <w:tcPr>
                        <w:shd w:val="clear" w:color="auto" w:fill="FFFFFF"/>
                        <w:tcBorders>
                          <w:left w:val="single" w:sz="4"/>
                          <w:right w:val="single" w:sz="4"/>
                          <w:top w:val="single" w:sz="4"/>
                        </w:tcBorders>
                        <w:vAlign w:val="top"/>
                      </w:tcPr>
                      <w:p>
                        <w:pPr>
                          <w:widowControl w:val="0"/>
                          <w:rPr>
                            <w:sz w:val="10"/>
                            <w:szCs w:val="10"/>
                          </w:rPr>
                        </w:pPr>
                      </w:p>
                    </w:tc>
                  </w:tr>
                  <w:tr>
                    <w:trPr>
                      <w:trHeight w:val="1013" w:hRule="exact"/>
                    </w:trPr>
                    <w:tc>
                      <w:tcPr>
                        <w:shd w:val="clear" w:color="auto" w:fill="FFFFFF"/>
                        <w:gridSpan w:val="3"/>
                        <w:tcBorders>
                          <w:left w:val="single" w:sz="4"/>
                          <w:right w:val="single" w:sz="4"/>
                          <w:top w:val="single" w:sz="4"/>
                          <w:bottom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Побочные эффекты: тошнота, диарея, головная боль, сонливость, гипотензия, сыпь, расстройства вкуса, нейтропения, гиперкалиемия, гипогликемия, хронический кашель.</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Осторожность: снижать дозу при почечной недостаточности.</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Взаимодействия с лекарствами: нестероидные противовоспалительные препараты снижают антигипертензивный эффект. Препараты, задерживающие калий, могут усилить гиперкалиемию.</w:t>
                        </w:r>
                      </w:p>
                    </w:tc>
                  </w:tr>
                </w:tbl>
                <w:p>
                  <w:pPr>
                    <w:widowControl w:val="0"/>
                    <w:rPr>
                      <w:sz w:val="2"/>
                      <w:szCs w:val="2"/>
                    </w:rPr>
                  </w:pPr>
                </w:p>
              </w:txbxContent>
            </v:textbox>
            <w10:wrap anchorx="margin"/>
          </v:shape>
        </w:pict>
      </w:r>
      <w:r>
        <w:pict>
          <v:shape id="_x0000_s2006" type="#_x0000_t202" style="position:absolute;margin-left:0.95pt;margin-top:475.9pt;width:492.25pt;height:5.e-002pt;z-index:251657806;mso-wrap-distance-left:5.pt;mso-wrap-distance-right:5.pt;mso-position-horizontal-relative:margin" filled="f" stroked="f">
            <v:textbox style="mso-fit-shape-to-text:t" inset="0,0,0,0">
              <w:txbxContent>
                <w:p>
                  <w:pPr>
                    <w:pStyle w:val="Style188"/>
                    <w:widowControl w:val="0"/>
                    <w:keepNext w:val="0"/>
                    <w:keepLines w:val="0"/>
                    <w:shd w:val="clear" w:color="auto" w:fill="auto"/>
                    <w:bidi w:val="0"/>
                    <w:jc w:val="both"/>
                    <w:spacing w:before="0" w:after="0" w:line="192" w:lineRule="exact"/>
                    <w:ind w:left="0" w:right="0" w:firstLine="0"/>
                  </w:pPr>
                  <w:r>
                    <w:rPr>
                      <w:lang w:val="ru-RU" w:eastAsia="ru-RU" w:bidi="ru-RU"/>
                      <w:w w:val="100"/>
                      <w:spacing w:val="0"/>
                      <w:color w:val="000000"/>
                      <w:position w:val="0"/>
                    </w:rPr>
                    <w:t xml:space="preserve">Апресин </w:t>
                  </w:r>
                  <w:r>
                    <w:rPr>
                      <w:w w:val="100"/>
                      <w:spacing w:val="0"/>
                      <w:color w:val="000000"/>
                      <w:position w:val="0"/>
                    </w:rPr>
                    <w:t xml:space="preserve">(Аpressinum) </w:t>
                  </w:r>
                  <w:r>
                    <w:rPr>
                      <w:lang w:val="ru-RU" w:eastAsia="ru-RU" w:bidi="ru-RU"/>
                      <w:w w:val="100"/>
                      <w:spacing w:val="0"/>
                      <w:color w:val="000000"/>
                      <w:position w:val="0"/>
                    </w:rPr>
                    <w:t xml:space="preserve">Анонимы: </w:t>
                  </w:r>
                  <w:r>
                    <w:rPr>
                      <w:w w:val="100"/>
                      <w:spacing w:val="0"/>
                      <w:color w:val="000000"/>
                      <w:position w:val="0"/>
                    </w:rPr>
                    <w:t xml:space="preserve">Anaspamine, Aprelazine, Apresolin, Appresoline, Aprezine, Deselazine, Dralzine, Eralazin, Hipoftalin, Homoton, </w:t>
                  </w:r>
                  <w:r>
                    <w:rPr>
                      <w:lang w:val="ru-RU" w:eastAsia="ru-RU" w:bidi="ru-RU"/>
                      <w:w w:val="100"/>
                      <w:spacing w:val="0"/>
                      <w:color w:val="000000"/>
                      <w:position w:val="0"/>
                    </w:rPr>
                    <w:t xml:space="preserve">Гидралазин, </w:t>
                  </w:r>
                  <w:r>
                    <w:rPr>
                      <w:rStyle w:val="CharStyle194"/>
                      <w:b/>
                      <w:bCs/>
                      <w:i/>
                      <w:iCs/>
                    </w:rPr>
                    <w:t>Ну</w:t>
                  </w:r>
                  <w:r>
                    <w:rPr>
                      <w:w w:val="100"/>
                      <w:spacing w:val="0"/>
                      <w:color w:val="000000"/>
                      <w:position w:val="0"/>
                    </w:rPr>
                    <w:t xml:space="preserve">dralazine, Hydralazini hydrochloridum, Hydrapress, Hypatol, Hyperazin, Hypophthalin, Idralazina, Ipolina, Lopress, Pressfall, Propectin, Radinol, Rolazine, Solesorin </w:t>
                  </w:r>
                  <w:r>
                    <w:rPr>
                      <w:lang w:val="ru-RU" w:eastAsia="ru-RU" w:bidi="ru-RU"/>
                      <w:w w:val="100"/>
                      <w:spacing w:val="0"/>
                      <w:color w:val="000000"/>
                      <w:position w:val="0"/>
                    </w:rPr>
                    <w:t>и др.</w:t>
                  </w:r>
                </w:p>
                <w:p>
                  <w:pPr>
                    <w:pStyle w:val="Style96"/>
                    <w:widowControl w:val="0"/>
                    <w:keepNext w:val="0"/>
                    <w:keepLines w:val="0"/>
                    <w:shd w:val="clear" w:color="auto" w:fill="auto"/>
                    <w:bidi w:val="0"/>
                    <w:jc w:val="left"/>
                    <w:spacing w:before="0" w:after="0" w:line="180" w:lineRule="exact"/>
                    <w:ind w:left="0" w:right="0" w:firstLine="0"/>
                  </w:pPr>
                  <w:r>
                    <w:rPr>
                      <w:rStyle w:val="CharStyle97"/>
                    </w:rPr>
                    <w:t>Показания</w:t>
                  </w:r>
                </w:p>
                <w:p>
                  <w:pPr>
                    <w:pStyle w:val="Style96"/>
                    <w:widowControl w:val="0"/>
                    <w:keepNext w:val="0"/>
                    <w:keepLines w:val="0"/>
                    <w:shd w:val="clear" w:color="auto" w:fill="auto"/>
                    <w:bidi w:val="0"/>
                    <w:jc w:val="left"/>
                    <w:spacing w:before="0" w:after="0" w:line="180" w:lineRule="exact"/>
                    <w:ind w:left="0" w:right="0" w:firstLine="0"/>
                  </w:pPr>
                  <w:r>
                    <w:rPr>
                      <w:rStyle w:val="CharStyle97"/>
                    </w:rPr>
                    <w:t>Артериальная гипертензия, гипертонический криз, застойная сердечная недостаточность с высокой постнагрузкой.</w:t>
                  </w:r>
                </w:p>
                <w:tbl>
                  <w:tblPr>
                    <w:tblOverlap w:val="never"/>
                    <w:tblLayout w:type="fixed"/>
                    <w:jc w:val="center"/>
                  </w:tblPr>
                  <w:tblGrid>
                    <w:gridCol w:w="2477"/>
                    <w:gridCol w:w="3797"/>
                    <w:gridCol w:w="3571"/>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В/в, в/м</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0,1-0,2 мг/кг, максимально 20 мг</w:t>
                        </w:r>
                      </w:p>
                    </w:tc>
                    <w:tc>
                      <w:tcPr>
                        <w:shd w:val="clear" w:color="auto" w:fill="FFFFFF"/>
                        <w:tcBorders>
                          <w:left w:val="single" w:sz="4"/>
                          <w:right w:val="single" w:sz="4"/>
                          <w:top w:val="single" w:sz="4"/>
                        </w:tcBorders>
                        <w:vAlign w:val="top"/>
                      </w:tcPr>
                      <w:p>
                        <w:pPr>
                          <w:widowControl w:val="0"/>
                          <w:rPr>
                            <w:sz w:val="10"/>
                            <w:szCs w:val="10"/>
                          </w:rPr>
                        </w:pP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0,3-1,5 мг/кг, максимально 25 мг/день</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2-4 раза в день</w:t>
                        </w:r>
                      </w:p>
                    </w:tc>
                  </w:tr>
                </w:tbl>
                <w:p>
                  <w:pPr>
                    <w:widowControl w:val="0"/>
                    <w:rPr>
                      <w:sz w:val="2"/>
                      <w:szCs w:val="2"/>
                    </w:rPr>
                  </w:pPr>
                </w:p>
              </w:txbxContent>
            </v:textbox>
            <w10:wrap anchorx="margin"/>
          </v:shape>
        </w:pict>
      </w:r>
      <w:r>
        <w:pict>
          <v:shape id="_x0000_s2007" type="#_x0000_t202" style="position:absolute;margin-left:1.7pt;margin-top:562.3pt;width:491.05pt;height:70.05pt;z-index:251657807;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Фармакологическое действие:</w:t>
                  </w:r>
                </w:p>
                <w:p>
                  <w:pPr>
                    <w:pStyle w:val="Style30"/>
                    <w:widowControl w:val="0"/>
                    <w:keepNext w:val="0"/>
                    <w:keepLines w:val="0"/>
                    <w:shd w:val="clear" w:color="auto" w:fill="auto"/>
                    <w:bidi w:val="0"/>
                    <w:jc w:val="left"/>
                    <w:spacing w:before="0" w:after="0" w:line="192" w:lineRule="exact"/>
                    <w:ind w:left="0" w:right="0" w:firstLine="0"/>
                  </w:pPr>
                  <w:r>
                    <w:rPr>
                      <w:rStyle w:val="CharStyle90"/>
                    </w:rPr>
                    <w:t>Гипотензивное, вазодилатирующее. Снижает содержание кальция в клетках гладких мышц артериол (подавляет транспорт кальция в клетку или освобождение внутриклеточных ионов); уменьшает ОПСС и постнагрузку на сердце.</w:t>
                  </w:r>
                </w:p>
                <w:p>
                  <w:pPr>
                    <w:pStyle w:val="Style30"/>
                    <w:widowControl w:val="0"/>
                    <w:keepNext w:val="0"/>
                    <w:keepLines w:val="0"/>
                    <w:shd w:val="clear" w:color="auto" w:fill="auto"/>
                    <w:bidi w:val="0"/>
                    <w:jc w:val="left"/>
                    <w:spacing w:before="0" w:after="0" w:line="192" w:lineRule="exact"/>
                    <w:ind w:left="0" w:right="0" w:firstLine="0"/>
                  </w:pPr>
                  <w:r>
                    <w:rPr>
                      <w:rStyle w:val="CharStyle90"/>
                    </w:rPr>
                    <w:t>Побочные эффекты: сыпь, гематологические изменения, гипотензия, тахикардия, головная боль, анорексия, тошнота и др. Осторожность: почечная недостаточность, заболевания сердца и др.</w:t>
                  </w:r>
                </w:p>
                <w:p>
                  <w:pPr>
                    <w:pStyle w:val="Style30"/>
                    <w:widowControl w:val="0"/>
                    <w:keepNext w:val="0"/>
                    <w:keepLines w:val="0"/>
                    <w:shd w:val="clear" w:color="auto" w:fill="auto"/>
                    <w:bidi w:val="0"/>
                    <w:jc w:val="left"/>
                    <w:spacing w:before="0" w:after="0" w:line="192" w:lineRule="exact"/>
                    <w:ind w:left="0" w:right="0" w:firstLine="0"/>
                  </w:pPr>
                  <w:r>
                    <w:rPr>
                      <w:rStyle w:val="CharStyle90"/>
                    </w:rPr>
                    <w:t>Противопоказания: заболевания коронарных сосудов, расслаивающая аневризма аорты, ревматическое поражение митрального клапа</w:t>
                    <w:softHyphen/>
                    <w:t>на.</w:t>
                  </w:r>
                </w:p>
              </w:txbxContent>
            </v:textbox>
            <w10:wrap anchorx="margin"/>
          </v:shape>
        </w:pict>
      </w:r>
      <w:r>
        <w:pict>
          <v:shape id="_x0000_s2008" type="#_x0000_t75" style="position:absolute;margin-left:147.85pt;margin-top:734.65pt;width:209.75pt;height:14.9pt;z-index:-251658605;mso-wrap-distance-left:5.pt;mso-wrap-distance-right:5.pt;mso-position-horizontal-relative:margin" wrapcoords="0 0">
            <v:imagedata r:id="rId1439" r:href="rId1440"/>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78" w:lineRule="exact"/>
      </w:pPr>
    </w:p>
    <w:p>
      <w:pPr>
        <w:widowControl w:val="0"/>
        <w:rPr>
          <w:sz w:val="2"/>
          <w:szCs w:val="2"/>
        </w:rPr>
        <w:sectPr>
          <w:type w:val="continuous"/>
          <w:pgSz w:w="11900" w:h="16840"/>
          <w:pgMar w:top="1423" w:left="898" w:right="1124" w:bottom="147" w:header="0" w:footer="3" w:gutter="0"/>
          <w:rtlGutter w:val="0"/>
          <w:cols w:space="720"/>
          <w:noEndnote/>
          <w:docGrid w:linePitch="360"/>
        </w:sectPr>
      </w:pPr>
    </w:p>
    <w:p>
      <w:pPr>
        <w:widowControl w:val="0"/>
        <w:spacing w:line="360" w:lineRule="exact"/>
      </w:pPr>
      <w:r>
        <w:pict>
          <v:shape id="_x0000_s2009" type="#_x0000_t202" style="position:absolute;margin-left:1.7pt;margin-top:0.1pt;width:482.9pt;height:10.15pt;z-index:251657808;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jc w:val="left"/>
                    <w:spacing w:before="0" w:after="0" w:line="150" w:lineRule="exact"/>
                    <w:ind w:left="0" w:right="0" w:firstLine="0"/>
                  </w:pPr>
                  <w:r>
                    <w:rPr>
                      <w:rStyle w:val="CharStyle191"/>
                      <w:lang w:val="ru-RU" w:eastAsia="ru-RU" w:bidi="ru-RU"/>
                      <w:b/>
                      <w:bCs/>
                      <w:i/>
                      <w:iCs/>
                    </w:rPr>
                    <w:t xml:space="preserve">Метопролол </w:t>
                  </w:r>
                  <w:r>
                    <w:rPr>
                      <w:rStyle w:val="CharStyle191"/>
                      <w:b/>
                      <w:bCs/>
                      <w:i/>
                      <w:iCs/>
                    </w:rPr>
                    <w:t xml:space="preserve">(Metaprolol) </w:t>
                  </w:r>
                  <w:r>
                    <w:rPr>
                      <w:rStyle w:val="CharStyle191"/>
                      <w:lang w:val="ru-RU" w:eastAsia="ru-RU" w:bidi="ru-RU"/>
                      <w:b/>
                      <w:bCs/>
                      <w:i/>
                      <w:iCs/>
                    </w:rPr>
                    <w:t xml:space="preserve">Синонимы: Беталок, Блоксан, Спесикор, </w:t>
                  </w:r>
                  <w:r>
                    <w:rPr>
                      <w:rStyle w:val="CharStyle191"/>
                      <w:b/>
                      <w:bCs/>
                      <w:i/>
                      <w:iCs/>
                    </w:rPr>
                    <w:t xml:space="preserve">Beloc, Betaloc, Blocksan, Lopressor, Veobloc, Opresol, Selopral, Specior </w:t>
                  </w:r>
                  <w:r>
                    <w:rPr>
                      <w:rStyle w:val="CharStyle191"/>
                      <w:lang w:val="ru-RU" w:eastAsia="ru-RU" w:bidi="ru-RU"/>
                      <w:b/>
                      <w:bCs/>
                      <w:i/>
                      <w:iCs/>
                    </w:rPr>
                    <w:t>и др.</w:t>
                  </w:r>
                </w:p>
              </w:txbxContent>
            </v:textbox>
            <w10:wrap anchorx="margin"/>
          </v:shape>
        </w:pict>
      </w:r>
      <w:r>
        <w:pict>
          <v:shape id="_x0000_s2010" type="#_x0000_t202" style="position:absolute;margin-left:1.2pt;margin-top:42.25pt;width:492.25pt;height:36.5pt;z-index:251657809;mso-wrap-distance-left:5.pt;mso-wrap-distance-right:5.pt;mso-position-horizontal-relative:margin" filled="f" stroked="f">
            <v:textbox style="mso-fit-shape-to-text:t" inset="0,0,0,0">
              <w:txbxContent>
                <w:tbl>
                  <w:tblPr>
                    <w:tblOverlap w:val="never"/>
                    <w:tblLayout w:type="fixed"/>
                    <w:jc w:val="left"/>
                  </w:tblPr>
                  <w:tblGrid>
                    <w:gridCol w:w="2477"/>
                    <w:gridCol w:w="3797"/>
                    <w:gridCol w:w="3571"/>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В/в</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0,1-0,3 мг/кг более чем за 1 час</w:t>
                        </w:r>
                      </w:p>
                    </w:tc>
                    <w:tc>
                      <w:tcPr>
                        <w:shd w:val="clear" w:color="auto" w:fill="FFFFFF"/>
                        <w:tcBorders>
                          <w:left w:val="single" w:sz="4"/>
                          <w:right w:val="single" w:sz="4"/>
                          <w:top w:val="single" w:sz="4"/>
                        </w:tcBorders>
                        <w:vAlign w:val="top"/>
                      </w:tcPr>
                      <w:p>
                        <w:pPr>
                          <w:widowControl w:val="0"/>
                          <w:rPr>
                            <w:sz w:val="10"/>
                            <w:szCs w:val="10"/>
                          </w:rPr>
                        </w:pP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0,5-2,5 мг/кг, максимально 225 мг/день</w:t>
                        </w:r>
                      </w:p>
                    </w:tc>
                    <w:tc>
                      <w:tcPr>
                        <w:shd w:val="clear" w:color="auto" w:fill="FFFFFF"/>
                        <w:tcBorders>
                          <w:left w:val="single" w:sz="4"/>
                          <w:right w:val="single" w:sz="4"/>
                          <w:top w:val="single" w:sz="4"/>
                          <w:bottom w:val="single" w:sz="4"/>
                        </w:tcBorders>
                        <w:vAlign w:val="top"/>
                      </w:tcPr>
                      <w:p>
                        <w:pPr>
                          <w:widowControl w:val="0"/>
                          <w:rPr>
                            <w:sz w:val="10"/>
                            <w:szCs w:val="10"/>
                          </w:rPr>
                        </w:pPr>
                      </w:p>
                    </w:tc>
                  </w:tr>
                </w:tbl>
              </w:txbxContent>
            </v:textbox>
            <w10:wrap anchorx="margin"/>
          </v:shape>
        </w:pict>
      </w:r>
      <w:r>
        <w:pict>
          <v:shape id="_x0000_s2011" type="#_x0000_t202" style="position:absolute;margin-left:1.45pt;margin-top:22.8pt;width:490.8pt;height:18.9pt;z-index:251657810;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Применяют при гипертонической болезни, стенокардии, аритмиях (суправентрикулярной тахикардии, фибрилляции предсердий, желудочковой экстрасистолии), при гипертиреоидизме, для профилактики повторных инфарктов миокарда.</w:t>
                  </w:r>
                </w:p>
              </w:txbxContent>
            </v:textbox>
            <w10:wrap anchorx="margin"/>
          </v:shape>
        </w:pict>
      </w:r>
      <w:r>
        <w:pict>
          <v:shape id="_x0000_s2012" type="#_x0000_t202" style="position:absolute;margin-left:1.7pt;margin-top:77.25pt;width:491.3pt;height:108.95pt;z-index:251657811;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Фармакологическое действие:</w:t>
                  </w:r>
                </w:p>
                <w:p>
                  <w:pPr>
                    <w:pStyle w:val="Style45"/>
                    <w:widowControl w:val="0"/>
                    <w:keepNext w:val="0"/>
                    <w:keepLines w:val="0"/>
                    <w:shd w:val="clear" w:color="auto" w:fill="auto"/>
                    <w:bidi w:val="0"/>
                    <w:spacing w:before="0" w:after="0"/>
                    <w:ind w:left="0" w:right="0" w:firstLine="0"/>
                  </w:pPr>
                  <w:r>
                    <w:rPr>
                      <w:rStyle w:val="CharStyle190"/>
                    </w:rPr>
                    <w:t xml:space="preserve">Является избирательным (кардиоселективным) </w:t>
                  </w:r>
                  <w:r>
                    <w:rPr>
                      <w:rStyle w:val="CharStyle190"/>
                      <w:lang w:val="en-US" w:eastAsia="en-US" w:bidi="en-US"/>
                    </w:rPr>
                    <w:t>Pi</w:t>
                  </w:r>
                  <w:r>
                    <w:rPr>
                      <w:rStyle w:val="CharStyle190"/>
                    </w:rPr>
                    <w:t>-адреноблокатором. Внутренней симпатомиметической активностью не обладает. По действию близок к атенололу. При приеме внутрь быстро всасывается. Период полувыведения из плазмы крови составляет 3-5 ч, но влияние на артериальное давление и частоту сердечных сокращений наблюдается (после приема внутрь однократно 100 мг) в течение 12 ч. Выделяется через почки в виде метаболитов.</w:t>
                  </w:r>
                </w:p>
                <w:p>
                  <w:pPr>
                    <w:pStyle w:val="Style45"/>
                    <w:widowControl w:val="0"/>
                    <w:keepNext w:val="0"/>
                    <w:keepLines w:val="0"/>
                    <w:shd w:val="clear" w:color="auto" w:fill="auto"/>
                    <w:bidi w:val="0"/>
                    <w:spacing w:before="0" w:after="0"/>
                    <w:ind w:left="0" w:right="0" w:firstLine="0"/>
                  </w:pPr>
                  <w:r>
                    <w:rPr>
                      <w:rStyle w:val="CharStyle190"/>
                    </w:rPr>
                    <w:t>Побочные эффекты: гипогликемия, гипотензия, тошнота, рвота, боли в животе, депрессия, слабость, спутанность сознания, бронхо</w:t>
                    <w:softHyphen/>
                    <w:t>спазм, АВ-блокада, брадикардия, отрицательный инотропный эффект.</w:t>
                  </w:r>
                </w:p>
                <w:p>
                  <w:pPr>
                    <w:pStyle w:val="Style45"/>
                    <w:widowControl w:val="0"/>
                    <w:keepNext w:val="0"/>
                    <w:keepLines w:val="0"/>
                    <w:shd w:val="clear" w:color="auto" w:fill="auto"/>
                    <w:bidi w:val="0"/>
                    <w:spacing w:before="0" w:after="0"/>
                    <w:ind w:left="0" w:right="0" w:firstLine="0"/>
                  </w:pPr>
                  <w:r>
                    <w:rPr>
                      <w:rStyle w:val="CharStyle190"/>
                    </w:rPr>
                    <w:t>Осторожность: заболевания легких, сердечная, почечная, печеночная недостаточность.</w:t>
                  </w:r>
                </w:p>
                <w:p>
                  <w:pPr>
                    <w:pStyle w:val="Style45"/>
                    <w:widowControl w:val="0"/>
                    <w:keepNext w:val="0"/>
                    <w:keepLines w:val="0"/>
                    <w:shd w:val="clear" w:color="auto" w:fill="auto"/>
                    <w:bidi w:val="0"/>
                    <w:spacing w:before="0" w:after="0"/>
                    <w:ind w:left="0" w:right="0" w:firstLine="0"/>
                  </w:pPr>
                  <w:r>
                    <w:rPr>
                      <w:rStyle w:val="CharStyle190"/>
                    </w:rPr>
                    <w:t>Лекарственное взаимодействие: барбитураты, рифампицин повышают клиренс метопролола. Снижают метаболизм метопролола циме- тидин, амиодарон, дилтиазем, пропафенон, кинидин, гидралазин, хлорпромазин или верапамил.</w:t>
                  </w:r>
                </w:p>
                <w:p>
                  <w:pPr>
                    <w:pStyle w:val="Style45"/>
                    <w:widowControl w:val="0"/>
                    <w:keepNext w:val="0"/>
                    <w:keepLines w:val="0"/>
                    <w:shd w:val="clear" w:color="auto" w:fill="auto"/>
                    <w:bidi w:val="0"/>
                    <w:spacing w:before="0" w:after="0"/>
                    <w:ind w:left="0" w:right="0" w:firstLine="0"/>
                  </w:pPr>
                  <w:r>
                    <w:rPr>
                      <w:rStyle w:val="CharStyle190"/>
                    </w:rPr>
                    <w:t>Противопоказания: астма, АВ-блокада с конкурентным назначением верапамила.</w:t>
                  </w:r>
                </w:p>
              </w:txbxContent>
            </v:textbox>
            <w10:wrap anchorx="margin"/>
          </v:shape>
        </w:pict>
      </w:r>
      <w:r>
        <w:pict>
          <v:shape id="_x0000_s2013" type="#_x0000_t202" style="position:absolute;margin-left:1.45pt;margin-top:199.65pt;width:491.3pt;height:63.1pt;z-index:251657812;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Натрия нитропруссид </w:t>
                  </w:r>
                  <w:r>
                    <w:rPr>
                      <w:rStyle w:val="CharStyle191"/>
                      <w:b/>
                      <w:bCs/>
                      <w:i/>
                      <w:iCs/>
                    </w:rPr>
                    <w:t xml:space="preserve">(Natrii nitroprussid) </w:t>
                  </w:r>
                  <w:r>
                    <w:rPr>
                      <w:rStyle w:val="CharStyle191"/>
                      <w:lang w:val="ru-RU" w:eastAsia="ru-RU" w:bidi="ru-RU"/>
                      <w:b/>
                      <w:bCs/>
                      <w:i/>
                      <w:iCs/>
                    </w:rPr>
                    <w:t xml:space="preserve">Синонимы: Нанипрус, Ниприд, Нипрутон, </w:t>
                  </w:r>
                  <w:r>
                    <w:rPr>
                      <w:rStyle w:val="CharStyle191"/>
                      <w:b/>
                      <w:bCs/>
                      <w:i/>
                      <w:iCs/>
                    </w:rPr>
                    <w:t>Hypoten, Nanipruss, Natrium nitroprussicum, Nipride, Niprus, Nipruton, Sodium nitroprusside.</w:t>
                  </w:r>
                </w:p>
                <w:p>
                  <w:pPr>
                    <w:pStyle w:val="Style45"/>
                    <w:widowControl w:val="0"/>
                    <w:keepNext w:val="0"/>
                    <w:keepLines w:val="0"/>
                    <w:shd w:val="clear" w:color="auto" w:fill="auto"/>
                    <w:bidi w:val="0"/>
                    <w:spacing w:before="0" w:after="0"/>
                    <w:ind w:left="0" w:right="0" w:firstLine="0"/>
                  </w:pPr>
                  <w:r>
                    <w:rPr>
                      <w:rStyle w:val="CharStyle190"/>
                    </w:rPr>
                    <w:t>Показания</w:t>
                  </w:r>
                </w:p>
                <w:p>
                  <w:pPr>
                    <w:pStyle w:val="Style45"/>
                    <w:widowControl w:val="0"/>
                    <w:keepNext w:val="0"/>
                    <w:keepLines w:val="0"/>
                    <w:shd w:val="clear" w:color="auto" w:fill="auto"/>
                    <w:bidi w:val="0"/>
                    <w:spacing w:before="0" w:after="0"/>
                    <w:ind w:left="0" w:right="0" w:firstLine="0"/>
                  </w:pPr>
                  <w:r>
                    <w:rPr>
                      <w:rStyle w:val="CharStyle190"/>
                    </w:rPr>
                    <w:t>Гипертонический криз, особенно при гипертензии, осложненной острой сердечной недостаточностью, инфарктом миокарда, гипертензивной энцефалопатией, церебральными кровотечениями; феохромоцитома, синдром Рейно и сосудистые спазмы, вызванные отравлением спорыньей. В хирургии для создания управляемой гипотензии.</w:t>
                  </w:r>
                </w:p>
              </w:txbxContent>
            </v:textbox>
            <w10:wrap anchorx="margin"/>
          </v:shape>
        </w:pict>
      </w:r>
      <w:r>
        <w:pict>
          <v:shape id="_x0000_s2014" type="#_x0000_t202" style="position:absolute;margin-left:0.95pt;margin-top:263.5pt;width:492.25pt;height:5.e-002pt;z-index:251657813;mso-wrap-distance-left:5.pt;mso-wrap-distance-right:5.pt;mso-position-horizontal-relative:margin" filled="f" stroked="f">
            <v:textbox style="mso-fit-shape-to-text:t" inset="0,0,0,0">
              <w:txbxContent>
                <w:tbl>
                  <w:tblPr>
                    <w:tblOverlap w:val="never"/>
                    <w:tblLayout w:type="fixed"/>
                    <w:jc w:val="center"/>
                  </w:tblPr>
                  <w:tblGrid>
                    <w:gridCol w:w="2477"/>
                    <w:gridCol w:w="3802"/>
                    <w:gridCol w:w="3566"/>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437"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Инфузия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0,5-10 мкг/кг/мин, обычная доза 3 мкг/кг/мин, для новорожденных максимальная доза 6 мкг/кг/мин</w:t>
                        </w:r>
                      </w:p>
                    </w:tc>
                    <w:tc>
                      <w:tcPr>
                        <w:shd w:val="clear" w:color="auto" w:fill="FFFFFF"/>
                        <w:tcBorders>
                          <w:left w:val="single" w:sz="4"/>
                          <w:right w:val="single" w:sz="4"/>
                          <w:top w:val="single" w:sz="4"/>
                        </w:tcBorders>
                        <w:vAlign w:val="top"/>
                      </w:tcPr>
                      <w:p>
                        <w:pPr>
                          <w:widowControl w:val="0"/>
                          <w:rPr>
                            <w:sz w:val="10"/>
                            <w:szCs w:val="10"/>
                          </w:rPr>
                        </w:pPr>
                      </w:p>
                    </w:tc>
                  </w:tr>
                  <w:tr>
                    <w:trPr>
                      <w:trHeight w:val="221"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Фармакологическое действие:</w:t>
                        </w:r>
                      </w:p>
                    </w:tc>
                  </w:tr>
                </w:tbl>
                <w:p>
                  <w:pPr>
                    <w:widowControl w:val="0"/>
                    <w:rPr>
                      <w:sz w:val="2"/>
                      <w:szCs w:val="2"/>
                    </w:rPr>
                  </w:pPr>
                </w:p>
              </w:txbxContent>
            </v:textbox>
            <w10:wrap anchorx="margin"/>
          </v:shape>
        </w:pict>
      </w:r>
      <w:r>
        <w:pict>
          <v:shape id="_x0000_s2015" type="#_x0000_t202" style="position:absolute;margin-left:1.2pt;margin-top:305.75pt;width:491.75pt;height:89.25pt;z-index:251657814;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 xml:space="preserve">Является высокоэффективным периферическим вазодилататором. Расширяет артериолы и частично вены. При в/в введении оказывает быстрый, сильный и относительно непродолжительный гипотензивный эффект; уменьшает нагрузку на сердце и потребность миокарда в кислороде. Механизм действия препарата связывают с вазодилататорным действием нитрогруппы </w:t>
                  </w:r>
                  <w:r>
                    <w:rPr>
                      <w:rStyle w:val="CharStyle190"/>
                      <w:lang w:val="en-US" w:eastAsia="en-US" w:bidi="en-US"/>
                    </w:rPr>
                    <w:t xml:space="preserve">(NO), </w:t>
                  </w:r>
                  <w:r>
                    <w:rPr>
                      <w:rStyle w:val="CharStyle190"/>
                    </w:rPr>
                    <w:t xml:space="preserve">соединенной через группы </w:t>
                  </w:r>
                  <w:r>
                    <w:rPr>
                      <w:rStyle w:val="CharStyle190"/>
                      <w:lang w:val="en-US" w:eastAsia="en-US" w:bidi="en-US"/>
                    </w:rPr>
                    <w:t xml:space="preserve">CN </w:t>
                  </w:r>
                  <w:r>
                    <w:rPr>
                      <w:rStyle w:val="CharStyle190"/>
                    </w:rPr>
                    <w:t>с атомом железа. Гипотензивный эффект после в/в введения развивается в первые 2-5 мин, а через 5-15 мин после окончания введе</w:t>
                    <w:softHyphen/>
                    <w:t>ния АД возвращается к исходному уровню.</w:t>
                  </w:r>
                </w:p>
                <w:p>
                  <w:pPr>
                    <w:pStyle w:val="Style45"/>
                    <w:widowControl w:val="0"/>
                    <w:keepNext w:val="0"/>
                    <w:keepLines w:val="0"/>
                    <w:shd w:val="clear" w:color="auto" w:fill="auto"/>
                    <w:bidi w:val="0"/>
                    <w:spacing w:before="0" w:after="0"/>
                    <w:ind w:left="0" w:right="0" w:firstLine="0"/>
                  </w:pPr>
                  <w:r>
                    <w:rPr>
                      <w:rStyle w:val="CharStyle190"/>
                    </w:rPr>
                    <w:t>Побочные эффекты: профузная гипотензия, метаболический ацидоз, слабость, психоз, головная боль, угнетение функции щитовидной железы, тошнота, цианидная и тиоцианатная токсичность.</w:t>
                  </w:r>
                </w:p>
                <w:p>
                  <w:pPr>
                    <w:pStyle w:val="Style45"/>
                    <w:widowControl w:val="0"/>
                    <w:keepNext w:val="0"/>
                    <w:keepLines w:val="0"/>
                    <w:shd w:val="clear" w:color="auto" w:fill="auto"/>
                    <w:bidi w:val="0"/>
                    <w:spacing w:before="0" w:after="0"/>
                    <w:ind w:left="0" w:right="0" w:firstLine="0"/>
                  </w:pPr>
                  <w:r>
                    <w:rPr>
                      <w:rStyle w:val="CharStyle190"/>
                    </w:rPr>
                    <w:t>Осторожность: мониторирование концентрации тиоцианата.</w:t>
                  </w:r>
                </w:p>
                <w:p>
                  <w:pPr>
                    <w:pStyle w:val="Style45"/>
                    <w:widowControl w:val="0"/>
                    <w:keepNext w:val="0"/>
                    <w:keepLines w:val="0"/>
                    <w:shd w:val="clear" w:color="auto" w:fill="auto"/>
                    <w:bidi w:val="0"/>
                    <w:spacing w:before="0" w:after="0"/>
                    <w:ind w:left="0" w:right="0" w:firstLine="0"/>
                  </w:pPr>
                  <w:r>
                    <w:rPr>
                      <w:rStyle w:val="CharStyle190"/>
                    </w:rPr>
                    <w:t>Противопоказания: сниженная церебральная перфузия, коарктация аорты, артерио-венозные шунты.</w:t>
                  </w:r>
                </w:p>
              </w:txbxContent>
            </v:textbox>
            <w10:wrap anchorx="margin"/>
          </v:shape>
        </w:pict>
      </w:r>
      <w:r>
        <w:pict>
          <v:shape id="_x0000_s2016" type="#_x0000_t202" style="position:absolute;margin-left:0.95pt;margin-top:420.5pt;width:492.25pt;height:5.e-002pt;z-index:251657815;mso-wrap-distance-left:5.pt;mso-wrap-distance-right:5.pt;mso-position-horizontal-relative:margin" filled="f" stroked="f">
            <v:textbox style="mso-fit-shape-to-text:t" inset="0,0,0,0">
              <w:txbxContent>
                <w:p>
                  <w:pPr>
                    <w:pStyle w:val="Style188"/>
                    <w:widowControl w:val="0"/>
                    <w:keepNext w:val="0"/>
                    <w:keepLines w:val="0"/>
                    <w:shd w:val="clear" w:color="auto" w:fill="auto"/>
                    <w:bidi w:val="0"/>
                    <w:jc w:val="left"/>
                    <w:spacing w:before="0" w:after="0" w:line="150" w:lineRule="exact"/>
                    <w:ind w:left="0" w:right="0" w:firstLine="0"/>
                  </w:pPr>
                  <w:r>
                    <w:rPr>
                      <w:lang w:val="ru-RU" w:eastAsia="ru-RU" w:bidi="ru-RU"/>
                      <w:w w:val="100"/>
                      <w:spacing w:val="0"/>
                      <w:color w:val="000000"/>
                      <w:position w:val="0"/>
                    </w:rPr>
                    <w:t xml:space="preserve">Диазоксид </w:t>
                  </w:r>
                  <w:r>
                    <w:rPr>
                      <w:w w:val="100"/>
                      <w:spacing w:val="0"/>
                      <w:color w:val="000000"/>
                      <w:position w:val="0"/>
                    </w:rPr>
                    <w:t>(Diazoxide)</w:t>
                  </w:r>
                </w:p>
                <w:p>
                  <w:pPr>
                    <w:pStyle w:val="Style182"/>
                    <w:widowControl w:val="0"/>
                    <w:keepNext w:val="0"/>
                    <w:keepLines w:val="0"/>
                    <w:shd w:val="clear" w:color="auto" w:fill="auto"/>
                    <w:bidi w:val="0"/>
                    <w:jc w:val="left"/>
                    <w:spacing w:before="0" w:after="0" w:line="160" w:lineRule="exact"/>
                    <w:ind w:left="0" w:right="0" w:firstLine="0"/>
                  </w:pPr>
                  <w:r>
                    <w:rPr>
                      <w:rStyle w:val="CharStyle183"/>
                    </w:rPr>
                    <w:t>Для купирования гипертонических кризов.</w:t>
                  </w:r>
                </w:p>
                <w:tbl>
                  <w:tblPr>
                    <w:tblOverlap w:val="never"/>
                    <w:tblLayout w:type="fixed"/>
                    <w:jc w:val="center"/>
                  </w:tblPr>
                  <w:tblGrid>
                    <w:gridCol w:w="2477"/>
                    <w:gridCol w:w="3802"/>
                    <w:gridCol w:w="3566"/>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В/в</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1-3 мг/кг</w:t>
                        </w: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widowControl w:val="0"/>
                    <w:rPr>
                      <w:sz w:val="2"/>
                      <w:szCs w:val="2"/>
                    </w:rPr>
                  </w:pPr>
                </w:p>
              </w:txbxContent>
            </v:textbox>
            <w10:wrap anchorx="margin"/>
          </v:shape>
        </w:pict>
      </w:r>
      <w:r>
        <w:pict>
          <v:shape id="_x0000_s2017" type="#_x0000_t202" style="position:absolute;margin-left:1.2pt;margin-top:466.55pt;width:491.5pt;height:156.45pt;z-index:251657816;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Фармакологическое действие:</w:t>
                  </w:r>
                </w:p>
                <w:p>
                  <w:pPr>
                    <w:pStyle w:val="Style45"/>
                    <w:widowControl w:val="0"/>
                    <w:keepNext w:val="0"/>
                    <w:keepLines w:val="0"/>
                    <w:shd w:val="clear" w:color="auto" w:fill="auto"/>
                    <w:bidi w:val="0"/>
                    <w:spacing w:before="0" w:after="0"/>
                    <w:ind w:left="0" w:right="0" w:firstLine="0"/>
                  </w:pPr>
                  <w:r>
                    <w:rPr>
                      <w:rStyle w:val="CharStyle190"/>
                    </w:rPr>
                    <w:t>Периферический вазодилататор. Расширяет преимущественно резистивные сосуды (артериолы), снижая периферическое сосудистое сопротивление, не оказывает влияния на емкостные сосуды (вены). По механизму действия относится к группе активаторов калиевых каналов. Повышает выход ионов калия, что приводит к гиперполяризации мембраны гладкомышечных клеток сосудов. Это нарушает функцию потенциалзависимых кальциевых каналов и снижает поступление внутрь клеток ионов кальция.</w:t>
                  </w:r>
                </w:p>
                <w:p>
                  <w:pPr>
                    <w:pStyle w:val="Style45"/>
                    <w:widowControl w:val="0"/>
                    <w:keepNext w:val="0"/>
                    <w:keepLines w:val="0"/>
                    <w:shd w:val="clear" w:color="auto" w:fill="auto"/>
                    <w:bidi w:val="0"/>
                    <w:spacing w:before="0" w:after="0"/>
                    <w:ind w:left="0" w:right="0" w:firstLine="0"/>
                  </w:pPr>
                  <w:r>
                    <w:rPr>
                      <w:rStyle w:val="CharStyle190"/>
                    </w:rPr>
                    <w:t>При в/в введении диазоксид снижает систолическое АД при одновременном увеличении сердечного выброса и ЧСС. Оказывает сильное релаксирующее действие на ЖКТ и матку. Вызывает задержку натрия и воды, снижает скорость клубочковой фильтрации и тормозит экскрецию мочевой кислоты почечными канальцами. В результате торможения высвобождения инсулина из поджелудочной железы ди- азоксид может вызвать гипергликемический эффект.</w:t>
                  </w:r>
                </w:p>
                <w:p>
                  <w:pPr>
                    <w:pStyle w:val="Style45"/>
                    <w:widowControl w:val="0"/>
                    <w:keepNext w:val="0"/>
                    <w:keepLines w:val="0"/>
                    <w:shd w:val="clear" w:color="auto" w:fill="auto"/>
                    <w:bidi w:val="0"/>
                    <w:spacing w:before="0" w:after="0"/>
                    <w:ind w:left="0" w:right="0" w:firstLine="0"/>
                  </w:pPr>
                  <w:r>
                    <w:rPr>
                      <w:rStyle w:val="CharStyle190"/>
                    </w:rPr>
                    <w:t>Побочные эффекты:</w:t>
                  </w:r>
                </w:p>
                <w:p>
                  <w:pPr>
                    <w:pStyle w:val="Style45"/>
                    <w:widowControl w:val="0"/>
                    <w:keepNext w:val="0"/>
                    <w:keepLines w:val="0"/>
                    <w:shd w:val="clear" w:color="auto" w:fill="auto"/>
                    <w:bidi w:val="0"/>
                    <w:spacing w:before="0" w:after="0"/>
                    <w:ind w:left="0" w:right="0" w:firstLine="0"/>
                  </w:pPr>
                  <w:r>
                    <w:rPr>
                      <w:rStyle w:val="CharStyle190"/>
                    </w:rPr>
                    <w:t>Головная боль, головокружение, покраснение кожных покровов, отеки, гипергликемия, выраженная артериальная гипотензия (вплоть до коллапса), появление признаков ишемии сердца или мозга, спутанность сознания, аллергические реакции.</w:t>
                  </w:r>
                </w:p>
                <w:p>
                  <w:pPr>
                    <w:pStyle w:val="Style45"/>
                    <w:widowControl w:val="0"/>
                    <w:keepNext w:val="0"/>
                    <w:keepLines w:val="0"/>
                    <w:shd w:val="clear" w:color="auto" w:fill="auto"/>
                    <w:bidi w:val="0"/>
                    <w:spacing w:before="0" w:after="0"/>
                    <w:ind w:left="0" w:right="0" w:firstLine="0"/>
                  </w:pPr>
                  <w:r>
                    <w:rPr>
                      <w:rStyle w:val="CharStyle190"/>
                    </w:rPr>
                    <w:t>Противопоказания:</w:t>
                  </w:r>
                </w:p>
                <w:p>
                  <w:pPr>
                    <w:pStyle w:val="Style45"/>
                    <w:widowControl w:val="0"/>
                    <w:keepNext w:val="0"/>
                    <w:keepLines w:val="0"/>
                    <w:shd w:val="clear" w:color="auto" w:fill="auto"/>
                    <w:bidi w:val="0"/>
                    <w:jc w:val="left"/>
                    <w:spacing w:before="0" w:after="0"/>
                    <w:ind w:left="0" w:right="0" w:firstLine="0"/>
                  </w:pPr>
                  <w:r>
                    <w:rPr>
                      <w:rStyle w:val="CharStyle190"/>
                    </w:rPr>
                    <w:t>Острое нарушение мозгового кровообращения, острый период инфаркта миокарда, повышенная чувствительность к диазоксиду. Особые указания:</w:t>
                  </w:r>
                </w:p>
                <w:p>
                  <w:pPr>
                    <w:pStyle w:val="Style45"/>
                    <w:widowControl w:val="0"/>
                    <w:keepNext w:val="0"/>
                    <w:keepLines w:val="0"/>
                    <w:shd w:val="clear" w:color="auto" w:fill="auto"/>
                    <w:bidi w:val="0"/>
                    <w:spacing w:before="0" w:after="0"/>
                    <w:ind w:left="0" w:right="0" w:firstLine="0"/>
                  </w:pPr>
                  <w:r>
                    <w:rPr>
                      <w:rStyle w:val="CharStyle190"/>
                    </w:rPr>
                    <w:t>С осторожностью применяют у больных с ИБС, стенокардией, сердечной недостаточностью, сахарным диабетом.</w:t>
                  </w:r>
                </w:p>
              </w:txbxContent>
            </v:textbox>
            <w10:wrap anchorx="margin"/>
          </v:shape>
        </w:pict>
      </w:r>
      <w:r>
        <w:pict>
          <v:shape id="_x0000_s2018" type="#_x0000_t75" style="position:absolute;margin-left:136.55pt;margin-top:734.65pt;width:209.75pt;height:14.9pt;z-index:-251658604;mso-wrap-distance-left:5.pt;mso-wrap-distance-right:5.pt;mso-position-horizontal-relative:margin" wrapcoords="0 0">
            <v:imagedata r:id="rId1441" r:href="rId1442"/>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87" w:lineRule="exact"/>
      </w:pPr>
    </w:p>
    <w:p>
      <w:pPr>
        <w:widowControl w:val="0"/>
        <w:rPr>
          <w:sz w:val="2"/>
          <w:szCs w:val="2"/>
        </w:rPr>
        <w:sectPr>
          <w:pgSz w:w="11900" w:h="16840"/>
          <w:pgMar w:top="2033" w:left="1124" w:right="898" w:bottom="162" w:header="0" w:footer="3" w:gutter="0"/>
          <w:rtlGutter w:val="0"/>
          <w:cols w:space="720"/>
          <w:noEndnote/>
          <w:docGrid w:linePitch="360"/>
        </w:sectPr>
      </w:pPr>
    </w:p>
    <w:p>
      <w:pPr>
        <w:widowControl w:val="0"/>
        <w:spacing w:line="360" w:lineRule="exact"/>
      </w:pPr>
      <w:r>
        <w:pict>
          <v:shape id="_x0000_s2019" type="#_x0000_t202" style="position:absolute;margin-left:1.2pt;margin-top:0.1pt;width:491.5pt;height:18.7pt;z-index:251657817;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Празозин </w:t>
                  </w:r>
                  <w:r>
                    <w:rPr>
                      <w:rStyle w:val="CharStyle191"/>
                      <w:b/>
                      <w:bCs/>
                      <w:i/>
                      <w:iCs/>
                    </w:rPr>
                    <w:t xml:space="preserve">HCl </w:t>
                  </w:r>
                  <w:r>
                    <w:rPr>
                      <w:rStyle w:val="CharStyle191"/>
                      <w:lang w:val="ru-RU" w:eastAsia="ru-RU" w:bidi="ru-RU"/>
                      <w:b/>
                      <w:bCs/>
                      <w:i/>
                      <w:iCs/>
                    </w:rPr>
                    <w:t xml:space="preserve">Синонимы: Адверзутен, Депразолин, Минипресс, Пратсиол, </w:t>
                  </w:r>
                  <w:r>
                    <w:rPr>
                      <w:rStyle w:val="CharStyle191"/>
                      <w:b/>
                      <w:bCs/>
                      <w:i/>
                      <w:iCs/>
                    </w:rPr>
                    <w:t>Adversuten</w:t>
                  </w:r>
                  <w:r>
                    <w:rPr>
                      <w:rStyle w:val="CharStyle191"/>
                      <w:lang w:val="ru-RU" w:eastAsia="ru-RU" w:bidi="ru-RU"/>
                      <w:b/>
                      <w:bCs/>
                      <w:i/>
                      <w:iCs/>
                    </w:rPr>
                    <w:t xml:space="preserve">, </w:t>
                  </w:r>
                  <w:r>
                    <w:rPr>
                      <w:rStyle w:val="CharStyle191"/>
                      <w:b/>
                      <w:bCs/>
                      <w:i/>
                      <w:iCs/>
                    </w:rPr>
                    <w:t xml:space="preserve">Decliten, Deprazolin, Duramipress, Eurex, Furazosin- hydrochloride, Hypovase, Minipress, Orbisan, Patsolin, Peripress, Pratsiol, Prazac, Prazopress, Prazosin, Sinetens; Vasoflex </w:t>
                  </w:r>
                  <w:r>
                    <w:rPr>
                      <w:rStyle w:val="CharStyle191"/>
                      <w:lang w:val="ru-RU" w:eastAsia="ru-RU" w:bidi="ru-RU"/>
                      <w:b/>
                      <w:bCs/>
                      <w:i/>
                      <w:iCs/>
                    </w:rPr>
                    <w:t>и др.</w:t>
                  </w:r>
                </w:p>
              </w:txbxContent>
            </v:textbox>
            <w10:wrap anchorx="margin"/>
          </v:shape>
        </w:pict>
      </w:r>
      <w:r>
        <w:pict>
          <v:shape id="_x0000_s2020" type="#_x0000_t202" style="position:absolute;margin-left:0.95pt;margin-top:80.9pt;width:492.25pt;height:44.9pt;z-index:251657818;mso-wrap-distance-left:5.pt;mso-wrap-distance-right:5.pt;mso-position-horizontal-relative:margin" filled="f" stroked="f">
            <v:textbox style="mso-fit-shape-to-text:t" inset="0,0,0,0">
              <w:txbxContent>
                <w:tbl>
                  <w:tblPr>
                    <w:tblOverlap w:val="never"/>
                    <w:tblLayout w:type="fixed"/>
                    <w:jc w:val="left"/>
                  </w:tblPr>
                  <w:tblGrid>
                    <w:gridCol w:w="2477"/>
                    <w:gridCol w:w="3797"/>
                    <w:gridCol w:w="3571"/>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437"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Стартовая тестовая доза 5 мкг/кг, затем плавное повышение до 25 мкг/кг, максимально 4 мг/доза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3-4 раза в день</w:t>
                        </w:r>
                      </w:p>
                    </w:tc>
                  </w:tr>
                  <w:tr>
                    <w:trPr>
                      <w:trHeight w:val="221"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Фармакологическое действие:</w:t>
                        </w:r>
                      </w:p>
                    </w:tc>
                  </w:tr>
                </w:tbl>
              </w:txbxContent>
            </v:textbox>
            <w10:wrap anchorx="margin"/>
          </v:shape>
        </w:pict>
      </w:r>
      <w:r>
        <w:pict>
          <v:shape id="_x0000_s2021" type="#_x0000_t202" style="position:absolute;margin-left:1.2pt;margin-top:32.65pt;width:491.5pt;height:47.95pt;z-index:251657819;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Применяют празозин при разных формах артериальной гипертензии. Гипотензивное действие празозина усиливается при сочетании с тиазидными диуретиками, в-адреноблокаторами и другими антигипертензивными препаратами. В связи с уменьшением нагрузки на сердце используется также при лечении застойной сердечной недостаточности.</w:t>
                  </w:r>
                </w:p>
                <w:p>
                  <w:pPr>
                    <w:pStyle w:val="Style182"/>
                    <w:widowControl w:val="0"/>
                    <w:keepNext w:val="0"/>
                    <w:keepLines w:val="0"/>
                    <w:shd w:val="clear" w:color="auto" w:fill="auto"/>
                    <w:bidi w:val="0"/>
                    <w:spacing w:before="0" w:after="0"/>
                    <w:ind w:left="0" w:right="0" w:firstLine="0"/>
                  </w:pPr>
                  <w:r>
                    <w:rPr>
                      <w:rStyle w:val="CharStyle183"/>
                    </w:rPr>
                    <w:t>Празозин устраняет вазоспастические реакции коронарных артерий. Препарат нередко активен при недостаточной эффективности других антигипертензивных препаратов, в том числе антагонистов ионов кальция.</w:t>
                  </w:r>
                </w:p>
              </w:txbxContent>
            </v:textbox>
            <w10:wrap anchorx="margin"/>
          </v:shape>
        </w:pict>
      </w:r>
      <w:r>
        <w:pict>
          <v:shape id="_x0000_s2022" type="#_x0000_t202" style="position:absolute;margin-left:1.2pt;margin-top:122.95pt;width:491.3pt;height:22.55pt;z-index:251657820;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line="197" w:lineRule="exact"/>
                    <w:ind w:left="0" w:right="0" w:firstLine="0"/>
                  </w:pPr>
                  <w:r>
                    <w:rPr>
                      <w:rStyle w:val="CharStyle183"/>
                    </w:rPr>
                    <w:t>Празозин является гипотензивным а-адреноблокирующим препаратом, применяемым при гипертонической болезни и застойной сер</w:t>
                    <w:softHyphen/>
                    <w:t>дечной недостаточности.</w:t>
                  </w:r>
                </w:p>
              </w:txbxContent>
            </v:textbox>
            <w10:wrap anchorx="margin"/>
          </v:shape>
        </w:pict>
      </w:r>
      <w:r>
        <w:pict>
          <v:shape id="_x0000_s2023" type="#_x0000_t202" style="position:absolute;margin-left:1.7pt;margin-top:142.55pt;width:491.05pt;height:148.3pt;z-index:251657821;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 xml:space="preserve">Особенностью празозина является его избирательное влияние на сосудистые постсинаптические </w:t>
                  </w:r>
                  <w:r>
                    <w:rPr>
                      <w:rStyle w:val="CharStyle190"/>
                      <w:lang w:val="en-US" w:eastAsia="en-US" w:bidi="en-US"/>
                    </w:rPr>
                    <w:t xml:space="preserve">ai </w:t>
                  </w:r>
                  <w:r>
                    <w:rPr>
                      <w:rStyle w:val="CharStyle190"/>
                    </w:rPr>
                    <w:t xml:space="preserve">-адренорецепторы, что отличает его от обычных </w:t>
                  </w:r>
                  <w:r>
                    <w:rPr>
                      <w:rStyle w:val="CharStyle190"/>
                      <w:lang w:val="en-US" w:eastAsia="en-US" w:bidi="en-US"/>
                    </w:rPr>
                    <w:t>a</w:t>
                  </w:r>
                  <w:r>
                    <w:rPr>
                      <w:rStyle w:val="CharStyle190"/>
                    </w:rPr>
                    <w:t>-адреноблокаторов, таких как фентоламин, и других, блокирующих одновременно, а</w:t>
                  </w:r>
                  <w:r>
                    <w:rPr>
                      <w:rStyle w:val="CharStyle190"/>
                      <w:vertAlign w:val="subscript"/>
                    </w:rPr>
                    <w:t>1</w:t>
                  </w:r>
                  <w:r>
                    <w:rPr>
                      <w:rStyle w:val="CharStyle190"/>
                    </w:rPr>
                    <w:t>- и а</w:t>
                  </w:r>
                  <w:r>
                    <w:rPr>
                      <w:rStyle w:val="CharStyle190"/>
                      <w:vertAlign w:val="subscript"/>
                    </w:rPr>
                    <w:t>2</w:t>
                  </w:r>
                  <w:r>
                    <w:rPr>
                      <w:rStyle w:val="CharStyle190"/>
                    </w:rPr>
                    <w:t>-адренорецепторы кровенос</w:t>
                    <w:softHyphen/>
                    <w:t>ных сосудов. Вследствие этого празозин блокирует сосудосуживающее действие медиатора (норадреналина) без влияния на другие виды его активности. Характерным для действия празозина является главным образом периферическая вазодилатация. Он оказывает одновре</w:t>
                    <w:softHyphen/>
                    <w:t xml:space="preserve">менно артерио- и венорасширяющее действие (с несколько большим влиянием на объемные, т.е. венозные, сосуды), уменьшает в связи с этим венозный приток крови к сердцу и облегчает работу сердца из-за уменьшения периферического сопротивления, т.е. уменьшает пре- и постнагрузку на миокард. Снижения минутного объема препарат не вызывает. В отличие от обычных </w:t>
                  </w:r>
                  <w:r>
                    <w:rPr>
                      <w:rStyle w:val="CharStyle190"/>
                      <w:lang w:val="en-US" w:eastAsia="en-US" w:bidi="en-US"/>
                    </w:rPr>
                    <w:t>a</w:t>
                  </w:r>
                  <w:r>
                    <w:rPr>
                      <w:rStyle w:val="CharStyle190"/>
                    </w:rPr>
                    <w:t>-адреноблокаторов празо- зин тахикардии, как правило, не вызывает.</w:t>
                  </w:r>
                </w:p>
                <w:p>
                  <w:pPr>
                    <w:pStyle w:val="Style45"/>
                    <w:widowControl w:val="0"/>
                    <w:keepNext w:val="0"/>
                    <w:keepLines w:val="0"/>
                    <w:shd w:val="clear" w:color="auto" w:fill="auto"/>
                    <w:bidi w:val="0"/>
                    <w:spacing w:before="0" w:after="0"/>
                    <w:ind w:left="0" w:right="0" w:firstLine="0"/>
                  </w:pPr>
                  <w:r>
                    <w:rPr>
                      <w:rStyle w:val="CharStyle190"/>
                    </w:rPr>
                    <w:t>В механизме сосудорасширяющего эффекта празозина определенную роль играет непосредственное спазмолитическое действие, свя</w:t>
                    <w:softHyphen/>
                    <w:t>занное с его ингибирующим влиянием на фосфодиэстеразу (см. Теофиллин).</w:t>
                  </w:r>
                </w:p>
                <w:p>
                  <w:pPr>
                    <w:pStyle w:val="Style45"/>
                    <w:widowControl w:val="0"/>
                    <w:keepNext w:val="0"/>
                    <w:keepLines w:val="0"/>
                    <w:shd w:val="clear" w:color="auto" w:fill="auto"/>
                    <w:bidi w:val="0"/>
                    <w:spacing w:before="0" w:after="0"/>
                    <w:ind w:left="0" w:right="0" w:firstLine="0"/>
                  </w:pPr>
                  <w:r>
                    <w:rPr>
                      <w:rStyle w:val="CharStyle190"/>
                    </w:rPr>
                    <w:t>По имеющимся данным, празозин благоприятно влияет на показатели липидов сыворотки крови. Препарат уменьшает также агрегацию эритроцитов.</w:t>
                  </w:r>
                </w:p>
                <w:p>
                  <w:pPr>
                    <w:pStyle w:val="Style45"/>
                    <w:widowControl w:val="0"/>
                    <w:keepNext w:val="0"/>
                    <w:keepLines w:val="0"/>
                    <w:shd w:val="clear" w:color="auto" w:fill="auto"/>
                    <w:bidi w:val="0"/>
                    <w:spacing w:before="0" w:after="0"/>
                    <w:ind w:left="0" w:right="0" w:firstLine="0"/>
                  </w:pPr>
                  <w:r>
                    <w:rPr>
                      <w:rStyle w:val="CharStyle190"/>
                    </w:rPr>
                    <w:t>Побочные эффекты: ортостатическая гипотензия, тахикардия, головная боль, головокружение, тошнота, сухость во рту, заложенность носа, задержка жидкости.</w:t>
                  </w:r>
                </w:p>
                <w:p>
                  <w:pPr>
                    <w:pStyle w:val="Style45"/>
                    <w:widowControl w:val="0"/>
                    <w:keepNext w:val="0"/>
                    <w:keepLines w:val="0"/>
                    <w:shd w:val="clear" w:color="auto" w:fill="auto"/>
                    <w:bidi w:val="0"/>
                    <w:spacing w:before="0" w:after="0"/>
                    <w:ind w:left="0" w:right="0" w:firstLine="0"/>
                  </w:pPr>
                  <w:r>
                    <w:rPr>
                      <w:rStyle w:val="CharStyle190"/>
                    </w:rPr>
                    <w:t>Осторожность: «феномен стартовой дозы» — ортостатические синкопы (обычно в первые 90 мин).</w:t>
                  </w:r>
                </w:p>
              </w:txbxContent>
            </v:textbox>
            <w10:wrap anchorx="margin"/>
          </v:shape>
        </w:pict>
      </w:r>
      <w:r>
        <w:pict>
          <v:shape id="_x0000_s2024" type="#_x0000_t202" style="position:absolute;margin-left:1.45pt;margin-top:306.95pt;width:490.55pt;height:22.05pt;z-index:251657822;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Нифедипин </w:t>
                  </w:r>
                  <w:r>
                    <w:rPr>
                      <w:rStyle w:val="CharStyle191"/>
                      <w:b/>
                      <w:bCs/>
                      <w:i/>
                      <w:iCs/>
                    </w:rPr>
                    <w:t xml:space="preserve">(Nifedipin) </w:t>
                  </w:r>
                  <w:r>
                    <w:rPr>
                      <w:rStyle w:val="CharStyle191"/>
                      <w:lang w:val="ru-RU" w:eastAsia="ru-RU" w:bidi="ru-RU"/>
                      <w:b/>
                      <w:bCs/>
                      <w:i/>
                      <w:iCs/>
                    </w:rPr>
                    <w:t xml:space="preserve">Синонимы: Адалат, Кордафен, Кордипин, Коринфар, Нифангин, Нифекард, </w:t>
                  </w:r>
                  <w:r>
                    <w:rPr>
                      <w:rStyle w:val="CharStyle191"/>
                      <w:b/>
                      <w:bCs/>
                      <w:i/>
                      <w:iCs/>
                    </w:rPr>
                    <w:t xml:space="preserve">Аdаlat, Аdarat, Саlcigard, </w:t>
                  </w:r>
                  <w:r>
                    <w:rPr>
                      <w:rStyle w:val="CharStyle191"/>
                      <w:lang w:val="ru-RU" w:eastAsia="ru-RU" w:bidi="ru-RU"/>
                      <w:b/>
                      <w:bCs/>
                      <w:i/>
                      <w:iCs/>
                    </w:rPr>
                    <w:t>Со</w:t>
                  </w:r>
                  <w:r>
                    <w:rPr>
                      <w:rStyle w:val="CharStyle191"/>
                      <w:b/>
                      <w:bCs/>
                      <w:i/>
                      <w:iCs/>
                    </w:rPr>
                    <w:t>rdafen</w:t>
                  </w:r>
                  <w:r>
                    <w:rPr>
                      <w:rStyle w:val="CharStyle191"/>
                      <w:lang w:val="ru-RU" w:eastAsia="ru-RU" w:bidi="ru-RU"/>
                      <w:b/>
                      <w:bCs/>
                      <w:i/>
                      <w:iCs/>
                    </w:rPr>
                    <w:t>, Со</w:t>
                  </w:r>
                  <w:r>
                    <w:rPr>
                      <w:rStyle w:val="CharStyle191"/>
                      <w:b/>
                      <w:bCs/>
                      <w:i/>
                      <w:iCs/>
                    </w:rPr>
                    <w:t>rdipin</w:t>
                  </w:r>
                  <w:r>
                    <w:rPr>
                      <w:rStyle w:val="CharStyle191"/>
                      <w:lang w:val="ru-RU" w:eastAsia="ru-RU" w:bidi="ru-RU"/>
                      <w:b/>
                      <w:bCs/>
                      <w:i/>
                      <w:iCs/>
                    </w:rPr>
                    <w:t xml:space="preserve">, </w:t>
                  </w:r>
                  <w:r>
                    <w:rPr>
                      <w:rStyle w:val="CharStyle191"/>
                      <w:b/>
                      <w:bCs/>
                      <w:i/>
                      <w:iCs/>
                    </w:rPr>
                    <w:t xml:space="preserve">^ri^ar, Nifangin, Nifacard, Nifelat, Рrocardia </w:t>
                  </w:r>
                  <w:r>
                    <w:rPr>
                      <w:rStyle w:val="CharStyle191"/>
                      <w:lang w:val="ru-RU" w:eastAsia="ru-RU" w:bidi="ru-RU"/>
                      <w:b/>
                      <w:bCs/>
                      <w:i/>
                      <w:iCs/>
                    </w:rPr>
                    <w:t>и др.</w:t>
                  </w:r>
                </w:p>
              </w:txbxContent>
            </v:textbox>
            <w10:wrap anchorx="margin"/>
          </v:shape>
        </w:pict>
      </w:r>
      <w:r>
        <w:pict>
          <v:shape id="_x0000_s2025" type="#_x0000_t202" style="position:absolute;margin-left:0.95pt;margin-top:330.7pt;width:492.25pt;height:5.e-002pt;z-index:251657823;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Показания</w:t>
                  </w:r>
                </w:p>
                <w:p>
                  <w:pPr>
                    <w:pStyle w:val="Style182"/>
                    <w:widowControl w:val="0"/>
                    <w:keepNext w:val="0"/>
                    <w:keepLines w:val="0"/>
                    <w:shd w:val="clear" w:color="auto" w:fill="auto"/>
                    <w:bidi w:val="0"/>
                    <w:spacing w:before="0" w:after="0"/>
                    <w:ind w:left="0" w:right="0" w:firstLine="0"/>
                  </w:pPr>
                  <w:r>
                    <w:rPr>
                      <w:rStyle w:val="CharStyle183"/>
                    </w:rPr>
                    <w:t>Артериальная гипертония, купирование гипертонических кризов, профилактика приступов стенокардии, гипертрофическая кардиомиопатия (в т.ч. обструктивная), болезнь Рейно, легочная гипертензия, бронхообструктивный синдром.</w:t>
                  </w:r>
                </w:p>
                <w:tbl>
                  <w:tblPr>
                    <w:tblOverlap w:val="never"/>
                    <w:tblLayout w:type="fixed"/>
                    <w:jc w:val="center"/>
                  </w:tblPr>
                  <w:tblGrid>
                    <w:gridCol w:w="2477"/>
                    <w:gridCol w:w="3797"/>
                    <w:gridCol w:w="3571"/>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 xml:space="preserve">Per os, </w:t>
                        </w:r>
                        <w:r>
                          <w:rPr>
                            <w:rStyle w:val="CharStyle102"/>
                          </w:rPr>
                          <w:t>сублингвально</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0,25-0,5 мг/кг, максимально 10 мг/день</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2-3 раза в день</w:t>
                        </w:r>
                      </w:p>
                    </w:tc>
                  </w:tr>
                </w:tbl>
                <w:p>
                  <w:pPr>
                    <w:pStyle w:val="Style182"/>
                    <w:widowControl w:val="0"/>
                    <w:keepNext w:val="0"/>
                    <w:keepLines w:val="0"/>
                    <w:shd w:val="clear" w:color="auto" w:fill="auto"/>
                    <w:bidi w:val="0"/>
                    <w:jc w:val="left"/>
                    <w:spacing w:before="0" w:after="0" w:line="160" w:lineRule="exact"/>
                    <w:ind w:left="0" w:right="0" w:firstLine="0"/>
                  </w:pPr>
                  <w:r>
                    <w:rPr>
                      <w:rStyle w:val="CharStyle183"/>
                    </w:rPr>
                    <w:t>Фармакологическое действие:</w:t>
                  </w:r>
                </w:p>
                <w:p>
                  <w:pPr>
                    <w:widowControl w:val="0"/>
                    <w:rPr>
                      <w:sz w:val="2"/>
                      <w:szCs w:val="2"/>
                    </w:rPr>
                  </w:pPr>
                </w:p>
              </w:txbxContent>
            </v:textbox>
            <w10:wrap anchorx="margin"/>
          </v:shape>
        </w:pict>
      </w:r>
      <w:r>
        <w:pict>
          <v:shape id="_x0000_s2026" type="#_x0000_t202" style="position:absolute;margin-left:1.2pt;margin-top:393.6pt;width:491.5pt;height:252.45pt;z-index:251657824;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Антиангинальное, гипотензивное. Блокирует «медленные» кальциевые каналы, тормозит трансмембранное поступление ионов кальция в клетки гладкой мускулатуры артериальных сосудов и кардиомиоцитов. При приеме внутрь быстро и полностью всасывается. Биодо</w:t>
                    <w:softHyphen/>
                    <w:t>ступность всех лекарственных форм составляет 40-60%, поскольку имеет место эффект «первого прохождения» через печень. В незначи</w:t>
                    <w:softHyphen/>
                    <w:t>тельных количествах проникает через ГЭБ и плацентарный барьер, выделяется с грудным молоком. Вызывает расширение коронарных и периферических (в основном артериальных, в т.ч. коронарных) сосудов, понижает АД (возможна незначительная рефлекторная тахи</w:t>
                    <w:softHyphen/>
                    <w:t>кардия), уменьшает ОПСС и постнагрузку на сердце. Увеличивает коронарный кровоток, улучшает постстенотическую циркуляцию при атеросклерозе. Снижает потребность миокарда в кислороде. Оказывает незначительное отрицательное инотропное действие. Угнетает агрегацию тромбоцитов, обладает антиатерогенными свойствами. Время наступления и продолжительность гемодинамического эффек</w:t>
                    <w:softHyphen/>
                    <w:t>та зависят от лекарственной формы. Периферическое вазодилататорное действие улучшает функцию сердца и способствует уменьшению его размеров при хр. сердечной недостаточности; снижается давление в легочной артерии, оказывает положительное влияние на цереб</w:t>
                    <w:softHyphen/>
                    <w:t>ральную гемодинамику.</w:t>
                  </w:r>
                </w:p>
                <w:p>
                  <w:pPr>
                    <w:pStyle w:val="Style45"/>
                    <w:widowControl w:val="0"/>
                    <w:keepNext w:val="0"/>
                    <w:keepLines w:val="0"/>
                    <w:shd w:val="clear" w:color="auto" w:fill="auto"/>
                    <w:bidi w:val="0"/>
                    <w:spacing w:before="0" w:after="0"/>
                    <w:ind w:left="0" w:right="0" w:firstLine="0"/>
                  </w:pPr>
                  <w:r>
                    <w:rPr>
                      <w:rStyle w:val="CharStyle190"/>
                    </w:rPr>
                    <w:t>Противопоказания:</w:t>
                  </w:r>
                </w:p>
                <w:p>
                  <w:pPr>
                    <w:pStyle w:val="Style45"/>
                    <w:widowControl w:val="0"/>
                    <w:keepNext w:val="0"/>
                    <w:keepLines w:val="0"/>
                    <w:shd w:val="clear" w:color="auto" w:fill="auto"/>
                    <w:bidi w:val="0"/>
                    <w:spacing w:before="0" w:after="0"/>
                    <w:ind w:left="0" w:right="0" w:firstLine="0"/>
                  </w:pPr>
                  <w:r>
                    <w:rPr>
                      <w:rStyle w:val="CharStyle190"/>
                    </w:rPr>
                    <w:t>Гйперчувствительность, острый период инфаркта миокарда (первые 8 дней), кардиогенный шок, тяжелый аортальный стеноз, сердечная недостаточность в стадии декомпенсации, выраженная артериальная гипотензия, тахикардия.</w:t>
                  </w:r>
                </w:p>
                <w:p>
                  <w:pPr>
                    <w:pStyle w:val="Style45"/>
                    <w:widowControl w:val="0"/>
                    <w:keepNext w:val="0"/>
                    <w:keepLines w:val="0"/>
                    <w:shd w:val="clear" w:color="auto" w:fill="auto"/>
                    <w:bidi w:val="0"/>
                    <w:spacing w:before="0" w:after="0"/>
                    <w:ind w:left="0" w:right="0" w:firstLine="0"/>
                  </w:pPr>
                  <w:r>
                    <w:rPr>
                      <w:rStyle w:val="CharStyle190"/>
                    </w:rPr>
                    <w:t>Побочные эффекты:</w:t>
                  </w:r>
                </w:p>
                <w:p>
                  <w:pPr>
                    <w:pStyle w:val="Style45"/>
                    <w:widowControl w:val="0"/>
                    <w:keepNext w:val="0"/>
                    <w:keepLines w:val="0"/>
                    <w:shd w:val="clear" w:color="auto" w:fill="auto"/>
                    <w:bidi w:val="0"/>
                    <w:spacing w:before="0" w:after="0"/>
                    <w:ind w:left="0" w:right="0" w:firstLine="0"/>
                  </w:pPr>
                  <w:r>
                    <w:rPr>
                      <w:rStyle w:val="CharStyle190"/>
                    </w:rPr>
                    <w:t>Головная боль, головокружение, чувство усталости, парестезии, тремор, легкие расстройства зрения и миалгия, гиперемия лица, артери</w:t>
                    <w:softHyphen/>
                    <w:t>альная гипотония, тахикардия, периферические отеки, тошнота, изжога, диарея, аллергические реакции (кожный зуд, крапивница, эк</w:t>
                    <w:softHyphen/>
                    <w:t>зантема); редко — анемия, лейкопения, тромбоцитопения, повышение активности печеночных трансаминаз; единичные случаи — ги</w:t>
                    <w:softHyphen/>
                    <w:t>перплазии десен и гинекомастии. При в/в введении — жжение в месте инъекции. При передозировке: резкая брадикардия, брадиарит- мия, артериальная гипотония, в тяжелых случаях — коллапс, замедление проводимости.</w:t>
                  </w:r>
                </w:p>
                <w:p>
                  <w:pPr>
                    <w:pStyle w:val="Style45"/>
                    <w:widowControl w:val="0"/>
                    <w:keepNext w:val="0"/>
                    <w:keepLines w:val="0"/>
                    <w:shd w:val="clear" w:color="auto" w:fill="auto"/>
                    <w:bidi w:val="0"/>
                    <w:spacing w:before="0" w:after="0"/>
                    <w:ind w:left="0" w:right="0" w:firstLine="0"/>
                  </w:pPr>
                  <w:r>
                    <w:rPr>
                      <w:rStyle w:val="CharStyle190"/>
                    </w:rPr>
                    <w:t>Взаимодействие:</w:t>
                  </w:r>
                </w:p>
                <w:p>
                  <w:pPr>
                    <w:pStyle w:val="Style45"/>
                    <w:widowControl w:val="0"/>
                    <w:keepNext w:val="0"/>
                    <w:keepLines w:val="0"/>
                    <w:shd w:val="clear" w:color="auto" w:fill="auto"/>
                    <w:bidi w:val="0"/>
                    <w:spacing w:before="0" w:after="0"/>
                    <w:ind w:left="0" w:right="0" w:firstLine="0"/>
                  </w:pPr>
                  <w:r>
                    <w:rPr>
                      <w:rStyle w:val="CharStyle190"/>
                    </w:rPr>
                    <w:t>Повышает активность теофиллина. Нитраты, бета-блокаторы, диуретики, трициклические антидепрессанты, этанол усиливают гипо</w:t>
                    <w:softHyphen/>
                    <w:t>тензивный эффект.</w:t>
                  </w:r>
                </w:p>
                <w:p>
                  <w:pPr>
                    <w:pStyle w:val="Style45"/>
                    <w:widowControl w:val="0"/>
                    <w:keepNext w:val="0"/>
                    <w:keepLines w:val="0"/>
                    <w:shd w:val="clear" w:color="auto" w:fill="auto"/>
                    <w:bidi w:val="0"/>
                    <w:spacing w:before="0" w:after="0"/>
                    <w:ind w:left="0" w:right="0" w:firstLine="0"/>
                  </w:pPr>
                  <w:r>
                    <w:rPr>
                      <w:rStyle w:val="CharStyle190"/>
                    </w:rPr>
                    <w:t>Осторожность: сердечная недостаточность, аортальный стеноз. Отменять препарат следует постепенно (возможно развитие синдрома «отмены»).</w:t>
                  </w:r>
                </w:p>
                <w:p>
                  <w:pPr>
                    <w:pStyle w:val="Style45"/>
                    <w:widowControl w:val="0"/>
                    <w:keepNext w:val="0"/>
                    <w:keepLines w:val="0"/>
                    <w:shd w:val="clear" w:color="auto" w:fill="auto"/>
                    <w:bidi w:val="0"/>
                    <w:spacing w:before="0" w:after="0"/>
                    <w:ind w:left="0" w:right="0" w:firstLine="0"/>
                  </w:pPr>
                  <w:r>
                    <w:rPr>
                      <w:rStyle w:val="CharStyle190"/>
                    </w:rPr>
                    <w:t>Для сублингвального введения проколоть капсулу и ввести раствор сублингвально (концентрация 10 мг на 0,34 мл).</w:t>
                  </w:r>
                </w:p>
              </w:txbxContent>
            </v:textbox>
            <w10:wrap anchorx="margin"/>
          </v:shape>
        </w:pict>
      </w:r>
      <w:r>
        <w:pict>
          <v:shape id="_x0000_s2027" type="#_x0000_t75" style="position:absolute;margin-left:147.85pt;margin-top:734.65pt;width:209.75pt;height:14.9pt;z-index:-251658603;mso-wrap-distance-left:5.pt;mso-wrap-distance-right:5.pt;mso-position-horizontal-relative:margin" wrapcoords="0 0">
            <v:imagedata r:id="rId1443" r:href="rId1444"/>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650" w:lineRule="exact"/>
      </w:pPr>
    </w:p>
    <w:p>
      <w:pPr>
        <w:widowControl w:val="0"/>
        <w:rPr>
          <w:sz w:val="2"/>
          <w:szCs w:val="2"/>
        </w:rPr>
        <w:sectPr>
          <w:headerReference w:type="even" r:id="rId1445"/>
          <w:headerReference w:type="default" r:id="rId1446"/>
          <w:headerReference w:type="first" r:id="rId1447"/>
          <w:titlePg/>
          <w:pgSz w:w="11900" w:h="16840"/>
          <w:pgMar w:top="2245" w:left="898" w:right="1124" w:bottom="177" w:header="0" w:footer="3" w:gutter="0"/>
          <w:rtlGutter w:val="0"/>
          <w:cols w:space="720"/>
          <w:noEndnote/>
          <w:docGrid w:linePitch="360"/>
        </w:sectPr>
      </w:pPr>
    </w:p>
    <w:p>
      <w:pPr>
        <w:widowControl w:val="0"/>
        <w:rPr>
          <w:sz w:val="2"/>
          <w:szCs w:val="2"/>
        </w:rPr>
      </w:pPr>
      <w:r>
        <w:pict>
          <v:shape id="_x0000_s2032" type="#_x0000_t202" style="position:static;width:595.pt;height:7.05pt" filled="f" stroked="f">
            <v:textbox inset="0,0,0,0">
              <w:txbxContent>
                <w:p>
                  <w:pPr>
                    <w:widowControl w:val="0"/>
                  </w:pPr>
                </w:p>
              </w:txbxContent>
            </v:textbox>
            <w10:anchorlock/>
          </v:shape>
        </w:pict>
      </w:r>
      <w:r>
        <w:t xml:space="preserve"> </w:t>
      </w:r>
    </w:p>
    <w:p>
      <w:pPr>
        <w:widowControl w:val="0"/>
        <w:rPr>
          <w:sz w:val="2"/>
          <w:szCs w:val="2"/>
        </w:rPr>
        <w:sectPr>
          <w:pgSz w:w="11900" w:h="16840"/>
          <w:pgMar w:top="1438" w:left="0" w:right="0" w:bottom="162" w:header="0" w:footer="3" w:gutter="0"/>
          <w:rtlGutter w:val="0"/>
          <w:cols w:space="720"/>
          <w:noEndnote/>
          <w:docGrid w:linePitch="360"/>
        </w:sectPr>
      </w:pPr>
    </w:p>
    <w:p>
      <w:pPr>
        <w:widowControl w:val="0"/>
        <w:spacing w:line="360" w:lineRule="exact"/>
      </w:pPr>
      <w:r>
        <w:pict>
          <v:shape id="_x0000_s2033" type="#_x0000_t202" style="position:absolute;margin-left:0.95pt;margin-top:0;width:492.25pt;height:5.e-002pt;z-index:251657825;mso-wrap-distance-left:5.pt;mso-wrap-distance-right:5.pt;mso-position-horizontal-relative:margin" filled="f" stroked="f">
            <v:textbox style="mso-fit-shape-to-text:t" inset="0,0,0,0">
              <w:txbxContent>
                <w:p>
                  <w:pPr>
                    <w:pStyle w:val="Style188"/>
                    <w:widowControl w:val="0"/>
                    <w:keepNext w:val="0"/>
                    <w:keepLines w:val="0"/>
                    <w:shd w:val="clear" w:color="auto" w:fill="auto"/>
                    <w:bidi w:val="0"/>
                    <w:jc w:val="both"/>
                    <w:spacing w:before="0" w:after="1" w:line="150" w:lineRule="exact"/>
                    <w:ind w:left="0" w:right="0" w:firstLine="0"/>
                  </w:pPr>
                  <w:r>
                    <w:rPr>
                      <w:lang w:val="ru-RU" w:eastAsia="ru-RU" w:bidi="ru-RU"/>
                      <w:w w:val="100"/>
                      <w:spacing w:val="0"/>
                      <w:color w:val="000000"/>
                      <w:position w:val="0"/>
                    </w:rPr>
                    <w:t xml:space="preserve">Альбарел </w:t>
                  </w:r>
                  <w:r>
                    <w:rPr>
                      <w:w w:val="100"/>
                      <w:spacing w:val="0"/>
                      <w:color w:val="000000"/>
                      <w:position w:val="0"/>
                    </w:rPr>
                    <w:t xml:space="preserve">(Albarel) </w:t>
                  </w:r>
                  <w:r>
                    <w:rPr>
                      <w:lang w:val="ru-RU" w:eastAsia="ru-RU" w:bidi="ru-RU"/>
                      <w:w w:val="100"/>
                      <w:spacing w:val="0"/>
                      <w:color w:val="000000"/>
                      <w:position w:val="0"/>
                    </w:rPr>
                    <w:t xml:space="preserve">Рилменидин </w:t>
                  </w:r>
                  <w:r>
                    <w:rPr>
                      <w:w w:val="100"/>
                      <w:spacing w:val="0"/>
                      <w:color w:val="000000"/>
                      <w:position w:val="0"/>
                    </w:rPr>
                    <w:t>(Rilmenidine)</w:t>
                  </w:r>
                </w:p>
                <w:p>
                  <w:pPr>
                    <w:pStyle w:val="Style182"/>
                    <w:widowControl w:val="0"/>
                    <w:keepNext w:val="0"/>
                    <w:keepLines w:val="0"/>
                    <w:shd w:val="clear" w:color="auto" w:fill="auto"/>
                    <w:bidi w:val="0"/>
                    <w:spacing w:before="0" w:after="0"/>
                    <w:ind w:left="0" w:right="0" w:firstLine="0"/>
                  </w:pPr>
                  <w:r>
                    <w:rPr>
                      <w:rStyle w:val="CharStyle183"/>
                    </w:rPr>
                    <w:t>Фармакологическое действие. Антигипертензивный препарат, производное оксазолина. Избирательно взаимодействует с имидазолиновыми рецепторами мозговых вазомоторных структур и почек. Связывание рилменидина с имидазолиновыми рецепторами ингибирует симпатомиметическую активность, что ведет к снижению АД за счет уменьшения ОПСС. Альбарел оказывает зависимое от дозы гипотензивное действие на систолическое и диастолическое АД в положении лежа и стоя.</w:t>
                  </w:r>
                </w:p>
                <w:tbl>
                  <w:tblPr>
                    <w:tblOverlap w:val="never"/>
                    <w:tblLayout w:type="fixed"/>
                    <w:jc w:val="center"/>
                  </w:tblPr>
                  <w:tblGrid>
                    <w:gridCol w:w="2477"/>
                    <w:gridCol w:w="3802"/>
                    <w:gridCol w:w="3566"/>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Детям старше 12 лет 1 мг/сут</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1 раз в сутки</w:t>
                        </w:r>
                      </w:p>
                    </w:tc>
                  </w:tr>
                </w:tbl>
                <w:p>
                  <w:pPr>
                    <w:widowControl w:val="0"/>
                    <w:rPr>
                      <w:sz w:val="2"/>
                      <w:szCs w:val="2"/>
                    </w:rPr>
                  </w:pPr>
                </w:p>
              </w:txbxContent>
            </v:textbox>
            <w10:wrap anchorx="margin"/>
          </v:shape>
        </w:pict>
      </w:r>
      <w:r>
        <w:pict>
          <v:shape id="_x0000_s2034" type="#_x0000_t202" style="position:absolute;margin-left:1.2pt;margin-top:76.55pt;width:491.5pt;height:251.05pt;z-index:251657826;mso-wrap-distance-left:5.pt;mso-wrap-distance-right:5.pt;mso-position-horizontal-relative:margin" filled="f" stroked="f">
            <v:textbox style="mso-fit-shape-to-text:t" inset="0,0,0,0">
              <w:txbxContent>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Побочное действие:</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ind w:left="0" w:right="0" w:firstLine="0"/>
                  </w:pPr>
                  <w:r>
                    <w:rPr>
                      <w:rStyle w:val="CharStyle190"/>
                    </w:rPr>
                    <w:t>Со стороны ЦНС: возможны астения, бессонница, сонливость, повышенная усталость при физических нагрузках; в единичных случа</w:t>
                    <w:softHyphen/>
                    <w:t>ях — чувство страха, депрессия, судороги.</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ind w:left="0" w:right="0" w:firstLine="0"/>
                  </w:pPr>
                  <w:r>
                    <w:rPr>
                      <w:rStyle w:val="CharStyle190"/>
                    </w:rPr>
                    <w:t>Со стороны сердечно-сосудистой системы: возможно сердцебиение; в единичных случаях — похолодание конечностей, ортостатическая гипотензия.</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ind w:left="0" w:right="0" w:firstLine="0"/>
                  </w:pPr>
                  <w:r>
                    <w:rPr>
                      <w:rStyle w:val="CharStyle190"/>
                    </w:rPr>
                    <w:t>Со стороны пищеварительной системы: возможны боли в эпигастрии, сухость во рту, диарея; в единичных случаях — тошнота, запор. Дерматологические реакции: возможна кожная сыпь, зуд.</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Прочие: в единичных случаях — периферические отеки, приливы.</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Противопоказания:</w:t>
                  </w:r>
                </w:p>
                <w:p>
                  <w:pPr>
                    <w:pStyle w:val="Style45"/>
                    <w:numPr>
                      <w:ilvl w:val="0"/>
                      <w:numId w:val="201"/>
                    </w:numPr>
                    <w:tabs>
                      <w:tab w:leader="none" w:pos="96" w:val="left"/>
                    </w:tabs>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выраженная депрессия;</w:t>
                  </w:r>
                </w:p>
                <w:p>
                  <w:pPr>
                    <w:pStyle w:val="Style45"/>
                    <w:numPr>
                      <w:ilvl w:val="0"/>
                      <w:numId w:val="201"/>
                    </w:numPr>
                    <w:tabs>
                      <w:tab w:leader="none" w:pos="91" w:val="left"/>
                    </w:tabs>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тяжелая недостаточность функции почек (КК&lt; 15 мл/мин);</w:t>
                  </w:r>
                </w:p>
                <w:p>
                  <w:pPr>
                    <w:pStyle w:val="Style45"/>
                    <w:numPr>
                      <w:ilvl w:val="0"/>
                      <w:numId w:val="201"/>
                    </w:numPr>
                    <w:tabs>
                      <w:tab w:leader="none" w:pos="101" w:val="left"/>
                    </w:tabs>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беременность;</w:t>
                  </w:r>
                </w:p>
                <w:p>
                  <w:pPr>
                    <w:pStyle w:val="Style45"/>
                    <w:numPr>
                      <w:ilvl w:val="0"/>
                      <w:numId w:val="201"/>
                    </w:numPr>
                    <w:tabs>
                      <w:tab w:leader="none" w:pos="91" w:val="left"/>
                    </w:tabs>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лактация (грудное вскармливание);</w:t>
                  </w:r>
                </w:p>
                <w:p>
                  <w:pPr>
                    <w:pStyle w:val="Style45"/>
                    <w:numPr>
                      <w:ilvl w:val="0"/>
                      <w:numId w:val="201"/>
                    </w:numPr>
                    <w:tabs>
                      <w:tab w:leader="none" w:pos="96" w:val="left"/>
                    </w:tabs>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повышенная чувствительность к препарату.</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Особые указания:</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При нарушениях функции почек, если КК более 15 мл/мин, коррекции дозы не требуется.</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ind w:left="0" w:right="0" w:firstLine="0"/>
                  </w:pPr>
                  <w:r>
                    <w:rPr>
                      <w:rStyle w:val="CharStyle190"/>
                    </w:rPr>
                    <w:t>При необходимости прекращения лечения дозу следует уменьшать постепенно, хотя маловероятно, что отмена препарата будет сопро</w:t>
                    <w:softHyphen/>
                    <w:t>вождаться какими-либо побочными эффектами.</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Не рекомендуется одновременное назначение альбарела с ингибиторами МАО.</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Передозировка:</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Симптомы: выраженная артериальная гипотензия, психические нарушения.</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ind w:left="0" w:right="0" w:firstLine="0"/>
                  </w:pPr>
                  <w:r>
                    <w:rPr>
                      <w:rStyle w:val="CharStyle190"/>
                    </w:rPr>
                    <w:t>Лечение: после промывания желудка можно применять симпатомиметические средства. Альбарел плохо выводится при диализе. Лекарственное взаимодействие:</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Назначение альбарела с трициклическими антидепрессантами снижает его антигипертензивный эффект.</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Форма выпуска:</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Таб. Рилменцдин 1 мг</w:t>
                  </w:r>
                </w:p>
              </w:txbxContent>
            </v:textbox>
            <w10:wrap anchorx="margin"/>
          </v:shape>
        </w:pict>
      </w:r>
      <w:r>
        <w:pict>
          <v:shape id="_x0000_s2035" type="#_x0000_t202" style="position:absolute;margin-left:1.45pt;margin-top:355.9pt;width:490.55pt;height:31.7pt;z-index:251657827;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Клофелин </w:t>
                  </w:r>
                  <w:r>
                    <w:rPr>
                      <w:rStyle w:val="CharStyle191"/>
                      <w:b/>
                      <w:bCs/>
                      <w:i/>
                      <w:iCs/>
                    </w:rPr>
                    <w:t xml:space="preserve">(Clophelin) </w:t>
                  </w:r>
                  <w:r>
                    <w:rPr>
                      <w:rStyle w:val="CharStyle191"/>
                      <w:lang w:val="ru-RU" w:eastAsia="ru-RU" w:bidi="ru-RU"/>
                      <w:b/>
                      <w:bCs/>
                      <w:i/>
                      <w:iCs/>
                    </w:rPr>
                    <w:t xml:space="preserve">Синонимы: Гемитон, Катапресан, Хлофазолин, </w:t>
                  </w:r>
                  <w:r>
                    <w:rPr>
                      <w:rStyle w:val="CharStyle191"/>
                      <w:b/>
                      <w:bCs/>
                      <w:i/>
                      <w:iCs/>
                    </w:rPr>
                    <w:t xml:space="preserve">Atensina, Bapresan, Capresin, Catapres, Catapresan, Chlophazolin, Chlornidinum, Clonidini hydrochloridum, Clonidin hydrochlorid, Clonilon, Clonisin, Clonidine, Haemiton, Hemiton, Hyposyn, Ipotensinum, Namestin, Normopresan, Prescatan </w:t>
                  </w:r>
                  <w:r>
                    <w:rPr>
                      <w:rStyle w:val="CharStyle191"/>
                      <w:lang w:val="ru-RU" w:eastAsia="ru-RU" w:bidi="ru-RU"/>
                      <w:b/>
                      <w:bCs/>
                      <w:i/>
                      <w:iCs/>
                    </w:rPr>
                    <w:t>и др.</w:t>
                  </w:r>
                </w:p>
              </w:txbxContent>
            </v:textbox>
            <w10:wrap anchorx="margin"/>
          </v:shape>
        </w:pict>
      </w:r>
      <w:r>
        <w:pict>
          <v:shape id="_x0000_s2036" type="#_x0000_t202" style="position:absolute;margin-left:0.95pt;margin-top:388.55pt;width:492.25pt;height:5.e-002pt;z-index:251657828;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Показания к применению</w:t>
                  </w:r>
                </w:p>
                <w:p>
                  <w:pPr>
                    <w:pStyle w:val="Style182"/>
                    <w:widowControl w:val="0"/>
                    <w:keepNext w:val="0"/>
                    <w:keepLines w:val="0"/>
                    <w:shd w:val="clear" w:color="auto" w:fill="auto"/>
                    <w:bidi w:val="0"/>
                    <w:spacing w:before="0" w:after="0"/>
                    <w:ind w:left="0" w:right="0" w:firstLine="0"/>
                  </w:pPr>
                  <w:r>
                    <w:rPr>
                      <w:rStyle w:val="CharStyle183"/>
                    </w:rPr>
                    <w:t>Гипертонические кризы, инфаркт миокарда в острый период (при отсутствии признаков кардиогенного шока) и сопутствующем повышении АД.</w:t>
                  </w:r>
                </w:p>
                <w:tbl>
                  <w:tblPr>
                    <w:tblOverlap w:val="never"/>
                    <w:tblLayout w:type="fixed"/>
                    <w:jc w:val="center"/>
                  </w:tblPr>
                  <w:tblGrid>
                    <w:gridCol w:w="2477"/>
                    <w:gridCol w:w="3802"/>
                    <w:gridCol w:w="3566"/>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437"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Дозы и схема лечения индивидуальны. Начальная 50-75 мкг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3 раза в сутки</w:t>
                        </w:r>
                      </w:p>
                    </w:tc>
                  </w:tr>
                  <w:tr>
                    <w:trPr>
                      <w:trHeight w:val="221"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Фармакологическое действие:</w:t>
                        </w:r>
                      </w:p>
                    </w:tc>
                  </w:tr>
                </w:tbl>
                <w:p>
                  <w:pPr>
                    <w:widowControl w:val="0"/>
                    <w:rPr>
                      <w:sz w:val="2"/>
                      <w:szCs w:val="2"/>
                    </w:rPr>
                  </w:pPr>
                </w:p>
              </w:txbxContent>
            </v:textbox>
            <w10:wrap anchorx="margin"/>
          </v:shape>
        </w:pict>
      </w:r>
      <w:r>
        <w:pict>
          <v:shape id="_x0000_s2037" type="#_x0000_t202" style="position:absolute;margin-left:1.2pt;margin-top:461.25pt;width:492.pt;height:186.pt;z-index:251657829;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Гипотензивное, седативное, анальгезирующее, адреномиметическое. Возбуждает а</w:t>
                  </w:r>
                  <w:r>
                    <w:rPr>
                      <w:rStyle w:val="CharStyle190"/>
                      <w:vertAlign w:val="subscript"/>
                    </w:rPr>
                    <w:t>2</w:t>
                  </w:r>
                  <w:r>
                    <w:rPr>
                      <w:rStyle w:val="CharStyle190"/>
                    </w:rPr>
                    <w:t>-адренорецепторы, понижает тонус сосудодвигательного центра продолговатого мозга и снижает импульсацию в симпатическом звене периферической нервной системы на пресинаптическом уровне. Хорошо всасывается из ЖКТ. Максимальный эффект развивается через 2-4 ч и сохраняется около 5 ч. Длительность действия препарата составляет от 6 до 12 ч. Легко и быстро проникает через ГЭБ. Выводится в основном почками в неизмененном виде. Понижает ОПСС, ЧСС, сердечный выброс. Уменьшает продукцию водянистой влаги и улучшает ее отток, снижает внутриглазное давление. Длительное применение сопровождается задержкой воды в организме. При быстром введении возможно непродолжительное повышение АД в связи со стимуляцией периферических адренорецепторов.</w:t>
                  </w:r>
                </w:p>
                <w:p>
                  <w:pPr>
                    <w:pStyle w:val="Style45"/>
                    <w:widowControl w:val="0"/>
                    <w:keepNext w:val="0"/>
                    <w:keepLines w:val="0"/>
                    <w:shd w:val="clear" w:color="auto" w:fill="auto"/>
                    <w:bidi w:val="0"/>
                    <w:spacing w:before="0" w:after="0"/>
                    <w:ind w:left="0" w:right="0" w:firstLine="0"/>
                  </w:pPr>
                  <w:r>
                    <w:rPr>
                      <w:rStyle w:val="CharStyle190"/>
                    </w:rPr>
                    <w:t>Противопоказания:</w:t>
                  </w:r>
                </w:p>
                <w:p>
                  <w:pPr>
                    <w:pStyle w:val="Style45"/>
                    <w:widowControl w:val="0"/>
                    <w:keepNext w:val="0"/>
                    <w:keepLines w:val="0"/>
                    <w:shd w:val="clear" w:color="auto" w:fill="auto"/>
                    <w:bidi w:val="0"/>
                    <w:spacing w:before="0" w:after="0"/>
                    <w:ind w:left="0" w:right="0" w:firstLine="0"/>
                  </w:pPr>
                  <w:r>
                    <w:rPr>
                      <w:rStyle w:val="CharStyle190"/>
                    </w:rPr>
                    <w:t xml:space="preserve">Гиперчувствительность, кардиогенный шок, артериальная гипотензия, облитерирующие заболевания периферических артерий, </w:t>
                  </w:r>
                  <w:r>
                    <w:rPr>
                      <w:rStyle w:val="CharStyle190"/>
                      <w:lang w:val="en-US" w:eastAsia="en-US" w:bidi="en-US"/>
                    </w:rPr>
                    <w:t xml:space="preserve">AV </w:t>
                  </w:r>
                  <w:r>
                    <w:rPr>
                      <w:rStyle w:val="CharStyle190"/>
                    </w:rPr>
                    <w:t xml:space="preserve">блокада </w:t>
                  </w:r>
                  <w:r>
                    <w:rPr>
                      <w:rStyle w:val="CharStyle190"/>
                      <w:lang w:val="en-US" w:eastAsia="en-US" w:bidi="en-US"/>
                    </w:rPr>
                    <w:t xml:space="preserve">II-III </w:t>
                  </w:r>
                  <w:r>
                    <w:rPr>
                      <w:rStyle w:val="CharStyle190"/>
                    </w:rPr>
                    <w:t>степени, синдром слабости синусового узла, депрессивные состояния.</w:t>
                  </w:r>
                </w:p>
                <w:p>
                  <w:pPr>
                    <w:pStyle w:val="Style45"/>
                    <w:widowControl w:val="0"/>
                    <w:keepNext w:val="0"/>
                    <w:keepLines w:val="0"/>
                    <w:shd w:val="clear" w:color="auto" w:fill="auto"/>
                    <w:bidi w:val="0"/>
                    <w:spacing w:before="0" w:after="0"/>
                    <w:ind w:left="0" w:right="0" w:firstLine="0"/>
                  </w:pPr>
                  <w:r>
                    <w:rPr>
                      <w:rStyle w:val="CharStyle190"/>
                    </w:rPr>
                    <w:t>Ограничения к применению:</w:t>
                  </w:r>
                </w:p>
                <w:p>
                  <w:pPr>
                    <w:pStyle w:val="Style45"/>
                    <w:widowControl w:val="0"/>
                    <w:keepNext w:val="0"/>
                    <w:keepLines w:val="0"/>
                    <w:shd w:val="clear" w:color="auto" w:fill="auto"/>
                    <w:bidi w:val="0"/>
                    <w:spacing w:before="0" w:after="0"/>
                    <w:ind w:left="0" w:right="0" w:firstLine="0"/>
                  </w:pPr>
                  <w:r>
                    <w:rPr>
                      <w:rStyle w:val="CharStyle190"/>
                    </w:rPr>
                    <w:t>Беременность и лактация (следует отказаться от грудного вскармливания), работа, связанная с необходимостью быстрой психической или физической реакции.</w:t>
                  </w:r>
                </w:p>
                <w:p>
                  <w:pPr>
                    <w:pStyle w:val="Style45"/>
                    <w:widowControl w:val="0"/>
                    <w:keepNext w:val="0"/>
                    <w:keepLines w:val="0"/>
                    <w:shd w:val="clear" w:color="auto" w:fill="auto"/>
                    <w:bidi w:val="0"/>
                    <w:spacing w:before="0" w:after="0"/>
                    <w:ind w:left="0" w:right="0" w:firstLine="0"/>
                  </w:pPr>
                  <w:r>
                    <w:rPr>
                      <w:rStyle w:val="CharStyle190"/>
                    </w:rPr>
                    <w:t>Побочные эффекты:</w:t>
                  </w:r>
                </w:p>
                <w:p>
                  <w:pPr>
                    <w:pStyle w:val="Style45"/>
                    <w:widowControl w:val="0"/>
                    <w:keepNext w:val="0"/>
                    <w:keepLines w:val="0"/>
                    <w:shd w:val="clear" w:color="auto" w:fill="auto"/>
                    <w:bidi w:val="0"/>
                    <w:spacing w:before="0" w:after="0"/>
                    <w:ind w:left="0" w:right="0" w:firstLine="0"/>
                  </w:pPr>
                  <w:r>
                    <w:rPr>
                      <w:rStyle w:val="CharStyle190"/>
                    </w:rPr>
                    <w:t xml:space="preserve">Сухость во рту, запоры, слабость, сонливость, при передозировке: нарушение сознания, коллапс, брадикардия, уширение комплекса </w:t>
                  </w:r>
                  <w:r>
                    <w:rPr>
                      <w:rStyle w:val="CharStyle190"/>
                      <w:lang w:val="en-US" w:eastAsia="en-US" w:bidi="en-US"/>
                    </w:rPr>
                    <w:t xml:space="preserve">QRS, </w:t>
                  </w:r>
                  <w:r>
                    <w:rPr>
                      <w:rStyle w:val="CharStyle190"/>
                    </w:rPr>
                    <w:t xml:space="preserve">возможно замедление </w:t>
                  </w:r>
                  <w:r>
                    <w:rPr>
                      <w:rStyle w:val="CharStyle190"/>
                      <w:lang w:val="en-US" w:eastAsia="en-US" w:bidi="en-US"/>
                    </w:rPr>
                    <w:t xml:space="preserve">AV </w:t>
                  </w:r>
                  <w:r>
                    <w:rPr>
                      <w:rStyle w:val="CharStyle190"/>
                    </w:rPr>
                    <w:t>проводимости и синдром ранней реполяризации.</w:t>
                  </w:r>
                </w:p>
                <w:p>
                  <w:pPr>
                    <w:pStyle w:val="Style45"/>
                    <w:widowControl w:val="0"/>
                    <w:keepNext w:val="0"/>
                    <w:keepLines w:val="0"/>
                    <w:shd w:val="clear" w:color="auto" w:fill="auto"/>
                    <w:bidi w:val="0"/>
                    <w:spacing w:before="0" w:after="0"/>
                    <w:ind w:left="0" w:right="0" w:firstLine="0"/>
                  </w:pPr>
                  <w:r>
                    <w:rPr>
                      <w:rStyle w:val="CharStyle190"/>
                    </w:rPr>
                    <w:t>Взаимодействие:</w:t>
                  </w:r>
                </w:p>
                <w:p>
                  <w:pPr>
                    <w:pStyle w:val="Style45"/>
                    <w:widowControl w:val="0"/>
                    <w:keepNext w:val="0"/>
                    <w:keepLines w:val="0"/>
                    <w:shd w:val="clear" w:color="auto" w:fill="auto"/>
                    <w:bidi w:val="0"/>
                    <w:spacing w:before="0" w:after="0"/>
                    <w:ind w:left="0" w:right="0" w:firstLine="0"/>
                  </w:pPr>
                  <w:r>
                    <w:rPr>
                      <w:rStyle w:val="CharStyle190"/>
                    </w:rPr>
                    <w:t>Гипотензивный эффект ослабляет нифедипин. При применении с нейролептиками происходит взаимное усиление седативных проявлений, могут возникнуть выраженные депрессивные расстройства.</w:t>
                  </w:r>
                </w:p>
              </w:txbxContent>
            </v:textbox>
            <w10:wrap anchorx="margin"/>
          </v:shape>
        </w:pict>
      </w:r>
      <w:r>
        <w:pict>
          <v:shape id="_x0000_s2038" type="#_x0000_t75" style="position:absolute;margin-left:136.55pt;margin-top:734.65pt;width:209.75pt;height:14.9pt;z-index:-251658598;mso-wrap-distance-left:5.pt;mso-wrap-distance-right:5.pt;mso-position-horizontal-relative:margin" wrapcoords="0 0">
            <v:imagedata r:id="rId1448" r:href="rId1449"/>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78" w:lineRule="exact"/>
      </w:pPr>
    </w:p>
    <w:p>
      <w:pPr>
        <w:widowControl w:val="0"/>
        <w:rPr>
          <w:sz w:val="2"/>
          <w:szCs w:val="2"/>
        </w:rPr>
        <w:sectPr>
          <w:type w:val="continuous"/>
          <w:pgSz w:w="11900" w:h="16840"/>
          <w:pgMar w:top="1438" w:left="1124" w:right="898" w:bottom="162" w:header="0" w:footer="3" w:gutter="0"/>
          <w:rtlGutter w:val="0"/>
          <w:cols w:space="720"/>
          <w:noEndnote/>
          <w:docGrid w:linePitch="360"/>
        </w:sectPr>
      </w:pP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Фармакологическое действие:</w:t>
      </w:r>
    </w:p>
    <w:p>
      <w:pPr>
        <w:pStyle w:val="Style30"/>
        <w:widowControl w:val="0"/>
        <w:keepNext w:val="0"/>
        <w:keepLines w:val="0"/>
        <w:shd w:val="clear" w:color="auto" w:fill="auto"/>
        <w:bidi w:val="0"/>
        <w:spacing w:before="0" w:after="0" w:line="187" w:lineRule="exact"/>
        <w:ind w:left="0" w:right="0" w:firstLine="0"/>
      </w:pPr>
      <w:r>
        <w:pict>
          <v:shape id="_x0000_s2039" type="#_x0000_t202" style="position:absolute;margin-left:5.e-002pt;margin-top:-67.9pt;width:492.5pt;height:5.e-002pt;z-index:-125828735;mso-wrap-distance-left:5.pt;mso-wrap-distance-right:5.pt;mso-position-horizontal-relative:margin" filled="f" stroked="f">
            <v:textbox style="mso-fit-shape-to-text:t" inset="0,0,0,0">
              <w:txbxContent>
                <w:p>
                  <w:pPr>
                    <w:pStyle w:val="Style188"/>
                    <w:widowControl w:val="0"/>
                    <w:keepNext w:val="0"/>
                    <w:keepLines w:val="0"/>
                    <w:shd w:val="clear" w:color="auto" w:fill="auto"/>
                    <w:bidi w:val="0"/>
                    <w:jc w:val="left"/>
                    <w:spacing w:before="0" w:after="0" w:line="150" w:lineRule="exact"/>
                    <w:ind w:left="0" w:right="0" w:firstLine="0"/>
                  </w:pPr>
                  <w:r>
                    <w:rPr>
                      <w:lang w:val="ru-RU" w:eastAsia="ru-RU" w:bidi="ru-RU"/>
                      <w:w w:val="100"/>
                      <w:spacing w:val="0"/>
                      <w:color w:val="000000"/>
                      <w:position w:val="0"/>
                    </w:rPr>
                    <w:t xml:space="preserve">Дротаверин </w:t>
                  </w:r>
                  <w:r>
                    <w:rPr>
                      <w:w w:val="100"/>
                      <w:spacing w:val="0"/>
                      <w:color w:val="000000"/>
                      <w:position w:val="0"/>
                    </w:rPr>
                    <w:t>(Drotaverine)</w:t>
                  </w:r>
                </w:p>
                <w:p>
                  <w:pPr>
                    <w:pStyle w:val="Style96"/>
                    <w:widowControl w:val="0"/>
                    <w:keepNext w:val="0"/>
                    <w:keepLines w:val="0"/>
                    <w:shd w:val="clear" w:color="auto" w:fill="auto"/>
                    <w:bidi w:val="0"/>
                    <w:jc w:val="left"/>
                    <w:spacing w:before="0" w:after="0" w:line="180" w:lineRule="exact"/>
                    <w:ind w:left="0" w:right="0" w:firstLine="0"/>
                  </w:pPr>
                  <w:r>
                    <w:rPr>
                      <w:rStyle w:val="CharStyle97"/>
                    </w:rPr>
                    <w:t>Показания к применению</w:t>
                  </w:r>
                </w:p>
                <w:p>
                  <w:pPr>
                    <w:pStyle w:val="Style96"/>
                    <w:widowControl w:val="0"/>
                    <w:keepNext w:val="0"/>
                    <w:keepLines w:val="0"/>
                    <w:shd w:val="clear" w:color="auto" w:fill="auto"/>
                    <w:bidi w:val="0"/>
                    <w:jc w:val="left"/>
                    <w:spacing w:before="0" w:after="0" w:line="180" w:lineRule="exact"/>
                    <w:ind w:left="0" w:right="0" w:firstLine="0"/>
                  </w:pPr>
                  <w:r>
                    <w:rPr>
                      <w:rStyle w:val="CharStyle97"/>
                    </w:rPr>
                    <w:t>Спазмы периферических артерий, сосудов головного мозга.</w:t>
                  </w:r>
                </w:p>
                <w:tbl>
                  <w:tblPr>
                    <w:tblOverlap w:val="never"/>
                    <w:tblLayout w:type="fixed"/>
                    <w:jc w:val="center"/>
                  </w:tblPr>
                  <w:tblGrid>
                    <w:gridCol w:w="1133"/>
                    <w:gridCol w:w="7046"/>
                    <w:gridCol w:w="1670"/>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Для детей в возрасте до 6 лет при приеме внутрь разовая доза составляет 10-20 мг, 6-12 лет — 20 мг</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 раза/сут.</w:t>
                        </w:r>
                      </w:p>
                    </w:tc>
                  </w:tr>
                </w:tbl>
                <w:p>
                  <w:pPr>
                    <w:widowControl w:val="0"/>
                    <w:rPr>
                      <w:sz w:val="2"/>
                      <w:szCs w:val="2"/>
                    </w:rPr>
                  </w:pPr>
                </w:p>
              </w:txbxContent>
            </v:textbox>
            <w10:wrap type="topAndBottom" anchorx="margin"/>
          </v:shape>
        </w:pict>
      </w:r>
      <w:r>
        <w:rPr>
          <w:lang w:val="ru-RU" w:eastAsia="ru-RU" w:bidi="ru-RU"/>
          <w:w w:val="100"/>
          <w:spacing w:val="0"/>
          <w:color w:val="000000"/>
          <w:position w:val="0"/>
        </w:rPr>
        <w:t>Спазмолитик миотропного действия. По химической структуре и фармакологическим свойствам близок к папаверину, однако превосхо - дит его по эффективности и продолжительности действия. Снижает тонус гладких мышц внутренних органов, снижает их двигательную активность. Оказывает вазодилатирующее действие.</w:t>
      </w: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Противопоказания:</w:t>
      </w: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Повышенная чувствительность к дротаверину.</w:t>
      </w: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Побочные эффекты:</w:t>
      </w: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 xml:space="preserve">Со стороны сердечно-сосудистой системы: возможны сердцебиение, чувство жара; при в/в введении отмечены случаи снижения АД (вплоть до коллапса), развития </w:t>
      </w:r>
      <w:r>
        <w:rPr>
          <w:lang w:val="en-US" w:eastAsia="en-US" w:bidi="en-US"/>
          <w:w w:val="100"/>
          <w:spacing w:val="0"/>
          <w:color w:val="000000"/>
          <w:position w:val="0"/>
        </w:rPr>
        <w:t xml:space="preserve">AV </w:t>
      </w:r>
      <w:r>
        <w:rPr>
          <w:lang w:val="ru-RU" w:eastAsia="ru-RU" w:bidi="ru-RU"/>
          <w:w w:val="100"/>
          <w:spacing w:val="0"/>
          <w:color w:val="000000"/>
          <w:position w:val="0"/>
        </w:rPr>
        <w:t>блокады, появления аритмий.</w:t>
      </w: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Со стороны дыхательной системы: при в/в введении отмечены случаи угнетения дыхательного центра.</w:t>
      </w: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Прочие: возможно головокружение, усиление потоотделения.</w:t>
      </w: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Взаимодействие:</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При одновременном применении дротаверин может уменьшить антипаркинсонический эффект леводопы. Дротаверин может быть ис</w:t>
        <w:softHyphen/>
        <w:t>пользован в составе комбинированной терапии для купирования гипертонического криза.</w:t>
      </w:r>
    </w:p>
    <w:p>
      <w:pPr>
        <w:pStyle w:val="Style30"/>
        <w:widowControl w:val="0"/>
        <w:keepNext w:val="0"/>
        <w:keepLines w:val="0"/>
        <w:shd w:val="clear" w:color="auto" w:fill="auto"/>
        <w:bidi w:val="0"/>
        <w:spacing w:before="0" w:after="0" w:line="187" w:lineRule="exact"/>
        <w:ind w:left="0" w:right="0" w:firstLine="0"/>
      </w:pPr>
      <w:r>
        <w:pict>
          <v:shape id="_x0000_s2040" type="#_x0000_t202" style="position:absolute;margin-left:5.e-002pt;margin-top:-77.05pt;width:492.5pt;height:5.e-002pt;z-index:-125828734;mso-wrap-distance-left:5.pt;mso-wrap-distance-right:5.pt;mso-position-horizontal-relative:margin" filled="f" stroked="f">
            <v:textbox style="mso-fit-shape-to-text:t" inset="0,0,0,0">
              <w:txbxContent>
                <w:p>
                  <w:pPr>
                    <w:pStyle w:val="Style188"/>
                    <w:widowControl w:val="0"/>
                    <w:keepNext w:val="0"/>
                    <w:keepLines w:val="0"/>
                    <w:shd w:val="clear" w:color="auto" w:fill="auto"/>
                    <w:bidi w:val="0"/>
                    <w:jc w:val="both"/>
                    <w:spacing w:before="0" w:after="0" w:line="192" w:lineRule="exact"/>
                    <w:ind w:left="0" w:right="0" w:firstLine="0"/>
                  </w:pPr>
                  <w:r>
                    <w:rPr>
                      <w:lang w:val="ru-RU" w:eastAsia="ru-RU" w:bidi="ru-RU"/>
                      <w:w w:val="100"/>
                      <w:spacing w:val="0"/>
                      <w:color w:val="000000"/>
                      <w:position w:val="0"/>
                    </w:rPr>
                    <w:t xml:space="preserve">Октадин </w:t>
                  </w:r>
                  <w:r>
                    <w:rPr>
                      <w:w w:val="100"/>
                      <w:spacing w:val="0"/>
                      <w:color w:val="000000"/>
                      <w:position w:val="0"/>
                    </w:rPr>
                    <w:t xml:space="preserve">(Octadinum) </w:t>
                  </w:r>
                  <w:r>
                    <w:rPr>
                      <w:lang w:val="ru-RU" w:eastAsia="ru-RU" w:bidi="ru-RU"/>
                      <w:w w:val="100"/>
                      <w:spacing w:val="0"/>
                      <w:color w:val="000000"/>
                      <w:position w:val="0"/>
                    </w:rPr>
                    <w:t xml:space="preserve">Синонимы: Абапрессин, Изобарин, Исмелин, Санотензин, </w:t>
                  </w:r>
                  <w:r>
                    <w:rPr>
                      <w:w w:val="100"/>
                      <w:spacing w:val="0"/>
                      <w:color w:val="000000"/>
                      <w:position w:val="0"/>
                    </w:rPr>
                    <w:t>Abapressin, Antipres, Azetidin, Declidin, Eutensol, Guanethidini sul</w:t>
                    <w:softHyphen/>
                    <w:t xml:space="preserve">fas, Guanexil, Guanisol, Ipoctal, Ipoguanin, Iporal, Ismelin, Isobarin, Octatenzine, Oftalmotonil, Oktatensin, Pressedin, Sanotensin, Visutensil </w:t>
                  </w:r>
                  <w:r>
                    <w:rPr>
                      <w:lang w:val="ru-RU" w:eastAsia="ru-RU" w:bidi="ru-RU"/>
                      <w:w w:val="100"/>
                      <w:spacing w:val="0"/>
                      <w:color w:val="000000"/>
                      <w:position w:val="0"/>
                    </w:rPr>
                    <w:t>и др.</w:t>
                  </w:r>
                </w:p>
                <w:p>
                  <w:pPr>
                    <w:pStyle w:val="Style96"/>
                    <w:widowControl w:val="0"/>
                    <w:keepNext w:val="0"/>
                    <w:keepLines w:val="0"/>
                    <w:shd w:val="clear" w:color="auto" w:fill="auto"/>
                    <w:bidi w:val="0"/>
                    <w:jc w:val="left"/>
                    <w:spacing w:before="0" w:after="0" w:line="180" w:lineRule="exact"/>
                    <w:ind w:left="0" w:right="0" w:firstLine="0"/>
                  </w:pPr>
                  <w:r>
                    <w:rPr>
                      <w:rStyle w:val="CharStyle97"/>
                    </w:rPr>
                    <w:t>Показания</w:t>
                  </w:r>
                </w:p>
                <w:p>
                  <w:pPr>
                    <w:pStyle w:val="Style96"/>
                    <w:widowControl w:val="0"/>
                    <w:keepNext w:val="0"/>
                    <w:keepLines w:val="0"/>
                    <w:shd w:val="clear" w:color="auto" w:fill="auto"/>
                    <w:bidi w:val="0"/>
                    <w:jc w:val="left"/>
                    <w:spacing w:before="0" w:after="0" w:line="180" w:lineRule="exact"/>
                    <w:ind w:left="0" w:right="0" w:firstLine="0"/>
                  </w:pPr>
                  <w:r>
                    <w:rPr>
                      <w:rStyle w:val="CharStyle97"/>
                    </w:rPr>
                    <w:t>Гипертоническая болезнь (в разных стадиях, включая тяжелые формы с высоким и стойким давлением).</w:t>
                  </w:r>
                </w:p>
                <w:tbl>
                  <w:tblPr>
                    <w:tblOverlap w:val="never"/>
                    <w:tblLayout w:type="fixed"/>
                    <w:jc w:val="center"/>
                  </w:tblPr>
                  <w:tblGrid>
                    <w:gridCol w:w="2477"/>
                    <w:gridCol w:w="4238"/>
                    <w:gridCol w:w="3134"/>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59"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Детям старше 12 лет — 10-12,5 мг</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 раз в сутки</w:t>
                        </w:r>
                      </w:p>
                    </w:tc>
                  </w:tr>
                </w:tbl>
                <w:p>
                  <w:pPr>
                    <w:pStyle w:val="Style96"/>
                    <w:widowControl w:val="0"/>
                    <w:keepNext w:val="0"/>
                    <w:keepLines w:val="0"/>
                    <w:shd w:val="clear" w:color="auto" w:fill="auto"/>
                    <w:bidi w:val="0"/>
                    <w:jc w:val="left"/>
                    <w:spacing w:before="0" w:after="0" w:line="180" w:lineRule="exact"/>
                    <w:ind w:left="0" w:right="0" w:firstLine="0"/>
                  </w:pPr>
                  <w:r>
                    <w:rPr>
                      <w:rStyle w:val="CharStyle97"/>
                    </w:rPr>
                    <w:t>Фармакологическое действие:</w:t>
                  </w:r>
                </w:p>
                <w:p>
                  <w:pPr>
                    <w:widowControl w:val="0"/>
                    <w:rPr>
                      <w:sz w:val="2"/>
                      <w:szCs w:val="2"/>
                    </w:rPr>
                  </w:pPr>
                </w:p>
              </w:txbxContent>
            </v:textbox>
            <w10:wrap type="topAndBottom" anchorx="margin"/>
          </v:shape>
        </w:pict>
      </w:r>
      <w:r>
        <w:rPr>
          <w:lang w:val="ru-RU" w:eastAsia="ru-RU" w:bidi="ru-RU"/>
          <w:w w:val="100"/>
          <w:spacing w:val="0"/>
          <w:color w:val="000000"/>
          <w:position w:val="0"/>
        </w:rPr>
        <w:t>Симпатолитическое действие октадина обусловлено тем, что он избирательно накапливается в гранулах симпатических нервных окон</w:t>
        <w:softHyphen/>
        <w:t>чаний и вытесняет из них адренергический медиатор — норадреналин. В результате нарушается передача нервного возбуждения, кроме того, накапливаясь в нервных окончаниях, октадин оказывает на них местноанестезирующее действие. На сердечно-сосудистую систе</w:t>
        <w:softHyphen/>
        <w:t>му октадин влияет двухфазно: вначале развивается транзиторная прессорная реакция (может продолжаться до нескольких часов) с тахи</w:t>
        <w:softHyphen/>
        <w:t>кардией и увеличением сердечного выброса, затем наступает прогрессирующее понижение систолического и диастолического АД, уменьшаются частота сердечных сокращений, минутный объем и пульсовое давление, а в дальнейшем (через 2-3 сут. после перорально</w:t>
        <w:softHyphen/>
        <w:t>го приема) наступает стойкая гипотензия. Эффективен при приеме внутрь, всасывается медленно. Гипотензивный эффект начинает про</w:t>
        <w:softHyphen/>
        <w:t>являться через 2-3 дня после начала приема препарата, достигает максимума на 7-8-й день лечения, а после прекращения приема про</w:t>
        <w:softHyphen/>
        <w:t>должается еще 4-14 дней. Препарат вызывает урежение сердечных сокращений, уменьшение венозного давления, а в ряде случаев и пе</w:t>
        <w:softHyphen/>
        <w:t>риферического сопротивления. В начале лечения возможно снижение фильтрационной функции почек и почечного кровотока, однако при дальнейшем лечении и стойком понижении АД эти показатели выравниваются.</w:t>
      </w: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Противопоказания:</w:t>
      </w: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Нарушение функции печени и почек, сахарный диабет, подагра.</w:t>
      </w: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Побочные эффекты:</w:t>
      </w: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Головокружение, общая слабость, адинамия, тошнота, рвота, набухание слизистой оболочки носа, боль в околоушной железе, задержка жидкости тканями. Могут усилиться суточные колебания артериального давления.</w:t>
      </w:r>
    </w:p>
    <w:p>
      <w:pPr>
        <w:pStyle w:val="Style30"/>
        <w:widowControl w:val="0"/>
        <w:keepNext w:val="0"/>
        <w:keepLines w:val="0"/>
        <w:shd w:val="clear" w:color="auto" w:fill="auto"/>
        <w:bidi w:val="0"/>
        <w:spacing w:before="0" w:after="0" w:line="187" w:lineRule="exact"/>
        <w:ind w:left="0" w:right="0" w:firstLine="0"/>
      </w:pPr>
      <w:r>
        <w:pict>
          <v:shape id="_x0000_s2041" type="#_x0000_t202" style="position:absolute;margin-left:5.e-002pt;margin-top:-77.75pt;width:492.5pt;height:5.e-002pt;z-index:-125828733;mso-wrap-distance-left:5.pt;mso-wrap-distance-right:5.pt;mso-position-horizontal-relative:margin" filled="f" stroked="f">
            <v:textbox style="mso-fit-shape-to-text:t" inset="0,0,0,0">
              <w:txbxContent>
                <w:p>
                  <w:pPr>
                    <w:pStyle w:val="Style188"/>
                    <w:widowControl w:val="0"/>
                    <w:keepNext w:val="0"/>
                    <w:keepLines w:val="0"/>
                    <w:shd w:val="clear" w:color="auto" w:fill="auto"/>
                    <w:bidi w:val="0"/>
                    <w:jc w:val="left"/>
                    <w:spacing w:before="0" w:after="0" w:line="150" w:lineRule="exact"/>
                    <w:ind w:left="0" w:right="0" w:firstLine="0"/>
                  </w:pPr>
                  <w:r>
                    <w:rPr>
                      <w:lang w:val="ru-RU" w:eastAsia="ru-RU" w:bidi="ru-RU"/>
                      <w:w w:val="100"/>
                      <w:spacing w:val="0"/>
                      <w:color w:val="000000"/>
                      <w:position w:val="0"/>
                    </w:rPr>
                    <w:t xml:space="preserve">Миноксидил </w:t>
                  </w:r>
                  <w:r>
                    <w:rPr>
                      <w:w w:val="100"/>
                      <w:spacing w:val="0"/>
                      <w:color w:val="000000"/>
                      <w:position w:val="0"/>
                    </w:rPr>
                    <w:t xml:space="preserve">(Minoxidil) </w:t>
                  </w:r>
                  <w:r>
                    <w:rPr>
                      <w:lang w:val="ru-RU" w:eastAsia="ru-RU" w:bidi="ru-RU"/>
                      <w:w w:val="100"/>
                      <w:spacing w:val="0"/>
                      <w:color w:val="000000"/>
                      <w:position w:val="0"/>
                    </w:rPr>
                    <w:t xml:space="preserve">Синонимы: Ригейн, </w:t>
                  </w:r>
                  <w:r>
                    <w:rPr>
                      <w:w w:val="100"/>
                      <w:spacing w:val="0"/>
                      <w:color w:val="000000"/>
                      <w:position w:val="0"/>
                    </w:rPr>
                    <w:t xml:space="preserve">Lоniten, </w:t>
                  </w:r>
                  <w:r>
                    <w:rPr>
                      <w:lang w:val="ru-RU" w:eastAsia="ru-RU" w:bidi="ru-RU"/>
                      <w:w w:val="100"/>
                      <w:spacing w:val="0"/>
                      <w:color w:val="000000"/>
                      <w:position w:val="0"/>
                    </w:rPr>
                    <w:t>1</w:t>
                  </w:r>
                  <w:r>
                    <w:rPr>
                      <w:rStyle w:val="CharStyle194"/>
                      <w:b/>
                      <w:bCs/>
                      <w:i/>
                      <w:iCs/>
                    </w:rPr>
                    <w:t>опо1ох,</w:t>
                  </w:r>
                  <w:r>
                    <w:rPr>
                      <w:lang w:val="ru-RU" w:eastAsia="ru-RU" w:bidi="ru-RU"/>
                      <w:w w:val="100"/>
                      <w:spacing w:val="0"/>
                      <w:color w:val="000000"/>
                      <w:position w:val="0"/>
                    </w:rPr>
                    <w:t xml:space="preserve"> </w:t>
                  </w:r>
                  <w:r>
                    <w:rPr>
                      <w:w w:val="100"/>
                      <w:spacing w:val="0"/>
                      <w:color w:val="000000"/>
                      <w:position w:val="0"/>
                    </w:rPr>
                    <w:t>^mten, Рrехidil, Regaine.</w:t>
                  </w:r>
                </w:p>
                <w:p>
                  <w:pPr>
                    <w:pStyle w:val="Style96"/>
                    <w:widowControl w:val="0"/>
                    <w:keepNext w:val="0"/>
                    <w:keepLines w:val="0"/>
                    <w:shd w:val="clear" w:color="auto" w:fill="auto"/>
                    <w:bidi w:val="0"/>
                    <w:jc w:val="left"/>
                    <w:spacing w:before="0" w:after="0" w:line="180" w:lineRule="exact"/>
                    <w:ind w:left="0" w:right="0" w:firstLine="0"/>
                  </w:pPr>
                  <w:r>
                    <w:rPr>
                      <w:rStyle w:val="CharStyle97"/>
                    </w:rPr>
                    <w:t>Показания к применению</w:t>
                  </w:r>
                </w:p>
                <w:p>
                  <w:pPr>
                    <w:pStyle w:val="Style96"/>
                    <w:widowControl w:val="0"/>
                    <w:keepNext w:val="0"/>
                    <w:keepLines w:val="0"/>
                    <w:shd w:val="clear" w:color="auto" w:fill="auto"/>
                    <w:bidi w:val="0"/>
                    <w:jc w:val="left"/>
                    <w:spacing w:before="0" w:after="0" w:line="180" w:lineRule="exact"/>
                    <w:ind w:left="0" w:right="0" w:firstLine="0"/>
                  </w:pPr>
                  <w:r>
                    <w:rPr>
                      <w:rStyle w:val="CharStyle97"/>
                    </w:rPr>
                    <w:t>Гипертоническая болезнь, симптоматические артериальные гипертензии.</w:t>
                  </w:r>
                </w:p>
                <w:tbl>
                  <w:tblPr>
                    <w:tblOverlap w:val="never"/>
                    <w:tblLayout w:type="fixed"/>
                    <w:jc w:val="center"/>
                  </w:tblPr>
                  <w:tblGrid>
                    <w:gridCol w:w="1138"/>
                    <w:gridCol w:w="7291"/>
                    <w:gridCol w:w="1421"/>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437"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Детям старше 12 лет начальная доза составляет 5 мг однократно внутрь. При необходимости доза может быть увеличена в 2 раза (10, 20, 40 мг). Поддерживающая доза составляет 0,25-1 мг/кг/сутки.</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 раз в сутки</w:t>
                        </w:r>
                      </w:p>
                    </w:tc>
                  </w:tr>
                  <w:tr>
                    <w:trPr>
                      <w:trHeight w:val="226"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Фармакологическое действие:</w:t>
                        </w:r>
                      </w:p>
                    </w:tc>
                  </w:tr>
                </w:tbl>
                <w:p>
                  <w:pPr>
                    <w:widowControl w:val="0"/>
                    <w:rPr>
                      <w:sz w:val="2"/>
                      <w:szCs w:val="2"/>
                    </w:rPr>
                  </w:pPr>
                </w:p>
              </w:txbxContent>
            </v:textbox>
            <w10:wrap type="topAndBottom" anchorx="margin"/>
          </v:shape>
        </w:pict>
      </w:r>
      <w:r>
        <w:rPr>
          <w:lang w:val="ru-RU" w:eastAsia="ru-RU" w:bidi="ru-RU"/>
          <w:w w:val="100"/>
          <w:spacing w:val="0"/>
          <w:color w:val="000000"/>
          <w:position w:val="0"/>
        </w:rPr>
        <w:t>Препарат оказывает гипотензивное действие. Механизм основан на способности «открывать» калиевые каналы в мембранах гладкомы</w:t>
        <w:softHyphen/>
        <w:t>шечных клеток, сосудистой стенке, что приводит к их расслаблению, вазодилатации и снижению системного артериального давления. Гипотония вызывает рефлекторную тахикардию и увеличение сердечного выброса. Происходит снижение АД в легочных капиллярах. Повышает активность ренина плазмы крови и вызывает вторичный гиперальдостеронизм, приводящие к задержке натрия и воды. Пос</w:t>
        <w:softHyphen/>
        <w:t>ле приема внутрь всасывается 90% от принятой дозы. Пик концентрации в крови через 1 час. Подвергается биотрансформации в печени с образованием до 90% малоактивных метаболитов. Период полувыведения 4,2 часа. Экскретируется в основном почками (до 97%) и 3% фекалиями. После однократного применения препарата эффект развивается через 30 минут, достигает максимума через 2-3 часа и длит</w:t>
        <w:softHyphen/>
        <w:t>ся 24-48, а иногда 75 часов. При местном использовании, через неповрежденную кожу всасывается около 1,4% препарата. Противопоказания:</w:t>
      </w:r>
    </w:p>
    <w:p>
      <w:pPr>
        <w:pStyle w:val="Style30"/>
        <w:widowControl w:val="0"/>
        <w:keepNext w:val="0"/>
        <w:keepLines w:val="0"/>
        <w:shd w:val="clear" w:color="auto" w:fill="auto"/>
        <w:bidi w:val="0"/>
        <w:jc w:val="left"/>
        <w:spacing w:before="0" w:after="0" w:line="187" w:lineRule="exact"/>
        <w:ind w:left="0" w:right="0" w:firstLine="0"/>
      </w:pPr>
      <w:r>
        <w:rPr>
          <w:lang w:val="ru-RU" w:eastAsia="ru-RU" w:bidi="ru-RU"/>
          <w:w w:val="100"/>
          <w:spacing w:val="0"/>
          <w:color w:val="000000"/>
          <w:position w:val="0"/>
        </w:rPr>
        <w:t>Нарушение мозгового кровообращения, сердечная недостаточность, гипотония, инфаркт миокарда, стенокардия напряжения, экссуда</w:t>
        <w:softHyphen/>
        <w:t>тивный перикардит, расслаивающаяся аневризма аорты, феохромоцитома, нарушение функции почек, гиперчувствительность. Побочные эффекты:</w:t>
      </w: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Гипотония, головная боль, головокружение, тахикардия, аритмии, гиперемия кожного покрова, приступ стенокардии, симптомы сер</w:t>
        <w:softHyphen/>
        <w:t>дечной недостаточности, экссудативный перикардит, парестезии, гипертрихоз, отеки, аллергические реакции.</w:t>
      </w:r>
    </w:p>
    <w:p>
      <w:pPr>
        <w:pStyle w:val="Style30"/>
        <w:widowControl w:val="0"/>
        <w:keepNext w:val="0"/>
        <w:keepLines w:val="0"/>
        <w:shd w:val="clear" w:color="auto" w:fill="auto"/>
        <w:bidi w:val="0"/>
        <w:spacing w:before="0" w:after="0" w:line="187" w:lineRule="exact"/>
        <w:ind w:left="0" w:right="0" w:firstLine="0"/>
      </w:pPr>
      <w:r>
        <w:rPr>
          <w:lang w:val="ru-RU" w:eastAsia="ru-RU" w:bidi="ru-RU"/>
          <w:w w:val="100"/>
          <w:spacing w:val="0"/>
          <w:color w:val="000000"/>
          <w:position w:val="0"/>
        </w:rPr>
        <w:t>Взаимодействие:</w:t>
      </w:r>
    </w:p>
    <w:p>
      <w:pPr>
        <w:pStyle w:val="Style30"/>
        <w:widowControl w:val="0"/>
        <w:keepNext w:val="0"/>
        <w:keepLines w:val="0"/>
        <w:shd w:val="clear" w:color="auto" w:fill="auto"/>
        <w:bidi w:val="0"/>
        <w:spacing w:before="0" w:after="0" w:line="187" w:lineRule="exact"/>
        <w:ind w:left="0" w:right="0" w:firstLine="0"/>
        <w:sectPr>
          <w:pgSz w:w="11900" w:h="16840"/>
          <w:pgMar w:top="1583" w:left="917" w:right="1138" w:bottom="162" w:header="0" w:footer="3" w:gutter="0"/>
          <w:rtlGutter w:val="0"/>
          <w:cols w:space="720"/>
          <w:noEndnote/>
          <w:docGrid w:linePitch="360"/>
        </w:sectPr>
      </w:pPr>
      <w:r>
        <w:rPr>
          <w:lang w:val="ru-RU" w:eastAsia="ru-RU" w:bidi="ru-RU"/>
          <w:w w:val="100"/>
          <w:spacing w:val="0"/>
          <w:color w:val="000000"/>
          <w:position w:val="0"/>
        </w:rPr>
        <w:t>Гипотензивные средства, гуанетидил, нитраты, мочегонные, Р-блокаторы — потенцируют действие препарата, а эстрогены, оральные контрацептивы, симпатомиметики, НПВС — ослабляют его.</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46" w:after="46"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2042" type="#_x0000_t75" style="position:absolute;margin-left:147.85pt;margin-top:0;width:209.75pt;height:14.9pt;z-index:-251658597;mso-wrap-distance-left:5.pt;mso-wrap-distance-right:5.pt;mso-position-horizontal-relative:margin" wrapcoords="0 0">
            <v:imagedata r:id="rId1450" r:href="rId1451"/>
            <w10:wrap anchorx="margin"/>
          </v:shape>
        </w:pict>
      </w:r>
    </w:p>
    <w:p>
      <w:pPr>
        <w:widowControl w:val="0"/>
        <w:rPr>
          <w:sz w:val="2"/>
          <w:szCs w:val="2"/>
        </w:rPr>
        <w:sectPr>
          <w:type w:val="continuous"/>
          <w:pgSz w:w="11900" w:h="16840"/>
          <w:pgMar w:top="1468" w:left="898" w:right="1124" w:bottom="192" w:header="0" w:footer="3" w:gutter="0"/>
          <w:rtlGutter w:val="0"/>
          <w:cols w:space="720"/>
          <w:noEndnote/>
          <w:docGrid w:linePitch="360"/>
        </w:sectPr>
      </w:pPr>
    </w:p>
    <w:p>
      <w:pPr>
        <w:widowControl w:val="0"/>
        <w:spacing w:line="360" w:lineRule="exact"/>
      </w:pPr>
      <w:r>
        <w:pict>
          <v:shape id="_x0000_s2043" type="#_x0000_t202" style="position:absolute;margin-left:1.2pt;margin-top:0.1pt;width:491.75pt;height:18.7pt;z-index:251657830;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Эуфиллин </w:t>
                  </w:r>
                  <w:r>
                    <w:rPr>
                      <w:rStyle w:val="CharStyle191"/>
                      <w:b/>
                      <w:bCs/>
                      <w:i/>
                      <w:iCs/>
                    </w:rPr>
                    <w:t xml:space="preserve">(Euphyllinum) </w:t>
                  </w:r>
                  <w:r>
                    <w:rPr>
                      <w:rStyle w:val="CharStyle191"/>
                      <w:lang w:val="ru-RU" w:eastAsia="ru-RU" w:bidi="ru-RU"/>
                      <w:b/>
                      <w:bCs/>
                      <w:i/>
                      <w:iCs/>
                    </w:rPr>
                    <w:t xml:space="preserve">Синонимы: </w:t>
                  </w:r>
                  <w:r>
                    <w:rPr>
                      <w:rStyle w:val="CharStyle191"/>
                      <w:b/>
                      <w:bCs/>
                      <w:i/>
                      <w:iCs/>
                    </w:rPr>
                    <w:t xml:space="preserve">Aminocardol, </w:t>
                  </w:r>
                  <w:r>
                    <w:rPr>
                      <w:rStyle w:val="CharStyle191"/>
                      <w:lang w:val="ru-RU" w:eastAsia="ru-RU" w:bidi="ru-RU"/>
                      <w:b/>
                      <w:bCs/>
                      <w:i/>
                      <w:iCs/>
                    </w:rPr>
                    <w:t xml:space="preserve">Аминофиллин </w:t>
                  </w:r>
                  <w:r>
                    <w:rPr>
                      <w:rStyle w:val="CharStyle191"/>
                      <w:b/>
                      <w:bCs/>
                      <w:i/>
                      <w:iCs/>
                    </w:rPr>
                    <w:t xml:space="preserve">(Aminophylline) Aminophyllinum, Ammophyllin, Diaphyllin, Genophyllin, Methaphyllin, Neophyllin, Novphyllin, Synthophyllin, Theophyllamin, Theophylline ethylendiamine </w:t>
                  </w:r>
                  <w:r>
                    <w:rPr>
                      <w:rStyle w:val="CharStyle191"/>
                      <w:lang w:val="ru-RU" w:eastAsia="ru-RU" w:bidi="ru-RU"/>
                      <w:b/>
                      <w:bCs/>
                      <w:i/>
                      <w:iCs/>
                    </w:rPr>
                    <w:t>и др.</w:t>
                  </w:r>
                </w:p>
              </w:txbxContent>
            </v:textbox>
            <w10:wrap anchorx="margin"/>
          </v:shape>
        </w:pict>
      </w:r>
      <w:r>
        <w:pict>
          <v:shape id="_x0000_s2044" type="#_x0000_t202" style="position:absolute;margin-left:0.7pt;margin-top:61.95pt;width:492.95pt;height:85.7pt;z-index:251657831;mso-wrap-distance-left:5.pt;mso-wrap-distance-right:5.pt;mso-position-horizontal-relative:margin" filled="f" stroked="f">
            <v:textbox style="mso-fit-shape-to-text:t" inset="0,0,0,0">
              <w:txbxContent>
                <w:tbl>
                  <w:tblPr>
                    <w:tblOverlap w:val="never"/>
                    <w:tblLayout w:type="fixed"/>
                    <w:jc w:val="left"/>
                  </w:tblPr>
                  <w:tblGrid>
                    <w:gridCol w:w="2160"/>
                    <w:gridCol w:w="3936"/>
                    <w:gridCol w:w="3763"/>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Кратность приема</w:t>
                        </w:r>
                      </w:p>
                    </w:tc>
                  </w:tr>
                  <w:tr>
                    <w:trPr>
                      <w:trHeight w:val="432"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spacing w:before="0" w:after="0" w:line="160" w:lineRule="exact"/>
                          <w:ind w:left="0" w:right="0" w:firstLine="0"/>
                        </w:pPr>
                        <w:r>
                          <w:rPr>
                            <w:rStyle w:val="CharStyle102"/>
                          </w:rPr>
                          <w:t>Детям от 6 лет — 125 мг;</w:t>
                        </w:r>
                      </w:p>
                      <w:p>
                        <w:pPr>
                          <w:pStyle w:val="Style30"/>
                          <w:widowControl w:val="0"/>
                          <w:keepNext w:val="0"/>
                          <w:keepLines w:val="0"/>
                          <w:shd w:val="clear" w:color="auto" w:fill="auto"/>
                          <w:bidi w:val="0"/>
                          <w:spacing w:before="0" w:after="0" w:line="160" w:lineRule="exact"/>
                          <w:ind w:left="0" w:right="0" w:firstLine="0"/>
                        </w:pPr>
                        <w:r>
                          <w:rPr>
                            <w:rStyle w:val="CharStyle102"/>
                          </w:rPr>
                          <w:t>подросткам с массой тела до 50 кг — по 125 мг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2-8 раз в сутки</w:t>
                        </w:r>
                      </w:p>
                    </w:tc>
                  </w:tr>
                  <w:tr>
                    <w:trPr>
                      <w:trHeight w:val="816"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В/в</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С массой тела — 10 до 20 кг — 160-820 мг. С массой тела — 20 до 40 кг — 260-520 мг. С массой тела — 40 до 60 кг — 400-600 мг. С массой тела от 60 до 80 кг — 600-800 мг.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Суточную дозу делят на 1-8 введений. В/в введение осуществляют осторожно и медленно (в течение 5 мин), пациент должен находиться в положении лежа</w:t>
                        </w:r>
                      </w:p>
                    </w:tc>
                  </w:tr>
                  <w:tr>
                    <w:trPr>
                      <w:trHeight w:val="221"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Фармакологическое действие:</w:t>
                        </w:r>
                      </w:p>
                    </w:tc>
                  </w:tr>
                </w:tbl>
              </w:txbxContent>
            </v:textbox>
            <w10:wrap anchorx="margin"/>
          </v:shape>
        </w:pict>
      </w:r>
      <w:r>
        <w:pict>
          <v:shape id="_x0000_s2045" type="#_x0000_t202" style="position:absolute;margin-left:1.2pt;margin-top:32.65pt;width:491.75pt;height:28.5pt;z-index:251657832;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Недостаточность правых отделов сердца вследствие хронических обструктивных заболеваний легких, отеки сердечного и почечного происхождения. Обструктивные заболевания дыхательных путей (бронхиальная астма, хронический бронхит, эмфизема), нарушения со стороны дыхательного центра.</w:t>
                  </w:r>
                </w:p>
              </w:txbxContent>
            </v:textbox>
            <w10:wrap anchorx="margin"/>
          </v:shape>
        </w:pict>
      </w:r>
      <w:r>
        <w:pict>
          <v:shape id="_x0000_s2046" type="#_x0000_t202" style="position:absolute;margin-left:1.2pt;margin-top:144.95pt;width:492.25pt;height:224.4pt;z-index:251657833;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Оказывает бронходилатирующее, спазмолитическое, диуретическое, токолитическое действие. Ингибирует фосфодиэстеразу и стабили</w:t>
                    <w:softHyphen/>
                    <w:t>зирует цАМФ, снижает концентрацию интрацеллюлярного кальция. Кроме этого блокирует аденозиновые рецепторы, подавляет эффек</w:t>
                    <w:softHyphen/>
                    <w:t>ты простагландинов на гладкие мышцы, снижает выброс гистамина и лейкотриенов из тучных клеток. Быстро всасывается из ЖКТ пос</w:t>
                    <w:softHyphen/>
                    <w:t>ле перорального введения. Пища снижает скорость абсорбции, не влияя на ее величину (большие объемы жидкости и белки ускоряют процесс). Этот параметр также зависит и от дозировки: чем выше принятая доза, тем ниже скорость абсорбции. В крови с белками плаз</w:t>
                    <w:softHyphen/>
                    <w:t>мы связывается до 60% (у здоровых взрослых), у новорожденных данный показатель составляет 86%. Вызывает расслабление гладкой му</w:t>
                    <w:softHyphen/>
                    <w:t>скулатуры бронхов, коронарных, церебральных и легочных сосудов, ЖКТ, желчевыводящих путей; повышает сократимость скелетных мышц (в том числе дыхательных). Расширение сосудов почечных клубочков сопровождается ускорением фильтрации и увеличением ди</w:t>
                    <w:softHyphen/>
                    <w:t>уреза. Активирует дыхательный центр продолговатого мозга, повышает его чувствительность к углекислому газу и улучшает альвеоляр</w:t>
                    <w:softHyphen/>
                    <w:t>ную вентиляцию, что в конечном итоге приводит к снижению тяжести и частоты эпизодов апноэ. Подавляет ритмические сокращения беременной матки; ингибирует агрегацию тромбоцитов; повышает кислотность желудочного сока. При использовании в больших дозах обладает противоэпилептическим действием.</w:t>
                  </w:r>
                </w:p>
                <w:p>
                  <w:pPr>
                    <w:pStyle w:val="Style45"/>
                    <w:widowControl w:val="0"/>
                    <w:keepNext w:val="0"/>
                    <w:keepLines w:val="0"/>
                    <w:shd w:val="clear" w:color="auto" w:fill="auto"/>
                    <w:bidi w:val="0"/>
                    <w:spacing w:before="0" w:after="0"/>
                    <w:ind w:left="0" w:right="0" w:firstLine="0"/>
                  </w:pPr>
                  <w:r>
                    <w:rPr>
                      <w:rStyle w:val="CharStyle190"/>
                    </w:rPr>
                    <w:t>Противопоказания:</w:t>
                  </w:r>
                </w:p>
                <w:p>
                  <w:pPr>
                    <w:pStyle w:val="Style45"/>
                    <w:widowControl w:val="0"/>
                    <w:keepNext w:val="0"/>
                    <w:keepLines w:val="0"/>
                    <w:shd w:val="clear" w:color="auto" w:fill="auto"/>
                    <w:bidi w:val="0"/>
                    <w:spacing w:before="0" w:after="0"/>
                    <w:ind w:left="0" w:right="0" w:firstLine="0"/>
                  </w:pPr>
                  <w:r>
                    <w:rPr>
                      <w:rStyle w:val="CharStyle190"/>
                    </w:rPr>
                    <w:t>Гйперчувствительность, острый период инфаркта миокарда, артериальная гипертензия, гипертиреоз, эпилепсия, тахиаритмии, гипер</w:t>
                    <w:softHyphen/>
                    <w:t>трофическая обструктивная кардиомиопатия, язвенная болезнь желудка и двенадцатиперстной кишки, тяжелые нарушения функции печени, детский возраст (до 6 лет) — таблетки.</w:t>
                  </w:r>
                </w:p>
                <w:p>
                  <w:pPr>
                    <w:pStyle w:val="Style45"/>
                    <w:widowControl w:val="0"/>
                    <w:keepNext w:val="0"/>
                    <w:keepLines w:val="0"/>
                    <w:shd w:val="clear" w:color="auto" w:fill="auto"/>
                    <w:bidi w:val="0"/>
                    <w:spacing w:before="0" w:after="0"/>
                    <w:ind w:left="0" w:right="0" w:firstLine="0"/>
                  </w:pPr>
                  <w:r>
                    <w:rPr>
                      <w:rStyle w:val="CharStyle190"/>
                    </w:rPr>
                    <w:t>Побочные эффекты:</w:t>
                  </w:r>
                </w:p>
                <w:p>
                  <w:pPr>
                    <w:pStyle w:val="Style45"/>
                    <w:widowControl w:val="0"/>
                    <w:keepNext w:val="0"/>
                    <w:keepLines w:val="0"/>
                    <w:shd w:val="clear" w:color="auto" w:fill="auto"/>
                    <w:bidi w:val="0"/>
                    <w:spacing w:before="0" w:after="0"/>
                    <w:ind w:left="0" w:right="0" w:firstLine="0"/>
                  </w:pPr>
                  <w:r>
                    <w:rPr>
                      <w:rStyle w:val="CharStyle190"/>
                    </w:rPr>
                    <w:t>Беспокойство, возбуждение, тремор, расстройство сна, головная боль, сердцебиение, желудочно-кишечные расстройства, снижение АД (при быстром в/в введении), кожные аллергические реакции (из-за присутствия этилендиамина).</w:t>
                  </w:r>
                </w:p>
                <w:p>
                  <w:pPr>
                    <w:pStyle w:val="Style45"/>
                    <w:widowControl w:val="0"/>
                    <w:keepNext w:val="0"/>
                    <w:keepLines w:val="0"/>
                    <w:shd w:val="clear" w:color="auto" w:fill="auto"/>
                    <w:bidi w:val="0"/>
                    <w:spacing w:before="0" w:after="0"/>
                    <w:ind w:left="0" w:right="0" w:firstLine="0"/>
                  </w:pPr>
                  <w:r>
                    <w:rPr>
                      <w:rStyle w:val="CharStyle190"/>
                    </w:rPr>
                    <w:t>Взаимодействие:</w:t>
                  </w:r>
                </w:p>
                <w:p>
                  <w:pPr>
                    <w:pStyle w:val="Style45"/>
                    <w:widowControl w:val="0"/>
                    <w:keepNext w:val="0"/>
                    <w:keepLines w:val="0"/>
                    <w:shd w:val="clear" w:color="auto" w:fill="auto"/>
                    <w:bidi w:val="0"/>
                    <w:spacing w:before="0" w:after="0"/>
                    <w:ind w:left="0" w:right="0" w:firstLine="0"/>
                  </w:pPr>
                  <w:r>
                    <w:rPr>
                      <w:rStyle w:val="CharStyle190"/>
                    </w:rPr>
                    <w:t>Усиливает (взаимно) эффекты диуретиков, р</w:t>
                  </w:r>
                  <w:r>
                    <w:rPr>
                      <w:rStyle w:val="CharStyle190"/>
                      <w:vertAlign w:val="subscript"/>
                    </w:rPr>
                    <w:t>2</w:t>
                  </w:r>
                  <w:r>
                    <w:rPr>
                      <w:rStyle w:val="CharStyle190"/>
                    </w:rPr>
                    <w:t>-адреномиметиков, других метилксантинов, эфедрина, уменьшает — солей лития и бета- блокаторов. Клиренс (теофиллина) увеличивают никотин (курильщики), фенобарбитал, рифампицин, фенитоин, диуретики, снижа</w:t>
                    <w:softHyphen/>
                    <w:t>ют — антибиотики из группы макролидов, в-блокаторы, циметидин, оральные контрацептивы.</w:t>
                  </w:r>
                </w:p>
              </w:txbxContent>
            </v:textbox>
            <w10:wrap anchorx="margin"/>
          </v:shape>
        </w:pict>
      </w:r>
      <w:r>
        <w:pict>
          <v:shape id="_x0000_s2047" type="#_x0000_t202" style="position:absolute;margin-left:5.e-002pt;margin-top:397.45pt;width:493.45pt;height:5.e-002pt;z-index:251657834;mso-wrap-distance-left:5.pt;mso-wrap-distance-right:5.pt;mso-position-horizontal-relative:margin" filled="f" stroked="f">
            <v:textbox style="mso-fit-shape-to-text:t" inset="0,0,0,0">
              <w:txbxContent>
                <w:tbl>
                  <w:tblPr>
                    <w:tblOverlap w:val="never"/>
                    <w:tblLayout w:type="fixed"/>
                    <w:jc w:val="center"/>
                  </w:tblPr>
                  <w:tblGrid>
                    <w:gridCol w:w="1771"/>
                    <w:gridCol w:w="4061"/>
                    <w:gridCol w:w="4037"/>
                  </w:tblGrid>
                  <w:tr>
                    <w:trPr>
                      <w:trHeight w:val="245"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spacing w:before="0" w:after="0" w:line="150" w:lineRule="exact"/>
                          <w:ind w:left="0" w:right="0" w:firstLine="0"/>
                        </w:pPr>
                        <w:r>
                          <w:rPr>
                            <w:rStyle w:val="CharStyle192"/>
                            <w:lang w:val="ru-RU" w:eastAsia="ru-RU" w:bidi="ru-RU"/>
                          </w:rPr>
                          <w:t xml:space="preserve">Дибазол </w:t>
                        </w:r>
                        <w:r>
                          <w:rPr>
                            <w:rStyle w:val="CharStyle192"/>
                          </w:rPr>
                          <w:t xml:space="preserve">(Dibazolum) </w:t>
                        </w:r>
                        <w:r>
                          <w:rPr>
                            <w:rStyle w:val="CharStyle192"/>
                            <w:lang w:val="ru-RU" w:eastAsia="ru-RU" w:bidi="ru-RU"/>
                          </w:rPr>
                          <w:t xml:space="preserve">Анонимы: Бендазол, </w:t>
                        </w:r>
                        <w:r>
                          <w:rPr>
                            <w:rStyle w:val="CharStyle192"/>
                          </w:rPr>
                          <w:t>Bendazol, Bendazoli hydrochloridum, Bendazole hydrochloride, Tromasedan.</w:t>
                        </w:r>
                      </w:p>
                    </w:tc>
                  </w:tr>
                  <w:tr>
                    <w:trPr>
                      <w:trHeight w:val="826" w:hRule="exact"/>
                    </w:trPr>
                    <w:tc>
                      <w:tcPr>
                        <w:shd w:val="clear" w:color="auto" w:fill="FFFFFF"/>
                        <w:gridSpan w:val="3"/>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Показания</w:t>
                        </w:r>
                      </w:p>
                      <w:p>
                        <w:pPr>
                          <w:pStyle w:val="Style30"/>
                          <w:widowControl w:val="0"/>
                          <w:keepNext w:val="0"/>
                          <w:keepLines w:val="0"/>
                          <w:shd w:val="clear" w:color="auto" w:fill="auto"/>
                          <w:bidi w:val="0"/>
                          <w:spacing w:before="0" w:after="0" w:line="192" w:lineRule="exact"/>
                          <w:ind w:left="0" w:right="0" w:firstLine="0"/>
                        </w:pPr>
                        <w:r>
                          <w:rPr>
                            <w:rStyle w:val="CharStyle102"/>
                          </w:rPr>
                          <w:t>Применяют при спазмах кровеносных сосудов (обострение гипертонической болезни, гипертонические кризы) и гладких мышц внутренних органов (язвенная болезнь желудка, спазмы привратника и кишечника и т.п.), а также при лечении нервных болезней, главным образом остаточных явлений полиомиелита, периферического паралича лицевого нерва и др.</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Кратность приема</w:t>
                        </w:r>
                      </w:p>
                    </w:tc>
                  </w:tr>
                  <w:tr>
                    <w:trPr>
                      <w:trHeight w:val="432"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до 1 года — 0,001 г; 1-3 года — 0,002 г; 4-8 лет — 0,003 г; 9-12 лет — 0,004 г; старше 12 лет — 0,005 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2-3 раза в сутки</w:t>
                        </w:r>
                      </w:p>
                    </w:tc>
                  </w:tr>
                  <w:tr>
                    <w:trPr>
                      <w:trHeight w:val="648"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В/м</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60" w:lineRule="exact"/>
                          <w:ind w:left="0" w:right="0" w:firstLine="0"/>
                        </w:pPr>
                        <w:r>
                          <w:rPr>
                            <w:rStyle w:val="CharStyle102"/>
                          </w:rPr>
                          <w:t>2-3 мл 0,5% раствора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Суточную дозу делят на 1-8 введений. В/в введение осуществляют осторожно и медленно (в течение 5 мин), пациент должен находиться в положении лежа</w:t>
                        </w:r>
                      </w:p>
                    </w:tc>
                  </w:tr>
                  <w:tr>
                    <w:trPr>
                      <w:trHeight w:val="1210" w:hRule="exact"/>
                    </w:trPr>
                    <w:tc>
                      <w:tcPr>
                        <w:shd w:val="clear" w:color="auto" w:fill="FFFFFF"/>
                        <w:gridSpan w:val="3"/>
                        <w:tcBorders>
                          <w:left w:val="single" w:sz="4"/>
                          <w:right w:val="single" w:sz="4"/>
                          <w:top w:val="single" w:sz="4"/>
                          <w:bottom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Фармакологическое действие:</w:t>
                        </w:r>
                      </w:p>
                      <w:p>
                        <w:pPr>
                          <w:pStyle w:val="Style30"/>
                          <w:widowControl w:val="0"/>
                          <w:keepNext w:val="0"/>
                          <w:keepLines w:val="0"/>
                          <w:shd w:val="clear" w:color="auto" w:fill="auto"/>
                          <w:bidi w:val="0"/>
                          <w:spacing w:before="0" w:after="0" w:line="192" w:lineRule="exact"/>
                          <w:ind w:left="0" w:right="0" w:firstLine="0"/>
                        </w:pPr>
                        <w:r>
                          <w:rPr>
                            <w:rStyle w:val="CharStyle102"/>
                          </w:rPr>
                          <w:t>Оказывает сосудорасширяющее, спазмолитическое и гипотензивное действие, а также стимулирующее влияние на функции спинного мозга. Дибазол имеет элементы сходства по структуре и действию с препаратом левамизолом и обладает умеренной иммуностимулиру</w:t>
                          <w:softHyphen/>
                          <w:t>ющей активностью.</w:t>
                        </w:r>
                      </w:p>
                      <w:p>
                        <w:pPr>
                          <w:pStyle w:val="Style30"/>
                          <w:widowControl w:val="0"/>
                          <w:keepNext w:val="0"/>
                          <w:keepLines w:val="0"/>
                          <w:shd w:val="clear" w:color="auto" w:fill="auto"/>
                          <w:bidi w:val="0"/>
                          <w:spacing w:before="0" w:after="0" w:line="192" w:lineRule="exact"/>
                          <w:ind w:left="0" w:right="0" w:firstLine="0"/>
                        </w:pPr>
                        <w:r>
                          <w:rPr>
                            <w:rStyle w:val="CharStyle102"/>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102"/>
                          </w:rPr>
                          <w:t>Гиперчувствительность.</w:t>
                        </w:r>
                      </w:p>
                    </w:tc>
                  </w:tr>
                </w:tbl>
                <w:p>
                  <w:pPr>
                    <w:widowControl w:val="0"/>
                    <w:rPr>
                      <w:sz w:val="2"/>
                      <w:szCs w:val="2"/>
                    </w:rPr>
                  </w:pPr>
                </w:p>
              </w:txbxContent>
            </v:textbox>
            <w10:wrap anchorx="margin"/>
          </v:shape>
        </w:pict>
      </w:r>
      <w:r>
        <w:pict>
          <v:shape id="_x0000_s2048" type="#_x0000_t75" style="position:absolute;margin-left:137.3pt;margin-top:709.2pt;width:209.75pt;height:14.9pt;z-index:-251658596;mso-wrap-distance-left:5.pt;mso-wrap-distance-right:5.pt;mso-position-horizontal-relative:margin" wrapcoords="0 0">
            <v:imagedata r:id="rId1452" r:href="rId1453"/>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02" w:lineRule="exact"/>
      </w:pPr>
    </w:p>
    <w:p>
      <w:pPr>
        <w:widowControl w:val="0"/>
        <w:rPr>
          <w:sz w:val="2"/>
          <w:szCs w:val="2"/>
        </w:rPr>
        <w:sectPr>
          <w:headerReference w:type="even" r:id="rId1454"/>
          <w:headerReference w:type="default" r:id="rId1455"/>
          <w:headerReference w:type="first" r:id="rId1456"/>
          <w:titlePg/>
          <w:pgSz w:w="11900" w:h="16840"/>
          <w:pgMar w:top="2754" w:left="1109" w:right="898" w:bottom="177" w:header="0" w:footer="3" w:gutter="0"/>
          <w:rtlGutter w:val="0"/>
          <w:cols w:space="720"/>
          <w:noEndnote/>
          <w:docGrid w:linePitch="360"/>
        </w:sectPr>
      </w:pPr>
    </w:p>
    <w:p>
      <w:pPr>
        <w:widowControl w:val="0"/>
        <w:rPr>
          <w:sz w:val="2"/>
          <w:szCs w:val="2"/>
        </w:rPr>
      </w:pPr>
      <w:r>
        <w:pict>
          <v:shape id="_x0000_s2053" type="#_x0000_t202" style="position:static;width:595.pt;height:16.15pt" filled="f" stroked="f">
            <v:textbox inset="0,0,0,0">
              <w:txbxContent>
                <w:p>
                  <w:pPr>
                    <w:widowControl w:val="0"/>
                  </w:pPr>
                </w:p>
              </w:txbxContent>
            </v:textbox>
            <w10:anchorlock/>
          </v:shape>
        </w:pict>
      </w:r>
      <w:r>
        <w:t xml:space="preserve"> </w:t>
      </w:r>
    </w:p>
    <w:p>
      <w:pPr>
        <w:widowControl w:val="0"/>
        <w:rPr>
          <w:sz w:val="2"/>
          <w:szCs w:val="2"/>
        </w:rPr>
        <w:sectPr>
          <w:pgSz w:w="11900" w:h="16840"/>
          <w:pgMar w:top="1423" w:left="0" w:right="0" w:bottom="147" w:header="0" w:footer="3" w:gutter="0"/>
          <w:rtlGutter w:val="0"/>
          <w:cols w:space="720"/>
          <w:noEndnote/>
          <w:docGrid w:linePitch="360"/>
        </w:sectPr>
      </w:pPr>
    </w:p>
    <w:p>
      <w:pPr>
        <w:widowControl w:val="0"/>
        <w:spacing w:line="360" w:lineRule="exact"/>
      </w:pPr>
      <w:r>
        <w:pict>
          <v:shape id="_x0000_s2054" type="#_x0000_t202" style="position:absolute;margin-left:11.75pt;margin-top:0.1pt;width:138.25pt;height:11.4pt;z-index:251657835;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ДИУРЕТИЧЕСКИЕ СРЕДСТВА</w:t>
                  </w:r>
                </w:p>
              </w:txbxContent>
            </v:textbox>
            <w10:wrap anchorx="margin"/>
          </v:shape>
        </w:pict>
      </w:r>
      <w:r>
        <w:pict>
          <v:shape id="_x0000_s2055" type="#_x0000_t202" style="position:absolute;margin-left:1.45pt;margin-top:23.pt;width:490.8pt;height:81.85pt;z-index:251657836;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Фуросемид </w:t>
                  </w:r>
                  <w:r>
                    <w:rPr>
                      <w:rStyle w:val="CharStyle191"/>
                      <w:b/>
                      <w:bCs/>
                      <w:i/>
                      <w:iCs/>
                    </w:rPr>
                    <w:t xml:space="preserve">(Furosemide) </w:t>
                  </w:r>
                  <w:r>
                    <w:rPr>
                      <w:rStyle w:val="CharStyle191"/>
                      <w:lang w:val="ru-RU" w:eastAsia="ru-RU" w:bidi="ru-RU"/>
                      <w:b/>
                      <w:bCs/>
                      <w:i/>
                      <w:iCs/>
                    </w:rPr>
                    <w:t xml:space="preserve">Синонимы: Лазикс, Фурантрил, </w:t>
                  </w:r>
                  <w:r>
                    <w:rPr>
                      <w:rStyle w:val="CharStyle191"/>
                      <w:b/>
                      <w:bCs/>
                      <w:i/>
                      <w:iCs/>
                    </w:rPr>
                    <w:t xml:space="preserve">Afsamid, Arasemide, Diusemide, Diuzol, Dryptal, Edefrusex, Errolon, Franyl, Frugex, Frusemide, Frusolon, Furanthril, Furantral, Furfan, Furomex, Furosan, Furosemide, Fusid, Katlex, Kinex, Lasilix, Lasix, Nicorol, Profemin, Protargen, Rasisemid, Renex, Salix, Seguril, Trofurit, Uritol, Urosemid </w:t>
                  </w:r>
                  <w:r>
                    <w:rPr>
                      <w:rStyle w:val="CharStyle191"/>
                      <w:lang w:val="ru-RU" w:eastAsia="ru-RU" w:bidi="ru-RU"/>
                      <w:b/>
                      <w:bCs/>
                      <w:i/>
                      <w:iCs/>
                    </w:rPr>
                    <w:t>и др.</w:t>
                  </w:r>
                </w:p>
                <w:p>
                  <w:pPr>
                    <w:pStyle w:val="Style30"/>
                    <w:widowControl w:val="0"/>
                    <w:keepNext w:val="0"/>
                    <w:keepLines w:val="0"/>
                    <w:shd w:val="clear" w:color="auto" w:fill="auto"/>
                    <w:bidi w:val="0"/>
                    <w:spacing w:before="0" w:after="0" w:line="192" w:lineRule="exact"/>
                    <w:ind w:left="0" w:right="0" w:firstLine="0"/>
                  </w:pPr>
                  <w:r>
                    <w:rPr>
                      <w:rStyle w:val="CharStyle90"/>
                    </w:rPr>
                    <w:t>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Отеки, гипертонический криз, форсированный диурез, острая и хроническая почечная недостаточность, отек легких, отравления, урологические операции, отеки при неэффективности тиазидов (или тиазидов в комбинации с калийсберегающими диуретиками), при сердечной недостаточности, нефротическом синдроме и циррозе печени, отеки и/или гипертензия на фоне сильно пониженной функции почек.</w:t>
                  </w:r>
                </w:p>
              </w:txbxContent>
            </v:textbox>
            <w10:wrap anchorx="margin"/>
          </v:shape>
        </w:pict>
      </w:r>
      <w:r>
        <w:pict>
          <v:shape id="_x0000_s2056" type="#_x0000_t202" style="position:absolute;margin-left:0.95pt;margin-top:105.1pt;width:492.pt;height:5.e-002pt;z-index:251657837;mso-wrap-distance-left:5.pt;mso-wrap-distance-right:5.pt;mso-position-horizontal-relative:margin" filled="f" stroked="f">
            <v:textbox style="mso-fit-shape-to-text:t" inset="0,0,0,0">
              <w:txbxContent>
                <w:tbl>
                  <w:tblPr>
                    <w:tblOverlap w:val="never"/>
                    <w:tblLayout w:type="fixed"/>
                    <w:jc w:val="center"/>
                  </w:tblPr>
                  <w:tblGrid>
                    <w:gridCol w:w="1954"/>
                    <w:gridCol w:w="3922"/>
                    <w:gridCol w:w="3965"/>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3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2-4 мг/кг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 4 раз в сутки</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В/в</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 мг/кг, максимально 80 мг</w:t>
                        </w:r>
                      </w:p>
                    </w:tc>
                    <w:tc>
                      <w:tcPr>
                        <w:shd w:val="clear" w:color="auto" w:fill="FFFFFF"/>
                        <w:tcBorders>
                          <w:left w:val="single" w:sz="4"/>
                          <w:right w:val="single" w:sz="4"/>
                          <w:top w:val="single" w:sz="4"/>
                        </w:tcBorders>
                        <w:vAlign w:val="top"/>
                      </w:tcPr>
                      <w:p>
                        <w:pPr>
                          <w:widowControl w:val="0"/>
                          <w:rPr>
                            <w:sz w:val="10"/>
                            <w:szCs w:val="10"/>
                          </w:rPr>
                        </w:pPr>
                      </w:p>
                    </w:tc>
                  </w:tr>
                  <w:tr>
                    <w:trPr>
                      <w:trHeight w:val="259"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Инфузия</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0,1-1 мг/кг/час</w:t>
                        </w: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pStyle w:val="Style96"/>
                    <w:widowControl w:val="0"/>
                    <w:keepNext w:val="0"/>
                    <w:keepLines w:val="0"/>
                    <w:shd w:val="clear" w:color="auto" w:fill="auto"/>
                    <w:bidi w:val="0"/>
                    <w:jc w:val="left"/>
                    <w:spacing w:before="0" w:after="0" w:line="180" w:lineRule="exact"/>
                    <w:ind w:left="0" w:right="0" w:firstLine="0"/>
                  </w:pPr>
                  <w:r>
                    <w:rPr>
                      <w:rStyle w:val="CharStyle97"/>
                    </w:rPr>
                    <w:t>Фармакологическое действие:</w:t>
                  </w:r>
                </w:p>
                <w:p>
                  <w:pPr>
                    <w:widowControl w:val="0"/>
                    <w:rPr>
                      <w:sz w:val="2"/>
                      <w:szCs w:val="2"/>
                    </w:rPr>
                  </w:pPr>
                </w:p>
              </w:txbxContent>
            </v:textbox>
            <w10:wrap anchorx="margin"/>
          </v:shape>
        </w:pict>
      </w:r>
      <w:r>
        <w:pict>
          <v:shape id="_x0000_s2057" type="#_x0000_t202" style="position:absolute;margin-left:1.2pt;margin-top:162.pt;width:491.3pt;height:89.25pt;z-index:251657838;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Диуретическое. Из ЖКТ всасывается быстро, но не полностью. Биодоступность около 50%. Период полувыведения 0,5-1,5 ч. Связыва</w:t>
                    <w:softHyphen/>
                    <w:t>ется до 95% с белками плазмы. Выводится главным образом тубулярной секрецией в неизмененном виде. После перорального введения действие наступает через 0,5-1 ч и достигает максимума через 1-2 ч, продолжается 4-6 ч. После внутривенного введения действие насту</w:t>
                    <w:softHyphen/>
                    <w:t>пает через 5 мин и продолжается 2-4 ч.</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 гиповолемия, гипокалиемия, гипохлоремия, гипокальциемия, гипохлоремический метаболический алкалоз, ги- перурикемия, дерматит, гипергликемия, азотемия, ототоксичность, гипотензия, головокружение, вертиго, головная боль, фотосенси- тивность, агранулоцитоз, гепатотоксичность, анорексия, панкреатит, интерстициальный нефрит, гиперкалькурия.</w:t>
                  </w:r>
                </w:p>
                <w:p>
                  <w:pPr>
                    <w:pStyle w:val="Style30"/>
                    <w:widowControl w:val="0"/>
                    <w:keepNext w:val="0"/>
                    <w:keepLines w:val="0"/>
                    <w:shd w:val="clear" w:color="auto" w:fill="auto"/>
                    <w:bidi w:val="0"/>
                    <w:spacing w:before="0" w:after="0" w:line="192" w:lineRule="exact"/>
                    <w:ind w:left="0" w:right="0" w:firstLine="0"/>
                  </w:pPr>
                  <w:r>
                    <w:rPr>
                      <w:rStyle w:val="CharStyle90"/>
                    </w:rPr>
                    <w:t>Взаимодействие с лекарствами: риск ототоксичности повышается при применении аминогликозидов.</w:t>
                  </w:r>
                </w:p>
                <w:p>
                  <w:pPr>
                    <w:pStyle w:val="Style30"/>
                    <w:widowControl w:val="0"/>
                    <w:keepNext w:val="0"/>
                    <w:keepLines w:val="0"/>
                    <w:shd w:val="clear" w:color="auto" w:fill="auto"/>
                    <w:bidi w:val="0"/>
                    <w:spacing w:before="0" w:after="0" w:line="192" w:lineRule="exact"/>
                    <w:ind w:left="0" w:right="0" w:firstLine="0"/>
                  </w:pPr>
                  <w:r>
                    <w:rPr>
                      <w:rStyle w:val="CharStyle90"/>
                    </w:rPr>
                    <w:t>Осторожность: длительное использование у новорожденных вызывает нефрокальциноз. Почечная и печеночная недостаточность.</w:t>
                  </w:r>
                </w:p>
              </w:txbxContent>
            </v:textbox>
            <w10:wrap anchorx="margin"/>
          </v:shape>
        </w:pict>
      </w:r>
      <w:r>
        <w:pict>
          <v:shape id="_x0000_s2058" type="#_x0000_t202" style="position:absolute;margin-left:1.45pt;margin-top:268.55pt;width:152.9pt;height:10.4pt;z-index:251657839;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jc w:val="left"/>
                    <w:spacing w:before="0" w:after="0" w:line="150" w:lineRule="exact"/>
                    <w:ind w:left="0" w:right="0" w:firstLine="0"/>
                  </w:pPr>
                  <w:r>
                    <w:rPr>
                      <w:rStyle w:val="CharStyle191"/>
                      <w:lang w:val="ru-RU" w:eastAsia="ru-RU" w:bidi="ru-RU"/>
                      <w:b/>
                      <w:bCs/>
                      <w:i/>
                      <w:iCs/>
                    </w:rPr>
                    <w:t xml:space="preserve">Гипотиазид </w:t>
                  </w:r>
                  <w:r>
                    <w:rPr>
                      <w:rStyle w:val="CharStyle191"/>
                      <w:b/>
                      <w:bCs/>
                      <w:i/>
                      <w:iCs/>
                    </w:rPr>
                    <w:t xml:space="preserve">(Hypothiazid), </w:t>
                  </w:r>
                  <w:r>
                    <w:rPr>
                      <w:rStyle w:val="CharStyle191"/>
                      <w:lang w:val="ru-RU" w:eastAsia="ru-RU" w:bidi="ru-RU"/>
                      <w:b/>
                      <w:bCs/>
                      <w:i/>
                      <w:iCs/>
                    </w:rPr>
                    <w:t>Гидрохлортиазид</w:t>
                  </w:r>
                </w:p>
              </w:txbxContent>
            </v:textbox>
            <w10:wrap anchorx="margin"/>
          </v:shape>
        </w:pict>
      </w:r>
      <w:r>
        <w:pict>
          <v:shape id="_x0000_s2059" type="#_x0000_t202" style="position:absolute;margin-left:0.95pt;margin-top:280.55pt;width:492.pt;height:5.e-002pt;z-index:251657840;mso-wrap-distance-left:5.pt;mso-wrap-distance-right:5.pt;mso-position-horizontal-relative:margin" filled="f" stroked="f">
            <v:textbox style="mso-fit-shape-to-text:t" inset="0,0,0,0">
              <w:txbxContent>
                <w:p>
                  <w:pPr>
                    <w:pStyle w:val="Style96"/>
                    <w:widowControl w:val="0"/>
                    <w:keepNext w:val="0"/>
                    <w:keepLines w:val="0"/>
                    <w:shd w:val="clear" w:color="auto" w:fill="auto"/>
                    <w:bidi w:val="0"/>
                    <w:jc w:val="both"/>
                    <w:spacing w:before="0" w:after="0" w:line="192" w:lineRule="exact"/>
                    <w:ind w:left="0" w:right="0" w:firstLine="0"/>
                  </w:pPr>
                  <w:r>
                    <w:rPr>
                      <w:rStyle w:val="CharStyle97"/>
                    </w:rPr>
                    <w:t>Показания</w:t>
                  </w:r>
                </w:p>
                <w:p>
                  <w:pPr>
                    <w:pStyle w:val="Style96"/>
                    <w:widowControl w:val="0"/>
                    <w:keepNext w:val="0"/>
                    <w:keepLines w:val="0"/>
                    <w:shd w:val="clear" w:color="auto" w:fill="auto"/>
                    <w:bidi w:val="0"/>
                    <w:jc w:val="both"/>
                    <w:spacing w:before="0" w:after="0" w:line="192" w:lineRule="exact"/>
                    <w:ind w:left="0" w:right="0" w:firstLine="0"/>
                  </w:pPr>
                  <w:r>
                    <w:rPr>
                      <w:rStyle w:val="CharStyle97"/>
                    </w:rPr>
                    <w:t>Артериальная гипертензия, застойная сердечная недостаточность, глаукома, несахарный диабет, цирроз печени с портальной гипертензией и отечно-асцитическим синдромом.</w:t>
                  </w:r>
                </w:p>
                <w:tbl>
                  <w:tblPr>
                    <w:tblOverlap w:val="never"/>
                    <w:tblLayout w:type="fixed"/>
                    <w:jc w:val="center"/>
                  </w:tblPr>
                  <w:tblGrid>
                    <w:gridCol w:w="1954"/>
                    <w:gridCol w:w="3922"/>
                    <w:gridCol w:w="3965"/>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 мг/кг, максимально 100 мг</w:t>
                        </w: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pStyle w:val="Style96"/>
                    <w:widowControl w:val="0"/>
                    <w:keepNext w:val="0"/>
                    <w:keepLines w:val="0"/>
                    <w:shd w:val="clear" w:color="auto" w:fill="auto"/>
                    <w:bidi w:val="0"/>
                    <w:jc w:val="left"/>
                    <w:spacing w:before="0" w:after="0" w:line="180" w:lineRule="exact"/>
                    <w:ind w:left="0" w:right="0" w:firstLine="0"/>
                  </w:pPr>
                  <w:r>
                    <w:rPr>
                      <w:rStyle w:val="CharStyle97"/>
                    </w:rPr>
                    <w:t>Фармакологическое действие:</w:t>
                  </w:r>
                </w:p>
                <w:p>
                  <w:pPr>
                    <w:widowControl w:val="0"/>
                    <w:rPr>
                      <w:sz w:val="2"/>
                      <w:szCs w:val="2"/>
                    </w:rPr>
                  </w:pPr>
                </w:p>
              </w:txbxContent>
            </v:textbox>
            <w10:wrap anchorx="margin"/>
          </v:shape>
        </w:pict>
      </w:r>
      <w:r>
        <w:pict>
          <v:shape id="_x0000_s2060" type="#_x0000_t202" style="position:absolute;margin-left:1.2pt;margin-top:343.4pt;width:491.05pt;height:108.45pt;z-index:251657841;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Диуретическое (натрий-, калий-, хлоруретическое), гипотензивное, понижение внутриглазного давления. Снижает реабсорбцию ионов натрия и хлора (в меньшей степени — калия и бикарбонатов) в проксимальных канальцах почек, выведение ионов магния, кальция, мо</w:t>
                    <w:softHyphen/>
                    <w:t>чевой кислоты. Повышает концентрационную способность почек. Угнетает восприимчивость сосудистой стенки к возбуждающим вли</w:t>
                    <w:softHyphen/>
                    <w:t>яниям медиаторов в связи с уменьшением ОЦК, а также падением концентрации ионов натрия в цитоплазме миоцитов сосудов. Хоро</w:t>
                    <w:softHyphen/>
                    <w:t>шо всасывается в ЖКТ. В крови на 60% связывается с белками. Проникает через гемато-плацентарный барьер и в грудное молоко. Вы</w:t>
                    <w:softHyphen/>
                    <w:t>водится почками. Диуретическое действие развивается через 30-60 мин, достигает максимума через 8-12 ч.</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 гипокалиемия, гипохлоремический метаболический алкалоз, гиперлипидемия, гиперурикемия, гипотензия, голо</w:t>
                    <w:softHyphen/>
                    <w:t>вокружение, вертиго, головная боль, агранулоцитоз, гепатотоксичность, гемолитическая анемия, парестезия, преренальная азотемия, аллергические реакции.</w:t>
                  </w:r>
                </w:p>
                <w:p>
                  <w:pPr>
                    <w:pStyle w:val="Style30"/>
                    <w:widowControl w:val="0"/>
                    <w:keepNext w:val="0"/>
                    <w:keepLines w:val="0"/>
                    <w:shd w:val="clear" w:color="auto" w:fill="auto"/>
                    <w:bidi w:val="0"/>
                    <w:spacing w:before="0" w:after="0" w:line="192" w:lineRule="exact"/>
                    <w:ind w:left="0" w:right="0" w:firstLine="0"/>
                  </w:pPr>
                  <w:r>
                    <w:rPr>
                      <w:rStyle w:val="CharStyle90"/>
                    </w:rPr>
                    <w:t>Взаимодействие с лекарствами: риск ототоксичности повышается при применении аминогликозидов.</w:t>
                  </w:r>
                </w:p>
                <w:p>
                  <w:pPr>
                    <w:pStyle w:val="Style30"/>
                    <w:widowControl w:val="0"/>
                    <w:keepNext w:val="0"/>
                    <w:keepLines w:val="0"/>
                    <w:shd w:val="clear" w:color="auto" w:fill="auto"/>
                    <w:bidi w:val="0"/>
                    <w:spacing w:before="0" w:after="0" w:line="192" w:lineRule="exact"/>
                    <w:ind w:left="0" w:right="0" w:firstLine="0"/>
                  </w:pPr>
                  <w:r>
                    <w:rPr>
                      <w:rStyle w:val="CharStyle90"/>
                    </w:rPr>
                    <w:t>Осторожность: перекрестная чувствительность к сульфонамидам.</w:t>
                  </w:r>
                </w:p>
              </w:txbxContent>
            </v:textbox>
            <w10:wrap anchorx="margin"/>
          </v:shape>
        </w:pict>
      </w:r>
      <w:r>
        <w:pict>
          <v:shape id="_x0000_s2061" type="#_x0000_t202" style="position:absolute;margin-left:1.7pt;margin-top:471.1pt;width:457.9pt;height:10.4pt;z-index:251657842;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jc w:val="left"/>
                    <w:spacing w:before="0" w:after="0" w:line="150" w:lineRule="exact"/>
                    <w:ind w:left="0" w:right="0" w:firstLine="0"/>
                  </w:pPr>
                  <w:r>
                    <w:rPr>
                      <w:rStyle w:val="CharStyle191"/>
                      <w:lang w:val="ru-RU" w:eastAsia="ru-RU" w:bidi="ru-RU"/>
                      <w:b/>
                      <w:bCs/>
                      <w:i/>
                      <w:iCs/>
                    </w:rPr>
                    <w:t xml:space="preserve">Спиронолактон </w:t>
                  </w:r>
                  <w:r>
                    <w:rPr>
                      <w:rStyle w:val="CharStyle191"/>
                      <w:b/>
                      <w:bCs/>
                      <w:i/>
                      <w:iCs/>
                    </w:rPr>
                    <w:t xml:space="preserve">(Sрironоlасtonum) </w:t>
                  </w:r>
                  <w:r>
                    <w:rPr>
                      <w:rStyle w:val="CharStyle191"/>
                      <w:lang w:val="ru-RU" w:eastAsia="ru-RU" w:bidi="ru-RU"/>
                      <w:b/>
                      <w:bCs/>
                      <w:i/>
                      <w:iCs/>
                    </w:rPr>
                    <w:t xml:space="preserve">Синонимы: Альдактон, Верошпирон, </w:t>
                  </w:r>
                  <w:r>
                    <w:rPr>
                      <w:rStyle w:val="CharStyle191"/>
                      <w:b/>
                      <w:bCs/>
                      <w:i/>
                      <w:iCs/>
                    </w:rPr>
                    <w:t xml:space="preserve">Aldactonе </w:t>
                  </w:r>
                  <w:r>
                    <w:rPr>
                      <w:rStyle w:val="CharStyle191"/>
                      <w:lang w:val="ru-RU" w:eastAsia="ru-RU" w:bidi="ru-RU"/>
                      <w:b/>
                      <w:bCs/>
                      <w:i/>
                      <w:iCs/>
                    </w:rPr>
                    <w:t xml:space="preserve">А, </w:t>
                  </w:r>
                  <w:r>
                    <w:rPr>
                      <w:rStyle w:val="CharStyle191"/>
                      <w:b/>
                      <w:bCs/>
                      <w:i/>
                      <w:iCs/>
                    </w:rPr>
                    <w:t xml:space="preserve">Spironolactone, Vеrоspiron. </w:t>
                  </w:r>
                  <w:r>
                    <w:rPr>
                      <w:rStyle w:val="CharStyle191"/>
                      <w:lang w:val="ru-RU" w:eastAsia="ru-RU" w:bidi="ru-RU"/>
                      <w:b/>
                      <w:bCs/>
                      <w:i/>
                      <w:iCs/>
                    </w:rPr>
                    <w:t xml:space="preserve">Альдактон </w:t>
                  </w:r>
                  <w:r>
                    <w:rPr>
                      <w:rStyle w:val="CharStyle191"/>
                      <w:b/>
                      <w:bCs/>
                      <w:i/>
                      <w:iCs/>
                    </w:rPr>
                    <w:t>(Aldactone)</w:t>
                  </w:r>
                </w:p>
              </w:txbxContent>
            </v:textbox>
            <w10:wrap anchorx="margin"/>
          </v:shape>
        </w:pict>
      </w:r>
      <w:r>
        <w:pict>
          <v:shape id="_x0000_s2062" type="#_x0000_t202" style="position:absolute;margin-left:0.95pt;margin-top:483.1pt;width:492.pt;height:5.e-002pt;z-index:251657843;mso-wrap-distance-left:5.pt;mso-wrap-distance-right:5.pt;mso-position-horizontal-relative:margin" filled="f" stroked="f">
            <v:textbox style="mso-fit-shape-to-text:t" inset="0,0,0,0">
              <w:txbxContent>
                <w:p>
                  <w:pPr>
                    <w:pStyle w:val="Style96"/>
                    <w:widowControl w:val="0"/>
                    <w:keepNext w:val="0"/>
                    <w:keepLines w:val="0"/>
                    <w:shd w:val="clear" w:color="auto" w:fill="auto"/>
                    <w:bidi w:val="0"/>
                    <w:jc w:val="both"/>
                    <w:spacing w:before="0" w:after="0" w:line="192" w:lineRule="exact"/>
                    <w:ind w:left="0" w:right="0" w:firstLine="0"/>
                  </w:pPr>
                  <w:r>
                    <w:rPr>
                      <w:rStyle w:val="CharStyle97"/>
                    </w:rPr>
                    <w:t>Отечный синдром при хронической сердечной недостаточности, циррозе печени, нефротическом синдроме, нефропатии беременных; артериальная гипертензия, гипокалиемия. Гиперальдостеронизм (первичный и идиопатический), диагностика гиперальдостеронизма, аденомы надпочечников, продуцирующие альдостерон.</w:t>
                  </w:r>
                </w:p>
                <w:tbl>
                  <w:tblPr>
                    <w:tblOverlap w:val="never"/>
                    <w:tblLayout w:type="fixed"/>
                    <w:jc w:val="center"/>
                  </w:tblPr>
                  <w:tblGrid>
                    <w:gridCol w:w="1954"/>
                    <w:gridCol w:w="3922"/>
                    <w:gridCol w:w="3965"/>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0,5-1,5 мг/кг, максимально 50 мг</w:t>
                        </w: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widowControl w:val="0"/>
                    <w:rPr>
                      <w:sz w:val="2"/>
                      <w:szCs w:val="2"/>
                    </w:rPr>
                  </w:pPr>
                </w:p>
              </w:txbxContent>
            </v:textbox>
            <w10:wrap anchorx="margin"/>
          </v:shape>
        </w:pict>
      </w:r>
      <w:r>
        <w:pict>
          <v:shape id="_x0000_s2063" type="#_x0000_t202" style="position:absolute;margin-left:1.2pt;margin-top:536.4pt;width:491.05pt;height:89.25pt;z-index:251657844;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Фармакологическое 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Диуретическое, калийсберегающее. Является конкурентным антагонистом альдостерона. В дистальных почечных канальцах повышает выведение натрия и воды, уменьшает — калия. Понижает АД.</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Анурия, почечная недостаточность (острая, хроническая со значительным снижением функции почек); гиперкалиемия.</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spacing w:before="0" w:after="0" w:line="192" w:lineRule="exact"/>
                    <w:ind w:left="0" w:right="0" w:firstLine="0"/>
                  </w:pPr>
                  <w:r>
                    <w:rPr>
                      <w:rStyle w:val="CharStyle90"/>
                    </w:rPr>
                    <w:t>Диспепсия, диарея, головная боль, сонливость, атаксия, летаргия, психические расстройства, гинекомастия, снижение эрекции, рас</w:t>
                    <w:softHyphen/>
                    <w:t>стройства менструального цикла, гирсутизм, снижение тембра голоса, гиперхлоремический алкалоз, аллергические реакции (сыпь, кра</w:t>
                    <w:softHyphen/>
                    <w:t>пивница, лихорадка).</w:t>
                  </w:r>
                </w:p>
              </w:txbxContent>
            </v:textbox>
            <w10:wrap anchorx="margin"/>
          </v:shape>
        </w:pict>
      </w:r>
      <w:r>
        <w:pict>
          <v:shape id="_x0000_s2064" type="#_x0000_t75" style="position:absolute;margin-left:147.85pt;margin-top:725.5pt;width:209.75pt;height:14.9pt;z-index:-251658591;mso-wrap-distance-left:5.pt;mso-wrap-distance-right:5.pt;mso-position-horizontal-relative:margin" wrapcoords="0 0">
            <v:imagedata r:id="rId1457" r:href="rId1458"/>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95" w:lineRule="exact"/>
      </w:pPr>
    </w:p>
    <w:p>
      <w:pPr>
        <w:widowControl w:val="0"/>
        <w:rPr>
          <w:sz w:val="2"/>
          <w:szCs w:val="2"/>
        </w:rPr>
        <w:sectPr>
          <w:type w:val="continuous"/>
          <w:pgSz w:w="11900" w:h="16840"/>
          <w:pgMar w:top="1423" w:left="898" w:right="1124" w:bottom="147" w:header="0" w:footer="3" w:gutter="0"/>
          <w:rtlGutter w:val="0"/>
          <w:cols w:space="720"/>
          <w:noEndnote/>
          <w:docGrid w:linePitch="360"/>
        </w:sectPr>
      </w:pPr>
    </w:p>
    <w:p>
      <w:pPr>
        <w:widowControl w:val="0"/>
        <w:rPr>
          <w:sz w:val="2"/>
          <w:szCs w:val="2"/>
        </w:rPr>
      </w:pPr>
      <w:r>
        <w:pict>
          <v:shape id="_x0000_s2065" type="#_x0000_t202" style="position:static;width:595.pt;height:7.05pt" filled="f" stroked="f">
            <v:textbox inset="0,0,0,0">
              <w:txbxContent>
                <w:p>
                  <w:pPr>
                    <w:widowControl w:val="0"/>
                  </w:pPr>
                </w:p>
              </w:txbxContent>
            </v:textbox>
            <w10:anchorlock/>
          </v:shape>
        </w:pict>
      </w:r>
      <w:r>
        <w:t xml:space="preserve"> </w:t>
      </w:r>
    </w:p>
    <w:p>
      <w:pPr>
        <w:widowControl w:val="0"/>
        <w:rPr>
          <w:sz w:val="2"/>
          <w:szCs w:val="2"/>
        </w:rPr>
        <w:sectPr>
          <w:pgSz w:w="11900" w:h="16840"/>
          <w:pgMar w:top="1423" w:left="0" w:right="0" w:bottom="147" w:header="0" w:footer="3" w:gutter="0"/>
          <w:rtlGutter w:val="0"/>
          <w:cols w:space="720"/>
          <w:noEndnote/>
          <w:docGrid w:linePitch="360"/>
        </w:sectPr>
      </w:pPr>
    </w:p>
    <w:p>
      <w:pPr>
        <w:widowControl w:val="0"/>
        <w:spacing w:line="360" w:lineRule="exact"/>
      </w:pPr>
      <w:r>
        <w:pict>
          <v:shape id="_x0000_s2066" type="#_x0000_t202" style="position:absolute;margin-left:0.95pt;margin-top:0.1pt;width:490.8pt;height:20.15pt;z-index:251657845;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Диакарб </w:t>
                  </w:r>
                  <w:r>
                    <w:rPr>
                      <w:rStyle w:val="CharStyle191"/>
                      <w:b/>
                      <w:bCs/>
                      <w:i/>
                      <w:iCs/>
                    </w:rPr>
                    <w:t xml:space="preserve">(Diacarb) </w:t>
                  </w:r>
                  <w:r>
                    <w:rPr>
                      <w:rStyle w:val="CharStyle191"/>
                      <w:lang w:val="ru-RU" w:eastAsia="ru-RU" w:bidi="ru-RU"/>
                      <w:b/>
                      <w:bCs/>
                      <w:i/>
                      <w:iCs/>
                    </w:rPr>
                    <w:t xml:space="preserve">Синонимы: Фонурит, </w:t>
                  </w:r>
                  <w:r>
                    <w:rPr>
                      <w:rStyle w:val="CharStyle191"/>
                      <w:b/>
                      <w:bCs/>
                      <w:i/>
                      <w:iCs/>
                    </w:rPr>
                    <w:t xml:space="preserve">Acetazolamide, Acetazolamidum, Acetamox, Anicar, Dehydratin, Dilamox, Diluran, Diuramid, Ederen, Eumicton, Fonurit, Glaucomide, Glauconox, Glaupax, Lediamox, Natrionex, Nephramid, Renamid, Sulfadiurine </w:t>
                  </w:r>
                  <w:r>
                    <w:rPr>
                      <w:rStyle w:val="CharStyle191"/>
                      <w:lang w:val="ru-RU" w:eastAsia="ru-RU" w:bidi="ru-RU"/>
                      <w:b/>
                      <w:bCs/>
                      <w:i/>
                      <w:iCs/>
                    </w:rPr>
                    <w:t>и др.</w:t>
                  </w:r>
                </w:p>
              </w:txbxContent>
            </v:textbox>
            <w10:wrap anchorx="margin"/>
          </v:shape>
        </w:pict>
      </w:r>
      <w:r>
        <w:pict>
          <v:shape id="_x0000_s2067" type="#_x0000_t202" style="position:absolute;margin-left:0.95pt;margin-top:21.6pt;width:492.pt;height:5.e-002pt;z-index:251657846;mso-wrap-distance-left:5.pt;mso-wrap-distance-right:5.pt;mso-position-horizont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Показания</w:t>
                  </w:r>
                </w:p>
                <w:p>
                  <w:pPr>
                    <w:pStyle w:val="Style96"/>
                    <w:widowControl w:val="0"/>
                    <w:keepNext w:val="0"/>
                    <w:keepLines w:val="0"/>
                    <w:shd w:val="clear" w:color="auto" w:fill="auto"/>
                    <w:bidi w:val="0"/>
                    <w:jc w:val="left"/>
                    <w:spacing w:before="0" w:after="0" w:line="180" w:lineRule="exact"/>
                    <w:ind w:left="0" w:right="0" w:firstLine="0"/>
                  </w:pPr>
                  <w:r>
                    <w:rPr>
                      <w:rStyle w:val="CharStyle97"/>
                    </w:rPr>
                    <w:t>Отеки на фоне легочно-сердечной недостаточности (легочное сердце), внутричерепная гипертензия.</w:t>
                  </w:r>
                </w:p>
                <w:tbl>
                  <w:tblPr>
                    <w:tblOverlap w:val="never"/>
                    <w:tblLayout w:type="fixed"/>
                    <w:jc w:val="center"/>
                  </w:tblPr>
                  <w:tblGrid>
                    <w:gridCol w:w="1954"/>
                    <w:gridCol w:w="3926"/>
                    <w:gridCol w:w="3960"/>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0,125-0,25 г</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 раз в сутки 3 дня, на 4-й день перерыв</w:t>
                        </w:r>
                      </w:p>
                    </w:tc>
                  </w:tr>
                </w:tbl>
                <w:p>
                  <w:pPr>
                    <w:widowControl w:val="0"/>
                    <w:rPr>
                      <w:sz w:val="2"/>
                      <w:szCs w:val="2"/>
                    </w:rPr>
                  </w:pPr>
                </w:p>
              </w:txbxContent>
            </v:textbox>
            <w10:wrap anchorx="margin"/>
          </v:shape>
        </w:pict>
      </w:r>
      <w:r>
        <w:pict>
          <v:shape id="_x0000_s2068" type="#_x0000_t202" style="position:absolute;margin-left:1.45pt;margin-top:65.05pt;width:491.05pt;height:137.25pt;z-index:251657847;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Фармакологическое 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 xml:space="preserve">Ингибирует карбоангидразу в проксимальных почечных канальцах, снижает реабсорбцию ионов </w:t>
                  </w:r>
                  <w:r>
                    <w:rPr>
                      <w:rStyle w:val="CharStyle90"/>
                      <w:lang w:val="en-US" w:eastAsia="en-US" w:bidi="en-US"/>
                    </w:rPr>
                    <w:t xml:space="preserve">Na, </w:t>
                  </w:r>
                  <w:r>
                    <w:rPr>
                      <w:rStyle w:val="CharStyle90"/>
                    </w:rPr>
                    <w:t>К, воды (повышает диурез), вызы</w:t>
                    <w:softHyphen/>
                    <w:t>вает метаболический ацидоз и снижение ОЦК. Угнетение карбоангидразы реснитчатого тела приводит к снижению секреции водянис</w:t>
                    <w:softHyphen/>
                    <w:t>той влаги и понижению внутриглазного давления. Снижение активности карбоангидразы в головном мозге обусловливает противоэпи</w:t>
                    <w:softHyphen/>
                    <w:t>лептическую активность. Хорошо всасывается из ЖКТ. Длительность действия — до 12 ч.</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Гиперчувствительность (в т.ч. к сульфанил- и др. сульфонамидам), склонность к ацидозу, болезнь Аддисона, острые заболевания печени и почек, сахарный диабет, уремия.</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jc w:val="left"/>
                    <w:spacing w:before="0" w:after="0" w:line="192" w:lineRule="exact"/>
                    <w:ind w:left="0" w:right="0" w:firstLine="0"/>
                  </w:pPr>
                  <w:r>
                    <w:rPr>
                      <w:rStyle w:val="CharStyle90"/>
                    </w:rPr>
                    <w:t>Потеря аппетита, тошнота, рвота, диарея, парестезии, шум в ушах, нарушение осязания, сонливость, аллергические реакции. Ограничения к применению:</w:t>
                  </w:r>
                </w:p>
                <w:p>
                  <w:pPr>
                    <w:pStyle w:val="Style30"/>
                    <w:widowControl w:val="0"/>
                    <w:keepNext w:val="0"/>
                    <w:keepLines w:val="0"/>
                    <w:shd w:val="clear" w:color="auto" w:fill="auto"/>
                    <w:bidi w:val="0"/>
                    <w:spacing w:before="0" w:after="0" w:line="192" w:lineRule="exact"/>
                    <w:ind w:left="0" w:right="0" w:firstLine="0"/>
                  </w:pPr>
                  <w:r>
                    <w:rPr>
                      <w:rStyle w:val="CharStyle90"/>
                    </w:rPr>
                    <w:t>Отеки печеночного и почечного генеза.</w:t>
                  </w:r>
                </w:p>
                <w:p>
                  <w:pPr>
                    <w:pStyle w:val="Style30"/>
                    <w:widowControl w:val="0"/>
                    <w:keepNext w:val="0"/>
                    <w:keepLines w:val="0"/>
                    <w:shd w:val="clear" w:color="auto" w:fill="auto"/>
                    <w:bidi w:val="0"/>
                    <w:spacing w:before="0" w:after="0" w:line="192" w:lineRule="exact"/>
                    <w:ind w:left="0" w:right="0" w:firstLine="0"/>
                  </w:pPr>
                  <w:r>
                    <w:rPr>
                      <w:rStyle w:val="CharStyle90"/>
                    </w:rPr>
                    <w:t>Взаимодействие: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Мочегонный эффект усиливается теофиллином, ослабляется кислотообразующими диуретиками.</w:t>
                  </w:r>
                </w:p>
              </w:txbxContent>
            </v:textbox>
            <w10:wrap anchorx="margin"/>
          </v:shape>
        </w:pict>
      </w:r>
      <w:r>
        <w:pict>
          <v:shape id="_x0000_s2069" type="#_x0000_t202" style="position:absolute;margin-left:1.45pt;margin-top:212.85pt;width:490.3pt;height:22.1pt;z-index:251657848;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Оксодолин </w:t>
                  </w:r>
                  <w:r>
                    <w:rPr>
                      <w:rStyle w:val="CharStyle191"/>
                      <w:b/>
                      <w:bCs/>
                      <w:i/>
                      <w:iCs/>
                    </w:rPr>
                    <w:t xml:space="preserve">(Oxodolinum) </w:t>
                  </w:r>
                  <w:r>
                    <w:rPr>
                      <w:rStyle w:val="CharStyle191"/>
                      <w:lang w:val="ru-RU" w:eastAsia="ru-RU" w:bidi="ru-RU"/>
                      <w:b/>
                      <w:bCs/>
                      <w:i/>
                      <w:iCs/>
                    </w:rPr>
                    <w:t xml:space="preserve">Синонимы: Гигротон, Урандил, </w:t>
                  </w:r>
                  <w:r>
                    <w:rPr>
                      <w:rStyle w:val="CharStyle191"/>
                      <w:b/>
                      <w:bCs/>
                      <w:i/>
                      <w:iCs/>
                    </w:rPr>
                    <w:t>Сhlorphtalidolone, Chlortalidone, Edemdal, Famolin, Hidronal, Higroton, Hygroton, Igroton, Isoren, Natriuran, Oradil, Phthalamidine, Renon, Saluretin, Urandil, Urofinil, Zambesil</w:t>
                  </w:r>
                </w:p>
              </w:txbxContent>
            </v:textbox>
            <w10:wrap anchorx="margin"/>
          </v:shape>
        </w:pict>
      </w:r>
      <w:r>
        <w:pict>
          <v:shape id="_x0000_s2070" type="#_x0000_t202" style="position:absolute;margin-left:0.95pt;margin-top:236.4pt;width:492.pt;height:5.e-002pt;z-index:251657849;mso-wrap-distance-left:5.pt;mso-wrap-distance-right:5.pt;mso-position-horizontal-relative:margin" filled="f" stroked="f">
            <v:textbox style="mso-fit-shape-to-text:t" inset="0,0,0,0">
              <w:txbxContent>
                <w:p>
                  <w:pPr>
                    <w:pStyle w:val="Style96"/>
                    <w:widowControl w:val="0"/>
                    <w:keepNext w:val="0"/>
                    <w:keepLines w:val="0"/>
                    <w:shd w:val="clear" w:color="auto" w:fill="auto"/>
                    <w:bidi w:val="0"/>
                    <w:jc w:val="left"/>
                    <w:spacing w:before="0" w:after="0" w:line="180" w:lineRule="exact"/>
                    <w:ind w:left="0" w:right="0" w:firstLine="0"/>
                  </w:pPr>
                  <w:r>
                    <w:rPr>
                      <w:rStyle w:val="CharStyle97"/>
                    </w:rPr>
                    <w:t>Показания</w:t>
                  </w:r>
                </w:p>
                <w:p>
                  <w:pPr>
                    <w:pStyle w:val="Style96"/>
                    <w:widowControl w:val="0"/>
                    <w:keepNext w:val="0"/>
                    <w:keepLines w:val="0"/>
                    <w:shd w:val="clear" w:color="auto" w:fill="auto"/>
                    <w:bidi w:val="0"/>
                    <w:jc w:val="left"/>
                    <w:spacing w:before="0" w:after="0" w:line="180" w:lineRule="exact"/>
                    <w:ind w:left="0" w:right="0" w:firstLine="0"/>
                  </w:pPr>
                  <w:r>
                    <w:rPr>
                      <w:rStyle w:val="CharStyle97"/>
                    </w:rPr>
                    <w:t>Отеки при сердечной недостаточности, гипертоническая болезнь.</w:t>
                  </w:r>
                </w:p>
                <w:tbl>
                  <w:tblPr>
                    <w:tblOverlap w:val="never"/>
                    <w:tblLayout w:type="fixed"/>
                    <w:jc w:val="center"/>
                  </w:tblPr>
                  <w:tblGrid>
                    <w:gridCol w:w="1954"/>
                    <w:gridCol w:w="3926"/>
                    <w:gridCol w:w="3960"/>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Детям 2 мг/кг/сутки.</w:t>
                        </w: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widowControl w:val="0"/>
                    <w:rPr>
                      <w:sz w:val="2"/>
                      <w:szCs w:val="2"/>
                    </w:rPr>
                  </w:pPr>
                </w:p>
              </w:txbxContent>
            </v:textbox>
            <w10:wrap anchorx="margin"/>
          </v:shape>
        </w:pict>
      </w:r>
      <w:r>
        <w:pict>
          <v:shape id="_x0000_s2071" type="#_x0000_t202" style="position:absolute;margin-left:1.45pt;margin-top:279.85pt;width:490.8pt;height:98.85pt;z-index:251657850;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Фармакологическое 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Блокирует реабсорбцию натрия, хлора, калия и бикарбонатов дистальных канальцев, слабо влияя на проксимальные. Вызывает задерж</w:t>
                    <w:softHyphen/>
                    <w:t>ку глюкозы и мочевой кислоты. Быстро всасывается из ЖКТ, на 90% связывается с белками плазмы и эритроцитами. Мочегонный эф</w:t>
                    <w:softHyphen/>
                    <w:t>фект развивается через 2-4 ч и продолжается 48-72 ч. Выводится в основном с фекалиями и мочой.</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Нарушение функции печени и почек, сахарный диабет, подагра.</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jc w:val="left"/>
                    <w:spacing w:before="0" w:after="0" w:line="192" w:lineRule="exact"/>
                    <w:ind w:left="0" w:right="0" w:firstLine="0"/>
                  </w:pPr>
                  <w:r>
                    <w:rPr>
                      <w:rStyle w:val="CharStyle90"/>
                    </w:rPr>
                    <w:t>Слабость, тошнота, рвота, диарея, гипокалиемия, гипохлоремический алкалоз, гипергликемия, гиперурекемия, дерматиты. Взаимодействие: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Усиливает эффект гипотензивных средств.</w:t>
                  </w:r>
                </w:p>
              </w:txbxContent>
            </v:textbox>
            <w10:wrap anchorx="margin"/>
          </v:shape>
        </w:pict>
      </w:r>
      <w:r>
        <w:pict>
          <v:shape id="_x0000_s2072" type="#_x0000_t202" style="position:absolute;margin-left:1.45pt;margin-top:388.55pt;width:491.05pt;height:72.7pt;z-index:251657851;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Маннит </w:t>
                  </w:r>
                  <w:r>
                    <w:rPr>
                      <w:rStyle w:val="CharStyle191"/>
                      <w:b/>
                      <w:bCs/>
                      <w:i/>
                      <w:iCs/>
                    </w:rPr>
                    <w:t xml:space="preserve">(Mannitum) </w:t>
                  </w:r>
                  <w:r>
                    <w:rPr>
                      <w:rStyle w:val="CharStyle191"/>
                      <w:lang w:val="ru-RU" w:eastAsia="ru-RU" w:bidi="ru-RU"/>
                      <w:b/>
                      <w:bCs/>
                      <w:i/>
                      <w:iCs/>
                    </w:rPr>
                    <w:t xml:space="preserve">Синонимы: Маннитол, </w:t>
                  </w:r>
                  <w:r>
                    <w:rPr>
                      <w:rStyle w:val="CharStyle191"/>
                      <w:b/>
                      <w:bCs/>
                      <w:i/>
                      <w:iCs/>
                    </w:rPr>
                    <w:t>Aerosmosol, Diosmol, Isotol, Manicol, Manitol, Mannidex, Mannigen, Mannistol, Mannitol, Mannyl, Osmitrol, Osmosal, Rectisol, Renitol.</w:t>
                  </w:r>
                </w:p>
                <w:p>
                  <w:pPr>
                    <w:pStyle w:val="Style30"/>
                    <w:widowControl w:val="0"/>
                    <w:keepNext w:val="0"/>
                    <w:keepLines w:val="0"/>
                    <w:shd w:val="clear" w:color="auto" w:fill="auto"/>
                    <w:bidi w:val="0"/>
                    <w:spacing w:before="0" w:after="0" w:line="192" w:lineRule="exact"/>
                    <w:ind w:left="0" w:right="0" w:firstLine="0"/>
                  </w:pPr>
                  <w:r>
                    <w:rPr>
                      <w:rStyle w:val="CharStyle90"/>
                    </w:rPr>
                    <w:t>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Отек мозга, повышение внутричерепного давления при почечной или почечно-печеночной недостаточности, эпилептический статус, острый приступ глаукомы, операции с экстракорпоральным кровообращением, острая почечная (при сохраненной фильтрационной функции почек) и печеночная недостаточность, посттрансфузионные осложнения, вызванные введением несовместимой крови, острые отравления барбитуратами и др. веществами (форсированный диурез).</w:t>
                  </w:r>
                </w:p>
              </w:txbxContent>
            </v:textbox>
            <w10:wrap anchorx="margin"/>
          </v:shape>
        </w:pict>
      </w:r>
      <w:r>
        <w:pict>
          <v:shape id="_x0000_s2073" type="#_x0000_t202" style="position:absolute;margin-left:0.95pt;margin-top:461.5pt;width:492.pt;height:5.e-002pt;z-index:251657852;mso-wrap-distance-left:5.pt;mso-wrap-distance-right:5.pt;mso-position-horizontal-relative:margin" filled="f" stroked="f">
            <v:textbox style="mso-fit-shape-to-text:t" inset="0,0,0,0">
              <w:txbxContent>
                <w:tbl>
                  <w:tblPr>
                    <w:tblOverlap w:val="never"/>
                    <w:tblLayout w:type="fixed"/>
                    <w:jc w:val="center"/>
                  </w:tblPr>
                  <w:tblGrid>
                    <w:gridCol w:w="1954"/>
                    <w:gridCol w:w="3926"/>
                    <w:gridCol w:w="3960"/>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В/в капельно</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10-20% раствора в дозе 0,5-1,5 г/кг</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 раз в сутки 3 дня, на 4-й день перерыв</w:t>
                        </w:r>
                      </w:p>
                    </w:tc>
                  </w:tr>
                </w:tbl>
                <w:p>
                  <w:pPr>
                    <w:widowControl w:val="0"/>
                    <w:rPr>
                      <w:sz w:val="2"/>
                      <w:szCs w:val="2"/>
                    </w:rPr>
                  </w:pPr>
                </w:p>
              </w:txbxContent>
            </v:textbox>
            <w10:wrap anchorx="margin"/>
          </v:shape>
        </w:pict>
      </w:r>
      <w:r>
        <w:pict>
          <v:shape id="_x0000_s2074" type="#_x0000_t202" style="position:absolute;margin-left:1.2pt;margin-top:484.3pt;width:491.3pt;height:185.25pt;z-index:251657853;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Фармакологическое 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Диуретическое, противоотечное. Повышает осмотическое давление в канальцах и препятствует реабсорбции воды. Фильтруется почка</w:t>
                    <w:softHyphen/>
                    <w:t>ми без последующей канальцевой реабсорбции, что приводит к удерживанию воды в канальцах и увеличению объема мочи. Одновре</w:t>
                    <w:softHyphen/>
                    <w:t>менно значительно возрастает натрийурез без существенного увеличения калийуреза. Сила действия тем выше, чем больше доза. Не эф</w:t>
                    <w:softHyphen/>
                    <w:t>фективен при нарушении фильтрационной функции почек, а также при азотемии у больных с циррозом печени и асцитом. Вызывает по</w:t>
                    <w:softHyphen/>
                    <w:t>вышение ОЦК (в связи с ростом осмотического давления в сосудистом русле).</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Гиперчувствительность, тяжелая почечная недостаточность, нарушение фильтрационной функции почек, застойная сердечная недоста</w:t>
                    <w:softHyphen/>
                    <w:t>точность, геморрагический инсульт, субарахноидальное кровоизлияние (кроме кровотечений во время трепанации черепа), гипонатри- емия, гипохлоремия, гипокалиемия.</w:t>
                  </w:r>
                </w:p>
                <w:p>
                  <w:pPr>
                    <w:pStyle w:val="Style30"/>
                    <w:widowControl w:val="0"/>
                    <w:keepNext w:val="0"/>
                    <w:keepLines w:val="0"/>
                    <w:shd w:val="clear" w:color="auto" w:fill="auto"/>
                    <w:bidi w:val="0"/>
                    <w:spacing w:before="0" w:after="0" w:line="192" w:lineRule="exact"/>
                    <w:ind w:left="0" w:right="0" w:firstLine="0"/>
                  </w:pPr>
                  <w:r>
                    <w:rPr>
                      <w:rStyle w:val="CharStyle90"/>
                    </w:rPr>
                    <w:t>Ограничения к применению:</w:t>
                  </w:r>
                </w:p>
                <w:p>
                  <w:pPr>
                    <w:pStyle w:val="Style30"/>
                    <w:widowControl w:val="0"/>
                    <w:keepNext w:val="0"/>
                    <w:keepLines w:val="0"/>
                    <w:shd w:val="clear" w:color="auto" w:fill="auto"/>
                    <w:bidi w:val="0"/>
                    <w:spacing w:before="0" w:after="0" w:line="192" w:lineRule="exact"/>
                    <w:ind w:left="0" w:right="0" w:firstLine="0"/>
                  </w:pPr>
                  <w:r>
                    <w:rPr>
                      <w:rStyle w:val="CharStyle90"/>
                    </w:rPr>
                    <w:t>Левожелудочковая недостаточность (в связи с риском развития отека легких, во избежание этого необходимо сочетать маннит с быстро</w:t>
                    <w:softHyphen/>
                    <w:t>действующими «петлевыми» салуретиками). Терапию следует проводить под контролем водно-электролитного баланса и центральной гемодинамики.</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spacing w:before="0" w:after="0" w:line="192" w:lineRule="exact"/>
                    <w:ind w:left="0" w:right="0" w:firstLine="0"/>
                  </w:pPr>
                  <w:r>
                    <w:rPr>
                      <w:rStyle w:val="CharStyle90"/>
                    </w:rPr>
                    <w:t>Дегидратация, диспепсия, галлюцинации, нарушения электролитного баланса.</w:t>
                  </w:r>
                </w:p>
                <w:p>
                  <w:pPr>
                    <w:pStyle w:val="Style30"/>
                    <w:widowControl w:val="0"/>
                    <w:keepNext w:val="0"/>
                    <w:keepLines w:val="0"/>
                    <w:shd w:val="clear" w:color="auto" w:fill="auto"/>
                    <w:bidi w:val="0"/>
                    <w:spacing w:before="0" w:after="0" w:line="192" w:lineRule="exact"/>
                    <w:ind w:left="0" w:right="0" w:firstLine="0"/>
                  </w:pPr>
                  <w:r>
                    <w:rPr>
                      <w:rStyle w:val="CharStyle90"/>
                    </w:rPr>
                    <w:t>Способ применения:</w:t>
                  </w:r>
                </w:p>
                <w:p>
                  <w:pPr>
                    <w:pStyle w:val="Style30"/>
                    <w:widowControl w:val="0"/>
                    <w:keepNext w:val="0"/>
                    <w:keepLines w:val="0"/>
                    <w:shd w:val="clear" w:color="auto" w:fill="auto"/>
                    <w:bidi w:val="0"/>
                    <w:spacing w:before="0" w:after="0" w:line="192" w:lineRule="exact"/>
                    <w:ind w:left="0" w:right="0" w:firstLine="0"/>
                  </w:pPr>
                  <w:r>
                    <w:rPr>
                      <w:rStyle w:val="CharStyle90"/>
                    </w:rPr>
                    <w:t xml:space="preserve">Лиофилизированную массу растворяют </w:t>
                  </w:r>
                  <w:r>
                    <w:rPr>
                      <w:rStyle w:val="CharStyle90"/>
                      <w:lang w:val="en-US" w:eastAsia="en-US" w:bidi="en-US"/>
                    </w:rPr>
                    <w:t xml:space="preserve">extempore </w:t>
                  </w:r>
                  <w:r>
                    <w:rPr>
                      <w:rStyle w:val="CharStyle90"/>
                    </w:rPr>
                    <w:t>водой д ля инъекций или 5% раствором глюкозы. При операциях с искусственным кро</w:t>
                    <w:softHyphen/>
                    <w:t>вообращением непосредственно перед началом перфузии в аппарат вводят 20-40 г</w:t>
                  </w:r>
                </w:p>
              </w:txbxContent>
            </v:textbox>
            <w10:wrap anchorx="margin"/>
          </v:shape>
        </w:pict>
      </w:r>
      <w:r>
        <w:pict>
          <v:shape id="_x0000_s2075" type="#_x0000_t75" style="position:absolute;margin-left:136.55pt;margin-top:734.65pt;width:209.75pt;height:14.9pt;z-index:-251658590;mso-wrap-distance-left:5.pt;mso-wrap-distance-right:5.pt;mso-position-horizontal-relative:margin" wrapcoords="0 0">
            <v:imagedata r:id="rId1459" r:href="rId1460"/>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78" w:lineRule="exact"/>
      </w:pPr>
    </w:p>
    <w:p>
      <w:pPr>
        <w:widowControl w:val="0"/>
        <w:rPr>
          <w:sz w:val="2"/>
          <w:szCs w:val="2"/>
        </w:rPr>
        <w:sectPr>
          <w:type w:val="continuous"/>
          <w:pgSz w:w="11900" w:h="16840"/>
          <w:pgMar w:top="1423" w:left="1124" w:right="898" w:bottom="147" w:header="0" w:footer="3" w:gutter="0"/>
          <w:rtlGutter w:val="0"/>
          <w:cols w:space="720"/>
          <w:noEndnote/>
          <w:docGrid w:linePitch="360"/>
        </w:sectPr>
      </w:pPr>
    </w:p>
    <w:p>
      <w:pPr>
        <w:widowControl w:val="0"/>
        <w:rPr>
          <w:sz w:val="2"/>
          <w:szCs w:val="2"/>
        </w:rPr>
      </w:pPr>
      <w:r>
        <w:pict>
          <v:shape id="_x0000_s2076" type="#_x0000_t202" style="position:static;width:595.pt;height:16.15pt" filled="f" stroked="f">
            <v:textbox inset="0,0,0,0">
              <w:txbxContent>
                <w:p>
                  <w:pPr>
                    <w:widowControl w:val="0"/>
                  </w:pPr>
                </w:p>
              </w:txbxContent>
            </v:textbox>
            <w10:anchorlock/>
          </v:shape>
        </w:pict>
      </w:r>
      <w:r>
        <w:t xml:space="preserve"> </w:t>
      </w:r>
    </w:p>
    <w:p>
      <w:pPr>
        <w:widowControl w:val="0"/>
        <w:rPr>
          <w:sz w:val="2"/>
          <w:szCs w:val="2"/>
        </w:rPr>
        <w:sectPr>
          <w:pgSz w:w="11900" w:h="16840"/>
          <w:pgMar w:top="1423" w:left="0" w:right="0" w:bottom="147" w:header="0" w:footer="3" w:gutter="0"/>
          <w:rtlGutter w:val="0"/>
          <w:cols w:space="720"/>
          <w:noEndnote/>
          <w:docGrid w:linePitch="360"/>
        </w:sectPr>
      </w:pPr>
    </w:p>
    <w:p>
      <w:pPr>
        <w:widowControl w:val="0"/>
        <w:spacing w:line="360" w:lineRule="exact"/>
      </w:pPr>
      <w:r>
        <w:pict>
          <v:shape id="_x0000_s2077" type="#_x0000_t202" style="position:absolute;margin-left:12.5pt;margin-top:0.1pt;width:415.2pt;height:11.4pt;z-index:251657854;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ПРЕПАРАТЫ ДЛЯ КОРРЕКЦИИ КИСЛОТНО-ОСНОВНОГО И ЭЛЕКТРОЛИТНОГО БАЛАНСОВ</w:t>
                  </w:r>
                </w:p>
              </w:txbxContent>
            </v:textbox>
            <w10:wrap anchorx="margin"/>
          </v:shape>
        </w:pict>
      </w:r>
      <w:r>
        <w:pict>
          <v:shape id="_x0000_s2078" type="#_x0000_t202" style="position:absolute;margin-left:1.45pt;margin-top:38.85pt;width:490.55pt;height:22.1pt;z-index:251657855;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Натрия гидрокарбонат Синонимы: Натрий двууглекислый, Натрия бикарбонат, Сода двууглекислая, </w:t>
                  </w:r>
                  <w:r>
                    <w:rPr>
                      <w:rStyle w:val="CharStyle191"/>
                      <w:b/>
                      <w:bCs/>
                      <w:i/>
                      <w:iCs/>
                    </w:rPr>
                    <w:t>Natrium bicarbonicum, Natrium hydrocar- bonicum, Sodium bicarbonate</w:t>
                  </w:r>
                </w:p>
              </w:txbxContent>
            </v:textbox>
            <w10:wrap anchorx="margin"/>
          </v:shape>
        </w:pict>
      </w:r>
      <w:r>
        <w:pict>
          <v:shape id="_x0000_s2079" type="#_x0000_t202" style="position:absolute;margin-left:0.95pt;margin-top:62.4pt;width:492.pt;height:5.e-002pt;z-index:251657856;mso-wrap-distance-left:5.pt;mso-wrap-distance-right:5.pt;mso-position-horizontal-relative:margin" filled="f" stroked="f">
            <v:textbox style="mso-fit-shape-to-text:t" inset="0,0,0,0">
              <w:txbxContent>
                <w:p>
                  <w:pPr>
                    <w:pStyle w:val="Style96"/>
                    <w:widowControl w:val="0"/>
                    <w:keepNext w:val="0"/>
                    <w:keepLines w:val="0"/>
                    <w:shd w:val="clear" w:color="auto" w:fill="auto"/>
                    <w:bidi w:val="0"/>
                    <w:jc w:val="both"/>
                    <w:spacing w:before="0" w:after="0" w:line="192" w:lineRule="exact"/>
                    <w:ind w:left="0" w:right="0" w:firstLine="0"/>
                  </w:pPr>
                  <w:r>
                    <w:rPr>
                      <w:rStyle w:val="CharStyle97"/>
                    </w:rPr>
                    <w:t>Показания</w:t>
                  </w:r>
                </w:p>
                <w:p>
                  <w:pPr>
                    <w:pStyle w:val="Style96"/>
                    <w:widowControl w:val="0"/>
                    <w:keepNext w:val="0"/>
                    <w:keepLines w:val="0"/>
                    <w:shd w:val="clear" w:color="auto" w:fill="auto"/>
                    <w:bidi w:val="0"/>
                    <w:jc w:val="both"/>
                    <w:spacing w:before="0" w:after="0" w:line="192" w:lineRule="exact"/>
                    <w:ind w:left="0" w:right="0" w:firstLine="0"/>
                  </w:pPr>
                  <w:r>
                    <w:rPr>
                      <w:rStyle w:val="CharStyle97"/>
                    </w:rPr>
                    <w:t>Метаболический алкалоз, для алкалинизации плазмы при легочной гипертензии, ряде ВПС, после хирургических вмешательств на сердце.</w:t>
                  </w:r>
                </w:p>
                <w:tbl>
                  <w:tblPr>
                    <w:tblOverlap w:val="never"/>
                    <w:tblLayout w:type="fixed"/>
                    <w:jc w:val="center"/>
                  </w:tblPr>
                  <w:tblGrid>
                    <w:gridCol w:w="1954"/>
                    <w:gridCol w:w="3922"/>
                    <w:gridCol w:w="3965"/>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В/в</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Остановка сердца: 0,5-1 мЭкв/кг</w:t>
                        </w: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pStyle w:val="Style96"/>
                    <w:widowControl w:val="0"/>
                    <w:keepNext w:val="0"/>
                    <w:keepLines w:val="0"/>
                    <w:shd w:val="clear" w:color="auto" w:fill="auto"/>
                    <w:bidi w:val="0"/>
                    <w:jc w:val="both"/>
                    <w:spacing w:before="0" w:after="0" w:line="192" w:lineRule="exact"/>
                    <w:ind w:left="0" w:right="0" w:firstLine="0"/>
                  </w:pPr>
                  <w:r>
                    <w:rPr>
                      <w:rStyle w:val="CharStyle97"/>
                    </w:rPr>
                    <w:t>Побочные эффекты: алкалоз, отеки, гиперосмолярность, гипернатриемия, церебральные геморрагии, гипокалиемия, гипокальциемия. Осторожность: у детей до 3 месяцев использовать концентрацию 0,5 мЭкв/мл. Не мешать с кальциевыми растворами и катехоламинами. Экстравазация раствора ведет к некрозу ткани (использовать в этих случаях гиалуронидазу).</w:t>
                  </w:r>
                </w:p>
                <w:p>
                  <w:pPr>
                    <w:pStyle w:val="Style96"/>
                    <w:widowControl w:val="0"/>
                    <w:keepNext w:val="0"/>
                    <w:keepLines w:val="0"/>
                    <w:shd w:val="clear" w:color="auto" w:fill="auto"/>
                    <w:bidi w:val="0"/>
                    <w:jc w:val="both"/>
                    <w:spacing w:before="0" w:after="0" w:line="192" w:lineRule="exact"/>
                    <w:ind w:left="0" w:right="0" w:firstLine="0"/>
                  </w:pPr>
                  <w:r>
                    <w:rPr>
                      <w:rStyle w:val="CharStyle97"/>
                    </w:rPr>
                    <w:t>Противопоказания: неадекватная альвеолярная вентиляция.</w:t>
                  </w:r>
                </w:p>
                <w:p>
                  <w:pPr>
                    <w:widowControl w:val="0"/>
                    <w:rPr>
                      <w:sz w:val="2"/>
                      <w:szCs w:val="2"/>
                    </w:rPr>
                  </w:pPr>
                </w:p>
              </w:txbxContent>
            </v:textbox>
            <w10:wrap anchorx="margin"/>
          </v:shape>
        </w:pict>
      </w:r>
      <w:r>
        <w:pict>
          <v:shape id="_x0000_s2080" type="#_x0000_t202" style="position:absolute;margin-left:1.45pt;margin-top:203.05pt;width:180.95pt;height:10.4pt;z-index:251657857;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jc w:val="left"/>
                    <w:spacing w:before="0" w:after="0" w:line="150" w:lineRule="exact"/>
                    <w:ind w:left="0" w:right="0" w:firstLine="0"/>
                  </w:pPr>
                  <w:r>
                    <w:rPr>
                      <w:rStyle w:val="CharStyle191"/>
                      <w:lang w:val="ru-RU" w:eastAsia="ru-RU" w:bidi="ru-RU"/>
                      <w:b/>
                      <w:bCs/>
                      <w:i/>
                      <w:iCs/>
                    </w:rPr>
                    <w:t xml:space="preserve">Инфукол ГЭК 6% и 10% </w:t>
                  </w:r>
                  <w:r>
                    <w:rPr>
                      <w:rStyle w:val="CharStyle191"/>
                      <w:b/>
                      <w:bCs/>
                      <w:i/>
                      <w:iCs/>
                    </w:rPr>
                    <w:t xml:space="preserve">(Infukoll HES </w:t>
                  </w:r>
                  <w:r>
                    <w:rPr>
                      <w:rStyle w:val="CharStyle191"/>
                      <w:lang w:val="ru-RU" w:eastAsia="ru-RU" w:bidi="ru-RU"/>
                      <w:b/>
                      <w:bCs/>
                      <w:i/>
                      <w:iCs/>
                    </w:rPr>
                    <w:t xml:space="preserve">6% </w:t>
                  </w:r>
                  <w:r>
                    <w:rPr>
                      <w:rStyle w:val="CharStyle191"/>
                      <w:b/>
                      <w:bCs/>
                      <w:i/>
                      <w:iCs/>
                    </w:rPr>
                    <w:t xml:space="preserve">and </w:t>
                  </w:r>
                  <w:r>
                    <w:rPr>
                      <w:rStyle w:val="CharStyle191"/>
                      <w:lang w:val="ru-RU" w:eastAsia="ru-RU" w:bidi="ru-RU"/>
                      <w:b/>
                      <w:bCs/>
                      <w:i/>
                      <w:iCs/>
                    </w:rPr>
                    <w:t>10%)</w:t>
                  </w:r>
                </w:p>
              </w:txbxContent>
            </v:textbox>
            <w10:wrap anchorx="margin"/>
          </v:shape>
        </w:pict>
      </w:r>
      <w:r>
        <w:pict>
          <v:shape id="_x0000_s2081" type="#_x0000_t202" style="position:absolute;margin-left:0.95pt;margin-top:216.pt;width:492.pt;height:5.e-002pt;z-index:251657858;mso-wrap-distance-left:5.pt;mso-wrap-distance-right:5.pt;mso-position-horizontal-relative:margin" filled="f" stroked="f">
            <v:textbox style="mso-fit-shape-to-text:t" inset="0,0,0,0">
              <w:txbxContent>
                <w:p>
                  <w:pPr>
                    <w:pStyle w:val="Style96"/>
                    <w:widowControl w:val="0"/>
                    <w:keepNext w:val="0"/>
                    <w:keepLines w:val="0"/>
                    <w:shd w:val="clear" w:color="auto" w:fill="auto"/>
                    <w:bidi w:val="0"/>
                    <w:jc w:val="both"/>
                    <w:spacing w:before="0" w:after="0" w:line="192" w:lineRule="exact"/>
                    <w:ind w:left="0" w:right="0" w:firstLine="0"/>
                  </w:pPr>
                  <w:r>
                    <w:rPr>
                      <w:rStyle w:val="CharStyle97"/>
                    </w:rPr>
                    <w:t>Показания</w:t>
                  </w:r>
                </w:p>
                <w:p>
                  <w:pPr>
                    <w:pStyle w:val="Style96"/>
                    <w:widowControl w:val="0"/>
                    <w:keepNext w:val="0"/>
                    <w:keepLines w:val="0"/>
                    <w:shd w:val="clear" w:color="auto" w:fill="auto"/>
                    <w:bidi w:val="0"/>
                    <w:jc w:val="both"/>
                    <w:spacing w:before="0" w:after="0" w:line="192" w:lineRule="exact"/>
                    <w:ind w:left="0" w:right="0" w:firstLine="0"/>
                  </w:pPr>
                  <w:r>
                    <w:rPr>
                      <w:rStyle w:val="CharStyle97"/>
                    </w:rPr>
                    <w:t>Профилактика и лечение гиповолемии и шока при операциях, острых кровопотерях, травмах, инфекционных заболеваниях и ожогах; нарушения микроциркуляции; терапевтическое разведение крови (гемодилюция).</w:t>
                  </w:r>
                </w:p>
                <w:tbl>
                  <w:tblPr>
                    <w:tblOverlap w:val="never"/>
                    <w:tblLayout w:type="fixed"/>
                    <w:jc w:val="center"/>
                  </w:tblPr>
                  <w:tblGrid>
                    <w:gridCol w:w="3197"/>
                    <w:gridCol w:w="3077"/>
                    <w:gridCol w:w="3566"/>
                  </w:tblGrid>
                  <w:tr>
                    <w:trPr>
                      <w:trHeight w:val="298"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Возраст</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Средняя суточная доза, мл/кг массы тела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Максимальная суточная доза, мл/кг массы тела</w:t>
                        </w:r>
                      </w:p>
                    </w:tc>
                  </w:tr>
                  <w:tr>
                    <w:trPr>
                      <w:trHeight w:val="293" w:hRule="exact"/>
                    </w:trPr>
                    <w:tc>
                      <w:tcPr>
                        <w:shd w:val="clear" w:color="auto" w:fill="FFFFFF"/>
                        <w:gridSpan w:val="3"/>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rStyle w:val="CharStyle103"/>
                          </w:rPr>
                          <w:t>Инфукол ГЭК 6%</w:t>
                        </w:r>
                      </w:p>
                    </w:tc>
                  </w:tr>
                  <w:tr>
                    <w:trPr>
                      <w:trHeight w:val="293"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Взрослые и дети старше 12 лет</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33</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33</w:t>
                        </w:r>
                      </w:p>
                    </w:tc>
                  </w:tr>
                  <w:tr>
                    <w:trPr>
                      <w:trHeight w:val="298"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Дети 3-12 лет</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15-20</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33</w:t>
                        </w:r>
                      </w:p>
                    </w:tc>
                  </w:tr>
                  <w:tr>
                    <w:trPr>
                      <w:trHeight w:val="302"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Новорожденные и дети до 3 лет</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10-15</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33</w:t>
                        </w:r>
                      </w:p>
                    </w:tc>
                  </w:tr>
                </w:tbl>
                <w:p>
                  <w:pPr>
                    <w:widowControl w:val="0"/>
                    <w:rPr>
                      <w:sz w:val="2"/>
                      <w:szCs w:val="2"/>
                    </w:rPr>
                  </w:pPr>
                </w:p>
              </w:txbxContent>
            </v:textbox>
            <w10:wrap anchorx="margin"/>
          </v:shape>
        </w:pict>
      </w:r>
      <w:r>
        <w:pict>
          <v:shape id="_x0000_s2082" type="#_x0000_t202" style="position:absolute;margin-left:0.95pt;margin-top:322.1pt;width:492.pt;height:5.e-002pt;z-index:251657859;mso-wrap-distance-left:5.pt;mso-wrap-distance-right:5.pt;mso-position-horizontal-relative:margin" filled="f" stroked="f">
            <v:textbox style="mso-fit-shape-to-text:t" inset="0,0,0,0">
              <w:txbxContent>
                <w:p>
                  <w:pPr>
                    <w:pStyle w:val="Style139"/>
                    <w:widowControl w:val="0"/>
                    <w:keepNext w:val="0"/>
                    <w:keepLines w:val="0"/>
                    <w:shd w:val="clear" w:color="auto" w:fill="auto"/>
                    <w:bidi w:val="0"/>
                    <w:jc w:val="left"/>
                    <w:spacing w:before="0" w:after="0" w:line="180" w:lineRule="exact"/>
                    <w:ind w:left="0" w:right="0" w:firstLine="0"/>
                  </w:pPr>
                  <w:r>
                    <w:rPr>
                      <w:rStyle w:val="CharStyle143"/>
                      <w:b/>
                      <w:bCs/>
                      <w:i/>
                      <w:iCs/>
                    </w:rPr>
                    <w:t>Инфукол ГЭК 10%</w:t>
                  </w:r>
                </w:p>
                <w:tbl>
                  <w:tblPr>
                    <w:tblOverlap w:val="never"/>
                    <w:tblLayout w:type="fixed"/>
                    <w:jc w:val="center"/>
                  </w:tblPr>
                  <w:tblGrid>
                    <w:gridCol w:w="3197"/>
                    <w:gridCol w:w="3077"/>
                    <w:gridCol w:w="3566"/>
                  </w:tblGrid>
                  <w:tr>
                    <w:trPr>
                      <w:trHeight w:val="298"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Взрослые и дети старше 12 лет</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20</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20</w:t>
                        </w:r>
                      </w:p>
                    </w:tc>
                  </w:tr>
                  <w:tr>
                    <w:trPr>
                      <w:trHeight w:val="293" w:hRule="exact"/>
                    </w:trPr>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Дети 3-12 лет</w:t>
                        </w:r>
                      </w:p>
                    </w:tc>
                    <w:tc>
                      <w:tcPr>
                        <w:shd w:val="clear" w:color="auto" w:fill="FFFFFF"/>
                        <w:tcBorders>
                          <w:lef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10-15</w:t>
                        </w:r>
                      </w:p>
                    </w:tc>
                    <w:tc>
                      <w:tcPr>
                        <w:shd w:val="clear" w:color="auto" w:fill="FFFFFF"/>
                        <w:tcBorders>
                          <w:left w:val="single" w:sz="4"/>
                          <w:right w:val="single" w:sz="4"/>
                          <w:top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20</w:t>
                        </w:r>
                      </w:p>
                    </w:tc>
                  </w:tr>
                  <w:tr>
                    <w:trPr>
                      <w:trHeight w:val="302" w:hRule="exact"/>
                    </w:trPr>
                    <w:tc>
                      <w:tcPr>
                        <w:shd w:val="clear" w:color="auto" w:fill="FFFFFF"/>
                        <w:tcBorders>
                          <w:left w:val="single" w:sz="4"/>
                          <w:top w:val="single" w:sz="4"/>
                          <w:bottom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Новорожденные и дети до 3 лет</w:t>
                        </w:r>
                      </w:p>
                    </w:tc>
                    <w:tc>
                      <w:tcPr>
                        <w:shd w:val="clear" w:color="auto" w:fill="FFFFFF"/>
                        <w:tcBorders>
                          <w:left w:val="single" w:sz="4"/>
                          <w:top w:val="single" w:sz="4"/>
                          <w:bottom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8-10</w:t>
                        </w:r>
                      </w:p>
                    </w:tc>
                    <w:tc>
                      <w:tcPr>
                        <w:shd w:val="clear" w:color="auto" w:fill="FFFFFF"/>
                        <w:tcBorders>
                          <w:left w:val="single" w:sz="4"/>
                          <w:right w:val="single" w:sz="4"/>
                          <w:top w:val="single" w:sz="4"/>
                          <w:bottom w:val="single" w:sz="4"/>
                        </w:tcBorders>
                        <w:vAlign w:val="center"/>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20</w:t>
                        </w:r>
                      </w:p>
                    </w:tc>
                  </w:tr>
                </w:tbl>
                <w:p>
                  <w:pPr>
                    <w:widowControl w:val="0"/>
                    <w:rPr>
                      <w:sz w:val="2"/>
                      <w:szCs w:val="2"/>
                    </w:rPr>
                  </w:pPr>
                </w:p>
              </w:txbxContent>
            </v:textbox>
            <w10:wrap anchorx="margin"/>
          </v:shape>
        </w:pict>
      </w:r>
      <w:r>
        <w:pict>
          <v:shape id="_x0000_s2083" type="#_x0000_t202" style="position:absolute;margin-left:1.45pt;margin-top:387.35pt;width:491.3pt;height:271.65pt;z-index:251657860;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92" w:lineRule="exact"/>
                    <w:ind w:left="0" w:right="0" w:firstLine="0"/>
                  </w:pPr>
                  <w:r>
                    <w:rPr>
                      <w:rStyle w:val="CharStyle90"/>
                    </w:rPr>
                    <w:t>Фармакологическое 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Инфузионные растворы инфукол ГЭК 6% и 10% — это соответственно 6% и 10% изотонические растворы получаемого из картофельного крахмала синтетического коллоида гидроксиэтилкрахмала со средней молекулярной массой 200 000 дальтон и степенью замещения 0,45</w:t>
                    <w:softHyphen/>
                    <w:t>0,55. За счет способности удерживать и связывать воду (в том числе из интерстициального пространства во внутрисосудистое) препарат об</w:t>
                    <w:softHyphen/>
                    <w:t>ладает волемическим действием в пределах 85-100% и 130-140% введенного объема соответственно для 6% и 10% раствора, которое устой</w:t>
                    <w:softHyphen/>
                    <w:t>чиво сохраняется в течение 4-6 часов, физико-химические параметры оригинальной субстанции препарата обеспечивают высокую эффек</w:t>
                    <w:softHyphen/>
                    <w:t>тивность при гиповолемии и шоке, а также при использовании для терапевтической гемодилюции за счет нормализации гемодинамики и микроциркуляции, улучшения доставки и потребления кислорода органами и тканями, восстановления порозных стенок капилляров. Кроме того, препарат улучшает реологические свойства крови за счет снижения показателей гематокрита, а также уменьшает вязкость плазмы, снижает агрегацию тромбоцитов и препятствует агрегации эритроцитов.</w:t>
                  </w:r>
                </w:p>
                <w:p>
                  <w:pPr>
                    <w:pStyle w:val="Style30"/>
                    <w:widowControl w:val="0"/>
                    <w:keepNext w:val="0"/>
                    <w:keepLines w:val="0"/>
                    <w:shd w:val="clear" w:color="auto" w:fill="auto"/>
                    <w:bidi w:val="0"/>
                    <w:jc w:val="left"/>
                    <w:spacing w:before="0" w:after="0" w:line="192" w:lineRule="exact"/>
                    <w:ind w:left="0" w:right="0" w:firstLine="0"/>
                  </w:pPr>
                  <w:r>
                    <w:rPr>
                      <w:rStyle w:val="CharStyle90"/>
                    </w:rPr>
                    <w:t>Препарат не проявляет местнораздражающего и иммунотоксического действия. Депонируясь в клетках ретикуло-эндотелиальной сис</w:t>
                    <w:softHyphen/>
                    <w:t>темы, препарат не оказывает токсического действия на печень, легкие, селезенку и лимфоузлы.</w:t>
                  </w:r>
                </w:p>
                <w:p>
                  <w:pPr>
                    <w:pStyle w:val="Style30"/>
                    <w:widowControl w:val="0"/>
                    <w:keepNext w:val="0"/>
                    <w:keepLines w:val="0"/>
                    <w:shd w:val="clear" w:color="auto" w:fill="auto"/>
                    <w:bidi w:val="0"/>
                    <w:jc w:val="left"/>
                    <w:spacing w:before="0" w:after="0" w:line="192" w:lineRule="exact"/>
                    <w:ind w:left="0" w:right="0" w:firstLine="0"/>
                  </w:pPr>
                  <w:r>
                    <w:rPr>
                      <w:rStyle w:val="CharStyle90"/>
                    </w:rPr>
                    <w:t>Сходство структуры препарата со структурой гликогена объясняет высокий уровень переносимости препарата.</w:t>
                  </w:r>
                </w:p>
                <w:p>
                  <w:pPr>
                    <w:pStyle w:val="Style30"/>
                    <w:widowControl w:val="0"/>
                    <w:keepNext w:val="0"/>
                    <w:keepLines w:val="0"/>
                    <w:shd w:val="clear" w:color="auto" w:fill="auto"/>
                    <w:bidi w:val="0"/>
                    <w:jc w:val="left"/>
                    <w:spacing w:before="0" w:after="0" w:line="192" w:lineRule="exact"/>
                    <w:ind w:left="0" w:right="0" w:firstLine="0"/>
                  </w:pPr>
                  <w:r>
                    <w:rPr>
                      <w:rStyle w:val="CharStyle90"/>
                    </w:rPr>
                    <w:t>Под действием амилазы сыворотки препарат инфукол ГЭК расщепляется до низкомолекулярных фрагментов (менее 70 000 дальтон), ко</w:t>
                    <w:softHyphen/>
                    <w:t>торые выводятся почками.</w:t>
                  </w:r>
                </w:p>
                <w:p>
                  <w:pPr>
                    <w:pStyle w:val="Style30"/>
                    <w:widowControl w:val="0"/>
                    <w:keepNext w:val="0"/>
                    <w:keepLines w:val="0"/>
                    <w:shd w:val="clear" w:color="auto" w:fill="auto"/>
                    <w:bidi w:val="0"/>
                    <w:jc w:val="left"/>
                    <w:spacing w:before="0" w:after="0" w:line="192" w:lineRule="exact"/>
                    <w:ind w:left="0" w:right="0" w:firstLine="0"/>
                  </w:pPr>
                  <w:r>
                    <w:rPr>
                      <w:rStyle w:val="CharStyle90"/>
                    </w:rPr>
                    <w:t>При отсутствии других предписаний препарат инфукол ГЭК 6% и 10% вводят в/в капельно в соответствии с потребностью замещения объема циркулирующей жидкости.</w:t>
                  </w:r>
                </w:p>
                <w:p>
                  <w:pPr>
                    <w:pStyle w:val="Style30"/>
                    <w:widowControl w:val="0"/>
                    <w:keepNext w:val="0"/>
                    <w:keepLines w:val="0"/>
                    <w:shd w:val="clear" w:color="auto" w:fill="auto"/>
                    <w:bidi w:val="0"/>
                    <w:jc w:val="left"/>
                    <w:spacing w:before="0" w:after="0" w:line="192" w:lineRule="exact"/>
                    <w:ind w:left="0" w:right="0" w:firstLine="0"/>
                  </w:pPr>
                  <w:r>
                    <w:rPr>
                      <w:rStyle w:val="CharStyle90"/>
                    </w:rPr>
                    <w:t>Новорожденным и детям в возрасте до 3 лет рекомендуется назначать среднюю суточную дозу препарата. В связи с особенностями вод</w:t>
                    <w:softHyphen/>
                    <w:t>но-электролитного статуса у детей рекомендуется тщательное наблюдение за уровнем гидратации и содержанием электролитов. Учитывая возможные анафилактические реакции, первые 10-20 мл препарата инфукол ГЭК 6% и 10% следует вводить медленно, при тщательном наблюдении за состоянием больного (так как следует учитывать риск перегрузки системы кровообращения при слиш</w:t>
                    <w:softHyphen/>
                    <w:t>ком быстром введении или слишком высокой дозе препарата).</w:t>
                  </w:r>
                </w:p>
                <w:p>
                  <w:pPr>
                    <w:pStyle w:val="Style30"/>
                    <w:widowControl w:val="0"/>
                    <w:keepNext w:val="0"/>
                    <w:keepLines w:val="0"/>
                    <w:shd w:val="clear" w:color="auto" w:fill="auto"/>
                    <w:bidi w:val="0"/>
                    <w:spacing w:before="0" w:after="0" w:line="192" w:lineRule="exact"/>
                    <w:ind w:left="0" w:right="0" w:firstLine="0"/>
                  </w:pPr>
                  <w:r>
                    <w:rPr>
                      <w:rStyle w:val="CharStyle90"/>
                    </w:rPr>
                    <w:t>Суточная доза и скорость в/в введения рассчитываются в зависимости от кровопотери и концентрации гемоглобина и показателя гема- токрита. У молодых пациентов без риска поражения сердечно-сосудистой системы и легких пределом применения коллоидного объем замещающего препарата считается гематокрит, равный 30% и менее.</w:t>
                  </w:r>
                </w:p>
                <w:p>
                  <w:pPr>
                    <w:pStyle w:val="Style30"/>
                    <w:widowControl w:val="0"/>
                    <w:keepNext w:val="0"/>
                    <w:keepLines w:val="0"/>
                    <w:shd w:val="clear" w:color="auto" w:fill="auto"/>
                    <w:bidi w:val="0"/>
                    <w:jc w:val="left"/>
                    <w:spacing w:before="0" w:after="0" w:line="192" w:lineRule="exact"/>
                    <w:ind w:left="0" w:right="0" w:firstLine="0"/>
                  </w:pPr>
                  <w:r>
                    <w:rPr>
                      <w:rStyle w:val="CharStyle90"/>
                    </w:rPr>
                    <w:t>Максимальная скорость инфузий зависит от исходных показателей гемодинамики и составляет примерно 20 мл/1 кг массы тела/ч. Максимальная суточная доза составляет до 33 мл и 20 мл препарата (для 6% и 10% раствора соответственно) на 1 кг массы тела/сут. (2 г гидроксиэтилированного крахмала на 1 кг массы тела/сут.).</w:t>
                  </w:r>
                </w:p>
              </w:txbxContent>
            </v:textbox>
            <w10:wrap anchorx="margin"/>
          </v:shape>
        </w:pict>
      </w:r>
      <w:r>
        <w:pict>
          <v:shape id="_x0000_s2084" type="#_x0000_t75" style="position:absolute;margin-left:147.85pt;margin-top:725.5pt;width:209.75pt;height:14.9pt;z-index:-251658589;mso-wrap-distance-left:5.pt;mso-wrap-distance-right:5.pt;mso-position-horizontal-relative:margin" wrapcoords="0 0">
            <v:imagedata r:id="rId1461" r:href="rId1462"/>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95" w:lineRule="exact"/>
      </w:pPr>
    </w:p>
    <w:p>
      <w:pPr>
        <w:widowControl w:val="0"/>
        <w:rPr>
          <w:sz w:val="2"/>
          <w:szCs w:val="2"/>
        </w:rPr>
        <w:sectPr>
          <w:type w:val="continuous"/>
          <w:pgSz w:w="11900" w:h="16840"/>
          <w:pgMar w:top="1423" w:left="898" w:right="1124" w:bottom="147" w:header="0" w:footer="3" w:gutter="0"/>
          <w:rtlGutter w:val="0"/>
          <w:cols w:space="720"/>
          <w:noEndnote/>
          <w:docGrid w:linePitch="360"/>
        </w:sectPr>
      </w:pPr>
    </w:p>
    <w:p>
      <w:pPr>
        <w:widowControl w:val="0"/>
        <w:rPr>
          <w:sz w:val="2"/>
          <w:szCs w:val="2"/>
        </w:rPr>
      </w:pPr>
      <w:r>
        <w:pict>
          <v:shape id="_x0000_s2085" type="#_x0000_t202" style="position:static;width:595.pt;height:6.8pt" filled="f" stroked="f">
            <v:textbox inset="0,0,0,0">
              <w:txbxContent>
                <w:p>
                  <w:pPr>
                    <w:widowControl w:val="0"/>
                  </w:pPr>
                </w:p>
              </w:txbxContent>
            </v:textbox>
            <w10:anchorlock/>
          </v:shape>
        </w:pict>
      </w:r>
      <w:r>
        <w:t xml:space="preserve"> </w:t>
      </w:r>
    </w:p>
    <w:p>
      <w:pPr>
        <w:widowControl w:val="0"/>
        <w:rPr>
          <w:sz w:val="2"/>
          <w:szCs w:val="2"/>
        </w:rPr>
        <w:sectPr>
          <w:pgSz w:w="11900" w:h="16840"/>
          <w:pgMar w:top="1453" w:left="0" w:right="0" w:bottom="177" w:header="0" w:footer="3" w:gutter="0"/>
          <w:rtlGutter w:val="0"/>
          <w:cols w:space="720"/>
          <w:noEndnote/>
          <w:docGrid w:linePitch="360"/>
        </w:sectPr>
      </w:pPr>
    </w:p>
    <w:p>
      <w:pPr>
        <w:widowControl w:val="0"/>
        <w:spacing w:line="360" w:lineRule="exact"/>
      </w:pPr>
      <w:r>
        <w:pict>
          <v:shape id="_x0000_s2086" type="#_x0000_t202" style="position:absolute;margin-left:1.2pt;margin-top:0.1pt;width:491.3pt;height:269.95pt;z-index:251657861;mso-wrap-distance-left:5.pt;mso-wrap-distance-right:5.pt;mso-position-horizontal-relative:margin" filled="f" stroked="f">
            <v:textbox style="mso-fit-shape-to-text:t" inset="0,0,0,0">
              <w:txbxContent>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Побочное действие:</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Аллергические реакции: редко — упорный, но обратимый кожный зуд; крайне редко — анафилактоидные реакции.</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Гйперщпратация, гиперволемия, сердечная недостаточность в стадии декомпенсации, почечная недостаточность с олигурией или ану</w:t>
                    <w:softHyphen/>
                    <w:t>рией, кардиогенный отек легкого, внутричерепные кровотечения, выраженные нарушения свертываемости крови, повышенная чув</w:t>
                    <w:softHyphen/>
                    <w:t>ствительность к крахмалу и другим компонентам препарата.</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Особые указания:</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С осторожностью назначают препарат при геморрагических диатезах, дегидратации (требуется проведение предварительной корректи</w:t>
                    <w:softHyphen/>
                    <w:t>рующей терапии). Следует учитывать, что слишком быстрое в/в введение препарата, так же как и применение в высоких дозах, могут приводить к нарушениям гемодинамики.</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В процессе лечения необходимо контролировать ионограмму сыворотки и баланс жидкости, функцию почек.</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При возникновении реакций непереносимости следует немедленно прекратить введение препарата и провести необходимые неотлож</w:t>
                    <w:softHyphen/>
                    <w:t>ные мероприятия.</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Следует учитывать, что при применении препарата возможно повышение активности амилазы сыворотки, что не связано с клинически</w:t>
                    <w:softHyphen/>
                    <w:t>ми проявлениями панкреатита.</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Введение препарата больным сахарным диабетом не сопровождается повышением уровня глюкозы в крови, поэтому препарат инфукол ГЭК 6% и 10% может быть использован при проведении инфузионной терапии у данной категории пациентов. Установлено, что препа</w:t>
                    <w:softHyphen/>
                    <w:t>рат не оказывает мутагенного действия.</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Передозировка:</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В настоящее время о случаях передозировки препарата инфукол ГЭК 6% и 10% не сообщалось.</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Лекарственное взаимодействие:</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При смешивании с другими лекарственными средствами в одной емкости и в одной системе могут наблюдаться явления несовместимости. Форма выпуска:</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Раствор для инфузий 6% 100 мл, гидроксиэтилированный крахмал 200/0,5-6 г.</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100 мл — флаконы. 250 и 500 мл — флаконы — мешки полимерные.</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Раствор для инфузий 10% 100 мл, гидроксиэтилированный крахмал 200/0,5-10 г.</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100 мл — флаконы. 250 и 500 мл — флаконы — мешки полимерные.</w:t>
                  </w:r>
                </w:p>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line="192" w:lineRule="exact"/>
                    <w:ind w:left="0" w:right="0" w:firstLine="0"/>
                  </w:pPr>
                  <w:r>
                    <w:rPr>
                      <w:rStyle w:val="CharStyle90"/>
                    </w:rPr>
                    <w:t>Прочие ингредиенты: натрия хлорид, вода для инъекций.</w:t>
                  </w:r>
                </w:p>
              </w:txbxContent>
            </v:textbox>
            <w10:wrap anchorx="margin"/>
          </v:shape>
        </w:pict>
      </w:r>
      <w:r>
        <w:pict>
          <v:shape id="_x0000_s2087" type="#_x0000_t202" style="position:absolute;margin-left:1.45pt;margin-top:332.15pt;width:111.1pt;height:10.4pt;z-index:251657862;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jc w:val="left"/>
                    <w:spacing w:before="0" w:after="0" w:line="150" w:lineRule="exact"/>
                    <w:ind w:left="0" w:right="0" w:firstLine="0"/>
                  </w:pPr>
                  <w:r>
                    <w:rPr>
                      <w:rStyle w:val="CharStyle191"/>
                      <w:lang w:val="ru-RU" w:eastAsia="ru-RU" w:bidi="ru-RU"/>
                      <w:b/>
                      <w:bCs/>
                      <w:i/>
                      <w:iCs/>
                    </w:rPr>
                    <w:t xml:space="preserve">Калий-нормин </w:t>
                  </w:r>
                  <w:r>
                    <w:rPr>
                      <w:rStyle w:val="CharStyle191"/>
                      <w:b/>
                      <w:bCs/>
                      <w:i/>
                      <w:iCs/>
                    </w:rPr>
                    <w:t>(Kalium-normin)</w:t>
                  </w:r>
                </w:p>
              </w:txbxContent>
            </v:textbox>
            <w10:wrap anchorx="margin"/>
          </v:shape>
        </w:pict>
      </w:r>
      <w:r>
        <w:pict>
          <v:shape id="_x0000_s2088" type="#_x0000_t202" style="position:absolute;margin-left:0.95pt;margin-top:344.15pt;width:492.7pt;height:5.e-002pt;z-index:251657863;mso-wrap-distance-left:5.pt;mso-wrap-distance-right:5.pt;mso-position-horizontal-relative:margin" filled="f" stroked="f">
            <v:textbox style="mso-fit-shape-to-text:t" inset="0,0,0,0">
              <w:txbxContent>
                <w:p>
                  <w:pPr>
                    <w:pStyle w:val="Style96"/>
                    <w:widowControl w:val="0"/>
                    <w:keepNext w:val="0"/>
                    <w:keepLines w:val="0"/>
                    <w:shd w:val="clear" w:color="auto" w:fill="auto"/>
                    <w:bidi w:val="0"/>
                    <w:jc w:val="both"/>
                    <w:spacing w:before="0" w:after="0" w:line="192" w:lineRule="exact"/>
                    <w:ind w:left="0" w:right="0" w:firstLine="0"/>
                  </w:pPr>
                  <w:r>
                    <w:rPr>
                      <w:rStyle w:val="CharStyle97"/>
                    </w:rPr>
                    <w:t>Показания</w:t>
                  </w:r>
                </w:p>
                <w:p>
                  <w:pPr>
                    <w:pStyle w:val="Style96"/>
                    <w:widowControl w:val="0"/>
                    <w:keepNext w:val="0"/>
                    <w:keepLines w:val="0"/>
                    <w:shd w:val="clear" w:color="auto" w:fill="auto"/>
                    <w:bidi w:val="0"/>
                    <w:jc w:val="both"/>
                    <w:spacing w:before="0" w:after="0" w:line="192" w:lineRule="exact"/>
                    <w:ind w:left="0" w:right="0" w:firstLine="0"/>
                  </w:pPr>
                  <w:r>
                    <w:rPr>
                      <w:rStyle w:val="CharStyle97"/>
                    </w:rPr>
                    <w:t>Гипокалиемия: заболевания сердечно-сосудистой системы, нефропатии, сахарный диабет, длительные поносы, кишечные свищи и др., терапия гипотензивными и некоторыми мочегонными средствами, сердечными гликозидами, глюкокортикостероидами.</w:t>
                  </w:r>
                </w:p>
                <w:tbl>
                  <w:tblPr>
                    <w:tblOverlap w:val="never"/>
                    <w:tblLayout w:type="fixed"/>
                    <w:jc w:val="center"/>
                  </w:tblPr>
                  <w:tblGrid>
                    <w:gridCol w:w="1622"/>
                    <w:gridCol w:w="5227"/>
                    <w:gridCol w:w="3005"/>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120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Дозу устанавливают индивидуально, в зависимости от заболевания и концентрации калия в плазме крови. Назначают по 1-2 г/сут. (из расчета на калия хлорид), при необходимости дозу увеличивают до 6 г/сут. Во время лечения необходим периодический контроль концентрации калия в сыворотке крови. Диета с большим содержанием натрия хлорида увеличивает выделение калия из организма.</w:t>
                        </w:r>
                      </w:p>
                    </w:tc>
                    <w:tc>
                      <w:tcPr>
                        <w:shd w:val="clear" w:color="auto" w:fill="FFFFFF"/>
                        <w:tcBorders>
                          <w:left w:val="single" w:sz="4"/>
                          <w:right w:val="single" w:sz="4"/>
                          <w:top w:val="single" w:sz="4"/>
                        </w:tcBorders>
                        <w:vAlign w:val="top"/>
                      </w:tcPr>
                      <w:p>
                        <w:pPr>
                          <w:widowControl w:val="0"/>
                          <w:rPr>
                            <w:sz w:val="10"/>
                            <w:szCs w:val="10"/>
                          </w:rPr>
                        </w:pPr>
                      </w:p>
                    </w:tc>
                  </w:tr>
                  <w:tr>
                    <w:trPr>
                      <w:trHeight w:val="226"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Фармакологическое действие:</w:t>
                        </w:r>
                      </w:p>
                    </w:tc>
                  </w:tr>
                </w:tbl>
                <w:p>
                  <w:pPr>
                    <w:widowControl w:val="0"/>
                    <w:rPr>
                      <w:sz w:val="2"/>
                      <w:szCs w:val="2"/>
                    </w:rPr>
                  </w:pPr>
                </w:p>
              </w:txbxContent>
            </v:textbox>
            <w10:wrap anchorx="margin"/>
          </v:shape>
        </w:pict>
      </w:r>
      <w:r>
        <w:pict>
          <v:shape id="_x0000_s2089" type="#_x0000_t202" style="position:absolute;margin-left:1.2pt;margin-top:455.5pt;width:492.pt;height:185.25pt;z-index:251657864;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Нормализует водно-электролитное равновесие и восполняет дефицит калия. Активирует многие цитоплазматические ферменты, регу</w:t>
                    <w:softHyphen/>
                    <w:t>лирует внутриклеточное осмотическое давление, синтез белка, транспорт аминокислот, проведение нервных импульсов, сокращение скелетных мышц. Ионы калия вызывают урежение ЧСС, снижают сократительную активность, уменьшают проводимость, автоматизм и возбудимость миокарда. В малых дозах они расширяют коронарные сосуды, в больших — суживают. Калий способствует повышению содержания АЦХ и возбуждению симпатического отдела ЦНС. Оказывает умеренное диуретическое действие. Увеличение уровня калия снижает риск развития токсического действия сердечных гликозидов на сердце. Калия хлорид после приема внутрь легко и практически в любом количестве пассивно абсорбируется, т.к. его концентрация (как пищевого, так и освобожденного из лекарственных форм) вы</w:t>
                    <w:softHyphen/>
                    <w:t>ше в просвете тонкой кишки, чем в крови. В подвздошной и толстой кишках калий выделяется в просвет кишок по принципу сопряжен</w:t>
                    <w:softHyphen/>
                    <w:t xml:space="preserve">ного обмена с ионами </w:t>
                  </w:r>
                  <w:r>
                    <w:rPr>
                      <w:rStyle w:val="CharStyle90"/>
                      <w:lang w:val="en-US" w:eastAsia="en-US" w:bidi="en-US"/>
                    </w:rPr>
                    <w:t xml:space="preserve">Na </w:t>
                  </w:r>
                  <w:r>
                    <w:rPr>
                      <w:rStyle w:val="CharStyle90"/>
                    </w:rPr>
                    <w:t>и выводится с фекалиями (10%).</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Острая и хр. почечная недостаточность, полная блокада сердца, лечение калийсберегающими диуретиками, гиперкалиемия, метаболи</w:t>
                    <w:softHyphen/>
                    <w:t>ческие нарушения (ацидоз, гиповолемия с гипонатриемией), заболевания ЖКТ, беременность и кормление грудью. Осторожно назнача</w:t>
                    <w:softHyphen/>
                    <w:t xml:space="preserve">ют пациентам с нарушением </w:t>
                  </w:r>
                  <w:r>
                    <w:rPr>
                      <w:rStyle w:val="CharStyle90"/>
                      <w:lang w:val="en-US" w:eastAsia="en-US" w:bidi="en-US"/>
                    </w:rPr>
                    <w:t xml:space="preserve">AV </w:t>
                  </w:r>
                  <w:r>
                    <w:rPr>
                      <w:rStyle w:val="CharStyle90"/>
                    </w:rPr>
                    <w:t>проводимости.</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jc w:val="left"/>
                    <w:spacing w:before="0" w:after="0" w:line="192" w:lineRule="exact"/>
                    <w:ind w:left="0" w:right="0" w:firstLine="0"/>
                  </w:pPr>
                  <w:r>
                    <w:rPr>
                      <w:rStyle w:val="CharStyle90"/>
                    </w:rPr>
                    <w:t>Диспептические расстройства, метеоризм, боли в животе, диарея, изъязвления, кровотечения, перфорации и непроходимость кишечни</w:t>
                    <w:softHyphen/>
                    <w:t>ка, парестезии, снижение АД. При передозировке (при концентрации калия в сыворотке более 8 ммоль/л) развиваются мышечный ги</w:t>
                    <w:softHyphen/>
                    <w:t>потонус, парестезии конечностей, нарушение сердечной деятельности (изменение проводимости, аритмии, остановка сердца). Взаимодействие: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Калийсберегающие диуретики, НПВС, ингибиторы АПФ повышают вероятность развития гиперкалиемии.</w:t>
                  </w:r>
                </w:p>
              </w:txbxContent>
            </v:textbox>
            <w10:wrap anchorx="margin"/>
          </v:shape>
        </w:pict>
      </w:r>
      <w:r>
        <w:pict>
          <v:shape id="_x0000_s2090" type="#_x0000_t75" style="position:absolute;margin-left:136.55pt;margin-top:734.9pt;width:209.75pt;height:14.9pt;z-index:-251658588;mso-wrap-distance-left:5.pt;mso-wrap-distance-right:5.pt;mso-position-horizontal-relative:margin" wrapcoords="0 0">
            <v:imagedata r:id="rId1463" r:href="rId1464"/>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82" w:lineRule="exact"/>
      </w:pPr>
    </w:p>
    <w:p>
      <w:pPr>
        <w:widowControl w:val="0"/>
        <w:rPr>
          <w:sz w:val="2"/>
          <w:szCs w:val="2"/>
        </w:rPr>
        <w:sectPr>
          <w:type w:val="continuous"/>
          <w:pgSz w:w="11900" w:h="16840"/>
          <w:pgMar w:top="1453" w:left="1124" w:right="898" w:bottom="177" w:header="0" w:footer="3" w:gutter="0"/>
          <w:rtlGutter w:val="0"/>
          <w:cols w:space="720"/>
          <w:noEndnote/>
          <w:docGrid w:linePitch="360"/>
        </w:sectPr>
      </w:pPr>
    </w:p>
    <w:p>
      <w:pPr>
        <w:widowControl w:val="0"/>
        <w:rPr>
          <w:sz w:val="2"/>
          <w:szCs w:val="2"/>
        </w:rPr>
      </w:pPr>
      <w:r>
        <w:pict>
          <v:shape id="_x0000_s2091" type="#_x0000_t202" style="position:static;width:595.pt;height:7.05pt" filled="f" stroked="f">
            <v:textbox inset="0,0,0,0">
              <w:txbxContent>
                <w:p>
                  <w:pPr>
                    <w:widowControl w:val="0"/>
                  </w:pPr>
                </w:p>
              </w:txbxContent>
            </v:textbox>
            <w10:anchorlock/>
          </v:shape>
        </w:pict>
      </w:r>
      <w:r>
        <w:t xml:space="preserve"> </w:t>
      </w:r>
    </w:p>
    <w:p>
      <w:pPr>
        <w:widowControl w:val="0"/>
        <w:rPr>
          <w:sz w:val="2"/>
          <w:szCs w:val="2"/>
        </w:rPr>
        <w:sectPr>
          <w:pgSz w:w="11900" w:h="16840"/>
          <w:pgMar w:top="1438" w:left="0" w:right="0" w:bottom="162" w:header="0" w:footer="3" w:gutter="0"/>
          <w:rtlGutter w:val="0"/>
          <w:cols w:space="720"/>
          <w:noEndnote/>
          <w:docGrid w:linePitch="360"/>
        </w:sectPr>
      </w:pPr>
    </w:p>
    <w:p>
      <w:pPr>
        <w:widowControl w:val="0"/>
        <w:spacing w:line="360" w:lineRule="exact"/>
      </w:pPr>
      <w:r>
        <w:pict>
          <v:shape id="_x0000_s2092" type="#_x0000_t202" style="position:absolute;margin-left:0.95pt;margin-top:0.1pt;width:491.5pt;height:60.9pt;z-index:251657865;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line="150" w:lineRule="exact"/>
                    <w:ind w:left="0" w:right="0" w:firstLine="0"/>
                  </w:pPr>
                  <w:r>
                    <w:rPr>
                      <w:rStyle w:val="CharStyle191"/>
                      <w:lang w:val="ru-RU" w:eastAsia="ru-RU" w:bidi="ru-RU"/>
                      <w:b/>
                      <w:bCs/>
                      <w:i/>
                      <w:iCs/>
                    </w:rPr>
                    <w:t xml:space="preserve">Аспаркам </w:t>
                  </w:r>
                  <w:r>
                    <w:rPr>
                      <w:rStyle w:val="CharStyle191"/>
                      <w:b/>
                      <w:bCs/>
                      <w:i/>
                      <w:iCs/>
                    </w:rPr>
                    <w:t>(Asparcam)</w:t>
                  </w:r>
                </w:p>
                <w:p>
                  <w:pPr>
                    <w:pStyle w:val="Style45"/>
                    <w:widowControl w:val="0"/>
                    <w:keepNext w:val="0"/>
                    <w:keepLines w:val="0"/>
                    <w:shd w:val="clear" w:color="auto" w:fill="auto"/>
                    <w:bidi w:val="0"/>
                    <w:spacing w:before="0" w:after="0"/>
                    <w:ind w:left="0" w:right="0" w:firstLine="0"/>
                  </w:pPr>
                  <w:r>
                    <w:rPr>
                      <w:rStyle w:val="CharStyle190"/>
                    </w:rPr>
                    <w:t>Показания к применению</w:t>
                  </w:r>
                </w:p>
                <w:p>
                  <w:pPr>
                    <w:pStyle w:val="Style45"/>
                    <w:widowControl w:val="0"/>
                    <w:keepNext w:val="0"/>
                    <w:keepLines w:val="0"/>
                    <w:shd w:val="clear" w:color="auto" w:fill="auto"/>
                    <w:bidi w:val="0"/>
                    <w:spacing w:before="0" w:after="0"/>
                    <w:ind w:left="0" w:right="0" w:firstLine="0"/>
                  </w:pPr>
                  <w:r>
                    <w:rPr>
                      <w:rStyle w:val="CharStyle190"/>
                    </w:rPr>
                    <w:t>Аритмии, обусловленные гипокалиемией, при интоксикации сердечными гликозидами, желудочковая экстрасистолия; недостаточность кровообращения. Стенокардия, кардиосклероз, миокардиодистрофия, инфаркт миокарда, аритмии (в т.ч. при абсолютной или относительной гипокалиемии, гипокалийгистидии миокарда, интоксикации сердечными гликозидами). Для восполнения потерь калия при терапии салуретиками, слабительными средствами, кортикостероидами, при рвоте, диарее.</w:t>
                  </w:r>
                </w:p>
              </w:txbxContent>
            </v:textbox>
            <w10:wrap anchorx="margin"/>
          </v:shape>
        </w:pict>
      </w:r>
      <w:r>
        <w:pict>
          <v:shape id="_x0000_s2093" type="#_x0000_t202" style="position:absolute;margin-left:0.95pt;margin-top:61.2pt;width:492.pt;height:5.e-002pt;z-index:251657866;mso-wrap-distance-left:5.pt;mso-wrap-distance-right:5.pt;mso-position-horizontal-relative:margin" filled="f" stroked="f">
            <v:textbox style="mso-fit-shape-to-text:t" inset="0,0,0,0">
              <w:txbxContent>
                <w:tbl>
                  <w:tblPr>
                    <w:tblOverlap w:val="never"/>
                    <w:tblLayout w:type="fixed"/>
                    <w:jc w:val="center"/>
                  </w:tblPr>
                  <w:tblGrid>
                    <w:gridCol w:w="1954"/>
                    <w:gridCol w:w="3922"/>
                    <w:gridCol w:w="3965"/>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54"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По !/</w:t>
                        </w:r>
                        <w:r>
                          <w:rPr>
                            <w:rStyle w:val="CharStyle102"/>
                            <w:vertAlign w:val="subscript"/>
                          </w:rPr>
                          <w:t>2</w:t>
                        </w:r>
                        <w:r>
                          <w:rPr>
                            <w:rStyle w:val="CharStyle102"/>
                          </w:rPr>
                          <w:t>-1-2 табл. в зависимости от возраста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3-4 раза в сутки</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В/в</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2-5-10 мл</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1 раз в день</w:t>
                        </w:r>
                      </w:p>
                    </w:tc>
                  </w:tr>
                </w:tbl>
                <w:p>
                  <w:pPr>
                    <w:pStyle w:val="Style182"/>
                    <w:widowControl w:val="0"/>
                    <w:keepNext w:val="0"/>
                    <w:keepLines w:val="0"/>
                    <w:shd w:val="clear" w:color="auto" w:fill="auto"/>
                    <w:bidi w:val="0"/>
                    <w:jc w:val="left"/>
                    <w:spacing w:before="0" w:after="0" w:line="160" w:lineRule="exact"/>
                    <w:ind w:left="0" w:right="0" w:firstLine="0"/>
                  </w:pPr>
                  <w:r>
                    <w:rPr>
                      <w:rStyle w:val="CharStyle183"/>
                    </w:rPr>
                    <w:t>Фармакологическое действие:</w:t>
                  </w:r>
                </w:p>
                <w:p>
                  <w:pPr>
                    <w:widowControl w:val="0"/>
                    <w:rPr>
                      <w:sz w:val="2"/>
                      <w:szCs w:val="2"/>
                    </w:rPr>
                  </w:pPr>
                </w:p>
              </w:txbxContent>
            </v:textbox>
            <w10:wrap anchorx="margin"/>
          </v:shape>
        </w:pict>
      </w:r>
      <w:r>
        <w:pict>
          <v:shape id="_x0000_s2094" type="#_x0000_t202" style="position:absolute;margin-left:1.2pt;margin-top:106.3pt;width:491.75pt;height:137.25pt;z-index:251657867;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Антиаритмическое, диуретическое, восстановление электролитного баланса. Содержит смесь калия и магния аспарагината в соотноше</w:t>
                    <w:softHyphen/>
                    <w:t>нии 1:1. Повышает содержание ионов калия и магния в клетке, восполняет дефицит аспарагиновой кислоты, стимулирует окислитель</w:t>
                    <w:softHyphen/>
                    <w:t>ное фосфорилирование и образование АТФ, улучшает тонус скелетных мышц и моторику ЖКТ (облегчает освобождение ацетилхолина). Противопоказания:</w:t>
                  </w:r>
                </w:p>
                <w:p>
                  <w:pPr>
                    <w:pStyle w:val="Style45"/>
                    <w:widowControl w:val="0"/>
                    <w:keepNext w:val="0"/>
                    <w:keepLines w:val="0"/>
                    <w:shd w:val="clear" w:color="auto" w:fill="auto"/>
                    <w:bidi w:val="0"/>
                    <w:spacing w:before="0" w:after="0"/>
                    <w:ind w:left="0" w:right="0" w:firstLine="0"/>
                  </w:pPr>
                  <w:r>
                    <w:rPr>
                      <w:rStyle w:val="CharStyle190"/>
                    </w:rPr>
                    <w:t xml:space="preserve">Острая и хроническая почечная недостаточность, гиперкалиемия, гемолиз, острый метаболический ацидоз, миастения, нарушение </w:t>
                  </w:r>
                  <w:r>
                    <w:rPr>
                      <w:rStyle w:val="CharStyle190"/>
                      <w:lang w:val="en-US" w:eastAsia="en-US" w:bidi="en-US"/>
                    </w:rPr>
                    <w:t xml:space="preserve">AV </w:t>
                  </w:r>
                  <w:r>
                    <w:rPr>
                      <w:rStyle w:val="CharStyle190"/>
                    </w:rPr>
                    <w:t xml:space="preserve">проводимости </w:t>
                  </w:r>
                  <w:r>
                    <w:rPr>
                      <w:rStyle w:val="CharStyle190"/>
                      <w:lang w:val="en-US" w:eastAsia="en-US" w:bidi="en-US"/>
                    </w:rPr>
                    <w:t>(AV</w:t>
                  </w:r>
                  <w:r>
                    <w:rPr>
                      <w:rStyle w:val="CharStyle190"/>
                    </w:rPr>
                    <w:t xml:space="preserve">-блокады </w:t>
                  </w:r>
                  <w:r>
                    <w:rPr>
                      <w:rStyle w:val="CharStyle190"/>
                      <w:lang w:val="en-US" w:eastAsia="en-US" w:bidi="en-US"/>
                    </w:rPr>
                    <w:t xml:space="preserve">II-III </w:t>
                  </w:r>
                  <w:r>
                    <w:rPr>
                      <w:rStyle w:val="CharStyle190"/>
                    </w:rPr>
                    <w:t>степени).</w:t>
                  </w:r>
                </w:p>
                <w:p>
                  <w:pPr>
                    <w:pStyle w:val="Style45"/>
                    <w:widowControl w:val="0"/>
                    <w:keepNext w:val="0"/>
                    <w:keepLines w:val="0"/>
                    <w:shd w:val="clear" w:color="auto" w:fill="auto"/>
                    <w:bidi w:val="0"/>
                    <w:spacing w:before="0" w:after="0"/>
                    <w:ind w:left="0" w:right="0" w:firstLine="0"/>
                  </w:pPr>
                  <w:r>
                    <w:rPr>
                      <w:rStyle w:val="CharStyle190"/>
                    </w:rPr>
                    <w:t>Побочные эффекты:</w:t>
                  </w:r>
                </w:p>
                <w:p>
                  <w:pPr>
                    <w:pStyle w:val="Style45"/>
                    <w:widowControl w:val="0"/>
                    <w:keepNext w:val="0"/>
                    <w:keepLines w:val="0"/>
                    <w:shd w:val="clear" w:color="auto" w:fill="auto"/>
                    <w:bidi w:val="0"/>
                    <w:jc w:val="left"/>
                    <w:spacing w:before="0" w:after="0"/>
                    <w:ind w:left="0" w:right="0" w:firstLine="0"/>
                  </w:pPr>
                  <w:r>
                    <w:rPr>
                      <w:rStyle w:val="CharStyle190"/>
                    </w:rPr>
                    <w:t>Неприятные ощущения или жжение в подложечной области (у больных анацидным гастритом или холециститом), гиперкалиемия (тош</w:t>
                    <w:softHyphen/>
                    <w:t>нота, рвота, диарея, парестезии); гипермагниемия (покраснение лица, жажда, снижение АД, гипорефлексия, нервно-мышечная блока</w:t>
                    <w:softHyphen/>
                    <w:t>да, угнетение дыхания, судороги). Необходим постоянный контроль содержания калия в плазме крови (например, по данным ЭКГ). Взаимодействие:</w:t>
                  </w:r>
                </w:p>
                <w:p>
                  <w:pPr>
                    <w:pStyle w:val="Style45"/>
                    <w:widowControl w:val="0"/>
                    <w:keepNext w:val="0"/>
                    <w:keepLines w:val="0"/>
                    <w:shd w:val="clear" w:color="auto" w:fill="auto"/>
                    <w:bidi w:val="0"/>
                    <w:spacing w:before="0" w:after="0"/>
                    <w:ind w:left="0" w:right="0" w:firstLine="0"/>
                  </w:pPr>
                  <w:r>
                    <w:rPr>
                      <w:rStyle w:val="CharStyle190"/>
                    </w:rPr>
                    <w:t>Улучшает переносимость сердечных гликозидов; предупреждает и устраняет гипокалиемию, связанную с приемом различных препара</w:t>
                    <w:softHyphen/>
                    <w:t>тов (салуретиков, кортикостероидов, сердечных гликозидов), усиливает эффект лекарственных средств, стимулирующих трофические процессы в миокарде.</w:t>
                  </w:r>
                </w:p>
              </w:txbxContent>
            </v:textbox>
            <w10:wrap anchorx="margin"/>
          </v:shape>
        </w:pict>
      </w:r>
      <w:r>
        <w:pict>
          <v:shape id="_x0000_s2095" type="#_x0000_t202" style="position:absolute;margin-left:11.75pt;margin-top:269.25pt;width:180.25pt;height:11.9pt;z-index:251657868;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АНТИКОАГУЛЯНТЫ, ТРОМБОЛИТИКИ</w:t>
                  </w:r>
                </w:p>
              </w:txbxContent>
            </v:textbox>
            <w10:wrap anchorx="margin"/>
          </v:shape>
        </w:pict>
      </w:r>
      <w:r>
        <w:pict>
          <v:shape id="_x0000_s2096" type="#_x0000_t202" style="position:absolute;margin-left:0.25pt;margin-top:294.5pt;width:493.45pt;height:5.e-002pt;z-index:251657869;mso-wrap-distance-left:5.pt;mso-wrap-distance-right:5.pt;mso-position-horizontal-relative:margin" filled="f" stroked="f">
            <v:textbox style="mso-fit-shape-to-text:t" inset="0,0,0,0">
              <w:txbxContent>
                <w:tbl>
                  <w:tblPr>
                    <w:tblOverlap w:val="never"/>
                    <w:tblLayout w:type="fixed"/>
                    <w:jc w:val="center"/>
                  </w:tblPr>
                  <w:tblGrid>
                    <w:gridCol w:w="1954"/>
                    <w:gridCol w:w="4090"/>
                    <w:gridCol w:w="3826"/>
                  </w:tblGrid>
                  <w:tr>
                    <w:trPr>
                      <w:trHeight w:val="259" w:hRule="exact"/>
                    </w:trPr>
                    <w:tc>
                      <w:tcPr>
                        <w:shd w:val="clear" w:color="auto" w:fill="FFFFFF"/>
                        <w:gridSpan w:val="3"/>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50" w:lineRule="exact"/>
                          <w:ind w:left="0" w:right="0" w:firstLine="0"/>
                        </w:pPr>
                        <w:r>
                          <w:rPr>
                            <w:rStyle w:val="CharStyle192"/>
                            <w:lang w:val="ru-RU" w:eastAsia="ru-RU" w:bidi="ru-RU"/>
                          </w:rPr>
                          <w:t>Варфарин</w:t>
                        </w:r>
                      </w:p>
                    </w:tc>
                  </w:tr>
                  <w:tr>
                    <w:trPr>
                      <w:trHeight w:val="202"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Показания</w:t>
                        </w:r>
                      </w:p>
                    </w:tc>
                    <w:tc>
                      <w:tcPr>
                        <w:shd w:val="clear" w:color="auto" w:fill="FFFFFF"/>
                        <w:tcBorders>
                          <w:top w:val="single" w:sz="4"/>
                        </w:tcBorders>
                        <w:vAlign w:val="top"/>
                      </w:tcPr>
                      <w:p>
                        <w:pPr>
                          <w:widowControl w:val="0"/>
                          <w:rPr>
                            <w:sz w:val="10"/>
                            <w:szCs w:val="10"/>
                          </w:rPr>
                        </w:pPr>
                      </w:p>
                    </w:tc>
                    <w:tc>
                      <w:tcPr>
                        <w:shd w:val="clear" w:color="auto" w:fill="FFFFFF"/>
                        <w:tcBorders>
                          <w:right w:val="single" w:sz="4"/>
                          <w:top w:val="single" w:sz="4"/>
                        </w:tcBorders>
                        <w:vAlign w:val="top"/>
                      </w:tcPr>
                      <w:p>
                        <w:pPr>
                          <w:widowControl w:val="0"/>
                          <w:rPr>
                            <w:sz w:val="10"/>
                            <w:szCs w:val="10"/>
                          </w:rPr>
                        </w:pPr>
                      </w:p>
                    </w:tc>
                  </w:tr>
                  <w:tr>
                    <w:trPr>
                      <w:trHeight w:val="226" w:hRule="exact"/>
                    </w:trPr>
                    <w:tc>
                      <w:tcPr>
                        <w:shd w:val="clear" w:color="auto" w:fill="FFFFFF"/>
                        <w:gridSpan w:val="3"/>
                        <w:tcBorders>
                          <w:left w:val="single" w:sz="4"/>
                          <w:right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Непрямой антикоагулянт. Используется при протезированиях клапанов сердца, для предупреждения томозов и эмболий.</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629"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92" w:lineRule="exact"/>
                          <w:ind w:left="0" w:right="0" w:firstLine="0"/>
                        </w:pPr>
                        <w:r>
                          <w:rPr>
                            <w:rStyle w:val="CharStyle102"/>
                          </w:rPr>
                          <w:t>Насыщения: 0,2 мг/кг, максимально 15 мг;</w:t>
                        </w:r>
                      </w:p>
                      <w:p>
                        <w:pPr>
                          <w:pStyle w:val="Style30"/>
                          <w:widowControl w:val="0"/>
                          <w:keepNext w:val="0"/>
                          <w:keepLines w:val="0"/>
                          <w:shd w:val="clear" w:color="auto" w:fill="auto"/>
                          <w:bidi w:val="0"/>
                          <w:jc w:val="left"/>
                          <w:spacing w:before="0" w:after="0" w:line="192" w:lineRule="exact"/>
                          <w:ind w:left="0" w:right="0" w:firstLine="0"/>
                        </w:pPr>
                        <w:r>
                          <w:rPr>
                            <w:rStyle w:val="CharStyle102"/>
                          </w:rPr>
                          <w:t>Поддерживающая</w:t>
                        </w:r>
                      </w:p>
                      <w:p>
                        <w:pPr>
                          <w:pStyle w:val="Style30"/>
                          <w:widowControl w:val="0"/>
                          <w:keepNext w:val="0"/>
                          <w:keepLines w:val="0"/>
                          <w:shd w:val="clear" w:color="auto" w:fill="auto"/>
                          <w:bidi w:val="0"/>
                          <w:jc w:val="left"/>
                          <w:spacing w:before="0" w:after="0" w:line="192" w:lineRule="exact"/>
                          <w:ind w:left="0" w:right="0" w:firstLine="0"/>
                        </w:pPr>
                        <w:r>
                          <w:rPr>
                            <w:rStyle w:val="CharStyle102"/>
                          </w:rPr>
                          <w:t>0,05-0,35 мг/кг, максимально 10 мг.</w:t>
                        </w:r>
                      </w:p>
                    </w:tc>
                    <w:tc>
                      <w:tcPr>
                        <w:shd w:val="clear" w:color="auto" w:fill="FFFFFF"/>
                        <w:tcBorders>
                          <w:left w:val="single" w:sz="4"/>
                          <w:right w:val="single" w:sz="4"/>
                          <w:top w:val="single" w:sz="4"/>
                        </w:tcBorders>
                        <w:vAlign w:val="top"/>
                      </w:tcPr>
                      <w:p>
                        <w:pPr>
                          <w:widowControl w:val="0"/>
                          <w:rPr>
                            <w:sz w:val="10"/>
                            <w:szCs w:val="10"/>
                          </w:rPr>
                        </w:pPr>
                      </w:p>
                    </w:tc>
                  </w:tr>
                  <w:tr>
                    <w:trPr>
                      <w:trHeight w:val="1210" w:hRule="exact"/>
                    </w:trPr>
                    <w:tc>
                      <w:tcPr>
                        <w:shd w:val="clear" w:color="auto" w:fill="FFFFFF"/>
                        <w:gridSpan w:val="3"/>
                        <w:tcBorders>
                          <w:left w:val="single" w:sz="4"/>
                          <w:right w:val="single" w:sz="4"/>
                          <w:top w:val="single" w:sz="4"/>
                          <w:bottom w:val="single" w:sz="4"/>
                        </w:tcBorders>
                        <w:vAlign w:val="top"/>
                      </w:tcPr>
                      <w:p>
                        <w:pPr>
                          <w:pStyle w:val="Style30"/>
                          <w:widowControl w:val="0"/>
                          <w:keepNext w:val="0"/>
                          <w:keepLines w:val="0"/>
                          <w:shd w:val="clear" w:color="auto" w:fill="auto"/>
                          <w:bidi w:val="0"/>
                          <w:spacing w:before="0" w:after="0" w:line="192" w:lineRule="exact"/>
                          <w:ind w:left="0" w:right="0" w:firstLine="0"/>
                        </w:pPr>
                        <w:r>
                          <w:rPr>
                            <w:rStyle w:val="CharStyle102"/>
                          </w:rPr>
                          <w:t>Механизм действия: ингибитор синтеза в печени витамин К зависимых факторов свертывания (II, VII, IX, X).</w:t>
                        </w:r>
                      </w:p>
                      <w:p>
                        <w:pPr>
                          <w:pStyle w:val="Style30"/>
                          <w:widowControl w:val="0"/>
                          <w:keepNext w:val="0"/>
                          <w:keepLines w:val="0"/>
                          <w:shd w:val="clear" w:color="auto" w:fill="auto"/>
                          <w:bidi w:val="0"/>
                          <w:spacing w:before="0" w:after="0" w:line="192" w:lineRule="exact"/>
                          <w:ind w:left="0" w:right="0" w:firstLine="0"/>
                        </w:pPr>
                        <w:r>
                          <w:rPr>
                            <w:rStyle w:val="CharStyle102"/>
                          </w:rPr>
                          <w:t>Побочные эффекты: лихорадка, поражения кожи с некрозом, анорексия, геморрагии, гемоптизис.</w:t>
                        </w:r>
                      </w:p>
                      <w:p>
                        <w:pPr>
                          <w:pStyle w:val="Style30"/>
                          <w:widowControl w:val="0"/>
                          <w:keepNext w:val="0"/>
                          <w:keepLines w:val="0"/>
                          <w:shd w:val="clear" w:color="auto" w:fill="auto"/>
                          <w:bidi w:val="0"/>
                          <w:spacing w:before="0" w:after="0" w:line="192" w:lineRule="exact"/>
                          <w:ind w:left="0" w:right="0" w:firstLine="0"/>
                        </w:pPr>
                        <w:r>
                          <w:rPr>
                            <w:rStyle w:val="CharStyle102"/>
                          </w:rPr>
                          <w:t>Осторожность: при нарушении функции печени необходимо корригировать дозу.</w:t>
                        </w:r>
                      </w:p>
                      <w:p>
                        <w:pPr>
                          <w:pStyle w:val="Style30"/>
                          <w:widowControl w:val="0"/>
                          <w:keepNext w:val="0"/>
                          <w:keepLines w:val="0"/>
                          <w:shd w:val="clear" w:color="auto" w:fill="auto"/>
                          <w:bidi w:val="0"/>
                          <w:spacing w:before="0" w:after="0" w:line="192" w:lineRule="exact"/>
                          <w:ind w:left="0" w:right="0" w:firstLine="0"/>
                        </w:pPr>
                        <w:r>
                          <w:rPr>
                            <w:rStyle w:val="CharStyle102"/>
                          </w:rPr>
                          <w:t>Взаимодействие с лекарствами: эффект усиливают этакриновая кислота, индометацин, мефенаминовая кислота, фенилбутазон, аспирин. Антидот: витамин К.</w:t>
                        </w:r>
                      </w:p>
                      <w:p>
                        <w:pPr>
                          <w:pStyle w:val="Style30"/>
                          <w:widowControl w:val="0"/>
                          <w:keepNext w:val="0"/>
                          <w:keepLines w:val="0"/>
                          <w:shd w:val="clear" w:color="auto" w:fill="auto"/>
                          <w:bidi w:val="0"/>
                          <w:spacing w:before="0" w:after="0" w:line="192" w:lineRule="exact"/>
                          <w:ind w:left="0" w:right="0" w:firstLine="0"/>
                        </w:pPr>
                        <w:r>
                          <w:rPr>
                            <w:rStyle w:val="CharStyle102"/>
                          </w:rPr>
                          <w:t>Противопоказания: кровотечения, почечная или печеночная недостаточность, злокачественная гипертензия.</w:t>
                        </w:r>
                      </w:p>
                    </w:tc>
                  </w:tr>
                </w:tbl>
                <w:p>
                  <w:pPr>
                    <w:pStyle w:val="Style188"/>
                    <w:widowControl w:val="0"/>
                    <w:keepNext w:val="0"/>
                    <w:keepLines w:val="0"/>
                    <w:shd w:val="clear" w:color="auto" w:fill="auto"/>
                    <w:bidi w:val="0"/>
                    <w:jc w:val="both"/>
                    <w:spacing w:before="0" w:after="0" w:line="192" w:lineRule="exact"/>
                    <w:ind w:left="0" w:right="0" w:firstLine="0"/>
                  </w:pPr>
                  <w:r>
                    <w:rPr>
                      <w:lang w:val="ru-RU" w:eastAsia="ru-RU" w:bidi="ru-RU"/>
                      <w:w w:val="100"/>
                      <w:spacing w:val="0"/>
                      <w:color w:val="000000"/>
                      <w:position w:val="0"/>
                    </w:rPr>
                    <w:t xml:space="preserve">Стрептокиназа </w:t>
                  </w:r>
                  <w:r>
                    <w:rPr>
                      <w:w w:val="100"/>
                      <w:spacing w:val="0"/>
                      <w:color w:val="000000"/>
                      <w:position w:val="0"/>
                    </w:rPr>
                    <w:t xml:space="preserve">(Streptokinase) </w:t>
                  </w:r>
                  <w:r>
                    <w:rPr>
                      <w:lang w:val="ru-RU" w:eastAsia="ru-RU" w:bidi="ru-RU"/>
                      <w:w w:val="100"/>
                      <w:spacing w:val="0"/>
                      <w:color w:val="000000"/>
                      <w:position w:val="0"/>
                    </w:rPr>
                    <w:t xml:space="preserve">Выпускается за рубежом под названиями «Авелизин» </w:t>
                  </w:r>
                  <w:r>
                    <w:rPr>
                      <w:w w:val="100"/>
                      <w:spacing w:val="0"/>
                      <w:color w:val="000000"/>
                      <w:position w:val="0"/>
                    </w:rPr>
                    <w:t xml:space="preserve">(Awelysin)» </w:t>
                  </w:r>
                  <w:r>
                    <w:rPr>
                      <w:lang w:val="ru-RU" w:eastAsia="ru-RU" w:bidi="ru-RU"/>
                      <w:w w:val="100"/>
                      <w:spacing w:val="0"/>
                      <w:color w:val="000000"/>
                      <w:position w:val="0"/>
                    </w:rPr>
                    <w:t xml:space="preserve">[Название препарата фирмы </w:t>
                  </w:r>
                  <w:r>
                    <w:rPr>
                      <w:w w:val="100"/>
                      <w:spacing w:val="0"/>
                      <w:color w:val="000000"/>
                      <w:position w:val="0"/>
                    </w:rPr>
                    <w:t xml:space="preserve">AWD (Arzneimit- telwerk Dresden GmbH — </w:t>
                  </w:r>
                  <w:r>
                    <w:rPr>
                      <w:lang w:val="ru-RU" w:eastAsia="ru-RU" w:bidi="ru-RU"/>
                      <w:w w:val="100"/>
                      <w:spacing w:val="0"/>
                      <w:color w:val="000000"/>
                      <w:position w:val="0"/>
                    </w:rPr>
                    <w:t xml:space="preserve">Германия)], «Стрептаза» </w:t>
                  </w:r>
                  <w:r>
                    <w:rPr>
                      <w:w w:val="100"/>
                      <w:spacing w:val="0"/>
                      <w:color w:val="000000"/>
                      <w:position w:val="0"/>
                    </w:rPr>
                    <w:t xml:space="preserve">(Streptase), </w:t>
                  </w:r>
                  <w:r>
                    <w:rPr>
                      <w:lang w:val="ru-RU" w:eastAsia="ru-RU" w:bidi="ru-RU"/>
                      <w:w w:val="100"/>
                      <w:spacing w:val="0"/>
                      <w:color w:val="000000"/>
                      <w:position w:val="0"/>
                    </w:rPr>
                    <w:t xml:space="preserve">«Кабикиназа» </w:t>
                  </w:r>
                  <w:r>
                    <w:rPr>
                      <w:w w:val="100"/>
                      <w:spacing w:val="0"/>
                      <w:color w:val="000000"/>
                      <w:position w:val="0"/>
                    </w:rPr>
                    <w:t>(Bebikinase)</w:t>
                  </w:r>
                </w:p>
                <w:p>
                  <w:pPr>
                    <w:widowControl w:val="0"/>
                    <w:rPr>
                      <w:sz w:val="2"/>
                      <w:szCs w:val="2"/>
                    </w:rPr>
                  </w:pPr>
                </w:p>
              </w:txbxContent>
            </v:textbox>
            <w10:wrap anchorx="margin"/>
          </v:shape>
        </w:pict>
      </w:r>
      <w:r>
        <w:pict>
          <v:shape id="_x0000_s2097" type="#_x0000_t202" style="position:absolute;margin-left:2.15pt;margin-top:458.85pt;width:490.1pt;height:59.5pt;z-index:251657870;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Применяют стрептокиназу для восстановления проходимости тромбированных кровеносных сосудов; препарат вызывает лизис тромбов, действуя на них не только с поверхности, но и проникая внутрь тромба (особенно при свежих тромбах).</w:t>
                  </w:r>
                </w:p>
                <w:p>
                  <w:pPr>
                    <w:pStyle w:val="Style45"/>
                    <w:widowControl w:val="0"/>
                    <w:keepNext w:val="0"/>
                    <w:keepLines w:val="0"/>
                    <w:shd w:val="clear" w:color="auto" w:fill="auto"/>
                    <w:bidi w:val="0"/>
                    <w:spacing w:before="0" w:after="0"/>
                    <w:ind w:left="0" w:right="0" w:firstLine="0"/>
                  </w:pPr>
                  <w:r>
                    <w:rPr>
                      <w:rStyle w:val="CharStyle190"/>
                    </w:rPr>
                    <w:t>Показаниями к применению стрептокиназы (авелизина и других препаратов) являются эмболия легочной артерии и ее ветвей, тромбоз и эмболия периферических артерий, тромбоз поверхностных и глубоких вен (конечностей, таза), острый инфаркт миокарда (в течение первых 12 ч), тромбоз сосудов сетчатой оболочки глаза и другие состояния, протекающие с острыми эмболиями и тромбозами или с угрозой образования тромбов.</w:t>
                  </w:r>
                </w:p>
              </w:txbxContent>
            </v:textbox>
            <w10:wrap anchorx="margin"/>
          </v:shape>
        </w:pict>
      </w:r>
      <w:r>
        <w:pict>
          <v:shape id="_x0000_s2098" type="#_x0000_t202" style="position:absolute;margin-left:2.15pt;margin-top:520.15pt;width:56.65pt;height:9.65pt;z-index:251657871;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line="160" w:lineRule="exact"/>
                    <w:ind w:left="0" w:right="0" w:firstLine="0"/>
                  </w:pPr>
                  <w:r>
                    <w:rPr>
                      <w:rStyle w:val="CharStyle190"/>
                    </w:rPr>
                    <w:t>Путь введения</w:t>
                  </w:r>
                </w:p>
              </w:txbxContent>
            </v:textbox>
            <w10:wrap anchorx="margin"/>
          </v:shape>
        </w:pict>
      </w:r>
      <w:r>
        <w:pict>
          <v:shape id="_x0000_s2099" type="#_x0000_t202" style="position:absolute;margin-left:99.1pt;margin-top:520.15pt;width:22.1pt;height:9.65pt;z-index:251657872;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line="160" w:lineRule="exact"/>
                    <w:ind w:left="0" w:right="0" w:firstLine="0"/>
                  </w:pPr>
                  <w:r>
                    <w:rPr>
                      <w:rStyle w:val="CharStyle190"/>
                    </w:rPr>
                    <w:t>Доза</w:t>
                  </w:r>
                </w:p>
              </w:txbxContent>
            </v:textbox>
            <w10:wrap anchorx="margin"/>
          </v:shape>
        </w:pict>
      </w:r>
      <w:r>
        <w:pict>
          <v:shape id="_x0000_s2100" type="#_x0000_t202" style="position:absolute;margin-left:304.1pt;margin-top:520.15pt;width:70.55pt;height:10.pt;z-index:251657873;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line="160" w:lineRule="exact"/>
                    <w:ind w:left="0" w:right="0" w:firstLine="0"/>
                  </w:pPr>
                  <w:r>
                    <w:rPr>
                      <w:rStyle w:val="CharStyle190"/>
                    </w:rPr>
                    <w:t>Кратность приема</w:t>
                  </w:r>
                </w:p>
              </w:txbxContent>
            </v:textbox>
            <w10:wrap anchorx="margin"/>
          </v:shape>
        </w:pict>
      </w:r>
      <w:r>
        <w:pict>
          <v:shape id="_x0000_s2101" type="#_x0000_t202" style="position:absolute;margin-left:2.15pt;margin-top:532.15pt;width:37.45pt;height:10.pt;z-index:251657874;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line="160" w:lineRule="exact"/>
                    <w:ind w:left="0" w:right="0" w:firstLine="0"/>
                  </w:pPr>
                  <w:r>
                    <w:rPr>
                      <w:rStyle w:val="CharStyle190"/>
                    </w:rPr>
                    <w:t>Инфузия</w:t>
                  </w:r>
                </w:p>
              </w:txbxContent>
            </v:textbox>
            <w10:wrap anchorx="margin"/>
          </v:shape>
        </w:pict>
      </w:r>
      <w:r>
        <w:pict>
          <v:shape id="_x0000_s2102" type="#_x0000_t202" style="position:absolute;margin-left:99.6pt;margin-top:530.85pt;width:134.9pt;height:40.3pt;z-index:251657875;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Стартовая:</w:t>
                  </w:r>
                </w:p>
                <w:p>
                  <w:pPr>
                    <w:pStyle w:val="Style45"/>
                    <w:widowControl w:val="0"/>
                    <w:keepNext w:val="0"/>
                    <w:keepLines w:val="0"/>
                    <w:shd w:val="clear" w:color="auto" w:fill="auto"/>
                    <w:bidi w:val="0"/>
                    <w:spacing w:before="0" w:after="0"/>
                    <w:ind w:left="0" w:right="0" w:firstLine="0"/>
                  </w:pPr>
                  <w:r>
                    <w:rPr>
                      <w:rStyle w:val="CharStyle190"/>
                    </w:rPr>
                    <w:t>3500-4000 Ед/кг более чем за 30 мин; Поддерживающая:</w:t>
                  </w:r>
                </w:p>
                <w:p>
                  <w:pPr>
                    <w:pStyle w:val="Style45"/>
                    <w:widowControl w:val="0"/>
                    <w:keepNext w:val="0"/>
                    <w:keepLines w:val="0"/>
                    <w:shd w:val="clear" w:color="auto" w:fill="auto"/>
                    <w:bidi w:val="0"/>
                    <w:spacing w:before="0" w:after="0"/>
                    <w:ind w:left="0" w:right="0" w:firstLine="0"/>
                  </w:pPr>
                  <w:r>
                    <w:rPr>
                      <w:rStyle w:val="CharStyle190"/>
                    </w:rPr>
                    <w:t>1000-1500 Ед/кг/час.</w:t>
                  </w:r>
                </w:p>
              </w:txbxContent>
            </v:textbox>
            <w10:wrap anchorx="margin"/>
          </v:shape>
        </w:pict>
      </w:r>
      <w:r>
        <w:pict>
          <v:shape id="_x0000_s2103" type="#_x0000_t202" style="position:absolute;margin-left:2.15pt;margin-top:571.45pt;width:490.1pt;height:97.65pt;z-index:251657876;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Фармакологическое действие:</w:t>
                  </w:r>
                </w:p>
                <w:p>
                  <w:pPr>
                    <w:pStyle w:val="Style45"/>
                    <w:widowControl w:val="0"/>
                    <w:keepNext w:val="0"/>
                    <w:keepLines w:val="0"/>
                    <w:shd w:val="clear" w:color="auto" w:fill="auto"/>
                    <w:bidi w:val="0"/>
                    <w:spacing w:before="0" w:after="0"/>
                    <w:ind w:left="0" w:right="0" w:firstLine="0"/>
                  </w:pPr>
                  <w:r>
                    <w:rPr>
                      <w:rStyle w:val="CharStyle190"/>
                    </w:rPr>
                    <w:t>Стрептокиназа обладает фибринолитической активностью, что обусловлено ее способностью взаимодействовать с плазминогеном крови. Комплекс стрептокиназы с плазминогеном обладает протеолитической активностью и катализирует превращение плазминогена в плаз- мин. Последний способен вызывать лизис фибрина в сгустках крови; инактивировать фибриноген, а также факторы V и VII свертывания крови. Активность стрептокиназы определяют по способности препарата лизировать в определенных условиях сгусток фибрина, образо</w:t>
                    <w:softHyphen/>
                    <w:t>ванный смесью растворов фибриногена и тромбина, и выражают в интернациональных (международных) единицах (ИЕ или МЕ). Побочные эффекты: гипотензия, аритмии, приливы крови, лихорадка, уртикарии, кровотечения, бронхоспазм.</w:t>
                  </w:r>
                </w:p>
                <w:p>
                  <w:pPr>
                    <w:pStyle w:val="Style45"/>
                    <w:widowControl w:val="0"/>
                    <w:keepNext w:val="0"/>
                    <w:keepLines w:val="0"/>
                    <w:shd w:val="clear" w:color="auto" w:fill="auto"/>
                    <w:bidi w:val="0"/>
                    <w:spacing w:before="0" w:after="0"/>
                    <w:ind w:left="0" w:right="0" w:firstLine="0"/>
                  </w:pPr>
                  <w:r>
                    <w:rPr>
                      <w:rStyle w:val="CharStyle190"/>
                    </w:rPr>
                    <w:t>Осторожность: нельзя вводить в/м.</w:t>
                  </w:r>
                </w:p>
                <w:p>
                  <w:pPr>
                    <w:pStyle w:val="Style45"/>
                    <w:widowControl w:val="0"/>
                    <w:keepNext w:val="0"/>
                    <w:keepLines w:val="0"/>
                    <w:shd w:val="clear" w:color="auto" w:fill="auto"/>
                    <w:bidi w:val="0"/>
                    <w:spacing w:before="0" w:after="0"/>
                    <w:ind w:left="0" w:right="0" w:firstLine="0"/>
                  </w:pPr>
                  <w:r>
                    <w:rPr>
                      <w:rStyle w:val="CharStyle190"/>
                    </w:rPr>
                    <w:t>Противопоказания: оперативное вмешательство в предыдущие 10 дней и большие хирургические вмешательства вообще, кровотечения, травма, выраженная гипертензия, карцинома головного мозга.</w:t>
                  </w:r>
                </w:p>
              </w:txbxContent>
            </v:textbox>
            <w10:wrap anchorx="margin"/>
          </v:shape>
        </w:pict>
      </w:r>
      <w:r>
        <w:pict>
          <v:shape id="_x0000_s2104" type="#_x0000_t75" style="position:absolute;margin-left:147.85pt;margin-top:734.65pt;width:209.75pt;height:14.9pt;z-index:-251658587;mso-wrap-distance-left:5.pt;mso-wrap-distance-right:5.pt;mso-position-horizontal-relative:margin" wrapcoords="0 0">
            <v:imagedata r:id="rId1465" r:href="rId1466"/>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78" w:lineRule="exact"/>
      </w:pPr>
    </w:p>
    <w:p>
      <w:pPr>
        <w:widowControl w:val="0"/>
        <w:rPr>
          <w:sz w:val="2"/>
          <w:szCs w:val="2"/>
        </w:rPr>
        <w:sectPr>
          <w:type w:val="continuous"/>
          <w:pgSz w:w="11900" w:h="16840"/>
          <w:pgMar w:top="1438" w:left="898" w:right="1124" w:bottom="162" w:header="0" w:footer="3" w:gutter="0"/>
          <w:rtlGutter w:val="0"/>
          <w:cols w:space="720"/>
          <w:noEndnote/>
          <w:docGrid w:linePitch="360"/>
        </w:sectPr>
      </w:pPr>
    </w:p>
    <w:p>
      <w:pPr>
        <w:widowControl w:val="0"/>
        <w:rPr>
          <w:sz w:val="2"/>
          <w:szCs w:val="2"/>
        </w:rPr>
      </w:pPr>
      <w:r>
        <w:pict>
          <v:shape id="_x0000_s2105" type="#_x0000_t202" style="position:static;width:595.pt;height:7.05pt" filled="f" stroked="f">
            <v:textbox inset="0,0,0,0">
              <w:txbxContent>
                <w:p>
                  <w:pPr>
                    <w:widowControl w:val="0"/>
                  </w:pPr>
                </w:p>
              </w:txbxContent>
            </v:textbox>
            <w10:anchorlock/>
          </v:shape>
        </w:pict>
      </w:r>
      <w:r>
        <w:t xml:space="preserve"> </w:t>
      </w:r>
    </w:p>
    <w:p>
      <w:pPr>
        <w:widowControl w:val="0"/>
        <w:rPr>
          <w:sz w:val="2"/>
          <w:szCs w:val="2"/>
        </w:rPr>
        <w:sectPr>
          <w:pgSz w:w="11900" w:h="16840"/>
          <w:pgMar w:top="1453" w:left="0" w:right="0" w:bottom="177" w:header="0" w:footer="3" w:gutter="0"/>
          <w:rtlGutter w:val="0"/>
          <w:cols w:space="720"/>
          <w:noEndnote/>
          <w:docGrid w:linePitch="360"/>
        </w:sectPr>
      </w:pPr>
    </w:p>
    <w:p>
      <w:pPr>
        <w:widowControl w:val="0"/>
        <w:spacing w:line="360" w:lineRule="exact"/>
      </w:pPr>
      <w:r>
        <w:pict>
          <v:shape id="_x0000_s2106" type="#_x0000_t202" style="position:absolute;margin-left:0.7pt;margin-top:0.1pt;width:491.75pt;height:80.1pt;z-index:251657877;mso-wrap-distance-left:5.pt;mso-wrap-distance-right:5.pt;mso-position-horizontal-relative:margin" filled="f" stroked="f">
            <v:textbox style="mso-fit-shape-to-text:t" inset="0,0,0,0">
              <w:txbxContent>
                <w:p>
                  <w:pPr>
                    <w:pStyle w:val="Style107"/>
                    <w:widowControl w:val="0"/>
                    <w:keepNext w:val="0"/>
                    <w:keepLines w:val="0"/>
                    <w:shd w:val="clear" w:color="auto" w:fill="auto"/>
                    <w:bidi w:val="0"/>
                    <w:spacing w:before="0" w:after="0" w:line="180" w:lineRule="exact"/>
                    <w:ind w:left="0" w:right="0" w:firstLine="0"/>
                  </w:pPr>
                  <w:r>
                    <w:rPr>
                      <w:rStyle w:val="CharStyle195"/>
                      <w:lang w:val="ru-RU" w:eastAsia="ru-RU" w:bidi="ru-RU"/>
                      <w:b/>
                      <w:bCs/>
                      <w:i/>
                      <w:iCs/>
                    </w:rPr>
                    <w:t xml:space="preserve">Гепарин </w:t>
                  </w:r>
                  <w:r>
                    <w:rPr>
                      <w:rStyle w:val="CharStyle195"/>
                      <w:b/>
                      <w:bCs/>
                      <w:i/>
                      <w:iCs/>
                    </w:rPr>
                    <w:t xml:space="preserve">(Heparin) </w:t>
                  </w:r>
                  <w:r>
                    <w:rPr>
                      <w:rStyle w:val="CharStyle195"/>
                      <w:lang w:val="ru-RU" w:eastAsia="ru-RU" w:bidi="ru-RU"/>
                      <w:b/>
                      <w:bCs/>
                      <w:i/>
                      <w:iCs/>
                    </w:rPr>
                    <w:t xml:space="preserve">Синонимы: </w:t>
                  </w:r>
                  <w:r>
                    <w:rPr>
                      <w:rStyle w:val="CharStyle195"/>
                      <w:b/>
                      <w:bCs/>
                      <w:i/>
                      <w:iCs/>
                    </w:rPr>
                    <w:t>Liquaemin, Pularin, Thromboliquine</w:t>
                  </w:r>
                  <w:r>
                    <w:rPr>
                      <w:rStyle w:val="CharStyle195"/>
                      <w:lang w:val="ru-RU" w:eastAsia="ru-RU" w:bidi="ru-RU"/>
                      <w:b/>
                      <w:bCs/>
                      <w:i/>
                      <w:iCs/>
                    </w:rPr>
                    <w:t xml:space="preserve">, </w:t>
                  </w:r>
                  <w:r>
                    <w:rPr>
                      <w:rStyle w:val="CharStyle195"/>
                      <w:b/>
                      <w:bCs/>
                      <w:i/>
                      <w:iCs/>
                    </w:rPr>
                    <w:t xml:space="preserve">Vetren </w:t>
                  </w:r>
                  <w:r>
                    <w:rPr>
                      <w:rStyle w:val="CharStyle195"/>
                      <w:lang w:val="ru-RU" w:eastAsia="ru-RU" w:bidi="ru-RU"/>
                      <w:b/>
                      <w:bCs/>
                      <w:i/>
                      <w:iCs/>
                    </w:rPr>
                    <w:t>и др.</w:t>
                  </w:r>
                </w:p>
                <w:p>
                  <w:pPr>
                    <w:pStyle w:val="Style30"/>
                    <w:widowControl w:val="0"/>
                    <w:keepNext w:val="0"/>
                    <w:keepLines w:val="0"/>
                    <w:shd w:val="clear" w:color="auto" w:fill="auto"/>
                    <w:bidi w:val="0"/>
                    <w:spacing w:before="0" w:after="0" w:line="192" w:lineRule="exact"/>
                    <w:ind w:left="0" w:right="0" w:firstLine="0"/>
                  </w:pPr>
                  <w:r>
                    <w:rPr>
                      <w:rStyle w:val="CharStyle90"/>
                    </w:rPr>
                    <w:t>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Нестабильная стенокардия, острый инфаркт миокарда; тромбоэмболические осложнения при инфаркте миокарда, операциях на сердце и кровеносных сосудах, тромбоэмболия легочных и мозговых сосудов, тромбофлебиты (профилактика и лечение); ДВС-синдром, профилактика микротромбообразования и нарушения микроциркуляции; тромбоз почечных вен; гемолитико-уремический синдром; мерцательная аритмия, митральные пороки сердца (профилактика тромбообразования); проведение экстракорпоральных методов (экстракорпоральное кровообращение при операции на сердце, гемосорбция, гемодиализ, перитонеальный диализ, цитаферез), форсированного диуреза; промывание венозных катетеров.</w:t>
                  </w:r>
                </w:p>
              </w:txbxContent>
            </v:textbox>
            <w10:wrap anchorx="margin"/>
          </v:shape>
        </w:pict>
      </w:r>
      <w:r>
        <w:pict>
          <v:shape id="_x0000_s2107" type="#_x0000_t202" style="position:absolute;margin-left:0.25pt;margin-top:81.6pt;width:492.7pt;height:5.e-002pt;z-index:251657878;mso-wrap-distance-left:5.pt;mso-wrap-distance-right:5.pt;mso-position-horizontal-relative:margin" filled="f" stroked="f">
            <v:textbox style="mso-fit-shape-to-text:t" inset="0,0,0,0">
              <w:txbxContent>
                <w:tbl>
                  <w:tblPr>
                    <w:tblOverlap w:val="never"/>
                    <w:tblLayout w:type="fixed"/>
                    <w:jc w:val="center"/>
                  </w:tblPr>
                  <w:tblGrid>
                    <w:gridCol w:w="1954"/>
                    <w:gridCol w:w="4090"/>
                    <w:gridCol w:w="3811"/>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5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В/в</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50-100 Ед/кг, максимально 5000-10 000 Ед</w:t>
                        </w:r>
                      </w:p>
                    </w:tc>
                    <w:tc>
                      <w:tcPr>
                        <w:shd w:val="clear" w:color="auto" w:fill="FFFFFF"/>
                        <w:tcBorders>
                          <w:left w:val="single" w:sz="4"/>
                          <w:right w:val="single" w:sz="4"/>
                          <w:top w:val="single" w:sz="4"/>
                        </w:tcBorders>
                        <w:vAlign w:val="top"/>
                      </w:tcPr>
                      <w:p>
                        <w:pPr>
                          <w:widowControl w:val="0"/>
                          <w:rPr>
                            <w:sz w:val="10"/>
                            <w:szCs w:val="10"/>
                          </w:rPr>
                        </w:pPr>
                      </w:p>
                    </w:tc>
                  </w:tr>
                  <w:tr>
                    <w:trPr>
                      <w:trHeight w:val="264"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Инфузия</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Средняя 10-25 Ед/кг/час, максимально 800-1600 Ед/час</w:t>
                        </w: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widowControl w:val="0"/>
                    <w:rPr>
                      <w:sz w:val="2"/>
                      <w:szCs w:val="2"/>
                    </w:rPr>
                  </w:pPr>
                </w:p>
              </w:txbxContent>
            </v:textbox>
            <w10:wrap anchorx="margin"/>
          </v:shape>
        </w:pict>
      </w:r>
      <w:r>
        <w:pict>
          <v:shape id="_x0000_s2108" type="#_x0000_t202" style="position:absolute;margin-left:0.5pt;margin-top:117.85pt;width:491.75pt;height:79.65pt;z-index:251657879;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Фармакологическое 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Антикоагулянтное, антиагрегантное, противовоспалительное. Снижает активность плазменных факторов свертывания, блокирует пре</w:t>
                    <w:softHyphen/>
                    <w:t>вращение протромбина в тромбин, уменьшает агрегацию тромбоцитов, стимулирует фибринолиз, угнетает гиалуронидазу, улучшает ко</w:t>
                    <w:softHyphen/>
                    <w:t>ронарный кровоток.</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 кровотечения, аллергия, алопеция, тромбоцитопения, лихорадка, головная боль, уртикарии.</w:t>
                  </w:r>
                </w:p>
                <w:p>
                  <w:pPr>
                    <w:pStyle w:val="Style30"/>
                    <w:widowControl w:val="0"/>
                    <w:keepNext w:val="0"/>
                    <w:keepLines w:val="0"/>
                    <w:shd w:val="clear" w:color="auto" w:fill="auto"/>
                    <w:bidi w:val="0"/>
                    <w:spacing w:before="0" w:after="0" w:line="192" w:lineRule="exact"/>
                    <w:ind w:left="0" w:right="0" w:firstLine="0"/>
                  </w:pPr>
                  <w:r>
                    <w:rPr>
                      <w:rStyle w:val="CharStyle90"/>
                    </w:rPr>
                    <w:t>Взаимодействие с лекарствами: повышает риск кровотечения при применении с другими антикоагулянтами.</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 выраженная тромбоцитопения, интракраниальные геморрагии.</w:t>
                  </w:r>
                </w:p>
                <w:p>
                  <w:pPr>
                    <w:pStyle w:val="Style30"/>
                    <w:widowControl w:val="0"/>
                    <w:keepNext w:val="0"/>
                    <w:keepLines w:val="0"/>
                    <w:shd w:val="clear" w:color="auto" w:fill="auto"/>
                    <w:bidi w:val="0"/>
                    <w:spacing w:before="0" w:after="0" w:line="192" w:lineRule="exact"/>
                    <w:ind w:left="0" w:right="0" w:firstLine="0"/>
                  </w:pPr>
                  <w:r>
                    <w:rPr>
                      <w:rStyle w:val="CharStyle90"/>
                    </w:rPr>
                    <w:t>Осторожность: протамин сульфат.</w:t>
                  </w:r>
                </w:p>
              </w:txbxContent>
            </v:textbox>
            <w10:wrap anchorx="margin"/>
          </v:shape>
        </w:pict>
      </w:r>
      <w:r>
        <w:pict>
          <v:shape id="_x0000_s2109" type="#_x0000_t202" style="position:absolute;margin-left:12.5pt;margin-top:210.2pt;width:273.6pt;height:11.9pt;z-index:251657880;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НЕСТЕРОИДНЫЕ ПРОТИВОВОСПАЛИТЕЛЬНЫЕ СРЕДСТВА</w:t>
                  </w:r>
                </w:p>
              </w:txbxContent>
            </v:textbox>
            <w10:wrap anchorx="margin"/>
          </v:shape>
        </w:pict>
      </w:r>
      <w:r>
        <w:pict>
          <v:shape id="_x0000_s2110" type="#_x0000_t202" style="position:absolute;margin-left:1.45pt;margin-top:234.45pt;width:490.55pt;height:31.45pt;z-index:251657881;mso-wrap-distance-left:5.pt;mso-wrap-distance-right:5.pt;mso-position-horizontal-relative:margin" filled="f" stroked="f">
            <v:textbox style="mso-fit-shape-to-text:t" inset="0,0,0,0">
              <w:txbxContent>
                <w:p>
                  <w:pPr>
                    <w:pStyle w:val="Style107"/>
                    <w:widowControl w:val="0"/>
                    <w:keepNext w:val="0"/>
                    <w:keepLines w:val="0"/>
                    <w:shd w:val="clear" w:color="auto" w:fill="auto"/>
                    <w:bidi w:val="0"/>
                    <w:spacing w:before="0" w:after="0" w:line="192" w:lineRule="exact"/>
                    <w:ind w:left="0" w:right="0" w:firstLine="0"/>
                  </w:pPr>
                  <w:r>
                    <w:rPr>
                      <w:rStyle w:val="CharStyle195"/>
                      <w:lang w:val="ru-RU" w:eastAsia="ru-RU" w:bidi="ru-RU"/>
                      <w:b/>
                      <w:bCs/>
                      <w:i/>
                      <w:iCs/>
                    </w:rPr>
                    <w:t xml:space="preserve">Ибупрофен </w:t>
                  </w:r>
                  <w:r>
                    <w:rPr>
                      <w:rStyle w:val="CharStyle195"/>
                      <w:b/>
                      <w:bCs/>
                      <w:i/>
                      <w:iCs/>
                    </w:rPr>
                    <w:t xml:space="preserve">(Ibuprofenum) </w:t>
                  </w:r>
                  <w:r>
                    <w:rPr>
                      <w:rStyle w:val="CharStyle195"/>
                      <w:lang w:val="ru-RU" w:eastAsia="ru-RU" w:bidi="ru-RU"/>
                      <w:b/>
                      <w:bCs/>
                      <w:i/>
                      <w:iCs/>
                    </w:rPr>
                    <w:t xml:space="preserve">Синонимы: Ибуфен </w:t>
                  </w:r>
                  <w:r>
                    <w:rPr>
                      <w:rStyle w:val="CharStyle195"/>
                      <w:b/>
                      <w:bCs/>
                      <w:i/>
                      <w:iCs/>
                    </w:rPr>
                    <w:t xml:space="preserve">(Ibufen), </w:t>
                  </w:r>
                  <w:r>
                    <w:rPr>
                      <w:rStyle w:val="CharStyle195"/>
                      <w:lang w:val="ru-RU" w:eastAsia="ru-RU" w:bidi="ru-RU"/>
                      <w:b/>
                      <w:bCs/>
                      <w:i/>
                      <w:iCs/>
                    </w:rPr>
                    <w:t xml:space="preserve">Бруфен, </w:t>
                  </w:r>
                  <w:r>
                    <w:rPr>
                      <w:rStyle w:val="CharStyle195"/>
                      <w:b/>
                      <w:bCs/>
                      <w:i/>
                      <w:iCs/>
                    </w:rPr>
                    <w:t xml:space="preserve">Algofen, Anflagen, Artofen, Artril, Brufanic, Brufen, Bufigen, Burana, Dolgit, Ebufac, Iborufen, Ibumetin, Inflam, Lamidon, Mortifen, Motrin, Napacetin, Nobfen, Nuprin, Nurofen, Paxofen, Rebugen, Relcofen, Reumafen, Ruprin, Seclodin, Sednafen </w:t>
                  </w:r>
                  <w:r>
                    <w:rPr>
                      <w:rStyle w:val="CharStyle195"/>
                      <w:lang w:val="ru-RU" w:eastAsia="ru-RU" w:bidi="ru-RU"/>
                      <w:b/>
                      <w:bCs/>
                      <w:i/>
                      <w:iCs/>
                    </w:rPr>
                    <w:t>и др.</w:t>
                  </w:r>
                </w:p>
              </w:txbxContent>
            </v:textbox>
            <w10:wrap anchorx="margin"/>
          </v:shape>
        </w:pict>
      </w:r>
      <w:r>
        <w:pict>
          <v:shape id="_x0000_s2111" type="#_x0000_t202" style="position:absolute;margin-left:1.7pt;margin-top:265.9pt;width:328.55pt;height:21.45pt;z-index:251657882;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Показания</w:t>
                  </w:r>
                </w:p>
                <w:p>
                  <w:pPr>
                    <w:pStyle w:val="Style30"/>
                    <w:widowControl w:val="0"/>
                    <w:keepNext w:val="0"/>
                    <w:keepLines w:val="0"/>
                    <w:shd w:val="clear" w:color="auto" w:fill="auto"/>
                    <w:bidi w:val="0"/>
                    <w:jc w:val="left"/>
                    <w:spacing w:before="0" w:after="0" w:line="180" w:lineRule="exact"/>
                    <w:ind w:left="0" w:right="0" w:firstLine="0"/>
                  </w:pPr>
                  <w:r>
                    <w:rPr>
                      <w:rStyle w:val="CharStyle90"/>
                    </w:rPr>
                    <w:t>Препарат оказывает жаропонижающее, болеутоляющее, противовоспалительное действие.</w:t>
                  </w:r>
                </w:p>
              </w:txbxContent>
            </v:textbox>
            <w10:wrap anchorx="margin"/>
          </v:shape>
        </w:pict>
      </w:r>
      <w:r>
        <w:pict>
          <v:shape id="_x0000_s2112" type="#_x0000_t202" style="position:absolute;margin-left:1.7pt;margin-top:287.3pt;width:54.95pt;height:11.85pt;z-index:251657883;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Путь введения</w:t>
                  </w:r>
                </w:p>
              </w:txbxContent>
            </v:textbox>
            <w10:wrap anchorx="margin"/>
          </v:shape>
        </w:pict>
      </w:r>
      <w:r>
        <w:pict>
          <v:shape id="_x0000_s2113" type="#_x0000_t202" style="position:absolute;margin-left:98.65pt;margin-top:287.3pt;width:20.15pt;height:11.85pt;z-index:251657884;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Доза</w:t>
                  </w:r>
                </w:p>
              </w:txbxContent>
            </v:textbox>
            <w10:wrap anchorx="margin"/>
          </v:shape>
        </w:pict>
      </w:r>
      <w:r>
        <w:pict>
          <v:shape id="_x0000_s2114" type="#_x0000_t202" style="position:absolute;margin-left:1.7pt;margin-top:298.55pt;width:107.5pt;height:31.65pt;z-index:251657885;mso-wrap-distance-left:5.pt;mso-wrap-distance-right:5.pt;mso-position-horizontal-relative:margin" filled="f" stroked="f">
            <v:textbox style="mso-fit-shape-to-text:t" inset="0,0,0,0">
              <w:txbxContent>
                <w:p>
                  <w:pPr>
                    <w:pStyle w:val="Style107"/>
                    <w:widowControl w:val="0"/>
                    <w:keepNext w:val="0"/>
                    <w:keepLines w:val="0"/>
                    <w:shd w:val="clear" w:color="auto" w:fill="auto"/>
                    <w:bidi w:val="0"/>
                    <w:jc w:val="left"/>
                    <w:spacing w:before="0" w:after="0" w:line="192" w:lineRule="exact"/>
                    <w:ind w:left="0" w:right="0" w:firstLine="0"/>
                  </w:pPr>
                  <w:r>
                    <w:rPr>
                      <w:rStyle w:val="CharStyle195"/>
                      <w:lang w:val="ru-RU" w:eastAsia="ru-RU" w:bidi="ru-RU"/>
                      <w:b/>
                      <w:bCs/>
                      <w:i/>
                      <w:iCs/>
                    </w:rPr>
                    <w:t>Возраст (масса тела)</w:t>
                  </w:r>
                </w:p>
                <w:p>
                  <w:pPr>
                    <w:pStyle w:val="Style30"/>
                    <w:widowControl w:val="0"/>
                    <w:keepNext w:val="0"/>
                    <w:keepLines w:val="0"/>
                    <w:shd w:val="clear" w:color="auto" w:fill="auto"/>
                    <w:bidi w:val="0"/>
                    <w:jc w:val="left"/>
                    <w:spacing w:before="0" w:after="0" w:line="192" w:lineRule="exact"/>
                    <w:ind w:left="0" w:right="0" w:firstLine="0"/>
                  </w:pPr>
                  <w:r>
                    <w:rPr>
                      <w:rStyle w:val="CharStyle90"/>
                    </w:rPr>
                    <w:t>Разовая доза</w:t>
                  </w:r>
                </w:p>
                <w:p>
                  <w:pPr>
                    <w:pStyle w:val="Style30"/>
                    <w:widowControl w:val="0"/>
                    <w:keepNext w:val="0"/>
                    <w:keepLines w:val="0"/>
                    <w:shd w:val="clear" w:color="auto" w:fill="auto"/>
                    <w:bidi w:val="0"/>
                    <w:jc w:val="left"/>
                    <w:spacing w:before="0" w:after="0" w:line="192" w:lineRule="exact"/>
                    <w:ind w:left="0" w:right="0" w:firstLine="0"/>
                  </w:pPr>
                  <w:r>
                    <w:rPr>
                      <w:rStyle w:val="CharStyle90"/>
                    </w:rPr>
                    <w:t>Максимальная суточная доза</w:t>
                  </w:r>
                </w:p>
              </w:txbxContent>
            </v:textbox>
            <w10:wrap anchorx="margin"/>
          </v:shape>
        </w:pict>
      </w:r>
      <w:r>
        <w:pict>
          <v:shape id="_x0000_s2115" type="#_x0000_t202" style="position:absolute;margin-left:303.6pt;margin-top:285.1pt;width:68.4pt;height:26.4pt;z-index:251657886;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235" w:lineRule="exact"/>
                    <w:ind w:left="0" w:right="0" w:firstLine="0"/>
                  </w:pPr>
                  <w:r>
                    <w:rPr>
                      <w:rStyle w:val="CharStyle90"/>
                    </w:rPr>
                    <w:t>Кратность приема Каждые 6-8 часов</w:t>
                  </w:r>
                </w:p>
              </w:txbxContent>
            </v:textbox>
            <w10:wrap anchorx="margin"/>
          </v:shape>
        </w:pict>
      </w:r>
      <w:r>
        <w:pict>
          <v:shape id="_x0000_s2116" type="#_x0000_t202" style="position:absolute;margin-left:1.45pt;margin-top:336.95pt;width:491.05pt;height:331.9pt;z-index:251657887;mso-wrap-distance-left:5.pt;mso-wrap-distance-right:5.pt;mso-position-horizontal-relative:margin" filled="f" stroked="f">
            <v:textbox style="mso-fit-shape-to-text:t" inset="0,0,0,0">
              <w:txbxContent>
                <w:p>
                  <w:pPr>
                    <w:pStyle w:val="Style107"/>
                    <w:widowControl w:val="0"/>
                    <w:keepNext w:val="0"/>
                    <w:keepLines w:val="0"/>
                    <w:shd w:val="clear" w:color="auto" w:fill="auto"/>
                    <w:bidi w:val="0"/>
                    <w:spacing w:before="0" w:after="0" w:line="192" w:lineRule="exact"/>
                    <w:ind w:left="0" w:right="0" w:firstLine="0"/>
                  </w:pPr>
                  <w:r>
                    <w:rPr>
                      <w:rStyle w:val="CharStyle195"/>
                      <w:lang w:val="ru-RU" w:eastAsia="ru-RU" w:bidi="ru-RU"/>
                      <w:b/>
                      <w:bCs/>
                      <w:i/>
                      <w:iCs/>
                    </w:rPr>
                    <w:t>6-12 месяцев (7-9 кг)</w:t>
                  </w:r>
                </w:p>
                <w:p>
                  <w:pPr>
                    <w:pStyle w:val="Style30"/>
                    <w:numPr>
                      <w:ilvl w:val="0"/>
                      <w:numId w:val="203"/>
                    </w:numPr>
                    <w:tabs>
                      <w:tab w:leader="none" w:pos="240" w:val="left"/>
                    </w:tabs>
                    <w:widowControl w:val="0"/>
                    <w:keepNext w:val="0"/>
                    <w:keepLines w:val="0"/>
                    <w:shd w:val="clear" w:color="auto" w:fill="auto"/>
                    <w:bidi w:val="0"/>
                    <w:spacing w:before="0" w:after="0" w:line="192" w:lineRule="exact"/>
                    <w:ind w:left="0" w:right="0" w:firstLine="0"/>
                  </w:pPr>
                  <w:r>
                    <w:rPr>
                      <w:rStyle w:val="CharStyle90"/>
                    </w:rPr>
                    <w:t>мл</w:t>
                  </w:r>
                </w:p>
                <w:p>
                  <w:pPr>
                    <w:pStyle w:val="Style107"/>
                    <w:widowControl w:val="0"/>
                    <w:keepNext w:val="0"/>
                    <w:keepLines w:val="0"/>
                    <w:shd w:val="clear" w:color="auto" w:fill="auto"/>
                    <w:bidi w:val="0"/>
                    <w:jc w:val="left"/>
                    <w:spacing w:before="0" w:after="0" w:line="192" w:lineRule="exact"/>
                    <w:ind w:left="0" w:right="8540" w:firstLine="0"/>
                  </w:pPr>
                  <w:r>
                    <w:rPr>
                      <w:rStyle w:val="CharStyle196"/>
                      <w:b w:val="0"/>
                      <w:bCs w:val="0"/>
                      <w:i w:val="0"/>
                      <w:iCs w:val="0"/>
                    </w:rPr>
                    <w:t xml:space="preserve">3 раза по 2,5 мл </w:t>
                  </w:r>
                  <w:r>
                    <w:rPr>
                      <w:rStyle w:val="CharStyle195"/>
                      <w:lang w:val="ru-RU" w:eastAsia="ru-RU" w:bidi="ru-RU"/>
                      <w:b/>
                      <w:bCs/>
                      <w:i/>
                      <w:iCs/>
                    </w:rPr>
                    <w:t>1-3 лет (10-15 кг)</w:t>
                  </w:r>
                </w:p>
                <w:p>
                  <w:pPr>
                    <w:pStyle w:val="Style30"/>
                    <w:numPr>
                      <w:ilvl w:val="0"/>
                      <w:numId w:val="205"/>
                    </w:numPr>
                    <w:tabs>
                      <w:tab w:leader="none" w:pos="240" w:val="left"/>
                    </w:tabs>
                    <w:widowControl w:val="0"/>
                    <w:keepNext w:val="0"/>
                    <w:keepLines w:val="0"/>
                    <w:shd w:val="clear" w:color="auto" w:fill="auto"/>
                    <w:bidi w:val="0"/>
                    <w:spacing w:before="0" w:after="0" w:line="192" w:lineRule="exact"/>
                    <w:ind w:left="0" w:right="0" w:firstLine="0"/>
                  </w:pPr>
                  <w:r>
                    <w:rPr>
                      <w:rStyle w:val="CharStyle90"/>
                    </w:rPr>
                    <w:t>мл</w:t>
                  </w:r>
                </w:p>
                <w:p>
                  <w:pPr>
                    <w:pStyle w:val="Style30"/>
                    <w:widowControl w:val="0"/>
                    <w:keepNext w:val="0"/>
                    <w:keepLines w:val="0"/>
                    <w:shd w:val="clear" w:color="auto" w:fill="auto"/>
                    <w:bidi w:val="0"/>
                    <w:jc w:val="left"/>
                    <w:spacing w:before="0" w:after="0" w:line="192" w:lineRule="exact"/>
                    <w:ind w:left="0" w:right="8540" w:firstLine="0"/>
                  </w:pPr>
                  <w:r>
                    <w:rPr>
                      <w:rStyle w:val="CharStyle90"/>
                    </w:rPr>
                    <w:t xml:space="preserve">3-4 раза по 2,5 мл </w:t>
                  </w:r>
                  <w:r>
                    <w:rPr>
                      <w:rStyle w:val="CharStyle197"/>
                    </w:rPr>
                    <w:t>3-6лет (16-20 кг)</w:t>
                  </w:r>
                </w:p>
                <w:p>
                  <w:pPr>
                    <w:pStyle w:val="Style30"/>
                    <w:widowControl w:val="0"/>
                    <w:keepNext w:val="0"/>
                    <w:keepLines w:val="0"/>
                    <w:shd w:val="clear" w:color="auto" w:fill="auto"/>
                    <w:bidi w:val="0"/>
                    <w:spacing w:before="0" w:after="0" w:line="192" w:lineRule="exact"/>
                    <w:ind w:left="0" w:right="0" w:firstLine="0"/>
                  </w:pPr>
                  <w:r>
                    <w:rPr>
                      <w:rStyle w:val="CharStyle90"/>
                    </w:rPr>
                    <w:t>5 мл</w:t>
                  </w:r>
                </w:p>
                <w:p>
                  <w:pPr>
                    <w:pStyle w:val="Style107"/>
                    <w:numPr>
                      <w:ilvl w:val="0"/>
                      <w:numId w:val="207"/>
                    </w:numPr>
                    <w:tabs>
                      <w:tab w:leader="none" w:pos="110" w:val="left"/>
                    </w:tabs>
                    <w:widowControl w:val="0"/>
                    <w:keepNext w:val="0"/>
                    <w:keepLines w:val="0"/>
                    <w:shd w:val="clear" w:color="auto" w:fill="auto"/>
                    <w:bidi w:val="0"/>
                    <w:jc w:val="left"/>
                    <w:spacing w:before="0" w:after="0" w:line="192" w:lineRule="exact"/>
                    <w:ind w:left="0" w:right="8540" w:firstLine="0"/>
                  </w:pPr>
                  <w:r>
                    <w:rPr>
                      <w:rStyle w:val="CharStyle196"/>
                      <w:b w:val="0"/>
                      <w:bCs w:val="0"/>
                      <w:i w:val="0"/>
                      <w:iCs w:val="0"/>
                    </w:rPr>
                    <w:t xml:space="preserve">раза по 5 мл </w:t>
                  </w:r>
                  <w:r>
                    <w:rPr>
                      <w:rStyle w:val="CharStyle195"/>
                      <w:lang w:val="ru-RU" w:eastAsia="ru-RU" w:bidi="ru-RU"/>
                      <w:b/>
                      <w:bCs/>
                      <w:i/>
                      <w:iCs/>
                    </w:rPr>
                    <w:t>6-9лет (21-30кг)</w:t>
                  </w:r>
                </w:p>
                <w:p>
                  <w:pPr>
                    <w:pStyle w:val="Style30"/>
                    <w:widowControl w:val="0"/>
                    <w:keepNext w:val="0"/>
                    <w:keepLines w:val="0"/>
                    <w:shd w:val="clear" w:color="auto" w:fill="auto"/>
                    <w:bidi w:val="0"/>
                    <w:spacing w:before="0" w:after="0" w:line="192" w:lineRule="exact"/>
                    <w:ind w:left="0" w:right="0" w:firstLine="0"/>
                  </w:pPr>
                  <w:r>
                    <w:rPr>
                      <w:rStyle w:val="CharStyle90"/>
                    </w:rPr>
                    <w:t>5 мл</w:t>
                  </w:r>
                </w:p>
                <w:p>
                  <w:pPr>
                    <w:pStyle w:val="Style107"/>
                    <w:numPr>
                      <w:ilvl w:val="0"/>
                      <w:numId w:val="207"/>
                    </w:numPr>
                    <w:tabs>
                      <w:tab w:leader="none" w:pos="110" w:val="left"/>
                    </w:tabs>
                    <w:widowControl w:val="0"/>
                    <w:keepNext w:val="0"/>
                    <w:keepLines w:val="0"/>
                    <w:shd w:val="clear" w:color="auto" w:fill="auto"/>
                    <w:bidi w:val="0"/>
                    <w:jc w:val="left"/>
                    <w:spacing w:before="0" w:after="0" w:line="192" w:lineRule="exact"/>
                    <w:ind w:left="0" w:right="8460" w:firstLine="0"/>
                  </w:pPr>
                  <w:r>
                    <w:rPr>
                      <w:rStyle w:val="CharStyle196"/>
                      <w:b w:val="0"/>
                      <w:bCs w:val="0"/>
                      <w:i w:val="0"/>
                      <w:iCs w:val="0"/>
                    </w:rPr>
                    <w:t xml:space="preserve">раза по 5 мл </w:t>
                  </w:r>
                  <w:r>
                    <w:rPr>
                      <w:rStyle w:val="CharStyle195"/>
                      <w:lang w:val="ru-RU" w:eastAsia="ru-RU" w:bidi="ru-RU"/>
                      <w:b/>
                      <w:bCs/>
                      <w:i/>
                      <w:iCs/>
                    </w:rPr>
                    <w:t>9-12лет (31-41 кг)</w:t>
                  </w:r>
                </w:p>
                <w:p>
                  <w:pPr>
                    <w:pStyle w:val="Style30"/>
                    <w:widowControl w:val="0"/>
                    <w:keepNext w:val="0"/>
                    <w:keepLines w:val="0"/>
                    <w:shd w:val="clear" w:color="auto" w:fill="auto"/>
                    <w:bidi w:val="0"/>
                    <w:spacing w:before="0" w:after="0" w:line="192" w:lineRule="exact"/>
                    <w:ind w:left="0" w:right="0" w:firstLine="0"/>
                  </w:pPr>
                  <w:r>
                    <w:rPr>
                      <w:rStyle w:val="CharStyle90"/>
                    </w:rPr>
                    <w:t>10 мл</w:t>
                  </w:r>
                </w:p>
                <w:p>
                  <w:pPr>
                    <w:pStyle w:val="Style30"/>
                    <w:numPr>
                      <w:ilvl w:val="0"/>
                      <w:numId w:val="209"/>
                    </w:numPr>
                    <w:tabs>
                      <w:tab w:leader="none" w:pos="106" w:val="left"/>
                    </w:tabs>
                    <w:widowControl w:val="0"/>
                    <w:keepNext w:val="0"/>
                    <w:keepLines w:val="0"/>
                    <w:shd w:val="clear" w:color="auto" w:fill="auto"/>
                    <w:bidi w:val="0"/>
                    <w:jc w:val="left"/>
                    <w:spacing w:before="0" w:after="0" w:line="192" w:lineRule="exact"/>
                    <w:ind w:left="0" w:right="8720" w:firstLine="0"/>
                  </w:pPr>
                  <w:r>
                    <w:rPr>
                      <w:rStyle w:val="CharStyle90"/>
                    </w:rPr>
                    <w:t xml:space="preserve">раза по 10 мл </w:t>
                  </w:r>
                  <w:r>
                    <w:rPr>
                      <w:rStyle w:val="CharStyle197"/>
                    </w:rPr>
                    <w:t>более 41 кг</w:t>
                  </w:r>
                </w:p>
                <w:p>
                  <w:pPr>
                    <w:pStyle w:val="Style30"/>
                    <w:widowControl w:val="0"/>
                    <w:keepNext w:val="0"/>
                    <w:keepLines w:val="0"/>
                    <w:shd w:val="clear" w:color="auto" w:fill="auto"/>
                    <w:bidi w:val="0"/>
                    <w:spacing w:before="0" w:after="0" w:line="192" w:lineRule="exact"/>
                    <w:ind w:left="0" w:right="0" w:firstLine="0"/>
                  </w:pPr>
                  <w:r>
                    <w:rPr>
                      <w:rStyle w:val="CharStyle90"/>
                    </w:rPr>
                    <w:t>10 мл</w:t>
                  </w:r>
                </w:p>
                <w:p>
                  <w:pPr>
                    <w:pStyle w:val="Style30"/>
                    <w:numPr>
                      <w:ilvl w:val="0"/>
                      <w:numId w:val="209"/>
                    </w:numPr>
                    <w:tabs>
                      <w:tab w:leader="none" w:pos="110" w:val="left"/>
                    </w:tabs>
                    <w:widowControl w:val="0"/>
                    <w:keepNext w:val="0"/>
                    <w:keepLines w:val="0"/>
                    <w:shd w:val="clear" w:color="auto" w:fill="auto"/>
                    <w:bidi w:val="0"/>
                    <w:spacing w:before="0" w:after="0" w:line="192" w:lineRule="exact"/>
                    <w:ind w:left="0" w:right="0" w:firstLine="0"/>
                  </w:pPr>
                  <w:r>
                    <w:rPr>
                      <w:rStyle w:val="CharStyle90"/>
                    </w:rPr>
                    <w:t>раза по 10 мл</w:t>
                  </w:r>
                </w:p>
                <w:p>
                  <w:pPr>
                    <w:pStyle w:val="Style30"/>
                    <w:widowControl w:val="0"/>
                    <w:keepNext w:val="0"/>
                    <w:keepLines w:val="0"/>
                    <w:shd w:val="clear" w:color="auto" w:fill="auto"/>
                    <w:bidi w:val="0"/>
                    <w:spacing w:before="0" w:after="0" w:line="192" w:lineRule="exact"/>
                    <w:ind w:left="0" w:right="0" w:firstLine="0"/>
                  </w:pPr>
                  <w:r>
                    <w:rPr>
                      <w:rStyle w:val="CharStyle90"/>
                    </w:rPr>
                    <w:t>Механизм действия: нестероидный противовоспалительный агент (ингибирует синтез простагландинов). Нестероидное противовоспа</w:t>
                    <w:softHyphen/>
                    <w:t>лительное средство (производное пропионовой кислоты). Ибуфен оказывает двойное антипиретическое действие — центральное и пе</w:t>
                    <w:softHyphen/>
                    <w:t>риферическое. Центральное действие ибупрофена заключается в блокировании циклооксигеназы арахидоновой кислоты в ЦНС. Это приводит к уменьшению синтеза простагландинов, в результате чего нормализуется температура тела. Механизм периферического жа</w:t>
                    <w:softHyphen/>
                    <w:t>ропонижающего действия ибупрофена обусловлен ингибицией процессов образования простагландинов в поврежденных тканях. Это приводит к снижению активности воспаления. Эффект снижения температуры начинается уже через 30 мин. после приема, а его макси</w:t>
                    <w:softHyphen/>
                    <w:t>мальное действие проявляется по истечении 3 часов. Жаропонижающее и болеутоляющее действие проявляется раньше и в меньших до</w:t>
                    <w:softHyphen/>
                    <w:t>зах, чем противовоспалительное действие. После перорального применения более 80% ибупрофена всасывается из пищеварительного тракта, достигая максимальной концентрации в плазме крови по истечении 1 часа. Связывается с белками плазмы крови (в основном с альбуминами) в более 90%. Препарат медленно проникает в суставные полости. Максимальная концентрация в синовиальной жидко</w:t>
                    <w:softHyphen/>
                    <w:t>сти наблюдается через 5-6 час после перорального применения.</w:t>
                  </w:r>
                </w:p>
                <w:p>
                  <w:pPr>
                    <w:pStyle w:val="Style30"/>
                    <w:widowControl w:val="0"/>
                    <w:keepNext w:val="0"/>
                    <w:keepLines w:val="0"/>
                    <w:shd w:val="clear" w:color="auto" w:fill="auto"/>
                    <w:bidi w:val="0"/>
                    <w:spacing w:before="0" w:after="0" w:line="192" w:lineRule="exact"/>
                    <w:ind w:left="0" w:right="0" w:firstLine="0"/>
                  </w:pPr>
                  <w:r>
                    <w:rPr>
                      <w:rStyle w:val="CharStyle90"/>
                    </w:rPr>
                    <w:t>Не кумулируется в организме. Метаболизируется главным образом в печени. 60-90% выводится с мочой в форме метаболитов и продук</w:t>
                    <w:softHyphen/>
                    <w:t>тов их соединения с глюкуроновой кислотой. После приема разовой дозы полностью выводится в течение 24 часов.</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действия:</w:t>
                  </w:r>
                </w:p>
                <w:p>
                  <w:pPr>
                    <w:pStyle w:val="Style30"/>
                    <w:widowControl w:val="0"/>
                    <w:keepNext w:val="0"/>
                    <w:keepLines w:val="0"/>
                    <w:shd w:val="clear" w:color="auto" w:fill="auto"/>
                    <w:bidi w:val="0"/>
                    <w:spacing w:before="0" w:after="0" w:line="192" w:lineRule="exact"/>
                    <w:ind w:left="0" w:right="0" w:firstLine="0"/>
                  </w:pPr>
                  <w:r>
                    <w:rPr>
                      <w:rStyle w:val="CharStyle90"/>
                    </w:rPr>
                    <w:t>Головокружение, нарушение сна, возбуждение, нарушение зрения, тошнота, рвота, боли в области живота, понос, запор, нарушение функции печени и почек, зуд, сыпь.</w:t>
                  </w:r>
                </w:p>
              </w:txbxContent>
            </v:textbox>
            <w10:wrap anchorx="margin"/>
          </v:shape>
        </w:pict>
      </w:r>
      <w:r>
        <w:pict>
          <v:shape id="_x0000_s2117" type="#_x0000_t75" style="position:absolute;margin-left:136.55pt;margin-top:734.65pt;width:209.75pt;height:14.9pt;z-index:-251658586;mso-wrap-distance-left:5.pt;mso-wrap-distance-right:5.pt;mso-position-horizontal-relative:margin" wrapcoords="0 0">
            <v:imagedata r:id="rId1467" r:href="rId1468"/>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78" w:lineRule="exact"/>
      </w:pPr>
    </w:p>
    <w:p>
      <w:pPr>
        <w:widowControl w:val="0"/>
        <w:rPr>
          <w:sz w:val="2"/>
          <w:szCs w:val="2"/>
        </w:rPr>
        <w:sectPr>
          <w:type w:val="continuous"/>
          <w:pgSz w:w="11900" w:h="16840"/>
          <w:pgMar w:top="1453" w:left="1124" w:right="898" w:bottom="177" w:header="0" w:footer="3" w:gutter="0"/>
          <w:rtlGutter w:val="0"/>
          <w:cols w:space="720"/>
          <w:noEndnote/>
          <w:docGrid w:linePitch="360"/>
        </w:sectPr>
      </w:pPr>
    </w:p>
    <w:p>
      <w:pPr>
        <w:widowControl w:val="0"/>
        <w:rPr>
          <w:sz w:val="2"/>
          <w:szCs w:val="2"/>
        </w:rPr>
      </w:pPr>
      <w:r>
        <w:pict>
          <v:shape id="_x0000_s2118" type="#_x0000_t202" style="position:static;width:595.pt;height:6.8pt" filled="f" stroked="f">
            <v:textbox inset="0,0,0,0">
              <w:txbxContent>
                <w:p>
                  <w:pPr>
                    <w:widowControl w:val="0"/>
                  </w:pPr>
                </w:p>
              </w:txbxContent>
            </v:textbox>
            <w10:anchorlock/>
          </v:shape>
        </w:pict>
      </w:r>
      <w:r>
        <w:t xml:space="preserve"> </w:t>
      </w:r>
    </w:p>
    <w:p>
      <w:pPr>
        <w:widowControl w:val="0"/>
        <w:rPr>
          <w:sz w:val="2"/>
          <w:szCs w:val="2"/>
        </w:rPr>
        <w:sectPr>
          <w:pgSz w:w="11900" w:h="16840"/>
          <w:pgMar w:top="1438" w:left="0" w:right="0" w:bottom="162" w:header="0" w:footer="3" w:gutter="0"/>
          <w:rtlGutter w:val="0"/>
          <w:cols w:space="720"/>
          <w:noEndnote/>
          <w:docGrid w:linePitch="360"/>
        </w:sectPr>
      </w:pPr>
    </w:p>
    <w:p>
      <w:pPr>
        <w:widowControl w:val="0"/>
        <w:spacing w:line="360" w:lineRule="exact"/>
      </w:pPr>
      <w:r>
        <w:pict>
          <v:shape id="_x0000_s2119" type="#_x0000_t202" style="position:absolute;margin-left:1.2pt;margin-top:0.1pt;width:491.5pt;height:231.8pt;z-index:251657888;mso-wrap-distance-left:5.pt;mso-wrap-distance-right:5.pt;mso-position-horizontal-relative:margin" filled="f" stroked="f">
            <v:textbox style="mso-fit-shape-to-text:t" inset="0,0,0,0">
              <w:txbxContent>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Противопоказания:</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Язвенная болезнь желудка или двенадцатиперстной кишки в стадии обострения. Бронхоспастические реакции после применения аце</w:t>
                    <w:softHyphen/>
                    <w:t>тилсалициловой кислоты или других нестероидных противовоспалительных средств (так наз. «аспириновая астма»). Полипы носа, отек Квинке, индивидуальная повышенная чувствительность к ибупрофену или другим нестероидным противовоспалительным, а также к другим компонентам препарата. Не применять у детей до 6 месяцев жизни и детей с массой тела ниже 7 кг.</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Взаимодействие с другими лекарственными средствами:</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Не следует применять ибуфен одновременно с другими нестероидными противовоспалительными средствами (ацетилсалициловая кис</w:t>
                    <w:softHyphen/>
                    <w:t>лота снижает противовоспалительное действие ибупрофена и усиливает побочное действие). Ибупрофен в значительной степени связы</w:t>
                    <w:softHyphen/>
                    <w:t>вается с белками плазмы крови. Ибупрофен может вытеснять другие лекарственные средства из соединений с белками или сам может ими вытесняться. Несмотря на отсутствие клинических данных такого взаимодействия, следует соблюдать осторожность, применяя ибупро</w:t>
                    <w:softHyphen/>
                    <w:t>фен одновременно со средствами, сильно связывающимися с белками, такими как пероральные средства, снижающие свертываемость крови (аценокумарол), производные гидантоина (фенитоин) или сульфонилмочевины (пероральные антидиабетические средства). Ибупрофен ослабляет действие гипотензивных средств (ингибиторов конвертазы ангиотензина, в-адренергических средств, тиазидов), тормозит мочегонное действие некоторых диуретиков (фуросемид), а также замедляет выведение солей лития. Усиливает токсическое действие метотрексата.</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Передозировка:</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Токсические действия препарата проявляются после приема дозы, превышающей 400 мг/кг массы тела (т.е. 80 рекомендованных разо</w:t>
                    <w:softHyphen/>
                    <w:t>вых доз): желудочно-кишечные расстройства, геморрагический диатез, депрессия, обменный ацидоз, понижение артериального давле</w:t>
                    <w:softHyphen/>
                    <w:t>ния, брадикардия, судороги, апноэ, сонливость, нарушения функции печени и почек.</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В результате передозировки дети до 5 лет особенно склонны к проявлению апноэ, комы и судорог.</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Лечение при передозировке: промывание желудка водой с активированным углем. Симптоматическое лечение.</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Форма выпуска:</w:t>
                  </w:r>
                </w:p>
                <w:p>
                  <w:pPr>
                    <w:pStyle w:val="Style45"/>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spacing w:before="0" w:after="0"/>
                    <w:ind w:left="0" w:right="0" w:firstLine="0"/>
                  </w:pPr>
                  <w:r>
                    <w:rPr>
                      <w:rStyle w:val="CharStyle190"/>
                    </w:rPr>
                    <w:t>Флакон, содержащий 100 г суспензии для перорального применения, 100 мг/5 мл, оранжевого цвета с апельсиновым запахом и вкусом. К упаковке прилагается мерка со шкалой.</w:t>
                  </w:r>
                </w:p>
              </w:txbxContent>
            </v:textbox>
            <w10:wrap anchorx="margin"/>
          </v:shape>
        </w:pict>
      </w:r>
      <w:r>
        <w:pict>
          <v:shape id="_x0000_s2120" type="#_x0000_t202" style="position:absolute;margin-left:0.95pt;margin-top:244.1pt;width:492.pt;height:5.e-002pt;z-index:251657889;mso-wrap-distance-left:5.pt;mso-wrap-distance-right:5.pt;mso-position-horizontal-relative:margin" filled="f" stroked="f">
            <v:textbox style="mso-fit-shape-to-text:t" inset="0,0,0,0">
              <w:txbxContent>
                <w:p>
                  <w:pPr>
                    <w:pStyle w:val="Style188"/>
                    <w:widowControl w:val="0"/>
                    <w:keepNext w:val="0"/>
                    <w:keepLines w:val="0"/>
                    <w:shd w:val="clear" w:color="auto" w:fill="auto"/>
                    <w:bidi w:val="0"/>
                    <w:jc w:val="both"/>
                    <w:spacing w:before="0" w:after="0" w:line="192" w:lineRule="exact"/>
                    <w:ind w:left="0" w:right="0" w:firstLine="0"/>
                  </w:pPr>
                  <w:r>
                    <w:rPr>
                      <w:lang w:val="ru-RU" w:eastAsia="ru-RU" w:bidi="ru-RU"/>
                      <w:w w:val="100"/>
                      <w:spacing w:val="0"/>
                      <w:color w:val="000000"/>
                      <w:position w:val="0"/>
                    </w:rPr>
                    <w:t xml:space="preserve">Ортофен </w:t>
                  </w:r>
                  <w:r>
                    <w:rPr>
                      <w:w w:val="100"/>
                      <w:spacing w:val="0"/>
                      <w:color w:val="000000"/>
                      <w:position w:val="0"/>
                    </w:rPr>
                    <w:t xml:space="preserve">(Ortophenum) </w:t>
                  </w:r>
                  <w:r>
                    <w:rPr>
                      <w:lang w:val="ru-RU" w:eastAsia="ru-RU" w:bidi="ru-RU"/>
                      <w:w w:val="100"/>
                      <w:spacing w:val="0"/>
                      <w:color w:val="000000"/>
                      <w:position w:val="0"/>
                    </w:rPr>
                    <w:t xml:space="preserve">Синонимы: Вольтарен, Диклофенак-натрий, Реводин, Фелоран, </w:t>
                  </w:r>
                  <w:r>
                    <w:rPr>
                      <w:w w:val="100"/>
                      <w:spacing w:val="0"/>
                      <w:color w:val="000000"/>
                      <w:position w:val="0"/>
                    </w:rPr>
                    <w:t xml:space="preserve">Aflamin, Batafil, Delimon, Diclofenac-natrium, Diclofenac sodium, Diclogesic, Diclomax, Diclonak, Dicloreum, Diklofenak, Diralon, Feloran, Inflanac, Linobol, Prophenatin, Rewodina, Sofarin, Sorelmon, Valetan, Veral, Voltaren, Voltarol, Vonafec, Votaxil, Votrex, Youfenac </w:t>
                  </w:r>
                  <w:r>
                    <w:rPr>
                      <w:lang w:val="ru-RU" w:eastAsia="ru-RU" w:bidi="ru-RU"/>
                      <w:w w:val="100"/>
                      <w:spacing w:val="0"/>
                      <w:color w:val="000000"/>
                      <w:position w:val="0"/>
                    </w:rPr>
                    <w:t>и др.</w:t>
                  </w:r>
                </w:p>
                <w:p>
                  <w:pPr>
                    <w:pStyle w:val="Style182"/>
                    <w:widowControl w:val="0"/>
                    <w:keepNext w:val="0"/>
                    <w:keepLines w:val="0"/>
                    <w:shd w:val="clear" w:color="auto" w:fill="auto"/>
                    <w:bidi w:val="0"/>
                    <w:jc w:val="left"/>
                    <w:spacing w:before="0" w:after="0" w:line="160" w:lineRule="exact"/>
                    <w:ind w:left="0" w:right="0" w:firstLine="0"/>
                  </w:pPr>
                  <w:r>
                    <w:rPr>
                      <w:rStyle w:val="CharStyle183"/>
                    </w:rPr>
                    <w:t>Показания</w:t>
                  </w:r>
                </w:p>
                <w:p>
                  <w:pPr>
                    <w:pStyle w:val="Style182"/>
                    <w:widowControl w:val="0"/>
                    <w:keepNext w:val="0"/>
                    <w:keepLines w:val="0"/>
                    <w:shd w:val="clear" w:color="auto" w:fill="auto"/>
                    <w:bidi w:val="0"/>
                    <w:jc w:val="left"/>
                    <w:spacing w:before="0" w:after="0" w:line="160" w:lineRule="exact"/>
                    <w:ind w:left="0" w:right="0" w:firstLine="0"/>
                  </w:pPr>
                  <w:r>
                    <w:rPr>
                      <w:rStyle w:val="CharStyle183"/>
                    </w:rPr>
                    <w:t>Острый ревматизм, ревматоидный артрит, анкилозирующий спондилоартрит (болезнь Бехтерева), артроз, спондилоартроз, кардиты.</w:t>
                  </w:r>
                </w:p>
                <w:tbl>
                  <w:tblPr>
                    <w:tblOverlap w:val="never"/>
                    <w:tblLayout w:type="fixed"/>
                    <w:jc w:val="center"/>
                  </w:tblPr>
                  <w:tblGrid>
                    <w:gridCol w:w="1939"/>
                    <w:gridCol w:w="4090"/>
                    <w:gridCol w:w="3811"/>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Детям по 0,015-0,025 г</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2-3 раза в день (иногда до 4-6 раз в сутки).</w:t>
                        </w:r>
                      </w:p>
                    </w:tc>
                  </w:tr>
                </w:tbl>
                <w:p>
                  <w:pPr>
                    <w:widowControl w:val="0"/>
                    <w:rPr>
                      <w:sz w:val="2"/>
                      <w:szCs w:val="2"/>
                    </w:rPr>
                  </w:pPr>
                </w:p>
              </w:txbxContent>
            </v:textbox>
            <w10:wrap anchorx="margin"/>
          </v:shape>
        </w:pict>
      </w:r>
      <w:r>
        <w:pict>
          <v:shape id="_x0000_s2121" type="#_x0000_t202" style="position:absolute;margin-left:1.45pt;margin-top:318.25pt;width:491.05pt;height:156.45pt;z-index:251657890;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jc w:val="left"/>
                    <w:spacing w:before="0" w:after="0"/>
                    <w:ind w:left="0" w:right="0" w:firstLine="0"/>
                  </w:pPr>
                  <w:r>
                    <w:rPr>
                      <w:rStyle w:val="CharStyle190"/>
                    </w:rPr>
                    <w:t>Фармакологическое действие:</w:t>
                  </w:r>
                </w:p>
                <w:p>
                  <w:pPr>
                    <w:pStyle w:val="Style45"/>
                    <w:widowControl w:val="0"/>
                    <w:keepNext w:val="0"/>
                    <w:keepLines w:val="0"/>
                    <w:shd w:val="clear" w:color="auto" w:fill="auto"/>
                    <w:bidi w:val="0"/>
                    <w:jc w:val="left"/>
                    <w:spacing w:before="0" w:after="0"/>
                    <w:ind w:left="0" w:right="0" w:firstLine="0"/>
                  </w:pPr>
                  <w:r>
                    <w:rPr>
                      <w:rStyle w:val="CharStyle190"/>
                    </w:rPr>
                    <w:t>Препарат обладает характерными для НПВС свойствами: оказывает противовоспалительное, анальгезирующее и жаропонижающее дей</w:t>
                    <w:softHyphen/>
                    <w:t>ствие. По силе противовоспалительного и анальгетического действия превосходит ацетилсалициловую кислоту, бутадион и ибупрофен. По эффективности при ревматизме и болезни Бехтерева не уступает преднизолону и индометацину. При приеме внутрь препарат хоро</w:t>
                    <w:softHyphen/>
                    <w:t>шо всасывается. При курсовом лечении больных ревматоидным артритом интенсивно проникает в полости суставов. Противопоказания:</w:t>
                  </w:r>
                </w:p>
                <w:p>
                  <w:pPr>
                    <w:pStyle w:val="Style45"/>
                    <w:widowControl w:val="0"/>
                    <w:keepNext w:val="0"/>
                    <w:keepLines w:val="0"/>
                    <w:shd w:val="clear" w:color="auto" w:fill="auto"/>
                    <w:bidi w:val="0"/>
                    <w:jc w:val="left"/>
                    <w:spacing w:before="0" w:after="0"/>
                    <w:ind w:left="0" w:right="0" w:firstLine="0"/>
                  </w:pPr>
                  <w:r>
                    <w:rPr>
                      <w:rStyle w:val="CharStyle190"/>
                    </w:rPr>
                    <w:t>Язвенная болезнь желудка и двенадцатиперстной кишки, первые 3 месяца беременности.</w:t>
                  </w:r>
                </w:p>
                <w:p>
                  <w:pPr>
                    <w:pStyle w:val="Style45"/>
                    <w:widowControl w:val="0"/>
                    <w:keepNext w:val="0"/>
                    <w:keepLines w:val="0"/>
                    <w:shd w:val="clear" w:color="auto" w:fill="auto"/>
                    <w:bidi w:val="0"/>
                    <w:jc w:val="left"/>
                    <w:spacing w:before="0" w:after="0"/>
                    <w:ind w:left="0" w:right="0" w:firstLine="0"/>
                  </w:pPr>
                  <w:r>
                    <w:rPr>
                      <w:rStyle w:val="CharStyle190"/>
                    </w:rPr>
                    <w:t>Ограничения к применению:</w:t>
                  </w:r>
                </w:p>
                <w:p>
                  <w:pPr>
                    <w:pStyle w:val="Style45"/>
                    <w:widowControl w:val="0"/>
                    <w:keepNext w:val="0"/>
                    <w:keepLines w:val="0"/>
                    <w:shd w:val="clear" w:color="auto" w:fill="auto"/>
                    <w:bidi w:val="0"/>
                    <w:jc w:val="left"/>
                    <w:spacing w:before="0" w:after="0"/>
                    <w:ind w:left="0" w:right="0" w:firstLine="0"/>
                  </w:pPr>
                  <w:r>
                    <w:rPr>
                      <w:rStyle w:val="CharStyle190"/>
                    </w:rPr>
                    <w:t>Заболевания ЖКТ, поражения печени и почек. При длительном применении препарата необходимо контролировать картину крови. Побочные эффекты:</w:t>
                  </w:r>
                </w:p>
                <w:p>
                  <w:pPr>
                    <w:pStyle w:val="Style45"/>
                    <w:widowControl w:val="0"/>
                    <w:keepNext w:val="0"/>
                    <w:keepLines w:val="0"/>
                    <w:shd w:val="clear" w:color="auto" w:fill="auto"/>
                    <w:bidi w:val="0"/>
                    <w:spacing w:before="0" w:after="0"/>
                    <w:ind w:left="0" w:right="0" w:firstLine="0"/>
                  </w:pPr>
                  <w:r>
                    <w:rPr>
                      <w:rStyle w:val="CharStyle190"/>
                    </w:rPr>
                    <w:t>Препарат обычно хорошо переносится и редко вызывает побочные явления. Возможны, однако (особенно в начале лечения), боли в эпи</w:t>
                    <w:softHyphen/>
                    <w:t>гастральной области, отрыжка, рвота, понос, а также головные боли и легкое головокружение. Эти явления обычно проходят самостоя</w:t>
                    <w:softHyphen/>
                    <w:t>тельно. В отдельных случаях возможны кожные аллергические реакции.</w:t>
                  </w:r>
                </w:p>
                <w:p>
                  <w:pPr>
                    <w:pStyle w:val="Style45"/>
                    <w:widowControl w:val="0"/>
                    <w:keepNext w:val="0"/>
                    <w:keepLines w:val="0"/>
                    <w:shd w:val="clear" w:color="auto" w:fill="auto"/>
                    <w:bidi w:val="0"/>
                    <w:jc w:val="left"/>
                    <w:spacing w:before="0" w:after="0"/>
                    <w:ind w:left="0" w:right="0" w:firstLine="0"/>
                  </w:pPr>
                  <w:r>
                    <w:rPr>
                      <w:rStyle w:val="CharStyle190"/>
                    </w:rPr>
                    <w:t>Взаимодействие:</w:t>
                  </w:r>
                </w:p>
                <w:p>
                  <w:pPr>
                    <w:pStyle w:val="Style45"/>
                    <w:widowControl w:val="0"/>
                    <w:keepNext w:val="0"/>
                    <w:keepLines w:val="0"/>
                    <w:shd w:val="clear" w:color="auto" w:fill="auto"/>
                    <w:bidi w:val="0"/>
                    <w:jc w:val="left"/>
                    <w:spacing w:before="0" w:after="0"/>
                    <w:ind w:left="0" w:right="0" w:firstLine="0"/>
                  </w:pPr>
                  <w:r>
                    <w:rPr>
                      <w:rStyle w:val="CharStyle190"/>
                    </w:rPr>
                    <w:t>Не рекомендуется назначать ортофен совместно с ацетилсалициловой кислотой, так как при этом снижается концентрация ортофена в плазме крови.</w:t>
                  </w:r>
                </w:p>
              </w:txbxContent>
            </v:textbox>
            <w10:wrap anchorx="margin"/>
          </v:shape>
        </w:pict>
      </w:r>
      <w:r>
        <w:pict>
          <v:shape id="_x0000_s2122" type="#_x0000_t202" style="position:absolute;margin-left:11.75pt;margin-top:488.85pt;width:334.3pt;height:11.9pt;z-index:251657891;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АНТИАГРЕГАНТЫ, ПРЕПАРАТЫ, УЛУЧШАЮЩИЕ МИКРОЦИРКУЛЯЦИЮ</w:t>
                  </w:r>
                </w:p>
              </w:txbxContent>
            </v:textbox>
            <w10:wrap anchorx="margin"/>
          </v:shape>
        </w:pict>
      </w:r>
      <w:r>
        <w:pict>
          <v:shape id="_x0000_s2123" type="#_x0000_t202" style="position:absolute;margin-left:0.95pt;margin-top:515.75pt;width:492.pt;height:5.e-002pt;z-index:251657892;mso-wrap-distance-left:5.pt;mso-wrap-distance-right:5.pt;mso-position-horizontal-relative:margin" filled="f" stroked="f">
            <v:textbox style="mso-fit-shape-to-text:t" inset="0,0,0,0">
              <w:txbxContent>
                <w:p>
                  <w:pPr>
                    <w:pStyle w:val="Style188"/>
                    <w:widowControl w:val="0"/>
                    <w:keepNext w:val="0"/>
                    <w:keepLines w:val="0"/>
                    <w:shd w:val="clear" w:color="auto" w:fill="auto"/>
                    <w:bidi w:val="0"/>
                    <w:jc w:val="both"/>
                    <w:spacing w:before="0" w:after="0" w:line="192" w:lineRule="exact"/>
                    <w:ind w:left="0" w:right="0" w:firstLine="0"/>
                  </w:pPr>
                  <w:r>
                    <w:rPr>
                      <w:lang w:val="ru-RU" w:eastAsia="ru-RU" w:bidi="ru-RU"/>
                      <w:w w:val="100"/>
                      <w:spacing w:val="0"/>
                      <w:color w:val="000000"/>
                      <w:position w:val="0"/>
                    </w:rPr>
                    <w:t xml:space="preserve">Кислота ацетилсалициловая Синонимы: Аспирин, Аспро, </w:t>
                  </w:r>
                  <w:r>
                    <w:rPr>
                      <w:w w:val="100"/>
                      <w:spacing w:val="0"/>
                      <w:color w:val="000000"/>
                      <w:position w:val="0"/>
                    </w:rPr>
                    <w:t xml:space="preserve">Acesal, Aceticyl, Acetol, Acetophen, Acetosal, Acetylin, Acetylsal, Acetysal, Acylpyrin, Aspirin, Aspisol, Asposal, Aspro, Astrin, Ataspin, Bayaspirin, Bebaspin, Benaspir, Bispirine, Caprin, Cetasal, Citopyrine, Clariprin, Darosal, Durasal, Easprin, Endosalil, Endospirin, Eutosal, Genasprine, Helicon, Isopirin, Istopirin, Monasalyl, Novosprin, Panspiril, Polopiryna, Prodol, Rodopyrin, Ruspirin, Salacetin, Saletin, Temperal, Vicapirine, Zorprin </w:t>
                  </w:r>
                  <w:r>
                    <w:rPr>
                      <w:lang w:val="ru-RU" w:eastAsia="ru-RU" w:bidi="ru-RU"/>
                      <w:w w:val="100"/>
                      <w:spacing w:val="0"/>
                      <w:color w:val="000000"/>
                      <w:position w:val="0"/>
                    </w:rPr>
                    <w:t>и др.</w:t>
                  </w:r>
                </w:p>
                <w:p>
                  <w:pPr>
                    <w:pStyle w:val="Style182"/>
                    <w:widowControl w:val="0"/>
                    <w:keepNext w:val="0"/>
                    <w:keepLines w:val="0"/>
                    <w:shd w:val="clear" w:color="auto" w:fill="auto"/>
                    <w:bidi w:val="0"/>
                    <w:spacing w:before="0" w:after="0"/>
                    <w:ind w:left="0" w:right="0" w:firstLine="0"/>
                  </w:pPr>
                  <w:r>
                    <w:rPr>
                      <w:rStyle w:val="CharStyle183"/>
                    </w:rPr>
                    <w:t>Механизм действия: ингибирует синтез простагландинов, которые предотвращают высвобождение тромбоксана А2, что приводит к снижению агрегации тромбоцитов.</w:t>
                  </w:r>
                </w:p>
                <w:tbl>
                  <w:tblPr>
                    <w:tblOverlap w:val="never"/>
                    <w:tblLayout w:type="fixed"/>
                    <w:jc w:val="center"/>
                  </w:tblPr>
                  <w:tblGrid>
                    <w:gridCol w:w="1939"/>
                    <w:gridCol w:w="4090"/>
                    <w:gridCol w:w="3811"/>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811"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92" w:lineRule="exact"/>
                          <w:ind w:left="0" w:right="0" w:firstLine="0"/>
                        </w:pPr>
                        <w:r>
                          <w:rPr>
                            <w:rStyle w:val="CharStyle102"/>
                          </w:rPr>
                          <w:t>Антитромботическая: 3-10 мг/кг</w:t>
                        </w:r>
                      </w:p>
                      <w:p>
                        <w:pPr>
                          <w:pStyle w:val="Style30"/>
                          <w:widowControl w:val="0"/>
                          <w:keepNext w:val="0"/>
                          <w:keepLines w:val="0"/>
                          <w:shd w:val="clear" w:color="auto" w:fill="auto"/>
                          <w:bidi w:val="0"/>
                          <w:jc w:val="left"/>
                          <w:spacing w:before="0" w:after="0" w:line="192" w:lineRule="exact"/>
                          <w:ind w:left="0" w:right="0" w:firstLine="0"/>
                        </w:pPr>
                        <w:r>
                          <w:rPr>
                            <w:rStyle w:val="CharStyle102"/>
                          </w:rPr>
                          <w:t>Противовоспалительная: 15-25 мг/кг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2-3 раза в день (иногда до 4-6 раз в сутки).</w:t>
                        </w:r>
                      </w:p>
                    </w:tc>
                  </w:tr>
                  <w:tr>
                    <w:trPr>
                      <w:trHeight w:val="226"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Побочные эффекты: сыпь</w:t>
                        </w:r>
                      </w:p>
                    </w:tc>
                    <w:tc>
                      <w:tcPr>
                        <w:shd w:val="clear" w:color="auto" w:fill="FFFFFF"/>
                        <w:tcBorders>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тошнота, гепатотоксичность, бронхоспазм, шум в ушах.</w:t>
                        </w:r>
                      </w:p>
                    </w:tc>
                    <w:tc>
                      <w:tcPr>
                        <w:shd w:val="clear" w:color="auto" w:fill="FFFFFF"/>
                        <w:tcBorders>
                          <w:right w:val="single" w:sz="4"/>
                          <w:top w:val="single" w:sz="4"/>
                        </w:tcBorders>
                        <w:vAlign w:val="top"/>
                      </w:tcPr>
                      <w:p>
                        <w:pPr>
                          <w:widowControl w:val="0"/>
                          <w:rPr>
                            <w:sz w:val="10"/>
                            <w:szCs w:val="10"/>
                          </w:rPr>
                        </w:pPr>
                      </w:p>
                    </w:tc>
                  </w:tr>
                </w:tbl>
                <w:p>
                  <w:pPr>
                    <w:pStyle w:val="Style182"/>
                    <w:widowControl w:val="0"/>
                    <w:keepNext w:val="0"/>
                    <w:keepLines w:val="0"/>
                    <w:shd w:val="clear" w:color="auto" w:fill="auto"/>
                    <w:bidi w:val="0"/>
                    <w:spacing w:before="0" w:after="0"/>
                    <w:ind w:left="0" w:right="0" w:firstLine="0"/>
                  </w:pPr>
                  <w:r>
                    <w:rPr>
                      <w:rStyle w:val="CharStyle183"/>
                    </w:rPr>
                    <w:t>Осторожность: почечная дисфункция, эрозивный гастрит, пептическая язва.</w:t>
                  </w:r>
                </w:p>
                <w:p>
                  <w:pPr>
                    <w:pStyle w:val="Style182"/>
                    <w:widowControl w:val="0"/>
                    <w:keepNext w:val="0"/>
                    <w:keepLines w:val="0"/>
                    <w:shd w:val="clear" w:color="auto" w:fill="auto"/>
                    <w:bidi w:val="0"/>
                    <w:spacing w:before="0" w:after="0"/>
                    <w:ind w:left="0" w:right="0" w:firstLine="0"/>
                  </w:pPr>
                  <w:r>
                    <w:rPr>
                      <w:rStyle w:val="CharStyle183"/>
                    </w:rPr>
                    <w:t>Противопоказания: печеночная недостаточность, кровотечения, повышенная чувствительность к другим нестероидным противовоспа</w:t>
                    <w:softHyphen/>
                    <w:t>лительным препаратам, дети до 16 лет с коклюшем или гриппом (из-за опасности с-ма Рейе).</w:t>
                  </w:r>
                </w:p>
                <w:p>
                  <w:pPr>
                    <w:widowControl w:val="0"/>
                    <w:rPr>
                      <w:sz w:val="2"/>
                      <w:szCs w:val="2"/>
                    </w:rPr>
                  </w:pPr>
                </w:p>
              </w:txbxContent>
            </v:textbox>
            <w10:wrap anchorx="margin"/>
          </v:shape>
        </w:pict>
      </w:r>
      <w:r>
        <w:pict>
          <v:shape id="_x0000_s2124" type="#_x0000_t75" style="position:absolute;margin-left:147.85pt;margin-top:734.9pt;width:209.75pt;height:14.9pt;z-index:-251658585;mso-wrap-distance-left:5.pt;mso-wrap-distance-right:5.pt;mso-position-horizontal-relative:margin" wrapcoords="0 0">
            <v:imagedata r:id="rId1469" r:href="rId1470"/>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82" w:lineRule="exact"/>
      </w:pPr>
    </w:p>
    <w:p>
      <w:pPr>
        <w:widowControl w:val="0"/>
        <w:rPr>
          <w:sz w:val="2"/>
          <w:szCs w:val="2"/>
        </w:rPr>
        <w:sectPr>
          <w:type w:val="continuous"/>
          <w:pgSz w:w="11900" w:h="16840"/>
          <w:pgMar w:top="1438" w:left="898" w:right="1124" w:bottom="162" w:header="0" w:footer="3" w:gutter="0"/>
          <w:rtlGutter w:val="0"/>
          <w:cols w:space="720"/>
          <w:noEndnote/>
          <w:docGrid w:linePitch="360"/>
        </w:sectPr>
      </w:pPr>
    </w:p>
    <w:p>
      <w:pPr>
        <w:widowControl w:val="0"/>
        <w:rPr>
          <w:sz w:val="2"/>
          <w:szCs w:val="2"/>
        </w:rPr>
      </w:pPr>
      <w:r>
        <w:pict>
          <v:shape id="_x0000_s2125" type="#_x0000_t202" style="position:static;width:595.pt;height:7.05pt" filled="f" stroked="f">
            <v:textbox inset="0,0,0,0">
              <w:txbxContent>
                <w:p>
                  <w:pPr>
                    <w:widowControl w:val="0"/>
                  </w:pPr>
                </w:p>
              </w:txbxContent>
            </v:textbox>
            <w10:anchorlock/>
          </v:shape>
        </w:pict>
      </w:r>
      <w:r>
        <w:t xml:space="preserve"> </w:t>
      </w:r>
    </w:p>
    <w:p>
      <w:pPr>
        <w:widowControl w:val="0"/>
        <w:rPr>
          <w:sz w:val="2"/>
          <w:szCs w:val="2"/>
        </w:rPr>
        <w:sectPr>
          <w:pgSz w:w="11900" w:h="16840"/>
          <w:pgMar w:top="1438" w:left="0" w:right="0" w:bottom="162" w:header="0" w:footer="3" w:gutter="0"/>
          <w:rtlGutter w:val="0"/>
          <w:cols w:space="720"/>
          <w:noEndnote/>
          <w:docGrid w:linePitch="360"/>
        </w:sectPr>
      </w:pPr>
    </w:p>
    <w:p>
      <w:pPr>
        <w:widowControl w:val="0"/>
        <w:spacing w:line="360" w:lineRule="exact"/>
      </w:pPr>
      <w:r>
        <w:pict>
          <v:shape id="_x0000_s2126" type="#_x0000_t202" style="position:absolute;margin-left:2.15pt;margin-top:0.1pt;width:490.3pt;height:70.75pt;z-index:251657893;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Пентоксифиллин </w:t>
                  </w:r>
                  <w:r>
                    <w:rPr>
                      <w:rStyle w:val="CharStyle191"/>
                      <w:b/>
                      <w:bCs/>
                      <w:i/>
                      <w:iCs/>
                    </w:rPr>
                    <w:t xml:space="preserve">(Pentoxyphyllin) </w:t>
                  </w:r>
                  <w:r>
                    <w:rPr>
                      <w:rStyle w:val="CharStyle191"/>
                      <w:lang w:val="ru-RU" w:eastAsia="ru-RU" w:bidi="ru-RU"/>
                      <w:b/>
                      <w:bCs/>
                      <w:i/>
                      <w:iCs/>
                    </w:rPr>
                    <w:t xml:space="preserve">Синонимы: Агапурин </w:t>
                  </w:r>
                  <w:r>
                    <w:rPr>
                      <w:rStyle w:val="CharStyle191"/>
                      <w:b/>
                      <w:bCs/>
                      <w:i/>
                      <w:iCs/>
                    </w:rPr>
                    <w:t xml:space="preserve">(Agapuri), </w:t>
                  </w:r>
                  <w:r>
                    <w:rPr>
                      <w:rStyle w:val="CharStyle191"/>
                      <w:lang w:val="ru-RU" w:eastAsia="ru-RU" w:bidi="ru-RU"/>
                      <w:b/>
                      <w:bCs/>
                      <w:i/>
                      <w:iCs/>
                    </w:rPr>
                    <w:t xml:space="preserve">Трентал, </w:t>
                  </w:r>
                  <w:r>
                    <w:rPr>
                      <w:rStyle w:val="CharStyle191"/>
                      <w:b/>
                      <w:bCs/>
                      <w:i/>
                      <w:iCs/>
                    </w:rPr>
                    <w:t>Agapurin, Oxpentifylline, Pentoxifyllin, Ralofekt, Terental, Torental, Trental.</w:t>
                  </w:r>
                </w:p>
                <w:p>
                  <w:pPr>
                    <w:pStyle w:val="Style30"/>
                    <w:widowControl w:val="0"/>
                    <w:keepNext w:val="0"/>
                    <w:keepLines w:val="0"/>
                    <w:shd w:val="clear" w:color="auto" w:fill="auto"/>
                    <w:bidi w:val="0"/>
                    <w:spacing w:before="0" w:after="0" w:line="192" w:lineRule="exact"/>
                    <w:ind w:left="0" w:right="0" w:firstLine="0"/>
                  </w:pPr>
                  <w:r>
                    <w:rPr>
                      <w:rStyle w:val="CharStyle90"/>
                    </w:rPr>
                    <w:t>Показания к применению</w:t>
                  </w:r>
                </w:p>
                <w:p>
                  <w:pPr>
                    <w:pStyle w:val="Style30"/>
                    <w:widowControl w:val="0"/>
                    <w:keepNext w:val="0"/>
                    <w:keepLines w:val="0"/>
                    <w:shd w:val="clear" w:color="auto" w:fill="auto"/>
                    <w:bidi w:val="0"/>
                    <w:spacing w:before="0" w:after="0" w:line="192" w:lineRule="exact"/>
                    <w:ind w:left="0" w:right="0" w:firstLine="0"/>
                  </w:pPr>
                  <w:r>
                    <w:rPr>
                      <w:rStyle w:val="CharStyle90"/>
                    </w:rPr>
                    <w:t>Нарушения периферического кровообращения (атеросклероз, перемежающаяся хромота, диабетическая ангиопатия, облитерирующий эндартериит и др.), трофические нарушения (постинсультный синдром, варикозные язвы, гангрена, отморожения и др.), ангионевропатии (парестезии, акроцианоз, болезнь Рейно); нарушения мозгового кровообращения (атеросклероз), острая и хроническая недостаточность кровоснабжения сетчатой и сосудистой оболочки глаза.</w:t>
                  </w:r>
                </w:p>
              </w:txbxContent>
            </v:textbox>
            <w10:wrap anchorx="margin"/>
          </v:shape>
        </w:pict>
      </w:r>
      <w:r>
        <w:pict>
          <v:shape id="_x0000_s2127" type="#_x0000_t202" style="position:absolute;margin-left:1.7pt;margin-top:71.05pt;width:491.3pt;height:5.e-002pt;z-index:251657894;mso-wrap-distance-left:5.pt;mso-wrap-distance-right:5.pt;mso-position-horizontal-relative:margin" filled="f" stroked="f">
            <v:textbox style="mso-fit-shape-to-text:t" inset="0,0,0,0">
              <w:txbxContent>
                <w:tbl>
                  <w:tblPr>
                    <w:tblOverlap w:val="never"/>
                    <w:tblLayout w:type="fixed"/>
                    <w:jc w:val="center"/>
                  </w:tblPr>
                  <w:tblGrid>
                    <w:gridCol w:w="1910"/>
                    <w:gridCol w:w="4757"/>
                    <w:gridCol w:w="3158"/>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 и схема лечения устанавливаются индивидуально 100-400 мг</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 раза в день</w:t>
                        </w:r>
                      </w:p>
                    </w:tc>
                  </w:tr>
                </w:tbl>
                <w:p>
                  <w:pPr>
                    <w:widowControl w:val="0"/>
                    <w:rPr>
                      <w:sz w:val="2"/>
                      <w:szCs w:val="2"/>
                    </w:rPr>
                  </w:pPr>
                </w:p>
              </w:txbxContent>
            </v:textbox>
            <w10:wrap anchorx="margin"/>
          </v:shape>
        </w:pict>
      </w:r>
      <w:r>
        <w:pict>
          <v:shape id="_x0000_s2128" type="#_x0000_t202" style="position:absolute;margin-left:1.9pt;margin-top:93.85pt;width:490.3pt;height:118.05pt;z-index:251657895;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92" w:lineRule="exact"/>
                    <w:ind w:left="0" w:right="0" w:firstLine="0"/>
                  </w:pPr>
                  <w:r>
                    <w:rPr>
                      <w:rStyle w:val="CharStyle90"/>
                    </w:rPr>
                    <w:t>Фармакологическое 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Обладает сосудорасширяющим, ангиопротективным действием, снижает вязкость крови, улучшает микроциркуляцию. Блокирует аде- нозиновые рецепторы, ингибирует фосфодиэстеразу и способствует накоплению в тромбоцитах цАМФ. Уменьшает агрегацию и вызы</w:t>
                    <w:softHyphen/>
                    <w:t>вает дезагрегацию тромбоцитов, повышает эластичность (деформируемость) эритроцитов, снижает вязкость крови. Всасывается быст</w:t>
                    <w:softHyphen/>
                    <w:t>ро, из пролонгированной формы высвобождается медленно. Распределяется равномерно, выделяется почками (около 94%) и кишечни</w:t>
                    <w:softHyphen/>
                    <w:t>ком (около 4%) в виде метаболитов (лишь около 2% — в неизмененном виде) — за первые 4 ч выводится до 90% дозы. Противопоказания:</w:t>
                  </w:r>
                </w:p>
                <w:p>
                  <w:pPr>
                    <w:pStyle w:val="Style30"/>
                    <w:widowControl w:val="0"/>
                    <w:keepNext w:val="0"/>
                    <w:keepLines w:val="0"/>
                    <w:shd w:val="clear" w:color="auto" w:fill="auto"/>
                    <w:bidi w:val="0"/>
                    <w:jc w:val="left"/>
                    <w:spacing w:before="0" w:after="0" w:line="192" w:lineRule="exact"/>
                    <w:ind w:left="0" w:right="0" w:firstLine="0"/>
                  </w:pPr>
                  <w:r>
                    <w:rPr>
                      <w:rStyle w:val="CharStyle90"/>
                    </w:rPr>
                    <w:t>Острый инфаркт миокарда, массивное кровотечение, церебральные геморрагии, беременность, лактация.</w:t>
                  </w:r>
                </w:p>
                <w:p>
                  <w:pPr>
                    <w:pStyle w:val="Style30"/>
                    <w:widowControl w:val="0"/>
                    <w:keepNext w:val="0"/>
                    <w:keepLines w:val="0"/>
                    <w:shd w:val="clear" w:color="auto" w:fill="auto"/>
                    <w:bidi w:val="0"/>
                    <w:jc w:val="left"/>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jc w:val="left"/>
                    <w:spacing w:before="0" w:after="0" w:line="192" w:lineRule="exact"/>
                    <w:ind w:left="0" w:right="0" w:firstLine="0"/>
                  </w:pPr>
                  <w:r>
                    <w:rPr>
                      <w:rStyle w:val="CharStyle90"/>
                    </w:rPr>
                    <w:t>Диспептические расстройства, головокружение, чувство жара, зуд, крапивница.</w:t>
                  </w:r>
                </w:p>
                <w:p>
                  <w:pPr>
                    <w:pStyle w:val="Style30"/>
                    <w:widowControl w:val="0"/>
                    <w:keepNext w:val="0"/>
                    <w:keepLines w:val="0"/>
                    <w:shd w:val="clear" w:color="auto" w:fill="auto"/>
                    <w:bidi w:val="0"/>
                    <w:jc w:val="left"/>
                    <w:spacing w:before="0" w:after="0" w:line="192" w:lineRule="exact"/>
                    <w:ind w:left="0" w:right="0" w:firstLine="0"/>
                  </w:pPr>
                  <w:r>
                    <w:rPr>
                      <w:rStyle w:val="CharStyle90"/>
                    </w:rPr>
                    <w:t>Взаимодействие:</w:t>
                  </w:r>
                </w:p>
                <w:p>
                  <w:pPr>
                    <w:pStyle w:val="Style30"/>
                    <w:widowControl w:val="0"/>
                    <w:keepNext w:val="0"/>
                    <w:keepLines w:val="0"/>
                    <w:shd w:val="clear" w:color="auto" w:fill="auto"/>
                    <w:bidi w:val="0"/>
                    <w:jc w:val="left"/>
                    <w:spacing w:before="0" w:after="0" w:line="192" w:lineRule="exact"/>
                    <w:ind w:left="0" w:right="0" w:firstLine="0"/>
                  </w:pPr>
                  <w:r>
                    <w:rPr>
                      <w:rStyle w:val="CharStyle90"/>
                    </w:rPr>
                    <w:t>Синергизм с гипотензивными средствами (симпатолитиками, ганглиоблокаторами, вазодилататорами и др.).</w:t>
                  </w:r>
                </w:p>
              </w:txbxContent>
            </v:textbox>
            <w10:wrap anchorx="margin"/>
          </v:shape>
        </w:pict>
      </w:r>
      <w:r>
        <w:pict>
          <v:shape id="_x0000_s2129" type="#_x0000_t202" style="position:absolute;margin-left:1.7pt;margin-top:242.6pt;width:491.05pt;height:72.7pt;z-index:251657896;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Дипиридамол </w:t>
                  </w:r>
                  <w:r>
                    <w:rPr>
                      <w:rStyle w:val="CharStyle191"/>
                      <w:b/>
                      <w:bCs/>
                      <w:i/>
                      <w:iCs/>
                    </w:rPr>
                    <w:t xml:space="preserve">(Dipyridamolum) </w:t>
                  </w:r>
                  <w:r>
                    <w:rPr>
                      <w:rStyle w:val="CharStyle191"/>
                      <w:lang w:val="ru-RU" w:eastAsia="ru-RU" w:bidi="ru-RU"/>
                      <w:b/>
                      <w:bCs/>
                      <w:i/>
                      <w:iCs/>
                    </w:rPr>
                    <w:t xml:space="preserve">Синонимы: Курантил, Персантин, </w:t>
                  </w:r>
                  <w:r>
                    <w:rPr>
                      <w:rStyle w:val="CharStyle191"/>
                      <w:b/>
                      <w:bCs/>
                      <w:i/>
                      <w:iCs/>
                    </w:rPr>
                    <w:t xml:space="preserve">Anginal, Antistenocardin, Apricor, Cardioflux, Coribon, Corosan, Coroxin, Curantyl, Dilcor, Dipiridamole, Dirinol, Novodil, Padicor, Peridamol, Persantin, Stenocardil, Trancocard, Vadinar, Viscor </w:t>
                  </w:r>
                  <w:r>
                    <w:rPr>
                      <w:rStyle w:val="CharStyle191"/>
                      <w:lang w:val="ru-RU" w:eastAsia="ru-RU" w:bidi="ru-RU"/>
                      <w:b/>
                      <w:bCs/>
                      <w:i/>
                      <w:iCs/>
                    </w:rPr>
                    <w:t>и др.</w:t>
                  </w:r>
                </w:p>
                <w:p>
                  <w:pPr>
                    <w:pStyle w:val="Style30"/>
                    <w:widowControl w:val="0"/>
                    <w:keepNext w:val="0"/>
                    <w:keepLines w:val="0"/>
                    <w:shd w:val="clear" w:color="auto" w:fill="auto"/>
                    <w:bidi w:val="0"/>
                    <w:spacing w:before="0" w:after="0" w:line="192" w:lineRule="exact"/>
                    <w:ind w:left="0" w:right="0" w:firstLine="0"/>
                  </w:pPr>
                  <w:r>
                    <w:rPr>
                      <w:rStyle w:val="CharStyle90"/>
                    </w:rPr>
                    <w:t>Показания к применению</w:t>
                  </w:r>
                </w:p>
                <w:p>
                  <w:pPr>
                    <w:pStyle w:val="Style30"/>
                    <w:widowControl w:val="0"/>
                    <w:keepNext w:val="0"/>
                    <w:keepLines w:val="0"/>
                    <w:shd w:val="clear" w:color="auto" w:fill="auto"/>
                    <w:bidi w:val="0"/>
                    <w:spacing w:before="0" w:after="0" w:line="192" w:lineRule="exact"/>
                    <w:ind w:left="0" w:right="0" w:firstLine="0"/>
                  </w:pPr>
                  <w:r>
                    <w:rPr>
                      <w:rStyle w:val="CharStyle90"/>
                    </w:rPr>
                    <w:t>Профилактика тромбоэмболического синдрома после операции протезирования клапанов сердца, профилактика окклюзии стентов и аортокоронарных шунтов (в комбинации с аспирином); периферические сосудистые поражения (в т.ч. хронические облитерирующие заболевания сосудов нижних конечностей, особенно при наличии факторов риска (артериальная гипертензия, курение); профилактика плацентарной недостаточности при осложненной беременности; лечение и профилактика ДВС-синдрома у детей при инфекционных</w:t>
                  </w:r>
                </w:p>
              </w:txbxContent>
            </v:textbox>
            <w10:wrap anchorx="margin"/>
          </v:shape>
        </w:pict>
      </w:r>
      <w:r>
        <w:pict>
          <v:shape id="_x0000_s2130" type="#_x0000_t202" style="position:absolute;margin-left:1.7pt;margin-top:314.15pt;width:491.3pt;height:5.e-002pt;z-index:251657897;mso-wrap-distance-left:5.pt;mso-wrap-distance-right:5.pt;mso-position-horizontal-relative:margin" filled="f" stroked="f">
            <v:textbox style="mso-fit-shape-to-text:t" inset="0,0,0,0">
              <w:txbxContent>
                <w:tbl>
                  <w:tblPr>
                    <w:tblOverlap w:val="never"/>
                    <w:tblLayout w:type="fixed"/>
                    <w:jc w:val="center"/>
                  </w:tblPr>
                  <w:tblGrid>
                    <w:gridCol w:w="1910"/>
                    <w:gridCol w:w="4757"/>
                    <w:gridCol w:w="3158"/>
                  </w:tblGrid>
                  <w:tr>
                    <w:trPr>
                      <w:trHeight w:val="230" w:hRule="exact"/>
                    </w:trPr>
                    <w:tc>
                      <w:tcPr>
                        <w:shd w:val="clear" w:color="auto" w:fill="FFFFFF"/>
                        <w:gridSpan w:val="3"/>
                        <w:tcBorders>
                          <w:left w:val="single" w:sz="4"/>
                          <w:righ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токсикозах и септицемии (болезнь Кавасаки).</w:t>
                        </w:r>
                      </w:p>
                    </w:tc>
                  </w:tr>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1,5-5 мг/кг/сут.</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 2-3 приема</w:t>
                        </w:r>
                      </w:p>
                    </w:tc>
                  </w:tr>
                </w:tbl>
                <w:p>
                  <w:pPr>
                    <w:pStyle w:val="Style96"/>
                    <w:widowControl w:val="0"/>
                    <w:keepNext w:val="0"/>
                    <w:keepLines w:val="0"/>
                    <w:shd w:val="clear" w:color="auto" w:fill="auto"/>
                    <w:bidi w:val="0"/>
                    <w:jc w:val="left"/>
                    <w:spacing w:before="0" w:after="0" w:line="180" w:lineRule="exact"/>
                    <w:ind w:left="0" w:right="0" w:firstLine="0"/>
                  </w:pPr>
                  <w:r>
                    <w:rPr>
                      <w:rStyle w:val="CharStyle97"/>
                    </w:rPr>
                    <w:t>Фармакологическое действие:</w:t>
                  </w:r>
                </w:p>
                <w:p>
                  <w:pPr>
                    <w:widowControl w:val="0"/>
                    <w:rPr>
                      <w:sz w:val="2"/>
                      <w:szCs w:val="2"/>
                    </w:rPr>
                  </w:pPr>
                </w:p>
              </w:txbxContent>
            </v:textbox>
            <w10:wrap anchorx="margin"/>
          </v:shape>
        </w:pict>
      </w:r>
      <w:r>
        <w:pict>
          <v:shape id="_x0000_s2131" type="#_x0000_t202" style="position:absolute;margin-left:1.9pt;margin-top:357.8pt;width:490.8pt;height:223.65pt;z-index:251657898;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Обладает антиагрегационным, антиадгезивным и артериодилатирующим действием. Оказывает влияние как на первичную, так и на вто</w:t>
                    <w:softHyphen/>
                    <w:t>ричную агрегацию тромбоцитов. Тормозит их адгезию, потенцирует антиагрегационный эффект простациклина. Оказывает вазодилати- рующее действие на коронарные сосуды путем ингибирования аденозиндезаминазы, в большей степени на неизмененные, вызывает фе</w:t>
                    <w:softHyphen/>
                    <w:t>номен межкоронарного обкрадывания. Нормализует венозный отток, снижает частоту возникновения тромбоза глубоких вен в после</w:t>
                    <w:softHyphen/>
                    <w:t>операционном периоде. Улучшает микроциркуляцию в сетчатой оболочке глаза, почечных клубочках. Снижает сопротивление мозговых сосудов, эффективен при динамических нарушениях мозгового кровообращения. В акушерской практике корригирует плацентарный кровоток, предупреждает дистрофические изменения в плаценте (при угрозе преэклампсии), устраняет гипоксию тканей плода и спо</w:t>
                    <w:softHyphen/>
                    <w:t>собствует накоплению в них гликогена. После приема внутрь быстро всасывается и проникает в ткани. Метаболизируется преимущест</w:t>
                    <w:softHyphen/>
                    <w:t>венно в печени, 20% препарата включается в энтерогепатическую циркуляцию. Экскретируется с желчью, почечная элиминация незна</w:t>
                    <w:softHyphen/>
                    <w:t>чительна. Возможна кумуляция (преимущественно при нарушенной функции печени).</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Гйперчувствительность, острый инфаркт миокарда, выраженное атеросклеротическое поражение коронарных сосудов с развитой систе</w:t>
                    <w:softHyphen/>
                    <w:t>мой коллатералей, предрасположенность к гипотонии, тяжелые нарушения функции печени, геморрагические диатезы, обструктивные заболевания легких, выраженные нарушения внутрижелудочковой проводимости, тяжелая артериальная гипертензия, II и III триместр беременности.</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spacing w:before="0" w:after="0" w:line="192" w:lineRule="exact"/>
                    <w:ind w:left="0" w:right="0" w:firstLine="0"/>
                  </w:pPr>
                  <w:r>
                    <w:rPr>
                      <w:rStyle w:val="CharStyle90"/>
                    </w:rPr>
                    <w:t>Тошнота, дискомфортные ощущения в животе, головные боли, головокружение, покраснение лица, синдром коронарного обкрадыва</w:t>
                    <w:softHyphen/>
                    <w:t>ния (обострение ИБС), тромбоцитопения, изменения функциональных свойств тромбоцитов, кровотечения, гипотония, тахикардия, брадикардия, слабость, сыпь. При передозировке: кратковременная гипотензия.</w:t>
                  </w:r>
                </w:p>
                <w:p>
                  <w:pPr>
                    <w:pStyle w:val="Style30"/>
                    <w:widowControl w:val="0"/>
                    <w:keepNext w:val="0"/>
                    <w:keepLines w:val="0"/>
                    <w:shd w:val="clear" w:color="auto" w:fill="auto"/>
                    <w:bidi w:val="0"/>
                    <w:spacing w:before="0" w:after="0" w:line="192" w:lineRule="exact"/>
                    <w:ind w:left="0" w:right="0" w:firstLine="0"/>
                  </w:pPr>
                  <w:r>
                    <w:rPr>
                      <w:rStyle w:val="CharStyle90"/>
                    </w:rPr>
                    <w:t>Взаимодействие: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Антациды уменьшают максимальную концентрацию из-за снижения абсорбции. Аспирин и непрямые антикоагулянты усиливают эф</w:t>
                    <w:softHyphen/>
                    <w:t>фект, производные ксантина — ослабляют (особенно коронарорасширяющий), гепарин повышает риск развития геморрагических ос</w:t>
                    <w:softHyphen/>
                    <w:t>ложнений.</w:t>
                  </w:r>
                </w:p>
              </w:txbxContent>
            </v:textbox>
            <w10:wrap anchorx="margin"/>
          </v:shape>
        </w:pict>
      </w:r>
      <w:r>
        <w:pict>
          <v:shape id="_x0000_s2132" type="#_x0000_t75" style="position:absolute;margin-left:136.55pt;margin-top:734.65pt;width:209.75pt;height:14.9pt;z-index:-251658584;mso-wrap-distance-left:5.pt;mso-wrap-distance-right:5.pt;mso-position-horizontal-relative:margin" wrapcoords="0 0">
            <v:imagedata r:id="rId1471" r:href="rId1472"/>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78" w:lineRule="exact"/>
      </w:pPr>
    </w:p>
    <w:p>
      <w:pPr>
        <w:widowControl w:val="0"/>
        <w:rPr>
          <w:sz w:val="2"/>
          <w:szCs w:val="2"/>
        </w:rPr>
        <w:sectPr>
          <w:type w:val="continuous"/>
          <w:pgSz w:w="11900" w:h="16840"/>
          <w:pgMar w:top="1438" w:left="1124" w:right="898" w:bottom="162" w:header="0" w:footer="3" w:gutter="0"/>
          <w:rtlGutter w:val="0"/>
          <w:cols w:space="720"/>
          <w:noEndnote/>
          <w:docGrid w:linePitch="360"/>
        </w:sectPr>
      </w:pPr>
    </w:p>
    <w:p>
      <w:pPr>
        <w:widowControl w:val="0"/>
        <w:rPr>
          <w:sz w:val="2"/>
          <w:szCs w:val="2"/>
        </w:rPr>
      </w:pPr>
      <w:r>
        <w:pict>
          <v:shape id="_x0000_s2133" type="#_x0000_t202" style="position:static;width:595.pt;height:7.05pt" filled="f" stroked="f">
            <v:textbox inset="0,0,0,0">
              <w:txbxContent>
                <w:p>
                  <w:pPr>
                    <w:widowControl w:val="0"/>
                  </w:pPr>
                </w:p>
              </w:txbxContent>
            </v:textbox>
            <w10:anchorlock/>
          </v:shape>
        </w:pict>
      </w:r>
      <w:r>
        <w:t xml:space="preserve"> </w:t>
      </w:r>
    </w:p>
    <w:p>
      <w:pPr>
        <w:widowControl w:val="0"/>
        <w:rPr>
          <w:sz w:val="2"/>
          <w:szCs w:val="2"/>
        </w:rPr>
        <w:sectPr>
          <w:pgSz w:w="11900" w:h="16840"/>
          <w:pgMar w:top="1423" w:left="0" w:right="0" w:bottom="147" w:header="0" w:footer="3" w:gutter="0"/>
          <w:rtlGutter w:val="0"/>
          <w:cols w:space="720"/>
          <w:noEndnote/>
          <w:docGrid w:linePitch="360"/>
        </w:sectPr>
      </w:pPr>
    </w:p>
    <w:p>
      <w:pPr>
        <w:widowControl w:val="0"/>
        <w:spacing w:line="360" w:lineRule="exact"/>
      </w:pPr>
      <w:r>
        <w:pict>
          <v:shape id="_x0000_s2134" type="#_x0000_t202" style="position:absolute;margin-left:1.7pt;margin-top:0;width:491.3pt;height:5.e-002pt;z-index:251657899;mso-wrap-distance-left:5.pt;mso-wrap-distance-right:5.pt;mso-position-horizontal-relative:margin" filled="f" stroked="f">
            <v:textbox style="mso-fit-shape-to-text:t" inset="0,0,0,0">
              <w:txbxContent>
                <w:p>
                  <w:pPr>
                    <w:pStyle w:val="Style188"/>
                    <w:widowControl w:val="0"/>
                    <w:keepNext w:val="0"/>
                    <w:keepLines w:val="0"/>
                    <w:shd w:val="clear" w:color="auto" w:fill="auto"/>
                    <w:bidi w:val="0"/>
                    <w:jc w:val="both"/>
                    <w:spacing w:before="0" w:after="0" w:line="150" w:lineRule="exact"/>
                    <w:ind w:left="0" w:right="0" w:firstLine="0"/>
                  </w:pPr>
                  <w:r>
                    <w:rPr>
                      <w:lang w:val="ru-RU" w:eastAsia="ru-RU" w:bidi="ru-RU"/>
                      <w:w w:val="100"/>
                      <w:spacing w:val="0"/>
                      <w:color w:val="000000"/>
                      <w:position w:val="0"/>
                    </w:rPr>
                    <w:t xml:space="preserve">Кавинтон </w:t>
                  </w:r>
                  <w:r>
                    <w:rPr>
                      <w:w w:val="100"/>
                      <w:spacing w:val="0"/>
                      <w:color w:val="000000"/>
                      <w:position w:val="0"/>
                    </w:rPr>
                    <w:t xml:space="preserve">(Cavinton) </w:t>
                  </w:r>
                  <w:r>
                    <w:rPr>
                      <w:lang w:val="ru-RU" w:eastAsia="ru-RU" w:bidi="ru-RU"/>
                      <w:w w:val="100"/>
                      <w:spacing w:val="0"/>
                      <w:color w:val="000000"/>
                      <w:position w:val="0"/>
                    </w:rPr>
                    <w:t xml:space="preserve">Синонимы: Винпоцетин </w:t>
                  </w:r>
                  <w:r>
                    <w:rPr>
                      <w:w w:val="100"/>
                      <w:spacing w:val="0"/>
                      <w:color w:val="000000"/>
                      <w:position w:val="0"/>
                    </w:rPr>
                    <w:t>(Vinpocetine), Vinpocetinum, Inex</w:t>
                  </w:r>
                </w:p>
                <w:p>
                  <w:pPr>
                    <w:pStyle w:val="Style96"/>
                    <w:widowControl w:val="0"/>
                    <w:keepNext w:val="0"/>
                    <w:keepLines w:val="0"/>
                    <w:shd w:val="clear" w:color="auto" w:fill="auto"/>
                    <w:bidi w:val="0"/>
                    <w:jc w:val="both"/>
                    <w:spacing w:before="0" w:after="0" w:line="192" w:lineRule="exact"/>
                    <w:ind w:left="0" w:right="0" w:firstLine="0"/>
                  </w:pPr>
                  <w:r>
                    <w:rPr>
                      <w:rStyle w:val="CharStyle97"/>
                    </w:rPr>
                    <w:t>Показания к применению</w:t>
                  </w:r>
                </w:p>
                <w:p>
                  <w:pPr>
                    <w:pStyle w:val="Style96"/>
                    <w:widowControl w:val="0"/>
                    <w:keepNext w:val="0"/>
                    <w:keepLines w:val="0"/>
                    <w:shd w:val="clear" w:color="auto" w:fill="auto"/>
                    <w:bidi w:val="0"/>
                    <w:jc w:val="both"/>
                    <w:spacing w:before="0" w:after="0" w:line="192" w:lineRule="exact"/>
                    <w:ind w:left="0" w:right="0" w:firstLine="0"/>
                  </w:pPr>
                  <w:r>
                    <w:rPr>
                      <w:rStyle w:val="CharStyle97"/>
                    </w:rPr>
                    <w:t>Нарушения мозгового кровообращения различного происхождения (инсульт, травмы головного мозга, атеросклероз мозговых сосудов), сопровождающиеся нарушением памяти, головокружением, головной болью, двигательными расстройствами; преходящая недостаточность и спазм сосудов мозга, ишемические поражения мозга.</w:t>
                  </w:r>
                </w:p>
                <w:tbl>
                  <w:tblPr>
                    <w:tblOverlap w:val="never"/>
                    <w:tblLayout w:type="fixed"/>
                    <w:jc w:val="center"/>
                  </w:tblPr>
                  <w:tblGrid>
                    <w:gridCol w:w="1910"/>
                    <w:gridCol w:w="4757"/>
                    <w:gridCol w:w="3158"/>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2,5-5 мг</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 раза в день</w:t>
                        </w:r>
                      </w:p>
                    </w:tc>
                  </w:tr>
                </w:tbl>
                <w:p>
                  <w:pPr>
                    <w:widowControl w:val="0"/>
                    <w:rPr>
                      <w:sz w:val="2"/>
                      <w:szCs w:val="2"/>
                    </w:rPr>
                  </w:pPr>
                </w:p>
              </w:txbxContent>
            </v:textbox>
            <w10:wrap anchorx="margin"/>
          </v:shape>
        </w:pict>
      </w:r>
      <w:r>
        <w:pict>
          <v:shape id="_x0000_s2135" type="#_x0000_t202" style="position:absolute;margin-left:1.9pt;margin-top:74.85pt;width:490.3pt;height:98.85pt;z-index:251657900;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Фармакологическое 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Сосудорасширяющее, антигипоксическое, антиагрегантное. Блокирует фосфодиэстеразу, увеличивая содержание цАМФ в клетках. Бы</w:t>
                    <w:softHyphen/>
                    <w:t>стро всасывается, степень резорбции внутрь близка к 567%. Оптимальная концентрация в плазме — от 10 до 20 нг/мл. Проходит ГЭБ и определяется в тканях ЦНС. Улучшает мозговой кровоток и снабжение мозга кислородом и глюкозой при снижении давления в сосу</w:t>
                    <w:softHyphen/>
                    <w:t>дах. Ослабляет расстройства, вызванные гипоксией или недостаточным мозговым метаболизмом.</w:t>
                  </w:r>
                </w:p>
                <w:p>
                  <w:pPr>
                    <w:pStyle w:val="Style30"/>
                    <w:widowControl w:val="0"/>
                    <w:keepNext w:val="0"/>
                    <w:keepLines w:val="0"/>
                    <w:shd w:val="clear" w:color="auto" w:fill="auto"/>
                    <w:bidi w:val="0"/>
                    <w:spacing w:before="0" w:after="0" w:line="192" w:lineRule="exact"/>
                    <w:ind w:left="0" w:right="0" w:firstLine="0"/>
                  </w:pPr>
                  <w:r>
                    <w:rPr>
                      <w:rStyle w:val="CharStyle90"/>
                    </w:rPr>
                    <w:t>Повышенная чувствительность к препарату.</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spacing w:before="0" w:after="0" w:line="192" w:lineRule="exact"/>
                    <w:ind w:left="0" w:right="0" w:firstLine="0"/>
                  </w:pPr>
                  <w:r>
                    <w:rPr>
                      <w:rStyle w:val="CharStyle90"/>
                    </w:rPr>
                    <w:t>Гипотония, тахикардия, экстрасистолия.</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Острый инфаркт миокарда, массивное кровотечение, церебральные геморрагии, беременность, лактация.</w:t>
                  </w:r>
                </w:p>
              </w:txbxContent>
            </v:textbox>
            <w10:wrap anchorx="margin"/>
          </v:shape>
        </w:pict>
      </w:r>
      <w:r>
        <w:pict>
          <v:shape id="_x0000_s2136" type="#_x0000_t202" style="position:absolute;margin-left:1.45pt;margin-top:194.4pt;width:103.9pt;height:10.55pt;z-index:251657901;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jc w:val="left"/>
                    <w:spacing w:before="0" w:after="0" w:line="150" w:lineRule="exact"/>
                    <w:ind w:left="0" w:right="0" w:firstLine="0"/>
                  </w:pPr>
                  <w:r>
                    <w:rPr>
                      <w:rStyle w:val="CharStyle191"/>
                      <w:lang w:val="ru-RU" w:eastAsia="ru-RU" w:bidi="ru-RU"/>
                      <w:b/>
                      <w:bCs/>
                      <w:i/>
                      <w:iCs/>
                    </w:rPr>
                    <w:t xml:space="preserve">Гинко Билоба </w:t>
                  </w:r>
                  <w:r>
                    <w:rPr>
                      <w:rStyle w:val="CharStyle191"/>
                      <w:b/>
                      <w:bCs/>
                      <w:i/>
                      <w:iCs/>
                    </w:rPr>
                    <w:t>(GginkgoBiloba)</w:t>
                  </w:r>
                </w:p>
              </w:txbxContent>
            </v:textbox>
            <w10:wrap anchorx="margin"/>
          </v:shape>
        </w:pict>
      </w:r>
      <w:r>
        <w:pict>
          <v:shape id="_x0000_s2137" type="#_x0000_t202" style="position:absolute;margin-left:0.95pt;margin-top:206.4pt;width:491.3pt;height:5.e-002pt;z-index:251657902;mso-wrap-distance-left:5.pt;mso-wrap-distance-right:5.pt;mso-position-horizontal-relative:margin" filled="f" stroked="f">
            <v:textbox style="mso-fit-shape-to-text:t" inset="0,0,0,0">
              <w:txbxContent>
                <w:p>
                  <w:pPr>
                    <w:pStyle w:val="Style96"/>
                    <w:widowControl w:val="0"/>
                    <w:keepNext w:val="0"/>
                    <w:keepLines w:val="0"/>
                    <w:shd w:val="clear" w:color="auto" w:fill="auto"/>
                    <w:bidi w:val="0"/>
                    <w:jc w:val="both"/>
                    <w:spacing w:before="0" w:after="0" w:line="192" w:lineRule="exact"/>
                    <w:ind w:left="0" w:right="0" w:firstLine="0"/>
                  </w:pPr>
                  <w:r>
                    <w:rPr>
                      <w:rStyle w:val="CharStyle97"/>
                    </w:rPr>
                    <w:t>Показания к применению</w:t>
                  </w:r>
                </w:p>
                <w:p>
                  <w:pPr>
                    <w:pStyle w:val="Style96"/>
                    <w:widowControl w:val="0"/>
                    <w:keepNext w:val="0"/>
                    <w:keepLines w:val="0"/>
                    <w:shd w:val="clear" w:color="auto" w:fill="auto"/>
                    <w:bidi w:val="0"/>
                    <w:jc w:val="both"/>
                    <w:spacing w:before="0" w:after="0" w:line="192" w:lineRule="exact"/>
                    <w:ind w:left="0" w:right="0" w:firstLine="0"/>
                  </w:pPr>
                  <w:r>
                    <w:rPr>
                      <w:rStyle w:val="CharStyle97"/>
                    </w:rPr>
                    <w:t>Последствия инсульта, черепно-мозговых травм, расстройства памяти, синдром Рейно, нарушения периферического кровообращения, диабетическая ангио- и ретинопатии, артериопатии нижних конечностей, нейросенсорные нарушения.</w:t>
                  </w:r>
                </w:p>
                <w:tbl>
                  <w:tblPr>
                    <w:tblOverlap w:val="never"/>
                    <w:tblLayout w:type="fixed"/>
                    <w:jc w:val="center"/>
                  </w:tblPr>
                  <w:tblGrid>
                    <w:gridCol w:w="1906"/>
                    <w:gridCol w:w="4757"/>
                    <w:gridCol w:w="3163"/>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1-3 таблетки</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 раза в день</w:t>
                        </w:r>
                      </w:p>
                    </w:tc>
                  </w:tr>
                </w:tbl>
                <w:p>
                  <w:pPr>
                    <w:pStyle w:val="Style96"/>
                    <w:widowControl w:val="0"/>
                    <w:keepNext w:val="0"/>
                    <w:keepLines w:val="0"/>
                    <w:shd w:val="clear" w:color="auto" w:fill="auto"/>
                    <w:bidi w:val="0"/>
                    <w:jc w:val="left"/>
                    <w:spacing w:before="0" w:after="0" w:line="180" w:lineRule="exact"/>
                    <w:ind w:left="0" w:right="0" w:firstLine="0"/>
                  </w:pPr>
                  <w:r>
                    <w:rPr>
                      <w:rStyle w:val="CharStyle97"/>
                    </w:rPr>
                    <w:t>Фармакологическое действие:</w:t>
                  </w:r>
                </w:p>
                <w:p>
                  <w:pPr>
                    <w:widowControl w:val="0"/>
                    <w:rPr>
                      <w:sz w:val="2"/>
                      <w:szCs w:val="2"/>
                    </w:rPr>
                  </w:pPr>
                </w:p>
              </w:txbxContent>
            </v:textbox>
            <w10:wrap anchorx="margin"/>
          </v:shape>
        </w:pict>
      </w:r>
      <w:r>
        <w:pict>
          <v:shape id="_x0000_s2138" type="#_x0000_t202" style="position:absolute;margin-left:1.2pt;margin-top:269.5pt;width:490.3pt;height:89.25pt;z-index:251657903;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Оказывает дозозависимое регулирующее влияние на сосудистую систему, стимулирует выработку эндотелий зависимого расслабляюще</w:t>
                    <w:softHyphen/>
                    <w:t>го фактора, расширяет мелкие артерии, суживает вены, тем самым регулирует кровенаполнение сосудов и их тонус, уменьшает прони</w:t>
                    <w:softHyphen/>
                    <w:t>цаемость сосудистой стенки, что обусловливает его противоотечный эффект. Препарат обладает антитромботическим действием за счет стабилизации мембран тромбоцитов и эритроцитов, влияя на синтез простагландинов, ингибируя действие биологически активных ве</w:t>
                    <w:softHyphen/>
                    <w:t>ществ и тромбоцитактивирующего фактора, уменьшает количество свободных радикалов, ингибируя перекисное окисление липидов. Все это приводит к улучшению обмена веществ в органах и тканях, накоплению в их клетках макроэргов, повышению утилизации кис</w:t>
                    <w:softHyphen/>
                    <w:t>лорода и глюкозы, нормализации медиаторных процессов в ЦНС.</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spacing w:before="0" w:after="0" w:line="192" w:lineRule="exact"/>
                    <w:ind w:left="0" w:right="0" w:firstLine="0"/>
                  </w:pPr>
                  <w:r>
                    <w:rPr>
                      <w:rStyle w:val="CharStyle90"/>
                    </w:rPr>
                    <w:t>Аллергические реакции, диспептические расстройства, головная боль.</w:t>
                  </w:r>
                </w:p>
              </w:txbxContent>
            </v:textbox>
            <w10:wrap anchorx="margin"/>
          </v:shape>
        </w:pict>
      </w:r>
      <w:r>
        <w:pict>
          <v:shape id="_x0000_s2139" type="#_x0000_t202" style="position:absolute;margin-left:12.5pt;margin-top:391.2pt;width:242.9pt;height:11.9pt;z-index:251657904;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ПРЕПАРАТЫ, НОРМАЛИЗУЮЩИЕ ОБМЕН ВЕЩЕСТВ</w:t>
                  </w:r>
                </w:p>
              </w:txbxContent>
            </v:textbox>
            <w10:wrap anchorx="margin"/>
          </v:shape>
        </w:pict>
      </w:r>
      <w:r>
        <w:pict>
          <v:shape id="_x0000_s2140" type="#_x0000_t202" style="position:absolute;margin-left:1.45pt;margin-top:416.6pt;width:491.05pt;height:22.1pt;z-index:251657905;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Кальция пантотенат </w:t>
                  </w:r>
                  <w:r>
                    <w:rPr>
                      <w:rStyle w:val="CharStyle191"/>
                      <w:b/>
                      <w:bCs/>
                      <w:i/>
                      <w:iCs/>
                    </w:rPr>
                    <w:t xml:space="preserve">(Calcii pantothenas) </w:t>
                  </w:r>
                  <w:r>
                    <w:rPr>
                      <w:rStyle w:val="CharStyle191"/>
                      <w:lang w:val="ru-RU" w:eastAsia="ru-RU" w:bidi="ru-RU"/>
                      <w:b/>
                      <w:bCs/>
                      <w:i/>
                      <w:iCs/>
                    </w:rPr>
                    <w:t xml:space="preserve">Синонимы: </w:t>
                  </w:r>
                  <w:r>
                    <w:rPr>
                      <w:rStyle w:val="CharStyle191"/>
                      <w:b/>
                      <w:bCs/>
                      <w:i/>
                      <w:iCs/>
                    </w:rPr>
                    <w:t>Calcipan, Calcium pantothenicum, Calpanate, Cutivitol, Pancal, Panthoject, Pantholin, Pantotene, Pantothaxin, Pantotone, Pentavitol</w:t>
                  </w:r>
                </w:p>
              </w:txbxContent>
            </v:textbox>
            <w10:wrap anchorx="margin"/>
          </v:shape>
        </w:pict>
      </w:r>
      <w:r>
        <w:pict>
          <v:shape id="_x0000_s2141" type="#_x0000_t202" style="position:absolute;margin-left:0.95pt;margin-top:440.15pt;width:492.7pt;height:5.e-002pt;z-index:251657906;mso-wrap-distance-left:5.pt;mso-wrap-distance-right:5.pt;mso-position-horizontal-relative:margin" filled="f" stroked="f">
            <v:textbox style="mso-fit-shape-to-text:t" inset="0,0,0,0">
              <w:txbxContent>
                <w:p>
                  <w:pPr>
                    <w:pStyle w:val="Style96"/>
                    <w:widowControl w:val="0"/>
                    <w:keepNext w:val="0"/>
                    <w:keepLines w:val="0"/>
                    <w:shd w:val="clear" w:color="auto" w:fill="auto"/>
                    <w:bidi w:val="0"/>
                    <w:jc w:val="both"/>
                    <w:spacing w:before="0" w:after="0" w:line="192" w:lineRule="exact"/>
                    <w:ind w:left="0" w:right="0" w:firstLine="0"/>
                  </w:pPr>
                  <w:r>
                    <w:rPr>
                      <w:rStyle w:val="CharStyle97"/>
                    </w:rPr>
                    <w:t>Показания к применению</w:t>
                  </w:r>
                </w:p>
                <w:p>
                  <w:pPr>
                    <w:pStyle w:val="Style96"/>
                    <w:widowControl w:val="0"/>
                    <w:keepNext w:val="0"/>
                    <w:keepLines w:val="0"/>
                    <w:shd w:val="clear" w:color="auto" w:fill="auto"/>
                    <w:bidi w:val="0"/>
                    <w:jc w:val="both"/>
                    <w:spacing w:before="0" w:after="0" w:line="192" w:lineRule="exact"/>
                    <w:ind w:left="0" w:right="0" w:firstLine="0"/>
                  </w:pPr>
                  <w:r>
                    <w:rPr>
                      <w:rStyle w:val="CharStyle97"/>
                    </w:rPr>
                    <w:t>Полиневрит, невралгия, бронхит, бронхиальная астма, атония кишечника, экзема, трофические язвы, ожоги, аллергические реакции, токсикозы беременных, недостаточность кровообращения, абстинентный синдром (в составе комбинированной терапии).</w:t>
                  </w:r>
                </w:p>
                <w:tbl>
                  <w:tblPr>
                    <w:tblOverlap w:val="never"/>
                    <w:tblLayout w:type="fixed"/>
                    <w:jc w:val="center"/>
                  </w:tblPr>
                  <w:tblGrid>
                    <w:gridCol w:w="1906"/>
                    <w:gridCol w:w="4834"/>
                    <w:gridCol w:w="3115"/>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451"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от 1 года до 3 лет — по 0,005-0,1 г на прием, от 3 до 14 лет — 0,1-0,2 г на прием</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2-3 раза в сутки</w:t>
                        </w:r>
                      </w:p>
                    </w:tc>
                  </w:tr>
                  <w:tr>
                    <w:trPr>
                      <w:trHeight w:val="456"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В/м, в/в</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до 3 лет вводят в разовой дозе 0,05-0,1 г (0,5-1 мл 10% раствора), от 3 до 14 лет — по 0,1-0,2 г (1-2 мл 10% раствора).</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1-2 раза в день</w:t>
                        </w:r>
                      </w:p>
                    </w:tc>
                  </w:tr>
                </w:tbl>
                <w:p>
                  <w:pPr>
                    <w:widowControl w:val="0"/>
                    <w:rPr>
                      <w:sz w:val="2"/>
                      <w:szCs w:val="2"/>
                    </w:rPr>
                  </w:pPr>
                </w:p>
              </w:txbxContent>
            </v:textbox>
            <w10:wrap anchorx="margin"/>
          </v:shape>
        </w:pict>
      </w:r>
      <w:r>
        <w:pict>
          <v:shape id="_x0000_s2142" type="#_x0000_t202" style="position:absolute;margin-left:1.2pt;margin-top:526.55pt;width:492.pt;height:137.3pt;z-index:251657907;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Фармакологическое действие. Наиболее богатыми пищевыми источниками ее являются печень, почки, яичный желток, икра рыб, горох, дрожжи. В организме пантотеновая кислота входит в состав кофермента А, который играет важную роль в процессах ацетилирования и окисления. Пантотеновая кислота участвует в углеводном и жировом обмене и в синтезе ацетилхолина. Она содержится в значитель</w:t>
                    <w:softHyphen/>
                    <w:t>ных количествах в коре надпочечников и стимулирует образование кортикостероидов. Потребность человека в пантотеновой кислоте со</w:t>
                    <w:softHyphen/>
                    <w:t>ставляет 10-12 мг в сутки. При тяжелом физическом труде и у кормящих женщин она повышается до 20 мг. Улучшая энергетическое обес</w:t>
                    <w:softHyphen/>
                    <w:t>печение сократительной функции миокарда и усиливая кардиотонический эффект сердечных гликозидов, пантотенат кальция повыша</w:t>
                    <w:softHyphen/>
                    <w:t>ет их терапевтическую эффективность.</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Гиперчувствительность.</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jc w:val="left"/>
                    <w:spacing w:before="0" w:after="0" w:line="192" w:lineRule="exact"/>
                    <w:ind w:left="0" w:right="0" w:firstLine="0"/>
                  </w:pPr>
                  <w:r>
                    <w:rPr>
                      <w:rStyle w:val="CharStyle90"/>
                    </w:rPr>
                    <w:t>Возможны тошнота, изжога, рвота. При в/м введении — болезненность и в единичных случаях появление инфильтрата. Взаимодействие: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Уменьшает токсичность стрептомицина и др. туберкулостатических препаратов, мышьяка. Усиливает кардиотонический эффект сердеч</w:t>
                    <w:softHyphen/>
                    <w:t>ных гликозидов.</w:t>
                  </w:r>
                </w:p>
              </w:txbxContent>
            </v:textbox>
            <w10:wrap anchorx="margin"/>
          </v:shape>
        </w:pict>
      </w:r>
      <w:r>
        <w:pict>
          <v:shape id="_x0000_s2143" type="#_x0000_t75" style="position:absolute;margin-left:147.85pt;margin-top:734.65pt;width:209.75pt;height:14.9pt;z-index:-251658583;mso-wrap-distance-left:5.pt;mso-wrap-distance-right:5.pt;mso-position-horizontal-relative:margin" wrapcoords="0 0">
            <v:imagedata r:id="rId1473" r:href="rId1474"/>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78" w:lineRule="exact"/>
      </w:pPr>
    </w:p>
    <w:p>
      <w:pPr>
        <w:widowControl w:val="0"/>
        <w:rPr>
          <w:sz w:val="2"/>
          <w:szCs w:val="2"/>
        </w:rPr>
        <w:sectPr>
          <w:type w:val="continuous"/>
          <w:pgSz w:w="11900" w:h="16840"/>
          <w:pgMar w:top="1423" w:left="898" w:right="1124" w:bottom="147" w:header="0" w:footer="3" w:gutter="0"/>
          <w:rtlGutter w:val="0"/>
          <w:cols w:space="720"/>
          <w:noEndnote/>
          <w:docGrid w:linePitch="360"/>
        </w:sectPr>
      </w:pPr>
    </w:p>
    <w:p>
      <w:pPr>
        <w:widowControl w:val="0"/>
        <w:rPr>
          <w:sz w:val="2"/>
          <w:szCs w:val="2"/>
        </w:rPr>
      </w:pPr>
      <w:r>
        <w:pict>
          <v:shape id="_x0000_s2144" type="#_x0000_t202" style="position:static;width:595.pt;height:7.05pt" filled="f" stroked="f">
            <v:textbox inset="0,0,0,0">
              <w:txbxContent>
                <w:p>
                  <w:pPr>
                    <w:widowControl w:val="0"/>
                  </w:pPr>
                </w:p>
              </w:txbxContent>
            </v:textbox>
            <w10:anchorlock/>
          </v:shape>
        </w:pict>
      </w:r>
      <w:r>
        <w:t xml:space="preserve"> </w:t>
      </w:r>
    </w:p>
    <w:p>
      <w:pPr>
        <w:widowControl w:val="0"/>
        <w:rPr>
          <w:sz w:val="2"/>
          <w:szCs w:val="2"/>
        </w:rPr>
        <w:sectPr>
          <w:pgSz w:w="11900" w:h="16840"/>
          <w:pgMar w:top="1453" w:left="0" w:right="0" w:bottom="177" w:header="0" w:footer="3" w:gutter="0"/>
          <w:rtlGutter w:val="0"/>
          <w:cols w:space="720"/>
          <w:noEndnote/>
          <w:docGrid w:linePitch="360"/>
        </w:sectPr>
      </w:pPr>
    </w:p>
    <w:p>
      <w:pPr>
        <w:widowControl w:val="0"/>
        <w:spacing w:line="360" w:lineRule="exact"/>
      </w:pPr>
      <w:r>
        <w:pict>
          <v:shape id="_x0000_s2145" type="#_x0000_t202" style="position:absolute;margin-left:2.15pt;margin-top:0.1pt;width:297.1pt;height:10.15pt;z-index:251657908;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jc w:val="left"/>
                    <w:spacing w:before="0" w:after="0" w:line="150" w:lineRule="exact"/>
                    <w:ind w:left="0" w:right="0" w:firstLine="0"/>
                  </w:pPr>
                  <w:r>
                    <w:rPr>
                      <w:rStyle w:val="CharStyle191"/>
                      <w:lang w:val="ru-RU" w:eastAsia="ru-RU" w:bidi="ru-RU"/>
                      <w:b/>
                      <w:bCs/>
                      <w:i/>
                      <w:iCs/>
                    </w:rPr>
                    <w:t xml:space="preserve">Калия оротат </w:t>
                  </w:r>
                  <w:r>
                    <w:rPr>
                      <w:rStyle w:val="CharStyle191"/>
                      <w:b/>
                      <w:bCs/>
                      <w:i/>
                      <w:iCs/>
                    </w:rPr>
                    <w:t xml:space="preserve">(Potassium orotate). </w:t>
                  </w:r>
                  <w:r>
                    <w:rPr>
                      <w:rStyle w:val="CharStyle191"/>
                      <w:lang w:val="ru-RU" w:eastAsia="ru-RU" w:bidi="ru-RU"/>
                      <w:b/>
                      <w:bCs/>
                      <w:i/>
                      <w:iCs/>
                    </w:rPr>
                    <w:t xml:space="preserve">Синонимы: </w:t>
                  </w:r>
                  <w:r>
                    <w:rPr>
                      <w:rStyle w:val="CharStyle191"/>
                      <w:b/>
                      <w:bCs/>
                      <w:i/>
                      <w:iCs/>
                    </w:rPr>
                    <w:t>Dioron, Kalium oroticum, Orocid, Oropur</w:t>
                  </w:r>
                </w:p>
              </w:txbxContent>
            </v:textbox>
            <w10:wrap anchorx="margin"/>
          </v:shape>
        </w:pict>
      </w:r>
      <w:r>
        <w:pict>
          <v:shape id="_x0000_s2146" type="#_x0000_t202" style="position:absolute;margin-left:1.7pt;margin-top:11.75pt;width:491.3pt;height:5.e-002pt;z-index:251657909;mso-wrap-distance-left:5.pt;mso-wrap-distance-right:5.pt;mso-position-horizontal-relative:margin" filled="f" stroked="f">
            <v:textbox style="mso-fit-shape-to-text:t" inset="0,0,0,0">
              <w:txbxContent>
                <w:p>
                  <w:pPr>
                    <w:pStyle w:val="Style96"/>
                    <w:widowControl w:val="0"/>
                    <w:keepNext w:val="0"/>
                    <w:keepLines w:val="0"/>
                    <w:shd w:val="clear" w:color="auto" w:fill="auto"/>
                    <w:bidi w:val="0"/>
                    <w:jc w:val="both"/>
                    <w:spacing w:before="0" w:after="0" w:line="192" w:lineRule="exact"/>
                    <w:ind w:left="0" w:right="0" w:firstLine="0"/>
                  </w:pPr>
                  <w:r>
                    <w:rPr>
                      <w:rStyle w:val="CharStyle97"/>
                    </w:rPr>
                    <w:t>Показания к применению</w:t>
                  </w:r>
                </w:p>
                <w:p>
                  <w:pPr>
                    <w:pStyle w:val="Style96"/>
                    <w:widowControl w:val="0"/>
                    <w:keepNext w:val="0"/>
                    <w:keepLines w:val="0"/>
                    <w:shd w:val="clear" w:color="auto" w:fill="auto"/>
                    <w:bidi w:val="0"/>
                    <w:jc w:val="both"/>
                    <w:spacing w:before="0" w:after="0" w:line="192" w:lineRule="exact"/>
                    <w:ind w:left="0" w:right="0" w:firstLine="0"/>
                  </w:pPr>
                  <w:r>
                    <w:rPr>
                      <w:rStyle w:val="CharStyle97"/>
                    </w:rPr>
                    <w:t>Заболевания печени (в т.ч. интоксикационные), дистрофия миокарда, экстрасистолия и мерцательная аритмия, гипотрофия у детей (алиментарная и алиментарно-инфекционная); тяжелая и постоянная физическая нагрузка.</w:t>
                  </w:r>
                </w:p>
                <w:tbl>
                  <w:tblPr>
                    <w:tblOverlap w:val="never"/>
                    <w:tblLayout w:type="fixed"/>
                    <w:jc w:val="center"/>
                  </w:tblPr>
                  <w:tblGrid>
                    <w:gridCol w:w="1910"/>
                    <w:gridCol w:w="4757"/>
                    <w:gridCol w:w="3158"/>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0,01-0,02 г/кг в сутки</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2-3 раза в сутки</w:t>
                        </w:r>
                      </w:p>
                    </w:tc>
                  </w:tr>
                </w:tbl>
                <w:p>
                  <w:pPr>
                    <w:widowControl w:val="0"/>
                    <w:rPr>
                      <w:sz w:val="2"/>
                      <w:szCs w:val="2"/>
                    </w:rPr>
                  </w:pPr>
                </w:p>
              </w:txbxContent>
            </v:textbox>
            <w10:wrap anchorx="margin"/>
          </v:shape>
        </w:pict>
      </w:r>
      <w:r>
        <w:pict>
          <v:shape id="_x0000_s2147" type="#_x0000_t202" style="position:absolute;margin-left:1.9pt;margin-top:65.05pt;width:490.3pt;height:79.65pt;z-index:251657910;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Фармакологическое действие. Анаболическое, нестероидное. Стимулирует обмен веществ. Оротовая кислота является одним из пред</w:t>
                    <w:softHyphen/>
                    <w:t>шественников пиримидиновых нуклеотидов, входящих в состав нуклеиновых кислот, которые участвуют в синтезе белковых молекул. Оротовая кислота и ее соли рассматриваются поэтому как вещество анаболического действия и применяются при нарушениях белково</w:t>
                    <w:softHyphen/>
                    <w:t>го обмена как общие стимуляторы обменных процессов.</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Гиперчувствительность, цирроз печени с асцитом.</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spacing w:before="0" w:after="0" w:line="192" w:lineRule="exact"/>
                    <w:ind w:left="0" w:right="0" w:firstLine="0"/>
                  </w:pPr>
                  <w:r>
                    <w:rPr>
                      <w:rStyle w:val="CharStyle90"/>
                    </w:rPr>
                    <w:t>Диспепсия, кожные аллергические реакции.</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2" w:lineRule="exact"/>
      </w:pPr>
    </w:p>
    <w:p>
      <w:pPr>
        <w:widowControl w:val="0"/>
        <w:rPr>
          <w:sz w:val="2"/>
          <w:szCs w:val="2"/>
        </w:rPr>
        <w:sectPr>
          <w:type w:val="continuous"/>
          <w:pgSz w:w="11900" w:h="16840"/>
          <w:pgMar w:top="1453" w:left="1124" w:right="898" w:bottom="177" w:header="0" w:footer="3" w:gutter="0"/>
          <w:rtlGutter w:val="0"/>
          <w:cols w:space="720"/>
          <w:noEndnote/>
          <w:docGrid w:linePitch="360"/>
        </w:sectPr>
      </w:pPr>
    </w:p>
    <w:p>
      <w:pPr>
        <w:widowControl w:val="0"/>
        <w:spacing w:line="145" w:lineRule="exact"/>
        <w:rPr>
          <w:sz w:val="12"/>
          <w:szCs w:val="12"/>
        </w:rPr>
      </w:pPr>
    </w:p>
    <w:p>
      <w:pPr>
        <w:widowControl w:val="0"/>
        <w:rPr>
          <w:sz w:val="2"/>
          <w:szCs w:val="2"/>
        </w:rPr>
        <w:sectPr>
          <w:type w:val="continuous"/>
          <w:pgSz w:w="11900" w:h="16840"/>
          <w:pgMar w:top="6196" w:left="0" w:right="0" w:bottom="2433" w:header="0" w:footer="3" w:gutter="0"/>
          <w:rtlGutter w:val="0"/>
          <w:cols w:space="720"/>
          <w:noEndnote/>
          <w:docGrid w:linePitch="360"/>
        </w:sectPr>
      </w:pPr>
    </w:p>
    <w:p>
      <w:pPr>
        <w:pStyle w:val="Style30"/>
        <w:widowControl w:val="0"/>
        <w:keepNext w:val="0"/>
        <w:keepLines w:val="0"/>
        <w:shd w:val="clear" w:color="auto" w:fill="auto"/>
        <w:bidi w:val="0"/>
        <w:spacing w:before="0" w:after="0" w:line="192" w:lineRule="exact"/>
        <w:ind w:left="0" w:right="0" w:firstLine="0"/>
      </w:pPr>
      <w:r>
        <w:pict>
          <v:shape id="_x0000_s2148" type="#_x0000_t202" style="position:absolute;margin-left:-0.25pt;margin-top:-77.75pt;width:491.3pt;height:5.e-002pt;z-index:-125828732;mso-wrap-distance-left:5.pt;mso-wrap-distance-right:5.pt;mso-position-horizontal-relative:margin" filled="f" stroked="f">
            <v:textbox style="mso-fit-shape-to-text:t" inset="0,0,0,0">
              <w:txbxContent>
                <w:p>
                  <w:pPr>
                    <w:pStyle w:val="Style188"/>
                    <w:widowControl w:val="0"/>
                    <w:keepNext w:val="0"/>
                    <w:keepLines w:val="0"/>
                    <w:shd w:val="clear" w:color="auto" w:fill="auto"/>
                    <w:bidi w:val="0"/>
                    <w:jc w:val="left"/>
                    <w:spacing w:before="0" w:after="0" w:line="150" w:lineRule="exact"/>
                    <w:ind w:left="0" w:right="0" w:firstLine="0"/>
                  </w:pPr>
                  <w:r>
                    <w:rPr>
                      <w:lang w:val="ru-RU" w:eastAsia="ru-RU" w:bidi="ru-RU"/>
                      <w:w w:val="100"/>
                      <w:spacing w:val="0"/>
                      <w:color w:val="000000"/>
                      <w:position w:val="0"/>
                    </w:rPr>
                    <w:t xml:space="preserve">Цитохром Ц </w:t>
                  </w:r>
                  <w:r>
                    <w:rPr>
                      <w:w w:val="100"/>
                      <w:spacing w:val="0"/>
                      <w:color w:val="000000"/>
                      <w:position w:val="0"/>
                    </w:rPr>
                    <w:t>(Cytochromum-C)</w:t>
                  </w:r>
                </w:p>
                <w:p>
                  <w:pPr>
                    <w:pStyle w:val="Style96"/>
                    <w:widowControl w:val="0"/>
                    <w:keepNext w:val="0"/>
                    <w:keepLines w:val="0"/>
                    <w:shd w:val="clear" w:color="auto" w:fill="auto"/>
                    <w:bidi w:val="0"/>
                    <w:jc w:val="left"/>
                    <w:spacing w:before="0" w:after="0" w:line="180" w:lineRule="exact"/>
                    <w:ind w:left="0" w:right="0" w:firstLine="0"/>
                  </w:pPr>
                  <w:r>
                    <w:rPr>
                      <w:rStyle w:val="CharStyle97"/>
                    </w:rPr>
                    <w:t>Показания к применению</w:t>
                  </w:r>
                </w:p>
                <w:p>
                  <w:pPr>
                    <w:pStyle w:val="Style96"/>
                    <w:widowControl w:val="0"/>
                    <w:keepNext w:val="0"/>
                    <w:keepLines w:val="0"/>
                    <w:shd w:val="clear" w:color="auto" w:fill="auto"/>
                    <w:bidi w:val="0"/>
                    <w:jc w:val="left"/>
                    <w:spacing w:before="0" w:after="0" w:line="180" w:lineRule="exact"/>
                    <w:ind w:left="0" w:right="0" w:firstLine="0"/>
                  </w:pPr>
                  <w:r>
                    <w:rPr>
                      <w:rStyle w:val="CharStyle97"/>
                    </w:rPr>
                    <w:t>Сердечная недостаточность различного генеза, асфиксия новорожденных, бронхиальная астма, ИБС, инфекционный гепатит.</w:t>
                  </w:r>
                </w:p>
                <w:tbl>
                  <w:tblPr>
                    <w:tblOverlap w:val="never"/>
                    <w:tblLayout w:type="fixed"/>
                    <w:jc w:val="center"/>
                  </w:tblPr>
                  <w:tblGrid>
                    <w:gridCol w:w="1910"/>
                    <w:gridCol w:w="4757"/>
                    <w:gridCol w:w="3158"/>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437"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В/в капельно</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10-50-100 мг на 200 мл изотонического раствора хлорида натрия или 5% раствора глюкозы, 30-40 капель в минуту.</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1 раз в сутки</w:t>
                        </w:r>
                      </w:p>
                    </w:tc>
                  </w:tr>
                  <w:tr>
                    <w:trPr>
                      <w:trHeight w:val="221"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Фармакологическое действие:</w:t>
                        </w:r>
                      </w:p>
                    </w:tc>
                  </w:tr>
                </w:tbl>
                <w:p>
                  <w:pPr>
                    <w:widowControl w:val="0"/>
                    <w:rPr>
                      <w:sz w:val="2"/>
                      <w:szCs w:val="2"/>
                    </w:rPr>
                  </w:pPr>
                </w:p>
              </w:txbxContent>
            </v:textbox>
            <w10:wrap type="topAndBottom" anchorx="margin"/>
          </v:shape>
        </w:pict>
      </w:r>
      <w:r>
        <w:rPr>
          <w:lang w:val="ru-RU" w:eastAsia="ru-RU" w:bidi="ru-RU"/>
          <w:w w:val="100"/>
          <w:spacing w:val="0"/>
          <w:color w:val="000000"/>
          <w:position w:val="0"/>
        </w:rPr>
        <w:t>Цитохром С является ферментом, принимающим участие в процессах тканевого дыхания. Обладает антигипоксической активностью, улучшая процессы тканевого дыхания. Механизм реализации эффекта связан с наличием в простетической группе фермента железа, способного переходить из окисленного в восстановленное состояние. В итоге ускоряются (становятся возможными) эндогенные окис</w:t>
        <w:softHyphen/>
        <w:t>лительно-восстановительные реакции и утилизация кислорода. Быстро и полностью всасывается при любых путях введения. Хорошо проникает в клетки органов и тканей.</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Противопоказания:</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Гиперчувствительность, цирроз печени с асцитом.</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Побочные эффекты:</w:t>
      </w:r>
    </w:p>
    <w:p>
      <w:pPr>
        <w:pStyle w:val="Style30"/>
        <w:widowControl w:val="0"/>
        <w:keepNext w:val="0"/>
        <w:keepLines w:val="0"/>
        <w:shd w:val="clear" w:color="auto" w:fill="auto"/>
        <w:bidi w:val="0"/>
        <w:spacing w:before="0" w:after="214" w:line="192" w:lineRule="exact"/>
        <w:ind w:left="0" w:right="0" w:firstLine="0"/>
      </w:pPr>
      <w:r>
        <w:rPr>
          <w:lang w:val="ru-RU" w:eastAsia="ru-RU" w:bidi="ru-RU"/>
          <w:w w:val="100"/>
          <w:spacing w:val="0"/>
          <w:color w:val="000000"/>
          <w:position w:val="0"/>
        </w:rPr>
        <w:t>Диспепсия, кожные аллергические реакции.</w:t>
      </w:r>
    </w:p>
    <w:p>
      <w:pPr>
        <w:pStyle w:val="Style184"/>
        <w:widowControl w:val="0"/>
        <w:keepNext w:val="0"/>
        <w:keepLines w:val="0"/>
        <w:shd w:val="clear" w:color="auto" w:fill="auto"/>
        <w:bidi w:val="0"/>
        <w:spacing w:before="0" w:after="0" w:line="150" w:lineRule="exact"/>
        <w:ind w:left="0" w:right="0" w:firstLine="0"/>
      </w:pPr>
      <w:r>
        <w:rPr>
          <w:lang w:val="ru-RU" w:eastAsia="ru-RU" w:bidi="ru-RU"/>
          <w:w w:val="100"/>
          <w:spacing w:val="0"/>
          <w:color w:val="000000"/>
          <w:position w:val="0"/>
        </w:rPr>
        <w:t xml:space="preserve">Кислота глутаминовая </w:t>
      </w:r>
      <w:r>
        <w:rPr>
          <w:w w:val="100"/>
          <w:spacing w:val="0"/>
          <w:color w:val="000000"/>
          <w:position w:val="0"/>
        </w:rPr>
        <w:t>(Acidum glutaminicum)</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Показания к применению</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В медицинской практике глутаминовая кислота находит применение главным образом при лечении заболеваний ЦНС: эпилепсии (преимущественно малых припадков с эквивалентами), психозов (соматогенных, интоксикационных, инволюционных), реактивных состояний, протекающих с явлениями истощения, депрессии и др. В педиатрии препарат применяют при задержке психического развития различной этиологии, церебральных параличах, болезни Дауна, полиомиелите в остром и восстановительном периоде. Отмечены также положительные результаты при применении глутаминовой кислоты (в сочетании с пахикарпином или гликоколом) у больных прогрессирующей миопатией. Рекомендуется также назначать глутаминовую кислоту для предупреждения и снятия нейротоксических явлений, которые могут возникнуть при применении изониазида и других препаратов группы гидразида, изоникотиновой кислоты.</w:t>
      </w:r>
    </w:p>
    <w:p>
      <w:pPr>
        <w:pStyle w:val="Style30"/>
        <w:widowControl w:val="0"/>
        <w:keepNext w:val="0"/>
        <w:keepLines w:val="0"/>
        <w:shd w:val="clear" w:color="auto" w:fill="auto"/>
        <w:bidi w:val="0"/>
        <w:spacing w:before="0" w:after="0" w:line="192" w:lineRule="exact"/>
        <w:ind w:left="0" w:right="0" w:firstLine="0"/>
      </w:pPr>
      <w:r>
        <w:pict>
          <v:shape id="_x0000_s2149" type="#_x0000_t202" style="position:absolute;margin-left:-0.25pt;margin-top:-45.35pt;width:492.pt;height:5.e-002pt;z-index:-125828731;mso-wrap-distance-left:5.pt;mso-wrap-distance-right:5.pt;mso-position-horizontal-relative:margin" filled="f" stroked="f">
            <v:textbox style="mso-fit-shape-to-text:t" inset="0,0,0,0">
              <w:txbxContent>
                <w:tbl>
                  <w:tblPr>
                    <w:tblOverlap w:val="never"/>
                    <w:tblLayout w:type="fixed"/>
                    <w:jc w:val="center"/>
                  </w:tblPr>
                  <w:tblGrid>
                    <w:gridCol w:w="1910"/>
                    <w:gridCol w:w="5102"/>
                    <w:gridCol w:w="2827"/>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11"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Дети в возрасте до 1 года принимают по 0,1 г; до 2 лет — 0,15 г;</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2-3 раза в сутки</w:t>
                        </w:r>
                      </w:p>
                    </w:tc>
                  </w:tr>
                  <w:tr>
                    <w:trPr>
                      <w:trHeight w:val="197" w:hRule="exact"/>
                    </w:trPr>
                    <w:tc>
                      <w:tcPr>
                        <w:shd w:val="clear" w:color="auto" w:fill="FFFFFF"/>
                        <w:tcBorders>
                          <w:left w:val="single" w:sz="4"/>
                        </w:tcBorders>
                        <w:vAlign w:val="top"/>
                      </w:tcPr>
                      <w:p>
                        <w:pPr>
                          <w:widowControl w:val="0"/>
                          <w:rPr>
                            <w:sz w:val="10"/>
                            <w:szCs w:val="10"/>
                          </w:rPr>
                        </w:pPr>
                      </w:p>
                    </w:tc>
                    <w:tc>
                      <w:tcPr>
                        <w:shd w:val="clear" w:color="auto" w:fill="FFFFFF"/>
                        <w:tcBorders>
                          <w:left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3-4 лет — 0,25 г; 5-6 лет — 0,4 г; 7-9 лет — 0,5-1,0 г; 10 лет и старше —</w:t>
                        </w:r>
                      </w:p>
                    </w:tc>
                    <w:tc>
                      <w:tcPr>
                        <w:shd w:val="clear" w:color="auto" w:fill="FFFFFF"/>
                        <w:tcBorders>
                          <w:left w:val="single" w:sz="4"/>
                          <w:right w:val="single" w:sz="4"/>
                        </w:tcBorders>
                        <w:vAlign w:val="top"/>
                      </w:tcPr>
                      <w:p>
                        <w:pPr>
                          <w:widowControl w:val="0"/>
                          <w:rPr>
                            <w:sz w:val="10"/>
                            <w:szCs w:val="10"/>
                          </w:rPr>
                        </w:pPr>
                      </w:p>
                    </w:tc>
                  </w:tr>
                  <w:tr>
                    <w:trPr>
                      <w:trHeight w:val="230" w:hRule="exact"/>
                    </w:trPr>
                    <w:tc>
                      <w:tcPr>
                        <w:shd w:val="clear" w:color="auto" w:fill="FFFFFF"/>
                        <w:tcBorders>
                          <w:left w:val="single" w:sz="4"/>
                          <w:bottom w:val="single" w:sz="4"/>
                        </w:tcBorders>
                        <w:vAlign w:val="top"/>
                      </w:tcPr>
                      <w:p>
                        <w:pPr>
                          <w:widowControl w:val="0"/>
                          <w:rPr>
                            <w:sz w:val="10"/>
                            <w:szCs w:val="10"/>
                          </w:rPr>
                        </w:pPr>
                      </w:p>
                    </w:tc>
                    <w:tc>
                      <w:tcPr>
                        <w:shd w:val="clear" w:color="auto" w:fill="FFFFFF"/>
                        <w:tcBorders>
                          <w:left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по 1 г</w:t>
                        </w:r>
                      </w:p>
                    </w:tc>
                    <w:tc>
                      <w:tcPr>
                        <w:shd w:val="clear" w:color="auto" w:fill="FFFFFF"/>
                        <w:tcBorders>
                          <w:left w:val="single" w:sz="4"/>
                          <w:right w:val="single" w:sz="4"/>
                          <w:bottom w:val="single" w:sz="4"/>
                        </w:tcBorders>
                        <w:vAlign w:val="top"/>
                      </w:tcPr>
                      <w:p>
                        <w:pPr>
                          <w:widowControl w:val="0"/>
                          <w:rPr>
                            <w:sz w:val="10"/>
                            <w:szCs w:val="10"/>
                          </w:rPr>
                        </w:pPr>
                      </w:p>
                    </w:tc>
                  </w:tr>
                </w:tbl>
                <w:p>
                  <w:pPr>
                    <w:widowControl w:val="0"/>
                    <w:rPr>
                      <w:sz w:val="2"/>
                      <w:szCs w:val="2"/>
                    </w:rPr>
                  </w:pPr>
                </w:p>
              </w:txbxContent>
            </v:textbox>
            <w10:wrap type="topAndBottom" anchorx="margin"/>
          </v:shape>
        </w:pict>
      </w:r>
      <w:r>
        <w:rPr>
          <w:lang w:val="ru-RU" w:eastAsia="ru-RU" w:bidi="ru-RU"/>
          <w:w w:val="100"/>
          <w:spacing w:val="0"/>
          <w:color w:val="000000"/>
          <w:position w:val="0"/>
        </w:rPr>
        <w:t>Фармакологическое действие. Глутаминовая кислота относится к заменимым аминокислотам. Она поступает в организм с пищей, но синтезируется также в организме при переаминировании в процессе распада белков. Для применения в качестве лекарственного сред</w:t>
        <w:softHyphen/>
        <w:t>ства получают синтетическим путем. Глутаминовая кислота играет важную роль в жизнедеятельности организма: участвует в белковом и углеводном обмене, стимулирует окислительные процессы, способствует обезвреживанию и выведению из организма аммиака, повы</w:t>
        <w:softHyphen/>
        <w:t>шает устойчивость организма к гипоксии. Она способствует также синтезу ацетилхолина и аденозинтрифосфорной кислоты, переносу ионов калия. Как часть белкового компонента, миофибрилл играет важную роль в деятельности скелетной мускулатуры. В последнее время придается особо важное значение центральной нейромедиаторной роли глутаминовой кислоты. Ее относят к нейромедиаторным аминокислотам, стимулирующим передачу возбуждения в синапсах ЦНС. Эндогенная глутаминовая кислота содержится в значитель</w:t>
        <w:softHyphen/>
        <w:t>ных количествах в белках серого и белого вещества мозга. При приеме внутрь хорошо всасывается, проникает через гематоэнцефаличе</w:t>
        <w:softHyphen/>
        <w:t>ский барьер и клеточные мембраны. Введенная в организм, она утилизируется в процессе метаболизма; около 4-7% выводится почками в неизмененном виде.</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Противопоказания:</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Глутаминовая кислота противопоказана при лихорадочных состояниях, заболеваниях печени, почек, желудочно-кишечного тракта, кро</w:t>
        <w:softHyphen/>
        <w:t>ветворных органов, при повышенной возбудимости, бурно протекающих психотических реакциях.</w:t>
      </w:r>
    </w:p>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Побочные эффекты:</w:t>
      </w:r>
    </w:p>
    <w:p>
      <w:pPr>
        <w:pStyle w:val="Style30"/>
        <w:widowControl w:val="0"/>
        <w:keepNext w:val="0"/>
        <w:keepLines w:val="0"/>
        <w:shd w:val="clear" w:color="auto" w:fill="auto"/>
        <w:bidi w:val="0"/>
        <w:spacing w:before="0" w:after="0" w:line="192" w:lineRule="exact"/>
        <w:ind w:left="0" w:right="0" w:firstLine="0"/>
        <w:sectPr>
          <w:type w:val="continuous"/>
          <w:pgSz w:w="11900" w:h="16840"/>
          <w:pgMar w:top="6196" w:left="1148" w:right="922" w:bottom="2433" w:header="0" w:footer="3" w:gutter="0"/>
          <w:rtlGutter w:val="0"/>
          <w:cols w:space="720"/>
          <w:noEndnote/>
          <w:docGrid w:linePitch="360"/>
        </w:sectPr>
      </w:pPr>
      <w:r>
        <w:rPr>
          <w:lang w:val="ru-RU" w:eastAsia="ru-RU" w:bidi="ru-RU"/>
          <w:w w:val="100"/>
          <w:spacing w:val="0"/>
          <w:color w:val="000000"/>
          <w:position w:val="0"/>
        </w:rPr>
        <w:t>Обычно глутаминовая кислота хорошо переносится. Возможные побочные явления (рвота, жидкий стул, возбуждение) после уменьше</w:t>
        <w:softHyphen/>
        <w:t>ния дозы проходят. При длительном применении возможны снижение содержания гемоглобина и лейкопения.</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20" w:after="20"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2150" type="#_x0000_t75" style="position:absolute;margin-left:136.55pt;margin-top:0;width:209.75pt;height:14.9pt;z-index:-251658582;mso-wrap-distance-left:5.pt;mso-wrap-distance-right:5.pt;mso-position-horizontal-relative:margin" wrapcoords="0 0">
            <v:imagedata r:id="rId1475" r:href="rId1476"/>
            <w10:wrap anchorx="margin"/>
          </v:shape>
        </w:pict>
      </w:r>
    </w:p>
    <w:p>
      <w:pPr>
        <w:widowControl w:val="0"/>
        <w:rPr>
          <w:sz w:val="2"/>
          <w:szCs w:val="2"/>
        </w:rPr>
        <w:sectPr>
          <w:type w:val="continuous"/>
          <w:pgSz w:w="11900" w:h="16840"/>
          <w:pgMar w:top="1468" w:left="1124" w:right="898" w:bottom="192" w:header="0" w:footer="3" w:gutter="0"/>
          <w:rtlGutter w:val="0"/>
          <w:cols w:space="720"/>
          <w:noEndnote/>
          <w:docGrid w:linePitch="360"/>
        </w:sectPr>
      </w:pPr>
    </w:p>
    <w:p>
      <w:pPr>
        <w:widowControl w:val="0"/>
        <w:spacing w:before="25" w:after="25" w:line="240" w:lineRule="exact"/>
        <w:rPr>
          <w:sz w:val="19"/>
          <w:szCs w:val="19"/>
        </w:rPr>
      </w:pPr>
    </w:p>
    <w:p>
      <w:pPr>
        <w:widowControl w:val="0"/>
        <w:rPr>
          <w:sz w:val="2"/>
          <w:szCs w:val="2"/>
        </w:rPr>
        <w:sectPr>
          <w:pgSz w:w="11900" w:h="16840"/>
          <w:pgMar w:top="1438" w:left="0" w:right="0" w:bottom="162" w:header="0" w:footer="3" w:gutter="0"/>
          <w:rtlGutter w:val="0"/>
          <w:cols w:space="720"/>
          <w:noEndnote/>
          <w:docGrid w:linePitch="360"/>
        </w:sectPr>
      </w:pPr>
    </w:p>
    <w:p>
      <w:pPr>
        <w:widowControl w:val="0"/>
        <w:spacing w:line="360" w:lineRule="exact"/>
      </w:pPr>
      <w:r>
        <w:pict>
          <v:shape id="_x0000_s2151" type="#_x0000_t202" style="position:absolute;margin-left:12.5pt;margin-top:0;width:412.3pt;height:13.05pt;z-index:251657911;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СРЕДСТВА, УЛУЧШАЮЩИЕ МОЗГОВОЙ МЕТАБОЛИЗМ И МОЗГОВОЕ КРОВООБРАЩЕНИЕ</w:t>
                  </w:r>
                </w:p>
              </w:txbxContent>
            </v:textbox>
            <w10:wrap anchorx="margin"/>
          </v:shape>
        </w:pict>
      </w:r>
      <w:r>
        <w:pict>
          <v:shape id="_x0000_s2152" type="#_x0000_t202" style="position:absolute;margin-left:0.95pt;margin-top:27.55pt;width:491.5pt;height:72.7pt;z-index:251657912;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Аминалон </w:t>
                  </w:r>
                  <w:r>
                    <w:rPr>
                      <w:rStyle w:val="CharStyle191"/>
                      <w:b/>
                      <w:bCs/>
                      <w:i/>
                      <w:iCs/>
                    </w:rPr>
                    <w:t xml:space="preserve">(Aminalonum) </w:t>
                  </w:r>
                  <w:r>
                    <w:rPr>
                      <w:rStyle w:val="CharStyle191"/>
                      <w:lang w:val="ru-RU" w:eastAsia="ru-RU" w:bidi="ru-RU"/>
                      <w:b/>
                      <w:bCs/>
                      <w:i/>
                      <w:iCs/>
                    </w:rPr>
                    <w:t xml:space="preserve">Синонимы: Гаммалон, Ганеврин, </w:t>
                  </w:r>
                  <w:r>
                    <w:rPr>
                      <w:rStyle w:val="CharStyle191"/>
                      <w:b/>
                      <w:bCs/>
                      <w:i/>
                      <w:iCs/>
                    </w:rPr>
                    <w:t xml:space="preserve">Apogamma, Encefalon, GABA, Gaballon, Gamarex, Gammalon, Gammaneuron, Gammar, Gammasol, Mielogen, Mielomade </w:t>
                  </w:r>
                  <w:r>
                    <w:rPr>
                      <w:rStyle w:val="CharStyle191"/>
                      <w:lang w:val="ru-RU" w:eastAsia="ru-RU" w:bidi="ru-RU"/>
                      <w:b/>
                      <w:bCs/>
                      <w:i/>
                      <w:iCs/>
                    </w:rPr>
                    <w:t>и др.</w:t>
                  </w:r>
                </w:p>
                <w:p>
                  <w:pPr>
                    <w:pStyle w:val="Style30"/>
                    <w:widowControl w:val="0"/>
                    <w:keepNext w:val="0"/>
                    <w:keepLines w:val="0"/>
                    <w:shd w:val="clear" w:color="auto" w:fill="auto"/>
                    <w:bidi w:val="0"/>
                    <w:spacing w:before="0" w:after="0" w:line="192" w:lineRule="exact"/>
                    <w:ind w:left="0" w:right="0" w:firstLine="0"/>
                  </w:pPr>
                  <w:r>
                    <w:rPr>
                      <w:rStyle w:val="CharStyle90"/>
                    </w:rPr>
                    <w:t>Показания к применению</w:t>
                  </w:r>
                </w:p>
                <w:p>
                  <w:pPr>
                    <w:pStyle w:val="Style30"/>
                    <w:widowControl w:val="0"/>
                    <w:keepNext w:val="0"/>
                    <w:keepLines w:val="0"/>
                    <w:shd w:val="clear" w:color="auto" w:fill="auto"/>
                    <w:bidi w:val="0"/>
                    <w:spacing w:before="0" w:after="0" w:line="192" w:lineRule="exact"/>
                    <w:ind w:left="0" w:right="0" w:firstLine="0"/>
                  </w:pPr>
                  <w:r>
                    <w:rPr>
                      <w:rStyle w:val="CharStyle90"/>
                    </w:rPr>
                    <w:t>Остаточные явления черепно-мозговых травм, инсульта, цереброваскулярная недостаточность, дисциркуляторная энцефалопатия, алкогольный полиневрит, детский церебральный паралич, последствия черепно-мозговой родовой травмы у детей, умственная отсталость, нарушение памяти и внимания, дизартрия, головокружение, головная боль, симптомокомплекс укачивания (морская, воздушная болезнь).</w:t>
                  </w:r>
                </w:p>
              </w:txbxContent>
            </v:textbox>
            <w10:wrap anchorx="margin"/>
          </v:shape>
        </w:pict>
      </w:r>
      <w:r>
        <w:pict>
          <v:shape id="_x0000_s2153" type="#_x0000_t202" style="position:absolute;margin-left:0.95pt;margin-top:100.55pt;width:492.pt;height:5.e-002pt;z-index:251657913;mso-wrap-distance-left:5.pt;mso-wrap-distance-right:5.pt;mso-position-horizontal-relative:margin" filled="f" stroked="f">
            <v:textbox style="mso-fit-shape-to-text:t" inset="0,0,0,0">
              <w:txbxContent>
                <w:tbl>
                  <w:tblPr>
                    <w:tblOverlap w:val="never"/>
                    <w:tblLayout w:type="fixed"/>
                    <w:jc w:val="center"/>
                  </w:tblPr>
                  <w:tblGrid>
                    <w:gridCol w:w="1891"/>
                    <w:gridCol w:w="4954"/>
                    <w:gridCol w:w="2995"/>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461"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Детям 1-3 лет — 1-2 г/сутки; 4-6 лет — 2-3 г/сутки; старше 7 лет — 3 г/сутки.</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 2-3 приема до еды</w:t>
                        </w:r>
                      </w:p>
                    </w:tc>
                  </w:tr>
                </w:tbl>
                <w:p>
                  <w:pPr>
                    <w:widowControl w:val="0"/>
                    <w:rPr>
                      <w:sz w:val="2"/>
                      <w:szCs w:val="2"/>
                    </w:rPr>
                  </w:pPr>
                </w:p>
              </w:txbxContent>
            </v:textbox>
            <w10:wrap anchorx="margin"/>
          </v:shape>
        </w:pict>
      </w:r>
      <w:r>
        <w:pict>
          <v:shape id="_x0000_s2154" type="#_x0000_t202" style="position:absolute;margin-left:1.45pt;margin-top:133.9pt;width:491.3pt;height:137.25pt;z-index:251657914;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Фармакологическое действие. Оказывает влияние на специфические ГАМК-рецепторы (А- и Б-подгруппы), изменяет кинетику иона хлора. После введения внутрь всасывается быстро и достаточно полно. Плохо проходит ГЭБ. Восстанавливает процессы метаболизма в головном мозге, увеличивает толерантность к гипоксии, способствует утилизации глюкозы мозгом и удалению из него токсических продуктов обмена. Ускоряет кровоток. Повышает продуктивность мышления, улучшает память, оказывает умеренное психостимулиру</w:t>
                    <w:softHyphen/>
                    <w:t>ющее действие, благоприятно влияет на восстановление движений и речи после нарушения мозгового кровообращения. Обладает про</w:t>
                    <w:softHyphen/>
                    <w:t>тивосудорожной, гипотензивной активностью, снижает исходно повышенное АД и выраженность обусловленных гипертонией симпто</w:t>
                    <w:softHyphen/>
                    <w:t>мов (головокружение, бессонница), незначительно урежает ЧСС. У больных с сахарным диабетом снижает уровень гликемии, у здоро</w:t>
                    <w:softHyphen/>
                    <w:t>вых (при нормальном содержании сахара в крови) — обратный эффект (за счет гликогенолиза).</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Гиперчувствительность.</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spacing w:before="0" w:after="0" w:line="192" w:lineRule="exact"/>
                    <w:ind w:left="0" w:right="0" w:firstLine="0"/>
                  </w:pPr>
                  <w:r>
                    <w:rPr>
                      <w:rStyle w:val="CharStyle90"/>
                    </w:rPr>
                    <w:t>Тошнота, рвота, бессонница, лабильность АД, диспепсия, повышение температуры тела, ощущение жара.</w:t>
                  </w:r>
                </w:p>
                <w:p>
                  <w:pPr>
                    <w:pStyle w:val="Style30"/>
                    <w:widowControl w:val="0"/>
                    <w:keepNext w:val="0"/>
                    <w:keepLines w:val="0"/>
                    <w:shd w:val="clear" w:color="auto" w:fill="auto"/>
                    <w:bidi w:val="0"/>
                    <w:spacing w:before="0" w:after="0" w:line="192" w:lineRule="exact"/>
                    <w:ind w:left="0" w:right="0" w:firstLine="0"/>
                  </w:pPr>
                  <w:r>
                    <w:rPr>
                      <w:rStyle w:val="CharStyle90"/>
                    </w:rPr>
                    <w:t>Взаимодействие: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Усиливает действие бензодиазепинов, многих снотворных и противосудорожных средств.</w:t>
                  </w:r>
                </w:p>
              </w:txbxContent>
            </v:textbox>
            <w10:wrap anchorx="margin"/>
          </v:shape>
        </w:pict>
      </w:r>
      <w:r>
        <w:pict>
          <v:shape id="_x0000_s2155" type="#_x0000_t202" style="position:absolute;margin-left:1.2pt;margin-top:297.55pt;width:491.3pt;height:111.1pt;z-index:251657915;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Пантогам </w:t>
                  </w:r>
                  <w:r>
                    <w:rPr>
                      <w:rStyle w:val="CharStyle191"/>
                      <w:b/>
                      <w:bCs/>
                      <w:i/>
                      <w:iCs/>
                    </w:rPr>
                    <w:t xml:space="preserve">(Pantohamum) </w:t>
                  </w:r>
                  <w:r>
                    <w:rPr>
                      <w:rStyle w:val="CharStyle191"/>
                      <w:lang w:val="ru-RU" w:eastAsia="ru-RU" w:bidi="ru-RU"/>
                      <w:b/>
                      <w:bCs/>
                      <w:i/>
                      <w:iCs/>
                    </w:rPr>
                    <w:t xml:space="preserve">Синонимы: </w:t>
                  </w:r>
                  <w:r>
                    <w:rPr>
                      <w:rStyle w:val="CharStyle191"/>
                      <w:b/>
                      <w:bCs/>
                      <w:i/>
                      <w:iCs/>
                    </w:rPr>
                    <w:t xml:space="preserve">Calcium homopantothenat, Hopaten. </w:t>
                  </w:r>
                  <w:r>
                    <w:rPr>
                      <w:rStyle w:val="CharStyle191"/>
                      <w:lang w:val="ru-RU" w:eastAsia="ru-RU" w:bidi="ru-RU"/>
                      <w:b/>
                      <w:bCs/>
                      <w:i/>
                      <w:iCs/>
                    </w:rPr>
                    <w:t xml:space="preserve">Соответствующая кислота имеет названия: </w:t>
                  </w:r>
                  <w:r>
                    <w:rPr>
                      <w:rStyle w:val="CharStyle191"/>
                      <w:b/>
                      <w:bCs/>
                      <w:i/>
                      <w:iCs/>
                    </w:rPr>
                    <w:t>Acidum homopantenicum, Homopantothenic acid, HOPA, Hopatenic acid, Hopate</w:t>
                  </w:r>
                </w:p>
                <w:p>
                  <w:pPr>
                    <w:pStyle w:val="Style30"/>
                    <w:widowControl w:val="0"/>
                    <w:keepNext w:val="0"/>
                    <w:keepLines w:val="0"/>
                    <w:shd w:val="clear" w:color="auto" w:fill="auto"/>
                    <w:bidi w:val="0"/>
                    <w:spacing w:before="0" w:after="0" w:line="192" w:lineRule="exact"/>
                    <w:ind w:left="0" w:right="0" w:firstLine="0"/>
                  </w:pPr>
                  <w:r>
                    <w:rPr>
                      <w:rStyle w:val="CharStyle90"/>
                    </w:rPr>
                    <w:t>Показания к применению</w:t>
                  </w:r>
                </w:p>
                <w:p>
                  <w:pPr>
                    <w:pStyle w:val="Style30"/>
                    <w:widowControl w:val="0"/>
                    <w:keepNext w:val="0"/>
                    <w:keepLines w:val="0"/>
                    <w:shd w:val="clear" w:color="auto" w:fill="auto"/>
                    <w:bidi w:val="0"/>
                    <w:spacing w:before="0" w:after="0" w:line="192" w:lineRule="exact"/>
                    <w:ind w:left="0" w:right="0" w:firstLine="0"/>
                  </w:pPr>
                  <w:r>
                    <w:rPr>
                      <w:rStyle w:val="CharStyle90"/>
                    </w:rPr>
                    <w:t>Детям пантогам назначают от первых дней жизни с перинатальной энцефалопатией, умственной отсталостью различной степени выраженности, с задержкой развития (психического, речевого, моторного или их сочетания), с различными формами детского церебрального паралича, при заикании (преимущественно клонической форме), для лечения эпилепсии, особенно полиморфных приступов, малых припадков, в составе комплексной терапии последствий нейроинфекции и черепно-мозговых травм.</w:t>
                  </w:r>
                </w:p>
                <w:p>
                  <w:pPr>
                    <w:pStyle w:val="Style30"/>
                    <w:widowControl w:val="0"/>
                    <w:keepNext w:val="0"/>
                    <w:keepLines w:val="0"/>
                    <w:shd w:val="clear" w:color="auto" w:fill="auto"/>
                    <w:bidi w:val="0"/>
                    <w:spacing w:before="0" w:after="0" w:line="192" w:lineRule="exact"/>
                    <w:ind w:left="0" w:right="0" w:firstLine="0"/>
                  </w:pPr>
                  <w:r>
                    <w:rPr>
                      <w:rStyle w:val="CharStyle90"/>
                    </w:rPr>
                    <w:t>В урологической практике с 2-х лет при нарушении мочеиспускания различной этиологии и клинически проявляющимися в виде поллакиурии, императивных позывов, императивного недержания мочи, энуреза.</w:t>
                  </w:r>
                </w:p>
                <w:p>
                  <w:pPr>
                    <w:pStyle w:val="Style30"/>
                    <w:widowControl w:val="0"/>
                    <w:keepNext w:val="0"/>
                    <w:keepLines w:val="0"/>
                    <w:shd w:val="clear" w:color="auto" w:fill="auto"/>
                    <w:bidi w:val="0"/>
                    <w:spacing w:before="0" w:after="0" w:line="192" w:lineRule="exact"/>
                    <w:ind w:left="0" w:right="0" w:firstLine="0"/>
                  </w:pPr>
                  <w:r>
                    <w:rPr>
                      <w:rStyle w:val="CharStyle90"/>
                    </w:rPr>
                    <w:t>Рекомендуется при психоэмоциональных нагрузках, снижении умственной и физической работоспособности для облегчения концентрации внимания и запоминания.</w:t>
                  </w:r>
                </w:p>
              </w:txbxContent>
            </v:textbox>
            <w10:wrap anchorx="margin"/>
          </v:shape>
        </w:pict>
      </w:r>
      <w:r>
        <w:pict>
          <v:shape id="_x0000_s2156" type="#_x0000_t202" style="position:absolute;margin-left:0.95pt;margin-top:409.2pt;width:492.pt;height:5.e-002pt;z-index:251657916;mso-wrap-distance-left:5.pt;mso-wrap-distance-right:5.pt;mso-position-horizontal-relative:margin" filled="f" stroked="f">
            <v:textbox style="mso-fit-shape-to-text:t" inset="0,0,0,0">
              <w:txbxContent>
                <w:tbl>
                  <w:tblPr>
                    <w:tblOverlap w:val="never"/>
                    <w:tblLayout w:type="fixed"/>
                    <w:jc w:val="center"/>
                  </w:tblPr>
                  <w:tblGrid>
                    <w:gridCol w:w="1891"/>
                    <w:gridCol w:w="4954"/>
                    <w:gridCol w:w="2995"/>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451"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tcBorders>
                        <w:vAlign w:val="top"/>
                      </w:tcPr>
                      <w:p>
                        <w:pPr>
                          <w:pStyle w:val="Style30"/>
                          <w:widowControl w:val="0"/>
                          <w:keepNext w:val="0"/>
                          <w:keepLines w:val="0"/>
                          <w:shd w:val="clear" w:color="auto" w:fill="auto"/>
                          <w:bidi w:val="0"/>
                          <w:spacing w:before="0" w:after="0" w:line="192" w:lineRule="exact"/>
                          <w:ind w:left="0" w:right="0" w:firstLine="0"/>
                        </w:pPr>
                        <w:r>
                          <w:rPr>
                            <w:lang w:val="ru-RU" w:eastAsia="ru-RU" w:bidi="ru-RU"/>
                            <w:w w:val="100"/>
                            <w:spacing w:val="0"/>
                            <w:color w:val="000000"/>
                            <w:position w:val="0"/>
                          </w:rPr>
                          <w:t>Детям первого года — 5-10 мл (0,5-1 г) в сутки, до 3-х лет — 15-20 мл (1,5-2 г) в сутки, детям от 3-х до 15 лет — 25-30 мл (2,5-3 г).</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 2-3 приема</w:t>
                        </w:r>
                      </w:p>
                    </w:tc>
                  </w:tr>
                  <w:tr>
                    <w:trPr>
                      <w:trHeight w:val="226" w:hRule="exact"/>
                    </w:trPr>
                    <w:tc>
                      <w:tcPr>
                        <w:shd w:val="clear" w:color="auto" w:fill="FFFFFF"/>
                        <w:gridSpan w:val="3"/>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Фармакологическое действие:</w:t>
                        </w:r>
                      </w:p>
                    </w:tc>
                  </w:tr>
                </w:tbl>
                <w:p>
                  <w:pPr>
                    <w:widowControl w:val="0"/>
                    <w:rPr>
                      <w:sz w:val="2"/>
                      <w:szCs w:val="2"/>
                    </w:rPr>
                  </w:pPr>
                </w:p>
              </w:txbxContent>
            </v:textbox>
            <w10:wrap anchorx="margin"/>
          </v:shape>
        </w:pict>
      </w:r>
      <w:r>
        <w:pict>
          <v:shape id="_x0000_s2157" type="#_x0000_t202" style="position:absolute;margin-left:1.45pt;margin-top:452.4pt;width:491.05pt;height:156.45pt;z-index:251657917;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92" w:lineRule="exact"/>
                    <w:ind w:left="0" w:right="0" w:firstLine="0"/>
                  </w:pPr>
                  <w:r>
                    <w:rPr>
                      <w:rStyle w:val="CharStyle90"/>
                    </w:rPr>
                    <w:t>Препарат повышает устойчивость мозга кгипоксии и воздействию токсических веществ, стимулирует анаболические процессы в нейро</w:t>
                    <w:softHyphen/>
                    <w:t>нах, сочетает умеренное седативное действие с мягким стимулирующим эффектом, обладает противосудорожным действием, уменьша</w:t>
                    <w:softHyphen/>
                    <w:t>ет моторную возбудимость. Активирует умственную и физическую работоспособность. Проявляет анальгетическое действие. Способен ингибировать реакции ацетилирования, участвующие в механизмах инактивации новокаина и сульфаниламидов, благодаря чему дости</w:t>
                    <w:softHyphen/>
                    <w:t>гается пролонгирование действия последних. Вызывает торможение патологически повышенного пузырного рефлекса и тонуса детру</w:t>
                    <w:softHyphen/>
                    <w:t>зора. Пантогам быстро всасывается из желудочно-кишечного тракта, проникает через гемато-энцефалический барьер, наибольшие кон</w:t>
                    <w:softHyphen/>
                    <w:t>центрации создаются в печени, почках, в стенке желудка и коже. Препарат не метаболизируется и выводится в неизмененном виде в те</w:t>
                    <w:softHyphen/>
                    <w:t>чение 48 часов, 67,5% от принятой дозы экскрементируется почками, 28,5% выводится с фекалиями.</w:t>
                  </w:r>
                </w:p>
                <w:p>
                  <w:pPr>
                    <w:pStyle w:val="Style30"/>
                    <w:widowControl w:val="0"/>
                    <w:keepNext w:val="0"/>
                    <w:keepLines w:val="0"/>
                    <w:shd w:val="clear" w:color="auto" w:fill="auto"/>
                    <w:bidi w:val="0"/>
                    <w:spacing w:before="0" w:after="0" w:line="192"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92" w:lineRule="exact"/>
                    <w:ind w:left="0" w:right="0" w:firstLine="0"/>
                  </w:pPr>
                  <w:r>
                    <w:rPr>
                      <w:rStyle w:val="CharStyle90"/>
                    </w:rPr>
                    <w:t>Гиперчувствительность.</w:t>
                  </w:r>
                </w:p>
                <w:p>
                  <w:pPr>
                    <w:pStyle w:val="Style30"/>
                    <w:widowControl w:val="0"/>
                    <w:keepNext w:val="0"/>
                    <w:keepLines w:val="0"/>
                    <w:shd w:val="clear" w:color="auto" w:fill="auto"/>
                    <w:bidi w:val="0"/>
                    <w:spacing w:before="0" w:after="0" w:line="192" w:lineRule="exact"/>
                    <w:ind w:left="0" w:right="0" w:firstLine="0"/>
                  </w:pPr>
                  <w:r>
                    <w:rPr>
                      <w:rStyle w:val="CharStyle90"/>
                    </w:rPr>
                    <w:t>Побочные эффекты:</w:t>
                  </w:r>
                </w:p>
                <w:p>
                  <w:pPr>
                    <w:pStyle w:val="Style30"/>
                    <w:widowControl w:val="0"/>
                    <w:keepNext w:val="0"/>
                    <w:keepLines w:val="0"/>
                    <w:shd w:val="clear" w:color="auto" w:fill="auto"/>
                    <w:bidi w:val="0"/>
                    <w:spacing w:before="0" w:after="0" w:line="192" w:lineRule="exact"/>
                    <w:ind w:left="0" w:right="0" w:firstLine="0"/>
                  </w:pPr>
                  <w:r>
                    <w:rPr>
                      <w:rStyle w:val="CharStyle90"/>
                    </w:rPr>
                    <w:t>Возможны аллергические реакции (ринит, конъюнктивит, кожные высыпания). В этом случае препарат отменяют или уменьшают дозу. Взаимодействие:</w:t>
                  </w:r>
                </w:p>
                <w:p>
                  <w:pPr>
                    <w:pStyle w:val="Style30"/>
                    <w:widowControl w:val="0"/>
                    <w:keepNext w:val="0"/>
                    <w:keepLines w:val="0"/>
                    <w:shd w:val="clear" w:color="auto" w:fill="auto"/>
                    <w:bidi w:val="0"/>
                    <w:spacing w:before="0" w:after="0" w:line="192" w:lineRule="exact"/>
                    <w:ind w:left="0" w:right="0" w:firstLine="0"/>
                  </w:pPr>
                  <w:r>
                    <w:rPr>
                      <w:rStyle w:val="CharStyle90"/>
                    </w:rPr>
                    <w:t>Пролонгирует действие барбитуратов, усиливает эффекты базовых противосудорожных средств, предотвращает побочные явления фе</w:t>
                    <w:softHyphen/>
                    <w:t>нобарбитала, финлепсина, нейролептиков. Эффект пантогама усиливается в сочетании с глицином, ксидифоном. Потенцирует действие местных анестетиков (новокаина).</w:t>
                  </w:r>
                </w:p>
              </w:txbxContent>
            </v:textbox>
            <w10:wrap anchorx="margin"/>
          </v:shape>
        </w:pict>
      </w:r>
      <w:r>
        <w:pict>
          <v:shape id="_x0000_s2158" type="#_x0000_t75" style="position:absolute;margin-left:147.85pt;margin-top:727.2pt;width:209.75pt;height:14.9pt;z-index:-251658581;mso-wrap-distance-left:5.pt;mso-wrap-distance-right:5.pt;mso-position-horizontal-relative:margin" wrapcoords="0 0">
            <v:imagedata r:id="rId1477" r:href="rId1478"/>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29" w:lineRule="exact"/>
      </w:pPr>
    </w:p>
    <w:p>
      <w:pPr>
        <w:widowControl w:val="0"/>
        <w:rPr>
          <w:sz w:val="2"/>
          <w:szCs w:val="2"/>
        </w:rPr>
        <w:sectPr>
          <w:type w:val="continuous"/>
          <w:pgSz w:w="11900" w:h="16840"/>
          <w:pgMar w:top="1438" w:left="898" w:right="1124" w:bottom="162" w:header="0" w:footer="3" w:gutter="0"/>
          <w:rtlGutter w:val="0"/>
          <w:cols w:space="720"/>
          <w:noEndnote/>
          <w:docGrid w:linePitch="360"/>
        </w:sectPr>
      </w:pPr>
    </w:p>
    <w:p>
      <w:pPr>
        <w:widowControl w:val="0"/>
        <w:rPr>
          <w:sz w:val="2"/>
          <w:szCs w:val="2"/>
        </w:rPr>
      </w:pPr>
      <w:r>
        <w:pict>
          <v:shape id="_x0000_s2159" type="#_x0000_t202" style="position:static;width:595.pt;height:7.05pt" filled="f" stroked="f">
            <v:textbox inset="0,0,0,0">
              <w:txbxContent>
                <w:p>
                  <w:pPr>
                    <w:widowControl w:val="0"/>
                  </w:pPr>
                </w:p>
              </w:txbxContent>
            </v:textbox>
            <w10:anchorlock/>
          </v:shape>
        </w:pict>
      </w:r>
      <w:r>
        <w:t xml:space="preserve"> </w:t>
      </w:r>
    </w:p>
    <w:p>
      <w:pPr>
        <w:widowControl w:val="0"/>
        <w:rPr>
          <w:sz w:val="2"/>
          <w:szCs w:val="2"/>
        </w:rPr>
        <w:sectPr>
          <w:pgSz w:w="11900" w:h="16840"/>
          <w:pgMar w:top="1423" w:left="0" w:right="0" w:bottom="147" w:header="0" w:footer="3" w:gutter="0"/>
          <w:rtlGutter w:val="0"/>
          <w:cols w:space="720"/>
          <w:noEndnote/>
          <w:docGrid w:linePitch="360"/>
        </w:sectPr>
      </w:pPr>
    </w:p>
    <w:p>
      <w:pPr>
        <w:widowControl w:val="0"/>
        <w:spacing w:line="360" w:lineRule="exact"/>
      </w:pPr>
      <w:r>
        <w:pict>
          <v:shape id="_x0000_s2160" type="#_x0000_t202" style="position:absolute;margin-left:1.45pt;margin-top:0.1pt;width:491.3pt;height:70.pt;z-index:251657918;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line="187" w:lineRule="exact"/>
                    <w:ind w:left="0" w:right="0" w:firstLine="0"/>
                  </w:pPr>
                  <w:r>
                    <w:rPr>
                      <w:rStyle w:val="CharStyle191"/>
                      <w:lang w:val="ru-RU" w:eastAsia="ru-RU" w:bidi="ru-RU"/>
                      <w:b/>
                      <w:bCs/>
                      <w:i/>
                      <w:iCs/>
                    </w:rPr>
                    <w:t xml:space="preserve">Пиридитол </w:t>
                  </w:r>
                  <w:r>
                    <w:rPr>
                      <w:rStyle w:val="CharStyle191"/>
                      <w:b/>
                      <w:bCs/>
                      <w:i/>
                      <w:iCs/>
                    </w:rPr>
                    <w:t xml:space="preserve">(Pyriditolum) </w:t>
                  </w:r>
                  <w:r>
                    <w:rPr>
                      <w:rStyle w:val="CharStyle191"/>
                      <w:lang w:val="ru-RU" w:eastAsia="ru-RU" w:bidi="ru-RU"/>
                      <w:b/>
                      <w:bCs/>
                      <w:i/>
                      <w:iCs/>
                    </w:rPr>
                    <w:t xml:space="preserve">Синонимы: Пиритинол, Энербол, Энцефабол, </w:t>
                  </w:r>
                  <w:r>
                    <w:rPr>
                      <w:rStyle w:val="CharStyle191"/>
                      <w:b/>
                      <w:bCs/>
                      <w:i/>
                      <w:iCs/>
                    </w:rPr>
                    <w:t xml:space="preserve">Biocephalin, Bonifen, Cefalogen, Cervitalin, Cogitan, Dipiridol, Enbol, Encerebrovit, Encefabol, Encefort, Encephabol, Enerbol, Estisol, Neurotin, Neuroxin, Piritinol, Psicobolin, Pyrithioxin, Pyritinol, Tonobrein </w:t>
                  </w:r>
                  <w:r>
                    <w:rPr>
                      <w:rStyle w:val="CharStyle191"/>
                      <w:lang w:val="ru-RU" w:eastAsia="ru-RU" w:bidi="ru-RU"/>
                      <w:b/>
                      <w:bCs/>
                      <w:i/>
                      <w:iCs/>
                    </w:rPr>
                    <w:t>и др.</w:t>
                  </w:r>
                </w:p>
                <w:p>
                  <w:pPr>
                    <w:pStyle w:val="Style30"/>
                    <w:widowControl w:val="0"/>
                    <w:keepNext w:val="0"/>
                    <w:keepLines w:val="0"/>
                    <w:shd w:val="clear" w:color="auto" w:fill="auto"/>
                    <w:bidi w:val="0"/>
                    <w:spacing w:before="0" w:after="0" w:line="187" w:lineRule="exact"/>
                    <w:ind w:left="0" w:right="0" w:firstLine="0"/>
                  </w:pPr>
                  <w:r>
                    <w:rPr>
                      <w:rStyle w:val="CharStyle90"/>
                    </w:rPr>
                    <w:t>Показания к применению</w:t>
                  </w:r>
                </w:p>
                <w:p>
                  <w:pPr>
                    <w:pStyle w:val="Style30"/>
                    <w:widowControl w:val="0"/>
                    <w:keepNext w:val="0"/>
                    <w:keepLines w:val="0"/>
                    <w:shd w:val="clear" w:color="auto" w:fill="auto"/>
                    <w:bidi w:val="0"/>
                    <w:spacing w:before="0" w:after="0" w:line="187" w:lineRule="exact"/>
                    <w:ind w:left="0" w:right="0" w:firstLine="0"/>
                  </w:pPr>
                  <w:r>
                    <w:rPr>
                      <w:rStyle w:val="CharStyle90"/>
                    </w:rPr>
                    <w:t>Пиридитол используют для комплексной терапии при неглубоких депрессиях с явлениями заторможенности при астенических состояниях, адинамии, неврозоподобных расстройствах, при травматической и сосудистой энцефалопатии, остаточных явлениях после перенесенных нейроинфекций и нарушений мозгового кровообращения, при церебральном атеросклерозе, мигрени. У детей применяют при задержке психического развития, церебрастеническом синдроме, олигофрении, энцефалопатиях.</w:t>
                  </w:r>
                </w:p>
              </w:txbxContent>
            </v:textbox>
            <w10:wrap anchorx="margin"/>
          </v:shape>
        </w:pict>
      </w:r>
      <w:r>
        <w:pict>
          <v:shape id="_x0000_s2161" type="#_x0000_t202" style="position:absolute;margin-left:0.95pt;margin-top:70.1pt;width:492.pt;height:5.e-002pt;z-index:251657919;mso-wrap-distance-left:5.pt;mso-wrap-distance-right:5.pt;mso-position-horizontal-relative:margin" filled="f" stroked="f">
            <v:textbox style="mso-fit-shape-to-text:t" inset="0,0,0,0">
              <w:txbxContent>
                <w:tbl>
                  <w:tblPr>
                    <w:tblOverlap w:val="never"/>
                    <w:tblLayout w:type="fixed"/>
                    <w:jc w:val="center"/>
                  </w:tblPr>
                  <w:tblGrid>
                    <w:gridCol w:w="1896"/>
                    <w:gridCol w:w="4954"/>
                    <w:gridCol w:w="2990"/>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Разовая доза для детей — 0,05-0,1 г; суточная доза — 0,05-0,3 г.</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 2-3 приема</w:t>
                        </w:r>
                      </w:p>
                    </w:tc>
                  </w:tr>
                </w:tbl>
                <w:p>
                  <w:pPr>
                    <w:widowControl w:val="0"/>
                    <w:rPr>
                      <w:sz w:val="2"/>
                      <w:szCs w:val="2"/>
                    </w:rPr>
                  </w:pPr>
                </w:p>
              </w:txbxContent>
            </v:textbox>
            <w10:wrap anchorx="margin"/>
          </v:shape>
        </w:pict>
      </w:r>
      <w:r>
        <w:pict>
          <v:shape id="_x0000_s2162" type="#_x0000_t202" style="position:absolute;margin-left:1.45pt;margin-top:93.3pt;width:491.3pt;height:115.4pt;z-index:251657920;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87" w:lineRule="exact"/>
                    <w:ind w:left="0" w:right="0" w:firstLine="0"/>
                  </w:pPr>
                  <w:r>
                    <w:rPr>
                      <w:rStyle w:val="CharStyle90"/>
                    </w:rPr>
                    <w:t>Фармакологическое действие.</w:t>
                  </w:r>
                </w:p>
                <w:p>
                  <w:pPr>
                    <w:pStyle w:val="Style30"/>
                    <w:widowControl w:val="0"/>
                    <w:keepNext w:val="0"/>
                    <w:keepLines w:val="0"/>
                    <w:shd w:val="clear" w:color="auto" w:fill="auto"/>
                    <w:bidi w:val="0"/>
                    <w:spacing w:before="0" w:after="0" w:line="187" w:lineRule="exact"/>
                    <w:ind w:left="0" w:right="0" w:firstLine="0"/>
                  </w:pPr>
                  <w:r>
                    <w:rPr>
                      <w:rStyle w:val="CharStyle90"/>
                    </w:rPr>
                    <w:t>Фармакологически препарат характеризуется ноотропной активностью со сложным спектром психотропной активности. Он усиливает эффекты фенамина, вместе с тем уменьшает спонтанную двигательную активность, пролонгирует снотворное действие барбитуратов, усиливает противосудорожное действие фенобарбитала. Препарат активирует метаболические процессы в ЦНС, способствует ускоре</w:t>
                    <w:softHyphen/>
                    <w:t>нию проникновения глюкозы через ГЭБ, снижает избыточное образование молочной кислоты, повышает устойчивость тканей мозга к гипоксии. По клиническим эффектам пиридитол сходен с антидепрессантами, обладающими седативными свойствами, но по сово</w:t>
                    <w:softHyphen/>
                    <w:t>купности действия его причисляют к ноотропным препаратам.</w:t>
                  </w:r>
                </w:p>
                <w:p>
                  <w:pPr>
                    <w:pStyle w:val="Style30"/>
                    <w:widowControl w:val="0"/>
                    <w:keepNext w:val="0"/>
                    <w:keepLines w:val="0"/>
                    <w:shd w:val="clear" w:color="auto" w:fill="auto"/>
                    <w:bidi w:val="0"/>
                    <w:spacing w:before="0" w:after="0" w:line="187"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87" w:lineRule="exact"/>
                    <w:ind w:left="0" w:right="0" w:firstLine="0"/>
                  </w:pPr>
                  <w:r>
                    <w:rPr>
                      <w:rStyle w:val="CharStyle90"/>
                    </w:rPr>
                    <w:t>Выраженное психомоторное возбуждение, эпилепсия, повышенная судорожная готовность.</w:t>
                  </w:r>
                </w:p>
                <w:p>
                  <w:pPr>
                    <w:pStyle w:val="Style30"/>
                    <w:widowControl w:val="0"/>
                    <w:keepNext w:val="0"/>
                    <w:keepLines w:val="0"/>
                    <w:shd w:val="clear" w:color="auto" w:fill="auto"/>
                    <w:bidi w:val="0"/>
                    <w:spacing w:before="0" w:after="0" w:line="187" w:lineRule="exact"/>
                    <w:ind w:left="0" w:right="0" w:firstLine="0"/>
                  </w:pPr>
                  <w:r>
                    <w:rPr>
                      <w:rStyle w:val="CharStyle90"/>
                    </w:rPr>
                    <w:t>Побочные эффекты:</w:t>
                  </w:r>
                </w:p>
                <w:p>
                  <w:pPr>
                    <w:pStyle w:val="Style30"/>
                    <w:widowControl w:val="0"/>
                    <w:keepNext w:val="0"/>
                    <w:keepLines w:val="0"/>
                    <w:shd w:val="clear" w:color="auto" w:fill="auto"/>
                    <w:bidi w:val="0"/>
                    <w:spacing w:before="0" w:after="0" w:line="187" w:lineRule="exact"/>
                    <w:ind w:left="0" w:right="0" w:firstLine="0"/>
                  </w:pPr>
                  <w:r>
                    <w:rPr>
                      <w:rStyle w:val="CharStyle90"/>
                    </w:rPr>
                    <w:t>Головная боль, тошнота, бессонница, раздражительность, у детей — психомоторное возбуждение, нарушение сна. В этих случаях дозу уменьшают. Препарат не рекомендуется принимать в вечерние часы.</w:t>
                  </w:r>
                </w:p>
              </w:txbxContent>
            </v:textbox>
            <w10:wrap anchorx="margin"/>
          </v:shape>
        </w:pict>
      </w:r>
      <w:r>
        <w:pict>
          <v:shape id="_x0000_s2163" type="#_x0000_t202" style="position:absolute;margin-left:12.5pt;margin-top:222.95pt;width:363.1pt;height:11.9pt;z-index:251657921;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180" w:lineRule="exact"/>
                    <w:ind w:left="0" w:right="0" w:firstLine="0"/>
                  </w:pPr>
                  <w:r>
                    <w:rPr>
                      <w:rStyle w:val="CharStyle90"/>
                    </w:rPr>
                    <w:t>ПРОЧИЕ ПРЕПАРАТЫ РАЗЛИЧНЫХ КЛИНИКО-ФАРМАКОЛОГИЧЕСКИХ ГРУПП</w:t>
                  </w:r>
                </w:p>
              </w:txbxContent>
            </v:textbox>
            <w10:wrap anchorx="margin"/>
          </v:shape>
        </w:pict>
      </w:r>
      <w:r>
        <w:pict>
          <v:shape id="_x0000_s2164" type="#_x0000_t202" style="position:absolute;margin-left:1.45pt;margin-top:246.45pt;width:491.05pt;height:60.15pt;z-index:251657922;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line="150" w:lineRule="exact"/>
                    <w:ind w:left="0" w:right="0" w:firstLine="0"/>
                  </w:pPr>
                  <w:r>
                    <w:rPr>
                      <w:rStyle w:val="CharStyle191"/>
                      <w:lang w:val="ru-RU" w:eastAsia="ru-RU" w:bidi="ru-RU"/>
                      <w:b/>
                      <w:bCs/>
                      <w:i/>
                      <w:iCs/>
                    </w:rPr>
                    <w:t xml:space="preserve">Глицин </w:t>
                  </w:r>
                  <w:r>
                    <w:rPr>
                      <w:rStyle w:val="CharStyle191"/>
                      <w:b/>
                      <w:bCs/>
                      <w:i/>
                      <w:iCs/>
                    </w:rPr>
                    <w:t>(Glycinum)</w:t>
                  </w:r>
                </w:p>
                <w:p>
                  <w:pPr>
                    <w:pStyle w:val="Style30"/>
                    <w:widowControl w:val="0"/>
                    <w:keepNext w:val="0"/>
                    <w:keepLines w:val="0"/>
                    <w:shd w:val="clear" w:color="auto" w:fill="auto"/>
                    <w:bidi w:val="0"/>
                    <w:spacing w:before="0" w:after="0" w:line="187" w:lineRule="exact"/>
                    <w:ind w:left="0" w:right="0" w:firstLine="0"/>
                  </w:pPr>
                  <w:r>
                    <w:rPr>
                      <w:rStyle w:val="CharStyle90"/>
                    </w:rPr>
                    <w:t>Показания к применению</w:t>
                  </w:r>
                </w:p>
                <w:p>
                  <w:pPr>
                    <w:pStyle w:val="Style30"/>
                    <w:widowControl w:val="0"/>
                    <w:keepNext w:val="0"/>
                    <w:keepLines w:val="0"/>
                    <w:shd w:val="clear" w:color="auto" w:fill="auto"/>
                    <w:bidi w:val="0"/>
                    <w:spacing w:before="0" w:after="0" w:line="187" w:lineRule="exact"/>
                    <w:ind w:left="0" w:right="0" w:firstLine="0"/>
                  </w:pPr>
                  <w:r>
                    <w:rPr>
                      <w:rStyle w:val="CharStyle90"/>
                    </w:rPr>
                    <w:t>Стрессовые состояния, психоэмоциональное напряжение, повышенная возбудимость, эмоциональная лабильность, неврозы, неврозоподобные состояния, вегетососудистая дистония, последствия нейроинфекций и черепно-мозговой травмы, энцефалопатии (перинатальные и др. формы), нарушение сна. Для повышения умственной работоспособности, в т.ч. подросткам с девиантными формами поведения.</w:t>
                  </w:r>
                </w:p>
              </w:txbxContent>
            </v:textbox>
            <w10:wrap anchorx="margin"/>
          </v:shape>
        </w:pict>
      </w:r>
      <w:r>
        <w:pict>
          <v:shape id="_x0000_s2165" type="#_x0000_t202" style="position:absolute;margin-left:0.95pt;margin-top:306.95pt;width:492.pt;height:5.e-002pt;z-index:251657923;mso-wrap-distance-left:5.pt;mso-wrap-distance-right:5.pt;mso-position-horizontal-relative:margin" filled="f" stroked="f">
            <v:textbox style="mso-fit-shape-to-text:t" inset="0,0,0,0">
              <w:txbxContent>
                <w:tbl>
                  <w:tblPr>
                    <w:tblOverlap w:val="never"/>
                    <w:tblLayout w:type="fixed"/>
                    <w:jc w:val="center"/>
                  </w:tblPr>
                  <w:tblGrid>
                    <w:gridCol w:w="1896"/>
                    <w:gridCol w:w="4954"/>
                    <w:gridCol w:w="2990"/>
                  </w:tblGrid>
                  <w:tr>
                    <w:trPr>
                      <w:trHeight w:val="240"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Детям до 3 лет — по 0,05 г, детям старше 3 лет — по 0,05-0,1 г</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В 2-3 приема</w:t>
                        </w:r>
                      </w:p>
                    </w:tc>
                  </w:tr>
                </w:tbl>
                <w:p>
                  <w:pPr>
                    <w:widowControl w:val="0"/>
                    <w:rPr>
                      <w:sz w:val="2"/>
                      <w:szCs w:val="2"/>
                    </w:rPr>
                  </w:pPr>
                </w:p>
              </w:txbxContent>
            </v:textbox>
            <w10:wrap anchorx="margin"/>
          </v:shape>
        </w:pict>
      </w:r>
      <w:r>
        <w:pict>
          <v:shape id="_x0000_s2166" type="#_x0000_t202" style="position:absolute;margin-left:1.45pt;margin-top:329.95pt;width:491.05pt;height:121.05pt;z-index:251657924;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87" w:lineRule="exact"/>
                    <w:ind w:left="0" w:right="0" w:firstLine="0"/>
                  </w:pPr>
                  <w:r>
                    <w:rPr>
                      <w:rStyle w:val="CharStyle90"/>
                    </w:rPr>
                    <w:t>Фармакологическое действие. Нормализует обмен веществ, оказывает антистрессорное, ноотропное, седативное и противоэпилептиче</w:t>
                    <w:softHyphen/>
                    <w:t>ское действие. Является нейромедиатором тормозного типа действия и регулятором метаболических процессов в головном и спинном мозге. Нормализует процессы возбуждения и торможения в центральной нервной системе, повышает умственную работоспособность, устраняет депрессивные нарушения, повышенную раздражительность. Глицин эффективен в качестве вспомогательного средства и при эпилептических приступах. Нормализует сон. Легко проникает в большинство биологических жидкостей и тканей организма, в том чис</w:t>
                    <w:softHyphen/>
                    <w:t>ле ив головной мозг. Быстро разрушается в печени.</w:t>
                  </w:r>
                </w:p>
                <w:p>
                  <w:pPr>
                    <w:pStyle w:val="Style30"/>
                    <w:widowControl w:val="0"/>
                    <w:keepNext w:val="0"/>
                    <w:keepLines w:val="0"/>
                    <w:shd w:val="clear" w:color="auto" w:fill="auto"/>
                    <w:bidi w:val="0"/>
                    <w:spacing w:before="0" w:after="0" w:line="187" w:lineRule="exact"/>
                    <w:ind w:left="0" w:right="0" w:firstLine="0"/>
                  </w:pPr>
                  <w:r>
                    <w:rPr>
                      <w:rStyle w:val="CharStyle90"/>
                    </w:rPr>
                    <w:t>Противопоказания:</w:t>
                  </w:r>
                </w:p>
                <w:p>
                  <w:pPr>
                    <w:pStyle w:val="Style30"/>
                    <w:widowControl w:val="0"/>
                    <w:keepNext w:val="0"/>
                    <w:keepLines w:val="0"/>
                    <w:shd w:val="clear" w:color="auto" w:fill="auto"/>
                    <w:bidi w:val="0"/>
                    <w:spacing w:before="0" w:after="0" w:line="187" w:lineRule="exact"/>
                    <w:ind w:left="0" w:right="0" w:firstLine="0"/>
                  </w:pPr>
                  <w:r>
                    <w:rPr>
                      <w:rStyle w:val="CharStyle90"/>
                    </w:rPr>
                    <w:t>Гиперчувствительность.</w:t>
                  </w:r>
                </w:p>
                <w:p>
                  <w:pPr>
                    <w:pStyle w:val="Style30"/>
                    <w:widowControl w:val="0"/>
                    <w:keepNext w:val="0"/>
                    <w:keepLines w:val="0"/>
                    <w:shd w:val="clear" w:color="auto" w:fill="auto"/>
                    <w:bidi w:val="0"/>
                    <w:spacing w:before="0" w:after="0" w:line="187" w:lineRule="exact"/>
                    <w:ind w:left="0" w:right="0" w:firstLine="0"/>
                  </w:pPr>
                  <w:r>
                    <w:rPr>
                      <w:rStyle w:val="CharStyle90"/>
                    </w:rPr>
                    <w:t>Взаимодействие:</w:t>
                  </w:r>
                </w:p>
                <w:p>
                  <w:pPr>
                    <w:pStyle w:val="Style30"/>
                    <w:widowControl w:val="0"/>
                    <w:keepNext w:val="0"/>
                    <w:keepLines w:val="0"/>
                    <w:shd w:val="clear" w:color="auto" w:fill="auto"/>
                    <w:bidi w:val="0"/>
                    <w:spacing w:before="0" w:after="90" w:line="187" w:lineRule="exact"/>
                    <w:ind w:left="0" w:right="0" w:firstLine="0"/>
                  </w:pPr>
                  <w:r>
                    <w:rPr>
                      <w:rStyle w:val="CharStyle90"/>
                    </w:rPr>
                    <w:t>Снижает токсичность антиконвульсантов, нейролептиков, антидепрессантов. При сочетании со снотворными, транквилизаторами и нейролептиками суммируется эффект торможения ЦНС.</w:t>
                  </w:r>
                </w:p>
                <w:p>
                  <w:pPr>
                    <w:pStyle w:val="Style184"/>
                    <w:widowControl w:val="0"/>
                    <w:keepNext w:val="0"/>
                    <w:keepLines w:val="0"/>
                    <w:shd w:val="clear" w:color="auto" w:fill="auto"/>
                    <w:bidi w:val="0"/>
                    <w:spacing w:before="0" w:after="0" w:line="150" w:lineRule="exact"/>
                    <w:ind w:left="0" w:right="0" w:firstLine="0"/>
                  </w:pPr>
                  <w:r>
                    <w:rPr>
                      <w:rStyle w:val="CharStyle191"/>
                      <w:lang w:val="ru-RU" w:eastAsia="ru-RU" w:bidi="ru-RU"/>
                      <w:b/>
                      <w:bCs/>
                      <w:i/>
                      <w:iCs/>
                    </w:rPr>
                    <w:t>Витамин В</w:t>
                  </w:r>
                  <w:r>
                    <w:rPr>
                      <w:rStyle w:val="CharStyle191"/>
                      <w:lang w:val="ru-RU" w:eastAsia="ru-RU" w:bidi="ru-RU"/>
                      <w:vertAlign w:val="subscript"/>
                      <w:b/>
                      <w:bCs/>
                      <w:i/>
                      <w:iCs/>
                    </w:rPr>
                    <w:t>3</w:t>
                  </w:r>
                  <w:r>
                    <w:rPr>
                      <w:rStyle w:val="CharStyle191"/>
                      <w:lang w:val="ru-RU" w:eastAsia="ru-RU" w:bidi="ru-RU"/>
                      <w:b/>
                      <w:bCs/>
                      <w:i/>
                      <w:iCs/>
                    </w:rPr>
                    <w:t xml:space="preserve"> Кислота никотиновая </w:t>
                  </w:r>
                  <w:r>
                    <w:rPr>
                      <w:rStyle w:val="CharStyle191"/>
                      <w:b/>
                      <w:bCs/>
                      <w:i/>
                      <w:iCs/>
                    </w:rPr>
                    <w:t xml:space="preserve">(acidum nicotinicum) </w:t>
                  </w:r>
                  <w:r>
                    <w:rPr>
                      <w:rStyle w:val="CharStyle191"/>
                      <w:lang w:val="ru-RU" w:eastAsia="ru-RU" w:bidi="ru-RU"/>
                      <w:b/>
                      <w:bCs/>
                      <w:i/>
                      <w:iCs/>
                    </w:rPr>
                    <w:t>Витамин РР</w:t>
                  </w:r>
                </w:p>
              </w:txbxContent>
            </v:textbox>
            <w10:wrap anchorx="margin"/>
          </v:shape>
        </w:pict>
      </w:r>
      <w:r>
        <w:pict>
          <v:shape id="_x0000_s2167" type="#_x0000_t202" style="position:absolute;margin-left:0.95pt;margin-top:453.35pt;width:492.pt;height:5.e-002pt;z-index:251657925;mso-wrap-distance-left:5.pt;mso-wrap-distance-right:5.pt;mso-position-horizontal-relative:margin" filled="f" stroked="f">
            <v:textbox style="mso-fit-shape-to-text:t" inset="0,0,0,0">
              <w:txbxContent>
                <w:p>
                  <w:pPr>
                    <w:pStyle w:val="Style96"/>
                    <w:widowControl w:val="0"/>
                    <w:keepNext w:val="0"/>
                    <w:keepLines w:val="0"/>
                    <w:shd w:val="clear" w:color="auto" w:fill="auto"/>
                    <w:bidi w:val="0"/>
                    <w:jc w:val="both"/>
                    <w:spacing w:before="0" w:after="0" w:line="187" w:lineRule="exact"/>
                    <w:ind w:left="0" w:right="0" w:firstLine="0"/>
                  </w:pPr>
                  <w:r>
                    <w:rPr>
                      <w:rStyle w:val="CharStyle97"/>
                    </w:rPr>
                    <w:t>Показания к применению</w:t>
                  </w:r>
                </w:p>
                <w:p>
                  <w:pPr>
                    <w:pStyle w:val="Style96"/>
                    <w:widowControl w:val="0"/>
                    <w:keepNext w:val="0"/>
                    <w:keepLines w:val="0"/>
                    <w:shd w:val="clear" w:color="auto" w:fill="auto"/>
                    <w:bidi w:val="0"/>
                    <w:jc w:val="both"/>
                    <w:spacing w:before="0" w:after="0" w:line="187" w:lineRule="exact"/>
                    <w:ind w:left="0" w:right="0" w:firstLine="0"/>
                  </w:pPr>
                  <w:r>
                    <w:rPr>
                      <w:rStyle w:val="CharStyle97"/>
                    </w:rPr>
                    <w:t>Пеллагра, спазм сосудов конечностей, головного мозга, вялозаживающие раны, язвы, неврит лицевого нерва, инфекционные заболевания, гастрит с пониженной кислотностью, колиты, гиперхолестеринемия в сочетании с гипертриглицеридемией.</w:t>
                  </w:r>
                </w:p>
                <w:tbl>
                  <w:tblPr>
                    <w:tblOverlap w:val="never"/>
                    <w:tblLayout w:type="fixed"/>
                    <w:jc w:val="center"/>
                  </w:tblPr>
                  <w:tblGrid>
                    <w:gridCol w:w="1896"/>
                    <w:gridCol w:w="4954"/>
                    <w:gridCol w:w="2990"/>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Кратность приема</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en-US" w:eastAsia="en-US" w:bidi="en-US"/>
                            <w:w w:val="100"/>
                            <w:spacing w:val="0"/>
                            <w:color w:val="000000"/>
                            <w:position w:val="0"/>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0,005-0,03 г</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80" w:lineRule="exact"/>
                          <w:ind w:left="0" w:right="0" w:firstLine="0"/>
                        </w:pPr>
                        <w:r>
                          <w:rPr>
                            <w:lang w:val="ru-RU" w:eastAsia="ru-RU" w:bidi="ru-RU"/>
                            <w:w w:val="100"/>
                            <w:spacing w:val="0"/>
                            <w:color w:val="000000"/>
                            <w:position w:val="0"/>
                          </w:rPr>
                          <w:t>2-3 раза в сутки</w:t>
                        </w:r>
                      </w:p>
                    </w:tc>
                  </w:tr>
                </w:tbl>
                <w:p>
                  <w:pPr>
                    <w:widowControl w:val="0"/>
                    <w:rPr>
                      <w:sz w:val="2"/>
                      <w:szCs w:val="2"/>
                    </w:rPr>
                  </w:pPr>
                </w:p>
              </w:txbxContent>
            </v:textbox>
            <w10:wrap anchorx="margin"/>
          </v:shape>
        </w:pict>
      </w:r>
      <w:r>
        <w:pict>
          <v:shape id="_x0000_s2168" type="#_x0000_t202" style="position:absolute;margin-left:1.2pt;margin-top:505.85pt;width:491.3pt;height:162.7pt;z-index:251657926;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187" w:lineRule="exact"/>
                    <w:ind w:left="0" w:right="0" w:firstLine="0"/>
                  </w:pPr>
                  <w:r>
                    <w:rPr>
                      <w:rStyle w:val="CharStyle90"/>
                    </w:rPr>
                    <w:t>Фармакологическое действие. Никотиновая кислота и никотинамид содержатся в органах животных (печени, почках, мышцах и др.), в молоке, рыбе, дрожжах, овощах, фруктах, гречневой крупе и других продуктах. Никотиновая кислота и ее амид являются простетичес- кими группами ферментов НАД и НАДФ, являющихся переносчиками водорода и осуществляющих окислительно-восстановительные процессы. Суточная потребность в никотиновой кислоте (и в никотинамиде) составляет для взрослого около 20 мг, при тяжелом физиче</w:t>
                    <w:softHyphen/>
                    <w:t>ском труде — около 25 мг, для детей от 6 мес. до 1 года — 6 мг, от 1 года до 1,5 лет — 9 мг, от 1,5 до 2 лет — 10 мг, от 3 до 4 лет — 12 мг, от 5 до 6 лет — 13 мг, от 7 до 10 лет — 15 мг, от 11 до 13 лет — 19 мг, для юношей 14-17 лет — 21 мг, для девушек 14-17 лет — 18 мг. Недостаточ</w:t>
                    <w:softHyphen/>
                    <w:t>ность витамина РР у человека приводит к развитию пеллагры. Никотиновая кислота улучшает углеводный обмен, действует положитель</w:t>
                    <w:softHyphen/>
                    <w:t>но при легких формах диабета, заболеваниях печени, сердца, язвенной болезни желудка и двенадцатиперстной кишки и энтероколитах, вялозаживающих ранах и язвах, оказывает также сосудорасширяющее действие и обладает липопротеидемической активностью. Противопоказания:</w:t>
                  </w:r>
                </w:p>
                <w:p>
                  <w:pPr>
                    <w:pStyle w:val="Style30"/>
                    <w:widowControl w:val="0"/>
                    <w:keepNext w:val="0"/>
                    <w:keepLines w:val="0"/>
                    <w:shd w:val="clear" w:color="auto" w:fill="auto"/>
                    <w:bidi w:val="0"/>
                    <w:spacing w:before="0" w:after="0" w:line="187" w:lineRule="exact"/>
                    <w:ind w:left="0" w:right="0" w:firstLine="0"/>
                  </w:pPr>
                  <w:r>
                    <w:rPr>
                      <w:rStyle w:val="CharStyle90"/>
                    </w:rPr>
                    <w:t>Язвенная болезнь желудка и двенадцатиперстной кишки (в стадии обострения), выраженные нарушения функции печени, подагра, ги- перурикемия.</w:t>
                  </w:r>
                </w:p>
                <w:p>
                  <w:pPr>
                    <w:pStyle w:val="Style30"/>
                    <w:widowControl w:val="0"/>
                    <w:keepNext w:val="0"/>
                    <w:keepLines w:val="0"/>
                    <w:shd w:val="clear" w:color="auto" w:fill="auto"/>
                    <w:bidi w:val="0"/>
                    <w:spacing w:before="0" w:after="0" w:line="187" w:lineRule="exact"/>
                    <w:ind w:left="0" w:right="0" w:firstLine="0"/>
                  </w:pPr>
                  <w:r>
                    <w:rPr>
                      <w:rStyle w:val="CharStyle90"/>
                    </w:rPr>
                    <w:t>Побочные эффекты:</w:t>
                  </w:r>
                </w:p>
                <w:p>
                  <w:pPr>
                    <w:pStyle w:val="Style30"/>
                    <w:widowControl w:val="0"/>
                    <w:keepNext w:val="0"/>
                    <w:keepLines w:val="0"/>
                    <w:shd w:val="clear" w:color="auto" w:fill="auto"/>
                    <w:bidi w:val="0"/>
                    <w:spacing w:before="0" w:after="0" w:line="187" w:lineRule="exact"/>
                    <w:ind w:left="0" w:right="0" w:firstLine="0"/>
                  </w:pPr>
                  <w:r>
                    <w:rPr>
                      <w:rStyle w:val="CharStyle90"/>
                    </w:rPr>
                    <w:t>Покраснение лица и верхней половины туловища (особенно при приеме натощак и у лиц с повышенной чувствительностью), голово</w:t>
                    <w:softHyphen/>
                    <w:t>кружение, чувство прилива крови к голове, парестезии, крапивница. При быстром в/в введении и при повышенной чувствительности — ортостатическая гипотония. При длительном применении — дистрофия печени, повышение содержания мочевой кислоты в крови, сни</w:t>
                    <w:softHyphen/>
                    <w:t>жение толерантности к глюкозе.</w:t>
                  </w:r>
                </w:p>
              </w:txbxContent>
            </v:textbox>
            <w10:wrap anchorx="margin"/>
          </v:shape>
        </w:pict>
      </w:r>
      <w:r>
        <w:pict>
          <v:shape id="_x0000_s2169" type="#_x0000_t75" style="position:absolute;margin-left:136.55pt;margin-top:734.65pt;width:209.75pt;height:14.9pt;z-index:-251658580;mso-wrap-distance-left:5.pt;mso-wrap-distance-right:5.pt;mso-position-horizontal-relative:margin" wrapcoords="0 0">
            <v:imagedata r:id="rId1479" r:href="rId1480"/>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78" w:lineRule="exact"/>
      </w:pPr>
    </w:p>
    <w:p>
      <w:pPr>
        <w:widowControl w:val="0"/>
        <w:rPr>
          <w:sz w:val="2"/>
          <w:szCs w:val="2"/>
        </w:rPr>
        <w:sectPr>
          <w:type w:val="continuous"/>
          <w:pgSz w:w="11900" w:h="16840"/>
          <w:pgMar w:top="1423" w:left="1124" w:right="898" w:bottom="147" w:header="0" w:footer="3" w:gutter="0"/>
          <w:rtlGutter w:val="0"/>
          <w:cols w:space="720"/>
          <w:noEndnote/>
          <w:docGrid w:linePitch="360"/>
        </w:sectPr>
      </w:pPr>
    </w:p>
    <w:p>
      <w:pPr>
        <w:widowControl w:val="0"/>
        <w:rPr>
          <w:sz w:val="2"/>
          <w:szCs w:val="2"/>
        </w:rPr>
      </w:pPr>
      <w:r>
        <w:pict>
          <v:shape id="_x0000_s2170" type="#_x0000_t202" style="position:static;width:595.pt;height:7.05pt" filled="f" stroked="f">
            <v:textbox inset="0,0,0,0">
              <w:txbxContent>
                <w:p>
                  <w:pPr>
                    <w:widowControl w:val="0"/>
                  </w:pPr>
                </w:p>
              </w:txbxContent>
            </v:textbox>
            <w10:anchorlock/>
          </v:shape>
        </w:pict>
      </w:r>
      <w:r>
        <w:t xml:space="preserve"> </w:t>
      </w:r>
    </w:p>
    <w:p>
      <w:pPr>
        <w:widowControl w:val="0"/>
        <w:rPr>
          <w:sz w:val="2"/>
          <w:szCs w:val="2"/>
        </w:rPr>
        <w:sectPr>
          <w:pgSz w:w="11900" w:h="16840"/>
          <w:pgMar w:top="1423" w:left="0" w:right="0" w:bottom="147" w:header="0" w:footer="3" w:gutter="0"/>
          <w:rtlGutter w:val="0"/>
          <w:cols w:space="720"/>
          <w:noEndnote/>
          <w:docGrid w:linePitch="360"/>
        </w:sectPr>
      </w:pPr>
    </w:p>
    <w:p>
      <w:pPr>
        <w:widowControl w:val="0"/>
        <w:spacing w:line="360" w:lineRule="exact"/>
      </w:pPr>
      <w:r>
        <w:pict>
          <v:shape id="_x0000_s2171" type="#_x0000_t202" style="position:absolute;margin-left:1.45pt;margin-top:0.1pt;width:207.35pt;height:10.15pt;z-index:251657927;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jc w:val="left"/>
                    <w:spacing w:before="0" w:after="0" w:line="150" w:lineRule="exact"/>
                    <w:ind w:left="0" w:right="0" w:firstLine="0"/>
                  </w:pPr>
                  <w:r>
                    <w:rPr>
                      <w:rStyle w:val="CharStyle191"/>
                      <w:lang w:val="ru-RU" w:eastAsia="ru-RU" w:bidi="ru-RU"/>
                      <w:b/>
                      <w:bCs/>
                      <w:i/>
                      <w:iCs/>
                    </w:rPr>
                    <w:t xml:space="preserve">Грандаксин </w:t>
                  </w:r>
                  <w:r>
                    <w:rPr>
                      <w:rStyle w:val="CharStyle191"/>
                      <w:b/>
                      <w:bCs/>
                      <w:i/>
                      <w:iCs/>
                    </w:rPr>
                    <w:t xml:space="preserve">(Grandaxin) </w:t>
                  </w:r>
                  <w:r>
                    <w:rPr>
                      <w:rStyle w:val="CharStyle191"/>
                      <w:lang w:val="ru-RU" w:eastAsia="ru-RU" w:bidi="ru-RU"/>
                      <w:b/>
                      <w:bCs/>
                      <w:i/>
                      <w:iCs/>
                    </w:rPr>
                    <w:t xml:space="preserve">Тофизопам, </w:t>
                  </w:r>
                  <w:r>
                    <w:rPr>
                      <w:rStyle w:val="CharStyle191"/>
                      <w:b/>
                      <w:bCs/>
                      <w:i/>
                      <w:iCs/>
                    </w:rPr>
                    <w:t>Tofizopam, Tofizopamum</w:t>
                  </w:r>
                </w:p>
              </w:txbxContent>
            </v:textbox>
            <w10:wrap anchorx="margin"/>
          </v:shape>
        </w:pict>
      </w:r>
      <w:r>
        <w:pict>
          <v:shape id="_x0000_s2172" type="#_x0000_t202" style="position:absolute;margin-left:0.95pt;margin-top:11.75pt;width:492.pt;height:5.e-002pt;z-index:251657928;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spacing w:before="0" w:after="0"/>
                    <w:ind w:left="0" w:right="0" w:firstLine="0"/>
                  </w:pPr>
                  <w:r>
                    <w:rPr>
                      <w:rStyle w:val="CharStyle183"/>
                    </w:rPr>
                    <w:t>Показания к применению</w:t>
                  </w:r>
                </w:p>
                <w:p>
                  <w:pPr>
                    <w:pStyle w:val="Style182"/>
                    <w:widowControl w:val="0"/>
                    <w:keepNext w:val="0"/>
                    <w:keepLines w:val="0"/>
                    <w:shd w:val="clear" w:color="auto" w:fill="auto"/>
                    <w:bidi w:val="0"/>
                    <w:spacing w:before="0" w:after="0"/>
                    <w:ind w:left="0" w:right="0" w:firstLine="0"/>
                  </w:pPr>
                  <w:r>
                    <w:rPr>
                      <w:rStyle w:val="CharStyle183"/>
                    </w:rPr>
                    <w:t>Неврозы, напряженность, вегетативные расстройства, фобии, реактивная депрессия, отсутствие инициативы, слабость, апатия, кардиалгия, стенокардия, делириозное состояние (для снятия возбуждения и вегетативных симптомов).</w:t>
                  </w:r>
                </w:p>
                <w:tbl>
                  <w:tblPr>
                    <w:tblOverlap w:val="never"/>
                    <w:tblLayout w:type="fixed"/>
                    <w:jc w:val="center"/>
                  </w:tblPr>
                  <w:tblGrid>
                    <w:gridCol w:w="1891"/>
                    <w:gridCol w:w="4954"/>
                    <w:gridCol w:w="2995"/>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50-100 мг/сутки</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 2-3 приема</w:t>
                        </w:r>
                      </w:p>
                    </w:tc>
                  </w:tr>
                </w:tbl>
                <w:p>
                  <w:pPr>
                    <w:widowControl w:val="0"/>
                    <w:rPr>
                      <w:sz w:val="2"/>
                      <w:szCs w:val="2"/>
                    </w:rPr>
                  </w:pPr>
                </w:p>
              </w:txbxContent>
            </v:textbox>
            <w10:wrap anchorx="margin"/>
          </v:shape>
        </w:pict>
      </w:r>
      <w:r>
        <w:pict>
          <v:shape id="_x0000_s2173" type="#_x0000_t202" style="position:absolute;margin-left:1.2pt;margin-top:65.05pt;width:491.05pt;height:108.45pt;z-index:251657929;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Фармакологическое действие. Усиливает ГАМК-миметические процессы в ЦНС, обладает селективной анксиолитической, вегетокор- ригирующей, стресспротективной, мягкой психостимулирующей и коронаролитической активностью. При приеме внутрь быстро и полно всасывается. Активные метаболиты не образуются. Выводится в основном (80%) с мочой в виде конъюгатов с глюкуроновой кислотой — 52-92%, 20% экскретируется ЖКТ. Не кумулируется. Анксиолитический эффект не сопровождается миорелаксацией, лекар</w:t>
                    <w:softHyphen/>
                    <w:t>ственная зависимость не развивается. Является типичным «дневным» анксиолитиком.</w:t>
                  </w:r>
                </w:p>
                <w:p>
                  <w:pPr>
                    <w:pStyle w:val="Style45"/>
                    <w:widowControl w:val="0"/>
                    <w:keepNext w:val="0"/>
                    <w:keepLines w:val="0"/>
                    <w:shd w:val="clear" w:color="auto" w:fill="auto"/>
                    <w:bidi w:val="0"/>
                    <w:spacing w:before="0" w:after="0"/>
                    <w:ind w:left="0" w:right="0" w:firstLine="0"/>
                  </w:pPr>
                  <w:r>
                    <w:rPr>
                      <w:rStyle w:val="CharStyle190"/>
                    </w:rPr>
                    <w:t>Противопоказания:</w:t>
                  </w:r>
                </w:p>
                <w:p>
                  <w:pPr>
                    <w:pStyle w:val="Style45"/>
                    <w:widowControl w:val="0"/>
                    <w:keepNext w:val="0"/>
                    <w:keepLines w:val="0"/>
                    <w:shd w:val="clear" w:color="auto" w:fill="auto"/>
                    <w:bidi w:val="0"/>
                    <w:spacing w:before="0" w:after="0"/>
                    <w:ind w:left="0" w:right="0" w:firstLine="0"/>
                  </w:pPr>
                  <w:r>
                    <w:rPr>
                      <w:rStyle w:val="CharStyle190"/>
                    </w:rPr>
                    <w:t>Психозы и психопатии, сопровождающиеся выраженным психомоторным возбуждением, агрессивностью или глубокой депрессией; де</w:t>
                    <w:softHyphen/>
                    <w:t>компенсированная дыхательная недостаточность; повышенная чувствительность к бензодиазепинам.</w:t>
                  </w:r>
                </w:p>
                <w:p>
                  <w:pPr>
                    <w:pStyle w:val="Style45"/>
                    <w:widowControl w:val="0"/>
                    <w:keepNext w:val="0"/>
                    <w:keepLines w:val="0"/>
                    <w:shd w:val="clear" w:color="auto" w:fill="auto"/>
                    <w:bidi w:val="0"/>
                    <w:spacing w:before="0" w:after="0"/>
                    <w:ind w:left="0" w:right="0" w:firstLine="0"/>
                  </w:pPr>
                  <w:r>
                    <w:rPr>
                      <w:rStyle w:val="CharStyle190"/>
                    </w:rPr>
                    <w:t>Побочные эффекты:</w:t>
                  </w:r>
                </w:p>
                <w:p>
                  <w:pPr>
                    <w:pStyle w:val="Style45"/>
                    <w:widowControl w:val="0"/>
                    <w:keepNext w:val="0"/>
                    <w:keepLines w:val="0"/>
                    <w:shd w:val="clear" w:color="auto" w:fill="auto"/>
                    <w:bidi w:val="0"/>
                    <w:spacing w:before="0" w:after="0"/>
                    <w:ind w:left="0" w:right="0" w:firstLine="0"/>
                  </w:pPr>
                  <w:r>
                    <w:rPr>
                      <w:rStyle w:val="CharStyle190"/>
                    </w:rPr>
                    <w:t>Диспепсия, повышенная возбудимость, раздражительность, аллергические реакции (кожный зуд, экзантема). При передозировке — глу</w:t>
                    <w:softHyphen/>
                    <w:t>бокий сон, в тяжелых случаях — развитие комы.</w:t>
                  </w:r>
                </w:p>
              </w:txbxContent>
            </v:textbox>
            <w10:wrap anchorx="margin"/>
          </v:shape>
        </w:pict>
      </w:r>
      <w:r>
        <w:pict>
          <v:shape id="_x0000_s2174" type="#_x0000_t202" style="position:absolute;margin-left:1.45pt;margin-top:179.5pt;width:490.55pt;height:63.1pt;z-index:251657930;mso-wrap-distance-left:5.pt;mso-wrap-distance-right:5.pt;mso-position-horizontal-relative:margin" filled="f" stroked="f">
            <v:textbox style="mso-fit-shape-to-text:t" inset="0,0,0,0">
              <w:txbxContent>
                <w:p>
                  <w:pPr>
                    <w:pStyle w:val="Style184"/>
                    <w:widowControl w:val="0"/>
                    <w:keepNext w:val="0"/>
                    <w:keepLines w:val="0"/>
                    <w:shd w:val="clear" w:color="auto" w:fill="auto"/>
                    <w:bidi w:val="0"/>
                    <w:spacing w:before="0" w:after="0"/>
                    <w:ind w:left="0" w:right="0" w:firstLine="0"/>
                  </w:pPr>
                  <w:r>
                    <w:rPr>
                      <w:rStyle w:val="CharStyle191"/>
                      <w:lang w:val="ru-RU" w:eastAsia="ru-RU" w:bidi="ru-RU"/>
                      <w:b/>
                      <w:bCs/>
                      <w:i/>
                      <w:iCs/>
                    </w:rPr>
                    <w:t xml:space="preserve">Мидодрин </w:t>
                  </w:r>
                  <w:r>
                    <w:rPr>
                      <w:rStyle w:val="CharStyle191"/>
                      <w:b/>
                      <w:bCs/>
                      <w:i/>
                      <w:iCs/>
                    </w:rPr>
                    <w:t xml:space="preserve">(Midodrine) </w:t>
                  </w:r>
                  <w:r>
                    <w:rPr>
                      <w:rStyle w:val="CharStyle191"/>
                      <w:lang w:val="ru-RU" w:eastAsia="ru-RU" w:bidi="ru-RU"/>
                      <w:b/>
                      <w:bCs/>
                      <w:i/>
                      <w:iCs/>
                    </w:rPr>
                    <w:t xml:space="preserve">Синонимы: Гутрон (Название препарата фирмы </w:t>
                  </w:r>
                  <w:r>
                    <w:rPr>
                      <w:rStyle w:val="CharStyle191"/>
                      <w:b/>
                      <w:bCs/>
                      <w:i/>
                      <w:iCs/>
                    </w:rPr>
                    <w:t xml:space="preserve">«Hafslund Nycomed Pharma AG»), Alphamine, Gutron, Hipertan, Midamine </w:t>
                  </w:r>
                  <w:r>
                    <w:rPr>
                      <w:rStyle w:val="CharStyle191"/>
                      <w:lang w:val="ru-RU" w:eastAsia="ru-RU" w:bidi="ru-RU"/>
                      <w:b/>
                      <w:bCs/>
                      <w:i/>
                      <w:iCs/>
                    </w:rPr>
                    <w:t>и др.</w:t>
                  </w:r>
                </w:p>
                <w:p>
                  <w:pPr>
                    <w:pStyle w:val="Style45"/>
                    <w:widowControl w:val="0"/>
                    <w:keepNext w:val="0"/>
                    <w:keepLines w:val="0"/>
                    <w:shd w:val="clear" w:color="auto" w:fill="auto"/>
                    <w:bidi w:val="0"/>
                    <w:spacing w:before="0" w:after="0"/>
                    <w:ind w:left="0" w:right="0" w:firstLine="0"/>
                  </w:pPr>
                  <w:r>
                    <w:rPr>
                      <w:rStyle w:val="CharStyle190"/>
                    </w:rPr>
                    <w:t>Показания к применению</w:t>
                  </w:r>
                </w:p>
                <w:p>
                  <w:pPr>
                    <w:pStyle w:val="Style45"/>
                    <w:widowControl w:val="0"/>
                    <w:keepNext w:val="0"/>
                    <w:keepLines w:val="0"/>
                    <w:shd w:val="clear" w:color="auto" w:fill="auto"/>
                    <w:bidi w:val="0"/>
                    <w:spacing w:before="0" w:after="0"/>
                    <w:ind w:left="0" w:right="0" w:firstLine="0"/>
                  </w:pPr>
                  <w:r>
                    <w:rPr>
                      <w:rStyle w:val="CharStyle190"/>
                    </w:rPr>
                    <w:t>Ортостатические нарушения регуляции сосудистого тонуса, конституциональная гипотензия, симптоматическая гипотензия, в т.ч. в период реконвалесценции, после операций, гипотоническая лабильность при изменении погоды, утренняя слабость и чувство усталости.</w:t>
                  </w:r>
                </w:p>
              </w:txbxContent>
            </v:textbox>
            <w10:wrap anchorx="margin"/>
          </v:shape>
        </w:pict>
      </w:r>
      <w:r>
        <w:pict>
          <v:shape id="_x0000_s2175" type="#_x0000_t202" style="position:absolute;margin-left:0.95pt;margin-top:243.35pt;width:492.pt;height:5.e-002pt;z-index:251657931;mso-wrap-distance-left:5.pt;mso-wrap-distance-right:5.pt;mso-position-horizontal-relative:margin" filled="f" stroked="f">
            <v:textbox style="mso-fit-shape-to-text:t" inset="0,0,0,0">
              <w:txbxContent>
                <w:tbl>
                  <w:tblPr>
                    <w:tblOverlap w:val="never"/>
                    <w:tblLayout w:type="fixed"/>
                    <w:jc w:val="center"/>
                  </w:tblPr>
                  <w:tblGrid>
                    <w:gridCol w:w="1891"/>
                    <w:gridCol w:w="4954"/>
                    <w:gridCol w:w="2995"/>
                  </w:tblGrid>
                  <w:tr>
                    <w:trPr>
                      <w:trHeight w:val="240" w:hRule="exact"/>
                    </w:trPr>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bottom"/>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50"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lang w:val="en-US" w:eastAsia="en-US" w:bidi="en-US"/>
                          </w:rPr>
                          <w:t>Per os</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Подросткам по 7 кап</w:t>
                        </w:r>
                      </w:p>
                    </w:tc>
                    <w:tc>
                      <w:tcPr>
                        <w:shd w:val="clear" w:color="auto" w:fill="FFFFFF"/>
                        <w:tcBorders>
                          <w:left w:val="single" w:sz="4"/>
                          <w:righ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2 раза в сутки</w:t>
                        </w:r>
                      </w:p>
                    </w:tc>
                  </w:tr>
                </w:tbl>
                <w:p>
                  <w:pPr>
                    <w:widowControl w:val="0"/>
                    <w:rPr>
                      <w:sz w:val="2"/>
                      <w:szCs w:val="2"/>
                    </w:rPr>
                  </w:pPr>
                </w:p>
              </w:txbxContent>
            </v:textbox>
            <w10:wrap anchorx="margin"/>
          </v:shape>
        </w:pict>
      </w:r>
      <w:r>
        <w:pict>
          <v:shape id="_x0000_s2176" type="#_x0000_t202" style="position:absolute;margin-left:0.95pt;margin-top:266.15pt;width:491.5pt;height:248.7pt;z-index:251657932;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Фармакологическое действие. Альфа-адреномиметик. Избирательно стимулирует периферические а-адренорецепторы симпатической нервной системы. Это вызывает повышение тонуса сосудов, что, в свою очередь, увеличивает периферическое сопротивление в артери</w:t>
                    <w:softHyphen/>
                    <w:t>альном круге кровообращения, повышает АД и препятствует (при ортостатических нарушениях) застою крови в венозном круге. Благо</w:t>
                    <w:softHyphen/>
                    <w:t>даря этому на постоянном уровне сохраняются ОЦК и АД, увеличивается доставка крови к органам, тем самым устраняются ортостати</w:t>
                    <w:softHyphen/>
                    <w:t>ческие нарушения (в т.ч. утренняя слабость и усталость, частая зевота, головокружения). Гутрон не оказывает влияния на деятельность сердца, однако возможно рефлекторное уменьшение ЧСС. Препарат не вызывает повышения возбудимости ЦНС.</w:t>
                  </w:r>
                </w:p>
                <w:p>
                  <w:pPr>
                    <w:pStyle w:val="Style45"/>
                    <w:widowControl w:val="0"/>
                    <w:keepNext w:val="0"/>
                    <w:keepLines w:val="0"/>
                    <w:shd w:val="clear" w:color="auto" w:fill="auto"/>
                    <w:bidi w:val="0"/>
                    <w:spacing w:before="0" w:after="0"/>
                    <w:ind w:left="0" w:right="0" w:firstLine="0"/>
                  </w:pPr>
                  <w:r>
                    <w:rPr>
                      <w:rStyle w:val="CharStyle190"/>
                    </w:rPr>
                    <w:t>Относительная биодоступность составляет 100%. Поскольку гутрон обладает лишь незначительным липофильным действием, он почти не проникает через ГЭБ и поэтому не оказывает влияния на ЦНС.</w:t>
                  </w:r>
                </w:p>
                <w:p>
                  <w:pPr>
                    <w:pStyle w:val="Style45"/>
                    <w:widowControl w:val="0"/>
                    <w:keepNext w:val="0"/>
                    <w:keepLines w:val="0"/>
                    <w:shd w:val="clear" w:color="auto" w:fill="auto"/>
                    <w:bidi w:val="0"/>
                    <w:spacing w:before="0" w:after="0"/>
                    <w:ind w:left="0" w:right="0" w:firstLine="0"/>
                  </w:pPr>
                  <w:r>
                    <w:rPr>
                      <w:rStyle w:val="CharStyle190"/>
                    </w:rPr>
                    <w:t>Мидодрин и его метаболиты выводятся почти исключительно с мочой в течение 24 ч после приема субстанции, причем примерно 40% — в форме активного метаболита, около 5% — в форме неизмененного мидодрина и примерно 55% — в форме фармакологически неактив</w:t>
                    <w:softHyphen/>
                    <w:t>ного метаболита.</w:t>
                  </w:r>
                </w:p>
                <w:p>
                  <w:pPr>
                    <w:pStyle w:val="Style45"/>
                    <w:widowControl w:val="0"/>
                    <w:keepNext w:val="0"/>
                    <w:keepLines w:val="0"/>
                    <w:shd w:val="clear" w:color="auto" w:fill="auto"/>
                    <w:bidi w:val="0"/>
                    <w:spacing w:before="0" w:after="0"/>
                    <w:ind w:left="0" w:right="0" w:firstLine="0"/>
                  </w:pPr>
                  <w:r>
                    <w:rPr>
                      <w:rStyle w:val="CharStyle190"/>
                    </w:rPr>
                    <w:t>Противопоказания:</w:t>
                  </w:r>
                </w:p>
                <w:p>
                  <w:pPr>
                    <w:pStyle w:val="Style45"/>
                    <w:widowControl w:val="0"/>
                    <w:keepNext w:val="0"/>
                    <w:keepLines w:val="0"/>
                    <w:shd w:val="clear" w:color="auto" w:fill="auto"/>
                    <w:bidi w:val="0"/>
                    <w:spacing w:before="0" w:after="0"/>
                    <w:ind w:left="0" w:right="0" w:firstLine="0"/>
                  </w:pPr>
                  <w:r>
                    <w:rPr>
                      <w:rStyle w:val="CharStyle190"/>
                    </w:rPr>
                    <w:t>Артериальная гипертензия, феохромоцитома, острый нефрит, тяжелая почечная недостаточность, закрытоугольная глаукома, аденома предстательной железы с наличием остаточной мочи, механическая обструкция мочевых путей, гипертиреоз, повышенная чувствитель</w:t>
                    <w:softHyphen/>
                    <w:t>ность к компонентам препарата.</w:t>
                  </w:r>
                </w:p>
                <w:p>
                  <w:pPr>
                    <w:pStyle w:val="Style45"/>
                    <w:widowControl w:val="0"/>
                    <w:keepNext w:val="0"/>
                    <w:keepLines w:val="0"/>
                    <w:shd w:val="clear" w:color="auto" w:fill="auto"/>
                    <w:bidi w:val="0"/>
                    <w:spacing w:before="0" w:after="0"/>
                    <w:ind w:left="0" w:right="0" w:firstLine="0"/>
                  </w:pPr>
                  <w:r>
                    <w:rPr>
                      <w:rStyle w:val="CharStyle190"/>
                    </w:rPr>
                    <w:t>Побочное действие:</w:t>
                  </w:r>
                </w:p>
                <w:p>
                  <w:pPr>
                    <w:pStyle w:val="Style45"/>
                    <w:widowControl w:val="0"/>
                    <w:keepNext w:val="0"/>
                    <w:keepLines w:val="0"/>
                    <w:shd w:val="clear" w:color="auto" w:fill="auto"/>
                    <w:bidi w:val="0"/>
                    <w:spacing w:before="0" w:after="0"/>
                    <w:ind w:left="0" w:right="0" w:firstLine="0"/>
                  </w:pPr>
                  <w:r>
                    <w:rPr>
                      <w:rStyle w:val="CharStyle190"/>
                    </w:rPr>
                    <w:t>Со стороны сердечно-сосудистой системы: в отдельных случаях — нарушения сердечного ритма, кардиалгии. Аллергические реакции: возможны кожные реакции.</w:t>
                  </w:r>
                </w:p>
                <w:p>
                  <w:pPr>
                    <w:pStyle w:val="Style45"/>
                    <w:widowControl w:val="0"/>
                    <w:keepNext w:val="0"/>
                    <w:keepLines w:val="0"/>
                    <w:shd w:val="clear" w:color="auto" w:fill="auto"/>
                    <w:bidi w:val="0"/>
                    <w:spacing w:before="0" w:after="0"/>
                    <w:ind w:left="0" w:right="0" w:firstLine="0"/>
                  </w:pPr>
                  <w:r>
                    <w:rPr>
                      <w:rStyle w:val="CharStyle190"/>
                    </w:rPr>
                    <w:t>Лекарственное взаимодействие:</w:t>
                  </w:r>
                </w:p>
                <w:p>
                  <w:pPr>
                    <w:pStyle w:val="Style45"/>
                    <w:widowControl w:val="0"/>
                    <w:keepNext w:val="0"/>
                    <w:keepLines w:val="0"/>
                    <w:shd w:val="clear" w:color="auto" w:fill="auto"/>
                    <w:bidi w:val="0"/>
                    <w:spacing w:before="0" w:after="0"/>
                    <w:ind w:left="0" w:right="0" w:firstLine="0"/>
                  </w:pPr>
                  <w:r>
                    <w:rPr>
                      <w:rStyle w:val="CharStyle190"/>
                    </w:rPr>
                    <w:t>При одновременном применении гутрона и сердечных гликозидов возможно развитие рефлекторной брадикардии, а также нарушений сердечной проводимости.</w:t>
                  </w:r>
                </w:p>
                <w:p>
                  <w:pPr>
                    <w:pStyle w:val="Style45"/>
                    <w:widowControl w:val="0"/>
                    <w:keepNext w:val="0"/>
                    <w:keepLines w:val="0"/>
                    <w:shd w:val="clear" w:color="auto" w:fill="auto"/>
                    <w:bidi w:val="0"/>
                    <w:spacing w:before="0" w:after="94"/>
                    <w:ind w:left="0" w:right="0" w:firstLine="0"/>
                  </w:pPr>
                  <w:r>
                    <w:rPr>
                      <w:rStyle w:val="CharStyle190"/>
                    </w:rPr>
                    <w:t>Атропин и кортизон при одновременном приеме с гутроном могут усилить гипертензивное действие. Действие гутрона, как и других аль- фа-адреномиметиков, может быть уменьшено или полностью нивелировано альфаадреноблокаторами, в т.ч. празозином, фентолами- ном, резерпином.</w:t>
                  </w:r>
                </w:p>
                <w:p>
                  <w:pPr>
                    <w:pStyle w:val="Style184"/>
                    <w:widowControl w:val="0"/>
                    <w:keepNext w:val="0"/>
                    <w:keepLines w:val="0"/>
                    <w:shd w:val="clear" w:color="auto" w:fill="auto"/>
                    <w:bidi w:val="0"/>
                    <w:spacing w:before="0" w:after="0" w:line="150" w:lineRule="exact"/>
                    <w:ind w:left="0" w:right="0" w:firstLine="0"/>
                  </w:pPr>
                  <w:r>
                    <w:rPr>
                      <w:rStyle w:val="CharStyle191"/>
                      <w:lang w:val="ru-RU" w:eastAsia="ru-RU" w:bidi="ru-RU"/>
                      <w:b/>
                      <w:bCs/>
                      <w:i/>
                      <w:iCs/>
                    </w:rPr>
                    <w:t xml:space="preserve">Атропин </w:t>
                  </w:r>
                  <w:r>
                    <w:rPr>
                      <w:rStyle w:val="CharStyle191"/>
                      <w:b/>
                      <w:bCs/>
                      <w:i/>
                      <w:iCs/>
                    </w:rPr>
                    <w:t>(Atropini sulfas)</w:t>
                  </w:r>
                </w:p>
              </w:txbxContent>
            </v:textbox>
            <w10:wrap anchorx="margin"/>
          </v:shape>
        </w:pict>
      </w:r>
      <w:r>
        <w:pict>
          <v:shape id="_x0000_s2177" type="#_x0000_t202" style="position:absolute;margin-left:0.95pt;margin-top:517.45pt;width:492.pt;height:5.e-002pt;z-index:251657933;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jc w:val="left"/>
                    <w:spacing w:before="0" w:after="0" w:line="160" w:lineRule="exact"/>
                    <w:ind w:left="0" w:right="0" w:firstLine="0"/>
                  </w:pPr>
                  <w:r>
                    <w:rPr>
                      <w:rStyle w:val="CharStyle183"/>
                    </w:rPr>
                    <w:t>Показания</w:t>
                  </w:r>
                </w:p>
                <w:p>
                  <w:pPr>
                    <w:pStyle w:val="Style182"/>
                    <w:widowControl w:val="0"/>
                    <w:keepNext w:val="0"/>
                    <w:keepLines w:val="0"/>
                    <w:shd w:val="clear" w:color="auto" w:fill="auto"/>
                    <w:bidi w:val="0"/>
                    <w:jc w:val="left"/>
                    <w:spacing w:before="0" w:after="0" w:line="160" w:lineRule="exact"/>
                    <w:ind w:left="0" w:right="0" w:firstLine="0"/>
                  </w:pPr>
                  <w:r>
                    <w:rPr>
                      <w:rStyle w:val="CharStyle183"/>
                    </w:rPr>
                    <w:t>Брадиаритмии, синдром слабости синусового узла, с целью премедикации при проведении оперативных вмешательств.</w:t>
                  </w:r>
                </w:p>
                <w:tbl>
                  <w:tblPr>
                    <w:tblOverlap w:val="never"/>
                    <w:tblLayout w:type="fixed"/>
                    <w:jc w:val="center"/>
                  </w:tblPr>
                  <w:tblGrid>
                    <w:gridCol w:w="1891"/>
                    <w:gridCol w:w="4954"/>
                    <w:gridCol w:w="2995"/>
                  </w:tblGrid>
                  <w:tr>
                    <w:trPr>
                      <w:trHeight w:val="245" w:hRule="exact"/>
                    </w:trPr>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Путь введения</w:t>
                        </w:r>
                      </w:p>
                    </w:tc>
                    <w:tc>
                      <w:tcPr>
                        <w:shd w:val="clear" w:color="auto" w:fill="FFFFFF"/>
                        <w:tcBorders>
                          <w:lef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Доза</w:t>
                        </w:r>
                      </w:p>
                    </w:tc>
                    <w:tc>
                      <w:tcPr>
                        <w:shd w:val="clear" w:color="auto" w:fill="FFFFFF"/>
                        <w:tcBorders>
                          <w:left w:val="single" w:sz="4"/>
                          <w:right w:val="single" w:sz="4"/>
                          <w:top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Кратность приема</w:t>
                        </w:r>
                      </w:p>
                    </w:tc>
                  </w:tr>
                  <w:tr>
                    <w:trPr>
                      <w:trHeight w:val="245" w:hRule="exact"/>
                    </w:trPr>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В/м, в/в</w:t>
                        </w:r>
                      </w:p>
                    </w:tc>
                    <w:tc>
                      <w:tcPr>
                        <w:shd w:val="clear" w:color="auto" w:fill="FFFFFF"/>
                        <w:tcBorders>
                          <w:left w:val="single" w:sz="4"/>
                          <w:top w:val="single" w:sz="4"/>
                          <w:bottom w:val="single" w:sz="4"/>
                        </w:tcBorders>
                        <w:vAlign w:val="top"/>
                      </w:tcPr>
                      <w:p>
                        <w:pPr>
                          <w:pStyle w:val="Style30"/>
                          <w:widowControl w:val="0"/>
                          <w:keepNext w:val="0"/>
                          <w:keepLines w:val="0"/>
                          <w:shd w:val="clear" w:color="auto" w:fill="auto"/>
                          <w:bidi w:val="0"/>
                          <w:jc w:val="left"/>
                          <w:spacing w:before="0" w:after="0" w:line="160" w:lineRule="exact"/>
                          <w:ind w:left="0" w:right="0" w:firstLine="0"/>
                        </w:pPr>
                        <w:r>
                          <w:rPr>
                            <w:rStyle w:val="CharStyle102"/>
                          </w:rPr>
                          <w:t>0,01-0,02 мг/кг, максимально 0,1 мг</w:t>
                        </w:r>
                      </w:p>
                    </w:tc>
                    <w:tc>
                      <w:tcPr>
                        <w:shd w:val="clear" w:color="auto" w:fill="FFFFFF"/>
                        <w:tcBorders>
                          <w:left w:val="single" w:sz="4"/>
                          <w:right w:val="single" w:sz="4"/>
                          <w:top w:val="single" w:sz="4"/>
                          <w:bottom w:val="single" w:sz="4"/>
                        </w:tcBorders>
                        <w:vAlign w:val="top"/>
                      </w:tcPr>
                      <w:p>
                        <w:pPr>
                          <w:widowControl w:val="0"/>
                          <w:rPr>
                            <w:sz w:val="10"/>
                            <w:szCs w:val="10"/>
                          </w:rPr>
                        </w:pPr>
                      </w:p>
                    </w:tc>
                  </w:tr>
                </w:tbl>
                <w:p>
                  <w:pPr>
                    <w:widowControl w:val="0"/>
                    <w:rPr>
                      <w:sz w:val="2"/>
                      <w:szCs w:val="2"/>
                    </w:rPr>
                  </w:pPr>
                </w:p>
              </w:txbxContent>
            </v:textbox>
            <w10:wrap anchorx="margin"/>
          </v:shape>
        </w:pict>
      </w:r>
      <w:r>
        <w:pict>
          <v:shape id="_x0000_s2178" type="#_x0000_t202" style="position:absolute;margin-left:1.45pt;margin-top:560.85pt;width:491.05pt;height:108.45pt;z-index:251657934;mso-wrap-distance-left:5.pt;mso-wrap-distance-right:5.pt;mso-position-horizontal-relative:margin" filled="f" stroked="f">
            <v:textbox style="mso-fit-shape-to-text:t" inset="0,0,0,0">
              <w:txbxContent>
                <w:p>
                  <w:pPr>
                    <w:pStyle w:val="Style45"/>
                    <w:widowControl w:val="0"/>
                    <w:keepNext w:val="0"/>
                    <w:keepLines w:val="0"/>
                    <w:shd w:val="clear" w:color="auto" w:fill="auto"/>
                    <w:bidi w:val="0"/>
                    <w:spacing w:before="0" w:after="0"/>
                    <w:ind w:left="0" w:right="0" w:firstLine="0"/>
                  </w:pPr>
                  <w:r>
                    <w:rPr>
                      <w:rStyle w:val="CharStyle190"/>
                    </w:rPr>
                    <w:t>Фармакологическое действие:</w:t>
                  </w:r>
                </w:p>
                <w:p>
                  <w:pPr>
                    <w:pStyle w:val="Style45"/>
                    <w:widowControl w:val="0"/>
                    <w:keepNext w:val="0"/>
                    <w:keepLines w:val="0"/>
                    <w:shd w:val="clear" w:color="auto" w:fill="auto"/>
                    <w:bidi w:val="0"/>
                    <w:spacing w:before="0" w:after="0"/>
                    <w:ind w:left="0" w:right="0" w:firstLine="0"/>
                  </w:pPr>
                  <w:r>
                    <w:rPr>
                      <w:rStyle w:val="CharStyle190"/>
                    </w:rPr>
                    <w:t>Является М-холиноблокатором. В ЦНС оказывает сложное дозозависимое действие. Вызывает мидриаз, паралич аккомодации, повы</w:t>
                    <w:softHyphen/>
                    <w:t>шение внутриглазного давления, тахикардию, ксеростомию. Угнетает секрецию бронхиальных и желудочных, потовых желез. Обладает спазмолитическим эффектом на гладкую мускулатуру бронхов, ЖКТ, желче- и мочевыводящей систем. После в/в введения — макси</w:t>
                    <w:softHyphen/>
                    <w:t xml:space="preserve">мальный эффект через 2-4 мин., после приема </w:t>
                  </w:r>
                  <w:r>
                    <w:rPr>
                      <w:rStyle w:val="CharStyle190"/>
                      <w:lang w:val="en-US" w:eastAsia="en-US" w:bidi="en-US"/>
                    </w:rPr>
                    <w:t xml:space="preserve">per os </w:t>
                  </w:r>
                  <w:r>
                    <w:rPr>
                      <w:rStyle w:val="CharStyle190"/>
                    </w:rPr>
                    <w:t>— через 30 мин. В крови 18% связывается с белками плазмы. Проходит через ГЭБ. Выводится почками, 50% в неизмененном виде.</w:t>
                  </w:r>
                </w:p>
                <w:p>
                  <w:pPr>
                    <w:pStyle w:val="Style45"/>
                    <w:widowControl w:val="0"/>
                    <w:keepNext w:val="0"/>
                    <w:keepLines w:val="0"/>
                    <w:shd w:val="clear" w:color="auto" w:fill="auto"/>
                    <w:bidi w:val="0"/>
                    <w:spacing w:before="0" w:after="0"/>
                    <w:ind w:left="0" w:right="0" w:firstLine="0"/>
                  </w:pPr>
                  <w:r>
                    <w:rPr>
                      <w:rStyle w:val="CharStyle190"/>
                    </w:rPr>
                    <w:t>Побочные эффекты: сухость во рту, тахикардия, нарушения зрения, сухая горячая кожа, возбуждение, гипертермия, делирий, головная боль, тремор.</w:t>
                  </w:r>
                </w:p>
                <w:p>
                  <w:pPr>
                    <w:pStyle w:val="Style45"/>
                    <w:widowControl w:val="0"/>
                    <w:keepNext w:val="0"/>
                    <w:keepLines w:val="0"/>
                    <w:shd w:val="clear" w:color="auto" w:fill="auto"/>
                    <w:bidi w:val="0"/>
                    <w:spacing w:before="0" w:after="0"/>
                    <w:ind w:left="0" w:right="0" w:firstLine="0"/>
                  </w:pPr>
                  <w:r>
                    <w:rPr>
                      <w:rStyle w:val="CharStyle190"/>
                    </w:rPr>
                    <w:t>Противопоказания: глаукома, тахикардия, тиреотоксикоз, уропатия.</w:t>
                  </w:r>
                </w:p>
                <w:p>
                  <w:pPr>
                    <w:pStyle w:val="Style45"/>
                    <w:widowControl w:val="0"/>
                    <w:keepNext w:val="0"/>
                    <w:keepLines w:val="0"/>
                    <w:shd w:val="clear" w:color="auto" w:fill="auto"/>
                    <w:bidi w:val="0"/>
                    <w:spacing w:before="0" w:after="0"/>
                    <w:ind w:left="0" w:right="0" w:firstLine="0"/>
                  </w:pPr>
                  <w:r>
                    <w:rPr>
                      <w:rStyle w:val="CharStyle190"/>
                    </w:rPr>
                    <w:t>Взаимодействие:</w:t>
                  </w:r>
                </w:p>
                <w:p>
                  <w:pPr>
                    <w:pStyle w:val="Style45"/>
                    <w:widowControl w:val="0"/>
                    <w:keepNext w:val="0"/>
                    <w:keepLines w:val="0"/>
                    <w:shd w:val="clear" w:color="auto" w:fill="auto"/>
                    <w:bidi w:val="0"/>
                    <w:spacing w:before="0" w:after="0"/>
                    <w:ind w:left="0" w:right="0" w:firstLine="0"/>
                  </w:pPr>
                  <w:r>
                    <w:rPr>
                      <w:rStyle w:val="CharStyle190"/>
                    </w:rPr>
                    <w:t>Ослабляет действие М-холиномиметиков и антихолинэстеразных средств, усиливает действие М-холиноблокаторов.</w:t>
                  </w:r>
                </w:p>
              </w:txbxContent>
            </v:textbox>
            <w10:wrap anchorx="margin"/>
          </v:shape>
        </w:pict>
      </w:r>
      <w:r>
        <w:pict>
          <v:shape id="_x0000_s2179" type="#_x0000_t75" style="position:absolute;margin-left:147.85pt;margin-top:734.65pt;width:209.75pt;height:14.9pt;z-index:-251658579;mso-wrap-distance-left:5.pt;mso-wrap-distance-right:5.pt;mso-position-horizontal-relative:margin" wrapcoords="0 0">
            <v:imagedata r:id="rId1481" r:href="rId1482"/>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78" w:lineRule="exact"/>
      </w:pPr>
    </w:p>
    <w:p>
      <w:pPr>
        <w:widowControl w:val="0"/>
        <w:rPr>
          <w:sz w:val="2"/>
          <w:szCs w:val="2"/>
        </w:rPr>
        <w:sectPr>
          <w:type w:val="continuous"/>
          <w:pgSz w:w="11900" w:h="16840"/>
          <w:pgMar w:top="1423" w:left="898" w:right="1124" w:bottom="147" w:header="0" w:footer="3" w:gutter="0"/>
          <w:rtlGutter w:val="0"/>
          <w:cols w:space="720"/>
          <w:noEndnote/>
          <w:docGrid w:linePitch="360"/>
        </w:sectPr>
      </w:pPr>
    </w:p>
    <w:p>
      <w:pPr>
        <w:pStyle w:val="Style15"/>
        <w:widowControl w:val="0"/>
        <w:keepNext/>
        <w:keepLines/>
        <w:shd w:val="clear" w:color="auto" w:fill="auto"/>
        <w:bidi w:val="0"/>
        <w:jc w:val="center"/>
        <w:spacing w:before="0" w:after="0" w:line="340" w:lineRule="exact"/>
        <w:ind w:left="340" w:right="0" w:firstLine="0"/>
        <w:sectPr>
          <w:headerReference w:type="even" r:id="rId1483"/>
          <w:headerReference w:type="default" r:id="rId1484"/>
          <w:headerReference w:type="first" r:id="rId1485"/>
          <w:pgSz w:w="11900" w:h="16840"/>
          <w:pgMar w:top="2391" w:left="1119" w:right="903" w:bottom="207" w:header="0" w:footer="3" w:gutter="0"/>
          <w:rtlGutter w:val="0"/>
          <w:cols w:space="720"/>
          <w:noEndnote/>
          <w:docGrid w:linePitch="360"/>
        </w:sectPr>
      </w:pPr>
      <w:bookmarkStart w:id="850" w:name="bookmark850"/>
      <w:r>
        <w:rPr>
          <w:lang w:val="ru-RU" w:eastAsia="ru-RU" w:bidi="ru-RU"/>
          <w:w w:val="100"/>
          <w:spacing w:val="0"/>
          <w:color w:val="000000"/>
          <w:position w:val="0"/>
        </w:rPr>
        <w:t>ПРЕДМЕТНЫЙ УКАЗАТЕЛЬ</w:t>
      </w:r>
      <w:bookmarkEnd w:id="850"/>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74" w:after="74" w:line="240" w:lineRule="exact"/>
        <w:rPr>
          <w:sz w:val="19"/>
          <w:szCs w:val="19"/>
        </w:rPr>
      </w:pPr>
    </w:p>
    <w:p>
      <w:pPr>
        <w:widowControl w:val="0"/>
        <w:rPr>
          <w:sz w:val="2"/>
          <w:szCs w:val="2"/>
        </w:rPr>
        <w:sectPr>
          <w:type w:val="continuous"/>
          <w:pgSz w:w="11900" w:h="16840"/>
          <w:pgMar w:top="1574" w:left="0" w:right="0" w:bottom="1809" w:header="0" w:footer="3" w:gutter="0"/>
          <w:rtlGutter w:val="0"/>
          <w:cols w:space="720"/>
          <w:noEndnote/>
          <w:docGrid w:linePitch="360"/>
        </w:sectPr>
      </w:pPr>
    </w:p>
    <w:p>
      <w:pPr>
        <w:widowControl w:val="0"/>
        <w:rPr>
          <w:sz w:val="2"/>
          <w:szCs w:val="2"/>
        </w:rPr>
      </w:pPr>
      <w:r>
        <w:pict>
          <v:shape id="_x0000_s2182" type="#_x0000_t75" style="position:absolute;margin-left:142.6pt;margin-top:605.75pt;width:209.75pt;height:14.9pt;z-index:-125828730;mso-wrap-distance-left:136.8pt;mso-wrap-distance-right:147.6pt;mso-wrap-distance-bottom:10.8pt;mso-position-horizontal-relative:margin" wrapcoords="0 0 21600 0 21600 21600 0 21600 0 0">
            <v:imagedata r:id="rId1486" r:href="rId1487"/>
            <w10:wrap type="topAndBottom" anchorx="margin"/>
          </v:shape>
        </w:pict>
      </w:r>
    </w:p>
    <w:p>
      <w:pPr>
        <w:pStyle w:val="Style11"/>
        <w:widowControl w:val="0"/>
        <w:keepNext w:val="0"/>
        <w:keepLines w:val="0"/>
        <w:shd w:val="clear" w:color="auto" w:fill="auto"/>
        <w:bidi w:val="0"/>
        <w:jc w:val="left"/>
        <w:spacing w:before="0" w:after="0" w:line="210" w:lineRule="exact"/>
        <w:ind w:left="0" w:right="0" w:firstLine="0"/>
      </w:pPr>
      <w:r>
        <w:rPr>
          <w:lang w:val="ru-RU" w:eastAsia="ru-RU" w:bidi="ru-RU"/>
          <w:w w:val="100"/>
          <w:spacing w:val="0"/>
          <w:color w:val="000000"/>
          <w:position w:val="0"/>
        </w:rPr>
        <w:t>А</w:t>
      </w:r>
    </w:p>
    <w:p>
      <w:pPr>
        <w:pStyle w:val="Style30"/>
        <w:widowControl w:val="0"/>
        <w:keepNext w:val="0"/>
        <w:keepLines w:val="0"/>
        <w:shd w:val="clear" w:color="auto" w:fill="auto"/>
        <w:bidi w:val="0"/>
        <w:jc w:val="left"/>
        <w:spacing w:before="0" w:after="0" w:line="211" w:lineRule="exact"/>
        <w:ind w:left="0" w:right="900" w:firstLine="0"/>
      </w:pPr>
      <w:r>
        <w:rPr>
          <w:lang w:val="ru-RU" w:eastAsia="ru-RU" w:bidi="ru-RU"/>
          <w:w w:val="100"/>
          <w:spacing w:val="0"/>
          <w:color w:val="000000"/>
          <w:position w:val="0"/>
        </w:rPr>
        <w:t>Аберрантное проведение 28 Абсцесс миокарда 232 Адреногенитальный синдром 463 Акцент II тона 20 Амилоидоз 267 Анамнез 16</w:t>
      </w:r>
    </w:p>
    <w:p>
      <w:pPr>
        <w:pStyle w:val="Style30"/>
        <w:widowControl w:val="0"/>
        <w:keepNext w:val="0"/>
        <w:keepLines w:val="0"/>
        <w:shd w:val="clear" w:color="auto" w:fill="auto"/>
        <w:bidi w:val="0"/>
        <w:jc w:val="left"/>
        <w:spacing w:before="0" w:after="0" w:line="211" w:lineRule="exact"/>
        <w:ind w:left="0" w:right="2600" w:firstLine="280"/>
      </w:pPr>
      <w:r>
        <w:rPr>
          <w:lang w:val="ru-RU" w:eastAsia="ru-RU" w:bidi="ru-RU"/>
          <w:w w:val="100"/>
          <w:spacing w:val="0"/>
          <w:color w:val="000000"/>
          <w:position w:val="0"/>
        </w:rPr>
        <w:t>Анамнез жизни 16 Анамнез заболевания 16 Семейный анамнез 16 Анатомия перикарда 303 Ангиома 62 Ангиосаркома 447</w:t>
      </w:r>
    </w:p>
    <w:p>
      <w:pPr>
        <w:pStyle w:val="Style30"/>
        <w:widowControl w:val="0"/>
        <w:keepNext w:val="0"/>
        <w:keepLines w:val="0"/>
        <w:shd w:val="clear" w:color="auto" w:fill="auto"/>
        <w:bidi w:val="0"/>
        <w:jc w:val="left"/>
        <w:spacing w:before="0" w:after="0" w:line="211" w:lineRule="exact"/>
        <w:ind w:left="0" w:right="0" w:firstLine="0"/>
      </w:pPr>
      <w:r>
        <w:rPr>
          <w:lang w:val="ru-RU" w:eastAsia="ru-RU" w:bidi="ru-RU"/>
          <w:w w:val="100"/>
          <w:spacing w:val="0"/>
          <w:color w:val="000000"/>
          <w:position w:val="0"/>
        </w:rPr>
        <w:t>Аномалии коронарных артерий 332-339</w:t>
      </w:r>
    </w:p>
    <w:p>
      <w:pPr>
        <w:pStyle w:val="Style30"/>
        <w:widowControl w:val="0"/>
        <w:keepNext w:val="0"/>
        <w:keepLines w:val="0"/>
        <w:shd w:val="clear" w:color="auto" w:fill="auto"/>
        <w:bidi w:val="0"/>
        <w:jc w:val="left"/>
        <w:spacing w:before="0" w:after="0" w:line="211" w:lineRule="exact"/>
        <w:ind w:left="280" w:right="0" w:firstLine="0"/>
      </w:pPr>
      <w:r>
        <w:rPr>
          <w:lang w:val="ru-RU" w:eastAsia="ru-RU" w:bidi="ru-RU"/>
          <w:w w:val="100"/>
          <w:spacing w:val="0"/>
          <w:color w:val="000000"/>
          <w:position w:val="0"/>
        </w:rPr>
        <w:t>дистальное соединение коронарных артерий (коронарные фистулы) 338 число коронарных артерий 339</w:t>
      </w:r>
    </w:p>
    <w:p>
      <w:pPr>
        <w:pStyle w:val="Style30"/>
        <w:widowControl w:val="0"/>
        <w:keepNext w:val="0"/>
        <w:keepLines w:val="0"/>
        <w:shd w:val="clear" w:color="auto" w:fill="auto"/>
        <w:bidi w:val="0"/>
        <w:jc w:val="left"/>
        <w:spacing w:before="0" w:after="0" w:line="211" w:lineRule="exact"/>
        <w:ind w:left="280" w:right="0" w:firstLine="0"/>
      </w:pPr>
      <w:r>
        <w:rPr>
          <w:lang w:val="ru-RU" w:eastAsia="ru-RU" w:bidi="ru-RU"/>
          <w:w w:val="100"/>
          <w:spacing w:val="0"/>
          <w:color w:val="000000"/>
          <w:position w:val="0"/>
        </w:rPr>
        <w:t>отхождение левой главной коронарной артерии от легочной артерии 334</w:t>
      </w:r>
    </w:p>
    <w:p>
      <w:pPr>
        <w:pStyle w:val="Style30"/>
        <w:widowControl w:val="0"/>
        <w:keepNext w:val="0"/>
        <w:keepLines w:val="0"/>
        <w:shd w:val="clear" w:color="auto" w:fill="auto"/>
        <w:bidi w:val="0"/>
        <w:jc w:val="left"/>
        <w:spacing w:before="0" w:after="0" w:line="211" w:lineRule="exact"/>
        <w:ind w:left="280" w:right="0" w:firstLine="0"/>
      </w:pPr>
      <w:r>
        <w:rPr>
          <w:lang w:val="ru-RU" w:eastAsia="ru-RU" w:bidi="ru-RU"/>
          <w:w w:val="100"/>
          <w:spacing w:val="0"/>
          <w:color w:val="000000"/>
          <w:position w:val="0"/>
        </w:rPr>
        <w:t>отхождение левой коронарной артерии от правого или заднего (некоронарного) синуса Вальсальвы 337 отхождение обеих коронарных артерий от легочной артерии 337</w:t>
      </w:r>
    </w:p>
    <w:p>
      <w:pPr>
        <w:pStyle w:val="Style30"/>
        <w:widowControl w:val="0"/>
        <w:keepNext w:val="0"/>
        <w:keepLines w:val="0"/>
        <w:shd w:val="clear" w:color="auto" w:fill="auto"/>
        <w:bidi w:val="0"/>
        <w:jc w:val="left"/>
        <w:spacing w:before="0" w:after="0" w:line="211" w:lineRule="exact"/>
        <w:ind w:left="280" w:right="0" w:firstLine="0"/>
      </w:pPr>
      <w:r>
        <w:rPr>
          <w:lang w:val="ru-RU" w:eastAsia="ru-RU" w:bidi="ru-RU"/>
          <w:w w:val="100"/>
          <w:spacing w:val="0"/>
          <w:color w:val="000000"/>
          <w:position w:val="0"/>
        </w:rPr>
        <w:t>отхождение правой коронарной артерии от левого коронарного синуса Вальсальвы 338 отхождение правой коронарной артерии от легочной артерии 337</w:t>
      </w:r>
    </w:p>
    <w:p>
      <w:pPr>
        <w:pStyle w:val="Style30"/>
        <w:widowControl w:val="0"/>
        <w:keepNext w:val="0"/>
        <w:keepLines w:val="0"/>
        <w:shd w:val="clear" w:color="auto" w:fill="auto"/>
        <w:bidi w:val="0"/>
        <w:jc w:val="left"/>
        <w:spacing w:before="0" w:after="0" w:line="211" w:lineRule="exact"/>
        <w:ind w:left="0" w:right="1660" w:firstLine="280"/>
      </w:pPr>
      <w:r>
        <w:rPr>
          <w:lang w:val="ru-RU" w:eastAsia="ru-RU" w:bidi="ru-RU"/>
          <w:w w:val="100"/>
          <w:spacing w:val="0"/>
          <w:color w:val="000000"/>
          <w:position w:val="0"/>
        </w:rPr>
        <w:t>при врожденных пороках сердца 339 Аномалия Эбштейна 121</w:t>
      </w:r>
    </w:p>
    <w:p>
      <w:pPr>
        <w:pStyle w:val="Style30"/>
        <w:widowControl w:val="0"/>
        <w:keepNext w:val="0"/>
        <w:keepLines w:val="0"/>
        <w:shd w:val="clear" w:color="auto" w:fill="auto"/>
        <w:bidi w:val="0"/>
        <w:jc w:val="left"/>
        <w:spacing w:before="0" w:after="0" w:line="211" w:lineRule="exact"/>
        <w:ind w:left="0" w:right="900" w:firstLine="0"/>
      </w:pPr>
      <w:r>
        <w:rPr>
          <w:lang w:val="ru-RU" w:eastAsia="ru-RU" w:bidi="ru-RU"/>
          <w:w w:val="100"/>
          <w:spacing w:val="0"/>
          <w:color w:val="000000"/>
          <w:position w:val="0"/>
        </w:rPr>
        <w:t>Аномальный дренаж легочных вен 124 Антероградное (ортоградное) проведение 28 Аритмия 28</w:t>
      </w:r>
    </w:p>
    <w:p>
      <w:pPr>
        <w:pStyle w:val="Style30"/>
        <w:widowControl w:val="0"/>
        <w:keepNext w:val="0"/>
        <w:keepLines w:val="0"/>
        <w:shd w:val="clear" w:color="auto" w:fill="auto"/>
        <w:bidi w:val="0"/>
        <w:jc w:val="left"/>
        <w:spacing w:before="0" w:after="0" w:line="211" w:lineRule="exact"/>
        <w:ind w:left="0" w:right="0" w:firstLine="0"/>
      </w:pPr>
      <w:r>
        <w:rPr>
          <w:lang w:val="ru-RU" w:eastAsia="ru-RU" w:bidi="ru-RU"/>
          <w:w w:val="100"/>
          <w:spacing w:val="0"/>
          <w:color w:val="000000"/>
          <w:position w:val="0"/>
        </w:rPr>
        <w:t>Аритмогенная дисплазия правого желудочка 268 Артериальная гипертензия 448</w:t>
      </w:r>
    </w:p>
    <w:p>
      <w:pPr>
        <w:pStyle w:val="Style30"/>
        <w:widowControl w:val="0"/>
        <w:keepNext w:val="0"/>
        <w:keepLines w:val="0"/>
        <w:shd w:val="clear" w:color="auto" w:fill="auto"/>
        <w:bidi w:val="0"/>
        <w:jc w:val="left"/>
        <w:spacing w:before="0" w:after="0" w:line="211" w:lineRule="exact"/>
        <w:ind w:left="0" w:right="0" w:firstLine="280"/>
      </w:pPr>
      <w:r>
        <w:rPr>
          <w:lang w:val="ru-RU" w:eastAsia="ru-RU" w:bidi="ru-RU"/>
          <w:w w:val="100"/>
          <w:spacing w:val="0"/>
          <w:color w:val="000000"/>
          <w:position w:val="0"/>
        </w:rPr>
        <w:t>Артериальная гипертензия первичная 448 Артериальная гипертензия вторичная 455 Артериальная гипертензия, обусловленная патологией сердца и магистральных сосудов 458 Артериальная гипертензия, связанная с заболеваниями эндокринной системы 458 Артериальная гипертензия вазоренальная 458 Артериальная гипотензия 465</w:t>
      </w:r>
    </w:p>
    <w:p>
      <w:pPr>
        <w:pStyle w:val="Style30"/>
        <w:widowControl w:val="0"/>
        <w:keepNext w:val="0"/>
        <w:keepLines w:val="0"/>
        <w:shd w:val="clear" w:color="auto" w:fill="auto"/>
        <w:bidi w:val="0"/>
        <w:jc w:val="left"/>
        <w:spacing w:before="0" w:after="0" w:line="211" w:lineRule="exact"/>
        <w:ind w:left="0" w:right="0" w:firstLine="280"/>
      </w:pPr>
      <w:r>
        <w:rPr>
          <w:lang w:val="ru-RU" w:eastAsia="ru-RU" w:bidi="ru-RU"/>
          <w:w w:val="100"/>
          <w:spacing w:val="0"/>
          <w:color w:val="000000"/>
          <w:position w:val="0"/>
        </w:rPr>
        <w:t>Артериальная гипотензия вторичная 469 Артериальная гипотензия ортостатическая 469 Артериальная гипотензия первичная 465 Артериальная гипотензия при надпочечниковой недостаточности 469 Артериальный проток 110 Артериит Такаясу 474 Асистолия 544</w:t>
      </w:r>
    </w:p>
    <w:p>
      <w:pPr>
        <w:pStyle w:val="Style30"/>
        <w:widowControl w:val="0"/>
        <w:keepNext w:val="0"/>
        <w:keepLines w:val="0"/>
        <w:shd w:val="clear" w:color="auto" w:fill="auto"/>
        <w:bidi w:val="0"/>
        <w:jc w:val="left"/>
        <w:spacing w:before="0" w:after="0"/>
        <w:ind w:left="0" w:right="0" w:firstLine="0"/>
      </w:pPr>
      <w:r>
        <w:br w:type="column"/>
      </w:r>
      <w:r>
        <w:rPr>
          <w:lang w:val="ru-RU" w:eastAsia="ru-RU" w:bidi="ru-RU"/>
          <w:w w:val="100"/>
          <w:spacing w:val="0"/>
          <w:color w:val="000000"/>
          <w:position w:val="0"/>
        </w:rPr>
        <w:t>Атрезия трехстворчатого клапана 116</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Патофизиология 116</w:t>
      </w:r>
    </w:p>
    <w:p>
      <w:pPr>
        <w:pStyle w:val="Style30"/>
        <w:widowControl w:val="0"/>
        <w:keepNext w:val="0"/>
        <w:keepLines w:val="0"/>
        <w:shd w:val="clear" w:color="auto" w:fill="auto"/>
        <w:bidi w:val="0"/>
        <w:jc w:val="left"/>
        <w:spacing w:before="0" w:after="0"/>
        <w:ind w:left="280" w:right="1260" w:firstLine="0"/>
      </w:pPr>
      <w:r>
        <w:rPr>
          <w:lang w:val="ru-RU" w:eastAsia="ru-RU" w:bidi="ru-RU"/>
          <w:w w:val="100"/>
          <w:spacing w:val="0"/>
          <w:color w:val="000000"/>
          <w:position w:val="0"/>
        </w:rPr>
        <w:t>Анамнез, клиническая симптоматика 116 Лечение 117</w:t>
      </w:r>
    </w:p>
    <w:p>
      <w:pPr>
        <w:pStyle w:val="Style30"/>
        <w:widowControl w:val="0"/>
        <w:keepNext w:val="0"/>
        <w:keepLines w:val="0"/>
        <w:shd w:val="clear" w:color="auto" w:fill="auto"/>
        <w:bidi w:val="0"/>
        <w:jc w:val="left"/>
        <w:spacing w:before="0" w:after="0"/>
        <w:ind w:left="0" w:right="980" w:firstLine="520"/>
      </w:pPr>
      <w:r>
        <w:rPr>
          <w:lang w:val="ru-RU" w:eastAsia="ru-RU" w:bidi="ru-RU"/>
          <w:w w:val="100"/>
          <w:spacing w:val="0"/>
          <w:color w:val="000000"/>
          <w:position w:val="0"/>
        </w:rPr>
        <w:t xml:space="preserve">Со сниженным легочным кровотоком 118 С усиленным легочным кровотоком 118 Атриовентрикулярная </w:t>
      </w:r>
      <w:r>
        <w:rPr>
          <w:lang w:val="en-US" w:eastAsia="en-US" w:bidi="en-US"/>
          <w:w w:val="100"/>
          <w:spacing w:val="0"/>
          <w:color w:val="000000"/>
          <w:position w:val="0"/>
        </w:rPr>
        <w:t xml:space="preserve">(AB) </w:t>
      </w:r>
      <w:r>
        <w:rPr>
          <w:lang w:val="ru-RU" w:eastAsia="ru-RU" w:bidi="ru-RU"/>
          <w:w w:val="100"/>
          <w:spacing w:val="0"/>
          <w:color w:val="000000"/>
          <w:position w:val="0"/>
        </w:rPr>
        <w:t>блокада 28</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Атриовентрикулярная блокада первой степени 525 Атриовентрикулярная блокада второй степени 527 Блокада Мобитца I типа (см. Блокада II ст., тип I) 31 Блокада Мобитца II типа (см. Блокада II ст., тип II) 31 Атриовентрикулярная диссоциация 28 Атриовентрикулярная узловая реципрокная наджелудочко</w:t>
        <w:softHyphen/>
        <w:t>вая тахикардия 50</w:t>
      </w:r>
    </w:p>
    <w:p>
      <w:pPr>
        <w:pStyle w:val="Style30"/>
        <w:widowControl w:val="0"/>
        <w:keepNext w:val="0"/>
        <w:keepLines w:val="0"/>
        <w:shd w:val="clear" w:color="auto" w:fill="auto"/>
        <w:bidi w:val="0"/>
        <w:jc w:val="left"/>
        <w:spacing w:before="0" w:after="245"/>
        <w:ind w:left="0" w:right="0" w:firstLine="0"/>
      </w:pPr>
      <w:r>
        <w:rPr>
          <w:lang w:val="ru-RU" w:eastAsia="ru-RU" w:bidi="ru-RU"/>
          <w:w w:val="100"/>
          <w:spacing w:val="0"/>
          <w:color w:val="000000"/>
          <w:position w:val="0"/>
        </w:rPr>
        <w:t>Атриовентрикулярное соединение 28</w:t>
      </w:r>
    </w:p>
    <w:p>
      <w:pPr>
        <w:pStyle w:val="Style11"/>
        <w:widowControl w:val="0"/>
        <w:keepNext w:val="0"/>
        <w:keepLines w:val="0"/>
        <w:shd w:val="clear" w:color="auto" w:fill="auto"/>
        <w:bidi w:val="0"/>
        <w:jc w:val="left"/>
        <w:spacing w:before="0" w:after="39" w:line="210" w:lineRule="exact"/>
        <w:ind w:left="0" w:right="0" w:firstLine="0"/>
      </w:pPr>
      <w:r>
        <w:rPr>
          <w:lang w:val="ru-RU" w:eastAsia="ru-RU" w:bidi="ru-RU"/>
          <w:w w:val="100"/>
          <w:spacing w:val="0"/>
          <w:color w:val="000000"/>
          <w:position w:val="0"/>
        </w:rPr>
        <w:t>Б</w:t>
      </w:r>
    </w:p>
    <w:p>
      <w:pPr>
        <w:pStyle w:val="Style30"/>
        <w:widowControl w:val="0"/>
        <w:keepNext w:val="0"/>
        <w:keepLines w:val="0"/>
        <w:shd w:val="clear" w:color="auto" w:fill="auto"/>
        <w:bidi w:val="0"/>
        <w:jc w:val="left"/>
        <w:spacing w:before="0" w:after="0"/>
        <w:ind w:left="0" w:right="680" w:firstLine="0"/>
      </w:pPr>
      <w:r>
        <w:rPr>
          <w:lang w:val="ru-RU" w:eastAsia="ru-RU" w:bidi="ru-RU"/>
          <w:w w:val="100"/>
          <w:spacing w:val="0"/>
          <w:color w:val="000000"/>
          <w:position w:val="0"/>
        </w:rPr>
        <w:t xml:space="preserve">Бигеминия 29 Блокада </w:t>
      </w:r>
      <w:r>
        <w:rPr>
          <w:lang w:val="en-US" w:eastAsia="en-US" w:bidi="en-US"/>
          <w:w w:val="100"/>
          <w:spacing w:val="0"/>
          <w:color w:val="000000"/>
          <w:position w:val="0"/>
        </w:rPr>
        <w:t xml:space="preserve">I </w:t>
      </w:r>
      <w:r>
        <w:rPr>
          <w:lang w:val="ru-RU" w:eastAsia="ru-RU" w:bidi="ru-RU"/>
          <w:w w:val="100"/>
          <w:spacing w:val="0"/>
          <w:color w:val="000000"/>
          <w:position w:val="0"/>
        </w:rPr>
        <w:t>степени 30 Блокада входа 29 Блокада выхода 30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Блокада задней ветви левой ножки 30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Блокада ножки пучка Гиса 29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Блокада ножки пучка Гиса перемежающаяся 29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Блокада ножки пучка Гиса постоянная 29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Блокада передней ветви левой ножки пучка Гиса 30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Болезни клеточной энергетики 429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Болезни миокарда 222</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Болезни сосудов 448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Болезни эндокарда 279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Болезнь Гоше 268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Болезнь Гурлера 268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Болезнь Кавасаки 340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Болезнь Кешана 259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Болезнь Фабри 268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Боли в области сердца 17</w:t>
      </w:r>
    </w:p>
    <w:p>
      <w:pPr>
        <w:pStyle w:val="Style30"/>
        <w:widowControl w:val="0"/>
        <w:keepNext w:val="0"/>
        <w:keepLines w:val="0"/>
        <w:shd w:val="clear" w:color="auto" w:fill="auto"/>
        <w:bidi w:val="0"/>
        <w:jc w:val="left"/>
        <w:spacing w:before="0" w:after="245"/>
        <w:ind w:left="0" w:right="0" w:firstLine="0"/>
      </w:pPr>
      <w:r>
        <w:rPr>
          <w:lang w:val="ru-RU" w:eastAsia="ru-RU" w:bidi="ru-RU"/>
          <w:w w:val="100"/>
          <w:spacing w:val="0"/>
          <w:color w:val="000000"/>
          <w:position w:val="0"/>
        </w:rPr>
        <w:t>Брадикардия 22, 29</w:t>
      </w:r>
    </w:p>
    <w:p>
      <w:pPr>
        <w:pStyle w:val="Style11"/>
        <w:widowControl w:val="0"/>
        <w:keepNext w:val="0"/>
        <w:keepLines w:val="0"/>
        <w:shd w:val="clear" w:color="auto" w:fill="auto"/>
        <w:bidi w:val="0"/>
        <w:jc w:val="left"/>
        <w:spacing w:before="0" w:after="39" w:line="210" w:lineRule="exact"/>
        <w:ind w:left="0" w:right="0" w:firstLine="0"/>
      </w:pPr>
      <w:r>
        <w:rPr>
          <w:lang w:val="ru-RU" w:eastAsia="ru-RU" w:bidi="ru-RU"/>
          <w:w w:val="100"/>
          <w:spacing w:val="0"/>
          <w:color w:val="000000"/>
          <w:position w:val="0"/>
        </w:rPr>
        <w:t>В</w:t>
      </w:r>
    </w:p>
    <w:p>
      <w:pPr>
        <w:pStyle w:val="Style30"/>
        <w:widowControl w:val="0"/>
        <w:keepNext w:val="0"/>
        <w:keepLines w:val="0"/>
        <w:shd w:val="clear" w:color="auto" w:fill="auto"/>
        <w:bidi w:val="0"/>
        <w:jc w:val="left"/>
        <w:spacing w:before="0" w:after="0"/>
        <w:ind w:left="0" w:right="680" w:firstLine="0"/>
      </w:pPr>
      <w:r>
        <w:rPr>
          <w:lang w:val="ru-RU" w:eastAsia="ru-RU" w:bidi="ru-RU"/>
          <w:w w:val="100"/>
          <w:spacing w:val="0"/>
          <w:color w:val="000000"/>
          <w:position w:val="0"/>
        </w:rPr>
        <w:t>Веноокклюзивное заболевание легких 384 Верхушечный (сердечный) толчок 19</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Верхушечный толчок диастолический 19 Верхушечный толчок несмещаемый 19 Верхушечный толчок ослабление 19 Верхушечный толчок отрицательный 19 Верхушечный толчок приподнимающий 19 Верхушечный толчок смещен влево и вниз 19 Верхушечный толчок усиление 19</w:t>
      </w:r>
      <w:r>
        <w:br w:type="page"/>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Вибраторный шум Стилла 21 Врожденная аномалия плазминогена 390 Врожденные аномалии коронарных артерий 332 Врожденные пороки сердца 54</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Врожденные пороки сердца, обусловленные хромосомными аберрациями 57 Врожденный кардиосклероз 300 Вторичная легочная гипертензия 368</w:t>
      </w:r>
    </w:p>
    <w:p>
      <w:pPr>
        <w:pStyle w:val="Style30"/>
        <w:widowControl w:val="0"/>
        <w:keepNext w:val="0"/>
        <w:keepLines w:val="0"/>
        <w:shd w:val="clear" w:color="auto" w:fill="auto"/>
        <w:bidi w:val="0"/>
        <w:jc w:val="left"/>
        <w:spacing w:before="0" w:after="245"/>
        <w:ind w:left="0" w:right="0" w:firstLine="0"/>
      </w:pPr>
      <w:r>
        <w:rPr>
          <w:lang w:val="ru-RU" w:eastAsia="ru-RU" w:bidi="ru-RU"/>
          <w:w w:val="100"/>
          <w:spacing w:val="0"/>
          <w:color w:val="000000"/>
          <w:position w:val="0"/>
        </w:rPr>
        <w:t>Вторичные формы гипертрофических кардиомиопатий 249 Вторичный альдостеронизм 463 Вторичный альдостеронизм при рениноме 463 Вторичный пролапс митрального клапана 199 Выпадения проведения 30 Выскакивание импульса или разряда 30 Выскакивающий ритм 30</w:t>
      </w:r>
    </w:p>
    <w:p>
      <w:pPr>
        <w:pStyle w:val="Style11"/>
        <w:widowControl w:val="0"/>
        <w:keepNext w:val="0"/>
        <w:keepLines w:val="0"/>
        <w:shd w:val="clear" w:color="auto" w:fill="auto"/>
        <w:bidi w:val="0"/>
        <w:jc w:val="left"/>
        <w:spacing w:before="0" w:after="0" w:line="210" w:lineRule="exact"/>
        <w:ind w:left="0" w:right="0" w:firstLine="0"/>
      </w:pPr>
      <w:r>
        <w:rPr>
          <w:lang w:val="ru-RU" w:eastAsia="ru-RU" w:bidi="ru-RU"/>
          <w:w w:val="100"/>
          <w:spacing w:val="0"/>
          <w:color w:val="000000"/>
          <w:position w:val="0"/>
        </w:rPr>
        <w:t>Г</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Ганглиозидозы 400</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Гемодинамические показатели сердца плода 12 Генетика пороков сердца 63 Генетическая консультация 75</w:t>
      </w:r>
    </w:p>
    <w:p>
      <w:pPr>
        <w:pStyle w:val="Style30"/>
        <w:widowControl w:val="0"/>
        <w:keepNext w:val="0"/>
        <w:keepLines w:val="0"/>
        <w:shd w:val="clear" w:color="auto" w:fill="auto"/>
        <w:bidi w:val="0"/>
        <w:spacing w:before="0" w:after="0"/>
        <w:ind w:left="520" w:right="0" w:firstLine="0"/>
      </w:pPr>
      <w:r>
        <w:rPr>
          <w:lang w:val="ru-RU" w:eastAsia="ru-RU" w:bidi="ru-RU"/>
          <w:w w:val="100"/>
          <w:spacing w:val="0"/>
          <w:color w:val="000000"/>
          <w:position w:val="0"/>
        </w:rPr>
        <w:t>Генетические и средовые аспекты врожденных пороков сердца 54</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Гиперальдостеронизм при идиопатической гиперплазии коры надпочечников 462 Гипертонический криз 464 Гипертрофическая кардиомиопатия 200, 237 Гипертрофия левого предсердия 25 Гипертрофия миокарда левого желудочка 26 Гипертрофия обоих предсердий 25 Гипертрофия правого предсердия 25 Гипоплазия коронарных артерий 339 Гистология миокарда плода 11 Гликогенозы 395</w:t>
      </w:r>
    </w:p>
    <w:p>
      <w:pPr>
        <w:pStyle w:val="Style30"/>
        <w:widowControl w:val="0"/>
        <w:keepNext w:val="0"/>
        <w:keepLines w:val="0"/>
        <w:shd w:val="clear" w:color="auto" w:fill="auto"/>
        <w:bidi w:val="0"/>
        <w:spacing w:before="0" w:after="245"/>
        <w:ind w:left="280" w:right="0" w:firstLine="0"/>
      </w:pPr>
      <w:r>
        <w:rPr>
          <w:lang w:val="ru-RU" w:eastAsia="ru-RU" w:bidi="ru-RU"/>
          <w:w w:val="100"/>
          <w:spacing w:val="0"/>
          <w:color w:val="000000"/>
          <w:position w:val="0"/>
        </w:rPr>
        <w:t>Глюкокортикоидозависимый гиперальдостеронизм 463 Голосистолический (пансистолический) шум 20</w:t>
      </w:r>
    </w:p>
    <w:p>
      <w:pPr>
        <w:pStyle w:val="Style11"/>
        <w:widowControl w:val="0"/>
        <w:keepNext w:val="0"/>
        <w:keepLines w:val="0"/>
        <w:shd w:val="clear" w:color="auto" w:fill="auto"/>
        <w:bidi w:val="0"/>
        <w:jc w:val="left"/>
        <w:spacing w:before="0" w:after="0" w:line="210" w:lineRule="exact"/>
        <w:ind w:left="0" w:right="0" w:firstLine="0"/>
      </w:pPr>
      <w:r>
        <w:rPr>
          <w:lang w:val="ru-RU" w:eastAsia="ru-RU" w:bidi="ru-RU"/>
          <w:w w:val="100"/>
          <w:spacing w:val="0"/>
          <w:color w:val="000000"/>
          <w:position w:val="0"/>
        </w:rPr>
        <w:t>Д</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Далеко зашедшая блокада 28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Двойное отхождение магистральных сосудов от правого</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желудочка 133</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Двойной (парный) ритм 29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Двустворчатый клапан аорты 212</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Двухмерная эхокардиография 36</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Проекция короткой оси при парастернальном</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расположении датчика 36</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Проекция субкостальная 37</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Проекция выходного тракта правого желудочка 36</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Проекция длинной оси левого желудочка 36</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Проекция надгрудинная 37</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Проекция приточного отдела правого желудочка 36 Проекция четырех камер с верхушки 38 Дефект аортолегочной перегородки 40, 113 Дефект межжелудочковой перегородки 39, 77</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 xml:space="preserve">Причины 78 Эмбриология 78 Классификация 78 Мышечный дефект 83 Перимембранозный дефект 86 Инфундибулярный (высокий) дефект 89 </w:t>
      </w:r>
      <w:r>
        <w:rPr>
          <w:rStyle w:val="CharStyle103"/>
        </w:rPr>
        <w:t>Аортальная недостаточность 90</w:t>
      </w:r>
    </w:p>
    <w:p>
      <w:pPr>
        <w:pStyle w:val="Style92"/>
        <w:widowControl w:val="0"/>
        <w:keepNext/>
        <w:keepLines/>
        <w:shd w:val="clear" w:color="auto" w:fill="auto"/>
        <w:bidi w:val="0"/>
        <w:jc w:val="left"/>
        <w:spacing w:before="0" w:after="0"/>
        <w:ind w:left="0" w:right="0" w:firstLine="0"/>
      </w:pPr>
      <w:r>
        <w:br w:type="column"/>
      </w:r>
      <w:bookmarkStart w:id="851" w:name="bookmark851"/>
      <w:r>
        <w:rPr>
          <w:lang w:val="ru-RU" w:eastAsia="ru-RU" w:bidi="ru-RU"/>
          <w:w w:val="100"/>
          <w:spacing w:val="0"/>
          <w:color w:val="000000"/>
          <w:position w:val="0"/>
        </w:rPr>
        <w:t>Дефект межпредсердной перегородки 39, 90</w:t>
      </w:r>
      <w:bookmarkEnd w:id="851"/>
    </w:p>
    <w:p>
      <w:pPr>
        <w:pStyle w:val="Style30"/>
        <w:widowControl w:val="0"/>
        <w:keepNext w:val="0"/>
        <w:keepLines w:val="0"/>
        <w:shd w:val="clear" w:color="auto" w:fill="auto"/>
        <w:bidi w:val="0"/>
        <w:jc w:val="left"/>
        <w:spacing w:before="0" w:after="0"/>
        <w:ind w:left="280" w:right="820" w:firstLine="0"/>
      </w:pPr>
      <w:r>
        <w:rPr>
          <w:lang w:val="ru-RU" w:eastAsia="ru-RU" w:bidi="ru-RU"/>
          <w:w w:val="100"/>
          <w:spacing w:val="0"/>
          <w:color w:val="000000"/>
          <w:position w:val="0"/>
        </w:rPr>
        <w:t>Развитие межпредсердной перегородки 91 Дефект в области венозного синуса 101 Дефект в области коронарного синуса 103 Дефект перегородки вторичный 91 Дефект перегородки первичный 91</w:t>
      </w:r>
    </w:p>
    <w:p>
      <w:pPr>
        <w:pStyle w:val="Style30"/>
        <w:widowControl w:val="0"/>
        <w:keepNext w:val="0"/>
        <w:keepLines w:val="0"/>
        <w:shd w:val="clear" w:color="auto" w:fill="auto"/>
        <w:bidi w:val="0"/>
        <w:jc w:val="left"/>
        <w:spacing w:before="0" w:after="0"/>
        <w:ind w:left="500" w:right="880" w:firstLine="0"/>
      </w:pPr>
      <w:r>
        <w:rPr>
          <w:lang w:val="ru-RU" w:eastAsia="ru-RU" w:bidi="ru-RU"/>
          <w:w w:val="100"/>
          <w:spacing w:val="0"/>
          <w:color w:val="000000"/>
          <w:position w:val="0"/>
        </w:rPr>
        <w:t xml:space="preserve">ДМПП и Синдром </w:t>
      </w:r>
      <w:r>
        <w:rPr>
          <w:lang w:val="en-US" w:eastAsia="en-US" w:bidi="en-US"/>
          <w:w w:val="100"/>
          <w:spacing w:val="0"/>
          <w:color w:val="000000"/>
          <w:position w:val="0"/>
        </w:rPr>
        <w:t xml:space="preserve">Down </w:t>
      </w:r>
      <w:r>
        <w:rPr>
          <w:lang w:val="ru-RU" w:eastAsia="ru-RU" w:bidi="ru-RU"/>
          <w:w w:val="100"/>
          <w:spacing w:val="0"/>
          <w:color w:val="000000"/>
          <w:position w:val="0"/>
        </w:rPr>
        <w:t xml:space="preserve">(трисомия 21) 92 ДМПП и Синдром </w:t>
      </w:r>
      <w:r>
        <w:rPr>
          <w:lang w:val="en-US" w:eastAsia="en-US" w:bidi="en-US"/>
          <w:w w:val="100"/>
          <w:spacing w:val="0"/>
          <w:color w:val="000000"/>
          <w:position w:val="0"/>
        </w:rPr>
        <w:t xml:space="preserve">Ellis-van Creveld </w:t>
      </w:r>
      <w:r>
        <w:rPr>
          <w:lang w:val="ru-RU" w:eastAsia="ru-RU" w:bidi="ru-RU"/>
          <w:w w:val="100"/>
          <w:spacing w:val="0"/>
          <w:color w:val="000000"/>
          <w:position w:val="0"/>
        </w:rPr>
        <w:t xml:space="preserve">91 ДМПП и Синдром </w:t>
      </w:r>
      <w:r>
        <w:rPr>
          <w:lang w:val="en-US" w:eastAsia="en-US" w:bidi="en-US"/>
          <w:w w:val="100"/>
          <w:spacing w:val="0"/>
          <w:color w:val="000000"/>
          <w:position w:val="0"/>
        </w:rPr>
        <w:t xml:space="preserve">Holt-Oram </w:t>
      </w:r>
      <w:r>
        <w:rPr>
          <w:lang w:val="ru-RU" w:eastAsia="ru-RU" w:bidi="ru-RU"/>
          <w:w w:val="100"/>
          <w:spacing w:val="0"/>
          <w:color w:val="000000"/>
          <w:position w:val="0"/>
        </w:rPr>
        <w:t xml:space="preserve">91 ДМПП и Синдром </w:t>
      </w:r>
      <w:r>
        <w:rPr>
          <w:lang w:val="en-US" w:eastAsia="en-US" w:bidi="en-US"/>
          <w:w w:val="100"/>
          <w:spacing w:val="0"/>
          <w:color w:val="000000"/>
          <w:position w:val="0"/>
        </w:rPr>
        <w:t xml:space="preserve">Lutembacher </w:t>
      </w:r>
      <w:r>
        <w:rPr>
          <w:lang w:val="ru-RU" w:eastAsia="ru-RU" w:bidi="ru-RU"/>
          <w:w w:val="100"/>
          <w:spacing w:val="0"/>
          <w:color w:val="000000"/>
          <w:position w:val="0"/>
        </w:rPr>
        <w:t xml:space="preserve">92 ДМПП и Синдром </w:t>
      </w:r>
      <w:r>
        <w:rPr>
          <w:lang w:val="en-US" w:eastAsia="en-US" w:bidi="en-US"/>
          <w:w w:val="100"/>
          <w:spacing w:val="0"/>
          <w:color w:val="000000"/>
          <w:position w:val="0"/>
        </w:rPr>
        <w:t>Noonan 92</w:t>
      </w:r>
    </w:p>
    <w:p>
      <w:pPr>
        <w:pStyle w:val="Style30"/>
        <w:widowControl w:val="0"/>
        <w:keepNext w:val="0"/>
        <w:keepLines w:val="0"/>
        <w:shd w:val="clear" w:color="auto" w:fill="auto"/>
        <w:bidi w:val="0"/>
        <w:jc w:val="left"/>
        <w:spacing w:before="0" w:after="0"/>
        <w:ind w:left="0" w:right="0" w:firstLine="500"/>
      </w:pPr>
      <w:r>
        <w:rPr>
          <w:lang w:val="ru-RU" w:eastAsia="ru-RU" w:bidi="ru-RU"/>
          <w:w w:val="100"/>
          <w:spacing w:val="0"/>
          <w:color w:val="000000"/>
          <w:position w:val="0"/>
        </w:rPr>
        <w:t>Синдром ДМПП и пролонгированная атриовентри</w:t>
        <w:softHyphen/>
        <w:t xml:space="preserve">кулярная проводимость </w:t>
      </w:r>
      <w:r>
        <w:rPr>
          <w:lang w:val="en-US" w:eastAsia="en-US" w:bidi="en-US"/>
          <w:w w:val="100"/>
          <w:spacing w:val="0"/>
          <w:color w:val="000000"/>
          <w:position w:val="0"/>
        </w:rPr>
        <w:t xml:space="preserve">91 </w:t>
      </w:r>
      <w:r>
        <w:rPr>
          <w:lang w:val="ru-RU" w:eastAsia="ru-RU" w:bidi="ru-RU"/>
          <w:w w:val="100"/>
          <w:spacing w:val="0"/>
          <w:color w:val="000000"/>
          <w:position w:val="0"/>
        </w:rPr>
        <w:t xml:space="preserve">Дефицит антитромбина </w:t>
      </w:r>
      <w:r>
        <w:rPr>
          <w:lang w:val="en-US" w:eastAsia="en-US" w:bidi="en-US"/>
          <w:w w:val="100"/>
          <w:spacing w:val="0"/>
          <w:color w:val="000000"/>
          <w:position w:val="0"/>
        </w:rPr>
        <w:t xml:space="preserve">III 390 </w:t>
      </w:r>
      <w:r>
        <w:rPr>
          <w:lang w:val="ru-RU" w:eastAsia="ru-RU" w:bidi="ru-RU"/>
          <w:w w:val="100"/>
          <w:spacing w:val="0"/>
          <w:color w:val="000000"/>
          <w:position w:val="0"/>
        </w:rPr>
        <w:t xml:space="preserve">Дефицит протеина </w:t>
      </w:r>
      <w:r>
        <w:rPr>
          <w:lang w:val="en-US" w:eastAsia="en-US" w:bidi="en-US"/>
          <w:w w:val="100"/>
          <w:spacing w:val="0"/>
          <w:color w:val="000000"/>
          <w:position w:val="0"/>
        </w:rPr>
        <w:t xml:space="preserve">C 389 </w:t>
      </w:r>
      <w:r>
        <w:rPr>
          <w:lang w:val="ru-RU" w:eastAsia="ru-RU" w:bidi="ru-RU"/>
          <w:w w:val="100"/>
          <w:spacing w:val="0"/>
          <w:color w:val="000000"/>
          <w:position w:val="0"/>
        </w:rPr>
        <w:t xml:space="preserve">Дефицит протеина </w:t>
      </w:r>
      <w:r>
        <w:rPr>
          <w:lang w:val="en-US" w:eastAsia="en-US" w:bidi="en-US"/>
          <w:w w:val="100"/>
          <w:spacing w:val="0"/>
          <w:color w:val="000000"/>
          <w:position w:val="0"/>
        </w:rPr>
        <w:t xml:space="preserve">S 390 </w:t>
      </w:r>
      <w:r>
        <w:rPr>
          <w:lang w:val="ru-RU" w:eastAsia="ru-RU" w:bidi="ru-RU"/>
          <w:w w:val="100"/>
          <w:spacing w:val="0"/>
          <w:color w:val="000000"/>
          <w:position w:val="0"/>
        </w:rPr>
        <w:t xml:space="preserve">Дефицит цистатионин синтетазы </w:t>
      </w:r>
      <w:r>
        <w:rPr>
          <w:lang w:val="en-US" w:eastAsia="en-US" w:bidi="en-US"/>
          <w:w w:val="100"/>
          <w:spacing w:val="0"/>
          <w:color w:val="000000"/>
          <w:position w:val="0"/>
        </w:rPr>
        <w:t xml:space="preserve">390 </w:t>
      </w:r>
      <w:r>
        <w:rPr>
          <w:lang w:val="ru-RU" w:eastAsia="ru-RU" w:bidi="ru-RU"/>
          <w:w w:val="100"/>
          <w:spacing w:val="0"/>
          <w:color w:val="000000"/>
          <w:position w:val="0"/>
        </w:rPr>
        <w:t xml:space="preserve">Деформация грудной клетки </w:t>
      </w:r>
      <w:r>
        <w:rPr>
          <w:lang w:val="en-US" w:eastAsia="en-US" w:bidi="en-US"/>
          <w:w w:val="100"/>
          <w:spacing w:val="0"/>
          <w:color w:val="000000"/>
          <w:position w:val="0"/>
        </w:rPr>
        <w:t>19</w:t>
      </w:r>
    </w:p>
    <w:p>
      <w:pPr>
        <w:pStyle w:val="Style30"/>
        <w:widowControl w:val="0"/>
        <w:keepNext w:val="0"/>
        <w:keepLines w:val="0"/>
        <w:shd w:val="clear" w:color="auto" w:fill="auto"/>
        <w:bidi w:val="0"/>
        <w:jc w:val="left"/>
        <w:spacing w:before="0" w:after="0"/>
        <w:ind w:left="0" w:right="400" w:firstLine="0"/>
      </w:pPr>
      <w:r>
        <w:rPr>
          <w:lang w:val="ru-RU" w:eastAsia="ru-RU" w:bidi="ru-RU"/>
          <w:w w:val="100"/>
          <w:spacing w:val="0"/>
          <w:color w:val="000000"/>
          <w:position w:val="0"/>
        </w:rPr>
        <w:t xml:space="preserve">Диагностика заболеваний органов кровообращения </w:t>
      </w:r>
      <w:r>
        <w:rPr>
          <w:lang w:val="en-US" w:eastAsia="en-US" w:bidi="en-US"/>
          <w:w w:val="100"/>
          <w:spacing w:val="0"/>
          <w:color w:val="000000"/>
          <w:position w:val="0"/>
        </w:rPr>
        <w:t xml:space="preserve">15 </w:t>
      </w:r>
      <w:r>
        <w:rPr>
          <w:lang w:val="ru-RU" w:eastAsia="ru-RU" w:bidi="ru-RU"/>
          <w:w w:val="100"/>
          <w:spacing w:val="0"/>
          <w:color w:val="000000"/>
          <w:position w:val="0"/>
        </w:rPr>
        <w:t xml:space="preserve">Диастолический ритм галопа </w:t>
      </w:r>
      <w:r>
        <w:rPr>
          <w:lang w:val="en-US" w:eastAsia="en-US" w:bidi="en-US"/>
          <w:w w:val="100"/>
          <w:spacing w:val="0"/>
          <w:color w:val="000000"/>
          <w:position w:val="0"/>
        </w:rPr>
        <w:t xml:space="preserve">20 </w:t>
      </w:r>
      <w:r>
        <w:rPr>
          <w:lang w:val="ru-RU" w:eastAsia="ru-RU" w:bidi="ru-RU"/>
          <w:w w:val="100"/>
          <w:spacing w:val="0"/>
          <w:color w:val="000000"/>
          <w:position w:val="0"/>
        </w:rPr>
        <w:t xml:space="preserve">Дилатационная кардиомиопатия </w:t>
      </w:r>
      <w:r>
        <w:rPr>
          <w:lang w:val="en-US" w:eastAsia="en-US" w:bidi="en-US"/>
          <w:w w:val="100"/>
          <w:spacing w:val="0"/>
          <w:color w:val="000000"/>
          <w:position w:val="0"/>
        </w:rPr>
        <w:t xml:space="preserve">251 </w:t>
      </w:r>
      <w:r>
        <w:rPr>
          <w:lang w:val="ru-RU" w:eastAsia="ru-RU" w:bidi="ru-RU"/>
          <w:w w:val="100"/>
          <w:spacing w:val="0"/>
          <w:color w:val="000000"/>
          <w:position w:val="0"/>
        </w:rPr>
        <w:t xml:space="preserve">Диссоциация предсердий </w:t>
      </w:r>
      <w:r>
        <w:rPr>
          <w:lang w:val="en-US" w:eastAsia="en-US" w:bidi="en-US"/>
          <w:w w:val="100"/>
          <w:spacing w:val="0"/>
          <w:color w:val="000000"/>
          <w:position w:val="0"/>
        </w:rPr>
        <w:t xml:space="preserve">28 </w:t>
      </w:r>
      <w:r>
        <w:rPr>
          <w:lang w:val="ru-RU" w:eastAsia="ru-RU" w:bidi="ru-RU"/>
          <w:w w:val="100"/>
          <w:spacing w:val="0"/>
          <w:color w:val="000000"/>
          <w:position w:val="0"/>
        </w:rPr>
        <w:t xml:space="preserve">Диффузный цианоз </w:t>
      </w:r>
      <w:r>
        <w:rPr>
          <w:lang w:val="en-US" w:eastAsia="en-US" w:bidi="en-US"/>
          <w:w w:val="100"/>
          <w:spacing w:val="0"/>
          <w:color w:val="000000"/>
          <w:position w:val="0"/>
        </w:rPr>
        <w:t xml:space="preserve">18 </w:t>
      </w:r>
      <w:r>
        <w:rPr>
          <w:lang w:val="ru-RU" w:eastAsia="ru-RU" w:bidi="ru-RU"/>
          <w:w w:val="100"/>
          <w:spacing w:val="0"/>
          <w:color w:val="000000"/>
          <w:position w:val="0"/>
        </w:rPr>
        <w:t xml:space="preserve">Доброкачественные опухоли </w:t>
      </w:r>
      <w:r>
        <w:rPr>
          <w:lang w:val="en-US" w:eastAsia="en-US" w:bidi="en-US"/>
          <w:w w:val="100"/>
          <w:spacing w:val="0"/>
          <w:color w:val="000000"/>
          <w:position w:val="0"/>
        </w:rPr>
        <w:t xml:space="preserve">434 </w:t>
      </w:r>
      <w:r>
        <w:rPr>
          <w:lang w:val="ru-RU" w:eastAsia="ru-RU" w:bidi="ru-RU"/>
          <w:w w:val="100"/>
          <w:spacing w:val="0"/>
          <w:color w:val="000000"/>
          <w:position w:val="0"/>
        </w:rPr>
        <w:t xml:space="preserve">Допплерэхокардиография </w:t>
      </w:r>
      <w:r>
        <w:rPr>
          <w:lang w:val="en-US" w:eastAsia="en-US" w:bidi="en-US"/>
          <w:w w:val="100"/>
          <w:spacing w:val="0"/>
          <w:color w:val="000000"/>
          <w:position w:val="0"/>
        </w:rPr>
        <w:t xml:space="preserve">37 </w:t>
      </w:r>
      <w:r>
        <w:rPr>
          <w:lang w:val="ru-RU" w:eastAsia="ru-RU" w:bidi="ru-RU"/>
          <w:w w:val="100"/>
          <w:spacing w:val="0"/>
          <w:color w:val="000000"/>
          <w:position w:val="0"/>
        </w:rPr>
        <w:t>Аорта и аортальный клапан 39</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Допплерэхокардиография в диагностике наиболее частых врожденных пороков сердца 39 Легочная артерия 39 Митральный клапан 37</w:t>
      </w:r>
    </w:p>
    <w:p>
      <w:pPr>
        <w:pStyle w:val="Style30"/>
        <w:widowControl w:val="0"/>
        <w:keepNext w:val="0"/>
        <w:keepLines w:val="0"/>
        <w:shd w:val="clear" w:color="auto" w:fill="auto"/>
        <w:bidi w:val="0"/>
        <w:jc w:val="left"/>
        <w:spacing w:before="0" w:after="125"/>
        <w:ind w:left="0" w:right="0" w:firstLine="0"/>
      </w:pPr>
      <w:r>
        <w:rPr>
          <w:lang w:val="ru-RU" w:eastAsia="ru-RU" w:bidi="ru-RU"/>
          <w:w w:val="100"/>
          <w:spacing w:val="0"/>
          <w:color w:val="000000"/>
          <w:position w:val="0"/>
        </w:rPr>
        <w:t>Другие инфильтративные заболевания и болезни накопления 267</w:t>
      </w:r>
    </w:p>
    <w:p>
      <w:pPr>
        <w:pStyle w:val="Style11"/>
        <w:widowControl w:val="0"/>
        <w:keepNext w:val="0"/>
        <w:keepLines w:val="0"/>
        <w:shd w:val="clear" w:color="auto" w:fill="auto"/>
        <w:bidi w:val="0"/>
        <w:jc w:val="left"/>
        <w:spacing w:before="0" w:after="39" w:line="210" w:lineRule="exact"/>
        <w:ind w:left="0" w:right="0" w:firstLine="0"/>
      </w:pPr>
      <w:r>
        <w:rPr>
          <w:lang w:val="ru-RU" w:eastAsia="ru-RU" w:bidi="ru-RU"/>
          <w:w w:val="100"/>
          <w:spacing w:val="0"/>
          <w:color w:val="000000"/>
          <w:position w:val="0"/>
        </w:rPr>
        <w:t>Е</w:t>
      </w:r>
    </w:p>
    <w:p>
      <w:pPr>
        <w:pStyle w:val="Style30"/>
        <w:widowControl w:val="0"/>
        <w:keepNext w:val="0"/>
        <w:keepLines w:val="0"/>
        <w:shd w:val="clear" w:color="auto" w:fill="auto"/>
        <w:bidi w:val="0"/>
        <w:jc w:val="left"/>
        <w:spacing w:before="0" w:after="125"/>
        <w:ind w:left="0" w:right="0" w:firstLine="0"/>
      </w:pPr>
      <w:r>
        <w:rPr>
          <w:lang w:val="ru-RU" w:eastAsia="ru-RU" w:bidi="ru-RU"/>
          <w:w w:val="100"/>
          <w:spacing w:val="0"/>
          <w:color w:val="000000"/>
          <w:position w:val="0"/>
        </w:rPr>
        <w:t>Единственная коронарная артерия 339 Единственный желудочек 135</w:t>
      </w:r>
    </w:p>
    <w:p>
      <w:pPr>
        <w:pStyle w:val="Style11"/>
        <w:widowControl w:val="0"/>
        <w:keepNext w:val="0"/>
        <w:keepLines w:val="0"/>
        <w:shd w:val="clear" w:color="auto" w:fill="auto"/>
        <w:bidi w:val="0"/>
        <w:jc w:val="left"/>
        <w:spacing w:before="0" w:after="44" w:line="210" w:lineRule="exact"/>
        <w:ind w:left="0" w:right="0" w:firstLine="0"/>
      </w:pPr>
      <w:r>
        <w:rPr>
          <w:lang w:val="ru-RU" w:eastAsia="ru-RU" w:bidi="ru-RU"/>
          <w:w w:val="100"/>
          <w:spacing w:val="0"/>
          <w:color w:val="000000"/>
          <w:position w:val="0"/>
        </w:rPr>
        <w:t>Ж, З</w:t>
      </w:r>
    </w:p>
    <w:p>
      <w:pPr>
        <w:pStyle w:val="Style30"/>
        <w:widowControl w:val="0"/>
        <w:keepNext w:val="0"/>
        <w:keepLines w:val="0"/>
        <w:shd w:val="clear" w:color="auto" w:fill="auto"/>
        <w:bidi w:val="0"/>
        <w:jc w:val="left"/>
        <w:spacing w:before="0" w:after="125"/>
        <w:ind w:left="0" w:right="0" w:firstLine="0"/>
      </w:pPr>
      <w:r>
        <w:rPr>
          <w:lang w:val="ru-RU" w:eastAsia="ru-RU" w:bidi="ru-RU"/>
          <w:w w:val="100"/>
          <w:spacing w:val="0"/>
          <w:color w:val="000000"/>
          <w:position w:val="0"/>
        </w:rPr>
        <w:t>Желудочковая тахикардия 514 Желудочковая тахикардия типа «пируэт» 519 Задержка внутрипредсердного проведения 31</w:t>
      </w:r>
    </w:p>
    <w:p>
      <w:pPr>
        <w:pStyle w:val="Style11"/>
        <w:widowControl w:val="0"/>
        <w:keepNext w:val="0"/>
        <w:keepLines w:val="0"/>
        <w:shd w:val="clear" w:color="auto" w:fill="auto"/>
        <w:bidi w:val="0"/>
        <w:jc w:val="left"/>
        <w:spacing w:before="0" w:after="49" w:line="210" w:lineRule="exact"/>
        <w:ind w:left="0" w:right="0" w:firstLine="0"/>
      </w:pPr>
      <w:r>
        <w:rPr>
          <w:lang w:val="ru-RU" w:eastAsia="ru-RU" w:bidi="ru-RU"/>
          <w:w w:val="100"/>
          <w:spacing w:val="0"/>
          <w:color w:val="000000"/>
          <w:position w:val="0"/>
        </w:rPr>
        <w:t>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Идиопатическая дилатация легочной артерии 161 Идиопатическая семейная рестриктивная КМП 263 Интервал сцепления 29 Интерполяция 30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Интерстициальная (десквамативная, лимфоцитарная) пневмония 378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Интрамуральный ход коронарных артерий («ныряющие» КА) 338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Инфаркт миокарда 326 Инфекционный эндокардит 279</w:t>
      </w:r>
    </w:p>
    <w:p>
      <w:pPr>
        <w:pStyle w:val="Style30"/>
        <w:widowControl w:val="0"/>
        <w:keepNext w:val="0"/>
        <w:keepLines w:val="0"/>
        <w:shd w:val="clear" w:color="auto" w:fill="auto"/>
        <w:bidi w:val="0"/>
        <w:jc w:val="left"/>
        <w:spacing w:before="0" w:after="125"/>
        <w:ind w:left="0" w:right="0" w:firstLine="0"/>
      </w:pPr>
      <w:r>
        <w:rPr>
          <w:lang w:val="ru-RU" w:eastAsia="ru-RU" w:bidi="ru-RU"/>
          <w:w w:val="100"/>
          <w:spacing w:val="0"/>
          <w:color w:val="000000"/>
          <w:position w:val="0"/>
        </w:rPr>
        <w:t>Инфундибулярный (высокий) дефект межжелудочковой перегородки 89</w:t>
      </w:r>
    </w:p>
    <w:p>
      <w:pPr>
        <w:pStyle w:val="Style11"/>
        <w:widowControl w:val="0"/>
        <w:keepNext w:val="0"/>
        <w:keepLines w:val="0"/>
        <w:shd w:val="clear" w:color="auto" w:fill="auto"/>
        <w:bidi w:val="0"/>
        <w:jc w:val="left"/>
        <w:spacing w:before="0" w:after="49" w:line="210" w:lineRule="exact"/>
        <w:ind w:left="0" w:right="0" w:firstLine="0"/>
      </w:pPr>
      <w:r>
        <w:rPr>
          <w:lang w:val="ru-RU" w:eastAsia="ru-RU" w:bidi="ru-RU"/>
          <w:w w:val="100"/>
          <w:spacing w:val="0"/>
          <w:color w:val="000000"/>
          <w:position w:val="0"/>
        </w:rPr>
        <w:t>К</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Кардиомиопатии 236 Кариотипирование 77 Карнитиновая кардиомиопатия 256</w:t>
      </w:r>
    </w:p>
    <w:p>
      <w:pPr>
        <w:pStyle w:val="Style30"/>
        <w:widowControl w:val="0"/>
        <w:keepNext w:val="0"/>
        <w:keepLines w:val="0"/>
        <w:shd w:val="clear" w:color="auto" w:fill="auto"/>
        <w:bidi w:val="0"/>
        <w:jc w:val="left"/>
        <w:spacing w:before="0" w:after="0"/>
        <w:ind w:left="280" w:right="0" w:firstLine="0"/>
      </w:pPr>
      <w:r>
        <w:pict>
          <v:shape id="_x0000_s2183" type="#_x0000_t75" style="position:absolute;margin-left:148.2pt;margin-top:736.55pt;width:209.75pt;height:14.9pt;z-index:-125828729;mso-wrap-distance-left:148.1pt;mso-wrap-distance-right:136.3pt;mso-wrap-distance-bottom:10.8pt;mso-position-horizontal-relative:margin;mso-position-vertical-relative:margin" wrapcoords="0 0 21600 0 21600 21600 0 21600 0 0">
            <v:imagedata r:id="rId1488" r:href="rId1489"/>
            <w10:wrap type="topAndBottom" anchorx="margin" anchory="margin"/>
          </v:shape>
        </w:pict>
      </w:r>
      <w:r>
        <w:rPr>
          <w:lang w:val="ru-RU" w:eastAsia="ru-RU" w:bidi="ru-RU"/>
          <w:w w:val="100"/>
          <w:spacing w:val="0"/>
          <w:color w:val="000000"/>
          <w:position w:val="0"/>
        </w:rPr>
        <w:t>Вторичная карнитиновая недостаточность 257</w:t>
      </w:r>
      <w:r>
        <w:br w:type="page"/>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Карциноидная болезнь сердца 268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Кашель при заболеваниях сердечно-сосудистой системы 17 Клапанные пороки сердца 172 Клапанный стеноз аорты 202 Коарктация аорты 147</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Комбинированная гипертрофия миокарда желудочков 27 Комплекс Карней 442</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Коронарные фистулы (см. Аномалии дистального соединения коронарных артерий)</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Корригированная транспозиция магистральных сосудов 130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 xml:space="preserve">Кошачье мурлыканье </w:t>
      </w:r>
      <w:r>
        <w:rPr>
          <w:lang w:val="en-US" w:eastAsia="en-US" w:bidi="en-US"/>
          <w:w w:val="100"/>
          <w:spacing w:val="0"/>
          <w:color w:val="000000"/>
          <w:position w:val="0"/>
        </w:rPr>
        <w:t xml:space="preserve">(fremissement cataire) </w:t>
      </w:r>
      <w:r>
        <w:rPr>
          <w:lang w:val="ru-RU" w:eastAsia="ru-RU" w:bidi="ru-RU"/>
          <w:w w:val="100"/>
          <w:spacing w:val="0"/>
          <w:color w:val="000000"/>
          <w:position w:val="0"/>
        </w:rPr>
        <w:t>19</w:t>
      </w:r>
    </w:p>
    <w:p>
      <w:pPr>
        <w:pStyle w:val="Style30"/>
        <w:tabs>
          <w:tab w:leader="none" w:pos="1758" w:val="left"/>
          <w:tab w:leader="none" w:pos="3507" w:val="left"/>
        </w:tabs>
        <w:widowControl w:val="0"/>
        <w:keepNext w:val="0"/>
        <w:keepLines w:val="0"/>
        <w:shd w:val="clear" w:color="auto" w:fill="auto"/>
        <w:bidi w:val="0"/>
        <w:spacing w:before="0" w:after="0"/>
        <w:ind w:left="280" w:right="0" w:firstLine="0"/>
      </w:pPr>
      <w:r>
        <w:rPr>
          <w:lang w:val="ru-RU" w:eastAsia="ru-RU" w:bidi="ru-RU"/>
          <w:w w:val="100"/>
          <w:spacing w:val="0"/>
          <w:color w:val="000000"/>
          <w:position w:val="0"/>
        </w:rPr>
        <w:t>Кошачье</w:t>
        <w:tab/>
        <w:t>мурлыканье</w:t>
        <w:tab/>
        <w:t>диастолическое</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 xml:space="preserve">(пресистолическое) </w:t>
      </w:r>
      <w:r>
        <w:rPr>
          <w:lang w:val="en-US" w:eastAsia="en-US" w:bidi="en-US"/>
          <w:w w:val="100"/>
          <w:spacing w:val="0"/>
          <w:color w:val="000000"/>
          <w:position w:val="0"/>
        </w:rPr>
        <w:t xml:space="preserve">19 </w:t>
      </w:r>
      <w:r>
        <w:rPr>
          <w:lang w:val="ru-RU" w:eastAsia="ru-RU" w:bidi="ru-RU"/>
          <w:w w:val="100"/>
          <w:spacing w:val="0"/>
          <w:color w:val="000000"/>
          <w:position w:val="0"/>
        </w:rPr>
        <w:t>Кошачье мурлыканье систолическое 19 Критические периоды морфогенеза сердца 55 Кровообращение в переходный период 12 Закрытие овального окна 13 Закрытие артериального протока 13 Гемодинамические параметры переходной гемодинами</w:t>
        <w:softHyphen/>
        <w:t>ки 14</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Кровообращение новорожденных 15 Кровообращение плода 11</w:t>
      </w:r>
    </w:p>
    <w:p>
      <w:pPr>
        <w:pStyle w:val="Style30"/>
        <w:widowControl w:val="0"/>
        <w:keepNext w:val="0"/>
        <w:keepLines w:val="0"/>
        <w:shd w:val="clear" w:color="auto" w:fill="auto"/>
        <w:bidi w:val="0"/>
        <w:jc w:val="left"/>
        <w:spacing w:before="0" w:after="245"/>
        <w:ind w:left="0" w:right="0" w:firstLine="0"/>
      </w:pPr>
      <w:r>
        <w:rPr>
          <w:lang w:val="ru-RU" w:eastAsia="ru-RU" w:bidi="ru-RU"/>
          <w:w w:val="100"/>
          <w:spacing w:val="0"/>
          <w:color w:val="000000"/>
          <w:position w:val="0"/>
        </w:rPr>
        <w:t>Кровохарканье при заболеваниях сердечно-сосудистой системы 17</w:t>
      </w:r>
    </w:p>
    <w:p>
      <w:pPr>
        <w:pStyle w:val="Style11"/>
        <w:widowControl w:val="0"/>
        <w:keepNext w:val="0"/>
        <w:keepLines w:val="0"/>
        <w:shd w:val="clear" w:color="auto" w:fill="auto"/>
        <w:bidi w:val="0"/>
        <w:jc w:val="left"/>
        <w:spacing w:before="0" w:after="0" w:line="210" w:lineRule="exact"/>
        <w:ind w:left="0" w:right="0" w:firstLine="0"/>
      </w:pPr>
      <w:r>
        <w:rPr>
          <w:lang w:val="ru-RU" w:eastAsia="ru-RU" w:bidi="ru-RU"/>
          <w:w w:val="100"/>
          <w:spacing w:val="0"/>
          <w:color w:val="000000"/>
          <w:position w:val="0"/>
        </w:rPr>
        <w:t>Л</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Левине интенсивность шумов 20 Легочная гипертензия 350</w:t>
      </w:r>
    </w:p>
    <w:p>
      <w:pPr>
        <w:pStyle w:val="Style30"/>
        <w:widowControl w:val="0"/>
        <w:keepNext w:val="0"/>
        <w:keepLines w:val="0"/>
        <w:shd w:val="clear" w:color="auto" w:fill="auto"/>
        <w:bidi w:val="0"/>
        <w:jc w:val="left"/>
        <w:spacing w:before="0" w:after="0"/>
        <w:ind w:left="280" w:right="1300" w:firstLine="0"/>
      </w:pPr>
      <w:r>
        <w:rPr>
          <w:lang w:val="ru-RU" w:eastAsia="ru-RU" w:bidi="ru-RU"/>
          <w:w w:val="100"/>
          <w:spacing w:val="0"/>
          <w:color w:val="000000"/>
          <w:position w:val="0"/>
        </w:rPr>
        <w:t>при артериовенозных свищах легких 390 при болезни Вегенера 391 при болезни Кавасаки 392 при болезни Такаясу 391 при васкулитах 390</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при длительной искусственной вентиляции легких 394 при других заболеваниях и осложнениях 393 при других редких формах васкулитов 393 при заболеваниях миокарда 383</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при наследственных формах тромбоэмболических заболеваний 389 при ожирении 394</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 xml:space="preserve">при патологии дыхательного центра 394 при полицитемии 393 при приобретенных пороках сердца 376 при рестриктивных нарушениях, не связанных с заболеванием легких 382 при серповидноклеточной анемии 393 при системной красной волчанке 390 Легочное сердце </w:t>
      </w:r>
      <w:r>
        <w:rPr>
          <w:lang w:val="en-US" w:eastAsia="en-US" w:bidi="en-US"/>
          <w:w w:val="100"/>
          <w:spacing w:val="0"/>
          <w:color w:val="000000"/>
          <w:position w:val="0"/>
        </w:rPr>
        <w:t xml:space="preserve">(cor pulmonale) </w:t>
      </w:r>
      <w:r>
        <w:rPr>
          <w:lang w:val="ru-RU" w:eastAsia="ru-RU" w:bidi="ru-RU"/>
          <w:w w:val="100"/>
          <w:spacing w:val="0"/>
          <w:color w:val="000000"/>
          <w:position w:val="0"/>
        </w:rPr>
        <w:t>376</w:t>
      </w:r>
    </w:p>
    <w:p>
      <w:pPr>
        <w:pStyle w:val="Style30"/>
        <w:tabs>
          <w:tab w:leader="none" w:pos="1445" w:val="left"/>
          <w:tab w:leader="none" w:pos="3507"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Легочные</w:t>
        <w:tab/>
        <w:t>артериовенозные</w:t>
        <w:tab/>
        <w:t>мальформации</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(артериовенозные фистулы легких) 167 Легочный кровоток</w:t>
      </w:r>
    </w:p>
    <w:p>
      <w:pPr>
        <w:pStyle w:val="Style30"/>
        <w:widowControl w:val="0"/>
        <w:keepNext w:val="0"/>
        <w:keepLines w:val="0"/>
        <w:shd w:val="clear" w:color="auto" w:fill="auto"/>
        <w:bidi w:val="0"/>
        <w:jc w:val="left"/>
        <w:spacing w:before="0" w:after="0"/>
        <w:ind w:left="0" w:right="560" w:firstLine="280"/>
      </w:pPr>
      <w:r>
        <w:rPr>
          <w:lang w:val="ru-RU" w:eastAsia="ru-RU" w:bidi="ru-RU"/>
          <w:w w:val="100"/>
          <w:spacing w:val="0"/>
          <w:color w:val="000000"/>
          <w:position w:val="0"/>
        </w:rPr>
        <w:t>Артериальная легочная гиперволемия 34 Артериальная легочная гиповолемя 34 Венозная гиперволемия (периферический тип) 34 Венозная гиперволемия (смешанный тип) 34 Венозная гиперволемия (центральный тип) 34 Острый альвеолярный отек легких 34 Хронический альвеолярный отек легких 34 Легочный кровоток плода 21</w:t>
      </w:r>
    </w:p>
    <w:p>
      <w:pPr>
        <w:pStyle w:val="Style11"/>
        <w:widowControl w:val="0"/>
        <w:keepNext w:val="0"/>
        <w:keepLines w:val="0"/>
        <w:shd w:val="clear" w:color="auto" w:fill="auto"/>
        <w:bidi w:val="0"/>
        <w:jc w:val="left"/>
        <w:spacing w:before="0" w:after="44" w:line="210" w:lineRule="exact"/>
        <w:ind w:left="0" w:right="0" w:firstLine="0"/>
      </w:pPr>
      <w:r>
        <w:br w:type="column"/>
      </w:r>
      <w:r>
        <w:rPr>
          <w:lang w:val="ru-RU" w:eastAsia="ru-RU" w:bidi="ru-RU"/>
          <w:w w:val="100"/>
          <w:spacing w:val="0"/>
          <w:color w:val="000000"/>
          <w:position w:val="0"/>
        </w:rPr>
        <w:t>М</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Мезосистолический шум 21 Мезотелиома 447</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Метастатические опухоли сердца 447 Миксома сердца 440 Миокардиты 222</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Вирусный миокардит 226</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Миокардиты другой этиологии (невирусные миокарди</w:t>
        <w:softHyphen/>
        <w:t>ты) 229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Миотоническая дистрофия Россолимо-Куршманна-</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Штейнерта-Баттена 428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Митральная недостаточность 178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Митральный стеноз 178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Многофокусный (многоформный) ритм 31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Множественный ритм 31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Морфология сердца плода 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Морфометрические и гемодинамические показатели сердца плода 12</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Морфометрические показатели сердца новорожденного 15 Муковисцидоз 43, 378 Муколипидозы 401 Мукополисахаридозы 398</w:t>
      </w:r>
    </w:p>
    <w:p>
      <w:pPr>
        <w:pStyle w:val="Style30"/>
        <w:widowControl w:val="0"/>
        <w:keepNext w:val="0"/>
        <w:keepLines w:val="0"/>
        <w:shd w:val="clear" w:color="auto" w:fill="auto"/>
        <w:bidi w:val="0"/>
        <w:jc w:val="left"/>
        <w:spacing w:before="0" w:after="185"/>
        <w:ind w:left="0" w:right="0" w:firstLine="0"/>
      </w:pPr>
      <w:r>
        <w:rPr>
          <w:lang w:val="ru-RU" w:eastAsia="ru-RU" w:bidi="ru-RU"/>
          <w:w w:val="100"/>
          <w:spacing w:val="0"/>
          <w:color w:val="000000"/>
          <w:position w:val="0"/>
        </w:rPr>
        <w:t>Мутации митохондриального переносчика РНК 430 Мышечный дефект межжелудочковой перегородки 83</w:t>
      </w:r>
    </w:p>
    <w:p>
      <w:pPr>
        <w:pStyle w:val="Style11"/>
        <w:widowControl w:val="0"/>
        <w:keepNext w:val="0"/>
        <w:keepLines w:val="0"/>
        <w:shd w:val="clear" w:color="auto" w:fill="auto"/>
        <w:bidi w:val="0"/>
        <w:jc w:val="left"/>
        <w:spacing w:before="0" w:after="44" w:line="210" w:lineRule="exact"/>
        <w:ind w:left="0" w:right="0" w:firstLine="0"/>
      </w:pPr>
      <w:r>
        <w:rPr>
          <w:lang w:val="ru-RU" w:eastAsia="ru-RU" w:bidi="ru-RU"/>
          <w:w w:val="100"/>
          <w:spacing w:val="0"/>
          <w:color w:val="000000"/>
          <w:position w:val="0"/>
        </w:rPr>
        <w:t>Н</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Надклапанный стеноз аорты 141 Нарушение метаболизма жирных кислот 431 Нарушение метаболизма пирувата 429 Нарушение окислительного фосфорилирования 429 Нарушения ритма сердца 483 Наследственные болезни перикарда 321 МУЛИБРЕЙ синдром 321</w:t>
      </w:r>
    </w:p>
    <w:p>
      <w:pPr>
        <w:pStyle w:val="Style30"/>
        <w:widowControl w:val="0"/>
        <w:keepNext w:val="0"/>
        <w:keepLines w:val="0"/>
        <w:shd w:val="clear" w:color="auto" w:fill="auto"/>
        <w:bidi w:val="0"/>
        <w:jc w:val="left"/>
        <w:spacing w:before="0" w:after="185"/>
        <w:ind w:left="0" w:right="0" w:firstLine="0"/>
      </w:pPr>
      <w:r>
        <w:rPr>
          <w:lang w:val="ru-RU" w:eastAsia="ru-RU" w:bidi="ru-RU"/>
          <w:w w:val="100"/>
          <w:spacing w:val="0"/>
          <w:color w:val="000000"/>
          <w:position w:val="0"/>
        </w:rPr>
        <w:t>Наследственные дилатационные кардиомиопатии 253 Наследственные кардиомиопатии детей 272 Недостаточность аортального клапана 208 Недостаточность трехстворчатого клапана 215 Неинфекционные (асептические) перикардиты 316 Неполная (частичная) блокада 30 Неспецифическая внутрижелудочковая блокада 31 Нормальная электрокардиограмма 22 Ныряющие коронарные артерии (см. Интрамуральный ход коронарных артерий).</w:t>
      </w:r>
    </w:p>
    <w:p>
      <w:pPr>
        <w:pStyle w:val="Style11"/>
        <w:widowControl w:val="0"/>
        <w:keepNext w:val="0"/>
        <w:keepLines w:val="0"/>
        <w:shd w:val="clear" w:color="auto" w:fill="auto"/>
        <w:bidi w:val="0"/>
        <w:jc w:val="left"/>
        <w:spacing w:before="0" w:after="44" w:line="210" w:lineRule="exact"/>
        <w:ind w:left="0" w:right="0" w:firstLine="0"/>
      </w:pPr>
      <w:r>
        <w:rPr>
          <w:lang w:val="ru-RU" w:eastAsia="ru-RU" w:bidi="ru-RU"/>
          <w:w w:val="100"/>
          <w:spacing w:val="0"/>
          <w:color w:val="000000"/>
          <w:position w:val="0"/>
        </w:rPr>
        <w:t>О</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Обморок 17</w:t>
      </w:r>
    </w:p>
    <w:p>
      <w:pPr>
        <w:pStyle w:val="Style30"/>
        <w:tabs>
          <w:tab w:leader="none" w:pos="3974" w:val="left"/>
        </w:tabs>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Общий артериальный ствол 118 Общий открытый атриовентрикулярный канал 109 Одномерная эхокардиография 35 Диаметр корня аорты 35 Диаметр правого желудочка (Дпж) 35 Конечно-диастолический (КДО) и</w:t>
        <w:tab/>
        <w:t>конечно-</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систолический (КСО) объемы левого желудочка 35 Конечно-диастолический диаметр левого желудочка (КДД) 35</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Конечно-систолический диаметр левого желудочка (КСД) 35</w:t>
      </w:r>
    </w:p>
    <w:p>
      <w:pPr>
        <w:pStyle w:val="Style30"/>
        <w:widowControl w:val="0"/>
        <w:keepNext w:val="0"/>
        <w:keepLines w:val="0"/>
        <w:shd w:val="clear" w:color="auto" w:fill="auto"/>
        <w:bidi w:val="0"/>
        <w:jc w:val="left"/>
        <w:spacing w:before="0" w:after="0"/>
        <w:ind w:left="280" w:right="0" w:firstLine="0"/>
      </w:pPr>
      <w:r>
        <w:pict>
          <v:shape id="_x0000_s2184" type="#_x0000_t75" style="position:absolute;margin-left:136.8pt;margin-top:736.55pt;width:209.75pt;height:14.9pt;z-index:-125828728;mso-wrap-distance-left:136.8pt;mso-wrap-distance-right:147.85pt;mso-wrap-distance-bottom:10.8pt;mso-position-horizontal-relative:margin;mso-position-vertical-relative:margin" wrapcoords="0 0 21600 0 21600 21600 0 21600 0 0">
            <v:imagedata r:id="rId1490" r:href="rId1491"/>
            <w10:wrap type="topAndBottom" anchorx="margin" anchory="margin"/>
          </v:shape>
        </w:pict>
      </w:r>
      <w:r>
        <w:rPr>
          <w:lang w:val="ru-RU" w:eastAsia="ru-RU" w:bidi="ru-RU"/>
          <w:w w:val="100"/>
          <w:spacing w:val="0"/>
          <w:color w:val="000000"/>
          <w:position w:val="0"/>
        </w:rPr>
        <w:t>Минутный объем кровообращения (МОК) 35 Передне-задний размер левого предсердия (Длп) 35</w:t>
      </w:r>
      <w:r>
        <w:br w:type="page"/>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Толщина задней стенки левого желудочка в диастолу (Тзслж) 35</w:t>
      </w:r>
    </w:p>
    <w:p>
      <w:pPr>
        <w:pStyle w:val="Style30"/>
        <w:widowControl w:val="0"/>
        <w:keepNext w:val="0"/>
        <w:keepLines w:val="0"/>
        <w:shd w:val="clear" w:color="auto" w:fill="auto"/>
        <w:bidi w:val="0"/>
        <w:spacing w:before="0" w:after="0"/>
        <w:ind w:left="260" w:right="0" w:firstLine="0"/>
      </w:pPr>
      <w:r>
        <w:rPr>
          <w:lang w:val="ru-RU" w:eastAsia="ru-RU" w:bidi="ru-RU"/>
          <w:w w:val="100"/>
          <w:spacing w:val="0"/>
          <w:color w:val="000000"/>
          <w:position w:val="0"/>
        </w:rPr>
        <w:t>Толщина межжелудочковой перегородки в диастолу (Тмжп) 35</w:t>
      </w:r>
    </w:p>
    <w:p>
      <w:pPr>
        <w:pStyle w:val="Style30"/>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 xml:space="preserve">Ударный объем (УО) 35 Фракция выброса (ФВ) 35 Одышечно-цианотический приступ 17, 48 Одышка (диспноэ, </w:t>
      </w:r>
      <w:r>
        <w:rPr>
          <w:lang w:val="en-US" w:eastAsia="en-US" w:bidi="en-US"/>
          <w:w w:val="100"/>
          <w:spacing w:val="0"/>
          <w:color w:val="000000"/>
          <w:position w:val="0"/>
        </w:rPr>
        <w:t xml:space="preserve">dyspnoe) </w:t>
      </w:r>
      <w:r>
        <w:rPr>
          <w:lang w:val="ru-RU" w:eastAsia="ru-RU" w:bidi="ru-RU"/>
          <w:w w:val="100"/>
          <w:spacing w:val="0"/>
          <w:color w:val="000000"/>
          <w:position w:val="0"/>
        </w:rPr>
        <w:t xml:space="preserve">17 Опухоли перикарда </w:t>
      </w:r>
      <w:r>
        <w:rPr>
          <w:lang w:val="en-US" w:eastAsia="en-US" w:bidi="en-US"/>
          <w:w w:val="100"/>
          <w:spacing w:val="0"/>
          <w:color w:val="000000"/>
          <w:position w:val="0"/>
        </w:rPr>
        <w:t>318</w:t>
      </w:r>
    </w:p>
    <w:p>
      <w:pPr>
        <w:pStyle w:val="Style30"/>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Доброкачественные опухоли перикарда 319 Злокачественные опухоли перикарда 318 Метастатические опухоли перикарда 319 Опухоли сердца 433</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 xml:space="preserve">Ортоградное проведение (см. Антероградное проведение) Ослабление I и II тона сердца 20 Ослабление I тона 20 Ослабление </w:t>
      </w:r>
      <w:r>
        <w:rPr>
          <w:lang w:val="en-US" w:eastAsia="en-US" w:bidi="en-US"/>
          <w:w w:val="100"/>
          <w:spacing w:val="0"/>
          <w:color w:val="000000"/>
          <w:position w:val="0"/>
        </w:rPr>
        <w:t xml:space="preserve">II </w:t>
      </w:r>
      <w:r>
        <w:rPr>
          <w:lang w:val="ru-RU" w:eastAsia="ru-RU" w:bidi="ru-RU"/>
          <w:w w:val="100"/>
          <w:spacing w:val="0"/>
          <w:color w:val="000000"/>
          <w:position w:val="0"/>
        </w:rPr>
        <w:t>тона 20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Основные симптомы болезней системы кровообращения 17 Остановка сердца 28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Острая левожелудочковая сердечная недостаточность 560 Острая правожелудочковая сердечная недостаточность 561 Острая сосудистая недостаточность (коллапс) 473 Отек легких 559 Открытое овальное окно 100 Патофизиология 100</w:t>
      </w:r>
    </w:p>
    <w:p>
      <w:pPr>
        <w:pStyle w:val="Style30"/>
        <w:widowControl w:val="0"/>
        <w:keepNext w:val="0"/>
        <w:keepLines w:val="0"/>
        <w:shd w:val="clear" w:color="auto" w:fill="auto"/>
        <w:bidi w:val="0"/>
        <w:jc w:val="left"/>
        <w:spacing w:before="0" w:after="185"/>
        <w:ind w:left="0" w:right="0" w:firstLine="260"/>
      </w:pPr>
      <w:r>
        <w:rPr>
          <w:lang w:val="ru-RU" w:eastAsia="ru-RU" w:bidi="ru-RU"/>
          <w:w w:val="100"/>
          <w:spacing w:val="0"/>
          <w:color w:val="000000"/>
          <w:position w:val="0"/>
        </w:rPr>
        <w:t>Анамнез, клиническая симптоматика 100 Инструментальная диагностика 100 Открытый артериальный проток 110 Открытый атриовентрикулярный канал 107 Отношение проведения 29</w:t>
      </w:r>
    </w:p>
    <w:p>
      <w:pPr>
        <w:pStyle w:val="Style11"/>
        <w:widowControl w:val="0"/>
        <w:keepNext w:val="0"/>
        <w:keepLines w:val="0"/>
        <w:shd w:val="clear" w:color="auto" w:fill="auto"/>
        <w:bidi w:val="0"/>
        <w:jc w:val="left"/>
        <w:spacing w:before="0" w:after="44" w:line="210" w:lineRule="exact"/>
        <w:ind w:left="0" w:right="0" w:firstLine="0"/>
      </w:pPr>
      <w:r>
        <w:rPr>
          <w:lang w:val="ru-RU" w:eastAsia="ru-RU" w:bidi="ru-RU"/>
          <w:w w:val="100"/>
          <w:spacing w:val="0"/>
          <w:color w:val="000000"/>
          <w:position w:val="0"/>
        </w:rPr>
        <w:t>П</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Парасистолия 31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Пароксизмальная наджелудочковая тахикардия 493 Патология коронарного кровообращения 324 Патология перикарда у детей 303 Первичная легочная гипертензия 357 Первичные злокачественные опухоли сердца 446 Первичный альдостеронизм 462 Переменные (альтернирующие) ритмы 28 Перерыв дуги аорты 153 Перикардиты 304 Этиология 304 Патофизиология 305 Сухой фибринозный перикардит 305</w:t>
      </w:r>
    </w:p>
    <w:p>
      <w:pPr>
        <w:pStyle w:val="Style30"/>
        <w:widowControl w:val="0"/>
        <w:keepNext w:val="0"/>
        <w:keepLines w:val="0"/>
        <w:shd w:val="clear" w:color="auto" w:fill="auto"/>
        <w:bidi w:val="0"/>
        <w:jc w:val="left"/>
        <w:spacing w:before="0" w:after="0"/>
        <w:ind w:left="500" w:right="1000" w:firstLine="0"/>
      </w:pPr>
      <w:r>
        <w:rPr>
          <w:lang w:val="ru-RU" w:eastAsia="ru-RU" w:bidi="ru-RU"/>
          <w:w w:val="100"/>
          <w:spacing w:val="0"/>
          <w:color w:val="000000"/>
          <w:position w:val="0"/>
        </w:rPr>
        <w:t xml:space="preserve">Анамнез, клиническая симптоматика 305 Боль при сухом перикардите 305 Шум трения перикарда 305 Инструментальная диагностика 306 </w:t>
      </w:r>
      <w:r>
        <w:rPr>
          <w:rStyle w:val="CharStyle103"/>
        </w:rPr>
        <w:t xml:space="preserve">Особенности ЭКГ 306 </w:t>
      </w:r>
      <w:r>
        <w:rPr>
          <w:lang w:val="ru-RU" w:eastAsia="ru-RU" w:bidi="ru-RU"/>
          <w:w w:val="100"/>
          <w:spacing w:val="0"/>
          <w:color w:val="000000"/>
          <w:position w:val="0"/>
        </w:rPr>
        <w:t>Лечение 306</w:t>
      </w:r>
    </w:p>
    <w:p>
      <w:pPr>
        <w:pStyle w:val="Style30"/>
        <w:widowControl w:val="0"/>
        <w:keepNext w:val="0"/>
        <w:keepLines w:val="0"/>
        <w:shd w:val="clear" w:color="auto" w:fill="auto"/>
        <w:bidi w:val="0"/>
        <w:jc w:val="left"/>
        <w:spacing w:before="0" w:after="0"/>
        <w:ind w:left="0" w:right="0" w:firstLine="260"/>
      </w:pPr>
      <w:r>
        <w:rPr>
          <w:lang w:val="ru-RU" w:eastAsia="ru-RU" w:bidi="ru-RU"/>
          <w:w w:val="100"/>
          <w:spacing w:val="0"/>
          <w:color w:val="000000"/>
          <w:position w:val="0"/>
        </w:rPr>
        <w:t>Экссудативный перикардит 307</w:t>
      </w:r>
    </w:p>
    <w:p>
      <w:pPr>
        <w:pStyle w:val="Style30"/>
        <w:widowControl w:val="0"/>
        <w:keepNext w:val="0"/>
        <w:keepLines w:val="0"/>
        <w:shd w:val="clear" w:color="auto" w:fill="auto"/>
        <w:bidi w:val="0"/>
        <w:jc w:val="left"/>
        <w:spacing w:before="0" w:after="0"/>
        <w:ind w:left="500" w:right="3200" w:firstLine="0"/>
      </w:pPr>
      <w:r>
        <w:rPr>
          <w:lang w:val="ru-RU" w:eastAsia="ru-RU" w:bidi="ru-RU"/>
          <w:w w:val="100"/>
          <w:spacing w:val="0"/>
          <w:color w:val="000000"/>
          <w:position w:val="0"/>
        </w:rPr>
        <w:t>Этиология 307 Анамнез 307</w:t>
      </w:r>
    </w:p>
    <w:p>
      <w:pPr>
        <w:pStyle w:val="Style107"/>
        <w:widowControl w:val="0"/>
        <w:keepNext w:val="0"/>
        <w:keepLines w:val="0"/>
        <w:shd w:val="clear" w:color="auto" w:fill="auto"/>
        <w:bidi w:val="0"/>
        <w:jc w:val="left"/>
        <w:spacing w:before="0" w:after="0"/>
        <w:ind w:left="500" w:right="1300" w:firstLine="140"/>
      </w:pPr>
      <w:r>
        <w:rPr>
          <w:lang w:val="ru-RU" w:eastAsia="ru-RU" w:bidi="ru-RU"/>
          <w:w w:val="100"/>
          <w:spacing w:val="0"/>
          <w:color w:val="000000"/>
          <w:position w:val="0"/>
        </w:rPr>
        <w:t xml:space="preserve">Кардиоваскулярные симптомы 307 Респираторные симптомы 307 Желудочно-кишечные симптомы 307 Неврологические симптомы 307 </w:t>
      </w:r>
      <w:r>
        <w:rPr>
          <w:rStyle w:val="CharStyle137"/>
          <w:b w:val="0"/>
          <w:bCs w:val="0"/>
          <w:i w:val="0"/>
          <w:iCs w:val="0"/>
        </w:rPr>
        <w:t xml:space="preserve">Клиническая симптоматика 307 </w:t>
      </w:r>
      <w:r>
        <w:rPr>
          <w:lang w:val="ru-RU" w:eastAsia="ru-RU" w:bidi="ru-RU"/>
          <w:w w:val="100"/>
          <w:spacing w:val="0"/>
          <w:color w:val="000000"/>
          <w:position w:val="0"/>
        </w:rPr>
        <w:t>Триада Бека 307 Парадоксальный пульс 307</w:t>
      </w:r>
    </w:p>
    <w:p>
      <w:pPr>
        <w:pStyle w:val="Style30"/>
        <w:widowControl w:val="0"/>
        <w:keepNext w:val="0"/>
        <w:keepLines w:val="0"/>
        <w:shd w:val="clear" w:color="auto" w:fill="auto"/>
        <w:bidi w:val="0"/>
        <w:jc w:val="left"/>
        <w:spacing w:before="0" w:after="0"/>
        <w:ind w:left="280" w:right="1460" w:firstLine="220"/>
      </w:pPr>
      <w:r>
        <w:br w:type="column"/>
      </w:r>
      <w:r>
        <w:rPr>
          <w:lang w:val="ru-RU" w:eastAsia="ru-RU" w:bidi="ru-RU"/>
          <w:w w:val="100"/>
          <w:spacing w:val="0"/>
          <w:color w:val="000000"/>
          <w:position w:val="0"/>
        </w:rPr>
        <w:t xml:space="preserve">Инструментальная диагностика 307 </w:t>
      </w:r>
      <w:r>
        <w:rPr>
          <w:rStyle w:val="CharStyle103"/>
        </w:rPr>
        <w:t xml:space="preserve">Электрокардиография 307 Рентгенография 307 Эхокардиография 308 </w:t>
      </w:r>
      <w:r>
        <w:rPr>
          <w:lang w:val="ru-RU" w:eastAsia="ru-RU" w:bidi="ru-RU"/>
          <w:w w:val="100"/>
          <w:spacing w:val="0"/>
          <w:color w:val="000000"/>
          <w:position w:val="0"/>
        </w:rPr>
        <w:t xml:space="preserve">Лечение 308 </w:t>
      </w:r>
      <w:r>
        <w:rPr>
          <w:rStyle w:val="CharStyle103"/>
        </w:rPr>
        <w:t xml:space="preserve">Перикардиоцентез 308 </w:t>
      </w:r>
      <w:r>
        <w:rPr>
          <w:lang w:val="ru-RU" w:eastAsia="ru-RU" w:bidi="ru-RU"/>
          <w:w w:val="100"/>
          <w:spacing w:val="0"/>
          <w:color w:val="000000"/>
          <w:position w:val="0"/>
        </w:rPr>
        <w:t>Констриктивный перикардит 308 Этиология 308 Морфология 310 Патогенез 310</w:t>
      </w:r>
    </w:p>
    <w:p>
      <w:pPr>
        <w:pStyle w:val="Style30"/>
        <w:widowControl w:val="0"/>
        <w:keepNext w:val="0"/>
        <w:keepLines w:val="0"/>
        <w:shd w:val="clear" w:color="auto" w:fill="auto"/>
        <w:bidi w:val="0"/>
        <w:jc w:val="left"/>
        <w:spacing w:before="0" w:after="0"/>
        <w:ind w:left="280" w:right="0" w:firstLine="220"/>
      </w:pPr>
      <w:r>
        <w:rPr>
          <w:lang w:val="ru-RU" w:eastAsia="ru-RU" w:bidi="ru-RU"/>
          <w:w w:val="100"/>
          <w:spacing w:val="0"/>
          <w:color w:val="000000"/>
          <w:position w:val="0"/>
        </w:rPr>
        <w:t xml:space="preserve">Анамнез, клиническая симптоматика 310 </w:t>
      </w:r>
      <w:r>
        <w:rPr>
          <w:rStyle w:val="CharStyle103"/>
        </w:rPr>
        <w:t xml:space="preserve">Признаки повышения системного венозного давления 311 </w:t>
      </w:r>
      <w:r>
        <w:rPr>
          <w:lang w:val="ru-RU" w:eastAsia="ru-RU" w:bidi="ru-RU"/>
          <w:w w:val="100"/>
          <w:spacing w:val="0"/>
          <w:color w:val="000000"/>
          <w:position w:val="0"/>
        </w:rPr>
        <w:t xml:space="preserve">Инструментальная диагностика 311 </w:t>
      </w:r>
      <w:r>
        <w:rPr>
          <w:rStyle w:val="CharStyle103"/>
        </w:rPr>
        <w:t xml:space="preserve">Электрокардиография 311 Рентгенография 312 Допплерэхокардиография 312 </w:t>
      </w:r>
      <w:r>
        <w:rPr>
          <w:lang w:val="ru-RU" w:eastAsia="ru-RU" w:bidi="ru-RU"/>
          <w:w w:val="100"/>
          <w:spacing w:val="0"/>
          <w:color w:val="000000"/>
          <w:position w:val="0"/>
        </w:rPr>
        <w:t xml:space="preserve">Дифференциальная диагностика 312 Лечение 312 </w:t>
      </w:r>
      <w:r>
        <w:rPr>
          <w:rStyle w:val="CharStyle103"/>
        </w:rPr>
        <w:t xml:space="preserve">Перикардэктомия 312 </w:t>
      </w:r>
      <w:r>
        <w:rPr>
          <w:lang w:val="ru-RU" w:eastAsia="ru-RU" w:bidi="ru-RU"/>
          <w:w w:val="100"/>
          <w:spacing w:val="0"/>
          <w:color w:val="000000"/>
          <w:position w:val="0"/>
        </w:rPr>
        <w:t>Отдельные формы перикардитов 312 Аллергические перикардиты 317 Аутоагрессивные (альтерогенные) перикардиты 317 Вирусные перикардиты 312 Гидроперикард 318 Гидроперикард при гипотиреозе 318 Гнойный перикардит 314 Грибковые перикардиты 316 Иммуногенные перикардиты 317 Ксантоматозный (холестериновый) перикардит 318 Лучевые перикардиты 317 Паразитарные поражения перикарда 318 Перикардит при острых лейкозах 316 Перикардит при ревматоидном артрите 318 Перикардит при системной красной волчанке 317 Перикардит при склеродермии 318 Протозойные перикардиты 316 Ревматический перикардит 314 Риккетсиозные перикардиты 316 Травматический перикардит 316 Туберкулезный перикардит 316 Уремический перикардит 317 Хилоперикард 318</w:t>
      </w:r>
    </w:p>
    <w:p>
      <w:pPr>
        <w:pStyle w:val="Style30"/>
        <w:widowControl w:val="0"/>
        <w:keepNext w:val="0"/>
        <w:keepLines w:val="0"/>
        <w:shd w:val="clear" w:color="auto" w:fill="auto"/>
        <w:bidi w:val="0"/>
        <w:jc w:val="left"/>
        <w:spacing w:before="0" w:after="0"/>
        <w:ind w:left="0" w:right="0" w:firstLine="500"/>
      </w:pPr>
      <w:r>
        <w:rPr>
          <w:lang w:val="ru-RU" w:eastAsia="ru-RU" w:bidi="ru-RU"/>
          <w:w w:val="100"/>
          <w:spacing w:val="0"/>
          <w:color w:val="000000"/>
          <w:position w:val="0"/>
        </w:rPr>
        <w:t>Эпистенокардический перикардит 316 Перимембранозный дефект межжелудочковой перегород</w:t>
        <w:softHyphen/>
        <w:t>ки 86</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Персистирующая легочная гипертензия новорожденных 352 Плацентарная циркуляция 14 Пограничная легочная гипертензия 356 Подклапанный стеноз аорты 144 Поздний систолический шум 21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Показания к проведению пренатальной диагностики 76 Полная атриовентрикулярная блокада 529 Полный (тотальный) аномальный дренаж легочных вен 125 Поражение миокарда при нервно-мышечных заболеваниях 416</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Поражение сердца при наследственных заболеваниях 395 Поражение сердца при наследственных заболеваниях соединительной ткани 404</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Поражение сердца при наследственных нарушениях обмена веществ 395</w:t>
      </w:r>
    </w:p>
    <w:p>
      <w:pPr>
        <w:pStyle w:val="Style30"/>
        <w:widowControl w:val="0"/>
        <w:keepNext w:val="0"/>
        <w:keepLines w:val="0"/>
        <w:shd w:val="clear" w:color="auto" w:fill="auto"/>
        <w:bidi w:val="0"/>
        <w:jc w:val="left"/>
        <w:spacing w:before="0" w:after="0"/>
        <w:ind w:left="0" w:right="0" w:firstLine="0"/>
      </w:pPr>
      <w:r>
        <w:pict>
          <v:shape id="_x0000_s2185" type="#_x0000_t75" style="position:absolute;margin-left:147.6pt;margin-top:736.55pt;width:209.75pt;height:14.9pt;z-index:-125828727;mso-wrap-distance-left:147.35pt;mso-wrap-distance-right:136.8pt;mso-wrap-distance-bottom:10.8pt;mso-position-horizontal-relative:margin;mso-position-vertical-relative:margin" wrapcoords="0 0 21600 0 21600 21600 0 21600 0 0">
            <v:imagedata r:id="rId1492" r:href="rId1493"/>
            <w10:wrap type="topAndBottom" anchorx="margin" anchory="margin"/>
          </v:shape>
        </w:pict>
      </w:r>
      <w:r>
        <w:rPr>
          <w:lang w:val="ru-RU" w:eastAsia="ru-RU" w:bidi="ru-RU"/>
          <w:w w:val="100"/>
          <w:spacing w:val="0"/>
          <w:color w:val="000000"/>
          <w:position w:val="0"/>
        </w:rPr>
        <w:t>Поражение эндокарда при карциноидной болезни 302 Пороки аортального клапана 202</w:t>
      </w:r>
      <w:r>
        <w:br w:type="page"/>
      </w:r>
    </w:p>
    <w:p>
      <w:pPr>
        <w:pStyle w:val="Style30"/>
        <w:widowControl w:val="0"/>
        <w:keepNext w:val="0"/>
        <w:keepLines w:val="0"/>
        <w:shd w:val="clear" w:color="auto" w:fill="auto"/>
        <w:bidi w:val="0"/>
        <w:jc w:val="left"/>
        <w:spacing w:before="0" w:after="0"/>
        <w:ind w:left="0" w:right="2080" w:firstLine="0"/>
      </w:pPr>
      <w:r>
        <w:rPr>
          <w:lang w:val="ru-RU" w:eastAsia="ru-RU" w:bidi="ru-RU"/>
          <w:w w:val="100"/>
          <w:spacing w:val="0"/>
          <w:color w:val="000000"/>
          <w:position w:val="0"/>
        </w:rPr>
        <w:t>Пороки митрального клапана 172 Пороки развития перикарда 320 Кисты перикарда 320</w:t>
      </w:r>
    </w:p>
    <w:p>
      <w:pPr>
        <w:pStyle w:val="Style30"/>
        <w:widowControl w:val="0"/>
        <w:keepNext w:val="0"/>
        <w:keepLines w:val="0"/>
        <w:shd w:val="clear" w:color="auto" w:fill="auto"/>
        <w:bidi w:val="0"/>
        <w:jc w:val="left"/>
        <w:spacing w:before="0" w:after="0"/>
        <w:ind w:left="0" w:right="0" w:firstLine="280"/>
      </w:pPr>
      <w:r>
        <w:rPr>
          <w:lang w:val="ru-RU" w:eastAsia="ru-RU" w:bidi="ru-RU"/>
          <w:w w:val="100"/>
          <w:spacing w:val="0"/>
          <w:color w:val="000000"/>
          <w:position w:val="0"/>
        </w:rPr>
        <w:t>Целомические кисты и дивертикулы перикарда 320 Пороки развития сердца, связанные с мутациями единичных генов 60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Предсердная эктопическая тахикардия 498 Преждевременное возбуждение 31 Преждевременное риэнтри (см. Риэнтри) Преждевременное сокращение желудочков (желудочковая экстрасистолия) 487</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Пренатальная диагностика врожденных пороков сердца 76 Принципы оценки риска возникновения врожденных пороков сердца 56</w:t>
      </w:r>
    </w:p>
    <w:p>
      <w:pPr>
        <w:pStyle w:val="Style30"/>
        <w:tabs>
          <w:tab w:leader="none" w:pos="2266" w:val="left"/>
          <w:tab w:leader="none" w:pos="3864" w:val="left"/>
        </w:tabs>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Прогрессирующая</w:t>
        <w:tab/>
        <w:t>мышечная</w:t>
        <w:tab/>
        <w:t>дистрофия</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Дюшенна/Беккера 419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Прогрессирующая мышечная дистрофия Эмери- Дрейфусса 426 Продольная диссоциация 31 Пролапс митрального клапана 182</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Пролапс митрального клапана и аномалия Эбштейна 199 Пролапс митрального клапана и аномальное отхождение левой коронарной артерии от легочной артерии 200 Пролапс митрального клапана и гипертрофическая кардиомиопатия 200</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Пролапс митрального клапана и дефект межпредсердной перегородки 199</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Пролапс митрального клапана и инсульт 201</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Пролапс митрального клапана и наследственные синдромы</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201</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Пролапс митрального клапана и нейроциркуляторная дистония 201</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Пролапс митрального клапана и ревматизм 200</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Пролапс митрального клапана и ювенильный гипертиреоз</w:t>
      </w:r>
    </w:p>
    <w:p>
      <w:pPr>
        <w:pStyle w:val="Style30"/>
        <w:widowControl w:val="0"/>
        <w:keepNext w:val="0"/>
        <w:keepLines w:val="0"/>
        <w:shd w:val="clear" w:color="auto" w:fill="auto"/>
        <w:bidi w:val="0"/>
        <w:spacing w:before="0" w:after="0"/>
        <w:ind w:left="0" w:right="0" w:firstLine="0"/>
      </w:pPr>
      <w:r>
        <w:rPr>
          <w:lang w:val="ru-RU" w:eastAsia="ru-RU" w:bidi="ru-RU"/>
          <w:w w:val="100"/>
          <w:spacing w:val="0"/>
          <w:color w:val="000000"/>
          <w:position w:val="0"/>
        </w:rPr>
        <w:t>200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Протодиастолический ритм галопа 20 Профилактические мероприятия, направленные на снижение риска возникновения врожденных пороков сердца у детей 74 Пульс 21</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 xml:space="preserve">Paltemans </w:t>
      </w:r>
      <w:r>
        <w:rPr>
          <w:lang w:val="ru-RU" w:eastAsia="ru-RU" w:bidi="ru-RU"/>
          <w:w w:val="100"/>
          <w:spacing w:val="0"/>
          <w:color w:val="000000"/>
          <w:position w:val="0"/>
        </w:rPr>
        <w:t xml:space="preserve">21 </w:t>
      </w:r>
      <w:r>
        <w:rPr>
          <w:lang w:val="en-US" w:eastAsia="en-US" w:bidi="en-US"/>
          <w:w w:val="100"/>
          <w:spacing w:val="0"/>
          <w:color w:val="000000"/>
          <w:position w:val="0"/>
        </w:rPr>
        <w:t xml:space="preserve">Parhytmicus </w:t>
      </w:r>
      <w:r>
        <w:rPr>
          <w:lang w:val="ru-RU" w:eastAsia="ru-RU" w:bidi="ru-RU"/>
          <w:w w:val="100"/>
          <w:spacing w:val="0"/>
          <w:color w:val="000000"/>
          <w:position w:val="0"/>
        </w:rPr>
        <w:t>21</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 xml:space="preserve">Pbigeminus </w:t>
      </w:r>
      <w:r>
        <w:rPr>
          <w:lang w:val="ru-RU" w:eastAsia="ru-RU" w:bidi="ru-RU"/>
          <w:w w:val="100"/>
          <w:spacing w:val="0"/>
          <w:color w:val="000000"/>
          <w:position w:val="0"/>
        </w:rPr>
        <w:t xml:space="preserve">(син. пульс Траубе) 21 </w:t>
      </w:r>
      <w:r>
        <w:rPr>
          <w:lang w:val="en-US" w:eastAsia="en-US" w:bidi="en-US"/>
          <w:w w:val="100"/>
          <w:spacing w:val="0"/>
          <w:color w:val="000000"/>
          <w:position w:val="0"/>
        </w:rPr>
        <w:t xml:space="preserve">Pcaprizans </w:t>
      </w:r>
      <w:r>
        <w:rPr>
          <w:lang w:val="ru-RU" w:eastAsia="ru-RU" w:bidi="ru-RU"/>
          <w:w w:val="100"/>
          <w:spacing w:val="0"/>
          <w:color w:val="000000"/>
          <w:position w:val="0"/>
        </w:rPr>
        <w:t>21</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 xml:space="preserve">Pceler </w:t>
      </w:r>
      <w:r>
        <w:rPr>
          <w:lang w:val="ru-RU" w:eastAsia="ru-RU" w:bidi="ru-RU"/>
          <w:w w:val="100"/>
          <w:spacing w:val="0"/>
          <w:color w:val="000000"/>
          <w:position w:val="0"/>
        </w:rPr>
        <w:t>(син. Гризингера — Куссмауля пульс, Корригана</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пульс) 21</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 xml:space="preserve">Pdebilis </w:t>
      </w:r>
      <w:r>
        <w:rPr>
          <w:lang w:val="ru-RU" w:eastAsia="ru-RU" w:bidi="ru-RU"/>
          <w:w w:val="100"/>
          <w:spacing w:val="0"/>
          <w:color w:val="000000"/>
          <w:position w:val="0"/>
        </w:rPr>
        <w:t>21</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 xml:space="preserve">Pdeficiens </w:t>
      </w:r>
      <w:r>
        <w:rPr>
          <w:lang w:val="ru-RU" w:eastAsia="ru-RU" w:bidi="ru-RU"/>
          <w:w w:val="100"/>
          <w:spacing w:val="0"/>
          <w:color w:val="000000"/>
          <w:position w:val="0"/>
        </w:rPr>
        <w:t>21</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 xml:space="preserve">Pdicroticus </w:t>
      </w:r>
      <w:r>
        <w:rPr>
          <w:lang w:val="ru-RU" w:eastAsia="ru-RU" w:bidi="ru-RU"/>
          <w:w w:val="100"/>
          <w:spacing w:val="0"/>
          <w:color w:val="000000"/>
          <w:position w:val="0"/>
        </w:rPr>
        <w:t>21</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Pdifferens 21</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Pdurus 21</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Pffloformus 21</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Pfortis 21</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Pfrequens 21</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P.inaequalis 22</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Pinanis (P.vacuus) 22</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P.incidens 22</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Pintercurrens 22</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Pintermittens 22</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Pirregularis 22</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Pirregularis perpetuus 22</w:t>
      </w:r>
    </w:p>
    <w:p>
      <w:pPr>
        <w:pStyle w:val="Style30"/>
        <w:widowControl w:val="0"/>
        <w:keepNext w:val="0"/>
        <w:keepLines w:val="0"/>
        <w:shd w:val="clear" w:color="auto" w:fill="auto"/>
        <w:bidi w:val="0"/>
        <w:jc w:val="left"/>
        <w:spacing w:before="0" w:after="0"/>
        <w:ind w:left="280" w:right="0" w:firstLine="0"/>
      </w:pPr>
      <w:r>
        <w:rPr>
          <w:lang w:val="en-US" w:eastAsia="en-US" w:bidi="en-US"/>
          <w:w w:val="100"/>
          <w:spacing w:val="0"/>
          <w:color w:val="000000"/>
          <w:position w:val="0"/>
        </w:rPr>
        <w:t>Pmagnus 22</w:t>
      </w:r>
    </w:p>
    <w:p>
      <w:pPr>
        <w:pStyle w:val="Style30"/>
        <w:widowControl w:val="0"/>
        <w:keepNext w:val="0"/>
        <w:keepLines w:val="0"/>
        <w:shd w:val="clear" w:color="auto" w:fill="auto"/>
        <w:bidi w:val="0"/>
        <w:jc w:val="left"/>
        <w:spacing w:before="0" w:after="0"/>
        <w:ind w:left="260" w:right="0" w:firstLine="0"/>
      </w:pPr>
      <w:r>
        <w:br w:type="column"/>
      </w:r>
      <w:r>
        <w:rPr>
          <w:lang w:val="en-US" w:eastAsia="en-US" w:bidi="en-US"/>
          <w:w w:val="100"/>
          <w:spacing w:val="0"/>
          <w:color w:val="000000"/>
          <w:position w:val="0"/>
        </w:rPr>
        <w:t>Pmollis 22</w:t>
      </w:r>
    </w:p>
    <w:p>
      <w:pPr>
        <w:pStyle w:val="Style30"/>
        <w:widowControl w:val="0"/>
        <w:keepNext w:val="0"/>
        <w:keepLines w:val="0"/>
        <w:shd w:val="clear" w:color="auto" w:fill="auto"/>
        <w:bidi w:val="0"/>
        <w:jc w:val="left"/>
        <w:spacing w:before="0" w:after="0"/>
        <w:ind w:left="260" w:right="1640" w:firstLine="0"/>
      </w:pPr>
      <w:r>
        <w:rPr>
          <w:lang w:val="en-US" w:eastAsia="en-US" w:bidi="en-US"/>
          <w:w w:val="100"/>
          <w:spacing w:val="0"/>
          <w:color w:val="000000"/>
          <w:position w:val="0"/>
        </w:rPr>
        <w:t>Pmyurus recurrens 22 Poppressus 22 P^arvus 22 Pplenus 22</w:t>
      </w:r>
    </w:p>
    <w:p>
      <w:pPr>
        <w:pStyle w:val="Style30"/>
        <w:widowControl w:val="0"/>
        <w:keepNext w:val="0"/>
        <w:keepLines w:val="0"/>
        <w:shd w:val="clear" w:color="auto" w:fill="auto"/>
        <w:bidi w:val="0"/>
        <w:jc w:val="left"/>
        <w:spacing w:before="0" w:after="0"/>
        <w:ind w:left="260" w:right="0" w:firstLine="0"/>
      </w:pPr>
      <w:r>
        <w:rPr>
          <w:lang w:val="en-US" w:eastAsia="en-US" w:bidi="en-US"/>
          <w:w w:val="100"/>
          <w:spacing w:val="0"/>
          <w:color w:val="000000"/>
          <w:position w:val="0"/>
        </w:rPr>
        <w:t xml:space="preserve">Pparadoxus </w:t>
      </w:r>
      <w:r>
        <w:rPr>
          <w:lang w:val="ru-RU" w:eastAsia="ru-RU" w:bidi="ru-RU"/>
          <w:w w:val="100"/>
          <w:spacing w:val="0"/>
          <w:color w:val="000000"/>
          <w:position w:val="0"/>
        </w:rPr>
        <w:t xml:space="preserve">(см. Пульс Кусмауля) </w:t>
      </w:r>
      <w:r>
        <w:rPr>
          <w:lang w:val="en-US" w:eastAsia="en-US" w:bidi="en-US"/>
          <w:w w:val="100"/>
          <w:spacing w:val="0"/>
          <w:color w:val="000000"/>
          <w:position w:val="0"/>
        </w:rPr>
        <w:t>22</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пульс Кусмауля 22</w:t>
      </w:r>
    </w:p>
    <w:p>
      <w:pPr>
        <w:pStyle w:val="Style30"/>
        <w:widowControl w:val="0"/>
        <w:keepNext w:val="0"/>
        <w:keepLines w:val="0"/>
        <w:shd w:val="clear" w:color="auto" w:fill="auto"/>
        <w:bidi w:val="0"/>
        <w:jc w:val="left"/>
        <w:spacing w:before="0" w:after="0"/>
        <w:ind w:left="260" w:right="0" w:firstLine="0"/>
      </w:pPr>
      <w:r>
        <w:rPr>
          <w:lang w:val="en-US" w:eastAsia="en-US" w:bidi="en-US"/>
          <w:w w:val="100"/>
          <w:spacing w:val="0"/>
          <w:color w:val="000000"/>
          <w:position w:val="0"/>
        </w:rPr>
        <w:t>Pparvus 22</w:t>
      </w:r>
    </w:p>
    <w:p>
      <w:pPr>
        <w:pStyle w:val="Style30"/>
        <w:widowControl w:val="0"/>
        <w:keepNext w:val="0"/>
        <w:keepLines w:val="0"/>
        <w:shd w:val="clear" w:color="auto" w:fill="auto"/>
        <w:bidi w:val="0"/>
        <w:jc w:val="left"/>
        <w:spacing w:before="0" w:after="0"/>
        <w:ind w:left="260" w:right="0" w:firstLine="0"/>
      </w:pPr>
      <w:r>
        <w:rPr>
          <w:lang w:val="en-US" w:eastAsia="en-US" w:bidi="en-US"/>
          <w:w w:val="100"/>
          <w:spacing w:val="0"/>
          <w:color w:val="000000"/>
          <w:position w:val="0"/>
        </w:rPr>
        <w:t>Prarus 22</w:t>
      </w:r>
    </w:p>
    <w:p>
      <w:pPr>
        <w:pStyle w:val="Style30"/>
        <w:widowControl w:val="0"/>
        <w:keepNext w:val="0"/>
        <w:keepLines w:val="0"/>
        <w:shd w:val="clear" w:color="auto" w:fill="auto"/>
        <w:bidi w:val="0"/>
        <w:jc w:val="left"/>
        <w:spacing w:before="0" w:after="0"/>
        <w:ind w:left="260" w:right="0" w:firstLine="0"/>
      </w:pPr>
      <w:r>
        <w:rPr>
          <w:lang w:val="en-US" w:eastAsia="en-US" w:bidi="en-US"/>
          <w:w w:val="100"/>
          <w:spacing w:val="0"/>
          <w:color w:val="000000"/>
          <w:position w:val="0"/>
        </w:rPr>
        <w:t>Prespiratorius 22</w:t>
      </w:r>
    </w:p>
    <w:p>
      <w:pPr>
        <w:pStyle w:val="Style30"/>
        <w:widowControl w:val="0"/>
        <w:keepNext w:val="0"/>
        <w:keepLines w:val="0"/>
        <w:shd w:val="clear" w:color="auto" w:fill="auto"/>
        <w:bidi w:val="0"/>
        <w:jc w:val="left"/>
        <w:spacing w:before="0" w:after="0"/>
        <w:ind w:left="260" w:right="0" w:firstLine="0"/>
      </w:pPr>
      <w:r>
        <w:rPr>
          <w:lang w:val="en-US" w:eastAsia="en-US" w:bidi="en-US"/>
          <w:w w:val="100"/>
          <w:spacing w:val="0"/>
          <w:color w:val="000000"/>
          <w:position w:val="0"/>
        </w:rPr>
        <w:t>Psaliens 22</w:t>
      </w:r>
    </w:p>
    <w:p>
      <w:pPr>
        <w:pStyle w:val="Style30"/>
        <w:widowControl w:val="0"/>
        <w:keepNext w:val="0"/>
        <w:keepLines w:val="0"/>
        <w:shd w:val="clear" w:color="auto" w:fill="auto"/>
        <w:bidi w:val="0"/>
        <w:jc w:val="left"/>
        <w:spacing w:before="0" w:after="0"/>
        <w:ind w:left="260" w:right="0" w:firstLine="0"/>
      </w:pPr>
      <w:r>
        <w:rPr>
          <w:lang w:val="en-US" w:eastAsia="en-US" w:bidi="en-US"/>
          <w:w w:val="100"/>
          <w:spacing w:val="0"/>
          <w:color w:val="000000"/>
          <w:position w:val="0"/>
        </w:rPr>
        <w:t>Ptardus 22</w:t>
      </w:r>
    </w:p>
    <w:p>
      <w:pPr>
        <w:pStyle w:val="Style30"/>
        <w:widowControl w:val="0"/>
        <w:keepNext w:val="0"/>
        <w:keepLines w:val="0"/>
        <w:shd w:val="clear" w:color="auto" w:fill="auto"/>
        <w:bidi w:val="0"/>
        <w:jc w:val="left"/>
        <w:spacing w:before="0" w:after="0"/>
        <w:ind w:left="260" w:right="0" w:firstLine="0"/>
      </w:pPr>
      <w:r>
        <w:rPr>
          <w:lang w:val="en-US" w:eastAsia="en-US" w:bidi="en-US"/>
          <w:w w:val="100"/>
          <w:spacing w:val="0"/>
          <w:color w:val="000000"/>
          <w:position w:val="0"/>
        </w:rPr>
        <w:t>Ptremulus 22</w:t>
      </w:r>
    </w:p>
    <w:p>
      <w:pPr>
        <w:pStyle w:val="Style30"/>
        <w:widowControl w:val="0"/>
        <w:keepNext w:val="0"/>
        <w:keepLines w:val="0"/>
        <w:shd w:val="clear" w:color="auto" w:fill="auto"/>
        <w:bidi w:val="0"/>
        <w:jc w:val="left"/>
        <w:spacing w:before="0" w:after="0"/>
        <w:ind w:left="260" w:right="0" w:firstLine="0"/>
      </w:pPr>
      <w:r>
        <w:rPr>
          <w:lang w:val="en-US" w:eastAsia="en-US" w:bidi="en-US"/>
          <w:w w:val="100"/>
          <w:spacing w:val="0"/>
          <w:color w:val="000000"/>
          <w:position w:val="0"/>
        </w:rPr>
        <w:t>Ptrigeminus 22</w:t>
      </w:r>
    </w:p>
    <w:p>
      <w:pPr>
        <w:pStyle w:val="Style30"/>
        <w:widowControl w:val="0"/>
        <w:keepNext w:val="0"/>
        <w:keepLines w:val="0"/>
        <w:shd w:val="clear" w:color="auto" w:fill="auto"/>
        <w:bidi w:val="0"/>
        <w:jc w:val="left"/>
        <w:spacing w:before="0" w:after="0"/>
        <w:ind w:left="260" w:right="0" w:firstLine="0"/>
      </w:pPr>
      <w:r>
        <w:rPr>
          <w:lang w:val="en-US" w:eastAsia="en-US" w:bidi="en-US"/>
          <w:w w:val="100"/>
          <w:spacing w:val="0"/>
          <w:color w:val="000000"/>
          <w:position w:val="0"/>
        </w:rPr>
        <w:t>Pundulans 22</w:t>
      </w:r>
    </w:p>
    <w:p>
      <w:pPr>
        <w:pStyle w:val="Style30"/>
        <w:widowControl w:val="0"/>
        <w:keepNext w:val="0"/>
        <w:keepLines w:val="0"/>
        <w:shd w:val="clear" w:color="auto" w:fill="auto"/>
        <w:bidi w:val="0"/>
        <w:jc w:val="left"/>
        <w:spacing w:before="0" w:after="0"/>
        <w:ind w:left="260" w:right="0" w:firstLine="0"/>
      </w:pPr>
      <w:r>
        <w:rPr>
          <w:lang w:val="en-US" w:eastAsia="en-US" w:bidi="en-US"/>
          <w:w w:val="100"/>
          <w:spacing w:val="0"/>
          <w:color w:val="000000"/>
          <w:position w:val="0"/>
        </w:rPr>
        <w:t>Pvibrans 22</w:t>
      </w:r>
    </w:p>
    <w:p>
      <w:pPr>
        <w:pStyle w:val="Style30"/>
        <w:widowControl w:val="0"/>
        <w:keepNext w:val="0"/>
        <w:keepLines w:val="0"/>
        <w:shd w:val="clear" w:color="auto" w:fill="auto"/>
        <w:bidi w:val="0"/>
        <w:jc w:val="left"/>
        <w:spacing w:before="0" w:after="0" w:line="461" w:lineRule="exact"/>
        <w:ind w:left="0" w:right="0" w:firstLine="0"/>
      </w:pPr>
      <w:r>
        <w:rPr>
          <w:lang w:val="ru-RU" w:eastAsia="ru-RU" w:bidi="ru-RU"/>
          <w:w w:val="100"/>
          <w:spacing w:val="0"/>
          <w:color w:val="000000"/>
          <w:position w:val="0"/>
        </w:rPr>
        <w:t xml:space="preserve">Пульсация легочной артерии </w:t>
      </w:r>
      <w:r>
        <w:rPr>
          <w:lang w:val="en-US" w:eastAsia="en-US" w:bidi="en-US"/>
          <w:w w:val="100"/>
          <w:spacing w:val="0"/>
          <w:color w:val="000000"/>
          <w:position w:val="0"/>
        </w:rPr>
        <w:t>19</w:t>
      </w:r>
    </w:p>
    <w:p>
      <w:pPr>
        <w:pStyle w:val="Style11"/>
        <w:widowControl w:val="0"/>
        <w:keepNext w:val="0"/>
        <w:keepLines w:val="0"/>
        <w:shd w:val="clear" w:color="auto" w:fill="auto"/>
        <w:bidi w:val="0"/>
        <w:jc w:val="left"/>
        <w:spacing w:before="0" w:after="0" w:line="461" w:lineRule="exact"/>
        <w:ind w:left="0" w:right="0" w:firstLine="0"/>
      </w:pPr>
      <w:r>
        <w:rPr>
          <w:lang w:val="ru-RU" w:eastAsia="ru-RU" w:bidi="ru-RU"/>
          <w:w w:val="100"/>
          <w:spacing w:val="0"/>
          <w:color w:val="000000"/>
          <w:position w:val="0"/>
        </w:rPr>
        <w:t>Р</w:t>
      </w:r>
    </w:p>
    <w:p>
      <w:pPr>
        <w:pStyle w:val="Style30"/>
        <w:widowControl w:val="0"/>
        <w:keepNext w:val="0"/>
        <w:keepLines w:val="0"/>
        <w:shd w:val="clear" w:color="auto" w:fill="auto"/>
        <w:bidi w:val="0"/>
        <w:jc w:val="left"/>
        <w:spacing w:before="0" w:after="0"/>
        <w:ind w:left="0" w:right="520" w:firstLine="0"/>
      </w:pPr>
      <w:r>
        <w:rPr>
          <w:lang w:val="ru-RU" w:eastAsia="ru-RU" w:bidi="ru-RU"/>
          <w:w w:val="100"/>
          <w:spacing w:val="0"/>
          <w:color w:val="000000"/>
          <w:position w:val="0"/>
        </w:rPr>
        <w:t xml:space="preserve">Рабдомиома при туберозном склерозе 439 Рабдомиома сердца 437 Рабдомиосаркома 447 Раздвоение (расщепление) первого тона 20 Ранний диастолический шум 21 Ранний систолический шум 21 Распространенность врожденных пороков сердца 54 Расщепление (раздвоение) </w:t>
      </w:r>
      <w:r>
        <w:rPr>
          <w:lang w:val="en-US" w:eastAsia="en-US" w:bidi="en-US"/>
          <w:w w:val="100"/>
          <w:spacing w:val="0"/>
          <w:color w:val="000000"/>
          <w:position w:val="0"/>
        </w:rPr>
        <w:t xml:space="preserve">II </w:t>
      </w:r>
      <w:r>
        <w:rPr>
          <w:lang w:val="ru-RU" w:eastAsia="ru-RU" w:bidi="ru-RU"/>
          <w:w w:val="100"/>
          <w:spacing w:val="0"/>
          <w:color w:val="000000"/>
          <w:position w:val="0"/>
        </w:rPr>
        <w:t>тона 20 Ревматизм 274</w:t>
      </w:r>
    </w:p>
    <w:p>
      <w:pPr>
        <w:pStyle w:val="Style30"/>
        <w:widowControl w:val="0"/>
        <w:keepNext w:val="0"/>
        <w:keepLines w:val="0"/>
        <w:shd w:val="clear" w:color="auto" w:fill="auto"/>
        <w:bidi w:val="0"/>
        <w:jc w:val="left"/>
        <w:spacing w:before="0" w:after="185"/>
        <w:ind w:left="0" w:right="520" w:firstLine="0"/>
      </w:pPr>
      <w:r>
        <w:rPr>
          <w:lang w:val="ru-RU" w:eastAsia="ru-RU" w:bidi="ru-RU"/>
          <w:w w:val="100"/>
          <w:spacing w:val="0"/>
          <w:color w:val="000000"/>
          <w:position w:val="0"/>
        </w:rPr>
        <w:t>Рентгенографические симптомы и признаки 33 Дилатация левого предсердия 34 Дилатация левого желудочка 34 Дилатация дуги аорты 34 Дилатация правого предсердия 34 Дилатация правого желудочка 34 Вестермарка симптом 34 Висячее сердце 34 Денеке симптом 34 Детермана признак 34 «Коромысла» симптом 34 Мироненко симптом 34 Оливер-Кардарелли симптом 34 Пляска гилюсов 34 Рестриктивная кардиомиопатия 260 Ритма галопа симптом 20</w:t>
      </w:r>
    </w:p>
    <w:p>
      <w:pPr>
        <w:pStyle w:val="Style11"/>
        <w:widowControl w:val="0"/>
        <w:keepNext w:val="0"/>
        <w:keepLines w:val="0"/>
        <w:shd w:val="clear" w:color="auto" w:fill="auto"/>
        <w:bidi w:val="0"/>
        <w:jc w:val="left"/>
        <w:spacing w:before="0" w:after="49" w:line="210" w:lineRule="exact"/>
        <w:ind w:left="0" w:right="0" w:firstLine="0"/>
      </w:pPr>
      <w:r>
        <w:rPr>
          <w:lang w:val="ru-RU" w:eastAsia="ru-RU" w:bidi="ru-RU"/>
          <w:w w:val="100"/>
          <w:spacing w:val="0"/>
          <w:color w:val="000000"/>
          <w:position w:val="0"/>
        </w:rPr>
        <w:t>С</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Саркоидоз 268</w:t>
      </w:r>
    </w:p>
    <w:p>
      <w:pPr>
        <w:pStyle w:val="Style30"/>
        <w:widowControl w:val="0"/>
        <w:keepNext w:val="0"/>
        <w:keepLines w:val="0"/>
        <w:shd w:val="clear" w:color="auto" w:fill="auto"/>
        <w:bidi w:val="0"/>
        <w:jc w:val="left"/>
        <w:spacing w:before="0" w:after="0"/>
        <w:ind w:left="0" w:right="520" w:firstLine="0"/>
      </w:pPr>
      <w:r>
        <w:rPr>
          <w:lang w:val="ru-RU" w:eastAsia="ru-RU" w:bidi="ru-RU"/>
          <w:w w:val="100"/>
          <w:spacing w:val="0"/>
          <w:color w:val="000000"/>
          <w:position w:val="0"/>
        </w:rPr>
        <w:t xml:space="preserve">Семейная дисфибриногенемия 390 Семейный анамнез 16 Семиотика в кардиологии 41 Сердечная недостаточность 550 Сердечный горб </w:t>
      </w:r>
      <w:r>
        <w:rPr>
          <w:lang w:val="en-US" w:eastAsia="en-US" w:bidi="en-US"/>
          <w:w w:val="100"/>
          <w:spacing w:val="0"/>
          <w:color w:val="000000"/>
          <w:position w:val="0"/>
        </w:rPr>
        <w:t xml:space="preserve">(gibbus cardiacus) </w:t>
      </w:r>
      <w:r>
        <w:rPr>
          <w:lang w:val="ru-RU" w:eastAsia="ru-RU" w:bidi="ru-RU"/>
          <w:w w:val="100"/>
          <w:spacing w:val="0"/>
          <w:color w:val="000000"/>
          <w:position w:val="0"/>
        </w:rPr>
        <w:t xml:space="preserve">19 Симптом </w:t>
      </w:r>
      <w:r>
        <w:rPr>
          <w:lang w:val="en-US" w:eastAsia="en-US" w:bidi="en-US"/>
          <w:w w:val="100"/>
          <w:spacing w:val="0"/>
          <w:color w:val="000000"/>
          <w:position w:val="0"/>
        </w:rPr>
        <w:t xml:space="preserve">Bard-Curtillet </w:t>
      </w:r>
      <w:r>
        <w:rPr>
          <w:lang w:val="ru-RU" w:eastAsia="ru-RU" w:bidi="ru-RU"/>
          <w:w w:val="100"/>
          <w:spacing w:val="0"/>
          <w:color w:val="000000"/>
          <w:position w:val="0"/>
        </w:rPr>
        <w:t xml:space="preserve">18 Симптомы и синдромы в кардиологии </w:t>
      </w:r>
      <w:r>
        <w:rPr>
          <w:lang w:val="en-US" w:eastAsia="en-US" w:bidi="en-US"/>
          <w:w w:val="100"/>
          <w:spacing w:val="0"/>
          <w:color w:val="000000"/>
          <w:position w:val="0"/>
        </w:rPr>
        <w:t xml:space="preserve">41 </w:t>
      </w:r>
      <w:r>
        <w:rPr>
          <w:lang w:val="ru-RU" w:eastAsia="ru-RU" w:bidi="ru-RU"/>
          <w:w w:val="100"/>
          <w:spacing w:val="0"/>
          <w:color w:val="000000"/>
          <w:position w:val="0"/>
        </w:rPr>
        <w:t>Абрами 41 Лйерсы 41</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Акромегалическое сердце 41</w:t>
      </w:r>
    </w:p>
    <w:p>
      <w:pPr>
        <w:pStyle w:val="Style30"/>
        <w:widowControl w:val="0"/>
        <w:keepNext w:val="0"/>
        <w:keepLines w:val="0"/>
        <w:shd w:val="clear" w:color="auto" w:fill="auto"/>
        <w:bidi w:val="0"/>
        <w:jc w:val="left"/>
        <w:spacing w:before="0" w:after="0"/>
        <w:ind w:left="260" w:right="0" w:firstLine="0"/>
      </w:pPr>
      <w:r>
        <w:pict>
          <v:shape id="_x0000_s2186" type="#_x0000_t75" style="position:absolute;margin-left:138.6pt;margin-top:736.55pt;width:209.75pt;height:14.9pt;z-index:-125828726;mso-wrap-distance-left:136.8pt;mso-wrap-distance-right:144.25pt;mso-wrap-distance-bottom:10.8pt;mso-position-horizontal-relative:margin;mso-position-vertical-relative:margin" wrapcoords="0 0 21600 0 21600 21600 0 21600 0 0">
            <v:imagedata r:id="rId1494" r:href="rId1495"/>
            <w10:wrap type="topAndBottom" anchorx="margin" anchory="margin"/>
          </v:shape>
        </w:pict>
      </w:r>
      <w:r>
        <w:rPr>
          <w:lang w:val="ru-RU" w:eastAsia="ru-RU" w:bidi="ru-RU"/>
          <w:w w:val="100"/>
          <w:spacing w:val="0"/>
          <w:color w:val="000000"/>
          <w:position w:val="0"/>
        </w:rPr>
        <w:t xml:space="preserve">Алкогольный синдром плода </w:t>
      </w:r>
      <w:r>
        <w:rPr>
          <w:lang w:val="en-US" w:eastAsia="en-US" w:bidi="en-US"/>
          <w:w w:val="100"/>
          <w:spacing w:val="0"/>
          <w:color w:val="000000"/>
          <w:position w:val="0"/>
        </w:rPr>
        <w:t xml:space="preserve">(Fetal alcohol syndrome) </w:t>
      </w:r>
      <w:r>
        <w:rPr>
          <w:lang w:val="ru-RU" w:eastAsia="ru-RU" w:bidi="ru-RU"/>
          <w:w w:val="100"/>
          <w:spacing w:val="0"/>
          <w:color w:val="000000"/>
          <w:position w:val="0"/>
        </w:rPr>
        <w:t xml:space="preserve">41 Аллена </w:t>
      </w:r>
      <w:r>
        <w:rPr>
          <w:lang w:val="en-US" w:eastAsia="en-US" w:bidi="en-US"/>
          <w:w w:val="100"/>
          <w:spacing w:val="0"/>
          <w:color w:val="000000"/>
          <w:position w:val="0"/>
        </w:rPr>
        <w:t xml:space="preserve">41 </w:t>
      </w:r>
      <w:r>
        <w:rPr>
          <w:lang w:val="ru-RU" w:eastAsia="ru-RU" w:bidi="ru-RU"/>
          <w:w w:val="100"/>
          <w:spacing w:val="0"/>
          <w:color w:val="000000"/>
          <w:position w:val="0"/>
        </w:rPr>
        <w:t xml:space="preserve">Аллоритмии </w:t>
      </w:r>
      <w:r>
        <w:rPr>
          <w:lang w:val="en-US" w:eastAsia="en-US" w:bidi="en-US"/>
          <w:w w:val="100"/>
          <w:spacing w:val="0"/>
          <w:color w:val="000000"/>
          <w:position w:val="0"/>
        </w:rPr>
        <w:t xml:space="preserve">41 </w:t>
      </w:r>
      <w:r>
        <w:rPr>
          <w:lang w:val="ru-RU" w:eastAsia="ru-RU" w:bidi="ru-RU"/>
          <w:w w:val="100"/>
          <w:spacing w:val="0"/>
          <w:color w:val="000000"/>
          <w:position w:val="0"/>
        </w:rPr>
        <w:t>Анкелиса-Венкебаха 41</w:t>
      </w:r>
      <w:r>
        <w:br w:type="page"/>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Ауэнбруггера I 41</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Ауэнбруггера II 41</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 xml:space="preserve">Ауэнбругера </w:t>
      </w:r>
      <w:r>
        <w:rPr>
          <w:lang w:val="en-US" w:eastAsia="en-US" w:bidi="en-US"/>
          <w:w w:val="100"/>
          <w:spacing w:val="0"/>
          <w:color w:val="000000"/>
          <w:position w:val="0"/>
        </w:rPr>
        <w:t xml:space="preserve">III </w:t>
      </w:r>
      <w:r>
        <w:rPr>
          <w:lang w:val="ru-RU" w:eastAsia="ru-RU" w:bidi="ru-RU"/>
          <w:w w:val="100"/>
          <w:spacing w:val="0"/>
          <w:color w:val="000000"/>
          <w:position w:val="0"/>
        </w:rPr>
        <w:t>41</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Ашнера 41</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Бабеша 41</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«Бабочки» 41</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Бамбергера (I) 41</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Бамбергера (II) 41</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Байнбриджа симптом 42</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 xml:space="preserve">Банти симптом </w:t>
      </w:r>
      <w:r>
        <w:rPr>
          <w:lang w:val="en-US" w:eastAsia="en-US" w:bidi="en-US"/>
          <w:w w:val="100"/>
          <w:spacing w:val="0"/>
          <w:color w:val="000000"/>
          <w:position w:val="0"/>
        </w:rPr>
        <w:t xml:space="preserve">(Banti) </w:t>
      </w:r>
      <w:r>
        <w:rPr>
          <w:lang w:val="ru-RU" w:eastAsia="ru-RU" w:bidi="ru-RU"/>
          <w:w w:val="100"/>
          <w:spacing w:val="0"/>
          <w:color w:val="000000"/>
          <w:position w:val="0"/>
        </w:rPr>
        <w:t>42</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Барабанных палочек симптом 42</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Бека триада 42</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Белого пятна 42</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Бергера 42</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Бернгейма 42</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Бизенбергера 42</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Бисистолия Образцова 42</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«Болтающейся руки» 42</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Боль в области сердца 42</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Болтающейся кисти симптом 43</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Бона 43</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Бонгеффера 43</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 xml:space="preserve">Боткина </w:t>
      </w:r>
      <w:r>
        <w:rPr>
          <w:lang w:val="en-US" w:eastAsia="en-US" w:bidi="en-US"/>
          <w:w w:val="100"/>
          <w:spacing w:val="0"/>
          <w:color w:val="000000"/>
          <w:position w:val="0"/>
        </w:rPr>
        <w:t xml:space="preserve">(I) </w:t>
      </w:r>
      <w:r>
        <w:rPr>
          <w:lang w:val="ru-RU" w:eastAsia="ru-RU" w:bidi="ru-RU"/>
          <w:w w:val="100"/>
          <w:spacing w:val="0"/>
          <w:color w:val="000000"/>
          <w:position w:val="0"/>
        </w:rPr>
        <w:t>43</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 xml:space="preserve">Боткина </w:t>
      </w:r>
      <w:r>
        <w:rPr>
          <w:lang w:val="en-US" w:eastAsia="en-US" w:bidi="en-US"/>
          <w:w w:val="100"/>
          <w:spacing w:val="0"/>
          <w:color w:val="000000"/>
          <w:position w:val="0"/>
        </w:rPr>
        <w:t xml:space="preserve">(II) </w:t>
      </w:r>
      <w:r>
        <w:rPr>
          <w:lang w:val="ru-RU" w:eastAsia="ru-RU" w:bidi="ru-RU"/>
          <w:w w:val="100"/>
          <w:spacing w:val="0"/>
          <w:color w:val="000000"/>
          <w:position w:val="0"/>
        </w:rPr>
        <w:t>43</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Боткина ритм перепела 43</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Боццоло 43</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Брауэра 43</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Бродбента 43</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 xml:space="preserve">Бродбента </w:t>
      </w:r>
      <w:r>
        <w:rPr>
          <w:lang w:val="en-US" w:eastAsia="en-US" w:bidi="en-US"/>
          <w:w w:val="100"/>
          <w:spacing w:val="0"/>
          <w:color w:val="000000"/>
          <w:position w:val="0"/>
        </w:rPr>
        <w:t xml:space="preserve">I </w:t>
      </w:r>
      <w:r>
        <w:rPr>
          <w:lang w:val="ru-RU" w:eastAsia="ru-RU" w:bidi="ru-RU"/>
          <w:w w:val="100"/>
          <w:spacing w:val="0"/>
          <w:color w:val="000000"/>
          <w:position w:val="0"/>
        </w:rPr>
        <w:t>44</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 xml:space="preserve">Буйо </w:t>
      </w:r>
      <w:r>
        <w:rPr>
          <w:lang w:val="en-US" w:eastAsia="en-US" w:bidi="en-US"/>
          <w:w w:val="100"/>
          <w:spacing w:val="0"/>
          <w:color w:val="000000"/>
          <w:position w:val="0"/>
        </w:rPr>
        <w:t xml:space="preserve">I </w:t>
      </w:r>
      <w:r>
        <w:rPr>
          <w:lang w:val="ru-RU" w:eastAsia="ru-RU" w:bidi="ru-RU"/>
          <w:w w:val="100"/>
          <w:spacing w:val="0"/>
          <w:color w:val="000000"/>
          <w:position w:val="0"/>
        </w:rPr>
        <w:t>44</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 xml:space="preserve">Буйо </w:t>
      </w:r>
      <w:r>
        <w:rPr>
          <w:lang w:val="en-US" w:eastAsia="en-US" w:bidi="en-US"/>
          <w:w w:val="100"/>
          <w:spacing w:val="0"/>
          <w:color w:val="000000"/>
          <w:position w:val="0"/>
        </w:rPr>
        <w:t xml:space="preserve">II </w:t>
      </w:r>
      <w:r>
        <w:rPr>
          <w:lang w:val="ru-RU" w:eastAsia="ru-RU" w:bidi="ru-RU"/>
          <w:w w:val="100"/>
          <w:spacing w:val="0"/>
          <w:color w:val="000000"/>
          <w:position w:val="0"/>
        </w:rPr>
        <w:t>44</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Бурхарда 44</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Буттдорфа 44</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Бычье сердце 44</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Вагоинсулярный криз 44</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Валя 2 44</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Венкебаха 44</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Верхней полой вены 44</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Вильямса 44</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Виндштейна 44</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Виноградова 44</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Винтера 44</w:t>
      </w:r>
    </w:p>
    <w:p>
      <w:pPr>
        <w:pStyle w:val="Style30"/>
        <w:widowControl w:val="0"/>
        <w:keepNext w:val="0"/>
        <w:keepLines w:val="0"/>
        <w:shd w:val="clear" w:color="auto" w:fill="auto"/>
        <w:bidi w:val="0"/>
        <w:jc w:val="left"/>
        <w:spacing w:before="0" w:after="0"/>
        <w:ind w:left="260" w:right="1820" w:firstLine="0"/>
      </w:pPr>
      <w:r>
        <w:rPr>
          <w:lang w:val="ru-RU" w:eastAsia="ru-RU" w:bidi="ru-RU"/>
          <w:w w:val="100"/>
          <w:spacing w:val="0"/>
          <w:color w:val="000000"/>
          <w:position w:val="0"/>
        </w:rPr>
        <w:t>Волчка шум (син. венный шум) 44 «Воротник Стокса» 44 Гайсбека 44 Галлавардена 45 Ганна-Салюса 45 Гвиста 45</w:t>
      </w:r>
    </w:p>
    <w:p>
      <w:pPr>
        <w:pStyle w:val="Style30"/>
        <w:widowControl w:val="0"/>
        <w:keepNext w:val="0"/>
        <w:keepLines w:val="0"/>
        <w:shd w:val="clear" w:color="auto" w:fill="auto"/>
        <w:bidi w:val="0"/>
        <w:jc w:val="left"/>
        <w:spacing w:before="0" w:after="0"/>
        <w:ind w:left="260" w:right="1820" w:firstLine="0"/>
      </w:pPr>
      <w:r>
        <w:rPr>
          <w:lang w:val="ru-RU" w:eastAsia="ru-RU" w:bidi="ru-RU"/>
          <w:w w:val="100"/>
          <w:spacing w:val="0"/>
          <w:color w:val="000000"/>
          <w:position w:val="0"/>
        </w:rPr>
        <w:t xml:space="preserve">Гепатоюгулярный 45 Геринга </w:t>
      </w:r>
      <w:r>
        <w:rPr>
          <w:lang w:val="en-US" w:eastAsia="en-US" w:bidi="en-US"/>
          <w:w w:val="100"/>
          <w:spacing w:val="0"/>
          <w:color w:val="000000"/>
          <w:position w:val="0"/>
        </w:rPr>
        <w:t xml:space="preserve">I </w:t>
      </w:r>
      <w:r>
        <w:rPr>
          <w:lang w:val="ru-RU" w:eastAsia="ru-RU" w:bidi="ru-RU"/>
          <w:w w:val="100"/>
          <w:spacing w:val="0"/>
          <w:color w:val="000000"/>
          <w:position w:val="0"/>
        </w:rPr>
        <w:t xml:space="preserve">45 Геринга </w:t>
      </w:r>
      <w:r>
        <w:rPr>
          <w:lang w:val="en-US" w:eastAsia="en-US" w:bidi="en-US"/>
          <w:w w:val="100"/>
          <w:spacing w:val="0"/>
          <w:color w:val="000000"/>
          <w:position w:val="0"/>
        </w:rPr>
        <w:t xml:space="preserve">II </w:t>
      </w:r>
      <w:r>
        <w:rPr>
          <w:lang w:val="ru-RU" w:eastAsia="ru-RU" w:bidi="ru-RU"/>
          <w:w w:val="100"/>
          <w:spacing w:val="0"/>
          <w:color w:val="000000"/>
          <w:position w:val="0"/>
        </w:rPr>
        <w:t xml:space="preserve">45 Герке 45 Гертнера </w:t>
      </w:r>
      <w:r>
        <w:rPr>
          <w:lang w:val="en-US" w:eastAsia="en-US" w:bidi="en-US"/>
          <w:w w:val="100"/>
          <w:spacing w:val="0"/>
          <w:color w:val="000000"/>
          <w:position w:val="0"/>
        </w:rPr>
        <w:t xml:space="preserve">I </w:t>
      </w:r>
      <w:r>
        <w:rPr>
          <w:lang w:val="ru-RU" w:eastAsia="ru-RU" w:bidi="ru-RU"/>
          <w:w w:val="100"/>
          <w:spacing w:val="0"/>
          <w:color w:val="000000"/>
          <w:position w:val="0"/>
        </w:rPr>
        <w:t xml:space="preserve">45 Гертнера </w:t>
      </w:r>
      <w:r>
        <w:rPr>
          <w:lang w:val="en-US" w:eastAsia="en-US" w:bidi="en-US"/>
          <w:w w:val="100"/>
          <w:spacing w:val="0"/>
          <w:color w:val="000000"/>
          <w:position w:val="0"/>
        </w:rPr>
        <w:t xml:space="preserve">II </w:t>
      </w:r>
      <w:r>
        <w:rPr>
          <w:lang w:val="ru-RU" w:eastAsia="ru-RU" w:bidi="ru-RU"/>
          <w:w w:val="100"/>
          <w:spacing w:val="0"/>
          <w:color w:val="000000"/>
          <w:position w:val="0"/>
        </w:rPr>
        <w:t xml:space="preserve">45 Герхардта </w:t>
      </w:r>
      <w:r>
        <w:rPr>
          <w:lang w:val="en-US" w:eastAsia="en-US" w:bidi="en-US"/>
          <w:w w:val="100"/>
          <w:spacing w:val="0"/>
          <w:color w:val="000000"/>
          <w:position w:val="0"/>
        </w:rPr>
        <w:t xml:space="preserve">I </w:t>
      </w:r>
      <w:r>
        <w:rPr>
          <w:lang w:val="ru-RU" w:eastAsia="ru-RU" w:bidi="ru-RU"/>
          <w:w w:val="100"/>
          <w:spacing w:val="0"/>
          <w:color w:val="000000"/>
          <w:position w:val="0"/>
        </w:rPr>
        <w:t xml:space="preserve">45 Герхардта </w:t>
      </w:r>
      <w:r>
        <w:rPr>
          <w:lang w:val="en-US" w:eastAsia="en-US" w:bidi="en-US"/>
          <w:w w:val="100"/>
          <w:spacing w:val="0"/>
          <w:color w:val="000000"/>
          <w:position w:val="0"/>
        </w:rPr>
        <w:t xml:space="preserve">II </w:t>
      </w:r>
      <w:r>
        <w:rPr>
          <w:lang w:val="ru-RU" w:eastAsia="ru-RU" w:bidi="ru-RU"/>
          <w:w w:val="100"/>
          <w:spacing w:val="0"/>
          <w:color w:val="000000"/>
          <w:position w:val="0"/>
        </w:rPr>
        <w:t>45 Гилля 45</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Гиподиастолии желудочков 45</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 xml:space="preserve">Гиппократа пальцы </w:t>
      </w:r>
      <w:r>
        <w:rPr>
          <w:lang w:val="en-US" w:eastAsia="en-US" w:bidi="en-US"/>
          <w:w w:val="100"/>
          <w:spacing w:val="0"/>
          <w:color w:val="000000"/>
          <w:position w:val="0"/>
        </w:rPr>
        <w:t xml:space="preserve">(digiti Hippocratici, </w:t>
      </w:r>
      <w:r>
        <w:rPr>
          <w:lang w:val="ru-RU" w:eastAsia="ru-RU" w:bidi="ru-RU"/>
          <w:w w:val="100"/>
          <w:spacing w:val="0"/>
          <w:color w:val="000000"/>
          <w:position w:val="0"/>
        </w:rPr>
        <w:t>син. симптом барабанных палочек) 45 Гиппократа лицо 45 «Глаз и языка» 45</w:t>
      </w:r>
    </w:p>
    <w:p>
      <w:pPr>
        <w:pStyle w:val="Style30"/>
        <w:widowControl w:val="0"/>
        <w:keepNext w:val="0"/>
        <w:keepLines w:val="0"/>
        <w:shd w:val="clear" w:color="auto" w:fill="auto"/>
        <w:bidi w:val="0"/>
        <w:jc w:val="left"/>
        <w:spacing w:before="0" w:after="0"/>
        <w:ind w:left="260" w:right="700" w:firstLine="0"/>
      </w:pPr>
      <w:r>
        <w:br w:type="column"/>
      </w:r>
      <w:r>
        <w:rPr>
          <w:lang w:val="ru-RU" w:eastAsia="ru-RU" w:bidi="ru-RU"/>
          <w:w w:val="100"/>
          <w:spacing w:val="0"/>
          <w:color w:val="000000"/>
          <w:position w:val="0"/>
        </w:rPr>
        <w:t>Глазго 45 Голмса 45</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 xml:space="preserve">Голова медузы </w:t>
      </w:r>
      <w:r>
        <w:rPr>
          <w:lang w:val="en-US" w:eastAsia="en-US" w:bidi="en-US"/>
          <w:w w:val="100"/>
          <w:spacing w:val="0"/>
          <w:color w:val="000000"/>
          <w:position w:val="0"/>
        </w:rPr>
        <w:t xml:space="preserve">(caput medusae) </w:t>
      </w:r>
      <w:r>
        <w:rPr>
          <w:lang w:val="ru-RU" w:eastAsia="ru-RU" w:bidi="ru-RU"/>
          <w:w w:val="100"/>
          <w:spacing w:val="0"/>
          <w:color w:val="000000"/>
          <w:position w:val="0"/>
        </w:rPr>
        <w:t>45</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 xml:space="preserve">Гордона </w:t>
      </w:r>
      <w:r>
        <w:rPr>
          <w:lang w:val="en-US" w:eastAsia="en-US" w:bidi="en-US"/>
          <w:w w:val="100"/>
          <w:spacing w:val="0"/>
          <w:color w:val="000000"/>
          <w:position w:val="0"/>
        </w:rPr>
        <w:t xml:space="preserve">I </w:t>
      </w:r>
      <w:r>
        <w:rPr>
          <w:lang w:val="ru-RU" w:eastAsia="ru-RU" w:bidi="ru-RU"/>
          <w:w w:val="100"/>
          <w:spacing w:val="0"/>
          <w:color w:val="000000"/>
          <w:position w:val="0"/>
        </w:rPr>
        <w:t>45</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 xml:space="preserve">Гордона </w:t>
      </w:r>
      <w:r>
        <w:rPr>
          <w:lang w:val="en-US" w:eastAsia="en-US" w:bidi="en-US"/>
          <w:w w:val="100"/>
          <w:spacing w:val="0"/>
          <w:color w:val="000000"/>
          <w:position w:val="0"/>
        </w:rPr>
        <w:t xml:space="preserve">II </w:t>
      </w:r>
      <w:r>
        <w:rPr>
          <w:lang w:val="ru-RU" w:eastAsia="ru-RU" w:bidi="ru-RU"/>
          <w:w w:val="100"/>
          <w:spacing w:val="0"/>
          <w:color w:val="000000"/>
          <w:position w:val="0"/>
        </w:rPr>
        <w:t>45</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Грассе-Госселя 46</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Грега 46</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Грина 46</w:t>
      </w:r>
    </w:p>
    <w:p>
      <w:pPr>
        <w:pStyle w:val="Style30"/>
        <w:widowControl w:val="0"/>
        <w:keepNext w:val="0"/>
        <w:keepLines w:val="0"/>
        <w:shd w:val="clear" w:color="auto" w:fill="auto"/>
        <w:bidi w:val="0"/>
        <w:jc w:val="left"/>
        <w:spacing w:before="0" w:after="0"/>
        <w:ind w:left="260" w:right="700" w:firstLine="0"/>
      </w:pPr>
      <w:r>
        <w:rPr>
          <w:lang w:val="ru-RU" w:eastAsia="ru-RU" w:bidi="ru-RU"/>
          <w:w w:val="100"/>
          <w:spacing w:val="0"/>
          <w:color w:val="000000"/>
          <w:position w:val="0"/>
        </w:rPr>
        <w:t>Грехема Стилла 46 Гунна-Салюса 46 «Двигательной бури» 46 Дериго 46 Джейнуэя 46 Джексона 46 Дмитриенко 46 Добротворского 46 Дорендорфа 46 Драммонда 46 «Дряблых плеч» 46 Дюрозье 46</w:t>
      </w:r>
    </w:p>
    <w:p>
      <w:pPr>
        <w:pStyle w:val="Style30"/>
        <w:widowControl w:val="0"/>
        <w:keepNext w:val="0"/>
        <w:keepLines w:val="0"/>
        <w:shd w:val="clear" w:color="auto" w:fill="auto"/>
        <w:bidi w:val="0"/>
        <w:jc w:val="left"/>
        <w:spacing w:before="0" w:after="0"/>
        <w:ind w:left="260" w:right="700" w:firstLine="0"/>
      </w:pPr>
      <w:r>
        <w:rPr>
          <w:lang w:val="ru-RU" w:eastAsia="ru-RU" w:bidi="ru-RU"/>
          <w:w w:val="100"/>
          <w:spacing w:val="0"/>
          <w:color w:val="000000"/>
          <w:position w:val="0"/>
        </w:rPr>
        <w:t>Дюрозье-Виноградова 46 Дюшенна 46 Жаку 46 Жандрена 46 Жгута 46</w:t>
      </w:r>
    </w:p>
    <w:p>
      <w:pPr>
        <w:pStyle w:val="Style30"/>
        <w:widowControl w:val="0"/>
        <w:keepNext w:val="0"/>
        <w:keepLines w:val="0"/>
        <w:shd w:val="clear" w:color="auto" w:fill="auto"/>
        <w:bidi w:val="0"/>
        <w:jc w:val="left"/>
        <w:spacing w:before="0" w:after="0"/>
        <w:ind w:left="260" w:right="700" w:firstLine="0"/>
      </w:pPr>
      <w:r>
        <w:rPr>
          <w:lang w:val="ru-RU" w:eastAsia="ru-RU" w:bidi="ru-RU"/>
          <w:w w:val="100"/>
          <w:spacing w:val="0"/>
          <w:color w:val="000000"/>
          <w:position w:val="0"/>
        </w:rPr>
        <w:t>Жосро симптом 46 Застойных хрипов в легких 46 Зеркальная декстрокардия 46 Иогихеса 46 Казем-Бека 46 Капоцци 46</w:t>
      </w:r>
    </w:p>
    <w:p>
      <w:pPr>
        <w:pStyle w:val="Style30"/>
        <w:widowControl w:val="0"/>
        <w:keepNext w:val="0"/>
        <w:keepLines w:val="0"/>
        <w:shd w:val="clear" w:color="auto" w:fill="auto"/>
        <w:bidi w:val="0"/>
        <w:jc w:val="left"/>
        <w:spacing w:before="0" w:after="0"/>
        <w:ind w:left="260" w:right="700" w:firstLine="0"/>
      </w:pPr>
      <w:r>
        <w:rPr>
          <w:lang w:val="ru-RU" w:eastAsia="ru-RU" w:bidi="ru-RU"/>
          <w:w w:val="100"/>
          <w:spacing w:val="0"/>
          <w:color w:val="000000"/>
          <w:position w:val="0"/>
        </w:rPr>
        <w:t>Кардио-кардиальный 47 Кардиомегалия 47 Кардионевроз 47 Катценштейна 47 Кахексия сердечная 47 Квинке 47 Китаева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Клод Бернар-Горнера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Кончаловского-Румпеля-Лееде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Корвалло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Корвизара лицо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Коромысла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Коссио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Корригана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Крейзига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Кумбса шум сердца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Купера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Куримена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Куссмауля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Куссмауля двойной инспираторный феномен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Кушинга 47</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Ландольфи 48</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Ланчизи 48</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Лентигиноз 48</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Либермейстера 48</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Ливиерато 48</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Липотимия 48</w:t>
      </w:r>
    </w:p>
    <w:p>
      <w:pPr>
        <w:pStyle w:val="Style30"/>
        <w:widowControl w:val="0"/>
        <w:keepNext w:val="0"/>
        <w:keepLines w:val="0"/>
        <w:shd w:val="clear" w:color="auto" w:fill="auto"/>
        <w:bidi w:val="0"/>
        <w:jc w:val="left"/>
        <w:spacing w:before="0" w:after="0"/>
        <w:ind w:left="260" w:right="0" w:firstLine="0"/>
      </w:pPr>
      <w:r>
        <w:rPr>
          <w:lang w:val="ru-RU" w:eastAsia="ru-RU" w:bidi="ru-RU"/>
          <w:w w:val="100"/>
          <w:spacing w:val="0"/>
          <w:color w:val="000000"/>
          <w:position w:val="0"/>
        </w:rPr>
        <w:t>Лукина 48</w:t>
      </w:r>
    </w:p>
    <w:p>
      <w:pPr>
        <w:pStyle w:val="Style30"/>
        <w:widowControl w:val="0"/>
        <w:keepNext w:val="0"/>
        <w:keepLines w:val="0"/>
        <w:shd w:val="clear" w:color="auto" w:fill="auto"/>
        <w:bidi w:val="0"/>
        <w:jc w:val="left"/>
        <w:spacing w:before="0" w:after="0"/>
        <w:ind w:left="260" w:right="700" w:firstLine="0"/>
        <w:sectPr>
          <w:type w:val="continuous"/>
          <w:pgSz w:w="11900" w:h="16840"/>
          <w:pgMar w:top="1574" w:left="1003" w:right="1013" w:bottom="1809" w:header="0" w:footer="3" w:gutter="0"/>
          <w:rtlGutter w:val="0"/>
          <w:cols w:num="2" w:space="176"/>
          <w:noEndnote/>
          <w:docGrid w:linePitch="360"/>
        </w:sectPr>
      </w:pPr>
      <w:r>
        <w:rPr>
          <w:lang w:val="ru-RU" w:eastAsia="ru-RU" w:bidi="ru-RU"/>
          <w:w w:val="100"/>
          <w:spacing w:val="0"/>
          <w:color w:val="000000"/>
          <w:position w:val="0"/>
        </w:rPr>
        <w:t>«Малое тихое сердце» 48 Марбурга 48 Минса-Лемана 48</w:t>
      </w:r>
    </w:p>
    <w:p>
      <w:pPr>
        <w:widowControl w:val="0"/>
        <w:rPr>
          <w:sz w:val="2"/>
          <w:szCs w:val="2"/>
        </w:rPr>
      </w:pPr>
      <w:r>
        <w:pict>
          <v:shape id="_x0000_s2187" type="#_x0000_t202" style="position:static;width:595.pt;height:67.7pt" filled="f" stroked="f">
            <v:textbox inset="0,0,0,0">
              <w:txbxContent>
                <w:p>
                  <w:pPr>
                    <w:widowControl w:val="0"/>
                  </w:pPr>
                </w:p>
              </w:txbxContent>
            </v:textbox>
            <w10:anchorlock/>
          </v:shape>
        </w:pict>
      </w:r>
      <w:r>
        <w:t xml:space="preserve"> </w:t>
      </w:r>
    </w:p>
    <w:p>
      <w:pPr>
        <w:widowControl w:val="0"/>
        <w:rPr>
          <w:sz w:val="2"/>
          <w:szCs w:val="2"/>
        </w:rPr>
        <w:sectPr>
          <w:type w:val="continuous"/>
          <w:pgSz w:w="11900" w:h="16840"/>
          <w:pgMar w:top="1473" w:left="0" w:right="0" w:bottom="192" w:header="0" w:footer="3" w:gutter="0"/>
          <w:rtlGutter w:val="0"/>
          <w:cols w:space="720"/>
          <w:noEndnote/>
          <w:docGrid w:linePitch="360"/>
        </w:sectPr>
      </w:pPr>
    </w:p>
    <w:p>
      <w:pPr>
        <w:widowControl w:val="0"/>
        <w:spacing w:line="645" w:lineRule="exact"/>
      </w:pPr>
      <w:r>
        <w:pict>
          <v:shape id="_x0000_s2188" type="#_x0000_t75" style="position:absolute;margin-left:152.6pt;margin-top:0;width:209.75pt;height:14.9pt;z-index:-251658576;mso-wrap-distance-left:5.pt;mso-wrap-distance-right:5.pt;mso-position-horizontal-relative:margin" wrapcoords="0 0">
            <v:imagedata r:id="rId1496" r:href="rId1497"/>
            <w10:wrap anchorx="margin"/>
          </v:shape>
        </w:pict>
      </w:r>
    </w:p>
    <w:p>
      <w:pPr>
        <w:widowControl w:val="0"/>
        <w:rPr>
          <w:sz w:val="2"/>
          <w:szCs w:val="2"/>
        </w:rPr>
        <w:sectPr>
          <w:type w:val="continuous"/>
          <w:pgSz w:w="11900" w:h="16840"/>
          <w:pgMar w:top="1473" w:left="898" w:right="1109" w:bottom="192" w:header="0" w:footer="3" w:gutter="0"/>
          <w:rtlGutter w:val="0"/>
          <w:cols w:space="720"/>
          <w:noEndnote/>
          <w:docGrid w:linePitch="360"/>
        </w:sectPr>
      </w:pP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Мюллера 48 Мюссе 48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Набухания шейных вен 48 Нейрогенной одышки 48 Образцова 48 Оливера-Кардарелли 49 Оппольцера 49 Ортнера 49 Ослера 49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Парадоксальной эмболии 49 Парина 49 Пена 49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Перемежающейся хромоты 50 Переса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«Перочинного ножа»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Пинса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Пинеса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Пиотена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Пляски каротид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Пляски миндалин симптом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Подвижное сердце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Положительный венный пульс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Поля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Попова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Попова-Савельева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Постперикардотомный синдром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 xml:space="preserve">Потена </w:t>
      </w:r>
      <w:r>
        <w:rPr>
          <w:lang w:val="en-US" w:eastAsia="en-US" w:bidi="en-US"/>
          <w:w w:val="100"/>
          <w:spacing w:val="0"/>
          <w:color w:val="000000"/>
          <w:position w:val="0"/>
        </w:rPr>
        <w:t xml:space="preserve">I </w:t>
      </w:r>
      <w:r>
        <w:rPr>
          <w:lang w:val="ru-RU" w:eastAsia="ru-RU" w:bidi="ru-RU"/>
          <w:w w:val="100"/>
          <w:spacing w:val="0"/>
          <w:color w:val="000000"/>
          <w:position w:val="0"/>
        </w:rPr>
        <w:t>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 xml:space="preserve">Потена </w:t>
      </w:r>
      <w:r>
        <w:rPr>
          <w:lang w:val="en-US" w:eastAsia="en-US" w:bidi="en-US"/>
          <w:w w:val="100"/>
          <w:spacing w:val="0"/>
          <w:color w:val="000000"/>
          <w:position w:val="0"/>
        </w:rPr>
        <w:t xml:space="preserve">II </w:t>
      </w:r>
      <w:r>
        <w:rPr>
          <w:lang w:val="ru-RU" w:eastAsia="ru-RU" w:bidi="ru-RU"/>
          <w:w w:val="100"/>
          <w:spacing w:val="0"/>
          <w:color w:val="000000"/>
          <w:position w:val="0"/>
        </w:rPr>
        <w:t>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Потена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Протопопова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Прямой спины 50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Псевдокоарктация аорты 51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Пушечный тон Стражеско 51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Рейно синдром 51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Рейтера симптом 51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Риверо-Корвалло 51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Ригеля (I) 51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 xml:space="preserve">Ригеля </w:t>
      </w:r>
      <w:r>
        <w:rPr>
          <w:rStyle w:val="CharStyle181"/>
        </w:rPr>
        <w:t xml:space="preserve">(iI) </w:t>
      </w:r>
      <w:r>
        <w:rPr>
          <w:rStyle w:val="CharStyle181"/>
          <w:lang w:val="ru-RU" w:eastAsia="ru-RU" w:bidi="ru-RU"/>
        </w:rPr>
        <w:t>51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 xml:space="preserve">Ригеля </w:t>
      </w:r>
      <w:r>
        <w:rPr>
          <w:lang w:val="en-US" w:eastAsia="en-US" w:bidi="en-US"/>
          <w:w w:val="100"/>
          <w:spacing w:val="0"/>
          <w:color w:val="000000"/>
          <w:position w:val="0"/>
        </w:rPr>
        <w:t>(III) 51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 xml:space="preserve">Рисса </w:t>
      </w:r>
      <w:r>
        <w:rPr>
          <w:lang w:val="en-US" w:eastAsia="en-US" w:bidi="en-US"/>
          <w:w w:val="100"/>
          <w:spacing w:val="0"/>
          <w:color w:val="000000"/>
          <w:position w:val="0"/>
        </w:rPr>
        <w:t>51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 xml:space="preserve">Ритма перепела </w:t>
      </w:r>
      <w:r>
        <w:rPr>
          <w:lang w:val="en-US" w:eastAsia="en-US" w:bidi="en-US"/>
          <w:w w:val="100"/>
          <w:spacing w:val="0"/>
          <w:color w:val="000000"/>
          <w:position w:val="0"/>
        </w:rPr>
        <w:t xml:space="preserve">51 </w:t>
      </w:r>
      <w:r>
        <w:rPr>
          <w:lang w:val="ru-RU" w:eastAsia="ru-RU" w:bidi="ru-RU"/>
          <w:w w:val="100"/>
          <w:spacing w:val="0"/>
          <w:color w:val="000000"/>
          <w:position w:val="0"/>
        </w:rPr>
        <w:t xml:space="preserve">Розенгейма </w:t>
      </w:r>
      <w:r>
        <w:rPr>
          <w:lang w:val="en-US" w:eastAsia="en-US" w:bidi="en-US"/>
          <w:w w:val="100"/>
          <w:spacing w:val="0"/>
          <w:color w:val="000000"/>
          <w:position w:val="0"/>
        </w:rPr>
        <w:t xml:space="preserve">51 </w:t>
      </w:r>
      <w:r>
        <w:rPr>
          <w:lang w:val="ru-RU" w:eastAsia="ru-RU" w:bidi="ru-RU"/>
          <w:w w:val="100"/>
          <w:spacing w:val="0"/>
          <w:color w:val="000000"/>
          <w:position w:val="0"/>
        </w:rPr>
        <w:t xml:space="preserve">Ротча </w:t>
      </w:r>
      <w:r>
        <w:rPr>
          <w:lang w:val="en-US" w:eastAsia="en-US" w:bidi="en-US"/>
          <w:w w:val="100"/>
          <w:spacing w:val="0"/>
          <w:color w:val="000000"/>
          <w:position w:val="0"/>
        </w:rPr>
        <w:t xml:space="preserve">51 </w:t>
      </w:r>
      <w:r>
        <w:rPr>
          <w:lang w:val="ru-RU" w:eastAsia="ru-RU" w:bidi="ru-RU"/>
          <w:w w:val="100"/>
          <w:spacing w:val="0"/>
          <w:color w:val="000000"/>
          <w:position w:val="0"/>
        </w:rPr>
        <w:t xml:space="preserve">Сабати </w:t>
      </w:r>
      <w:r>
        <w:rPr>
          <w:lang w:val="en-US" w:eastAsia="en-US" w:bidi="en-US"/>
          <w:w w:val="100"/>
          <w:spacing w:val="0"/>
          <w:color w:val="000000"/>
          <w:position w:val="0"/>
        </w:rPr>
        <w:t xml:space="preserve">51 </w:t>
      </w:r>
      <w:r>
        <w:rPr>
          <w:lang w:val="ru-RU" w:eastAsia="ru-RU" w:bidi="ru-RU"/>
          <w:w w:val="100"/>
          <w:spacing w:val="0"/>
          <w:color w:val="000000"/>
          <w:position w:val="0"/>
        </w:rPr>
        <w:t xml:space="preserve">Сазмена </w:t>
      </w:r>
      <w:r>
        <w:rPr>
          <w:lang w:val="en-US" w:eastAsia="en-US" w:bidi="en-US"/>
          <w:w w:val="100"/>
          <w:spacing w:val="0"/>
          <w:color w:val="000000"/>
          <w:position w:val="0"/>
        </w:rPr>
        <w:t xml:space="preserve">51 </w:t>
      </w:r>
      <w:r>
        <w:rPr>
          <w:lang w:val="ru-RU" w:eastAsia="ru-RU" w:bidi="ru-RU"/>
          <w:w w:val="100"/>
          <w:spacing w:val="0"/>
          <w:color w:val="000000"/>
          <w:position w:val="0"/>
        </w:rPr>
        <w:t xml:space="preserve">Сали-Чудновского 51 Сансома </w:t>
      </w:r>
      <w:r>
        <w:rPr>
          <w:lang w:val="en-US" w:eastAsia="en-US" w:bidi="en-US"/>
          <w:w w:val="100"/>
          <w:spacing w:val="0"/>
          <w:color w:val="000000"/>
          <w:position w:val="0"/>
        </w:rPr>
        <w:t xml:space="preserve">I </w:t>
      </w:r>
      <w:r>
        <w:rPr>
          <w:lang w:val="ru-RU" w:eastAsia="ru-RU" w:bidi="ru-RU"/>
          <w:w w:val="100"/>
          <w:spacing w:val="0"/>
          <w:color w:val="000000"/>
          <w:position w:val="0"/>
        </w:rPr>
        <w:t xml:space="preserve">51 Сансома </w:t>
      </w:r>
      <w:r>
        <w:rPr>
          <w:lang w:val="en-US" w:eastAsia="en-US" w:bidi="en-US"/>
          <w:w w:val="100"/>
          <w:spacing w:val="0"/>
          <w:color w:val="000000"/>
          <w:position w:val="0"/>
        </w:rPr>
        <w:t xml:space="preserve">II </w:t>
      </w:r>
      <w:r>
        <w:rPr>
          <w:lang w:val="ru-RU" w:eastAsia="ru-RU" w:bidi="ru-RU"/>
          <w:w w:val="100"/>
          <w:spacing w:val="0"/>
          <w:color w:val="000000"/>
          <w:position w:val="0"/>
        </w:rPr>
        <w:t>51 Сендерса 51 Сердцебиения 51 Сержана 51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Сиротина-Куковерова 51 «Складной руки» 51 Смита-Фишера 52 Сомаги 52</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Спонтанного дермографизма 52</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Стигмы соединительнотканного дизэмбриогенеза 52</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Стилла 52</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Стокса пояс 52</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Стражеско 52</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Тома 52</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Траубе 52</w:t>
      </w:r>
    </w:p>
    <w:p>
      <w:pPr>
        <w:pStyle w:val="Style30"/>
        <w:widowControl w:val="0"/>
        <w:keepNext w:val="0"/>
        <w:keepLines w:val="0"/>
        <w:shd w:val="clear" w:color="auto" w:fill="auto"/>
        <w:bidi w:val="0"/>
        <w:jc w:val="left"/>
        <w:spacing w:before="0" w:after="0"/>
        <w:ind w:left="260" w:right="0" w:firstLine="0"/>
      </w:pPr>
      <w:r>
        <w:br w:type="column"/>
      </w:r>
      <w:r>
        <w:rPr>
          <w:lang w:val="ru-RU" w:eastAsia="ru-RU" w:bidi="ru-RU"/>
          <w:w w:val="100"/>
          <w:spacing w:val="0"/>
          <w:color w:val="000000"/>
          <w:position w:val="0"/>
        </w:rPr>
        <w:t>Филатова 52</w:t>
      </w:r>
    </w:p>
    <w:p>
      <w:pPr>
        <w:pStyle w:val="Style30"/>
        <w:widowControl w:val="0"/>
        <w:keepNext w:val="0"/>
        <w:keepLines w:val="0"/>
        <w:shd w:val="clear" w:color="auto" w:fill="auto"/>
        <w:bidi w:val="0"/>
        <w:jc w:val="left"/>
        <w:spacing w:before="0" w:after="0"/>
        <w:ind w:left="260" w:right="2300" w:firstLine="0"/>
      </w:pPr>
      <w:r>
        <w:rPr>
          <w:lang w:val="ru-RU" w:eastAsia="ru-RU" w:bidi="ru-RU"/>
          <w:w w:val="100"/>
          <w:spacing w:val="0"/>
          <w:color w:val="000000"/>
          <w:position w:val="0"/>
        </w:rPr>
        <w:t>Флинта (шум Флинта) 52 Фогельсона 52 Фольгарда 52 Францеля 52 Фридрейха 52 Хаммена 52 Хейма-Крейсига 52 Хеммена 52 Хернига-Ломмеля 53 Хилла 53 Хиртца 53 Холла 53</w:t>
      </w:r>
    </w:p>
    <w:p>
      <w:pPr>
        <w:pStyle w:val="Style30"/>
        <w:widowControl w:val="0"/>
        <w:keepNext w:val="0"/>
        <w:keepLines w:val="0"/>
        <w:shd w:val="clear" w:color="auto" w:fill="auto"/>
        <w:bidi w:val="0"/>
        <w:jc w:val="left"/>
        <w:spacing w:before="0" w:after="0"/>
        <w:ind w:left="260" w:right="2300" w:firstLine="0"/>
      </w:pPr>
      <w:r>
        <w:rPr>
          <w:lang w:val="ru-RU" w:eastAsia="ru-RU" w:bidi="ru-RU"/>
          <w:w w:val="100"/>
          <w:spacing w:val="0"/>
          <w:color w:val="000000"/>
          <w:position w:val="0"/>
        </w:rPr>
        <w:t>«Хореической руки» 53 Хоупа 53 Хэммена 53 Цейки 53 Черни 53 Шапиро 53 Шефера 53 Шкоды 53</w:t>
      </w:r>
    </w:p>
    <w:p>
      <w:pPr>
        <w:pStyle w:val="Style30"/>
        <w:widowControl w:val="0"/>
        <w:keepNext w:val="0"/>
        <w:keepLines w:val="0"/>
        <w:shd w:val="clear" w:color="auto" w:fill="auto"/>
        <w:bidi w:val="0"/>
        <w:jc w:val="left"/>
        <w:spacing w:before="0" w:after="0"/>
        <w:ind w:left="260" w:right="2300" w:firstLine="0"/>
      </w:pPr>
      <w:r>
        <w:rPr>
          <w:lang w:val="ru-RU" w:eastAsia="ru-RU" w:bidi="ru-RU"/>
          <w:w w:val="100"/>
          <w:spacing w:val="0"/>
          <w:color w:val="000000"/>
          <w:position w:val="0"/>
        </w:rPr>
        <w:t>Шкоды-Уильямса 53 Эбштейна симптом 53 Эварта 53</w:t>
      </w:r>
    </w:p>
    <w:p>
      <w:pPr>
        <w:pStyle w:val="Style30"/>
        <w:widowControl w:val="0"/>
        <w:keepNext w:val="0"/>
        <w:keepLines w:val="0"/>
        <w:shd w:val="clear" w:color="auto" w:fill="auto"/>
        <w:bidi w:val="0"/>
        <w:jc w:val="left"/>
        <w:spacing w:before="0" w:after="0"/>
        <w:ind w:left="260" w:right="2300" w:firstLine="0"/>
      </w:pPr>
      <w:r>
        <w:rPr>
          <w:lang w:val="ru-RU" w:eastAsia="ru-RU" w:bidi="ru-RU"/>
          <w:w w:val="100"/>
          <w:spacing w:val="0"/>
          <w:color w:val="000000"/>
          <w:position w:val="0"/>
        </w:rPr>
        <w:t>Эйлера-Лильестранда 53 Эмбриокардия 53 Эрбена 53</w:t>
      </w:r>
    </w:p>
    <w:p>
      <w:pPr>
        <w:pStyle w:val="Style30"/>
        <w:widowControl w:val="0"/>
        <w:keepNext w:val="0"/>
        <w:keepLines w:val="0"/>
        <w:shd w:val="clear" w:color="auto" w:fill="auto"/>
        <w:bidi w:val="0"/>
        <w:jc w:val="left"/>
        <w:spacing w:before="0" w:after="0"/>
        <w:ind w:left="0" w:right="640" w:firstLine="0"/>
      </w:pPr>
      <w:r>
        <w:rPr>
          <w:lang w:val="ru-RU" w:eastAsia="ru-RU" w:bidi="ru-RU"/>
          <w:w w:val="100"/>
          <w:spacing w:val="0"/>
          <w:color w:val="000000"/>
          <w:position w:val="0"/>
        </w:rPr>
        <w:t>Синдром Вольфа-Паркинсона-Уайта 502 Синдром гипоплазии левого желудочка 139 Синдром каротидного синуса 471 Синдром Марфана 404</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Синдром слабости синусового узла (дисфункция синусово</w:t>
        <w:softHyphen/>
        <w:t>го узла) 490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 xml:space="preserve">Синдром удлиненного интервала </w:t>
      </w:r>
      <w:r>
        <w:rPr>
          <w:lang w:val="en-US" w:eastAsia="en-US" w:bidi="en-US"/>
          <w:w w:val="100"/>
          <w:spacing w:val="0"/>
          <w:color w:val="000000"/>
          <w:position w:val="0"/>
        </w:rPr>
        <w:t xml:space="preserve">QТ </w:t>
      </w:r>
      <w:r>
        <w:rPr>
          <w:lang w:val="ru-RU" w:eastAsia="ru-RU" w:bidi="ru-RU"/>
          <w:w w:val="100"/>
          <w:spacing w:val="0"/>
          <w:color w:val="000000"/>
          <w:position w:val="0"/>
        </w:rPr>
        <w:t>512 Синдром Эйзенменгера 373</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Синдромы артериальной гипертензии, протекающие с ги</w:t>
        <w:softHyphen/>
        <w:t>перальдостеронизмом 461 Синусовая брадикардия 485 Синусовая тахикардия 483 Систолический ритм галопа 20 Систоло-диастолический (постоянный) шум 21 Скрытое проведение 29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Смещение верхушечного толчка влево и вниз 19</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Сосудистые кольца 155</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Сосудистые обмороки 470</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Средний диастолический шум 21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Стеноз левого атриовентрикулярного отверстия 178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Стеноз легочной артерии 158</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Стеноз трикуспидального клапана 219</w:t>
      </w:r>
    </w:p>
    <w:p>
      <w:pPr>
        <w:pStyle w:val="Style30"/>
        <w:widowControl w:val="0"/>
        <w:keepNext w:val="0"/>
        <w:keepLines w:val="0"/>
        <w:shd w:val="clear" w:color="auto" w:fill="auto"/>
        <w:bidi w:val="0"/>
        <w:jc w:val="left"/>
        <w:spacing w:before="0" w:after="125"/>
        <w:ind w:left="0" w:right="0" w:firstLine="0"/>
      </w:pPr>
      <w:r>
        <w:rPr>
          <w:lang w:val="ru-RU" w:eastAsia="ru-RU" w:bidi="ru-RU"/>
          <w:w w:val="100"/>
          <w:spacing w:val="0"/>
          <w:color w:val="000000"/>
          <w:position w:val="0"/>
        </w:rPr>
        <w:t>Сфинголипидозы 401</w:t>
      </w:r>
    </w:p>
    <w:p>
      <w:pPr>
        <w:pStyle w:val="Style11"/>
        <w:widowControl w:val="0"/>
        <w:keepNext w:val="0"/>
        <w:keepLines w:val="0"/>
        <w:shd w:val="clear" w:color="auto" w:fill="auto"/>
        <w:bidi w:val="0"/>
        <w:jc w:val="left"/>
        <w:spacing w:before="0" w:after="44" w:line="210" w:lineRule="exact"/>
        <w:ind w:left="0" w:right="0" w:firstLine="0"/>
      </w:pPr>
      <w:r>
        <w:rPr>
          <w:lang w:val="ru-RU" w:eastAsia="ru-RU" w:bidi="ru-RU"/>
          <w:w w:val="100"/>
          <w:spacing w:val="0"/>
          <w:color w:val="000000"/>
          <w:position w:val="0"/>
        </w:rPr>
        <w:t>Т</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Тампонада сердца 321</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Тератогенное воздействие химических, физических и биологических факторов на формирование врожденных пороков сердца у детей 65 Алкоголь 69 Антиконвульсанты 65 Варфарин 69</w:t>
      </w:r>
    </w:p>
    <w:p>
      <w:pPr>
        <w:pStyle w:val="Style30"/>
        <w:widowControl w:val="0"/>
        <w:keepNext w:val="0"/>
        <w:keepLines w:val="0"/>
        <w:shd w:val="clear" w:color="auto" w:fill="auto"/>
        <w:bidi w:val="0"/>
        <w:jc w:val="left"/>
        <w:spacing w:before="0" w:after="0"/>
        <w:ind w:left="260" w:right="2300" w:firstLine="0"/>
      </w:pPr>
      <w:r>
        <w:rPr>
          <w:lang w:val="ru-RU" w:eastAsia="ru-RU" w:bidi="ru-RU"/>
          <w:w w:val="100"/>
          <w:spacing w:val="0"/>
          <w:color w:val="000000"/>
          <w:position w:val="0"/>
        </w:rPr>
        <w:t>Влияние болезней матери 71 Герпес 74</w:t>
      </w:r>
    </w:p>
    <w:p>
      <w:pPr>
        <w:pStyle w:val="Style30"/>
        <w:widowControl w:val="0"/>
        <w:keepNext w:val="0"/>
        <w:keepLines w:val="0"/>
        <w:shd w:val="clear" w:color="auto" w:fill="auto"/>
        <w:bidi w:val="0"/>
        <w:jc w:val="left"/>
        <w:spacing w:before="0" w:after="0"/>
        <w:ind w:left="260" w:right="0" w:firstLine="0"/>
        <w:sectPr>
          <w:headerReference w:type="even" r:id="rId1498"/>
          <w:headerReference w:type="default" r:id="rId1499"/>
          <w:headerReference w:type="first" r:id="rId1500"/>
          <w:titlePg/>
          <w:pgSz w:w="11900" w:h="16840"/>
          <w:pgMar w:top="1589" w:left="1368" w:right="893" w:bottom="207" w:header="0" w:footer="3" w:gutter="0"/>
          <w:rtlGutter w:val="0"/>
          <w:cols w:num="2" w:space="720" w:equalWidth="0">
            <w:col w:w="4310" w:space="480"/>
            <w:col w:w="4848"/>
          </w:cols>
          <w:noEndnote/>
          <w:docGrid w:linePitch="360"/>
        </w:sectPr>
      </w:pPr>
      <w:r>
        <w:rPr>
          <w:lang w:val="ru-RU" w:eastAsia="ru-RU" w:bidi="ru-RU"/>
          <w:w w:val="100"/>
          <w:spacing w:val="0"/>
          <w:color w:val="000000"/>
          <w:position w:val="0"/>
        </w:rPr>
        <w:t>Гормональные препараты 68</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44" w:after="44" w:line="240" w:lineRule="exact"/>
        <w:rPr>
          <w:sz w:val="19"/>
          <w:szCs w:val="19"/>
        </w:rPr>
      </w:pPr>
    </w:p>
    <w:p>
      <w:pPr>
        <w:widowControl w:val="0"/>
        <w:rPr>
          <w:sz w:val="2"/>
          <w:szCs w:val="2"/>
        </w:rPr>
        <w:sectPr>
          <w:type w:val="continuous"/>
          <w:pgSz w:w="11900" w:h="16840"/>
          <w:pgMar w:top="1468" w:left="0" w:right="0" w:bottom="192" w:header="0" w:footer="3" w:gutter="0"/>
          <w:rtlGutter w:val="0"/>
          <w:cols w:space="720"/>
          <w:noEndnote/>
          <w:docGrid w:linePitch="360"/>
        </w:sectPr>
      </w:pPr>
    </w:p>
    <w:p>
      <w:pPr>
        <w:widowControl w:val="0"/>
        <w:spacing w:line="645" w:lineRule="exact"/>
      </w:pPr>
      <w:r>
        <w:pict>
          <v:shape id="_x0000_s2191" type="#_x0000_t75" style="position:absolute;margin-left:136.55pt;margin-top:0;width:209.75pt;height:14.9pt;z-index:-251658573;mso-wrap-distance-left:5.pt;mso-wrap-distance-right:5.pt;mso-position-horizontal-relative:margin" wrapcoords="0 0">
            <v:imagedata r:id="rId1501" r:href="rId1502"/>
            <w10:wrap anchorx="margin"/>
          </v:shape>
        </w:pict>
      </w:r>
    </w:p>
    <w:p>
      <w:pPr>
        <w:widowControl w:val="0"/>
        <w:rPr>
          <w:sz w:val="2"/>
          <w:szCs w:val="2"/>
        </w:rPr>
        <w:sectPr>
          <w:type w:val="continuous"/>
          <w:pgSz w:w="11900" w:h="16840"/>
          <w:pgMar w:top="1468" w:left="1124" w:right="894" w:bottom="192" w:header="0" w:footer="3" w:gutter="0"/>
          <w:rtlGutter w:val="0"/>
          <w:cols w:space="720"/>
          <w:noEndnote/>
          <w:docGrid w:linePitch="360"/>
        </w:sectPr>
      </w:pPr>
    </w:p>
    <w:p>
      <w:pPr>
        <w:pStyle w:val="Style30"/>
        <w:widowControl w:val="0"/>
        <w:keepNext w:val="0"/>
        <w:keepLines w:val="0"/>
        <w:shd w:val="clear" w:color="auto" w:fill="auto"/>
        <w:bidi w:val="0"/>
        <w:jc w:val="left"/>
        <w:spacing w:before="0" w:after="0"/>
        <w:ind w:left="280" w:right="2040" w:firstLine="0"/>
      </w:pPr>
      <w:r>
        <w:rPr>
          <w:lang w:val="ru-RU" w:eastAsia="ru-RU" w:bidi="ru-RU"/>
          <w:w w:val="100"/>
          <w:spacing w:val="0"/>
          <w:color w:val="000000"/>
          <w:position w:val="0"/>
        </w:rPr>
        <w:t>Индустриальные тератогены 70 Кокаин 70 Кофеин 70 Курение 70</w:t>
      </w:r>
    </w:p>
    <w:p>
      <w:pPr>
        <w:pStyle w:val="Style30"/>
        <w:widowControl w:val="0"/>
        <w:keepNext w:val="0"/>
        <w:keepLines w:val="0"/>
        <w:shd w:val="clear" w:color="auto" w:fill="auto"/>
        <w:bidi w:val="0"/>
        <w:jc w:val="left"/>
        <w:spacing w:before="0" w:after="0"/>
        <w:ind w:left="280" w:right="2040" w:firstLine="0"/>
      </w:pPr>
      <w:r>
        <w:rPr>
          <w:lang w:val="ru-RU" w:eastAsia="ru-RU" w:bidi="ru-RU"/>
          <w:w w:val="100"/>
          <w:spacing w:val="0"/>
          <w:color w:val="000000"/>
          <w:position w:val="0"/>
        </w:rPr>
        <w:t>Метаболические тератогены 73 Природные тератогены 74 Радиация 71 Растения 74</w:t>
      </w:r>
    </w:p>
    <w:p>
      <w:pPr>
        <w:pStyle w:val="Style30"/>
        <w:widowControl w:val="0"/>
        <w:keepNext w:val="0"/>
        <w:keepLines w:val="0"/>
        <w:shd w:val="clear" w:color="auto" w:fill="auto"/>
        <w:bidi w:val="0"/>
        <w:jc w:val="left"/>
        <w:spacing w:before="0" w:after="0"/>
        <w:ind w:left="0" w:right="2320" w:firstLine="280"/>
      </w:pPr>
      <w:r>
        <w:rPr>
          <w:lang w:val="ru-RU" w:eastAsia="ru-RU" w:bidi="ru-RU"/>
          <w:w w:val="100"/>
          <w:spacing w:val="0"/>
          <w:color w:val="000000"/>
          <w:position w:val="0"/>
        </w:rPr>
        <w:t>Ретиноловая кислота 69 Сифилис 74 Талидомид 68 Токсоплазмоз 73 Физические факторы 71 Химические вещества 70 Цитомегаловирус (ЦМВ) 74 Тератомы сердца 446 Тетрада Фалло 131 Тон изгнания 20 Тоны сердца 19</w:t>
      </w:r>
    </w:p>
    <w:p>
      <w:pPr>
        <w:pStyle w:val="Style30"/>
        <w:widowControl w:val="0"/>
        <w:keepNext w:val="0"/>
        <w:keepLines w:val="0"/>
        <w:shd w:val="clear" w:color="auto" w:fill="auto"/>
        <w:bidi w:val="0"/>
        <w:jc w:val="left"/>
        <w:spacing w:before="0" w:after="125"/>
        <w:ind w:left="0" w:right="1420" w:firstLine="0"/>
      </w:pPr>
      <w:r>
        <w:rPr>
          <w:lang w:val="ru-RU" w:eastAsia="ru-RU" w:bidi="ru-RU"/>
          <w:w w:val="100"/>
          <w:spacing w:val="0"/>
          <w:color w:val="000000"/>
          <w:position w:val="0"/>
        </w:rPr>
        <w:t>Транспозиция магистральных сосудов 127 Трепетание 30 Трехпредсердное сердце 137</w:t>
      </w:r>
    </w:p>
    <w:p>
      <w:pPr>
        <w:pStyle w:val="Style11"/>
        <w:widowControl w:val="0"/>
        <w:keepNext w:val="0"/>
        <w:keepLines w:val="0"/>
        <w:shd w:val="clear" w:color="auto" w:fill="auto"/>
        <w:bidi w:val="0"/>
        <w:jc w:val="left"/>
        <w:spacing w:before="0" w:after="44" w:line="210" w:lineRule="exact"/>
        <w:ind w:left="0" w:right="0" w:firstLine="0"/>
      </w:pPr>
      <w:r>
        <w:rPr>
          <w:lang w:val="ru-RU" w:eastAsia="ru-RU" w:bidi="ru-RU"/>
          <w:w w:val="100"/>
          <w:spacing w:val="0"/>
          <w:color w:val="000000"/>
          <w:position w:val="0"/>
        </w:rPr>
        <w:t>У</w:t>
      </w:r>
    </w:p>
    <w:p>
      <w:pPr>
        <w:pStyle w:val="Style30"/>
        <w:widowControl w:val="0"/>
        <w:keepNext w:val="0"/>
        <w:keepLines w:val="0"/>
        <w:shd w:val="clear" w:color="auto" w:fill="auto"/>
        <w:bidi w:val="0"/>
        <w:jc w:val="left"/>
        <w:spacing w:before="0" w:after="0"/>
        <w:ind w:left="0" w:right="1420" w:firstLine="0"/>
      </w:pPr>
      <w:r>
        <w:rPr>
          <w:lang w:val="ru-RU" w:eastAsia="ru-RU" w:bidi="ru-RU"/>
          <w:w w:val="100"/>
          <w:spacing w:val="0"/>
          <w:color w:val="000000"/>
          <w:position w:val="0"/>
        </w:rPr>
        <w:t xml:space="preserve">Усиление I и II тона сердца 19 Усиление </w:t>
      </w:r>
      <w:r>
        <w:rPr>
          <w:lang w:val="en-US" w:eastAsia="en-US" w:bidi="en-US"/>
          <w:w w:val="100"/>
          <w:spacing w:val="0"/>
          <w:color w:val="000000"/>
          <w:position w:val="0"/>
        </w:rPr>
        <w:t xml:space="preserve">I </w:t>
      </w:r>
      <w:r>
        <w:rPr>
          <w:lang w:val="ru-RU" w:eastAsia="ru-RU" w:bidi="ru-RU"/>
          <w:w w:val="100"/>
          <w:spacing w:val="0"/>
          <w:color w:val="000000"/>
          <w:position w:val="0"/>
        </w:rPr>
        <w:t xml:space="preserve">тона 20 Усиление </w:t>
      </w:r>
      <w:r>
        <w:rPr>
          <w:lang w:val="en-US" w:eastAsia="en-US" w:bidi="en-US"/>
          <w:w w:val="100"/>
          <w:spacing w:val="0"/>
          <w:color w:val="000000"/>
          <w:position w:val="0"/>
        </w:rPr>
        <w:t xml:space="preserve">II </w:t>
      </w:r>
      <w:r>
        <w:rPr>
          <w:lang w:val="ru-RU" w:eastAsia="ru-RU" w:bidi="ru-RU"/>
          <w:w w:val="100"/>
          <w:spacing w:val="0"/>
          <w:color w:val="000000"/>
          <w:position w:val="0"/>
        </w:rPr>
        <w:t>тона 20</w:t>
      </w:r>
    </w:p>
    <w:p>
      <w:pPr>
        <w:pStyle w:val="Style30"/>
        <w:widowControl w:val="0"/>
        <w:keepNext w:val="0"/>
        <w:keepLines w:val="0"/>
        <w:shd w:val="clear" w:color="auto" w:fill="auto"/>
        <w:bidi w:val="0"/>
        <w:jc w:val="left"/>
        <w:spacing w:before="0" w:after="125"/>
        <w:ind w:left="0" w:right="0" w:firstLine="0"/>
      </w:pPr>
      <w:r>
        <w:rPr>
          <w:lang w:val="ru-RU" w:eastAsia="ru-RU" w:bidi="ru-RU"/>
          <w:w w:val="100"/>
          <w:spacing w:val="0"/>
          <w:color w:val="000000"/>
          <w:position w:val="0"/>
        </w:rPr>
        <w:t>Ускоренный идиовентрикулярный ритм сердца 510 Ускоренный ритм 28</w:t>
      </w:r>
    </w:p>
    <w:p>
      <w:pPr>
        <w:pStyle w:val="Style11"/>
        <w:widowControl w:val="0"/>
        <w:keepNext w:val="0"/>
        <w:keepLines w:val="0"/>
        <w:shd w:val="clear" w:color="auto" w:fill="auto"/>
        <w:bidi w:val="0"/>
        <w:jc w:val="left"/>
        <w:spacing w:before="0" w:after="78" w:line="210" w:lineRule="exact"/>
        <w:ind w:left="0" w:right="0" w:firstLine="0"/>
      </w:pPr>
      <w:r>
        <w:rPr>
          <w:lang w:val="ru-RU" w:eastAsia="ru-RU" w:bidi="ru-RU"/>
          <w:w w:val="100"/>
          <w:spacing w:val="0"/>
          <w:color w:val="000000"/>
          <w:position w:val="0"/>
        </w:rPr>
        <w:t>Ф</w:t>
      </w:r>
    </w:p>
    <w:p>
      <w:pPr>
        <w:pStyle w:val="Style30"/>
        <w:widowControl w:val="0"/>
        <w:keepNext w:val="0"/>
        <w:keepLines w:val="0"/>
        <w:shd w:val="clear" w:color="auto" w:fill="auto"/>
        <w:bidi w:val="0"/>
        <w:jc w:val="left"/>
        <w:spacing w:before="0" w:after="0"/>
        <w:ind w:left="0" w:right="680" w:firstLine="0"/>
      </w:pPr>
      <w:r>
        <w:rPr>
          <w:lang w:val="ru-RU" w:eastAsia="ru-RU" w:bidi="ru-RU"/>
          <w:w w:val="100"/>
          <w:spacing w:val="0"/>
          <w:color w:val="000000"/>
          <w:position w:val="0"/>
        </w:rPr>
        <w:t>Фасцикулярная блокада, или блокада ветви 30 Феохромоцитома 458 Фетальное кровообращение 11 Фетальный миокард 11 Фибрилляция 33 Фибрилляция желудочков 522 Фибромы сердца 444 Физикальное обследование 19 Деформация грудной клетки 19 Сердечный горб 19 Перкуссия 19 Форма сердца 33</w:t>
      </w:r>
    </w:p>
    <w:p>
      <w:pPr>
        <w:pStyle w:val="Style30"/>
        <w:widowControl w:val="0"/>
        <w:keepNext w:val="0"/>
        <w:keepLines w:val="0"/>
        <w:shd w:val="clear" w:color="auto" w:fill="auto"/>
        <w:bidi w:val="0"/>
        <w:jc w:val="left"/>
        <w:spacing w:before="0" w:after="0"/>
        <w:ind w:left="520" w:right="0" w:hanging="240"/>
      </w:pPr>
      <w:r>
        <w:rPr>
          <w:lang w:val="ru-RU" w:eastAsia="ru-RU" w:bidi="ru-RU"/>
          <w:w w:val="100"/>
          <w:spacing w:val="0"/>
          <w:color w:val="000000"/>
          <w:position w:val="0"/>
        </w:rPr>
        <w:t>Конституциональные особенности положения сердца 33 Нормостеническое сердце 33 Гиперстеническое сердце 33 Гипостеническое сердце 33</w:t>
      </w:r>
    </w:p>
    <w:p>
      <w:pPr>
        <w:pStyle w:val="Style30"/>
        <w:widowControl w:val="0"/>
        <w:keepNext w:val="0"/>
        <w:keepLines w:val="0"/>
        <w:shd w:val="clear" w:color="auto" w:fill="auto"/>
        <w:bidi w:val="0"/>
        <w:jc w:val="left"/>
        <w:spacing w:before="0" w:after="0"/>
        <w:ind w:left="520" w:right="0" w:firstLine="0"/>
      </w:pPr>
      <w:r>
        <w:rPr>
          <w:lang w:val="ru-RU" w:eastAsia="ru-RU" w:bidi="ru-RU"/>
          <w:w w:val="100"/>
          <w:spacing w:val="0"/>
          <w:color w:val="000000"/>
          <w:position w:val="0"/>
        </w:rPr>
        <w:t xml:space="preserve">Гипопластическое сердце (сердце Крауза </w:t>
      </w:r>
      <w:r>
        <w:rPr>
          <w:lang w:val="en-US" w:eastAsia="en-US" w:bidi="en-US"/>
          <w:w w:val="100"/>
          <w:spacing w:val="0"/>
          <w:color w:val="000000"/>
          <w:position w:val="0"/>
        </w:rPr>
        <w:t xml:space="preserve">Kraus) </w:t>
      </w:r>
      <w:r>
        <w:rPr>
          <w:lang w:val="ru-RU" w:eastAsia="ru-RU" w:bidi="ru-RU"/>
          <w:w w:val="100"/>
          <w:spacing w:val="0"/>
          <w:color w:val="000000"/>
          <w:position w:val="0"/>
        </w:rPr>
        <w:t xml:space="preserve">33 Вертикальная форма сердца </w:t>
      </w:r>
      <w:r>
        <w:rPr>
          <w:lang w:val="en-US" w:eastAsia="en-US" w:bidi="en-US"/>
          <w:w w:val="100"/>
          <w:spacing w:val="0"/>
          <w:color w:val="000000"/>
          <w:position w:val="0"/>
        </w:rPr>
        <w:t>33</w:t>
      </w:r>
    </w:p>
    <w:p>
      <w:pPr>
        <w:pStyle w:val="Style30"/>
        <w:widowControl w:val="0"/>
        <w:keepNext w:val="0"/>
        <w:keepLines w:val="0"/>
        <w:shd w:val="clear" w:color="auto" w:fill="auto"/>
        <w:bidi w:val="0"/>
        <w:jc w:val="left"/>
        <w:spacing w:before="0" w:after="0"/>
        <w:ind w:left="280" w:right="0" w:firstLine="0"/>
      </w:pPr>
      <w:r>
        <w:br w:type="column"/>
      </w:r>
      <w:r>
        <w:rPr>
          <w:lang w:val="ru-RU" w:eastAsia="ru-RU" w:bidi="ru-RU"/>
          <w:w w:val="100"/>
          <w:spacing w:val="0"/>
          <w:color w:val="000000"/>
          <w:position w:val="0"/>
        </w:rPr>
        <w:t xml:space="preserve">Митральная форма сердца </w:t>
      </w:r>
      <w:r>
        <w:rPr>
          <w:lang w:val="en-US" w:eastAsia="en-US" w:bidi="en-US"/>
          <w:w w:val="100"/>
          <w:spacing w:val="0"/>
          <w:color w:val="000000"/>
          <w:position w:val="0"/>
        </w:rPr>
        <w:t>33</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Аортальная форма сердца 33</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Треугольная форма сердца 34</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Сердечная тень в виде «турецкой сабли» 35</w:t>
      </w:r>
    </w:p>
    <w:p>
      <w:pPr>
        <w:pStyle w:val="Style30"/>
        <w:widowControl w:val="0"/>
        <w:keepNext w:val="0"/>
        <w:keepLines w:val="0"/>
        <w:shd w:val="clear" w:color="auto" w:fill="auto"/>
        <w:bidi w:val="0"/>
        <w:jc w:val="left"/>
        <w:spacing w:before="0" w:after="0"/>
        <w:ind w:left="280" w:right="0" w:firstLine="0"/>
      </w:pPr>
      <w:r>
        <w:rPr>
          <w:lang w:val="ru-RU" w:eastAsia="ru-RU" w:bidi="ru-RU"/>
          <w:w w:val="100"/>
          <w:spacing w:val="0"/>
          <w:color w:val="000000"/>
          <w:position w:val="0"/>
        </w:rPr>
        <w:t>Сердечная тень в виде «восьмерки» или «снежной бабы» 35</w:t>
      </w:r>
    </w:p>
    <w:p>
      <w:pPr>
        <w:pStyle w:val="Style30"/>
        <w:widowControl w:val="0"/>
        <w:keepNext w:val="0"/>
        <w:keepLines w:val="0"/>
        <w:shd w:val="clear" w:color="auto" w:fill="auto"/>
        <w:bidi w:val="0"/>
        <w:jc w:val="left"/>
        <w:spacing w:before="0" w:after="185"/>
        <w:ind w:left="280" w:right="0" w:firstLine="0"/>
      </w:pPr>
      <w:r>
        <w:rPr>
          <w:lang w:val="ru-RU" w:eastAsia="ru-RU" w:bidi="ru-RU"/>
          <w:w w:val="100"/>
          <w:spacing w:val="0"/>
          <w:color w:val="000000"/>
          <w:position w:val="0"/>
        </w:rPr>
        <w:t>Сердечная тень в виде «яйца, лежащего на боку» 35</w:t>
      </w:r>
    </w:p>
    <w:p>
      <w:pPr>
        <w:pStyle w:val="Style11"/>
        <w:widowControl w:val="0"/>
        <w:keepNext w:val="0"/>
        <w:keepLines w:val="0"/>
        <w:shd w:val="clear" w:color="auto" w:fill="auto"/>
        <w:bidi w:val="0"/>
        <w:jc w:val="left"/>
        <w:spacing w:before="0" w:after="8" w:line="210" w:lineRule="exact"/>
        <w:ind w:left="0" w:right="0" w:firstLine="0"/>
      </w:pPr>
      <w:r>
        <w:rPr>
          <w:lang w:val="ru-RU" w:eastAsia="ru-RU" w:bidi="ru-RU"/>
          <w:w w:val="100"/>
          <w:spacing w:val="0"/>
          <w:color w:val="000000"/>
          <w:position w:val="0"/>
        </w:rPr>
        <w:t>Х</w:t>
      </w:r>
    </w:p>
    <w:p>
      <w:pPr>
        <w:pStyle w:val="Style30"/>
        <w:widowControl w:val="0"/>
        <w:keepNext w:val="0"/>
        <w:keepLines w:val="0"/>
        <w:shd w:val="clear" w:color="auto" w:fill="auto"/>
        <w:bidi w:val="0"/>
        <w:jc w:val="left"/>
        <w:spacing w:before="0" w:after="14" w:line="180" w:lineRule="exact"/>
        <w:ind w:left="0" w:right="0" w:firstLine="0"/>
      </w:pPr>
      <w:r>
        <w:rPr>
          <w:lang w:val="ru-RU" w:eastAsia="ru-RU" w:bidi="ru-RU"/>
          <w:w w:val="100"/>
          <w:spacing w:val="0"/>
          <w:color w:val="000000"/>
          <w:position w:val="0"/>
        </w:rPr>
        <w:t>Хромосомные аномалии 409</w:t>
      </w:r>
    </w:p>
    <w:p>
      <w:pPr>
        <w:pStyle w:val="Style30"/>
        <w:widowControl w:val="0"/>
        <w:keepNext w:val="0"/>
        <w:keepLines w:val="0"/>
        <w:shd w:val="clear" w:color="auto" w:fill="auto"/>
        <w:bidi w:val="0"/>
        <w:jc w:val="left"/>
        <w:spacing w:before="0" w:after="168" w:line="180" w:lineRule="exact"/>
        <w:ind w:left="0" w:right="0" w:firstLine="0"/>
      </w:pPr>
      <w:r>
        <w:rPr>
          <w:lang w:val="ru-RU" w:eastAsia="ru-RU" w:bidi="ru-RU"/>
          <w:w w:val="100"/>
          <w:spacing w:val="0"/>
          <w:color w:val="000000"/>
          <w:position w:val="0"/>
        </w:rPr>
        <w:t>Хроническая постэмболическая легочная гипертензия 388</w:t>
      </w:r>
    </w:p>
    <w:p>
      <w:pPr>
        <w:pStyle w:val="Style11"/>
        <w:widowControl w:val="0"/>
        <w:keepNext w:val="0"/>
        <w:keepLines w:val="0"/>
        <w:shd w:val="clear" w:color="auto" w:fill="auto"/>
        <w:bidi w:val="0"/>
        <w:jc w:val="left"/>
        <w:spacing w:before="0" w:after="0" w:line="210" w:lineRule="exact"/>
        <w:ind w:left="0" w:right="0" w:firstLine="0"/>
      </w:pPr>
      <w:r>
        <w:rPr>
          <w:lang w:val="ru-RU" w:eastAsia="ru-RU" w:bidi="ru-RU"/>
          <w:w w:val="100"/>
          <w:spacing w:val="0"/>
          <w:color w:val="000000"/>
          <w:position w:val="0"/>
        </w:rPr>
        <w:t>Ц</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Цианоз 18</w:t>
      </w:r>
    </w:p>
    <w:p>
      <w:pPr>
        <w:pStyle w:val="Style30"/>
        <w:widowControl w:val="0"/>
        <w:keepNext w:val="0"/>
        <w:keepLines w:val="0"/>
        <w:shd w:val="clear" w:color="auto" w:fill="auto"/>
        <w:bidi w:val="0"/>
        <w:jc w:val="left"/>
        <w:spacing w:before="0" w:after="185"/>
        <w:ind w:left="280" w:right="0" w:firstLine="0"/>
      </w:pPr>
      <w:r>
        <w:rPr>
          <w:lang w:val="ru-RU" w:eastAsia="ru-RU" w:bidi="ru-RU"/>
          <w:w w:val="100"/>
          <w:spacing w:val="0"/>
          <w:color w:val="000000"/>
          <w:position w:val="0"/>
        </w:rPr>
        <w:t>Интермиттирующий цианоз 18 Центральный цианоз 18</w:t>
      </w:r>
    </w:p>
    <w:p>
      <w:pPr>
        <w:pStyle w:val="Style11"/>
        <w:widowControl w:val="0"/>
        <w:keepNext w:val="0"/>
        <w:keepLines w:val="0"/>
        <w:shd w:val="clear" w:color="auto" w:fill="auto"/>
        <w:bidi w:val="0"/>
        <w:jc w:val="left"/>
        <w:spacing w:before="0" w:after="0" w:line="210" w:lineRule="exact"/>
        <w:ind w:left="0" w:right="0" w:firstLine="0"/>
      </w:pPr>
      <w:r>
        <w:rPr>
          <w:lang w:val="ru-RU" w:eastAsia="ru-RU" w:bidi="ru-RU"/>
          <w:w w:val="100"/>
          <w:spacing w:val="0"/>
          <w:color w:val="000000"/>
          <w:position w:val="0"/>
        </w:rPr>
        <w:t>Ч</w:t>
      </w:r>
    </w:p>
    <w:p>
      <w:pPr>
        <w:pStyle w:val="Style30"/>
        <w:widowControl w:val="0"/>
        <w:keepNext w:val="0"/>
        <w:keepLines w:val="0"/>
        <w:shd w:val="clear" w:color="auto" w:fill="auto"/>
        <w:bidi w:val="0"/>
        <w:jc w:val="left"/>
        <w:spacing w:before="0" w:after="185"/>
        <w:ind w:left="0" w:right="0" w:firstLine="0"/>
      </w:pPr>
      <w:r>
        <w:rPr>
          <w:lang w:val="ru-RU" w:eastAsia="ru-RU" w:bidi="ru-RU"/>
          <w:w w:val="100"/>
          <w:spacing w:val="0"/>
          <w:color w:val="000000"/>
          <w:position w:val="0"/>
        </w:rPr>
        <w:t>Частично открытый атриовентрикулярный канал 107 Частичный аномальный дренаж легочных вен 126</w:t>
      </w:r>
    </w:p>
    <w:p>
      <w:pPr>
        <w:pStyle w:val="Style11"/>
        <w:widowControl w:val="0"/>
        <w:keepNext w:val="0"/>
        <w:keepLines w:val="0"/>
        <w:shd w:val="clear" w:color="auto" w:fill="auto"/>
        <w:bidi w:val="0"/>
        <w:jc w:val="left"/>
        <w:spacing w:before="0" w:after="0" w:line="210" w:lineRule="exact"/>
        <w:ind w:left="0" w:right="0" w:firstLine="0"/>
      </w:pPr>
      <w:r>
        <w:rPr>
          <w:lang w:val="ru-RU" w:eastAsia="ru-RU" w:bidi="ru-RU"/>
          <w:w w:val="100"/>
          <w:spacing w:val="0"/>
          <w:color w:val="000000"/>
          <w:position w:val="0"/>
        </w:rPr>
        <w:t>Ш, Щ</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Шум Карей-Кумбса 21 Шум Флинта 21 Шумы сердца 20</w:t>
      </w:r>
    </w:p>
    <w:p>
      <w:pPr>
        <w:pStyle w:val="Style30"/>
        <w:widowControl w:val="0"/>
        <w:keepNext w:val="0"/>
        <w:keepLines w:val="0"/>
        <w:shd w:val="clear" w:color="auto" w:fill="auto"/>
        <w:bidi w:val="0"/>
        <w:jc w:val="left"/>
        <w:spacing w:before="0" w:after="185"/>
        <w:ind w:left="0" w:right="0" w:firstLine="0"/>
      </w:pPr>
      <w:r>
        <w:rPr>
          <w:lang w:val="ru-RU" w:eastAsia="ru-RU" w:bidi="ru-RU"/>
          <w:w w:val="100"/>
          <w:spacing w:val="0"/>
          <w:color w:val="000000"/>
          <w:position w:val="0"/>
        </w:rPr>
        <w:t>Щелчки (клики) систолические 20</w:t>
      </w:r>
    </w:p>
    <w:p>
      <w:pPr>
        <w:pStyle w:val="Style11"/>
        <w:widowControl w:val="0"/>
        <w:keepNext w:val="0"/>
        <w:keepLines w:val="0"/>
        <w:shd w:val="clear" w:color="auto" w:fill="auto"/>
        <w:bidi w:val="0"/>
        <w:jc w:val="left"/>
        <w:spacing w:before="0" w:after="0" w:line="210" w:lineRule="exact"/>
        <w:ind w:left="0" w:right="0" w:firstLine="0"/>
      </w:pPr>
      <w:r>
        <w:rPr>
          <w:lang w:val="ru-RU" w:eastAsia="ru-RU" w:bidi="ru-RU"/>
          <w:w w:val="100"/>
          <w:spacing w:val="0"/>
          <w:color w:val="000000"/>
          <w:position w:val="0"/>
        </w:rPr>
        <w:t>Э</w:t>
      </w:r>
    </w:p>
    <w:p>
      <w:pPr>
        <w:pStyle w:val="Style30"/>
        <w:widowControl w:val="0"/>
        <w:keepNext w:val="0"/>
        <w:keepLines w:val="0"/>
        <w:shd w:val="clear" w:color="auto" w:fill="auto"/>
        <w:bidi w:val="0"/>
        <w:jc w:val="left"/>
        <w:spacing w:before="0" w:after="0"/>
        <w:ind w:left="0" w:right="0" w:firstLine="0"/>
      </w:pPr>
      <w:r>
        <w:rPr>
          <w:lang w:val="ru-RU" w:eastAsia="ru-RU" w:bidi="ru-RU"/>
          <w:w w:val="100"/>
          <w:spacing w:val="0"/>
          <w:color w:val="000000"/>
          <w:position w:val="0"/>
        </w:rPr>
        <w:t>Экстрасистолия 30 Электрокардиография 32 Электрокардиограмма детей 7-15 лет 24 Электрокардиограмма доношенных новорожденных 23 Электрокардиограмма недоношенных новорожденных 23 Электрокардиография в диагностике перегрузки (дилатации, гипертрофии) камер сердца 25 Эмбриология и анатомия аортального клапана 202 Эмбриология и анатомия сердца плода 9 Закладка сердца 9 Этапы морфогенеза сердца 10 Эмбриология и нормальная функциональная анатомия митрального клапана 172</w:t>
      </w:r>
    </w:p>
    <w:p>
      <w:pPr>
        <w:pStyle w:val="Style30"/>
        <w:widowControl w:val="0"/>
        <w:keepNext w:val="0"/>
        <w:keepLines w:val="0"/>
        <w:shd w:val="clear" w:color="auto" w:fill="auto"/>
        <w:bidi w:val="0"/>
        <w:jc w:val="left"/>
        <w:spacing w:before="0" w:after="0"/>
        <w:ind w:left="0" w:right="0" w:firstLine="0"/>
        <w:sectPr>
          <w:pgSz w:w="11900" w:h="16840"/>
          <w:pgMar w:top="1594" w:left="898" w:right="1128" w:bottom="207" w:header="0" w:footer="3" w:gutter="0"/>
          <w:rtlGutter w:val="0"/>
          <w:cols w:num="2" w:space="187"/>
          <w:noEndnote/>
          <w:docGrid w:linePitch="360"/>
        </w:sectPr>
      </w:pPr>
      <w:r>
        <w:rPr>
          <w:lang w:val="ru-RU" w:eastAsia="ru-RU" w:bidi="ru-RU"/>
          <w:w w:val="100"/>
          <w:spacing w:val="0"/>
          <w:color w:val="000000"/>
          <w:position w:val="0"/>
        </w:rPr>
        <w:t>Эмбриология и нормальная анатомия коронарного кровообращения 324 Эмбриональное развитие сердца 9 Эндомиокардиальный фиброз 264 Эозинофильный легочный васкулит 393 Эхокардиография 35</w:t>
      </w: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line="240" w:lineRule="exact"/>
        <w:rPr>
          <w:sz w:val="19"/>
          <w:szCs w:val="19"/>
        </w:rPr>
      </w:pPr>
    </w:p>
    <w:p>
      <w:pPr>
        <w:widowControl w:val="0"/>
        <w:spacing w:before="111" w:after="111" w:line="240" w:lineRule="exact"/>
        <w:rPr>
          <w:sz w:val="19"/>
          <w:szCs w:val="19"/>
        </w:rPr>
      </w:pPr>
    </w:p>
    <w:p>
      <w:pPr>
        <w:widowControl w:val="0"/>
        <w:rPr>
          <w:sz w:val="2"/>
          <w:szCs w:val="2"/>
        </w:rPr>
        <w:sectPr>
          <w:type w:val="continuous"/>
          <w:pgSz w:w="11900" w:h="16840"/>
          <w:pgMar w:top="1473" w:left="0" w:right="0" w:bottom="192" w:header="0" w:footer="3" w:gutter="0"/>
          <w:rtlGutter w:val="0"/>
          <w:cols w:space="720"/>
          <w:noEndnote/>
          <w:docGrid w:linePitch="360"/>
        </w:sectPr>
      </w:pPr>
    </w:p>
    <w:p>
      <w:pPr>
        <w:widowControl w:val="0"/>
        <w:spacing w:line="645" w:lineRule="exact"/>
      </w:pPr>
      <w:r>
        <w:pict>
          <v:shape id="_x0000_s2192" type="#_x0000_t75" style="position:absolute;margin-left:147.85pt;margin-top:0;width:209.75pt;height:14.9pt;z-index:-251658572;mso-wrap-distance-left:5.pt;mso-wrap-distance-right:5.pt;mso-position-horizontal-relative:margin" wrapcoords="0 0">
            <v:imagedata r:id="rId1503" r:href="rId1504"/>
            <w10:wrap anchorx="margin"/>
          </v:shape>
        </w:pict>
      </w:r>
    </w:p>
    <w:p>
      <w:pPr>
        <w:widowControl w:val="0"/>
        <w:rPr>
          <w:sz w:val="2"/>
          <w:szCs w:val="2"/>
        </w:rPr>
        <w:sectPr>
          <w:type w:val="continuous"/>
          <w:pgSz w:w="11900" w:h="16840"/>
          <w:pgMar w:top="1473" w:left="898" w:right="1124" w:bottom="192" w:header="0" w:footer="3" w:gutter="0"/>
          <w:rtlGutter w:val="0"/>
          <w:cols w:space="720"/>
          <w:noEndnote/>
          <w:docGrid w:linePitch="360"/>
        </w:sectPr>
      </w:pPr>
    </w:p>
    <w:p>
      <w:pPr>
        <w:pStyle w:val="Style54"/>
        <w:widowControl w:val="0"/>
        <w:keepNext/>
        <w:keepLines/>
        <w:shd w:val="clear" w:color="auto" w:fill="auto"/>
        <w:bidi w:val="0"/>
        <w:jc w:val="center"/>
        <w:spacing w:before="0" w:after="2330" w:line="480" w:lineRule="exact"/>
        <w:ind w:left="0" w:right="0" w:firstLine="0"/>
      </w:pPr>
      <w:bookmarkStart w:id="852" w:name="bookmark852"/>
      <w:r>
        <w:rPr>
          <w:lang w:val="ru-RU" w:eastAsia="ru-RU" w:bidi="ru-RU"/>
          <w:w w:val="100"/>
          <w:spacing w:val="0"/>
          <w:color w:val="000000"/>
          <w:position w:val="0"/>
        </w:rPr>
        <w:t>Белозеров Ю.М.</w:t>
        <w:br/>
        <w:t>ДЕТСКАЯ КАРДИОЛОГИЯ</w:t>
      </w:r>
      <w:bookmarkEnd w:id="852"/>
    </w:p>
    <w:p>
      <w:pPr>
        <w:pStyle w:val="Style45"/>
        <w:widowControl w:val="0"/>
        <w:keepNext w:val="0"/>
        <w:keepLines w:val="0"/>
        <w:shd w:val="clear" w:color="auto" w:fill="auto"/>
        <w:bidi w:val="0"/>
        <w:jc w:val="center"/>
        <w:spacing w:before="0" w:after="0"/>
        <w:ind w:left="0" w:right="0" w:firstLine="0"/>
      </w:pPr>
      <w:r>
        <w:rPr>
          <w:lang w:val="ru-RU" w:eastAsia="ru-RU" w:bidi="ru-RU"/>
          <w:w w:val="100"/>
          <w:spacing w:val="0"/>
          <w:color w:val="000000"/>
          <w:position w:val="0"/>
        </w:rPr>
        <w:t>Лицензия ИД №04317 от 20.04.01 г.</w:t>
        <w:br/>
        <w:t xml:space="preserve">Подписано в печать 00.00.04. Формат </w:t>
      </w:r>
      <w:r>
        <w:rPr>
          <w:lang w:val="en-US" w:eastAsia="en-US" w:bidi="en-US"/>
          <w:w w:val="100"/>
          <w:spacing w:val="0"/>
          <w:color w:val="000000"/>
          <w:position w:val="0"/>
        </w:rPr>
        <w:t xml:space="preserve">60x84 </w:t>
      </w:r>
      <w:r>
        <w:rPr>
          <w:lang w:val="ru-RU" w:eastAsia="ru-RU" w:bidi="ru-RU"/>
          <w:w w:val="100"/>
          <w:spacing w:val="0"/>
          <w:color w:val="000000"/>
          <w:position w:val="0"/>
        </w:rPr>
        <w:t>1/8.</w:t>
        <w:br/>
        <w:t>Бумага офсетная. Объем 75 п.л.</w:t>
      </w:r>
    </w:p>
    <w:p>
      <w:pPr>
        <w:pStyle w:val="Style45"/>
        <w:tabs>
          <w:tab w:leader="underscore" w:pos="3026" w:val="left"/>
        </w:tabs>
        <w:widowControl w:val="0"/>
        <w:keepNext w:val="0"/>
        <w:keepLines w:val="0"/>
        <w:shd w:val="clear" w:color="auto" w:fill="auto"/>
        <w:bidi w:val="0"/>
        <w:spacing w:before="0" w:after="360"/>
        <w:ind w:left="780" w:right="0" w:firstLine="0"/>
      </w:pPr>
      <w:r>
        <w:rPr>
          <w:lang w:val="ru-RU" w:eastAsia="ru-RU" w:bidi="ru-RU"/>
          <w:w w:val="100"/>
          <w:spacing w:val="0"/>
          <w:color w:val="000000"/>
          <w:position w:val="0"/>
        </w:rPr>
        <w:t>Тираж 0000 экз. Заказ №</w:t>
        <w:tab/>
      </w:r>
    </w:p>
    <w:p>
      <w:pPr>
        <w:pStyle w:val="Style45"/>
        <w:widowControl w:val="0"/>
        <w:keepNext w:val="0"/>
        <w:keepLines w:val="0"/>
        <w:shd w:val="clear" w:color="auto" w:fill="auto"/>
        <w:bidi w:val="0"/>
        <w:jc w:val="center"/>
        <w:spacing w:before="0" w:after="360"/>
        <w:ind w:left="0" w:right="0" w:firstLine="0"/>
      </w:pPr>
      <w:r>
        <w:rPr>
          <w:lang w:val="ru-RU" w:eastAsia="ru-RU" w:bidi="ru-RU"/>
          <w:w w:val="100"/>
          <w:spacing w:val="0"/>
          <w:color w:val="000000"/>
          <w:position w:val="0"/>
        </w:rPr>
        <w:t>Издательство «МЕДпресс-информ».</w:t>
        <w:br/>
        <w:t>107140, Москва, ул. Краснопрудная, д.1, стр. 1</w:t>
        <w:br/>
        <w:t>Для корреспонденции: 105062, Москва, а/я 63</w:t>
        <w:br/>
      </w:r>
      <w:r>
        <w:rPr>
          <w:lang w:val="en-US" w:eastAsia="en-US" w:bidi="en-US"/>
          <w:w w:val="100"/>
          <w:spacing w:val="0"/>
          <w:color w:val="000000"/>
          <w:position w:val="0"/>
        </w:rPr>
        <w:t xml:space="preserve">E-mail: </w:t>
      </w:r>
      <w:r>
        <w:fldChar w:fldCharType="begin"/>
      </w:r>
      <w:r>
        <w:rPr>
          <w:color w:val="000000"/>
        </w:rPr>
        <w:instrText> HYPERLINK "mailto:medpress@mtu-net.ru" </w:instrText>
      </w:r>
      <w:r>
        <w:fldChar w:fldCharType="separate"/>
      </w:r>
      <w:r>
        <w:rPr>
          <w:rStyle w:val="Hyperlink"/>
          <w:lang w:val="en-US" w:eastAsia="en-US" w:bidi="en-US"/>
          <w:w w:val="100"/>
          <w:spacing w:val="0"/>
          <w:position w:val="0"/>
        </w:rPr>
        <w:t>medpress@mtu-net.ru</w:t>
      </w:r>
      <w:r>
        <w:fldChar w:fldCharType="end"/>
      </w:r>
      <w:r>
        <w:rPr>
          <w:lang w:val="en-US" w:eastAsia="en-US" w:bidi="en-US"/>
          <w:w w:val="100"/>
          <w:spacing w:val="0"/>
          <w:color w:val="000000"/>
          <w:position w:val="0"/>
        </w:rPr>
        <w:br/>
      </w:r>
      <w:r>
        <w:fldChar w:fldCharType="begin"/>
      </w:r>
      <w:r>
        <w:rPr>
          <w:color w:val="000000"/>
        </w:rPr>
        <w:instrText> HYPERLINK "http://www.med-press.ru" </w:instrText>
      </w:r>
      <w:r>
        <w:fldChar w:fldCharType="separate"/>
      </w:r>
      <w:r>
        <w:rPr>
          <w:rStyle w:val="Hyperlink"/>
          <w:lang w:val="en-US" w:eastAsia="en-US" w:bidi="en-US"/>
          <w:w w:val="100"/>
          <w:spacing w:val="0"/>
          <w:position w:val="0"/>
        </w:rPr>
        <w:t>www.med-press.ru</w:t>
      </w:r>
      <w:r>
        <w:fldChar w:fldCharType="end"/>
      </w:r>
    </w:p>
    <w:p>
      <w:pPr>
        <w:pStyle w:val="Style45"/>
        <w:widowControl w:val="0"/>
        <w:keepNext w:val="0"/>
        <w:keepLines w:val="0"/>
        <w:shd w:val="clear" w:color="auto" w:fill="auto"/>
        <w:bidi w:val="0"/>
        <w:jc w:val="center"/>
        <w:spacing w:before="0" w:after="0"/>
        <w:ind w:left="0" w:right="0" w:firstLine="0"/>
        <w:sectPr>
          <w:pgSz w:w="11900" w:h="16840"/>
          <w:pgMar w:top="5338" w:left="4080" w:right="4003" w:bottom="5338" w:header="0" w:footer="3" w:gutter="0"/>
          <w:rtlGutter w:val="0"/>
          <w:cols w:space="720"/>
          <w:noEndnote/>
          <w:docGrid w:linePitch="360"/>
        </w:sectPr>
      </w:pPr>
      <w:r>
        <w:rPr>
          <w:lang w:val="ru-RU" w:eastAsia="ru-RU" w:bidi="ru-RU"/>
          <w:w w:val="100"/>
          <w:spacing w:val="0"/>
          <w:color w:val="000000"/>
          <w:position w:val="0"/>
        </w:rPr>
        <w:t>Отпечатано с готовых диапозитивов</w:t>
        <w:br/>
        <w:t>в АПП «Джангар», 358000, г. Элиста, ул. Ленина, 245</w:t>
      </w:r>
    </w:p>
    <w:p>
      <w:pPr>
        <w:pStyle w:val="Style3"/>
        <w:tabs>
          <w:tab w:leader="none" w:pos="735" w:val="left"/>
        </w:tabs>
        <w:widowControl w:val="0"/>
        <w:keepNext w:val="0"/>
        <w:keepLines w:val="0"/>
        <w:shd w:val="clear" w:color="auto" w:fill="auto"/>
        <w:bidi w:val="0"/>
        <w:jc w:val="left"/>
        <w:spacing w:before="0" w:after="0" w:line="216" w:lineRule="exact"/>
        <w:ind w:left="740" w:right="0" w:hanging="240"/>
      </w:pPr>
      <w:r>
        <w:rPr>
          <w:lang w:val="ru-RU" w:eastAsia="ru-RU" w:bidi="ru-RU"/>
          <w:w w:val="100"/>
          <w:spacing w:val="0"/>
          <w:color w:val="000000"/>
          <w:position w:val="0"/>
        </w:rPr>
        <w:t>•</w:t>
        <w:tab/>
        <w:t>повышение холестерина липопротеидов низкой плотности (ЛПНП);</w:t>
      </w:r>
    </w:p>
    <w:p>
      <w:pPr>
        <w:pStyle w:val="Style3"/>
        <w:numPr>
          <w:ilvl w:val="0"/>
          <w:numId w:val="1"/>
        </w:numPr>
        <w:tabs>
          <w:tab w:leader="none" w:pos="740" w:val="left"/>
        </w:tabs>
        <w:widowControl w:val="0"/>
        <w:keepNext w:val="0"/>
        <w:keepLines w:val="0"/>
        <w:shd w:val="clear" w:color="auto" w:fill="auto"/>
        <w:bidi w:val="0"/>
        <w:jc w:val="left"/>
        <w:spacing w:before="0" w:after="0" w:line="216" w:lineRule="exact"/>
        <w:ind w:left="740" w:right="0" w:hanging="240"/>
      </w:pPr>
      <w:r>
        <w:rPr>
          <w:lang w:val="ru-RU" w:eastAsia="ru-RU" w:bidi="ru-RU"/>
          <w:w w:val="100"/>
          <w:spacing w:val="0"/>
          <w:color w:val="000000"/>
          <w:position w:val="0"/>
        </w:rPr>
        <w:t>снижение липопротеидов высокой плотности (ЛПВП);</w:t>
      </w:r>
    </w:p>
    <w:p>
      <w:pPr>
        <w:pStyle w:val="Style3"/>
        <w:numPr>
          <w:ilvl w:val="0"/>
          <w:numId w:val="1"/>
        </w:numPr>
        <w:tabs>
          <w:tab w:leader="none" w:pos="735" w:val="left"/>
        </w:tabs>
        <w:widowControl w:val="0"/>
        <w:keepNext w:val="0"/>
        <w:keepLines w:val="0"/>
        <w:shd w:val="clear" w:color="auto" w:fill="auto"/>
        <w:bidi w:val="0"/>
        <w:jc w:val="both"/>
        <w:spacing w:before="0" w:after="0" w:line="216" w:lineRule="exact"/>
        <w:ind w:left="500" w:right="0" w:firstLine="0"/>
      </w:pPr>
      <w:r>
        <w:rPr>
          <w:lang w:val="ru-RU" w:eastAsia="ru-RU" w:bidi="ru-RU"/>
          <w:w w:val="100"/>
          <w:spacing w:val="0"/>
          <w:color w:val="000000"/>
          <w:position w:val="0"/>
        </w:rPr>
        <w:t>артериальную гипертензию.</w:t>
      </w:r>
    </w:p>
    <w:p>
      <w:pPr>
        <w:pStyle w:val="Style3"/>
        <w:numPr>
          <w:ilvl w:val="0"/>
          <w:numId w:val="1"/>
        </w:numPr>
        <w:tabs>
          <w:tab w:leader="none" w:pos="520" w:val="left"/>
        </w:tabs>
        <w:widowControl w:val="0"/>
        <w:keepNext w:val="0"/>
        <w:keepLines w:val="0"/>
        <w:shd w:val="clear" w:color="auto" w:fill="auto"/>
        <w:bidi w:val="0"/>
        <w:jc w:val="both"/>
        <w:spacing w:before="0" w:after="0" w:line="216" w:lineRule="exact"/>
        <w:ind w:left="500" w:right="0" w:hanging="220"/>
      </w:pPr>
      <w:r>
        <w:rPr>
          <w:lang w:val="ru-RU" w:eastAsia="ru-RU" w:bidi="ru-RU"/>
          <w:w w:val="100"/>
          <w:spacing w:val="0"/>
          <w:color w:val="000000"/>
          <w:position w:val="0"/>
        </w:rPr>
        <w:t>В последние годы ряд исследователей дополнили ме</w:t>
        <w:softHyphen/>
        <w:t>таболический синдром новыми характеристиками, такими как: гиперурикемия, гипертрофия левого же</w:t>
        <w:softHyphen/>
        <w:t>лудочка, гиперфибриногенемия и т.д. Распростра</w:t>
        <w:softHyphen/>
        <w:t>ненность метаболического синдрома, по данным раз</w:t>
        <w:softHyphen/>
        <w:t>ных авторов, составляет 5-20%. До настоящего време</w:t>
        <w:softHyphen/>
        <w:t>ни не установлена первопричина метаболических на</w:t>
        <w:softHyphen/>
        <w:t>рушений в патогенезе метаболического синдрома.</w:t>
      </w:r>
    </w:p>
    <w:p>
      <w:pPr>
        <w:pStyle w:val="Style3"/>
        <w:numPr>
          <w:ilvl w:val="0"/>
          <w:numId w:val="1"/>
        </w:numPr>
        <w:tabs>
          <w:tab w:leader="none" w:pos="510" w:val="left"/>
        </w:tabs>
        <w:widowControl w:val="0"/>
        <w:keepNext w:val="0"/>
        <w:keepLines w:val="0"/>
        <w:shd w:val="clear" w:color="auto" w:fill="auto"/>
        <w:bidi w:val="0"/>
        <w:jc w:val="both"/>
        <w:spacing w:before="0" w:after="0" w:line="216" w:lineRule="exact"/>
        <w:ind w:left="500" w:right="0" w:hanging="220"/>
      </w:pPr>
      <w:r>
        <w:rPr>
          <w:lang w:val="ru-RU" w:eastAsia="ru-RU" w:bidi="ru-RU"/>
          <w:w w:val="100"/>
          <w:spacing w:val="0"/>
          <w:color w:val="000000"/>
          <w:position w:val="0"/>
        </w:rPr>
        <w:t>Длительное психоэмоциональное напряжение и отрица</w:t>
        <w:softHyphen/>
        <w:t>тельные эмоции</w:t>
      </w:r>
    </w:p>
    <w:p>
      <w:pPr>
        <w:pStyle w:val="Style3"/>
        <w:widowControl w:val="0"/>
        <w:keepNext w:val="0"/>
        <w:keepLines w:val="0"/>
        <w:shd w:val="clear" w:color="auto" w:fill="auto"/>
        <w:bidi w:val="0"/>
        <w:jc w:val="both"/>
        <w:spacing w:before="0" w:after="0" w:line="216" w:lineRule="exact"/>
        <w:ind w:left="0" w:right="0" w:firstLine="280"/>
      </w:pPr>
      <w:r>
        <w:rPr>
          <w:lang w:val="ru-RU" w:eastAsia="ru-RU" w:bidi="ru-RU"/>
          <w:w w:val="100"/>
          <w:spacing w:val="0"/>
          <w:color w:val="000000"/>
          <w:position w:val="0"/>
        </w:rPr>
        <w:t>Ряд исследований свидетельствует о важной роли вегета</w:t>
        <w:softHyphen/>
        <w:t>тивной дизрегуляции в этиологии и патогенезе повышен</w:t>
        <w:softHyphen/>
        <w:t>ного АД, которые в свою очередь тесно сопряжены с лично</w:t>
        <w:softHyphen/>
      </w:r>
    </w:p>
    <w:p>
      <w:pPr>
        <w:pStyle w:val="Style3"/>
        <w:tabs>
          <w:tab w:leader="none" w:pos="460" w:val="left"/>
        </w:tabs>
        <w:widowControl w:val="0"/>
        <w:keepNext w:val="0"/>
        <w:keepLines w:val="0"/>
        <w:shd w:val="clear" w:color="auto" w:fill="auto"/>
        <w:bidi w:val="0"/>
        <w:jc w:val="both"/>
        <w:spacing w:before="0" w:after="0" w:line="216" w:lineRule="exact"/>
        <w:ind w:left="220" w:right="0" w:firstLine="0"/>
      </w:pPr>
      <w:r>
        <w:rPr>
          <w:lang w:val="ru-RU" w:eastAsia="ru-RU" w:bidi="ru-RU"/>
          <w:w w:val="100"/>
          <w:spacing w:val="0"/>
          <w:color w:val="000000"/>
          <w:position w:val="0"/>
        </w:rPr>
        <w:t>•</w:t>
        <w:tab/>
        <w:t>Обморок.</w:t>
      </w:r>
    </w:p>
    <w:p>
      <w:pPr>
        <w:pStyle w:val="Style3"/>
        <w:numPr>
          <w:ilvl w:val="0"/>
          <w:numId w:val="3"/>
        </w:numPr>
        <w:tabs>
          <w:tab w:leader="none" w:pos="460" w:val="left"/>
        </w:tabs>
        <w:widowControl w:val="0"/>
        <w:keepNext w:val="0"/>
        <w:keepLines w:val="0"/>
        <w:shd w:val="clear" w:color="auto" w:fill="auto"/>
        <w:bidi w:val="0"/>
        <w:jc w:val="both"/>
        <w:spacing w:before="0" w:after="0" w:line="216" w:lineRule="exact"/>
        <w:ind w:left="220" w:right="0" w:firstLine="0"/>
      </w:pPr>
      <w:r>
        <w:rPr>
          <w:lang w:val="ru-RU" w:eastAsia="ru-RU" w:bidi="ru-RU"/>
          <w:w w:val="100"/>
          <w:spacing w:val="0"/>
          <w:color w:val="000000"/>
          <w:position w:val="0"/>
        </w:rPr>
        <w:t>Одышка.</w:t>
      </w:r>
    </w:p>
    <w:p>
      <w:pPr>
        <w:pStyle w:val="Style3"/>
        <w:numPr>
          <w:ilvl w:val="0"/>
          <w:numId w:val="3"/>
        </w:numPr>
        <w:tabs>
          <w:tab w:leader="none" w:pos="460" w:val="left"/>
        </w:tabs>
        <w:widowControl w:val="0"/>
        <w:keepNext w:val="0"/>
        <w:keepLines w:val="0"/>
        <w:shd w:val="clear" w:color="auto" w:fill="auto"/>
        <w:bidi w:val="0"/>
        <w:jc w:val="both"/>
        <w:spacing w:before="0" w:after="0" w:line="216" w:lineRule="exact"/>
        <w:ind w:left="220" w:right="0" w:firstLine="0"/>
      </w:pPr>
      <w:r>
        <w:rPr>
          <w:lang w:val="ru-RU" w:eastAsia="ru-RU" w:bidi="ru-RU"/>
          <w:w w:val="100"/>
          <w:spacing w:val="0"/>
          <w:color w:val="000000"/>
          <w:position w:val="0"/>
        </w:rPr>
        <w:t>Изменение цвета кожных покровов.</w:t>
      </w:r>
    </w:p>
    <w:p>
      <w:pPr>
        <w:pStyle w:val="Style3"/>
        <w:numPr>
          <w:ilvl w:val="0"/>
          <w:numId w:val="3"/>
        </w:numPr>
        <w:tabs>
          <w:tab w:leader="none" w:pos="460" w:val="left"/>
        </w:tabs>
        <w:widowControl w:val="0"/>
        <w:keepNext w:val="0"/>
        <w:keepLines w:val="0"/>
        <w:shd w:val="clear" w:color="auto" w:fill="auto"/>
        <w:bidi w:val="0"/>
        <w:jc w:val="both"/>
        <w:spacing w:before="0" w:after="0" w:line="216" w:lineRule="exact"/>
        <w:ind w:left="220" w:right="0" w:firstLine="0"/>
      </w:pPr>
      <w:r>
        <w:rPr>
          <w:lang w:val="ru-RU" w:eastAsia="ru-RU" w:bidi="ru-RU"/>
          <w:w w:val="100"/>
          <w:spacing w:val="0"/>
          <w:color w:val="000000"/>
          <w:position w:val="0"/>
        </w:rPr>
        <w:t>Неврологические изменения (возбуждение.)</w:t>
      </w:r>
    </w:p>
    <w:p>
      <w:pPr>
        <w:pStyle w:val="Style3"/>
        <w:numPr>
          <w:ilvl w:val="0"/>
          <w:numId w:val="3"/>
        </w:numPr>
        <w:tabs>
          <w:tab w:leader="none" w:pos="460" w:val="left"/>
        </w:tabs>
        <w:widowControl w:val="0"/>
        <w:keepNext w:val="0"/>
        <w:keepLines w:val="0"/>
        <w:shd w:val="clear" w:color="auto" w:fill="auto"/>
        <w:bidi w:val="0"/>
        <w:jc w:val="both"/>
        <w:spacing w:before="0" w:after="0" w:line="216" w:lineRule="exact"/>
        <w:ind w:left="220" w:right="0" w:firstLine="0"/>
      </w:pPr>
      <w:r>
        <w:rPr>
          <w:lang w:val="ru-RU" w:eastAsia="ru-RU" w:bidi="ru-RU"/>
          <w:w w:val="100"/>
          <w:spacing w:val="0"/>
          <w:color w:val="000000"/>
          <w:position w:val="0"/>
        </w:rPr>
        <w:t>Предшествующее заболевание с температурой.</w:t>
      </w:r>
    </w:p>
    <w:p>
      <w:pPr>
        <w:pStyle w:val="Style3"/>
        <w:numPr>
          <w:ilvl w:val="0"/>
          <w:numId w:val="3"/>
        </w:numPr>
        <w:tabs>
          <w:tab w:leader="none" w:pos="460" w:val="left"/>
        </w:tabs>
        <w:widowControl w:val="0"/>
        <w:keepNext w:val="0"/>
        <w:keepLines w:val="0"/>
        <w:shd w:val="clear" w:color="auto" w:fill="auto"/>
        <w:bidi w:val="0"/>
        <w:jc w:val="left"/>
        <w:spacing w:before="0" w:after="0" w:line="216" w:lineRule="exact"/>
        <w:ind w:left="440" w:right="0" w:hanging="220"/>
      </w:pPr>
      <w:r>
        <w:rPr>
          <w:lang w:val="ru-RU" w:eastAsia="ru-RU" w:bidi="ru-RU"/>
          <w:w w:val="100"/>
          <w:spacing w:val="0"/>
          <w:color w:val="000000"/>
          <w:position w:val="0"/>
        </w:rPr>
        <w:t>Связь с физической нагрузкой, приемом пищи и стрессом.</w:t>
      </w:r>
    </w:p>
    <w:p>
      <w:pPr>
        <w:pStyle w:val="Style3"/>
        <w:numPr>
          <w:ilvl w:val="0"/>
          <w:numId w:val="3"/>
        </w:numPr>
        <w:tabs>
          <w:tab w:leader="none" w:pos="446" w:val="left"/>
        </w:tabs>
        <w:widowControl w:val="0"/>
        <w:keepNext w:val="0"/>
        <w:keepLines w:val="0"/>
        <w:shd w:val="clear" w:color="auto" w:fill="auto"/>
        <w:bidi w:val="0"/>
        <w:jc w:val="left"/>
        <w:spacing w:before="0" w:after="0" w:line="216" w:lineRule="exact"/>
        <w:ind w:left="440" w:right="0" w:hanging="220"/>
      </w:pPr>
      <w:r>
        <w:rPr>
          <w:lang w:val="ru-RU" w:eastAsia="ru-RU" w:bidi="ru-RU"/>
          <w:w w:val="100"/>
          <w:spacing w:val="0"/>
          <w:color w:val="000000"/>
          <w:position w:val="0"/>
        </w:rPr>
        <w:t>Анамнез, особенно наличие в истории болезни тахи</w:t>
        <w:softHyphen/>
        <w:t>кардии или других проблем, связанных с сердцем.</w:t>
      </w:r>
    </w:p>
    <w:p>
      <w:pPr>
        <w:pStyle w:val="Style3"/>
        <w:numPr>
          <w:ilvl w:val="0"/>
          <w:numId w:val="3"/>
        </w:numPr>
        <w:tabs>
          <w:tab w:leader="none" w:pos="450" w:val="left"/>
        </w:tabs>
        <w:widowControl w:val="0"/>
        <w:keepNext w:val="0"/>
        <w:keepLines w:val="0"/>
        <w:shd w:val="clear" w:color="auto" w:fill="auto"/>
        <w:bidi w:val="0"/>
        <w:jc w:val="both"/>
        <w:spacing w:before="0" w:after="0" w:line="216" w:lineRule="exact"/>
        <w:ind w:left="220" w:right="0" w:firstLine="0"/>
      </w:pPr>
      <w:r>
        <w:rPr>
          <w:lang w:val="ru-RU" w:eastAsia="ru-RU" w:bidi="ru-RU"/>
          <w:w w:val="100"/>
          <w:spacing w:val="0"/>
          <w:color w:val="000000"/>
          <w:position w:val="0"/>
        </w:rPr>
        <w:t>Употребление лекарственных средств:</w:t>
      </w:r>
    </w:p>
    <w:p>
      <w:pPr>
        <w:pStyle w:val="Style3"/>
        <w:numPr>
          <w:ilvl w:val="0"/>
          <w:numId w:val="5"/>
        </w:numPr>
        <w:tabs>
          <w:tab w:leader="none" w:pos="675" w:val="left"/>
        </w:tabs>
        <w:widowControl w:val="0"/>
        <w:keepNext w:val="0"/>
        <w:keepLines w:val="0"/>
        <w:shd w:val="clear" w:color="auto" w:fill="auto"/>
        <w:bidi w:val="0"/>
        <w:jc w:val="both"/>
        <w:spacing w:before="0" w:after="0" w:line="216" w:lineRule="exact"/>
        <w:ind w:left="440" w:right="0" w:firstLine="0"/>
      </w:pPr>
      <w:r>
        <w:rPr>
          <w:lang w:val="ru-RU" w:eastAsia="ru-RU" w:bidi="ru-RU"/>
          <w:w w:val="100"/>
          <w:spacing w:val="0"/>
          <w:color w:val="000000"/>
          <w:position w:val="0"/>
        </w:rPr>
        <w:t>амфетамины;</w:t>
      </w:r>
    </w:p>
    <w:p>
      <w:pPr>
        <w:pStyle w:val="Style3"/>
        <w:numPr>
          <w:ilvl w:val="0"/>
          <w:numId w:val="5"/>
        </w:numPr>
        <w:tabs>
          <w:tab w:leader="none" w:pos="675" w:val="left"/>
        </w:tabs>
        <w:widowControl w:val="0"/>
        <w:keepNext w:val="0"/>
        <w:keepLines w:val="0"/>
        <w:shd w:val="clear" w:color="auto" w:fill="auto"/>
        <w:bidi w:val="0"/>
        <w:jc w:val="both"/>
        <w:spacing w:before="0" w:after="0" w:line="216" w:lineRule="exact"/>
        <w:ind w:left="440" w:right="0" w:firstLine="0"/>
      </w:pPr>
      <w:r>
        <w:rPr>
          <w:lang w:val="ru-RU" w:eastAsia="ru-RU" w:bidi="ru-RU"/>
          <w:w w:val="100"/>
          <w:spacing w:val="0"/>
          <w:color w:val="000000"/>
          <w:position w:val="0"/>
        </w:rPr>
        <w:t>кокаин;</w:t>
      </w:r>
    </w:p>
    <w:p>
      <w:pPr>
        <w:pStyle w:val="Style3"/>
        <w:numPr>
          <w:ilvl w:val="0"/>
          <w:numId w:val="5"/>
        </w:numPr>
        <w:tabs>
          <w:tab w:leader="none" w:pos="675" w:val="left"/>
        </w:tabs>
        <w:widowControl w:val="0"/>
        <w:keepNext w:val="0"/>
        <w:keepLines w:val="0"/>
        <w:shd w:val="clear" w:color="auto" w:fill="auto"/>
        <w:bidi w:val="0"/>
        <w:jc w:val="both"/>
        <w:spacing w:before="0" w:after="0" w:line="216" w:lineRule="exact"/>
        <w:ind w:left="440" w:right="0" w:firstLine="0"/>
      </w:pPr>
      <w:r>
        <w:rPr>
          <w:lang w:val="ru-RU" w:eastAsia="ru-RU" w:bidi="ru-RU"/>
          <w:w w:val="100"/>
          <w:spacing w:val="0"/>
          <w:color w:val="000000"/>
          <w:position w:val="0"/>
        </w:rPr>
        <w:t>кофеин;</w:t>
      </w:r>
    </w:p>
    <w:p>
      <w:pPr>
        <w:pStyle w:val="Style3"/>
        <w:numPr>
          <w:ilvl w:val="0"/>
          <w:numId w:val="5"/>
        </w:numPr>
        <w:tabs>
          <w:tab w:leader="none" w:pos="680" w:val="left"/>
        </w:tabs>
        <w:widowControl w:val="0"/>
        <w:keepNext w:val="0"/>
        <w:keepLines w:val="0"/>
        <w:shd w:val="clear" w:color="auto" w:fill="auto"/>
        <w:bidi w:val="0"/>
        <w:jc w:val="both"/>
        <w:spacing w:before="0" w:after="0" w:line="216" w:lineRule="exact"/>
        <w:ind w:left="440" w:right="0" w:firstLine="0"/>
      </w:pPr>
      <w:r>
        <w:rPr>
          <w:lang w:val="ru-RU" w:eastAsia="ru-RU" w:bidi="ru-RU"/>
          <w:w w:val="100"/>
          <w:spacing w:val="0"/>
          <w:color w:val="000000"/>
          <w:position w:val="0"/>
        </w:rPr>
        <w:t>эфедрин;</w:t>
      </w:r>
    </w:p>
    <w:p>
      <w:pPr>
        <w:pStyle w:val="Style3"/>
        <w:numPr>
          <w:ilvl w:val="0"/>
          <w:numId w:val="5"/>
        </w:numPr>
        <w:tabs>
          <w:tab w:leader="none" w:pos="675" w:val="left"/>
        </w:tabs>
        <w:widowControl w:val="0"/>
        <w:keepNext w:val="0"/>
        <w:keepLines w:val="0"/>
        <w:shd w:val="clear" w:color="auto" w:fill="auto"/>
        <w:bidi w:val="0"/>
        <w:jc w:val="both"/>
        <w:spacing w:before="0" w:after="0" w:line="216" w:lineRule="exact"/>
        <w:ind w:left="440" w:right="0" w:firstLine="0"/>
      </w:pPr>
      <w:r>
        <w:rPr>
          <w:lang w:val="ru-RU" w:eastAsia="ru-RU" w:bidi="ru-RU"/>
          <w:w w:val="100"/>
          <w:spacing w:val="0"/>
          <w:color w:val="000000"/>
          <w:position w:val="0"/>
        </w:rPr>
        <w:t>антигистаминные препараты;</w:t>
      </w:r>
    </w:p>
    <w:p>
      <w:pPr>
        <w:pStyle w:val="Style3"/>
        <w:numPr>
          <w:ilvl w:val="0"/>
          <w:numId w:val="5"/>
        </w:numPr>
        <w:tabs>
          <w:tab w:leader="none" w:pos="680" w:val="left"/>
        </w:tabs>
        <w:widowControl w:val="0"/>
        <w:keepNext w:val="0"/>
        <w:keepLines w:val="0"/>
        <w:shd w:val="clear" w:color="auto" w:fill="auto"/>
        <w:bidi w:val="0"/>
        <w:jc w:val="both"/>
        <w:spacing w:before="0" w:after="0" w:line="216" w:lineRule="exact"/>
        <w:ind w:left="440" w:right="0" w:firstLine="0"/>
      </w:pPr>
      <w:r>
        <w:rPr>
          <w:lang w:val="ru-RU" w:eastAsia="ru-RU" w:bidi="ru-RU"/>
          <w:w w:val="100"/>
          <w:spacing w:val="0"/>
          <w:color w:val="000000"/>
          <w:position w:val="0"/>
        </w:rPr>
        <w:t>фенотиазины;</w:t>
      </w:r>
    </w:p>
    <w:sectPr>
      <w:type w:val="continuous"/>
      <w:pgSz w:w="11900" w:h="16840"/>
      <w:pgMar w:top="5338" w:left="4080" w:right="4003" w:bottom="5338" w:header="0" w:footer="3" w:gutter="0"/>
      <w:rtlGutter w:val="0"/>
      <w:cols w:space="720"/>
      <w:noEndnote/>
      <w:docGrid w:linePitch="360"/>
    </w:sectPr>
  </w:body>
</w:document>
</file>

<file path=word/footnotes.xml><?xml version="1.0" encoding="utf-8"?>
<w:footnote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footnote w:id="0" w:type="separator">
    <w:p>
      <w:r>
        <w:separator/>
      </w:r>
    </w:p>
  </w:footnote>
  <w:footnote w:id="1" w:type="continuationSeparator">
    <w:p>
      <w:r>
        <w:continuationSeparator/>
      </w:r>
    </w:p>
  </w:footnote>
  <w:footnote w:id="2">
    <w:p>
      <w:pPr>
        <w:pStyle w:val="Style3"/>
        <w:widowControl w:val="0"/>
        <w:keepNext w:val="0"/>
        <w:keepLines w:val="0"/>
        <w:shd w:val="clear" w:color="auto" w:fill="auto"/>
        <w:bidi w:val="0"/>
        <w:jc w:val="left"/>
        <w:spacing w:before="0" w:after="0" w:line="180" w:lineRule="exact"/>
        <w:ind w:left="420" w:right="0" w:firstLine="0"/>
      </w:pPr>
      <w:r>
        <w:rPr>
          <w:lang w:val="ru-RU" w:eastAsia="ru-RU" w:bidi="ru-RU"/>
          <w:w w:val="100"/>
          <w:spacing w:val="0"/>
          <w:color w:val="000000"/>
          <w:position w:val="0"/>
        </w:rPr>
        <w:footnoteRef/>
      </w:r>
      <w:r>
        <w:rPr>
          <w:lang w:val="ru-RU" w:eastAsia="ru-RU" w:bidi="ru-RU"/>
          <w:w w:val="100"/>
          <w:spacing w:val="0"/>
          <w:color w:val="000000"/>
          <w:position w:val="0"/>
        </w:rPr>
        <w:t xml:space="preserve"> В том числе наркомания и токсикомания.</w:t>
      </w:r>
    </w:p>
  </w:footnote>
  <w:footnote w:id="3">
    <w:p>
      <w:pPr>
        <w:pStyle w:val="Style3"/>
        <w:widowControl w:val="0"/>
        <w:keepNext w:val="0"/>
        <w:keepLines w:val="0"/>
        <w:shd w:val="clear" w:color="auto" w:fill="auto"/>
        <w:bidi w:val="0"/>
        <w:jc w:val="left"/>
        <w:spacing w:before="0" w:after="0" w:line="192" w:lineRule="exact"/>
        <w:ind w:left="0" w:right="0" w:firstLine="200"/>
      </w:pPr>
      <w:r>
        <w:rPr>
          <w:lang w:val="ru-RU" w:eastAsia="ru-RU" w:bidi="ru-RU"/>
          <w:w w:val="100"/>
          <w:spacing w:val="0"/>
          <w:color w:val="000000"/>
          <w:position w:val="0"/>
        </w:rPr>
        <w:footnoteRef/>
      </w:r>
      <w:r>
        <w:rPr>
          <w:lang w:val="ru-RU" w:eastAsia="ru-RU" w:bidi="ru-RU"/>
          <w:w w:val="100"/>
          <w:spacing w:val="0"/>
          <w:color w:val="000000"/>
          <w:position w:val="0"/>
        </w:rPr>
        <w:t xml:space="preserve"> Исключая однократные положительные культуры коагулазоотрицательных стафилококков (обычно эпидермального стафилококка) и микроорганизмов, не являющихся причиной ИЭ.</w:t>
      </w:r>
    </w:p>
  </w:footnote>
  <w:footnote w:id="4">
    <w:p>
      <w:pPr>
        <w:pStyle w:val="Style3"/>
        <w:widowControl w:val="0"/>
        <w:keepNext w:val="0"/>
        <w:keepLines w:val="0"/>
        <w:shd w:val="clear" w:color="auto" w:fill="auto"/>
        <w:bidi w:val="0"/>
        <w:jc w:val="left"/>
        <w:spacing w:before="0" w:after="0" w:line="192" w:lineRule="exact"/>
        <w:ind w:left="200" w:right="0" w:firstLine="0"/>
      </w:pPr>
      <w:r>
        <w:rPr>
          <w:lang w:val="ru-RU" w:eastAsia="ru-RU" w:bidi="ru-RU"/>
          <w:w w:val="100"/>
          <w:spacing w:val="0"/>
          <w:color w:val="000000"/>
          <w:position w:val="0"/>
        </w:rPr>
        <w:footnoteRef/>
      </w:r>
      <w:r>
        <w:rPr>
          <w:lang w:val="ru-RU" w:eastAsia="ru-RU" w:bidi="ru-RU"/>
          <w:w w:val="100"/>
          <w:spacing w:val="0"/>
          <w:color w:val="000000"/>
          <w:position w:val="0"/>
        </w:rPr>
        <w:t xml:space="preserve"> </w:t>
      </w:r>
      <w:r>
        <w:rPr>
          <w:lang w:val="en-US" w:eastAsia="en-US" w:bidi="en-US"/>
          <w:w w:val="100"/>
          <w:spacing w:val="0"/>
          <w:color w:val="000000"/>
          <w:position w:val="0"/>
        </w:rPr>
        <w:t xml:space="preserve">Coxiella burnetii, </w:t>
      </w:r>
      <w:r>
        <w:rPr>
          <w:lang w:val="ru-RU" w:eastAsia="ru-RU" w:bidi="ru-RU"/>
          <w:w w:val="100"/>
          <w:spacing w:val="0"/>
          <w:color w:val="000000"/>
          <w:position w:val="0"/>
        </w:rPr>
        <w:t>бруцеллы, хламидии, легионеллы.</w:t>
      </w:r>
    </w:p>
  </w:footnote>
  <w:footnote w:id="5">
    <w:p>
      <w:pPr>
        <w:pStyle w:val="Style3"/>
        <w:widowControl w:val="0"/>
        <w:keepNext w:val="0"/>
        <w:keepLines w:val="0"/>
        <w:shd w:val="clear" w:color="auto" w:fill="auto"/>
        <w:bidi w:val="0"/>
        <w:jc w:val="left"/>
        <w:spacing w:before="0" w:after="0" w:line="192" w:lineRule="exact"/>
        <w:ind w:left="200" w:right="0" w:firstLine="0"/>
      </w:pPr>
      <w:r>
        <w:rPr>
          <w:lang w:val="ru-RU" w:eastAsia="ru-RU" w:bidi="ru-RU"/>
          <w:w w:val="100"/>
          <w:spacing w:val="0"/>
          <w:color w:val="000000"/>
          <w:position w:val="0"/>
        </w:rPr>
        <w:footnoteRef/>
      </w:r>
      <w:r>
        <w:rPr>
          <w:lang w:val="ru-RU" w:eastAsia="ru-RU" w:bidi="ru-RU"/>
          <w:w w:val="100"/>
          <w:spacing w:val="0"/>
          <w:color w:val="000000"/>
          <w:position w:val="0"/>
        </w:rPr>
        <w:t xml:space="preserve"> Утолщение клапанных створок, «старые» вегетации и т.д.</w:t>
      </w:r>
    </w:p>
  </w:footnote>
  <w:footnote w:id="6">
    <w:p>
      <w:pPr>
        <w:pStyle w:val="Style3"/>
        <w:tabs>
          <w:tab w:leader="none" w:pos="520" w:val="left"/>
        </w:tabs>
        <w:widowControl w:val="0"/>
        <w:keepNext w:val="0"/>
        <w:keepLines w:val="0"/>
        <w:shd w:val="clear" w:color="auto" w:fill="auto"/>
        <w:bidi w:val="0"/>
        <w:jc w:val="both"/>
        <w:spacing w:before="0" w:after="0" w:line="216" w:lineRule="exact"/>
        <w:ind w:left="500" w:right="0" w:hanging="220"/>
      </w:pPr>
      <w:r>
        <w:rPr>
          <w:lang w:val="ru-RU" w:eastAsia="ru-RU" w:bidi="ru-RU"/>
          <w:w w:val="100"/>
          <w:spacing w:val="0"/>
          <w:color w:val="000000"/>
          <w:position w:val="0"/>
        </w:rPr>
        <w:footnoteRef/>
      </w:r>
      <w:r>
        <w:rPr>
          <w:lang w:val="ru-RU" w:eastAsia="ru-RU" w:bidi="ru-RU"/>
          <w:w w:val="100"/>
          <w:spacing w:val="0"/>
          <w:color w:val="000000"/>
          <w:position w:val="0"/>
        </w:rPr>
        <w:tab/>
        <w:t>История болезни должна включать время наступле - ния, пусковые механизмы, наличие в анамнезе эпизодов или аритмии, а также предыдущее лече</w:t>
        <w:softHyphen/>
        <w:t>ние.</w:t>
      </w:r>
    </w:p>
    <w:p>
      <w:pPr>
        <w:pStyle w:val="Style3"/>
        <w:numPr>
          <w:ilvl w:val="0"/>
          <w:numId w:val="7"/>
        </w:numPr>
        <w:tabs>
          <w:tab w:leader="none" w:pos="510" w:val="left"/>
        </w:tabs>
        <w:widowControl w:val="0"/>
        <w:keepNext w:val="0"/>
        <w:keepLines w:val="0"/>
        <w:shd w:val="clear" w:color="auto" w:fill="auto"/>
        <w:bidi w:val="0"/>
        <w:jc w:val="both"/>
        <w:spacing w:before="0" w:after="0" w:line="216" w:lineRule="exact"/>
        <w:ind w:left="500" w:right="0" w:hanging="220"/>
      </w:pPr>
      <w:r>
        <w:rPr>
          <w:lang w:val="ru-RU" w:eastAsia="ru-RU" w:bidi="ru-RU"/>
          <w:w w:val="100"/>
          <w:spacing w:val="0"/>
          <w:color w:val="000000"/>
          <w:position w:val="0"/>
        </w:rPr>
        <w:t>У гемодинамически нестабильных пациентов необ</w:t>
        <w:softHyphen/>
        <w:t>ходимо немедленно приступить к реанимационным мероприятиям при помощи кардиоверсии. Необхо</w:t>
        <w:softHyphen/>
        <w:t>димо также как можно раньше получить ЭКГ.</w:t>
      </w:r>
    </w:p>
  </w:footnote>
</w:footnotes>
</file>

<file path=word/header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type id="_x0000_t202" coordsize="21600,21600" o:spt="202" path="m,l,21600r21600,l21600,xe">
          <v:stroke joinstyle="miter"/>
          <v:path gradientshapeok="t" o:connecttype="rect"/>
        </v:shapetype>
        <v:shape id="_x0000_s1034" type="#_x0000_t202" style="position:absolute;margin-left:67.2pt;margin-top:54.35pt;width:481.2pt;height:8.9pt;z-index:-188744064;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1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9" type="#_x0000_t202" style="position:absolute;margin-left:46.8pt;margin-top:54.55pt;width:480.5pt;height:9.35pt;z-index:-188744048;mso-wrap-distance-left:5.pt;mso-wrap-distance-right:5.pt;mso-position-horizontal-relative:page;mso-position-vertical-relative:page" wrapcoords="0 0" filled="f" stroked="f">
          <v:textbox style="mso-fit-shape-to-text:t" inset="0,0,0,0">
            <w:txbxContent>
              <w:p>
                <w:pPr>
                  <w:pStyle w:val="Style24"/>
                  <w:tabs>
                    <w:tab w:leader="none" w:pos="9610" w:val="right"/>
                  </w:tabs>
                  <w:widowControl w:val="0"/>
                  <w:keepNext w:val="0"/>
                  <w:keepLines w:val="0"/>
                  <w:shd w:val="clear" w:color="auto" w:fill="000000"/>
                  <w:bidi w:val="0"/>
                  <w:jc w:val="left"/>
                  <w:spacing w:before="0" w:after="0" w:line="240" w:lineRule="auto"/>
                  <w:ind w:left="0" w:right="0" w:firstLine="0"/>
                </w:pPr>
                <w:r>
                  <w:rPr>
                    <w:rStyle w:val="CharStyle26"/>
                  </w:rPr>
                  <w:t>Глава I. Основы диагностики заболеваний сердца и сосудов</w:t>
                  <w:tab/>
                </w:r>
                <w:fldSimple w:instr=" PAGE \* MERGEFORMAT ">
                  <w:r>
                    <w:rPr>
                      <w:rStyle w:val="CharStyle27"/>
                    </w:rPr>
                    <w:t>#</w:t>
                  </w:r>
                </w:fldSimple>
              </w:p>
            </w:txbxContent>
          </v:textbox>
          <w10:wrap anchorx="page" anchory="page"/>
        </v:shape>
      </w:pict>
    </w:r>
  </w:p>
</w:hdr>
</file>

<file path=word/header1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15" type="#_x0000_t202" style="position:absolute;margin-left:67.2pt;margin-top:54.35pt;width:481.2pt;height:8.9pt;z-index:-188744046;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1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16" type="#_x0000_t202" style="position:absolute;margin-left:52.8pt;margin-top:54.35pt;width:481.45pt;height:8.9pt;z-index:-188744045;mso-wrap-distance-left:5.pt;mso-wrap-distance-right:5.pt;mso-position-horizontal-relative:page;mso-position-vertical-relative:page" wrapcoords="0 0" filled="f" stroked="f">
          <v:textbox style="mso-fit-shape-to-text:t" inset="0,0,0,0">
            <w:txbxContent>
              <w:p>
                <w:pPr>
                  <w:pStyle w:val="Style24"/>
                  <w:tabs>
                    <w:tab w:leader="none" w:pos="9629"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II. Врожденные пороки сердца</w:t>
                  <w:tab/>
                </w:r>
                <w:fldSimple w:instr=" PAGE \* MERGEFORMAT ">
                  <w:r>
                    <w:rPr>
                      <w:rStyle w:val="CharStyle98"/>
                    </w:rPr>
                    <w:t>#</w:t>
                  </w:r>
                </w:fldSimple>
              </w:p>
            </w:txbxContent>
          </v:textbox>
          <w10:wrap anchorx="page" anchory="page"/>
        </v:shape>
      </w:pict>
    </w:r>
  </w:p>
</w:hdr>
</file>

<file path=word/header1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33" type="#_x0000_t202" style="position:absolute;margin-left:67.2pt;margin-top:54.35pt;width:481.2pt;height:8.9pt;z-index:-188744041;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1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34" type="#_x0000_t202" style="position:absolute;margin-left:52.8pt;margin-top:54.35pt;width:481.45pt;height:8.9pt;z-index:-188744040;mso-wrap-distance-left:5.pt;mso-wrap-distance-right:5.pt;mso-position-horizontal-relative:page;mso-position-vertical-relative:page" wrapcoords="0 0" filled="f" stroked="f">
          <v:textbox style="mso-fit-shape-to-text:t" inset="0,0,0,0">
            <w:txbxContent>
              <w:p>
                <w:pPr>
                  <w:pStyle w:val="Style24"/>
                  <w:tabs>
                    <w:tab w:leader="none" w:pos="9629"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II. Врожденные пороки сердца</w:t>
                  <w:tab/>
                </w:r>
                <w:fldSimple w:instr=" PAGE \* MERGEFORMAT ">
                  <w:r>
                    <w:rPr>
                      <w:rStyle w:val="CharStyle98"/>
                    </w:rPr>
                    <w:t>#</w:t>
                  </w:r>
                </w:fldSimple>
              </w:p>
            </w:txbxContent>
          </v:textbox>
          <w10:wrap anchorx="page" anchory="page"/>
        </v:shape>
      </w:pict>
    </w:r>
  </w:p>
</w:hdr>
</file>

<file path=word/header1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35" type="#_x0000_t202" style="position:absolute;margin-left:526.3pt;margin-top:70.4pt;width:7.9pt;height:7.45pt;z-index:-188744039;mso-wrap-style:none;mso-wrap-distance-left:5.pt;mso-wrap-distance-right:5.pt;mso-position-horizontal-relative:page;mso-position-vertical-relative:page" wrapcoords="0 0" filled="f" stroked="f">
          <v:textbox style="mso-fit-shape-to-text:t" inset="0,0,0,0">
            <w:txbxContent>
              <w:p>
                <w:pPr>
                  <w:pStyle w:val="Style24"/>
                  <w:widowControl w:val="0"/>
                  <w:keepNext w:val="0"/>
                  <w:keepLines w:val="0"/>
                  <w:shd w:val="clear" w:color="auto" w:fill="000000"/>
                  <w:bidi w:val="0"/>
                  <w:jc w:val="left"/>
                  <w:spacing w:before="0" w:after="0" w:line="240" w:lineRule="auto"/>
                  <w:ind w:left="0" w:right="0" w:firstLine="0"/>
                </w:pPr>
                <w:fldSimple w:instr=" PAGE \* MERGEFORMAT ">
                  <w:r>
                    <w:rPr>
                      <w:rStyle w:val="CharStyle98"/>
                    </w:rPr>
                    <w:t>#</w:t>
                  </w:r>
                </w:fldSimple>
              </w:p>
            </w:txbxContent>
          </v:textbox>
          <w10:wrap anchorx="page" anchory="page"/>
        </v:shape>
      </w:pict>
    </w:r>
  </w:p>
</w:hdr>
</file>

<file path=word/header1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57" type="#_x0000_t202" style="position:absolute;margin-left:67.2pt;margin-top:54.35pt;width:481.2pt;height:8.9pt;z-index:-188744036;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1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58" type="#_x0000_t202" style="position:absolute;margin-left:52.8pt;margin-top:54.35pt;width:481.45pt;height:8.9pt;z-index:-188744035;mso-wrap-distance-left:5.pt;mso-wrap-distance-right:5.pt;mso-position-horizontal-relative:page;mso-position-vertical-relative:page" wrapcoords="0 0" filled="f" stroked="f">
          <v:textbox style="mso-fit-shape-to-text:t" inset="0,0,0,0">
            <w:txbxContent>
              <w:p>
                <w:pPr>
                  <w:pStyle w:val="Style24"/>
                  <w:tabs>
                    <w:tab w:leader="none" w:pos="9629"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II. Врожденные пороки сердца</w:t>
                  <w:tab/>
                </w:r>
                <w:fldSimple w:instr=" PAGE \* MERGEFORMAT ">
                  <w:r>
                    <w:rPr>
                      <w:rStyle w:val="CharStyle98"/>
                    </w:rPr>
                    <w:t>#</w:t>
                  </w:r>
                </w:fldSimple>
              </w:p>
            </w:txbxContent>
          </v:textbox>
          <w10:wrap anchorx="page" anchory="page"/>
        </v:shape>
      </w:pict>
    </w:r>
  </w:p>
</w:hdr>
</file>

<file path=word/header1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5" type="#_x0000_t202" style="position:absolute;margin-left:46.8pt;margin-top:54.55pt;width:480.5pt;height:9.35pt;z-index:-188744063;mso-wrap-distance-left:5.pt;mso-wrap-distance-right:5.pt;mso-position-horizontal-relative:page;mso-position-vertical-relative:page" wrapcoords="0 0" filled="f" stroked="f">
          <v:textbox style="mso-fit-shape-to-text:t" inset="0,0,0,0">
            <w:txbxContent>
              <w:p>
                <w:pPr>
                  <w:pStyle w:val="Style24"/>
                  <w:tabs>
                    <w:tab w:leader="none" w:pos="9610" w:val="right"/>
                  </w:tabs>
                  <w:widowControl w:val="0"/>
                  <w:keepNext w:val="0"/>
                  <w:keepLines w:val="0"/>
                  <w:shd w:val="clear" w:color="auto" w:fill="000000"/>
                  <w:bidi w:val="0"/>
                  <w:jc w:val="left"/>
                  <w:spacing w:before="0" w:after="0" w:line="240" w:lineRule="auto"/>
                  <w:ind w:left="0" w:right="0" w:firstLine="0"/>
                </w:pPr>
                <w:r>
                  <w:rPr>
                    <w:rStyle w:val="CharStyle26"/>
                  </w:rPr>
                  <w:t>Глава I. Основы диагностики заболеваний сердца и сосудов</w:t>
                  <w:tab/>
                </w:r>
                <w:fldSimple w:instr=" PAGE \* MERGEFORMAT ">
                  <w:r>
                    <w:rPr>
                      <w:rStyle w:val="CharStyle27"/>
                    </w:rPr>
                    <w:t>#</w:t>
                  </w:r>
                </w:fldSimple>
              </w:p>
            </w:txbxContent>
          </v:textbox>
          <w10:wrap anchorx="page" anchory="page"/>
        </v:shape>
      </w:pict>
    </w:r>
  </w:p>
</w:hdr>
</file>

<file path=word/header2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29" type="#_x0000_t202" style="position:absolute;margin-left:67.2pt;margin-top:54.35pt;width:481.2pt;height:8.9pt;z-index:-188744032;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2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30" type="#_x0000_t202" style="position:absolute;margin-left:52.8pt;margin-top:54.35pt;width:481.45pt;height:8.9pt;z-index:-188744031;mso-wrap-distance-left:5.pt;mso-wrap-distance-right:5.pt;mso-position-horizontal-relative:page;mso-position-vertical-relative:page" wrapcoords="0 0" filled="f" stroked="f">
          <v:textbox style="mso-fit-shape-to-text:t" inset="0,0,0,0">
            <w:txbxContent>
              <w:p>
                <w:pPr>
                  <w:pStyle w:val="Style24"/>
                  <w:tabs>
                    <w:tab w:leader="none" w:pos="9629"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II. Врожденные пороки сердца</w:t>
                  <w:tab/>
                </w:r>
                <w:fldSimple w:instr=" PAGE \* MERGEFORMAT ">
                  <w:r>
                    <w:rPr>
                      <w:rStyle w:val="CharStyle98"/>
                    </w:rPr>
                    <w:t>#</w:t>
                  </w:r>
                </w:fldSimple>
              </w:p>
            </w:txbxContent>
          </v:textbox>
          <w10:wrap anchorx="page" anchory="page"/>
        </v:shape>
      </w:pict>
    </w:r>
  </w:p>
</w:hdr>
</file>

<file path=word/header2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39" type="#_x0000_t202" style="position:absolute;margin-left:67.2pt;margin-top:54.35pt;width:481.2pt;height:8.9pt;z-index:-188744030;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2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40" type="#_x0000_t202" style="position:absolute;margin-left:52.8pt;margin-top:54.35pt;width:481.45pt;height:8.9pt;z-index:-188744029;mso-wrap-distance-left:5.pt;mso-wrap-distance-right:5.pt;mso-position-horizontal-relative:page;mso-position-vertical-relative:page" wrapcoords="0 0" filled="f" stroked="f">
          <v:textbox style="mso-fit-shape-to-text:t" inset="0,0,0,0">
            <w:txbxContent>
              <w:p>
                <w:pPr>
                  <w:pStyle w:val="Style24"/>
                  <w:tabs>
                    <w:tab w:leader="none" w:pos="9629"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II. Врожденные пороки сердца</w:t>
                  <w:tab/>
                </w:r>
                <w:fldSimple w:instr=" PAGE \* MERGEFORMAT ">
                  <w:r>
                    <w:rPr>
                      <w:rStyle w:val="CharStyle98"/>
                    </w:rPr>
                    <w:t>#</w:t>
                  </w:r>
                </w:fldSimple>
              </w:p>
            </w:txbxContent>
          </v:textbox>
          <w10:wrap anchorx="page" anchory="page"/>
        </v:shape>
      </w:pict>
    </w:r>
  </w:p>
</w:hdr>
</file>

<file path=word/header2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41" type="#_x0000_t202" style="position:absolute;margin-left:525.95pt;margin-top:72.45pt;width:12.25pt;height:7.45pt;z-index:-188744028;mso-wrap-style:none;mso-wrap-distance-left:5.pt;mso-wrap-distance-right:5.pt;mso-position-horizontal-relative:page;mso-position-vertical-relative:page" wrapcoords="0 0" filled="f" stroked="f">
          <v:textbox style="mso-fit-shape-to-text:t" inset="0,0,0,0">
            <w:txbxContent>
              <w:p>
                <w:pPr>
                  <w:pStyle w:val="Style24"/>
                  <w:widowControl w:val="0"/>
                  <w:keepNext w:val="0"/>
                  <w:keepLines w:val="0"/>
                  <w:shd w:val="clear" w:color="auto" w:fill="000000"/>
                  <w:bidi w:val="0"/>
                  <w:jc w:val="left"/>
                  <w:spacing w:before="0" w:after="0" w:line="240" w:lineRule="auto"/>
                  <w:ind w:left="0" w:right="0" w:firstLine="0"/>
                </w:pPr>
                <w:fldSimple w:instr=" PAGE \* MERGEFORMAT ">
                  <w:r>
                    <w:rPr>
                      <w:rStyle w:val="CharStyle98"/>
                    </w:rPr>
                    <w:t>#</w:t>
                  </w:r>
                </w:fldSimple>
              </w:p>
            </w:txbxContent>
          </v:textbox>
          <w10:wrap anchorx="page" anchory="page"/>
        </v:shape>
      </w:pict>
    </w:r>
  </w:p>
</w:hdr>
</file>

<file path=word/header2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91" type="#_x0000_t202" style="position:absolute;margin-left:67.2pt;margin-top:54.35pt;width:481.2pt;height:8.9pt;z-index:-188744020;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2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92" type="#_x0000_t202" style="position:absolute;margin-left:54.8pt;margin-top:62.9pt;width:483.85pt;height:7.9pt;z-index:-188744019;mso-wrap-distance-left:5.pt;mso-wrap-distance-right:5.pt;mso-position-horizontal-relative:page;mso-position-vertical-relative:page" wrapcoords="0 0" filled="f" stroked="f">
          <v:textbox style="mso-fit-shape-to-text:t" inset="0,0,0,0">
            <w:txbxContent>
              <w:p>
                <w:pPr>
                  <w:pStyle w:val="Style24"/>
                  <w:tabs>
                    <w:tab w:leader="none" w:pos="9677" w:val="right"/>
                  </w:tabs>
                  <w:widowControl w:val="0"/>
                  <w:keepNext w:val="0"/>
                  <w:keepLines w:val="0"/>
                  <w:shd w:val="clear" w:color="auto" w:fill="000000"/>
                  <w:bidi w:val="0"/>
                  <w:jc w:val="left"/>
                  <w:spacing w:before="0" w:after="0" w:line="240" w:lineRule="auto"/>
                  <w:ind w:left="0" w:right="0" w:firstLine="0"/>
                </w:pPr>
                <w:r>
                  <w:rPr>
                    <w:rStyle w:val="CharStyle128"/>
                  </w:rPr>
                  <w:t>Глава III. Клапанные пороки сердца</w:t>
                  <w:tab/>
                </w:r>
                <w:fldSimple w:instr=" PAGE \* MERGEFORMAT ">
                  <w:r>
                    <w:rPr>
                      <w:rStyle w:val="CharStyle129"/>
                    </w:rPr>
                    <w:t>#</w:t>
                  </w:r>
                </w:fldSimple>
              </w:p>
            </w:txbxContent>
          </v:textbox>
          <w10:wrap anchorx="page" anchory="page"/>
        </v:shape>
      </w:pict>
    </w:r>
  </w:p>
</w:hdr>
</file>

<file path=word/header2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75" type="#_x0000_t202" style="position:absolute;margin-left:67.2pt;margin-top:54.35pt;width:481.2pt;height:8.9pt;z-index:-188744012;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2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76" type="#_x0000_t202" style="position:absolute;margin-left:54.05pt;margin-top:62.9pt;width:483.85pt;height:7.9pt;z-index:-188744011;mso-wrap-distance-left:5.pt;mso-wrap-distance-right:5.pt;mso-position-horizontal-relative:page;mso-position-vertical-relative:page" wrapcoords="0 0" filled="f" stroked="f">
          <v:textbox style="mso-fit-shape-to-text:t" inset="0,0,0,0">
            <w:txbxContent>
              <w:p>
                <w:pPr>
                  <w:pStyle w:val="Style24"/>
                  <w:tabs>
                    <w:tab w:leader="none" w:pos="9677" w:val="right"/>
                  </w:tabs>
                  <w:widowControl w:val="0"/>
                  <w:keepNext w:val="0"/>
                  <w:keepLines w:val="0"/>
                  <w:shd w:val="clear" w:color="auto" w:fill="000000"/>
                  <w:bidi w:val="0"/>
                  <w:jc w:val="left"/>
                  <w:spacing w:before="0" w:after="0" w:line="240" w:lineRule="auto"/>
                  <w:ind w:left="0" w:right="0" w:firstLine="0"/>
                </w:pPr>
                <w:r>
                  <w:rPr>
                    <w:rStyle w:val="CharStyle128"/>
                  </w:rPr>
                  <w:t>Глава IV. Болезни миокарда</w:t>
                  <w:tab/>
                </w:r>
                <w:fldSimple w:instr=" PAGE \* MERGEFORMAT ">
                  <w:r>
                    <w:rPr>
                      <w:rStyle w:val="CharStyle129"/>
                    </w:rPr>
                    <w:t>#</w:t>
                  </w:r>
                </w:fldSimple>
              </w:p>
            </w:txbxContent>
          </v:textbox>
          <w10:wrap anchorx="page" anchory="page"/>
        </v:shape>
      </w:pict>
    </w:r>
  </w:p>
</w:hdr>
</file>

<file path=word/header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51" type="#_x0000_t202" style="position:absolute;margin-left:67.2pt;margin-top:54.35pt;width:481.2pt;height:8.9pt;z-index:-188744058;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3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14" type="#_x0000_t202" style="position:absolute;margin-left:67.2pt;margin-top:54.35pt;width:481.2pt;height:8.9pt;z-index:-188744009;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3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15" type="#_x0000_t202" style="position:absolute;margin-left:54.05pt;margin-top:62.9pt;width:483.85pt;height:7.9pt;z-index:-188744008;mso-wrap-distance-left:5.pt;mso-wrap-distance-right:5.pt;mso-position-horizontal-relative:page;mso-position-vertical-relative:page" wrapcoords="0 0" filled="f" stroked="f">
          <v:textbox style="mso-fit-shape-to-text:t" inset="0,0,0,0">
            <w:txbxContent>
              <w:p>
                <w:pPr>
                  <w:pStyle w:val="Style24"/>
                  <w:tabs>
                    <w:tab w:leader="none" w:pos="9677" w:val="right"/>
                  </w:tabs>
                  <w:widowControl w:val="0"/>
                  <w:keepNext w:val="0"/>
                  <w:keepLines w:val="0"/>
                  <w:shd w:val="clear" w:color="auto" w:fill="000000"/>
                  <w:bidi w:val="0"/>
                  <w:jc w:val="left"/>
                  <w:spacing w:before="0" w:after="0" w:line="240" w:lineRule="auto"/>
                  <w:ind w:left="0" w:right="0" w:firstLine="0"/>
                </w:pPr>
                <w:r>
                  <w:rPr>
                    <w:rStyle w:val="CharStyle128"/>
                  </w:rPr>
                  <w:t>Глава IV. Болезни миокарда</w:t>
                  <w:tab/>
                </w:r>
                <w:fldSimple w:instr=" PAGE \* MERGEFORMAT ">
                  <w:r>
                    <w:rPr>
                      <w:rStyle w:val="CharStyle129"/>
                    </w:rPr>
                    <w:t>#</w:t>
                  </w:r>
                </w:fldSimple>
              </w:p>
            </w:txbxContent>
          </v:textbox>
          <w10:wrap anchorx="page" anchory="page"/>
        </v:shape>
      </w:pict>
    </w:r>
  </w:p>
</w:hdr>
</file>

<file path=word/header3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16" type="#_x0000_t202" style="position:absolute;margin-left:50.05pt;margin-top:60.65pt;width:483.85pt;height:12.25pt;z-index:-188744007;mso-wrap-distance-left:5.pt;mso-wrap-distance-right:5.pt;mso-position-horizontal-relative:page;mso-position-vertical-relative:page" wrapcoords="0 0" filled="f" stroked="f">
          <v:textbox style="mso-fit-shape-to-text:t" inset="0,0,0,0">
            <w:txbxContent>
              <w:p>
                <w:pPr>
                  <w:pStyle w:val="Style24"/>
                  <w:tabs>
                    <w:tab w:leader="none" w:pos="1733" w:val="right"/>
                    <w:tab w:leader="none" w:pos="9677" w:val="right"/>
                  </w:tabs>
                  <w:widowControl w:val="0"/>
                  <w:keepNext w:val="0"/>
                  <w:keepLines w:val="0"/>
                  <w:shd w:val="clear" w:color="auto" w:fill="000000"/>
                  <w:bidi w:val="0"/>
                  <w:jc w:val="left"/>
                  <w:spacing w:before="0" w:after="0" w:line="240" w:lineRule="auto"/>
                  <w:ind w:left="0" w:right="0" w:firstLine="0"/>
                </w:pPr>
                <w:fldSimple w:instr=" PAGE \* MERGEFORMAT ">
                  <w:r>
                    <w:rPr>
                      <w:rStyle w:val="CharStyle98"/>
                    </w:rPr>
                    <w:t>#</w:t>
                  </w:r>
                </w:fldSimple>
                <w:r>
                  <w:rPr>
                    <w:rStyle w:val="CharStyle98"/>
                  </w:rPr>
                  <w:tab/>
                </w:r>
                <w:r>
                  <w:rPr>
                    <w:lang w:val="ru-RU" w:eastAsia="ru-RU" w:bidi="ru-RU"/>
                    <w:w w:val="100"/>
                    <w:color w:val="141414"/>
                    <w:position w:val="0"/>
                  </w:rPr>
                  <w:t xml:space="preserve">| </w:t>
                </w:r>
                <w:r>
                  <w:rPr>
                    <w:rStyle w:val="CharStyle138"/>
                  </w:rPr>
                  <w:t>Белозеров Ю.М.</w:t>
                  <w:tab/>
                </w:r>
                <w:r>
                  <w:rPr>
                    <w:lang w:val="ru-RU" w:eastAsia="ru-RU" w:bidi="ru-RU"/>
                    <w:w w:val="100"/>
                    <w:color w:val="141414"/>
                    <w:position w:val="0"/>
                  </w:rPr>
                  <w:t>Детская кардиология</w:t>
                </w:r>
              </w:p>
            </w:txbxContent>
          </v:textbox>
          <w10:wrap anchorx="page" anchory="page"/>
        </v:shape>
      </w:pict>
    </w:r>
  </w:p>
</w:hdr>
</file>

<file path=word/header3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57" type="#_x0000_t202" style="position:absolute;margin-left:67.2pt;margin-top:54.35pt;width:481.2pt;height:8.9pt;z-index:-188744002;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3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58" type="#_x0000_t202" style="position:absolute;margin-left:46.8pt;margin-top:62.45pt;width:483.6pt;height:8.9pt;z-index:-188744001;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V. Болезни эндокарда</w:t>
                  <w:tab/>
                </w:r>
                <w:fldSimple w:instr=" PAGE \* MERGEFORMAT ">
                  <w:r>
                    <w:rPr>
                      <w:rStyle w:val="CharStyle98"/>
                    </w:rPr>
                    <w:t>#</w:t>
                  </w:r>
                </w:fldSimple>
              </w:p>
            </w:txbxContent>
          </v:textbox>
          <w10:wrap anchorx="page" anchory="page"/>
        </v:shape>
      </w:pict>
    </w:r>
  </w:p>
</w:hdr>
</file>

<file path=word/header3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89" type="#_x0000_t202" style="position:absolute;margin-left:67.2pt;margin-top:54.35pt;width:481.2pt;height:8.9pt;z-index:-188743995;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3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90" type="#_x0000_t202" style="position:absolute;margin-left:46.8pt;margin-top:62.45pt;width:483.6pt;height:9.1pt;z-index:-188743994;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VI. Патология перикарда у детей</w:t>
                  <w:tab/>
                </w:r>
                <w:fldSimple w:instr=" PAGE \* MERGEFORMAT ">
                  <w:r>
                    <w:rPr>
                      <w:rStyle w:val="CharStyle98"/>
                    </w:rPr>
                    <w:t>#</w:t>
                  </w:r>
                </w:fldSimple>
              </w:p>
            </w:txbxContent>
          </v:textbox>
          <w10:wrap anchorx="page" anchory="page"/>
        </v:shape>
      </w:pict>
    </w:r>
  </w:p>
</w:hdr>
</file>

<file path=word/header3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5" type="#_x0000_t202" style="position:absolute;margin-left:67.2pt;margin-top:54.35pt;width:481.2pt;height:8.9pt;z-index:-188743990;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3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6" type="#_x0000_t202" style="position:absolute;margin-left:54.6pt;margin-top:62.2pt;width:483.85pt;height:9.1pt;z-index:-188743989;mso-wrap-distance-left:5.pt;mso-wrap-distance-right:5.pt;mso-position-horizontal-relative:page;mso-position-vertical-relative:page" wrapcoords="0 0" filled="f" stroked="f">
          <v:textbox style="mso-fit-shape-to-text:t" inset="0,0,0,0">
            <w:txbxContent>
              <w:p>
                <w:pPr>
                  <w:pStyle w:val="Style24"/>
                  <w:tabs>
                    <w:tab w:leader="none" w:pos="9677"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VII. Патология коронарного кровообращения</w:t>
                  <w:tab/>
                </w:r>
                <w:fldSimple w:instr=" PAGE \* MERGEFORMAT ">
                  <w:r>
                    <w:rPr>
                      <w:rStyle w:val="CharStyle98"/>
                    </w:rPr>
                    <w:t>#</w:t>
                  </w:r>
                </w:fldSimple>
              </w:p>
            </w:txbxContent>
          </v:textbox>
          <w10:wrap anchorx="page" anchory="page"/>
        </v:shape>
      </w:pict>
    </w:r>
  </w:p>
</w:hdr>
</file>

<file path=word/header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52" type="#_x0000_t202" style="position:absolute;margin-left:46.8pt;margin-top:54.55pt;width:480.5pt;height:9.35pt;z-index:-188744057;mso-wrap-distance-left:5.pt;mso-wrap-distance-right:5.pt;mso-position-horizontal-relative:page;mso-position-vertical-relative:page" wrapcoords="0 0" filled="f" stroked="f">
          <v:textbox style="mso-fit-shape-to-text:t" inset="0,0,0,0">
            <w:txbxContent>
              <w:p>
                <w:pPr>
                  <w:pStyle w:val="Style24"/>
                  <w:tabs>
                    <w:tab w:leader="none" w:pos="9610" w:val="right"/>
                  </w:tabs>
                  <w:widowControl w:val="0"/>
                  <w:keepNext w:val="0"/>
                  <w:keepLines w:val="0"/>
                  <w:shd w:val="clear" w:color="auto" w:fill="000000"/>
                  <w:bidi w:val="0"/>
                  <w:jc w:val="left"/>
                  <w:spacing w:before="0" w:after="0" w:line="240" w:lineRule="auto"/>
                  <w:ind w:left="0" w:right="0" w:firstLine="0"/>
                </w:pPr>
                <w:r>
                  <w:rPr>
                    <w:rStyle w:val="CharStyle26"/>
                  </w:rPr>
                  <w:t>Глава I. Основы диагностики заболеваний сердца и сосудов</w:t>
                  <w:tab/>
                </w:r>
                <w:fldSimple w:instr=" PAGE \* MERGEFORMAT ">
                  <w:r>
                    <w:rPr>
                      <w:rStyle w:val="CharStyle27"/>
                    </w:rPr>
                    <w:t>#</w:t>
                  </w:r>
                </w:fldSimple>
              </w:p>
            </w:txbxContent>
          </v:textbox>
          <w10:wrap anchorx="page" anchory="page"/>
        </v:shape>
      </w:pict>
    </w:r>
  </w:p>
</w:hdr>
</file>

<file path=word/header4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49" type="#_x0000_t202" style="position:absolute;margin-left:67.2pt;margin-top:54.35pt;width:481.2pt;height:8.9pt;z-index:-188743988;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4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50" type="#_x0000_t202" style="position:absolute;margin-left:54.6pt;margin-top:62.2pt;width:483.85pt;height:9.1pt;z-index:-188743987;mso-wrap-distance-left:5.pt;mso-wrap-distance-right:5.pt;mso-position-horizontal-relative:page;mso-position-vertical-relative:page" wrapcoords="0 0" filled="f" stroked="f">
          <v:textbox style="mso-fit-shape-to-text:t" inset="0,0,0,0">
            <w:txbxContent>
              <w:p>
                <w:pPr>
                  <w:pStyle w:val="Style24"/>
                  <w:tabs>
                    <w:tab w:leader="none" w:pos="9677"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VII. Патология коронарного кровообращения</w:t>
                  <w:tab/>
                </w:r>
                <w:fldSimple w:instr=" PAGE \* MERGEFORMAT ">
                  <w:r>
                    <w:rPr>
                      <w:rStyle w:val="CharStyle98"/>
                    </w:rPr>
                    <w:t>#</w:t>
                  </w:r>
                </w:fldSimple>
              </w:p>
            </w:txbxContent>
          </v:textbox>
          <w10:wrap anchorx="page" anchory="page"/>
        </v:shape>
      </w:pict>
    </w:r>
  </w:p>
</w:hdr>
</file>

<file path=word/header4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51" type="#_x0000_t202" style="position:absolute;margin-left:54.95pt;margin-top:62.45pt;width:484.1pt;height:8.9pt;z-index:-188743986;mso-wrap-distance-left:5.pt;mso-wrap-distance-right:5.pt;mso-position-horizontal-relative:page;mso-position-vertical-relative:page" wrapcoords="0 0" filled="f" stroked="f">
          <v:textbox style="mso-fit-shape-to-text:t" inset="0,0,0,0">
            <w:txbxContent>
              <w:p>
                <w:pPr>
                  <w:pStyle w:val="Style24"/>
                  <w:tabs>
                    <w:tab w:leader="none" w:pos="0" w:val="left"/>
                    <w:tab w:leader="none" w:pos="1325" w:val="right"/>
                    <w:tab w:leader="none" w:pos="9682" w:val="right"/>
                  </w:tabs>
                  <w:widowControl w:val="0"/>
                  <w:keepNext w:val="0"/>
                  <w:keepLines w:val="0"/>
                  <w:shd w:val="clear" w:color="auto" w:fill="000000"/>
                  <w:bidi w:val="0"/>
                  <w:jc w:val="left"/>
                  <w:spacing w:before="0" w:after="0" w:line="240" w:lineRule="auto"/>
                  <w:ind w:left="0" w:right="0" w:firstLine="0"/>
                </w:pPr>
                <w:fldSimple w:instr=" PAGE \* MERGEFORMAT ">
                  <w:r>
                    <w:rPr>
                      <w:rStyle w:val="CharStyle98"/>
                    </w:rPr>
                    <w:t>#</w:t>
                  </w:r>
                </w:fldSimple>
                <w:r>
                  <w:rPr>
                    <w:rStyle w:val="CharStyle98"/>
                  </w:rPr>
                  <w:tab/>
                </w:r>
                <w:r>
                  <w:rPr>
                    <w:rStyle w:val="CharStyle138"/>
                  </w:rPr>
                  <w:t>Белозеров</w:t>
                  <w:tab/>
                  <w:t>ЮМ.</w:t>
                  <w:tab/>
                </w:r>
                <w:r>
                  <w:rPr>
                    <w:lang w:val="ru-RU" w:eastAsia="ru-RU" w:bidi="ru-RU"/>
                    <w:w w:val="100"/>
                    <w:color w:val="141414"/>
                    <w:position w:val="0"/>
                  </w:rPr>
                  <w:t>Детская кардиология</w:t>
                </w:r>
              </w:p>
            </w:txbxContent>
          </v:textbox>
          <w10:wrap anchorx="page" anchory="page"/>
        </v:shape>
      </w:pict>
    </w:r>
  </w:p>
</w:hdr>
</file>

<file path=word/header4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64" type="#_x0000_t202" style="position:absolute;margin-left:67.2pt;margin-top:54.35pt;width:481.2pt;height:8.9pt;z-index:-188743983;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4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65" type="#_x0000_t202" style="position:absolute;margin-left:55.25pt;margin-top:56.6pt;width:482.4pt;height:8.9pt;z-index:-188743982;mso-wrap-distance-left:5.pt;mso-wrap-distance-right:5.pt;mso-position-horizontal-relative:page;mso-position-vertical-relative:page" wrapcoords="0 0" filled="f" stroked="f">
          <v:textbox style="mso-fit-shape-to-text:t" inset="0,0,0,0">
            <w:txbxContent>
              <w:p>
                <w:pPr>
                  <w:pStyle w:val="Style24"/>
                  <w:tabs>
                    <w:tab w:leader="none" w:pos="9648"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VIII. Легочная гипертензия</w:t>
                  <w:tab/>
                </w:r>
                <w:fldSimple w:instr=" PAGE \* MERGEFORMAT ">
                  <w:r>
                    <w:rPr>
                      <w:rStyle w:val="CharStyle98"/>
                    </w:rPr>
                    <w:t>#</w:t>
                  </w:r>
                </w:fldSimple>
              </w:p>
            </w:txbxContent>
          </v:textbox>
          <w10:wrap anchorx="page" anchory="page"/>
        </v:shape>
      </w:pict>
    </w:r>
  </w:p>
</w:hdr>
</file>

<file path=word/header4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4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99" type="#_x0000_t202" style="position:absolute;margin-left:67.2pt;margin-top:54.35pt;width:481.2pt;height:8.9pt;z-index:-188743978;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4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00" type="#_x0000_t202" style="position:absolute;margin-left:55.25pt;margin-top:56.6pt;width:482.4pt;height:8.9pt;z-index:-188743977;mso-wrap-distance-left:5.pt;mso-wrap-distance-right:5.pt;mso-position-horizontal-relative:page;mso-position-vertical-relative:page" wrapcoords="0 0" filled="f" stroked="f">
          <v:textbox style="mso-fit-shape-to-text:t" inset="0,0,0,0">
            <w:txbxContent>
              <w:p>
                <w:pPr>
                  <w:pStyle w:val="Style24"/>
                  <w:tabs>
                    <w:tab w:leader="none" w:pos="9648"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VIII. Легочная гипертензия</w:t>
                  <w:tab/>
                </w:r>
                <w:fldSimple w:instr=" PAGE \* MERGEFORMAT ">
                  <w:r>
                    <w:rPr>
                      <w:rStyle w:val="CharStyle98"/>
                    </w:rPr>
                    <w:t>#</w:t>
                  </w:r>
                </w:fldSimple>
              </w:p>
            </w:txbxContent>
          </v:textbox>
          <w10:wrap anchorx="page" anchory="page"/>
        </v:shape>
      </w:pict>
    </w:r>
  </w:p>
</w:hdr>
</file>

<file path=word/header4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01" type="#_x0000_t202" style="position:absolute;margin-left:526.5pt;margin-top:72.65pt;width:12.5pt;height:7.45pt;z-index:-188743976;mso-wrap-style:none;mso-wrap-distance-left:5.pt;mso-wrap-distance-right:5.pt;mso-position-horizontal-relative:page;mso-position-vertical-relative:page" wrapcoords="0 0" filled="f" stroked="f">
          <v:textbox style="mso-fit-shape-to-text:t" inset="0,0,0,0">
            <w:txbxContent>
              <w:p>
                <w:pPr>
                  <w:pStyle w:val="Style24"/>
                  <w:widowControl w:val="0"/>
                  <w:keepNext w:val="0"/>
                  <w:keepLines w:val="0"/>
                  <w:shd w:val="clear" w:color="auto" w:fill="000000"/>
                  <w:bidi w:val="0"/>
                  <w:jc w:val="left"/>
                  <w:spacing w:before="0" w:after="0" w:line="240" w:lineRule="auto"/>
                  <w:ind w:left="0" w:right="0" w:firstLine="0"/>
                </w:pPr>
                <w:fldSimple w:instr=" PAGE \* MERGEFORMAT ">
                  <w:r>
                    <w:rPr>
                      <w:rStyle w:val="CharStyle98"/>
                    </w:rPr>
                    <w:t>#</w:t>
                  </w:r>
                </w:fldSimple>
              </w:p>
            </w:txbxContent>
          </v:textbox>
          <w10:wrap anchorx="page" anchory="page"/>
        </v:shape>
      </w:pict>
    </w:r>
  </w:p>
</w:hdr>
</file>

<file path=word/header4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28" type="#_x0000_t202" style="position:absolute;margin-left:67.2pt;margin-top:54.35pt;width:481.2pt;height:8.9pt;z-index:-188743974;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53" type="#_x0000_t202" style="position:absolute;margin-left:526.2pt;margin-top:71.3pt;width:8.15pt;height:7.45pt;z-index:-188744056;mso-wrap-style:none;mso-wrap-distance-left:5.pt;mso-wrap-distance-right:5.pt;mso-position-horizontal-relative:page;mso-position-vertical-relative:page" wrapcoords="0 0" filled="f" stroked="f">
          <v:textbox style="mso-fit-shape-to-text:t" inset="0,0,0,0">
            <w:txbxContent>
              <w:p>
                <w:pPr>
                  <w:pStyle w:val="Style24"/>
                  <w:widowControl w:val="0"/>
                  <w:keepNext w:val="0"/>
                  <w:keepLines w:val="0"/>
                  <w:shd w:val="clear" w:color="auto" w:fill="000000"/>
                  <w:bidi w:val="0"/>
                  <w:jc w:val="left"/>
                  <w:spacing w:before="0" w:after="0" w:line="240" w:lineRule="auto"/>
                  <w:ind w:left="0" w:right="0" w:firstLine="0"/>
                </w:pPr>
                <w:fldSimple w:instr=" PAGE \* MERGEFORMAT ">
                  <w:r>
                    <w:rPr>
                      <w:rStyle w:val="CharStyle27"/>
                    </w:rPr>
                    <w:t>#</w:t>
                  </w:r>
                </w:fldSimple>
              </w:p>
            </w:txbxContent>
          </v:textbox>
          <w10:wrap anchorx="page" anchory="page"/>
        </v:shape>
      </w:pict>
    </w:r>
  </w:p>
</w:hdr>
</file>

<file path=word/header5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29" type="#_x0000_t202" style="position:absolute;margin-left:46.8pt;margin-top:62.2pt;width:483.6pt;height:9.1pt;z-index:-188743973;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IX. Поражение сердца при наследственных заболеваниях</w:t>
                  <w:tab/>
                </w:r>
                <w:fldSimple w:instr=" PAGE \* MERGEFORMAT ">
                  <w:r>
                    <w:rPr>
                      <w:rStyle w:val="CharStyle98"/>
                    </w:rPr>
                    <w:t>#</w:t>
                  </w:r>
                </w:fldSimple>
              </w:p>
            </w:txbxContent>
          </v:textbox>
          <w10:wrap anchorx="page" anchory="page"/>
        </v:shape>
      </w:pict>
    </w:r>
  </w:p>
</w:hdr>
</file>

<file path=word/header5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5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73" type="#_x0000_t202" style="position:absolute;margin-left:67.2pt;margin-top:54.35pt;width:481.2pt;height:8.9pt;z-index:-188743970;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5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74" type="#_x0000_t202" style="position:absolute;margin-left:46.8pt;margin-top:62.45pt;width:483.6pt;height:9.1pt;z-index:-188743969;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X. Опухоли сердца</w:t>
                  <w:tab/>
                </w:r>
                <w:fldSimple w:instr=" PAGE \* MERGEFORMAT ">
                  <w:r>
                    <w:rPr>
                      <w:rStyle w:val="CharStyle98"/>
                    </w:rPr>
                    <w:t>#</w:t>
                  </w:r>
                </w:fldSimple>
              </w:p>
            </w:txbxContent>
          </v:textbox>
          <w10:wrap anchorx="page" anchory="page"/>
        </v:shape>
      </w:pict>
    </w:r>
  </w:p>
</w:hdr>
</file>

<file path=word/header5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92" type="#_x0000_t202" style="position:absolute;margin-left:67.2pt;margin-top:54.35pt;width:481.2pt;height:8.9pt;z-index:-188743967;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5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93" type="#_x0000_t202" style="position:absolute;margin-left:46.8pt;margin-top:62.45pt;width:483.6pt;height:9.1pt;z-index:-188743966;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X. Опухоли сердца</w:t>
                  <w:tab/>
                </w:r>
                <w:fldSimple w:instr=" PAGE \* MERGEFORMAT ">
                  <w:r>
                    <w:rPr>
                      <w:rStyle w:val="CharStyle98"/>
                    </w:rPr>
                    <w:t>#</w:t>
                  </w:r>
                </w:fldSimple>
              </w:p>
            </w:txbxContent>
          </v:textbox>
          <w10:wrap anchorx="page" anchory="page"/>
        </v:shape>
      </w:pict>
    </w:r>
  </w:p>
</w:hdr>
</file>

<file path=word/header5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94" type="#_x0000_t202" style="position:absolute;margin-left:51.35pt;margin-top:61.pt;width:484.1pt;height:12.25pt;z-index:-188743965;mso-wrap-distance-left:5.pt;mso-wrap-distance-right:5.pt;mso-position-horizontal-relative:page;mso-position-vertical-relative:page" wrapcoords="0 0" filled="f" stroked="f">
          <v:textbox style="mso-fit-shape-to-text:t" inset="0,0,0,0">
            <w:txbxContent>
              <w:p>
                <w:pPr>
                  <w:pStyle w:val="Style24"/>
                  <w:tabs>
                    <w:tab w:leader="none" w:pos="1738" w:val="right"/>
                    <w:tab w:leader="none" w:pos="9682" w:val="right"/>
                  </w:tabs>
                  <w:widowControl w:val="0"/>
                  <w:keepNext w:val="0"/>
                  <w:keepLines w:val="0"/>
                  <w:shd w:val="clear" w:color="auto" w:fill="000000"/>
                  <w:bidi w:val="0"/>
                  <w:jc w:val="left"/>
                  <w:spacing w:before="0" w:after="0" w:line="240" w:lineRule="auto"/>
                  <w:ind w:left="0" w:right="0" w:firstLine="0"/>
                </w:pPr>
                <w:fldSimple w:instr=" PAGE \* MERGEFORMAT ">
                  <w:r>
                    <w:rPr>
                      <w:rStyle w:val="CharStyle98"/>
                    </w:rPr>
                    <w:t>#</w:t>
                  </w:r>
                </w:fldSimple>
                <w:r>
                  <w:rPr>
                    <w:rStyle w:val="CharStyle98"/>
                  </w:rPr>
                  <w:tab/>
                </w:r>
                <w:r>
                  <w:rPr>
                    <w:lang w:val="ru-RU" w:eastAsia="ru-RU" w:bidi="ru-RU"/>
                    <w:w w:val="100"/>
                    <w:color w:val="141414"/>
                    <w:position w:val="0"/>
                  </w:rPr>
                  <w:t xml:space="preserve">| </w:t>
                </w:r>
                <w:r>
                  <w:rPr>
                    <w:rStyle w:val="CharStyle138"/>
                  </w:rPr>
                  <w:t>Белозеров Ю.М.</w:t>
                  <w:tab/>
                </w:r>
                <w:r>
                  <w:rPr>
                    <w:lang w:val="ru-RU" w:eastAsia="ru-RU" w:bidi="ru-RU"/>
                    <w:w w:val="100"/>
                    <w:color w:val="141414"/>
                    <w:position w:val="0"/>
                  </w:rPr>
                  <w:t>Детская кардиология</w:t>
                </w:r>
              </w:p>
            </w:txbxContent>
          </v:textbox>
          <w10:wrap anchorx="page" anchory="page"/>
        </v:shape>
      </w:pict>
    </w:r>
  </w:p>
</w:hdr>
</file>

<file path=word/header5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01" type="#_x0000_t202" style="position:absolute;margin-left:67.2pt;margin-top:54.35pt;width:481.2pt;height:8.9pt;z-index:-188743963;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5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02" type="#_x0000_t202" style="position:absolute;margin-left:52.35pt;margin-top:62.45pt;width:483.6pt;height:9.1pt;z-index:-188743962;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XI. Болезни сосудов</w:t>
                  <w:tab/>
                </w:r>
                <w:fldSimple w:instr=" PAGE \* MERGEFORMAT ">
                  <w:r>
                    <w:rPr>
                      <w:rStyle w:val="CharStyle98"/>
                    </w:rPr>
                    <w:t>#</w:t>
                  </w:r>
                </w:fldSimple>
              </w:p>
            </w:txbxContent>
          </v:textbox>
          <w10:wrap anchorx="page" anchory="page"/>
        </v:shape>
      </w:pict>
    </w:r>
  </w:p>
</w:hdr>
</file>

<file path=word/header5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03" type="#_x0000_t202" style="position:absolute;margin-left:46.8pt;margin-top:62.45pt;width:483.6pt;height:9.1pt;z-index:-188743961;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X. Опухоли сердца</w:t>
                  <w:tab/>
                </w:r>
                <w:fldSimple w:instr=" PAGE \* MERGEFORMAT ">
                  <w:r>
                    <w:rPr>
                      <w:rStyle w:val="CharStyle98"/>
                    </w:rPr>
                    <w:t>#</w:t>
                  </w:r>
                </w:fldSimple>
              </w:p>
            </w:txbxContent>
          </v:textbox>
          <w10:wrap anchorx="page" anchory="page"/>
        </v:shape>
      </w:pict>
    </w:r>
  </w:p>
</w:hdr>
</file>

<file path=word/header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2" type="#_x0000_t202" style="position:absolute;margin-left:67.2pt;margin-top:54.35pt;width:481.2pt;height:8.9pt;z-index:-188744054;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6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11" type="#_x0000_t202" style="position:absolute;margin-left:67.2pt;margin-top:54.35pt;width:481.2pt;height:8.9pt;z-index:-188743958;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6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12" type="#_x0000_t202" style="position:absolute;margin-left:52.35pt;margin-top:62.45pt;width:483.6pt;height:9.1pt;z-index:-188743957;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XI. Болезни сосудов</w:t>
                  <w:tab/>
                </w:r>
                <w:fldSimple w:instr=" PAGE \* MERGEFORMAT ">
                  <w:r>
                    <w:rPr>
                      <w:rStyle w:val="CharStyle98"/>
                    </w:rPr>
                    <w:t>#</w:t>
                  </w:r>
                </w:fldSimple>
              </w:p>
            </w:txbxContent>
          </v:textbox>
          <w10:wrap anchorx="page" anchory="page"/>
        </v:shape>
      </w:pict>
    </w:r>
  </w:p>
</w:hdr>
</file>

<file path=word/header6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6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58" type="#_x0000_t202" style="position:absolute;margin-left:67.2pt;margin-top:54.35pt;width:481.2pt;height:8.9pt;z-index:-188743956;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6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59" type="#_x0000_t202" style="position:absolute;margin-left:46.8pt;margin-top:62.45pt;width:483.6pt;height:9.1pt;z-index:-188743955;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XII. Нарушения ритма сердца</w:t>
                  <w:tab/>
                </w:r>
                <w:fldSimple w:instr=" PAGE \* MERGEFORMAT ">
                  <w:r>
                    <w:rPr>
                      <w:rStyle w:val="CharStyle98"/>
                    </w:rPr>
                    <w:t>#</w:t>
                  </w:r>
                </w:fldSimple>
              </w:p>
            </w:txbxContent>
          </v:textbox>
          <w10:wrap anchorx="page" anchory="page"/>
        </v:shape>
      </w:pict>
    </w:r>
  </w:p>
</w:hdr>
</file>

<file path=word/header6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02" type="#_x0000_t202" style="position:absolute;margin-left:67.2pt;margin-top:54.35pt;width:481.2pt;height:8.9pt;z-index:-188743953;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6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03" type="#_x0000_t202" style="position:absolute;margin-left:46.8pt;margin-top:62.45pt;width:483.6pt;height:9.1pt;z-index:-188743952;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XII. Нарушения ритма сердца</w:t>
                  <w:tab/>
                </w:r>
                <w:fldSimple w:instr=" PAGE \* MERGEFORMAT ">
                  <w:r>
                    <w:rPr>
                      <w:rStyle w:val="CharStyle98"/>
                    </w:rPr>
                    <w:t>#</w:t>
                  </w:r>
                </w:fldSimple>
              </w:p>
            </w:txbxContent>
          </v:textbox>
          <w10:wrap anchorx="page" anchory="page"/>
        </v:shape>
      </w:pict>
    </w:r>
  </w:p>
</w:hdr>
</file>

<file path=word/header6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28" type="#_x0000_t202" style="position:absolute;margin-left:67.2pt;margin-top:54.35pt;width:481.2pt;height:8.9pt;z-index:-188743949;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6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29" type="#_x0000_t202" style="position:absolute;margin-left:46.8pt;margin-top:62.45pt;width:483.6pt;height:9.1pt;z-index:-188743948;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XII. Нарушения ритма сердца</w:t>
                  <w:tab/>
                </w:r>
                <w:fldSimple w:instr=" PAGE \* MERGEFORMAT ">
                  <w:r>
                    <w:rPr>
                      <w:rStyle w:val="CharStyle98"/>
                    </w:rPr>
                    <w:t>#</w:t>
                  </w:r>
                </w:fldSimple>
              </w:p>
            </w:txbxContent>
          </v:textbox>
          <w10:wrap anchorx="page" anchory="page"/>
        </v:shape>
      </w:pict>
    </w:r>
  </w:p>
</w:hdr>
</file>

<file path=word/header6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30" type="#_x0000_t202" style="position:absolute;margin-left:50.25pt;margin-top:61.pt;width:483.85pt;height:12.25pt;z-index:-188743947;mso-wrap-distance-left:5.pt;mso-wrap-distance-right:5.pt;mso-position-horizontal-relative:page;mso-position-vertical-relative:page" wrapcoords="0 0" filled="f" stroked="f">
          <v:textbox style="mso-fit-shape-to-text:t" inset="0,0,0,0">
            <w:txbxContent>
              <w:p>
                <w:pPr>
                  <w:pStyle w:val="Style24"/>
                  <w:tabs>
                    <w:tab w:leader="none" w:pos="1733" w:val="right"/>
                    <w:tab w:leader="none" w:pos="9677" w:val="right"/>
                  </w:tabs>
                  <w:widowControl w:val="0"/>
                  <w:keepNext w:val="0"/>
                  <w:keepLines w:val="0"/>
                  <w:shd w:val="clear" w:color="auto" w:fill="000000"/>
                  <w:bidi w:val="0"/>
                  <w:jc w:val="left"/>
                  <w:spacing w:before="0" w:after="0" w:line="240" w:lineRule="auto"/>
                  <w:ind w:left="0" w:right="0" w:firstLine="0"/>
                </w:pPr>
                <w:fldSimple w:instr=" PAGE \* MERGEFORMAT ">
                  <w:r>
                    <w:rPr>
                      <w:rStyle w:val="CharStyle98"/>
                    </w:rPr>
                    <w:t>#</w:t>
                  </w:r>
                </w:fldSimple>
                <w:r>
                  <w:rPr>
                    <w:rStyle w:val="CharStyle98"/>
                  </w:rPr>
                  <w:tab/>
                </w:r>
                <w:r>
                  <w:rPr>
                    <w:lang w:val="ru-RU" w:eastAsia="ru-RU" w:bidi="ru-RU"/>
                    <w:w w:val="100"/>
                    <w:color w:val="141414"/>
                    <w:position w:val="0"/>
                  </w:rPr>
                  <w:t xml:space="preserve">| </w:t>
                </w:r>
                <w:r>
                  <w:rPr>
                    <w:rStyle w:val="CharStyle138"/>
                  </w:rPr>
                  <w:t>Белозеров Ю.М.</w:t>
                  <w:tab/>
                </w:r>
                <w:r>
                  <w:rPr>
                    <w:lang w:val="ru-RU" w:eastAsia="ru-RU" w:bidi="ru-RU"/>
                    <w:w w:val="100"/>
                    <w:color w:val="141414"/>
                    <w:position w:val="0"/>
                  </w:rPr>
                  <w:t>Детская кардиология</w:t>
                </w:r>
              </w:p>
            </w:txbxContent>
          </v:textbox>
          <w10:wrap anchorx="page" anchory="page"/>
        </v:shape>
      </w:pict>
    </w:r>
  </w:p>
</w:hdr>
</file>

<file path=word/header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3" type="#_x0000_t202" style="position:absolute;margin-left:46.8pt;margin-top:54.55pt;width:480.5pt;height:9.35pt;z-index:-188744053;mso-wrap-distance-left:5.pt;mso-wrap-distance-right:5.pt;mso-position-horizontal-relative:page;mso-position-vertical-relative:page" wrapcoords="0 0" filled="f" stroked="f">
          <v:textbox style="mso-fit-shape-to-text:t" inset="0,0,0,0">
            <w:txbxContent>
              <w:p>
                <w:pPr>
                  <w:pStyle w:val="Style24"/>
                  <w:tabs>
                    <w:tab w:leader="none" w:pos="9610" w:val="right"/>
                  </w:tabs>
                  <w:widowControl w:val="0"/>
                  <w:keepNext w:val="0"/>
                  <w:keepLines w:val="0"/>
                  <w:shd w:val="clear" w:color="auto" w:fill="000000"/>
                  <w:bidi w:val="0"/>
                  <w:jc w:val="left"/>
                  <w:spacing w:before="0" w:after="0" w:line="240" w:lineRule="auto"/>
                  <w:ind w:left="0" w:right="0" w:firstLine="0"/>
                </w:pPr>
                <w:r>
                  <w:rPr>
                    <w:rStyle w:val="CharStyle26"/>
                  </w:rPr>
                  <w:t>Глава I. Основы диагностики заболеваний сердца и сосудов</w:t>
                  <w:tab/>
                </w:r>
                <w:fldSimple w:instr=" PAGE \* MERGEFORMAT ">
                  <w:r>
                    <w:rPr>
                      <w:rStyle w:val="CharStyle27"/>
                    </w:rPr>
                    <w:t>#</w:t>
                  </w:r>
                </w:fldSimple>
              </w:p>
            </w:txbxContent>
          </v:textbox>
          <w10:wrap anchorx="page" anchory="page"/>
        </v:shape>
      </w:pict>
    </w:r>
  </w:p>
</w:hdr>
</file>

<file path=word/header7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86" type="#_x0000_t202" style="position:absolute;margin-left:67.2pt;margin-top:54.35pt;width:481.2pt;height:8.9pt;z-index:-188743946;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7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87" type="#_x0000_t202" style="position:absolute;margin-left:46.8pt;margin-top:62.45pt;width:483.6pt;height:9.1pt;z-index:-188743945;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XII. Нарушения ритма сердца</w:t>
                  <w:tab/>
                </w:r>
                <w:fldSimple w:instr=" PAGE \* MERGEFORMAT ">
                  <w:r>
                    <w:rPr>
                      <w:rStyle w:val="CharStyle98"/>
                    </w:rPr>
                    <w:t>#</w:t>
                  </w:r>
                </w:fldSimple>
              </w:p>
            </w:txbxContent>
          </v:textbox>
          <w10:wrap anchorx="page" anchory="page"/>
        </v:shape>
      </w:pict>
    </w:r>
  </w:p>
</w:hdr>
</file>

<file path=word/header7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88" type="#_x0000_t202" style="position:absolute;margin-left:50.1pt;margin-top:61.pt;width:484.1pt;height:12.25pt;z-index:-188743944;mso-wrap-distance-left:5.pt;mso-wrap-distance-right:5.pt;mso-position-horizontal-relative:page;mso-position-vertical-relative:page" wrapcoords="0 0" filled="f" stroked="f">
          <v:textbox style="mso-fit-shape-to-text:t" inset="0,0,0,0">
            <w:txbxContent>
              <w:p>
                <w:pPr>
                  <w:pStyle w:val="Style24"/>
                  <w:tabs>
                    <w:tab w:leader="none" w:pos="1738" w:val="right"/>
                    <w:tab w:leader="none" w:pos="9682" w:val="right"/>
                  </w:tabs>
                  <w:widowControl w:val="0"/>
                  <w:keepNext w:val="0"/>
                  <w:keepLines w:val="0"/>
                  <w:shd w:val="clear" w:color="auto" w:fill="000000"/>
                  <w:bidi w:val="0"/>
                  <w:jc w:val="left"/>
                  <w:spacing w:before="0" w:after="0" w:line="240" w:lineRule="auto"/>
                  <w:ind w:left="0" w:right="0" w:firstLine="0"/>
                </w:pPr>
                <w:fldSimple w:instr=" PAGE \* MERGEFORMAT ">
                  <w:r>
                    <w:rPr>
                      <w:rStyle w:val="CharStyle98"/>
                    </w:rPr>
                    <w:t>#</w:t>
                  </w:r>
                </w:fldSimple>
                <w:r>
                  <w:rPr>
                    <w:rStyle w:val="CharStyle98"/>
                  </w:rPr>
                  <w:tab/>
                </w:r>
                <w:r>
                  <w:rPr>
                    <w:lang w:val="ru-RU" w:eastAsia="ru-RU" w:bidi="ru-RU"/>
                    <w:w w:val="100"/>
                    <w:color w:val="141414"/>
                    <w:position w:val="0"/>
                  </w:rPr>
                  <w:t xml:space="preserve">| </w:t>
                </w:r>
                <w:r>
                  <w:rPr>
                    <w:rStyle w:val="CharStyle138"/>
                  </w:rPr>
                  <w:t>Белозеров Ю.М.</w:t>
                  <w:tab/>
                </w:r>
                <w:r>
                  <w:rPr>
                    <w:lang w:val="ru-RU" w:eastAsia="ru-RU" w:bidi="ru-RU"/>
                    <w:w w:val="100"/>
                    <w:color w:val="141414"/>
                    <w:position w:val="0"/>
                  </w:rPr>
                  <w:t>Детская кардиология</w:t>
                </w:r>
              </w:p>
            </w:txbxContent>
          </v:textbox>
          <w10:wrap anchorx="page" anchory="page"/>
        </v:shape>
      </w:pict>
    </w:r>
  </w:p>
</w:hdr>
</file>

<file path=word/header7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92" type="#_x0000_t202" style="position:absolute;margin-left:67.2pt;margin-top:54.35pt;width:481.2pt;height:8.9pt;z-index:-188743941;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7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93" type="#_x0000_t202" style="position:absolute;margin-left:53.pt;margin-top:62.45pt;width:482.4pt;height:8.9pt;z-index:-188743940;mso-wrap-distance-left:5.pt;mso-wrap-distance-right:5.pt;mso-position-horizontal-relative:page;mso-position-vertical-relative:page" wrapcoords="0 0" filled="f" stroked="f">
          <v:textbox style="mso-fit-shape-to-text:t" inset="0,0,0,0">
            <w:txbxContent>
              <w:p>
                <w:pPr>
                  <w:pStyle w:val="Style24"/>
                  <w:tabs>
                    <w:tab w:leader="none" w:pos="9648"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Глава XIII. Сердечная недостаточность</w:t>
                  <w:tab/>
                </w:r>
                <w:fldSimple w:instr=" PAGE \* MERGEFORMAT ">
                  <w:r>
                    <w:rPr>
                      <w:rStyle w:val="CharStyle98"/>
                    </w:rPr>
                    <w:t>#</w:t>
                  </w:r>
                </w:fldSimple>
              </w:p>
            </w:txbxContent>
          </v:textbox>
          <w10:wrap anchorx="page" anchory="page"/>
        </v:shape>
      </w:pict>
    </w:r>
  </w:p>
</w:hdr>
</file>

<file path=word/header7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7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22" type="#_x0000_t202" style="position:absolute;margin-left:64.6pt;margin-top:62.45pt;width:483.85pt;height:8.9pt;z-index:-188743936;mso-wrap-distance-left:5.pt;mso-wrap-distance-right:5.pt;mso-position-horizontal-relative:page;mso-position-vertical-relative:page" wrapcoords="0 0" filled="f" stroked="f">
          <v:textbox style="mso-fit-shape-to-text:t" inset="0,0,0,0">
            <w:txbxContent>
              <w:p>
                <w:pPr>
                  <w:pStyle w:val="Style24"/>
                  <w:tabs>
                    <w:tab w:leader="none" w:pos="1733" w:val="right"/>
                    <w:tab w:leader="none" w:pos="9677" w:val="right"/>
                  </w:tabs>
                  <w:widowControl w:val="0"/>
                  <w:keepNext w:val="0"/>
                  <w:keepLines w:val="0"/>
                  <w:shd w:val="clear" w:color="auto" w:fill="000000"/>
                  <w:bidi w:val="0"/>
                  <w:jc w:val="left"/>
                  <w:spacing w:before="0" w:after="0" w:line="240" w:lineRule="auto"/>
                  <w:ind w:left="0" w:right="0" w:firstLine="0"/>
                </w:pPr>
                <w:fldSimple w:instr=" PAGE \* MERGEFORMAT ">
                  <w:r>
                    <w:rPr>
                      <w:rStyle w:val="CharStyle98"/>
                    </w:rPr>
                    <w:t>#</w:t>
                  </w:r>
                </w:fldSimple>
                <w:r>
                  <w:rPr>
                    <w:rStyle w:val="CharStyle98"/>
                  </w:rPr>
                  <w:tab/>
                </w:r>
                <w:r>
                  <w:rPr>
                    <w:rStyle w:val="CharStyle138"/>
                  </w:rPr>
                  <w:t>Белозеров Ю.М.</w:t>
                  <w:tab/>
                </w:r>
                <w:r>
                  <w:rPr>
                    <w:lang w:val="ru-RU" w:eastAsia="ru-RU" w:bidi="ru-RU"/>
                    <w:w w:val="100"/>
                    <w:color w:val="141414"/>
                    <w:position w:val="0"/>
                  </w:rPr>
                  <w:t>Детская кардиология</w:t>
                </w:r>
              </w:p>
            </w:txbxContent>
          </v:textbox>
          <w10:wrap anchorx="page" anchory="page"/>
        </v:shape>
      </w:pict>
    </w:r>
    <w:r>
      <w:pict>
        <v:shape id="_x0000_s1923" type="#_x0000_t202" style="position:absolute;margin-left:59.3pt;margin-top:114.05pt;width:39.1pt;height:6.pt;z-index:-188743935;mso-wrap-style:none;mso-wrap-distance-left:5.pt;mso-wrap-distance-right:5.pt;mso-position-horizontal-relative:page;mso-position-vertical-relative:page" wrapcoords="0 0" filled="f" stroked="f">
          <v:textbox style="mso-fit-shape-to-text:t" inset="0,0,0,0">
            <w:txbxContent>
              <w:p>
                <w:pPr>
                  <w:pStyle w:val="Style24"/>
                  <w:widowControl w:val="0"/>
                  <w:keepNext w:val="0"/>
                  <w:keepLines w:val="0"/>
                  <w:shd w:val="clear" w:color="auto" w:fill="auto"/>
                  <w:bidi w:val="0"/>
                  <w:jc w:val="left"/>
                  <w:spacing w:before="0" w:after="0" w:line="240" w:lineRule="auto"/>
                  <w:ind w:left="0" w:right="0" w:firstLine="0"/>
                </w:pPr>
                <w:r>
                  <w:rPr>
                    <w:rStyle w:val="CharStyle187"/>
                  </w:rPr>
                  <w:t>Показания</w:t>
                </w:r>
              </w:p>
            </w:txbxContent>
          </v:textbox>
          <w10:wrap anchorx="page" anchory="page"/>
        </v:shape>
      </w:pict>
    </w:r>
  </w:p>
</w:hdr>
</file>

<file path=word/header7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24" type="#_x0000_t202" style="position:absolute;margin-left:47.05pt;margin-top:132.3pt;width:39.1pt;height:6.pt;z-index:-188743934;mso-wrap-style:none;mso-wrap-distance-left:5.pt;mso-wrap-distance-right:5.pt;mso-position-horizontal-relative:page;mso-position-vertical-relative:page" wrapcoords="0 0" filled="f" stroked="f">
          <v:textbox style="mso-fit-shape-to-text:t" inset="0,0,0,0">
            <w:txbxContent>
              <w:p>
                <w:pPr>
                  <w:pStyle w:val="Style24"/>
                  <w:widowControl w:val="0"/>
                  <w:keepNext w:val="0"/>
                  <w:keepLines w:val="0"/>
                  <w:shd w:val="clear" w:color="auto" w:fill="auto"/>
                  <w:bidi w:val="0"/>
                  <w:jc w:val="left"/>
                  <w:spacing w:before="0" w:after="0" w:line="240" w:lineRule="auto"/>
                  <w:ind w:left="0" w:right="0" w:firstLine="0"/>
                </w:pPr>
                <w:r>
                  <w:rPr>
                    <w:rStyle w:val="CharStyle187"/>
                  </w:rPr>
                  <w:t>Показания</w:t>
                </w:r>
              </w:p>
            </w:txbxContent>
          </v:textbox>
          <w10:wrap anchorx="page" anchory="page"/>
        </v:shape>
      </w:pict>
    </w:r>
    <w:r>
      <w:pict>
        <v:shape id="_x0000_s1925" type="#_x0000_t202" style="position:absolute;margin-left:46.8pt;margin-top:62.45pt;width:483.6pt;height:8.9pt;z-index:-188743933;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Приложение</w:t>
                  <w:tab/>
                </w:r>
                <w:fldSimple w:instr=" PAGE \* MERGEFORMAT ">
                  <w:r>
                    <w:rPr>
                      <w:rStyle w:val="CharStyle98"/>
                    </w:rPr>
                    <w:t>#</w:t>
                  </w:r>
                </w:fldSimple>
              </w:p>
            </w:txbxContent>
          </v:textbox>
          <w10:wrap anchorx="page" anchory="page"/>
        </v:shape>
      </w:pict>
    </w:r>
  </w:p>
</w:hdr>
</file>

<file path=word/header7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26" type="#_x0000_t202" style="position:absolute;margin-left:48.pt;margin-top:94.85pt;width:39.1pt;height:6.pt;z-index:-188743932;mso-wrap-style:none;mso-wrap-distance-left:5.pt;mso-wrap-distance-right:5.pt;mso-position-horizontal-relative:page;mso-position-vertical-relative:page" wrapcoords="0 0" filled="f" stroked="f">
          <v:textbox style="mso-fit-shape-to-text:t" inset="0,0,0,0">
            <w:txbxContent>
              <w:p>
                <w:pPr>
                  <w:pStyle w:val="Style24"/>
                  <w:widowControl w:val="0"/>
                  <w:keepNext w:val="0"/>
                  <w:keepLines w:val="0"/>
                  <w:shd w:val="clear" w:color="auto" w:fill="auto"/>
                  <w:bidi w:val="0"/>
                  <w:jc w:val="left"/>
                  <w:spacing w:before="0" w:after="0" w:line="240" w:lineRule="auto"/>
                  <w:ind w:left="0" w:right="0" w:firstLine="0"/>
                </w:pPr>
                <w:r>
                  <w:rPr>
                    <w:rStyle w:val="CharStyle187"/>
                  </w:rPr>
                  <w:t>Показания</w:t>
                </w:r>
              </w:p>
            </w:txbxContent>
          </v:textbox>
          <w10:wrap anchorx="page" anchory="page"/>
        </v:shape>
      </w:pict>
    </w:r>
    <w:r>
      <w:pict>
        <v:shape id="_x0000_s1927" type="#_x0000_t202" style="position:absolute;margin-left:46.8pt;margin-top:62.45pt;width:483.6pt;height:8.9pt;z-index:-188743931;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Приложение</w:t>
                  <w:tab/>
                </w:r>
                <w:fldSimple w:instr=" PAGE \* MERGEFORMAT ">
                  <w:r>
                    <w:rPr>
                      <w:rStyle w:val="CharStyle98"/>
                    </w:rPr>
                    <w:t>#</w:t>
                  </w:r>
                </w:fldSimple>
              </w:p>
            </w:txbxContent>
          </v:textbox>
          <w10:wrap anchorx="page" anchory="page"/>
        </v:shape>
      </w:pict>
    </w:r>
  </w:p>
</w:hdr>
</file>

<file path=word/header7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57" type="#_x0000_t202" style="position:absolute;margin-left:67.2pt;margin-top:54.35pt;width:481.2pt;height:8.9pt;z-index:-188743927;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4" type="#_x0000_t202" style="position:absolute;margin-left:53.15pt;margin-top:71.5pt;width:221.75pt;height:9.35pt;z-index:-188744052;mso-wrap-style:none;mso-wrap-distance-left:5.pt;mso-wrap-distance-right:5.pt;mso-position-horizontal-relative:page;mso-position-vertical-relative:page" wrapcoords="0 0" filled="f" stroked="f">
          <v:textbox style="mso-fit-shape-to-text:t" inset="0,0,0,0">
            <w:txbxContent>
              <w:p>
                <w:pPr>
                  <w:pStyle w:val="Style24"/>
                  <w:widowControl w:val="0"/>
                  <w:keepNext w:val="0"/>
                  <w:keepLines w:val="0"/>
                  <w:shd w:val="clear" w:color="auto" w:fill="auto"/>
                  <w:bidi w:val="0"/>
                  <w:jc w:val="left"/>
                  <w:spacing w:before="0" w:after="0" w:line="240" w:lineRule="auto"/>
                  <w:ind w:left="0" w:right="0" w:firstLine="0"/>
                </w:pPr>
                <w:r>
                  <w:rPr>
                    <w:rStyle w:val="CharStyle26"/>
                    <w:color w:val="000000"/>
                  </w:rPr>
                  <w:t>Глава I. Основы диагностики заболеваний сердца и сосудов</w:t>
                </w:r>
              </w:p>
            </w:txbxContent>
          </v:textbox>
          <w10:wrap anchorx="page" anchory="page"/>
        </v:shape>
      </w:pict>
    </w:r>
  </w:p>
</w:hdr>
</file>

<file path=word/header8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58" type="#_x0000_t202" style="position:absolute;margin-left:46.8pt;margin-top:62.45pt;width:483.85pt;height:8.9pt;z-index:-188743926;mso-wrap-distance-left:5.pt;mso-wrap-distance-right:5.pt;mso-position-horizontal-relative:page;mso-position-vertical-relative:page" wrapcoords="0 0" filled="f" stroked="f">
          <v:textbox style="mso-fit-shape-to-text:t" inset="0,0,0,0">
            <w:txbxContent>
              <w:p>
                <w:pPr>
                  <w:pStyle w:val="Style24"/>
                  <w:tabs>
                    <w:tab w:leader="none" w:pos="9677"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Приложение</w:t>
                  <w:tab/>
                </w:r>
                <w:fldSimple w:instr=" PAGE \* MERGEFORMAT ">
                  <w:r>
                    <w:rPr>
                      <w:rStyle w:val="CharStyle98"/>
                    </w:rPr>
                    <w:t>#</w:t>
                  </w:r>
                </w:fldSimple>
              </w:p>
            </w:txbxContent>
          </v:textbox>
          <w10:wrap anchorx="page" anchory="page"/>
        </v:shape>
      </w:pict>
    </w:r>
  </w:p>
</w:hdr>
</file>

<file path=word/header8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8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97" type="#_x0000_t202" style="position:absolute;margin-left:59.55pt;margin-top:95.1pt;width:39.1pt;height:6.pt;z-index:-188743921;mso-wrap-style:none;mso-wrap-distance-left:5.pt;mso-wrap-distance-right:5.pt;mso-position-horizontal-relative:page;mso-position-vertical-relative:page" wrapcoords="0 0" filled="f" stroked="f">
          <v:textbox style="mso-fit-shape-to-text:t" inset="0,0,0,0">
            <w:txbxContent>
              <w:p>
                <w:pPr>
                  <w:pStyle w:val="Style24"/>
                  <w:widowControl w:val="0"/>
                  <w:keepNext w:val="0"/>
                  <w:keepLines w:val="0"/>
                  <w:shd w:val="clear" w:color="auto" w:fill="auto"/>
                  <w:bidi w:val="0"/>
                  <w:jc w:val="left"/>
                  <w:spacing w:before="0" w:after="0" w:line="240" w:lineRule="auto"/>
                  <w:ind w:left="0" w:right="0" w:firstLine="0"/>
                </w:pPr>
                <w:r>
                  <w:rPr>
                    <w:rStyle w:val="CharStyle187"/>
                  </w:rPr>
                  <w:t>Показания</w:t>
                </w:r>
              </w:p>
            </w:txbxContent>
          </v:textbox>
          <w10:wrap anchorx="page" anchory="page"/>
        </v:shape>
      </w:pict>
    </w:r>
    <w:r>
      <w:pict>
        <v:shape id="_x0000_s1998" type="#_x0000_t202" style="position:absolute;margin-left:64.6pt;margin-top:62.45pt;width:483.85pt;height:8.9pt;z-index:-188743920;mso-wrap-distance-left:5.pt;mso-wrap-distance-right:5.pt;mso-position-horizontal-relative:page;mso-position-vertical-relative:page" wrapcoords="0 0" filled="f" stroked="f">
          <v:textbox style="mso-fit-shape-to-text:t" inset="0,0,0,0">
            <w:txbxContent>
              <w:p>
                <w:pPr>
                  <w:pStyle w:val="Style24"/>
                  <w:tabs>
                    <w:tab w:leader="none" w:pos="1733" w:val="right"/>
                    <w:tab w:leader="none" w:pos="9677" w:val="right"/>
                  </w:tabs>
                  <w:widowControl w:val="0"/>
                  <w:keepNext w:val="0"/>
                  <w:keepLines w:val="0"/>
                  <w:shd w:val="clear" w:color="auto" w:fill="000000"/>
                  <w:bidi w:val="0"/>
                  <w:jc w:val="left"/>
                  <w:spacing w:before="0" w:after="0" w:line="240" w:lineRule="auto"/>
                  <w:ind w:left="0" w:right="0" w:firstLine="0"/>
                </w:pPr>
                <w:fldSimple w:instr=" PAGE \* MERGEFORMAT ">
                  <w:r>
                    <w:rPr>
                      <w:rStyle w:val="CharStyle98"/>
                    </w:rPr>
                    <w:t>#</w:t>
                  </w:r>
                </w:fldSimple>
                <w:r>
                  <w:rPr>
                    <w:rStyle w:val="CharStyle98"/>
                  </w:rPr>
                  <w:tab/>
                </w:r>
                <w:r>
                  <w:rPr>
                    <w:rStyle w:val="CharStyle138"/>
                  </w:rPr>
                  <w:t>Белозеров Ю.М.</w:t>
                  <w:tab/>
                </w:r>
                <w:r>
                  <w:rPr>
                    <w:lang w:val="ru-RU" w:eastAsia="ru-RU" w:bidi="ru-RU"/>
                    <w:w w:val="100"/>
                    <w:color w:val="141414"/>
                    <w:position w:val="0"/>
                  </w:rPr>
                  <w:t>Детская кардиология</w:t>
                </w:r>
              </w:p>
            </w:txbxContent>
          </v:textbox>
          <w10:wrap anchorx="page" anchory="page"/>
        </v:shape>
      </w:pict>
    </w:r>
  </w:p>
</w:hdr>
</file>

<file path=word/header8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99" type="#_x0000_t202" style="position:absolute;margin-left:46.8pt;margin-top:62.45pt;width:483.85pt;height:8.9pt;z-index:-188743919;mso-wrap-distance-left:5.pt;mso-wrap-distance-right:5.pt;mso-position-horizontal-relative:page;mso-position-vertical-relative:page" wrapcoords="0 0" filled="f" stroked="f">
          <v:textbox style="mso-fit-shape-to-text:t" inset="0,0,0,0">
            <w:txbxContent>
              <w:p>
                <w:pPr>
                  <w:pStyle w:val="Style24"/>
                  <w:tabs>
                    <w:tab w:leader="none" w:pos="9677"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Приложение</w:t>
                  <w:tab/>
                </w:r>
                <w:fldSimple w:instr=" PAGE \* MERGEFORMAT ">
                  <w:r>
                    <w:rPr>
                      <w:rStyle w:val="CharStyle98"/>
                    </w:rPr>
                    <w:t>#</w:t>
                  </w:r>
                </w:fldSimple>
              </w:p>
            </w:txbxContent>
          </v:textbox>
          <w10:wrap anchorx="page" anchory="page"/>
        </v:shape>
      </w:pict>
    </w:r>
  </w:p>
</w:hdr>
</file>

<file path=word/header8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00" type="#_x0000_t202" style="position:absolute;margin-left:59.05pt;margin-top:104.9pt;width:39.1pt;height:6.pt;z-index:-188743918;mso-wrap-style:none;mso-wrap-distance-left:5.pt;mso-wrap-distance-right:5.pt;mso-position-horizontal-relative:page;mso-position-vertical-relative:page" wrapcoords="0 0" filled="f" stroked="f">
          <v:textbox style="mso-fit-shape-to-text:t" inset="0,0,0,0">
            <w:txbxContent>
              <w:p>
                <w:pPr>
                  <w:pStyle w:val="Style24"/>
                  <w:widowControl w:val="0"/>
                  <w:keepNext w:val="0"/>
                  <w:keepLines w:val="0"/>
                  <w:shd w:val="clear" w:color="auto" w:fill="auto"/>
                  <w:bidi w:val="0"/>
                  <w:jc w:val="left"/>
                  <w:spacing w:before="0" w:after="0" w:line="240" w:lineRule="auto"/>
                  <w:ind w:left="0" w:right="0" w:firstLine="0"/>
                </w:pPr>
                <w:r>
                  <w:rPr>
                    <w:rStyle w:val="CharStyle187"/>
                  </w:rPr>
                  <w:t>Показания</w:t>
                </w:r>
              </w:p>
            </w:txbxContent>
          </v:textbox>
          <w10:wrap anchorx="page" anchory="page"/>
        </v:shape>
      </w:pict>
    </w:r>
  </w:p>
</w:hdr>
</file>

<file path=word/header8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28" type="#_x0000_t202" style="position:absolute;margin-left:67.2pt;margin-top:54.35pt;width:481.2pt;height:8.9pt;z-index:-188743914;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8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29" type="#_x0000_t202" style="position:absolute;margin-left:46.8pt;margin-top:62.45pt;width:483.85pt;height:8.9pt;z-index:-188743913;mso-wrap-distance-left:5.pt;mso-wrap-distance-right:5.pt;mso-position-horizontal-relative:page;mso-position-vertical-relative:page" wrapcoords="0 0" filled="f" stroked="f">
          <v:textbox style="mso-fit-shape-to-text:t" inset="0,0,0,0">
            <w:txbxContent>
              <w:p>
                <w:pPr>
                  <w:pStyle w:val="Style24"/>
                  <w:tabs>
                    <w:tab w:leader="none" w:pos="9677"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Приложение</w:t>
                  <w:tab/>
                </w:r>
                <w:fldSimple w:instr=" PAGE \* MERGEFORMAT ">
                  <w:r>
                    <w:rPr>
                      <w:rStyle w:val="CharStyle98"/>
                    </w:rPr>
                    <w:t>#</w:t>
                  </w:r>
                </w:fldSimple>
              </w:p>
            </w:txbxContent>
          </v:textbox>
          <w10:wrap anchorx="page" anchory="page"/>
        </v:shape>
      </w:pict>
    </w:r>
  </w:p>
</w:hdr>
</file>

<file path=word/header8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30" type="#_x0000_t202" style="position:absolute;margin-left:48.pt;margin-top:104.9pt;width:39.1pt;height:6.pt;z-index:-188743912;mso-wrap-style:none;mso-wrap-distance-left:5.pt;mso-wrap-distance-right:5.pt;mso-position-horizontal-relative:page;mso-position-vertical-relative:page" wrapcoords="0 0" filled="f" stroked="f">
          <v:textbox style="mso-fit-shape-to-text:t" inset="0,0,0,0">
            <w:txbxContent>
              <w:p>
                <w:pPr>
                  <w:pStyle w:val="Style24"/>
                  <w:widowControl w:val="0"/>
                  <w:keepNext w:val="0"/>
                  <w:keepLines w:val="0"/>
                  <w:shd w:val="clear" w:color="auto" w:fill="auto"/>
                  <w:bidi w:val="0"/>
                  <w:jc w:val="left"/>
                  <w:spacing w:before="0" w:after="0" w:line="240" w:lineRule="auto"/>
                  <w:ind w:left="0" w:right="0" w:firstLine="0"/>
                </w:pPr>
                <w:r>
                  <w:rPr>
                    <w:rStyle w:val="CharStyle187"/>
                  </w:rPr>
                  <w:t>Показания</w:t>
                </w:r>
              </w:p>
            </w:txbxContent>
          </v:textbox>
          <w10:wrap anchorx="page" anchory="page"/>
        </v:shape>
      </w:pict>
    </w:r>
    <w:r>
      <w:pict>
        <v:shape id="_x0000_s2031" type="#_x0000_t202" style="position:absolute;margin-left:46.8pt;margin-top:62.45pt;width:483.6pt;height:8.9pt;z-index:-188743911;mso-wrap-distance-left:5.pt;mso-wrap-distance-right:5.pt;mso-position-horizontal-relative:page;mso-position-vertical-relative:page" wrapcoords="0 0" filled="f" stroked="f">
          <v:textbox style="mso-fit-shape-to-text:t" inset="0,0,0,0">
            <w:txbxContent>
              <w:p>
                <w:pPr>
                  <w:pStyle w:val="Style24"/>
                  <w:tabs>
                    <w:tab w:leader="none" w:pos="9672"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Приложение</w:t>
                  <w:tab/>
                </w:r>
                <w:fldSimple w:instr=" PAGE \* MERGEFORMAT ">
                  <w:r>
                    <w:rPr>
                      <w:rStyle w:val="CharStyle98"/>
                    </w:rPr>
                    <w:t>#</w:t>
                  </w:r>
                </w:fldSimple>
              </w:p>
            </w:txbxContent>
          </v:textbox>
          <w10:wrap anchorx="page" anchory="page"/>
        </v:shape>
      </w:pict>
    </w:r>
  </w:p>
</w:hdr>
</file>

<file path=word/header8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49" type="#_x0000_t202" style="position:absolute;margin-left:67.2pt;margin-top:54.35pt;width:481.2pt;height:8.9pt;z-index:-188743907;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8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50" type="#_x0000_t202" style="position:absolute;margin-left:46.8pt;margin-top:62.45pt;width:483.85pt;height:8.9pt;z-index:-188743906;mso-wrap-distance-left:5.pt;mso-wrap-distance-right:5.pt;mso-position-horizontal-relative:page;mso-position-vertical-relative:page" wrapcoords="0 0" filled="f" stroked="f">
          <v:textbox style="mso-fit-shape-to-text:t" inset="0,0,0,0">
            <w:txbxContent>
              <w:p>
                <w:pPr>
                  <w:pStyle w:val="Style24"/>
                  <w:tabs>
                    <w:tab w:leader="none" w:pos="9677"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Приложение</w:t>
                  <w:tab/>
                </w:r>
                <w:fldSimple w:instr=" PAGE \* MERGEFORMAT ">
                  <w:r>
                    <w:rPr>
                      <w:rStyle w:val="CharStyle98"/>
                    </w:rPr>
                    <w:t>#</w:t>
                  </w:r>
                </w:fldSimple>
              </w:p>
            </w:txbxContent>
          </v:textbox>
          <w10:wrap anchorx="page" anchory="page"/>
        </v:shape>
      </w:pict>
    </w:r>
  </w:p>
</w:hdr>
</file>

<file path=word/header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8" type="#_x0000_t202" style="position:absolute;margin-left:67.2pt;margin-top:54.35pt;width:481.2pt;height:8.9pt;z-index:-188744049;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9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51" type="#_x0000_t202" style="position:absolute;margin-left:58.35pt;margin-top:130.35pt;width:39.1pt;height:6.pt;z-index:-188743905;mso-wrap-style:none;mso-wrap-distance-left:5.pt;mso-wrap-distance-right:5.pt;mso-position-horizontal-relative:page;mso-position-vertical-relative:page" wrapcoords="0 0" filled="f" stroked="f">
          <v:textbox style="mso-fit-shape-to-text:t" inset="0,0,0,0">
            <w:txbxContent>
              <w:p>
                <w:pPr>
                  <w:pStyle w:val="Style24"/>
                  <w:widowControl w:val="0"/>
                  <w:keepNext w:val="0"/>
                  <w:keepLines w:val="0"/>
                  <w:shd w:val="clear" w:color="auto" w:fill="auto"/>
                  <w:bidi w:val="0"/>
                  <w:jc w:val="left"/>
                  <w:spacing w:before="0" w:after="0" w:line="240" w:lineRule="auto"/>
                  <w:ind w:left="0" w:right="0" w:firstLine="0"/>
                </w:pPr>
                <w:r>
                  <w:rPr>
                    <w:rStyle w:val="CharStyle187"/>
                  </w:rPr>
                  <w:t>Показания</w:t>
                </w:r>
              </w:p>
            </w:txbxContent>
          </v:textbox>
          <w10:wrap anchorx="page" anchory="page"/>
        </v:shape>
      </w:pict>
    </w:r>
    <w:r>
      <w:pict>
        <v:shape id="_x0000_s2052" type="#_x0000_t202" style="position:absolute;margin-left:64.6pt;margin-top:62.45pt;width:483.85pt;height:8.9pt;z-index:-188743904;mso-wrap-distance-left:5.pt;mso-wrap-distance-right:5.pt;mso-position-horizontal-relative:page;mso-position-vertical-relative:page" wrapcoords="0 0" filled="f" stroked="f">
          <v:textbox style="mso-fit-shape-to-text:t" inset="0,0,0,0">
            <w:txbxContent>
              <w:p>
                <w:pPr>
                  <w:pStyle w:val="Style24"/>
                  <w:tabs>
                    <w:tab w:leader="none" w:pos="1733" w:val="right"/>
                    <w:tab w:leader="none" w:pos="9677" w:val="right"/>
                  </w:tabs>
                  <w:widowControl w:val="0"/>
                  <w:keepNext w:val="0"/>
                  <w:keepLines w:val="0"/>
                  <w:shd w:val="clear" w:color="auto" w:fill="000000"/>
                  <w:bidi w:val="0"/>
                  <w:jc w:val="left"/>
                  <w:spacing w:before="0" w:after="0" w:line="240" w:lineRule="auto"/>
                  <w:ind w:left="0" w:right="0" w:firstLine="0"/>
                </w:pPr>
                <w:fldSimple w:instr=" PAGE \* MERGEFORMAT ">
                  <w:r>
                    <w:rPr>
                      <w:rStyle w:val="CharStyle98"/>
                    </w:rPr>
                    <w:t>#</w:t>
                  </w:r>
                </w:fldSimple>
                <w:r>
                  <w:rPr>
                    <w:rStyle w:val="CharStyle98"/>
                  </w:rPr>
                  <w:tab/>
                </w:r>
                <w:r>
                  <w:rPr>
                    <w:rStyle w:val="CharStyle138"/>
                  </w:rPr>
                  <w:t>Белозеров Ю.М.</w:t>
                  <w:tab/>
                </w:r>
                <w:r>
                  <w:rPr>
                    <w:lang w:val="ru-RU" w:eastAsia="ru-RU" w:bidi="ru-RU"/>
                    <w:w w:val="100"/>
                    <w:color w:val="141414"/>
                    <w:position w:val="0"/>
                  </w:rPr>
                  <w:t>Детская кардиология</w:t>
                </w:r>
              </w:p>
            </w:txbxContent>
          </v:textbox>
          <w10:wrap anchorx="page" anchory="page"/>
        </v:shape>
      </w:pict>
    </w:r>
  </w:p>
</w:hdr>
</file>

<file path=word/header9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80" type="#_x0000_t202" style="position:absolute;margin-left:67.2pt;margin-top:54.35pt;width:481.2pt;height:8.9pt;z-index:-188743890;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header9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81" type="#_x0000_t202" style="position:absolute;margin-left:52.45pt;margin-top:62.45pt;width:482.4pt;height:9.1pt;z-index:-188743889;mso-wrap-distance-left:5.pt;mso-wrap-distance-right:5.pt;mso-position-horizontal-relative:page;mso-position-vertical-relative:page" wrapcoords="0 0" filled="f" stroked="f">
          <v:textbox style="mso-fit-shape-to-text:t" inset="0,0,0,0">
            <w:txbxContent>
              <w:p>
                <w:pPr>
                  <w:pStyle w:val="Style24"/>
                  <w:tabs>
                    <w:tab w:leader="none" w:pos="9648"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Предметный указатель</w:t>
                  <w:tab/>
                </w:r>
                <w:fldSimple w:instr=" PAGE \* MERGEFORMAT ">
                  <w:r>
                    <w:rPr>
                      <w:rStyle w:val="CharStyle98"/>
                    </w:rPr>
                    <w:t>#</w:t>
                  </w:r>
                </w:fldSimple>
              </w:p>
            </w:txbxContent>
          </v:textbox>
          <w10:wrap anchorx="page" anchory="page"/>
        </v:shape>
      </w:pict>
    </w:r>
  </w:p>
</w:hdr>
</file>

<file path=word/header9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9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9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89" type="#_x0000_t202" style="position:absolute;margin-left:52.45pt;margin-top:62.45pt;width:482.4pt;height:9.1pt;z-index:-188743887;mso-wrap-distance-left:5.pt;mso-wrap-distance-right:5.pt;mso-position-horizontal-relative:page;mso-position-vertical-relative:page" wrapcoords="0 0" filled="f" stroked="f">
          <v:textbox style="mso-fit-shape-to-text:t" inset="0,0,0,0">
            <w:txbxContent>
              <w:p>
                <w:pPr>
                  <w:pStyle w:val="Style24"/>
                  <w:tabs>
                    <w:tab w:leader="none" w:pos="9648" w:val="right"/>
                  </w:tabs>
                  <w:widowControl w:val="0"/>
                  <w:keepNext w:val="0"/>
                  <w:keepLines w:val="0"/>
                  <w:shd w:val="clear" w:color="auto" w:fill="000000"/>
                  <w:bidi w:val="0"/>
                  <w:jc w:val="left"/>
                  <w:spacing w:before="0" w:after="0" w:line="240" w:lineRule="auto"/>
                  <w:ind w:left="0" w:right="0" w:firstLine="0"/>
                </w:pPr>
                <w:r>
                  <w:rPr>
                    <w:lang w:val="ru-RU" w:eastAsia="ru-RU" w:bidi="ru-RU"/>
                    <w:w w:val="100"/>
                    <w:color w:val="141414"/>
                    <w:position w:val="0"/>
                  </w:rPr>
                  <w:t>Предметный указатель</w:t>
                  <w:tab/>
                </w:r>
                <w:fldSimple w:instr=" PAGE \* MERGEFORMAT ">
                  <w:r>
                    <w:rPr>
                      <w:rStyle w:val="CharStyle98"/>
                    </w:rPr>
                    <w:t>#</w:t>
                  </w:r>
                </w:fldSimple>
              </w:p>
            </w:txbxContent>
          </v:textbox>
          <w10:wrap anchorx="page" anchory="page"/>
        </v:shape>
      </w:pict>
    </w:r>
  </w:p>
</w:hdr>
</file>

<file path=word/header9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90" type="#_x0000_t202" style="position:absolute;margin-left:67.2pt;margin-top:54.35pt;width:481.2pt;height:8.9pt;z-index:-188743886;mso-wrap-distance-left:5.pt;mso-wrap-distance-right:5.pt;mso-position-horizontal-relative:page;mso-position-vertical-relative:page" wrapcoords="0 0" filled="f" stroked="f">
          <v:textbox style="mso-fit-shape-to-text:t" inset="0,0,0,0">
            <w:txbxContent>
              <w:p>
                <w:pPr>
                  <w:pStyle w:val="Style24"/>
                  <w:tabs>
                    <w:tab w:leader="none" w:pos="1680" w:val="right"/>
                    <w:tab w:leader="none" w:pos="9624" w:val="right"/>
                  </w:tabs>
                  <w:widowControl w:val="0"/>
                  <w:keepNext w:val="0"/>
                  <w:keepLines w:val="0"/>
                  <w:shd w:val="clear" w:color="auto" w:fill="auto"/>
                  <w:bidi w:val="0"/>
                  <w:jc w:val="left"/>
                  <w:spacing w:before="0" w:after="0" w:line="240" w:lineRule="auto"/>
                  <w:ind w:left="0" w:right="0" w:firstLine="0"/>
                </w:pPr>
                <w:fldSimple w:instr=" PAGE \* MERGEFORMAT ">
                  <w:r>
                    <w:rPr>
                      <w:rStyle w:val="CharStyle27"/>
                      <w:color w:val="EBEBEB"/>
                    </w:rPr>
                    <w:t>#</w:t>
                  </w:r>
                </w:fldSimple>
                <w:r>
                  <w:rPr>
                    <w:rStyle w:val="CharStyle27"/>
                    <w:color w:val="EBEBEB"/>
                  </w:rPr>
                  <w:tab/>
                </w:r>
                <w:r>
                  <w:rPr>
                    <w:rStyle w:val="CharStyle43"/>
                  </w:rPr>
                  <w:t>Белозеров Ю.М.</w:t>
                  <w:tab/>
                </w:r>
                <w:r>
                  <w:rPr>
                    <w:rStyle w:val="CharStyle26"/>
                    <w:color w:val="000000"/>
                  </w:rPr>
                  <w:t>Детская кардиология</w:t>
                </w:r>
              </w:p>
            </w:txbxContent>
          </v:textbox>
          <w10:wrap anchorx="page" anchory="page"/>
        </v:shape>
      </w:pict>
    </w:r>
  </w:p>
</w:hdr>
</file>

<file path=word/numbering.xml><?xml version="1.0" encoding="utf-8"?>
<w:numbering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abstractNum w:abstractNumId="0">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6">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8">
    <w:multiLevelType w:val="multilevel"/>
    <w:lvl w:ilvl="0">
      <w:start w:val="1"/>
      <w:numFmt w:val="bullet"/>
      <w:lvlText w:val="-"/>
      <w:rPr>
        <w:lang w:val="en-US" w:eastAsia="en-US" w:bidi="en-US"/>
        <w:b/>
        <w:bCs/>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0">
    <w:multiLevelType w:val="multilevel"/>
    <w:lvl w:ilvl="0">
      <w:start w:val="1"/>
      <w:numFmt w:val="bullet"/>
      <w:lvlText w:val="•"/>
      <w:rPr>
        <w:lang w:val="ru-RU" w:eastAsia="ru-RU" w:bidi="ru-RU"/>
        <w:b/>
        <w:bCs/>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2">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6">
    <w:multiLevelType w:val="multilevel"/>
    <w:lvl w:ilvl="0">
      <w:start w:val="1"/>
      <w:numFmt w:val="decimal"/>
      <w:lvlText w:val="%1"/>
      <w:rPr>
        <w:lang w:val="ru-RU" w:eastAsia="ru-RU" w:bidi="ru-RU"/>
        <w:b w:val="0"/>
        <w:bCs w:val="0"/>
        <w:i w:val="0"/>
        <w:iCs w:val="0"/>
        <w:u w:val="none"/>
        <w:strike w:val="0"/>
        <w:smallCaps w:val="0"/>
        <w:sz w:val="19"/>
        <w:szCs w:val="19"/>
        <w:rFonts w:ascii="Times New Roman" w:eastAsia="Times New Roman" w:hAnsi="Times New Roman" w:cs="Times New Roman"/>
        <w:w w:val="100"/>
        <w:spacing w:val="0"/>
        <w:color w:val="000000"/>
        <w:position w:val="0"/>
      </w:rPr>
    </w:lvl>
  </w:abstractNum>
  <w:abstractNum w:abstractNumId="18">
    <w:multiLevelType w:val="multilevel"/>
    <w:lvl w:ilvl="0">
      <w:start w:val="1"/>
      <w:numFmt w:val="decimal"/>
      <w:lvlText w:val="%1."/>
      <w:rPr>
        <w:lang w:val="ru-RU" w:eastAsia="ru-RU" w:bidi="ru-RU"/>
        <w:b/>
        <w:bCs/>
        <w:i w:val="0"/>
        <w:iCs w:val="0"/>
        <w:u w:val="none"/>
        <w:strike w:val="0"/>
        <w:smallCaps w:val="0"/>
        <w:sz w:val="18"/>
        <w:szCs w:val="18"/>
        <w:rFonts w:ascii="Times New Roman" w:eastAsia="Times New Roman" w:hAnsi="Times New Roman" w:cs="Times New Roman"/>
        <w:w w:val="100"/>
        <w:spacing w:val="0"/>
        <w:color w:val="000000"/>
        <w:position w:val="0"/>
      </w:rPr>
    </w:lvl>
    <w:lvl w:ilvl="1">
      <w:start w:val="1"/>
      <w:numFmt w:val="decimal"/>
      <w:lvlText w:val="%1.%2."/>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0">
    <w:multiLevelType w:val="multilevel"/>
    <w:lvl w:ilvl="0">
      <w:start w:val="4"/>
      <w:numFmt w:val="decimal"/>
      <w:lvlText w:val="1.%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2">
    <w:multiLevelType w:val="multilevel"/>
    <w:lvl w:ilvl="0">
      <w:start w:val="2"/>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1">
      <w:start w:val="1"/>
      <w:numFmt w:val="decimal"/>
      <w:lvlText w:val="%1.%2."/>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2">
      <w:start w:val="1"/>
      <w:numFmt w:val="decimal"/>
      <w:lvlText w:val="%1.%2.%3."/>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6">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8">
    <w:multiLevelType w:val="multilevel"/>
    <w:lvl w:ilvl="0">
      <w:start w:val="3"/>
      <w:numFmt w:val="upperRoman"/>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6">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38">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2">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6">
    <w:multiLevelType w:val="multilevel"/>
    <w:lvl w:ilvl="0">
      <w:start w:val="1"/>
      <w:numFmt w:val="upperRoman"/>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48">
    <w:multiLevelType w:val="multilevel"/>
    <w:lvl w:ilvl="0">
      <w:start w:val="1"/>
      <w:numFmt w:val="upperRoman"/>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50">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52">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54">
    <w:multiLevelType w:val="multilevel"/>
    <w:lvl w:ilvl="0">
      <w:start w:val="1"/>
      <w:numFmt w:val="upperRoman"/>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56">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58">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6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62">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6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6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68">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70">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7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7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7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78">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80">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8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8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8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8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90">
    <w:multiLevelType w:val="multilevel"/>
    <w:lvl w:ilvl="0">
      <w:start w:val="1"/>
      <w:numFmt w:val="upperRoman"/>
      <w:lvlText w:val="%1"/>
      <w:rPr>
        <w:lang w:val="en-US" w:eastAsia="en-US" w:bidi="en-US"/>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92">
    <w:multiLevelType w:val="multilevel"/>
    <w:lvl w:ilvl="0">
      <w:start w:val="0"/>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9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96">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98">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00">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02">
    <w:multiLevelType w:val="multilevel"/>
    <w:lvl w:ilvl="0">
      <w:start w:val="1"/>
      <w:numFmt w:val="upperLetter"/>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04">
    <w:multiLevelType w:val="multilevel"/>
    <w:lvl w:ilvl="0">
      <w:start w:val="1"/>
      <w:numFmt w:val="decimal"/>
      <w:lvlText w:val="%1."/>
      <w:rPr>
        <w:lang w:val="en-US" w:eastAsia="en-US" w:bidi="en-US"/>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0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1">
      <w:start w:val="1"/>
      <w:numFmt w:val="decimal"/>
      <w:lvlText w:val="%1.%2."/>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2">
      <w:start w:val="1"/>
      <w:numFmt w:val="decimal"/>
      <w:lvlText w:val="%1.%2.%3."/>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3">
      <w:start w:val="1"/>
      <w:numFmt w:val="decimal"/>
      <w:lvlText w:val="%1.%2.%3.%4."/>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0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1">
      <w:start w:val="1"/>
      <w:numFmt w:val="decimal"/>
      <w:lvlText w:val="%1.%2."/>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2">
      <w:start w:val="1"/>
      <w:numFmt w:val="decimal"/>
      <w:lvlText w:val="%1.%2.%3."/>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3">
      <w:start w:val="1"/>
      <w:numFmt w:val="decimal"/>
      <w:lvlText w:val="%1.%2.%3.%4."/>
      <w:rPr>
        <w:lang w:val="en-US" w:eastAsia="en-US" w:bidi="en-US"/>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10">
    <w:multiLevelType w:val="multilevel"/>
    <w:lvl w:ilvl="0">
      <w:start w:val="4"/>
      <w:numFmt w:val="decimal"/>
      <w:lvlText w:val="4.4.3.%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12">
    <w:multiLevelType w:val="multilevel"/>
    <w:lvl w:ilvl="0">
      <w:start w:val="4"/>
      <w:numFmt w:val="decimal"/>
      <w:lvlText w:val="4.4.%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1">
      <w:start w:val="5"/>
      <w:numFmt w:val="decimal"/>
      <w:lvlText w:val="%1.%2."/>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lvl w:ilvl="2">
      <w:start w:val="1"/>
      <w:numFmt w:val="decimal"/>
      <w:lvlText w:val="%1.%2.%3."/>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1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16">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1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20">
    <w:multiLevelType w:val="multilevel"/>
    <w:lvl w:ilvl="0">
      <w:start w:val="1"/>
      <w:numFmt w:val="upperRoman"/>
      <w:lvlText w:val="%1"/>
      <w:rPr>
        <w:lang w:val="en-US" w:eastAsia="en-US" w:bidi="en-US"/>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22">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2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2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2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30">
    <w:multiLevelType w:val="multilevel"/>
    <w:lvl w:ilvl="0">
      <w:start w:val="4"/>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32">
    <w:multiLevelType w:val="multilevel"/>
    <w:lvl w:ilvl="0">
      <w:start w:val="7"/>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34">
    <w:multiLevelType w:val="multilevel"/>
    <w:lvl w:ilvl="0">
      <w:start w:val="8"/>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36">
    <w:multiLevelType w:val="multilevel"/>
    <w:lvl w:ilvl="0">
      <w:start w:val="13"/>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38">
    <w:multiLevelType w:val="multilevel"/>
    <w:lvl w:ilvl="0">
      <w:start w:val="2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40">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42">
    <w:multiLevelType w:val="multilevel"/>
    <w:lvl w:ilvl="0">
      <w:start w:val="1995"/>
      <w:numFmt w:val="decimal"/>
      <w:lvlText w:val="(%1)"/>
      <w:rPr>
        <w:lang w:val="en-US" w:eastAsia="en-US" w:bidi="en-US"/>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4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46">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48">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50">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52">
    <w:multiLevelType w:val="multilevel"/>
    <w:lvl w:ilvl="0">
      <w:start w:val="1"/>
      <w:numFmt w:val="upperRoman"/>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54">
    <w:multiLevelType w:val="multilevel"/>
    <w:lvl w:ilvl="0">
      <w:start w:val="2"/>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5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58">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60">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62">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6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6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68">
    <w:multiLevelType w:val="multilevel"/>
    <w:lvl w:ilvl="0">
      <w:start w:val="1"/>
      <w:numFmt w:val="upperRoman"/>
      <w:lvlText w:val="%1"/>
      <w:rPr>
        <w:lang w:val="en-US" w:eastAsia="en-US" w:bidi="en-US"/>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7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7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74">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76">
    <w:multiLevelType w:val="multilevel"/>
    <w:lvl w:ilvl="0">
      <w:start w:val="2"/>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78">
    <w:multiLevelType w:val="multilevel"/>
    <w:lvl w:ilvl="0">
      <w:start w:val="1"/>
      <w:numFmt w:val="upperRoman"/>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80">
    <w:multiLevelType w:val="multilevel"/>
    <w:lvl w:ilvl="0">
      <w:start w:val="3"/>
      <w:numFmt w:val="upperRoman"/>
      <w:lvlText w:val="%1"/>
      <w:rPr>
        <w:lang w:val="en-US" w:eastAsia="en-US" w:bidi="en-US"/>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82">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84">
    <w:multiLevelType w:val="multilevel"/>
    <w:lvl w:ilvl="0">
      <w:start w:val="1"/>
      <w:numFmt w:val="bullet"/>
      <w:lvlText w:val="-"/>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86">
    <w:multiLevelType w:val="multilevel"/>
    <w:lvl w:ilvl="0">
      <w:start w:val="1"/>
      <w:numFmt w:val="upperLetter"/>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88">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90">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92">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94">
    <w:multiLevelType w:val="multilevel"/>
    <w:lvl w:ilvl="0">
      <w:start w:val="1"/>
      <w:numFmt w:val="upperRoman"/>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96">
    <w:multiLevelType w:val="multilevel"/>
    <w:lvl w:ilvl="0">
      <w:start w:val="1"/>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198">
    <w:multiLevelType w:val="multilevel"/>
    <w:lvl w:ilvl="0">
      <w:start w:val="2"/>
      <w:numFmt w:val="upperRoman"/>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00">
    <w:multiLevelType w:val="multilevel"/>
    <w:lvl w:ilvl="0">
      <w:start w:val="1"/>
      <w:numFmt w:val="bullet"/>
      <w:lvlText w:val="-"/>
      <w:rPr>
        <w:lang w:val="ru-RU" w:eastAsia="ru-RU" w:bidi="ru-RU"/>
        <w:b w:val="0"/>
        <w:bCs w:val="0"/>
        <w:i w:val="0"/>
        <w:iCs w:val="0"/>
        <w:u w:val="none"/>
        <w:strike w:val="0"/>
        <w:smallCaps w:val="0"/>
        <w:sz w:val="16"/>
        <w:szCs w:val="16"/>
        <w:rFonts w:ascii="Times New Roman" w:eastAsia="Times New Roman" w:hAnsi="Times New Roman" w:cs="Times New Roman"/>
        <w:w w:val="100"/>
        <w:spacing w:val="0"/>
        <w:color w:val="000000"/>
        <w:position w:val="0"/>
      </w:rPr>
    </w:lvl>
  </w:abstractNum>
  <w:abstractNum w:abstractNumId="202">
    <w:multiLevelType w:val="multilevel"/>
    <w:lvl w:ilvl="0">
      <w:start w:val="5"/>
      <w:numFmt w:val="decimal"/>
      <w:lvlText w:val="2.%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04">
    <w:multiLevelType w:val="multilevel"/>
    <w:lvl w:ilvl="0">
      <w:start w:val="5"/>
      <w:numFmt w:val="decimal"/>
      <w:lvlText w:val="2.%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06">
    <w:multiLevelType w:val="multilevel"/>
    <w:lvl w:ilvl="0">
      <w:start w:val="3"/>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abstractNum w:abstractNumId="208">
    <w:multiLevelType w:val="multilevel"/>
    <w:lvl w:ilvl="0">
      <w:start w:val="3"/>
      <w:numFmt w:val="decimal"/>
      <w:lvlText w:val="%1"/>
      <w:rPr>
        <w:lang w:val="ru-RU" w:eastAsia="ru-RU" w:bidi="ru-RU"/>
        <w:b w:val="0"/>
        <w:bCs w:val="0"/>
        <w:i w:val="0"/>
        <w:iCs w:val="0"/>
        <w:u w:val="none"/>
        <w:strike w:val="0"/>
        <w:smallCaps w:val="0"/>
        <w:sz w:val="18"/>
        <w:szCs w:val="18"/>
        <w:rFonts w:ascii="Times New Roman" w:eastAsia="Times New Roman" w:hAnsi="Times New Roman" w:cs="Times New Roman"/>
        <w:w w:val="100"/>
        <w:spacing w:val="0"/>
        <w:color w:val="000000"/>
        <w:position w:val="0"/>
      </w:rPr>
    </w:lvl>
  </w:abstractNum>
  <w:num w:numId="1">
    <w:abstractNumId w:val="0"/>
  </w:num>
  <w:num w:numId="3">
    <w:abstractNumId w:val="2"/>
  </w:num>
  <w:num w:numId="5">
    <w:abstractNumId w:val="4"/>
  </w:num>
  <w:num w:numId="7">
    <w:abstractNumId w:val="6"/>
  </w:num>
  <w:num w:numId="9">
    <w:abstractNumId w:val="8"/>
  </w:num>
  <w:num w:numId="11">
    <w:abstractNumId w:val="10"/>
  </w:num>
  <w:num w:numId="13">
    <w:abstractNumId w:val="12"/>
  </w:num>
  <w:num w:numId="15">
    <w:abstractNumId w:val="14"/>
  </w:num>
  <w:num w:numId="17">
    <w:abstractNumId w:val="16"/>
  </w:num>
  <w:num w:numId="19">
    <w:abstractNumId w:val="18"/>
  </w:num>
  <w:num w:numId="21">
    <w:abstractNumId w:val="20"/>
  </w:num>
  <w:num w:numId="23">
    <w:abstractNumId w:val="22"/>
  </w:num>
  <w:num w:numId="25">
    <w:abstractNumId w:val="24"/>
  </w:num>
  <w:num w:numId="27">
    <w:abstractNumId w:val="26"/>
  </w:num>
  <w:num w:numId="29">
    <w:abstractNumId w:val="28"/>
  </w:num>
  <w:num w:numId="31">
    <w:abstractNumId w:val="30"/>
  </w:num>
  <w:num w:numId="33">
    <w:abstractNumId w:val="32"/>
  </w:num>
  <w:num w:numId="35">
    <w:abstractNumId w:val="34"/>
  </w:num>
  <w:num w:numId="37">
    <w:abstractNumId w:val="36"/>
  </w:num>
  <w:num w:numId="39">
    <w:abstractNumId w:val="38"/>
  </w:num>
  <w:num w:numId="41">
    <w:abstractNumId w:val="40"/>
  </w:num>
  <w:num w:numId="43">
    <w:abstractNumId w:val="42"/>
  </w:num>
  <w:num w:numId="45">
    <w:abstractNumId w:val="44"/>
  </w:num>
  <w:num w:numId="47">
    <w:abstractNumId w:val="46"/>
  </w:num>
  <w:num w:numId="49">
    <w:abstractNumId w:val="48"/>
  </w:num>
  <w:num w:numId="51">
    <w:abstractNumId w:val="50"/>
  </w:num>
  <w:num w:numId="53">
    <w:abstractNumId w:val="52"/>
  </w:num>
  <w:num w:numId="55">
    <w:abstractNumId w:val="54"/>
  </w:num>
  <w:num w:numId="57">
    <w:abstractNumId w:val="56"/>
  </w:num>
  <w:num w:numId="59">
    <w:abstractNumId w:val="58"/>
  </w:num>
  <w:num w:numId="61">
    <w:abstractNumId w:val="60"/>
  </w:num>
  <w:num w:numId="63">
    <w:abstractNumId w:val="62"/>
  </w:num>
  <w:num w:numId="65">
    <w:abstractNumId w:val="64"/>
  </w:num>
  <w:num w:numId="67">
    <w:abstractNumId w:val="66"/>
  </w:num>
  <w:num w:numId="69">
    <w:abstractNumId w:val="68"/>
  </w:num>
  <w:num w:numId="71">
    <w:abstractNumId w:val="70"/>
  </w:num>
  <w:num w:numId="73">
    <w:abstractNumId w:val="72"/>
  </w:num>
  <w:num w:numId="75">
    <w:abstractNumId w:val="74"/>
  </w:num>
  <w:num w:numId="77">
    <w:abstractNumId w:val="76"/>
  </w:num>
  <w:num w:numId="79">
    <w:abstractNumId w:val="78"/>
  </w:num>
  <w:num w:numId="81">
    <w:abstractNumId w:val="80"/>
  </w:num>
  <w:num w:numId="83">
    <w:abstractNumId w:val="82"/>
  </w:num>
  <w:num w:numId="85">
    <w:abstractNumId w:val="84"/>
  </w:num>
  <w:num w:numId="87">
    <w:abstractNumId w:val="86"/>
  </w:num>
  <w:num w:numId="89">
    <w:abstractNumId w:val="88"/>
  </w:num>
  <w:num w:numId="91">
    <w:abstractNumId w:val="90"/>
  </w:num>
  <w:num w:numId="93">
    <w:abstractNumId w:val="92"/>
  </w:num>
  <w:num w:numId="95">
    <w:abstractNumId w:val="94"/>
  </w:num>
  <w:num w:numId="97">
    <w:abstractNumId w:val="96"/>
  </w:num>
  <w:num w:numId="99">
    <w:abstractNumId w:val="98"/>
  </w:num>
  <w:num w:numId="101">
    <w:abstractNumId w:val="100"/>
  </w:num>
  <w:num w:numId="103">
    <w:abstractNumId w:val="102"/>
  </w:num>
  <w:num w:numId="105">
    <w:abstractNumId w:val="104"/>
  </w:num>
  <w:num w:numId="107">
    <w:abstractNumId w:val="106"/>
  </w:num>
  <w:num w:numId="109">
    <w:abstractNumId w:val="108"/>
  </w:num>
  <w:num w:numId="111">
    <w:abstractNumId w:val="110"/>
  </w:num>
  <w:num w:numId="113">
    <w:abstractNumId w:val="112"/>
  </w:num>
  <w:num w:numId="115">
    <w:abstractNumId w:val="114"/>
  </w:num>
  <w:num w:numId="117">
    <w:abstractNumId w:val="116"/>
  </w:num>
  <w:num w:numId="119">
    <w:abstractNumId w:val="118"/>
  </w:num>
  <w:num w:numId="121">
    <w:abstractNumId w:val="120"/>
  </w:num>
  <w:num w:numId="123">
    <w:abstractNumId w:val="122"/>
  </w:num>
  <w:num w:numId="125">
    <w:abstractNumId w:val="124"/>
  </w:num>
  <w:num w:numId="127">
    <w:abstractNumId w:val="126"/>
  </w:num>
  <w:num w:numId="129">
    <w:abstractNumId w:val="128"/>
  </w:num>
  <w:num w:numId="131">
    <w:abstractNumId w:val="130"/>
  </w:num>
  <w:num w:numId="133">
    <w:abstractNumId w:val="132"/>
  </w:num>
  <w:num w:numId="135">
    <w:abstractNumId w:val="134"/>
  </w:num>
  <w:num w:numId="137">
    <w:abstractNumId w:val="136"/>
  </w:num>
  <w:num w:numId="139">
    <w:abstractNumId w:val="138"/>
  </w:num>
  <w:num w:numId="141">
    <w:abstractNumId w:val="140"/>
  </w:num>
  <w:num w:numId="143">
    <w:abstractNumId w:val="142"/>
  </w:num>
  <w:num w:numId="145">
    <w:abstractNumId w:val="144"/>
  </w:num>
  <w:num w:numId="147">
    <w:abstractNumId w:val="146"/>
  </w:num>
  <w:num w:numId="149">
    <w:abstractNumId w:val="148"/>
  </w:num>
  <w:num w:numId="151">
    <w:abstractNumId w:val="150"/>
  </w:num>
  <w:num w:numId="153">
    <w:abstractNumId w:val="152"/>
  </w:num>
  <w:num w:numId="155">
    <w:abstractNumId w:val="154"/>
  </w:num>
  <w:num w:numId="157">
    <w:abstractNumId w:val="156"/>
  </w:num>
  <w:num w:numId="159">
    <w:abstractNumId w:val="158"/>
  </w:num>
  <w:num w:numId="161">
    <w:abstractNumId w:val="160"/>
  </w:num>
  <w:num w:numId="163">
    <w:abstractNumId w:val="162"/>
  </w:num>
  <w:num w:numId="165">
    <w:abstractNumId w:val="164"/>
  </w:num>
  <w:num w:numId="167">
    <w:abstractNumId w:val="166"/>
  </w:num>
  <w:num w:numId="169">
    <w:abstractNumId w:val="168"/>
  </w:num>
  <w:num w:numId="171">
    <w:abstractNumId w:val="170"/>
  </w:num>
  <w:num w:numId="173">
    <w:abstractNumId w:val="172"/>
  </w:num>
  <w:num w:numId="175">
    <w:abstractNumId w:val="174"/>
  </w:num>
  <w:num w:numId="177">
    <w:abstractNumId w:val="176"/>
  </w:num>
  <w:num w:numId="179">
    <w:abstractNumId w:val="178"/>
  </w:num>
  <w:num w:numId="181">
    <w:abstractNumId w:val="180"/>
  </w:num>
  <w:num w:numId="183">
    <w:abstractNumId w:val="182"/>
  </w:num>
  <w:num w:numId="185">
    <w:abstractNumId w:val="184"/>
  </w:num>
  <w:num w:numId="187">
    <w:abstractNumId w:val="186"/>
  </w:num>
  <w:num w:numId="189">
    <w:abstractNumId w:val="188"/>
  </w:num>
  <w:num w:numId="191">
    <w:abstractNumId w:val="190"/>
  </w:num>
  <w:num w:numId="193">
    <w:abstractNumId w:val="192"/>
  </w:num>
  <w:num w:numId="195">
    <w:abstractNumId w:val="194"/>
  </w:num>
  <w:num w:numId="197">
    <w:abstractNumId w:val="196"/>
  </w:num>
  <w:num w:numId="199">
    <w:abstractNumId w:val="198"/>
  </w:num>
  <w:num w:numId="201">
    <w:abstractNumId w:val="200"/>
  </w:num>
  <w:num w:numId="203">
    <w:abstractNumId w:val="202"/>
  </w:num>
  <w:num w:numId="205">
    <w:abstractNumId w:val="204"/>
  </w:num>
  <w:num w:numId="207">
    <w:abstractNumId w:val="206"/>
  </w:num>
  <w:num w:numId="209">
    <w:abstractNumId w:val="208"/>
  </w:num>
</w:numbering>
</file>

<file path=word/settings.xml><?xml version="1.0" encoding="utf-8"?>
<w:setting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zoom w:val="fullPage"/>
  <w:evenAndOddHeaders/>
  <w:footnotePr>
    <w:pos w:val="pageBottom"/>
    <w:numFmt w:val="chicago"/>
    <w:numRestart w:val="eachPage"/>
    <w:footnote w:id="0"/>
    <w:footnote w:id="1"/>
  </w:footnotePr>
  <w:drawingGridHorizontalSpacing w:val="181"/>
  <w:drawingGridVerticalSpacing w:val="181"/>
  <w:displayHorizontalDrawingGridEvery w:val="1"/>
  <w:displayVerticalDrawingGridEvery w:val="1"/>
  <w:characterSpacingControl w:val="compressPunctuation"/>
  <w:compat>
    <w:doNotExpandShiftReturn/>
  </w:compat>
</w:settings>
</file>

<file path=word/styles.xml><?xml version="1.0" encoding="utf-8"?>
<w:style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docDefaults>
    <w:rPrDefault>
      <w:rPr>
        <w:rFonts w:ascii="Microsoft Sans Serif" w:eastAsia="Microsoft Sans Serif" w:hAnsi="Microsoft Sans Serif" w:cs="Microsoft Sans Serif"/>
        <w:sz w:val="24"/>
        <w:szCs w:val="24"/>
        <w:lang w:val="ru-RU" w:eastAsia="ru-RU" w:bidi="ru-RU"/>
      </w:rPr>
    </w:rPrDefault>
    <w:pPrDefault>
      <w:pPr>
        <w:widowControl w:val="0"/>
        <w:keepNext w:val="0"/>
        <w:keepLines w:val="0"/>
        <w:shd w:val="clear" w:color="auto" w:fill="auto"/>
        <w:bidi w:val="0"/>
        <w:jc w:val="left"/>
        <w:spacing w:before="0" w:after="0" w:line="240" w:lineRule="auto"/>
        <w:ind w:left="0" w:right="0" w:firstLine="0"/>
      </w:pPr>
    </w:pPrDefault>
  </w:docDefaults>
  <w:style w:type="paragraph" w:default="1" w:styleId="Normal">
    <w:name w:val="Normal"/>
    <w:pPr>
      <w:widowControl w:val="0"/>
      <w:keepNext w:val="0"/>
      <w:keepLines w:val="0"/>
      <w:shd w:val="clear" w:color="auto" w:fill="auto"/>
      <w:bidi w:val="0"/>
      <w:jc w:val="left"/>
      <w:spacing w:before="0" w:after="0" w:line="240" w:lineRule="auto"/>
      <w:ind w:left="0" w:right="0" w:firstLine="0"/>
    </w:pPr>
    <w:rPr>
      <w:lang w:val="ru-RU" w:eastAsia="ru-RU" w:bidi="ru-RU"/>
      <w:sz w:val="24"/>
      <w:szCs w:val="24"/>
      <w:rFonts w:ascii="Microsoft Sans Serif" w:eastAsia="Microsoft Sans Serif" w:hAnsi="Microsoft Sans Serif" w:cs="Microsoft Sans Serif"/>
      <w:w w:val="100"/>
      <w:spacing w:val="0"/>
      <w:color w:val="000000"/>
      <w:position w:val="0"/>
    </w:rPr>
  </w:style>
  <w:style w:type="character" w:default="1" w:styleId="DefaultParagraphFont">
    <w:name w:val="Default Paragraph Font"/>
    <w:rPr>
      <w:lang w:val="ru-RU" w:eastAsia="ru-RU" w:bidi="ru-RU"/>
      <w:sz w:val="24"/>
      <w:szCs w:val="24"/>
      <w:rFonts w:ascii="Microsoft Sans Serif" w:eastAsia="Microsoft Sans Serif" w:hAnsi="Microsoft Sans Serif" w:cs="Microsoft Sans Serif"/>
      <w:w w:val="100"/>
      <w:spacing w:val="0"/>
      <w:color w:val="000000"/>
      <w:position w:val="0"/>
    </w:rPr>
  </w:style>
  <w:style w:type="character" w:styleId="Hyperlink">
    <w:name w:val="Hyperlink"/>
    <w:basedOn w:val="DefaultParagraphFont"/>
    <w:rPr>
      <w:u w:val="single"/>
      <w:color w:val="0066CC"/>
    </w:rPr>
  </w:style>
  <w:style w:type="character" w:customStyle="1" w:styleId="CharStyle4">
    <w:name w:val="Сноска_"/>
    <w:basedOn w:val="DefaultParagraphFont"/>
    <w:link w:val="Style3"/>
    <w:rPr>
      <w:b w:val="0"/>
      <w:bCs w:val="0"/>
      <w:i w:val="0"/>
      <w:iCs w:val="0"/>
      <w:u w:val="none"/>
      <w:strike w:val="0"/>
      <w:smallCaps w:val="0"/>
      <w:sz w:val="18"/>
      <w:szCs w:val="18"/>
      <w:rFonts w:ascii="Times New Roman" w:eastAsia="Times New Roman" w:hAnsi="Times New Roman" w:cs="Times New Roman"/>
    </w:rPr>
  </w:style>
  <w:style w:type="character" w:customStyle="1" w:styleId="CharStyle6">
    <w:name w:val="Основной текст (3)_"/>
    <w:basedOn w:val="DefaultParagraphFont"/>
    <w:link w:val="Style5"/>
    <w:rPr>
      <w:b/>
      <w:bCs/>
      <w:i w:val="0"/>
      <w:iCs w:val="0"/>
      <w:u w:val="none"/>
      <w:strike w:val="0"/>
      <w:smallCaps w:val="0"/>
      <w:sz w:val="34"/>
      <w:szCs w:val="34"/>
      <w:rFonts w:ascii="Times New Roman" w:eastAsia="Times New Roman" w:hAnsi="Times New Roman" w:cs="Times New Roman"/>
    </w:rPr>
  </w:style>
  <w:style w:type="character" w:customStyle="1" w:styleId="CharStyle8">
    <w:name w:val="Основной текст (4)_"/>
    <w:basedOn w:val="DefaultParagraphFont"/>
    <w:link w:val="Style7"/>
    <w:rPr>
      <w:b w:val="0"/>
      <w:bCs w:val="0"/>
      <w:i w:val="0"/>
      <w:iCs w:val="0"/>
      <w:u w:val="none"/>
      <w:strike w:val="0"/>
      <w:smallCaps w:val="0"/>
      <w:sz w:val="74"/>
      <w:szCs w:val="74"/>
      <w:rFonts w:ascii="Times New Roman" w:eastAsia="Times New Roman" w:hAnsi="Times New Roman" w:cs="Times New Roman"/>
      <w:spacing w:val="0"/>
    </w:rPr>
  </w:style>
  <w:style w:type="character" w:customStyle="1" w:styleId="CharStyle10">
    <w:name w:val="Основной текст (5)_"/>
    <w:basedOn w:val="DefaultParagraphFont"/>
    <w:link w:val="Style9"/>
    <w:rPr>
      <w:b w:val="0"/>
      <w:bCs w:val="0"/>
      <w:i w:val="0"/>
      <w:iCs w:val="0"/>
      <w:u w:val="none"/>
      <w:strike w:val="0"/>
      <w:smallCaps w:val="0"/>
      <w:sz w:val="26"/>
      <w:szCs w:val="26"/>
      <w:rFonts w:ascii="Segoe UI" w:eastAsia="Segoe UI" w:hAnsi="Segoe UI" w:cs="Segoe UI"/>
    </w:rPr>
  </w:style>
  <w:style w:type="character" w:customStyle="1" w:styleId="CharStyle12">
    <w:name w:val="Основной текст (6)_"/>
    <w:basedOn w:val="DefaultParagraphFont"/>
    <w:link w:val="Style11"/>
    <w:rPr>
      <w:b w:val="0"/>
      <w:bCs w:val="0"/>
      <w:i w:val="0"/>
      <w:iCs w:val="0"/>
      <w:u w:val="none"/>
      <w:strike w:val="0"/>
      <w:smallCaps w:val="0"/>
      <w:sz w:val="21"/>
      <w:szCs w:val="21"/>
      <w:rFonts w:ascii="Times New Roman" w:eastAsia="Times New Roman" w:hAnsi="Times New Roman" w:cs="Times New Roman"/>
    </w:rPr>
  </w:style>
  <w:style w:type="character" w:customStyle="1" w:styleId="CharStyle14">
    <w:name w:val="Основной текст (7)_"/>
    <w:basedOn w:val="DefaultParagraphFont"/>
    <w:link w:val="Style13"/>
    <w:rPr>
      <w:b w:val="0"/>
      <w:bCs w:val="0"/>
      <w:i/>
      <w:iCs/>
      <w:u w:val="none"/>
      <w:strike w:val="0"/>
      <w:smallCaps w:val="0"/>
      <w:sz w:val="17"/>
      <w:szCs w:val="17"/>
      <w:rFonts w:ascii="Times New Roman" w:eastAsia="Times New Roman" w:hAnsi="Times New Roman" w:cs="Times New Roman"/>
    </w:rPr>
  </w:style>
  <w:style w:type="character" w:customStyle="1" w:styleId="CharStyle16">
    <w:name w:val="Заголовок №1_"/>
    <w:basedOn w:val="DefaultParagraphFont"/>
    <w:link w:val="Style15"/>
    <w:rPr>
      <w:b/>
      <w:bCs/>
      <w:i w:val="0"/>
      <w:iCs w:val="0"/>
      <w:u w:val="none"/>
      <w:strike w:val="0"/>
      <w:smallCaps w:val="0"/>
      <w:sz w:val="34"/>
      <w:szCs w:val="34"/>
      <w:rFonts w:ascii="Times New Roman" w:eastAsia="Times New Roman" w:hAnsi="Times New Roman" w:cs="Times New Roman"/>
    </w:rPr>
  </w:style>
  <w:style w:type="character" w:customStyle="1" w:styleId="CharStyle18">
    <w:name w:val="Оглавление_"/>
    <w:basedOn w:val="DefaultParagraphFont"/>
    <w:link w:val="TOC_1"/>
    <w:rPr>
      <w:b w:val="0"/>
      <w:bCs w:val="0"/>
      <w:i w:val="0"/>
      <w:iCs w:val="0"/>
      <w:u w:val="none"/>
      <w:strike w:val="0"/>
      <w:smallCaps w:val="0"/>
      <w:sz w:val="21"/>
      <w:szCs w:val="21"/>
      <w:rFonts w:ascii="Times New Roman" w:eastAsia="Times New Roman" w:hAnsi="Times New Roman" w:cs="Times New Roman"/>
    </w:rPr>
  </w:style>
  <w:style w:type="character" w:customStyle="1" w:styleId="CharStyle20">
    <w:name w:val="Оглавление (2)_"/>
    <w:basedOn w:val="DefaultParagraphFont"/>
    <w:link w:val="TOC_4"/>
    <w:rPr>
      <w:b w:val="0"/>
      <w:bCs w:val="0"/>
      <w:i/>
      <w:iCs/>
      <w:u w:val="none"/>
      <w:strike w:val="0"/>
      <w:smallCaps w:val="0"/>
      <w:sz w:val="21"/>
      <w:szCs w:val="21"/>
      <w:rFonts w:ascii="Times New Roman" w:eastAsia="Times New Roman" w:hAnsi="Times New Roman" w:cs="Times New Roman"/>
      <w:spacing w:val="-10"/>
    </w:rPr>
  </w:style>
  <w:style w:type="character" w:customStyle="1" w:styleId="CharStyle21">
    <w:name w:val="Оглавление (2) + Не курсив,Интервал 0 pt"/>
    <w:basedOn w:val="CharStyle20"/>
    <w:rPr>
      <w:lang w:val="ru-RU" w:eastAsia="ru-RU" w:bidi="ru-RU"/>
      <w:i/>
      <w:iCs/>
      <w:w w:val="100"/>
      <w:spacing w:val="0"/>
      <w:color w:val="000000"/>
      <w:position w:val="0"/>
    </w:rPr>
  </w:style>
  <w:style w:type="character" w:customStyle="1" w:styleId="CharStyle23">
    <w:name w:val="Основной текст (8)_"/>
    <w:basedOn w:val="DefaultParagraphFont"/>
    <w:link w:val="Style22"/>
    <w:rPr>
      <w:b w:val="0"/>
      <w:bCs w:val="0"/>
      <w:i w:val="0"/>
      <w:iCs w:val="0"/>
      <w:u w:val="none"/>
      <w:strike w:val="0"/>
      <w:smallCaps w:val="0"/>
      <w:sz w:val="36"/>
      <w:szCs w:val="36"/>
      <w:rFonts w:ascii="Times New Roman" w:eastAsia="Times New Roman" w:hAnsi="Times New Roman" w:cs="Times New Roman"/>
      <w:spacing w:val="-20"/>
    </w:rPr>
  </w:style>
  <w:style w:type="character" w:customStyle="1" w:styleId="CharStyle25">
    <w:name w:val="Колонтитул_"/>
    <w:basedOn w:val="DefaultParagraphFont"/>
    <w:link w:val="Style24"/>
    <w:rPr>
      <w:b w:val="0"/>
      <w:bCs w:val="0"/>
      <w:i w:val="0"/>
      <w:iCs w:val="0"/>
      <w:u w:val="none"/>
      <w:strike w:val="0"/>
      <w:smallCaps w:val="0"/>
      <w:sz w:val="15"/>
      <w:szCs w:val="15"/>
      <w:rFonts w:ascii="Segoe UI" w:eastAsia="Segoe UI" w:hAnsi="Segoe UI" w:cs="Segoe UI"/>
      <w:spacing w:val="0"/>
    </w:rPr>
  </w:style>
  <w:style w:type="character" w:customStyle="1" w:styleId="CharStyle26">
    <w:name w:val="Колонтитул"/>
    <w:basedOn w:val="CharStyle25"/>
    <w:rPr>
      <w:lang w:val="ru-RU" w:eastAsia="ru-RU" w:bidi="ru-RU"/>
      <w:w w:val="100"/>
      <w:color w:val="141414"/>
      <w:position w:val="0"/>
    </w:rPr>
  </w:style>
  <w:style w:type="character" w:customStyle="1" w:styleId="CharStyle27">
    <w:name w:val="Колонтитул"/>
    <w:basedOn w:val="CharStyle25"/>
    <w:rPr>
      <w:lang w:val="ru-RU" w:eastAsia="ru-RU" w:bidi="ru-RU"/>
      <w:w w:val="100"/>
      <w:color w:val="FFFFFF"/>
      <w:position w:val="0"/>
    </w:rPr>
  </w:style>
  <w:style w:type="character" w:customStyle="1" w:styleId="CharStyle29">
    <w:name w:val="Заголовок №2_"/>
    <w:basedOn w:val="DefaultParagraphFont"/>
    <w:link w:val="Style28"/>
    <w:rPr>
      <w:b/>
      <w:bCs/>
      <w:i w:val="0"/>
      <w:iCs w:val="0"/>
      <w:u w:val="none"/>
      <w:strike w:val="0"/>
      <w:smallCaps w:val="0"/>
      <w:sz w:val="22"/>
      <w:szCs w:val="22"/>
      <w:rFonts w:ascii="Segoe UI" w:eastAsia="Segoe UI" w:hAnsi="Segoe UI" w:cs="Segoe UI"/>
    </w:rPr>
  </w:style>
  <w:style w:type="character" w:customStyle="1" w:styleId="CharStyle31">
    <w:name w:val="Основной текст (2)_"/>
    <w:basedOn w:val="DefaultParagraphFont"/>
    <w:link w:val="Style30"/>
    <w:rPr>
      <w:b w:val="0"/>
      <w:bCs w:val="0"/>
      <w:i w:val="0"/>
      <w:iCs w:val="0"/>
      <w:u w:val="none"/>
      <w:strike w:val="0"/>
      <w:smallCaps w:val="0"/>
      <w:sz w:val="18"/>
      <w:szCs w:val="18"/>
      <w:rFonts w:ascii="Times New Roman" w:eastAsia="Times New Roman" w:hAnsi="Times New Roman" w:cs="Times New Roman"/>
    </w:rPr>
  </w:style>
  <w:style w:type="character" w:customStyle="1" w:styleId="CharStyle32">
    <w:name w:val="Основной текст (2) + 9,5 pt"/>
    <w:basedOn w:val="CharStyle31"/>
    <w:rPr>
      <w:lang w:val="ru-RU" w:eastAsia="ru-RU" w:bidi="ru-RU"/>
      <w:sz w:val="19"/>
      <w:szCs w:val="19"/>
      <w:w w:val="100"/>
      <w:spacing w:val="0"/>
      <w:color w:val="000000"/>
      <w:position w:val="0"/>
    </w:rPr>
  </w:style>
  <w:style w:type="character" w:customStyle="1" w:styleId="CharStyle34">
    <w:name w:val="Подпись к картинке Exact"/>
    <w:basedOn w:val="DefaultParagraphFont"/>
    <w:rPr>
      <w:b w:val="0"/>
      <w:bCs w:val="0"/>
      <w:i w:val="0"/>
      <w:iCs w:val="0"/>
      <w:u w:val="none"/>
      <w:strike w:val="0"/>
      <w:smallCaps w:val="0"/>
      <w:sz w:val="16"/>
      <w:szCs w:val="16"/>
      <w:rFonts w:ascii="Times New Roman" w:eastAsia="Times New Roman" w:hAnsi="Times New Roman" w:cs="Times New Roman"/>
    </w:rPr>
  </w:style>
  <w:style w:type="character" w:customStyle="1" w:styleId="CharStyle36">
    <w:name w:val="Подпись к картинке (2) Exact"/>
    <w:basedOn w:val="DefaultParagraphFont"/>
    <w:link w:val="Style35"/>
    <w:rPr>
      <w:b/>
      <w:bCs/>
      <w:i w:val="0"/>
      <w:iCs w:val="0"/>
      <w:u w:val="none"/>
      <w:strike w:val="0"/>
      <w:smallCaps w:val="0"/>
      <w:sz w:val="16"/>
      <w:szCs w:val="16"/>
      <w:rFonts w:ascii="Times New Roman" w:eastAsia="Times New Roman" w:hAnsi="Times New Roman" w:cs="Times New Roman"/>
    </w:rPr>
  </w:style>
  <w:style w:type="character" w:customStyle="1" w:styleId="CharStyle37">
    <w:name w:val="Подпись к картинке + Полужирный Exact"/>
    <w:basedOn w:val="CharStyle66"/>
    <w:rPr>
      <w:b/>
      <w:bCs/>
    </w:rPr>
  </w:style>
  <w:style w:type="character" w:customStyle="1" w:styleId="CharStyle38">
    <w:name w:val="Основной текст (2) + 8 pt"/>
    <w:basedOn w:val="CharStyle31"/>
    <w:rPr>
      <w:lang w:val="ru-RU" w:eastAsia="ru-RU" w:bidi="ru-RU"/>
      <w:sz w:val="16"/>
      <w:szCs w:val="16"/>
      <w:w w:val="100"/>
      <w:spacing w:val="0"/>
      <w:color w:val="000000"/>
      <w:position w:val="0"/>
    </w:rPr>
  </w:style>
  <w:style w:type="character" w:customStyle="1" w:styleId="CharStyle40">
    <w:name w:val="Подпись к таблице_"/>
    <w:basedOn w:val="DefaultParagraphFont"/>
    <w:link w:val="Style39"/>
    <w:rPr>
      <w:b w:val="0"/>
      <w:bCs w:val="0"/>
      <w:i/>
      <w:iCs/>
      <w:u w:val="none"/>
      <w:strike w:val="0"/>
      <w:smallCaps w:val="0"/>
      <w:sz w:val="17"/>
      <w:szCs w:val="17"/>
      <w:rFonts w:ascii="Times New Roman" w:eastAsia="Times New Roman" w:hAnsi="Times New Roman" w:cs="Times New Roman"/>
    </w:rPr>
  </w:style>
  <w:style w:type="character" w:customStyle="1" w:styleId="CharStyle42">
    <w:name w:val="Подпись к таблице (2)_"/>
    <w:basedOn w:val="DefaultParagraphFont"/>
    <w:link w:val="Style41"/>
    <w:rPr>
      <w:b/>
      <w:bCs/>
      <w:i w:val="0"/>
      <w:iCs w:val="0"/>
      <w:u w:val="none"/>
      <w:strike w:val="0"/>
      <w:smallCaps w:val="0"/>
      <w:sz w:val="18"/>
      <w:szCs w:val="18"/>
      <w:rFonts w:ascii="Times New Roman" w:eastAsia="Times New Roman" w:hAnsi="Times New Roman" w:cs="Times New Roman"/>
      <w:spacing w:val="0"/>
    </w:rPr>
  </w:style>
  <w:style w:type="character" w:customStyle="1" w:styleId="CharStyle43">
    <w:name w:val="Колонтитул + 8 pt,Курсив"/>
    <w:basedOn w:val="CharStyle25"/>
    <w:rPr>
      <w:lang w:val="ru-RU" w:eastAsia="ru-RU" w:bidi="ru-RU"/>
      <w:i/>
      <w:iCs/>
      <w:sz w:val="16"/>
      <w:szCs w:val="16"/>
      <w:w w:val="100"/>
      <w:spacing w:val="0"/>
      <w:color w:val="000000"/>
      <w:position w:val="0"/>
    </w:rPr>
  </w:style>
  <w:style w:type="character" w:customStyle="1" w:styleId="CharStyle44">
    <w:name w:val="Основной текст (2) + Полужирный"/>
    <w:basedOn w:val="CharStyle31"/>
    <w:rPr>
      <w:lang w:val="ru-RU" w:eastAsia="ru-RU" w:bidi="ru-RU"/>
      <w:b/>
      <w:bCs/>
      <w:w w:val="100"/>
      <w:spacing w:val="0"/>
      <w:color w:val="000000"/>
      <w:position w:val="0"/>
    </w:rPr>
  </w:style>
  <w:style w:type="character" w:customStyle="1" w:styleId="CharStyle46">
    <w:name w:val="Основной текст (9)_"/>
    <w:basedOn w:val="DefaultParagraphFont"/>
    <w:link w:val="Style45"/>
    <w:rPr>
      <w:b w:val="0"/>
      <w:bCs w:val="0"/>
      <w:i w:val="0"/>
      <w:iCs w:val="0"/>
      <w:u w:val="none"/>
      <w:strike w:val="0"/>
      <w:smallCaps w:val="0"/>
      <w:sz w:val="16"/>
      <w:szCs w:val="16"/>
      <w:rFonts w:ascii="Times New Roman" w:eastAsia="Times New Roman" w:hAnsi="Times New Roman" w:cs="Times New Roman"/>
    </w:rPr>
  </w:style>
  <w:style w:type="character" w:customStyle="1" w:styleId="CharStyle47">
    <w:name w:val="Основной текст (9) + Полужирный"/>
    <w:basedOn w:val="CharStyle46"/>
    <w:rPr>
      <w:lang w:val="ru-RU" w:eastAsia="ru-RU" w:bidi="ru-RU"/>
      <w:b/>
      <w:bCs/>
      <w:w w:val="100"/>
      <w:spacing w:val="0"/>
      <w:color w:val="000000"/>
      <w:position w:val="0"/>
    </w:rPr>
  </w:style>
  <w:style w:type="character" w:customStyle="1" w:styleId="CharStyle49">
    <w:name w:val="Заголовок №3_"/>
    <w:basedOn w:val="DefaultParagraphFont"/>
    <w:link w:val="Style48"/>
    <w:rPr>
      <w:b/>
      <w:bCs/>
      <w:i/>
      <w:iCs/>
      <w:u w:val="none"/>
      <w:strike w:val="0"/>
      <w:smallCaps w:val="0"/>
      <w:sz w:val="20"/>
      <w:szCs w:val="20"/>
      <w:rFonts w:ascii="Segoe UI" w:eastAsia="Segoe UI" w:hAnsi="Segoe UI" w:cs="Segoe UI"/>
    </w:rPr>
  </w:style>
  <w:style w:type="character" w:customStyle="1" w:styleId="CharStyle51">
    <w:name w:val="Заголовок №5_"/>
    <w:basedOn w:val="DefaultParagraphFont"/>
    <w:link w:val="Style50"/>
    <w:rPr>
      <w:b/>
      <w:bCs/>
      <w:i w:val="0"/>
      <w:iCs w:val="0"/>
      <w:u w:val="none"/>
      <w:strike w:val="0"/>
      <w:smallCaps w:val="0"/>
      <w:sz w:val="18"/>
      <w:szCs w:val="18"/>
      <w:rFonts w:ascii="Times New Roman" w:eastAsia="Times New Roman" w:hAnsi="Times New Roman" w:cs="Times New Roman"/>
      <w:spacing w:val="0"/>
    </w:rPr>
  </w:style>
  <w:style w:type="character" w:customStyle="1" w:styleId="CharStyle53">
    <w:name w:val="Основной текст (10)_"/>
    <w:basedOn w:val="DefaultParagraphFont"/>
    <w:link w:val="Style52"/>
    <w:rPr>
      <w:b/>
      <w:bCs/>
      <w:i w:val="0"/>
      <w:iCs w:val="0"/>
      <w:u w:val="none"/>
      <w:strike w:val="0"/>
      <w:smallCaps w:val="0"/>
      <w:sz w:val="18"/>
      <w:szCs w:val="18"/>
      <w:rFonts w:ascii="Times New Roman" w:eastAsia="Times New Roman" w:hAnsi="Times New Roman" w:cs="Times New Roman"/>
      <w:spacing w:val="0"/>
    </w:rPr>
  </w:style>
  <w:style w:type="character" w:customStyle="1" w:styleId="CharStyle55">
    <w:name w:val="Заголовок №4_"/>
    <w:basedOn w:val="DefaultParagraphFont"/>
    <w:link w:val="Style54"/>
    <w:rPr>
      <w:b w:val="0"/>
      <w:bCs w:val="0"/>
      <w:i w:val="0"/>
      <w:iCs w:val="0"/>
      <w:u w:val="none"/>
      <w:strike w:val="0"/>
      <w:smallCaps w:val="0"/>
      <w:sz w:val="21"/>
      <w:szCs w:val="21"/>
      <w:rFonts w:ascii="Times New Roman" w:eastAsia="Times New Roman" w:hAnsi="Times New Roman" w:cs="Times New Roman"/>
    </w:rPr>
  </w:style>
  <w:style w:type="character" w:customStyle="1" w:styleId="CharStyle56">
    <w:name w:val="Основной текст (2) + Полужирный,Курсив"/>
    <w:basedOn w:val="CharStyle31"/>
    <w:rPr>
      <w:lang w:val="ru-RU" w:eastAsia="ru-RU" w:bidi="ru-RU"/>
      <w:b/>
      <w:bCs/>
      <w:i/>
      <w:iCs/>
      <w:w w:val="100"/>
      <w:spacing w:val="0"/>
      <w:color w:val="000000"/>
      <w:position w:val="0"/>
    </w:rPr>
  </w:style>
  <w:style w:type="character" w:customStyle="1" w:styleId="CharStyle57">
    <w:name w:val="Основной текст (2) + 8 pt,Полужирный"/>
    <w:basedOn w:val="CharStyle31"/>
    <w:rPr>
      <w:lang w:val="ru-RU" w:eastAsia="ru-RU" w:bidi="ru-RU"/>
      <w:b/>
      <w:bCs/>
      <w:sz w:val="16"/>
      <w:szCs w:val="16"/>
      <w:w w:val="100"/>
      <w:spacing w:val="0"/>
      <w:color w:val="000000"/>
      <w:position w:val="0"/>
    </w:rPr>
  </w:style>
  <w:style w:type="character" w:customStyle="1" w:styleId="CharStyle58">
    <w:name w:val="Основной текст (2)"/>
    <w:basedOn w:val="CharStyle31"/>
    <w:rPr>
      <w:lang w:val="ru-RU" w:eastAsia="ru-RU" w:bidi="ru-RU"/>
      <w:w w:val="100"/>
      <w:spacing w:val="0"/>
      <w:color w:val="000000"/>
      <w:position w:val="0"/>
    </w:rPr>
  </w:style>
  <w:style w:type="character" w:customStyle="1" w:styleId="CharStyle59">
    <w:name w:val="Основной текст (2) + 9,5 pt"/>
    <w:basedOn w:val="CharStyle31"/>
    <w:rPr>
      <w:lang w:val="en-US" w:eastAsia="en-US" w:bidi="en-US"/>
      <w:sz w:val="19"/>
      <w:szCs w:val="19"/>
      <w:w w:val="100"/>
      <w:spacing w:val="0"/>
      <w:color w:val="000000"/>
      <w:position w:val="0"/>
    </w:rPr>
  </w:style>
  <w:style w:type="character" w:customStyle="1" w:styleId="CharStyle60">
    <w:name w:val="Основной текст (2) + Segoe UI,10 pt,Полужирный,Курсив"/>
    <w:basedOn w:val="CharStyle31"/>
    <w:rPr>
      <w:lang w:val="ru-RU" w:eastAsia="ru-RU" w:bidi="ru-RU"/>
      <w:b/>
      <w:bCs/>
      <w:i/>
      <w:iCs/>
      <w:sz w:val="20"/>
      <w:szCs w:val="20"/>
      <w:rFonts w:ascii="Segoe UI" w:eastAsia="Segoe UI" w:hAnsi="Segoe UI" w:cs="Segoe UI"/>
      <w:w w:val="100"/>
      <w:spacing w:val="0"/>
      <w:color w:val="000000"/>
      <w:position w:val="0"/>
    </w:rPr>
  </w:style>
  <w:style w:type="character" w:customStyle="1" w:styleId="CharStyle61">
    <w:name w:val="Основной текст (2) + Segoe UI,11 pt,Полужирный"/>
    <w:basedOn w:val="CharStyle31"/>
    <w:rPr>
      <w:lang w:val="ru-RU" w:eastAsia="ru-RU" w:bidi="ru-RU"/>
      <w:b/>
      <w:bCs/>
      <w:sz w:val="22"/>
      <w:szCs w:val="22"/>
      <w:rFonts w:ascii="Segoe UI" w:eastAsia="Segoe UI" w:hAnsi="Segoe UI" w:cs="Segoe UI"/>
      <w:w w:val="100"/>
      <w:spacing w:val="0"/>
      <w:color w:val="000000"/>
      <w:position w:val="0"/>
    </w:rPr>
  </w:style>
  <w:style w:type="character" w:customStyle="1" w:styleId="CharStyle62">
    <w:name w:val="Основной текст (2) + 10,5 pt,Полужирный"/>
    <w:basedOn w:val="CharStyle31"/>
    <w:rPr>
      <w:lang w:val="ru-RU" w:eastAsia="ru-RU" w:bidi="ru-RU"/>
      <w:b/>
      <w:bCs/>
      <w:sz w:val="21"/>
      <w:szCs w:val="21"/>
      <w:w w:val="100"/>
      <w:spacing w:val="0"/>
      <w:color w:val="000000"/>
      <w:position w:val="0"/>
    </w:rPr>
  </w:style>
  <w:style w:type="character" w:customStyle="1" w:styleId="CharStyle64">
    <w:name w:val="Основной текст (11)_"/>
    <w:basedOn w:val="DefaultParagraphFont"/>
    <w:link w:val="Style63"/>
    <w:rPr>
      <w:b w:val="0"/>
      <w:bCs w:val="0"/>
      <w:i w:val="0"/>
      <w:iCs w:val="0"/>
      <w:u w:val="none"/>
      <w:strike w:val="0"/>
      <w:smallCaps w:val="0"/>
      <w:sz w:val="15"/>
      <w:szCs w:val="15"/>
    </w:rPr>
  </w:style>
  <w:style w:type="character" w:customStyle="1" w:styleId="CharStyle65">
    <w:name w:val="Основной текст (11) + Times New Roman,10,5 pt"/>
    <w:basedOn w:val="CharStyle64"/>
    <w:rPr>
      <w:lang w:val="ru-RU" w:eastAsia="ru-RU" w:bidi="ru-RU"/>
      <w:sz w:val="21"/>
      <w:szCs w:val="21"/>
      <w:rFonts w:ascii="Times New Roman" w:eastAsia="Times New Roman" w:hAnsi="Times New Roman" w:cs="Times New Roman"/>
      <w:w w:val="100"/>
      <w:spacing w:val="0"/>
      <w:color w:val="000000"/>
      <w:position w:val="0"/>
    </w:rPr>
  </w:style>
  <w:style w:type="character" w:customStyle="1" w:styleId="CharStyle66">
    <w:name w:val="Подпись к картинке_"/>
    <w:basedOn w:val="DefaultParagraphFont"/>
    <w:link w:val="Style33"/>
    <w:rPr>
      <w:b w:val="0"/>
      <w:bCs w:val="0"/>
      <w:i w:val="0"/>
      <w:iCs w:val="0"/>
      <w:u w:val="none"/>
      <w:strike w:val="0"/>
      <w:smallCaps w:val="0"/>
      <w:sz w:val="16"/>
      <w:szCs w:val="16"/>
      <w:rFonts w:ascii="Times New Roman" w:eastAsia="Times New Roman" w:hAnsi="Times New Roman" w:cs="Times New Roman"/>
    </w:rPr>
  </w:style>
  <w:style w:type="character" w:customStyle="1" w:styleId="CharStyle67">
    <w:name w:val="Подпись к картинке + Полужирный"/>
    <w:basedOn w:val="CharStyle66"/>
    <w:rPr>
      <w:lang w:val="ru-RU" w:eastAsia="ru-RU" w:bidi="ru-RU"/>
      <w:b/>
      <w:bCs/>
      <w:w w:val="100"/>
      <w:spacing w:val="0"/>
      <w:color w:val="000000"/>
      <w:position w:val="0"/>
    </w:rPr>
  </w:style>
  <w:style w:type="character" w:customStyle="1" w:styleId="CharStyle68">
    <w:name w:val="Подпись к картинке + Georgia,6 pt"/>
    <w:basedOn w:val="CharStyle66"/>
    <w:rPr>
      <w:lang w:val="en-US" w:eastAsia="en-US" w:bidi="en-US"/>
      <w:sz w:val="12"/>
      <w:szCs w:val="12"/>
      <w:rFonts w:ascii="Georgia" w:eastAsia="Georgia" w:hAnsi="Georgia" w:cs="Georgia"/>
      <w:w w:val="100"/>
      <w:spacing w:val="0"/>
      <w:color w:val="000000"/>
      <w:position w:val="0"/>
    </w:rPr>
  </w:style>
  <w:style w:type="character" w:customStyle="1" w:styleId="CharStyle70">
    <w:name w:val="Заголовок №4 (2)_"/>
    <w:basedOn w:val="DefaultParagraphFont"/>
    <w:link w:val="Style69"/>
    <w:rPr>
      <w:b w:val="0"/>
      <w:bCs w:val="0"/>
      <w:i w:val="0"/>
      <w:iCs w:val="0"/>
      <w:u w:val="none"/>
      <w:strike w:val="0"/>
      <w:smallCaps w:val="0"/>
      <w:sz w:val="17"/>
      <w:szCs w:val="17"/>
      <w:rFonts w:ascii="Times New Roman" w:eastAsia="Times New Roman" w:hAnsi="Times New Roman" w:cs="Times New Roman"/>
      <w:spacing w:val="20"/>
    </w:rPr>
  </w:style>
  <w:style w:type="character" w:customStyle="1" w:styleId="CharStyle71">
    <w:name w:val="Заголовок №4 (2)"/>
    <w:basedOn w:val="CharStyle70"/>
    <w:rPr>
      <w:lang w:val="ru-RU" w:eastAsia="ru-RU" w:bidi="ru-RU"/>
      <w:w w:val="100"/>
      <w:color w:val="000000"/>
      <w:position w:val="0"/>
    </w:rPr>
  </w:style>
  <w:style w:type="character" w:customStyle="1" w:styleId="CharStyle72">
    <w:name w:val="Заголовок №4 (2)"/>
    <w:basedOn w:val="CharStyle70"/>
    <w:rPr>
      <w:lang w:val="ru-RU" w:eastAsia="ru-RU" w:bidi="ru-RU"/>
      <w:w w:val="100"/>
      <w:color w:val="000000"/>
      <w:position w:val="0"/>
    </w:rPr>
  </w:style>
  <w:style w:type="character" w:customStyle="1" w:styleId="CharStyle73">
    <w:name w:val="Заголовок №4 (2) + Segoe UI,15 pt,Полужирный,Интервал 0 pt"/>
    <w:basedOn w:val="CharStyle70"/>
    <w:rPr>
      <w:lang w:val="ru-RU" w:eastAsia="ru-RU" w:bidi="ru-RU"/>
      <w:b/>
      <w:bCs/>
      <w:sz w:val="30"/>
      <w:szCs w:val="30"/>
      <w:rFonts w:ascii="Segoe UI" w:eastAsia="Segoe UI" w:hAnsi="Segoe UI" w:cs="Segoe UI"/>
      <w:w w:val="100"/>
      <w:spacing w:val="0"/>
      <w:color w:val="000000"/>
      <w:position w:val="0"/>
    </w:rPr>
  </w:style>
  <w:style w:type="character" w:customStyle="1" w:styleId="CharStyle75">
    <w:name w:val="Основной текст (12)_"/>
    <w:basedOn w:val="DefaultParagraphFont"/>
    <w:link w:val="Style74"/>
    <w:rPr>
      <w:b w:val="0"/>
      <w:bCs w:val="0"/>
      <w:i w:val="0"/>
      <w:iCs w:val="0"/>
      <w:u w:val="none"/>
      <w:strike w:val="0"/>
      <w:smallCaps w:val="0"/>
      <w:sz w:val="17"/>
      <w:szCs w:val="17"/>
      <w:rFonts w:ascii="Times New Roman" w:eastAsia="Times New Roman" w:hAnsi="Times New Roman" w:cs="Times New Roman"/>
      <w:spacing w:val="-20"/>
    </w:rPr>
  </w:style>
  <w:style w:type="character" w:customStyle="1" w:styleId="CharStyle76">
    <w:name w:val="Основной текст (12) + 5 pt,Интервал 0 pt"/>
    <w:basedOn w:val="CharStyle75"/>
    <w:rPr>
      <w:lang w:val="ru-RU" w:eastAsia="ru-RU" w:bidi="ru-RU"/>
      <w:sz w:val="10"/>
      <w:szCs w:val="10"/>
      <w:w w:val="100"/>
      <w:spacing w:val="0"/>
      <w:color w:val="000000"/>
      <w:position w:val="0"/>
    </w:rPr>
  </w:style>
  <w:style w:type="character" w:customStyle="1" w:styleId="CharStyle77">
    <w:name w:val="Основной текст (12) + Segoe UI,4,5 pt,Курсив,Интервал 0 pt"/>
    <w:basedOn w:val="CharStyle75"/>
    <w:rPr>
      <w:lang w:val="ru-RU" w:eastAsia="ru-RU" w:bidi="ru-RU"/>
      <w:i/>
      <w:iCs/>
      <w:sz w:val="9"/>
      <w:szCs w:val="9"/>
      <w:rFonts w:ascii="Segoe UI" w:eastAsia="Segoe UI" w:hAnsi="Segoe UI" w:cs="Segoe UI"/>
      <w:w w:val="100"/>
      <w:spacing w:val="0"/>
      <w:color w:val="000000"/>
      <w:position w:val="0"/>
    </w:rPr>
  </w:style>
  <w:style w:type="character" w:customStyle="1" w:styleId="CharStyle78">
    <w:name w:val="Основной текст (12) + 5 pt,Интервал 0 pt"/>
    <w:basedOn w:val="CharStyle75"/>
    <w:rPr>
      <w:lang w:val="ru-RU" w:eastAsia="ru-RU" w:bidi="ru-RU"/>
      <w:sz w:val="10"/>
      <w:szCs w:val="10"/>
      <w:w w:val="100"/>
      <w:spacing w:val="0"/>
      <w:color w:val="000000"/>
      <w:position w:val="0"/>
    </w:rPr>
  </w:style>
  <w:style w:type="character" w:customStyle="1" w:styleId="CharStyle79">
    <w:name w:val="Основной текст (12)"/>
    <w:basedOn w:val="CharStyle75"/>
    <w:rPr>
      <w:lang w:val="ru-RU" w:eastAsia="ru-RU" w:bidi="ru-RU"/>
      <w:w w:val="100"/>
      <w:color w:val="000000"/>
      <w:position w:val="0"/>
    </w:rPr>
  </w:style>
  <w:style w:type="character" w:customStyle="1" w:styleId="CharStyle81">
    <w:name w:val="Основной текст (13)_"/>
    <w:basedOn w:val="DefaultParagraphFont"/>
    <w:link w:val="Style80"/>
    <w:rPr>
      <w:b w:val="0"/>
      <w:bCs w:val="0"/>
      <w:i w:val="0"/>
      <w:iCs w:val="0"/>
      <w:u w:val="none"/>
      <w:strike w:val="0"/>
      <w:smallCaps w:val="0"/>
      <w:sz w:val="26"/>
      <w:szCs w:val="26"/>
      <w:rFonts w:ascii="Times New Roman" w:eastAsia="Times New Roman" w:hAnsi="Times New Roman" w:cs="Times New Roman"/>
      <w:w w:val="20"/>
      <w:spacing w:val="10"/>
    </w:rPr>
  </w:style>
  <w:style w:type="character" w:customStyle="1" w:styleId="CharStyle82">
    <w:name w:val="Основной текст (13)"/>
    <w:basedOn w:val="CharStyle81"/>
    <w:rPr>
      <w:lang w:val="ru-RU" w:eastAsia="ru-RU" w:bidi="ru-RU"/>
      <w:color w:val="000000"/>
      <w:position w:val="0"/>
    </w:rPr>
  </w:style>
  <w:style w:type="character" w:customStyle="1" w:styleId="CharStyle84">
    <w:name w:val="Основной текст (14)_"/>
    <w:basedOn w:val="DefaultParagraphFont"/>
    <w:link w:val="Style83"/>
    <w:rPr>
      <w:lang w:val="en-US" w:eastAsia="en-US" w:bidi="en-US"/>
      <w:b w:val="0"/>
      <w:bCs w:val="0"/>
      <w:i w:val="0"/>
      <w:iCs w:val="0"/>
      <w:u w:val="none"/>
      <w:strike w:val="0"/>
      <w:smallCaps w:val="0"/>
      <w:sz w:val="24"/>
      <w:szCs w:val="24"/>
      <w:rFonts w:ascii="Times New Roman" w:eastAsia="Times New Roman" w:hAnsi="Times New Roman" w:cs="Times New Roman"/>
      <w:spacing w:val="0"/>
    </w:rPr>
  </w:style>
  <w:style w:type="character" w:customStyle="1" w:styleId="CharStyle85">
    <w:name w:val="Основной текст (14)"/>
    <w:basedOn w:val="CharStyle84"/>
    <w:rPr>
      <w:w w:val="100"/>
      <w:color w:val="000000"/>
      <w:position w:val="0"/>
    </w:rPr>
  </w:style>
  <w:style w:type="character" w:customStyle="1" w:styleId="CharStyle86">
    <w:name w:val="Основной текст (14) + 15 pt,Курсив,Интервал -1 pt"/>
    <w:basedOn w:val="CharStyle84"/>
    <w:rPr>
      <w:lang w:val="ru-RU" w:eastAsia="ru-RU" w:bidi="ru-RU"/>
      <w:i/>
      <w:iCs/>
      <w:sz w:val="30"/>
      <w:szCs w:val="30"/>
      <w:w w:val="100"/>
      <w:spacing w:val="-20"/>
      <w:color w:val="000000"/>
      <w:position w:val="0"/>
    </w:rPr>
  </w:style>
  <w:style w:type="character" w:customStyle="1" w:styleId="CharStyle87">
    <w:name w:val="Основной текст (2) + 7 pt"/>
    <w:basedOn w:val="CharStyle31"/>
    <w:rPr>
      <w:lang w:val="en-US" w:eastAsia="en-US" w:bidi="en-US"/>
      <w:sz w:val="14"/>
      <w:szCs w:val="14"/>
      <w:w w:val="100"/>
      <w:spacing w:val="0"/>
      <w:color w:val="000000"/>
      <w:position w:val="0"/>
    </w:rPr>
  </w:style>
  <w:style w:type="character" w:customStyle="1" w:styleId="CharStyle88">
    <w:name w:val="Основной текст (11) Exact"/>
    <w:basedOn w:val="DefaultParagraphFont"/>
    <w:rPr>
      <w:b w:val="0"/>
      <w:bCs w:val="0"/>
      <w:i w:val="0"/>
      <w:iCs w:val="0"/>
      <w:u w:val="none"/>
      <w:strike w:val="0"/>
      <w:smallCaps w:val="0"/>
      <w:sz w:val="15"/>
      <w:szCs w:val="15"/>
      <w:color w:val="141414"/>
    </w:rPr>
  </w:style>
  <w:style w:type="character" w:customStyle="1" w:styleId="CharStyle89">
    <w:name w:val="Основной текст (11) Exact"/>
    <w:basedOn w:val="CharStyle64"/>
    <w:rPr>
      <w:lang w:val="ru-RU" w:eastAsia="ru-RU" w:bidi="ru-RU"/>
      <w:rFonts w:ascii="Microsoft Sans Serif" w:eastAsia="Microsoft Sans Serif" w:hAnsi="Microsoft Sans Serif" w:cs="Microsoft Sans Serif"/>
      <w:w w:val="100"/>
      <w:spacing w:val="0"/>
      <w:color w:val="FFFFFF"/>
      <w:position w:val="0"/>
    </w:rPr>
  </w:style>
  <w:style w:type="character" w:customStyle="1" w:styleId="CharStyle90">
    <w:name w:val="Основной текст (2) Exact"/>
    <w:basedOn w:val="DefaultParagraphFont"/>
    <w:rPr>
      <w:b w:val="0"/>
      <w:bCs w:val="0"/>
      <w:i w:val="0"/>
      <w:iCs w:val="0"/>
      <w:u w:val="none"/>
      <w:strike w:val="0"/>
      <w:smallCaps w:val="0"/>
      <w:sz w:val="18"/>
      <w:szCs w:val="18"/>
      <w:rFonts w:ascii="Times New Roman" w:eastAsia="Times New Roman" w:hAnsi="Times New Roman" w:cs="Times New Roman"/>
    </w:rPr>
  </w:style>
  <w:style w:type="character" w:customStyle="1" w:styleId="CharStyle91">
    <w:name w:val="Основной текст (10) + Не полужирный"/>
    <w:basedOn w:val="CharStyle53"/>
    <w:rPr>
      <w:lang w:val="ru-RU" w:eastAsia="ru-RU" w:bidi="ru-RU"/>
      <w:b/>
      <w:bCs/>
      <w:w w:val="100"/>
      <w:spacing w:val="0"/>
      <w:color w:val="000000"/>
      <w:position w:val="0"/>
    </w:rPr>
  </w:style>
  <w:style w:type="character" w:customStyle="1" w:styleId="CharStyle93">
    <w:name w:val="Заголовок №5 (2)_"/>
    <w:basedOn w:val="DefaultParagraphFont"/>
    <w:link w:val="Style92"/>
    <w:rPr>
      <w:b w:val="0"/>
      <w:bCs w:val="0"/>
      <w:i w:val="0"/>
      <w:iCs w:val="0"/>
      <w:u w:val="none"/>
      <w:strike w:val="0"/>
      <w:smallCaps w:val="0"/>
      <w:sz w:val="18"/>
      <w:szCs w:val="18"/>
      <w:rFonts w:ascii="Times New Roman" w:eastAsia="Times New Roman" w:hAnsi="Times New Roman" w:cs="Times New Roman"/>
    </w:rPr>
  </w:style>
  <w:style w:type="character" w:customStyle="1" w:styleId="CharStyle94">
    <w:name w:val="Подпись к таблице Exact"/>
    <w:basedOn w:val="DefaultParagraphFont"/>
    <w:rPr>
      <w:b w:val="0"/>
      <w:bCs w:val="0"/>
      <w:i/>
      <w:iCs/>
      <w:u w:val="none"/>
      <w:strike w:val="0"/>
      <w:smallCaps w:val="0"/>
      <w:sz w:val="17"/>
      <w:szCs w:val="17"/>
      <w:rFonts w:ascii="Times New Roman" w:eastAsia="Times New Roman" w:hAnsi="Times New Roman" w:cs="Times New Roman"/>
    </w:rPr>
  </w:style>
  <w:style w:type="character" w:customStyle="1" w:styleId="CharStyle95">
    <w:name w:val="Подпись к таблице Exact"/>
    <w:basedOn w:val="CharStyle40"/>
    <w:rPr>
      <w:lang w:val="ru-RU" w:eastAsia="ru-RU" w:bidi="ru-RU"/>
      <w:w w:val="100"/>
      <w:spacing w:val="0"/>
      <w:color w:val="000000"/>
      <w:position w:val="0"/>
    </w:rPr>
  </w:style>
  <w:style w:type="character" w:customStyle="1" w:styleId="CharStyle97">
    <w:name w:val="Подпись к таблице (3) Exact"/>
    <w:basedOn w:val="DefaultParagraphFont"/>
    <w:rPr>
      <w:b w:val="0"/>
      <w:bCs w:val="0"/>
      <w:i w:val="0"/>
      <w:iCs w:val="0"/>
      <w:u w:val="none"/>
      <w:strike w:val="0"/>
      <w:smallCaps w:val="0"/>
      <w:sz w:val="18"/>
      <w:szCs w:val="18"/>
      <w:rFonts w:ascii="Times New Roman" w:eastAsia="Times New Roman" w:hAnsi="Times New Roman" w:cs="Times New Roman"/>
    </w:rPr>
  </w:style>
  <w:style w:type="character" w:customStyle="1" w:styleId="CharStyle98">
    <w:name w:val="Колонтитул"/>
    <w:basedOn w:val="CharStyle25"/>
    <w:rPr>
      <w:lang w:val="ru-RU" w:eastAsia="ru-RU" w:bidi="ru-RU"/>
      <w:w w:val="100"/>
      <w:color w:val="FFFFFF"/>
      <w:position w:val="0"/>
    </w:rPr>
  </w:style>
  <w:style w:type="character" w:customStyle="1" w:styleId="CharStyle99">
    <w:name w:val="Основной текст (2) + 7 pt"/>
    <w:basedOn w:val="CharStyle31"/>
    <w:rPr>
      <w:lang w:val="ru-RU" w:eastAsia="ru-RU" w:bidi="ru-RU"/>
      <w:sz w:val="14"/>
      <w:szCs w:val="14"/>
      <w:w w:val="100"/>
      <w:spacing w:val="0"/>
      <w:color w:val="000000"/>
      <w:position w:val="0"/>
    </w:rPr>
  </w:style>
  <w:style w:type="character" w:customStyle="1" w:styleId="CharStyle100">
    <w:name w:val="Подпись к таблице"/>
    <w:basedOn w:val="CharStyle40"/>
    <w:rPr>
      <w:lang w:val="ru-RU" w:eastAsia="ru-RU" w:bidi="ru-RU"/>
      <w:w w:val="100"/>
      <w:spacing w:val="0"/>
      <w:color w:val="000000"/>
      <w:position w:val="0"/>
    </w:rPr>
  </w:style>
  <w:style w:type="character" w:customStyle="1" w:styleId="CharStyle101">
    <w:name w:val="Подпись к таблице (3)_"/>
    <w:basedOn w:val="DefaultParagraphFont"/>
    <w:link w:val="Style96"/>
    <w:rPr>
      <w:b w:val="0"/>
      <w:bCs w:val="0"/>
      <w:i w:val="0"/>
      <w:iCs w:val="0"/>
      <w:u w:val="none"/>
      <w:strike w:val="0"/>
      <w:smallCaps w:val="0"/>
      <w:sz w:val="18"/>
      <w:szCs w:val="18"/>
      <w:rFonts w:ascii="Times New Roman" w:eastAsia="Times New Roman" w:hAnsi="Times New Roman" w:cs="Times New Roman"/>
    </w:rPr>
  </w:style>
  <w:style w:type="character" w:customStyle="1" w:styleId="CharStyle102">
    <w:name w:val="Основной текст (2) + 8 pt"/>
    <w:basedOn w:val="CharStyle31"/>
    <w:rPr>
      <w:lang w:val="ru-RU" w:eastAsia="ru-RU" w:bidi="ru-RU"/>
      <w:sz w:val="16"/>
      <w:szCs w:val="16"/>
      <w:w w:val="100"/>
      <w:spacing w:val="0"/>
      <w:color w:val="000000"/>
      <w:position w:val="0"/>
    </w:rPr>
  </w:style>
  <w:style w:type="character" w:customStyle="1" w:styleId="CharStyle103">
    <w:name w:val="Основной текст (2) + Полужирный,Курсив"/>
    <w:basedOn w:val="CharStyle31"/>
    <w:rPr>
      <w:lang w:val="ru-RU" w:eastAsia="ru-RU" w:bidi="ru-RU"/>
      <w:b/>
      <w:bCs/>
      <w:i/>
      <w:iCs/>
      <w:w w:val="100"/>
      <w:spacing w:val="0"/>
      <w:color w:val="000000"/>
      <w:position w:val="0"/>
    </w:rPr>
  </w:style>
  <w:style w:type="character" w:customStyle="1" w:styleId="CharStyle105">
    <w:name w:val="Основной текст (15)_"/>
    <w:basedOn w:val="DefaultParagraphFont"/>
    <w:link w:val="Style104"/>
    <w:rPr>
      <w:b w:val="0"/>
      <w:bCs w:val="0"/>
      <w:i w:val="0"/>
      <w:iCs w:val="0"/>
      <w:u w:val="none"/>
      <w:strike w:val="0"/>
      <w:smallCaps w:val="0"/>
      <w:sz w:val="19"/>
      <w:szCs w:val="19"/>
      <w:rFonts w:ascii="Times New Roman" w:eastAsia="Times New Roman" w:hAnsi="Times New Roman" w:cs="Times New Roman"/>
    </w:rPr>
  </w:style>
  <w:style w:type="character" w:customStyle="1" w:styleId="CharStyle106">
    <w:name w:val="Основной текст (15) + 8,5 pt,Курсив"/>
    <w:basedOn w:val="CharStyle105"/>
    <w:rPr>
      <w:lang w:val="ru-RU" w:eastAsia="ru-RU" w:bidi="ru-RU"/>
      <w:i/>
      <w:iCs/>
      <w:sz w:val="17"/>
      <w:szCs w:val="17"/>
      <w:w w:val="100"/>
      <w:spacing w:val="0"/>
      <w:color w:val="000000"/>
      <w:position w:val="0"/>
    </w:rPr>
  </w:style>
  <w:style w:type="character" w:customStyle="1" w:styleId="CharStyle108">
    <w:name w:val="Основной текст (16)_"/>
    <w:basedOn w:val="DefaultParagraphFont"/>
    <w:link w:val="Style107"/>
    <w:rPr>
      <w:b/>
      <w:bCs/>
      <w:i/>
      <w:iCs/>
      <w:u w:val="none"/>
      <w:strike w:val="0"/>
      <w:smallCaps w:val="0"/>
      <w:sz w:val="18"/>
      <w:szCs w:val="18"/>
      <w:rFonts w:ascii="Times New Roman" w:eastAsia="Times New Roman" w:hAnsi="Times New Roman" w:cs="Times New Roman"/>
    </w:rPr>
  </w:style>
  <w:style w:type="character" w:customStyle="1" w:styleId="CharStyle110">
    <w:name w:val="Основной текст (17)_"/>
    <w:basedOn w:val="DefaultParagraphFont"/>
    <w:link w:val="Style109"/>
    <w:rPr>
      <w:b/>
      <w:bCs/>
      <w:i/>
      <w:iCs/>
      <w:u w:val="none"/>
      <w:strike w:val="0"/>
      <w:smallCaps w:val="0"/>
      <w:sz w:val="20"/>
      <w:szCs w:val="20"/>
      <w:rFonts w:ascii="Segoe UI" w:eastAsia="Segoe UI" w:hAnsi="Segoe UI" w:cs="Segoe UI"/>
    </w:rPr>
  </w:style>
  <w:style w:type="character" w:customStyle="1" w:styleId="CharStyle111">
    <w:name w:val="Подпись к таблице + Интервал 0 pt"/>
    <w:basedOn w:val="CharStyle40"/>
    <w:rPr>
      <w:lang w:val="ru-RU" w:eastAsia="ru-RU" w:bidi="ru-RU"/>
      <w:w w:val="100"/>
      <w:spacing w:val="-10"/>
      <w:color w:val="000000"/>
      <w:position w:val="0"/>
    </w:rPr>
  </w:style>
  <w:style w:type="character" w:customStyle="1" w:styleId="CharStyle113">
    <w:name w:val="Заголовок №4 (3)_"/>
    <w:basedOn w:val="DefaultParagraphFont"/>
    <w:link w:val="Style112"/>
    <w:rPr>
      <w:b w:val="0"/>
      <w:bCs w:val="0"/>
      <w:i w:val="0"/>
      <w:iCs w:val="0"/>
      <w:u w:val="none"/>
      <w:strike w:val="0"/>
      <w:smallCaps w:val="0"/>
      <w:sz w:val="15"/>
      <w:szCs w:val="15"/>
    </w:rPr>
  </w:style>
  <w:style w:type="character" w:customStyle="1" w:styleId="CharStyle114">
    <w:name w:val="Подпись к таблице + Интервал 0 pt Exact"/>
    <w:basedOn w:val="CharStyle40"/>
    <w:rPr>
      <w:lang w:val="ru-RU" w:eastAsia="ru-RU" w:bidi="ru-RU"/>
      <w:w w:val="100"/>
      <w:spacing w:val="-10"/>
      <w:color w:val="000000"/>
      <w:position w:val="0"/>
    </w:rPr>
  </w:style>
  <w:style w:type="character" w:customStyle="1" w:styleId="CharStyle116">
    <w:name w:val="Основной текст (18) Exact"/>
    <w:basedOn w:val="DefaultParagraphFont"/>
    <w:link w:val="Style115"/>
    <w:rPr>
      <w:b w:val="0"/>
      <w:bCs w:val="0"/>
      <w:i/>
      <w:iCs/>
      <w:u w:val="none"/>
      <w:strike w:val="0"/>
      <w:smallCaps w:val="0"/>
      <w:sz w:val="17"/>
      <w:szCs w:val="17"/>
      <w:rFonts w:ascii="Segoe UI" w:eastAsia="Segoe UI" w:hAnsi="Segoe UI" w:cs="Segoe UI"/>
      <w:spacing w:val="0"/>
    </w:rPr>
  </w:style>
  <w:style w:type="character" w:customStyle="1" w:styleId="CharStyle117">
    <w:name w:val="Основной текст (18) + Microsoft Sans Serif,7,5 pt,Не курсив Exact"/>
    <w:basedOn w:val="CharStyle116"/>
    <w:rPr>
      <w:lang w:val="ru-RU" w:eastAsia="ru-RU" w:bidi="ru-RU"/>
      <w:i/>
      <w:iCs/>
      <w:sz w:val="15"/>
      <w:szCs w:val="15"/>
      <w:rFonts w:ascii="Microsoft Sans Serif" w:eastAsia="Microsoft Sans Serif" w:hAnsi="Microsoft Sans Serif" w:cs="Microsoft Sans Serif"/>
      <w:w w:val="100"/>
      <w:spacing w:val="0"/>
      <w:color w:val="000000"/>
      <w:position w:val="0"/>
    </w:rPr>
  </w:style>
  <w:style w:type="character" w:customStyle="1" w:styleId="CharStyle118">
    <w:name w:val="Основной текст (18) + Microsoft Sans Serif,7,5 pt,Не курсив Exact"/>
    <w:basedOn w:val="CharStyle116"/>
    <w:rPr>
      <w:lang w:val="ru-RU" w:eastAsia="ru-RU" w:bidi="ru-RU"/>
      <w:i/>
      <w:iCs/>
      <w:sz w:val="15"/>
      <w:szCs w:val="15"/>
      <w:rFonts w:ascii="Microsoft Sans Serif" w:eastAsia="Microsoft Sans Serif" w:hAnsi="Microsoft Sans Serif" w:cs="Microsoft Sans Serif"/>
      <w:w w:val="100"/>
      <w:spacing w:val="0"/>
      <w:color w:val="EBEBEB"/>
      <w:position w:val="0"/>
    </w:rPr>
  </w:style>
  <w:style w:type="character" w:customStyle="1" w:styleId="CharStyle119">
    <w:name w:val="Заголовок №4 (3) Exact"/>
    <w:basedOn w:val="DefaultParagraphFont"/>
    <w:rPr>
      <w:b w:val="0"/>
      <w:bCs w:val="0"/>
      <w:i w:val="0"/>
      <w:iCs w:val="0"/>
      <w:u w:val="none"/>
      <w:strike w:val="0"/>
      <w:smallCaps w:val="0"/>
      <w:sz w:val="15"/>
      <w:szCs w:val="15"/>
    </w:rPr>
  </w:style>
  <w:style w:type="character" w:customStyle="1" w:styleId="CharStyle121">
    <w:name w:val="Подпись к картинке (3) Exact"/>
    <w:basedOn w:val="DefaultParagraphFont"/>
    <w:rPr>
      <w:b w:val="0"/>
      <w:bCs w:val="0"/>
      <w:i w:val="0"/>
      <w:iCs w:val="0"/>
      <w:u w:val="none"/>
      <w:strike w:val="0"/>
      <w:smallCaps w:val="0"/>
      <w:sz w:val="18"/>
      <w:szCs w:val="18"/>
      <w:rFonts w:ascii="Times New Roman" w:eastAsia="Times New Roman" w:hAnsi="Times New Roman" w:cs="Times New Roman"/>
    </w:rPr>
  </w:style>
  <w:style w:type="character" w:customStyle="1" w:styleId="CharStyle122">
    <w:name w:val="Подпись к картинке (3) + 8 pt Exact"/>
    <w:basedOn w:val="CharStyle124"/>
    <w:rPr>
      <w:sz w:val="16"/>
      <w:szCs w:val="16"/>
    </w:rPr>
  </w:style>
  <w:style w:type="character" w:customStyle="1" w:styleId="CharStyle123">
    <w:name w:val="Основной текст (2) + 8 pt Exact"/>
    <w:basedOn w:val="CharStyle31"/>
    <w:rPr>
      <w:lang w:val="ru-RU" w:eastAsia="ru-RU" w:bidi="ru-RU"/>
      <w:sz w:val="16"/>
      <w:szCs w:val="16"/>
      <w:w w:val="100"/>
      <w:spacing w:val="0"/>
      <w:color w:val="000000"/>
      <w:position w:val="0"/>
    </w:rPr>
  </w:style>
  <w:style w:type="character" w:customStyle="1" w:styleId="CharStyle124">
    <w:name w:val="Подпись к картинке (3)_"/>
    <w:basedOn w:val="DefaultParagraphFont"/>
    <w:link w:val="Style120"/>
    <w:rPr>
      <w:b w:val="0"/>
      <w:bCs w:val="0"/>
      <w:i w:val="0"/>
      <w:iCs w:val="0"/>
      <w:u w:val="none"/>
      <w:strike w:val="0"/>
      <w:smallCaps w:val="0"/>
      <w:sz w:val="18"/>
      <w:szCs w:val="18"/>
      <w:rFonts w:ascii="Times New Roman" w:eastAsia="Times New Roman" w:hAnsi="Times New Roman" w:cs="Times New Roman"/>
    </w:rPr>
  </w:style>
  <w:style w:type="character" w:customStyle="1" w:styleId="CharStyle125">
    <w:name w:val="Подпись к картинке (3) + 8 pt"/>
    <w:basedOn w:val="CharStyle124"/>
    <w:rPr>
      <w:lang w:val="ru-RU" w:eastAsia="ru-RU" w:bidi="ru-RU"/>
      <w:sz w:val="16"/>
      <w:szCs w:val="16"/>
      <w:w w:val="100"/>
      <w:spacing w:val="0"/>
      <w:color w:val="000000"/>
      <w:position w:val="0"/>
    </w:rPr>
  </w:style>
  <w:style w:type="character" w:customStyle="1" w:styleId="CharStyle126">
    <w:name w:val="Основной текст (2) + Интервал 1 pt"/>
    <w:basedOn w:val="CharStyle31"/>
    <w:rPr>
      <w:lang w:val="en-US" w:eastAsia="en-US" w:bidi="en-US"/>
      <w:w w:val="100"/>
      <w:spacing w:val="20"/>
      <w:color w:val="000000"/>
      <w:position w:val="0"/>
    </w:rPr>
  </w:style>
  <w:style w:type="character" w:customStyle="1" w:styleId="CharStyle127">
    <w:name w:val="Основной текст (8) + Интервал 0 pt"/>
    <w:basedOn w:val="CharStyle23"/>
    <w:rPr>
      <w:lang w:val="ru-RU" w:eastAsia="ru-RU" w:bidi="ru-RU"/>
      <w:w w:val="100"/>
      <w:spacing w:val="0"/>
      <w:color w:val="000000"/>
      <w:position w:val="0"/>
    </w:rPr>
  </w:style>
  <w:style w:type="character" w:customStyle="1" w:styleId="CharStyle128">
    <w:name w:val="Колонтитул + 6,5 pt"/>
    <w:basedOn w:val="CharStyle25"/>
    <w:rPr>
      <w:lang w:val="ru-RU" w:eastAsia="ru-RU" w:bidi="ru-RU"/>
      <w:sz w:val="13"/>
      <w:szCs w:val="13"/>
      <w:w w:val="100"/>
      <w:spacing w:val="0"/>
      <w:color w:val="141414"/>
      <w:position w:val="0"/>
    </w:rPr>
  </w:style>
  <w:style w:type="character" w:customStyle="1" w:styleId="CharStyle129">
    <w:name w:val="Колонтитул"/>
    <w:basedOn w:val="CharStyle25"/>
    <w:rPr>
      <w:lang w:val="ru-RU" w:eastAsia="ru-RU" w:bidi="ru-RU"/>
      <w:w w:val="100"/>
      <w:spacing w:val="0"/>
      <w:color w:val="FFFFFF"/>
      <w:position w:val="0"/>
    </w:rPr>
  </w:style>
  <w:style w:type="character" w:customStyle="1" w:styleId="CharStyle130">
    <w:name w:val="Основной текст (15) + 9 pt"/>
    <w:basedOn w:val="CharStyle105"/>
    <w:rPr>
      <w:lang w:val="ru-RU" w:eastAsia="ru-RU" w:bidi="ru-RU"/>
      <w:sz w:val="18"/>
      <w:szCs w:val="18"/>
      <w:w w:val="100"/>
      <w:spacing w:val="0"/>
      <w:color w:val="000000"/>
      <w:position w:val="0"/>
    </w:rPr>
  </w:style>
  <w:style w:type="character" w:customStyle="1" w:styleId="CharStyle131">
    <w:name w:val="Основной текст (15) + 8,5 pt,Курсив"/>
    <w:basedOn w:val="CharStyle105"/>
    <w:rPr>
      <w:lang w:val="ru-RU" w:eastAsia="ru-RU" w:bidi="ru-RU"/>
      <w:i/>
      <w:iCs/>
      <w:sz w:val="17"/>
      <w:szCs w:val="17"/>
      <w:w w:val="100"/>
      <w:spacing w:val="0"/>
      <w:color w:val="000000"/>
      <w:position w:val="0"/>
    </w:rPr>
  </w:style>
  <w:style w:type="character" w:customStyle="1" w:styleId="CharStyle132">
    <w:name w:val="Основной текст (2) + 8,5 pt,Курсив"/>
    <w:basedOn w:val="CharStyle31"/>
    <w:rPr>
      <w:lang w:val="ru-RU" w:eastAsia="ru-RU" w:bidi="ru-RU"/>
      <w:i/>
      <w:iCs/>
      <w:sz w:val="17"/>
      <w:szCs w:val="17"/>
      <w:w w:val="100"/>
      <w:spacing w:val="0"/>
      <w:color w:val="000000"/>
      <w:position w:val="0"/>
    </w:rPr>
  </w:style>
  <w:style w:type="character" w:customStyle="1" w:styleId="CharStyle133">
    <w:name w:val="Основной текст (2) + 9,5 pt"/>
    <w:basedOn w:val="CharStyle31"/>
    <w:rPr>
      <w:lang w:val="ru-RU" w:eastAsia="ru-RU" w:bidi="ru-RU"/>
      <w:sz w:val="19"/>
      <w:szCs w:val="19"/>
      <w:w w:val="100"/>
      <w:spacing w:val="0"/>
      <w:color w:val="000000"/>
      <w:position w:val="0"/>
    </w:rPr>
  </w:style>
  <w:style w:type="character" w:customStyle="1" w:styleId="CharStyle134">
    <w:name w:val="Основной текст (7) + 9 pt,Не курсив"/>
    <w:basedOn w:val="CharStyle14"/>
    <w:rPr>
      <w:lang w:val="ru-RU" w:eastAsia="ru-RU" w:bidi="ru-RU"/>
      <w:i/>
      <w:iCs/>
      <w:sz w:val="18"/>
      <w:szCs w:val="18"/>
      <w:w w:val="100"/>
      <w:spacing w:val="0"/>
      <w:color w:val="000000"/>
      <w:position w:val="0"/>
    </w:rPr>
  </w:style>
  <w:style w:type="character" w:customStyle="1" w:styleId="CharStyle135">
    <w:name w:val="Основной текст (8) + Интервал 0 pt"/>
    <w:basedOn w:val="CharStyle23"/>
    <w:rPr>
      <w:lang w:val="ru-RU" w:eastAsia="ru-RU" w:bidi="ru-RU"/>
      <w:w w:val="100"/>
      <w:spacing w:val="-10"/>
      <w:color w:val="000000"/>
      <w:position w:val="0"/>
    </w:rPr>
  </w:style>
  <w:style w:type="character" w:customStyle="1" w:styleId="CharStyle136">
    <w:name w:val="Основной текст (7) + 9,5 pt,Не курсив"/>
    <w:basedOn w:val="CharStyle14"/>
    <w:rPr>
      <w:lang w:val="1024"/>
      <w:i/>
      <w:iCs/>
      <w:sz w:val="19"/>
      <w:szCs w:val="19"/>
      <w:w w:val="100"/>
      <w:spacing w:val="0"/>
      <w:color w:val="000000"/>
      <w:position w:val="0"/>
    </w:rPr>
  </w:style>
  <w:style w:type="character" w:customStyle="1" w:styleId="CharStyle137">
    <w:name w:val="Основной текст (16) + Не полужирный,Не курсив"/>
    <w:basedOn w:val="CharStyle108"/>
    <w:rPr>
      <w:lang w:val="ru-RU" w:eastAsia="ru-RU" w:bidi="ru-RU"/>
      <w:b/>
      <w:bCs/>
      <w:i/>
      <w:iCs/>
      <w:w w:val="100"/>
      <w:spacing w:val="0"/>
      <w:color w:val="000000"/>
      <w:position w:val="0"/>
    </w:rPr>
  </w:style>
  <w:style w:type="character" w:customStyle="1" w:styleId="CharStyle138">
    <w:name w:val="Колонтитул + 8 pt,Курсив"/>
    <w:basedOn w:val="CharStyle25"/>
    <w:rPr>
      <w:lang w:val="ru-RU" w:eastAsia="ru-RU" w:bidi="ru-RU"/>
      <w:i/>
      <w:iCs/>
      <w:sz w:val="16"/>
      <w:szCs w:val="16"/>
      <w:w w:val="100"/>
      <w:spacing w:val="0"/>
      <w:color w:val="141414"/>
      <w:position w:val="0"/>
    </w:rPr>
  </w:style>
  <w:style w:type="character" w:customStyle="1" w:styleId="CharStyle140">
    <w:name w:val="Подпись к таблице (4)_"/>
    <w:basedOn w:val="DefaultParagraphFont"/>
    <w:link w:val="Style139"/>
    <w:rPr>
      <w:b/>
      <w:bCs/>
      <w:i/>
      <w:iCs/>
      <w:u w:val="none"/>
      <w:strike w:val="0"/>
      <w:smallCaps w:val="0"/>
      <w:sz w:val="18"/>
      <w:szCs w:val="18"/>
      <w:rFonts w:ascii="Times New Roman" w:eastAsia="Times New Roman" w:hAnsi="Times New Roman" w:cs="Times New Roman"/>
    </w:rPr>
  </w:style>
  <w:style w:type="character" w:customStyle="1" w:styleId="CharStyle142">
    <w:name w:val="Номер заголовка №1_"/>
    <w:basedOn w:val="DefaultParagraphFont"/>
    <w:link w:val="Style141"/>
    <w:rPr>
      <w:b/>
      <w:bCs/>
      <w:i w:val="0"/>
      <w:iCs w:val="0"/>
      <w:u w:val="none"/>
      <w:strike w:val="0"/>
      <w:smallCaps w:val="0"/>
      <w:sz w:val="34"/>
      <w:szCs w:val="34"/>
      <w:rFonts w:ascii="Times New Roman" w:eastAsia="Times New Roman" w:hAnsi="Times New Roman" w:cs="Times New Roman"/>
    </w:rPr>
  </w:style>
  <w:style w:type="character" w:customStyle="1" w:styleId="CharStyle143">
    <w:name w:val="Подпись к таблице (4) Exact"/>
    <w:basedOn w:val="DefaultParagraphFont"/>
    <w:rPr>
      <w:b/>
      <w:bCs/>
      <w:i/>
      <w:iCs/>
      <w:u w:val="none"/>
      <w:strike w:val="0"/>
      <w:smallCaps w:val="0"/>
      <w:sz w:val="18"/>
      <w:szCs w:val="18"/>
      <w:rFonts w:ascii="Times New Roman" w:eastAsia="Times New Roman" w:hAnsi="Times New Roman" w:cs="Times New Roman"/>
    </w:rPr>
  </w:style>
  <w:style w:type="character" w:customStyle="1" w:styleId="CharStyle144">
    <w:name w:val="Основной текст (3) + Интервал 0 pt"/>
    <w:basedOn w:val="CharStyle6"/>
    <w:rPr>
      <w:lang w:val="ru-RU" w:eastAsia="ru-RU" w:bidi="ru-RU"/>
      <w:w w:val="100"/>
      <w:spacing w:val="-10"/>
      <w:color w:val="000000"/>
      <w:position w:val="0"/>
    </w:rPr>
  </w:style>
  <w:style w:type="character" w:customStyle="1" w:styleId="CharStyle145">
    <w:name w:val="Заголовок №1 + Интервал 0 pt"/>
    <w:basedOn w:val="CharStyle16"/>
    <w:rPr>
      <w:lang w:val="ru-RU" w:eastAsia="ru-RU" w:bidi="ru-RU"/>
      <w:w w:val="100"/>
      <w:spacing w:val="-10"/>
      <w:color w:val="000000"/>
      <w:position w:val="0"/>
    </w:rPr>
  </w:style>
  <w:style w:type="character" w:customStyle="1" w:styleId="CharStyle146">
    <w:name w:val="Подпись к картинке + Georgia,6 pt Exact"/>
    <w:basedOn w:val="CharStyle66"/>
    <w:rPr>
      <w:lang w:val="en-US" w:eastAsia="en-US" w:bidi="en-US"/>
      <w:sz w:val="12"/>
      <w:szCs w:val="12"/>
      <w:rFonts w:ascii="Georgia" w:eastAsia="Georgia" w:hAnsi="Georgia" w:cs="Georgia"/>
      <w:w w:val="100"/>
      <w:spacing w:val="0"/>
      <w:color w:val="000000"/>
      <w:position w:val="0"/>
    </w:rPr>
  </w:style>
  <w:style w:type="character" w:customStyle="1" w:styleId="CharStyle147">
    <w:name w:val="Основной текст (3)"/>
    <w:basedOn w:val="CharStyle6"/>
    <w:rPr>
      <w:lang w:val="ru-RU" w:eastAsia="ru-RU" w:bidi="ru-RU"/>
      <w:w w:val="100"/>
      <w:spacing w:val="0"/>
      <w:color w:val="000000"/>
      <w:position w:val="0"/>
    </w:rPr>
  </w:style>
  <w:style w:type="character" w:customStyle="1" w:styleId="CharStyle148">
    <w:name w:val="Заголовок №1"/>
    <w:basedOn w:val="CharStyle16"/>
    <w:rPr>
      <w:lang w:val="ru-RU" w:eastAsia="ru-RU" w:bidi="ru-RU"/>
      <w:w w:val="100"/>
      <w:spacing w:val="0"/>
      <w:color w:val="000000"/>
      <w:position w:val="0"/>
    </w:rPr>
  </w:style>
  <w:style w:type="character" w:customStyle="1" w:styleId="CharStyle149">
    <w:name w:val="Основной текст (2) + Полужирный,Курсив,Интервал 0 pt"/>
    <w:basedOn w:val="CharStyle31"/>
    <w:rPr>
      <w:lang w:val="ru-RU" w:eastAsia="ru-RU" w:bidi="ru-RU"/>
      <w:b/>
      <w:bCs/>
      <w:i/>
      <w:iCs/>
      <w:w w:val="100"/>
      <w:spacing w:val="-10"/>
      <w:color w:val="000000"/>
      <w:position w:val="0"/>
    </w:rPr>
  </w:style>
  <w:style w:type="character" w:customStyle="1" w:styleId="CharStyle150">
    <w:name w:val="Подпись к таблице (4) + Интервал 0 pt Exact"/>
    <w:basedOn w:val="CharStyle140"/>
    <w:rPr>
      <w:lang w:val="ru-RU" w:eastAsia="ru-RU" w:bidi="ru-RU"/>
      <w:w w:val="100"/>
      <w:spacing w:val="-10"/>
      <w:color w:val="000000"/>
      <w:position w:val="0"/>
    </w:rPr>
  </w:style>
  <w:style w:type="character" w:customStyle="1" w:styleId="CharStyle151">
    <w:name w:val="Подпись к картинке (3) + 8 pt Exact"/>
    <w:basedOn w:val="CharStyle124"/>
    <w:rPr>
      <w:lang w:val="ru-RU" w:eastAsia="ru-RU" w:bidi="ru-RU"/>
      <w:sz w:val="16"/>
      <w:szCs w:val="16"/>
      <w:w w:val="100"/>
      <w:spacing w:val="0"/>
      <w:color w:val="000000"/>
      <w:position w:val="0"/>
    </w:rPr>
  </w:style>
  <w:style w:type="character" w:customStyle="1" w:styleId="CharStyle152">
    <w:name w:val="Заголовок №4 (3) Exact"/>
    <w:basedOn w:val="CharStyle113"/>
    <w:rPr>
      <w:lang w:val="ru-RU" w:eastAsia="ru-RU" w:bidi="ru-RU"/>
      <w:rFonts w:ascii="Microsoft Sans Serif" w:eastAsia="Microsoft Sans Serif" w:hAnsi="Microsoft Sans Serif" w:cs="Microsoft Sans Serif"/>
      <w:w w:val="100"/>
      <w:spacing w:val="0"/>
      <w:color w:val="FFFFFF"/>
      <w:position w:val="0"/>
    </w:rPr>
  </w:style>
  <w:style w:type="character" w:customStyle="1" w:styleId="CharStyle153">
    <w:name w:val="Основной текст (2) + Georgia,6 pt"/>
    <w:basedOn w:val="CharStyle31"/>
    <w:rPr>
      <w:lang w:val="en-US" w:eastAsia="en-US" w:bidi="en-US"/>
      <w:sz w:val="12"/>
      <w:szCs w:val="12"/>
      <w:rFonts w:ascii="Georgia" w:eastAsia="Georgia" w:hAnsi="Georgia" w:cs="Georgia"/>
      <w:w w:val="100"/>
      <w:spacing w:val="0"/>
      <w:color w:val="000000"/>
      <w:position w:val="0"/>
    </w:rPr>
  </w:style>
  <w:style w:type="character" w:customStyle="1" w:styleId="CharStyle154">
    <w:name w:val="Основной текст (2) + 9,5 pt,Интервал -1 pt"/>
    <w:basedOn w:val="CharStyle31"/>
    <w:rPr>
      <w:lang w:val="en-US" w:eastAsia="en-US" w:bidi="en-US"/>
      <w:sz w:val="19"/>
      <w:szCs w:val="19"/>
      <w:w w:val="100"/>
      <w:spacing w:val="-20"/>
      <w:color w:val="000000"/>
      <w:position w:val="0"/>
    </w:rPr>
  </w:style>
  <w:style w:type="character" w:customStyle="1" w:styleId="CharStyle156">
    <w:name w:val="Подпись к картинке (4) Exact"/>
    <w:basedOn w:val="DefaultParagraphFont"/>
    <w:link w:val="Style155"/>
    <w:rPr>
      <w:b w:val="0"/>
      <w:bCs w:val="0"/>
      <w:i/>
      <w:iCs/>
      <w:u w:val="none"/>
      <w:strike w:val="0"/>
      <w:smallCaps w:val="0"/>
      <w:sz w:val="17"/>
      <w:szCs w:val="17"/>
      <w:rFonts w:ascii="Segoe UI" w:eastAsia="Segoe UI" w:hAnsi="Segoe UI" w:cs="Segoe UI"/>
      <w:spacing w:val="0"/>
    </w:rPr>
  </w:style>
  <w:style w:type="character" w:customStyle="1" w:styleId="CharStyle158">
    <w:name w:val="Основной текст (19)_"/>
    <w:basedOn w:val="DefaultParagraphFont"/>
    <w:link w:val="Style157"/>
    <w:rPr>
      <w:lang w:val="en-US" w:eastAsia="en-US" w:bidi="en-US"/>
      <w:b w:val="0"/>
      <w:bCs w:val="0"/>
      <w:i w:val="0"/>
      <w:iCs w:val="0"/>
      <w:u w:val="none"/>
      <w:strike w:val="0"/>
      <w:smallCaps w:val="0"/>
      <w:sz w:val="56"/>
      <w:szCs w:val="56"/>
      <w:rFonts w:ascii="Times New Roman" w:eastAsia="Times New Roman" w:hAnsi="Times New Roman" w:cs="Times New Roman"/>
      <w:spacing w:val="-20"/>
    </w:rPr>
  </w:style>
  <w:style w:type="character" w:customStyle="1" w:styleId="CharStyle159">
    <w:name w:val="Основной текст (19) + Малые прописные"/>
    <w:basedOn w:val="CharStyle158"/>
    <w:rPr>
      <w:smallCaps/>
      <w:w w:val="100"/>
      <w:color w:val="000000"/>
      <w:position w:val="0"/>
    </w:rPr>
  </w:style>
  <w:style w:type="character" w:customStyle="1" w:styleId="CharStyle160">
    <w:name w:val="Основной текст (19)"/>
    <w:basedOn w:val="CharStyle158"/>
    <w:rPr>
      <w:lang w:val="ru-RU" w:eastAsia="ru-RU" w:bidi="ru-RU"/>
      <w:w w:val="100"/>
      <w:color w:val="000000"/>
      <w:position w:val="0"/>
    </w:rPr>
  </w:style>
  <w:style w:type="character" w:customStyle="1" w:styleId="CharStyle162">
    <w:name w:val="Основной текст (20)_"/>
    <w:basedOn w:val="DefaultParagraphFont"/>
    <w:link w:val="Style161"/>
    <w:rPr>
      <w:b w:val="0"/>
      <w:bCs w:val="0"/>
      <w:i w:val="0"/>
      <w:iCs w:val="0"/>
      <w:u w:val="none"/>
      <w:strike w:val="0"/>
      <w:smallCaps w:val="0"/>
      <w:sz w:val="56"/>
      <w:szCs w:val="56"/>
      <w:rFonts w:ascii="Times New Roman" w:eastAsia="Times New Roman" w:hAnsi="Times New Roman" w:cs="Times New Roman"/>
      <w:spacing w:val="-20"/>
    </w:rPr>
  </w:style>
  <w:style w:type="character" w:customStyle="1" w:styleId="CharStyle163">
    <w:name w:val="Основной текст (20)"/>
    <w:basedOn w:val="CharStyle162"/>
    <w:rPr>
      <w:lang w:val="ru-RU" w:eastAsia="ru-RU" w:bidi="ru-RU"/>
      <w:w w:val="100"/>
      <w:color w:val="000000"/>
      <w:position w:val="0"/>
    </w:rPr>
  </w:style>
  <w:style w:type="character" w:customStyle="1" w:styleId="CharStyle164">
    <w:name w:val="Основной текст (20)"/>
    <w:basedOn w:val="CharStyle162"/>
    <w:rPr>
      <w:lang w:val="ru-RU" w:eastAsia="ru-RU" w:bidi="ru-RU"/>
      <w:w w:val="100"/>
      <w:color w:val="000000"/>
      <w:position w:val="0"/>
    </w:rPr>
  </w:style>
  <w:style w:type="character" w:customStyle="1" w:styleId="CharStyle165">
    <w:name w:val="Основной текст (20) + Малые прописные"/>
    <w:basedOn w:val="CharStyle162"/>
    <w:rPr>
      <w:lang w:val="en-US" w:eastAsia="en-US" w:bidi="en-US"/>
      <w:smallCaps/>
      <w:w w:val="100"/>
      <w:color w:val="000000"/>
      <w:position w:val="0"/>
    </w:rPr>
  </w:style>
  <w:style w:type="character" w:customStyle="1" w:styleId="CharStyle167">
    <w:name w:val="Основной текст (21)_"/>
    <w:basedOn w:val="DefaultParagraphFont"/>
    <w:link w:val="Style166"/>
    <w:rPr>
      <w:lang w:val="en-US" w:eastAsia="en-US" w:bidi="en-US"/>
      <w:b/>
      <w:bCs/>
      <w:i w:val="0"/>
      <w:iCs w:val="0"/>
      <w:u w:val="none"/>
      <w:strike w:val="0"/>
      <w:smallCaps w:val="0"/>
      <w:sz w:val="32"/>
      <w:szCs w:val="32"/>
      <w:rFonts w:ascii="Courier New" w:eastAsia="Courier New" w:hAnsi="Courier New" w:cs="Courier New"/>
      <w:spacing w:val="-30"/>
    </w:rPr>
  </w:style>
  <w:style w:type="character" w:customStyle="1" w:styleId="CharStyle168">
    <w:name w:val="Основной текст (21)"/>
    <w:basedOn w:val="CharStyle167"/>
    <w:rPr>
      <w:lang w:val="1024"/>
      <w:w w:val="100"/>
      <w:color w:val="000000"/>
      <w:position w:val="0"/>
    </w:rPr>
  </w:style>
  <w:style w:type="character" w:customStyle="1" w:styleId="CharStyle169">
    <w:name w:val="Основной текст (21) + Segoe UI,Курсив,Интервал 1 pt"/>
    <w:basedOn w:val="CharStyle167"/>
    <w:rPr>
      <w:i/>
      <w:iCs/>
      <w:sz w:val="32"/>
      <w:szCs w:val="32"/>
      <w:rFonts w:ascii="Segoe UI" w:eastAsia="Segoe UI" w:hAnsi="Segoe UI" w:cs="Segoe UI"/>
      <w:w w:val="100"/>
      <w:spacing w:val="30"/>
      <w:color w:val="000000"/>
      <w:position w:val="0"/>
    </w:rPr>
  </w:style>
  <w:style w:type="character" w:customStyle="1" w:styleId="CharStyle170">
    <w:name w:val="Основной текст (21) + Segoe UI,Курсив,Интервал 1 pt"/>
    <w:basedOn w:val="CharStyle167"/>
    <w:rPr>
      <w:i/>
      <w:iCs/>
      <w:u w:val="single"/>
      <w:sz w:val="32"/>
      <w:szCs w:val="32"/>
      <w:rFonts w:ascii="Segoe UI" w:eastAsia="Segoe UI" w:hAnsi="Segoe UI" w:cs="Segoe UI"/>
      <w:w w:val="100"/>
      <w:spacing w:val="30"/>
      <w:color w:val="000000"/>
      <w:position w:val="0"/>
    </w:rPr>
  </w:style>
  <w:style w:type="character" w:customStyle="1" w:styleId="CharStyle171">
    <w:name w:val="Основной текст (21) + Малые прописные"/>
    <w:basedOn w:val="CharStyle167"/>
    <w:rPr>
      <w:smallCaps/>
      <w:w w:val="100"/>
      <w:color w:val="000000"/>
      <w:position w:val="0"/>
    </w:rPr>
  </w:style>
  <w:style w:type="character" w:customStyle="1" w:styleId="CharStyle172">
    <w:name w:val="Основной текст (21) + Малые прописные"/>
    <w:basedOn w:val="CharStyle167"/>
    <w:rPr>
      <w:lang w:val="1024"/>
      <w:smallCaps/>
      <w:w w:val="100"/>
      <w:color w:val="000000"/>
      <w:position w:val="0"/>
    </w:rPr>
  </w:style>
  <w:style w:type="character" w:customStyle="1" w:styleId="CharStyle173">
    <w:name w:val="Подпись к таблице (3) + 8 pt"/>
    <w:basedOn w:val="CharStyle101"/>
    <w:rPr>
      <w:lang w:val="ru-RU" w:eastAsia="ru-RU" w:bidi="ru-RU"/>
      <w:sz w:val="16"/>
      <w:szCs w:val="16"/>
      <w:w w:val="100"/>
      <w:spacing w:val="0"/>
      <w:color w:val="000000"/>
      <w:position w:val="0"/>
    </w:rPr>
  </w:style>
  <w:style w:type="character" w:customStyle="1" w:styleId="CharStyle174">
    <w:name w:val="Основной текст (2) + Segoe UI,13 pt,Интервал 0 pt"/>
    <w:basedOn w:val="CharStyle31"/>
    <w:rPr>
      <w:lang w:val="en-US" w:eastAsia="en-US" w:bidi="en-US"/>
      <w:sz w:val="26"/>
      <w:szCs w:val="26"/>
      <w:rFonts w:ascii="Segoe UI" w:eastAsia="Segoe UI" w:hAnsi="Segoe UI" w:cs="Segoe UI"/>
      <w:w w:val="100"/>
      <w:spacing w:val="-10"/>
      <w:color w:val="000000"/>
      <w:position w:val="0"/>
    </w:rPr>
  </w:style>
  <w:style w:type="character" w:customStyle="1" w:styleId="CharStyle175">
    <w:name w:val="Основной текст (2) + Segoe UI,13 pt,Курсив,Интервал 2 pt"/>
    <w:basedOn w:val="CharStyle31"/>
    <w:rPr>
      <w:lang w:val="en-US" w:eastAsia="en-US" w:bidi="en-US"/>
      <w:i/>
      <w:iCs/>
      <w:sz w:val="26"/>
      <w:szCs w:val="26"/>
      <w:rFonts w:ascii="Segoe UI" w:eastAsia="Segoe UI" w:hAnsi="Segoe UI" w:cs="Segoe UI"/>
      <w:w w:val="100"/>
      <w:spacing w:val="40"/>
      <w:color w:val="000000"/>
      <w:position w:val="0"/>
    </w:rPr>
  </w:style>
  <w:style w:type="character" w:customStyle="1" w:styleId="CharStyle176">
    <w:name w:val="Основной текст (2) + Segoe UI,13 pt,Малые прописные,Интервал 0 pt"/>
    <w:basedOn w:val="CharStyle31"/>
    <w:rPr>
      <w:lang w:val="ru-RU" w:eastAsia="ru-RU" w:bidi="ru-RU"/>
      <w:smallCaps/>
      <w:sz w:val="26"/>
      <w:szCs w:val="26"/>
      <w:rFonts w:ascii="Segoe UI" w:eastAsia="Segoe UI" w:hAnsi="Segoe UI" w:cs="Segoe UI"/>
      <w:w w:val="100"/>
      <w:spacing w:val="-10"/>
      <w:color w:val="000000"/>
      <w:position w:val="0"/>
    </w:rPr>
  </w:style>
  <w:style w:type="character" w:customStyle="1" w:styleId="CharStyle177">
    <w:name w:val="Основной текст (2) + Segoe UI,13 pt,Курсив"/>
    <w:basedOn w:val="CharStyle31"/>
    <w:rPr>
      <w:lang w:val="en-US" w:eastAsia="en-US" w:bidi="en-US"/>
      <w:i/>
      <w:iCs/>
      <w:sz w:val="26"/>
      <w:szCs w:val="26"/>
      <w:rFonts w:ascii="Segoe UI" w:eastAsia="Segoe UI" w:hAnsi="Segoe UI" w:cs="Segoe UI"/>
      <w:w w:val="100"/>
      <w:spacing w:val="0"/>
      <w:color w:val="000000"/>
      <w:position w:val="0"/>
    </w:rPr>
  </w:style>
  <w:style w:type="character" w:customStyle="1" w:styleId="CharStyle178">
    <w:name w:val="Основной текст (2) + Segoe UI,22 pt,Масштаб 70%"/>
    <w:basedOn w:val="CharStyle31"/>
    <w:rPr>
      <w:lang w:val="ru-RU" w:eastAsia="ru-RU" w:bidi="ru-RU"/>
      <w:sz w:val="44"/>
      <w:szCs w:val="44"/>
      <w:rFonts w:ascii="Segoe UI" w:eastAsia="Segoe UI" w:hAnsi="Segoe UI" w:cs="Segoe UI"/>
      <w:w w:val="70"/>
      <w:spacing w:val="0"/>
      <w:color w:val="000000"/>
      <w:position w:val="0"/>
    </w:rPr>
  </w:style>
  <w:style w:type="character" w:customStyle="1" w:styleId="CharStyle179">
    <w:name w:val="Основной текст (2) + 62 pt,Полужирный,Интервал 0 pt"/>
    <w:basedOn w:val="CharStyle31"/>
    <w:rPr>
      <w:lang w:val="ru-RU" w:eastAsia="ru-RU" w:bidi="ru-RU"/>
      <w:b/>
      <w:bCs/>
      <w:sz w:val="124"/>
      <w:szCs w:val="124"/>
      <w:w w:val="100"/>
      <w:spacing w:val="-10"/>
      <w:color w:val="000000"/>
      <w:position w:val="0"/>
    </w:rPr>
  </w:style>
  <w:style w:type="character" w:customStyle="1" w:styleId="CharStyle180">
    <w:name w:val="Подпись к таблице (3) + Полужирный,Курсив Exact"/>
    <w:basedOn w:val="CharStyle101"/>
    <w:rPr>
      <w:lang w:val="ru-RU" w:eastAsia="ru-RU" w:bidi="ru-RU"/>
      <w:b/>
      <w:bCs/>
      <w:i/>
      <w:iCs/>
      <w:w w:val="100"/>
      <w:spacing w:val="0"/>
      <w:color w:val="000000"/>
      <w:position w:val="0"/>
    </w:rPr>
  </w:style>
  <w:style w:type="character" w:customStyle="1" w:styleId="CharStyle181">
    <w:name w:val="Основной текст (2) + Малые прописные"/>
    <w:basedOn w:val="CharStyle31"/>
    <w:rPr>
      <w:lang w:val="en-US" w:eastAsia="en-US" w:bidi="en-US"/>
      <w:smallCaps/>
      <w:w w:val="100"/>
      <w:spacing w:val="0"/>
      <w:color w:val="000000"/>
      <w:position w:val="0"/>
    </w:rPr>
  </w:style>
  <w:style w:type="character" w:customStyle="1" w:styleId="CharStyle183">
    <w:name w:val="Подпись к таблице (5) Exact"/>
    <w:basedOn w:val="DefaultParagraphFont"/>
    <w:rPr>
      <w:b w:val="0"/>
      <w:bCs w:val="0"/>
      <w:i w:val="0"/>
      <w:iCs w:val="0"/>
      <w:u w:val="none"/>
      <w:strike w:val="0"/>
      <w:smallCaps w:val="0"/>
      <w:sz w:val="16"/>
      <w:szCs w:val="16"/>
      <w:rFonts w:ascii="Times New Roman" w:eastAsia="Times New Roman" w:hAnsi="Times New Roman" w:cs="Times New Roman"/>
    </w:rPr>
  </w:style>
  <w:style w:type="character" w:customStyle="1" w:styleId="CharStyle185">
    <w:name w:val="Основной текст (22)_"/>
    <w:basedOn w:val="DefaultParagraphFont"/>
    <w:link w:val="Style184"/>
    <w:rPr>
      <w:lang w:val="en-US" w:eastAsia="en-US" w:bidi="en-US"/>
      <w:b/>
      <w:bCs/>
      <w:i/>
      <w:iCs/>
      <w:u w:val="none"/>
      <w:strike w:val="0"/>
      <w:smallCaps w:val="0"/>
      <w:sz w:val="15"/>
      <w:szCs w:val="15"/>
      <w:rFonts w:ascii="Times New Roman" w:eastAsia="Times New Roman" w:hAnsi="Times New Roman" w:cs="Times New Roman"/>
    </w:rPr>
  </w:style>
  <w:style w:type="character" w:customStyle="1" w:styleId="CharStyle186">
    <w:name w:val="Подпись к таблице (5)_"/>
    <w:basedOn w:val="DefaultParagraphFont"/>
    <w:link w:val="Style182"/>
    <w:rPr>
      <w:b w:val="0"/>
      <w:bCs w:val="0"/>
      <w:i w:val="0"/>
      <w:iCs w:val="0"/>
      <w:u w:val="none"/>
      <w:strike w:val="0"/>
      <w:smallCaps w:val="0"/>
      <w:sz w:val="16"/>
      <w:szCs w:val="16"/>
      <w:rFonts w:ascii="Times New Roman" w:eastAsia="Times New Roman" w:hAnsi="Times New Roman" w:cs="Times New Roman"/>
    </w:rPr>
  </w:style>
  <w:style w:type="character" w:customStyle="1" w:styleId="CharStyle187">
    <w:name w:val="Колонтитул + Times New Roman,8,5 pt"/>
    <w:basedOn w:val="CharStyle25"/>
    <w:rPr>
      <w:lang w:val="ru-RU" w:eastAsia="ru-RU" w:bidi="ru-RU"/>
      <w:sz w:val="17"/>
      <w:szCs w:val="17"/>
      <w:rFonts w:ascii="Times New Roman" w:eastAsia="Times New Roman" w:hAnsi="Times New Roman" w:cs="Times New Roman"/>
      <w:w w:val="100"/>
      <w:spacing w:val="0"/>
      <w:color w:val="000000"/>
      <w:position w:val="0"/>
    </w:rPr>
  </w:style>
  <w:style w:type="character" w:customStyle="1" w:styleId="CharStyle189">
    <w:name w:val="Подпись к таблице (6) Exact"/>
    <w:basedOn w:val="DefaultParagraphFont"/>
    <w:link w:val="Style188"/>
    <w:rPr>
      <w:lang w:val="en-US" w:eastAsia="en-US" w:bidi="en-US"/>
      <w:b/>
      <w:bCs/>
      <w:i/>
      <w:iCs/>
      <w:u w:val="none"/>
      <w:strike w:val="0"/>
      <w:smallCaps w:val="0"/>
      <w:sz w:val="15"/>
      <w:szCs w:val="15"/>
      <w:rFonts w:ascii="Times New Roman" w:eastAsia="Times New Roman" w:hAnsi="Times New Roman" w:cs="Times New Roman"/>
    </w:rPr>
  </w:style>
  <w:style w:type="character" w:customStyle="1" w:styleId="CharStyle190">
    <w:name w:val="Основной текст (9) Exact"/>
    <w:basedOn w:val="DefaultParagraphFont"/>
    <w:rPr>
      <w:b w:val="0"/>
      <w:bCs w:val="0"/>
      <w:i w:val="0"/>
      <w:iCs w:val="0"/>
      <w:u w:val="none"/>
      <w:strike w:val="0"/>
      <w:smallCaps w:val="0"/>
      <w:sz w:val="16"/>
      <w:szCs w:val="16"/>
      <w:rFonts w:ascii="Times New Roman" w:eastAsia="Times New Roman" w:hAnsi="Times New Roman" w:cs="Times New Roman"/>
    </w:rPr>
  </w:style>
  <w:style w:type="character" w:customStyle="1" w:styleId="CharStyle191">
    <w:name w:val="Основной текст (22) Exact"/>
    <w:basedOn w:val="DefaultParagraphFont"/>
    <w:rPr>
      <w:lang w:val="en-US" w:eastAsia="en-US" w:bidi="en-US"/>
      <w:b/>
      <w:bCs/>
      <w:i/>
      <w:iCs/>
      <w:u w:val="none"/>
      <w:strike w:val="0"/>
      <w:smallCaps w:val="0"/>
      <w:sz w:val="15"/>
      <w:szCs w:val="15"/>
      <w:rFonts w:ascii="Times New Roman" w:eastAsia="Times New Roman" w:hAnsi="Times New Roman" w:cs="Times New Roman"/>
    </w:rPr>
  </w:style>
  <w:style w:type="character" w:customStyle="1" w:styleId="CharStyle192">
    <w:name w:val="Основной текст (2) + 7,5 pt,Полужирный,Курсив"/>
    <w:basedOn w:val="CharStyle31"/>
    <w:rPr>
      <w:lang w:val="en-US" w:eastAsia="en-US" w:bidi="en-US"/>
      <w:b/>
      <w:bCs/>
      <w:i/>
      <w:iCs/>
      <w:sz w:val="15"/>
      <w:szCs w:val="15"/>
      <w:w w:val="100"/>
      <w:spacing w:val="0"/>
      <w:color w:val="000000"/>
      <w:position w:val="0"/>
    </w:rPr>
  </w:style>
  <w:style w:type="character" w:customStyle="1" w:styleId="CharStyle193">
    <w:name w:val="Основной текст (2) + 7,5 pt,Полужирный,Курсив,Малые прописные"/>
    <w:basedOn w:val="CharStyle31"/>
    <w:rPr>
      <w:lang w:val="ru-RU" w:eastAsia="ru-RU" w:bidi="ru-RU"/>
      <w:b/>
      <w:bCs/>
      <w:i/>
      <w:iCs/>
      <w:smallCaps/>
      <w:sz w:val="15"/>
      <w:szCs w:val="15"/>
      <w:w w:val="100"/>
      <w:spacing w:val="0"/>
      <w:color w:val="000000"/>
      <w:position w:val="0"/>
    </w:rPr>
  </w:style>
  <w:style w:type="character" w:customStyle="1" w:styleId="CharStyle194">
    <w:name w:val="Подпись к таблице (6) + Малые прописные Exact"/>
    <w:basedOn w:val="CharStyle189"/>
    <w:rPr>
      <w:lang w:val="ru-RU" w:eastAsia="ru-RU" w:bidi="ru-RU"/>
      <w:smallCaps/>
      <w:w w:val="100"/>
      <w:spacing w:val="0"/>
      <w:color w:val="000000"/>
      <w:position w:val="0"/>
    </w:rPr>
  </w:style>
  <w:style w:type="character" w:customStyle="1" w:styleId="CharStyle195">
    <w:name w:val="Основной текст (16) Exact"/>
    <w:basedOn w:val="DefaultParagraphFont"/>
    <w:rPr>
      <w:lang w:val="en-US" w:eastAsia="en-US" w:bidi="en-US"/>
      <w:b/>
      <w:bCs/>
      <w:i/>
      <w:iCs/>
      <w:u w:val="none"/>
      <w:strike w:val="0"/>
      <w:smallCaps w:val="0"/>
      <w:sz w:val="18"/>
      <w:szCs w:val="18"/>
      <w:rFonts w:ascii="Times New Roman" w:eastAsia="Times New Roman" w:hAnsi="Times New Roman" w:cs="Times New Roman"/>
    </w:rPr>
  </w:style>
  <w:style w:type="character" w:customStyle="1" w:styleId="CharStyle196">
    <w:name w:val="Основной текст (16) + Не полужирный,Не курсив Exact"/>
    <w:basedOn w:val="CharStyle108"/>
    <w:rPr>
      <w:lang w:val="ru-RU" w:eastAsia="ru-RU" w:bidi="ru-RU"/>
      <w:b/>
      <w:bCs/>
      <w:i/>
      <w:iCs/>
      <w:w w:val="100"/>
      <w:spacing w:val="0"/>
      <w:color w:val="000000"/>
      <w:position w:val="0"/>
    </w:rPr>
  </w:style>
  <w:style w:type="character" w:customStyle="1" w:styleId="CharStyle197">
    <w:name w:val="Основной текст (2) + Полужирный,Курсив Exact"/>
    <w:basedOn w:val="CharStyle31"/>
    <w:rPr>
      <w:lang w:val="ru-RU" w:eastAsia="ru-RU" w:bidi="ru-RU"/>
      <w:b/>
      <w:bCs/>
      <w:i/>
      <w:iCs/>
      <w:w w:val="100"/>
      <w:spacing w:val="0"/>
      <w:color w:val="000000"/>
      <w:position w:val="0"/>
    </w:rPr>
  </w:style>
  <w:style w:type="paragraph" w:customStyle="1" w:styleId="Style3">
    <w:name w:val="Сноска"/>
    <w:basedOn w:val="Normal"/>
    <w:link w:val="CharStyle4"/>
    <w:pPr>
      <w:widowControl w:val="0"/>
      <w:shd w:val="clear" w:color="auto" w:fill="FFFFFF"/>
      <w:spacing w:line="0" w:lineRule="exact"/>
    </w:pPr>
    <w:rPr>
      <w:b w:val="0"/>
      <w:bCs w:val="0"/>
      <w:i w:val="0"/>
      <w:iCs w:val="0"/>
      <w:u w:val="none"/>
      <w:strike w:val="0"/>
      <w:smallCaps w:val="0"/>
      <w:sz w:val="18"/>
      <w:szCs w:val="18"/>
      <w:rFonts w:ascii="Times New Roman" w:eastAsia="Times New Roman" w:hAnsi="Times New Roman" w:cs="Times New Roman"/>
    </w:rPr>
  </w:style>
  <w:style w:type="paragraph" w:customStyle="1" w:styleId="Style5">
    <w:name w:val="Основной текст (3)"/>
    <w:basedOn w:val="Normal"/>
    <w:link w:val="CharStyle6"/>
    <w:pPr>
      <w:widowControl w:val="0"/>
      <w:shd w:val="clear" w:color="auto" w:fill="FFFFFF"/>
      <w:spacing w:after="2520" w:line="0" w:lineRule="exact"/>
    </w:pPr>
    <w:rPr>
      <w:b/>
      <w:bCs/>
      <w:i w:val="0"/>
      <w:iCs w:val="0"/>
      <w:u w:val="none"/>
      <w:strike w:val="0"/>
      <w:smallCaps w:val="0"/>
      <w:sz w:val="34"/>
      <w:szCs w:val="34"/>
      <w:rFonts w:ascii="Times New Roman" w:eastAsia="Times New Roman" w:hAnsi="Times New Roman" w:cs="Times New Roman"/>
    </w:rPr>
  </w:style>
  <w:style w:type="paragraph" w:customStyle="1" w:styleId="Style7">
    <w:name w:val="Основной текст (4)"/>
    <w:basedOn w:val="Normal"/>
    <w:link w:val="CharStyle8"/>
    <w:pPr>
      <w:widowControl w:val="0"/>
      <w:shd w:val="clear" w:color="auto" w:fill="FFFFFF"/>
      <w:spacing w:before="2520" w:after="300" w:line="0" w:lineRule="exact"/>
    </w:pPr>
    <w:rPr>
      <w:b w:val="0"/>
      <w:bCs w:val="0"/>
      <w:i w:val="0"/>
      <w:iCs w:val="0"/>
      <w:u w:val="none"/>
      <w:strike w:val="0"/>
      <w:smallCaps w:val="0"/>
      <w:sz w:val="74"/>
      <w:szCs w:val="74"/>
      <w:rFonts w:ascii="Times New Roman" w:eastAsia="Times New Roman" w:hAnsi="Times New Roman" w:cs="Times New Roman"/>
      <w:spacing w:val="0"/>
    </w:rPr>
  </w:style>
  <w:style w:type="paragraph" w:customStyle="1" w:styleId="Style9">
    <w:name w:val="Основной текст (5)"/>
    <w:basedOn w:val="Normal"/>
    <w:link w:val="CharStyle10"/>
    <w:pPr>
      <w:widowControl w:val="0"/>
      <w:shd w:val="clear" w:color="auto" w:fill="FFFFFF"/>
      <w:spacing w:before="7440" w:after="60" w:line="0" w:lineRule="exact"/>
    </w:pPr>
    <w:rPr>
      <w:b w:val="0"/>
      <w:bCs w:val="0"/>
      <w:i w:val="0"/>
      <w:iCs w:val="0"/>
      <w:u w:val="none"/>
      <w:strike w:val="0"/>
      <w:smallCaps w:val="0"/>
      <w:sz w:val="26"/>
      <w:szCs w:val="26"/>
      <w:rFonts w:ascii="Segoe UI" w:eastAsia="Segoe UI" w:hAnsi="Segoe UI" w:cs="Segoe UI"/>
    </w:rPr>
  </w:style>
  <w:style w:type="paragraph" w:customStyle="1" w:styleId="Style11">
    <w:name w:val="Основной текст (6)"/>
    <w:basedOn w:val="Normal"/>
    <w:link w:val="CharStyle12"/>
    <w:pPr>
      <w:widowControl w:val="0"/>
      <w:shd w:val="clear" w:color="auto" w:fill="FFFFFF"/>
      <w:jc w:val="both"/>
      <w:spacing w:line="0" w:lineRule="exact"/>
      <w:ind w:hanging="220"/>
    </w:pPr>
    <w:rPr>
      <w:b w:val="0"/>
      <w:bCs w:val="0"/>
      <w:i w:val="0"/>
      <w:iCs w:val="0"/>
      <w:u w:val="none"/>
      <w:strike w:val="0"/>
      <w:smallCaps w:val="0"/>
      <w:sz w:val="21"/>
      <w:szCs w:val="21"/>
      <w:rFonts w:ascii="Times New Roman" w:eastAsia="Times New Roman" w:hAnsi="Times New Roman" w:cs="Times New Roman"/>
    </w:rPr>
  </w:style>
  <w:style w:type="paragraph" w:customStyle="1" w:styleId="Style13">
    <w:name w:val="Основной текст (7)"/>
    <w:basedOn w:val="Normal"/>
    <w:link w:val="CharStyle14"/>
    <w:pPr>
      <w:widowControl w:val="0"/>
      <w:shd w:val="clear" w:color="auto" w:fill="FFFFFF"/>
      <w:spacing w:before="420" w:line="216" w:lineRule="exact"/>
      <w:ind w:firstLine="260"/>
    </w:pPr>
    <w:rPr>
      <w:b w:val="0"/>
      <w:bCs w:val="0"/>
      <w:i/>
      <w:iCs/>
      <w:u w:val="none"/>
      <w:strike w:val="0"/>
      <w:smallCaps w:val="0"/>
      <w:sz w:val="17"/>
      <w:szCs w:val="17"/>
      <w:rFonts w:ascii="Times New Roman" w:eastAsia="Times New Roman" w:hAnsi="Times New Roman" w:cs="Times New Roman"/>
    </w:rPr>
  </w:style>
  <w:style w:type="paragraph" w:customStyle="1" w:styleId="Style15">
    <w:name w:val="Заголовок №1"/>
    <w:basedOn w:val="Normal"/>
    <w:link w:val="CharStyle16"/>
    <w:pPr>
      <w:widowControl w:val="0"/>
      <w:shd w:val="clear" w:color="auto" w:fill="FFFFFF"/>
      <w:outlineLvl w:val="0"/>
      <w:spacing w:after="480" w:line="0" w:lineRule="exact"/>
    </w:pPr>
    <w:rPr>
      <w:b/>
      <w:bCs/>
      <w:i w:val="0"/>
      <w:iCs w:val="0"/>
      <w:u w:val="none"/>
      <w:strike w:val="0"/>
      <w:smallCaps w:val="0"/>
      <w:sz w:val="34"/>
      <w:szCs w:val="34"/>
      <w:rFonts w:ascii="Times New Roman" w:eastAsia="Times New Roman" w:hAnsi="Times New Roman" w:cs="Times New Roman"/>
    </w:rPr>
  </w:style>
  <w:style w:type="paragraph" w:styleId="TOC_1">
    <w:name w:val="toc 1"/>
    <w:basedOn w:val="Normal"/>
    <w:link w:val="CharStyle18"/>
    <w:autoRedefine/>
    <w:pPr>
      <w:widowControl w:val="0"/>
      <w:shd w:val="clear" w:color="auto" w:fill="FFFFFF"/>
      <w:jc w:val="both"/>
      <w:spacing w:before="480" w:line="240" w:lineRule="exact"/>
    </w:pPr>
    <w:rPr>
      <w:b w:val="0"/>
      <w:bCs w:val="0"/>
      <w:i w:val="0"/>
      <w:iCs w:val="0"/>
      <w:u w:val="none"/>
      <w:strike w:val="0"/>
      <w:smallCaps w:val="0"/>
      <w:sz w:val="21"/>
      <w:szCs w:val="21"/>
      <w:rFonts w:ascii="Times New Roman" w:eastAsia="Times New Roman" w:hAnsi="Times New Roman" w:cs="Times New Roman"/>
    </w:rPr>
  </w:style>
  <w:style w:type="paragraph" w:styleId="TOC_4">
    <w:name w:val="toc 4"/>
    <w:basedOn w:val="Normal"/>
    <w:link w:val="CharStyle20"/>
    <w:autoRedefine/>
    <w:pPr>
      <w:widowControl w:val="0"/>
      <w:shd w:val="clear" w:color="auto" w:fill="FFFFFF"/>
      <w:jc w:val="both"/>
      <w:spacing w:line="240" w:lineRule="exact"/>
    </w:pPr>
    <w:rPr>
      <w:b w:val="0"/>
      <w:bCs w:val="0"/>
      <w:i/>
      <w:iCs/>
      <w:u w:val="none"/>
      <w:strike w:val="0"/>
      <w:smallCaps w:val="0"/>
      <w:sz w:val="21"/>
      <w:szCs w:val="21"/>
      <w:rFonts w:ascii="Times New Roman" w:eastAsia="Times New Roman" w:hAnsi="Times New Roman" w:cs="Times New Roman"/>
      <w:spacing w:val="-10"/>
    </w:rPr>
  </w:style>
  <w:style w:type="paragraph" w:customStyle="1" w:styleId="Style22">
    <w:name w:val="Основной текст (8)"/>
    <w:basedOn w:val="Normal"/>
    <w:link w:val="CharStyle23"/>
    <w:pPr>
      <w:widowControl w:val="0"/>
      <w:shd w:val="clear" w:color="auto" w:fill="FFFFFF"/>
      <w:spacing w:after="360" w:line="0" w:lineRule="exact"/>
    </w:pPr>
    <w:rPr>
      <w:b w:val="0"/>
      <w:bCs w:val="0"/>
      <w:i w:val="0"/>
      <w:iCs w:val="0"/>
      <w:u w:val="none"/>
      <w:strike w:val="0"/>
      <w:smallCaps w:val="0"/>
      <w:sz w:val="36"/>
      <w:szCs w:val="36"/>
      <w:rFonts w:ascii="Times New Roman" w:eastAsia="Times New Roman" w:hAnsi="Times New Roman" w:cs="Times New Roman"/>
      <w:spacing w:val="-20"/>
    </w:rPr>
  </w:style>
  <w:style w:type="paragraph" w:customStyle="1" w:styleId="Style24">
    <w:name w:val="Колонтитул"/>
    <w:basedOn w:val="Normal"/>
    <w:link w:val="CharStyle25"/>
    <w:pPr>
      <w:widowControl w:val="0"/>
      <w:shd w:val="clear" w:color="auto" w:fill="FFFFFF"/>
      <w:spacing w:line="0" w:lineRule="exact"/>
    </w:pPr>
    <w:rPr>
      <w:b w:val="0"/>
      <w:bCs w:val="0"/>
      <w:i w:val="0"/>
      <w:iCs w:val="0"/>
      <w:u w:val="none"/>
      <w:strike w:val="0"/>
      <w:smallCaps w:val="0"/>
      <w:sz w:val="15"/>
      <w:szCs w:val="15"/>
      <w:rFonts w:ascii="Segoe UI" w:eastAsia="Segoe UI" w:hAnsi="Segoe UI" w:cs="Segoe UI"/>
      <w:spacing w:val="0"/>
    </w:rPr>
  </w:style>
  <w:style w:type="paragraph" w:customStyle="1" w:styleId="Style28">
    <w:name w:val="Заголовок №2"/>
    <w:basedOn w:val="Normal"/>
    <w:link w:val="CharStyle29"/>
    <w:pPr>
      <w:widowControl w:val="0"/>
      <w:shd w:val="clear" w:color="auto" w:fill="FFFFFF"/>
      <w:outlineLvl w:val="1"/>
      <w:spacing w:after="240" w:line="0" w:lineRule="exact"/>
    </w:pPr>
    <w:rPr>
      <w:b/>
      <w:bCs/>
      <w:i w:val="0"/>
      <w:iCs w:val="0"/>
      <w:u w:val="none"/>
      <w:strike w:val="0"/>
      <w:smallCaps w:val="0"/>
      <w:sz w:val="22"/>
      <w:szCs w:val="22"/>
      <w:rFonts w:ascii="Segoe UI" w:eastAsia="Segoe UI" w:hAnsi="Segoe UI" w:cs="Segoe UI"/>
    </w:rPr>
  </w:style>
  <w:style w:type="paragraph" w:customStyle="1" w:styleId="Style30">
    <w:name w:val="Основной текст (2)"/>
    <w:basedOn w:val="Normal"/>
    <w:link w:val="CharStyle31"/>
    <w:pPr>
      <w:widowControl w:val="0"/>
      <w:shd w:val="clear" w:color="auto" w:fill="FFFFFF"/>
      <w:jc w:val="both"/>
      <w:spacing w:before="240" w:line="216" w:lineRule="exact"/>
      <w:ind w:hanging="260"/>
    </w:pPr>
    <w:rPr>
      <w:b w:val="0"/>
      <w:bCs w:val="0"/>
      <w:i w:val="0"/>
      <w:iCs w:val="0"/>
      <w:u w:val="none"/>
      <w:strike w:val="0"/>
      <w:smallCaps w:val="0"/>
      <w:sz w:val="18"/>
      <w:szCs w:val="18"/>
      <w:rFonts w:ascii="Times New Roman" w:eastAsia="Times New Roman" w:hAnsi="Times New Roman" w:cs="Times New Roman"/>
    </w:rPr>
  </w:style>
  <w:style w:type="paragraph" w:customStyle="1" w:styleId="Style33">
    <w:name w:val="Подпись к картинке"/>
    <w:basedOn w:val="Normal"/>
    <w:link w:val="CharStyle66"/>
    <w:pPr>
      <w:widowControl w:val="0"/>
      <w:shd w:val="clear" w:color="auto" w:fill="FFFFFF"/>
      <w:spacing w:line="0" w:lineRule="exact"/>
    </w:pPr>
    <w:rPr>
      <w:b w:val="0"/>
      <w:bCs w:val="0"/>
      <w:i w:val="0"/>
      <w:iCs w:val="0"/>
      <w:u w:val="none"/>
      <w:strike w:val="0"/>
      <w:smallCaps w:val="0"/>
      <w:sz w:val="16"/>
      <w:szCs w:val="16"/>
      <w:rFonts w:ascii="Times New Roman" w:eastAsia="Times New Roman" w:hAnsi="Times New Roman" w:cs="Times New Roman"/>
    </w:rPr>
  </w:style>
  <w:style w:type="paragraph" w:customStyle="1" w:styleId="Style35">
    <w:name w:val="Подпись к картинке (2)"/>
    <w:basedOn w:val="Normal"/>
    <w:link w:val="CharStyle36"/>
    <w:pPr>
      <w:widowControl w:val="0"/>
      <w:shd w:val="clear" w:color="auto" w:fill="FFFFFF"/>
      <w:spacing w:line="0" w:lineRule="exact"/>
    </w:pPr>
    <w:rPr>
      <w:b/>
      <w:bCs/>
      <w:i w:val="0"/>
      <w:iCs w:val="0"/>
      <w:u w:val="none"/>
      <w:strike w:val="0"/>
      <w:smallCaps w:val="0"/>
      <w:sz w:val="16"/>
      <w:szCs w:val="16"/>
      <w:rFonts w:ascii="Times New Roman" w:eastAsia="Times New Roman" w:hAnsi="Times New Roman" w:cs="Times New Roman"/>
    </w:rPr>
  </w:style>
  <w:style w:type="paragraph" w:customStyle="1" w:styleId="Style39">
    <w:name w:val="Подпись к таблице"/>
    <w:basedOn w:val="Normal"/>
    <w:link w:val="CharStyle40"/>
    <w:pPr>
      <w:widowControl w:val="0"/>
      <w:shd w:val="clear" w:color="auto" w:fill="FFFFFF"/>
      <w:jc w:val="right"/>
      <w:spacing w:line="0" w:lineRule="exact"/>
    </w:pPr>
    <w:rPr>
      <w:b w:val="0"/>
      <w:bCs w:val="0"/>
      <w:i/>
      <w:iCs/>
      <w:u w:val="none"/>
      <w:strike w:val="0"/>
      <w:smallCaps w:val="0"/>
      <w:sz w:val="17"/>
      <w:szCs w:val="17"/>
      <w:rFonts w:ascii="Times New Roman" w:eastAsia="Times New Roman" w:hAnsi="Times New Roman" w:cs="Times New Roman"/>
    </w:rPr>
  </w:style>
  <w:style w:type="paragraph" w:customStyle="1" w:styleId="Style41">
    <w:name w:val="Подпись к таблице (2)"/>
    <w:basedOn w:val="Normal"/>
    <w:link w:val="CharStyle42"/>
    <w:pPr>
      <w:widowControl w:val="0"/>
      <w:shd w:val="clear" w:color="auto" w:fill="FFFFFF"/>
      <w:spacing w:line="0" w:lineRule="exact"/>
    </w:pPr>
    <w:rPr>
      <w:b/>
      <w:bCs/>
      <w:i w:val="0"/>
      <w:iCs w:val="0"/>
      <w:u w:val="none"/>
      <w:strike w:val="0"/>
      <w:smallCaps w:val="0"/>
      <w:sz w:val="18"/>
      <w:szCs w:val="18"/>
      <w:rFonts w:ascii="Times New Roman" w:eastAsia="Times New Roman" w:hAnsi="Times New Roman" w:cs="Times New Roman"/>
      <w:spacing w:val="0"/>
    </w:rPr>
  </w:style>
  <w:style w:type="paragraph" w:customStyle="1" w:styleId="Style45">
    <w:name w:val="Основной текст (9)"/>
    <w:basedOn w:val="Normal"/>
    <w:link w:val="CharStyle46"/>
    <w:pPr>
      <w:widowControl w:val="0"/>
      <w:shd w:val="clear" w:color="auto" w:fill="FFFFFF"/>
      <w:jc w:val="both"/>
      <w:spacing w:before="4320" w:line="192" w:lineRule="exact"/>
    </w:pPr>
    <w:rPr>
      <w:b w:val="0"/>
      <w:bCs w:val="0"/>
      <w:i w:val="0"/>
      <w:iCs w:val="0"/>
      <w:u w:val="none"/>
      <w:strike w:val="0"/>
      <w:smallCaps w:val="0"/>
      <w:sz w:val="16"/>
      <w:szCs w:val="16"/>
      <w:rFonts w:ascii="Times New Roman" w:eastAsia="Times New Roman" w:hAnsi="Times New Roman" w:cs="Times New Roman"/>
    </w:rPr>
  </w:style>
  <w:style w:type="paragraph" w:customStyle="1" w:styleId="Style48">
    <w:name w:val="Заголовок №3"/>
    <w:basedOn w:val="Normal"/>
    <w:link w:val="CharStyle49"/>
    <w:pPr>
      <w:widowControl w:val="0"/>
      <w:shd w:val="clear" w:color="auto" w:fill="FFFFFF"/>
      <w:outlineLvl w:val="2"/>
      <w:spacing w:after="120" w:line="0" w:lineRule="exact"/>
    </w:pPr>
    <w:rPr>
      <w:b/>
      <w:bCs/>
      <w:i/>
      <w:iCs/>
      <w:u w:val="none"/>
      <w:strike w:val="0"/>
      <w:smallCaps w:val="0"/>
      <w:sz w:val="20"/>
      <w:szCs w:val="20"/>
      <w:rFonts w:ascii="Segoe UI" w:eastAsia="Segoe UI" w:hAnsi="Segoe UI" w:cs="Segoe UI"/>
    </w:rPr>
  </w:style>
  <w:style w:type="paragraph" w:customStyle="1" w:styleId="Style50">
    <w:name w:val="Заголовок №5"/>
    <w:basedOn w:val="Normal"/>
    <w:link w:val="CharStyle51"/>
    <w:pPr>
      <w:widowControl w:val="0"/>
      <w:shd w:val="clear" w:color="auto" w:fill="FFFFFF"/>
      <w:jc w:val="center"/>
      <w:outlineLvl w:val="4"/>
      <w:spacing w:line="216" w:lineRule="exact"/>
      <w:ind w:hanging="240"/>
    </w:pPr>
    <w:rPr>
      <w:b/>
      <w:bCs/>
      <w:i w:val="0"/>
      <w:iCs w:val="0"/>
      <w:u w:val="none"/>
      <w:strike w:val="0"/>
      <w:smallCaps w:val="0"/>
      <w:sz w:val="18"/>
      <w:szCs w:val="18"/>
      <w:rFonts w:ascii="Times New Roman" w:eastAsia="Times New Roman" w:hAnsi="Times New Roman" w:cs="Times New Roman"/>
      <w:spacing w:val="0"/>
    </w:rPr>
  </w:style>
  <w:style w:type="paragraph" w:customStyle="1" w:styleId="Style52">
    <w:name w:val="Основной текст (10)"/>
    <w:basedOn w:val="Normal"/>
    <w:link w:val="CharStyle53"/>
    <w:pPr>
      <w:widowControl w:val="0"/>
      <w:shd w:val="clear" w:color="auto" w:fill="FFFFFF"/>
      <w:jc w:val="center"/>
      <w:spacing w:before="420" w:line="0" w:lineRule="exact"/>
    </w:pPr>
    <w:rPr>
      <w:b/>
      <w:bCs/>
      <w:i w:val="0"/>
      <w:iCs w:val="0"/>
      <w:u w:val="none"/>
      <w:strike w:val="0"/>
      <w:smallCaps w:val="0"/>
      <w:sz w:val="18"/>
      <w:szCs w:val="18"/>
      <w:rFonts w:ascii="Times New Roman" w:eastAsia="Times New Roman" w:hAnsi="Times New Roman" w:cs="Times New Roman"/>
      <w:spacing w:val="0"/>
    </w:rPr>
  </w:style>
  <w:style w:type="paragraph" w:customStyle="1" w:styleId="Style54">
    <w:name w:val="Заголовок №4"/>
    <w:basedOn w:val="Normal"/>
    <w:link w:val="CharStyle55"/>
    <w:pPr>
      <w:widowControl w:val="0"/>
      <w:shd w:val="clear" w:color="auto" w:fill="FFFFFF"/>
      <w:outlineLvl w:val="3"/>
      <w:spacing w:before="120" w:after="120" w:line="0" w:lineRule="exact"/>
    </w:pPr>
    <w:rPr>
      <w:b w:val="0"/>
      <w:bCs w:val="0"/>
      <w:i w:val="0"/>
      <w:iCs w:val="0"/>
      <w:u w:val="none"/>
      <w:strike w:val="0"/>
      <w:smallCaps w:val="0"/>
      <w:sz w:val="21"/>
      <w:szCs w:val="21"/>
      <w:rFonts w:ascii="Times New Roman" w:eastAsia="Times New Roman" w:hAnsi="Times New Roman" w:cs="Times New Roman"/>
    </w:rPr>
  </w:style>
  <w:style w:type="paragraph" w:customStyle="1" w:styleId="Style63">
    <w:name w:val="Основной текст (11)"/>
    <w:basedOn w:val="Normal"/>
    <w:link w:val="CharStyle64"/>
    <w:pPr>
      <w:widowControl w:val="0"/>
      <w:shd w:val="clear" w:color="auto" w:fill="FFFFFF"/>
      <w:spacing w:line="408" w:lineRule="exact"/>
    </w:pPr>
    <w:rPr>
      <w:b w:val="0"/>
      <w:bCs w:val="0"/>
      <w:i w:val="0"/>
      <w:iCs w:val="0"/>
      <w:u w:val="none"/>
      <w:strike w:val="0"/>
      <w:smallCaps w:val="0"/>
      <w:sz w:val="15"/>
      <w:szCs w:val="15"/>
    </w:rPr>
  </w:style>
  <w:style w:type="paragraph" w:customStyle="1" w:styleId="Style69">
    <w:name w:val="Заголовок №4 (2)"/>
    <w:basedOn w:val="Normal"/>
    <w:link w:val="CharStyle70"/>
    <w:pPr>
      <w:widowControl w:val="0"/>
      <w:shd w:val="clear" w:color="auto" w:fill="FFFFFF"/>
      <w:outlineLvl w:val="3"/>
      <w:spacing w:line="365" w:lineRule="exact"/>
    </w:pPr>
    <w:rPr>
      <w:b w:val="0"/>
      <w:bCs w:val="0"/>
      <w:i w:val="0"/>
      <w:iCs w:val="0"/>
      <w:u w:val="none"/>
      <w:strike w:val="0"/>
      <w:smallCaps w:val="0"/>
      <w:sz w:val="17"/>
      <w:szCs w:val="17"/>
      <w:rFonts w:ascii="Times New Roman" w:eastAsia="Times New Roman" w:hAnsi="Times New Roman" w:cs="Times New Roman"/>
      <w:spacing w:val="20"/>
    </w:rPr>
  </w:style>
  <w:style w:type="paragraph" w:customStyle="1" w:styleId="Style74">
    <w:name w:val="Основной текст (12)"/>
    <w:basedOn w:val="Normal"/>
    <w:link w:val="CharStyle75"/>
    <w:pPr>
      <w:widowControl w:val="0"/>
      <w:shd w:val="clear" w:color="auto" w:fill="FFFFFF"/>
      <w:spacing w:after="300" w:line="365" w:lineRule="exact"/>
    </w:pPr>
    <w:rPr>
      <w:b w:val="0"/>
      <w:bCs w:val="0"/>
      <w:i w:val="0"/>
      <w:iCs w:val="0"/>
      <w:u w:val="none"/>
      <w:strike w:val="0"/>
      <w:smallCaps w:val="0"/>
      <w:sz w:val="17"/>
      <w:szCs w:val="17"/>
      <w:rFonts w:ascii="Times New Roman" w:eastAsia="Times New Roman" w:hAnsi="Times New Roman" w:cs="Times New Roman"/>
      <w:spacing w:val="-20"/>
    </w:rPr>
  </w:style>
  <w:style w:type="paragraph" w:customStyle="1" w:styleId="Style80">
    <w:name w:val="Основной текст (13)"/>
    <w:basedOn w:val="Normal"/>
    <w:link w:val="CharStyle81"/>
    <w:pPr>
      <w:widowControl w:val="0"/>
      <w:shd w:val="clear" w:color="auto" w:fill="FFFFFF"/>
      <w:jc w:val="center"/>
      <w:spacing w:before="300" w:after="240" w:line="0" w:lineRule="exact"/>
    </w:pPr>
    <w:rPr>
      <w:b w:val="0"/>
      <w:bCs w:val="0"/>
      <w:i w:val="0"/>
      <w:iCs w:val="0"/>
      <w:u w:val="none"/>
      <w:strike w:val="0"/>
      <w:smallCaps w:val="0"/>
      <w:sz w:val="26"/>
      <w:szCs w:val="26"/>
      <w:rFonts w:ascii="Times New Roman" w:eastAsia="Times New Roman" w:hAnsi="Times New Roman" w:cs="Times New Roman"/>
      <w:w w:val="20"/>
      <w:spacing w:val="10"/>
    </w:rPr>
  </w:style>
  <w:style w:type="paragraph" w:customStyle="1" w:styleId="Style83">
    <w:name w:val="Основной текст (14)"/>
    <w:basedOn w:val="Normal"/>
    <w:link w:val="CharStyle84"/>
    <w:pPr>
      <w:widowControl w:val="0"/>
      <w:shd w:val="clear" w:color="auto" w:fill="FFFFFF"/>
      <w:jc w:val="both"/>
      <w:spacing w:before="240" w:line="0" w:lineRule="exact"/>
    </w:pPr>
    <w:rPr>
      <w:lang w:val="en-US" w:eastAsia="en-US" w:bidi="en-US"/>
      <w:b w:val="0"/>
      <w:bCs w:val="0"/>
      <w:i w:val="0"/>
      <w:iCs w:val="0"/>
      <w:u w:val="none"/>
      <w:strike w:val="0"/>
      <w:smallCaps w:val="0"/>
      <w:sz w:val="24"/>
      <w:szCs w:val="24"/>
      <w:rFonts w:ascii="Times New Roman" w:eastAsia="Times New Roman" w:hAnsi="Times New Roman" w:cs="Times New Roman"/>
      <w:spacing w:val="0"/>
    </w:rPr>
  </w:style>
  <w:style w:type="paragraph" w:customStyle="1" w:styleId="Style92">
    <w:name w:val="Заголовок №5 (2)"/>
    <w:basedOn w:val="Normal"/>
    <w:link w:val="CharStyle93"/>
    <w:pPr>
      <w:widowControl w:val="0"/>
      <w:shd w:val="clear" w:color="auto" w:fill="FFFFFF"/>
      <w:jc w:val="both"/>
      <w:outlineLvl w:val="4"/>
      <w:spacing w:line="216" w:lineRule="exact"/>
      <w:ind w:hanging="280"/>
    </w:pPr>
    <w:rPr>
      <w:b w:val="0"/>
      <w:bCs w:val="0"/>
      <w:i w:val="0"/>
      <w:iCs w:val="0"/>
      <w:u w:val="none"/>
      <w:strike w:val="0"/>
      <w:smallCaps w:val="0"/>
      <w:sz w:val="18"/>
      <w:szCs w:val="18"/>
      <w:rFonts w:ascii="Times New Roman" w:eastAsia="Times New Roman" w:hAnsi="Times New Roman" w:cs="Times New Roman"/>
    </w:rPr>
  </w:style>
  <w:style w:type="paragraph" w:customStyle="1" w:styleId="Style96">
    <w:name w:val="Подпись к таблице (3)"/>
    <w:basedOn w:val="Normal"/>
    <w:link w:val="CharStyle101"/>
    <w:pPr>
      <w:widowControl w:val="0"/>
      <w:shd w:val="clear" w:color="auto" w:fill="FFFFFF"/>
      <w:jc w:val="right"/>
      <w:spacing w:before="60" w:line="0" w:lineRule="exact"/>
    </w:pPr>
    <w:rPr>
      <w:b w:val="0"/>
      <w:bCs w:val="0"/>
      <w:i w:val="0"/>
      <w:iCs w:val="0"/>
      <w:u w:val="none"/>
      <w:strike w:val="0"/>
      <w:smallCaps w:val="0"/>
      <w:sz w:val="18"/>
      <w:szCs w:val="18"/>
      <w:rFonts w:ascii="Times New Roman" w:eastAsia="Times New Roman" w:hAnsi="Times New Roman" w:cs="Times New Roman"/>
    </w:rPr>
  </w:style>
  <w:style w:type="paragraph" w:customStyle="1" w:styleId="Style104">
    <w:name w:val="Основной текст (15)"/>
    <w:basedOn w:val="Normal"/>
    <w:link w:val="CharStyle105"/>
    <w:pPr>
      <w:widowControl w:val="0"/>
      <w:shd w:val="clear" w:color="auto" w:fill="FFFFFF"/>
      <w:spacing w:before="300" w:after="1980" w:line="216" w:lineRule="exact"/>
      <w:ind w:firstLine="260"/>
    </w:pPr>
    <w:rPr>
      <w:b w:val="0"/>
      <w:bCs w:val="0"/>
      <w:i w:val="0"/>
      <w:iCs w:val="0"/>
      <w:u w:val="none"/>
      <w:strike w:val="0"/>
      <w:smallCaps w:val="0"/>
      <w:sz w:val="19"/>
      <w:szCs w:val="19"/>
      <w:rFonts w:ascii="Times New Roman" w:eastAsia="Times New Roman" w:hAnsi="Times New Roman" w:cs="Times New Roman"/>
    </w:rPr>
  </w:style>
  <w:style w:type="paragraph" w:customStyle="1" w:styleId="Style107">
    <w:name w:val="Основной текст (16)"/>
    <w:basedOn w:val="Normal"/>
    <w:link w:val="CharStyle108"/>
    <w:pPr>
      <w:widowControl w:val="0"/>
      <w:shd w:val="clear" w:color="auto" w:fill="FFFFFF"/>
      <w:jc w:val="both"/>
      <w:spacing w:line="216" w:lineRule="exact"/>
      <w:ind w:firstLine="280"/>
    </w:pPr>
    <w:rPr>
      <w:b/>
      <w:bCs/>
      <w:i/>
      <w:iCs/>
      <w:u w:val="none"/>
      <w:strike w:val="0"/>
      <w:smallCaps w:val="0"/>
      <w:sz w:val="18"/>
      <w:szCs w:val="18"/>
      <w:rFonts w:ascii="Times New Roman" w:eastAsia="Times New Roman" w:hAnsi="Times New Roman" w:cs="Times New Roman"/>
    </w:rPr>
  </w:style>
  <w:style w:type="paragraph" w:customStyle="1" w:styleId="Style109">
    <w:name w:val="Основной текст (17)"/>
    <w:basedOn w:val="Normal"/>
    <w:link w:val="CharStyle110"/>
    <w:pPr>
      <w:widowControl w:val="0"/>
      <w:shd w:val="clear" w:color="auto" w:fill="FFFFFF"/>
      <w:spacing w:before="120" w:after="60" w:line="240" w:lineRule="exact"/>
    </w:pPr>
    <w:rPr>
      <w:b/>
      <w:bCs/>
      <w:i/>
      <w:iCs/>
      <w:u w:val="none"/>
      <w:strike w:val="0"/>
      <w:smallCaps w:val="0"/>
      <w:sz w:val="20"/>
      <w:szCs w:val="20"/>
      <w:rFonts w:ascii="Segoe UI" w:eastAsia="Segoe UI" w:hAnsi="Segoe UI" w:cs="Segoe UI"/>
    </w:rPr>
  </w:style>
  <w:style w:type="paragraph" w:customStyle="1" w:styleId="Style112">
    <w:name w:val="Заголовок №4 (3)"/>
    <w:basedOn w:val="Normal"/>
    <w:link w:val="CharStyle113"/>
    <w:pPr>
      <w:widowControl w:val="0"/>
      <w:shd w:val="clear" w:color="auto" w:fill="FFFFFF"/>
      <w:outlineLvl w:val="3"/>
      <w:spacing w:line="408" w:lineRule="exact"/>
    </w:pPr>
    <w:rPr>
      <w:b w:val="0"/>
      <w:bCs w:val="0"/>
      <w:i w:val="0"/>
      <w:iCs w:val="0"/>
      <w:u w:val="none"/>
      <w:strike w:val="0"/>
      <w:smallCaps w:val="0"/>
      <w:sz w:val="15"/>
      <w:szCs w:val="15"/>
    </w:rPr>
  </w:style>
  <w:style w:type="paragraph" w:customStyle="1" w:styleId="Style115">
    <w:name w:val="Основной текст (18)"/>
    <w:basedOn w:val="Normal"/>
    <w:link w:val="CharStyle116"/>
    <w:pPr>
      <w:widowControl w:val="0"/>
      <w:shd w:val="clear" w:color="auto" w:fill="FFFFFF"/>
      <w:spacing w:line="0" w:lineRule="exact"/>
    </w:pPr>
    <w:rPr>
      <w:b w:val="0"/>
      <w:bCs w:val="0"/>
      <w:i/>
      <w:iCs/>
      <w:u w:val="none"/>
      <w:strike w:val="0"/>
      <w:smallCaps w:val="0"/>
      <w:sz w:val="17"/>
      <w:szCs w:val="17"/>
      <w:rFonts w:ascii="Segoe UI" w:eastAsia="Segoe UI" w:hAnsi="Segoe UI" w:cs="Segoe UI"/>
      <w:spacing w:val="0"/>
    </w:rPr>
  </w:style>
  <w:style w:type="paragraph" w:customStyle="1" w:styleId="Style120">
    <w:name w:val="Подпись к картинке (3)"/>
    <w:basedOn w:val="Normal"/>
    <w:link w:val="CharStyle124"/>
    <w:pPr>
      <w:widowControl w:val="0"/>
      <w:shd w:val="clear" w:color="auto" w:fill="FFFFFF"/>
      <w:jc w:val="both"/>
      <w:spacing w:line="192" w:lineRule="exact"/>
    </w:pPr>
    <w:rPr>
      <w:b w:val="0"/>
      <w:bCs w:val="0"/>
      <w:i w:val="0"/>
      <w:iCs w:val="0"/>
      <w:u w:val="none"/>
      <w:strike w:val="0"/>
      <w:smallCaps w:val="0"/>
      <w:sz w:val="18"/>
      <w:szCs w:val="18"/>
      <w:rFonts w:ascii="Times New Roman" w:eastAsia="Times New Roman" w:hAnsi="Times New Roman" w:cs="Times New Roman"/>
    </w:rPr>
  </w:style>
  <w:style w:type="paragraph" w:customStyle="1" w:styleId="Style139">
    <w:name w:val="Подпись к таблице (4)"/>
    <w:basedOn w:val="Normal"/>
    <w:link w:val="CharStyle140"/>
    <w:pPr>
      <w:widowControl w:val="0"/>
      <w:shd w:val="clear" w:color="auto" w:fill="FFFFFF"/>
      <w:jc w:val="right"/>
      <w:spacing w:line="0" w:lineRule="exact"/>
    </w:pPr>
    <w:rPr>
      <w:b/>
      <w:bCs/>
      <w:i/>
      <w:iCs/>
      <w:u w:val="none"/>
      <w:strike w:val="0"/>
      <w:smallCaps w:val="0"/>
      <w:sz w:val="18"/>
      <w:szCs w:val="18"/>
      <w:rFonts w:ascii="Times New Roman" w:eastAsia="Times New Roman" w:hAnsi="Times New Roman" w:cs="Times New Roman"/>
    </w:rPr>
  </w:style>
  <w:style w:type="paragraph" w:customStyle="1" w:styleId="Style141">
    <w:name w:val="Номер заголовка №1"/>
    <w:basedOn w:val="Normal"/>
    <w:link w:val="CharStyle142"/>
    <w:pPr>
      <w:widowControl w:val="0"/>
      <w:shd w:val="clear" w:color="auto" w:fill="FFFFFF"/>
      <w:outlineLvl w:val="0"/>
      <w:spacing w:after="360" w:line="0" w:lineRule="exact"/>
    </w:pPr>
    <w:rPr>
      <w:b/>
      <w:bCs/>
      <w:i w:val="0"/>
      <w:iCs w:val="0"/>
      <w:u w:val="none"/>
      <w:strike w:val="0"/>
      <w:smallCaps w:val="0"/>
      <w:sz w:val="34"/>
      <w:szCs w:val="34"/>
      <w:rFonts w:ascii="Times New Roman" w:eastAsia="Times New Roman" w:hAnsi="Times New Roman" w:cs="Times New Roman"/>
    </w:rPr>
  </w:style>
  <w:style w:type="paragraph" w:customStyle="1" w:styleId="Style155">
    <w:name w:val="Подпись к картинке (4)"/>
    <w:basedOn w:val="Normal"/>
    <w:link w:val="CharStyle156"/>
    <w:pPr>
      <w:widowControl w:val="0"/>
      <w:shd w:val="clear" w:color="auto" w:fill="FFFFFF"/>
      <w:spacing w:line="0" w:lineRule="exact"/>
    </w:pPr>
    <w:rPr>
      <w:b w:val="0"/>
      <w:bCs w:val="0"/>
      <w:i/>
      <w:iCs/>
      <w:u w:val="none"/>
      <w:strike w:val="0"/>
      <w:smallCaps w:val="0"/>
      <w:sz w:val="17"/>
      <w:szCs w:val="17"/>
      <w:rFonts w:ascii="Segoe UI" w:eastAsia="Segoe UI" w:hAnsi="Segoe UI" w:cs="Segoe UI"/>
      <w:spacing w:val="0"/>
    </w:rPr>
  </w:style>
  <w:style w:type="paragraph" w:customStyle="1" w:styleId="Style157">
    <w:name w:val="Основной текст (19)"/>
    <w:basedOn w:val="Normal"/>
    <w:link w:val="CharStyle158"/>
    <w:pPr>
      <w:widowControl w:val="0"/>
      <w:shd w:val="clear" w:color="auto" w:fill="FFFFFF"/>
      <w:jc w:val="both"/>
      <w:spacing w:before="480" w:after="120" w:line="0" w:lineRule="exact"/>
    </w:pPr>
    <w:rPr>
      <w:lang w:val="en-US" w:eastAsia="en-US" w:bidi="en-US"/>
      <w:b w:val="0"/>
      <w:bCs w:val="0"/>
      <w:i w:val="0"/>
      <w:iCs w:val="0"/>
      <w:u w:val="none"/>
      <w:strike w:val="0"/>
      <w:smallCaps w:val="0"/>
      <w:sz w:val="56"/>
      <w:szCs w:val="56"/>
      <w:rFonts w:ascii="Times New Roman" w:eastAsia="Times New Roman" w:hAnsi="Times New Roman" w:cs="Times New Roman"/>
      <w:spacing w:val="-20"/>
    </w:rPr>
  </w:style>
  <w:style w:type="paragraph" w:customStyle="1" w:styleId="Style161">
    <w:name w:val="Основной текст (20)"/>
    <w:basedOn w:val="Normal"/>
    <w:link w:val="CharStyle162"/>
    <w:pPr>
      <w:widowControl w:val="0"/>
      <w:shd w:val="clear" w:color="auto" w:fill="FFFFFF"/>
      <w:jc w:val="both"/>
      <w:spacing w:before="120" w:after="480" w:line="0" w:lineRule="exact"/>
    </w:pPr>
    <w:rPr>
      <w:b w:val="0"/>
      <w:bCs w:val="0"/>
      <w:i w:val="0"/>
      <w:iCs w:val="0"/>
      <w:u w:val="none"/>
      <w:strike w:val="0"/>
      <w:smallCaps w:val="0"/>
      <w:sz w:val="56"/>
      <w:szCs w:val="56"/>
      <w:rFonts w:ascii="Times New Roman" w:eastAsia="Times New Roman" w:hAnsi="Times New Roman" w:cs="Times New Roman"/>
      <w:spacing w:val="-20"/>
    </w:rPr>
  </w:style>
  <w:style w:type="paragraph" w:customStyle="1" w:styleId="Style166">
    <w:name w:val="Основной текст (21)"/>
    <w:basedOn w:val="Normal"/>
    <w:link w:val="CharStyle167"/>
    <w:pPr>
      <w:widowControl w:val="0"/>
      <w:shd w:val="clear" w:color="auto" w:fill="FFFFFF"/>
      <w:jc w:val="both"/>
      <w:spacing w:before="480" w:after="660" w:line="0" w:lineRule="exact"/>
    </w:pPr>
    <w:rPr>
      <w:lang w:val="en-US" w:eastAsia="en-US" w:bidi="en-US"/>
      <w:b/>
      <w:bCs/>
      <w:i w:val="0"/>
      <w:iCs w:val="0"/>
      <w:u w:val="none"/>
      <w:strike w:val="0"/>
      <w:smallCaps w:val="0"/>
      <w:sz w:val="32"/>
      <w:szCs w:val="32"/>
      <w:rFonts w:ascii="Courier New" w:eastAsia="Courier New" w:hAnsi="Courier New" w:cs="Courier New"/>
      <w:spacing w:val="-30"/>
    </w:rPr>
  </w:style>
  <w:style w:type="paragraph" w:customStyle="1" w:styleId="Style182">
    <w:name w:val="Подпись к таблице (5)"/>
    <w:basedOn w:val="Normal"/>
    <w:link w:val="CharStyle186"/>
    <w:pPr>
      <w:widowControl w:val="0"/>
      <w:shd w:val="clear" w:color="auto" w:fill="FFFFFF"/>
      <w:jc w:val="both"/>
      <w:spacing w:line="192" w:lineRule="exact"/>
    </w:pPr>
    <w:rPr>
      <w:b w:val="0"/>
      <w:bCs w:val="0"/>
      <w:i w:val="0"/>
      <w:iCs w:val="0"/>
      <w:u w:val="none"/>
      <w:strike w:val="0"/>
      <w:smallCaps w:val="0"/>
      <w:sz w:val="16"/>
      <w:szCs w:val="16"/>
      <w:rFonts w:ascii="Times New Roman" w:eastAsia="Times New Roman" w:hAnsi="Times New Roman" w:cs="Times New Roman"/>
    </w:rPr>
  </w:style>
  <w:style w:type="paragraph" w:customStyle="1" w:styleId="Style184">
    <w:name w:val="Основной текст (22)"/>
    <w:basedOn w:val="Normal"/>
    <w:link w:val="CharStyle185"/>
    <w:pPr>
      <w:widowControl w:val="0"/>
      <w:shd w:val="clear" w:color="auto" w:fill="FFFFFF"/>
      <w:jc w:val="both"/>
      <w:spacing w:line="192" w:lineRule="exact"/>
    </w:pPr>
    <w:rPr>
      <w:lang w:val="en-US" w:eastAsia="en-US" w:bidi="en-US"/>
      <w:b/>
      <w:bCs/>
      <w:i/>
      <w:iCs/>
      <w:u w:val="none"/>
      <w:strike w:val="0"/>
      <w:smallCaps w:val="0"/>
      <w:sz w:val="15"/>
      <w:szCs w:val="15"/>
      <w:rFonts w:ascii="Times New Roman" w:eastAsia="Times New Roman" w:hAnsi="Times New Roman" w:cs="Times New Roman"/>
    </w:rPr>
  </w:style>
  <w:style w:type="paragraph" w:customStyle="1" w:styleId="Style188">
    <w:name w:val="Подпись к таблице (6)"/>
    <w:basedOn w:val="Normal"/>
    <w:link w:val="CharStyle189"/>
    <w:pPr>
      <w:widowControl w:val="0"/>
      <w:shd w:val="clear" w:color="auto" w:fill="FFFFFF"/>
      <w:spacing w:line="0" w:lineRule="exact"/>
    </w:pPr>
    <w:rPr>
      <w:lang w:val="en-US" w:eastAsia="en-US" w:bidi="en-US"/>
      <w:b/>
      <w:bCs/>
      <w:i/>
      <w:iCs/>
      <w:u w:val="none"/>
      <w:strike w:val="0"/>
      <w:smallCaps w:val="0"/>
      <w:sz w:val="15"/>
      <w:szCs w:val="15"/>
      <w:rFonts w:ascii="Times New Roman" w:eastAsia="Times New Roman" w:hAnsi="Times New Roman" w:cs="Times New Roman"/>
    </w:rPr>
  </w:style>
  <w:style w:type="paragraph" w:styleId="TOC_2">
    <w:name w:val="toc 2"/>
    <w:basedOn w:val="Normal"/>
    <w:link w:val="CharStyle18"/>
    <w:autoRedefine/>
    <w:pPr>
      <w:widowControl w:val="0"/>
      <w:shd w:val="clear" w:color="auto" w:fill="FFFFFF"/>
      <w:jc w:val="both"/>
      <w:spacing w:before="480" w:line="240" w:lineRule="exact"/>
    </w:pPr>
    <w:rPr>
      <w:b w:val="0"/>
      <w:bCs w:val="0"/>
      <w:i w:val="0"/>
      <w:iCs w:val="0"/>
      <w:u w:val="none"/>
      <w:strike w:val="0"/>
      <w:smallCaps w:val="0"/>
      <w:sz w:val="21"/>
      <w:szCs w:val="21"/>
      <w:rFonts w:ascii="Times New Roman" w:eastAsia="Times New Roman" w:hAnsi="Times New Roman" w:cs="Times New Roman"/>
    </w:rPr>
  </w:style>
  <w:style w:type="paragraph" w:styleId="TOC_3">
    <w:name w:val="toc 3"/>
    <w:basedOn w:val="Normal"/>
    <w:link w:val="CharStyle18"/>
    <w:autoRedefine/>
    <w:pPr>
      <w:widowControl w:val="0"/>
      <w:shd w:val="clear" w:color="auto" w:fill="FFFFFF"/>
      <w:jc w:val="both"/>
      <w:spacing w:before="480" w:line="240" w:lineRule="exact"/>
    </w:pPr>
    <w:rPr>
      <w:b w:val="0"/>
      <w:bCs w:val="0"/>
      <w:i w:val="0"/>
      <w:iCs w:val="0"/>
      <w:u w:val="none"/>
      <w:strike w:val="0"/>
      <w:smallCaps w:val="0"/>
      <w:sz w:val="21"/>
      <w:szCs w:val="21"/>
      <w:rFonts w:ascii="Times New Roman" w:eastAsia="Times New Roman" w:hAnsi="Times New Roman" w:cs="Times New Roman"/>
    </w:rPr>
  </w:style>
  <w:style w:type="paragraph" w:styleId="TOC_5">
    <w:name w:val="toc 5"/>
    <w:basedOn w:val="Normal"/>
    <w:link w:val="CharStyle20"/>
    <w:autoRedefine/>
    <w:pPr>
      <w:widowControl w:val="0"/>
      <w:shd w:val="clear" w:color="auto" w:fill="FFFFFF"/>
      <w:jc w:val="both"/>
      <w:spacing w:line="240" w:lineRule="exact"/>
    </w:pPr>
    <w:rPr>
      <w:b w:val="0"/>
      <w:bCs w:val="0"/>
      <w:i/>
      <w:iCs/>
      <w:u w:val="none"/>
      <w:strike w:val="0"/>
      <w:smallCaps w:val="0"/>
      <w:sz w:val="21"/>
      <w:szCs w:val="21"/>
      <w:rFonts w:ascii="Times New Roman" w:eastAsia="Times New Roman" w:hAnsi="Times New Roman" w:cs="Times New Roman"/>
      <w:spacing w:val="-10"/>
    </w:rPr>
  </w:style>
</w:styles>
</file>

<file path=word/_rels/document.xml.rels>&#65279;<?xml version="1.0" encoding="UTF-8" standalone="yes"?>
<Relationships xmlns="http://schemas.openxmlformats.org/package/2006/relationships"><Relationship Id="rId1" Type="http://schemas.openxmlformats.org/officeDocument/2006/relationships/footnotes" Target="footnotes.xml"/><Relationship Id="rId2" Type="http://schemas.openxmlformats.org/officeDocument/2006/relationships/styles" Target="styles.xml"/><Relationship Id="rId3" Type="http://schemas.openxmlformats.org/officeDocument/2006/relationships/numbering" Target="numbering.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1.jpeg" TargetMode="External"/><Relationship Id="rId7" Type="http://schemas.openxmlformats.org/officeDocument/2006/relationships/image" Target="media/image2.jpeg"/><Relationship Id="rId8" Type="http://schemas.openxmlformats.org/officeDocument/2006/relationships/image" Target="media/image2.jpeg" TargetMode="External"/><Relationship Id="rId9" Type="http://schemas.openxmlformats.org/officeDocument/2006/relationships/image" Target="media/image3.jpeg"/><Relationship Id="rId10" Type="http://schemas.openxmlformats.org/officeDocument/2006/relationships/image" Target="media/image3.jpeg" TargetMode="External"/><Relationship Id="rId11" Type="http://schemas.openxmlformats.org/officeDocument/2006/relationships/image" Target="media/image4.jpeg"/><Relationship Id="rId12" Type="http://schemas.openxmlformats.org/officeDocument/2006/relationships/image" Target="media/image4.jpeg" TargetMode="External"/><Relationship Id="rId13" Type="http://schemas.openxmlformats.org/officeDocument/2006/relationships/image" Target="media/image5.jpeg"/><Relationship Id="rId14" Type="http://schemas.openxmlformats.org/officeDocument/2006/relationships/image" Target="media/image5.jpeg" TargetMode="External"/><Relationship Id="rId15" Type="http://schemas.openxmlformats.org/officeDocument/2006/relationships/image" Target="media/image6.jpeg"/><Relationship Id="rId16" Type="http://schemas.openxmlformats.org/officeDocument/2006/relationships/image" Target="media/image6.jpeg" TargetMode="External"/><Relationship Id="rId17" Type="http://schemas.openxmlformats.org/officeDocument/2006/relationships/image" Target="media/image7.jpeg"/><Relationship Id="rId18" Type="http://schemas.openxmlformats.org/officeDocument/2006/relationships/image" Target="media/image7.jpeg" TargetMode="External"/><Relationship Id="rId19" Type="http://schemas.openxmlformats.org/officeDocument/2006/relationships/image" Target="media/image8.jpeg"/><Relationship Id="rId20" Type="http://schemas.openxmlformats.org/officeDocument/2006/relationships/image" Target="media/image8.jpeg" TargetMode="External"/><Relationship Id="rId21" Type="http://schemas.openxmlformats.org/officeDocument/2006/relationships/header" Target="header1.xml"/><Relationship Id="rId22" Type="http://schemas.openxmlformats.org/officeDocument/2006/relationships/header" Target="header2.xml"/><Relationship Id="rId23" Type="http://schemas.openxmlformats.org/officeDocument/2006/relationships/image" Target="media/image9.jpeg"/><Relationship Id="rId24" Type="http://schemas.openxmlformats.org/officeDocument/2006/relationships/image" Target="media/image9.jpeg" TargetMode="External"/><Relationship Id="rId25" Type="http://schemas.openxmlformats.org/officeDocument/2006/relationships/image" Target="media/image10.jpeg"/><Relationship Id="rId26" Type="http://schemas.openxmlformats.org/officeDocument/2006/relationships/image" Target="media/image10.jpeg" TargetMode="External"/><Relationship Id="rId27" Type="http://schemas.openxmlformats.org/officeDocument/2006/relationships/image" Target="media/image11.jpeg"/><Relationship Id="rId28" Type="http://schemas.openxmlformats.org/officeDocument/2006/relationships/image" Target="media/image11.jpeg" TargetMode="External"/><Relationship Id="rId29" Type="http://schemas.openxmlformats.org/officeDocument/2006/relationships/image" Target="media/image12.jpeg"/><Relationship Id="rId30" Type="http://schemas.openxmlformats.org/officeDocument/2006/relationships/image" Target="media/image12.jpeg" TargetMode="External"/><Relationship Id="rId31" Type="http://schemas.openxmlformats.org/officeDocument/2006/relationships/image" Target="media/image13.jpeg"/><Relationship Id="rId32" Type="http://schemas.openxmlformats.org/officeDocument/2006/relationships/image" Target="media/image13.jpeg" TargetMode="External"/><Relationship Id="rId33" Type="http://schemas.openxmlformats.org/officeDocument/2006/relationships/image" Target="media/image14.jpeg"/><Relationship Id="rId34" Type="http://schemas.openxmlformats.org/officeDocument/2006/relationships/image" Target="media/image14.jpeg" TargetMode="External"/><Relationship Id="rId35" Type="http://schemas.openxmlformats.org/officeDocument/2006/relationships/image" Target="media/image15.jpeg"/><Relationship Id="rId36" Type="http://schemas.openxmlformats.org/officeDocument/2006/relationships/image" Target="media/image15.jpeg" TargetMode="External"/><Relationship Id="rId37" Type="http://schemas.openxmlformats.org/officeDocument/2006/relationships/image" Target="media/image16.jpeg"/><Relationship Id="rId38" Type="http://schemas.openxmlformats.org/officeDocument/2006/relationships/image" Target="media/image16.jpeg" TargetMode="External"/><Relationship Id="rId39" Type="http://schemas.openxmlformats.org/officeDocument/2006/relationships/image" Target="media/image17.jpeg"/><Relationship Id="rId40" Type="http://schemas.openxmlformats.org/officeDocument/2006/relationships/image" Target="media/image17.jpeg" TargetMode="External"/><Relationship Id="rId41" Type="http://schemas.openxmlformats.org/officeDocument/2006/relationships/image" Target="media/image18.jpeg"/><Relationship Id="rId42" Type="http://schemas.openxmlformats.org/officeDocument/2006/relationships/image" Target="media/image18.jpeg" TargetMode="External"/><Relationship Id="rId43" Type="http://schemas.openxmlformats.org/officeDocument/2006/relationships/image" Target="media/image19.jpeg"/><Relationship Id="rId44" Type="http://schemas.openxmlformats.org/officeDocument/2006/relationships/image" Target="media/image19.jpeg" TargetMode="External"/><Relationship Id="rId45" Type="http://schemas.openxmlformats.org/officeDocument/2006/relationships/header" Target="header3.xml"/><Relationship Id="rId46" Type="http://schemas.openxmlformats.org/officeDocument/2006/relationships/header" Target="header4.xml"/><Relationship Id="rId47" Type="http://schemas.openxmlformats.org/officeDocument/2006/relationships/header" Target="header5.xml"/><Relationship Id="rId48" Type="http://schemas.openxmlformats.org/officeDocument/2006/relationships/image" Target="media/image20.jpeg"/><Relationship Id="rId49" Type="http://schemas.openxmlformats.org/officeDocument/2006/relationships/image" Target="media/image20.jpeg" TargetMode="External"/><Relationship Id="rId50" Type="http://schemas.openxmlformats.org/officeDocument/2006/relationships/image" Target="media/image21.jpeg"/><Relationship Id="rId51" Type="http://schemas.openxmlformats.org/officeDocument/2006/relationships/image" Target="media/image21.jpeg" TargetMode="External"/><Relationship Id="rId52" Type="http://schemas.openxmlformats.org/officeDocument/2006/relationships/image" Target="media/image22.jpeg"/><Relationship Id="rId53" Type="http://schemas.openxmlformats.org/officeDocument/2006/relationships/image" Target="media/image22.jpeg" TargetMode="External"/><Relationship Id="rId54" Type="http://schemas.openxmlformats.org/officeDocument/2006/relationships/image" Target="media/image23.jpeg"/><Relationship Id="rId55" Type="http://schemas.openxmlformats.org/officeDocument/2006/relationships/image" Target="media/image23.jpeg" TargetMode="External"/><Relationship Id="rId56" Type="http://schemas.openxmlformats.org/officeDocument/2006/relationships/image" Target="media/image24.jpeg"/><Relationship Id="rId57" Type="http://schemas.openxmlformats.org/officeDocument/2006/relationships/image" Target="media/image24.jpeg" TargetMode="External"/><Relationship Id="rId58" Type="http://schemas.openxmlformats.org/officeDocument/2006/relationships/image" Target="media/image25.jpeg"/><Relationship Id="rId59" Type="http://schemas.openxmlformats.org/officeDocument/2006/relationships/image" Target="media/image25.jpeg" TargetMode="External"/><Relationship Id="rId60" Type="http://schemas.openxmlformats.org/officeDocument/2006/relationships/image" Target="media/image26.jpeg"/><Relationship Id="rId61" Type="http://schemas.openxmlformats.org/officeDocument/2006/relationships/image" Target="media/image26.jpeg" TargetMode="External"/><Relationship Id="rId62" Type="http://schemas.openxmlformats.org/officeDocument/2006/relationships/image" Target="media/image27.jpeg"/><Relationship Id="rId63" Type="http://schemas.openxmlformats.org/officeDocument/2006/relationships/image" Target="media/image27.jpeg" TargetMode="External"/><Relationship Id="rId64" Type="http://schemas.openxmlformats.org/officeDocument/2006/relationships/image" Target="media/image28.jpeg"/><Relationship Id="rId65" Type="http://schemas.openxmlformats.org/officeDocument/2006/relationships/image" Target="media/image28.jpeg" TargetMode="External"/><Relationship Id="rId66" Type="http://schemas.openxmlformats.org/officeDocument/2006/relationships/image" Target="media/image29.jpeg"/><Relationship Id="rId67" Type="http://schemas.openxmlformats.org/officeDocument/2006/relationships/image" Target="media/image29.jpeg" TargetMode="External"/><Relationship Id="rId68" Type="http://schemas.openxmlformats.org/officeDocument/2006/relationships/image" Target="media/image30.jpeg"/><Relationship Id="rId69" Type="http://schemas.openxmlformats.org/officeDocument/2006/relationships/image" Target="media/image30.jpeg" TargetMode="External"/><Relationship Id="rId70" Type="http://schemas.openxmlformats.org/officeDocument/2006/relationships/image" Target="media/image31.jpeg"/><Relationship Id="rId71" Type="http://schemas.openxmlformats.org/officeDocument/2006/relationships/image" Target="media/image31.jpeg" TargetMode="External"/><Relationship Id="rId72" Type="http://schemas.openxmlformats.org/officeDocument/2006/relationships/image" Target="media/image32.jpeg"/><Relationship Id="rId73" Type="http://schemas.openxmlformats.org/officeDocument/2006/relationships/image" Target="media/image32.jpeg" TargetMode="External"/><Relationship Id="rId74" Type="http://schemas.openxmlformats.org/officeDocument/2006/relationships/header" Target="header6.xml"/><Relationship Id="rId75" Type="http://schemas.openxmlformats.org/officeDocument/2006/relationships/header" Target="header7.xml"/><Relationship Id="rId76" Type="http://schemas.openxmlformats.org/officeDocument/2006/relationships/header" Target="header8.xml"/><Relationship Id="rId77" Type="http://schemas.openxmlformats.org/officeDocument/2006/relationships/image" Target="media/image33.jpeg"/><Relationship Id="rId78" Type="http://schemas.openxmlformats.org/officeDocument/2006/relationships/image" Target="media/image33.jpeg" TargetMode="External"/><Relationship Id="rId79" Type="http://schemas.openxmlformats.org/officeDocument/2006/relationships/image" Target="media/image34.jpeg"/><Relationship Id="rId80" Type="http://schemas.openxmlformats.org/officeDocument/2006/relationships/image" Target="media/image34.jpeg" TargetMode="External"/><Relationship Id="rId81" Type="http://schemas.openxmlformats.org/officeDocument/2006/relationships/image" Target="media/image35.jpeg"/><Relationship Id="rId82" Type="http://schemas.openxmlformats.org/officeDocument/2006/relationships/image" Target="media/image35.jpeg" TargetMode="External"/><Relationship Id="rId83" Type="http://schemas.openxmlformats.org/officeDocument/2006/relationships/header" Target="header9.xml"/><Relationship Id="rId84" Type="http://schemas.openxmlformats.org/officeDocument/2006/relationships/header" Target="header10.xml"/><Relationship Id="rId85" Type="http://schemas.openxmlformats.org/officeDocument/2006/relationships/header" Target="header11.xml"/><Relationship Id="rId86" Type="http://schemas.openxmlformats.org/officeDocument/2006/relationships/image" Target="media/image36.jpeg"/><Relationship Id="rId87" Type="http://schemas.openxmlformats.org/officeDocument/2006/relationships/image" Target="media/image36.jpeg" TargetMode="External"/><Relationship Id="rId88" Type="http://schemas.openxmlformats.org/officeDocument/2006/relationships/image" Target="media/image37.jpeg"/><Relationship Id="rId89" Type="http://schemas.openxmlformats.org/officeDocument/2006/relationships/image" Target="media/image37.jpeg" TargetMode="External"/><Relationship Id="rId90" Type="http://schemas.openxmlformats.org/officeDocument/2006/relationships/image" Target="media/image38.jpeg"/><Relationship Id="rId91" Type="http://schemas.openxmlformats.org/officeDocument/2006/relationships/image" Target="media/image38.jpeg" TargetMode="External"/><Relationship Id="rId92" Type="http://schemas.openxmlformats.org/officeDocument/2006/relationships/image" Target="media/image39.jpeg"/><Relationship Id="rId93" Type="http://schemas.openxmlformats.org/officeDocument/2006/relationships/image" Target="media/image39.jpeg" TargetMode="External"/><Relationship Id="rId94" Type="http://schemas.openxmlformats.org/officeDocument/2006/relationships/image" Target="media/image40.jpeg"/><Relationship Id="rId95" Type="http://schemas.openxmlformats.org/officeDocument/2006/relationships/image" Target="media/image40.jpeg" TargetMode="External"/><Relationship Id="rId96" Type="http://schemas.openxmlformats.org/officeDocument/2006/relationships/image" Target="media/image41.jpeg"/><Relationship Id="rId97" Type="http://schemas.openxmlformats.org/officeDocument/2006/relationships/image" Target="media/image41.jpeg" TargetMode="External"/><Relationship Id="rId98" Type="http://schemas.openxmlformats.org/officeDocument/2006/relationships/image" Target="media/image42.jpeg"/><Relationship Id="rId99" Type="http://schemas.openxmlformats.org/officeDocument/2006/relationships/image" Target="media/image42.jpeg" TargetMode="External"/><Relationship Id="rId100" Type="http://schemas.openxmlformats.org/officeDocument/2006/relationships/image" Target="media/image43.jpeg"/><Relationship Id="rId101" Type="http://schemas.openxmlformats.org/officeDocument/2006/relationships/image" Target="media/image43.jpeg" TargetMode="External"/><Relationship Id="rId102" Type="http://schemas.openxmlformats.org/officeDocument/2006/relationships/image" Target="media/image44.jpeg"/><Relationship Id="rId103" Type="http://schemas.openxmlformats.org/officeDocument/2006/relationships/image" Target="media/image44.jpeg" TargetMode="External"/><Relationship Id="rId104" Type="http://schemas.openxmlformats.org/officeDocument/2006/relationships/image" Target="media/image45.jpeg"/><Relationship Id="rId105" Type="http://schemas.openxmlformats.org/officeDocument/2006/relationships/image" Target="media/image45.jpeg" TargetMode="External"/><Relationship Id="rId106" Type="http://schemas.openxmlformats.org/officeDocument/2006/relationships/image" Target="media/image46.jpeg"/><Relationship Id="rId107" Type="http://schemas.openxmlformats.org/officeDocument/2006/relationships/image" Target="media/image46.jpeg" TargetMode="External"/><Relationship Id="rId108" Type="http://schemas.openxmlformats.org/officeDocument/2006/relationships/image" Target="media/image47.jpeg"/><Relationship Id="rId109" Type="http://schemas.openxmlformats.org/officeDocument/2006/relationships/image" Target="media/image47.jpeg" TargetMode="External"/><Relationship Id="rId110" Type="http://schemas.openxmlformats.org/officeDocument/2006/relationships/image" Target="media/image48.jpeg"/><Relationship Id="rId111" Type="http://schemas.openxmlformats.org/officeDocument/2006/relationships/image" Target="media/image48.jpeg" TargetMode="External"/><Relationship Id="rId112" Type="http://schemas.openxmlformats.org/officeDocument/2006/relationships/image" Target="media/image49.jpeg"/><Relationship Id="rId113" Type="http://schemas.openxmlformats.org/officeDocument/2006/relationships/image" Target="media/image49.jpeg" TargetMode="External"/><Relationship Id="rId114" Type="http://schemas.openxmlformats.org/officeDocument/2006/relationships/image" Target="media/image50.jpeg"/><Relationship Id="rId115" Type="http://schemas.openxmlformats.org/officeDocument/2006/relationships/image" Target="media/image50.jpeg" TargetMode="External"/><Relationship Id="rId116" Type="http://schemas.openxmlformats.org/officeDocument/2006/relationships/image" Target="media/image51.jpeg"/><Relationship Id="rId117" Type="http://schemas.openxmlformats.org/officeDocument/2006/relationships/image" Target="media/image51.jpeg" TargetMode="External"/><Relationship Id="rId118" Type="http://schemas.openxmlformats.org/officeDocument/2006/relationships/image" Target="media/image52.jpeg"/><Relationship Id="rId119" Type="http://schemas.openxmlformats.org/officeDocument/2006/relationships/image" Target="media/image52.jpeg" TargetMode="External"/><Relationship Id="rId120" Type="http://schemas.openxmlformats.org/officeDocument/2006/relationships/image" Target="media/image53.jpeg"/><Relationship Id="rId121" Type="http://schemas.openxmlformats.org/officeDocument/2006/relationships/image" Target="media/image53.jpeg" TargetMode="External"/><Relationship Id="rId122" Type="http://schemas.openxmlformats.org/officeDocument/2006/relationships/image" Target="media/image54.jpeg"/><Relationship Id="rId123" Type="http://schemas.openxmlformats.org/officeDocument/2006/relationships/image" Target="media/image54.jpeg" TargetMode="External"/><Relationship Id="rId124" Type="http://schemas.openxmlformats.org/officeDocument/2006/relationships/image" Target="media/image55.jpeg"/><Relationship Id="rId125" Type="http://schemas.openxmlformats.org/officeDocument/2006/relationships/image" Target="media/image55.jpeg" TargetMode="External"/><Relationship Id="rId126" Type="http://schemas.openxmlformats.org/officeDocument/2006/relationships/image" Target="media/image56.jpeg"/><Relationship Id="rId127" Type="http://schemas.openxmlformats.org/officeDocument/2006/relationships/image" Target="media/image56.jpeg" TargetMode="External"/><Relationship Id="rId128" Type="http://schemas.openxmlformats.org/officeDocument/2006/relationships/image" Target="media/image57.jpeg"/><Relationship Id="rId129" Type="http://schemas.openxmlformats.org/officeDocument/2006/relationships/image" Target="media/image57.jpeg" TargetMode="External"/><Relationship Id="rId130" Type="http://schemas.openxmlformats.org/officeDocument/2006/relationships/image" Target="media/image58.jpeg"/><Relationship Id="rId131" Type="http://schemas.openxmlformats.org/officeDocument/2006/relationships/image" Target="media/image58.jpeg" TargetMode="External"/><Relationship Id="rId132" Type="http://schemas.openxmlformats.org/officeDocument/2006/relationships/image" Target="media/image59.jpeg"/><Relationship Id="rId133" Type="http://schemas.openxmlformats.org/officeDocument/2006/relationships/image" Target="media/image59.jpeg" TargetMode="External"/><Relationship Id="rId134" Type="http://schemas.openxmlformats.org/officeDocument/2006/relationships/image" Target="media/image60.jpeg"/><Relationship Id="rId135" Type="http://schemas.openxmlformats.org/officeDocument/2006/relationships/image" Target="media/image60.jpeg" TargetMode="External"/><Relationship Id="rId136" Type="http://schemas.openxmlformats.org/officeDocument/2006/relationships/image" Target="media/image61.jpeg"/><Relationship Id="rId137" Type="http://schemas.openxmlformats.org/officeDocument/2006/relationships/image" Target="media/image61.jpeg" TargetMode="External"/><Relationship Id="rId138" Type="http://schemas.openxmlformats.org/officeDocument/2006/relationships/image" Target="media/image62.jpeg"/><Relationship Id="rId139" Type="http://schemas.openxmlformats.org/officeDocument/2006/relationships/image" Target="media/image62.jpeg" TargetMode="External"/><Relationship Id="rId140" Type="http://schemas.openxmlformats.org/officeDocument/2006/relationships/image" Target="media/image63.jpeg"/><Relationship Id="rId141" Type="http://schemas.openxmlformats.org/officeDocument/2006/relationships/image" Target="media/image63.jpeg" TargetMode="External"/><Relationship Id="rId142" Type="http://schemas.openxmlformats.org/officeDocument/2006/relationships/image" Target="media/image64.jpeg"/><Relationship Id="rId143" Type="http://schemas.openxmlformats.org/officeDocument/2006/relationships/image" Target="media/image64.jpeg" TargetMode="External"/><Relationship Id="rId144" Type="http://schemas.openxmlformats.org/officeDocument/2006/relationships/image" Target="media/image65.jpeg"/><Relationship Id="rId145" Type="http://schemas.openxmlformats.org/officeDocument/2006/relationships/image" Target="media/image65.jpeg" TargetMode="External"/><Relationship Id="rId146" Type="http://schemas.openxmlformats.org/officeDocument/2006/relationships/header" Target="header12.xml"/><Relationship Id="rId147" Type="http://schemas.openxmlformats.org/officeDocument/2006/relationships/header" Target="header13.xml"/><Relationship Id="rId148" Type="http://schemas.openxmlformats.org/officeDocument/2006/relationships/image" Target="media/image66.jpeg"/><Relationship Id="rId149" Type="http://schemas.openxmlformats.org/officeDocument/2006/relationships/image" Target="media/image66.jpeg" TargetMode="External"/><Relationship Id="rId150" Type="http://schemas.openxmlformats.org/officeDocument/2006/relationships/image" Target="media/image67.jpeg"/><Relationship Id="rId151" Type="http://schemas.openxmlformats.org/officeDocument/2006/relationships/image" Target="media/image67.jpeg" TargetMode="External"/><Relationship Id="rId152" Type="http://schemas.openxmlformats.org/officeDocument/2006/relationships/image" Target="media/image68.jpeg"/><Relationship Id="rId153" Type="http://schemas.openxmlformats.org/officeDocument/2006/relationships/image" Target="media/image68.jpeg" TargetMode="External"/><Relationship Id="rId154" Type="http://schemas.openxmlformats.org/officeDocument/2006/relationships/image" Target="media/image69.jpeg"/><Relationship Id="rId155" Type="http://schemas.openxmlformats.org/officeDocument/2006/relationships/image" Target="media/image69.jpeg" TargetMode="External"/><Relationship Id="rId156" Type="http://schemas.openxmlformats.org/officeDocument/2006/relationships/image" Target="media/image70.jpeg"/><Relationship Id="rId157" Type="http://schemas.openxmlformats.org/officeDocument/2006/relationships/image" Target="media/image70.jpeg" TargetMode="External"/><Relationship Id="rId158" Type="http://schemas.openxmlformats.org/officeDocument/2006/relationships/image" Target="media/image71.jpeg"/><Relationship Id="rId159" Type="http://schemas.openxmlformats.org/officeDocument/2006/relationships/image" Target="media/image71.jpeg" TargetMode="External"/><Relationship Id="rId160" Type="http://schemas.openxmlformats.org/officeDocument/2006/relationships/image" Target="media/image72.jpeg"/><Relationship Id="rId161" Type="http://schemas.openxmlformats.org/officeDocument/2006/relationships/image" Target="media/image72.jpeg" TargetMode="External"/><Relationship Id="rId162" Type="http://schemas.openxmlformats.org/officeDocument/2006/relationships/image" Target="media/image73.jpeg"/><Relationship Id="rId163" Type="http://schemas.openxmlformats.org/officeDocument/2006/relationships/image" Target="media/image73.jpeg" TargetMode="External"/><Relationship Id="rId164" Type="http://schemas.openxmlformats.org/officeDocument/2006/relationships/image" Target="media/image74.jpeg"/><Relationship Id="rId165" Type="http://schemas.openxmlformats.org/officeDocument/2006/relationships/image" Target="media/image74.jpeg" TargetMode="External"/><Relationship Id="rId166" Type="http://schemas.openxmlformats.org/officeDocument/2006/relationships/image" Target="media/image75.jpeg"/><Relationship Id="rId167" Type="http://schemas.openxmlformats.org/officeDocument/2006/relationships/image" Target="media/image75.jpeg" TargetMode="External"/><Relationship Id="rId168" Type="http://schemas.openxmlformats.org/officeDocument/2006/relationships/image" Target="media/image76.jpeg"/><Relationship Id="rId169" Type="http://schemas.openxmlformats.org/officeDocument/2006/relationships/image" Target="media/image76.jpeg" TargetMode="External"/><Relationship Id="rId170" Type="http://schemas.openxmlformats.org/officeDocument/2006/relationships/image" Target="media/image77.jpeg"/><Relationship Id="rId171" Type="http://schemas.openxmlformats.org/officeDocument/2006/relationships/image" Target="media/image77.jpeg" TargetMode="External"/><Relationship Id="rId172" Type="http://schemas.openxmlformats.org/officeDocument/2006/relationships/image" Target="media/image78.jpeg"/><Relationship Id="rId173" Type="http://schemas.openxmlformats.org/officeDocument/2006/relationships/image" Target="media/image78.jpeg" TargetMode="External"/><Relationship Id="rId174" Type="http://schemas.openxmlformats.org/officeDocument/2006/relationships/image" Target="media/image79.jpeg"/><Relationship Id="rId175" Type="http://schemas.openxmlformats.org/officeDocument/2006/relationships/image" Target="media/image79.jpeg" TargetMode="External"/><Relationship Id="rId176" Type="http://schemas.openxmlformats.org/officeDocument/2006/relationships/image" Target="media/image80.jpeg"/><Relationship Id="rId177" Type="http://schemas.openxmlformats.org/officeDocument/2006/relationships/image" Target="media/image80.jpeg" TargetMode="External"/><Relationship Id="rId178" Type="http://schemas.openxmlformats.org/officeDocument/2006/relationships/header" Target="header14.xml"/><Relationship Id="rId179" Type="http://schemas.openxmlformats.org/officeDocument/2006/relationships/header" Target="header15.xml"/><Relationship Id="rId180" Type="http://schemas.openxmlformats.org/officeDocument/2006/relationships/header" Target="header16.xml"/><Relationship Id="rId181" Type="http://schemas.openxmlformats.org/officeDocument/2006/relationships/image" Target="media/image81.jpeg"/><Relationship Id="rId182" Type="http://schemas.openxmlformats.org/officeDocument/2006/relationships/image" Target="media/image81.jpeg" TargetMode="External"/><Relationship Id="rId183" Type="http://schemas.openxmlformats.org/officeDocument/2006/relationships/image" Target="media/image82.jpeg"/><Relationship Id="rId184" Type="http://schemas.openxmlformats.org/officeDocument/2006/relationships/image" Target="media/image82.jpeg" TargetMode="External"/><Relationship Id="rId185" Type="http://schemas.openxmlformats.org/officeDocument/2006/relationships/image" Target="media/image83.jpeg"/><Relationship Id="rId186" Type="http://schemas.openxmlformats.org/officeDocument/2006/relationships/image" Target="media/image83.jpeg" TargetMode="External"/><Relationship Id="rId187" Type="http://schemas.openxmlformats.org/officeDocument/2006/relationships/image" Target="media/image84.jpeg"/><Relationship Id="rId188" Type="http://schemas.openxmlformats.org/officeDocument/2006/relationships/image" Target="media/image84.jpeg" TargetMode="External"/><Relationship Id="rId189" Type="http://schemas.openxmlformats.org/officeDocument/2006/relationships/image" Target="media/image85.jpeg"/><Relationship Id="rId190" Type="http://schemas.openxmlformats.org/officeDocument/2006/relationships/image" Target="media/image85.jpeg" TargetMode="External"/><Relationship Id="rId191" Type="http://schemas.openxmlformats.org/officeDocument/2006/relationships/image" Target="media/image86.jpeg"/><Relationship Id="rId192" Type="http://schemas.openxmlformats.org/officeDocument/2006/relationships/image" Target="media/image86.jpeg" TargetMode="External"/><Relationship Id="rId193" Type="http://schemas.openxmlformats.org/officeDocument/2006/relationships/image" Target="media/image87.jpeg"/><Relationship Id="rId194" Type="http://schemas.openxmlformats.org/officeDocument/2006/relationships/image" Target="media/image87.jpeg" TargetMode="External"/><Relationship Id="rId195" Type="http://schemas.openxmlformats.org/officeDocument/2006/relationships/image" Target="media/image88.jpeg"/><Relationship Id="rId196" Type="http://schemas.openxmlformats.org/officeDocument/2006/relationships/image" Target="media/image88.jpeg" TargetMode="External"/><Relationship Id="rId197" Type="http://schemas.openxmlformats.org/officeDocument/2006/relationships/image" Target="media/image89.jpeg"/><Relationship Id="rId198" Type="http://schemas.openxmlformats.org/officeDocument/2006/relationships/image" Target="media/image89.jpeg" TargetMode="External"/><Relationship Id="rId199" Type="http://schemas.openxmlformats.org/officeDocument/2006/relationships/image" Target="media/image90.jpeg"/><Relationship Id="rId200" Type="http://schemas.openxmlformats.org/officeDocument/2006/relationships/image" Target="media/image90.jpeg" TargetMode="External"/><Relationship Id="rId201" Type="http://schemas.openxmlformats.org/officeDocument/2006/relationships/image" Target="media/image91.jpeg"/><Relationship Id="rId202" Type="http://schemas.openxmlformats.org/officeDocument/2006/relationships/image" Target="media/image91.jpeg" TargetMode="External"/><Relationship Id="rId203" Type="http://schemas.openxmlformats.org/officeDocument/2006/relationships/header" Target="header17.xml"/><Relationship Id="rId204" Type="http://schemas.openxmlformats.org/officeDocument/2006/relationships/header" Target="header18.xml"/><Relationship Id="rId205" Type="http://schemas.openxmlformats.org/officeDocument/2006/relationships/header" Target="header19.xml"/><Relationship Id="rId206" Type="http://schemas.openxmlformats.org/officeDocument/2006/relationships/image" Target="media/image92.jpeg"/><Relationship Id="rId207" Type="http://schemas.openxmlformats.org/officeDocument/2006/relationships/image" Target="media/image92.jpeg" TargetMode="External"/><Relationship Id="rId208" Type="http://schemas.openxmlformats.org/officeDocument/2006/relationships/image" Target="media/image93.jpeg"/><Relationship Id="rId209" Type="http://schemas.openxmlformats.org/officeDocument/2006/relationships/image" Target="media/image93.jpeg" TargetMode="External"/><Relationship Id="rId210" Type="http://schemas.openxmlformats.org/officeDocument/2006/relationships/image" Target="media/image94.jpeg"/><Relationship Id="rId211" Type="http://schemas.openxmlformats.org/officeDocument/2006/relationships/image" Target="media/image94.jpeg" TargetMode="External"/><Relationship Id="rId212" Type="http://schemas.openxmlformats.org/officeDocument/2006/relationships/image" Target="media/image95.jpeg"/><Relationship Id="rId213" Type="http://schemas.openxmlformats.org/officeDocument/2006/relationships/image" Target="media/image95.jpeg" TargetMode="External"/><Relationship Id="rId214" Type="http://schemas.openxmlformats.org/officeDocument/2006/relationships/image" Target="media/image96.jpeg"/><Relationship Id="rId215" Type="http://schemas.openxmlformats.org/officeDocument/2006/relationships/image" Target="media/image96.jpeg" TargetMode="External"/><Relationship Id="rId216" Type="http://schemas.openxmlformats.org/officeDocument/2006/relationships/image" Target="media/image97.jpeg"/><Relationship Id="rId217" Type="http://schemas.openxmlformats.org/officeDocument/2006/relationships/image" Target="media/image97.jpeg" TargetMode="External"/><Relationship Id="rId218" Type="http://schemas.openxmlformats.org/officeDocument/2006/relationships/image" Target="media/image98.jpeg"/><Relationship Id="rId219" Type="http://schemas.openxmlformats.org/officeDocument/2006/relationships/image" Target="media/image98.jpeg" TargetMode="External"/><Relationship Id="rId220" Type="http://schemas.openxmlformats.org/officeDocument/2006/relationships/image" Target="media/image99.jpeg"/><Relationship Id="rId221" Type="http://schemas.openxmlformats.org/officeDocument/2006/relationships/image" Target="media/image99.jpeg" TargetMode="External"/><Relationship Id="rId222" Type="http://schemas.openxmlformats.org/officeDocument/2006/relationships/image" Target="media/image100.jpeg"/><Relationship Id="rId223" Type="http://schemas.openxmlformats.org/officeDocument/2006/relationships/image" Target="media/image100.jpeg" TargetMode="External"/><Relationship Id="rId224" Type="http://schemas.openxmlformats.org/officeDocument/2006/relationships/image" Target="media/image101.jpeg"/><Relationship Id="rId225" Type="http://schemas.openxmlformats.org/officeDocument/2006/relationships/image" Target="media/image101.jpeg" TargetMode="External"/><Relationship Id="rId226" Type="http://schemas.openxmlformats.org/officeDocument/2006/relationships/image" Target="media/image102.jpeg"/><Relationship Id="rId227" Type="http://schemas.openxmlformats.org/officeDocument/2006/relationships/image" Target="media/image102.jpeg" TargetMode="External"/><Relationship Id="rId228" Type="http://schemas.openxmlformats.org/officeDocument/2006/relationships/image" Target="media/image103.jpeg"/><Relationship Id="rId229" Type="http://schemas.openxmlformats.org/officeDocument/2006/relationships/image" Target="media/image103.jpeg" TargetMode="External"/><Relationship Id="rId230" Type="http://schemas.openxmlformats.org/officeDocument/2006/relationships/image" Target="media/image104.jpeg"/><Relationship Id="rId231" Type="http://schemas.openxmlformats.org/officeDocument/2006/relationships/image" Target="media/image104.jpeg" TargetMode="External"/><Relationship Id="rId232" Type="http://schemas.openxmlformats.org/officeDocument/2006/relationships/image" Target="media/image105.jpeg"/><Relationship Id="rId233" Type="http://schemas.openxmlformats.org/officeDocument/2006/relationships/image" Target="media/image105.jpeg" TargetMode="External"/><Relationship Id="rId234" Type="http://schemas.openxmlformats.org/officeDocument/2006/relationships/image" Target="media/image106.jpeg"/><Relationship Id="rId235" Type="http://schemas.openxmlformats.org/officeDocument/2006/relationships/image" Target="media/image106.jpeg" TargetMode="External"/><Relationship Id="rId236" Type="http://schemas.openxmlformats.org/officeDocument/2006/relationships/image" Target="media/image107.jpeg"/><Relationship Id="rId237" Type="http://schemas.openxmlformats.org/officeDocument/2006/relationships/image" Target="media/image107.jpeg" TargetMode="External"/><Relationship Id="rId238" Type="http://schemas.openxmlformats.org/officeDocument/2006/relationships/image" Target="media/image108.jpeg"/><Relationship Id="rId239" Type="http://schemas.openxmlformats.org/officeDocument/2006/relationships/image" Target="media/image108.jpeg" TargetMode="External"/><Relationship Id="rId240" Type="http://schemas.openxmlformats.org/officeDocument/2006/relationships/image" Target="media/image109.jpeg"/><Relationship Id="rId241" Type="http://schemas.openxmlformats.org/officeDocument/2006/relationships/image" Target="media/image109.jpeg" TargetMode="External"/><Relationship Id="rId242" Type="http://schemas.openxmlformats.org/officeDocument/2006/relationships/image" Target="media/image110.jpeg"/><Relationship Id="rId243" Type="http://schemas.openxmlformats.org/officeDocument/2006/relationships/image" Target="media/image110.jpeg" TargetMode="External"/><Relationship Id="rId244" Type="http://schemas.openxmlformats.org/officeDocument/2006/relationships/image" Target="media/image111.jpeg"/><Relationship Id="rId245" Type="http://schemas.openxmlformats.org/officeDocument/2006/relationships/image" Target="media/image111.jpeg" TargetMode="External"/><Relationship Id="rId246" Type="http://schemas.openxmlformats.org/officeDocument/2006/relationships/image" Target="media/image112.jpeg"/><Relationship Id="rId247" Type="http://schemas.openxmlformats.org/officeDocument/2006/relationships/image" Target="media/image112.jpeg" TargetMode="External"/><Relationship Id="rId248" Type="http://schemas.openxmlformats.org/officeDocument/2006/relationships/image" Target="media/image113.jpeg"/><Relationship Id="rId249" Type="http://schemas.openxmlformats.org/officeDocument/2006/relationships/image" Target="media/image113.jpeg" TargetMode="External"/><Relationship Id="rId250" Type="http://schemas.openxmlformats.org/officeDocument/2006/relationships/image" Target="media/image114.jpeg"/><Relationship Id="rId251" Type="http://schemas.openxmlformats.org/officeDocument/2006/relationships/image" Target="media/image114.jpeg" TargetMode="External"/><Relationship Id="rId252" Type="http://schemas.openxmlformats.org/officeDocument/2006/relationships/image" Target="media/image115.jpeg"/><Relationship Id="rId253" Type="http://schemas.openxmlformats.org/officeDocument/2006/relationships/image" Target="media/image115.jpeg" TargetMode="External"/><Relationship Id="rId254" Type="http://schemas.openxmlformats.org/officeDocument/2006/relationships/image" Target="media/image116.jpeg"/><Relationship Id="rId255" Type="http://schemas.openxmlformats.org/officeDocument/2006/relationships/image" Target="media/image116.jpeg" TargetMode="External"/><Relationship Id="rId256" Type="http://schemas.openxmlformats.org/officeDocument/2006/relationships/image" Target="media/image117.jpeg"/><Relationship Id="rId257" Type="http://schemas.openxmlformats.org/officeDocument/2006/relationships/image" Target="media/image117.jpeg" TargetMode="External"/><Relationship Id="rId258" Type="http://schemas.openxmlformats.org/officeDocument/2006/relationships/image" Target="media/image118.jpeg"/><Relationship Id="rId259" Type="http://schemas.openxmlformats.org/officeDocument/2006/relationships/image" Target="media/image118.jpeg" TargetMode="External"/><Relationship Id="rId260" Type="http://schemas.openxmlformats.org/officeDocument/2006/relationships/image" Target="media/image119.jpeg"/><Relationship Id="rId261" Type="http://schemas.openxmlformats.org/officeDocument/2006/relationships/image" Target="media/image119.jpeg" TargetMode="External"/><Relationship Id="rId262" Type="http://schemas.openxmlformats.org/officeDocument/2006/relationships/image" Target="media/image120.jpeg"/><Relationship Id="rId263" Type="http://schemas.openxmlformats.org/officeDocument/2006/relationships/image" Target="media/image120.jpeg" TargetMode="External"/><Relationship Id="rId264" Type="http://schemas.openxmlformats.org/officeDocument/2006/relationships/image" Target="media/image121.jpeg"/><Relationship Id="rId265" Type="http://schemas.openxmlformats.org/officeDocument/2006/relationships/image" Target="media/image121.jpeg" TargetMode="External"/><Relationship Id="rId266" Type="http://schemas.openxmlformats.org/officeDocument/2006/relationships/image" Target="media/image122.jpeg"/><Relationship Id="rId267" Type="http://schemas.openxmlformats.org/officeDocument/2006/relationships/image" Target="media/image122.jpeg" TargetMode="External"/><Relationship Id="rId268" Type="http://schemas.openxmlformats.org/officeDocument/2006/relationships/image" Target="media/image123.jpeg"/><Relationship Id="rId269" Type="http://schemas.openxmlformats.org/officeDocument/2006/relationships/image" Target="media/image123.jpeg" TargetMode="External"/><Relationship Id="rId270" Type="http://schemas.openxmlformats.org/officeDocument/2006/relationships/image" Target="media/image124.jpeg"/><Relationship Id="rId271" Type="http://schemas.openxmlformats.org/officeDocument/2006/relationships/image" Target="media/image124.jpeg" TargetMode="External"/><Relationship Id="rId272" Type="http://schemas.openxmlformats.org/officeDocument/2006/relationships/image" Target="media/image125.jpeg"/><Relationship Id="rId273" Type="http://schemas.openxmlformats.org/officeDocument/2006/relationships/image" Target="media/image125.jpeg" TargetMode="External"/><Relationship Id="rId274" Type="http://schemas.openxmlformats.org/officeDocument/2006/relationships/image" Target="media/image126.jpeg"/><Relationship Id="rId275" Type="http://schemas.openxmlformats.org/officeDocument/2006/relationships/image" Target="media/image126.jpeg" TargetMode="External"/><Relationship Id="rId276" Type="http://schemas.openxmlformats.org/officeDocument/2006/relationships/image" Target="media/image127.jpeg"/><Relationship Id="rId277" Type="http://schemas.openxmlformats.org/officeDocument/2006/relationships/image" Target="media/image127.jpeg" TargetMode="External"/><Relationship Id="rId278" Type="http://schemas.openxmlformats.org/officeDocument/2006/relationships/image" Target="media/image128.jpeg"/><Relationship Id="rId279" Type="http://schemas.openxmlformats.org/officeDocument/2006/relationships/image" Target="media/image128.jpeg" TargetMode="External"/><Relationship Id="rId280" Type="http://schemas.openxmlformats.org/officeDocument/2006/relationships/image" Target="media/image129.jpeg"/><Relationship Id="rId281" Type="http://schemas.openxmlformats.org/officeDocument/2006/relationships/image" Target="media/image129.jpeg" TargetMode="External"/><Relationship Id="rId282" Type="http://schemas.openxmlformats.org/officeDocument/2006/relationships/image" Target="media/image130.jpeg"/><Relationship Id="rId283" Type="http://schemas.openxmlformats.org/officeDocument/2006/relationships/image" Target="media/image130.jpeg" TargetMode="External"/><Relationship Id="rId284" Type="http://schemas.openxmlformats.org/officeDocument/2006/relationships/image" Target="media/image131.jpeg"/><Relationship Id="rId285" Type="http://schemas.openxmlformats.org/officeDocument/2006/relationships/image" Target="media/image131.jpeg" TargetMode="External"/><Relationship Id="rId286" Type="http://schemas.openxmlformats.org/officeDocument/2006/relationships/image" Target="media/image132.jpeg"/><Relationship Id="rId287" Type="http://schemas.openxmlformats.org/officeDocument/2006/relationships/image" Target="media/image132.jpeg" TargetMode="External"/><Relationship Id="rId288" Type="http://schemas.openxmlformats.org/officeDocument/2006/relationships/image" Target="media/image133.jpeg"/><Relationship Id="rId289" Type="http://schemas.openxmlformats.org/officeDocument/2006/relationships/image" Target="media/image133.jpeg" TargetMode="External"/><Relationship Id="rId290" Type="http://schemas.openxmlformats.org/officeDocument/2006/relationships/image" Target="media/image134.jpeg"/><Relationship Id="rId291" Type="http://schemas.openxmlformats.org/officeDocument/2006/relationships/image" Target="media/image134.jpeg" TargetMode="External"/><Relationship Id="rId292" Type="http://schemas.openxmlformats.org/officeDocument/2006/relationships/image" Target="media/image135.jpeg"/><Relationship Id="rId293" Type="http://schemas.openxmlformats.org/officeDocument/2006/relationships/image" Target="media/image135.jpeg" TargetMode="External"/><Relationship Id="rId294" Type="http://schemas.openxmlformats.org/officeDocument/2006/relationships/image" Target="media/image136.jpeg"/><Relationship Id="rId295" Type="http://schemas.openxmlformats.org/officeDocument/2006/relationships/image" Target="media/image136.jpeg" TargetMode="External"/><Relationship Id="rId296" Type="http://schemas.openxmlformats.org/officeDocument/2006/relationships/image" Target="media/image137.jpeg"/><Relationship Id="rId297" Type="http://schemas.openxmlformats.org/officeDocument/2006/relationships/image" Target="media/image137.jpeg" TargetMode="External"/><Relationship Id="rId298" Type="http://schemas.openxmlformats.org/officeDocument/2006/relationships/image" Target="media/image138.jpeg"/><Relationship Id="rId299" Type="http://schemas.openxmlformats.org/officeDocument/2006/relationships/image" Target="media/image138.jpeg" TargetMode="External"/><Relationship Id="rId300" Type="http://schemas.openxmlformats.org/officeDocument/2006/relationships/image" Target="media/image139.jpeg"/><Relationship Id="rId301" Type="http://schemas.openxmlformats.org/officeDocument/2006/relationships/image" Target="media/image139.jpeg" TargetMode="External"/><Relationship Id="rId302" Type="http://schemas.openxmlformats.org/officeDocument/2006/relationships/image" Target="media/image140.jpeg"/><Relationship Id="rId303" Type="http://schemas.openxmlformats.org/officeDocument/2006/relationships/image" Target="media/image140.jpeg" TargetMode="External"/><Relationship Id="rId304" Type="http://schemas.openxmlformats.org/officeDocument/2006/relationships/image" Target="media/image141.jpeg"/><Relationship Id="rId305" Type="http://schemas.openxmlformats.org/officeDocument/2006/relationships/image" Target="media/image141.jpeg" TargetMode="External"/><Relationship Id="rId306" Type="http://schemas.openxmlformats.org/officeDocument/2006/relationships/image" Target="media/image142.jpeg"/><Relationship Id="rId307" Type="http://schemas.openxmlformats.org/officeDocument/2006/relationships/image" Target="media/image142.jpeg" TargetMode="External"/><Relationship Id="rId308" Type="http://schemas.openxmlformats.org/officeDocument/2006/relationships/image" Target="media/image143.jpeg"/><Relationship Id="rId309" Type="http://schemas.openxmlformats.org/officeDocument/2006/relationships/image" Target="media/image143.jpeg" TargetMode="External"/><Relationship Id="rId310" Type="http://schemas.openxmlformats.org/officeDocument/2006/relationships/image" Target="media/image144.jpeg"/><Relationship Id="rId311" Type="http://schemas.openxmlformats.org/officeDocument/2006/relationships/image" Target="media/image144.jpeg" TargetMode="External"/><Relationship Id="rId312" Type="http://schemas.openxmlformats.org/officeDocument/2006/relationships/image" Target="media/image145.jpeg"/><Relationship Id="rId313" Type="http://schemas.openxmlformats.org/officeDocument/2006/relationships/image" Target="media/image145.jpeg" TargetMode="External"/><Relationship Id="rId314" Type="http://schemas.openxmlformats.org/officeDocument/2006/relationships/image" Target="media/image146.jpeg"/><Relationship Id="rId315" Type="http://schemas.openxmlformats.org/officeDocument/2006/relationships/image" Target="media/image146.jpeg" TargetMode="External"/><Relationship Id="rId316" Type="http://schemas.openxmlformats.org/officeDocument/2006/relationships/image" Target="media/image147.jpeg"/><Relationship Id="rId317" Type="http://schemas.openxmlformats.org/officeDocument/2006/relationships/image" Target="media/image147.jpeg" TargetMode="External"/><Relationship Id="rId318" Type="http://schemas.openxmlformats.org/officeDocument/2006/relationships/image" Target="media/image148.jpeg"/><Relationship Id="rId319" Type="http://schemas.openxmlformats.org/officeDocument/2006/relationships/image" Target="media/image148.jpeg" TargetMode="External"/><Relationship Id="rId320" Type="http://schemas.openxmlformats.org/officeDocument/2006/relationships/image" Target="media/image149.jpeg"/><Relationship Id="rId321" Type="http://schemas.openxmlformats.org/officeDocument/2006/relationships/image" Target="media/image149.jpeg" TargetMode="External"/><Relationship Id="rId322" Type="http://schemas.openxmlformats.org/officeDocument/2006/relationships/image" Target="media/image150.jpeg"/><Relationship Id="rId323" Type="http://schemas.openxmlformats.org/officeDocument/2006/relationships/image" Target="media/image150.jpeg" TargetMode="External"/><Relationship Id="rId324" Type="http://schemas.openxmlformats.org/officeDocument/2006/relationships/image" Target="media/image151.jpeg"/><Relationship Id="rId325" Type="http://schemas.openxmlformats.org/officeDocument/2006/relationships/image" Target="media/image151.jpeg" TargetMode="External"/><Relationship Id="rId326" Type="http://schemas.openxmlformats.org/officeDocument/2006/relationships/image" Target="media/image152.jpeg"/><Relationship Id="rId327" Type="http://schemas.openxmlformats.org/officeDocument/2006/relationships/image" Target="media/image152.jpeg" TargetMode="External"/><Relationship Id="rId328" Type="http://schemas.openxmlformats.org/officeDocument/2006/relationships/image" Target="media/image153.jpeg"/><Relationship Id="rId329" Type="http://schemas.openxmlformats.org/officeDocument/2006/relationships/image" Target="media/image153.jpeg" TargetMode="External"/><Relationship Id="rId330" Type="http://schemas.openxmlformats.org/officeDocument/2006/relationships/image" Target="media/image154.jpeg"/><Relationship Id="rId331" Type="http://schemas.openxmlformats.org/officeDocument/2006/relationships/image" Target="media/image154.jpeg" TargetMode="External"/><Relationship Id="rId332" Type="http://schemas.openxmlformats.org/officeDocument/2006/relationships/header" Target="header20.xml"/><Relationship Id="rId333" Type="http://schemas.openxmlformats.org/officeDocument/2006/relationships/header" Target="header21.xml"/><Relationship Id="rId334" Type="http://schemas.openxmlformats.org/officeDocument/2006/relationships/image" Target="media/image155.jpeg"/><Relationship Id="rId335" Type="http://schemas.openxmlformats.org/officeDocument/2006/relationships/image" Target="media/image155.jpeg" TargetMode="External"/><Relationship Id="rId336" Type="http://schemas.openxmlformats.org/officeDocument/2006/relationships/image" Target="media/image156.jpeg"/><Relationship Id="rId337" Type="http://schemas.openxmlformats.org/officeDocument/2006/relationships/image" Target="media/image156.jpeg" TargetMode="External"/><Relationship Id="rId338" Type="http://schemas.openxmlformats.org/officeDocument/2006/relationships/image" Target="media/image157.jpeg"/><Relationship Id="rId339" Type="http://schemas.openxmlformats.org/officeDocument/2006/relationships/image" Target="media/image157.jpeg" TargetMode="External"/><Relationship Id="rId340" Type="http://schemas.openxmlformats.org/officeDocument/2006/relationships/image" Target="media/image158.jpeg"/><Relationship Id="rId341" Type="http://schemas.openxmlformats.org/officeDocument/2006/relationships/image" Target="media/image158.jpeg" TargetMode="External"/><Relationship Id="rId342" Type="http://schemas.openxmlformats.org/officeDocument/2006/relationships/image" Target="media/image159.jpeg"/><Relationship Id="rId343" Type="http://schemas.openxmlformats.org/officeDocument/2006/relationships/image" Target="media/image159.jpeg" TargetMode="External"/><Relationship Id="rId344" Type="http://schemas.openxmlformats.org/officeDocument/2006/relationships/image" Target="media/image160.jpeg"/><Relationship Id="rId345" Type="http://schemas.openxmlformats.org/officeDocument/2006/relationships/image" Target="media/image160.jpeg" TargetMode="External"/><Relationship Id="rId346" Type="http://schemas.openxmlformats.org/officeDocument/2006/relationships/image" Target="media/image161.jpeg"/><Relationship Id="rId347" Type="http://schemas.openxmlformats.org/officeDocument/2006/relationships/image" Target="media/image161.jpeg" TargetMode="External"/><Relationship Id="rId348" Type="http://schemas.openxmlformats.org/officeDocument/2006/relationships/image" Target="media/image162.jpeg"/><Relationship Id="rId349" Type="http://schemas.openxmlformats.org/officeDocument/2006/relationships/image" Target="media/image162.jpeg" TargetMode="External"/><Relationship Id="rId350" Type="http://schemas.openxmlformats.org/officeDocument/2006/relationships/header" Target="header22.xml"/><Relationship Id="rId351" Type="http://schemas.openxmlformats.org/officeDocument/2006/relationships/header" Target="header23.xml"/><Relationship Id="rId352" Type="http://schemas.openxmlformats.org/officeDocument/2006/relationships/header" Target="header24.xml"/><Relationship Id="rId353" Type="http://schemas.openxmlformats.org/officeDocument/2006/relationships/image" Target="media/image163.jpeg"/><Relationship Id="rId354" Type="http://schemas.openxmlformats.org/officeDocument/2006/relationships/image" Target="media/image163.jpeg" TargetMode="External"/><Relationship Id="rId355" Type="http://schemas.openxmlformats.org/officeDocument/2006/relationships/image" Target="media/image164.jpeg"/><Relationship Id="rId356" Type="http://schemas.openxmlformats.org/officeDocument/2006/relationships/image" Target="media/image164.jpeg" TargetMode="External"/><Relationship Id="rId357" Type="http://schemas.openxmlformats.org/officeDocument/2006/relationships/image" Target="media/image165.jpeg"/><Relationship Id="rId358" Type="http://schemas.openxmlformats.org/officeDocument/2006/relationships/image" Target="media/image165.jpeg" TargetMode="External"/><Relationship Id="rId359" Type="http://schemas.openxmlformats.org/officeDocument/2006/relationships/image" Target="media/image166.jpeg"/><Relationship Id="rId360" Type="http://schemas.openxmlformats.org/officeDocument/2006/relationships/image" Target="media/image166.jpeg" TargetMode="External"/><Relationship Id="rId361" Type="http://schemas.openxmlformats.org/officeDocument/2006/relationships/image" Target="media/image167.jpeg"/><Relationship Id="rId362" Type="http://schemas.openxmlformats.org/officeDocument/2006/relationships/image" Target="media/image167.jpeg" TargetMode="External"/><Relationship Id="rId363" Type="http://schemas.openxmlformats.org/officeDocument/2006/relationships/image" Target="media/image168.jpeg"/><Relationship Id="rId364" Type="http://schemas.openxmlformats.org/officeDocument/2006/relationships/image" Target="media/image168.jpeg" TargetMode="External"/><Relationship Id="rId365" Type="http://schemas.openxmlformats.org/officeDocument/2006/relationships/image" Target="media/image169.jpeg"/><Relationship Id="rId366" Type="http://schemas.openxmlformats.org/officeDocument/2006/relationships/image" Target="media/image169.jpeg" TargetMode="External"/><Relationship Id="rId367" Type="http://schemas.openxmlformats.org/officeDocument/2006/relationships/image" Target="media/image170.jpeg"/><Relationship Id="rId368" Type="http://schemas.openxmlformats.org/officeDocument/2006/relationships/image" Target="media/image170.jpeg" TargetMode="External"/><Relationship Id="rId369" Type="http://schemas.openxmlformats.org/officeDocument/2006/relationships/image" Target="media/image171.jpeg"/><Relationship Id="rId370" Type="http://schemas.openxmlformats.org/officeDocument/2006/relationships/image" Target="media/image171.jpeg" TargetMode="External"/><Relationship Id="rId371" Type="http://schemas.openxmlformats.org/officeDocument/2006/relationships/image" Target="media/image172.jpeg"/><Relationship Id="rId372" Type="http://schemas.openxmlformats.org/officeDocument/2006/relationships/image" Target="media/image172.jpeg" TargetMode="External"/><Relationship Id="rId373" Type="http://schemas.openxmlformats.org/officeDocument/2006/relationships/image" Target="media/image173.jpeg"/><Relationship Id="rId374" Type="http://schemas.openxmlformats.org/officeDocument/2006/relationships/image" Target="media/image173.jpeg" TargetMode="External"/><Relationship Id="rId375" Type="http://schemas.openxmlformats.org/officeDocument/2006/relationships/image" Target="media/image174.jpeg"/><Relationship Id="rId376" Type="http://schemas.openxmlformats.org/officeDocument/2006/relationships/image" Target="media/image174.jpeg" TargetMode="External"/><Relationship Id="rId377" Type="http://schemas.openxmlformats.org/officeDocument/2006/relationships/image" Target="media/image175.jpeg"/><Relationship Id="rId378" Type="http://schemas.openxmlformats.org/officeDocument/2006/relationships/image" Target="media/image175.jpeg" TargetMode="External"/><Relationship Id="rId379" Type="http://schemas.openxmlformats.org/officeDocument/2006/relationships/image" Target="media/image176.jpeg"/><Relationship Id="rId380" Type="http://schemas.openxmlformats.org/officeDocument/2006/relationships/image" Target="media/image176.jpeg" TargetMode="External"/><Relationship Id="rId381" Type="http://schemas.openxmlformats.org/officeDocument/2006/relationships/image" Target="media/image177.jpeg"/><Relationship Id="rId382" Type="http://schemas.openxmlformats.org/officeDocument/2006/relationships/image" Target="media/image177.jpeg" TargetMode="External"/><Relationship Id="rId383" Type="http://schemas.openxmlformats.org/officeDocument/2006/relationships/image" Target="media/image178.jpeg"/><Relationship Id="rId384" Type="http://schemas.openxmlformats.org/officeDocument/2006/relationships/image" Target="media/image178.jpeg" TargetMode="External"/><Relationship Id="rId385" Type="http://schemas.openxmlformats.org/officeDocument/2006/relationships/image" Target="media/image179.jpeg"/><Relationship Id="rId386" Type="http://schemas.openxmlformats.org/officeDocument/2006/relationships/image" Target="media/image179.jpeg" TargetMode="External"/><Relationship Id="rId387" Type="http://schemas.openxmlformats.org/officeDocument/2006/relationships/image" Target="media/image180.jpeg"/><Relationship Id="rId388" Type="http://schemas.openxmlformats.org/officeDocument/2006/relationships/image" Target="media/image180.jpeg" TargetMode="External"/><Relationship Id="rId389" Type="http://schemas.openxmlformats.org/officeDocument/2006/relationships/image" Target="media/image181.jpeg"/><Relationship Id="rId390" Type="http://schemas.openxmlformats.org/officeDocument/2006/relationships/image" Target="media/image181.jpeg" TargetMode="External"/><Relationship Id="rId391" Type="http://schemas.openxmlformats.org/officeDocument/2006/relationships/image" Target="media/image182.jpeg"/><Relationship Id="rId392" Type="http://schemas.openxmlformats.org/officeDocument/2006/relationships/image" Target="media/image182.jpeg" TargetMode="External"/><Relationship Id="rId393" Type="http://schemas.openxmlformats.org/officeDocument/2006/relationships/image" Target="media/image183.jpeg"/><Relationship Id="rId394" Type="http://schemas.openxmlformats.org/officeDocument/2006/relationships/image" Target="media/image183.jpeg" TargetMode="External"/><Relationship Id="rId395" Type="http://schemas.openxmlformats.org/officeDocument/2006/relationships/image" Target="media/image184.jpeg"/><Relationship Id="rId396" Type="http://schemas.openxmlformats.org/officeDocument/2006/relationships/image" Target="media/image184.jpeg" TargetMode="External"/><Relationship Id="rId397" Type="http://schemas.openxmlformats.org/officeDocument/2006/relationships/image" Target="media/image185.jpeg"/><Relationship Id="rId398" Type="http://schemas.openxmlformats.org/officeDocument/2006/relationships/image" Target="media/image185.jpeg" TargetMode="External"/><Relationship Id="rId399" Type="http://schemas.openxmlformats.org/officeDocument/2006/relationships/image" Target="media/image186.jpeg"/><Relationship Id="rId400" Type="http://schemas.openxmlformats.org/officeDocument/2006/relationships/image" Target="media/image186.jpeg" TargetMode="External"/><Relationship Id="rId401" Type="http://schemas.openxmlformats.org/officeDocument/2006/relationships/image" Target="media/image187.jpeg"/><Relationship Id="rId402" Type="http://schemas.openxmlformats.org/officeDocument/2006/relationships/image" Target="media/image187.jpeg" TargetMode="External"/><Relationship Id="rId403" Type="http://schemas.openxmlformats.org/officeDocument/2006/relationships/image" Target="media/image188.jpeg"/><Relationship Id="rId404" Type="http://schemas.openxmlformats.org/officeDocument/2006/relationships/image" Target="media/image188.jpeg" TargetMode="External"/><Relationship Id="rId405" Type="http://schemas.openxmlformats.org/officeDocument/2006/relationships/image" Target="media/image189.jpeg"/><Relationship Id="rId406" Type="http://schemas.openxmlformats.org/officeDocument/2006/relationships/image" Target="media/image189.jpeg" TargetMode="External"/><Relationship Id="rId407" Type="http://schemas.openxmlformats.org/officeDocument/2006/relationships/image" Target="media/image190.jpeg"/><Relationship Id="rId408" Type="http://schemas.openxmlformats.org/officeDocument/2006/relationships/image" Target="media/image190.jpeg" TargetMode="External"/><Relationship Id="rId409" Type="http://schemas.openxmlformats.org/officeDocument/2006/relationships/image" Target="media/image191.jpeg"/><Relationship Id="rId410" Type="http://schemas.openxmlformats.org/officeDocument/2006/relationships/image" Target="media/image191.jpeg" TargetMode="External"/><Relationship Id="rId411" Type="http://schemas.openxmlformats.org/officeDocument/2006/relationships/image" Target="media/image192.jpeg"/><Relationship Id="rId412" Type="http://schemas.openxmlformats.org/officeDocument/2006/relationships/image" Target="media/image192.jpeg" TargetMode="External"/><Relationship Id="rId413" Type="http://schemas.openxmlformats.org/officeDocument/2006/relationships/image" Target="media/image193.jpeg"/><Relationship Id="rId414" Type="http://schemas.openxmlformats.org/officeDocument/2006/relationships/image" Target="media/image193.jpeg" TargetMode="External"/><Relationship Id="rId415" Type="http://schemas.openxmlformats.org/officeDocument/2006/relationships/image" Target="media/image194.jpeg"/><Relationship Id="rId416" Type="http://schemas.openxmlformats.org/officeDocument/2006/relationships/image" Target="media/image194.jpeg" TargetMode="External"/><Relationship Id="rId417" Type="http://schemas.openxmlformats.org/officeDocument/2006/relationships/image" Target="media/image195.jpeg"/><Relationship Id="rId418" Type="http://schemas.openxmlformats.org/officeDocument/2006/relationships/image" Target="media/image195.jpeg" TargetMode="External"/><Relationship Id="rId419" Type="http://schemas.openxmlformats.org/officeDocument/2006/relationships/image" Target="media/image196.jpeg"/><Relationship Id="rId420" Type="http://schemas.openxmlformats.org/officeDocument/2006/relationships/image" Target="media/image196.jpeg" TargetMode="External"/><Relationship Id="rId421" Type="http://schemas.openxmlformats.org/officeDocument/2006/relationships/image" Target="media/image197.jpeg"/><Relationship Id="rId422" Type="http://schemas.openxmlformats.org/officeDocument/2006/relationships/image" Target="media/image197.jpeg" TargetMode="External"/><Relationship Id="rId423" Type="http://schemas.openxmlformats.org/officeDocument/2006/relationships/image" Target="media/image198.jpeg"/><Relationship Id="rId424" Type="http://schemas.openxmlformats.org/officeDocument/2006/relationships/image" Target="media/image198.jpeg" TargetMode="External"/><Relationship Id="rId425" Type="http://schemas.openxmlformats.org/officeDocument/2006/relationships/image" Target="media/image199.jpeg"/><Relationship Id="rId426" Type="http://schemas.openxmlformats.org/officeDocument/2006/relationships/image" Target="media/image199.jpeg" TargetMode="External"/><Relationship Id="rId427" Type="http://schemas.openxmlformats.org/officeDocument/2006/relationships/image" Target="media/image200.jpeg"/><Relationship Id="rId428" Type="http://schemas.openxmlformats.org/officeDocument/2006/relationships/image" Target="media/image200.jpeg" TargetMode="External"/><Relationship Id="rId429" Type="http://schemas.openxmlformats.org/officeDocument/2006/relationships/image" Target="media/image201.jpeg"/><Relationship Id="rId430" Type="http://schemas.openxmlformats.org/officeDocument/2006/relationships/image" Target="media/image201.jpeg" TargetMode="External"/><Relationship Id="rId431" Type="http://schemas.openxmlformats.org/officeDocument/2006/relationships/image" Target="media/image202.jpeg"/><Relationship Id="rId432" Type="http://schemas.openxmlformats.org/officeDocument/2006/relationships/image" Target="media/image202.jpeg" TargetMode="External"/><Relationship Id="rId433" Type="http://schemas.openxmlformats.org/officeDocument/2006/relationships/header" Target="header25.xml"/><Relationship Id="rId434" Type="http://schemas.openxmlformats.org/officeDocument/2006/relationships/header" Target="header26.xml"/><Relationship Id="rId435" Type="http://schemas.openxmlformats.org/officeDocument/2006/relationships/header" Target="header27.xml"/><Relationship Id="rId436" Type="http://schemas.openxmlformats.org/officeDocument/2006/relationships/image" Target="media/image203.jpeg"/><Relationship Id="rId437" Type="http://schemas.openxmlformats.org/officeDocument/2006/relationships/image" Target="media/image203.jpeg" TargetMode="External"/><Relationship Id="rId438" Type="http://schemas.openxmlformats.org/officeDocument/2006/relationships/image" Target="media/image204.jpeg"/><Relationship Id="rId439" Type="http://schemas.openxmlformats.org/officeDocument/2006/relationships/image" Target="media/image204.jpeg" TargetMode="External"/><Relationship Id="rId440" Type="http://schemas.openxmlformats.org/officeDocument/2006/relationships/image" Target="media/image205.jpeg"/><Relationship Id="rId441" Type="http://schemas.openxmlformats.org/officeDocument/2006/relationships/image" Target="media/image205.jpeg" TargetMode="External"/><Relationship Id="rId442" Type="http://schemas.openxmlformats.org/officeDocument/2006/relationships/image" Target="media/image206.jpeg"/><Relationship Id="rId443" Type="http://schemas.openxmlformats.org/officeDocument/2006/relationships/image" Target="media/image206.jpeg" TargetMode="External"/><Relationship Id="rId444" Type="http://schemas.openxmlformats.org/officeDocument/2006/relationships/image" Target="media/image207.jpeg"/><Relationship Id="rId445" Type="http://schemas.openxmlformats.org/officeDocument/2006/relationships/image" Target="media/image207.jpeg" TargetMode="External"/><Relationship Id="rId446" Type="http://schemas.openxmlformats.org/officeDocument/2006/relationships/image" Target="media/image208.jpeg"/><Relationship Id="rId447" Type="http://schemas.openxmlformats.org/officeDocument/2006/relationships/image" Target="media/image208.jpeg" TargetMode="External"/><Relationship Id="rId448" Type="http://schemas.openxmlformats.org/officeDocument/2006/relationships/image" Target="media/image209.jpeg"/><Relationship Id="rId449" Type="http://schemas.openxmlformats.org/officeDocument/2006/relationships/image" Target="media/image209.jpeg" TargetMode="External"/><Relationship Id="rId450" Type="http://schemas.openxmlformats.org/officeDocument/2006/relationships/image" Target="media/image210.jpeg"/><Relationship Id="rId451" Type="http://schemas.openxmlformats.org/officeDocument/2006/relationships/image" Target="media/image210.jpeg" TargetMode="External"/><Relationship Id="rId452" Type="http://schemas.openxmlformats.org/officeDocument/2006/relationships/image" Target="media/image211.jpeg"/><Relationship Id="rId453" Type="http://schemas.openxmlformats.org/officeDocument/2006/relationships/image" Target="media/image211.jpeg" TargetMode="External"/><Relationship Id="rId454" Type="http://schemas.openxmlformats.org/officeDocument/2006/relationships/image" Target="media/image212.jpeg"/><Relationship Id="rId455" Type="http://schemas.openxmlformats.org/officeDocument/2006/relationships/image" Target="media/image212.jpeg" TargetMode="External"/><Relationship Id="rId456" Type="http://schemas.openxmlformats.org/officeDocument/2006/relationships/image" Target="media/image213.jpeg"/><Relationship Id="rId457" Type="http://schemas.openxmlformats.org/officeDocument/2006/relationships/image" Target="media/image213.jpeg" TargetMode="External"/><Relationship Id="rId458" Type="http://schemas.openxmlformats.org/officeDocument/2006/relationships/image" Target="media/image214.jpeg"/><Relationship Id="rId459" Type="http://schemas.openxmlformats.org/officeDocument/2006/relationships/image" Target="media/image214.jpeg" TargetMode="External"/><Relationship Id="rId460" Type="http://schemas.openxmlformats.org/officeDocument/2006/relationships/image" Target="media/image215.jpeg"/><Relationship Id="rId461" Type="http://schemas.openxmlformats.org/officeDocument/2006/relationships/image" Target="media/image215.jpeg" TargetMode="External"/><Relationship Id="rId462" Type="http://schemas.openxmlformats.org/officeDocument/2006/relationships/image" Target="media/image216.jpeg"/><Relationship Id="rId463" Type="http://schemas.openxmlformats.org/officeDocument/2006/relationships/image" Target="media/image216.jpeg" TargetMode="External"/><Relationship Id="rId464" Type="http://schemas.openxmlformats.org/officeDocument/2006/relationships/image" Target="media/image217.jpeg"/><Relationship Id="rId465" Type="http://schemas.openxmlformats.org/officeDocument/2006/relationships/image" Target="media/image217.jpeg" TargetMode="External"/><Relationship Id="rId466" Type="http://schemas.openxmlformats.org/officeDocument/2006/relationships/image" Target="media/image218.jpeg"/><Relationship Id="rId467" Type="http://schemas.openxmlformats.org/officeDocument/2006/relationships/image" Target="media/image218.jpeg" TargetMode="External"/><Relationship Id="rId468" Type="http://schemas.openxmlformats.org/officeDocument/2006/relationships/image" Target="media/image219.jpeg"/><Relationship Id="rId469" Type="http://schemas.openxmlformats.org/officeDocument/2006/relationships/image" Target="media/image219.jpeg" TargetMode="External"/><Relationship Id="rId470" Type="http://schemas.openxmlformats.org/officeDocument/2006/relationships/image" Target="media/image220.jpeg"/><Relationship Id="rId471" Type="http://schemas.openxmlformats.org/officeDocument/2006/relationships/image" Target="media/image220.jpeg" TargetMode="External"/><Relationship Id="rId472" Type="http://schemas.openxmlformats.org/officeDocument/2006/relationships/image" Target="media/image221.jpeg"/><Relationship Id="rId473" Type="http://schemas.openxmlformats.org/officeDocument/2006/relationships/image" Target="media/image221.jpeg" TargetMode="External"/><Relationship Id="rId474" Type="http://schemas.openxmlformats.org/officeDocument/2006/relationships/image" Target="media/image222.jpeg"/><Relationship Id="rId475" Type="http://schemas.openxmlformats.org/officeDocument/2006/relationships/image" Target="media/image222.jpeg" TargetMode="External"/><Relationship Id="rId476" Type="http://schemas.openxmlformats.org/officeDocument/2006/relationships/image" Target="media/image223.jpeg"/><Relationship Id="rId477" Type="http://schemas.openxmlformats.org/officeDocument/2006/relationships/image" Target="media/image223.jpeg" TargetMode="External"/><Relationship Id="rId478" Type="http://schemas.openxmlformats.org/officeDocument/2006/relationships/image" Target="media/image224.jpeg"/><Relationship Id="rId479" Type="http://schemas.openxmlformats.org/officeDocument/2006/relationships/image" Target="media/image224.jpeg" TargetMode="External"/><Relationship Id="rId480" Type="http://schemas.openxmlformats.org/officeDocument/2006/relationships/image" Target="media/image225.jpeg"/><Relationship Id="rId481" Type="http://schemas.openxmlformats.org/officeDocument/2006/relationships/image" Target="media/image225.jpeg" TargetMode="External"/><Relationship Id="rId482" Type="http://schemas.openxmlformats.org/officeDocument/2006/relationships/image" Target="media/image226.jpeg"/><Relationship Id="rId483" Type="http://schemas.openxmlformats.org/officeDocument/2006/relationships/image" Target="media/image226.jpeg" TargetMode="External"/><Relationship Id="rId484" Type="http://schemas.openxmlformats.org/officeDocument/2006/relationships/image" Target="media/image227.jpeg"/><Relationship Id="rId485" Type="http://schemas.openxmlformats.org/officeDocument/2006/relationships/image" Target="media/image227.jpeg" TargetMode="External"/><Relationship Id="rId486" Type="http://schemas.openxmlformats.org/officeDocument/2006/relationships/image" Target="media/image228.jpeg"/><Relationship Id="rId487" Type="http://schemas.openxmlformats.org/officeDocument/2006/relationships/image" Target="media/image228.jpeg" TargetMode="External"/><Relationship Id="rId488" Type="http://schemas.openxmlformats.org/officeDocument/2006/relationships/image" Target="media/image229.jpeg"/><Relationship Id="rId489" Type="http://schemas.openxmlformats.org/officeDocument/2006/relationships/image" Target="media/image229.jpeg" TargetMode="External"/><Relationship Id="rId490" Type="http://schemas.openxmlformats.org/officeDocument/2006/relationships/image" Target="media/image230.jpeg"/><Relationship Id="rId491" Type="http://schemas.openxmlformats.org/officeDocument/2006/relationships/image" Target="media/image230.jpeg" TargetMode="External"/><Relationship Id="rId492" Type="http://schemas.openxmlformats.org/officeDocument/2006/relationships/image" Target="media/image231.jpeg"/><Relationship Id="rId493" Type="http://schemas.openxmlformats.org/officeDocument/2006/relationships/image" Target="media/image231.jpeg" TargetMode="External"/><Relationship Id="rId494" Type="http://schemas.openxmlformats.org/officeDocument/2006/relationships/image" Target="media/image232.jpeg"/><Relationship Id="rId495" Type="http://schemas.openxmlformats.org/officeDocument/2006/relationships/image" Target="media/image232.jpeg" TargetMode="External"/><Relationship Id="rId496" Type="http://schemas.openxmlformats.org/officeDocument/2006/relationships/image" Target="media/image233.jpeg"/><Relationship Id="rId497" Type="http://schemas.openxmlformats.org/officeDocument/2006/relationships/image" Target="media/image233.jpeg" TargetMode="External"/><Relationship Id="rId498" Type="http://schemas.openxmlformats.org/officeDocument/2006/relationships/image" Target="media/image234.jpeg"/><Relationship Id="rId499" Type="http://schemas.openxmlformats.org/officeDocument/2006/relationships/image" Target="media/image234.jpeg" TargetMode="External"/><Relationship Id="rId500" Type="http://schemas.openxmlformats.org/officeDocument/2006/relationships/image" Target="media/image235.jpeg"/><Relationship Id="rId501" Type="http://schemas.openxmlformats.org/officeDocument/2006/relationships/image" Target="media/image235.jpeg" TargetMode="External"/><Relationship Id="rId502" Type="http://schemas.openxmlformats.org/officeDocument/2006/relationships/image" Target="media/image236.jpeg"/><Relationship Id="rId503" Type="http://schemas.openxmlformats.org/officeDocument/2006/relationships/image" Target="media/image236.jpeg" TargetMode="External"/><Relationship Id="rId504" Type="http://schemas.openxmlformats.org/officeDocument/2006/relationships/image" Target="media/image237.jpeg"/><Relationship Id="rId505" Type="http://schemas.openxmlformats.org/officeDocument/2006/relationships/image" Target="media/image237.jpeg" TargetMode="External"/><Relationship Id="rId506" Type="http://schemas.openxmlformats.org/officeDocument/2006/relationships/image" Target="media/image238.jpeg"/><Relationship Id="rId507" Type="http://schemas.openxmlformats.org/officeDocument/2006/relationships/image" Target="media/image238.jpeg" TargetMode="External"/><Relationship Id="rId508" Type="http://schemas.openxmlformats.org/officeDocument/2006/relationships/image" Target="media/image239.jpeg"/><Relationship Id="rId509" Type="http://schemas.openxmlformats.org/officeDocument/2006/relationships/image" Target="media/image239.jpeg" TargetMode="External"/><Relationship Id="rId510" Type="http://schemas.openxmlformats.org/officeDocument/2006/relationships/image" Target="media/image240.jpeg"/><Relationship Id="rId511" Type="http://schemas.openxmlformats.org/officeDocument/2006/relationships/image" Target="media/image240.jpeg" TargetMode="External"/><Relationship Id="rId512" Type="http://schemas.openxmlformats.org/officeDocument/2006/relationships/image" Target="media/image241.jpeg"/><Relationship Id="rId513" Type="http://schemas.openxmlformats.org/officeDocument/2006/relationships/image" Target="media/image241.jpeg" TargetMode="External"/><Relationship Id="rId514" Type="http://schemas.openxmlformats.org/officeDocument/2006/relationships/image" Target="media/image242.jpeg"/><Relationship Id="rId515" Type="http://schemas.openxmlformats.org/officeDocument/2006/relationships/image" Target="media/image242.jpeg" TargetMode="External"/><Relationship Id="rId516" Type="http://schemas.openxmlformats.org/officeDocument/2006/relationships/image" Target="media/image243.jpeg"/><Relationship Id="rId517" Type="http://schemas.openxmlformats.org/officeDocument/2006/relationships/image" Target="media/image243.jpeg" TargetMode="External"/><Relationship Id="rId518" Type="http://schemas.openxmlformats.org/officeDocument/2006/relationships/image" Target="media/image244.jpeg"/><Relationship Id="rId519" Type="http://schemas.openxmlformats.org/officeDocument/2006/relationships/image" Target="media/image244.jpeg" TargetMode="External"/><Relationship Id="rId520" Type="http://schemas.openxmlformats.org/officeDocument/2006/relationships/image" Target="media/image245.jpeg"/><Relationship Id="rId521" Type="http://schemas.openxmlformats.org/officeDocument/2006/relationships/image" Target="media/image245.jpeg" TargetMode="External"/><Relationship Id="rId522" Type="http://schemas.openxmlformats.org/officeDocument/2006/relationships/image" Target="media/image246.jpeg"/><Relationship Id="rId523" Type="http://schemas.openxmlformats.org/officeDocument/2006/relationships/image" Target="media/image246.jpeg" TargetMode="External"/><Relationship Id="rId524" Type="http://schemas.openxmlformats.org/officeDocument/2006/relationships/image" Target="media/image247.jpeg"/><Relationship Id="rId525" Type="http://schemas.openxmlformats.org/officeDocument/2006/relationships/image" Target="media/image247.jpeg" TargetMode="External"/><Relationship Id="rId526" Type="http://schemas.openxmlformats.org/officeDocument/2006/relationships/image" Target="media/image248.jpeg"/><Relationship Id="rId527" Type="http://schemas.openxmlformats.org/officeDocument/2006/relationships/image" Target="media/image248.jpeg" TargetMode="External"/><Relationship Id="rId528" Type="http://schemas.openxmlformats.org/officeDocument/2006/relationships/image" Target="media/image249.jpeg"/><Relationship Id="rId529" Type="http://schemas.openxmlformats.org/officeDocument/2006/relationships/image" Target="media/image249.jpeg" TargetMode="External"/><Relationship Id="rId530" Type="http://schemas.openxmlformats.org/officeDocument/2006/relationships/image" Target="media/image250.jpeg"/><Relationship Id="rId531" Type="http://schemas.openxmlformats.org/officeDocument/2006/relationships/image" Target="media/image250.jpeg" TargetMode="External"/><Relationship Id="rId532" Type="http://schemas.openxmlformats.org/officeDocument/2006/relationships/image" Target="media/image251.jpeg"/><Relationship Id="rId533" Type="http://schemas.openxmlformats.org/officeDocument/2006/relationships/image" Target="media/image251.jpeg" TargetMode="External"/><Relationship Id="rId534" Type="http://schemas.openxmlformats.org/officeDocument/2006/relationships/image" Target="media/image252.jpeg"/><Relationship Id="rId535" Type="http://schemas.openxmlformats.org/officeDocument/2006/relationships/image" Target="media/image252.jpeg" TargetMode="External"/><Relationship Id="rId536" Type="http://schemas.openxmlformats.org/officeDocument/2006/relationships/image" Target="media/image253.jpeg"/><Relationship Id="rId537" Type="http://schemas.openxmlformats.org/officeDocument/2006/relationships/image" Target="media/image253.jpeg" TargetMode="External"/><Relationship Id="rId538" Type="http://schemas.openxmlformats.org/officeDocument/2006/relationships/image" Target="media/image254.jpeg"/><Relationship Id="rId539" Type="http://schemas.openxmlformats.org/officeDocument/2006/relationships/image" Target="media/image254.jpeg" TargetMode="External"/><Relationship Id="rId540" Type="http://schemas.openxmlformats.org/officeDocument/2006/relationships/image" Target="media/image255.jpeg"/><Relationship Id="rId541" Type="http://schemas.openxmlformats.org/officeDocument/2006/relationships/image" Target="media/image255.jpeg" TargetMode="External"/><Relationship Id="rId542" Type="http://schemas.openxmlformats.org/officeDocument/2006/relationships/image" Target="media/image256.jpeg"/><Relationship Id="rId543" Type="http://schemas.openxmlformats.org/officeDocument/2006/relationships/image" Target="media/image256.jpeg" TargetMode="External"/><Relationship Id="rId544" Type="http://schemas.openxmlformats.org/officeDocument/2006/relationships/image" Target="media/image257.jpeg"/><Relationship Id="rId545" Type="http://schemas.openxmlformats.org/officeDocument/2006/relationships/image" Target="media/image257.jpeg" TargetMode="External"/><Relationship Id="rId546" Type="http://schemas.openxmlformats.org/officeDocument/2006/relationships/image" Target="media/image258.jpeg"/><Relationship Id="rId547" Type="http://schemas.openxmlformats.org/officeDocument/2006/relationships/image" Target="media/image258.jpeg" TargetMode="External"/><Relationship Id="rId548" Type="http://schemas.openxmlformats.org/officeDocument/2006/relationships/image" Target="media/image259.jpeg"/><Relationship Id="rId549" Type="http://schemas.openxmlformats.org/officeDocument/2006/relationships/image" Target="media/image259.jpeg" TargetMode="External"/><Relationship Id="rId550" Type="http://schemas.openxmlformats.org/officeDocument/2006/relationships/image" Target="media/image260.jpeg"/><Relationship Id="rId551" Type="http://schemas.openxmlformats.org/officeDocument/2006/relationships/image" Target="media/image260.jpeg" TargetMode="External"/><Relationship Id="rId552" Type="http://schemas.openxmlformats.org/officeDocument/2006/relationships/image" Target="media/image261.jpeg"/><Relationship Id="rId553" Type="http://schemas.openxmlformats.org/officeDocument/2006/relationships/image" Target="media/image261.jpeg" TargetMode="External"/><Relationship Id="rId554" Type="http://schemas.openxmlformats.org/officeDocument/2006/relationships/image" Target="media/image262.jpeg"/><Relationship Id="rId555" Type="http://schemas.openxmlformats.org/officeDocument/2006/relationships/image" Target="media/image262.jpeg" TargetMode="External"/><Relationship Id="rId556" Type="http://schemas.openxmlformats.org/officeDocument/2006/relationships/image" Target="media/image263.jpeg"/><Relationship Id="rId557" Type="http://schemas.openxmlformats.org/officeDocument/2006/relationships/image" Target="media/image263.jpeg" TargetMode="External"/><Relationship Id="rId558" Type="http://schemas.openxmlformats.org/officeDocument/2006/relationships/image" Target="media/image264.jpeg"/><Relationship Id="rId559" Type="http://schemas.openxmlformats.org/officeDocument/2006/relationships/image" Target="media/image264.jpeg" TargetMode="External"/><Relationship Id="rId560" Type="http://schemas.openxmlformats.org/officeDocument/2006/relationships/image" Target="media/image265.jpeg"/><Relationship Id="rId561" Type="http://schemas.openxmlformats.org/officeDocument/2006/relationships/image" Target="media/image265.jpeg" TargetMode="External"/><Relationship Id="rId562" Type="http://schemas.openxmlformats.org/officeDocument/2006/relationships/image" Target="media/image266.jpeg"/><Relationship Id="rId563" Type="http://schemas.openxmlformats.org/officeDocument/2006/relationships/image" Target="media/image266.jpeg" TargetMode="External"/><Relationship Id="rId564" Type="http://schemas.openxmlformats.org/officeDocument/2006/relationships/image" Target="media/image267.jpeg"/><Relationship Id="rId565" Type="http://schemas.openxmlformats.org/officeDocument/2006/relationships/image" Target="media/image267.jpeg" TargetMode="External"/><Relationship Id="rId566" Type="http://schemas.openxmlformats.org/officeDocument/2006/relationships/image" Target="media/image268.jpeg"/><Relationship Id="rId567" Type="http://schemas.openxmlformats.org/officeDocument/2006/relationships/image" Target="media/image268.jpeg" TargetMode="External"/><Relationship Id="rId568" Type="http://schemas.openxmlformats.org/officeDocument/2006/relationships/image" Target="media/image269.jpeg"/><Relationship Id="rId569" Type="http://schemas.openxmlformats.org/officeDocument/2006/relationships/image" Target="media/image269.jpeg" TargetMode="External"/><Relationship Id="rId570" Type="http://schemas.openxmlformats.org/officeDocument/2006/relationships/image" Target="media/image270.jpeg"/><Relationship Id="rId571" Type="http://schemas.openxmlformats.org/officeDocument/2006/relationships/image" Target="media/image270.jpeg" TargetMode="External"/><Relationship Id="rId572" Type="http://schemas.openxmlformats.org/officeDocument/2006/relationships/image" Target="media/image271.jpeg"/><Relationship Id="rId573" Type="http://schemas.openxmlformats.org/officeDocument/2006/relationships/image" Target="media/image271.jpeg" TargetMode="External"/><Relationship Id="rId574" Type="http://schemas.openxmlformats.org/officeDocument/2006/relationships/image" Target="media/image272.jpeg"/><Relationship Id="rId575" Type="http://schemas.openxmlformats.org/officeDocument/2006/relationships/image" Target="media/image272.jpeg" TargetMode="External"/><Relationship Id="rId576" Type="http://schemas.openxmlformats.org/officeDocument/2006/relationships/header" Target="header28.xml"/><Relationship Id="rId577" Type="http://schemas.openxmlformats.org/officeDocument/2006/relationships/header" Target="header29.xml"/><Relationship Id="rId578" Type="http://schemas.openxmlformats.org/officeDocument/2006/relationships/image" Target="media/image273.jpeg"/><Relationship Id="rId579" Type="http://schemas.openxmlformats.org/officeDocument/2006/relationships/image" Target="media/image273.jpeg" TargetMode="External"/><Relationship Id="rId580" Type="http://schemas.openxmlformats.org/officeDocument/2006/relationships/image" Target="media/image274.jpeg"/><Relationship Id="rId581" Type="http://schemas.openxmlformats.org/officeDocument/2006/relationships/image" Target="media/image274.jpeg" TargetMode="External"/><Relationship Id="rId582" Type="http://schemas.openxmlformats.org/officeDocument/2006/relationships/image" Target="media/image275.jpeg"/><Relationship Id="rId583" Type="http://schemas.openxmlformats.org/officeDocument/2006/relationships/image" Target="media/image275.jpeg" TargetMode="External"/><Relationship Id="rId584" Type="http://schemas.openxmlformats.org/officeDocument/2006/relationships/image" Target="media/image276.jpeg"/><Relationship Id="rId585" Type="http://schemas.openxmlformats.org/officeDocument/2006/relationships/image" Target="media/image276.jpeg" TargetMode="External"/><Relationship Id="rId586" Type="http://schemas.openxmlformats.org/officeDocument/2006/relationships/image" Target="media/image277.jpeg"/><Relationship Id="rId587" Type="http://schemas.openxmlformats.org/officeDocument/2006/relationships/image" Target="media/image277.jpeg" TargetMode="External"/><Relationship Id="rId588" Type="http://schemas.openxmlformats.org/officeDocument/2006/relationships/image" Target="media/image278.jpeg"/><Relationship Id="rId589" Type="http://schemas.openxmlformats.org/officeDocument/2006/relationships/image" Target="media/image278.jpeg" TargetMode="External"/><Relationship Id="rId590" Type="http://schemas.openxmlformats.org/officeDocument/2006/relationships/image" Target="media/image279.jpeg"/><Relationship Id="rId591" Type="http://schemas.openxmlformats.org/officeDocument/2006/relationships/image" Target="media/image279.jpeg" TargetMode="External"/><Relationship Id="rId592" Type="http://schemas.openxmlformats.org/officeDocument/2006/relationships/image" Target="media/image280.jpeg"/><Relationship Id="rId593" Type="http://schemas.openxmlformats.org/officeDocument/2006/relationships/image" Target="media/image280.jpeg" TargetMode="External"/><Relationship Id="rId594" Type="http://schemas.openxmlformats.org/officeDocument/2006/relationships/image" Target="media/image281.jpeg"/><Relationship Id="rId595" Type="http://schemas.openxmlformats.org/officeDocument/2006/relationships/image" Target="media/image281.jpeg" TargetMode="External"/><Relationship Id="rId596" Type="http://schemas.openxmlformats.org/officeDocument/2006/relationships/image" Target="media/image282.jpeg"/><Relationship Id="rId597" Type="http://schemas.openxmlformats.org/officeDocument/2006/relationships/image" Target="media/image282.jpeg" TargetMode="External"/><Relationship Id="rId598" Type="http://schemas.openxmlformats.org/officeDocument/2006/relationships/image" Target="media/image283.jpeg"/><Relationship Id="rId599" Type="http://schemas.openxmlformats.org/officeDocument/2006/relationships/image" Target="media/image283.jpeg" TargetMode="External"/><Relationship Id="rId600" Type="http://schemas.openxmlformats.org/officeDocument/2006/relationships/image" Target="media/image284.jpeg"/><Relationship Id="rId601" Type="http://schemas.openxmlformats.org/officeDocument/2006/relationships/image" Target="media/image284.jpeg" TargetMode="External"/><Relationship Id="rId602" Type="http://schemas.openxmlformats.org/officeDocument/2006/relationships/image" Target="media/image285.jpeg"/><Relationship Id="rId603" Type="http://schemas.openxmlformats.org/officeDocument/2006/relationships/image" Target="media/image285.jpeg" TargetMode="External"/><Relationship Id="rId604" Type="http://schemas.openxmlformats.org/officeDocument/2006/relationships/image" Target="media/image286.jpeg"/><Relationship Id="rId605" Type="http://schemas.openxmlformats.org/officeDocument/2006/relationships/image" Target="media/image286.jpeg" TargetMode="External"/><Relationship Id="rId606" Type="http://schemas.openxmlformats.org/officeDocument/2006/relationships/image" Target="media/image287.jpeg"/><Relationship Id="rId607" Type="http://schemas.openxmlformats.org/officeDocument/2006/relationships/image" Target="media/image287.jpeg" TargetMode="External"/><Relationship Id="rId608" Type="http://schemas.openxmlformats.org/officeDocument/2006/relationships/image" Target="media/image288.jpeg"/><Relationship Id="rId609" Type="http://schemas.openxmlformats.org/officeDocument/2006/relationships/image" Target="media/image288.jpeg" TargetMode="External"/><Relationship Id="rId610" Type="http://schemas.openxmlformats.org/officeDocument/2006/relationships/image" Target="media/image289.jpeg"/><Relationship Id="rId611" Type="http://schemas.openxmlformats.org/officeDocument/2006/relationships/image" Target="media/image289.jpeg" TargetMode="External"/><Relationship Id="rId612" Type="http://schemas.openxmlformats.org/officeDocument/2006/relationships/image" Target="media/image290.jpeg"/><Relationship Id="rId613" Type="http://schemas.openxmlformats.org/officeDocument/2006/relationships/image" Target="media/image290.jpeg" TargetMode="External"/><Relationship Id="rId614" Type="http://schemas.openxmlformats.org/officeDocument/2006/relationships/image" Target="media/image291.jpeg"/><Relationship Id="rId615" Type="http://schemas.openxmlformats.org/officeDocument/2006/relationships/image" Target="media/image291.jpeg" TargetMode="External"/><Relationship Id="rId616" Type="http://schemas.openxmlformats.org/officeDocument/2006/relationships/image" Target="media/image292.jpeg"/><Relationship Id="rId617" Type="http://schemas.openxmlformats.org/officeDocument/2006/relationships/image" Target="media/image292.jpeg" TargetMode="External"/><Relationship Id="rId618" Type="http://schemas.openxmlformats.org/officeDocument/2006/relationships/image" Target="media/image293.jpeg"/><Relationship Id="rId619" Type="http://schemas.openxmlformats.org/officeDocument/2006/relationships/image" Target="media/image293.jpeg" TargetMode="External"/><Relationship Id="rId620" Type="http://schemas.openxmlformats.org/officeDocument/2006/relationships/image" Target="media/image294.jpeg"/><Relationship Id="rId621" Type="http://schemas.openxmlformats.org/officeDocument/2006/relationships/image" Target="media/image294.jpeg" TargetMode="External"/><Relationship Id="rId622" Type="http://schemas.openxmlformats.org/officeDocument/2006/relationships/image" Target="media/image295.jpeg"/><Relationship Id="rId623" Type="http://schemas.openxmlformats.org/officeDocument/2006/relationships/image" Target="media/image295.jpeg" TargetMode="External"/><Relationship Id="rId624" Type="http://schemas.openxmlformats.org/officeDocument/2006/relationships/image" Target="media/image296.jpeg"/><Relationship Id="rId625" Type="http://schemas.openxmlformats.org/officeDocument/2006/relationships/image" Target="media/image296.jpeg" TargetMode="External"/><Relationship Id="rId626" Type="http://schemas.openxmlformats.org/officeDocument/2006/relationships/image" Target="media/image297.jpeg"/><Relationship Id="rId627" Type="http://schemas.openxmlformats.org/officeDocument/2006/relationships/image" Target="media/image297.jpeg" TargetMode="External"/><Relationship Id="rId628" Type="http://schemas.openxmlformats.org/officeDocument/2006/relationships/image" Target="media/image298.jpeg"/><Relationship Id="rId629" Type="http://schemas.openxmlformats.org/officeDocument/2006/relationships/image" Target="media/image298.jpeg" TargetMode="External"/><Relationship Id="rId630" Type="http://schemas.openxmlformats.org/officeDocument/2006/relationships/image" Target="media/image299.jpeg"/><Relationship Id="rId631" Type="http://schemas.openxmlformats.org/officeDocument/2006/relationships/image" Target="media/image299.jpeg" TargetMode="External"/><Relationship Id="rId632" Type="http://schemas.openxmlformats.org/officeDocument/2006/relationships/image" Target="media/image300.jpeg"/><Relationship Id="rId633" Type="http://schemas.openxmlformats.org/officeDocument/2006/relationships/image" Target="media/image300.jpeg" TargetMode="External"/><Relationship Id="rId634" Type="http://schemas.openxmlformats.org/officeDocument/2006/relationships/image" Target="media/image301.jpeg"/><Relationship Id="rId635" Type="http://schemas.openxmlformats.org/officeDocument/2006/relationships/image" Target="media/image301.jpeg" TargetMode="External"/><Relationship Id="rId636" Type="http://schemas.openxmlformats.org/officeDocument/2006/relationships/image" Target="media/image302.jpeg"/><Relationship Id="rId637" Type="http://schemas.openxmlformats.org/officeDocument/2006/relationships/image" Target="media/image302.jpeg" TargetMode="External"/><Relationship Id="rId638" Type="http://schemas.openxmlformats.org/officeDocument/2006/relationships/image" Target="media/image303.jpeg"/><Relationship Id="rId639" Type="http://schemas.openxmlformats.org/officeDocument/2006/relationships/image" Target="media/image303.jpeg" TargetMode="External"/><Relationship Id="rId640" Type="http://schemas.openxmlformats.org/officeDocument/2006/relationships/image" Target="media/image304.jpeg"/><Relationship Id="rId641" Type="http://schemas.openxmlformats.org/officeDocument/2006/relationships/image" Target="media/image304.jpeg" TargetMode="External"/><Relationship Id="rId642" Type="http://schemas.openxmlformats.org/officeDocument/2006/relationships/image" Target="media/image305.jpeg"/><Relationship Id="rId643" Type="http://schemas.openxmlformats.org/officeDocument/2006/relationships/image" Target="media/image305.jpeg" TargetMode="External"/><Relationship Id="rId644" Type="http://schemas.openxmlformats.org/officeDocument/2006/relationships/header" Target="header30.xml"/><Relationship Id="rId645" Type="http://schemas.openxmlformats.org/officeDocument/2006/relationships/header" Target="header31.xml"/><Relationship Id="rId646" Type="http://schemas.openxmlformats.org/officeDocument/2006/relationships/header" Target="header32.xml"/><Relationship Id="rId647" Type="http://schemas.openxmlformats.org/officeDocument/2006/relationships/image" Target="media/image306.jpeg"/><Relationship Id="rId648" Type="http://schemas.openxmlformats.org/officeDocument/2006/relationships/image" Target="media/image306.jpeg" TargetMode="External"/><Relationship Id="rId649" Type="http://schemas.openxmlformats.org/officeDocument/2006/relationships/image" Target="media/image307.jpeg"/><Relationship Id="rId650" Type="http://schemas.openxmlformats.org/officeDocument/2006/relationships/image" Target="media/image307.jpeg" TargetMode="External"/><Relationship Id="rId651" Type="http://schemas.openxmlformats.org/officeDocument/2006/relationships/image" Target="media/image308.jpeg"/><Relationship Id="rId652" Type="http://schemas.openxmlformats.org/officeDocument/2006/relationships/image" Target="media/image308.jpeg" TargetMode="External"/><Relationship Id="rId653" Type="http://schemas.openxmlformats.org/officeDocument/2006/relationships/image" Target="media/image309.jpeg"/><Relationship Id="rId654" Type="http://schemas.openxmlformats.org/officeDocument/2006/relationships/image" Target="media/image309.jpeg" TargetMode="External"/><Relationship Id="rId655" Type="http://schemas.openxmlformats.org/officeDocument/2006/relationships/image" Target="media/image310.jpeg"/><Relationship Id="rId656" Type="http://schemas.openxmlformats.org/officeDocument/2006/relationships/image" Target="media/image310.jpeg" TargetMode="External"/><Relationship Id="rId657" Type="http://schemas.openxmlformats.org/officeDocument/2006/relationships/image" Target="media/image311.jpeg"/><Relationship Id="rId658" Type="http://schemas.openxmlformats.org/officeDocument/2006/relationships/image" Target="media/image311.jpeg" TargetMode="External"/><Relationship Id="rId659" Type="http://schemas.openxmlformats.org/officeDocument/2006/relationships/image" Target="media/image312.jpeg"/><Relationship Id="rId660" Type="http://schemas.openxmlformats.org/officeDocument/2006/relationships/image" Target="media/image312.jpeg" TargetMode="External"/><Relationship Id="rId661" Type="http://schemas.openxmlformats.org/officeDocument/2006/relationships/image" Target="media/image313.jpeg"/><Relationship Id="rId662" Type="http://schemas.openxmlformats.org/officeDocument/2006/relationships/image" Target="media/image313.jpeg" TargetMode="External"/><Relationship Id="rId663" Type="http://schemas.openxmlformats.org/officeDocument/2006/relationships/image" Target="media/image314.jpeg"/><Relationship Id="rId664" Type="http://schemas.openxmlformats.org/officeDocument/2006/relationships/image" Target="media/image314.jpeg" TargetMode="External"/><Relationship Id="rId665" Type="http://schemas.openxmlformats.org/officeDocument/2006/relationships/image" Target="media/image315.jpeg"/><Relationship Id="rId666" Type="http://schemas.openxmlformats.org/officeDocument/2006/relationships/image" Target="media/image315.jpeg" TargetMode="External"/><Relationship Id="rId667" Type="http://schemas.openxmlformats.org/officeDocument/2006/relationships/image" Target="media/image316.jpeg"/><Relationship Id="rId668" Type="http://schemas.openxmlformats.org/officeDocument/2006/relationships/image" Target="media/image316.jpeg" TargetMode="External"/><Relationship Id="rId669" Type="http://schemas.openxmlformats.org/officeDocument/2006/relationships/image" Target="media/image317.jpeg"/><Relationship Id="rId670" Type="http://schemas.openxmlformats.org/officeDocument/2006/relationships/image" Target="media/image317.jpeg" TargetMode="External"/><Relationship Id="rId671" Type="http://schemas.openxmlformats.org/officeDocument/2006/relationships/image" Target="media/image318.jpeg"/><Relationship Id="rId672" Type="http://schemas.openxmlformats.org/officeDocument/2006/relationships/image" Target="media/image318.jpeg" TargetMode="External"/><Relationship Id="rId673" Type="http://schemas.openxmlformats.org/officeDocument/2006/relationships/image" Target="media/image319.jpeg"/><Relationship Id="rId674" Type="http://schemas.openxmlformats.org/officeDocument/2006/relationships/image" Target="media/image319.jpeg" TargetMode="External"/><Relationship Id="rId675" Type="http://schemas.openxmlformats.org/officeDocument/2006/relationships/image" Target="media/image320.jpeg"/><Relationship Id="rId676" Type="http://schemas.openxmlformats.org/officeDocument/2006/relationships/image" Target="media/image320.jpeg" TargetMode="External"/><Relationship Id="rId677" Type="http://schemas.openxmlformats.org/officeDocument/2006/relationships/image" Target="media/image321.jpeg"/><Relationship Id="rId678" Type="http://schemas.openxmlformats.org/officeDocument/2006/relationships/image" Target="media/image321.jpeg" TargetMode="External"/><Relationship Id="rId679" Type="http://schemas.openxmlformats.org/officeDocument/2006/relationships/image" Target="media/image322.jpeg"/><Relationship Id="rId680" Type="http://schemas.openxmlformats.org/officeDocument/2006/relationships/image" Target="media/image322.jpeg" TargetMode="External"/><Relationship Id="rId681" Type="http://schemas.openxmlformats.org/officeDocument/2006/relationships/image" Target="media/image323.jpeg"/><Relationship Id="rId682" Type="http://schemas.openxmlformats.org/officeDocument/2006/relationships/image" Target="media/image323.jpeg" TargetMode="External"/><Relationship Id="rId683" Type="http://schemas.openxmlformats.org/officeDocument/2006/relationships/image" Target="media/image324.jpeg"/><Relationship Id="rId684" Type="http://schemas.openxmlformats.org/officeDocument/2006/relationships/image" Target="media/image324.jpeg" TargetMode="External"/><Relationship Id="rId685" Type="http://schemas.openxmlformats.org/officeDocument/2006/relationships/image" Target="media/image325.jpeg"/><Relationship Id="rId686" Type="http://schemas.openxmlformats.org/officeDocument/2006/relationships/image" Target="media/image325.jpeg" TargetMode="External"/><Relationship Id="rId687" Type="http://schemas.openxmlformats.org/officeDocument/2006/relationships/image" Target="media/image326.jpeg"/><Relationship Id="rId688" Type="http://schemas.openxmlformats.org/officeDocument/2006/relationships/image" Target="media/image326.jpeg" TargetMode="External"/><Relationship Id="rId689" Type="http://schemas.openxmlformats.org/officeDocument/2006/relationships/image" Target="media/image327.jpeg"/><Relationship Id="rId690" Type="http://schemas.openxmlformats.org/officeDocument/2006/relationships/image" Target="media/image327.jpeg" TargetMode="External"/><Relationship Id="rId691" Type="http://schemas.openxmlformats.org/officeDocument/2006/relationships/image" Target="media/image328.jpeg"/><Relationship Id="rId692" Type="http://schemas.openxmlformats.org/officeDocument/2006/relationships/image" Target="media/image328.jpeg" TargetMode="External"/><Relationship Id="rId693" Type="http://schemas.openxmlformats.org/officeDocument/2006/relationships/image" Target="media/image329.jpeg"/><Relationship Id="rId694" Type="http://schemas.openxmlformats.org/officeDocument/2006/relationships/image" Target="media/image329.jpeg" TargetMode="External"/><Relationship Id="rId695" Type="http://schemas.openxmlformats.org/officeDocument/2006/relationships/image" Target="media/image330.jpeg"/><Relationship Id="rId696" Type="http://schemas.openxmlformats.org/officeDocument/2006/relationships/image" Target="media/image330.jpeg" TargetMode="External"/><Relationship Id="rId697" Type="http://schemas.openxmlformats.org/officeDocument/2006/relationships/image" Target="media/image331.jpeg"/><Relationship Id="rId698" Type="http://schemas.openxmlformats.org/officeDocument/2006/relationships/image" Target="media/image331.jpeg" TargetMode="External"/><Relationship Id="rId699" Type="http://schemas.openxmlformats.org/officeDocument/2006/relationships/image" Target="media/image332.jpeg"/><Relationship Id="rId700" Type="http://schemas.openxmlformats.org/officeDocument/2006/relationships/image" Target="media/image332.jpeg" TargetMode="External"/><Relationship Id="rId701" Type="http://schemas.openxmlformats.org/officeDocument/2006/relationships/image" Target="media/image333.jpeg"/><Relationship Id="rId702" Type="http://schemas.openxmlformats.org/officeDocument/2006/relationships/image" Target="media/image333.jpeg" TargetMode="External"/><Relationship Id="rId703" Type="http://schemas.openxmlformats.org/officeDocument/2006/relationships/image" Target="media/image334.jpeg"/><Relationship Id="rId704" Type="http://schemas.openxmlformats.org/officeDocument/2006/relationships/image" Target="media/image334.jpeg" TargetMode="External"/><Relationship Id="rId705" Type="http://schemas.openxmlformats.org/officeDocument/2006/relationships/image" Target="media/image335.jpeg"/><Relationship Id="rId706" Type="http://schemas.openxmlformats.org/officeDocument/2006/relationships/image" Target="media/image335.jpeg" TargetMode="External"/><Relationship Id="rId707" Type="http://schemas.openxmlformats.org/officeDocument/2006/relationships/image" Target="media/image336.jpeg"/><Relationship Id="rId708" Type="http://schemas.openxmlformats.org/officeDocument/2006/relationships/image" Target="media/image336.jpeg" TargetMode="External"/><Relationship Id="rId709" Type="http://schemas.openxmlformats.org/officeDocument/2006/relationships/image" Target="media/image337.jpeg"/><Relationship Id="rId710" Type="http://schemas.openxmlformats.org/officeDocument/2006/relationships/image" Target="media/image337.jpeg" TargetMode="External"/><Relationship Id="rId711" Type="http://schemas.openxmlformats.org/officeDocument/2006/relationships/image" Target="media/image338.jpeg"/><Relationship Id="rId712" Type="http://schemas.openxmlformats.org/officeDocument/2006/relationships/image" Target="media/image338.jpeg" TargetMode="External"/><Relationship Id="rId713" Type="http://schemas.openxmlformats.org/officeDocument/2006/relationships/image" Target="media/image339.jpeg"/><Relationship Id="rId714" Type="http://schemas.openxmlformats.org/officeDocument/2006/relationships/image" Target="media/image339.jpeg" TargetMode="External"/><Relationship Id="rId715" Type="http://schemas.openxmlformats.org/officeDocument/2006/relationships/image" Target="media/image340.jpeg"/><Relationship Id="rId716" Type="http://schemas.openxmlformats.org/officeDocument/2006/relationships/image" Target="media/image340.jpeg" TargetMode="External"/><Relationship Id="rId717" Type="http://schemas.openxmlformats.org/officeDocument/2006/relationships/image" Target="media/image341.jpeg"/><Relationship Id="rId718" Type="http://schemas.openxmlformats.org/officeDocument/2006/relationships/image" Target="media/image341.jpeg" TargetMode="External"/><Relationship Id="rId719" Type="http://schemas.openxmlformats.org/officeDocument/2006/relationships/header" Target="header33.xml"/><Relationship Id="rId720" Type="http://schemas.openxmlformats.org/officeDocument/2006/relationships/header" Target="header34.xml"/><Relationship Id="rId721" Type="http://schemas.openxmlformats.org/officeDocument/2006/relationships/header" Target="header35.xml"/><Relationship Id="rId722" Type="http://schemas.openxmlformats.org/officeDocument/2006/relationships/image" Target="media/image342.jpeg"/><Relationship Id="rId723" Type="http://schemas.openxmlformats.org/officeDocument/2006/relationships/image" Target="media/image342.jpeg" TargetMode="External"/><Relationship Id="rId724" Type="http://schemas.openxmlformats.org/officeDocument/2006/relationships/image" Target="media/image343.jpeg"/><Relationship Id="rId725" Type="http://schemas.openxmlformats.org/officeDocument/2006/relationships/image" Target="media/image343.jpeg" TargetMode="External"/><Relationship Id="rId726" Type="http://schemas.openxmlformats.org/officeDocument/2006/relationships/image" Target="media/image344.jpeg"/><Relationship Id="rId727" Type="http://schemas.openxmlformats.org/officeDocument/2006/relationships/image" Target="media/image344.jpeg" TargetMode="External"/><Relationship Id="rId728" Type="http://schemas.openxmlformats.org/officeDocument/2006/relationships/image" Target="media/image345.jpeg"/><Relationship Id="rId729" Type="http://schemas.openxmlformats.org/officeDocument/2006/relationships/image" Target="media/image345.jpeg" TargetMode="External"/><Relationship Id="rId730" Type="http://schemas.openxmlformats.org/officeDocument/2006/relationships/image" Target="media/image346.jpeg"/><Relationship Id="rId731" Type="http://schemas.openxmlformats.org/officeDocument/2006/relationships/image" Target="media/image346.jpeg" TargetMode="External"/><Relationship Id="rId732" Type="http://schemas.openxmlformats.org/officeDocument/2006/relationships/image" Target="media/image347.jpeg"/><Relationship Id="rId733" Type="http://schemas.openxmlformats.org/officeDocument/2006/relationships/image" Target="media/image347.jpeg" TargetMode="External"/><Relationship Id="rId734" Type="http://schemas.openxmlformats.org/officeDocument/2006/relationships/image" Target="media/image348.jpeg"/><Relationship Id="rId735" Type="http://schemas.openxmlformats.org/officeDocument/2006/relationships/image" Target="media/image348.jpeg" TargetMode="External"/><Relationship Id="rId736" Type="http://schemas.openxmlformats.org/officeDocument/2006/relationships/image" Target="media/image349.jpeg"/><Relationship Id="rId737" Type="http://schemas.openxmlformats.org/officeDocument/2006/relationships/image" Target="media/image349.jpeg" TargetMode="External"/><Relationship Id="rId738" Type="http://schemas.openxmlformats.org/officeDocument/2006/relationships/image" Target="media/image350.jpeg"/><Relationship Id="rId739" Type="http://schemas.openxmlformats.org/officeDocument/2006/relationships/image" Target="media/image350.jpeg" TargetMode="External"/><Relationship Id="rId740" Type="http://schemas.openxmlformats.org/officeDocument/2006/relationships/image" Target="media/image351.jpeg"/><Relationship Id="rId741" Type="http://schemas.openxmlformats.org/officeDocument/2006/relationships/image" Target="media/image351.jpeg" TargetMode="External"/><Relationship Id="rId742" Type="http://schemas.openxmlformats.org/officeDocument/2006/relationships/image" Target="media/image352.jpeg"/><Relationship Id="rId743" Type="http://schemas.openxmlformats.org/officeDocument/2006/relationships/image" Target="media/image352.jpeg" TargetMode="External"/><Relationship Id="rId744" Type="http://schemas.openxmlformats.org/officeDocument/2006/relationships/image" Target="media/image353.jpeg"/><Relationship Id="rId745" Type="http://schemas.openxmlformats.org/officeDocument/2006/relationships/image" Target="media/image353.jpeg" TargetMode="External"/><Relationship Id="rId746" Type="http://schemas.openxmlformats.org/officeDocument/2006/relationships/image" Target="media/image354.jpeg"/><Relationship Id="rId747" Type="http://schemas.openxmlformats.org/officeDocument/2006/relationships/image" Target="media/image354.jpeg" TargetMode="External"/><Relationship Id="rId748" Type="http://schemas.openxmlformats.org/officeDocument/2006/relationships/image" Target="media/image355.jpeg"/><Relationship Id="rId749" Type="http://schemas.openxmlformats.org/officeDocument/2006/relationships/image" Target="media/image355.jpeg" TargetMode="External"/><Relationship Id="rId750" Type="http://schemas.openxmlformats.org/officeDocument/2006/relationships/image" Target="media/image356.jpeg"/><Relationship Id="rId751" Type="http://schemas.openxmlformats.org/officeDocument/2006/relationships/image" Target="media/image356.jpeg" TargetMode="External"/><Relationship Id="rId752" Type="http://schemas.openxmlformats.org/officeDocument/2006/relationships/image" Target="media/image357.jpeg"/><Relationship Id="rId753" Type="http://schemas.openxmlformats.org/officeDocument/2006/relationships/image" Target="media/image357.jpeg" TargetMode="External"/><Relationship Id="rId754" Type="http://schemas.openxmlformats.org/officeDocument/2006/relationships/image" Target="media/image358.jpeg"/><Relationship Id="rId755" Type="http://schemas.openxmlformats.org/officeDocument/2006/relationships/image" Target="media/image358.jpeg" TargetMode="External"/><Relationship Id="rId756" Type="http://schemas.openxmlformats.org/officeDocument/2006/relationships/image" Target="media/image359.jpeg"/><Relationship Id="rId757" Type="http://schemas.openxmlformats.org/officeDocument/2006/relationships/image" Target="media/image359.jpeg" TargetMode="External"/><Relationship Id="rId758" Type="http://schemas.openxmlformats.org/officeDocument/2006/relationships/image" Target="media/image360.jpeg"/><Relationship Id="rId759" Type="http://schemas.openxmlformats.org/officeDocument/2006/relationships/image" Target="media/image360.jpeg" TargetMode="External"/><Relationship Id="rId760" Type="http://schemas.openxmlformats.org/officeDocument/2006/relationships/image" Target="media/image361.jpeg"/><Relationship Id="rId761" Type="http://schemas.openxmlformats.org/officeDocument/2006/relationships/image" Target="media/image361.jpeg" TargetMode="External"/><Relationship Id="rId762" Type="http://schemas.openxmlformats.org/officeDocument/2006/relationships/image" Target="media/image362.jpeg"/><Relationship Id="rId763" Type="http://schemas.openxmlformats.org/officeDocument/2006/relationships/image" Target="media/image362.jpeg" TargetMode="External"/><Relationship Id="rId764" Type="http://schemas.openxmlformats.org/officeDocument/2006/relationships/image" Target="media/image363.jpeg"/><Relationship Id="rId765" Type="http://schemas.openxmlformats.org/officeDocument/2006/relationships/image" Target="media/image363.jpeg" TargetMode="External"/><Relationship Id="rId766" Type="http://schemas.openxmlformats.org/officeDocument/2006/relationships/image" Target="media/image364.jpeg"/><Relationship Id="rId767" Type="http://schemas.openxmlformats.org/officeDocument/2006/relationships/image" Target="media/image364.jpeg" TargetMode="External"/><Relationship Id="rId768" Type="http://schemas.openxmlformats.org/officeDocument/2006/relationships/image" Target="media/image365.jpeg"/><Relationship Id="rId769" Type="http://schemas.openxmlformats.org/officeDocument/2006/relationships/image" Target="media/image365.jpeg" TargetMode="External"/><Relationship Id="rId770" Type="http://schemas.openxmlformats.org/officeDocument/2006/relationships/header" Target="header36.xml"/><Relationship Id="rId771" Type="http://schemas.openxmlformats.org/officeDocument/2006/relationships/header" Target="header37.xml"/><Relationship Id="rId772" Type="http://schemas.openxmlformats.org/officeDocument/2006/relationships/image" Target="media/image366.jpeg"/><Relationship Id="rId773" Type="http://schemas.openxmlformats.org/officeDocument/2006/relationships/image" Target="media/image366.jpeg" TargetMode="External"/><Relationship Id="rId774" Type="http://schemas.openxmlformats.org/officeDocument/2006/relationships/image" Target="media/image367.jpeg"/><Relationship Id="rId775" Type="http://schemas.openxmlformats.org/officeDocument/2006/relationships/image" Target="media/image367.jpeg" TargetMode="External"/><Relationship Id="rId776" Type="http://schemas.openxmlformats.org/officeDocument/2006/relationships/image" Target="media/image368.jpeg"/><Relationship Id="rId777" Type="http://schemas.openxmlformats.org/officeDocument/2006/relationships/image" Target="media/image368.jpeg" TargetMode="External"/><Relationship Id="rId778" Type="http://schemas.openxmlformats.org/officeDocument/2006/relationships/image" Target="media/image369.jpeg"/><Relationship Id="rId779" Type="http://schemas.openxmlformats.org/officeDocument/2006/relationships/image" Target="media/image369.jpeg" TargetMode="External"/><Relationship Id="rId780" Type="http://schemas.openxmlformats.org/officeDocument/2006/relationships/image" Target="media/image370.jpeg"/><Relationship Id="rId781" Type="http://schemas.openxmlformats.org/officeDocument/2006/relationships/image" Target="media/image370.jpeg" TargetMode="External"/><Relationship Id="rId782" Type="http://schemas.openxmlformats.org/officeDocument/2006/relationships/image" Target="media/image371.jpeg"/><Relationship Id="rId783" Type="http://schemas.openxmlformats.org/officeDocument/2006/relationships/image" Target="media/image371.jpeg" TargetMode="External"/><Relationship Id="rId784" Type="http://schemas.openxmlformats.org/officeDocument/2006/relationships/image" Target="media/image372.jpeg"/><Relationship Id="rId785" Type="http://schemas.openxmlformats.org/officeDocument/2006/relationships/image" Target="media/image372.jpeg" TargetMode="External"/><Relationship Id="rId786" Type="http://schemas.openxmlformats.org/officeDocument/2006/relationships/image" Target="media/image373.jpeg"/><Relationship Id="rId787" Type="http://schemas.openxmlformats.org/officeDocument/2006/relationships/image" Target="media/image373.jpeg" TargetMode="External"/><Relationship Id="rId788" Type="http://schemas.openxmlformats.org/officeDocument/2006/relationships/image" Target="media/image374.jpeg"/><Relationship Id="rId789" Type="http://schemas.openxmlformats.org/officeDocument/2006/relationships/image" Target="media/image374.jpeg" TargetMode="External"/><Relationship Id="rId790" Type="http://schemas.openxmlformats.org/officeDocument/2006/relationships/image" Target="media/image375.jpeg"/><Relationship Id="rId791" Type="http://schemas.openxmlformats.org/officeDocument/2006/relationships/image" Target="media/image375.jpeg" TargetMode="External"/><Relationship Id="rId792" Type="http://schemas.openxmlformats.org/officeDocument/2006/relationships/image" Target="media/image376.jpeg"/><Relationship Id="rId793" Type="http://schemas.openxmlformats.org/officeDocument/2006/relationships/image" Target="media/image376.jpeg" TargetMode="External"/><Relationship Id="rId794" Type="http://schemas.openxmlformats.org/officeDocument/2006/relationships/image" Target="media/image377.jpeg"/><Relationship Id="rId795" Type="http://schemas.openxmlformats.org/officeDocument/2006/relationships/image" Target="media/image377.jpeg" TargetMode="External"/><Relationship Id="rId796" Type="http://schemas.openxmlformats.org/officeDocument/2006/relationships/image" Target="media/image378.jpeg"/><Relationship Id="rId797" Type="http://schemas.openxmlformats.org/officeDocument/2006/relationships/image" Target="media/image378.jpeg" TargetMode="External"/><Relationship Id="rId798" Type="http://schemas.openxmlformats.org/officeDocument/2006/relationships/image" Target="media/image379.jpeg"/><Relationship Id="rId799" Type="http://schemas.openxmlformats.org/officeDocument/2006/relationships/image" Target="media/image379.jpeg" TargetMode="External"/><Relationship Id="rId800" Type="http://schemas.openxmlformats.org/officeDocument/2006/relationships/image" Target="media/image380.jpeg"/><Relationship Id="rId801" Type="http://schemas.openxmlformats.org/officeDocument/2006/relationships/image" Target="media/image380.jpeg" TargetMode="External"/><Relationship Id="rId802" Type="http://schemas.openxmlformats.org/officeDocument/2006/relationships/image" Target="media/image381.jpeg"/><Relationship Id="rId803" Type="http://schemas.openxmlformats.org/officeDocument/2006/relationships/image" Target="media/image381.jpeg" TargetMode="External"/><Relationship Id="rId804" Type="http://schemas.openxmlformats.org/officeDocument/2006/relationships/image" Target="media/image382.jpeg"/><Relationship Id="rId805" Type="http://schemas.openxmlformats.org/officeDocument/2006/relationships/image" Target="media/image382.jpeg" TargetMode="External"/><Relationship Id="rId806" Type="http://schemas.openxmlformats.org/officeDocument/2006/relationships/image" Target="media/image383.jpeg"/><Relationship Id="rId807" Type="http://schemas.openxmlformats.org/officeDocument/2006/relationships/image" Target="media/image383.jpeg" TargetMode="External"/><Relationship Id="rId808" Type="http://schemas.openxmlformats.org/officeDocument/2006/relationships/image" Target="media/image384.jpeg"/><Relationship Id="rId809" Type="http://schemas.openxmlformats.org/officeDocument/2006/relationships/image" Target="media/image384.jpeg" TargetMode="External"/><Relationship Id="rId810" Type="http://schemas.openxmlformats.org/officeDocument/2006/relationships/image" Target="media/image385.jpeg"/><Relationship Id="rId811" Type="http://schemas.openxmlformats.org/officeDocument/2006/relationships/image" Target="media/image385.jpeg" TargetMode="External"/><Relationship Id="rId812" Type="http://schemas.openxmlformats.org/officeDocument/2006/relationships/image" Target="media/image386.jpeg"/><Relationship Id="rId813" Type="http://schemas.openxmlformats.org/officeDocument/2006/relationships/image" Target="media/image386.jpeg" TargetMode="External"/><Relationship Id="rId814" Type="http://schemas.openxmlformats.org/officeDocument/2006/relationships/image" Target="media/image387.jpeg"/><Relationship Id="rId815" Type="http://schemas.openxmlformats.org/officeDocument/2006/relationships/image" Target="media/image387.jpeg" TargetMode="External"/><Relationship Id="rId816" Type="http://schemas.openxmlformats.org/officeDocument/2006/relationships/image" Target="media/image388.jpeg"/><Relationship Id="rId817" Type="http://schemas.openxmlformats.org/officeDocument/2006/relationships/image" Target="media/image388.jpeg" TargetMode="External"/><Relationship Id="rId818" Type="http://schemas.openxmlformats.org/officeDocument/2006/relationships/image" Target="media/image389.jpeg"/><Relationship Id="rId819" Type="http://schemas.openxmlformats.org/officeDocument/2006/relationships/image" Target="media/image389.jpeg" TargetMode="External"/><Relationship Id="rId820" Type="http://schemas.openxmlformats.org/officeDocument/2006/relationships/image" Target="media/image390.jpeg"/><Relationship Id="rId821" Type="http://schemas.openxmlformats.org/officeDocument/2006/relationships/image" Target="media/image390.jpeg" TargetMode="External"/><Relationship Id="rId822" Type="http://schemas.openxmlformats.org/officeDocument/2006/relationships/image" Target="media/image391.jpeg"/><Relationship Id="rId823" Type="http://schemas.openxmlformats.org/officeDocument/2006/relationships/image" Target="media/image391.jpeg" TargetMode="External"/><Relationship Id="rId824" Type="http://schemas.openxmlformats.org/officeDocument/2006/relationships/image" Target="media/image392.jpeg"/><Relationship Id="rId825" Type="http://schemas.openxmlformats.org/officeDocument/2006/relationships/image" Target="media/image392.jpeg" TargetMode="External"/><Relationship Id="rId826" Type="http://schemas.openxmlformats.org/officeDocument/2006/relationships/image" Target="media/image393.jpeg"/><Relationship Id="rId827" Type="http://schemas.openxmlformats.org/officeDocument/2006/relationships/image" Target="media/image393.jpeg" TargetMode="External"/><Relationship Id="rId828" Type="http://schemas.openxmlformats.org/officeDocument/2006/relationships/header" Target="header38.xml"/><Relationship Id="rId829" Type="http://schemas.openxmlformats.org/officeDocument/2006/relationships/header" Target="header39.xml"/><Relationship Id="rId830" Type="http://schemas.openxmlformats.org/officeDocument/2006/relationships/image" Target="media/image394.jpeg"/><Relationship Id="rId831" Type="http://schemas.openxmlformats.org/officeDocument/2006/relationships/image" Target="media/image394.jpeg" TargetMode="External"/><Relationship Id="rId832" Type="http://schemas.openxmlformats.org/officeDocument/2006/relationships/image" Target="media/image395.jpeg"/><Relationship Id="rId833" Type="http://schemas.openxmlformats.org/officeDocument/2006/relationships/image" Target="media/image395.jpeg" TargetMode="External"/><Relationship Id="rId834" Type="http://schemas.openxmlformats.org/officeDocument/2006/relationships/image" Target="media/image396.jpeg"/><Relationship Id="rId835" Type="http://schemas.openxmlformats.org/officeDocument/2006/relationships/image" Target="media/image396.jpeg" TargetMode="External"/><Relationship Id="rId836" Type="http://schemas.openxmlformats.org/officeDocument/2006/relationships/image" Target="media/image397.jpeg"/><Relationship Id="rId837" Type="http://schemas.openxmlformats.org/officeDocument/2006/relationships/image" Target="media/image397.jpeg" TargetMode="External"/><Relationship Id="rId838" Type="http://schemas.openxmlformats.org/officeDocument/2006/relationships/image" Target="media/image398.jpeg"/><Relationship Id="rId839" Type="http://schemas.openxmlformats.org/officeDocument/2006/relationships/image" Target="media/image398.jpeg" TargetMode="External"/><Relationship Id="rId840" Type="http://schemas.openxmlformats.org/officeDocument/2006/relationships/image" Target="media/image399.jpeg"/><Relationship Id="rId841" Type="http://schemas.openxmlformats.org/officeDocument/2006/relationships/image" Target="media/image399.jpeg" TargetMode="External"/><Relationship Id="rId842" Type="http://schemas.openxmlformats.org/officeDocument/2006/relationships/image" Target="media/image400.jpeg"/><Relationship Id="rId843" Type="http://schemas.openxmlformats.org/officeDocument/2006/relationships/image" Target="media/image400.jpeg" TargetMode="External"/><Relationship Id="rId844" Type="http://schemas.openxmlformats.org/officeDocument/2006/relationships/image" Target="media/image401.jpeg"/><Relationship Id="rId845" Type="http://schemas.openxmlformats.org/officeDocument/2006/relationships/image" Target="media/image401.jpeg" TargetMode="External"/><Relationship Id="rId846" Type="http://schemas.openxmlformats.org/officeDocument/2006/relationships/image" Target="media/image402.jpeg"/><Relationship Id="rId847" Type="http://schemas.openxmlformats.org/officeDocument/2006/relationships/image" Target="media/image402.jpeg" TargetMode="External"/><Relationship Id="rId848" Type="http://schemas.openxmlformats.org/officeDocument/2006/relationships/image" Target="media/image403.jpeg"/><Relationship Id="rId849" Type="http://schemas.openxmlformats.org/officeDocument/2006/relationships/image" Target="media/image403.jpeg" TargetMode="External"/><Relationship Id="rId850" Type="http://schemas.openxmlformats.org/officeDocument/2006/relationships/image" Target="media/image404.jpeg"/><Relationship Id="rId851" Type="http://schemas.openxmlformats.org/officeDocument/2006/relationships/image" Target="media/image404.jpeg" TargetMode="External"/><Relationship Id="rId852" Type="http://schemas.openxmlformats.org/officeDocument/2006/relationships/image" Target="media/image405.jpeg"/><Relationship Id="rId853" Type="http://schemas.openxmlformats.org/officeDocument/2006/relationships/image" Target="media/image405.jpeg" TargetMode="External"/><Relationship Id="rId854" Type="http://schemas.openxmlformats.org/officeDocument/2006/relationships/image" Target="media/image406.jpeg"/><Relationship Id="rId855" Type="http://schemas.openxmlformats.org/officeDocument/2006/relationships/image" Target="media/image406.jpeg" TargetMode="External"/><Relationship Id="rId856" Type="http://schemas.openxmlformats.org/officeDocument/2006/relationships/image" Target="media/image407.jpeg"/><Relationship Id="rId857" Type="http://schemas.openxmlformats.org/officeDocument/2006/relationships/image" Target="media/image407.jpeg" TargetMode="External"/><Relationship Id="rId858" Type="http://schemas.openxmlformats.org/officeDocument/2006/relationships/image" Target="media/image408.jpeg"/><Relationship Id="rId859" Type="http://schemas.openxmlformats.org/officeDocument/2006/relationships/image" Target="media/image408.jpeg" TargetMode="External"/><Relationship Id="rId860" Type="http://schemas.openxmlformats.org/officeDocument/2006/relationships/image" Target="media/image409.jpeg"/><Relationship Id="rId861" Type="http://schemas.openxmlformats.org/officeDocument/2006/relationships/image" Target="media/image409.jpeg" TargetMode="External"/><Relationship Id="rId862" Type="http://schemas.openxmlformats.org/officeDocument/2006/relationships/image" Target="media/image410.jpeg"/><Relationship Id="rId863" Type="http://schemas.openxmlformats.org/officeDocument/2006/relationships/image" Target="media/image410.jpeg" TargetMode="External"/><Relationship Id="rId864" Type="http://schemas.openxmlformats.org/officeDocument/2006/relationships/image" Target="media/image411.jpeg"/><Relationship Id="rId865" Type="http://schemas.openxmlformats.org/officeDocument/2006/relationships/image" Target="media/image411.jpeg" TargetMode="External"/><Relationship Id="rId866" Type="http://schemas.openxmlformats.org/officeDocument/2006/relationships/image" Target="media/image412.jpeg"/><Relationship Id="rId867" Type="http://schemas.openxmlformats.org/officeDocument/2006/relationships/image" Target="media/image412.jpeg" TargetMode="External"/><Relationship Id="rId868" Type="http://schemas.openxmlformats.org/officeDocument/2006/relationships/image" Target="media/image413.jpeg"/><Relationship Id="rId869" Type="http://schemas.openxmlformats.org/officeDocument/2006/relationships/image" Target="media/image413.jpeg" TargetMode="External"/><Relationship Id="rId870" Type="http://schemas.openxmlformats.org/officeDocument/2006/relationships/image" Target="media/image414.jpeg"/><Relationship Id="rId871" Type="http://schemas.openxmlformats.org/officeDocument/2006/relationships/image" Target="media/image414.jpeg" TargetMode="External"/><Relationship Id="rId872" Type="http://schemas.openxmlformats.org/officeDocument/2006/relationships/image" Target="media/image415.jpeg"/><Relationship Id="rId873" Type="http://schemas.openxmlformats.org/officeDocument/2006/relationships/image" Target="media/image415.jpeg" TargetMode="External"/><Relationship Id="rId874" Type="http://schemas.openxmlformats.org/officeDocument/2006/relationships/header" Target="header40.xml"/><Relationship Id="rId875" Type="http://schemas.openxmlformats.org/officeDocument/2006/relationships/header" Target="header41.xml"/><Relationship Id="rId876" Type="http://schemas.openxmlformats.org/officeDocument/2006/relationships/header" Target="header42.xml"/><Relationship Id="rId877" Type="http://schemas.openxmlformats.org/officeDocument/2006/relationships/image" Target="media/image416.jpeg"/><Relationship Id="rId878" Type="http://schemas.openxmlformats.org/officeDocument/2006/relationships/image" Target="media/image416.jpeg" TargetMode="External"/><Relationship Id="rId879" Type="http://schemas.openxmlformats.org/officeDocument/2006/relationships/image" Target="media/image417.jpeg"/><Relationship Id="rId880" Type="http://schemas.openxmlformats.org/officeDocument/2006/relationships/image" Target="media/image417.jpeg" TargetMode="External"/><Relationship Id="rId881" Type="http://schemas.openxmlformats.org/officeDocument/2006/relationships/image" Target="media/image418.jpeg"/><Relationship Id="rId882" Type="http://schemas.openxmlformats.org/officeDocument/2006/relationships/image" Target="media/image418.jpeg" TargetMode="External"/><Relationship Id="rId883" Type="http://schemas.openxmlformats.org/officeDocument/2006/relationships/image" Target="media/image419.jpeg"/><Relationship Id="rId884" Type="http://schemas.openxmlformats.org/officeDocument/2006/relationships/image" Target="media/image419.jpeg" TargetMode="External"/><Relationship Id="rId885" Type="http://schemas.openxmlformats.org/officeDocument/2006/relationships/image" Target="media/image420.jpeg"/><Relationship Id="rId886" Type="http://schemas.openxmlformats.org/officeDocument/2006/relationships/image" Target="media/image420.jpeg" TargetMode="External"/><Relationship Id="rId887" Type="http://schemas.openxmlformats.org/officeDocument/2006/relationships/image" Target="media/image421.jpeg"/><Relationship Id="rId888" Type="http://schemas.openxmlformats.org/officeDocument/2006/relationships/image" Target="media/image421.jpeg" TargetMode="External"/><Relationship Id="rId889" Type="http://schemas.openxmlformats.org/officeDocument/2006/relationships/image" Target="media/image422.jpeg"/><Relationship Id="rId890" Type="http://schemas.openxmlformats.org/officeDocument/2006/relationships/image" Target="media/image422.jpeg" TargetMode="External"/><Relationship Id="rId891" Type="http://schemas.openxmlformats.org/officeDocument/2006/relationships/image" Target="media/image423.jpeg"/><Relationship Id="rId892" Type="http://schemas.openxmlformats.org/officeDocument/2006/relationships/image" Target="media/image423.jpeg" TargetMode="External"/><Relationship Id="rId893" Type="http://schemas.openxmlformats.org/officeDocument/2006/relationships/image" Target="media/image424.jpeg"/><Relationship Id="rId894" Type="http://schemas.openxmlformats.org/officeDocument/2006/relationships/image" Target="media/image424.jpeg" TargetMode="External"/><Relationship Id="rId895" Type="http://schemas.openxmlformats.org/officeDocument/2006/relationships/header" Target="header43.xml"/><Relationship Id="rId896" Type="http://schemas.openxmlformats.org/officeDocument/2006/relationships/header" Target="header44.xml"/><Relationship Id="rId897" Type="http://schemas.openxmlformats.org/officeDocument/2006/relationships/header" Target="header45.xml"/><Relationship Id="rId898" Type="http://schemas.openxmlformats.org/officeDocument/2006/relationships/image" Target="media/image425.jpeg"/><Relationship Id="rId899" Type="http://schemas.openxmlformats.org/officeDocument/2006/relationships/image" Target="media/image425.jpeg" TargetMode="External"/><Relationship Id="rId900" Type="http://schemas.openxmlformats.org/officeDocument/2006/relationships/image" Target="media/image426.jpeg"/><Relationship Id="rId901" Type="http://schemas.openxmlformats.org/officeDocument/2006/relationships/image" Target="media/image426.jpeg" TargetMode="External"/><Relationship Id="rId902" Type="http://schemas.openxmlformats.org/officeDocument/2006/relationships/image" Target="media/image427.jpeg"/><Relationship Id="rId903" Type="http://schemas.openxmlformats.org/officeDocument/2006/relationships/image" Target="media/image427.jpeg" TargetMode="External"/><Relationship Id="rId904" Type="http://schemas.openxmlformats.org/officeDocument/2006/relationships/image" Target="media/image428.jpeg"/><Relationship Id="rId905" Type="http://schemas.openxmlformats.org/officeDocument/2006/relationships/image" Target="media/image428.jpeg" TargetMode="External"/><Relationship Id="rId906" Type="http://schemas.openxmlformats.org/officeDocument/2006/relationships/image" Target="media/image429.jpeg"/><Relationship Id="rId907" Type="http://schemas.openxmlformats.org/officeDocument/2006/relationships/image" Target="media/image429.jpeg" TargetMode="External"/><Relationship Id="rId908" Type="http://schemas.openxmlformats.org/officeDocument/2006/relationships/image" Target="media/image430.jpeg"/><Relationship Id="rId909" Type="http://schemas.openxmlformats.org/officeDocument/2006/relationships/image" Target="media/image430.jpeg" TargetMode="External"/><Relationship Id="rId910" Type="http://schemas.openxmlformats.org/officeDocument/2006/relationships/image" Target="media/image431.jpeg"/><Relationship Id="rId911" Type="http://schemas.openxmlformats.org/officeDocument/2006/relationships/image" Target="media/image431.jpeg" TargetMode="External"/><Relationship Id="rId912" Type="http://schemas.openxmlformats.org/officeDocument/2006/relationships/image" Target="media/image432.jpeg"/><Relationship Id="rId913" Type="http://schemas.openxmlformats.org/officeDocument/2006/relationships/image" Target="media/image432.jpeg" TargetMode="External"/><Relationship Id="rId914" Type="http://schemas.openxmlformats.org/officeDocument/2006/relationships/image" Target="media/image433.jpeg"/><Relationship Id="rId915" Type="http://schemas.openxmlformats.org/officeDocument/2006/relationships/image" Target="media/image433.jpeg" TargetMode="External"/><Relationship Id="rId916" Type="http://schemas.openxmlformats.org/officeDocument/2006/relationships/image" Target="media/image434.jpeg"/><Relationship Id="rId917" Type="http://schemas.openxmlformats.org/officeDocument/2006/relationships/image" Target="media/image434.jpeg" TargetMode="External"/><Relationship Id="rId918" Type="http://schemas.openxmlformats.org/officeDocument/2006/relationships/image" Target="media/image435.jpeg"/><Relationship Id="rId919" Type="http://schemas.openxmlformats.org/officeDocument/2006/relationships/image" Target="media/image435.jpeg" TargetMode="External"/><Relationship Id="rId920" Type="http://schemas.openxmlformats.org/officeDocument/2006/relationships/image" Target="media/image436.jpeg"/><Relationship Id="rId921" Type="http://schemas.openxmlformats.org/officeDocument/2006/relationships/image" Target="media/image436.jpeg" TargetMode="External"/><Relationship Id="rId922" Type="http://schemas.openxmlformats.org/officeDocument/2006/relationships/image" Target="media/image437.jpeg"/><Relationship Id="rId923" Type="http://schemas.openxmlformats.org/officeDocument/2006/relationships/image" Target="media/image437.jpeg" TargetMode="External"/><Relationship Id="rId924" Type="http://schemas.openxmlformats.org/officeDocument/2006/relationships/image" Target="media/image438.jpeg"/><Relationship Id="rId925" Type="http://schemas.openxmlformats.org/officeDocument/2006/relationships/image" Target="media/image438.jpeg" TargetMode="External"/><Relationship Id="rId926" Type="http://schemas.openxmlformats.org/officeDocument/2006/relationships/image" Target="media/image439.jpeg"/><Relationship Id="rId927" Type="http://schemas.openxmlformats.org/officeDocument/2006/relationships/image" Target="media/image439.jpeg" TargetMode="External"/><Relationship Id="rId928" Type="http://schemas.openxmlformats.org/officeDocument/2006/relationships/image" Target="media/image440.jpeg"/><Relationship Id="rId929" Type="http://schemas.openxmlformats.org/officeDocument/2006/relationships/image" Target="media/image440.jpeg" TargetMode="External"/><Relationship Id="rId930" Type="http://schemas.openxmlformats.org/officeDocument/2006/relationships/image" Target="media/image441.jpeg"/><Relationship Id="rId931" Type="http://schemas.openxmlformats.org/officeDocument/2006/relationships/image" Target="media/image441.jpeg" TargetMode="External"/><Relationship Id="rId932" Type="http://schemas.openxmlformats.org/officeDocument/2006/relationships/image" Target="media/image442.jpeg"/><Relationship Id="rId933" Type="http://schemas.openxmlformats.org/officeDocument/2006/relationships/image" Target="media/image442.jpeg" TargetMode="External"/><Relationship Id="rId934" Type="http://schemas.openxmlformats.org/officeDocument/2006/relationships/image" Target="media/image443.jpeg"/><Relationship Id="rId935" Type="http://schemas.openxmlformats.org/officeDocument/2006/relationships/image" Target="media/image443.jpeg" TargetMode="External"/><Relationship Id="rId936" Type="http://schemas.openxmlformats.org/officeDocument/2006/relationships/image" Target="media/image444.jpeg"/><Relationship Id="rId937" Type="http://schemas.openxmlformats.org/officeDocument/2006/relationships/image" Target="media/image444.jpeg" TargetMode="External"/><Relationship Id="rId938" Type="http://schemas.openxmlformats.org/officeDocument/2006/relationships/image" Target="media/image445.jpeg"/><Relationship Id="rId939" Type="http://schemas.openxmlformats.org/officeDocument/2006/relationships/image" Target="media/image445.jpeg" TargetMode="External"/><Relationship Id="rId940" Type="http://schemas.openxmlformats.org/officeDocument/2006/relationships/image" Target="media/image446.jpeg"/><Relationship Id="rId941" Type="http://schemas.openxmlformats.org/officeDocument/2006/relationships/image" Target="media/image446.jpeg" TargetMode="External"/><Relationship Id="rId942" Type="http://schemas.openxmlformats.org/officeDocument/2006/relationships/image" Target="media/image447.jpeg"/><Relationship Id="rId943" Type="http://schemas.openxmlformats.org/officeDocument/2006/relationships/image" Target="media/image447.jpeg" TargetMode="External"/><Relationship Id="rId944" Type="http://schemas.openxmlformats.org/officeDocument/2006/relationships/image" Target="media/image448.jpeg"/><Relationship Id="rId945" Type="http://schemas.openxmlformats.org/officeDocument/2006/relationships/image" Target="media/image448.jpeg" TargetMode="External"/><Relationship Id="rId946" Type="http://schemas.openxmlformats.org/officeDocument/2006/relationships/image" Target="media/image449.jpeg"/><Relationship Id="rId947" Type="http://schemas.openxmlformats.org/officeDocument/2006/relationships/image" Target="media/image449.jpeg" TargetMode="External"/><Relationship Id="rId948" Type="http://schemas.openxmlformats.org/officeDocument/2006/relationships/image" Target="media/image450.jpeg"/><Relationship Id="rId949" Type="http://schemas.openxmlformats.org/officeDocument/2006/relationships/image" Target="media/image450.jpeg" TargetMode="External"/><Relationship Id="rId950" Type="http://schemas.openxmlformats.org/officeDocument/2006/relationships/image" Target="media/image451.jpeg"/><Relationship Id="rId951" Type="http://schemas.openxmlformats.org/officeDocument/2006/relationships/image" Target="media/image451.jpeg" TargetMode="External"/><Relationship Id="rId952" Type="http://schemas.openxmlformats.org/officeDocument/2006/relationships/image" Target="media/image452.jpeg"/><Relationship Id="rId953" Type="http://schemas.openxmlformats.org/officeDocument/2006/relationships/image" Target="media/image452.jpeg" TargetMode="External"/><Relationship Id="rId954" Type="http://schemas.openxmlformats.org/officeDocument/2006/relationships/header" Target="header46.xml"/><Relationship Id="rId955" Type="http://schemas.openxmlformats.org/officeDocument/2006/relationships/header" Target="header47.xml"/><Relationship Id="rId956" Type="http://schemas.openxmlformats.org/officeDocument/2006/relationships/header" Target="header48.xml"/><Relationship Id="rId957" Type="http://schemas.openxmlformats.org/officeDocument/2006/relationships/image" Target="media/image453.jpeg"/><Relationship Id="rId958" Type="http://schemas.openxmlformats.org/officeDocument/2006/relationships/image" Target="media/image453.jpeg" TargetMode="External"/><Relationship Id="rId959" Type="http://schemas.openxmlformats.org/officeDocument/2006/relationships/image" Target="media/image454.jpeg"/><Relationship Id="rId960" Type="http://schemas.openxmlformats.org/officeDocument/2006/relationships/image" Target="media/image454.jpeg" TargetMode="External"/><Relationship Id="rId961" Type="http://schemas.openxmlformats.org/officeDocument/2006/relationships/image" Target="media/image455.jpeg"/><Relationship Id="rId962" Type="http://schemas.openxmlformats.org/officeDocument/2006/relationships/image" Target="media/image455.jpeg" TargetMode="External"/><Relationship Id="rId963" Type="http://schemas.openxmlformats.org/officeDocument/2006/relationships/image" Target="media/image456.jpeg"/><Relationship Id="rId964" Type="http://schemas.openxmlformats.org/officeDocument/2006/relationships/image" Target="media/image456.jpeg" TargetMode="External"/><Relationship Id="rId965" Type="http://schemas.openxmlformats.org/officeDocument/2006/relationships/image" Target="media/image457.jpeg"/><Relationship Id="rId966" Type="http://schemas.openxmlformats.org/officeDocument/2006/relationships/image" Target="media/image457.jpeg" TargetMode="External"/><Relationship Id="rId967" Type="http://schemas.openxmlformats.org/officeDocument/2006/relationships/image" Target="media/image458.jpeg"/><Relationship Id="rId968" Type="http://schemas.openxmlformats.org/officeDocument/2006/relationships/image" Target="media/image458.jpeg" TargetMode="External"/><Relationship Id="rId969" Type="http://schemas.openxmlformats.org/officeDocument/2006/relationships/image" Target="media/image459.jpeg"/><Relationship Id="rId970" Type="http://schemas.openxmlformats.org/officeDocument/2006/relationships/image" Target="media/image459.jpeg" TargetMode="External"/><Relationship Id="rId971" Type="http://schemas.openxmlformats.org/officeDocument/2006/relationships/image" Target="media/image460.jpeg"/><Relationship Id="rId972" Type="http://schemas.openxmlformats.org/officeDocument/2006/relationships/image" Target="media/image460.jpeg" TargetMode="External"/><Relationship Id="rId973" Type="http://schemas.openxmlformats.org/officeDocument/2006/relationships/image" Target="media/image461.jpeg"/><Relationship Id="rId974" Type="http://schemas.openxmlformats.org/officeDocument/2006/relationships/image" Target="media/image461.jpeg" TargetMode="External"/><Relationship Id="rId975" Type="http://schemas.openxmlformats.org/officeDocument/2006/relationships/image" Target="media/image462.jpeg"/><Relationship Id="rId976" Type="http://schemas.openxmlformats.org/officeDocument/2006/relationships/image" Target="media/image462.jpeg" TargetMode="External"/><Relationship Id="rId977" Type="http://schemas.openxmlformats.org/officeDocument/2006/relationships/image" Target="media/image463.jpeg"/><Relationship Id="rId978" Type="http://schemas.openxmlformats.org/officeDocument/2006/relationships/image" Target="media/image463.jpeg" TargetMode="External"/><Relationship Id="rId979" Type="http://schemas.openxmlformats.org/officeDocument/2006/relationships/image" Target="media/image464.jpeg"/><Relationship Id="rId980" Type="http://schemas.openxmlformats.org/officeDocument/2006/relationships/image" Target="media/image464.jpeg" TargetMode="External"/><Relationship Id="rId981" Type="http://schemas.openxmlformats.org/officeDocument/2006/relationships/image" Target="media/image465.jpeg"/><Relationship Id="rId982" Type="http://schemas.openxmlformats.org/officeDocument/2006/relationships/image" Target="media/image465.jpeg" TargetMode="External"/><Relationship Id="rId983" Type="http://schemas.openxmlformats.org/officeDocument/2006/relationships/image" Target="media/image466.jpeg"/><Relationship Id="rId984" Type="http://schemas.openxmlformats.org/officeDocument/2006/relationships/image" Target="media/image466.jpeg" TargetMode="External"/><Relationship Id="rId985" Type="http://schemas.openxmlformats.org/officeDocument/2006/relationships/image" Target="media/image467.jpeg"/><Relationship Id="rId986" Type="http://schemas.openxmlformats.org/officeDocument/2006/relationships/image" Target="media/image467.jpeg" TargetMode="External"/><Relationship Id="rId987" Type="http://schemas.openxmlformats.org/officeDocument/2006/relationships/image" Target="media/image468.jpeg"/><Relationship Id="rId988" Type="http://schemas.openxmlformats.org/officeDocument/2006/relationships/image" Target="media/image468.jpeg" TargetMode="External"/><Relationship Id="rId989" Type="http://schemas.openxmlformats.org/officeDocument/2006/relationships/image" Target="media/image469.jpeg"/><Relationship Id="rId990" Type="http://schemas.openxmlformats.org/officeDocument/2006/relationships/image" Target="media/image469.jpeg" TargetMode="External"/><Relationship Id="rId991" Type="http://schemas.openxmlformats.org/officeDocument/2006/relationships/image" Target="media/image470.jpeg"/><Relationship Id="rId992" Type="http://schemas.openxmlformats.org/officeDocument/2006/relationships/image" Target="media/image470.jpeg" TargetMode="External"/><Relationship Id="rId993" Type="http://schemas.openxmlformats.org/officeDocument/2006/relationships/image" Target="media/image471.jpeg"/><Relationship Id="rId994" Type="http://schemas.openxmlformats.org/officeDocument/2006/relationships/image" Target="media/image471.jpeg" TargetMode="External"/><Relationship Id="rId995" Type="http://schemas.openxmlformats.org/officeDocument/2006/relationships/image" Target="media/image472.jpeg"/><Relationship Id="rId996" Type="http://schemas.openxmlformats.org/officeDocument/2006/relationships/image" Target="media/image472.jpeg" TargetMode="External"/><Relationship Id="rId997" Type="http://schemas.openxmlformats.org/officeDocument/2006/relationships/image" Target="media/image473.jpeg"/><Relationship Id="rId998" Type="http://schemas.openxmlformats.org/officeDocument/2006/relationships/image" Target="media/image473.jpeg" TargetMode="External"/><Relationship Id="rId999" Type="http://schemas.openxmlformats.org/officeDocument/2006/relationships/image" Target="media/image474.jpeg"/><Relationship Id="rId1000" Type="http://schemas.openxmlformats.org/officeDocument/2006/relationships/image" Target="media/image474.jpeg" TargetMode="External"/><Relationship Id="rId1001" Type="http://schemas.openxmlformats.org/officeDocument/2006/relationships/header" Target="header49.xml"/><Relationship Id="rId1002" Type="http://schemas.openxmlformats.org/officeDocument/2006/relationships/header" Target="header50.xml"/><Relationship Id="rId1003" Type="http://schemas.openxmlformats.org/officeDocument/2006/relationships/header" Target="header51.xml"/><Relationship Id="rId1004" Type="http://schemas.openxmlformats.org/officeDocument/2006/relationships/image" Target="media/image475.jpeg"/><Relationship Id="rId1005" Type="http://schemas.openxmlformats.org/officeDocument/2006/relationships/image" Target="media/image475.jpeg" TargetMode="External"/><Relationship Id="rId1006" Type="http://schemas.openxmlformats.org/officeDocument/2006/relationships/image" Target="media/image476.jpeg"/><Relationship Id="rId1007" Type="http://schemas.openxmlformats.org/officeDocument/2006/relationships/image" Target="media/image476.jpeg" TargetMode="External"/><Relationship Id="rId1008" Type="http://schemas.openxmlformats.org/officeDocument/2006/relationships/image" Target="media/image477.jpeg"/><Relationship Id="rId1009" Type="http://schemas.openxmlformats.org/officeDocument/2006/relationships/image" Target="media/image477.jpeg" TargetMode="External"/><Relationship Id="rId1010" Type="http://schemas.openxmlformats.org/officeDocument/2006/relationships/image" Target="media/image478.jpeg"/><Relationship Id="rId1011" Type="http://schemas.openxmlformats.org/officeDocument/2006/relationships/image" Target="media/image478.jpeg" TargetMode="External"/><Relationship Id="rId1012" Type="http://schemas.openxmlformats.org/officeDocument/2006/relationships/image" Target="media/image479.jpeg"/><Relationship Id="rId1013" Type="http://schemas.openxmlformats.org/officeDocument/2006/relationships/image" Target="media/image479.jpeg" TargetMode="External"/><Relationship Id="rId1014" Type="http://schemas.openxmlformats.org/officeDocument/2006/relationships/image" Target="media/image480.jpeg"/><Relationship Id="rId1015" Type="http://schemas.openxmlformats.org/officeDocument/2006/relationships/image" Target="media/image480.jpeg" TargetMode="External"/><Relationship Id="rId1016" Type="http://schemas.openxmlformats.org/officeDocument/2006/relationships/image" Target="media/image481.jpeg"/><Relationship Id="rId1017" Type="http://schemas.openxmlformats.org/officeDocument/2006/relationships/image" Target="media/image481.jpeg" TargetMode="External"/><Relationship Id="rId1018" Type="http://schemas.openxmlformats.org/officeDocument/2006/relationships/image" Target="media/image482.jpeg"/><Relationship Id="rId1019" Type="http://schemas.openxmlformats.org/officeDocument/2006/relationships/image" Target="media/image482.jpeg" TargetMode="External"/><Relationship Id="rId1020" Type="http://schemas.openxmlformats.org/officeDocument/2006/relationships/image" Target="media/image483.jpeg"/><Relationship Id="rId1021" Type="http://schemas.openxmlformats.org/officeDocument/2006/relationships/image" Target="media/image483.jpeg" TargetMode="External"/><Relationship Id="rId1022" Type="http://schemas.openxmlformats.org/officeDocument/2006/relationships/image" Target="media/image484.jpeg"/><Relationship Id="rId1023" Type="http://schemas.openxmlformats.org/officeDocument/2006/relationships/image" Target="media/image484.jpeg" TargetMode="External"/><Relationship Id="rId1024" Type="http://schemas.openxmlformats.org/officeDocument/2006/relationships/image" Target="media/image485.jpeg"/><Relationship Id="rId1025" Type="http://schemas.openxmlformats.org/officeDocument/2006/relationships/image" Target="media/image485.jpeg" TargetMode="External"/><Relationship Id="rId1026" Type="http://schemas.openxmlformats.org/officeDocument/2006/relationships/image" Target="media/image486.jpeg"/><Relationship Id="rId1027" Type="http://schemas.openxmlformats.org/officeDocument/2006/relationships/image" Target="media/image486.jpeg" TargetMode="External"/><Relationship Id="rId1028" Type="http://schemas.openxmlformats.org/officeDocument/2006/relationships/image" Target="media/image487.jpeg"/><Relationship Id="rId1029" Type="http://schemas.openxmlformats.org/officeDocument/2006/relationships/image" Target="media/image487.jpeg" TargetMode="External"/><Relationship Id="rId1030" Type="http://schemas.openxmlformats.org/officeDocument/2006/relationships/image" Target="media/image488.jpeg"/><Relationship Id="rId1031" Type="http://schemas.openxmlformats.org/officeDocument/2006/relationships/image" Target="media/image488.jpeg" TargetMode="External"/><Relationship Id="rId1032" Type="http://schemas.openxmlformats.org/officeDocument/2006/relationships/image" Target="media/image489.jpeg"/><Relationship Id="rId1033" Type="http://schemas.openxmlformats.org/officeDocument/2006/relationships/image" Target="media/image489.jpeg" TargetMode="External"/><Relationship Id="rId1034" Type="http://schemas.openxmlformats.org/officeDocument/2006/relationships/image" Target="media/image490.jpeg"/><Relationship Id="rId1035" Type="http://schemas.openxmlformats.org/officeDocument/2006/relationships/image" Target="media/image490.jpeg" TargetMode="External"/><Relationship Id="rId1036" Type="http://schemas.openxmlformats.org/officeDocument/2006/relationships/image" Target="media/image491.jpeg"/><Relationship Id="rId1037" Type="http://schemas.openxmlformats.org/officeDocument/2006/relationships/image" Target="media/image491.jpeg" TargetMode="External"/><Relationship Id="rId1038" Type="http://schemas.openxmlformats.org/officeDocument/2006/relationships/image" Target="media/image492.jpeg"/><Relationship Id="rId1039" Type="http://schemas.openxmlformats.org/officeDocument/2006/relationships/image" Target="media/image492.jpeg" TargetMode="External"/><Relationship Id="rId1040" Type="http://schemas.openxmlformats.org/officeDocument/2006/relationships/image" Target="media/image493.jpeg"/><Relationship Id="rId1041" Type="http://schemas.openxmlformats.org/officeDocument/2006/relationships/image" Target="media/image493.jpeg" TargetMode="External"/><Relationship Id="rId1042" Type="http://schemas.openxmlformats.org/officeDocument/2006/relationships/image" Target="media/image494.jpeg"/><Relationship Id="rId1043" Type="http://schemas.openxmlformats.org/officeDocument/2006/relationships/image" Target="media/image494.jpeg" TargetMode="External"/><Relationship Id="rId1044" Type="http://schemas.openxmlformats.org/officeDocument/2006/relationships/image" Target="media/image495.jpeg"/><Relationship Id="rId1045" Type="http://schemas.openxmlformats.org/officeDocument/2006/relationships/image" Target="media/image495.jpeg" TargetMode="External"/><Relationship Id="rId1046" Type="http://schemas.openxmlformats.org/officeDocument/2006/relationships/image" Target="media/image496.jpeg"/><Relationship Id="rId1047" Type="http://schemas.openxmlformats.org/officeDocument/2006/relationships/image" Target="media/image496.jpeg" TargetMode="External"/><Relationship Id="rId1048" Type="http://schemas.openxmlformats.org/officeDocument/2006/relationships/image" Target="media/image497.jpeg"/><Relationship Id="rId1049" Type="http://schemas.openxmlformats.org/officeDocument/2006/relationships/image" Target="media/image497.jpeg" TargetMode="External"/><Relationship Id="rId1050" Type="http://schemas.openxmlformats.org/officeDocument/2006/relationships/image" Target="media/image498.jpeg"/><Relationship Id="rId1051" Type="http://schemas.openxmlformats.org/officeDocument/2006/relationships/image" Target="media/image498.jpeg" TargetMode="External"/><Relationship Id="rId1052" Type="http://schemas.openxmlformats.org/officeDocument/2006/relationships/image" Target="media/image499.jpeg"/><Relationship Id="rId1053" Type="http://schemas.openxmlformats.org/officeDocument/2006/relationships/image" Target="media/image499.jpeg" TargetMode="External"/><Relationship Id="rId1054" Type="http://schemas.openxmlformats.org/officeDocument/2006/relationships/image" Target="media/image500.jpeg"/><Relationship Id="rId1055" Type="http://schemas.openxmlformats.org/officeDocument/2006/relationships/image" Target="media/image500.jpeg" TargetMode="External"/><Relationship Id="rId1056" Type="http://schemas.openxmlformats.org/officeDocument/2006/relationships/image" Target="media/image501.jpeg"/><Relationship Id="rId1057" Type="http://schemas.openxmlformats.org/officeDocument/2006/relationships/image" Target="media/image501.jpeg" TargetMode="External"/><Relationship Id="rId1058" Type="http://schemas.openxmlformats.org/officeDocument/2006/relationships/image" Target="media/image502.jpeg"/><Relationship Id="rId1059" Type="http://schemas.openxmlformats.org/officeDocument/2006/relationships/image" Target="media/image502.jpeg" TargetMode="External"/><Relationship Id="rId1060" Type="http://schemas.openxmlformats.org/officeDocument/2006/relationships/image" Target="media/image503.jpeg"/><Relationship Id="rId1061" Type="http://schemas.openxmlformats.org/officeDocument/2006/relationships/image" Target="media/image503.jpeg" TargetMode="External"/><Relationship Id="rId1062" Type="http://schemas.openxmlformats.org/officeDocument/2006/relationships/image" Target="media/image504.jpeg"/><Relationship Id="rId1063" Type="http://schemas.openxmlformats.org/officeDocument/2006/relationships/image" Target="media/image504.jpeg" TargetMode="External"/><Relationship Id="rId1064" Type="http://schemas.openxmlformats.org/officeDocument/2006/relationships/image" Target="media/image505.jpeg"/><Relationship Id="rId1065" Type="http://schemas.openxmlformats.org/officeDocument/2006/relationships/image" Target="media/image505.jpeg" TargetMode="External"/><Relationship Id="rId1066" Type="http://schemas.openxmlformats.org/officeDocument/2006/relationships/image" Target="media/image506.jpeg"/><Relationship Id="rId1067" Type="http://schemas.openxmlformats.org/officeDocument/2006/relationships/image" Target="media/image506.jpeg" TargetMode="External"/><Relationship Id="rId1068" Type="http://schemas.openxmlformats.org/officeDocument/2006/relationships/image" Target="media/image507.jpeg"/><Relationship Id="rId1069" Type="http://schemas.openxmlformats.org/officeDocument/2006/relationships/image" Target="media/image507.jpeg" TargetMode="External"/><Relationship Id="rId1070" Type="http://schemas.openxmlformats.org/officeDocument/2006/relationships/image" Target="media/image508.jpeg"/><Relationship Id="rId1071" Type="http://schemas.openxmlformats.org/officeDocument/2006/relationships/image" Target="media/image508.jpeg" TargetMode="External"/><Relationship Id="rId1072" Type="http://schemas.openxmlformats.org/officeDocument/2006/relationships/image" Target="media/image509.jpeg"/><Relationship Id="rId1073" Type="http://schemas.openxmlformats.org/officeDocument/2006/relationships/image" Target="media/image509.jpeg" TargetMode="External"/><Relationship Id="rId1074" Type="http://schemas.openxmlformats.org/officeDocument/2006/relationships/image" Target="media/image510.jpeg"/><Relationship Id="rId1075" Type="http://schemas.openxmlformats.org/officeDocument/2006/relationships/image" Target="media/image510.jpeg" TargetMode="External"/><Relationship Id="rId1076" Type="http://schemas.openxmlformats.org/officeDocument/2006/relationships/image" Target="media/image511.jpeg"/><Relationship Id="rId1077" Type="http://schemas.openxmlformats.org/officeDocument/2006/relationships/image" Target="media/image511.jpeg" TargetMode="External"/><Relationship Id="rId1078" Type="http://schemas.openxmlformats.org/officeDocument/2006/relationships/image" Target="media/image512.jpeg"/><Relationship Id="rId1079" Type="http://schemas.openxmlformats.org/officeDocument/2006/relationships/image" Target="media/image512.jpeg" TargetMode="External"/><Relationship Id="rId1080" Type="http://schemas.openxmlformats.org/officeDocument/2006/relationships/header" Target="header52.xml"/><Relationship Id="rId1081" Type="http://schemas.openxmlformats.org/officeDocument/2006/relationships/header" Target="header53.xml"/><Relationship Id="rId1082" Type="http://schemas.openxmlformats.org/officeDocument/2006/relationships/image" Target="media/image513.jpeg"/><Relationship Id="rId1083" Type="http://schemas.openxmlformats.org/officeDocument/2006/relationships/image" Target="media/image513.jpeg" TargetMode="External"/><Relationship Id="rId1084" Type="http://schemas.openxmlformats.org/officeDocument/2006/relationships/image" Target="media/image514.jpeg"/><Relationship Id="rId1085" Type="http://schemas.openxmlformats.org/officeDocument/2006/relationships/image" Target="media/image514.jpeg" TargetMode="External"/><Relationship Id="rId1086" Type="http://schemas.openxmlformats.org/officeDocument/2006/relationships/image" Target="media/image515.jpeg"/><Relationship Id="rId1087" Type="http://schemas.openxmlformats.org/officeDocument/2006/relationships/image" Target="media/image515.jpeg" TargetMode="External"/><Relationship Id="rId1088" Type="http://schemas.openxmlformats.org/officeDocument/2006/relationships/image" Target="media/image516.jpeg"/><Relationship Id="rId1089" Type="http://schemas.openxmlformats.org/officeDocument/2006/relationships/image" Target="media/image516.jpeg" TargetMode="External"/><Relationship Id="rId1090" Type="http://schemas.openxmlformats.org/officeDocument/2006/relationships/image" Target="media/image517.jpeg"/><Relationship Id="rId1091" Type="http://schemas.openxmlformats.org/officeDocument/2006/relationships/image" Target="media/image517.jpeg" TargetMode="External"/><Relationship Id="rId1092" Type="http://schemas.openxmlformats.org/officeDocument/2006/relationships/image" Target="media/image518.jpeg"/><Relationship Id="rId1093" Type="http://schemas.openxmlformats.org/officeDocument/2006/relationships/image" Target="media/image518.jpeg" TargetMode="External"/><Relationship Id="rId1094" Type="http://schemas.openxmlformats.org/officeDocument/2006/relationships/image" Target="media/image519.jpeg"/><Relationship Id="rId1095" Type="http://schemas.openxmlformats.org/officeDocument/2006/relationships/image" Target="media/image519.jpeg" TargetMode="External"/><Relationship Id="rId1096" Type="http://schemas.openxmlformats.org/officeDocument/2006/relationships/image" Target="media/image520.jpeg"/><Relationship Id="rId1097" Type="http://schemas.openxmlformats.org/officeDocument/2006/relationships/image" Target="media/image520.jpeg" TargetMode="External"/><Relationship Id="rId1098" Type="http://schemas.openxmlformats.org/officeDocument/2006/relationships/image" Target="media/image521.jpeg"/><Relationship Id="rId1099" Type="http://schemas.openxmlformats.org/officeDocument/2006/relationships/image" Target="media/image521.jpeg" TargetMode="External"/><Relationship Id="rId1100" Type="http://schemas.openxmlformats.org/officeDocument/2006/relationships/image" Target="media/image522.jpeg"/><Relationship Id="rId1101" Type="http://schemas.openxmlformats.org/officeDocument/2006/relationships/image" Target="media/image522.jpeg" TargetMode="External"/><Relationship Id="rId1102" Type="http://schemas.openxmlformats.org/officeDocument/2006/relationships/image" Target="media/image523.jpeg"/><Relationship Id="rId1103" Type="http://schemas.openxmlformats.org/officeDocument/2006/relationships/image" Target="media/image523.jpeg" TargetMode="External"/><Relationship Id="rId1104" Type="http://schemas.openxmlformats.org/officeDocument/2006/relationships/image" Target="media/image524.jpeg"/><Relationship Id="rId1105" Type="http://schemas.openxmlformats.org/officeDocument/2006/relationships/image" Target="media/image524.jpeg" TargetMode="External"/><Relationship Id="rId1106" Type="http://schemas.openxmlformats.org/officeDocument/2006/relationships/image" Target="media/image525.jpeg"/><Relationship Id="rId1107" Type="http://schemas.openxmlformats.org/officeDocument/2006/relationships/image" Target="media/image525.jpeg" TargetMode="External"/><Relationship Id="rId1108" Type="http://schemas.openxmlformats.org/officeDocument/2006/relationships/image" Target="media/image526.jpeg"/><Relationship Id="rId1109" Type="http://schemas.openxmlformats.org/officeDocument/2006/relationships/image" Target="media/image526.jpeg" TargetMode="External"/><Relationship Id="rId1110" Type="http://schemas.openxmlformats.org/officeDocument/2006/relationships/header" Target="header54.xml"/><Relationship Id="rId1111" Type="http://schemas.openxmlformats.org/officeDocument/2006/relationships/header" Target="header55.xml"/><Relationship Id="rId1112" Type="http://schemas.openxmlformats.org/officeDocument/2006/relationships/header" Target="header56.xml"/><Relationship Id="rId1113" Type="http://schemas.openxmlformats.org/officeDocument/2006/relationships/image" Target="media/image527.jpeg"/><Relationship Id="rId1114" Type="http://schemas.openxmlformats.org/officeDocument/2006/relationships/image" Target="media/image527.jpeg" TargetMode="External"/><Relationship Id="rId1115" Type="http://schemas.openxmlformats.org/officeDocument/2006/relationships/image" Target="media/image528.jpeg"/><Relationship Id="rId1116" Type="http://schemas.openxmlformats.org/officeDocument/2006/relationships/image" Target="media/image528.jpeg" TargetMode="External"/><Relationship Id="rId1117" Type="http://schemas.openxmlformats.org/officeDocument/2006/relationships/image" Target="media/image529.jpeg"/><Relationship Id="rId1118" Type="http://schemas.openxmlformats.org/officeDocument/2006/relationships/image" Target="media/image529.jpeg" TargetMode="External"/><Relationship Id="rId1119" Type="http://schemas.openxmlformats.org/officeDocument/2006/relationships/image" Target="media/image530.jpeg"/><Relationship Id="rId1120" Type="http://schemas.openxmlformats.org/officeDocument/2006/relationships/image" Target="media/image530.jpeg" TargetMode="External"/><Relationship Id="rId1121" Type="http://schemas.openxmlformats.org/officeDocument/2006/relationships/image" Target="media/image531.jpeg"/><Relationship Id="rId1122" Type="http://schemas.openxmlformats.org/officeDocument/2006/relationships/image" Target="media/image531.jpeg" TargetMode="External"/><Relationship Id="rId1123" Type="http://schemas.openxmlformats.org/officeDocument/2006/relationships/header" Target="header57.xml"/><Relationship Id="rId1124" Type="http://schemas.openxmlformats.org/officeDocument/2006/relationships/header" Target="header58.xml"/><Relationship Id="rId1125" Type="http://schemas.openxmlformats.org/officeDocument/2006/relationships/header" Target="header59.xml"/><Relationship Id="rId1126" Type="http://schemas.openxmlformats.org/officeDocument/2006/relationships/image" Target="media/image532.jpeg"/><Relationship Id="rId1127" Type="http://schemas.openxmlformats.org/officeDocument/2006/relationships/image" Target="media/image532.jpeg" TargetMode="External"/><Relationship Id="rId1128" Type="http://schemas.openxmlformats.org/officeDocument/2006/relationships/image" Target="media/image533.jpeg"/><Relationship Id="rId1129" Type="http://schemas.openxmlformats.org/officeDocument/2006/relationships/image" Target="media/image533.jpeg" TargetMode="External"/><Relationship Id="rId1130" Type="http://schemas.openxmlformats.org/officeDocument/2006/relationships/image" Target="media/image534.jpeg"/><Relationship Id="rId1131" Type="http://schemas.openxmlformats.org/officeDocument/2006/relationships/image" Target="media/image534.jpeg" TargetMode="External"/><Relationship Id="rId1132" Type="http://schemas.openxmlformats.org/officeDocument/2006/relationships/header" Target="header60.xml"/><Relationship Id="rId1133" Type="http://schemas.openxmlformats.org/officeDocument/2006/relationships/header" Target="header61.xml"/><Relationship Id="rId1134" Type="http://schemas.openxmlformats.org/officeDocument/2006/relationships/header" Target="header62.xml"/><Relationship Id="rId1135" Type="http://schemas.openxmlformats.org/officeDocument/2006/relationships/image" Target="media/image535.jpeg"/><Relationship Id="rId1136" Type="http://schemas.openxmlformats.org/officeDocument/2006/relationships/image" Target="media/image535.jpeg" TargetMode="External"/><Relationship Id="rId1137" Type="http://schemas.openxmlformats.org/officeDocument/2006/relationships/image" Target="media/image536.jpeg"/><Relationship Id="rId1138" Type="http://schemas.openxmlformats.org/officeDocument/2006/relationships/image" Target="media/image536.jpeg" TargetMode="External"/><Relationship Id="rId1139" Type="http://schemas.openxmlformats.org/officeDocument/2006/relationships/image" Target="media/image537.jpeg"/><Relationship Id="rId1140" Type="http://schemas.openxmlformats.org/officeDocument/2006/relationships/image" Target="media/image537.jpeg" TargetMode="External"/><Relationship Id="rId1141" Type="http://schemas.openxmlformats.org/officeDocument/2006/relationships/image" Target="media/image538.jpeg"/><Relationship Id="rId1142" Type="http://schemas.openxmlformats.org/officeDocument/2006/relationships/image" Target="media/image538.jpeg" TargetMode="External"/><Relationship Id="rId1143" Type="http://schemas.openxmlformats.org/officeDocument/2006/relationships/image" Target="media/image539.jpeg"/><Relationship Id="rId1144" Type="http://schemas.openxmlformats.org/officeDocument/2006/relationships/image" Target="media/image539.jpeg" TargetMode="External"/><Relationship Id="rId1145" Type="http://schemas.openxmlformats.org/officeDocument/2006/relationships/image" Target="media/image540.jpeg"/><Relationship Id="rId1146" Type="http://schemas.openxmlformats.org/officeDocument/2006/relationships/image" Target="media/image540.jpeg" TargetMode="External"/><Relationship Id="rId1147" Type="http://schemas.openxmlformats.org/officeDocument/2006/relationships/image" Target="media/image541.jpeg"/><Relationship Id="rId1148" Type="http://schemas.openxmlformats.org/officeDocument/2006/relationships/image" Target="media/image541.jpeg" TargetMode="External"/><Relationship Id="rId1149" Type="http://schemas.openxmlformats.org/officeDocument/2006/relationships/image" Target="media/image542.jpeg"/><Relationship Id="rId1150" Type="http://schemas.openxmlformats.org/officeDocument/2006/relationships/image" Target="media/image542.jpeg" TargetMode="External"/><Relationship Id="rId1151" Type="http://schemas.openxmlformats.org/officeDocument/2006/relationships/image" Target="media/image543.jpeg"/><Relationship Id="rId1152" Type="http://schemas.openxmlformats.org/officeDocument/2006/relationships/image" Target="media/image543.jpeg" TargetMode="External"/><Relationship Id="rId1153" Type="http://schemas.openxmlformats.org/officeDocument/2006/relationships/image" Target="media/image544.jpeg"/><Relationship Id="rId1154" Type="http://schemas.openxmlformats.org/officeDocument/2006/relationships/image" Target="media/image544.jpeg" TargetMode="External"/><Relationship Id="rId1155" Type="http://schemas.openxmlformats.org/officeDocument/2006/relationships/image" Target="media/image545.jpeg"/><Relationship Id="rId1156" Type="http://schemas.openxmlformats.org/officeDocument/2006/relationships/image" Target="media/image545.jpeg" TargetMode="External"/><Relationship Id="rId1157" Type="http://schemas.openxmlformats.org/officeDocument/2006/relationships/image" Target="media/image546.jpeg"/><Relationship Id="rId1158" Type="http://schemas.openxmlformats.org/officeDocument/2006/relationships/image" Target="media/image546.jpeg" TargetMode="External"/><Relationship Id="rId1159" Type="http://schemas.openxmlformats.org/officeDocument/2006/relationships/image" Target="media/image547.jpeg"/><Relationship Id="rId1160" Type="http://schemas.openxmlformats.org/officeDocument/2006/relationships/image" Target="media/image547.jpeg" TargetMode="External"/><Relationship Id="rId1161" Type="http://schemas.openxmlformats.org/officeDocument/2006/relationships/image" Target="media/image548.jpeg"/><Relationship Id="rId1162" Type="http://schemas.openxmlformats.org/officeDocument/2006/relationships/image" Target="media/image548.jpeg" TargetMode="External"/><Relationship Id="rId1163" Type="http://schemas.openxmlformats.org/officeDocument/2006/relationships/image" Target="media/image549.jpeg"/><Relationship Id="rId1164" Type="http://schemas.openxmlformats.org/officeDocument/2006/relationships/image" Target="media/image549.jpeg" TargetMode="External"/><Relationship Id="rId1165" Type="http://schemas.openxmlformats.org/officeDocument/2006/relationships/image" Target="media/image550.jpeg"/><Relationship Id="rId1166" Type="http://schemas.openxmlformats.org/officeDocument/2006/relationships/image" Target="media/image550.jpeg" TargetMode="External"/><Relationship Id="rId1167" Type="http://schemas.openxmlformats.org/officeDocument/2006/relationships/image" Target="media/image551.jpeg"/><Relationship Id="rId1168" Type="http://schemas.openxmlformats.org/officeDocument/2006/relationships/image" Target="media/image551.jpeg" TargetMode="External"/><Relationship Id="rId1169" Type="http://schemas.openxmlformats.org/officeDocument/2006/relationships/image" Target="media/image552.jpeg"/><Relationship Id="rId1170" Type="http://schemas.openxmlformats.org/officeDocument/2006/relationships/image" Target="media/image552.jpeg" TargetMode="External"/><Relationship Id="rId1171" Type="http://schemas.openxmlformats.org/officeDocument/2006/relationships/image" Target="media/image553.jpeg"/><Relationship Id="rId1172" Type="http://schemas.openxmlformats.org/officeDocument/2006/relationships/image" Target="media/image553.jpeg" TargetMode="External"/><Relationship Id="rId1173" Type="http://schemas.openxmlformats.org/officeDocument/2006/relationships/image" Target="media/image554.jpeg"/><Relationship Id="rId1174" Type="http://schemas.openxmlformats.org/officeDocument/2006/relationships/image" Target="media/image554.jpeg" TargetMode="External"/><Relationship Id="rId1175" Type="http://schemas.openxmlformats.org/officeDocument/2006/relationships/image" Target="media/image555.jpeg"/><Relationship Id="rId1176" Type="http://schemas.openxmlformats.org/officeDocument/2006/relationships/image" Target="media/image555.jpeg" TargetMode="External"/><Relationship Id="rId1177" Type="http://schemas.openxmlformats.org/officeDocument/2006/relationships/image" Target="media/image556.jpeg"/><Relationship Id="rId1178" Type="http://schemas.openxmlformats.org/officeDocument/2006/relationships/image" Target="media/image556.jpeg" TargetMode="External"/><Relationship Id="rId1179" Type="http://schemas.openxmlformats.org/officeDocument/2006/relationships/image" Target="media/image557.jpeg"/><Relationship Id="rId1180" Type="http://schemas.openxmlformats.org/officeDocument/2006/relationships/image" Target="media/image557.jpeg" TargetMode="External"/><Relationship Id="rId1181" Type="http://schemas.openxmlformats.org/officeDocument/2006/relationships/image" Target="media/image558.jpeg"/><Relationship Id="rId1182" Type="http://schemas.openxmlformats.org/officeDocument/2006/relationships/image" Target="media/image558.jpeg" TargetMode="External"/><Relationship Id="rId1183" Type="http://schemas.openxmlformats.org/officeDocument/2006/relationships/image" Target="media/image559.jpeg"/><Relationship Id="rId1184" Type="http://schemas.openxmlformats.org/officeDocument/2006/relationships/image" Target="media/image559.jpeg" TargetMode="External"/><Relationship Id="rId1185" Type="http://schemas.openxmlformats.org/officeDocument/2006/relationships/image" Target="media/image560.jpeg"/><Relationship Id="rId1186" Type="http://schemas.openxmlformats.org/officeDocument/2006/relationships/image" Target="media/image560.jpeg" TargetMode="External"/><Relationship Id="rId1187" Type="http://schemas.openxmlformats.org/officeDocument/2006/relationships/image" Target="media/image561.jpeg"/><Relationship Id="rId1188" Type="http://schemas.openxmlformats.org/officeDocument/2006/relationships/image" Target="media/image561.jpeg" TargetMode="External"/><Relationship Id="rId1189" Type="http://schemas.openxmlformats.org/officeDocument/2006/relationships/image" Target="media/image562.jpeg"/><Relationship Id="rId1190" Type="http://schemas.openxmlformats.org/officeDocument/2006/relationships/image" Target="media/image562.jpeg" TargetMode="External"/><Relationship Id="rId1191" Type="http://schemas.openxmlformats.org/officeDocument/2006/relationships/image" Target="media/image563.jpeg"/><Relationship Id="rId1192" Type="http://schemas.openxmlformats.org/officeDocument/2006/relationships/image" Target="media/image563.jpeg" TargetMode="External"/><Relationship Id="rId1193" Type="http://schemas.openxmlformats.org/officeDocument/2006/relationships/image" Target="media/image564.jpeg"/><Relationship Id="rId1194" Type="http://schemas.openxmlformats.org/officeDocument/2006/relationships/image" Target="media/image564.jpeg" TargetMode="External"/><Relationship Id="rId1195" Type="http://schemas.openxmlformats.org/officeDocument/2006/relationships/image" Target="media/image565.jpeg"/><Relationship Id="rId1196" Type="http://schemas.openxmlformats.org/officeDocument/2006/relationships/image" Target="media/image565.jpeg" TargetMode="External"/><Relationship Id="rId1197" Type="http://schemas.openxmlformats.org/officeDocument/2006/relationships/image" Target="media/image566.jpeg"/><Relationship Id="rId1198" Type="http://schemas.openxmlformats.org/officeDocument/2006/relationships/image" Target="media/image566.jpeg" TargetMode="External"/><Relationship Id="rId1199" Type="http://schemas.openxmlformats.org/officeDocument/2006/relationships/header" Target="header63.xml"/><Relationship Id="rId1200" Type="http://schemas.openxmlformats.org/officeDocument/2006/relationships/header" Target="header64.xml"/><Relationship Id="rId1201" Type="http://schemas.openxmlformats.org/officeDocument/2006/relationships/image" Target="media/image567.jpeg"/><Relationship Id="rId1202" Type="http://schemas.openxmlformats.org/officeDocument/2006/relationships/image" Target="media/image567.jpeg" TargetMode="External"/><Relationship Id="rId1203" Type="http://schemas.openxmlformats.org/officeDocument/2006/relationships/image" Target="media/image568.jpeg"/><Relationship Id="rId1204" Type="http://schemas.openxmlformats.org/officeDocument/2006/relationships/image" Target="media/image568.jpeg" TargetMode="External"/><Relationship Id="rId1205" Type="http://schemas.openxmlformats.org/officeDocument/2006/relationships/image" Target="media/image569.jpeg"/><Relationship Id="rId1206" Type="http://schemas.openxmlformats.org/officeDocument/2006/relationships/image" Target="media/image569.jpeg" TargetMode="External"/><Relationship Id="rId1207" Type="http://schemas.openxmlformats.org/officeDocument/2006/relationships/image" Target="media/image570.jpeg"/><Relationship Id="rId1208" Type="http://schemas.openxmlformats.org/officeDocument/2006/relationships/image" Target="media/image570.jpeg" TargetMode="External"/><Relationship Id="rId1209" Type="http://schemas.openxmlformats.org/officeDocument/2006/relationships/image" Target="media/image571.jpeg"/><Relationship Id="rId1210" Type="http://schemas.openxmlformats.org/officeDocument/2006/relationships/image" Target="media/image571.jpeg" TargetMode="External"/><Relationship Id="rId1211" Type="http://schemas.openxmlformats.org/officeDocument/2006/relationships/image" Target="media/image572.jpeg"/><Relationship Id="rId1212" Type="http://schemas.openxmlformats.org/officeDocument/2006/relationships/image" Target="media/image572.jpeg" TargetMode="External"/><Relationship Id="rId1213" Type="http://schemas.openxmlformats.org/officeDocument/2006/relationships/image" Target="media/image573.jpeg"/><Relationship Id="rId1214" Type="http://schemas.openxmlformats.org/officeDocument/2006/relationships/image" Target="media/image573.jpeg" TargetMode="External"/><Relationship Id="rId1215" Type="http://schemas.openxmlformats.org/officeDocument/2006/relationships/image" Target="media/image574.jpeg"/><Relationship Id="rId1216" Type="http://schemas.openxmlformats.org/officeDocument/2006/relationships/image" Target="media/image574.jpeg" TargetMode="External"/><Relationship Id="rId1217" Type="http://schemas.openxmlformats.org/officeDocument/2006/relationships/image" Target="media/image575.jpeg"/><Relationship Id="rId1218" Type="http://schemas.openxmlformats.org/officeDocument/2006/relationships/image" Target="media/image575.jpeg" TargetMode="External"/><Relationship Id="rId1219" Type="http://schemas.openxmlformats.org/officeDocument/2006/relationships/image" Target="media/image576.jpeg"/><Relationship Id="rId1220" Type="http://schemas.openxmlformats.org/officeDocument/2006/relationships/image" Target="media/image576.jpeg" TargetMode="External"/><Relationship Id="rId1221" Type="http://schemas.openxmlformats.org/officeDocument/2006/relationships/image" Target="media/image577.jpeg"/><Relationship Id="rId1222" Type="http://schemas.openxmlformats.org/officeDocument/2006/relationships/image" Target="media/image577.jpeg" TargetMode="External"/><Relationship Id="rId1223" Type="http://schemas.openxmlformats.org/officeDocument/2006/relationships/image" Target="media/image578.jpeg"/><Relationship Id="rId1224" Type="http://schemas.openxmlformats.org/officeDocument/2006/relationships/image" Target="media/image578.jpeg" TargetMode="External"/><Relationship Id="rId1225" Type="http://schemas.openxmlformats.org/officeDocument/2006/relationships/image" Target="media/image579.jpeg"/><Relationship Id="rId1226" Type="http://schemas.openxmlformats.org/officeDocument/2006/relationships/image" Target="media/image579.jpeg" TargetMode="External"/><Relationship Id="rId1227" Type="http://schemas.openxmlformats.org/officeDocument/2006/relationships/image" Target="media/image580.jpeg"/><Relationship Id="rId1228" Type="http://schemas.openxmlformats.org/officeDocument/2006/relationships/image" Target="media/image580.jpeg" TargetMode="External"/><Relationship Id="rId1229" Type="http://schemas.openxmlformats.org/officeDocument/2006/relationships/image" Target="media/image581.jpeg"/><Relationship Id="rId1230" Type="http://schemas.openxmlformats.org/officeDocument/2006/relationships/image" Target="media/image581.jpeg" TargetMode="External"/><Relationship Id="rId1231" Type="http://schemas.openxmlformats.org/officeDocument/2006/relationships/image" Target="media/image582.jpeg"/><Relationship Id="rId1232" Type="http://schemas.openxmlformats.org/officeDocument/2006/relationships/image" Target="media/image582.jpeg" TargetMode="External"/><Relationship Id="rId1233" Type="http://schemas.openxmlformats.org/officeDocument/2006/relationships/image" Target="media/image583.jpeg"/><Relationship Id="rId1234" Type="http://schemas.openxmlformats.org/officeDocument/2006/relationships/image" Target="media/image583.jpeg" TargetMode="External"/><Relationship Id="rId1235" Type="http://schemas.openxmlformats.org/officeDocument/2006/relationships/image" Target="media/image584.jpeg"/><Relationship Id="rId1236" Type="http://schemas.openxmlformats.org/officeDocument/2006/relationships/image" Target="media/image584.jpeg" TargetMode="External"/><Relationship Id="rId1237" Type="http://schemas.openxmlformats.org/officeDocument/2006/relationships/image" Target="media/image585.jpeg"/><Relationship Id="rId1238" Type="http://schemas.openxmlformats.org/officeDocument/2006/relationships/image" Target="media/image585.jpeg" TargetMode="External"/><Relationship Id="rId1239" Type="http://schemas.openxmlformats.org/officeDocument/2006/relationships/image" Target="media/image586.jpeg"/><Relationship Id="rId1240" Type="http://schemas.openxmlformats.org/officeDocument/2006/relationships/image" Target="media/image586.jpeg" TargetMode="External"/><Relationship Id="rId1241" Type="http://schemas.openxmlformats.org/officeDocument/2006/relationships/image" Target="media/image587.jpeg"/><Relationship Id="rId1242" Type="http://schemas.openxmlformats.org/officeDocument/2006/relationships/image" Target="media/image587.jpeg" TargetMode="External"/><Relationship Id="rId1243" Type="http://schemas.openxmlformats.org/officeDocument/2006/relationships/image" Target="media/image588.jpeg"/><Relationship Id="rId1244" Type="http://schemas.openxmlformats.org/officeDocument/2006/relationships/image" Target="media/image588.jpeg" TargetMode="External"/><Relationship Id="rId1245" Type="http://schemas.openxmlformats.org/officeDocument/2006/relationships/image" Target="media/image589.jpeg"/><Relationship Id="rId1246" Type="http://schemas.openxmlformats.org/officeDocument/2006/relationships/image" Target="media/image589.jpeg" TargetMode="External"/><Relationship Id="rId1247" Type="http://schemas.openxmlformats.org/officeDocument/2006/relationships/image" Target="media/image590.jpeg"/><Relationship Id="rId1248" Type="http://schemas.openxmlformats.org/officeDocument/2006/relationships/image" Target="media/image590.jpeg" TargetMode="External"/><Relationship Id="rId1249" Type="http://schemas.openxmlformats.org/officeDocument/2006/relationships/image" Target="media/image591.jpeg"/><Relationship Id="rId1250" Type="http://schemas.openxmlformats.org/officeDocument/2006/relationships/image" Target="media/image591.jpeg" TargetMode="External"/><Relationship Id="rId1251" Type="http://schemas.openxmlformats.org/officeDocument/2006/relationships/image" Target="media/image592.jpeg"/><Relationship Id="rId1252" Type="http://schemas.openxmlformats.org/officeDocument/2006/relationships/image" Target="media/image592.jpeg" TargetMode="External"/><Relationship Id="rId1253" Type="http://schemas.openxmlformats.org/officeDocument/2006/relationships/image" Target="media/image593.jpeg"/><Relationship Id="rId1254" Type="http://schemas.openxmlformats.org/officeDocument/2006/relationships/image" Target="media/image593.jpeg" TargetMode="External"/><Relationship Id="rId1255" Type="http://schemas.openxmlformats.org/officeDocument/2006/relationships/image" Target="media/image594.jpeg"/><Relationship Id="rId1256" Type="http://schemas.openxmlformats.org/officeDocument/2006/relationships/image" Target="media/image594.jpeg" TargetMode="External"/><Relationship Id="rId1257" Type="http://schemas.openxmlformats.org/officeDocument/2006/relationships/image" Target="media/image595.jpeg"/><Relationship Id="rId1258" Type="http://schemas.openxmlformats.org/officeDocument/2006/relationships/image" Target="media/image595.jpeg" TargetMode="External"/><Relationship Id="rId1259" Type="http://schemas.openxmlformats.org/officeDocument/2006/relationships/image" Target="media/image596.jpeg"/><Relationship Id="rId1260" Type="http://schemas.openxmlformats.org/officeDocument/2006/relationships/image" Target="media/image596.jpeg" TargetMode="External"/><Relationship Id="rId1261" Type="http://schemas.openxmlformats.org/officeDocument/2006/relationships/image" Target="media/image597.jpeg"/><Relationship Id="rId1262" Type="http://schemas.openxmlformats.org/officeDocument/2006/relationships/image" Target="media/image597.jpeg" TargetMode="External"/><Relationship Id="rId1263" Type="http://schemas.openxmlformats.org/officeDocument/2006/relationships/image" Target="media/image598.jpeg"/><Relationship Id="rId1264" Type="http://schemas.openxmlformats.org/officeDocument/2006/relationships/image" Target="media/image598.jpeg" TargetMode="External"/><Relationship Id="rId1265" Type="http://schemas.openxmlformats.org/officeDocument/2006/relationships/header" Target="header65.xml"/><Relationship Id="rId1266" Type="http://schemas.openxmlformats.org/officeDocument/2006/relationships/header" Target="header66.xml"/><Relationship Id="rId1267" Type="http://schemas.openxmlformats.org/officeDocument/2006/relationships/image" Target="media/image599.jpeg"/><Relationship Id="rId1268" Type="http://schemas.openxmlformats.org/officeDocument/2006/relationships/image" Target="media/image599.jpeg" TargetMode="External"/><Relationship Id="rId1269" Type="http://schemas.openxmlformats.org/officeDocument/2006/relationships/image" Target="media/image600.jpeg"/><Relationship Id="rId1270" Type="http://schemas.openxmlformats.org/officeDocument/2006/relationships/image" Target="media/image600.jpeg" TargetMode="External"/><Relationship Id="rId1271" Type="http://schemas.openxmlformats.org/officeDocument/2006/relationships/image" Target="media/image601.jpeg"/><Relationship Id="rId1272" Type="http://schemas.openxmlformats.org/officeDocument/2006/relationships/image" Target="media/image601.jpeg" TargetMode="External"/><Relationship Id="rId1273" Type="http://schemas.openxmlformats.org/officeDocument/2006/relationships/image" Target="media/image602.jpeg"/><Relationship Id="rId1274" Type="http://schemas.openxmlformats.org/officeDocument/2006/relationships/image" Target="media/image602.jpeg" TargetMode="External"/><Relationship Id="rId1275" Type="http://schemas.openxmlformats.org/officeDocument/2006/relationships/image" Target="media/image603.jpeg"/><Relationship Id="rId1276" Type="http://schemas.openxmlformats.org/officeDocument/2006/relationships/image" Target="media/image603.jpeg" TargetMode="External"/><Relationship Id="rId1277" Type="http://schemas.openxmlformats.org/officeDocument/2006/relationships/image" Target="media/image604.jpeg"/><Relationship Id="rId1278" Type="http://schemas.openxmlformats.org/officeDocument/2006/relationships/image" Target="media/image604.jpeg" TargetMode="External"/><Relationship Id="rId1279" Type="http://schemas.openxmlformats.org/officeDocument/2006/relationships/image" Target="media/image605.jpeg"/><Relationship Id="rId1280" Type="http://schemas.openxmlformats.org/officeDocument/2006/relationships/image" Target="media/image605.jpeg" TargetMode="External"/><Relationship Id="rId1281" Type="http://schemas.openxmlformats.org/officeDocument/2006/relationships/image" Target="media/image606.jpeg"/><Relationship Id="rId1282" Type="http://schemas.openxmlformats.org/officeDocument/2006/relationships/image" Target="media/image606.jpeg" TargetMode="External"/><Relationship Id="rId1283" Type="http://schemas.openxmlformats.org/officeDocument/2006/relationships/image" Target="media/image607.jpeg"/><Relationship Id="rId1284" Type="http://schemas.openxmlformats.org/officeDocument/2006/relationships/image" Target="media/image607.jpeg" TargetMode="External"/><Relationship Id="rId1285" Type="http://schemas.openxmlformats.org/officeDocument/2006/relationships/image" Target="media/image608.jpeg"/><Relationship Id="rId1286" Type="http://schemas.openxmlformats.org/officeDocument/2006/relationships/image" Target="media/image608.jpeg" TargetMode="External"/><Relationship Id="rId1287" Type="http://schemas.openxmlformats.org/officeDocument/2006/relationships/image" Target="media/image609.jpeg"/><Relationship Id="rId1288" Type="http://schemas.openxmlformats.org/officeDocument/2006/relationships/image" Target="media/image609.jpeg" TargetMode="External"/><Relationship Id="rId1289" Type="http://schemas.openxmlformats.org/officeDocument/2006/relationships/image" Target="media/image610.jpeg"/><Relationship Id="rId1290" Type="http://schemas.openxmlformats.org/officeDocument/2006/relationships/image" Target="media/image610.jpeg" TargetMode="External"/><Relationship Id="rId1291" Type="http://schemas.openxmlformats.org/officeDocument/2006/relationships/image" Target="media/image611.jpeg"/><Relationship Id="rId1292" Type="http://schemas.openxmlformats.org/officeDocument/2006/relationships/image" Target="media/image611.jpeg" TargetMode="External"/><Relationship Id="rId1293" Type="http://schemas.openxmlformats.org/officeDocument/2006/relationships/image" Target="media/image612.jpeg"/><Relationship Id="rId1294" Type="http://schemas.openxmlformats.org/officeDocument/2006/relationships/image" Target="media/image612.jpeg" TargetMode="External"/><Relationship Id="rId1295" Type="http://schemas.openxmlformats.org/officeDocument/2006/relationships/header" Target="header67.xml"/><Relationship Id="rId1296" Type="http://schemas.openxmlformats.org/officeDocument/2006/relationships/header" Target="header68.xml"/><Relationship Id="rId1297" Type="http://schemas.openxmlformats.org/officeDocument/2006/relationships/header" Target="header69.xml"/><Relationship Id="rId1298" Type="http://schemas.openxmlformats.org/officeDocument/2006/relationships/image" Target="media/image613.jpeg"/><Relationship Id="rId1299" Type="http://schemas.openxmlformats.org/officeDocument/2006/relationships/image" Target="media/image613.jpeg" TargetMode="External"/><Relationship Id="rId1300" Type="http://schemas.openxmlformats.org/officeDocument/2006/relationships/image" Target="media/image614.jpeg"/><Relationship Id="rId1301" Type="http://schemas.openxmlformats.org/officeDocument/2006/relationships/image" Target="media/image614.jpeg" TargetMode="External"/><Relationship Id="rId1302" Type="http://schemas.openxmlformats.org/officeDocument/2006/relationships/image" Target="media/image615.jpeg"/><Relationship Id="rId1303" Type="http://schemas.openxmlformats.org/officeDocument/2006/relationships/image" Target="media/image615.jpeg" TargetMode="External"/><Relationship Id="rId1304" Type="http://schemas.openxmlformats.org/officeDocument/2006/relationships/image" Target="media/image616.jpeg"/><Relationship Id="rId1305" Type="http://schemas.openxmlformats.org/officeDocument/2006/relationships/image" Target="media/image616.jpeg" TargetMode="External"/><Relationship Id="rId1306" Type="http://schemas.openxmlformats.org/officeDocument/2006/relationships/image" Target="media/image617.jpeg"/><Relationship Id="rId1307" Type="http://schemas.openxmlformats.org/officeDocument/2006/relationships/image" Target="media/image617.jpeg" TargetMode="External"/><Relationship Id="rId1308" Type="http://schemas.openxmlformats.org/officeDocument/2006/relationships/image" Target="media/image618.jpeg"/><Relationship Id="rId1309" Type="http://schemas.openxmlformats.org/officeDocument/2006/relationships/image" Target="media/image618.jpeg" TargetMode="External"/><Relationship Id="rId1310" Type="http://schemas.openxmlformats.org/officeDocument/2006/relationships/image" Target="media/image619.jpeg"/><Relationship Id="rId1311" Type="http://schemas.openxmlformats.org/officeDocument/2006/relationships/image" Target="media/image619.jpeg" TargetMode="External"/><Relationship Id="rId1312" Type="http://schemas.openxmlformats.org/officeDocument/2006/relationships/image" Target="media/image620.jpeg"/><Relationship Id="rId1313" Type="http://schemas.openxmlformats.org/officeDocument/2006/relationships/image" Target="media/image620.jpeg" TargetMode="External"/><Relationship Id="rId1314" Type="http://schemas.openxmlformats.org/officeDocument/2006/relationships/image" Target="media/image621.jpeg"/><Relationship Id="rId1315" Type="http://schemas.openxmlformats.org/officeDocument/2006/relationships/image" Target="media/image621.jpeg" TargetMode="External"/><Relationship Id="rId1316" Type="http://schemas.openxmlformats.org/officeDocument/2006/relationships/image" Target="media/image622.jpeg"/><Relationship Id="rId1317" Type="http://schemas.openxmlformats.org/officeDocument/2006/relationships/image" Target="media/image622.jpeg" TargetMode="External"/><Relationship Id="rId1318" Type="http://schemas.openxmlformats.org/officeDocument/2006/relationships/image" Target="media/image623.jpeg"/><Relationship Id="rId1319" Type="http://schemas.openxmlformats.org/officeDocument/2006/relationships/image" Target="media/image623.jpeg" TargetMode="External"/><Relationship Id="rId1320" Type="http://schemas.openxmlformats.org/officeDocument/2006/relationships/image" Target="media/image624.jpeg"/><Relationship Id="rId1321" Type="http://schemas.openxmlformats.org/officeDocument/2006/relationships/image" Target="media/image624.jpeg" TargetMode="External"/><Relationship Id="rId1322" Type="http://schemas.openxmlformats.org/officeDocument/2006/relationships/image" Target="media/image625.jpeg"/><Relationship Id="rId1323" Type="http://schemas.openxmlformats.org/officeDocument/2006/relationships/image" Target="media/image625.jpeg" TargetMode="External"/><Relationship Id="rId1324" Type="http://schemas.openxmlformats.org/officeDocument/2006/relationships/image" Target="media/image626.jpeg"/><Relationship Id="rId1325" Type="http://schemas.openxmlformats.org/officeDocument/2006/relationships/image" Target="media/image626.jpeg" TargetMode="External"/><Relationship Id="rId1326" Type="http://schemas.openxmlformats.org/officeDocument/2006/relationships/image" Target="media/image627.jpeg"/><Relationship Id="rId1327" Type="http://schemas.openxmlformats.org/officeDocument/2006/relationships/image" Target="media/image627.jpeg" TargetMode="External"/><Relationship Id="rId1328" Type="http://schemas.openxmlformats.org/officeDocument/2006/relationships/image" Target="media/image628.jpeg"/><Relationship Id="rId1329" Type="http://schemas.openxmlformats.org/officeDocument/2006/relationships/image" Target="media/image628.jpeg" TargetMode="External"/><Relationship Id="rId1330" Type="http://schemas.openxmlformats.org/officeDocument/2006/relationships/image" Target="media/image629.jpeg"/><Relationship Id="rId1331" Type="http://schemas.openxmlformats.org/officeDocument/2006/relationships/image" Target="media/image629.jpeg" TargetMode="External"/><Relationship Id="rId1332" Type="http://schemas.openxmlformats.org/officeDocument/2006/relationships/image" Target="media/image630.jpeg"/><Relationship Id="rId1333" Type="http://schemas.openxmlformats.org/officeDocument/2006/relationships/image" Target="media/image630.jpeg" TargetMode="External"/><Relationship Id="rId1334" Type="http://schemas.openxmlformats.org/officeDocument/2006/relationships/image" Target="media/image631.jpeg"/><Relationship Id="rId1335" Type="http://schemas.openxmlformats.org/officeDocument/2006/relationships/image" Target="media/image631.jpeg" TargetMode="External"/><Relationship Id="rId1336" Type="http://schemas.openxmlformats.org/officeDocument/2006/relationships/image" Target="media/image632.jpeg"/><Relationship Id="rId1337" Type="http://schemas.openxmlformats.org/officeDocument/2006/relationships/image" Target="media/image632.jpeg" TargetMode="External"/><Relationship Id="rId1338" Type="http://schemas.openxmlformats.org/officeDocument/2006/relationships/image" Target="media/image633.jpeg"/><Relationship Id="rId1339" Type="http://schemas.openxmlformats.org/officeDocument/2006/relationships/image" Target="media/image633.jpeg" TargetMode="External"/><Relationship Id="rId1340" Type="http://schemas.openxmlformats.org/officeDocument/2006/relationships/image" Target="media/image634.jpeg"/><Relationship Id="rId1341" Type="http://schemas.openxmlformats.org/officeDocument/2006/relationships/image" Target="media/image634.jpeg" TargetMode="External"/><Relationship Id="rId1342" Type="http://schemas.openxmlformats.org/officeDocument/2006/relationships/image" Target="media/image635.jpeg"/><Relationship Id="rId1343" Type="http://schemas.openxmlformats.org/officeDocument/2006/relationships/image" Target="media/image635.jpeg" TargetMode="External"/><Relationship Id="rId1344" Type="http://schemas.openxmlformats.org/officeDocument/2006/relationships/image" Target="media/image636.jpeg"/><Relationship Id="rId1345" Type="http://schemas.openxmlformats.org/officeDocument/2006/relationships/image" Target="media/image636.jpeg" TargetMode="External"/><Relationship Id="rId1346" Type="http://schemas.openxmlformats.org/officeDocument/2006/relationships/image" Target="media/image637.jpeg"/><Relationship Id="rId1347" Type="http://schemas.openxmlformats.org/officeDocument/2006/relationships/image" Target="media/image637.jpeg" TargetMode="External"/><Relationship Id="rId1348" Type="http://schemas.openxmlformats.org/officeDocument/2006/relationships/image" Target="media/image638.jpeg"/><Relationship Id="rId1349" Type="http://schemas.openxmlformats.org/officeDocument/2006/relationships/image" Target="media/image638.jpeg" TargetMode="External"/><Relationship Id="rId1350" Type="http://schemas.openxmlformats.org/officeDocument/2006/relationships/image" Target="media/image639.jpeg"/><Relationship Id="rId1351" Type="http://schemas.openxmlformats.org/officeDocument/2006/relationships/image" Target="media/image639.jpeg" TargetMode="External"/><Relationship Id="rId1352" Type="http://schemas.openxmlformats.org/officeDocument/2006/relationships/image" Target="media/image640.jpeg"/><Relationship Id="rId1353" Type="http://schemas.openxmlformats.org/officeDocument/2006/relationships/image" Target="media/image640.jpeg" TargetMode="External"/><Relationship Id="rId1354" Type="http://schemas.openxmlformats.org/officeDocument/2006/relationships/image" Target="media/image641.jpeg"/><Relationship Id="rId1355" Type="http://schemas.openxmlformats.org/officeDocument/2006/relationships/image" Target="media/image641.jpeg" TargetMode="External"/><Relationship Id="rId1356" Type="http://schemas.openxmlformats.org/officeDocument/2006/relationships/image" Target="media/image642.jpeg"/><Relationship Id="rId1357" Type="http://schemas.openxmlformats.org/officeDocument/2006/relationships/image" Target="media/image642.jpeg" TargetMode="External"/><Relationship Id="rId1358" Type="http://schemas.openxmlformats.org/officeDocument/2006/relationships/image" Target="media/image643.jpeg"/><Relationship Id="rId1359" Type="http://schemas.openxmlformats.org/officeDocument/2006/relationships/image" Target="media/image643.jpeg" TargetMode="External"/><Relationship Id="rId1360" Type="http://schemas.openxmlformats.org/officeDocument/2006/relationships/image" Target="media/image644.jpeg"/><Relationship Id="rId1361" Type="http://schemas.openxmlformats.org/officeDocument/2006/relationships/image" Target="media/image644.jpeg" TargetMode="External"/><Relationship Id="rId1362" Type="http://schemas.openxmlformats.org/officeDocument/2006/relationships/image" Target="media/image645.jpeg"/><Relationship Id="rId1363" Type="http://schemas.openxmlformats.org/officeDocument/2006/relationships/image" Target="media/image645.jpeg" TargetMode="External"/><Relationship Id="rId1364" Type="http://schemas.openxmlformats.org/officeDocument/2006/relationships/image" Target="media/image646.jpeg"/><Relationship Id="rId1365" Type="http://schemas.openxmlformats.org/officeDocument/2006/relationships/image" Target="media/image646.jpeg" TargetMode="External"/><Relationship Id="rId1366" Type="http://schemas.openxmlformats.org/officeDocument/2006/relationships/image" Target="media/image647.jpeg"/><Relationship Id="rId1367" Type="http://schemas.openxmlformats.org/officeDocument/2006/relationships/image" Target="media/image647.jpeg" TargetMode="External"/><Relationship Id="rId1368" Type="http://schemas.openxmlformats.org/officeDocument/2006/relationships/image" Target="media/image648.jpeg"/><Relationship Id="rId1369" Type="http://schemas.openxmlformats.org/officeDocument/2006/relationships/image" Target="media/image648.jpeg" TargetMode="External"/><Relationship Id="rId1370" Type="http://schemas.openxmlformats.org/officeDocument/2006/relationships/image" Target="media/image649.jpeg"/><Relationship Id="rId1371" Type="http://schemas.openxmlformats.org/officeDocument/2006/relationships/image" Target="media/image649.jpeg" TargetMode="External"/><Relationship Id="rId1372" Type="http://schemas.openxmlformats.org/officeDocument/2006/relationships/image" Target="media/image650.jpeg"/><Relationship Id="rId1373" Type="http://schemas.openxmlformats.org/officeDocument/2006/relationships/image" Target="media/image650.jpeg" TargetMode="External"/><Relationship Id="rId1374" Type="http://schemas.openxmlformats.org/officeDocument/2006/relationships/image" Target="media/image651.jpeg"/><Relationship Id="rId1375" Type="http://schemas.openxmlformats.org/officeDocument/2006/relationships/image" Target="media/image651.jpeg" TargetMode="External"/><Relationship Id="rId1376" Type="http://schemas.openxmlformats.org/officeDocument/2006/relationships/image" Target="media/image652.jpeg"/><Relationship Id="rId1377" Type="http://schemas.openxmlformats.org/officeDocument/2006/relationships/image" Target="media/image652.jpeg" TargetMode="External"/><Relationship Id="rId1378" Type="http://schemas.openxmlformats.org/officeDocument/2006/relationships/header" Target="header70.xml"/><Relationship Id="rId1379" Type="http://schemas.openxmlformats.org/officeDocument/2006/relationships/header" Target="header71.xml"/><Relationship Id="rId1380" Type="http://schemas.openxmlformats.org/officeDocument/2006/relationships/header" Target="header72.xml"/><Relationship Id="rId1381" Type="http://schemas.openxmlformats.org/officeDocument/2006/relationships/image" Target="media/image653.jpeg"/><Relationship Id="rId1382" Type="http://schemas.openxmlformats.org/officeDocument/2006/relationships/image" Target="media/image653.jpeg" TargetMode="External"/><Relationship Id="rId1383" Type="http://schemas.openxmlformats.org/officeDocument/2006/relationships/image" Target="media/image654.jpeg"/><Relationship Id="rId1384" Type="http://schemas.openxmlformats.org/officeDocument/2006/relationships/image" Target="media/image654.jpeg" TargetMode="External"/><Relationship Id="rId1385" Type="http://schemas.openxmlformats.org/officeDocument/2006/relationships/header" Target="header73.xml"/><Relationship Id="rId1386" Type="http://schemas.openxmlformats.org/officeDocument/2006/relationships/header" Target="header74.xml"/><Relationship Id="rId1387" Type="http://schemas.openxmlformats.org/officeDocument/2006/relationships/header" Target="header75.xml"/><Relationship Id="rId1388" Type="http://schemas.openxmlformats.org/officeDocument/2006/relationships/image" Target="media/image655.jpeg"/><Relationship Id="rId1389" Type="http://schemas.openxmlformats.org/officeDocument/2006/relationships/image" Target="media/image655.jpeg" TargetMode="External"/><Relationship Id="rId1390" Type="http://schemas.openxmlformats.org/officeDocument/2006/relationships/image" Target="media/image656.jpeg"/><Relationship Id="rId1391" Type="http://schemas.openxmlformats.org/officeDocument/2006/relationships/image" Target="media/image656.jpeg" TargetMode="External"/><Relationship Id="rId1392" Type="http://schemas.openxmlformats.org/officeDocument/2006/relationships/image" Target="media/image657.jpeg"/><Relationship Id="rId1393" Type="http://schemas.openxmlformats.org/officeDocument/2006/relationships/image" Target="media/image657.jpeg" TargetMode="External"/><Relationship Id="rId1394" Type="http://schemas.openxmlformats.org/officeDocument/2006/relationships/image" Target="media/image658.jpeg"/><Relationship Id="rId1395" Type="http://schemas.openxmlformats.org/officeDocument/2006/relationships/image" Target="media/image658.jpeg" TargetMode="External"/><Relationship Id="rId1396" Type="http://schemas.openxmlformats.org/officeDocument/2006/relationships/image" Target="media/image659.jpeg"/><Relationship Id="rId1397" Type="http://schemas.openxmlformats.org/officeDocument/2006/relationships/image" Target="media/image659.jpeg" TargetMode="External"/><Relationship Id="rId1398" Type="http://schemas.openxmlformats.org/officeDocument/2006/relationships/image" Target="media/image660.jpeg"/><Relationship Id="rId1399" Type="http://schemas.openxmlformats.org/officeDocument/2006/relationships/image" Target="media/image660.jpeg" TargetMode="External"/><Relationship Id="rId1400" Type="http://schemas.openxmlformats.org/officeDocument/2006/relationships/image" Target="media/image661.jpeg"/><Relationship Id="rId1401" Type="http://schemas.openxmlformats.org/officeDocument/2006/relationships/image" Target="media/image661.jpeg" TargetMode="External"/><Relationship Id="rId1402" Type="http://schemas.openxmlformats.org/officeDocument/2006/relationships/image" Target="media/image662.jpeg"/><Relationship Id="rId1403" Type="http://schemas.openxmlformats.org/officeDocument/2006/relationships/image" Target="media/image662.jpeg" TargetMode="External"/><Relationship Id="rId1404" Type="http://schemas.openxmlformats.org/officeDocument/2006/relationships/image" Target="media/image663.jpeg"/><Relationship Id="rId1405" Type="http://schemas.openxmlformats.org/officeDocument/2006/relationships/image" Target="media/image663.jpeg" TargetMode="External"/><Relationship Id="rId1406" Type="http://schemas.openxmlformats.org/officeDocument/2006/relationships/image" Target="media/image664.jpeg"/><Relationship Id="rId1407" Type="http://schemas.openxmlformats.org/officeDocument/2006/relationships/image" Target="media/image664.jpeg" TargetMode="External"/><Relationship Id="rId1408" Type="http://schemas.openxmlformats.org/officeDocument/2006/relationships/image" Target="media/image665.jpeg"/><Relationship Id="rId1409" Type="http://schemas.openxmlformats.org/officeDocument/2006/relationships/image" Target="media/image665.jpeg" TargetMode="External"/><Relationship Id="rId1410" Type="http://schemas.openxmlformats.org/officeDocument/2006/relationships/image" Target="media/image666.jpeg"/><Relationship Id="rId1411" Type="http://schemas.openxmlformats.org/officeDocument/2006/relationships/image" Target="media/image666.jpeg" TargetMode="External"/><Relationship Id="rId1412" Type="http://schemas.openxmlformats.org/officeDocument/2006/relationships/image" Target="media/image667.jpeg"/><Relationship Id="rId1413" Type="http://schemas.openxmlformats.org/officeDocument/2006/relationships/image" Target="media/image667.jpeg" TargetMode="External"/><Relationship Id="rId1414" Type="http://schemas.openxmlformats.org/officeDocument/2006/relationships/image" Target="media/image668.jpeg"/><Relationship Id="rId1415" Type="http://schemas.openxmlformats.org/officeDocument/2006/relationships/image" Target="media/image668.jpeg" TargetMode="External"/><Relationship Id="rId1416" Type="http://schemas.openxmlformats.org/officeDocument/2006/relationships/header" Target="header76.xml"/><Relationship Id="rId1417" Type="http://schemas.openxmlformats.org/officeDocument/2006/relationships/header" Target="header77.xml"/><Relationship Id="rId1418" Type="http://schemas.openxmlformats.org/officeDocument/2006/relationships/header" Target="header78.xml"/><Relationship Id="rId1419" Type="http://schemas.openxmlformats.org/officeDocument/2006/relationships/image" Target="media/image669.jpeg"/><Relationship Id="rId1420" Type="http://schemas.openxmlformats.org/officeDocument/2006/relationships/image" Target="media/image669.jpeg" TargetMode="External"/><Relationship Id="rId1421" Type="http://schemas.openxmlformats.org/officeDocument/2006/relationships/image" Target="media/image670.jpeg"/><Relationship Id="rId1422" Type="http://schemas.openxmlformats.org/officeDocument/2006/relationships/image" Target="media/image670.jpeg" TargetMode="External"/><Relationship Id="rId1423" Type="http://schemas.openxmlformats.org/officeDocument/2006/relationships/image" Target="media/image671.jpeg"/><Relationship Id="rId1424" Type="http://schemas.openxmlformats.org/officeDocument/2006/relationships/image" Target="media/image671.jpeg" TargetMode="External"/><Relationship Id="rId1425" Type="http://schemas.openxmlformats.org/officeDocument/2006/relationships/header" Target="header79.xml"/><Relationship Id="rId1426" Type="http://schemas.openxmlformats.org/officeDocument/2006/relationships/header" Target="header80.xml"/><Relationship Id="rId1427" Type="http://schemas.openxmlformats.org/officeDocument/2006/relationships/header" Target="header81.xml"/><Relationship Id="rId1428" Type="http://schemas.openxmlformats.org/officeDocument/2006/relationships/image" Target="media/image672.jpeg"/><Relationship Id="rId1429" Type="http://schemas.openxmlformats.org/officeDocument/2006/relationships/image" Target="media/image672.jpeg" TargetMode="External"/><Relationship Id="rId1430" Type="http://schemas.openxmlformats.org/officeDocument/2006/relationships/image" Target="media/image673.jpeg"/><Relationship Id="rId1431" Type="http://schemas.openxmlformats.org/officeDocument/2006/relationships/image" Target="media/image673.jpeg" TargetMode="External"/><Relationship Id="rId1432" Type="http://schemas.openxmlformats.org/officeDocument/2006/relationships/image" Target="media/image674.jpeg"/><Relationship Id="rId1433" Type="http://schemas.openxmlformats.org/officeDocument/2006/relationships/image" Target="media/image674.jpeg" TargetMode="External"/><Relationship Id="rId1434" Type="http://schemas.openxmlformats.org/officeDocument/2006/relationships/image" Target="media/image675.jpeg"/><Relationship Id="rId1435" Type="http://schemas.openxmlformats.org/officeDocument/2006/relationships/image" Target="media/image675.jpeg" TargetMode="External"/><Relationship Id="rId1436" Type="http://schemas.openxmlformats.org/officeDocument/2006/relationships/header" Target="header82.xml"/><Relationship Id="rId1437" Type="http://schemas.openxmlformats.org/officeDocument/2006/relationships/header" Target="header83.xml"/><Relationship Id="rId1438" Type="http://schemas.openxmlformats.org/officeDocument/2006/relationships/header" Target="header84.xml"/><Relationship Id="rId1439" Type="http://schemas.openxmlformats.org/officeDocument/2006/relationships/image" Target="media/image676.jpeg"/><Relationship Id="rId1440" Type="http://schemas.openxmlformats.org/officeDocument/2006/relationships/image" Target="media/image676.jpeg" TargetMode="External"/><Relationship Id="rId1441" Type="http://schemas.openxmlformats.org/officeDocument/2006/relationships/image" Target="media/image677.jpeg"/><Relationship Id="rId1442" Type="http://schemas.openxmlformats.org/officeDocument/2006/relationships/image" Target="media/image677.jpeg" TargetMode="External"/><Relationship Id="rId1443" Type="http://schemas.openxmlformats.org/officeDocument/2006/relationships/image" Target="media/image678.jpeg"/><Relationship Id="rId1444" Type="http://schemas.openxmlformats.org/officeDocument/2006/relationships/image" Target="media/image678.jpeg" TargetMode="External"/><Relationship Id="rId1445" Type="http://schemas.openxmlformats.org/officeDocument/2006/relationships/header" Target="header85.xml"/><Relationship Id="rId1446" Type="http://schemas.openxmlformats.org/officeDocument/2006/relationships/header" Target="header86.xml"/><Relationship Id="rId1447" Type="http://schemas.openxmlformats.org/officeDocument/2006/relationships/header" Target="header87.xml"/><Relationship Id="rId1448" Type="http://schemas.openxmlformats.org/officeDocument/2006/relationships/image" Target="media/image679.jpeg"/><Relationship Id="rId1449" Type="http://schemas.openxmlformats.org/officeDocument/2006/relationships/image" Target="media/image679.jpeg" TargetMode="External"/><Relationship Id="rId1450" Type="http://schemas.openxmlformats.org/officeDocument/2006/relationships/image" Target="media/image680.jpeg"/><Relationship Id="rId1451" Type="http://schemas.openxmlformats.org/officeDocument/2006/relationships/image" Target="media/image680.jpeg" TargetMode="External"/><Relationship Id="rId1452" Type="http://schemas.openxmlformats.org/officeDocument/2006/relationships/image" Target="media/image681.jpeg"/><Relationship Id="rId1453" Type="http://schemas.openxmlformats.org/officeDocument/2006/relationships/image" Target="media/image681.jpeg" TargetMode="External"/><Relationship Id="rId1454" Type="http://schemas.openxmlformats.org/officeDocument/2006/relationships/header" Target="header88.xml"/><Relationship Id="rId1455" Type="http://schemas.openxmlformats.org/officeDocument/2006/relationships/header" Target="header89.xml"/><Relationship Id="rId1456" Type="http://schemas.openxmlformats.org/officeDocument/2006/relationships/header" Target="header90.xml"/><Relationship Id="rId1457" Type="http://schemas.openxmlformats.org/officeDocument/2006/relationships/image" Target="media/image682.jpeg"/><Relationship Id="rId1458" Type="http://schemas.openxmlformats.org/officeDocument/2006/relationships/image" Target="media/image682.jpeg" TargetMode="External"/><Relationship Id="rId1459" Type="http://schemas.openxmlformats.org/officeDocument/2006/relationships/image" Target="media/image683.jpeg"/><Relationship Id="rId1460" Type="http://schemas.openxmlformats.org/officeDocument/2006/relationships/image" Target="media/image683.jpeg" TargetMode="External"/><Relationship Id="rId1461" Type="http://schemas.openxmlformats.org/officeDocument/2006/relationships/image" Target="media/image684.jpeg"/><Relationship Id="rId1462" Type="http://schemas.openxmlformats.org/officeDocument/2006/relationships/image" Target="media/image684.jpeg" TargetMode="External"/><Relationship Id="rId1463" Type="http://schemas.openxmlformats.org/officeDocument/2006/relationships/image" Target="media/image685.jpeg"/><Relationship Id="rId1464" Type="http://schemas.openxmlformats.org/officeDocument/2006/relationships/image" Target="media/image685.jpeg" TargetMode="External"/><Relationship Id="rId1465" Type="http://schemas.openxmlformats.org/officeDocument/2006/relationships/image" Target="media/image686.jpeg"/><Relationship Id="rId1466" Type="http://schemas.openxmlformats.org/officeDocument/2006/relationships/image" Target="media/image686.jpeg" TargetMode="External"/><Relationship Id="rId1467" Type="http://schemas.openxmlformats.org/officeDocument/2006/relationships/image" Target="media/image687.jpeg"/><Relationship Id="rId1468" Type="http://schemas.openxmlformats.org/officeDocument/2006/relationships/image" Target="media/image687.jpeg" TargetMode="External"/><Relationship Id="rId1469" Type="http://schemas.openxmlformats.org/officeDocument/2006/relationships/image" Target="media/image688.jpeg"/><Relationship Id="rId1470" Type="http://schemas.openxmlformats.org/officeDocument/2006/relationships/image" Target="media/image688.jpeg" TargetMode="External"/><Relationship Id="rId1471" Type="http://schemas.openxmlformats.org/officeDocument/2006/relationships/image" Target="media/image689.jpeg"/><Relationship Id="rId1472" Type="http://schemas.openxmlformats.org/officeDocument/2006/relationships/image" Target="media/image689.jpeg" TargetMode="External"/><Relationship Id="rId1473" Type="http://schemas.openxmlformats.org/officeDocument/2006/relationships/image" Target="media/image690.jpeg"/><Relationship Id="rId1474" Type="http://schemas.openxmlformats.org/officeDocument/2006/relationships/image" Target="media/image690.jpeg" TargetMode="External"/><Relationship Id="rId1475" Type="http://schemas.openxmlformats.org/officeDocument/2006/relationships/image" Target="media/image691.jpeg"/><Relationship Id="rId1476" Type="http://schemas.openxmlformats.org/officeDocument/2006/relationships/image" Target="media/image691.jpeg" TargetMode="External"/><Relationship Id="rId1477" Type="http://schemas.openxmlformats.org/officeDocument/2006/relationships/image" Target="media/image692.jpeg"/><Relationship Id="rId1478" Type="http://schemas.openxmlformats.org/officeDocument/2006/relationships/image" Target="media/image692.jpeg" TargetMode="External"/><Relationship Id="rId1479" Type="http://schemas.openxmlformats.org/officeDocument/2006/relationships/image" Target="media/image693.jpeg"/><Relationship Id="rId1480" Type="http://schemas.openxmlformats.org/officeDocument/2006/relationships/image" Target="media/image693.jpeg" TargetMode="External"/><Relationship Id="rId1481" Type="http://schemas.openxmlformats.org/officeDocument/2006/relationships/image" Target="media/image694.jpeg"/><Relationship Id="rId1482" Type="http://schemas.openxmlformats.org/officeDocument/2006/relationships/image" Target="media/image694.jpeg" TargetMode="External"/><Relationship Id="rId1483" Type="http://schemas.openxmlformats.org/officeDocument/2006/relationships/header" Target="header91.xml"/><Relationship Id="rId1484" Type="http://schemas.openxmlformats.org/officeDocument/2006/relationships/header" Target="header92.xml"/><Relationship Id="rId1485" Type="http://schemas.openxmlformats.org/officeDocument/2006/relationships/header" Target="header93.xml"/><Relationship Id="rId1486" Type="http://schemas.openxmlformats.org/officeDocument/2006/relationships/image" Target="media/image695.jpeg"/><Relationship Id="rId1487" Type="http://schemas.openxmlformats.org/officeDocument/2006/relationships/image" Target="media/image695.jpeg" TargetMode="External"/><Relationship Id="rId1488" Type="http://schemas.openxmlformats.org/officeDocument/2006/relationships/image" Target="media/image696.jpeg"/><Relationship Id="rId1489" Type="http://schemas.openxmlformats.org/officeDocument/2006/relationships/image" Target="media/image696.jpeg" TargetMode="External"/><Relationship Id="rId1490" Type="http://schemas.openxmlformats.org/officeDocument/2006/relationships/image" Target="media/image697.jpeg"/><Relationship Id="rId1491" Type="http://schemas.openxmlformats.org/officeDocument/2006/relationships/image" Target="media/image697.jpeg" TargetMode="External"/><Relationship Id="rId1492" Type="http://schemas.openxmlformats.org/officeDocument/2006/relationships/image" Target="media/image698.jpeg"/><Relationship Id="rId1493" Type="http://schemas.openxmlformats.org/officeDocument/2006/relationships/image" Target="media/image698.jpeg" TargetMode="External"/><Relationship Id="rId1494" Type="http://schemas.openxmlformats.org/officeDocument/2006/relationships/image" Target="media/image699.jpeg"/><Relationship Id="rId1495" Type="http://schemas.openxmlformats.org/officeDocument/2006/relationships/image" Target="media/image699.jpeg" TargetMode="External"/><Relationship Id="rId1496" Type="http://schemas.openxmlformats.org/officeDocument/2006/relationships/image" Target="media/image700.jpeg"/><Relationship Id="rId1497" Type="http://schemas.openxmlformats.org/officeDocument/2006/relationships/image" Target="media/image700.jpeg" TargetMode="External"/><Relationship Id="rId1498" Type="http://schemas.openxmlformats.org/officeDocument/2006/relationships/header" Target="header94.xml"/><Relationship Id="rId1499" Type="http://schemas.openxmlformats.org/officeDocument/2006/relationships/header" Target="header95.xml"/><Relationship Id="rId1500" Type="http://schemas.openxmlformats.org/officeDocument/2006/relationships/header" Target="header96.xml"/><Relationship Id="rId1501" Type="http://schemas.openxmlformats.org/officeDocument/2006/relationships/image" Target="media/image701.jpeg"/><Relationship Id="rId1502" Type="http://schemas.openxmlformats.org/officeDocument/2006/relationships/image" Target="media/image701.jpeg" TargetMode="External"/><Relationship Id="rId1503" Type="http://schemas.openxmlformats.org/officeDocument/2006/relationships/image" Target="media/image702.jpeg"/><Relationship Id="rId1504" Type="http://schemas.openxmlformats.org/officeDocument/2006/relationships/image" Target="media/image702.jpeg" TargetMode="External"/></Relationships>
</file>

<file path=docProps/core.xml><?xml version="1.0" encoding="utf-8"?>
<cp:coreProperties xmlns:cp="http://schemas.openxmlformats.org/package/2006/metadata/core-properties" xmlns:dc="http://purl.org/dc/elements/1.1/">
  <dc:title>BelozerovRadправ1.qxd</dc:title>
  <dc:subject/>
  <dc:creator>&lt;D0E0E4E8EA&gt;</dc:creator>
  <cp:keywords/>
</cp:coreProperties>
</file>